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BB43D1" w:rsidRPr="004569A4" w14:paraId="5EEA7D0C"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4569A4">
        <w:rPr>
          <w:rFonts w:ascii="Times New Roman" w:hAnsi="Times New Roman" w:cs="Times New Roman"/>
          <w:b/>
          <w:bCs/>
          <w:sz w:val="24"/>
          <w:szCs w:val="24"/>
        </w:rPr>
        <w:t>BEFORE</w:t>
      </w:r>
    </w:p>
    <w:p w:rsidR="00BB43D1" w:rsidRPr="004569A4" w14:paraId="64CC1EEE" w14:textId="77777777">
      <w:pPr>
        <w:pStyle w:val="HTMLPreformatted"/>
        <w:jc w:val="center"/>
        <w:rPr>
          <w:rFonts w:ascii="Times New Roman" w:hAnsi="Times New Roman" w:cs="Times New Roman"/>
          <w:b/>
          <w:bCs/>
          <w:sz w:val="24"/>
          <w:szCs w:val="24"/>
        </w:rPr>
      </w:pPr>
      <w:r w:rsidRPr="004569A4">
        <w:rPr>
          <w:rFonts w:ascii="Times New Roman" w:hAnsi="Times New Roman" w:cs="Times New Roman"/>
          <w:b/>
          <w:bCs/>
          <w:sz w:val="24"/>
          <w:szCs w:val="24"/>
        </w:rPr>
        <w:t>THE PUBLIC UTILITIES COMMISSION OF OHIO</w:t>
      </w:r>
    </w:p>
    <w:p w:rsidR="00BB43D1" w:rsidRPr="004569A4" w14:paraId="05CB8E0B" w14:textId="77777777">
      <w:pPr>
        <w:pStyle w:val="HTMLPreformatted"/>
        <w:rPr>
          <w:rFonts w:ascii="Times New Roman" w:hAnsi="Times New Roman" w:cs="Times New Roman"/>
          <w:sz w:val="24"/>
          <w:szCs w:val="24"/>
        </w:rPr>
      </w:pPr>
    </w:p>
    <w:tbl>
      <w:tblPr>
        <w:tblW w:w="9450" w:type="dxa"/>
        <w:tblLook w:val="01E0"/>
      </w:tblPr>
      <w:tblGrid>
        <w:gridCol w:w="4590"/>
        <w:gridCol w:w="450"/>
        <w:gridCol w:w="4410"/>
      </w:tblGrid>
      <w:tr w14:paraId="48C5F56E" w14:textId="77777777">
        <w:tblPrEx>
          <w:tblW w:w="9450" w:type="dxa"/>
          <w:tblLook w:val="01E0"/>
        </w:tblPrEx>
        <w:trPr>
          <w:trHeight w:val="807"/>
        </w:trPr>
        <w:tc>
          <w:tcPr>
            <w:tcW w:w="4590" w:type="dxa"/>
            <w:shd w:val="clear" w:color="auto" w:fill="auto"/>
          </w:tcPr>
          <w:p w:rsidR="00BB43D1" w:rsidRPr="004569A4" w14:paraId="6D14FFF4" w14:textId="77777777">
            <w:pPr>
              <w:pStyle w:val="HTMLPreformatted"/>
              <w:rPr>
                <w:rFonts w:ascii="Times New Roman" w:hAnsi="Times New Roman" w:cs="Times New Roman"/>
                <w:sz w:val="24"/>
                <w:szCs w:val="24"/>
              </w:rPr>
            </w:pPr>
            <w:r w:rsidRPr="004569A4">
              <w:rPr>
                <w:rFonts w:ascii="Times New Roman" w:hAnsi="Times New Roman" w:cs="Times New Roman"/>
                <w:sz w:val="24"/>
                <w:szCs w:val="24"/>
              </w:rPr>
              <w:t>In the Matter of the Review of the Ohio Edison Company, The Cleveland Electric Illuminating Company, and The Toledo Edison Company’s Compliance with R.C. 4928.17 and the Ohio Adm. Code Chapter 4901:1-37.</w:t>
            </w:r>
          </w:p>
        </w:tc>
        <w:tc>
          <w:tcPr>
            <w:tcW w:w="450" w:type="dxa"/>
            <w:shd w:val="clear" w:color="auto" w:fill="auto"/>
          </w:tcPr>
          <w:p w:rsidR="00BB43D1" w:rsidRPr="004569A4" w14:paraId="59AC2A2D" w14:textId="77777777">
            <w:pPr>
              <w:pStyle w:val="HTMLPreformatted"/>
              <w:rPr>
                <w:rFonts w:ascii="Times New Roman" w:hAnsi="Times New Roman" w:cs="Times New Roman"/>
                <w:sz w:val="24"/>
                <w:szCs w:val="24"/>
              </w:rPr>
            </w:pPr>
            <w:r w:rsidRPr="004569A4">
              <w:rPr>
                <w:rFonts w:ascii="Times New Roman" w:hAnsi="Times New Roman" w:cs="Times New Roman"/>
                <w:sz w:val="24"/>
                <w:szCs w:val="24"/>
              </w:rPr>
              <w:t>)</w:t>
            </w:r>
          </w:p>
          <w:p w:rsidR="00BB43D1" w:rsidRPr="004569A4" w14:paraId="3CDAE7F9" w14:textId="77777777">
            <w:pPr>
              <w:pStyle w:val="HTMLPreformatted"/>
              <w:rPr>
                <w:rFonts w:ascii="Times New Roman" w:hAnsi="Times New Roman" w:cs="Times New Roman"/>
                <w:sz w:val="24"/>
                <w:szCs w:val="24"/>
              </w:rPr>
            </w:pPr>
            <w:r w:rsidRPr="004569A4">
              <w:rPr>
                <w:rFonts w:ascii="Times New Roman" w:hAnsi="Times New Roman" w:cs="Times New Roman"/>
                <w:sz w:val="24"/>
                <w:szCs w:val="24"/>
              </w:rPr>
              <w:t>)</w:t>
            </w:r>
          </w:p>
          <w:p w:rsidR="00BB43D1" w:rsidRPr="004569A4" w14:paraId="35021D50" w14:textId="77777777">
            <w:pPr>
              <w:pStyle w:val="HTMLPreformatted"/>
              <w:rPr>
                <w:rFonts w:ascii="Times New Roman" w:hAnsi="Times New Roman" w:cs="Times New Roman"/>
                <w:sz w:val="24"/>
                <w:szCs w:val="24"/>
              </w:rPr>
            </w:pPr>
            <w:r w:rsidRPr="004569A4">
              <w:rPr>
                <w:rFonts w:ascii="Times New Roman" w:hAnsi="Times New Roman" w:cs="Times New Roman"/>
                <w:sz w:val="24"/>
                <w:szCs w:val="24"/>
              </w:rPr>
              <w:t>)</w:t>
            </w:r>
          </w:p>
          <w:p w:rsidR="00BB43D1" w:rsidRPr="004569A4" w14:paraId="2D2B6872" w14:textId="77777777">
            <w:pPr>
              <w:pStyle w:val="HTMLPreformatted"/>
              <w:rPr>
                <w:rFonts w:ascii="Times New Roman" w:hAnsi="Times New Roman" w:cs="Times New Roman"/>
                <w:sz w:val="24"/>
                <w:szCs w:val="24"/>
              </w:rPr>
            </w:pPr>
            <w:r w:rsidRPr="004569A4">
              <w:rPr>
                <w:rFonts w:ascii="Times New Roman" w:hAnsi="Times New Roman" w:cs="Times New Roman"/>
                <w:sz w:val="24"/>
                <w:szCs w:val="24"/>
              </w:rPr>
              <w:t>)</w:t>
            </w:r>
          </w:p>
          <w:p w:rsidR="00BB43D1" w:rsidRPr="004569A4" w14:paraId="7552A3D8" w14:textId="77777777">
            <w:pPr>
              <w:pStyle w:val="HTMLPreformatted"/>
              <w:rPr>
                <w:rFonts w:ascii="Times New Roman" w:hAnsi="Times New Roman" w:cs="Times New Roman"/>
                <w:sz w:val="24"/>
                <w:szCs w:val="24"/>
              </w:rPr>
            </w:pPr>
            <w:r w:rsidRPr="004569A4">
              <w:rPr>
                <w:rFonts w:ascii="Times New Roman" w:hAnsi="Times New Roman" w:cs="Times New Roman"/>
                <w:sz w:val="24"/>
                <w:szCs w:val="24"/>
              </w:rPr>
              <w:t>)</w:t>
            </w:r>
          </w:p>
          <w:p w:rsidR="00BB43D1" w:rsidRPr="004569A4" w14:paraId="7E648BC7" w14:textId="77777777">
            <w:pPr>
              <w:pStyle w:val="HTMLPreformatted"/>
              <w:rPr>
                <w:rFonts w:ascii="Times New Roman" w:hAnsi="Times New Roman" w:cs="Times New Roman"/>
                <w:sz w:val="24"/>
                <w:szCs w:val="24"/>
              </w:rPr>
            </w:pPr>
            <w:r w:rsidRPr="004569A4">
              <w:rPr>
                <w:rFonts w:ascii="Times New Roman" w:hAnsi="Times New Roman" w:cs="Times New Roman"/>
                <w:sz w:val="24"/>
                <w:szCs w:val="24"/>
              </w:rPr>
              <w:t>)</w:t>
            </w:r>
          </w:p>
        </w:tc>
        <w:tc>
          <w:tcPr>
            <w:tcW w:w="4410" w:type="dxa"/>
            <w:shd w:val="clear" w:color="auto" w:fill="auto"/>
          </w:tcPr>
          <w:p w:rsidR="00BB43D1" w:rsidRPr="004569A4" w14:paraId="72534A4D" w14:textId="77777777">
            <w:pPr>
              <w:pStyle w:val="HTMLPreformatted"/>
              <w:rPr>
                <w:rFonts w:ascii="Times New Roman" w:hAnsi="Times New Roman" w:cs="Times New Roman"/>
                <w:sz w:val="24"/>
                <w:szCs w:val="24"/>
              </w:rPr>
            </w:pPr>
          </w:p>
          <w:p w:rsidR="00BB43D1" w:rsidRPr="004569A4" w14:paraId="0056534E" w14:textId="77777777">
            <w:pPr>
              <w:pStyle w:val="HTMLPreformatted"/>
              <w:rPr>
                <w:rFonts w:ascii="Times New Roman" w:hAnsi="Times New Roman" w:cs="Times New Roman"/>
                <w:sz w:val="24"/>
                <w:szCs w:val="24"/>
              </w:rPr>
            </w:pPr>
            <w:r w:rsidRPr="004569A4">
              <w:rPr>
                <w:rFonts w:ascii="Times New Roman" w:hAnsi="Times New Roman" w:cs="Times New Roman"/>
                <w:sz w:val="24"/>
                <w:szCs w:val="24"/>
              </w:rPr>
              <w:t>Case No. 17-974-EL-UNC</w:t>
            </w:r>
          </w:p>
          <w:p w:rsidR="00BB43D1" w:rsidRPr="004569A4" w14:paraId="0AC67709" w14:textId="77777777">
            <w:pPr>
              <w:pStyle w:val="HTMLPreformatted"/>
              <w:rPr>
                <w:rFonts w:ascii="Times New Roman" w:hAnsi="Times New Roman" w:cs="Times New Roman"/>
                <w:sz w:val="24"/>
                <w:szCs w:val="24"/>
              </w:rPr>
            </w:pPr>
          </w:p>
          <w:p w:rsidR="00BB43D1" w:rsidRPr="004569A4" w14:paraId="7AD14160" w14:textId="77777777">
            <w:pPr>
              <w:pStyle w:val="HTMLPreformatted"/>
              <w:rPr>
                <w:rFonts w:ascii="Times New Roman" w:hAnsi="Times New Roman" w:cs="Times New Roman"/>
                <w:sz w:val="24"/>
                <w:szCs w:val="24"/>
              </w:rPr>
            </w:pPr>
          </w:p>
        </w:tc>
      </w:tr>
    </w:tbl>
    <w:p w:rsidR="00BB43D1" w:rsidRPr="004569A4" w14:paraId="6D65475D" w14:textId="77777777">
      <w:pPr>
        <w:pStyle w:val="HTMLPreformatted"/>
        <w:rPr>
          <w:rFonts w:ascii="Times New Roman" w:hAnsi="Times New Roman" w:cs="Times New Roman"/>
          <w:sz w:val="24"/>
          <w:szCs w:val="24"/>
        </w:rPr>
      </w:pPr>
    </w:p>
    <w:p w:rsidR="00BB43D1" w:rsidRPr="004569A4" w14:paraId="616FA2C9" w14:textId="77777777">
      <w:pPr>
        <w:pStyle w:val="HTMLPreformatted"/>
        <w:pBdr>
          <w:top w:val="single" w:sz="12" w:space="1" w:color="auto"/>
        </w:pBdr>
        <w:rPr>
          <w:rFonts w:ascii="Times New Roman" w:hAnsi="Times New Roman" w:cs="Times New Roman"/>
          <w:sz w:val="24"/>
          <w:szCs w:val="24"/>
        </w:rPr>
      </w:pPr>
    </w:p>
    <w:p w:rsidR="00BB43D1" w:rsidRPr="004569A4" w14:paraId="12C4D75B" w14:textId="3F9BE52C">
      <w:pPr>
        <w:jc w:val="center"/>
        <w:rPr>
          <w:rFonts w:ascii="Times New Roman" w:hAnsi="Times New Roman" w:cs="Times New Roman"/>
          <w:b/>
          <w:bCs/>
          <w:sz w:val="24"/>
          <w:szCs w:val="24"/>
        </w:rPr>
      </w:pPr>
      <w:r w:rsidRPr="004569A4">
        <w:rPr>
          <w:rFonts w:ascii="Times New Roman" w:hAnsi="Times New Roman" w:cs="Times New Roman"/>
          <w:b/>
          <w:bCs/>
          <w:sz w:val="24"/>
          <w:szCs w:val="24"/>
        </w:rPr>
        <w:t>REPLY</w:t>
      </w:r>
      <w:r w:rsidRPr="004569A4" w:rsidR="002F3AD9">
        <w:rPr>
          <w:rFonts w:ascii="Times New Roman" w:hAnsi="Times New Roman" w:cs="Times New Roman"/>
          <w:b/>
          <w:bCs/>
          <w:sz w:val="24"/>
          <w:szCs w:val="24"/>
        </w:rPr>
        <w:t xml:space="preserve"> COMMENTS</w:t>
      </w:r>
      <w:r w:rsidRPr="004569A4" w:rsidR="004229A1">
        <w:rPr>
          <w:rFonts w:ascii="Times New Roman" w:hAnsi="Times New Roman" w:cs="Times New Roman"/>
          <w:b/>
          <w:bCs/>
          <w:sz w:val="24"/>
          <w:szCs w:val="24"/>
        </w:rPr>
        <w:t xml:space="preserve"> </w:t>
      </w:r>
      <w:r w:rsidRPr="004569A4" w:rsidR="008E0D76">
        <w:rPr>
          <w:rFonts w:ascii="Times New Roman" w:hAnsi="Times New Roman" w:cs="Times New Roman"/>
          <w:b/>
          <w:bCs/>
          <w:sz w:val="24"/>
          <w:szCs w:val="24"/>
        </w:rPr>
        <w:t>PROTECT</w:t>
      </w:r>
      <w:r w:rsidRPr="004569A4" w:rsidR="00EA4DBA">
        <w:rPr>
          <w:rFonts w:ascii="Times New Roman" w:hAnsi="Times New Roman" w:cs="Times New Roman"/>
          <w:b/>
          <w:bCs/>
          <w:sz w:val="24"/>
          <w:szCs w:val="24"/>
        </w:rPr>
        <w:t>ING CONSUMERS</w:t>
      </w:r>
      <w:r w:rsidRPr="004569A4" w:rsidR="00F455E9">
        <w:rPr>
          <w:rFonts w:ascii="Times New Roman" w:hAnsi="Times New Roman" w:cs="Times New Roman"/>
          <w:b/>
          <w:bCs/>
          <w:sz w:val="24"/>
          <w:szCs w:val="24"/>
        </w:rPr>
        <w:t xml:space="preserve"> FROM IMPROPER </w:t>
      </w:r>
      <w:r w:rsidRPr="004569A4" w:rsidR="00674B76">
        <w:rPr>
          <w:rFonts w:ascii="Times New Roman" w:hAnsi="Times New Roman" w:cs="Times New Roman"/>
          <w:b/>
          <w:bCs/>
          <w:sz w:val="24"/>
          <w:szCs w:val="24"/>
        </w:rPr>
        <w:t>CHARGES</w:t>
      </w:r>
      <w:r w:rsidRPr="004569A4" w:rsidR="008E0D76">
        <w:rPr>
          <w:rFonts w:ascii="Times New Roman" w:hAnsi="Times New Roman" w:cs="Times New Roman"/>
          <w:b/>
          <w:bCs/>
          <w:sz w:val="24"/>
          <w:szCs w:val="24"/>
        </w:rPr>
        <w:t xml:space="preserve"> UNDER FIRSTENERGY’S “CORPORATE SEPARATION” </w:t>
      </w:r>
    </w:p>
    <w:p w:rsidR="00BB43D1" w:rsidRPr="004569A4" w14:paraId="24868BD6" w14:textId="77777777">
      <w:pPr>
        <w:jc w:val="center"/>
        <w:rPr>
          <w:rFonts w:ascii="Times New Roman" w:eastAsia="Times New Roman" w:hAnsi="Times New Roman" w:cs="Times New Roman"/>
          <w:b/>
          <w:bCs/>
          <w:sz w:val="24"/>
          <w:szCs w:val="24"/>
        </w:rPr>
      </w:pPr>
      <w:r w:rsidRPr="004569A4">
        <w:rPr>
          <w:rFonts w:ascii="Times New Roman" w:hAnsi="Times New Roman" w:cs="Times New Roman"/>
          <w:b/>
          <w:bCs/>
          <w:sz w:val="24"/>
          <w:szCs w:val="24"/>
        </w:rPr>
        <w:t>BY</w:t>
      </w:r>
    </w:p>
    <w:p w:rsidR="00BB43D1" w:rsidRPr="004569A4" w14:paraId="58AF590C" w14:textId="77777777">
      <w:pPr>
        <w:jc w:val="center"/>
        <w:rPr>
          <w:rFonts w:ascii="Times New Roman" w:hAnsi="Times New Roman" w:cs="Times New Roman"/>
          <w:b/>
          <w:bCs/>
          <w:sz w:val="24"/>
          <w:szCs w:val="24"/>
        </w:rPr>
      </w:pPr>
      <w:r w:rsidRPr="004569A4">
        <w:rPr>
          <w:rFonts w:ascii="Times New Roman" w:hAnsi="Times New Roman" w:cs="Times New Roman"/>
          <w:b/>
          <w:bCs/>
          <w:w w:val="105"/>
          <w:sz w:val="24"/>
          <w:szCs w:val="24"/>
        </w:rPr>
        <w:t>OFFICE</w:t>
      </w:r>
      <w:r w:rsidRPr="004569A4">
        <w:rPr>
          <w:rFonts w:ascii="Times New Roman" w:hAnsi="Times New Roman" w:cs="Times New Roman"/>
          <w:b/>
          <w:bCs/>
          <w:spacing w:val="1"/>
          <w:w w:val="105"/>
          <w:sz w:val="24"/>
          <w:szCs w:val="24"/>
        </w:rPr>
        <w:t xml:space="preserve"> </w:t>
      </w:r>
      <w:r w:rsidRPr="004569A4">
        <w:rPr>
          <w:rFonts w:ascii="Times New Roman" w:hAnsi="Times New Roman" w:cs="Times New Roman"/>
          <w:b/>
          <w:bCs/>
          <w:w w:val="105"/>
          <w:sz w:val="24"/>
          <w:szCs w:val="24"/>
        </w:rPr>
        <w:t>OF</w:t>
      </w:r>
      <w:r w:rsidRPr="004569A4">
        <w:rPr>
          <w:rFonts w:ascii="Times New Roman" w:hAnsi="Times New Roman" w:cs="Times New Roman"/>
          <w:b/>
          <w:bCs/>
          <w:spacing w:val="-23"/>
          <w:w w:val="105"/>
          <w:sz w:val="24"/>
          <w:szCs w:val="24"/>
        </w:rPr>
        <w:t xml:space="preserve"> </w:t>
      </w:r>
      <w:r w:rsidRPr="004569A4">
        <w:rPr>
          <w:rFonts w:ascii="Times New Roman" w:hAnsi="Times New Roman" w:cs="Times New Roman"/>
          <w:b/>
          <w:bCs/>
          <w:w w:val="105"/>
          <w:sz w:val="24"/>
          <w:szCs w:val="24"/>
        </w:rPr>
        <w:t>THE</w:t>
      </w:r>
      <w:r w:rsidRPr="004569A4">
        <w:rPr>
          <w:rFonts w:ascii="Times New Roman" w:hAnsi="Times New Roman" w:cs="Times New Roman"/>
          <w:b/>
          <w:bCs/>
          <w:spacing w:val="-9"/>
          <w:w w:val="105"/>
          <w:sz w:val="24"/>
          <w:szCs w:val="24"/>
        </w:rPr>
        <w:t xml:space="preserve"> </w:t>
      </w:r>
      <w:r w:rsidRPr="004569A4">
        <w:rPr>
          <w:rFonts w:ascii="Times New Roman" w:hAnsi="Times New Roman" w:cs="Times New Roman"/>
          <w:b/>
          <w:bCs/>
          <w:w w:val="105"/>
          <w:sz w:val="24"/>
          <w:szCs w:val="24"/>
        </w:rPr>
        <w:t>OHIO</w:t>
      </w:r>
      <w:r w:rsidRPr="004569A4">
        <w:rPr>
          <w:rFonts w:ascii="Times New Roman" w:hAnsi="Times New Roman" w:cs="Times New Roman"/>
          <w:b/>
          <w:bCs/>
          <w:spacing w:val="1"/>
          <w:w w:val="105"/>
          <w:sz w:val="24"/>
          <w:szCs w:val="24"/>
        </w:rPr>
        <w:t xml:space="preserve"> </w:t>
      </w:r>
      <w:r w:rsidRPr="004569A4">
        <w:rPr>
          <w:rFonts w:ascii="Times New Roman" w:hAnsi="Times New Roman" w:cs="Times New Roman"/>
          <w:b/>
          <w:bCs/>
          <w:w w:val="105"/>
          <w:sz w:val="24"/>
          <w:szCs w:val="24"/>
        </w:rPr>
        <w:t>CONSUMERS'</w:t>
      </w:r>
      <w:r w:rsidRPr="004569A4">
        <w:rPr>
          <w:rFonts w:ascii="Times New Roman" w:hAnsi="Times New Roman" w:cs="Times New Roman"/>
          <w:b/>
          <w:bCs/>
          <w:spacing w:val="21"/>
          <w:w w:val="105"/>
          <w:sz w:val="24"/>
          <w:szCs w:val="24"/>
        </w:rPr>
        <w:t xml:space="preserve"> </w:t>
      </w:r>
      <w:r w:rsidRPr="004569A4">
        <w:rPr>
          <w:rFonts w:ascii="Times New Roman" w:hAnsi="Times New Roman" w:cs="Times New Roman"/>
          <w:b/>
          <w:bCs/>
          <w:w w:val="105"/>
          <w:sz w:val="24"/>
          <w:szCs w:val="24"/>
        </w:rPr>
        <w:t>COUNSEL</w:t>
      </w:r>
    </w:p>
    <w:p w:rsidR="00BB43D1" w:rsidRPr="004569A4" w14:paraId="59F80610" w14:textId="77777777">
      <w:pPr>
        <w:pBdr>
          <w:bottom w:val="single" w:sz="12" w:space="1" w:color="auto"/>
        </w:pBdr>
        <w:tabs>
          <w:tab w:val="left" w:pos="4320"/>
        </w:tabs>
        <w:rPr>
          <w:rFonts w:ascii="Times New Roman" w:hAnsi="Times New Roman" w:cs="Times New Roman"/>
          <w:sz w:val="24"/>
          <w:szCs w:val="24"/>
        </w:rPr>
      </w:pPr>
    </w:p>
    <w:p w:rsidR="00BB43D1" w:rsidRPr="004569A4" w14:paraId="1B0D7273" w14:textId="77777777">
      <w:pPr>
        <w:tabs>
          <w:tab w:val="left" w:pos="4320"/>
        </w:tabs>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14:paraId="6764DB3E"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BB43D1" w:rsidRPr="004569A4" w14:paraId="57C33317" w14:textId="77777777">
            <w:pPr>
              <w:jc w:val="both"/>
              <w:rPr>
                <w:b/>
                <w:bCs/>
                <w:sz w:val="24"/>
                <w:szCs w:val="24"/>
              </w:rPr>
            </w:pPr>
          </w:p>
          <w:p w:rsidR="004569A4" w:rsidRPr="004569A4" w14:paraId="6CE73A32" w14:textId="77777777">
            <w:pPr>
              <w:jc w:val="both"/>
              <w:rPr>
                <w:b/>
                <w:bCs/>
                <w:sz w:val="24"/>
                <w:szCs w:val="24"/>
              </w:rPr>
            </w:pPr>
          </w:p>
          <w:p w:rsidR="004569A4" w:rsidRPr="004569A4" w14:paraId="785D4660" w14:textId="77777777">
            <w:pPr>
              <w:jc w:val="both"/>
              <w:rPr>
                <w:b/>
                <w:bCs/>
                <w:sz w:val="24"/>
                <w:szCs w:val="24"/>
              </w:rPr>
            </w:pPr>
          </w:p>
          <w:p w:rsidR="004569A4" w:rsidRPr="004569A4" w14:paraId="1DC9B091" w14:textId="77777777">
            <w:pPr>
              <w:jc w:val="both"/>
              <w:rPr>
                <w:b/>
                <w:bCs/>
                <w:sz w:val="24"/>
                <w:szCs w:val="24"/>
              </w:rPr>
            </w:pPr>
          </w:p>
          <w:p w:rsidR="004569A4" w:rsidRPr="004569A4" w14:paraId="2D30EFF8" w14:textId="77777777">
            <w:pPr>
              <w:jc w:val="both"/>
              <w:rPr>
                <w:b/>
                <w:bCs/>
                <w:sz w:val="24"/>
                <w:szCs w:val="24"/>
              </w:rPr>
            </w:pPr>
          </w:p>
          <w:p w:rsidR="004569A4" w:rsidRPr="004569A4" w14:paraId="56393A28" w14:textId="77777777">
            <w:pPr>
              <w:jc w:val="both"/>
              <w:rPr>
                <w:b/>
                <w:bCs/>
                <w:sz w:val="24"/>
                <w:szCs w:val="24"/>
              </w:rPr>
            </w:pPr>
          </w:p>
          <w:p w:rsidR="004569A4" w:rsidRPr="004569A4" w14:paraId="79EE8033" w14:textId="77777777">
            <w:pPr>
              <w:jc w:val="both"/>
              <w:rPr>
                <w:b/>
                <w:bCs/>
                <w:sz w:val="24"/>
                <w:szCs w:val="24"/>
              </w:rPr>
            </w:pPr>
          </w:p>
          <w:p w:rsidR="004569A4" w:rsidRPr="004569A4" w14:paraId="538C22A0" w14:textId="77777777">
            <w:pPr>
              <w:jc w:val="both"/>
              <w:rPr>
                <w:b/>
                <w:bCs/>
                <w:sz w:val="24"/>
                <w:szCs w:val="24"/>
              </w:rPr>
            </w:pPr>
          </w:p>
          <w:p w:rsidR="004569A4" w:rsidRPr="004569A4" w14:paraId="5EC26356" w14:textId="77777777">
            <w:pPr>
              <w:jc w:val="both"/>
              <w:rPr>
                <w:b/>
                <w:bCs/>
                <w:sz w:val="24"/>
                <w:szCs w:val="24"/>
              </w:rPr>
            </w:pPr>
          </w:p>
          <w:p w:rsidR="004569A4" w:rsidRPr="004569A4" w14:paraId="0D6D6CF3" w14:textId="77777777">
            <w:pPr>
              <w:jc w:val="both"/>
              <w:rPr>
                <w:b/>
                <w:bCs/>
                <w:sz w:val="24"/>
                <w:szCs w:val="24"/>
              </w:rPr>
            </w:pPr>
          </w:p>
          <w:p w:rsidR="004569A4" w:rsidRPr="004569A4" w14:paraId="2E53EE85" w14:textId="77777777">
            <w:pPr>
              <w:jc w:val="both"/>
              <w:rPr>
                <w:b/>
                <w:bCs/>
                <w:sz w:val="24"/>
                <w:szCs w:val="24"/>
              </w:rPr>
            </w:pPr>
          </w:p>
          <w:p w:rsidR="004569A4" w:rsidRPr="004569A4" w14:paraId="39141B10" w14:textId="77777777">
            <w:pPr>
              <w:jc w:val="both"/>
              <w:rPr>
                <w:b/>
                <w:bCs/>
                <w:sz w:val="24"/>
                <w:szCs w:val="24"/>
              </w:rPr>
            </w:pPr>
          </w:p>
          <w:p w:rsidR="004569A4" w:rsidRPr="004569A4" w14:paraId="7E7A6897" w14:textId="77777777">
            <w:pPr>
              <w:jc w:val="both"/>
              <w:rPr>
                <w:b/>
                <w:bCs/>
                <w:sz w:val="24"/>
                <w:szCs w:val="24"/>
              </w:rPr>
            </w:pPr>
          </w:p>
          <w:p w:rsidR="004569A4" w:rsidRPr="004569A4" w14:paraId="049C63DB" w14:textId="77777777">
            <w:pPr>
              <w:jc w:val="both"/>
              <w:rPr>
                <w:b/>
                <w:bCs/>
                <w:sz w:val="24"/>
                <w:szCs w:val="24"/>
              </w:rPr>
            </w:pPr>
          </w:p>
          <w:p w:rsidR="004569A4" w:rsidRPr="004569A4" w14:paraId="2B16EF63" w14:textId="77777777">
            <w:pPr>
              <w:jc w:val="both"/>
              <w:rPr>
                <w:b/>
                <w:bCs/>
                <w:sz w:val="24"/>
                <w:szCs w:val="24"/>
              </w:rPr>
            </w:pPr>
          </w:p>
          <w:p w:rsidR="004569A4" w:rsidRPr="004569A4" w14:paraId="20985953" w14:textId="77777777">
            <w:pPr>
              <w:jc w:val="both"/>
              <w:rPr>
                <w:b/>
                <w:bCs/>
                <w:sz w:val="24"/>
                <w:szCs w:val="24"/>
              </w:rPr>
            </w:pPr>
          </w:p>
          <w:p w:rsidR="004569A4" w:rsidRPr="004569A4" w14:paraId="2BD35039" w14:textId="77777777">
            <w:pPr>
              <w:jc w:val="both"/>
              <w:rPr>
                <w:b/>
                <w:bCs/>
                <w:sz w:val="24"/>
                <w:szCs w:val="24"/>
              </w:rPr>
            </w:pPr>
          </w:p>
          <w:p w:rsidR="004569A4" w:rsidRPr="004569A4" w14:paraId="38EFB996" w14:textId="6C9A24F4">
            <w:pPr>
              <w:jc w:val="both"/>
              <w:rPr>
                <w:sz w:val="24"/>
                <w:szCs w:val="24"/>
              </w:rPr>
            </w:pPr>
            <w:r w:rsidRPr="004569A4">
              <w:rPr>
                <w:sz w:val="24"/>
                <w:szCs w:val="24"/>
              </w:rPr>
              <w:t>December 13, 2021</w:t>
            </w:r>
          </w:p>
          <w:p w:rsidR="004569A4" w:rsidRPr="004569A4" w14:paraId="695FF423" w14:textId="77777777">
            <w:pPr>
              <w:jc w:val="both"/>
              <w:rPr>
                <w:b/>
                <w:bCs/>
                <w:sz w:val="24"/>
                <w:szCs w:val="24"/>
              </w:rPr>
            </w:pPr>
          </w:p>
          <w:p w:rsidR="004569A4" w:rsidRPr="004569A4" w14:paraId="6DEC690F" w14:textId="5FAF7673">
            <w:pPr>
              <w:jc w:val="both"/>
              <w:rPr>
                <w:b/>
                <w:bCs/>
                <w:sz w:val="24"/>
                <w:szCs w:val="24"/>
              </w:rPr>
            </w:pPr>
          </w:p>
        </w:tc>
        <w:tc>
          <w:tcPr>
            <w:tcW w:w="4675" w:type="dxa"/>
          </w:tcPr>
          <w:p w:rsidR="00BB43D1" w:rsidRPr="004569A4" w14:paraId="21876900" w14:textId="77777777">
            <w:pPr>
              <w:pStyle w:val="Footer"/>
              <w:tabs>
                <w:tab w:val="left" w:pos="4320"/>
              </w:tabs>
              <w:rPr>
                <w:sz w:val="24"/>
                <w:szCs w:val="24"/>
              </w:rPr>
            </w:pPr>
            <w:r w:rsidRPr="004569A4">
              <w:rPr>
                <w:sz w:val="24"/>
                <w:szCs w:val="24"/>
              </w:rPr>
              <w:t>Bruce Weston (0016973)</w:t>
            </w:r>
          </w:p>
          <w:p w:rsidR="00BB43D1" w:rsidRPr="004569A4" w14:paraId="62D3E4E9" w14:textId="77777777">
            <w:pPr>
              <w:tabs>
                <w:tab w:val="left" w:pos="4320"/>
              </w:tabs>
              <w:rPr>
                <w:sz w:val="24"/>
                <w:szCs w:val="24"/>
              </w:rPr>
            </w:pPr>
            <w:r w:rsidRPr="004569A4">
              <w:rPr>
                <w:sz w:val="24"/>
                <w:szCs w:val="24"/>
              </w:rPr>
              <w:t>Ohio Consumers’ Counsel</w:t>
            </w:r>
          </w:p>
          <w:p w:rsidR="00BB43D1" w:rsidRPr="004569A4" w14:paraId="7601BC85" w14:textId="77777777">
            <w:pPr>
              <w:tabs>
                <w:tab w:val="left" w:pos="4320"/>
              </w:tabs>
              <w:rPr>
                <w:sz w:val="24"/>
                <w:szCs w:val="24"/>
              </w:rPr>
            </w:pPr>
            <w:r w:rsidRPr="004569A4">
              <w:rPr>
                <w:sz w:val="24"/>
                <w:szCs w:val="24"/>
              </w:rPr>
              <w:tab/>
            </w:r>
          </w:p>
          <w:p w:rsidR="00BB43D1" w:rsidRPr="004569A4" w14:paraId="3BAA4083" w14:textId="4FCBC972">
            <w:pPr>
              <w:rPr>
                <w:sz w:val="24"/>
                <w:szCs w:val="24"/>
              </w:rPr>
            </w:pPr>
            <w:r w:rsidRPr="004569A4">
              <w:rPr>
                <w:sz w:val="24"/>
                <w:szCs w:val="24"/>
              </w:rPr>
              <w:t>Maureen R. Willis (0020847)</w:t>
            </w:r>
          </w:p>
          <w:p w:rsidR="00BB43D1" w:rsidRPr="004569A4" w14:paraId="0D79C7B8" w14:textId="77777777">
            <w:pPr>
              <w:rPr>
                <w:sz w:val="24"/>
                <w:szCs w:val="24"/>
              </w:rPr>
            </w:pPr>
            <w:r w:rsidRPr="004569A4">
              <w:rPr>
                <w:sz w:val="24"/>
                <w:szCs w:val="24"/>
              </w:rPr>
              <w:t>Senior Counsel</w:t>
            </w:r>
          </w:p>
          <w:p w:rsidR="00BB43D1" w:rsidRPr="004569A4" w14:paraId="13EFA76D" w14:textId="37A6B92D">
            <w:pPr>
              <w:rPr>
                <w:sz w:val="24"/>
                <w:szCs w:val="24"/>
              </w:rPr>
            </w:pPr>
            <w:r w:rsidRPr="004569A4">
              <w:rPr>
                <w:sz w:val="24"/>
                <w:szCs w:val="24"/>
              </w:rPr>
              <w:t xml:space="preserve">Counsel of Record </w:t>
            </w:r>
          </w:p>
          <w:p w:rsidR="00BB43D1" w:rsidRPr="004569A4" w14:paraId="70FA1E92" w14:textId="57FC0A5B">
            <w:pPr>
              <w:rPr>
                <w:sz w:val="24"/>
                <w:szCs w:val="24"/>
              </w:rPr>
            </w:pPr>
            <w:r w:rsidRPr="004569A4">
              <w:rPr>
                <w:sz w:val="24"/>
                <w:szCs w:val="24"/>
              </w:rPr>
              <w:t>John Finnigan (0018689)</w:t>
            </w:r>
          </w:p>
          <w:p w:rsidR="00BB43D1" w:rsidRPr="004569A4" w14:paraId="4673AF30" w14:textId="77777777">
            <w:pPr>
              <w:rPr>
                <w:sz w:val="24"/>
                <w:szCs w:val="24"/>
              </w:rPr>
            </w:pPr>
            <w:r w:rsidRPr="004569A4">
              <w:rPr>
                <w:sz w:val="24"/>
                <w:szCs w:val="24"/>
              </w:rPr>
              <w:t>Assistant Consumers’ Counsel</w:t>
            </w:r>
          </w:p>
          <w:p w:rsidR="00BB43D1" w:rsidRPr="004569A4" w14:paraId="5F14B0DB" w14:textId="77777777">
            <w:pPr>
              <w:rPr>
                <w:sz w:val="24"/>
                <w:szCs w:val="24"/>
              </w:rPr>
            </w:pPr>
            <w:r w:rsidRPr="004569A4">
              <w:rPr>
                <w:sz w:val="24"/>
                <w:szCs w:val="24"/>
              </w:rPr>
              <w:tab/>
            </w:r>
          </w:p>
          <w:p w:rsidR="00BB43D1" w:rsidRPr="004569A4" w14:paraId="37D1BB65" w14:textId="77777777">
            <w:pPr>
              <w:jc w:val="both"/>
              <w:rPr>
                <w:b/>
                <w:bCs/>
                <w:sz w:val="24"/>
                <w:szCs w:val="24"/>
              </w:rPr>
            </w:pPr>
            <w:r w:rsidRPr="004569A4">
              <w:rPr>
                <w:b/>
                <w:bCs/>
                <w:sz w:val="24"/>
                <w:szCs w:val="24"/>
              </w:rPr>
              <w:t>Office of the Ohio Consumers’ Counsel</w:t>
            </w:r>
          </w:p>
          <w:p w:rsidR="00BB403A" w:rsidRPr="004569A4" w14:paraId="029E56A9" w14:textId="3E0311F0">
            <w:pPr>
              <w:jc w:val="both"/>
              <w:rPr>
                <w:bCs/>
                <w:sz w:val="24"/>
                <w:szCs w:val="24"/>
              </w:rPr>
            </w:pPr>
            <w:r w:rsidRPr="004569A4">
              <w:rPr>
                <w:bCs/>
                <w:sz w:val="24"/>
                <w:szCs w:val="24"/>
              </w:rPr>
              <w:t>65 East State Street, Suite 700</w:t>
            </w:r>
          </w:p>
          <w:p w:rsidR="00BB43D1" w:rsidRPr="004569A4" w14:paraId="040ED282" w14:textId="7B262D21">
            <w:pPr>
              <w:jc w:val="both"/>
              <w:rPr>
                <w:bCs/>
                <w:sz w:val="24"/>
                <w:szCs w:val="24"/>
              </w:rPr>
            </w:pPr>
            <w:r w:rsidRPr="004569A4">
              <w:rPr>
                <w:bCs/>
                <w:sz w:val="24"/>
                <w:szCs w:val="24"/>
              </w:rPr>
              <w:t>Columbus, Ohio 43215</w:t>
            </w:r>
          </w:p>
          <w:p w:rsidR="00BB43D1" w:rsidRPr="004569A4" w14:paraId="47AE7D46" w14:textId="77777777">
            <w:pPr>
              <w:autoSpaceDE w:val="0"/>
              <w:autoSpaceDN w:val="0"/>
              <w:adjustRightInd w:val="0"/>
              <w:jc w:val="both"/>
              <w:rPr>
                <w:sz w:val="24"/>
                <w:szCs w:val="24"/>
              </w:rPr>
            </w:pPr>
            <w:r w:rsidRPr="004569A4">
              <w:rPr>
                <w:sz w:val="24"/>
                <w:szCs w:val="24"/>
              </w:rPr>
              <w:t xml:space="preserve">Telephone: (614) 466-9567 (Willis) </w:t>
            </w:r>
          </w:p>
          <w:p w:rsidR="00BB43D1" w:rsidRPr="004569A4" w14:paraId="0C08BB2D" w14:textId="77777777">
            <w:pPr>
              <w:autoSpaceDE w:val="0"/>
              <w:autoSpaceDN w:val="0"/>
              <w:adjustRightInd w:val="0"/>
              <w:jc w:val="both"/>
              <w:rPr>
                <w:sz w:val="24"/>
                <w:szCs w:val="24"/>
              </w:rPr>
            </w:pPr>
            <w:r w:rsidRPr="004569A4">
              <w:rPr>
                <w:sz w:val="24"/>
                <w:szCs w:val="24"/>
              </w:rPr>
              <w:t>Telephone: (614) 466-9585 (Finnigan)</w:t>
            </w:r>
          </w:p>
          <w:p w:rsidR="00BB43D1" w:rsidRPr="004569A4" w14:paraId="46017188" w14:textId="77777777">
            <w:pPr>
              <w:autoSpaceDE w:val="0"/>
              <w:autoSpaceDN w:val="0"/>
              <w:adjustRightInd w:val="0"/>
              <w:jc w:val="both"/>
              <w:rPr>
                <w:sz w:val="24"/>
                <w:szCs w:val="24"/>
              </w:rPr>
            </w:pPr>
            <w:hyperlink r:id="rId6" w:history="1">
              <w:r w:rsidRPr="004569A4" w:rsidR="002F3AD9">
                <w:rPr>
                  <w:rStyle w:val="Hyperlink"/>
                  <w:sz w:val="24"/>
                  <w:szCs w:val="24"/>
                </w:rPr>
                <w:t>Maureen.willis@occ.ohio.gov</w:t>
              </w:r>
            </w:hyperlink>
          </w:p>
          <w:p w:rsidR="00BB43D1" w:rsidRPr="004569A4" w14:paraId="406D537C" w14:textId="77777777">
            <w:pPr>
              <w:jc w:val="both"/>
              <w:rPr>
                <w:sz w:val="24"/>
                <w:szCs w:val="24"/>
              </w:rPr>
            </w:pPr>
            <w:hyperlink r:id="rId7" w:history="1">
              <w:r w:rsidRPr="004569A4" w:rsidR="002F3AD9">
                <w:rPr>
                  <w:rStyle w:val="Hyperlink"/>
                  <w:sz w:val="24"/>
                  <w:szCs w:val="24"/>
                </w:rPr>
                <w:t>John.finnigan@occ.ohio.gov</w:t>
              </w:r>
            </w:hyperlink>
          </w:p>
          <w:p w:rsidR="00BB43D1" w:rsidRPr="004569A4" w14:paraId="3D289729" w14:textId="77777777">
            <w:pPr>
              <w:jc w:val="both"/>
              <w:rPr>
                <w:sz w:val="24"/>
                <w:szCs w:val="24"/>
              </w:rPr>
            </w:pPr>
            <w:r w:rsidRPr="004569A4">
              <w:rPr>
                <w:sz w:val="24"/>
                <w:szCs w:val="24"/>
              </w:rPr>
              <w:t>(willing to accept service by e-mail)</w:t>
            </w:r>
          </w:p>
          <w:p w:rsidR="00BB43D1" w:rsidRPr="004569A4" w14:paraId="593BD4F0" w14:textId="77777777">
            <w:pPr>
              <w:rPr>
                <w:b/>
                <w:bCs/>
                <w:sz w:val="24"/>
                <w:szCs w:val="24"/>
              </w:rPr>
            </w:pPr>
          </w:p>
        </w:tc>
      </w:tr>
    </w:tbl>
    <w:p w:rsidR="00BB43D1" w:rsidRPr="004569A4" w14:paraId="233BD47C"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p>
    <w:p w:rsidR="00BB43D1" w:rsidRPr="004569A4" w14:paraId="0DE1DE0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sectPr>
          <w:headerReference w:type="default" r:id="rId8"/>
          <w:footerReference w:type="even" r:id="rId9"/>
          <w:footerReference w:type="default" r:id="rId10"/>
          <w:pgSz w:w="12240" w:h="15840"/>
          <w:pgMar w:top="1440" w:right="1440" w:bottom="1440" w:left="1440" w:header="1547" w:footer="0" w:gutter="0"/>
          <w:cols w:space="720"/>
          <w:docGrid w:linePitch="299"/>
        </w:sectPr>
      </w:pPr>
    </w:p>
    <w:p w:rsidR="00BB43D1" w:rsidRPr="004569A4" w14:paraId="2D1001B9"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u w:val="single"/>
        </w:rPr>
      </w:pPr>
      <w:r w:rsidRPr="004569A4">
        <w:rPr>
          <w:rFonts w:ascii="Times New Roman" w:hAnsi="Times New Roman" w:cs="Times New Roman"/>
          <w:b/>
          <w:bCs/>
          <w:sz w:val="24"/>
          <w:szCs w:val="24"/>
          <w:u w:val="single"/>
        </w:rPr>
        <w:t>TABLE OF CONTENTS</w:t>
      </w:r>
    </w:p>
    <w:p w:rsidR="00BB43D1" w:rsidRPr="004569A4" w14:paraId="5A1ED2BF"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4569A4">
        <w:rPr>
          <w:rFonts w:ascii="Times New Roman" w:hAnsi="Times New Roman" w:cs="Times New Roman"/>
          <w:b/>
          <w:bCs/>
          <w:sz w:val="24"/>
          <w:szCs w:val="24"/>
        </w:rPr>
        <w:tab/>
      </w:r>
      <w:r w:rsidRPr="004569A4">
        <w:rPr>
          <w:rFonts w:ascii="Times New Roman" w:hAnsi="Times New Roman" w:cs="Times New Roman"/>
          <w:b/>
          <w:bCs/>
          <w:sz w:val="24"/>
          <w:szCs w:val="24"/>
        </w:rPr>
        <w:tab/>
      </w:r>
      <w:r w:rsidRPr="004569A4">
        <w:rPr>
          <w:rFonts w:ascii="Times New Roman" w:hAnsi="Times New Roman" w:cs="Times New Roman"/>
          <w:b/>
          <w:bCs/>
          <w:sz w:val="24"/>
          <w:szCs w:val="24"/>
        </w:rPr>
        <w:tab/>
      </w:r>
      <w:r w:rsidRPr="004569A4">
        <w:rPr>
          <w:rFonts w:ascii="Times New Roman" w:hAnsi="Times New Roman" w:cs="Times New Roman"/>
          <w:b/>
          <w:bCs/>
          <w:sz w:val="24"/>
          <w:szCs w:val="24"/>
        </w:rPr>
        <w:tab/>
      </w:r>
      <w:r w:rsidRPr="004569A4">
        <w:rPr>
          <w:rFonts w:ascii="Times New Roman" w:hAnsi="Times New Roman" w:cs="Times New Roman"/>
          <w:b/>
          <w:bCs/>
          <w:sz w:val="24"/>
          <w:szCs w:val="24"/>
        </w:rPr>
        <w:tab/>
      </w:r>
      <w:r w:rsidRPr="004569A4">
        <w:rPr>
          <w:rFonts w:ascii="Times New Roman" w:hAnsi="Times New Roman" w:cs="Times New Roman"/>
          <w:b/>
          <w:bCs/>
          <w:sz w:val="24"/>
          <w:szCs w:val="24"/>
        </w:rPr>
        <w:tab/>
      </w:r>
      <w:r w:rsidRPr="004569A4">
        <w:rPr>
          <w:rFonts w:ascii="Times New Roman" w:hAnsi="Times New Roman" w:cs="Times New Roman"/>
          <w:b/>
          <w:bCs/>
          <w:sz w:val="24"/>
          <w:szCs w:val="24"/>
        </w:rPr>
        <w:tab/>
      </w:r>
      <w:r w:rsidRPr="004569A4">
        <w:rPr>
          <w:rFonts w:ascii="Times New Roman" w:hAnsi="Times New Roman" w:cs="Times New Roman"/>
          <w:b/>
          <w:bCs/>
          <w:sz w:val="24"/>
          <w:szCs w:val="24"/>
        </w:rPr>
        <w:tab/>
      </w:r>
      <w:r w:rsidRPr="004569A4">
        <w:rPr>
          <w:rFonts w:ascii="Times New Roman" w:hAnsi="Times New Roman" w:cs="Times New Roman"/>
          <w:b/>
          <w:bCs/>
          <w:sz w:val="24"/>
          <w:szCs w:val="24"/>
        </w:rPr>
        <w:tab/>
      </w:r>
      <w:r w:rsidRPr="004569A4">
        <w:rPr>
          <w:rFonts w:ascii="Times New Roman" w:hAnsi="Times New Roman" w:cs="Times New Roman"/>
          <w:b/>
          <w:bCs/>
          <w:sz w:val="24"/>
          <w:szCs w:val="24"/>
        </w:rPr>
        <w:tab/>
      </w:r>
      <w:r w:rsidRPr="004569A4">
        <w:rPr>
          <w:rFonts w:ascii="Times New Roman" w:hAnsi="Times New Roman" w:cs="Times New Roman"/>
          <w:b/>
          <w:bCs/>
          <w:sz w:val="24"/>
          <w:szCs w:val="24"/>
        </w:rPr>
        <w:tab/>
      </w:r>
      <w:r w:rsidRPr="004569A4">
        <w:rPr>
          <w:rFonts w:ascii="Times New Roman" w:hAnsi="Times New Roman" w:cs="Times New Roman"/>
          <w:b/>
          <w:bCs/>
          <w:sz w:val="24"/>
          <w:szCs w:val="24"/>
        </w:rPr>
        <w:tab/>
        <w:t>PAGE</w:t>
      </w:r>
    </w:p>
    <w:p w:rsidR="00BB43D1" w:rsidRPr="004569A4" w14:paraId="6B87E098"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p>
    <w:p w:rsidR="0040710D" w14:paraId="2A3C93E8" w14:textId="7079DF90">
      <w:pPr>
        <w:pStyle w:val="TOC1"/>
        <w:rPr>
          <w:rFonts w:asciiTheme="minorHAnsi" w:eastAsiaTheme="minorEastAsia" w:hAnsiTheme="minorHAnsi"/>
          <w:caps w:val="0"/>
          <w:noProof/>
          <w:sz w:val="22"/>
        </w:rPr>
      </w:pPr>
      <w:r w:rsidRPr="004569A4">
        <w:rPr>
          <w:rFonts w:cs="Times New Roman"/>
          <w:b/>
          <w:bCs/>
          <w:caps w:val="0"/>
          <w:szCs w:val="24"/>
        </w:rPr>
        <w:fldChar w:fldCharType="begin"/>
      </w:r>
      <w:r w:rsidRPr="004569A4">
        <w:rPr>
          <w:rFonts w:cs="Times New Roman"/>
          <w:b/>
          <w:bCs/>
          <w:caps w:val="0"/>
          <w:szCs w:val="24"/>
        </w:rPr>
        <w:instrText xml:space="preserve"> TOC \o "1-3" \h \z \u </w:instrText>
      </w:r>
      <w:r w:rsidRPr="004569A4">
        <w:rPr>
          <w:rFonts w:cs="Times New Roman"/>
          <w:b/>
          <w:bCs/>
          <w:caps w:val="0"/>
          <w:szCs w:val="24"/>
        </w:rPr>
        <w:fldChar w:fldCharType="separate"/>
      </w:r>
      <w:hyperlink w:anchor="_Toc90301096" w:history="1">
        <w:r w:rsidRPr="00B76499">
          <w:rPr>
            <w:rStyle w:val="Hyperlink"/>
            <w:noProof/>
          </w:rPr>
          <w:t>I.</w:t>
        </w:r>
        <w:r>
          <w:rPr>
            <w:rFonts w:asciiTheme="minorHAnsi" w:eastAsiaTheme="minorEastAsia" w:hAnsiTheme="minorHAnsi"/>
            <w:caps w:val="0"/>
            <w:noProof/>
            <w:sz w:val="22"/>
          </w:rPr>
          <w:tab/>
        </w:r>
        <w:r w:rsidRPr="00B76499">
          <w:rPr>
            <w:rStyle w:val="Hyperlink"/>
            <w:bCs/>
            <w:noProof/>
          </w:rPr>
          <w:t>INTRODUCTION</w:t>
        </w:r>
        <w:r>
          <w:rPr>
            <w:noProof/>
            <w:webHidden/>
          </w:rPr>
          <w:tab/>
        </w:r>
        <w:r>
          <w:rPr>
            <w:noProof/>
            <w:webHidden/>
          </w:rPr>
          <w:fldChar w:fldCharType="begin"/>
        </w:r>
        <w:r>
          <w:rPr>
            <w:noProof/>
            <w:webHidden/>
          </w:rPr>
          <w:instrText xml:space="preserve"> PAGEREF _Toc90301096 \h </w:instrText>
        </w:r>
        <w:r>
          <w:rPr>
            <w:noProof/>
            <w:webHidden/>
          </w:rPr>
          <w:fldChar w:fldCharType="separate"/>
        </w:r>
        <w:r>
          <w:rPr>
            <w:noProof/>
            <w:webHidden/>
          </w:rPr>
          <w:t>1</w:t>
        </w:r>
        <w:r>
          <w:rPr>
            <w:noProof/>
            <w:webHidden/>
          </w:rPr>
          <w:fldChar w:fldCharType="end"/>
        </w:r>
      </w:hyperlink>
    </w:p>
    <w:p w:rsidR="0040710D" w14:paraId="7102F070" w14:textId="429A080A">
      <w:pPr>
        <w:pStyle w:val="TOC1"/>
        <w:rPr>
          <w:rFonts w:asciiTheme="minorHAnsi" w:eastAsiaTheme="minorEastAsia" w:hAnsiTheme="minorHAnsi"/>
          <w:caps w:val="0"/>
          <w:noProof/>
          <w:sz w:val="22"/>
        </w:rPr>
      </w:pPr>
      <w:hyperlink w:anchor="_Toc90301097" w:history="1">
        <w:r w:rsidRPr="00B76499">
          <w:rPr>
            <w:rStyle w:val="Hyperlink"/>
            <w:noProof/>
          </w:rPr>
          <w:t>II.</w:t>
        </w:r>
        <w:r>
          <w:rPr>
            <w:rFonts w:asciiTheme="minorHAnsi" w:eastAsiaTheme="minorEastAsia" w:hAnsiTheme="minorHAnsi"/>
            <w:caps w:val="0"/>
            <w:noProof/>
            <w:sz w:val="22"/>
          </w:rPr>
          <w:tab/>
        </w:r>
        <w:r w:rsidRPr="00B76499">
          <w:rPr>
            <w:rStyle w:val="Hyperlink"/>
            <w:noProof/>
          </w:rPr>
          <w:t>REPLY COMMENTS</w:t>
        </w:r>
        <w:r>
          <w:rPr>
            <w:noProof/>
            <w:webHidden/>
          </w:rPr>
          <w:tab/>
        </w:r>
        <w:r>
          <w:rPr>
            <w:noProof/>
            <w:webHidden/>
          </w:rPr>
          <w:fldChar w:fldCharType="begin"/>
        </w:r>
        <w:r>
          <w:rPr>
            <w:noProof/>
            <w:webHidden/>
          </w:rPr>
          <w:instrText xml:space="preserve"> PAGEREF _Toc90301097 \h </w:instrText>
        </w:r>
        <w:r>
          <w:rPr>
            <w:noProof/>
            <w:webHidden/>
          </w:rPr>
          <w:fldChar w:fldCharType="separate"/>
        </w:r>
        <w:r>
          <w:rPr>
            <w:noProof/>
            <w:webHidden/>
          </w:rPr>
          <w:t>2</w:t>
        </w:r>
        <w:r>
          <w:rPr>
            <w:noProof/>
            <w:webHidden/>
          </w:rPr>
          <w:fldChar w:fldCharType="end"/>
        </w:r>
      </w:hyperlink>
    </w:p>
    <w:p w:rsidR="0040710D" w14:paraId="18CEEBA1" w14:textId="560093B9">
      <w:pPr>
        <w:pStyle w:val="TOC2"/>
        <w:tabs>
          <w:tab w:val="left" w:pos="1440"/>
        </w:tabs>
        <w:rPr>
          <w:rFonts w:asciiTheme="minorHAnsi" w:eastAsiaTheme="minorEastAsia" w:hAnsiTheme="minorHAnsi"/>
          <w:noProof/>
          <w:sz w:val="22"/>
        </w:rPr>
      </w:pPr>
      <w:hyperlink w:anchor="_Toc90301098" w:history="1">
        <w:r w:rsidRPr="00B76499">
          <w:rPr>
            <w:rStyle w:val="Hyperlink"/>
            <w:noProof/>
          </w:rPr>
          <w:t>A.</w:t>
        </w:r>
        <w:r>
          <w:rPr>
            <w:rFonts w:asciiTheme="minorHAnsi" w:eastAsiaTheme="minorEastAsia" w:hAnsiTheme="minorHAnsi"/>
            <w:noProof/>
            <w:sz w:val="22"/>
          </w:rPr>
          <w:tab/>
        </w:r>
        <w:r w:rsidRPr="00B76499">
          <w:rPr>
            <w:rStyle w:val="Hyperlink"/>
            <w:noProof/>
          </w:rPr>
          <w:t xml:space="preserve">The PUCO should find that FirstEnergy’s corporate separation plan violated </w:t>
        </w:r>
        <w:r>
          <w:rPr>
            <w:rStyle w:val="Hyperlink"/>
            <w:noProof/>
          </w:rPr>
          <w:br/>
        </w:r>
        <w:r w:rsidRPr="00B76499">
          <w:rPr>
            <w:rStyle w:val="Hyperlink"/>
            <w:noProof/>
          </w:rPr>
          <w:t xml:space="preserve">R.C. 4928.17(A)(3) and O.A.C. 4901:1-37-07 because it was unauditable. The PUCO should investigate why the corporate separation compliance records </w:t>
        </w:r>
        <w:r>
          <w:rPr>
            <w:rStyle w:val="Hyperlink"/>
            <w:noProof/>
          </w:rPr>
          <w:br/>
        </w:r>
        <w:r w:rsidRPr="00B76499">
          <w:rPr>
            <w:rStyle w:val="Hyperlink"/>
            <w:noProof/>
          </w:rPr>
          <w:t>from 2016-2020 are missing, as it seems that the PUCO auditor failed to adequately explain it.</w:t>
        </w:r>
        <w:r>
          <w:rPr>
            <w:noProof/>
            <w:webHidden/>
          </w:rPr>
          <w:tab/>
        </w:r>
        <w:r>
          <w:rPr>
            <w:noProof/>
            <w:webHidden/>
          </w:rPr>
          <w:fldChar w:fldCharType="begin"/>
        </w:r>
        <w:r>
          <w:rPr>
            <w:noProof/>
            <w:webHidden/>
          </w:rPr>
          <w:instrText xml:space="preserve"> PAGEREF _Toc90301098 \h </w:instrText>
        </w:r>
        <w:r>
          <w:rPr>
            <w:noProof/>
            <w:webHidden/>
          </w:rPr>
          <w:fldChar w:fldCharType="separate"/>
        </w:r>
        <w:r>
          <w:rPr>
            <w:noProof/>
            <w:webHidden/>
          </w:rPr>
          <w:t>2</w:t>
        </w:r>
        <w:r>
          <w:rPr>
            <w:noProof/>
            <w:webHidden/>
          </w:rPr>
          <w:fldChar w:fldCharType="end"/>
        </w:r>
      </w:hyperlink>
    </w:p>
    <w:p w:rsidR="0040710D" w14:paraId="55324B8A" w14:textId="6F300F2C">
      <w:pPr>
        <w:pStyle w:val="TOC2"/>
        <w:tabs>
          <w:tab w:val="left" w:pos="1440"/>
        </w:tabs>
        <w:rPr>
          <w:rFonts w:asciiTheme="minorHAnsi" w:eastAsiaTheme="minorEastAsia" w:hAnsiTheme="minorHAnsi"/>
          <w:noProof/>
          <w:sz w:val="22"/>
        </w:rPr>
      </w:pPr>
      <w:hyperlink w:anchor="_Toc90301099" w:history="1">
        <w:r w:rsidRPr="00B76499">
          <w:rPr>
            <w:rStyle w:val="Hyperlink"/>
            <w:noProof/>
          </w:rPr>
          <w:t>B.</w:t>
        </w:r>
        <w:r>
          <w:rPr>
            <w:rFonts w:asciiTheme="minorHAnsi" w:eastAsiaTheme="minorEastAsia" w:hAnsiTheme="minorHAnsi"/>
            <w:noProof/>
            <w:sz w:val="22"/>
          </w:rPr>
          <w:tab/>
        </w:r>
        <w:r w:rsidRPr="00B76499">
          <w:rPr>
            <w:rStyle w:val="Hyperlink"/>
            <w:noProof/>
          </w:rPr>
          <w:t xml:space="preserve">As recommended in a motion by OCC and NOPEC, the PUCO should order </w:t>
        </w:r>
        <w:r>
          <w:rPr>
            <w:rStyle w:val="Hyperlink"/>
            <w:noProof/>
          </w:rPr>
          <w:br/>
        </w:r>
        <w:r w:rsidRPr="00B76499">
          <w:rPr>
            <w:rStyle w:val="Hyperlink"/>
            <w:noProof/>
          </w:rPr>
          <w:t>a supplemental audit to address the extent to which FirstEnergy’s H.B. 6 misconduct violated Ohio corporate separation law.</w:t>
        </w:r>
        <w:r>
          <w:rPr>
            <w:noProof/>
            <w:webHidden/>
          </w:rPr>
          <w:tab/>
        </w:r>
        <w:r>
          <w:rPr>
            <w:noProof/>
            <w:webHidden/>
          </w:rPr>
          <w:fldChar w:fldCharType="begin"/>
        </w:r>
        <w:r>
          <w:rPr>
            <w:noProof/>
            <w:webHidden/>
          </w:rPr>
          <w:instrText xml:space="preserve"> PAGEREF _Toc90301099 \h </w:instrText>
        </w:r>
        <w:r>
          <w:rPr>
            <w:noProof/>
            <w:webHidden/>
          </w:rPr>
          <w:fldChar w:fldCharType="separate"/>
        </w:r>
        <w:r>
          <w:rPr>
            <w:noProof/>
            <w:webHidden/>
          </w:rPr>
          <w:t>4</w:t>
        </w:r>
        <w:r>
          <w:rPr>
            <w:noProof/>
            <w:webHidden/>
          </w:rPr>
          <w:fldChar w:fldCharType="end"/>
        </w:r>
      </w:hyperlink>
    </w:p>
    <w:p w:rsidR="0040710D" w14:paraId="0588D4FD" w14:textId="15FB5948">
      <w:pPr>
        <w:pStyle w:val="TOC2"/>
        <w:tabs>
          <w:tab w:val="left" w:pos="1440"/>
        </w:tabs>
        <w:rPr>
          <w:rFonts w:asciiTheme="minorHAnsi" w:eastAsiaTheme="minorEastAsia" w:hAnsiTheme="minorHAnsi"/>
          <w:noProof/>
          <w:sz w:val="22"/>
        </w:rPr>
      </w:pPr>
      <w:hyperlink w:anchor="_Toc90301100" w:history="1">
        <w:r w:rsidRPr="00B76499">
          <w:rPr>
            <w:rStyle w:val="Hyperlink"/>
            <w:noProof/>
          </w:rPr>
          <w:t>C.</w:t>
        </w:r>
        <w:r>
          <w:rPr>
            <w:rFonts w:asciiTheme="minorHAnsi" w:eastAsiaTheme="minorEastAsia" w:hAnsiTheme="minorHAnsi"/>
            <w:noProof/>
            <w:sz w:val="22"/>
          </w:rPr>
          <w:tab/>
        </w:r>
        <w:r w:rsidRPr="00B76499">
          <w:rPr>
            <w:rStyle w:val="Hyperlink"/>
            <w:noProof/>
          </w:rPr>
          <w:t>The PUCO should find that the FirstEnergy Utilities committed serious breaches of corporate separation law in spite of FirstEnergy’s attempt to gloss over numerous corporate separation violations identified in the Audit Report.</w:t>
        </w:r>
        <w:r>
          <w:rPr>
            <w:noProof/>
            <w:webHidden/>
          </w:rPr>
          <w:tab/>
        </w:r>
        <w:r>
          <w:rPr>
            <w:noProof/>
            <w:webHidden/>
          </w:rPr>
          <w:fldChar w:fldCharType="begin"/>
        </w:r>
        <w:r>
          <w:rPr>
            <w:noProof/>
            <w:webHidden/>
          </w:rPr>
          <w:instrText xml:space="preserve"> PAGEREF _Toc90301100 \h </w:instrText>
        </w:r>
        <w:r>
          <w:rPr>
            <w:noProof/>
            <w:webHidden/>
          </w:rPr>
          <w:fldChar w:fldCharType="separate"/>
        </w:r>
        <w:r>
          <w:rPr>
            <w:noProof/>
            <w:webHidden/>
          </w:rPr>
          <w:t>5</w:t>
        </w:r>
        <w:r>
          <w:rPr>
            <w:noProof/>
            <w:webHidden/>
          </w:rPr>
          <w:fldChar w:fldCharType="end"/>
        </w:r>
      </w:hyperlink>
    </w:p>
    <w:p w:rsidR="0040710D" w14:paraId="6D5F97F1" w14:textId="529F6176">
      <w:pPr>
        <w:pStyle w:val="TOC2"/>
        <w:tabs>
          <w:tab w:val="left" w:pos="1440"/>
        </w:tabs>
        <w:rPr>
          <w:rFonts w:asciiTheme="minorHAnsi" w:eastAsiaTheme="minorEastAsia" w:hAnsiTheme="minorHAnsi"/>
          <w:noProof/>
          <w:sz w:val="22"/>
        </w:rPr>
      </w:pPr>
      <w:hyperlink w:anchor="_Toc90301101" w:history="1">
        <w:r w:rsidRPr="00B76499">
          <w:rPr>
            <w:rStyle w:val="Hyperlink"/>
            <w:noProof/>
          </w:rPr>
          <w:t>D.</w:t>
        </w:r>
        <w:r>
          <w:rPr>
            <w:rFonts w:asciiTheme="minorHAnsi" w:eastAsiaTheme="minorEastAsia" w:hAnsiTheme="minorHAnsi"/>
            <w:noProof/>
            <w:sz w:val="22"/>
          </w:rPr>
          <w:tab/>
        </w:r>
        <w:r w:rsidRPr="00B76499">
          <w:rPr>
            <w:rStyle w:val="Hyperlink"/>
            <w:noProof/>
          </w:rPr>
          <w:t xml:space="preserve">The PUCO should find that the FirstEnergy’s cost allocation practices violated corporate separation requirements and should require the FirstEnergy Utilities </w:t>
        </w:r>
        <w:r>
          <w:rPr>
            <w:rStyle w:val="Hyperlink"/>
            <w:noProof/>
          </w:rPr>
          <w:br/>
        </w:r>
        <w:r w:rsidRPr="00B76499">
          <w:rPr>
            <w:rStyle w:val="Hyperlink"/>
            <w:noProof/>
          </w:rPr>
          <w:t xml:space="preserve">to have dedicated staff who can monitor, investigate and challenge service company allocations, along with a well-documented dispute resolution </w:t>
        </w:r>
        <w:r>
          <w:rPr>
            <w:rStyle w:val="Hyperlink"/>
            <w:noProof/>
          </w:rPr>
          <w:br/>
        </w:r>
        <w:r w:rsidRPr="00B76499">
          <w:rPr>
            <w:rStyle w:val="Hyperlink"/>
            <w:noProof/>
          </w:rPr>
          <w:t>process.</w:t>
        </w:r>
        <w:r>
          <w:rPr>
            <w:noProof/>
            <w:webHidden/>
          </w:rPr>
          <w:tab/>
        </w:r>
        <w:r>
          <w:rPr>
            <w:noProof/>
            <w:webHidden/>
          </w:rPr>
          <w:fldChar w:fldCharType="begin"/>
        </w:r>
        <w:r>
          <w:rPr>
            <w:noProof/>
            <w:webHidden/>
          </w:rPr>
          <w:instrText xml:space="preserve"> PAGEREF _Toc90301101 \h </w:instrText>
        </w:r>
        <w:r>
          <w:rPr>
            <w:noProof/>
            <w:webHidden/>
          </w:rPr>
          <w:fldChar w:fldCharType="separate"/>
        </w:r>
        <w:r>
          <w:rPr>
            <w:noProof/>
            <w:webHidden/>
          </w:rPr>
          <w:t>7</w:t>
        </w:r>
        <w:r>
          <w:rPr>
            <w:noProof/>
            <w:webHidden/>
          </w:rPr>
          <w:fldChar w:fldCharType="end"/>
        </w:r>
      </w:hyperlink>
    </w:p>
    <w:p w:rsidR="0040710D" w14:paraId="0754F4EF" w14:textId="3DD00500">
      <w:pPr>
        <w:pStyle w:val="TOC2"/>
        <w:tabs>
          <w:tab w:val="left" w:pos="1440"/>
        </w:tabs>
        <w:rPr>
          <w:rFonts w:asciiTheme="minorHAnsi" w:eastAsiaTheme="minorEastAsia" w:hAnsiTheme="minorHAnsi"/>
          <w:noProof/>
          <w:sz w:val="22"/>
        </w:rPr>
      </w:pPr>
      <w:hyperlink w:anchor="_Toc90301102" w:history="1">
        <w:r w:rsidRPr="00B76499">
          <w:rPr>
            <w:rStyle w:val="Hyperlink"/>
            <w:noProof/>
          </w:rPr>
          <w:t>E.</w:t>
        </w:r>
        <w:r>
          <w:rPr>
            <w:rFonts w:asciiTheme="minorHAnsi" w:eastAsiaTheme="minorEastAsia" w:hAnsiTheme="minorHAnsi"/>
            <w:noProof/>
            <w:sz w:val="22"/>
          </w:rPr>
          <w:tab/>
        </w:r>
        <w:r w:rsidRPr="00B76499">
          <w:rPr>
            <w:rStyle w:val="Hyperlink"/>
            <w:noProof/>
          </w:rPr>
          <w:t>FirstEnergy’s H.B. 6-related activities also violated Ohio corporate separation law.</w:t>
        </w:r>
        <w:r>
          <w:rPr>
            <w:noProof/>
            <w:webHidden/>
          </w:rPr>
          <w:tab/>
        </w:r>
        <w:r>
          <w:rPr>
            <w:noProof/>
            <w:webHidden/>
          </w:rPr>
          <w:fldChar w:fldCharType="begin"/>
        </w:r>
        <w:r>
          <w:rPr>
            <w:noProof/>
            <w:webHidden/>
          </w:rPr>
          <w:instrText xml:space="preserve"> PAGEREF _Toc90301102 \h </w:instrText>
        </w:r>
        <w:r>
          <w:rPr>
            <w:noProof/>
            <w:webHidden/>
          </w:rPr>
          <w:fldChar w:fldCharType="separate"/>
        </w:r>
        <w:r>
          <w:rPr>
            <w:noProof/>
            <w:webHidden/>
          </w:rPr>
          <w:t>10</w:t>
        </w:r>
        <w:r>
          <w:rPr>
            <w:noProof/>
            <w:webHidden/>
          </w:rPr>
          <w:fldChar w:fldCharType="end"/>
        </w:r>
      </w:hyperlink>
    </w:p>
    <w:p w:rsidR="0040710D" w14:paraId="61453C61" w14:textId="476AD704">
      <w:pPr>
        <w:pStyle w:val="TOC2"/>
        <w:tabs>
          <w:tab w:val="left" w:pos="1440"/>
        </w:tabs>
        <w:rPr>
          <w:rFonts w:asciiTheme="minorHAnsi" w:eastAsiaTheme="minorEastAsia" w:hAnsiTheme="minorHAnsi"/>
          <w:noProof/>
          <w:sz w:val="22"/>
        </w:rPr>
      </w:pPr>
      <w:hyperlink w:anchor="_Toc90301103" w:history="1">
        <w:r w:rsidRPr="00B76499">
          <w:rPr>
            <w:rStyle w:val="Hyperlink"/>
            <w:noProof/>
          </w:rPr>
          <w:t>F.</w:t>
        </w:r>
        <w:r>
          <w:rPr>
            <w:rFonts w:asciiTheme="minorHAnsi" w:eastAsiaTheme="minorEastAsia" w:hAnsiTheme="minorHAnsi"/>
            <w:noProof/>
            <w:sz w:val="22"/>
          </w:rPr>
          <w:tab/>
        </w:r>
        <w:r w:rsidRPr="00B76499">
          <w:rPr>
            <w:rStyle w:val="Hyperlink"/>
            <w:noProof/>
          </w:rPr>
          <w:t xml:space="preserve">The PUCO should find that FirstEnergy violated corporate separation requirements regarding the PUCO’s approval of FirstEnergy Advisors and in FirstEnergy Advisors’ use of common management and the FirstEnergy name </w:t>
        </w:r>
        <w:r>
          <w:rPr>
            <w:rStyle w:val="Hyperlink"/>
            <w:noProof/>
          </w:rPr>
          <w:br/>
        </w:r>
        <w:r w:rsidRPr="00B76499">
          <w:rPr>
            <w:rStyle w:val="Hyperlink"/>
            <w:noProof/>
          </w:rPr>
          <w:t>and logo.</w:t>
        </w:r>
        <w:r>
          <w:rPr>
            <w:noProof/>
            <w:webHidden/>
          </w:rPr>
          <w:tab/>
        </w:r>
        <w:r>
          <w:rPr>
            <w:noProof/>
            <w:webHidden/>
          </w:rPr>
          <w:fldChar w:fldCharType="begin"/>
        </w:r>
        <w:r>
          <w:rPr>
            <w:noProof/>
            <w:webHidden/>
          </w:rPr>
          <w:instrText xml:space="preserve"> PAGEREF _Toc90301103 \h </w:instrText>
        </w:r>
        <w:r>
          <w:rPr>
            <w:noProof/>
            <w:webHidden/>
          </w:rPr>
          <w:fldChar w:fldCharType="separate"/>
        </w:r>
        <w:r>
          <w:rPr>
            <w:noProof/>
            <w:webHidden/>
          </w:rPr>
          <w:t>11</w:t>
        </w:r>
        <w:r>
          <w:rPr>
            <w:noProof/>
            <w:webHidden/>
          </w:rPr>
          <w:fldChar w:fldCharType="end"/>
        </w:r>
      </w:hyperlink>
    </w:p>
    <w:p w:rsidR="0040710D" w14:paraId="382A40FC" w14:textId="68C7848D">
      <w:pPr>
        <w:pStyle w:val="TOC2"/>
        <w:tabs>
          <w:tab w:val="left" w:pos="1440"/>
        </w:tabs>
        <w:rPr>
          <w:rFonts w:asciiTheme="minorHAnsi" w:eastAsiaTheme="minorEastAsia" w:hAnsiTheme="minorHAnsi"/>
          <w:noProof/>
          <w:sz w:val="22"/>
        </w:rPr>
      </w:pPr>
      <w:hyperlink w:anchor="_Toc90301104" w:history="1">
        <w:r w:rsidRPr="00B76499">
          <w:rPr>
            <w:rStyle w:val="Hyperlink"/>
            <w:noProof/>
          </w:rPr>
          <w:t>G.</w:t>
        </w:r>
        <w:r>
          <w:rPr>
            <w:rFonts w:asciiTheme="minorHAnsi" w:eastAsiaTheme="minorEastAsia" w:hAnsiTheme="minorHAnsi"/>
            <w:noProof/>
            <w:sz w:val="22"/>
          </w:rPr>
          <w:tab/>
        </w:r>
        <w:r w:rsidRPr="00B76499">
          <w:rPr>
            <w:rStyle w:val="Hyperlink"/>
            <w:noProof/>
          </w:rPr>
          <w:t xml:space="preserve">The PUCO should impose significant forfeitures for the seriousness of FirstEnergy’s violations of corporate separation and it should fashion </w:t>
        </w:r>
        <w:r>
          <w:rPr>
            <w:rStyle w:val="Hyperlink"/>
            <w:noProof/>
          </w:rPr>
          <w:br/>
        </w:r>
        <w:r w:rsidRPr="00B76499">
          <w:rPr>
            <w:rStyle w:val="Hyperlink"/>
            <w:noProof/>
          </w:rPr>
          <w:t>remedies to prevent future violations of corporate separation laws and rules.</w:t>
        </w:r>
        <w:r>
          <w:rPr>
            <w:noProof/>
            <w:webHidden/>
          </w:rPr>
          <w:tab/>
        </w:r>
        <w:r>
          <w:rPr>
            <w:noProof/>
            <w:webHidden/>
          </w:rPr>
          <w:fldChar w:fldCharType="begin"/>
        </w:r>
        <w:r>
          <w:rPr>
            <w:noProof/>
            <w:webHidden/>
          </w:rPr>
          <w:instrText xml:space="preserve"> PAGEREF _Toc90301104 \h </w:instrText>
        </w:r>
        <w:r>
          <w:rPr>
            <w:noProof/>
            <w:webHidden/>
          </w:rPr>
          <w:fldChar w:fldCharType="separate"/>
        </w:r>
        <w:r>
          <w:rPr>
            <w:noProof/>
            <w:webHidden/>
          </w:rPr>
          <w:t>13</w:t>
        </w:r>
        <w:r>
          <w:rPr>
            <w:noProof/>
            <w:webHidden/>
          </w:rPr>
          <w:fldChar w:fldCharType="end"/>
        </w:r>
      </w:hyperlink>
    </w:p>
    <w:p w:rsidR="0040710D" w14:paraId="480BE507" w14:textId="4934F5BB">
      <w:pPr>
        <w:pStyle w:val="TOC2"/>
        <w:tabs>
          <w:tab w:val="left" w:pos="1440"/>
        </w:tabs>
        <w:rPr>
          <w:rFonts w:asciiTheme="minorHAnsi" w:eastAsiaTheme="minorEastAsia" w:hAnsiTheme="minorHAnsi"/>
          <w:noProof/>
          <w:sz w:val="22"/>
        </w:rPr>
      </w:pPr>
      <w:hyperlink w:anchor="_Toc90301105" w:history="1">
        <w:r w:rsidRPr="00B76499">
          <w:rPr>
            <w:rStyle w:val="Hyperlink"/>
            <w:noProof/>
          </w:rPr>
          <w:t>H.</w:t>
        </w:r>
        <w:r>
          <w:rPr>
            <w:rFonts w:asciiTheme="minorHAnsi" w:eastAsiaTheme="minorEastAsia" w:hAnsiTheme="minorHAnsi"/>
            <w:noProof/>
            <w:sz w:val="22"/>
          </w:rPr>
          <w:tab/>
        </w:r>
        <w:r w:rsidRPr="00B76499">
          <w:rPr>
            <w:rStyle w:val="Hyperlink"/>
            <w:noProof/>
          </w:rPr>
          <w:t xml:space="preserve">The PUCO should grant the additional consumer protection remedies </w:t>
        </w:r>
        <w:r>
          <w:rPr>
            <w:rStyle w:val="Hyperlink"/>
            <w:noProof/>
          </w:rPr>
          <w:br/>
        </w:r>
        <w:r w:rsidRPr="00B76499">
          <w:rPr>
            <w:rStyle w:val="Hyperlink"/>
            <w:noProof/>
          </w:rPr>
          <w:t>proposed by OCC and the other intervenors.</w:t>
        </w:r>
        <w:r>
          <w:rPr>
            <w:noProof/>
            <w:webHidden/>
          </w:rPr>
          <w:tab/>
        </w:r>
        <w:r>
          <w:rPr>
            <w:noProof/>
            <w:webHidden/>
          </w:rPr>
          <w:fldChar w:fldCharType="begin"/>
        </w:r>
        <w:r>
          <w:rPr>
            <w:noProof/>
            <w:webHidden/>
          </w:rPr>
          <w:instrText xml:space="preserve"> PAGEREF _Toc90301105 \h </w:instrText>
        </w:r>
        <w:r>
          <w:rPr>
            <w:noProof/>
            <w:webHidden/>
          </w:rPr>
          <w:fldChar w:fldCharType="separate"/>
        </w:r>
        <w:r>
          <w:rPr>
            <w:noProof/>
            <w:webHidden/>
          </w:rPr>
          <w:t>14</w:t>
        </w:r>
        <w:r>
          <w:rPr>
            <w:noProof/>
            <w:webHidden/>
          </w:rPr>
          <w:fldChar w:fldCharType="end"/>
        </w:r>
      </w:hyperlink>
    </w:p>
    <w:p w:rsidR="0040710D" w14:paraId="0B5E2373" w14:textId="33DC553D">
      <w:pPr>
        <w:pStyle w:val="TOC2"/>
        <w:tabs>
          <w:tab w:val="left" w:pos="1440"/>
        </w:tabs>
        <w:rPr>
          <w:rFonts w:asciiTheme="minorHAnsi" w:eastAsiaTheme="minorEastAsia" w:hAnsiTheme="minorHAnsi"/>
          <w:noProof/>
          <w:sz w:val="22"/>
        </w:rPr>
      </w:pPr>
      <w:hyperlink w:anchor="_Toc90301106" w:history="1">
        <w:r w:rsidRPr="00B76499">
          <w:rPr>
            <w:rStyle w:val="Hyperlink"/>
            <w:noProof/>
          </w:rPr>
          <w:t>I.</w:t>
        </w:r>
        <w:r>
          <w:rPr>
            <w:rFonts w:asciiTheme="minorHAnsi" w:eastAsiaTheme="minorEastAsia" w:hAnsiTheme="minorHAnsi"/>
            <w:noProof/>
            <w:sz w:val="22"/>
          </w:rPr>
          <w:tab/>
        </w:r>
        <w:r w:rsidRPr="00B76499">
          <w:rPr>
            <w:rStyle w:val="Hyperlink"/>
            <w:noProof/>
          </w:rPr>
          <w:t>Procedure</w:t>
        </w:r>
        <w:r>
          <w:rPr>
            <w:noProof/>
            <w:webHidden/>
          </w:rPr>
          <w:tab/>
        </w:r>
        <w:r>
          <w:rPr>
            <w:noProof/>
            <w:webHidden/>
          </w:rPr>
          <w:fldChar w:fldCharType="begin"/>
        </w:r>
        <w:r>
          <w:rPr>
            <w:noProof/>
            <w:webHidden/>
          </w:rPr>
          <w:instrText xml:space="preserve"> PAGEREF _Toc90301106 \h </w:instrText>
        </w:r>
        <w:r>
          <w:rPr>
            <w:noProof/>
            <w:webHidden/>
          </w:rPr>
          <w:fldChar w:fldCharType="separate"/>
        </w:r>
        <w:r>
          <w:rPr>
            <w:noProof/>
            <w:webHidden/>
          </w:rPr>
          <w:t>16</w:t>
        </w:r>
        <w:r>
          <w:rPr>
            <w:noProof/>
            <w:webHidden/>
          </w:rPr>
          <w:fldChar w:fldCharType="end"/>
        </w:r>
      </w:hyperlink>
    </w:p>
    <w:p w:rsidR="0040710D" w14:paraId="3582A774" w14:textId="2E19C366">
      <w:pPr>
        <w:pStyle w:val="TOC1"/>
        <w:rPr>
          <w:rFonts w:asciiTheme="minorHAnsi" w:eastAsiaTheme="minorEastAsia" w:hAnsiTheme="minorHAnsi"/>
          <w:caps w:val="0"/>
          <w:noProof/>
          <w:sz w:val="22"/>
        </w:rPr>
      </w:pPr>
      <w:hyperlink w:anchor="_Toc90301107" w:history="1">
        <w:r w:rsidRPr="00B76499">
          <w:rPr>
            <w:rStyle w:val="Hyperlink"/>
            <w:noProof/>
          </w:rPr>
          <w:t>III.</w:t>
        </w:r>
        <w:r>
          <w:rPr>
            <w:rFonts w:asciiTheme="minorHAnsi" w:eastAsiaTheme="minorEastAsia" w:hAnsiTheme="minorHAnsi"/>
            <w:caps w:val="0"/>
            <w:noProof/>
            <w:sz w:val="22"/>
          </w:rPr>
          <w:tab/>
        </w:r>
        <w:r w:rsidRPr="00B76499">
          <w:rPr>
            <w:rStyle w:val="Hyperlink"/>
            <w:noProof/>
          </w:rPr>
          <w:t>CONCLUSION</w:t>
        </w:r>
        <w:r>
          <w:rPr>
            <w:noProof/>
            <w:webHidden/>
          </w:rPr>
          <w:tab/>
        </w:r>
        <w:r>
          <w:rPr>
            <w:noProof/>
            <w:webHidden/>
          </w:rPr>
          <w:fldChar w:fldCharType="begin"/>
        </w:r>
        <w:r>
          <w:rPr>
            <w:noProof/>
            <w:webHidden/>
          </w:rPr>
          <w:instrText xml:space="preserve"> PAGEREF _Toc90301107 \h </w:instrText>
        </w:r>
        <w:r>
          <w:rPr>
            <w:noProof/>
            <w:webHidden/>
          </w:rPr>
          <w:fldChar w:fldCharType="separate"/>
        </w:r>
        <w:r>
          <w:rPr>
            <w:noProof/>
            <w:webHidden/>
          </w:rPr>
          <w:t>18</w:t>
        </w:r>
        <w:r>
          <w:rPr>
            <w:noProof/>
            <w:webHidden/>
          </w:rPr>
          <w:fldChar w:fldCharType="end"/>
        </w:r>
      </w:hyperlink>
    </w:p>
    <w:p w:rsidR="00BB43D1" w:rsidRPr="004569A4" w14:paraId="4925D192" w14:textId="705EDB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4569A4">
        <w:rPr>
          <w:rFonts w:ascii="Times New Roman" w:hAnsi="Times New Roman" w:eastAsiaTheme="minorHAnsi" w:cs="Times New Roman"/>
          <w:b/>
          <w:bCs/>
          <w:caps/>
          <w:sz w:val="24"/>
          <w:szCs w:val="24"/>
        </w:rPr>
        <w:fldChar w:fldCharType="end"/>
      </w:r>
    </w:p>
    <w:p w:rsidR="00BB43D1" w:rsidRPr="004569A4" w14:paraId="4AE5B9A3"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sectPr>
          <w:headerReference w:type="default" r:id="rId11"/>
          <w:footerReference w:type="even" r:id="rId12"/>
          <w:footerReference w:type="default" r:id="rId13"/>
          <w:pgSz w:w="12240" w:h="15840"/>
          <w:pgMar w:top="1440" w:right="1440" w:bottom="1440" w:left="1440" w:header="1547" w:footer="576" w:gutter="0"/>
          <w:pgNumType w:fmt="lowerRoman" w:start="1"/>
          <w:cols w:space="720"/>
          <w:docGrid w:linePitch="299"/>
        </w:sectPr>
      </w:pPr>
    </w:p>
    <w:p w:rsidR="00BB43D1" w:rsidRPr="004569A4" w14:paraId="6A0F75C2"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4569A4">
        <w:rPr>
          <w:rFonts w:ascii="Times New Roman" w:hAnsi="Times New Roman" w:cs="Times New Roman"/>
          <w:b/>
          <w:bCs/>
          <w:sz w:val="24"/>
          <w:szCs w:val="24"/>
        </w:rPr>
        <w:t>BEFORE</w:t>
      </w:r>
    </w:p>
    <w:p w:rsidR="00BB43D1" w:rsidRPr="004569A4" w14:paraId="6E25819E" w14:textId="77777777">
      <w:pPr>
        <w:pStyle w:val="HTMLPreformatted"/>
        <w:jc w:val="center"/>
        <w:rPr>
          <w:rFonts w:ascii="Times New Roman" w:hAnsi="Times New Roman" w:cs="Times New Roman"/>
          <w:b/>
          <w:bCs/>
          <w:sz w:val="24"/>
          <w:szCs w:val="24"/>
        </w:rPr>
      </w:pPr>
      <w:r w:rsidRPr="004569A4">
        <w:rPr>
          <w:rFonts w:ascii="Times New Roman" w:hAnsi="Times New Roman" w:cs="Times New Roman"/>
          <w:b/>
          <w:bCs/>
          <w:sz w:val="24"/>
          <w:szCs w:val="24"/>
        </w:rPr>
        <w:t>THE PUBLIC UTILITIES COMMISSION OF OHIO</w:t>
      </w:r>
    </w:p>
    <w:p w:rsidR="00BB43D1" w:rsidRPr="004569A4" w14:paraId="2FEA8B0D" w14:textId="77777777">
      <w:pPr>
        <w:pStyle w:val="HTMLPreformatted"/>
        <w:rPr>
          <w:rFonts w:ascii="Times New Roman" w:hAnsi="Times New Roman" w:cs="Times New Roman"/>
          <w:sz w:val="24"/>
          <w:szCs w:val="24"/>
        </w:rPr>
      </w:pPr>
    </w:p>
    <w:tbl>
      <w:tblPr>
        <w:tblW w:w="9360" w:type="dxa"/>
        <w:tblLook w:val="01E0"/>
      </w:tblPr>
      <w:tblGrid>
        <w:gridCol w:w="4680"/>
        <w:gridCol w:w="360"/>
        <w:gridCol w:w="4320"/>
      </w:tblGrid>
      <w:tr w14:paraId="62E41D26" w14:textId="77777777">
        <w:tblPrEx>
          <w:tblW w:w="9360" w:type="dxa"/>
          <w:tblLook w:val="01E0"/>
        </w:tblPrEx>
        <w:trPr>
          <w:trHeight w:val="807"/>
        </w:trPr>
        <w:tc>
          <w:tcPr>
            <w:tcW w:w="4680" w:type="dxa"/>
            <w:shd w:val="clear" w:color="auto" w:fill="auto"/>
          </w:tcPr>
          <w:p w:rsidR="00BB43D1" w:rsidRPr="004569A4" w14:paraId="53E546EA" w14:textId="77777777">
            <w:pPr>
              <w:pStyle w:val="HTMLPreformatted"/>
              <w:rPr>
                <w:rFonts w:ascii="Times New Roman" w:hAnsi="Times New Roman" w:cs="Times New Roman"/>
                <w:sz w:val="24"/>
                <w:szCs w:val="24"/>
              </w:rPr>
            </w:pPr>
            <w:r w:rsidRPr="004569A4">
              <w:rPr>
                <w:rFonts w:ascii="Times New Roman" w:hAnsi="Times New Roman" w:cs="Times New Roman"/>
                <w:sz w:val="24"/>
                <w:szCs w:val="24"/>
              </w:rPr>
              <w:t>In the Matter of the Review of the Ohio Edison Company, The Cleveland Electric Illuminating Company, and The Toledo Edison Company’s Compliance with R.C. 4928.17 and the Ohio Adm. Code Chapter 4901:1-37.</w:t>
            </w:r>
          </w:p>
        </w:tc>
        <w:tc>
          <w:tcPr>
            <w:tcW w:w="360" w:type="dxa"/>
            <w:shd w:val="clear" w:color="auto" w:fill="auto"/>
          </w:tcPr>
          <w:p w:rsidR="00BB43D1" w:rsidRPr="004569A4" w14:paraId="1DDE6D01" w14:textId="77777777">
            <w:pPr>
              <w:pStyle w:val="HTMLPreformatted"/>
              <w:rPr>
                <w:rFonts w:ascii="Times New Roman" w:hAnsi="Times New Roman" w:cs="Times New Roman"/>
                <w:sz w:val="24"/>
                <w:szCs w:val="24"/>
              </w:rPr>
            </w:pPr>
            <w:r w:rsidRPr="004569A4">
              <w:rPr>
                <w:rFonts w:ascii="Times New Roman" w:hAnsi="Times New Roman" w:cs="Times New Roman"/>
                <w:sz w:val="24"/>
                <w:szCs w:val="24"/>
              </w:rPr>
              <w:t>)</w:t>
            </w:r>
          </w:p>
          <w:p w:rsidR="00BB43D1" w:rsidRPr="004569A4" w14:paraId="79088BB6" w14:textId="77777777">
            <w:pPr>
              <w:pStyle w:val="HTMLPreformatted"/>
              <w:rPr>
                <w:rFonts w:ascii="Times New Roman" w:hAnsi="Times New Roman" w:cs="Times New Roman"/>
                <w:sz w:val="24"/>
                <w:szCs w:val="24"/>
              </w:rPr>
            </w:pPr>
            <w:r w:rsidRPr="004569A4">
              <w:rPr>
                <w:rFonts w:ascii="Times New Roman" w:hAnsi="Times New Roman" w:cs="Times New Roman"/>
                <w:sz w:val="24"/>
                <w:szCs w:val="24"/>
              </w:rPr>
              <w:t>)</w:t>
            </w:r>
          </w:p>
          <w:p w:rsidR="00BB43D1" w:rsidRPr="004569A4" w14:paraId="57E4C8D7" w14:textId="77777777">
            <w:pPr>
              <w:pStyle w:val="HTMLPreformatted"/>
              <w:rPr>
                <w:rFonts w:ascii="Times New Roman" w:hAnsi="Times New Roman" w:cs="Times New Roman"/>
                <w:sz w:val="24"/>
                <w:szCs w:val="24"/>
              </w:rPr>
            </w:pPr>
            <w:r w:rsidRPr="004569A4">
              <w:rPr>
                <w:rFonts w:ascii="Times New Roman" w:hAnsi="Times New Roman" w:cs="Times New Roman"/>
                <w:sz w:val="24"/>
                <w:szCs w:val="24"/>
              </w:rPr>
              <w:t>)</w:t>
            </w:r>
          </w:p>
          <w:p w:rsidR="00BB43D1" w:rsidRPr="004569A4" w14:paraId="7EF9C687" w14:textId="77777777">
            <w:pPr>
              <w:pStyle w:val="HTMLPreformatted"/>
              <w:rPr>
                <w:rFonts w:ascii="Times New Roman" w:hAnsi="Times New Roman" w:cs="Times New Roman"/>
                <w:sz w:val="24"/>
                <w:szCs w:val="24"/>
              </w:rPr>
            </w:pPr>
            <w:r w:rsidRPr="004569A4">
              <w:rPr>
                <w:rFonts w:ascii="Times New Roman" w:hAnsi="Times New Roman" w:cs="Times New Roman"/>
                <w:sz w:val="24"/>
                <w:szCs w:val="24"/>
              </w:rPr>
              <w:t>)</w:t>
            </w:r>
          </w:p>
          <w:p w:rsidR="00BB43D1" w:rsidRPr="004569A4" w14:paraId="4F4234DC" w14:textId="77777777">
            <w:pPr>
              <w:pStyle w:val="HTMLPreformatted"/>
              <w:rPr>
                <w:rFonts w:ascii="Times New Roman" w:hAnsi="Times New Roman" w:cs="Times New Roman"/>
                <w:sz w:val="24"/>
                <w:szCs w:val="24"/>
              </w:rPr>
            </w:pPr>
            <w:r w:rsidRPr="004569A4">
              <w:rPr>
                <w:rFonts w:ascii="Times New Roman" w:hAnsi="Times New Roman" w:cs="Times New Roman"/>
                <w:sz w:val="24"/>
                <w:szCs w:val="24"/>
              </w:rPr>
              <w:t>)</w:t>
            </w:r>
          </w:p>
          <w:p w:rsidR="00BB43D1" w:rsidRPr="004569A4" w14:paraId="39F2B3AA" w14:textId="77777777">
            <w:pPr>
              <w:pStyle w:val="HTMLPreformatted"/>
              <w:rPr>
                <w:rFonts w:ascii="Times New Roman" w:hAnsi="Times New Roman" w:cs="Times New Roman"/>
                <w:sz w:val="24"/>
                <w:szCs w:val="24"/>
              </w:rPr>
            </w:pPr>
            <w:r w:rsidRPr="004569A4">
              <w:rPr>
                <w:rFonts w:ascii="Times New Roman" w:hAnsi="Times New Roman" w:cs="Times New Roman"/>
                <w:sz w:val="24"/>
                <w:szCs w:val="24"/>
              </w:rPr>
              <w:t>)</w:t>
            </w:r>
          </w:p>
        </w:tc>
        <w:tc>
          <w:tcPr>
            <w:tcW w:w="4320" w:type="dxa"/>
            <w:shd w:val="clear" w:color="auto" w:fill="auto"/>
          </w:tcPr>
          <w:p w:rsidR="00BB43D1" w:rsidRPr="004569A4" w14:paraId="2EE34F22" w14:textId="77777777">
            <w:pPr>
              <w:pStyle w:val="HTMLPreformatted"/>
              <w:rPr>
                <w:rFonts w:ascii="Times New Roman" w:hAnsi="Times New Roman" w:cs="Times New Roman"/>
                <w:sz w:val="24"/>
                <w:szCs w:val="24"/>
              </w:rPr>
            </w:pPr>
          </w:p>
          <w:p w:rsidR="00BB43D1" w:rsidRPr="004569A4" w14:paraId="615FA50A" w14:textId="77777777">
            <w:pPr>
              <w:pStyle w:val="HTMLPreformatted"/>
              <w:rPr>
                <w:rFonts w:ascii="Times New Roman" w:hAnsi="Times New Roman" w:cs="Times New Roman"/>
                <w:sz w:val="24"/>
                <w:szCs w:val="24"/>
              </w:rPr>
            </w:pPr>
            <w:r w:rsidRPr="004569A4">
              <w:rPr>
                <w:rFonts w:ascii="Times New Roman" w:hAnsi="Times New Roman" w:cs="Times New Roman"/>
                <w:sz w:val="24"/>
                <w:szCs w:val="24"/>
              </w:rPr>
              <w:t>Case No. 17-974-EL-UNC</w:t>
            </w:r>
          </w:p>
          <w:p w:rsidR="00BB43D1" w:rsidRPr="004569A4" w14:paraId="2D4B5ABC" w14:textId="77777777">
            <w:pPr>
              <w:pStyle w:val="HTMLPreformatted"/>
              <w:rPr>
                <w:rFonts w:ascii="Times New Roman" w:hAnsi="Times New Roman" w:cs="Times New Roman"/>
                <w:sz w:val="24"/>
                <w:szCs w:val="24"/>
              </w:rPr>
            </w:pPr>
          </w:p>
          <w:p w:rsidR="00BB43D1" w:rsidRPr="004569A4" w14:paraId="3EE49991" w14:textId="77777777">
            <w:pPr>
              <w:pStyle w:val="HTMLPreformatted"/>
              <w:rPr>
                <w:rFonts w:ascii="Times New Roman" w:hAnsi="Times New Roman" w:cs="Times New Roman"/>
                <w:sz w:val="24"/>
                <w:szCs w:val="24"/>
              </w:rPr>
            </w:pPr>
          </w:p>
        </w:tc>
      </w:tr>
    </w:tbl>
    <w:p w:rsidR="00BB43D1" w:rsidRPr="004569A4" w14:paraId="643F33F6" w14:textId="77777777">
      <w:pPr>
        <w:pStyle w:val="HTMLPreformatted"/>
        <w:rPr>
          <w:rFonts w:ascii="Times New Roman" w:hAnsi="Times New Roman" w:cs="Times New Roman"/>
          <w:sz w:val="24"/>
          <w:szCs w:val="24"/>
        </w:rPr>
      </w:pPr>
    </w:p>
    <w:p w:rsidR="00BB43D1" w:rsidRPr="004569A4" w14:paraId="67B9598E" w14:textId="77777777">
      <w:pPr>
        <w:pStyle w:val="HTMLPreformatted"/>
        <w:pBdr>
          <w:top w:val="single" w:sz="12" w:space="1" w:color="auto"/>
        </w:pBdr>
        <w:rPr>
          <w:rFonts w:ascii="Times New Roman" w:hAnsi="Times New Roman" w:cs="Times New Roman"/>
          <w:sz w:val="24"/>
          <w:szCs w:val="24"/>
        </w:rPr>
      </w:pPr>
    </w:p>
    <w:p w:rsidR="00BB403A" w:rsidRPr="004569A4" w14:paraId="63B75C28" w14:textId="23C3AC9F">
      <w:pPr>
        <w:jc w:val="center"/>
        <w:rPr>
          <w:rFonts w:ascii="Times New Roman" w:hAnsi="Times New Roman" w:cs="Times New Roman"/>
          <w:b/>
          <w:bCs/>
          <w:w w:val="105"/>
          <w:sz w:val="24"/>
          <w:szCs w:val="24"/>
        </w:rPr>
      </w:pPr>
      <w:r w:rsidRPr="004569A4">
        <w:rPr>
          <w:rFonts w:ascii="Times New Roman" w:hAnsi="Times New Roman" w:cs="Times New Roman"/>
          <w:b/>
          <w:bCs/>
          <w:sz w:val="24"/>
          <w:szCs w:val="24"/>
        </w:rPr>
        <w:t>REPLY</w:t>
      </w:r>
      <w:r w:rsidRPr="004569A4" w:rsidR="00295FAE">
        <w:rPr>
          <w:rFonts w:ascii="Times New Roman" w:hAnsi="Times New Roman" w:cs="Times New Roman"/>
          <w:b/>
          <w:bCs/>
          <w:sz w:val="24"/>
          <w:szCs w:val="24"/>
        </w:rPr>
        <w:t xml:space="preserve"> COMMENTS ON PROTECT</w:t>
      </w:r>
      <w:r w:rsidRPr="004569A4" w:rsidR="002D5536">
        <w:rPr>
          <w:rFonts w:ascii="Times New Roman" w:hAnsi="Times New Roman" w:cs="Times New Roman"/>
          <w:b/>
          <w:bCs/>
          <w:sz w:val="24"/>
          <w:szCs w:val="24"/>
        </w:rPr>
        <w:t>ING CONSUMERS</w:t>
      </w:r>
      <w:r w:rsidRPr="004569A4" w:rsidR="00295FAE">
        <w:rPr>
          <w:rFonts w:ascii="Times New Roman" w:hAnsi="Times New Roman" w:cs="Times New Roman"/>
          <w:b/>
          <w:bCs/>
          <w:sz w:val="24"/>
          <w:szCs w:val="24"/>
        </w:rPr>
        <w:t xml:space="preserve"> FROM IMPROPER CHARGES UNDER FIRSTENERGY’S “CORPORATE SEPARATION”</w:t>
      </w:r>
    </w:p>
    <w:p w:rsidR="00BB403A" w:rsidRPr="004569A4" w14:paraId="56DB9A25" w14:textId="68DBC90B">
      <w:pPr>
        <w:jc w:val="center"/>
        <w:rPr>
          <w:rFonts w:ascii="Times New Roman" w:hAnsi="Times New Roman" w:cs="Times New Roman"/>
          <w:b/>
          <w:bCs/>
          <w:w w:val="105"/>
          <w:sz w:val="24"/>
          <w:szCs w:val="24"/>
        </w:rPr>
      </w:pPr>
      <w:r w:rsidRPr="004569A4">
        <w:rPr>
          <w:rFonts w:ascii="Times New Roman" w:hAnsi="Times New Roman" w:cs="Times New Roman"/>
          <w:b/>
          <w:bCs/>
          <w:w w:val="105"/>
          <w:sz w:val="24"/>
          <w:szCs w:val="24"/>
        </w:rPr>
        <w:t>BY</w:t>
      </w:r>
    </w:p>
    <w:p w:rsidR="00BB43D1" w:rsidRPr="004569A4" w14:paraId="0AE234A6" w14:textId="138B57E3">
      <w:pPr>
        <w:jc w:val="center"/>
        <w:rPr>
          <w:rFonts w:ascii="Times New Roman" w:hAnsi="Times New Roman" w:cs="Times New Roman"/>
          <w:b/>
          <w:bCs/>
          <w:sz w:val="24"/>
          <w:szCs w:val="24"/>
        </w:rPr>
      </w:pPr>
      <w:r w:rsidRPr="004569A4">
        <w:rPr>
          <w:rFonts w:ascii="Times New Roman" w:hAnsi="Times New Roman" w:cs="Times New Roman"/>
          <w:b/>
          <w:bCs/>
          <w:w w:val="105"/>
          <w:sz w:val="24"/>
          <w:szCs w:val="24"/>
        </w:rPr>
        <w:t>OFFICE</w:t>
      </w:r>
      <w:r w:rsidRPr="004569A4">
        <w:rPr>
          <w:rFonts w:ascii="Times New Roman" w:hAnsi="Times New Roman" w:cs="Times New Roman"/>
          <w:b/>
          <w:bCs/>
          <w:spacing w:val="1"/>
          <w:w w:val="105"/>
          <w:sz w:val="24"/>
          <w:szCs w:val="24"/>
        </w:rPr>
        <w:t xml:space="preserve"> </w:t>
      </w:r>
      <w:r w:rsidRPr="004569A4">
        <w:rPr>
          <w:rFonts w:ascii="Times New Roman" w:hAnsi="Times New Roman" w:cs="Times New Roman"/>
          <w:b/>
          <w:bCs/>
          <w:w w:val="105"/>
          <w:sz w:val="24"/>
          <w:szCs w:val="24"/>
        </w:rPr>
        <w:t>OF</w:t>
      </w:r>
      <w:r w:rsidRPr="004569A4">
        <w:rPr>
          <w:rFonts w:ascii="Times New Roman" w:hAnsi="Times New Roman" w:cs="Times New Roman"/>
          <w:b/>
          <w:bCs/>
          <w:spacing w:val="-23"/>
          <w:w w:val="105"/>
          <w:sz w:val="24"/>
          <w:szCs w:val="24"/>
        </w:rPr>
        <w:t xml:space="preserve"> </w:t>
      </w:r>
      <w:r w:rsidRPr="004569A4">
        <w:rPr>
          <w:rFonts w:ascii="Times New Roman" w:hAnsi="Times New Roman" w:cs="Times New Roman"/>
          <w:b/>
          <w:bCs/>
          <w:w w:val="105"/>
          <w:sz w:val="24"/>
          <w:szCs w:val="24"/>
        </w:rPr>
        <w:t>THE</w:t>
      </w:r>
      <w:r w:rsidRPr="004569A4">
        <w:rPr>
          <w:rFonts w:ascii="Times New Roman" w:hAnsi="Times New Roman" w:cs="Times New Roman"/>
          <w:b/>
          <w:bCs/>
          <w:spacing w:val="-9"/>
          <w:w w:val="105"/>
          <w:sz w:val="24"/>
          <w:szCs w:val="24"/>
        </w:rPr>
        <w:t xml:space="preserve"> </w:t>
      </w:r>
      <w:r w:rsidRPr="004569A4">
        <w:rPr>
          <w:rFonts w:ascii="Times New Roman" w:hAnsi="Times New Roman" w:cs="Times New Roman"/>
          <w:b/>
          <w:bCs/>
          <w:w w:val="105"/>
          <w:sz w:val="24"/>
          <w:szCs w:val="24"/>
        </w:rPr>
        <w:t>OHIO</w:t>
      </w:r>
      <w:r w:rsidRPr="004569A4">
        <w:rPr>
          <w:rFonts w:ascii="Times New Roman" w:hAnsi="Times New Roman" w:cs="Times New Roman"/>
          <w:b/>
          <w:bCs/>
          <w:spacing w:val="1"/>
          <w:w w:val="105"/>
          <w:sz w:val="24"/>
          <w:szCs w:val="24"/>
        </w:rPr>
        <w:t xml:space="preserve"> </w:t>
      </w:r>
      <w:r w:rsidRPr="004569A4">
        <w:rPr>
          <w:rFonts w:ascii="Times New Roman" w:hAnsi="Times New Roman" w:cs="Times New Roman"/>
          <w:b/>
          <w:bCs/>
          <w:w w:val="105"/>
          <w:sz w:val="24"/>
          <w:szCs w:val="24"/>
        </w:rPr>
        <w:t>CONSUMERS'</w:t>
      </w:r>
      <w:r w:rsidRPr="004569A4">
        <w:rPr>
          <w:rFonts w:ascii="Times New Roman" w:hAnsi="Times New Roman" w:cs="Times New Roman"/>
          <w:b/>
          <w:bCs/>
          <w:spacing w:val="21"/>
          <w:w w:val="105"/>
          <w:sz w:val="24"/>
          <w:szCs w:val="24"/>
        </w:rPr>
        <w:t xml:space="preserve"> </w:t>
      </w:r>
      <w:r w:rsidRPr="004569A4">
        <w:rPr>
          <w:rFonts w:ascii="Times New Roman" w:hAnsi="Times New Roman" w:cs="Times New Roman"/>
          <w:b/>
          <w:bCs/>
          <w:w w:val="105"/>
          <w:sz w:val="24"/>
          <w:szCs w:val="24"/>
        </w:rPr>
        <w:t>COUNSEL</w:t>
      </w:r>
    </w:p>
    <w:p w:rsidR="00BB43D1" w:rsidRPr="004569A4" w14:paraId="230A7CA7" w14:textId="77777777">
      <w:pPr>
        <w:pBdr>
          <w:bottom w:val="single" w:sz="12" w:space="1" w:color="auto"/>
        </w:pBdr>
        <w:tabs>
          <w:tab w:val="left" w:pos="4320"/>
        </w:tabs>
        <w:rPr>
          <w:rFonts w:ascii="Times New Roman" w:hAnsi="Times New Roman" w:cs="Times New Roman"/>
          <w:sz w:val="24"/>
          <w:szCs w:val="24"/>
        </w:rPr>
      </w:pPr>
    </w:p>
    <w:p w:rsidR="00BB43D1" w:rsidRPr="00B93410" w14:paraId="645CDCEC" w14:textId="77777777">
      <w:pPr>
        <w:tabs>
          <w:tab w:val="left" w:pos="4320"/>
        </w:tabs>
        <w:rPr>
          <w:rFonts w:ascii="Times New Roman" w:hAnsi="Times New Roman" w:cs="Times New Roman"/>
          <w:b/>
          <w:bCs/>
          <w:sz w:val="24"/>
          <w:szCs w:val="24"/>
        </w:rPr>
      </w:pPr>
    </w:p>
    <w:p w:rsidR="006E6DCD" w:rsidRPr="00B93410" w:rsidP="004569A4" w14:paraId="6DEA6214" w14:textId="0684D3D6">
      <w:pPr>
        <w:pStyle w:val="Heading1"/>
        <w:rPr>
          <w:rFonts w:ascii="Times New Roman" w:hAnsi="Times New Roman"/>
          <w:b w:val="0"/>
          <w:bCs/>
        </w:rPr>
      </w:pPr>
      <w:bookmarkStart w:id="0" w:name="_Toc90301096"/>
      <w:r w:rsidRPr="00B93410">
        <w:rPr>
          <w:rFonts w:ascii="Times New Roman" w:hAnsi="Times New Roman"/>
          <w:bCs/>
        </w:rPr>
        <w:t>INTRODUCTION</w:t>
      </w:r>
      <w:bookmarkEnd w:id="0"/>
    </w:p>
    <w:p w:rsidR="00071E1A" w:rsidRPr="004569A4" w:rsidP="004569A4" w14:paraId="38520C23" w14:textId="0705FB5C">
      <w:pPr>
        <w:spacing w:line="480" w:lineRule="auto"/>
        <w:ind w:firstLine="720"/>
        <w:rPr>
          <w:rFonts w:ascii="Times New Roman" w:hAnsi="Times New Roman" w:cs="Times New Roman"/>
          <w:sz w:val="24"/>
          <w:szCs w:val="24"/>
        </w:rPr>
      </w:pPr>
      <w:r w:rsidRPr="004569A4">
        <w:rPr>
          <w:rFonts w:ascii="Times New Roman" w:hAnsi="Times New Roman" w:cs="Times New Roman"/>
          <w:bCs/>
          <w:sz w:val="24"/>
          <w:szCs w:val="24"/>
        </w:rPr>
        <w:t>The contrast between the FirstEnergy Utilities’ comments and the intervenors’ comments could not be greater.</w:t>
      </w:r>
      <w:r w:rsidR="00AB44BE">
        <w:rPr>
          <w:rFonts w:ascii="Times New Roman" w:hAnsi="Times New Roman" w:cs="Times New Roman"/>
          <w:bCs/>
          <w:sz w:val="24"/>
          <w:szCs w:val="24"/>
        </w:rPr>
        <w:t xml:space="preserve"> </w:t>
      </w:r>
      <w:r w:rsidRPr="004569A4">
        <w:rPr>
          <w:rFonts w:ascii="Times New Roman" w:hAnsi="Times New Roman" w:cs="Times New Roman"/>
          <w:bCs/>
          <w:sz w:val="24"/>
          <w:szCs w:val="24"/>
        </w:rPr>
        <w:t xml:space="preserve">The FirstEnergy Utilities admit to no violations of Ohio corporate separation law; the intervenors </w:t>
      </w:r>
      <w:r w:rsidRPr="004569A4" w:rsidR="00565C91">
        <w:rPr>
          <w:rFonts w:ascii="Times New Roman" w:hAnsi="Times New Roman" w:cs="Times New Roman"/>
          <w:bCs/>
          <w:sz w:val="24"/>
          <w:szCs w:val="24"/>
        </w:rPr>
        <w:t>explain how</w:t>
      </w:r>
      <w:r w:rsidRPr="004569A4">
        <w:rPr>
          <w:rFonts w:ascii="Times New Roman" w:hAnsi="Times New Roman" w:cs="Times New Roman"/>
          <w:bCs/>
          <w:sz w:val="24"/>
          <w:szCs w:val="24"/>
        </w:rPr>
        <w:t xml:space="preserve"> the FirstEnergy Utilities committed major violations.</w:t>
      </w:r>
      <w:r w:rsidR="00AB44BE">
        <w:rPr>
          <w:rFonts w:ascii="Times New Roman" w:hAnsi="Times New Roman" w:cs="Times New Roman"/>
          <w:bCs/>
          <w:sz w:val="24"/>
          <w:szCs w:val="24"/>
        </w:rPr>
        <w:t xml:space="preserve"> </w:t>
      </w:r>
      <w:r w:rsidRPr="004569A4">
        <w:rPr>
          <w:rFonts w:ascii="Times New Roman" w:hAnsi="Times New Roman" w:cs="Times New Roman"/>
          <w:bCs/>
          <w:sz w:val="24"/>
          <w:szCs w:val="24"/>
        </w:rPr>
        <w:t xml:space="preserve">The FirstEnergy Utilities </w:t>
      </w:r>
      <w:r w:rsidRPr="004569A4" w:rsidR="00CC5A3F">
        <w:rPr>
          <w:rFonts w:ascii="Times New Roman" w:hAnsi="Times New Roman" w:cs="Times New Roman"/>
          <w:bCs/>
          <w:sz w:val="24"/>
          <w:szCs w:val="24"/>
        </w:rPr>
        <w:t>have</w:t>
      </w:r>
      <w:r w:rsidRPr="004569A4">
        <w:rPr>
          <w:rFonts w:ascii="Times New Roman" w:hAnsi="Times New Roman" w:cs="Times New Roman"/>
          <w:bCs/>
          <w:sz w:val="24"/>
          <w:szCs w:val="24"/>
        </w:rPr>
        <w:t xml:space="preserve"> no concern that the audit excluded H.B. 6; the intervenors </w:t>
      </w:r>
      <w:r w:rsidRPr="004569A4" w:rsidR="00565C91">
        <w:rPr>
          <w:rFonts w:ascii="Times New Roman" w:hAnsi="Times New Roman" w:cs="Times New Roman"/>
          <w:bCs/>
          <w:sz w:val="24"/>
          <w:szCs w:val="24"/>
        </w:rPr>
        <w:t xml:space="preserve">explain </w:t>
      </w:r>
      <w:r w:rsidRPr="004569A4" w:rsidR="00CC5A3F">
        <w:rPr>
          <w:rFonts w:ascii="Times New Roman" w:hAnsi="Times New Roman" w:cs="Times New Roman"/>
          <w:bCs/>
          <w:sz w:val="24"/>
          <w:szCs w:val="24"/>
        </w:rPr>
        <w:t>how this</w:t>
      </w:r>
      <w:r w:rsidRPr="004569A4" w:rsidR="00565C91">
        <w:rPr>
          <w:rFonts w:ascii="Times New Roman" w:hAnsi="Times New Roman" w:cs="Times New Roman"/>
          <w:bCs/>
          <w:sz w:val="24"/>
          <w:szCs w:val="24"/>
        </w:rPr>
        <w:t xml:space="preserve"> </w:t>
      </w:r>
      <w:r w:rsidRPr="004569A4" w:rsidR="00CC5A3F">
        <w:rPr>
          <w:rFonts w:ascii="Times New Roman" w:hAnsi="Times New Roman" w:cs="Times New Roman"/>
          <w:bCs/>
          <w:sz w:val="24"/>
          <w:szCs w:val="24"/>
        </w:rPr>
        <w:t>created</w:t>
      </w:r>
      <w:r w:rsidRPr="004569A4" w:rsidR="00565C91">
        <w:rPr>
          <w:rFonts w:ascii="Times New Roman" w:hAnsi="Times New Roman" w:cs="Times New Roman"/>
          <w:bCs/>
          <w:sz w:val="24"/>
          <w:szCs w:val="24"/>
        </w:rPr>
        <w:t xml:space="preserve"> a problem.</w:t>
      </w:r>
      <w:r w:rsidR="00AB44BE">
        <w:rPr>
          <w:rFonts w:ascii="Times New Roman" w:hAnsi="Times New Roman" w:cs="Times New Roman"/>
          <w:bCs/>
          <w:sz w:val="24"/>
          <w:szCs w:val="24"/>
        </w:rPr>
        <w:t xml:space="preserve"> </w:t>
      </w:r>
      <w:r w:rsidRPr="004569A4" w:rsidR="00565C91">
        <w:rPr>
          <w:rFonts w:ascii="Times New Roman" w:hAnsi="Times New Roman" w:cs="Times New Roman"/>
          <w:bCs/>
          <w:sz w:val="24"/>
          <w:szCs w:val="24"/>
        </w:rPr>
        <w:t xml:space="preserve">The FirstEnergy Utilities do not </w:t>
      </w:r>
      <w:r w:rsidRPr="004569A4" w:rsidR="00CC5A3F">
        <w:rPr>
          <w:rFonts w:ascii="Times New Roman" w:hAnsi="Times New Roman" w:cs="Times New Roman"/>
          <w:bCs/>
          <w:sz w:val="24"/>
          <w:szCs w:val="24"/>
        </w:rPr>
        <w:t>discuss their</w:t>
      </w:r>
      <w:r w:rsidRPr="004569A4" w:rsidR="00565C91">
        <w:rPr>
          <w:rFonts w:ascii="Times New Roman" w:hAnsi="Times New Roman" w:cs="Times New Roman"/>
          <w:bCs/>
          <w:sz w:val="24"/>
          <w:szCs w:val="24"/>
        </w:rPr>
        <w:t xml:space="preserve"> H.B. 6 activities in the context of corporate separation; the intervenors </w:t>
      </w:r>
      <w:r w:rsidRPr="004569A4" w:rsidR="00CC5A3F">
        <w:rPr>
          <w:rFonts w:ascii="Times New Roman" w:hAnsi="Times New Roman" w:cs="Times New Roman"/>
          <w:bCs/>
          <w:sz w:val="24"/>
          <w:szCs w:val="24"/>
        </w:rPr>
        <w:t>demonstrate</w:t>
      </w:r>
      <w:r w:rsidRPr="004569A4" w:rsidR="00565C91">
        <w:rPr>
          <w:rFonts w:ascii="Times New Roman" w:hAnsi="Times New Roman" w:cs="Times New Roman"/>
          <w:bCs/>
          <w:sz w:val="24"/>
          <w:szCs w:val="24"/>
        </w:rPr>
        <w:t xml:space="preserve"> how FirstEnergy</w:t>
      </w:r>
      <w:r w:rsidRPr="004569A4" w:rsidR="00CC5A3F">
        <w:rPr>
          <w:rFonts w:ascii="Times New Roman" w:hAnsi="Times New Roman" w:cs="Times New Roman"/>
          <w:bCs/>
          <w:sz w:val="24"/>
          <w:szCs w:val="24"/>
        </w:rPr>
        <w:t>’s</w:t>
      </w:r>
      <w:r w:rsidRPr="004569A4" w:rsidR="00565C91">
        <w:rPr>
          <w:rFonts w:ascii="Times New Roman" w:hAnsi="Times New Roman" w:cs="Times New Roman"/>
          <w:bCs/>
          <w:sz w:val="24"/>
          <w:szCs w:val="24"/>
        </w:rPr>
        <w:t xml:space="preserve"> </w:t>
      </w:r>
      <w:r w:rsidRPr="004569A4" w:rsidR="00CC5A3F">
        <w:rPr>
          <w:rFonts w:ascii="Times New Roman" w:hAnsi="Times New Roman" w:cs="Times New Roman"/>
          <w:bCs/>
          <w:sz w:val="24"/>
          <w:szCs w:val="24"/>
        </w:rPr>
        <w:t>H.B. 6 activities were a major breach</w:t>
      </w:r>
      <w:r w:rsidRPr="004569A4" w:rsidR="00565C91">
        <w:rPr>
          <w:rFonts w:ascii="Times New Roman" w:hAnsi="Times New Roman" w:cs="Times New Roman"/>
          <w:bCs/>
          <w:sz w:val="24"/>
          <w:szCs w:val="24"/>
        </w:rPr>
        <w:t xml:space="preserve"> of corporate separation law with H.B. 6.</w:t>
      </w:r>
      <w:r w:rsidR="00AB44BE">
        <w:rPr>
          <w:rFonts w:ascii="Times New Roman" w:hAnsi="Times New Roman" w:cs="Times New Roman"/>
          <w:bCs/>
          <w:sz w:val="24"/>
          <w:szCs w:val="24"/>
        </w:rPr>
        <w:t xml:space="preserve"> </w:t>
      </w:r>
      <w:r w:rsidRPr="004569A4" w:rsidR="00565C91">
        <w:rPr>
          <w:rFonts w:ascii="Times New Roman" w:hAnsi="Times New Roman" w:cs="Times New Roman"/>
          <w:bCs/>
          <w:sz w:val="24"/>
          <w:szCs w:val="24"/>
        </w:rPr>
        <w:t>The FirstEnergy Utilities do not admit that any forfeitures are appropriate; the intervenors make a compelling case for major forfeitures.</w:t>
      </w:r>
      <w:r w:rsidR="00AB44BE">
        <w:rPr>
          <w:rFonts w:ascii="Times New Roman" w:hAnsi="Times New Roman" w:cs="Times New Roman"/>
          <w:bCs/>
          <w:sz w:val="24"/>
          <w:szCs w:val="24"/>
        </w:rPr>
        <w:t xml:space="preserve"> </w:t>
      </w:r>
      <w:r w:rsidRPr="004569A4" w:rsidR="009A266D">
        <w:rPr>
          <w:rFonts w:ascii="Times New Roman" w:hAnsi="Times New Roman" w:cs="Times New Roman"/>
          <w:bCs/>
          <w:sz w:val="24"/>
          <w:szCs w:val="24"/>
        </w:rPr>
        <w:t xml:space="preserve">The FirstEnergy Utilities believe they should bear no responsibility for monitoring and resolving errors in charges allocated to them by the service company; the intervenors explain how the utilities should be held accountable for the millions of dollars of misallocated costs, including $4.3 million of political spending on H.B. 6 that went into the coffers of the former PUCO chair for </w:t>
      </w:r>
      <w:r w:rsidRPr="004569A4" w:rsidR="00844FE9">
        <w:rPr>
          <w:rFonts w:ascii="Times New Roman" w:hAnsi="Times New Roman" w:cs="Times New Roman"/>
          <w:bCs/>
          <w:sz w:val="24"/>
          <w:szCs w:val="24"/>
        </w:rPr>
        <w:t>“</w:t>
      </w:r>
      <w:r w:rsidRPr="004569A4" w:rsidR="00844FE9">
        <w:rPr>
          <w:rFonts w:ascii="Times New Roman" w:hAnsi="Times New Roman" w:cs="Times New Roman"/>
          <w:sz w:val="24"/>
          <w:szCs w:val="24"/>
        </w:rPr>
        <w:t>performing official action in his capacity as PUCO Chairman to further FirstEnergy Corp’s interests relating to the passage of nuclear legislation and other specific FirstEnergy Corp. legislative and regulatory priorities, as requested and as opportunities arose.”</w:t>
      </w:r>
      <w:r>
        <w:rPr>
          <w:rStyle w:val="FootnoteReference"/>
          <w:rFonts w:ascii="Times New Roman" w:hAnsi="Times New Roman" w:cs="Times New Roman"/>
          <w:sz w:val="24"/>
          <w:szCs w:val="24"/>
        </w:rPr>
        <w:footnoteReference w:id="3"/>
      </w:r>
    </w:p>
    <w:p w:rsidR="00B13AF8" w:rsidP="00614E9C" w14:paraId="32F8A4C3" w14:textId="61198DBB">
      <w:pPr>
        <w:pStyle w:val="BodyText"/>
        <w:spacing w:line="480" w:lineRule="auto"/>
        <w:ind w:left="0" w:firstLine="720"/>
        <w:rPr>
          <w:rFonts w:cs="Times New Roman"/>
          <w:bCs/>
          <w:sz w:val="24"/>
          <w:szCs w:val="24"/>
        </w:rPr>
      </w:pPr>
      <w:r w:rsidRPr="001E6AF6">
        <w:rPr>
          <w:rFonts w:cs="Times New Roman"/>
          <w:bCs/>
          <w:sz w:val="24"/>
          <w:szCs w:val="24"/>
        </w:rPr>
        <w:t>The intervenors’ positions are well-supported by the facts and well-grounded in Ohio</w:t>
      </w:r>
      <w:r w:rsidRPr="004569A4">
        <w:rPr>
          <w:rFonts w:cs="Times New Roman"/>
          <w:bCs/>
          <w:sz w:val="24"/>
          <w:szCs w:val="24"/>
        </w:rPr>
        <w:t xml:space="preserve"> law, so the Public Utilities Commission of Ohio </w:t>
      </w:r>
      <w:r w:rsidRPr="004569A4" w:rsidR="0010074A">
        <w:rPr>
          <w:rFonts w:cs="Times New Roman"/>
          <w:bCs/>
          <w:sz w:val="24"/>
          <w:szCs w:val="24"/>
        </w:rPr>
        <w:t xml:space="preserve">(“PUCO”) </w:t>
      </w:r>
      <w:r w:rsidRPr="004569A4">
        <w:rPr>
          <w:rFonts w:cs="Times New Roman"/>
          <w:bCs/>
          <w:sz w:val="24"/>
          <w:szCs w:val="24"/>
        </w:rPr>
        <w:t>should reject the FirstEnergy Utilities’ positions and, instead, adopt the intervenors’ recommendations.</w:t>
      </w:r>
    </w:p>
    <w:p w:rsidR="00AB44BE" w:rsidRPr="004569A4" w:rsidP="00AB44BE" w14:paraId="2C5F24D6" w14:textId="77777777">
      <w:pPr>
        <w:pStyle w:val="BodyText"/>
        <w:ind w:left="0" w:firstLine="720"/>
        <w:rPr>
          <w:rFonts w:cs="Times New Roman"/>
          <w:bCs/>
          <w:sz w:val="24"/>
          <w:szCs w:val="24"/>
        </w:rPr>
      </w:pPr>
    </w:p>
    <w:p w:rsidR="00232750" w:rsidRPr="004569A4" w:rsidP="004569A4" w14:paraId="51F27891" w14:textId="7290FDAD">
      <w:pPr>
        <w:pStyle w:val="Heading1"/>
      </w:pPr>
      <w:bookmarkStart w:id="1" w:name="_Toc90301097"/>
      <w:r>
        <w:t>REPLY COMMENTS</w:t>
      </w:r>
      <w:bookmarkEnd w:id="1"/>
      <w:r>
        <w:t xml:space="preserve"> </w:t>
      </w:r>
    </w:p>
    <w:p w:rsidR="00830929" w:rsidP="001E6AF6" w14:paraId="75A4929F" w14:textId="147C90A3">
      <w:pPr>
        <w:pStyle w:val="Heading2"/>
      </w:pPr>
      <w:bookmarkStart w:id="2" w:name="_Toc90301098"/>
      <w:r w:rsidRPr="00830929">
        <w:t xml:space="preserve">The PUCO should find that FirstEnergy’s corporate separation plan </w:t>
      </w:r>
      <w:r w:rsidRPr="00BB00B1">
        <w:t xml:space="preserve">violated R.C. 4928.17(A)(3) and O.A.C. 4901:1-37-07 because it was </w:t>
      </w:r>
      <w:r w:rsidR="009212AA">
        <w:t>u</w:t>
      </w:r>
      <w:r w:rsidRPr="00BB00B1">
        <w:t>nauditable.</w:t>
      </w:r>
      <w:r w:rsidR="00AB44BE">
        <w:t xml:space="preserve"> </w:t>
      </w:r>
      <w:r w:rsidRPr="00BB00B1">
        <w:t xml:space="preserve">The PUCO should </w:t>
      </w:r>
      <w:r w:rsidR="00915F00">
        <w:t>investigate</w:t>
      </w:r>
      <w:r>
        <w:t xml:space="preserve"> why the corporate separation compliance records from 2016-2020 are missing</w:t>
      </w:r>
      <w:r w:rsidR="00915F00">
        <w:t xml:space="preserve">, as it seems that the PUCO auditor </w:t>
      </w:r>
      <w:r w:rsidR="005B374F">
        <w:t>failed to</w:t>
      </w:r>
      <w:r w:rsidR="00915F00">
        <w:t xml:space="preserve"> adequately explain it</w:t>
      </w:r>
      <w:r>
        <w:t>.</w:t>
      </w:r>
      <w:bookmarkEnd w:id="2"/>
    </w:p>
    <w:p w:rsidR="008E0897" w:rsidP="001E6AF6" w14:paraId="6BE9E189" w14:textId="77777777">
      <w:pPr>
        <w:pStyle w:val="Heading2"/>
        <w:numPr>
          <w:ilvl w:val="0"/>
          <w:numId w:val="0"/>
        </w:numPr>
        <w:ind w:left="1440"/>
      </w:pPr>
    </w:p>
    <w:p w:rsidR="008E0897" w:rsidRPr="001E6AF6" w:rsidP="00354685" w14:paraId="64E688B2" w14:textId="7401379E">
      <w:pPr>
        <w:spacing w:line="480" w:lineRule="auto"/>
        <w:ind w:firstLine="720"/>
        <w:rPr>
          <w:rFonts w:ascii="Times New Roman" w:hAnsi="Times New Roman" w:cs="Times New Roman"/>
          <w:sz w:val="24"/>
          <w:szCs w:val="24"/>
        </w:rPr>
      </w:pPr>
      <w:r w:rsidRPr="001E6AF6">
        <w:rPr>
          <w:rFonts w:ascii="Times New Roman" w:hAnsi="Times New Roman" w:cs="Times New Roman"/>
          <w:sz w:val="24"/>
          <w:szCs w:val="24"/>
        </w:rPr>
        <w:t xml:space="preserve">The initial comments by the Office of the Ohio Consumers’ Counsel (“OCC”) explain how FirstEnergy’s corporate separation plan violated R.C. 4928.17(A)(3) and O.A.C. 4901:1-37-07 because it was </w:t>
      </w:r>
      <w:r w:rsidRPr="001E6AF6" w:rsidR="009212AA">
        <w:rPr>
          <w:rFonts w:ascii="Times New Roman" w:hAnsi="Times New Roman" w:cs="Times New Roman"/>
          <w:sz w:val="24"/>
          <w:szCs w:val="24"/>
        </w:rPr>
        <w:t>u</w:t>
      </w:r>
      <w:r w:rsidRPr="001E6AF6">
        <w:rPr>
          <w:rFonts w:ascii="Times New Roman" w:hAnsi="Times New Roman" w:cs="Times New Roman"/>
          <w:sz w:val="24"/>
          <w:szCs w:val="24"/>
        </w:rPr>
        <w:t>nauditable.</w:t>
      </w:r>
      <w:r w:rsidRPr="001E6AF6" w:rsidR="00AB44BE">
        <w:rPr>
          <w:rFonts w:ascii="Times New Roman" w:hAnsi="Times New Roman" w:cs="Times New Roman"/>
          <w:sz w:val="24"/>
          <w:szCs w:val="24"/>
        </w:rPr>
        <w:t xml:space="preserve"> </w:t>
      </w:r>
      <w:r w:rsidRPr="001E6AF6">
        <w:rPr>
          <w:rFonts w:ascii="Times New Roman" w:hAnsi="Times New Roman" w:cs="Times New Roman"/>
          <w:sz w:val="24"/>
          <w:szCs w:val="24"/>
        </w:rPr>
        <w:t xml:space="preserve">The plan was </w:t>
      </w:r>
      <w:r w:rsidRPr="001E6AF6" w:rsidR="009212AA">
        <w:rPr>
          <w:rFonts w:ascii="Times New Roman" w:hAnsi="Times New Roman" w:cs="Times New Roman"/>
          <w:sz w:val="24"/>
          <w:szCs w:val="24"/>
        </w:rPr>
        <w:t>u</w:t>
      </w:r>
      <w:r w:rsidRPr="001E6AF6">
        <w:rPr>
          <w:rFonts w:ascii="Times New Roman" w:hAnsi="Times New Roman" w:cs="Times New Roman"/>
          <w:sz w:val="24"/>
          <w:szCs w:val="24"/>
        </w:rPr>
        <w:t>nauditable because</w:t>
      </w:r>
      <w:r w:rsidRPr="001E6AF6" w:rsidR="005B374F">
        <w:rPr>
          <w:rFonts w:ascii="Times New Roman" w:hAnsi="Times New Roman" w:cs="Times New Roman"/>
          <w:sz w:val="24"/>
          <w:szCs w:val="24"/>
        </w:rPr>
        <w:t>, among other things,</w:t>
      </w:r>
      <w:r w:rsidRPr="001E6AF6">
        <w:rPr>
          <w:rFonts w:ascii="Times New Roman" w:hAnsi="Times New Roman" w:cs="Times New Roman"/>
          <w:sz w:val="24"/>
          <w:szCs w:val="24"/>
        </w:rPr>
        <w:t xml:space="preserve"> the corporate separation compliance records from 2016-2020 </w:t>
      </w:r>
      <w:r w:rsidRPr="001E6AF6" w:rsidR="005B374F">
        <w:rPr>
          <w:rFonts w:ascii="Times New Roman" w:hAnsi="Times New Roman" w:cs="Times New Roman"/>
          <w:sz w:val="24"/>
          <w:szCs w:val="24"/>
        </w:rPr>
        <w:t>are</w:t>
      </w:r>
      <w:r w:rsidRPr="001E6AF6">
        <w:rPr>
          <w:rFonts w:ascii="Times New Roman" w:hAnsi="Times New Roman" w:cs="Times New Roman"/>
          <w:sz w:val="24"/>
          <w:szCs w:val="24"/>
        </w:rPr>
        <w:t xml:space="preserve"> missing.</w:t>
      </w:r>
      <w:r w:rsidRPr="001E6AF6" w:rsidR="00AB44BE">
        <w:rPr>
          <w:rFonts w:ascii="Times New Roman" w:hAnsi="Times New Roman" w:cs="Times New Roman"/>
          <w:sz w:val="24"/>
          <w:szCs w:val="24"/>
        </w:rPr>
        <w:t xml:space="preserve"> </w:t>
      </w:r>
      <w:r w:rsidRPr="001E6AF6">
        <w:rPr>
          <w:rFonts w:ascii="Times New Roman" w:hAnsi="Times New Roman" w:cs="Times New Roman"/>
          <w:sz w:val="24"/>
          <w:szCs w:val="24"/>
        </w:rPr>
        <w:t>This is a clear violation of FirstEnergy’s responsibility to maintain “sufficient” records to demonstrate compliance with corporate separation requirements.</w:t>
      </w:r>
      <w:r w:rsidRPr="001E6AF6" w:rsidR="00AB44BE">
        <w:rPr>
          <w:rFonts w:ascii="Times New Roman" w:hAnsi="Times New Roman" w:cs="Times New Roman"/>
          <w:sz w:val="24"/>
          <w:szCs w:val="24"/>
        </w:rPr>
        <w:t xml:space="preserve"> </w:t>
      </w:r>
      <w:r w:rsidRPr="001E6AF6">
        <w:rPr>
          <w:rFonts w:ascii="Times New Roman" w:hAnsi="Times New Roman" w:cs="Times New Roman"/>
          <w:sz w:val="24"/>
          <w:szCs w:val="24"/>
        </w:rPr>
        <w:t>Other commenters also noted this deficiency.</w:t>
      </w:r>
      <w:r w:rsidRPr="001E6AF6" w:rsidR="00AB44BE">
        <w:rPr>
          <w:rFonts w:ascii="Times New Roman" w:hAnsi="Times New Roman" w:cs="Times New Roman"/>
          <w:sz w:val="24"/>
          <w:szCs w:val="24"/>
        </w:rPr>
        <w:t xml:space="preserve"> </w:t>
      </w:r>
      <w:r w:rsidRPr="001E6AF6" w:rsidR="0028568A">
        <w:rPr>
          <w:rFonts w:ascii="Times New Roman" w:hAnsi="Times New Roman" w:cs="Times New Roman"/>
          <w:sz w:val="24"/>
          <w:szCs w:val="24"/>
        </w:rPr>
        <w:t>The Ohio Manufacturers’ Association Energy Group (“OMAEG”)’s initial comments also discuss how the audit report was insufficient due to FirstEnergy’s failure to produce the corporate separation compliance records from 2016-2020.</w:t>
      </w:r>
      <w:r>
        <w:rPr>
          <w:rStyle w:val="FootnoteReference"/>
          <w:rFonts w:ascii="Times New Roman" w:hAnsi="Times New Roman" w:cs="Times New Roman"/>
          <w:sz w:val="24"/>
          <w:szCs w:val="24"/>
        </w:rPr>
        <w:footnoteReference w:id="4"/>
      </w:r>
    </w:p>
    <w:p w:rsidR="005B374F" w:rsidRPr="001E6AF6" w:rsidP="00354685" w14:paraId="06EC62BA" w14:textId="6DBF97D0">
      <w:pPr>
        <w:spacing w:line="480" w:lineRule="auto"/>
        <w:ind w:firstLine="720"/>
        <w:rPr>
          <w:rFonts w:ascii="Times New Roman" w:hAnsi="Times New Roman" w:cs="Times New Roman"/>
          <w:sz w:val="24"/>
          <w:szCs w:val="24"/>
        </w:rPr>
      </w:pPr>
      <w:r w:rsidRPr="001E6AF6">
        <w:rPr>
          <w:rFonts w:ascii="Times New Roman" w:hAnsi="Times New Roman" w:cs="Times New Roman"/>
          <w:sz w:val="24"/>
          <w:szCs w:val="24"/>
        </w:rPr>
        <w:t xml:space="preserve">The PUCO should address this failure first by finding that FirstEnergy violated R.C. 4928.17(A)(3) and O.A.C. 4901:1-37-07 due to an </w:t>
      </w:r>
      <w:r w:rsidRPr="001E6AF6" w:rsidR="005B1D58">
        <w:rPr>
          <w:rFonts w:ascii="Times New Roman" w:hAnsi="Times New Roman" w:cs="Times New Roman"/>
          <w:sz w:val="24"/>
          <w:szCs w:val="24"/>
        </w:rPr>
        <w:t>u</w:t>
      </w:r>
      <w:r w:rsidRPr="001E6AF6">
        <w:rPr>
          <w:rFonts w:ascii="Times New Roman" w:hAnsi="Times New Roman" w:cs="Times New Roman"/>
          <w:sz w:val="24"/>
          <w:szCs w:val="24"/>
        </w:rPr>
        <w:t>nauditable corporate separation plan. Second, the PUCO should investigate why the corporate separation compliance records from 2016-2020 are missing, as it seems that the PUCO auditor failed to adequately explain it.</w:t>
      </w:r>
    </w:p>
    <w:p w:rsidR="0028568A" w:rsidRPr="001E6AF6" w:rsidP="00354685" w14:paraId="6A2D9840" w14:textId="7F519E07">
      <w:pPr>
        <w:spacing w:line="480" w:lineRule="auto"/>
        <w:rPr>
          <w:rFonts w:ascii="Times New Roman" w:hAnsi="Times New Roman" w:cs="Times New Roman"/>
          <w:sz w:val="24"/>
          <w:szCs w:val="24"/>
        </w:rPr>
      </w:pPr>
      <w:r w:rsidRPr="001E6AF6">
        <w:rPr>
          <w:rFonts w:ascii="Times New Roman" w:hAnsi="Times New Roman" w:cs="Times New Roman"/>
          <w:sz w:val="24"/>
          <w:szCs w:val="24"/>
        </w:rPr>
        <w:t xml:space="preserve">The auditor simply stated that the records were </w:t>
      </w:r>
      <w:r w:rsidRPr="001E6AF6" w:rsidR="00AB44BE">
        <w:rPr>
          <w:rFonts w:ascii="Times New Roman" w:hAnsi="Times New Roman" w:cs="Times New Roman"/>
          <w:sz w:val="24"/>
          <w:szCs w:val="24"/>
        </w:rPr>
        <w:t>missing but</w:t>
      </w:r>
      <w:r w:rsidRPr="001E6AF6">
        <w:rPr>
          <w:rFonts w:ascii="Times New Roman" w:hAnsi="Times New Roman" w:cs="Times New Roman"/>
          <w:sz w:val="24"/>
          <w:szCs w:val="24"/>
        </w:rPr>
        <w:t xml:space="preserve"> provided no additional background information.</w:t>
      </w:r>
      <w:r w:rsidRPr="001E6AF6" w:rsidR="00AB44BE">
        <w:rPr>
          <w:rFonts w:ascii="Times New Roman" w:hAnsi="Times New Roman" w:cs="Times New Roman"/>
          <w:sz w:val="24"/>
          <w:szCs w:val="24"/>
        </w:rPr>
        <w:t xml:space="preserve"> </w:t>
      </w:r>
      <w:r w:rsidRPr="001E6AF6">
        <w:rPr>
          <w:rFonts w:ascii="Times New Roman" w:hAnsi="Times New Roman" w:cs="Times New Roman"/>
          <w:sz w:val="24"/>
          <w:szCs w:val="24"/>
        </w:rPr>
        <w:t xml:space="preserve">The </w:t>
      </w:r>
      <w:r w:rsidRPr="001E6AF6" w:rsidR="005B374F">
        <w:rPr>
          <w:rFonts w:ascii="Times New Roman" w:hAnsi="Times New Roman" w:cs="Times New Roman"/>
          <w:sz w:val="24"/>
          <w:szCs w:val="24"/>
        </w:rPr>
        <w:t>PUCO should investigate</w:t>
      </w:r>
      <w:r w:rsidRPr="001E6AF6">
        <w:rPr>
          <w:rFonts w:ascii="Times New Roman" w:hAnsi="Times New Roman" w:cs="Times New Roman"/>
          <w:sz w:val="24"/>
          <w:szCs w:val="24"/>
        </w:rPr>
        <w:t xml:space="preserve"> whether the records were ever kept, who kept the records, who assisted in preparing the records,</w:t>
      </w:r>
      <w:r w:rsidRPr="001E6AF6" w:rsidR="005B374F">
        <w:rPr>
          <w:rFonts w:ascii="Times New Roman" w:hAnsi="Times New Roman" w:cs="Times New Roman"/>
          <w:sz w:val="24"/>
          <w:szCs w:val="24"/>
        </w:rPr>
        <w:t xml:space="preserve"> why the records are unavailable,</w:t>
      </w:r>
      <w:r w:rsidRPr="001E6AF6">
        <w:rPr>
          <w:rFonts w:ascii="Times New Roman" w:hAnsi="Times New Roman" w:cs="Times New Roman"/>
          <w:sz w:val="24"/>
          <w:szCs w:val="24"/>
        </w:rPr>
        <w:t xml:space="preserve"> what </w:t>
      </w:r>
      <w:r w:rsidRPr="001E6AF6" w:rsidR="005B374F">
        <w:rPr>
          <w:rFonts w:ascii="Times New Roman" w:hAnsi="Times New Roman" w:cs="Times New Roman"/>
          <w:sz w:val="24"/>
          <w:szCs w:val="24"/>
        </w:rPr>
        <w:t>efforts</w:t>
      </w:r>
      <w:r w:rsidRPr="001E6AF6">
        <w:rPr>
          <w:rFonts w:ascii="Times New Roman" w:hAnsi="Times New Roman" w:cs="Times New Roman"/>
          <w:sz w:val="24"/>
          <w:szCs w:val="24"/>
        </w:rPr>
        <w:t xml:space="preserve"> FirstEnergy made to search for the records, etc.</w:t>
      </w:r>
      <w:r w:rsidRPr="001E6AF6" w:rsidR="00AB44BE">
        <w:rPr>
          <w:rFonts w:ascii="Times New Roman" w:hAnsi="Times New Roman" w:cs="Times New Roman"/>
          <w:sz w:val="24"/>
          <w:szCs w:val="24"/>
        </w:rPr>
        <w:t xml:space="preserve"> </w:t>
      </w:r>
    </w:p>
    <w:p w:rsidR="0028568A" w:rsidRPr="00EB777E" w:rsidP="00354685" w14:paraId="52AFC6A3" w14:textId="096B76D6">
      <w:pPr>
        <w:spacing w:line="480" w:lineRule="auto"/>
        <w:ind w:firstLine="720"/>
        <w:rPr>
          <w:rFonts w:ascii="Times New Roman" w:hAnsi="Times New Roman" w:cs="Times New Roman"/>
          <w:sz w:val="24"/>
          <w:szCs w:val="24"/>
        </w:rPr>
      </w:pPr>
      <w:r w:rsidRPr="001E6AF6">
        <w:rPr>
          <w:rFonts w:ascii="Times New Roman" w:hAnsi="Times New Roman" w:cs="Times New Roman"/>
          <w:sz w:val="24"/>
          <w:szCs w:val="24"/>
        </w:rPr>
        <w:t>FirstEnergy has shown in these investigations a</w:t>
      </w:r>
      <w:r w:rsidRPr="001E6AF6" w:rsidR="00C148F8">
        <w:rPr>
          <w:rFonts w:ascii="Times New Roman" w:hAnsi="Times New Roman" w:cs="Times New Roman"/>
          <w:sz w:val="24"/>
          <w:szCs w:val="24"/>
        </w:rPr>
        <w:t xml:space="preserve"> disturbing pattern of concealing information from the PUCO.</w:t>
      </w:r>
      <w:r w:rsidRPr="001E6AF6" w:rsidR="00AB44BE">
        <w:rPr>
          <w:rFonts w:ascii="Times New Roman" w:hAnsi="Times New Roman" w:cs="Times New Roman"/>
          <w:sz w:val="24"/>
          <w:szCs w:val="24"/>
        </w:rPr>
        <w:t xml:space="preserve"> </w:t>
      </w:r>
      <w:r w:rsidRPr="001E6AF6" w:rsidR="00C148F8">
        <w:rPr>
          <w:rFonts w:ascii="Times New Roman" w:hAnsi="Times New Roman" w:cs="Times New Roman"/>
          <w:sz w:val="24"/>
          <w:szCs w:val="24"/>
        </w:rPr>
        <w:t>For example, when the PUCO issued a show-cause order in Case No. 20-1502-EL-UNC requiring FirstEnergy to state whether any H.B. 6 costs were included in consumers’ rates, FirstEnergy responded in the negative.</w:t>
      </w:r>
      <w:r w:rsidRPr="001E6AF6" w:rsidR="00AB44BE">
        <w:rPr>
          <w:rFonts w:ascii="Times New Roman" w:hAnsi="Times New Roman" w:cs="Times New Roman"/>
          <w:sz w:val="24"/>
          <w:szCs w:val="24"/>
        </w:rPr>
        <w:t xml:space="preserve"> </w:t>
      </w:r>
      <w:r w:rsidRPr="001E6AF6" w:rsidR="00C148F8">
        <w:rPr>
          <w:rFonts w:ascii="Times New Roman" w:hAnsi="Times New Roman" w:cs="Times New Roman"/>
          <w:sz w:val="24"/>
          <w:szCs w:val="24"/>
        </w:rPr>
        <w:t>The deposition of Mr. Santino Fanelli later revealed that FirstEnergy had booked costs to the FirstEnergy Utilities for contributions to Generation Now and Hardworking Ohioans and that FirstEnergy was aware of this when it submitted its response to the show-cause order</w:t>
      </w:r>
      <w:r w:rsidRPr="001E6AF6" w:rsidR="005B374F">
        <w:rPr>
          <w:rFonts w:ascii="Times New Roman" w:hAnsi="Times New Roman" w:cs="Times New Roman"/>
          <w:sz w:val="24"/>
          <w:szCs w:val="24"/>
        </w:rPr>
        <w:t>.</w:t>
      </w:r>
      <w:r w:rsidRPr="001E6AF6" w:rsidR="00C148F8">
        <w:rPr>
          <w:rFonts w:ascii="Times New Roman" w:hAnsi="Times New Roman" w:cs="Times New Roman"/>
          <w:sz w:val="24"/>
          <w:szCs w:val="24"/>
        </w:rPr>
        <w:t xml:space="preserve"> </w:t>
      </w:r>
      <w:r w:rsidRPr="001E6AF6" w:rsidR="005B374F">
        <w:rPr>
          <w:rFonts w:ascii="Times New Roman" w:hAnsi="Times New Roman" w:cs="Times New Roman"/>
          <w:sz w:val="24"/>
          <w:szCs w:val="24"/>
        </w:rPr>
        <w:t>B</w:t>
      </w:r>
      <w:r w:rsidRPr="001E6AF6" w:rsidR="00C148F8">
        <w:rPr>
          <w:rFonts w:ascii="Times New Roman" w:hAnsi="Times New Roman" w:cs="Times New Roman"/>
          <w:sz w:val="24"/>
          <w:szCs w:val="24"/>
        </w:rPr>
        <w:t>ut FirstEnergy decided to conceal this information from the PUCO when it responded to the show-cause order.</w:t>
      </w:r>
      <w:r w:rsidRPr="001E6AF6" w:rsidR="00AB44BE">
        <w:rPr>
          <w:rFonts w:ascii="Times New Roman" w:hAnsi="Times New Roman" w:cs="Times New Roman"/>
          <w:sz w:val="24"/>
          <w:szCs w:val="24"/>
        </w:rPr>
        <w:t xml:space="preserve"> </w:t>
      </w:r>
      <w:r w:rsidRPr="00EB777E" w:rsidR="00C148F8">
        <w:rPr>
          <w:rFonts w:ascii="Times New Roman" w:hAnsi="Times New Roman" w:cs="Times New Roman"/>
          <w:sz w:val="24"/>
          <w:szCs w:val="24"/>
        </w:rPr>
        <w:t>The audit in Case No. 20-1629-EL-RDR confirmed that these costs were included in consumers’ rates.</w:t>
      </w:r>
      <w:r w:rsidRPr="00EB777E" w:rsidR="00AB44BE">
        <w:rPr>
          <w:rFonts w:ascii="Times New Roman" w:hAnsi="Times New Roman" w:cs="Times New Roman"/>
          <w:sz w:val="24"/>
          <w:szCs w:val="24"/>
        </w:rPr>
        <w:t xml:space="preserve"> </w:t>
      </w:r>
    </w:p>
    <w:p w:rsidR="00C148F8" w:rsidRPr="00354685" w:rsidP="00354685" w14:paraId="34B6F4C3" w14:textId="16A7979F">
      <w:pPr>
        <w:spacing w:line="480" w:lineRule="auto"/>
        <w:ind w:firstLine="720"/>
        <w:rPr>
          <w:rFonts w:ascii="Times New Roman" w:hAnsi="Times New Roman" w:cs="Times New Roman"/>
          <w:sz w:val="24"/>
          <w:szCs w:val="24"/>
        </w:rPr>
      </w:pPr>
      <w:r w:rsidRPr="00354685">
        <w:rPr>
          <w:rFonts w:ascii="Times New Roman" w:hAnsi="Times New Roman" w:cs="Times New Roman"/>
          <w:sz w:val="24"/>
          <w:szCs w:val="24"/>
        </w:rPr>
        <w:t>Further, FirstEnergy did not timely disclose to the PUCO that the $4.3 million “consulting” payment to Mr. Randazzo’s firm was political spending in support of H.B. 6.</w:t>
      </w:r>
      <w:r w:rsidRPr="00354685" w:rsidR="00AB44BE">
        <w:rPr>
          <w:rFonts w:ascii="Times New Roman" w:hAnsi="Times New Roman" w:cs="Times New Roman"/>
          <w:sz w:val="24"/>
          <w:szCs w:val="24"/>
        </w:rPr>
        <w:t xml:space="preserve"> </w:t>
      </w:r>
      <w:r w:rsidRPr="00354685">
        <w:rPr>
          <w:rFonts w:ascii="Times New Roman" w:hAnsi="Times New Roman" w:cs="Times New Roman"/>
          <w:sz w:val="24"/>
          <w:szCs w:val="24"/>
        </w:rPr>
        <w:t xml:space="preserve">FirstEnergy </w:t>
      </w:r>
      <w:r w:rsidRPr="00354685" w:rsidR="000204E6">
        <w:rPr>
          <w:rFonts w:ascii="Times New Roman" w:hAnsi="Times New Roman" w:cs="Times New Roman"/>
          <w:sz w:val="24"/>
          <w:szCs w:val="24"/>
        </w:rPr>
        <w:t>knew by February, 2021 that the payment was related to H.B. 6, as seen from its SEC filings that “FirstEnergy believes that payments under the consulting agreement may have been</w:t>
      </w:r>
      <w:r w:rsidRPr="00354685" w:rsidR="00EC3670">
        <w:rPr>
          <w:rFonts w:ascii="Times New Roman" w:hAnsi="Times New Roman" w:cs="Times New Roman"/>
          <w:sz w:val="24"/>
          <w:szCs w:val="24"/>
        </w:rPr>
        <w:t xml:space="preserve"> </w:t>
      </w:r>
      <w:r w:rsidRPr="00354685" w:rsidR="000204E6">
        <w:rPr>
          <w:rFonts w:ascii="Times New Roman" w:hAnsi="Times New Roman" w:cs="Times New Roman"/>
          <w:sz w:val="24"/>
          <w:szCs w:val="24"/>
        </w:rPr>
        <w:t>for purposes other than those represented within the consulting agreement.”</w:t>
      </w:r>
      <w:r>
        <w:rPr>
          <w:rStyle w:val="FootnoteReference"/>
          <w:rFonts w:ascii="Times New Roman" w:hAnsi="Times New Roman" w:cs="Times New Roman"/>
          <w:sz w:val="24"/>
          <w:szCs w:val="24"/>
        </w:rPr>
        <w:footnoteReference w:id="5"/>
      </w:r>
      <w:r w:rsidRPr="00354685" w:rsidR="00AB44BE">
        <w:rPr>
          <w:rFonts w:ascii="Times New Roman" w:hAnsi="Times New Roman" w:cs="Times New Roman"/>
          <w:sz w:val="24"/>
          <w:szCs w:val="24"/>
        </w:rPr>
        <w:t xml:space="preserve"> </w:t>
      </w:r>
      <w:r w:rsidRPr="00354685" w:rsidR="000204E6">
        <w:rPr>
          <w:rFonts w:ascii="Times New Roman" w:hAnsi="Times New Roman" w:cs="Times New Roman"/>
          <w:sz w:val="24"/>
          <w:szCs w:val="24"/>
        </w:rPr>
        <w:t>FirstEnergy disclosed on April 23, 2021 that it was in talks with the U.S. Attorney about entering into a Deferred Prosecution Agreement, where FirstEnergy admitted the $4.3 million payment was political spending in support of H.B. 6.</w:t>
      </w:r>
      <w:r>
        <w:rPr>
          <w:rStyle w:val="FootnoteReference"/>
          <w:rFonts w:ascii="Times New Roman" w:hAnsi="Times New Roman" w:cs="Times New Roman"/>
          <w:sz w:val="24"/>
          <w:szCs w:val="24"/>
        </w:rPr>
        <w:footnoteReference w:id="6"/>
      </w:r>
      <w:r w:rsidRPr="00354685" w:rsidR="00AB44BE">
        <w:rPr>
          <w:rFonts w:ascii="Times New Roman" w:hAnsi="Times New Roman" w:cs="Times New Roman"/>
          <w:sz w:val="24"/>
          <w:szCs w:val="24"/>
        </w:rPr>
        <w:t xml:space="preserve"> </w:t>
      </w:r>
      <w:r w:rsidRPr="00354685" w:rsidR="00EC3670">
        <w:rPr>
          <w:rFonts w:ascii="Times New Roman" w:hAnsi="Times New Roman" w:cs="Times New Roman"/>
          <w:sz w:val="24"/>
          <w:szCs w:val="24"/>
        </w:rPr>
        <w:t xml:space="preserve">Yet FirstEnergy </w:t>
      </w:r>
      <w:r w:rsidRPr="00354685">
        <w:rPr>
          <w:rFonts w:ascii="Times New Roman" w:hAnsi="Times New Roman" w:cs="Times New Roman"/>
          <w:sz w:val="24"/>
          <w:szCs w:val="24"/>
        </w:rPr>
        <w:t>did not disclose</w:t>
      </w:r>
      <w:r w:rsidRPr="00354685" w:rsidR="00EC3670">
        <w:rPr>
          <w:rFonts w:ascii="Times New Roman" w:hAnsi="Times New Roman" w:cs="Times New Roman"/>
          <w:sz w:val="24"/>
          <w:szCs w:val="24"/>
        </w:rPr>
        <w:t xml:space="preserve"> this fact </w:t>
      </w:r>
      <w:r w:rsidRPr="00354685">
        <w:rPr>
          <w:rFonts w:ascii="Times New Roman" w:hAnsi="Times New Roman" w:cs="Times New Roman"/>
          <w:sz w:val="24"/>
          <w:szCs w:val="24"/>
        </w:rPr>
        <w:t>to</w:t>
      </w:r>
      <w:r w:rsidRPr="00354685" w:rsidR="00EC3670">
        <w:rPr>
          <w:rFonts w:ascii="Times New Roman" w:hAnsi="Times New Roman" w:cs="Times New Roman"/>
          <w:sz w:val="24"/>
          <w:szCs w:val="24"/>
        </w:rPr>
        <w:t xml:space="preserve"> the PUCO until August 6, 2021 (when FirstEnergy filed a motion to supplement its response to the show-cause order), after the Deferred Prosecution Agreement became public.</w:t>
      </w:r>
    </w:p>
    <w:p w:rsidR="008E0897" w:rsidRPr="00354685" w:rsidP="00354685" w14:paraId="62A68ECD" w14:textId="3670738C">
      <w:pPr>
        <w:spacing w:line="480" w:lineRule="auto"/>
        <w:ind w:firstLine="720"/>
        <w:rPr>
          <w:rFonts w:ascii="Times New Roman" w:hAnsi="Times New Roman" w:cs="Times New Roman"/>
          <w:sz w:val="24"/>
          <w:szCs w:val="24"/>
        </w:rPr>
      </w:pPr>
      <w:r w:rsidRPr="00354685">
        <w:rPr>
          <w:rFonts w:ascii="Times New Roman" w:hAnsi="Times New Roman" w:cs="Times New Roman"/>
          <w:sz w:val="24"/>
          <w:szCs w:val="24"/>
        </w:rPr>
        <w:t xml:space="preserve">This is important information </w:t>
      </w:r>
      <w:r w:rsidRPr="00354685" w:rsidR="005B374F">
        <w:rPr>
          <w:rFonts w:ascii="Times New Roman" w:hAnsi="Times New Roman" w:cs="Times New Roman"/>
          <w:sz w:val="24"/>
          <w:szCs w:val="24"/>
        </w:rPr>
        <w:t xml:space="preserve">for, among other things, </w:t>
      </w:r>
      <w:r w:rsidRPr="00354685" w:rsidR="00C20DD8">
        <w:rPr>
          <w:rFonts w:ascii="Times New Roman" w:hAnsi="Times New Roman" w:cs="Times New Roman"/>
          <w:sz w:val="24"/>
          <w:szCs w:val="24"/>
        </w:rPr>
        <w:t>an adequate PUCO audit and determining</w:t>
      </w:r>
      <w:r w:rsidRPr="00354685">
        <w:rPr>
          <w:rFonts w:ascii="Times New Roman" w:hAnsi="Times New Roman" w:cs="Times New Roman"/>
          <w:sz w:val="24"/>
          <w:szCs w:val="24"/>
        </w:rPr>
        <w:t xml:space="preserve"> the level of forfeitures that should be </w:t>
      </w:r>
      <w:r w:rsidRPr="00354685" w:rsidR="00C20DD8">
        <w:rPr>
          <w:rFonts w:ascii="Times New Roman" w:hAnsi="Times New Roman" w:cs="Times New Roman"/>
          <w:sz w:val="24"/>
          <w:szCs w:val="24"/>
        </w:rPr>
        <w:t>imposed</w:t>
      </w:r>
      <w:r w:rsidRPr="00354685">
        <w:rPr>
          <w:rFonts w:ascii="Times New Roman" w:hAnsi="Times New Roman" w:cs="Times New Roman"/>
          <w:sz w:val="24"/>
          <w:szCs w:val="24"/>
        </w:rPr>
        <w:t xml:space="preserve"> for FirstEnergy’s violation of </w:t>
      </w:r>
      <w:r w:rsidRPr="00354685" w:rsidR="00B9176B">
        <w:rPr>
          <w:rFonts w:ascii="Times New Roman" w:hAnsi="Times New Roman" w:cs="Times New Roman"/>
          <w:sz w:val="24"/>
          <w:szCs w:val="24"/>
        </w:rPr>
        <w:t xml:space="preserve">corporate separation requirements in maintaining an </w:t>
      </w:r>
      <w:r w:rsidRPr="00354685" w:rsidR="005B1D58">
        <w:rPr>
          <w:rFonts w:ascii="Times New Roman" w:hAnsi="Times New Roman" w:cs="Times New Roman"/>
          <w:sz w:val="24"/>
          <w:szCs w:val="24"/>
        </w:rPr>
        <w:t>u</w:t>
      </w:r>
      <w:r w:rsidRPr="00354685" w:rsidR="00B9176B">
        <w:rPr>
          <w:rFonts w:ascii="Times New Roman" w:hAnsi="Times New Roman" w:cs="Times New Roman"/>
          <w:sz w:val="24"/>
          <w:szCs w:val="24"/>
        </w:rPr>
        <w:t>nauditable corporate separation plan.</w:t>
      </w:r>
    </w:p>
    <w:p w:rsidR="004D1A55" w:rsidP="001E6AF6" w14:paraId="71DAA3AE" w14:textId="270DEE07">
      <w:pPr>
        <w:pStyle w:val="Heading2"/>
      </w:pPr>
      <w:bookmarkStart w:id="3" w:name="_Toc90301099"/>
      <w:r>
        <w:t>As recommended in a motion by OCC and NOPEC, t</w:t>
      </w:r>
      <w:r w:rsidRPr="004569A4" w:rsidR="00565C91">
        <w:t xml:space="preserve">he </w:t>
      </w:r>
      <w:r w:rsidR="00326A1E">
        <w:t>PUCO should order a supplement</w:t>
      </w:r>
      <w:r w:rsidR="005163C5">
        <w:t>al</w:t>
      </w:r>
      <w:r w:rsidR="00326A1E">
        <w:t xml:space="preserve"> audit to </w:t>
      </w:r>
      <w:r>
        <w:t>address the extent to which</w:t>
      </w:r>
      <w:r w:rsidRPr="004569A4">
        <w:t xml:space="preserve"> FirstEnergy’s H.B. 6 misconduct violat</w:t>
      </w:r>
      <w:r>
        <w:t>ed</w:t>
      </w:r>
      <w:r w:rsidR="00326A1E">
        <w:t xml:space="preserve"> </w:t>
      </w:r>
      <w:r w:rsidRPr="004569A4">
        <w:t>Ohio corporate separation law</w:t>
      </w:r>
      <w:r w:rsidR="00326A1E">
        <w:t>.</w:t>
      </w:r>
      <w:bookmarkEnd w:id="3"/>
      <w:r w:rsidR="00326A1E">
        <w:t xml:space="preserve"> </w:t>
      </w:r>
    </w:p>
    <w:p w:rsidR="00AB1E71" w:rsidRPr="004569A4" w:rsidP="001E6AF6" w14:paraId="5C8C7BE1" w14:textId="77777777">
      <w:pPr>
        <w:pStyle w:val="Heading2"/>
        <w:numPr>
          <w:ilvl w:val="0"/>
          <w:numId w:val="0"/>
        </w:numPr>
        <w:ind w:left="1440"/>
      </w:pPr>
    </w:p>
    <w:p w:rsidR="004D1A55" w:rsidRPr="004569A4" w:rsidP="004D1A55" w14:paraId="0F05C9D4" w14:textId="4D482FAE">
      <w:pPr>
        <w:pStyle w:val="BodyText"/>
        <w:spacing w:line="480" w:lineRule="auto"/>
        <w:ind w:left="0" w:firstLine="720"/>
        <w:rPr>
          <w:rFonts w:cs="Times New Roman"/>
          <w:bCs/>
          <w:sz w:val="24"/>
          <w:szCs w:val="24"/>
        </w:rPr>
      </w:pPr>
      <w:r w:rsidRPr="004569A4">
        <w:rPr>
          <w:rFonts w:cs="Times New Roman"/>
          <w:bCs/>
          <w:sz w:val="24"/>
          <w:szCs w:val="24"/>
        </w:rPr>
        <w:t>The initial comments by OCC describe how PUCO Staff told the auditor to exclude FirstEnergy’s H.B. 6 misconduct from the scope of the audit.</w:t>
      </w:r>
      <w:r>
        <w:rPr>
          <w:rStyle w:val="FootnoteReference"/>
          <w:rFonts w:cs="Times New Roman"/>
          <w:bCs/>
          <w:sz w:val="24"/>
          <w:szCs w:val="24"/>
        </w:rPr>
        <w:footnoteReference w:id="7"/>
      </w:r>
      <w:r w:rsidR="00AB44BE">
        <w:rPr>
          <w:rFonts w:cs="Times New Roman"/>
          <w:bCs/>
          <w:sz w:val="24"/>
          <w:szCs w:val="24"/>
        </w:rPr>
        <w:t xml:space="preserve"> </w:t>
      </w:r>
      <w:r w:rsidRPr="004569A4">
        <w:rPr>
          <w:rFonts w:cs="Times New Roman"/>
          <w:bCs/>
          <w:sz w:val="24"/>
          <w:szCs w:val="24"/>
        </w:rPr>
        <w:t>OCC explained how this was a major problem, and how this violated the PUCO’s instructions when the PUCO opened this case.</w:t>
      </w:r>
      <w:r>
        <w:rPr>
          <w:rStyle w:val="FootnoteReference"/>
          <w:rFonts w:cs="Times New Roman"/>
          <w:bCs/>
          <w:sz w:val="24"/>
          <w:szCs w:val="24"/>
        </w:rPr>
        <w:footnoteReference w:id="8"/>
      </w:r>
      <w:r w:rsidR="00AB44BE">
        <w:rPr>
          <w:rFonts w:cs="Times New Roman"/>
          <w:bCs/>
          <w:sz w:val="24"/>
          <w:szCs w:val="24"/>
        </w:rPr>
        <w:t xml:space="preserve"> </w:t>
      </w:r>
    </w:p>
    <w:p w:rsidR="001931D3" w:rsidRPr="004569A4" w:rsidP="007228DB" w14:paraId="435E96F0" w14:textId="5D56D605">
      <w:pPr>
        <w:pStyle w:val="BodyText"/>
        <w:spacing w:line="480" w:lineRule="auto"/>
        <w:ind w:left="0" w:firstLine="720"/>
        <w:rPr>
          <w:rFonts w:cs="Times New Roman"/>
          <w:bCs/>
          <w:sz w:val="24"/>
          <w:szCs w:val="24"/>
        </w:rPr>
      </w:pPr>
      <w:r w:rsidRPr="004569A4">
        <w:rPr>
          <w:rFonts w:cs="Times New Roman"/>
          <w:bCs/>
          <w:sz w:val="24"/>
          <w:szCs w:val="24"/>
        </w:rPr>
        <w:t>FirstEnergy d</w:t>
      </w:r>
      <w:r w:rsidRPr="004569A4" w:rsidR="00717DDD">
        <w:rPr>
          <w:rFonts w:cs="Times New Roman"/>
          <w:bCs/>
          <w:sz w:val="24"/>
          <w:szCs w:val="24"/>
        </w:rPr>
        <w:t>oes</w:t>
      </w:r>
      <w:r w:rsidRPr="004569A4">
        <w:rPr>
          <w:rFonts w:cs="Times New Roman"/>
          <w:bCs/>
          <w:sz w:val="24"/>
          <w:szCs w:val="24"/>
        </w:rPr>
        <w:t xml:space="preserve"> not address this issue in its initial comments, even though OCC ha</w:t>
      </w:r>
      <w:r w:rsidRPr="004569A4" w:rsidR="00101CFF">
        <w:rPr>
          <w:rFonts w:cs="Times New Roman"/>
          <w:bCs/>
          <w:sz w:val="24"/>
          <w:szCs w:val="24"/>
        </w:rPr>
        <w:t>s</w:t>
      </w:r>
      <w:r w:rsidRPr="004569A4">
        <w:rPr>
          <w:rFonts w:cs="Times New Roman"/>
          <w:bCs/>
          <w:sz w:val="24"/>
          <w:szCs w:val="24"/>
        </w:rPr>
        <w:t xml:space="preserve"> pointed out th</w:t>
      </w:r>
      <w:r w:rsidRPr="004569A4" w:rsidR="00717DDD">
        <w:rPr>
          <w:rFonts w:cs="Times New Roman"/>
          <w:bCs/>
          <w:sz w:val="24"/>
          <w:szCs w:val="24"/>
        </w:rPr>
        <w:t>e</w:t>
      </w:r>
      <w:r w:rsidRPr="004569A4">
        <w:rPr>
          <w:rFonts w:cs="Times New Roman"/>
          <w:bCs/>
          <w:sz w:val="24"/>
          <w:szCs w:val="24"/>
        </w:rPr>
        <w:t xml:space="preserve"> problem in </w:t>
      </w:r>
      <w:r w:rsidRPr="004569A4" w:rsidR="00717DDD">
        <w:rPr>
          <w:rFonts w:cs="Times New Roman"/>
          <w:bCs/>
          <w:sz w:val="24"/>
          <w:szCs w:val="24"/>
        </w:rPr>
        <w:t>prior</w:t>
      </w:r>
      <w:r w:rsidRPr="004569A4">
        <w:rPr>
          <w:rFonts w:cs="Times New Roman"/>
          <w:bCs/>
          <w:sz w:val="24"/>
          <w:szCs w:val="24"/>
        </w:rPr>
        <w:t xml:space="preserve"> filings.</w:t>
      </w:r>
      <w:r>
        <w:rPr>
          <w:rStyle w:val="FootnoteReference"/>
          <w:rFonts w:cs="Times New Roman"/>
          <w:bCs/>
          <w:sz w:val="24"/>
          <w:szCs w:val="24"/>
        </w:rPr>
        <w:footnoteReference w:id="9"/>
      </w:r>
      <w:r w:rsidR="00AB44BE">
        <w:rPr>
          <w:rFonts w:cs="Times New Roman"/>
          <w:bCs/>
          <w:sz w:val="24"/>
          <w:szCs w:val="24"/>
        </w:rPr>
        <w:t xml:space="preserve"> </w:t>
      </w:r>
      <w:r w:rsidRPr="004569A4" w:rsidR="00844FE9">
        <w:rPr>
          <w:rFonts w:cs="Times New Roman"/>
          <w:bCs/>
          <w:sz w:val="24"/>
          <w:szCs w:val="24"/>
        </w:rPr>
        <w:t>Of note</w:t>
      </w:r>
      <w:r w:rsidR="00EB777E">
        <w:rPr>
          <w:rFonts w:cs="Times New Roman"/>
          <w:bCs/>
          <w:sz w:val="24"/>
          <w:szCs w:val="24"/>
        </w:rPr>
        <w:t>,</w:t>
      </w:r>
      <w:r w:rsidRPr="004569A4" w:rsidR="00844FE9">
        <w:rPr>
          <w:rFonts w:cs="Times New Roman"/>
          <w:bCs/>
          <w:sz w:val="24"/>
          <w:szCs w:val="24"/>
        </w:rPr>
        <w:t xml:space="preserve"> however, is the fact that FirstEnergy did not o</w:t>
      </w:r>
      <w:r w:rsidRPr="004569A4" w:rsidR="00D86EC9">
        <w:rPr>
          <w:rFonts w:cs="Times New Roman"/>
          <w:bCs/>
          <w:sz w:val="24"/>
          <w:szCs w:val="24"/>
        </w:rPr>
        <w:t>bject to the request for an audit of the political and charitable spending by or on behalf of the utilities related to H.B.6.</w:t>
      </w:r>
      <w:r>
        <w:rPr>
          <w:rStyle w:val="FootnoteReference"/>
          <w:rFonts w:cs="Times New Roman"/>
          <w:bCs/>
          <w:sz w:val="24"/>
          <w:szCs w:val="24"/>
        </w:rPr>
        <w:footnoteReference w:id="10"/>
      </w:r>
      <w:r w:rsidR="00AB44BE">
        <w:rPr>
          <w:rFonts w:cs="Times New Roman"/>
          <w:bCs/>
          <w:sz w:val="24"/>
          <w:szCs w:val="24"/>
        </w:rPr>
        <w:t xml:space="preserve"> </w:t>
      </w:r>
      <w:r w:rsidRPr="004569A4" w:rsidR="00BF2700">
        <w:rPr>
          <w:rFonts w:cs="Times New Roman"/>
          <w:bCs/>
          <w:sz w:val="24"/>
          <w:szCs w:val="24"/>
        </w:rPr>
        <w:t xml:space="preserve">Other intervenors agree with OCC’s recommendation </w:t>
      </w:r>
      <w:r w:rsidRPr="004569A4" w:rsidR="00717DDD">
        <w:rPr>
          <w:rFonts w:cs="Times New Roman"/>
          <w:bCs/>
          <w:sz w:val="24"/>
          <w:szCs w:val="24"/>
        </w:rPr>
        <w:t xml:space="preserve">calling </w:t>
      </w:r>
      <w:r w:rsidRPr="004569A4" w:rsidR="00BF2700">
        <w:rPr>
          <w:rFonts w:cs="Times New Roman"/>
          <w:bCs/>
          <w:sz w:val="24"/>
          <w:szCs w:val="24"/>
        </w:rPr>
        <w:t>for a supplemental audit.</w:t>
      </w:r>
      <w:r w:rsidR="00AB44BE">
        <w:rPr>
          <w:rFonts w:cs="Times New Roman"/>
          <w:bCs/>
          <w:sz w:val="24"/>
          <w:szCs w:val="24"/>
        </w:rPr>
        <w:t xml:space="preserve"> </w:t>
      </w:r>
      <w:r w:rsidRPr="004569A4" w:rsidR="00BF2700">
        <w:rPr>
          <w:rFonts w:cs="Times New Roman"/>
          <w:bCs/>
          <w:sz w:val="24"/>
          <w:szCs w:val="24"/>
        </w:rPr>
        <w:t>NOPEC cited the Motion for Supplemental Audit</w:t>
      </w:r>
      <w:r>
        <w:rPr>
          <w:rStyle w:val="FootnoteReference"/>
          <w:rFonts w:cs="Times New Roman"/>
          <w:bCs/>
          <w:sz w:val="24"/>
          <w:szCs w:val="24"/>
        </w:rPr>
        <w:footnoteReference w:id="11"/>
      </w:r>
      <w:r w:rsidRPr="004569A4" w:rsidR="00BF2700">
        <w:rPr>
          <w:rFonts w:cs="Times New Roman"/>
          <w:bCs/>
          <w:sz w:val="24"/>
          <w:szCs w:val="24"/>
        </w:rPr>
        <w:t xml:space="preserve"> that OCC and NOPEC previously filed.</w:t>
      </w:r>
      <w:r>
        <w:rPr>
          <w:rStyle w:val="FootnoteReference"/>
          <w:rFonts w:cs="Times New Roman"/>
          <w:bCs/>
          <w:sz w:val="24"/>
          <w:szCs w:val="24"/>
        </w:rPr>
        <w:footnoteReference w:id="12"/>
      </w:r>
      <w:r w:rsidR="00AB44BE">
        <w:rPr>
          <w:rFonts w:cs="Times New Roman"/>
          <w:bCs/>
          <w:sz w:val="24"/>
          <w:szCs w:val="24"/>
        </w:rPr>
        <w:t xml:space="preserve"> </w:t>
      </w:r>
      <w:r w:rsidRPr="004569A4" w:rsidR="00717DDD">
        <w:rPr>
          <w:rFonts w:cs="Times New Roman"/>
          <w:bCs/>
          <w:sz w:val="24"/>
          <w:szCs w:val="24"/>
        </w:rPr>
        <w:t>OMAEG explained how “the scope of the audit report is insufficient to protect consumers and is inconsistent with the Commission’s prior directives.”</w:t>
      </w:r>
      <w:r>
        <w:rPr>
          <w:rStyle w:val="FootnoteReference"/>
          <w:rFonts w:cs="Times New Roman"/>
          <w:bCs/>
          <w:sz w:val="24"/>
          <w:szCs w:val="24"/>
        </w:rPr>
        <w:footnoteReference w:id="13"/>
      </w:r>
      <w:r w:rsidR="00AB44BE">
        <w:rPr>
          <w:rFonts w:cs="Times New Roman"/>
          <w:bCs/>
          <w:sz w:val="24"/>
          <w:szCs w:val="24"/>
        </w:rPr>
        <w:t xml:space="preserve"> </w:t>
      </w:r>
      <w:r w:rsidRPr="004569A4" w:rsidR="00717DDD">
        <w:rPr>
          <w:rFonts w:cs="Times New Roman"/>
          <w:bCs/>
          <w:sz w:val="24"/>
          <w:szCs w:val="24"/>
        </w:rPr>
        <w:t xml:space="preserve">OMAEG </w:t>
      </w:r>
      <w:r w:rsidRPr="004569A4" w:rsidR="00D627A9">
        <w:rPr>
          <w:rFonts w:cs="Times New Roman"/>
          <w:bCs/>
          <w:sz w:val="24"/>
          <w:szCs w:val="24"/>
        </w:rPr>
        <w:t>recommends that “the Commission should formally acknowledge the deficiencies in the Audit Report [and] order a supplemental audit to account for these deficiencies….”</w:t>
      </w:r>
      <w:r>
        <w:rPr>
          <w:rStyle w:val="FootnoteReference"/>
          <w:rFonts w:cs="Times New Roman"/>
          <w:bCs/>
          <w:sz w:val="24"/>
          <w:szCs w:val="24"/>
        </w:rPr>
        <w:footnoteReference w:id="14"/>
      </w:r>
    </w:p>
    <w:p w:rsidR="004D1A55" w:rsidRPr="004569A4" w:rsidP="00F94628" w14:paraId="01B5597B" w14:textId="6BBF5330">
      <w:pPr>
        <w:pStyle w:val="BodyText"/>
        <w:spacing w:line="480" w:lineRule="auto"/>
        <w:ind w:left="0" w:firstLine="720"/>
        <w:rPr>
          <w:rFonts w:cs="Times New Roman"/>
          <w:b/>
          <w:sz w:val="24"/>
          <w:szCs w:val="24"/>
        </w:rPr>
      </w:pPr>
      <w:r w:rsidRPr="004569A4">
        <w:rPr>
          <w:rFonts w:cs="Times New Roman"/>
          <w:bCs/>
          <w:sz w:val="24"/>
          <w:szCs w:val="24"/>
        </w:rPr>
        <w:t>Based on these recommendations, the PUCO should order a supplemental audit as described in more detail in OCC and NOPEC’s Motion for Supplemental Audit.</w:t>
      </w:r>
      <w:r>
        <w:rPr>
          <w:rStyle w:val="FootnoteReference"/>
          <w:rFonts w:cs="Times New Roman"/>
          <w:bCs/>
          <w:sz w:val="24"/>
          <w:szCs w:val="24"/>
        </w:rPr>
        <w:footnoteReference w:id="15"/>
      </w:r>
    </w:p>
    <w:p w:rsidR="00465FEE" w:rsidP="001E6AF6" w14:paraId="0CD3761D" w14:textId="5C714EBE">
      <w:pPr>
        <w:pStyle w:val="Heading2"/>
      </w:pPr>
      <w:bookmarkStart w:id="4" w:name="_Toc90301100"/>
      <w:r w:rsidRPr="004569A4">
        <w:t xml:space="preserve">The PUCO should find that </w:t>
      </w:r>
      <w:r w:rsidRPr="004569A4" w:rsidR="001E2470">
        <w:t xml:space="preserve">the </w:t>
      </w:r>
      <w:r w:rsidRPr="004569A4" w:rsidR="00565C91">
        <w:t>FirstEnergy Utilities</w:t>
      </w:r>
      <w:r w:rsidRPr="004569A4" w:rsidR="00CC5A3F">
        <w:t xml:space="preserve"> committed serious breaches of</w:t>
      </w:r>
      <w:r w:rsidRPr="004569A4" w:rsidR="00565C91">
        <w:t xml:space="preserve"> </w:t>
      </w:r>
      <w:r w:rsidRPr="004569A4" w:rsidR="00CC5A3F">
        <w:t>corporate separation law</w:t>
      </w:r>
      <w:r w:rsidR="00181C33">
        <w:t xml:space="preserve"> in spite of FirstEnergy’s attempt to </w:t>
      </w:r>
      <w:r w:rsidRPr="00181C33" w:rsidR="00181C33">
        <w:t xml:space="preserve">gloss over </w:t>
      </w:r>
      <w:r w:rsidR="00181C33">
        <w:t xml:space="preserve">numerous </w:t>
      </w:r>
      <w:r w:rsidRPr="00181C33" w:rsidR="00181C33">
        <w:t xml:space="preserve">corporate separation violations </w:t>
      </w:r>
      <w:r w:rsidR="00181C33">
        <w:t>identified in the Audit Report.</w:t>
      </w:r>
      <w:bookmarkEnd w:id="4"/>
      <w:r w:rsidR="00181C33">
        <w:t xml:space="preserve"> </w:t>
      </w:r>
    </w:p>
    <w:p w:rsidR="00AB1E71" w:rsidRPr="004569A4" w:rsidP="001E6AF6" w14:paraId="01E6C4D1" w14:textId="77777777">
      <w:pPr>
        <w:pStyle w:val="Heading2"/>
        <w:numPr>
          <w:ilvl w:val="0"/>
          <w:numId w:val="0"/>
        </w:numPr>
        <w:ind w:left="1440"/>
      </w:pPr>
    </w:p>
    <w:p w:rsidR="004D1A55" w:rsidRPr="004569A4" w:rsidP="00B13AF8" w14:paraId="0CB5923E" w14:textId="494AC4ED">
      <w:pPr>
        <w:pStyle w:val="BodyText"/>
        <w:spacing w:line="480" w:lineRule="auto"/>
        <w:ind w:left="101" w:firstLine="720"/>
        <w:rPr>
          <w:rFonts w:cs="Times New Roman"/>
          <w:sz w:val="24"/>
          <w:szCs w:val="24"/>
        </w:rPr>
      </w:pPr>
      <w:r w:rsidRPr="004569A4">
        <w:rPr>
          <w:rStyle w:val="markedcontent"/>
          <w:rFonts w:cs="Times New Roman"/>
          <w:sz w:val="24"/>
          <w:szCs w:val="24"/>
        </w:rPr>
        <w:t xml:space="preserve">Even without considering FirstEnergy’s H.B. 6 misconduct, the auditor found that </w:t>
      </w:r>
      <w:r w:rsidRPr="004569A4">
        <w:rPr>
          <w:rFonts w:cs="Times New Roman"/>
          <w:sz w:val="24"/>
          <w:szCs w:val="24"/>
        </w:rPr>
        <w:t>FirstEnergy is compliant with only 23 of the 44 requirements of O.A.C. Chapter 4901:1-37.</w:t>
      </w:r>
      <w:r>
        <w:rPr>
          <w:rStyle w:val="FootnoteReference"/>
          <w:rFonts w:cs="Times New Roman"/>
          <w:sz w:val="24"/>
          <w:szCs w:val="24"/>
        </w:rPr>
        <w:footnoteReference w:id="16"/>
      </w:r>
      <w:r w:rsidR="00AB44BE">
        <w:rPr>
          <w:rFonts w:cs="Times New Roman"/>
          <w:sz w:val="24"/>
          <w:szCs w:val="24"/>
        </w:rPr>
        <w:t xml:space="preserve"> </w:t>
      </w:r>
      <w:r w:rsidRPr="004569A4">
        <w:rPr>
          <w:rFonts w:cs="Times New Roman"/>
          <w:sz w:val="24"/>
          <w:szCs w:val="24"/>
        </w:rPr>
        <w:t>OCC described how these deficiencies made the plan unauditable and recommended that the PUCO order FirstEnergy to remedy the plan to place it into auditable condition.</w:t>
      </w:r>
      <w:r>
        <w:rPr>
          <w:rStyle w:val="FootnoteReference"/>
          <w:rFonts w:cs="Times New Roman"/>
          <w:sz w:val="24"/>
          <w:szCs w:val="24"/>
        </w:rPr>
        <w:footnoteReference w:id="17"/>
      </w:r>
      <w:r w:rsidR="00AB44BE">
        <w:rPr>
          <w:rStyle w:val="markedcontent"/>
          <w:rFonts w:cs="Times New Roman"/>
          <w:sz w:val="24"/>
          <w:szCs w:val="24"/>
        </w:rPr>
        <w:t xml:space="preserve"> </w:t>
      </w:r>
      <w:r w:rsidRPr="004569A4">
        <w:rPr>
          <w:rStyle w:val="markedcontent"/>
          <w:rFonts w:cs="Times New Roman"/>
          <w:sz w:val="24"/>
          <w:szCs w:val="24"/>
        </w:rPr>
        <w:t xml:space="preserve">OCC also described how the plan was “insufficient” in many respects, in violation of R.C. 4928.17(A)(3) and O.A.C. </w:t>
      </w:r>
      <w:r w:rsidRPr="004569A4" w:rsidR="00D017EC">
        <w:rPr>
          <w:rStyle w:val="markedcontent"/>
          <w:rFonts w:cs="Times New Roman"/>
          <w:sz w:val="24"/>
          <w:szCs w:val="24"/>
        </w:rPr>
        <w:t>4901:1-37-07(A).</w:t>
      </w:r>
      <w:r>
        <w:rPr>
          <w:rStyle w:val="FootnoteReference"/>
          <w:rFonts w:cs="Times New Roman"/>
          <w:sz w:val="24"/>
          <w:szCs w:val="24"/>
        </w:rPr>
        <w:footnoteReference w:id="18"/>
      </w:r>
      <w:r w:rsidR="00AB44BE">
        <w:rPr>
          <w:rStyle w:val="markedcontent"/>
          <w:rFonts w:cs="Times New Roman"/>
          <w:sz w:val="24"/>
          <w:szCs w:val="24"/>
        </w:rPr>
        <w:t xml:space="preserve"> </w:t>
      </w:r>
      <w:r w:rsidRPr="004569A4" w:rsidR="00D017EC">
        <w:rPr>
          <w:rStyle w:val="markedcontent"/>
          <w:rFonts w:cs="Times New Roman"/>
          <w:sz w:val="24"/>
          <w:szCs w:val="24"/>
        </w:rPr>
        <w:t>OCC also explained how FirstEnergy’s cost allocation practices violated several corporate separation practices.</w:t>
      </w:r>
      <w:r>
        <w:rPr>
          <w:rStyle w:val="FootnoteReference"/>
          <w:rFonts w:cs="Times New Roman"/>
          <w:sz w:val="24"/>
          <w:szCs w:val="24"/>
        </w:rPr>
        <w:footnoteReference w:id="19"/>
      </w:r>
    </w:p>
    <w:p w:rsidR="00B13AF8" w:rsidRPr="004569A4" w:rsidP="00B13AF8" w14:paraId="510619DD" w14:textId="7C721385">
      <w:pPr>
        <w:pStyle w:val="BodyText"/>
        <w:spacing w:line="480" w:lineRule="auto"/>
        <w:ind w:left="101" w:firstLine="720"/>
        <w:rPr>
          <w:rStyle w:val="markedcontent"/>
          <w:rFonts w:cs="Times New Roman"/>
          <w:sz w:val="24"/>
          <w:szCs w:val="24"/>
        </w:rPr>
      </w:pPr>
      <w:r w:rsidRPr="004569A4">
        <w:rPr>
          <w:rFonts w:cs="Times New Roman"/>
          <w:bCs/>
          <w:sz w:val="24"/>
          <w:szCs w:val="24"/>
        </w:rPr>
        <w:t>The FirstEnergy Utilities’ comments do not acknowledge any deficiencies</w:t>
      </w:r>
      <w:r w:rsidRPr="004569A4" w:rsidR="00614E9C">
        <w:rPr>
          <w:rFonts w:cs="Times New Roman"/>
          <w:bCs/>
          <w:sz w:val="24"/>
          <w:szCs w:val="24"/>
        </w:rPr>
        <w:t>.</w:t>
      </w:r>
      <w:r w:rsidR="00AB44BE">
        <w:rPr>
          <w:rFonts w:cs="Times New Roman"/>
          <w:bCs/>
          <w:sz w:val="24"/>
          <w:szCs w:val="24"/>
        </w:rPr>
        <w:t xml:space="preserve"> </w:t>
      </w:r>
      <w:r w:rsidRPr="004569A4" w:rsidR="00614E9C">
        <w:rPr>
          <w:rFonts w:cs="Times New Roman"/>
          <w:bCs/>
          <w:sz w:val="24"/>
          <w:szCs w:val="24"/>
        </w:rPr>
        <w:t>Instead,</w:t>
      </w:r>
      <w:r w:rsidRPr="004569A4">
        <w:rPr>
          <w:rFonts w:cs="Times New Roman"/>
          <w:bCs/>
          <w:sz w:val="24"/>
          <w:szCs w:val="24"/>
        </w:rPr>
        <w:t xml:space="preserve"> they </w:t>
      </w:r>
      <w:r w:rsidRPr="004569A4" w:rsidR="00614E9C">
        <w:rPr>
          <w:rFonts w:cs="Times New Roman"/>
          <w:bCs/>
          <w:sz w:val="24"/>
          <w:szCs w:val="24"/>
        </w:rPr>
        <w:t>describe</w:t>
      </w:r>
      <w:r w:rsidRPr="004569A4">
        <w:rPr>
          <w:rFonts w:cs="Times New Roman"/>
          <w:bCs/>
          <w:sz w:val="24"/>
          <w:szCs w:val="24"/>
        </w:rPr>
        <w:t xml:space="preserve"> the audit </w:t>
      </w:r>
      <w:r w:rsidRPr="004569A4" w:rsidR="00614E9C">
        <w:rPr>
          <w:rFonts w:cs="Times New Roman"/>
          <w:bCs/>
          <w:sz w:val="24"/>
          <w:szCs w:val="24"/>
        </w:rPr>
        <w:t>as merely offering some friendly advice</w:t>
      </w:r>
      <w:r w:rsidRPr="004569A4">
        <w:rPr>
          <w:rFonts w:cs="Times New Roman"/>
          <w:bCs/>
          <w:sz w:val="24"/>
          <w:szCs w:val="24"/>
        </w:rPr>
        <w:t xml:space="preserve"> (“</w:t>
      </w:r>
      <w:r w:rsidRPr="004569A4">
        <w:rPr>
          <w:rStyle w:val="markedcontent"/>
          <w:rFonts w:cs="Times New Roman"/>
          <w:sz w:val="24"/>
          <w:szCs w:val="24"/>
        </w:rPr>
        <w:t>Daymark’s Audit Report offers helpful solutions to improve the Companies’ compliance efforts with respect to Ohio corporate separation rules.”</w:t>
      </w:r>
      <w:r>
        <w:rPr>
          <w:rStyle w:val="FootnoteReference"/>
          <w:rFonts w:cs="Times New Roman"/>
          <w:sz w:val="24"/>
          <w:szCs w:val="24"/>
        </w:rPr>
        <w:footnoteReference w:id="20"/>
      </w:r>
      <w:r w:rsidRPr="004569A4">
        <w:rPr>
          <w:rStyle w:val="markedcontent"/>
          <w:rFonts w:cs="Times New Roman"/>
          <w:sz w:val="24"/>
          <w:szCs w:val="24"/>
        </w:rPr>
        <w:t>)</w:t>
      </w:r>
      <w:r w:rsidR="00AB44BE">
        <w:rPr>
          <w:rStyle w:val="markedcontent"/>
          <w:rFonts w:cs="Times New Roman"/>
          <w:sz w:val="24"/>
          <w:szCs w:val="24"/>
        </w:rPr>
        <w:t xml:space="preserve"> </w:t>
      </w:r>
      <w:r w:rsidRPr="004569A4" w:rsidR="00565C91">
        <w:rPr>
          <w:rStyle w:val="markedcontent"/>
          <w:rFonts w:cs="Times New Roman"/>
          <w:sz w:val="24"/>
          <w:szCs w:val="24"/>
        </w:rPr>
        <w:t xml:space="preserve">The PUCO should reject the FirstEnergy Utilities’ attempt to </w:t>
      </w:r>
      <w:bookmarkStart w:id="5" w:name="_Hlk89193534"/>
      <w:r w:rsidRPr="004569A4" w:rsidR="00565C91">
        <w:rPr>
          <w:rStyle w:val="markedcontent"/>
          <w:rFonts w:cs="Times New Roman"/>
          <w:sz w:val="24"/>
          <w:szCs w:val="24"/>
        </w:rPr>
        <w:t xml:space="preserve">gloss over </w:t>
      </w:r>
      <w:r w:rsidRPr="004569A4" w:rsidR="00614E9C">
        <w:rPr>
          <w:rStyle w:val="markedcontent"/>
          <w:rFonts w:cs="Times New Roman"/>
          <w:sz w:val="24"/>
          <w:szCs w:val="24"/>
        </w:rPr>
        <w:t>the major corporate separation violations i</w:t>
      </w:r>
      <w:r w:rsidR="00723C9E">
        <w:rPr>
          <w:rStyle w:val="markedcontent"/>
          <w:rFonts w:cs="Times New Roman"/>
          <w:sz w:val="24"/>
          <w:szCs w:val="24"/>
        </w:rPr>
        <w:t>t</w:t>
      </w:r>
      <w:r w:rsidRPr="004569A4" w:rsidR="00614E9C">
        <w:rPr>
          <w:rStyle w:val="markedcontent"/>
          <w:rFonts w:cs="Times New Roman"/>
          <w:sz w:val="24"/>
          <w:szCs w:val="24"/>
        </w:rPr>
        <w:t xml:space="preserve"> committed</w:t>
      </w:r>
      <w:r w:rsidRPr="004569A4" w:rsidR="00565C91">
        <w:rPr>
          <w:rStyle w:val="markedcontent"/>
          <w:rFonts w:cs="Times New Roman"/>
          <w:sz w:val="24"/>
          <w:szCs w:val="24"/>
        </w:rPr>
        <w:t>.</w:t>
      </w:r>
      <w:bookmarkEnd w:id="5"/>
      <w:r w:rsidR="00AB44BE">
        <w:rPr>
          <w:rStyle w:val="markedcontent"/>
          <w:rFonts w:cs="Times New Roman"/>
          <w:sz w:val="24"/>
          <w:szCs w:val="24"/>
        </w:rPr>
        <w:t xml:space="preserve"> </w:t>
      </w:r>
      <w:r w:rsidRPr="004569A4" w:rsidR="00565C91">
        <w:rPr>
          <w:rStyle w:val="markedcontent"/>
          <w:rFonts w:cs="Times New Roman"/>
          <w:sz w:val="24"/>
          <w:szCs w:val="24"/>
        </w:rPr>
        <w:t xml:space="preserve">The PUCO should </w:t>
      </w:r>
      <w:r w:rsidRPr="004569A4" w:rsidR="00614E9C">
        <w:rPr>
          <w:rStyle w:val="markedcontent"/>
          <w:rFonts w:cs="Times New Roman"/>
          <w:sz w:val="24"/>
          <w:szCs w:val="24"/>
        </w:rPr>
        <w:t>impose major forfeitures commensurate with these major violations.</w:t>
      </w:r>
    </w:p>
    <w:p w:rsidR="00EB546F" w:rsidRPr="004569A4" w:rsidP="00B13AF8" w14:paraId="7DA0FF0D" w14:textId="5A007EA6">
      <w:pPr>
        <w:pStyle w:val="BodyText"/>
        <w:spacing w:line="480" w:lineRule="auto"/>
        <w:ind w:left="101" w:firstLine="720"/>
        <w:rPr>
          <w:rStyle w:val="markedcontent"/>
          <w:rFonts w:cs="Times New Roman"/>
          <w:sz w:val="24"/>
          <w:szCs w:val="24"/>
        </w:rPr>
      </w:pPr>
      <w:r w:rsidRPr="004569A4">
        <w:rPr>
          <w:rStyle w:val="markedcontent"/>
          <w:rFonts w:cs="Times New Roman"/>
          <w:sz w:val="24"/>
          <w:szCs w:val="24"/>
        </w:rPr>
        <w:t>As stated, FirstEnergy describes the audit report as “helpful solutions”</w:t>
      </w:r>
      <w:r>
        <w:rPr>
          <w:rStyle w:val="FootnoteReference"/>
          <w:rFonts w:cs="Times New Roman"/>
          <w:sz w:val="24"/>
          <w:szCs w:val="24"/>
        </w:rPr>
        <w:footnoteReference w:id="21"/>
      </w:r>
      <w:r w:rsidRPr="004569A4">
        <w:rPr>
          <w:rStyle w:val="markedcontent"/>
          <w:rFonts w:cs="Times New Roman"/>
          <w:sz w:val="24"/>
          <w:szCs w:val="24"/>
        </w:rPr>
        <w:t xml:space="preserve"> and “constructive feedback”</w:t>
      </w:r>
      <w:r>
        <w:rPr>
          <w:rStyle w:val="FootnoteReference"/>
          <w:rFonts w:cs="Times New Roman"/>
          <w:sz w:val="24"/>
          <w:szCs w:val="24"/>
        </w:rPr>
        <w:footnoteReference w:id="22"/>
      </w:r>
      <w:r w:rsidRPr="004569A4">
        <w:rPr>
          <w:rStyle w:val="markedcontent"/>
          <w:rFonts w:cs="Times New Roman"/>
          <w:sz w:val="24"/>
          <w:szCs w:val="24"/>
        </w:rPr>
        <w:t xml:space="preserve"> and “recommendations regarding improvements.”</w:t>
      </w:r>
      <w:r>
        <w:rPr>
          <w:rStyle w:val="FootnoteReference"/>
          <w:rFonts w:cs="Times New Roman"/>
          <w:sz w:val="24"/>
          <w:szCs w:val="24"/>
        </w:rPr>
        <w:footnoteReference w:id="23"/>
      </w:r>
      <w:r w:rsidR="00AB44BE">
        <w:rPr>
          <w:rStyle w:val="markedcontent"/>
          <w:rFonts w:cs="Times New Roman"/>
          <w:sz w:val="24"/>
          <w:szCs w:val="24"/>
        </w:rPr>
        <w:t xml:space="preserve"> </w:t>
      </w:r>
      <w:r w:rsidRPr="004569A4">
        <w:rPr>
          <w:rStyle w:val="markedcontent"/>
          <w:rFonts w:cs="Times New Roman"/>
          <w:sz w:val="24"/>
          <w:szCs w:val="24"/>
        </w:rPr>
        <w:t>FirstEnergy downplays everything and act</w:t>
      </w:r>
      <w:r w:rsidR="00723C9E">
        <w:rPr>
          <w:rStyle w:val="markedcontent"/>
          <w:rFonts w:cs="Times New Roman"/>
          <w:sz w:val="24"/>
          <w:szCs w:val="24"/>
        </w:rPr>
        <w:t>s</w:t>
      </w:r>
      <w:r w:rsidRPr="004569A4">
        <w:rPr>
          <w:rStyle w:val="markedcontent"/>
          <w:rFonts w:cs="Times New Roman"/>
          <w:sz w:val="24"/>
          <w:szCs w:val="24"/>
        </w:rPr>
        <w:t xml:space="preserve"> as if nothing untoward has occurred.</w:t>
      </w:r>
      <w:r w:rsidR="00AB44BE">
        <w:rPr>
          <w:rStyle w:val="markedcontent"/>
          <w:rFonts w:cs="Times New Roman"/>
          <w:sz w:val="24"/>
          <w:szCs w:val="24"/>
        </w:rPr>
        <w:t xml:space="preserve"> </w:t>
      </w:r>
      <w:r w:rsidRPr="004569A4" w:rsidR="00F82373">
        <w:rPr>
          <w:rStyle w:val="markedcontent"/>
          <w:rFonts w:cs="Times New Roman"/>
          <w:sz w:val="24"/>
          <w:szCs w:val="24"/>
        </w:rPr>
        <w:t xml:space="preserve">FirstEnergy’s failure to admit fault also occurred </w:t>
      </w:r>
      <w:r w:rsidRPr="004569A4">
        <w:rPr>
          <w:rStyle w:val="markedcontent"/>
          <w:rFonts w:cs="Times New Roman"/>
          <w:sz w:val="24"/>
          <w:szCs w:val="24"/>
        </w:rPr>
        <w:t>after it fired CEO Chuck Jones for his role in the H.B. 6 scandal</w:t>
      </w:r>
      <w:r w:rsidRPr="004569A4" w:rsidR="00F82373">
        <w:rPr>
          <w:rStyle w:val="markedcontent"/>
          <w:rFonts w:cs="Times New Roman"/>
          <w:sz w:val="24"/>
          <w:szCs w:val="24"/>
        </w:rPr>
        <w:t>, which FirstEnergy</w:t>
      </w:r>
      <w:r w:rsidRPr="004569A4">
        <w:rPr>
          <w:rStyle w:val="markedcontent"/>
          <w:rFonts w:cs="Times New Roman"/>
          <w:sz w:val="24"/>
          <w:szCs w:val="24"/>
        </w:rPr>
        <w:t xml:space="preserve"> described as </w:t>
      </w:r>
      <w:r w:rsidRPr="004569A4" w:rsidR="00F82373">
        <w:rPr>
          <w:rStyle w:val="markedcontent"/>
          <w:rFonts w:cs="Times New Roman"/>
          <w:sz w:val="24"/>
          <w:szCs w:val="24"/>
        </w:rPr>
        <w:t>no</w:t>
      </w:r>
      <w:r w:rsidRPr="004569A4">
        <w:rPr>
          <w:rStyle w:val="markedcontent"/>
          <w:rFonts w:cs="Times New Roman"/>
          <w:sz w:val="24"/>
          <w:szCs w:val="24"/>
        </w:rPr>
        <w:t xml:space="preserve"> more than an “inappropriate tone at the top.”</w:t>
      </w:r>
      <w:r>
        <w:rPr>
          <w:rStyle w:val="FootnoteReference"/>
          <w:rFonts w:cs="Times New Roman"/>
          <w:sz w:val="24"/>
          <w:szCs w:val="24"/>
        </w:rPr>
        <w:footnoteReference w:id="24"/>
      </w:r>
      <w:r w:rsidR="00AB44BE">
        <w:rPr>
          <w:rStyle w:val="markedcontent"/>
          <w:rFonts w:cs="Times New Roman"/>
          <w:sz w:val="24"/>
          <w:szCs w:val="24"/>
        </w:rPr>
        <w:t xml:space="preserve"> </w:t>
      </w:r>
      <w:r w:rsidRPr="004569A4" w:rsidR="00F82373">
        <w:rPr>
          <w:rStyle w:val="markedcontent"/>
          <w:rFonts w:cs="Times New Roman"/>
          <w:sz w:val="24"/>
          <w:szCs w:val="24"/>
        </w:rPr>
        <w:t xml:space="preserve">After a meltdown in corporate </w:t>
      </w:r>
      <w:r w:rsidR="00723C9E">
        <w:rPr>
          <w:rStyle w:val="markedcontent"/>
          <w:rFonts w:cs="Times New Roman"/>
          <w:sz w:val="24"/>
          <w:szCs w:val="24"/>
        </w:rPr>
        <w:t xml:space="preserve">separation </w:t>
      </w:r>
      <w:r w:rsidRPr="004569A4" w:rsidR="00F82373">
        <w:rPr>
          <w:rStyle w:val="markedcontent"/>
          <w:rFonts w:cs="Times New Roman"/>
          <w:sz w:val="24"/>
          <w:szCs w:val="24"/>
        </w:rPr>
        <w:t>protection</w:t>
      </w:r>
      <w:r w:rsidR="00723C9E">
        <w:rPr>
          <w:rStyle w:val="markedcontent"/>
          <w:rFonts w:cs="Times New Roman"/>
          <w:sz w:val="24"/>
          <w:szCs w:val="24"/>
        </w:rPr>
        <w:t xml:space="preserve"> it</w:t>
      </w:r>
      <w:r w:rsidRPr="004569A4" w:rsidR="00F82373">
        <w:rPr>
          <w:rStyle w:val="markedcontent"/>
          <w:rFonts w:cs="Times New Roman"/>
          <w:sz w:val="24"/>
          <w:szCs w:val="24"/>
        </w:rPr>
        <w:t xml:space="preserve"> led to </w:t>
      </w:r>
      <w:r w:rsidR="00723C9E">
        <w:rPr>
          <w:rStyle w:val="markedcontent"/>
          <w:rFonts w:cs="Times New Roman"/>
          <w:sz w:val="24"/>
          <w:szCs w:val="24"/>
        </w:rPr>
        <w:t>what has been described as “</w:t>
      </w:r>
      <w:r w:rsidRPr="004569A4" w:rsidR="00F82373">
        <w:rPr>
          <w:rStyle w:val="markedcontent"/>
          <w:rFonts w:cs="Times New Roman"/>
          <w:sz w:val="24"/>
          <w:szCs w:val="24"/>
        </w:rPr>
        <w:t>the largest bribery, money-laundering scandal in Ohio history</w:t>
      </w:r>
      <w:r w:rsidR="00723C9E">
        <w:rPr>
          <w:rStyle w:val="markedcontent"/>
          <w:rFonts w:cs="Times New Roman"/>
          <w:sz w:val="24"/>
          <w:szCs w:val="24"/>
        </w:rPr>
        <w:t>.”</w:t>
      </w:r>
      <w:r>
        <w:rPr>
          <w:rStyle w:val="FootnoteReference"/>
          <w:rFonts w:cs="Times New Roman"/>
          <w:sz w:val="24"/>
          <w:szCs w:val="24"/>
        </w:rPr>
        <w:footnoteReference w:id="25"/>
      </w:r>
      <w:r w:rsidRPr="004569A4" w:rsidR="00F82373">
        <w:rPr>
          <w:rStyle w:val="markedcontent"/>
          <w:rFonts w:cs="Times New Roman"/>
          <w:sz w:val="24"/>
          <w:szCs w:val="24"/>
        </w:rPr>
        <w:t xml:space="preserve"> </w:t>
      </w:r>
      <w:r w:rsidR="00723C9E">
        <w:rPr>
          <w:rStyle w:val="markedcontent"/>
          <w:rFonts w:cs="Times New Roman"/>
          <w:sz w:val="24"/>
          <w:szCs w:val="24"/>
        </w:rPr>
        <w:t xml:space="preserve">With this backdrop, </w:t>
      </w:r>
      <w:r w:rsidRPr="004569A4" w:rsidR="00F82373">
        <w:rPr>
          <w:rStyle w:val="markedcontent"/>
          <w:rFonts w:cs="Times New Roman"/>
          <w:sz w:val="24"/>
          <w:szCs w:val="24"/>
        </w:rPr>
        <w:t>it is remarkable to hear FirstEnergy say their corporate separation practices only need a few “helpful solutions.”</w:t>
      </w:r>
      <w:r w:rsidR="00AB44BE">
        <w:rPr>
          <w:rStyle w:val="markedcontent"/>
          <w:rFonts w:cs="Times New Roman"/>
          <w:sz w:val="24"/>
          <w:szCs w:val="24"/>
        </w:rPr>
        <w:t xml:space="preserve"> </w:t>
      </w:r>
    </w:p>
    <w:p w:rsidR="00F02A4C" w:rsidP="00B13AF8" w14:paraId="621FE08D" w14:textId="328DCD04">
      <w:pPr>
        <w:pStyle w:val="BodyText"/>
        <w:spacing w:line="480" w:lineRule="auto"/>
        <w:ind w:left="101" w:firstLine="720"/>
        <w:rPr>
          <w:rStyle w:val="markedcontent"/>
          <w:rFonts w:cs="Times New Roman"/>
          <w:sz w:val="24"/>
          <w:szCs w:val="24"/>
        </w:rPr>
      </w:pPr>
      <w:r w:rsidRPr="004569A4">
        <w:rPr>
          <w:rStyle w:val="markedcontent"/>
          <w:rFonts w:cs="Times New Roman"/>
          <w:sz w:val="24"/>
          <w:szCs w:val="24"/>
        </w:rPr>
        <w:t>FirstEnergy’s failure to produce the compliance records from 2016-2020</w:t>
      </w:r>
      <w:r>
        <w:rPr>
          <w:rStyle w:val="FootnoteReference"/>
          <w:rFonts w:cs="Times New Roman"/>
          <w:sz w:val="24"/>
          <w:szCs w:val="24"/>
        </w:rPr>
        <w:footnoteReference w:id="26"/>
      </w:r>
      <w:r w:rsidRPr="004569A4">
        <w:rPr>
          <w:rStyle w:val="markedcontent"/>
          <w:rFonts w:cs="Times New Roman"/>
          <w:sz w:val="24"/>
          <w:szCs w:val="24"/>
        </w:rPr>
        <w:t xml:space="preserve"> is </w:t>
      </w:r>
      <w:r w:rsidRPr="004569A4" w:rsidR="00253BA3">
        <w:rPr>
          <w:rStyle w:val="markedcontent"/>
          <w:rFonts w:cs="Times New Roman"/>
          <w:sz w:val="24"/>
          <w:szCs w:val="24"/>
        </w:rPr>
        <w:t xml:space="preserve">a </w:t>
      </w:r>
      <w:r w:rsidR="00723C9E">
        <w:rPr>
          <w:rStyle w:val="markedcontent"/>
          <w:rFonts w:cs="Times New Roman"/>
          <w:sz w:val="24"/>
          <w:szCs w:val="24"/>
        </w:rPr>
        <w:t>serious</w:t>
      </w:r>
      <w:r w:rsidRPr="004569A4" w:rsidR="00253BA3">
        <w:rPr>
          <w:rStyle w:val="markedcontent"/>
          <w:rFonts w:cs="Times New Roman"/>
          <w:sz w:val="24"/>
          <w:szCs w:val="24"/>
        </w:rPr>
        <w:t xml:space="preserve"> corporate separation breach, yet FirstEnergy nowhere acknowledges this in its initial comments.</w:t>
      </w:r>
      <w:r w:rsidR="00AB44BE">
        <w:rPr>
          <w:rStyle w:val="markedcontent"/>
          <w:rFonts w:cs="Times New Roman"/>
          <w:sz w:val="24"/>
          <w:szCs w:val="24"/>
        </w:rPr>
        <w:t xml:space="preserve"> </w:t>
      </w:r>
    </w:p>
    <w:p w:rsidR="00F02A4C" w14:paraId="04FEEE65" w14:textId="77777777">
      <w:pPr>
        <w:rPr>
          <w:rStyle w:val="markedcontent"/>
          <w:rFonts w:ascii="Times New Roman" w:eastAsia="Times New Roman" w:hAnsi="Times New Roman" w:cs="Times New Roman"/>
          <w:sz w:val="24"/>
          <w:szCs w:val="24"/>
        </w:rPr>
      </w:pPr>
      <w:r>
        <w:rPr>
          <w:rStyle w:val="markedcontent"/>
          <w:rFonts w:cs="Times New Roman"/>
          <w:sz w:val="24"/>
          <w:szCs w:val="24"/>
        </w:rPr>
        <w:br w:type="page"/>
      </w:r>
    </w:p>
    <w:p w:rsidR="00823419" w:rsidRPr="004569A4" w:rsidP="00B13AF8" w14:paraId="6636ADC9" w14:textId="574A0E60">
      <w:pPr>
        <w:pStyle w:val="BodyText"/>
        <w:spacing w:line="480" w:lineRule="auto"/>
        <w:ind w:left="101" w:firstLine="720"/>
        <w:rPr>
          <w:rStyle w:val="markedcontent"/>
          <w:rFonts w:cs="Times New Roman"/>
          <w:sz w:val="24"/>
          <w:szCs w:val="24"/>
        </w:rPr>
      </w:pPr>
      <w:r w:rsidRPr="004569A4">
        <w:rPr>
          <w:rStyle w:val="markedcontent"/>
          <w:rFonts w:cs="Times New Roman"/>
          <w:sz w:val="24"/>
          <w:szCs w:val="24"/>
        </w:rPr>
        <w:t>Other intervenors concurred with OCC that FirstEnergy committed serious corporate separation violations even before considering FirstEnergy’s H.B. 6 misconduct.</w:t>
      </w:r>
      <w:r w:rsidR="00AB44BE">
        <w:rPr>
          <w:rStyle w:val="markedcontent"/>
          <w:rFonts w:cs="Times New Roman"/>
          <w:sz w:val="24"/>
          <w:szCs w:val="24"/>
        </w:rPr>
        <w:t xml:space="preserve"> </w:t>
      </w:r>
      <w:r w:rsidRPr="004569A4">
        <w:rPr>
          <w:rStyle w:val="markedcontent"/>
          <w:rFonts w:cs="Times New Roman"/>
          <w:sz w:val="24"/>
          <w:szCs w:val="24"/>
        </w:rPr>
        <w:t>OMAEG noted how Daymark’s finding of no major violations is “inconsistent with the Audit Report itself…and defies logic as a violation of a rule is still a violation.”</w:t>
      </w:r>
      <w:r>
        <w:rPr>
          <w:rStyle w:val="FootnoteReference"/>
          <w:rFonts w:cs="Times New Roman"/>
          <w:sz w:val="24"/>
          <w:szCs w:val="24"/>
        </w:rPr>
        <w:footnoteReference w:id="27"/>
      </w:r>
      <w:r w:rsidR="00AB44BE">
        <w:rPr>
          <w:rStyle w:val="markedcontent"/>
          <w:rFonts w:cs="Times New Roman"/>
          <w:sz w:val="24"/>
          <w:szCs w:val="24"/>
        </w:rPr>
        <w:t xml:space="preserve"> </w:t>
      </w:r>
      <w:r w:rsidRPr="004569A4" w:rsidR="0064615E">
        <w:rPr>
          <w:rStyle w:val="markedcontent"/>
          <w:rFonts w:cs="Times New Roman"/>
          <w:sz w:val="24"/>
          <w:szCs w:val="24"/>
        </w:rPr>
        <w:t>OMAEG highlighted FirstEnergy’s deficiencies in recordkeeping, monitoring and cost allocation.</w:t>
      </w:r>
      <w:r>
        <w:rPr>
          <w:rStyle w:val="FootnoteReference"/>
          <w:rFonts w:cs="Times New Roman"/>
          <w:sz w:val="24"/>
          <w:szCs w:val="24"/>
        </w:rPr>
        <w:footnoteReference w:id="28"/>
      </w:r>
      <w:r w:rsidR="00AB44BE">
        <w:rPr>
          <w:rStyle w:val="markedcontent"/>
          <w:rFonts w:cs="Times New Roman"/>
          <w:sz w:val="24"/>
          <w:szCs w:val="24"/>
        </w:rPr>
        <w:t xml:space="preserve"> </w:t>
      </w:r>
      <w:r w:rsidRPr="004569A4" w:rsidR="00845D50">
        <w:rPr>
          <w:rStyle w:val="markedcontent"/>
          <w:rFonts w:cs="Times New Roman"/>
          <w:sz w:val="24"/>
          <w:szCs w:val="24"/>
        </w:rPr>
        <w:t>Industrial Energy Users-Ohio (“IEU-Ohio”) points out that “the large number of room for improvement (13) and minor noncompliance (8) findings strongly indicate (sic) the Commission needs to take action to improve FirstEnergy’s corporate separation compliance.”</w:t>
      </w:r>
      <w:r>
        <w:rPr>
          <w:rStyle w:val="FootnoteReference"/>
          <w:rFonts w:cs="Times New Roman"/>
          <w:sz w:val="24"/>
          <w:szCs w:val="24"/>
        </w:rPr>
        <w:footnoteReference w:id="29"/>
      </w:r>
      <w:r w:rsidR="00AB44BE">
        <w:rPr>
          <w:rStyle w:val="markedcontent"/>
          <w:rFonts w:cs="Times New Roman"/>
          <w:sz w:val="24"/>
          <w:szCs w:val="24"/>
        </w:rPr>
        <w:t xml:space="preserve"> </w:t>
      </w:r>
      <w:r w:rsidRPr="004569A4" w:rsidR="00845D50">
        <w:rPr>
          <w:rStyle w:val="markedcontent"/>
          <w:rFonts w:cs="Times New Roman"/>
          <w:sz w:val="24"/>
          <w:szCs w:val="24"/>
        </w:rPr>
        <w:t>Direct Energy commented that “[t]he Daymark Report confirms what Sage Consulting reported almost four years ago – that FirstEnergy has not complied with corporate separation rules and statutes.”</w:t>
      </w:r>
      <w:r>
        <w:rPr>
          <w:rStyle w:val="FootnoteReference"/>
          <w:rFonts w:cs="Times New Roman"/>
          <w:sz w:val="24"/>
          <w:szCs w:val="24"/>
        </w:rPr>
        <w:footnoteReference w:id="30"/>
      </w:r>
      <w:r w:rsidR="00AB44BE">
        <w:rPr>
          <w:rStyle w:val="markedcontent"/>
          <w:rFonts w:cs="Times New Roman"/>
          <w:sz w:val="24"/>
          <w:szCs w:val="24"/>
        </w:rPr>
        <w:t xml:space="preserve"> </w:t>
      </w:r>
      <w:r w:rsidRPr="004569A4" w:rsidR="00845D50">
        <w:rPr>
          <w:rStyle w:val="markedcontent"/>
          <w:rFonts w:cs="Times New Roman"/>
          <w:sz w:val="24"/>
          <w:szCs w:val="24"/>
        </w:rPr>
        <w:t>Vistra Energy Corp. (“Vistra”) remarked: “[i</w:t>
      </w:r>
      <w:r w:rsidRPr="004569A4" w:rsidR="00D74C22">
        <w:rPr>
          <w:rStyle w:val="markedcontent"/>
          <w:rFonts w:cs="Times New Roman"/>
          <w:sz w:val="24"/>
          <w:szCs w:val="24"/>
        </w:rPr>
        <w:t>]t is apparent from the audit report that FirstEnergy has declined to voluntarily bring its operations and corporate structure, particularly with respect to affiliates, into compliance with such laws and rules.”</w:t>
      </w:r>
      <w:r>
        <w:rPr>
          <w:rStyle w:val="FootnoteReference"/>
          <w:rFonts w:cs="Times New Roman"/>
          <w:sz w:val="24"/>
          <w:szCs w:val="24"/>
        </w:rPr>
        <w:footnoteReference w:id="31"/>
      </w:r>
    </w:p>
    <w:p w:rsidR="00465FEE" w:rsidRPr="004569A4" w:rsidP="001E2470" w14:paraId="0A2D1A52" w14:textId="160D6671">
      <w:pPr>
        <w:pStyle w:val="BodyText"/>
        <w:spacing w:line="480" w:lineRule="auto"/>
        <w:ind w:left="0" w:firstLine="720"/>
        <w:rPr>
          <w:rFonts w:cs="Times New Roman"/>
          <w:b/>
          <w:sz w:val="24"/>
          <w:szCs w:val="24"/>
        </w:rPr>
      </w:pPr>
      <w:r w:rsidRPr="004569A4">
        <w:rPr>
          <w:rStyle w:val="markedcontent"/>
          <w:rFonts w:cs="Times New Roman"/>
          <w:sz w:val="24"/>
          <w:szCs w:val="24"/>
        </w:rPr>
        <w:t>Based on these comments, the PUCO should make findings that the FirstEnergy Utilities committed serious breaches of corporate separation law, even before FirstEnergy’s H.B. 6 misconduct is accounted for.</w:t>
      </w:r>
    </w:p>
    <w:p w:rsidR="00CC5A3F" w:rsidP="001E6AF6" w14:paraId="22F7A053" w14:textId="227EF0D6">
      <w:pPr>
        <w:pStyle w:val="Heading2"/>
      </w:pPr>
      <w:bookmarkStart w:id="6" w:name="_Toc90301101"/>
      <w:r w:rsidRPr="004569A4">
        <w:t>The PUCO</w:t>
      </w:r>
      <w:r w:rsidRPr="004569A4" w:rsidR="009B2D98">
        <w:t xml:space="preserve"> should</w:t>
      </w:r>
      <w:r w:rsidRPr="004569A4">
        <w:t xml:space="preserve"> </w:t>
      </w:r>
      <w:r w:rsidRPr="004569A4" w:rsidR="008B2D81">
        <w:t>find that the FirstEnergy’s cost allocation practices violated corporate separation requirements</w:t>
      </w:r>
      <w:r w:rsidRPr="004569A4" w:rsidR="00BC3E53">
        <w:t xml:space="preserve"> and should require the FirstEnergy Utilities to have dedicated staff who can monitor, investigate and challenge service company allocations, along with a well-documented dispute resolution process</w:t>
      </w:r>
      <w:r w:rsidRPr="004569A4" w:rsidR="008B2D81">
        <w:t>.</w:t>
      </w:r>
      <w:bookmarkEnd w:id="6"/>
      <w:r w:rsidRPr="004569A4" w:rsidR="008B2D81">
        <w:t xml:space="preserve">  </w:t>
      </w:r>
    </w:p>
    <w:p w:rsidR="00AB1E71" w:rsidRPr="004569A4" w:rsidP="001E6AF6" w14:paraId="7AEA192E" w14:textId="77777777">
      <w:pPr>
        <w:pStyle w:val="Heading2"/>
        <w:numPr>
          <w:ilvl w:val="0"/>
          <w:numId w:val="0"/>
        </w:numPr>
        <w:ind w:left="1440"/>
      </w:pPr>
    </w:p>
    <w:p w:rsidR="004F4B88" w:rsidRPr="004569A4" w:rsidP="004F4B88" w14:paraId="3D5669BA" w14:textId="27E5B757">
      <w:pPr>
        <w:spacing w:line="480" w:lineRule="auto"/>
        <w:ind w:firstLine="720"/>
        <w:rPr>
          <w:rFonts w:ascii="Times New Roman" w:hAnsi="Times New Roman" w:cs="Times New Roman"/>
          <w:sz w:val="24"/>
          <w:szCs w:val="24"/>
        </w:rPr>
      </w:pPr>
      <w:r w:rsidRPr="004569A4">
        <w:rPr>
          <w:rFonts w:ascii="Times New Roman" w:hAnsi="Times New Roman" w:cs="Times New Roman"/>
          <w:bCs/>
          <w:sz w:val="24"/>
          <w:szCs w:val="24"/>
        </w:rPr>
        <w:t>The auditor repeatedly criticized FirstEnergy’s cost allocation practices, as OCC discussed in its initial comments.</w:t>
      </w:r>
      <w:r>
        <w:rPr>
          <w:rStyle w:val="FootnoteReference"/>
          <w:rFonts w:ascii="Times New Roman" w:hAnsi="Times New Roman" w:cs="Times New Roman"/>
          <w:bCs/>
          <w:sz w:val="24"/>
          <w:szCs w:val="24"/>
        </w:rPr>
        <w:footnoteReference w:id="32"/>
      </w:r>
      <w:r w:rsidR="00AB44BE">
        <w:rPr>
          <w:rFonts w:ascii="Times New Roman" w:hAnsi="Times New Roman" w:cs="Times New Roman"/>
          <w:bCs/>
          <w:sz w:val="24"/>
          <w:szCs w:val="24"/>
        </w:rPr>
        <w:t xml:space="preserve"> </w:t>
      </w:r>
      <w:r w:rsidRPr="004569A4">
        <w:rPr>
          <w:rFonts w:ascii="Times New Roman" w:hAnsi="Times New Roman" w:cs="Times New Roman"/>
          <w:bCs/>
          <w:sz w:val="24"/>
          <w:szCs w:val="24"/>
        </w:rPr>
        <w:t xml:space="preserve">The auditor noted: </w:t>
      </w:r>
      <w:r w:rsidRPr="004569A4">
        <w:rPr>
          <w:rFonts w:ascii="Times New Roman" w:hAnsi="Times New Roman" w:cs="Times New Roman"/>
          <w:sz w:val="24"/>
          <w:szCs w:val="24"/>
        </w:rPr>
        <w:t>“</w:t>
      </w:r>
      <w:r w:rsidRPr="004569A4" w:rsidR="002F43ED">
        <w:rPr>
          <w:rFonts w:ascii="Times New Roman" w:hAnsi="Times New Roman" w:cs="Times New Roman"/>
          <w:sz w:val="24"/>
          <w:szCs w:val="24"/>
        </w:rPr>
        <w:t>[w]</w:t>
      </w:r>
      <w:r w:rsidRPr="004569A4">
        <w:rPr>
          <w:rFonts w:ascii="Times New Roman" w:hAnsi="Times New Roman" w:cs="Times New Roman"/>
          <w:sz w:val="24"/>
          <w:szCs w:val="24"/>
        </w:rPr>
        <w:t xml:space="preserve">hile FirstEnergy has maintained a CAM [Cost Allocation Manual], </w:t>
      </w:r>
      <w:r w:rsidRPr="004569A4">
        <w:rPr>
          <w:rFonts w:ascii="Times New Roman" w:hAnsi="Times New Roman" w:cs="Times New Roman"/>
          <w:i/>
          <w:iCs/>
          <w:sz w:val="24"/>
          <w:szCs w:val="24"/>
        </w:rPr>
        <w:t>the CAM lacks enough internal controls</w:t>
      </w:r>
      <w:r w:rsidRPr="004569A4">
        <w:rPr>
          <w:rFonts w:ascii="Times New Roman" w:hAnsi="Times New Roman" w:cs="Times New Roman"/>
          <w:sz w:val="24"/>
          <w:szCs w:val="24"/>
        </w:rPr>
        <w:t xml:space="preserve"> and oversight regarding the use of cost allocators and cost allocated to Ohio Companies to prevent cross-subsidization.”</w:t>
      </w:r>
      <w:r>
        <w:rPr>
          <w:rStyle w:val="FootnoteReference"/>
          <w:rFonts w:ascii="Times New Roman" w:hAnsi="Times New Roman" w:cs="Times New Roman"/>
          <w:sz w:val="24"/>
          <w:szCs w:val="24"/>
        </w:rPr>
        <w:footnoteReference w:id="33"/>
      </w:r>
      <w:r w:rsidR="00AB44BE">
        <w:rPr>
          <w:rFonts w:ascii="Times New Roman" w:hAnsi="Times New Roman" w:cs="Times New Roman"/>
          <w:sz w:val="24"/>
          <w:szCs w:val="24"/>
        </w:rPr>
        <w:t xml:space="preserve"> </w:t>
      </w:r>
      <w:r w:rsidRPr="004569A4" w:rsidR="00182919">
        <w:rPr>
          <w:rFonts w:ascii="Times New Roman" w:hAnsi="Times New Roman" w:cs="Times New Roman"/>
          <w:sz w:val="24"/>
          <w:szCs w:val="24"/>
        </w:rPr>
        <w:t>As OCC noted in its initial comments, FirstEnergy’s lack of internal controls is a resounding them</w:t>
      </w:r>
      <w:r w:rsidR="00220F7D">
        <w:rPr>
          <w:rFonts w:ascii="Times New Roman" w:hAnsi="Times New Roman" w:cs="Times New Roman"/>
          <w:sz w:val="24"/>
          <w:szCs w:val="24"/>
        </w:rPr>
        <w:t>e</w:t>
      </w:r>
      <w:r w:rsidRPr="004569A4" w:rsidR="00182919">
        <w:rPr>
          <w:rFonts w:ascii="Times New Roman" w:hAnsi="Times New Roman" w:cs="Times New Roman"/>
          <w:sz w:val="24"/>
          <w:szCs w:val="24"/>
        </w:rPr>
        <w:t xml:space="preserve"> </w:t>
      </w:r>
      <w:r w:rsidR="00220F7D">
        <w:rPr>
          <w:rFonts w:ascii="Times New Roman" w:hAnsi="Times New Roman" w:cs="Times New Roman"/>
          <w:sz w:val="24"/>
          <w:szCs w:val="24"/>
        </w:rPr>
        <w:t>contained in remarks by</w:t>
      </w:r>
      <w:r w:rsidRPr="004569A4" w:rsidR="00182919">
        <w:rPr>
          <w:rFonts w:ascii="Times New Roman" w:hAnsi="Times New Roman" w:cs="Times New Roman"/>
          <w:sz w:val="24"/>
          <w:szCs w:val="24"/>
        </w:rPr>
        <w:t xml:space="preserve"> the auditor, Standard and Poor’s and FirstEnergy Corp.’s own admissions in press releases and SEC filings.</w:t>
      </w:r>
      <w:r>
        <w:rPr>
          <w:rStyle w:val="FootnoteReference"/>
          <w:rFonts w:ascii="Times New Roman" w:hAnsi="Times New Roman" w:cs="Times New Roman"/>
          <w:sz w:val="24"/>
          <w:szCs w:val="24"/>
        </w:rPr>
        <w:footnoteReference w:id="34"/>
      </w:r>
    </w:p>
    <w:p w:rsidR="00253BA3" w:rsidRPr="004569A4" w:rsidP="004F4B88" w14:paraId="24DA396D" w14:textId="64E2D511">
      <w:pPr>
        <w:spacing w:line="480" w:lineRule="auto"/>
        <w:ind w:firstLine="720"/>
        <w:rPr>
          <w:rFonts w:ascii="Times New Roman" w:hAnsi="Times New Roman" w:cs="Times New Roman"/>
          <w:sz w:val="24"/>
          <w:szCs w:val="24"/>
        </w:rPr>
      </w:pPr>
      <w:r w:rsidRPr="004569A4">
        <w:rPr>
          <w:rFonts w:ascii="Times New Roman" w:hAnsi="Times New Roman" w:cs="Times New Roman"/>
          <w:sz w:val="24"/>
          <w:szCs w:val="24"/>
        </w:rPr>
        <w:t>FirstEnergy agreed with most of the auditor’s recommendations regarding its cost allocation practices.</w:t>
      </w:r>
      <w:r>
        <w:rPr>
          <w:rStyle w:val="FootnoteReference"/>
          <w:rFonts w:ascii="Times New Roman" w:hAnsi="Times New Roman" w:cs="Times New Roman"/>
          <w:sz w:val="24"/>
          <w:szCs w:val="24"/>
        </w:rPr>
        <w:footnoteReference w:id="35"/>
      </w:r>
      <w:r w:rsidR="00AB44BE">
        <w:rPr>
          <w:rFonts w:ascii="Times New Roman" w:hAnsi="Times New Roman" w:cs="Times New Roman"/>
          <w:sz w:val="24"/>
          <w:szCs w:val="24"/>
        </w:rPr>
        <w:t xml:space="preserve"> </w:t>
      </w:r>
      <w:r w:rsidRPr="004569A4">
        <w:rPr>
          <w:rFonts w:ascii="Times New Roman" w:hAnsi="Times New Roman" w:cs="Times New Roman"/>
          <w:sz w:val="24"/>
          <w:szCs w:val="24"/>
        </w:rPr>
        <w:t>FirstEnergy rejected, however, the auditor’s most important recommendation – that the FirstEnergy Utilities take responsibility for monitoring and resolving any cost allocation errors.</w:t>
      </w:r>
      <w:r w:rsidR="00AB44BE">
        <w:rPr>
          <w:rFonts w:ascii="Times New Roman" w:hAnsi="Times New Roman" w:cs="Times New Roman"/>
          <w:sz w:val="24"/>
          <w:szCs w:val="24"/>
        </w:rPr>
        <w:t xml:space="preserve"> </w:t>
      </w:r>
      <w:r w:rsidRPr="004569A4">
        <w:rPr>
          <w:rFonts w:ascii="Times New Roman" w:hAnsi="Times New Roman" w:cs="Times New Roman"/>
          <w:sz w:val="24"/>
          <w:szCs w:val="24"/>
        </w:rPr>
        <w:t xml:space="preserve">FirstEnergy </w:t>
      </w:r>
      <w:r w:rsidRPr="004569A4" w:rsidR="00DE4C8F">
        <w:rPr>
          <w:rFonts w:ascii="Times New Roman" w:hAnsi="Times New Roman" w:cs="Times New Roman"/>
          <w:sz w:val="24"/>
          <w:szCs w:val="24"/>
        </w:rPr>
        <w:t>rejected the notion “that the Companies should bear responsibility for monitoring and resolving any errors in the charges allocated to them from FirstEnergy Service Company.”</w:t>
      </w:r>
      <w:r>
        <w:rPr>
          <w:rStyle w:val="FootnoteReference"/>
          <w:rFonts w:ascii="Times New Roman" w:hAnsi="Times New Roman" w:cs="Times New Roman"/>
          <w:sz w:val="24"/>
          <w:szCs w:val="24"/>
        </w:rPr>
        <w:footnoteReference w:id="36"/>
      </w:r>
      <w:r w:rsidR="00AB44BE">
        <w:rPr>
          <w:rFonts w:ascii="Times New Roman" w:hAnsi="Times New Roman" w:cs="Times New Roman"/>
          <w:sz w:val="24"/>
          <w:szCs w:val="24"/>
        </w:rPr>
        <w:t xml:space="preserve"> </w:t>
      </w:r>
      <w:r w:rsidRPr="004569A4" w:rsidR="00973AA3">
        <w:rPr>
          <w:rFonts w:ascii="Times New Roman" w:hAnsi="Times New Roman" w:cs="Times New Roman"/>
          <w:sz w:val="24"/>
          <w:szCs w:val="24"/>
        </w:rPr>
        <w:t xml:space="preserve">The </w:t>
      </w:r>
      <w:r w:rsidRPr="004569A4" w:rsidR="00982354">
        <w:rPr>
          <w:rFonts w:ascii="Times New Roman" w:hAnsi="Times New Roman" w:cs="Times New Roman"/>
          <w:sz w:val="24"/>
          <w:szCs w:val="24"/>
        </w:rPr>
        <w:t>FirstEnergy U</w:t>
      </w:r>
      <w:r w:rsidRPr="004569A4" w:rsidR="00973AA3">
        <w:rPr>
          <w:rFonts w:ascii="Times New Roman" w:hAnsi="Times New Roman" w:cs="Times New Roman"/>
          <w:sz w:val="24"/>
          <w:szCs w:val="24"/>
        </w:rPr>
        <w:t xml:space="preserve">tilities claim that because they </w:t>
      </w:r>
      <w:r w:rsidRPr="004569A4" w:rsidR="00982354">
        <w:rPr>
          <w:rFonts w:ascii="Times New Roman" w:hAnsi="Times New Roman" w:cs="Times New Roman"/>
          <w:sz w:val="24"/>
          <w:szCs w:val="24"/>
        </w:rPr>
        <w:t>“</w:t>
      </w:r>
      <w:r w:rsidRPr="004569A4" w:rsidR="00973AA3">
        <w:rPr>
          <w:rFonts w:ascii="Times New Roman" w:hAnsi="Times New Roman" w:cs="Times New Roman"/>
          <w:sz w:val="24"/>
          <w:szCs w:val="24"/>
        </w:rPr>
        <w:t>are not responsible for budgeting or managing their indirect costs or associated activities, nor staffed to perf</w:t>
      </w:r>
      <w:r w:rsidRPr="004569A4" w:rsidR="00982354">
        <w:rPr>
          <w:rFonts w:ascii="Times New Roman" w:hAnsi="Times New Roman" w:cs="Times New Roman"/>
          <w:sz w:val="24"/>
          <w:szCs w:val="24"/>
        </w:rPr>
        <w:t>orm</w:t>
      </w:r>
      <w:r w:rsidRPr="004569A4" w:rsidR="00973AA3">
        <w:rPr>
          <w:rFonts w:ascii="Times New Roman" w:hAnsi="Times New Roman" w:cs="Times New Roman"/>
          <w:sz w:val="24"/>
          <w:szCs w:val="24"/>
        </w:rPr>
        <w:t xml:space="preserve"> these duties, they are in no position to monitor them.”</w:t>
      </w:r>
      <w:r>
        <w:rPr>
          <w:rStyle w:val="FootnoteReference"/>
          <w:rFonts w:ascii="Times New Roman" w:hAnsi="Times New Roman" w:cs="Times New Roman"/>
          <w:sz w:val="24"/>
          <w:szCs w:val="24"/>
        </w:rPr>
        <w:footnoteReference w:id="37"/>
      </w:r>
    </w:p>
    <w:p w:rsidR="00913E78" w:rsidRPr="004569A4" w:rsidP="006F3DAC" w14:paraId="293DFC06" w14:textId="4485F8F6">
      <w:pPr>
        <w:spacing w:line="480" w:lineRule="auto"/>
        <w:ind w:firstLine="720"/>
        <w:rPr>
          <w:rFonts w:ascii="Times New Roman" w:hAnsi="Times New Roman" w:cs="Times New Roman"/>
          <w:bCs/>
          <w:sz w:val="24"/>
          <w:szCs w:val="24"/>
        </w:rPr>
      </w:pPr>
      <w:r w:rsidRPr="004569A4">
        <w:rPr>
          <w:rFonts w:ascii="Times New Roman" w:hAnsi="Times New Roman" w:cs="Times New Roman"/>
          <w:bCs/>
          <w:sz w:val="24"/>
          <w:szCs w:val="24"/>
        </w:rPr>
        <w:t>The PUCO should reject the FirstEnergy’s hands</w:t>
      </w:r>
      <w:r w:rsidR="004B6D6D">
        <w:rPr>
          <w:rFonts w:ascii="Times New Roman" w:hAnsi="Times New Roman" w:cs="Times New Roman"/>
          <w:bCs/>
          <w:sz w:val="24"/>
          <w:szCs w:val="24"/>
        </w:rPr>
        <w:t>-</w:t>
      </w:r>
      <w:r w:rsidRPr="004569A4">
        <w:rPr>
          <w:rFonts w:ascii="Times New Roman" w:hAnsi="Times New Roman" w:cs="Times New Roman"/>
          <w:bCs/>
          <w:sz w:val="24"/>
          <w:szCs w:val="24"/>
        </w:rPr>
        <w:t>off approach to the service company charges for a number of reasons.</w:t>
      </w:r>
      <w:r w:rsidR="00AB44BE">
        <w:rPr>
          <w:rFonts w:ascii="Times New Roman" w:hAnsi="Times New Roman" w:cs="Times New Roman"/>
          <w:bCs/>
          <w:sz w:val="24"/>
          <w:szCs w:val="24"/>
        </w:rPr>
        <w:t xml:space="preserve"> </w:t>
      </w:r>
      <w:r w:rsidRPr="004569A4">
        <w:rPr>
          <w:rFonts w:ascii="Times New Roman" w:hAnsi="Times New Roman" w:cs="Times New Roman"/>
          <w:bCs/>
          <w:sz w:val="24"/>
          <w:szCs w:val="24"/>
        </w:rPr>
        <w:t>First, the service company charges to the FirstEnergy Utilities</w:t>
      </w:r>
      <w:r w:rsidR="00AB44BE">
        <w:rPr>
          <w:rFonts w:ascii="Times New Roman" w:hAnsi="Times New Roman" w:cs="Times New Roman"/>
          <w:bCs/>
          <w:sz w:val="24"/>
          <w:szCs w:val="24"/>
        </w:rPr>
        <w:t xml:space="preserve"> </w:t>
      </w:r>
      <w:r w:rsidRPr="004569A4">
        <w:rPr>
          <w:rFonts w:ascii="Times New Roman" w:hAnsi="Times New Roman" w:cs="Times New Roman"/>
          <w:bCs/>
          <w:sz w:val="24"/>
          <w:szCs w:val="24"/>
        </w:rPr>
        <w:t>are significant.</w:t>
      </w:r>
      <w:r w:rsidR="00AB44BE">
        <w:rPr>
          <w:rFonts w:ascii="Times New Roman" w:hAnsi="Times New Roman" w:cs="Times New Roman"/>
          <w:bCs/>
          <w:sz w:val="24"/>
          <w:szCs w:val="24"/>
        </w:rPr>
        <w:t xml:space="preserve"> </w:t>
      </w:r>
      <w:r w:rsidRPr="004569A4">
        <w:rPr>
          <w:rFonts w:ascii="Times New Roman" w:hAnsi="Times New Roman" w:cs="Times New Roman"/>
          <w:bCs/>
          <w:sz w:val="24"/>
          <w:szCs w:val="24"/>
        </w:rPr>
        <w:t>According to FirstEnergy Service Company’s 201</w:t>
      </w:r>
      <w:r w:rsidRPr="004569A4" w:rsidR="00416A34">
        <w:rPr>
          <w:rFonts w:ascii="Times New Roman" w:hAnsi="Times New Roman" w:cs="Times New Roman"/>
          <w:bCs/>
          <w:sz w:val="24"/>
          <w:szCs w:val="24"/>
        </w:rPr>
        <w:t>8</w:t>
      </w:r>
      <w:r w:rsidRPr="004569A4">
        <w:rPr>
          <w:rFonts w:ascii="Times New Roman" w:hAnsi="Times New Roman" w:cs="Times New Roman"/>
          <w:bCs/>
          <w:sz w:val="24"/>
          <w:szCs w:val="24"/>
        </w:rPr>
        <w:t xml:space="preserve"> FERC Form 60, for the year ending 201</w:t>
      </w:r>
      <w:r w:rsidRPr="004569A4" w:rsidR="00416A34">
        <w:rPr>
          <w:rFonts w:ascii="Times New Roman" w:hAnsi="Times New Roman" w:cs="Times New Roman"/>
          <w:bCs/>
          <w:sz w:val="24"/>
          <w:szCs w:val="24"/>
        </w:rPr>
        <w:t>8</w:t>
      </w:r>
      <w:r w:rsidRPr="004569A4">
        <w:rPr>
          <w:rFonts w:ascii="Times New Roman" w:hAnsi="Times New Roman" w:cs="Times New Roman"/>
          <w:bCs/>
          <w:sz w:val="24"/>
          <w:szCs w:val="24"/>
        </w:rPr>
        <w:t xml:space="preserve">, FirstEnergy </w:t>
      </w:r>
      <w:r w:rsidR="00944517">
        <w:rPr>
          <w:rFonts w:ascii="Times New Roman" w:hAnsi="Times New Roman" w:cs="Times New Roman"/>
          <w:bCs/>
          <w:sz w:val="24"/>
          <w:szCs w:val="24"/>
        </w:rPr>
        <w:t xml:space="preserve">Service Company charged the FirstEnergy utility operating companies </w:t>
      </w:r>
      <w:r w:rsidRPr="004569A4">
        <w:rPr>
          <w:rFonts w:ascii="Times New Roman" w:hAnsi="Times New Roman" w:cs="Times New Roman"/>
          <w:bCs/>
          <w:sz w:val="24"/>
          <w:szCs w:val="24"/>
        </w:rPr>
        <w:t>$1</w:t>
      </w:r>
      <w:r w:rsidRPr="004569A4" w:rsidR="00416A34">
        <w:rPr>
          <w:rFonts w:ascii="Times New Roman" w:hAnsi="Times New Roman" w:cs="Times New Roman"/>
          <w:bCs/>
          <w:sz w:val="24"/>
          <w:szCs w:val="24"/>
        </w:rPr>
        <w:t>.12 billion</w:t>
      </w:r>
      <w:r w:rsidR="00AB44BE">
        <w:rPr>
          <w:rFonts w:ascii="Times New Roman" w:hAnsi="Times New Roman" w:cs="Times New Roman"/>
          <w:bCs/>
          <w:sz w:val="24"/>
          <w:szCs w:val="24"/>
        </w:rPr>
        <w:t xml:space="preserve"> </w:t>
      </w:r>
      <w:r w:rsidRPr="004569A4">
        <w:rPr>
          <w:rFonts w:ascii="Times New Roman" w:hAnsi="Times New Roman" w:cs="Times New Roman"/>
          <w:bCs/>
          <w:sz w:val="24"/>
          <w:szCs w:val="24"/>
        </w:rPr>
        <w:t>for services provided by the service company.</w:t>
      </w:r>
      <w:r>
        <w:rPr>
          <w:rStyle w:val="FootnoteReference"/>
          <w:rFonts w:ascii="Times New Roman" w:hAnsi="Times New Roman" w:cs="Times New Roman"/>
          <w:bCs/>
          <w:sz w:val="24"/>
          <w:szCs w:val="24"/>
        </w:rPr>
        <w:footnoteReference w:id="38"/>
      </w:r>
      <w:r w:rsidR="00AB44BE">
        <w:rPr>
          <w:rFonts w:ascii="Times New Roman" w:hAnsi="Times New Roman" w:cs="Times New Roman"/>
          <w:bCs/>
          <w:sz w:val="24"/>
          <w:szCs w:val="24"/>
        </w:rPr>
        <w:t xml:space="preserve"> </w:t>
      </w:r>
      <w:r w:rsidRPr="004569A4">
        <w:rPr>
          <w:rFonts w:ascii="Times New Roman" w:hAnsi="Times New Roman" w:cs="Times New Roman"/>
          <w:bCs/>
          <w:sz w:val="24"/>
          <w:szCs w:val="24"/>
        </w:rPr>
        <w:t>To assert that the FirstEnergy utilities are not responsible for managing or monitoring these costs is absurd.</w:t>
      </w:r>
      <w:r w:rsidR="00AB44BE">
        <w:rPr>
          <w:rFonts w:ascii="Times New Roman" w:hAnsi="Times New Roman" w:cs="Times New Roman"/>
          <w:bCs/>
          <w:sz w:val="24"/>
          <w:szCs w:val="24"/>
        </w:rPr>
        <w:t xml:space="preserve"> </w:t>
      </w:r>
      <w:r w:rsidRPr="004569A4">
        <w:rPr>
          <w:rFonts w:ascii="Times New Roman" w:hAnsi="Times New Roman" w:cs="Times New Roman"/>
          <w:bCs/>
          <w:sz w:val="24"/>
          <w:szCs w:val="24"/>
        </w:rPr>
        <w:t>If not FirstEnergy Utilities, then who?</w:t>
      </w:r>
      <w:r w:rsidR="00AB44BE">
        <w:rPr>
          <w:rFonts w:ascii="Times New Roman" w:hAnsi="Times New Roman" w:cs="Times New Roman"/>
          <w:bCs/>
          <w:sz w:val="24"/>
          <w:szCs w:val="24"/>
        </w:rPr>
        <w:t xml:space="preserve"> </w:t>
      </w:r>
    </w:p>
    <w:p w:rsidR="00E9600E" w:rsidRPr="004569A4" w:rsidP="006F3DAC" w14:paraId="5D664E1E" w14:textId="1D6296C2">
      <w:pPr>
        <w:spacing w:line="480" w:lineRule="auto"/>
        <w:ind w:firstLine="720"/>
        <w:rPr>
          <w:rFonts w:ascii="Times New Roman" w:hAnsi="Times New Roman" w:cs="Times New Roman"/>
          <w:bCs/>
          <w:sz w:val="24"/>
          <w:szCs w:val="24"/>
        </w:rPr>
      </w:pPr>
      <w:r w:rsidRPr="004569A4">
        <w:rPr>
          <w:rFonts w:ascii="Times New Roman" w:hAnsi="Times New Roman" w:cs="Times New Roman"/>
          <w:bCs/>
          <w:sz w:val="24"/>
          <w:szCs w:val="24"/>
        </w:rPr>
        <w:t xml:space="preserve">Second, </w:t>
      </w:r>
      <w:r w:rsidRPr="004569A4" w:rsidR="00B0786C">
        <w:rPr>
          <w:rFonts w:ascii="Times New Roman" w:hAnsi="Times New Roman" w:cs="Times New Roman"/>
          <w:bCs/>
          <w:sz w:val="24"/>
          <w:szCs w:val="24"/>
        </w:rPr>
        <w:t xml:space="preserve">FirstEnergy’s position is </w:t>
      </w:r>
      <w:r w:rsidRPr="004569A4" w:rsidR="000B1248">
        <w:rPr>
          <w:rFonts w:ascii="Times New Roman" w:hAnsi="Times New Roman" w:cs="Times New Roman"/>
          <w:bCs/>
          <w:sz w:val="24"/>
          <w:szCs w:val="24"/>
        </w:rPr>
        <w:t>at odds with Ohio utility regulation.</w:t>
      </w:r>
      <w:r w:rsidR="00AB44BE">
        <w:rPr>
          <w:rFonts w:ascii="Times New Roman" w:hAnsi="Times New Roman" w:cs="Times New Roman"/>
          <w:bCs/>
          <w:sz w:val="24"/>
          <w:szCs w:val="24"/>
        </w:rPr>
        <w:t xml:space="preserve"> </w:t>
      </w:r>
      <w:r w:rsidRPr="004569A4" w:rsidR="000B1248">
        <w:rPr>
          <w:rFonts w:ascii="Times New Roman" w:hAnsi="Times New Roman" w:cs="Times New Roman"/>
          <w:bCs/>
          <w:sz w:val="24"/>
          <w:szCs w:val="24"/>
        </w:rPr>
        <w:t>The PUCO has responsibility to ensure that the costs of goods and service</w:t>
      </w:r>
      <w:r w:rsidRPr="004569A4">
        <w:rPr>
          <w:rFonts w:ascii="Times New Roman" w:hAnsi="Times New Roman" w:cs="Times New Roman"/>
          <w:bCs/>
          <w:sz w:val="24"/>
          <w:szCs w:val="24"/>
        </w:rPr>
        <w:t>s</w:t>
      </w:r>
      <w:r w:rsidRPr="004569A4" w:rsidR="000B1248">
        <w:rPr>
          <w:rFonts w:ascii="Times New Roman" w:hAnsi="Times New Roman" w:cs="Times New Roman"/>
          <w:bCs/>
          <w:sz w:val="24"/>
          <w:szCs w:val="24"/>
        </w:rPr>
        <w:t xml:space="preserve"> provide</w:t>
      </w:r>
      <w:r w:rsidRPr="004569A4">
        <w:rPr>
          <w:rFonts w:ascii="Times New Roman" w:hAnsi="Times New Roman" w:cs="Times New Roman"/>
          <w:bCs/>
          <w:sz w:val="24"/>
          <w:szCs w:val="24"/>
        </w:rPr>
        <w:t>d</w:t>
      </w:r>
      <w:r w:rsidRPr="004569A4" w:rsidR="000B1248">
        <w:rPr>
          <w:rFonts w:ascii="Times New Roman" w:hAnsi="Times New Roman" w:cs="Times New Roman"/>
          <w:bCs/>
          <w:sz w:val="24"/>
          <w:szCs w:val="24"/>
        </w:rPr>
        <w:t xml:space="preserve"> by a centralized service company to a public utility within the holding company system are just, reasonable and not unduly discriminatory or preferential.</w:t>
      </w:r>
      <w:r w:rsidR="00AB44BE">
        <w:rPr>
          <w:rFonts w:ascii="Times New Roman" w:hAnsi="Times New Roman" w:cs="Times New Roman"/>
          <w:bCs/>
          <w:sz w:val="24"/>
          <w:szCs w:val="24"/>
        </w:rPr>
        <w:t xml:space="preserve"> </w:t>
      </w:r>
      <w:r w:rsidRPr="004569A4">
        <w:rPr>
          <w:rFonts w:ascii="Times New Roman" w:hAnsi="Times New Roman" w:cs="Times New Roman"/>
          <w:bCs/>
          <w:sz w:val="24"/>
          <w:szCs w:val="24"/>
        </w:rPr>
        <w:t>Only costs that are determined to be just and reasonable may be charged to consumers.</w:t>
      </w:r>
      <w:r>
        <w:rPr>
          <w:rStyle w:val="FootnoteReference"/>
          <w:rFonts w:ascii="Times New Roman" w:hAnsi="Times New Roman" w:cs="Times New Roman"/>
          <w:bCs/>
          <w:sz w:val="24"/>
          <w:szCs w:val="24"/>
        </w:rPr>
        <w:footnoteReference w:id="39"/>
      </w:r>
      <w:r w:rsidR="00AB44BE">
        <w:rPr>
          <w:rFonts w:ascii="Times New Roman" w:hAnsi="Times New Roman" w:cs="Times New Roman"/>
          <w:bCs/>
          <w:sz w:val="24"/>
          <w:szCs w:val="24"/>
        </w:rPr>
        <w:t xml:space="preserve"> </w:t>
      </w:r>
      <w:r w:rsidRPr="004569A4" w:rsidR="000B1248">
        <w:rPr>
          <w:rFonts w:ascii="Times New Roman" w:hAnsi="Times New Roman" w:cs="Times New Roman"/>
          <w:bCs/>
          <w:sz w:val="24"/>
          <w:szCs w:val="24"/>
        </w:rPr>
        <w:t xml:space="preserve">This creates an obligation on the utility’s part to </w:t>
      </w:r>
      <w:r w:rsidRPr="004569A4">
        <w:rPr>
          <w:rFonts w:ascii="Times New Roman" w:hAnsi="Times New Roman" w:cs="Times New Roman"/>
          <w:bCs/>
          <w:sz w:val="24"/>
          <w:szCs w:val="24"/>
        </w:rPr>
        <w:t>prove that the costs it seeks to charge consumers are just and reasonable.</w:t>
      </w:r>
      <w:r w:rsidR="00AB44BE">
        <w:rPr>
          <w:rFonts w:ascii="Times New Roman" w:hAnsi="Times New Roman" w:cs="Times New Roman"/>
          <w:bCs/>
          <w:sz w:val="24"/>
          <w:szCs w:val="24"/>
        </w:rPr>
        <w:t xml:space="preserve"> </w:t>
      </w:r>
      <w:r w:rsidRPr="004569A4">
        <w:rPr>
          <w:rFonts w:ascii="Times New Roman" w:hAnsi="Times New Roman" w:cs="Times New Roman"/>
          <w:bCs/>
          <w:sz w:val="24"/>
          <w:szCs w:val="24"/>
        </w:rPr>
        <w:t xml:space="preserve">The </w:t>
      </w:r>
      <w:r w:rsidRPr="004569A4" w:rsidR="00CB43AA">
        <w:rPr>
          <w:rFonts w:ascii="Times New Roman" w:hAnsi="Times New Roman" w:cs="Times New Roman"/>
          <w:bCs/>
          <w:sz w:val="24"/>
          <w:szCs w:val="24"/>
        </w:rPr>
        <w:t xml:space="preserve">FirstEnergy </w:t>
      </w:r>
      <w:r w:rsidRPr="004569A4">
        <w:rPr>
          <w:rFonts w:ascii="Times New Roman" w:hAnsi="Times New Roman" w:cs="Times New Roman"/>
          <w:bCs/>
          <w:sz w:val="24"/>
          <w:szCs w:val="24"/>
        </w:rPr>
        <w:t xml:space="preserve">utilities cannot just walk away from that </w:t>
      </w:r>
      <w:r w:rsidRPr="004569A4" w:rsidR="00AB44BE">
        <w:rPr>
          <w:rFonts w:ascii="Times New Roman" w:hAnsi="Times New Roman" w:cs="Times New Roman"/>
          <w:bCs/>
          <w:sz w:val="24"/>
          <w:szCs w:val="24"/>
        </w:rPr>
        <w:t>responsibility unless</w:t>
      </w:r>
      <w:r w:rsidRPr="004569A4">
        <w:rPr>
          <w:rFonts w:ascii="Times New Roman" w:hAnsi="Times New Roman" w:cs="Times New Roman"/>
          <w:bCs/>
          <w:sz w:val="24"/>
          <w:szCs w:val="24"/>
        </w:rPr>
        <w:t xml:space="preserve"> they are willing to forego cost recovery</w:t>
      </w:r>
      <w:r w:rsidRPr="004569A4" w:rsidR="00CB43AA">
        <w:rPr>
          <w:rFonts w:ascii="Times New Roman" w:hAnsi="Times New Roman" w:cs="Times New Roman"/>
          <w:bCs/>
          <w:sz w:val="24"/>
          <w:szCs w:val="24"/>
        </w:rPr>
        <w:t xml:space="preserve"> of these costs.</w:t>
      </w:r>
      <w:r w:rsidR="00AB44BE">
        <w:rPr>
          <w:rFonts w:ascii="Times New Roman" w:hAnsi="Times New Roman" w:cs="Times New Roman"/>
          <w:bCs/>
          <w:sz w:val="24"/>
          <w:szCs w:val="24"/>
        </w:rPr>
        <w:t xml:space="preserve"> </w:t>
      </w:r>
    </w:p>
    <w:p w:rsidR="00B0786C" w:rsidRPr="004569A4" w:rsidP="006F3DAC" w14:paraId="04709202" w14:textId="7DB64627">
      <w:pPr>
        <w:spacing w:line="480" w:lineRule="auto"/>
        <w:ind w:firstLine="720"/>
        <w:rPr>
          <w:rFonts w:ascii="Times New Roman" w:hAnsi="Times New Roman" w:cs="Times New Roman"/>
          <w:bCs/>
          <w:sz w:val="24"/>
          <w:szCs w:val="24"/>
        </w:rPr>
      </w:pPr>
      <w:r w:rsidRPr="004569A4">
        <w:rPr>
          <w:rFonts w:ascii="Times New Roman" w:hAnsi="Times New Roman" w:cs="Times New Roman"/>
          <w:bCs/>
          <w:sz w:val="24"/>
          <w:szCs w:val="24"/>
        </w:rPr>
        <w:t xml:space="preserve">Third, </w:t>
      </w:r>
      <w:r w:rsidRPr="004569A4" w:rsidR="00E9600E">
        <w:rPr>
          <w:rFonts w:ascii="Times New Roman" w:hAnsi="Times New Roman" w:cs="Times New Roman"/>
          <w:bCs/>
          <w:sz w:val="24"/>
          <w:szCs w:val="24"/>
        </w:rPr>
        <w:t xml:space="preserve">FirstEnergy’s approach is </w:t>
      </w:r>
      <w:r w:rsidRPr="004569A4" w:rsidR="007F7026">
        <w:rPr>
          <w:rFonts w:ascii="Times New Roman" w:hAnsi="Times New Roman" w:cs="Times New Roman"/>
          <w:bCs/>
          <w:sz w:val="24"/>
          <w:szCs w:val="24"/>
        </w:rPr>
        <w:t xml:space="preserve">also </w:t>
      </w:r>
      <w:r w:rsidRPr="004569A4">
        <w:rPr>
          <w:rFonts w:ascii="Times New Roman" w:hAnsi="Times New Roman" w:cs="Times New Roman"/>
          <w:bCs/>
          <w:sz w:val="24"/>
          <w:szCs w:val="24"/>
        </w:rPr>
        <w:t>inconsistent with the Uniform System of Accounts (“USoA”)</w:t>
      </w:r>
      <w:r w:rsidRPr="004569A4" w:rsidR="007060EC">
        <w:rPr>
          <w:rFonts w:ascii="Times New Roman" w:hAnsi="Times New Roman" w:cs="Times New Roman"/>
          <w:bCs/>
          <w:sz w:val="24"/>
          <w:szCs w:val="24"/>
        </w:rPr>
        <w:t xml:space="preserve">, which FirstEnergy </w:t>
      </w:r>
      <w:r w:rsidRPr="004569A4" w:rsidR="001308B4">
        <w:rPr>
          <w:rFonts w:ascii="Times New Roman" w:hAnsi="Times New Roman" w:cs="Times New Roman"/>
          <w:bCs/>
          <w:sz w:val="24"/>
          <w:szCs w:val="24"/>
        </w:rPr>
        <w:t>must</w:t>
      </w:r>
      <w:r w:rsidRPr="004569A4" w:rsidR="007060EC">
        <w:rPr>
          <w:rFonts w:ascii="Times New Roman" w:hAnsi="Times New Roman" w:cs="Times New Roman"/>
          <w:bCs/>
          <w:sz w:val="24"/>
          <w:szCs w:val="24"/>
        </w:rPr>
        <w:t xml:space="preserve"> follow</w:t>
      </w:r>
      <w:r w:rsidRPr="004569A4">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40"/>
      </w:r>
      <w:r w:rsidR="00AB44BE">
        <w:rPr>
          <w:rFonts w:ascii="Times New Roman" w:hAnsi="Times New Roman" w:cs="Times New Roman"/>
          <w:bCs/>
          <w:sz w:val="24"/>
          <w:szCs w:val="24"/>
        </w:rPr>
        <w:t xml:space="preserve"> </w:t>
      </w:r>
      <w:r w:rsidRPr="004569A4">
        <w:rPr>
          <w:rFonts w:ascii="Times New Roman" w:hAnsi="Times New Roman" w:cs="Times New Roman"/>
          <w:bCs/>
          <w:sz w:val="24"/>
          <w:szCs w:val="24"/>
        </w:rPr>
        <w:t>The USoA provides:</w:t>
      </w:r>
    </w:p>
    <w:p w:rsidR="00B0786C" w:rsidRPr="004569A4" w:rsidP="006F3DAC" w14:paraId="7AEC67B8" w14:textId="5261D517">
      <w:pPr>
        <w:widowControl/>
        <w:ind w:left="1440" w:right="1440"/>
        <w:rPr>
          <w:rFonts w:ascii="Times New Roman" w:eastAsia="Times New Roman" w:hAnsi="Times New Roman" w:cs="Times New Roman"/>
          <w:sz w:val="24"/>
          <w:szCs w:val="24"/>
        </w:rPr>
      </w:pPr>
      <w:r w:rsidRPr="004569A4">
        <w:rPr>
          <w:rFonts w:ascii="Times New Roman" w:eastAsia="Times New Roman" w:hAnsi="Times New Roman" w:cs="Times New Roman"/>
          <w:sz w:val="24"/>
          <w:szCs w:val="24"/>
        </w:rPr>
        <w:t>2. Records.</w:t>
      </w:r>
    </w:p>
    <w:p w:rsidR="006F3DAC" w:rsidRPr="004569A4" w:rsidP="006F3DAC" w14:paraId="0E38BDFB" w14:textId="77777777">
      <w:pPr>
        <w:widowControl/>
        <w:ind w:left="1440" w:right="1440"/>
        <w:rPr>
          <w:rFonts w:ascii="Times New Roman" w:eastAsia="Times New Roman" w:hAnsi="Times New Roman" w:cs="Times New Roman"/>
          <w:sz w:val="24"/>
          <w:szCs w:val="24"/>
        </w:rPr>
      </w:pPr>
    </w:p>
    <w:p w:rsidR="00B0786C" w:rsidRPr="004569A4" w:rsidP="006F3DAC" w14:paraId="5A540A1C" w14:textId="5F93DAFF">
      <w:pPr>
        <w:pStyle w:val="ListParagraph"/>
        <w:widowControl/>
        <w:numPr>
          <w:ilvl w:val="0"/>
          <w:numId w:val="9"/>
        </w:numPr>
        <w:ind w:right="1440"/>
        <w:rPr>
          <w:rFonts w:ascii="Times New Roman" w:eastAsia="Times New Roman" w:hAnsi="Times New Roman" w:cs="Times New Roman"/>
          <w:sz w:val="24"/>
          <w:szCs w:val="24"/>
        </w:rPr>
      </w:pPr>
      <w:r w:rsidRPr="004569A4">
        <w:rPr>
          <w:rFonts w:ascii="Times New Roman" w:eastAsia="Times New Roman" w:hAnsi="Times New Roman" w:cs="Times New Roman"/>
          <w:sz w:val="24"/>
          <w:szCs w:val="24"/>
        </w:rPr>
        <w:t>Each utility shall keep its books of account, and all other books, records, and memoranda which support the entries in such books of account so as to be able to furnish readily full information as to any item included in any account. Each entry shall be supported by such detailed information as will permit ready identification, analysis, and verification of all facts relevant thereto.</w:t>
      </w:r>
      <w:r>
        <w:rPr>
          <w:rStyle w:val="FootnoteReference"/>
          <w:rFonts w:ascii="Times New Roman" w:eastAsia="Times New Roman" w:hAnsi="Times New Roman" w:cs="Times New Roman"/>
          <w:sz w:val="24"/>
          <w:szCs w:val="24"/>
        </w:rPr>
        <w:footnoteReference w:id="41"/>
      </w:r>
      <w:r w:rsidRPr="004569A4">
        <w:rPr>
          <w:rFonts w:ascii="Times New Roman" w:eastAsia="Times New Roman" w:hAnsi="Times New Roman" w:cs="Times New Roman"/>
          <w:sz w:val="24"/>
          <w:szCs w:val="24"/>
        </w:rPr>
        <w:t xml:space="preserve"> </w:t>
      </w:r>
    </w:p>
    <w:p w:rsidR="006F3DAC" w:rsidRPr="004569A4" w:rsidP="006F3DAC" w14:paraId="081D1AA5" w14:textId="77777777">
      <w:pPr>
        <w:pStyle w:val="ListParagraph"/>
        <w:widowControl/>
        <w:ind w:left="1800" w:right="1440"/>
        <w:rPr>
          <w:rFonts w:ascii="Times New Roman" w:eastAsia="Times New Roman" w:hAnsi="Times New Roman" w:cs="Times New Roman"/>
          <w:sz w:val="24"/>
          <w:szCs w:val="24"/>
        </w:rPr>
      </w:pPr>
    </w:p>
    <w:p w:rsidR="00B0786C" w:rsidRPr="004569A4" w:rsidP="00B0786C" w14:paraId="775AB744" w14:textId="01D4F8F1">
      <w:pPr>
        <w:spacing w:line="480" w:lineRule="auto"/>
        <w:rPr>
          <w:rFonts w:ascii="Times New Roman" w:hAnsi="Times New Roman" w:cs="Times New Roman"/>
          <w:bCs/>
          <w:sz w:val="24"/>
          <w:szCs w:val="24"/>
        </w:rPr>
      </w:pPr>
      <w:r w:rsidRPr="004569A4">
        <w:rPr>
          <w:rFonts w:ascii="Times New Roman" w:hAnsi="Times New Roman" w:cs="Times New Roman"/>
          <w:bCs/>
          <w:sz w:val="24"/>
          <w:szCs w:val="24"/>
        </w:rPr>
        <w:tab/>
        <w:t>If the FirstEnergy Utilities refuse to take responsibility for reviewing and disputing cost allocations from FirstEnergy Service Company, then the FirstEnergy Utilities are unable to keep their own book of accounts.</w:t>
      </w:r>
      <w:r w:rsidR="00AB44BE">
        <w:rPr>
          <w:rFonts w:ascii="Times New Roman" w:hAnsi="Times New Roman" w:cs="Times New Roman"/>
          <w:bCs/>
          <w:sz w:val="24"/>
          <w:szCs w:val="24"/>
        </w:rPr>
        <w:t xml:space="preserve"> </w:t>
      </w:r>
      <w:r w:rsidRPr="004569A4">
        <w:rPr>
          <w:rFonts w:ascii="Times New Roman" w:hAnsi="Times New Roman" w:cs="Times New Roman"/>
          <w:bCs/>
          <w:sz w:val="24"/>
          <w:szCs w:val="24"/>
        </w:rPr>
        <w:t>The requirement to keep a book of accounts includes having full information to support all entries.</w:t>
      </w:r>
      <w:r w:rsidR="00AB44BE">
        <w:rPr>
          <w:rFonts w:ascii="Times New Roman" w:hAnsi="Times New Roman" w:cs="Times New Roman"/>
          <w:bCs/>
          <w:sz w:val="24"/>
          <w:szCs w:val="24"/>
        </w:rPr>
        <w:t xml:space="preserve"> </w:t>
      </w:r>
      <w:r w:rsidRPr="004569A4">
        <w:rPr>
          <w:rFonts w:ascii="Times New Roman" w:hAnsi="Times New Roman" w:cs="Times New Roman"/>
          <w:bCs/>
          <w:sz w:val="24"/>
          <w:szCs w:val="24"/>
        </w:rPr>
        <w:t>If the FirstEnergy Utilities have no capability to review and dispute cost allocations from FirstEnergy Service Company, then the FirstEnergy Utilities have abdicated their responsibility for keeping their own book of accounts.</w:t>
      </w:r>
      <w:r w:rsidR="00AB44BE">
        <w:rPr>
          <w:rFonts w:ascii="Times New Roman" w:hAnsi="Times New Roman" w:cs="Times New Roman"/>
          <w:bCs/>
          <w:sz w:val="24"/>
          <w:szCs w:val="24"/>
        </w:rPr>
        <w:t xml:space="preserve"> </w:t>
      </w:r>
      <w:r w:rsidRPr="004569A4">
        <w:rPr>
          <w:rFonts w:ascii="Times New Roman" w:hAnsi="Times New Roman" w:cs="Times New Roman"/>
          <w:bCs/>
          <w:sz w:val="24"/>
          <w:szCs w:val="24"/>
        </w:rPr>
        <w:t>FirstEnergy’s position is unacceptable.</w:t>
      </w:r>
    </w:p>
    <w:p w:rsidR="00B0786C" w:rsidRPr="004569A4" w:rsidP="0028749D" w14:paraId="6C56E97B" w14:textId="0D431C85">
      <w:pPr>
        <w:spacing w:line="480" w:lineRule="auto"/>
        <w:rPr>
          <w:rFonts w:ascii="Times New Roman" w:hAnsi="Times New Roman" w:cs="Times New Roman"/>
          <w:bCs/>
          <w:sz w:val="24"/>
          <w:szCs w:val="24"/>
        </w:rPr>
      </w:pPr>
      <w:r w:rsidRPr="004569A4">
        <w:rPr>
          <w:rFonts w:ascii="Times New Roman" w:hAnsi="Times New Roman" w:cs="Times New Roman"/>
          <w:bCs/>
          <w:sz w:val="24"/>
          <w:szCs w:val="24"/>
        </w:rPr>
        <w:tab/>
      </w:r>
      <w:r w:rsidRPr="004569A4" w:rsidR="001308B4">
        <w:rPr>
          <w:rFonts w:ascii="Times New Roman" w:hAnsi="Times New Roman" w:cs="Times New Roman"/>
          <w:bCs/>
          <w:sz w:val="24"/>
          <w:szCs w:val="24"/>
        </w:rPr>
        <w:t>The other intervenors also</w:t>
      </w:r>
      <w:r w:rsidRPr="004569A4" w:rsidR="00A03E25">
        <w:rPr>
          <w:rFonts w:ascii="Times New Roman" w:hAnsi="Times New Roman" w:cs="Times New Roman"/>
          <w:bCs/>
          <w:sz w:val="24"/>
          <w:szCs w:val="24"/>
        </w:rPr>
        <w:t xml:space="preserve"> described FirstEnergy’s cost allocation practices as significant corporate separation violations.</w:t>
      </w:r>
      <w:r w:rsidR="00AB44BE">
        <w:rPr>
          <w:rFonts w:ascii="Times New Roman" w:hAnsi="Times New Roman" w:cs="Times New Roman"/>
          <w:bCs/>
          <w:sz w:val="24"/>
          <w:szCs w:val="24"/>
        </w:rPr>
        <w:t xml:space="preserve"> </w:t>
      </w:r>
      <w:r w:rsidRPr="004569A4" w:rsidR="00A03E25">
        <w:rPr>
          <w:rFonts w:ascii="Times New Roman" w:hAnsi="Times New Roman" w:cs="Times New Roman"/>
          <w:bCs/>
          <w:sz w:val="24"/>
          <w:szCs w:val="24"/>
        </w:rPr>
        <w:t>OMAEG said: “[t]his is a flagrant violation of Ohio’s corporate separation requirements, which expressly prohibit this sort of cross-subsidization.”</w:t>
      </w:r>
      <w:r>
        <w:rPr>
          <w:rStyle w:val="FootnoteReference"/>
          <w:rFonts w:ascii="Times New Roman" w:hAnsi="Times New Roman" w:cs="Times New Roman"/>
          <w:bCs/>
          <w:sz w:val="24"/>
          <w:szCs w:val="24"/>
        </w:rPr>
        <w:footnoteReference w:id="42"/>
      </w:r>
      <w:r w:rsidR="00AB44BE">
        <w:rPr>
          <w:rFonts w:ascii="Times New Roman" w:hAnsi="Times New Roman" w:cs="Times New Roman"/>
          <w:bCs/>
          <w:sz w:val="24"/>
          <w:szCs w:val="24"/>
        </w:rPr>
        <w:t xml:space="preserve"> </w:t>
      </w:r>
      <w:r w:rsidRPr="004569A4" w:rsidR="00E87BE6">
        <w:rPr>
          <w:rFonts w:ascii="Times New Roman" w:hAnsi="Times New Roman" w:cs="Times New Roman"/>
          <w:bCs/>
          <w:sz w:val="24"/>
          <w:szCs w:val="24"/>
        </w:rPr>
        <w:t>IEU-Ohio pointed out the auditor’s requirement that the cost allocation manual was not sufficient to prevent cross-subsidization.</w:t>
      </w:r>
      <w:r>
        <w:rPr>
          <w:rStyle w:val="FootnoteReference"/>
          <w:rFonts w:ascii="Times New Roman" w:hAnsi="Times New Roman" w:cs="Times New Roman"/>
          <w:bCs/>
          <w:sz w:val="24"/>
          <w:szCs w:val="24"/>
        </w:rPr>
        <w:footnoteReference w:id="43"/>
      </w:r>
      <w:r w:rsidR="00AB44BE">
        <w:rPr>
          <w:rFonts w:ascii="Times New Roman" w:hAnsi="Times New Roman" w:cs="Times New Roman"/>
          <w:bCs/>
          <w:sz w:val="24"/>
          <w:szCs w:val="24"/>
        </w:rPr>
        <w:t xml:space="preserve"> </w:t>
      </w:r>
      <w:r w:rsidRPr="004569A4" w:rsidR="008F6D31">
        <w:rPr>
          <w:rFonts w:ascii="Times New Roman" w:hAnsi="Times New Roman" w:cs="Times New Roman"/>
          <w:bCs/>
          <w:sz w:val="24"/>
          <w:szCs w:val="24"/>
        </w:rPr>
        <w:t>Vistra noted that a particular concern was “the lack of internal controls and oversight regarding cost allocation of shared corporate service charges.”</w:t>
      </w:r>
      <w:r>
        <w:rPr>
          <w:rStyle w:val="FootnoteReference"/>
          <w:rFonts w:ascii="Times New Roman" w:hAnsi="Times New Roman" w:cs="Times New Roman"/>
          <w:bCs/>
          <w:sz w:val="24"/>
          <w:szCs w:val="24"/>
        </w:rPr>
        <w:footnoteReference w:id="44"/>
      </w:r>
    </w:p>
    <w:p w:rsidR="001E6AF6" w:rsidP="008B2D81" w14:paraId="5DEC387A" w14:textId="77777777">
      <w:pPr>
        <w:spacing w:line="480" w:lineRule="auto"/>
        <w:ind w:firstLine="720"/>
        <w:rPr>
          <w:rFonts w:ascii="Times New Roman" w:hAnsi="Times New Roman" w:cs="Times New Roman"/>
          <w:bCs/>
          <w:sz w:val="24"/>
          <w:szCs w:val="24"/>
        </w:rPr>
      </w:pPr>
      <w:r w:rsidRPr="004569A4">
        <w:rPr>
          <w:rFonts w:ascii="Times New Roman" w:hAnsi="Times New Roman" w:cs="Times New Roman"/>
          <w:bCs/>
          <w:sz w:val="24"/>
          <w:szCs w:val="24"/>
        </w:rPr>
        <w:t>The PUCO should reject the FirstEnergy Utilities’ position that they should not be required to monitor and challenge improper cost allocations.</w:t>
      </w:r>
      <w:r w:rsidR="00AB44BE">
        <w:rPr>
          <w:rFonts w:ascii="Times New Roman" w:hAnsi="Times New Roman" w:cs="Times New Roman"/>
          <w:bCs/>
          <w:sz w:val="24"/>
          <w:szCs w:val="24"/>
        </w:rPr>
        <w:t xml:space="preserve"> </w:t>
      </w:r>
      <w:r w:rsidRPr="004569A4">
        <w:rPr>
          <w:rFonts w:ascii="Times New Roman" w:hAnsi="Times New Roman" w:cs="Times New Roman"/>
          <w:bCs/>
          <w:sz w:val="24"/>
          <w:szCs w:val="24"/>
        </w:rPr>
        <w:t>The PUCO should find that the cost allocation practices described by the auditor violate Ohio’s corporate separation requirements.</w:t>
      </w:r>
      <w:r w:rsidR="00AB44BE">
        <w:rPr>
          <w:rFonts w:ascii="Times New Roman" w:hAnsi="Times New Roman" w:cs="Times New Roman"/>
          <w:bCs/>
          <w:sz w:val="24"/>
          <w:szCs w:val="24"/>
        </w:rPr>
        <w:t xml:space="preserve"> </w:t>
      </w:r>
      <w:r w:rsidRPr="004569A4" w:rsidR="002A7201">
        <w:rPr>
          <w:rFonts w:ascii="Times New Roman" w:hAnsi="Times New Roman" w:cs="Times New Roman"/>
          <w:bCs/>
          <w:sz w:val="24"/>
          <w:szCs w:val="24"/>
        </w:rPr>
        <w:t xml:space="preserve">The PUCO must reject FirstEnergy’s position that the FirstEnergy Utilities do not need to have </w:t>
      </w:r>
    </w:p>
    <w:p w:rsidR="00944517" w:rsidRPr="004569A4" w:rsidP="001E6AF6" w14:paraId="7DCA477E" w14:textId="1AB7F9BD">
      <w:pPr>
        <w:spacing w:line="480" w:lineRule="auto"/>
        <w:rPr>
          <w:rFonts w:ascii="Times New Roman" w:hAnsi="Times New Roman" w:cs="Times New Roman"/>
          <w:b/>
          <w:sz w:val="24"/>
          <w:szCs w:val="24"/>
        </w:rPr>
      </w:pPr>
      <w:r w:rsidRPr="004569A4">
        <w:rPr>
          <w:rFonts w:ascii="Times New Roman" w:hAnsi="Times New Roman" w:cs="Times New Roman"/>
          <w:bCs/>
          <w:sz w:val="24"/>
          <w:szCs w:val="24"/>
        </w:rPr>
        <w:t>the capability to monitor, detect and challenge cost allocations from FirstEnergy Service Company</w:t>
      </w:r>
      <w:r w:rsidRPr="004569A4" w:rsidR="00BC3E53">
        <w:rPr>
          <w:rFonts w:ascii="Times New Roman" w:hAnsi="Times New Roman" w:cs="Times New Roman"/>
          <w:bCs/>
          <w:sz w:val="24"/>
          <w:szCs w:val="24"/>
        </w:rPr>
        <w:t>, along with a well-documented dispute resolution process</w:t>
      </w:r>
      <w:r w:rsidRPr="004569A4">
        <w:rPr>
          <w:rFonts w:ascii="Times New Roman" w:hAnsi="Times New Roman" w:cs="Times New Roman"/>
          <w:bCs/>
          <w:sz w:val="24"/>
          <w:szCs w:val="24"/>
        </w:rPr>
        <w:t>.</w:t>
      </w:r>
    </w:p>
    <w:p w:rsidR="00F02A4C" w:rsidP="001E6AF6" w14:paraId="7FAB3AD4" w14:textId="39EC36BE">
      <w:pPr>
        <w:pStyle w:val="Heading2"/>
      </w:pPr>
      <w:bookmarkStart w:id="7" w:name="_Toc90301102"/>
      <w:r w:rsidRPr="004569A4">
        <w:t xml:space="preserve">FirstEnergy’s </w:t>
      </w:r>
      <w:r w:rsidR="00B64D58">
        <w:t>H</w:t>
      </w:r>
      <w:r w:rsidR="00A12B5E">
        <w:t>.</w:t>
      </w:r>
      <w:r w:rsidR="00B64D58">
        <w:t>B</w:t>
      </w:r>
      <w:r w:rsidR="00A12B5E">
        <w:t>.</w:t>
      </w:r>
      <w:r w:rsidR="00B64D58">
        <w:t xml:space="preserve"> 6</w:t>
      </w:r>
      <w:r w:rsidR="00A12B5E">
        <w:t>-</w:t>
      </w:r>
      <w:r w:rsidR="00B64D58">
        <w:t>related activities</w:t>
      </w:r>
      <w:r w:rsidRPr="004569A4">
        <w:t xml:space="preserve"> also violated Ohio corporate separation law.</w:t>
      </w:r>
      <w:bookmarkEnd w:id="7"/>
    </w:p>
    <w:p w:rsidR="00F02A4C" w14:paraId="35FCF343" w14:textId="77777777">
      <w:pPr>
        <w:rPr>
          <w:rFonts w:ascii="Times New Roman" w:hAnsi="Times New Roman" w:cs="Times New Roman"/>
          <w:b/>
          <w:bCs/>
          <w:sz w:val="24"/>
          <w:szCs w:val="24"/>
        </w:rPr>
      </w:pPr>
      <w:r>
        <w:br w:type="page"/>
      </w:r>
    </w:p>
    <w:p w:rsidR="00F94628" w:rsidRPr="004569A4" w:rsidP="00F94628" w14:paraId="47B0FA40" w14:textId="4B11473F">
      <w:pPr>
        <w:pStyle w:val="BodyText"/>
        <w:spacing w:line="480" w:lineRule="auto"/>
        <w:ind w:left="0" w:firstLine="720"/>
        <w:rPr>
          <w:rFonts w:cs="Times New Roman"/>
          <w:bCs/>
          <w:sz w:val="24"/>
          <w:szCs w:val="24"/>
        </w:rPr>
      </w:pPr>
      <w:r w:rsidRPr="004569A4">
        <w:rPr>
          <w:rFonts w:cs="Times New Roman"/>
          <w:bCs/>
          <w:sz w:val="24"/>
          <w:szCs w:val="24"/>
        </w:rPr>
        <w:t>FirstEnergy violated corporate separation law when it committed “the largest bribery, money-laundering scheme ever perpetrated against the people of the state of Ohio.”</w:t>
      </w:r>
      <w:r>
        <w:rPr>
          <w:rStyle w:val="FootnoteReference"/>
          <w:rFonts w:cs="Times New Roman"/>
          <w:bCs/>
          <w:sz w:val="24"/>
          <w:szCs w:val="24"/>
        </w:rPr>
        <w:footnoteReference w:id="45"/>
      </w:r>
      <w:r w:rsidR="00AB44BE">
        <w:rPr>
          <w:rFonts w:cs="Times New Roman"/>
          <w:bCs/>
          <w:sz w:val="24"/>
          <w:szCs w:val="24"/>
        </w:rPr>
        <w:t xml:space="preserve"> </w:t>
      </w:r>
      <w:r w:rsidRPr="004569A4">
        <w:rPr>
          <w:rFonts w:cs="Times New Roman"/>
          <w:bCs/>
          <w:sz w:val="24"/>
          <w:szCs w:val="24"/>
        </w:rPr>
        <w:t>The PUCO should issue a ruling that FirstEnergy’s H.B. 6 misconduct violated Ohio corporate separation laws and rules, as described in OCC’s initial comments.</w:t>
      </w:r>
    </w:p>
    <w:p w:rsidR="001E6AF6" w:rsidP="00F94628" w14:paraId="013D2B42" w14:textId="31E5EA6B">
      <w:pPr>
        <w:pStyle w:val="BodyText"/>
        <w:spacing w:line="480" w:lineRule="auto"/>
        <w:ind w:left="0" w:firstLine="720"/>
        <w:rPr>
          <w:rFonts w:cs="Times New Roman"/>
          <w:bCs/>
          <w:sz w:val="24"/>
          <w:szCs w:val="24"/>
        </w:rPr>
      </w:pPr>
      <w:r w:rsidRPr="004569A4">
        <w:rPr>
          <w:rFonts w:cs="Times New Roman"/>
          <w:bCs/>
          <w:sz w:val="24"/>
          <w:szCs w:val="24"/>
        </w:rPr>
        <w:t>The other intervenors agreed that FirstEnergy’s H.B. 6 misconduct also violated corporate separation requirements.</w:t>
      </w:r>
      <w:r w:rsidR="00AB44BE">
        <w:rPr>
          <w:rFonts w:cs="Times New Roman"/>
          <w:bCs/>
          <w:sz w:val="24"/>
          <w:szCs w:val="24"/>
        </w:rPr>
        <w:t xml:space="preserve"> </w:t>
      </w:r>
      <w:r w:rsidRPr="004569A4">
        <w:rPr>
          <w:rFonts w:cs="Times New Roman"/>
          <w:bCs/>
          <w:sz w:val="24"/>
          <w:szCs w:val="24"/>
        </w:rPr>
        <w:t>NOPEC described “how its involvement with the HB 6 scandals and, separately, with former Chair Randazzo” affected FirstEnergy Advisors’ application for certification as a governmental aggregator.</w:t>
      </w:r>
      <w:r>
        <w:rPr>
          <w:rStyle w:val="FootnoteReference"/>
          <w:rFonts w:cs="Times New Roman"/>
          <w:bCs/>
          <w:sz w:val="24"/>
          <w:szCs w:val="24"/>
        </w:rPr>
        <w:footnoteReference w:id="46"/>
      </w:r>
      <w:r w:rsidR="00AB44BE">
        <w:rPr>
          <w:rFonts w:cs="Times New Roman"/>
          <w:bCs/>
          <w:sz w:val="24"/>
          <w:szCs w:val="24"/>
        </w:rPr>
        <w:t xml:space="preserve"> </w:t>
      </w:r>
      <w:r w:rsidRPr="004569A4" w:rsidR="00AD4ED3">
        <w:rPr>
          <w:rFonts w:cs="Times New Roman"/>
          <w:bCs/>
          <w:sz w:val="24"/>
          <w:szCs w:val="24"/>
        </w:rPr>
        <w:t>OMAEG remarked that FirstEnergy’s H.B. 6 misconduct “is a flagrant violation of Ohio’s corporate separation requirements, which expressly prohibit this sort of cross-subsidization.”</w:t>
      </w:r>
      <w:r>
        <w:rPr>
          <w:rStyle w:val="FootnoteReference"/>
          <w:rFonts w:cs="Times New Roman"/>
          <w:bCs/>
          <w:sz w:val="24"/>
          <w:szCs w:val="24"/>
        </w:rPr>
        <w:footnoteReference w:id="47"/>
      </w:r>
      <w:r w:rsidR="00AB44BE">
        <w:rPr>
          <w:rFonts w:cs="Times New Roman"/>
          <w:bCs/>
          <w:sz w:val="24"/>
          <w:szCs w:val="24"/>
        </w:rPr>
        <w:t xml:space="preserve"> </w:t>
      </w:r>
      <w:r w:rsidRPr="004569A4" w:rsidR="00AD4ED3">
        <w:rPr>
          <w:rFonts w:cs="Times New Roman"/>
          <w:bCs/>
          <w:sz w:val="24"/>
          <w:szCs w:val="24"/>
        </w:rPr>
        <w:t>IGS Energy explained that the DCR audit report showed that, by booking the payments to Sustainability Funding Alliance, the FirstEnergy Utilities were improperly cross-subsidizing their competitive affiliate for several years.</w:t>
      </w:r>
      <w:r>
        <w:rPr>
          <w:rStyle w:val="FootnoteReference"/>
          <w:rFonts w:cs="Times New Roman"/>
          <w:bCs/>
          <w:sz w:val="24"/>
          <w:szCs w:val="24"/>
        </w:rPr>
        <w:footnoteReference w:id="48"/>
      </w:r>
    </w:p>
    <w:p w:rsidR="009744C3" w:rsidRPr="004569A4" w:rsidP="00F94628" w14:paraId="738B3671" w14:textId="205F0F6C">
      <w:pPr>
        <w:pStyle w:val="BodyText"/>
        <w:spacing w:line="480" w:lineRule="auto"/>
        <w:ind w:left="0" w:firstLine="720"/>
        <w:rPr>
          <w:rFonts w:cs="Times New Roman"/>
          <w:bCs/>
          <w:sz w:val="24"/>
          <w:szCs w:val="24"/>
        </w:rPr>
      </w:pPr>
      <w:r w:rsidRPr="004569A4">
        <w:rPr>
          <w:rFonts w:cs="Times New Roman"/>
          <w:bCs/>
          <w:sz w:val="24"/>
          <w:szCs w:val="24"/>
        </w:rPr>
        <w:t>FirstEnergy’s H.B. 6 misconduct clearly violated Ohio cost allocation rules because FirstEnergy booked substantial H.B. 6 costs to the FirstEnergy Utilities.</w:t>
      </w:r>
      <w:r w:rsidR="00AB44BE">
        <w:rPr>
          <w:rFonts w:cs="Times New Roman"/>
          <w:bCs/>
          <w:sz w:val="24"/>
          <w:szCs w:val="24"/>
        </w:rPr>
        <w:t xml:space="preserve"> </w:t>
      </w:r>
      <w:r w:rsidRPr="004569A4">
        <w:rPr>
          <w:rFonts w:cs="Times New Roman"/>
          <w:bCs/>
          <w:sz w:val="24"/>
          <w:szCs w:val="24"/>
        </w:rPr>
        <w:t>The PUCO should make a finding that FirstEnergy’s H.B. 6 misconduct violated Ohio corporate separation requirements.</w:t>
      </w:r>
    </w:p>
    <w:p w:rsidR="008B7455" w:rsidP="001E6AF6" w14:paraId="19B45A16" w14:textId="681FC551">
      <w:pPr>
        <w:pStyle w:val="Heading2"/>
      </w:pPr>
      <w:bookmarkStart w:id="8" w:name="_Toc90301103"/>
      <w:r w:rsidRPr="004569A4">
        <w:t xml:space="preserve">The PUCO should find that FirstEnergy violated corporate separation requirements regarding </w:t>
      </w:r>
      <w:r w:rsidR="00A12B5E">
        <w:t xml:space="preserve">the PUCO’s approval of </w:t>
      </w:r>
      <w:r w:rsidRPr="004569A4">
        <w:t>FirstEnergy Advisors</w:t>
      </w:r>
      <w:r w:rsidR="00A12B5E">
        <w:t xml:space="preserve"> and in FirstEnergy Advisors’ use of common management and the FirstEnergy name and logo</w:t>
      </w:r>
      <w:r w:rsidRPr="004569A4" w:rsidR="00A2671B">
        <w:t>.</w:t>
      </w:r>
      <w:bookmarkEnd w:id="8"/>
    </w:p>
    <w:p w:rsidR="00AB1E71" w:rsidRPr="004569A4" w:rsidP="001E6AF6" w14:paraId="25E1A5A5" w14:textId="77777777">
      <w:pPr>
        <w:pStyle w:val="Heading2"/>
        <w:numPr>
          <w:ilvl w:val="0"/>
          <w:numId w:val="0"/>
        </w:numPr>
        <w:ind w:left="1440"/>
      </w:pPr>
    </w:p>
    <w:p w:rsidR="00F83B23" w:rsidRPr="004569A4" w:rsidP="00A2671B" w14:paraId="0D632EBF" w14:textId="79DF7387">
      <w:pPr>
        <w:pStyle w:val="BodyText"/>
        <w:spacing w:line="480" w:lineRule="auto"/>
        <w:ind w:left="0" w:firstLine="720"/>
        <w:rPr>
          <w:rFonts w:cs="Times New Roman"/>
          <w:bCs/>
          <w:sz w:val="24"/>
          <w:szCs w:val="24"/>
        </w:rPr>
      </w:pPr>
      <w:r w:rsidRPr="004569A4">
        <w:rPr>
          <w:rFonts w:cs="Times New Roman"/>
          <w:bCs/>
          <w:sz w:val="24"/>
          <w:szCs w:val="24"/>
        </w:rPr>
        <w:t xml:space="preserve">OCC’s initial comments explain how FirstEnergy violated corporate separation law by </w:t>
      </w:r>
      <w:r w:rsidRPr="004569A4" w:rsidR="00A2671B">
        <w:rPr>
          <w:rFonts w:cs="Times New Roman"/>
          <w:bCs/>
          <w:sz w:val="24"/>
          <w:szCs w:val="24"/>
        </w:rPr>
        <w:t xml:space="preserve">allowing FirstEnergy Advisors to use the FirstEnergy name and logo </w:t>
      </w:r>
      <w:r w:rsidRPr="004569A4">
        <w:rPr>
          <w:rFonts w:cs="Times New Roman"/>
          <w:bCs/>
          <w:sz w:val="24"/>
          <w:szCs w:val="24"/>
        </w:rPr>
        <w:t>and by using a shared senior executive to manage competitive products and services offered by the utility and by FirstEnergy Advisors.</w:t>
      </w:r>
      <w:r>
        <w:rPr>
          <w:rStyle w:val="FootnoteReference"/>
          <w:rFonts w:cs="Times New Roman"/>
          <w:bCs/>
          <w:sz w:val="24"/>
          <w:szCs w:val="24"/>
        </w:rPr>
        <w:footnoteReference w:id="49"/>
      </w:r>
      <w:r w:rsidR="00AB44BE">
        <w:rPr>
          <w:rFonts w:cs="Times New Roman"/>
          <w:bCs/>
          <w:sz w:val="24"/>
          <w:szCs w:val="24"/>
        </w:rPr>
        <w:t xml:space="preserve"> </w:t>
      </w:r>
      <w:r w:rsidRPr="004569A4" w:rsidR="00A2671B">
        <w:rPr>
          <w:rFonts w:cs="Times New Roman"/>
          <w:bCs/>
          <w:sz w:val="24"/>
          <w:szCs w:val="24"/>
        </w:rPr>
        <w:t>FirstEnergy’s comments did not acknowledge any corporate separation violations relating to FirstEnergy Advisors.</w:t>
      </w:r>
    </w:p>
    <w:p w:rsidR="0024388D" w:rsidRPr="004569A4" w:rsidP="00A2671B" w14:paraId="57AE4DE5" w14:textId="0026C8DC">
      <w:pPr>
        <w:pStyle w:val="BodyText"/>
        <w:spacing w:line="480" w:lineRule="auto"/>
        <w:ind w:left="0" w:firstLine="720"/>
        <w:rPr>
          <w:rFonts w:cs="Times New Roman"/>
          <w:bCs/>
          <w:sz w:val="24"/>
          <w:szCs w:val="24"/>
        </w:rPr>
      </w:pPr>
      <w:r w:rsidRPr="004569A4">
        <w:rPr>
          <w:rFonts w:cs="Times New Roman"/>
          <w:bCs/>
          <w:sz w:val="24"/>
          <w:szCs w:val="24"/>
        </w:rPr>
        <w:t>The other intervenors explained in great detail how FirstEnergy’s operation of FirstEnergy Advisors violated corporate separation requirements.</w:t>
      </w:r>
      <w:r w:rsidR="00AB44BE">
        <w:rPr>
          <w:rFonts w:cs="Times New Roman"/>
          <w:bCs/>
          <w:sz w:val="24"/>
          <w:szCs w:val="24"/>
        </w:rPr>
        <w:t xml:space="preserve"> </w:t>
      </w:r>
      <w:r w:rsidRPr="004569A4">
        <w:rPr>
          <w:rFonts w:cs="Times New Roman"/>
          <w:bCs/>
          <w:sz w:val="24"/>
          <w:szCs w:val="24"/>
        </w:rPr>
        <w:t xml:space="preserve">NOPEC pointed to emails showing that FirstEnergy Advisors improperly colluded with the FirstEnergy Utilities and </w:t>
      </w:r>
      <w:r w:rsidR="00F33231">
        <w:rPr>
          <w:rFonts w:cs="Times New Roman"/>
          <w:bCs/>
          <w:sz w:val="24"/>
          <w:szCs w:val="24"/>
        </w:rPr>
        <w:t xml:space="preserve">the former </w:t>
      </w:r>
      <w:r w:rsidRPr="004569A4">
        <w:rPr>
          <w:rFonts w:cs="Times New Roman"/>
          <w:bCs/>
          <w:sz w:val="24"/>
          <w:szCs w:val="24"/>
        </w:rPr>
        <w:t>PUCO Chair to obtain PUCO certification as a competitive retail electric service provider.</w:t>
      </w:r>
      <w:r>
        <w:rPr>
          <w:rStyle w:val="FootnoteReference"/>
          <w:rFonts w:cs="Times New Roman"/>
          <w:bCs/>
          <w:sz w:val="24"/>
          <w:szCs w:val="24"/>
        </w:rPr>
        <w:footnoteReference w:id="50"/>
      </w:r>
      <w:r w:rsidR="00AB44BE">
        <w:rPr>
          <w:rFonts w:cs="Times New Roman"/>
          <w:bCs/>
          <w:sz w:val="24"/>
          <w:szCs w:val="24"/>
        </w:rPr>
        <w:t xml:space="preserve"> </w:t>
      </w:r>
      <w:r w:rsidRPr="004569A4">
        <w:rPr>
          <w:rFonts w:cs="Times New Roman"/>
          <w:bCs/>
          <w:sz w:val="24"/>
          <w:szCs w:val="24"/>
        </w:rPr>
        <w:t xml:space="preserve">According to NOPEC, the emails show how </w:t>
      </w:r>
      <w:r w:rsidR="00F33231">
        <w:rPr>
          <w:rFonts w:cs="Times New Roman"/>
          <w:bCs/>
          <w:sz w:val="24"/>
          <w:szCs w:val="24"/>
        </w:rPr>
        <w:t>the former PUCO Chair</w:t>
      </w:r>
      <w:r w:rsidRPr="004569A4">
        <w:rPr>
          <w:rFonts w:cs="Times New Roman"/>
          <w:bCs/>
          <w:sz w:val="24"/>
          <w:szCs w:val="24"/>
        </w:rPr>
        <w:t xml:space="preserve"> “fixed” the outcome of FirstEnergy Advisors’ application, in a “blatant abuse of market power.”</w:t>
      </w:r>
      <w:r>
        <w:rPr>
          <w:rStyle w:val="FootnoteReference"/>
          <w:rFonts w:cs="Times New Roman"/>
          <w:bCs/>
          <w:sz w:val="24"/>
          <w:szCs w:val="24"/>
        </w:rPr>
        <w:footnoteReference w:id="51"/>
      </w:r>
      <w:r w:rsidR="00AB44BE">
        <w:rPr>
          <w:rFonts w:cs="Times New Roman"/>
          <w:bCs/>
          <w:sz w:val="24"/>
          <w:szCs w:val="24"/>
        </w:rPr>
        <w:t xml:space="preserve"> </w:t>
      </w:r>
      <w:r w:rsidRPr="004569A4">
        <w:rPr>
          <w:rFonts w:cs="Times New Roman"/>
          <w:bCs/>
          <w:sz w:val="24"/>
          <w:szCs w:val="24"/>
        </w:rPr>
        <w:t xml:space="preserve">NOPEC also </w:t>
      </w:r>
      <w:r w:rsidRPr="004569A4" w:rsidR="00233223">
        <w:rPr>
          <w:rFonts w:cs="Times New Roman"/>
          <w:bCs/>
          <w:sz w:val="24"/>
          <w:szCs w:val="24"/>
        </w:rPr>
        <w:t>showed how FirstEnergy violated corporate separation requirements through the use of common branding and a shared senior executive for nonregulated offerings by the FirstEnergy Utilities and FirstEnergy Advisors.</w:t>
      </w:r>
      <w:r>
        <w:rPr>
          <w:rStyle w:val="FootnoteReference"/>
          <w:rFonts w:cs="Times New Roman"/>
          <w:bCs/>
          <w:sz w:val="24"/>
          <w:szCs w:val="24"/>
        </w:rPr>
        <w:footnoteReference w:id="52"/>
      </w:r>
    </w:p>
    <w:p w:rsidR="00614E9C" w:rsidRPr="004569A4" w:rsidP="00BC6D5B" w14:paraId="66FCCAA1" w14:textId="3ABFFB43">
      <w:pPr>
        <w:pStyle w:val="BodyText"/>
        <w:spacing w:line="480" w:lineRule="auto"/>
        <w:ind w:left="0" w:firstLine="720"/>
        <w:rPr>
          <w:rFonts w:cs="Times New Roman"/>
          <w:bCs/>
          <w:sz w:val="24"/>
          <w:szCs w:val="24"/>
        </w:rPr>
      </w:pPr>
      <w:r w:rsidRPr="004569A4">
        <w:rPr>
          <w:rFonts w:cs="Times New Roman"/>
          <w:bCs/>
          <w:sz w:val="24"/>
          <w:szCs w:val="24"/>
        </w:rPr>
        <w:t>OMAEG commented that the Chuck Jones/Dennis Chack emails prove that “FirstEnergy Corp. used its regulated utilities to gain a competitive advantage in violation of Ohio’s corporate separation laws.”</w:t>
      </w:r>
      <w:r>
        <w:rPr>
          <w:rStyle w:val="FootnoteReference"/>
          <w:rFonts w:cs="Times New Roman"/>
          <w:bCs/>
          <w:sz w:val="24"/>
          <w:szCs w:val="24"/>
        </w:rPr>
        <w:footnoteReference w:id="53"/>
      </w:r>
      <w:r w:rsidR="00AB44BE">
        <w:rPr>
          <w:rFonts w:cs="Times New Roman"/>
          <w:bCs/>
          <w:sz w:val="24"/>
          <w:szCs w:val="24"/>
        </w:rPr>
        <w:t xml:space="preserve"> </w:t>
      </w:r>
      <w:r w:rsidRPr="004569A4">
        <w:rPr>
          <w:rFonts w:cs="Times New Roman"/>
          <w:bCs/>
          <w:sz w:val="24"/>
          <w:szCs w:val="24"/>
        </w:rPr>
        <w:t>OMAEG also explained how FirstEnergy is violating corporate separation requirements by using utility resources to offer competitive products and services from FirstEnergy Products and FirstEnergy Home.</w:t>
      </w:r>
      <w:r>
        <w:rPr>
          <w:rStyle w:val="FootnoteReference"/>
          <w:rFonts w:cs="Times New Roman"/>
          <w:bCs/>
          <w:sz w:val="24"/>
          <w:szCs w:val="24"/>
        </w:rPr>
        <w:footnoteReference w:id="54"/>
      </w:r>
      <w:r w:rsidR="00AB44BE">
        <w:rPr>
          <w:rFonts w:cs="Times New Roman"/>
          <w:bCs/>
          <w:sz w:val="24"/>
          <w:szCs w:val="24"/>
        </w:rPr>
        <w:t xml:space="preserve"> </w:t>
      </w:r>
      <w:r w:rsidRPr="004569A4" w:rsidR="00BC6D5B">
        <w:rPr>
          <w:rFonts w:cs="Times New Roman"/>
          <w:bCs/>
          <w:sz w:val="24"/>
          <w:szCs w:val="24"/>
        </w:rPr>
        <w:t>The other intervenors also explained how FirstEnergy violated corporate separation requirements in how it obtained PUCO approval for FirstEnergy Advisors and how it offered competitive services.</w:t>
      </w:r>
      <w:r>
        <w:rPr>
          <w:rStyle w:val="FootnoteReference"/>
          <w:rFonts w:cs="Times New Roman"/>
          <w:bCs/>
          <w:sz w:val="24"/>
          <w:szCs w:val="24"/>
        </w:rPr>
        <w:footnoteReference w:id="55"/>
      </w:r>
    </w:p>
    <w:p w:rsidR="00C42D08" w:rsidRPr="004569A4" w:rsidP="00BC6D5B" w14:paraId="55E126F2" w14:textId="5A491465">
      <w:pPr>
        <w:pStyle w:val="BodyText"/>
        <w:spacing w:line="480" w:lineRule="auto"/>
        <w:ind w:left="0" w:firstLine="720"/>
        <w:rPr>
          <w:rFonts w:cs="Times New Roman"/>
          <w:b/>
          <w:sz w:val="24"/>
          <w:szCs w:val="24"/>
        </w:rPr>
      </w:pPr>
      <w:r w:rsidRPr="004569A4">
        <w:rPr>
          <w:rFonts w:cs="Times New Roman"/>
          <w:bCs/>
          <w:sz w:val="24"/>
          <w:szCs w:val="24"/>
        </w:rPr>
        <w:t>The PUCO should issue findings that FirstEnergy violated corporate separation requirements as to how it obtained approval and operated FirstEnergy Advisors and how it offers competitive products and services from FirstEnergy Products and FirstEnergy Home.</w:t>
      </w:r>
    </w:p>
    <w:p w:rsidR="00F94628" w:rsidP="001E6AF6" w14:paraId="6E28F197" w14:textId="5C9C7006">
      <w:pPr>
        <w:pStyle w:val="Heading2"/>
      </w:pPr>
      <w:bookmarkStart w:id="9" w:name="_Toc90301104"/>
      <w:r w:rsidRPr="00EE43F5">
        <w:t>T</w:t>
      </w:r>
      <w:r w:rsidRPr="00EE43F5" w:rsidR="009744C3">
        <w:t xml:space="preserve">he PUCO should impose significant forfeitures for the </w:t>
      </w:r>
      <w:r w:rsidR="00F33231">
        <w:t>seriousness</w:t>
      </w:r>
      <w:r w:rsidRPr="00EE43F5" w:rsidR="009744C3">
        <w:t xml:space="preserve"> of FirstEnergy’s violations of corporate separation and it should fashion remedies to prevent future violations of corporate separation laws and rules</w:t>
      </w:r>
      <w:r w:rsidRPr="004569A4" w:rsidR="009744C3">
        <w:t>.</w:t>
      </w:r>
      <w:bookmarkEnd w:id="9"/>
    </w:p>
    <w:p w:rsidR="00AB1E71" w:rsidRPr="004569A4" w:rsidP="001E6AF6" w14:paraId="78828226" w14:textId="77777777">
      <w:pPr>
        <w:pStyle w:val="Heading2"/>
        <w:numPr>
          <w:ilvl w:val="0"/>
          <w:numId w:val="0"/>
        </w:numPr>
        <w:ind w:left="1440"/>
      </w:pPr>
    </w:p>
    <w:p w:rsidR="00F02A4C" w:rsidP="00BC6D5B" w14:paraId="16A322C6" w14:textId="77777777">
      <w:pPr>
        <w:pStyle w:val="BodyText"/>
        <w:spacing w:line="480" w:lineRule="auto"/>
        <w:ind w:left="101" w:firstLine="720"/>
        <w:rPr>
          <w:rStyle w:val="markedcontent"/>
          <w:rFonts w:cs="Times New Roman"/>
          <w:sz w:val="24"/>
          <w:szCs w:val="24"/>
        </w:rPr>
      </w:pPr>
      <w:r w:rsidRPr="004569A4">
        <w:rPr>
          <w:rStyle w:val="markedcontent"/>
          <w:rFonts w:cs="Times New Roman"/>
          <w:sz w:val="24"/>
          <w:szCs w:val="24"/>
        </w:rPr>
        <w:t>The FirstEnergy Utilities don’t admit to any corporate separation violations.</w:t>
      </w:r>
      <w:r w:rsidR="00AB44BE">
        <w:rPr>
          <w:rStyle w:val="markedcontent"/>
          <w:rFonts w:cs="Times New Roman"/>
          <w:sz w:val="24"/>
          <w:szCs w:val="24"/>
        </w:rPr>
        <w:t xml:space="preserve"> </w:t>
      </w:r>
      <w:r w:rsidRPr="004569A4">
        <w:rPr>
          <w:rStyle w:val="markedcontent"/>
          <w:rFonts w:cs="Times New Roman"/>
          <w:sz w:val="24"/>
          <w:szCs w:val="24"/>
        </w:rPr>
        <w:t>They don’t acknowledge that any fine is appropriate for corporate separation violations.</w:t>
      </w:r>
      <w:r w:rsidR="00AB44BE">
        <w:rPr>
          <w:rStyle w:val="markedcontent"/>
          <w:rFonts w:cs="Times New Roman"/>
          <w:sz w:val="24"/>
          <w:szCs w:val="24"/>
        </w:rPr>
        <w:t xml:space="preserve"> </w:t>
      </w:r>
      <w:r w:rsidRPr="004569A4">
        <w:rPr>
          <w:rStyle w:val="markedcontent"/>
          <w:rFonts w:cs="Times New Roman"/>
          <w:sz w:val="24"/>
          <w:szCs w:val="24"/>
        </w:rPr>
        <w:t xml:space="preserve">The FirstEnergy Utilities manage to take this position even though FirstEnergy Corp. admitted to the underlying facts of honest services wire fraud and agreed to a $230 million fine. </w:t>
      </w:r>
      <w:r w:rsidR="00E40762">
        <w:rPr>
          <w:rStyle w:val="markedcontent"/>
          <w:rFonts w:cs="Times New Roman"/>
          <w:sz w:val="24"/>
          <w:szCs w:val="24"/>
        </w:rPr>
        <w:t>On the other hand,</w:t>
      </w:r>
      <w:r w:rsidRPr="004569A4">
        <w:rPr>
          <w:rStyle w:val="markedcontent"/>
          <w:rFonts w:cs="Times New Roman"/>
          <w:sz w:val="24"/>
          <w:szCs w:val="24"/>
        </w:rPr>
        <w:t xml:space="preserve"> FirstEnergy Corp. </w:t>
      </w:r>
      <w:r w:rsidR="00E40762">
        <w:rPr>
          <w:rStyle w:val="markedcontent"/>
          <w:rFonts w:cs="Times New Roman"/>
          <w:sz w:val="24"/>
          <w:szCs w:val="24"/>
        </w:rPr>
        <w:t xml:space="preserve">admitted in the </w:t>
      </w:r>
      <w:r w:rsidRPr="004569A4">
        <w:rPr>
          <w:rStyle w:val="markedcontent"/>
          <w:rFonts w:cs="Times New Roman"/>
          <w:sz w:val="24"/>
          <w:szCs w:val="24"/>
        </w:rPr>
        <w:t>Deferred Prosecution Agreement</w:t>
      </w:r>
      <w:r w:rsidR="00E40762">
        <w:rPr>
          <w:rStyle w:val="markedcontent"/>
          <w:rFonts w:cs="Times New Roman"/>
          <w:sz w:val="24"/>
          <w:szCs w:val="24"/>
        </w:rPr>
        <w:t xml:space="preserve"> that it “</w:t>
      </w:r>
      <w:r w:rsidR="00752F09">
        <w:rPr>
          <w:rStyle w:val="markedcontent"/>
          <w:rFonts w:cs="Times New Roman"/>
          <w:sz w:val="24"/>
          <w:szCs w:val="24"/>
        </w:rPr>
        <w:t>paid millions of dollars to Public Official A through his 501(c)(4), Generation Now, in return for Public Official A pursuing nuclear legislation for FirstEnergy Corp.’s benefit in his capacity as a public official.”</w:t>
      </w:r>
      <w:r>
        <w:rPr>
          <w:rStyle w:val="FootnoteReference"/>
          <w:rFonts w:cs="Times New Roman"/>
          <w:sz w:val="24"/>
          <w:szCs w:val="24"/>
        </w:rPr>
        <w:footnoteReference w:id="56"/>
      </w:r>
      <w:r w:rsidR="00AB44BE">
        <w:rPr>
          <w:rStyle w:val="markedcontent"/>
          <w:rFonts w:cs="Times New Roman"/>
          <w:sz w:val="24"/>
          <w:szCs w:val="24"/>
        </w:rPr>
        <w:t xml:space="preserve"> </w:t>
      </w:r>
      <w:r w:rsidRPr="004569A4">
        <w:rPr>
          <w:rStyle w:val="markedcontent"/>
          <w:rFonts w:cs="Times New Roman"/>
          <w:sz w:val="24"/>
          <w:szCs w:val="24"/>
        </w:rPr>
        <w:t xml:space="preserve"> </w:t>
      </w:r>
      <w:r w:rsidR="00752F09">
        <w:rPr>
          <w:rStyle w:val="markedcontent"/>
          <w:rFonts w:cs="Times New Roman"/>
          <w:sz w:val="24"/>
          <w:szCs w:val="24"/>
        </w:rPr>
        <w:t xml:space="preserve">FirstEnergy Corp. also admitted in the Deferred Prosecution Agreement that it “paid $4.3 million dollars to Public Official B through his consulting firm in return for Public Official B performing official action in his capacity as PUCO Chairman to further FirstEnergy Corp.’s </w:t>
      </w:r>
    </w:p>
    <w:p w:rsidR="00F02A4C" w14:paraId="58CD50D0" w14:textId="77777777">
      <w:pPr>
        <w:rPr>
          <w:rStyle w:val="markedcontent"/>
          <w:rFonts w:ascii="Times New Roman" w:eastAsia="Times New Roman" w:hAnsi="Times New Roman" w:cs="Times New Roman"/>
          <w:sz w:val="24"/>
          <w:szCs w:val="24"/>
        </w:rPr>
      </w:pPr>
      <w:r>
        <w:rPr>
          <w:rStyle w:val="markedcontent"/>
          <w:rFonts w:cs="Times New Roman"/>
          <w:sz w:val="24"/>
          <w:szCs w:val="24"/>
        </w:rPr>
        <w:br w:type="page"/>
      </w:r>
    </w:p>
    <w:p w:rsidR="00F94628" w:rsidRPr="004569A4" w:rsidP="00F02A4C" w14:paraId="33C92824" w14:textId="0B79C027">
      <w:pPr>
        <w:pStyle w:val="BodyText"/>
        <w:spacing w:line="480" w:lineRule="auto"/>
        <w:ind w:left="101"/>
        <w:rPr>
          <w:rStyle w:val="markedcontent"/>
          <w:rFonts w:cs="Times New Roman"/>
          <w:sz w:val="24"/>
          <w:szCs w:val="24"/>
        </w:rPr>
      </w:pPr>
      <w:r>
        <w:rPr>
          <w:rStyle w:val="markedcontent"/>
          <w:rFonts w:cs="Times New Roman"/>
          <w:sz w:val="24"/>
          <w:szCs w:val="24"/>
        </w:rPr>
        <w:t>interests relating to passage of nuclear legislation and other specific FirstEnergy Corp. legislative and regulatory priorities, as requested and as opportunities arose.”</w:t>
      </w:r>
      <w:r>
        <w:rPr>
          <w:rStyle w:val="FootnoteReference"/>
          <w:rFonts w:cs="Times New Roman"/>
          <w:sz w:val="24"/>
          <w:szCs w:val="24"/>
        </w:rPr>
        <w:footnoteReference w:id="57"/>
      </w:r>
    </w:p>
    <w:p w:rsidR="00F94628" w:rsidRPr="004569A4" w:rsidP="00F94628" w14:paraId="4715B156" w14:textId="60F0AE54">
      <w:pPr>
        <w:pStyle w:val="BodyText"/>
        <w:spacing w:line="480" w:lineRule="auto"/>
        <w:ind w:left="0" w:firstLine="720"/>
        <w:rPr>
          <w:rFonts w:cs="Times New Roman"/>
          <w:sz w:val="24"/>
          <w:szCs w:val="24"/>
        </w:rPr>
      </w:pPr>
      <w:r w:rsidRPr="004569A4">
        <w:rPr>
          <w:rStyle w:val="markedcontent"/>
          <w:rFonts w:cs="Times New Roman"/>
          <w:sz w:val="24"/>
          <w:szCs w:val="24"/>
        </w:rPr>
        <w:t>OCC explains how these violations</w:t>
      </w:r>
      <w:r w:rsidR="00363F56">
        <w:rPr>
          <w:rStyle w:val="markedcontent"/>
          <w:rFonts w:cs="Times New Roman"/>
          <w:sz w:val="24"/>
          <w:szCs w:val="24"/>
        </w:rPr>
        <w:t xml:space="preserve"> should result in significant forfeitures.</w:t>
      </w:r>
      <w:r w:rsidRPr="004569A4">
        <w:rPr>
          <w:rStyle w:val="markedcontent"/>
          <w:rFonts w:cs="Times New Roman"/>
          <w:sz w:val="24"/>
          <w:szCs w:val="24"/>
        </w:rPr>
        <w:t xml:space="preserve"> </w:t>
      </w:r>
      <w:r w:rsidR="00363F56">
        <w:rPr>
          <w:rStyle w:val="markedcontent"/>
          <w:rFonts w:cs="Times New Roman"/>
          <w:sz w:val="24"/>
          <w:szCs w:val="24"/>
        </w:rPr>
        <w:t>The violations reveal an</w:t>
      </w:r>
      <w:r w:rsidRPr="004569A4">
        <w:rPr>
          <w:rStyle w:val="markedcontent"/>
          <w:rFonts w:cs="Times New Roman"/>
          <w:sz w:val="24"/>
          <w:szCs w:val="24"/>
        </w:rPr>
        <w:t xml:space="preserve"> insufficient corporate separation plan due to a failure to keep records, a failure to provide training, a failure to do compliance monitoring, a</w:t>
      </w:r>
      <w:r w:rsidRPr="004569A4" w:rsidR="006464C3">
        <w:rPr>
          <w:rStyle w:val="markedcontent"/>
          <w:rFonts w:cs="Times New Roman"/>
          <w:sz w:val="24"/>
          <w:szCs w:val="24"/>
        </w:rPr>
        <w:t xml:space="preserve"> </w:t>
      </w:r>
      <w:r w:rsidRPr="004569A4">
        <w:rPr>
          <w:rStyle w:val="markedcontent"/>
          <w:rFonts w:cs="Times New Roman"/>
          <w:sz w:val="24"/>
          <w:szCs w:val="24"/>
        </w:rPr>
        <w:t xml:space="preserve">failure to address Ohio-specific corporate separation requirements, failure to monitor cost allocations, </w:t>
      </w:r>
      <w:r w:rsidR="00363F56">
        <w:rPr>
          <w:rStyle w:val="markedcontent"/>
          <w:rFonts w:cs="Times New Roman"/>
          <w:sz w:val="24"/>
          <w:szCs w:val="24"/>
        </w:rPr>
        <w:t xml:space="preserve">and </w:t>
      </w:r>
      <w:r w:rsidRPr="004569A4">
        <w:rPr>
          <w:rStyle w:val="markedcontent"/>
          <w:rFonts w:cs="Times New Roman"/>
          <w:sz w:val="24"/>
          <w:szCs w:val="24"/>
        </w:rPr>
        <w:t>corporate separation violations related to H.B. 6 misconduct and competitive service offerings</w:t>
      </w:r>
      <w:r w:rsidR="00363F56">
        <w:rPr>
          <w:rStyle w:val="markedcontent"/>
          <w:rFonts w:cs="Times New Roman"/>
          <w:sz w:val="24"/>
          <w:szCs w:val="24"/>
        </w:rPr>
        <w:t>.</w:t>
      </w:r>
      <w:r w:rsidRPr="004569A4">
        <w:rPr>
          <w:rStyle w:val="markedcontent"/>
          <w:rFonts w:cs="Times New Roman"/>
          <w:sz w:val="24"/>
          <w:szCs w:val="24"/>
        </w:rPr>
        <w:t xml:space="preserve"> </w:t>
      </w:r>
      <w:r w:rsidR="00363F56">
        <w:rPr>
          <w:rStyle w:val="markedcontent"/>
          <w:rFonts w:cs="Times New Roman"/>
          <w:sz w:val="24"/>
          <w:szCs w:val="24"/>
        </w:rPr>
        <w:t xml:space="preserve">Preliminarily, OCC has identified the need for FirstEnergy to pay </w:t>
      </w:r>
      <w:r w:rsidRPr="004569A4">
        <w:rPr>
          <w:rStyle w:val="markedcontent"/>
          <w:rFonts w:cs="Times New Roman"/>
          <w:sz w:val="24"/>
          <w:szCs w:val="24"/>
        </w:rPr>
        <w:t xml:space="preserve">forfeitures in the range of </w:t>
      </w:r>
      <w:r w:rsidRPr="004569A4">
        <w:rPr>
          <w:rFonts w:cs="Times New Roman"/>
          <w:sz w:val="24"/>
          <w:szCs w:val="24"/>
        </w:rPr>
        <w:t xml:space="preserve">$55.4 million </w:t>
      </w:r>
      <w:r w:rsidR="00363F56">
        <w:rPr>
          <w:rFonts w:cs="Times New Roman"/>
          <w:sz w:val="24"/>
          <w:szCs w:val="24"/>
        </w:rPr>
        <w:t>to</w:t>
      </w:r>
      <w:r w:rsidRPr="004569A4" w:rsidR="00363F56">
        <w:rPr>
          <w:rFonts w:cs="Times New Roman"/>
          <w:sz w:val="24"/>
          <w:szCs w:val="24"/>
        </w:rPr>
        <w:t xml:space="preserve"> </w:t>
      </w:r>
      <w:r w:rsidRPr="004569A4">
        <w:rPr>
          <w:rFonts w:cs="Times New Roman"/>
          <w:sz w:val="24"/>
          <w:szCs w:val="24"/>
        </w:rPr>
        <w:t>$110.9 million</w:t>
      </w:r>
      <w:r w:rsidRPr="004569A4">
        <w:rPr>
          <w:rStyle w:val="markedcontent"/>
          <w:rFonts w:cs="Times New Roman"/>
          <w:sz w:val="24"/>
          <w:szCs w:val="24"/>
        </w:rPr>
        <w:t>.</w:t>
      </w:r>
      <w:r>
        <w:rPr>
          <w:rStyle w:val="FootnoteReference"/>
          <w:rFonts w:cs="Times New Roman"/>
          <w:sz w:val="24"/>
          <w:szCs w:val="24"/>
        </w:rPr>
        <w:footnoteReference w:id="58"/>
      </w:r>
      <w:r w:rsidR="00363F56">
        <w:rPr>
          <w:rStyle w:val="markedcontent"/>
          <w:rFonts w:cs="Times New Roman"/>
          <w:sz w:val="24"/>
          <w:szCs w:val="24"/>
        </w:rPr>
        <w:t xml:space="preserve"> OCC expects its forfeitures figure (for FirstEnergy to pay) will increase as the investigation progresses with more information.</w:t>
      </w:r>
      <w:r w:rsidR="00AB44BE">
        <w:rPr>
          <w:rStyle w:val="markedcontent"/>
          <w:rFonts w:cs="Times New Roman"/>
          <w:sz w:val="24"/>
          <w:szCs w:val="24"/>
        </w:rPr>
        <w:t xml:space="preserve"> </w:t>
      </w:r>
      <w:r w:rsidRPr="004569A4">
        <w:rPr>
          <w:rStyle w:val="markedcontent"/>
          <w:rFonts w:cs="Times New Roman"/>
          <w:sz w:val="24"/>
          <w:szCs w:val="24"/>
        </w:rPr>
        <w:t xml:space="preserve"> </w:t>
      </w:r>
      <w:r w:rsidRPr="004569A4" w:rsidR="00C74E63">
        <w:rPr>
          <w:rStyle w:val="markedcontent"/>
          <w:rFonts w:cs="Times New Roman"/>
          <w:sz w:val="24"/>
          <w:szCs w:val="24"/>
        </w:rPr>
        <w:t>OMAEG argued for forfeitures of $766.5 million.</w:t>
      </w:r>
      <w:r>
        <w:rPr>
          <w:rStyle w:val="FootnoteReference"/>
          <w:rFonts w:cs="Times New Roman"/>
          <w:sz w:val="24"/>
          <w:szCs w:val="24"/>
        </w:rPr>
        <w:footnoteReference w:id="59"/>
      </w:r>
      <w:r w:rsidR="00AB44BE">
        <w:rPr>
          <w:rStyle w:val="markedcontent"/>
          <w:rFonts w:cs="Times New Roman"/>
          <w:sz w:val="24"/>
          <w:szCs w:val="24"/>
        </w:rPr>
        <w:t xml:space="preserve"> </w:t>
      </w:r>
      <w:r w:rsidRPr="004569A4">
        <w:rPr>
          <w:rFonts w:cs="Times New Roman"/>
          <w:sz w:val="24"/>
          <w:szCs w:val="24"/>
        </w:rPr>
        <w:t xml:space="preserve">The other intervenors </w:t>
      </w:r>
      <w:r w:rsidRPr="004569A4" w:rsidR="00B21C0A">
        <w:rPr>
          <w:rFonts w:cs="Times New Roman"/>
          <w:sz w:val="24"/>
          <w:szCs w:val="24"/>
        </w:rPr>
        <w:t>did not recommend any specific amount of forfeitures</w:t>
      </w:r>
      <w:r w:rsidR="00F33231">
        <w:rPr>
          <w:rFonts w:cs="Times New Roman"/>
          <w:sz w:val="24"/>
          <w:szCs w:val="24"/>
        </w:rPr>
        <w:t xml:space="preserve">, but called for </w:t>
      </w:r>
      <w:r w:rsidR="00AB44BE">
        <w:rPr>
          <w:rFonts w:cs="Times New Roman"/>
          <w:sz w:val="24"/>
          <w:szCs w:val="24"/>
        </w:rPr>
        <w:t>forfeitures,</w:t>
      </w:r>
      <w:r w:rsidR="00F33231">
        <w:rPr>
          <w:rFonts w:cs="Times New Roman"/>
          <w:sz w:val="24"/>
          <w:szCs w:val="24"/>
        </w:rPr>
        <w:t xml:space="preserve"> nonetheless</w:t>
      </w:r>
      <w:r w:rsidRPr="004569A4" w:rsidR="00B21C0A">
        <w:rPr>
          <w:rFonts w:cs="Times New Roman"/>
          <w:sz w:val="24"/>
          <w:szCs w:val="24"/>
        </w:rPr>
        <w:t>.</w:t>
      </w:r>
    </w:p>
    <w:p w:rsidR="001E6AF6" w:rsidP="001E6AF6" w14:paraId="38BE51E1" w14:textId="542F6C05">
      <w:pPr>
        <w:pStyle w:val="Heading2"/>
      </w:pPr>
      <w:bookmarkStart w:id="10" w:name="_Toc90301105"/>
      <w:r w:rsidRPr="004569A4">
        <w:t xml:space="preserve">The PUCO should grant the additional </w:t>
      </w:r>
      <w:r w:rsidR="00363F56">
        <w:t xml:space="preserve">consumer protection </w:t>
      </w:r>
      <w:r w:rsidRPr="004569A4">
        <w:t>remedies proposed by OCC and the other intervenors.</w:t>
      </w:r>
      <w:bookmarkEnd w:id="10"/>
    </w:p>
    <w:p w:rsidR="001E6AF6" w14:paraId="3A4FE325" w14:textId="57A221B0">
      <w:pPr>
        <w:rPr>
          <w:rFonts w:ascii="Times New Roman Bold" w:hAnsi="Times New Roman Bold" w:cs="Times New Roman"/>
          <w:sz w:val="24"/>
          <w:szCs w:val="24"/>
        </w:rPr>
      </w:pPr>
    </w:p>
    <w:p w:rsidR="00B21C0A" w:rsidRPr="004569A4" w:rsidP="00B21C0A" w14:paraId="0451B941" w14:textId="4F8CE798">
      <w:pPr>
        <w:pStyle w:val="BodyText"/>
        <w:spacing w:line="480" w:lineRule="auto"/>
        <w:ind w:left="0" w:firstLine="720"/>
        <w:rPr>
          <w:rFonts w:cs="Times New Roman"/>
          <w:bCs/>
          <w:sz w:val="24"/>
          <w:szCs w:val="24"/>
        </w:rPr>
      </w:pPr>
      <w:r w:rsidRPr="004569A4">
        <w:rPr>
          <w:rFonts w:cs="Times New Roman"/>
          <w:bCs/>
          <w:sz w:val="24"/>
          <w:szCs w:val="24"/>
        </w:rPr>
        <w:t>Along with</w:t>
      </w:r>
      <w:r w:rsidRPr="004569A4" w:rsidR="00D05EA2">
        <w:rPr>
          <w:rFonts w:cs="Times New Roman"/>
          <w:bCs/>
          <w:sz w:val="24"/>
          <w:szCs w:val="24"/>
        </w:rPr>
        <w:t xml:space="preserve"> its joint motion</w:t>
      </w:r>
      <w:r w:rsidR="00363F56">
        <w:rPr>
          <w:rFonts w:cs="Times New Roman"/>
          <w:bCs/>
          <w:sz w:val="24"/>
          <w:szCs w:val="24"/>
        </w:rPr>
        <w:t xml:space="preserve"> with NOPEC</w:t>
      </w:r>
      <w:r w:rsidRPr="004569A4" w:rsidR="00D05EA2">
        <w:rPr>
          <w:rFonts w:cs="Times New Roman"/>
          <w:bCs/>
          <w:sz w:val="24"/>
          <w:szCs w:val="24"/>
        </w:rPr>
        <w:t xml:space="preserve"> for a supplemental audit,</w:t>
      </w:r>
      <w:r>
        <w:rPr>
          <w:rStyle w:val="FootnoteReference"/>
          <w:rFonts w:cs="Times New Roman"/>
          <w:bCs/>
          <w:sz w:val="24"/>
          <w:szCs w:val="24"/>
        </w:rPr>
        <w:footnoteReference w:id="60"/>
      </w:r>
      <w:r w:rsidRPr="004569A4" w:rsidR="00D05EA2">
        <w:rPr>
          <w:rFonts w:cs="Times New Roman"/>
          <w:bCs/>
          <w:sz w:val="24"/>
          <w:szCs w:val="24"/>
        </w:rPr>
        <w:t xml:space="preserve"> </w:t>
      </w:r>
      <w:r w:rsidRPr="004569A4">
        <w:rPr>
          <w:rFonts w:cs="Times New Roman"/>
          <w:bCs/>
          <w:sz w:val="24"/>
          <w:szCs w:val="24"/>
        </w:rPr>
        <w:t xml:space="preserve">OCC’s initial comments proposed </w:t>
      </w:r>
      <w:r w:rsidRPr="004569A4" w:rsidR="007B1475">
        <w:rPr>
          <w:rFonts w:cs="Times New Roman"/>
          <w:bCs/>
          <w:sz w:val="24"/>
          <w:szCs w:val="24"/>
        </w:rPr>
        <w:t xml:space="preserve">the following </w:t>
      </w:r>
      <w:r w:rsidRPr="004569A4">
        <w:rPr>
          <w:rFonts w:cs="Times New Roman"/>
          <w:bCs/>
          <w:sz w:val="24"/>
          <w:szCs w:val="24"/>
        </w:rPr>
        <w:t xml:space="preserve">remedies in addition to </w:t>
      </w:r>
      <w:r w:rsidRPr="004569A4" w:rsidR="00D05EA2">
        <w:rPr>
          <w:rFonts w:cs="Times New Roman"/>
          <w:bCs/>
          <w:sz w:val="24"/>
          <w:szCs w:val="24"/>
        </w:rPr>
        <w:t xml:space="preserve">recommended </w:t>
      </w:r>
      <w:r w:rsidRPr="004569A4">
        <w:rPr>
          <w:rFonts w:cs="Times New Roman"/>
          <w:bCs/>
          <w:sz w:val="24"/>
          <w:szCs w:val="24"/>
        </w:rPr>
        <w:t>forfeitures</w:t>
      </w:r>
      <w:r w:rsidRPr="004569A4" w:rsidR="007B1475">
        <w:rPr>
          <w:rFonts w:cs="Times New Roman"/>
          <w:bCs/>
          <w:sz w:val="24"/>
          <w:szCs w:val="24"/>
        </w:rPr>
        <w:t>:</w:t>
      </w:r>
      <w:r>
        <w:rPr>
          <w:rStyle w:val="FootnoteReference"/>
          <w:rFonts w:cs="Times New Roman"/>
          <w:bCs/>
          <w:sz w:val="24"/>
          <w:szCs w:val="24"/>
        </w:rPr>
        <w:footnoteReference w:id="61"/>
      </w:r>
    </w:p>
    <w:p w:rsidR="007B1475" w:rsidRPr="004569A4" w:rsidP="00EE43F5" w14:paraId="4E937152" w14:textId="4C2C708E">
      <w:pPr>
        <w:pStyle w:val="BodyText"/>
        <w:numPr>
          <w:ilvl w:val="0"/>
          <w:numId w:val="10"/>
        </w:numPr>
        <w:spacing w:line="480" w:lineRule="auto"/>
        <w:ind w:left="1440" w:hanging="720"/>
        <w:rPr>
          <w:rFonts w:cs="Times New Roman"/>
          <w:bCs/>
          <w:sz w:val="24"/>
          <w:szCs w:val="24"/>
        </w:rPr>
      </w:pPr>
      <w:r w:rsidRPr="004569A4">
        <w:rPr>
          <w:rFonts w:cs="Times New Roman"/>
          <w:sz w:val="24"/>
          <w:szCs w:val="24"/>
        </w:rPr>
        <w:t xml:space="preserve">The PUCO should require FirstEnergy to pay $20 million for bill payment </w:t>
      </w:r>
      <w:r w:rsidRPr="004569A4">
        <w:rPr>
          <w:rFonts w:cs="Times New Roman"/>
          <w:sz w:val="24"/>
          <w:szCs w:val="24"/>
        </w:rPr>
        <w:br/>
        <w:t xml:space="preserve">assistance and utility debt relief to at-risk residential consumers. </w:t>
      </w:r>
    </w:p>
    <w:p w:rsidR="007B1475" w:rsidRPr="004569A4" w:rsidP="00EE43F5" w14:paraId="0273159B" w14:textId="77777777">
      <w:pPr>
        <w:pStyle w:val="BodyText"/>
        <w:numPr>
          <w:ilvl w:val="0"/>
          <w:numId w:val="10"/>
        </w:numPr>
        <w:spacing w:line="480" w:lineRule="auto"/>
        <w:ind w:left="1440" w:hanging="720"/>
        <w:rPr>
          <w:rFonts w:cs="Times New Roman"/>
          <w:bCs/>
          <w:sz w:val="24"/>
          <w:szCs w:val="24"/>
        </w:rPr>
      </w:pPr>
      <w:r w:rsidRPr="004569A4">
        <w:rPr>
          <w:rFonts w:cs="Times New Roman"/>
          <w:sz w:val="24"/>
          <w:szCs w:val="24"/>
        </w:rPr>
        <w:t xml:space="preserve">The PUCO should require FirstEnergy to submit an acceptable and auditable </w:t>
      </w:r>
      <w:r w:rsidRPr="004569A4">
        <w:rPr>
          <w:rFonts w:cs="Times New Roman"/>
          <w:sz w:val="24"/>
          <w:szCs w:val="24"/>
        </w:rPr>
        <w:br/>
        <w:t xml:space="preserve">corporate separation plan within three months and appoint an independent </w:t>
      </w:r>
      <w:r w:rsidRPr="004569A4">
        <w:rPr>
          <w:rFonts w:cs="Times New Roman"/>
          <w:sz w:val="24"/>
          <w:szCs w:val="24"/>
        </w:rPr>
        <w:br/>
        <w:t xml:space="preserve">monitor, with an independent oversight committee, to oversee implementation of </w:t>
      </w:r>
      <w:r w:rsidRPr="004569A4">
        <w:rPr>
          <w:rFonts w:cs="Times New Roman"/>
          <w:sz w:val="24"/>
          <w:szCs w:val="24"/>
        </w:rPr>
        <w:br/>
        <w:t xml:space="preserve">the plan). </w:t>
      </w:r>
    </w:p>
    <w:p w:rsidR="007B1475" w:rsidRPr="004569A4" w:rsidP="00EE43F5" w14:paraId="6700F240" w14:textId="77777777">
      <w:pPr>
        <w:pStyle w:val="BodyText"/>
        <w:numPr>
          <w:ilvl w:val="0"/>
          <w:numId w:val="10"/>
        </w:numPr>
        <w:spacing w:line="480" w:lineRule="auto"/>
        <w:ind w:left="1440" w:hanging="720"/>
        <w:rPr>
          <w:rFonts w:cs="Times New Roman"/>
          <w:bCs/>
          <w:sz w:val="24"/>
          <w:szCs w:val="24"/>
        </w:rPr>
      </w:pPr>
      <w:r w:rsidRPr="004569A4">
        <w:rPr>
          <w:rFonts w:cs="Times New Roman"/>
          <w:sz w:val="24"/>
          <w:szCs w:val="24"/>
        </w:rPr>
        <w:t xml:space="preserve">The PUCO should bar affiliates’ use of the FirstEnergy logo and name. </w:t>
      </w:r>
    </w:p>
    <w:p w:rsidR="007B1475" w:rsidRPr="004569A4" w:rsidP="00EE43F5" w14:paraId="7BAF7B98" w14:textId="1615CCFF">
      <w:pPr>
        <w:pStyle w:val="BodyText"/>
        <w:numPr>
          <w:ilvl w:val="0"/>
          <w:numId w:val="10"/>
        </w:numPr>
        <w:spacing w:line="480" w:lineRule="auto"/>
        <w:ind w:left="1440" w:hanging="720"/>
        <w:rPr>
          <w:rFonts w:cs="Times New Roman"/>
          <w:bCs/>
          <w:sz w:val="24"/>
          <w:szCs w:val="24"/>
        </w:rPr>
      </w:pPr>
      <w:r w:rsidRPr="004569A4">
        <w:rPr>
          <w:rFonts w:cs="Times New Roman"/>
          <w:sz w:val="24"/>
          <w:szCs w:val="24"/>
        </w:rPr>
        <w:t xml:space="preserve">The PUCO should impose a five-year stay-out period for FirstEnergy Advisors </w:t>
      </w:r>
      <w:r w:rsidRPr="004569A4">
        <w:rPr>
          <w:rFonts w:cs="Times New Roman"/>
          <w:sz w:val="24"/>
          <w:szCs w:val="24"/>
        </w:rPr>
        <w:br/>
      </w:r>
      <w:r w:rsidR="00363F56">
        <w:rPr>
          <w:rFonts w:cs="Times New Roman"/>
          <w:sz w:val="24"/>
          <w:szCs w:val="24"/>
        </w:rPr>
        <w:t>(</w:t>
      </w:r>
      <w:r w:rsidRPr="004569A4">
        <w:rPr>
          <w:rFonts w:cs="Times New Roman"/>
          <w:sz w:val="24"/>
          <w:szCs w:val="24"/>
        </w:rPr>
        <w:t>and any other</w:t>
      </w:r>
      <w:r w:rsidR="00363F56">
        <w:rPr>
          <w:rFonts w:cs="Times New Roman"/>
          <w:sz w:val="24"/>
          <w:szCs w:val="24"/>
        </w:rPr>
        <w:t xml:space="preserve"> similarly situated</w:t>
      </w:r>
      <w:r w:rsidRPr="004569A4">
        <w:rPr>
          <w:rFonts w:cs="Times New Roman"/>
          <w:sz w:val="24"/>
          <w:szCs w:val="24"/>
        </w:rPr>
        <w:t xml:space="preserve"> FirstEnergy affiliate or subsidiary</w:t>
      </w:r>
      <w:r w:rsidR="00363F56">
        <w:rPr>
          <w:rFonts w:cs="Times New Roman"/>
          <w:sz w:val="24"/>
          <w:szCs w:val="24"/>
        </w:rPr>
        <w:t>)</w:t>
      </w:r>
      <w:r w:rsidRPr="004569A4">
        <w:rPr>
          <w:rFonts w:cs="Times New Roman"/>
          <w:sz w:val="24"/>
          <w:szCs w:val="24"/>
        </w:rPr>
        <w:t xml:space="preserve">. </w:t>
      </w:r>
    </w:p>
    <w:p w:rsidR="00B21C0A" w:rsidRPr="004569A4" w:rsidP="00EE43F5" w14:paraId="270DD15F" w14:textId="736C98E4">
      <w:pPr>
        <w:pStyle w:val="BodyText"/>
        <w:numPr>
          <w:ilvl w:val="0"/>
          <w:numId w:val="10"/>
        </w:numPr>
        <w:spacing w:line="480" w:lineRule="auto"/>
        <w:ind w:left="1440" w:hanging="720"/>
        <w:rPr>
          <w:rFonts w:cs="Times New Roman"/>
          <w:bCs/>
          <w:sz w:val="24"/>
          <w:szCs w:val="24"/>
        </w:rPr>
      </w:pPr>
      <w:r w:rsidRPr="004569A4">
        <w:rPr>
          <w:rFonts w:cs="Times New Roman"/>
          <w:sz w:val="24"/>
          <w:szCs w:val="24"/>
        </w:rPr>
        <w:t xml:space="preserve">The PUCO should bar FirstEnergy Products from using the FirstEnergy Utilities’ </w:t>
      </w:r>
      <w:r w:rsidRPr="004569A4">
        <w:rPr>
          <w:rFonts w:cs="Times New Roman"/>
          <w:sz w:val="24"/>
          <w:szCs w:val="24"/>
        </w:rPr>
        <w:br/>
        <w:t xml:space="preserve">resources to offer their products and services or, in the alternative, impose a </w:t>
      </w:r>
      <w:r w:rsidRPr="004569A4">
        <w:rPr>
          <w:rFonts w:cs="Times New Roman"/>
          <w:sz w:val="24"/>
          <w:szCs w:val="24"/>
        </w:rPr>
        <w:br/>
        <w:t>profit-sharing mechanism where consumers receive at least 20% of the profits.</w:t>
      </w:r>
    </w:p>
    <w:p w:rsidR="00D05EA2" w:rsidRPr="004569A4" w:rsidP="005A1E2B" w14:paraId="283265F4" w14:textId="66B475C5">
      <w:pPr>
        <w:pStyle w:val="BodyText"/>
        <w:spacing w:line="480" w:lineRule="auto"/>
        <w:ind w:left="0" w:firstLine="720"/>
        <w:rPr>
          <w:rFonts w:cs="Times New Roman"/>
          <w:bCs/>
          <w:sz w:val="24"/>
          <w:szCs w:val="24"/>
        </w:rPr>
      </w:pPr>
      <w:r w:rsidRPr="004569A4">
        <w:rPr>
          <w:rFonts w:cs="Times New Roman"/>
          <w:bCs/>
          <w:sz w:val="24"/>
          <w:szCs w:val="24"/>
        </w:rPr>
        <w:t xml:space="preserve">Several commenters agreed with OCC’s recommendation that the PUCO should require FirstEnergy to file a </w:t>
      </w:r>
      <w:r w:rsidRPr="004569A4" w:rsidR="00A07A05">
        <w:rPr>
          <w:rFonts w:cs="Times New Roman"/>
          <w:bCs/>
          <w:sz w:val="24"/>
          <w:szCs w:val="24"/>
        </w:rPr>
        <w:t>new</w:t>
      </w:r>
      <w:r w:rsidRPr="004569A4">
        <w:rPr>
          <w:rFonts w:cs="Times New Roman"/>
          <w:bCs/>
          <w:sz w:val="24"/>
          <w:szCs w:val="24"/>
        </w:rPr>
        <w:t xml:space="preserve"> corporate separation plan</w:t>
      </w:r>
      <w:r w:rsidRPr="004569A4" w:rsidR="00062023">
        <w:rPr>
          <w:rFonts w:cs="Times New Roman"/>
          <w:bCs/>
          <w:sz w:val="24"/>
          <w:szCs w:val="24"/>
        </w:rPr>
        <w:t>, along with improved cost allocation practices</w:t>
      </w:r>
      <w:r w:rsidRPr="004569A4">
        <w:rPr>
          <w:rFonts w:cs="Times New Roman"/>
          <w:bCs/>
          <w:sz w:val="24"/>
          <w:szCs w:val="24"/>
        </w:rPr>
        <w:t>.</w:t>
      </w:r>
      <w:r>
        <w:rPr>
          <w:rStyle w:val="FootnoteReference"/>
          <w:rFonts w:cs="Times New Roman"/>
          <w:bCs/>
          <w:sz w:val="24"/>
          <w:szCs w:val="24"/>
        </w:rPr>
        <w:footnoteReference w:id="62"/>
      </w:r>
      <w:r w:rsidR="00AB44BE">
        <w:rPr>
          <w:rFonts w:cs="Times New Roman"/>
          <w:bCs/>
          <w:sz w:val="24"/>
          <w:szCs w:val="24"/>
        </w:rPr>
        <w:t xml:space="preserve"> </w:t>
      </w:r>
      <w:r w:rsidRPr="004569A4" w:rsidR="00543261">
        <w:rPr>
          <w:rFonts w:cs="Times New Roman"/>
          <w:bCs/>
          <w:sz w:val="24"/>
          <w:szCs w:val="24"/>
        </w:rPr>
        <w:t>OMAEG concurred with the recommendation of a supplemental audit report.</w:t>
      </w:r>
      <w:r>
        <w:rPr>
          <w:rStyle w:val="FootnoteReference"/>
          <w:rFonts w:cs="Times New Roman"/>
          <w:bCs/>
          <w:sz w:val="24"/>
          <w:szCs w:val="24"/>
        </w:rPr>
        <w:footnoteReference w:id="63"/>
      </w:r>
      <w:r w:rsidR="00AB44BE">
        <w:rPr>
          <w:rFonts w:cs="Times New Roman"/>
          <w:bCs/>
          <w:sz w:val="24"/>
          <w:szCs w:val="24"/>
        </w:rPr>
        <w:t xml:space="preserve"> </w:t>
      </w:r>
      <w:r w:rsidRPr="004569A4">
        <w:rPr>
          <w:rFonts w:cs="Times New Roman"/>
          <w:bCs/>
          <w:sz w:val="24"/>
          <w:szCs w:val="24"/>
        </w:rPr>
        <w:t>OMAEG proposed an adverse inference instruction that the missing information should be construed against FirstEnergy.</w:t>
      </w:r>
      <w:r>
        <w:rPr>
          <w:rStyle w:val="FootnoteReference"/>
          <w:rFonts w:cs="Times New Roman"/>
          <w:bCs/>
          <w:sz w:val="24"/>
          <w:szCs w:val="24"/>
        </w:rPr>
        <w:footnoteReference w:id="64"/>
      </w:r>
      <w:r w:rsidR="00AB44BE">
        <w:rPr>
          <w:rFonts w:cs="Times New Roman"/>
          <w:bCs/>
          <w:sz w:val="24"/>
          <w:szCs w:val="24"/>
        </w:rPr>
        <w:t xml:space="preserve"> </w:t>
      </w:r>
      <w:r w:rsidRPr="004569A4">
        <w:rPr>
          <w:rFonts w:cs="Times New Roman"/>
          <w:bCs/>
          <w:sz w:val="24"/>
          <w:szCs w:val="24"/>
        </w:rPr>
        <w:t>OMAEG also recommended annual corporate separation audits, with the audit findings publicly available.</w:t>
      </w:r>
      <w:r>
        <w:rPr>
          <w:rStyle w:val="FootnoteReference"/>
          <w:rFonts w:cs="Times New Roman"/>
          <w:bCs/>
          <w:sz w:val="24"/>
          <w:szCs w:val="24"/>
        </w:rPr>
        <w:footnoteReference w:id="65"/>
      </w:r>
    </w:p>
    <w:p w:rsidR="00A07A05" w:rsidRPr="004569A4" w:rsidP="005A1E2B" w14:paraId="639CA001" w14:textId="6EADE7CE">
      <w:pPr>
        <w:pStyle w:val="BodyText"/>
        <w:spacing w:line="480" w:lineRule="auto"/>
        <w:ind w:left="0" w:firstLine="720"/>
        <w:rPr>
          <w:rFonts w:cs="Times New Roman"/>
          <w:bCs/>
          <w:sz w:val="24"/>
          <w:szCs w:val="24"/>
        </w:rPr>
      </w:pPr>
      <w:r w:rsidRPr="004569A4">
        <w:rPr>
          <w:rFonts w:cs="Times New Roman"/>
          <w:bCs/>
          <w:sz w:val="24"/>
          <w:szCs w:val="24"/>
        </w:rPr>
        <w:t>Commenters offered many additional recommendations regarding FirstEnergy’s competitive services offerings.</w:t>
      </w:r>
      <w:r w:rsidR="00AB44BE">
        <w:rPr>
          <w:rFonts w:cs="Times New Roman"/>
          <w:bCs/>
          <w:sz w:val="24"/>
          <w:szCs w:val="24"/>
        </w:rPr>
        <w:t xml:space="preserve"> </w:t>
      </w:r>
      <w:r w:rsidRPr="004569A4">
        <w:rPr>
          <w:rFonts w:cs="Times New Roman"/>
          <w:bCs/>
          <w:sz w:val="24"/>
          <w:szCs w:val="24"/>
        </w:rPr>
        <w:t>NOPEC proposed a five-year ban of FirstEnergy Utilities or any of its competitive affiliates from offering competitive services in Ohio.</w:t>
      </w:r>
      <w:r>
        <w:rPr>
          <w:rStyle w:val="FootnoteReference"/>
          <w:rFonts w:cs="Times New Roman"/>
          <w:bCs/>
          <w:sz w:val="24"/>
          <w:szCs w:val="24"/>
        </w:rPr>
        <w:footnoteReference w:id="66"/>
      </w:r>
      <w:r w:rsidR="00AB44BE">
        <w:rPr>
          <w:rFonts w:cs="Times New Roman"/>
          <w:bCs/>
          <w:sz w:val="24"/>
          <w:szCs w:val="24"/>
        </w:rPr>
        <w:t xml:space="preserve"> </w:t>
      </w:r>
      <w:r w:rsidRPr="004569A4">
        <w:rPr>
          <w:rFonts w:cs="Times New Roman"/>
          <w:bCs/>
          <w:sz w:val="24"/>
          <w:szCs w:val="24"/>
        </w:rPr>
        <w:t xml:space="preserve">Vistra recommended </w:t>
      </w:r>
      <w:r w:rsidRPr="004569A4" w:rsidR="00062023">
        <w:rPr>
          <w:rFonts w:cs="Times New Roman"/>
          <w:bCs/>
          <w:sz w:val="24"/>
          <w:szCs w:val="24"/>
        </w:rPr>
        <w:t xml:space="preserve">that </w:t>
      </w:r>
      <w:r w:rsidR="005E1093">
        <w:rPr>
          <w:rFonts w:cs="Times New Roman"/>
          <w:bCs/>
          <w:sz w:val="24"/>
          <w:szCs w:val="24"/>
        </w:rPr>
        <w:t>FirstEnergy Advisors</w:t>
      </w:r>
      <w:r w:rsidRPr="004569A4" w:rsidR="00062023">
        <w:rPr>
          <w:rFonts w:cs="Times New Roman"/>
          <w:bCs/>
          <w:sz w:val="24"/>
          <w:szCs w:val="24"/>
        </w:rPr>
        <w:t xml:space="preserve"> be put into a separate organization and that it not receive services from FirstEnergy Service Company.</w:t>
      </w:r>
      <w:r>
        <w:rPr>
          <w:rStyle w:val="FootnoteReference"/>
          <w:rFonts w:cs="Times New Roman"/>
          <w:bCs/>
          <w:sz w:val="24"/>
          <w:szCs w:val="24"/>
        </w:rPr>
        <w:footnoteReference w:id="67"/>
      </w:r>
      <w:r w:rsidR="00AB44BE">
        <w:rPr>
          <w:rFonts w:cs="Times New Roman"/>
          <w:bCs/>
          <w:sz w:val="24"/>
          <w:szCs w:val="24"/>
        </w:rPr>
        <w:t xml:space="preserve"> </w:t>
      </w:r>
      <w:r w:rsidRPr="004569A4" w:rsidR="00062023">
        <w:rPr>
          <w:rFonts w:cs="Times New Roman"/>
          <w:bCs/>
          <w:sz w:val="24"/>
          <w:szCs w:val="24"/>
        </w:rPr>
        <w:t>Vistra and IGS Energy both recommended that FirstEnergy Products not be permitted to use the FirstEnergy name or logo.</w:t>
      </w:r>
      <w:r>
        <w:rPr>
          <w:rStyle w:val="FootnoteReference"/>
          <w:rFonts w:cs="Times New Roman"/>
          <w:bCs/>
          <w:sz w:val="24"/>
          <w:szCs w:val="24"/>
        </w:rPr>
        <w:footnoteReference w:id="68"/>
      </w:r>
      <w:r w:rsidR="00AB44BE">
        <w:rPr>
          <w:rFonts w:cs="Times New Roman"/>
          <w:bCs/>
          <w:sz w:val="24"/>
          <w:szCs w:val="24"/>
        </w:rPr>
        <w:t xml:space="preserve"> </w:t>
      </w:r>
      <w:r w:rsidRPr="004569A4" w:rsidR="00062023">
        <w:rPr>
          <w:rFonts w:cs="Times New Roman"/>
          <w:bCs/>
          <w:sz w:val="24"/>
          <w:szCs w:val="24"/>
        </w:rPr>
        <w:t xml:space="preserve">IGS Entergy </w:t>
      </w:r>
      <w:r w:rsidRPr="004569A4" w:rsidR="001C056C">
        <w:rPr>
          <w:rFonts w:cs="Times New Roman"/>
          <w:bCs/>
          <w:sz w:val="24"/>
          <w:szCs w:val="24"/>
        </w:rPr>
        <w:t>asked the PUCO to further investigate how the FirstEnergy Utilities might be subsidizing FirstEnergy’s competitive service offerings.</w:t>
      </w:r>
      <w:r>
        <w:rPr>
          <w:rStyle w:val="FootnoteReference"/>
          <w:rFonts w:cs="Times New Roman"/>
          <w:bCs/>
          <w:sz w:val="24"/>
          <w:szCs w:val="24"/>
        </w:rPr>
        <w:footnoteReference w:id="69"/>
      </w:r>
      <w:r w:rsidR="00AB44BE">
        <w:rPr>
          <w:rFonts w:cs="Times New Roman"/>
          <w:bCs/>
          <w:sz w:val="24"/>
          <w:szCs w:val="24"/>
        </w:rPr>
        <w:t xml:space="preserve"> </w:t>
      </w:r>
      <w:r w:rsidRPr="004569A4" w:rsidR="00575FD2">
        <w:rPr>
          <w:rFonts w:cs="Times New Roman"/>
          <w:bCs/>
          <w:sz w:val="24"/>
          <w:szCs w:val="24"/>
        </w:rPr>
        <w:t>IEU-Ohio recommended that FirstEnergy’s competitive service offerings should be structurally separated from the FirstEnergy Utilities.</w:t>
      </w:r>
      <w:r>
        <w:rPr>
          <w:rStyle w:val="FootnoteReference"/>
          <w:rFonts w:cs="Times New Roman"/>
          <w:bCs/>
          <w:sz w:val="24"/>
          <w:szCs w:val="24"/>
        </w:rPr>
        <w:footnoteReference w:id="70"/>
      </w:r>
    </w:p>
    <w:p w:rsidR="00A50D7C" w:rsidRPr="004569A4" w:rsidP="005A1E2B" w14:paraId="38E19EFB" w14:textId="1FE5D6B1">
      <w:pPr>
        <w:pStyle w:val="BodyText"/>
        <w:spacing w:line="480" w:lineRule="auto"/>
        <w:ind w:left="0" w:firstLine="720"/>
        <w:rPr>
          <w:rFonts w:cs="Times New Roman"/>
          <w:bCs/>
          <w:sz w:val="24"/>
          <w:szCs w:val="24"/>
        </w:rPr>
      </w:pPr>
      <w:r w:rsidRPr="004569A4">
        <w:rPr>
          <w:rFonts w:cs="Times New Roman"/>
          <w:bCs/>
          <w:sz w:val="24"/>
          <w:szCs w:val="24"/>
        </w:rPr>
        <w:t>OCC requests that the PUCO adopt its recommendations for other relief in addition to the supplemental audit and forfeitures.</w:t>
      </w:r>
      <w:r w:rsidR="00AB44BE">
        <w:rPr>
          <w:rFonts w:cs="Times New Roman"/>
          <w:bCs/>
          <w:sz w:val="24"/>
          <w:szCs w:val="24"/>
        </w:rPr>
        <w:t xml:space="preserve"> </w:t>
      </w:r>
      <w:r w:rsidRPr="004569A4">
        <w:rPr>
          <w:rFonts w:cs="Times New Roman"/>
          <w:bCs/>
          <w:sz w:val="24"/>
          <w:szCs w:val="24"/>
        </w:rPr>
        <w:t>The other intervenors’ additional recommendations largely appear to be reasonable and OCC recommends that the PUCO give them due consideration.</w:t>
      </w:r>
      <w:r w:rsidR="00AB44BE">
        <w:rPr>
          <w:rFonts w:cs="Times New Roman"/>
          <w:bCs/>
          <w:sz w:val="24"/>
          <w:szCs w:val="24"/>
        </w:rPr>
        <w:t xml:space="preserve"> </w:t>
      </w:r>
    </w:p>
    <w:p w:rsidR="00F94628" w:rsidRPr="001E6AF6" w:rsidP="001E6AF6" w14:paraId="26411C4A" w14:textId="4A49F253">
      <w:pPr>
        <w:pStyle w:val="Heading2"/>
      </w:pPr>
      <w:bookmarkStart w:id="11" w:name="_Toc90301106"/>
      <w:r w:rsidRPr="001E6AF6">
        <w:t>Procedure</w:t>
      </w:r>
      <w:bookmarkEnd w:id="11"/>
    </w:p>
    <w:p w:rsidR="001E6AF6" w:rsidRPr="001E6AF6" w:rsidP="001E6AF6" w14:paraId="11E22DB3" w14:textId="77777777">
      <w:pPr>
        <w:pStyle w:val="Heading2"/>
        <w:numPr>
          <w:ilvl w:val="0"/>
          <w:numId w:val="0"/>
        </w:numPr>
        <w:ind w:left="1440"/>
      </w:pPr>
    </w:p>
    <w:p w:rsidR="00A50D7C" w:rsidRPr="001E6AF6" w:rsidP="00594E9C" w14:paraId="262093A2" w14:textId="2F89FC82">
      <w:pPr>
        <w:pStyle w:val="BodyText"/>
        <w:spacing w:line="480" w:lineRule="auto"/>
        <w:ind w:left="0" w:firstLine="720"/>
        <w:rPr>
          <w:rFonts w:cs="Times New Roman"/>
          <w:bCs/>
          <w:sz w:val="24"/>
          <w:szCs w:val="24"/>
        </w:rPr>
      </w:pPr>
      <w:r w:rsidRPr="001E6AF6">
        <w:rPr>
          <w:rFonts w:cs="Times New Roman"/>
          <w:bCs/>
          <w:sz w:val="24"/>
          <w:szCs w:val="24"/>
        </w:rPr>
        <w:t>Direct Energy laid out a well-considered approach for procedural next steps.</w:t>
      </w:r>
      <w:r w:rsidRPr="001E6AF6" w:rsidR="00AB44BE">
        <w:rPr>
          <w:rFonts w:cs="Times New Roman"/>
          <w:bCs/>
          <w:sz w:val="24"/>
          <w:szCs w:val="24"/>
        </w:rPr>
        <w:t xml:space="preserve"> </w:t>
      </w:r>
      <w:r w:rsidRPr="001E6AF6" w:rsidR="00594E9C">
        <w:rPr>
          <w:rFonts w:cs="Times New Roman"/>
          <w:bCs/>
          <w:sz w:val="24"/>
          <w:szCs w:val="24"/>
        </w:rPr>
        <w:t>Direct Energy</w:t>
      </w:r>
      <w:r w:rsidRPr="001E6AF6" w:rsidR="00085F17">
        <w:rPr>
          <w:rFonts w:cs="Times New Roman"/>
          <w:bCs/>
          <w:sz w:val="24"/>
          <w:szCs w:val="24"/>
        </w:rPr>
        <w:t>’s main point is that this case is currently an investigative proceeding under R.C. Chapter 4903 and the PUCO should convert it to an enforcement proceeding under R.C. Chapter 4926.</w:t>
      </w:r>
      <w:r>
        <w:rPr>
          <w:rStyle w:val="FootnoteReference"/>
          <w:rFonts w:cs="Times New Roman"/>
          <w:bCs/>
          <w:sz w:val="24"/>
          <w:szCs w:val="24"/>
        </w:rPr>
        <w:footnoteReference w:id="71"/>
      </w:r>
      <w:r w:rsidRPr="001E6AF6" w:rsidR="00594E9C">
        <w:rPr>
          <w:rFonts w:cs="Times New Roman"/>
          <w:bCs/>
          <w:sz w:val="24"/>
          <w:szCs w:val="24"/>
        </w:rPr>
        <w:t xml:space="preserve"> </w:t>
      </w:r>
      <w:r w:rsidRPr="001E6AF6" w:rsidR="00085F17">
        <w:rPr>
          <w:rFonts w:cs="Times New Roman"/>
          <w:bCs/>
          <w:sz w:val="24"/>
          <w:szCs w:val="24"/>
        </w:rPr>
        <w:t xml:space="preserve">Direct Energy suggests that </w:t>
      </w:r>
      <w:r w:rsidRPr="001E6AF6" w:rsidR="00594E9C">
        <w:rPr>
          <w:rFonts w:cs="Times New Roman"/>
          <w:bCs/>
          <w:sz w:val="24"/>
          <w:szCs w:val="24"/>
        </w:rPr>
        <w:t>the PUCO</w:t>
      </w:r>
      <w:r w:rsidRPr="001E6AF6" w:rsidR="00085F17">
        <w:rPr>
          <w:rFonts w:cs="Times New Roman"/>
          <w:bCs/>
          <w:sz w:val="24"/>
          <w:szCs w:val="24"/>
        </w:rPr>
        <w:t xml:space="preserve"> can accomplish this by using the Daymark and Sage audit reports as the basis for</w:t>
      </w:r>
      <w:r w:rsidRPr="001E6AF6" w:rsidR="00594E9C">
        <w:rPr>
          <w:rFonts w:cs="Times New Roman"/>
          <w:bCs/>
          <w:sz w:val="24"/>
          <w:szCs w:val="24"/>
        </w:rPr>
        <w:t xml:space="preserve"> a show-cause order</w:t>
      </w:r>
      <w:r w:rsidRPr="001E6AF6" w:rsidR="00085F17">
        <w:rPr>
          <w:rFonts w:cs="Times New Roman"/>
          <w:bCs/>
          <w:sz w:val="24"/>
          <w:szCs w:val="24"/>
        </w:rPr>
        <w:t xml:space="preserve"> requiring FirstEnergy to demonstrate why it should not be found in violation of R.C. 4928.17 and O.A.C. Chapter 4901:1-37.</w:t>
      </w:r>
      <w:r>
        <w:rPr>
          <w:rStyle w:val="FootnoteReference"/>
          <w:rFonts w:cs="Times New Roman"/>
          <w:bCs/>
          <w:sz w:val="24"/>
          <w:szCs w:val="24"/>
        </w:rPr>
        <w:footnoteReference w:id="72"/>
      </w:r>
      <w:r w:rsidRPr="001E6AF6" w:rsidR="00AB44BE">
        <w:rPr>
          <w:rFonts w:cs="Times New Roman"/>
          <w:bCs/>
          <w:sz w:val="24"/>
          <w:szCs w:val="24"/>
        </w:rPr>
        <w:t xml:space="preserve"> </w:t>
      </w:r>
      <w:r w:rsidRPr="001E6AF6" w:rsidR="00085F17">
        <w:rPr>
          <w:rFonts w:cs="Times New Roman"/>
          <w:bCs/>
          <w:sz w:val="24"/>
          <w:szCs w:val="24"/>
        </w:rPr>
        <w:t xml:space="preserve"> Direct Energy further suggests that the currently scheduled hearing date of February 10, 2022 could be used for a hearing on the show-cause order.</w:t>
      </w:r>
      <w:r>
        <w:rPr>
          <w:rStyle w:val="FootnoteReference"/>
          <w:rFonts w:cs="Times New Roman"/>
          <w:bCs/>
          <w:sz w:val="24"/>
          <w:szCs w:val="24"/>
        </w:rPr>
        <w:footnoteReference w:id="73"/>
      </w:r>
    </w:p>
    <w:p w:rsidR="007772A5" w:rsidRPr="001E6AF6" w:rsidP="00E47E28" w14:paraId="7CBC38FE" w14:textId="30F888FF">
      <w:pPr>
        <w:pStyle w:val="BodyText"/>
        <w:spacing w:line="480" w:lineRule="auto"/>
        <w:ind w:left="0" w:firstLine="720"/>
        <w:rPr>
          <w:rFonts w:cs="Times New Roman"/>
          <w:bCs/>
          <w:sz w:val="24"/>
          <w:szCs w:val="24"/>
        </w:rPr>
      </w:pPr>
      <w:r w:rsidRPr="001E6AF6">
        <w:rPr>
          <w:rFonts w:cs="Times New Roman"/>
          <w:bCs/>
          <w:sz w:val="24"/>
          <w:szCs w:val="24"/>
        </w:rPr>
        <w:t>OCC generally supports Direct Energy’s recommended approach</w:t>
      </w:r>
      <w:r w:rsidRPr="001E6AF6" w:rsidR="00363F56">
        <w:rPr>
          <w:rFonts w:cs="Times New Roman"/>
          <w:bCs/>
          <w:sz w:val="24"/>
          <w:szCs w:val="24"/>
        </w:rPr>
        <w:t>.</w:t>
      </w:r>
      <w:r w:rsidRPr="001E6AF6">
        <w:rPr>
          <w:rFonts w:cs="Times New Roman"/>
          <w:bCs/>
          <w:sz w:val="24"/>
          <w:szCs w:val="24"/>
        </w:rPr>
        <w:t xml:space="preserve"> </w:t>
      </w:r>
      <w:r w:rsidRPr="001E6AF6" w:rsidR="00E11A2C">
        <w:rPr>
          <w:rFonts w:cs="Times New Roman"/>
          <w:bCs/>
          <w:sz w:val="24"/>
          <w:szCs w:val="24"/>
        </w:rPr>
        <w:t>H</w:t>
      </w:r>
      <w:r w:rsidRPr="001E6AF6">
        <w:rPr>
          <w:rFonts w:cs="Times New Roman"/>
          <w:bCs/>
          <w:sz w:val="24"/>
          <w:szCs w:val="24"/>
        </w:rPr>
        <w:t>owever, the show-cause order and hearing should not occur until after the supplemental audit report is available</w:t>
      </w:r>
      <w:r w:rsidRPr="001E6AF6" w:rsidR="00B92A03">
        <w:rPr>
          <w:rFonts w:cs="Times New Roman"/>
          <w:bCs/>
          <w:sz w:val="24"/>
          <w:szCs w:val="24"/>
        </w:rPr>
        <w:t xml:space="preserve"> and other relevant events have been resolved.</w:t>
      </w:r>
      <w:r w:rsidRPr="001E6AF6" w:rsidR="00104888">
        <w:rPr>
          <w:rFonts w:cs="Times New Roman"/>
          <w:bCs/>
          <w:sz w:val="24"/>
          <w:szCs w:val="24"/>
        </w:rPr>
        <w:t xml:space="preserve"> </w:t>
      </w:r>
      <w:r w:rsidRPr="001E6AF6" w:rsidR="00B92A03">
        <w:rPr>
          <w:rFonts w:cs="Times New Roman"/>
          <w:bCs/>
          <w:sz w:val="24"/>
          <w:szCs w:val="24"/>
        </w:rPr>
        <w:t>A</w:t>
      </w:r>
      <w:r w:rsidRPr="001E6AF6" w:rsidR="00104888">
        <w:rPr>
          <w:rFonts w:cs="Times New Roman"/>
          <w:bCs/>
          <w:sz w:val="24"/>
          <w:szCs w:val="24"/>
        </w:rPr>
        <w:t xml:space="preserve">nd there </w:t>
      </w:r>
      <w:r w:rsidRPr="001E6AF6" w:rsidR="00B92A03">
        <w:rPr>
          <w:rFonts w:cs="Times New Roman"/>
          <w:bCs/>
          <w:sz w:val="24"/>
          <w:szCs w:val="24"/>
        </w:rPr>
        <w:t>should be</w:t>
      </w:r>
      <w:r w:rsidRPr="001E6AF6" w:rsidR="00104888">
        <w:rPr>
          <w:rFonts w:cs="Times New Roman"/>
          <w:bCs/>
          <w:sz w:val="24"/>
          <w:szCs w:val="24"/>
        </w:rPr>
        <w:t xml:space="preserve"> an opportunity for further case preparation including discovery</w:t>
      </w:r>
      <w:r w:rsidRPr="001E6AF6" w:rsidR="00E11A2C">
        <w:rPr>
          <w:rFonts w:cs="Times New Roman"/>
          <w:bCs/>
          <w:sz w:val="24"/>
          <w:szCs w:val="24"/>
        </w:rPr>
        <w:t>. Th</w:t>
      </w:r>
      <w:r w:rsidRPr="001E6AF6" w:rsidR="00B92A03">
        <w:rPr>
          <w:rFonts w:cs="Times New Roman"/>
          <w:bCs/>
          <w:sz w:val="24"/>
          <w:szCs w:val="24"/>
        </w:rPr>
        <w:t>e supplemental audit</w:t>
      </w:r>
      <w:r w:rsidRPr="001E6AF6" w:rsidR="00E11A2C">
        <w:rPr>
          <w:rFonts w:cs="Times New Roman"/>
          <w:bCs/>
          <w:sz w:val="24"/>
          <w:szCs w:val="24"/>
        </w:rPr>
        <w:t xml:space="preserve"> report should</w:t>
      </w:r>
      <w:r w:rsidRPr="001E6AF6">
        <w:rPr>
          <w:rFonts w:cs="Times New Roman"/>
          <w:bCs/>
          <w:sz w:val="24"/>
          <w:szCs w:val="24"/>
        </w:rPr>
        <w:t xml:space="preserve"> assess whether FirstEnergy’s H.B. 6 misconduct violated Ohio corporate separation requirements. </w:t>
      </w:r>
      <w:bookmarkStart w:id="12" w:name="_Toc82675148"/>
    </w:p>
    <w:p w:rsidR="00461D06" w:rsidP="00E47E28" w14:paraId="4B51DE23" w14:textId="1AD8A52D">
      <w:pPr>
        <w:pStyle w:val="BodyText"/>
        <w:spacing w:line="480" w:lineRule="auto"/>
        <w:ind w:left="0" w:firstLine="720"/>
        <w:rPr>
          <w:rFonts w:cs="Times New Roman"/>
          <w:bCs/>
          <w:sz w:val="24"/>
          <w:szCs w:val="24"/>
        </w:rPr>
      </w:pPr>
      <w:r>
        <w:rPr>
          <w:rFonts w:cs="Times New Roman"/>
          <w:bCs/>
          <w:sz w:val="24"/>
          <w:szCs w:val="24"/>
        </w:rPr>
        <w:t>The PUCO should vacate its current procedural schedule, which calls for intervenors to file testimony by January 17, 2022 and a hearing to begin on February 10, 2022.</w:t>
      </w:r>
      <w:r>
        <w:rPr>
          <w:rStyle w:val="FootnoteReference"/>
          <w:rFonts w:cs="Times New Roman"/>
          <w:bCs/>
          <w:sz w:val="24"/>
          <w:szCs w:val="24"/>
        </w:rPr>
        <w:footnoteReference w:id="74"/>
      </w:r>
      <w:r w:rsidR="00AB44BE">
        <w:rPr>
          <w:rFonts w:cs="Times New Roman"/>
          <w:bCs/>
          <w:sz w:val="24"/>
          <w:szCs w:val="24"/>
        </w:rPr>
        <w:t xml:space="preserve"> </w:t>
      </w:r>
      <w:r>
        <w:rPr>
          <w:rFonts w:cs="Times New Roman"/>
          <w:bCs/>
          <w:sz w:val="24"/>
          <w:szCs w:val="24"/>
        </w:rPr>
        <w:t>OCC and NOPEC filed a joint motion to extend these deadlines, and this motion is unopposed.</w:t>
      </w:r>
      <w:r>
        <w:rPr>
          <w:rStyle w:val="FootnoteReference"/>
          <w:rFonts w:cs="Times New Roman"/>
          <w:bCs/>
          <w:sz w:val="24"/>
          <w:szCs w:val="24"/>
        </w:rPr>
        <w:footnoteReference w:id="75"/>
      </w:r>
      <w:r w:rsidR="00AB44BE">
        <w:rPr>
          <w:rFonts w:cs="Times New Roman"/>
          <w:bCs/>
          <w:sz w:val="24"/>
          <w:szCs w:val="24"/>
        </w:rPr>
        <w:t xml:space="preserve"> </w:t>
      </w:r>
      <w:r>
        <w:rPr>
          <w:rFonts w:cs="Times New Roman"/>
          <w:bCs/>
          <w:sz w:val="24"/>
          <w:szCs w:val="24"/>
        </w:rPr>
        <w:t>The rationale for the joint motion is that the PUCO should order a supplemental audit and the testimony and hearing deadlines should be extended until after the supplemental audit report is filed.</w:t>
      </w:r>
      <w:r>
        <w:rPr>
          <w:rStyle w:val="FootnoteReference"/>
          <w:rFonts w:cs="Times New Roman"/>
          <w:bCs/>
          <w:sz w:val="24"/>
          <w:szCs w:val="24"/>
        </w:rPr>
        <w:footnoteReference w:id="76"/>
      </w:r>
      <w:r w:rsidR="00AB44BE">
        <w:rPr>
          <w:rFonts w:cs="Times New Roman"/>
          <w:bCs/>
          <w:sz w:val="24"/>
          <w:szCs w:val="24"/>
        </w:rPr>
        <w:t xml:space="preserve"> </w:t>
      </w:r>
    </w:p>
    <w:p w:rsidR="007772A5" w:rsidP="00E47E28" w14:paraId="7BCD566B" w14:textId="605C347C">
      <w:pPr>
        <w:pStyle w:val="BodyText"/>
        <w:spacing w:line="480" w:lineRule="auto"/>
        <w:ind w:left="0" w:firstLine="720"/>
        <w:rPr>
          <w:rFonts w:cs="Times New Roman"/>
          <w:bCs/>
          <w:sz w:val="24"/>
          <w:szCs w:val="24"/>
        </w:rPr>
      </w:pPr>
      <w:r>
        <w:rPr>
          <w:rFonts w:cs="Times New Roman"/>
          <w:bCs/>
          <w:sz w:val="24"/>
          <w:szCs w:val="24"/>
        </w:rPr>
        <w:t>Another reason for extending these deadlines is FirstEnergy’s d</w:t>
      </w:r>
      <w:r w:rsidR="00553590">
        <w:rPr>
          <w:rFonts w:cs="Times New Roman"/>
          <w:bCs/>
          <w:sz w:val="24"/>
          <w:szCs w:val="24"/>
        </w:rPr>
        <w:t>elay</w:t>
      </w:r>
      <w:r>
        <w:rPr>
          <w:rFonts w:cs="Times New Roman"/>
          <w:bCs/>
          <w:sz w:val="24"/>
          <w:szCs w:val="24"/>
        </w:rPr>
        <w:t xml:space="preserve"> in providing discovery to the parties.</w:t>
      </w:r>
      <w:r w:rsidR="00AB44BE">
        <w:rPr>
          <w:rFonts w:cs="Times New Roman"/>
          <w:bCs/>
          <w:sz w:val="24"/>
          <w:szCs w:val="24"/>
        </w:rPr>
        <w:t xml:space="preserve"> </w:t>
      </w:r>
      <w:r>
        <w:rPr>
          <w:rFonts w:cs="Times New Roman"/>
          <w:bCs/>
          <w:sz w:val="24"/>
          <w:szCs w:val="24"/>
        </w:rPr>
        <w:t>On September 24, 2021, OCC filed a motion for subpoena to obtain all the documents that FirstEnergy Corp. produced to the DOJ and SEC.</w:t>
      </w:r>
      <w:r>
        <w:rPr>
          <w:rStyle w:val="FootnoteReference"/>
          <w:rFonts w:cs="Times New Roman"/>
          <w:bCs/>
          <w:sz w:val="24"/>
          <w:szCs w:val="24"/>
        </w:rPr>
        <w:footnoteReference w:id="77"/>
      </w:r>
      <w:r w:rsidR="00AB44BE">
        <w:rPr>
          <w:rFonts w:cs="Times New Roman"/>
          <w:bCs/>
          <w:sz w:val="24"/>
          <w:szCs w:val="24"/>
        </w:rPr>
        <w:t xml:space="preserve"> </w:t>
      </w:r>
      <w:r w:rsidR="00553590">
        <w:rPr>
          <w:rFonts w:cs="Times New Roman"/>
          <w:bCs/>
          <w:sz w:val="24"/>
          <w:szCs w:val="24"/>
        </w:rPr>
        <w:t>FirstEnergy provided over 15,000 pages of information to the parties on November 12, 2021.</w:t>
      </w:r>
      <w:r w:rsidR="00AB44BE">
        <w:rPr>
          <w:rFonts w:cs="Times New Roman"/>
          <w:bCs/>
          <w:sz w:val="24"/>
          <w:szCs w:val="24"/>
        </w:rPr>
        <w:t xml:space="preserve"> </w:t>
      </w:r>
      <w:r w:rsidR="00553590">
        <w:rPr>
          <w:rFonts w:cs="Times New Roman"/>
          <w:bCs/>
          <w:sz w:val="24"/>
          <w:szCs w:val="24"/>
        </w:rPr>
        <w:t>FirstEnergy provided over 56,000 pages of additional information on December 8, 2021.</w:t>
      </w:r>
      <w:r w:rsidR="00AB44BE">
        <w:rPr>
          <w:rFonts w:cs="Times New Roman"/>
          <w:bCs/>
          <w:sz w:val="24"/>
          <w:szCs w:val="24"/>
        </w:rPr>
        <w:t xml:space="preserve"> </w:t>
      </w:r>
      <w:r w:rsidR="00553590">
        <w:rPr>
          <w:rFonts w:cs="Times New Roman"/>
          <w:bCs/>
          <w:sz w:val="24"/>
          <w:szCs w:val="24"/>
        </w:rPr>
        <w:t>FirstEnergy has not indicated whether this is the final production or whether additional documents will be forthcoming.</w:t>
      </w:r>
      <w:r w:rsidR="00AB44BE">
        <w:rPr>
          <w:rFonts w:cs="Times New Roman"/>
          <w:bCs/>
          <w:sz w:val="24"/>
          <w:szCs w:val="24"/>
        </w:rPr>
        <w:t xml:space="preserve"> </w:t>
      </w:r>
      <w:r w:rsidR="00553590">
        <w:rPr>
          <w:rFonts w:cs="Times New Roman"/>
          <w:bCs/>
          <w:sz w:val="24"/>
          <w:szCs w:val="24"/>
        </w:rPr>
        <w:t>OCC needs additional time to analyze these documents and, if needed, to conduct additional follow-up discovery, before it can file testimony or prepare for hearing.</w:t>
      </w:r>
    </w:p>
    <w:p w:rsidR="00F106E4" w:rsidP="00E47E28" w14:paraId="7C00AE2B" w14:textId="41866035">
      <w:pPr>
        <w:pStyle w:val="BodyText"/>
        <w:spacing w:line="480" w:lineRule="auto"/>
        <w:ind w:left="0" w:firstLine="720"/>
        <w:rPr>
          <w:rFonts w:cs="Times New Roman"/>
          <w:bCs/>
          <w:sz w:val="24"/>
          <w:szCs w:val="24"/>
        </w:rPr>
      </w:pPr>
      <w:r>
        <w:rPr>
          <w:rFonts w:cs="Times New Roman"/>
          <w:bCs/>
          <w:sz w:val="24"/>
          <w:szCs w:val="24"/>
        </w:rPr>
        <w:t xml:space="preserve">Another reason to </w:t>
      </w:r>
      <w:r w:rsidR="00B92A03">
        <w:rPr>
          <w:rFonts w:cs="Times New Roman"/>
          <w:bCs/>
          <w:sz w:val="24"/>
          <w:szCs w:val="24"/>
        </w:rPr>
        <w:t>continue</w:t>
      </w:r>
      <w:r>
        <w:rPr>
          <w:rFonts w:cs="Times New Roman"/>
          <w:bCs/>
          <w:sz w:val="24"/>
          <w:szCs w:val="24"/>
        </w:rPr>
        <w:t xml:space="preserve"> the hearing is that the PUCO should </w:t>
      </w:r>
      <w:r w:rsidR="008354DF">
        <w:rPr>
          <w:rFonts w:cs="Times New Roman"/>
          <w:bCs/>
          <w:sz w:val="24"/>
          <w:szCs w:val="24"/>
        </w:rPr>
        <w:t>not hold the hearing until after the criminal investigation is completed.</w:t>
      </w:r>
      <w:r w:rsidR="00AB44BE">
        <w:rPr>
          <w:rFonts w:cs="Times New Roman"/>
          <w:bCs/>
          <w:sz w:val="24"/>
          <w:szCs w:val="24"/>
        </w:rPr>
        <w:t xml:space="preserve"> </w:t>
      </w:r>
      <w:r w:rsidR="008354DF">
        <w:rPr>
          <w:rFonts w:cs="Times New Roman"/>
          <w:bCs/>
          <w:sz w:val="24"/>
          <w:szCs w:val="24"/>
        </w:rPr>
        <w:t>If the hearing is held before the criminal investigation is complete, the hearing could interfere with the criminal investigation.</w:t>
      </w:r>
      <w:r w:rsidR="00AB44BE">
        <w:rPr>
          <w:rFonts w:cs="Times New Roman"/>
          <w:bCs/>
          <w:sz w:val="24"/>
          <w:szCs w:val="24"/>
        </w:rPr>
        <w:t xml:space="preserve"> </w:t>
      </w:r>
      <w:r w:rsidR="008354DF">
        <w:rPr>
          <w:rFonts w:cs="Times New Roman"/>
          <w:bCs/>
          <w:sz w:val="24"/>
          <w:szCs w:val="24"/>
        </w:rPr>
        <w:t>Moreover, witnesses might refuse to testify at the PUCO hearing on the ground of self-incrimination.</w:t>
      </w:r>
      <w:r w:rsidR="00AB44BE">
        <w:rPr>
          <w:rFonts w:cs="Times New Roman"/>
          <w:bCs/>
          <w:sz w:val="24"/>
          <w:szCs w:val="24"/>
        </w:rPr>
        <w:t xml:space="preserve"> </w:t>
      </w:r>
      <w:r w:rsidR="008354DF">
        <w:rPr>
          <w:rFonts w:cs="Times New Roman"/>
          <w:bCs/>
          <w:sz w:val="24"/>
          <w:szCs w:val="24"/>
        </w:rPr>
        <w:t>Finally, the criminal investigation may continue to unearth facts relevant to this case.</w:t>
      </w:r>
      <w:r w:rsidR="00AB44BE">
        <w:rPr>
          <w:rFonts w:cs="Times New Roman"/>
          <w:bCs/>
          <w:sz w:val="24"/>
          <w:szCs w:val="24"/>
        </w:rPr>
        <w:t xml:space="preserve"> </w:t>
      </w:r>
      <w:r w:rsidR="008354DF">
        <w:rPr>
          <w:rFonts w:cs="Times New Roman"/>
          <w:bCs/>
          <w:sz w:val="24"/>
          <w:szCs w:val="24"/>
        </w:rPr>
        <w:t>OCC notes that FirstEnergy reports that it is defending eighteen civil lawsuits arising from the company’s bribery and money laundering scheme.</w:t>
      </w:r>
      <w:r>
        <w:rPr>
          <w:rStyle w:val="FootnoteReference"/>
          <w:rFonts w:cs="Times New Roman"/>
          <w:bCs/>
          <w:sz w:val="24"/>
          <w:szCs w:val="24"/>
        </w:rPr>
        <w:footnoteReference w:id="78"/>
      </w:r>
      <w:r w:rsidR="00AB44BE">
        <w:rPr>
          <w:rFonts w:cs="Times New Roman"/>
          <w:bCs/>
          <w:sz w:val="24"/>
          <w:szCs w:val="24"/>
        </w:rPr>
        <w:t xml:space="preserve"> </w:t>
      </w:r>
      <w:r w:rsidR="008354DF">
        <w:rPr>
          <w:rFonts w:cs="Times New Roman"/>
          <w:bCs/>
          <w:sz w:val="24"/>
          <w:szCs w:val="24"/>
        </w:rPr>
        <w:t xml:space="preserve"> </w:t>
      </w:r>
      <w:r w:rsidR="001E3A90">
        <w:rPr>
          <w:rFonts w:cs="Times New Roman"/>
          <w:bCs/>
          <w:sz w:val="24"/>
          <w:szCs w:val="24"/>
        </w:rPr>
        <w:t xml:space="preserve">A deposition schedule in one of the securities fraud class action cases provides for depositions of the key witnesses to occur in March and </w:t>
      </w:r>
      <w:r w:rsidR="00AB44BE">
        <w:rPr>
          <w:rFonts w:cs="Times New Roman"/>
          <w:bCs/>
          <w:sz w:val="24"/>
          <w:szCs w:val="24"/>
        </w:rPr>
        <w:t>April</w:t>
      </w:r>
      <w:r w:rsidR="00AB1E71">
        <w:rPr>
          <w:rFonts w:cs="Times New Roman"/>
          <w:bCs/>
          <w:sz w:val="24"/>
          <w:szCs w:val="24"/>
        </w:rPr>
        <w:t xml:space="preserve"> </w:t>
      </w:r>
      <w:r w:rsidR="001E3A90">
        <w:rPr>
          <w:rFonts w:cs="Times New Roman"/>
          <w:bCs/>
          <w:sz w:val="24"/>
          <w:szCs w:val="24"/>
        </w:rPr>
        <w:t>2021.</w:t>
      </w:r>
      <w:r>
        <w:rPr>
          <w:rStyle w:val="FootnoteReference"/>
          <w:rFonts w:cs="Times New Roman"/>
          <w:bCs/>
          <w:sz w:val="24"/>
          <w:szCs w:val="24"/>
        </w:rPr>
        <w:footnoteReference w:id="79"/>
      </w:r>
      <w:r w:rsidR="00AB44BE">
        <w:rPr>
          <w:rFonts w:cs="Times New Roman"/>
          <w:bCs/>
          <w:sz w:val="24"/>
          <w:szCs w:val="24"/>
        </w:rPr>
        <w:t xml:space="preserve"> </w:t>
      </w:r>
    </w:p>
    <w:p w:rsidR="00553590" w:rsidP="00E47E28" w14:paraId="1D87C78B" w14:textId="70186058">
      <w:pPr>
        <w:pStyle w:val="BodyText"/>
        <w:spacing w:line="480" w:lineRule="auto"/>
        <w:ind w:left="0" w:firstLine="720"/>
        <w:rPr>
          <w:rFonts w:cs="Times New Roman"/>
          <w:bCs/>
          <w:sz w:val="24"/>
          <w:szCs w:val="24"/>
        </w:rPr>
      </w:pPr>
      <w:r>
        <w:rPr>
          <w:rFonts w:cs="Times New Roman"/>
          <w:bCs/>
          <w:sz w:val="24"/>
          <w:szCs w:val="24"/>
        </w:rPr>
        <w:t>The PUCO should extend the deadlines for testimony and</w:t>
      </w:r>
      <w:r w:rsidR="00B92A03">
        <w:rPr>
          <w:rFonts w:cs="Times New Roman"/>
          <w:bCs/>
          <w:sz w:val="24"/>
          <w:szCs w:val="24"/>
        </w:rPr>
        <w:t xml:space="preserve"> continue the</w:t>
      </w:r>
      <w:r>
        <w:rPr>
          <w:rFonts w:cs="Times New Roman"/>
          <w:bCs/>
          <w:sz w:val="24"/>
          <w:szCs w:val="24"/>
        </w:rPr>
        <w:t xml:space="preserve"> hearing in the present case until OCC and the other parties have adequate time to review the documents </w:t>
      </w:r>
      <w:r w:rsidR="00B92A03">
        <w:rPr>
          <w:rFonts w:cs="Times New Roman"/>
          <w:bCs/>
          <w:sz w:val="24"/>
          <w:szCs w:val="24"/>
        </w:rPr>
        <w:t xml:space="preserve">that </w:t>
      </w:r>
      <w:r>
        <w:rPr>
          <w:rFonts w:cs="Times New Roman"/>
          <w:bCs/>
          <w:sz w:val="24"/>
          <w:szCs w:val="24"/>
        </w:rPr>
        <w:t>FirstEnergy is supplying and to glean any relevant information that may be produced in the criminal and civil investigations of FirstEnergy’s bribery and money laundering scheme.</w:t>
      </w:r>
    </w:p>
    <w:p w:rsidR="001E6AF6" w14:paraId="077169C6" w14:textId="01F34CE2">
      <w:pPr>
        <w:rPr>
          <w:rFonts w:ascii="Times New Roman Bold" w:eastAsia="Times New Roman" w:hAnsi="Times New Roman Bold" w:cs="Times New Roman"/>
          <w:b/>
          <w:caps/>
          <w:w w:val="95"/>
          <w:sz w:val="24"/>
          <w:szCs w:val="24"/>
        </w:rPr>
      </w:pPr>
    </w:p>
    <w:p w:rsidR="00BB43D1" w:rsidRPr="00EE43F5" w:rsidP="00EE43F5" w14:paraId="646DB3D8" w14:textId="7707F5E6">
      <w:pPr>
        <w:pStyle w:val="Heading1"/>
      </w:pPr>
      <w:bookmarkStart w:id="13" w:name="_Toc90301107"/>
      <w:r w:rsidRPr="00EE43F5">
        <w:t>CONCLUSION</w:t>
      </w:r>
      <w:bookmarkEnd w:id="12"/>
      <w:bookmarkEnd w:id="13"/>
    </w:p>
    <w:p w:rsidR="00F02A4C" w:rsidP="007B0CBD" w14:paraId="41D87FDE" w14:textId="77777777">
      <w:pPr>
        <w:pStyle w:val="BodyText"/>
        <w:spacing w:line="480" w:lineRule="auto"/>
        <w:ind w:left="101" w:firstLine="720"/>
        <w:rPr>
          <w:rFonts w:cs="Times New Roman"/>
          <w:sz w:val="24"/>
          <w:szCs w:val="24"/>
        </w:rPr>
      </w:pPr>
      <w:r w:rsidRPr="004569A4">
        <w:rPr>
          <w:rFonts w:cs="Times New Roman"/>
          <w:sz w:val="24"/>
          <w:szCs w:val="24"/>
        </w:rPr>
        <w:t xml:space="preserve">OCC and the other intervenors presented substantial evidence that FirstEnergy consumers were </w:t>
      </w:r>
      <w:r w:rsidRPr="004569A4" w:rsidR="00487084">
        <w:rPr>
          <w:rFonts w:cs="Times New Roman"/>
          <w:sz w:val="24"/>
          <w:szCs w:val="24"/>
        </w:rPr>
        <w:t xml:space="preserve">charged (through cross-subsidization) for “extend[ing] any undue preference or advantage to any affiliate, division, or part of its own business…,” per R.C. 4928.17(A)(3). </w:t>
      </w:r>
      <w:r w:rsidR="0016508C">
        <w:rPr>
          <w:rFonts w:cs="Times New Roman"/>
          <w:sz w:val="24"/>
          <w:szCs w:val="24"/>
        </w:rPr>
        <w:t>The PUCO should order the supplemental audit as jointly requested by OCC and NOPEC.</w:t>
      </w:r>
      <w:r w:rsidR="00AB44BE">
        <w:rPr>
          <w:rFonts w:cs="Times New Roman"/>
          <w:sz w:val="24"/>
          <w:szCs w:val="24"/>
        </w:rPr>
        <w:t xml:space="preserve"> </w:t>
      </w:r>
      <w:r w:rsidR="00B92A03">
        <w:rPr>
          <w:rFonts w:cs="Times New Roman"/>
          <w:sz w:val="24"/>
          <w:szCs w:val="24"/>
        </w:rPr>
        <w:t>For the reasons stated above, t</w:t>
      </w:r>
      <w:r w:rsidR="009579D3">
        <w:rPr>
          <w:rFonts w:cs="Times New Roman"/>
          <w:sz w:val="24"/>
          <w:szCs w:val="24"/>
        </w:rPr>
        <w:t xml:space="preserve">he investigation should continue with future opportunities for presenting final recommendations to the PUCO for sufficient FirstEnergy corporate separation. That </w:t>
      </w:r>
    </w:p>
    <w:p w:rsidR="00F02A4C" w14:paraId="1E1B9E30" w14:textId="77777777">
      <w:pPr>
        <w:rPr>
          <w:rFonts w:ascii="Times New Roman" w:eastAsia="Times New Roman" w:hAnsi="Times New Roman" w:cs="Times New Roman"/>
          <w:sz w:val="24"/>
          <w:szCs w:val="24"/>
        </w:rPr>
      </w:pPr>
      <w:r>
        <w:rPr>
          <w:rFonts w:cs="Times New Roman"/>
          <w:sz w:val="24"/>
          <w:szCs w:val="24"/>
        </w:rPr>
        <w:br w:type="page"/>
      </w:r>
    </w:p>
    <w:p w:rsidR="00670A4F" w:rsidRPr="004569A4" w:rsidP="00F02A4C" w14:paraId="31D61366" w14:textId="29AE4862">
      <w:pPr>
        <w:pStyle w:val="BodyText"/>
        <w:spacing w:line="480" w:lineRule="auto"/>
        <w:ind w:left="101"/>
        <w:rPr>
          <w:rFonts w:cs="Times New Roman"/>
          <w:w w:val="95"/>
          <w:sz w:val="24"/>
          <w:szCs w:val="24"/>
        </w:rPr>
      </w:pPr>
      <w:r>
        <w:rPr>
          <w:rFonts w:cs="Times New Roman"/>
          <w:sz w:val="24"/>
          <w:szCs w:val="24"/>
        </w:rPr>
        <w:t>should include forfeitures and other remedies including the $20 million in FirstEnergy-funded financial assistance that OCC proposed for at-risk FirstEnergy consumers.</w:t>
      </w:r>
      <w:r w:rsidR="00AB44BE">
        <w:rPr>
          <w:rFonts w:cs="Times New Roman"/>
          <w:sz w:val="24"/>
          <w:szCs w:val="24"/>
        </w:rPr>
        <w:t xml:space="preserve"> </w:t>
      </w:r>
    </w:p>
    <w:p w:rsidR="0035511D" w:rsidRPr="004569A4" w14:paraId="415D2D2D" w14:textId="77777777">
      <w:pPr>
        <w:pStyle w:val="BodyTextIndent3"/>
        <w:spacing w:after="0" w:line="480" w:lineRule="auto"/>
        <w:ind w:left="0" w:firstLine="720"/>
        <w:rPr>
          <w:rFonts w:ascii="Times New Roman" w:hAnsi="Times New Roman" w:cs="Times New Roman"/>
          <w:sz w:val="24"/>
          <w:szCs w:val="24"/>
        </w:rPr>
      </w:pPr>
    </w:p>
    <w:p w:rsidR="00BB43D1" w:rsidRPr="004569A4" w14:paraId="66A845AA" w14:textId="24F39617">
      <w:pPr>
        <w:ind w:left="2880" w:firstLine="720"/>
        <w:rPr>
          <w:rFonts w:ascii="Times New Roman" w:hAnsi="Times New Roman" w:cs="Times New Roman"/>
          <w:sz w:val="24"/>
          <w:szCs w:val="24"/>
        </w:rPr>
      </w:pPr>
      <w:r w:rsidRPr="004569A4">
        <w:rPr>
          <w:rFonts w:ascii="Times New Roman" w:hAnsi="Times New Roman" w:cs="Times New Roman"/>
          <w:sz w:val="24"/>
          <w:szCs w:val="24"/>
        </w:rPr>
        <w:t>Respectfully submitted,</w:t>
      </w:r>
    </w:p>
    <w:p w:rsidR="00BB43D1" w:rsidRPr="004569A4" w14:paraId="608587BD" w14:textId="77777777">
      <w:pPr>
        <w:ind w:left="2880" w:firstLine="720"/>
        <w:rPr>
          <w:rFonts w:ascii="Times New Roman" w:hAnsi="Times New Roman" w:cs="Times New Roman"/>
          <w:sz w:val="24"/>
          <w:szCs w:val="24"/>
        </w:rPr>
      </w:pPr>
    </w:p>
    <w:p w:rsidR="00BB43D1" w:rsidRPr="004569A4" w14:paraId="7DB53699" w14:textId="77777777">
      <w:pPr>
        <w:pStyle w:val="Footer"/>
        <w:tabs>
          <w:tab w:val="left" w:pos="4320"/>
        </w:tabs>
        <w:ind w:left="3600"/>
        <w:rPr>
          <w:rFonts w:ascii="Times New Roman" w:hAnsi="Times New Roman" w:cs="Times New Roman"/>
          <w:sz w:val="24"/>
          <w:szCs w:val="24"/>
        </w:rPr>
      </w:pPr>
      <w:r w:rsidRPr="004569A4">
        <w:rPr>
          <w:rFonts w:ascii="Times New Roman" w:hAnsi="Times New Roman" w:cs="Times New Roman"/>
          <w:sz w:val="24"/>
          <w:szCs w:val="24"/>
        </w:rPr>
        <w:t>Bruce Weston (0016973)</w:t>
      </w:r>
    </w:p>
    <w:p w:rsidR="00BB43D1" w:rsidRPr="004569A4" w14:paraId="2BFC7CBA" w14:textId="77777777">
      <w:pPr>
        <w:tabs>
          <w:tab w:val="left" w:pos="4320"/>
        </w:tabs>
        <w:ind w:left="3600"/>
        <w:rPr>
          <w:rFonts w:ascii="Times New Roman" w:hAnsi="Times New Roman" w:cs="Times New Roman"/>
          <w:sz w:val="24"/>
          <w:szCs w:val="24"/>
        </w:rPr>
      </w:pPr>
      <w:r w:rsidRPr="004569A4">
        <w:rPr>
          <w:rFonts w:ascii="Times New Roman" w:hAnsi="Times New Roman" w:cs="Times New Roman"/>
          <w:sz w:val="24"/>
          <w:szCs w:val="24"/>
        </w:rPr>
        <w:t>Ohio Consumers’ Counsel</w:t>
      </w:r>
    </w:p>
    <w:p w:rsidR="00BB43D1" w:rsidRPr="004569A4" w14:paraId="1049A9D7" w14:textId="77777777">
      <w:pPr>
        <w:tabs>
          <w:tab w:val="left" w:pos="4320"/>
        </w:tabs>
        <w:ind w:left="3600"/>
        <w:rPr>
          <w:rFonts w:ascii="Times New Roman" w:hAnsi="Times New Roman" w:cs="Times New Roman"/>
          <w:sz w:val="24"/>
          <w:szCs w:val="24"/>
        </w:rPr>
      </w:pPr>
      <w:r w:rsidRPr="004569A4">
        <w:rPr>
          <w:rFonts w:ascii="Times New Roman" w:hAnsi="Times New Roman" w:cs="Times New Roman"/>
          <w:sz w:val="24"/>
          <w:szCs w:val="24"/>
        </w:rPr>
        <w:tab/>
      </w:r>
    </w:p>
    <w:p w:rsidR="00BB43D1" w:rsidRPr="004569A4" w14:paraId="75054E68" w14:textId="77777777">
      <w:pPr>
        <w:ind w:left="3600"/>
        <w:rPr>
          <w:rFonts w:ascii="Times New Roman" w:hAnsi="Times New Roman" w:cs="Times New Roman"/>
          <w:i/>
          <w:iCs/>
          <w:sz w:val="24"/>
          <w:szCs w:val="24"/>
          <w:u w:val="single"/>
        </w:rPr>
      </w:pPr>
      <w:r w:rsidRPr="004569A4">
        <w:rPr>
          <w:rFonts w:ascii="Times New Roman" w:hAnsi="Times New Roman" w:cs="Times New Roman"/>
          <w:i/>
          <w:iCs/>
          <w:sz w:val="24"/>
          <w:szCs w:val="24"/>
          <w:u w:val="single"/>
        </w:rPr>
        <w:t>/s/ Maureen R. Willis</w:t>
      </w:r>
    </w:p>
    <w:p w:rsidR="00BB43D1" w:rsidRPr="004569A4" w14:paraId="679DD98D" w14:textId="7FBFB4BF">
      <w:pPr>
        <w:ind w:left="3600"/>
        <w:rPr>
          <w:rFonts w:ascii="Times New Roman" w:hAnsi="Times New Roman" w:cs="Times New Roman"/>
          <w:sz w:val="24"/>
          <w:szCs w:val="24"/>
        </w:rPr>
      </w:pPr>
      <w:r w:rsidRPr="004569A4">
        <w:rPr>
          <w:rFonts w:ascii="Times New Roman" w:hAnsi="Times New Roman" w:cs="Times New Roman"/>
          <w:sz w:val="24"/>
          <w:szCs w:val="24"/>
        </w:rPr>
        <w:t>Maureen R. Willis (0020847)</w:t>
      </w:r>
    </w:p>
    <w:p w:rsidR="00BB43D1" w:rsidRPr="004569A4" w14:paraId="2DAFD41C" w14:textId="77777777">
      <w:pPr>
        <w:ind w:left="3600"/>
        <w:rPr>
          <w:rFonts w:ascii="Times New Roman" w:hAnsi="Times New Roman" w:cs="Times New Roman"/>
          <w:sz w:val="24"/>
          <w:szCs w:val="24"/>
        </w:rPr>
      </w:pPr>
      <w:r w:rsidRPr="004569A4">
        <w:rPr>
          <w:rFonts w:ascii="Times New Roman" w:hAnsi="Times New Roman" w:cs="Times New Roman"/>
          <w:sz w:val="24"/>
          <w:szCs w:val="24"/>
        </w:rPr>
        <w:t>Senior Counsel</w:t>
      </w:r>
    </w:p>
    <w:p w:rsidR="00BB43D1" w:rsidRPr="004569A4" w14:paraId="4D690080" w14:textId="77777777">
      <w:pPr>
        <w:ind w:left="3600"/>
        <w:rPr>
          <w:rFonts w:ascii="Times New Roman" w:hAnsi="Times New Roman" w:cs="Times New Roman"/>
          <w:sz w:val="24"/>
          <w:szCs w:val="24"/>
        </w:rPr>
      </w:pPr>
      <w:r w:rsidRPr="004569A4">
        <w:rPr>
          <w:rFonts w:ascii="Times New Roman" w:hAnsi="Times New Roman" w:cs="Times New Roman"/>
          <w:sz w:val="24"/>
          <w:szCs w:val="24"/>
        </w:rPr>
        <w:t>Counsel of Record for:</w:t>
      </w:r>
    </w:p>
    <w:p w:rsidR="00BB43D1" w:rsidRPr="004569A4" w14:paraId="065D70C5" w14:textId="78861113">
      <w:pPr>
        <w:ind w:left="3600"/>
        <w:rPr>
          <w:rFonts w:ascii="Times New Roman" w:hAnsi="Times New Roman" w:cs="Times New Roman"/>
          <w:sz w:val="24"/>
          <w:szCs w:val="24"/>
        </w:rPr>
      </w:pPr>
      <w:r w:rsidRPr="004569A4">
        <w:rPr>
          <w:rFonts w:ascii="Times New Roman" w:hAnsi="Times New Roman" w:cs="Times New Roman"/>
          <w:sz w:val="24"/>
          <w:szCs w:val="24"/>
        </w:rPr>
        <w:t>John Finnigan (0018689)</w:t>
      </w:r>
    </w:p>
    <w:p w:rsidR="003D6851" w14:paraId="49BBE226" w14:textId="1C49E8BB">
      <w:pPr>
        <w:ind w:left="3600"/>
        <w:rPr>
          <w:rFonts w:ascii="Times New Roman" w:hAnsi="Times New Roman" w:cs="Times New Roman"/>
          <w:sz w:val="24"/>
          <w:szCs w:val="24"/>
        </w:rPr>
      </w:pPr>
      <w:r w:rsidRPr="004569A4">
        <w:rPr>
          <w:rFonts w:ascii="Times New Roman" w:hAnsi="Times New Roman" w:cs="Times New Roman"/>
          <w:sz w:val="24"/>
          <w:szCs w:val="24"/>
        </w:rPr>
        <w:t>Assistant Consumers’ Counsel</w:t>
      </w:r>
    </w:p>
    <w:p w:rsidR="003D6851" w:rsidRPr="004569A4" w14:paraId="03353E9C" w14:textId="62AFCAAF">
      <w:pPr>
        <w:rPr>
          <w:rFonts w:ascii="Times New Roman" w:hAnsi="Times New Roman" w:cs="Times New Roman"/>
          <w:sz w:val="24"/>
          <w:szCs w:val="24"/>
        </w:rPr>
      </w:pPr>
    </w:p>
    <w:p w:rsidR="00BB43D1" w:rsidRPr="004569A4" w14:paraId="6A529791" w14:textId="667783F6">
      <w:pPr>
        <w:ind w:left="3600"/>
        <w:jc w:val="both"/>
        <w:rPr>
          <w:rFonts w:ascii="Times New Roman" w:hAnsi="Times New Roman" w:cs="Times New Roman"/>
          <w:b/>
          <w:bCs/>
          <w:sz w:val="24"/>
          <w:szCs w:val="24"/>
        </w:rPr>
      </w:pPr>
      <w:r w:rsidRPr="004569A4">
        <w:rPr>
          <w:rFonts w:ascii="Times New Roman" w:hAnsi="Times New Roman" w:cs="Times New Roman"/>
          <w:b/>
          <w:bCs/>
          <w:sz w:val="24"/>
          <w:szCs w:val="24"/>
        </w:rPr>
        <w:t>Office of the Ohio Consumers’ Counsel</w:t>
      </w:r>
    </w:p>
    <w:p w:rsidR="003D6851" w:rsidRPr="004569A4" w14:paraId="120E65F6" w14:textId="5D594214">
      <w:pPr>
        <w:ind w:left="3600"/>
        <w:jc w:val="both"/>
        <w:rPr>
          <w:rFonts w:ascii="Times New Roman" w:hAnsi="Times New Roman" w:cs="Times New Roman"/>
          <w:sz w:val="24"/>
          <w:szCs w:val="24"/>
        </w:rPr>
      </w:pPr>
      <w:r w:rsidRPr="004569A4">
        <w:rPr>
          <w:rFonts w:ascii="Times New Roman" w:hAnsi="Times New Roman" w:cs="Times New Roman"/>
          <w:sz w:val="24"/>
          <w:szCs w:val="24"/>
        </w:rPr>
        <w:t>65 East State Street, Suite 700</w:t>
      </w:r>
    </w:p>
    <w:p w:rsidR="00BB43D1" w:rsidRPr="004569A4" w14:paraId="7D8D8E28" w14:textId="77777777">
      <w:pPr>
        <w:ind w:left="3600"/>
        <w:jc w:val="both"/>
        <w:rPr>
          <w:rFonts w:ascii="Times New Roman" w:hAnsi="Times New Roman" w:cs="Times New Roman"/>
          <w:bCs/>
          <w:sz w:val="24"/>
          <w:szCs w:val="24"/>
        </w:rPr>
      </w:pPr>
      <w:r w:rsidRPr="004569A4">
        <w:rPr>
          <w:rFonts w:ascii="Times New Roman" w:hAnsi="Times New Roman" w:cs="Times New Roman"/>
          <w:bCs/>
          <w:sz w:val="24"/>
          <w:szCs w:val="24"/>
        </w:rPr>
        <w:t>Columbus, Ohio 43215</w:t>
      </w:r>
    </w:p>
    <w:p w:rsidR="00BB43D1" w:rsidRPr="004569A4" w14:paraId="3A9397BB" w14:textId="77777777">
      <w:pPr>
        <w:autoSpaceDE w:val="0"/>
        <w:autoSpaceDN w:val="0"/>
        <w:adjustRightInd w:val="0"/>
        <w:ind w:left="3600"/>
        <w:jc w:val="both"/>
        <w:rPr>
          <w:rFonts w:ascii="Times New Roman" w:hAnsi="Times New Roman" w:cs="Times New Roman"/>
          <w:sz w:val="24"/>
          <w:szCs w:val="24"/>
        </w:rPr>
      </w:pPr>
      <w:r w:rsidRPr="004569A4">
        <w:rPr>
          <w:rFonts w:ascii="Times New Roman" w:hAnsi="Times New Roman" w:cs="Times New Roman"/>
          <w:sz w:val="24"/>
          <w:szCs w:val="24"/>
        </w:rPr>
        <w:t xml:space="preserve">Telephone: (614) 466-9567 (Willis) </w:t>
      </w:r>
    </w:p>
    <w:p w:rsidR="00BB43D1" w:rsidRPr="004569A4" w14:paraId="4B30BCDF" w14:textId="77777777">
      <w:pPr>
        <w:autoSpaceDE w:val="0"/>
        <w:autoSpaceDN w:val="0"/>
        <w:adjustRightInd w:val="0"/>
        <w:ind w:left="3600"/>
        <w:jc w:val="both"/>
        <w:rPr>
          <w:rFonts w:ascii="Times New Roman" w:hAnsi="Times New Roman" w:cs="Times New Roman"/>
          <w:sz w:val="24"/>
          <w:szCs w:val="24"/>
        </w:rPr>
      </w:pPr>
      <w:r w:rsidRPr="004569A4">
        <w:rPr>
          <w:rFonts w:ascii="Times New Roman" w:hAnsi="Times New Roman" w:cs="Times New Roman"/>
          <w:sz w:val="24"/>
          <w:szCs w:val="24"/>
        </w:rPr>
        <w:t>Telephone: (614) 466-9585 (Finnigan)</w:t>
      </w:r>
    </w:p>
    <w:p w:rsidR="00BB43D1" w:rsidRPr="004569A4" w14:paraId="27CA8BFB" w14:textId="77777777">
      <w:pPr>
        <w:autoSpaceDE w:val="0"/>
        <w:autoSpaceDN w:val="0"/>
        <w:adjustRightInd w:val="0"/>
        <w:ind w:left="3600"/>
        <w:jc w:val="both"/>
        <w:rPr>
          <w:rFonts w:ascii="Times New Roman" w:hAnsi="Times New Roman" w:cs="Times New Roman"/>
          <w:sz w:val="24"/>
          <w:szCs w:val="24"/>
        </w:rPr>
      </w:pPr>
      <w:hyperlink r:id="rId6" w:history="1">
        <w:r w:rsidRPr="004569A4" w:rsidR="002F3AD9">
          <w:rPr>
            <w:rStyle w:val="Hyperlink"/>
            <w:rFonts w:ascii="Times New Roman" w:hAnsi="Times New Roman" w:cs="Times New Roman"/>
            <w:sz w:val="24"/>
            <w:szCs w:val="24"/>
          </w:rPr>
          <w:t>Maureen.willis@occ.ohio.gov</w:t>
        </w:r>
      </w:hyperlink>
    </w:p>
    <w:p w:rsidR="00BB43D1" w:rsidRPr="004569A4" w14:paraId="2068F547" w14:textId="77777777">
      <w:pPr>
        <w:ind w:left="3600"/>
        <w:jc w:val="both"/>
        <w:rPr>
          <w:rFonts w:ascii="Times New Roman" w:hAnsi="Times New Roman" w:cs="Times New Roman"/>
          <w:sz w:val="24"/>
          <w:szCs w:val="24"/>
        </w:rPr>
      </w:pPr>
      <w:hyperlink r:id="rId7" w:history="1">
        <w:r w:rsidRPr="004569A4" w:rsidR="002F3AD9">
          <w:rPr>
            <w:rStyle w:val="Hyperlink"/>
            <w:rFonts w:ascii="Times New Roman" w:hAnsi="Times New Roman" w:cs="Times New Roman"/>
            <w:sz w:val="24"/>
            <w:szCs w:val="24"/>
          </w:rPr>
          <w:t>John.finnigan@occ.ohio.gov</w:t>
        </w:r>
      </w:hyperlink>
    </w:p>
    <w:p w:rsidR="00BB43D1" w:rsidRPr="004569A4" w14:paraId="75965724" w14:textId="77777777">
      <w:pPr>
        <w:ind w:left="3600"/>
        <w:jc w:val="both"/>
        <w:rPr>
          <w:rFonts w:ascii="Times New Roman" w:hAnsi="Times New Roman" w:cs="Times New Roman"/>
          <w:sz w:val="24"/>
          <w:szCs w:val="24"/>
        </w:rPr>
      </w:pPr>
      <w:r w:rsidRPr="004569A4">
        <w:rPr>
          <w:rFonts w:ascii="Times New Roman" w:hAnsi="Times New Roman" w:cs="Times New Roman"/>
          <w:sz w:val="24"/>
          <w:szCs w:val="24"/>
        </w:rPr>
        <w:t>(willing to accept service by e-mail)</w:t>
      </w:r>
    </w:p>
    <w:p w:rsidR="00BB43D1" w:rsidRPr="004569A4" w14:paraId="666597C3" w14:textId="77777777">
      <w:pPr>
        <w:ind w:left="3600"/>
        <w:rPr>
          <w:rFonts w:ascii="Times New Roman" w:hAnsi="Times New Roman" w:cs="Times New Roman"/>
          <w:sz w:val="24"/>
          <w:szCs w:val="24"/>
        </w:rPr>
      </w:pPr>
    </w:p>
    <w:p w:rsidR="00BB43D1" w:rsidRPr="004569A4" w14:paraId="627C09C6" w14:textId="77777777">
      <w:pPr>
        <w:ind w:left="3600"/>
        <w:rPr>
          <w:rFonts w:ascii="Times New Roman" w:hAnsi="Times New Roman" w:cs="Times New Roman"/>
          <w:sz w:val="24"/>
          <w:szCs w:val="24"/>
        </w:rPr>
        <w:sectPr>
          <w:headerReference w:type="even" r:id="rId14"/>
          <w:footerReference w:type="even" r:id="rId15"/>
          <w:footerReference w:type="default" r:id="rId16"/>
          <w:pgSz w:w="12240" w:h="15840"/>
          <w:pgMar w:top="1440" w:right="1440" w:bottom="1440" w:left="1440" w:header="1547" w:footer="432" w:gutter="0"/>
          <w:pgNumType w:start="1"/>
          <w:cols w:space="720"/>
          <w:docGrid w:linePitch="299"/>
        </w:sectPr>
      </w:pPr>
    </w:p>
    <w:p w:rsidR="00BB43D1" w:rsidRPr="004569A4" w14:paraId="4B8FED63" w14:textId="77777777">
      <w:pPr>
        <w:jc w:val="center"/>
        <w:rPr>
          <w:rFonts w:ascii="Times New Roman" w:hAnsi="Times New Roman" w:cs="Times New Roman"/>
          <w:b/>
          <w:sz w:val="24"/>
          <w:szCs w:val="24"/>
          <w:u w:val="single"/>
        </w:rPr>
      </w:pPr>
      <w:r w:rsidRPr="004569A4">
        <w:rPr>
          <w:rFonts w:ascii="Times New Roman" w:hAnsi="Times New Roman" w:cs="Times New Roman"/>
          <w:b/>
          <w:sz w:val="24"/>
          <w:szCs w:val="24"/>
          <w:u w:val="single"/>
        </w:rPr>
        <w:t>CERTIFICATE OF SERVICE</w:t>
      </w:r>
    </w:p>
    <w:p w:rsidR="00BB43D1" w:rsidRPr="004569A4" w14:paraId="6B92BD7D" w14:textId="77777777">
      <w:pPr>
        <w:jc w:val="center"/>
        <w:rPr>
          <w:rFonts w:ascii="Times New Roman" w:hAnsi="Times New Roman" w:cs="Times New Roman"/>
          <w:bCs/>
          <w:sz w:val="24"/>
          <w:szCs w:val="24"/>
        </w:rPr>
      </w:pPr>
    </w:p>
    <w:p w:rsidR="00BB43D1" w:rsidRPr="004569A4" w14:paraId="777C4C08" w14:textId="3947E2E9">
      <w:pPr>
        <w:suppressAutoHyphens/>
        <w:spacing w:line="480" w:lineRule="auto"/>
        <w:ind w:firstLine="720"/>
        <w:rPr>
          <w:rFonts w:ascii="Times New Roman" w:hAnsi="Times New Roman" w:cs="Times New Roman"/>
          <w:spacing w:val="-3"/>
          <w:sz w:val="24"/>
          <w:szCs w:val="24"/>
        </w:rPr>
      </w:pPr>
      <w:r w:rsidRPr="004569A4">
        <w:rPr>
          <w:rFonts w:ascii="Times New Roman" w:hAnsi="Times New Roman" w:cs="Times New Roman"/>
          <w:spacing w:val="-3"/>
          <w:sz w:val="24"/>
          <w:szCs w:val="24"/>
        </w:rPr>
        <w:t xml:space="preserve">It is hereby certified that a true copy of the foregoing </w:t>
      </w:r>
      <w:r w:rsidR="00EE43F5">
        <w:rPr>
          <w:rFonts w:ascii="Times New Roman" w:hAnsi="Times New Roman" w:cs="Times New Roman"/>
          <w:spacing w:val="-3"/>
          <w:sz w:val="24"/>
          <w:szCs w:val="24"/>
        </w:rPr>
        <w:t xml:space="preserve">Reply </w:t>
      </w:r>
      <w:r w:rsidRPr="004569A4">
        <w:rPr>
          <w:rFonts w:ascii="Times New Roman" w:hAnsi="Times New Roman" w:cs="Times New Roman"/>
          <w:spacing w:val="-3"/>
          <w:sz w:val="24"/>
          <w:szCs w:val="24"/>
        </w:rPr>
        <w:t xml:space="preserve">Comments served upon the persons listed below by electronic transmission this </w:t>
      </w:r>
      <w:r w:rsidR="00EE43F5">
        <w:rPr>
          <w:rFonts w:ascii="Times New Roman" w:hAnsi="Times New Roman" w:cs="Times New Roman"/>
          <w:spacing w:val="-3"/>
          <w:sz w:val="24"/>
          <w:szCs w:val="24"/>
        </w:rPr>
        <w:t>13</w:t>
      </w:r>
      <w:r w:rsidRPr="004569A4" w:rsidR="007B0CBD">
        <w:rPr>
          <w:rFonts w:ascii="Times New Roman" w:hAnsi="Times New Roman" w:cs="Times New Roman"/>
          <w:spacing w:val="-3"/>
          <w:sz w:val="24"/>
          <w:szCs w:val="24"/>
        </w:rPr>
        <w:t>th</w:t>
      </w:r>
      <w:r w:rsidRPr="004569A4">
        <w:rPr>
          <w:rFonts w:ascii="Times New Roman" w:hAnsi="Times New Roman" w:cs="Times New Roman"/>
          <w:spacing w:val="-3"/>
          <w:sz w:val="24"/>
          <w:szCs w:val="24"/>
        </w:rPr>
        <w:t xml:space="preserve"> day of </w:t>
      </w:r>
      <w:r w:rsidRPr="004569A4" w:rsidR="007B0CBD">
        <w:rPr>
          <w:rFonts w:ascii="Times New Roman" w:hAnsi="Times New Roman" w:cs="Times New Roman"/>
          <w:spacing w:val="-3"/>
          <w:sz w:val="24"/>
          <w:szCs w:val="24"/>
        </w:rPr>
        <w:t>Dec</w:t>
      </w:r>
      <w:r w:rsidRPr="004569A4">
        <w:rPr>
          <w:rFonts w:ascii="Times New Roman" w:hAnsi="Times New Roman" w:cs="Times New Roman"/>
          <w:spacing w:val="-3"/>
          <w:sz w:val="24"/>
          <w:szCs w:val="24"/>
        </w:rPr>
        <w:t>ember 2021.</w:t>
      </w:r>
    </w:p>
    <w:p w:rsidR="00BB43D1" w:rsidRPr="004569A4" w14:paraId="767DD733" w14:textId="77777777">
      <w:pPr>
        <w:pStyle w:val="EndnoteText"/>
        <w:widowControl/>
        <w:rPr>
          <w:rFonts w:ascii="Times New Roman" w:hAnsi="Times New Roman"/>
          <w:snapToGrid/>
          <w:szCs w:val="24"/>
        </w:rPr>
      </w:pPr>
      <w:r w:rsidRPr="004569A4">
        <w:rPr>
          <w:rFonts w:ascii="Times New Roman" w:hAnsi="Times New Roman"/>
          <w:snapToGrid/>
          <w:szCs w:val="24"/>
        </w:rPr>
        <w:tab/>
      </w:r>
      <w:r w:rsidRPr="004569A4">
        <w:rPr>
          <w:rFonts w:ascii="Times New Roman" w:hAnsi="Times New Roman"/>
          <w:snapToGrid/>
          <w:szCs w:val="24"/>
        </w:rPr>
        <w:tab/>
      </w:r>
      <w:r w:rsidRPr="004569A4">
        <w:rPr>
          <w:rFonts w:ascii="Times New Roman" w:hAnsi="Times New Roman"/>
          <w:snapToGrid/>
          <w:szCs w:val="24"/>
        </w:rPr>
        <w:tab/>
      </w:r>
      <w:r w:rsidRPr="004569A4">
        <w:rPr>
          <w:rFonts w:ascii="Times New Roman" w:hAnsi="Times New Roman"/>
          <w:snapToGrid/>
          <w:szCs w:val="24"/>
        </w:rPr>
        <w:tab/>
      </w:r>
      <w:r w:rsidRPr="004569A4">
        <w:rPr>
          <w:rFonts w:ascii="Times New Roman" w:hAnsi="Times New Roman"/>
          <w:snapToGrid/>
          <w:szCs w:val="24"/>
        </w:rPr>
        <w:tab/>
      </w:r>
      <w:r w:rsidRPr="004569A4">
        <w:rPr>
          <w:rFonts w:ascii="Times New Roman" w:hAnsi="Times New Roman"/>
          <w:snapToGrid/>
          <w:szCs w:val="24"/>
        </w:rPr>
        <w:tab/>
      </w:r>
      <w:r w:rsidRPr="004569A4">
        <w:rPr>
          <w:rFonts w:ascii="Times New Roman" w:hAnsi="Times New Roman"/>
          <w:snapToGrid/>
          <w:szCs w:val="24"/>
        </w:rPr>
        <w:tab/>
      </w:r>
      <w:r w:rsidRPr="004569A4">
        <w:rPr>
          <w:rFonts w:ascii="Times New Roman" w:hAnsi="Times New Roman"/>
          <w:i/>
          <w:iCs/>
          <w:snapToGrid/>
          <w:szCs w:val="24"/>
          <w:u w:val="single"/>
        </w:rPr>
        <w:t>/s/ Maureen R. Willis</w:t>
      </w:r>
      <w:r w:rsidRPr="004569A4">
        <w:rPr>
          <w:rFonts w:ascii="Times New Roman" w:hAnsi="Times New Roman"/>
          <w:snapToGrid/>
          <w:szCs w:val="24"/>
        </w:rPr>
        <w:tab/>
      </w:r>
      <w:r w:rsidRPr="004569A4">
        <w:rPr>
          <w:rFonts w:ascii="Times New Roman" w:hAnsi="Times New Roman"/>
          <w:snapToGrid/>
          <w:szCs w:val="24"/>
        </w:rPr>
        <w:tab/>
      </w:r>
      <w:r w:rsidRPr="004569A4">
        <w:rPr>
          <w:rFonts w:ascii="Times New Roman" w:hAnsi="Times New Roman"/>
          <w:snapToGrid/>
          <w:szCs w:val="24"/>
        </w:rPr>
        <w:tab/>
      </w:r>
      <w:r w:rsidRPr="004569A4">
        <w:rPr>
          <w:rFonts w:ascii="Times New Roman" w:hAnsi="Times New Roman"/>
          <w:snapToGrid/>
          <w:szCs w:val="24"/>
        </w:rPr>
        <w:tab/>
      </w:r>
      <w:r w:rsidRPr="004569A4">
        <w:rPr>
          <w:rFonts w:ascii="Times New Roman" w:hAnsi="Times New Roman"/>
          <w:snapToGrid/>
          <w:szCs w:val="24"/>
        </w:rPr>
        <w:tab/>
      </w:r>
      <w:r w:rsidRPr="004569A4">
        <w:rPr>
          <w:rFonts w:ascii="Times New Roman" w:hAnsi="Times New Roman"/>
          <w:snapToGrid/>
          <w:szCs w:val="24"/>
        </w:rPr>
        <w:tab/>
      </w:r>
      <w:r w:rsidRPr="004569A4">
        <w:rPr>
          <w:rFonts w:ascii="Times New Roman" w:hAnsi="Times New Roman"/>
          <w:snapToGrid/>
          <w:szCs w:val="24"/>
        </w:rPr>
        <w:tab/>
      </w:r>
      <w:r w:rsidRPr="004569A4">
        <w:rPr>
          <w:rFonts w:ascii="Times New Roman" w:hAnsi="Times New Roman"/>
          <w:snapToGrid/>
          <w:szCs w:val="24"/>
        </w:rPr>
        <w:tab/>
      </w:r>
      <w:r w:rsidRPr="004569A4">
        <w:rPr>
          <w:rFonts w:ascii="Times New Roman" w:hAnsi="Times New Roman"/>
          <w:snapToGrid/>
          <w:szCs w:val="24"/>
        </w:rPr>
        <w:tab/>
      </w:r>
      <w:r w:rsidRPr="004569A4">
        <w:rPr>
          <w:rFonts w:ascii="Times New Roman" w:hAnsi="Times New Roman"/>
          <w:snapToGrid/>
          <w:szCs w:val="24"/>
        </w:rPr>
        <w:tab/>
      </w:r>
      <w:r w:rsidRPr="004569A4">
        <w:rPr>
          <w:rFonts w:ascii="Times New Roman" w:hAnsi="Times New Roman"/>
          <w:snapToGrid/>
          <w:szCs w:val="24"/>
        </w:rPr>
        <w:tab/>
        <w:t>Maureen R. Willis</w:t>
      </w:r>
      <w:r w:rsidRPr="004569A4">
        <w:rPr>
          <w:rFonts w:ascii="Times New Roman" w:hAnsi="Times New Roman"/>
          <w:snapToGrid/>
          <w:szCs w:val="24"/>
        </w:rPr>
        <w:tab/>
      </w:r>
      <w:r w:rsidRPr="004569A4">
        <w:rPr>
          <w:rFonts w:ascii="Times New Roman" w:hAnsi="Times New Roman"/>
          <w:snapToGrid/>
          <w:szCs w:val="24"/>
        </w:rPr>
        <w:tab/>
      </w:r>
      <w:r w:rsidRPr="004569A4">
        <w:rPr>
          <w:rFonts w:ascii="Times New Roman" w:hAnsi="Times New Roman"/>
          <w:snapToGrid/>
          <w:szCs w:val="24"/>
        </w:rPr>
        <w:tab/>
      </w:r>
      <w:r w:rsidRPr="004569A4">
        <w:rPr>
          <w:rFonts w:ascii="Times New Roman" w:hAnsi="Times New Roman"/>
          <w:snapToGrid/>
          <w:szCs w:val="24"/>
        </w:rPr>
        <w:tab/>
      </w:r>
    </w:p>
    <w:p w:rsidR="00BB43D1" w:rsidRPr="004569A4" w14:paraId="54B5A8F3" w14:textId="77777777">
      <w:pPr>
        <w:pStyle w:val="EndnoteText"/>
        <w:widowControl/>
        <w:ind w:left="4320" w:firstLine="720"/>
        <w:rPr>
          <w:rFonts w:ascii="Times New Roman" w:hAnsi="Times New Roman"/>
          <w:snapToGrid/>
          <w:szCs w:val="24"/>
        </w:rPr>
      </w:pPr>
      <w:r w:rsidRPr="004569A4">
        <w:rPr>
          <w:rFonts w:ascii="Times New Roman" w:hAnsi="Times New Roman"/>
          <w:snapToGrid/>
          <w:szCs w:val="24"/>
        </w:rPr>
        <w:t>Senior Counsel</w:t>
      </w:r>
    </w:p>
    <w:p w:rsidR="00BB43D1" w:rsidRPr="004569A4" w14:paraId="581F61FF" w14:textId="77777777">
      <w:pPr>
        <w:pStyle w:val="EndnoteText"/>
        <w:widowControl/>
        <w:rPr>
          <w:rFonts w:ascii="Times New Roman" w:hAnsi="Times New Roman"/>
          <w:snapToGrid/>
          <w:szCs w:val="24"/>
        </w:rPr>
      </w:pPr>
      <w:r w:rsidRPr="004569A4">
        <w:rPr>
          <w:rFonts w:ascii="Times New Roman" w:hAnsi="Times New Roman"/>
          <w:snapToGrid/>
          <w:szCs w:val="24"/>
        </w:rPr>
        <w:tab/>
      </w:r>
      <w:r w:rsidRPr="004569A4">
        <w:rPr>
          <w:rFonts w:ascii="Times New Roman" w:hAnsi="Times New Roman"/>
          <w:snapToGrid/>
          <w:szCs w:val="24"/>
        </w:rPr>
        <w:tab/>
      </w:r>
      <w:r w:rsidRPr="004569A4">
        <w:rPr>
          <w:rFonts w:ascii="Times New Roman" w:hAnsi="Times New Roman"/>
          <w:snapToGrid/>
          <w:szCs w:val="24"/>
        </w:rPr>
        <w:tab/>
      </w:r>
      <w:r w:rsidRPr="004569A4">
        <w:rPr>
          <w:rFonts w:ascii="Times New Roman" w:hAnsi="Times New Roman"/>
          <w:snapToGrid/>
          <w:szCs w:val="24"/>
        </w:rPr>
        <w:tab/>
      </w:r>
      <w:r w:rsidRPr="004569A4">
        <w:rPr>
          <w:rFonts w:ascii="Times New Roman" w:hAnsi="Times New Roman"/>
          <w:snapToGrid/>
          <w:szCs w:val="24"/>
        </w:rPr>
        <w:tab/>
      </w:r>
      <w:r w:rsidRPr="004569A4">
        <w:rPr>
          <w:rFonts w:ascii="Times New Roman" w:hAnsi="Times New Roman"/>
          <w:snapToGrid/>
          <w:szCs w:val="24"/>
        </w:rPr>
        <w:tab/>
      </w:r>
      <w:r w:rsidRPr="004569A4">
        <w:rPr>
          <w:rFonts w:ascii="Times New Roman" w:hAnsi="Times New Roman"/>
          <w:snapToGrid/>
          <w:szCs w:val="24"/>
        </w:rPr>
        <w:tab/>
        <w:t>Assistant Consumers’ Counsel</w:t>
      </w:r>
    </w:p>
    <w:p w:rsidR="00BB43D1" w:rsidRPr="004569A4" w14:paraId="46FF46CF" w14:textId="77777777">
      <w:pPr>
        <w:pStyle w:val="EndnoteText"/>
        <w:widowControl/>
        <w:rPr>
          <w:rFonts w:ascii="Times New Roman" w:hAnsi="Times New Roman"/>
          <w:snapToGrid/>
          <w:szCs w:val="24"/>
        </w:rPr>
      </w:pPr>
    </w:p>
    <w:p w:rsidR="00BB43D1" w:rsidRPr="004569A4" w14:paraId="4A4C3E80" w14:textId="77777777">
      <w:pPr>
        <w:suppressLineNumbers/>
        <w:ind w:left="810"/>
        <w:rPr>
          <w:rFonts w:ascii="Times New Roman" w:hAnsi="Times New Roman" w:cs="Times New Roman"/>
          <w:sz w:val="24"/>
          <w:szCs w:val="24"/>
          <w:u w:val="single"/>
        </w:rPr>
      </w:pPr>
    </w:p>
    <w:p w:rsidR="00BB43D1" w:rsidRPr="004569A4" w14:paraId="6A06A364" w14:textId="77777777">
      <w:pPr>
        <w:suppressLineNumbers/>
        <w:rPr>
          <w:rFonts w:ascii="Times New Roman" w:hAnsi="Times New Roman" w:cs="Times New Roman"/>
          <w:sz w:val="24"/>
          <w:szCs w:val="24"/>
        </w:rPr>
      </w:pPr>
      <w:r w:rsidRPr="004569A4">
        <w:rPr>
          <w:rFonts w:ascii="Times New Roman" w:hAnsi="Times New Roman" w:cs="Times New Roman"/>
          <w:sz w:val="24"/>
          <w:szCs w:val="24"/>
        </w:rPr>
        <w:t>The PUCO’s e-filing system will electronically serve notice of the filing of this document on the following parties:</w:t>
      </w:r>
    </w:p>
    <w:p w:rsidR="00BB43D1" w:rsidRPr="004569A4" w14:paraId="1BB72CF0" w14:textId="77777777">
      <w:pPr>
        <w:pStyle w:val="EndnoteText"/>
        <w:widowControl/>
        <w:rPr>
          <w:rFonts w:ascii="Times New Roman" w:hAnsi="Times New Roman"/>
          <w:snapToGrid/>
          <w:szCs w:val="24"/>
        </w:rPr>
      </w:pPr>
    </w:p>
    <w:p w:rsidR="00BB43D1" w:rsidRPr="004569A4" w14:paraId="5D43C575" w14:textId="77777777">
      <w:pPr>
        <w:jc w:val="center"/>
        <w:rPr>
          <w:rFonts w:ascii="Times New Roman" w:hAnsi="Times New Roman" w:cs="Times New Roman"/>
          <w:b/>
          <w:bCs/>
          <w:sz w:val="24"/>
          <w:szCs w:val="24"/>
          <w:u w:val="single"/>
        </w:rPr>
      </w:pPr>
    </w:p>
    <w:p w:rsidR="00BB43D1" w:rsidRPr="004569A4" w14:paraId="0BFB0448" w14:textId="77777777">
      <w:pPr>
        <w:pStyle w:val="CommentText"/>
        <w:rPr>
          <w:rFonts w:ascii="Times New Roman" w:hAnsi="Times New Roman" w:cs="Times New Roman"/>
          <w:sz w:val="24"/>
          <w:szCs w:val="24"/>
        </w:rPr>
      </w:pPr>
    </w:p>
    <w:p w:rsidR="00BB43D1" w:rsidRPr="004569A4" w14:paraId="37DFEB6A" w14:textId="77777777">
      <w:pPr>
        <w:pStyle w:val="CommentText"/>
        <w:jc w:val="center"/>
        <w:rPr>
          <w:rFonts w:ascii="Times New Roman" w:hAnsi="Times New Roman" w:cs="Times New Roman"/>
          <w:b/>
          <w:sz w:val="24"/>
          <w:szCs w:val="24"/>
          <w:u w:val="single"/>
        </w:rPr>
      </w:pPr>
      <w:r w:rsidRPr="004569A4">
        <w:rPr>
          <w:rFonts w:ascii="Times New Roman" w:hAnsi="Times New Roman" w:cs="Times New Roman"/>
          <w:b/>
          <w:sz w:val="24"/>
          <w:szCs w:val="24"/>
          <w:u w:val="single"/>
        </w:rPr>
        <w:t>SERVICE LIST</w:t>
      </w:r>
    </w:p>
    <w:p w:rsidR="00BB43D1" w:rsidRPr="004569A4" w14:paraId="24571042" w14:textId="77777777">
      <w:pPr>
        <w:pStyle w:val="CommentText"/>
        <w:jc w:val="center"/>
        <w:rPr>
          <w:rFonts w:ascii="Times New Roman" w:hAnsi="Times New Roman" w:cs="Times New Roman"/>
          <w:b/>
          <w:sz w:val="24"/>
          <w:szCs w:val="24"/>
          <w:u w:val="single"/>
        </w:rPr>
      </w:pPr>
    </w:p>
    <w:p w:rsidR="00BB43D1" w:rsidRPr="004569A4" w14:paraId="3B178A25" w14:textId="77777777">
      <w:pPr>
        <w:pStyle w:val="CommentText"/>
        <w:jc w:val="center"/>
        <w:rPr>
          <w:rFonts w:ascii="Times New Roman" w:hAnsi="Times New Roman" w:cs="Times New Roman"/>
          <w:b/>
          <w:sz w:val="24"/>
          <w:szCs w:val="24"/>
          <w:u w:val="single"/>
        </w:rPr>
      </w:pPr>
      <w:bookmarkStart w:id="14" w:name="_Hlk73086069"/>
    </w:p>
    <w:tbl>
      <w:tblPr>
        <w:tblW w:w="0" w:type="auto"/>
        <w:tblLook w:val="04A0"/>
      </w:tblPr>
      <w:tblGrid>
        <w:gridCol w:w="4428"/>
        <w:gridCol w:w="4428"/>
      </w:tblGrid>
      <w:tr w14:paraId="46D17259" w14:textId="77777777">
        <w:tblPrEx>
          <w:tblW w:w="0" w:type="auto"/>
          <w:tblLook w:val="04A0"/>
        </w:tblPrEx>
        <w:tc>
          <w:tcPr>
            <w:tcW w:w="4428" w:type="dxa"/>
          </w:tcPr>
          <w:p w:rsidR="00BB43D1" w:rsidRPr="004569A4" w14:paraId="111B82F0" w14:textId="77777777">
            <w:pPr>
              <w:autoSpaceDE w:val="0"/>
              <w:autoSpaceDN w:val="0"/>
              <w:adjustRightInd w:val="0"/>
              <w:rPr>
                <w:rStyle w:val="Hyperlink"/>
                <w:rFonts w:ascii="Times New Roman" w:eastAsia="Calibri" w:hAnsi="Times New Roman" w:cs="Times New Roman"/>
                <w:bCs/>
                <w:sz w:val="24"/>
                <w:szCs w:val="24"/>
              </w:rPr>
            </w:pPr>
            <w:hyperlink r:id="rId17" w:history="1">
              <w:r w:rsidRPr="004569A4" w:rsidR="002F3AD9">
                <w:rPr>
                  <w:rStyle w:val="Hyperlink"/>
                  <w:rFonts w:ascii="Times New Roman" w:eastAsia="Calibri" w:hAnsi="Times New Roman" w:cs="Times New Roman"/>
                  <w:bCs/>
                  <w:sz w:val="24"/>
                  <w:szCs w:val="24"/>
                </w:rPr>
                <w:t>thomas.lindgren@ohioAGO.gov</w:t>
              </w:r>
            </w:hyperlink>
          </w:p>
          <w:p w:rsidR="00BB43D1" w:rsidRPr="004569A4" w14:paraId="677AEE54" w14:textId="77777777">
            <w:pPr>
              <w:autoSpaceDE w:val="0"/>
              <w:autoSpaceDN w:val="0"/>
              <w:adjustRightInd w:val="0"/>
              <w:rPr>
                <w:rStyle w:val="Hyperlink"/>
                <w:rFonts w:ascii="Times New Roman" w:eastAsia="Calibri" w:hAnsi="Times New Roman" w:cs="Times New Roman"/>
                <w:bCs/>
                <w:sz w:val="24"/>
                <w:szCs w:val="24"/>
              </w:rPr>
            </w:pPr>
            <w:hyperlink r:id="rId18" w:history="1">
              <w:r w:rsidRPr="004569A4" w:rsidR="002F3AD9">
                <w:rPr>
                  <w:rStyle w:val="Hyperlink"/>
                  <w:rFonts w:ascii="Times New Roman" w:eastAsia="Calibri" w:hAnsi="Times New Roman" w:cs="Times New Roman"/>
                  <w:bCs/>
                  <w:sz w:val="24"/>
                  <w:szCs w:val="24"/>
                </w:rPr>
                <w:t>werner.margard@ohioAGO.gov</w:t>
              </w:r>
            </w:hyperlink>
          </w:p>
          <w:p w:rsidR="00BB43D1" w:rsidRPr="004569A4" w14:paraId="7215EEBE" w14:textId="77777777">
            <w:pPr>
              <w:autoSpaceDE w:val="0"/>
              <w:autoSpaceDN w:val="0"/>
              <w:adjustRightInd w:val="0"/>
              <w:rPr>
                <w:rFonts w:ascii="Times New Roman" w:hAnsi="Times New Roman" w:cs="Times New Roman"/>
                <w:sz w:val="24"/>
                <w:szCs w:val="24"/>
              </w:rPr>
            </w:pPr>
            <w:hyperlink r:id="rId19" w:history="1">
              <w:r w:rsidRPr="004569A4" w:rsidR="002F3AD9">
                <w:rPr>
                  <w:rStyle w:val="Hyperlink"/>
                  <w:rFonts w:ascii="Times New Roman" w:eastAsia="Calibri" w:hAnsi="Times New Roman" w:cs="Times New Roman"/>
                  <w:sz w:val="24"/>
                  <w:szCs w:val="24"/>
                </w:rPr>
                <w:t>joliker@igsenergy.com</w:t>
              </w:r>
            </w:hyperlink>
          </w:p>
          <w:p w:rsidR="00BB43D1" w:rsidRPr="004569A4" w14:paraId="4E74F43F" w14:textId="77777777">
            <w:pPr>
              <w:autoSpaceDE w:val="0"/>
              <w:autoSpaceDN w:val="0"/>
              <w:adjustRightInd w:val="0"/>
              <w:rPr>
                <w:rStyle w:val="Hyperlink"/>
                <w:rFonts w:ascii="Times New Roman" w:eastAsia="Calibri" w:hAnsi="Times New Roman" w:cs="Times New Roman"/>
                <w:sz w:val="24"/>
                <w:szCs w:val="24"/>
              </w:rPr>
            </w:pPr>
            <w:hyperlink r:id="rId20" w:history="1">
              <w:r w:rsidRPr="004569A4" w:rsidR="002F3AD9">
                <w:rPr>
                  <w:rStyle w:val="Hyperlink"/>
                  <w:rFonts w:ascii="Times New Roman" w:eastAsia="Calibri" w:hAnsi="Times New Roman" w:cs="Times New Roman"/>
                  <w:sz w:val="24"/>
                  <w:szCs w:val="24"/>
                </w:rPr>
                <w:t>Mnugent@igsenergy.com</w:t>
              </w:r>
            </w:hyperlink>
          </w:p>
          <w:p w:rsidR="00BB43D1" w:rsidRPr="004569A4" w14:paraId="77CAED39" w14:textId="77777777">
            <w:pPr>
              <w:autoSpaceDE w:val="0"/>
              <w:autoSpaceDN w:val="0"/>
              <w:adjustRightInd w:val="0"/>
              <w:rPr>
                <w:rStyle w:val="Hyperlink"/>
                <w:rFonts w:ascii="Times New Roman" w:hAnsi="Times New Roman" w:cs="Times New Roman"/>
                <w:sz w:val="24"/>
                <w:szCs w:val="24"/>
              </w:rPr>
            </w:pPr>
            <w:hyperlink r:id="rId21" w:history="1">
              <w:r w:rsidRPr="004569A4" w:rsidR="002F3AD9">
                <w:rPr>
                  <w:rStyle w:val="Hyperlink"/>
                  <w:rFonts w:ascii="Times New Roman" w:hAnsi="Times New Roman" w:cs="Times New Roman"/>
                  <w:sz w:val="24"/>
                  <w:szCs w:val="24"/>
                </w:rPr>
                <w:t>bethany.allen@igs.com</w:t>
              </w:r>
            </w:hyperlink>
          </w:p>
          <w:p w:rsidR="00BB43D1" w:rsidRPr="004569A4" w14:paraId="3EFBA9D4" w14:textId="77777777">
            <w:pPr>
              <w:autoSpaceDE w:val="0"/>
              <w:autoSpaceDN w:val="0"/>
              <w:adjustRightInd w:val="0"/>
              <w:rPr>
                <w:rFonts w:ascii="Times New Roman" w:hAnsi="Times New Roman" w:cs="Times New Roman"/>
                <w:color w:val="0000FF"/>
                <w:sz w:val="24"/>
                <w:szCs w:val="24"/>
              </w:rPr>
            </w:pPr>
            <w:hyperlink r:id="rId22" w:history="1">
              <w:r w:rsidRPr="004569A4" w:rsidR="002F3AD9">
                <w:rPr>
                  <w:rStyle w:val="Hyperlink"/>
                  <w:rFonts w:ascii="Times New Roman" w:hAnsi="Times New Roman" w:cs="Times New Roman"/>
                  <w:sz w:val="24"/>
                  <w:szCs w:val="24"/>
                </w:rPr>
                <w:t>evan.betterton@igs.com</w:t>
              </w:r>
            </w:hyperlink>
          </w:p>
          <w:p w:rsidR="00BB43D1" w:rsidRPr="004569A4" w14:paraId="57AF0940" w14:textId="77777777">
            <w:pPr>
              <w:autoSpaceDE w:val="0"/>
              <w:autoSpaceDN w:val="0"/>
              <w:adjustRightInd w:val="0"/>
              <w:rPr>
                <w:rFonts w:ascii="Times New Roman" w:hAnsi="Times New Roman" w:cs="Times New Roman"/>
                <w:color w:val="0000FF"/>
                <w:sz w:val="24"/>
                <w:szCs w:val="24"/>
              </w:rPr>
            </w:pPr>
            <w:hyperlink r:id="rId23" w:history="1">
              <w:r w:rsidRPr="004569A4" w:rsidR="002F3AD9">
                <w:rPr>
                  <w:rStyle w:val="Hyperlink"/>
                  <w:rFonts w:ascii="Times New Roman" w:hAnsi="Times New Roman" w:cs="Times New Roman"/>
                  <w:sz w:val="24"/>
                  <w:szCs w:val="24"/>
                </w:rPr>
                <w:t>gkrassen@bricker.com</w:t>
              </w:r>
            </w:hyperlink>
          </w:p>
          <w:p w:rsidR="00BB43D1" w:rsidRPr="004569A4" w14:paraId="7102B0EB" w14:textId="77777777">
            <w:pPr>
              <w:autoSpaceDE w:val="0"/>
              <w:autoSpaceDN w:val="0"/>
              <w:adjustRightInd w:val="0"/>
              <w:rPr>
                <w:rStyle w:val="Hyperlink"/>
                <w:rFonts w:ascii="Times New Roman" w:hAnsi="Times New Roman" w:cs="Times New Roman"/>
                <w:sz w:val="24"/>
                <w:szCs w:val="24"/>
              </w:rPr>
            </w:pPr>
            <w:hyperlink r:id="rId24" w:history="1">
              <w:r w:rsidRPr="004569A4" w:rsidR="002F3AD9">
                <w:rPr>
                  <w:rStyle w:val="Hyperlink"/>
                  <w:rFonts w:ascii="Times New Roman" w:hAnsi="Times New Roman" w:cs="Times New Roman"/>
                  <w:sz w:val="24"/>
                  <w:szCs w:val="24"/>
                </w:rPr>
                <w:t>dstinson@bricker.com</w:t>
              </w:r>
            </w:hyperlink>
          </w:p>
          <w:p w:rsidR="00BB43D1" w:rsidRPr="004569A4" w14:paraId="0F4A0AF4" w14:textId="77777777">
            <w:pPr>
              <w:autoSpaceDE w:val="0"/>
              <w:autoSpaceDN w:val="0"/>
              <w:adjustRightInd w:val="0"/>
              <w:rPr>
                <w:rFonts w:ascii="Times New Roman" w:hAnsi="Times New Roman" w:cs="Times New Roman"/>
                <w:color w:val="0000FF"/>
                <w:sz w:val="24"/>
                <w:szCs w:val="24"/>
              </w:rPr>
            </w:pPr>
            <w:hyperlink r:id="rId25" w:history="1">
              <w:r w:rsidRPr="004569A4" w:rsidR="002F3AD9">
                <w:rPr>
                  <w:rStyle w:val="Hyperlink"/>
                  <w:rFonts w:ascii="Times New Roman" w:hAnsi="Times New Roman" w:cs="Times New Roman"/>
                  <w:sz w:val="24"/>
                  <w:szCs w:val="24"/>
                </w:rPr>
                <w:t>whitt@whitt-sturtevant.com</w:t>
              </w:r>
            </w:hyperlink>
          </w:p>
          <w:p w:rsidR="00BB43D1" w:rsidRPr="004569A4" w14:paraId="2692F58E" w14:textId="77777777">
            <w:pPr>
              <w:autoSpaceDE w:val="0"/>
              <w:autoSpaceDN w:val="0"/>
              <w:adjustRightInd w:val="0"/>
              <w:rPr>
                <w:rStyle w:val="Hyperlink"/>
                <w:rFonts w:ascii="Times New Roman" w:hAnsi="Times New Roman" w:cs="Times New Roman"/>
                <w:sz w:val="24"/>
                <w:szCs w:val="24"/>
              </w:rPr>
            </w:pPr>
            <w:hyperlink r:id="rId26" w:history="1">
              <w:r w:rsidRPr="004569A4" w:rsidR="002F3AD9">
                <w:rPr>
                  <w:rStyle w:val="Hyperlink"/>
                  <w:rFonts w:ascii="Times New Roman" w:hAnsi="Times New Roman" w:cs="Times New Roman"/>
                  <w:sz w:val="24"/>
                  <w:szCs w:val="24"/>
                </w:rPr>
                <w:t>fykes@whitt-sturtevant.com</w:t>
              </w:r>
            </w:hyperlink>
          </w:p>
          <w:p w:rsidR="00BB43D1" w:rsidRPr="004569A4" w14:paraId="6EE303ED" w14:textId="77777777">
            <w:pPr>
              <w:pStyle w:val="BodyText"/>
              <w:ind w:left="0"/>
              <w:rPr>
                <w:rFonts w:cs="Times New Roman"/>
                <w:sz w:val="24"/>
                <w:szCs w:val="24"/>
              </w:rPr>
            </w:pPr>
            <w:hyperlink r:id="rId27" w:history="1">
              <w:r w:rsidRPr="004569A4" w:rsidR="002F3AD9">
                <w:rPr>
                  <w:rStyle w:val="Hyperlink"/>
                  <w:rFonts w:cs="Times New Roman"/>
                  <w:sz w:val="24"/>
                  <w:szCs w:val="24"/>
                </w:rPr>
                <w:t>mfleisher@dickinsonwright.com</w:t>
              </w:r>
            </w:hyperlink>
          </w:p>
          <w:p w:rsidR="00BB43D1" w:rsidRPr="004569A4" w14:paraId="161A95E8" w14:textId="77777777">
            <w:pPr>
              <w:pStyle w:val="BodyText"/>
              <w:ind w:left="0"/>
              <w:rPr>
                <w:rStyle w:val="Hyperlink"/>
                <w:rFonts w:cs="Times New Roman"/>
                <w:sz w:val="24"/>
                <w:szCs w:val="24"/>
              </w:rPr>
            </w:pPr>
            <w:hyperlink r:id="rId28" w:history="1">
              <w:r w:rsidRPr="004569A4" w:rsidR="002F3AD9">
                <w:rPr>
                  <w:rStyle w:val="Hyperlink"/>
                  <w:rFonts w:cs="Times New Roman"/>
                  <w:sz w:val="24"/>
                  <w:szCs w:val="24"/>
                </w:rPr>
                <w:t>mwise@mcdonaldhopkins.com</w:t>
              </w:r>
            </w:hyperlink>
          </w:p>
          <w:p w:rsidR="00BB43D1" w:rsidRPr="004569A4" w14:paraId="14F5B409" w14:textId="77777777">
            <w:pPr>
              <w:autoSpaceDE w:val="0"/>
              <w:autoSpaceDN w:val="0"/>
              <w:adjustRightInd w:val="0"/>
              <w:rPr>
                <w:rFonts w:ascii="Times New Roman" w:hAnsi="Times New Roman" w:cs="Times New Roman"/>
                <w:sz w:val="24"/>
                <w:szCs w:val="24"/>
              </w:rPr>
            </w:pPr>
            <w:hyperlink r:id="rId25" w:history="1">
              <w:r w:rsidRPr="004569A4" w:rsidR="002F3AD9">
                <w:rPr>
                  <w:rStyle w:val="Hyperlink"/>
                  <w:rFonts w:ascii="Times New Roman" w:hAnsi="Times New Roman" w:cs="Times New Roman"/>
                  <w:sz w:val="24"/>
                  <w:szCs w:val="24"/>
                </w:rPr>
                <w:t>whitt@whitt-sturtevant.com</w:t>
              </w:r>
            </w:hyperlink>
          </w:p>
          <w:p w:rsidR="00BB43D1" w:rsidRPr="004569A4" w14:paraId="31086D13" w14:textId="77777777">
            <w:pPr>
              <w:pStyle w:val="BodyText"/>
              <w:ind w:left="0"/>
              <w:rPr>
                <w:rFonts w:cs="Times New Roman"/>
                <w:sz w:val="24"/>
                <w:szCs w:val="24"/>
              </w:rPr>
            </w:pPr>
            <w:hyperlink r:id="rId26" w:history="1">
              <w:r w:rsidRPr="004569A4" w:rsidR="002F3AD9">
                <w:rPr>
                  <w:rStyle w:val="Hyperlink"/>
                  <w:rFonts w:cs="Times New Roman"/>
                  <w:sz w:val="24"/>
                  <w:szCs w:val="24"/>
                </w:rPr>
                <w:t>fykes@whitt-sturtevant.com</w:t>
              </w:r>
            </w:hyperlink>
          </w:p>
          <w:p w:rsidR="00BB43D1" w:rsidRPr="004569A4" w14:paraId="2B4D4766" w14:textId="77777777">
            <w:pPr>
              <w:pStyle w:val="BodyText"/>
              <w:rPr>
                <w:rFonts w:cs="Times New Roman"/>
                <w:color w:val="0000FF"/>
                <w:sz w:val="24"/>
                <w:szCs w:val="24"/>
              </w:rPr>
            </w:pPr>
          </w:p>
          <w:p w:rsidR="00BB43D1" w:rsidRPr="004569A4" w14:paraId="4EB8D132" w14:textId="77777777">
            <w:pPr>
              <w:pStyle w:val="BodyText"/>
              <w:suppressLineNumbers/>
              <w:rPr>
                <w:rFonts w:cs="Times New Roman"/>
                <w:sz w:val="24"/>
                <w:szCs w:val="24"/>
              </w:rPr>
            </w:pPr>
            <w:r w:rsidRPr="004569A4">
              <w:rPr>
                <w:rFonts w:cs="Times New Roman"/>
                <w:sz w:val="24"/>
                <w:szCs w:val="24"/>
              </w:rPr>
              <w:t>Attorney Examiner:</w:t>
            </w:r>
          </w:p>
          <w:p w:rsidR="00BB43D1" w:rsidRPr="004569A4" w14:paraId="233E4D66" w14:textId="77777777">
            <w:pPr>
              <w:pStyle w:val="BodyText"/>
              <w:suppressLineNumbers/>
              <w:rPr>
                <w:rStyle w:val="Hyperlink"/>
                <w:rFonts w:cs="Times New Roman"/>
                <w:sz w:val="24"/>
                <w:szCs w:val="24"/>
              </w:rPr>
            </w:pPr>
            <w:hyperlink r:id="rId29" w:history="1">
              <w:r w:rsidRPr="004569A4" w:rsidR="002F3AD9">
                <w:rPr>
                  <w:rStyle w:val="Hyperlink"/>
                  <w:rFonts w:cs="Times New Roman"/>
                  <w:sz w:val="24"/>
                  <w:szCs w:val="24"/>
                </w:rPr>
                <w:t>Gregory.price@puco.ohio.gov</w:t>
              </w:r>
            </w:hyperlink>
          </w:p>
          <w:p w:rsidR="00BB43D1" w:rsidRPr="004569A4" w14:paraId="282BFA8D" w14:textId="77777777">
            <w:pPr>
              <w:pStyle w:val="BodyText"/>
              <w:suppressLineNumbers/>
              <w:rPr>
                <w:rStyle w:val="Hyperlink"/>
                <w:rFonts w:cs="Times New Roman"/>
                <w:sz w:val="24"/>
                <w:szCs w:val="24"/>
              </w:rPr>
            </w:pPr>
            <w:hyperlink r:id="rId30" w:history="1">
              <w:r w:rsidRPr="004569A4" w:rsidR="002F3AD9">
                <w:rPr>
                  <w:rStyle w:val="Hyperlink"/>
                  <w:rFonts w:cs="Times New Roman"/>
                  <w:sz w:val="24"/>
                  <w:szCs w:val="24"/>
                </w:rPr>
                <w:t>Megan.addison@puco.ohio.gov</w:t>
              </w:r>
            </w:hyperlink>
          </w:p>
          <w:p w:rsidR="00BB43D1" w:rsidRPr="004569A4" w14:paraId="3A37CB6A" w14:textId="77777777">
            <w:pPr>
              <w:pStyle w:val="BodyText"/>
              <w:suppressLineNumbers/>
              <w:rPr>
                <w:rFonts w:cs="Times New Roman"/>
                <w:bCs/>
                <w:sz w:val="24"/>
                <w:szCs w:val="24"/>
              </w:rPr>
            </w:pPr>
            <w:r w:rsidRPr="004569A4">
              <w:rPr>
                <w:rStyle w:val="Hyperlink"/>
                <w:rFonts w:cs="Times New Roman"/>
                <w:sz w:val="24"/>
                <w:szCs w:val="24"/>
              </w:rPr>
              <w:t>Jacqueline.st.john.puco.ohio.gov</w:t>
            </w:r>
          </w:p>
        </w:tc>
        <w:tc>
          <w:tcPr>
            <w:tcW w:w="4428" w:type="dxa"/>
          </w:tcPr>
          <w:p w:rsidR="00BB43D1" w:rsidRPr="004569A4" w14:paraId="09837355" w14:textId="77777777">
            <w:pPr>
              <w:ind w:left="804"/>
              <w:rPr>
                <w:rFonts w:ascii="Times New Roman" w:eastAsia="Calibri" w:hAnsi="Times New Roman" w:cs="Times New Roman"/>
                <w:bCs/>
                <w:sz w:val="24"/>
                <w:szCs w:val="24"/>
              </w:rPr>
            </w:pPr>
            <w:hyperlink r:id="rId31" w:history="1">
              <w:r w:rsidRPr="004569A4" w:rsidR="002F3AD9">
                <w:rPr>
                  <w:rStyle w:val="Hyperlink"/>
                  <w:rFonts w:ascii="Times New Roman" w:eastAsia="Calibri" w:hAnsi="Times New Roman" w:cs="Times New Roman"/>
                  <w:bCs/>
                  <w:sz w:val="24"/>
                  <w:szCs w:val="24"/>
                </w:rPr>
                <w:t>bknipe@firstenergycorp.com</w:t>
              </w:r>
            </w:hyperlink>
          </w:p>
          <w:p w:rsidR="00BB43D1" w:rsidRPr="004569A4" w14:paraId="12EC44D8" w14:textId="77777777">
            <w:pPr>
              <w:autoSpaceDE w:val="0"/>
              <w:autoSpaceDN w:val="0"/>
              <w:adjustRightInd w:val="0"/>
              <w:ind w:left="810"/>
              <w:rPr>
                <w:rFonts w:ascii="Times New Roman" w:hAnsi="Times New Roman" w:cs="Times New Roman"/>
                <w:sz w:val="24"/>
                <w:szCs w:val="24"/>
              </w:rPr>
            </w:pPr>
            <w:hyperlink r:id="rId32" w:history="1">
              <w:r w:rsidRPr="004569A4" w:rsidR="002F3AD9">
                <w:rPr>
                  <w:rStyle w:val="Hyperlink"/>
                  <w:rFonts w:ascii="Times New Roman" w:hAnsi="Times New Roman" w:cs="Times New Roman"/>
                  <w:sz w:val="24"/>
                  <w:szCs w:val="24"/>
                </w:rPr>
                <w:t>mrgladman@jonesday.com</w:t>
              </w:r>
            </w:hyperlink>
          </w:p>
          <w:p w:rsidR="00BB43D1" w:rsidRPr="004569A4" w14:paraId="0D19D875" w14:textId="77777777">
            <w:pPr>
              <w:autoSpaceDE w:val="0"/>
              <w:autoSpaceDN w:val="0"/>
              <w:adjustRightInd w:val="0"/>
              <w:ind w:left="810"/>
              <w:rPr>
                <w:rFonts w:ascii="Times New Roman" w:hAnsi="Times New Roman" w:cs="Times New Roman"/>
                <w:sz w:val="24"/>
                <w:szCs w:val="24"/>
              </w:rPr>
            </w:pPr>
            <w:hyperlink r:id="rId33" w:history="1">
              <w:r w:rsidRPr="004569A4" w:rsidR="002F3AD9">
                <w:rPr>
                  <w:rStyle w:val="Hyperlink"/>
                  <w:rFonts w:ascii="Times New Roman" w:hAnsi="Times New Roman" w:cs="Times New Roman"/>
                  <w:sz w:val="24"/>
                  <w:szCs w:val="24"/>
                </w:rPr>
                <w:t>mdengler@jonesday.com</w:t>
              </w:r>
            </w:hyperlink>
          </w:p>
          <w:p w:rsidR="00BB43D1" w:rsidRPr="004569A4" w14:paraId="3391A6A5" w14:textId="77777777">
            <w:pPr>
              <w:ind w:left="804"/>
              <w:rPr>
                <w:rFonts w:ascii="Times New Roman" w:hAnsi="Times New Roman" w:cs="Times New Roman"/>
                <w:sz w:val="24"/>
                <w:szCs w:val="24"/>
              </w:rPr>
            </w:pPr>
            <w:hyperlink r:id="rId34" w:history="1">
              <w:r w:rsidRPr="004569A4" w:rsidR="002F3AD9">
                <w:rPr>
                  <w:rStyle w:val="Hyperlink"/>
                  <w:rFonts w:ascii="Times New Roman" w:hAnsi="Times New Roman" w:cs="Times New Roman"/>
                  <w:sz w:val="24"/>
                  <w:szCs w:val="24"/>
                </w:rPr>
                <w:t>radoringo@jonesday.com</w:t>
              </w:r>
            </w:hyperlink>
          </w:p>
          <w:p w:rsidR="00BB43D1" w:rsidRPr="004569A4" w14:paraId="75B2CCDF" w14:textId="77777777">
            <w:pPr>
              <w:autoSpaceDE w:val="0"/>
              <w:autoSpaceDN w:val="0"/>
              <w:adjustRightInd w:val="0"/>
              <w:ind w:left="804"/>
              <w:rPr>
                <w:rFonts w:ascii="Times New Roman" w:hAnsi="Times New Roman" w:cs="Times New Roman"/>
                <w:sz w:val="24"/>
                <w:szCs w:val="24"/>
              </w:rPr>
            </w:pPr>
            <w:hyperlink r:id="rId35" w:history="1">
              <w:r w:rsidRPr="004569A4" w:rsidR="002F3AD9">
                <w:rPr>
                  <w:rStyle w:val="Hyperlink"/>
                  <w:rFonts w:ascii="Times New Roman" w:hAnsi="Times New Roman" w:cs="Times New Roman"/>
                  <w:sz w:val="24"/>
                  <w:szCs w:val="24"/>
                </w:rPr>
                <w:t>mwager@taftlaw.com</w:t>
              </w:r>
            </w:hyperlink>
          </w:p>
          <w:p w:rsidR="00BB43D1" w:rsidRPr="004569A4" w14:paraId="676A8B68" w14:textId="77777777">
            <w:pPr>
              <w:autoSpaceDE w:val="0"/>
              <w:autoSpaceDN w:val="0"/>
              <w:adjustRightInd w:val="0"/>
              <w:ind w:left="804"/>
              <w:rPr>
                <w:rStyle w:val="Hyperlink"/>
                <w:rFonts w:ascii="Times New Roman" w:hAnsi="Times New Roman" w:cs="Times New Roman"/>
                <w:sz w:val="24"/>
                <w:szCs w:val="24"/>
              </w:rPr>
            </w:pPr>
            <w:hyperlink r:id="rId36" w:history="1">
              <w:r w:rsidRPr="004569A4" w:rsidR="002F3AD9">
                <w:rPr>
                  <w:rStyle w:val="Hyperlink"/>
                  <w:rFonts w:ascii="Times New Roman" w:hAnsi="Times New Roman" w:cs="Times New Roman"/>
                  <w:sz w:val="24"/>
                  <w:szCs w:val="24"/>
                </w:rPr>
                <w:t>iavalon@taftlaw.com</w:t>
              </w:r>
            </w:hyperlink>
          </w:p>
          <w:p w:rsidR="00BB43D1" w:rsidRPr="004569A4" w14:paraId="7D73137B" w14:textId="77777777">
            <w:pPr>
              <w:autoSpaceDE w:val="0"/>
              <w:autoSpaceDN w:val="0"/>
              <w:adjustRightInd w:val="0"/>
              <w:ind w:left="774"/>
              <w:rPr>
                <w:rFonts w:ascii="Times New Roman" w:hAnsi="Times New Roman" w:cs="Times New Roman"/>
                <w:sz w:val="24"/>
                <w:szCs w:val="24"/>
              </w:rPr>
            </w:pPr>
            <w:hyperlink r:id="rId37" w:history="1">
              <w:r w:rsidRPr="004569A4" w:rsidR="002F3AD9">
                <w:rPr>
                  <w:rStyle w:val="Hyperlink"/>
                  <w:rFonts w:ascii="Times New Roman" w:hAnsi="Times New Roman" w:cs="Times New Roman"/>
                  <w:sz w:val="24"/>
                  <w:szCs w:val="24"/>
                </w:rPr>
                <w:t>mpritchard@mcneeslaw.com</w:t>
              </w:r>
            </w:hyperlink>
          </w:p>
          <w:p w:rsidR="00BB43D1" w:rsidRPr="004569A4" w14:paraId="42BF5BCE" w14:textId="77777777">
            <w:pPr>
              <w:autoSpaceDE w:val="0"/>
              <w:autoSpaceDN w:val="0"/>
              <w:adjustRightInd w:val="0"/>
              <w:ind w:left="774"/>
              <w:rPr>
                <w:rStyle w:val="Hyperlink"/>
                <w:rFonts w:ascii="Times New Roman" w:hAnsi="Times New Roman" w:cs="Times New Roman"/>
                <w:sz w:val="24"/>
                <w:szCs w:val="24"/>
              </w:rPr>
            </w:pPr>
            <w:hyperlink r:id="rId38" w:history="1">
              <w:r w:rsidRPr="004569A4" w:rsidR="002F3AD9">
                <w:rPr>
                  <w:rStyle w:val="Hyperlink"/>
                  <w:rFonts w:ascii="Times New Roman" w:hAnsi="Times New Roman" w:cs="Times New Roman"/>
                  <w:sz w:val="24"/>
                  <w:szCs w:val="24"/>
                </w:rPr>
                <w:t>tlong@mcneeslaw.com</w:t>
              </w:r>
            </w:hyperlink>
          </w:p>
          <w:p w:rsidR="00BB43D1" w:rsidRPr="004569A4" w14:paraId="4231CD12" w14:textId="77777777">
            <w:pPr>
              <w:autoSpaceDE w:val="0"/>
              <w:autoSpaceDN w:val="0"/>
              <w:adjustRightInd w:val="0"/>
              <w:ind w:left="774"/>
              <w:rPr>
                <w:rStyle w:val="Hyperlink"/>
                <w:rFonts w:ascii="Times New Roman" w:hAnsi="Times New Roman" w:cs="Times New Roman"/>
                <w:sz w:val="24"/>
                <w:szCs w:val="24"/>
              </w:rPr>
            </w:pPr>
            <w:hyperlink r:id="rId39" w:history="1">
              <w:r w:rsidRPr="004569A4" w:rsidR="002F3AD9">
                <w:rPr>
                  <w:rStyle w:val="Hyperlink"/>
                  <w:rFonts w:ascii="Times New Roman" w:hAnsi="Times New Roman" w:cs="Times New Roman"/>
                  <w:sz w:val="24"/>
                  <w:szCs w:val="24"/>
                </w:rPr>
                <w:t>rdove@keglerbrown.com</w:t>
              </w:r>
            </w:hyperlink>
          </w:p>
          <w:p w:rsidR="00BB43D1" w:rsidRPr="004569A4" w14:paraId="0B950036" w14:textId="77777777">
            <w:pPr>
              <w:autoSpaceDE w:val="0"/>
              <w:autoSpaceDN w:val="0"/>
              <w:adjustRightInd w:val="0"/>
              <w:ind w:left="774"/>
              <w:rPr>
                <w:rStyle w:val="Hyperlink"/>
                <w:rFonts w:ascii="Times New Roman" w:hAnsi="Times New Roman" w:cs="Times New Roman"/>
                <w:sz w:val="24"/>
                <w:szCs w:val="24"/>
              </w:rPr>
            </w:pPr>
            <w:hyperlink r:id="rId40" w:history="1">
              <w:r w:rsidRPr="004569A4" w:rsidR="002F3AD9">
                <w:rPr>
                  <w:rStyle w:val="Hyperlink"/>
                  <w:rFonts w:ascii="Times New Roman" w:hAnsi="Times New Roman" w:cs="Times New Roman"/>
                  <w:sz w:val="24"/>
                  <w:szCs w:val="24"/>
                </w:rPr>
                <w:t>bojko@carpenterlipps.com</w:t>
              </w:r>
            </w:hyperlink>
          </w:p>
          <w:p w:rsidR="00BB43D1" w:rsidRPr="004569A4" w14:paraId="6E35D4D5" w14:textId="77777777">
            <w:pPr>
              <w:autoSpaceDE w:val="0"/>
              <w:autoSpaceDN w:val="0"/>
              <w:adjustRightInd w:val="0"/>
              <w:ind w:left="774"/>
              <w:rPr>
                <w:rStyle w:val="Hyperlink"/>
                <w:rFonts w:ascii="Times New Roman" w:hAnsi="Times New Roman" w:cs="Times New Roman"/>
                <w:sz w:val="24"/>
                <w:szCs w:val="24"/>
              </w:rPr>
            </w:pPr>
            <w:hyperlink r:id="rId41" w:history="1">
              <w:r w:rsidRPr="004569A4" w:rsidR="002F3AD9">
                <w:rPr>
                  <w:rStyle w:val="Hyperlink"/>
                  <w:rFonts w:ascii="Times New Roman" w:hAnsi="Times New Roman" w:cs="Times New Roman"/>
                  <w:sz w:val="24"/>
                  <w:szCs w:val="24"/>
                </w:rPr>
                <w:t>donadio@carpenterlipps.com</w:t>
              </w:r>
            </w:hyperlink>
          </w:p>
          <w:p w:rsidR="00BB43D1" w:rsidRPr="004569A4" w14:paraId="2232D895" w14:textId="77777777">
            <w:pPr>
              <w:autoSpaceDE w:val="0"/>
              <w:autoSpaceDN w:val="0"/>
              <w:adjustRightInd w:val="0"/>
              <w:ind w:left="774"/>
              <w:rPr>
                <w:rFonts w:ascii="Times New Roman" w:hAnsi="Times New Roman" w:cs="Times New Roman"/>
                <w:color w:val="3C78D9"/>
                <w:sz w:val="24"/>
                <w:szCs w:val="24"/>
              </w:rPr>
            </w:pPr>
            <w:hyperlink r:id="rId42" w:history="1">
              <w:r w:rsidRPr="004569A4" w:rsidR="002F3AD9">
                <w:rPr>
                  <w:rStyle w:val="Hyperlink"/>
                  <w:rFonts w:ascii="Times New Roman" w:hAnsi="Times New Roman" w:cs="Times New Roman"/>
                  <w:sz w:val="24"/>
                  <w:szCs w:val="24"/>
                </w:rPr>
                <w:t>mleppla@theOEC.org</w:t>
              </w:r>
            </w:hyperlink>
          </w:p>
          <w:p w:rsidR="00BB43D1" w:rsidRPr="004569A4" w14:paraId="13AB8082" w14:textId="77777777">
            <w:pPr>
              <w:autoSpaceDE w:val="0"/>
              <w:autoSpaceDN w:val="0"/>
              <w:adjustRightInd w:val="0"/>
              <w:ind w:left="774"/>
              <w:rPr>
                <w:rFonts w:ascii="Times New Roman" w:hAnsi="Times New Roman" w:cs="Times New Roman"/>
                <w:color w:val="1155CD"/>
                <w:sz w:val="24"/>
                <w:szCs w:val="24"/>
              </w:rPr>
            </w:pPr>
            <w:hyperlink r:id="rId43" w:history="1">
              <w:r w:rsidRPr="004569A4" w:rsidR="002F3AD9">
                <w:rPr>
                  <w:rStyle w:val="Hyperlink"/>
                  <w:rFonts w:ascii="Times New Roman" w:hAnsi="Times New Roman" w:cs="Times New Roman"/>
                  <w:sz w:val="24"/>
                  <w:szCs w:val="24"/>
                </w:rPr>
                <w:t>tdougherty@theOEC.org</w:t>
              </w:r>
            </w:hyperlink>
          </w:p>
          <w:p w:rsidR="00BB43D1" w:rsidRPr="004569A4" w14:paraId="356DAD6E" w14:textId="77777777">
            <w:pPr>
              <w:autoSpaceDE w:val="0"/>
              <w:autoSpaceDN w:val="0"/>
              <w:adjustRightInd w:val="0"/>
              <w:ind w:left="774"/>
              <w:rPr>
                <w:rFonts w:ascii="Times New Roman" w:hAnsi="Times New Roman" w:cs="Times New Roman"/>
                <w:color w:val="1155CD"/>
                <w:sz w:val="24"/>
                <w:szCs w:val="24"/>
              </w:rPr>
            </w:pPr>
            <w:hyperlink r:id="rId44" w:history="1">
              <w:r w:rsidRPr="004569A4" w:rsidR="002F3AD9">
                <w:rPr>
                  <w:rStyle w:val="Hyperlink"/>
                  <w:rFonts w:ascii="Times New Roman" w:hAnsi="Times New Roman" w:cs="Times New Roman"/>
                  <w:sz w:val="24"/>
                  <w:szCs w:val="24"/>
                </w:rPr>
                <w:t>ctavenor@theOEC.org</w:t>
              </w:r>
            </w:hyperlink>
          </w:p>
          <w:p w:rsidR="00BB43D1" w:rsidRPr="004569A4" w14:paraId="4BA32343" w14:textId="77777777">
            <w:pPr>
              <w:autoSpaceDE w:val="0"/>
              <w:autoSpaceDN w:val="0"/>
              <w:adjustRightInd w:val="0"/>
              <w:ind w:left="774"/>
              <w:rPr>
                <w:rFonts w:ascii="Times New Roman" w:hAnsi="Times New Roman" w:cs="Times New Roman"/>
                <w:sz w:val="24"/>
                <w:szCs w:val="24"/>
              </w:rPr>
            </w:pPr>
          </w:p>
          <w:p w:rsidR="00BB43D1" w:rsidRPr="004569A4" w14:paraId="4C8C940F" w14:textId="77777777">
            <w:pPr>
              <w:autoSpaceDE w:val="0"/>
              <w:autoSpaceDN w:val="0"/>
              <w:adjustRightInd w:val="0"/>
              <w:ind w:left="774"/>
              <w:rPr>
                <w:rFonts w:ascii="Times New Roman" w:hAnsi="Times New Roman" w:cs="Times New Roman"/>
                <w:sz w:val="24"/>
                <w:szCs w:val="24"/>
              </w:rPr>
            </w:pPr>
          </w:p>
          <w:p w:rsidR="00BB43D1" w:rsidRPr="004569A4" w14:paraId="4818F1AB" w14:textId="77777777">
            <w:pPr>
              <w:autoSpaceDE w:val="0"/>
              <w:autoSpaceDN w:val="0"/>
              <w:adjustRightInd w:val="0"/>
              <w:ind w:left="774"/>
              <w:rPr>
                <w:rFonts w:ascii="Times New Roman" w:hAnsi="Times New Roman" w:cs="Times New Roman"/>
                <w:sz w:val="24"/>
                <w:szCs w:val="24"/>
              </w:rPr>
            </w:pPr>
          </w:p>
          <w:p w:rsidR="00BB43D1" w:rsidRPr="004569A4" w14:paraId="7FFC0E60" w14:textId="77777777">
            <w:pPr>
              <w:autoSpaceDE w:val="0"/>
              <w:autoSpaceDN w:val="0"/>
              <w:adjustRightInd w:val="0"/>
              <w:ind w:left="804"/>
              <w:rPr>
                <w:rFonts w:ascii="Times New Roman" w:hAnsi="Times New Roman" w:cs="Times New Roman"/>
                <w:sz w:val="24"/>
                <w:szCs w:val="24"/>
              </w:rPr>
            </w:pPr>
          </w:p>
          <w:p w:rsidR="00BB43D1" w:rsidRPr="004569A4" w14:paraId="03C0703D" w14:textId="77777777">
            <w:pPr>
              <w:pStyle w:val="BodyText"/>
              <w:ind w:left="612"/>
              <w:rPr>
                <w:rFonts w:cs="Times New Roman"/>
                <w:sz w:val="24"/>
                <w:szCs w:val="24"/>
              </w:rPr>
            </w:pPr>
          </w:p>
          <w:p w:rsidR="00BB43D1" w:rsidRPr="004569A4" w14:paraId="089E9547" w14:textId="77777777">
            <w:pPr>
              <w:pStyle w:val="BodyText"/>
              <w:rPr>
                <w:rFonts w:cs="Times New Roman"/>
                <w:sz w:val="24"/>
                <w:szCs w:val="24"/>
              </w:rPr>
            </w:pPr>
          </w:p>
        </w:tc>
      </w:tr>
      <w:bookmarkEnd w:id="14"/>
    </w:tbl>
    <w:p w:rsidR="00BB43D1" w:rsidRPr="004569A4" w14:paraId="6C1CAAF4" w14:textId="77777777">
      <w:pPr>
        <w:ind w:left="3600"/>
        <w:rPr>
          <w:rFonts w:ascii="Times New Roman" w:hAnsi="Times New Roman" w:cs="Times New Roman"/>
          <w:sz w:val="24"/>
          <w:szCs w:val="24"/>
        </w:rPr>
      </w:pPr>
    </w:p>
    <w:sectPr>
      <w:pgSz w:w="12240" w:h="15840"/>
      <w:pgMar w:top="1440" w:right="1440" w:bottom="1440" w:left="1440" w:header="1547" w:footer="57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altName w:val="Times New Roman"/>
    <w:panose1 w:val="02020803070505020304"/>
    <w:charset w:val="00"/>
    <w:family w:val="roman"/>
    <w:pitch w:val="variable"/>
    <w:sig w:usb0="E0002AE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65958436"/>
      <w:docPartObj>
        <w:docPartGallery w:val="Page Numbers (Bottom of Page)"/>
        <w:docPartUnique/>
      </w:docPartObj>
    </w:sdtPr>
    <w:sdtEndPr>
      <w:rPr>
        <w:noProof/>
      </w:rPr>
    </w:sdtEndPr>
    <w:sdtContent>
      <w:p w:rsidR="00AB44BE" w14:paraId="67214C87"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B44BE" w14:paraId="0381B22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44BE" w14:paraId="0B8A5077" w14:textId="77777777">
    <w:pPr>
      <w:pStyle w:val="Footer"/>
      <w:jc w:val="center"/>
      <w:rPr>
        <w:rFonts w:ascii="Times New Roman" w:hAnsi="Times New Roman" w:cs="Times New Roman"/>
        <w:sz w:val="24"/>
        <w:szCs w:val="24"/>
      </w:rPr>
    </w:pPr>
  </w:p>
  <w:p w:rsidR="00AB44BE" w14:paraId="543D937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05034321"/>
      <w:docPartObj>
        <w:docPartGallery w:val="Page Numbers (Bottom of Page)"/>
        <w:docPartUnique/>
      </w:docPartObj>
    </w:sdtPr>
    <w:sdtEndPr>
      <w:rPr>
        <w:noProof/>
      </w:rPr>
    </w:sdtEndPr>
    <w:sdtContent>
      <w:p w:rsidR="00AB44BE" w14:paraId="4833E9A3"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B44BE" w14:paraId="0A96F52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39413963"/>
      <w:docPartObj>
        <w:docPartGallery w:val="Page Numbers (Bottom of Page)"/>
        <w:docPartUnique/>
      </w:docPartObj>
    </w:sdtPr>
    <w:sdtEndPr>
      <w:rPr>
        <w:rFonts w:ascii="Times New Roman" w:hAnsi="Times New Roman" w:cs="Times New Roman"/>
        <w:noProof/>
        <w:sz w:val="24"/>
        <w:szCs w:val="24"/>
      </w:rPr>
    </w:sdtEndPr>
    <w:sdtContent>
      <w:p w:rsidR="00AB44BE" w14:paraId="165446A4" w14:textId="77777777">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74248713"/>
      <w:docPartObj>
        <w:docPartGallery w:val="Page Numbers (Bottom of Page)"/>
        <w:docPartUnique/>
      </w:docPartObj>
    </w:sdtPr>
    <w:sdtEndPr>
      <w:rPr>
        <w:rFonts w:ascii="Times New Roman" w:hAnsi="Times New Roman" w:cs="Times New Roman"/>
        <w:noProof/>
        <w:sz w:val="24"/>
        <w:szCs w:val="24"/>
      </w:rPr>
    </w:sdtEndPr>
    <w:sdtContent>
      <w:p w:rsidR="00AB44BE" w14:paraId="4C704860" w14:textId="77777777">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70052430"/>
      <w:docPartObj>
        <w:docPartGallery w:val="Page Numbers (Bottom of Page)"/>
        <w:docPartUnique/>
      </w:docPartObj>
    </w:sdtPr>
    <w:sdtEndPr>
      <w:rPr>
        <w:rFonts w:ascii="Times New Roman" w:hAnsi="Times New Roman" w:cs="Times New Roman"/>
        <w:noProof/>
        <w:sz w:val="24"/>
        <w:szCs w:val="24"/>
      </w:rPr>
    </w:sdtEndPr>
    <w:sdtContent>
      <w:p w:rsidR="00AB44BE" w14:paraId="232E10A9" w14:textId="77777777">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p w:rsidR="00AB44BE" w14:paraId="3941DD3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D15DE" w14:paraId="2CCB702B" w14:textId="77777777">
      <w:r>
        <w:separator/>
      </w:r>
    </w:p>
  </w:footnote>
  <w:footnote w:type="continuationSeparator" w:id="1">
    <w:p w:rsidR="00AD15DE" w14:paraId="3A4EFF51" w14:textId="77777777">
      <w:r>
        <w:continuationSeparator/>
      </w:r>
    </w:p>
  </w:footnote>
  <w:footnote w:type="continuationNotice" w:id="2">
    <w:p w:rsidR="00AD15DE" w14:paraId="048C1C2C" w14:textId="77777777"/>
  </w:footnote>
  <w:footnote w:id="3">
    <w:p w:rsidR="00AB44BE" w:rsidRPr="00AB1E71" w:rsidP="00AB1E71" w14:paraId="2AA4C940" w14:textId="67727E23">
      <w:pPr>
        <w:pStyle w:val="FootnoteText"/>
        <w:spacing w:after="120"/>
      </w:pPr>
      <w:r w:rsidRPr="00AB1E71">
        <w:rPr>
          <w:rStyle w:val="FootnoteReference"/>
        </w:rPr>
        <w:footnoteRef/>
      </w:r>
      <w:r w:rsidRPr="00AB1E71">
        <w:t xml:space="preserve"> </w:t>
      </w:r>
      <w:r w:rsidRPr="00AB1E71">
        <w:rPr>
          <w:i/>
          <w:iCs/>
        </w:rPr>
        <w:t xml:space="preserve">U.S. v. FirstEnergy Corp., </w:t>
      </w:r>
      <w:r w:rsidRPr="00AB1E71">
        <w:t xml:space="preserve">Case No. 1:21-cr-00086-TSB, Deferred Prosecution Agreement at 17 (S.D. Ohio) (July 22, 2021). </w:t>
      </w:r>
    </w:p>
  </w:footnote>
  <w:footnote w:id="4">
    <w:p w:rsidR="009212AA" w:rsidRPr="00AB1E71" w:rsidP="00AB1E71" w14:paraId="065C3B59" w14:textId="0D8807F2">
      <w:pPr>
        <w:pStyle w:val="FootnoteText"/>
        <w:spacing w:after="120"/>
      </w:pPr>
      <w:r w:rsidRPr="00AB1E71">
        <w:rPr>
          <w:rStyle w:val="FootnoteReference"/>
        </w:rPr>
        <w:footnoteRef/>
      </w:r>
      <w:r w:rsidRPr="00AB1E71">
        <w:t xml:space="preserve"> OMAEG Initial Comments at 7 (Nov. 22, 2021).</w:t>
      </w:r>
    </w:p>
  </w:footnote>
  <w:footnote w:id="5">
    <w:p w:rsidR="005B374F" w:rsidRPr="00AB1E71" w:rsidP="00AB1E71" w14:paraId="13D61B7E" w14:textId="3035FC93">
      <w:pPr>
        <w:pStyle w:val="FootnoteText"/>
        <w:spacing w:after="120"/>
      </w:pPr>
      <w:r w:rsidRPr="00AB1E71">
        <w:rPr>
          <w:rStyle w:val="FootnoteReference"/>
        </w:rPr>
        <w:footnoteRef/>
      </w:r>
      <w:r w:rsidRPr="00AB1E71">
        <w:t xml:space="preserve"> FirstEnergy Corp. Form 10-K at 125 (Feb. 18, 2021).</w:t>
      </w:r>
    </w:p>
  </w:footnote>
  <w:footnote w:id="6">
    <w:p w:rsidR="005B374F" w:rsidRPr="00AB1E71" w:rsidP="00AB1E71" w14:paraId="685704AC" w14:textId="47109DB5">
      <w:pPr>
        <w:pStyle w:val="FootnoteText"/>
        <w:spacing w:after="120"/>
      </w:pPr>
      <w:r w:rsidRPr="00AB1E71">
        <w:rPr>
          <w:rStyle w:val="FootnoteReference"/>
        </w:rPr>
        <w:footnoteRef/>
      </w:r>
      <w:r w:rsidRPr="00AB1E71">
        <w:t xml:space="preserve"> M. Gillispie, </w:t>
      </w:r>
      <w:r w:rsidRPr="00AB1E71">
        <w:rPr>
          <w:i/>
          <w:iCs/>
        </w:rPr>
        <w:t xml:space="preserve">FirstEnergy in talks on deferred prosecution agreement, </w:t>
      </w:r>
      <w:r w:rsidRPr="00AB1E71">
        <w:t>AP News (Apr. 23, 2021).</w:t>
      </w:r>
    </w:p>
  </w:footnote>
  <w:footnote w:id="7">
    <w:p w:rsidR="005B374F" w:rsidRPr="00AB1E71" w:rsidP="00AB1E71" w14:paraId="66F20408" w14:textId="2D940F17">
      <w:pPr>
        <w:pStyle w:val="FootnoteText"/>
        <w:spacing w:after="120"/>
      </w:pPr>
      <w:r w:rsidRPr="00AB1E71">
        <w:rPr>
          <w:rStyle w:val="FootnoteReference"/>
        </w:rPr>
        <w:footnoteRef/>
      </w:r>
      <w:r w:rsidRPr="00AB1E71">
        <w:t xml:space="preserve"> OCC Initial Comments at 2-3 (Nov. 22, 2021).</w:t>
      </w:r>
    </w:p>
  </w:footnote>
  <w:footnote w:id="8">
    <w:p w:rsidR="005B374F" w:rsidRPr="00AB1E71" w:rsidP="00AB1E71" w14:paraId="29B9172C" w14:textId="0688B217">
      <w:pPr>
        <w:pStyle w:val="FootnoteText"/>
        <w:spacing w:after="120"/>
        <w:rPr>
          <w:i/>
          <w:iCs/>
        </w:rPr>
      </w:pPr>
      <w:r w:rsidRPr="00AB1E71">
        <w:rPr>
          <w:rStyle w:val="FootnoteReference"/>
        </w:rPr>
        <w:footnoteRef/>
      </w:r>
      <w:r w:rsidRPr="00AB1E71">
        <w:t xml:space="preserve"> </w:t>
      </w:r>
      <w:r w:rsidRPr="00AB1E71">
        <w:rPr>
          <w:i/>
          <w:iCs/>
        </w:rPr>
        <w:t xml:space="preserve">Id. </w:t>
      </w:r>
    </w:p>
  </w:footnote>
  <w:footnote w:id="9">
    <w:p w:rsidR="005B374F" w:rsidRPr="00AB1E71" w:rsidP="00AB1E71" w14:paraId="009A2295" w14:textId="2E5DFC87">
      <w:pPr>
        <w:pStyle w:val="FootnoteText"/>
        <w:spacing w:after="120"/>
      </w:pPr>
      <w:r w:rsidRPr="00AB1E71">
        <w:rPr>
          <w:rStyle w:val="FootnoteReference"/>
        </w:rPr>
        <w:footnoteRef/>
      </w:r>
      <w:r w:rsidRPr="00AB1E71">
        <w:t xml:space="preserve"> </w:t>
      </w:r>
      <w:r w:rsidRPr="00AB1E71">
        <w:rPr>
          <w:i/>
          <w:iCs/>
        </w:rPr>
        <w:t>Id.</w:t>
      </w:r>
      <w:r w:rsidRPr="00AB1E71">
        <w:t xml:space="preserve"> at 4; </w:t>
      </w:r>
      <w:r w:rsidRPr="00AB1E71">
        <w:rPr>
          <w:i/>
          <w:iCs/>
        </w:rPr>
        <w:t>In the</w:t>
      </w:r>
      <w:r w:rsidRPr="00AB1E71">
        <w:t xml:space="preserve"> </w:t>
      </w:r>
      <w:r w:rsidRPr="00AB1E71">
        <w:rPr>
          <w:i/>
          <w:iCs/>
        </w:rPr>
        <w:t xml:space="preserve">Matter of the Review of the Political and Charitable Spending by Ohio Edison Company, The Cleveland Electric Illuminating Company, and the Toledo Edison Company, </w:t>
      </w:r>
      <w:r w:rsidRPr="00AB1E71">
        <w:t>Case No. 20-1502-EL-UNC.</w:t>
      </w:r>
      <w:r w:rsidRPr="00AB1E71" w:rsidR="00AB44BE">
        <w:t xml:space="preserve"> </w:t>
      </w:r>
      <w:r w:rsidRPr="00AB1E71">
        <w:t>Revised Motion for an Independent Auditor at 11 (Oct. 27, 2021).</w:t>
      </w:r>
    </w:p>
  </w:footnote>
  <w:footnote w:id="10">
    <w:p w:rsidR="005B374F" w:rsidRPr="00AB1E71" w:rsidP="00AB1E71" w14:paraId="68FE74DA" w14:textId="309B717F">
      <w:pPr>
        <w:pStyle w:val="FootnoteText"/>
        <w:spacing w:after="120"/>
      </w:pPr>
      <w:r w:rsidRPr="00AB1E71">
        <w:rPr>
          <w:rStyle w:val="FootnoteReference"/>
        </w:rPr>
        <w:footnoteRef/>
      </w:r>
      <w:r w:rsidRPr="00AB1E71">
        <w:t xml:space="preserve"> </w:t>
      </w:r>
      <w:r w:rsidRPr="00AB1E71">
        <w:rPr>
          <w:i/>
          <w:iCs/>
        </w:rPr>
        <w:t>In the</w:t>
      </w:r>
      <w:r w:rsidRPr="00AB1E71">
        <w:t xml:space="preserve"> </w:t>
      </w:r>
      <w:r w:rsidRPr="00AB1E71">
        <w:rPr>
          <w:i/>
          <w:iCs/>
        </w:rPr>
        <w:t xml:space="preserve">Matter of the Review of the Political and Charitable Spending by Ohio Edison Company, The Cleveland Electric Illuminating Company, and the Toledo Edison Company, </w:t>
      </w:r>
      <w:r w:rsidRPr="00AB1E71">
        <w:t>Case No. 20-1502-EL-UNC, FirstEnergy Utilities’ Memorandum Contra at 2-4 (Nov. 12, 2021).</w:t>
      </w:r>
    </w:p>
  </w:footnote>
  <w:footnote w:id="11">
    <w:p w:rsidR="005B374F" w:rsidRPr="00AB1E71" w:rsidP="00AB1E71" w14:paraId="2F5B1C16" w14:textId="081C88F0">
      <w:pPr>
        <w:pStyle w:val="FootnoteText"/>
        <w:spacing w:after="120"/>
      </w:pPr>
      <w:r w:rsidRPr="00AB1E71">
        <w:rPr>
          <w:rStyle w:val="FootnoteReference"/>
        </w:rPr>
        <w:footnoteRef/>
      </w:r>
      <w:r w:rsidRPr="00AB1E71">
        <w:t xml:space="preserve"> Motion for Supplemental Audit (Nov. 5, 2021).</w:t>
      </w:r>
    </w:p>
  </w:footnote>
  <w:footnote w:id="12">
    <w:p w:rsidR="005B374F" w:rsidRPr="00AB1E71" w:rsidP="00AB1E71" w14:paraId="0128A9A1" w14:textId="2BE917DC">
      <w:pPr>
        <w:pStyle w:val="FootnoteText"/>
        <w:spacing w:after="120"/>
      </w:pPr>
      <w:r w:rsidRPr="00AB1E71">
        <w:rPr>
          <w:rStyle w:val="FootnoteReference"/>
        </w:rPr>
        <w:footnoteRef/>
      </w:r>
      <w:r w:rsidRPr="00AB1E71">
        <w:t xml:space="preserve"> NOPEC Initial Comments at 3 (Nov. 22, 2021).</w:t>
      </w:r>
    </w:p>
  </w:footnote>
  <w:footnote w:id="13">
    <w:p w:rsidR="005B374F" w:rsidRPr="00AB1E71" w:rsidP="00AB1E71" w14:paraId="2ACD8312" w14:textId="411F5564">
      <w:pPr>
        <w:pStyle w:val="FootnoteText"/>
        <w:spacing w:after="120"/>
      </w:pPr>
      <w:r w:rsidRPr="00AB1E71">
        <w:rPr>
          <w:rStyle w:val="FootnoteReference"/>
        </w:rPr>
        <w:footnoteRef/>
      </w:r>
      <w:r w:rsidRPr="00AB1E71">
        <w:t xml:space="preserve"> OMAEG Initial Comments at 7-14 (Nov. 22, 2021).</w:t>
      </w:r>
    </w:p>
  </w:footnote>
  <w:footnote w:id="14">
    <w:p w:rsidR="005B374F" w:rsidRPr="00AB1E71" w:rsidP="00AB1E71" w14:paraId="09CF918E" w14:textId="1AB00A3E">
      <w:pPr>
        <w:pStyle w:val="FootnoteText"/>
        <w:spacing w:after="120"/>
      </w:pPr>
      <w:r w:rsidRPr="00AB1E71">
        <w:rPr>
          <w:rStyle w:val="FootnoteReference"/>
        </w:rPr>
        <w:footnoteRef/>
      </w:r>
      <w:r w:rsidRPr="00AB1E71">
        <w:t xml:space="preserve"> </w:t>
      </w:r>
      <w:r w:rsidRPr="00AB1E71">
        <w:rPr>
          <w:i/>
          <w:iCs/>
        </w:rPr>
        <w:t xml:space="preserve">Id. </w:t>
      </w:r>
      <w:r w:rsidRPr="00AB1E71">
        <w:t>at 14.</w:t>
      </w:r>
    </w:p>
  </w:footnote>
  <w:footnote w:id="15">
    <w:p w:rsidR="005B374F" w:rsidRPr="00AB1E71" w:rsidP="00AB1E71" w14:paraId="3BB8FCFA" w14:textId="160C8E57">
      <w:pPr>
        <w:pStyle w:val="FootnoteText"/>
        <w:spacing w:after="120"/>
      </w:pPr>
      <w:r w:rsidRPr="00AB1E71">
        <w:rPr>
          <w:rStyle w:val="FootnoteReference"/>
        </w:rPr>
        <w:footnoteRef/>
      </w:r>
      <w:r w:rsidRPr="00AB1E71">
        <w:t xml:space="preserve"> Motion for Supplemental Audit (Nov. 5, 2021).</w:t>
      </w:r>
    </w:p>
  </w:footnote>
  <w:footnote w:id="16">
    <w:p w:rsidR="005B374F" w:rsidRPr="00AB1E71" w:rsidP="00AB1E71" w14:paraId="2EA87B27" w14:textId="47EF2FFE">
      <w:pPr>
        <w:pStyle w:val="FootnoteText"/>
        <w:spacing w:after="120"/>
      </w:pPr>
      <w:r w:rsidRPr="00AB1E71">
        <w:rPr>
          <w:rStyle w:val="FootnoteReference"/>
        </w:rPr>
        <w:footnoteRef/>
      </w:r>
      <w:r w:rsidRPr="00AB1E71">
        <w:t xml:space="preserve"> Daymark Audit Report at 7.</w:t>
      </w:r>
    </w:p>
  </w:footnote>
  <w:footnote w:id="17">
    <w:p w:rsidR="005B374F" w:rsidRPr="00AB1E71" w:rsidP="00AB1E71" w14:paraId="4CE051EF" w14:textId="6FA49684">
      <w:pPr>
        <w:pStyle w:val="FootnoteText"/>
        <w:spacing w:after="120"/>
      </w:pPr>
      <w:r w:rsidRPr="00AB1E71">
        <w:rPr>
          <w:rStyle w:val="FootnoteReference"/>
        </w:rPr>
        <w:footnoteRef/>
      </w:r>
      <w:r w:rsidRPr="00AB1E71">
        <w:t xml:space="preserve"> OCC Initial Comments at 6-14 (Nov. 22, 2021).</w:t>
      </w:r>
    </w:p>
  </w:footnote>
  <w:footnote w:id="18">
    <w:p w:rsidR="005B374F" w:rsidRPr="00AB1E71" w:rsidP="00AB1E71" w14:paraId="087FB17E" w14:textId="583734A0">
      <w:pPr>
        <w:pStyle w:val="FootnoteText"/>
        <w:spacing w:after="120"/>
      </w:pPr>
      <w:r w:rsidRPr="00AB1E71">
        <w:rPr>
          <w:rStyle w:val="FootnoteReference"/>
        </w:rPr>
        <w:footnoteRef/>
      </w:r>
      <w:r w:rsidRPr="00AB1E71">
        <w:t xml:space="preserve"> </w:t>
      </w:r>
      <w:r w:rsidRPr="00AB1E71">
        <w:rPr>
          <w:i/>
          <w:iCs/>
        </w:rPr>
        <w:t xml:space="preserve">Id. </w:t>
      </w:r>
      <w:r w:rsidRPr="00AB1E71">
        <w:t>at 6-19.</w:t>
      </w:r>
    </w:p>
  </w:footnote>
  <w:footnote w:id="19">
    <w:p w:rsidR="005B374F" w:rsidRPr="00AB1E71" w:rsidP="00AB1E71" w14:paraId="31A798AA" w14:textId="483E7C2E">
      <w:pPr>
        <w:pStyle w:val="FootnoteText"/>
        <w:spacing w:after="120"/>
      </w:pPr>
      <w:r w:rsidRPr="00AB1E71">
        <w:rPr>
          <w:rStyle w:val="FootnoteReference"/>
        </w:rPr>
        <w:footnoteRef/>
      </w:r>
      <w:r w:rsidRPr="00AB1E71">
        <w:t xml:space="preserve"> </w:t>
      </w:r>
      <w:r w:rsidRPr="00AB1E71">
        <w:rPr>
          <w:i/>
          <w:iCs/>
        </w:rPr>
        <w:t xml:space="preserve">Id. </w:t>
      </w:r>
      <w:r w:rsidRPr="00AB1E71">
        <w:t>at 19-23.</w:t>
      </w:r>
    </w:p>
  </w:footnote>
  <w:footnote w:id="20">
    <w:p w:rsidR="005B374F" w:rsidRPr="00AB1E71" w:rsidP="00AB1E71" w14:paraId="721B252C" w14:textId="47732AF5">
      <w:pPr>
        <w:pStyle w:val="FootnoteText"/>
        <w:spacing w:after="120"/>
      </w:pPr>
      <w:r w:rsidRPr="00AB1E71">
        <w:rPr>
          <w:rStyle w:val="FootnoteReference"/>
        </w:rPr>
        <w:footnoteRef/>
      </w:r>
      <w:r w:rsidRPr="00AB1E71">
        <w:t xml:space="preserve"> Initial Comments of Ohio Edison Company, the Cleveland Electric Illuminating Company and the Toledo Edison Company at 1 (Nov. 22, 2021).</w:t>
      </w:r>
    </w:p>
  </w:footnote>
  <w:footnote w:id="21">
    <w:p w:rsidR="005B374F" w:rsidRPr="00AB1E71" w:rsidP="00AB1E71" w14:paraId="6177E67E" w14:textId="43A7F553">
      <w:pPr>
        <w:pStyle w:val="FootnoteText"/>
        <w:spacing w:after="120"/>
        <w:rPr>
          <w:i/>
          <w:iCs/>
        </w:rPr>
      </w:pPr>
      <w:r w:rsidRPr="00AB1E71">
        <w:rPr>
          <w:rStyle w:val="FootnoteReference"/>
        </w:rPr>
        <w:footnoteRef/>
      </w:r>
      <w:r w:rsidRPr="00AB1E71">
        <w:t xml:space="preserve"> </w:t>
      </w:r>
      <w:r w:rsidRPr="00AB1E71">
        <w:rPr>
          <w:i/>
          <w:iCs/>
        </w:rPr>
        <w:t>Id.</w:t>
      </w:r>
    </w:p>
  </w:footnote>
  <w:footnote w:id="22">
    <w:p w:rsidR="005B374F" w:rsidRPr="00AB1E71" w:rsidP="00AB1E71" w14:paraId="5FC396C4" w14:textId="0875FF7A">
      <w:pPr>
        <w:pStyle w:val="FootnoteText"/>
        <w:spacing w:after="120"/>
        <w:rPr>
          <w:i/>
          <w:iCs/>
        </w:rPr>
      </w:pPr>
      <w:r w:rsidRPr="00AB1E71">
        <w:rPr>
          <w:rStyle w:val="FootnoteReference"/>
        </w:rPr>
        <w:footnoteRef/>
      </w:r>
      <w:r w:rsidRPr="00AB1E71">
        <w:t xml:space="preserve"> </w:t>
      </w:r>
      <w:r w:rsidRPr="00AB1E71">
        <w:rPr>
          <w:i/>
          <w:iCs/>
        </w:rPr>
        <w:t xml:space="preserve">Id. </w:t>
      </w:r>
    </w:p>
  </w:footnote>
  <w:footnote w:id="23">
    <w:p w:rsidR="005B374F" w:rsidRPr="00AB1E71" w:rsidP="00AB1E71" w14:paraId="24C9F66C" w14:textId="76C836D3">
      <w:pPr>
        <w:pStyle w:val="FootnoteText"/>
        <w:spacing w:after="120"/>
        <w:rPr>
          <w:i/>
          <w:iCs/>
        </w:rPr>
      </w:pPr>
      <w:r w:rsidRPr="00AB1E71">
        <w:rPr>
          <w:rStyle w:val="FootnoteReference"/>
        </w:rPr>
        <w:footnoteRef/>
      </w:r>
      <w:r w:rsidRPr="00AB1E71">
        <w:t xml:space="preserve"> </w:t>
      </w:r>
      <w:r w:rsidRPr="00AB1E71">
        <w:rPr>
          <w:i/>
          <w:iCs/>
        </w:rPr>
        <w:t>Id.</w:t>
      </w:r>
    </w:p>
  </w:footnote>
  <w:footnote w:id="24">
    <w:p w:rsidR="005B374F" w:rsidRPr="00AB1E71" w:rsidP="00AB1E71" w14:paraId="34C7AEEF" w14:textId="333ACD72">
      <w:pPr>
        <w:pStyle w:val="FootnoteText"/>
        <w:spacing w:after="120"/>
      </w:pPr>
      <w:r w:rsidRPr="00AB1E71">
        <w:rPr>
          <w:rStyle w:val="FootnoteReference"/>
        </w:rPr>
        <w:footnoteRef/>
      </w:r>
      <w:r w:rsidRPr="00AB1E71">
        <w:t xml:space="preserve"> FirstEnergy Corp., Form 10-Q at 84 (Nov. 19, 2020).</w:t>
      </w:r>
    </w:p>
  </w:footnote>
  <w:footnote w:id="25">
    <w:p w:rsidR="005B374F" w:rsidRPr="00AB1E71" w:rsidP="00AB1E71" w14:paraId="7CD8115C" w14:textId="36A58C35">
      <w:pPr>
        <w:pStyle w:val="FootnoteText"/>
        <w:spacing w:after="120"/>
      </w:pPr>
      <w:r w:rsidRPr="00AB1E71">
        <w:rPr>
          <w:rStyle w:val="FootnoteReference"/>
        </w:rPr>
        <w:footnoteRef/>
      </w:r>
      <w:r w:rsidRPr="00AB1E71">
        <w:t xml:space="preserve"> M. Scladen, </w:t>
      </w:r>
      <w:r w:rsidRPr="00AB1E71">
        <w:rPr>
          <w:i/>
          <w:iCs/>
        </w:rPr>
        <w:t>Ohio House Speaker, four others arrested amid massive dark-money, pay-to-play allegations.</w:t>
      </w:r>
      <w:r w:rsidRPr="00AB1E71" w:rsidR="00AB44BE">
        <w:rPr>
          <w:i/>
          <w:iCs/>
        </w:rPr>
        <w:t xml:space="preserve"> </w:t>
      </w:r>
      <w:r w:rsidRPr="00AB1E71">
        <w:t>Ohio Capital Journal (July 21, 2021).</w:t>
      </w:r>
    </w:p>
  </w:footnote>
  <w:footnote w:id="26">
    <w:p w:rsidR="005B374F" w:rsidRPr="00AB1E71" w:rsidP="00AB1E71" w14:paraId="78018444" w14:textId="08009710">
      <w:pPr>
        <w:pStyle w:val="FootnoteText"/>
        <w:spacing w:after="120"/>
      </w:pPr>
      <w:r w:rsidRPr="00AB1E71">
        <w:rPr>
          <w:rStyle w:val="FootnoteReference"/>
        </w:rPr>
        <w:footnoteRef/>
      </w:r>
      <w:r w:rsidRPr="00AB1E71">
        <w:t xml:space="preserve"> OCC Initial Comments at 6-14 (Nov. 22, 2021).</w:t>
      </w:r>
    </w:p>
  </w:footnote>
  <w:footnote w:id="27">
    <w:p w:rsidR="005B374F" w:rsidRPr="00AB1E71" w:rsidP="00AB1E71" w14:paraId="5A60D57F" w14:textId="22F4C4D3">
      <w:pPr>
        <w:pStyle w:val="FootnoteText"/>
        <w:spacing w:after="120"/>
      </w:pPr>
      <w:r w:rsidRPr="00AB1E71">
        <w:rPr>
          <w:rStyle w:val="FootnoteReference"/>
        </w:rPr>
        <w:footnoteRef/>
      </w:r>
      <w:r w:rsidRPr="00AB1E71">
        <w:t xml:space="preserve"> OMAEG Initial Comments at 14 (Nov. 22, 2021).</w:t>
      </w:r>
    </w:p>
  </w:footnote>
  <w:footnote w:id="28">
    <w:p w:rsidR="005B374F" w:rsidRPr="00AB1E71" w:rsidP="00AB1E71" w14:paraId="6C94F6D2" w14:textId="6D1428ED">
      <w:pPr>
        <w:pStyle w:val="FootnoteText"/>
        <w:spacing w:after="120"/>
      </w:pPr>
      <w:r w:rsidRPr="00AB1E71">
        <w:rPr>
          <w:rStyle w:val="FootnoteReference"/>
        </w:rPr>
        <w:footnoteRef/>
      </w:r>
      <w:r w:rsidRPr="00AB1E71">
        <w:t xml:space="preserve"> </w:t>
      </w:r>
      <w:r w:rsidRPr="00AB1E71">
        <w:rPr>
          <w:i/>
          <w:iCs/>
        </w:rPr>
        <w:t xml:space="preserve">Id. </w:t>
      </w:r>
      <w:r w:rsidRPr="00AB1E71">
        <w:t>at 14-22.</w:t>
      </w:r>
    </w:p>
  </w:footnote>
  <w:footnote w:id="29">
    <w:p w:rsidR="005B374F" w:rsidRPr="00AB1E71" w:rsidP="00AB1E71" w14:paraId="70DB01BA" w14:textId="293F1F70">
      <w:pPr>
        <w:pStyle w:val="FootnoteText"/>
        <w:spacing w:after="120"/>
      </w:pPr>
      <w:r w:rsidRPr="00AB1E71">
        <w:rPr>
          <w:rStyle w:val="FootnoteReference"/>
        </w:rPr>
        <w:footnoteRef/>
      </w:r>
      <w:r w:rsidRPr="00AB1E71">
        <w:t xml:space="preserve"> IEU-Ohio Initial Comments at 2 (Nov. 22, 2021).</w:t>
      </w:r>
    </w:p>
  </w:footnote>
  <w:footnote w:id="30">
    <w:p w:rsidR="005B374F" w:rsidRPr="00AB1E71" w:rsidP="00AB1E71" w14:paraId="713821B2" w14:textId="14CD8510">
      <w:pPr>
        <w:pStyle w:val="FootnoteText"/>
        <w:spacing w:after="120"/>
      </w:pPr>
      <w:r w:rsidRPr="00AB1E71">
        <w:rPr>
          <w:rStyle w:val="FootnoteReference"/>
        </w:rPr>
        <w:footnoteRef/>
      </w:r>
      <w:r w:rsidRPr="00AB1E71">
        <w:t xml:space="preserve"> Direct Energy Initial Comments at 1 (Nov. 22, 2021).</w:t>
      </w:r>
    </w:p>
  </w:footnote>
  <w:footnote w:id="31">
    <w:p w:rsidR="005B374F" w:rsidRPr="00AB1E71" w:rsidP="00AB1E71" w14:paraId="647BDD9A" w14:textId="1DB4CB58">
      <w:pPr>
        <w:pStyle w:val="FootnoteText"/>
        <w:spacing w:after="120"/>
      </w:pPr>
      <w:r w:rsidRPr="00AB1E71">
        <w:rPr>
          <w:rStyle w:val="FootnoteReference"/>
        </w:rPr>
        <w:footnoteRef/>
      </w:r>
      <w:r w:rsidRPr="00AB1E71">
        <w:t xml:space="preserve"> Vistra Initial Comments at 1 (Nov. 22, 2021).</w:t>
      </w:r>
    </w:p>
  </w:footnote>
  <w:footnote w:id="32">
    <w:p w:rsidR="005B374F" w:rsidRPr="00AB1E71" w:rsidP="00AB1E71" w14:paraId="0FA13A92" w14:textId="407A94EA">
      <w:pPr>
        <w:pStyle w:val="FootnoteText"/>
        <w:spacing w:after="120"/>
      </w:pPr>
      <w:r w:rsidRPr="00AB1E71">
        <w:rPr>
          <w:rStyle w:val="FootnoteReference"/>
        </w:rPr>
        <w:footnoteRef/>
      </w:r>
      <w:r w:rsidRPr="00AB1E71">
        <w:t xml:space="preserve"> Initial Comments of Ohio Edison Company, the Cleveland Electric Illuminating Company and the Toledo Edison Company at 3-4 (Nov. 22, 2021).</w:t>
      </w:r>
    </w:p>
  </w:footnote>
  <w:footnote w:id="33">
    <w:p w:rsidR="005B374F" w:rsidRPr="00AB1E71" w:rsidP="00AB1E71" w14:paraId="427A577B" w14:textId="2D08DAB9">
      <w:pPr>
        <w:pStyle w:val="FootnoteText"/>
        <w:spacing w:after="120"/>
      </w:pPr>
      <w:r w:rsidRPr="00AB1E71">
        <w:rPr>
          <w:rStyle w:val="FootnoteReference"/>
        </w:rPr>
        <w:footnoteRef/>
      </w:r>
      <w:r w:rsidRPr="00AB1E71">
        <w:t xml:space="preserve"> Daymark Audit Report at 90.</w:t>
      </w:r>
    </w:p>
  </w:footnote>
  <w:footnote w:id="34">
    <w:p w:rsidR="005B374F" w:rsidRPr="00AB1E71" w:rsidP="00AB1E71" w14:paraId="562D3266" w14:textId="32B45398">
      <w:pPr>
        <w:pStyle w:val="FootnoteText"/>
        <w:spacing w:after="120"/>
      </w:pPr>
      <w:r w:rsidRPr="00AB1E71">
        <w:rPr>
          <w:rStyle w:val="FootnoteReference"/>
        </w:rPr>
        <w:footnoteRef/>
      </w:r>
      <w:r w:rsidRPr="00AB1E71">
        <w:t xml:space="preserve"> OCC Initial Comments at 11-14 and 19-23 (Nov. 22, 2021).</w:t>
      </w:r>
    </w:p>
  </w:footnote>
  <w:footnote w:id="35">
    <w:p w:rsidR="005B374F" w:rsidRPr="00AB1E71" w:rsidP="00AB1E71" w14:paraId="230FE7A6" w14:textId="723519E0">
      <w:pPr>
        <w:pStyle w:val="FootnoteText"/>
        <w:spacing w:after="120"/>
      </w:pPr>
      <w:r w:rsidRPr="00AB1E71">
        <w:rPr>
          <w:rStyle w:val="FootnoteReference"/>
        </w:rPr>
        <w:footnoteRef/>
      </w:r>
      <w:r w:rsidRPr="00AB1E71">
        <w:t xml:space="preserve"> Initial Comments of Ohio Edison Company, the Cleveland Electric Illuminating Company and the Toledo Edison Company at 4 (Nov. 22, 2021).</w:t>
      </w:r>
    </w:p>
  </w:footnote>
  <w:footnote w:id="36">
    <w:p w:rsidR="005B374F" w:rsidRPr="00AB1E71" w:rsidP="00AB1E71" w14:paraId="49562B55" w14:textId="518E736C">
      <w:pPr>
        <w:pStyle w:val="FootnoteText"/>
        <w:spacing w:after="120"/>
      </w:pPr>
      <w:r w:rsidRPr="00AB1E71">
        <w:rPr>
          <w:rStyle w:val="FootnoteReference"/>
        </w:rPr>
        <w:footnoteRef/>
      </w:r>
      <w:r w:rsidRPr="00AB1E71">
        <w:rPr>
          <w:i/>
          <w:iCs/>
        </w:rPr>
        <w:t xml:space="preserve"> Id</w:t>
      </w:r>
      <w:r w:rsidRPr="00AB1E71">
        <w:t>.</w:t>
      </w:r>
    </w:p>
  </w:footnote>
  <w:footnote w:id="37">
    <w:p w:rsidR="005B374F" w:rsidRPr="00AB1E71" w:rsidP="00AB1E71" w14:paraId="02699F6A" w14:textId="2ACE94A2">
      <w:pPr>
        <w:pStyle w:val="FootnoteText"/>
        <w:spacing w:after="120"/>
      </w:pPr>
      <w:r w:rsidRPr="00AB1E71">
        <w:rPr>
          <w:rStyle w:val="FootnoteReference"/>
        </w:rPr>
        <w:footnoteRef/>
      </w:r>
      <w:r w:rsidRPr="00AB1E71">
        <w:t xml:space="preserve"> </w:t>
      </w:r>
      <w:r w:rsidRPr="00AB1E71">
        <w:rPr>
          <w:i/>
          <w:iCs/>
        </w:rPr>
        <w:t>Id.</w:t>
      </w:r>
      <w:r w:rsidRPr="00AB1E71" w:rsidR="00AB44BE">
        <w:t xml:space="preserve"> </w:t>
      </w:r>
    </w:p>
  </w:footnote>
  <w:footnote w:id="38">
    <w:p w:rsidR="005B374F" w:rsidRPr="00AB1E71" w:rsidP="00AB1E71" w14:paraId="70874288" w14:textId="62D5A099">
      <w:pPr>
        <w:pStyle w:val="FootnoteText"/>
        <w:spacing w:after="120"/>
      </w:pPr>
      <w:r w:rsidRPr="00AB1E71">
        <w:rPr>
          <w:rStyle w:val="FootnoteReference"/>
        </w:rPr>
        <w:footnoteRef/>
      </w:r>
      <w:r w:rsidRPr="00AB1E71">
        <w:t xml:space="preserve"> FirstEnergy Service Company FERC Form 60 at 301 (2018).</w:t>
      </w:r>
    </w:p>
  </w:footnote>
  <w:footnote w:id="39">
    <w:p w:rsidR="005B374F" w:rsidRPr="00AB1E71" w:rsidP="00AB1E71" w14:paraId="298BD30E" w14:textId="10E088EC">
      <w:pPr>
        <w:pStyle w:val="FootnoteText"/>
        <w:spacing w:after="120"/>
      </w:pPr>
      <w:r w:rsidRPr="00AB1E71">
        <w:rPr>
          <w:rStyle w:val="FootnoteReference"/>
        </w:rPr>
        <w:footnoteRef/>
      </w:r>
      <w:r w:rsidRPr="00AB1E71">
        <w:t xml:space="preserve"> R.C. 4905.22. </w:t>
      </w:r>
    </w:p>
  </w:footnote>
  <w:footnote w:id="40">
    <w:p w:rsidR="005B374F" w:rsidRPr="00AB1E71" w:rsidP="00AB1E71" w14:paraId="358644FE" w14:textId="2A6E4317">
      <w:pPr>
        <w:pStyle w:val="FootnoteText"/>
        <w:spacing w:after="120"/>
      </w:pPr>
      <w:r w:rsidRPr="00AB1E71">
        <w:rPr>
          <w:rStyle w:val="FootnoteReference"/>
        </w:rPr>
        <w:footnoteRef/>
      </w:r>
      <w:r w:rsidRPr="00AB1E71">
        <w:t xml:space="preserve"> O.A.C. 4901:1-9-05(A).</w:t>
      </w:r>
    </w:p>
  </w:footnote>
  <w:footnote w:id="41">
    <w:p w:rsidR="005B374F" w:rsidRPr="00AB1E71" w:rsidP="00AB1E71" w14:paraId="02F1E24A" w14:textId="693C643F">
      <w:pPr>
        <w:pStyle w:val="FootnoteText"/>
        <w:spacing w:after="120"/>
        <w:rPr>
          <w:i/>
          <w:iCs/>
        </w:rPr>
      </w:pPr>
      <w:r w:rsidRPr="00AB1E71">
        <w:rPr>
          <w:rStyle w:val="FootnoteReference"/>
        </w:rPr>
        <w:footnoteRef/>
      </w:r>
      <w:r w:rsidRPr="00AB1E71">
        <w:t xml:space="preserve"> 18 CFR Part 101, </w:t>
      </w:r>
      <w:r w:rsidRPr="00AB1E71">
        <w:rPr>
          <w:i/>
          <w:iCs/>
        </w:rPr>
        <w:t>Uniform System of Accounts Prescribed for Public Utilities and Licensees Subject to the Provisions of the Federal Power Act, General Instructions (2) Records.</w:t>
      </w:r>
    </w:p>
  </w:footnote>
  <w:footnote w:id="42">
    <w:p w:rsidR="005B374F" w:rsidRPr="00AB1E71" w:rsidP="00AB1E71" w14:paraId="23FA2398" w14:textId="306432AA">
      <w:pPr>
        <w:pStyle w:val="FootnoteText"/>
        <w:spacing w:after="120"/>
      </w:pPr>
      <w:r w:rsidRPr="00AB1E71">
        <w:rPr>
          <w:rStyle w:val="FootnoteReference"/>
        </w:rPr>
        <w:footnoteRef/>
      </w:r>
      <w:r w:rsidRPr="00AB1E71">
        <w:t xml:space="preserve"> OMAEG Initial Comments at 16 (Nov. 22, 2021).</w:t>
      </w:r>
    </w:p>
  </w:footnote>
  <w:footnote w:id="43">
    <w:p w:rsidR="005B374F" w:rsidRPr="00AB1E71" w:rsidP="00AB1E71" w14:paraId="6A10A1D2" w14:textId="4EA2DC9F">
      <w:pPr>
        <w:pStyle w:val="FootnoteText"/>
        <w:spacing w:after="120"/>
      </w:pPr>
      <w:r w:rsidRPr="00AB1E71">
        <w:rPr>
          <w:rStyle w:val="FootnoteReference"/>
        </w:rPr>
        <w:footnoteRef/>
      </w:r>
      <w:r w:rsidRPr="00AB1E71">
        <w:t xml:space="preserve"> IEU-Ohio Initial Comments at 5 (Nov. 22, 2021).</w:t>
      </w:r>
    </w:p>
  </w:footnote>
  <w:footnote w:id="44">
    <w:p w:rsidR="005B374F" w:rsidRPr="00AB1E71" w:rsidP="00AB1E71" w14:paraId="3D39AEDC" w14:textId="08C56BCF">
      <w:pPr>
        <w:pStyle w:val="FootnoteText"/>
        <w:spacing w:after="120"/>
      </w:pPr>
      <w:r w:rsidRPr="00AB1E71">
        <w:rPr>
          <w:rStyle w:val="FootnoteReference"/>
        </w:rPr>
        <w:footnoteRef/>
      </w:r>
      <w:r w:rsidRPr="00AB1E71">
        <w:t xml:space="preserve"> Vistra Initial Comments at 11 (Nov. 22, 2021).</w:t>
      </w:r>
    </w:p>
  </w:footnote>
  <w:footnote w:id="45">
    <w:p w:rsidR="005B374F" w:rsidRPr="00AB1E71" w:rsidP="00AB1E71" w14:paraId="6B7D3D9E" w14:textId="77777777">
      <w:pPr>
        <w:pStyle w:val="FootnoteText"/>
        <w:spacing w:after="120"/>
      </w:pPr>
      <w:r w:rsidRPr="00AB1E71">
        <w:rPr>
          <w:rStyle w:val="FootnoteReference"/>
        </w:rPr>
        <w:footnoteRef/>
      </w:r>
      <w:r w:rsidRPr="00AB1E71">
        <w:t xml:space="preserve"> L. Bischoff, J. Sweigart &amp; L. Hulsey, </w:t>
      </w:r>
      <w:r w:rsidRPr="00AB1E71">
        <w:rPr>
          <w:i/>
          <w:iCs/>
        </w:rPr>
        <w:t xml:space="preserve">Here’s how feds say largest bribery scheme in Ohio was perpetrated. </w:t>
      </w:r>
      <w:r w:rsidRPr="00AB1E71">
        <w:t>Dayton Daily News (July 22, 2020).</w:t>
      </w:r>
    </w:p>
  </w:footnote>
  <w:footnote w:id="46">
    <w:p w:rsidR="005B374F" w:rsidRPr="00AB1E71" w:rsidP="00AB1E71" w14:paraId="0CBC7D79" w14:textId="09885B0D">
      <w:pPr>
        <w:pStyle w:val="FootnoteText"/>
        <w:spacing w:after="120"/>
      </w:pPr>
      <w:r w:rsidRPr="00AB1E71">
        <w:rPr>
          <w:rStyle w:val="FootnoteReference"/>
        </w:rPr>
        <w:footnoteRef/>
      </w:r>
      <w:r w:rsidRPr="00AB1E71">
        <w:t xml:space="preserve"> NOPEC Comments at 1 (Nov. 22, 2020).</w:t>
      </w:r>
    </w:p>
  </w:footnote>
  <w:footnote w:id="47">
    <w:p w:rsidR="005B374F" w:rsidRPr="00AB1E71" w:rsidP="00AB1E71" w14:paraId="5473FAF6" w14:textId="07BE3AD6">
      <w:pPr>
        <w:pStyle w:val="FootnoteText"/>
        <w:spacing w:after="120"/>
      </w:pPr>
      <w:r w:rsidRPr="00AB1E71">
        <w:rPr>
          <w:rStyle w:val="FootnoteReference"/>
        </w:rPr>
        <w:footnoteRef/>
      </w:r>
      <w:r w:rsidRPr="00AB1E71">
        <w:t xml:space="preserve"> OMAEG Comments at 16 (Nov. 22, 2020).</w:t>
      </w:r>
    </w:p>
  </w:footnote>
  <w:footnote w:id="48">
    <w:p w:rsidR="005B374F" w:rsidRPr="00AB1E71" w:rsidP="00AB1E71" w14:paraId="038E2F91" w14:textId="5185C623">
      <w:pPr>
        <w:pStyle w:val="FootnoteText"/>
        <w:spacing w:after="120"/>
      </w:pPr>
      <w:r w:rsidRPr="00AB1E71">
        <w:rPr>
          <w:rStyle w:val="FootnoteReference"/>
        </w:rPr>
        <w:footnoteRef/>
      </w:r>
      <w:r w:rsidRPr="00AB1E71">
        <w:t xml:space="preserve"> IGS Energy Comments at 10 (Nov. 22, 2021).</w:t>
      </w:r>
    </w:p>
  </w:footnote>
  <w:footnote w:id="49">
    <w:p w:rsidR="005B374F" w:rsidRPr="00AB1E71" w:rsidP="00AB1E71" w14:paraId="3ECB4B2E" w14:textId="4BF75E89">
      <w:pPr>
        <w:pStyle w:val="FootnoteText"/>
        <w:spacing w:after="120"/>
      </w:pPr>
      <w:r w:rsidRPr="00AB1E71">
        <w:rPr>
          <w:rStyle w:val="FootnoteReference"/>
        </w:rPr>
        <w:footnoteRef/>
      </w:r>
      <w:r w:rsidRPr="00AB1E71">
        <w:t xml:space="preserve"> OCC Comments at 24-28 (Nov. 22, 2021).</w:t>
      </w:r>
    </w:p>
  </w:footnote>
  <w:footnote w:id="50">
    <w:p w:rsidR="005B374F" w:rsidRPr="00AB1E71" w:rsidP="00AB1E71" w14:paraId="62537E7A" w14:textId="5228D57B">
      <w:pPr>
        <w:pStyle w:val="FootnoteText"/>
        <w:spacing w:after="120"/>
      </w:pPr>
      <w:r w:rsidRPr="00AB1E71">
        <w:rPr>
          <w:rStyle w:val="FootnoteReference"/>
        </w:rPr>
        <w:footnoteRef/>
      </w:r>
      <w:r w:rsidRPr="00AB1E71">
        <w:t xml:space="preserve"> NOPEC Comments at 1-2 (Nov. 22, 2021).</w:t>
      </w:r>
      <w:r w:rsidRPr="00AB1E71" w:rsidR="00AB44BE">
        <w:t xml:space="preserve"> </w:t>
      </w:r>
    </w:p>
  </w:footnote>
  <w:footnote w:id="51">
    <w:p w:rsidR="005B374F" w:rsidRPr="00AB1E71" w:rsidP="00AB1E71" w14:paraId="2F7DF186" w14:textId="1A68C1EA">
      <w:pPr>
        <w:pStyle w:val="FootnoteText"/>
        <w:spacing w:after="120"/>
      </w:pPr>
      <w:r w:rsidRPr="00AB1E71">
        <w:rPr>
          <w:rStyle w:val="FootnoteReference"/>
        </w:rPr>
        <w:footnoteRef/>
      </w:r>
      <w:r w:rsidRPr="00AB1E71">
        <w:t xml:space="preserve"> </w:t>
      </w:r>
      <w:r w:rsidRPr="00AB1E71">
        <w:rPr>
          <w:i/>
          <w:iCs/>
        </w:rPr>
        <w:t xml:space="preserve">Id. </w:t>
      </w:r>
      <w:r w:rsidRPr="00AB1E71">
        <w:t>at 7.</w:t>
      </w:r>
    </w:p>
  </w:footnote>
  <w:footnote w:id="52">
    <w:p w:rsidR="005B374F" w:rsidRPr="00AB1E71" w:rsidP="00AB1E71" w14:paraId="4C517276" w14:textId="75FED9F8">
      <w:pPr>
        <w:pStyle w:val="FootnoteText"/>
        <w:spacing w:after="120"/>
      </w:pPr>
      <w:r w:rsidRPr="00AB1E71">
        <w:rPr>
          <w:rStyle w:val="FootnoteReference"/>
        </w:rPr>
        <w:footnoteRef/>
      </w:r>
      <w:r w:rsidRPr="00AB1E71">
        <w:t xml:space="preserve"> </w:t>
      </w:r>
      <w:r w:rsidRPr="00AB1E71">
        <w:rPr>
          <w:i/>
          <w:iCs/>
        </w:rPr>
        <w:t xml:space="preserve">Id. </w:t>
      </w:r>
      <w:r w:rsidRPr="00AB1E71">
        <w:t>at 7-19.</w:t>
      </w:r>
    </w:p>
  </w:footnote>
  <w:footnote w:id="53">
    <w:p w:rsidR="005B374F" w:rsidRPr="00AB1E71" w:rsidP="00AB1E71" w14:paraId="0B82CA02" w14:textId="166DBCE5">
      <w:pPr>
        <w:pStyle w:val="FootnoteText"/>
        <w:spacing w:after="120"/>
      </w:pPr>
      <w:r w:rsidRPr="00AB1E71">
        <w:rPr>
          <w:rStyle w:val="FootnoteReference"/>
        </w:rPr>
        <w:footnoteRef/>
      </w:r>
      <w:r w:rsidRPr="00AB1E71">
        <w:t xml:space="preserve"> OMAEG Comments at 18 (Nov. 21, 2021).</w:t>
      </w:r>
    </w:p>
  </w:footnote>
  <w:footnote w:id="54">
    <w:p w:rsidR="005B374F" w:rsidRPr="00AB1E71" w:rsidP="00AB1E71" w14:paraId="556C122E" w14:textId="3A1CCA3C">
      <w:pPr>
        <w:pStyle w:val="FootnoteText"/>
        <w:spacing w:after="120"/>
      </w:pPr>
      <w:r w:rsidRPr="00AB1E71">
        <w:rPr>
          <w:rStyle w:val="FootnoteReference"/>
        </w:rPr>
        <w:footnoteRef/>
      </w:r>
      <w:r w:rsidRPr="00AB1E71">
        <w:t xml:space="preserve"> </w:t>
      </w:r>
      <w:r w:rsidRPr="00AB1E71">
        <w:rPr>
          <w:i/>
          <w:iCs/>
        </w:rPr>
        <w:t xml:space="preserve">Id. </w:t>
      </w:r>
      <w:r w:rsidRPr="00AB1E71">
        <w:t>at 18-19.</w:t>
      </w:r>
    </w:p>
  </w:footnote>
  <w:footnote w:id="55">
    <w:p w:rsidR="005B374F" w:rsidRPr="00AB1E71" w:rsidP="00AB1E71" w14:paraId="1C131DF5" w14:textId="09EAB46B">
      <w:pPr>
        <w:pStyle w:val="FootnoteText"/>
        <w:spacing w:after="120"/>
      </w:pPr>
      <w:r w:rsidRPr="00AB1E71">
        <w:rPr>
          <w:rStyle w:val="FootnoteReference"/>
        </w:rPr>
        <w:footnoteRef/>
      </w:r>
      <w:r w:rsidRPr="00AB1E71">
        <w:t xml:space="preserve"> Comments of Interstate Gas Supply, Inc. at 12-38 (Nov. 22, 2021); Comments of Vistra at 3-11 (Nov. 22, 2021); Comments of IEU-Ohio at 2-4 (Nov. 22, 2021).</w:t>
      </w:r>
    </w:p>
  </w:footnote>
  <w:footnote w:id="56">
    <w:p w:rsidR="005B374F" w:rsidRPr="00AB1E71" w:rsidP="00AB1E71" w14:paraId="4AFB519E" w14:textId="19AFF112">
      <w:pPr>
        <w:pStyle w:val="FootnoteText"/>
        <w:spacing w:after="120"/>
      </w:pPr>
      <w:r w:rsidRPr="00AB1E71">
        <w:rPr>
          <w:rStyle w:val="FootnoteReference"/>
        </w:rPr>
        <w:footnoteRef/>
      </w:r>
      <w:r w:rsidRPr="00AB1E71">
        <w:t xml:space="preserve"> </w:t>
      </w:r>
      <w:r w:rsidRPr="00AB1E71">
        <w:rPr>
          <w:i/>
          <w:iCs/>
        </w:rPr>
        <w:t xml:space="preserve">U.S. v. FirstEnergy Corp., </w:t>
      </w:r>
      <w:r w:rsidRPr="00AB1E71">
        <w:t>Case No. 1:21-cr-00086-TSB, Deferred Prosecution Agreement at 17 (S.D. Ohio) (July 22, 2021).</w:t>
      </w:r>
      <w:r w:rsidRPr="00AB1E71" w:rsidR="00AB44BE">
        <w:t xml:space="preserve"> </w:t>
      </w:r>
    </w:p>
  </w:footnote>
  <w:footnote w:id="57">
    <w:p w:rsidR="005B374F" w:rsidRPr="00AB1E71" w:rsidP="00AB1E71" w14:paraId="66C4530E" w14:textId="0DBFF21E">
      <w:pPr>
        <w:pStyle w:val="FootnoteText"/>
        <w:spacing w:after="120"/>
        <w:rPr>
          <w:i/>
          <w:iCs/>
        </w:rPr>
      </w:pPr>
      <w:r w:rsidRPr="00AB1E71">
        <w:rPr>
          <w:rStyle w:val="FootnoteReference"/>
        </w:rPr>
        <w:footnoteRef/>
      </w:r>
      <w:r w:rsidRPr="00AB1E71">
        <w:t xml:space="preserve"> </w:t>
      </w:r>
      <w:r w:rsidRPr="00AB1E71">
        <w:rPr>
          <w:i/>
          <w:iCs/>
        </w:rPr>
        <w:t>Id.</w:t>
      </w:r>
    </w:p>
  </w:footnote>
  <w:footnote w:id="58">
    <w:p w:rsidR="005B374F" w:rsidRPr="00AB1E71" w:rsidP="00AB1E71" w14:paraId="2AE719E0" w14:textId="0F5B848D">
      <w:pPr>
        <w:pStyle w:val="FootnoteText"/>
        <w:spacing w:after="120"/>
      </w:pPr>
      <w:r w:rsidRPr="00AB1E71">
        <w:rPr>
          <w:rStyle w:val="FootnoteReference"/>
        </w:rPr>
        <w:footnoteRef/>
      </w:r>
      <w:r w:rsidRPr="00AB1E71">
        <w:t xml:space="preserve"> OCC Comments at 28-33 (Nov. 22, 2021).</w:t>
      </w:r>
    </w:p>
  </w:footnote>
  <w:footnote w:id="59">
    <w:p w:rsidR="005B374F" w:rsidRPr="00AB1E71" w:rsidP="00AB1E71" w14:paraId="04010566" w14:textId="2DB55DDE">
      <w:pPr>
        <w:pStyle w:val="FootnoteText"/>
        <w:spacing w:after="120"/>
      </w:pPr>
      <w:r w:rsidRPr="00AB1E71">
        <w:rPr>
          <w:rStyle w:val="FootnoteReference"/>
        </w:rPr>
        <w:footnoteRef/>
      </w:r>
      <w:r w:rsidRPr="00AB1E71">
        <w:t xml:space="preserve"> Comments of OMAEG at 24 (Nov. 22, 2021).</w:t>
      </w:r>
    </w:p>
  </w:footnote>
  <w:footnote w:id="60">
    <w:p w:rsidR="005B374F" w:rsidRPr="00AB1E71" w:rsidP="00AB1E71" w14:paraId="4D2B2DE2" w14:textId="35A1C70B">
      <w:pPr>
        <w:pStyle w:val="FootnoteText"/>
        <w:spacing w:after="120"/>
      </w:pPr>
      <w:r w:rsidRPr="00AB1E71">
        <w:rPr>
          <w:rStyle w:val="FootnoteReference"/>
        </w:rPr>
        <w:footnoteRef/>
      </w:r>
      <w:r w:rsidRPr="00AB1E71">
        <w:t xml:space="preserve"> Motion for Supplemental Audit (Nov. 5, 2021).</w:t>
      </w:r>
    </w:p>
  </w:footnote>
  <w:footnote w:id="61">
    <w:p w:rsidR="005B374F" w:rsidRPr="00AB1E71" w:rsidP="00AB1E71" w14:paraId="5CAF44DD" w14:textId="6C15BF12">
      <w:pPr>
        <w:pStyle w:val="FootnoteText"/>
        <w:spacing w:after="120"/>
      </w:pPr>
      <w:r w:rsidRPr="00AB1E71">
        <w:rPr>
          <w:rStyle w:val="FootnoteReference"/>
        </w:rPr>
        <w:footnoteRef/>
      </w:r>
      <w:r w:rsidRPr="00AB1E71">
        <w:t xml:space="preserve"> OCC Initial Comments at 38-39 (Nov. 22, 2021).</w:t>
      </w:r>
    </w:p>
  </w:footnote>
  <w:footnote w:id="62">
    <w:p w:rsidR="005B374F" w:rsidRPr="00AB1E71" w:rsidP="00AB1E71" w14:paraId="77ED1EE7" w14:textId="6172DF39">
      <w:pPr>
        <w:pStyle w:val="FootnoteText"/>
        <w:spacing w:after="120"/>
      </w:pPr>
      <w:r w:rsidRPr="00AB1E71">
        <w:rPr>
          <w:rStyle w:val="FootnoteReference"/>
        </w:rPr>
        <w:footnoteRef/>
      </w:r>
      <w:r w:rsidRPr="00AB1E71">
        <w:t xml:space="preserve"> OMAEG Initial Comments at 24-25 (Nov. 22, 2021); Vistra Initial Comments at 2 (Nov. 22, 2021); IGS Energy Initial Comments at 12 (Nov. 22, 2021).</w:t>
      </w:r>
    </w:p>
  </w:footnote>
  <w:footnote w:id="63">
    <w:p w:rsidR="005B374F" w:rsidRPr="00AB1E71" w:rsidP="00AB1E71" w14:paraId="52882254" w14:textId="21F80489">
      <w:pPr>
        <w:pStyle w:val="FootnoteText"/>
        <w:spacing w:after="120"/>
      </w:pPr>
      <w:r w:rsidRPr="00AB1E71">
        <w:rPr>
          <w:rStyle w:val="FootnoteReference"/>
        </w:rPr>
        <w:footnoteRef/>
      </w:r>
      <w:r w:rsidRPr="00AB1E71">
        <w:t xml:space="preserve"> OMAEG Initial Comments at 14 (Nov. 22, 2021).</w:t>
      </w:r>
    </w:p>
  </w:footnote>
  <w:footnote w:id="64">
    <w:p w:rsidR="005B374F" w:rsidRPr="00AB1E71" w:rsidP="00AB1E71" w14:paraId="72FB740A" w14:textId="6C10CD6D">
      <w:pPr>
        <w:pStyle w:val="FootnoteText"/>
        <w:spacing w:after="120"/>
      </w:pPr>
      <w:r w:rsidRPr="00AB1E71">
        <w:rPr>
          <w:rStyle w:val="FootnoteReference"/>
        </w:rPr>
        <w:footnoteRef/>
      </w:r>
      <w:r w:rsidRPr="00AB1E71">
        <w:t xml:space="preserve"> </w:t>
      </w:r>
      <w:r w:rsidRPr="00AB1E71">
        <w:rPr>
          <w:i/>
          <w:iCs/>
        </w:rPr>
        <w:t xml:space="preserve">Id. </w:t>
      </w:r>
      <w:r w:rsidRPr="00AB1E71">
        <w:t>at 21-22.</w:t>
      </w:r>
    </w:p>
  </w:footnote>
  <w:footnote w:id="65">
    <w:p w:rsidR="005B374F" w:rsidRPr="00AB1E71" w:rsidP="00AB1E71" w14:paraId="6C1B65AD" w14:textId="43E8592E">
      <w:pPr>
        <w:pStyle w:val="FootnoteText"/>
        <w:spacing w:after="120"/>
      </w:pPr>
      <w:r w:rsidRPr="00AB1E71">
        <w:rPr>
          <w:rStyle w:val="FootnoteReference"/>
        </w:rPr>
        <w:footnoteRef/>
      </w:r>
      <w:r w:rsidRPr="00AB1E71">
        <w:t xml:space="preserve"> </w:t>
      </w:r>
      <w:r w:rsidRPr="00AB1E71">
        <w:rPr>
          <w:i/>
          <w:iCs/>
        </w:rPr>
        <w:t xml:space="preserve">Id. </w:t>
      </w:r>
      <w:r w:rsidRPr="00AB1E71">
        <w:t>at 23.</w:t>
      </w:r>
    </w:p>
  </w:footnote>
  <w:footnote w:id="66">
    <w:p w:rsidR="005B374F" w:rsidRPr="00AB1E71" w:rsidP="00AB1E71" w14:paraId="18DB0F0B" w14:textId="77777777">
      <w:pPr>
        <w:pStyle w:val="FootnoteText"/>
        <w:spacing w:after="120"/>
      </w:pPr>
      <w:r w:rsidRPr="00AB1E71">
        <w:rPr>
          <w:rStyle w:val="FootnoteReference"/>
        </w:rPr>
        <w:footnoteRef/>
      </w:r>
      <w:r w:rsidRPr="00AB1E71">
        <w:t xml:space="preserve"> NOPEC Initial Comments at 21-22 (Nov. 22, 2021).</w:t>
      </w:r>
    </w:p>
  </w:footnote>
  <w:footnote w:id="67">
    <w:p w:rsidR="005B374F" w:rsidRPr="00AB1E71" w:rsidP="00AB1E71" w14:paraId="55D49E85" w14:textId="15085B9D">
      <w:pPr>
        <w:pStyle w:val="FootnoteText"/>
        <w:spacing w:after="120"/>
      </w:pPr>
      <w:r w:rsidRPr="00AB1E71">
        <w:rPr>
          <w:rStyle w:val="FootnoteReference"/>
        </w:rPr>
        <w:footnoteRef/>
      </w:r>
      <w:r w:rsidRPr="00AB1E71">
        <w:t xml:space="preserve"> Vistra Initial Comments at 2 (Nov. 22, 2021).</w:t>
      </w:r>
    </w:p>
  </w:footnote>
  <w:footnote w:id="68">
    <w:p w:rsidR="005B374F" w:rsidRPr="00AB1E71" w:rsidP="00AB1E71" w14:paraId="4CAF7C79" w14:textId="1C64D049">
      <w:pPr>
        <w:pStyle w:val="FootnoteText"/>
        <w:spacing w:after="120"/>
      </w:pPr>
      <w:r w:rsidRPr="00AB1E71">
        <w:rPr>
          <w:rStyle w:val="FootnoteReference"/>
        </w:rPr>
        <w:footnoteRef/>
      </w:r>
      <w:r w:rsidRPr="00AB1E71">
        <w:t xml:space="preserve"> </w:t>
      </w:r>
      <w:r w:rsidRPr="00AB1E71">
        <w:rPr>
          <w:i/>
          <w:iCs/>
        </w:rPr>
        <w:t>Id.</w:t>
      </w:r>
      <w:r w:rsidRPr="00AB1E71">
        <w:t>; IGS Energy Initial Comments at 30 (Nov. 22, 2021).</w:t>
      </w:r>
    </w:p>
  </w:footnote>
  <w:footnote w:id="69">
    <w:p w:rsidR="005B374F" w:rsidRPr="00AB1E71" w:rsidP="00AB1E71" w14:paraId="67FBF98E" w14:textId="19E66C6C">
      <w:pPr>
        <w:pStyle w:val="FootnoteText"/>
        <w:spacing w:after="120"/>
      </w:pPr>
      <w:r w:rsidRPr="00AB1E71">
        <w:rPr>
          <w:rStyle w:val="FootnoteReference"/>
        </w:rPr>
        <w:footnoteRef/>
      </w:r>
      <w:r w:rsidRPr="00AB1E71">
        <w:t xml:space="preserve"> IGS Energy Initial Comments at 26-30 (Nov. 22, 2021).</w:t>
      </w:r>
    </w:p>
  </w:footnote>
  <w:footnote w:id="70">
    <w:p w:rsidR="005B374F" w:rsidRPr="00AB1E71" w:rsidP="00AB1E71" w14:paraId="02602759" w14:textId="157F1E66">
      <w:pPr>
        <w:pStyle w:val="FootnoteText"/>
        <w:spacing w:after="120"/>
      </w:pPr>
      <w:r w:rsidRPr="00AB1E71">
        <w:rPr>
          <w:rStyle w:val="FootnoteReference"/>
        </w:rPr>
        <w:footnoteRef/>
      </w:r>
      <w:r w:rsidRPr="00AB1E71">
        <w:t xml:space="preserve"> IEU-Ohio Initial Comments at e (Nov. 22, 2021).</w:t>
      </w:r>
    </w:p>
  </w:footnote>
  <w:footnote w:id="71">
    <w:p w:rsidR="00AB44BE" w:rsidRPr="00AB1E71" w:rsidP="00AB1E71" w14:paraId="3267CE85" w14:textId="0E0D07E2">
      <w:pPr>
        <w:pStyle w:val="FootnoteText"/>
        <w:spacing w:after="120"/>
      </w:pPr>
      <w:r w:rsidRPr="00AB1E71">
        <w:rPr>
          <w:rStyle w:val="FootnoteReference"/>
        </w:rPr>
        <w:footnoteRef/>
      </w:r>
      <w:r w:rsidRPr="00AB1E71">
        <w:t xml:space="preserve"> Direct Energy Initial Comments at 2 (Nov. 22, 2021).</w:t>
      </w:r>
    </w:p>
  </w:footnote>
  <w:footnote w:id="72">
    <w:p w:rsidR="00AB44BE" w:rsidRPr="00AB1E71" w:rsidP="00AB1E71" w14:paraId="3586C69E" w14:textId="045F3703">
      <w:pPr>
        <w:pStyle w:val="FootnoteText"/>
        <w:spacing w:after="120"/>
        <w:rPr>
          <w:i/>
          <w:iCs/>
        </w:rPr>
      </w:pPr>
      <w:r w:rsidRPr="00AB1E71">
        <w:rPr>
          <w:rStyle w:val="FootnoteReference"/>
        </w:rPr>
        <w:footnoteRef/>
      </w:r>
      <w:r w:rsidRPr="00AB1E71">
        <w:t xml:space="preserve"> </w:t>
      </w:r>
      <w:r w:rsidRPr="00AB1E71">
        <w:rPr>
          <w:i/>
          <w:iCs/>
        </w:rPr>
        <w:t xml:space="preserve">Id. </w:t>
      </w:r>
    </w:p>
  </w:footnote>
  <w:footnote w:id="73">
    <w:p w:rsidR="00AB44BE" w:rsidRPr="00AB1E71" w:rsidP="00AB1E71" w14:paraId="338B7C7C" w14:textId="0400489C">
      <w:pPr>
        <w:pStyle w:val="FootnoteText"/>
        <w:spacing w:after="120"/>
        <w:rPr>
          <w:i/>
          <w:iCs/>
        </w:rPr>
      </w:pPr>
      <w:r w:rsidRPr="00AB1E71">
        <w:rPr>
          <w:rStyle w:val="FootnoteReference"/>
        </w:rPr>
        <w:footnoteRef/>
      </w:r>
      <w:r w:rsidRPr="00AB1E71">
        <w:t xml:space="preserve"> </w:t>
      </w:r>
      <w:r w:rsidRPr="00AB1E71">
        <w:rPr>
          <w:i/>
          <w:iCs/>
        </w:rPr>
        <w:t>Id.</w:t>
      </w:r>
    </w:p>
  </w:footnote>
  <w:footnote w:id="74">
    <w:p w:rsidR="00AB44BE" w:rsidRPr="00AB1E71" w:rsidP="00AB1E71" w14:paraId="3A10DF3D" w14:textId="17B833AE">
      <w:pPr>
        <w:pStyle w:val="FootnoteText"/>
        <w:spacing w:after="120"/>
      </w:pPr>
      <w:r w:rsidRPr="00AB1E71">
        <w:rPr>
          <w:rStyle w:val="FootnoteReference"/>
        </w:rPr>
        <w:footnoteRef/>
      </w:r>
      <w:r w:rsidRPr="00AB1E71">
        <w:t xml:space="preserve"> Entry at ¶ 24 (Oct. 12, 2021).</w:t>
      </w:r>
    </w:p>
  </w:footnote>
  <w:footnote w:id="75">
    <w:p w:rsidR="00AB44BE" w:rsidRPr="00AB1E71" w:rsidP="00AB1E71" w14:paraId="07267CFA" w14:textId="68FEB5D8">
      <w:pPr>
        <w:pStyle w:val="FootnoteText"/>
        <w:spacing w:after="120"/>
      </w:pPr>
      <w:r w:rsidRPr="00AB1E71">
        <w:rPr>
          <w:rStyle w:val="FootnoteReference"/>
        </w:rPr>
        <w:footnoteRef/>
      </w:r>
      <w:r w:rsidRPr="00AB1E71">
        <w:t xml:space="preserve"> Motion for Supplemental Audit, Motion to Extend Deadlines for Comments, Reply Comments and Hearing-Related Matters, Request for Expedited Ruling (Nov. 5, 2021).</w:t>
      </w:r>
    </w:p>
  </w:footnote>
  <w:footnote w:id="76">
    <w:p w:rsidR="00AB44BE" w:rsidRPr="00AB1E71" w:rsidP="00AB1E71" w14:paraId="73C86E8F" w14:textId="2E78C422">
      <w:pPr>
        <w:pStyle w:val="FootnoteText"/>
        <w:spacing w:after="120"/>
        <w:rPr>
          <w:i/>
          <w:iCs/>
        </w:rPr>
      </w:pPr>
      <w:r w:rsidRPr="00AB1E71">
        <w:rPr>
          <w:rStyle w:val="FootnoteReference"/>
        </w:rPr>
        <w:footnoteRef/>
      </w:r>
      <w:r w:rsidRPr="00AB1E71">
        <w:t xml:space="preserve"> </w:t>
      </w:r>
      <w:r w:rsidRPr="00AB1E71">
        <w:rPr>
          <w:i/>
          <w:iCs/>
        </w:rPr>
        <w:t xml:space="preserve">Id. </w:t>
      </w:r>
    </w:p>
  </w:footnote>
  <w:footnote w:id="77">
    <w:p w:rsidR="00AB44BE" w:rsidRPr="00AB1E71" w:rsidP="00AB1E71" w14:paraId="7FB513D1" w14:textId="10A35854">
      <w:pPr>
        <w:pStyle w:val="FootnoteText"/>
        <w:spacing w:after="120"/>
      </w:pPr>
      <w:r w:rsidRPr="00AB1E71">
        <w:rPr>
          <w:rStyle w:val="FootnoteReference"/>
        </w:rPr>
        <w:footnoteRef/>
      </w:r>
      <w:r w:rsidRPr="00AB1E71">
        <w:t xml:space="preserve"> Motion for Subpoena (Sept. 24, 2021).</w:t>
      </w:r>
    </w:p>
  </w:footnote>
  <w:footnote w:id="78">
    <w:p w:rsidR="00AB44BE" w:rsidRPr="00AB1E71" w:rsidP="00AB1E71" w14:paraId="2FC3F626" w14:textId="6580583E">
      <w:pPr>
        <w:pStyle w:val="FootnoteText"/>
        <w:spacing w:after="120"/>
      </w:pPr>
      <w:r w:rsidRPr="00AB1E71">
        <w:rPr>
          <w:rStyle w:val="FootnoteReference"/>
        </w:rPr>
        <w:footnoteRef/>
      </w:r>
      <w:r w:rsidRPr="00AB1E71">
        <w:t xml:space="preserve"> FirstEnergy Corp. Form 10-K at 124-125 (Feb. 18, 2021).</w:t>
      </w:r>
    </w:p>
  </w:footnote>
  <w:footnote w:id="79">
    <w:p w:rsidR="00AB44BE" w:rsidRPr="00AB1E71" w:rsidP="00AB1E71" w14:paraId="08F0B1FB" w14:textId="037F99CE">
      <w:pPr>
        <w:pStyle w:val="FootnoteText"/>
        <w:spacing w:after="120"/>
      </w:pPr>
      <w:r w:rsidRPr="00AB1E71">
        <w:rPr>
          <w:rStyle w:val="FootnoteReference"/>
        </w:rPr>
        <w:footnoteRef/>
      </w:r>
      <w:r w:rsidRPr="00AB1E71">
        <w:t xml:space="preserve"> </w:t>
      </w:r>
      <w:r w:rsidRPr="00AB1E71">
        <w:rPr>
          <w:i/>
          <w:iCs/>
        </w:rPr>
        <w:t xml:space="preserve">Miller v. Anderson, </w:t>
      </w:r>
      <w:r w:rsidRPr="00AB1E71">
        <w:t>Case No. 5:20-CV-01743, Deposition Schedule (Dec. 3,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44BE" w14:paraId="75A3A470" w14:textId="77777777">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44BE" w14:paraId="44B91FA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44BE" w14:paraId="794A73C6" w14:textId="77777777">
    <w:pPr>
      <w:spacing w:line="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7859E6"/>
    <w:multiLevelType w:val="hybridMultilevel"/>
    <w:tmpl w:val="F5CC5164"/>
    <w:lvl w:ilvl="0">
      <w:start w:val="2"/>
      <w:numFmt w:val="decimal"/>
      <w:lvlText w:val="%1."/>
      <w:lvlJc w:val="left"/>
      <w:pPr>
        <w:ind w:left="990" w:hanging="360"/>
      </w:pPr>
      <w:rPr>
        <w:rFonts w:ascii="Times New Roman Bold" w:hAnsi="Times New Roman Bold" w:eastAsiaTheme="majorEastAsia" w:cstheme="majorBidi"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
    <w:nsid w:val="11DF51AB"/>
    <w:multiLevelType w:val="hybridMultilevel"/>
    <w:tmpl w:val="FFBA12D4"/>
    <w:lvl w:ilvl="0">
      <w:start w:val="1"/>
      <w:numFmt w:val="upperLetter"/>
      <w:lvlText w:val="(%1)"/>
      <w:lvlJc w:val="left"/>
      <w:pPr>
        <w:ind w:left="2100" w:hanging="360"/>
      </w:pPr>
      <w:rPr>
        <w:rFonts w:hint="default"/>
      </w:rPr>
    </w:lvl>
    <w:lvl w:ilvl="1" w:tentative="1">
      <w:start w:val="1"/>
      <w:numFmt w:val="lowerLetter"/>
      <w:lvlText w:val="%2."/>
      <w:lvlJc w:val="left"/>
      <w:pPr>
        <w:ind w:left="2820" w:hanging="360"/>
      </w:pPr>
    </w:lvl>
    <w:lvl w:ilvl="2" w:tentative="1">
      <w:start w:val="1"/>
      <w:numFmt w:val="lowerRoman"/>
      <w:lvlText w:val="%3."/>
      <w:lvlJc w:val="right"/>
      <w:pPr>
        <w:ind w:left="3540" w:hanging="180"/>
      </w:pPr>
    </w:lvl>
    <w:lvl w:ilvl="3" w:tentative="1">
      <w:start w:val="1"/>
      <w:numFmt w:val="decimal"/>
      <w:lvlText w:val="%4."/>
      <w:lvlJc w:val="left"/>
      <w:pPr>
        <w:ind w:left="4260" w:hanging="360"/>
      </w:pPr>
    </w:lvl>
    <w:lvl w:ilvl="4" w:tentative="1">
      <w:start w:val="1"/>
      <w:numFmt w:val="lowerLetter"/>
      <w:lvlText w:val="%5."/>
      <w:lvlJc w:val="left"/>
      <w:pPr>
        <w:ind w:left="4980" w:hanging="360"/>
      </w:pPr>
    </w:lvl>
    <w:lvl w:ilvl="5" w:tentative="1">
      <w:start w:val="1"/>
      <w:numFmt w:val="lowerRoman"/>
      <w:lvlText w:val="%6."/>
      <w:lvlJc w:val="right"/>
      <w:pPr>
        <w:ind w:left="5700" w:hanging="180"/>
      </w:pPr>
    </w:lvl>
    <w:lvl w:ilvl="6" w:tentative="1">
      <w:start w:val="1"/>
      <w:numFmt w:val="decimal"/>
      <w:lvlText w:val="%7."/>
      <w:lvlJc w:val="left"/>
      <w:pPr>
        <w:ind w:left="6420" w:hanging="360"/>
      </w:pPr>
    </w:lvl>
    <w:lvl w:ilvl="7" w:tentative="1">
      <w:start w:val="1"/>
      <w:numFmt w:val="lowerLetter"/>
      <w:lvlText w:val="%8."/>
      <w:lvlJc w:val="left"/>
      <w:pPr>
        <w:ind w:left="7140" w:hanging="360"/>
      </w:pPr>
    </w:lvl>
    <w:lvl w:ilvl="8" w:tentative="1">
      <w:start w:val="1"/>
      <w:numFmt w:val="lowerRoman"/>
      <w:lvlText w:val="%9."/>
      <w:lvlJc w:val="right"/>
      <w:pPr>
        <w:ind w:left="7860" w:hanging="180"/>
      </w:pPr>
    </w:lvl>
  </w:abstractNum>
  <w:abstractNum w:abstractNumId="2">
    <w:nsid w:val="141B04DF"/>
    <w:multiLevelType w:val="hybridMultilevel"/>
    <w:tmpl w:val="13A050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76208A9"/>
    <w:multiLevelType w:val="hybridMultilevel"/>
    <w:tmpl w:val="CB726B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9BF2D64"/>
    <w:multiLevelType w:val="hybridMultilevel"/>
    <w:tmpl w:val="D7AEEC30"/>
    <w:lvl w:ilvl="0">
      <w:start w:val="1"/>
      <w:numFmt w:val="upperLetter"/>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5">
    <w:nsid w:val="30BF3AE0"/>
    <w:multiLevelType w:val="hybridMultilevel"/>
    <w:tmpl w:val="E4C29960"/>
    <w:lvl w:ilvl="0">
      <w:start w:val="1"/>
      <w:numFmt w:val="upperRoman"/>
      <w:pStyle w:val="Heading1"/>
      <w:lvlText w:val="%1."/>
      <w:lvlJc w:val="left"/>
      <w:pPr>
        <w:ind w:left="1080" w:hanging="72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6446A7A"/>
    <w:multiLevelType w:val="hybridMultilevel"/>
    <w:tmpl w:val="BDCAA4AA"/>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5C0907B9"/>
    <w:multiLevelType w:val="hybridMultilevel"/>
    <w:tmpl w:val="68D067AA"/>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606505B"/>
    <w:multiLevelType w:val="hybridMultilevel"/>
    <w:tmpl w:val="39F03F10"/>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663709A2"/>
    <w:multiLevelType w:val="hybridMultilevel"/>
    <w:tmpl w:val="56C8BFFA"/>
    <w:lvl w:ilvl="0">
      <w:start w:val="1"/>
      <w:numFmt w:val="upperLetter"/>
      <w:pStyle w:val="Heading2"/>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7F1A6B4B"/>
    <w:multiLevelType w:val="hybridMultilevel"/>
    <w:tmpl w:val="E4EEFDB6"/>
    <w:lvl w:ilvl="0">
      <w:start w:val="2"/>
      <w:numFmt w:val="decimal"/>
      <w:lvlText w:val="%1."/>
      <w:lvlJc w:val="left"/>
      <w:pPr>
        <w:ind w:left="1800" w:hanging="360"/>
      </w:pPr>
      <w:rPr>
        <w:rFonts w:hint="default"/>
        <w:b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1"/>
  </w:num>
  <w:num w:numId="2">
    <w:abstractNumId w:val="3"/>
  </w:num>
  <w:num w:numId="3">
    <w:abstractNumId w:val="0"/>
  </w:num>
  <w:num w:numId="4">
    <w:abstractNumId w:val="10"/>
  </w:num>
  <w:num w:numId="5">
    <w:abstractNumId w:val="7"/>
  </w:num>
  <w:num w:numId="6">
    <w:abstractNumId w:val="8"/>
  </w:num>
  <w:num w:numId="7">
    <w:abstractNumId w:val="4"/>
  </w:num>
  <w:num w:numId="8">
    <w:abstractNumId w:val="5"/>
  </w:num>
  <w:num w:numId="9">
    <w:abstractNumId w:val="6"/>
  </w:num>
  <w:num w:numId="10">
    <w:abstractNumId w:val="2"/>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defaultTabStop w:val="720"/>
  <w:evenAndOddHeaders/>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D1"/>
    <w:rsid w:val="00001EB0"/>
    <w:rsid w:val="00002B1B"/>
    <w:rsid w:val="00003776"/>
    <w:rsid w:val="000044BF"/>
    <w:rsid w:val="00005F04"/>
    <w:rsid w:val="00012B2A"/>
    <w:rsid w:val="000144DC"/>
    <w:rsid w:val="000204E6"/>
    <w:rsid w:val="000231E6"/>
    <w:rsid w:val="00026428"/>
    <w:rsid w:val="00031316"/>
    <w:rsid w:val="0003238F"/>
    <w:rsid w:val="000361AB"/>
    <w:rsid w:val="00037C0B"/>
    <w:rsid w:val="0004071B"/>
    <w:rsid w:val="00042C40"/>
    <w:rsid w:val="00042E1C"/>
    <w:rsid w:val="000540F9"/>
    <w:rsid w:val="00054E21"/>
    <w:rsid w:val="00060949"/>
    <w:rsid w:val="00062023"/>
    <w:rsid w:val="00062632"/>
    <w:rsid w:val="00063762"/>
    <w:rsid w:val="00065666"/>
    <w:rsid w:val="00071473"/>
    <w:rsid w:val="00071E1A"/>
    <w:rsid w:val="00075CB9"/>
    <w:rsid w:val="00080513"/>
    <w:rsid w:val="000824AA"/>
    <w:rsid w:val="00083899"/>
    <w:rsid w:val="000842AF"/>
    <w:rsid w:val="00084DC8"/>
    <w:rsid w:val="00085423"/>
    <w:rsid w:val="00085F17"/>
    <w:rsid w:val="0009012A"/>
    <w:rsid w:val="000955EB"/>
    <w:rsid w:val="0009682E"/>
    <w:rsid w:val="000A0F66"/>
    <w:rsid w:val="000A4721"/>
    <w:rsid w:val="000A5321"/>
    <w:rsid w:val="000A5C30"/>
    <w:rsid w:val="000A70A1"/>
    <w:rsid w:val="000B03D4"/>
    <w:rsid w:val="000B04A7"/>
    <w:rsid w:val="000B1248"/>
    <w:rsid w:val="000B27A8"/>
    <w:rsid w:val="000B377A"/>
    <w:rsid w:val="000B431E"/>
    <w:rsid w:val="000C0825"/>
    <w:rsid w:val="000C0A55"/>
    <w:rsid w:val="000C40E9"/>
    <w:rsid w:val="000C5994"/>
    <w:rsid w:val="000C5B50"/>
    <w:rsid w:val="000D126F"/>
    <w:rsid w:val="000D5314"/>
    <w:rsid w:val="000D5A55"/>
    <w:rsid w:val="000E1C6C"/>
    <w:rsid w:val="000E1D46"/>
    <w:rsid w:val="000E3261"/>
    <w:rsid w:val="000E3E08"/>
    <w:rsid w:val="000E50F6"/>
    <w:rsid w:val="000E79CD"/>
    <w:rsid w:val="000F027A"/>
    <w:rsid w:val="000F3DA3"/>
    <w:rsid w:val="000F51A6"/>
    <w:rsid w:val="000F543E"/>
    <w:rsid w:val="000F5915"/>
    <w:rsid w:val="000F5CBE"/>
    <w:rsid w:val="0010074A"/>
    <w:rsid w:val="00101CFF"/>
    <w:rsid w:val="00104888"/>
    <w:rsid w:val="00114311"/>
    <w:rsid w:val="00116984"/>
    <w:rsid w:val="00124CD4"/>
    <w:rsid w:val="001254E8"/>
    <w:rsid w:val="0012734B"/>
    <w:rsid w:val="001308B4"/>
    <w:rsid w:val="00132E2E"/>
    <w:rsid w:val="00132F6C"/>
    <w:rsid w:val="00133EE1"/>
    <w:rsid w:val="00134113"/>
    <w:rsid w:val="00134E5E"/>
    <w:rsid w:val="00137025"/>
    <w:rsid w:val="00145255"/>
    <w:rsid w:val="001457A6"/>
    <w:rsid w:val="001467C6"/>
    <w:rsid w:val="00146EF8"/>
    <w:rsid w:val="0015283E"/>
    <w:rsid w:val="00153A7C"/>
    <w:rsid w:val="001543E1"/>
    <w:rsid w:val="00154779"/>
    <w:rsid w:val="001550D4"/>
    <w:rsid w:val="001560CE"/>
    <w:rsid w:val="0015738E"/>
    <w:rsid w:val="00157CDC"/>
    <w:rsid w:val="00157D18"/>
    <w:rsid w:val="00160C38"/>
    <w:rsid w:val="001612BF"/>
    <w:rsid w:val="0016508C"/>
    <w:rsid w:val="001670D8"/>
    <w:rsid w:val="00171DD4"/>
    <w:rsid w:val="001739B4"/>
    <w:rsid w:val="00181C33"/>
    <w:rsid w:val="00182919"/>
    <w:rsid w:val="0018337F"/>
    <w:rsid w:val="00185B23"/>
    <w:rsid w:val="001865B8"/>
    <w:rsid w:val="001875B2"/>
    <w:rsid w:val="00191B83"/>
    <w:rsid w:val="00191FD8"/>
    <w:rsid w:val="001931D3"/>
    <w:rsid w:val="00193302"/>
    <w:rsid w:val="00195E65"/>
    <w:rsid w:val="00195F81"/>
    <w:rsid w:val="00196590"/>
    <w:rsid w:val="00196C2B"/>
    <w:rsid w:val="00197212"/>
    <w:rsid w:val="001A38C1"/>
    <w:rsid w:val="001A478D"/>
    <w:rsid w:val="001A79E5"/>
    <w:rsid w:val="001B0412"/>
    <w:rsid w:val="001B0739"/>
    <w:rsid w:val="001B623F"/>
    <w:rsid w:val="001B70A0"/>
    <w:rsid w:val="001C056C"/>
    <w:rsid w:val="001C33FF"/>
    <w:rsid w:val="001C3452"/>
    <w:rsid w:val="001C38FC"/>
    <w:rsid w:val="001C5C3A"/>
    <w:rsid w:val="001C797A"/>
    <w:rsid w:val="001E2470"/>
    <w:rsid w:val="001E3A90"/>
    <w:rsid w:val="001E6AF6"/>
    <w:rsid w:val="001E74BA"/>
    <w:rsid w:val="001E798E"/>
    <w:rsid w:val="001F1B1F"/>
    <w:rsid w:val="001F446A"/>
    <w:rsid w:val="001F57F0"/>
    <w:rsid w:val="001F70E8"/>
    <w:rsid w:val="001F7355"/>
    <w:rsid w:val="00201697"/>
    <w:rsid w:val="00201A6F"/>
    <w:rsid w:val="0020221C"/>
    <w:rsid w:val="002025F2"/>
    <w:rsid w:val="00203156"/>
    <w:rsid w:val="00210583"/>
    <w:rsid w:val="00211342"/>
    <w:rsid w:val="00215058"/>
    <w:rsid w:val="0021688E"/>
    <w:rsid w:val="002170FB"/>
    <w:rsid w:val="00220F7D"/>
    <w:rsid w:val="002222B0"/>
    <w:rsid w:val="00226824"/>
    <w:rsid w:val="00227087"/>
    <w:rsid w:val="002304DD"/>
    <w:rsid w:val="00230C8B"/>
    <w:rsid w:val="00232750"/>
    <w:rsid w:val="0023297A"/>
    <w:rsid w:val="00233223"/>
    <w:rsid w:val="0023477F"/>
    <w:rsid w:val="002348A4"/>
    <w:rsid w:val="00235522"/>
    <w:rsid w:val="0023710C"/>
    <w:rsid w:val="00241EEE"/>
    <w:rsid w:val="0024388D"/>
    <w:rsid w:val="002463F9"/>
    <w:rsid w:val="002473D3"/>
    <w:rsid w:val="00252611"/>
    <w:rsid w:val="00252A8E"/>
    <w:rsid w:val="00253BA3"/>
    <w:rsid w:val="00255B09"/>
    <w:rsid w:val="00256799"/>
    <w:rsid w:val="00262E6C"/>
    <w:rsid w:val="00263DB3"/>
    <w:rsid w:val="00264284"/>
    <w:rsid w:val="00270B3E"/>
    <w:rsid w:val="0027207A"/>
    <w:rsid w:val="00273628"/>
    <w:rsid w:val="00273C4C"/>
    <w:rsid w:val="00274735"/>
    <w:rsid w:val="00275175"/>
    <w:rsid w:val="0027657D"/>
    <w:rsid w:val="00280DC5"/>
    <w:rsid w:val="00282B55"/>
    <w:rsid w:val="0028568A"/>
    <w:rsid w:val="0028749D"/>
    <w:rsid w:val="00287B61"/>
    <w:rsid w:val="002932F3"/>
    <w:rsid w:val="00293C9D"/>
    <w:rsid w:val="0029437E"/>
    <w:rsid w:val="002948E8"/>
    <w:rsid w:val="00295FAE"/>
    <w:rsid w:val="002A1F5B"/>
    <w:rsid w:val="002A338D"/>
    <w:rsid w:val="002A3DFA"/>
    <w:rsid w:val="002A5A98"/>
    <w:rsid w:val="002A5B67"/>
    <w:rsid w:val="002A7201"/>
    <w:rsid w:val="002B2401"/>
    <w:rsid w:val="002B4C4F"/>
    <w:rsid w:val="002B79DE"/>
    <w:rsid w:val="002C02F2"/>
    <w:rsid w:val="002C2B78"/>
    <w:rsid w:val="002D1117"/>
    <w:rsid w:val="002D254E"/>
    <w:rsid w:val="002D3063"/>
    <w:rsid w:val="002D5536"/>
    <w:rsid w:val="002D55F7"/>
    <w:rsid w:val="002E4E87"/>
    <w:rsid w:val="002E6150"/>
    <w:rsid w:val="002E724B"/>
    <w:rsid w:val="002F3AD9"/>
    <w:rsid w:val="002F43ED"/>
    <w:rsid w:val="002F5B01"/>
    <w:rsid w:val="002F5B7F"/>
    <w:rsid w:val="002F6B78"/>
    <w:rsid w:val="00301496"/>
    <w:rsid w:val="0030489E"/>
    <w:rsid w:val="003049AD"/>
    <w:rsid w:val="003074E4"/>
    <w:rsid w:val="00307D01"/>
    <w:rsid w:val="00310958"/>
    <w:rsid w:val="0031104C"/>
    <w:rsid w:val="003129E1"/>
    <w:rsid w:val="003146BB"/>
    <w:rsid w:val="00315A40"/>
    <w:rsid w:val="00316A24"/>
    <w:rsid w:val="00325774"/>
    <w:rsid w:val="003268AA"/>
    <w:rsid w:val="00326A1E"/>
    <w:rsid w:val="00326C3F"/>
    <w:rsid w:val="00327ACA"/>
    <w:rsid w:val="003306E0"/>
    <w:rsid w:val="00344260"/>
    <w:rsid w:val="003449D8"/>
    <w:rsid w:val="00346790"/>
    <w:rsid w:val="00350D30"/>
    <w:rsid w:val="00350DB9"/>
    <w:rsid w:val="0035277A"/>
    <w:rsid w:val="00354431"/>
    <w:rsid w:val="00354685"/>
    <w:rsid w:val="0035511D"/>
    <w:rsid w:val="003560D2"/>
    <w:rsid w:val="00357124"/>
    <w:rsid w:val="0035720A"/>
    <w:rsid w:val="00357A7D"/>
    <w:rsid w:val="00357BDF"/>
    <w:rsid w:val="0036030E"/>
    <w:rsid w:val="00361C68"/>
    <w:rsid w:val="00362AD9"/>
    <w:rsid w:val="003632ED"/>
    <w:rsid w:val="0036354E"/>
    <w:rsid w:val="00363F56"/>
    <w:rsid w:val="00371C3C"/>
    <w:rsid w:val="003720BC"/>
    <w:rsid w:val="00375497"/>
    <w:rsid w:val="00377B33"/>
    <w:rsid w:val="00386002"/>
    <w:rsid w:val="00387E48"/>
    <w:rsid w:val="0039027F"/>
    <w:rsid w:val="00391310"/>
    <w:rsid w:val="00391D50"/>
    <w:rsid w:val="003968B9"/>
    <w:rsid w:val="0039764E"/>
    <w:rsid w:val="00397F6E"/>
    <w:rsid w:val="003A2C2E"/>
    <w:rsid w:val="003A31BB"/>
    <w:rsid w:val="003A722D"/>
    <w:rsid w:val="003B13D6"/>
    <w:rsid w:val="003B18AA"/>
    <w:rsid w:val="003D044A"/>
    <w:rsid w:val="003D0F17"/>
    <w:rsid w:val="003D19D9"/>
    <w:rsid w:val="003D2477"/>
    <w:rsid w:val="003D4683"/>
    <w:rsid w:val="003D57A1"/>
    <w:rsid w:val="003D6851"/>
    <w:rsid w:val="003E0347"/>
    <w:rsid w:val="003F6916"/>
    <w:rsid w:val="003F7298"/>
    <w:rsid w:val="004027D8"/>
    <w:rsid w:val="004031A2"/>
    <w:rsid w:val="00403521"/>
    <w:rsid w:val="00403BFD"/>
    <w:rsid w:val="004052E6"/>
    <w:rsid w:val="0040657C"/>
    <w:rsid w:val="0040710D"/>
    <w:rsid w:val="004154A2"/>
    <w:rsid w:val="004154F2"/>
    <w:rsid w:val="00416A34"/>
    <w:rsid w:val="0042098E"/>
    <w:rsid w:val="004229A1"/>
    <w:rsid w:val="00423AF4"/>
    <w:rsid w:val="00423F50"/>
    <w:rsid w:val="004277C9"/>
    <w:rsid w:val="004304AC"/>
    <w:rsid w:val="00431EA1"/>
    <w:rsid w:val="00433FBF"/>
    <w:rsid w:val="00436DC0"/>
    <w:rsid w:val="00442853"/>
    <w:rsid w:val="00442C61"/>
    <w:rsid w:val="00443CAD"/>
    <w:rsid w:val="004463E0"/>
    <w:rsid w:val="0044730D"/>
    <w:rsid w:val="004504D1"/>
    <w:rsid w:val="00452708"/>
    <w:rsid w:val="00453488"/>
    <w:rsid w:val="00453511"/>
    <w:rsid w:val="004548A0"/>
    <w:rsid w:val="0045604C"/>
    <w:rsid w:val="00456158"/>
    <w:rsid w:val="004562F8"/>
    <w:rsid w:val="0045660D"/>
    <w:rsid w:val="004569A4"/>
    <w:rsid w:val="0045709F"/>
    <w:rsid w:val="00461D06"/>
    <w:rsid w:val="00465564"/>
    <w:rsid w:val="00465FEE"/>
    <w:rsid w:val="0047157E"/>
    <w:rsid w:val="004745A5"/>
    <w:rsid w:val="0047530B"/>
    <w:rsid w:val="00476EB4"/>
    <w:rsid w:val="00477FD6"/>
    <w:rsid w:val="004804D9"/>
    <w:rsid w:val="00480865"/>
    <w:rsid w:val="00486B3B"/>
    <w:rsid w:val="00487084"/>
    <w:rsid w:val="00492CC7"/>
    <w:rsid w:val="00494E0F"/>
    <w:rsid w:val="004A2C29"/>
    <w:rsid w:val="004A321A"/>
    <w:rsid w:val="004A3767"/>
    <w:rsid w:val="004A59AE"/>
    <w:rsid w:val="004B0191"/>
    <w:rsid w:val="004B2AC0"/>
    <w:rsid w:val="004B6D6D"/>
    <w:rsid w:val="004C5BA2"/>
    <w:rsid w:val="004D042B"/>
    <w:rsid w:val="004D1A55"/>
    <w:rsid w:val="004D25B2"/>
    <w:rsid w:val="004D7429"/>
    <w:rsid w:val="004D77DF"/>
    <w:rsid w:val="004E54FF"/>
    <w:rsid w:val="004E7DB8"/>
    <w:rsid w:val="004F18B8"/>
    <w:rsid w:val="004F4A83"/>
    <w:rsid w:val="004F4B88"/>
    <w:rsid w:val="004F676A"/>
    <w:rsid w:val="00502F1C"/>
    <w:rsid w:val="00507798"/>
    <w:rsid w:val="0051172D"/>
    <w:rsid w:val="00513794"/>
    <w:rsid w:val="005145AB"/>
    <w:rsid w:val="005163C5"/>
    <w:rsid w:val="00522EB9"/>
    <w:rsid w:val="00524812"/>
    <w:rsid w:val="00525438"/>
    <w:rsid w:val="00526544"/>
    <w:rsid w:val="00527A18"/>
    <w:rsid w:val="005301F3"/>
    <w:rsid w:val="005329B3"/>
    <w:rsid w:val="00535D12"/>
    <w:rsid w:val="00536105"/>
    <w:rsid w:val="00540823"/>
    <w:rsid w:val="005412E6"/>
    <w:rsid w:val="00541A79"/>
    <w:rsid w:val="00541F1D"/>
    <w:rsid w:val="00543261"/>
    <w:rsid w:val="005445A2"/>
    <w:rsid w:val="00545347"/>
    <w:rsid w:val="00553590"/>
    <w:rsid w:val="0055469B"/>
    <w:rsid w:val="0055692C"/>
    <w:rsid w:val="005629C4"/>
    <w:rsid w:val="00563C1C"/>
    <w:rsid w:val="00563D75"/>
    <w:rsid w:val="00564B8F"/>
    <w:rsid w:val="00565C91"/>
    <w:rsid w:val="00575FD2"/>
    <w:rsid w:val="00580642"/>
    <w:rsid w:val="00580B00"/>
    <w:rsid w:val="00580F3E"/>
    <w:rsid w:val="005817BE"/>
    <w:rsid w:val="00583E6E"/>
    <w:rsid w:val="0058486F"/>
    <w:rsid w:val="00586876"/>
    <w:rsid w:val="00587F24"/>
    <w:rsid w:val="00592DD3"/>
    <w:rsid w:val="00593A01"/>
    <w:rsid w:val="00594BA5"/>
    <w:rsid w:val="00594E9C"/>
    <w:rsid w:val="00595279"/>
    <w:rsid w:val="00597E0C"/>
    <w:rsid w:val="005A01C3"/>
    <w:rsid w:val="005A08E4"/>
    <w:rsid w:val="005A1DEE"/>
    <w:rsid w:val="005A1E2B"/>
    <w:rsid w:val="005A61B1"/>
    <w:rsid w:val="005B1D58"/>
    <w:rsid w:val="005B2D98"/>
    <w:rsid w:val="005B374F"/>
    <w:rsid w:val="005C164C"/>
    <w:rsid w:val="005C54B3"/>
    <w:rsid w:val="005C5679"/>
    <w:rsid w:val="005C63EB"/>
    <w:rsid w:val="005C79A8"/>
    <w:rsid w:val="005D1249"/>
    <w:rsid w:val="005D5909"/>
    <w:rsid w:val="005E0D31"/>
    <w:rsid w:val="005E1093"/>
    <w:rsid w:val="005E157E"/>
    <w:rsid w:val="005E2080"/>
    <w:rsid w:val="005E5B70"/>
    <w:rsid w:val="005E5E34"/>
    <w:rsid w:val="005E69EE"/>
    <w:rsid w:val="005E7150"/>
    <w:rsid w:val="005E7E17"/>
    <w:rsid w:val="005F0A38"/>
    <w:rsid w:val="005F234F"/>
    <w:rsid w:val="005F57EE"/>
    <w:rsid w:val="005F7004"/>
    <w:rsid w:val="005F7F4C"/>
    <w:rsid w:val="0060096B"/>
    <w:rsid w:val="00602A42"/>
    <w:rsid w:val="006056B8"/>
    <w:rsid w:val="00606A0D"/>
    <w:rsid w:val="00613F0A"/>
    <w:rsid w:val="00614E9C"/>
    <w:rsid w:val="006150E8"/>
    <w:rsid w:val="0061798A"/>
    <w:rsid w:val="006204D2"/>
    <w:rsid w:val="00620B81"/>
    <w:rsid w:val="0062178E"/>
    <w:rsid w:val="00622630"/>
    <w:rsid w:val="00625619"/>
    <w:rsid w:val="00627E5B"/>
    <w:rsid w:val="00630A15"/>
    <w:rsid w:val="00631617"/>
    <w:rsid w:val="006318E8"/>
    <w:rsid w:val="00631AA2"/>
    <w:rsid w:val="0063515B"/>
    <w:rsid w:val="00636683"/>
    <w:rsid w:val="006375ED"/>
    <w:rsid w:val="006423AC"/>
    <w:rsid w:val="006428FF"/>
    <w:rsid w:val="00643552"/>
    <w:rsid w:val="00643E1E"/>
    <w:rsid w:val="0064615E"/>
    <w:rsid w:val="006464C3"/>
    <w:rsid w:val="006466C8"/>
    <w:rsid w:val="00650287"/>
    <w:rsid w:val="00650820"/>
    <w:rsid w:val="006524C8"/>
    <w:rsid w:val="0065391C"/>
    <w:rsid w:val="006548C5"/>
    <w:rsid w:val="006568DF"/>
    <w:rsid w:val="0065754C"/>
    <w:rsid w:val="00670A4F"/>
    <w:rsid w:val="00671704"/>
    <w:rsid w:val="00673035"/>
    <w:rsid w:val="00673185"/>
    <w:rsid w:val="00673633"/>
    <w:rsid w:val="00674027"/>
    <w:rsid w:val="00674B76"/>
    <w:rsid w:val="00680177"/>
    <w:rsid w:val="00680C6C"/>
    <w:rsid w:val="00681167"/>
    <w:rsid w:val="006819D5"/>
    <w:rsid w:val="00681DAD"/>
    <w:rsid w:val="00683656"/>
    <w:rsid w:val="00683A97"/>
    <w:rsid w:val="00687901"/>
    <w:rsid w:val="0069091D"/>
    <w:rsid w:val="00690FAE"/>
    <w:rsid w:val="00692864"/>
    <w:rsid w:val="006A02A6"/>
    <w:rsid w:val="006A141E"/>
    <w:rsid w:val="006A47E0"/>
    <w:rsid w:val="006A4EC9"/>
    <w:rsid w:val="006A6283"/>
    <w:rsid w:val="006B1DD5"/>
    <w:rsid w:val="006C1169"/>
    <w:rsid w:val="006C384A"/>
    <w:rsid w:val="006C40A6"/>
    <w:rsid w:val="006C5A22"/>
    <w:rsid w:val="006D0E00"/>
    <w:rsid w:val="006D24D5"/>
    <w:rsid w:val="006D24EB"/>
    <w:rsid w:val="006D2E22"/>
    <w:rsid w:val="006D3F31"/>
    <w:rsid w:val="006D4353"/>
    <w:rsid w:val="006D70D0"/>
    <w:rsid w:val="006D74BA"/>
    <w:rsid w:val="006E0937"/>
    <w:rsid w:val="006E6DCD"/>
    <w:rsid w:val="006E7EB2"/>
    <w:rsid w:val="006F0A52"/>
    <w:rsid w:val="006F1982"/>
    <w:rsid w:val="006F3C5B"/>
    <w:rsid w:val="006F3DAC"/>
    <w:rsid w:val="006F631E"/>
    <w:rsid w:val="006F6537"/>
    <w:rsid w:val="007017AE"/>
    <w:rsid w:val="00701EE9"/>
    <w:rsid w:val="00703288"/>
    <w:rsid w:val="0070356F"/>
    <w:rsid w:val="007037E8"/>
    <w:rsid w:val="007060EC"/>
    <w:rsid w:val="00710A5F"/>
    <w:rsid w:val="00711887"/>
    <w:rsid w:val="007137FD"/>
    <w:rsid w:val="0071603E"/>
    <w:rsid w:val="00717DDD"/>
    <w:rsid w:val="00720853"/>
    <w:rsid w:val="00720B74"/>
    <w:rsid w:val="007228DB"/>
    <w:rsid w:val="0072342B"/>
    <w:rsid w:val="00723C9E"/>
    <w:rsid w:val="00724304"/>
    <w:rsid w:val="00730D3D"/>
    <w:rsid w:val="00732D70"/>
    <w:rsid w:val="00737C12"/>
    <w:rsid w:val="00744993"/>
    <w:rsid w:val="00750497"/>
    <w:rsid w:val="0075113A"/>
    <w:rsid w:val="00752CF1"/>
    <w:rsid w:val="00752F09"/>
    <w:rsid w:val="00753BA4"/>
    <w:rsid w:val="00754EBB"/>
    <w:rsid w:val="00761681"/>
    <w:rsid w:val="007616B2"/>
    <w:rsid w:val="00761C18"/>
    <w:rsid w:val="00763488"/>
    <w:rsid w:val="0076616C"/>
    <w:rsid w:val="00770C02"/>
    <w:rsid w:val="00772FB8"/>
    <w:rsid w:val="00776C7F"/>
    <w:rsid w:val="007772A5"/>
    <w:rsid w:val="00780775"/>
    <w:rsid w:val="00780E6A"/>
    <w:rsid w:val="00781836"/>
    <w:rsid w:val="0079066C"/>
    <w:rsid w:val="00791F4F"/>
    <w:rsid w:val="0079593B"/>
    <w:rsid w:val="00795ECD"/>
    <w:rsid w:val="00797C8F"/>
    <w:rsid w:val="007A0B05"/>
    <w:rsid w:val="007A3152"/>
    <w:rsid w:val="007A392D"/>
    <w:rsid w:val="007A6D46"/>
    <w:rsid w:val="007B0CBD"/>
    <w:rsid w:val="007B1475"/>
    <w:rsid w:val="007B1FB9"/>
    <w:rsid w:val="007B5C96"/>
    <w:rsid w:val="007B7BC1"/>
    <w:rsid w:val="007C0072"/>
    <w:rsid w:val="007C116A"/>
    <w:rsid w:val="007C3A6D"/>
    <w:rsid w:val="007C6AFD"/>
    <w:rsid w:val="007C7254"/>
    <w:rsid w:val="007D34C1"/>
    <w:rsid w:val="007D45A6"/>
    <w:rsid w:val="007E0F05"/>
    <w:rsid w:val="007E2716"/>
    <w:rsid w:val="007E2F9C"/>
    <w:rsid w:val="007E32B3"/>
    <w:rsid w:val="007E3E1B"/>
    <w:rsid w:val="007E4B3F"/>
    <w:rsid w:val="007E64F4"/>
    <w:rsid w:val="007F0FFC"/>
    <w:rsid w:val="007F19B1"/>
    <w:rsid w:val="007F1C21"/>
    <w:rsid w:val="007F4CA1"/>
    <w:rsid w:val="007F637F"/>
    <w:rsid w:val="007F7026"/>
    <w:rsid w:val="00800FEC"/>
    <w:rsid w:val="008016BD"/>
    <w:rsid w:val="00801920"/>
    <w:rsid w:val="00804CED"/>
    <w:rsid w:val="008077B8"/>
    <w:rsid w:val="00811372"/>
    <w:rsid w:val="00812A85"/>
    <w:rsid w:val="00813C4C"/>
    <w:rsid w:val="00813D55"/>
    <w:rsid w:val="008147E6"/>
    <w:rsid w:val="008212CE"/>
    <w:rsid w:val="0082138A"/>
    <w:rsid w:val="00823419"/>
    <w:rsid w:val="00830929"/>
    <w:rsid w:val="00832477"/>
    <w:rsid w:val="008337E3"/>
    <w:rsid w:val="008347C0"/>
    <w:rsid w:val="008354DF"/>
    <w:rsid w:val="008408D7"/>
    <w:rsid w:val="0084107D"/>
    <w:rsid w:val="00844FE9"/>
    <w:rsid w:val="00845CA5"/>
    <w:rsid w:val="00845D50"/>
    <w:rsid w:val="00851372"/>
    <w:rsid w:val="0085245B"/>
    <w:rsid w:val="00853CEB"/>
    <w:rsid w:val="008546F1"/>
    <w:rsid w:val="008554B9"/>
    <w:rsid w:val="00856DA0"/>
    <w:rsid w:val="008609CD"/>
    <w:rsid w:val="008619E0"/>
    <w:rsid w:val="00862FC3"/>
    <w:rsid w:val="008635FC"/>
    <w:rsid w:val="008738F5"/>
    <w:rsid w:val="00877106"/>
    <w:rsid w:val="0088168A"/>
    <w:rsid w:val="00883742"/>
    <w:rsid w:val="00885030"/>
    <w:rsid w:val="008855C0"/>
    <w:rsid w:val="0089248C"/>
    <w:rsid w:val="0089716C"/>
    <w:rsid w:val="008978C2"/>
    <w:rsid w:val="008A1E96"/>
    <w:rsid w:val="008A39B3"/>
    <w:rsid w:val="008B00B1"/>
    <w:rsid w:val="008B2C0A"/>
    <w:rsid w:val="008B2D81"/>
    <w:rsid w:val="008B302E"/>
    <w:rsid w:val="008B397F"/>
    <w:rsid w:val="008B464C"/>
    <w:rsid w:val="008B4D63"/>
    <w:rsid w:val="008B7455"/>
    <w:rsid w:val="008C0A66"/>
    <w:rsid w:val="008C20AD"/>
    <w:rsid w:val="008C3693"/>
    <w:rsid w:val="008C5B7D"/>
    <w:rsid w:val="008D2716"/>
    <w:rsid w:val="008D4C3A"/>
    <w:rsid w:val="008E0897"/>
    <w:rsid w:val="008E0D76"/>
    <w:rsid w:val="008E12C0"/>
    <w:rsid w:val="008E4B6B"/>
    <w:rsid w:val="008F32EF"/>
    <w:rsid w:val="008F38E1"/>
    <w:rsid w:val="008F6D31"/>
    <w:rsid w:val="008F77CE"/>
    <w:rsid w:val="00906DB6"/>
    <w:rsid w:val="00913CDB"/>
    <w:rsid w:val="00913E78"/>
    <w:rsid w:val="00915F00"/>
    <w:rsid w:val="009212AA"/>
    <w:rsid w:val="00921E0C"/>
    <w:rsid w:val="009247DF"/>
    <w:rsid w:val="009266BA"/>
    <w:rsid w:val="00931B07"/>
    <w:rsid w:val="00934369"/>
    <w:rsid w:val="0093519B"/>
    <w:rsid w:val="00940231"/>
    <w:rsid w:val="009443AB"/>
    <w:rsid w:val="00944517"/>
    <w:rsid w:val="00944AFC"/>
    <w:rsid w:val="00944E75"/>
    <w:rsid w:val="0094710A"/>
    <w:rsid w:val="00952A32"/>
    <w:rsid w:val="00955E9A"/>
    <w:rsid w:val="009579D3"/>
    <w:rsid w:val="00960CF6"/>
    <w:rsid w:val="0096322C"/>
    <w:rsid w:val="00965FDB"/>
    <w:rsid w:val="00971AD6"/>
    <w:rsid w:val="00971D7A"/>
    <w:rsid w:val="00973A91"/>
    <w:rsid w:val="00973AA3"/>
    <w:rsid w:val="00973E08"/>
    <w:rsid w:val="009744C3"/>
    <w:rsid w:val="0097786E"/>
    <w:rsid w:val="00982354"/>
    <w:rsid w:val="0098478D"/>
    <w:rsid w:val="009854E7"/>
    <w:rsid w:val="00985AD9"/>
    <w:rsid w:val="009867B3"/>
    <w:rsid w:val="00986C0F"/>
    <w:rsid w:val="00991E14"/>
    <w:rsid w:val="00993464"/>
    <w:rsid w:val="0099531F"/>
    <w:rsid w:val="009A0835"/>
    <w:rsid w:val="009A191C"/>
    <w:rsid w:val="009A266D"/>
    <w:rsid w:val="009A45C4"/>
    <w:rsid w:val="009A7387"/>
    <w:rsid w:val="009B2D98"/>
    <w:rsid w:val="009B5F9D"/>
    <w:rsid w:val="009C21DC"/>
    <w:rsid w:val="009C28FD"/>
    <w:rsid w:val="009C5876"/>
    <w:rsid w:val="009C7017"/>
    <w:rsid w:val="009D017F"/>
    <w:rsid w:val="009E1366"/>
    <w:rsid w:val="009E41E8"/>
    <w:rsid w:val="009E6206"/>
    <w:rsid w:val="009F02D1"/>
    <w:rsid w:val="009F1693"/>
    <w:rsid w:val="009F3581"/>
    <w:rsid w:val="009F467F"/>
    <w:rsid w:val="009F4D0D"/>
    <w:rsid w:val="009F518F"/>
    <w:rsid w:val="009F7197"/>
    <w:rsid w:val="00A00378"/>
    <w:rsid w:val="00A03E25"/>
    <w:rsid w:val="00A07A05"/>
    <w:rsid w:val="00A12B5E"/>
    <w:rsid w:val="00A13EC3"/>
    <w:rsid w:val="00A17F0D"/>
    <w:rsid w:val="00A216C8"/>
    <w:rsid w:val="00A22F26"/>
    <w:rsid w:val="00A230E9"/>
    <w:rsid w:val="00A23803"/>
    <w:rsid w:val="00A2671B"/>
    <w:rsid w:val="00A267E6"/>
    <w:rsid w:val="00A30B07"/>
    <w:rsid w:val="00A32C9B"/>
    <w:rsid w:val="00A3674D"/>
    <w:rsid w:val="00A40730"/>
    <w:rsid w:val="00A42A46"/>
    <w:rsid w:val="00A47084"/>
    <w:rsid w:val="00A50D7C"/>
    <w:rsid w:val="00A53FA7"/>
    <w:rsid w:val="00A55A29"/>
    <w:rsid w:val="00A57808"/>
    <w:rsid w:val="00A60974"/>
    <w:rsid w:val="00A61CFA"/>
    <w:rsid w:val="00A62755"/>
    <w:rsid w:val="00A651FA"/>
    <w:rsid w:val="00A65AFE"/>
    <w:rsid w:val="00A67E0E"/>
    <w:rsid w:val="00A712F9"/>
    <w:rsid w:val="00A72C4D"/>
    <w:rsid w:val="00A735E9"/>
    <w:rsid w:val="00A758E9"/>
    <w:rsid w:val="00A80F49"/>
    <w:rsid w:val="00A83345"/>
    <w:rsid w:val="00A83695"/>
    <w:rsid w:val="00A83707"/>
    <w:rsid w:val="00A8377B"/>
    <w:rsid w:val="00A847C7"/>
    <w:rsid w:val="00A84DC6"/>
    <w:rsid w:val="00A87172"/>
    <w:rsid w:val="00A8758E"/>
    <w:rsid w:val="00A90234"/>
    <w:rsid w:val="00A94270"/>
    <w:rsid w:val="00A949FD"/>
    <w:rsid w:val="00A94C1F"/>
    <w:rsid w:val="00AA57C2"/>
    <w:rsid w:val="00AA7289"/>
    <w:rsid w:val="00AB1E71"/>
    <w:rsid w:val="00AB44BE"/>
    <w:rsid w:val="00AB5D30"/>
    <w:rsid w:val="00AC2203"/>
    <w:rsid w:val="00AC2B0D"/>
    <w:rsid w:val="00AC7C24"/>
    <w:rsid w:val="00AD0B9C"/>
    <w:rsid w:val="00AD109A"/>
    <w:rsid w:val="00AD15DE"/>
    <w:rsid w:val="00AD4DFA"/>
    <w:rsid w:val="00AD4E7D"/>
    <w:rsid w:val="00AD4ED3"/>
    <w:rsid w:val="00AE7C8A"/>
    <w:rsid w:val="00AF028E"/>
    <w:rsid w:val="00AF0BF1"/>
    <w:rsid w:val="00AF2056"/>
    <w:rsid w:val="00AF272D"/>
    <w:rsid w:val="00B03FB5"/>
    <w:rsid w:val="00B0529D"/>
    <w:rsid w:val="00B06BF0"/>
    <w:rsid w:val="00B06E14"/>
    <w:rsid w:val="00B0786C"/>
    <w:rsid w:val="00B13AF8"/>
    <w:rsid w:val="00B2057F"/>
    <w:rsid w:val="00B211A7"/>
    <w:rsid w:val="00B21C0A"/>
    <w:rsid w:val="00B271CD"/>
    <w:rsid w:val="00B275CB"/>
    <w:rsid w:val="00B3407C"/>
    <w:rsid w:val="00B346A0"/>
    <w:rsid w:val="00B34B62"/>
    <w:rsid w:val="00B35156"/>
    <w:rsid w:val="00B372DB"/>
    <w:rsid w:val="00B4354F"/>
    <w:rsid w:val="00B43C96"/>
    <w:rsid w:val="00B440DC"/>
    <w:rsid w:val="00B47F99"/>
    <w:rsid w:val="00B508A1"/>
    <w:rsid w:val="00B520CF"/>
    <w:rsid w:val="00B5446E"/>
    <w:rsid w:val="00B5594B"/>
    <w:rsid w:val="00B561E5"/>
    <w:rsid w:val="00B6276E"/>
    <w:rsid w:val="00B64D58"/>
    <w:rsid w:val="00B655D7"/>
    <w:rsid w:val="00B66913"/>
    <w:rsid w:val="00B676D7"/>
    <w:rsid w:val="00B715EA"/>
    <w:rsid w:val="00B73A11"/>
    <w:rsid w:val="00B73F05"/>
    <w:rsid w:val="00B741F2"/>
    <w:rsid w:val="00B76499"/>
    <w:rsid w:val="00B803AC"/>
    <w:rsid w:val="00B806F1"/>
    <w:rsid w:val="00B80BF6"/>
    <w:rsid w:val="00B81A4A"/>
    <w:rsid w:val="00B8499A"/>
    <w:rsid w:val="00B9176B"/>
    <w:rsid w:val="00B92036"/>
    <w:rsid w:val="00B9274F"/>
    <w:rsid w:val="00B92A03"/>
    <w:rsid w:val="00B93410"/>
    <w:rsid w:val="00B938A6"/>
    <w:rsid w:val="00B93EB8"/>
    <w:rsid w:val="00B946C3"/>
    <w:rsid w:val="00B957A8"/>
    <w:rsid w:val="00B96ABF"/>
    <w:rsid w:val="00BA104F"/>
    <w:rsid w:val="00BA74B6"/>
    <w:rsid w:val="00BB00B1"/>
    <w:rsid w:val="00BB235B"/>
    <w:rsid w:val="00BB403A"/>
    <w:rsid w:val="00BB41B6"/>
    <w:rsid w:val="00BB4272"/>
    <w:rsid w:val="00BB43D1"/>
    <w:rsid w:val="00BB4978"/>
    <w:rsid w:val="00BC1A16"/>
    <w:rsid w:val="00BC23AD"/>
    <w:rsid w:val="00BC3D6A"/>
    <w:rsid w:val="00BC3E53"/>
    <w:rsid w:val="00BC57BD"/>
    <w:rsid w:val="00BC6D5B"/>
    <w:rsid w:val="00BC724D"/>
    <w:rsid w:val="00BD18D4"/>
    <w:rsid w:val="00BD2B7B"/>
    <w:rsid w:val="00BD2D59"/>
    <w:rsid w:val="00BD57F3"/>
    <w:rsid w:val="00BD6127"/>
    <w:rsid w:val="00BD69F8"/>
    <w:rsid w:val="00BD7C5D"/>
    <w:rsid w:val="00BE6001"/>
    <w:rsid w:val="00BF1982"/>
    <w:rsid w:val="00BF2700"/>
    <w:rsid w:val="00BF2E8E"/>
    <w:rsid w:val="00BF3ADE"/>
    <w:rsid w:val="00C00D85"/>
    <w:rsid w:val="00C0348C"/>
    <w:rsid w:val="00C04171"/>
    <w:rsid w:val="00C11266"/>
    <w:rsid w:val="00C1227C"/>
    <w:rsid w:val="00C12AE8"/>
    <w:rsid w:val="00C136CA"/>
    <w:rsid w:val="00C13906"/>
    <w:rsid w:val="00C148F8"/>
    <w:rsid w:val="00C20DD8"/>
    <w:rsid w:val="00C22A7A"/>
    <w:rsid w:val="00C2351F"/>
    <w:rsid w:val="00C24085"/>
    <w:rsid w:val="00C24A4A"/>
    <w:rsid w:val="00C25AEA"/>
    <w:rsid w:val="00C27480"/>
    <w:rsid w:val="00C312D1"/>
    <w:rsid w:val="00C33EDB"/>
    <w:rsid w:val="00C4024A"/>
    <w:rsid w:val="00C419AF"/>
    <w:rsid w:val="00C42D08"/>
    <w:rsid w:val="00C43CFB"/>
    <w:rsid w:val="00C43D34"/>
    <w:rsid w:val="00C457EE"/>
    <w:rsid w:val="00C47286"/>
    <w:rsid w:val="00C5149A"/>
    <w:rsid w:val="00C516EF"/>
    <w:rsid w:val="00C60184"/>
    <w:rsid w:val="00C612EF"/>
    <w:rsid w:val="00C61347"/>
    <w:rsid w:val="00C63EFC"/>
    <w:rsid w:val="00C65B5C"/>
    <w:rsid w:val="00C677CD"/>
    <w:rsid w:val="00C67F70"/>
    <w:rsid w:val="00C706B5"/>
    <w:rsid w:val="00C74004"/>
    <w:rsid w:val="00C74E63"/>
    <w:rsid w:val="00C766BF"/>
    <w:rsid w:val="00C9152E"/>
    <w:rsid w:val="00CA051E"/>
    <w:rsid w:val="00CA0679"/>
    <w:rsid w:val="00CA5EBE"/>
    <w:rsid w:val="00CA6376"/>
    <w:rsid w:val="00CA6760"/>
    <w:rsid w:val="00CB1F1B"/>
    <w:rsid w:val="00CB265D"/>
    <w:rsid w:val="00CB270B"/>
    <w:rsid w:val="00CB2980"/>
    <w:rsid w:val="00CB43AA"/>
    <w:rsid w:val="00CC1BAE"/>
    <w:rsid w:val="00CC2AF2"/>
    <w:rsid w:val="00CC4312"/>
    <w:rsid w:val="00CC5A3F"/>
    <w:rsid w:val="00CD1F48"/>
    <w:rsid w:val="00CD2710"/>
    <w:rsid w:val="00CD46F5"/>
    <w:rsid w:val="00CE0E9B"/>
    <w:rsid w:val="00CE71AC"/>
    <w:rsid w:val="00CF0BA9"/>
    <w:rsid w:val="00CF1565"/>
    <w:rsid w:val="00CF2F85"/>
    <w:rsid w:val="00CF3E5D"/>
    <w:rsid w:val="00CF46A3"/>
    <w:rsid w:val="00CF6382"/>
    <w:rsid w:val="00CF69C9"/>
    <w:rsid w:val="00D017EC"/>
    <w:rsid w:val="00D02834"/>
    <w:rsid w:val="00D040B5"/>
    <w:rsid w:val="00D054F3"/>
    <w:rsid w:val="00D05EA2"/>
    <w:rsid w:val="00D061ED"/>
    <w:rsid w:val="00D10C85"/>
    <w:rsid w:val="00D1329B"/>
    <w:rsid w:val="00D155EA"/>
    <w:rsid w:val="00D16A1B"/>
    <w:rsid w:val="00D16B6D"/>
    <w:rsid w:val="00D25AE7"/>
    <w:rsid w:val="00D3003F"/>
    <w:rsid w:val="00D325DF"/>
    <w:rsid w:val="00D35EF3"/>
    <w:rsid w:val="00D36548"/>
    <w:rsid w:val="00D375A9"/>
    <w:rsid w:val="00D37B65"/>
    <w:rsid w:val="00D506FA"/>
    <w:rsid w:val="00D5597F"/>
    <w:rsid w:val="00D60BF0"/>
    <w:rsid w:val="00D627A9"/>
    <w:rsid w:val="00D66D0A"/>
    <w:rsid w:val="00D66E03"/>
    <w:rsid w:val="00D67E5D"/>
    <w:rsid w:val="00D742E5"/>
    <w:rsid w:val="00D74C22"/>
    <w:rsid w:val="00D75F9A"/>
    <w:rsid w:val="00D76938"/>
    <w:rsid w:val="00D771BD"/>
    <w:rsid w:val="00D77842"/>
    <w:rsid w:val="00D82EA9"/>
    <w:rsid w:val="00D8305B"/>
    <w:rsid w:val="00D8470A"/>
    <w:rsid w:val="00D858EF"/>
    <w:rsid w:val="00D86E09"/>
    <w:rsid w:val="00D86EC9"/>
    <w:rsid w:val="00D90347"/>
    <w:rsid w:val="00D945CA"/>
    <w:rsid w:val="00D95CDC"/>
    <w:rsid w:val="00D96279"/>
    <w:rsid w:val="00DA3F81"/>
    <w:rsid w:val="00DB7863"/>
    <w:rsid w:val="00DC1B47"/>
    <w:rsid w:val="00DC41C5"/>
    <w:rsid w:val="00DC683B"/>
    <w:rsid w:val="00DD073A"/>
    <w:rsid w:val="00DD104F"/>
    <w:rsid w:val="00DD1E1C"/>
    <w:rsid w:val="00DD307C"/>
    <w:rsid w:val="00DD4CC2"/>
    <w:rsid w:val="00DD4DD3"/>
    <w:rsid w:val="00DD6BEC"/>
    <w:rsid w:val="00DD7790"/>
    <w:rsid w:val="00DE3398"/>
    <w:rsid w:val="00DE3B71"/>
    <w:rsid w:val="00DE4C8F"/>
    <w:rsid w:val="00DE6640"/>
    <w:rsid w:val="00DF0B15"/>
    <w:rsid w:val="00DF1DB2"/>
    <w:rsid w:val="00DF204C"/>
    <w:rsid w:val="00DF4558"/>
    <w:rsid w:val="00DF4AC6"/>
    <w:rsid w:val="00DF5188"/>
    <w:rsid w:val="00DF51AB"/>
    <w:rsid w:val="00DF758C"/>
    <w:rsid w:val="00E00F7F"/>
    <w:rsid w:val="00E03822"/>
    <w:rsid w:val="00E06672"/>
    <w:rsid w:val="00E11A2C"/>
    <w:rsid w:val="00E12861"/>
    <w:rsid w:val="00E128BA"/>
    <w:rsid w:val="00E14C59"/>
    <w:rsid w:val="00E2121F"/>
    <w:rsid w:val="00E21BEF"/>
    <w:rsid w:val="00E23D0D"/>
    <w:rsid w:val="00E2645C"/>
    <w:rsid w:val="00E27B5D"/>
    <w:rsid w:val="00E31C05"/>
    <w:rsid w:val="00E326B5"/>
    <w:rsid w:val="00E406F9"/>
    <w:rsid w:val="00E40762"/>
    <w:rsid w:val="00E426B4"/>
    <w:rsid w:val="00E42945"/>
    <w:rsid w:val="00E46223"/>
    <w:rsid w:val="00E47BB9"/>
    <w:rsid w:val="00E47E28"/>
    <w:rsid w:val="00E61745"/>
    <w:rsid w:val="00E71782"/>
    <w:rsid w:val="00E7310A"/>
    <w:rsid w:val="00E80681"/>
    <w:rsid w:val="00E84C62"/>
    <w:rsid w:val="00E85651"/>
    <w:rsid w:val="00E85B2A"/>
    <w:rsid w:val="00E86A5D"/>
    <w:rsid w:val="00E87BE6"/>
    <w:rsid w:val="00E90FA0"/>
    <w:rsid w:val="00E922EA"/>
    <w:rsid w:val="00E93413"/>
    <w:rsid w:val="00E9464E"/>
    <w:rsid w:val="00E95CA7"/>
    <w:rsid w:val="00E95CAB"/>
    <w:rsid w:val="00E9600E"/>
    <w:rsid w:val="00E96C50"/>
    <w:rsid w:val="00EA04FB"/>
    <w:rsid w:val="00EA1839"/>
    <w:rsid w:val="00EA2C2E"/>
    <w:rsid w:val="00EA3229"/>
    <w:rsid w:val="00EA4DBA"/>
    <w:rsid w:val="00EA4EA6"/>
    <w:rsid w:val="00EA5D44"/>
    <w:rsid w:val="00EB04E4"/>
    <w:rsid w:val="00EB11ED"/>
    <w:rsid w:val="00EB2608"/>
    <w:rsid w:val="00EB277C"/>
    <w:rsid w:val="00EB3204"/>
    <w:rsid w:val="00EB39EC"/>
    <w:rsid w:val="00EB546F"/>
    <w:rsid w:val="00EB777E"/>
    <w:rsid w:val="00EC1B15"/>
    <w:rsid w:val="00EC3670"/>
    <w:rsid w:val="00EC7DD4"/>
    <w:rsid w:val="00ED1518"/>
    <w:rsid w:val="00ED2968"/>
    <w:rsid w:val="00ED2FAB"/>
    <w:rsid w:val="00ED6658"/>
    <w:rsid w:val="00EE43F5"/>
    <w:rsid w:val="00EE4633"/>
    <w:rsid w:val="00EE5EEC"/>
    <w:rsid w:val="00EE67B9"/>
    <w:rsid w:val="00EE7F15"/>
    <w:rsid w:val="00EF03B4"/>
    <w:rsid w:val="00EF0665"/>
    <w:rsid w:val="00F00D2E"/>
    <w:rsid w:val="00F021AD"/>
    <w:rsid w:val="00F02A4C"/>
    <w:rsid w:val="00F02B97"/>
    <w:rsid w:val="00F03210"/>
    <w:rsid w:val="00F03640"/>
    <w:rsid w:val="00F069F4"/>
    <w:rsid w:val="00F073EE"/>
    <w:rsid w:val="00F07F68"/>
    <w:rsid w:val="00F106E4"/>
    <w:rsid w:val="00F11E00"/>
    <w:rsid w:val="00F120B4"/>
    <w:rsid w:val="00F12F5B"/>
    <w:rsid w:val="00F13190"/>
    <w:rsid w:val="00F15692"/>
    <w:rsid w:val="00F20B70"/>
    <w:rsid w:val="00F220FC"/>
    <w:rsid w:val="00F22186"/>
    <w:rsid w:val="00F23B0F"/>
    <w:rsid w:val="00F24C96"/>
    <w:rsid w:val="00F274CF"/>
    <w:rsid w:val="00F33231"/>
    <w:rsid w:val="00F33F4E"/>
    <w:rsid w:val="00F3421C"/>
    <w:rsid w:val="00F35785"/>
    <w:rsid w:val="00F35B8F"/>
    <w:rsid w:val="00F376B7"/>
    <w:rsid w:val="00F42503"/>
    <w:rsid w:val="00F43329"/>
    <w:rsid w:val="00F44C5F"/>
    <w:rsid w:val="00F453DF"/>
    <w:rsid w:val="00F455E9"/>
    <w:rsid w:val="00F470FF"/>
    <w:rsid w:val="00F50DBB"/>
    <w:rsid w:val="00F53BB5"/>
    <w:rsid w:val="00F606E2"/>
    <w:rsid w:val="00F6102F"/>
    <w:rsid w:val="00F620A8"/>
    <w:rsid w:val="00F63C85"/>
    <w:rsid w:val="00F6541A"/>
    <w:rsid w:val="00F668E2"/>
    <w:rsid w:val="00F707F8"/>
    <w:rsid w:val="00F76118"/>
    <w:rsid w:val="00F77926"/>
    <w:rsid w:val="00F82373"/>
    <w:rsid w:val="00F82BEC"/>
    <w:rsid w:val="00F83B23"/>
    <w:rsid w:val="00F85836"/>
    <w:rsid w:val="00F86B41"/>
    <w:rsid w:val="00F921D8"/>
    <w:rsid w:val="00F94628"/>
    <w:rsid w:val="00F95191"/>
    <w:rsid w:val="00F9549A"/>
    <w:rsid w:val="00F95A00"/>
    <w:rsid w:val="00F95F47"/>
    <w:rsid w:val="00FB04CF"/>
    <w:rsid w:val="00FB1A3E"/>
    <w:rsid w:val="00FB584B"/>
    <w:rsid w:val="00FB6427"/>
    <w:rsid w:val="00FB6E4B"/>
    <w:rsid w:val="00FC0850"/>
    <w:rsid w:val="00FD200E"/>
    <w:rsid w:val="00FD3940"/>
    <w:rsid w:val="00FD6576"/>
    <w:rsid w:val="00FD688D"/>
    <w:rsid w:val="00FD69C1"/>
    <w:rsid w:val="00FE134F"/>
    <w:rsid w:val="00FE31E0"/>
    <w:rsid w:val="00FE4AB4"/>
    <w:rsid w:val="00FE50C3"/>
    <w:rsid w:val="00FF2324"/>
    <w:rsid w:val="00FF3C76"/>
    <w:rsid w:val="00FF4D6C"/>
    <w:rsid w:val="00FF53B7"/>
    <w:rsid w:val="00FF58F1"/>
    <w:rsid w:val="00FF6C28"/>
    <w:rsid w:val="00FF6E2D"/>
  </w:rsid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6E0"/>
  </w:style>
  <w:style w:type="paragraph" w:styleId="Heading1">
    <w:name w:val="heading 1"/>
    <w:basedOn w:val="Normal"/>
    <w:autoRedefine/>
    <w:uiPriority w:val="9"/>
    <w:qFormat/>
    <w:rsid w:val="00EE43F5"/>
    <w:pPr>
      <w:numPr>
        <w:numId w:val="8"/>
      </w:numPr>
      <w:spacing w:after="240"/>
      <w:ind w:left="720"/>
      <w:outlineLvl w:val="0"/>
    </w:pPr>
    <w:rPr>
      <w:rFonts w:ascii="Times New Roman Bold" w:eastAsia="Times New Roman" w:hAnsi="Times New Roman Bold" w:cs="Times New Roman"/>
      <w:b/>
      <w:caps/>
      <w:w w:val="95"/>
      <w:sz w:val="24"/>
      <w:szCs w:val="24"/>
    </w:rPr>
  </w:style>
  <w:style w:type="paragraph" w:styleId="Heading2">
    <w:name w:val="heading 2"/>
    <w:basedOn w:val="Normal"/>
    <w:autoRedefine/>
    <w:uiPriority w:val="9"/>
    <w:unhideWhenUsed/>
    <w:qFormat/>
    <w:rsid w:val="001E6AF6"/>
    <w:pPr>
      <w:widowControl/>
      <w:numPr>
        <w:numId w:val="11"/>
      </w:numPr>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5D5909"/>
    <w:pPr>
      <w:keepNext/>
      <w:keepLines/>
      <w:spacing w:after="240"/>
      <w:ind w:left="2160" w:hanging="720"/>
      <w:outlineLvl w:val="2"/>
    </w:pPr>
    <w:rPr>
      <w:rFonts w:ascii="Times New Roman Bold" w:hAnsi="Times New Roman Bold"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odyTextIndent3">
    <w:name w:val="Body Text Indent 3"/>
    <w:basedOn w:val="Normal"/>
    <w:link w:val="BodyTextIndent3Char"/>
    <w:uiPriority w:val="99"/>
    <w:unhideWhenUsed/>
    <w:pPr>
      <w:spacing w:after="120"/>
      <w:ind w:left="360"/>
    </w:pPr>
    <w:rPr>
      <w:sz w:val="16"/>
      <w:szCs w:val="16"/>
    </w:rPr>
  </w:style>
  <w:style w:type="character" w:customStyle="1" w:styleId="BodyTextIndent3Char">
    <w:name w:val="Body Text Indent 3 Char"/>
    <w:basedOn w:val="DefaultParagraphFont"/>
    <w:link w:val="BodyTextIndent3"/>
    <w:uiPriority w:val="99"/>
    <w:rPr>
      <w:sz w:val="16"/>
      <w:szCs w:val="16"/>
    </w:rPr>
  </w:style>
  <w:style w:type="character" w:styleId="Hyperlink">
    <w:name w:val="Hyperlink"/>
    <w:uiPriority w:val="99"/>
    <w:rPr>
      <w:color w:val="0000FF"/>
      <w:u w:val="single"/>
    </w:rPr>
  </w:style>
  <w:style w:type="paragraph" w:styleId="FootnoteText">
    <w:name w:val="footnote text"/>
    <w:aliases w:val="ALTS FOOTNOTE,Footnote Text Char Char,Footnote Text Char Char Char Char,Footnote Text Char Char1,Footnote Text Char1,Footnote Text Char1 Char Char1,Footnote Text Char1 Char Char1 Char Char Char,Footnote Text Char2 Char Char Char Char1,fn"/>
    <w:basedOn w:val="Normal"/>
    <w:link w:val="FootnoteTextChar"/>
    <w:uiPriority w:val="99"/>
    <w:qFormat/>
    <w:pPr>
      <w:widowControl/>
    </w:pPr>
    <w:rPr>
      <w:rFonts w:ascii="Times New Roman" w:eastAsia="Times New Roman" w:hAnsi="Times New Roman" w:cs="Times New Roman"/>
      <w:sz w:val="20"/>
      <w:szCs w:val="20"/>
    </w:rPr>
  </w:style>
  <w:style w:type="character" w:customStyle="1" w:styleId="FootnoteTextChar">
    <w:name w:val="Footnote Text Char"/>
    <w:aliases w:val="ALTS FOOTNOTE Char,Footnote Text Char Char Char,Footnote Text Char Char Char Char Char,Footnote Text Char Char1 Char,Footnote Text Char1 Char,Footnote Text Char1 Char Char1 Char,Footnote Text Char1 Char Char1 Char Char Char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uiPriority w:val="99"/>
    <w:rPr>
      <w:vertAlign w:val="superscript"/>
    </w:rPr>
  </w:style>
  <w:style w:type="paragraph" w:styleId="HTMLPreformatted">
    <w:name w:val="HTML Preformatted"/>
    <w:aliases w:val=" Char,Char"/>
    <w:basedOn w:val="Normal"/>
    <w:link w:val="HTMLPreformatted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aliases w:val=" Char Char,Char Char"/>
    <w:basedOn w:val="DefaultParagraphFont"/>
    <w:link w:val="HTMLPreformatted"/>
    <w:rPr>
      <w:rFonts w:ascii="Courier New" w:eastAsia="Courier New"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EndnoteText">
    <w:name w:val="endnote text"/>
    <w:basedOn w:val="Normal"/>
    <w:link w:val="EndnoteTextChar"/>
    <w:semiHidden/>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Pr>
      <w:rFonts w:ascii="Courier New" w:eastAsia="Times New Roman" w:hAnsi="Courier New" w:cs="Times New Roman"/>
      <w:snapToGrid w:val="0"/>
      <w:sz w:val="24"/>
      <w:szCs w:val="20"/>
    </w:rPr>
  </w:style>
  <w:style w:type="table" w:styleId="TableGrid">
    <w:name w:val="Table Grid"/>
    <w:basedOn w:val="TableNormal"/>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1">
    <w:name w:val="toc 1"/>
    <w:basedOn w:val="Normal"/>
    <w:next w:val="Normal"/>
    <w:autoRedefine/>
    <w:uiPriority w:val="39"/>
    <w:unhideWhenUsed/>
    <w:qFormat/>
    <w:pPr>
      <w:tabs>
        <w:tab w:val="decimal" w:leader="dot" w:pos="9360"/>
      </w:tabs>
      <w:spacing w:after="240"/>
      <w:ind w:left="720" w:hanging="720"/>
      <w:outlineLvl w:val="0"/>
    </w:pPr>
    <w:rPr>
      <w:rFonts w:ascii="Times New Roman" w:hAnsi="Times New Roman"/>
      <w:caps/>
      <w:sz w:val="24"/>
    </w:rPr>
  </w:style>
  <w:style w:type="paragraph" w:styleId="TOC2">
    <w:name w:val="toc 2"/>
    <w:basedOn w:val="Normal"/>
    <w:next w:val="Normal"/>
    <w:autoRedefine/>
    <w:uiPriority w:val="39"/>
    <w:unhideWhenUsed/>
    <w:qFormat/>
    <w:pPr>
      <w:tabs>
        <w:tab w:val="decimal" w:leader="dot" w:pos="9360"/>
      </w:tabs>
      <w:spacing w:after="240"/>
      <w:ind w:left="1440" w:hanging="720"/>
      <w:outlineLvl w:val="1"/>
    </w:pPr>
    <w:rPr>
      <w:rFonts w:ascii="Times New Roman" w:hAnsi="Times New Roman"/>
      <w:sz w:val="24"/>
    </w:rPr>
  </w:style>
  <w:style w:type="character" w:customStyle="1" w:styleId="markedcontent">
    <w:name w:val="markedcontent"/>
    <w:basedOn w:val="DefaultParagraphFont"/>
  </w:style>
  <w:style w:type="paragraph" w:styleId="TOC3">
    <w:name w:val="toc 3"/>
    <w:basedOn w:val="Normal"/>
    <w:next w:val="Normal"/>
    <w:autoRedefine/>
    <w:uiPriority w:val="39"/>
    <w:unhideWhenUsed/>
    <w:rsid w:val="003D6851"/>
    <w:pPr>
      <w:widowControl/>
      <w:spacing w:after="240"/>
      <w:ind w:left="2160" w:hanging="720"/>
    </w:pPr>
    <w:rPr>
      <w:rFonts w:ascii="Times New Roman" w:hAnsi="Times New Roman" w:eastAsiaTheme="minorEastAsia"/>
      <w:sz w:val="24"/>
    </w:rPr>
  </w:style>
  <w:style w:type="paragraph" w:styleId="TOC4">
    <w:name w:val="toc 4"/>
    <w:basedOn w:val="Normal"/>
    <w:next w:val="Normal"/>
    <w:autoRedefine/>
    <w:uiPriority w:val="39"/>
    <w:unhideWhenUsed/>
    <w:pPr>
      <w:widowControl/>
      <w:spacing w:after="100" w:line="259" w:lineRule="auto"/>
      <w:ind w:left="660"/>
    </w:pPr>
    <w:rPr>
      <w:rFonts w:eastAsiaTheme="minorEastAsia"/>
    </w:rPr>
  </w:style>
  <w:style w:type="paragraph" w:styleId="TOC5">
    <w:name w:val="toc 5"/>
    <w:basedOn w:val="Normal"/>
    <w:next w:val="Normal"/>
    <w:autoRedefine/>
    <w:uiPriority w:val="39"/>
    <w:unhideWhenUsed/>
    <w:pPr>
      <w:widowControl/>
      <w:spacing w:after="100" w:line="259" w:lineRule="auto"/>
      <w:ind w:left="880"/>
    </w:pPr>
    <w:rPr>
      <w:rFonts w:eastAsiaTheme="minorEastAsia"/>
    </w:rPr>
  </w:style>
  <w:style w:type="paragraph" w:styleId="TOC6">
    <w:name w:val="toc 6"/>
    <w:basedOn w:val="Normal"/>
    <w:next w:val="Normal"/>
    <w:autoRedefine/>
    <w:uiPriority w:val="39"/>
    <w:unhideWhenUsed/>
    <w:pPr>
      <w:widowControl/>
      <w:spacing w:after="100" w:line="259" w:lineRule="auto"/>
      <w:ind w:left="1100"/>
    </w:pPr>
    <w:rPr>
      <w:rFonts w:eastAsiaTheme="minorEastAsia"/>
    </w:rPr>
  </w:style>
  <w:style w:type="paragraph" w:styleId="TOC7">
    <w:name w:val="toc 7"/>
    <w:basedOn w:val="Normal"/>
    <w:next w:val="Normal"/>
    <w:autoRedefine/>
    <w:uiPriority w:val="39"/>
    <w:unhideWhenUsed/>
    <w:pPr>
      <w:widowControl/>
      <w:spacing w:after="100" w:line="259" w:lineRule="auto"/>
      <w:ind w:left="1320"/>
    </w:pPr>
    <w:rPr>
      <w:rFonts w:eastAsiaTheme="minorEastAsia"/>
    </w:rPr>
  </w:style>
  <w:style w:type="paragraph" w:styleId="TOC8">
    <w:name w:val="toc 8"/>
    <w:basedOn w:val="Normal"/>
    <w:next w:val="Normal"/>
    <w:autoRedefine/>
    <w:uiPriority w:val="39"/>
    <w:unhideWhenUsed/>
    <w:pPr>
      <w:widowControl/>
      <w:spacing w:after="100" w:line="259" w:lineRule="auto"/>
      <w:ind w:left="1540"/>
    </w:pPr>
    <w:rPr>
      <w:rFonts w:eastAsiaTheme="minorEastAsia"/>
    </w:rPr>
  </w:style>
  <w:style w:type="paragraph" w:styleId="TOC9">
    <w:name w:val="toc 9"/>
    <w:basedOn w:val="Normal"/>
    <w:next w:val="Normal"/>
    <w:autoRedefine/>
    <w:uiPriority w:val="39"/>
    <w:unhideWhenUsed/>
    <w:pPr>
      <w:widowControl/>
      <w:spacing w:after="100" w:line="259" w:lineRule="auto"/>
      <w:ind w:left="1760"/>
    </w:pPr>
    <w:rPr>
      <w:rFonts w:eastAsiaTheme="minorEastAsia"/>
    </w:rPr>
  </w:style>
  <w:style w:type="paragraph" w:customStyle="1" w:styleId="Default">
    <w:name w:val="Default"/>
    <w:pPr>
      <w:widowControl/>
      <w:autoSpaceDE w:val="0"/>
      <w:autoSpaceDN w:val="0"/>
      <w:adjustRightInd w:val="0"/>
    </w:pPr>
    <w:rPr>
      <w:rFonts w:ascii="Times New Roman" w:hAnsi="Times New Roman" w:cs="Times New Roman"/>
      <w:color w:val="000000"/>
      <w:sz w:val="24"/>
      <w:szCs w:val="24"/>
    </w:rPr>
  </w:style>
  <w:style w:type="character" w:customStyle="1" w:styleId="BodyTextChar">
    <w:name w:val="Body Text Char"/>
    <w:basedOn w:val="DefaultParagraphFont"/>
    <w:link w:val="BodyText"/>
    <w:uiPriority w:val="1"/>
    <w:rsid w:val="00F44C5F"/>
    <w:rPr>
      <w:rFonts w:ascii="Times New Roman" w:eastAsia="Times New Roman" w:hAnsi="Times New Roman"/>
      <w:sz w:val="23"/>
      <w:szCs w:val="23"/>
    </w:rPr>
  </w:style>
  <w:style w:type="paragraph" w:styleId="Revision">
    <w:name w:val="Revision"/>
    <w:hidden/>
    <w:uiPriority w:val="99"/>
    <w:semiHidden/>
    <w:rsid w:val="0094710A"/>
    <w:pPr>
      <w:widowControl/>
    </w:pPr>
  </w:style>
  <w:style w:type="character" w:customStyle="1" w:styleId="Heading3Char">
    <w:name w:val="Heading 3 Char"/>
    <w:basedOn w:val="DefaultParagraphFont"/>
    <w:link w:val="Heading3"/>
    <w:uiPriority w:val="9"/>
    <w:rsid w:val="005D5909"/>
    <w:rPr>
      <w:rFonts w:ascii="Times New Roman Bold" w:hAnsi="Times New Roman Bold" w:eastAsiaTheme="majorEastAsia" w:cstheme="majorBidi"/>
      <w:b/>
      <w:sz w:val="24"/>
      <w:szCs w:val="24"/>
    </w:rPr>
  </w:style>
  <w:style w:type="character" w:customStyle="1" w:styleId="codes-separator">
    <w:name w:val="codes-separator"/>
    <w:basedOn w:val="DefaultParagraphFont"/>
    <w:rsid w:val="006D70D0"/>
  </w:style>
  <w:style w:type="character" w:styleId="Strong">
    <w:name w:val="Strong"/>
    <w:basedOn w:val="DefaultParagraphFont"/>
    <w:uiPriority w:val="22"/>
    <w:qFormat/>
    <w:rsid w:val="006C384A"/>
    <w:rPr>
      <w:b/>
      <w:bCs/>
    </w:rPr>
  </w:style>
  <w:style w:type="character" w:customStyle="1" w:styleId="et03">
    <w:name w:val="et03"/>
    <w:basedOn w:val="DefaultParagraphFont"/>
    <w:rsid w:val="00B07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header" Target="header3.xml" /><Relationship Id="rId15" Type="http://schemas.openxmlformats.org/officeDocument/2006/relationships/footer" Target="footer5.xml" /><Relationship Id="rId16" Type="http://schemas.openxmlformats.org/officeDocument/2006/relationships/footer" Target="footer6.xml" /><Relationship Id="rId17" Type="http://schemas.openxmlformats.org/officeDocument/2006/relationships/hyperlink" Target="mailto:thomas.lindgren@ohioAGO.gov" TargetMode="External" /><Relationship Id="rId18" Type="http://schemas.openxmlformats.org/officeDocument/2006/relationships/hyperlink" Target="mailto:werner.margard@ohioAGO.gov" TargetMode="External" /><Relationship Id="rId19" Type="http://schemas.openxmlformats.org/officeDocument/2006/relationships/hyperlink" Target="mailto:joliker@igsenergy.com" TargetMode="External" /><Relationship Id="rId2" Type="http://schemas.openxmlformats.org/officeDocument/2006/relationships/settings" Target="settings.xml" /><Relationship Id="rId20" Type="http://schemas.openxmlformats.org/officeDocument/2006/relationships/hyperlink" Target="mailto:Mnugent@igsenergy.com" TargetMode="External" /><Relationship Id="rId21" Type="http://schemas.openxmlformats.org/officeDocument/2006/relationships/hyperlink" Target="mailto:bethany.allen@igs.com" TargetMode="External" /><Relationship Id="rId22" Type="http://schemas.openxmlformats.org/officeDocument/2006/relationships/hyperlink" Target="mailto:evan.betterton@igs.com" TargetMode="External" /><Relationship Id="rId23" Type="http://schemas.openxmlformats.org/officeDocument/2006/relationships/hyperlink" Target="mailto:gkrassen@bricker.com" TargetMode="External" /><Relationship Id="rId24" Type="http://schemas.openxmlformats.org/officeDocument/2006/relationships/hyperlink" Target="mailto:dstinson@bricker.com" TargetMode="External" /><Relationship Id="rId25" Type="http://schemas.openxmlformats.org/officeDocument/2006/relationships/hyperlink" Target="mailto:whitt@whitt-sturtevant.com" TargetMode="External" /><Relationship Id="rId26" Type="http://schemas.openxmlformats.org/officeDocument/2006/relationships/hyperlink" Target="mailto:fykes@whitt-sturtevant.com" TargetMode="External" /><Relationship Id="rId27" Type="http://schemas.openxmlformats.org/officeDocument/2006/relationships/hyperlink" Target="mailto:mfleisher@dickinsonwright.com" TargetMode="External" /><Relationship Id="rId28" Type="http://schemas.openxmlformats.org/officeDocument/2006/relationships/hyperlink" Target="mailto:mwise@mcdonaldhopkins.com" TargetMode="External" /><Relationship Id="rId29" Type="http://schemas.openxmlformats.org/officeDocument/2006/relationships/hyperlink" Target="mailto:Gregory.price@puco.ohio.gov" TargetMode="External" /><Relationship Id="rId3" Type="http://schemas.openxmlformats.org/officeDocument/2006/relationships/webSettings" Target="webSettings.xml" /><Relationship Id="rId30" Type="http://schemas.openxmlformats.org/officeDocument/2006/relationships/hyperlink" Target="mailto:Megan.addison@puco.ohio.gov" TargetMode="External" /><Relationship Id="rId31" Type="http://schemas.openxmlformats.org/officeDocument/2006/relationships/hyperlink" Target="mailto:bknipe@firstenergycorp.com" TargetMode="External" /><Relationship Id="rId32" Type="http://schemas.openxmlformats.org/officeDocument/2006/relationships/hyperlink" Target="mailto:mrgladman@jonesday.com" TargetMode="External" /><Relationship Id="rId33" Type="http://schemas.openxmlformats.org/officeDocument/2006/relationships/hyperlink" Target="mailto:mdengler@jonesday.com" TargetMode="External" /><Relationship Id="rId34" Type="http://schemas.openxmlformats.org/officeDocument/2006/relationships/hyperlink" Target="mailto:radoringo@jonesday.com" TargetMode="External" /><Relationship Id="rId35" Type="http://schemas.openxmlformats.org/officeDocument/2006/relationships/hyperlink" Target="mailto:mwager@taftlaw.com" TargetMode="External" /><Relationship Id="rId36" Type="http://schemas.openxmlformats.org/officeDocument/2006/relationships/hyperlink" Target="mailto:iavalon@taftlaw.com" TargetMode="External" /><Relationship Id="rId37" Type="http://schemas.openxmlformats.org/officeDocument/2006/relationships/hyperlink" Target="mailto:mpritchard@mcneeslaw.com" TargetMode="External" /><Relationship Id="rId38" Type="http://schemas.openxmlformats.org/officeDocument/2006/relationships/hyperlink" Target="mailto:tlong@mcneeslaw.com" TargetMode="External" /><Relationship Id="rId39" Type="http://schemas.openxmlformats.org/officeDocument/2006/relationships/hyperlink" Target="mailto:rdove@keglerbrown.com" TargetMode="External" /><Relationship Id="rId4" Type="http://schemas.openxmlformats.org/officeDocument/2006/relationships/fontTable" Target="fontTable.xml" /><Relationship Id="rId40" Type="http://schemas.openxmlformats.org/officeDocument/2006/relationships/hyperlink" Target="mailto:bojko@carpenterlipps.com" TargetMode="External" /><Relationship Id="rId41" Type="http://schemas.openxmlformats.org/officeDocument/2006/relationships/hyperlink" Target="mailto:donadio@carpenterlipps.com" TargetMode="External" /><Relationship Id="rId42" Type="http://schemas.openxmlformats.org/officeDocument/2006/relationships/hyperlink" Target="mailto:mleppla@theOEC.org" TargetMode="External" /><Relationship Id="rId43" Type="http://schemas.openxmlformats.org/officeDocument/2006/relationships/hyperlink" Target="mailto:tdougherty@theOEC.org" TargetMode="External" /><Relationship Id="rId44" Type="http://schemas.openxmlformats.org/officeDocument/2006/relationships/hyperlink" Target="mailto:ctavenor@theOEC.org" TargetMode="External" /><Relationship Id="rId45" Type="http://schemas.openxmlformats.org/officeDocument/2006/relationships/theme" Target="theme/theme1.xml" /><Relationship Id="rId46" Type="http://schemas.openxmlformats.org/officeDocument/2006/relationships/numbering" Target="numbering.xml" /><Relationship Id="rId47"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hyperlink" Target="mailto:Maureen.willis@occ.ohio.gov" TargetMode="External" /><Relationship Id="rId7" Type="http://schemas.openxmlformats.org/officeDocument/2006/relationships/hyperlink" Target="mailto:John.finnigan@occ.ohio.go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41766-4E9E-4469-866F-66EDAFFD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5280</Words>
  <Characters>30102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2021-12-13T20:19:17Z</dcterms:created>
  <dcterms:modified xsi:type="dcterms:W3CDTF">2021-12-13T20:19:17Z</dcterms:modified>
</cp:coreProperties>
</file>