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B5130" w:rsidRPr="00AB5130" w:rsidP="00AB5130" w14:paraId="5BC4C4C2" w14:textId="77777777">
      <w:pPr>
        <w:pStyle w:val="HTMLPreformatted"/>
        <w:jc w:val="center"/>
        <w:rPr>
          <w:rFonts w:ascii="Times New Roman" w:hAnsi="Times New Roman" w:cs="Times New Roman"/>
          <w:b/>
          <w:bCs/>
          <w:sz w:val="24"/>
          <w:szCs w:val="24"/>
        </w:rPr>
      </w:pPr>
      <w:r w:rsidRPr="00AB5130">
        <w:rPr>
          <w:rFonts w:ascii="Times New Roman" w:hAnsi="Times New Roman" w:cs="Times New Roman"/>
          <w:b/>
          <w:bCs/>
          <w:sz w:val="24"/>
          <w:szCs w:val="24"/>
        </w:rPr>
        <w:t>BEFORE</w:t>
      </w:r>
    </w:p>
    <w:p w:rsidR="00AB5130" w:rsidRPr="00AB5130" w:rsidP="00AB5130" w14:paraId="26BD3B71" w14:textId="77777777">
      <w:pPr>
        <w:pStyle w:val="HTMLPreformatted"/>
        <w:jc w:val="center"/>
        <w:rPr>
          <w:rFonts w:ascii="Times New Roman" w:hAnsi="Times New Roman" w:cs="Times New Roman"/>
          <w:sz w:val="24"/>
          <w:szCs w:val="24"/>
        </w:rPr>
      </w:pPr>
      <w:r w:rsidRPr="00AB5130">
        <w:rPr>
          <w:rFonts w:ascii="Times New Roman" w:hAnsi="Times New Roman" w:cs="Times New Roman"/>
          <w:b/>
          <w:bCs/>
          <w:sz w:val="24"/>
          <w:szCs w:val="24"/>
        </w:rPr>
        <w:t>THE PUBLIC UTILITIES COMMISSION OF OHIO</w:t>
      </w:r>
    </w:p>
    <w:p w:rsidR="00AB5130" w:rsidRPr="00AB5130" w:rsidP="00AB5130" w14:paraId="449E2648" w14:textId="77777777">
      <w:pPr>
        <w:pStyle w:val="HTMLPreformatted"/>
        <w:rPr>
          <w:rFonts w:ascii="Times New Roman" w:hAnsi="Times New Roman" w:cs="Times New Roman"/>
          <w:sz w:val="24"/>
          <w:szCs w:val="24"/>
        </w:rPr>
      </w:pPr>
    </w:p>
    <w:tbl>
      <w:tblPr>
        <w:tblW w:w="8730" w:type="dxa"/>
        <w:tblLook w:val="01E0"/>
      </w:tblPr>
      <w:tblGrid>
        <w:gridCol w:w="4230"/>
        <w:gridCol w:w="468"/>
        <w:gridCol w:w="4032"/>
      </w:tblGrid>
      <w:tr w14:paraId="5552E39C" w14:textId="77777777" w:rsidTr="0014195A">
        <w:tblPrEx>
          <w:tblW w:w="8730" w:type="dxa"/>
          <w:tblLook w:val="01E0"/>
        </w:tblPrEx>
        <w:trPr>
          <w:trHeight w:val="807"/>
        </w:trPr>
        <w:tc>
          <w:tcPr>
            <w:tcW w:w="4230" w:type="dxa"/>
            <w:shd w:val="clear" w:color="auto" w:fill="auto"/>
          </w:tcPr>
          <w:p w:rsidR="00AB5130" w:rsidRPr="00AB5130" w:rsidP="0014195A" w14:paraId="02CCD369" w14:textId="7B1AC7C8">
            <w:pPr>
              <w:pStyle w:val="HTMLPreformatted"/>
              <w:rPr>
                <w:rFonts w:ascii="Times New Roman" w:hAnsi="Times New Roman" w:cs="Times New Roman"/>
                <w:sz w:val="24"/>
                <w:szCs w:val="24"/>
              </w:rPr>
            </w:pPr>
            <w:r w:rsidRPr="00AB5130">
              <w:rPr>
                <w:rFonts w:ascii="Times New Roman" w:hAnsi="Times New Roman" w:cs="Times New Roman"/>
                <w:sz w:val="24"/>
                <w:szCs w:val="24"/>
              </w:rPr>
              <w:t xml:space="preserve">In the Matter of </w:t>
            </w:r>
            <w:r>
              <w:rPr>
                <w:rFonts w:ascii="Times New Roman" w:hAnsi="Times New Roman" w:cs="Times New Roman"/>
                <w:sz w:val="24"/>
                <w:szCs w:val="24"/>
              </w:rPr>
              <w:t>the Application of RPA Energy Inc. d/b/a Green Choice Energy for Renewal Certification as a Retail Natural Gas Supplier</w:t>
            </w:r>
            <w:r w:rsidR="00AE5E31">
              <w:rPr>
                <w:rFonts w:ascii="Times New Roman" w:hAnsi="Times New Roman" w:cs="Times New Roman"/>
                <w:sz w:val="24"/>
                <w:szCs w:val="24"/>
              </w:rPr>
              <w:t>.</w:t>
            </w:r>
          </w:p>
        </w:tc>
        <w:tc>
          <w:tcPr>
            <w:tcW w:w="468" w:type="dxa"/>
            <w:shd w:val="clear" w:color="auto" w:fill="auto"/>
          </w:tcPr>
          <w:p w:rsidR="00AB5130" w:rsidRPr="00AB5130" w:rsidP="0014195A" w14:paraId="06D70F22" w14:textId="77777777">
            <w:pPr>
              <w:pStyle w:val="HTMLPreformatted"/>
              <w:rPr>
                <w:rFonts w:ascii="Times New Roman" w:hAnsi="Times New Roman" w:cs="Times New Roman"/>
                <w:sz w:val="24"/>
                <w:szCs w:val="24"/>
              </w:rPr>
            </w:pPr>
            <w:r w:rsidRPr="00AB5130">
              <w:rPr>
                <w:rFonts w:ascii="Times New Roman" w:hAnsi="Times New Roman" w:cs="Times New Roman"/>
                <w:sz w:val="24"/>
                <w:szCs w:val="24"/>
              </w:rPr>
              <w:t>)</w:t>
            </w:r>
          </w:p>
          <w:p w:rsidR="00AB5130" w:rsidRPr="00AB5130" w:rsidP="0014195A" w14:paraId="036C305F" w14:textId="77777777">
            <w:pPr>
              <w:pStyle w:val="HTMLPreformatted"/>
              <w:rPr>
                <w:rFonts w:ascii="Times New Roman" w:hAnsi="Times New Roman" w:cs="Times New Roman"/>
                <w:sz w:val="24"/>
                <w:szCs w:val="24"/>
              </w:rPr>
            </w:pPr>
            <w:r w:rsidRPr="00AB5130">
              <w:rPr>
                <w:rFonts w:ascii="Times New Roman" w:hAnsi="Times New Roman" w:cs="Times New Roman"/>
                <w:sz w:val="24"/>
                <w:szCs w:val="24"/>
              </w:rPr>
              <w:t>)</w:t>
            </w:r>
          </w:p>
          <w:p w:rsidR="00AB5130" w:rsidRPr="00AB5130" w:rsidP="0014195A" w14:paraId="68886CA4" w14:textId="77777777">
            <w:pPr>
              <w:pStyle w:val="HTMLPreformatted"/>
              <w:rPr>
                <w:rFonts w:ascii="Times New Roman" w:hAnsi="Times New Roman" w:cs="Times New Roman"/>
                <w:sz w:val="24"/>
                <w:szCs w:val="24"/>
              </w:rPr>
            </w:pPr>
            <w:r w:rsidRPr="00AB5130">
              <w:rPr>
                <w:rFonts w:ascii="Times New Roman" w:hAnsi="Times New Roman" w:cs="Times New Roman"/>
                <w:sz w:val="24"/>
                <w:szCs w:val="24"/>
              </w:rPr>
              <w:t>)</w:t>
            </w:r>
          </w:p>
          <w:p w:rsidR="00AB5130" w:rsidRPr="00AB5130" w:rsidP="0014195A" w14:paraId="653BCDD0" w14:textId="74B65C06">
            <w:pPr>
              <w:pStyle w:val="HTMLPreformatted"/>
              <w:rPr>
                <w:rFonts w:ascii="Times New Roman" w:hAnsi="Times New Roman" w:cs="Times New Roman"/>
                <w:sz w:val="24"/>
                <w:szCs w:val="24"/>
              </w:rPr>
            </w:pPr>
            <w:r w:rsidRPr="00AB5130">
              <w:rPr>
                <w:rFonts w:ascii="Times New Roman" w:hAnsi="Times New Roman" w:cs="Times New Roman"/>
                <w:sz w:val="24"/>
                <w:szCs w:val="24"/>
              </w:rPr>
              <w:t>)</w:t>
            </w:r>
          </w:p>
          <w:p w:rsidR="00AB5130" w:rsidRPr="00AB5130" w:rsidP="0014195A" w14:paraId="425387C5" w14:textId="77777777">
            <w:pPr>
              <w:pStyle w:val="HTMLPreformatted"/>
              <w:rPr>
                <w:rFonts w:ascii="Times New Roman" w:hAnsi="Times New Roman" w:cs="Times New Roman"/>
                <w:sz w:val="24"/>
                <w:szCs w:val="24"/>
              </w:rPr>
            </w:pPr>
          </w:p>
        </w:tc>
        <w:tc>
          <w:tcPr>
            <w:tcW w:w="4032" w:type="dxa"/>
            <w:shd w:val="clear" w:color="auto" w:fill="auto"/>
          </w:tcPr>
          <w:p w:rsidR="00AB5130" w:rsidRPr="00AB5130" w:rsidP="0014195A" w14:paraId="198C56ED" w14:textId="77777777">
            <w:pPr>
              <w:pStyle w:val="HTMLPreformatted"/>
              <w:rPr>
                <w:rFonts w:ascii="Times New Roman" w:hAnsi="Times New Roman" w:cs="Times New Roman"/>
                <w:sz w:val="24"/>
                <w:szCs w:val="24"/>
              </w:rPr>
            </w:pPr>
          </w:p>
          <w:p w:rsidR="00AB5130" w:rsidRPr="00AB5130" w:rsidP="0014195A" w14:paraId="7BB754F4" w14:textId="7CEA1C3D">
            <w:pPr>
              <w:pStyle w:val="HTMLPreformatted"/>
              <w:rPr>
                <w:rFonts w:ascii="Times New Roman" w:hAnsi="Times New Roman" w:cs="Times New Roman"/>
                <w:sz w:val="24"/>
                <w:szCs w:val="24"/>
              </w:rPr>
            </w:pPr>
            <w:r w:rsidRPr="00AB5130">
              <w:rPr>
                <w:rFonts w:ascii="Times New Roman" w:hAnsi="Times New Roman" w:cs="Times New Roman"/>
                <w:sz w:val="24"/>
                <w:szCs w:val="24"/>
              </w:rPr>
              <w:t xml:space="preserve">Case No. </w:t>
            </w:r>
            <w:r w:rsidR="004F147E">
              <w:rPr>
                <w:rFonts w:ascii="Times New Roman" w:hAnsi="Times New Roman" w:cs="Times New Roman"/>
                <w:sz w:val="24"/>
                <w:szCs w:val="24"/>
              </w:rPr>
              <w:t>16-893-GA-CRS</w:t>
            </w:r>
          </w:p>
          <w:p w:rsidR="00AB5130" w:rsidP="0014195A" w14:paraId="1275A544" w14:textId="77777777">
            <w:pPr>
              <w:pStyle w:val="HTMLPreformatted"/>
              <w:rPr>
                <w:rFonts w:ascii="Times New Roman" w:hAnsi="Times New Roman" w:cs="Times New Roman"/>
                <w:sz w:val="24"/>
                <w:szCs w:val="24"/>
              </w:rPr>
            </w:pPr>
          </w:p>
          <w:p w:rsidR="00D435A6" w:rsidRPr="00AB5130" w:rsidP="0014195A" w14:paraId="006C49AB" w14:textId="109DD80A">
            <w:pPr>
              <w:pStyle w:val="HTMLPreformatted"/>
              <w:rPr>
                <w:rFonts w:ascii="Times New Roman" w:hAnsi="Times New Roman" w:cs="Times New Roman"/>
                <w:sz w:val="24"/>
                <w:szCs w:val="24"/>
              </w:rPr>
            </w:pPr>
          </w:p>
        </w:tc>
      </w:tr>
    </w:tbl>
    <w:p w:rsidR="00AD7B34" w:rsidRPr="00AB5130" w:rsidP="00AD7B34" w14:paraId="55CE326A" w14:textId="77777777">
      <w:pPr>
        <w:pStyle w:val="HTMLPreformatted"/>
        <w:pBdr>
          <w:top w:val="single" w:sz="12" w:space="1" w:color="auto"/>
        </w:pBdr>
        <w:rPr>
          <w:rFonts w:ascii="Times New Roman" w:hAnsi="Times New Roman" w:cs="Times New Roman"/>
          <w:sz w:val="24"/>
          <w:szCs w:val="24"/>
        </w:rPr>
      </w:pPr>
    </w:p>
    <w:p w:rsidR="00AD7B34" w:rsidRPr="00AB5130" w:rsidP="00AD7B34" w14:paraId="6270FB53" w14:textId="77777777">
      <w:pPr>
        <w:jc w:val="center"/>
        <w:rPr>
          <w:rFonts w:ascii="Times New Roman" w:hAnsi="Times New Roman" w:cs="Times New Roman"/>
          <w:b/>
          <w:bCs/>
        </w:rPr>
      </w:pPr>
      <w:r w:rsidRPr="00AB5130">
        <w:rPr>
          <w:rFonts w:ascii="Times New Roman" w:hAnsi="Times New Roman" w:cs="Times New Roman"/>
          <w:b/>
          <w:bCs/>
        </w:rPr>
        <w:t xml:space="preserve">REPLY TO GREEN CHOICE’S MEMORANDUM CONTRA </w:t>
      </w:r>
    </w:p>
    <w:p w:rsidR="00AD7B34" w:rsidRPr="00AB5130" w:rsidP="00AD7B34" w14:paraId="236691CB" w14:textId="77777777">
      <w:pPr>
        <w:jc w:val="center"/>
        <w:rPr>
          <w:rFonts w:ascii="Times New Roman" w:hAnsi="Times New Roman" w:cs="Times New Roman"/>
          <w:b/>
          <w:bCs/>
        </w:rPr>
      </w:pPr>
      <w:r w:rsidRPr="00AB5130">
        <w:rPr>
          <w:rFonts w:ascii="Times New Roman" w:hAnsi="Times New Roman" w:cs="Times New Roman"/>
          <w:b/>
          <w:bCs/>
        </w:rPr>
        <w:t>OCC’S MOTION</w:t>
      </w:r>
      <w:r>
        <w:rPr>
          <w:rFonts w:ascii="Times New Roman" w:hAnsi="Times New Roman" w:cs="Times New Roman"/>
          <w:b/>
          <w:bCs/>
        </w:rPr>
        <w:t xml:space="preserve"> TO COMPEL DISCOVERY</w:t>
      </w:r>
    </w:p>
    <w:p w:rsidR="00AD7B34" w:rsidRPr="00AB5130" w:rsidP="00AD7B34" w14:paraId="30F3EF24" w14:textId="77777777">
      <w:pPr>
        <w:jc w:val="center"/>
        <w:rPr>
          <w:rFonts w:ascii="Times New Roman" w:hAnsi="Times New Roman" w:cs="Times New Roman"/>
          <w:b/>
          <w:bCs/>
        </w:rPr>
      </w:pPr>
      <w:r w:rsidRPr="00AB5130">
        <w:rPr>
          <w:rFonts w:ascii="Times New Roman" w:hAnsi="Times New Roman" w:cs="Times New Roman"/>
          <w:b/>
          <w:bCs/>
        </w:rPr>
        <w:t>BY</w:t>
      </w:r>
    </w:p>
    <w:p w:rsidR="00AD7B34" w:rsidRPr="00AB5130" w:rsidP="00AD7B34" w14:paraId="1929FC1E" w14:textId="77777777">
      <w:pPr>
        <w:jc w:val="center"/>
        <w:rPr>
          <w:rFonts w:ascii="Times New Roman" w:hAnsi="Times New Roman" w:cs="Times New Roman"/>
          <w:b/>
          <w:bCs/>
        </w:rPr>
      </w:pPr>
      <w:r w:rsidRPr="00AB5130">
        <w:rPr>
          <w:rFonts w:ascii="Times New Roman" w:hAnsi="Times New Roman" w:cs="Times New Roman"/>
          <w:b/>
          <w:bCs/>
        </w:rPr>
        <w:t>OFFICE OF THE OHIO CONSUMERS’ COUNSEL</w:t>
      </w:r>
    </w:p>
    <w:p w:rsidR="00AD7B34" w:rsidRPr="00AB5130" w:rsidP="00AD7B34" w14:paraId="7AB9BBAC" w14:textId="77777777">
      <w:pPr>
        <w:pBdr>
          <w:bottom w:val="single" w:sz="12" w:space="1" w:color="auto"/>
        </w:pBdr>
        <w:tabs>
          <w:tab w:val="left" w:pos="4320"/>
        </w:tabs>
        <w:rPr>
          <w:rFonts w:ascii="Times New Roman" w:hAnsi="Times New Roman" w:cs="Times New Roman"/>
        </w:rPr>
      </w:pPr>
    </w:p>
    <w:p w:rsidR="00AB5130" w:rsidRPr="000B1CB4" w:rsidP="00AD7B34" w14:paraId="17317157" w14:textId="77777777">
      <w:pPr>
        <w:pStyle w:val="BodyTextIndent3"/>
        <w:widowControl w:val="0"/>
        <w:spacing w:line="240" w:lineRule="auto"/>
        <w:ind w:firstLine="0"/>
        <w:rPr>
          <w:szCs w:val="24"/>
        </w:rPr>
      </w:pPr>
    </w:p>
    <w:p w:rsidR="00AB5130" w:rsidRPr="000B1CB4" w:rsidP="00AD7B34" w14:paraId="5ED5E08F" w14:textId="77777777">
      <w:pPr>
        <w:pStyle w:val="Heading1"/>
        <w:numPr>
          <w:ilvl w:val="0"/>
          <w:numId w:val="3"/>
        </w:numPr>
        <w:ind w:left="720"/>
      </w:pPr>
      <w:bookmarkStart w:id="0" w:name="_Toc30075653"/>
      <w:bookmarkStart w:id="1" w:name="_Toc111732050"/>
      <w:r w:rsidRPr="000B1CB4">
        <w:t>INTRODUCTION</w:t>
      </w:r>
      <w:bookmarkEnd w:id="0"/>
      <w:bookmarkEnd w:id="1"/>
    </w:p>
    <w:p w:rsidR="006E53A8" w:rsidP="00541B41" w14:paraId="022D0A8B" w14:textId="64628F9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Green Choice Energy (“Green Choice”)</w:t>
      </w:r>
      <w:r w:rsidR="004F147E">
        <w:rPr>
          <w:rFonts w:ascii="Times New Roman" w:eastAsia="Times New Roman" w:hAnsi="Times New Roman" w:cs="Times New Roman"/>
        </w:rPr>
        <w:t xml:space="preserve"> has been accused by </w:t>
      </w:r>
      <w:r w:rsidR="00C7272C">
        <w:rPr>
          <w:rFonts w:ascii="Times New Roman" w:eastAsia="Times New Roman" w:hAnsi="Times New Roman" w:cs="Times New Roman"/>
        </w:rPr>
        <w:t xml:space="preserve">the </w:t>
      </w:r>
      <w:r w:rsidR="004F147E">
        <w:rPr>
          <w:rFonts w:ascii="Times New Roman" w:eastAsia="Times New Roman" w:hAnsi="Times New Roman" w:cs="Times New Roman"/>
        </w:rPr>
        <w:t>PUCO Staff of perpetrating on Ohioans “a pattern of misleading and deceptive practices” in “door to door and telephonic sales….”</w:t>
      </w:r>
      <w:r>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w:t>
      </w:r>
      <w:r w:rsidR="00C7272C">
        <w:rPr>
          <w:rFonts w:ascii="Times New Roman" w:eastAsia="Times New Roman" w:hAnsi="Times New Roman" w:cs="Times New Roman"/>
        </w:rPr>
        <w:t xml:space="preserve">The </w:t>
      </w:r>
      <w:r w:rsidR="00664C80">
        <w:rPr>
          <w:rFonts w:ascii="Times New Roman" w:eastAsia="Times New Roman" w:hAnsi="Times New Roman" w:cs="Times New Roman"/>
        </w:rPr>
        <w:t xml:space="preserve">PUCO Staff </w:t>
      </w:r>
      <w:r w:rsidR="004F147E">
        <w:rPr>
          <w:rFonts w:ascii="Times New Roman" w:eastAsia="Times New Roman" w:hAnsi="Times New Roman" w:cs="Times New Roman"/>
        </w:rPr>
        <w:t>has</w:t>
      </w:r>
      <w:r w:rsidR="00664C80">
        <w:rPr>
          <w:rFonts w:ascii="Times New Roman" w:eastAsia="Times New Roman" w:hAnsi="Times New Roman" w:cs="Times New Roman"/>
        </w:rPr>
        <w:t xml:space="preserve"> witnessed </w:t>
      </w:r>
      <w:r w:rsidR="00D46C60">
        <w:rPr>
          <w:rFonts w:ascii="Times New Roman" w:eastAsia="Times New Roman" w:hAnsi="Times New Roman" w:cs="Times New Roman"/>
        </w:rPr>
        <w:t xml:space="preserve">Green Choice’s </w:t>
      </w:r>
      <w:r w:rsidR="000C43F1">
        <w:rPr>
          <w:rFonts w:ascii="Times New Roman" w:eastAsia="Times New Roman" w:hAnsi="Times New Roman" w:cs="Times New Roman"/>
        </w:rPr>
        <w:t>misleading</w:t>
      </w:r>
      <w:r w:rsidR="004F147E">
        <w:rPr>
          <w:rFonts w:ascii="Times New Roman" w:eastAsia="Times New Roman" w:hAnsi="Times New Roman" w:cs="Times New Roman"/>
        </w:rPr>
        <w:t xml:space="preserve"> tactics</w:t>
      </w:r>
      <w:r w:rsidR="003B3579">
        <w:rPr>
          <w:rFonts w:ascii="Times New Roman" w:eastAsia="Times New Roman" w:hAnsi="Times New Roman" w:cs="Times New Roman"/>
        </w:rPr>
        <w:t xml:space="preserve"> firsthand</w:t>
      </w:r>
      <w:r w:rsidR="00E95FB2">
        <w:rPr>
          <w:rFonts w:ascii="Times New Roman" w:eastAsia="Times New Roman" w:hAnsi="Times New Roman" w:cs="Times New Roman"/>
        </w:rPr>
        <w:t xml:space="preserve">, as the marketer </w:t>
      </w:r>
      <w:r w:rsidR="00D46C60">
        <w:rPr>
          <w:rFonts w:ascii="Times New Roman" w:eastAsia="Times New Roman" w:hAnsi="Times New Roman" w:cs="Times New Roman"/>
        </w:rPr>
        <w:t xml:space="preserve">solicited </w:t>
      </w:r>
      <w:r w:rsidR="00664C80">
        <w:rPr>
          <w:rFonts w:ascii="Times New Roman" w:eastAsia="Times New Roman" w:hAnsi="Times New Roman" w:cs="Times New Roman"/>
        </w:rPr>
        <w:t>the PUCO’s own Barbara Bossart on</w:t>
      </w:r>
      <w:r w:rsidR="00D46C60">
        <w:rPr>
          <w:rFonts w:ascii="Times New Roman" w:eastAsia="Times New Roman" w:hAnsi="Times New Roman" w:cs="Times New Roman"/>
        </w:rPr>
        <w:t xml:space="preserve"> her personal cellphone</w:t>
      </w:r>
      <w:r w:rsidR="00E95FB2">
        <w:rPr>
          <w:rFonts w:ascii="Times New Roman" w:eastAsia="Times New Roman" w:hAnsi="Times New Roman" w:cs="Times New Roman"/>
        </w:rPr>
        <w:t xml:space="preserve"> twice </w:t>
      </w:r>
      <w:r w:rsidR="00F75B45">
        <w:rPr>
          <w:rFonts w:ascii="Times New Roman" w:eastAsia="Times New Roman" w:hAnsi="Times New Roman" w:cs="Times New Roman"/>
        </w:rPr>
        <w:t>in</w:t>
      </w:r>
      <w:r w:rsidR="00E95FB2">
        <w:rPr>
          <w:rFonts w:ascii="Times New Roman" w:eastAsia="Times New Roman" w:hAnsi="Times New Roman" w:cs="Times New Roman"/>
        </w:rPr>
        <w:t xml:space="preserve"> June 2021</w:t>
      </w:r>
      <w:r w:rsidR="00D46C60">
        <w:rPr>
          <w:rFonts w:ascii="Times New Roman" w:eastAsia="Times New Roman" w:hAnsi="Times New Roman" w:cs="Times New Roman"/>
        </w:rPr>
        <w:t xml:space="preserve">. </w:t>
      </w:r>
      <w:r w:rsidR="000C43F1">
        <w:rPr>
          <w:rFonts w:ascii="Times New Roman" w:eastAsia="Times New Roman" w:hAnsi="Times New Roman" w:cs="Times New Roman"/>
        </w:rPr>
        <w:t xml:space="preserve">During one call, </w:t>
      </w:r>
      <w:r w:rsidR="00664C80">
        <w:rPr>
          <w:rFonts w:ascii="Times New Roman" w:eastAsia="Times New Roman" w:hAnsi="Times New Roman" w:cs="Times New Roman"/>
        </w:rPr>
        <w:t>Green Choice</w:t>
      </w:r>
      <w:r w:rsidR="00D46C60">
        <w:rPr>
          <w:rFonts w:ascii="Times New Roman" w:eastAsia="Times New Roman" w:hAnsi="Times New Roman" w:cs="Times New Roman"/>
        </w:rPr>
        <w:t xml:space="preserve"> “spoofed a number to make it appear that someone local was callin</w:t>
      </w:r>
      <w:r w:rsidR="00FF7DB4">
        <w:rPr>
          <w:rFonts w:ascii="Times New Roman" w:eastAsia="Times New Roman" w:hAnsi="Times New Roman" w:cs="Times New Roman"/>
        </w:rPr>
        <w:t>g</w:t>
      </w:r>
      <w:r w:rsidR="00664C80">
        <w:rPr>
          <w:rFonts w:ascii="Times New Roman" w:eastAsia="Times New Roman" w:hAnsi="Times New Roman" w:cs="Times New Roman"/>
        </w:rPr>
        <w:t>”</w:t>
      </w:r>
      <w:r w:rsidR="00FF7DB4">
        <w:rPr>
          <w:rFonts w:ascii="Times New Roman" w:eastAsia="Times New Roman" w:hAnsi="Times New Roman" w:cs="Times New Roman"/>
        </w:rPr>
        <w:t xml:space="preserve"> and made “several misleading and deceptive statements.”</w:t>
      </w:r>
      <w:r>
        <w:rPr>
          <w:rStyle w:val="FootnoteReference"/>
          <w:rFonts w:ascii="Times New Roman" w:eastAsia="Times New Roman" w:hAnsi="Times New Roman" w:cs="Times New Roman"/>
        </w:rPr>
        <w:footnoteReference w:id="3"/>
      </w:r>
      <w:r w:rsidR="00FF7DB4">
        <w:rPr>
          <w:rFonts w:ascii="Times New Roman" w:eastAsia="Times New Roman" w:hAnsi="Times New Roman" w:cs="Times New Roman"/>
        </w:rPr>
        <w:t xml:space="preserve"> Upon request by a PUCO Staff investigator, Green Choice</w:t>
      </w:r>
      <w:r w:rsidR="00664C80">
        <w:rPr>
          <w:rFonts w:ascii="Times New Roman" w:eastAsia="Times New Roman" w:hAnsi="Times New Roman" w:cs="Times New Roman"/>
        </w:rPr>
        <w:t xml:space="preserve"> then</w:t>
      </w:r>
      <w:r w:rsidR="00FF7DB4">
        <w:rPr>
          <w:rFonts w:ascii="Times New Roman" w:eastAsia="Times New Roman" w:hAnsi="Times New Roman" w:cs="Times New Roman"/>
        </w:rPr>
        <w:t xml:space="preserve"> provided a recording of </w:t>
      </w:r>
      <w:r w:rsidR="000C43F1">
        <w:rPr>
          <w:rFonts w:ascii="Times New Roman" w:eastAsia="Times New Roman" w:hAnsi="Times New Roman" w:cs="Times New Roman"/>
        </w:rPr>
        <w:t>a</w:t>
      </w:r>
      <w:r w:rsidR="00FF7DB4">
        <w:rPr>
          <w:rFonts w:ascii="Times New Roman" w:eastAsia="Times New Roman" w:hAnsi="Times New Roman" w:cs="Times New Roman"/>
        </w:rPr>
        <w:t xml:space="preserve"> call that was missing parts of M</w:t>
      </w:r>
      <w:r w:rsidR="00C7272C">
        <w:rPr>
          <w:rFonts w:ascii="Times New Roman" w:eastAsia="Times New Roman" w:hAnsi="Times New Roman" w:cs="Times New Roman"/>
        </w:rPr>
        <w:t>s.</w:t>
      </w:r>
      <w:r w:rsidR="00C7272C">
        <w:rPr>
          <w:rFonts w:ascii="Times New Roman" w:eastAsia="Times New Roman" w:hAnsi="Times New Roman" w:cs="Times New Roman"/>
        </w:rPr>
        <w:t xml:space="preserve"> </w:t>
      </w:r>
      <w:r w:rsidR="00C7272C">
        <w:rPr>
          <w:rFonts w:ascii="Times New Roman" w:eastAsia="Times New Roman" w:hAnsi="Times New Roman" w:cs="Times New Roman"/>
        </w:rPr>
        <w:t>B</w:t>
      </w:r>
      <w:r w:rsidR="00FF7DB4">
        <w:rPr>
          <w:rFonts w:ascii="Times New Roman" w:eastAsia="Times New Roman" w:hAnsi="Times New Roman" w:cs="Times New Roman"/>
        </w:rPr>
        <w:t>ossart’s conversation.</w:t>
      </w:r>
      <w:r>
        <w:rPr>
          <w:rStyle w:val="FootnoteReference"/>
          <w:rFonts w:ascii="Times New Roman" w:eastAsia="Times New Roman" w:hAnsi="Times New Roman" w:cs="Times New Roman"/>
        </w:rPr>
        <w:footnoteReference w:id="4"/>
      </w:r>
      <w:r w:rsidR="00664C80">
        <w:rPr>
          <w:rFonts w:ascii="Times New Roman" w:eastAsia="Times New Roman" w:hAnsi="Times New Roman" w:cs="Times New Roman"/>
        </w:rPr>
        <w:t xml:space="preserve"> </w:t>
      </w:r>
      <w:r w:rsidR="00791195">
        <w:rPr>
          <w:rFonts w:ascii="Times New Roman" w:eastAsia="Times New Roman" w:hAnsi="Times New Roman" w:cs="Times New Roman"/>
        </w:rPr>
        <w:t xml:space="preserve">Clearly, </w:t>
      </w:r>
      <w:r w:rsidR="000F41C2">
        <w:rPr>
          <w:rFonts w:ascii="Times New Roman" w:eastAsia="Times New Roman" w:hAnsi="Times New Roman" w:cs="Times New Roman"/>
        </w:rPr>
        <w:t>Green Choice is no friend of Ohio consumers.</w:t>
      </w:r>
    </w:p>
    <w:p w:rsidR="009D3C47" w:rsidP="00541B41" w14:paraId="34835A48" w14:textId="07936F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For energy marketers, d</w:t>
      </w:r>
      <w:r>
        <w:rPr>
          <w:rFonts w:ascii="Times New Roman" w:eastAsia="Times New Roman" w:hAnsi="Times New Roman" w:cs="Times New Roman"/>
        </w:rPr>
        <w:t>oing business in Ohio is a privilege</w:t>
      </w:r>
      <w:r w:rsidR="00261037">
        <w:rPr>
          <w:rFonts w:ascii="Times New Roman" w:eastAsia="Times New Roman" w:hAnsi="Times New Roman" w:cs="Times New Roman"/>
        </w:rPr>
        <w:t>,</w:t>
      </w:r>
      <w:r>
        <w:rPr>
          <w:rFonts w:ascii="Times New Roman" w:eastAsia="Times New Roman" w:hAnsi="Times New Roman" w:cs="Times New Roman"/>
        </w:rPr>
        <w:t xml:space="preserve"> not a right. Gre</w:t>
      </w:r>
      <w:r w:rsidR="003E1B3C">
        <w:rPr>
          <w:rFonts w:ascii="Times New Roman" w:eastAsia="Times New Roman" w:hAnsi="Times New Roman" w:cs="Times New Roman"/>
        </w:rPr>
        <w:t>e</w:t>
      </w:r>
      <w:r>
        <w:rPr>
          <w:rFonts w:ascii="Times New Roman" w:eastAsia="Times New Roman" w:hAnsi="Times New Roman" w:cs="Times New Roman"/>
        </w:rPr>
        <w:t xml:space="preserve">n Choice has </w:t>
      </w:r>
      <w:r w:rsidR="003E1B3C">
        <w:rPr>
          <w:rFonts w:ascii="Times New Roman" w:eastAsia="Times New Roman" w:hAnsi="Times New Roman" w:cs="Times New Roman"/>
        </w:rPr>
        <w:t xml:space="preserve">allegedly </w:t>
      </w:r>
      <w:r w:rsidR="00864AAE">
        <w:rPr>
          <w:rFonts w:ascii="Times New Roman" w:eastAsia="Times New Roman" w:hAnsi="Times New Roman" w:cs="Times New Roman"/>
        </w:rPr>
        <w:t xml:space="preserve">abused that privilege by </w:t>
      </w:r>
      <w:r w:rsidR="003E1B3C">
        <w:rPr>
          <w:rFonts w:ascii="Times New Roman" w:eastAsia="Times New Roman" w:hAnsi="Times New Roman" w:cs="Times New Roman"/>
        </w:rPr>
        <w:t>misle</w:t>
      </w:r>
      <w:r w:rsidR="00864AAE">
        <w:rPr>
          <w:rFonts w:ascii="Times New Roman" w:eastAsia="Times New Roman" w:hAnsi="Times New Roman" w:cs="Times New Roman"/>
        </w:rPr>
        <w:t>a</w:t>
      </w:r>
      <w:r w:rsidR="003E1B3C">
        <w:rPr>
          <w:rFonts w:ascii="Times New Roman" w:eastAsia="Times New Roman" w:hAnsi="Times New Roman" w:cs="Times New Roman"/>
        </w:rPr>
        <w:t>d</w:t>
      </w:r>
      <w:r w:rsidR="00864AAE">
        <w:rPr>
          <w:rFonts w:ascii="Times New Roman" w:eastAsia="Times New Roman" w:hAnsi="Times New Roman" w:cs="Times New Roman"/>
        </w:rPr>
        <w:t>ing</w:t>
      </w:r>
      <w:r w:rsidR="003E1B3C">
        <w:rPr>
          <w:rFonts w:ascii="Times New Roman" w:eastAsia="Times New Roman" w:hAnsi="Times New Roman" w:cs="Times New Roman"/>
        </w:rPr>
        <w:t xml:space="preserve"> consumers through deceptive </w:t>
      </w:r>
      <w:r w:rsidR="003E1B3C">
        <w:rPr>
          <w:rFonts w:ascii="Times New Roman" w:eastAsia="Times New Roman" w:hAnsi="Times New Roman" w:cs="Times New Roman"/>
        </w:rPr>
        <w:t>marketing</w:t>
      </w:r>
      <w:r w:rsidR="00864AAE">
        <w:rPr>
          <w:rFonts w:ascii="Times New Roman" w:eastAsia="Times New Roman" w:hAnsi="Times New Roman" w:cs="Times New Roman"/>
        </w:rPr>
        <w:t xml:space="preserve">. Now, Green Choice is </w:t>
      </w:r>
      <w:r w:rsidR="00B431ED">
        <w:rPr>
          <w:rFonts w:ascii="Times New Roman" w:eastAsia="Times New Roman" w:hAnsi="Times New Roman" w:cs="Times New Roman"/>
        </w:rPr>
        <w:t>refus</w:t>
      </w:r>
      <w:r w:rsidR="00864AAE">
        <w:rPr>
          <w:rFonts w:ascii="Times New Roman" w:eastAsia="Times New Roman" w:hAnsi="Times New Roman" w:cs="Times New Roman"/>
        </w:rPr>
        <w:t>ing</w:t>
      </w:r>
      <w:r w:rsidR="00B431ED">
        <w:rPr>
          <w:rFonts w:ascii="Times New Roman" w:eastAsia="Times New Roman" w:hAnsi="Times New Roman" w:cs="Times New Roman"/>
        </w:rPr>
        <w:t xml:space="preserve"> to answer</w:t>
      </w:r>
      <w:r w:rsidR="00BC691B">
        <w:rPr>
          <w:rFonts w:ascii="Times New Roman" w:eastAsia="Times New Roman" w:hAnsi="Times New Roman" w:cs="Times New Roman"/>
        </w:rPr>
        <w:t xml:space="preserve"> OCC’s discovery requests</w:t>
      </w:r>
      <w:r w:rsidR="003E1B3C">
        <w:rPr>
          <w:rFonts w:ascii="Times New Roman" w:eastAsia="Times New Roman" w:hAnsi="Times New Roman" w:cs="Times New Roman"/>
        </w:rPr>
        <w:t xml:space="preserve">. Consumer protection demands that the PUCO </w:t>
      </w:r>
      <w:r w:rsidR="000F0580">
        <w:rPr>
          <w:rFonts w:ascii="Times New Roman" w:eastAsia="Times New Roman" w:hAnsi="Times New Roman" w:cs="Times New Roman"/>
        </w:rPr>
        <w:t xml:space="preserve">not abide these violations of </w:t>
      </w:r>
      <w:r>
        <w:rPr>
          <w:rFonts w:ascii="Times New Roman" w:eastAsia="Times New Roman" w:hAnsi="Times New Roman" w:cs="Times New Roman"/>
        </w:rPr>
        <w:t xml:space="preserve">its </w:t>
      </w:r>
      <w:r w:rsidR="000F0580">
        <w:rPr>
          <w:rFonts w:ascii="Times New Roman" w:eastAsia="Times New Roman" w:hAnsi="Times New Roman" w:cs="Times New Roman"/>
        </w:rPr>
        <w:t>rules. The PUCO should</w:t>
      </w:r>
      <w:r w:rsidR="00BC691B">
        <w:rPr>
          <w:rFonts w:ascii="Times New Roman" w:eastAsia="Times New Roman" w:hAnsi="Times New Roman" w:cs="Times New Roman"/>
        </w:rPr>
        <w:t xml:space="preserve"> grant OCC’s Motion to Compel</w:t>
      </w:r>
      <w:r w:rsidR="003E1B3C">
        <w:rPr>
          <w:rFonts w:ascii="Times New Roman" w:eastAsia="Times New Roman" w:hAnsi="Times New Roman" w:cs="Times New Roman"/>
        </w:rPr>
        <w:t xml:space="preserve">. </w:t>
      </w:r>
    </w:p>
    <w:p w:rsidR="000A53E7" w:rsidP="009B38EE" w14:paraId="630EE12A" w14:textId="18487361">
      <w:pPr>
        <w:spacing w:line="480" w:lineRule="auto"/>
        <w:ind w:firstLine="720"/>
        <w:rPr>
          <w:rFonts w:ascii="Times New Roman" w:hAnsi="Times New Roman" w:cs="Times New Roman"/>
        </w:rPr>
      </w:pPr>
      <w:r>
        <w:rPr>
          <w:rFonts w:ascii="Times New Roman" w:eastAsia="Times New Roman" w:hAnsi="Times New Roman" w:cs="Times New Roman"/>
        </w:rPr>
        <w:t>OCC is entitled to discovery</w:t>
      </w:r>
      <w:r w:rsidR="005133F5">
        <w:rPr>
          <w:rFonts w:ascii="Times New Roman" w:eastAsia="Times New Roman" w:hAnsi="Times New Roman" w:cs="Times New Roman"/>
        </w:rPr>
        <w:t>, per R.C. 4903.082</w:t>
      </w:r>
      <w:r>
        <w:rPr>
          <w:rFonts w:ascii="Times New Roman" w:eastAsia="Times New Roman" w:hAnsi="Times New Roman" w:cs="Times New Roman"/>
        </w:rPr>
        <w:t>.</w:t>
      </w:r>
      <w:r w:rsidR="002F3552">
        <w:rPr>
          <w:rFonts w:ascii="Times New Roman" w:eastAsia="Times New Roman" w:hAnsi="Times New Roman" w:cs="Times New Roman"/>
        </w:rPr>
        <w:t xml:space="preserve"> </w:t>
      </w:r>
      <w:r w:rsidR="005133F5">
        <w:rPr>
          <w:rFonts w:ascii="Times New Roman" w:eastAsia="Times New Roman" w:hAnsi="Times New Roman" w:cs="Times New Roman"/>
        </w:rPr>
        <w:t xml:space="preserve">Under </w:t>
      </w:r>
      <w:r w:rsidR="00D8553E">
        <w:rPr>
          <w:rFonts w:ascii="Times New Roman" w:hAnsi="Times New Roman" w:cs="Times New Roman"/>
        </w:rPr>
        <w:t>O.A.C. 4901-1-16</w:t>
      </w:r>
      <w:r w:rsidR="005133F5">
        <w:rPr>
          <w:rFonts w:ascii="Times New Roman" w:hAnsi="Times New Roman" w:cs="Times New Roman"/>
        </w:rPr>
        <w:t>,</w:t>
      </w:r>
      <w:r w:rsidR="00D8553E">
        <w:rPr>
          <w:rFonts w:ascii="Times New Roman" w:hAnsi="Times New Roman" w:cs="Times New Roman"/>
        </w:rPr>
        <w:t xml:space="preserve"> </w:t>
      </w:r>
      <w:r w:rsidR="005133F5">
        <w:rPr>
          <w:rFonts w:ascii="Times New Roman" w:hAnsi="Times New Roman" w:cs="Times New Roman"/>
        </w:rPr>
        <w:t xml:space="preserve">OCC is </w:t>
      </w:r>
      <w:r>
        <w:rPr>
          <w:rFonts w:ascii="Times New Roman" w:hAnsi="Times New Roman" w:cs="Times New Roman"/>
        </w:rPr>
        <w:t xml:space="preserve">permitted </w:t>
      </w:r>
      <w:r>
        <w:rPr>
          <w:rFonts w:ascii="Times New Roman" w:hAnsi="Times New Roman" w:cs="Times New Roman"/>
        </w:rPr>
        <w:t>to</w:t>
      </w:r>
      <w:r w:rsidR="005133F5">
        <w:rPr>
          <w:rFonts w:ascii="Times New Roman" w:hAnsi="Times New Roman" w:cs="Times New Roman"/>
        </w:rPr>
        <w:t xml:space="preserve"> </w:t>
      </w:r>
      <w:r>
        <w:rPr>
          <w:rFonts w:ascii="Times New Roman" w:hAnsi="Times New Roman" w:cs="Times New Roman"/>
        </w:rPr>
        <w:t>conduct discovery immediately upon moving to intervene</w:t>
      </w:r>
      <w:r w:rsidR="00791195">
        <w:rPr>
          <w:rFonts w:ascii="Times New Roman" w:hAnsi="Times New Roman" w:cs="Times New Roman"/>
        </w:rPr>
        <w:t xml:space="preserve"> in this case</w:t>
      </w:r>
      <w:r>
        <w:rPr>
          <w:rFonts w:ascii="Times New Roman" w:hAnsi="Times New Roman" w:cs="Times New Roman"/>
        </w:rPr>
        <w:t xml:space="preserve">. </w:t>
      </w:r>
      <w:r w:rsidR="00F75B45">
        <w:rPr>
          <w:rFonts w:ascii="Times New Roman" w:hAnsi="Times New Roman" w:cs="Times New Roman"/>
        </w:rPr>
        <w:t xml:space="preserve">After moving to intervene, </w:t>
      </w:r>
      <w:r>
        <w:rPr>
          <w:rFonts w:ascii="Times New Roman" w:hAnsi="Times New Roman" w:cs="Times New Roman"/>
        </w:rPr>
        <w:t xml:space="preserve">OCC properly served </w:t>
      </w:r>
      <w:r w:rsidR="00791195">
        <w:rPr>
          <w:rFonts w:ascii="Times New Roman" w:hAnsi="Times New Roman" w:cs="Times New Roman"/>
        </w:rPr>
        <w:t xml:space="preserve">Green Choice with </w:t>
      </w:r>
      <w:r>
        <w:rPr>
          <w:rFonts w:ascii="Times New Roman" w:hAnsi="Times New Roman" w:cs="Times New Roman"/>
        </w:rPr>
        <w:t>discovery requests on July 1, 2022</w:t>
      </w:r>
      <w:r w:rsidR="00F75B45">
        <w:rPr>
          <w:rFonts w:ascii="Times New Roman" w:hAnsi="Times New Roman" w:cs="Times New Roman"/>
        </w:rPr>
        <w:t xml:space="preserve">. </w:t>
      </w:r>
      <w:r>
        <w:rPr>
          <w:rFonts w:ascii="Times New Roman" w:hAnsi="Times New Roman" w:cs="Times New Roman"/>
        </w:rPr>
        <w:t xml:space="preserve">Green Choice failed to respond </w:t>
      </w:r>
      <w:r w:rsidR="00D8553E">
        <w:rPr>
          <w:rFonts w:ascii="Times New Roman" w:hAnsi="Times New Roman" w:cs="Times New Roman"/>
        </w:rPr>
        <w:t>within 20 days as PUCO rules require.</w:t>
      </w:r>
      <w:r>
        <w:rPr>
          <w:rStyle w:val="FootnoteReference"/>
          <w:rFonts w:ascii="Times New Roman" w:hAnsi="Times New Roman" w:cs="Times New Roman"/>
        </w:rPr>
        <w:footnoteReference w:id="5"/>
      </w:r>
      <w:r w:rsidR="00D8553E">
        <w:rPr>
          <w:rFonts w:ascii="Times New Roman" w:hAnsi="Times New Roman" w:cs="Times New Roman"/>
        </w:rPr>
        <w:t xml:space="preserve"> Green Choice still refuses to provide the information OCC properly </w:t>
      </w:r>
      <w:r w:rsidR="00791195">
        <w:rPr>
          <w:rFonts w:ascii="Times New Roman" w:hAnsi="Times New Roman" w:cs="Times New Roman"/>
        </w:rPr>
        <w:t>sought</w:t>
      </w:r>
      <w:r w:rsidR="00D8553E">
        <w:rPr>
          <w:rFonts w:ascii="Times New Roman" w:hAnsi="Times New Roman" w:cs="Times New Roman"/>
        </w:rPr>
        <w:t xml:space="preserve">. </w:t>
      </w:r>
    </w:p>
    <w:p w:rsidR="00326B12" w:rsidP="000A53E7" w14:paraId="046B98F3" w14:textId="5E41E129">
      <w:pPr>
        <w:spacing w:line="480" w:lineRule="auto"/>
        <w:ind w:firstLine="720"/>
        <w:rPr>
          <w:rFonts w:ascii="Times New Roman" w:eastAsia="Times New Roman" w:hAnsi="Times New Roman" w:cs="Times New Roman"/>
        </w:rPr>
      </w:pPr>
      <w:r>
        <w:rPr>
          <w:rFonts w:ascii="Times New Roman" w:hAnsi="Times New Roman" w:cs="Times New Roman"/>
        </w:rPr>
        <w:t xml:space="preserve">Green Choice has provided no legitimate reason </w:t>
      </w:r>
      <w:r w:rsidR="00791195">
        <w:rPr>
          <w:rFonts w:ascii="Times New Roman" w:hAnsi="Times New Roman" w:cs="Times New Roman"/>
        </w:rPr>
        <w:t>for its failure to respond</w:t>
      </w:r>
      <w:r>
        <w:rPr>
          <w:rFonts w:ascii="Times New Roman" w:hAnsi="Times New Roman" w:cs="Times New Roman"/>
        </w:rPr>
        <w:t xml:space="preserve">. </w:t>
      </w:r>
      <w:r w:rsidR="002F3552">
        <w:rPr>
          <w:rFonts w:ascii="Times New Roman" w:eastAsia="Times New Roman" w:hAnsi="Times New Roman" w:cs="Times New Roman"/>
        </w:rPr>
        <w:t>According to Green Choice,</w:t>
      </w:r>
      <w:r w:rsidR="00FE3DB7">
        <w:rPr>
          <w:rFonts w:ascii="Times New Roman" w:eastAsia="Times New Roman" w:hAnsi="Times New Roman" w:cs="Times New Roman"/>
        </w:rPr>
        <w:t xml:space="preserve"> OCC is not entitled to timely </w:t>
      </w:r>
      <w:r w:rsidR="00F75B45">
        <w:rPr>
          <w:rFonts w:ascii="Times New Roman" w:eastAsia="Times New Roman" w:hAnsi="Times New Roman" w:cs="Times New Roman"/>
        </w:rPr>
        <w:t>discovery because the issues in this case overlap with those the parties are litigating in</w:t>
      </w:r>
      <w:r w:rsidR="002F3552">
        <w:rPr>
          <w:rFonts w:ascii="Times New Roman" w:eastAsia="Times New Roman" w:hAnsi="Times New Roman" w:cs="Times New Roman"/>
        </w:rPr>
        <w:t xml:space="preserve"> Case No. 22-441-GE-COI </w:t>
      </w:r>
      <w:r w:rsidR="00293FA1">
        <w:rPr>
          <w:rFonts w:ascii="Times New Roman" w:hAnsi="Times New Roman" w:cs="Times New Roman"/>
        </w:rPr>
        <w:t>(“the enforcement proceeding”)</w:t>
      </w:r>
      <w:r w:rsidR="002F3552">
        <w:rPr>
          <w:rFonts w:ascii="Times New Roman" w:eastAsia="Times New Roman" w:hAnsi="Times New Roman" w:cs="Times New Roman"/>
        </w:rPr>
        <w:t xml:space="preserve">. </w:t>
      </w:r>
      <w:r w:rsidR="004D68ED">
        <w:rPr>
          <w:rFonts w:ascii="Times New Roman" w:eastAsia="Times New Roman" w:hAnsi="Times New Roman" w:cs="Times New Roman"/>
        </w:rPr>
        <w:t>Green Choice also argues OCC’s requests are unduly time-consuming and costly.</w:t>
      </w:r>
      <w:r w:rsidR="005133F5">
        <w:rPr>
          <w:rFonts w:ascii="Times New Roman" w:eastAsia="Times New Roman" w:hAnsi="Times New Roman" w:cs="Times New Roman"/>
        </w:rPr>
        <w:t xml:space="preserve"> Those words </w:t>
      </w:r>
      <w:r w:rsidR="00C7272C">
        <w:rPr>
          <w:rFonts w:ascii="Times New Roman" w:eastAsia="Times New Roman" w:hAnsi="Times New Roman" w:cs="Times New Roman"/>
        </w:rPr>
        <w:t>better</w:t>
      </w:r>
      <w:r w:rsidR="005133F5">
        <w:rPr>
          <w:rFonts w:ascii="Times New Roman" w:eastAsia="Times New Roman" w:hAnsi="Times New Roman" w:cs="Times New Roman"/>
        </w:rPr>
        <w:t xml:space="preserve"> describe the deceptive marketing that OCC is investigating.</w:t>
      </w:r>
      <w:r w:rsidR="004D68ED">
        <w:rPr>
          <w:rFonts w:ascii="Times New Roman" w:eastAsia="Times New Roman" w:hAnsi="Times New Roman" w:cs="Times New Roman"/>
        </w:rPr>
        <w:t xml:space="preserve"> </w:t>
      </w:r>
      <w:r w:rsidR="00A13260">
        <w:rPr>
          <w:rFonts w:ascii="Times New Roman" w:eastAsia="Times New Roman" w:hAnsi="Times New Roman" w:cs="Times New Roman"/>
        </w:rPr>
        <w:t xml:space="preserve">The PUCO should reject </w:t>
      </w:r>
      <w:r w:rsidR="004D68ED">
        <w:rPr>
          <w:rFonts w:ascii="Times New Roman" w:eastAsia="Times New Roman" w:hAnsi="Times New Roman" w:cs="Times New Roman"/>
        </w:rPr>
        <w:t xml:space="preserve">these </w:t>
      </w:r>
      <w:r w:rsidR="00A13260">
        <w:rPr>
          <w:rFonts w:ascii="Times New Roman" w:eastAsia="Times New Roman" w:hAnsi="Times New Roman" w:cs="Times New Roman"/>
        </w:rPr>
        <w:t>argument</w:t>
      </w:r>
      <w:r w:rsidR="004D68ED">
        <w:rPr>
          <w:rFonts w:ascii="Times New Roman" w:eastAsia="Times New Roman" w:hAnsi="Times New Roman" w:cs="Times New Roman"/>
        </w:rPr>
        <w:t>s</w:t>
      </w:r>
      <w:r w:rsidR="00A13260">
        <w:rPr>
          <w:rFonts w:ascii="Times New Roman" w:eastAsia="Times New Roman" w:hAnsi="Times New Roman" w:cs="Times New Roman"/>
        </w:rPr>
        <w:t xml:space="preserve">. </w:t>
      </w:r>
    </w:p>
    <w:p w:rsidR="000F41C2" w:rsidP="000A53E7" w14:paraId="11E4766D" w14:textId="71E7D335">
      <w:pPr>
        <w:spacing w:line="480" w:lineRule="auto"/>
        <w:ind w:firstLine="720"/>
        <w:rPr>
          <w:rFonts w:ascii="Times New Roman" w:hAnsi="Times New Roman" w:cs="Times New Roman"/>
        </w:rPr>
      </w:pPr>
      <w:r>
        <w:rPr>
          <w:rFonts w:ascii="Times New Roman" w:eastAsia="Times New Roman" w:hAnsi="Times New Roman" w:cs="Times New Roman"/>
        </w:rPr>
        <w:t>Green Choice misrepresents what information OCC requests</w:t>
      </w:r>
      <w:r>
        <w:rPr>
          <w:rFonts w:ascii="Times New Roman" w:hAnsi="Times New Roman" w:cs="Times New Roman"/>
        </w:rPr>
        <w:t xml:space="preserve">. </w:t>
      </w:r>
      <w:r w:rsidR="00FE3DB7">
        <w:rPr>
          <w:rFonts w:ascii="Times New Roman" w:hAnsi="Times New Roman" w:cs="Times New Roman"/>
        </w:rPr>
        <w:t>Green Choice</w:t>
      </w:r>
      <w:r w:rsidR="00A13260">
        <w:rPr>
          <w:rFonts w:ascii="Times New Roman" w:hAnsi="Times New Roman" w:cs="Times New Roman"/>
        </w:rPr>
        <w:t xml:space="preserve"> also</w:t>
      </w:r>
      <w:r w:rsidR="00FE3DB7">
        <w:rPr>
          <w:rFonts w:ascii="Times New Roman" w:hAnsi="Times New Roman" w:cs="Times New Roman"/>
        </w:rPr>
        <w:t xml:space="preserve"> contravenes PUCO rules that require expeditious discovery responses </w:t>
      </w:r>
      <w:r w:rsidR="00293FA1">
        <w:rPr>
          <w:rFonts w:ascii="Times New Roman" w:hAnsi="Times New Roman" w:cs="Times New Roman"/>
        </w:rPr>
        <w:t>for the purpose of giving</w:t>
      </w:r>
      <w:r w:rsidR="00FE3DB7">
        <w:rPr>
          <w:rFonts w:ascii="Times New Roman" w:hAnsi="Times New Roman" w:cs="Times New Roman"/>
        </w:rPr>
        <w:t xml:space="preserve"> parties adequate time to prepare for litigation. Finally, Green Choice overstates the burden OCC’s discovery requests impose</w:t>
      </w:r>
      <w:r w:rsidR="00293FA1">
        <w:rPr>
          <w:rFonts w:ascii="Times New Roman" w:hAnsi="Times New Roman" w:cs="Times New Roman"/>
        </w:rPr>
        <w:t xml:space="preserve"> on it</w:t>
      </w:r>
      <w:r w:rsidR="00FE3DB7">
        <w:rPr>
          <w:rFonts w:ascii="Times New Roman" w:hAnsi="Times New Roman" w:cs="Times New Roman"/>
        </w:rPr>
        <w:t xml:space="preserve">. OCC is entitled to timely responses to requests </w:t>
      </w:r>
      <w:r w:rsidR="00261037">
        <w:rPr>
          <w:rFonts w:ascii="Times New Roman" w:hAnsi="Times New Roman" w:cs="Times New Roman"/>
        </w:rPr>
        <w:t>reasonably calculated to lead to discovery of admissible evidence</w:t>
      </w:r>
      <w:r w:rsidR="00A13260">
        <w:rPr>
          <w:rFonts w:ascii="Times New Roman" w:hAnsi="Times New Roman" w:cs="Times New Roman"/>
        </w:rPr>
        <w:t xml:space="preserve">. </w:t>
      </w:r>
      <w:r w:rsidR="00FE3DB7">
        <w:rPr>
          <w:rFonts w:ascii="Times New Roman" w:hAnsi="Times New Roman" w:cs="Times New Roman"/>
        </w:rPr>
        <w:t xml:space="preserve">The PUCO should grant OCC’s motion to compel. </w:t>
      </w:r>
    </w:p>
    <w:p w:rsidR="00CE0FD0" w:rsidRPr="000A53E7" w:rsidP="009B38EE" w14:paraId="309979F1" w14:textId="77777777">
      <w:pPr>
        <w:rPr>
          <w:rFonts w:ascii="Times New Roman" w:hAnsi="Times New Roman" w:cs="Times New Roman"/>
        </w:rPr>
      </w:pPr>
    </w:p>
    <w:p w:rsidR="0091042E" w:rsidP="002E770A" w14:paraId="6AA1BB3A" w14:textId="0D48E5F3">
      <w:pPr>
        <w:pStyle w:val="Heading1"/>
      </w:pPr>
      <w:bookmarkStart w:id="2" w:name="_Toc111732051"/>
      <w:r w:rsidRPr="0091042E">
        <w:t>II.</w:t>
      </w:r>
      <w:r w:rsidRPr="0091042E">
        <w:tab/>
        <w:t>ARGUMENT</w:t>
      </w:r>
      <w:bookmarkEnd w:id="2"/>
    </w:p>
    <w:p w:rsidR="007322D5" w:rsidRPr="009E4065" w:rsidP="00CE0FD0" w14:paraId="4DE32B8B" w14:textId="54778275">
      <w:pPr>
        <w:pStyle w:val="Heading1"/>
        <w:numPr>
          <w:ilvl w:val="0"/>
          <w:numId w:val="4"/>
        </w:numPr>
        <w:ind w:left="1440" w:hanging="720"/>
      </w:pPr>
      <w:bookmarkStart w:id="3" w:name="_Toc111732052"/>
      <w:r>
        <w:t>Green Choice’s withholding of discovery responses is denying OCC</w:t>
      </w:r>
      <w:r w:rsidRPr="009E4065">
        <w:t xml:space="preserve"> </w:t>
      </w:r>
      <w:r w:rsidR="00947B1E">
        <w:t xml:space="preserve">adequate </w:t>
      </w:r>
      <w:r w:rsidRPr="009E4065" w:rsidR="009E4065">
        <w:t>prepar</w:t>
      </w:r>
      <w:r>
        <w:t>ation</w:t>
      </w:r>
      <w:r w:rsidRPr="009E4065" w:rsidR="009E4065">
        <w:t xml:space="preserve"> to represent Ohio consumers</w:t>
      </w:r>
      <w:r w:rsidR="00947B1E">
        <w:t>.</w:t>
      </w:r>
      <w:bookmarkEnd w:id="3"/>
      <w:r w:rsidR="00AD7B34">
        <w:t xml:space="preserve"> </w:t>
      </w:r>
    </w:p>
    <w:p w:rsidR="002E6213" w:rsidP="009B38EE" w14:paraId="37BF649C" w14:textId="4D0BF268">
      <w:pPr>
        <w:spacing w:line="480" w:lineRule="auto"/>
        <w:ind w:firstLine="720"/>
        <w:rPr>
          <w:rFonts w:ascii="Times New Roman" w:hAnsi="Times New Roman" w:cs="Times New Roman"/>
        </w:rPr>
      </w:pPr>
      <w:r w:rsidRPr="00947B1E">
        <w:rPr>
          <w:rFonts w:ascii="Times New Roman" w:hAnsi="Times New Roman" w:cs="Times New Roman"/>
          <w:color w:val="000000" w:themeColor="text1"/>
        </w:rPr>
        <w:t>Green Choice argues it need not</w:t>
      </w:r>
      <w:r w:rsidR="00F75B45">
        <w:rPr>
          <w:rFonts w:ascii="Times New Roman" w:hAnsi="Times New Roman" w:cs="Times New Roman"/>
          <w:color w:val="000000" w:themeColor="text1"/>
        </w:rPr>
        <w:t xml:space="preserve"> provide timely discovery because this case and the enforcement proceeding concern similar issues</w:t>
      </w:r>
      <w:r>
        <w:rPr>
          <w:rFonts w:ascii="Times New Roman" w:hAnsi="Times New Roman" w:cs="Times New Roman"/>
        </w:rPr>
        <w:t>.</w:t>
      </w:r>
      <w:r>
        <w:rPr>
          <w:rStyle w:val="FootnoteReference"/>
          <w:rFonts w:ascii="Times New Roman" w:hAnsi="Times New Roman" w:cs="Times New Roman"/>
        </w:rPr>
        <w:footnoteReference w:id="6"/>
      </w:r>
      <w:r w:rsidR="005133F5">
        <w:rPr>
          <w:rFonts w:ascii="Times New Roman" w:hAnsi="Times New Roman" w:cs="Times New Roman"/>
        </w:rPr>
        <w:t xml:space="preserve"> That is not a reason to withhold discovery responses.</w:t>
      </w:r>
      <w:r w:rsidR="0080358D">
        <w:rPr>
          <w:rFonts w:ascii="Times New Roman" w:hAnsi="Times New Roman" w:cs="Times New Roman"/>
        </w:rPr>
        <w:t xml:space="preserve"> </w:t>
      </w:r>
      <w:r w:rsidR="005133F5">
        <w:rPr>
          <w:rFonts w:ascii="Times New Roman" w:hAnsi="Times New Roman" w:cs="Times New Roman"/>
        </w:rPr>
        <w:t>Further</w:t>
      </w:r>
      <w:r>
        <w:rPr>
          <w:rFonts w:ascii="Times New Roman" w:hAnsi="Times New Roman" w:cs="Times New Roman"/>
        </w:rPr>
        <w:t xml:space="preserve">, </w:t>
      </w:r>
      <w:r w:rsidR="003C117A">
        <w:rPr>
          <w:rFonts w:ascii="Times New Roman" w:hAnsi="Times New Roman" w:cs="Times New Roman"/>
        </w:rPr>
        <w:t>the enforcement proceeding</w:t>
      </w:r>
      <w:r>
        <w:rPr>
          <w:rFonts w:ascii="Times New Roman" w:hAnsi="Times New Roman" w:cs="Times New Roman"/>
        </w:rPr>
        <w:t xml:space="preserve"> will not </w:t>
      </w:r>
      <w:r w:rsidR="008E1C71">
        <w:rPr>
          <w:rFonts w:ascii="Times New Roman" w:hAnsi="Times New Roman" w:cs="Times New Roman"/>
        </w:rPr>
        <w:t xml:space="preserve">necessarily </w:t>
      </w:r>
      <w:r>
        <w:rPr>
          <w:rFonts w:ascii="Times New Roman" w:hAnsi="Times New Roman" w:cs="Times New Roman"/>
        </w:rPr>
        <w:t>reveal the information OCC seeks to discover</w:t>
      </w:r>
      <w:r>
        <w:rPr>
          <w:rFonts w:ascii="Times New Roman" w:hAnsi="Times New Roman" w:cs="Times New Roman"/>
        </w:rPr>
        <w:t>.</w:t>
      </w:r>
    </w:p>
    <w:p w:rsidR="009D7CF8" w:rsidP="002E6213" w14:paraId="0517EDD9" w14:textId="743523EF">
      <w:pPr>
        <w:spacing w:line="480" w:lineRule="auto"/>
        <w:ind w:firstLine="720"/>
        <w:rPr>
          <w:rFonts w:ascii="Times New Roman" w:hAnsi="Times New Roman" w:cs="Times New Roman"/>
        </w:rPr>
      </w:pPr>
      <w:r>
        <w:rPr>
          <w:rFonts w:ascii="Times New Roman" w:hAnsi="Times New Roman" w:cs="Times New Roman"/>
        </w:rPr>
        <w:t xml:space="preserve">The information OCC requested </w:t>
      </w:r>
      <w:r w:rsidR="000A0A9B">
        <w:rPr>
          <w:rFonts w:ascii="Times New Roman" w:hAnsi="Times New Roman" w:cs="Times New Roman"/>
        </w:rPr>
        <w:t xml:space="preserve">is specific to this case. </w:t>
      </w:r>
      <w:r>
        <w:rPr>
          <w:rFonts w:ascii="Times New Roman" w:hAnsi="Times New Roman" w:cs="Times New Roman"/>
        </w:rPr>
        <w:t xml:space="preserve">OCC requested documents Green Choice </w:t>
      </w:r>
      <w:r w:rsidR="00293FA1">
        <w:rPr>
          <w:rFonts w:ascii="Times New Roman" w:hAnsi="Times New Roman" w:cs="Times New Roman"/>
        </w:rPr>
        <w:t xml:space="preserve">already </w:t>
      </w:r>
      <w:r>
        <w:rPr>
          <w:rFonts w:ascii="Times New Roman" w:hAnsi="Times New Roman" w:cs="Times New Roman"/>
        </w:rPr>
        <w:t xml:space="preserve">provided the PUCO in </w:t>
      </w:r>
      <w:r>
        <w:rPr>
          <w:rFonts w:ascii="Times New Roman" w:hAnsi="Times New Roman" w:cs="Times New Roman"/>
          <w:i/>
          <w:iCs/>
        </w:rPr>
        <w:t>this</w:t>
      </w:r>
      <w:r>
        <w:rPr>
          <w:rFonts w:ascii="Times New Roman" w:hAnsi="Times New Roman" w:cs="Times New Roman"/>
        </w:rPr>
        <w:t xml:space="preserve"> </w:t>
      </w:r>
      <w:r>
        <w:rPr>
          <w:rFonts w:ascii="Times New Roman" w:hAnsi="Times New Roman" w:cs="Times New Roman"/>
          <w:i/>
          <w:iCs/>
        </w:rPr>
        <w:t>proceeding</w:t>
      </w:r>
      <w:r>
        <w:rPr>
          <w:rFonts w:ascii="Times New Roman" w:hAnsi="Times New Roman" w:cs="Times New Roman"/>
        </w:rPr>
        <w:t xml:space="preserve">, </w:t>
      </w:r>
      <w:r w:rsidR="003C117A">
        <w:rPr>
          <w:rFonts w:ascii="Times New Roman" w:hAnsi="Times New Roman" w:cs="Times New Roman"/>
        </w:rPr>
        <w:t>not in the enforcement proceeding</w:t>
      </w:r>
      <w:r>
        <w:rPr>
          <w:rFonts w:ascii="Times New Roman" w:hAnsi="Times New Roman" w:cs="Times New Roman"/>
        </w:rPr>
        <w:t xml:space="preserve">. OCC also requested a list of witnesses Green Choice expects to testify in </w:t>
      </w:r>
      <w:r>
        <w:rPr>
          <w:rFonts w:ascii="Times New Roman" w:hAnsi="Times New Roman" w:cs="Times New Roman"/>
          <w:i/>
          <w:iCs/>
        </w:rPr>
        <w:t>this proceeding</w:t>
      </w:r>
      <w:r>
        <w:rPr>
          <w:rFonts w:ascii="Times New Roman" w:hAnsi="Times New Roman" w:cs="Times New Roman"/>
        </w:rPr>
        <w:t xml:space="preserve">, not in </w:t>
      </w:r>
      <w:r w:rsidR="003C117A">
        <w:rPr>
          <w:rFonts w:ascii="Times New Roman" w:hAnsi="Times New Roman" w:cs="Times New Roman"/>
        </w:rPr>
        <w:t>the enforcement proceeding</w:t>
      </w:r>
      <w:r>
        <w:rPr>
          <w:rFonts w:ascii="Times New Roman" w:hAnsi="Times New Roman" w:cs="Times New Roman"/>
        </w:rPr>
        <w:t xml:space="preserve">. </w:t>
      </w:r>
      <w:r w:rsidR="000A0A9B">
        <w:rPr>
          <w:rFonts w:ascii="Times New Roman" w:hAnsi="Times New Roman" w:cs="Times New Roman"/>
        </w:rPr>
        <w:t>The</w:t>
      </w:r>
      <w:r>
        <w:rPr>
          <w:rFonts w:ascii="Times New Roman" w:hAnsi="Times New Roman" w:cs="Times New Roman"/>
        </w:rPr>
        <w:t xml:space="preserve"> record in the enforcement proceeding </w:t>
      </w:r>
      <w:r w:rsidR="006F34A2">
        <w:rPr>
          <w:rFonts w:ascii="Times New Roman" w:hAnsi="Times New Roman" w:cs="Times New Roman"/>
        </w:rPr>
        <w:t>may not fully provide OCC this information</w:t>
      </w:r>
      <w:r w:rsidR="000A0A9B">
        <w:rPr>
          <w:rFonts w:ascii="Times New Roman" w:hAnsi="Times New Roman" w:cs="Times New Roman"/>
        </w:rPr>
        <w:t xml:space="preserve">, </w:t>
      </w:r>
      <w:r w:rsidR="006F34A2">
        <w:rPr>
          <w:rFonts w:ascii="Times New Roman" w:hAnsi="Times New Roman" w:cs="Times New Roman"/>
        </w:rPr>
        <w:t xml:space="preserve">despite </w:t>
      </w:r>
      <w:r w:rsidR="000A0A9B">
        <w:rPr>
          <w:rFonts w:ascii="Times New Roman" w:hAnsi="Times New Roman" w:cs="Times New Roman"/>
        </w:rPr>
        <w:t>overlapping issues</w:t>
      </w:r>
      <w:r>
        <w:rPr>
          <w:rFonts w:ascii="Times New Roman" w:hAnsi="Times New Roman" w:cs="Times New Roman"/>
        </w:rPr>
        <w:t>.</w:t>
      </w:r>
      <w:r>
        <w:rPr>
          <w:rFonts w:ascii="Times New Roman" w:hAnsi="Times New Roman" w:cs="Times New Roman"/>
        </w:rPr>
        <w:t xml:space="preserve"> </w:t>
      </w:r>
      <w:r w:rsidR="00864AAE">
        <w:rPr>
          <w:rFonts w:ascii="Times New Roman" w:hAnsi="Times New Roman" w:cs="Times New Roman"/>
        </w:rPr>
        <w:t>Consequently,</w:t>
      </w:r>
      <w:r w:rsidR="00ED433E">
        <w:rPr>
          <w:rFonts w:ascii="Times New Roman" w:hAnsi="Times New Roman" w:cs="Times New Roman"/>
        </w:rPr>
        <w:t xml:space="preserve"> the enforcement proceeding does not justify Green Choice’s refusal to answer OCC’s discovery requests.</w:t>
      </w:r>
    </w:p>
    <w:p w:rsidR="00FB7AC6" w:rsidRPr="00FB7AC6" w:rsidP="00CE0FD0" w14:paraId="40F99BC2" w14:textId="0A6ACB31">
      <w:pPr>
        <w:pStyle w:val="Heading1"/>
        <w:numPr>
          <w:ilvl w:val="0"/>
          <w:numId w:val="4"/>
        </w:numPr>
        <w:ind w:left="1440" w:hanging="720"/>
      </w:pPr>
      <w:bookmarkStart w:id="4" w:name="_Toc111732053"/>
      <w:r>
        <w:t xml:space="preserve">In withholding information OCC seeks to discover, Green Choice </w:t>
      </w:r>
      <w:r w:rsidR="00DA7824">
        <w:t>i</w:t>
      </w:r>
      <w:r w:rsidR="00C86449">
        <w:t>s</w:t>
      </w:r>
      <w:r w:rsidR="00DA7824">
        <w:t xml:space="preserve"> </w:t>
      </w:r>
      <w:r>
        <w:t>violat</w:t>
      </w:r>
      <w:r w:rsidR="00DA7824">
        <w:t xml:space="preserve">ing </w:t>
      </w:r>
      <w:r w:rsidR="00C86449">
        <w:t>PUCO rules</w:t>
      </w:r>
      <w:r>
        <w:t xml:space="preserve"> requiring it to answer “as expeditiously as possible”</w:t>
      </w:r>
      <w:bookmarkEnd w:id="4"/>
      <w:r w:rsidR="00DA7824">
        <w:t xml:space="preserve"> </w:t>
      </w:r>
      <w:r w:rsidR="00C86449">
        <w:t>and to provide discovery responses</w:t>
      </w:r>
      <w:r w:rsidR="00DA7824">
        <w:t xml:space="preserve"> within twenty days.</w:t>
      </w:r>
    </w:p>
    <w:p w:rsidR="00024943" w:rsidP="003C117A" w14:paraId="2C852560" w14:textId="05B9714B">
      <w:pPr>
        <w:spacing w:line="480" w:lineRule="auto"/>
        <w:ind w:firstLine="720"/>
        <w:rPr>
          <w:rFonts w:ascii="Times New Roman" w:hAnsi="Times New Roman" w:cs="Times New Roman"/>
          <w:color w:val="000000" w:themeColor="text1"/>
        </w:rPr>
      </w:pPr>
      <w:r>
        <w:rPr>
          <w:rFonts w:ascii="Times New Roman" w:hAnsi="Times New Roman" w:cs="Times New Roman"/>
        </w:rPr>
        <w:t>Green Choice</w:t>
      </w:r>
      <w:r w:rsidR="009E4065">
        <w:rPr>
          <w:rFonts w:ascii="Times New Roman" w:hAnsi="Times New Roman" w:cs="Times New Roman"/>
        </w:rPr>
        <w:t xml:space="preserve"> </w:t>
      </w:r>
      <w:r w:rsidR="006D09EB">
        <w:rPr>
          <w:rFonts w:ascii="Times New Roman" w:hAnsi="Times New Roman" w:cs="Times New Roman"/>
        </w:rPr>
        <w:t>demands</w:t>
      </w:r>
      <w:r w:rsidR="009E4065">
        <w:rPr>
          <w:rFonts w:ascii="Times New Roman" w:hAnsi="Times New Roman" w:cs="Times New Roman"/>
        </w:rPr>
        <w:t xml:space="preserve"> </w:t>
      </w:r>
      <w:r w:rsidRPr="00947B1E" w:rsidR="00536346">
        <w:rPr>
          <w:rFonts w:ascii="Times New Roman" w:hAnsi="Times New Roman" w:cs="Times New Roman"/>
          <w:color w:val="000000" w:themeColor="text1"/>
        </w:rPr>
        <w:t xml:space="preserve">that the parties delay </w:t>
      </w:r>
      <w:r w:rsidR="00675B3B">
        <w:rPr>
          <w:rFonts w:ascii="Times New Roman" w:hAnsi="Times New Roman" w:cs="Times New Roman"/>
          <w:color w:val="000000" w:themeColor="text1"/>
        </w:rPr>
        <w:t>discovery</w:t>
      </w:r>
      <w:r w:rsidRPr="00947B1E" w:rsidR="00536346">
        <w:rPr>
          <w:rFonts w:ascii="Times New Roman" w:hAnsi="Times New Roman" w:cs="Times New Roman"/>
          <w:color w:val="000000" w:themeColor="text1"/>
        </w:rPr>
        <w:t xml:space="preserve"> until the enforcement proceeding concludes. </w:t>
      </w:r>
      <w:r w:rsidR="00FD6B8A">
        <w:rPr>
          <w:rFonts w:ascii="Times New Roman" w:hAnsi="Times New Roman" w:cs="Times New Roman"/>
          <w:color w:val="000000" w:themeColor="text1"/>
        </w:rPr>
        <w:t>Th</w:t>
      </w:r>
      <w:r w:rsidR="00C25417">
        <w:rPr>
          <w:rFonts w:ascii="Times New Roman" w:hAnsi="Times New Roman" w:cs="Times New Roman"/>
          <w:color w:val="000000" w:themeColor="text1"/>
        </w:rPr>
        <w:t>at position is not supported by authority</w:t>
      </w:r>
      <w:r w:rsidR="00C86449">
        <w:rPr>
          <w:rFonts w:ascii="Times New Roman" w:hAnsi="Times New Roman" w:cs="Times New Roman"/>
          <w:color w:val="000000" w:themeColor="text1"/>
        </w:rPr>
        <w:t>, as</w:t>
      </w:r>
      <w:r w:rsidR="006D09EB">
        <w:rPr>
          <w:rFonts w:ascii="Times New Roman" w:hAnsi="Times New Roman" w:cs="Times New Roman"/>
          <w:color w:val="000000" w:themeColor="text1"/>
        </w:rPr>
        <w:t xml:space="preserve"> </w:t>
      </w:r>
      <w:r w:rsidR="00C86449">
        <w:rPr>
          <w:rFonts w:ascii="Times New Roman" w:hAnsi="Times New Roman" w:cs="Times New Roman"/>
          <w:color w:val="000000" w:themeColor="text1"/>
        </w:rPr>
        <w:t>O.A.C. 4901-1-17(A)</w:t>
      </w:r>
      <w:r w:rsidR="00C25417">
        <w:rPr>
          <w:rFonts w:ascii="Times New Roman" w:hAnsi="Times New Roman" w:cs="Times New Roman"/>
          <w:color w:val="000000" w:themeColor="text1"/>
        </w:rPr>
        <w:t xml:space="preserve"> </w:t>
      </w:r>
      <w:r w:rsidR="00FD6B8A">
        <w:rPr>
          <w:rFonts w:ascii="Times New Roman" w:hAnsi="Times New Roman" w:cs="Times New Roman"/>
          <w:color w:val="000000" w:themeColor="text1"/>
        </w:rPr>
        <w:t>provides</w:t>
      </w:r>
      <w:r>
        <w:rPr>
          <w:rFonts w:ascii="Times New Roman" w:hAnsi="Times New Roman" w:cs="Times New Roman"/>
          <w:color w:val="000000" w:themeColor="text1"/>
        </w:rPr>
        <w:t xml:space="preserve"> that discovery</w:t>
      </w:r>
      <w:r w:rsidR="006D09EB">
        <w:rPr>
          <w:rFonts w:ascii="Times New Roman" w:hAnsi="Times New Roman" w:cs="Times New Roman"/>
          <w:color w:val="000000" w:themeColor="text1"/>
        </w:rPr>
        <w:t xml:space="preserve"> “should be completed as expeditiously as possible.”</w:t>
      </w:r>
    </w:p>
    <w:p w:rsidR="00FD6B8A" w:rsidP="003C117A" w14:paraId="51055BF8" w14:textId="23114D67">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Green Choice </w:t>
      </w:r>
      <w:r w:rsidR="009D7CF8">
        <w:rPr>
          <w:rFonts w:ascii="Times New Roman" w:hAnsi="Times New Roman" w:cs="Times New Roman"/>
          <w:color w:val="000000" w:themeColor="text1"/>
        </w:rPr>
        <w:t xml:space="preserve">has not shown </w:t>
      </w:r>
      <w:r>
        <w:rPr>
          <w:rFonts w:ascii="Times New Roman" w:hAnsi="Times New Roman" w:cs="Times New Roman"/>
          <w:color w:val="000000" w:themeColor="text1"/>
        </w:rPr>
        <w:t>it cannot possibly</w:t>
      </w:r>
      <w:r w:rsidR="009D7CF8">
        <w:rPr>
          <w:rFonts w:ascii="Times New Roman" w:hAnsi="Times New Roman" w:cs="Times New Roman"/>
          <w:color w:val="000000" w:themeColor="text1"/>
        </w:rPr>
        <w:t xml:space="preserve"> answer OCC’s discovery requests until after the enforcement proceeding.</w:t>
      </w:r>
      <w:r w:rsidR="003C117A">
        <w:rPr>
          <w:rFonts w:ascii="Times New Roman" w:hAnsi="Times New Roman" w:cs="Times New Roman"/>
          <w:color w:val="000000" w:themeColor="text1"/>
        </w:rPr>
        <w:t xml:space="preserve"> Green Choice</w:t>
      </w:r>
      <w:r w:rsidR="006F34A2">
        <w:rPr>
          <w:rFonts w:ascii="Times New Roman" w:hAnsi="Times New Roman" w:cs="Times New Roman"/>
          <w:color w:val="000000" w:themeColor="text1"/>
        </w:rPr>
        <w:t xml:space="preserve"> </w:t>
      </w:r>
      <w:r w:rsidR="00311351">
        <w:rPr>
          <w:rFonts w:ascii="Times New Roman" w:hAnsi="Times New Roman" w:cs="Times New Roman"/>
          <w:color w:val="000000" w:themeColor="text1"/>
        </w:rPr>
        <w:t>can provide</w:t>
      </w:r>
      <w:r w:rsidR="000F31E9">
        <w:rPr>
          <w:rFonts w:ascii="Times New Roman" w:hAnsi="Times New Roman" w:cs="Times New Roman"/>
          <w:color w:val="000000" w:themeColor="text1"/>
        </w:rPr>
        <w:t xml:space="preserve"> </w:t>
      </w:r>
      <w:r w:rsidR="006F34A2">
        <w:rPr>
          <w:rFonts w:ascii="Times New Roman" w:hAnsi="Times New Roman" w:cs="Times New Roman"/>
          <w:color w:val="000000" w:themeColor="text1"/>
        </w:rPr>
        <w:t xml:space="preserve">OCC </w:t>
      </w:r>
      <w:r w:rsidR="000F31E9">
        <w:rPr>
          <w:rFonts w:ascii="Times New Roman" w:hAnsi="Times New Roman" w:cs="Times New Roman"/>
          <w:color w:val="000000" w:themeColor="text1"/>
        </w:rPr>
        <w:t>the</w:t>
      </w:r>
      <w:r w:rsidR="003C117A">
        <w:rPr>
          <w:rFonts w:ascii="Times New Roman" w:hAnsi="Times New Roman" w:cs="Times New Roman"/>
          <w:color w:val="000000" w:themeColor="text1"/>
        </w:rPr>
        <w:t xml:space="preserve"> documents it</w:t>
      </w:r>
      <w:r w:rsidR="000F31E9">
        <w:rPr>
          <w:rFonts w:ascii="Times New Roman" w:hAnsi="Times New Roman" w:cs="Times New Roman"/>
          <w:color w:val="000000" w:themeColor="text1"/>
        </w:rPr>
        <w:t xml:space="preserve"> already</w:t>
      </w:r>
      <w:r w:rsidR="003C117A">
        <w:rPr>
          <w:rFonts w:ascii="Times New Roman" w:hAnsi="Times New Roman" w:cs="Times New Roman"/>
          <w:color w:val="000000" w:themeColor="text1"/>
        </w:rPr>
        <w:t xml:space="preserve"> </w:t>
      </w:r>
      <w:r w:rsidR="006F34A2">
        <w:rPr>
          <w:rFonts w:ascii="Times New Roman" w:hAnsi="Times New Roman" w:cs="Times New Roman"/>
          <w:color w:val="000000" w:themeColor="text1"/>
        </w:rPr>
        <w:t xml:space="preserve">gave </w:t>
      </w:r>
      <w:r w:rsidR="003C117A">
        <w:rPr>
          <w:rFonts w:ascii="Times New Roman" w:hAnsi="Times New Roman" w:cs="Times New Roman"/>
          <w:color w:val="000000" w:themeColor="text1"/>
        </w:rPr>
        <w:t xml:space="preserve">the PUCO in this </w:t>
      </w:r>
      <w:r w:rsidR="00293FA1">
        <w:rPr>
          <w:rFonts w:ascii="Times New Roman" w:hAnsi="Times New Roman" w:cs="Times New Roman"/>
          <w:color w:val="000000" w:themeColor="text1"/>
        </w:rPr>
        <w:t>case</w:t>
      </w:r>
      <w:r w:rsidR="00311351">
        <w:rPr>
          <w:rFonts w:ascii="Times New Roman" w:hAnsi="Times New Roman" w:cs="Times New Roman"/>
          <w:color w:val="000000" w:themeColor="text1"/>
        </w:rPr>
        <w:t xml:space="preserve">. The </w:t>
      </w:r>
      <w:r w:rsidR="00D10AA8">
        <w:rPr>
          <w:rFonts w:ascii="Times New Roman" w:hAnsi="Times New Roman" w:cs="Times New Roman"/>
          <w:color w:val="000000" w:themeColor="text1"/>
        </w:rPr>
        <w:t>marketer</w:t>
      </w:r>
      <w:r w:rsidR="00311351">
        <w:rPr>
          <w:rFonts w:ascii="Times New Roman" w:hAnsi="Times New Roman" w:cs="Times New Roman"/>
          <w:color w:val="000000" w:themeColor="text1"/>
        </w:rPr>
        <w:t xml:space="preserve"> </w:t>
      </w:r>
      <w:r w:rsidR="000F31E9">
        <w:rPr>
          <w:rFonts w:ascii="Times New Roman" w:hAnsi="Times New Roman" w:cs="Times New Roman"/>
          <w:color w:val="000000" w:themeColor="text1"/>
        </w:rPr>
        <w:t xml:space="preserve">can </w:t>
      </w:r>
      <w:r w:rsidR="00311351">
        <w:rPr>
          <w:rFonts w:ascii="Times New Roman" w:hAnsi="Times New Roman" w:cs="Times New Roman"/>
          <w:color w:val="000000" w:themeColor="text1"/>
        </w:rPr>
        <w:t xml:space="preserve">also </w:t>
      </w:r>
      <w:r w:rsidR="000F31E9">
        <w:rPr>
          <w:rFonts w:ascii="Times New Roman" w:hAnsi="Times New Roman" w:cs="Times New Roman"/>
          <w:color w:val="000000" w:themeColor="text1"/>
        </w:rPr>
        <w:t>create an</w:t>
      </w:r>
      <w:r w:rsidR="003C117A">
        <w:rPr>
          <w:rFonts w:ascii="Times New Roman" w:hAnsi="Times New Roman" w:cs="Times New Roman"/>
          <w:color w:val="000000" w:themeColor="text1"/>
        </w:rPr>
        <w:t xml:space="preserve"> </w:t>
      </w:r>
      <w:r>
        <w:rPr>
          <w:rFonts w:ascii="Times New Roman" w:hAnsi="Times New Roman" w:cs="Times New Roman"/>
          <w:color w:val="000000" w:themeColor="text1"/>
        </w:rPr>
        <w:t>expert</w:t>
      </w:r>
      <w:r w:rsidR="003C117A">
        <w:rPr>
          <w:rFonts w:ascii="Times New Roman" w:hAnsi="Times New Roman" w:cs="Times New Roman"/>
          <w:color w:val="000000" w:themeColor="text1"/>
        </w:rPr>
        <w:t xml:space="preserve"> witnesses</w:t>
      </w:r>
      <w:r>
        <w:rPr>
          <w:rFonts w:ascii="Times New Roman" w:hAnsi="Times New Roman" w:cs="Times New Roman"/>
          <w:color w:val="000000" w:themeColor="text1"/>
        </w:rPr>
        <w:t xml:space="preserve"> list</w:t>
      </w:r>
      <w:r w:rsidR="003C117A">
        <w:rPr>
          <w:rFonts w:ascii="Times New Roman" w:hAnsi="Times New Roman" w:cs="Times New Roman"/>
          <w:color w:val="000000" w:themeColor="text1"/>
        </w:rPr>
        <w:t xml:space="preserve"> </w:t>
      </w:r>
      <w:r w:rsidR="000F31E9">
        <w:rPr>
          <w:rFonts w:ascii="Times New Roman" w:hAnsi="Times New Roman" w:cs="Times New Roman"/>
          <w:color w:val="000000" w:themeColor="text1"/>
        </w:rPr>
        <w:t>before</w:t>
      </w:r>
      <w:r>
        <w:rPr>
          <w:rFonts w:ascii="Times New Roman" w:hAnsi="Times New Roman" w:cs="Times New Roman"/>
          <w:color w:val="000000" w:themeColor="text1"/>
        </w:rPr>
        <w:t xml:space="preserve"> the enforcement proceeding</w:t>
      </w:r>
      <w:r w:rsidR="000F31E9">
        <w:rPr>
          <w:rFonts w:ascii="Times New Roman" w:hAnsi="Times New Roman" w:cs="Times New Roman"/>
          <w:color w:val="000000" w:themeColor="text1"/>
        </w:rPr>
        <w:t xml:space="preserve"> </w:t>
      </w:r>
      <w:r w:rsidR="002401C2">
        <w:rPr>
          <w:rFonts w:ascii="Times New Roman" w:hAnsi="Times New Roman" w:cs="Times New Roman"/>
          <w:color w:val="000000" w:themeColor="text1"/>
        </w:rPr>
        <w:t>ends</w:t>
      </w:r>
      <w:r w:rsidR="003C117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0F31E9">
        <w:rPr>
          <w:rFonts w:ascii="Times New Roman" w:hAnsi="Times New Roman" w:cs="Times New Roman"/>
          <w:color w:val="000000" w:themeColor="text1"/>
        </w:rPr>
        <w:t xml:space="preserve">More expeditious discovery is possible, and PUCO rule </w:t>
      </w:r>
      <w:r w:rsidR="002401C2">
        <w:rPr>
          <w:rFonts w:ascii="Times New Roman" w:hAnsi="Times New Roman" w:cs="Times New Roman"/>
          <w:color w:val="000000" w:themeColor="text1"/>
        </w:rPr>
        <w:t>requires</w:t>
      </w:r>
      <w:r w:rsidR="000F31E9">
        <w:rPr>
          <w:rFonts w:ascii="Times New Roman" w:hAnsi="Times New Roman" w:cs="Times New Roman"/>
          <w:color w:val="000000" w:themeColor="text1"/>
        </w:rPr>
        <w:t xml:space="preserve"> Green Choice </w:t>
      </w:r>
      <w:r w:rsidR="002401C2">
        <w:rPr>
          <w:rFonts w:ascii="Times New Roman" w:hAnsi="Times New Roman" w:cs="Times New Roman"/>
          <w:color w:val="000000" w:themeColor="text1"/>
        </w:rPr>
        <w:t>to</w:t>
      </w:r>
      <w:r w:rsidR="000F31E9">
        <w:rPr>
          <w:rFonts w:ascii="Times New Roman" w:hAnsi="Times New Roman" w:cs="Times New Roman"/>
          <w:color w:val="000000" w:themeColor="text1"/>
        </w:rPr>
        <w:t xml:space="preserve"> provide it.</w:t>
      </w:r>
      <w:r w:rsidR="009B38EE">
        <w:rPr>
          <w:rFonts w:ascii="Times New Roman" w:hAnsi="Times New Roman" w:cs="Times New Roman"/>
          <w:color w:val="000000" w:themeColor="text1"/>
        </w:rPr>
        <w:t xml:space="preserve"> </w:t>
      </w:r>
    </w:p>
    <w:p w:rsidR="001F2F7C" w:rsidP="001F2F7C" w14:paraId="1E135760" w14:textId="1E69DC7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Green Choice’s position can also be expected to thwart OCC’s case preparation.</w:t>
      </w:r>
      <w:r>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Green Choice’s tactic is to delay discovery until the enforcement case is resolved. If Green Choice is not banned from the state (which should be the result of the enforcement case), the marketer can be expected to push the PUCO to immediately renew its certificates with little opportunity for due process. </w:t>
      </w:r>
    </w:p>
    <w:p w:rsidR="009E4065" w:rsidRPr="000F31E9" w:rsidP="000F31E9" w14:paraId="11F5F1EB" w14:textId="4F391D3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For this reason</w:t>
      </w:r>
      <w:r w:rsidR="000F31E9">
        <w:rPr>
          <w:rFonts w:ascii="Times New Roman" w:hAnsi="Times New Roman" w:cs="Times New Roman"/>
          <w:color w:val="000000" w:themeColor="text1"/>
        </w:rPr>
        <w:t>, Green Choice’s delayed response undermine</w:t>
      </w:r>
      <w:r w:rsidR="00293FA1">
        <w:rPr>
          <w:rFonts w:ascii="Times New Roman" w:hAnsi="Times New Roman" w:cs="Times New Roman"/>
          <w:color w:val="000000" w:themeColor="text1"/>
        </w:rPr>
        <w:t>s</w:t>
      </w:r>
      <w:r w:rsidR="003C117A">
        <w:rPr>
          <w:rFonts w:ascii="Times New Roman" w:hAnsi="Times New Roman" w:cs="Times New Roman"/>
          <w:color w:val="000000" w:themeColor="text1"/>
        </w:rPr>
        <w:t xml:space="preserve"> </w:t>
      </w:r>
      <w:r w:rsidR="009D7CF8">
        <w:rPr>
          <w:rFonts w:ascii="Times New Roman" w:hAnsi="Times New Roman" w:cs="Times New Roman"/>
          <w:color w:val="000000" w:themeColor="text1"/>
        </w:rPr>
        <w:t xml:space="preserve">the purpose of </w:t>
      </w:r>
      <w:r w:rsidR="003C117A">
        <w:rPr>
          <w:rFonts w:ascii="Times New Roman" w:hAnsi="Times New Roman" w:cs="Times New Roman"/>
          <w:color w:val="000000" w:themeColor="text1"/>
        </w:rPr>
        <w:t xml:space="preserve">the </w:t>
      </w:r>
      <w:r w:rsidR="009D7CF8">
        <w:rPr>
          <w:rFonts w:ascii="Times New Roman" w:hAnsi="Times New Roman" w:cs="Times New Roman"/>
          <w:color w:val="000000" w:themeColor="text1"/>
        </w:rPr>
        <w:t>PUCO’s discovery rules, which is to “to facilitate thorough and adequate preparation for participation in commission proceedings.”</w:t>
      </w:r>
      <w:r>
        <w:rPr>
          <w:rStyle w:val="FootnoteReference"/>
          <w:rFonts w:ascii="Times New Roman" w:hAnsi="Times New Roman" w:cs="Times New Roman"/>
          <w:color w:val="000000" w:themeColor="text1"/>
        </w:rPr>
        <w:footnoteReference w:id="7"/>
      </w:r>
      <w:r w:rsidR="009D7CF8">
        <w:rPr>
          <w:rFonts w:ascii="Times New Roman" w:hAnsi="Times New Roman" w:cs="Times New Roman"/>
          <w:color w:val="000000" w:themeColor="text1"/>
        </w:rPr>
        <w:t xml:space="preserve"> </w:t>
      </w:r>
      <w:r w:rsidR="003C117A">
        <w:rPr>
          <w:rFonts w:ascii="Times New Roman" w:hAnsi="Times New Roman" w:cs="Times New Roman"/>
          <w:color w:val="000000" w:themeColor="text1"/>
        </w:rPr>
        <w:t xml:space="preserve">In withholding vital information, Green Choice denies </w:t>
      </w:r>
      <w:r w:rsidRPr="00947B1E" w:rsidR="009D7CF8">
        <w:rPr>
          <w:rFonts w:ascii="Times New Roman" w:hAnsi="Times New Roman" w:cs="Times New Roman"/>
          <w:color w:val="000000" w:themeColor="text1"/>
        </w:rPr>
        <w:t xml:space="preserve">OCC time to adequately prepare for </w:t>
      </w:r>
      <w:r w:rsidR="000F31E9">
        <w:rPr>
          <w:rFonts w:ascii="Times New Roman" w:hAnsi="Times New Roman" w:cs="Times New Roman"/>
          <w:color w:val="000000" w:themeColor="text1"/>
        </w:rPr>
        <w:t xml:space="preserve">any </w:t>
      </w:r>
      <w:r w:rsidRPr="00947B1E" w:rsidR="009D7CF8">
        <w:rPr>
          <w:rFonts w:ascii="Times New Roman" w:hAnsi="Times New Roman" w:cs="Times New Roman"/>
          <w:color w:val="000000" w:themeColor="text1"/>
        </w:rPr>
        <w:t xml:space="preserve">hearing in this matter, </w:t>
      </w:r>
      <w:r w:rsidR="000F31E9">
        <w:rPr>
          <w:rFonts w:ascii="Times New Roman" w:hAnsi="Times New Roman" w:cs="Times New Roman"/>
          <w:color w:val="000000" w:themeColor="text1"/>
        </w:rPr>
        <w:t>which may occur shortly after the enforcement proceeding.</w:t>
      </w:r>
      <w:r w:rsidR="002401C2">
        <w:rPr>
          <w:rFonts w:ascii="Times New Roman" w:hAnsi="Times New Roman" w:cs="Times New Roman"/>
          <w:color w:val="000000" w:themeColor="text1"/>
        </w:rPr>
        <w:t xml:space="preserve"> The PUCO should not permit Green Choice to contravene the purpose of its discovery rules by </w:t>
      </w:r>
      <w:r w:rsidR="00293FA1">
        <w:rPr>
          <w:rFonts w:ascii="Times New Roman" w:hAnsi="Times New Roman" w:cs="Times New Roman"/>
          <w:color w:val="000000" w:themeColor="text1"/>
        </w:rPr>
        <w:t>refusing to answer</w:t>
      </w:r>
      <w:r w:rsidR="002401C2">
        <w:rPr>
          <w:rFonts w:ascii="Times New Roman" w:hAnsi="Times New Roman" w:cs="Times New Roman"/>
          <w:color w:val="000000" w:themeColor="text1"/>
        </w:rPr>
        <w:t xml:space="preserve"> OCC’s requests. </w:t>
      </w:r>
    </w:p>
    <w:p w:rsidR="007D2F51" w:rsidRPr="009E4065" w:rsidP="00CE0FD0" w14:paraId="37967C43" w14:textId="7865BB73">
      <w:pPr>
        <w:pStyle w:val="Heading1"/>
        <w:numPr>
          <w:ilvl w:val="0"/>
          <w:numId w:val="4"/>
        </w:numPr>
        <w:ind w:left="1440" w:hanging="720"/>
      </w:pPr>
      <w:bookmarkStart w:id="5" w:name="_Toc111732054"/>
      <w:r w:rsidRPr="009E4065">
        <w:t>OCC’s discovery requests impose minimal burden on Green Choice.</w:t>
      </w:r>
      <w:bookmarkEnd w:id="5"/>
      <w:r w:rsidRPr="009E4065">
        <w:t xml:space="preserve"> </w:t>
      </w:r>
    </w:p>
    <w:p w:rsidR="00D10AA8" w:rsidP="00286826" w14:paraId="30FD8505" w14:textId="027377FD">
      <w:pPr>
        <w:spacing w:line="480" w:lineRule="auto"/>
        <w:ind w:firstLine="720"/>
        <w:rPr>
          <w:rFonts w:ascii="Times New Roman" w:hAnsi="Times New Roman" w:cs="Times New Roman"/>
        </w:rPr>
      </w:pPr>
      <w:r w:rsidRPr="009E4065">
        <w:rPr>
          <w:rFonts w:ascii="Times New Roman" w:hAnsi="Times New Roman" w:cs="Times New Roman"/>
        </w:rPr>
        <w:t>Green Choice argues it would suffer</w:t>
      </w:r>
      <w:r w:rsidRPr="009E4065" w:rsidR="00241DB9">
        <w:rPr>
          <w:rFonts w:ascii="Times New Roman" w:hAnsi="Times New Roman" w:cs="Times New Roman"/>
        </w:rPr>
        <w:t xml:space="preserve"> </w:t>
      </w:r>
      <w:r w:rsidRPr="009E4065">
        <w:rPr>
          <w:rFonts w:ascii="Times New Roman" w:hAnsi="Times New Roman" w:cs="Times New Roman"/>
        </w:rPr>
        <w:t xml:space="preserve">“undue burden” responding to OCC’s discovery requests, </w:t>
      </w:r>
      <w:r w:rsidRPr="009E4065" w:rsidR="0039036D">
        <w:rPr>
          <w:rFonts w:ascii="Times New Roman" w:hAnsi="Times New Roman" w:cs="Times New Roman"/>
        </w:rPr>
        <w:t>claiming</w:t>
      </w:r>
      <w:r>
        <w:rPr>
          <w:rFonts w:ascii="Times New Roman" w:hAnsi="Times New Roman" w:cs="Times New Roman"/>
        </w:rPr>
        <w:t xml:space="preserve"> that doing so could </w:t>
      </w:r>
      <w:r w:rsidR="00E426CA">
        <w:rPr>
          <w:rFonts w:ascii="Times New Roman" w:hAnsi="Times New Roman" w:cs="Times New Roman"/>
        </w:rPr>
        <w:t>require</w:t>
      </w:r>
      <w:r>
        <w:rPr>
          <w:rFonts w:ascii="Times New Roman" w:hAnsi="Times New Roman" w:cs="Times New Roman"/>
        </w:rPr>
        <w:t xml:space="preserve"> “five-figures in legal expenses.”</w:t>
      </w:r>
      <w:r>
        <w:rPr>
          <w:rStyle w:val="FootnoteReference"/>
          <w:rFonts w:ascii="Times New Roman" w:hAnsi="Times New Roman" w:cs="Times New Roman"/>
        </w:rPr>
        <w:footnoteReference w:id="8"/>
      </w:r>
      <w:r>
        <w:rPr>
          <w:rFonts w:ascii="Times New Roman" w:hAnsi="Times New Roman" w:cs="Times New Roman"/>
        </w:rPr>
        <w:t xml:space="preserve"> </w:t>
      </w:r>
      <w:r w:rsidR="000547D9">
        <w:rPr>
          <w:rFonts w:ascii="Times New Roman" w:hAnsi="Times New Roman" w:cs="Times New Roman"/>
        </w:rPr>
        <w:t>This is a</w:t>
      </w:r>
      <w:r w:rsidR="0039036D">
        <w:rPr>
          <w:rFonts w:ascii="Times New Roman" w:hAnsi="Times New Roman" w:cs="Times New Roman"/>
        </w:rPr>
        <w:t xml:space="preserve"> huge </w:t>
      </w:r>
      <w:r w:rsidR="00B97075">
        <w:rPr>
          <w:rFonts w:ascii="Times New Roman" w:hAnsi="Times New Roman" w:cs="Times New Roman"/>
        </w:rPr>
        <w:t>exaggeratio</w:t>
      </w:r>
      <w:r w:rsidR="00450816">
        <w:rPr>
          <w:rFonts w:ascii="Times New Roman" w:hAnsi="Times New Roman" w:cs="Times New Roman"/>
        </w:rPr>
        <w:t>n.</w:t>
      </w:r>
      <w:r w:rsidR="0039036D">
        <w:rPr>
          <w:rFonts w:ascii="Times New Roman" w:hAnsi="Times New Roman" w:cs="Times New Roman"/>
        </w:rPr>
        <w:t xml:space="preserve"> </w:t>
      </w:r>
      <w:r w:rsidR="00286826">
        <w:rPr>
          <w:rFonts w:ascii="Times New Roman" w:hAnsi="Times New Roman" w:cs="Times New Roman"/>
        </w:rPr>
        <w:t>At issue here are</w:t>
      </w:r>
      <w:r w:rsidR="00286826">
        <w:rPr>
          <w:rFonts w:ascii="Times New Roman" w:hAnsi="Times New Roman" w:cs="Times New Roman"/>
        </w:rPr>
        <w:t xml:space="preserve"> </w:t>
      </w:r>
      <w:r w:rsidR="00776726">
        <w:rPr>
          <w:rFonts w:ascii="Times New Roman" w:hAnsi="Times New Roman" w:cs="Times New Roman"/>
        </w:rPr>
        <w:t>just</w:t>
      </w:r>
      <w:r w:rsidR="00286826">
        <w:rPr>
          <w:rFonts w:ascii="Times New Roman" w:hAnsi="Times New Roman" w:cs="Times New Roman"/>
        </w:rPr>
        <w:t xml:space="preserve"> four requests for production of documents</w:t>
      </w:r>
      <w:r w:rsidR="00776726">
        <w:rPr>
          <w:rFonts w:ascii="Times New Roman" w:hAnsi="Times New Roman" w:cs="Times New Roman"/>
        </w:rPr>
        <w:t xml:space="preserve"> and two interrogatories.</w:t>
      </w:r>
      <w:r w:rsidR="00286826">
        <w:rPr>
          <w:rFonts w:ascii="Times New Roman" w:hAnsi="Times New Roman" w:cs="Times New Roman"/>
        </w:rPr>
        <w:t xml:space="preserve"> Green Choice is </w:t>
      </w:r>
      <w:r w:rsidR="00776726">
        <w:rPr>
          <w:rFonts w:ascii="Times New Roman" w:hAnsi="Times New Roman" w:cs="Times New Roman"/>
        </w:rPr>
        <w:t>spending</w:t>
      </w:r>
      <w:r w:rsidR="00286826">
        <w:rPr>
          <w:rFonts w:ascii="Times New Roman" w:hAnsi="Times New Roman" w:cs="Times New Roman"/>
        </w:rPr>
        <w:t xml:space="preserve"> the time of two state agencies over</w:t>
      </w:r>
      <w:r w:rsidR="00776726">
        <w:rPr>
          <w:rFonts w:ascii="Times New Roman" w:hAnsi="Times New Roman" w:cs="Times New Roman"/>
        </w:rPr>
        <w:t>, in total, just six</w:t>
      </w:r>
      <w:r w:rsidR="00286826">
        <w:rPr>
          <w:rFonts w:ascii="Times New Roman" w:hAnsi="Times New Roman" w:cs="Times New Roman"/>
        </w:rPr>
        <w:t xml:space="preserve"> discovery requests. </w:t>
      </w:r>
    </w:p>
    <w:p w:rsidR="00CD70FE" w:rsidP="009B38EE" w14:paraId="02437EF9" w14:textId="276C2E22">
      <w:pPr>
        <w:spacing w:line="480" w:lineRule="auto"/>
        <w:ind w:firstLine="720"/>
        <w:rPr>
          <w:rFonts w:ascii="Times New Roman" w:hAnsi="Times New Roman" w:cs="Times New Roman"/>
        </w:rPr>
      </w:pPr>
      <w:r>
        <w:rPr>
          <w:rFonts w:ascii="Times New Roman" w:hAnsi="Times New Roman" w:cs="Times New Roman"/>
        </w:rPr>
        <w:t xml:space="preserve">Moreover, </w:t>
      </w:r>
      <w:r w:rsidR="00286826">
        <w:rPr>
          <w:rFonts w:ascii="Times New Roman" w:hAnsi="Times New Roman" w:cs="Times New Roman"/>
        </w:rPr>
        <w:t xml:space="preserve">Green Choice </w:t>
      </w:r>
      <w:r w:rsidR="00D14973">
        <w:rPr>
          <w:rFonts w:ascii="Times New Roman" w:hAnsi="Times New Roman" w:cs="Times New Roman"/>
        </w:rPr>
        <w:t>chose to open</w:t>
      </w:r>
      <w:r w:rsidR="00286826">
        <w:rPr>
          <w:rFonts w:ascii="Times New Roman" w:hAnsi="Times New Roman" w:cs="Times New Roman"/>
        </w:rPr>
        <w:t xml:space="preserve"> itself to th</w:t>
      </w:r>
      <w:r w:rsidR="00450816">
        <w:rPr>
          <w:rFonts w:ascii="Times New Roman" w:hAnsi="Times New Roman" w:cs="Times New Roman"/>
        </w:rPr>
        <w:t>ese requests</w:t>
      </w:r>
      <w:r w:rsidR="00286826">
        <w:rPr>
          <w:rFonts w:ascii="Times New Roman" w:hAnsi="Times New Roman" w:cs="Times New Roman"/>
        </w:rPr>
        <w:t xml:space="preserve">. </w:t>
      </w:r>
      <w:r>
        <w:rPr>
          <w:rFonts w:ascii="Times New Roman" w:hAnsi="Times New Roman" w:cs="Times New Roman"/>
        </w:rPr>
        <w:t xml:space="preserve">Ohio has a state advocate to speak for consumers </w:t>
      </w:r>
      <w:r w:rsidR="00740400">
        <w:rPr>
          <w:rFonts w:ascii="Times New Roman" w:hAnsi="Times New Roman" w:cs="Times New Roman"/>
        </w:rPr>
        <w:t xml:space="preserve">that </w:t>
      </w:r>
      <w:r>
        <w:rPr>
          <w:rFonts w:ascii="Times New Roman" w:hAnsi="Times New Roman" w:cs="Times New Roman"/>
        </w:rPr>
        <w:t>Green Choice’s business practices</w:t>
      </w:r>
      <w:r w:rsidR="00740400">
        <w:rPr>
          <w:rFonts w:ascii="Times New Roman" w:hAnsi="Times New Roman" w:cs="Times New Roman"/>
        </w:rPr>
        <w:t xml:space="preserve"> </w:t>
      </w:r>
      <w:r w:rsidR="00EB1ACC">
        <w:rPr>
          <w:rFonts w:ascii="Times New Roman" w:hAnsi="Times New Roman" w:cs="Times New Roman"/>
        </w:rPr>
        <w:t>impacted</w:t>
      </w:r>
      <w:r>
        <w:rPr>
          <w:rFonts w:ascii="Times New Roman" w:hAnsi="Times New Roman" w:cs="Times New Roman"/>
        </w:rPr>
        <w:t xml:space="preserve">. Ohio </w:t>
      </w:r>
      <w:r w:rsidR="0080358D">
        <w:rPr>
          <w:rFonts w:ascii="Times New Roman" w:hAnsi="Times New Roman" w:cs="Times New Roman"/>
        </w:rPr>
        <w:t xml:space="preserve">also </w:t>
      </w:r>
      <w:r>
        <w:rPr>
          <w:rFonts w:ascii="Times New Roman" w:hAnsi="Times New Roman" w:cs="Times New Roman"/>
        </w:rPr>
        <w:t xml:space="preserve">has discovery law and rules. Green Choice signed on for such Ohio regulation when it obtained a certificate in Ohio. It should </w:t>
      </w:r>
      <w:r w:rsidR="00450816">
        <w:rPr>
          <w:rFonts w:ascii="Times New Roman" w:hAnsi="Times New Roman" w:cs="Times New Roman"/>
        </w:rPr>
        <w:t xml:space="preserve">not </w:t>
      </w:r>
      <w:r>
        <w:rPr>
          <w:rFonts w:ascii="Times New Roman" w:hAnsi="Times New Roman" w:cs="Times New Roman"/>
        </w:rPr>
        <w:t xml:space="preserve">complain </w:t>
      </w:r>
      <w:r w:rsidR="00286826">
        <w:rPr>
          <w:rFonts w:ascii="Times New Roman" w:hAnsi="Times New Roman" w:cs="Times New Roman"/>
        </w:rPr>
        <w:t xml:space="preserve">about </w:t>
      </w:r>
      <w:r w:rsidR="002E6213">
        <w:rPr>
          <w:rFonts w:ascii="Times New Roman" w:hAnsi="Times New Roman" w:cs="Times New Roman"/>
        </w:rPr>
        <w:t>that regulation</w:t>
      </w:r>
      <w:r w:rsidR="00450816">
        <w:rPr>
          <w:rFonts w:ascii="Times New Roman" w:hAnsi="Times New Roman" w:cs="Times New Roman"/>
        </w:rPr>
        <w:t xml:space="preserve"> </w:t>
      </w:r>
      <w:r>
        <w:rPr>
          <w:rFonts w:ascii="Times New Roman" w:hAnsi="Times New Roman" w:cs="Times New Roman"/>
        </w:rPr>
        <w:t xml:space="preserve">now, after allegedly violating state law and rule in operations </w:t>
      </w:r>
      <w:r w:rsidR="00EB1ACC">
        <w:rPr>
          <w:rFonts w:ascii="Times New Roman" w:hAnsi="Times New Roman" w:cs="Times New Roman"/>
        </w:rPr>
        <w:t xml:space="preserve">that </w:t>
      </w:r>
      <w:r>
        <w:rPr>
          <w:rFonts w:ascii="Times New Roman" w:hAnsi="Times New Roman" w:cs="Times New Roman"/>
        </w:rPr>
        <w:t>affect the Ohio public.</w:t>
      </w:r>
    </w:p>
    <w:p w:rsidR="00EB1ACC" w:rsidP="0080785F" w14:paraId="21487C34" w14:textId="1B2BE9E4">
      <w:pPr>
        <w:spacing w:line="480" w:lineRule="auto"/>
        <w:ind w:firstLine="720"/>
        <w:rPr>
          <w:rFonts w:ascii="Times New Roman" w:hAnsi="Times New Roman" w:cs="Times New Roman"/>
        </w:rPr>
      </w:pPr>
      <w:r>
        <w:rPr>
          <w:rFonts w:ascii="Times New Roman" w:hAnsi="Times New Roman" w:cs="Times New Roman"/>
        </w:rPr>
        <w:t xml:space="preserve">In addition, </w:t>
      </w:r>
      <w:r w:rsidR="00450816">
        <w:rPr>
          <w:rFonts w:ascii="Times New Roman" w:hAnsi="Times New Roman" w:cs="Times New Roman"/>
        </w:rPr>
        <w:t xml:space="preserve">OCC’s discovery requests are </w:t>
      </w:r>
      <w:r w:rsidR="00EA466B">
        <w:rPr>
          <w:rFonts w:ascii="Times New Roman" w:hAnsi="Times New Roman" w:cs="Times New Roman"/>
        </w:rPr>
        <w:t>narrow</w:t>
      </w:r>
      <w:r w:rsidR="00450816">
        <w:rPr>
          <w:rFonts w:ascii="Times New Roman" w:hAnsi="Times New Roman" w:cs="Times New Roman"/>
        </w:rPr>
        <w:t xml:space="preserve"> in scope.</w:t>
      </w:r>
      <w:r w:rsidR="00D14973">
        <w:rPr>
          <w:rFonts w:ascii="Times New Roman" w:hAnsi="Times New Roman" w:cs="Times New Roman"/>
        </w:rPr>
        <w:t xml:space="preserve"> </w:t>
      </w:r>
      <w:r w:rsidR="00887683">
        <w:rPr>
          <w:rFonts w:ascii="Times New Roman" w:hAnsi="Times New Roman" w:cs="Times New Roman"/>
        </w:rPr>
        <w:t xml:space="preserve">OCC’s </w:t>
      </w:r>
      <w:r w:rsidR="00450816">
        <w:rPr>
          <w:rFonts w:ascii="Times New Roman" w:hAnsi="Times New Roman" w:cs="Times New Roman"/>
        </w:rPr>
        <w:t>production requests</w:t>
      </w:r>
      <w:r w:rsidR="00887683">
        <w:rPr>
          <w:rFonts w:ascii="Times New Roman" w:hAnsi="Times New Roman" w:cs="Times New Roman"/>
        </w:rPr>
        <w:t xml:space="preserve"> </w:t>
      </w:r>
      <w:r w:rsidR="00E162EB">
        <w:rPr>
          <w:rFonts w:ascii="Times New Roman" w:hAnsi="Times New Roman" w:cs="Times New Roman"/>
        </w:rPr>
        <w:t>concern</w:t>
      </w:r>
      <w:r w:rsidR="00450816">
        <w:rPr>
          <w:rFonts w:ascii="Times New Roman" w:hAnsi="Times New Roman" w:cs="Times New Roman"/>
        </w:rPr>
        <w:t xml:space="preserve"> </w:t>
      </w:r>
      <w:r w:rsidR="00E162EB">
        <w:rPr>
          <w:rFonts w:ascii="Times New Roman" w:hAnsi="Times New Roman" w:cs="Times New Roman"/>
        </w:rPr>
        <w:t xml:space="preserve">documents that Green Choice </w:t>
      </w:r>
      <w:r w:rsidRPr="00241DB9" w:rsidR="00E162EB">
        <w:rPr>
          <w:rFonts w:ascii="Times New Roman" w:hAnsi="Times New Roman" w:cs="Times New Roman"/>
          <w:i/>
          <w:iCs/>
        </w:rPr>
        <w:t>al</w:t>
      </w:r>
      <w:r w:rsidR="007B455D">
        <w:rPr>
          <w:rFonts w:ascii="Times New Roman" w:hAnsi="Times New Roman" w:cs="Times New Roman"/>
          <w:i/>
          <w:iCs/>
        </w:rPr>
        <w:t xml:space="preserve">ready provided </w:t>
      </w:r>
      <w:r w:rsidR="00CD70FE">
        <w:rPr>
          <w:rFonts w:ascii="Times New Roman" w:hAnsi="Times New Roman" w:cs="Times New Roman"/>
          <w:i/>
          <w:iCs/>
        </w:rPr>
        <w:t xml:space="preserve">to the PUCO Staff </w:t>
      </w:r>
      <w:r w:rsidR="00E162EB">
        <w:rPr>
          <w:rFonts w:ascii="Times New Roman" w:hAnsi="Times New Roman" w:cs="Times New Roman"/>
        </w:rPr>
        <w:t xml:space="preserve">in this matter. </w:t>
      </w:r>
      <w:r w:rsidR="00AB3587">
        <w:rPr>
          <w:rFonts w:ascii="Times New Roman" w:hAnsi="Times New Roman" w:cs="Times New Roman"/>
        </w:rPr>
        <w:t xml:space="preserve">Consequently, </w:t>
      </w:r>
      <w:r w:rsidR="00E162EB">
        <w:rPr>
          <w:rFonts w:ascii="Times New Roman" w:hAnsi="Times New Roman" w:cs="Times New Roman"/>
        </w:rPr>
        <w:t xml:space="preserve">Green Choice need not “track down </w:t>
      </w:r>
      <w:r w:rsidRPr="00241DB9" w:rsidR="00E162EB">
        <w:rPr>
          <w:rFonts w:ascii="Times New Roman" w:hAnsi="Times New Roman" w:cs="Times New Roman"/>
          <w:i/>
          <w:iCs/>
        </w:rPr>
        <w:t>additional</w:t>
      </w:r>
      <w:r w:rsidR="00E162EB">
        <w:rPr>
          <w:rFonts w:ascii="Times New Roman" w:hAnsi="Times New Roman" w:cs="Times New Roman"/>
        </w:rPr>
        <w:t xml:space="preserve"> information” to respond to these requests, as it claims.</w:t>
      </w:r>
      <w:r>
        <w:rPr>
          <w:rStyle w:val="FootnoteReference"/>
          <w:rFonts w:ascii="Times New Roman" w:hAnsi="Times New Roman" w:cs="Times New Roman"/>
        </w:rPr>
        <w:footnoteReference w:id="9"/>
      </w:r>
      <w:r w:rsidR="00241DB9">
        <w:rPr>
          <w:rFonts w:ascii="Times New Roman" w:hAnsi="Times New Roman" w:cs="Times New Roman"/>
        </w:rPr>
        <w:t xml:space="preserve"> (Emphasis added).</w:t>
      </w:r>
      <w:r w:rsidR="00E162EB">
        <w:rPr>
          <w:rFonts w:ascii="Times New Roman" w:hAnsi="Times New Roman" w:cs="Times New Roman"/>
        </w:rPr>
        <w:t xml:space="preserve"> </w:t>
      </w:r>
      <w:r w:rsidR="00450816">
        <w:rPr>
          <w:rFonts w:ascii="Times New Roman" w:hAnsi="Times New Roman" w:cs="Times New Roman"/>
        </w:rPr>
        <w:t>Further, OCC’s two interrogatories request the</w:t>
      </w:r>
      <w:r w:rsidR="001E3A58">
        <w:rPr>
          <w:rFonts w:ascii="Times New Roman" w:hAnsi="Times New Roman" w:cs="Times New Roman"/>
        </w:rPr>
        <w:t xml:space="preserve"> identity of expert</w:t>
      </w:r>
      <w:r w:rsidR="00F57B2B">
        <w:rPr>
          <w:rFonts w:ascii="Times New Roman" w:hAnsi="Times New Roman" w:cs="Times New Roman"/>
        </w:rPr>
        <w:t>s</w:t>
      </w:r>
      <w:r w:rsidR="001E3A58">
        <w:rPr>
          <w:rFonts w:ascii="Times New Roman" w:hAnsi="Times New Roman" w:cs="Times New Roman"/>
        </w:rPr>
        <w:t xml:space="preserve"> Green Choice </w:t>
      </w:r>
      <w:r w:rsidR="001A0931">
        <w:rPr>
          <w:rFonts w:ascii="Times New Roman" w:hAnsi="Times New Roman" w:cs="Times New Roman"/>
        </w:rPr>
        <w:t>expects to</w:t>
      </w:r>
      <w:r w:rsidR="001E3A58">
        <w:rPr>
          <w:rFonts w:ascii="Times New Roman" w:hAnsi="Times New Roman" w:cs="Times New Roman"/>
        </w:rPr>
        <w:t xml:space="preserve"> call at hearing and the subjects </w:t>
      </w:r>
      <w:r w:rsidR="00F57B2B">
        <w:rPr>
          <w:rFonts w:ascii="Times New Roman" w:hAnsi="Times New Roman" w:cs="Times New Roman"/>
        </w:rPr>
        <w:t>about</w:t>
      </w:r>
      <w:r w:rsidR="001E3A58">
        <w:rPr>
          <w:rFonts w:ascii="Times New Roman" w:hAnsi="Times New Roman" w:cs="Times New Roman"/>
        </w:rPr>
        <w:t xml:space="preserve"> which they will testify.</w:t>
      </w:r>
      <w:r w:rsidR="001A0931">
        <w:rPr>
          <w:rFonts w:ascii="Times New Roman" w:hAnsi="Times New Roman" w:cs="Times New Roman"/>
        </w:rPr>
        <w:t xml:space="preserve"> </w:t>
      </w:r>
      <w:r w:rsidR="00BD4B2A">
        <w:rPr>
          <w:rFonts w:ascii="Times New Roman" w:hAnsi="Times New Roman" w:cs="Times New Roman"/>
        </w:rPr>
        <w:t xml:space="preserve">Green Choice warns that, to </w:t>
      </w:r>
      <w:r>
        <w:rPr>
          <w:rFonts w:ascii="Times New Roman" w:hAnsi="Times New Roman" w:cs="Times New Roman"/>
        </w:rPr>
        <w:t>answer</w:t>
      </w:r>
      <w:r w:rsidR="00BD4B2A">
        <w:rPr>
          <w:rFonts w:ascii="Times New Roman" w:hAnsi="Times New Roman" w:cs="Times New Roman"/>
        </w:rPr>
        <w:t>, it must engage multiple company personnel to “</w:t>
      </w:r>
      <w:r w:rsidR="001A56C3">
        <w:rPr>
          <w:rFonts w:ascii="Times New Roman" w:hAnsi="Times New Roman" w:cs="Times New Roman"/>
        </w:rPr>
        <w:t>identify responsive informatio</w:t>
      </w:r>
      <w:r w:rsidR="00BD4B2A">
        <w:rPr>
          <w:rFonts w:ascii="Times New Roman" w:hAnsi="Times New Roman" w:cs="Times New Roman"/>
        </w:rPr>
        <w:t>n.”</w:t>
      </w:r>
      <w:r>
        <w:rPr>
          <w:rStyle w:val="FootnoteReference"/>
          <w:rFonts w:ascii="Times New Roman" w:hAnsi="Times New Roman" w:cs="Times New Roman"/>
        </w:rPr>
        <w:footnoteReference w:id="10"/>
      </w:r>
      <w:r w:rsidR="00BD4B2A">
        <w:rPr>
          <w:rFonts w:ascii="Times New Roman" w:hAnsi="Times New Roman" w:cs="Times New Roman"/>
        </w:rPr>
        <w:t xml:space="preserve"> </w:t>
      </w:r>
      <w:r w:rsidR="0008541C">
        <w:rPr>
          <w:rFonts w:ascii="Times New Roman" w:hAnsi="Times New Roman" w:cs="Times New Roman"/>
        </w:rPr>
        <w:t xml:space="preserve">However, there is no uncertainty </w:t>
      </w:r>
      <w:r w:rsidR="00BD4B2A">
        <w:rPr>
          <w:rFonts w:ascii="Times New Roman" w:hAnsi="Times New Roman" w:cs="Times New Roman"/>
        </w:rPr>
        <w:t xml:space="preserve">about what information is </w:t>
      </w:r>
      <w:r w:rsidR="0008541C">
        <w:rPr>
          <w:rFonts w:ascii="Times New Roman" w:hAnsi="Times New Roman" w:cs="Times New Roman"/>
        </w:rPr>
        <w:t xml:space="preserve">or is not </w:t>
      </w:r>
      <w:r w:rsidR="00BD4B2A">
        <w:rPr>
          <w:rFonts w:ascii="Times New Roman" w:hAnsi="Times New Roman" w:cs="Times New Roman"/>
        </w:rPr>
        <w:t>responsiv</w:t>
      </w:r>
      <w:r w:rsidR="0008541C">
        <w:rPr>
          <w:rFonts w:ascii="Times New Roman" w:hAnsi="Times New Roman" w:cs="Times New Roman"/>
        </w:rPr>
        <w:t>e to OCC’s interrogatories</w:t>
      </w:r>
      <w:r w:rsidR="00BD4B2A">
        <w:rPr>
          <w:rFonts w:ascii="Times New Roman" w:hAnsi="Times New Roman" w:cs="Times New Roman"/>
        </w:rPr>
        <w:t>.</w:t>
      </w:r>
      <w:r w:rsidR="001A56C3">
        <w:rPr>
          <w:rFonts w:ascii="Times New Roman" w:hAnsi="Times New Roman" w:cs="Times New Roman"/>
        </w:rPr>
        <w:t xml:space="preserve"> </w:t>
      </w:r>
      <w:r w:rsidR="000100B0">
        <w:rPr>
          <w:rFonts w:ascii="Times New Roman" w:hAnsi="Times New Roman" w:cs="Times New Roman"/>
        </w:rPr>
        <w:t xml:space="preserve">All Green Choice must do to respond is </w:t>
      </w:r>
      <w:r w:rsidR="0008541C">
        <w:rPr>
          <w:rFonts w:ascii="Times New Roman" w:hAnsi="Times New Roman" w:cs="Times New Roman"/>
        </w:rPr>
        <w:t>create a simple witness list.</w:t>
      </w:r>
      <w:r>
        <w:rPr>
          <w:rFonts w:ascii="Times New Roman" w:hAnsi="Times New Roman" w:cs="Times New Roman"/>
        </w:rPr>
        <w:t xml:space="preserve"> </w:t>
      </w:r>
      <w:r w:rsidR="00EA466B">
        <w:rPr>
          <w:rFonts w:ascii="Times New Roman" w:hAnsi="Times New Roman" w:cs="Times New Roman"/>
        </w:rPr>
        <w:t>These requests are limited.</w:t>
      </w:r>
    </w:p>
    <w:p w:rsidR="00CE0FD0" w:rsidP="00EB1ACC" w14:paraId="68C9E298" w14:textId="62E4D1BB">
      <w:pPr>
        <w:spacing w:line="480" w:lineRule="auto"/>
        <w:ind w:firstLine="720"/>
        <w:rPr>
          <w:rFonts w:ascii="Times New Roman" w:hAnsi="Times New Roman" w:cs="Times New Roman"/>
        </w:rPr>
      </w:pPr>
      <w:r>
        <w:rPr>
          <w:rFonts w:ascii="Times New Roman" w:hAnsi="Times New Roman" w:cs="Times New Roman"/>
        </w:rPr>
        <w:t xml:space="preserve">Because OCC’s discovery requests </w:t>
      </w:r>
      <w:r w:rsidR="003B32D8">
        <w:rPr>
          <w:rFonts w:ascii="Times New Roman" w:hAnsi="Times New Roman" w:cs="Times New Roman"/>
        </w:rPr>
        <w:t>are</w:t>
      </w:r>
      <w:r>
        <w:rPr>
          <w:rFonts w:ascii="Times New Roman" w:hAnsi="Times New Roman" w:cs="Times New Roman"/>
        </w:rPr>
        <w:t xml:space="preserve"> few and narrow, the </w:t>
      </w:r>
      <w:r w:rsidR="00054E96">
        <w:rPr>
          <w:rFonts w:ascii="Times New Roman" w:hAnsi="Times New Roman" w:cs="Times New Roman"/>
        </w:rPr>
        <w:t xml:space="preserve">PUCO should not take seriously Green Choice’s claim that it will be costly for </w:t>
      </w:r>
      <w:r>
        <w:rPr>
          <w:rFonts w:ascii="Times New Roman" w:hAnsi="Times New Roman" w:cs="Times New Roman"/>
        </w:rPr>
        <w:t>them</w:t>
      </w:r>
      <w:r w:rsidR="00054E96">
        <w:rPr>
          <w:rFonts w:ascii="Times New Roman" w:hAnsi="Times New Roman" w:cs="Times New Roman"/>
        </w:rPr>
        <w:t xml:space="preserve"> to be “reviewed and evaluated by counsel</w:t>
      </w:r>
      <w:r w:rsidR="00AB3587">
        <w:rPr>
          <w:rFonts w:ascii="Times New Roman" w:hAnsi="Times New Roman" w:cs="Times New Roman"/>
        </w:rPr>
        <w:t xml:space="preserve"> for potential objections..</w:t>
      </w:r>
      <w:r w:rsidR="00054E96">
        <w:rPr>
          <w:rFonts w:ascii="Times New Roman" w:hAnsi="Times New Roman" w:cs="Times New Roman"/>
        </w:rPr>
        <w:t>.”</w:t>
      </w:r>
      <w:r>
        <w:rPr>
          <w:rStyle w:val="FootnoteReference"/>
          <w:rFonts w:ascii="Times New Roman" w:hAnsi="Times New Roman" w:cs="Times New Roman"/>
        </w:rPr>
        <w:footnoteReference w:id="11"/>
      </w:r>
      <w:r w:rsidR="00054E96">
        <w:rPr>
          <w:rFonts w:ascii="Times New Roman" w:hAnsi="Times New Roman" w:cs="Times New Roman"/>
        </w:rPr>
        <w:t xml:space="preserve"> </w:t>
      </w:r>
      <w:r w:rsidR="00887683">
        <w:rPr>
          <w:rFonts w:ascii="Times New Roman" w:hAnsi="Times New Roman" w:cs="Times New Roman"/>
        </w:rPr>
        <w:t xml:space="preserve">In any event, responding to discovery </w:t>
      </w:r>
      <w:r w:rsidR="00D14973">
        <w:rPr>
          <w:rFonts w:ascii="Times New Roman" w:hAnsi="Times New Roman" w:cs="Times New Roman"/>
        </w:rPr>
        <w:t>is</w:t>
      </w:r>
      <w:r w:rsidR="00887683">
        <w:rPr>
          <w:rFonts w:ascii="Times New Roman" w:hAnsi="Times New Roman" w:cs="Times New Roman"/>
        </w:rPr>
        <w:t xml:space="preserve"> expected </w:t>
      </w:r>
      <w:r w:rsidR="00A155B3">
        <w:rPr>
          <w:rFonts w:ascii="Times New Roman" w:hAnsi="Times New Roman" w:cs="Times New Roman"/>
        </w:rPr>
        <w:t>when violations of Ohio</w:t>
      </w:r>
      <w:r w:rsidR="00887683">
        <w:rPr>
          <w:rFonts w:ascii="Times New Roman" w:hAnsi="Times New Roman" w:cs="Times New Roman"/>
        </w:rPr>
        <w:t xml:space="preserve"> law and rules designed to protect consumers</w:t>
      </w:r>
      <w:r w:rsidR="00A155B3">
        <w:rPr>
          <w:rFonts w:ascii="Times New Roman" w:hAnsi="Times New Roman" w:cs="Times New Roman"/>
        </w:rPr>
        <w:t xml:space="preserve"> are alleged</w:t>
      </w:r>
      <w:r w:rsidR="00887683">
        <w:rPr>
          <w:rFonts w:ascii="Times New Roman" w:hAnsi="Times New Roman" w:cs="Times New Roman"/>
        </w:rPr>
        <w:t>.</w:t>
      </w:r>
      <w:r w:rsidR="009B38EE">
        <w:rPr>
          <w:rFonts w:ascii="Times New Roman" w:hAnsi="Times New Roman" w:cs="Times New Roman"/>
        </w:rPr>
        <w:t xml:space="preserve"> </w:t>
      </w:r>
      <w:r w:rsidR="00887683">
        <w:rPr>
          <w:rFonts w:ascii="Times New Roman" w:hAnsi="Times New Roman" w:cs="Times New Roman"/>
        </w:rPr>
        <w:t xml:space="preserve">Green Choice </w:t>
      </w:r>
      <w:r w:rsidR="00155B9D">
        <w:rPr>
          <w:rFonts w:ascii="Times New Roman" w:hAnsi="Times New Roman" w:cs="Times New Roman"/>
        </w:rPr>
        <w:t>continues</w:t>
      </w:r>
      <w:r w:rsidR="00887683">
        <w:rPr>
          <w:rFonts w:ascii="Times New Roman" w:hAnsi="Times New Roman" w:cs="Times New Roman"/>
        </w:rPr>
        <w:t xml:space="preserve"> </w:t>
      </w:r>
      <w:r w:rsidR="00155B9D">
        <w:rPr>
          <w:rFonts w:ascii="Times New Roman" w:hAnsi="Times New Roman" w:cs="Times New Roman"/>
        </w:rPr>
        <w:t>to</w:t>
      </w:r>
      <w:r w:rsidR="00887683">
        <w:rPr>
          <w:rFonts w:ascii="Times New Roman" w:hAnsi="Times New Roman" w:cs="Times New Roman"/>
        </w:rPr>
        <w:t xml:space="preserve"> elevat</w:t>
      </w:r>
      <w:r w:rsidR="00155B9D">
        <w:rPr>
          <w:rFonts w:ascii="Times New Roman" w:hAnsi="Times New Roman" w:cs="Times New Roman"/>
        </w:rPr>
        <w:t>e</w:t>
      </w:r>
      <w:r w:rsidR="00887683">
        <w:rPr>
          <w:rFonts w:ascii="Times New Roman" w:hAnsi="Times New Roman" w:cs="Times New Roman"/>
        </w:rPr>
        <w:t xml:space="preserve"> itself over Ohio regulatory practices that protect the public</w:t>
      </w:r>
      <w:r w:rsidR="005430CB">
        <w:rPr>
          <w:rFonts w:ascii="Times New Roman" w:hAnsi="Times New Roman" w:cs="Times New Roman"/>
        </w:rPr>
        <w:t xml:space="preserve">. </w:t>
      </w:r>
      <w:r w:rsidR="00293FA1">
        <w:rPr>
          <w:rFonts w:ascii="Times New Roman" w:hAnsi="Times New Roman" w:cs="Times New Roman"/>
        </w:rPr>
        <w:t xml:space="preserve">Consequently, </w:t>
      </w:r>
      <w:r w:rsidR="00887683">
        <w:rPr>
          <w:rFonts w:ascii="Times New Roman" w:hAnsi="Times New Roman" w:cs="Times New Roman"/>
        </w:rPr>
        <w:t>the PUCO should deny Green Choice’s claims and compel discovery responses</w:t>
      </w:r>
      <w:r w:rsidR="00293FA1">
        <w:rPr>
          <w:rFonts w:ascii="Times New Roman" w:hAnsi="Times New Roman" w:cs="Times New Roman"/>
        </w:rPr>
        <w:t>.</w:t>
      </w:r>
      <w:r w:rsidR="00887683">
        <w:rPr>
          <w:rFonts w:ascii="Times New Roman" w:hAnsi="Times New Roman" w:cs="Times New Roman"/>
        </w:rPr>
        <w:t xml:space="preserve"> As OCC waits for </w:t>
      </w:r>
      <w:r w:rsidR="00155B9D">
        <w:rPr>
          <w:rFonts w:ascii="Times New Roman" w:hAnsi="Times New Roman" w:cs="Times New Roman"/>
        </w:rPr>
        <w:t xml:space="preserve">delayed </w:t>
      </w:r>
      <w:r w:rsidR="00887683">
        <w:rPr>
          <w:rFonts w:ascii="Times New Roman" w:hAnsi="Times New Roman" w:cs="Times New Roman"/>
        </w:rPr>
        <w:t>discovery responses, consumers are denied justice.</w:t>
      </w:r>
      <w:r w:rsidR="00293FA1">
        <w:rPr>
          <w:rFonts w:ascii="Times New Roman" w:hAnsi="Times New Roman" w:cs="Times New Roman"/>
        </w:rPr>
        <w:t xml:space="preserve"> </w:t>
      </w:r>
    </w:p>
    <w:p w:rsidR="00CE0FD0" w14:paraId="7390B1B3" w14:textId="24095F4F">
      <w:pPr>
        <w:rPr>
          <w:rFonts w:ascii="Times New Roman" w:hAnsi="Times New Roman" w:cs="Times New Roman"/>
        </w:rPr>
      </w:pPr>
    </w:p>
    <w:p w:rsidR="00A1585C" w:rsidP="00CE0FD0" w14:paraId="76CA1644" w14:textId="0239D100">
      <w:pPr>
        <w:pStyle w:val="Heading1"/>
        <w:spacing w:after="0" w:line="480" w:lineRule="auto"/>
        <w:ind w:left="0" w:firstLine="0"/>
      </w:pPr>
      <w:bookmarkStart w:id="6" w:name="_Toc111732055"/>
      <w:r>
        <w:t>III.</w:t>
      </w:r>
      <w:r>
        <w:tab/>
      </w:r>
      <w:r>
        <w:t>CONCLUSION</w:t>
      </w:r>
      <w:bookmarkEnd w:id="6"/>
    </w:p>
    <w:p w:rsidR="007322D5" w:rsidP="00FE3DB7" w14:paraId="2719C889" w14:textId="651F4587">
      <w:pPr>
        <w:pStyle w:val="BodyTextIndent3"/>
        <w:spacing w:line="480" w:lineRule="auto"/>
        <w:ind w:firstLine="0"/>
        <w:rPr>
          <w:color w:val="000000" w:themeColor="text1"/>
          <w:szCs w:val="24"/>
        </w:rPr>
      </w:pPr>
      <w:r>
        <w:rPr>
          <w:color w:val="000000" w:themeColor="text1"/>
          <w:szCs w:val="24"/>
        </w:rPr>
        <w:tab/>
        <w:t>Green Choice’s arguments opposing OCC’s discovery request</w:t>
      </w:r>
      <w:r w:rsidR="00887683">
        <w:rPr>
          <w:color w:val="000000" w:themeColor="text1"/>
          <w:szCs w:val="24"/>
        </w:rPr>
        <w:t>s</w:t>
      </w:r>
      <w:r>
        <w:rPr>
          <w:color w:val="000000" w:themeColor="text1"/>
          <w:szCs w:val="24"/>
        </w:rPr>
        <w:t xml:space="preserve"> should be rejected. </w:t>
      </w:r>
      <w:r w:rsidR="00236999">
        <w:rPr>
          <w:color w:val="000000" w:themeColor="text1"/>
          <w:szCs w:val="24"/>
        </w:rPr>
        <w:t>OCC’s discovery</w:t>
      </w:r>
      <w:r w:rsidR="00370BDB">
        <w:rPr>
          <w:color w:val="000000" w:themeColor="text1"/>
          <w:szCs w:val="24"/>
        </w:rPr>
        <w:t xml:space="preserve"> requests are reasonably calculated to lead to discovery of admissible evidence</w:t>
      </w:r>
      <w:r w:rsidR="00236999">
        <w:rPr>
          <w:color w:val="000000" w:themeColor="text1"/>
          <w:szCs w:val="24"/>
        </w:rPr>
        <w:t xml:space="preserve"> </w:t>
      </w:r>
      <w:r w:rsidR="00887683">
        <w:rPr>
          <w:color w:val="000000" w:themeColor="text1"/>
          <w:szCs w:val="24"/>
        </w:rPr>
        <w:t>under O.A.C. 4901-1-</w:t>
      </w:r>
      <w:r w:rsidR="00740400">
        <w:rPr>
          <w:color w:val="000000" w:themeColor="text1"/>
          <w:szCs w:val="24"/>
        </w:rPr>
        <w:t>16</w:t>
      </w:r>
      <w:r w:rsidR="00887683">
        <w:rPr>
          <w:color w:val="000000" w:themeColor="text1"/>
          <w:szCs w:val="24"/>
        </w:rPr>
        <w:t>.</w:t>
      </w:r>
      <w:r w:rsidR="00236999">
        <w:rPr>
          <w:color w:val="000000" w:themeColor="text1"/>
          <w:szCs w:val="24"/>
        </w:rPr>
        <w:t xml:space="preserve"> </w:t>
      </w:r>
      <w:r w:rsidR="00887683">
        <w:rPr>
          <w:color w:val="000000" w:themeColor="text1"/>
          <w:szCs w:val="24"/>
        </w:rPr>
        <w:t>W</w:t>
      </w:r>
      <w:r w:rsidR="00236999">
        <w:rPr>
          <w:color w:val="000000" w:themeColor="text1"/>
          <w:szCs w:val="24"/>
        </w:rPr>
        <w:t>ithout</w:t>
      </w:r>
      <w:r w:rsidR="00887683">
        <w:rPr>
          <w:color w:val="000000" w:themeColor="text1"/>
          <w:szCs w:val="24"/>
        </w:rPr>
        <w:t xml:space="preserve"> responses, </w:t>
      </w:r>
      <w:r w:rsidR="00236999">
        <w:rPr>
          <w:color w:val="000000" w:themeColor="text1"/>
          <w:szCs w:val="24"/>
        </w:rPr>
        <w:t>OCC</w:t>
      </w:r>
      <w:r w:rsidR="00887683">
        <w:rPr>
          <w:color w:val="000000" w:themeColor="text1"/>
          <w:szCs w:val="24"/>
        </w:rPr>
        <w:t xml:space="preserve"> and consumers are denied their right to </w:t>
      </w:r>
      <w:r w:rsidR="00A85F2E">
        <w:rPr>
          <w:color w:val="000000" w:themeColor="text1"/>
          <w:szCs w:val="24"/>
        </w:rPr>
        <w:t xml:space="preserve">justice through </w:t>
      </w:r>
      <w:r w:rsidR="00887683">
        <w:rPr>
          <w:color w:val="000000" w:themeColor="text1"/>
          <w:szCs w:val="24"/>
        </w:rPr>
        <w:t>adequate case preparation.</w:t>
      </w:r>
      <w:r>
        <w:rPr>
          <w:rStyle w:val="FootnoteReference"/>
          <w:color w:val="000000" w:themeColor="text1"/>
          <w:szCs w:val="24"/>
        </w:rPr>
        <w:footnoteReference w:id="12"/>
      </w:r>
      <w:r w:rsidR="00236999">
        <w:rPr>
          <w:color w:val="000000" w:themeColor="text1"/>
          <w:szCs w:val="24"/>
        </w:rPr>
        <w:t xml:space="preserve"> For these reasons, the PUCO should grant OCC’s motion to compel.</w:t>
      </w:r>
    </w:p>
    <w:p w:rsidR="007322D5" w:rsidRPr="007322D5" w:rsidP="007322D5" w14:paraId="10C36A7A" w14:textId="6840FA66">
      <w:pPr>
        <w:pStyle w:val="BodyTextIndent3"/>
        <w:widowControl w:val="0"/>
        <w:ind w:left="3600" w:right="-672"/>
        <w:rPr>
          <w:color w:val="000000" w:themeColor="text1"/>
          <w:szCs w:val="24"/>
        </w:rPr>
      </w:pPr>
      <w:r w:rsidRPr="007322D5">
        <w:rPr>
          <w:szCs w:val="24"/>
        </w:rPr>
        <w:t>Respectfully submitted,</w:t>
      </w:r>
    </w:p>
    <w:p w:rsidR="007322D5" w:rsidRPr="007322D5" w:rsidP="007322D5" w14:paraId="33D871E2" w14:textId="77777777">
      <w:pPr>
        <w:jc w:val="both"/>
        <w:rPr>
          <w:rFonts w:ascii="Times New Roman" w:hAnsi="Times New Roman" w:cs="Times New Roman"/>
        </w:rPr>
      </w:pPr>
      <w:r w:rsidRPr="007322D5">
        <w:rPr>
          <w:rFonts w:ascii="Times New Roman" w:hAnsi="Times New Roman" w:cs="Times New Roman"/>
        </w:rPr>
        <w:tab/>
      </w:r>
    </w:p>
    <w:p w:rsidR="007322D5" w:rsidRPr="007322D5" w:rsidP="007322D5" w14:paraId="1195C159" w14:textId="77777777">
      <w:pPr>
        <w:ind w:left="4320"/>
        <w:jc w:val="both"/>
        <w:rPr>
          <w:rFonts w:ascii="Times New Roman" w:hAnsi="Times New Roman" w:cs="Times New Roman"/>
        </w:rPr>
      </w:pPr>
      <w:r w:rsidRPr="007322D5">
        <w:rPr>
          <w:rFonts w:ascii="Times New Roman" w:hAnsi="Times New Roman" w:cs="Times New Roman"/>
        </w:rPr>
        <w:t>Bruce Weston (0016973)</w:t>
      </w:r>
    </w:p>
    <w:p w:rsidR="007322D5" w:rsidRPr="007322D5" w:rsidP="007322D5" w14:paraId="3927296E" w14:textId="77777777">
      <w:pPr>
        <w:tabs>
          <w:tab w:val="left" w:pos="4320"/>
        </w:tabs>
        <w:ind w:left="4320" w:hanging="450"/>
        <w:jc w:val="both"/>
        <w:rPr>
          <w:rFonts w:ascii="Times New Roman" w:hAnsi="Times New Roman" w:cs="Times New Roman"/>
        </w:rPr>
      </w:pPr>
      <w:r w:rsidRPr="007322D5">
        <w:rPr>
          <w:rFonts w:ascii="Times New Roman" w:hAnsi="Times New Roman" w:cs="Times New Roman"/>
        </w:rPr>
        <w:tab/>
        <w:t>Ohio Consumers’ Counsel</w:t>
      </w:r>
    </w:p>
    <w:p w:rsidR="007322D5" w:rsidRPr="007322D5" w:rsidP="007322D5" w14:paraId="2E6D4059" w14:textId="77777777">
      <w:pPr>
        <w:tabs>
          <w:tab w:val="left" w:pos="4320"/>
        </w:tabs>
        <w:ind w:left="4320"/>
        <w:jc w:val="both"/>
        <w:rPr>
          <w:rFonts w:ascii="Times New Roman" w:hAnsi="Times New Roman" w:cs="Times New Roman"/>
        </w:rPr>
      </w:pPr>
    </w:p>
    <w:p w:rsidR="007322D5" w:rsidRPr="007322D5" w:rsidP="007322D5" w14:paraId="304A5293" w14:textId="77777777">
      <w:pPr>
        <w:tabs>
          <w:tab w:val="left" w:pos="4320"/>
        </w:tabs>
        <w:ind w:left="4320"/>
        <w:jc w:val="both"/>
        <w:rPr>
          <w:rFonts w:ascii="Times New Roman" w:hAnsi="Times New Roman" w:cs="Times New Roman"/>
          <w:i/>
          <w:iCs/>
          <w:u w:val="single"/>
        </w:rPr>
      </w:pPr>
      <w:r w:rsidRPr="007322D5">
        <w:rPr>
          <w:rFonts w:ascii="Times New Roman" w:hAnsi="Times New Roman" w:cs="Times New Roman"/>
          <w:i/>
          <w:iCs/>
          <w:u w:val="single"/>
        </w:rPr>
        <w:t>/s/ William J. Michael</w:t>
      </w:r>
    </w:p>
    <w:p w:rsidR="007322D5" w:rsidRPr="007322D5" w:rsidP="007322D5" w14:paraId="2E4EACBE" w14:textId="77777777">
      <w:pPr>
        <w:tabs>
          <w:tab w:val="left" w:pos="4320"/>
        </w:tabs>
        <w:ind w:left="4320"/>
        <w:jc w:val="both"/>
        <w:rPr>
          <w:rFonts w:ascii="Times New Roman" w:hAnsi="Times New Roman" w:cs="Times New Roman"/>
        </w:rPr>
      </w:pPr>
      <w:r w:rsidRPr="007322D5">
        <w:rPr>
          <w:rFonts w:ascii="Times New Roman" w:hAnsi="Times New Roman" w:cs="Times New Roman"/>
        </w:rPr>
        <w:t>William J. Michael (0070921)</w:t>
      </w:r>
    </w:p>
    <w:p w:rsidR="007322D5" w:rsidRPr="007322D5" w:rsidP="007322D5" w14:paraId="1B45B89C" w14:textId="77777777">
      <w:pPr>
        <w:tabs>
          <w:tab w:val="left" w:pos="4320"/>
        </w:tabs>
        <w:ind w:left="4320"/>
        <w:jc w:val="both"/>
        <w:rPr>
          <w:rFonts w:ascii="Times New Roman" w:hAnsi="Times New Roman" w:cs="Times New Roman"/>
        </w:rPr>
      </w:pPr>
      <w:r w:rsidRPr="007322D5">
        <w:rPr>
          <w:rFonts w:ascii="Times New Roman" w:hAnsi="Times New Roman" w:cs="Times New Roman"/>
        </w:rPr>
        <w:t>Counsel of Record</w:t>
      </w:r>
    </w:p>
    <w:p w:rsidR="007322D5" w:rsidRPr="007322D5" w:rsidP="007322D5" w14:paraId="018F47DF" w14:textId="77777777">
      <w:pPr>
        <w:tabs>
          <w:tab w:val="left" w:pos="4320"/>
        </w:tabs>
        <w:ind w:left="4320"/>
        <w:jc w:val="both"/>
        <w:rPr>
          <w:rFonts w:ascii="Times New Roman" w:hAnsi="Times New Roman" w:cs="Times New Roman"/>
        </w:rPr>
      </w:pPr>
      <w:r w:rsidRPr="007322D5">
        <w:rPr>
          <w:rFonts w:ascii="Times New Roman" w:hAnsi="Times New Roman" w:cs="Times New Roman"/>
        </w:rPr>
        <w:t>Connor D. Semple (0101102)</w:t>
      </w:r>
    </w:p>
    <w:p w:rsidR="007322D5" w:rsidRPr="007322D5" w:rsidP="007322D5" w14:paraId="70C4E1B1" w14:textId="77777777">
      <w:pPr>
        <w:tabs>
          <w:tab w:val="left" w:pos="3870"/>
          <w:tab w:val="left" w:pos="4320"/>
        </w:tabs>
        <w:ind w:left="4320"/>
        <w:jc w:val="both"/>
        <w:rPr>
          <w:rFonts w:ascii="Times New Roman" w:hAnsi="Times New Roman" w:cs="Times New Roman"/>
        </w:rPr>
      </w:pPr>
      <w:r w:rsidRPr="007322D5">
        <w:rPr>
          <w:rFonts w:ascii="Times New Roman" w:hAnsi="Times New Roman" w:cs="Times New Roman"/>
        </w:rPr>
        <w:t>Assistant Consumers’ Counsel</w:t>
      </w:r>
    </w:p>
    <w:p w:rsidR="007322D5" w:rsidRPr="007322D5" w:rsidP="007322D5" w14:paraId="4C133F88" w14:textId="77777777">
      <w:pPr>
        <w:tabs>
          <w:tab w:val="left" w:pos="3870"/>
          <w:tab w:val="left" w:pos="4320"/>
        </w:tabs>
        <w:ind w:left="4320"/>
        <w:jc w:val="both"/>
        <w:rPr>
          <w:rFonts w:ascii="Times New Roman" w:hAnsi="Times New Roman" w:cs="Times New Roman"/>
        </w:rPr>
      </w:pPr>
    </w:p>
    <w:p w:rsidR="007322D5" w:rsidRPr="007322D5" w:rsidP="007322D5" w14:paraId="19792FEE" w14:textId="77777777">
      <w:pPr>
        <w:ind w:left="4320"/>
        <w:jc w:val="both"/>
        <w:rPr>
          <w:rFonts w:ascii="Times New Roman" w:hAnsi="Times New Roman" w:cs="Times New Roman"/>
          <w:b/>
          <w:bCs/>
        </w:rPr>
      </w:pPr>
      <w:r w:rsidRPr="007322D5">
        <w:rPr>
          <w:rFonts w:ascii="Times New Roman" w:hAnsi="Times New Roman" w:cs="Times New Roman"/>
          <w:b/>
          <w:bCs/>
        </w:rPr>
        <w:t>Office of the Ohio Consumers' Counsel</w:t>
      </w:r>
    </w:p>
    <w:p w:rsidR="007322D5" w:rsidRPr="007322D5" w:rsidP="007322D5" w14:paraId="59308A09" w14:textId="77777777">
      <w:pPr>
        <w:ind w:left="4320"/>
        <w:jc w:val="both"/>
        <w:rPr>
          <w:rFonts w:ascii="Times New Roman" w:hAnsi="Times New Roman" w:cs="Times New Roman"/>
        </w:rPr>
      </w:pPr>
      <w:r w:rsidRPr="007322D5">
        <w:rPr>
          <w:rFonts w:ascii="Times New Roman" w:hAnsi="Times New Roman" w:cs="Times New Roman"/>
        </w:rPr>
        <w:t>65 East State Street, Suite 700</w:t>
      </w:r>
    </w:p>
    <w:p w:rsidR="007322D5" w:rsidRPr="007322D5" w:rsidP="007322D5" w14:paraId="362C6D89" w14:textId="77777777">
      <w:pPr>
        <w:ind w:left="4320"/>
        <w:jc w:val="both"/>
        <w:rPr>
          <w:rFonts w:ascii="Times New Roman" w:hAnsi="Times New Roman" w:cs="Times New Roman"/>
        </w:rPr>
      </w:pPr>
      <w:r w:rsidRPr="007322D5">
        <w:rPr>
          <w:rFonts w:ascii="Times New Roman" w:hAnsi="Times New Roman" w:cs="Times New Roman"/>
        </w:rPr>
        <w:t>Columbus, Ohio 43215-4213</w:t>
      </w:r>
    </w:p>
    <w:p w:rsidR="007322D5" w:rsidRPr="007322D5" w:rsidP="007322D5" w14:paraId="6172FAAF" w14:textId="77777777">
      <w:pPr>
        <w:autoSpaceDE w:val="0"/>
        <w:autoSpaceDN w:val="0"/>
        <w:adjustRightInd w:val="0"/>
        <w:ind w:left="4320"/>
        <w:jc w:val="both"/>
        <w:rPr>
          <w:rFonts w:ascii="Times New Roman" w:hAnsi="Times New Roman" w:cs="Times New Roman"/>
        </w:rPr>
      </w:pPr>
      <w:r w:rsidRPr="007322D5">
        <w:rPr>
          <w:rFonts w:ascii="Times New Roman" w:hAnsi="Times New Roman" w:cs="Times New Roman"/>
        </w:rPr>
        <w:t>Telephone: [Michael]: (614) 466-1291</w:t>
      </w:r>
    </w:p>
    <w:p w:rsidR="007322D5" w:rsidRPr="007322D5" w:rsidP="007322D5" w14:paraId="30CAE740" w14:textId="32B01ECE">
      <w:pPr>
        <w:autoSpaceDE w:val="0"/>
        <w:autoSpaceDN w:val="0"/>
        <w:adjustRightInd w:val="0"/>
        <w:ind w:left="4320"/>
        <w:jc w:val="both"/>
        <w:rPr>
          <w:rFonts w:ascii="Times New Roman" w:hAnsi="Times New Roman" w:cs="Times New Roman"/>
        </w:rPr>
      </w:pPr>
      <w:r w:rsidRPr="007322D5">
        <w:rPr>
          <w:rFonts w:ascii="Times New Roman" w:hAnsi="Times New Roman" w:cs="Times New Roman"/>
        </w:rPr>
        <w:t>Telephone: [Semple]:</w:t>
      </w:r>
      <w:r w:rsidR="00AD7B34">
        <w:rPr>
          <w:rFonts w:ascii="Times New Roman" w:hAnsi="Times New Roman" w:cs="Times New Roman"/>
        </w:rPr>
        <w:t xml:space="preserve"> </w:t>
      </w:r>
      <w:r w:rsidRPr="007322D5">
        <w:rPr>
          <w:rFonts w:ascii="Times New Roman" w:hAnsi="Times New Roman" w:cs="Times New Roman"/>
        </w:rPr>
        <w:t>(614) 466-9565</w:t>
      </w:r>
    </w:p>
    <w:p w:rsidR="007322D5" w:rsidRPr="007322D5" w:rsidP="007322D5" w14:paraId="731650D9" w14:textId="77777777">
      <w:pPr>
        <w:ind w:left="4320"/>
        <w:jc w:val="both"/>
        <w:rPr>
          <w:rFonts w:ascii="Times New Roman" w:hAnsi="Times New Roman" w:cs="Times New Roman"/>
        </w:rPr>
      </w:pPr>
      <w:hyperlink r:id="rId6" w:history="1">
        <w:r w:rsidRPr="007322D5">
          <w:rPr>
            <w:rStyle w:val="Hyperlink"/>
            <w:rFonts w:ascii="Times New Roman" w:hAnsi="Times New Roman" w:cs="Times New Roman"/>
          </w:rPr>
          <w:t>william.michael@occ.ohio.gov</w:t>
        </w:r>
      </w:hyperlink>
    </w:p>
    <w:p w:rsidR="007322D5" w:rsidRPr="007322D5" w:rsidP="007322D5" w14:paraId="3F46CA55" w14:textId="77777777">
      <w:pPr>
        <w:ind w:left="4320"/>
        <w:jc w:val="both"/>
        <w:rPr>
          <w:rFonts w:ascii="Times New Roman" w:hAnsi="Times New Roman" w:cs="Times New Roman"/>
        </w:rPr>
      </w:pPr>
      <w:hyperlink r:id="rId7" w:history="1">
        <w:r w:rsidRPr="007322D5">
          <w:rPr>
            <w:rStyle w:val="Hyperlink"/>
            <w:rFonts w:ascii="Times New Roman" w:hAnsi="Times New Roman" w:cs="Times New Roman"/>
          </w:rPr>
          <w:t>connor.semple@occ.ohio.gov</w:t>
        </w:r>
      </w:hyperlink>
    </w:p>
    <w:p w:rsidR="007322D5" w:rsidRPr="007322D5" w:rsidP="007322D5" w14:paraId="19CD01A3" w14:textId="77777777">
      <w:pPr>
        <w:ind w:left="4320" w:hanging="4320"/>
        <w:jc w:val="both"/>
        <w:rPr>
          <w:rFonts w:ascii="Times New Roman" w:hAnsi="Times New Roman" w:cs="Times New Roman"/>
        </w:rPr>
      </w:pPr>
      <w:r w:rsidRPr="007322D5">
        <w:rPr>
          <w:rFonts w:ascii="Times New Roman" w:hAnsi="Times New Roman" w:cs="Times New Roman"/>
        </w:rPr>
        <w:tab/>
        <w:t>(willing to accept service by e-mail)</w:t>
      </w:r>
    </w:p>
    <w:p w:rsidR="00B96ACA" w:rsidRPr="007322D5" w:rsidP="00B96ACA" w14:paraId="43F11E9F" w14:textId="1430A39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rsidR="00B96ACA" w:rsidRPr="007322D5" w:rsidP="00B96ACA" w14:paraId="2ED04085" w14:textId="77777777">
      <w:pPr>
        <w:jc w:val="center"/>
        <w:rPr>
          <w:rFonts w:ascii="Times New Roman" w:hAnsi="Times New Roman" w:cs="Times New Roman"/>
          <w:b/>
          <w:bCs/>
          <w:color w:val="000000" w:themeColor="text1"/>
          <w:u w:val="single"/>
        </w:rPr>
      </w:pPr>
      <w:r w:rsidRPr="007322D5">
        <w:rPr>
          <w:rFonts w:ascii="Times New Roman" w:hAnsi="Times New Roman" w:cs="Times New Roman"/>
          <w:b/>
          <w:bCs/>
          <w:color w:val="000000" w:themeColor="text1"/>
          <w:u w:val="single"/>
        </w:rPr>
        <w:t>CERTIFICATE OF SERVICE</w:t>
      </w:r>
    </w:p>
    <w:p w:rsidR="00B96ACA" w:rsidRPr="007322D5" w:rsidP="00B96ACA" w14:paraId="0647FB1F" w14:textId="06DE8141">
      <w:pPr>
        <w:spacing w:line="480" w:lineRule="atLeast"/>
        <w:rPr>
          <w:rFonts w:ascii="Times New Roman" w:hAnsi="Times New Roman" w:cs="Times New Roman"/>
          <w:color w:val="000000" w:themeColor="text1"/>
        </w:rPr>
      </w:pPr>
      <w:r w:rsidRPr="007322D5">
        <w:rPr>
          <w:rFonts w:ascii="Times New Roman" w:hAnsi="Times New Roman" w:cs="Times New Roman"/>
          <w:color w:val="000000" w:themeColor="text1"/>
        </w:rPr>
        <w:tab/>
        <w:t xml:space="preserve">I hereby certify that a copy of this </w:t>
      </w:r>
      <w:r w:rsidRPr="00AE5E31" w:rsidR="00AE5E31">
        <w:rPr>
          <w:rFonts w:ascii="Times New Roman" w:hAnsi="Times New Roman" w:cs="Times New Roman"/>
          <w:iCs/>
          <w:color w:val="000000" w:themeColor="text1"/>
        </w:rPr>
        <w:t>Reply</w:t>
      </w:r>
      <w:r w:rsidRPr="007322D5">
        <w:rPr>
          <w:rFonts w:ascii="Times New Roman" w:hAnsi="Times New Roman" w:cs="Times New Roman"/>
          <w:color w:val="000000" w:themeColor="text1"/>
        </w:rPr>
        <w:t xml:space="preserve"> was served on the persons stated below </w:t>
      </w:r>
      <w:r w:rsidRPr="007322D5">
        <w:rPr>
          <w:rFonts w:ascii="Times New Roman" w:hAnsi="Times New Roman" w:cs="Times New Roman"/>
          <w:i/>
          <w:color w:val="000000" w:themeColor="text1"/>
        </w:rPr>
        <w:t>via</w:t>
      </w:r>
      <w:r w:rsidRPr="007322D5">
        <w:rPr>
          <w:rFonts w:ascii="Times New Roman" w:hAnsi="Times New Roman" w:cs="Times New Roman"/>
          <w:color w:val="000000" w:themeColor="text1"/>
        </w:rPr>
        <w:t xml:space="preserve"> electronic transmission, this </w:t>
      </w:r>
      <w:r w:rsidR="00AE5E31">
        <w:rPr>
          <w:rFonts w:ascii="Times New Roman" w:hAnsi="Times New Roman" w:cs="Times New Roman"/>
          <w:color w:val="000000" w:themeColor="text1"/>
        </w:rPr>
        <w:t>24</w:t>
      </w:r>
      <w:r w:rsidRPr="00AE5E31" w:rsidR="00AE5E31">
        <w:rPr>
          <w:rFonts w:ascii="Times New Roman" w:hAnsi="Times New Roman" w:cs="Times New Roman"/>
          <w:color w:val="000000" w:themeColor="text1"/>
          <w:vertAlign w:val="superscript"/>
        </w:rPr>
        <w:t>th</w:t>
      </w:r>
      <w:r w:rsidR="00AE5E31">
        <w:rPr>
          <w:rFonts w:ascii="Times New Roman" w:hAnsi="Times New Roman" w:cs="Times New Roman"/>
          <w:color w:val="000000" w:themeColor="text1"/>
        </w:rPr>
        <w:t xml:space="preserve"> </w:t>
      </w:r>
      <w:r w:rsidRPr="007322D5">
        <w:rPr>
          <w:rFonts w:ascii="Times New Roman" w:hAnsi="Times New Roman" w:cs="Times New Roman"/>
          <w:color w:val="000000" w:themeColor="text1"/>
        </w:rPr>
        <w:t xml:space="preserve">day of </w:t>
      </w:r>
      <w:r w:rsidR="00D05E43">
        <w:rPr>
          <w:rFonts w:ascii="Times New Roman" w:hAnsi="Times New Roman" w:cs="Times New Roman"/>
          <w:color w:val="000000" w:themeColor="text1"/>
        </w:rPr>
        <w:t>August</w:t>
      </w:r>
      <w:r w:rsidRPr="007322D5">
        <w:rPr>
          <w:rFonts w:ascii="Times New Roman" w:hAnsi="Times New Roman" w:cs="Times New Roman"/>
          <w:color w:val="000000" w:themeColor="text1"/>
        </w:rPr>
        <w:t xml:space="preserve"> 2022.</w:t>
      </w:r>
    </w:p>
    <w:p w:rsidR="00B96ACA" w:rsidRPr="00B96ACA" w:rsidP="00B96ACA" w14:paraId="12798EB5" w14:textId="77777777">
      <w:pPr>
        <w:spacing w:line="480" w:lineRule="atLeast"/>
        <w:rPr>
          <w:rFonts w:ascii="Times New Roman" w:hAnsi="Times New Roman" w:cs="Times New Roman"/>
          <w:color w:val="000000" w:themeColor="text1"/>
        </w:rPr>
      </w:pPr>
    </w:p>
    <w:p w:rsidR="00B96ACA" w:rsidRPr="00B96ACA" w:rsidP="00B96ACA" w14:paraId="5C64834E" w14:textId="77777777">
      <w:pPr>
        <w:tabs>
          <w:tab w:val="left" w:pos="4320"/>
        </w:tabs>
        <w:rPr>
          <w:rFonts w:ascii="Times New Roman" w:hAnsi="Times New Roman" w:cs="Times New Roman"/>
          <w:i/>
          <w:iCs/>
          <w:color w:val="000000" w:themeColor="text1"/>
          <w:u w:val="single"/>
        </w:rPr>
      </w:pPr>
      <w:r w:rsidRPr="00B96ACA">
        <w:rPr>
          <w:rFonts w:ascii="Times New Roman" w:hAnsi="Times New Roman" w:cs="Times New Roman"/>
          <w:color w:val="000000" w:themeColor="text1"/>
        </w:rPr>
        <w:tab/>
      </w:r>
      <w:r w:rsidRPr="00B96ACA">
        <w:rPr>
          <w:rFonts w:ascii="Times New Roman" w:hAnsi="Times New Roman" w:cs="Times New Roman"/>
          <w:i/>
          <w:iCs/>
          <w:color w:val="000000" w:themeColor="text1"/>
          <w:u w:val="single"/>
        </w:rPr>
        <w:t>/s/ William J. Michael</w:t>
      </w:r>
      <w:r w:rsidRPr="00B96ACA">
        <w:rPr>
          <w:rFonts w:ascii="Times New Roman" w:hAnsi="Times New Roman" w:cs="Times New Roman"/>
          <w:i/>
          <w:iCs/>
          <w:color w:val="000000" w:themeColor="text1"/>
          <w:u w:val="single"/>
        </w:rPr>
        <w:tab/>
      </w:r>
    </w:p>
    <w:p w:rsidR="00B96ACA" w:rsidRPr="00B96ACA" w:rsidP="00B96ACA" w14:paraId="170E211A" w14:textId="77777777">
      <w:pPr>
        <w:tabs>
          <w:tab w:val="left" w:pos="4320"/>
        </w:tabs>
        <w:rPr>
          <w:rFonts w:ascii="Times New Roman" w:hAnsi="Times New Roman" w:cs="Times New Roman"/>
          <w:color w:val="000000" w:themeColor="text1"/>
        </w:rPr>
      </w:pPr>
      <w:r w:rsidRPr="00B96ACA">
        <w:rPr>
          <w:rFonts w:ascii="Times New Roman" w:hAnsi="Times New Roman" w:cs="Times New Roman"/>
          <w:color w:val="000000" w:themeColor="text1"/>
        </w:rPr>
        <w:tab/>
        <w:t>William J. Michael</w:t>
      </w:r>
    </w:p>
    <w:p w:rsidR="00B96ACA" w:rsidRPr="00B96ACA" w:rsidP="00B96ACA" w14:paraId="1418AD27" w14:textId="77777777">
      <w:pPr>
        <w:tabs>
          <w:tab w:val="left" w:pos="4320"/>
        </w:tabs>
        <w:rPr>
          <w:rFonts w:ascii="Times New Roman" w:hAnsi="Times New Roman" w:cs="Times New Roman"/>
          <w:color w:val="000000" w:themeColor="text1"/>
        </w:rPr>
      </w:pPr>
      <w:r w:rsidRPr="00B96ACA">
        <w:rPr>
          <w:rFonts w:ascii="Times New Roman" w:hAnsi="Times New Roman" w:cs="Times New Roman"/>
          <w:color w:val="000000" w:themeColor="text1"/>
        </w:rPr>
        <w:tab/>
        <w:t>Assistant Consumers’ Counsel</w:t>
      </w:r>
    </w:p>
    <w:p w:rsidR="00B96ACA" w:rsidRPr="00B96ACA" w:rsidP="00B96ACA" w14:paraId="11B76851" w14:textId="77777777">
      <w:pPr>
        <w:pStyle w:val="CommentSubject"/>
        <w:rPr>
          <w:color w:val="000000" w:themeColor="text1"/>
        </w:rPr>
      </w:pPr>
    </w:p>
    <w:p w:rsidR="00AE5E31" w:rsidP="00AE5E31" w14:paraId="1B088E9D" w14:textId="77777777">
      <w:pPr>
        <w:tabs>
          <w:tab w:val="left" w:pos="4320"/>
        </w:tabs>
        <w:rPr>
          <w:rFonts w:ascii="Times New Roman" w:hAnsi="Times New Roman" w:cs="Times New Roman"/>
          <w:color w:val="000000" w:themeColor="text1"/>
        </w:rPr>
      </w:pPr>
      <w:r w:rsidRPr="003D2B76">
        <w:rPr>
          <w:rFonts w:ascii="Times New Roman" w:hAnsi="Times New Roman" w:cs="Times New Roman"/>
          <w:color w:val="000000" w:themeColor="text1"/>
        </w:rPr>
        <w:t>The PUCO’s e-filing system will electronically serve notice of the filing of this document on the following parties</w:t>
      </w:r>
      <w:r>
        <w:rPr>
          <w:rFonts w:ascii="Times New Roman" w:hAnsi="Times New Roman" w:cs="Times New Roman"/>
          <w:color w:val="000000" w:themeColor="text1"/>
        </w:rPr>
        <w:t>:</w:t>
      </w:r>
    </w:p>
    <w:p w:rsidR="00AE5E31" w:rsidRPr="00680FF4" w:rsidP="00AE5E31" w14:paraId="3253E4BE" w14:textId="77777777">
      <w:pPr>
        <w:tabs>
          <w:tab w:val="left" w:pos="4320"/>
        </w:tabs>
        <w:rPr>
          <w:rFonts w:ascii="Times New Roman" w:hAnsi="Times New Roman" w:cs="Times New Roman"/>
          <w:color w:val="000000" w:themeColor="text1"/>
        </w:rPr>
      </w:pPr>
    </w:p>
    <w:p w:rsidR="00AE5E31" w:rsidRPr="00680FF4" w:rsidP="00AE5E31" w14:paraId="577B2058" w14:textId="77777777">
      <w:pPr>
        <w:pStyle w:val="CommentText"/>
        <w:jc w:val="center"/>
        <w:rPr>
          <w:b/>
          <w:color w:val="000000" w:themeColor="text1"/>
          <w:u w:val="single"/>
        </w:rPr>
      </w:pPr>
      <w:r w:rsidRPr="00680FF4">
        <w:rPr>
          <w:b/>
          <w:color w:val="000000" w:themeColor="text1"/>
          <w:u w:val="single"/>
        </w:rPr>
        <w:t>SERVICE LIST</w:t>
      </w:r>
    </w:p>
    <w:p w:rsidR="00AE5E31" w:rsidRPr="00680FF4" w:rsidP="00AE5E31" w14:paraId="2994A936" w14:textId="77777777">
      <w:pPr>
        <w:pStyle w:val="BodyText"/>
        <w:rPr>
          <w:rFonts w:ascii="Times New Roman" w:hAnsi="Times New Roman" w:cs="Times New Roman"/>
          <w:b/>
          <w:bCs/>
          <w:color w:val="000000" w:themeColor="text1"/>
        </w:rPr>
      </w:pPr>
    </w:p>
    <w:tbl>
      <w:tblPr>
        <w:tblW w:w="0" w:type="auto"/>
        <w:tblLook w:val="01E0"/>
      </w:tblPr>
      <w:tblGrid>
        <w:gridCol w:w="4282"/>
        <w:gridCol w:w="4358"/>
      </w:tblGrid>
      <w:tr w14:paraId="1A19A5B1" w14:textId="77777777" w:rsidTr="009D232D">
        <w:tblPrEx>
          <w:tblW w:w="0" w:type="auto"/>
          <w:tblLook w:val="01E0"/>
        </w:tblPrEx>
        <w:tc>
          <w:tcPr>
            <w:tcW w:w="4428" w:type="dxa"/>
            <w:shd w:val="clear" w:color="auto" w:fill="auto"/>
          </w:tcPr>
          <w:p w:rsidR="00AE5E31" w:rsidRPr="00B12D0B" w:rsidP="009D232D" w14:paraId="472C3CE8" w14:textId="77777777">
            <w:pPr>
              <w:autoSpaceDE w:val="0"/>
              <w:autoSpaceDN w:val="0"/>
              <w:adjustRightInd w:val="0"/>
              <w:rPr>
                <w:rFonts w:ascii="Times New Roman" w:eastAsia="Times New Roman" w:hAnsi="Times New Roman" w:cs="Times New Roman"/>
                <w:bCs/>
                <w:szCs w:val="20"/>
              </w:rPr>
            </w:pPr>
            <w:hyperlink r:id="rId8" w:history="1">
              <w:r w:rsidRPr="00DA0C24">
                <w:rPr>
                  <w:rStyle w:val="Hyperlink"/>
                  <w:rFonts w:ascii="Times New Roman" w:eastAsia="Times New Roman" w:hAnsi="Times New Roman" w:cs="Times New Roman"/>
                  <w:bCs/>
                  <w:szCs w:val="20"/>
                </w:rPr>
                <w:t>j</w:t>
              </w:r>
              <w:r w:rsidRPr="00B12D0B">
                <w:rPr>
                  <w:rStyle w:val="Hyperlink"/>
                  <w:rFonts w:ascii="Times New Roman" w:eastAsia="Times New Roman" w:hAnsi="Times New Roman" w:cs="Times New Roman"/>
                  <w:bCs/>
                  <w:szCs w:val="20"/>
                </w:rPr>
                <w:t>ohn.jones@ohioAGO.gov</w:t>
              </w:r>
            </w:hyperlink>
          </w:p>
          <w:p w:rsidR="00AE5E31" w:rsidRPr="00B12D0B" w:rsidP="009D232D" w14:paraId="07296448" w14:textId="77777777">
            <w:pPr>
              <w:autoSpaceDE w:val="0"/>
              <w:autoSpaceDN w:val="0"/>
              <w:adjustRightInd w:val="0"/>
              <w:rPr>
                <w:rFonts w:ascii="Times New Roman" w:eastAsia="Times New Roman" w:hAnsi="Times New Roman" w:cs="Times New Roman"/>
                <w:bCs/>
                <w:szCs w:val="20"/>
              </w:rPr>
            </w:pPr>
          </w:p>
          <w:p w:rsidR="00AE5E31" w:rsidRPr="00B12D0B" w:rsidP="009D232D" w14:paraId="59F8C305" w14:textId="77777777">
            <w:pPr>
              <w:autoSpaceDE w:val="0"/>
              <w:autoSpaceDN w:val="0"/>
              <w:adjustRightInd w:val="0"/>
              <w:rPr>
                <w:rFonts w:ascii="Times New Roman" w:eastAsia="Times New Roman" w:hAnsi="Times New Roman" w:cs="Times New Roman"/>
                <w:bCs/>
                <w:szCs w:val="20"/>
              </w:rPr>
            </w:pPr>
            <w:r w:rsidRPr="00B12D0B">
              <w:rPr>
                <w:rFonts w:ascii="Times New Roman" w:eastAsia="Times New Roman" w:hAnsi="Times New Roman" w:cs="Times New Roman"/>
                <w:bCs/>
                <w:szCs w:val="20"/>
              </w:rPr>
              <w:t>Attorney Examiner:</w:t>
            </w:r>
          </w:p>
          <w:p w:rsidR="00AE5E31" w:rsidRPr="00B12D0B" w:rsidP="009D232D" w14:paraId="375E7EBE" w14:textId="77777777">
            <w:pPr>
              <w:autoSpaceDE w:val="0"/>
              <w:autoSpaceDN w:val="0"/>
              <w:adjustRightInd w:val="0"/>
              <w:rPr>
                <w:rFonts w:ascii="Times New Roman" w:eastAsia="Times New Roman" w:hAnsi="Times New Roman" w:cs="Times New Roman"/>
                <w:bCs/>
                <w:szCs w:val="20"/>
              </w:rPr>
            </w:pPr>
            <w:hyperlink r:id="rId9" w:history="1">
              <w:r w:rsidRPr="00DA0C24">
                <w:rPr>
                  <w:rStyle w:val="Hyperlink"/>
                  <w:rFonts w:ascii="Times New Roman" w:eastAsia="Times New Roman" w:hAnsi="Times New Roman" w:cs="Times New Roman"/>
                  <w:bCs/>
                  <w:szCs w:val="20"/>
                </w:rPr>
                <w:t>s</w:t>
              </w:r>
              <w:r w:rsidRPr="00B12D0B">
                <w:rPr>
                  <w:rStyle w:val="Hyperlink"/>
                  <w:rFonts w:ascii="Times New Roman" w:eastAsia="Times New Roman" w:hAnsi="Times New Roman" w:cs="Times New Roman"/>
                  <w:bCs/>
                  <w:szCs w:val="20"/>
                </w:rPr>
                <w:t>arah.parrot@puco.ohio.gov</w:t>
              </w:r>
            </w:hyperlink>
          </w:p>
          <w:p w:rsidR="00AE5E31" w:rsidRPr="00B12D0B" w:rsidP="009D232D" w14:paraId="3F311664" w14:textId="77777777">
            <w:pPr>
              <w:autoSpaceDE w:val="0"/>
              <w:autoSpaceDN w:val="0"/>
              <w:adjustRightInd w:val="0"/>
              <w:rPr>
                <w:rFonts w:ascii="Times New Roman" w:eastAsia="Times New Roman" w:hAnsi="Times New Roman" w:cs="Times New Roman"/>
                <w:bCs/>
                <w:szCs w:val="20"/>
              </w:rPr>
            </w:pPr>
          </w:p>
          <w:p w:rsidR="00AE5E31" w:rsidRPr="00B12D0B" w:rsidP="009D232D" w14:paraId="5934CC39" w14:textId="77777777">
            <w:pPr>
              <w:autoSpaceDE w:val="0"/>
              <w:autoSpaceDN w:val="0"/>
              <w:adjustRightInd w:val="0"/>
              <w:rPr>
                <w:rFonts w:ascii="Times New Roman" w:eastAsia="Times New Roman" w:hAnsi="Times New Roman" w:cs="Times New Roman"/>
                <w:bCs/>
                <w:szCs w:val="20"/>
              </w:rPr>
            </w:pPr>
          </w:p>
        </w:tc>
        <w:tc>
          <w:tcPr>
            <w:tcW w:w="4428" w:type="dxa"/>
            <w:shd w:val="clear" w:color="auto" w:fill="auto"/>
          </w:tcPr>
          <w:p w:rsidR="00AE5E31" w:rsidP="009D232D" w14:paraId="598B9500" w14:textId="77777777">
            <w:pPr>
              <w:autoSpaceDE w:val="0"/>
              <w:autoSpaceDN w:val="0"/>
              <w:adjustRightInd w:val="0"/>
              <w:rPr>
                <w:rFonts w:ascii="Times New Roman" w:eastAsia="Times New Roman" w:hAnsi="Times New Roman" w:cs="Times New Roman"/>
                <w:bCs/>
                <w:color w:val="0000FF"/>
                <w:szCs w:val="20"/>
                <w:u w:val="single"/>
              </w:rPr>
            </w:pPr>
            <w:hyperlink r:id="rId10" w:history="1">
              <w:r w:rsidRPr="00DA0C24">
                <w:rPr>
                  <w:rStyle w:val="Hyperlink"/>
                  <w:rFonts w:ascii="Times New Roman" w:eastAsia="Times New Roman" w:hAnsi="Times New Roman" w:cs="Times New Roman"/>
                  <w:bCs/>
                  <w:szCs w:val="20"/>
                </w:rPr>
                <w:t>btrombino@greenchoiceenergy.com</w:t>
              </w:r>
            </w:hyperlink>
          </w:p>
          <w:p w:rsidR="00AE5E31" w:rsidRPr="00B12D0B" w:rsidP="009D232D" w14:paraId="5AE00939" w14:textId="77777777">
            <w:pPr>
              <w:autoSpaceDE w:val="0"/>
              <w:autoSpaceDN w:val="0"/>
              <w:adjustRightInd w:val="0"/>
              <w:rPr>
                <w:rFonts w:ascii="Times New Roman" w:eastAsia="Times New Roman" w:hAnsi="Times New Roman" w:cs="Times New Roman"/>
                <w:bCs/>
                <w:szCs w:val="20"/>
              </w:rPr>
            </w:pPr>
            <w:hyperlink r:id="rId11" w:history="1">
              <w:r w:rsidRPr="00B12D0B">
                <w:rPr>
                  <w:rStyle w:val="Hyperlink"/>
                  <w:rFonts w:ascii="Times New Roman" w:eastAsia="Times New Roman" w:hAnsi="Times New Roman" w:cs="Times New Roman"/>
                  <w:bCs/>
                  <w:szCs w:val="20"/>
                </w:rPr>
                <w:t>whitt@whitt-sturtevant.com</w:t>
              </w:r>
            </w:hyperlink>
          </w:p>
          <w:p w:rsidR="00AE5E31" w:rsidRPr="00B12D0B" w:rsidP="009D232D" w14:paraId="5FCEC2F2" w14:textId="77777777">
            <w:pPr>
              <w:autoSpaceDE w:val="0"/>
              <w:autoSpaceDN w:val="0"/>
              <w:adjustRightInd w:val="0"/>
              <w:rPr>
                <w:rFonts w:ascii="Times New Roman" w:eastAsia="Times New Roman" w:hAnsi="Times New Roman" w:cs="Times New Roman"/>
                <w:bCs/>
                <w:szCs w:val="20"/>
              </w:rPr>
            </w:pPr>
          </w:p>
        </w:tc>
      </w:tr>
    </w:tbl>
    <w:p w:rsidR="00AE5E31" w:rsidRPr="00680FF4" w:rsidP="00AE5E31" w14:paraId="64F640BB" w14:textId="77777777">
      <w:pPr>
        <w:rPr>
          <w:rFonts w:ascii="Times New Roman" w:hAnsi="Times New Roman" w:cs="Times New Roman"/>
        </w:rPr>
      </w:pPr>
    </w:p>
    <w:p w:rsidR="001F2DAA" w:rsidP="001F2DAA" w14:paraId="6B09A8E5" w14:textId="77777777"/>
    <w:sectPr w:rsidSect="009B38EE">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0361582"/>
      <w:docPartObj>
        <w:docPartGallery w:val="Page Numbers (Bottom of Page)"/>
        <w:docPartUnique/>
      </w:docPartObj>
    </w:sdtPr>
    <w:sdtEndPr>
      <w:rPr>
        <w:noProof/>
        <w:sz w:val="24"/>
        <w:szCs w:val="24"/>
      </w:rPr>
    </w:sdtEndPr>
    <w:sdtContent>
      <w:p w:rsidR="009B38EE" w:rsidRPr="009B38EE" w14:paraId="14B918D8" w14:textId="0A863426">
        <w:pPr>
          <w:pStyle w:val="Footer"/>
          <w:jc w:val="center"/>
          <w:rPr>
            <w:sz w:val="24"/>
            <w:szCs w:val="24"/>
          </w:rPr>
        </w:pPr>
        <w:r w:rsidRPr="009B38EE">
          <w:rPr>
            <w:sz w:val="24"/>
            <w:szCs w:val="24"/>
          </w:rPr>
          <w:fldChar w:fldCharType="begin"/>
        </w:r>
        <w:r w:rsidRPr="009B38EE">
          <w:rPr>
            <w:sz w:val="24"/>
            <w:szCs w:val="24"/>
          </w:rPr>
          <w:instrText xml:space="preserve"> PAGE   \* MERGEFORMAT </w:instrText>
        </w:r>
        <w:r w:rsidRPr="009B38EE">
          <w:rPr>
            <w:sz w:val="24"/>
            <w:szCs w:val="24"/>
          </w:rPr>
          <w:fldChar w:fldCharType="separate"/>
        </w:r>
        <w:r w:rsidRPr="009B38EE">
          <w:rPr>
            <w:noProof/>
            <w:sz w:val="24"/>
            <w:szCs w:val="24"/>
          </w:rPr>
          <w:t>2</w:t>
        </w:r>
        <w:r w:rsidRPr="009B38E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6845" w:rsidP="002747B5" w14:paraId="6C313B1B" w14:textId="77777777">
      <w:r>
        <w:separator/>
      </w:r>
    </w:p>
  </w:footnote>
  <w:footnote w:type="continuationSeparator" w:id="1">
    <w:p w:rsidR="004C6845" w:rsidP="002747B5" w14:paraId="465169E0" w14:textId="77777777">
      <w:r>
        <w:continuationSeparator/>
      </w:r>
    </w:p>
  </w:footnote>
  <w:footnote w:id="2">
    <w:p w:rsidR="004F147E" w:rsidRPr="009B38EE" w:rsidP="009B38EE" w14:paraId="66C13406" w14:textId="2BD3C900">
      <w:pPr>
        <w:pStyle w:val="NormalWeb"/>
        <w:spacing w:before="0" w:beforeAutospacing="0" w:after="120" w:afterAutospacing="0"/>
        <w:rPr>
          <w:sz w:val="20"/>
          <w:szCs w:val="20"/>
        </w:rPr>
      </w:pPr>
      <w:r w:rsidRPr="009B38EE">
        <w:rPr>
          <w:rStyle w:val="FootnoteReference"/>
          <w:sz w:val="20"/>
          <w:szCs w:val="20"/>
        </w:rPr>
        <w:footnoteRef/>
      </w:r>
      <w:r w:rsidRPr="009B38EE">
        <w:rPr>
          <w:sz w:val="20"/>
          <w:szCs w:val="20"/>
        </w:rPr>
        <w:t xml:space="preserve"> </w:t>
      </w:r>
      <w:r w:rsidRPr="009B38EE">
        <w:rPr>
          <w:i/>
          <w:iCs/>
          <w:sz w:val="20"/>
          <w:szCs w:val="20"/>
        </w:rPr>
        <w:t>I</w:t>
      </w:r>
      <w:r w:rsidRPr="009B38EE">
        <w:rPr>
          <w:i/>
          <w:iCs/>
          <w:color w:val="212121"/>
          <w:sz w:val="20"/>
          <w:szCs w:val="20"/>
        </w:rPr>
        <w:t>n the Matter of the Application of Energy, Inc dba Green Choice Energy</w:t>
      </w:r>
      <w:r w:rsidRPr="009B38EE">
        <w:rPr>
          <w:sz w:val="20"/>
          <w:szCs w:val="20"/>
        </w:rPr>
        <w:t xml:space="preserve">, Case No. 22-0441, PUCO Staff Letter (April 18, 2022) at 2. </w:t>
      </w:r>
    </w:p>
  </w:footnote>
  <w:footnote w:id="3">
    <w:p w:rsidR="00FF7DB4" w:rsidRPr="009B38EE" w:rsidP="009B38EE" w14:paraId="153F80FC" w14:textId="09E39EFA">
      <w:pPr>
        <w:pStyle w:val="FootnoteText"/>
        <w:spacing w:after="120"/>
      </w:pPr>
      <w:r w:rsidRPr="009B38EE">
        <w:rPr>
          <w:rStyle w:val="FootnoteReference"/>
        </w:rPr>
        <w:footnoteRef/>
      </w:r>
      <w:r w:rsidRPr="009B38EE">
        <w:t xml:space="preserve"> </w:t>
      </w:r>
      <w:r w:rsidRPr="009B38EE" w:rsidR="00E95FB2">
        <w:rPr>
          <w:i/>
          <w:iCs/>
        </w:rPr>
        <w:t>I</w:t>
      </w:r>
      <w:r w:rsidRPr="009B38EE" w:rsidR="00E95FB2">
        <w:rPr>
          <w:i/>
          <w:iCs/>
          <w:color w:val="212121"/>
        </w:rPr>
        <w:t>n the Matter of the Application of Energy, Inc dba Green Choice Energy</w:t>
      </w:r>
      <w:r w:rsidRPr="009B38EE" w:rsidR="00E95FB2">
        <w:t>, Case No. 22-0441, PUCO Staff Report (</w:t>
      </w:r>
      <w:r w:rsidRPr="009B38EE" w:rsidR="003B3579">
        <w:t>June 10</w:t>
      </w:r>
      <w:r w:rsidRPr="009B38EE" w:rsidR="00E95FB2">
        <w:t>, 2022) at</w:t>
      </w:r>
      <w:r w:rsidRPr="009B38EE" w:rsidR="003B3579">
        <w:t xml:space="preserve"> </w:t>
      </w:r>
      <w:r w:rsidRPr="009B38EE" w:rsidR="000C43F1">
        <w:t>13.</w:t>
      </w:r>
    </w:p>
  </w:footnote>
  <w:footnote w:id="4">
    <w:p w:rsidR="00FF7DB4" w:rsidRPr="009B38EE" w:rsidP="009B38EE" w14:paraId="2BCCCDF0" w14:textId="1B51A068">
      <w:pPr>
        <w:pStyle w:val="FootnoteText"/>
        <w:spacing w:after="120"/>
        <w:rPr>
          <w:i/>
          <w:iCs/>
        </w:rPr>
      </w:pPr>
      <w:r w:rsidRPr="009B38EE">
        <w:rPr>
          <w:rStyle w:val="FootnoteReference"/>
        </w:rPr>
        <w:footnoteRef/>
      </w:r>
      <w:r w:rsidRPr="009B38EE">
        <w:t xml:space="preserve"> </w:t>
      </w:r>
      <w:r w:rsidRPr="009B38EE" w:rsidR="000C43F1">
        <w:rPr>
          <w:i/>
          <w:iCs/>
        </w:rPr>
        <w:t xml:space="preserve">Id. </w:t>
      </w:r>
    </w:p>
  </w:footnote>
  <w:footnote w:id="5">
    <w:p w:rsidR="00D8553E" w:rsidRPr="009B38EE" w:rsidP="009B38EE" w14:paraId="1835F58F" w14:textId="6A1DAA97">
      <w:pPr>
        <w:pStyle w:val="FootnoteText"/>
        <w:spacing w:after="120"/>
      </w:pPr>
      <w:r w:rsidRPr="009B38EE">
        <w:rPr>
          <w:rStyle w:val="FootnoteReference"/>
        </w:rPr>
        <w:footnoteRef/>
      </w:r>
      <w:r w:rsidRPr="009B38EE">
        <w:t xml:space="preserve"> O.A.C. 4901-1-19(A), O.A.C. 4901-1-20(C). </w:t>
      </w:r>
    </w:p>
  </w:footnote>
  <w:footnote w:id="6">
    <w:p w:rsidR="000F41C2" w:rsidRPr="009B38EE" w:rsidP="009B38EE" w14:paraId="12ABA26F" w14:textId="591D1894">
      <w:pPr>
        <w:pStyle w:val="FootnoteText"/>
        <w:spacing w:after="120"/>
      </w:pPr>
      <w:r w:rsidRPr="009B38EE">
        <w:rPr>
          <w:rStyle w:val="FootnoteReference"/>
        </w:rPr>
        <w:footnoteRef/>
      </w:r>
      <w:r w:rsidRPr="009B38EE">
        <w:t xml:space="preserve"> </w:t>
      </w:r>
      <w:r w:rsidRPr="009B38EE" w:rsidR="009C3124">
        <w:t xml:space="preserve">Green Choice’s Memorandum Contra OCC’s Motion to Compel (“Memo. Contra”) at 5. </w:t>
      </w:r>
    </w:p>
  </w:footnote>
  <w:footnote w:id="7">
    <w:p w:rsidR="009D7CF8" w:rsidRPr="009B38EE" w:rsidP="009B38EE" w14:paraId="01BF7E3B" w14:textId="639393A5">
      <w:pPr>
        <w:pStyle w:val="FootnoteText"/>
        <w:spacing w:after="120"/>
      </w:pPr>
      <w:r w:rsidRPr="009B38EE">
        <w:rPr>
          <w:rStyle w:val="FootnoteReference"/>
        </w:rPr>
        <w:footnoteRef/>
      </w:r>
      <w:r w:rsidRPr="009B38EE">
        <w:t xml:space="preserve"> </w:t>
      </w:r>
      <w:r w:rsidRPr="009B38EE" w:rsidR="009C3124">
        <w:t xml:space="preserve">O.A.C. 4901-16(A). </w:t>
      </w:r>
    </w:p>
  </w:footnote>
  <w:footnote w:id="8">
    <w:p w:rsidR="000547D9" w:rsidRPr="009B38EE" w:rsidP="009B38EE" w14:paraId="27F2DEBD" w14:textId="038F6EBC">
      <w:pPr>
        <w:pStyle w:val="FootnoteText"/>
        <w:spacing w:after="120"/>
      </w:pPr>
      <w:r w:rsidRPr="009B38EE">
        <w:rPr>
          <w:rStyle w:val="FootnoteReference"/>
        </w:rPr>
        <w:footnoteRef/>
      </w:r>
      <w:r w:rsidRPr="009B38EE">
        <w:t xml:space="preserve"> </w:t>
      </w:r>
      <w:r w:rsidRPr="009B38EE" w:rsidR="009C3124">
        <w:t xml:space="preserve">Memo. Contra at </w:t>
      </w:r>
      <w:r w:rsidRPr="009B38EE" w:rsidR="00A84745">
        <w:t>5-</w:t>
      </w:r>
      <w:r w:rsidRPr="009B38EE" w:rsidR="009C3124">
        <w:t xml:space="preserve">6. </w:t>
      </w:r>
    </w:p>
  </w:footnote>
  <w:footnote w:id="9">
    <w:p w:rsidR="00241DB9" w:rsidRPr="009B38EE" w:rsidP="009B38EE" w14:paraId="1D271DC3" w14:textId="6F0C3784">
      <w:pPr>
        <w:pStyle w:val="FootnoteText"/>
        <w:spacing w:after="120"/>
      </w:pPr>
      <w:r w:rsidRPr="009B38EE">
        <w:rPr>
          <w:rStyle w:val="FootnoteReference"/>
        </w:rPr>
        <w:footnoteRef/>
      </w:r>
      <w:r w:rsidRPr="009B38EE">
        <w:t xml:space="preserve"> </w:t>
      </w:r>
      <w:r w:rsidRPr="009B38EE" w:rsidR="009C3124">
        <w:rPr>
          <w:i/>
          <w:iCs/>
        </w:rPr>
        <w:t>Id</w:t>
      </w:r>
      <w:r w:rsidRPr="009B38EE" w:rsidR="00A84745">
        <w:rPr>
          <w:i/>
          <w:iCs/>
        </w:rPr>
        <w:t xml:space="preserve"> </w:t>
      </w:r>
      <w:r w:rsidRPr="009B38EE" w:rsidR="00A84745">
        <w:t xml:space="preserve">at 6. </w:t>
      </w:r>
    </w:p>
  </w:footnote>
  <w:footnote w:id="10">
    <w:p w:rsidR="0008541C" w:rsidRPr="009B38EE" w:rsidP="009B38EE" w14:paraId="1671F874" w14:textId="67DF8ACB">
      <w:pPr>
        <w:pStyle w:val="FootnoteText"/>
        <w:spacing w:after="120"/>
        <w:rPr>
          <w:i/>
          <w:iCs/>
        </w:rPr>
      </w:pPr>
      <w:r w:rsidRPr="009B38EE">
        <w:rPr>
          <w:rStyle w:val="FootnoteReference"/>
        </w:rPr>
        <w:footnoteRef/>
      </w:r>
      <w:r w:rsidRPr="009B38EE">
        <w:t xml:space="preserve"> </w:t>
      </w:r>
      <w:r w:rsidRPr="009B38EE" w:rsidR="009C3124">
        <w:rPr>
          <w:i/>
          <w:iCs/>
        </w:rPr>
        <w:t xml:space="preserve">Id. </w:t>
      </w:r>
    </w:p>
  </w:footnote>
  <w:footnote w:id="11">
    <w:p w:rsidR="001A0931" w:rsidRPr="009B38EE" w:rsidP="009B38EE" w14:paraId="2BA152F9" w14:textId="5DD17D5D">
      <w:pPr>
        <w:pStyle w:val="FootnoteText"/>
        <w:spacing w:after="120"/>
      </w:pPr>
      <w:r w:rsidRPr="009B38EE">
        <w:rPr>
          <w:rStyle w:val="FootnoteReference"/>
        </w:rPr>
        <w:footnoteRef/>
      </w:r>
      <w:r w:rsidRPr="009B38EE">
        <w:t xml:space="preserve"> </w:t>
      </w:r>
      <w:r w:rsidRPr="009B38EE" w:rsidR="009C3124">
        <w:rPr>
          <w:i/>
          <w:iCs/>
        </w:rPr>
        <w:t xml:space="preserve">Id </w:t>
      </w:r>
      <w:r w:rsidRPr="009B38EE" w:rsidR="009C3124">
        <w:t xml:space="preserve">at 5. </w:t>
      </w:r>
    </w:p>
  </w:footnote>
  <w:footnote w:id="12">
    <w:p w:rsidR="00887683" w:rsidRPr="009B38EE" w:rsidP="008A70A7" w14:paraId="3181C01C" w14:textId="044031CE">
      <w:pPr>
        <w:pStyle w:val="NormalWeb"/>
        <w:spacing w:before="0" w:beforeAutospacing="0" w:after="120" w:afterAutospacing="0"/>
        <w:textAlignment w:val="baseline"/>
        <w:rPr>
          <w:sz w:val="20"/>
          <w:szCs w:val="20"/>
        </w:rPr>
      </w:pPr>
      <w:r w:rsidRPr="009B38EE">
        <w:rPr>
          <w:rStyle w:val="FootnoteReference"/>
          <w:color w:val="000000" w:themeColor="text1"/>
          <w:sz w:val="20"/>
          <w:szCs w:val="20"/>
        </w:rPr>
        <w:footnoteRef/>
      </w:r>
      <w:r w:rsidRPr="009B38EE">
        <w:rPr>
          <w:color w:val="000000" w:themeColor="text1"/>
          <w:sz w:val="20"/>
          <w:szCs w:val="20"/>
        </w:rPr>
        <w:t xml:space="preserve"> </w:t>
      </w:r>
      <w:r w:rsidRPr="008A70A7" w:rsidR="00D5218C">
        <w:rPr>
          <w:i/>
          <w:iCs/>
          <w:color w:val="000000" w:themeColor="text1"/>
          <w:sz w:val="20"/>
          <w:szCs w:val="20"/>
          <w:bdr w:val="none" w:sz="0" w:space="0" w:color="auto" w:frame="1"/>
        </w:rPr>
        <w:t>In re Suvon, L.L.C.</w:t>
      </w:r>
      <w:r w:rsidRPr="008A70A7" w:rsidR="00D5218C">
        <w:rPr>
          <w:color w:val="000000" w:themeColor="text1"/>
          <w:sz w:val="20"/>
          <w:szCs w:val="20"/>
          <w:bdr w:val="none" w:sz="0" w:space="0" w:color="auto" w:frame="1"/>
        </w:rPr>
        <w:t xml:space="preserve">, 166 Ohio St.3d 519, 2021-Ohio-3630, 188 N.E.3d 140, </w:t>
      </w:r>
      <w:r w:rsidRPr="008A70A7" w:rsidR="00D5218C">
        <w:rPr>
          <w:rFonts w:hint="eastAsia"/>
          <w:color w:val="000000" w:themeColor="text1"/>
          <w:sz w:val="20"/>
          <w:szCs w:val="20"/>
          <w:bdr w:val="none" w:sz="0" w:space="0" w:color="auto" w:frame="1"/>
        </w:rPr>
        <w:t>¶</w:t>
      </w:r>
      <w:r w:rsidRPr="008A70A7" w:rsidR="00D5218C">
        <w:rPr>
          <w:color w:val="000000" w:themeColor="text1"/>
          <w:sz w:val="20"/>
          <w:szCs w:val="20"/>
          <w:bdr w:val="none" w:sz="0" w:space="0" w:color="auto" w:frame="1"/>
        </w:rPr>
        <w:t xml:space="preserve">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3595C"/>
    <w:multiLevelType w:val="hybridMultilevel"/>
    <w:tmpl w:val="5CDCBF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6D2609A"/>
    <w:multiLevelType w:val="hybridMultilevel"/>
    <w:tmpl w:val="B75A70B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97C165C"/>
    <w:multiLevelType w:val="hybridMultilevel"/>
    <w:tmpl w:val="A9862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752F6D24"/>
    <w:multiLevelType w:val="hybridMultilevel"/>
    <w:tmpl w:val="837A574E"/>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A1"/>
    <w:rsid w:val="000100B0"/>
    <w:rsid w:val="00022B03"/>
    <w:rsid w:val="00024943"/>
    <w:rsid w:val="00037301"/>
    <w:rsid w:val="000547D9"/>
    <w:rsid w:val="00054E96"/>
    <w:rsid w:val="0005727D"/>
    <w:rsid w:val="000660A7"/>
    <w:rsid w:val="00066CE3"/>
    <w:rsid w:val="00081586"/>
    <w:rsid w:val="0008209C"/>
    <w:rsid w:val="0008541C"/>
    <w:rsid w:val="000A0A9B"/>
    <w:rsid w:val="000A53E7"/>
    <w:rsid w:val="000B1CB4"/>
    <w:rsid w:val="000B2A9D"/>
    <w:rsid w:val="000C43F1"/>
    <w:rsid w:val="000C504E"/>
    <w:rsid w:val="000F0580"/>
    <w:rsid w:val="000F31E9"/>
    <w:rsid w:val="000F41C2"/>
    <w:rsid w:val="00100B4A"/>
    <w:rsid w:val="001248EB"/>
    <w:rsid w:val="00135947"/>
    <w:rsid w:val="0014195A"/>
    <w:rsid w:val="00147E5E"/>
    <w:rsid w:val="00155B9D"/>
    <w:rsid w:val="00177EA1"/>
    <w:rsid w:val="0018671B"/>
    <w:rsid w:val="001A0931"/>
    <w:rsid w:val="001A136A"/>
    <w:rsid w:val="001A56C3"/>
    <w:rsid w:val="001E3A58"/>
    <w:rsid w:val="001F2DAA"/>
    <w:rsid w:val="001F2F7C"/>
    <w:rsid w:val="00206F5F"/>
    <w:rsid w:val="00236999"/>
    <w:rsid w:val="00236EFC"/>
    <w:rsid w:val="002401C2"/>
    <w:rsid w:val="00241DB9"/>
    <w:rsid w:val="00261037"/>
    <w:rsid w:val="0026108C"/>
    <w:rsid w:val="002747B5"/>
    <w:rsid w:val="00277057"/>
    <w:rsid w:val="0028219A"/>
    <w:rsid w:val="00286826"/>
    <w:rsid w:val="00293FA1"/>
    <w:rsid w:val="002B7EAF"/>
    <w:rsid w:val="002C0E74"/>
    <w:rsid w:val="002D1411"/>
    <w:rsid w:val="002E6213"/>
    <w:rsid w:val="002E770A"/>
    <w:rsid w:val="002F3552"/>
    <w:rsid w:val="002F57A5"/>
    <w:rsid w:val="002F5C95"/>
    <w:rsid w:val="0030369F"/>
    <w:rsid w:val="00311351"/>
    <w:rsid w:val="00326B12"/>
    <w:rsid w:val="00337CB7"/>
    <w:rsid w:val="003415A1"/>
    <w:rsid w:val="00370BDB"/>
    <w:rsid w:val="0039036D"/>
    <w:rsid w:val="003B32D8"/>
    <w:rsid w:val="003B3579"/>
    <w:rsid w:val="003C117A"/>
    <w:rsid w:val="003D2B76"/>
    <w:rsid w:val="003D5409"/>
    <w:rsid w:val="003E1B3C"/>
    <w:rsid w:val="003F1006"/>
    <w:rsid w:val="003F7E0B"/>
    <w:rsid w:val="0040431E"/>
    <w:rsid w:val="00426E5E"/>
    <w:rsid w:val="00436A17"/>
    <w:rsid w:val="00450816"/>
    <w:rsid w:val="00450987"/>
    <w:rsid w:val="00450D03"/>
    <w:rsid w:val="004636FF"/>
    <w:rsid w:val="00467DE8"/>
    <w:rsid w:val="004823AE"/>
    <w:rsid w:val="004844F5"/>
    <w:rsid w:val="004C6845"/>
    <w:rsid w:val="004D68ED"/>
    <w:rsid w:val="004F147E"/>
    <w:rsid w:val="005133F5"/>
    <w:rsid w:val="00522A54"/>
    <w:rsid w:val="00536346"/>
    <w:rsid w:val="00536C84"/>
    <w:rsid w:val="00541B41"/>
    <w:rsid w:val="005430CB"/>
    <w:rsid w:val="005518FC"/>
    <w:rsid w:val="005572FA"/>
    <w:rsid w:val="00571CE1"/>
    <w:rsid w:val="00580427"/>
    <w:rsid w:val="00585193"/>
    <w:rsid w:val="0059550F"/>
    <w:rsid w:val="00597F8D"/>
    <w:rsid w:val="005A11FE"/>
    <w:rsid w:val="005C1843"/>
    <w:rsid w:val="005C5318"/>
    <w:rsid w:val="005D70B6"/>
    <w:rsid w:val="005E065E"/>
    <w:rsid w:val="005F2780"/>
    <w:rsid w:val="00602D55"/>
    <w:rsid w:val="0060472E"/>
    <w:rsid w:val="00610B6A"/>
    <w:rsid w:val="00613762"/>
    <w:rsid w:val="00664C80"/>
    <w:rsid w:val="00675B3B"/>
    <w:rsid w:val="00680FF4"/>
    <w:rsid w:val="006A337F"/>
    <w:rsid w:val="006A4D65"/>
    <w:rsid w:val="006A738B"/>
    <w:rsid w:val="006B34E5"/>
    <w:rsid w:val="006C3FCE"/>
    <w:rsid w:val="006D09EB"/>
    <w:rsid w:val="006D1BB1"/>
    <w:rsid w:val="006E53A8"/>
    <w:rsid w:val="006F34A2"/>
    <w:rsid w:val="0070632A"/>
    <w:rsid w:val="00722E73"/>
    <w:rsid w:val="007322D5"/>
    <w:rsid w:val="00740400"/>
    <w:rsid w:val="0074597E"/>
    <w:rsid w:val="007474FF"/>
    <w:rsid w:val="00776726"/>
    <w:rsid w:val="00791195"/>
    <w:rsid w:val="007B455D"/>
    <w:rsid w:val="007C3A7C"/>
    <w:rsid w:val="007D2F51"/>
    <w:rsid w:val="0080358D"/>
    <w:rsid w:val="0080785F"/>
    <w:rsid w:val="0081284D"/>
    <w:rsid w:val="00832261"/>
    <w:rsid w:val="00861906"/>
    <w:rsid w:val="008624A3"/>
    <w:rsid w:val="00864AAE"/>
    <w:rsid w:val="0087550F"/>
    <w:rsid w:val="00887683"/>
    <w:rsid w:val="008A70A7"/>
    <w:rsid w:val="008D3D28"/>
    <w:rsid w:val="008D7E6D"/>
    <w:rsid w:val="008E1C71"/>
    <w:rsid w:val="00903E82"/>
    <w:rsid w:val="0091042E"/>
    <w:rsid w:val="0091452F"/>
    <w:rsid w:val="00923E0B"/>
    <w:rsid w:val="00947B1E"/>
    <w:rsid w:val="00964208"/>
    <w:rsid w:val="00985353"/>
    <w:rsid w:val="00986767"/>
    <w:rsid w:val="00992BE3"/>
    <w:rsid w:val="009B05DC"/>
    <w:rsid w:val="009B38EE"/>
    <w:rsid w:val="009C3124"/>
    <w:rsid w:val="009D232D"/>
    <w:rsid w:val="009D3C47"/>
    <w:rsid w:val="009D7CF8"/>
    <w:rsid w:val="009E1498"/>
    <w:rsid w:val="009E2AC5"/>
    <w:rsid w:val="009E3326"/>
    <w:rsid w:val="009E4065"/>
    <w:rsid w:val="009E6E4F"/>
    <w:rsid w:val="009E7A13"/>
    <w:rsid w:val="009F4D7C"/>
    <w:rsid w:val="00A00595"/>
    <w:rsid w:val="00A13260"/>
    <w:rsid w:val="00A155B3"/>
    <w:rsid w:val="00A1585C"/>
    <w:rsid w:val="00A21A30"/>
    <w:rsid w:val="00A221AE"/>
    <w:rsid w:val="00A2621D"/>
    <w:rsid w:val="00A32888"/>
    <w:rsid w:val="00A84745"/>
    <w:rsid w:val="00A85F2E"/>
    <w:rsid w:val="00A908CF"/>
    <w:rsid w:val="00AA0B78"/>
    <w:rsid w:val="00AB3587"/>
    <w:rsid w:val="00AB5130"/>
    <w:rsid w:val="00AC6360"/>
    <w:rsid w:val="00AD7B34"/>
    <w:rsid w:val="00AE5E31"/>
    <w:rsid w:val="00B0118B"/>
    <w:rsid w:val="00B06C14"/>
    <w:rsid w:val="00B12D0B"/>
    <w:rsid w:val="00B22C63"/>
    <w:rsid w:val="00B32D80"/>
    <w:rsid w:val="00B431ED"/>
    <w:rsid w:val="00B52A9F"/>
    <w:rsid w:val="00B53F21"/>
    <w:rsid w:val="00B606AF"/>
    <w:rsid w:val="00B61640"/>
    <w:rsid w:val="00B6686D"/>
    <w:rsid w:val="00B806B6"/>
    <w:rsid w:val="00B853EF"/>
    <w:rsid w:val="00B87C44"/>
    <w:rsid w:val="00B95013"/>
    <w:rsid w:val="00B96ACA"/>
    <w:rsid w:val="00B97075"/>
    <w:rsid w:val="00BB0517"/>
    <w:rsid w:val="00BC691B"/>
    <w:rsid w:val="00BD4B2A"/>
    <w:rsid w:val="00BF21FC"/>
    <w:rsid w:val="00C03C60"/>
    <w:rsid w:val="00C05AFA"/>
    <w:rsid w:val="00C25417"/>
    <w:rsid w:val="00C4786C"/>
    <w:rsid w:val="00C678D1"/>
    <w:rsid w:val="00C7272C"/>
    <w:rsid w:val="00C86449"/>
    <w:rsid w:val="00CA0B50"/>
    <w:rsid w:val="00CA35A2"/>
    <w:rsid w:val="00CD70FE"/>
    <w:rsid w:val="00CE012B"/>
    <w:rsid w:val="00CE0FD0"/>
    <w:rsid w:val="00CE25AB"/>
    <w:rsid w:val="00D05E43"/>
    <w:rsid w:val="00D10AA8"/>
    <w:rsid w:val="00D14973"/>
    <w:rsid w:val="00D37767"/>
    <w:rsid w:val="00D435A6"/>
    <w:rsid w:val="00D46C60"/>
    <w:rsid w:val="00D50F50"/>
    <w:rsid w:val="00D5218C"/>
    <w:rsid w:val="00D5621C"/>
    <w:rsid w:val="00D8553E"/>
    <w:rsid w:val="00DA0C24"/>
    <w:rsid w:val="00DA2B1E"/>
    <w:rsid w:val="00DA7824"/>
    <w:rsid w:val="00DC7AC4"/>
    <w:rsid w:val="00DD40F4"/>
    <w:rsid w:val="00E1247B"/>
    <w:rsid w:val="00E162EB"/>
    <w:rsid w:val="00E22917"/>
    <w:rsid w:val="00E426CA"/>
    <w:rsid w:val="00E43F37"/>
    <w:rsid w:val="00E612DB"/>
    <w:rsid w:val="00E63D24"/>
    <w:rsid w:val="00E64429"/>
    <w:rsid w:val="00E67022"/>
    <w:rsid w:val="00E67EDB"/>
    <w:rsid w:val="00E754F4"/>
    <w:rsid w:val="00E9247C"/>
    <w:rsid w:val="00E95FB2"/>
    <w:rsid w:val="00E97DE6"/>
    <w:rsid w:val="00EA0F1F"/>
    <w:rsid w:val="00EA466B"/>
    <w:rsid w:val="00EA593B"/>
    <w:rsid w:val="00EB1ACC"/>
    <w:rsid w:val="00ED433E"/>
    <w:rsid w:val="00EE1C32"/>
    <w:rsid w:val="00F034F4"/>
    <w:rsid w:val="00F21496"/>
    <w:rsid w:val="00F57B2B"/>
    <w:rsid w:val="00F66544"/>
    <w:rsid w:val="00F75B45"/>
    <w:rsid w:val="00F75D68"/>
    <w:rsid w:val="00FA56B6"/>
    <w:rsid w:val="00FB3796"/>
    <w:rsid w:val="00FB7AC6"/>
    <w:rsid w:val="00FD1503"/>
    <w:rsid w:val="00FD1CDE"/>
    <w:rsid w:val="00FD6B8A"/>
    <w:rsid w:val="00FE3DB7"/>
    <w:rsid w:val="00FE4FD3"/>
    <w:rsid w:val="00FE51B2"/>
    <w:rsid w:val="00FF7D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34"/>
  </w:style>
  <w:style w:type="paragraph" w:styleId="Heading1">
    <w:name w:val="heading 1"/>
    <w:basedOn w:val="Normal"/>
    <w:next w:val="Normal"/>
    <w:link w:val="Heading1Char"/>
    <w:qFormat/>
    <w:rsid w:val="00AB5130"/>
    <w:pPr>
      <w:keepNext/>
      <w:spacing w:after="240"/>
      <w:ind w:left="720" w:hanging="720"/>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A1"/>
    <w:pPr>
      <w:ind w:left="720"/>
      <w:contextualSpacing/>
    </w:p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2747B5"/>
    <w:rPr>
      <w:rFonts w:ascii="Times New Roman" w:eastAsia="Times New Roman" w:hAnsi="Times New Roman" w:cs="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2747B5"/>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2747B5"/>
    <w:rPr>
      <w:vertAlign w:val="superscript"/>
    </w:rPr>
  </w:style>
  <w:style w:type="paragraph" w:styleId="BodyTextIndent3">
    <w:name w:val="Body Text Indent 3"/>
    <w:basedOn w:val="Normal"/>
    <w:link w:val="BodyTextIndent3Char"/>
    <w:rsid w:val="00903E82"/>
    <w:pPr>
      <w:spacing w:line="480" w:lineRule="atLeast"/>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03E82"/>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F4D7C"/>
    <w:pPr>
      <w:spacing w:after="120" w:line="480" w:lineRule="auto"/>
      <w:ind w:left="360"/>
    </w:pPr>
  </w:style>
  <w:style w:type="character" w:customStyle="1" w:styleId="BodyTextIndent2Char">
    <w:name w:val="Body Text Indent 2 Char"/>
    <w:basedOn w:val="DefaultParagraphFont"/>
    <w:link w:val="BodyTextIndent2"/>
    <w:uiPriority w:val="99"/>
    <w:semiHidden/>
    <w:rsid w:val="009F4D7C"/>
  </w:style>
  <w:style w:type="paragraph" w:styleId="BodyText">
    <w:name w:val="Body Text"/>
    <w:basedOn w:val="Normal"/>
    <w:link w:val="BodyTextChar"/>
    <w:uiPriority w:val="99"/>
    <w:semiHidden/>
    <w:unhideWhenUsed/>
    <w:rsid w:val="00B96ACA"/>
    <w:pPr>
      <w:spacing w:after="120"/>
    </w:pPr>
  </w:style>
  <w:style w:type="character" w:customStyle="1" w:styleId="BodyTextChar">
    <w:name w:val="Body Text Char"/>
    <w:basedOn w:val="DefaultParagraphFont"/>
    <w:link w:val="BodyText"/>
    <w:uiPriority w:val="99"/>
    <w:semiHidden/>
    <w:rsid w:val="00B96ACA"/>
  </w:style>
  <w:style w:type="paragraph" w:styleId="CommentText">
    <w:name w:val="annotation text"/>
    <w:basedOn w:val="Normal"/>
    <w:link w:val="CommentTextChar"/>
    <w:semiHidden/>
    <w:rsid w:val="00B96ACA"/>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B96ACA"/>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B96ACA"/>
    <w:rPr>
      <w:szCs w:val="20"/>
    </w:rPr>
  </w:style>
  <w:style w:type="character" w:customStyle="1" w:styleId="CommentSubjectChar">
    <w:name w:val="Comment Subject Char"/>
    <w:basedOn w:val="CommentTextChar"/>
    <w:link w:val="CommentSubject"/>
    <w:semiHidden/>
    <w:rsid w:val="00B96ACA"/>
    <w:rPr>
      <w:rFonts w:ascii="Times New Roman" w:eastAsia="Times New Roman" w:hAnsi="Times New Roman" w:cs="Times New Roman"/>
      <w:szCs w:val="20"/>
    </w:rPr>
  </w:style>
  <w:style w:type="character" w:styleId="Hyperlink">
    <w:name w:val="Hyperlink"/>
    <w:uiPriority w:val="99"/>
    <w:rsid w:val="007322D5"/>
    <w:rPr>
      <w:color w:val="0000FF"/>
      <w:u w:val="single"/>
    </w:rPr>
  </w:style>
  <w:style w:type="character" w:customStyle="1" w:styleId="Heading1Char">
    <w:name w:val="Heading 1 Char"/>
    <w:basedOn w:val="DefaultParagraphFont"/>
    <w:link w:val="Heading1"/>
    <w:rsid w:val="00AB5130"/>
    <w:rPr>
      <w:rFonts w:ascii="Times New Roman" w:eastAsia="Times New Roman" w:hAnsi="Times New Roman" w:cs="Times New Roman"/>
      <w:b/>
    </w:rPr>
  </w:style>
  <w:style w:type="paragraph" w:styleId="HTMLPreformatted">
    <w:name w:val="HTML Preformatted"/>
    <w:basedOn w:val="Normal"/>
    <w:link w:val="HTMLPreformattedChar"/>
    <w:rsid w:val="00AB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B5130"/>
    <w:rPr>
      <w:rFonts w:ascii="Courier New" w:eastAsia="Courier New" w:hAnsi="Courier New" w:cs="Courier New"/>
      <w:sz w:val="20"/>
      <w:szCs w:val="20"/>
    </w:rPr>
  </w:style>
  <w:style w:type="paragraph" w:styleId="Footer">
    <w:name w:val="footer"/>
    <w:basedOn w:val="Normal"/>
    <w:link w:val="FooterChar"/>
    <w:uiPriority w:val="99"/>
    <w:rsid w:val="00AB5130"/>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B5130"/>
    <w:rPr>
      <w:rFonts w:ascii="Times New Roman" w:eastAsia="Times New Roman" w:hAnsi="Times New Roman" w:cs="Times New Roman"/>
      <w:sz w:val="20"/>
      <w:szCs w:val="20"/>
    </w:rPr>
  </w:style>
  <w:style w:type="paragraph" w:styleId="TOC2">
    <w:name w:val="toc 2"/>
    <w:basedOn w:val="Normal"/>
    <w:next w:val="Normal"/>
    <w:autoRedefine/>
    <w:uiPriority w:val="39"/>
    <w:qFormat/>
    <w:rsid w:val="00AB5130"/>
    <w:pPr>
      <w:spacing w:after="240"/>
      <w:ind w:left="1440" w:hanging="720"/>
    </w:pPr>
    <w:rPr>
      <w:rFonts w:ascii="Times New Roman" w:eastAsia="Times New Roman" w:hAnsi="Times New Roman" w:cs="Times New Roman"/>
      <w:szCs w:val="20"/>
    </w:rPr>
  </w:style>
  <w:style w:type="paragraph" w:styleId="TOC1">
    <w:name w:val="toc 1"/>
    <w:basedOn w:val="Normal"/>
    <w:next w:val="Normal"/>
    <w:autoRedefine/>
    <w:uiPriority w:val="39"/>
    <w:rsid w:val="00580427"/>
    <w:pPr>
      <w:tabs>
        <w:tab w:val="decimal" w:leader="dot" w:pos="8640"/>
      </w:tabs>
      <w:spacing w:after="240"/>
      <w:ind w:left="720" w:hanging="720"/>
    </w:pPr>
    <w:rPr>
      <w:rFonts w:ascii="Times New Roman" w:eastAsia="Times New Roman" w:hAnsi="Times New Roman" w:cs="Times New Roman"/>
      <w:szCs w:val="20"/>
    </w:rPr>
  </w:style>
  <w:style w:type="paragraph" w:styleId="NormalWeb">
    <w:name w:val="Normal (Web)"/>
    <w:basedOn w:val="Normal"/>
    <w:uiPriority w:val="99"/>
    <w:unhideWhenUsed/>
    <w:rsid w:val="004F147E"/>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EA0F1F"/>
    <w:rPr>
      <w:color w:val="605E5C"/>
      <w:shd w:val="clear" w:color="auto" w:fill="E1DFDD"/>
    </w:rPr>
  </w:style>
  <w:style w:type="paragraph" w:styleId="Revision">
    <w:name w:val="Revision"/>
    <w:hidden/>
    <w:uiPriority w:val="99"/>
    <w:semiHidden/>
    <w:rsid w:val="00580427"/>
  </w:style>
  <w:style w:type="character" w:styleId="FollowedHyperlink">
    <w:name w:val="FollowedHyperlink"/>
    <w:basedOn w:val="DefaultParagraphFont"/>
    <w:uiPriority w:val="99"/>
    <w:semiHidden/>
    <w:unhideWhenUsed/>
    <w:rsid w:val="00D435A6"/>
    <w:rPr>
      <w:color w:val="954F72" w:themeColor="followedHyperlink"/>
      <w:u w:val="single"/>
    </w:rPr>
  </w:style>
  <w:style w:type="paragraph" w:styleId="Header">
    <w:name w:val="header"/>
    <w:basedOn w:val="Normal"/>
    <w:link w:val="HeaderChar"/>
    <w:uiPriority w:val="99"/>
    <w:unhideWhenUsed/>
    <w:rsid w:val="00AE5E31"/>
    <w:pPr>
      <w:tabs>
        <w:tab w:val="center" w:pos="4680"/>
        <w:tab w:val="right" w:pos="9360"/>
      </w:tabs>
    </w:pPr>
  </w:style>
  <w:style w:type="character" w:customStyle="1" w:styleId="HeaderChar">
    <w:name w:val="Header Char"/>
    <w:basedOn w:val="DefaultParagraphFont"/>
    <w:link w:val="Header"/>
    <w:uiPriority w:val="99"/>
    <w:rsid w:val="00AE5E31"/>
  </w:style>
  <w:style w:type="character" w:styleId="CommentReference">
    <w:name w:val="annotation reference"/>
    <w:basedOn w:val="DefaultParagraphFont"/>
    <w:uiPriority w:val="99"/>
    <w:semiHidden/>
    <w:unhideWhenUsed/>
    <w:rsid w:val="00326B12"/>
    <w:rPr>
      <w:sz w:val="16"/>
      <w:szCs w:val="16"/>
    </w:rPr>
  </w:style>
  <w:style w:type="paragraph" w:styleId="BalloonText">
    <w:name w:val="Balloon Text"/>
    <w:basedOn w:val="Normal"/>
    <w:link w:val="BalloonTextChar"/>
    <w:uiPriority w:val="99"/>
    <w:semiHidden/>
    <w:unhideWhenUsed/>
    <w:rsid w:val="007C3A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A7C"/>
    <w:rPr>
      <w:rFonts w:ascii="Times New Roman" w:hAnsi="Times New Roman" w:cs="Times New Roman"/>
      <w:sz w:val="18"/>
      <w:szCs w:val="18"/>
    </w:rPr>
  </w:style>
  <w:style w:type="character" w:customStyle="1" w:styleId="apple-converted-space">
    <w:name w:val="apple-converted-space"/>
    <w:basedOn w:val="DefaultParagraphFont"/>
    <w:rsid w:val="00D5218C"/>
  </w:style>
  <w:style w:type="character" w:customStyle="1" w:styleId="sssh">
    <w:name w:val="ss_sh"/>
    <w:basedOn w:val="DefaultParagraphFont"/>
    <w:rsid w:val="00D5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trombino@greenchoiceenergy.com" TargetMode="External" /><Relationship Id="rId11" Type="http://schemas.openxmlformats.org/officeDocument/2006/relationships/hyperlink" Target="mailto:whitt@whitt-sturtevant.com"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connor.semple@occ.ohio.gov" TargetMode="External" /><Relationship Id="rId8" Type="http://schemas.openxmlformats.org/officeDocument/2006/relationships/hyperlink" Target="mailto:john.jones@ohioAGO.gov" TargetMode="External" /><Relationship Id="rId9" Type="http://schemas.openxmlformats.org/officeDocument/2006/relationships/hyperlink" Target="mailto:sarah.parrot@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AE34-4574-3747-9309-E9E75193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2022-08-24T18:44:04Z</dcterms:created>
  <dcterms:modified xsi:type="dcterms:W3CDTF">2022-08-24T18:44:04Z</dcterms:modified>
</cp:coreProperties>
</file>