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D0B73" w:rsidRPr="00C878A3" w:rsidP="007D0B73" w14:paraId="2FCB5712" w14:textId="77777777">
      <w:pPr>
        <w:pStyle w:val="List"/>
        <w:ind w:left="0" w:firstLine="0"/>
        <w:jc w:val="center"/>
        <w:rPr>
          <w:b/>
          <w:szCs w:val="24"/>
        </w:rPr>
      </w:pPr>
      <w:r w:rsidRPr="00C878A3">
        <w:rPr>
          <w:b/>
          <w:szCs w:val="24"/>
        </w:rPr>
        <w:t>BEFORE</w:t>
      </w:r>
    </w:p>
    <w:p w:rsidR="007D0B73" w:rsidRPr="00C878A3" w:rsidP="007D0B73" w14:paraId="26D80A3C" w14:textId="77777777">
      <w:pPr>
        <w:pStyle w:val="List"/>
        <w:ind w:left="0" w:firstLine="0"/>
        <w:jc w:val="center"/>
        <w:rPr>
          <w:b/>
          <w:szCs w:val="24"/>
        </w:rPr>
      </w:pPr>
      <w:r w:rsidRPr="00C878A3">
        <w:rPr>
          <w:b/>
          <w:szCs w:val="24"/>
        </w:rPr>
        <w:t>THE PUBLIC UTILITIES COMMISSION OF OHIO</w:t>
      </w:r>
    </w:p>
    <w:tbl>
      <w:tblPr>
        <w:tblW w:w="8730" w:type="dxa"/>
        <w:tblLook w:val="01E0"/>
      </w:tblPr>
      <w:tblGrid>
        <w:gridCol w:w="4320"/>
        <w:gridCol w:w="296"/>
        <w:gridCol w:w="4114"/>
      </w:tblGrid>
      <w:tr w14:paraId="54ECD3A0" w14:textId="77777777" w:rsidTr="005B1148">
        <w:tblPrEx>
          <w:tblW w:w="8730" w:type="dxa"/>
          <w:tblLook w:val="01E0"/>
        </w:tblPrEx>
        <w:trPr>
          <w:trHeight w:val="807"/>
        </w:trPr>
        <w:tc>
          <w:tcPr>
            <w:tcW w:w="4320" w:type="dxa"/>
            <w:shd w:val="clear" w:color="auto" w:fill="auto"/>
          </w:tcPr>
          <w:p w:rsidR="007D0B73" w:rsidRPr="00C878A3" w:rsidP="005B1148" w14:paraId="1FFE2D91" w14:textId="77777777">
            <w:pPr>
              <w:pStyle w:val="HTMLPreformatted"/>
              <w:rPr>
                <w:rFonts w:ascii="Times New Roman" w:hAnsi="Times New Roman" w:cs="Times New Roman"/>
                <w:sz w:val="24"/>
                <w:szCs w:val="24"/>
              </w:rPr>
            </w:pPr>
          </w:p>
          <w:p w:rsidR="007D0B73" w:rsidRPr="00C878A3" w:rsidP="005B1148" w14:paraId="7526E99E" w14:textId="00C2F4BE">
            <w:pPr>
              <w:pStyle w:val="HTMLPreformatted"/>
              <w:rPr>
                <w:rFonts w:ascii="Times New Roman" w:hAnsi="Times New Roman" w:cs="Times New Roman"/>
                <w:sz w:val="24"/>
                <w:szCs w:val="24"/>
              </w:rPr>
            </w:pPr>
            <w:r w:rsidRPr="00C878A3">
              <w:rPr>
                <w:rFonts w:ascii="Times New Roman" w:hAnsi="Times New Roman" w:cs="Times New Roman"/>
                <w:sz w:val="24"/>
                <w:szCs w:val="24"/>
              </w:rPr>
              <w:t xml:space="preserve">In the Matter of the Application of the Dayton Power and Light Company to Increase </w:t>
            </w:r>
            <w:r w:rsidR="00901B88">
              <w:rPr>
                <w:rFonts w:ascii="Times New Roman" w:hAnsi="Times New Roman" w:cs="Times New Roman"/>
                <w:sz w:val="24"/>
                <w:szCs w:val="24"/>
              </w:rPr>
              <w:t>I</w:t>
            </w:r>
            <w:r w:rsidRPr="00C878A3">
              <w:rPr>
                <w:rFonts w:ascii="Times New Roman" w:hAnsi="Times New Roman" w:cs="Times New Roman"/>
                <w:sz w:val="24"/>
                <w:szCs w:val="24"/>
              </w:rPr>
              <w:t>ts Rates for Electric Distribution.</w:t>
            </w:r>
          </w:p>
          <w:p w:rsidR="007D0B73" w:rsidRPr="00C878A3" w:rsidP="005B1148" w14:paraId="70DD3959" w14:textId="77777777">
            <w:pPr>
              <w:pStyle w:val="HTMLPreformatted"/>
              <w:rPr>
                <w:rFonts w:ascii="Times New Roman" w:hAnsi="Times New Roman" w:cs="Times New Roman"/>
                <w:sz w:val="24"/>
                <w:szCs w:val="24"/>
              </w:rPr>
            </w:pPr>
          </w:p>
          <w:p w:rsidR="007D0B73" w:rsidRPr="00C878A3" w:rsidP="005B1148" w14:paraId="71EDFB59"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In the Matter of the Application of the Dayton Power and Light Company for Accounting Authority.</w:t>
            </w:r>
          </w:p>
          <w:p w:rsidR="007D0B73" w:rsidRPr="00C878A3" w:rsidP="005B1148" w14:paraId="51D07473" w14:textId="77777777">
            <w:pPr>
              <w:pStyle w:val="HTMLPreformatted"/>
              <w:rPr>
                <w:rFonts w:ascii="Times New Roman" w:hAnsi="Times New Roman" w:cs="Times New Roman"/>
                <w:sz w:val="24"/>
                <w:szCs w:val="24"/>
              </w:rPr>
            </w:pPr>
          </w:p>
          <w:p w:rsidR="007D0B73" w:rsidRPr="00C878A3" w:rsidP="005B1148" w14:paraId="45104801"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In the Matter of the Application of Dayton Power and Light Company for Approval of Revised Tariffs.</w:t>
            </w:r>
          </w:p>
        </w:tc>
        <w:tc>
          <w:tcPr>
            <w:tcW w:w="296" w:type="dxa"/>
            <w:shd w:val="clear" w:color="auto" w:fill="auto"/>
          </w:tcPr>
          <w:p w:rsidR="007D0B73" w:rsidRPr="00C878A3" w:rsidP="005B1148" w14:paraId="1CA71B3E" w14:textId="77777777">
            <w:pPr>
              <w:pStyle w:val="HTMLPreformatted"/>
              <w:rPr>
                <w:rFonts w:ascii="Times New Roman" w:hAnsi="Times New Roman" w:cs="Times New Roman"/>
                <w:sz w:val="24"/>
                <w:szCs w:val="24"/>
              </w:rPr>
            </w:pPr>
          </w:p>
          <w:p w:rsidR="007D0B73" w:rsidRPr="00C878A3" w:rsidP="005B1148" w14:paraId="51CCDAEF"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w:t>
            </w:r>
          </w:p>
          <w:p w:rsidR="007D0B73" w:rsidRPr="00C878A3" w:rsidP="005B1148" w14:paraId="3AF7F29E"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w:t>
            </w:r>
          </w:p>
          <w:p w:rsidR="007D0B73" w:rsidRPr="00C878A3" w:rsidP="005B1148" w14:paraId="55237189"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w:t>
            </w:r>
          </w:p>
          <w:p w:rsidR="007D0B73" w:rsidRPr="00C878A3" w:rsidP="005B1148" w14:paraId="4BC78250"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w:t>
            </w:r>
          </w:p>
          <w:p w:rsidR="007D0B73" w:rsidRPr="00C878A3" w:rsidP="005B1148" w14:paraId="3FDF2655" w14:textId="77777777">
            <w:pPr>
              <w:pStyle w:val="HTMLPreformatted"/>
              <w:rPr>
                <w:rFonts w:ascii="Times New Roman" w:hAnsi="Times New Roman" w:cs="Times New Roman"/>
                <w:sz w:val="24"/>
                <w:szCs w:val="24"/>
              </w:rPr>
            </w:pPr>
          </w:p>
          <w:p w:rsidR="007D0B73" w:rsidRPr="00C878A3" w:rsidP="005B1148" w14:paraId="6ECE5A9A"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w:t>
            </w:r>
          </w:p>
          <w:p w:rsidR="007D0B73" w:rsidRPr="00C878A3" w:rsidP="005B1148" w14:paraId="7D76A9F9"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w:t>
            </w:r>
          </w:p>
          <w:p w:rsidR="007D0B73" w:rsidRPr="00C878A3" w:rsidP="005B1148" w14:paraId="4C63A22D"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w:t>
            </w:r>
          </w:p>
          <w:p w:rsidR="007D0B73" w:rsidRPr="00C878A3" w:rsidP="005B1148" w14:paraId="255187C5" w14:textId="77777777">
            <w:pPr>
              <w:pStyle w:val="HTMLPreformatted"/>
              <w:rPr>
                <w:rFonts w:ascii="Times New Roman" w:hAnsi="Times New Roman" w:cs="Times New Roman"/>
                <w:sz w:val="24"/>
                <w:szCs w:val="24"/>
              </w:rPr>
            </w:pPr>
          </w:p>
          <w:p w:rsidR="007D0B73" w:rsidRPr="00C878A3" w:rsidP="005B1148" w14:paraId="43D247DD"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w:t>
            </w:r>
          </w:p>
          <w:p w:rsidR="007D0B73" w:rsidRPr="00C878A3" w:rsidP="005B1148" w14:paraId="751BC512"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w:t>
            </w:r>
          </w:p>
          <w:p w:rsidR="007D0B73" w:rsidRPr="00C878A3" w:rsidP="005B1148" w14:paraId="456430EF"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w:t>
            </w:r>
          </w:p>
        </w:tc>
        <w:tc>
          <w:tcPr>
            <w:tcW w:w="4114" w:type="dxa"/>
            <w:shd w:val="clear" w:color="auto" w:fill="auto"/>
          </w:tcPr>
          <w:p w:rsidR="007D0B73" w:rsidRPr="00C878A3" w:rsidP="005B1148" w14:paraId="2FB62228" w14:textId="77777777">
            <w:pPr>
              <w:pStyle w:val="HTMLPreformatted"/>
              <w:rPr>
                <w:rFonts w:ascii="Times New Roman" w:hAnsi="Times New Roman" w:cs="Times New Roman"/>
                <w:sz w:val="24"/>
                <w:szCs w:val="24"/>
              </w:rPr>
            </w:pPr>
          </w:p>
          <w:p w:rsidR="007D0B73" w:rsidRPr="00C878A3" w:rsidP="005B1148" w14:paraId="7949307E" w14:textId="77777777">
            <w:pPr>
              <w:pStyle w:val="HTMLPreformatted"/>
              <w:rPr>
                <w:rFonts w:ascii="Times New Roman" w:hAnsi="Times New Roman" w:cs="Times New Roman"/>
                <w:sz w:val="24"/>
                <w:szCs w:val="24"/>
              </w:rPr>
            </w:pPr>
          </w:p>
          <w:p w:rsidR="007D0B73" w:rsidRPr="00C878A3" w:rsidP="005B1148" w14:paraId="07D65B6C"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Case No. 20-1651-EL-AIR</w:t>
            </w:r>
          </w:p>
          <w:p w:rsidR="007D0B73" w:rsidRPr="00C878A3" w:rsidP="005B1148" w14:paraId="457DE546" w14:textId="77777777">
            <w:pPr>
              <w:pStyle w:val="HTMLPreformatted"/>
              <w:rPr>
                <w:rFonts w:ascii="Times New Roman" w:hAnsi="Times New Roman" w:cs="Times New Roman"/>
                <w:sz w:val="24"/>
                <w:szCs w:val="24"/>
              </w:rPr>
            </w:pPr>
          </w:p>
          <w:p w:rsidR="007D0B73" w:rsidRPr="00C878A3" w:rsidP="005B1148" w14:paraId="09D17A43" w14:textId="77777777">
            <w:pPr>
              <w:pStyle w:val="HTMLPreformatted"/>
              <w:rPr>
                <w:rFonts w:ascii="Times New Roman" w:hAnsi="Times New Roman" w:cs="Times New Roman"/>
                <w:sz w:val="24"/>
                <w:szCs w:val="24"/>
              </w:rPr>
            </w:pPr>
          </w:p>
          <w:p w:rsidR="007D0B73" w:rsidRPr="00C878A3" w:rsidP="005B1148" w14:paraId="444C08EC" w14:textId="77777777">
            <w:pPr>
              <w:pStyle w:val="HTMLPreformatted"/>
              <w:rPr>
                <w:rFonts w:ascii="Times New Roman" w:hAnsi="Times New Roman" w:cs="Times New Roman"/>
                <w:sz w:val="24"/>
                <w:szCs w:val="24"/>
              </w:rPr>
            </w:pPr>
          </w:p>
          <w:p w:rsidR="007D0B73" w:rsidRPr="00C878A3" w:rsidP="005B1148" w14:paraId="33FF227F" w14:textId="77777777">
            <w:pPr>
              <w:pStyle w:val="HTMLPreformatted"/>
              <w:rPr>
                <w:rFonts w:ascii="Times New Roman" w:hAnsi="Times New Roman" w:cs="Times New Roman"/>
                <w:sz w:val="24"/>
                <w:szCs w:val="24"/>
              </w:rPr>
            </w:pPr>
          </w:p>
          <w:p w:rsidR="007D0B73" w:rsidRPr="00C878A3" w:rsidP="005B1148" w14:paraId="5DDB3707"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Case No. 20-1652-EL-AAM</w:t>
            </w:r>
          </w:p>
          <w:p w:rsidR="007D0B73" w:rsidRPr="00C878A3" w:rsidP="005B1148" w14:paraId="3DDB0007" w14:textId="77777777">
            <w:pPr>
              <w:pStyle w:val="HTMLPreformatted"/>
              <w:rPr>
                <w:rFonts w:ascii="Times New Roman" w:hAnsi="Times New Roman" w:cs="Times New Roman"/>
                <w:sz w:val="24"/>
                <w:szCs w:val="24"/>
              </w:rPr>
            </w:pPr>
          </w:p>
          <w:p w:rsidR="007D0B73" w:rsidRPr="00C878A3" w:rsidP="005B1148" w14:paraId="159CE962" w14:textId="77777777">
            <w:pPr>
              <w:pStyle w:val="HTMLPreformatted"/>
              <w:rPr>
                <w:rFonts w:ascii="Times New Roman" w:hAnsi="Times New Roman" w:cs="Times New Roman"/>
                <w:sz w:val="24"/>
                <w:szCs w:val="24"/>
              </w:rPr>
            </w:pPr>
          </w:p>
          <w:p w:rsidR="007D0B73" w:rsidRPr="00C878A3" w:rsidP="005B1148" w14:paraId="3FB20A1A" w14:textId="77777777">
            <w:pPr>
              <w:pStyle w:val="HTMLPreformatted"/>
              <w:rPr>
                <w:rFonts w:ascii="Times New Roman" w:hAnsi="Times New Roman" w:cs="Times New Roman"/>
                <w:sz w:val="24"/>
                <w:szCs w:val="24"/>
              </w:rPr>
            </w:pPr>
          </w:p>
          <w:p w:rsidR="007D0B73" w:rsidRPr="00C878A3" w:rsidP="005B1148" w14:paraId="2C3A5572"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Case No. 20-1653-EL-ATA</w:t>
            </w:r>
          </w:p>
        </w:tc>
      </w:tr>
    </w:tbl>
    <w:p w:rsidR="007D0B73" w:rsidRPr="00C878A3" w:rsidP="007D0B73" w14:paraId="1C7F7978" w14:textId="77777777">
      <w:pPr>
        <w:pBdr>
          <w:bottom w:val="single" w:sz="12" w:space="1" w:color="auto"/>
        </w:pBdr>
        <w:rPr>
          <w:szCs w:val="24"/>
        </w:rPr>
      </w:pPr>
    </w:p>
    <w:p w:rsidR="007D0B73" w:rsidRPr="00C878A3" w:rsidP="007D0B73" w14:paraId="6163A9FD" w14:textId="77777777">
      <w:pPr>
        <w:rPr>
          <w:b/>
          <w:bCs/>
          <w:szCs w:val="24"/>
        </w:rPr>
      </w:pPr>
    </w:p>
    <w:p w:rsidR="007D0B73" w:rsidRPr="00C878A3" w:rsidP="007D0B73" w14:paraId="477D2DFE" w14:textId="77777777">
      <w:pPr>
        <w:jc w:val="center"/>
        <w:rPr>
          <w:b/>
          <w:szCs w:val="24"/>
        </w:rPr>
      </w:pPr>
      <w:r w:rsidRPr="00C878A3">
        <w:rPr>
          <w:b/>
          <w:szCs w:val="24"/>
        </w:rPr>
        <w:t>APPLICATION FOR REHEARING</w:t>
      </w:r>
    </w:p>
    <w:p w:rsidR="007D0B73" w:rsidRPr="00C878A3" w:rsidP="007D0B73" w14:paraId="285A565F" w14:textId="77777777">
      <w:pPr>
        <w:jc w:val="center"/>
        <w:rPr>
          <w:b/>
          <w:szCs w:val="24"/>
        </w:rPr>
      </w:pPr>
      <w:r w:rsidRPr="00C878A3">
        <w:rPr>
          <w:b/>
          <w:szCs w:val="24"/>
        </w:rPr>
        <w:t>BY</w:t>
      </w:r>
    </w:p>
    <w:p w:rsidR="007D0B73" w:rsidRPr="00C878A3" w:rsidP="007D0B73" w14:paraId="2CB03FF9" w14:textId="77777777">
      <w:pPr>
        <w:pBdr>
          <w:bottom w:val="single" w:sz="12" w:space="1" w:color="auto"/>
        </w:pBdr>
        <w:jc w:val="center"/>
        <w:rPr>
          <w:b/>
          <w:szCs w:val="24"/>
        </w:rPr>
      </w:pPr>
      <w:r w:rsidRPr="00C878A3">
        <w:rPr>
          <w:b/>
          <w:szCs w:val="24"/>
        </w:rPr>
        <w:t>OFFICE OF THE OHIO CONSUMERS’ COUNSEL</w:t>
      </w:r>
    </w:p>
    <w:p w:rsidR="007D0B73" w:rsidRPr="00C878A3" w:rsidP="007D0B73" w14:paraId="0092F58C" w14:textId="77777777">
      <w:pPr>
        <w:pBdr>
          <w:bottom w:val="single" w:sz="12" w:space="1" w:color="auto"/>
        </w:pBdr>
        <w:spacing w:after="240"/>
        <w:jc w:val="center"/>
        <w:rPr>
          <w:b/>
          <w:bCs/>
          <w:szCs w:val="24"/>
        </w:rPr>
      </w:pPr>
    </w:p>
    <w:p w:rsidR="009E036E" w:rsidRPr="00C878A3" w:rsidP="00390137" w14:paraId="29E46DF6" w14:textId="77777777">
      <w:pPr>
        <w:pStyle w:val="List"/>
        <w:ind w:left="0" w:firstLine="0"/>
        <w:jc w:val="center"/>
        <w:rPr>
          <w:b/>
          <w:szCs w:val="24"/>
        </w:rPr>
      </w:pPr>
    </w:p>
    <w:p w:rsidR="009E036E" w:rsidRPr="00C878A3" w:rsidP="009E036E" w14:paraId="59476A2E" w14:textId="77777777">
      <w:pPr>
        <w:pStyle w:val="ListParagraph"/>
        <w:ind w:left="4320"/>
      </w:pPr>
      <w:r w:rsidRPr="00C878A3">
        <w:t xml:space="preserve">Bruce Weston (0016973) </w:t>
      </w:r>
      <w:r w:rsidRPr="00C878A3">
        <w:br/>
        <w:t xml:space="preserve">Ohio Consumers’ Counsel </w:t>
      </w:r>
      <w:r w:rsidRPr="00C878A3">
        <w:br/>
      </w:r>
    </w:p>
    <w:p w:rsidR="009E036E" w:rsidRPr="00C878A3" w:rsidP="009E036E" w14:paraId="23C14738" w14:textId="15995963">
      <w:pPr>
        <w:pStyle w:val="ListParagraph"/>
        <w:ind w:left="4320"/>
      </w:pPr>
      <w:r w:rsidRPr="00C878A3">
        <w:t xml:space="preserve">John Finnigan (0018689) </w:t>
      </w:r>
      <w:r w:rsidRPr="00C878A3">
        <w:br/>
        <w:t xml:space="preserve">Counsel of Record </w:t>
      </w:r>
      <w:r w:rsidRPr="00C878A3">
        <w:br/>
        <w:t xml:space="preserve">Ambrosia E. Wilson (0096598) </w:t>
      </w:r>
      <w:r w:rsidRPr="00C878A3">
        <w:br/>
        <w:t xml:space="preserve">Assistant Consumers' Counsel </w:t>
      </w:r>
    </w:p>
    <w:p w:rsidR="009E036E" w:rsidRPr="00C878A3" w:rsidP="009E036E" w14:paraId="48D60762" w14:textId="77777777">
      <w:pPr>
        <w:pStyle w:val="ListParagraph"/>
        <w:ind w:left="4320"/>
      </w:pPr>
    </w:p>
    <w:p w:rsidR="009E036E" w:rsidRPr="00C878A3" w:rsidP="009E036E" w14:paraId="55E624D9" w14:textId="77777777">
      <w:pPr>
        <w:pStyle w:val="ListParagraph"/>
        <w:ind w:left="4320"/>
      </w:pPr>
      <w:r w:rsidRPr="00C878A3">
        <w:rPr>
          <w:b/>
          <w:bCs/>
        </w:rPr>
        <w:t>Office of the Ohio Consumers' Counsel</w:t>
      </w:r>
    </w:p>
    <w:p w:rsidR="009E036E" w:rsidRPr="00C878A3" w:rsidP="009E036E" w14:paraId="79208866" w14:textId="77777777">
      <w:pPr>
        <w:pStyle w:val="ListParagraph"/>
        <w:ind w:left="4320"/>
      </w:pPr>
      <w:r w:rsidRPr="00C878A3">
        <w:t xml:space="preserve">65 East State Street, Suite 700 </w:t>
      </w:r>
      <w:r w:rsidRPr="00C878A3">
        <w:br/>
        <w:t xml:space="preserve">Columbus, Ohio 43215 </w:t>
      </w:r>
      <w:r w:rsidRPr="00C878A3">
        <w:br/>
        <w:t xml:space="preserve">Telephone [Finnigan]: (614) 466-9585 </w:t>
      </w:r>
    </w:p>
    <w:p w:rsidR="009E036E" w:rsidRPr="00C878A3" w:rsidP="009E036E" w14:paraId="701D9CA6" w14:textId="77777777">
      <w:pPr>
        <w:pStyle w:val="ListParagraph"/>
        <w:ind w:left="4320"/>
      </w:pPr>
      <w:r w:rsidRPr="00C878A3">
        <w:t xml:space="preserve">Telephone [Wilson]: (614) 466-1292 </w:t>
      </w:r>
      <w:hyperlink r:id="rId6" w:history="1">
        <w:r w:rsidRPr="00C878A3">
          <w:rPr>
            <w:rStyle w:val="Hyperlink"/>
            <w:color w:val="0000FF"/>
          </w:rPr>
          <w:t>john.finnigan@occ.ohio.gov</w:t>
        </w:r>
      </w:hyperlink>
      <w:r w:rsidRPr="00C878A3">
        <w:rPr>
          <w:color w:val="0000FF"/>
        </w:rPr>
        <w:t xml:space="preserve"> </w:t>
      </w:r>
      <w:hyperlink r:id="rId7" w:history="1">
        <w:r w:rsidRPr="00C878A3">
          <w:rPr>
            <w:rStyle w:val="Hyperlink"/>
            <w:color w:val="0000FF"/>
          </w:rPr>
          <w:t>ambrosia.wilson@occ.ohio.gov</w:t>
        </w:r>
      </w:hyperlink>
      <w:r w:rsidRPr="00C878A3">
        <w:t xml:space="preserve"> </w:t>
      </w:r>
    </w:p>
    <w:p w:rsidR="009E036E" w:rsidRPr="00C878A3" w:rsidP="009E036E" w14:paraId="3B0F8637" w14:textId="5ED77598">
      <w:pPr>
        <w:rPr>
          <w:szCs w:val="24"/>
        </w:rPr>
      </w:pPr>
      <w:r w:rsidRPr="00C878A3">
        <w:rPr>
          <w:szCs w:val="24"/>
        </w:rPr>
        <w:t>January 13, 2023</w:t>
      </w:r>
      <w:r w:rsidRPr="00C878A3">
        <w:rPr>
          <w:szCs w:val="24"/>
        </w:rPr>
        <w:tab/>
      </w:r>
      <w:r w:rsidRPr="00C878A3">
        <w:rPr>
          <w:szCs w:val="24"/>
        </w:rPr>
        <w:tab/>
      </w:r>
      <w:r w:rsidRPr="00C878A3">
        <w:rPr>
          <w:szCs w:val="24"/>
        </w:rPr>
        <w:tab/>
      </w:r>
      <w:r w:rsidRPr="00C878A3">
        <w:rPr>
          <w:szCs w:val="24"/>
        </w:rPr>
        <w:tab/>
        <w:t>(willing to accept service by e-mail)</w:t>
      </w:r>
    </w:p>
    <w:p w:rsidR="009E036E" w:rsidRPr="00C878A3" w:rsidP="00390137" w14:paraId="0E723B5B" w14:textId="3C670B2B">
      <w:pPr>
        <w:pStyle w:val="List"/>
        <w:ind w:left="0" w:firstLine="0"/>
        <w:jc w:val="center"/>
        <w:rPr>
          <w:b/>
          <w:szCs w:val="24"/>
        </w:rPr>
        <w:sectPr w:rsidSect="00F910B4">
          <w:footerReference w:type="default" r:id="rId8"/>
          <w:pgSz w:w="12240" w:h="15840"/>
          <w:pgMar w:top="1440" w:right="1800" w:bottom="1440" w:left="1800" w:header="720" w:footer="720" w:gutter="0"/>
          <w:pgNumType w:start="1"/>
          <w:cols w:space="720"/>
          <w:docGrid w:linePitch="360"/>
        </w:sectPr>
      </w:pPr>
    </w:p>
    <w:p w:rsidR="00390137" w:rsidRPr="00C878A3" w:rsidP="00390137" w14:paraId="2ADC6E58" w14:textId="77777777">
      <w:pPr>
        <w:pStyle w:val="List"/>
        <w:ind w:left="0" w:firstLine="0"/>
        <w:jc w:val="center"/>
        <w:rPr>
          <w:b/>
          <w:szCs w:val="24"/>
        </w:rPr>
      </w:pPr>
      <w:r w:rsidRPr="00C878A3">
        <w:rPr>
          <w:b/>
          <w:szCs w:val="24"/>
        </w:rPr>
        <w:t>BEFORE</w:t>
      </w:r>
    </w:p>
    <w:p w:rsidR="00390137" w:rsidRPr="00C878A3" w:rsidP="00390137" w14:paraId="6581DEEA" w14:textId="77777777">
      <w:pPr>
        <w:pStyle w:val="List"/>
        <w:ind w:left="0" w:firstLine="0"/>
        <w:jc w:val="center"/>
        <w:rPr>
          <w:b/>
          <w:szCs w:val="24"/>
        </w:rPr>
      </w:pPr>
      <w:r w:rsidRPr="00C878A3">
        <w:rPr>
          <w:b/>
          <w:szCs w:val="24"/>
        </w:rPr>
        <w:t>THE PUBLIC UTILITIES COMMISSION OF OHIO</w:t>
      </w:r>
    </w:p>
    <w:tbl>
      <w:tblPr>
        <w:tblW w:w="8730" w:type="dxa"/>
        <w:tblLook w:val="01E0"/>
      </w:tblPr>
      <w:tblGrid>
        <w:gridCol w:w="4320"/>
        <w:gridCol w:w="296"/>
        <w:gridCol w:w="4114"/>
      </w:tblGrid>
      <w:tr w14:paraId="4DA32363" w14:textId="77777777" w:rsidTr="00D0514F">
        <w:tblPrEx>
          <w:tblW w:w="8730" w:type="dxa"/>
          <w:tblLook w:val="01E0"/>
        </w:tblPrEx>
        <w:trPr>
          <w:trHeight w:val="807"/>
        </w:trPr>
        <w:tc>
          <w:tcPr>
            <w:tcW w:w="4320" w:type="dxa"/>
            <w:shd w:val="clear" w:color="auto" w:fill="auto"/>
          </w:tcPr>
          <w:p w:rsidR="00D748A1" w:rsidRPr="00C878A3" w:rsidP="00D0514F" w14:paraId="5ADAC623" w14:textId="77777777">
            <w:pPr>
              <w:pStyle w:val="HTMLPreformatted"/>
              <w:rPr>
                <w:rFonts w:ascii="Times New Roman" w:hAnsi="Times New Roman" w:cs="Times New Roman"/>
                <w:sz w:val="24"/>
                <w:szCs w:val="24"/>
              </w:rPr>
            </w:pPr>
          </w:p>
          <w:p w:rsidR="00D748A1" w:rsidRPr="00C878A3" w:rsidP="00D0514F" w14:paraId="15F014B8" w14:textId="38301BA9">
            <w:pPr>
              <w:pStyle w:val="HTMLPreformatted"/>
              <w:rPr>
                <w:rFonts w:ascii="Times New Roman" w:hAnsi="Times New Roman" w:cs="Times New Roman"/>
                <w:sz w:val="24"/>
                <w:szCs w:val="24"/>
              </w:rPr>
            </w:pPr>
            <w:r w:rsidRPr="00C878A3">
              <w:rPr>
                <w:rFonts w:ascii="Times New Roman" w:hAnsi="Times New Roman" w:cs="Times New Roman"/>
                <w:sz w:val="24"/>
                <w:szCs w:val="24"/>
              </w:rPr>
              <w:t xml:space="preserve">In the Matter of the Application of the Dayton Power and Light Company to Increase </w:t>
            </w:r>
            <w:r w:rsidR="00A92B3F">
              <w:rPr>
                <w:rFonts w:ascii="Times New Roman" w:hAnsi="Times New Roman" w:cs="Times New Roman"/>
                <w:sz w:val="24"/>
                <w:szCs w:val="24"/>
              </w:rPr>
              <w:t>I</w:t>
            </w:r>
            <w:r w:rsidRPr="00C878A3">
              <w:rPr>
                <w:rFonts w:ascii="Times New Roman" w:hAnsi="Times New Roman" w:cs="Times New Roman"/>
                <w:sz w:val="24"/>
                <w:szCs w:val="24"/>
              </w:rPr>
              <w:t>ts Rates for Electric Distribution.</w:t>
            </w:r>
          </w:p>
          <w:p w:rsidR="00D748A1" w:rsidRPr="00C878A3" w:rsidP="00D0514F" w14:paraId="36578ED1" w14:textId="77777777">
            <w:pPr>
              <w:pStyle w:val="HTMLPreformatted"/>
              <w:rPr>
                <w:rFonts w:ascii="Times New Roman" w:hAnsi="Times New Roman" w:cs="Times New Roman"/>
                <w:sz w:val="24"/>
                <w:szCs w:val="24"/>
              </w:rPr>
            </w:pPr>
          </w:p>
          <w:p w:rsidR="00D748A1" w:rsidRPr="00C878A3" w:rsidP="00D0514F" w14:paraId="580EB5B3"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In the Matter of the Application of the Dayton Power and Light Company for Accounting Authority.</w:t>
            </w:r>
          </w:p>
          <w:p w:rsidR="00D748A1" w:rsidRPr="00C878A3" w:rsidP="00D0514F" w14:paraId="475D82B2" w14:textId="77777777">
            <w:pPr>
              <w:pStyle w:val="HTMLPreformatted"/>
              <w:rPr>
                <w:rFonts w:ascii="Times New Roman" w:hAnsi="Times New Roman" w:cs="Times New Roman"/>
                <w:sz w:val="24"/>
                <w:szCs w:val="24"/>
              </w:rPr>
            </w:pPr>
          </w:p>
          <w:p w:rsidR="00D748A1" w:rsidRPr="00C878A3" w:rsidP="00D0514F" w14:paraId="696BCB5E"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In the Matter of the Application of Dayton Power and Light Company for Approval of Revised Tariffs.</w:t>
            </w:r>
          </w:p>
        </w:tc>
        <w:tc>
          <w:tcPr>
            <w:tcW w:w="296" w:type="dxa"/>
            <w:shd w:val="clear" w:color="auto" w:fill="auto"/>
          </w:tcPr>
          <w:p w:rsidR="00D748A1" w:rsidRPr="00C878A3" w:rsidP="00D0514F" w14:paraId="6765B3C8" w14:textId="77777777">
            <w:pPr>
              <w:pStyle w:val="HTMLPreformatted"/>
              <w:rPr>
                <w:rFonts w:ascii="Times New Roman" w:hAnsi="Times New Roman" w:cs="Times New Roman"/>
                <w:sz w:val="24"/>
                <w:szCs w:val="24"/>
              </w:rPr>
            </w:pPr>
          </w:p>
          <w:p w:rsidR="00D748A1" w:rsidRPr="00C878A3" w:rsidP="00D0514F" w14:paraId="43AEE94E"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w:t>
            </w:r>
          </w:p>
          <w:p w:rsidR="00D748A1" w:rsidRPr="00C878A3" w:rsidP="00D0514F" w14:paraId="28393386"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w:t>
            </w:r>
          </w:p>
          <w:p w:rsidR="00D748A1" w:rsidRPr="00C878A3" w:rsidP="00D0514F" w14:paraId="357A5B85"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w:t>
            </w:r>
          </w:p>
          <w:p w:rsidR="00D748A1" w:rsidRPr="00C878A3" w:rsidP="00D0514F" w14:paraId="3215CDDE"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w:t>
            </w:r>
          </w:p>
          <w:p w:rsidR="00D748A1" w:rsidRPr="00C878A3" w:rsidP="00D0514F" w14:paraId="09877B3E" w14:textId="77777777">
            <w:pPr>
              <w:pStyle w:val="HTMLPreformatted"/>
              <w:rPr>
                <w:rFonts w:ascii="Times New Roman" w:hAnsi="Times New Roman" w:cs="Times New Roman"/>
                <w:sz w:val="24"/>
                <w:szCs w:val="24"/>
              </w:rPr>
            </w:pPr>
          </w:p>
          <w:p w:rsidR="00D748A1" w:rsidRPr="00C878A3" w:rsidP="00D0514F" w14:paraId="2D8FB8D7"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w:t>
            </w:r>
          </w:p>
          <w:p w:rsidR="00D748A1" w:rsidRPr="00C878A3" w:rsidP="00D0514F" w14:paraId="7DB2D63C"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w:t>
            </w:r>
          </w:p>
          <w:p w:rsidR="00D748A1" w:rsidRPr="00C878A3" w:rsidP="00D0514F" w14:paraId="50D1BC99"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w:t>
            </w:r>
          </w:p>
          <w:p w:rsidR="00D748A1" w:rsidRPr="00C878A3" w:rsidP="00D0514F" w14:paraId="193D1CB7" w14:textId="77777777">
            <w:pPr>
              <w:pStyle w:val="HTMLPreformatted"/>
              <w:rPr>
                <w:rFonts w:ascii="Times New Roman" w:hAnsi="Times New Roman" w:cs="Times New Roman"/>
                <w:sz w:val="24"/>
                <w:szCs w:val="24"/>
              </w:rPr>
            </w:pPr>
          </w:p>
          <w:p w:rsidR="00D748A1" w:rsidRPr="00C878A3" w:rsidP="00D0514F" w14:paraId="588357DE"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w:t>
            </w:r>
          </w:p>
          <w:p w:rsidR="00D748A1" w:rsidRPr="00C878A3" w:rsidP="00D0514F" w14:paraId="41CED31D"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w:t>
            </w:r>
          </w:p>
          <w:p w:rsidR="00D748A1" w:rsidRPr="00C878A3" w:rsidP="00D0514F" w14:paraId="3685D5DA"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w:t>
            </w:r>
          </w:p>
        </w:tc>
        <w:tc>
          <w:tcPr>
            <w:tcW w:w="4114" w:type="dxa"/>
            <w:shd w:val="clear" w:color="auto" w:fill="auto"/>
          </w:tcPr>
          <w:p w:rsidR="00D748A1" w:rsidRPr="00C878A3" w:rsidP="00D0514F" w14:paraId="4769EFA0" w14:textId="77777777">
            <w:pPr>
              <w:pStyle w:val="HTMLPreformatted"/>
              <w:rPr>
                <w:rFonts w:ascii="Times New Roman" w:hAnsi="Times New Roman" w:cs="Times New Roman"/>
                <w:sz w:val="24"/>
                <w:szCs w:val="24"/>
              </w:rPr>
            </w:pPr>
          </w:p>
          <w:p w:rsidR="00D748A1" w:rsidRPr="00C878A3" w:rsidP="00D0514F" w14:paraId="461AA863" w14:textId="77777777">
            <w:pPr>
              <w:pStyle w:val="HTMLPreformatted"/>
              <w:rPr>
                <w:rFonts w:ascii="Times New Roman" w:hAnsi="Times New Roman" w:cs="Times New Roman"/>
                <w:sz w:val="24"/>
                <w:szCs w:val="24"/>
              </w:rPr>
            </w:pPr>
          </w:p>
          <w:p w:rsidR="00D748A1" w:rsidRPr="00C878A3" w:rsidP="00D0514F" w14:paraId="07BAC0F3"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Case No. 20-1651-EL-AIR</w:t>
            </w:r>
          </w:p>
          <w:p w:rsidR="00D748A1" w:rsidRPr="00C878A3" w:rsidP="00D0514F" w14:paraId="2288DBBB" w14:textId="77777777">
            <w:pPr>
              <w:pStyle w:val="HTMLPreformatted"/>
              <w:rPr>
                <w:rFonts w:ascii="Times New Roman" w:hAnsi="Times New Roman" w:cs="Times New Roman"/>
                <w:sz w:val="24"/>
                <w:szCs w:val="24"/>
              </w:rPr>
            </w:pPr>
          </w:p>
          <w:p w:rsidR="00D748A1" w:rsidRPr="00C878A3" w:rsidP="00D0514F" w14:paraId="77626A46" w14:textId="77777777">
            <w:pPr>
              <w:pStyle w:val="HTMLPreformatted"/>
              <w:rPr>
                <w:rFonts w:ascii="Times New Roman" w:hAnsi="Times New Roman" w:cs="Times New Roman"/>
                <w:sz w:val="24"/>
                <w:szCs w:val="24"/>
              </w:rPr>
            </w:pPr>
          </w:p>
          <w:p w:rsidR="00D748A1" w:rsidRPr="00C878A3" w:rsidP="00D0514F" w14:paraId="1593FB5D" w14:textId="77777777">
            <w:pPr>
              <w:pStyle w:val="HTMLPreformatted"/>
              <w:rPr>
                <w:rFonts w:ascii="Times New Roman" w:hAnsi="Times New Roman" w:cs="Times New Roman"/>
                <w:sz w:val="24"/>
                <w:szCs w:val="24"/>
              </w:rPr>
            </w:pPr>
          </w:p>
          <w:p w:rsidR="00D748A1" w:rsidRPr="00C878A3" w:rsidP="00D0514F" w14:paraId="691EE30B" w14:textId="77777777">
            <w:pPr>
              <w:pStyle w:val="HTMLPreformatted"/>
              <w:rPr>
                <w:rFonts w:ascii="Times New Roman" w:hAnsi="Times New Roman" w:cs="Times New Roman"/>
                <w:sz w:val="24"/>
                <w:szCs w:val="24"/>
              </w:rPr>
            </w:pPr>
          </w:p>
          <w:p w:rsidR="00D748A1" w:rsidRPr="00C878A3" w:rsidP="00D0514F" w14:paraId="60F9090A"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Case No. 20-1652-EL-AAM</w:t>
            </w:r>
          </w:p>
          <w:p w:rsidR="00D748A1" w:rsidRPr="00C878A3" w:rsidP="00D0514F" w14:paraId="4CDCC1FD" w14:textId="77777777">
            <w:pPr>
              <w:pStyle w:val="HTMLPreformatted"/>
              <w:rPr>
                <w:rFonts w:ascii="Times New Roman" w:hAnsi="Times New Roman" w:cs="Times New Roman"/>
                <w:sz w:val="24"/>
                <w:szCs w:val="24"/>
              </w:rPr>
            </w:pPr>
          </w:p>
          <w:p w:rsidR="00D748A1" w:rsidRPr="00C878A3" w:rsidP="00D0514F" w14:paraId="4C0ADC54" w14:textId="77777777">
            <w:pPr>
              <w:pStyle w:val="HTMLPreformatted"/>
              <w:rPr>
                <w:rFonts w:ascii="Times New Roman" w:hAnsi="Times New Roman" w:cs="Times New Roman"/>
                <w:sz w:val="24"/>
                <w:szCs w:val="24"/>
              </w:rPr>
            </w:pPr>
          </w:p>
          <w:p w:rsidR="00D748A1" w:rsidRPr="00C878A3" w:rsidP="00D0514F" w14:paraId="57B35F0D" w14:textId="77777777">
            <w:pPr>
              <w:pStyle w:val="HTMLPreformatted"/>
              <w:rPr>
                <w:rFonts w:ascii="Times New Roman" w:hAnsi="Times New Roman" w:cs="Times New Roman"/>
                <w:sz w:val="24"/>
                <w:szCs w:val="24"/>
              </w:rPr>
            </w:pPr>
          </w:p>
          <w:p w:rsidR="00D748A1" w:rsidRPr="00C878A3" w:rsidP="00D0514F" w14:paraId="17525C14"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Case No. 20-1653-EL-ATA</w:t>
            </w:r>
          </w:p>
        </w:tc>
      </w:tr>
    </w:tbl>
    <w:p w:rsidR="00AA2AA1" w:rsidRPr="00C878A3" w:rsidP="00AA2AA1" w14:paraId="22501982" w14:textId="77777777">
      <w:pPr>
        <w:pBdr>
          <w:bottom w:val="single" w:sz="12" w:space="1" w:color="auto"/>
        </w:pBdr>
        <w:rPr>
          <w:szCs w:val="24"/>
        </w:rPr>
      </w:pPr>
    </w:p>
    <w:p w:rsidR="00AA2AA1" w:rsidRPr="00C878A3" w:rsidP="00AA2AA1" w14:paraId="75EF4712" w14:textId="77777777">
      <w:pPr>
        <w:rPr>
          <w:b/>
          <w:bCs/>
          <w:szCs w:val="24"/>
        </w:rPr>
      </w:pPr>
    </w:p>
    <w:p w:rsidR="00052A34" w:rsidRPr="00C878A3" w:rsidP="00052A34" w14:paraId="39817397" w14:textId="77777777">
      <w:pPr>
        <w:jc w:val="center"/>
        <w:rPr>
          <w:b/>
          <w:szCs w:val="24"/>
        </w:rPr>
      </w:pPr>
      <w:r w:rsidRPr="00C878A3">
        <w:rPr>
          <w:b/>
          <w:szCs w:val="24"/>
        </w:rPr>
        <w:t>APPLICATION FOR REHEARING</w:t>
      </w:r>
    </w:p>
    <w:p w:rsidR="00052A34" w:rsidRPr="00C878A3" w:rsidP="00052A34" w14:paraId="58A7D41E" w14:textId="3301A78B">
      <w:pPr>
        <w:jc w:val="center"/>
        <w:rPr>
          <w:b/>
          <w:szCs w:val="24"/>
        </w:rPr>
      </w:pPr>
      <w:r w:rsidRPr="00C878A3">
        <w:rPr>
          <w:b/>
          <w:szCs w:val="24"/>
        </w:rPr>
        <w:t>BY</w:t>
      </w:r>
    </w:p>
    <w:p w:rsidR="00AA2AA1" w:rsidRPr="00C878A3" w:rsidP="00AA2AA1" w14:paraId="6287272F" w14:textId="1A9B736D">
      <w:pPr>
        <w:pBdr>
          <w:bottom w:val="single" w:sz="12" w:space="1" w:color="auto"/>
        </w:pBdr>
        <w:jc w:val="center"/>
        <w:rPr>
          <w:b/>
          <w:szCs w:val="24"/>
        </w:rPr>
      </w:pPr>
      <w:r w:rsidRPr="00C878A3">
        <w:rPr>
          <w:b/>
          <w:szCs w:val="24"/>
        </w:rPr>
        <w:t>OFFICE OF THE OHIO CONSUMERS’ COUNSEL</w:t>
      </w:r>
    </w:p>
    <w:p w:rsidR="00AA2AA1" w:rsidRPr="00C878A3" w:rsidP="00AA2AA1" w14:paraId="75F72617" w14:textId="77777777">
      <w:pPr>
        <w:pBdr>
          <w:bottom w:val="single" w:sz="12" w:space="1" w:color="auto"/>
        </w:pBdr>
        <w:spacing w:after="240"/>
        <w:jc w:val="center"/>
        <w:rPr>
          <w:b/>
          <w:bCs/>
          <w:szCs w:val="24"/>
        </w:rPr>
      </w:pPr>
    </w:p>
    <w:p w:rsidR="000D0AC9" w:rsidRPr="00C878A3" w:rsidP="00052A34" w14:paraId="0C168678" w14:textId="3562101C">
      <w:pPr>
        <w:spacing w:line="480" w:lineRule="auto"/>
        <w:ind w:firstLine="720"/>
        <w:rPr>
          <w:szCs w:val="24"/>
        </w:rPr>
      </w:pPr>
      <w:r w:rsidRPr="00C878A3">
        <w:rPr>
          <w:szCs w:val="24"/>
        </w:rPr>
        <w:t>Energy prices, inflation and unemployment are soaring.</w:t>
      </w:r>
      <w:r>
        <w:rPr>
          <w:rStyle w:val="FootnoteReference"/>
          <w:szCs w:val="24"/>
        </w:rPr>
        <w:footnoteReference w:id="2"/>
      </w:r>
      <w:r w:rsidRPr="00C878A3">
        <w:rPr>
          <w:szCs w:val="24"/>
        </w:rPr>
        <w:t xml:space="preserve"> The stock market is crashing.</w:t>
      </w:r>
      <w:r>
        <w:rPr>
          <w:rStyle w:val="FootnoteReference"/>
          <w:szCs w:val="24"/>
        </w:rPr>
        <w:footnoteReference w:id="3"/>
      </w:r>
      <w:r w:rsidRPr="00C878A3">
        <w:rPr>
          <w:szCs w:val="24"/>
        </w:rPr>
        <w:t xml:space="preserve"> A recession is looming.</w:t>
      </w:r>
      <w:r>
        <w:rPr>
          <w:rStyle w:val="FootnoteReference"/>
          <w:szCs w:val="24"/>
        </w:rPr>
        <w:footnoteReference w:id="4"/>
      </w:r>
      <w:r w:rsidRPr="00C878A3">
        <w:rPr>
          <w:szCs w:val="24"/>
        </w:rPr>
        <w:t xml:space="preserve"> </w:t>
      </w:r>
      <w:r w:rsidRPr="00C878A3">
        <w:rPr>
          <w:szCs w:val="24"/>
        </w:rPr>
        <w:t xml:space="preserve">The Dayton Power and Light Company (“DP&amp;L”) </w:t>
      </w:r>
      <w:r w:rsidRPr="00C878A3" w:rsidR="009B0EBD">
        <w:rPr>
          <w:szCs w:val="24"/>
        </w:rPr>
        <w:t>wants</w:t>
      </w:r>
      <w:r w:rsidRPr="00C878A3">
        <w:rPr>
          <w:szCs w:val="24"/>
        </w:rPr>
        <w:t xml:space="preserve"> to</w:t>
      </w:r>
      <w:r w:rsidRPr="00C878A3" w:rsidR="009B0EBD">
        <w:rPr>
          <w:szCs w:val="24"/>
        </w:rPr>
        <w:t xml:space="preserve"> “pile on” t</w:t>
      </w:r>
      <w:r w:rsidRPr="00C878A3">
        <w:rPr>
          <w:szCs w:val="24"/>
        </w:rPr>
        <w:t>o consumer</w:t>
      </w:r>
      <w:r w:rsidR="00C868C6">
        <w:rPr>
          <w:szCs w:val="24"/>
        </w:rPr>
        <w:t>s</w:t>
      </w:r>
      <w:r w:rsidRPr="00C878A3" w:rsidR="0077540C">
        <w:rPr>
          <w:szCs w:val="24"/>
        </w:rPr>
        <w:t>’ eco</w:t>
      </w:r>
      <w:r w:rsidRPr="00C878A3" w:rsidR="00C51B85">
        <w:rPr>
          <w:szCs w:val="24"/>
        </w:rPr>
        <w:t>n</w:t>
      </w:r>
      <w:r w:rsidRPr="00C878A3" w:rsidR="0077540C">
        <w:rPr>
          <w:szCs w:val="24"/>
        </w:rPr>
        <w:t>omic</w:t>
      </w:r>
      <w:r w:rsidRPr="00C878A3">
        <w:rPr>
          <w:szCs w:val="24"/>
        </w:rPr>
        <w:t xml:space="preserve"> woes by </w:t>
      </w:r>
      <w:r w:rsidRPr="00C878A3" w:rsidR="009B0EBD">
        <w:rPr>
          <w:szCs w:val="24"/>
        </w:rPr>
        <w:t>increasing its rates by</w:t>
      </w:r>
      <w:r w:rsidRPr="00C878A3">
        <w:rPr>
          <w:szCs w:val="24"/>
        </w:rPr>
        <w:t xml:space="preserve"> $120.8 million, </w:t>
      </w:r>
      <w:r w:rsidRPr="00C878A3" w:rsidR="009B0EBD">
        <w:rPr>
          <w:szCs w:val="24"/>
        </w:rPr>
        <w:t>or</w:t>
      </w:r>
      <w:r w:rsidRPr="00C878A3">
        <w:rPr>
          <w:szCs w:val="24"/>
        </w:rPr>
        <w:t xml:space="preserve"> nearly 50%.</w:t>
      </w:r>
      <w:r>
        <w:rPr>
          <w:rStyle w:val="FootnoteReference"/>
          <w:szCs w:val="24"/>
        </w:rPr>
        <w:footnoteReference w:id="5"/>
      </w:r>
    </w:p>
    <w:p w:rsidR="000D0AC9" w:rsidRPr="00C878A3" w:rsidP="007E13C1" w14:paraId="2592D362" w14:textId="3CC4CBC3">
      <w:pPr>
        <w:spacing w:line="480" w:lineRule="auto"/>
        <w:ind w:firstLine="720"/>
        <w:rPr>
          <w:szCs w:val="24"/>
        </w:rPr>
      </w:pPr>
      <w:r w:rsidRPr="00C878A3">
        <w:rPr>
          <w:szCs w:val="24"/>
        </w:rPr>
        <w:t xml:space="preserve">Public Utilities Commission of Ohio (“PUCO”) </w:t>
      </w:r>
      <w:r w:rsidRPr="00C878A3">
        <w:rPr>
          <w:szCs w:val="24"/>
        </w:rPr>
        <w:t xml:space="preserve">Staff recommended a rate </w:t>
      </w:r>
      <w:r w:rsidRPr="00C878A3" w:rsidR="009B0EBD">
        <w:rPr>
          <w:szCs w:val="24"/>
        </w:rPr>
        <w:t>hike</w:t>
      </w:r>
      <w:r w:rsidRPr="00C878A3">
        <w:rPr>
          <w:szCs w:val="24"/>
        </w:rPr>
        <w:t xml:space="preserve"> of $64.3 to $69.8 million, </w:t>
      </w:r>
      <w:r w:rsidRPr="00C878A3" w:rsidR="009B0EBD">
        <w:rPr>
          <w:szCs w:val="24"/>
        </w:rPr>
        <w:t>for</w:t>
      </w:r>
      <w:r w:rsidRPr="00C878A3">
        <w:rPr>
          <w:szCs w:val="24"/>
        </w:rPr>
        <w:t xml:space="preserve"> a 26% to 29%</w:t>
      </w:r>
      <w:r w:rsidRPr="00C878A3" w:rsidR="009B0EBD">
        <w:rPr>
          <w:szCs w:val="24"/>
        </w:rPr>
        <w:t xml:space="preserve"> increase</w:t>
      </w:r>
      <w:r w:rsidRPr="00C878A3">
        <w:rPr>
          <w:szCs w:val="24"/>
        </w:rPr>
        <w:t>.</w:t>
      </w:r>
      <w:r>
        <w:rPr>
          <w:rStyle w:val="FootnoteReference"/>
          <w:szCs w:val="24"/>
        </w:rPr>
        <w:footnoteReference w:id="6"/>
      </w:r>
      <w:r w:rsidRPr="00C878A3" w:rsidR="007D0B73">
        <w:rPr>
          <w:szCs w:val="24"/>
        </w:rPr>
        <w:t xml:space="preserve"> </w:t>
      </w:r>
      <w:r w:rsidRPr="00C878A3" w:rsidR="0022137E">
        <w:rPr>
          <w:szCs w:val="24"/>
        </w:rPr>
        <w:t xml:space="preserve">The Office of the Ohio Consumers’ Counsel (“OCC”) determined that </w:t>
      </w:r>
      <w:r w:rsidRPr="00C878A3" w:rsidR="00225588">
        <w:rPr>
          <w:szCs w:val="24"/>
        </w:rPr>
        <w:t>the</w:t>
      </w:r>
      <w:r w:rsidRPr="00C878A3" w:rsidR="0022137E">
        <w:rPr>
          <w:szCs w:val="24"/>
        </w:rPr>
        <w:t xml:space="preserve"> increase should be no greater than $43</w:t>
      </w:r>
      <w:r w:rsidRPr="00C878A3" w:rsidR="00225588">
        <w:rPr>
          <w:szCs w:val="24"/>
        </w:rPr>
        <w:t>.3 million</w:t>
      </w:r>
      <w:r w:rsidRPr="00C878A3" w:rsidR="0022137E">
        <w:rPr>
          <w:szCs w:val="24"/>
        </w:rPr>
        <w:t xml:space="preserve">, or </w:t>
      </w:r>
      <w:r w:rsidRPr="00D4214F" w:rsidR="0022137E">
        <w:rPr>
          <w:szCs w:val="24"/>
        </w:rPr>
        <w:t xml:space="preserve">a </w:t>
      </w:r>
      <w:r w:rsidRPr="00D4214F" w:rsidR="00866D7F">
        <w:rPr>
          <w:szCs w:val="24"/>
        </w:rPr>
        <w:t>1</w:t>
      </w:r>
      <w:r w:rsidRPr="00D4214F" w:rsidR="008034D7">
        <w:rPr>
          <w:szCs w:val="24"/>
        </w:rPr>
        <w:t>7.6</w:t>
      </w:r>
      <w:r w:rsidRPr="00D4214F" w:rsidR="0022137E">
        <w:rPr>
          <w:szCs w:val="24"/>
        </w:rPr>
        <w:t>% increase.</w:t>
      </w:r>
      <w:r>
        <w:rPr>
          <w:rStyle w:val="FootnoteReference"/>
          <w:szCs w:val="24"/>
        </w:rPr>
        <w:footnoteReference w:id="7"/>
      </w:r>
      <w:r w:rsidRPr="00D4214F" w:rsidR="007D0B73">
        <w:rPr>
          <w:szCs w:val="24"/>
        </w:rPr>
        <w:t xml:space="preserve"> </w:t>
      </w:r>
      <w:r w:rsidRPr="00D4214F" w:rsidR="0022137E">
        <w:rPr>
          <w:szCs w:val="24"/>
        </w:rPr>
        <w:t xml:space="preserve">The PUCO approved a rate increase of $75.6 million, or a </w:t>
      </w:r>
      <w:r w:rsidRPr="00D4214F" w:rsidR="00866D7F">
        <w:rPr>
          <w:szCs w:val="24"/>
        </w:rPr>
        <w:t>3</w:t>
      </w:r>
      <w:r w:rsidRPr="00D4214F" w:rsidR="008034D7">
        <w:rPr>
          <w:szCs w:val="24"/>
        </w:rPr>
        <w:t>0.8</w:t>
      </w:r>
      <w:r w:rsidRPr="00D4214F" w:rsidR="0022137E">
        <w:rPr>
          <w:szCs w:val="24"/>
        </w:rPr>
        <w:t>% increase.</w:t>
      </w:r>
      <w:r>
        <w:rPr>
          <w:rStyle w:val="FootnoteReference"/>
          <w:szCs w:val="24"/>
        </w:rPr>
        <w:footnoteReference w:id="8"/>
      </w:r>
      <w:r w:rsidRPr="00D4214F" w:rsidR="007D0B73">
        <w:rPr>
          <w:szCs w:val="24"/>
        </w:rPr>
        <w:t xml:space="preserve"> </w:t>
      </w:r>
      <w:r w:rsidRPr="00D4214F" w:rsidR="0022137E">
        <w:rPr>
          <w:szCs w:val="24"/>
        </w:rPr>
        <w:t>The PUCO-approved increase is nearly double OCC’s recommendation</w:t>
      </w:r>
      <w:r w:rsidRPr="00C878A3" w:rsidR="0022137E">
        <w:rPr>
          <w:szCs w:val="24"/>
        </w:rPr>
        <w:t xml:space="preserve"> and is well abo</w:t>
      </w:r>
      <w:r w:rsidRPr="00C878A3" w:rsidR="0077540C">
        <w:rPr>
          <w:szCs w:val="24"/>
        </w:rPr>
        <w:t>ve</w:t>
      </w:r>
      <w:r w:rsidRPr="00C878A3" w:rsidR="0022137E">
        <w:rPr>
          <w:szCs w:val="24"/>
        </w:rPr>
        <w:t xml:space="preserve"> </w:t>
      </w:r>
      <w:r w:rsidRPr="00C878A3" w:rsidR="00F41675">
        <w:rPr>
          <w:szCs w:val="24"/>
        </w:rPr>
        <w:t xml:space="preserve">the </w:t>
      </w:r>
      <w:r w:rsidRPr="00C878A3" w:rsidR="0077540C">
        <w:rPr>
          <w:szCs w:val="24"/>
        </w:rPr>
        <w:t xml:space="preserve">PUCO </w:t>
      </w:r>
      <w:r w:rsidRPr="00C878A3" w:rsidR="0022137E">
        <w:rPr>
          <w:szCs w:val="24"/>
        </w:rPr>
        <w:t xml:space="preserve">Staff’s </w:t>
      </w:r>
      <w:r w:rsidRPr="00C878A3" w:rsidR="00F41675">
        <w:rPr>
          <w:szCs w:val="24"/>
        </w:rPr>
        <w:t xml:space="preserve">own </w:t>
      </w:r>
      <w:r w:rsidRPr="00C878A3" w:rsidR="0022137E">
        <w:rPr>
          <w:szCs w:val="24"/>
        </w:rPr>
        <w:t>recommendation.</w:t>
      </w:r>
      <w:r w:rsidRPr="00C878A3" w:rsidR="007D0B73">
        <w:rPr>
          <w:szCs w:val="24"/>
        </w:rPr>
        <w:t xml:space="preserve"> </w:t>
      </w:r>
    </w:p>
    <w:p w:rsidR="00423F6C" w:rsidRPr="00C878A3" w:rsidP="00052A34" w14:paraId="0C835177" w14:textId="65C9C3E8">
      <w:pPr>
        <w:spacing w:line="480" w:lineRule="auto"/>
        <w:ind w:firstLine="720"/>
        <w:rPr>
          <w:szCs w:val="24"/>
        </w:rPr>
      </w:pPr>
      <w:r w:rsidRPr="00C878A3">
        <w:rPr>
          <w:szCs w:val="24"/>
        </w:rPr>
        <w:t>An</w:t>
      </w:r>
      <w:r w:rsidRPr="00C878A3">
        <w:rPr>
          <w:szCs w:val="24"/>
        </w:rPr>
        <w:t xml:space="preserve"> important issue was when the rate increase would take effect.</w:t>
      </w:r>
      <w:r w:rsidRPr="00C878A3" w:rsidR="007D0B73">
        <w:rPr>
          <w:szCs w:val="24"/>
        </w:rPr>
        <w:t xml:space="preserve"> </w:t>
      </w:r>
      <w:r w:rsidRPr="00C878A3">
        <w:rPr>
          <w:szCs w:val="24"/>
        </w:rPr>
        <w:t xml:space="preserve">DP&amp;L </w:t>
      </w:r>
      <w:r w:rsidRPr="00C878A3">
        <w:rPr>
          <w:szCs w:val="24"/>
        </w:rPr>
        <w:t>wanted</w:t>
      </w:r>
      <w:r w:rsidRPr="00C878A3">
        <w:rPr>
          <w:szCs w:val="24"/>
        </w:rPr>
        <w:t xml:space="preserve"> an immediate rate increase.</w:t>
      </w:r>
      <w:r w:rsidRPr="00C878A3" w:rsidR="007D0B73">
        <w:rPr>
          <w:szCs w:val="24"/>
        </w:rPr>
        <w:t xml:space="preserve"> </w:t>
      </w:r>
      <w:r w:rsidRPr="00C878A3">
        <w:rPr>
          <w:szCs w:val="24"/>
        </w:rPr>
        <w:t xml:space="preserve">OCC </w:t>
      </w:r>
      <w:r w:rsidRPr="00C878A3">
        <w:rPr>
          <w:szCs w:val="24"/>
        </w:rPr>
        <w:t>argued</w:t>
      </w:r>
      <w:r w:rsidRPr="00C878A3">
        <w:rPr>
          <w:szCs w:val="24"/>
        </w:rPr>
        <w:t xml:space="preserve"> that DP&amp;L was operating under ESP I, which provided for a rate freeze; therefore, the rate increase could not take effect until the PUCO approved a new ESP.</w:t>
      </w:r>
      <w:r w:rsidRPr="00C878A3" w:rsidR="007D0B73">
        <w:rPr>
          <w:szCs w:val="24"/>
        </w:rPr>
        <w:t xml:space="preserve"> </w:t>
      </w:r>
      <w:r w:rsidRPr="00C878A3">
        <w:rPr>
          <w:szCs w:val="24"/>
        </w:rPr>
        <w:t xml:space="preserve">OCC commends the PUCO for </w:t>
      </w:r>
      <w:r w:rsidRPr="00C878A3">
        <w:rPr>
          <w:szCs w:val="24"/>
        </w:rPr>
        <w:t>correctly deciding</w:t>
      </w:r>
      <w:r w:rsidRPr="00C878A3">
        <w:rPr>
          <w:szCs w:val="24"/>
        </w:rPr>
        <w:t xml:space="preserve"> that DP&amp;L “is precluded from implementing an increase in rates during the period of its rate freeze…”</w:t>
      </w:r>
      <w:r>
        <w:rPr>
          <w:rStyle w:val="FootnoteReference"/>
          <w:szCs w:val="24"/>
        </w:rPr>
        <w:footnoteReference w:id="9"/>
      </w:r>
      <w:r w:rsidRPr="00C878A3" w:rsidR="007D0B73">
        <w:rPr>
          <w:szCs w:val="24"/>
        </w:rPr>
        <w:t xml:space="preserve"> </w:t>
      </w:r>
      <w:r w:rsidRPr="00C878A3">
        <w:rPr>
          <w:szCs w:val="24"/>
        </w:rPr>
        <w:t>Nevertheless,</w:t>
      </w:r>
      <w:r w:rsidRPr="00C878A3" w:rsidR="007D0B73">
        <w:rPr>
          <w:szCs w:val="24"/>
        </w:rPr>
        <w:t xml:space="preserve"> </w:t>
      </w:r>
      <w:r w:rsidRPr="00C878A3">
        <w:rPr>
          <w:szCs w:val="24"/>
        </w:rPr>
        <w:t>the PUCO should address</w:t>
      </w:r>
      <w:r w:rsidRPr="00C878A3" w:rsidR="000D3BFA">
        <w:rPr>
          <w:szCs w:val="24"/>
        </w:rPr>
        <w:t xml:space="preserve"> the issues below</w:t>
      </w:r>
      <w:r w:rsidRPr="00C878A3">
        <w:rPr>
          <w:szCs w:val="24"/>
        </w:rPr>
        <w:t xml:space="preserve"> on rehearing.</w:t>
      </w:r>
    </w:p>
    <w:p w:rsidR="00052A34" w:rsidRPr="00C878A3" w:rsidP="00052A34" w14:paraId="6BF5380E" w14:textId="656B8643">
      <w:pPr>
        <w:spacing w:line="480" w:lineRule="auto"/>
        <w:ind w:firstLine="720"/>
        <w:rPr>
          <w:szCs w:val="24"/>
        </w:rPr>
      </w:pPr>
      <w:r w:rsidRPr="00C878A3">
        <w:rPr>
          <w:szCs w:val="24"/>
        </w:rPr>
        <w:t>OCC applies for rehearing of the PUCO’s Order issued on December 14, 2022. OCC submits that the PUCO’s Order is unreasonable and unlawful in the following particulars:</w:t>
      </w:r>
    </w:p>
    <w:p w:rsidR="009B053B" w:rsidP="007C35FC" w14:paraId="3A013287" w14:textId="2DEC5DA3">
      <w:pPr>
        <w:ind w:left="720"/>
        <w:rPr>
          <w:bCs/>
        </w:rPr>
      </w:pPr>
      <w:bookmarkStart w:id="0" w:name="_Hlk124503802"/>
      <w:r w:rsidRPr="009B053B">
        <w:rPr>
          <w:bCs/>
        </w:rPr>
        <w:t>ASSIGNMENT OF ERROR NO. 1: The PUCO erred by failing to remove from plant-in-service and depreciation reserve, DP&amp;L’s earnings-based incentive compensation and $16.8 million in improper capitalized storm costs, in violation of the FERC Uniform System of Accounts, which DP&amp;L must follow under R.C. 4905.13 and O.A.C. 4901:1-9-05. Additionally, the PUCO’s ruling is contrary to past precedent, and the PUCO failed to show how its new course is “substantively reasonable and lawful.”</w:t>
      </w:r>
      <w:r>
        <w:rPr>
          <w:bCs/>
          <w:vertAlign w:val="superscript"/>
        </w:rPr>
        <w:footnoteReference w:id="10"/>
      </w:r>
    </w:p>
    <w:p w:rsidR="009B053B" w:rsidRPr="009B053B" w:rsidP="007C35FC" w14:paraId="5FD10E07" w14:textId="77777777">
      <w:pPr>
        <w:ind w:left="720"/>
        <w:rPr>
          <w:bCs/>
        </w:rPr>
      </w:pPr>
    </w:p>
    <w:p w:rsidR="009B053B" w:rsidRPr="009B053B" w:rsidP="007C35FC" w14:paraId="5AFC3C42" w14:textId="77777777">
      <w:pPr>
        <w:ind w:left="720"/>
        <w:rPr>
          <w:bCs/>
        </w:rPr>
      </w:pPr>
      <w:r w:rsidRPr="009B053B">
        <w:rPr>
          <w:bCs/>
        </w:rPr>
        <w:t>ASSIGNMENT OF ERROR NO. 2: The PUCO erred by violating R.C. 4903.09 and R.C. 4909.15 by allowing DP&amp;L to collect up to $20 million in base rates for vegetation management, and approving additional deferral authority up to $7.5 million, without any evidentiary support and based on estimates of future costs occurring outside the test year. The PUCO also acted unreasonably by not requiring DP&amp;L to update its vegetation management plan to reflect changes it proposed regarding the cycle-based tree trimming program as well as maintenance of vegetation inside and outside the right-of-way.</w:t>
      </w:r>
      <w:r w:rsidRPr="009B053B">
        <w:rPr>
          <w:bCs/>
        </w:rPr>
        <w:br w:type="page"/>
      </w:r>
    </w:p>
    <w:p w:rsidR="00052A34" w:rsidP="00024E7E" w14:paraId="3F62414A" w14:textId="4491D016">
      <w:pPr>
        <w:ind w:left="720"/>
        <w:rPr>
          <w:bCs/>
        </w:rPr>
      </w:pPr>
      <w:r w:rsidRPr="009B053B">
        <w:rPr>
          <w:bCs/>
        </w:rPr>
        <w:t>ASSIGNMENT OF ERROR NO. 3: The PUCO erred by violating R.C. 4903.09 by approving a return on equity at the upper quartile of PUCO Staff’s recommended range. The PUCO ruling was based on a perception of heightened financial risk and a need to attract investment, but the perceived financial risk was due to DP&amp;L’s own poor management decisions. The PUCO decision also failed to consider countervailing factors such as for DP&amp;L’s inadequate reliability performance and harsh economic conditions in setting the return on equity.</w:t>
      </w:r>
      <w:bookmarkEnd w:id="0"/>
    </w:p>
    <w:p w:rsidR="00024E7E" w:rsidRPr="00024E7E" w:rsidP="003B6B4D" w14:paraId="28E8B54F" w14:textId="77777777">
      <w:pPr>
        <w:spacing w:after="160"/>
        <w:ind w:left="720"/>
        <w:rPr>
          <w:bCs/>
        </w:rPr>
      </w:pPr>
    </w:p>
    <w:p w:rsidR="00AA2AA1" w:rsidRPr="00C878A3" w:rsidP="00BA6C52" w14:paraId="4BE57052" w14:textId="290A537B">
      <w:pPr>
        <w:spacing w:line="480" w:lineRule="auto"/>
        <w:ind w:firstLine="720"/>
        <w:rPr>
          <w:szCs w:val="24"/>
        </w:rPr>
      </w:pPr>
      <w:r w:rsidRPr="00C878A3">
        <w:rPr>
          <w:szCs w:val="24"/>
        </w:rPr>
        <w:t>The reasons for granting this Application for Rehearing are more fully set forth in the attached Memorandum in Support.</w:t>
      </w:r>
    </w:p>
    <w:p w:rsidR="00D748A1" w:rsidRPr="00C878A3" w:rsidP="00D748A1" w14:paraId="19B32352" w14:textId="77777777">
      <w:pPr>
        <w:pStyle w:val="ListParagraph"/>
        <w:ind w:left="4320"/>
      </w:pPr>
      <w:r w:rsidRPr="00C878A3">
        <w:t xml:space="preserve">Respectfully submitted, </w:t>
      </w:r>
    </w:p>
    <w:p w:rsidR="00D748A1" w:rsidRPr="00C878A3" w:rsidP="00D748A1" w14:paraId="085EBD43" w14:textId="77777777">
      <w:pPr>
        <w:pStyle w:val="ListParagraph"/>
        <w:ind w:left="4320"/>
      </w:pPr>
    </w:p>
    <w:p w:rsidR="00D748A1" w:rsidRPr="00C878A3" w:rsidP="00D748A1" w14:paraId="358F56DB" w14:textId="77777777">
      <w:pPr>
        <w:pStyle w:val="ListParagraph"/>
        <w:ind w:left="4320"/>
      </w:pPr>
      <w:r w:rsidRPr="00C878A3">
        <w:t xml:space="preserve">Bruce Weston (0016973) </w:t>
      </w:r>
      <w:r w:rsidRPr="00C878A3">
        <w:br/>
        <w:t xml:space="preserve">Ohio Consumers’ Counsel </w:t>
      </w:r>
      <w:r w:rsidRPr="00C878A3">
        <w:br/>
      </w:r>
    </w:p>
    <w:p w:rsidR="00D748A1" w:rsidRPr="00C878A3" w:rsidP="00D748A1" w14:paraId="5703ED25" w14:textId="09F39E0A">
      <w:pPr>
        <w:pStyle w:val="ListParagraph"/>
        <w:ind w:left="4320"/>
      </w:pPr>
      <w:r w:rsidRPr="00C878A3">
        <w:rPr>
          <w:i/>
          <w:iCs/>
          <w:u w:val="single"/>
        </w:rPr>
        <w:t>/s/</w:t>
      </w:r>
      <w:r w:rsidRPr="00C878A3">
        <w:rPr>
          <w:u w:val="single"/>
        </w:rPr>
        <w:t xml:space="preserve"> </w:t>
      </w:r>
      <w:r w:rsidRPr="00C878A3">
        <w:rPr>
          <w:i/>
          <w:iCs/>
          <w:u w:val="single"/>
        </w:rPr>
        <w:t>John Finniga</w:t>
      </w:r>
      <w:r w:rsidR="00BA6C52">
        <w:rPr>
          <w:i/>
          <w:iCs/>
          <w:u w:val="single"/>
        </w:rPr>
        <w:t>n</w:t>
      </w:r>
      <w:r w:rsidRPr="00C878A3">
        <w:br/>
        <w:t xml:space="preserve">John Finnigan (0018689) </w:t>
      </w:r>
      <w:r w:rsidRPr="00C878A3">
        <w:br/>
        <w:t xml:space="preserve">Counsel of Record </w:t>
      </w:r>
      <w:r w:rsidRPr="00C878A3">
        <w:br/>
        <w:t xml:space="preserve">Ambrosia E. Wilson (0096598) </w:t>
      </w:r>
      <w:r w:rsidRPr="00C878A3">
        <w:br/>
        <w:t xml:space="preserve">Assistant Consumers' Counsel </w:t>
      </w:r>
    </w:p>
    <w:p w:rsidR="00D748A1" w:rsidRPr="00C878A3" w:rsidP="00D748A1" w14:paraId="4CAD7943" w14:textId="77777777">
      <w:pPr>
        <w:pStyle w:val="ListParagraph"/>
        <w:ind w:left="4320"/>
      </w:pPr>
    </w:p>
    <w:p w:rsidR="00D748A1" w:rsidRPr="00C878A3" w:rsidP="00D748A1" w14:paraId="3611CA7E" w14:textId="77777777">
      <w:pPr>
        <w:pStyle w:val="ListParagraph"/>
        <w:ind w:left="4320"/>
      </w:pPr>
      <w:r w:rsidRPr="00C878A3">
        <w:rPr>
          <w:b/>
          <w:bCs/>
        </w:rPr>
        <w:t>Office of the Ohio Consumers' Counsel</w:t>
      </w:r>
    </w:p>
    <w:p w:rsidR="00D748A1" w:rsidRPr="00C878A3" w:rsidP="00D748A1" w14:paraId="639224BB" w14:textId="77777777">
      <w:pPr>
        <w:pStyle w:val="ListParagraph"/>
        <w:ind w:left="4320"/>
      </w:pPr>
      <w:r w:rsidRPr="00C878A3">
        <w:t xml:space="preserve">65 East State Street, Suite 700 </w:t>
      </w:r>
      <w:r w:rsidRPr="00C878A3">
        <w:br/>
        <w:t xml:space="preserve">Columbus, Ohio 43215 </w:t>
      </w:r>
      <w:r w:rsidRPr="00C878A3">
        <w:br/>
        <w:t xml:space="preserve">Telephone [Finnigan]: (614) 466-9585 </w:t>
      </w:r>
    </w:p>
    <w:p w:rsidR="00D748A1" w:rsidRPr="00C878A3" w:rsidP="00D748A1" w14:paraId="7897F56B" w14:textId="77777777">
      <w:pPr>
        <w:pStyle w:val="ListParagraph"/>
        <w:ind w:left="4320"/>
      </w:pPr>
      <w:r w:rsidRPr="00C878A3">
        <w:t xml:space="preserve">Telephone [Wilson]: (614) 466-1292 </w:t>
      </w:r>
      <w:hyperlink r:id="rId6" w:history="1">
        <w:r w:rsidRPr="00C878A3">
          <w:rPr>
            <w:rStyle w:val="Hyperlink"/>
            <w:color w:val="0000FF"/>
          </w:rPr>
          <w:t>john.finnigan@occ.ohio.gov</w:t>
        </w:r>
      </w:hyperlink>
      <w:r w:rsidRPr="00C878A3">
        <w:rPr>
          <w:color w:val="0000FF"/>
        </w:rPr>
        <w:t xml:space="preserve"> </w:t>
      </w:r>
      <w:hyperlink r:id="rId7" w:history="1">
        <w:r w:rsidRPr="00C878A3">
          <w:rPr>
            <w:rStyle w:val="Hyperlink"/>
            <w:color w:val="0000FF"/>
          </w:rPr>
          <w:t>ambrosia.wilson@occ.ohio.gov</w:t>
        </w:r>
      </w:hyperlink>
      <w:r w:rsidRPr="00C878A3">
        <w:t xml:space="preserve"> </w:t>
      </w:r>
    </w:p>
    <w:p w:rsidR="00D748A1" w:rsidRPr="00C878A3" w:rsidP="00D748A1" w14:paraId="78AF01C1" w14:textId="77777777">
      <w:pPr>
        <w:pStyle w:val="ListParagraph"/>
        <w:ind w:left="4320"/>
      </w:pPr>
      <w:r w:rsidRPr="00C878A3">
        <w:t>(willing to accept service by e-mail)</w:t>
      </w:r>
    </w:p>
    <w:p w:rsidR="00C77AB9" w:rsidRPr="00C878A3" w:rsidP="00AA2AA1" w14:paraId="04162E08" w14:textId="77777777">
      <w:pPr>
        <w:spacing w:line="480" w:lineRule="auto"/>
        <w:rPr>
          <w:szCs w:val="24"/>
        </w:rPr>
        <w:sectPr w:rsidSect="00166FAB">
          <w:footerReference w:type="default" r:id="rId9"/>
          <w:pgSz w:w="12240" w:h="15840"/>
          <w:pgMar w:top="1440" w:right="1800" w:bottom="1440" w:left="1800" w:header="720" w:footer="720" w:gutter="0"/>
          <w:pgNumType w:start="1"/>
          <w:cols w:space="720"/>
          <w:docGrid w:linePitch="360"/>
        </w:sectPr>
      </w:pPr>
    </w:p>
    <w:p w:rsidR="009E036E" w:rsidRPr="00C878A3" w:rsidP="00724CEB" w14:paraId="45C83328" w14:textId="77777777">
      <w:pPr>
        <w:pStyle w:val="List"/>
        <w:ind w:left="0" w:firstLine="0"/>
        <w:jc w:val="center"/>
        <w:rPr>
          <w:b/>
          <w:szCs w:val="24"/>
          <w:u w:val="single"/>
        </w:rPr>
      </w:pPr>
      <w:r w:rsidRPr="00C878A3">
        <w:rPr>
          <w:b/>
          <w:szCs w:val="24"/>
          <w:u w:val="single"/>
        </w:rPr>
        <w:t>TABLE OF CONTENTS</w:t>
      </w:r>
    </w:p>
    <w:p w:rsidR="009E036E" w:rsidRPr="00C878A3" w:rsidP="00724CEB" w14:paraId="62AF479D" w14:textId="77777777">
      <w:pPr>
        <w:pStyle w:val="List"/>
        <w:ind w:left="0" w:firstLine="0"/>
        <w:jc w:val="center"/>
        <w:rPr>
          <w:b/>
          <w:szCs w:val="24"/>
          <w:u w:val="single"/>
        </w:rPr>
      </w:pPr>
    </w:p>
    <w:p w:rsidR="009E036E" w:rsidP="009E036E" w14:paraId="3BCFA807" w14:textId="70E97D9F">
      <w:pPr>
        <w:pStyle w:val="List"/>
        <w:ind w:left="0" w:firstLine="0"/>
        <w:jc w:val="right"/>
        <w:rPr>
          <w:b/>
          <w:szCs w:val="24"/>
        </w:rPr>
      </w:pPr>
      <w:r w:rsidRPr="00C878A3">
        <w:rPr>
          <w:b/>
          <w:szCs w:val="24"/>
        </w:rPr>
        <w:t>PAGE</w:t>
      </w:r>
    </w:p>
    <w:p w:rsidR="009C441E" w:rsidRPr="00C878A3" w:rsidP="009E036E" w14:paraId="48853B9D" w14:textId="77777777">
      <w:pPr>
        <w:pStyle w:val="List"/>
        <w:ind w:left="0" w:firstLine="0"/>
        <w:jc w:val="right"/>
        <w:rPr>
          <w:b/>
          <w:szCs w:val="24"/>
        </w:rPr>
      </w:pPr>
    </w:p>
    <w:p w:rsidR="00636D77" w14:paraId="14C9A287" w14:textId="48F94BD5">
      <w:pPr>
        <w:pStyle w:val="TOC1"/>
        <w:tabs>
          <w:tab w:val="right" w:leader="dot" w:pos="8630"/>
        </w:tabs>
        <w:rPr>
          <w:rFonts w:asciiTheme="minorHAnsi" w:eastAsiaTheme="minorEastAsia" w:hAnsiTheme="minorHAnsi" w:cstheme="minorBidi"/>
          <w:noProof/>
          <w:color w:val="auto"/>
          <w:sz w:val="22"/>
          <w:szCs w:val="22"/>
        </w:rPr>
      </w:pPr>
      <w:r w:rsidRPr="00C878A3">
        <w:rPr>
          <w:b/>
          <w:bCs/>
          <w:szCs w:val="24"/>
        </w:rPr>
        <w:fldChar w:fldCharType="begin"/>
      </w:r>
      <w:r w:rsidRPr="00C878A3">
        <w:rPr>
          <w:b/>
          <w:bCs/>
          <w:szCs w:val="24"/>
        </w:rPr>
        <w:instrText xml:space="preserve"> TOC \o "1-3" \h \z \u </w:instrText>
      </w:r>
      <w:r w:rsidRPr="00C878A3">
        <w:rPr>
          <w:b/>
          <w:bCs/>
          <w:szCs w:val="24"/>
        </w:rPr>
        <w:fldChar w:fldCharType="separate"/>
      </w:r>
      <w:hyperlink w:anchor="_Toc124507965" w:history="1">
        <w:r w:rsidRPr="00AD1B32">
          <w:rPr>
            <w:rStyle w:val="Hyperlink"/>
            <w:noProof/>
          </w:rPr>
          <w:t>I.</w:t>
        </w:r>
        <w:r>
          <w:rPr>
            <w:rFonts w:asciiTheme="minorHAnsi" w:eastAsiaTheme="minorEastAsia" w:hAnsiTheme="minorHAnsi" w:cstheme="minorBidi"/>
            <w:noProof/>
            <w:color w:val="auto"/>
            <w:sz w:val="22"/>
            <w:szCs w:val="22"/>
          </w:rPr>
          <w:tab/>
        </w:r>
        <w:r w:rsidRPr="00AD1B32">
          <w:rPr>
            <w:rStyle w:val="Hyperlink"/>
            <w:noProof/>
          </w:rPr>
          <w:t>INTRODUCTION</w:t>
        </w:r>
        <w:r>
          <w:rPr>
            <w:noProof/>
            <w:webHidden/>
          </w:rPr>
          <w:tab/>
        </w:r>
        <w:r>
          <w:rPr>
            <w:noProof/>
            <w:webHidden/>
          </w:rPr>
          <w:fldChar w:fldCharType="begin"/>
        </w:r>
        <w:r>
          <w:rPr>
            <w:noProof/>
            <w:webHidden/>
          </w:rPr>
          <w:instrText xml:space="preserve"> PAGEREF _Toc124507965 \h </w:instrText>
        </w:r>
        <w:r>
          <w:rPr>
            <w:noProof/>
            <w:webHidden/>
          </w:rPr>
          <w:fldChar w:fldCharType="separate"/>
        </w:r>
        <w:r>
          <w:rPr>
            <w:noProof/>
            <w:webHidden/>
          </w:rPr>
          <w:t>1</w:t>
        </w:r>
        <w:r>
          <w:rPr>
            <w:noProof/>
            <w:webHidden/>
          </w:rPr>
          <w:fldChar w:fldCharType="end"/>
        </w:r>
      </w:hyperlink>
    </w:p>
    <w:p w:rsidR="00636D77" w14:paraId="166CCA8B" w14:textId="3418FBDB">
      <w:pPr>
        <w:pStyle w:val="TOC1"/>
        <w:tabs>
          <w:tab w:val="right" w:leader="dot" w:pos="8630"/>
        </w:tabs>
        <w:rPr>
          <w:rFonts w:asciiTheme="minorHAnsi" w:eastAsiaTheme="minorEastAsia" w:hAnsiTheme="minorHAnsi" w:cstheme="minorBidi"/>
          <w:noProof/>
          <w:color w:val="auto"/>
          <w:sz w:val="22"/>
          <w:szCs w:val="22"/>
        </w:rPr>
      </w:pPr>
      <w:hyperlink w:anchor="_Toc124507966" w:history="1">
        <w:r w:rsidRPr="00AD1B32">
          <w:rPr>
            <w:rStyle w:val="Hyperlink"/>
            <w:noProof/>
          </w:rPr>
          <w:t>II.</w:t>
        </w:r>
        <w:r>
          <w:rPr>
            <w:rFonts w:asciiTheme="minorHAnsi" w:eastAsiaTheme="minorEastAsia" w:hAnsiTheme="minorHAnsi" w:cstheme="minorBidi"/>
            <w:noProof/>
            <w:color w:val="auto"/>
            <w:sz w:val="22"/>
            <w:szCs w:val="22"/>
          </w:rPr>
          <w:tab/>
        </w:r>
        <w:r w:rsidRPr="00AD1B32">
          <w:rPr>
            <w:rStyle w:val="Hyperlink"/>
            <w:noProof/>
          </w:rPr>
          <w:t>STANDARD OF REVIEW</w:t>
        </w:r>
        <w:r>
          <w:rPr>
            <w:noProof/>
            <w:webHidden/>
          </w:rPr>
          <w:tab/>
        </w:r>
        <w:r>
          <w:rPr>
            <w:noProof/>
            <w:webHidden/>
          </w:rPr>
          <w:fldChar w:fldCharType="begin"/>
        </w:r>
        <w:r>
          <w:rPr>
            <w:noProof/>
            <w:webHidden/>
          </w:rPr>
          <w:instrText xml:space="preserve"> PAGEREF _Toc124507966 \h </w:instrText>
        </w:r>
        <w:r>
          <w:rPr>
            <w:noProof/>
            <w:webHidden/>
          </w:rPr>
          <w:fldChar w:fldCharType="separate"/>
        </w:r>
        <w:r>
          <w:rPr>
            <w:noProof/>
            <w:webHidden/>
          </w:rPr>
          <w:t>1</w:t>
        </w:r>
        <w:r>
          <w:rPr>
            <w:noProof/>
            <w:webHidden/>
          </w:rPr>
          <w:fldChar w:fldCharType="end"/>
        </w:r>
      </w:hyperlink>
    </w:p>
    <w:p w:rsidR="00636D77" w14:paraId="66A3047F" w14:textId="03FFB6C4">
      <w:pPr>
        <w:pStyle w:val="TOC1"/>
        <w:tabs>
          <w:tab w:val="right" w:leader="dot" w:pos="8630"/>
        </w:tabs>
        <w:rPr>
          <w:rFonts w:asciiTheme="minorHAnsi" w:eastAsiaTheme="minorEastAsia" w:hAnsiTheme="minorHAnsi" w:cstheme="minorBidi"/>
          <w:noProof/>
          <w:color w:val="auto"/>
          <w:sz w:val="22"/>
          <w:szCs w:val="22"/>
        </w:rPr>
      </w:pPr>
      <w:hyperlink w:anchor="_Toc124507967" w:history="1">
        <w:r w:rsidRPr="00AD1B32">
          <w:rPr>
            <w:rStyle w:val="Hyperlink"/>
            <w:noProof/>
          </w:rPr>
          <w:t xml:space="preserve">III. </w:t>
        </w:r>
        <w:r>
          <w:rPr>
            <w:rFonts w:asciiTheme="minorHAnsi" w:eastAsiaTheme="minorEastAsia" w:hAnsiTheme="minorHAnsi" w:cstheme="minorBidi"/>
            <w:noProof/>
            <w:color w:val="auto"/>
            <w:sz w:val="22"/>
            <w:szCs w:val="22"/>
          </w:rPr>
          <w:tab/>
        </w:r>
        <w:r w:rsidRPr="00AD1B32">
          <w:rPr>
            <w:rStyle w:val="Hyperlink"/>
            <w:noProof/>
          </w:rPr>
          <w:t>ARGUMENTS ON ASSIGNMENTS OF ERROR</w:t>
        </w:r>
        <w:r>
          <w:rPr>
            <w:noProof/>
            <w:webHidden/>
          </w:rPr>
          <w:tab/>
        </w:r>
        <w:r>
          <w:rPr>
            <w:noProof/>
            <w:webHidden/>
          </w:rPr>
          <w:fldChar w:fldCharType="begin"/>
        </w:r>
        <w:r>
          <w:rPr>
            <w:noProof/>
            <w:webHidden/>
          </w:rPr>
          <w:instrText xml:space="preserve"> PAGEREF _Toc124507967 \h </w:instrText>
        </w:r>
        <w:r>
          <w:rPr>
            <w:noProof/>
            <w:webHidden/>
          </w:rPr>
          <w:fldChar w:fldCharType="separate"/>
        </w:r>
        <w:r>
          <w:rPr>
            <w:noProof/>
            <w:webHidden/>
          </w:rPr>
          <w:t>3</w:t>
        </w:r>
        <w:r>
          <w:rPr>
            <w:noProof/>
            <w:webHidden/>
          </w:rPr>
          <w:fldChar w:fldCharType="end"/>
        </w:r>
      </w:hyperlink>
    </w:p>
    <w:p w:rsidR="00636D77" w14:paraId="16F0595A" w14:textId="45403222">
      <w:pPr>
        <w:pStyle w:val="TOC2"/>
        <w:tabs>
          <w:tab w:val="left" w:pos="1440"/>
          <w:tab w:val="right" w:leader="dot" w:pos="8630"/>
        </w:tabs>
        <w:rPr>
          <w:rFonts w:asciiTheme="minorHAnsi" w:eastAsiaTheme="minorEastAsia" w:hAnsiTheme="minorHAnsi" w:cstheme="minorBidi"/>
          <w:noProof/>
          <w:color w:val="auto"/>
          <w:sz w:val="22"/>
          <w:szCs w:val="22"/>
        </w:rPr>
      </w:pPr>
      <w:hyperlink w:anchor="_Toc124507968" w:history="1">
        <w:r w:rsidRPr="00AD1B32">
          <w:rPr>
            <w:rStyle w:val="Hyperlink"/>
            <w:rFonts w:eastAsia="Times New Roman"/>
            <w:bCs/>
            <w:noProof/>
            <w:lang w:bidi="en-US"/>
          </w:rPr>
          <w:t>A.</w:t>
        </w:r>
        <w:r>
          <w:rPr>
            <w:rFonts w:asciiTheme="minorHAnsi" w:eastAsiaTheme="minorEastAsia" w:hAnsiTheme="minorHAnsi" w:cstheme="minorBidi"/>
            <w:noProof/>
            <w:color w:val="auto"/>
            <w:sz w:val="22"/>
            <w:szCs w:val="22"/>
          </w:rPr>
          <w:tab/>
        </w:r>
        <w:r w:rsidRPr="00AD1B32">
          <w:rPr>
            <w:rStyle w:val="Hyperlink"/>
            <w:noProof/>
            <w:lang w:bidi="en-US"/>
          </w:rPr>
          <w:t xml:space="preserve">ASSIGNMENT OF ERROR NO. 1: The PUCO erred by </w:t>
        </w:r>
        <w:r>
          <w:rPr>
            <w:rStyle w:val="Hyperlink"/>
            <w:noProof/>
            <w:lang w:bidi="en-US"/>
          </w:rPr>
          <w:br/>
        </w:r>
        <w:r w:rsidRPr="00AD1B32">
          <w:rPr>
            <w:rStyle w:val="Hyperlink"/>
            <w:noProof/>
            <w:lang w:bidi="en-US"/>
          </w:rPr>
          <w:t xml:space="preserve">failing to remove from plant-in-service and depreciation reserve, </w:t>
        </w:r>
        <w:r>
          <w:rPr>
            <w:rStyle w:val="Hyperlink"/>
            <w:noProof/>
            <w:lang w:bidi="en-US"/>
          </w:rPr>
          <w:br/>
        </w:r>
        <w:r w:rsidRPr="00AD1B32">
          <w:rPr>
            <w:rStyle w:val="Hyperlink"/>
            <w:noProof/>
            <w:lang w:bidi="en-US"/>
          </w:rPr>
          <w:t xml:space="preserve">DP&amp;L’s earnings-based incentive compensation and $16.8 million </w:t>
        </w:r>
        <w:r>
          <w:rPr>
            <w:rStyle w:val="Hyperlink"/>
            <w:noProof/>
            <w:lang w:bidi="en-US"/>
          </w:rPr>
          <w:br/>
        </w:r>
        <w:r w:rsidRPr="00AD1B32">
          <w:rPr>
            <w:rStyle w:val="Hyperlink"/>
            <w:noProof/>
            <w:lang w:bidi="en-US"/>
          </w:rPr>
          <w:t xml:space="preserve">in improper capitalized storm costs, in violation of the FERC </w:t>
        </w:r>
        <w:r>
          <w:rPr>
            <w:rStyle w:val="Hyperlink"/>
            <w:noProof/>
            <w:lang w:bidi="en-US"/>
          </w:rPr>
          <w:br/>
        </w:r>
        <w:r w:rsidRPr="00AD1B32">
          <w:rPr>
            <w:rStyle w:val="Hyperlink"/>
            <w:noProof/>
            <w:lang w:bidi="en-US"/>
          </w:rPr>
          <w:t xml:space="preserve">Uniform System of Accounts, which DP&amp;L must follow under </w:t>
        </w:r>
        <w:r>
          <w:rPr>
            <w:rStyle w:val="Hyperlink"/>
            <w:noProof/>
            <w:lang w:bidi="en-US"/>
          </w:rPr>
          <w:br/>
        </w:r>
        <w:r w:rsidRPr="00AD1B32">
          <w:rPr>
            <w:rStyle w:val="Hyperlink"/>
            <w:noProof/>
            <w:lang w:bidi="en-US"/>
          </w:rPr>
          <w:t xml:space="preserve">R.C. 4905.13 and O.A.C. 4901:1-9-05. Additionally, the PUCO’s </w:t>
        </w:r>
        <w:r>
          <w:rPr>
            <w:rStyle w:val="Hyperlink"/>
            <w:noProof/>
            <w:lang w:bidi="en-US"/>
          </w:rPr>
          <w:br/>
        </w:r>
        <w:r w:rsidRPr="00AD1B32">
          <w:rPr>
            <w:rStyle w:val="Hyperlink"/>
            <w:noProof/>
            <w:lang w:bidi="en-US"/>
          </w:rPr>
          <w:t xml:space="preserve">ruling is contrary to past precedent, and the PUCO failed to show </w:t>
        </w:r>
        <w:r>
          <w:rPr>
            <w:rStyle w:val="Hyperlink"/>
            <w:noProof/>
            <w:lang w:bidi="en-US"/>
          </w:rPr>
          <w:br/>
        </w:r>
        <w:r w:rsidRPr="00AD1B32">
          <w:rPr>
            <w:rStyle w:val="Hyperlink"/>
            <w:noProof/>
            <w:lang w:bidi="en-US"/>
          </w:rPr>
          <w:t>how its new course is</w:t>
        </w:r>
        <w:r>
          <w:rPr>
            <w:noProof/>
            <w:webHidden/>
          </w:rPr>
          <w:tab/>
        </w:r>
        <w:r>
          <w:rPr>
            <w:noProof/>
            <w:webHidden/>
          </w:rPr>
          <w:fldChar w:fldCharType="begin"/>
        </w:r>
        <w:r>
          <w:rPr>
            <w:noProof/>
            <w:webHidden/>
          </w:rPr>
          <w:instrText xml:space="preserve"> PAGEREF _Toc124507968 \h </w:instrText>
        </w:r>
        <w:r>
          <w:rPr>
            <w:noProof/>
            <w:webHidden/>
          </w:rPr>
          <w:fldChar w:fldCharType="separate"/>
        </w:r>
        <w:r>
          <w:rPr>
            <w:noProof/>
            <w:webHidden/>
          </w:rPr>
          <w:t>3</w:t>
        </w:r>
        <w:r>
          <w:rPr>
            <w:noProof/>
            <w:webHidden/>
          </w:rPr>
          <w:fldChar w:fldCharType="end"/>
        </w:r>
      </w:hyperlink>
    </w:p>
    <w:p w:rsidR="00636D77" w14:paraId="1DA083AD" w14:textId="2AA72FE8">
      <w:pPr>
        <w:pStyle w:val="TOC2"/>
        <w:tabs>
          <w:tab w:val="left" w:pos="1440"/>
          <w:tab w:val="right" w:leader="dot" w:pos="8630"/>
        </w:tabs>
        <w:rPr>
          <w:rFonts w:asciiTheme="minorHAnsi" w:eastAsiaTheme="minorEastAsia" w:hAnsiTheme="minorHAnsi" w:cstheme="minorBidi"/>
          <w:noProof/>
          <w:color w:val="auto"/>
          <w:sz w:val="22"/>
          <w:szCs w:val="22"/>
        </w:rPr>
      </w:pPr>
      <w:hyperlink w:anchor="_Toc124507969" w:history="1">
        <w:r w:rsidRPr="00AD1B32">
          <w:rPr>
            <w:rStyle w:val="Hyperlink"/>
            <w:noProof/>
          </w:rPr>
          <w:t>B.</w:t>
        </w:r>
        <w:r>
          <w:rPr>
            <w:rFonts w:asciiTheme="minorHAnsi" w:eastAsiaTheme="minorEastAsia" w:hAnsiTheme="minorHAnsi" w:cstheme="minorBidi"/>
            <w:noProof/>
            <w:color w:val="auto"/>
            <w:sz w:val="22"/>
            <w:szCs w:val="22"/>
          </w:rPr>
          <w:tab/>
        </w:r>
        <w:r w:rsidRPr="00AD1B32">
          <w:rPr>
            <w:rStyle w:val="Hyperlink"/>
            <w:noProof/>
          </w:rPr>
          <w:t xml:space="preserve">ASSIGNMENT OF ERROR NO. 2: </w:t>
        </w:r>
        <w:r w:rsidRPr="00AD1B32">
          <w:rPr>
            <w:rStyle w:val="Hyperlink"/>
            <w:bCs/>
            <w:noProof/>
            <w:lang w:bidi="en-US"/>
          </w:rPr>
          <w:t xml:space="preserve">The PUCO erred by </w:t>
        </w:r>
        <w:r>
          <w:rPr>
            <w:rStyle w:val="Hyperlink"/>
            <w:bCs/>
            <w:noProof/>
            <w:lang w:bidi="en-US"/>
          </w:rPr>
          <w:br/>
        </w:r>
        <w:r w:rsidRPr="00AD1B32">
          <w:rPr>
            <w:rStyle w:val="Hyperlink"/>
            <w:bCs/>
            <w:noProof/>
            <w:lang w:bidi="en-US"/>
          </w:rPr>
          <w:t xml:space="preserve">violating R.C. 4903.09 and R.C. 4909.15 by allowing DP&amp;L to </w:t>
        </w:r>
        <w:r>
          <w:rPr>
            <w:rStyle w:val="Hyperlink"/>
            <w:bCs/>
            <w:noProof/>
            <w:lang w:bidi="en-US"/>
          </w:rPr>
          <w:br/>
        </w:r>
        <w:r w:rsidRPr="00AD1B32">
          <w:rPr>
            <w:rStyle w:val="Hyperlink"/>
            <w:bCs/>
            <w:noProof/>
            <w:lang w:bidi="en-US"/>
          </w:rPr>
          <w:t xml:space="preserve">collect up to $20 million in base rates for vegetation </w:t>
        </w:r>
        <w:r>
          <w:rPr>
            <w:rStyle w:val="Hyperlink"/>
            <w:bCs/>
            <w:noProof/>
            <w:lang w:bidi="en-US"/>
          </w:rPr>
          <w:br/>
        </w:r>
        <w:r w:rsidRPr="00AD1B32">
          <w:rPr>
            <w:rStyle w:val="Hyperlink"/>
            <w:bCs/>
            <w:noProof/>
            <w:lang w:bidi="en-US"/>
          </w:rPr>
          <w:t xml:space="preserve">management, and approving additional deferral authority up to </w:t>
        </w:r>
        <w:r>
          <w:rPr>
            <w:rStyle w:val="Hyperlink"/>
            <w:bCs/>
            <w:noProof/>
            <w:lang w:bidi="en-US"/>
          </w:rPr>
          <w:br/>
        </w:r>
        <w:r w:rsidRPr="00AD1B32">
          <w:rPr>
            <w:rStyle w:val="Hyperlink"/>
            <w:bCs/>
            <w:noProof/>
            <w:lang w:bidi="en-US"/>
          </w:rPr>
          <w:t xml:space="preserve">$7.5 million, without any evidentiary support and based on </w:t>
        </w:r>
        <w:r>
          <w:rPr>
            <w:rStyle w:val="Hyperlink"/>
            <w:bCs/>
            <w:noProof/>
            <w:lang w:bidi="en-US"/>
          </w:rPr>
          <w:br/>
        </w:r>
        <w:r w:rsidRPr="00AD1B32">
          <w:rPr>
            <w:rStyle w:val="Hyperlink"/>
            <w:bCs/>
            <w:noProof/>
            <w:lang w:bidi="en-US"/>
          </w:rPr>
          <w:t xml:space="preserve">estimates of future costs occurring outside the test year. The </w:t>
        </w:r>
        <w:r>
          <w:rPr>
            <w:rStyle w:val="Hyperlink"/>
            <w:bCs/>
            <w:noProof/>
            <w:lang w:bidi="en-US"/>
          </w:rPr>
          <w:br/>
        </w:r>
        <w:r w:rsidRPr="00AD1B32">
          <w:rPr>
            <w:rStyle w:val="Hyperlink"/>
            <w:bCs/>
            <w:noProof/>
            <w:lang w:bidi="en-US"/>
          </w:rPr>
          <w:t xml:space="preserve">PUCO also acted unreasonably by not requiring DP&amp;L to update </w:t>
        </w:r>
        <w:r>
          <w:rPr>
            <w:rStyle w:val="Hyperlink"/>
            <w:bCs/>
            <w:noProof/>
            <w:lang w:bidi="en-US"/>
          </w:rPr>
          <w:br/>
        </w:r>
        <w:r w:rsidRPr="00AD1B32">
          <w:rPr>
            <w:rStyle w:val="Hyperlink"/>
            <w:bCs/>
            <w:noProof/>
            <w:lang w:bidi="en-US"/>
          </w:rPr>
          <w:t xml:space="preserve">its vegetation management plan to reflect changes it proposed </w:t>
        </w:r>
        <w:r>
          <w:rPr>
            <w:rStyle w:val="Hyperlink"/>
            <w:bCs/>
            <w:noProof/>
            <w:lang w:bidi="en-US"/>
          </w:rPr>
          <w:br/>
        </w:r>
        <w:r w:rsidRPr="00AD1B32">
          <w:rPr>
            <w:rStyle w:val="Hyperlink"/>
            <w:bCs/>
            <w:noProof/>
            <w:lang w:bidi="en-US"/>
          </w:rPr>
          <w:t xml:space="preserve">regarding the cycle-based tree trimming program as well as </w:t>
        </w:r>
        <w:r>
          <w:rPr>
            <w:rStyle w:val="Hyperlink"/>
            <w:bCs/>
            <w:noProof/>
            <w:lang w:bidi="en-US"/>
          </w:rPr>
          <w:br/>
        </w:r>
        <w:r w:rsidRPr="00AD1B32">
          <w:rPr>
            <w:rStyle w:val="Hyperlink"/>
            <w:bCs/>
            <w:noProof/>
            <w:lang w:bidi="en-US"/>
          </w:rPr>
          <w:t>maintenance of vegetation inside and outside the right-of-way.</w:t>
        </w:r>
        <w:r>
          <w:rPr>
            <w:noProof/>
            <w:webHidden/>
          </w:rPr>
          <w:tab/>
        </w:r>
        <w:r>
          <w:rPr>
            <w:noProof/>
            <w:webHidden/>
          </w:rPr>
          <w:fldChar w:fldCharType="begin"/>
        </w:r>
        <w:r>
          <w:rPr>
            <w:noProof/>
            <w:webHidden/>
          </w:rPr>
          <w:instrText xml:space="preserve"> PAGEREF _Toc124507969 \h </w:instrText>
        </w:r>
        <w:r>
          <w:rPr>
            <w:noProof/>
            <w:webHidden/>
          </w:rPr>
          <w:fldChar w:fldCharType="separate"/>
        </w:r>
        <w:r>
          <w:rPr>
            <w:noProof/>
            <w:webHidden/>
          </w:rPr>
          <w:t>7</w:t>
        </w:r>
        <w:r>
          <w:rPr>
            <w:noProof/>
            <w:webHidden/>
          </w:rPr>
          <w:fldChar w:fldCharType="end"/>
        </w:r>
      </w:hyperlink>
    </w:p>
    <w:p w:rsidR="00636D77" w14:paraId="31E83D3E" w14:textId="5806140D">
      <w:pPr>
        <w:pStyle w:val="TOC3"/>
        <w:tabs>
          <w:tab w:val="left" w:pos="2160"/>
          <w:tab w:val="right" w:leader="dot" w:pos="8630"/>
        </w:tabs>
        <w:rPr>
          <w:rFonts w:asciiTheme="minorHAnsi" w:eastAsiaTheme="minorEastAsia" w:hAnsiTheme="minorHAnsi" w:cstheme="minorBidi"/>
          <w:noProof/>
          <w:color w:val="auto"/>
          <w:sz w:val="22"/>
          <w:szCs w:val="22"/>
        </w:rPr>
      </w:pPr>
      <w:hyperlink w:anchor="_Toc124507970" w:history="1">
        <w:r w:rsidRPr="00AD1B32">
          <w:rPr>
            <w:rStyle w:val="Hyperlink"/>
            <w:noProof/>
          </w:rPr>
          <w:t>1.</w:t>
        </w:r>
        <w:r>
          <w:rPr>
            <w:rFonts w:asciiTheme="minorHAnsi" w:eastAsiaTheme="minorEastAsia" w:hAnsiTheme="minorHAnsi" w:cstheme="minorBidi"/>
            <w:noProof/>
            <w:color w:val="auto"/>
            <w:sz w:val="22"/>
            <w:szCs w:val="22"/>
          </w:rPr>
          <w:tab/>
        </w:r>
        <w:r w:rsidRPr="00AD1B32">
          <w:rPr>
            <w:rStyle w:val="Hyperlink"/>
            <w:noProof/>
          </w:rPr>
          <w:t>Background of DP&amp;L’s current vegetation management performance.</w:t>
        </w:r>
        <w:r>
          <w:rPr>
            <w:noProof/>
            <w:webHidden/>
          </w:rPr>
          <w:tab/>
        </w:r>
        <w:r>
          <w:rPr>
            <w:noProof/>
            <w:webHidden/>
          </w:rPr>
          <w:fldChar w:fldCharType="begin"/>
        </w:r>
        <w:r>
          <w:rPr>
            <w:noProof/>
            <w:webHidden/>
          </w:rPr>
          <w:instrText xml:space="preserve"> PAGEREF _Toc124507970 \h </w:instrText>
        </w:r>
        <w:r>
          <w:rPr>
            <w:noProof/>
            <w:webHidden/>
          </w:rPr>
          <w:fldChar w:fldCharType="separate"/>
        </w:r>
        <w:r>
          <w:rPr>
            <w:noProof/>
            <w:webHidden/>
          </w:rPr>
          <w:t>7</w:t>
        </w:r>
        <w:r>
          <w:rPr>
            <w:noProof/>
            <w:webHidden/>
          </w:rPr>
          <w:fldChar w:fldCharType="end"/>
        </w:r>
      </w:hyperlink>
    </w:p>
    <w:p w:rsidR="00636D77" w14:paraId="3582529C" w14:textId="0689DDCD">
      <w:pPr>
        <w:pStyle w:val="TOC3"/>
        <w:tabs>
          <w:tab w:val="left" w:pos="2160"/>
          <w:tab w:val="right" w:leader="dot" w:pos="8630"/>
        </w:tabs>
        <w:rPr>
          <w:rFonts w:asciiTheme="minorHAnsi" w:eastAsiaTheme="minorEastAsia" w:hAnsiTheme="minorHAnsi" w:cstheme="minorBidi"/>
          <w:noProof/>
          <w:color w:val="auto"/>
          <w:sz w:val="22"/>
          <w:szCs w:val="22"/>
        </w:rPr>
      </w:pPr>
      <w:hyperlink w:anchor="_Toc124507971" w:history="1">
        <w:r w:rsidRPr="00AD1B32">
          <w:rPr>
            <w:rStyle w:val="Hyperlink"/>
            <w:noProof/>
          </w:rPr>
          <w:t>2.</w:t>
        </w:r>
        <w:r>
          <w:rPr>
            <w:rFonts w:asciiTheme="minorHAnsi" w:eastAsiaTheme="minorEastAsia" w:hAnsiTheme="minorHAnsi" w:cstheme="minorBidi"/>
            <w:noProof/>
            <w:color w:val="auto"/>
            <w:sz w:val="22"/>
            <w:szCs w:val="22"/>
          </w:rPr>
          <w:tab/>
        </w:r>
        <w:r w:rsidRPr="00AD1B32">
          <w:rPr>
            <w:rStyle w:val="Hyperlink"/>
            <w:noProof/>
          </w:rPr>
          <w:t xml:space="preserve">Approved vegetation management expenses included in </w:t>
        </w:r>
        <w:r>
          <w:rPr>
            <w:rStyle w:val="Hyperlink"/>
            <w:noProof/>
          </w:rPr>
          <w:br/>
        </w:r>
        <w:r w:rsidRPr="00AD1B32">
          <w:rPr>
            <w:rStyle w:val="Hyperlink"/>
            <w:noProof/>
          </w:rPr>
          <w:t xml:space="preserve">base rates unreasonably and unlawfully include expenses </w:t>
        </w:r>
        <w:r>
          <w:rPr>
            <w:rStyle w:val="Hyperlink"/>
            <w:noProof/>
          </w:rPr>
          <w:br/>
        </w:r>
        <w:r w:rsidRPr="00AD1B32">
          <w:rPr>
            <w:rStyle w:val="Hyperlink"/>
            <w:noProof/>
          </w:rPr>
          <w:t>outside of the test year.</w:t>
        </w:r>
        <w:r>
          <w:rPr>
            <w:noProof/>
            <w:webHidden/>
          </w:rPr>
          <w:tab/>
        </w:r>
        <w:r>
          <w:rPr>
            <w:noProof/>
            <w:webHidden/>
          </w:rPr>
          <w:fldChar w:fldCharType="begin"/>
        </w:r>
        <w:r>
          <w:rPr>
            <w:noProof/>
            <w:webHidden/>
          </w:rPr>
          <w:instrText xml:space="preserve"> PAGEREF _Toc124507971 \h </w:instrText>
        </w:r>
        <w:r>
          <w:rPr>
            <w:noProof/>
            <w:webHidden/>
          </w:rPr>
          <w:fldChar w:fldCharType="separate"/>
        </w:r>
        <w:r>
          <w:rPr>
            <w:noProof/>
            <w:webHidden/>
          </w:rPr>
          <w:t>11</w:t>
        </w:r>
        <w:r>
          <w:rPr>
            <w:noProof/>
            <w:webHidden/>
          </w:rPr>
          <w:fldChar w:fldCharType="end"/>
        </w:r>
      </w:hyperlink>
    </w:p>
    <w:p w:rsidR="00636D77" w14:paraId="63A7F167" w14:textId="01B26824">
      <w:pPr>
        <w:pStyle w:val="TOC3"/>
        <w:tabs>
          <w:tab w:val="left" w:pos="2160"/>
          <w:tab w:val="right" w:leader="dot" w:pos="8630"/>
        </w:tabs>
        <w:rPr>
          <w:rFonts w:asciiTheme="minorHAnsi" w:eastAsiaTheme="minorEastAsia" w:hAnsiTheme="minorHAnsi" w:cstheme="minorBidi"/>
          <w:noProof/>
          <w:color w:val="auto"/>
          <w:sz w:val="22"/>
          <w:szCs w:val="22"/>
        </w:rPr>
      </w:pPr>
      <w:hyperlink w:anchor="_Toc124507972" w:history="1">
        <w:r w:rsidRPr="00AD1B32">
          <w:rPr>
            <w:rStyle w:val="Hyperlink"/>
            <w:noProof/>
          </w:rPr>
          <w:t>3.</w:t>
        </w:r>
        <w:r>
          <w:rPr>
            <w:rFonts w:asciiTheme="minorHAnsi" w:eastAsiaTheme="minorEastAsia" w:hAnsiTheme="minorHAnsi" w:cstheme="minorBidi"/>
            <w:noProof/>
            <w:color w:val="auto"/>
            <w:sz w:val="22"/>
            <w:szCs w:val="22"/>
          </w:rPr>
          <w:tab/>
        </w:r>
        <w:r w:rsidRPr="00AD1B32">
          <w:rPr>
            <w:rStyle w:val="Hyperlink"/>
            <w:noProof/>
          </w:rPr>
          <w:t>Deferred vegetation management costs.</w:t>
        </w:r>
        <w:r>
          <w:rPr>
            <w:noProof/>
            <w:webHidden/>
          </w:rPr>
          <w:tab/>
        </w:r>
        <w:r>
          <w:rPr>
            <w:noProof/>
            <w:webHidden/>
          </w:rPr>
          <w:fldChar w:fldCharType="begin"/>
        </w:r>
        <w:r>
          <w:rPr>
            <w:noProof/>
            <w:webHidden/>
          </w:rPr>
          <w:instrText xml:space="preserve"> PAGEREF _Toc124507972 \h </w:instrText>
        </w:r>
        <w:r>
          <w:rPr>
            <w:noProof/>
            <w:webHidden/>
          </w:rPr>
          <w:fldChar w:fldCharType="separate"/>
        </w:r>
        <w:r>
          <w:rPr>
            <w:noProof/>
            <w:webHidden/>
          </w:rPr>
          <w:t>14</w:t>
        </w:r>
        <w:r>
          <w:rPr>
            <w:noProof/>
            <w:webHidden/>
          </w:rPr>
          <w:fldChar w:fldCharType="end"/>
        </w:r>
      </w:hyperlink>
    </w:p>
    <w:p w:rsidR="00636D77" w14:paraId="3CE4E83E" w14:textId="7FC40BB8">
      <w:pPr>
        <w:pStyle w:val="TOC3"/>
        <w:tabs>
          <w:tab w:val="left" w:pos="2160"/>
          <w:tab w:val="right" w:leader="dot" w:pos="8630"/>
        </w:tabs>
        <w:rPr>
          <w:rFonts w:asciiTheme="minorHAnsi" w:eastAsiaTheme="minorEastAsia" w:hAnsiTheme="minorHAnsi" w:cstheme="minorBidi"/>
          <w:noProof/>
          <w:color w:val="auto"/>
          <w:sz w:val="22"/>
          <w:szCs w:val="22"/>
        </w:rPr>
      </w:pPr>
      <w:hyperlink w:anchor="_Toc124507973" w:history="1">
        <w:r w:rsidRPr="00AD1B32">
          <w:rPr>
            <w:rStyle w:val="Hyperlink"/>
            <w:noProof/>
          </w:rPr>
          <w:t>4.</w:t>
        </w:r>
        <w:r>
          <w:rPr>
            <w:rFonts w:asciiTheme="minorHAnsi" w:eastAsiaTheme="minorEastAsia" w:hAnsiTheme="minorHAnsi" w:cstheme="minorBidi"/>
            <w:noProof/>
            <w:color w:val="auto"/>
            <w:sz w:val="22"/>
            <w:szCs w:val="22"/>
          </w:rPr>
          <w:tab/>
        </w:r>
        <w:r w:rsidRPr="00AD1B32">
          <w:rPr>
            <w:rStyle w:val="Hyperlink"/>
            <w:noProof/>
          </w:rPr>
          <w:t>Failure to update vegetation management plan.</w:t>
        </w:r>
        <w:r>
          <w:rPr>
            <w:noProof/>
            <w:webHidden/>
          </w:rPr>
          <w:tab/>
        </w:r>
        <w:r>
          <w:rPr>
            <w:noProof/>
            <w:webHidden/>
          </w:rPr>
          <w:fldChar w:fldCharType="begin"/>
        </w:r>
        <w:r>
          <w:rPr>
            <w:noProof/>
            <w:webHidden/>
          </w:rPr>
          <w:instrText xml:space="preserve"> PAGEREF _Toc124507973 \h </w:instrText>
        </w:r>
        <w:r>
          <w:rPr>
            <w:noProof/>
            <w:webHidden/>
          </w:rPr>
          <w:fldChar w:fldCharType="separate"/>
        </w:r>
        <w:r>
          <w:rPr>
            <w:noProof/>
            <w:webHidden/>
          </w:rPr>
          <w:t>17</w:t>
        </w:r>
        <w:r>
          <w:rPr>
            <w:noProof/>
            <w:webHidden/>
          </w:rPr>
          <w:fldChar w:fldCharType="end"/>
        </w:r>
      </w:hyperlink>
    </w:p>
    <w:p w:rsidR="00636D77" w14:paraId="34AE549C" w14:textId="3F395977">
      <w:pPr>
        <w:pStyle w:val="TOC2"/>
        <w:tabs>
          <w:tab w:val="left" w:pos="1440"/>
          <w:tab w:val="right" w:leader="dot" w:pos="8630"/>
        </w:tabs>
        <w:rPr>
          <w:rFonts w:asciiTheme="minorHAnsi" w:eastAsiaTheme="minorEastAsia" w:hAnsiTheme="minorHAnsi" w:cstheme="minorBidi"/>
          <w:noProof/>
          <w:color w:val="auto"/>
          <w:sz w:val="22"/>
          <w:szCs w:val="22"/>
        </w:rPr>
      </w:pPr>
      <w:hyperlink w:anchor="_Toc124507974" w:history="1">
        <w:r w:rsidRPr="00AD1B32">
          <w:rPr>
            <w:rStyle w:val="Hyperlink"/>
            <w:noProof/>
            <w:lang w:bidi="en-US"/>
          </w:rPr>
          <w:t>C.</w:t>
        </w:r>
        <w:r>
          <w:rPr>
            <w:rFonts w:asciiTheme="minorHAnsi" w:eastAsiaTheme="minorEastAsia" w:hAnsiTheme="minorHAnsi" w:cstheme="minorBidi"/>
            <w:noProof/>
            <w:color w:val="auto"/>
            <w:sz w:val="22"/>
            <w:szCs w:val="22"/>
          </w:rPr>
          <w:tab/>
        </w:r>
        <w:r w:rsidRPr="00AD1B32">
          <w:rPr>
            <w:rStyle w:val="Hyperlink"/>
            <w:noProof/>
            <w:lang w:bidi="en-US"/>
          </w:rPr>
          <w:t xml:space="preserve">ASSIGNMENT OF ERROR NO. 3: </w:t>
        </w:r>
        <w:r w:rsidRPr="00AD1B32">
          <w:rPr>
            <w:rStyle w:val="Hyperlink"/>
            <w:bCs/>
            <w:noProof/>
            <w:lang w:bidi="en-US"/>
          </w:rPr>
          <w:t xml:space="preserve">The PUCO erred by </w:t>
        </w:r>
        <w:r>
          <w:rPr>
            <w:rStyle w:val="Hyperlink"/>
            <w:bCs/>
            <w:noProof/>
            <w:lang w:bidi="en-US"/>
          </w:rPr>
          <w:br/>
        </w:r>
        <w:r w:rsidRPr="00AD1B32">
          <w:rPr>
            <w:rStyle w:val="Hyperlink"/>
            <w:bCs/>
            <w:noProof/>
            <w:lang w:bidi="en-US"/>
          </w:rPr>
          <w:t xml:space="preserve">violating R.C. 4903.09 by approving a return on equity at the </w:t>
        </w:r>
        <w:r>
          <w:rPr>
            <w:rStyle w:val="Hyperlink"/>
            <w:bCs/>
            <w:noProof/>
            <w:lang w:bidi="en-US"/>
          </w:rPr>
          <w:br/>
        </w:r>
        <w:r w:rsidRPr="00AD1B32">
          <w:rPr>
            <w:rStyle w:val="Hyperlink"/>
            <w:bCs/>
            <w:noProof/>
            <w:lang w:bidi="en-US"/>
          </w:rPr>
          <w:t xml:space="preserve">upper quartile of PUCO Staff’s recommended range. The </w:t>
        </w:r>
        <w:r>
          <w:rPr>
            <w:rStyle w:val="Hyperlink"/>
            <w:bCs/>
            <w:noProof/>
            <w:lang w:bidi="en-US"/>
          </w:rPr>
          <w:br/>
        </w:r>
        <w:r w:rsidRPr="00AD1B32">
          <w:rPr>
            <w:rStyle w:val="Hyperlink"/>
            <w:bCs/>
            <w:noProof/>
            <w:lang w:bidi="en-US"/>
          </w:rPr>
          <w:t xml:space="preserve">PUCO ruling was based on a perception of heightened financial </w:t>
        </w:r>
        <w:r>
          <w:rPr>
            <w:rStyle w:val="Hyperlink"/>
            <w:bCs/>
            <w:noProof/>
            <w:lang w:bidi="en-US"/>
          </w:rPr>
          <w:br/>
        </w:r>
        <w:r w:rsidRPr="00AD1B32">
          <w:rPr>
            <w:rStyle w:val="Hyperlink"/>
            <w:bCs/>
            <w:noProof/>
            <w:lang w:bidi="en-US"/>
          </w:rPr>
          <w:t xml:space="preserve">risk and a need to attract investment, but the perceived financial </w:t>
        </w:r>
        <w:r>
          <w:rPr>
            <w:rStyle w:val="Hyperlink"/>
            <w:bCs/>
            <w:noProof/>
            <w:lang w:bidi="en-US"/>
          </w:rPr>
          <w:br/>
        </w:r>
        <w:r w:rsidRPr="00AD1B32">
          <w:rPr>
            <w:rStyle w:val="Hyperlink"/>
            <w:bCs/>
            <w:noProof/>
            <w:lang w:bidi="en-US"/>
          </w:rPr>
          <w:t xml:space="preserve">risk was due to DP&amp;L’s own poor management decisions. The </w:t>
        </w:r>
        <w:r>
          <w:rPr>
            <w:rStyle w:val="Hyperlink"/>
            <w:bCs/>
            <w:noProof/>
            <w:lang w:bidi="en-US"/>
          </w:rPr>
          <w:br/>
        </w:r>
        <w:r w:rsidRPr="00AD1B32">
          <w:rPr>
            <w:rStyle w:val="Hyperlink"/>
            <w:bCs/>
            <w:noProof/>
            <w:lang w:bidi="en-US"/>
          </w:rPr>
          <w:t xml:space="preserve">PUCO decision also failed to consider countervailing factors </w:t>
        </w:r>
        <w:r>
          <w:rPr>
            <w:rStyle w:val="Hyperlink"/>
            <w:bCs/>
            <w:noProof/>
            <w:lang w:bidi="en-US"/>
          </w:rPr>
          <w:br/>
        </w:r>
        <w:r w:rsidRPr="00AD1B32">
          <w:rPr>
            <w:rStyle w:val="Hyperlink"/>
            <w:bCs/>
            <w:noProof/>
            <w:lang w:bidi="en-US"/>
          </w:rPr>
          <w:t xml:space="preserve">such as for DP&amp;L’s inadequate reliability performance and </w:t>
        </w:r>
        <w:r>
          <w:rPr>
            <w:rStyle w:val="Hyperlink"/>
            <w:bCs/>
            <w:noProof/>
            <w:lang w:bidi="en-US"/>
          </w:rPr>
          <w:br/>
        </w:r>
        <w:r w:rsidRPr="00AD1B32">
          <w:rPr>
            <w:rStyle w:val="Hyperlink"/>
            <w:bCs/>
            <w:noProof/>
            <w:lang w:bidi="en-US"/>
          </w:rPr>
          <w:t>harsh economic conditions in setting the return on equity.</w:t>
        </w:r>
        <w:r>
          <w:rPr>
            <w:noProof/>
            <w:webHidden/>
          </w:rPr>
          <w:tab/>
        </w:r>
        <w:r>
          <w:rPr>
            <w:noProof/>
            <w:webHidden/>
          </w:rPr>
          <w:fldChar w:fldCharType="begin"/>
        </w:r>
        <w:r>
          <w:rPr>
            <w:noProof/>
            <w:webHidden/>
          </w:rPr>
          <w:instrText xml:space="preserve"> PAGEREF _Toc124507974 \h </w:instrText>
        </w:r>
        <w:r>
          <w:rPr>
            <w:noProof/>
            <w:webHidden/>
          </w:rPr>
          <w:fldChar w:fldCharType="separate"/>
        </w:r>
        <w:r>
          <w:rPr>
            <w:noProof/>
            <w:webHidden/>
          </w:rPr>
          <w:t>18</w:t>
        </w:r>
        <w:r>
          <w:rPr>
            <w:noProof/>
            <w:webHidden/>
          </w:rPr>
          <w:fldChar w:fldCharType="end"/>
        </w:r>
      </w:hyperlink>
    </w:p>
    <w:p w:rsidR="00636D77" w14:paraId="1EF0C675" w14:textId="14817CBC">
      <w:pPr>
        <w:pStyle w:val="TOC1"/>
        <w:tabs>
          <w:tab w:val="right" w:leader="dot" w:pos="8630"/>
        </w:tabs>
        <w:rPr>
          <w:rFonts w:asciiTheme="minorHAnsi" w:eastAsiaTheme="minorEastAsia" w:hAnsiTheme="minorHAnsi" w:cstheme="minorBidi"/>
          <w:noProof/>
          <w:color w:val="auto"/>
          <w:sz w:val="22"/>
          <w:szCs w:val="22"/>
        </w:rPr>
      </w:pPr>
      <w:hyperlink w:anchor="_Toc124507975" w:history="1">
        <w:r w:rsidRPr="00AD1B32">
          <w:rPr>
            <w:rStyle w:val="Hyperlink"/>
            <w:noProof/>
          </w:rPr>
          <w:t>IV.</w:t>
        </w:r>
        <w:r>
          <w:rPr>
            <w:rFonts w:asciiTheme="minorHAnsi" w:eastAsiaTheme="minorEastAsia" w:hAnsiTheme="minorHAnsi" w:cstheme="minorBidi"/>
            <w:noProof/>
            <w:color w:val="auto"/>
            <w:sz w:val="22"/>
            <w:szCs w:val="22"/>
          </w:rPr>
          <w:tab/>
        </w:r>
        <w:r w:rsidRPr="00AD1B32">
          <w:rPr>
            <w:rStyle w:val="Hyperlink"/>
            <w:noProof/>
          </w:rPr>
          <w:t>CONCLUSION</w:t>
        </w:r>
        <w:r>
          <w:rPr>
            <w:noProof/>
            <w:webHidden/>
          </w:rPr>
          <w:tab/>
        </w:r>
        <w:r>
          <w:rPr>
            <w:noProof/>
            <w:webHidden/>
          </w:rPr>
          <w:fldChar w:fldCharType="begin"/>
        </w:r>
        <w:r>
          <w:rPr>
            <w:noProof/>
            <w:webHidden/>
          </w:rPr>
          <w:instrText xml:space="preserve"> PAGEREF _Toc124507975 \h </w:instrText>
        </w:r>
        <w:r>
          <w:rPr>
            <w:noProof/>
            <w:webHidden/>
          </w:rPr>
          <w:fldChar w:fldCharType="separate"/>
        </w:r>
        <w:r>
          <w:rPr>
            <w:noProof/>
            <w:webHidden/>
          </w:rPr>
          <w:t>24</w:t>
        </w:r>
        <w:r>
          <w:rPr>
            <w:noProof/>
            <w:webHidden/>
          </w:rPr>
          <w:fldChar w:fldCharType="end"/>
        </w:r>
      </w:hyperlink>
    </w:p>
    <w:p w:rsidR="009E036E" w:rsidRPr="00C878A3" w:rsidP="009E036E" w14:paraId="19F21336" w14:textId="15FA2B8E">
      <w:pPr>
        <w:pStyle w:val="List"/>
        <w:ind w:left="0" w:firstLine="0"/>
        <w:jc w:val="right"/>
        <w:rPr>
          <w:b/>
          <w:szCs w:val="24"/>
        </w:rPr>
      </w:pPr>
      <w:r w:rsidRPr="00C878A3">
        <w:rPr>
          <w:rFonts w:eastAsiaTheme="minorHAnsi"/>
          <w:b/>
          <w:bCs w:val="0"/>
          <w:color w:val="000000"/>
          <w:szCs w:val="24"/>
        </w:rPr>
        <w:fldChar w:fldCharType="end"/>
      </w:r>
    </w:p>
    <w:p w:rsidR="009E036E" w:rsidRPr="00C878A3" w:rsidP="009E036E" w14:paraId="1CD62D91" w14:textId="286DDE33">
      <w:pPr>
        <w:pStyle w:val="List"/>
        <w:ind w:left="0" w:firstLine="0"/>
        <w:jc w:val="right"/>
        <w:rPr>
          <w:b/>
          <w:szCs w:val="24"/>
        </w:rPr>
        <w:sectPr w:rsidSect="009E036E">
          <w:footerReference w:type="default" r:id="rId10"/>
          <w:pgSz w:w="12240" w:h="15840"/>
          <w:pgMar w:top="1440" w:right="1800" w:bottom="1440" w:left="1800" w:header="720" w:footer="720" w:gutter="0"/>
          <w:pgNumType w:fmt="lowerRoman" w:start="1"/>
          <w:cols w:space="720"/>
          <w:docGrid w:linePitch="360"/>
        </w:sectPr>
      </w:pPr>
    </w:p>
    <w:p w:rsidR="00724CEB" w:rsidRPr="00C878A3" w:rsidP="00724CEB" w14:paraId="2B61E854" w14:textId="77777777">
      <w:pPr>
        <w:pStyle w:val="List"/>
        <w:ind w:left="0" w:firstLine="0"/>
        <w:jc w:val="center"/>
        <w:rPr>
          <w:b/>
          <w:szCs w:val="24"/>
        </w:rPr>
      </w:pPr>
      <w:r w:rsidRPr="00C878A3">
        <w:rPr>
          <w:b/>
          <w:szCs w:val="24"/>
        </w:rPr>
        <w:t>BEFORE</w:t>
      </w:r>
    </w:p>
    <w:p w:rsidR="00724CEB" w:rsidRPr="00C878A3" w:rsidP="00724CEB" w14:paraId="661A998F" w14:textId="77777777">
      <w:pPr>
        <w:pStyle w:val="List"/>
        <w:ind w:left="0" w:firstLine="0"/>
        <w:jc w:val="center"/>
        <w:rPr>
          <w:b/>
          <w:szCs w:val="24"/>
        </w:rPr>
      </w:pPr>
      <w:r w:rsidRPr="00C878A3">
        <w:rPr>
          <w:b/>
          <w:szCs w:val="24"/>
        </w:rPr>
        <w:t>THE PUBLIC UTILITIES COMMISSION OF OHIO</w:t>
      </w:r>
    </w:p>
    <w:tbl>
      <w:tblPr>
        <w:tblW w:w="8730" w:type="dxa"/>
        <w:tblLook w:val="01E0"/>
      </w:tblPr>
      <w:tblGrid>
        <w:gridCol w:w="4320"/>
        <w:gridCol w:w="296"/>
        <w:gridCol w:w="4114"/>
      </w:tblGrid>
      <w:tr w14:paraId="6169C23C" w14:textId="77777777" w:rsidTr="007E0535">
        <w:tblPrEx>
          <w:tblW w:w="8730" w:type="dxa"/>
          <w:tblLook w:val="01E0"/>
        </w:tblPrEx>
        <w:trPr>
          <w:trHeight w:val="807"/>
        </w:trPr>
        <w:tc>
          <w:tcPr>
            <w:tcW w:w="4320" w:type="dxa"/>
            <w:shd w:val="clear" w:color="auto" w:fill="auto"/>
          </w:tcPr>
          <w:p w:rsidR="00724CEB" w:rsidRPr="00C878A3" w:rsidP="007E0535" w14:paraId="75CBBEE8" w14:textId="77777777">
            <w:pPr>
              <w:pStyle w:val="HTMLPreformatted"/>
              <w:rPr>
                <w:rFonts w:ascii="Times New Roman" w:hAnsi="Times New Roman" w:cs="Times New Roman"/>
                <w:sz w:val="24"/>
                <w:szCs w:val="24"/>
              </w:rPr>
            </w:pPr>
          </w:p>
          <w:p w:rsidR="00BB1D3F" w:rsidRPr="00C878A3" w:rsidP="007E0535" w14:paraId="5C136170" w14:textId="14190204">
            <w:pPr>
              <w:pStyle w:val="HTMLPreformatted"/>
              <w:rPr>
                <w:rFonts w:ascii="Times New Roman" w:hAnsi="Times New Roman" w:cs="Times New Roman"/>
                <w:sz w:val="24"/>
                <w:szCs w:val="24"/>
              </w:rPr>
            </w:pPr>
            <w:r w:rsidRPr="00C878A3">
              <w:rPr>
                <w:rFonts w:ascii="Times New Roman" w:hAnsi="Times New Roman" w:cs="Times New Roman"/>
                <w:sz w:val="24"/>
                <w:szCs w:val="24"/>
              </w:rPr>
              <w:t xml:space="preserve">In the Matter of the Application of the Dayton Power and Light Company to Increase </w:t>
            </w:r>
            <w:r w:rsidR="00F03F72">
              <w:rPr>
                <w:rFonts w:ascii="Times New Roman" w:hAnsi="Times New Roman" w:cs="Times New Roman"/>
                <w:sz w:val="24"/>
                <w:szCs w:val="24"/>
              </w:rPr>
              <w:t>I</w:t>
            </w:r>
            <w:r w:rsidRPr="00C878A3">
              <w:rPr>
                <w:rFonts w:ascii="Times New Roman" w:hAnsi="Times New Roman" w:cs="Times New Roman"/>
                <w:sz w:val="24"/>
                <w:szCs w:val="24"/>
              </w:rPr>
              <w:t>ts Rates for Electric Distribution.</w:t>
            </w:r>
          </w:p>
          <w:p w:rsidR="00BB1D3F" w:rsidRPr="00C878A3" w:rsidP="007E0535" w14:paraId="6E8DDBC7" w14:textId="77777777">
            <w:pPr>
              <w:pStyle w:val="HTMLPreformatted"/>
              <w:rPr>
                <w:rFonts w:ascii="Times New Roman" w:hAnsi="Times New Roman" w:cs="Times New Roman"/>
                <w:sz w:val="24"/>
                <w:szCs w:val="24"/>
              </w:rPr>
            </w:pPr>
          </w:p>
          <w:p w:rsidR="00BB1D3F" w:rsidRPr="00C878A3" w:rsidP="007E0535" w14:paraId="5335562E"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In the Matter of the Application of the Dayton Power and Light Company for Accounting Authority.</w:t>
            </w:r>
          </w:p>
          <w:p w:rsidR="00BB1D3F" w:rsidRPr="00C878A3" w:rsidP="007E0535" w14:paraId="40380A56" w14:textId="77777777">
            <w:pPr>
              <w:pStyle w:val="HTMLPreformatted"/>
              <w:rPr>
                <w:rFonts w:ascii="Times New Roman" w:hAnsi="Times New Roman" w:cs="Times New Roman"/>
                <w:sz w:val="24"/>
                <w:szCs w:val="24"/>
              </w:rPr>
            </w:pPr>
          </w:p>
          <w:p w:rsidR="00BB1D3F" w:rsidRPr="00C878A3" w:rsidP="007E0535" w14:paraId="40F16719"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In the Matter of the Application of Dayton Power and Light Company for Approval of Revised Tariffs.</w:t>
            </w:r>
          </w:p>
        </w:tc>
        <w:tc>
          <w:tcPr>
            <w:tcW w:w="296" w:type="dxa"/>
            <w:shd w:val="clear" w:color="auto" w:fill="auto"/>
          </w:tcPr>
          <w:p w:rsidR="00724CEB" w:rsidRPr="00C878A3" w:rsidP="007E0535" w14:paraId="3ACA6013" w14:textId="77777777">
            <w:pPr>
              <w:pStyle w:val="HTMLPreformatted"/>
              <w:rPr>
                <w:rFonts w:ascii="Times New Roman" w:hAnsi="Times New Roman" w:cs="Times New Roman"/>
                <w:sz w:val="24"/>
                <w:szCs w:val="24"/>
              </w:rPr>
            </w:pPr>
          </w:p>
          <w:p w:rsidR="00BB1D3F" w:rsidRPr="00C878A3" w:rsidP="007E0535" w14:paraId="080D0C77" w14:textId="2467BD00">
            <w:pPr>
              <w:pStyle w:val="HTMLPreformatted"/>
              <w:rPr>
                <w:rFonts w:ascii="Times New Roman" w:hAnsi="Times New Roman" w:cs="Times New Roman"/>
                <w:sz w:val="24"/>
                <w:szCs w:val="24"/>
              </w:rPr>
            </w:pPr>
            <w:r w:rsidRPr="00C878A3">
              <w:rPr>
                <w:rFonts w:ascii="Times New Roman" w:hAnsi="Times New Roman" w:cs="Times New Roman"/>
                <w:sz w:val="24"/>
                <w:szCs w:val="24"/>
              </w:rPr>
              <w:t>)</w:t>
            </w:r>
          </w:p>
          <w:p w:rsidR="00BB1D3F" w:rsidRPr="00C878A3" w:rsidP="007E0535" w14:paraId="77A3F7A9"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w:t>
            </w:r>
          </w:p>
          <w:p w:rsidR="00BB1D3F" w:rsidRPr="00C878A3" w:rsidP="007E0535" w14:paraId="686104B4"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w:t>
            </w:r>
          </w:p>
          <w:p w:rsidR="00BB1D3F" w:rsidRPr="00C878A3" w:rsidP="007E0535" w14:paraId="6CFE6666"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w:t>
            </w:r>
          </w:p>
          <w:p w:rsidR="00BB1D3F" w:rsidRPr="00C878A3" w:rsidP="007E0535" w14:paraId="76AB3E4E" w14:textId="77777777">
            <w:pPr>
              <w:pStyle w:val="HTMLPreformatted"/>
              <w:rPr>
                <w:rFonts w:ascii="Times New Roman" w:hAnsi="Times New Roman" w:cs="Times New Roman"/>
                <w:sz w:val="24"/>
                <w:szCs w:val="24"/>
              </w:rPr>
            </w:pPr>
          </w:p>
          <w:p w:rsidR="00BB1D3F" w:rsidRPr="00C878A3" w:rsidP="007E0535" w14:paraId="22821BDE"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w:t>
            </w:r>
          </w:p>
          <w:p w:rsidR="00BB1D3F" w:rsidRPr="00C878A3" w:rsidP="007E0535" w14:paraId="7473CBEB"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w:t>
            </w:r>
          </w:p>
          <w:p w:rsidR="00BB1D3F" w:rsidRPr="00C878A3" w:rsidP="007E0535" w14:paraId="1962E006"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w:t>
            </w:r>
          </w:p>
          <w:p w:rsidR="00BB1D3F" w:rsidRPr="00C878A3" w:rsidP="007E0535" w14:paraId="0138FE28" w14:textId="77777777">
            <w:pPr>
              <w:pStyle w:val="HTMLPreformatted"/>
              <w:rPr>
                <w:rFonts w:ascii="Times New Roman" w:hAnsi="Times New Roman" w:cs="Times New Roman"/>
                <w:sz w:val="24"/>
                <w:szCs w:val="24"/>
              </w:rPr>
            </w:pPr>
          </w:p>
          <w:p w:rsidR="00BB1D3F" w:rsidRPr="00C878A3" w:rsidP="007E0535" w14:paraId="027AEBF3"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w:t>
            </w:r>
          </w:p>
          <w:p w:rsidR="00BB1D3F" w:rsidRPr="00C878A3" w:rsidP="007E0535" w14:paraId="40BA6B39"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w:t>
            </w:r>
          </w:p>
          <w:p w:rsidR="00BB1D3F" w:rsidRPr="00C878A3" w:rsidP="007E0535" w14:paraId="4AB0338C"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w:t>
            </w:r>
          </w:p>
        </w:tc>
        <w:tc>
          <w:tcPr>
            <w:tcW w:w="4114" w:type="dxa"/>
            <w:shd w:val="clear" w:color="auto" w:fill="auto"/>
          </w:tcPr>
          <w:p w:rsidR="00BB1D3F" w:rsidRPr="00C878A3" w:rsidP="007E0535" w14:paraId="64B6582D" w14:textId="77777777">
            <w:pPr>
              <w:pStyle w:val="HTMLPreformatted"/>
              <w:rPr>
                <w:rFonts w:ascii="Times New Roman" w:hAnsi="Times New Roman" w:cs="Times New Roman"/>
                <w:sz w:val="24"/>
                <w:szCs w:val="24"/>
              </w:rPr>
            </w:pPr>
          </w:p>
          <w:p w:rsidR="00724CEB" w:rsidRPr="00C878A3" w:rsidP="007E0535" w14:paraId="73371569" w14:textId="77777777">
            <w:pPr>
              <w:pStyle w:val="HTMLPreformatted"/>
              <w:rPr>
                <w:rFonts w:ascii="Times New Roman" w:hAnsi="Times New Roman" w:cs="Times New Roman"/>
                <w:sz w:val="24"/>
                <w:szCs w:val="24"/>
              </w:rPr>
            </w:pPr>
          </w:p>
          <w:p w:rsidR="00BB1D3F" w:rsidRPr="00C878A3" w:rsidP="007E0535" w14:paraId="426199C7" w14:textId="00D47FCA">
            <w:pPr>
              <w:pStyle w:val="HTMLPreformatted"/>
              <w:rPr>
                <w:rFonts w:ascii="Times New Roman" w:hAnsi="Times New Roman" w:cs="Times New Roman"/>
                <w:sz w:val="24"/>
                <w:szCs w:val="24"/>
              </w:rPr>
            </w:pPr>
            <w:r w:rsidRPr="00C878A3">
              <w:rPr>
                <w:rFonts w:ascii="Times New Roman" w:hAnsi="Times New Roman" w:cs="Times New Roman"/>
                <w:sz w:val="24"/>
                <w:szCs w:val="24"/>
              </w:rPr>
              <w:t>Case No. 20-1651-EL-AIR</w:t>
            </w:r>
          </w:p>
          <w:p w:rsidR="00BB1D3F" w:rsidRPr="00C878A3" w:rsidP="007E0535" w14:paraId="3555428E" w14:textId="77777777">
            <w:pPr>
              <w:pStyle w:val="HTMLPreformatted"/>
              <w:rPr>
                <w:rFonts w:ascii="Times New Roman" w:hAnsi="Times New Roman" w:cs="Times New Roman"/>
                <w:sz w:val="24"/>
                <w:szCs w:val="24"/>
              </w:rPr>
            </w:pPr>
          </w:p>
          <w:p w:rsidR="00BB1D3F" w:rsidRPr="00C878A3" w:rsidP="007E0535" w14:paraId="22E72491" w14:textId="77777777">
            <w:pPr>
              <w:pStyle w:val="HTMLPreformatted"/>
              <w:rPr>
                <w:rFonts w:ascii="Times New Roman" w:hAnsi="Times New Roman" w:cs="Times New Roman"/>
                <w:sz w:val="24"/>
                <w:szCs w:val="24"/>
              </w:rPr>
            </w:pPr>
          </w:p>
          <w:p w:rsidR="00BB1D3F" w:rsidRPr="00C878A3" w:rsidP="007E0535" w14:paraId="1872A67F" w14:textId="77777777">
            <w:pPr>
              <w:pStyle w:val="HTMLPreformatted"/>
              <w:rPr>
                <w:rFonts w:ascii="Times New Roman" w:hAnsi="Times New Roman" w:cs="Times New Roman"/>
                <w:sz w:val="24"/>
                <w:szCs w:val="24"/>
              </w:rPr>
            </w:pPr>
          </w:p>
          <w:p w:rsidR="00724CEB" w:rsidRPr="00C878A3" w:rsidP="007E0535" w14:paraId="0527518E" w14:textId="77777777">
            <w:pPr>
              <w:pStyle w:val="HTMLPreformatted"/>
              <w:rPr>
                <w:rFonts w:ascii="Times New Roman" w:hAnsi="Times New Roman" w:cs="Times New Roman"/>
                <w:sz w:val="24"/>
                <w:szCs w:val="24"/>
              </w:rPr>
            </w:pPr>
          </w:p>
          <w:p w:rsidR="00BB1D3F" w:rsidRPr="00C878A3" w:rsidP="007E0535" w14:paraId="016A051F" w14:textId="233D63B8">
            <w:pPr>
              <w:pStyle w:val="HTMLPreformatted"/>
              <w:rPr>
                <w:rFonts w:ascii="Times New Roman" w:hAnsi="Times New Roman" w:cs="Times New Roman"/>
                <w:sz w:val="24"/>
                <w:szCs w:val="24"/>
              </w:rPr>
            </w:pPr>
            <w:r w:rsidRPr="00C878A3">
              <w:rPr>
                <w:rFonts w:ascii="Times New Roman" w:hAnsi="Times New Roman" w:cs="Times New Roman"/>
                <w:sz w:val="24"/>
                <w:szCs w:val="24"/>
              </w:rPr>
              <w:t>Case No. 20-1652-EL-AAM</w:t>
            </w:r>
          </w:p>
          <w:p w:rsidR="00BB1D3F" w:rsidRPr="00C878A3" w:rsidP="007E0535" w14:paraId="5B532577" w14:textId="77777777">
            <w:pPr>
              <w:pStyle w:val="HTMLPreformatted"/>
              <w:rPr>
                <w:rFonts w:ascii="Times New Roman" w:hAnsi="Times New Roman" w:cs="Times New Roman"/>
                <w:sz w:val="24"/>
                <w:szCs w:val="24"/>
              </w:rPr>
            </w:pPr>
          </w:p>
          <w:p w:rsidR="00BB1D3F" w:rsidRPr="00C878A3" w:rsidP="007E0535" w14:paraId="1FD130B5" w14:textId="77777777">
            <w:pPr>
              <w:pStyle w:val="HTMLPreformatted"/>
              <w:rPr>
                <w:rFonts w:ascii="Times New Roman" w:hAnsi="Times New Roman" w:cs="Times New Roman"/>
                <w:sz w:val="24"/>
                <w:szCs w:val="24"/>
              </w:rPr>
            </w:pPr>
          </w:p>
          <w:p w:rsidR="00BB1D3F" w:rsidRPr="00C878A3" w:rsidP="007E0535" w14:paraId="374652F7" w14:textId="77777777">
            <w:pPr>
              <w:pStyle w:val="HTMLPreformatted"/>
              <w:rPr>
                <w:rFonts w:ascii="Times New Roman" w:hAnsi="Times New Roman" w:cs="Times New Roman"/>
                <w:sz w:val="24"/>
                <w:szCs w:val="24"/>
              </w:rPr>
            </w:pPr>
          </w:p>
          <w:p w:rsidR="00BB1D3F" w:rsidRPr="00C878A3" w:rsidP="007E0535" w14:paraId="1FE9A4F3" w14:textId="77777777">
            <w:pPr>
              <w:pStyle w:val="HTMLPreformatted"/>
              <w:rPr>
                <w:rFonts w:ascii="Times New Roman" w:hAnsi="Times New Roman" w:cs="Times New Roman"/>
                <w:sz w:val="24"/>
                <w:szCs w:val="24"/>
              </w:rPr>
            </w:pPr>
            <w:r w:rsidRPr="00C878A3">
              <w:rPr>
                <w:rFonts w:ascii="Times New Roman" w:hAnsi="Times New Roman" w:cs="Times New Roman"/>
                <w:sz w:val="24"/>
                <w:szCs w:val="24"/>
              </w:rPr>
              <w:t>Case No. 20-1653-EL-ATA</w:t>
            </w:r>
          </w:p>
        </w:tc>
      </w:tr>
    </w:tbl>
    <w:p w:rsidR="00AA2AA1" w:rsidRPr="00C878A3" w:rsidP="00AA2AA1" w14:paraId="366F29D8" w14:textId="77777777">
      <w:pPr>
        <w:pBdr>
          <w:bottom w:val="single" w:sz="12" w:space="1" w:color="auto"/>
        </w:pBdr>
        <w:rPr>
          <w:szCs w:val="24"/>
        </w:rPr>
      </w:pPr>
    </w:p>
    <w:p w:rsidR="00AA2AA1" w:rsidRPr="00C878A3" w:rsidP="00AA2AA1" w14:paraId="61A5028F" w14:textId="77777777">
      <w:pPr>
        <w:rPr>
          <w:b/>
          <w:bCs/>
          <w:szCs w:val="24"/>
        </w:rPr>
      </w:pPr>
    </w:p>
    <w:p w:rsidR="00AA2AA1" w:rsidRPr="00C878A3" w:rsidP="00AA2AA1" w14:paraId="125FFF8B" w14:textId="77777777">
      <w:pPr>
        <w:jc w:val="center"/>
        <w:rPr>
          <w:b/>
          <w:bCs/>
          <w:szCs w:val="24"/>
        </w:rPr>
      </w:pPr>
      <w:r w:rsidRPr="00C878A3">
        <w:rPr>
          <w:b/>
          <w:bCs/>
          <w:szCs w:val="24"/>
        </w:rPr>
        <w:t xml:space="preserve">MEMORANDUM IN SUPPORT </w:t>
      </w:r>
    </w:p>
    <w:p w:rsidR="009431E2" w:rsidRPr="00C878A3" w:rsidP="009431E2" w14:paraId="58FFFA58" w14:textId="77777777">
      <w:pPr>
        <w:pBdr>
          <w:bottom w:val="single" w:sz="12" w:space="1" w:color="auto"/>
        </w:pBdr>
        <w:spacing w:after="240"/>
        <w:jc w:val="center"/>
        <w:rPr>
          <w:b/>
          <w:szCs w:val="24"/>
        </w:rPr>
      </w:pPr>
    </w:p>
    <w:p w:rsidR="009431E2" w:rsidRPr="00C878A3" w:rsidP="00CA3793" w14:paraId="6F33DD74" w14:textId="77777777">
      <w:pPr>
        <w:pStyle w:val="Heading1"/>
        <w:rPr>
          <w:rFonts w:ascii="Times New Roman" w:hAnsi="Times New Roman"/>
        </w:rPr>
      </w:pPr>
      <w:bookmarkStart w:id="1" w:name="_Toc332365646"/>
      <w:bookmarkStart w:id="2" w:name="_Toc374366158"/>
      <w:bookmarkStart w:id="3" w:name="_Toc374707411"/>
      <w:bookmarkStart w:id="4" w:name="_Toc374707564"/>
      <w:bookmarkStart w:id="5" w:name="_Toc123045778"/>
      <w:bookmarkStart w:id="6" w:name="_Toc124507965"/>
      <w:bookmarkStart w:id="7" w:name="_Toc260397336"/>
      <w:bookmarkStart w:id="8" w:name="_Toc273102568"/>
      <w:r w:rsidRPr="00C878A3">
        <w:rPr>
          <w:rFonts w:ascii="Times New Roman" w:hAnsi="Times New Roman"/>
        </w:rPr>
        <w:t>I.</w:t>
      </w:r>
      <w:r w:rsidRPr="00C878A3">
        <w:rPr>
          <w:rFonts w:ascii="Times New Roman" w:hAnsi="Times New Roman"/>
        </w:rPr>
        <w:tab/>
        <w:t>INTRODUCTION</w:t>
      </w:r>
      <w:bookmarkEnd w:id="1"/>
      <w:bookmarkEnd w:id="2"/>
      <w:bookmarkEnd w:id="3"/>
      <w:bookmarkEnd w:id="4"/>
      <w:bookmarkEnd w:id="5"/>
      <w:bookmarkEnd w:id="6"/>
    </w:p>
    <w:p w:rsidR="009431E2" w:rsidRPr="00C878A3" w:rsidP="009431E2" w14:paraId="33C3A307" w14:textId="382EEA50">
      <w:pPr>
        <w:spacing w:line="480" w:lineRule="auto"/>
        <w:rPr>
          <w:szCs w:val="24"/>
        </w:rPr>
      </w:pPr>
      <w:r w:rsidRPr="00C878A3">
        <w:rPr>
          <w:szCs w:val="24"/>
        </w:rPr>
        <w:tab/>
        <w:t>OCC files this Application for Rehearing asking the PUCO to modify or reverse its Order of December 14, 2022. The Order allows DP&amp;L to increase its electric distribution rates by $75.6 million annually.</w:t>
      </w:r>
      <w:r>
        <w:rPr>
          <w:rStyle w:val="FootnoteReference"/>
          <w:szCs w:val="24"/>
        </w:rPr>
        <w:footnoteReference w:id="11"/>
      </w:r>
      <w:r w:rsidRPr="00C878A3">
        <w:rPr>
          <w:szCs w:val="24"/>
        </w:rPr>
        <w:t xml:space="preserve"> The PUCO’s Order violates Ohio ratemaking law as set forth in Revised Code Title 49</w:t>
      </w:r>
      <w:r>
        <w:rPr>
          <w:rStyle w:val="FootnoteReference"/>
          <w:szCs w:val="24"/>
        </w:rPr>
        <w:footnoteReference w:id="12"/>
      </w:r>
      <w:r w:rsidRPr="00C878A3">
        <w:rPr>
          <w:szCs w:val="24"/>
        </w:rPr>
        <w:t xml:space="preserve"> as well as court decisions and prior PUCO rulings interpreting that law. </w:t>
      </w:r>
    </w:p>
    <w:bookmarkEnd w:id="7"/>
    <w:bookmarkEnd w:id="8"/>
    <w:p w:rsidR="00191DFA" w:rsidRPr="00C878A3" w:rsidP="00E53EFF" w14:paraId="38FBD5F0" w14:textId="77777777">
      <w:pPr>
        <w:autoSpaceDE w:val="0"/>
        <w:autoSpaceDN w:val="0"/>
        <w:adjustRightInd w:val="0"/>
        <w:rPr>
          <w:szCs w:val="24"/>
        </w:rPr>
      </w:pPr>
    </w:p>
    <w:p w:rsidR="00191DFA" w:rsidRPr="00C878A3" w:rsidP="00CA3793" w14:paraId="304B32DA" w14:textId="1BAFD25B">
      <w:pPr>
        <w:pStyle w:val="Heading1"/>
        <w:rPr>
          <w:rFonts w:ascii="Times New Roman" w:hAnsi="Times New Roman"/>
        </w:rPr>
      </w:pPr>
      <w:bookmarkStart w:id="9" w:name="_Toc374366160"/>
      <w:bookmarkStart w:id="10" w:name="_Toc374707413"/>
      <w:bookmarkStart w:id="11" w:name="_Toc374707566"/>
      <w:bookmarkStart w:id="12" w:name="_Toc123045780"/>
      <w:bookmarkStart w:id="13" w:name="_Toc124507966"/>
      <w:r w:rsidRPr="00C878A3">
        <w:rPr>
          <w:rFonts w:ascii="Times New Roman" w:hAnsi="Times New Roman"/>
        </w:rPr>
        <w:t>II.</w:t>
      </w:r>
      <w:r w:rsidRPr="00C878A3">
        <w:rPr>
          <w:rFonts w:ascii="Times New Roman" w:hAnsi="Times New Roman"/>
        </w:rPr>
        <w:tab/>
      </w:r>
      <w:bookmarkStart w:id="14" w:name="_Toc196103563"/>
      <w:bookmarkStart w:id="15" w:name="_Toc196104979"/>
      <w:bookmarkStart w:id="16" w:name="_Toc202331005"/>
      <w:bookmarkStart w:id="17" w:name="_Toc264978207"/>
      <w:r w:rsidRPr="00C878A3">
        <w:rPr>
          <w:rFonts w:ascii="Times New Roman" w:hAnsi="Times New Roman"/>
        </w:rPr>
        <w:t>STANDARD OF REVIEW</w:t>
      </w:r>
      <w:bookmarkEnd w:id="9"/>
      <w:bookmarkEnd w:id="10"/>
      <w:bookmarkEnd w:id="11"/>
      <w:bookmarkEnd w:id="12"/>
      <w:bookmarkEnd w:id="13"/>
      <w:bookmarkEnd w:id="14"/>
      <w:bookmarkEnd w:id="15"/>
      <w:bookmarkEnd w:id="16"/>
      <w:bookmarkEnd w:id="17"/>
    </w:p>
    <w:p w:rsidR="00191DFA" w:rsidRPr="00C878A3" w:rsidP="00191DFA" w14:paraId="4FEAA6CB" w14:textId="77777777">
      <w:pPr>
        <w:spacing w:line="480" w:lineRule="auto"/>
        <w:ind w:firstLine="720"/>
        <w:rPr>
          <w:i/>
          <w:iCs/>
          <w:szCs w:val="24"/>
        </w:rPr>
      </w:pPr>
      <w:r w:rsidRPr="00C878A3">
        <w:rPr>
          <w:szCs w:val="24"/>
        </w:rPr>
        <w:t>Applications for rehearing are governed by R.C. 4903.10 and O.A.C. 4901-1-35. This statute provides that, within thirty days after the PUCO issues an order, “any party who has entered an appearance in person or by counsel in the proceeding may apply for rehearing in respect to any matters determined in the proceeding.”</w:t>
      </w:r>
      <w:r>
        <w:rPr>
          <w:rStyle w:val="FootnoteReference"/>
          <w:szCs w:val="24"/>
        </w:rPr>
        <w:footnoteReference w:id="13"/>
      </w:r>
      <w:r w:rsidRPr="00C878A3">
        <w:rPr>
          <w:szCs w:val="24"/>
        </w:rPr>
        <w:t xml:space="preserve"> Furthermore, the application for rehearing must be “in writing and shall set forth specifically the ground or grounds on which the applicant considers the order to be unreasonable or unlawful.”</w:t>
      </w:r>
      <w:r>
        <w:rPr>
          <w:rStyle w:val="FootnoteReference"/>
          <w:szCs w:val="24"/>
        </w:rPr>
        <w:footnoteReference w:id="14"/>
      </w:r>
    </w:p>
    <w:p w:rsidR="00191DFA" w:rsidRPr="00C878A3" w:rsidP="00191DFA" w14:paraId="780D8C2A" w14:textId="77777777">
      <w:pPr>
        <w:spacing w:line="480" w:lineRule="auto"/>
        <w:ind w:firstLine="720"/>
        <w:rPr>
          <w:szCs w:val="24"/>
        </w:rPr>
      </w:pPr>
      <w:r w:rsidRPr="00C878A3">
        <w:rPr>
          <w:szCs w:val="24"/>
        </w:rPr>
        <w:t>In considering an application for rehearing, Ohio law provides that the PUCO “may grant and hold such rehearing on the matter specified in such application, if in its judgment sufficient reason therefore is made to appear.”</w:t>
      </w:r>
      <w:r>
        <w:rPr>
          <w:rStyle w:val="FootnoteReference"/>
          <w:szCs w:val="24"/>
        </w:rPr>
        <w:footnoteReference w:id="15"/>
      </w:r>
      <w:r w:rsidRPr="00C878A3">
        <w:rPr>
          <w:szCs w:val="24"/>
        </w:rPr>
        <w:t xml:space="preserve"> Furthermore, if the PUCO grants a rehearing and determines that “the original order or any part thereof is in any respect unjust or unwarranted, or should be changed, the Commission may abrogate or modify the same * * *.”</w:t>
      </w:r>
      <w:r>
        <w:rPr>
          <w:rStyle w:val="FootnoteReference"/>
          <w:szCs w:val="24"/>
        </w:rPr>
        <w:footnoteReference w:id="16"/>
      </w:r>
      <w:r w:rsidRPr="00C878A3">
        <w:rPr>
          <w:szCs w:val="24"/>
        </w:rPr>
        <w:t xml:space="preserve"> </w:t>
      </w:r>
    </w:p>
    <w:p w:rsidR="00191DFA" w:rsidRPr="00C878A3" w:rsidP="00191DFA" w14:paraId="3AC71FF8" w14:textId="77777777">
      <w:pPr>
        <w:spacing w:line="480" w:lineRule="auto"/>
        <w:ind w:firstLine="720"/>
        <w:rPr>
          <w:szCs w:val="24"/>
        </w:rPr>
      </w:pPr>
      <w:r w:rsidRPr="00C878A3">
        <w:rPr>
          <w:szCs w:val="24"/>
        </w:rPr>
        <w:t>OCC meets the statutory requirements applicable to applicants for rehearing pursuant to R.C. 4903.10. Accordingly, OCC respectfully requests the PUCO grant rehearing on the matters specified below.</w:t>
      </w:r>
    </w:p>
    <w:p w:rsidR="00191DFA" w:rsidRPr="00C878A3" w:rsidP="008449B2" w14:paraId="0422388D" w14:textId="77777777">
      <w:pPr>
        <w:pStyle w:val="BodyTextIndent3"/>
        <w:widowControl w:val="0"/>
        <w:ind w:right="-24"/>
        <w:rPr>
          <w:sz w:val="24"/>
          <w:szCs w:val="24"/>
        </w:rPr>
      </w:pPr>
    </w:p>
    <w:p w:rsidR="00E47D0D" w14:paraId="5D7E7932" w14:textId="77777777">
      <w:pPr>
        <w:rPr>
          <w:rFonts w:eastAsia="Times New Roman"/>
          <w:b/>
          <w:caps/>
          <w:color w:val="auto"/>
          <w:szCs w:val="24"/>
        </w:rPr>
      </w:pPr>
      <w:bookmarkStart w:id="18" w:name="_Toc260397337"/>
      <w:bookmarkStart w:id="19" w:name="_Toc273102569"/>
      <w:bookmarkStart w:id="20" w:name="_Toc332365649"/>
      <w:bookmarkStart w:id="21" w:name="_Toc374366161"/>
      <w:bookmarkStart w:id="22" w:name="_Toc374707414"/>
      <w:bookmarkStart w:id="23" w:name="_Toc374707567"/>
      <w:bookmarkStart w:id="24" w:name="_Toc123045781"/>
      <w:r>
        <w:br w:type="page"/>
      </w:r>
    </w:p>
    <w:p w:rsidR="00191DFA" w:rsidRPr="00C878A3" w:rsidP="00CA3793" w14:paraId="2FE02954" w14:textId="3E5EFF8C">
      <w:pPr>
        <w:pStyle w:val="Heading1"/>
        <w:rPr>
          <w:rFonts w:ascii="Times New Roman" w:hAnsi="Times New Roman"/>
        </w:rPr>
      </w:pPr>
      <w:bookmarkStart w:id="25" w:name="_Toc124507967"/>
      <w:r w:rsidRPr="00C878A3">
        <w:rPr>
          <w:rFonts w:ascii="Times New Roman" w:hAnsi="Times New Roman"/>
        </w:rPr>
        <w:t>I</w:t>
      </w:r>
      <w:r w:rsidRPr="00C878A3" w:rsidR="00CA3793">
        <w:rPr>
          <w:rFonts w:ascii="Times New Roman" w:hAnsi="Times New Roman"/>
        </w:rPr>
        <w:t>II</w:t>
      </w:r>
      <w:r w:rsidRPr="00C878A3">
        <w:rPr>
          <w:rFonts w:ascii="Times New Roman" w:hAnsi="Times New Roman"/>
        </w:rPr>
        <w:t xml:space="preserve">. </w:t>
      </w:r>
      <w:r w:rsidRPr="00C878A3">
        <w:rPr>
          <w:rFonts w:ascii="Times New Roman" w:hAnsi="Times New Roman"/>
        </w:rPr>
        <w:tab/>
        <w:t>ARGUMENTS ON ASSIGNMENTS OF ERROR</w:t>
      </w:r>
      <w:bookmarkEnd w:id="18"/>
      <w:bookmarkEnd w:id="19"/>
      <w:bookmarkEnd w:id="20"/>
      <w:bookmarkEnd w:id="21"/>
      <w:bookmarkEnd w:id="22"/>
      <w:bookmarkEnd w:id="23"/>
      <w:bookmarkEnd w:id="24"/>
      <w:bookmarkEnd w:id="25"/>
    </w:p>
    <w:p w:rsidR="009B13E0" w:rsidRPr="008449B2" w:rsidP="00BC7A5B" w14:paraId="31D74FB2" w14:textId="2AE25429">
      <w:pPr>
        <w:pStyle w:val="ListParagraph"/>
        <w:numPr>
          <w:ilvl w:val="0"/>
          <w:numId w:val="1"/>
        </w:numPr>
        <w:ind w:left="1440" w:hanging="720"/>
      </w:pPr>
      <w:bookmarkStart w:id="26" w:name="_Toc124507968"/>
      <w:r w:rsidRPr="008449B2">
        <w:rPr>
          <w:rStyle w:val="Heading2Char"/>
          <w:rFonts w:ascii="Times New Roman" w:hAnsi="Times New Roman" w:cs="Times New Roman"/>
          <w:szCs w:val="24"/>
        </w:rPr>
        <w:t>ASSIGNMENT OF ERROR NO. 1:</w:t>
      </w:r>
      <w:r w:rsidRPr="008449B2" w:rsidR="00C878A3">
        <w:rPr>
          <w:rStyle w:val="Heading2Char"/>
          <w:rFonts w:ascii="Times New Roman" w:hAnsi="Times New Roman" w:cs="Times New Roman"/>
          <w:szCs w:val="24"/>
        </w:rPr>
        <w:t xml:space="preserve"> </w:t>
      </w:r>
      <w:r w:rsidRPr="008449B2" w:rsidR="00A93E42">
        <w:rPr>
          <w:rStyle w:val="Heading2Char"/>
          <w:rFonts w:ascii="Times New Roman" w:hAnsi="Times New Roman" w:cs="Times New Roman"/>
          <w:szCs w:val="24"/>
        </w:rPr>
        <w:t>The PUCO erred by failing to remove from plant-in-service and depreciation reserve, DP&amp;L’s earnings-based incentive compensation and $16.8 million in improper capitalized storm costs, in violation of the FERC Uniform System of Accounts, which DP&amp;L must follow under R.C. 4905.13 and O.A.C. 4901:1-9-05.</w:t>
      </w:r>
      <w:r w:rsidRPr="008449B2" w:rsidR="00C878A3">
        <w:rPr>
          <w:rStyle w:val="Heading2Char"/>
          <w:rFonts w:ascii="Times New Roman" w:hAnsi="Times New Roman" w:cs="Times New Roman"/>
          <w:szCs w:val="24"/>
        </w:rPr>
        <w:t xml:space="preserve"> </w:t>
      </w:r>
      <w:r w:rsidRPr="008449B2" w:rsidR="00A93E42">
        <w:rPr>
          <w:rStyle w:val="Heading2Char"/>
          <w:rFonts w:ascii="Times New Roman" w:hAnsi="Times New Roman" w:cs="Times New Roman"/>
          <w:szCs w:val="24"/>
        </w:rPr>
        <w:t>Additionally, the PUCO’s ruling is contrary to past precedent, and the PUCO failed to show how its new course is</w:t>
      </w:r>
      <w:bookmarkEnd w:id="26"/>
      <w:r w:rsidRPr="008449B2" w:rsidR="00A93E42">
        <w:t xml:space="preserve"> </w:t>
      </w:r>
      <w:r w:rsidRPr="008449B2" w:rsidR="00A93E42">
        <w:rPr>
          <w:b/>
          <w:bCs/>
        </w:rPr>
        <w:t>“substantively reasonable and lawful.”</w:t>
      </w:r>
      <w:r>
        <w:rPr>
          <w:rStyle w:val="FootnoteReference"/>
          <w:b/>
          <w:bCs/>
        </w:rPr>
        <w:footnoteReference w:id="17"/>
      </w:r>
    </w:p>
    <w:p w:rsidR="00A63C4A" w:rsidRPr="00C878A3" w:rsidP="00A63C4A" w14:paraId="0DEE018A" w14:textId="10D97181">
      <w:pPr>
        <w:spacing w:before="240" w:line="480" w:lineRule="auto"/>
        <w:ind w:firstLine="720"/>
        <w:rPr>
          <w:szCs w:val="24"/>
        </w:rPr>
      </w:pPr>
      <w:r w:rsidRPr="00C878A3">
        <w:rPr>
          <w:szCs w:val="24"/>
        </w:rPr>
        <w:t>At the hearing, OCC argued that the PUCO Staff failed to address capitalized storm costs that are either inappropriate for collection from consumers altogether or inappropriate for inclusion in rate base.</w:t>
      </w:r>
      <w:r>
        <w:rPr>
          <w:rStyle w:val="FootnoteReference"/>
          <w:szCs w:val="24"/>
        </w:rPr>
        <w:footnoteReference w:id="18"/>
      </w:r>
      <w:r w:rsidRPr="00C878A3">
        <w:rPr>
          <w:szCs w:val="24"/>
        </w:rPr>
        <w:t xml:space="preserve"> Since the date certain in the last rate case, DP&amp;L recorded 19 major storms and booked to plant</w:t>
      </w:r>
      <w:r w:rsidRPr="00C878A3" w:rsidR="001F2851">
        <w:rPr>
          <w:szCs w:val="24"/>
        </w:rPr>
        <w:t>-</w:t>
      </w:r>
      <w:r w:rsidRPr="00C878A3">
        <w:rPr>
          <w:szCs w:val="24"/>
        </w:rPr>
        <w:t>in</w:t>
      </w:r>
      <w:r w:rsidRPr="00C878A3" w:rsidR="001F2851">
        <w:rPr>
          <w:szCs w:val="24"/>
        </w:rPr>
        <w:t>-</w:t>
      </w:r>
      <w:r w:rsidRPr="00C878A3">
        <w:rPr>
          <w:szCs w:val="24"/>
        </w:rPr>
        <w:t>service $28.9 million in storm costs.</w:t>
      </w:r>
      <w:r>
        <w:rPr>
          <w:rStyle w:val="FootnoteReference"/>
          <w:szCs w:val="24"/>
        </w:rPr>
        <w:footnoteReference w:id="19"/>
      </w:r>
      <w:r w:rsidRPr="00C878A3">
        <w:rPr>
          <w:szCs w:val="24"/>
        </w:rPr>
        <w:t xml:space="preserve"> OCC’s expert, Mr. Willis</w:t>
      </w:r>
      <w:r w:rsidRPr="00C878A3" w:rsidR="000D3BFA">
        <w:rPr>
          <w:szCs w:val="24"/>
        </w:rPr>
        <w:t>,</w:t>
      </w:r>
      <w:r w:rsidRPr="00C878A3">
        <w:rPr>
          <w:szCs w:val="24"/>
        </w:rPr>
        <w:t xml:space="preserve"> recommended an adjustment of $16.8 million to remove administrative and general overheads, operation and maintenance expenses, cash bonuses, meals, picnics and parties, travel, and office supplies that do not qualify for rate base, rate of return recovery.</w:t>
      </w:r>
      <w:r>
        <w:rPr>
          <w:rStyle w:val="FootnoteReference"/>
          <w:szCs w:val="24"/>
        </w:rPr>
        <w:footnoteReference w:id="20"/>
      </w:r>
      <w:r w:rsidRPr="00C878A3">
        <w:rPr>
          <w:szCs w:val="24"/>
        </w:rPr>
        <w:t xml:space="preserve"> </w:t>
      </w:r>
    </w:p>
    <w:p w:rsidR="00A63C4A" w:rsidRPr="00C878A3" w:rsidP="00A63C4A" w14:paraId="7EBDCA38" w14:textId="2D0451A0">
      <w:pPr>
        <w:spacing w:line="480" w:lineRule="auto"/>
        <w:rPr>
          <w:szCs w:val="24"/>
        </w:rPr>
      </w:pPr>
      <w:r w:rsidRPr="00C878A3">
        <w:rPr>
          <w:szCs w:val="24"/>
        </w:rPr>
        <w:tab/>
        <w:t xml:space="preserve">Capitalized costs such as cash bonuses, </w:t>
      </w:r>
      <w:r w:rsidRPr="00C878A3" w:rsidR="000D3BFA">
        <w:rPr>
          <w:szCs w:val="24"/>
        </w:rPr>
        <w:t xml:space="preserve">office supplies, travel, </w:t>
      </w:r>
      <w:r w:rsidRPr="00C878A3">
        <w:rPr>
          <w:szCs w:val="24"/>
        </w:rPr>
        <w:t xml:space="preserve">picnics, meals and parties should be excluded from the revenue requirement because they </w:t>
      </w:r>
      <w:r w:rsidRPr="00C878A3">
        <w:rPr>
          <w:bCs/>
          <w:iCs/>
          <w:szCs w:val="24"/>
        </w:rPr>
        <w:t>are not necessary in the provision of electric service to consumers and should be paid for by shareholders, not consumers.</w:t>
      </w:r>
      <w:r>
        <w:rPr>
          <w:rStyle w:val="FootnoteReference"/>
          <w:bCs/>
          <w:iCs/>
          <w:szCs w:val="24"/>
        </w:rPr>
        <w:footnoteReference w:id="21"/>
      </w:r>
      <w:r w:rsidRPr="00C878A3">
        <w:rPr>
          <w:bCs/>
          <w:iCs/>
          <w:szCs w:val="24"/>
        </w:rPr>
        <w:t xml:space="preserve"> Even if these items were properly collectable</w:t>
      </w:r>
      <w:r w:rsidRPr="00C878A3" w:rsidR="006032CD">
        <w:rPr>
          <w:bCs/>
          <w:iCs/>
          <w:szCs w:val="24"/>
        </w:rPr>
        <w:t xml:space="preserve"> (they are not)</w:t>
      </w:r>
      <w:r w:rsidRPr="00C878A3">
        <w:rPr>
          <w:bCs/>
          <w:iCs/>
          <w:szCs w:val="24"/>
        </w:rPr>
        <w:t xml:space="preserve">, they should </w:t>
      </w:r>
      <w:r w:rsidRPr="00C878A3">
        <w:rPr>
          <w:szCs w:val="24"/>
        </w:rPr>
        <w:t>not be included in rate base and collected through a return on and return of capital.</w:t>
      </w:r>
      <w:r>
        <w:rPr>
          <w:rStyle w:val="FootnoteReference"/>
          <w:szCs w:val="24"/>
        </w:rPr>
        <w:footnoteReference w:id="22"/>
      </w:r>
      <w:r w:rsidRPr="00C878A3">
        <w:rPr>
          <w:szCs w:val="24"/>
        </w:rPr>
        <w:t xml:space="preserve"> </w:t>
      </w:r>
    </w:p>
    <w:p w:rsidR="00A63C4A" w:rsidRPr="00C878A3" w:rsidP="00A63C4A" w14:paraId="5203C44C" w14:textId="2491AE9F">
      <w:pPr>
        <w:spacing w:line="480" w:lineRule="auto"/>
        <w:ind w:firstLine="720"/>
        <w:rPr>
          <w:szCs w:val="24"/>
        </w:rPr>
      </w:pPr>
      <w:r w:rsidRPr="00C878A3">
        <w:rPr>
          <w:szCs w:val="24"/>
        </w:rPr>
        <w:t xml:space="preserve">OCC </w:t>
      </w:r>
      <w:r w:rsidRPr="00C878A3" w:rsidR="006032CD">
        <w:rPr>
          <w:szCs w:val="24"/>
        </w:rPr>
        <w:t xml:space="preserve">recommended that the </w:t>
      </w:r>
      <w:r w:rsidRPr="00C878A3">
        <w:rPr>
          <w:szCs w:val="24"/>
        </w:rPr>
        <w:t>PUCO adjust DP&amp;L’s depreciation reserve and depreciation expenses</w:t>
      </w:r>
      <w:r w:rsidRPr="00C878A3" w:rsidR="00DD3CB0">
        <w:rPr>
          <w:szCs w:val="24"/>
        </w:rPr>
        <w:t xml:space="preserve"> to remove </w:t>
      </w:r>
      <w:r w:rsidRPr="00C878A3">
        <w:rPr>
          <w:szCs w:val="24"/>
        </w:rPr>
        <w:t>$485,717</w:t>
      </w:r>
      <w:r w:rsidRPr="00C878A3" w:rsidR="00DD3CB0">
        <w:rPr>
          <w:szCs w:val="24"/>
        </w:rPr>
        <w:t xml:space="preserve"> in capitalized storm costs.</w:t>
      </w:r>
      <w:r w:rsidRPr="00C878A3" w:rsidR="007D0B73">
        <w:rPr>
          <w:szCs w:val="24"/>
        </w:rPr>
        <w:t xml:space="preserve"> </w:t>
      </w:r>
      <w:r w:rsidRPr="00C878A3" w:rsidR="00DD3CB0">
        <w:rPr>
          <w:szCs w:val="24"/>
        </w:rPr>
        <w:t xml:space="preserve">OCC also </w:t>
      </w:r>
      <w:r w:rsidRPr="00C878A3" w:rsidR="006032CD">
        <w:rPr>
          <w:szCs w:val="24"/>
        </w:rPr>
        <w:t>recommended</w:t>
      </w:r>
      <w:r w:rsidR="00C878A3">
        <w:rPr>
          <w:szCs w:val="24"/>
        </w:rPr>
        <w:t xml:space="preserve"> </w:t>
      </w:r>
      <w:r w:rsidRPr="00C878A3" w:rsidR="00DD3CB0">
        <w:rPr>
          <w:szCs w:val="24"/>
        </w:rPr>
        <w:t>that the</w:t>
      </w:r>
      <w:r w:rsidRPr="00C878A3">
        <w:rPr>
          <w:szCs w:val="24"/>
        </w:rPr>
        <w:t xml:space="preserve"> </w:t>
      </w:r>
      <w:r w:rsidRPr="00C878A3" w:rsidR="00DD3CB0">
        <w:rPr>
          <w:szCs w:val="24"/>
        </w:rPr>
        <w:t>d</w:t>
      </w:r>
      <w:r w:rsidRPr="00C878A3">
        <w:rPr>
          <w:szCs w:val="24"/>
        </w:rPr>
        <w:t xml:space="preserve">epreciation reserve </w:t>
      </w:r>
      <w:r w:rsidRPr="00C878A3" w:rsidR="00DD3CB0">
        <w:rPr>
          <w:szCs w:val="24"/>
        </w:rPr>
        <w:t>should</w:t>
      </w:r>
      <w:r w:rsidRPr="00C878A3">
        <w:rPr>
          <w:szCs w:val="24"/>
        </w:rPr>
        <w:t xml:space="preserve"> be reduced </w:t>
      </w:r>
      <w:r w:rsidRPr="00C878A3" w:rsidR="00DD3CB0">
        <w:rPr>
          <w:szCs w:val="24"/>
        </w:rPr>
        <w:t>after the capitalized earnings-based incentive compensation was</w:t>
      </w:r>
      <w:r w:rsidRPr="00C878A3">
        <w:rPr>
          <w:szCs w:val="24"/>
        </w:rPr>
        <w:t xml:space="preserve"> removed from plant-in-service.</w:t>
      </w:r>
      <w:r>
        <w:rPr>
          <w:rStyle w:val="FootnoteReference"/>
          <w:szCs w:val="24"/>
        </w:rPr>
        <w:footnoteReference w:id="23"/>
      </w:r>
    </w:p>
    <w:p w:rsidR="00143972" w:rsidRPr="00C878A3" w:rsidP="0064110D" w14:paraId="51F12E4E" w14:textId="5403EE30">
      <w:pPr>
        <w:spacing w:line="480" w:lineRule="auto"/>
        <w:ind w:firstLine="720"/>
        <w:rPr>
          <w:szCs w:val="24"/>
        </w:rPr>
      </w:pPr>
      <w:r w:rsidRPr="00C878A3">
        <w:rPr>
          <w:szCs w:val="24"/>
        </w:rPr>
        <w:t>The PUCO’s Order rejected OCC’s position, with the following rationale:</w:t>
      </w:r>
    </w:p>
    <w:p w:rsidR="00143972" w:rsidRPr="00C878A3" w:rsidP="002F32A5" w14:paraId="78029840" w14:textId="1ADEF0FE">
      <w:pPr>
        <w:ind w:left="1440" w:right="1440"/>
        <w:rPr>
          <w:szCs w:val="24"/>
        </w:rPr>
      </w:pPr>
      <w:r w:rsidRPr="00C878A3">
        <w:rPr>
          <w:szCs w:val="24"/>
        </w:rPr>
        <w:t>Further, with respect to OCC’s objections, we agree with Staff that AES Ohio was unaware of any obligation to maintain its storm cost and plant-in-service accounts such that incentive-based labor costs would not be subject to capitalization and acted reasonably in accounting for these costs based on the 2015 Rate Case. That said, as Staff recommends, the Commission finds that going forward, AES Ohio shall exclude all capitalized earnings-based incentive compensation from future plant-in-service and storm costs accounts to ensure that shareholders serve as the funding source for those incentives.</w:t>
      </w:r>
      <w:r>
        <w:rPr>
          <w:rStyle w:val="FootnoteReference"/>
          <w:szCs w:val="24"/>
        </w:rPr>
        <w:footnoteReference w:id="24"/>
      </w:r>
    </w:p>
    <w:p w:rsidR="00207046" w:rsidRPr="00C878A3" w:rsidP="002F32A5" w14:paraId="75D0110B" w14:textId="77777777">
      <w:pPr>
        <w:ind w:left="1440" w:right="1440"/>
        <w:rPr>
          <w:szCs w:val="24"/>
        </w:rPr>
      </w:pPr>
    </w:p>
    <w:p w:rsidR="00F87244" w:rsidRPr="00C878A3" w:rsidP="00A63C4A" w14:paraId="37BB2B91" w14:textId="09E14BF8">
      <w:pPr>
        <w:spacing w:line="480" w:lineRule="auto"/>
        <w:ind w:firstLine="720"/>
        <w:rPr>
          <w:szCs w:val="24"/>
        </w:rPr>
      </w:pPr>
      <w:r w:rsidRPr="00C878A3">
        <w:rPr>
          <w:szCs w:val="24"/>
        </w:rPr>
        <w:t>The PUCO’s rationale for rejecting OCC’s argument lacks evidentiary support and is unjust and unreasonable</w:t>
      </w:r>
      <w:r w:rsidRPr="00C878A3" w:rsidR="001F2851">
        <w:rPr>
          <w:szCs w:val="24"/>
        </w:rPr>
        <w:t>.</w:t>
      </w:r>
      <w:r w:rsidRPr="00C878A3" w:rsidR="007D0B73">
        <w:rPr>
          <w:szCs w:val="24"/>
        </w:rPr>
        <w:t xml:space="preserve"> </w:t>
      </w:r>
      <w:r w:rsidRPr="00C878A3">
        <w:rPr>
          <w:szCs w:val="24"/>
        </w:rPr>
        <w:t>The Uniform System of Accounts defines the types of overhead costs that may be included in a capitalized account:</w:t>
      </w:r>
    </w:p>
    <w:p w:rsidR="00F87244" w:rsidRPr="00C878A3" w:rsidP="006806DC" w14:paraId="3F5717BE" w14:textId="46094068">
      <w:pPr>
        <w:pStyle w:val="NormalWeb"/>
        <w:shd w:val="clear" w:color="auto" w:fill="FFFFFF"/>
        <w:spacing w:before="0" w:beforeAutospacing="0" w:after="150" w:afterAutospacing="0"/>
        <w:ind w:left="1440" w:right="1440"/>
        <w:rPr>
          <w:rFonts w:eastAsiaTheme="minorHAnsi"/>
          <w:color w:val="000000"/>
        </w:rPr>
      </w:pPr>
      <w:r w:rsidRPr="00C878A3">
        <w:rPr>
          <w:rFonts w:eastAsiaTheme="minorHAnsi"/>
          <w:color w:val="000000"/>
        </w:rPr>
        <w:t>4. </w:t>
      </w:r>
      <w:r w:rsidR="000065DE">
        <w:rPr>
          <w:rFonts w:eastAsiaTheme="minorHAnsi"/>
          <w:color w:val="000000"/>
        </w:rPr>
        <w:tab/>
      </w:r>
      <w:r w:rsidRPr="00C878A3">
        <w:rPr>
          <w:rFonts w:eastAsiaTheme="minorHAnsi"/>
          <w:color w:val="000000"/>
        </w:rPr>
        <w:t>Overhead Construction Costs.</w:t>
      </w:r>
    </w:p>
    <w:p w:rsidR="00F87244" w:rsidRPr="00C878A3" w:rsidP="004769BF" w14:paraId="0B369E6E" w14:textId="57913D39">
      <w:pPr>
        <w:pStyle w:val="NormalWeb"/>
        <w:shd w:val="clear" w:color="auto" w:fill="FFFFFF"/>
        <w:spacing w:before="0" w:beforeAutospacing="0" w:after="150" w:afterAutospacing="0"/>
        <w:ind w:left="2160" w:right="1440" w:hanging="720"/>
        <w:rPr>
          <w:rFonts w:eastAsiaTheme="minorHAnsi"/>
          <w:color w:val="000000"/>
        </w:rPr>
      </w:pPr>
      <w:r w:rsidRPr="00C878A3">
        <w:rPr>
          <w:rFonts w:eastAsiaTheme="minorHAnsi"/>
          <w:color w:val="000000"/>
        </w:rPr>
        <w:t xml:space="preserve">A. </w:t>
      </w:r>
      <w:r w:rsidRPr="00C878A3" w:rsidR="004769BF">
        <w:rPr>
          <w:rFonts w:eastAsiaTheme="minorHAnsi"/>
          <w:color w:val="000000"/>
        </w:rPr>
        <w:tab/>
      </w:r>
      <w:r w:rsidRPr="00C878A3">
        <w:rPr>
          <w:rFonts w:eastAsiaTheme="minorHAnsi"/>
          <w:color w:val="000000"/>
        </w:rPr>
        <w:t>All overhead construction costs, such as engineering, supervision, general office salaries and expenses, construction engineering and supervision by others than the accounting utility, law expenses, insurance, injuries and damages, relief and pensions, taxes and interest, shall be charged to particular jobs or units on the basis of the amounts of such overheads reasonably applicable thereto, to the end that each job or unit shall bear its equitable proportion of such costs and that the entire cost of the unit, both direct and overhead, shall be deducted from the plant accounts at the time the property is retired.</w:t>
      </w:r>
      <w:r>
        <w:rPr>
          <w:rStyle w:val="FootnoteReference"/>
          <w:rFonts w:eastAsiaTheme="minorHAnsi"/>
          <w:color w:val="000000"/>
        </w:rPr>
        <w:footnoteReference w:id="25"/>
      </w:r>
    </w:p>
    <w:p w:rsidR="00F87244" w:rsidRPr="00C878A3" w:rsidP="00F87244" w14:paraId="182899A1" w14:textId="7061443A">
      <w:pPr>
        <w:spacing w:line="480" w:lineRule="auto"/>
        <w:rPr>
          <w:szCs w:val="24"/>
        </w:rPr>
      </w:pPr>
      <w:r w:rsidRPr="00C878A3">
        <w:rPr>
          <w:szCs w:val="24"/>
        </w:rPr>
        <w:tab/>
      </w:r>
      <w:r w:rsidRPr="00C878A3" w:rsidR="003875BD">
        <w:rPr>
          <w:szCs w:val="24"/>
        </w:rPr>
        <w:t>This definition of collectible costs excludes</w:t>
      </w:r>
      <w:r w:rsidRPr="00C878A3">
        <w:rPr>
          <w:szCs w:val="24"/>
        </w:rPr>
        <w:t xml:space="preserve"> any category for </w:t>
      </w:r>
      <w:r w:rsidRPr="00C878A3" w:rsidR="003875BD">
        <w:rPr>
          <w:szCs w:val="24"/>
        </w:rPr>
        <w:t xml:space="preserve">cash bonuses, </w:t>
      </w:r>
      <w:r w:rsidRPr="00C878A3" w:rsidR="000D3BFA">
        <w:rPr>
          <w:szCs w:val="24"/>
        </w:rPr>
        <w:t xml:space="preserve">travel, office supplies, </w:t>
      </w:r>
      <w:r w:rsidRPr="00C878A3" w:rsidR="003875BD">
        <w:rPr>
          <w:szCs w:val="24"/>
        </w:rPr>
        <w:t>picnics, meals and parties.</w:t>
      </w:r>
      <w:r w:rsidRPr="00C878A3" w:rsidR="007D0B73">
        <w:rPr>
          <w:szCs w:val="24"/>
        </w:rPr>
        <w:t xml:space="preserve"> </w:t>
      </w:r>
      <w:r w:rsidRPr="00C878A3" w:rsidR="003875BD">
        <w:rPr>
          <w:szCs w:val="24"/>
        </w:rPr>
        <w:t>DP&amp;L is required to follow the Uniform System of Accounts.</w:t>
      </w:r>
      <w:r>
        <w:rPr>
          <w:rStyle w:val="FootnoteReference"/>
          <w:szCs w:val="24"/>
        </w:rPr>
        <w:footnoteReference w:id="26"/>
      </w:r>
      <w:r w:rsidRPr="00C878A3" w:rsidR="007D0B73">
        <w:rPr>
          <w:szCs w:val="24"/>
        </w:rPr>
        <w:t xml:space="preserve"> </w:t>
      </w:r>
      <w:r w:rsidRPr="00C878A3" w:rsidR="003875BD">
        <w:rPr>
          <w:szCs w:val="24"/>
        </w:rPr>
        <w:t>OCC identified $485,717 in capitalized storm costs which do not meet this definition.</w:t>
      </w:r>
      <w:r w:rsidRPr="00C878A3" w:rsidR="007D0B73">
        <w:rPr>
          <w:szCs w:val="24"/>
        </w:rPr>
        <w:t xml:space="preserve"> </w:t>
      </w:r>
      <w:r w:rsidRPr="00C878A3" w:rsidR="003875BD">
        <w:rPr>
          <w:szCs w:val="24"/>
        </w:rPr>
        <w:t xml:space="preserve">The PUCO’s Order lacks evidentiary support because the </w:t>
      </w:r>
      <w:r w:rsidRPr="00C878A3" w:rsidR="000D3BFA">
        <w:rPr>
          <w:szCs w:val="24"/>
        </w:rPr>
        <w:t xml:space="preserve">undisputed </w:t>
      </w:r>
      <w:r w:rsidRPr="00C878A3" w:rsidR="003875BD">
        <w:rPr>
          <w:szCs w:val="24"/>
        </w:rPr>
        <w:t>evidence presented by OCC establishes that these items fall outside the Uniform System of Accounts and therefore should have been excluded from rate base and depreciation reserve.</w:t>
      </w:r>
      <w:r w:rsidR="00C878A3">
        <w:rPr>
          <w:szCs w:val="24"/>
        </w:rPr>
        <w:t xml:space="preserve"> </w:t>
      </w:r>
      <w:r w:rsidRPr="00C878A3" w:rsidR="002909E5">
        <w:rPr>
          <w:szCs w:val="24"/>
        </w:rPr>
        <w:t xml:space="preserve">DP&amp;L’s failure to comply with the accounting as set forth in the </w:t>
      </w:r>
      <w:r w:rsidRPr="00C878A3" w:rsidR="00A93E42">
        <w:rPr>
          <w:szCs w:val="24"/>
        </w:rPr>
        <w:t>Uniform System of Accounts</w:t>
      </w:r>
      <w:r w:rsidR="00C878A3">
        <w:rPr>
          <w:szCs w:val="24"/>
        </w:rPr>
        <w:t xml:space="preserve"> </w:t>
      </w:r>
      <w:r w:rsidRPr="00C878A3" w:rsidR="002909E5">
        <w:rPr>
          <w:szCs w:val="24"/>
        </w:rPr>
        <w:t xml:space="preserve">should not be excused or used as reason for including the expenses in the rates that consumers pay. </w:t>
      </w:r>
    </w:p>
    <w:p w:rsidR="003875BD" w:rsidRPr="00C878A3" w:rsidP="00F87244" w14:paraId="36BF4787" w14:textId="23A2EEA4">
      <w:pPr>
        <w:spacing w:line="480" w:lineRule="auto"/>
        <w:rPr>
          <w:szCs w:val="24"/>
        </w:rPr>
      </w:pPr>
      <w:r w:rsidRPr="00C878A3">
        <w:rPr>
          <w:szCs w:val="24"/>
        </w:rPr>
        <w:tab/>
        <w:t>OCC also argued that capitalized earnings</w:t>
      </w:r>
      <w:r w:rsidRPr="00C878A3" w:rsidR="001F2851">
        <w:rPr>
          <w:szCs w:val="24"/>
        </w:rPr>
        <w:t>-</w:t>
      </w:r>
      <w:r w:rsidRPr="00C878A3">
        <w:rPr>
          <w:szCs w:val="24"/>
        </w:rPr>
        <w:t>based incentive compensation should have been removed from plant</w:t>
      </w:r>
      <w:r w:rsidRPr="00C878A3" w:rsidR="001F2851">
        <w:rPr>
          <w:szCs w:val="24"/>
        </w:rPr>
        <w:t>-</w:t>
      </w:r>
      <w:r w:rsidRPr="00C878A3">
        <w:rPr>
          <w:szCs w:val="24"/>
        </w:rPr>
        <w:t>in</w:t>
      </w:r>
      <w:r w:rsidRPr="00C878A3" w:rsidR="001F2851">
        <w:rPr>
          <w:szCs w:val="24"/>
        </w:rPr>
        <w:t>-</w:t>
      </w:r>
      <w:r w:rsidRPr="00C878A3">
        <w:rPr>
          <w:szCs w:val="24"/>
        </w:rPr>
        <w:t>service and depreciation reserve.</w:t>
      </w:r>
      <w:r w:rsidRPr="00C878A3" w:rsidR="007D0B73">
        <w:rPr>
          <w:szCs w:val="24"/>
        </w:rPr>
        <w:t xml:space="preserve"> </w:t>
      </w:r>
      <w:r w:rsidRPr="00C878A3">
        <w:rPr>
          <w:szCs w:val="24"/>
        </w:rPr>
        <w:t>The PUCO rejected this argument, but the PUCO’s Order is internally inconsistent.</w:t>
      </w:r>
      <w:r w:rsidRPr="00C878A3" w:rsidR="007D0B73">
        <w:rPr>
          <w:szCs w:val="24"/>
        </w:rPr>
        <w:t xml:space="preserve"> </w:t>
      </w:r>
      <w:r w:rsidRPr="00C878A3">
        <w:rPr>
          <w:szCs w:val="24"/>
        </w:rPr>
        <w:t xml:space="preserve">The PUCO </w:t>
      </w:r>
      <w:r w:rsidRPr="00C878A3" w:rsidR="00396CE2">
        <w:rPr>
          <w:szCs w:val="24"/>
        </w:rPr>
        <w:t xml:space="preserve">removed </w:t>
      </w:r>
      <w:r w:rsidRPr="00C878A3">
        <w:rPr>
          <w:szCs w:val="24"/>
        </w:rPr>
        <w:t>earnings</w:t>
      </w:r>
      <w:r w:rsidRPr="00C878A3" w:rsidR="001F2851">
        <w:rPr>
          <w:szCs w:val="24"/>
        </w:rPr>
        <w:t>-</w:t>
      </w:r>
      <w:r w:rsidRPr="00C878A3">
        <w:rPr>
          <w:szCs w:val="24"/>
        </w:rPr>
        <w:t>based incentive compensation from DP&amp;L’s operating expenses</w:t>
      </w:r>
      <w:r>
        <w:rPr>
          <w:rStyle w:val="FootnoteReference"/>
          <w:szCs w:val="24"/>
        </w:rPr>
        <w:footnoteReference w:id="27"/>
      </w:r>
      <w:r w:rsidRPr="00C878A3" w:rsidR="001F2851">
        <w:rPr>
          <w:szCs w:val="24"/>
        </w:rPr>
        <w:t xml:space="preserve"> but not from plant-in-service or depreciation reserve.</w:t>
      </w:r>
    </w:p>
    <w:p w:rsidR="00396CE2" w:rsidRPr="00C878A3" w:rsidP="00396CE2" w14:paraId="200EF7BE" w14:textId="570E7086">
      <w:pPr>
        <w:spacing w:line="480" w:lineRule="auto"/>
        <w:ind w:firstLine="720"/>
        <w:rPr>
          <w:bCs/>
          <w:iCs/>
          <w:szCs w:val="24"/>
        </w:rPr>
      </w:pPr>
      <w:r w:rsidRPr="00C878A3">
        <w:rPr>
          <w:bCs/>
          <w:iCs/>
          <w:szCs w:val="24"/>
        </w:rPr>
        <w:t>The PUCO’s ruling is not only internally inconsistent, it is also inconsistent with past PUCO rulings.</w:t>
      </w:r>
      <w:r w:rsidRPr="00C878A3" w:rsidR="007D0B73">
        <w:rPr>
          <w:bCs/>
          <w:iCs/>
          <w:szCs w:val="24"/>
        </w:rPr>
        <w:t xml:space="preserve"> </w:t>
      </w:r>
      <w:r w:rsidRPr="00C878A3">
        <w:rPr>
          <w:bCs/>
          <w:iCs/>
          <w:szCs w:val="24"/>
        </w:rPr>
        <w:t>In its Opinion and Order in Case Numbers 17-38-EL-RDR and 18-230-EL-RDR, the PUCO stated:</w:t>
      </w:r>
    </w:p>
    <w:p w:rsidR="00396CE2" w:rsidRPr="00C878A3" w:rsidP="00D90CFB" w14:paraId="16B50B4E" w14:textId="0762A0C1">
      <w:pPr>
        <w:ind w:left="1440" w:right="1440"/>
        <w:rPr>
          <w:bCs/>
          <w:iCs/>
          <w:szCs w:val="24"/>
        </w:rPr>
      </w:pPr>
      <w:r w:rsidRPr="00C878A3">
        <w:rPr>
          <w:bCs/>
          <w:iCs/>
          <w:szCs w:val="24"/>
        </w:rPr>
        <w:t>[T]he Commission has previously addressed the issue of incentive compensation in a number of rate cases and rider proceedings.</w:t>
      </w:r>
      <w:r>
        <w:rPr>
          <w:rStyle w:val="FootnoteReference"/>
          <w:bCs/>
          <w:iCs/>
          <w:szCs w:val="24"/>
        </w:rPr>
        <w:footnoteReference w:id="28"/>
      </w:r>
      <w:r w:rsidRPr="00C878A3">
        <w:rPr>
          <w:bCs/>
          <w:iCs/>
          <w:szCs w:val="24"/>
        </w:rPr>
        <w:t xml:space="preserve"> In these prior cases, the PUCO has concluded that, to the extent that a public utility awards financial incentives to its employees for achieving financial goals, shareholders are the primary beneficiary and, therefore, that portion of the incentive compensation should not be collected from consumers.</w:t>
      </w:r>
      <w:r>
        <w:rPr>
          <w:rStyle w:val="FootnoteReference"/>
          <w:bCs/>
          <w:iCs/>
          <w:szCs w:val="24"/>
        </w:rPr>
        <w:footnoteReference w:id="29"/>
      </w:r>
      <w:r w:rsidRPr="00C878A3">
        <w:rPr>
          <w:bCs/>
          <w:iCs/>
          <w:szCs w:val="24"/>
        </w:rPr>
        <w:t xml:space="preserve"> </w:t>
      </w:r>
    </w:p>
    <w:p w:rsidR="00396CE2" w:rsidRPr="00C878A3" w:rsidP="00396CE2" w14:paraId="5FAFCEBE" w14:textId="77777777">
      <w:pPr>
        <w:ind w:firstLine="720"/>
        <w:rPr>
          <w:bCs/>
          <w:iCs/>
          <w:szCs w:val="24"/>
        </w:rPr>
      </w:pPr>
    </w:p>
    <w:p w:rsidR="00396CE2" w:rsidRPr="00C878A3" w:rsidP="00396CE2" w14:paraId="43C9C648" w14:textId="6E2EB1F1">
      <w:pPr>
        <w:spacing w:line="480" w:lineRule="auto"/>
        <w:ind w:firstLine="720"/>
        <w:rPr>
          <w:bCs/>
          <w:iCs/>
          <w:szCs w:val="24"/>
        </w:rPr>
      </w:pPr>
      <w:r w:rsidRPr="00C878A3">
        <w:rPr>
          <w:szCs w:val="24"/>
        </w:rPr>
        <w:t>The PUCO has also stated: “To the extent that financial incentives are awarded for achieving financial goals, the primary benefit of such financial incentives accrues to shareholders and that portion of incentive compensation should not be recovered from ratepayers.”</w:t>
      </w:r>
      <w:r>
        <w:rPr>
          <w:rStyle w:val="FootnoteReference"/>
          <w:szCs w:val="24"/>
        </w:rPr>
        <w:footnoteReference w:id="30"/>
      </w:r>
      <w:r w:rsidRPr="00C878A3">
        <w:rPr>
          <w:szCs w:val="24"/>
        </w:rPr>
        <w:t xml:space="preserve"> </w:t>
      </w:r>
      <w:r w:rsidRPr="00C878A3">
        <w:rPr>
          <w:bCs/>
          <w:iCs/>
          <w:szCs w:val="24"/>
        </w:rPr>
        <w:t xml:space="preserve">In the present case, the PUCO should </w:t>
      </w:r>
      <w:r w:rsidRPr="00C878A3" w:rsidR="000D3BFA">
        <w:rPr>
          <w:bCs/>
          <w:iCs/>
          <w:szCs w:val="24"/>
        </w:rPr>
        <w:t xml:space="preserve">have </w:t>
      </w:r>
      <w:r w:rsidRPr="00C878A3">
        <w:rPr>
          <w:bCs/>
          <w:iCs/>
          <w:szCs w:val="24"/>
        </w:rPr>
        <w:t>follow</w:t>
      </w:r>
      <w:r w:rsidRPr="00C878A3" w:rsidR="000D3BFA">
        <w:rPr>
          <w:bCs/>
          <w:iCs/>
          <w:szCs w:val="24"/>
        </w:rPr>
        <w:t>ed</w:t>
      </w:r>
      <w:r w:rsidRPr="00C878A3">
        <w:rPr>
          <w:bCs/>
          <w:iCs/>
          <w:szCs w:val="24"/>
        </w:rPr>
        <w:t xml:space="preserve"> this established precedent and exclude</w:t>
      </w:r>
      <w:r w:rsidRPr="00C878A3" w:rsidR="000D3BFA">
        <w:rPr>
          <w:bCs/>
          <w:iCs/>
          <w:szCs w:val="24"/>
        </w:rPr>
        <w:t>d</w:t>
      </w:r>
      <w:r w:rsidRPr="00C878A3">
        <w:rPr>
          <w:bCs/>
          <w:iCs/>
          <w:szCs w:val="24"/>
        </w:rPr>
        <w:t xml:space="preserve"> this item from base rates and depreciation reserve.</w:t>
      </w:r>
      <w:r w:rsidRPr="00C878A3" w:rsidR="007D0B73">
        <w:rPr>
          <w:bCs/>
          <w:iCs/>
          <w:szCs w:val="24"/>
        </w:rPr>
        <w:t xml:space="preserve"> </w:t>
      </w:r>
    </w:p>
    <w:p w:rsidR="00396CE2" w:rsidRPr="00C878A3" w:rsidP="00396CE2" w14:paraId="7755BB32" w14:textId="17548145">
      <w:pPr>
        <w:spacing w:line="480" w:lineRule="auto"/>
        <w:ind w:firstLine="720"/>
        <w:rPr>
          <w:szCs w:val="24"/>
        </w:rPr>
      </w:pPr>
      <w:r w:rsidRPr="00C878A3">
        <w:rPr>
          <w:szCs w:val="24"/>
        </w:rPr>
        <w:t>The PUCO must “respect its own precedents in its decisions to assure the predictability, which is essential in all areas of the law, including administrative law.”</w:t>
      </w:r>
      <w:r>
        <w:rPr>
          <w:rStyle w:val="FootnoteReference"/>
          <w:szCs w:val="24"/>
        </w:rPr>
        <w:footnoteReference w:id="31"/>
      </w:r>
      <w:r w:rsidRPr="00C878A3">
        <w:rPr>
          <w:szCs w:val="24"/>
        </w:rPr>
        <w:t xml:space="preserve"> If the PUCO decides not to follow its own prior decision</w:t>
      </w:r>
      <w:r w:rsidRPr="00C878A3" w:rsidR="001F2851">
        <w:rPr>
          <w:szCs w:val="24"/>
        </w:rPr>
        <w:t>s</w:t>
      </w:r>
      <w:r w:rsidRPr="00C878A3">
        <w:rPr>
          <w:szCs w:val="24"/>
        </w:rPr>
        <w:t>, it must explain why it does so.</w:t>
      </w:r>
      <w:r>
        <w:rPr>
          <w:rStyle w:val="FootnoteReference"/>
          <w:szCs w:val="24"/>
        </w:rPr>
        <w:footnoteReference w:id="32"/>
      </w:r>
      <w:r w:rsidRPr="00C878A3">
        <w:rPr>
          <w:szCs w:val="24"/>
        </w:rPr>
        <w:t xml:space="preserve"> Any new course taken by the PUCO must be “substantively reasonable and lawful.”</w:t>
      </w:r>
      <w:r>
        <w:rPr>
          <w:rStyle w:val="FootnoteReference"/>
          <w:szCs w:val="24"/>
        </w:rPr>
        <w:footnoteReference w:id="33"/>
      </w:r>
      <w:r w:rsidRPr="00C878A3">
        <w:rPr>
          <w:szCs w:val="24"/>
        </w:rPr>
        <w:t xml:space="preserve"> </w:t>
      </w:r>
    </w:p>
    <w:p w:rsidR="00396CE2" w:rsidRPr="00C878A3" w:rsidP="00396CE2" w14:paraId="2EFB5D09" w14:textId="71F11CB2">
      <w:pPr>
        <w:spacing w:line="480" w:lineRule="auto"/>
        <w:ind w:firstLine="720"/>
        <w:rPr>
          <w:szCs w:val="24"/>
        </w:rPr>
      </w:pPr>
      <w:r w:rsidRPr="00C878A3">
        <w:rPr>
          <w:szCs w:val="24"/>
        </w:rPr>
        <w:t xml:space="preserve">The PUCO failed to follow its precedent </w:t>
      </w:r>
      <w:r w:rsidRPr="00C878A3" w:rsidR="00207046">
        <w:rPr>
          <w:szCs w:val="24"/>
        </w:rPr>
        <w:t>of excluding capitalized earnings</w:t>
      </w:r>
      <w:r w:rsidRPr="00C878A3" w:rsidR="001F2851">
        <w:rPr>
          <w:szCs w:val="24"/>
        </w:rPr>
        <w:t>-</w:t>
      </w:r>
      <w:r w:rsidRPr="00C878A3" w:rsidR="00207046">
        <w:rPr>
          <w:szCs w:val="24"/>
        </w:rPr>
        <w:t>based incentive compensation</w:t>
      </w:r>
      <w:r w:rsidR="00C868C6">
        <w:rPr>
          <w:szCs w:val="24"/>
        </w:rPr>
        <w:t>, which</w:t>
      </w:r>
      <w:r w:rsidRPr="00C878A3" w:rsidR="00207046">
        <w:rPr>
          <w:szCs w:val="24"/>
        </w:rPr>
        <w:t xml:space="preserve"> should have been removed from plant</w:t>
      </w:r>
      <w:r w:rsidRPr="00C878A3" w:rsidR="001F2851">
        <w:rPr>
          <w:szCs w:val="24"/>
        </w:rPr>
        <w:t>-</w:t>
      </w:r>
      <w:r w:rsidRPr="00C878A3" w:rsidR="00207046">
        <w:rPr>
          <w:szCs w:val="24"/>
        </w:rPr>
        <w:t>in</w:t>
      </w:r>
      <w:r w:rsidRPr="00C878A3" w:rsidR="001F2851">
        <w:rPr>
          <w:szCs w:val="24"/>
        </w:rPr>
        <w:t>-</w:t>
      </w:r>
      <w:r w:rsidRPr="00C878A3" w:rsidR="00207046">
        <w:rPr>
          <w:szCs w:val="24"/>
        </w:rPr>
        <w:t>service and depreciation reserve.</w:t>
      </w:r>
      <w:r w:rsidRPr="00C878A3" w:rsidR="007D0B73">
        <w:rPr>
          <w:szCs w:val="24"/>
        </w:rPr>
        <w:t xml:space="preserve"> </w:t>
      </w:r>
      <w:r w:rsidRPr="00C878A3" w:rsidR="00207046">
        <w:rPr>
          <w:szCs w:val="24"/>
        </w:rPr>
        <w:t>The PUCO’s stated rationale for not excluding this item from plant</w:t>
      </w:r>
      <w:r w:rsidRPr="00C878A3" w:rsidR="001F2851">
        <w:rPr>
          <w:szCs w:val="24"/>
        </w:rPr>
        <w:t>-</w:t>
      </w:r>
      <w:r w:rsidRPr="00C878A3" w:rsidR="00207046">
        <w:rPr>
          <w:szCs w:val="24"/>
        </w:rPr>
        <w:t>in</w:t>
      </w:r>
      <w:r w:rsidRPr="00C878A3" w:rsidR="001F2851">
        <w:rPr>
          <w:szCs w:val="24"/>
        </w:rPr>
        <w:t>-</w:t>
      </w:r>
      <w:r w:rsidRPr="00C878A3" w:rsidR="00207046">
        <w:rPr>
          <w:szCs w:val="24"/>
        </w:rPr>
        <w:t>service and depreciation reserve is that “AES Ohio was unaware of any obligation” to do so.</w:t>
      </w:r>
      <w:r>
        <w:rPr>
          <w:rStyle w:val="FootnoteReference"/>
          <w:szCs w:val="24"/>
        </w:rPr>
        <w:footnoteReference w:id="34"/>
      </w:r>
      <w:r w:rsidRPr="00C878A3" w:rsidR="007D0B73">
        <w:rPr>
          <w:szCs w:val="24"/>
        </w:rPr>
        <w:t xml:space="preserve"> </w:t>
      </w:r>
      <w:r w:rsidRPr="00C878A3" w:rsidR="00207046">
        <w:rPr>
          <w:szCs w:val="24"/>
        </w:rPr>
        <w:t xml:space="preserve">DP&amp;L’s </w:t>
      </w:r>
      <w:r w:rsidRPr="00C878A3" w:rsidR="00983926">
        <w:rPr>
          <w:szCs w:val="24"/>
        </w:rPr>
        <w:t>lack of awareness</w:t>
      </w:r>
      <w:r w:rsidRPr="00C878A3" w:rsidR="00207046">
        <w:rPr>
          <w:szCs w:val="24"/>
        </w:rPr>
        <w:t xml:space="preserve"> of the law is no excuse.</w:t>
      </w:r>
      <w:r w:rsidRPr="00C878A3" w:rsidR="007D0B73">
        <w:rPr>
          <w:szCs w:val="24"/>
        </w:rPr>
        <w:t xml:space="preserve"> </w:t>
      </w:r>
      <w:r w:rsidRPr="00C878A3" w:rsidR="00207046">
        <w:rPr>
          <w:szCs w:val="24"/>
        </w:rPr>
        <w:t>The PUCO’s stated rationale for not following its existing precedent is lacking.</w:t>
      </w:r>
      <w:r w:rsidRPr="00C878A3" w:rsidR="007D0B73">
        <w:rPr>
          <w:szCs w:val="24"/>
        </w:rPr>
        <w:t xml:space="preserve"> </w:t>
      </w:r>
      <w:r w:rsidRPr="00C878A3" w:rsidR="00207046">
        <w:rPr>
          <w:szCs w:val="24"/>
        </w:rPr>
        <w:t>It would be unjust and unreasonable to allow DP&amp;L to collect these costs.</w:t>
      </w:r>
      <w:r w:rsidRPr="00C878A3" w:rsidR="007D0B73">
        <w:rPr>
          <w:szCs w:val="24"/>
        </w:rPr>
        <w:t xml:space="preserve"> </w:t>
      </w:r>
      <w:r w:rsidRPr="00C878A3" w:rsidR="00207046">
        <w:rPr>
          <w:szCs w:val="24"/>
        </w:rPr>
        <w:t>The PUCO should therefore grant rehearing and remove these costs.</w:t>
      </w:r>
    </w:p>
    <w:p w:rsidR="0048266F" w:rsidRPr="0048266F" w:rsidP="0048266F" w14:paraId="62633E5B" w14:textId="490A49C7">
      <w:pPr>
        <w:pStyle w:val="Heading2"/>
        <w:rPr>
          <w:rFonts w:ascii="Times New Roman" w:hAnsi="Times New Roman" w:cs="Times New Roman"/>
          <w:b w:val="0"/>
          <w:bCs/>
          <w:szCs w:val="24"/>
        </w:rPr>
      </w:pPr>
      <w:bookmarkStart w:id="27" w:name="_Toc124507969"/>
      <w:r w:rsidRPr="0048266F">
        <w:rPr>
          <w:rStyle w:val="Heading2Char"/>
          <w:rFonts w:ascii="Times New Roman" w:hAnsi="Times New Roman" w:cs="Times New Roman"/>
          <w:b/>
          <w:szCs w:val="24"/>
        </w:rPr>
        <w:t>B.</w:t>
      </w:r>
      <w:r w:rsidRPr="0048266F">
        <w:rPr>
          <w:rStyle w:val="Heading2Char"/>
          <w:rFonts w:ascii="Times New Roman" w:hAnsi="Times New Roman" w:cs="Times New Roman"/>
          <w:b/>
          <w:szCs w:val="24"/>
        </w:rPr>
        <w:tab/>
      </w:r>
      <w:r w:rsidRPr="0048266F" w:rsidR="006A1FCA">
        <w:rPr>
          <w:rStyle w:val="Heading2Char"/>
          <w:rFonts w:ascii="Times New Roman" w:hAnsi="Times New Roman" w:cs="Times New Roman"/>
          <w:b/>
          <w:szCs w:val="24"/>
        </w:rPr>
        <w:t>ASSIGNMENT OF ERROR NO. 2:</w:t>
      </w:r>
      <w:r w:rsidR="00C878A3">
        <w:rPr>
          <w:rStyle w:val="Heading2Char"/>
          <w:rFonts w:ascii="Times New Roman" w:hAnsi="Times New Roman" w:cs="Times New Roman"/>
          <w:szCs w:val="24"/>
        </w:rPr>
        <w:t xml:space="preserve"> </w:t>
      </w:r>
      <w:r w:rsidRPr="00C878A3" w:rsidR="00A93E42">
        <w:rPr>
          <w:rStyle w:val="Heading2Char"/>
          <w:rFonts w:ascii="Times New Roman" w:hAnsi="Times New Roman" w:cs="Times New Roman"/>
          <w:b/>
          <w:bCs/>
          <w:szCs w:val="24"/>
          <w:lang w:bidi="en-US"/>
        </w:rPr>
        <w:t>The PUCO erred by violating R.C. 4903.09 and R.C. 4909.15 by allowing DP&amp;L to collect up to $20 million in base rates for vegetation management, and approving additional deferral authority up to $7.5 million, without any evidentiary support and based on estimates of future costs occurring outside the test year. The PUCO also acted unreasonably by not requiring DP&amp;L to update its vegetation management plan to reflect changes it proposed regarding the cycle-based tree trimming program as well as maintenance of vegetation inside and outside the right-of-way.</w:t>
      </w:r>
      <w:bookmarkEnd w:id="27"/>
    </w:p>
    <w:p w:rsidR="007D36A9" w:rsidRPr="00C878A3" w:rsidP="0048266F" w14:paraId="55104CF4" w14:textId="66713ED6">
      <w:pPr>
        <w:pStyle w:val="Heading3"/>
        <w:rPr>
          <w:rFonts w:ascii="Times New Roman" w:hAnsi="Times New Roman" w:cs="Times New Roman"/>
          <w:b w:val="0"/>
        </w:rPr>
      </w:pPr>
      <w:bookmarkStart w:id="28" w:name="_Toc124507970"/>
      <w:r>
        <w:rPr>
          <w:rFonts w:ascii="Times New Roman" w:hAnsi="Times New Roman" w:cs="Times New Roman"/>
        </w:rPr>
        <w:t>1.</w:t>
      </w:r>
      <w:r>
        <w:rPr>
          <w:rFonts w:ascii="Times New Roman" w:hAnsi="Times New Roman" w:cs="Times New Roman"/>
        </w:rPr>
        <w:tab/>
      </w:r>
      <w:r w:rsidRPr="00C878A3">
        <w:rPr>
          <w:rFonts w:ascii="Times New Roman" w:hAnsi="Times New Roman" w:cs="Times New Roman"/>
        </w:rPr>
        <w:t>Background of DP&amp;L’s current vegetation management performance</w:t>
      </w:r>
      <w:r w:rsidR="00EE18A0">
        <w:rPr>
          <w:rFonts w:ascii="Times New Roman" w:hAnsi="Times New Roman" w:cs="Times New Roman"/>
        </w:rPr>
        <w:t>.</w:t>
      </w:r>
      <w:bookmarkEnd w:id="28"/>
    </w:p>
    <w:p w:rsidR="009C6D95" w:rsidRPr="00C878A3" w:rsidP="007D36A9" w14:paraId="3C555C9D" w14:textId="77777777">
      <w:pPr>
        <w:autoSpaceDE w:val="0"/>
        <w:autoSpaceDN w:val="0"/>
        <w:adjustRightInd w:val="0"/>
        <w:spacing w:line="480" w:lineRule="auto"/>
        <w:ind w:firstLine="720"/>
        <w:rPr>
          <w:bCs/>
          <w:szCs w:val="24"/>
        </w:rPr>
      </w:pPr>
      <w:r w:rsidRPr="00C878A3">
        <w:rPr>
          <w:bCs/>
          <w:szCs w:val="24"/>
        </w:rPr>
        <w:t>OCC presented Mr. James Williams to testify about DP&amp;L’s vegetation management practices.</w:t>
      </w:r>
      <w:r w:rsidRPr="00C878A3" w:rsidR="007D0B73">
        <w:rPr>
          <w:bCs/>
          <w:szCs w:val="24"/>
        </w:rPr>
        <w:t xml:space="preserve"> </w:t>
      </w:r>
      <w:r w:rsidRPr="00C878A3">
        <w:rPr>
          <w:bCs/>
          <w:szCs w:val="24"/>
        </w:rPr>
        <w:t>Mr. Williams testified that</w:t>
      </w:r>
      <w:r w:rsidRPr="00C878A3" w:rsidR="00D63539">
        <w:rPr>
          <w:bCs/>
          <w:szCs w:val="24"/>
        </w:rPr>
        <w:t>,</w:t>
      </w:r>
      <w:r w:rsidRPr="00C878A3">
        <w:rPr>
          <w:bCs/>
          <w:szCs w:val="24"/>
        </w:rPr>
        <w:t xml:space="preserve"> according to the PUCO</w:t>
      </w:r>
      <w:r w:rsidRPr="00C878A3" w:rsidR="001F2851">
        <w:rPr>
          <w:bCs/>
          <w:szCs w:val="24"/>
        </w:rPr>
        <w:t>-</w:t>
      </w:r>
      <w:r w:rsidRPr="00C878A3">
        <w:rPr>
          <w:bCs/>
          <w:szCs w:val="24"/>
        </w:rPr>
        <w:t>approved DP&amp;L Inspection, Maintenance, Repair, and Replacement Program, DP&amp;L is required to complete tree</w:t>
      </w:r>
      <w:r w:rsidRPr="00C878A3" w:rsidR="00D63539">
        <w:rPr>
          <w:bCs/>
          <w:szCs w:val="24"/>
        </w:rPr>
        <w:t xml:space="preserve"> </w:t>
      </w:r>
      <w:r w:rsidRPr="00C878A3">
        <w:rPr>
          <w:bCs/>
          <w:szCs w:val="24"/>
        </w:rPr>
        <w:t>trimming of all circuits within the right</w:t>
      </w:r>
      <w:r w:rsidRPr="00C878A3" w:rsidR="001F2851">
        <w:rPr>
          <w:bCs/>
          <w:szCs w:val="24"/>
        </w:rPr>
        <w:t>-</w:t>
      </w:r>
      <w:r w:rsidRPr="00C878A3">
        <w:rPr>
          <w:bCs/>
          <w:szCs w:val="24"/>
        </w:rPr>
        <w:t>of</w:t>
      </w:r>
      <w:r w:rsidRPr="00C878A3" w:rsidR="001F2851">
        <w:rPr>
          <w:bCs/>
          <w:szCs w:val="24"/>
        </w:rPr>
        <w:t>-</w:t>
      </w:r>
      <w:r w:rsidRPr="00C878A3">
        <w:rPr>
          <w:bCs/>
          <w:szCs w:val="24"/>
        </w:rPr>
        <w:t>way under a five-year cycle-based program.</w:t>
      </w:r>
      <w:r>
        <w:rPr>
          <w:rStyle w:val="FootnoteReference"/>
          <w:bCs/>
          <w:szCs w:val="24"/>
        </w:rPr>
        <w:footnoteReference w:id="35"/>
      </w:r>
    </w:p>
    <w:p w:rsidR="007D36A9" w:rsidRPr="00C878A3" w:rsidP="007D36A9" w14:paraId="7052F940" w14:textId="07AF358E">
      <w:pPr>
        <w:autoSpaceDE w:val="0"/>
        <w:autoSpaceDN w:val="0"/>
        <w:adjustRightInd w:val="0"/>
        <w:spacing w:line="480" w:lineRule="auto"/>
        <w:ind w:firstLine="720"/>
        <w:rPr>
          <w:bCs/>
          <w:szCs w:val="24"/>
        </w:rPr>
      </w:pPr>
      <w:r w:rsidRPr="00C878A3">
        <w:rPr>
          <w:bCs/>
          <w:szCs w:val="24"/>
        </w:rPr>
        <w:t xml:space="preserve"> But even though DP&amp;L is required to trim trees within the right</w:t>
      </w:r>
      <w:r w:rsidRPr="00C878A3" w:rsidR="00D63539">
        <w:rPr>
          <w:bCs/>
          <w:szCs w:val="24"/>
        </w:rPr>
        <w:t>-</w:t>
      </w:r>
      <w:r w:rsidRPr="00C878A3">
        <w:rPr>
          <w:bCs/>
          <w:szCs w:val="24"/>
        </w:rPr>
        <w:t>of</w:t>
      </w:r>
      <w:r w:rsidRPr="00C878A3" w:rsidR="00D63539">
        <w:rPr>
          <w:bCs/>
          <w:szCs w:val="24"/>
        </w:rPr>
        <w:t>-</w:t>
      </w:r>
      <w:r w:rsidRPr="00C878A3">
        <w:rPr>
          <w:bCs/>
          <w:szCs w:val="24"/>
        </w:rPr>
        <w:t xml:space="preserve">way on </w:t>
      </w:r>
      <w:r w:rsidR="00C868C6">
        <w:rPr>
          <w:bCs/>
          <w:szCs w:val="24"/>
        </w:rPr>
        <w:t xml:space="preserve">a </w:t>
      </w:r>
      <w:r w:rsidRPr="00C878A3">
        <w:rPr>
          <w:bCs/>
          <w:szCs w:val="24"/>
        </w:rPr>
        <w:t>five-year cycle, the Utility is not doing so.</w:t>
      </w:r>
      <w:r>
        <w:rPr>
          <w:rStyle w:val="FootnoteReference"/>
          <w:bCs/>
          <w:szCs w:val="24"/>
        </w:rPr>
        <w:footnoteReference w:id="36"/>
      </w:r>
      <w:r w:rsidRPr="00C878A3">
        <w:rPr>
          <w:bCs/>
          <w:szCs w:val="24"/>
        </w:rPr>
        <w:t xml:space="preserve"> And even though customer interruptions associated with trees inside the right</w:t>
      </w:r>
      <w:r w:rsidRPr="00C878A3" w:rsidR="001F2851">
        <w:rPr>
          <w:bCs/>
          <w:szCs w:val="24"/>
        </w:rPr>
        <w:t>-</w:t>
      </w:r>
      <w:r w:rsidRPr="00C878A3">
        <w:rPr>
          <w:bCs/>
          <w:szCs w:val="24"/>
        </w:rPr>
        <w:t>of</w:t>
      </w:r>
      <w:r w:rsidRPr="00C878A3" w:rsidR="001F2851">
        <w:rPr>
          <w:bCs/>
          <w:szCs w:val="24"/>
        </w:rPr>
        <w:t>-</w:t>
      </w:r>
      <w:r w:rsidRPr="00C878A3">
        <w:rPr>
          <w:bCs/>
          <w:szCs w:val="24"/>
        </w:rPr>
        <w:t>way are increasing, DP&amp;L has chosen to selectively defer the cycle-based tree</w:t>
      </w:r>
      <w:r w:rsidRPr="00C878A3" w:rsidR="00D63539">
        <w:rPr>
          <w:bCs/>
          <w:szCs w:val="24"/>
        </w:rPr>
        <w:t xml:space="preserve"> </w:t>
      </w:r>
      <w:r w:rsidRPr="00C878A3">
        <w:rPr>
          <w:bCs/>
          <w:szCs w:val="24"/>
        </w:rPr>
        <w:t>trimming program due to the alleged costs.</w:t>
      </w:r>
      <w:r>
        <w:rPr>
          <w:rStyle w:val="FootnoteReference"/>
          <w:bCs/>
          <w:szCs w:val="24"/>
        </w:rPr>
        <w:footnoteReference w:id="37"/>
      </w:r>
      <w:r w:rsidRPr="00C878A3">
        <w:rPr>
          <w:bCs/>
          <w:szCs w:val="24"/>
        </w:rPr>
        <w:t xml:space="preserve"> And DP&amp;L even acknowledged that the deferral in tree</w:t>
      </w:r>
      <w:r w:rsidRPr="00C878A3" w:rsidR="001F2851">
        <w:rPr>
          <w:bCs/>
          <w:szCs w:val="24"/>
        </w:rPr>
        <w:t xml:space="preserve"> </w:t>
      </w:r>
      <w:r w:rsidRPr="00C878A3">
        <w:rPr>
          <w:bCs/>
          <w:szCs w:val="24"/>
        </w:rPr>
        <w:t>trimming work allows additional growth and leads to additional system impacts</w:t>
      </w:r>
      <w:r w:rsidRPr="00C878A3" w:rsidR="00715B0F">
        <w:rPr>
          <w:bCs/>
          <w:szCs w:val="24"/>
        </w:rPr>
        <w:t xml:space="preserve"> </w:t>
      </w:r>
      <w:r w:rsidRPr="00C878A3" w:rsidR="00715B0F">
        <w:rPr>
          <w:rStyle w:val="cf01"/>
          <w:rFonts w:ascii="Times New Roman" w:hAnsi="Times New Roman" w:cs="Times New Roman"/>
          <w:sz w:val="24"/>
          <w:szCs w:val="24"/>
        </w:rPr>
        <w:t>because the additional vegetation growth places distribution poles, wires, and other infrastructure at risk for damage and causes more tree-caused outages</w:t>
      </w:r>
      <w:r w:rsidRPr="00C878A3">
        <w:rPr>
          <w:bCs/>
          <w:szCs w:val="24"/>
        </w:rPr>
        <w:t>.</w:t>
      </w:r>
      <w:r>
        <w:rPr>
          <w:rStyle w:val="FootnoteReference"/>
          <w:bCs/>
          <w:szCs w:val="24"/>
        </w:rPr>
        <w:footnoteReference w:id="38"/>
      </w:r>
      <w:r w:rsidR="00C878A3">
        <w:rPr>
          <w:bCs/>
          <w:szCs w:val="24"/>
        </w:rPr>
        <w:t xml:space="preserve"> </w:t>
      </w:r>
      <w:r w:rsidRPr="00C878A3">
        <w:rPr>
          <w:bCs/>
          <w:szCs w:val="24"/>
        </w:rPr>
        <w:t>In fact, between 2018 and 2020, the Utility has failed to meet the five-year cycle-based tree</w:t>
      </w:r>
      <w:r w:rsidRPr="00C878A3" w:rsidR="001F2851">
        <w:rPr>
          <w:bCs/>
          <w:szCs w:val="24"/>
        </w:rPr>
        <w:t xml:space="preserve"> </w:t>
      </w:r>
      <w:r w:rsidRPr="00C878A3">
        <w:rPr>
          <w:bCs/>
          <w:szCs w:val="24"/>
        </w:rPr>
        <w:t>trimming requirements.</w:t>
      </w:r>
      <w:r>
        <w:rPr>
          <w:rStyle w:val="FootnoteReference"/>
          <w:bCs/>
          <w:szCs w:val="24"/>
        </w:rPr>
        <w:footnoteReference w:id="39"/>
      </w:r>
      <w:r w:rsidRPr="00C878A3">
        <w:rPr>
          <w:bCs/>
          <w:szCs w:val="24"/>
        </w:rPr>
        <w:t xml:space="preserve"> This is particularly unreasonable considering the significant increases in baseline vegetation management expense ($15.7 million plus deferral expenses of up to $4.6 million) that DP&amp;L received in its last base last rate case.</w:t>
      </w:r>
      <w:r>
        <w:rPr>
          <w:rStyle w:val="FootnoteReference"/>
          <w:bCs/>
          <w:szCs w:val="24"/>
        </w:rPr>
        <w:footnoteReference w:id="40"/>
      </w:r>
    </w:p>
    <w:p w:rsidR="007D36A9" w:rsidRPr="00C878A3" w:rsidP="007D36A9" w14:paraId="3A30F2D4" w14:textId="35E211BD">
      <w:pPr>
        <w:autoSpaceDE w:val="0"/>
        <w:autoSpaceDN w:val="0"/>
        <w:adjustRightInd w:val="0"/>
        <w:spacing w:line="480" w:lineRule="auto"/>
        <w:ind w:firstLine="720"/>
        <w:rPr>
          <w:bCs/>
          <w:szCs w:val="24"/>
        </w:rPr>
      </w:pPr>
      <w:r w:rsidRPr="00C878A3">
        <w:rPr>
          <w:bCs/>
          <w:szCs w:val="24"/>
        </w:rPr>
        <w:t>OCC’s expert witness Mr. Williams explained in his testimony that in 2019, DP&amp;L reported only completing tree</w:t>
      </w:r>
      <w:r w:rsidRPr="00C878A3" w:rsidR="001F2851">
        <w:rPr>
          <w:bCs/>
          <w:szCs w:val="24"/>
        </w:rPr>
        <w:t xml:space="preserve"> </w:t>
      </w:r>
      <w:r w:rsidRPr="00C878A3">
        <w:rPr>
          <w:bCs/>
          <w:szCs w:val="24"/>
        </w:rPr>
        <w:t>trimming on 71 of the 108 circuits in in 2018 that it should have completed for the year.</w:t>
      </w:r>
      <w:r>
        <w:rPr>
          <w:rStyle w:val="FootnoteReference"/>
          <w:bCs/>
          <w:szCs w:val="24"/>
        </w:rPr>
        <w:footnoteReference w:id="41"/>
      </w:r>
      <w:r w:rsidRPr="00C878A3">
        <w:rPr>
          <w:bCs/>
          <w:szCs w:val="24"/>
        </w:rPr>
        <w:t xml:space="preserve"> In 2020, DP&amp;L reported completing tree</w:t>
      </w:r>
      <w:r w:rsidRPr="00C878A3" w:rsidR="001F2851">
        <w:rPr>
          <w:bCs/>
          <w:szCs w:val="24"/>
        </w:rPr>
        <w:t xml:space="preserve"> </w:t>
      </w:r>
      <w:r w:rsidRPr="00C878A3">
        <w:rPr>
          <w:bCs/>
          <w:szCs w:val="24"/>
        </w:rPr>
        <w:t>trimming on 91 of the 108 circuits in in 2019 that it should have completed for the year.</w:t>
      </w:r>
      <w:r>
        <w:rPr>
          <w:rStyle w:val="FootnoteReference"/>
          <w:bCs/>
          <w:szCs w:val="24"/>
        </w:rPr>
        <w:footnoteReference w:id="42"/>
      </w:r>
      <w:r w:rsidRPr="00C878A3">
        <w:rPr>
          <w:bCs/>
          <w:szCs w:val="24"/>
        </w:rPr>
        <w:t xml:space="preserve"> In 2021, DP&amp;L reported completing tree</w:t>
      </w:r>
      <w:r w:rsidRPr="00C878A3" w:rsidR="001F2851">
        <w:rPr>
          <w:bCs/>
          <w:szCs w:val="24"/>
        </w:rPr>
        <w:t xml:space="preserve"> </w:t>
      </w:r>
      <w:r w:rsidRPr="00C878A3">
        <w:rPr>
          <w:bCs/>
          <w:szCs w:val="24"/>
        </w:rPr>
        <w:t>trimming on 89 of the 108 circuits in 2020 that it should have completed for the year.</w:t>
      </w:r>
      <w:r>
        <w:rPr>
          <w:rStyle w:val="FootnoteReference"/>
          <w:bCs/>
          <w:szCs w:val="24"/>
        </w:rPr>
        <w:footnoteReference w:id="43"/>
      </w:r>
      <w:r w:rsidRPr="00C878A3">
        <w:rPr>
          <w:bCs/>
          <w:szCs w:val="24"/>
        </w:rPr>
        <w:t xml:space="preserve"> </w:t>
      </w:r>
    </w:p>
    <w:p w:rsidR="007D36A9" w:rsidRPr="00C878A3" w:rsidP="007D36A9" w14:paraId="02E07C1F" w14:textId="2B98DD69">
      <w:pPr>
        <w:autoSpaceDE w:val="0"/>
        <w:autoSpaceDN w:val="0"/>
        <w:adjustRightInd w:val="0"/>
        <w:spacing w:line="480" w:lineRule="auto"/>
        <w:ind w:firstLine="720"/>
        <w:rPr>
          <w:szCs w:val="24"/>
        </w:rPr>
      </w:pPr>
      <w:r w:rsidRPr="00C878A3">
        <w:rPr>
          <w:szCs w:val="24"/>
        </w:rPr>
        <w:t>According to Mr. Williams, DP&amp;L’s explanation for not meeting the PUCO approved vegetation management requirements was “</w:t>
      </w:r>
      <w:r w:rsidRPr="00C878A3" w:rsidR="001F2851">
        <w:rPr>
          <w:szCs w:val="24"/>
        </w:rPr>
        <w:t>[c]</w:t>
      </w:r>
      <w:r w:rsidRPr="00C878A3">
        <w:rPr>
          <w:szCs w:val="24"/>
        </w:rPr>
        <w:t>hallenging labor market conditions…”</w:t>
      </w:r>
      <w:r>
        <w:rPr>
          <w:rStyle w:val="FootnoteReference"/>
          <w:szCs w:val="24"/>
        </w:rPr>
        <w:footnoteReference w:id="44"/>
      </w:r>
      <w:r w:rsidRPr="00C878A3">
        <w:rPr>
          <w:szCs w:val="24"/>
        </w:rPr>
        <w:t xml:space="preserve"> And more specifically, </w:t>
      </w:r>
      <w:r w:rsidRPr="00C878A3" w:rsidR="001F2851">
        <w:rPr>
          <w:szCs w:val="24"/>
        </w:rPr>
        <w:t>DP&amp;L</w:t>
      </w:r>
      <w:r w:rsidRPr="00C878A3">
        <w:rPr>
          <w:szCs w:val="24"/>
        </w:rPr>
        <w:t xml:space="preserve"> has provided the following statement as their explanation in its Rule 26 filings for not meeting tree</w:t>
      </w:r>
      <w:r w:rsidRPr="00C878A3" w:rsidR="001F2851">
        <w:rPr>
          <w:szCs w:val="24"/>
        </w:rPr>
        <w:t xml:space="preserve"> </w:t>
      </w:r>
      <w:r w:rsidRPr="00C878A3">
        <w:rPr>
          <w:szCs w:val="24"/>
        </w:rPr>
        <w:t>trimming requirements:</w:t>
      </w:r>
    </w:p>
    <w:p w:rsidR="007D36A9" w:rsidRPr="00C878A3" w:rsidP="007D36A9" w14:paraId="79066136" w14:textId="77777777">
      <w:pPr>
        <w:autoSpaceDE w:val="0"/>
        <w:autoSpaceDN w:val="0"/>
        <w:adjustRightInd w:val="0"/>
        <w:ind w:left="1440" w:right="1440"/>
        <w:rPr>
          <w:szCs w:val="24"/>
        </w:rPr>
      </w:pPr>
      <w:r w:rsidRPr="00C878A3">
        <w:rPr>
          <w:szCs w:val="24"/>
        </w:rPr>
        <w:t>Challenging labor market conditions affecting the entire vegetation management industry have led to widespread price increases and schedule completion shortfalls for many utilities. Currently there is not enough qualified labor in the utility vegetation management industry to effectively meet the increasing needs of electricity providers. As a result, DP&amp;L Ohio has faced significant challenges in trying to overcome the labor shortages and the related price increases. To the best of its ability, DP&amp;L Ohio made strategic decisions to focus its vegetation management efforts in such a way as to maximize the potential benefit to [consumers] by prioritizing circuits based on safety, reliability and vegetation risk.</w:t>
      </w:r>
      <w:r>
        <w:rPr>
          <w:rStyle w:val="FootnoteReference"/>
          <w:szCs w:val="24"/>
        </w:rPr>
        <w:footnoteReference w:id="45"/>
      </w:r>
    </w:p>
    <w:p w:rsidR="007D36A9" w:rsidRPr="00C878A3" w:rsidP="007D36A9" w14:paraId="04CC5E6B" w14:textId="77777777">
      <w:pPr>
        <w:autoSpaceDE w:val="0"/>
        <w:autoSpaceDN w:val="0"/>
        <w:adjustRightInd w:val="0"/>
        <w:ind w:left="1440" w:right="1440"/>
        <w:rPr>
          <w:szCs w:val="24"/>
        </w:rPr>
      </w:pPr>
    </w:p>
    <w:p w:rsidR="007D36A9" w:rsidRPr="00C878A3" w:rsidP="007D36A9" w14:paraId="2F4ED469" w14:textId="3F8BC332">
      <w:pPr>
        <w:autoSpaceDE w:val="0"/>
        <w:autoSpaceDN w:val="0"/>
        <w:adjustRightInd w:val="0"/>
        <w:spacing w:line="480" w:lineRule="auto"/>
        <w:rPr>
          <w:szCs w:val="24"/>
        </w:rPr>
      </w:pPr>
      <w:r w:rsidRPr="00C878A3">
        <w:rPr>
          <w:szCs w:val="24"/>
        </w:rPr>
        <w:t xml:space="preserve"> </w:t>
      </w:r>
      <w:r w:rsidRPr="00C878A3">
        <w:rPr>
          <w:szCs w:val="24"/>
        </w:rPr>
        <w:tab/>
        <w:t>Identical statements are found in each of the system improvement plan reports for 2018 through 2020.</w:t>
      </w:r>
      <w:r>
        <w:rPr>
          <w:rStyle w:val="FootnoteReference"/>
          <w:szCs w:val="24"/>
        </w:rPr>
        <w:footnoteReference w:id="46"/>
      </w:r>
      <w:r w:rsidRPr="00C878A3">
        <w:rPr>
          <w:szCs w:val="24"/>
        </w:rPr>
        <w:t xml:space="preserve"> Mr. Williams explained in his testimony that in comparing the number of tree-caused outages between 2015 and 2020, there is a significant increase in outages associated with tree</w:t>
      </w:r>
      <w:r w:rsidRPr="00C878A3" w:rsidR="001F2851">
        <w:rPr>
          <w:szCs w:val="24"/>
        </w:rPr>
        <w:t xml:space="preserve"> </w:t>
      </w:r>
      <w:r w:rsidRPr="00C878A3">
        <w:rPr>
          <w:szCs w:val="24"/>
        </w:rPr>
        <w:t>trimming that are contributing to declines in DP&amp;L’s reliability performance as shown in the table below.</w:t>
      </w:r>
      <w:r>
        <w:rPr>
          <w:rStyle w:val="FootnoteReference"/>
          <w:szCs w:val="24"/>
        </w:rPr>
        <w:footnoteReference w:id="47"/>
      </w:r>
    </w:p>
    <w:p w:rsidR="005E09B3" w14:paraId="6217CA30" w14:textId="77777777">
      <w:pPr>
        <w:rPr>
          <w:b/>
          <w:bCs/>
          <w:szCs w:val="24"/>
        </w:rPr>
      </w:pPr>
      <w:r>
        <w:rPr>
          <w:b/>
          <w:bCs/>
          <w:szCs w:val="24"/>
        </w:rPr>
        <w:br w:type="page"/>
      </w:r>
    </w:p>
    <w:p w:rsidR="007D36A9" w:rsidP="007D36A9" w14:paraId="7E379A0E" w14:textId="4B6E509F">
      <w:pPr>
        <w:autoSpaceDE w:val="0"/>
        <w:autoSpaceDN w:val="0"/>
        <w:adjustRightInd w:val="0"/>
        <w:jc w:val="center"/>
        <w:rPr>
          <w:b/>
          <w:bCs/>
          <w:szCs w:val="24"/>
        </w:rPr>
      </w:pPr>
      <w:r w:rsidRPr="00C878A3">
        <w:rPr>
          <w:b/>
          <w:bCs/>
          <w:szCs w:val="24"/>
        </w:rPr>
        <w:t>Inside Row Tree Caused Outages 2015 – 2020 (Excludes Major Events and Transmission Outages)</w:t>
      </w:r>
      <w:r>
        <w:rPr>
          <w:rStyle w:val="FootnoteReference"/>
          <w:szCs w:val="24"/>
        </w:rPr>
        <w:footnoteReference w:id="48"/>
      </w:r>
    </w:p>
    <w:p w:rsidR="005E09B3" w:rsidRPr="00C878A3" w:rsidP="007D36A9" w14:paraId="74A7261E" w14:textId="77777777">
      <w:pPr>
        <w:autoSpaceDE w:val="0"/>
        <w:autoSpaceDN w:val="0"/>
        <w:adjustRightInd w:val="0"/>
        <w:jc w:val="center"/>
        <w:rPr>
          <w:szCs w:val="24"/>
        </w:rPr>
      </w:pPr>
    </w:p>
    <w:tbl>
      <w:tblPr>
        <w:tblStyle w:val="TableGrid"/>
        <w:tblW w:w="0" w:type="auto"/>
        <w:jc w:val="center"/>
        <w:tblLook w:val="04A0"/>
      </w:tblPr>
      <w:tblGrid>
        <w:gridCol w:w="1345"/>
        <w:gridCol w:w="1440"/>
        <w:gridCol w:w="1710"/>
        <w:gridCol w:w="2250"/>
      </w:tblGrid>
      <w:tr w14:paraId="7CE5267B" w14:textId="77777777" w:rsidTr="00B52FBF">
        <w:tblPrEx>
          <w:tblW w:w="0" w:type="auto"/>
          <w:jc w:val="center"/>
          <w:tblLook w:val="04A0"/>
        </w:tblPrEx>
        <w:trPr>
          <w:jc w:val="center"/>
        </w:trPr>
        <w:tc>
          <w:tcPr>
            <w:tcW w:w="1345" w:type="dxa"/>
          </w:tcPr>
          <w:p w:rsidR="007D36A9" w:rsidRPr="00C878A3" w:rsidP="00FE1B52" w14:paraId="361E0A17" w14:textId="77777777">
            <w:pPr>
              <w:autoSpaceDE w:val="0"/>
              <w:autoSpaceDN w:val="0"/>
              <w:adjustRightInd w:val="0"/>
              <w:jc w:val="center"/>
              <w:rPr>
                <w:b/>
                <w:bCs/>
                <w:sz w:val="24"/>
                <w:szCs w:val="24"/>
              </w:rPr>
            </w:pPr>
            <w:r w:rsidRPr="00C878A3">
              <w:rPr>
                <w:b/>
                <w:bCs/>
                <w:sz w:val="24"/>
                <w:szCs w:val="24"/>
              </w:rPr>
              <w:t>Year</w:t>
            </w:r>
          </w:p>
        </w:tc>
        <w:tc>
          <w:tcPr>
            <w:tcW w:w="1440" w:type="dxa"/>
          </w:tcPr>
          <w:p w:rsidR="007D36A9" w:rsidRPr="00C878A3" w:rsidP="00FE1B52" w14:paraId="3975E9B3" w14:textId="77777777">
            <w:pPr>
              <w:autoSpaceDE w:val="0"/>
              <w:autoSpaceDN w:val="0"/>
              <w:adjustRightInd w:val="0"/>
              <w:jc w:val="center"/>
              <w:rPr>
                <w:b/>
                <w:bCs/>
                <w:sz w:val="24"/>
                <w:szCs w:val="24"/>
              </w:rPr>
            </w:pPr>
            <w:r w:rsidRPr="00C878A3">
              <w:rPr>
                <w:b/>
                <w:bCs/>
                <w:sz w:val="24"/>
                <w:szCs w:val="24"/>
              </w:rPr>
              <w:t>Events</w:t>
            </w:r>
          </w:p>
        </w:tc>
        <w:tc>
          <w:tcPr>
            <w:tcW w:w="1710" w:type="dxa"/>
          </w:tcPr>
          <w:p w:rsidR="007D36A9" w:rsidRPr="00C878A3" w:rsidP="00FE1B52" w14:paraId="7B934D98" w14:textId="77777777">
            <w:pPr>
              <w:autoSpaceDE w:val="0"/>
              <w:autoSpaceDN w:val="0"/>
              <w:adjustRightInd w:val="0"/>
              <w:jc w:val="center"/>
              <w:rPr>
                <w:b/>
                <w:bCs/>
                <w:sz w:val="24"/>
                <w:szCs w:val="24"/>
              </w:rPr>
            </w:pPr>
            <w:r w:rsidRPr="00C878A3">
              <w:rPr>
                <w:b/>
                <w:bCs/>
                <w:sz w:val="24"/>
                <w:szCs w:val="24"/>
              </w:rPr>
              <w:t>Consumers Interrupted</w:t>
            </w:r>
          </w:p>
        </w:tc>
        <w:tc>
          <w:tcPr>
            <w:tcW w:w="2250" w:type="dxa"/>
          </w:tcPr>
          <w:p w:rsidR="007D36A9" w:rsidRPr="00C878A3" w:rsidP="00FE1B52" w14:paraId="5D14AAB1" w14:textId="77777777">
            <w:pPr>
              <w:autoSpaceDE w:val="0"/>
              <w:autoSpaceDN w:val="0"/>
              <w:adjustRightInd w:val="0"/>
              <w:jc w:val="center"/>
              <w:rPr>
                <w:b/>
                <w:bCs/>
                <w:sz w:val="24"/>
                <w:szCs w:val="24"/>
              </w:rPr>
            </w:pPr>
            <w:r w:rsidRPr="00C878A3">
              <w:rPr>
                <w:b/>
                <w:bCs/>
                <w:sz w:val="24"/>
                <w:szCs w:val="24"/>
              </w:rPr>
              <w:t>Consumer Minutes Interrupted</w:t>
            </w:r>
          </w:p>
        </w:tc>
      </w:tr>
      <w:tr w14:paraId="707892CB" w14:textId="77777777" w:rsidTr="00B52FBF">
        <w:tblPrEx>
          <w:tblW w:w="0" w:type="auto"/>
          <w:jc w:val="center"/>
          <w:tblLook w:val="04A0"/>
        </w:tblPrEx>
        <w:trPr>
          <w:jc w:val="center"/>
        </w:trPr>
        <w:tc>
          <w:tcPr>
            <w:tcW w:w="1345" w:type="dxa"/>
          </w:tcPr>
          <w:p w:rsidR="007D36A9" w:rsidRPr="00C878A3" w:rsidP="00FE1B52" w14:paraId="7E02493F" w14:textId="77777777">
            <w:pPr>
              <w:autoSpaceDE w:val="0"/>
              <w:autoSpaceDN w:val="0"/>
              <w:adjustRightInd w:val="0"/>
              <w:jc w:val="center"/>
              <w:rPr>
                <w:sz w:val="24"/>
                <w:szCs w:val="24"/>
              </w:rPr>
            </w:pPr>
            <w:r w:rsidRPr="00C878A3">
              <w:rPr>
                <w:sz w:val="24"/>
                <w:szCs w:val="24"/>
              </w:rPr>
              <w:t>2015</w:t>
            </w:r>
          </w:p>
        </w:tc>
        <w:tc>
          <w:tcPr>
            <w:tcW w:w="1440" w:type="dxa"/>
          </w:tcPr>
          <w:p w:rsidR="007D36A9" w:rsidRPr="00C878A3" w:rsidP="00FE1B52" w14:paraId="38C0ECCC" w14:textId="77777777">
            <w:pPr>
              <w:autoSpaceDE w:val="0"/>
              <w:autoSpaceDN w:val="0"/>
              <w:adjustRightInd w:val="0"/>
              <w:jc w:val="center"/>
              <w:rPr>
                <w:sz w:val="24"/>
                <w:szCs w:val="24"/>
              </w:rPr>
            </w:pPr>
            <w:r w:rsidRPr="00C878A3">
              <w:rPr>
                <w:sz w:val="24"/>
                <w:szCs w:val="24"/>
              </w:rPr>
              <w:t>145</w:t>
            </w:r>
          </w:p>
        </w:tc>
        <w:tc>
          <w:tcPr>
            <w:tcW w:w="1710" w:type="dxa"/>
          </w:tcPr>
          <w:p w:rsidR="007D36A9" w:rsidRPr="00C878A3" w:rsidP="00FE1B52" w14:paraId="5C493223" w14:textId="77777777">
            <w:pPr>
              <w:autoSpaceDE w:val="0"/>
              <w:autoSpaceDN w:val="0"/>
              <w:adjustRightInd w:val="0"/>
              <w:jc w:val="center"/>
              <w:rPr>
                <w:sz w:val="24"/>
                <w:szCs w:val="24"/>
              </w:rPr>
            </w:pPr>
            <w:r w:rsidRPr="00C878A3">
              <w:rPr>
                <w:sz w:val="24"/>
                <w:szCs w:val="24"/>
              </w:rPr>
              <w:t>7,007</w:t>
            </w:r>
          </w:p>
        </w:tc>
        <w:tc>
          <w:tcPr>
            <w:tcW w:w="2250" w:type="dxa"/>
          </w:tcPr>
          <w:p w:rsidR="007D36A9" w:rsidRPr="00C878A3" w:rsidP="00FE1B52" w14:paraId="7F15555B" w14:textId="77777777">
            <w:pPr>
              <w:autoSpaceDE w:val="0"/>
              <w:autoSpaceDN w:val="0"/>
              <w:adjustRightInd w:val="0"/>
              <w:jc w:val="center"/>
              <w:rPr>
                <w:sz w:val="24"/>
                <w:szCs w:val="24"/>
              </w:rPr>
            </w:pPr>
            <w:r w:rsidRPr="00C878A3">
              <w:rPr>
                <w:sz w:val="24"/>
                <w:szCs w:val="24"/>
              </w:rPr>
              <w:t>1,393,088</w:t>
            </w:r>
          </w:p>
        </w:tc>
      </w:tr>
      <w:tr w14:paraId="4E057674" w14:textId="77777777" w:rsidTr="00B52FBF">
        <w:tblPrEx>
          <w:tblW w:w="0" w:type="auto"/>
          <w:jc w:val="center"/>
          <w:tblLook w:val="04A0"/>
        </w:tblPrEx>
        <w:trPr>
          <w:jc w:val="center"/>
        </w:trPr>
        <w:tc>
          <w:tcPr>
            <w:tcW w:w="1345" w:type="dxa"/>
          </w:tcPr>
          <w:p w:rsidR="007D36A9" w:rsidRPr="00C878A3" w:rsidP="00FE1B52" w14:paraId="5CA476FF" w14:textId="77777777">
            <w:pPr>
              <w:autoSpaceDE w:val="0"/>
              <w:autoSpaceDN w:val="0"/>
              <w:adjustRightInd w:val="0"/>
              <w:jc w:val="center"/>
              <w:rPr>
                <w:sz w:val="24"/>
                <w:szCs w:val="24"/>
              </w:rPr>
            </w:pPr>
            <w:r w:rsidRPr="00C878A3">
              <w:rPr>
                <w:sz w:val="24"/>
                <w:szCs w:val="24"/>
              </w:rPr>
              <w:t>2016</w:t>
            </w:r>
          </w:p>
        </w:tc>
        <w:tc>
          <w:tcPr>
            <w:tcW w:w="1440" w:type="dxa"/>
          </w:tcPr>
          <w:p w:rsidR="007D36A9" w:rsidRPr="00C878A3" w:rsidP="00FE1B52" w14:paraId="2C75FB37" w14:textId="77777777">
            <w:pPr>
              <w:autoSpaceDE w:val="0"/>
              <w:autoSpaceDN w:val="0"/>
              <w:adjustRightInd w:val="0"/>
              <w:jc w:val="center"/>
              <w:rPr>
                <w:sz w:val="24"/>
                <w:szCs w:val="24"/>
              </w:rPr>
            </w:pPr>
            <w:r w:rsidRPr="00C878A3">
              <w:rPr>
                <w:sz w:val="24"/>
                <w:szCs w:val="24"/>
              </w:rPr>
              <w:t>116</w:t>
            </w:r>
          </w:p>
        </w:tc>
        <w:tc>
          <w:tcPr>
            <w:tcW w:w="1710" w:type="dxa"/>
          </w:tcPr>
          <w:p w:rsidR="007D36A9" w:rsidRPr="00C878A3" w:rsidP="00FE1B52" w14:paraId="45333A02" w14:textId="77777777">
            <w:pPr>
              <w:autoSpaceDE w:val="0"/>
              <w:autoSpaceDN w:val="0"/>
              <w:adjustRightInd w:val="0"/>
              <w:jc w:val="center"/>
              <w:rPr>
                <w:sz w:val="24"/>
                <w:szCs w:val="24"/>
              </w:rPr>
            </w:pPr>
            <w:r w:rsidRPr="00C878A3">
              <w:rPr>
                <w:sz w:val="24"/>
                <w:szCs w:val="24"/>
              </w:rPr>
              <w:t>6,112</w:t>
            </w:r>
          </w:p>
        </w:tc>
        <w:tc>
          <w:tcPr>
            <w:tcW w:w="2250" w:type="dxa"/>
          </w:tcPr>
          <w:p w:rsidR="007D36A9" w:rsidRPr="00C878A3" w:rsidP="00FE1B52" w14:paraId="59452E13" w14:textId="77777777">
            <w:pPr>
              <w:autoSpaceDE w:val="0"/>
              <w:autoSpaceDN w:val="0"/>
              <w:adjustRightInd w:val="0"/>
              <w:jc w:val="center"/>
              <w:rPr>
                <w:sz w:val="24"/>
                <w:szCs w:val="24"/>
              </w:rPr>
            </w:pPr>
            <w:r w:rsidRPr="00C878A3">
              <w:rPr>
                <w:sz w:val="24"/>
                <w:szCs w:val="24"/>
              </w:rPr>
              <w:t>2,006,194</w:t>
            </w:r>
          </w:p>
        </w:tc>
      </w:tr>
      <w:tr w14:paraId="418748C8" w14:textId="77777777" w:rsidTr="00B52FBF">
        <w:tblPrEx>
          <w:tblW w:w="0" w:type="auto"/>
          <w:jc w:val="center"/>
          <w:tblLook w:val="04A0"/>
        </w:tblPrEx>
        <w:trPr>
          <w:jc w:val="center"/>
        </w:trPr>
        <w:tc>
          <w:tcPr>
            <w:tcW w:w="1345" w:type="dxa"/>
          </w:tcPr>
          <w:p w:rsidR="007D36A9" w:rsidRPr="00C878A3" w:rsidP="00FE1B52" w14:paraId="429E1B07" w14:textId="77777777">
            <w:pPr>
              <w:autoSpaceDE w:val="0"/>
              <w:autoSpaceDN w:val="0"/>
              <w:adjustRightInd w:val="0"/>
              <w:jc w:val="center"/>
              <w:rPr>
                <w:sz w:val="24"/>
                <w:szCs w:val="24"/>
              </w:rPr>
            </w:pPr>
            <w:r w:rsidRPr="00C878A3">
              <w:rPr>
                <w:sz w:val="24"/>
                <w:szCs w:val="24"/>
              </w:rPr>
              <w:t>2017</w:t>
            </w:r>
          </w:p>
        </w:tc>
        <w:tc>
          <w:tcPr>
            <w:tcW w:w="1440" w:type="dxa"/>
          </w:tcPr>
          <w:p w:rsidR="007D36A9" w:rsidRPr="00C878A3" w:rsidP="00FE1B52" w14:paraId="467FC20B" w14:textId="77777777">
            <w:pPr>
              <w:autoSpaceDE w:val="0"/>
              <w:autoSpaceDN w:val="0"/>
              <w:adjustRightInd w:val="0"/>
              <w:jc w:val="center"/>
              <w:rPr>
                <w:sz w:val="24"/>
                <w:szCs w:val="24"/>
              </w:rPr>
            </w:pPr>
            <w:r w:rsidRPr="00C878A3">
              <w:rPr>
                <w:sz w:val="24"/>
                <w:szCs w:val="24"/>
              </w:rPr>
              <w:t>318</w:t>
            </w:r>
          </w:p>
        </w:tc>
        <w:tc>
          <w:tcPr>
            <w:tcW w:w="1710" w:type="dxa"/>
          </w:tcPr>
          <w:p w:rsidR="007D36A9" w:rsidRPr="00C878A3" w:rsidP="00FE1B52" w14:paraId="2E440C6B" w14:textId="77777777">
            <w:pPr>
              <w:autoSpaceDE w:val="0"/>
              <w:autoSpaceDN w:val="0"/>
              <w:adjustRightInd w:val="0"/>
              <w:jc w:val="center"/>
              <w:rPr>
                <w:sz w:val="24"/>
                <w:szCs w:val="24"/>
              </w:rPr>
            </w:pPr>
            <w:r w:rsidRPr="00C878A3">
              <w:rPr>
                <w:sz w:val="24"/>
                <w:szCs w:val="24"/>
              </w:rPr>
              <w:t>17,128</w:t>
            </w:r>
          </w:p>
        </w:tc>
        <w:tc>
          <w:tcPr>
            <w:tcW w:w="2250" w:type="dxa"/>
          </w:tcPr>
          <w:p w:rsidR="007D36A9" w:rsidRPr="00C878A3" w:rsidP="00FE1B52" w14:paraId="039D3858" w14:textId="77777777">
            <w:pPr>
              <w:autoSpaceDE w:val="0"/>
              <w:autoSpaceDN w:val="0"/>
              <w:adjustRightInd w:val="0"/>
              <w:jc w:val="center"/>
              <w:rPr>
                <w:sz w:val="24"/>
                <w:szCs w:val="24"/>
              </w:rPr>
            </w:pPr>
            <w:r w:rsidRPr="00C878A3">
              <w:rPr>
                <w:sz w:val="24"/>
                <w:szCs w:val="24"/>
              </w:rPr>
              <w:t>3,265,144</w:t>
            </w:r>
          </w:p>
        </w:tc>
      </w:tr>
      <w:tr w14:paraId="7612A4C7" w14:textId="77777777" w:rsidTr="00B52FBF">
        <w:tblPrEx>
          <w:tblW w:w="0" w:type="auto"/>
          <w:jc w:val="center"/>
          <w:tblLook w:val="04A0"/>
        </w:tblPrEx>
        <w:trPr>
          <w:jc w:val="center"/>
        </w:trPr>
        <w:tc>
          <w:tcPr>
            <w:tcW w:w="1345" w:type="dxa"/>
          </w:tcPr>
          <w:p w:rsidR="007D36A9" w:rsidRPr="00C878A3" w:rsidP="00FE1B52" w14:paraId="7DFFFF10" w14:textId="77777777">
            <w:pPr>
              <w:autoSpaceDE w:val="0"/>
              <w:autoSpaceDN w:val="0"/>
              <w:adjustRightInd w:val="0"/>
              <w:jc w:val="center"/>
              <w:rPr>
                <w:sz w:val="24"/>
                <w:szCs w:val="24"/>
              </w:rPr>
            </w:pPr>
            <w:r w:rsidRPr="00C878A3">
              <w:rPr>
                <w:sz w:val="24"/>
                <w:szCs w:val="24"/>
              </w:rPr>
              <w:t>2018</w:t>
            </w:r>
          </w:p>
        </w:tc>
        <w:tc>
          <w:tcPr>
            <w:tcW w:w="1440" w:type="dxa"/>
          </w:tcPr>
          <w:p w:rsidR="007D36A9" w:rsidRPr="00C878A3" w:rsidP="00FE1B52" w14:paraId="60E903EB" w14:textId="77777777">
            <w:pPr>
              <w:autoSpaceDE w:val="0"/>
              <w:autoSpaceDN w:val="0"/>
              <w:adjustRightInd w:val="0"/>
              <w:jc w:val="center"/>
              <w:rPr>
                <w:sz w:val="24"/>
                <w:szCs w:val="24"/>
              </w:rPr>
            </w:pPr>
            <w:r w:rsidRPr="00C878A3">
              <w:rPr>
                <w:sz w:val="24"/>
                <w:szCs w:val="24"/>
              </w:rPr>
              <w:t>310</w:t>
            </w:r>
          </w:p>
        </w:tc>
        <w:tc>
          <w:tcPr>
            <w:tcW w:w="1710" w:type="dxa"/>
          </w:tcPr>
          <w:p w:rsidR="007D36A9" w:rsidRPr="00C878A3" w:rsidP="00FE1B52" w14:paraId="664838FE" w14:textId="77777777">
            <w:pPr>
              <w:autoSpaceDE w:val="0"/>
              <w:autoSpaceDN w:val="0"/>
              <w:adjustRightInd w:val="0"/>
              <w:jc w:val="center"/>
              <w:rPr>
                <w:sz w:val="24"/>
                <w:szCs w:val="24"/>
              </w:rPr>
            </w:pPr>
            <w:r w:rsidRPr="00C878A3">
              <w:rPr>
                <w:sz w:val="24"/>
                <w:szCs w:val="24"/>
              </w:rPr>
              <w:t>16,973</w:t>
            </w:r>
          </w:p>
        </w:tc>
        <w:tc>
          <w:tcPr>
            <w:tcW w:w="2250" w:type="dxa"/>
          </w:tcPr>
          <w:p w:rsidR="007D36A9" w:rsidRPr="00C878A3" w:rsidP="00FE1B52" w14:paraId="7BBF5451" w14:textId="77777777">
            <w:pPr>
              <w:autoSpaceDE w:val="0"/>
              <w:autoSpaceDN w:val="0"/>
              <w:adjustRightInd w:val="0"/>
              <w:jc w:val="center"/>
              <w:rPr>
                <w:sz w:val="24"/>
                <w:szCs w:val="24"/>
              </w:rPr>
            </w:pPr>
            <w:r w:rsidRPr="00C878A3">
              <w:rPr>
                <w:sz w:val="24"/>
                <w:szCs w:val="24"/>
              </w:rPr>
              <w:t>3,366,969</w:t>
            </w:r>
          </w:p>
        </w:tc>
      </w:tr>
      <w:tr w14:paraId="7AE89A2E" w14:textId="77777777" w:rsidTr="00B52FBF">
        <w:tblPrEx>
          <w:tblW w:w="0" w:type="auto"/>
          <w:jc w:val="center"/>
          <w:tblLook w:val="04A0"/>
        </w:tblPrEx>
        <w:trPr>
          <w:jc w:val="center"/>
        </w:trPr>
        <w:tc>
          <w:tcPr>
            <w:tcW w:w="1345" w:type="dxa"/>
          </w:tcPr>
          <w:p w:rsidR="007D36A9" w:rsidRPr="00C878A3" w:rsidP="00FE1B52" w14:paraId="44486226" w14:textId="77777777">
            <w:pPr>
              <w:autoSpaceDE w:val="0"/>
              <w:autoSpaceDN w:val="0"/>
              <w:adjustRightInd w:val="0"/>
              <w:jc w:val="center"/>
              <w:rPr>
                <w:sz w:val="24"/>
                <w:szCs w:val="24"/>
              </w:rPr>
            </w:pPr>
            <w:r w:rsidRPr="00C878A3">
              <w:rPr>
                <w:sz w:val="24"/>
                <w:szCs w:val="24"/>
              </w:rPr>
              <w:t>2019</w:t>
            </w:r>
          </w:p>
        </w:tc>
        <w:tc>
          <w:tcPr>
            <w:tcW w:w="1440" w:type="dxa"/>
          </w:tcPr>
          <w:p w:rsidR="007D36A9" w:rsidRPr="00C878A3" w:rsidP="00FE1B52" w14:paraId="27EA2F63" w14:textId="77777777">
            <w:pPr>
              <w:autoSpaceDE w:val="0"/>
              <w:autoSpaceDN w:val="0"/>
              <w:adjustRightInd w:val="0"/>
              <w:jc w:val="center"/>
              <w:rPr>
                <w:sz w:val="24"/>
                <w:szCs w:val="24"/>
              </w:rPr>
            </w:pPr>
            <w:r w:rsidRPr="00C878A3">
              <w:rPr>
                <w:sz w:val="24"/>
                <w:szCs w:val="24"/>
              </w:rPr>
              <w:t>368</w:t>
            </w:r>
          </w:p>
        </w:tc>
        <w:tc>
          <w:tcPr>
            <w:tcW w:w="1710" w:type="dxa"/>
          </w:tcPr>
          <w:p w:rsidR="007D36A9" w:rsidRPr="00C878A3" w:rsidP="00FE1B52" w14:paraId="5E28ABCD" w14:textId="77777777">
            <w:pPr>
              <w:autoSpaceDE w:val="0"/>
              <w:autoSpaceDN w:val="0"/>
              <w:adjustRightInd w:val="0"/>
              <w:jc w:val="center"/>
              <w:rPr>
                <w:sz w:val="24"/>
                <w:szCs w:val="24"/>
              </w:rPr>
            </w:pPr>
            <w:r w:rsidRPr="00C878A3">
              <w:rPr>
                <w:sz w:val="24"/>
                <w:szCs w:val="24"/>
              </w:rPr>
              <w:t>22,079</w:t>
            </w:r>
          </w:p>
        </w:tc>
        <w:tc>
          <w:tcPr>
            <w:tcW w:w="2250" w:type="dxa"/>
          </w:tcPr>
          <w:p w:rsidR="007D36A9" w:rsidRPr="00C878A3" w:rsidP="00FE1B52" w14:paraId="5953B236" w14:textId="77777777">
            <w:pPr>
              <w:autoSpaceDE w:val="0"/>
              <w:autoSpaceDN w:val="0"/>
              <w:adjustRightInd w:val="0"/>
              <w:jc w:val="center"/>
              <w:rPr>
                <w:sz w:val="24"/>
                <w:szCs w:val="24"/>
              </w:rPr>
            </w:pPr>
            <w:r w:rsidRPr="00C878A3">
              <w:rPr>
                <w:sz w:val="24"/>
                <w:szCs w:val="24"/>
              </w:rPr>
              <w:t>4,318,048</w:t>
            </w:r>
          </w:p>
        </w:tc>
      </w:tr>
      <w:tr w14:paraId="0BE5AB1E" w14:textId="77777777" w:rsidTr="00B52FBF">
        <w:tblPrEx>
          <w:tblW w:w="0" w:type="auto"/>
          <w:jc w:val="center"/>
          <w:tblLook w:val="04A0"/>
        </w:tblPrEx>
        <w:trPr>
          <w:jc w:val="center"/>
        </w:trPr>
        <w:tc>
          <w:tcPr>
            <w:tcW w:w="1345" w:type="dxa"/>
          </w:tcPr>
          <w:p w:rsidR="007D36A9" w:rsidRPr="00C878A3" w:rsidP="00FE1B52" w14:paraId="486FCB60" w14:textId="77777777">
            <w:pPr>
              <w:autoSpaceDE w:val="0"/>
              <w:autoSpaceDN w:val="0"/>
              <w:adjustRightInd w:val="0"/>
              <w:jc w:val="center"/>
              <w:rPr>
                <w:sz w:val="24"/>
                <w:szCs w:val="24"/>
              </w:rPr>
            </w:pPr>
            <w:r w:rsidRPr="00C878A3">
              <w:rPr>
                <w:sz w:val="24"/>
                <w:szCs w:val="24"/>
              </w:rPr>
              <w:t>2020</w:t>
            </w:r>
          </w:p>
        </w:tc>
        <w:tc>
          <w:tcPr>
            <w:tcW w:w="1440" w:type="dxa"/>
          </w:tcPr>
          <w:p w:rsidR="007D36A9" w:rsidRPr="00C878A3" w:rsidP="00FE1B52" w14:paraId="03D9F4AD" w14:textId="77777777">
            <w:pPr>
              <w:autoSpaceDE w:val="0"/>
              <w:autoSpaceDN w:val="0"/>
              <w:adjustRightInd w:val="0"/>
              <w:jc w:val="center"/>
              <w:rPr>
                <w:sz w:val="24"/>
                <w:szCs w:val="24"/>
              </w:rPr>
            </w:pPr>
            <w:r w:rsidRPr="00C878A3">
              <w:rPr>
                <w:sz w:val="24"/>
                <w:szCs w:val="24"/>
              </w:rPr>
              <w:t>162</w:t>
            </w:r>
          </w:p>
        </w:tc>
        <w:tc>
          <w:tcPr>
            <w:tcW w:w="1710" w:type="dxa"/>
          </w:tcPr>
          <w:p w:rsidR="007D36A9" w:rsidRPr="00C878A3" w:rsidP="00FE1B52" w14:paraId="5B8C394F" w14:textId="77777777">
            <w:pPr>
              <w:autoSpaceDE w:val="0"/>
              <w:autoSpaceDN w:val="0"/>
              <w:adjustRightInd w:val="0"/>
              <w:jc w:val="center"/>
              <w:rPr>
                <w:sz w:val="24"/>
                <w:szCs w:val="24"/>
              </w:rPr>
            </w:pPr>
            <w:r w:rsidRPr="00C878A3">
              <w:rPr>
                <w:sz w:val="24"/>
                <w:szCs w:val="24"/>
              </w:rPr>
              <w:t>16,135</w:t>
            </w:r>
          </w:p>
        </w:tc>
        <w:tc>
          <w:tcPr>
            <w:tcW w:w="2250" w:type="dxa"/>
          </w:tcPr>
          <w:p w:rsidR="007D36A9" w:rsidRPr="00C878A3" w:rsidP="00FE1B52" w14:paraId="2D7F68D6" w14:textId="77777777">
            <w:pPr>
              <w:autoSpaceDE w:val="0"/>
              <w:autoSpaceDN w:val="0"/>
              <w:adjustRightInd w:val="0"/>
              <w:jc w:val="center"/>
              <w:rPr>
                <w:sz w:val="24"/>
                <w:szCs w:val="24"/>
              </w:rPr>
            </w:pPr>
            <w:r w:rsidRPr="00C878A3">
              <w:rPr>
                <w:sz w:val="24"/>
                <w:szCs w:val="24"/>
              </w:rPr>
              <w:t>2,652,857</w:t>
            </w:r>
          </w:p>
        </w:tc>
      </w:tr>
      <w:tr w14:paraId="0009F965" w14:textId="77777777" w:rsidTr="00B52FBF">
        <w:tblPrEx>
          <w:tblW w:w="0" w:type="auto"/>
          <w:jc w:val="center"/>
          <w:tblLook w:val="04A0"/>
        </w:tblPrEx>
        <w:trPr>
          <w:jc w:val="center"/>
        </w:trPr>
        <w:tc>
          <w:tcPr>
            <w:tcW w:w="1345" w:type="dxa"/>
          </w:tcPr>
          <w:p w:rsidR="007D36A9" w:rsidRPr="00C878A3" w:rsidP="00FE1B52" w14:paraId="04E25B6B" w14:textId="77777777">
            <w:pPr>
              <w:autoSpaceDE w:val="0"/>
              <w:autoSpaceDN w:val="0"/>
              <w:adjustRightInd w:val="0"/>
              <w:jc w:val="center"/>
              <w:rPr>
                <w:sz w:val="24"/>
                <w:szCs w:val="24"/>
              </w:rPr>
            </w:pPr>
            <w:r w:rsidRPr="00C878A3">
              <w:rPr>
                <w:sz w:val="24"/>
                <w:szCs w:val="24"/>
              </w:rPr>
              <w:t>Average 2015-2017</w:t>
            </w:r>
          </w:p>
        </w:tc>
        <w:tc>
          <w:tcPr>
            <w:tcW w:w="1440" w:type="dxa"/>
          </w:tcPr>
          <w:p w:rsidR="007D36A9" w:rsidRPr="00C878A3" w:rsidP="00FE1B52" w14:paraId="7AD9D037" w14:textId="77777777">
            <w:pPr>
              <w:autoSpaceDE w:val="0"/>
              <w:autoSpaceDN w:val="0"/>
              <w:adjustRightInd w:val="0"/>
              <w:jc w:val="center"/>
              <w:rPr>
                <w:sz w:val="24"/>
                <w:szCs w:val="24"/>
              </w:rPr>
            </w:pPr>
            <w:r w:rsidRPr="00C878A3">
              <w:rPr>
                <w:sz w:val="24"/>
                <w:szCs w:val="24"/>
              </w:rPr>
              <w:t>193</w:t>
            </w:r>
          </w:p>
        </w:tc>
        <w:tc>
          <w:tcPr>
            <w:tcW w:w="1710" w:type="dxa"/>
          </w:tcPr>
          <w:p w:rsidR="007D36A9" w:rsidRPr="00C878A3" w:rsidP="00FE1B52" w14:paraId="1115BE9A" w14:textId="77777777">
            <w:pPr>
              <w:autoSpaceDE w:val="0"/>
              <w:autoSpaceDN w:val="0"/>
              <w:adjustRightInd w:val="0"/>
              <w:jc w:val="center"/>
              <w:rPr>
                <w:sz w:val="24"/>
                <w:szCs w:val="24"/>
              </w:rPr>
            </w:pPr>
            <w:r w:rsidRPr="00C878A3">
              <w:rPr>
                <w:sz w:val="24"/>
                <w:szCs w:val="24"/>
              </w:rPr>
              <w:t>10,082</w:t>
            </w:r>
          </w:p>
        </w:tc>
        <w:tc>
          <w:tcPr>
            <w:tcW w:w="2250" w:type="dxa"/>
          </w:tcPr>
          <w:p w:rsidR="007D36A9" w:rsidRPr="00C878A3" w:rsidP="00FE1B52" w14:paraId="0A3DCDB9" w14:textId="77777777">
            <w:pPr>
              <w:autoSpaceDE w:val="0"/>
              <w:autoSpaceDN w:val="0"/>
              <w:adjustRightInd w:val="0"/>
              <w:jc w:val="center"/>
              <w:rPr>
                <w:sz w:val="24"/>
                <w:szCs w:val="24"/>
              </w:rPr>
            </w:pPr>
            <w:r w:rsidRPr="00C878A3">
              <w:rPr>
                <w:sz w:val="24"/>
                <w:szCs w:val="24"/>
              </w:rPr>
              <w:t>2,221,475</w:t>
            </w:r>
          </w:p>
        </w:tc>
      </w:tr>
      <w:tr w14:paraId="19D30318" w14:textId="77777777" w:rsidTr="00B52FBF">
        <w:tblPrEx>
          <w:tblW w:w="0" w:type="auto"/>
          <w:jc w:val="center"/>
          <w:tblLook w:val="04A0"/>
        </w:tblPrEx>
        <w:trPr>
          <w:jc w:val="center"/>
        </w:trPr>
        <w:tc>
          <w:tcPr>
            <w:tcW w:w="1345" w:type="dxa"/>
          </w:tcPr>
          <w:p w:rsidR="007D36A9" w:rsidRPr="00C878A3" w:rsidP="00FE1B52" w14:paraId="19B13A3C" w14:textId="77777777">
            <w:pPr>
              <w:autoSpaceDE w:val="0"/>
              <w:autoSpaceDN w:val="0"/>
              <w:adjustRightInd w:val="0"/>
              <w:jc w:val="center"/>
              <w:rPr>
                <w:sz w:val="24"/>
                <w:szCs w:val="24"/>
              </w:rPr>
            </w:pPr>
            <w:r w:rsidRPr="00C878A3">
              <w:rPr>
                <w:sz w:val="24"/>
                <w:szCs w:val="24"/>
              </w:rPr>
              <w:t>Average 2018-2020</w:t>
            </w:r>
          </w:p>
        </w:tc>
        <w:tc>
          <w:tcPr>
            <w:tcW w:w="1440" w:type="dxa"/>
          </w:tcPr>
          <w:p w:rsidR="007D36A9" w:rsidRPr="00C878A3" w:rsidP="00FE1B52" w14:paraId="3F13DF86" w14:textId="77777777">
            <w:pPr>
              <w:autoSpaceDE w:val="0"/>
              <w:autoSpaceDN w:val="0"/>
              <w:adjustRightInd w:val="0"/>
              <w:jc w:val="center"/>
              <w:rPr>
                <w:sz w:val="24"/>
                <w:szCs w:val="24"/>
              </w:rPr>
            </w:pPr>
            <w:r w:rsidRPr="00C878A3">
              <w:rPr>
                <w:sz w:val="24"/>
                <w:szCs w:val="24"/>
              </w:rPr>
              <w:t>280</w:t>
            </w:r>
          </w:p>
        </w:tc>
        <w:tc>
          <w:tcPr>
            <w:tcW w:w="1710" w:type="dxa"/>
          </w:tcPr>
          <w:p w:rsidR="007D36A9" w:rsidRPr="00C878A3" w:rsidP="00FE1B52" w14:paraId="7872E300" w14:textId="77777777">
            <w:pPr>
              <w:autoSpaceDE w:val="0"/>
              <w:autoSpaceDN w:val="0"/>
              <w:adjustRightInd w:val="0"/>
              <w:jc w:val="center"/>
              <w:rPr>
                <w:sz w:val="24"/>
                <w:szCs w:val="24"/>
              </w:rPr>
            </w:pPr>
            <w:r w:rsidRPr="00C878A3">
              <w:rPr>
                <w:sz w:val="24"/>
                <w:szCs w:val="24"/>
              </w:rPr>
              <w:t>18,396</w:t>
            </w:r>
          </w:p>
        </w:tc>
        <w:tc>
          <w:tcPr>
            <w:tcW w:w="2250" w:type="dxa"/>
          </w:tcPr>
          <w:p w:rsidR="007D36A9" w:rsidRPr="00C878A3" w:rsidP="00FE1B52" w14:paraId="6A7B5E06" w14:textId="77777777">
            <w:pPr>
              <w:autoSpaceDE w:val="0"/>
              <w:autoSpaceDN w:val="0"/>
              <w:adjustRightInd w:val="0"/>
              <w:jc w:val="center"/>
              <w:rPr>
                <w:sz w:val="24"/>
                <w:szCs w:val="24"/>
              </w:rPr>
            </w:pPr>
            <w:r w:rsidRPr="00C878A3">
              <w:rPr>
                <w:sz w:val="24"/>
                <w:szCs w:val="24"/>
              </w:rPr>
              <w:t>3,459,281</w:t>
            </w:r>
          </w:p>
        </w:tc>
      </w:tr>
      <w:tr w14:paraId="7DE9FB67" w14:textId="77777777" w:rsidTr="00B52FBF">
        <w:tblPrEx>
          <w:tblW w:w="0" w:type="auto"/>
          <w:jc w:val="center"/>
          <w:tblLook w:val="04A0"/>
        </w:tblPrEx>
        <w:trPr>
          <w:jc w:val="center"/>
        </w:trPr>
        <w:tc>
          <w:tcPr>
            <w:tcW w:w="1345" w:type="dxa"/>
          </w:tcPr>
          <w:p w:rsidR="007D36A9" w:rsidRPr="00C878A3" w:rsidP="00FE1B52" w14:paraId="4F2A6D4F" w14:textId="77777777">
            <w:pPr>
              <w:autoSpaceDE w:val="0"/>
              <w:autoSpaceDN w:val="0"/>
              <w:adjustRightInd w:val="0"/>
              <w:jc w:val="center"/>
              <w:rPr>
                <w:sz w:val="24"/>
                <w:szCs w:val="24"/>
              </w:rPr>
            </w:pPr>
            <w:r w:rsidRPr="00C878A3">
              <w:rPr>
                <w:sz w:val="24"/>
                <w:szCs w:val="24"/>
              </w:rPr>
              <w:t>Percentage Change</w:t>
            </w:r>
          </w:p>
        </w:tc>
        <w:tc>
          <w:tcPr>
            <w:tcW w:w="1440" w:type="dxa"/>
          </w:tcPr>
          <w:p w:rsidR="007D36A9" w:rsidRPr="00C878A3" w:rsidP="00FE1B52" w14:paraId="29B05561" w14:textId="77777777">
            <w:pPr>
              <w:autoSpaceDE w:val="0"/>
              <w:autoSpaceDN w:val="0"/>
              <w:adjustRightInd w:val="0"/>
              <w:jc w:val="center"/>
              <w:rPr>
                <w:sz w:val="24"/>
                <w:szCs w:val="24"/>
              </w:rPr>
            </w:pPr>
            <w:r w:rsidRPr="00C878A3">
              <w:rPr>
                <w:sz w:val="24"/>
                <w:szCs w:val="24"/>
              </w:rPr>
              <w:t>45.1%</w:t>
            </w:r>
          </w:p>
        </w:tc>
        <w:tc>
          <w:tcPr>
            <w:tcW w:w="1710" w:type="dxa"/>
          </w:tcPr>
          <w:p w:rsidR="007D36A9" w:rsidRPr="00C878A3" w:rsidP="00FE1B52" w14:paraId="6CC8305E" w14:textId="77777777">
            <w:pPr>
              <w:autoSpaceDE w:val="0"/>
              <w:autoSpaceDN w:val="0"/>
              <w:adjustRightInd w:val="0"/>
              <w:jc w:val="center"/>
              <w:rPr>
                <w:sz w:val="24"/>
                <w:szCs w:val="24"/>
              </w:rPr>
            </w:pPr>
            <w:r w:rsidRPr="00C878A3">
              <w:rPr>
                <w:sz w:val="24"/>
                <w:szCs w:val="24"/>
              </w:rPr>
              <w:t>82.5%</w:t>
            </w:r>
          </w:p>
        </w:tc>
        <w:tc>
          <w:tcPr>
            <w:tcW w:w="2250" w:type="dxa"/>
          </w:tcPr>
          <w:p w:rsidR="007D36A9" w:rsidRPr="00C878A3" w:rsidP="00FE1B52" w14:paraId="56F486F3" w14:textId="77777777">
            <w:pPr>
              <w:autoSpaceDE w:val="0"/>
              <w:autoSpaceDN w:val="0"/>
              <w:adjustRightInd w:val="0"/>
              <w:jc w:val="center"/>
              <w:rPr>
                <w:sz w:val="24"/>
                <w:szCs w:val="24"/>
              </w:rPr>
            </w:pPr>
            <w:r w:rsidRPr="00C878A3">
              <w:rPr>
                <w:sz w:val="24"/>
                <w:szCs w:val="24"/>
              </w:rPr>
              <w:t>55.7%</w:t>
            </w:r>
          </w:p>
        </w:tc>
      </w:tr>
    </w:tbl>
    <w:p w:rsidR="00C50CCC" w:rsidP="00C50CCC" w14:paraId="77F0700E" w14:textId="77777777">
      <w:pPr>
        <w:autoSpaceDE w:val="0"/>
        <w:autoSpaceDN w:val="0"/>
        <w:adjustRightInd w:val="0"/>
        <w:ind w:firstLine="720"/>
        <w:rPr>
          <w:szCs w:val="24"/>
        </w:rPr>
      </w:pPr>
    </w:p>
    <w:p w:rsidR="001F2851" w:rsidRPr="00C878A3" w:rsidP="001F2851" w14:paraId="7A46142E" w14:textId="09A41CC5">
      <w:pPr>
        <w:autoSpaceDE w:val="0"/>
        <w:autoSpaceDN w:val="0"/>
        <w:adjustRightInd w:val="0"/>
        <w:spacing w:line="480" w:lineRule="auto"/>
        <w:ind w:firstLine="720"/>
        <w:rPr>
          <w:szCs w:val="24"/>
        </w:rPr>
      </w:pPr>
      <w:r w:rsidRPr="00C878A3">
        <w:rPr>
          <w:szCs w:val="24"/>
        </w:rPr>
        <w:t xml:space="preserve">DP&amp;L’s tree-caused outages within the </w:t>
      </w:r>
      <w:r w:rsidRPr="00C878A3">
        <w:rPr>
          <w:szCs w:val="24"/>
        </w:rPr>
        <w:t>right-of-way</w:t>
      </w:r>
      <w:r w:rsidRPr="00C878A3">
        <w:rPr>
          <w:szCs w:val="24"/>
        </w:rPr>
        <w:t xml:space="preserve"> have increased significantly despite the increase in base rates and deferrals of vegetation management expenses that were authorized in the last DP&amp;L base rate case.</w:t>
      </w:r>
      <w:r>
        <w:rPr>
          <w:rStyle w:val="FootnoteReference"/>
          <w:szCs w:val="24"/>
        </w:rPr>
        <w:footnoteReference w:id="49"/>
      </w:r>
      <w:r w:rsidRPr="00C878A3">
        <w:rPr>
          <w:szCs w:val="24"/>
        </w:rPr>
        <w:t xml:space="preserve"> There was a 45.1% increase in the average number of in </w:t>
      </w:r>
      <w:r w:rsidRPr="00C878A3">
        <w:rPr>
          <w:szCs w:val="24"/>
        </w:rPr>
        <w:t>right-of-way</w:t>
      </w:r>
      <w:r w:rsidRPr="00C878A3">
        <w:rPr>
          <w:szCs w:val="24"/>
        </w:rPr>
        <w:t xml:space="preserve"> tree-caused outages for the period 2018 through 2020 compared with the average number of outages between 2015 and 2017 and before rate increases went into effect after the last base rate case.</w:t>
      </w:r>
      <w:r>
        <w:rPr>
          <w:rStyle w:val="FootnoteReference"/>
          <w:szCs w:val="24"/>
        </w:rPr>
        <w:footnoteReference w:id="50"/>
      </w:r>
      <w:r w:rsidRPr="00C878A3">
        <w:rPr>
          <w:szCs w:val="24"/>
        </w:rPr>
        <w:t xml:space="preserve"> </w:t>
      </w:r>
    </w:p>
    <w:p w:rsidR="007D36A9" w:rsidRPr="00C878A3" w:rsidP="001F2851" w14:paraId="145EAA89" w14:textId="2272C848">
      <w:pPr>
        <w:autoSpaceDE w:val="0"/>
        <w:autoSpaceDN w:val="0"/>
        <w:adjustRightInd w:val="0"/>
        <w:spacing w:line="480" w:lineRule="auto"/>
        <w:ind w:firstLine="720"/>
        <w:rPr>
          <w:szCs w:val="24"/>
        </w:rPr>
      </w:pPr>
      <w:r w:rsidRPr="00C878A3">
        <w:rPr>
          <w:szCs w:val="24"/>
        </w:rPr>
        <w:t xml:space="preserve">There is an 82.5% increase in the number of consumers interrupted on average between 2018 and 2020 compared with the average number of consumers interrupted due to in </w:t>
      </w:r>
      <w:r w:rsidRPr="00C878A3" w:rsidR="001F2851">
        <w:rPr>
          <w:szCs w:val="24"/>
        </w:rPr>
        <w:t>right-of-way</w:t>
      </w:r>
      <w:r w:rsidRPr="00C878A3">
        <w:rPr>
          <w:szCs w:val="24"/>
        </w:rPr>
        <w:t xml:space="preserve"> tree-caused outages between 2015 and 2017.</w:t>
      </w:r>
      <w:r>
        <w:rPr>
          <w:rStyle w:val="FootnoteReference"/>
          <w:szCs w:val="24"/>
        </w:rPr>
        <w:footnoteReference w:id="51"/>
      </w:r>
      <w:r w:rsidRPr="00C878A3">
        <w:rPr>
          <w:szCs w:val="24"/>
        </w:rPr>
        <w:t xml:space="preserve"> And there is a 55.7% increase in the number of consumer minutes interrupted during </w:t>
      </w:r>
      <w:r w:rsidRPr="00C878A3" w:rsidR="001F2851">
        <w:rPr>
          <w:szCs w:val="24"/>
        </w:rPr>
        <w:t>right-of-way</w:t>
      </w:r>
      <w:r w:rsidRPr="00C878A3">
        <w:rPr>
          <w:szCs w:val="24"/>
        </w:rPr>
        <w:t xml:space="preserve"> tree-caused outages during the period 2018 through 2020 compared with the average number of consumer minutes interrupted between 2015 and 2017.</w:t>
      </w:r>
      <w:r>
        <w:rPr>
          <w:rStyle w:val="FootnoteReference"/>
          <w:szCs w:val="24"/>
        </w:rPr>
        <w:footnoteReference w:id="52"/>
      </w:r>
    </w:p>
    <w:p w:rsidR="007D36A9" w:rsidRPr="00C878A3" w:rsidP="007D36A9" w14:paraId="1E3848F1" w14:textId="4E07D73A">
      <w:pPr>
        <w:autoSpaceDE w:val="0"/>
        <w:autoSpaceDN w:val="0"/>
        <w:adjustRightInd w:val="0"/>
        <w:spacing w:line="480" w:lineRule="auto"/>
        <w:ind w:firstLine="720"/>
        <w:rPr>
          <w:b/>
          <w:szCs w:val="24"/>
        </w:rPr>
      </w:pPr>
      <w:r w:rsidRPr="00C878A3">
        <w:rPr>
          <w:szCs w:val="24"/>
        </w:rPr>
        <w:t xml:space="preserve">In sum, DP&amp;L’s reliability is getting worse, not better—despite </w:t>
      </w:r>
      <w:r w:rsidRPr="00C878A3" w:rsidR="00C51B85">
        <w:rPr>
          <w:szCs w:val="24"/>
        </w:rPr>
        <w:t>the PUCO authori</w:t>
      </w:r>
      <w:r w:rsidRPr="00C878A3" w:rsidR="006B7684">
        <w:rPr>
          <w:szCs w:val="24"/>
        </w:rPr>
        <w:t>zing</w:t>
      </w:r>
      <w:r w:rsidRPr="00C878A3" w:rsidR="00C51B85">
        <w:rPr>
          <w:szCs w:val="24"/>
        </w:rPr>
        <w:t xml:space="preserve"> </w:t>
      </w:r>
      <w:r w:rsidRPr="00C878A3">
        <w:rPr>
          <w:szCs w:val="24"/>
        </w:rPr>
        <w:t xml:space="preserve">increased </w:t>
      </w:r>
      <w:r w:rsidRPr="00C878A3" w:rsidR="00C51B85">
        <w:rPr>
          <w:szCs w:val="24"/>
        </w:rPr>
        <w:t xml:space="preserve">vegetation management </w:t>
      </w:r>
      <w:r w:rsidRPr="00C878A3">
        <w:rPr>
          <w:szCs w:val="24"/>
        </w:rPr>
        <w:t>spending</w:t>
      </w:r>
      <w:r w:rsidRPr="00C878A3" w:rsidR="006B7684">
        <w:rPr>
          <w:szCs w:val="24"/>
        </w:rPr>
        <w:t xml:space="preserve"> for DP&amp;L</w:t>
      </w:r>
      <w:r w:rsidRPr="00C878A3">
        <w:rPr>
          <w:szCs w:val="24"/>
        </w:rPr>
        <w:t xml:space="preserve">. Moreover, DP&amp;L is </w:t>
      </w:r>
      <w:r w:rsidRPr="00C878A3" w:rsidR="00C51B85">
        <w:rPr>
          <w:szCs w:val="24"/>
        </w:rPr>
        <w:t xml:space="preserve">seeking authority to spend more money </w:t>
      </w:r>
      <w:r w:rsidRPr="00C878A3" w:rsidR="006B7684">
        <w:rPr>
          <w:szCs w:val="24"/>
        </w:rPr>
        <w:t xml:space="preserve">on vegetation management activities </w:t>
      </w:r>
      <w:r w:rsidRPr="00C878A3" w:rsidR="00C51B85">
        <w:rPr>
          <w:szCs w:val="24"/>
        </w:rPr>
        <w:t xml:space="preserve">while </w:t>
      </w:r>
      <w:r w:rsidRPr="00C878A3">
        <w:rPr>
          <w:szCs w:val="24"/>
        </w:rPr>
        <w:t>not actually using the full amount currently available for vegetation management.</w:t>
      </w:r>
    </w:p>
    <w:p w:rsidR="00676D4B" w:rsidRPr="00C878A3" w:rsidP="004740AF" w14:paraId="6652D936" w14:textId="1DD8A35D">
      <w:pPr>
        <w:pStyle w:val="Heading3"/>
        <w:rPr>
          <w:rFonts w:ascii="Times New Roman" w:hAnsi="Times New Roman" w:cs="Times New Roman"/>
          <w:b w:val="0"/>
        </w:rPr>
      </w:pPr>
      <w:bookmarkStart w:id="29" w:name="_Toc124507971"/>
      <w:r w:rsidRPr="00C878A3">
        <w:rPr>
          <w:rFonts w:ascii="Times New Roman" w:hAnsi="Times New Roman" w:cs="Times New Roman"/>
        </w:rPr>
        <w:t>2.</w:t>
      </w:r>
      <w:r w:rsidRPr="00C878A3">
        <w:rPr>
          <w:rFonts w:ascii="Times New Roman" w:hAnsi="Times New Roman" w:cs="Times New Roman"/>
        </w:rPr>
        <w:tab/>
      </w:r>
      <w:r w:rsidRPr="00C878A3" w:rsidR="0020449B">
        <w:rPr>
          <w:rFonts w:ascii="Times New Roman" w:hAnsi="Times New Roman" w:cs="Times New Roman"/>
        </w:rPr>
        <w:t xml:space="preserve">Approved </w:t>
      </w:r>
      <w:r w:rsidRPr="00C878A3" w:rsidR="00E530BA">
        <w:rPr>
          <w:rFonts w:ascii="Times New Roman" w:hAnsi="Times New Roman" w:cs="Times New Roman"/>
        </w:rPr>
        <w:t>v</w:t>
      </w:r>
      <w:r w:rsidRPr="00C878A3">
        <w:rPr>
          <w:rFonts w:ascii="Times New Roman" w:hAnsi="Times New Roman" w:cs="Times New Roman"/>
        </w:rPr>
        <w:t>egetation management expense</w:t>
      </w:r>
      <w:r w:rsidRPr="00C878A3" w:rsidR="0020449B">
        <w:rPr>
          <w:rFonts w:ascii="Times New Roman" w:hAnsi="Times New Roman" w:cs="Times New Roman"/>
        </w:rPr>
        <w:t>s</w:t>
      </w:r>
      <w:r w:rsidRPr="00C878A3">
        <w:rPr>
          <w:rFonts w:ascii="Times New Roman" w:hAnsi="Times New Roman" w:cs="Times New Roman"/>
        </w:rPr>
        <w:t xml:space="preserve"> </w:t>
      </w:r>
      <w:r w:rsidRPr="00C878A3" w:rsidR="0020449B">
        <w:rPr>
          <w:rFonts w:ascii="Times New Roman" w:hAnsi="Times New Roman" w:cs="Times New Roman"/>
        </w:rPr>
        <w:t xml:space="preserve">included </w:t>
      </w:r>
      <w:r w:rsidRPr="00C878A3">
        <w:rPr>
          <w:rFonts w:ascii="Times New Roman" w:hAnsi="Times New Roman" w:cs="Times New Roman"/>
        </w:rPr>
        <w:t>in base rates</w:t>
      </w:r>
      <w:r w:rsidRPr="00C878A3" w:rsidR="0020449B">
        <w:rPr>
          <w:rFonts w:ascii="Times New Roman" w:hAnsi="Times New Roman" w:cs="Times New Roman"/>
        </w:rPr>
        <w:t xml:space="preserve"> unreasonably and unlawfully include </w:t>
      </w:r>
      <w:r w:rsidRPr="00C878A3" w:rsidR="00090EA8">
        <w:rPr>
          <w:rFonts w:ascii="Times New Roman" w:hAnsi="Times New Roman" w:cs="Times New Roman"/>
        </w:rPr>
        <w:t>expenses outside of the test year.</w:t>
      </w:r>
      <w:bookmarkEnd w:id="29"/>
    </w:p>
    <w:p w:rsidR="00EF618B" w:rsidRPr="00C878A3" w:rsidP="00676D4B" w14:paraId="33BD52B8" w14:textId="52DBB9A1">
      <w:pPr>
        <w:spacing w:line="480" w:lineRule="auto"/>
        <w:ind w:firstLine="720"/>
        <w:rPr>
          <w:bCs/>
          <w:szCs w:val="24"/>
        </w:rPr>
      </w:pPr>
      <w:r w:rsidRPr="00C878A3">
        <w:rPr>
          <w:bCs/>
          <w:szCs w:val="24"/>
        </w:rPr>
        <w:t>DP&amp;L proposed a new approach to vegetation management involving a hybrid plan of trimming all distribution circuits over a four- to five-year term both within and outside the right-of-way.</w:t>
      </w:r>
      <w:r>
        <w:rPr>
          <w:rStyle w:val="FootnoteReference"/>
          <w:bCs/>
          <w:szCs w:val="24"/>
        </w:rPr>
        <w:footnoteReference w:id="53"/>
      </w:r>
      <w:r w:rsidRPr="00C878A3" w:rsidR="007D0B73">
        <w:rPr>
          <w:bCs/>
          <w:szCs w:val="24"/>
        </w:rPr>
        <w:t xml:space="preserve"> </w:t>
      </w:r>
      <w:r w:rsidRPr="00C878A3">
        <w:rPr>
          <w:bCs/>
          <w:szCs w:val="24"/>
        </w:rPr>
        <w:t>DP&amp;L requested approval to collect $30 million for this program ($25 million for circuits within the right-of-way; $3.5 million for outside the right-of-way; and $1.5 million for additional tree-trimming as needed between cycles).</w:t>
      </w:r>
      <w:r>
        <w:rPr>
          <w:rStyle w:val="FootnoteReference"/>
          <w:bCs/>
          <w:szCs w:val="24"/>
        </w:rPr>
        <w:footnoteReference w:id="54"/>
      </w:r>
    </w:p>
    <w:p w:rsidR="00620482" w:rsidRPr="00C878A3" w:rsidP="00620482" w14:paraId="03C389AF" w14:textId="13C9F6D7">
      <w:pPr>
        <w:spacing w:line="480" w:lineRule="auto"/>
        <w:ind w:firstLine="720"/>
        <w:rPr>
          <w:bCs/>
          <w:szCs w:val="24"/>
        </w:rPr>
      </w:pPr>
      <w:r w:rsidRPr="00C878A3">
        <w:rPr>
          <w:bCs/>
          <w:szCs w:val="24"/>
        </w:rPr>
        <w:t>Staff recommend</w:t>
      </w:r>
      <w:r w:rsidRPr="00C878A3" w:rsidR="00EF618B">
        <w:rPr>
          <w:bCs/>
          <w:szCs w:val="24"/>
        </w:rPr>
        <w:t>ed an</w:t>
      </w:r>
      <w:r w:rsidRPr="00C878A3">
        <w:rPr>
          <w:bCs/>
          <w:szCs w:val="24"/>
        </w:rPr>
        <w:t xml:space="preserve"> increase </w:t>
      </w:r>
      <w:r w:rsidRPr="00C878A3" w:rsidR="00EF618B">
        <w:rPr>
          <w:bCs/>
          <w:szCs w:val="24"/>
        </w:rPr>
        <w:t xml:space="preserve">in </w:t>
      </w:r>
      <w:r w:rsidRPr="00C878A3">
        <w:rPr>
          <w:bCs/>
          <w:szCs w:val="24"/>
        </w:rPr>
        <w:t>DP&amp;L’s baseline expenses for vegetation management by $1.8 million</w:t>
      </w:r>
      <w:r w:rsidRPr="00C878A3" w:rsidR="00EF618B">
        <w:rPr>
          <w:bCs/>
          <w:szCs w:val="24"/>
        </w:rPr>
        <w:t>, from $15.7 million to $17.5 million</w:t>
      </w:r>
      <w:r w:rsidRPr="00C878A3">
        <w:rPr>
          <w:bCs/>
          <w:szCs w:val="24"/>
        </w:rPr>
        <w:t>.</w:t>
      </w:r>
      <w:r>
        <w:rPr>
          <w:rStyle w:val="FootnoteReference"/>
          <w:bCs/>
          <w:szCs w:val="24"/>
        </w:rPr>
        <w:footnoteReference w:id="55"/>
      </w:r>
      <w:r w:rsidRPr="00C878A3">
        <w:rPr>
          <w:bCs/>
          <w:szCs w:val="24"/>
        </w:rPr>
        <w:t xml:space="preserve"> </w:t>
      </w:r>
      <w:r w:rsidRPr="00C878A3">
        <w:rPr>
          <w:bCs/>
          <w:szCs w:val="24"/>
        </w:rPr>
        <w:t>The PUCO Staff Report contained no analysis or support from the PUCO Staff for its recommendation to increase the baseline expenses for vegetation management from the current $15.7 million to $17.5 million, annually. The PUCO Staff did not perform an</w:t>
      </w:r>
      <w:r w:rsidRPr="00C878A3" w:rsidR="006D41AF">
        <w:rPr>
          <w:bCs/>
          <w:szCs w:val="24"/>
        </w:rPr>
        <w:t>y</w:t>
      </w:r>
      <w:r w:rsidRPr="00C878A3">
        <w:rPr>
          <w:bCs/>
          <w:szCs w:val="24"/>
        </w:rPr>
        <w:t xml:space="preserve"> analysis of the underlying factors that DP&amp;L claims caused the proposed increase in tree</w:t>
      </w:r>
      <w:r w:rsidRPr="00C878A3" w:rsidR="000E10F0">
        <w:rPr>
          <w:bCs/>
          <w:szCs w:val="24"/>
        </w:rPr>
        <w:t xml:space="preserve"> </w:t>
      </w:r>
      <w:r w:rsidRPr="00C878A3">
        <w:rPr>
          <w:bCs/>
          <w:szCs w:val="24"/>
        </w:rPr>
        <w:t>trimming expenses.</w:t>
      </w:r>
      <w:r>
        <w:rPr>
          <w:rStyle w:val="FootnoteReference"/>
          <w:bCs/>
          <w:szCs w:val="24"/>
        </w:rPr>
        <w:footnoteReference w:id="56"/>
      </w:r>
      <w:r w:rsidRPr="00C878A3">
        <w:rPr>
          <w:bCs/>
          <w:szCs w:val="24"/>
        </w:rPr>
        <w:t xml:space="preserve"> </w:t>
      </w:r>
    </w:p>
    <w:p w:rsidR="00620482" w:rsidRPr="00C878A3" w:rsidP="00620482" w14:paraId="7F85C1EE" w14:textId="755257DC">
      <w:pPr>
        <w:autoSpaceDE w:val="0"/>
        <w:autoSpaceDN w:val="0"/>
        <w:adjustRightInd w:val="0"/>
        <w:spacing w:line="480" w:lineRule="auto"/>
        <w:ind w:firstLine="720"/>
        <w:rPr>
          <w:bCs/>
          <w:szCs w:val="24"/>
        </w:rPr>
      </w:pPr>
      <w:r w:rsidRPr="00C878A3">
        <w:rPr>
          <w:bCs/>
          <w:szCs w:val="24"/>
        </w:rPr>
        <w:t xml:space="preserve">Additionally, the PUCO Staff did not analyze the impact </w:t>
      </w:r>
      <w:r w:rsidRPr="00C878A3" w:rsidR="00D63539">
        <w:rPr>
          <w:bCs/>
          <w:szCs w:val="24"/>
        </w:rPr>
        <w:t>of</w:t>
      </w:r>
      <w:r w:rsidRPr="00C878A3">
        <w:rPr>
          <w:bCs/>
          <w:szCs w:val="24"/>
        </w:rPr>
        <w:t xml:space="preserve"> DP&amp;L’s failure to comply with its vegetation management plan and how this contributed to DP&amp;L failure to meet the minimum distribution reliability performance standards.</w:t>
      </w:r>
      <w:r>
        <w:rPr>
          <w:rStyle w:val="FootnoteReference"/>
          <w:bCs/>
          <w:szCs w:val="24"/>
        </w:rPr>
        <w:footnoteReference w:id="57"/>
      </w:r>
      <w:r w:rsidRPr="00C878A3">
        <w:rPr>
          <w:bCs/>
          <w:szCs w:val="24"/>
        </w:rPr>
        <w:t xml:space="preserve"> The PUCO Staff Report contained no analysis of the recommendations and costs proposed by DP&amp;L for modifying the cycle duration to </w:t>
      </w:r>
      <w:r w:rsidRPr="00C878A3" w:rsidR="006D41AF">
        <w:rPr>
          <w:bCs/>
          <w:szCs w:val="24"/>
        </w:rPr>
        <w:t>four to five</w:t>
      </w:r>
      <w:r w:rsidRPr="00C878A3">
        <w:rPr>
          <w:bCs/>
          <w:szCs w:val="24"/>
        </w:rPr>
        <w:t xml:space="preserve"> years, initiating hot spot tree</w:t>
      </w:r>
      <w:r w:rsidRPr="00C878A3" w:rsidR="000E10F0">
        <w:rPr>
          <w:bCs/>
          <w:szCs w:val="24"/>
        </w:rPr>
        <w:t xml:space="preserve"> </w:t>
      </w:r>
      <w:r w:rsidRPr="00C878A3">
        <w:rPr>
          <w:bCs/>
          <w:szCs w:val="24"/>
        </w:rPr>
        <w:t>trimming, or expanding the vegetation management program to include tree</w:t>
      </w:r>
      <w:r w:rsidRPr="00C878A3" w:rsidR="000E10F0">
        <w:rPr>
          <w:bCs/>
          <w:szCs w:val="24"/>
        </w:rPr>
        <w:t xml:space="preserve"> </w:t>
      </w:r>
      <w:r w:rsidRPr="00C878A3">
        <w:rPr>
          <w:bCs/>
          <w:szCs w:val="24"/>
        </w:rPr>
        <w:t>trimming and removals outside the right</w:t>
      </w:r>
      <w:r w:rsidRPr="00C878A3" w:rsidR="000E10F0">
        <w:rPr>
          <w:bCs/>
          <w:szCs w:val="24"/>
        </w:rPr>
        <w:t>-</w:t>
      </w:r>
      <w:r w:rsidRPr="00C878A3">
        <w:rPr>
          <w:bCs/>
          <w:szCs w:val="24"/>
        </w:rPr>
        <w:t>of</w:t>
      </w:r>
      <w:r w:rsidRPr="00C878A3" w:rsidR="000E10F0">
        <w:rPr>
          <w:bCs/>
          <w:szCs w:val="24"/>
        </w:rPr>
        <w:t>-</w:t>
      </w:r>
      <w:r w:rsidRPr="00C878A3">
        <w:rPr>
          <w:bCs/>
          <w:szCs w:val="24"/>
        </w:rPr>
        <w:t>way.</w:t>
      </w:r>
      <w:r>
        <w:rPr>
          <w:rStyle w:val="FootnoteReference"/>
          <w:bCs/>
          <w:szCs w:val="24"/>
        </w:rPr>
        <w:footnoteReference w:id="58"/>
      </w:r>
      <w:r w:rsidRPr="00C878A3">
        <w:rPr>
          <w:bCs/>
          <w:szCs w:val="24"/>
        </w:rPr>
        <w:t xml:space="preserve"> </w:t>
      </w:r>
    </w:p>
    <w:p w:rsidR="00620482" w:rsidRPr="00C878A3" w:rsidP="00620482" w14:paraId="557EA159" w14:textId="5DD0BD62">
      <w:pPr>
        <w:autoSpaceDE w:val="0"/>
        <w:autoSpaceDN w:val="0"/>
        <w:adjustRightInd w:val="0"/>
        <w:spacing w:line="480" w:lineRule="auto"/>
        <w:ind w:firstLine="720"/>
        <w:rPr>
          <w:bCs/>
          <w:szCs w:val="24"/>
        </w:rPr>
      </w:pPr>
      <w:r w:rsidRPr="00C878A3">
        <w:rPr>
          <w:bCs/>
          <w:szCs w:val="24"/>
        </w:rPr>
        <w:t>OCC recommended no increase in DP&amp;L’s baseline amount for vegetation management due to DP&amp;L’s poor reliability performance with the amount for vegetation management which it currently receives through base rates.</w:t>
      </w:r>
    </w:p>
    <w:p w:rsidR="00096AA2" w:rsidRPr="00C878A3" w:rsidP="00620482" w14:paraId="1DC907B7" w14:textId="0B063CF7">
      <w:pPr>
        <w:autoSpaceDE w:val="0"/>
        <w:autoSpaceDN w:val="0"/>
        <w:adjustRightInd w:val="0"/>
        <w:spacing w:line="480" w:lineRule="auto"/>
        <w:ind w:firstLine="720"/>
        <w:rPr>
          <w:szCs w:val="24"/>
        </w:rPr>
      </w:pPr>
      <w:r w:rsidRPr="00C878A3">
        <w:rPr>
          <w:bCs/>
          <w:szCs w:val="24"/>
        </w:rPr>
        <w:t>The PUCO’s Order</w:t>
      </w:r>
      <w:r w:rsidRPr="00C878A3" w:rsidR="005367A3">
        <w:rPr>
          <w:bCs/>
          <w:szCs w:val="24"/>
        </w:rPr>
        <w:t xml:space="preserve"> increased the vegetation management expense in base rates by $4.3 million, to an annual level of $20 million.</w:t>
      </w:r>
      <w:r>
        <w:rPr>
          <w:rStyle w:val="FootnoteReference"/>
          <w:bCs/>
          <w:szCs w:val="24"/>
        </w:rPr>
        <w:footnoteReference w:id="59"/>
      </w:r>
      <w:r w:rsidRPr="00C878A3" w:rsidR="007D0B73">
        <w:rPr>
          <w:bCs/>
          <w:szCs w:val="24"/>
        </w:rPr>
        <w:t xml:space="preserve"> </w:t>
      </w:r>
      <w:r w:rsidRPr="00C878A3" w:rsidR="0018151B">
        <w:rPr>
          <w:bCs/>
          <w:szCs w:val="24"/>
        </w:rPr>
        <w:t>The PUCO justified this amount as follows: “</w:t>
      </w:r>
      <w:r w:rsidRPr="00C878A3" w:rsidR="0018151B">
        <w:rPr>
          <w:szCs w:val="24"/>
        </w:rPr>
        <w:t>we find that an annual increase of $4.3 million to $20 million is appropriate in recognition of the Company’s evidence of recent spending and future cost estimates that are part of the case record.”</w:t>
      </w:r>
      <w:r>
        <w:rPr>
          <w:rStyle w:val="FootnoteReference"/>
          <w:szCs w:val="24"/>
        </w:rPr>
        <w:footnoteReference w:id="60"/>
      </w:r>
      <w:r w:rsidRPr="00C878A3" w:rsidR="007D0B73">
        <w:rPr>
          <w:szCs w:val="24"/>
        </w:rPr>
        <w:t xml:space="preserve"> </w:t>
      </w:r>
    </w:p>
    <w:p w:rsidR="0020449B" w:rsidRPr="00C878A3" w:rsidP="00620482" w14:paraId="4C359359" w14:textId="77777777">
      <w:pPr>
        <w:autoSpaceDE w:val="0"/>
        <w:autoSpaceDN w:val="0"/>
        <w:adjustRightInd w:val="0"/>
        <w:spacing w:line="480" w:lineRule="auto"/>
        <w:ind w:firstLine="720"/>
        <w:rPr>
          <w:szCs w:val="24"/>
        </w:rPr>
      </w:pPr>
      <w:bookmarkStart w:id="30" w:name="_Hlk123749351"/>
      <w:r w:rsidRPr="00C878A3">
        <w:rPr>
          <w:szCs w:val="24"/>
        </w:rPr>
        <w:t>T</w:t>
      </w:r>
      <w:r w:rsidRPr="00C878A3" w:rsidR="00096AA2">
        <w:rPr>
          <w:szCs w:val="24"/>
        </w:rPr>
        <w:t xml:space="preserve">he </w:t>
      </w:r>
      <w:r w:rsidRPr="00C878A3">
        <w:rPr>
          <w:szCs w:val="24"/>
        </w:rPr>
        <w:t xml:space="preserve">amount of </w:t>
      </w:r>
      <w:r w:rsidRPr="00C878A3" w:rsidR="00D63539">
        <w:rPr>
          <w:szCs w:val="24"/>
        </w:rPr>
        <w:t>this</w:t>
      </w:r>
      <w:r w:rsidRPr="00C878A3">
        <w:rPr>
          <w:szCs w:val="24"/>
        </w:rPr>
        <w:t xml:space="preserve"> increase is unjust and unreasonable</w:t>
      </w:r>
      <w:r w:rsidRPr="00C878A3" w:rsidR="000E10F0">
        <w:rPr>
          <w:szCs w:val="24"/>
        </w:rPr>
        <w:t>.</w:t>
      </w:r>
      <w:r w:rsidRPr="00C878A3" w:rsidR="007D0B73">
        <w:rPr>
          <w:szCs w:val="24"/>
        </w:rPr>
        <w:t xml:space="preserve"> </w:t>
      </w:r>
      <w:r w:rsidRPr="00C878A3" w:rsidR="00096AA2">
        <w:rPr>
          <w:szCs w:val="24"/>
        </w:rPr>
        <w:t>Under R.C. 4909.15, rate increases must be based on the cost of service during the test year.</w:t>
      </w:r>
      <w:r>
        <w:rPr>
          <w:rStyle w:val="FootnoteReference"/>
          <w:szCs w:val="24"/>
        </w:rPr>
        <w:footnoteReference w:id="61"/>
      </w:r>
      <w:r w:rsidRPr="00C878A3" w:rsidR="007D0B73">
        <w:rPr>
          <w:szCs w:val="24"/>
        </w:rPr>
        <w:t xml:space="preserve"> </w:t>
      </w:r>
      <w:r w:rsidRPr="00C878A3" w:rsidR="00AC2934">
        <w:rPr>
          <w:szCs w:val="24"/>
        </w:rPr>
        <w:t>DP&amp;L’s evidence of “recent spending and future cost estimates” fail this test.</w:t>
      </w:r>
      <w:r w:rsidRPr="00C878A3" w:rsidR="007D0B73">
        <w:rPr>
          <w:szCs w:val="24"/>
        </w:rPr>
        <w:t xml:space="preserve"> </w:t>
      </w:r>
      <w:r w:rsidRPr="00C878A3" w:rsidR="00AC2934">
        <w:rPr>
          <w:szCs w:val="24"/>
        </w:rPr>
        <w:t xml:space="preserve">The Ohio Supreme Court </w:t>
      </w:r>
      <w:r w:rsidRPr="00C878A3" w:rsidR="00004590">
        <w:rPr>
          <w:szCs w:val="24"/>
        </w:rPr>
        <w:t xml:space="preserve">has </w:t>
      </w:r>
      <w:r w:rsidRPr="00C878A3" w:rsidR="00AC2934">
        <w:rPr>
          <w:szCs w:val="24"/>
        </w:rPr>
        <w:t xml:space="preserve">allowed a post-test-year adjustment for vegetation management expense for DP&amp;L when DP&amp;L </w:t>
      </w:r>
      <w:r w:rsidRPr="00C878A3" w:rsidR="001C1EEC">
        <w:rPr>
          <w:szCs w:val="24"/>
        </w:rPr>
        <w:t xml:space="preserve">documented with particularity how it </w:t>
      </w:r>
      <w:r w:rsidRPr="00C878A3" w:rsidR="00AC2934">
        <w:rPr>
          <w:szCs w:val="24"/>
        </w:rPr>
        <w:t>need</w:t>
      </w:r>
      <w:r w:rsidRPr="00C878A3" w:rsidR="00D63539">
        <w:rPr>
          <w:szCs w:val="24"/>
        </w:rPr>
        <w:t>ed</w:t>
      </w:r>
      <w:r w:rsidRPr="00C878A3" w:rsidR="00AC2934">
        <w:rPr>
          <w:szCs w:val="24"/>
        </w:rPr>
        <w:t xml:space="preserve"> to incur the additional expense to meet the requirements of a specific, PUCO-ordered vegetation management plan (“Where, as here, the commission orders a utility to adopt a specific plan to assure continued safe, efficient service, R.C. 4909.15(D) provides sufficient statutory authority for post-test-year adjustments.”).</w:t>
      </w:r>
      <w:r>
        <w:rPr>
          <w:rStyle w:val="FootnoteReference"/>
          <w:szCs w:val="24"/>
        </w:rPr>
        <w:footnoteReference w:id="62"/>
      </w:r>
      <w:r w:rsidRPr="00C878A3" w:rsidR="00004590">
        <w:rPr>
          <w:szCs w:val="24"/>
        </w:rPr>
        <w:t xml:space="preserve"> </w:t>
      </w:r>
    </w:p>
    <w:p w:rsidR="00620482" w:rsidRPr="00C878A3" w:rsidP="00620482" w14:paraId="2BFE4CBE" w14:textId="434BC0F0">
      <w:pPr>
        <w:autoSpaceDE w:val="0"/>
        <w:autoSpaceDN w:val="0"/>
        <w:adjustRightInd w:val="0"/>
        <w:spacing w:line="480" w:lineRule="auto"/>
        <w:ind w:firstLine="720"/>
        <w:rPr>
          <w:szCs w:val="24"/>
        </w:rPr>
      </w:pPr>
      <w:r w:rsidRPr="00C878A3">
        <w:rPr>
          <w:szCs w:val="24"/>
        </w:rPr>
        <w:t>But DP&amp;L does not need to collect additional costs to meet a PUCO-ordered vegetation management plan.</w:t>
      </w:r>
      <w:r w:rsidRPr="00C878A3" w:rsidR="007D0B73">
        <w:rPr>
          <w:szCs w:val="24"/>
        </w:rPr>
        <w:t xml:space="preserve"> </w:t>
      </w:r>
      <w:r w:rsidRPr="00C878A3">
        <w:rPr>
          <w:szCs w:val="24"/>
        </w:rPr>
        <w:t xml:space="preserve">In fact, DP&amp;L isn’t </w:t>
      </w:r>
      <w:r w:rsidRPr="00C878A3" w:rsidR="001C1EEC">
        <w:rPr>
          <w:szCs w:val="24"/>
        </w:rPr>
        <w:t xml:space="preserve">even </w:t>
      </w:r>
      <w:r w:rsidRPr="00C878A3">
        <w:rPr>
          <w:szCs w:val="24"/>
        </w:rPr>
        <w:t xml:space="preserve">spending the </w:t>
      </w:r>
      <w:r w:rsidRPr="00C878A3" w:rsidR="001C1EEC">
        <w:rPr>
          <w:szCs w:val="24"/>
        </w:rPr>
        <w:t xml:space="preserve">full amount of the </w:t>
      </w:r>
      <w:r w:rsidRPr="00C878A3">
        <w:rPr>
          <w:szCs w:val="24"/>
        </w:rPr>
        <w:t xml:space="preserve">money it currently receives in rates for </w:t>
      </w:r>
      <w:r w:rsidRPr="00C878A3" w:rsidR="00401CCF">
        <w:rPr>
          <w:szCs w:val="24"/>
        </w:rPr>
        <w:t xml:space="preserve">meeting its </w:t>
      </w:r>
      <w:r w:rsidRPr="00C878A3">
        <w:rPr>
          <w:szCs w:val="24"/>
        </w:rPr>
        <w:t xml:space="preserve">vegetation management </w:t>
      </w:r>
      <w:r w:rsidRPr="00C878A3" w:rsidR="00401CCF">
        <w:rPr>
          <w:szCs w:val="24"/>
        </w:rPr>
        <w:t xml:space="preserve">plan </w:t>
      </w:r>
      <w:r w:rsidRPr="00C878A3">
        <w:rPr>
          <w:szCs w:val="24"/>
        </w:rPr>
        <w:t xml:space="preserve">– </w:t>
      </w:r>
      <w:r w:rsidRPr="00C878A3" w:rsidR="00401CCF">
        <w:rPr>
          <w:szCs w:val="24"/>
        </w:rPr>
        <w:t>choosing</w:t>
      </w:r>
      <w:r w:rsidRPr="00C878A3" w:rsidR="001C1EEC">
        <w:rPr>
          <w:szCs w:val="24"/>
        </w:rPr>
        <w:t xml:space="preserve"> instead</w:t>
      </w:r>
      <w:r w:rsidRPr="00C878A3" w:rsidR="00401CCF">
        <w:rPr>
          <w:szCs w:val="24"/>
        </w:rPr>
        <w:t xml:space="preserve"> to use the </w:t>
      </w:r>
      <w:r w:rsidRPr="00C878A3">
        <w:rPr>
          <w:szCs w:val="24"/>
        </w:rPr>
        <w:t>money for other purposes.</w:t>
      </w:r>
      <w:r w:rsidRPr="00C878A3" w:rsidR="00401CCF">
        <w:rPr>
          <w:szCs w:val="24"/>
        </w:rPr>
        <w:t xml:space="preserve"> </w:t>
      </w:r>
    </w:p>
    <w:p w:rsidR="00004590" w:rsidRPr="00C878A3" w:rsidP="00620482" w14:paraId="09E5ABDE" w14:textId="6EBA90BE">
      <w:pPr>
        <w:autoSpaceDE w:val="0"/>
        <w:autoSpaceDN w:val="0"/>
        <w:adjustRightInd w:val="0"/>
        <w:spacing w:line="480" w:lineRule="auto"/>
        <w:ind w:firstLine="720"/>
        <w:rPr>
          <w:bCs/>
          <w:szCs w:val="24"/>
        </w:rPr>
      </w:pPr>
      <w:r w:rsidRPr="00C878A3">
        <w:rPr>
          <w:szCs w:val="24"/>
        </w:rPr>
        <w:t xml:space="preserve">The </w:t>
      </w:r>
      <w:r w:rsidRPr="00C878A3" w:rsidR="001C1EEC">
        <w:rPr>
          <w:szCs w:val="24"/>
        </w:rPr>
        <w:t xml:space="preserve">foregoing </w:t>
      </w:r>
      <w:r w:rsidRPr="00C878A3">
        <w:rPr>
          <w:szCs w:val="24"/>
        </w:rPr>
        <w:t xml:space="preserve">exception noted above </w:t>
      </w:r>
      <w:r w:rsidRPr="00C878A3" w:rsidR="001C1EEC">
        <w:rPr>
          <w:szCs w:val="24"/>
        </w:rPr>
        <w:t xml:space="preserve">is a narrow one and </w:t>
      </w:r>
      <w:r w:rsidRPr="00C878A3">
        <w:rPr>
          <w:szCs w:val="24"/>
        </w:rPr>
        <w:t>does not apply</w:t>
      </w:r>
      <w:r w:rsidRPr="00C878A3" w:rsidR="001C1EEC">
        <w:rPr>
          <w:szCs w:val="24"/>
        </w:rPr>
        <w:t xml:space="preserve"> under the facts of this case</w:t>
      </w:r>
      <w:r w:rsidRPr="00C878A3">
        <w:rPr>
          <w:szCs w:val="24"/>
        </w:rPr>
        <w:t xml:space="preserve">, so DP&amp;L </w:t>
      </w:r>
      <w:r w:rsidRPr="00C878A3" w:rsidR="001C1EEC">
        <w:rPr>
          <w:szCs w:val="24"/>
        </w:rPr>
        <w:t xml:space="preserve">can only collect </w:t>
      </w:r>
      <w:r w:rsidRPr="00C878A3">
        <w:rPr>
          <w:szCs w:val="24"/>
        </w:rPr>
        <w:t xml:space="preserve">expenses </w:t>
      </w:r>
      <w:r w:rsidRPr="00C878A3" w:rsidR="001C1EEC">
        <w:rPr>
          <w:szCs w:val="24"/>
        </w:rPr>
        <w:t>which</w:t>
      </w:r>
      <w:r w:rsidRPr="00C878A3">
        <w:rPr>
          <w:szCs w:val="24"/>
        </w:rPr>
        <w:t xml:space="preserve"> fall within the test period.</w:t>
      </w:r>
      <w:r>
        <w:rPr>
          <w:rStyle w:val="FootnoteReference"/>
          <w:szCs w:val="24"/>
        </w:rPr>
        <w:footnoteReference w:id="63"/>
      </w:r>
      <w:r w:rsidRPr="00C878A3" w:rsidR="007D0B73">
        <w:rPr>
          <w:szCs w:val="24"/>
        </w:rPr>
        <w:t xml:space="preserve"> </w:t>
      </w:r>
      <w:r w:rsidRPr="00C878A3">
        <w:rPr>
          <w:szCs w:val="24"/>
        </w:rPr>
        <w:t xml:space="preserve">In </w:t>
      </w:r>
      <w:r w:rsidRPr="00C878A3">
        <w:rPr>
          <w:i/>
          <w:iCs/>
          <w:szCs w:val="24"/>
        </w:rPr>
        <w:t>Consumers’ Counsel v. Pub. Util. Comm.,</w:t>
      </w:r>
      <w:r>
        <w:rPr>
          <w:rStyle w:val="FootnoteReference"/>
          <w:i/>
          <w:iCs/>
          <w:szCs w:val="24"/>
        </w:rPr>
        <w:footnoteReference w:id="64"/>
      </w:r>
      <w:r w:rsidRPr="00C878A3">
        <w:rPr>
          <w:i/>
          <w:iCs/>
          <w:szCs w:val="24"/>
        </w:rPr>
        <w:t xml:space="preserve"> </w:t>
      </w:r>
      <w:r w:rsidRPr="00C878A3">
        <w:rPr>
          <w:szCs w:val="24"/>
        </w:rPr>
        <w:t>the Supreme Court held that a utility could not collect the cost for a wage increase included in a collective bargaining agreement negotiated and signed between the utility an</w:t>
      </w:r>
      <w:r w:rsidRPr="00C878A3" w:rsidR="00036888">
        <w:rPr>
          <w:szCs w:val="24"/>
        </w:rPr>
        <w:t>d</w:t>
      </w:r>
      <w:r w:rsidRPr="00C878A3">
        <w:rPr>
          <w:szCs w:val="24"/>
        </w:rPr>
        <w:t xml:space="preserve"> a union representing its employees</w:t>
      </w:r>
      <w:r w:rsidRPr="00C878A3" w:rsidR="00036888">
        <w:rPr>
          <w:szCs w:val="24"/>
        </w:rPr>
        <w:t xml:space="preserve"> because the effective date of the wage increase fell outside the test period</w:t>
      </w:r>
      <w:r w:rsidRPr="00C878A3">
        <w:rPr>
          <w:szCs w:val="24"/>
        </w:rPr>
        <w:t>.</w:t>
      </w:r>
      <w:r>
        <w:rPr>
          <w:rStyle w:val="FootnoteReference"/>
          <w:szCs w:val="24"/>
        </w:rPr>
        <w:footnoteReference w:id="65"/>
      </w:r>
      <w:r w:rsidRPr="00C878A3" w:rsidR="007D0B73">
        <w:rPr>
          <w:szCs w:val="24"/>
        </w:rPr>
        <w:t xml:space="preserve"> </w:t>
      </w:r>
      <w:r w:rsidRPr="00C878A3" w:rsidR="00036888">
        <w:rPr>
          <w:szCs w:val="24"/>
        </w:rPr>
        <w:t xml:space="preserve">Certainly a collective bargaining agreement negotiated and signed and binding upon the utility provides </w:t>
      </w:r>
      <w:r w:rsidRPr="00C878A3" w:rsidR="001C1EEC">
        <w:rPr>
          <w:szCs w:val="24"/>
        </w:rPr>
        <w:t xml:space="preserve">much </w:t>
      </w:r>
      <w:r w:rsidRPr="00C878A3" w:rsidR="00036888">
        <w:rPr>
          <w:szCs w:val="24"/>
        </w:rPr>
        <w:t>more of a known and measurable cost as compared to the</w:t>
      </w:r>
      <w:r w:rsidRPr="00C878A3" w:rsidR="001C1EEC">
        <w:rPr>
          <w:szCs w:val="24"/>
        </w:rPr>
        <w:t xml:space="preserve"> vague</w:t>
      </w:r>
      <w:r w:rsidRPr="00C878A3" w:rsidR="00036888">
        <w:rPr>
          <w:szCs w:val="24"/>
        </w:rPr>
        <w:t xml:space="preserve"> “recent spending and future cost estimates” at issue here.</w:t>
      </w:r>
      <w:r w:rsidRPr="00C878A3" w:rsidR="007D0B73">
        <w:rPr>
          <w:szCs w:val="24"/>
        </w:rPr>
        <w:t xml:space="preserve"> </w:t>
      </w:r>
      <w:r w:rsidRPr="00C878A3" w:rsidR="00036888">
        <w:rPr>
          <w:szCs w:val="24"/>
        </w:rPr>
        <w:t xml:space="preserve">The PUCO therefore should have disallowed any amount above the Staff’s recommendation of a $1.8 million increase for vegetation management because such additional amount </w:t>
      </w:r>
      <w:r w:rsidRPr="00C878A3" w:rsidR="001C1EEC">
        <w:rPr>
          <w:szCs w:val="24"/>
        </w:rPr>
        <w:t xml:space="preserve">is unsupported by evidence, </w:t>
      </w:r>
      <w:r w:rsidRPr="00C878A3" w:rsidR="00036888">
        <w:rPr>
          <w:szCs w:val="24"/>
        </w:rPr>
        <w:t xml:space="preserve">falls outside the test period and does not qualify as a known and measurable change which </w:t>
      </w:r>
      <w:r w:rsidRPr="00C878A3" w:rsidR="001C1EEC">
        <w:rPr>
          <w:szCs w:val="24"/>
        </w:rPr>
        <w:t xml:space="preserve">would </w:t>
      </w:r>
      <w:r w:rsidRPr="00C878A3" w:rsidR="00036888">
        <w:rPr>
          <w:szCs w:val="24"/>
        </w:rPr>
        <w:t>qualif</w:t>
      </w:r>
      <w:r w:rsidRPr="00C878A3" w:rsidR="001C1EEC">
        <w:rPr>
          <w:szCs w:val="24"/>
        </w:rPr>
        <w:t>y</w:t>
      </w:r>
      <w:r w:rsidRPr="00C878A3" w:rsidR="00036888">
        <w:rPr>
          <w:szCs w:val="24"/>
        </w:rPr>
        <w:t xml:space="preserve"> to be included in rates.</w:t>
      </w:r>
      <w:r w:rsidRPr="00C878A3" w:rsidR="007D0B73">
        <w:rPr>
          <w:szCs w:val="24"/>
        </w:rPr>
        <w:t xml:space="preserve"> </w:t>
      </w:r>
    </w:p>
    <w:p w:rsidR="00676D4B" w:rsidRPr="00C878A3" w:rsidP="00CB252B" w14:paraId="0BF4B8BF" w14:textId="4A0FD02A">
      <w:pPr>
        <w:pStyle w:val="Heading3"/>
        <w:rPr>
          <w:rFonts w:ascii="Times New Roman" w:hAnsi="Times New Roman" w:cs="Times New Roman"/>
          <w:b w:val="0"/>
        </w:rPr>
      </w:pPr>
      <w:bookmarkStart w:id="31" w:name="_Toc124507972"/>
      <w:bookmarkEnd w:id="30"/>
      <w:r w:rsidRPr="00C878A3">
        <w:rPr>
          <w:rFonts w:ascii="Times New Roman" w:hAnsi="Times New Roman" w:cs="Times New Roman"/>
        </w:rPr>
        <w:t>3.</w:t>
      </w:r>
      <w:r w:rsidRPr="00C878A3">
        <w:rPr>
          <w:rFonts w:ascii="Times New Roman" w:hAnsi="Times New Roman" w:cs="Times New Roman"/>
        </w:rPr>
        <w:tab/>
      </w:r>
      <w:r w:rsidRPr="00C878A3">
        <w:rPr>
          <w:rFonts w:ascii="Times New Roman" w:hAnsi="Times New Roman" w:cs="Times New Roman"/>
        </w:rPr>
        <w:t>Deferred vegetation management costs</w:t>
      </w:r>
      <w:r w:rsidR="008E0DBD">
        <w:rPr>
          <w:rFonts w:ascii="Times New Roman" w:hAnsi="Times New Roman" w:cs="Times New Roman"/>
        </w:rPr>
        <w:t>.</w:t>
      </w:r>
      <w:bookmarkEnd w:id="31"/>
    </w:p>
    <w:p w:rsidR="001A773F" w:rsidRPr="00C878A3" w:rsidP="000846BD" w14:paraId="74E3968E" w14:textId="77777777">
      <w:pPr>
        <w:spacing w:line="480" w:lineRule="auto"/>
        <w:ind w:firstLine="720"/>
        <w:rPr>
          <w:szCs w:val="24"/>
        </w:rPr>
      </w:pPr>
      <w:r w:rsidRPr="00C878A3">
        <w:rPr>
          <w:szCs w:val="24"/>
        </w:rPr>
        <w:t>DP&amp;L also requested approval to recover existing deferred vegetation management costs, and to incur future vegetation management deferrals.</w:t>
      </w:r>
      <w:r w:rsidRPr="00C878A3" w:rsidR="007D0B73">
        <w:rPr>
          <w:szCs w:val="24"/>
        </w:rPr>
        <w:t xml:space="preserve"> </w:t>
      </w:r>
      <w:r w:rsidRPr="00C878A3">
        <w:rPr>
          <w:szCs w:val="24"/>
        </w:rPr>
        <w:t>T</w:t>
      </w:r>
      <w:r w:rsidRPr="00C878A3" w:rsidR="00676D4B">
        <w:rPr>
          <w:szCs w:val="24"/>
        </w:rPr>
        <w:t xml:space="preserve">he PUCO Staff recommended that </w:t>
      </w:r>
      <w:r w:rsidRPr="00C878A3" w:rsidR="00340480">
        <w:rPr>
          <w:szCs w:val="24"/>
        </w:rPr>
        <w:t>DP&amp;L defer its existing $13.7 million balance for</w:t>
      </w:r>
      <w:r w:rsidRPr="00C878A3" w:rsidR="00676D4B">
        <w:rPr>
          <w:szCs w:val="24"/>
        </w:rPr>
        <w:t xml:space="preserve"> vegetation management expenses</w:t>
      </w:r>
      <w:r w:rsidRPr="00C878A3" w:rsidR="00340480">
        <w:rPr>
          <w:szCs w:val="24"/>
        </w:rPr>
        <w:t xml:space="preserve"> over a five-year period, which the PUCO approved</w:t>
      </w:r>
      <w:r w:rsidRPr="00C878A3" w:rsidR="00676D4B">
        <w:rPr>
          <w:szCs w:val="24"/>
        </w:rPr>
        <w:t>.</w:t>
      </w:r>
      <w:r>
        <w:rPr>
          <w:rStyle w:val="FootnoteReference"/>
          <w:szCs w:val="24"/>
        </w:rPr>
        <w:footnoteReference w:id="66"/>
      </w:r>
      <w:r w:rsidRPr="00C878A3" w:rsidR="00676D4B">
        <w:rPr>
          <w:szCs w:val="24"/>
        </w:rPr>
        <w:t xml:space="preserve"> </w:t>
      </w:r>
    </w:p>
    <w:p w:rsidR="001A179F" w:rsidRPr="00C878A3" w:rsidP="000846BD" w14:paraId="6567ACAF" w14:textId="0A01749E">
      <w:pPr>
        <w:spacing w:line="480" w:lineRule="auto"/>
        <w:ind w:firstLine="720"/>
        <w:rPr>
          <w:b/>
          <w:bCs/>
          <w:szCs w:val="24"/>
        </w:rPr>
      </w:pPr>
      <w:r w:rsidRPr="00C878A3">
        <w:rPr>
          <w:szCs w:val="24"/>
        </w:rPr>
        <w:t xml:space="preserve">The PUCO’s Order is unreasonable because </w:t>
      </w:r>
      <w:r w:rsidRPr="00C878A3" w:rsidR="00676D4B">
        <w:rPr>
          <w:szCs w:val="24"/>
        </w:rPr>
        <w:t xml:space="preserve">the PUCO Staff Report does not contain any analysis of the </w:t>
      </w:r>
      <w:r w:rsidRPr="00C878A3" w:rsidR="001C1EEC">
        <w:rPr>
          <w:szCs w:val="24"/>
        </w:rPr>
        <w:t xml:space="preserve">prudency of the </w:t>
      </w:r>
      <w:r w:rsidRPr="00C878A3" w:rsidR="00676D4B">
        <w:rPr>
          <w:szCs w:val="24"/>
        </w:rPr>
        <w:t>supposed approximate $13.7 million collection of deferred vegetation management expense from customers.</w:t>
      </w:r>
      <w:r>
        <w:rPr>
          <w:rStyle w:val="FootnoteReference"/>
          <w:szCs w:val="24"/>
        </w:rPr>
        <w:footnoteReference w:id="67"/>
      </w:r>
      <w:r w:rsidRPr="00C878A3" w:rsidR="00676D4B">
        <w:rPr>
          <w:szCs w:val="24"/>
        </w:rPr>
        <w:t xml:space="preserve"> The PUCO Staff should have examined these alleged expenses to determine if they are just and reasonable before recommending that the charges be imposed onto consumers. OCC’s expert Mr. Williams explained that this is especially true given DP&amp;L’s failure to use the additional funds to adequately perform tree</w:t>
      </w:r>
      <w:r w:rsidRPr="00C878A3" w:rsidR="000E10F0">
        <w:rPr>
          <w:szCs w:val="24"/>
        </w:rPr>
        <w:t xml:space="preserve"> </w:t>
      </w:r>
      <w:r w:rsidRPr="00C878A3" w:rsidR="00676D4B">
        <w:rPr>
          <w:szCs w:val="24"/>
        </w:rPr>
        <w:t>trimming since at least 2018.</w:t>
      </w:r>
      <w:r>
        <w:rPr>
          <w:rStyle w:val="FootnoteReference"/>
          <w:szCs w:val="24"/>
        </w:rPr>
        <w:footnoteReference w:id="68"/>
      </w:r>
      <w:r w:rsidRPr="00C878A3" w:rsidR="00676D4B">
        <w:rPr>
          <w:szCs w:val="24"/>
        </w:rPr>
        <w:t xml:space="preserve"> DP&amp;L has failed to comply with its Inspection, Maintenance, Repair and Replacement Program regarding vegetation management within the right</w:t>
      </w:r>
      <w:r w:rsidRPr="00C878A3" w:rsidR="000E10F0">
        <w:rPr>
          <w:szCs w:val="24"/>
        </w:rPr>
        <w:t>-</w:t>
      </w:r>
      <w:r w:rsidRPr="00C878A3" w:rsidR="00676D4B">
        <w:rPr>
          <w:szCs w:val="24"/>
        </w:rPr>
        <w:t>of</w:t>
      </w:r>
      <w:r w:rsidRPr="00C878A3" w:rsidR="000E10F0">
        <w:rPr>
          <w:szCs w:val="24"/>
        </w:rPr>
        <w:t>-</w:t>
      </w:r>
      <w:r w:rsidRPr="00C878A3" w:rsidR="00676D4B">
        <w:rPr>
          <w:szCs w:val="24"/>
        </w:rPr>
        <w:t>way and DP&amp;L has failed to meet the minimum PUCO performance standards for distribution reliability.</w:t>
      </w:r>
      <w:r>
        <w:rPr>
          <w:rStyle w:val="FootnoteReference"/>
          <w:szCs w:val="24"/>
        </w:rPr>
        <w:footnoteReference w:id="69"/>
      </w:r>
      <w:r w:rsidRPr="00C878A3" w:rsidR="00676D4B">
        <w:rPr>
          <w:szCs w:val="24"/>
        </w:rPr>
        <w:t xml:space="preserve"> </w:t>
      </w:r>
    </w:p>
    <w:p w:rsidR="001A179F" w:rsidRPr="00C878A3" w:rsidP="001A179F" w14:paraId="4318544F" w14:textId="7A04184A">
      <w:pPr>
        <w:autoSpaceDE w:val="0"/>
        <w:autoSpaceDN w:val="0"/>
        <w:adjustRightInd w:val="0"/>
        <w:spacing w:line="480" w:lineRule="auto"/>
        <w:ind w:firstLine="720"/>
        <w:rPr>
          <w:szCs w:val="24"/>
        </w:rPr>
      </w:pPr>
      <w:r w:rsidRPr="00C878A3">
        <w:rPr>
          <w:szCs w:val="24"/>
        </w:rPr>
        <w:t>D</w:t>
      </w:r>
      <w:r w:rsidRPr="00C878A3" w:rsidR="00676D4B">
        <w:rPr>
          <w:szCs w:val="24"/>
        </w:rPr>
        <w:t xml:space="preserve">P&amp;L </w:t>
      </w:r>
      <w:r w:rsidRPr="00C878A3" w:rsidR="00340480">
        <w:rPr>
          <w:szCs w:val="24"/>
        </w:rPr>
        <w:t xml:space="preserve">also </w:t>
      </w:r>
      <w:r w:rsidRPr="00C878A3" w:rsidR="00676D4B">
        <w:rPr>
          <w:szCs w:val="24"/>
        </w:rPr>
        <w:t>proposed expanding its vegetation management program to include intra-cycle hot-spot tree</w:t>
      </w:r>
      <w:r w:rsidRPr="00C878A3" w:rsidR="000E10F0">
        <w:rPr>
          <w:szCs w:val="24"/>
        </w:rPr>
        <w:t xml:space="preserve"> </w:t>
      </w:r>
      <w:r w:rsidRPr="00C878A3" w:rsidR="00676D4B">
        <w:rPr>
          <w:szCs w:val="24"/>
        </w:rPr>
        <w:t>trimming and vegetation removal outside of the right</w:t>
      </w:r>
      <w:r w:rsidRPr="00C878A3">
        <w:rPr>
          <w:szCs w:val="24"/>
        </w:rPr>
        <w:t>-</w:t>
      </w:r>
      <w:r w:rsidRPr="00C878A3" w:rsidR="00676D4B">
        <w:rPr>
          <w:szCs w:val="24"/>
        </w:rPr>
        <w:t>of</w:t>
      </w:r>
      <w:r w:rsidRPr="00C878A3">
        <w:rPr>
          <w:szCs w:val="24"/>
        </w:rPr>
        <w:t>-</w:t>
      </w:r>
      <w:r w:rsidRPr="00C878A3" w:rsidR="00676D4B">
        <w:rPr>
          <w:szCs w:val="24"/>
        </w:rPr>
        <w:t xml:space="preserve">way. The PUCO </w:t>
      </w:r>
      <w:r w:rsidRPr="00C878A3">
        <w:rPr>
          <w:szCs w:val="24"/>
        </w:rPr>
        <w:t>recommended that</w:t>
      </w:r>
      <w:r w:rsidRPr="00C878A3" w:rsidR="00676D4B">
        <w:rPr>
          <w:szCs w:val="24"/>
        </w:rPr>
        <w:t xml:space="preserve"> DP&amp;L should be authorized to defer an additional $5 million annually in tree</w:t>
      </w:r>
      <w:r w:rsidRPr="00C878A3" w:rsidR="000E10F0">
        <w:rPr>
          <w:szCs w:val="24"/>
        </w:rPr>
        <w:t xml:space="preserve"> </w:t>
      </w:r>
      <w:r w:rsidRPr="00C878A3" w:rsidR="00676D4B">
        <w:rPr>
          <w:szCs w:val="24"/>
        </w:rPr>
        <w:t>trimming expenses.</w:t>
      </w:r>
      <w:r>
        <w:rPr>
          <w:rStyle w:val="FootnoteReference"/>
          <w:szCs w:val="24"/>
        </w:rPr>
        <w:footnoteReference w:id="70"/>
      </w:r>
      <w:r w:rsidRPr="00C878A3" w:rsidR="00676D4B">
        <w:rPr>
          <w:szCs w:val="24"/>
        </w:rPr>
        <w:t xml:space="preserve"> </w:t>
      </w:r>
      <w:r w:rsidRPr="00C878A3">
        <w:rPr>
          <w:szCs w:val="24"/>
        </w:rPr>
        <w:t xml:space="preserve">The PUCO </w:t>
      </w:r>
      <w:r w:rsidRPr="00C878A3" w:rsidR="001C1EEC">
        <w:rPr>
          <w:szCs w:val="24"/>
        </w:rPr>
        <w:t xml:space="preserve">inexplicably </w:t>
      </w:r>
      <w:r w:rsidRPr="00C878A3">
        <w:rPr>
          <w:szCs w:val="24"/>
        </w:rPr>
        <w:t>approved $7.5 million in future de</w:t>
      </w:r>
      <w:r w:rsidRPr="00C878A3">
        <w:rPr>
          <w:szCs w:val="24"/>
        </w:rPr>
        <w:t>f</w:t>
      </w:r>
      <w:r w:rsidRPr="00C878A3">
        <w:rPr>
          <w:szCs w:val="24"/>
        </w:rPr>
        <w:t>er</w:t>
      </w:r>
      <w:r w:rsidRPr="00C878A3">
        <w:rPr>
          <w:szCs w:val="24"/>
        </w:rPr>
        <w:t>r</w:t>
      </w:r>
      <w:r w:rsidRPr="00C878A3">
        <w:rPr>
          <w:szCs w:val="24"/>
        </w:rPr>
        <w:t>al authority for this program.</w:t>
      </w:r>
      <w:r>
        <w:rPr>
          <w:rStyle w:val="FootnoteReference"/>
          <w:szCs w:val="24"/>
        </w:rPr>
        <w:footnoteReference w:id="71"/>
      </w:r>
      <w:r w:rsidRPr="00C878A3" w:rsidR="007D0B73">
        <w:rPr>
          <w:szCs w:val="24"/>
        </w:rPr>
        <w:t xml:space="preserve"> </w:t>
      </w:r>
      <w:r w:rsidRPr="00C878A3">
        <w:rPr>
          <w:szCs w:val="24"/>
        </w:rPr>
        <w:t xml:space="preserve">The PUCO’s approval of this </w:t>
      </w:r>
      <w:r w:rsidRPr="00C878A3" w:rsidR="00340480">
        <w:rPr>
          <w:szCs w:val="24"/>
        </w:rPr>
        <w:t xml:space="preserve">prospective </w:t>
      </w:r>
      <w:r w:rsidRPr="00C878A3">
        <w:rPr>
          <w:szCs w:val="24"/>
        </w:rPr>
        <w:t>deferral authority is unreasonable and inconsistent with prior PUCO precedent.</w:t>
      </w:r>
    </w:p>
    <w:p w:rsidR="001A179F" w:rsidRPr="00C878A3" w:rsidP="001A179F" w14:paraId="3ACB3724" w14:textId="423A6487">
      <w:pPr>
        <w:autoSpaceDE w:val="0"/>
        <w:autoSpaceDN w:val="0"/>
        <w:adjustRightInd w:val="0"/>
        <w:spacing w:line="480" w:lineRule="auto"/>
        <w:ind w:firstLine="720"/>
        <w:rPr>
          <w:szCs w:val="24"/>
        </w:rPr>
      </w:pPr>
      <w:r w:rsidRPr="00C878A3">
        <w:rPr>
          <w:szCs w:val="24"/>
        </w:rPr>
        <w:t>Under its existing precedent, t</w:t>
      </w:r>
      <w:r w:rsidRPr="00C878A3">
        <w:rPr>
          <w:szCs w:val="24"/>
        </w:rPr>
        <w:t>he PUCO applies the following test to determine whether to authorize a utility to defer an expense:</w:t>
      </w:r>
      <w:r w:rsidRPr="00C878A3" w:rsidR="007D0B73">
        <w:rPr>
          <w:szCs w:val="24"/>
        </w:rPr>
        <w:t xml:space="preserve"> </w:t>
      </w:r>
    </w:p>
    <w:p w:rsidR="001A179F" w:rsidRPr="00C878A3" w:rsidP="00CB252B" w14:paraId="06A00F33" w14:textId="77777777">
      <w:pPr>
        <w:pStyle w:val="ListParagraph"/>
        <w:numPr>
          <w:ilvl w:val="0"/>
          <w:numId w:val="3"/>
        </w:numPr>
        <w:autoSpaceDE w:val="0"/>
        <w:autoSpaceDN w:val="0"/>
        <w:adjustRightInd w:val="0"/>
        <w:spacing w:line="480" w:lineRule="auto"/>
        <w:ind w:left="1440" w:hanging="720"/>
      </w:pPr>
      <w:r w:rsidRPr="00C878A3">
        <w:rPr>
          <w:color w:val="000000"/>
        </w:rPr>
        <w:t xml:space="preserve">whether the utility's current rates are sufficient to cover the costs of the requested deferral; </w:t>
      </w:r>
    </w:p>
    <w:p w:rsidR="001A179F" w:rsidRPr="00C878A3" w:rsidP="00CB252B" w14:paraId="04A1C9A9" w14:textId="77777777">
      <w:pPr>
        <w:pStyle w:val="ListParagraph"/>
        <w:numPr>
          <w:ilvl w:val="0"/>
          <w:numId w:val="3"/>
        </w:numPr>
        <w:autoSpaceDE w:val="0"/>
        <w:autoSpaceDN w:val="0"/>
        <w:adjustRightInd w:val="0"/>
        <w:spacing w:line="480" w:lineRule="auto"/>
        <w:ind w:left="1440" w:hanging="720"/>
      </w:pPr>
      <w:r w:rsidRPr="00C878A3">
        <w:rPr>
          <w:color w:val="000000"/>
        </w:rPr>
        <w:t xml:space="preserve">whether the costs are material; </w:t>
      </w:r>
    </w:p>
    <w:p w:rsidR="001A179F" w:rsidRPr="00C878A3" w:rsidP="00CB252B" w14:paraId="2AEEDD6C" w14:textId="77777777">
      <w:pPr>
        <w:pStyle w:val="ListParagraph"/>
        <w:numPr>
          <w:ilvl w:val="0"/>
          <w:numId w:val="3"/>
        </w:numPr>
        <w:autoSpaceDE w:val="0"/>
        <w:autoSpaceDN w:val="0"/>
        <w:adjustRightInd w:val="0"/>
        <w:spacing w:line="480" w:lineRule="auto"/>
        <w:ind w:left="1440" w:hanging="720"/>
      </w:pPr>
      <w:r w:rsidRPr="00C878A3">
        <w:rPr>
          <w:color w:val="000000"/>
        </w:rPr>
        <w:t xml:space="preserve">whether the reason for requesting the deferral is outside the utility's control; </w:t>
      </w:r>
    </w:p>
    <w:p w:rsidR="001A179F" w:rsidRPr="00C878A3" w:rsidP="00CB252B" w14:paraId="34CBFE67" w14:textId="77777777">
      <w:pPr>
        <w:pStyle w:val="ListParagraph"/>
        <w:numPr>
          <w:ilvl w:val="0"/>
          <w:numId w:val="3"/>
        </w:numPr>
        <w:autoSpaceDE w:val="0"/>
        <w:autoSpaceDN w:val="0"/>
        <w:adjustRightInd w:val="0"/>
        <w:spacing w:line="480" w:lineRule="auto"/>
        <w:ind w:left="1440" w:hanging="720"/>
      </w:pPr>
      <w:r w:rsidRPr="00C878A3">
        <w:rPr>
          <w:color w:val="000000"/>
        </w:rPr>
        <w:t xml:space="preserve">whether the expenses are atypical and infrequent; and </w:t>
      </w:r>
    </w:p>
    <w:p w:rsidR="001A179F" w:rsidRPr="00C878A3" w:rsidP="00CB252B" w14:paraId="5C9B3265" w14:textId="3A51031D">
      <w:pPr>
        <w:pStyle w:val="ListParagraph"/>
        <w:numPr>
          <w:ilvl w:val="0"/>
          <w:numId w:val="3"/>
        </w:numPr>
        <w:autoSpaceDE w:val="0"/>
        <w:autoSpaceDN w:val="0"/>
        <w:adjustRightInd w:val="0"/>
        <w:spacing w:line="480" w:lineRule="auto"/>
        <w:ind w:left="1440" w:hanging="720"/>
      </w:pPr>
      <w:r w:rsidRPr="00C878A3">
        <w:rPr>
          <w:color w:val="000000"/>
        </w:rPr>
        <w:t>whether the financial integrity of the utility will be significantly and adversely affected, if the deferral is not granted.</w:t>
      </w:r>
      <w:r>
        <w:rPr>
          <w:rStyle w:val="FootnoteReference"/>
          <w:color w:val="000000"/>
        </w:rPr>
        <w:footnoteReference w:id="72"/>
      </w:r>
    </w:p>
    <w:p w:rsidR="004C33E3" w:rsidRPr="00C878A3" w:rsidP="004C33E3" w14:paraId="40A8B085" w14:textId="0BAC573A">
      <w:pPr>
        <w:spacing w:line="480" w:lineRule="auto"/>
        <w:ind w:firstLine="720"/>
        <w:rPr>
          <w:szCs w:val="24"/>
        </w:rPr>
      </w:pPr>
      <w:r w:rsidRPr="00C878A3">
        <w:rPr>
          <w:szCs w:val="24"/>
        </w:rPr>
        <w:t>The PUCO did not apply this test in evaluating whether to approve this deferral; therefore, the PUCO did not follow its own precedent.</w:t>
      </w:r>
      <w:r w:rsidRPr="00C878A3" w:rsidR="007D0B73">
        <w:rPr>
          <w:szCs w:val="24"/>
        </w:rPr>
        <w:t xml:space="preserve"> </w:t>
      </w:r>
      <w:r w:rsidRPr="00C878A3">
        <w:rPr>
          <w:szCs w:val="24"/>
        </w:rPr>
        <w:t>As noted earlier, the PUCO must “respect its own precedents in its decisions to assure the predictability, which is essential in all areas of the law, including administrative law.”</w:t>
      </w:r>
      <w:r>
        <w:rPr>
          <w:rStyle w:val="FootnoteReference"/>
          <w:szCs w:val="24"/>
        </w:rPr>
        <w:footnoteReference w:id="73"/>
      </w:r>
      <w:r w:rsidRPr="00C878A3">
        <w:rPr>
          <w:szCs w:val="24"/>
        </w:rPr>
        <w:t xml:space="preserve"> If the PUCO decides not to follow its own prior decision, it must explain why it does so.</w:t>
      </w:r>
      <w:r>
        <w:rPr>
          <w:rStyle w:val="FootnoteReference"/>
          <w:szCs w:val="24"/>
        </w:rPr>
        <w:footnoteReference w:id="74"/>
      </w:r>
      <w:r w:rsidRPr="00C878A3">
        <w:rPr>
          <w:szCs w:val="24"/>
        </w:rPr>
        <w:t xml:space="preserve"> Finally, the new course taken by the PUCO must be “substantively reasonable and lawful.”</w:t>
      </w:r>
      <w:r>
        <w:rPr>
          <w:rStyle w:val="FootnoteReference"/>
          <w:szCs w:val="24"/>
        </w:rPr>
        <w:footnoteReference w:id="75"/>
      </w:r>
      <w:r w:rsidRPr="00C878A3" w:rsidR="007D0B73">
        <w:rPr>
          <w:szCs w:val="24"/>
        </w:rPr>
        <w:t xml:space="preserve"> </w:t>
      </w:r>
      <w:r w:rsidRPr="00C878A3">
        <w:rPr>
          <w:szCs w:val="24"/>
        </w:rPr>
        <w:t>The PUCO’s failure to apply this test for approving deferrals was therefore unreasonable.</w:t>
      </w:r>
    </w:p>
    <w:p w:rsidR="004C33E3" w:rsidRPr="00C878A3" w:rsidP="004C33E3" w14:paraId="77D67C95" w14:textId="2120FCF4">
      <w:pPr>
        <w:spacing w:line="480" w:lineRule="auto"/>
        <w:ind w:firstLine="720"/>
        <w:rPr>
          <w:szCs w:val="24"/>
        </w:rPr>
      </w:pPr>
      <w:r w:rsidRPr="00C878A3">
        <w:rPr>
          <w:szCs w:val="24"/>
        </w:rPr>
        <w:t>DP&amp;L’s request for future vegetation management deferral authority does not meet the PUCO’s five-factor test for deferral authority, for the following reasons:</w:t>
      </w:r>
    </w:p>
    <w:p w:rsidR="00B54757" w:rsidRPr="00C878A3" w:rsidP="00CB252B" w14:paraId="0994E71F" w14:textId="18CC0F20">
      <w:pPr>
        <w:pStyle w:val="ListParagraph"/>
        <w:numPr>
          <w:ilvl w:val="0"/>
          <w:numId w:val="4"/>
        </w:numPr>
        <w:spacing w:line="480" w:lineRule="auto"/>
        <w:ind w:left="1440" w:hanging="720"/>
      </w:pPr>
      <w:r w:rsidRPr="00C878A3">
        <w:t>DP&amp;L failed to demonstrate that its current rates are inadequate to cover the costs of the requested deferral.</w:t>
      </w:r>
      <w:r w:rsidRPr="00C878A3" w:rsidR="007D0B73">
        <w:t xml:space="preserve"> </w:t>
      </w:r>
      <w:r w:rsidRPr="00C878A3">
        <w:t>As noted above, DP&amp;L is not spending the full amount currently authorized in rates for vegetation management, and PUCO Staff has recommended a $1.8 million increase in these rates.</w:t>
      </w:r>
      <w:r w:rsidRPr="00C878A3" w:rsidR="007D0B73">
        <w:t xml:space="preserve"> </w:t>
      </w:r>
      <w:r w:rsidRPr="00C878A3">
        <w:t>DP&amp;L made no showing that these amounts are inadequate to cover the costs of the vegetation management expenses for which it seeks a deferral;</w:t>
      </w:r>
    </w:p>
    <w:p w:rsidR="00B54757" w:rsidRPr="00C878A3" w:rsidP="00CB252B" w14:paraId="4E99DE90" w14:textId="5E79911A">
      <w:pPr>
        <w:pStyle w:val="ListParagraph"/>
        <w:numPr>
          <w:ilvl w:val="0"/>
          <w:numId w:val="4"/>
        </w:numPr>
        <w:spacing w:line="480" w:lineRule="auto"/>
        <w:ind w:left="1440" w:hanging="720"/>
      </w:pPr>
      <w:r w:rsidRPr="00C878A3">
        <w:t>DP&amp;L failed to demonstrate that that the vegetation management expenses are material – the PUCO Staff recommended a deferral of up to $5 million but there is no evidence of how much expense DP&amp;L would incur in a given year and whether the annual amounts are material;</w:t>
      </w:r>
    </w:p>
    <w:p w:rsidR="00B54757" w:rsidRPr="00C878A3" w:rsidP="00CB252B" w14:paraId="7D82FB3C" w14:textId="6E2DF2F9">
      <w:pPr>
        <w:pStyle w:val="ListParagraph"/>
        <w:numPr>
          <w:ilvl w:val="0"/>
          <w:numId w:val="4"/>
        </w:numPr>
        <w:spacing w:line="480" w:lineRule="auto"/>
        <w:ind w:left="1440" w:hanging="720"/>
      </w:pPr>
      <w:r w:rsidRPr="00C878A3">
        <w:t xml:space="preserve">DP&amp;L failed to demonstrate that the reason for requesting the deferral is outside of its control – DP&amp;L has not spent the full amount currently authorized in rates for vegetation management and this failure to perform the vegetation management work </w:t>
      </w:r>
      <w:r w:rsidRPr="00C878A3" w:rsidR="00157173">
        <w:t xml:space="preserve">by spending the full amount authorized in base rates </w:t>
      </w:r>
      <w:r w:rsidRPr="00C878A3">
        <w:t>was within its control;</w:t>
      </w:r>
    </w:p>
    <w:p w:rsidR="00B54757" w:rsidRPr="00C878A3" w:rsidP="00CB252B" w14:paraId="36A08532" w14:textId="5829500D">
      <w:pPr>
        <w:pStyle w:val="ListParagraph"/>
        <w:numPr>
          <w:ilvl w:val="0"/>
          <w:numId w:val="4"/>
        </w:numPr>
        <w:spacing w:line="480" w:lineRule="auto"/>
        <w:ind w:left="1440" w:hanging="720"/>
      </w:pPr>
      <w:r w:rsidRPr="00C878A3">
        <w:t>DP&amp;L failed to demonstrate that vegetation management expenses are atypical and infrequent – in fact, vegetation management is a typical</w:t>
      </w:r>
      <w:r w:rsidRPr="00C878A3" w:rsidR="00157173">
        <w:t>, frequent</w:t>
      </w:r>
      <w:r w:rsidRPr="00C878A3">
        <w:t xml:space="preserve"> and constant requirement for electric utilities; and</w:t>
      </w:r>
    </w:p>
    <w:p w:rsidR="00B54757" w:rsidRPr="00C878A3" w:rsidP="00CB252B" w14:paraId="267C9921" w14:textId="18630D10">
      <w:pPr>
        <w:pStyle w:val="ListParagraph"/>
        <w:numPr>
          <w:ilvl w:val="0"/>
          <w:numId w:val="4"/>
        </w:numPr>
        <w:spacing w:line="480" w:lineRule="auto"/>
        <w:ind w:left="1440" w:hanging="720"/>
      </w:pPr>
      <w:r w:rsidRPr="00C878A3">
        <w:t xml:space="preserve">DP&amp;L failed to demonstrate that its </w:t>
      </w:r>
      <w:r w:rsidRPr="00C878A3">
        <w:rPr>
          <w:color w:val="000000"/>
        </w:rPr>
        <w:t xml:space="preserve">financial integrity of the utility will be significantly and adversely </w:t>
      </w:r>
      <w:r w:rsidRPr="00C878A3" w:rsidR="00124992">
        <w:rPr>
          <w:color w:val="000000"/>
        </w:rPr>
        <w:t>affected if</w:t>
      </w:r>
      <w:r w:rsidRPr="00C878A3">
        <w:rPr>
          <w:color w:val="000000"/>
        </w:rPr>
        <w:t xml:space="preserve"> the deferral is not granted</w:t>
      </w:r>
      <w:r w:rsidRPr="00C878A3" w:rsidR="000846BD">
        <w:rPr>
          <w:color w:val="000000"/>
        </w:rPr>
        <w:t>.</w:t>
      </w:r>
    </w:p>
    <w:p w:rsidR="000E10F0" w:rsidRPr="00C878A3" w:rsidP="00C878A3" w14:paraId="52663944" w14:textId="4D85CB0B">
      <w:pPr>
        <w:spacing w:line="480" w:lineRule="auto"/>
        <w:ind w:firstLine="720"/>
        <w:rPr>
          <w:szCs w:val="24"/>
        </w:rPr>
      </w:pPr>
      <w:r w:rsidRPr="00C878A3">
        <w:rPr>
          <w:szCs w:val="24"/>
        </w:rPr>
        <w:t>Under these circumstances, the PUCO should not have approved the deferral.</w:t>
      </w:r>
      <w:r w:rsidR="00C878A3">
        <w:rPr>
          <w:szCs w:val="24"/>
        </w:rPr>
        <w:t xml:space="preserve"> </w:t>
      </w:r>
      <w:r w:rsidRPr="00C878A3" w:rsidR="00E530BA">
        <w:rPr>
          <w:szCs w:val="24"/>
        </w:rPr>
        <w:t>In the alternative, the PUCO acted unreasonably by failing to offset future deferrals by the amount of DP&amp;L’s under-spending of the full amount of vegetation management expenses embedded in base rates.</w:t>
      </w:r>
    </w:p>
    <w:p w:rsidR="00817A83" w:rsidRPr="00C878A3" w:rsidP="00CB252B" w14:paraId="642E624D" w14:textId="168D4633">
      <w:pPr>
        <w:pStyle w:val="Heading3"/>
        <w:rPr>
          <w:rFonts w:ascii="Times New Roman" w:hAnsi="Times New Roman" w:cs="Times New Roman"/>
          <w:b w:val="0"/>
        </w:rPr>
      </w:pPr>
      <w:bookmarkStart w:id="32" w:name="_Toc124507973"/>
      <w:bookmarkStart w:id="33" w:name="_Hlk124335334"/>
      <w:r w:rsidRPr="00C878A3">
        <w:rPr>
          <w:rFonts w:ascii="Times New Roman" w:hAnsi="Times New Roman" w:cs="Times New Roman"/>
        </w:rPr>
        <w:t>4.</w:t>
      </w:r>
      <w:r w:rsidRPr="00C878A3">
        <w:rPr>
          <w:rFonts w:ascii="Times New Roman" w:hAnsi="Times New Roman" w:cs="Times New Roman"/>
        </w:rPr>
        <w:tab/>
      </w:r>
      <w:r w:rsidRPr="00C878A3">
        <w:rPr>
          <w:rFonts w:ascii="Times New Roman" w:hAnsi="Times New Roman" w:cs="Times New Roman"/>
        </w:rPr>
        <w:t>Failure to update vegetation management plan</w:t>
      </w:r>
      <w:r w:rsidR="00870449">
        <w:rPr>
          <w:rFonts w:ascii="Times New Roman" w:hAnsi="Times New Roman" w:cs="Times New Roman"/>
        </w:rPr>
        <w:t>.</w:t>
      </w:r>
      <w:bookmarkEnd w:id="32"/>
    </w:p>
    <w:p w:rsidR="00676D4B" w:rsidRPr="00C878A3" w:rsidP="00817A83" w14:paraId="760658DA" w14:textId="0A79455C">
      <w:pPr>
        <w:autoSpaceDE w:val="0"/>
        <w:autoSpaceDN w:val="0"/>
        <w:adjustRightInd w:val="0"/>
        <w:spacing w:line="480" w:lineRule="auto"/>
        <w:ind w:firstLine="720"/>
        <w:rPr>
          <w:szCs w:val="24"/>
        </w:rPr>
      </w:pPr>
      <w:r w:rsidRPr="00C878A3">
        <w:rPr>
          <w:szCs w:val="24"/>
        </w:rPr>
        <w:t>As an additional matter, it was unreasonable for the PUCO to approve</w:t>
      </w:r>
      <w:r w:rsidR="00C878A3">
        <w:rPr>
          <w:szCs w:val="24"/>
        </w:rPr>
        <w:t xml:space="preserve"> </w:t>
      </w:r>
      <w:r w:rsidRPr="00C878A3">
        <w:rPr>
          <w:szCs w:val="24"/>
        </w:rPr>
        <w:t xml:space="preserve">vegetation management </w:t>
      </w:r>
      <w:r w:rsidRPr="00C878A3" w:rsidR="00615122">
        <w:rPr>
          <w:szCs w:val="24"/>
        </w:rPr>
        <w:t xml:space="preserve">expenses and </w:t>
      </w:r>
      <w:r w:rsidRPr="00C878A3" w:rsidR="00E530BA">
        <w:rPr>
          <w:szCs w:val="24"/>
        </w:rPr>
        <w:t xml:space="preserve">future </w:t>
      </w:r>
      <w:r w:rsidRPr="00C878A3">
        <w:rPr>
          <w:szCs w:val="24"/>
        </w:rPr>
        <w:t xml:space="preserve">deferrals without DP&amp;L obtaining prior approval of </w:t>
      </w:r>
      <w:r w:rsidRPr="00C878A3">
        <w:rPr>
          <w:szCs w:val="24"/>
        </w:rPr>
        <w:t>an updated vegetation management plan that prescribes DP&amp;L’s responsibilities, and the standards that must be met for future collection of any additional money from customers.</w:t>
      </w:r>
      <w:r>
        <w:rPr>
          <w:rStyle w:val="FootnoteReference"/>
          <w:szCs w:val="24"/>
        </w:rPr>
        <w:footnoteReference w:id="76"/>
      </w:r>
      <w:r w:rsidRPr="00C878A3">
        <w:rPr>
          <w:szCs w:val="24"/>
        </w:rPr>
        <w:t xml:space="preserve"> And the </w:t>
      </w:r>
      <w:r w:rsidRPr="00C878A3">
        <w:rPr>
          <w:szCs w:val="24"/>
        </w:rPr>
        <w:t xml:space="preserve">PUCO also acted unreasonably by failing to link DP&amp;L’s </w:t>
      </w:r>
      <w:r w:rsidRPr="00C878A3">
        <w:rPr>
          <w:szCs w:val="24"/>
        </w:rPr>
        <w:t xml:space="preserve">collection of vegetation management </w:t>
      </w:r>
      <w:r w:rsidRPr="00C878A3" w:rsidR="00E530BA">
        <w:rPr>
          <w:szCs w:val="24"/>
        </w:rPr>
        <w:t xml:space="preserve">expenses and deferrals </w:t>
      </w:r>
      <w:r w:rsidRPr="00C878A3">
        <w:rPr>
          <w:szCs w:val="24"/>
        </w:rPr>
        <w:t>to a PUCO Staff audit before the costs are passed on to consumers.</w:t>
      </w:r>
      <w:r>
        <w:rPr>
          <w:rStyle w:val="FootnoteReference"/>
          <w:szCs w:val="24"/>
        </w:rPr>
        <w:footnoteReference w:id="77"/>
      </w:r>
      <w:r w:rsidRPr="00C878A3">
        <w:rPr>
          <w:szCs w:val="24"/>
        </w:rPr>
        <w:t xml:space="preserve"> </w:t>
      </w:r>
      <w:r w:rsidRPr="00C878A3" w:rsidR="00E530BA">
        <w:rPr>
          <w:szCs w:val="24"/>
        </w:rPr>
        <w:t>T</w:t>
      </w:r>
      <w:r w:rsidRPr="00C878A3">
        <w:rPr>
          <w:szCs w:val="24"/>
        </w:rPr>
        <w:t xml:space="preserve">he PUCO acted unreasonably by approving the </w:t>
      </w:r>
      <w:r w:rsidRPr="00C878A3" w:rsidR="00E530BA">
        <w:rPr>
          <w:szCs w:val="24"/>
        </w:rPr>
        <w:t xml:space="preserve">expenses and </w:t>
      </w:r>
      <w:r w:rsidRPr="00C878A3">
        <w:rPr>
          <w:szCs w:val="24"/>
        </w:rPr>
        <w:t>deferral</w:t>
      </w:r>
      <w:r w:rsidRPr="00C878A3" w:rsidR="00E530BA">
        <w:rPr>
          <w:szCs w:val="24"/>
        </w:rPr>
        <w:t>s</w:t>
      </w:r>
      <w:r w:rsidRPr="00C878A3">
        <w:rPr>
          <w:szCs w:val="24"/>
        </w:rPr>
        <w:t xml:space="preserve"> without enforcing </w:t>
      </w:r>
      <w:r w:rsidRPr="00C878A3">
        <w:rPr>
          <w:szCs w:val="24"/>
        </w:rPr>
        <w:t>the DP&amp;L Inspection, Maintenance, Repair, and Replacement Program Plan and DP&amp;L’s failure to adequately perform tree</w:t>
      </w:r>
      <w:r w:rsidRPr="00C878A3" w:rsidR="000E10F0">
        <w:rPr>
          <w:szCs w:val="24"/>
        </w:rPr>
        <w:t xml:space="preserve"> </w:t>
      </w:r>
      <w:r w:rsidRPr="00C878A3">
        <w:rPr>
          <w:szCs w:val="24"/>
        </w:rPr>
        <w:t>trimming on its distribution circuits since 2018.</w:t>
      </w:r>
      <w:r>
        <w:rPr>
          <w:rStyle w:val="FootnoteReference"/>
          <w:szCs w:val="24"/>
        </w:rPr>
        <w:footnoteReference w:id="78"/>
      </w:r>
      <w:r w:rsidRPr="00C878A3">
        <w:rPr>
          <w:szCs w:val="24"/>
        </w:rPr>
        <w:t xml:space="preserve"> </w:t>
      </w:r>
      <w:r w:rsidRPr="00C878A3" w:rsidR="00117F07">
        <w:rPr>
          <w:szCs w:val="24"/>
        </w:rPr>
        <w:t xml:space="preserve">The solution for the inadequate service DP&amp;L has been permitted to provide consumers is for the PUCO to enforce its reliability standards and associated maintenance and repair plans and programs - - not </w:t>
      </w:r>
      <w:r w:rsidRPr="00C878A3" w:rsidR="00BE5177">
        <w:rPr>
          <w:szCs w:val="24"/>
        </w:rPr>
        <w:t>requiring consumers to spend more hard-earned money.</w:t>
      </w:r>
      <w:r w:rsidR="00C878A3">
        <w:rPr>
          <w:szCs w:val="24"/>
        </w:rPr>
        <w:t xml:space="preserve"> </w:t>
      </w:r>
    </w:p>
    <w:p w:rsidR="00A93E42" w:rsidRPr="00C878A3" w:rsidP="00870449" w14:paraId="6E291BDB" w14:textId="424E60B3">
      <w:pPr>
        <w:pStyle w:val="ListParagraph"/>
        <w:ind w:left="1440" w:hanging="720"/>
        <w:rPr>
          <w:b/>
          <w:bCs/>
        </w:rPr>
      </w:pPr>
      <w:bookmarkStart w:id="34" w:name="_Toc124507974"/>
      <w:bookmarkEnd w:id="33"/>
      <w:r>
        <w:rPr>
          <w:rStyle w:val="Heading2Char"/>
          <w:rFonts w:ascii="Times New Roman" w:hAnsi="Times New Roman" w:cs="Times New Roman"/>
          <w:szCs w:val="24"/>
        </w:rPr>
        <w:t>C.</w:t>
      </w:r>
      <w:r>
        <w:rPr>
          <w:rStyle w:val="Heading2Char"/>
          <w:rFonts w:ascii="Times New Roman" w:hAnsi="Times New Roman" w:cs="Times New Roman"/>
          <w:szCs w:val="24"/>
        </w:rPr>
        <w:tab/>
      </w:r>
      <w:r w:rsidRPr="00870449" w:rsidR="006A1FCA">
        <w:rPr>
          <w:rStyle w:val="Heading2Char"/>
          <w:rFonts w:ascii="Times New Roman" w:hAnsi="Times New Roman" w:cs="Times New Roman"/>
          <w:szCs w:val="24"/>
        </w:rPr>
        <w:t>ASSIGNMENT OF ERROR NO. 3:</w:t>
      </w:r>
      <w:r w:rsidRPr="00C878A3" w:rsidR="006A1FCA">
        <w:rPr>
          <w:rStyle w:val="Heading2Char"/>
          <w:rFonts w:ascii="Times New Roman" w:hAnsi="Times New Roman" w:cs="Times New Roman"/>
          <w:szCs w:val="24"/>
        </w:rPr>
        <w:t xml:space="preserve"> </w:t>
      </w:r>
      <w:r w:rsidRPr="00C878A3">
        <w:rPr>
          <w:rStyle w:val="Heading2Char"/>
          <w:rFonts w:ascii="Times New Roman" w:hAnsi="Times New Roman" w:cs="Times New Roman"/>
          <w:bCs/>
          <w:szCs w:val="24"/>
        </w:rPr>
        <w:t>The PUCO erred by violating R.C. 4903.09 by approving a return on equity at the upper quartile of PUCO Staff’s recommended range.</w:t>
      </w:r>
      <w:r w:rsidR="00C878A3">
        <w:rPr>
          <w:rStyle w:val="Heading2Char"/>
          <w:rFonts w:ascii="Times New Roman" w:hAnsi="Times New Roman" w:cs="Times New Roman"/>
          <w:bCs/>
          <w:szCs w:val="24"/>
        </w:rPr>
        <w:t xml:space="preserve"> </w:t>
      </w:r>
      <w:r w:rsidRPr="00C878A3">
        <w:rPr>
          <w:rStyle w:val="Heading2Char"/>
          <w:rFonts w:ascii="Times New Roman" w:hAnsi="Times New Roman" w:cs="Times New Roman"/>
          <w:bCs/>
          <w:szCs w:val="24"/>
        </w:rPr>
        <w:t xml:space="preserve">The PUCO ruling was based on a perception of heightened financial risk and a need to attract </w:t>
      </w:r>
      <w:r w:rsidRPr="00C878A3" w:rsidR="00886965">
        <w:rPr>
          <w:rStyle w:val="Heading2Char"/>
          <w:rFonts w:ascii="Times New Roman" w:hAnsi="Times New Roman" w:cs="Times New Roman"/>
          <w:bCs/>
          <w:szCs w:val="24"/>
        </w:rPr>
        <w:t>investment,</w:t>
      </w:r>
      <w:r w:rsidRPr="00C878A3">
        <w:rPr>
          <w:rStyle w:val="Heading2Char"/>
          <w:rFonts w:ascii="Times New Roman" w:hAnsi="Times New Roman" w:cs="Times New Roman"/>
          <w:bCs/>
          <w:szCs w:val="24"/>
        </w:rPr>
        <w:t xml:space="preserve"> but the perceived financial risk was due to DP&amp;L’s own poor management decisions.</w:t>
      </w:r>
      <w:r w:rsidR="00C878A3">
        <w:rPr>
          <w:rStyle w:val="Heading2Char"/>
          <w:rFonts w:ascii="Times New Roman" w:hAnsi="Times New Roman" w:cs="Times New Roman"/>
          <w:bCs/>
          <w:szCs w:val="24"/>
        </w:rPr>
        <w:t xml:space="preserve"> </w:t>
      </w:r>
      <w:r w:rsidRPr="00C878A3">
        <w:rPr>
          <w:rStyle w:val="Heading2Char"/>
          <w:rFonts w:ascii="Times New Roman" w:hAnsi="Times New Roman" w:cs="Times New Roman"/>
          <w:bCs/>
          <w:szCs w:val="24"/>
        </w:rPr>
        <w:t>The PUCO decision also</w:t>
      </w:r>
      <w:r w:rsidR="00C878A3">
        <w:rPr>
          <w:rStyle w:val="Heading2Char"/>
          <w:rFonts w:ascii="Times New Roman" w:hAnsi="Times New Roman" w:cs="Times New Roman"/>
          <w:bCs/>
          <w:szCs w:val="24"/>
        </w:rPr>
        <w:t xml:space="preserve"> </w:t>
      </w:r>
      <w:r w:rsidRPr="00C878A3">
        <w:rPr>
          <w:rStyle w:val="Heading2Char"/>
          <w:rFonts w:ascii="Times New Roman" w:hAnsi="Times New Roman" w:cs="Times New Roman"/>
          <w:bCs/>
          <w:szCs w:val="24"/>
        </w:rPr>
        <w:t>failed to consider countervailing factors such as</w:t>
      </w:r>
      <w:r w:rsidR="00C878A3">
        <w:rPr>
          <w:rStyle w:val="Heading2Char"/>
          <w:rFonts w:ascii="Times New Roman" w:hAnsi="Times New Roman" w:cs="Times New Roman"/>
          <w:bCs/>
          <w:szCs w:val="24"/>
        </w:rPr>
        <w:t xml:space="preserve"> </w:t>
      </w:r>
      <w:r w:rsidRPr="00C878A3">
        <w:rPr>
          <w:rStyle w:val="Heading2Char"/>
          <w:rFonts w:ascii="Times New Roman" w:hAnsi="Times New Roman" w:cs="Times New Roman"/>
          <w:bCs/>
          <w:szCs w:val="24"/>
        </w:rPr>
        <w:t>for DP&amp;L’s inadequate reliability performance and harsh economic conditions in setting the return on equity.</w:t>
      </w:r>
      <w:bookmarkEnd w:id="34"/>
    </w:p>
    <w:p w:rsidR="0077540C" w:rsidRPr="00886965" w:rsidP="00886965" w14:paraId="72BFE84B" w14:textId="77777777">
      <w:pPr>
        <w:autoSpaceDE w:val="0"/>
        <w:autoSpaceDN w:val="0"/>
        <w:adjustRightInd w:val="0"/>
        <w:rPr>
          <w:b/>
          <w:bCs/>
        </w:rPr>
      </w:pPr>
    </w:p>
    <w:p w:rsidR="00676D4B" w:rsidRPr="00C878A3" w:rsidP="00691D24" w14:paraId="076CE5E5" w14:textId="023DBD2B">
      <w:pPr>
        <w:spacing w:line="480" w:lineRule="auto"/>
        <w:ind w:firstLine="720"/>
        <w:rPr>
          <w:szCs w:val="24"/>
        </w:rPr>
      </w:pPr>
      <w:r w:rsidRPr="00C878A3">
        <w:rPr>
          <w:szCs w:val="24"/>
        </w:rPr>
        <w:t>The parties provide</w:t>
      </w:r>
      <w:r w:rsidRPr="00C878A3" w:rsidR="000F123F">
        <w:rPr>
          <w:szCs w:val="24"/>
        </w:rPr>
        <w:t>d</w:t>
      </w:r>
      <w:r w:rsidRPr="00C878A3">
        <w:rPr>
          <w:szCs w:val="24"/>
        </w:rPr>
        <w:t xml:space="preserve"> varying recommendations for the return on equity.</w:t>
      </w:r>
      <w:r w:rsidRPr="00C878A3" w:rsidR="007D0B73">
        <w:rPr>
          <w:szCs w:val="24"/>
        </w:rPr>
        <w:t xml:space="preserve"> </w:t>
      </w:r>
      <w:r w:rsidRPr="00C878A3">
        <w:rPr>
          <w:szCs w:val="24"/>
        </w:rPr>
        <w:t>The PUCO Staff recommended a return on equity within a range of 9.28 to 10.29 percent.</w:t>
      </w:r>
      <w:r>
        <w:rPr>
          <w:rStyle w:val="FootnoteReference"/>
          <w:szCs w:val="24"/>
        </w:rPr>
        <w:footnoteReference w:id="79"/>
      </w:r>
      <w:r w:rsidRPr="00C878A3" w:rsidR="007D0B73">
        <w:rPr>
          <w:szCs w:val="24"/>
        </w:rPr>
        <w:t xml:space="preserve"> </w:t>
      </w:r>
      <w:r w:rsidRPr="00C878A3">
        <w:rPr>
          <w:szCs w:val="24"/>
        </w:rPr>
        <w:t>DP&amp;L recommended a return on equity of 10.5 percent,</w:t>
      </w:r>
      <w:r>
        <w:rPr>
          <w:rStyle w:val="FootnoteReference"/>
          <w:szCs w:val="24"/>
        </w:rPr>
        <w:footnoteReference w:id="80"/>
      </w:r>
      <w:r w:rsidRPr="00C878A3">
        <w:rPr>
          <w:szCs w:val="24"/>
        </w:rPr>
        <w:t xml:space="preserve"> which was outside the PUCO Staff’s recommended range.</w:t>
      </w:r>
      <w:r w:rsidRPr="00C878A3" w:rsidR="007D0B73">
        <w:rPr>
          <w:szCs w:val="24"/>
        </w:rPr>
        <w:t xml:space="preserve"> </w:t>
      </w:r>
      <w:r w:rsidRPr="00C878A3">
        <w:rPr>
          <w:szCs w:val="24"/>
        </w:rPr>
        <w:t>OCC proposed a return on equity of 9.3 percent,</w:t>
      </w:r>
      <w:r>
        <w:rPr>
          <w:rStyle w:val="FootnoteReference"/>
          <w:szCs w:val="24"/>
        </w:rPr>
        <w:footnoteReference w:id="81"/>
      </w:r>
      <w:r w:rsidRPr="00C878A3">
        <w:rPr>
          <w:szCs w:val="24"/>
        </w:rPr>
        <w:t xml:space="preserve"> which was just within the lower end of PUCO Staff’s recommendation.</w:t>
      </w:r>
      <w:r w:rsidRPr="00C878A3" w:rsidR="007D0B73">
        <w:rPr>
          <w:szCs w:val="24"/>
        </w:rPr>
        <w:t xml:space="preserve"> </w:t>
      </w:r>
      <w:r w:rsidRPr="00C878A3">
        <w:rPr>
          <w:szCs w:val="24"/>
        </w:rPr>
        <w:t>Walmart recommended a rate of return at the lower end of PUCO Staff’s recommendation.</w:t>
      </w:r>
      <w:r>
        <w:rPr>
          <w:rStyle w:val="FootnoteReference"/>
          <w:szCs w:val="24"/>
        </w:rPr>
        <w:footnoteReference w:id="82"/>
      </w:r>
    </w:p>
    <w:p w:rsidR="00691D24" w:rsidRPr="00C878A3" w:rsidP="00691D24" w14:paraId="0639BAA7" w14:textId="2C6A3AA0">
      <w:pPr>
        <w:spacing w:line="480" w:lineRule="auto"/>
        <w:ind w:firstLine="720"/>
        <w:rPr>
          <w:szCs w:val="24"/>
        </w:rPr>
      </w:pPr>
      <w:r w:rsidRPr="00C878A3">
        <w:rPr>
          <w:szCs w:val="24"/>
        </w:rPr>
        <w:t xml:space="preserve">The PUCO decided </w:t>
      </w:r>
      <w:r w:rsidRPr="00C878A3" w:rsidR="00857115">
        <w:rPr>
          <w:szCs w:val="24"/>
        </w:rPr>
        <w:t>on a return on equity of 9.999, based on the following reasoning:</w:t>
      </w:r>
    </w:p>
    <w:p w:rsidR="00857115" w:rsidRPr="00C878A3" w:rsidP="00B11642" w14:paraId="0257CC91" w14:textId="01499F58">
      <w:pPr>
        <w:ind w:left="1440" w:right="1440"/>
        <w:rPr>
          <w:szCs w:val="24"/>
        </w:rPr>
      </w:pPr>
      <w:r w:rsidRPr="00C878A3">
        <w:rPr>
          <w:szCs w:val="24"/>
        </w:rPr>
        <w:t>[</w:t>
      </w:r>
      <w:r w:rsidRPr="00C878A3" w:rsidR="007D0B73">
        <w:rPr>
          <w:szCs w:val="24"/>
        </w:rPr>
        <w:t>The</w:t>
      </w:r>
      <w:r w:rsidRPr="00C878A3">
        <w:rPr>
          <w:szCs w:val="24"/>
        </w:rPr>
        <w:t xml:space="preserve"> Commission finds persuasive Staff’s proposed overall ROR and ROE ranges of 7.05 to 7.59 percent and 9.28 to 10.29 percent, respectively. Absent special circumstances calling for downward or upward adjustments, the Commission further finds it reasonable to begin at the range midpoints: a 7.32 percent ROR and 9.78 percent ROE. </w:t>
      </w:r>
      <w:r w:rsidRPr="00C878A3">
        <w:rPr>
          <w:i/>
          <w:iCs/>
          <w:szCs w:val="24"/>
        </w:rPr>
        <w:t>In this case, however, special circumstances do exist, and they point to upward adjustments. The Commission specifically highlights two of those circumstances: (1) the heightened financial risk that the Company currently faces, and will likely continue to face, which increases the cost of equity and (2) the Company’s concurrent need to be able to continue to attract and invest the capital needed to make customer beneficial network renovations and improvements to support maintaining and improving reliability and service quality for customers</w:t>
      </w:r>
      <w:r w:rsidRPr="00C878A3">
        <w:rPr>
          <w:szCs w:val="24"/>
        </w:rPr>
        <w:t>.</w:t>
      </w:r>
      <w:r>
        <w:rPr>
          <w:rStyle w:val="FootnoteReference"/>
          <w:szCs w:val="24"/>
        </w:rPr>
        <w:footnoteReference w:id="83"/>
      </w:r>
    </w:p>
    <w:p w:rsidR="00857115" w:rsidRPr="00C878A3" w:rsidP="00CB252B" w14:paraId="460E55D9" w14:textId="0B6D2F5B">
      <w:pPr>
        <w:rPr>
          <w:szCs w:val="24"/>
        </w:rPr>
      </w:pPr>
    </w:p>
    <w:p w:rsidR="00890DEE" w:rsidRPr="00C878A3" w:rsidP="00857115" w14:paraId="76BE6735" w14:textId="22FE8671">
      <w:pPr>
        <w:spacing w:line="480" w:lineRule="auto"/>
        <w:rPr>
          <w:szCs w:val="24"/>
        </w:rPr>
      </w:pPr>
      <w:r w:rsidRPr="00C878A3">
        <w:rPr>
          <w:szCs w:val="24"/>
        </w:rPr>
        <w:tab/>
        <w:t>The PUCO accepted evidence showing a need for an upward adjustment to the return on equity but ignored evidence showing a need for a downward adjustment to the return on equity.</w:t>
      </w:r>
      <w:r w:rsidRPr="00C878A3" w:rsidR="007D0B73">
        <w:rPr>
          <w:szCs w:val="24"/>
        </w:rPr>
        <w:t xml:space="preserve"> </w:t>
      </w:r>
      <w:r w:rsidRPr="00C878A3" w:rsidR="000E10F0">
        <w:rPr>
          <w:szCs w:val="24"/>
        </w:rPr>
        <w:t>T</w:t>
      </w:r>
      <w:r w:rsidRPr="00C878A3">
        <w:rPr>
          <w:szCs w:val="24"/>
        </w:rPr>
        <w:t>he record contained evidence of</w:t>
      </w:r>
      <w:r w:rsidRPr="00C878A3" w:rsidR="00F01771">
        <w:rPr>
          <w:szCs w:val="24"/>
        </w:rPr>
        <w:t xml:space="preserve"> t</w:t>
      </w:r>
      <w:r w:rsidRPr="00C878A3" w:rsidR="000E10F0">
        <w:rPr>
          <w:szCs w:val="24"/>
        </w:rPr>
        <w:t>hree</w:t>
      </w:r>
      <w:r w:rsidRPr="00C878A3">
        <w:rPr>
          <w:szCs w:val="24"/>
        </w:rPr>
        <w:t xml:space="preserve"> </w:t>
      </w:r>
      <w:r w:rsidRPr="00C878A3" w:rsidR="00F01771">
        <w:rPr>
          <w:szCs w:val="24"/>
        </w:rPr>
        <w:t>“</w:t>
      </w:r>
      <w:r w:rsidRPr="00C878A3">
        <w:rPr>
          <w:szCs w:val="24"/>
        </w:rPr>
        <w:t>special circumstances</w:t>
      </w:r>
      <w:r w:rsidRPr="00C878A3" w:rsidR="00F01771">
        <w:rPr>
          <w:szCs w:val="24"/>
        </w:rPr>
        <w:t>” calling for</w:t>
      </w:r>
      <w:r w:rsidRPr="00C878A3">
        <w:rPr>
          <w:szCs w:val="24"/>
        </w:rPr>
        <w:t xml:space="preserve"> a downward adjustment in the return on equity.</w:t>
      </w:r>
      <w:r w:rsidRPr="00C878A3" w:rsidR="007D0B73">
        <w:rPr>
          <w:szCs w:val="24"/>
        </w:rPr>
        <w:t xml:space="preserve"> </w:t>
      </w:r>
      <w:r w:rsidRPr="00C878A3">
        <w:rPr>
          <w:szCs w:val="24"/>
        </w:rPr>
        <w:t xml:space="preserve">These factors consist of: (1) </w:t>
      </w:r>
      <w:r w:rsidRPr="00C878A3" w:rsidR="00F01771">
        <w:rPr>
          <w:szCs w:val="24"/>
        </w:rPr>
        <w:t>DP&amp;L’s heightened financial risk was due to its own poor management decisions in taking on excessive debt when AES acquired DP&amp;L; (2) DP&amp;L failed to spend the revenues allocated in current rates for vegetation management and diverted these funds elsewhere, resulting in inadequate service</w:t>
      </w:r>
      <w:r w:rsidRPr="00C878A3" w:rsidR="000E10F0">
        <w:rPr>
          <w:szCs w:val="24"/>
        </w:rPr>
        <w:t>; and (3) harsh economic conditions for consumers arising out of the COVID-19 pandemic.</w:t>
      </w:r>
    </w:p>
    <w:p w:rsidR="00F01771" w:rsidRPr="00C878A3" w:rsidP="00857115" w14:paraId="40F8311F" w14:textId="4484E824">
      <w:pPr>
        <w:spacing w:line="480" w:lineRule="auto"/>
        <w:rPr>
          <w:szCs w:val="24"/>
        </w:rPr>
      </w:pPr>
      <w:r w:rsidRPr="00C878A3">
        <w:rPr>
          <w:szCs w:val="24"/>
        </w:rPr>
        <w:tab/>
        <w:t xml:space="preserve">The PUCO </w:t>
      </w:r>
      <w:r w:rsidRPr="00C878A3" w:rsidR="00673F29">
        <w:rPr>
          <w:szCs w:val="24"/>
        </w:rPr>
        <w:t>minimally addressed</w:t>
      </w:r>
      <w:r w:rsidRPr="00C878A3">
        <w:rPr>
          <w:szCs w:val="24"/>
        </w:rPr>
        <w:t xml:space="preserve"> the first factor </w:t>
      </w:r>
      <w:r w:rsidRPr="00C878A3" w:rsidR="00A07A8E">
        <w:rPr>
          <w:szCs w:val="24"/>
        </w:rPr>
        <w:t>but, in its analysis,</w:t>
      </w:r>
      <w:r w:rsidRPr="00C878A3">
        <w:rPr>
          <w:szCs w:val="24"/>
        </w:rPr>
        <w:t xml:space="preserve"> </w:t>
      </w:r>
      <w:r w:rsidRPr="00C878A3" w:rsidR="000E10F0">
        <w:rPr>
          <w:szCs w:val="24"/>
        </w:rPr>
        <w:t xml:space="preserve">actually </w:t>
      </w:r>
      <w:r w:rsidRPr="00C878A3">
        <w:rPr>
          <w:szCs w:val="24"/>
        </w:rPr>
        <w:t xml:space="preserve">ignored </w:t>
      </w:r>
      <w:r w:rsidRPr="00C878A3" w:rsidR="00673F29">
        <w:rPr>
          <w:szCs w:val="24"/>
        </w:rPr>
        <w:t>certain</w:t>
      </w:r>
      <w:r w:rsidRPr="00C878A3">
        <w:rPr>
          <w:szCs w:val="24"/>
        </w:rPr>
        <w:t xml:space="preserve"> evidence</w:t>
      </w:r>
      <w:r w:rsidRPr="00C878A3" w:rsidR="00673F29">
        <w:rPr>
          <w:szCs w:val="24"/>
        </w:rPr>
        <w:t xml:space="preserve"> favoring consumers</w:t>
      </w:r>
      <w:r w:rsidRPr="00C878A3">
        <w:rPr>
          <w:szCs w:val="24"/>
        </w:rPr>
        <w:t xml:space="preserve"> because it did not </w:t>
      </w:r>
      <w:r w:rsidRPr="00C878A3" w:rsidR="00F70FDD">
        <w:rPr>
          <w:szCs w:val="24"/>
        </w:rPr>
        <w:t>actually make</w:t>
      </w:r>
      <w:r w:rsidRPr="00C878A3">
        <w:rPr>
          <w:szCs w:val="24"/>
        </w:rPr>
        <w:t xml:space="preserve"> any downward adjustment to DP&amp;L’s return on equity based on DP&amp;L’s poor management decisions.</w:t>
      </w:r>
      <w:r w:rsidRPr="00C878A3" w:rsidR="007D0B73">
        <w:rPr>
          <w:szCs w:val="24"/>
        </w:rPr>
        <w:t xml:space="preserve"> </w:t>
      </w:r>
      <w:r w:rsidRPr="00C878A3">
        <w:rPr>
          <w:szCs w:val="24"/>
        </w:rPr>
        <w:t xml:space="preserve">The PUCO </w:t>
      </w:r>
      <w:r w:rsidRPr="00C878A3" w:rsidR="00F70FDD">
        <w:rPr>
          <w:szCs w:val="24"/>
        </w:rPr>
        <w:t>explained</w:t>
      </w:r>
      <w:r w:rsidRPr="00C878A3">
        <w:rPr>
          <w:szCs w:val="24"/>
        </w:rPr>
        <w:t>:</w:t>
      </w:r>
    </w:p>
    <w:p w:rsidR="00F01771" w:rsidRPr="00C878A3" w:rsidP="00F01771" w14:paraId="461F310B" w14:textId="2B89EC2F">
      <w:pPr>
        <w:ind w:left="1440" w:right="1440"/>
        <w:rPr>
          <w:szCs w:val="24"/>
        </w:rPr>
      </w:pPr>
      <w:r w:rsidRPr="00C878A3">
        <w:rPr>
          <w:szCs w:val="24"/>
        </w:rPr>
        <w:t>…</w:t>
      </w:r>
      <w:r w:rsidRPr="00C878A3">
        <w:rPr>
          <w:szCs w:val="24"/>
        </w:rPr>
        <w:t>we acknowledge that while rate payers cannot be held responsible for the business decisions made by a company in acquiring a utility the Commission must do what we can to safeguard the financial integrity of the regulated utility providing essential electric service to Ohioans.</w:t>
      </w:r>
      <w:r>
        <w:rPr>
          <w:rStyle w:val="FootnoteReference"/>
          <w:szCs w:val="24"/>
        </w:rPr>
        <w:footnoteReference w:id="84"/>
      </w:r>
    </w:p>
    <w:p w:rsidR="00251FF0" w:rsidRPr="00C878A3" w:rsidP="002D7D49" w14:paraId="1E50432E" w14:textId="0FF46992">
      <w:pPr>
        <w:spacing w:line="480" w:lineRule="auto"/>
        <w:rPr>
          <w:szCs w:val="24"/>
        </w:rPr>
      </w:pPr>
      <w:r w:rsidRPr="00C878A3">
        <w:rPr>
          <w:szCs w:val="24"/>
        </w:rPr>
        <w:tab/>
      </w:r>
      <w:r w:rsidRPr="00C878A3">
        <w:rPr>
          <w:szCs w:val="24"/>
        </w:rPr>
        <w:t xml:space="preserve">At hearing, </w:t>
      </w:r>
      <w:r w:rsidRPr="00C878A3" w:rsidR="002D7D49">
        <w:rPr>
          <w:szCs w:val="24"/>
        </w:rPr>
        <w:t xml:space="preserve">PUCO Staff witness </w:t>
      </w:r>
      <w:r w:rsidRPr="00C878A3">
        <w:rPr>
          <w:szCs w:val="24"/>
        </w:rPr>
        <w:t xml:space="preserve">Mr. Buckley acknowledged that DP&amp;L’s management was responsible for its current predicament and that the PUCO should not </w:t>
      </w:r>
      <w:r w:rsidRPr="00C878A3" w:rsidR="0087373E">
        <w:rPr>
          <w:szCs w:val="24"/>
        </w:rPr>
        <w:t>re</w:t>
      </w:r>
      <w:r w:rsidRPr="00C878A3">
        <w:rPr>
          <w:szCs w:val="24"/>
        </w:rPr>
        <w:t xml:space="preserve">ward DP&amp;L for its own </w:t>
      </w:r>
      <w:r w:rsidRPr="00C878A3" w:rsidR="000E10F0">
        <w:rPr>
          <w:szCs w:val="24"/>
        </w:rPr>
        <w:t xml:space="preserve">poor </w:t>
      </w:r>
      <w:r w:rsidRPr="00C878A3">
        <w:rPr>
          <w:szCs w:val="24"/>
        </w:rPr>
        <w:t>management by awarding it the high end of Staff’s recommend return.</w:t>
      </w:r>
      <w:r>
        <w:rPr>
          <w:rStyle w:val="FootnoteReference"/>
          <w:szCs w:val="24"/>
        </w:rPr>
        <w:footnoteReference w:id="85"/>
      </w:r>
      <w:r w:rsidRPr="00C878A3" w:rsidR="007D0B73">
        <w:rPr>
          <w:szCs w:val="24"/>
        </w:rPr>
        <w:t xml:space="preserve"> </w:t>
      </w:r>
      <w:r w:rsidRPr="00C878A3">
        <w:rPr>
          <w:szCs w:val="24"/>
        </w:rPr>
        <w:t xml:space="preserve">Mr. Buckley </w:t>
      </w:r>
      <w:r w:rsidRPr="00C878A3" w:rsidR="002D7D49">
        <w:rPr>
          <w:szCs w:val="24"/>
        </w:rPr>
        <w:t xml:space="preserve">also </w:t>
      </w:r>
      <w:r w:rsidRPr="00C878A3">
        <w:rPr>
          <w:szCs w:val="24"/>
        </w:rPr>
        <w:t xml:space="preserve">cited the fact that DP&amp;L created </w:t>
      </w:r>
      <w:r w:rsidRPr="00C878A3" w:rsidR="002D7D49">
        <w:rPr>
          <w:szCs w:val="24"/>
        </w:rPr>
        <w:t xml:space="preserve">additional financial </w:t>
      </w:r>
      <w:r w:rsidRPr="00C878A3">
        <w:rPr>
          <w:szCs w:val="24"/>
        </w:rPr>
        <w:t>risk by holding onto its generating plants after other Ohio electric distribution utilities sold theirs.</w:t>
      </w:r>
      <w:r>
        <w:rPr>
          <w:rStyle w:val="FootnoteReference"/>
          <w:szCs w:val="24"/>
        </w:rPr>
        <w:footnoteReference w:id="86"/>
      </w:r>
      <w:r w:rsidR="00C878A3">
        <w:rPr>
          <w:szCs w:val="24"/>
        </w:rPr>
        <w:t xml:space="preserve"> </w:t>
      </w:r>
      <w:r w:rsidRPr="00C878A3" w:rsidR="002D7D49">
        <w:rPr>
          <w:szCs w:val="24"/>
        </w:rPr>
        <w:t>Mr. Buckley</w:t>
      </w:r>
      <w:r w:rsidRPr="00C878A3">
        <w:rPr>
          <w:szCs w:val="24"/>
        </w:rPr>
        <w:t xml:space="preserve"> also testified that the PUCO should not reward DP&amp;L with a high recommended return where the Company has failed to deliver adequate service quality.</w:t>
      </w:r>
      <w:r>
        <w:rPr>
          <w:rStyle w:val="FootnoteReference"/>
          <w:szCs w:val="24"/>
        </w:rPr>
        <w:footnoteReference w:id="87"/>
      </w:r>
      <w:r w:rsidRPr="00C878A3">
        <w:rPr>
          <w:szCs w:val="24"/>
        </w:rPr>
        <w:t xml:space="preserve"> </w:t>
      </w:r>
    </w:p>
    <w:p w:rsidR="002D7D49" w:rsidRPr="00C878A3" w:rsidP="002D7D49" w14:paraId="76B8F1E4" w14:textId="537C641B">
      <w:pPr>
        <w:spacing w:line="480" w:lineRule="auto"/>
        <w:ind w:firstLine="720"/>
        <w:rPr>
          <w:szCs w:val="24"/>
        </w:rPr>
      </w:pPr>
      <w:r w:rsidRPr="00C878A3">
        <w:rPr>
          <w:szCs w:val="24"/>
        </w:rPr>
        <w:t>The PUCO acknowledged the evidence that DP&amp;L’s bad business decision in taking on excessive debt was the cause of DP&amp;L’s heightened financial risk.</w:t>
      </w:r>
      <w:r w:rsidRPr="00C878A3" w:rsidR="007D0B73">
        <w:rPr>
          <w:szCs w:val="24"/>
        </w:rPr>
        <w:t xml:space="preserve"> </w:t>
      </w:r>
      <w:r w:rsidRPr="00C878A3">
        <w:rPr>
          <w:szCs w:val="24"/>
        </w:rPr>
        <w:t>The PUCO further acknowledged that “rate payers cannot be held responsible for the business decisions made by a company in acquiring a utility.”</w:t>
      </w:r>
      <w:r>
        <w:rPr>
          <w:rStyle w:val="FootnoteReference"/>
          <w:szCs w:val="24"/>
        </w:rPr>
        <w:footnoteReference w:id="88"/>
      </w:r>
      <w:r w:rsidRPr="00C878A3" w:rsidR="007D0B73">
        <w:rPr>
          <w:szCs w:val="24"/>
        </w:rPr>
        <w:t xml:space="preserve"> </w:t>
      </w:r>
      <w:r w:rsidRPr="00C878A3">
        <w:rPr>
          <w:szCs w:val="24"/>
        </w:rPr>
        <w:t>Yet by failing to adjust Staff’s recommended return on equity downward to account for this factor</w:t>
      </w:r>
      <w:r w:rsidRPr="00C878A3" w:rsidR="0087373E">
        <w:rPr>
          <w:szCs w:val="24"/>
        </w:rPr>
        <w:t xml:space="preserve"> (or to weigh it against any special circumstances which merited an upward adjustment</w:t>
      </w:r>
      <w:r w:rsidRPr="00C878A3" w:rsidR="00E1212C">
        <w:rPr>
          <w:szCs w:val="24"/>
        </w:rPr>
        <w:t>)</w:t>
      </w:r>
      <w:r w:rsidRPr="00C878A3">
        <w:rPr>
          <w:szCs w:val="24"/>
        </w:rPr>
        <w:t xml:space="preserve">, </w:t>
      </w:r>
      <w:r w:rsidRPr="00C878A3">
        <w:rPr>
          <w:i/>
          <w:iCs/>
          <w:szCs w:val="24"/>
        </w:rPr>
        <w:t>the PUCO did exactly what it said it could not do – hold consumers responsible for DP&amp;L’s bad business decision in taking on excessive debt when it was acquired by AES.</w:t>
      </w:r>
      <w:r w:rsidRPr="00C878A3" w:rsidR="007D0B73">
        <w:rPr>
          <w:szCs w:val="24"/>
        </w:rPr>
        <w:t xml:space="preserve"> </w:t>
      </w:r>
      <w:r w:rsidRPr="00C878A3">
        <w:rPr>
          <w:szCs w:val="24"/>
        </w:rPr>
        <w:t>The PUCO simply ignored this evidence, as well as the evidence of DP&amp;L’s inadequate service quality</w:t>
      </w:r>
      <w:r w:rsidRPr="00C878A3" w:rsidR="00E1212C">
        <w:rPr>
          <w:szCs w:val="24"/>
        </w:rPr>
        <w:t xml:space="preserve"> and the harsh economic conditions faced by consumers</w:t>
      </w:r>
      <w:r w:rsidRPr="00C878A3">
        <w:rPr>
          <w:szCs w:val="24"/>
        </w:rPr>
        <w:t>.</w:t>
      </w:r>
    </w:p>
    <w:p w:rsidR="001A773F" w:rsidRPr="00C878A3" w:rsidP="002D7D49" w14:paraId="28218D57" w14:textId="77777777">
      <w:pPr>
        <w:spacing w:line="480" w:lineRule="auto"/>
        <w:ind w:firstLine="720"/>
        <w:rPr>
          <w:szCs w:val="24"/>
        </w:rPr>
      </w:pPr>
      <w:r w:rsidRPr="00C878A3">
        <w:rPr>
          <w:szCs w:val="24"/>
        </w:rPr>
        <w:t xml:space="preserve">When deciding a utility’s return on equity, the </w:t>
      </w:r>
      <w:r w:rsidRPr="00C878A3" w:rsidR="006E4DBB">
        <w:rPr>
          <w:szCs w:val="24"/>
        </w:rPr>
        <w:t xml:space="preserve">PUCO must account not only </w:t>
      </w:r>
      <w:r w:rsidRPr="00C878A3" w:rsidR="00C44EA5">
        <w:rPr>
          <w:szCs w:val="24"/>
        </w:rPr>
        <w:t xml:space="preserve">for </w:t>
      </w:r>
      <w:r w:rsidRPr="00C878A3" w:rsidR="006E4DBB">
        <w:rPr>
          <w:szCs w:val="24"/>
        </w:rPr>
        <w:t xml:space="preserve">the </w:t>
      </w:r>
      <w:r w:rsidRPr="00C878A3" w:rsidR="000E10F0">
        <w:rPr>
          <w:szCs w:val="24"/>
        </w:rPr>
        <w:t>special circumstances</w:t>
      </w:r>
      <w:r w:rsidRPr="00C878A3" w:rsidR="006E4DBB">
        <w:rPr>
          <w:szCs w:val="24"/>
        </w:rPr>
        <w:t xml:space="preserve"> calling for upward adjustments but also the </w:t>
      </w:r>
      <w:r w:rsidRPr="00C878A3" w:rsidR="000E10F0">
        <w:rPr>
          <w:szCs w:val="24"/>
        </w:rPr>
        <w:t>special circumstances</w:t>
      </w:r>
      <w:r w:rsidRPr="00C878A3" w:rsidR="006E4DBB">
        <w:rPr>
          <w:szCs w:val="24"/>
        </w:rPr>
        <w:t xml:space="preserve"> calling for downward adjustments.</w:t>
      </w:r>
      <w:r w:rsidRPr="00C878A3" w:rsidR="007D0B73">
        <w:rPr>
          <w:szCs w:val="24"/>
        </w:rPr>
        <w:t xml:space="preserve"> </w:t>
      </w:r>
      <w:r w:rsidRPr="00C878A3" w:rsidR="006E4DBB">
        <w:rPr>
          <w:szCs w:val="24"/>
        </w:rPr>
        <w:t>The PUCO’s decision must reflect</w:t>
      </w:r>
      <w:r w:rsidRPr="00C878A3" w:rsidR="00C44EA5">
        <w:rPr>
          <w:szCs w:val="24"/>
        </w:rPr>
        <w:t xml:space="preserve"> a </w:t>
      </w:r>
      <w:r w:rsidRPr="00C878A3" w:rsidR="000E10F0">
        <w:rPr>
          <w:szCs w:val="24"/>
        </w:rPr>
        <w:t xml:space="preserve">fair </w:t>
      </w:r>
      <w:r w:rsidRPr="00C878A3" w:rsidR="00C44EA5">
        <w:rPr>
          <w:szCs w:val="24"/>
        </w:rPr>
        <w:t>balancing of both types of adjustments</w:t>
      </w:r>
      <w:r w:rsidRPr="00C878A3" w:rsidR="006E4DBB">
        <w:rPr>
          <w:szCs w:val="24"/>
        </w:rPr>
        <w:t>.</w:t>
      </w:r>
      <w:r w:rsidRPr="00C878A3" w:rsidR="007D0B73">
        <w:rPr>
          <w:szCs w:val="24"/>
        </w:rPr>
        <w:t xml:space="preserve"> </w:t>
      </w:r>
    </w:p>
    <w:p w:rsidR="00C44EA5" w:rsidRPr="00C878A3" w:rsidP="002D7D49" w14:paraId="5F536F32" w14:textId="38E8D8F3">
      <w:pPr>
        <w:spacing w:line="480" w:lineRule="auto"/>
        <w:ind w:firstLine="720"/>
        <w:rPr>
          <w:szCs w:val="24"/>
        </w:rPr>
      </w:pPr>
      <w:r w:rsidRPr="00C878A3">
        <w:rPr>
          <w:szCs w:val="24"/>
        </w:rPr>
        <w:t xml:space="preserve">The leading case is </w:t>
      </w:r>
      <w:r w:rsidRPr="00C878A3">
        <w:rPr>
          <w:i/>
          <w:iCs/>
          <w:szCs w:val="24"/>
        </w:rPr>
        <w:t>Consumers’ Counsel v. Pub. Util. Comm.</w:t>
      </w:r>
      <w:r>
        <w:rPr>
          <w:rStyle w:val="FootnoteReference"/>
          <w:i/>
          <w:iCs/>
          <w:szCs w:val="24"/>
        </w:rPr>
        <w:footnoteReference w:id="89"/>
      </w:r>
      <w:r w:rsidRPr="00C878A3" w:rsidR="007D0B73">
        <w:rPr>
          <w:i/>
          <w:iCs/>
          <w:szCs w:val="24"/>
        </w:rPr>
        <w:t xml:space="preserve"> </w:t>
      </w:r>
      <w:r w:rsidRPr="00C878A3" w:rsidR="00EB5BB6">
        <w:rPr>
          <w:szCs w:val="24"/>
        </w:rPr>
        <w:t>This was a Cleveland Electric Illuminating Company rate case filed after the cancellation, and disallowance, of four nuclear units at the Davis Besse</w:t>
      </w:r>
      <w:r w:rsidRPr="00C878A3" w:rsidR="000E10F0">
        <w:rPr>
          <w:szCs w:val="24"/>
        </w:rPr>
        <w:t xml:space="preserve"> nuclear</w:t>
      </w:r>
      <w:r w:rsidRPr="00C878A3" w:rsidR="00EB5BB6">
        <w:rPr>
          <w:szCs w:val="24"/>
        </w:rPr>
        <w:t xml:space="preserve"> plant.</w:t>
      </w:r>
      <w:r w:rsidRPr="00C878A3" w:rsidR="007D0B73">
        <w:rPr>
          <w:szCs w:val="24"/>
        </w:rPr>
        <w:t xml:space="preserve"> </w:t>
      </w:r>
      <w:r w:rsidRPr="00C878A3" w:rsidR="00EB5BB6">
        <w:rPr>
          <w:szCs w:val="24"/>
        </w:rPr>
        <w:t>One issue involved the proper return on equity.</w:t>
      </w:r>
      <w:r w:rsidRPr="00C878A3" w:rsidR="007D0B73">
        <w:rPr>
          <w:szCs w:val="24"/>
        </w:rPr>
        <w:t xml:space="preserve"> </w:t>
      </w:r>
      <w:r w:rsidRPr="00C878A3">
        <w:rPr>
          <w:szCs w:val="24"/>
        </w:rPr>
        <w:t>The PUCO Staff’s recommended range for the rate of return was 17.02 to 18.13 percent.</w:t>
      </w:r>
      <w:r>
        <w:rPr>
          <w:rStyle w:val="FootnoteReference"/>
          <w:szCs w:val="24"/>
        </w:rPr>
        <w:footnoteReference w:id="90"/>
      </w:r>
      <w:r w:rsidRPr="00C878A3" w:rsidR="007D0B73">
        <w:rPr>
          <w:szCs w:val="24"/>
        </w:rPr>
        <w:t xml:space="preserve"> </w:t>
      </w:r>
      <w:r w:rsidRPr="00C878A3" w:rsidR="00EB5BB6">
        <w:rPr>
          <w:szCs w:val="24"/>
        </w:rPr>
        <w:t>The PUCO considered two factors which called for adjustments to the return on equity – one upward adjustment and one downward adjustment.</w:t>
      </w:r>
      <w:r>
        <w:rPr>
          <w:rStyle w:val="FootnoteReference"/>
          <w:szCs w:val="24"/>
        </w:rPr>
        <w:footnoteReference w:id="91"/>
      </w:r>
      <w:r w:rsidRPr="00C878A3" w:rsidR="007D0B73">
        <w:rPr>
          <w:szCs w:val="24"/>
        </w:rPr>
        <w:t xml:space="preserve"> </w:t>
      </w:r>
      <w:r w:rsidRPr="00C878A3" w:rsidR="00EB5BB6">
        <w:rPr>
          <w:szCs w:val="24"/>
        </w:rPr>
        <w:t xml:space="preserve">The PUCO took into account both factors and </w:t>
      </w:r>
      <w:r w:rsidRPr="00C878A3">
        <w:rPr>
          <w:szCs w:val="24"/>
        </w:rPr>
        <w:t>arrived at a return on equity of 17.30</w:t>
      </w:r>
      <w:r w:rsidR="009D1001">
        <w:rPr>
          <w:szCs w:val="24"/>
        </w:rPr>
        <w:t xml:space="preserve"> percent</w:t>
      </w:r>
      <w:r w:rsidRPr="00C878A3">
        <w:rPr>
          <w:szCs w:val="24"/>
        </w:rPr>
        <w:t>, which was below the mid-point of the PUCO Staff’s recommended range.</w:t>
      </w:r>
      <w:r>
        <w:rPr>
          <w:rStyle w:val="FootnoteReference"/>
          <w:szCs w:val="24"/>
        </w:rPr>
        <w:footnoteReference w:id="92"/>
      </w:r>
      <w:r w:rsidRPr="00C878A3" w:rsidR="007D0B73">
        <w:rPr>
          <w:szCs w:val="24"/>
        </w:rPr>
        <w:t xml:space="preserve"> </w:t>
      </w:r>
      <w:r w:rsidRPr="00C878A3">
        <w:rPr>
          <w:szCs w:val="24"/>
        </w:rPr>
        <w:t>The Supreme Court of Ohio approved the PUCO’s methodology for deciding the return on equity.</w:t>
      </w:r>
    </w:p>
    <w:p w:rsidR="006633E3" w:rsidRPr="00C878A3" w:rsidP="002D7D49" w14:paraId="6A2C0768" w14:textId="670B5A85">
      <w:pPr>
        <w:spacing w:line="480" w:lineRule="auto"/>
        <w:ind w:firstLine="720"/>
        <w:rPr>
          <w:szCs w:val="24"/>
        </w:rPr>
      </w:pPr>
      <w:r w:rsidRPr="00C878A3">
        <w:rPr>
          <w:szCs w:val="24"/>
        </w:rPr>
        <w:t xml:space="preserve">In </w:t>
      </w:r>
      <w:r w:rsidRPr="00C878A3">
        <w:rPr>
          <w:i/>
          <w:iCs/>
          <w:szCs w:val="24"/>
        </w:rPr>
        <w:t>Consumers’ Counsel v. Pub. Util. Comm,</w:t>
      </w:r>
      <w:r>
        <w:rPr>
          <w:rStyle w:val="FootnoteReference"/>
          <w:i/>
          <w:iCs/>
          <w:szCs w:val="24"/>
        </w:rPr>
        <w:footnoteReference w:id="93"/>
      </w:r>
      <w:r w:rsidRPr="00C878A3" w:rsidR="007D0B73">
        <w:rPr>
          <w:i/>
          <w:iCs/>
          <w:szCs w:val="24"/>
        </w:rPr>
        <w:t xml:space="preserve"> </w:t>
      </w:r>
      <w:r w:rsidRPr="00C878A3">
        <w:rPr>
          <w:szCs w:val="24"/>
        </w:rPr>
        <w:t xml:space="preserve">OCC had argued that </w:t>
      </w:r>
      <w:r w:rsidRPr="00C878A3" w:rsidR="002645BB">
        <w:rPr>
          <w:szCs w:val="24"/>
        </w:rPr>
        <w:t>the PUCO should not have taken into account the utility’s heightened financial risk because this effectively allowed the utility to collect costs for the four terminated nuclear units.</w:t>
      </w:r>
      <w:r w:rsidRPr="00C878A3" w:rsidR="007D0B73">
        <w:rPr>
          <w:szCs w:val="24"/>
        </w:rPr>
        <w:t xml:space="preserve"> </w:t>
      </w:r>
      <w:r w:rsidRPr="00C878A3" w:rsidR="002645BB">
        <w:rPr>
          <w:szCs w:val="24"/>
        </w:rPr>
        <w:t xml:space="preserve">The </w:t>
      </w:r>
      <w:r w:rsidRPr="00C878A3">
        <w:rPr>
          <w:szCs w:val="24"/>
        </w:rPr>
        <w:t xml:space="preserve">Ohio Supreme Court </w:t>
      </w:r>
      <w:r w:rsidRPr="00C878A3" w:rsidR="002645BB">
        <w:rPr>
          <w:szCs w:val="24"/>
        </w:rPr>
        <w:t>rejected OCC’s argument but approved the PUCO’s methodology of deciding the return on equity by beginning with the mid-point of the PUCO Staff’s recommended range, then factoring in special circumstances calling for upward adjustments as well as downward adjustments.</w:t>
      </w:r>
      <w:r>
        <w:rPr>
          <w:rStyle w:val="FootnoteReference"/>
          <w:szCs w:val="24"/>
        </w:rPr>
        <w:footnoteReference w:id="94"/>
      </w:r>
      <w:r w:rsidR="00C878A3">
        <w:rPr>
          <w:szCs w:val="24"/>
        </w:rPr>
        <w:t xml:space="preserve"> </w:t>
      </w:r>
      <w:r w:rsidRPr="00C878A3" w:rsidR="001A773F">
        <w:rPr>
          <w:szCs w:val="24"/>
        </w:rPr>
        <w:t xml:space="preserve">Here the PUCO only considered upward adjustments to the rate of return and no downward adjustments. </w:t>
      </w:r>
    </w:p>
    <w:p w:rsidR="00784076" w:rsidRPr="00C878A3" w:rsidP="002D7D49" w14:paraId="2112191E" w14:textId="103A2432">
      <w:pPr>
        <w:spacing w:line="480" w:lineRule="auto"/>
        <w:ind w:firstLine="720"/>
        <w:rPr>
          <w:szCs w:val="24"/>
        </w:rPr>
      </w:pPr>
      <w:r w:rsidRPr="00C878A3">
        <w:rPr>
          <w:szCs w:val="24"/>
        </w:rPr>
        <w:t xml:space="preserve">The PUCO </w:t>
      </w:r>
      <w:r w:rsidR="009D1001">
        <w:rPr>
          <w:szCs w:val="24"/>
        </w:rPr>
        <w:t xml:space="preserve">also </w:t>
      </w:r>
      <w:r w:rsidRPr="00C878A3">
        <w:rPr>
          <w:szCs w:val="24"/>
        </w:rPr>
        <w:t>erred by failing to make a downward adjustment in the return on equity for DP&amp;L’s inadequate service.</w:t>
      </w:r>
      <w:r w:rsidRPr="00C878A3" w:rsidR="007D0B73">
        <w:rPr>
          <w:szCs w:val="24"/>
        </w:rPr>
        <w:t xml:space="preserve"> </w:t>
      </w:r>
      <w:r w:rsidRPr="00C878A3">
        <w:rPr>
          <w:szCs w:val="24"/>
        </w:rPr>
        <w:t>Under R.C. 4909.154, the PUCO "shall consider the management policies, practices and organization of the public utility" in fixing "just, reasonable, and compensatory rates...."</w:t>
      </w:r>
      <w:r>
        <w:rPr>
          <w:rStyle w:val="FootnoteReference"/>
          <w:szCs w:val="24"/>
        </w:rPr>
        <w:footnoteReference w:id="95"/>
      </w:r>
      <w:r w:rsidRPr="00C878A3" w:rsidR="007D0B73">
        <w:rPr>
          <w:szCs w:val="24"/>
        </w:rPr>
        <w:t xml:space="preserve"> </w:t>
      </w:r>
    </w:p>
    <w:p w:rsidR="00B27935" w:rsidRPr="00C878A3" w:rsidP="002D7D49" w14:paraId="749001DA" w14:textId="127A66FF">
      <w:pPr>
        <w:spacing w:line="480" w:lineRule="auto"/>
        <w:ind w:firstLine="720"/>
        <w:rPr>
          <w:szCs w:val="24"/>
        </w:rPr>
      </w:pPr>
      <w:r w:rsidRPr="00C878A3">
        <w:rPr>
          <w:szCs w:val="24"/>
        </w:rPr>
        <w:t xml:space="preserve">The seminal case on return on equity is </w:t>
      </w:r>
      <w:r w:rsidRPr="00C878A3">
        <w:rPr>
          <w:i/>
          <w:iCs/>
          <w:szCs w:val="24"/>
        </w:rPr>
        <w:t>Bluefield Water Works v. Pub. Serv. Comm.</w:t>
      </w:r>
      <w:r>
        <w:rPr>
          <w:rStyle w:val="FootnoteReference"/>
          <w:i/>
          <w:iCs/>
          <w:szCs w:val="24"/>
        </w:rPr>
        <w:footnoteReference w:id="96"/>
      </w:r>
      <w:r w:rsidRPr="00C878A3" w:rsidR="007D0B73">
        <w:rPr>
          <w:i/>
          <w:iCs/>
          <w:szCs w:val="24"/>
        </w:rPr>
        <w:t xml:space="preserve"> </w:t>
      </w:r>
      <w:r w:rsidRPr="00C878A3">
        <w:rPr>
          <w:szCs w:val="24"/>
        </w:rPr>
        <w:t xml:space="preserve">The United States Supreme Court noted </w:t>
      </w:r>
    </w:p>
    <w:p w:rsidR="00387F02" w:rsidRPr="00C878A3" w:rsidP="00387F02" w14:paraId="37166626" w14:textId="3E3F1173">
      <w:pPr>
        <w:ind w:left="1440" w:right="1440"/>
        <w:rPr>
          <w:szCs w:val="24"/>
        </w:rPr>
      </w:pPr>
      <w:r w:rsidRPr="00C878A3">
        <w:rPr>
          <w:color w:val="212121"/>
          <w:szCs w:val="24"/>
          <w:shd w:val="clear" w:color="auto" w:fill="FFFFFF"/>
        </w:rPr>
        <w:t xml:space="preserve">The return should be reasonably sufficient to assure confidence in the financial soundness of the utility and should be adequate, </w:t>
      </w:r>
      <w:r w:rsidRPr="00C878A3">
        <w:rPr>
          <w:i/>
          <w:iCs/>
          <w:color w:val="212121"/>
          <w:szCs w:val="24"/>
          <w:shd w:val="clear" w:color="auto" w:fill="FFFFFF"/>
        </w:rPr>
        <w:t>under efficient and economical management</w:t>
      </w:r>
      <w:r w:rsidRPr="00C878A3">
        <w:rPr>
          <w:color w:val="212121"/>
          <w:szCs w:val="24"/>
          <w:shd w:val="clear" w:color="auto" w:fill="FFFFFF"/>
        </w:rPr>
        <w:t>, to maintain and support its credit and enable it to raise the money necessary for the proper discharge of its public duties.</w:t>
      </w:r>
      <w:r>
        <w:rPr>
          <w:rStyle w:val="FootnoteReference"/>
          <w:color w:val="212121"/>
          <w:szCs w:val="24"/>
          <w:shd w:val="clear" w:color="auto" w:fill="FFFFFF"/>
        </w:rPr>
        <w:footnoteReference w:id="97"/>
      </w:r>
    </w:p>
    <w:p w:rsidR="00120D88" w:rsidRPr="00C878A3" w:rsidP="00120D88" w14:paraId="1313E03F" w14:textId="77777777">
      <w:pPr>
        <w:rPr>
          <w:szCs w:val="24"/>
        </w:rPr>
      </w:pPr>
    </w:p>
    <w:p w:rsidR="006D7898" w:rsidRPr="00C878A3" w:rsidP="006D7898" w14:paraId="08822EC3" w14:textId="7B53DCE3">
      <w:pPr>
        <w:spacing w:line="480" w:lineRule="auto"/>
        <w:rPr>
          <w:szCs w:val="24"/>
        </w:rPr>
      </w:pPr>
      <w:r w:rsidRPr="00C878A3">
        <w:rPr>
          <w:szCs w:val="24"/>
        </w:rPr>
        <w:tab/>
        <w:t>In the present case, DP&amp;L lacked “efficient and economical management” due to its bad business decision to take on excess debt</w:t>
      </w:r>
      <w:r w:rsidRPr="00C878A3" w:rsidR="00893F99">
        <w:rPr>
          <w:szCs w:val="24"/>
        </w:rPr>
        <w:t xml:space="preserve"> when AES acquired DPL</w:t>
      </w:r>
      <w:r w:rsidRPr="00C878A3">
        <w:rPr>
          <w:szCs w:val="24"/>
        </w:rPr>
        <w:t xml:space="preserve"> and not to use the vegetation management revenues in rates for vegetation management purposes.</w:t>
      </w:r>
    </w:p>
    <w:p w:rsidR="006F7620" w:rsidRPr="00C878A3" w:rsidP="006D7898" w14:paraId="3767ABCB" w14:textId="6563D6E7">
      <w:pPr>
        <w:spacing w:line="480" w:lineRule="auto"/>
        <w:rPr>
          <w:szCs w:val="24"/>
        </w:rPr>
      </w:pPr>
      <w:r w:rsidRPr="00C878A3">
        <w:rPr>
          <w:szCs w:val="24"/>
        </w:rPr>
        <w:tab/>
        <w:t xml:space="preserve">The PUCO </w:t>
      </w:r>
      <w:r w:rsidRPr="00C878A3" w:rsidR="0077540C">
        <w:rPr>
          <w:szCs w:val="24"/>
        </w:rPr>
        <w:t>also takes</w:t>
      </w:r>
      <w:r w:rsidRPr="00C878A3">
        <w:rPr>
          <w:szCs w:val="24"/>
        </w:rPr>
        <w:t xml:space="preserve"> into account </w:t>
      </w:r>
      <w:r w:rsidRPr="00C878A3" w:rsidR="0077540C">
        <w:rPr>
          <w:szCs w:val="24"/>
        </w:rPr>
        <w:t>whether economic conditions are especially difficult for</w:t>
      </w:r>
      <w:r w:rsidRPr="00C878A3">
        <w:rPr>
          <w:szCs w:val="24"/>
        </w:rPr>
        <w:t xml:space="preserve"> consumers as another </w:t>
      </w:r>
      <w:r w:rsidRPr="00C878A3" w:rsidR="0077540C">
        <w:rPr>
          <w:szCs w:val="24"/>
        </w:rPr>
        <w:t>“special circumstance”</w:t>
      </w:r>
      <w:r w:rsidRPr="00C878A3">
        <w:rPr>
          <w:szCs w:val="24"/>
        </w:rPr>
        <w:t xml:space="preserve"> for making a downward adjustment to the return on equity (“Based on the harsh economic times as reflected in the testimony of this proceeding and because this marks the Company's fourth application for an increase in rates in just over five years, the Commission determines that the first qua</w:t>
      </w:r>
      <w:r w:rsidRPr="00C878A3" w:rsidR="00F4788E">
        <w:rPr>
          <w:szCs w:val="24"/>
        </w:rPr>
        <w:t>r</w:t>
      </w:r>
      <w:r w:rsidRPr="00C878A3">
        <w:rPr>
          <w:szCs w:val="24"/>
        </w:rPr>
        <w:t>tile of Staff's recommended rate of return of 7.73 percent is fair and reasonable</w:t>
      </w:r>
      <w:r w:rsidRPr="00C878A3" w:rsidR="00F4788E">
        <w:rPr>
          <w:szCs w:val="24"/>
        </w:rPr>
        <w:t>….”).</w:t>
      </w:r>
      <w:r>
        <w:rPr>
          <w:rStyle w:val="FootnoteReference"/>
          <w:szCs w:val="24"/>
        </w:rPr>
        <w:footnoteReference w:id="98"/>
      </w:r>
      <w:r w:rsidRPr="00C878A3" w:rsidR="007D0B73">
        <w:rPr>
          <w:szCs w:val="24"/>
        </w:rPr>
        <w:t xml:space="preserve"> </w:t>
      </w:r>
      <w:r w:rsidRPr="00C878A3" w:rsidR="0077540C">
        <w:rPr>
          <w:szCs w:val="24"/>
        </w:rPr>
        <w:t>We have soaring energy prices, inflation and unemployment.</w:t>
      </w:r>
      <w:r>
        <w:rPr>
          <w:rStyle w:val="FootnoteReference"/>
          <w:szCs w:val="24"/>
        </w:rPr>
        <w:footnoteReference w:id="99"/>
      </w:r>
      <w:r w:rsidRPr="00C878A3" w:rsidR="0077540C">
        <w:rPr>
          <w:szCs w:val="24"/>
        </w:rPr>
        <w:t xml:space="preserve"> The stock market is crashing.</w:t>
      </w:r>
      <w:r>
        <w:rPr>
          <w:rStyle w:val="FootnoteReference"/>
          <w:szCs w:val="24"/>
        </w:rPr>
        <w:footnoteReference w:id="100"/>
      </w:r>
      <w:r w:rsidRPr="00C878A3" w:rsidR="0077540C">
        <w:rPr>
          <w:szCs w:val="24"/>
        </w:rPr>
        <w:t xml:space="preserve"> A recession is looming.</w:t>
      </w:r>
      <w:r>
        <w:rPr>
          <w:rStyle w:val="FootnoteReference"/>
          <w:szCs w:val="24"/>
        </w:rPr>
        <w:footnoteReference w:id="101"/>
      </w:r>
      <w:r w:rsidRPr="00C878A3" w:rsidR="007D0B73">
        <w:rPr>
          <w:szCs w:val="24"/>
        </w:rPr>
        <w:t xml:space="preserve"> </w:t>
      </w:r>
      <w:r w:rsidRPr="00C878A3" w:rsidR="0077540C">
        <w:rPr>
          <w:szCs w:val="24"/>
        </w:rPr>
        <w:t>The PUCO did not take this factor into account, even though economic conditions are very challenging</w:t>
      </w:r>
      <w:r w:rsidRPr="00C878A3" w:rsidR="001B31DB">
        <w:rPr>
          <w:szCs w:val="24"/>
        </w:rPr>
        <w:t xml:space="preserve"> for consumers</w:t>
      </w:r>
      <w:r w:rsidRPr="00C878A3" w:rsidR="0077540C">
        <w:rPr>
          <w:szCs w:val="24"/>
        </w:rPr>
        <w:t>.</w:t>
      </w:r>
      <w:r w:rsidRPr="00C878A3" w:rsidR="007D0B73">
        <w:rPr>
          <w:szCs w:val="24"/>
        </w:rPr>
        <w:t xml:space="preserve"> </w:t>
      </w:r>
      <w:r w:rsidRPr="00C878A3" w:rsidR="0077540C">
        <w:rPr>
          <w:szCs w:val="24"/>
        </w:rPr>
        <w:t>The PUCO should have taken the harsh economic conditions into account as a reason for a downward adjustment in the return on equity.</w:t>
      </w:r>
    </w:p>
    <w:p w:rsidR="00E1212C" w:rsidRPr="00C878A3" w:rsidP="006D7898" w14:paraId="1BFB3D75" w14:textId="1A73F4AE">
      <w:pPr>
        <w:spacing w:line="480" w:lineRule="auto"/>
        <w:rPr>
          <w:szCs w:val="24"/>
        </w:rPr>
      </w:pPr>
      <w:r w:rsidRPr="00C878A3">
        <w:rPr>
          <w:szCs w:val="24"/>
        </w:rPr>
        <w:tab/>
        <w:t xml:space="preserve">The PUCO’s award of a 9.999% return on equity to DP&amp;L is </w:t>
      </w:r>
      <w:r w:rsidRPr="00C878A3" w:rsidR="00893F99">
        <w:rPr>
          <w:szCs w:val="24"/>
        </w:rPr>
        <w:t xml:space="preserve">also </w:t>
      </w:r>
      <w:r w:rsidRPr="00C878A3">
        <w:rPr>
          <w:szCs w:val="24"/>
        </w:rPr>
        <w:t xml:space="preserve">inconsistent with the 9.5% return on equity in </w:t>
      </w:r>
      <w:r w:rsidRPr="00C878A3">
        <w:rPr>
          <w:i/>
          <w:iCs/>
          <w:szCs w:val="24"/>
        </w:rPr>
        <w:t>In re Duke Rate Case.</w:t>
      </w:r>
      <w:r>
        <w:rPr>
          <w:rStyle w:val="FootnoteReference"/>
          <w:i/>
          <w:iCs/>
          <w:szCs w:val="24"/>
        </w:rPr>
        <w:footnoteReference w:id="102"/>
      </w:r>
      <w:r w:rsidR="00C878A3">
        <w:rPr>
          <w:szCs w:val="24"/>
        </w:rPr>
        <w:t xml:space="preserve"> </w:t>
      </w:r>
      <w:r w:rsidRPr="00C878A3">
        <w:rPr>
          <w:szCs w:val="24"/>
        </w:rPr>
        <w:t>Both cases were decided the same day.</w:t>
      </w:r>
      <w:r w:rsidRPr="00C878A3" w:rsidR="007D0B73">
        <w:rPr>
          <w:szCs w:val="24"/>
        </w:rPr>
        <w:t xml:space="preserve"> </w:t>
      </w:r>
      <w:r w:rsidRPr="00C878A3">
        <w:rPr>
          <w:szCs w:val="24"/>
        </w:rPr>
        <w:t>DP&amp;L and Duke have adjacent service territories.</w:t>
      </w:r>
      <w:r w:rsidRPr="00C878A3" w:rsidR="007D0B73">
        <w:rPr>
          <w:szCs w:val="24"/>
        </w:rPr>
        <w:t xml:space="preserve"> </w:t>
      </w:r>
      <w:r w:rsidRPr="00C878A3">
        <w:rPr>
          <w:szCs w:val="24"/>
        </w:rPr>
        <w:t>Both utilities serve a</w:t>
      </w:r>
      <w:r w:rsidRPr="00C878A3" w:rsidR="001A4581">
        <w:rPr>
          <w:szCs w:val="24"/>
        </w:rPr>
        <w:t xml:space="preserve"> largely urban customer base.</w:t>
      </w:r>
      <w:r w:rsidRPr="00C878A3" w:rsidR="007D0B73">
        <w:rPr>
          <w:szCs w:val="24"/>
        </w:rPr>
        <w:t xml:space="preserve"> </w:t>
      </w:r>
      <w:r w:rsidRPr="00C878A3" w:rsidR="001A4581">
        <w:rPr>
          <w:szCs w:val="24"/>
        </w:rPr>
        <w:t xml:space="preserve">The </w:t>
      </w:r>
      <w:r w:rsidRPr="00C878A3" w:rsidR="00706722">
        <w:rPr>
          <w:szCs w:val="24"/>
        </w:rPr>
        <w:t>major</w:t>
      </w:r>
      <w:r w:rsidRPr="00C878A3" w:rsidR="001A4581">
        <w:rPr>
          <w:szCs w:val="24"/>
        </w:rPr>
        <w:t xml:space="preserve"> difference in the financial risk faced by both utilities is DP&amp;L’s self-created financial risk by taking on excessive debt at the time of the merger.</w:t>
      </w:r>
      <w:r w:rsidRPr="00C878A3" w:rsidR="007D0B73">
        <w:rPr>
          <w:szCs w:val="24"/>
        </w:rPr>
        <w:t xml:space="preserve"> </w:t>
      </w:r>
      <w:r w:rsidRPr="00C878A3" w:rsidR="001A4581">
        <w:rPr>
          <w:szCs w:val="24"/>
        </w:rPr>
        <w:t>Moreover, the PUCO’s award of a 9.999% return on equity for DP&amp;L rewards it for a lack of reliable service</w:t>
      </w:r>
      <w:r w:rsidR="009D1001">
        <w:rPr>
          <w:szCs w:val="24"/>
        </w:rPr>
        <w:t>,</w:t>
      </w:r>
      <w:r w:rsidRPr="00C878A3" w:rsidR="001A4581">
        <w:rPr>
          <w:szCs w:val="24"/>
        </w:rPr>
        <w:t xml:space="preserve"> which was inferior to Duke’s.</w:t>
      </w:r>
      <w:r w:rsidR="00C878A3">
        <w:rPr>
          <w:szCs w:val="24"/>
        </w:rPr>
        <w:t xml:space="preserve"> </w:t>
      </w:r>
    </w:p>
    <w:p w:rsidR="009328BA" w:rsidRPr="00C878A3" w:rsidP="006D7898" w14:paraId="2B60A34C" w14:textId="31D2DCE2">
      <w:pPr>
        <w:spacing w:line="480" w:lineRule="auto"/>
        <w:rPr>
          <w:szCs w:val="24"/>
        </w:rPr>
      </w:pPr>
      <w:r w:rsidRPr="00C878A3">
        <w:rPr>
          <w:szCs w:val="24"/>
        </w:rPr>
        <w:tab/>
        <w:t>The evidentiary hearing in this case concluded on February 7, 2022.</w:t>
      </w:r>
      <w:r>
        <w:rPr>
          <w:rStyle w:val="FootnoteReference"/>
          <w:szCs w:val="24"/>
        </w:rPr>
        <w:footnoteReference w:id="103"/>
      </w:r>
      <w:r w:rsidR="00C878A3">
        <w:rPr>
          <w:szCs w:val="24"/>
        </w:rPr>
        <w:t xml:space="preserve"> </w:t>
      </w:r>
      <w:r w:rsidRPr="00C878A3">
        <w:rPr>
          <w:szCs w:val="24"/>
        </w:rPr>
        <w:t>Yet DP&amp;L cannot implement the new rates until the PUCO approves a new ESP.</w:t>
      </w:r>
      <w:r w:rsidR="00C878A3">
        <w:rPr>
          <w:szCs w:val="24"/>
        </w:rPr>
        <w:t xml:space="preserve"> </w:t>
      </w:r>
      <w:r w:rsidRPr="00C878A3">
        <w:rPr>
          <w:szCs w:val="24"/>
        </w:rPr>
        <w:t xml:space="preserve">The evidentiary hearing in DP&amp;L’s new ESP case will not </w:t>
      </w:r>
      <w:r w:rsidRPr="00C878A3">
        <w:rPr>
          <w:i/>
          <w:iCs/>
          <w:szCs w:val="24"/>
        </w:rPr>
        <w:t>begin</w:t>
      </w:r>
      <w:r w:rsidRPr="00C878A3">
        <w:rPr>
          <w:szCs w:val="24"/>
        </w:rPr>
        <w:t xml:space="preserve"> until March 6, 2023 – over one year </w:t>
      </w:r>
      <w:r w:rsidRPr="00C878A3">
        <w:rPr>
          <w:i/>
          <w:iCs/>
          <w:szCs w:val="24"/>
        </w:rPr>
        <w:t xml:space="preserve">after </w:t>
      </w:r>
      <w:r w:rsidRPr="00C878A3">
        <w:rPr>
          <w:szCs w:val="24"/>
        </w:rPr>
        <w:t>the evidentiary hearing concluded in the present case.</w:t>
      </w:r>
      <w:r>
        <w:rPr>
          <w:rStyle w:val="FootnoteReference"/>
          <w:szCs w:val="24"/>
        </w:rPr>
        <w:footnoteReference w:id="104"/>
      </w:r>
      <w:r w:rsidR="00C878A3">
        <w:rPr>
          <w:szCs w:val="24"/>
        </w:rPr>
        <w:t xml:space="preserve"> </w:t>
      </w:r>
      <w:r w:rsidRPr="00C878A3" w:rsidR="007B5874">
        <w:rPr>
          <w:szCs w:val="24"/>
        </w:rPr>
        <w:t>The PUCO stated that it</w:t>
      </w:r>
      <w:r w:rsidR="00C878A3">
        <w:rPr>
          <w:szCs w:val="24"/>
        </w:rPr>
        <w:t xml:space="preserve"> </w:t>
      </w:r>
      <w:r w:rsidRPr="00C878A3" w:rsidR="007B5874">
        <w:rPr>
          <w:szCs w:val="24"/>
        </w:rPr>
        <w:t xml:space="preserve">“is mindful of AES Ohio’s financial position and </w:t>
      </w:r>
      <w:r w:rsidRPr="00C878A3" w:rsidR="007B5874">
        <w:rPr>
          <w:i/>
          <w:iCs/>
          <w:szCs w:val="24"/>
        </w:rPr>
        <w:t>does not discount the additional hardship</w:t>
      </w:r>
      <w:r w:rsidRPr="00C878A3" w:rsidR="007B5874">
        <w:rPr>
          <w:szCs w:val="24"/>
        </w:rPr>
        <w:t xml:space="preserve"> that will result from a temporary freeze of distribution rates.”</w:t>
      </w:r>
      <w:r>
        <w:rPr>
          <w:rStyle w:val="FootnoteReference"/>
          <w:szCs w:val="24"/>
        </w:rPr>
        <w:footnoteReference w:id="105"/>
      </w:r>
      <w:r w:rsidR="00C878A3">
        <w:rPr>
          <w:szCs w:val="24"/>
        </w:rPr>
        <w:t xml:space="preserve"> </w:t>
      </w:r>
      <w:r w:rsidRPr="00C878A3" w:rsidR="00374A6D">
        <w:rPr>
          <w:szCs w:val="24"/>
        </w:rPr>
        <w:t xml:space="preserve">By all appearances, the PUCO compensated DP&amp;L for this “additional hardship” by </w:t>
      </w:r>
      <w:r w:rsidRPr="00C878A3" w:rsidR="00A464FA">
        <w:rPr>
          <w:szCs w:val="24"/>
        </w:rPr>
        <w:t>authorizing</w:t>
      </w:r>
      <w:r w:rsidRPr="00C878A3" w:rsidR="00374A6D">
        <w:rPr>
          <w:szCs w:val="24"/>
        </w:rPr>
        <w:t xml:space="preserve"> a higher return on equity (</w:t>
      </w:r>
      <w:r w:rsidRPr="00C878A3" w:rsidR="00374A6D">
        <w:rPr>
          <w:i/>
          <w:iCs/>
          <w:szCs w:val="24"/>
        </w:rPr>
        <w:t>i.e</w:t>
      </w:r>
      <w:r w:rsidRPr="00C878A3" w:rsidR="00374A6D">
        <w:rPr>
          <w:szCs w:val="24"/>
        </w:rPr>
        <w:t>., rate of profit)</w:t>
      </w:r>
      <w:r w:rsidRPr="00C878A3" w:rsidR="00A464FA">
        <w:rPr>
          <w:szCs w:val="24"/>
        </w:rPr>
        <w:t xml:space="preserve"> than was supported by the record.</w:t>
      </w:r>
      <w:r w:rsidR="00C878A3">
        <w:rPr>
          <w:szCs w:val="24"/>
        </w:rPr>
        <w:t xml:space="preserve"> </w:t>
      </w:r>
      <w:r w:rsidRPr="00C878A3" w:rsidR="00A464FA">
        <w:rPr>
          <w:szCs w:val="24"/>
        </w:rPr>
        <w:t>The higher profit</w:t>
      </w:r>
      <w:r w:rsidRPr="00C878A3" w:rsidR="00363DA3">
        <w:rPr>
          <w:szCs w:val="24"/>
        </w:rPr>
        <w:t xml:space="preserve"> </w:t>
      </w:r>
      <w:r w:rsidRPr="00C878A3" w:rsidR="00A464FA">
        <w:rPr>
          <w:szCs w:val="24"/>
        </w:rPr>
        <w:t xml:space="preserve">seems intended </w:t>
      </w:r>
      <w:r w:rsidRPr="00C878A3" w:rsidR="00363DA3">
        <w:rPr>
          <w:szCs w:val="24"/>
        </w:rPr>
        <w:t xml:space="preserve">to compensate </w:t>
      </w:r>
      <w:r w:rsidRPr="00C878A3" w:rsidR="00A464FA">
        <w:rPr>
          <w:szCs w:val="24"/>
        </w:rPr>
        <w:t xml:space="preserve">AES Ohio </w:t>
      </w:r>
      <w:r w:rsidRPr="00C878A3" w:rsidR="00363DA3">
        <w:rPr>
          <w:szCs w:val="24"/>
        </w:rPr>
        <w:t xml:space="preserve">for the delay in implementing </w:t>
      </w:r>
      <w:r w:rsidRPr="00C878A3" w:rsidR="00A464FA">
        <w:rPr>
          <w:szCs w:val="24"/>
        </w:rPr>
        <w:t>its</w:t>
      </w:r>
      <w:r w:rsidRPr="00C878A3" w:rsidR="00363DA3">
        <w:rPr>
          <w:szCs w:val="24"/>
        </w:rPr>
        <w:t xml:space="preserve"> new rates.</w:t>
      </w:r>
      <w:r w:rsidR="00C878A3">
        <w:rPr>
          <w:szCs w:val="24"/>
        </w:rPr>
        <w:t xml:space="preserve"> </w:t>
      </w:r>
      <w:r w:rsidRPr="00C878A3" w:rsidR="00363DA3">
        <w:rPr>
          <w:szCs w:val="24"/>
        </w:rPr>
        <w:t>This results-oriented approach to decision-making is unjust, unreasonable and unfair</w:t>
      </w:r>
      <w:r w:rsidRPr="00C878A3" w:rsidR="00A464FA">
        <w:rPr>
          <w:szCs w:val="24"/>
        </w:rPr>
        <w:t xml:space="preserve"> to consumers who will be required to pay the resulting higher rates</w:t>
      </w:r>
      <w:r w:rsidRPr="00C878A3" w:rsidR="00363DA3">
        <w:rPr>
          <w:szCs w:val="24"/>
        </w:rPr>
        <w:t>.</w:t>
      </w:r>
    </w:p>
    <w:p w:rsidR="00CB252B" w:rsidRPr="00C878A3" w:rsidP="00CB252B" w14:paraId="0E300646" w14:textId="77777777">
      <w:pPr>
        <w:rPr>
          <w:szCs w:val="24"/>
        </w:rPr>
      </w:pPr>
    </w:p>
    <w:p w:rsidR="00B27935" w:rsidRPr="00C878A3" w:rsidP="00CA3793" w14:paraId="11DCACD5" w14:textId="53AC803B">
      <w:pPr>
        <w:pStyle w:val="Heading1"/>
        <w:rPr>
          <w:rFonts w:ascii="Times New Roman" w:hAnsi="Times New Roman"/>
        </w:rPr>
      </w:pPr>
      <w:bookmarkStart w:id="35" w:name="_Toc124507975"/>
      <w:r>
        <w:rPr>
          <w:rFonts w:ascii="Times New Roman" w:hAnsi="Times New Roman"/>
        </w:rPr>
        <w:t>IV.</w:t>
      </w:r>
      <w:r>
        <w:rPr>
          <w:rFonts w:ascii="Times New Roman" w:hAnsi="Times New Roman"/>
        </w:rPr>
        <w:tab/>
      </w:r>
      <w:r w:rsidRPr="00C878A3" w:rsidR="001B31DB">
        <w:rPr>
          <w:rFonts w:ascii="Times New Roman" w:hAnsi="Times New Roman"/>
        </w:rPr>
        <w:t>CONCLUSION</w:t>
      </w:r>
      <w:bookmarkEnd w:id="35"/>
    </w:p>
    <w:p w:rsidR="00120D88" w:rsidRPr="00C878A3" w:rsidP="0073260A" w14:paraId="38E93951" w14:textId="3DE414EA">
      <w:pPr>
        <w:spacing w:line="480" w:lineRule="auto"/>
        <w:rPr>
          <w:szCs w:val="24"/>
        </w:rPr>
      </w:pPr>
      <w:r w:rsidRPr="00C878A3">
        <w:rPr>
          <w:szCs w:val="24"/>
        </w:rPr>
        <w:tab/>
        <w:t>Based on the foregoing, OCC respectfully requests that the PUCO grant rehearing on the issues discussed above.</w:t>
      </w:r>
    </w:p>
    <w:p w:rsidR="00D748A1" w:rsidRPr="00C878A3" w:rsidP="00D748A1" w14:paraId="56698431" w14:textId="77777777">
      <w:pPr>
        <w:pStyle w:val="ListParagraph"/>
        <w:ind w:left="4320"/>
      </w:pPr>
      <w:r w:rsidRPr="00C878A3">
        <w:t xml:space="preserve">Respectfully submitted, </w:t>
      </w:r>
    </w:p>
    <w:p w:rsidR="00D748A1" w:rsidRPr="00C878A3" w:rsidP="00D748A1" w14:paraId="29013CA5" w14:textId="77777777">
      <w:pPr>
        <w:pStyle w:val="ListParagraph"/>
        <w:ind w:left="4320"/>
      </w:pPr>
    </w:p>
    <w:p w:rsidR="00D748A1" w:rsidRPr="00C878A3" w:rsidP="00D748A1" w14:paraId="2F804E8C" w14:textId="77777777">
      <w:pPr>
        <w:pStyle w:val="ListParagraph"/>
        <w:ind w:left="4320"/>
      </w:pPr>
      <w:r w:rsidRPr="00C878A3">
        <w:t xml:space="preserve">Bruce Weston (0016973) </w:t>
      </w:r>
      <w:r w:rsidRPr="00C878A3">
        <w:br/>
        <w:t xml:space="preserve">Ohio Consumers’ Counsel </w:t>
      </w:r>
      <w:r w:rsidRPr="00C878A3">
        <w:br/>
      </w:r>
    </w:p>
    <w:p w:rsidR="00D748A1" w:rsidRPr="00C878A3" w:rsidP="00D748A1" w14:paraId="68522B12" w14:textId="403FB5A5">
      <w:pPr>
        <w:pStyle w:val="ListParagraph"/>
        <w:ind w:left="4320"/>
      </w:pPr>
      <w:r w:rsidRPr="00C878A3">
        <w:rPr>
          <w:i/>
          <w:iCs/>
          <w:u w:val="single"/>
        </w:rPr>
        <w:t>/s/</w:t>
      </w:r>
      <w:r w:rsidRPr="00C878A3">
        <w:rPr>
          <w:u w:val="single"/>
        </w:rPr>
        <w:t xml:space="preserve"> </w:t>
      </w:r>
      <w:r w:rsidRPr="00C878A3">
        <w:rPr>
          <w:i/>
          <w:iCs/>
          <w:u w:val="single"/>
        </w:rPr>
        <w:t>John Finnigan</w:t>
      </w:r>
      <w:r w:rsidRPr="00C878A3">
        <w:rPr>
          <w:i/>
          <w:iCs/>
          <w:u w:val="single"/>
        </w:rPr>
        <w:tab/>
      </w:r>
      <w:r w:rsidRPr="00C878A3">
        <w:t xml:space="preserve"> </w:t>
      </w:r>
      <w:r w:rsidRPr="00C878A3">
        <w:br/>
        <w:t xml:space="preserve">John Finnigan (0018689) </w:t>
      </w:r>
      <w:r w:rsidRPr="00C878A3">
        <w:br/>
        <w:t xml:space="preserve">Counsel of Record </w:t>
      </w:r>
      <w:r w:rsidRPr="00C878A3">
        <w:br/>
        <w:t xml:space="preserve">Ambrosia E. Wilson (0096598) </w:t>
      </w:r>
      <w:r w:rsidRPr="00C878A3">
        <w:br/>
        <w:t xml:space="preserve">Assistant Consumers' Counsel </w:t>
      </w:r>
    </w:p>
    <w:p w:rsidR="00D748A1" w:rsidRPr="00C878A3" w:rsidP="00D748A1" w14:paraId="334B460E" w14:textId="77777777">
      <w:pPr>
        <w:pStyle w:val="ListParagraph"/>
        <w:ind w:left="4320"/>
      </w:pPr>
    </w:p>
    <w:p w:rsidR="00D748A1" w:rsidRPr="00C878A3" w:rsidP="00D748A1" w14:paraId="69CB4BDE" w14:textId="77777777">
      <w:pPr>
        <w:pStyle w:val="ListParagraph"/>
        <w:ind w:left="4320"/>
      </w:pPr>
      <w:r w:rsidRPr="00C878A3">
        <w:rPr>
          <w:b/>
          <w:bCs/>
        </w:rPr>
        <w:t>Office of the Ohio Consumers' Counsel</w:t>
      </w:r>
    </w:p>
    <w:p w:rsidR="00D748A1" w:rsidRPr="00C878A3" w:rsidP="00D748A1" w14:paraId="372A7A1C" w14:textId="77777777">
      <w:pPr>
        <w:pStyle w:val="ListParagraph"/>
        <w:ind w:left="4320"/>
      </w:pPr>
      <w:r w:rsidRPr="00C878A3">
        <w:t xml:space="preserve">65 East State Street, Suite 700 </w:t>
      </w:r>
      <w:r w:rsidRPr="00C878A3">
        <w:br/>
        <w:t xml:space="preserve">Columbus, Ohio 43215 </w:t>
      </w:r>
      <w:r w:rsidRPr="00C878A3">
        <w:br/>
        <w:t xml:space="preserve">Telephone [Finnigan]: (614) 466-9585 </w:t>
      </w:r>
    </w:p>
    <w:p w:rsidR="00D748A1" w:rsidRPr="00C878A3" w:rsidP="00D748A1" w14:paraId="739B64AD" w14:textId="77777777">
      <w:pPr>
        <w:pStyle w:val="ListParagraph"/>
        <w:ind w:left="4320"/>
      </w:pPr>
      <w:r w:rsidRPr="00C878A3">
        <w:t xml:space="preserve">Telephone [Wilson]: (614) 466-1292 </w:t>
      </w:r>
      <w:hyperlink r:id="rId6" w:history="1">
        <w:r w:rsidRPr="00C878A3">
          <w:rPr>
            <w:rStyle w:val="Hyperlink"/>
            <w:color w:val="0000FF"/>
          </w:rPr>
          <w:t>john.finnigan@occ.ohio.gov</w:t>
        </w:r>
      </w:hyperlink>
      <w:r w:rsidRPr="00C878A3">
        <w:rPr>
          <w:color w:val="0000FF"/>
        </w:rPr>
        <w:t xml:space="preserve"> </w:t>
      </w:r>
      <w:hyperlink r:id="rId7" w:history="1">
        <w:r w:rsidRPr="00C878A3">
          <w:rPr>
            <w:rStyle w:val="Hyperlink"/>
            <w:color w:val="0000FF"/>
          </w:rPr>
          <w:t>ambrosia.wilson@occ.ohio.gov</w:t>
        </w:r>
      </w:hyperlink>
      <w:r w:rsidRPr="00C878A3">
        <w:t xml:space="preserve"> </w:t>
      </w:r>
    </w:p>
    <w:p w:rsidR="00D748A1" w:rsidRPr="00C878A3" w:rsidP="00D748A1" w14:paraId="2B723F41" w14:textId="77777777">
      <w:pPr>
        <w:pStyle w:val="ListParagraph"/>
        <w:ind w:left="4320"/>
      </w:pPr>
      <w:r w:rsidRPr="00C878A3">
        <w:t>(willing to accept service by e-mail)</w:t>
      </w:r>
    </w:p>
    <w:p w:rsidR="00C77AB9" w:rsidRPr="00C878A3" w14:paraId="11558885" w14:textId="77777777">
      <w:pPr>
        <w:rPr>
          <w:b/>
          <w:bCs/>
          <w:szCs w:val="24"/>
          <w:u w:val="single"/>
        </w:rPr>
      </w:pPr>
      <w:r w:rsidRPr="00C878A3">
        <w:rPr>
          <w:b/>
          <w:bCs/>
          <w:szCs w:val="24"/>
          <w:u w:val="single"/>
        </w:rPr>
        <w:br w:type="page"/>
      </w:r>
    </w:p>
    <w:p w:rsidR="00C77AB9" w:rsidRPr="00C878A3" w:rsidP="00C77AB9" w14:paraId="11AC6160" w14:textId="48E4EC99">
      <w:pPr>
        <w:jc w:val="center"/>
        <w:rPr>
          <w:b/>
          <w:bCs/>
          <w:szCs w:val="24"/>
          <w:u w:val="single"/>
        </w:rPr>
      </w:pPr>
      <w:r w:rsidRPr="00C878A3">
        <w:rPr>
          <w:b/>
          <w:bCs/>
          <w:szCs w:val="24"/>
          <w:u w:val="single"/>
        </w:rPr>
        <w:t>CERTIFICATE OF SERVICE</w:t>
      </w:r>
    </w:p>
    <w:p w:rsidR="00C77AB9" w:rsidRPr="00C878A3" w:rsidP="00C77AB9" w14:paraId="1D205F31" w14:textId="5214A455">
      <w:pPr>
        <w:spacing w:line="480" w:lineRule="atLeast"/>
        <w:rPr>
          <w:szCs w:val="24"/>
        </w:rPr>
      </w:pPr>
      <w:r w:rsidRPr="00C878A3">
        <w:rPr>
          <w:szCs w:val="24"/>
        </w:rPr>
        <w:tab/>
        <w:t xml:space="preserve">I hereby certify that a copy of this </w:t>
      </w:r>
      <w:r w:rsidRPr="00C878A3" w:rsidR="001B31DB">
        <w:rPr>
          <w:iCs/>
          <w:szCs w:val="24"/>
        </w:rPr>
        <w:t>Application for Rehearing</w:t>
      </w:r>
      <w:r w:rsidRPr="00C878A3">
        <w:rPr>
          <w:szCs w:val="24"/>
        </w:rPr>
        <w:t xml:space="preserve"> was served on the persons </w:t>
      </w:r>
      <w:r w:rsidRPr="00B81427">
        <w:rPr>
          <w:szCs w:val="24"/>
        </w:rPr>
        <w:t>stated below via electronic</w:t>
      </w:r>
      <w:r w:rsidRPr="00C878A3">
        <w:rPr>
          <w:szCs w:val="24"/>
        </w:rPr>
        <w:t xml:space="preserve"> transmission, this </w:t>
      </w:r>
      <w:r w:rsidRPr="00C878A3" w:rsidR="001B31DB">
        <w:rPr>
          <w:szCs w:val="24"/>
        </w:rPr>
        <w:t>13</w:t>
      </w:r>
      <w:r w:rsidRPr="00B81427" w:rsidR="00B81427">
        <w:rPr>
          <w:szCs w:val="24"/>
          <w:vertAlign w:val="superscript"/>
        </w:rPr>
        <w:t>th</w:t>
      </w:r>
      <w:r w:rsidR="00B81427">
        <w:rPr>
          <w:szCs w:val="24"/>
        </w:rPr>
        <w:t xml:space="preserve"> </w:t>
      </w:r>
      <w:r w:rsidRPr="00C878A3">
        <w:rPr>
          <w:szCs w:val="24"/>
        </w:rPr>
        <w:t>day of J</w:t>
      </w:r>
      <w:r w:rsidRPr="00C878A3" w:rsidR="001B31DB">
        <w:rPr>
          <w:szCs w:val="24"/>
        </w:rPr>
        <w:t>anuary</w:t>
      </w:r>
      <w:r w:rsidRPr="00C878A3">
        <w:rPr>
          <w:szCs w:val="24"/>
        </w:rPr>
        <w:t xml:space="preserve"> 202</w:t>
      </w:r>
      <w:r w:rsidRPr="00C878A3" w:rsidR="001B31DB">
        <w:rPr>
          <w:szCs w:val="24"/>
        </w:rPr>
        <w:t>3</w:t>
      </w:r>
      <w:r w:rsidRPr="00C878A3">
        <w:rPr>
          <w:szCs w:val="24"/>
        </w:rPr>
        <w:t>.</w:t>
      </w:r>
    </w:p>
    <w:p w:rsidR="00C77AB9" w:rsidRPr="00C878A3" w:rsidP="00C77AB9" w14:paraId="7DF0A0EE" w14:textId="77777777">
      <w:pPr>
        <w:tabs>
          <w:tab w:val="left" w:pos="4320"/>
        </w:tabs>
        <w:rPr>
          <w:szCs w:val="24"/>
        </w:rPr>
      </w:pPr>
      <w:r w:rsidRPr="00C878A3">
        <w:rPr>
          <w:szCs w:val="24"/>
        </w:rPr>
        <w:tab/>
      </w:r>
    </w:p>
    <w:p w:rsidR="00C77AB9" w:rsidRPr="00C878A3" w:rsidP="00C77AB9" w14:paraId="135ACB44" w14:textId="28895B78">
      <w:pPr>
        <w:tabs>
          <w:tab w:val="left" w:pos="4320"/>
        </w:tabs>
        <w:rPr>
          <w:i/>
          <w:szCs w:val="24"/>
          <w:u w:val="single"/>
        </w:rPr>
      </w:pPr>
      <w:r w:rsidRPr="00C878A3">
        <w:rPr>
          <w:szCs w:val="24"/>
        </w:rPr>
        <w:tab/>
      </w:r>
      <w:r w:rsidRPr="00C878A3">
        <w:rPr>
          <w:i/>
          <w:szCs w:val="24"/>
          <w:u w:val="single"/>
        </w:rPr>
        <w:t>/s/ John Finnigan</w:t>
      </w:r>
    </w:p>
    <w:p w:rsidR="00C77AB9" w:rsidRPr="00C878A3" w:rsidP="00C77AB9" w14:paraId="1D34AC79" w14:textId="2766E590">
      <w:pPr>
        <w:tabs>
          <w:tab w:val="left" w:pos="4320"/>
        </w:tabs>
        <w:rPr>
          <w:szCs w:val="24"/>
        </w:rPr>
      </w:pPr>
      <w:r w:rsidRPr="00C878A3">
        <w:rPr>
          <w:szCs w:val="24"/>
        </w:rPr>
        <w:tab/>
        <w:t>John Finnigan</w:t>
      </w:r>
    </w:p>
    <w:p w:rsidR="00C77AB9" w:rsidRPr="00C878A3" w:rsidP="00C77AB9" w14:paraId="08C95D5A" w14:textId="77777777">
      <w:pPr>
        <w:tabs>
          <w:tab w:val="left" w:pos="4320"/>
        </w:tabs>
        <w:rPr>
          <w:szCs w:val="24"/>
        </w:rPr>
      </w:pPr>
      <w:r w:rsidRPr="00C878A3">
        <w:rPr>
          <w:szCs w:val="24"/>
        </w:rPr>
        <w:tab/>
        <w:t>Assistant Consumers’ Counsel</w:t>
      </w:r>
    </w:p>
    <w:p w:rsidR="00C77AB9" w:rsidRPr="00C878A3" w:rsidP="00C77AB9" w14:paraId="300EEC6F" w14:textId="77777777">
      <w:pPr>
        <w:pStyle w:val="CommentSubject"/>
        <w:rPr>
          <w:sz w:val="24"/>
          <w:szCs w:val="24"/>
        </w:rPr>
      </w:pPr>
    </w:p>
    <w:p w:rsidR="00C77AB9" w:rsidRPr="00C878A3" w:rsidP="00C77AB9" w14:paraId="479134A4" w14:textId="77777777">
      <w:pPr>
        <w:pStyle w:val="CommentText"/>
        <w:rPr>
          <w:sz w:val="24"/>
          <w:szCs w:val="24"/>
        </w:rPr>
      </w:pPr>
      <w:r w:rsidRPr="00C878A3">
        <w:rPr>
          <w:sz w:val="24"/>
          <w:szCs w:val="24"/>
        </w:rPr>
        <w:t>The PUCO’s e-filing system will electronically serve notice of the filing of this document on the following parties:</w:t>
      </w:r>
    </w:p>
    <w:p w:rsidR="00C77AB9" w:rsidRPr="00C878A3" w:rsidP="00C77AB9" w14:paraId="289D5B02" w14:textId="77777777">
      <w:pPr>
        <w:pStyle w:val="CommentText"/>
        <w:rPr>
          <w:sz w:val="24"/>
          <w:szCs w:val="24"/>
        </w:rPr>
      </w:pPr>
    </w:p>
    <w:p w:rsidR="00C77AB9" w:rsidRPr="00C878A3" w:rsidP="00C77AB9" w14:paraId="37B936FD" w14:textId="77777777">
      <w:pPr>
        <w:pStyle w:val="CommentText"/>
        <w:jc w:val="center"/>
        <w:rPr>
          <w:b/>
          <w:bCs/>
          <w:sz w:val="24"/>
          <w:szCs w:val="24"/>
          <w:u w:val="single"/>
        </w:rPr>
      </w:pPr>
      <w:r w:rsidRPr="00C878A3">
        <w:rPr>
          <w:b/>
          <w:bCs/>
          <w:sz w:val="24"/>
          <w:szCs w:val="24"/>
          <w:u w:val="single"/>
        </w:rPr>
        <w:t>SERVICE LIST</w:t>
      </w:r>
    </w:p>
    <w:p w:rsidR="00C77AB9" w:rsidRPr="00C878A3" w:rsidP="00C77AB9" w14:paraId="577F6AE4" w14:textId="77777777">
      <w:pPr>
        <w:pStyle w:val="CommentText"/>
        <w:jc w:val="center"/>
        <w:rPr>
          <w:color w:val="0000FF"/>
          <w:sz w:val="24"/>
          <w:szCs w:val="24"/>
          <w:u w:val="single"/>
        </w:rPr>
      </w:pPr>
    </w:p>
    <w:tbl>
      <w:tblPr>
        <w:tblW w:w="0" w:type="auto"/>
        <w:tblLook w:val="01E0"/>
      </w:tblPr>
      <w:tblGrid>
        <w:gridCol w:w="4285"/>
        <w:gridCol w:w="4355"/>
      </w:tblGrid>
      <w:tr w14:paraId="1BE3B842" w14:textId="77777777" w:rsidTr="005B1148">
        <w:tblPrEx>
          <w:tblW w:w="0" w:type="auto"/>
          <w:tblLook w:val="01E0"/>
        </w:tblPrEx>
        <w:tc>
          <w:tcPr>
            <w:tcW w:w="4428" w:type="dxa"/>
            <w:shd w:val="clear" w:color="auto" w:fill="auto"/>
          </w:tcPr>
          <w:p w:rsidR="00736EB5" w:rsidRPr="00C878A3" w:rsidP="005B1148" w14:paraId="3069E8F0" w14:textId="77777777">
            <w:pPr>
              <w:autoSpaceDE w:val="0"/>
              <w:autoSpaceDN w:val="0"/>
              <w:adjustRightInd w:val="0"/>
              <w:rPr>
                <w:color w:val="0000FF"/>
                <w:szCs w:val="24"/>
                <w:u w:val="single"/>
              </w:rPr>
            </w:pPr>
            <w:hyperlink r:id="rId11" w:history="1">
              <w:r w:rsidRPr="00C878A3">
                <w:rPr>
                  <w:color w:val="0000FF"/>
                  <w:szCs w:val="24"/>
                  <w:u w:val="single"/>
                </w:rPr>
                <w:t>jodi.bair@ohioAGO.gov</w:t>
              </w:r>
            </w:hyperlink>
          </w:p>
          <w:p w:rsidR="00736EB5" w:rsidRPr="00C878A3" w:rsidP="005B1148" w14:paraId="6A1A0AA3" w14:textId="77777777">
            <w:pPr>
              <w:autoSpaceDE w:val="0"/>
              <w:autoSpaceDN w:val="0"/>
              <w:adjustRightInd w:val="0"/>
              <w:rPr>
                <w:color w:val="0000FF"/>
                <w:szCs w:val="24"/>
                <w:u w:val="single"/>
              </w:rPr>
            </w:pPr>
            <w:hyperlink r:id="rId12" w:history="1">
              <w:r w:rsidRPr="00C878A3">
                <w:rPr>
                  <w:color w:val="0000FF"/>
                  <w:szCs w:val="24"/>
                  <w:u w:val="single"/>
                </w:rPr>
                <w:t>kyle.kern@ohioAGO.gov</w:t>
              </w:r>
            </w:hyperlink>
          </w:p>
          <w:p w:rsidR="00736EB5" w:rsidRPr="00C878A3" w:rsidP="005B1148" w14:paraId="04170C0D" w14:textId="77777777">
            <w:pPr>
              <w:autoSpaceDE w:val="0"/>
              <w:autoSpaceDN w:val="0"/>
              <w:adjustRightInd w:val="0"/>
              <w:rPr>
                <w:color w:val="0000FF"/>
                <w:szCs w:val="24"/>
                <w:u w:val="single"/>
              </w:rPr>
            </w:pPr>
            <w:r w:rsidRPr="00C878A3">
              <w:rPr>
                <w:color w:val="0000FF"/>
                <w:szCs w:val="24"/>
                <w:u w:val="single"/>
              </w:rPr>
              <w:t>werner.margard@ohioAGO.gov</w:t>
            </w:r>
          </w:p>
          <w:p w:rsidR="00736EB5" w:rsidRPr="00C878A3" w:rsidP="005B1148" w14:paraId="0335F35E" w14:textId="77777777">
            <w:pPr>
              <w:autoSpaceDE w:val="0"/>
              <w:autoSpaceDN w:val="0"/>
              <w:adjustRightInd w:val="0"/>
              <w:rPr>
                <w:color w:val="0000FF"/>
                <w:szCs w:val="24"/>
                <w:u w:val="single"/>
              </w:rPr>
            </w:pPr>
            <w:hyperlink r:id="rId13" w:history="1">
              <w:r w:rsidRPr="00C878A3">
                <w:rPr>
                  <w:color w:val="0000FF"/>
                  <w:szCs w:val="24"/>
                  <w:u w:val="single"/>
                </w:rPr>
                <w:t>chelsea.fletcher@ohioAGO.gov</w:t>
              </w:r>
            </w:hyperlink>
          </w:p>
          <w:p w:rsidR="00736EB5" w:rsidRPr="00C878A3" w:rsidP="005B1148" w14:paraId="30FCAF2E" w14:textId="77777777">
            <w:pPr>
              <w:pStyle w:val="BodyText"/>
              <w:rPr>
                <w:rFonts w:eastAsiaTheme="minorHAnsi"/>
                <w:color w:val="0000FF"/>
                <w:szCs w:val="24"/>
                <w:u w:val="single"/>
              </w:rPr>
            </w:pPr>
            <w:hyperlink r:id="rId14" w:history="1">
              <w:r w:rsidRPr="00C878A3">
                <w:rPr>
                  <w:rFonts w:eastAsiaTheme="minorHAnsi"/>
                  <w:color w:val="0000FF"/>
                  <w:szCs w:val="24"/>
                  <w:u w:val="single"/>
                </w:rPr>
                <w:t>dparram@bricker.com</w:t>
              </w:r>
            </w:hyperlink>
          </w:p>
          <w:p w:rsidR="00736EB5" w:rsidRPr="00C878A3" w:rsidP="005B1148" w14:paraId="68D93EE4" w14:textId="77777777">
            <w:pPr>
              <w:pStyle w:val="BodyText"/>
              <w:rPr>
                <w:rFonts w:eastAsiaTheme="minorHAnsi"/>
                <w:color w:val="0000FF"/>
                <w:szCs w:val="24"/>
                <w:u w:val="single"/>
              </w:rPr>
            </w:pPr>
            <w:hyperlink r:id="rId15" w:history="1">
              <w:r w:rsidRPr="00C878A3">
                <w:rPr>
                  <w:rFonts w:eastAsiaTheme="minorHAnsi"/>
                  <w:color w:val="0000FF"/>
                  <w:szCs w:val="24"/>
                  <w:u w:val="single"/>
                </w:rPr>
                <w:t>rmains@bricker.com</w:t>
              </w:r>
            </w:hyperlink>
          </w:p>
          <w:p w:rsidR="00736EB5" w:rsidRPr="00C878A3" w:rsidP="005B1148" w14:paraId="714EA018" w14:textId="77777777">
            <w:pPr>
              <w:pStyle w:val="BodyText"/>
              <w:rPr>
                <w:rFonts w:eastAsiaTheme="minorHAnsi"/>
                <w:color w:val="0000FF"/>
                <w:szCs w:val="24"/>
                <w:u w:val="single"/>
              </w:rPr>
            </w:pPr>
            <w:hyperlink r:id="rId16" w:history="1">
              <w:r w:rsidRPr="00C878A3">
                <w:rPr>
                  <w:rFonts w:eastAsiaTheme="minorHAnsi"/>
                  <w:color w:val="0000FF"/>
                  <w:szCs w:val="24"/>
                  <w:u w:val="single"/>
                </w:rPr>
                <w:t>khernstein@bricker.com</w:t>
              </w:r>
            </w:hyperlink>
          </w:p>
          <w:p w:rsidR="00736EB5" w:rsidP="005B1148" w14:paraId="7060AECE" w14:textId="5FD5EE7E">
            <w:pPr>
              <w:pStyle w:val="BodyText"/>
              <w:rPr>
                <w:rFonts w:eastAsiaTheme="minorHAnsi"/>
                <w:color w:val="0000FF"/>
                <w:szCs w:val="24"/>
                <w:u w:val="single"/>
              </w:rPr>
            </w:pPr>
            <w:hyperlink r:id="rId17" w:history="1">
              <w:r w:rsidRPr="00C878A3">
                <w:rPr>
                  <w:rFonts w:eastAsiaTheme="minorHAnsi"/>
                  <w:color w:val="0000FF"/>
                  <w:szCs w:val="24"/>
                  <w:u w:val="single"/>
                </w:rPr>
                <w:t>mwarnock@bricker.com</w:t>
              </w:r>
            </w:hyperlink>
          </w:p>
          <w:p w:rsidR="003E32B4" w:rsidRPr="00C878A3" w:rsidP="005B1148" w14:paraId="2D2B3270" w14:textId="5B764DE5">
            <w:pPr>
              <w:pStyle w:val="BodyText"/>
              <w:rPr>
                <w:rFonts w:eastAsiaTheme="minorHAnsi"/>
                <w:color w:val="0000FF"/>
                <w:szCs w:val="24"/>
                <w:u w:val="single"/>
              </w:rPr>
            </w:pPr>
            <w:r w:rsidRPr="003E32B4">
              <w:rPr>
                <w:rFonts w:eastAsiaTheme="minorHAnsi"/>
                <w:color w:val="0000FF"/>
                <w:szCs w:val="24"/>
                <w:u w:val="single"/>
              </w:rPr>
              <w:t>dborchers@bricker.com</w:t>
            </w:r>
          </w:p>
          <w:p w:rsidR="00736EB5" w:rsidRPr="00C878A3" w:rsidP="005B1148" w14:paraId="481EF8DD" w14:textId="77777777">
            <w:pPr>
              <w:pStyle w:val="BodyText"/>
              <w:rPr>
                <w:rFonts w:eastAsiaTheme="minorHAnsi"/>
                <w:color w:val="0000FF"/>
                <w:szCs w:val="24"/>
                <w:u w:val="single"/>
              </w:rPr>
            </w:pPr>
            <w:hyperlink r:id="rId18" w:history="1">
              <w:r w:rsidRPr="00C878A3">
                <w:rPr>
                  <w:rFonts w:eastAsiaTheme="minorHAnsi"/>
                  <w:color w:val="0000FF"/>
                  <w:szCs w:val="24"/>
                  <w:u w:val="single"/>
                </w:rPr>
                <w:t>little@litohio.com</w:t>
              </w:r>
            </w:hyperlink>
          </w:p>
          <w:p w:rsidR="00736EB5" w:rsidRPr="00C878A3" w:rsidP="005B1148" w14:paraId="673E2301" w14:textId="77777777">
            <w:pPr>
              <w:pStyle w:val="BodyText"/>
              <w:rPr>
                <w:rFonts w:eastAsiaTheme="minorHAnsi"/>
                <w:color w:val="0000FF"/>
                <w:szCs w:val="24"/>
                <w:u w:val="single"/>
              </w:rPr>
            </w:pPr>
            <w:hyperlink r:id="rId19" w:history="1">
              <w:r w:rsidRPr="00C878A3">
                <w:rPr>
                  <w:rFonts w:eastAsiaTheme="minorHAnsi"/>
                  <w:color w:val="0000FF"/>
                  <w:szCs w:val="24"/>
                  <w:u w:val="single"/>
                </w:rPr>
                <w:t>hogan@litohio.com</w:t>
              </w:r>
            </w:hyperlink>
          </w:p>
          <w:p w:rsidR="00736EB5" w:rsidRPr="00C878A3" w:rsidP="005B1148" w14:paraId="55D1CCB5" w14:textId="77777777">
            <w:pPr>
              <w:pStyle w:val="BodyText"/>
              <w:rPr>
                <w:rFonts w:eastAsiaTheme="minorHAnsi"/>
                <w:color w:val="0000FF"/>
                <w:szCs w:val="24"/>
                <w:u w:val="single"/>
              </w:rPr>
            </w:pPr>
            <w:hyperlink r:id="rId20" w:history="1">
              <w:r w:rsidRPr="00C878A3">
                <w:rPr>
                  <w:rFonts w:eastAsiaTheme="minorHAnsi"/>
                  <w:color w:val="0000FF"/>
                  <w:szCs w:val="24"/>
                  <w:u w:val="single"/>
                </w:rPr>
                <w:t>ktreadway@oneenergyllc.com</w:t>
              </w:r>
            </w:hyperlink>
          </w:p>
          <w:p w:rsidR="00736EB5" w:rsidRPr="00C878A3" w:rsidP="005B1148" w14:paraId="6CA71272" w14:textId="77777777">
            <w:pPr>
              <w:pStyle w:val="BodyText"/>
              <w:rPr>
                <w:rFonts w:eastAsiaTheme="minorHAnsi"/>
                <w:color w:val="0000FF"/>
                <w:szCs w:val="24"/>
                <w:u w:val="single"/>
              </w:rPr>
            </w:pPr>
            <w:hyperlink r:id="rId21" w:history="1">
              <w:r w:rsidRPr="00C878A3">
                <w:rPr>
                  <w:rFonts w:eastAsiaTheme="minorHAnsi"/>
                  <w:color w:val="0000FF"/>
                  <w:szCs w:val="24"/>
                  <w:u w:val="single"/>
                </w:rPr>
                <w:t>jdunn@oneenergyllc.com</w:t>
              </w:r>
            </w:hyperlink>
          </w:p>
          <w:p w:rsidR="00736EB5" w:rsidRPr="00C878A3" w:rsidP="005B1148" w14:paraId="7CD059CE" w14:textId="1224FCE2">
            <w:pPr>
              <w:pStyle w:val="BodyText"/>
              <w:rPr>
                <w:rFonts w:eastAsiaTheme="minorHAnsi"/>
                <w:color w:val="0000FF"/>
                <w:szCs w:val="24"/>
                <w:u w:val="single"/>
              </w:rPr>
            </w:pPr>
            <w:hyperlink r:id="rId22" w:history="1">
              <w:r w:rsidRPr="00C878A3">
                <w:rPr>
                  <w:rFonts w:eastAsiaTheme="minorHAnsi"/>
                  <w:color w:val="0000FF"/>
                  <w:szCs w:val="24"/>
                  <w:u w:val="single"/>
                </w:rPr>
                <w:t>whitt@whitt-sturtevant.com</w:t>
              </w:r>
            </w:hyperlink>
          </w:p>
          <w:p w:rsidR="00736EB5" w:rsidP="005B1148" w14:paraId="60123F0D" w14:textId="6C7C6557">
            <w:pPr>
              <w:autoSpaceDE w:val="0"/>
              <w:autoSpaceDN w:val="0"/>
              <w:adjustRightInd w:val="0"/>
              <w:rPr>
                <w:color w:val="0000FF"/>
                <w:szCs w:val="24"/>
                <w:u w:val="single"/>
              </w:rPr>
            </w:pPr>
            <w:hyperlink r:id="rId23" w:history="1">
              <w:r w:rsidRPr="00C878A3">
                <w:rPr>
                  <w:color w:val="0000FF"/>
                  <w:szCs w:val="24"/>
                  <w:u w:val="single"/>
                </w:rPr>
                <w:t>rhartley@fbtlaw.com</w:t>
              </w:r>
            </w:hyperlink>
          </w:p>
          <w:p w:rsidR="00131990" w:rsidRPr="00C878A3" w:rsidP="005B1148" w14:paraId="7B48BB54" w14:textId="30CD7EB7">
            <w:pPr>
              <w:autoSpaceDE w:val="0"/>
              <w:autoSpaceDN w:val="0"/>
              <w:adjustRightInd w:val="0"/>
              <w:rPr>
                <w:color w:val="0000FF"/>
                <w:szCs w:val="24"/>
                <w:u w:val="single"/>
              </w:rPr>
            </w:pPr>
            <w:r w:rsidRPr="00131990">
              <w:rPr>
                <w:color w:val="0000FF"/>
                <w:szCs w:val="24"/>
                <w:u w:val="single"/>
              </w:rPr>
              <w:t>dcraig@fbtlaw.com</w:t>
            </w:r>
          </w:p>
          <w:p w:rsidR="00736EB5" w:rsidRPr="00C878A3" w:rsidP="005B1148" w14:paraId="3709C272" w14:textId="77777777">
            <w:pPr>
              <w:autoSpaceDE w:val="0"/>
              <w:autoSpaceDN w:val="0"/>
              <w:adjustRightInd w:val="0"/>
              <w:rPr>
                <w:color w:val="0000FF"/>
                <w:szCs w:val="24"/>
                <w:u w:val="single"/>
              </w:rPr>
            </w:pPr>
            <w:hyperlink r:id="rId24" w:history="1">
              <w:r w:rsidRPr="00C878A3">
                <w:rPr>
                  <w:color w:val="0000FF"/>
                  <w:szCs w:val="24"/>
                  <w:u w:val="single"/>
                </w:rPr>
                <w:t>cwieg@fbtlaw.com</w:t>
              </w:r>
            </w:hyperlink>
          </w:p>
          <w:p w:rsidR="00736EB5" w:rsidRPr="00C878A3" w:rsidP="005B1148" w14:paraId="0C755866" w14:textId="77777777">
            <w:pPr>
              <w:autoSpaceDE w:val="0"/>
              <w:autoSpaceDN w:val="0"/>
              <w:adjustRightInd w:val="0"/>
              <w:rPr>
                <w:color w:val="0000FF"/>
                <w:szCs w:val="24"/>
                <w:u w:val="single"/>
              </w:rPr>
            </w:pPr>
            <w:hyperlink r:id="rId25" w:history="1">
              <w:r w:rsidRPr="00C878A3">
                <w:rPr>
                  <w:color w:val="0000FF"/>
                  <w:szCs w:val="24"/>
                  <w:u w:val="single"/>
                </w:rPr>
                <w:t>talexander@beneschlaw.com</w:t>
              </w:r>
            </w:hyperlink>
          </w:p>
          <w:p w:rsidR="00736EB5" w:rsidRPr="00C878A3" w:rsidP="005B1148" w14:paraId="0CCCF163" w14:textId="77777777">
            <w:pPr>
              <w:autoSpaceDE w:val="0"/>
              <w:autoSpaceDN w:val="0"/>
              <w:adjustRightInd w:val="0"/>
              <w:rPr>
                <w:color w:val="0000FF"/>
                <w:szCs w:val="24"/>
                <w:u w:val="single"/>
              </w:rPr>
            </w:pPr>
            <w:hyperlink r:id="rId26" w:history="1">
              <w:r w:rsidRPr="00C878A3">
                <w:rPr>
                  <w:color w:val="0000FF"/>
                  <w:szCs w:val="24"/>
                  <w:u w:val="single"/>
                </w:rPr>
                <w:t>khehmeyer@beneschlaw.com</w:t>
              </w:r>
            </w:hyperlink>
          </w:p>
          <w:p w:rsidR="00736EB5" w:rsidRPr="00C878A3" w:rsidP="005B1148" w14:paraId="35339440" w14:textId="77777777">
            <w:pPr>
              <w:autoSpaceDE w:val="0"/>
              <w:autoSpaceDN w:val="0"/>
              <w:adjustRightInd w:val="0"/>
              <w:rPr>
                <w:color w:val="0000FF"/>
                <w:szCs w:val="24"/>
                <w:u w:val="single"/>
              </w:rPr>
            </w:pPr>
            <w:hyperlink r:id="rId27" w:history="1">
              <w:r w:rsidRPr="00C878A3">
                <w:rPr>
                  <w:color w:val="0000FF"/>
                  <w:szCs w:val="24"/>
                  <w:u w:val="single"/>
                </w:rPr>
                <w:t>jweber@elpc.org</w:t>
              </w:r>
            </w:hyperlink>
          </w:p>
          <w:p w:rsidR="00736EB5" w:rsidRPr="00C878A3" w:rsidP="005B1148" w14:paraId="16CB19BE" w14:textId="77777777">
            <w:pPr>
              <w:autoSpaceDE w:val="0"/>
              <w:autoSpaceDN w:val="0"/>
              <w:adjustRightInd w:val="0"/>
              <w:rPr>
                <w:color w:val="0000FF"/>
                <w:szCs w:val="24"/>
                <w:u w:val="single"/>
              </w:rPr>
            </w:pPr>
          </w:p>
          <w:p w:rsidR="00736EB5" w:rsidRPr="00C878A3" w:rsidP="005B1148" w14:paraId="08A7543C" w14:textId="77777777">
            <w:pPr>
              <w:rPr>
                <w:color w:val="auto"/>
                <w:szCs w:val="24"/>
              </w:rPr>
            </w:pPr>
            <w:r w:rsidRPr="00C878A3">
              <w:rPr>
                <w:color w:val="auto"/>
                <w:szCs w:val="24"/>
              </w:rPr>
              <w:t>Attorney Examiners:</w:t>
            </w:r>
          </w:p>
          <w:p w:rsidR="00736EB5" w:rsidRPr="00C878A3" w:rsidP="005B1148" w14:paraId="2BC5E30B" w14:textId="77777777">
            <w:pPr>
              <w:adjustRightInd w:val="0"/>
              <w:rPr>
                <w:color w:val="0000FF"/>
                <w:szCs w:val="24"/>
                <w:u w:val="single"/>
              </w:rPr>
            </w:pPr>
            <w:hyperlink r:id="rId28" w:history="1">
              <w:r w:rsidRPr="00C878A3">
                <w:rPr>
                  <w:color w:val="0000FF"/>
                  <w:szCs w:val="24"/>
                  <w:u w:val="single"/>
                </w:rPr>
                <w:t>patricia.schabo@puco.ohio.gov</w:t>
              </w:r>
            </w:hyperlink>
          </w:p>
          <w:p w:rsidR="00736EB5" w:rsidRPr="00C878A3" w:rsidP="005B1148" w14:paraId="61A3D5CA" w14:textId="0367C31E">
            <w:pPr>
              <w:rPr>
                <w:color w:val="0000FF"/>
                <w:szCs w:val="24"/>
                <w:u w:val="single"/>
              </w:rPr>
            </w:pPr>
            <w:r>
              <w:rPr>
                <w:color w:val="0000FF"/>
                <w:szCs w:val="24"/>
                <w:u w:val="single"/>
              </w:rPr>
              <w:t>m</w:t>
            </w:r>
            <w:r w:rsidRPr="00C878A3">
              <w:rPr>
                <w:color w:val="0000FF"/>
                <w:szCs w:val="24"/>
                <w:u w:val="single"/>
              </w:rPr>
              <w:t>ichael.williams@puco.ohio.gov</w:t>
            </w:r>
          </w:p>
        </w:tc>
        <w:tc>
          <w:tcPr>
            <w:tcW w:w="4428" w:type="dxa"/>
            <w:shd w:val="clear" w:color="auto" w:fill="auto"/>
          </w:tcPr>
          <w:p w:rsidR="00736EB5" w:rsidRPr="00C878A3" w:rsidP="005B1148" w14:paraId="654D9A72" w14:textId="77777777">
            <w:pPr>
              <w:pStyle w:val="BodyText"/>
              <w:rPr>
                <w:rFonts w:eastAsiaTheme="minorHAnsi"/>
                <w:color w:val="0000FF"/>
                <w:szCs w:val="24"/>
                <w:u w:val="single"/>
              </w:rPr>
            </w:pPr>
            <w:hyperlink r:id="rId29" w:history="1">
              <w:r w:rsidRPr="00C878A3">
                <w:rPr>
                  <w:rFonts w:eastAsiaTheme="minorHAnsi"/>
                  <w:color w:val="0000FF"/>
                  <w:szCs w:val="24"/>
                  <w:u w:val="single"/>
                </w:rPr>
                <w:t>bojko@carpenterlipps.com</w:t>
              </w:r>
            </w:hyperlink>
          </w:p>
          <w:p w:rsidR="00736EB5" w:rsidP="005B1148" w14:paraId="6D2AEF1D" w14:textId="7A8E6E13">
            <w:pPr>
              <w:pStyle w:val="BodyText"/>
              <w:rPr>
                <w:rFonts w:eastAsiaTheme="minorHAnsi"/>
                <w:color w:val="0000FF"/>
                <w:szCs w:val="24"/>
                <w:u w:val="single"/>
              </w:rPr>
            </w:pPr>
            <w:hyperlink r:id="rId30" w:history="1">
              <w:r w:rsidRPr="00C878A3">
                <w:rPr>
                  <w:rFonts w:eastAsiaTheme="minorHAnsi"/>
                  <w:color w:val="0000FF"/>
                  <w:szCs w:val="24"/>
                  <w:u w:val="single"/>
                </w:rPr>
                <w:t>paul@carpenterlipps.com</w:t>
              </w:r>
            </w:hyperlink>
          </w:p>
          <w:p w:rsidR="00637466" w:rsidRPr="00C878A3" w:rsidP="005B1148" w14:paraId="6F0F4519" w14:textId="5354E2D2">
            <w:pPr>
              <w:pStyle w:val="BodyText"/>
              <w:rPr>
                <w:rFonts w:eastAsiaTheme="minorHAnsi"/>
                <w:color w:val="0000FF"/>
                <w:szCs w:val="24"/>
                <w:u w:val="single"/>
              </w:rPr>
            </w:pPr>
            <w:r w:rsidRPr="00637466">
              <w:rPr>
                <w:rFonts w:eastAsiaTheme="minorHAnsi"/>
                <w:color w:val="0000FF"/>
                <w:szCs w:val="24"/>
                <w:u w:val="single"/>
              </w:rPr>
              <w:t>wygonski@carpenterlipps.com</w:t>
            </w:r>
          </w:p>
          <w:p w:rsidR="00736EB5" w:rsidRPr="00C878A3" w:rsidP="005B1148" w14:paraId="0EBA3F41" w14:textId="77777777">
            <w:pPr>
              <w:autoSpaceDE w:val="0"/>
              <w:autoSpaceDN w:val="0"/>
              <w:adjustRightInd w:val="0"/>
              <w:rPr>
                <w:color w:val="0000FF"/>
                <w:szCs w:val="24"/>
                <w:u w:val="single"/>
              </w:rPr>
            </w:pPr>
            <w:r w:rsidRPr="00C878A3">
              <w:rPr>
                <w:color w:val="0000FF"/>
                <w:szCs w:val="24"/>
                <w:u w:val="single"/>
              </w:rPr>
              <w:t>jsharkey@ficlaw.com</w:t>
            </w:r>
          </w:p>
          <w:p w:rsidR="00736EB5" w:rsidRPr="00476AA1" w:rsidP="005B1148" w14:paraId="1A1968EC" w14:textId="01906071">
            <w:pPr>
              <w:autoSpaceDE w:val="0"/>
              <w:autoSpaceDN w:val="0"/>
              <w:adjustRightInd w:val="0"/>
              <w:rPr>
                <w:color w:val="0000FF"/>
                <w:szCs w:val="24"/>
                <w:u w:val="single"/>
              </w:rPr>
            </w:pPr>
            <w:hyperlink r:id="rId31" w:history="1">
              <w:r w:rsidRPr="00476AA1" w:rsidR="00637466">
                <w:rPr>
                  <w:rStyle w:val="Hyperlink"/>
                  <w:color w:val="0000FF"/>
                  <w:szCs w:val="24"/>
                </w:rPr>
                <w:t>djireland@ficlaw.com</w:t>
              </w:r>
            </w:hyperlink>
          </w:p>
          <w:p w:rsidR="003E430A" w:rsidRPr="00476AA1" w:rsidP="005B1148" w14:paraId="2DC3ED7D" w14:textId="4B1F8577">
            <w:pPr>
              <w:autoSpaceDE w:val="0"/>
              <w:autoSpaceDN w:val="0"/>
              <w:adjustRightInd w:val="0"/>
              <w:rPr>
                <w:color w:val="0000FF"/>
                <w:szCs w:val="24"/>
                <w:u w:val="single"/>
              </w:rPr>
            </w:pPr>
            <w:hyperlink r:id="rId32" w:history="1">
              <w:r w:rsidRPr="00476AA1">
                <w:rPr>
                  <w:rStyle w:val="Hyperlink"/>
                  <w:color w:val="0000FF"/>
                  <w:szCs w:val="24"/>
                </w:rPr>
                <w:t>mwatt@ficlaw.com</w:t>
              </w:r>
            </w:hyperlink>
          </w:p>
          <w:p w:rsidR="00637466" w:rsidRPr="00C878A3" w:rsidP="005B1148" w14:paraId="0F68E8FA" w14:textId="131F2B11">
            <w:pPr>
              <w:autoSpaceDE w:val="0"/>
              <w:autoSpaceDN w:val="0"/>
              <w:adjustRightInd w:val="0"/>
              <w:rPr>
                <w:color w:val="0000FF"/>
                <w:szCs w:val="24"/>
                <w:u w:val="single"/>
              </w:rPr>
            </w:pPr>
            <w:r w:rsidRPr="00637466">
              <w:rPr>
                <w:color w:val="0000FF"/>
                <w:szCs w:val="24"/>
                <w:u w:val="single"/>
              </w:rPr>
              <w:t>christopher.hollon@aes.com</w:t>
            </w:r>
          </w:p>
          <w:p w:rsidR="00736EB5" w:rsidRPr="00C878A3" w:rsidP="005B1148" w14:paraId="776C8B89" w14:textId="77777777">
            <w:pPr>
              <w:autoSpaceDE w:val="0"/>
              <w:autoSpaceDN w:val="0"/>
              <w:adjustRightInd w:val="0"/>
              <w:rPr>
                <w:color w:val="0000FF"/>
                <w:szCs w:val="24"/>
                <w:u w:val="single"/>
              </w:rPr>
            </w:pPr>
            <w:r w:rsidRPr="00C878A3">
              <w:rPr>
                <w:color w:val="0000FF"/>
                <w:szCs w:val="24"/>
                <w:u w:val="single"/>
              </w:rPr>
              <w:t>mkurtz@BKLlawfirm.com</w:t>
            </w:r>
          </w:p>
          <w:p w:rsidR="00736EB5" w:rsidRPr="00C878A3" w:rsidP="005B1148" w14:paraId="1A31F06C" w14:textId="77777777">
            <w:pPr>
              <w:autoSpaceDE w:val="0"/>
              <w:autoSpaceDN w:val="0"/>
              <w:adjustRightInd w:val="0"/>
              <w:rPr>
                <w:color w:val="0000FF"/>
                <w:szCs w:val="24"/>
                <w:u w:val="single"/>
              </w:rPr>
            </w:pPr>
            <w:r w:rsidRPr="00C878A3">
              <w:rPr>
                <w:color w:val="0000FF"/>
                <w:szCs w:val="24"/>
                <w:u w:val="single"/>
              </w:rPr>
              <w:t>kboehm@BKLlawfirm.com</w:t>
            </w:r>
          </w:p>
          <w:p w:rsidR="00736EB5" w:rsidRPr="00C878A3" w:rsidP="005B1148" w14:paraId="08E11736" w14:textId="77777777">
            <w:pPr>
              <w:pStyle w:val="BodyText"/>
              <w:rPr>
                <w:rFonts w:eastAsiaTheme="minorHAnsi"/>
                <w:color w:val="0000FF"/>
                <w:szCs w:val="24"/>
                <w:u w:val="single"/>
              </w:rPr>
            </w:pPr>
            <w:hyperlink r:id="rId33" w:history="1">
              <w:r w:rsidRPr="00C878A3">
                <w:rPr>
                  <w:rFonts w:eastAsiaTheme="minorHAnsi"/>
                  <w:color w:val="0000FF"/>
                  <w:szCs w:val="24"/>
                  <w:u w:val="single"/>
                </w:rPr>
                <w:t>jkylercohn@BKLlawfirm.com</w:t>
              </w:r>
            </w:hyperlink>
          </w:p>
          <w:p w:rsidR="00736EB5" w:rsidRPr="00C878A3" w:rsidP="005B1148" w14:paraId="3E441A08" w14:textId="77777777">
            <w:pPr>
              <w:pStyle w:val="BodyText"/>
              <w:rPr>
                <w:rFonts w:eastAsiaTheme="minorHAnsi"/>
                <w:color w:val="0000FF"/>
                <w:szCs w:val="24"/>
                <w:u w:val="single"/>
              </w:rPr>
            </w:pPr>
            <w:hyperlink r:id="rId34" w:history="1">
              <w:r w:rsidRPr="00C878A3">
                <w:rPr>
                  <w:rFonts w:eastAsiaTheme="minorHAnsi"/>
                  <w:color w:val="0000FF"/>
                  <w:szCs w:val="24"/>
                  <w:u w:val="single"/>
                </w:rPr>
                <w:t>bethany.allen@igs.com</w:t>
              </w:r>
            </w:hyperlink>
          </w:p>
          <w:p w:rsidR="00736EB5" w:rsidRPr="00C878A3" w:rsidP="005B1148" w14:paraId="55A76D36" w14:textId="77777777">
            <w:pPr>
              <w:pStyle w:val="BodyText"/>
              <w:rPr>
                <w:rFonts w:eastAsiaTheme="minorHAnsi"/>
                <w:color w:val="0000FF"/>
                <w:szCs w:val="24"/>
                <w:u w:val="single"/>
              </w:rPr>
            </w:pPr>
            <w:hyperlink r:id="rId35" w:history="1">
              <w:r w:rsidRPr="00C878A3">
                <w:rPr>
                  <w:rFonts w:eastAsiaTheme="minorHAnsi"/>
                  <w:color w:val="0000FF"/>
                  <w:szCs w:val="24"/>
                  <w:u w:val="single"/>
                </w:rPr>
                <w:t>Joe.oliker@igs.com</w:t>
              </w:r>
            </w:hyperlink>
          </w:p>
          <w:p w:rsidR="00736EB5" w:rsidRPr="00C878A3" w:rsidP="005B1148" w14:paraId="13159553" w14:textId="77777777">
            <w:pPr>
              <w:pStyle w:val="BodyText"/>
              <w:rPr>
                <w:rFonts w:eastAsiaTheme="minorHAnsi"/>
                <w:color w:val="0000FF"/>
                <w:szCs w:val="24"/>
                <w:u w:val="single"/>
              </w:rPr>
            </w:pPr>
            <w:hyperlink r:id="rId36" w:history="1">
              <w:r w:rsidRPr="00C878A3">
                <w:rPr>
                  <w:rFonts w:eastAsiaTheme="minorHAnsi"/>
                  <w:color w:val="0000FF"/>
                  <w:szCs w:val="24"/>
                  <w:u w:val="single"/>
                </w:rPr>
                <w:t>Michael.nugent@igs.com</w:t>
              </w:r>
            </w:hyperlink>
          </w:p>
          <w:p w:rsidR="00736EB5" w:rsidRPr="00C878A3" w:rsidP="005B1148" w14:paraId="3E0E496D" w14:textId="77777777">
            <w:pPr>
              <w:pStyle w:val="BodyText"/>
              <w:rPr>
                <w:rFonts w:eastAsiaTheme="minorHAnsi"/>
                <w:color w:val="0000FF"/>
                <w:szCs w:val="24"/>
                <w:u w:val="single"/>
              </w:rPr>
            </w:pPr>
            <w:hyperlink r:id="rId37" w:history="1">
              <w:r w:rsidRPr="00C878A3">
                <w:rPr>
                  <w:rFonts w:eastAsiaTheme="minorHAnsi"/>
                  <w:color w:val="0000FF"/>
                  <w:szCs w:val="24"/>
                  <w:u w:val="single"/>
                </w:rPr>
                <w:t>Evan.betterton@igs.com</w:t>
              </w:r>
            </w:hyperlink>
          </w:p>
          <w:p w:rsidR="00736EB5" w:rsidRPr="00C878A3" w:rsidP="005B1148" w14:paraId="45239DE2" w14:textId="77777777">
            <w:pPr>
              <w:pStyle w:val="BodyText"/>
              <w:rPr>
                <w:rFonts w:eastAsiaTheme="minorHAnsi"/>
                <w:color w:val="0000FF"/>
                <w:szCs w:val="24"/>
                <w:u w:val="single"/>
              </w:rPr>
            </w:pPr>
            <w:hyperlink r:id="rId38" w:history="1">
              <w:r w:rsidRPr="00C878A3">
                <w:rPr>
                  <w:rFonts w:eastAsiaTheme="minorHAnsi"/>
                  <w:color w:val="0000FF"/>
                  <w:szCs w:val="24"/>
                  <w:u w:val="single"/>
                </w:rPr>
                <w:t>Stephanie.chmiel@thompsonhine.com</w:t>
              </w:r>
            </w:hyperlink>
          </w:p>
          <w:p w:rsidR="00736EB5" w:rsidRPr="00C878A3" w:rsidP="005B1148" w14:paraId="026CC54A" w14:textId="77777777">
            <w:pPr>
              <w:pStyle w:val="BodyText"/>
              <w:rPr>
                <w:rFonts w:eastAsiaTheme="minorHAnsi"/>
                <w:color w:val="0000FF"/>
                <w:szCs w:val="24"/>
                <w:u w:val="single"/>
              </w:rPr>
            </w:pPr>
            <w:hyperlink r:id="rId39" w:history="1">
              <w:r w:rsidRPr="00C878A3">
                <w:rPr>
                  <w:rFonts w:eastAsiaTheme="minorHAnsi"/>
                  <w:color w:val="0000FF"/>
                  <w:szCs w:val="24"/>
                  <w:u w:val="single"/>
                </w:rPr>
                <w:t>Kevin.oles@thompsonhine.com</w:t>
              </w:r>
            </w:hyperlink>
          </w:p>
          <w:p w:rsidR="00736EB5" w:rsidRPr="00C878A3" w:rsidP="005B1148" w14:paraId="2C6CF4C2" w14:textId="77777777">
            <w:pPr>
              <w:pStyle w:val="BodyText"/>
              <w:rPr>
                <w:rFonts w:eastAsiaTheme="minorHAnsi"/>
                <w:color w:val="0000FF"/>
                <w:szCs w:val="24"/>
                <w:u w:val="single"/>
              </w:rPr>
            </w:pPr>
            <w:hyperlink r:id="rId40" w:history="1">
              <w:r w:rsidRPr="00C878A3">
                <w:rPr>
                  <w:rFonts w:eastAsiaTheme="minorHAnsi"/>
                  <w:color w:val="0000FF"/>
                  <w:szCs w:val="24"/>
                  <w:u w:val="single"/>
                </w:rPr>
                <w:t>rdove@keglerbrown.com</w:t>
              </w:r>
            </w:hyperlink>
          </w:p>
          <w:p w:rsidR="00736EB5" w:rsidRPr="00C878A3" w:rsidP="005B1148" w14:paraId="6AF68B11" w14:textId="77777777">
            <w:pPr>
              <w:pStyle w:val="BodyText"/>
              <w:rPr>
                <w:rFonts w:eastAsiaTheme="minorHAnsi"/>
                <w:color w:val="0000FF"/>
                <w:szCs w:val="24"/>
                <w:u w:val="single"/>
              </w:rPr>
            </w:pPr>
            <w:hyperlink r:id="rId41" w:history="1">
              <w:r w:rsidRPr="00C878A3">
                <w:rPr>
                  <w:rFonts w:eastAsiaTheme="minorHAnsi"/>
                  <w:color w:val="0000FF"/>
                  <w:szCs w:val="24"/>
                  <w:u w:val="single"/>
                </w:rPr>
                <w:t>cgrundmann@spilmanlaw.com</w:t>
              </w:r>
            </w:hyperlink>
          </w:p>
          <w:p w:rsidR="00736EB5" w:rsidRPr="00C878A3" w:rsidP="005B1148" w14:paraId="51B88048" w14:textId="66FF2BB8">
            <w:pPr>
              <w:pStyle w:val="BodyText"/>
              <w:rPr>
                <w:rFonts w:eastAsiaTheme="minorHAnsi"/>
                <w:color w:val="0000FF"/>
                <w:szCs w:val="24"/>
                <w:u w:val="single"/>
              </w:rPr>
            </w:pPr>
            <w:hyperlink r:id="rId42" w:history="1">
              <w:r w:rsidRPr="00C878A3">
                <w:rPr>
                  <w:rFonts w:eastAsiaTheme="minorHAnsi"/>
                  <w:color w:val="0000FF"/>
                  <w:szCs w:val="24"/>
                  <w:u w:val="single"/>
                </w:rPr>
                <w:t>dwilliamson@spilmanlaw.com</w:t>
              </w:r>
            </w:hyperlink>
          </w:p>
          <w:p w:rsidR="00736EB5" w:rsidRPr="00C878A3" w:rsidP="005B1148" w14:paraId="2E1E3920" w14:textId="77777777">
            <w:pPr>
              <w:pStyle w:val="BodyText"/>
              <w:rPr>
                <w:rFonts w:eastAsiaTheme="minorHAnsi"/>
                <w:color w:val="0000FF"/>
                <w:szCs w:val="24"/>
                <w:u w:val="single"/>
              </w:rPr>
            </w:pPr>
            <w:hyperlink r:id="rId43" w:history="1">
              <w:r w:rsidRPr="00C878A3">
                <w:rPr>
                  <w:rFonts w:eastAsiaTheme="minorHAnsi"/>
                  <w:color w:val="0000FF"/>
                  <w:szCs w:val="24"/>
                  <w:u w:val="single"/>
                </w:rPr>
                <w:t>ctavenor@theOEC.org</w:t>
              </w:r>
            </w:hyperlink>
          </w:p>
          <w:p w:rsidR="00736EB5" w:rsidRPr="00C878A3" w:rsidP="005B1148" w14:paraId="58825AD6" w14:textId="77777777">
            <w:pPr>
              <w:pStyle w:val="BodyText"/>
              <w:rPr>
                <w:rFonts w:eastAsiaTheme="minorHAnsi"/>
                <w:color w:val="0000FF"/>
                <w:szCs w:val="24"/>
                <w:u w:val="single"/>
              </w:rPr>
            </w:pPr>
          </w:p>
        </w:tc>
      </w:tr>
    </w:tbl>
    <w:p w:rsidR="00C77AB9" w:rsidRPr="00C878A3" w:rsidP="00C77AB9" w14:paraId="4703828D" w14:textId="77777777">
      <w:pPr>
        <w:rPr>
          <w:szCs w:val="24"/>
        </w:rPr>
      </w:pPr>
    </w:p>
    <w:p w:rsidR="00AA2AA1" w:rsidRPr="00C878A3" w:rsidP="00C77AB9" w14:paraId="2F4C627E" w14:textId="5C757AC3">
      <w:pPr>
        <w:jc w:val="center"/>
        <w:rPr>
          <w:b/>
          <w:bCs/>
          <w:szCs w:val="24"/>
          <w:u w:val="single"/>
        </w:rPr>
      </w:pPr>
    </w:p>
    <w:sectPr w:rsidSect="00111344">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10B4" w14:paraId="08D4CDB2" w14:textId="0B9CDD4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49576187"/>
      <w:docPartObj>
        <w:docPartGallery w:val="Page Numbers (Bottom of Page)"/>
        <w:docPartUnique/>
      </w:docPartObj>
    </w:sdtPr>
    <w:sdtEndPr>
      <w:rPr>
        <w:noProof/>
      </w:rPr>
    </w:sdtEndPr>
    <w:sdtContent>
      <w:p w:rsidR="009E036E" w14:paraId="2561105F" w14:textId="0FA936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79018943"/>
      <w:docPartObj>
        <w:docPartGallery w:val="Page Numbers (Bottom of Page)"/>
        <w:docPartUnique/>
      </w:docPartObj>
    </w:sdtPr>
    <w:sdtEndPr>
      <w:rPr>
        <w:noProof/>
      </w:rPr>
    </w:sdtEndPr>
    <w:sdtContent>
      <w:p w:rsidR="009E036E" w14:paraId="77A85578" w14:textId="23B513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29FB" w:rsidP="00AA2AA1" w14:paraId="2BF2DBFA" w14:textId="77777777">
      <w:r>
        <w:separator/>
      </w:r>
    </w:p>
  </w:footnote>
  <w:footnote w:type="continuationSeparator" w:id="1">
    <w:p w:rsidR="00AA29FB" w:rsidP="00AA2AA1" w14:paraId="2320B0CE" w14:textId="77777777">
      <w:r>
        <w:continuationSeparator/>
      </w:r>
    </w:p>
  </w:footnote>
  <w:footnote w:id="2">
    <w:p w:rsidR="00052A34" w:rsidRPr="00C878A3" w:rsidP="00C878A3" w14:paraId="4B0A817F" w14:textId="77777777">
      <w:pPr>
        <w:pStyle w:val="FootnoteText"/>
        <w:spacing w:after="120"/>
      </w:pPr>
      <w:r w:rsidRPr="00C878A3">
        <w:rPr>
          <w:rStyle w:val="FootnoteReference"/>
        </w:rPr>
        <w:footnoteRef/>
      </w:r>
      <w:r w:rsidRPr="00C878A3">
        <w:t xml:space="preserve"> J. Zuckerman, </w:t>
      </w:r>
      <w:r w:rsidRPr="00C878A3">
        <w:rPr>
          <w:i/>
          <w:iCs/>
        </w:rPr>
        <w:t>Millions of Ohioans face home gas and electric rate hikes</w:t>
      </w:r>
      <w:r w:rsidRPr="00C878A3">
        <w:t>, Ohio Capital Journal</w:t>
      </w:r>
      <w:r w:rsidRPr="00C878A3">
        <w:rPr>
          <w:i/>
          <w:iCs/>
        </w:rPr>
        <w:t xml:space="preserve"> </w:t>
      </w:r>
      <w:r w:rsidRPr="00C878A3">
        <w:t xml:space="preserve">(June 28, 2022); </w:t>
      </w:r>
      <w:r w:rsidRPr="00C878A3">
        <w:rPr>
          <w:i/>
          <w:iCs/>
        </w:rPr>
        <w:t xml:space="preserve">Consumer Price Index – November 2022, </w:t>
      </w:r>
      <w:r w:rsidRPr="00C878A3">
        <w:t xml:space="preserve">U.S. Bureau of Labor Statistics (Dec. 13, 2022) (reporting a 7.1% annual increase in inflation before seasonal adjustment); </w:t>
      </w:r>
      <w:r w:rsidRPr="00C878A3">
        <w:rPr>
          <w:i/>
          <w:iCs/>
        </w:rPr>
        <w:t xml:space="preserve">Ohio’s unemployment rate increased to 4.2% in October, </w:t>
      </w:r>
      <w:r w:rsidRPr="00C878A3">
        <w:t>Ohio Department of Jobs and Family Services (Nov. 18, 2022).</w:t>
      </w:r>
    </w:p>
  </w:footnote>
  <w:footnote w:id="3">
    <w:p w:rsidR="00052A34" w:rsidRPr="00C878A3" w:rsidP="00C878A3" w14:paraId="6D16AF2A" w14:textId="77777777">
      <w:pPr>
        <w:pStyle w:val="FootnoteText"/>
        <w:spacing w:after="120"/>
      </w:pPr>
      <w:r w:rsidRPr="00C878A3">
        <w:rPr>
          <w:rStyle w:val="FootnoteReference"/>
        </w:rPr>
        <w:footnoteRef/>
      </w:r>
      <w:r w:rsidRPr="00C878A3">
        <w:t xml:space="preserve"> S. Min, </w:t>
      </w:r>
      <w:r w:rsidRPr="00C878A3">
        <w:rPr>
          <w:i/>
          <w:iCs/>
        </w:rPr>
        <w:t xml:space="preserve">Dow closes out its worst day in three months, falls more than 700 points as recession fears grow, </w:t>
      </w:r>
      <w:r w:rsidRPr="00C878A3">
        <w:t>CNBC.com (Dec. 15, 2022).</w:t>
      </w:r>
    </w:p>
  </w:footnote>
  <w:footnote w:id="4">
    <w:p w:rsidR="00052A34" w:rsidRPr="00C878A3" w:rsidP="00C878A3" w14:paraId="1A4AC9C8" w14:textId="77777777">
      <w:pPr>
        <w:pStyle w:val="FootnoteText"/>
        <w:spacing w:after="120"/>
        <w:rPr>
          <w:i/>
        </w:rPr>
      </w:pPr>
      <w:r w:rsidRPr="00C878A3">
        <w:rPr>
          <w:rStyle w:val="FootnoteReference"/>
        </w:rPr>
        <w:footnoteRef/>
      </w:r>
      <w:r w:rsidRPr="00C878A3">
        <w:t xml:space="preserve"> </w:t>
      </w:r>
      <w:r w:rsidRPr="00C878A3">
        <w:rPr>
          <w:i/>
        </w:rPr>
        <w:t>Id.</w:t>
      </w:r>
    </w:p>
  </w:footnote>
  <w:footnote w:id="5">
    <w:p w:rsidR="000D0AC9" w:rsidRPr="00C878A3" w:rsidP="00C878A3" w14:paraId="731EC878" w14:textId="3B83790A">
      <w:pPr>
        <w:pStyle w:val="FootnoteText"/>
        <w:spacing w:after="120"/>
      </w:pPr>
      <w:r w:rsidRPr="00C878A3">
        <w:rPr>
          <w:rStyle w:val="FootnoteReference"/>
        </w:rPr>
        <w:footnoteRef/>
      </w:r>
      <w:r w:rsidRPr="00C878A3">
        <w:t xml:space="preserve"> Opinion and Order at ¶ 31 (Dec. 14, 2022).</w:t>
      </w:r>
    </w:p>
  </w:footnote>
  <w:footnote w:id="6">
    <w:p w:rsidR="000D0AC9" w:rsidRPr="00C878A3" w:rsidP="00C878A3" w14:paraId="3E6A4FEE" w14:textId="514E1E2D">
      <w:pPr>
        <w:pStyle w:val="FootnoteText"/>
        <w:spacing w:after="120"/>
      </w:pPr>
      <w:r w:rsidRPr="00C878A3">
        <w:rPr>
          <w:rStyle w:val="FootnoteReference"/>
        </w:rPr>
        <w:footnoteRef/>
      </w:r>
      <w:r w:rsidRPr="00C878A3">
        <w:t xml:space="preserve"> </w:t>
      </w:r>
      <w:r w:rsidRPr="00C878A3">
        <w:rPr>
          <w:i/>
          <w:iCs/>
        </w:rPr>
        <w:t xml:space="preserve">Id. </w:t>
      </w:r>
      <w:r w:rsidRPr="00C878A3">
        <w:t>at ¶ 32.</w:t>
      </w:r>
    </w:p>
  </w:footnote>
  <w:footnote w:id="7">
    <w:p w:rsidR="00225588" w:rsidRPr="00C878A3" w:rsidP="00C878A3" w14:paraId="7022D8F2" w14:textId="45753849">
      <w:pPr>
        <w:pStyle w:val="FootnoteText"/>
        <w:spacing w:after="120"/>
      </w:pPr>
      <w:r w:rsidRPr="00C878A3">
        <w:rPr>
          <w:rStyle w:val="FootnoteReference"/>
        </w:rPr>
        <w:footnoteRef/>
      </w:r>
      <w:r w:rsidRPr="00C878A3">
        <w:t xml:space="preserve"> </w:t>
      </w:r>
      <w:r w:rsidRPr="00C878A3">
        <w:rPr>
          <w:i/>
          <w:iCs/>
        </w:rPr>
        <w:t xml:space="preserve">Id. </w:t>
      </w:r>
      <w:r w:rsidRPr="00C878A3">
        <w:t>at ¶ 99.</w:t>
      </w:r>
    </w:p>
  </w:footnote>
  <w:footnote w:id="8">
    <w:p w:rsidR="00225588" w:rsidRPr="00C878A3" w:rsidP="00C878A3" w14:paraId="0906D2E6" w14:textId="7133FD91">
      <w:pPr>
        <w:pStyle w:val="FootnoteText"/>
        <w:spacing w:after="120"/>
        <w:rPr>
          <w:i/>
          <w:iCs/>
        </w:rPr>
      </w:pPr>
      <w:r w:rsidRPr="00C878A3">
        <w:rPr>
          <w:rStyle w:val="FootnoteReference"/>
        </w:rPr>
        <w:footnoteRef/>
      </w:r>
      <w:r w:rsidRPr="00C878A3">
        <w:t xml:space="preserve"> </w:t>
      </w:r>
      <w:r w:rsidRPr="00C878A3">
        <w:rPr>
          <w:i/>
          <w:iCs/>
        </w:rPr>
        <w:t xml:space="preserve">Id. </w:t>
      </w:r>
      <w:r w:rsidRPr="00C878A3">
        <w:t>at ¶ 227.</w:t>
      </w:r>
    </w:p>
  </w:footnote>
  <w:footnote w:id="9">
    <w:p w:rsidR="00423F6C" w:rsidRPr="00C878A3" w:rsidP="00C878A3" w14:paraId="161F5408" w14:textId="04916A60">
      <w:pPr>
        <w:pStyle w:val="FootnoteText"/>
        <w:spacing w:after="120"/>
      </w:pPr>
      <w:r w:rsidRPr="00C878A3">
        <w:rPr>
          <w:rStyle w:val="FootnoteReference"/>
        </w:rPr>
        <w:footnoteRef/>
      </w:r>
      <w:r w:rsidRPr="00C878A3">
        <w:t xml:space="preserve"> </w:t>
      </w:r>
      <w:r w:rsidRPr="00C878A3">
        <w:rPr>
          <w:i/>
          <w:iCs/>
        </w:rPr>
        <w:t xml:space="preserve">Id. </w:t>
      </w:r>
      <w:r w:rsidRPr="00C878A3">
        <w:t>at ¶ 225.</w:t>
      </w:r>
    </w:p>
  </w:footnote>
  <w:footnote w:id="10">
    <w:p w:rsidR="007C35FC" w:rsidRPr="00C878A3" w:rsidP="007C35FC" w14:paraId="414C4C25" w14:textId="77777777">
      <w:pPr>
        <w:pStyle w:val="FootnoteText"/>
        <w:spacing w:after="120"/>
      </w:pPr>
      <w:r w:rsidRPr="00C878A3">
        <w:rPr>
          <w:rStyle w:val="FootnoteReference"/>
        </w:rPr>
        <w:footnoteRef/>
      </w:r>
      <w:r w:rsidRPr="00C878A3">
        <w:t xml:space="preserve"> </w:t>
      </w:r>
      <w:r w:rsidRPr="00C878A3">
        <w:rPr>
          <w:i/>
          <w:iCs/>
        </w:rPr>
        <w:t>In re Application of Columbus S. Power Co</w:t>
      </w:r>
      <w:r w:rsidRPr="00C878A3">
        <w:t>., 128 Ohio St.3d 512, 2011-Ohio-1788, 947 N.E.2d 655, ¶ 52 (</w:t>
      </w:r>
      <w:r w:rsidRPr="00C878A3">
        <w:rPr>
          <w:i/>
          <w:iCs/>
        </w:rPr>
        <w:t>citing Cleveland Elec. Illum. Co. v. Pub. Util. Comm</w:t>
      </w:r>
      <w:r w:rsidRPr="00C878A3">
        <w:t>., 42 Ohio St.2d 403, 431, 330 N.E.2d 1 (1975)</w:t>
      </w:r>
      <w:r>
        <w:t>)</w:t>
      </w:r>
      <w:r w:rsidRPr="00C878A3">
        <w:t>.</w:t>
      </w:r>
    </w:p>
  </w:footnote>
  <w:footnote w:id="11">
    <w:p w:rsidR="009431E2" w:rsidRPr="00C878A3" w:rsidP="00C878A3" w14:paraId="144BF754" w14:textId="73084DA8">
      <w:pPr>
        <w:pStyle w:val="FootnoteText"/>
        <w:spacing w:after="120"/>
      </w:pPr>
      <w:r w:rsidRPr="00C878A3">
        <w:rPr>
          <w:rStyle w:val="FootnoteReference"/>
        </w:rPr>
        <w:footnoteRef/>
      </w:r>
      <w:r w:rsidRPr="00C878A3">
        <w:t xml:space="preserve"> </w:t>
      </w:r>
      <w:r w:rsidRPr="00C878A3">
        <w:rPr>
          <w:i/>
          <w:iCs/>
        </w:rPr>
        <w:t xml:space="preserve">Id. </w:t>
      </w:r>
      <w:r w:rsidRPr="00C878A3">
        <w:t>at ¶ 227.</w:t>
      </w:r>
    </w:p>
  </w:footnote>
  <w:footnote w:id="12">
    <w:p w:rsidR="009431E2" w:rsidRPr="00C878A3" w:rsidP="00C878A3" w14:paraId="415C06A4" w14:textId="77777777">
      <w:pPr>
        <w:pStyle w:val="FootnoteText"/>
        <w:spacing w:after="120"/>
      </w:pPr>
      <w:r w:rsidRPr="00C878A3">
        <w:rPr>
          <w:rStyle w:val="FootnoteReference"/>
        </w:rPr>
        <w:footnoteRef/>
      </w:r>
      <w:r w:rsidRPr="00C878A3">
        <w:t xml:space="preserve"> Ohio Revised Code, Title 49.</w:t>
      </w:r>
    </w:p>
  </w:footnote>
  <w:footnote w:id="13">
    <w:p w:rsidR="00191DFA" w:rsidRPr="00C878A3" w:rsidP="00C878A3" w14:paraId="64042F56" w14:textId="77777777">
      <w:pPr>
        <w:pStyle w:val="FootnoteText"/>
        <w:spacing w:after="120"/>
      </w:pPr>
      <w:r w:rsidRPr="00C878A3">
        <w:rPr>
          <w:rStyle w:val="FootnoteReference"/>
        </w:rPr>
        <w:footnoteRef/>
      </w:r>
      <w:r w:rsidRPr="00C878A3">
        <w:t xml:space="preserve"> R.C. 4903.10.</w:t>
      </w:r>
    </w:p>
  </w:footnote>
  <w:footnote w:id="14">
    <w:p w:rsidR="00191DFA" w:rsidRPr="00C878A3" w:rsidP="00C878A3" w14:paraId="0F98D9FA" w14:textId="77777777">
      <w:pPr>
        <w:pStyle w:val="FootnoteText"/>
        <w:spacing w:after="120"/>
      </w:pPr>
      <w:r w:rsidRPr="00C878A3">
        <w:rPr>
          <w:rStyle w:val="FootnoteReference"/>
        </w:rPr>
        <w:footnoteRef/>
      </w:r>
      <w:r w:rsidRPr="00C878A3">
        <w:t xml:space="preserve"> </w:t>
      </w:r>
      <w:r w:rsidRPr="00C878A3">
        <w:rPr>
          <w:i/>
        </w:rPr>
        <w:t>Id.</w:t>
      </w:r>
    </w:p>
  </w:footnote>
  <w:footnote w:id="15">
    <w:p w:rsidR="00191DFA" w:rsidRPr="00C878A3" w:rsidP="00C878A3" w14:paraId="75EEF63A" w14:textId="77777777">
      <w:pPr>
        <w:pStyle w:val="FootnoteText"/>
        <w:spacing w:after="120"/>
      </w:pPr>
      <w:r w:rsidRPr="00C878A3">
        <w:rPr>
          <w:rStyle w:val="FootnoteReference"/>
        </w:rPr>
        <w:footnoteRef/>
      </w:r>
      <w:r w:rsidRPr="00C878A3">
        <w:t xml:space="preserve"> </w:t>
      </w:r>
      <w:r w:rsidRPr="00C878A3">
        <w:rPr>
          <w:i/>
        </w:rPr>
        <w:t>Id</w:t>
      </w:r>
      <w:r w:rsidRPr="00C878A3">
        <w:rPr>
          <w:iCs/>
        </w:rPr>
        <w:t>.</w:t>
      </w:r>
    </w:p>
  </w:footnote>
  <w:footnote w:id="16">
    <w:p w:rsidR="00191DFA" w:rsidRPr="00C878A3" w:rsidP="00C878A3" w14:paraId="6B6907ED" w14:textId="77777777">
      <w:pPr>
        <w:pStyle w:val="FootnoteText"/>
        <w:tabs>
          <w:tab w:val="left" w:pos="1464"/>
        </w:tabs>
        <w:spacing w:after="120"/>
      </w:pPr>
      <w:r w:rsidRPr="00C878A3">
        <w:rPr>
          <w:rStyle w:val="FootnoteReference"/>
        </w:rPr>
        <w:footnoteRef/>
      </w:r>
      <w:r w:rsidRPr="00C878A3">
        <w:t xml:space="preserve"> </w:t>
      </w:r>
      <w:r w:rsidRPr="00C878A3">
        <w:rPr>
          <w:i/>
        </w:rPr>
        <w:t>Id</w:t>
      </w:r>
      <w:r w:rsidRPr="00C878A3">
        <w:rPr>
          <w:iCs/>
        </w:rPr>
        <w:t>.</w:t>
      </w:r>
    </w:p>
  </w:footnote>
  <w:footnote w:id="17">
    <w:p w:rsidR="00A93E42" w:rsidRPr="00C878A3" w:rsidP="00C878A3" w14:paraId="5C0A2422" w14:textId="450ECEA0">
      <w:pPr>
        <w:pStyle w:val="FootnoteText"/>
        <w:spacing w:after="120"/>
      </w:pPr>
      <w:r w:rsidRPr="00C878A3">
        <w:rPr>
          <w:rStyle w:val="FootnoteReference"/>
        </w:rPr>
        <w:footnoteRef/>
      </w:r>
      <w:r w:rsidRPr="00C878A3">
        <w:t xml:space="preserve"> </w:t>
      </w:r>
      <w:r w:rsidRPr="00C878A3">
        <w:rPr>
          <w:i/>
          <w:iCs/>
        </w:rPr>
        <w:t>In re Application of Columbus S. Power Co</w:t>
      </w:r>
      <w:r w:rsidRPr="00C878A3">
        <w:t>., 128 Ohio St.3d 512, 2011-Ohio-1788, 947 N.E.2d 655, ¶ 52 (</w:t>
      </w:r>
      <w:r w:rsidRPr="00C878A3">
        <w:rPr>
          <w:i/>
          <w:iCs/>
        </w:rPr>
        <w:t>citing Cleveland Elec. Illum. Co. v. Pub. Util. Comm</w:t>
      </w:r>
      <w:r w:rsidRPr="00C878A3">
        <w:t>., 42 Ohio St.2d 403, 431, 330 N.E.2d 1 (1975</w:t>
      </w:r>
      <w:r w:rsidR="0069112D">
        <w:t>)</w:t>
      </w:r>
      <w:r w:rsidRPr="00C878A3" w:rsidR="0069112D">
        <w:t>).</w:t>
      </w:r>
    </w:p>
  </w:footnote>
  <w:footnote w:id="18">
    <w:p w:rsidR="00A63C4A" w:rsidRPr="00C878A3" w:rsidP="00C878A3" w14:paraId="758E7E7C" w14:textId="77777777">
      <w:pPr>
        <w:pStyle w:val="FootnoteText"/>
        <w:spacing w:after="120"/>
      </w:pPr>
      <w:r w:rsidRPr="00C878A3">
        <w:rPr>
          <w:rStyle w:val="FootnoteReference"/>
        </w:rPr>
        <w:footnoteRef/>
      </w:r>
      <w:r w:rsidRPr="00C878A3">
        <w:t xml:space="preserve"> OCC Ex. 3 at 9.</w:t>
      </w:r>
    </w:p>
  </w:footnote>
  <w:footnote w:id="19">
    <w:p w:rsidR="00A63C4A" w:rsidRPr="00C878A3" w:rsidP="00C878A3" w14:paraId="769743F2" w14:textId="77777777">
      <w:pPr>
        <w:pStyle w:val="FootnoteText"/>
        <w:spacing w:after="120"/>
      </w:pPr>
      <w:r w:rsidRPr="00C878A3">
        <w:rPr>
          <w:rStyle w:val="FootnoteReference"/>
        </w:rPr>
        <w:footnoteRef/>
      </w:r>
      <w:r w:rsidRPr="00C878A3">
        <w:t xml:space="preserve"> </w:t>
      </w:r>
      <w:r w:rsidRPr="00C878A3">
        <w:rPr>
          <w:i/>
          <w:iCs/>
        </w:rPr>
        <w:t>Id.</w:t>
      </w:r>
    </w:p>
  </w:footnote>
  <w:footnote w:id="20">
    <w:p w:rsidR="00A63C4A" w:rsidRPr="00C878A3" w:rsidP="00C878A3" w14:paraId="24168025" w14:textId="77777777">
      <w:pPr>
        <w:pStyle w:val="FootnoteText"/>
        <w:spacing w:after="120"/>
      </w:pPr>
      <w:r w:rsidRPr="00C878A3">
        <w:rPr>
          <w:rStyle w:val="FootnoteReference"/>
        </w:rPr>
        <w:footnoteRef/>
      </w:r>
      <w:r w:rsidRPr="00C878A3">
        <w:t xml:space="preserve"> </w:t>
      </w:r>
      <w:r w:rsidRPr="00C878A3">
        <w:rPr>
          <w:i/>
          <w:iCs/>
        </w:rPr>
        <w:t>Id.</w:t>
      </w:r>
    </w:p>
  </w:footnote>
  <w:footnote w:id="21">
    <w:p w:rsidR="00A63C4A" w:rsidRPr="00C878A3" w:rsidP="00C878A3" w14:paraId="0E3ECE35" w14:textId="77777777">
      <w:pPr>
        <w:pStyle w:val="FootnoteText"/>
        <w:spacing w:after="120"/>
      </w:pPr>
      <w:r w:rsidRPr="00C878A3">
        <w:rPr>
          <w:rStyle w:val="FootnoteReference"/>
        </w:rPr>
        <w:footnoteRef/>
      </w:r>
      <w:r w:rsidRPr="00C878A3">
        <w:t xml:space="preserve"> </w:t>
      </w:r>
      <w:r w:rsidRPr="00C878A3">
        <w:rPr>
          <w:i/>
          <w:iCs/>
        </w:rPr>
        <w:t>Id.</w:t>
      </w:r>
    </w:p>
  </w:footnote>
  <w:footnote w:id="22">
    <w:p w:rsidR="00A63C4A" w:rsidRPr="00C878A3" w:rsidP="00C878A3" w14:paraId="1A7974AA" w14:textId="77777777">
      <w:pPr>
        <w:pStyle w:val="FootnoteText"/>
        <w:spacing w:after="120"/>
      </w:pPr>
      <w:r w:rsidRPr="00C878A3">
        <w:rPr>
          <w:rStyle w:val="FootnoteReference"/>
        </w:rPr>
        <w:footnoteRef/>
      </w:r>
      <w:r w:rsidRPr="00C878A3">
        <w:t xml:space="preserve"> </w:t>
      </w:r>
      <w:r w:rsidRPr="00C878A3">
        <w:rPr>
          <w:i/>
          <w:iCs/>
        </w:rPr>
        <w:t>Id.</w:t>
      </w:r>
    </w:p>
  </w:footnote>
  <w:footnote w:id="23">
    <w:p w:rsidR="00A63C4A" w:rsidRPr="00C878A3" w:rsidP="00C878A3" w14:paraId="407D5415" w14:textId="77777777">
      <w:pPr>
        <w:pStyle w:val="FootnoteText"/>
        <w:spacing w:after="120"/>
      </w:pPr>
      <w:r w:rsidRPr="00C878A3">
        <w:rPr>
          <w:rStyle w:val="FootnoteReference"/>
        </w:rPr>
        <w:footnoteRef/>
      </w:r>
      <w:r w:rsidRPr="00C878A3">
        <w:t xml:space="preserve"> </w:t>
      </w:r>
      <w:r w:rsidRPr="00C878A3">
        <w:rPr>
          <w:i/>
          <w:iCs/>
        </w:rPr>
        <w:t>Id.</w:t>
      </w:r>
    </w:p>
  </w:footnote>
  <w:footnote w:id="24">
    <w:p w:rsidR="002F32A5" w:rsidRPr="00C878A3" w:rsidP="00C878A3" w14:paraId="47E50914" w14:textId="1FB7A6B7">
      <w:pPr>
        <w:pStyle w:val="FootnoteText"/>
        <w:spacing w:after="120"/>
      </w:pPr>
      <w:r w:rsidRPr="00C878A3">
        <w:rPr>
          <w:rStyle w:val="FootnoteReference"/>
        </w:rPr>
        <w:footnoteRef/>
      </w:r>
      <w:r w:rsidRPr="00C878A3">
        <w:t xml:space="preserve"> Opinion and Order at ¶ 74 (Dec. 14, 2022).</w:t>
      </w:r>
    </w:p>
  </w:footnote>
  <w:footnote w:id="25">
    <w:p w:rsidR="00F87244" w:rsidRPr="00C878A3" w:rsidP="00C878A3" w14:paraId="4B54CA55" w14:textId="6BCB4A7E">
      <w:pPr>
        <w:pStyle w:val="FootnoteText"/>
        <w:spacing w:after="120"/>
      </w:pPr>
      <w:r w:rsidRPr="00C878A3">
        <w:rPr>
          <w:rStyle w:val="FootnoteReference"/>
        </w:rPr>
        <w:footnoteRef/>
      </w:r>
      <w:r w:rsidRPr="00C878A3">
        <w:t xml:space="preserve"> 18 CFR Part 101 – Uniform System of Accounts, Electric Plant Instructions. </w:t>
      </w:r>
    </w:p>
  </w:footnote>
  <w:footnote w:id="26">
    <w:p w:rsidR="003875BD" w:rsidRPr="00C878A3" w:rsidP="00C878A3" w14:paraId="6D71F31D" w14:textId="372ECA95">
      <w:pPr>
        <w:pStyle w:val="FootnoteText"/>
        <w:spacing w:after="120"/>
      </w:pPr>
      <w:r w:rsidRPr="00C878A3">
        <w:rPr>
          <w:rStyle w:val="FootnoteReference"/>
        </w:rPr>
        <w:footnoteRef/>
      </w:r>
      <w:r w:rsidRPr="00C878A3">
        <w:t xml:space="preserve"> R.C. 4905.13</w:t>
      </w:r>
      <w:r w:rsidRPr="00C878A3" w:rsidR="00137E4B">
        <w:t>; O.A.C. 4901:1-9-05.</w:t>
      </w:r>
    </w:p>
  </w:footnote>
  <w:footnote w:id="27">
    <w:p w:rsidR="003875BD" w:rsidRPr="00C878A3" w:rsidP="00C878A3" w14:paraId="4494F841" w14:textId="0EB85140">
      <w:pPr>
        <w:pStyle w:val="FootnoteText"/>
        <w:spacing w:after="120"/>
      </w:pPr>
      <w:r w:rsidRPr="00C878A3">
        <w:rPr>
          <w:rStyle w:val="FootnoteReference"/>
        </w:rPr>
        <w:footnoteRef/>
      </w:r>
      <w:r w:rsidRPr="00C878A3">
        <w:t xml:space="preserve"> Opinion and Order at ¶</w:t>
      </w:r>
      <w:r w:rsidRPr="00C878A3" w:rsidR="00396CE2">
        <w:t>¶</w:t>
      </w:r>
      <w:r w:rsidRPr="00C878A3">
        <w:t xml:space="preserve"> </w:t>
      </w:r>
      <w:r w:rsidRPr="00C878A3" w:rsidR="00396CE2">
        <w:t>65-68</w:t>
      </w:r>
      <w:r w:rsidRPr="00C878A3">
        <w:t xml:space="preserve"> (Dec. 14, 2022).</w:t>
      </w:r>
    </w:p>
  </w:footnote>
  <w:footnote w:id="28">
    <w:p w:rsidR="00396CE2" w:rsidRPr="00C878A3" w:rsidP="00C878A3" w14:paraId="2EC8985E" w14:textId="77777777">
      <w:pPr>
        <w:pStyle w:val="FootnoteText"/>
        <w:spacing w:after="120"/>
      </w:pPr>
      <w:r w:rsidRPr="00C878A3">
        <w:rPr>
          <w:rStyle w:val="FootnoteReference"/>
        </w:rPr>
        <w:footnoteRef/>
      </w:r>
      <w:r w:rsidRPr="00C878A3">
        <w:t xml:space="preserve"> </w:t>
      </w:r>
      <w:r w:rsidRPr="00C878A3">
        <w:rPr>
          <w:i/>
          <w:iCs/>
        </w:rPr>
        <w:t xml:space="preserve">Id. </w:t>
      </w:r>
    </w:p>
  </w:footnote>
  <w:footnote w:id="29">
    <w:p w:rsidR="00396CE2" w:rsidRPr="00C878A3" w:rsidP="00C878A3" w14:paraId="608A0A50" w14:textId="098EED09">
      <w:pPr>
        <w:pStyle w:val="FootnoteText"/>
        <w:spacing w:after="120"/>
      </w:pPr>
      <w:r w:rsidRPr="00C878A3">
        <w:rPr>
          <w:rStyle w:val="FootnoteReference"/>
          <w:rFonts w:eastAsiaTheme="majorEastAsia"/>
        </w:rPr>
        <w:footnoteRef/>
      </w:r>
      <w:r w:rsidRPr="00C878A3">
        <w:t xml:space="preserve"> June 17, 2020, Opinion and Order at 28, Case Nos. 17-38-EL-RDR, 18-230-EL-RDR; </w:t>
      </w:r>
      <w:r w:rsidRPr="00C878A3">
        <w:rPr>
          <w:bCs/>
          <w:i/>
        </w:rPr>
        <w:t>In re Duke Energy Ohio</w:t>
      </w:r>
      <w:r w:rsidRPr="00C878A3">
        <w:rPr>
          <w:bCs/>
          <w:iCs/>
        </w:rPr>
        <w:t>, Inc., Case No. 18-397-EL-RDR, Finding and Order (July 31, 2019) at ¶ 17</w:t>
      </w:r>
      <w:r w:rsidRPr="00C878A3">
        <w:rPr>
          <w:bCs/>
          <w:i/>
        </w:rPr>
        <w:t>; In re Duke Energy Ohio, Inc</w:t>
      </w:r>
      <w:r w:rsidRPr="00C878A3">
        <w:rPr>
          <w:bCs/>
          <w:iCs/>
        </w:rPr>
        <w:t xml:space="preserve">., Case No. 16-664-EL-RDR, Finding and Order (May 15, 2019) at ¶ 16; </w:t>
      </w:r>
      <w:r w:rsidRPr="00C878A3">
        <w:rPr>
          <w:bCs/>
          <w:i/>
        </w:rPr>
        <w:t>In re Duke Energy Ohio, Inc</w:t>
      </w:r>
      <w:r w:rsidRPr="00C878A3">
        <w:rPr>
          <w:bCs/>
          <w:iCs/>
        </w:rPr>
        <w:t>., Case No. 15-534-EL-RDR, Opinion and Order (October 26, 2016) at ¶¶ 20, 44</w:t>
      </w:r>
      <w:r w:rsidRPr="00C878A3">
        <w:rPr>
          <w:bCs/>
          <w:i/>
        </w:rPr>
        <w:t>; In re Ohio American Water Co</w:t>
      </w:r>
      <w:r w:rsidRPr="00C878A3">
        <w:rPr>
          <w:bCs/>
          <w:iCs/>
        </w:rPr>
        <w:t xml:space="preserve">., Case No. 09-391-WS-AIR, Opinion and Order (May 5, 2010) at 20-22, Entry on Rehearing (June 23, 2010) at 11-12; </w:t>
      </w:r>
      <w:r w:rsidRPr="00C878A3">
        <w:rPr>
          <w:bCs/>
          <w:i/>
        </w:rPr>
        <w:t xml:space="preserve">In re Ohio Edison Co., </w:t>
      </w:r>
      <w:r w:rsidR="00FD3343">
        <w:rPr>
          <w:bCs/>
          <w:i/>
        </w:rPr>
        <w:t>t</w:t>
      </w:r>
      <w:r w:rsidRPr="00C878A3">
        <w:rPr>
          <w:bCs/>
          <w:i/>
        </w:rPr>
        <w:t xml:space="preserve">he Cleveland Electric Illuminating Co., and </w:t>
      </w:r>
      <w:r w:rsidR="00FD3343">
        <w:rPr>
          <w:bCs/>
          <w:i/>
        </w:rPr>
        <w:t>t</w:t>
      </w:r>
      <w:r w:rsidRPr="00C878A3">
        <w:rPr>
          <w:bCs/>
          <w:i/>
        </w:rPr>
        <w:t>he Toledo Edison Co</w:t>
      </w:r>
      <w:r w:rsidRPr="00C878A3">
        <w:rPr>
          <w:bCs/>
          <w:iCs/>
        </w:rPr>
        <w:t>., Case No. 07-551-EL-AIR, et al., Opinion and Order (Jan</w:t>
      </w:r>
      <w:r w:rsidR="00FD3343">
        <w:rPr>
          <w:bCs/>
          <w:iCs/>
        </w:rPr>
        <w:t>.</w:t>
      </w:r>
      <w:r w:rsidRPr="00C878A3">
        <w:rPr>
          <w:bCs/>
          <w:iCs/>
        </w:rPr>
        <w:t xml:space="preserve"> 21, 2009) at 17, Entry on Rehearing (Feb</w:t>
      </w:r>
      <w:r w:rsidR="00FD57CD">
        <w:rPr>
          <w:bCs/>
          <w:iCs/>
        </w:rPr>
        <w:t>.</w:t>
      </w:r>
      <w:r w:rsidRPr="00C878A3">
        <w:rPr>
          <w:bCs/>
          <w:iCs/>
        </w:rPr>
        <w:t xml:space="preserve"> 2, 2011) at 4-5.</w:t>
      </w:r>
    </w:p>
  </w:footnote>
  <w:footnote w:id="30">
    <w:p w:rsidR="0095278F" w:rsidRPr="00C878A3" w:rsidP="00C878A3" w14:paraId="122DBE46" w14:textId="17327C01">
      <w:pPr>
        <w:pStyle w:val="FootnoteText"/>
        <w:spacing w:after="120"/>
      </w:pPr>
      <w:r w:rsidRPr="00C878A3">
        <w:rPr>
          <w:rStyle w:val="FootnoteReference"/>
        </w:rPr>
        <w:footnoteRef/>
      </w:r>
      <w:r w:rsidRPr="00C878A3">
        <w:t xml:space="preserve"> </w:t>
      </w:r>
      <w:r w:rsidRPr="00C878A3">
        <w:rPr>
          <w:i/>
          <w:iCs/>
        </w:rPr>
        <w:t xml:space="preserve">In the Matter of the Application of Ohio Edison Company, </w:t>
      </w:r>
      <w:r w:rsidR="005316CD">
        <w:rPr>
          <w:i/>
          <w:iCs/>
        </w:rPr>
        <w:t>t</w:t>
      </w:r>
      <w:r w:rsidRPr="00C878A3">
        <w:rPr>
          <w:i/>
          <w:iCs/>
        </w:rPr>
        <w:t xml:space="preserve">he </w:t>
      </w:r>
      <w:r w:rsidRPr="00C878A3" w:rsidR="00C51B85">
        <w:rPr>
          <w:i/>
          <w:iCs/>
        </w:rPr>
        <w:t>Cl</w:t>
      </w:r>
      <w:r w:rsidRPr="00C878A3">
        <w:rPr>
          <w:i/>
          <w:iCs/>
        </w:rPr>
        <w:t xml:space="preserve">eveland Electric Illuminating Company, and </w:t>
      </w:r>
      <w:r w:rsidR="005316CD">
        <w:rPr>
          <w:i/>
          <w:iCs/>
        </w:rPr>
        <w:t>t</w:t>
      </w:r>
      <w:r w:rsidRPr="00C878A3">
        <w:rPr>
          <w:i/>
          <w:iCs/>
        </w:rPr>
        <w:t xml:space="preserve">he Toledo Edison Company for Authority to Increase Rates for Distribution Service, Modify Certain Accounting Practices, and </w:t>
      </w:r>
      <w:r w:rsidRPr="00C878A3" w:rsidR="00C51B85">
        <w:rPr>
          <w:i/>
          <w:iCs/>
        </w:rPr>
        <w:t>f</w:t>
      </w:r>
      <w:r w:rsidRPr="00C878A3">
        <w:rPr>
          <w:i/>
          <w:iCs/>
        </w:rPr>
        <w:t>or Tariff Approval</w:t>
      </w:r>
      <w:r w:rsidRPr="00C878A3">
        <w:t xml:space="preserve">, Case No. 17-551-EL-AIR, Opinion and Order at </w:t>
      </w:r>
      <w:r w:rsidRPr="00C878A3" w:rsidR="006B22E8">
        <w:t>17 (Jan. 21, 2009).</w:t>
      </w:r>
    </w:p>
  </w:footnote>
  <w:footnote w:id="31">
    <w:p w:rsidR="00396CE2" w:rsidRPr="00C878A3" w:rsidP="00C878A3" w14:paraId="7C2CDD16" w14:textId="1732A0D1">
      <w:pPr>
        <w:pStyle w:val="FootnoteText"/>
        <w:spacing w:after="120"/>
      </w:pPr>
      <w:r w:rsidRPr="00C878A3">
        <w:rPr>
          <w:rStyle w:val="FootnoteReference"/>
        </w:rPr>
        <w:footnoteRef/>
      </w:r>
      <w:r w:rsidRPr="00C878A3">
        <w:t xml:space="preserve"> </w:t>
      </w:r>
      <w:r w:rsidRPr="00C878A3">
        <w:rPr>
          <w:i/>
          <w:iCs/>
        </w:rPr>
        <w:t>In re Application of Columbus S. Power Co</w:t>
      </w:r>
      <w:r w:rsidRPr="00C878A3">
        <w:t>., 128 Ohio St.3d 512, 2011-Ohio-1788, 947 N.E.2d 655, ¶ 52 (</w:t>
      </w:r>
      <w:r w:rsidRPr="00C878A3">
        <w:rPr>
          <w:i/>
          <w:iCs/>
        </w:rPr>
        <w:t>citing Cleveland Elec. Illum. Co. v. Pub. Util. Comm</w:t>
      </w:r>
      <w:r w:rsidRPr="00C878A3">
        <w:t>., 42 Ohio St.2d 403, 431, 330 N.E.2d 1 (1975)</w:t>
      </w:r>
      <w:r w:rsidR="00386A28">
        <w:t>)</w:t>
      </w:r>
      <w:r w:rsidRPr="00C878A3">
        <w:t>.</w:t>
      </w:r>
    </w:p>
  </w:footnote>
  <w:footnote w:id="32">
    <w:p w:rsidR="00396CE2" w:rsidRPr="00C878A3" w:rsidP="00C878A3" w14:paraId="602A8562" w14:textId="77777777">
      <w:pPr>
        <w:pStyle w:val="FootnoteText"/>
        <w:spacing w:after="120"/>
        <w:rPr>
          <w:i/>
          <w:iCs/>
        </w:rPr>
      </w:pPr>
      <w:r w:rsidRPr="00C878A3">
        <w:rPr>
          <w:rStyle w:val="FootnoteReference"/>
        </w:rPr>
        <w:footnoteRef/>
      </w:r>
      <w:r w:rsidRPr="00C878A3">
        <w:t xml:space="preserve"> </w:t>
      </w:r>
      <w:r w:rsidRPr="00C878A3">
        <w:rPr>
          <w:i/>
          <w:iCs/>
        </w:rPr>
        <w:t>Id.</w:t>
      </w:r>
    </w:p>
  </w:footnote>
  <w:footnote w:id="33">
    <w:p w:rsidR="00396CE2" w:rsidRPr="00C878A3" w:rsidP="00C878A3" w14:paraId="5A4BEC1F" w14:textId="77777777">
      <w:pPr>
        <w:pStyle w:val="FootnoteText"/>
        <w:spacing w:after="120"/>
        <w:rPr>
          <w:i/>
          <w:iCs/>
        </w:rPr>
      </w:pPr>
      <w:r w:rsidRPr="00C878A3">
        <w:rPr>
          <w:rStyle w:val="FootnoteReference"/>
        </w:rPr>
        <w:footnoteRef/>
      </w:r>
      <w:r w:rsidRPr="00C878A3">
        <w:t xml:space="preserve"> </w:t>
      </w:r>
      <w:r w:rsidRPr="00C878A3">
        <w:rPr>
          <w:i/>
          <w:iCs/>
        </w:rPr>
        <w:t>Id.</w:t>
      </w:r>
    </w:p>
  </w:footnote>
  <w:footnote w:id="34">
    <w:p w:rsidR="00207046" w:rsidRPr="00C878A3" w:rsidP="00C878A3" w14:paraId="04E56C56" w14:textId="0A7C5D82">
      <w:pPr>
        <w:pStyle w:val="FootnoteText"/>
        <w:spacing w:after="120"/>
      </w:pPr>
      <w:r w:rsidRPr="00C878A3">
        <w:rPr>
          <w:rStyle w:val="FootnoteReference"/>
        </w:rPr>
        <w:footnoteRef/>
      </w:r>
      <w:r w:rsidRPr="00C878A3">
        <w:t xml:space="preserve"> Opinion and Order at ¶ 74 (Dec. 14, 2022).</w:t>
      </w:r>
    </w:p>
  </w:footnote>
  <w:footnote w:id="35">
    <w:p w:rsidR="007D36A9" w:rsidRPr="00C878A3" w:rsidP="00C878A3" w14:paraId="209CFF13" w14:textId="4FA66779">
      <w:pPr>
        <w:autoSpaceDE w:val="0"/>
        <w:autoSpaceDN w:val="0"/>
        <w:adjustRightInd w:val="0"/>
        <w:spacing w:after="120"/>
        <w:rPr>
          <w:sz w:val="20"/>
          <w:szCs w:val="20"/>
        </w:rPr>
      </w:pPr>
      <w:r w:rsidRPr="00C878A3">
        <w:rPr>
          <w:rStyle w:val="FootnoteReference"/>
          <w:sz w:val="20"/>
          <w:szCs w:val="20"/>
        </w:rPr>
        <w:footnoteRef/>
      </w:r>
      <w:r w:rsidRPr="00C878A3">
        <w:rPr>
          <w:i/>
          <w:iCs/>
          <w:sz w:val="20"/>
          <w:szCs w:val="20"/>
        </w:rPr>
        <w:t xml:space="preserve"> </w:t>
      </w:r>
      <w:r w:rsidRPr="00C878A3">
        <w:rPr>
          <w:sz w:val="20"/>
          <w:szCs w:val="20"/>
        </w:rPr>
        <w:t>OCC Ex. 1 at 17.</w:t>
      </w:r>
    </w:p>
  </w:footnote>
  <w:footnote w:id="36">
    <w:p w:rsidR="007D36A9" w:rsidRPr="00C878A3" w:rsidP="00C878A3" w14:paraId="41F230BA" w14:textId="77777777">
      <w:pPr>
        <w:pStyle w:val="FootnoteText"/>
        <w:spacing w:after="120"/>
      </w:pPr>
      <w:r w:rsidRPr="00C878A3">
        <w:rPr>
          <w:rStyle w:val="FootnoteReference"/>
        </w:rPr>
        <w:footnoteRef/>
      </w:r>
      <w:r w:rsidRPr="00C878A3">
        <w:t xml:space="preserve"> </w:t>
      </w:r>
      <w:r w:rsidRPr="00C878A3">
        <w:rPr>
          <w:i/>
          <w:iCs/>
        </w:rPr>
        <w:t>Id.</w:t>
      </w:r>
    </w:p>
  </w:footnote>
  <w:footnote w:id="37">
    <w:p w:rsidR="007D36A9" w:rsidRPr="00C878A3" w:rsidP="00C878A3" w14:paraId="03442B96" w14:textId="77777777">
      <w:pPr>
        <w:pStyle w:val="FootnoteText"/>
        <w:spacing w:after="120"/>
      </w:pPr>
      <w:r w:rsidRPr="00C878A3">
        <w:rPr>
          <w:rStyle w:val="FootnoteReference"/>
        </w:rPr>
        <w:footnoteRef/>
      </w:r>
      <w:r w:rsidRPr="00C878A3">
        <w:t xml:space="preserve"> </w:t>
      </w:r>
      <w:r w:rsidRPr="00C878A3">
        <w:rPr>
          <w:i/>
          <w:iCs/>
        </w:rPr>
        <w:t>Id.</w:t>
      </w:r>
    </w:p>
  </w:footnote>
  <w:footnote w:id="38">
    <w:p w:rsidR="007D36A9" w:rsidRPr="00C878A3" w:rsidP="00C878A3" w14:paraId="6948CF10" w14:textId="77777777">
      <w:pPr>
        <w:pStyle w:val="FootnoteText"/>
        <w:spacing w:after="120"/>
      </w:pPr>
      <w:r w:rsidRPr="00C878A3">
        <w:rPr>
          <w:rStyle w:val="FootnoteReference"/>
        </w:rPr>
        <w:footnoteRef/>
      </w:r>
      <w:r w:rsidRPr="00C878A3">
        <w:t xml:space="preserve"> </w:t>
      </w:r>
      <w:r w:rsidRPr="00C878A3">
        <w:rPr>
          <w:i/>
          <w:iCs/>
        </w:rPr>
        <w:t>Id.</w:t>
      </w:r>
    </w:p>
  </w:footnote>
  <w:footnote w:id="39">
    <w:p w:rsidR="007D36A9" w:rsidRPr="00C878A3" w:rsidP="00C878A3" w14:paraId="293C9426" w14:textId="77777777">
      <w:pPr>
        <w:pStyle w:val="FootnoteText"/>
        <w:spacing w:after="120"/>
      </w:pPr>
      <w:r w:rsidRPr="00C878A3">
        <w:rPr>
          <w:rStyle w:val="FootnoteReference"/>
        </w:rPr>
        <w:footnoteRef/>
      </w:r>
      <w:r w:rsidRPr="00C878A3">
        <w:t xml:space="preserve"> </w:t>
      </w:r>
      <w:r w:rsidRPr="00C878A3">
        <w:rPr>
          <w:i/>
          <w:iCs/>
        </w:rPr>
        <w:t>Id.</w:t>
      </w:r>
    </w:p>
  </w:footnote>
  <w:footnote w:id="40">
    <w:p w:rsidR="007D36A9" w:rsidRPr="00C878A3" w:rsidP="00C878A3" w14:paraId="140C3F8A" w14:textId="77777777">
      <w:pPr>
        <w:pStyle w:val="FootnoteText"/>
        <w:spacing w:after="120"/>
      </w:pPr>
      <w:r w:rsidRPr="00C878A3">
        <w:rPr>
          <w:rStyle w:val="FootnoteReference"/>
        </w:rPr>
        <w:footnoteRef/>
      </w:r>
      <w:r w:rsidRPr="00C878A3">
        <w:t xml:space="preserve"> </w:t>
      </w:r>
      <w:r w:rsidRPr="00C878A3">
        <w:rPr>
          <w:i/>
          <w:iCs/>
        </w:rPr>
        <w:t>Id.</w:t>
      </w:r>
    </w:p>
  </w:footnote>
  <w:footnote w:id="41">
    <w:p w:rsidR="007D36A9" w:rsidRPr="00C878A3" w:rsidP="00C878A3" w14:paraId="34EE3A6B" w14:textId="77777777">
      <w:pPr>
        <w:pStyle w:val="FootnoteText"/>
        <w:spacing w:after="120"/>
      </w:pPr>
      <w:r w:rsidRPr="00C878A3">
        <w:rPr>
          <w:rStyle w:val="FootnoteReference"/>
        </w:rPr>
        <w:footnoteRef/>
      </w:r>
      <w:r w:rsidRPr="00C878A3">
        <w:t xml:space="preserve"> </w:t>
      </w:r>
      <w:r w:rsidRPr="00C878A3">
        <w:rPr>
          <w:i/>
          <w:iCs/>
        </w:rPr>
        <w:t xml:space="preserve">Id. </w:t>
      </w:r>
      <w:r w:rsidRPr="00C878A3">
        <w:t>at 19.</w:t>
      </w:r>
    </w:p>
  </w:footnote>
  <w:footnote w:id="42">
    <w:p w:rsidR="007D36A9" w:rsidRPr="00C878A3" w:rsidP="00C878A3" w14:paraId="3243F7EF" w14:textId="77777777">
      <w:pPr>
        <w:pStyle w:val="FootnoteText"/>
        <w:spacing w:after="120"/>
      </w:pPr>
      <w:r w:rsidRPr="00C878A3">
        <w:rPr>
          <w:rStyle w:val="FootnoteReference"/>
        </w:rPr>
        <w:footnoteRef/>
      </w:r>
      <w:r w:rsidRPr="00C878A3">
        <w:t xml:space="preserve"> </w:t>
      </w:r>
      <w:r w:rsidRPr="00C878A3">
        <w:rPr>
          <w:i/>
          <w:iCs/>
        </w:rPr>
        <w:t>Id.</w:t>
      </w:r>
    </w:p>
  </w:footnote>
  <w:footnote w:id="43">
    <w:p w:rsidR="007D36A9" w:rsidRPr="00C878A3" w:rsidP="00C878A3" w14:paraId="748B563A" w14:textId="77777777">
      <w:pPr>
        <w:pStyle w:val="FootnoteText"/>
        <w:spacing w:after="120"/>
      </w:pPr>
      <w:r w:rsidRPr="00C878A3">
        <w:rPr>
          <w:rStyle w:val="FootnoteReference"/>
        </w:rPr>
        <w:footnoteRef/>
      </w:r>
      <w:r w:rsidRPr="00C878A3">
        <w:t xml:space="preserve"> </w:t>
      </w:r>
      <w:r w:rsidRPr="00C878A3">
        <w:rPr>
          <w:i/>
          <w:iCs/>
        </w:rPr>
        <w:t>Id.</w:t>
      </w:r>
    </w:p>
  </w:footnote>
  <w:footnote w:id="44">
    <w:p w:rsidR="007D36A9" w:rsidRPr="00C878A3" w:rsidP="00C878A3" w14:paraId="2077D713" w14:textId="77777777">
      <w:pPr>
        <w:pStyle w:val="FootnoteText"/>
        <w:spacing w:after="120"/>
      </w:pPr>
      <w:r w:rsidRPr="00C878A3">
        <w:rPr>
          <w:rStyle w:val="FootnoteReference"/>
        </w:rPr>
        <w:footnoteRef/>
      </w:r>
      <w:r w:rsidRPr="00C878A3">
        <w:t xml:space="preserve"> </w:t>
      </w:r>
      <w:r w:rsidRPr="00C878A3">
        <w:rPr>
          <w:i/>
          <w:iCs/>
        </w:rPr>
        <w:t>Id.</w:t>
      </w:r>
    </w:p>
  </w:footnote>
  <w:footnote w:id="45">
    <w:p w:rsidR="007D36A9" w:rsidRPr="00C878A3" w:rsidP="00C878A3" w14:paraId="3082ABE0" w14:textId="77777777">
      <w:pPr>
        <w:pStyle w:val="FootnoteText"/>
        <w:spacing w:after="120"/>
      </w:pPr>
      <w:r w:rsidRPr="00C878A3">
        <w:rPr>
          <w:rStyle w:val="FootnoteReference"/>
        </w:rPr>
        <w:footnoteRef/>
      </w:r>
      <w:r w:rsidRPr="00C878A3">
        <w:t xml:space="preserve"> </w:t>
      </w:r>
      <w:r w:rsidRPr="00C878A3">
        <w:rPr>
          <w:i/>
          <w:iCs/>
        </w:rPr>
        <w:t xml:space="preserve">Id. </w:t>
      </w:r>
      <w:r w:rsidRPr="00C878A3">
        <w:t>at 19-20.</w:t>
      </w:r>
    </w:p>
  </w:footnote>
  <w:footnote w:id="46">
    <w:p w:rsidR="007D36A9" w:rsidRPr="00C878A3" w:rsidP="00C878A3" w14:paraId="20087E27" w14:textId="77777777">
      <w:pPr>
        <w:pStyle w:val="FootnoteText"/>
        <w:spacing w:after="120"/>
      </w:pPr>
      <w:r w:rsidRPr="00C878A3">
        <w:rPr>
          <w:rStyle w:val="FootnoteReference"/>
        </w:rPr>
        <w:footnoteRef/>
      </w:r>
      <w:r w:rsidRPr="00C878A3">
        <w:t xml:space="preserve"> </w:t>
      </w:r>
      <w:r w:rsidRPr="00C878A3">
        <w:rPr>
          <w:i/>
          <w:iCs/>
        </w:rPr>
        <w:t xml:space="preserve">Id. </w:t>
      </w:r>
      <w:r w:rsidRPr="00C878A3">
        <w:t>at 20.</w:t>
      </w:r>
    </w:p>
  </w:footnote>
  <w:footnote w:id="47">
    <w:p w:rsidR="007D36A9" w:rsidRPr="00C878A3" w:rsidP="00C878A3" w14:paraId="00DC667A" w14:textId="77777777">
      <w:pPr>
        <w:pStyle w:val="FootnoteText"/>
        <w:spacing w:after="120"/>
      </w:pPr>
      <w:r w:rsidRPr="00C878A3">
        <w:rPr>
          <w:rStyle w:val="FootnoteReference"/>
        </w:rPr>
        <w:footnoteRef/>
      </w:r>
      <w:r w:rsidRPr="00C878A3">
        <w:t xml:space="preserve"> </w:t>
      </w:r>
      <w:r w:rsidRPr="00C878A3">
        <w:rPr>
          <w:i/>
          <w:iCs/>
        </w:rPr>
        <w:t>Id.</w:t>
      </w:r>
    </w:p>
  </w:footnote>
  <w:footnote w:id="48">
    <w:p w:rsidR="007D36A9" w:rsidRPr="00C878A3" w:rsidP="00C878A3" w14:paraId="225414AA" w14:textId="77777777">
      <w:pPr>
        <w:pStyle w:val="FootnoteText"/>
        <w:spacing w:after="120"/>
      </w:pPr>
      <w:r w:rsidRPr="00C878A3">
        <w:rPr>
          <w:rStyle w:val="FootnoteReference"/>
        </w:rPr>
        <w:footnoteRef/>
      </w:r>
      <w:r w:rsidRPr="00C878A3">
        <w:t xml:space="preserve"> </w:t>
      </w:r>
      <w:r w:rsidRPr="00C878A3">
        <w:rPr>
          <w:i/>
          <w:iCs/>
        </w:rPr>
        <w:t>Id.</w:t>
      </w:r>
    </w:p>
  </w:footnote>
  <w:footnote w:id="49">
    <w:p w:rsidR="007D36A9" w:rsidRPr="00C878A3" w:rsidP="00C878A3" w14:paraId="0EA97609" w14:textId="77777777">
      <w:pPr>
        <w:pStyle w:val="FootnoteText"/>
        <w:spacing w:after="120"/>
      </w:pPr>
      <w:r w:rsidRPr="00C878A3">
        <w:rPr>
          <w:rStyle w:val="FootnoteReference"/>
        </w:rPr>
        <w:footnoteRef/>
      </w:r>
      <w:r w:rsidRPr="00C878A3">
        <w:t xml:space="preserve"> </w:t>
      </w:r>
      <w:r w:rsidRPr="00C878A3">
        <w:rPr>
          <w:i/>
          <w:iCs/>
        </w:rPr>
        <w:t xml:space="preserve">Id. </w:t>
      </w:r>
      <w:r w:rsidRPr="00C878A3">
        <w:t>at 20-21.</w:t>
      </w:r>
    </w:p>
  </w:footnote>
  <w:footnote w:id="50">
    <w:p w:rsidR="007D36A9" w:rsidRPr="00C878A3" w:rsidP="00C878A3" w14:paraId="1621DFB2" w14:textId="77777777">
      <w:pPr>
        <w:pStyle w:val="FootnoteText"/>
        <w:spacing w:after="120"/>
      </w:pPr>
      <w:r w:rsidRPr="00C878A3">
        <w:rPr>
          <w:rStyle w:val="FootnoteReference"/>
        </w:rPr>
        <w:footnoteRef/>
      </w:r>
      <w:r w:rsidRPr="00C878A3">
        <w:t xml:space="preserve"> </w:t>
      </w:r>
      <w:r w:rsidRPr="00C878A3">
        <w:rPr>
          <w:i/>
          <w:iCs/>
        </w:rPr>
        <w:t xml:space="preserve">Id. </w:t>
      </w:r>
      <w:r w:rsidRPr="00C878A3">
        <w:t>at 21.</w:t>
      </w:r>
    </w:p>
  </w:footnote>
  <w:footnote w:id="51">
    <w:p w:rsidR="007D36A9" w:rsidRPr="00C878A3" w:rsidP="00C878A3" w14:paraId="2C8F7623" w14:textId="77777777">
      <w:pPr>
        <w:pStyle w:val="FootnoteText"/>
        <w:spacing w:after="120"/>
      </w:pPr>
      <w:r w:rsidRPr="00C878A3">
        <w:rPr>
          <w:rStyle w:val="FootnoteReference"/>
        </w:rPr>
        <w:footnoteRef/>
      </w:r>
      <w:r w:rsidRPr="00C878A3">
        <w:t xml:space="preserve"> </w:t>
      </w:r>
      <w:r w:rsidRPr="00C878A3">
        <w:rPr>
          <w:i/>
          <w:iCs/>
        </w:rPr>
        <w:t>Id.</w:t>
      </w:r>
    </w:p>
  </w:footnote>
  <w:footnote w:id="52">
    <w:p w:rsidR="007D36A9" w:rsidRPr="00C878A3" w:rsidP="00C878A3" w14:paraId="16B3DCF8" w14:textId="77777777">
      <w:pPr>
        <w:pStyle w:val="FootnoteText"/>
        <w:spacing w:after="120"/>
      </w:pPr>
      <w:r w:rsidRPr="00C878A3">
        <w:rPr>
          <w:rStyle w:val="FootnoteReference"/>
        </w:rPr>
        <w:footnoteRef/>
      </w:r>
      <w:r w:rsidRPr="00C878A3">
        <w:t xml:space="preserve"> </w:t>
      </w:r>
      <w:r w:rsidRPr="00C878A3">
        <w:rPr>
          <w:i/>
          <w:iCs/>
        </w:rPr>
        <w:t>Id.</w:t>
      </w:r>
    </w:p>
  </w:footnote>
  <w:footnote w:id="53">
    <w:p w:rsidR="00EF618B" w:rsidRPr="00C878A3" w:rsidP="00C878A3" w14:paraId="28CBA6B8" w14:textId="758F28B2">
      <w:pPr>
        <w:pStyle w:val="FootnoteText"/>
        <w:spacing w:after="120"/>
      </w:pPr>
      <w:r w:rsidRPr="00C878A3">
        <w:rPr>
          <w:rStyle w:val="FootnoteReference"/>
        </w:rPr>
        <w:footnoteRef/>
      </w:r>
      <w:r w:rsidRPr="00C878A3">
        <w:t xml:space="preserve"> </w:t>
      </w:r>
      <w:r w:rsidRPr="00C878A3">
        <w:rPr>
          <w:i/>
          <w:iCs/>
        </w:rPr>
        <w:t xml:space="preserve">Id. </w:t>
      </w:r>
      <w:r w:rsidRPr="00C878A3">
        <w:t>at ¶ 109.</w:t>
      </w:r>
    </w:p>
  </w:footnote>
  <w:footnote w:id="54">
    <w:p w:rsidR="00EF618B" w:rsidRPr="00C878A3" w:rsidP="00C878A3" w14:paraId="673DE2CE" w14:textId="358AB951">
      <w:pPr>
        <w:pStyle w:val="FootnoteText"/>
        <w:spacing w:after="120"/>
        <w:rPr>
          <w:i/>
          <w:iCs/>
        </w:rPr>
      </w:pPr>
      <w:r w:rsidRPr="00C878A3">
        <w:rPr>
          <w:rStyle w:val="FootnoteReference"/>
        </w:rPr>
        <w:footnoteRef/>
      </w:r>
      <w:r w:rsidRPr="00C878A3">
        <w:t xml:space="preserve"> </w:t>
      </w:r>
      <w:r w:rsidRPr="00C878A3">
        <w:rPr>
          <w:i/>
          <w:iCs/>
        </w:rPr>
        <w:t>Id.</w:t>
      </w:r>
    </w:p>
  </w:footnote>
  <w:footnote w:id="55">
    <w:p w:rsidR="00EF618B" w:rsidRPr="00C878A3" w:rsidP="00C878A3" w14:paraId="08D4C790" w14:textId="3A3E6AD5">
      <w:pPr>
        <w:pStyle w:val="FootnoteText"/>
        <w:spacing w:after="120"/>
      </w:pPr>
      <w:r w:rsidRPr="00C878A3">
        <w:rPr>
          <w:rStyle w:val="FootnoteReference"/>
        </w:rPr>
        <w:footnoteRef/>
      </w:r>
      <w:r w:rsidRPr="00C878A3">
        <w:t xml:space="preserve"> </w:t>
      </w:r>
      <w:r w:rsidRPr="00C878A3">
        <w:rPr>
          <w:i/>
          <w:iCs/>
        </w:rPr>
        <w:t xml:space="preserve">Id. </w:t>
      </w:r>
      <w:r w:rsidRPr="00C878A3">
        <w:t>at ¶ 110.</w:t>
      </w:r>
    </w:p>
  </w:footnote>
  <w:footnote w:id="56">
    <w:p w:rsidR="00620482" w:rsidRPr="00C878A3" w:rsidP="00C878A3" w14:paraId="496DD2FA" w14:textId="66DEAC72">
      <w:pPr>
        <w:pStyle w:val="FootnoteText"/>
        <w:spacing w:after="120"/>
      </w:pPr>
      <w:r w:rsidRPr="00C878A3">
        <w:rPr>
          <w:rStyle w:val="FootnoteReference"/>
        </w:rPr>
        <w:footnoteRef/>
      </w:r>
      <w:r w:rsidRPr="00C878A3">
        <w:t xml:space="preserve"> </w:t>
      </w:r>
      <w:r w:rsidRPr="00C878A3" w:rsidR="005367A3">
        <w:t>OCC Ex. 1 at 17.</w:t>
      </w:r>
    </w:p>
  </w:footnote>
  <w:footnote w:id="57">
    <w:p w:rsidR="00620482" w:rsidRPr="00C878A3" w:rsidP="00C878A3" w14:paraId="1543A30E" w14:textId="77777777">
      <w:pPr>
        <w:pStyle w:val="FootnoteText"/>
        <w:spacing w:after="120"/>
      </w:pPr>
      <w:r w:rsidRPr="00C878A3">
        <w:rPr>
          <w:rStyle w:val="FootnoteReference"/>
        </w:rPr>
        <w:footnoteRef/>
      </w:r>
      <w:r w:rsidRPr="00C878A3">
        <w:t xml:space="preserve"> </w:t>
      </w:r>
      <w:r w:rsidRPr="00C878A3">
        <w:rPr>
          <w:i/>
          <w:iCs/>
        </w:rPr>
        <w:t xml:space="preserve">Id. </w:t>
      </w:r>
      <w:r w:rsidRPr="00C878A3">
        <w:t>at 17-18.</w:t>
      </w:r>
    </w:p>
  </w:footnote>
  <w:footnote w:id="58">
    <w:p w:rsidR="00620482" w:rsidRPr="00C878A3" w:rsidP="00C878A3" w14:paraId="5ED30895" w14:textId="77777777">
      <w:pPr>
        <w:pStyle w:val="FootnoteText"/>
        <w:spacing w:after="120"/>
      </w:pPr>
      <w:r w:rsidRPr="00C878A3">
        <w:rPr>
          <w:rStyle w:val="FootnoteReference"/>
        </w:rPr>
        <w:footnoteRef/>
      </w:r>
      <w:r w:rsidRPr="00C878A3">
        <w:t xml:space="preserve"> </w:t>
      </w:r>
      <w:r w:rsidRPr="00C878A3">
        <w:rPr>
          <w:i/>
          <w:iCs/>
        </w:rPr>
        <w:t xml:space="preserve">Id. </w:t>
      </w:r>
      <w:r w:rsidRPr="00C878A3">
        <w:t>at 18.</w:t>
      </w:r>
    </w:p>
  </w:footnote>
  <w:footnote w:id="59">
    <w:p w:rsidR="005367A3" w:rsidRPr="00C878A3" w:rsidP="00C878A3" w14:paraId="621B8304" w14:textId="3A289A8F">
      <w:pPr>
        <w:pStyle w:val="FootnoteText"/>
        <w:spacing w:after="120"/>
      </w:pPr>
      <w:r w:rsidRPr="00C878A3">
        <w:rPr>
          <w:rStyle w:val="FootnoteReference"/>
        </w:rPr>
        <w:footnoteRef/>
      </w:r>
      <w:r w:rsidRPr="00C878A3">
        <w:t xml:space="preserve"> </w:t>
      </w:r>
      <w:r w:rsidRPr="00C878A3" w:rsidR="0018151B">
        <w:t xml:space="preserve">Opinion and Order </w:t>
      </w:r>
      <w:r w:rsidRPr="00C878A3">
        <w:t>at ¶ 114</w:t>
      </w:r>
      <w:r w:rsidRPr="00C878A3" w:rsidR="0018151B">
        <w:t xml:space="preserve"> (Dec. 14, 2022).</w:t>
      </w:r>
    </w:p>
  </w:footnote>
  <w:footnote w:id="60">
    <w:p w:rsidR="0018151B" w:rsidRPr="00C878A3" w:rsidP="00C878A3" w14:paraId="26FB730D" w14:textId="4D62C085">
      <w:pPr>
        <w:pStyle w:val="FootnoteText"/>
        <w:spacing w:after="120"/>
        <w:rPr>
          <w:i/>
          <w:iCs/>
        </w:rPr>
      </w:pPr>
      <w:r w:rsidRPr="00C878A3">
        <w:rPr>
          <w:rStyle w:val="FootnoteReference"/>
        </w:rPr>
        <w:footnoteRef/>
      </w:r>
      <w:r w:rsidRPr="00C878A3">
        <w:t xml:space="preserve"> </w:t>
      </w:r>
      <w:r w:rsidRPr="00C878A3">
        <w:rPr>
          <w:i/>
          <w:iCs/>
        </w:rPr>
        <w:t>Id.</w:t>
      </w:r>
    </w:p>
  </w:footnote>
  <w:footnote w:id="61">
    <w:p w:rsidR="00096AA2" w:rsidRPr="00C878A3" w:rsidP="00C878A3" w14:paraId="27A19712" w14:textId="5B3BADFB">
      <w:pPr>
        <w:pStyle w:val="FootnoteText"/>
        <w:spacing w:after="120"/>
      </w:pPr>
      <w:r w:rsidRPr="00C878A3">
        <w:rPr>
          <w:rStyle w:val="FootnoteReference"/>
        </w:rPr>
        <w:footnoteRef/>
      </w:r>
      <w:r w:rsidRPr="00C878A3">
        <w:t xml:space="preserve"> R.C. 4909.15.</w:t>
      </w:r>
    </w:p>
  </w:footnote>
  <w:footnote w:id="62">
    <w:p w:rsidR="00AC2934" w:rsidRPr="00C878A3" w:rsidP="00C878A3" w14:paraId="74974C4A" w14:textId="5861EFD5">
      <w:pPr>
        <w:pStyle w:val="FootnoteText"/>
        <w:spacing w:after="120"/>
      </w:pPr>
      <w:r w:rsidRPr="00C878A3">
        <w:rPr>
          <w:rStyle w:val="FootnoteReference"/>
        </w:rPr>
        <w:footnoteRef/>
      </w:r>
      <w:r w:rsidRPr="00C878A3">
        <w:t xml:space="preserve"> </w:t>
      </w:r>
      <w:r w:rsidRPr="00C878A3">
        <w:rPr>
          <w:i/>
          <w:iCs/>
        </w:rPr>
        <w:t>Board of Comm’rs v. Pub</w:t>
      </w:r>
      <w:r w:rsidRPr="00C878A3" w:rsidR="00004590">
        <w:rPr>
          <w:i/>
          <w:iCs/>
        </w:rPr>
        <w:t>.</w:t>
      </w:r>
      <w:r w:rsidRPr="00C878A3">
        <w:rPr>
          <w:i/>
          <w:iCs/>
        </w:rPr>
        <w:t xml:space="preserve"> Uti</w:t>
      </w:r>
      <w:r w:rsidRPr="00C878A3" w:rsidR="00004590">
        <w:rPr>
          <w:i/>
          <w:iCs/>
        </w:rPr>
        <w:t>l.</w:t>
      </w:r>
      <w:r w:rsidRPr="00C878A3">
        <w:rPr>
          <w:i/>
          <w:iCs/>
        </w:rPr>
        <w:t xml:space="preserve"> Comm., </w:t>
      </w:r>
      <w:r w:rsidRPr="00C878A3">
        <w:t>1 Ohio St.3d 125, 127, 438 N.E.2d 111, 113 (1982).</w:t>
      </w:r>
    </w:p>
  </w:footnote>
  <w:footnote w:id="63">
    <w:p w:rsidR="00004590" w:rsidRPr="00C878A3" w:rsidP="00C878A3" w14:paraId="0C6A3035" w14:textId="436D0343">
      <w:pPr>
        <w:pStyle w:val="FootnoteText"/>
        <w:spacing w:after="120"/>
      </w:pPr>
      <w:r w:rsidRPr="00C878A3">
        <w:rPr>
          <w:rStyle w:val="FootnoteReference"/>
        </w:rPr>
        <w:footnoteRef/>
      </w:r>
      <w:r w:rsidRPr="00C878A3">
        <w:t xml:space="preserve"> R.C. 4909.15.</w:t>
      </w:r>
    </w:p>
  </w:footnote>
  <w:footnote w:id="64">
    <w:p w:rsidR="00004590" w:rsidRPr="00C878A3" w:rsidP="00C878A3" w14:paraId="157A33A8" w14:textId="1AD8A58E">
      <w:pPr>
        <w:pStyle w:val="FootnoteText"/>
        <w:spacing w:after="120"/>
      </w:pPr>
      <w:r w:rsidRPr="00C878A3">
        <w:rPr>
          <w:rStyle w:val="FootnoteReference"/>
        </w:rPr>
        <w:footnoteRef/>
      </w:r>
      <w:r w:rsidRPr="00C878A3">
        <w:t xml:space="preserve"> 67 Ohio St.2d 372, 424 N.E.2d 300 (1981).</w:t>
      </w:r>
    </w:p>
  </w:footnote>
  <w:footnote w:id="65">
    <w:p w:rsidR="00004590" w:rsidRPr="00C878A3" w:rsidP="00C878A3" w14:paraId="2396A7D9" w14:textId="71708394">
      <w:pPr>
        <w:pStyle w:val="FootnoteText"/>
        <w:spacing w:after="120"/>
        <w:rPr>
          <w:i/>
          <w:iCs/>
        </w:rPr>
      </w:pPr>
      <w:r w:rsidRPr="00C878A3">
        <w:rPr>
          <w:rStyle w:val="FootnoteReference"/>
        </w:rPr>
        <w:footnoteRef/>
      </w:r>
      <w:r w:rsidRPr="00C878A3">
        <w:t xml:space="preserve"> </w:t>
      </w:r>
      <w:r w:rsidRPr="00C878A3">
        <w:rPr>
          <w:i/>
          <w:iCs/>
        </w:rPr>
        <w:t>Id.</w:t>
      </w:r>
    </w:p>
  </w:footnote>
  <w:footnote w:id="66">
    <w:p w:rsidR="00340480" w:rsidRPr="00C878A3" w:rsidP="00C878A3" w14:paraId="5440C940" w14:textId="60A03074">
      <w:pPr>
        <w:pStyle w:val="FootnoteText"/>
        <w:spacing w:after="120"/>
      </w:pPr>
      <w:r w:rsidRPr="00C878A3">
        <w:rPr>
          <w:rStyle w:val="FootnoteReference"/>
        </w:rPr>
        <w:footnoteRef/>
      </w:r>
      <w:r w:rsidRPr="00C878A3">
        <w:t xml:space="preserve"> Opinion and Order at ¶ 114 (Dec. 22, 2022).</w:t>
      </w:r>
    </w:p>
  </w:footnote>
  <w:footnote w:id="67">
    <w:p w:rsidR="00676D4B" w:rsidRPr="00C878A3" w:rsidP="00C878A3" w14:paraId="7AB30C1B" w14:textId="0D7C34C7">
      <w:pPr>
        <w:pStyle w:val="FootnoteText"/>
        <w:spacing w:after="120"/>
      </w:pPr>
      <w:r w:rsidRPr="00C878A3">
        <w:rPr>
          <w:rStyle w:val="FootnoteReference"/>
        </w:rPr>
        <w:footnoteRef/>
      </w:r>
      <w:r w:rsidRPr="00C878A3">
        <w:t xml:space="preserve"> </w:t>
      </w:r>
      <w:r w:rsidRPr="00C878A3" w:rsidR="00340480">
        <w:t>OCC Ex. 1 at 20-21.</w:t>
      </w:r>
    </w:p>
  </w:footnote>
  <w:footnote w:id="68">
    <w:p w:rsidR="00676D4B" w:rsidRPr="00C878A3" w:rsidP="00C878A3" w14:paraId="708B82E0" w14:textId="77777777">
      <w:pPr>
        <w:pStyle w:val="FootnoteText"/>
        <w:spacing w:after="120"/>
      </w:pPr>
      <w:r w:rsidRPr="00C878A3">
        <w:rPr>
          <w:rStyle w:val="FootnoteReference"/>
        </w:rPr>
        <w:footnoteRef/>
      </w:r>
      <w:r w:rsidRPr="00C878A3">
        <w:t xml:space="preserve"> </w:t>
      </w:r>
      <w:r w:rsidRPr="00C878A3">
        <w:rPr>
          <w:i/>
          <w:iCs/>
        </w:rPr>
        <w:t>Id.</w:t>
      </w:r>
    </w:p>
  </w:footnote>
  <w:footnote w:id="69">
    <w:p w:rsidR="00676D4B" w:rsidRPr="00C878A3" w:rsidP="00C878A3" w14:paraId="3328B2ED" w14:textId="77777777">
      <w:pPr>
        <w:pStyle w:val="FootnoteText"/>
        <w:spacing w:after="120"/>
      </w:pPr>
      <w:r w:rsidRPr="00C878A3">
        <w:rPr>
          <w:rStyle w:val="FootnoteReference"/>
        </w:rPr>
        <w:footnoteRef/>
      </w:r>
      <w:r w:rsidRPr="00C878A3">
        <w:t xml:space="preserve"> </w:t>
      </w:r>
      <w:r w:rsidRPr="00C878A3">
        <w:rPr>
          <w:i/>
          <w:iCs/>
        </w:rPr>
        <w:t xml:space="preserve">Id. </w:t>
      </w:r>
      <w:r w:rsidRPr="00C878A3">
        <w:t>at 21-22.</w:t>
      </w:r>
    </w:p>
  </w:footnote>
  <w:footnote w:id="70">
    <w:p w:rsidR="00676D4B" w:rsidRPr="00C878A3" w:rsidP="00C878A3" w14:paraId="40FA74FA" w14:textId="000E9F98">
      <w:pPr>
        <w:pStyle w:val="FootnoteText"/>
        <w:spacing w:after="120"/>
      </w:pPr>
      <w:r w:rsidRPr="00C878A3">
        <w:rPr>
          <w:rStyle w:val="FootnoteReference"/>
        </w:rPr>
        <w:footnoteRef/>
      </w:r>
      <w:r w:rsidRPr="00C878A3">
        <w:t xml:space="preserve"> </w:t>
      </w:r>
      <w:r w:rsidRPr="00C878A3" w:rsidR="008C30A1">
        <w:t>Opinion and Order at ¶</w:t>
      </w:r>
      <w:r w:rsidRPr="00C878A3" w:rsidR="00340480">
        <w:t xml:space="preserve"> 114 (Dec. 22, 2022).</w:t>
      </w:r>
    </w:p>
  </w:footnote>
  <w:footnote w:id="71">
    <w:p w:rsidR="008C30A1" w:rsidRPr="00C878A3" w:rsidP="00C878A3" w14:paraId="62994022" w14:textId="154F6FC2">
      <w:pPr>
        <w:pStyle w:val="FootnoteText"/>
        <w:spacing w:after="120"/>
        <w:rPr>
          <w:i/>
          <w:iCs/>
        </w:rPr>
      </w:pPr>
      <w:r w:rsidRPr="00C878A3">
        <w:rPr>
          <w:rStyle w:val="FootnoteReference"/>
        </w:rPr>
        <w:footnoteRef/>
      </w:r>
      <w:r w:rsidRPr="00C878A3">
        <w:t xml:space="preserve"> </w:t>
      </w:r>
      <w:r w:rsidRPr="00C878A3" w:rsidR="00137E4B">
        <w:rPr>
          <w:i/>
          <w:iCs/>
        </w:rPr>
        <w:t>Id.</w:t>
      </w:r>
    </w:p>
  </w:footnote>
  <w:footnote w:id="72">
    <w:p w:rsidR="001A179F" w:rsidRPr="00C878A3" w:rsidP="00C878A3" w14:paraId="549C8CD7" w14:textId="0F41DF1D">
      <w:pPr>
        <w:pStyle w:val="FootnoteText"/>
        <w:spacing w:after="120"/>
      </w:pPr>
      <w:r w:rsidRPr="00C878A3">
        <w:rPr>
          <w:rStyle w:val="FootnoteReference"/>
        </w:rPr>
        <w:footnoteRef/>
      </w:r>
      <w:r w:rsidRPr="00C878A3">
        <w:t xml:space="preserve"> </w:t>
      </w:r>
      <w:r w:rsidRPr="00C878A3">
        <w:rPr>
          <w:i/>
          <w:iCs/>
        </w:rPr>
        <w:t xml:space="preserve">In the Matter of the Application of Duke Energy Ohio, Inc. for Approval to Change Accounting Methods Associated With </w:t>
      </w:r>
      <w:r w:rsidR="00E10430">
        <w:rPr>
          <w:i/>
          <w:iCs/>
        </w:rPr>
        <w:t>I</w:t>
      </w:r>
      <w:r w:rsidRPr="00C878A3">
        <w:rPr>
          <w:i/>
          <w:iCs/>
        </w:rPr>
        <w:t xml:space="preserve">ts Integrity Management Program, </w:t>
      </w:r>
      <w:r w:rsidRPr="00C878A3">
        <w:t>Case No. 16-387-GA-AAM, Opinion and Order (Jan. 4, 2017);</w:t>
      </w:r>
      <w:r w:rsidRPr="00C878A3" w:rsidR="00080A00">
        <w:rPr>
          <w:color w:val="212121"/>
          <w:shd w:val="clear" w:color="auto" w:fill="FFFFFF"/>
        </w:rPr>
        <w:t> </w:t>
      </w:r>
      <w:r w:rsidRPr="00C878A3" w:rsidR="00080A00">
        <w:rPr>
          <w:rStyle w:val="ssit"/>
          <w:i/>
          <w:iCs/>
          <w:color w:val="212121"/>
          <w:bdr w:val="none" w:sz="0" w:space="0" w:color="auto" w:frame="1"/>
          <w:shd w:val="clear" w:color="auto" w:fill="FFFFFF"/>
        </w:rPr>
        <w:t>In re Duke Energy Ohio, Inc.</w:t>
      </w:r>
      <w:r w:rsidRPr="00C878A3" w:rsidR="00080A00">
        <w:rPr>
          <w:color w:val="212121"/>
          <w:shd w:val="clear" w:color="auto" w:fill="FFFFFF"/>
        </w:rPr>
        <w:t>, Case No. 09-1097-GA-AAM, Finding and Order (Mar. 24, 2010); </w:t>
      </w:r>
      <w:r w:rsidRPr="00C878A3" w:rsidR="00080A00">
        <w:rPr>
          <w:rStyle w:val="ssit"/>
          <w:i/>
          <w:iCs/>
          <w:color w:val="212121"/>
          <w:bdr w:val="none" w:sz="0" w:space="0" w:color="auto" w:frame="1"/>
          <w:shd w:val="clear" w:color="auto" w:fill="FFFFFF"/>
        </w:rPr>
        <w:t xml:space="preserve">In re </w:t>
      </w:r>
      <w:r w:rsidR="007A4F6D">
        <w:rPr>
          <w:rStyle w:val="ssit"/>
          <w:i/>
          <w:iCs/>
          <w:color w:val="212121"/>
          <w:bdr w:val="none" w:sz="0" w:space="0" w:color="auto" w:frame="1"/>
          <w:shd w:val="clear" w:color="auto" w:fill="FFFFFF"/>
        </w:rPr>
        <w:t>t</w:t>
      </w:r>
      <w:r w:rsidRPr="00C878A3" w:rsidR="00080A00">
        <w:rPr>
          <w:rStyle w:val="ssit"/>
          <w:i/>
          <w:iCs/>
          <w:color w:val="212121"/>
          <w:bdr w:val="none" w:sz="0" w:space="0" w:color="auto" w:frame="1"/>
          <w:shd w:val="clear" w:color="auto" w:fill="FFFFFF"/>
        </w:rPr>
        <w:t>he Dayton Power &amp; Light Co.</w:t>
      </w:r>
      <w:r w:rsidRPr="00C878A3" w:rsidR="00080A00">
        <w:rPr>
          <w:color w:val="212121"/>
          <w:shd w:val="clear" w:color="auto" w:fill="FFFFFF"/>
        </w:rPr>
        <w:t>, Case No. 08-1332-EL-AAM, Finding and Order (Jan. 14, 2009);</w:t>
      </w:r>
      <w:r w:rsidRPr="00C878A3" w:rsidR="007D0B73">
        <w:rPr>
          <w:color w:val="212121"/>
          <w:shd w:val="clear" w:color="auto" w:fill="FFFFFF"/>
        </w:rPr>
        <w:t xml:space="preserve"> </w:t>
      </w:r>
      <w:r w:rsidRPr="00C878A3" w:rsidR="00080A00">
        <w:rPr>
          <w:rStyle w:val="ssit"/>
          <w:i/>
          <w:iCs/>
          <w:color w:val="212121"/>
          <w:bdr w:val="none" w:sz="0" w:space="0" w:color="auto" w:frame="1"/>
          <w:shd w:val="clear" w:color="auto" w:fill="FFFFFF"/>
        </w:rPr>
        <w:t xml:space="preserve">In re </w:t>
      </w:r>
      <w:r w:rsidR="00FB113C">
        <w:rPr>
          <w:rStyle w:val="ssit"/>
          <w:i/>
          <w:iCs/>
          <w:color w:val="212121"/>
          <w:bdr w:val="none" w:sz="0" w:space="0" w:color="auto" w:frame="1"/>
          <w:shd w:val="clear" w:color="auto" w:fill="FFFFFF"/>
        </w:rPr>
        <w:t>t</w:t>
      </w:r>
      <w:r w:rsidRPr="00C878A3" w:rsidR="00080A00">
        <w:rPr>
          <w:rStyle w:val="ssit"/>
          <w:i/>
          <w:iCs/>
          <w:color w:val="212121"/>
          <w:bdr w:val="none" w:sz="0" w:space="0" w:color="auto" w:frame="1"/>
          <w:shd w:val="clear" w:color="auto" w:fill="FFFFFF"/>
        </w:rPr>
        <w:t>he Cincinnati Gas &amp; Elec. Co.</w:t>
      </w:r>
      <w:r w:rsidRPr="00C878A3" w:rsidR="00080A00">
        <w:rPr>
          <w:color w:val="212121"/>
          <w:shd w:val="clear" w:color="auto" w:fill="FFFFFF"/>
        </w:rPr>
        <w:t>, Case No. 90-2017-EL-AAM, Entry (Mar. 14, 1991).</w:t>
      </w:r>
    </w:p>
  </w:footnote>
  <w:footnote w:id="73">
    <w:p w:rsidR="004C33E3" w:rsidRPr="00C878A3" w:rsidP="00C878A3" w14:paraId="70F6D4BF" w14:textId="49D32F9B">
      <w:pPr>
        <w:pStyle w:val="FootnoteText"/>
        <w:spacing w:after="120"/>
      </w:pPr>
      <w:r w:rsidRPr="00C878A3">
        <w:rPr>
          <w:rStyle w:val="FootnoteReference"/>
        </w:rPr>
        <w:footnoteRef/>
      </w:r>
      <w:r w:rsidRPr="00C878A3">
        <w:t xml:space="preserve"> </w:t>
      </w:r>
      <w:r w:rsidRPr="00C878A3">
        <w:rPr>
          <w:i/>
          <w:iCs/>
        </w:rPr>
        <w:t>In re Application of Columbus S. Power Co</w:t>
      </w:r>
      <w:r w:rsidRPr="00C878A3">
        <w:t>., 128 Ohio St.3d 512, 2011-Ohio-1788, 947 N.E.2d 655, ¶ 52 (</w:t>
      </w:r>
      <w:r w:rsidRPr="00C878A3">
        <w:rPr>
          <w:i/>
          <w:iCs/>
        </w:rPr>
        <w:t>citing Cleveland Elec. Illum. Co. v. Pub. Util. Comm</w:t>
      </w:r>
      <w:r w:rsidRPr="00C878A3">
        <w:t>., 42 Ohio St.2d 403, 431, 330 N.E.2d 1 (1975)</w:t>
      </w:r>
      <w:r w:rsidR="001479A7">
        <w:t>)</w:t>
      </w:r>
      <w:r w:rsidRPr="00C878A3">
        <w:t xml:space="preserve"> (Columbus S. Power Co.).</w:t>
      </w:r>
    </w:p>
  </w:footnote>
  <w:footnote w:id="74">
    <w:p w:rsidR="004C33E3" w:rsidRPr="00C878A3" w:rsidP="00C878A3" w14:paraId="484C8CE3" w14:textId="77777777">
      <w:pPr>
        <w:pStyle w:val="FootnoteText"/>
        <w:spacing w:after="120"/>
        <w:rPr>
          <w:i/>
          <w:iCs/>
        </w:rPr>
      </w:pPr>
      <w:r w:rsidRPr="00C878A3">
        <w:rPr>
          <w:rStyle w:val="FootnoteReference"/>
        </w:rPr>
        <w:footnoteRef/>
      </w:r>
      <w:r w:rsidRPr="00C878A3">
        <w:t xml:space="preserve"> </w:t>
      </w:r>
      <w:r w:rsidRPr="00C878A3">
        <w:rPr>
          <w:i/>
          <w:iCs/>
        </w:rPr>
        <w:t>Id.</w:t>
      </w:r>
    </w:p>
  </w:footnote>
  <w:footnote w:id="75">
    <w:p w:rsidR="004C33E3" w:rsidRPr="00C878A3" w:rsidP="00C878A3" w14:paraId="3BC5B0B7" w14:textId="77777777">
      <w:pPr>
        <w:pStyle w:val="FootnoteText"/>
        <w:spacing w:after="120"/>
        <w:rPr>
          <w:i/>
          <w:iCs/>
        </w:rPr>
      </w:pPr>
      <w:r w:rsidRPr="00C878A3">
        <w:rPr>
          <w:rStyle w:val="FootnoteReference"/>
        </w:rPr>
        <w:footnoteRef/>
      </w:r>
      <w:r w:rsidRPr="00C878A3">
        <w:t xml:space="preserve"> </w:t>
      </w:r>
      <w:r w:rsidRPr="00C878A3">
        <w:rPr>
          <w:i/>
          <w:iCs/>
        </w:rPr>
        <w:t>Id.</w:t>
      </w:r>
    </w:p>
  </w:footnote>
  <w:footnote w:id="76">
    <w:p w:rsidR="00676D4B" w:rsidRPr="00C878A3" w:rsidP="00C878A3" w14:paraId="636683A5" w14:textId="7BD31EDA">
      <w:pPr>
        <w:pStyle w:val="FootnoteText"/>
        <w:spacing w:after="120"/>
      </w:pPr>
      <w:r w:rsidRPr="00C878A3">
        <w:rPr>
          <w:rStyle w:val="FootnoteReference"/>
        </w:rPr>
        <w:footnoteRef/>
      </w:r>
      <w:r w:rsidRPr="00C878A3">
        <w:t xml:space="preserve"> </w:t>
      </w:r>
      <w:r w:rsidRPr="00C878A3" w:rsidR="000846BD">
        <w:t>OCC Ex. 1 at 17-18.</w:t>
      </w:r>
    </w:p>
  </w:footnote>
  <w:footnote w:id="77">
    <w:p w:rsidR="00676D4B" w:rsidRPr="00C878A3" w:rsidP="00C878A3" w14:paraId="6ED52F33" w14:textId="77777777">
      <w:pPr>
        <w:pStyle w:val="FootnoteText"/>
        <w:spacing w:after="120"/>
      </w:pPr>
      <w:r w:rsidRPr="00C878A3">
        <w:rPr>
          <w:rStyle w:val="FootnoteReference"/>
        </w:rPr>
        <w:footnoteRef/>
      </w:r>
      <w:r w:rsidRPr="00C878A3">
        <w:t xml:space="preserve"> </w:t>
      </w:r>
      <w:r w:rsidRPr="00C878A3">
        <w:rPr>
          <w:i/>
          <w:iCs/>
        </w:rPr>
        <w:t>Id.</w:t>
      </w:r>
    </w:p>
  </w:footnote>
  <w:footnote w:id="78">
    <w:p w:rsidR="00676D4B" w:rsidRPr="00C878A3" w:rsidP="00C878A3" w14:paraId="793B3387" w14:textId="77777777">
      <w:pPr>
        <w:pStyle w:val="FootnoteText"/>
        <w:spacing w:after="120"/>
      </w:pPr>
      <w:r w:rsidRPr="00C878A3">
        <w:rPr>
          <w:rStyle w:val="FootnoteReference"/>
        </w:rPr>
        <w:footnoteRef/>
      </w:r>
      <w:r w:rsidRPr="00C878A3">
        <w:t xml:space="preserve"> </w:t>
      </w:r>
      <w:r w:rsidRPr="00C878A3">
        <w:rPr>
          <w:i/>
          <w:iCs/>
        </w:rPr>
        <w:t xml:space="preserve">Id. </w:t>
      </w:r>
      <w:r w:rsidRPr="00C878A3">
        <w:t>at 22-23.</w:t>
      </w:r>
    </w:p>
  </w:footnote>
  <w:footnote w:id="79">
    <w:p w:rsidR="00691D24" w:rsidRPr="00C878A3" w:rsidP="00C878A3" w14:paraId="5972C135" w14:textId="59EFD541">
      <w:pPr>
        <w:pStyle w:val="FootnoteText"/>
        <w:spacing w:after="120"/>
      </w:pPr>
      <w:r w:rsidRPr="00C878A3">
        <w:rPr>
          <w:rStyle w:val="FootnoteReference"/>
        </w:rPr>
        <w:footnoteRef/>
      </w:r>
      <w:r w:rsidRPr="00C878A3">
        <w:t xml:space="preserve"> Opinion and Order at ¶ 96 (Dec. 14, 2022).</w:t>
      </w:r>
    </w:p>
  </w:footnote>
  <w:footnote w:id="80">
    <w:p w:rsidR="00691D24" w:rsidRPr="00C878A3" w:rsidP="00C878A3" w14:paraId="732254FF" w14:textId="62ECF02D">
      <w:pPr>
        <w:pStyle w:val="FootnoteText"/>
        <w:spacing w:after="120"/>
        <w:rPr>
          <w:i/>
          <w:iCs/>
        </w:rPr>
      </w:pPr>
      <w:r w:rsidRPr="00C878A3">
        <w:rPr>
          <w:rStyle w:val="FootnoteReference"/>
        </w:rPr>
        <w:footnoteRef/>
      </w:r>
      <w:r w:rsidRPr="00C878A3">
        <w:t xml:space="preserve"> </w:t>
      </w:r>
      <w:r w:rsidRPr="00C878A3">
        <w:rPr>
          <w:i/>
          <w:iCs/>
        </w:rPr>
        <w:t>Id.</w:t>
      </w:r>
    </w:p>
  </w:footnote>
  <w:footnote w:id="81">
    <w:p w:rsidR="00691D24" w:rsidRPr="00C878A3" w:rsidP="00C878A3" w14:paraId="4DC8132D" w14:textId="676A0EA0">
      <w:pPr>
        <w:pStyle w:val="FootnoteText"/>
        <w:spacing w:after="120"/>
        <w:rPr>
          <w:i/>
          <w:iCs/>
        </w:rPr>
      </w:pPr>
      <w:r w:rsidRPr="00C878A3">
        <w:rPr>
          <w:rStyle w:val="FootnoteReference"/>
        </w:rPr>
        <w:footnoteRef/>
      </w:r>
      <w:r w:rsidRPr="00C878A3">
        <w:t xml:space="preserve"> </w:t>
      </w:r>
      <w:r w:rsidRPr="00C878A3">
        <w:rPr>
          <w:i/>
          <w:iCs/>
        </w:rPr>
        <w:t>Id.</w:t>
      </w:r>
    </w:p>
  </w:footnote>
  <w:footnote w:id="82">
    <w:p w:rsidR="00691D24" w:rsidRPr="00C878A3" w:rsidP="00C878A3" w14:paraId="7AAB2B63" w14:textId="7D67F212">
      <w:pPr>
        <w:pStyle w:val="FootnoteText"/>
        <w:spacing w:after="120"/>
        <w:rPr>
          <w:i/>
          <w:iCs/>
        </w:rPr>
      </w:pPr>
      <w:r w:rsidRPr="00C878A3">
        <w:rPr>
          <w:rStyle w:val="FootnoteReference"/>
        </w:rPr>
        <w:footnoteRef/>
      </w:r>
      <w:r w:rsidRPr="00C878A3">
        <w:t xml:space="preserve"> </w:t>
      </w:r>
      <w:r w:rsidRPr="00C878A3">
        <w:rPr>
          <w:i/>
          <w:iCs/>
        </w:rPr>
        <w:t>Id.</w:t>
      </w:r>
    </w:p>
  </w:footnote>
  <w:footnote w:id="83">
    <w:p w:rsidR="00857115" w:rsidRPr="00C878A3" w:rsidP="00C878A3" w14:paraId="0169C2B0" w14:textId="220CA073">
      <w:pPr>
        <w:pStyle w:val="FootnoteText"/>
        <w:spacing w:after="120"/>
      </w:pPr>
      <w:r w:rsidRPr="00C878A3">
        <w:rPr>
          <w:rStyle w:val="FootnoteReference"/>
        </w:rPr>
        <w:footnoteRef/>
      </w:r>
      <w:r w:rsidRPr="00C878A3">
        <w:t xml:space="preserve"> </w:t>
      </w:r>
      <w:r w:rsidRPr="00C878A3">
        <w:rPr>
          <w:i/>
          <w:iCs/>
        </w:rPr>
        <w:t>Id</w:t>
      </w:r>
      <w:r w:rsidR="004037BA">
        <w:rPr>
          <w:i/>
          <w:iCs/>
        </w:rPr>
        <w:t xml:space="preserve">. </w:t>
      </w:r>
      <w:r w:rsidRPr="00C878A3">
        <w:t>at ¶ 97</w:t>
      </w:r>
      <w:r w:rsidRPr="00C878A3" w:rsidR="000F123F">
        <w:t>. (Emphasis added.)</w:t>
      </w:r>
    </w:p>
  </w:footnote>
  <w:footnote w:id="84">
    <w:p w:rsidR="00F01771" w:rsidRPr="00C878A3" w:rsidP="00C878A3" w14:paraId="76E671ED" w14:textId="09778689">
      <w:pPr>
        <w:pStyle w:val="FootnoteText"/>
        <w:spacing w:after="120"/>
        <w:rPr>
          <w:i/>
          <w:iCs/>
        </w:rPr>
      </w:pPr>
      <w:r w:rsidRPr="00C878A3">
        <w:rPr>
          <w:rStyle w:val="FootnoteReference"/>
        </w:rPr>
        <w:footnoteRef/>
      </w:r>
      <w:r w:rsidRPr="00C878A3">
        <w:t xml:space="preserve"> </w:t>
      </w:r>
      <w:r w:rsidRPr="00C878A3">
        <w:rPr>
          <w:i/>
          <w:iCs/>
        </w:rPr>
        <w:t>Id.</w:t>
      </w:r>
    </w:p>
  </w:footnote>
  <w:footnote w:id="85">
    <w:p w:rsidR="00251FF0" w:rsidRPr="00C878A3" w:rsidP="00C878A3" w14:paraId="082DF5EF" w14:textId="11D4B036">
      <w:pPr>
        <w:pStyle w:val="FootnoteText"/>
        <w:spacing w:after="120"/>
      </w:pPr>
      <w:r w:rsidRPr="00C878A3">
        <w:rPr>
          <w:rStyle w:val="FootnoteReference"/>
        </w:rPr>
        <w:footnoteRef/>
      </w:r>
      <w:r w:rsidRPr="00C878A3">
        <w:t xml:space="preserve"> Tr. Vol. V. at 998-999 (Jan</w:t>
      </w:r>
      <w:r w:rsidR="00167458">
        <w:t>.</w:t>
      </w:r>
      <w:r w:rsidRPr="00C878A3">
        <w:t xml:space="preserve"> 28, 2022).</w:t>
      </w:r>
    </w:p>
  </w:footnote>
  <w:footnote w:id="86">
    <w:p w:rsidR="00251FF0" w:rsidRPr="00C878A3" w:rsidP="00C878A3" w14:paraId="66408A78" w14:textId="77777777">
      <w:pPr>
        <w:pStyle w:val="FootnoteText"/>
        <w:spacing w:after="120"/>
      </w:pPr>
      <w:r w:rsidRPr="00C878A3">
        <w:rPr>
          <w:rStyle w:val="FootnoteReference"/>
        </w:rPr>
        <w:footnoteRef/>
      </w:r>
      <w:r w:rsidRPr="00C878A3">
        <w:t xml:space="preserve"> </w:t>
      </w:r>
      <w:r w:rsidRPr="00C878A3">
        <w:rPr>
          <w:i/>
          <w:iCs/>
        </w:rPr>
        <w:t>Id.</w:t>
      </w:r>
    </w:p>
  </w:footnote>
  <w:footnote w:id="87">
    <w:p w:rsidR="00251FF0" w:rsidRPr="00C878A3" w:rsidP="00C878A3" w14:paraId="550D03B8" w14:textId="77777777">
      <w:pPr>
        <w:pStyle w:val="FootnoteText"/>
        <w:spacing w:after="120"/>
      </w:pPr>
      <w:r w:rsidRPr="00C878A3">
        <w:rPr>
          <w:rStyle w:val="FootnoteReference"/>
        </w:rPr>
        <w:footnoteRef/>
      </w:r>
      <w:r w:rsidRPr="00C878A3">
        <w:t xml:space="preserve"> </w:t>
      </w:r>
      <w:r w:rsidRPr="00C878A3">
        <w:rPr>
          <w:i/>
          <w:iCs/>
        </w:rPr>
        <w:t>Id.</w:t>
      </w:r>
      <w:r w:rsidRPr="00C878A3">
        <w:t xml:space="preserve"> at 993-995. </w:t>
      </w:r>
    </w:p>
  </w:footnote>
  <w:footnote w:id="88">
    <w:p w:rsidR="002D7D49" w:rsidRPr="00C878A3" w:rsidP="00C878A3" w14:paraId="3024A141" w14:textId="77777777">
      <w:pPr>
        <w:pStyle w:val="FootnoteText"/>
        <w:spacing w:after="120"/>
        <w:rPr>
          <w:i/>
          <w:iCs/>
        </w:rPr>
      </w:pPr>
      <w:r w:rsidRPr="00C878A3">
        <w:rPr>
          <w:rStyle w:val="FootnoteReference"/>
        </w:rPr>
        <w:footnoteRef/>
      </w:r>
      <w:r w:rsidRPr="00C878A3">
        <w:t xml:space="preserve"> </w:t>
      </w:r>
      <w:r w:rsidRPr="00C878A3">
        <w:rPr>
          <w:i/>
          <w:iCs/>
        </w:rPr>
        <w:t>Id.</w:t>
      </w:r>
    </w:p>
  </w:footnote>
  <w:footnote w:id="89">
    <w:p w:rsidR="006E4DBB" w:rsidRPr="00C878A3" w:rsidP="00C878A3" w14:paraId="5C696027" w14:textId="1B7B4EC3">
      <w:pPr>
        <w:pStyle w:val="FootnoteText"/>
        <w:spacing w:after="120"/>
      </w:pPr>
      <w:r w:rsidRPr="00C878A3">
        <w:rPr>
          <w:rStyle w:val="FootnoteReference"/>
        </w:rPr>
        <w:footnoteRef/>
      </w:r>
      <w:r w:rsidRPr="00C878A3">
        <w:t xml:space="preserve"> 4 Ohio St.3d 111, 447 N.E.2d 749 (1982).</w:t>
      </w:r>
    </w:p>
  </w:footnote>
  <w:footnote w:id="90">
    <w:p w:rsidR="002645BB" w:rsidRPr="00C878A3" w:rsidP="00C878A3" w14:paraId="3FCC9225" w14:textId="799CF33D">
      <w:pPr>
        <w:pStyle w:val="FootnoteText"/>
        <w:spacing w:after="120"/>
        <w:rPr>
          <w:i/>
          <w:iCs/>
        </w:rPr>
      </w:pPr>
      <w:r w:rsidRPr="00C878A3">
        <w:rPr>
          <w:rStyle w:val="FootnoteReference"/>
        </w:rPr>
        <w:footnoteRef/>
      </w:r>
      <w:r w:rsidRPr="00C878A3">
        <w:t xml:space="preserve"> </w:t>
      </w:r>
      <w:r w:rsidRPr="00C878A3">
        <w:rPr>
          <w:i/>
          <w:iCs/>
        </w:rPr>
        <w:t>Id.</w:t>
      </w:r>
    </w:p>
  </w:footnote>
  <w:footnote w:id="91">
    <w:p w:rsidR="002645BB" w:rsidRPr="00C878A3" w:rsidP="00C878A3" w14:paraId="4E4C1968" w14:textId="1CAACCD4">
      <w:pPr>
        <w:pStyle w:val="FootnoteText"/>
        <w:spacing w:after="120"/>
        <w:rPr>
          <w:i/>
          <w:iCs/>
        </w:rPr>
      </w:pPr>
      <w:r w:rsidRPr="00C878A3">
        <w:rPr>
          <w:rStyle w:val="FootnoteReference"/>
        </w:rPr>
        <w:footnoteRef/>
      </w:r>
      <w:r w:rsidRPr="00C878A3">
        <w:t xml:space="preserve"> </w:t>
      </w:r>
      <w:r w:rsidRPr="00C878A3">
        <w:rPr>
          <w:i/>
          <w:iCs/>
        </w:rPr>
        <w:t>Id.</w:t>
      </w:r>
    </w:p>
  </w:footnote>
  <w:footnote w:id="92">
    <w:p w:rsidR="002645BB" w:rsidRPr="00C878A3" w:rsidP="00C878A3" w14:paraId="4C22E3EC" w14:textId="47FB2C17">
      <w:pPr>
        <w:pStyle w:val="FootnoteText"/>
        <w:spacing w:after="120"/>
        <w:rPr>
          <w:i/>
          <w:iCs/>
        </w:rPr>
      </w:pPr>
      <w:r w:rsidRPr="00C878A3">
        <w:rPr>
          <w:rStyle w:val="FootnoteReference"/>
        </w:rPr>
        <w:footnoteRef/>
      </w:r>
      <w:r w:rsidRPr="00C878A3">
        <w:t xml:space="preserve"> </w:t>
      </w:r>
      <w:r w:rsidRPr="00C878A3">
        <w:rPr>
          <w:i/>
          <w:iCs/>
        </w:rPr>
        <w:t>Id.</w:t>
      </w:r>
    </w:p>
  </w:footnote>
  <w:footnote w:id="93">
    <w:p w:rsidR="00C44EA5" w:rsidRPr="00C878A3" w:rsidP="00C878A3" w14:paraId="707B4365" w14:textId="70CC4C7E">
      <w:pPr>
        <w:pStyle w:val="FootnoteText"/>
        <w:spacing w:after="120"/>
        <w:rPr>
          <w:i/>
          <w:iCs/>
        </w:rPr>
      </w:pPr>
      <w:r w:rsidRPr="00C878A3">
        <w:rPr>
          <w:rStyle w:val="FootnoteReference"/>
        </w:rPr>
        <w:footnoteRef/>
      </w:r>
      <w:r w:rsidRPr="00C878A3">
        <w:t xml:space="preserve"> </w:t>
      </w:r>
      <w:r w:rsidRPr="00C878A3" w:rsidR="002645BB">
        <w:rPr>
          <w:i/>
          <w:iCs/>
        </w:rPr>
        <w:t>Id.</w:t>
      </w:r>
    </w:p>
  </w:footnote>
  <w:footnote w:id="94">
    <w:p w:rsidR="002645BB" w:rsidRPr="00C878A3" w:rsidP="00C878A3" w14:paraId="5B360429" w14:textId="47CCC2C9">
      <w:pPr>
        <w:pStyle w:val="FootnoteText"/>
        <w:spacing w:after="120"/>
        <w:rPr>
          <w:i/>
          <w:iCs/>
        </w:rPr>
      </w:pPr>
      <w:r w:rsidRPr="00C878A3">
        <w:rPr>
          <w:rStyle w:val="FootnoteReference"/>
        </w:rPr>
        <w:footnoteRef/>
      </w:r>
      <w:r w:rsidRPr="00C878A3">
        <w:t xml:space="preserve"> </w:t>
      </w:r>
      <w:r w:rsidRPr="00C878A3">
        <w:rPr>
          <w:i/>
          <w:iCs/>
        </w:rPr>
        <w:t>Id.</w:t>
      </w:r>
    </w:p>
  </w:footnote>
  <w:footnote w:id="95">
    <w:p w:rsidR="00784076" w:rsidRPr="00C878A3" w:rsidP="00C878A3" w14:paraId="28D901AE" w14:textId="6489447D">
      <w:pPr>
        <w:pStyle w:val="FootnoteText"/>
        <w:spacing w:after="120"/>
      </w:pPr>
      <w:r w:rsidRPr="00C878A3">
        <w:rPr>
          <w:rStyle w:val="FootnoteReference"/>
        </w:rPr>
        <w:footnoteRef/>
      </w:r>
      <w:r w:rsidRPr="00C878A3">
        <w:t xml:space="preserve"> R.C. 4909.154</w:t>
      </w:r>
      <w:r w:rsidRPr="00C878A3" w:rsidR="00C22CCB">
        <w:t>.</w:t>
      </w:r>
    </w:p>
  </w:footnote>
  <w:footnote w:id="96">
    <w:p w:rsidR="00784076" w:rsidRPr="00C878A3" w:rsidP="00C878A3" w14:paraId="7B81E2B0" w14:textId="0C3AEB96">
      <w:pPr>
        <w:pStyle w:val="FootnoteText"/>
        <w:spacing w:after="120"/>
      </w:pPr>
      <w:r w:rsidRPr="00C878A3">
        <w:rPr>
          <w:rStyle w:val="FootnoteReference"/>
        </w:rPr>
        <w:footnoteRef/>
      </w:r>
      <w:r w:rsidRPr="00C878A3">
        <w:t xml:space="preserve"> 262 U.S. 679, 67 L.Ed. 1176, 43 S.Ct. 675 (1923).</w:t>
      </w:r>
    </w:p>
  </w:footnote>
  <w:footnote w:id="97">
    <w:p w:rsidR="00387F02" w:rsidRPr="00C878A3" w:rsidP="00C878A3" w14:paraId="148D4B50" w14:textId="1729D5F6">
      <w:pPr>
        <w:pStyle w:val="FootnoteText"/>
        <w:spacing w:after="120"/>
      </w:pPr>
      <w:r w:rsidRPr="00C878A3">
        <w:rPr>
          <w:rStyle w:val="FootnoteReference"/>
        </w:rPr>
        <w:footnoteRef/>
      </w:r>
      <w:r w:rsidRPr="00C878A3">
        <w:t xml:space="preserve"> 262 U.S. at </w:t>
      </w:r>
      <w:r w:rsidRPr="00C878A3" w:rsidR="00D25539">
        <w:t>693. (Emphasis added.)</w:t>
      </w:r>
    </w:p>
  </w:footnote>
  <w:footnote w:id="98">
    <w:p w:rsidR="00F4788E" w:rsidRPr="00C878A3" w:rsidP="00C878A3" w14:paraId="27271540" w14:textId="110A1EDE">
      <w:pPr>
        <w:pStyle w:val="FootnoteText"/>
        <w:spacing w:after="120"/>
      </w:pPr>
      <w:r w:rsidRPr="00C878A3">
        <w:rPr>
          <w:rStyle w:val="FootnoteReference"/>
        </w:rPr>
        <w:footnoteRef/>
      </w:r>
      <w:r w:rsidRPr="00C878A3">
        <w:t xml:space="preserve"> </w:t>
      </w:r>
      <w:r w:rsidRPr="00C878A3">
        <w:rPr>
          <w:i/>
          <w:iCs/>
        </w:rPr>
        <w:t xml:space="preserve">In the Matter of the Application of Ohio American Water Company to Increase </w:t>
      </w:r>
      <w:r w:rsidR="00167458">
        <w:rPr>
          <w:i/>
          <w:iCs/>
        </w:rPr>
        <w:t>I</w:t>
      </w:r>
      <w:r w:rsidRPr="00C878A3">
        <w:rPr>
          <w:i/>
          <w:iCs/>
        </w:rPr>
        <w:t xml:space="preserve">ts Rates for Water and Sewer Services Provided to </w:t>
      </w:r>
      <w:r w:rsidR="00A83689">
        <w:rPr>
          <w:i/>
          <w:iCs/>
        </w:rPr>
        <w:t>I</w:t>
      </w:r>
      <w:r w:rsidRPr="00C878A3">
        <w:rPr>
          <w:i/>
          <w:iCs/>
        </w:rPr>
        <w:t>ts Entire Service Area,</w:t>
      </w:r>
      <w:r w:rsidRPr="00C878A3">
        <w:t xml:space="preserve"> Case No. 09-391-WS-AIR, Opinion and Order at 36 (May 5, 2010).</w:t>
      </w:r>
    </w:p>
  </w:footnote>
  <w:footnote w:id="99">
    <w:p w:rsidR="0077540C" w:rsidRPr="00C878A3" w:rsidP="00C878A3" w14:paraId="74365185" w14:textId="77777777">
      <w:pPr>
        <w:pStyle w:val="FootnoteText"/>
        <w:spacing w:after="120"/>
      </w:pPr>
      <w:r w:rsidRPr="00C878A3">
        <w:rPr>
          <w:rStyle w:val="FootnoteReference"/>
        </w:rPr>
        <w:footnoteRef/>
      </w:r>
      <w:r w:rsidRPr="00C878A3">
        <w:t xml:space="preserve"> J. Zuckerman, </w:t>
      </w:r>
      <w:r w:rsidRPr="00C878A3">
        <w:rPr>
          <w:i/>
          <w:iCs/>
        </w:rPr>
        <w:t>Millions of Ohioans face home gas and electric rate hikes</w:t>
      </w:r>
      <w:r w:rsidRPr="00C878A3">
        <w:t>, Ohio Capital Journal</w:t>
      </w:r>
      <w:r w:rsidRPr="00C878A3">
        <w:rPr>
          <w:i/>
          <w:iCs/>
        </w:rPr>
        <w:t xml:space="preserve"> </w:t>
      </w:r>
      <w:r w:rsidRPr="00C878A3">
        <w:t xml:space="preserve">(June 28, 2022); </w:t>
      </w:r>
      <w:r w:rsidRPr="00C878A3">
        <w:rPr>
          <w:i/>
          <w:iCs/>
        </w:rPr>
        <w:t xml:space="preserve">Consumer Price Index – November 2022, </w:t>
      </w:r>
      <w:r w:rsidRPr="00C878A3">
        <w:t xml:space="preserve">U.S. Bureau of Labor Statistics (Dec. 13, 2022) (reporting a 7.1% annual increase in inflation before seasonal adjustment); </w:t>
      </w:r>
      <w:r w:rsidRPr="00C878A3">
        <w:rPr>
          <w:i/>
          <w:iCs/>
        </w:rPr>
        <w:t xml:space="preserve">Ohio’s unemployment rate increased to 4.2% in October, </w:t>
      </w:r>
      <w:r w:rsidRPr="00C878A3">
        <w:t>Ohio Department of Jobs and Family Services (Nov. 18, 2022).</w:t>
      </w:r>
    </w:p>
  </w:footnote>
  <w:footnote w:id="100">
    <w:p w:rsidR="0077540C" w:rsidRPr="00C878A3" w:rsidP="00C878A3" w14:paraId="62E2591F" w14:textId="77777777">
      <w:pPr>
        <w:pStyle w:val="FootnoteText"/>
        <w:spacing w:after="120"/>
      </w:pPr>
      <w:r w:rsidRPr="00C878A3">
        <w:rPr>
          <w:rStyle w:val="FootnoteReference"/>
        </w:rPr>
        <w:footnoteRef/>
      </w:r>
      <w:r w:rsidRPr="00C878A3">
        <w:t xml:space="preserve"> S. Min, </w:t>
      </w:r>
      <w:r w:rsidRPr="00C878A3">
        <w:rPr>
          <w:i/>
          <w:iCs/>
        </w:rPr>
        <w:t xml:space="preserve">Dow closes out its worst day in three months, falls more than 700 points as recession fears grow, </w:t>
      </w:r>
      <w:r w:rsidRPr="00C878A3">
        <w:t>CNBC.com (Dec. 15, 2022).</w:t>
      </w:r>
    </w:p>
  </w:footnote>
  <w:footnote w:id="101">
    <w:p w:rsidR="0077540C" w:rsidRPr="00C878A3" w:rsidP="00C878A3" w14:paraId="2081D334" w14:textId="77777777">
      <w:pPr>
        <w:pStyle w:val="FootnoteText"/>
        <w:spacing w:after="120"/>
        <w:rPr>
          <w:i/>
        </w:rPr>
      </w:pPr>
      <w:r w:rsidRPr="00C878A3">
        <w:rPr>
          <w:rStyle w:val="FootnoteReference"/>
        </w:rPr>
        <w:footnoteRef/>
      </w:r>
      <w:r w:rsidRPr="00C878A3">
        <w:t xml:space="preserve"> </w:t>
      </w:r>
      <w:r w:rsidRPr="00C878A3">
        <w:rPr>
          <w:i/>
        </w:rPr>
        <w:t>Id.</w:t>
      </w:r>
    </w:p>
  </w:footnote>
  <w:footnote w:id="102">
    <w:p w:rsidR="00E1212C" w:rsidRPr="00C878A3" w:rsidP="00C878A3" w14:paraId="5DEB327D" w14:textId="1A104771">
      <w:pPr>
        <w:pStyle w:val="FootnoteText"/>
        <w:spacing w:after="120"/>
      </w:pPr>
      <w:r w:rsidRPr="00C878A3">
        <w:rPr>
          <w:rStyle w:val="FootnoteReference"/>
        </w:rPr>
        <w:footnoteRef/>
      </w:r>
      <w:r w:rsidRPr="00C878A3">
        <w:t xml:space="preserve"> </w:t>
      </w:r>
      <w:r w:rsidRPr="00C878A3">
        <w:rPr>
          <w:i/>
          <w:iCs/>
        </w:rPr>
        <w:t xml:space="preserve">In the Matter of the Application of Duke Energy Ohio, Inc. for an Increase in Electric Distribution Rates, </w:t>
      </w:r>
      <w:r w:rsidRPr="00C878A3">
        <w:t>Case No. 21-887-EL-AIR, Opinion and Order (Dec. 14, 2022).</w:t>
      </w:r>
    </w:p>
  </w:footnote>
  <w:footnote w:id="103">
    <w:p w:rsidR="009328BA" w:rsidRPr="00C878A3" w:rsidP="00C878A3" w14:paraId="091CB1F2" w14:textId="334077E2">
      <w:pPr>
        <w:pStyle w:val="FootnoteText"/>
        <w:spacing w:after="120"/>
      </w:pPr>
      <w:r w:rsidRPr="00C878A3">
        <w:rPr>
          <w:rStyle w:val="FootnoteReference"/>
        </w:rPr>
        <w:footnoteRef/>
      </w:r>
      <w:r w:rsidRPr="00C878A3">
        <w:t xml:space="preserve"> Opinion and Order at ¶</w:t>
      </w:r>
      <w:r w:rsidR="0022630D">
        <w:t xml:space="preserve"> </w:t>
      </w:r>
      <w:r w:rsidR="0073465A">
        <w:t>20.</w:t>
      </w:r>
    </w:p>
  </w:footnote>
  <w:footnote w:id="104">
    <w:p w:rsidR="009328BA" w:rsidRPr="00C878A3" w:rsidP="00C878A3" w14:paraId="36A9F6B6" w14:textId="4F399756">
      <w:pPr>
        <w:pStyle w:val="FootnoteText"/>
        <w:spacing w:after="120"/>
      </w:pPr>
      <w:r w:rsidRPr="00C878A3">
        <w:rPr>
          <w:rStyle w:val="FootnoteReference"/>
        </w:rPr>
        <w:footnoteRef/>
      </w:r>
      <w:r w:rsidRPr="00C878A3">
        <w:t xml:space="preserve"> </w:t>
      </w:r>
      <w:r w:rsidRPr="00C878A3">
        <w:rPr>
          <w:i/>
          <w:iCs/>
        </w:rPr>
        <w:t xml:space="preserve">In re DP&amp;L ESP, </w:t>
      </w:r>
      <w:r w:rsidRPr="00C878A3">
        <w:t>Case No. 22-900-EL-SSO, Entry (Nov. 21, 2022).</w:t>
      </w:r>
    </w:p>
  </w:footnote>
  <w:footnote w:id="105">
    <w:p w:rsidR="00374A6D" w:rsidRPr="00C878A3" w:rsidP="00C878A3" w14:paraId="7784A152" w14:textId="7FBE0A4B">
      <w:pPr>
        <w:pStyle w:val="FootnoteText"/>
        <w:spacing w:after="120"/>
      </w:pPr>
      <w:r w:rsidRPr="00C878A3">
        <w:rPr>
          <w:rStyle w:val="FootnoteReference"/>
        </w:rPr>
        <w:footnoteRef/>
      </w:r>
      <w:r w:rsidRPr="00C878A3">
        <w:t xml:space="preserve"> Opinion and Order at ¶ 223. (Emphasis added.)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48024B"/>
    <w:multiLevelType w:val="hybridMultilevel"/>
    <w:tmpl w:val="4874D8DE"/>
    <w:lvl w:ilvl="0">
      <w:start w:val="1"/>
      <w:numFmt w:val="upperLetter"/>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4094326"/>
    <w:multiLevelType w:val="hybridMultilevel"/>
    <w:tmpl w:val="7998285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DBE1651"/>
    <w:multiLevelType w:val="hybridMultilevel"/>
    <w:tmpl w:val="5824B87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C235D72"/>
    <w:multiLevelType w:val="hybridMultilevel"/>
    <w:tmpl w:val="052CCE2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7B640110"/>
    <w:multiLevelType w:val="hybridMultilevel"/>
    <w:tmpl w:val="0900C7A4"/>
    <w:lvl w:ilvl="0">
      <w:start w:val="1"/>
      <w:numFmt w:val="decimal"/>
      <w:lvlText w:val="%1."/>
      <w:lvlJc w:val="left"/>
      <w:pPr>
        <w:ind w:left="1800" w:hanging="360"/>
      </w:pPr>
      <w:rPr>
        <w:rFonts w:hint="default"/>
        <w:b w:val="0"/>
        <w:bCs/>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A1"/>
    <w:rsid w:val="0000173C"/>
    <w:rsid w:val="00004590"/>
    <w:rsid w:val="000065DE"/>
    <w:rsid w:val="000127A5"/>
    <w:rsid w:val="00024E7E"/>
    <w:rsid w:val="00031CD2"/>
    <w:rsid w:val="00036888"/>
    <w:rsid w:val="00037137"/>
    <w:rsid w:val="0004353C"/>
    <w:rsid w:val="00052A34"/>
    <w:rsid w:val="0006250B"/>
    <w:rsid w:val="00080A00"/>
    <w:rsid w:val="00081D24"/>
    <w:rsid w:val="00082F5F"/>
    <w:rsid w:val="000846BD"/>
    <w:rsid w:val="00090B6C"/>
    <w:rsid w:val="00090EA8"/>
    <w:rsid w:val="00094B86"/>
    <w:rsid w:val="00096AA2"/>
    <w:rsid w:val="000B55A6"/>
    <w:rsid w:val="000B7FD3"/>
    <w:rsid w:val="000C3D29"/>
    <w:rsid w:val="000D0AC9"/>
    <w:rsid w:val="000D2D75"/>
    <w:rsid w:val="000D3BFA"/>
    <w:rsid w:val="000D5892"/>
    <w:rsid w:val="000E10F0"/>
    <w:rsid w:val="000F123F"/>
    <w:rsid w:val="000F7719"/>
    <w:rsid w:val="00117F07"/>
    <w:rsid w:val="00120D88"/>
    <w:rsid w:val="0012117B"/>
    <w:rsid w:val="00124992"/>
    <w:rsid w:val="00131990"/>
    <w:rsid w:val="00135A9C"/>
    <w:rsid w:val="00137E4B"/>
    <w:rsid w:val="00143972"/>
    <w:rsid w:val="001479A7"/>
    <w:rsid w:val="00157173"/>
    <w:rsid w:val="0015796A"/>
    <w:rsid w:val="001633AC"/>
    <w:rsid w:val="00166FAB"/>
    <w:rsid w:val="00167458"/>
    <w:rsid w:val="0018151B"/>
    <w:rsid w:val="00191DFA"/>
    <w:rsid w:val="001A179F"/>
    <w:rsid w:val="001A4581"/>
    <w:rsid w:val="001A773F"/>
    <w:rsid w:val="001B31DB"/>
    <w:rsid w:val="001B728F"/>
    <w:rsid w:val="001C1EEC"/>
    <w:rsid w:val="001C32BD"/>
    <w:rsid w:val="001D4BBD"/>
    <w:rsid w:val="001F2851"/>
    <w:rsid w:val="001F45DD"/>
    <w:rsid w:val="001F4E7E"/>
    <w:rsid w:val="0020449B"/>
    <w:rsid w:val="00207046"/>
    <w:rsid w:val="0022137E"/>
    <w:rsid w:val="00222936"/>
    <w:rsid w:val="00225588"/>
    <w:rsid w:val="0022630D"/>
    <w:rsid w:val="00226B43"/>
    <w:rsid w:val="00235378"/>
    <w:rsid w:val="002403D2"/>
    <w:rsid w:val="0024143D"/>
    <w:rsid w:val="00251FF0"/>
    <w:rsid w:val="00252695"/>
    <w:rsid w:val="002558AF"/>
    <w:rsid w:val="002645BB"/>
    <w:rsid w:val="00266E6F"/>
    <w:rsid w:val="002909E5"/>
    <w:rsid w:val="00293A06"/>
    <w:rsid w:val="002A1C15"/>
    <w:rsid w:val="002A436B"/>
    <w:rsid w:val="002D7D49"/>
    <w:rsid w:val="002E6E09"/>
    <w:rsid w:val="002F32A5"/>
    <w:rsid w:val="00311403"/>
    <w:rsid w:val="003373A5"/>
    <w:rsid w:val="00340480"/>
    <w:rsid w:val="00340B4F"/>
    <w:rsid w:val="00345910"/>
    <w:rsid w:val="00363DA3"/>
    <w:rsid w:val="003648F8"/>
    <w:rsid w:val="00372D59"/>
    <w:rsid w:val="00374A6D"/>
    <w:rsid w:val="00386A28"/>
    <w:rsid w:val="003875BD"/>
    <w:rsid w:val="00387F02"/>
    <w:rsid w:val="00390137"/>
    <w:rsid w:val="00391EBC"/>
    <w:rsid w:val="003923A6"/>
    <w:rsid w:val="00396CE2"/>
    <w:rsid w:val="003B6B4D"/>
    <w:rsid w:val="003B7567"/>
    <w:rsid w:val="003D152F"/>
    <w:rsid w:val="003E32B4"/>
    <w:rsid w:val="003E430A"/>
    <w:rsid w:val="003E6CCF"/>
    <w:rsid w:val="003E6D18"/>
    <w:rsid w:val="003F0404"/>
    <w:rsid w:val="00401CCF"/>
    <w:rsid w:val="004037BA"/>
    <w:rsid w:val="0040497B"/>
    <w:rsid w:val="00414E67"/>
    <w:rsid w:val="004160B4"/>
    <w:rsid w:val="00423E3A"/>
    <w:rsid w:val="00423F6C"/>
    <w:rsid w:val="00437363"/>
    <w:rsid w:val="00465E88"/>
    <w:rsid w:val="004740AF"/>
    <w:rsid w:val="004744FA"/>
    <w:rsid w:val="004769BF"/>
    <w:rsid w:val="00476AA1"/>
    <w:rsid w:val="0048266F"/>
    <w:rsid w:val="00495DCE"/>
    <w:rsid w:val="004A313A"/>
    <w:rsid w:val="004A7CC7"/>
    <w:rsid w:val="004A7F30"/>
    <w:rsid w:val="004C33E3"/>
    <w:rsid w:val="004D09DD"/>
    <w:rsid w:val="00521D0C"/>
    <w:rsid w:val="005316CD"/>
    <w:rsid w:val="005367A3"/>
    <w:rsid w:val="00542311"/>
    <w:rsid w:val="005436D4"/>
    <w:rsid w:val="00564001"/>
    <w:rsid w:val="0057608B"/>
    <w:rsid w:val="00582D00"/>
    <w:rsid w:val="005B1148"/>
    <w:rsid w:val="005B485F"/>
    <w:rsid w:val="005B59B0"/>
    <w:rsid w:val="005B62E5"/>
    <w:rsid w:val="005E09B3"/>
    <w:rsid w:val="005E3D43"/>
    <w:rsid w:val="00600AAC"/>
    <w:rsid w:val="00603125"/>
    <w:rsid w:val="006032CD"/>
    <w:rsid w:val="00606F85"/>
    <w:rsid w:val="006135A2"/>
    <w:rsid w:val="00615122"/>
    <w:rsid w:val="00620482"/>
    <w:rsid w:val="00625511"/>
    <w:rsid w:val="0063458C"/>
    <w:rsid w:val="0063601E"/>
    <w:rsid w:val="00636D77"/>
    <w:rsid w:val="00637466"/>
    <w:rsid w:val="0064110D"/>
    <w:rsid w:val="00645FE2"/>
    <w:rsid w:val="006530FE"/>
    <w:rsid w:val="006620DA"/>
    <w:rsid w:val="006633E3"/>
    <w:rsid w:val="00673F29"/>
    <w:rsid w:val="00676D4B"/>
    <w:rsid w:val="006806DC"/>
    <w:rsid w:val="0069112D"/>
    <w:rsid w:val="00691D24"/>
    <w:rsid w:val="006A1FCA"/>
    <w:rsid w:val="006B1265"/>
    <w:rsid w:val="006B22E8"/>
    <w:rsid w:val="006B2355"/>
    <w:rsid w:val="006B7684"/>
    <w:rsid w:val="006C019B"/>
    <w:rsid w:val="006C0D75"/>
    <w:rsid w:val="006C4A2C"/>
    <w:rsid w:val="006C5631"/>
    <w:rsid w:val="006D41AF"/>
    <w:rsid w:val="006D6A32"/>
    <w:rsid w:val="006D7898"/>
    <w:rsid w:val="006E4DBB"/>
    <w:rsid w:val="006E54D6"/>
    <w:rsid w:val="006F7620"/>
    <w:rsid w:val="00706722"/>
    <w:rsid w:val="00715B0F"/>
    <w:rsid w:val="00724CEB"/>
    <w:rsid w:val="00731034"/>
    <w:rsid w:val="0073260A"/>
    <w:rsid w:val="0073465A"/>
    <w:rsid w:val="00736EB5"/>
    <w:rsid w:val="0074568A"/>
    <w:rsid w:val="0075747D"/>
    <w:rsid w:val="007610AE"/>
    <w:rsid w:val="0077540C"/>
    <w:rsid w:val="00784076"/>
    <w:rsid w:val="007853B3"/>
    <w:rsid w:val="007A4F6D"/>
    <w:rsid w:val="007A4FC2"/>
    <w:rsid w:val="007B5874"/>
    <w:rsid w:val="007C35FC"/>
    <w:rsid w:val="007D0B73"/>
    <w:rsid w:val="007D36A9"/>
    <w:rsid w:val="007E0535"/>
    <w:rsid w:val="007E100E"/>
    <w:rsid w:val="007E13C1"/>
    <w:rsid w:val="008034D7"/>
    <w:rsid w:val="00816525"/>
    <w:rsid w:val="00817A83"/>
    <w:rsid w:val="008449B2"/>
    <w:rsid w:val="008539E8"/>
    <w:rsid w:val="00857115"/>
    <w:rsid w:val="00866D7F"/>
    <w:rsid w:val="00870449"/>
    <w:rsid w:val="0087373E"/>
    <w:rsid w:val="00886965"/>
    <w:rsid w:val="00890DEE"/>
    <w:rsid w:val="00893F99"/>
    <w:rsid w:val="008B1E43"/>
    <w:rsid w:val="008C30A1"/>
    <w:rsid w:val="008C40CA"/>
    <w:rsid w:val="008C47F7"/>
    <w:rsid w:val="008D0550"/>
    <w:rsid w:val="008D440E"/>
    <w:rsid w:val="008D4507"/>
    <w:rsid w:val="008E0DBD"/>
    <w:rsid w:val="00901B88"/>
    <w:rsid w:val="00925319"/>
    <w:rsid w:val="009328BA"/>
    <w:rsid w:val="00935174"/>
    <w:rsid w:val="00935C21"/>
    <w:rsid w:val="00937E6C"/>
    <w:rsid w:val="009431E2"/>
    <w:rsid w:val="0095278F"/>
    <w:rsid w:val="00970FBC"/>
    <w:rsid w:val="009777B1"/>
    <w:rsid w:val="00982F77"/>
    <w:rsid w:val="00983926"/>
    <w:rsid w:val="009847DE"/>
    <w:rsid w:val="009858F9"/>
    <w:rsid w:val="009B053B"/>
    <w:rsid w:val="009B0EBD"/>
    <w:rsid w:val="009B113E"/>
    <w:rsid w:val="009B13E0"/>
    <w:rsid w:val="009B343E"/>
    <w:rsid w:val="009C1C7B"/>
    <w:rsid w:val="009C32B6"/>
    <w:rsid w:val="009C32D8"/>
    <w:rsid w:val="009C441E"/>
    <w:rsid w:val="009C6D95"/>
    <w:rsid w:val="009C75AC"/>
    <w:rsid w:val="009C7BE1"/>
    <w:rsid w:val="009D1001"/>
    <w:rsid w:val="009D3C63"/>
    <w:rsid w:val="009D5CCE"/>
    <w:rsid w:val="009E036E"/>
    <w:rsid w:val="009F074E"/>
    <w:rsid w:val="009F3F5D"/>
    <w:rsid w:val="00A07A8E"/>
    <w:rsid w:val="00A32502"/>
    <w:rsid w:val="00A464FA"/>
    <w:rsid w:val="00A63C4A"/>
    <w:rsid w:val="00A66A5F"/>
    <w:rsid w:val="00A66D3D"/>
    <w:rsid w:val="00A74233"/>
    <w:rsid w:val="00A81EC2"/>
    <w:rsid w:val="00A83689"/>
    <w:rsid w:val="00A8732C"/>
    <w:rsid w:val="00A92B3F"/>
    <w:rsid w:val="00A93E42"/>
    <w:rsid w:val="00AA29FB"/>
    <w:rsid w:val="00AA2AA1"/>
    <w:rsid w:val="00AA2BD6"/>
    <w:rsid w:val="00AC1C36"/>
    <w:rsid w:val="00AC2934"/>
    <w:rsid w:val="00AD1B32"/>
    <w:rsid w:val="00AD29C3"/>
    <w:rsid w:val="00AE5EF4"/>
    <w:rsid w:val="00AF7558"/>
    <w:rsid w:val="00B039C3"/>
    <w:rsid w:val="00B11642"/>
    <w:rsid w:val="00B27935"/>
    <w:rsid w:val="00B31959"/>
    <w:rsid w:val="00B52FBF"/>
    <w:rsid w:val="00B54757"/>
    <w:rsid w:val="00B63A3C"/>
    <w:rsid w:val="00B64C27"/>
    <w:rsid w:val="00B6529E"/>
    <w:rsid w:val="00B7618B"/>
    <w:rsid w:val="00B769A4"/>
    <w:rsid w:val="00B81427"/>
    <w:rsid w:val="00B81B2E"/>
    <w:rsid w:val="00BA6C52"/>
    <w:rsid w:val="00BB1D3F"/>
    <w:rsid w:val="00BC7A5B"/>
    <w:rsid w:val="00BE5177"/>
    <w:rsid w:val="00C22CCB"/>
    <w:rsid w:val="00C24EE9"/>
    <w:rsid w:val="00C27221"/>
    <w:rsid w:val="00C3165A"/>
    <w:rsid w:val="00C325FB"/>
    <w:rsid w:val="00C35CD0"/>
    <w:rsid w:val="00C44EA5"/>
    <w:rsid w:val="00C455C2"/>
    <w:rsid w:val="00C50CCC"/>
    <w:rsid w:val="00C51B85"/>
    <w:rsid w:val="00C70A3E"/>
    <w:rsid w:val="00C77AB9"/>
    <w:rsid w:val="00C84D9D"/>
    <w:rsid w:val="00C868C6"/>
    <w:rsid w:val="00C878A3"/>
    <w:rsid w:val="00C94D1A"/>
    <w:rsid w:val="00CA3793"/>
    <w:rsid w:val="00CB1DC7"/>
    <w:rsid w:val="00CB252B"/>
    <w:rsid w:val="00CB5FC7"/>
    <w:rsid w:val="00CE4517"/>
    <w:rsid w:val="00CF65CD"/>
    <w:rsid w:val="00D0514F"/>
    <w:rsid w:val="00D12823"/>
    <w:rsid w:val="00D248C1"/>
    <w:rsid w:val="00D25539"/>
    <w:rsid w:val="00D4214F"/>
    <w:rsid w:val="00D514E6"/>
    <w:rsid w:val="00D51FE5"/>
    <w:rsid w:val="00D54276"/>
    <w:rsid w:val="00D543D2"/>
    <w:rsid w:val="00D63539"/>
    <w:rsid w:val="00D748A1"/>
    <w:rsid w:val="00D90CFB"/>
    <w:rsid w:val="00DA6ED9"/>
    <w:rsid w:val="00DB2E2F"/>
    <w:rsid w:val="00DC676F"/>
    <w:rsid w:val="00DD3CB0"/>
    <w:rsid w:val="00DD50C8"/>
    <w:rsid w:val="00DE4364"/>
    <w:rsid w:val="00E01570"/>
    <w:rsid w:val="00E06678"/>
    <w:rsid w:val="00E10430"/>
    <w:rsid w:val="00E1212C"/>
    <w:rsid w:val="00E16D3C"/>
    <w:rsid w:val="00E225D4"/>
    <w:rsid w:val="00E31CA8"/>
    <w:rsid w:val="00E31DA6"/>
    <w:rsid w:val="00E32B0F"/>
    <w:rsid w:val="00E47D0D"/>
    <w:rsid w:val="00E530BA"/>
    <w:rsid w:val="00E53EFF"/>
    <w:rsid w:val="00E7511A"/>
    <w:rsid w:val="00E82620"/>
    <w:rsid w:val="00EB5BB6"/>
    <w:rsid w:val="00EE18A0"/>
    <w:rsid w:val="00EF618B"/>
    <w:rsid w:val="00EF62BD"/>
    <w:rsid w:val="00F01771"/>
    <w:rsid w:val="00F03F72"/>
    <w:rsid w:val="00F25D3A"/>
    <w:rsid w:val="00F41675"/>
    <w:rsid w:val="00F4788E"/>
    <w:rsid w:val="00F549BB"/>
    <w:rsid w:val="00F65677"/>
    <w:rsid w:val="00F657D3"/>
    <w:rsid w:val="00F70FDD"/>
    <w:rsid w:val="00F87244"/>
    <w:rsid w:val="00F910B4"/>
    <w:rsid w:val="00FA1D2F"/>
    <w:rsid w:val="00FB113C"/>
    <w:rsid w:val="00FB512F"/>
    <w:rsid w:val="00FD3343"/>
    <w:rsid w:val="00FD57CD"/>
    <w:rsid w:val="00FE000C"/>
    <w:rsid w:val="00FE1B52"/>
    <w:rsid w:val="00FE7D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B73"/>
    <w:rPr>
      <w:rFonts w:ascii="Times New Roman" w:hAnsi="Times New Roman" w:cs="Times New Roman"/>
      <w:color w:val="000000"/>
      <w:szCs w:val="19"/>
    </w:rPr>
  </w:style>
  <w:style w:type="paragraph" w:styleId="Heading1">
    <w:name w:val="heading 1"/>
    <w:basedOn w:val="Normal"/>
    <w:next w:val="Normal"/>
    <w:link w:val="Heading1Char"/>
    <w:autoRedefine/>
    <w:qFormat/>
    <w:rsid w:val="00CA3793"/>
    <w:pPr>
      <w:keepNext/>
      <w:spacing w:after="240"/>
      <w:ind w:left="720" w:hanging="720"/>
      <w:outlineLvl w:val="0"/>
    </w:pPr>
    <w:rPr>
      <w:rFonts w:ascii="Times New Roman Bold" w:eastAsia="Times New Roman" w:hAnsi="Times New Roman Bold"/>
      <w:b/>
      <w:caps/>
      <w:color w:val="auto"/>
      <w:szCs w:val="24"/>
    </w:rPr>
  </w:style>
  <w:style w:type="paragraph" w:styleId="Heading2">
    <w:name w:val="heading 2"/>
    <w:basedOn w:val="Normal"/>
    <w:next w:val="Normal"/>
    <w:link w:val="Heading2Char"/>
    <w:uiPriority w:val="9"/>
    <w:unhideWhenUsed/>
    <w:qFormat/>
    <w:rsid w:val="004769BF"/>
    <w:pPr>
      <w:keepNext/>
      <w:keepLines/>
      <w:spacing w:after="240"/>
      <w:ind w:left="1440" w:hanging="720"/>
      <w:outlineLvl w:val="1"/>
    </w:pPr>
    <w:rPr>
      <w:rFonts w:ascii="Times New Roman Bold" w:hAnsi="Times New Roman Bold" w:eastAsiaTheme="majorEastAsia" w:cstheme="majorBidi"/>
      <w:b/>
      <w:color w:val="auto"/>
      <w:szCs w:val="26"/>
    </w:rPr>
  </w:style>
  <w:style w:type="paragraph" w:styleId="Heading3">
    <w:name w:val="heading 3"/>
    <w:basedOn w:val="Normal"/>
    <w:next w:val="Normal"/>
    <w:link w:val="Heading3Char"/>
    <w:uiPriority w:val="9"/>
    <w:unhideWhenUsed/>
    <w:qFormat/>
    <w:rsid w:val="000F7719"/>
    <w:pPr>
      <w:keepNext/>
      <w:keepLines/>
      <w:spacing w:after="240"/>
      <w:ind w:left="2160" w:hanging="720"/>
      <w:outlineLvl w:val="2"/>
    </w:pPr>
    <w:rPr>
      <w:rFonts w:ascii="Times New Roman Bold" w:hAnsi="Times New Roman Bold"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ootnote Text Cha,Footnote Text Char Char,Footnote Text Char Char Char Char,Footnote Text Char1,Footnote Text Char1 Char Char1,Footnote Text Char1 Char Char1 Char Char Char,Footnote Text Char2 Char Char Char Char1,fn"/>
    <w:basedOn w:val="Normal"/>
    <w:link w:val="FootnoteTextChar"/>
    <w:unhideWhenUsed/>
    <w:qFormat/>
    <w:rsid w:val="00AA2AA1"/>
    <w:rPr>
      <w:sz w:val="20"/>
      <w:szCs w:val="20"/>
    </w:rPr>
  </w:style>
  <w:style w:type="character" w:customStyle="1" w:styleId="FootnoteTextChar">
    <w:name w:val="Footnote Text Char"/>
    <w:aliases w:val="Footnote Text Char Char Char Char Char1,Footnote Text Char Char Char1,Footnote Text Char1 Char Char1 Char Char Char Char1,Footnote Text Char1 Char Char1 Char1,Footnote Text Char1 Char1,Footnote Text Char2 Char Char Char Char1 Char1"/>
    <w:basedOn w:val="DefaultParagraphFont"/>
    <w:link w:val="FootnoteText"/>
    <w:rsid w:val="00AA2AA1"/>
    <w:rPr>
      <w:rFonts w:ascii="Times New Roman" w:hAnsi="Times New Roman" w:cs="Times New Roman"/>
      <w:color w:val="000000"/>
      <w:sz w:val="20"/>
      <w:szCs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basedOn w:val="DefaultParagraphFont"/>
    <w:uiPriority w:val="99"/>
    <w:unhideWhenUsed/>
    <w:qFormat/>
    <w:rsid w:val="00AA2AA1"/>
    <w:rPr>
      <w:vertAlign w:val="superscript"/>
    </w:rPr>
  </w:style>
  <w:style w:type="paragraph" w:styleId="Footer">
    <w:name w:val="footer"/>
    <w:basedOn w:val="Normal"/>
    <w:link w:val="FooterChar"/>
    <w:uiPriority w:val="99"/>
    <w:unhideWhenUsed/>
    <w:rsid w:val="00AA2AA1"/>
    <w:pPr>
      <w:tabs>
        <w:tab w:val="center" w:pos="4680"/>
        <w:tab w:val="right" w:pos="9360"/>
      </w:tabs>
    </w:pPr>
  </w:style>
  <w:style w:type="character" w:customStyle="1" w:styleId="FooterChar">
    <w:name w:val="Footer Char"/>
    <w:basedOn w:val="DefaultParagraphFont"/>
    <w:link w:val="Footer"/>
    <w:uiPriority w:val="99"/>
    <w:rsid w:val="00AA2AA1"/>
    <w:rPr>
      <w:rFonts w:ascii="Times New Roman" w:hAnsi="Times New Roman" w:cs="Times New Roman"/>
      <w:color w:val="000000"/>
      <w:szCs w:val="19"/>
    </w:rPr>
  </w:style>
  <w:style w:type="paragraph" w:styleId="NormalWeb">
    <w:name w:val="Normal (Web)"/>
    <w:basedOn w:val="Normal"/>
    <w:uiPriority w:val="99"/>
    <w:unhideWhenUsed/>
    <w:rsid w:val="00600AAC"/>
    <w:pPr>
      <w:spacing w:before="100" w:beforeAutospacing="1" w:after="100" w:afterAutospacing="1"/>
    </w:pPr>
    <w:rPr>
      <w:rFonts w:eastAsia="Times New Roman"/>
      <w:color w:val="auto"/>
      <w:szCs w:val="24"/>
    </w:rPr>
  </w:style>
  <w:style w:type="character" w:styleId="CommentReference">
    <w:name w:val="annotation reference"/>
    <w:basedOn w:val="DefaultParagraphFont"/>
    <w:uiPriority w:val="99"/>
    <w:semiHidden/>
    <w:unhideWhenUsed/>
    <w:rsid w:val="00390137"/>
    <w:rPr>
      <w:sz w:val="16"/>
      <w:szCs w:val="16"/>
    </w:rPr>
  </w:style>
  <w:style w:type="paragraph" w:styleId="CommentText">
    <w:name w:val="annotation text"/>
    <w:basedOn w:val="Normal"/>
    <w:link w:val="CommentTextChar"/>
    <w:uiPriority w:val="99"/>
    <w:unhideWhenUsed/>
    <w:rsid w:val="00390137"/>
    <w:rPr>
      <w:sz w:val="20"/>
      <w:szCs w:val="20"/>
    </w:rPr>
  </w:style>
  <w:style w:type="character" w:customStyle="1" w:styleId="CommentTextChar">
    <w:name w:val="Comment Text Char"/>
    <w:basedOn w:val="DefaultParagraphFont"/>
    <w:link w:val="CommentText"/>
    <w:uiPriority w:val="99"/>
    <w:rsid w:val="00390137"/>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90137"/>
    <w:rPr>
      <w:b/>
      <w:bCs/>
    </w:rPr>
  </w:style>
  <w:style w:type="character" w:customStyle="1" w:styleId="CommentSubjectChar">
    <w:name w:val="Comment Subject Char"/>
    <w:basedOn w:val="CommentTextChar"/>
    <w:link w:val="CommentSubject"/>
    <w:uiPriority w:val="99"/>
    <w:semiHidden/>
    <w:rsid w:val="00390137"/>
    <w:rPr>
      <w:rFonts w:ascii="Times New Roman" w:hAnsi="Times New Roman" w:cs="Times New Roman"/>
      <w:b/>
      <w:bCs/>
      <w:color w:val="000000"/>
      <w:sz w:val="20"/>
      <w:szCs w:val="20"/>
    </w:rPr>
  </w:style>
  <w:style w:type="character" w:styleId="Hyperlink">
    <w:name w:val="Hyperlink"/>
    <w:basedOn w:val="DefaultParagraphFont"/>
    <w:uiPriority w:val="99"/>
    <w:unhideWhenUsed/>
    <w:rsid w:val="00390137"/>
    <w:rPr>
      <w:color w:val="0563C1" w:themeColor="hyperlink"/>
      <w:u w:val="single"/>
    </w:rPr>
  </w:style>
  <w:style w:type="paragraph" w:styleId="ListParagraph">
    <w:name w:val="List Paragraph"/>
    <w:basedOn w:val="Normal"/>
    <w:uiPriority w:val="34"/>
    <w:qFormat/>
    <w:rsid w:val="00390137"/>
    <w:pPr>
      <w:ind w:left="720"/>
      <w:contextualSpacing/>
    </w:pPr>
    <w:rPr>
      <w:rFonts w:eastAsia="Times New Roman"/>
      <w:color w:val="auto"/>
      <w:szCs w:val="24"/>
      <w:lang w:bidi="en-US"/>
    </w:rPr>
  </w:style>
  <w:style w:type="paragraph" w:styleId="HTMLPreformatted">
    <w:name w:val="HTML Preformatted"/>
    <w:basedOn w:val="Normal"/>
    <w:link w:val="HTMLPreformattedChar"/>
    <w:rsid w:val="0039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color w:val="auto"/>
      <w:sz w:val="20"/>
      <w:szCs w:val="20"/>
    </w:rPr>
  </w:style>
  <w:style w:type="character" w:customStyle="1" w:styleId="HTMLPreformattedChar">
    <w:name w:val="HTML Preformatted Char"/>
    <w:basedOn w:val="DefaultParagraphFont"/>
    <w:link w:val="HTMLPreformatted"/>
    <w:rsid w:val="00390137"/>
    <w:rPr>
      <w:rFonts w:ascii="Courier New" w:eastAsia="Courier New" w:hAnsi="Courier New" w:cs="Courier New"/>
      <w:bCs/>
      <w:sz w:val="20"/>
      <w:szCs w:val="20"/>
    </w:rPr>
  </w:style>
  <w:style w:type="paragraph" w:styleId="List">
    <w:name w:val="List"/>
    <w:basedOn w:val="Normal"/>
    <w:rsid w:val="00390137"/>
    <w:pPr>
      <w:ind w:left="360" w:hanging="360"/>
    </w:pPr>
    <w:rPr>
      <w:rFonts w:eastAsia="Times New Roman"/>
      <w:bCs/>
      <w:color w:val="auto"/>
      <w:szCs w:val="20"/>
    </w:rPr>
  </w:style>
  <w:style w:type="character" w:customStyle="1" w:styleId="sssh">
    <w:name w:val="ss_sh"/>
    <w:basedOn w:val="DefaultParagraphFont"/>
    <w:rsid w:val="00391EBC"/>
  </w:style>
  <w:style w:type="paragraph" w:styleId="Revision">
    <w:name w:val="Revision"/>
    <w:hidden/>
    <w:uiPriority w:val="99"/>
    <w:semiHidden/>
    <w:rsid w:val="00B81B2E"/>
    <w:rPr>
      <w:rFonts w:ascii="Times New Roman" w:hAnsi="Times New Roman" w:cs="Times New Roman"/>
      <w:color w:val="000000"/>
      <w:szCs w:val="19"/>
    </w:rPr>
  </w:style>
  <w:style w:type="paragraph" w:styleId="BodyText">
    <w:name w:val="Body Text"/>
    <w:basedOn w:val="Normal"/>
    <w:link w:val="BodyTextChar"/>
    <w:rsid w:val="00C77AB9"/>
    <w:pPr>
      <w:jc w:val="both"/>
    </w:pPr>
    <w:rPr>
      <w:rFonts w:eastAsia="Times New Roman"/>
      <w:color w:val="auto"/>
      <w:szCs w:val="20"/>
    </w:rPr>
  </w:style>
  <w:style w:type="character" w:customStyle="1" w:styleId="BodyTextChar">
    <w:name w:val="Body Text Char"/>
    <w:basedOn w:val="DefaultParagraphFont"/>
    <w:link w:val="BodyText"/>
    <w:rsid w:val="00C77AB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9D3C63"/>
    <w:rPr>
      <w:sz w:val="18"/>
      <w:szCs w:val="18"/>
    </w:rPr>
  </w:style>
  <w:style w:type="character" w:customStyle="1" w:styleId="BalloonTextChar">
    <w:name w:val="Balloon Text Char"/>
    <w:basedOn w:val="DefaultParagraphFont"/>
    <w:link w:val="BalloonText"/>
    <w:uiPriority w:val="99"/>
    <w:semiHidden/>
    <w:rsid w:val="009D3C63"/>
    <w:rPr>
      <w:rFonts w:ascii="Times New Roman" w:hAnsi="Times New Roman" w:cs="Times New Roman"/>
      <w:color w:val="000000"/>
      <w:sz w:val="18"/>
      <w:szCs w:val="18"/>
    </w:rPr>
  </w:style>
  <w:style w:type="character" w:customStyle="1" w:styleId="FootnoteTextChar2">
    <w:name w:val="Footnote Text Char2"/>
    <w:aliases w:val="Footnote Text Char Char Char,Footnote Text Char Char Char Char Char,Footnote Text Char1 Char,Footnote Text Char1 Char Char1 Char,Footnote Text Char1 Char Char1 Char Char Char Char,Footnote Text Char2 Char Char Char Char1 Char,fn Char"/>
    <w:locked/>
    <w:rsid w:val="00052A34"/>
    <w:rPr>
      <w:lang w:val="en-US" w:eastAsia="en-US" w:bidi="ar-SA"/>
    </w:rPr>
  </w:style>
  <w:style w:type="character" w:customStyle="1" w:styleId="Heading1Char">
    <w:name w:val="Heading 1 Char"/>
    <w:basedOn w:val="DefaultParagraphFont"/>
    <w:link w:val="Heading1"/>
    <w:rsid w:val="00CA3793"/>
    <w:rPr>
      <w:rFonts w:ascii="Times New Roman Bold" w:eastAsia="Times New Roman" w:hAnsi="Times New Roman Bold" w:cs="Times New Roman"/>
      <w:b/>
      <w:caps/>
    </w:rPr>
  </w:style>
  <w:style w:type="character" w:customStyle="1" w:styleId="Heading2Char">
    <w:name w:val="Heading 2 Char"/>
    <w:basedOn w:val="DefaultParagraphFont"/>
    <w:link w:val="Heading2"/>
    <w:uiPriority w:val="9"/>
    <w:rsid w:val="004769BF"/>
    <w:rPr>
      <w:rFonts w:ascii="Times New Roman Bold" w:hAnsi="Times New Roman Bold" w:eastAsiaTheme="majorEastAsia" w:cstheme="majorBidi"/>
      <w:b/>
      <w:szCs w:val="26"/>
    </w:rPr>
  </w:style>
  <w:style w:type="paragraph" w:styleId="BodyTextIndent3">
    <w:name w:val="Body Text Indent 3"/>
    <w:basedOn w:val="Normal"/>
    <w:link w:val="BodyTextIndent3Char"/>
    <w:uiPriority w:val="99"/>
    <w:semiHidden/>
    <w:unhideWhenUsed/>
    <w:rsid w:val="00191DF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91DFA"/>
    <w:rPr>
      <w:rFonts w:ascii="Times New Roman" w:hAnsi="Times New Roman" w:cs="Times New Roman"/>
      <w:color w:val="000000"/>
      <w:sz w:val="16"/>
      <w:szCs w:val="16"/>
    </w:rPr>
  </w:style>
  <w:style w:type="character" w:customStyle="1" w:styleId="et03">
    <w:name w:val="et03"/>
    <w:basedOn w:val="DefaultParagraphFont"/>
    <w:rsid w:val="00F87244"/>
  </w:style>
  <w:style w:type="table" w:styleId="TableGrid">
    <w:name w:val="Table Grid"/>
    <w:basedOn w:val="TableNormal"/>
    <w:uiPriority w:val="59"/>
    <w:rsid w:val="0031140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it">
    <w:name w:val="ss_it"/>
    <w:basedOn w:val="DefaultParagraphFont"/>
    <w:rsid w:val="00080A00"/>
  </w:style>
  <w:style w:type="paragraph" w:styleId="Header">
    <w:name w:val="header"/>
    <w:basedOn w:val="Normal"/>
    <w:link w:val="HeaderChar"/>
    <w:uiPriority w:val="99"/>
    <w:unhideWhenUsed/>
    <w:rsid w:val="009E036E"/>
    <w:pPr>
      <w:tabs>
        <w:tab w:val="center" w:pos="4680"/>
        <w:tab w:val="right" w:pos="9360"/>
      </w:tabs>
    </w:pPr>
  </w:style>
  <w:style w:type="character" w:customStyle="1" w:styleId="HeaderChar">
    <w:name w:val="Header Char"/>
    <w:basedOn w:val="DefaultParagraphFont"/>
    <w:link w:val="Header"/>
    <w:uiPriority w:val="99"/>
    <w:rsid w:val="009E036E"/>
    <w:rPr>
      <w:rFonts w:ascii="Times New Roman" w:hAnsi="Times New Roman" w:cs="Times New Roman"/>
      <w:color w:val="000000"/>
      <w:szCs w:val="19"/>
    </w:rPr>
  </w:style>
  <w:style w:type="character" w:customStyle="1" w:styleId="Heading3Char">
    <w:name w:val="Heading 3 Char"/>
    <w:basedOn w:val="DefaultParagraphFont"/>
    <w:link w:val="Heading3"/>
    <w:uiPriority w:val="9"/>
    <w:rsid w:val="000F7719"/>
    <w:rPr>
      <w:rFonts w:ascii="Times New Roman Bold" w:hAnsi="Times New Roman Bold" w:eastAsiaTheme="majorEastAsia" w:cstheme="majorBidi"/>
      <w:b/>
    </w:rPr>
  </w:style>
  <w:style w:type="paragraph" w:styleId="TOC1">
    <w:name w:val="toc 1"/>
    <w:basedOn w:val="Normal"/>
    <w:next w:val="Normal"/>
    <w:autoRedefine/>
    <w:uiPriority w:val="39"/>
    <w:unhideWhenUsed/>
    <w:rsid w:val="009847DE"/>
    <w:pPr>
      <w:spacing w:after="240"/>
      <w:ind w:left="720" w:hanging="720"/>
    </w:pPr>
  </w:style>
  <w:style w:type="paragraph" w:styleId="TOC2">
    <w:name w:val="toc 2"/>
    <w:basedOn w:val="Normal"/>
    <w:next w:val="Normal"/>
    <w:autoRedefine/>
    <w:uiPriority w:val="39"/>
    <w:unhideWhenUsed/>
    <w:rsid w:val="009847DE"/>
    <w:pPr>
      <w:spacing w:after="240"/>
      <w:ind w:left="1440" w:hanging="720"/>
    </w:pPr>
  </w:style>
  <w:style w:type="paragraph" w:styleId="TOC3">
    <w:name w:val="toc 3"/>
    <w:basedOn w:val="Normal"/>
    <w:next w:val="Normal"/>
    <w:autoRedefine/>
    <w:uiPriority w:val="39"/>
    <w:unhideWhenUsed/>
    <w:rsid w:val="009847DE"/>
    <w:pPr>
      <w:spacing w:after="240"/>
      <w:ind w:left="2160" w:hanging="720"/>
    </w:pPr>
  </w:style>
  <w:style w:type="character" w:customStyle="1" w:styleId="cf01">
    <w:name w:val="cf01"/>
    <w:basedOn w:val="DefaultParagraphFont"/>
    <w:rsid w:val="00715B0F"/>
    <w:rPr>
      <w:rFonts w:ascii="Segoe UI" w:hAnsi="Segoe UI" w:cs="Segoe UI" w:hint="default"/>
      <w:sz w:val="18"/>
      <w:szCs w:val="18"/>
    </w:rPr>
  </w:style>
  <w:style w:type="character" w:customStyle="1" w:styleId="UnresolvedMention">
    <w:name w:val="Unresolved Mention"/>
    <w:basedOn w:val="DefaultParagraphFont"/>
    <w:uiPriority w:val="99"/>
    <w:semiHidden/>
    <w:unhideWhenUsed/>
    <w:rsid w:val="00637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jodi.bair@ohioAGO.gov" TargetMode="External" /><Relationship Id="rId12" Type="http://schemas.openxmlformats.org/officeDocument/2006/relationships/hyperlink" Target="mailto:kyle.kern@ohioAGO.gov" TargetMode="External" /><Relationship Id="rId13" Type="http://schemas.openxmlformats.org/officeDocument/2006/relationships/hyperlink" Target="mailto:chelsea.fletcher@ohioAGO.gov" TargetMode="External" /><Relationship Id="rId14" Type="http://schemas.openxmlformats.org/officeDocument/2006/relationships/hyperlink" Target="mailto:dparram@bricker.com" TargetMode="External" /><Relationship Id="rId15" Type="http://schemas.openxmlformats.org/officeDocument/2006/relationships/hyperlink" Target="mailto:rmains@bricker.com" TargetMode="External" /><Relationship Id="rId16" Type="http://schemas.openxmlformats.org/officeDocument/2006/relationships/hyperlink" Target="mailto:khernstein@bricker.com" TargetMode="External" /><Relationship Id="rId17" Type="http://schemas.openxmlformats.org/officeDocument/2006/relationships/hyperlink" Target="mailto:mwarnock@bricker.com" TargetMode="External" /><Relationship Id="rId18" Type="http://schemas.openxmlformats.org/officeDocument/2006/relationships/hyperlink" Target="mailto:little@litohio.com" TargetMode="External" /><Relationship Id="rId19" Type="http://schemas.openxmlformats.org/officeDocument/2006/relationships/hyperlink" Target="mailto:hogan@litohio.com" TargetMode="External" /><Relationship Id="rId2" Type="http://schemas.openxmlformats.org/officeDocument/2006/relationships/settings" Target="settings.xml" /><Relationship Id="rId20" Type="http://schemas.openxmlformats.org/officeDocument/2006/relationships/hyperlink" Target="mailto:ktreadway@oneenergyllc.com" TargetMode="External" /><Relationship Id="rId21" Type="http://schemas.openxmlformats.org/officeDocument/2006/relationships/hyperlink" Target="mailto:jdunn@oneenergyllc.com" TargetMode="External" /><Relationship Id="rId22" Type="http://schemas.openxmlformats.org/officeDocument/2006/relationships/hyperlink" Target="mailto:whitt@whitt-sturtevant.com" TargetMode="External" /><Relationship Id="rId23" Type="http://schemas.openxmlformats.org/officeDocument/2006/relationships/hyperlink" Target="mailto:rhartley@fbtlaw.com" TargetMode="External" /><Relationship Id="rId24" Type="http://schemas.openxmlformats.org/officeDocument/2006/relationships/hyperlink" Target="mailto:cwieg@fbtlaw.com" TargetMode="External" /><Relationship Id="rId25" Type="http://schemas.openxmlformats.org/officeDocument/2006/relationships/hyperlink" Target="mailto:talexander@beneschlaw.com" TargetMode="External" /><Relationship Id="rId26" Type="http://schemas.openxmlformats.org/officeDocument/2006/relationships/hyperlink" Target="mailto:khehmeyer@beneschlaw.com" TargetMode="External" /><Relationship Id="rId27" Type="http://schemas.openxmlformats.org/officeDocument/2006/relationships/hyperlink" Target="mailto:jweber@elpc.org" TargetMode="External" /><Relationship Id="rId28" Type="http://schemas.openxmlformats.org/officeDocument/2006/relationships/hyperlink" Target="mailto:patricia.schabo@puco.ohio.gov" TargetMode="External" /><Relationship Id="rId29" Type="http://schemas.openxmlformats.org/officeDocument/2006/relationships/hyperlink" Target="mailto:bojko@carpenterlipps.com" TargetMode="External" /><Relationship Id="rId3" Type="http://schemas.openxmlformats.org/officeDocument/2006/relationships/webSettings" Target="webSettings.xml" /><Relationship Id="rId30" Type="http://schemas.openxmlformats.org/officeDocument/2006/relationships/hyperlink" Target="mailto:paul@carpenterlipps.com" TargetMode="External" /><Relationship Id="rId31" Type="http://schemas.openxmlformats.org/officeDocument/2006/relationships/hyperlink" Target="mailto:djireland@ficlaw.com" TargetMode="External" /><Relationship Id="rId32" Type="http://schemas.openxmlformats.org/officeDocument/2006/relationships/hyperlink" Target="mailto:mwatt@ficlaw.com" TargetMode="External" /><Relationship Id="rId33" Type="http://schemas.openxmlformats.org/officeDocument/2006/relationships/hyperlink" Target="mailto:jkylercohn@BKLlawfirm.com" TargetMode="External" /><Relationship Id="rId34" Type="http://schemas.openxmlformats.org/officeDocument/2006/relationships/hyperlink" Target="mailto:bethany.allen@igs.com" TargetMode="External" /><Relationship Id="rId35" Type="http://schemas.openxmlformats.org/officeDocument/2006/relationships/hyperlink" Target="mailto:Joe.oliker@igs.com" TargetMode="External" /><Relationship Id="rId36" Type="http://schemas.openxmlformats.org/officeDocument/2006/relationships/hyperlink" Target="mailto:Michael.nugent@igs.com" TargetMode="External" /><Relationship Id="rId37" Type="http://schemas.openxmlformats.org/officeDocument/2006/relationships/hyperlink" Target="mailto:Evan.betterton@igs.com" TargetMode="External" /><Relationship Id="rId38" Type="http://schemas.openxmlformats.org/officeDocument/2006/relationships/hyperlink" Target="mailto:Stephanie.chmiel@thompsonhine.com" TargetMode="External" /><Relationship Id="rId39" Type="http://schemas.openxmlformats.org/officeDocument/2006/relationships/hyperlink" Target="mailto:Kevin.oles@thompsonhine.com" TargetMode="External" /><Relationship Id="rId4" Type="http://schemas.openxmlformats.org/officeDocument/2006/relationships/fontTable" Target="fontTable.xml" /><Relationship Id="rId40" Type="http://schemas.openxmlformats.org/officeDocument/2006/relationships/hyperlink" Target="mailto:rdove@keglerbrown.com" TargetMode="External" /><Relationship Id="rId41" Type="http://schemas.openxmlformats.org/officeDocument/2006/relationships/hyperlink" Target="mailto:cgrundmann@spilmanlaw.com" TargetMode="External" /><Relationship Id="rId42" Type="http://schemas.openxmlformats.org/officeDocument/2006/relationships/hyperlink" Target="mailto:dwilliamson@spilmanlaw.com" TargetMode="External" /><Relationship Id="rId43" Type="http://schemas.openxmlformats.org/officeDocument/2006/relationships/hyperlink" Target="mailto:ctavenor@theOEC.org" TargetMode="External" /><Relationship Id="rId44" Type="http://schemas.openxmlformats.org/officeDocument/2006/relationships/theme" Target="theme/theme1.xml" /><Relationship Id="rId45" Type="http://schemas.openxmlformats.org/officeDocument/2006/relationships/numbering" Target="numbering.xml" /><Relationship Id="rId46"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john.finnigan@occ.ohio.gov" TargetMode="External" /><Relationship Id="rId7" Type="http://schemas.openxmlformats.org/officeDocument/2006/relationships/hyperlink" Target="mailto:ambrosia.wilson@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19331-AE72-4DA0-B6D1-A70B4DEC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6759</Words>
  <Characters>38527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2023-01-13T19:04:20Z</dcterms:created>
  <dcterms:modified xsi:type="dcterms:W3CDTF">2023-01-13T19:04:20Z</dcterms:modified>
</cp:coreProperties>
</file>