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2644F" w:rsidRPr="00104013" w:rsidP="00076F41">
      <w:pPr>
        <w:autoSpaceDE w:val="0"/>
        <w:autoSpaceDN w:val="0"/>
        <w:adjustRightInd w:val="0"/>
        <w:spacing w:after="0" w:line="240" w:lineRule="auto"/>
        <w:jc w:val="center"/>
        <w:rPr>
          <w:b/>
        </w:rPr>
      </w:pPr>
      <w:bookmarkStart w:id="0" w:name="_GoBack"/>
      <w:bookmarkEnd w:id="0"/>
      <w:r>
        <w:rPr>
          <w:b/>
        </w:rPr>
        <w:t xml:space="preserve"> </w:t>
      </w:r>
      <w:r w:rsidR="00076F41">
        <w:rPr>
          <w:b/>
        </w:rPr>
        <w:t>B</w:t>
      </w:r>
      <w:r w:rsidRPr="00104013" w:rsidR="00CA6B85">
        <w:rPr>
          <w:b/>
        </w:rPr>
        <w:t xml:space="preserve">EFORE </w:t>
      </w:r>
    </w:p>
    <w:p w:rsidR="00CA6B85" w:rsidRPr="00104013" w:rsidP="00076F41">
      <w:pPr>
        <w:autoSpaceDE w:val="0"/>
        <w:autoSpaceDN w:val="0"/>
        <w:adjustRightInd w:val="0"/>
        <w:spacing w:after="0" w:line="240" w:lineRule="auto"/>
        <w:jc w:val="center"/>
        <w:rPr>
          <w:b/>
        </w:rPr>
      </w:pPr>
      <w:r w:rsidRPr="00104013">
        <w:rPr>
          <w:b/>
        </w:rPr>
        <w:t>THE PUBLIC UTILITIES COMMISSION OF OHIO</w:t>
      </w:r>
    </w:p>
    <w:p w:rsidR="00CA6B85" w:rsidP="00CA6B85">
      <w:pPr>
        <w:autoSpaceDE w:val="0"/>
        <w:autoSpaceDN w:val="0"/>
        <w:adjustRightInd w:val="0"/>
        <w:spacing w:after="0" w:line="240" w:lineRule="auto"/>
        <w:ind w:left="14" w:right="-14"/>
        <w:jc w:val="center"/>
        <w:rPr>
          <w:b/>
        </w:rPr>
      </w:pPr>
    </w:p>
    <w:tbl>
      <w:tblPr>
        <w:tblStyle w:val="TableGrid"/>
        <w:tblW w:w="884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4"/>
        <w:gridCol w:w="296"/>
        <w:gridCol w:w="4222"/>
      </w:tblGrid>
      <w:tr w:rsidTr="00401BAC">
        <w:tblPrEx>
          <w:tblW w:w="884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7"/>
        </w:trPr>
        <w:tc>
          <w:tcPr>
            <w:tcW w:w="4324" w:type="dxa"/>
          </w:tcPr>
          <w:p w:rsidR="00401BAC" w:rsidP="009349E6">
            <w:pPr>
              <w:autoSpaceDE w:val="0"/>
              <w:autoSpaceDN w:val="0"/>
              <w:adjustRightInd w:val="0"/>
            </w:pPr>
            <w:r>
              <w:t xml:space="preserve">In the Matter of the Joint Application of Direct Energy Services, LLC, </w:t>
            </w:r>
          </w:p>
          <w:p w:rsidR="00401BAC" w:rsidP="009349E6">
            <w:pPr>
              <w:autoSpaceDE w:val="0"/>
              <w:autoSpaceDN w:val="0"/>
              <w:adjustRightInd w:val="0"/>
            </w:pPr>
            <w:r>
              <w:t xml:space="preserve">Direct Energy Business, LLC, </w:t>
            </w:r>
          </w:p>
          <w:p w:rsidR="00401BAC" w:rsidP="009349E6">
            <w:pPr>
              <w:autoSpaceDE w:val="0"/>
              <w:autoSpaceDN w:val="0"/>
              <w:adjustRightInd w:val="0"/>
            </w:pPr>
            <w:r>
              <w:t xml:space="preserve">Dominion Energy Solutions, Inc., </w:t>
            </w:r>
          </w:p>
          <w:p w:rsidR="00401BAC" w:rsidP="009349E6">
            <w:pPr>
              <w:autoSpaceDE w:val="0"/>
              <w:autoSpaceDN w:val="0"/>
              <w:adjustRightInd w:val="0"/>
            </w:pPr>
            <w:r>
              <w:t xml:space="preserve">Interstate Gas Supply, Inc., and </w:t>
            </w:r>
          </w:p>
          <w:p w:rsidR="00401BAC" w:rsidP="009349E6">
            <w:pPr>
              <w:autoSpaceDE w:val="0"/>
              <w:autoSpaceDN w:val="0"/>
              <w:adjustRightInd w:val="0"/>
            </w:pPr>
            <w:r>
              <w:t xml:space="preserve">SouthStar Energy Services, LLC </w:t>
            </w:r>
          </w:p>
          <w:p w:rsidR="00401BAC" w:rsidRPr="00E53E6E" w:rsidP="009349E6">
            <w:pPr>
              <w:autoSpaceDE w:val="0"/>
              <w:autoSpaceDN w:val="0"/>
              <w:adjustRightInd w:val="0"/>
            </w:pPr>
            <w:r>
              <w:t>for a Waiver of a Provision of Rule 4901:1-29-06(E) of the Ohio Administrative Code</w:t>
            </w:r>
            <w:r w:rsidRPr="00E53E6E">
              <w:t xml:space="preserve">. </w:t>
            </w:r>
          </w:p>
        </w:tc>
        <w:tc>
          <w:tcPr>
            <w:tcW w:w="296" w:type="dxa"/>
          </w:tcPr>
          <w:p w:rsidR="00401BAC" w:rsidRPr="00E53E6E" w:rsidP="009349E6">
            <w:pPr>
              <w:pStyle w:val="HTMLPreformatted"/>
              <w:jc w:val="center"/>
              <w:rPr>
                <w:rFonts w:ascii="Times New Roman" w:hAnsi="Times New Roman" w:cs="Times New Roman"/>
                <w:sz w:val="24"/>
                <w:szCs w:val="24"/>
              </w:rPr>
            </w:pPr>
            <w:r w:rsidRPr="00E53E6E">
              <w:rPr>
                <w:rFonts w:ascii="Times New Roman" w:hAnsi="Times New Roman" w:cs="Times New Roman"/>
                <w:sz w:val="24"/>
                <w:szCs w:val="24"/>
              </w:rPr>
              <w:t>)</w:t>
            </w:r>
          </w:p>
          <w:p w:rsidR="00401BAC" w:rsidP="009349E6">
            <w:pPr>
              <w:pStyle w:val="HTMLPreformatted"/>
              <w:jc w:val="center"/>
              <w:rPr>
                <w:rFonts w:ascii="Times New Roman" w:hAnsi="Times New Roman" w:cs="Times New Roman"/>
                <w:sz w:val="24"/>
                <w:szCs w:val="24"/>
              </w:rPr>
            </w:pPr>
            <w:r w:rsidRPr="00E53E6E">
              <w:rPr>
                <w:rFonts w:ascii="Times New Roman" w:hAnsi="Times New Roman" w:cs="Times New Roman"/>
                <w:sz w:val="24"/>
                <w:szCs w:val="24"/>
              </w:rPr>
              <w:t>)</w:t>
            </w:r>
          </w:p>
          <w:p w:rsidR="00401BAC" w:rsidP="009349E6">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01BAC" w:rsidP="009349E6">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01BAC" w:rsidP="009349E6">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01BAC" w:rsidP="009349E6">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01BAC" w:rsidP="009349E6">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01BAC" w:rsidP="009349E6">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01BAC" w:rsidRPr="00E53E6E" w:rsidP="009349E6">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tc>
        <w:tc>
          <w:tcPr>
            <w:tcW w:w="4222" w:type="dxa"/>
          </w:tcPr>
          <w:p w:rsidR="00401BAC" w:rsidP="009349E6">
            <w:pPr>
              <w:pStyle w:val="HTMLPreformatted"/>
              <w:rPr>
                <w:rFonts w:ascii="Times New Roman" w:hAnsi="Times New Roman" w:cs="Times New Roman"/>
                <w:sz w:val="24"/>
                <w:szCs w:val="24"/>
              </w:rPr>
            </w:pPr>
          </w:p>
          <w:p w:rsidR="00401BAC" w:rsidRPr="00E53E6E" w:rsidP="009349E6">
            <w:pPr>
              <w:pStyle w:val="HTMLPreformatted"/>
              <w:rPr>
                <w:rFonts w:ascii="Times New Roman" w:hAnsi="Times New Roman" w:cs="Times New Roman"/>
                <w:sz w:val="24"/>
                <w:szCs w:val="24"/>
              </w:rPr>
            </w:pPr>
            <w:r w:rsidRPr="00E53E6E">
              <w:rPr>
                <w:rFonts w:ascii="Times New Roman" w:hAnsi="Times New Roman" w:cs="Times New Roman"/>
                <w:sz w:val="24"/>
                <w:szCs w:val="24"/>
              </w:rPr>
              <w:t xml:space="preserve">Case No. </w:t>
            </w:r>
            <w:r>
              <w:rPr>
                <w:rFonts w:ascii="Times New Roman" w:hAnsi="Times New Roman" w:cs="Times New Roman"/>
                <w:sz w:val="24"/>
                <w:szCs w:val="24"/>
              </w:rPr>
              <w:t>17-2358</w:t>
            </w:r>
            <w:r w:rsidRPr="00E53E6E">
              <w:rPr>
                <w:rFonts w:ascii="Times New Roman" w:hAnsi="Times New Roman" w:cs="Times New Roman"/>
                <w:sz w:val="24"/>
                <w:szCs w:val="24"/>
              </w:rPr>
              <w:t>-</w:t>
            </w:r>
            <w:r>
              <w:rPr>
                <w:rFonts w:ascii="Times New Roman" w:hAnsi="Times New Roman" w:cs="Times New Roman"/>
                <w:sz w:val="24"/>
                <w:szCs w:val="24"/>
              </w:rPr>
              <w:t>GA</w:t>
            </w:r>
            <w:r w:rsidRPr="00E53E6E">
              <w:rPr>
                <w:rFonts w:ascii="Times New Roman" w:hAnsi="Times New Roman" w:cs="Times New Roman"/>
                <w:sz w:val="24"/>
                <w:szCs w:val="24"/>
              </w:rPr>
              <w:t>-</w:t>
            </w:r>
            <w:r>
              <w:rPr>
                <w:rFonts w:ascii="Times New Roman" w:hAnsi="Times New Roman" w:cs="Times New Roman"/>
                <w:sz w:val="24"/>
                <w:szCs w:val="24"/>
              </w:rPr>
              <w:t>WVR</w:t>
            </w:r>
          </w:p>
        </w:tc>
      </w:tr>
    </w:tbl>
    <w:p w:rsidR="0042644F" w:rsidRPr="00104013" w:rsidP="001D6531">
      <w:pPr>
        <w:autoSpaceDE w:val="0"/>
        <w:autoSpaceDN w:val="0"/>
        <w:adjustRightInd w:val="0"/>
        <w:spacing w:after="0" w:line="480" w:lineRule="auto"/>
        <w:ind w:left="14" w:right="-14"/>
      </w:pPr>
      <w:r w:rsidRPr="00104013">
        <w:t>________________________________________________________________________</w:t>
      </w:r>
    </w:p>
    <w:p w:rsidR="00CA6B85" w:rsidP="00076F41">
      <w:pPr>
        <w:autoSpaceDE w:val="0"/>
        <w:autoSpaceDN w:val="0"/>
        <w:adjustRightInd w:val="0"/>
        <w:spacing w:after="0" w:line="240" w:lineRule="auto"/>
        <w:jc w:val="center"/>
        <w:rPr>
          <w:b/>
        </w:rPr>
      </w:pPr>
      <w:r>
        <w:rPr>
          <w:b/>
        </w:rPr>
        <w:t>MEMORANDUM CONTRA</w:t>
      </w:r>
      <w:r w:rsidR="001E6FA7">
        <w:rPr>
          <w:b/>
        </w:rPr>
        <w:t xml:space="preserve"> </w:t>
      </w:r>
      <w:r w:rsidR="00401BAC">
        <w:rPr>
          <w:b/>
        </w:rPr>
        <w:t xml:space="preserve">MARKETERS’ </w:t>
      </w:r>
      <w:r w:rsidR="001E6FA7">
        <w:rPr>
          <w:b/>
        </w:rPr>
        <w:t xml:space="preserve">MOTION </w:t>
      </w:r>
      <w:r w:rsidR="000B4CDB">
        <w:rPr>
          <w:b/>
        </w:rPr>
        <w:t>FOR PRO</w:t>
      </w:r>
      <w:r w:rsidR="00401BAC">
        <w:rPr>
          <w:b/>
        </w:rPr>
        <w:t xml:space="preserve">TECTIVE ORDER </w:t>
      </w:r>
      <w:r w:rsidR="005A1C71">
        <w:rPr>
          <w:b/>
        </w:rPr>
        <w:t>THAT WOULD INFRINGE OCC’S</w:t>
      </w:r>
      <w:r w:rsidR="00401BAC">
        <w:rPr>
          <w:b/>
        </w:rPr>
        <w:t xml:space="preserve"> DISCOVERY</w:t>
      </w:r>
      <w:r w:rsidR="005A1C71">
        <w:rPr>
          <w:b/>
        </w:rPr>
        <w:t xml:space="preserve"> RIGHTS</w:t>
      </w:r>
    </w:p>
    <w:p w:rsidR="003617A1" w:rsidP="00076F41">
      <w:pPr>
        <w:autoSpaceDE w:val="0"/>
        <w:autoSpaceDN w:val="0"/>
        <w:adjustRightInd w:val="0"/>
        <w:spacing w:after="0" w:line="240" w:lineRule="auto"/>
        <w:jc w:val="center"/>
        <w:rPr>
          <w:b/>
        </w:rPr>
      </w:pPr>
      <w:r>
        <w:rPr>
          <w:b/>
        </w:rPr>
        <w:t>BY</w:t>
      </w:r>
    </w:p>
    <w:p w:rsidR="002E5DBD" w:rsidRPr="00104013" w:rsidP="00401BAC">
      <w:pPr>
        <w:autoSpaceDE w:val="0"/>
        <w:autoSpaceDN w:val="0"/>
        <w:adjustRightInd w:val="0"/>
        <w:spacing w:after="0" w:line="240" w:lineRule="auto"/>
        <w:jc w:val="center"/>
        <w:rPr>
          <w:b/>
        </w:rPr>
      </w:pPr>
      <w:r>
        <w:rPr>
          <w:b/>
        </w:rPr>
        <w:t>THE OFFICE OF THE OHIO CONSUMERS’ COUNSEL</w:t>
      </w:r>
    </w:p>
    <w:p w:rsidR="00CA6B85" w:rsidRPr="00104013" w:rsidP="00CA6B85">
      <w:pPr>
        <w:autoSpaceDE w:val="0"/>
        <w:autoSpaceDN w:val="0"/>
        <w:adjustRightInd w:val="0"/>
        <w:spacing w:after="0" w:line="240" w:lineRule="auto"/>
        <w:ind w:left="14" w:right="-14"/>
        <w:jc w:val="both"/>
      </w:pPr>
      <w:r w:rsidRPr="00104013">
        <w:t>________________________________________________________________________</w:t>
      </w:r>
    </w:p>
    <w:p w:rsidR="0013148E" w:rsidRPr="0013148E" w:rsidP="0013148E">
      <w:pPr>
        <w:spacing w:before="240" w:after="0" w:line="480" w:lineRule="auto"/>
        <w:rPr>
          <w:b/>
        </w:rPr>
      </w:pPr>
      <w:r>
        <w:rPr>
          <w:b/>
        </w:rPr>
        <w:t>I.</w:t>
      </w:r>
      <w:r>
        <w:rPr>
          <w:b/>
        </w:rPr>
        <w:tab/>
        <w:t>INTRODUCTION</w:t>
      </w:r>
    </w:p>
    <w:p w:rsidR="00A3275C" w:rsidRPr="00A3275C" w:rsidP="004F0820">
      <w:pPr>
        <w:spacing w:after="0" w:line="480" w:lineRule="auto"/>
        <w:ind w:firstLine="720"/>
        <w:rPr>
          <w:rFonts w:eastAsia="Times New Roman"/>
          <w:szCs w:val="20"/>
        </w:rPr>
      </w:pPr>
      <w:r w:rsidRPr="00A3275C">
        <w:rPr>
          <w:rFonts w:eastAsia="Times New Roman"/>
          <w:szCs w:val="20"/>
        </w:rPr>
        <w:t xml:space="preserve">This case involves </w:t>
      </w:r>
      <w:r w:rsidR="00B17BB7">
        <w:rPr>
          <w:rFonts w:eastAsia="Times New Roman"/>
          <w:szCs w:val="20"/>
        </w:rPr>
        <w:t>marketers</w:t>
      </w:r>
      <w:r w:rsidR="00252E99">
        <w:rPr>
          <w:rFonts w:eastAsia="Times New Roman"/>
          <w:szCs w:val="20"/>
        </w:rPr>
        <w:t>’</w:t>
      </w:r>
      <w:r w:rsidR="00B17BB7">
        <w:rPr>
          <w:rFonts w:eastAsia="Times New Roman"/>
          <w:szCs w:val="20"/>
        </w:rPr>
        <w:t xml:space="preserve"> </w:t>
      </w:r>
      <w:r w:rsidRPr="00A3275C">
        <w:rPr>
          <w:rFonts w:eastAsia="Times New Roman"/>
          <w:szCs w:val="20"/>
        </w:rPr>
        <w:t>request to diminish safeguards that protect customers against an unlawful change of their natural gas supplier.  Rules of the Public Utilities Commission of Ohio (“PUCO”</w:t>
      </w:r>
      <w:r w:rsidR="00452032">
        <w:rPr>
          <w:rFonts w:eastAsia="Times New Roman"/>
          <w:szCs w:val="20"/>
        </w:rPr>
        <w:t xml:space="preserve"> or “Commission”</w:t>
      </w:r>
      <w:r w:rsidRPr="00A3275C">
        <w:rPr>
          <w:rFonts w:eastAsia="Times New Roman"/>
          <w:szCs w:val="20"/>
        </w:rPr>
        <w:t xml:space="preserve">) require </w:t>
      </w:r>
      <w:r w:rsidRPr="00A3275C" w:rsidR="004F0820">
        <w:rPr>
          <w:rFonts w:eastAsia="Times New Roman"/>
          <w:szCs w:val="20"/>
        </w:rPr>
        <w:t xml:space="preserve">independent third party </w:t>
      </w:r>
      <w:r w:rsidRPr="00A3275C">
        <w:rPr>
          <w:rFonts w:eastAsia="Times New Roman"/>
          <w:szCs w:val="20"/>
        </w:rPr>
        <w:t>verification of a consumer’s telephonic enrollment to change natural gas suppliers.</w:t>
      </w:r>
      <w:r>
        <w:rPr>
          <w:rFonts w:eastAsia="Times New Roman"/>
          <w:szCs w:val="20"/>
          <w:vertAlign w:val="superscript"/>
        </w:rPr>
        <w:footnoteReference w:id="3"/>
      </w:r>
      <w:r w:rsidRPr="00A3275C">
        <w:rPr>
          <w:rFonts w:eastAsia="Times New Roman"/>
          <w:szCs w:val="20"/>
        </w:rPr>
        <w:t xml:space="preserve">  The applicants in this case (“Marketers”) seek to avoid complying with this rule as it applies to calls they receive from consumers in response to sales offers.</w:t>
      </w:r>
      <w:r>
        <w:rPr>
          <w:rFonts w:eastAsia="Times New Roman"/>
          <w:szCs w:val="20"/>
          <w:vertAlign w:val="superscript"/>
        </w:rPr>
        <w:footnoteReference w:id="4"/>
      </w:r>
      <w:r w:rsidRPr="00A3275C">
        <w:rPr>
          <w:rFonts w:eastAsia="Times New Roman"/>
          <w:szCs w:val="20"/>
        </w:rPr>
        <w:t xml:space="preserve">  This </w:t>
      </w:r>
      <w:r w:rsidR="008843D6">
        <w:rPr>
          <w:rFonts w:eastAsia="Times New Roman"/>
          <w:szCs w:val="20"/>
        </w:rPr>
        <w:t>c</w:t>
      </w:r>
      <w:r w:rsidRPr="00A3275C">
        <w:rPr>
          <w:rFonts w:eastAsia="Times New Roman"/>
          <w:szCs w:val="20"/>
        </w:rPr>
        <w:t xml:space="preserve">ould harm customers who call a </w:t>
      </w:r>
      <w:r w:rsidR="008843D6">
        <w:rPr>
          <w:rFonts w:eastAsia="Times New Roman"/>
          <w:szCs w:val="20"/>
        </w:rPr>
        <w:t xml:space="preserve">natural gas seller </w:t>
      </w:r>
      <w:r w:rsidRPr="00A3275C">
        <w:rPr>
          <w:rFonts w:eastAsia="Times New Roman"/>
          <w:szCs w:val="20"/>
        </w:rPr>
        <w:t>in response to a sales offer</w:t>
      </w:r>
      <w:r w:rsidR="008843D6">
        <w:rPr>
          <w:rFonts w:eastAsia="Times New Roman"/>
          <w:szCs w:val="20"/>
        </w:rPr>
        <w:t>.  Such consumers</w:t>
      </w:r>
      <w:r w:rsidRPr="00A3275C">
        <w:rPr>
          <w:rFonts w:eastAsia="Times New Roman"/>
          <w:szCs w:val="20"/>
        </w:rPr>
        <w:t xml:space="preserve"> are just as vulnerable to unscrupulous sales practices </w:t>
      </w:r>
      <w:r w:rsidR="004F0820">
        <w:rPr>
          <w:rFonts w:eastAsia="Times New Roman"/>
          <w:szCs w:val="20"/>
        </w:rPr>
        <w:t xml:space="preserve">as </w:t>
      </w:r>
      <w:r w:rsidRPr="00A3275C">
        <w:rPr>
          <w:rFonts w:eastAsia="Times New Roman"/>
          <w:szCs w:val="20"/>
        </w:rPr>
        <w:t>are consumers who receive sales calls</w:t>
      </w:r>
      <w:r w:rsidR="008843D6">
        <w:rPr>
          <w:rFonts w:eastAsia="Times New Roman"/>
          <w:szCs w:val="20"/>
        </w:rPr>
        <w:t xml:space="preserve"> from natural gas sellers</w:t>
      </w:r>
      <w:r w:rsidRPr="00A3275C">
        <w:rPr>
          <w:rFonts w:eastAsia="Times New Roman"/>
          <w:szCs w:val="20"/>
        </w:rPr>
        <w:t>.</w:t>
      </w:r>
    </w:p>
    <w:p w:rsidR="000B0E5E" w:rsidP="00401BAC">
      <w:pPr>
        <w:spacing w:after="0" w:line="480" w:lineRule="auto"/>
        <w:ind w:firstLine="720"/>
      </w:pPr>
      <w:r>
        <w:t>T</w:t>
      </w:r>
      <w:r w:rsidR="0088766C">
        <w:t>he Office of the Ohio Consumers’ Counsel (“OCC”)</w:t>
      </w:r>
      <w:r>
        <w:t xml:space="preserve"> filed a Motion to Intervene in this case on December 1, 2017, and is a party for discovery purposes under the PUCO’s rules.</w:t>
      </w:r>
      <w:r>
        <w:rPr>
          <w:rStyle w:val="FootnoteReference"/>
        </w:rPr>
        <w:footnoteReference w:id="5"/>
      </w:r>
      <w:r w:rsidR="0088766C">
        <w:t xml:space="preserve"> </w:t>
      </w:r>
      <w:r>
        <w:t xml:space="preserve"> OCC </w:t>
      </w:r>
      <w:r w:rsidR="001D0B6E">
        <w:t xml:space="preserve">properly </w:t>
      </w:r>
      <w:r>
        <w:t>served discovery on the Marketers on December 29, 2017, and under the PUCO’s rules the Marketers’ responses were due on January 18, 2018.</w:t>
      </w:r>
      <w:r>
        <w:rPr>
          <w:rStyle w:val="FootnoteReference"/>
        </w:rPr>
        <w:footnoteReference w:id="6"/>
      </w:r>
      <w:r>
        <w:t xml:space="preserve">  </w:t>
      </w:r>
      <w:r w:rsidR="001D0B6E">
        <w:t>The day before their responses to OCC’s discovery were due</w:t>
      </w:r>
      <w:r>
        <w:t xml:space="preserve">, the Marketers filed a motion for protective order, in which they seek a stay of discovery in this case.  </w:t>
      </w:r>
    </w:p>
    <w:p w:rsidR="00F84F39" w:rsidP="001E5544">
      <w:pPr>
        <w:spacing w:after="0" w:line="480" w:lineRule="auto"/>
        <w:ind w:firstLine="720"/>
      </w:pPr>
      <w:r>
        <w:t>OCC files this Memorandum Contra the Marketers’ motion.</w:t>
      </w:r>
      <w:r>
        <w:rPr>
          <w:rStyle w:val="FootnoteReference"/>
        </w:rPr>
        <w:footnoteReference w:id="7"/>
      </w:r>
      <w:r>
        <w:t xml:space="preserve">  The </w:t>
      </w:r>
      <w:r w:rsidR="004F0820">
        <w:t>Marketers’ attempt to stay discovery</w:t>
      </w:r>
      <w:r>
        <w:t xml:space="preserve"> is contrary to PUCO precedent.  Further, the Marketers did not exhaust all reasonable means for resolving their dispute regarding OCC’s discovery</w:t>
      </w:r>
      <w:r w:rsidR="00452032">
        <w:t xml:space="preserve"> as required by the PUCO’s rules</w:t>
      </w:r>
      <w:r>
        <w:t>.</w:t>
      </w:r>
      <w:r>
        <w:rPr>
          <w:rStyle w:val="FootnoteReference"/>
        </w:rPr>
        <w:footnoteReference w:id="8"/>
      </w:r>
      <w:r>
        <w:t xml:space="preserve">  The PUCO should deny the motion and order the Marketers to respond to OCC’s discovery immediately</w:t>
      </w:r>
      <w:r w:rsidR="00E26B15">
        <w:t>.</w:t>
      </w:r>
    </w:p>
    <w:p w:rsidR="007F7B6D" w:rsidRPr="007F7B6D" w:rsidP="007F7B6D">
      <w:pPr>
        <w:spacing w:before="240" w:after="0" w:line="480" w:lineRule="auto"/>
        <w:rPr>
          <w:b/>
        </w:rPr>
      </w:pPr>
      <w:r>
        <w:rPr>
          <w:b/>
        </w:rPr>
        <w:t>II.</w:t>
      </w:r>
      <w:r>
        <w:rPr>
          <w:b/>
        </w:rPr>
        <w:tab/>
        <w:t xml:space="preserve">LEGAL STANDARD FOR MOTIONS FOR </w:t>
      </w:r>
      <w:r w:rsidR="000B0E5E">
        <w:rPr>
          <w:b/>
        </w:rPr>
        <w:t xml:space="preserve">A </w:t>
      </w:r>
      <w:r>
        <w:rPr>
          <w:b/>
        </w:rPr>
        <w:t>PROTECTIVE ORDER</w:t>
      </w:r>
    </w:p>
    <w:p w:rsidR="007F7B6D" w:rsidP="007F7B6D">
      <w:pPr>
        <w:spacing w:after="0" w:line="480" w:lineRule="auto"/>
        <w:ind w:firstLine="720"/>
      </w:pPr>
      <w:r>
        <w:t xml:space="preserve">The PUCO’s legal standard for motions for </w:t>
      </w:r>
      <w:r w:rsidR="000D45CF">
        <w:t xml:space="preserve">a </w:t>
      </w:r>
      <w:r>
        <w:t xml:space="preserve">protective order is </w:t>
      </w:r>
      <w:r w:rsidR="00DC4523">
        <w:t xml:space="preserve">contained </w:t>
      </w:r>
      <w:r>
        <w:t xml:space="preserve">in Ohio Adm. Code 4901-1-24.  Ohio Adm. Code 4901-1-24(A) provides, in part: “Upon motion of any party or person from whom discovery is sought, the commission, the legal director, the deputy legal director, or an attorney examiner may issue any order that is necessary to protect a party or person from annoyance, embarrassment, oppression, or undue burden or expense.” </w:t>
      </w:r>
    </w:p>
    <w:p w:rsidR="007F7B6D" w:rsidP="007F7B6D">
      <w:pPr>
        <w:spacing w:after="0" w:line="480" w:lineRule="auto"/>
        <w:ind w:firstLine="720"/>
      </w:pPr>
      <w:r>
        <w:t>In addition, Ohio Adm. Code 4901-1-24</w:t>
      </w:r>
      <w:bookmarkStart w:id="1" w:name="4901-1-24(B)"/>
      <w:r>
        <w:t>(B)</w:t>
      </w:r>
      <w:bookmarkEnd w:id="1"/>
      <w:r>
        <w:t xml:space="preserve"> states, in part: “No motion for a protective order shall be filed under paragraph (A) of this rule until the person or party </w:t>
      </w:r>
      <w:r>
        <w:t xml:space="preserve">seeking the order has exhausted all other reasonable means of resolving any differences with the party seeking discovery.” </w:t>
      </w:r>
    </w:p>
    <w:p w:rsidR="007F7B6D" w:rsidP="007F7B6D">
      <w:pPr>
        <w:spacing w:after="0" w:line="480" w:lineRule="auto"/>
        <w:ind w:firstLine="720"/>
      </w:pPr>
      <w:r>
        <w:t xml:space="preserve">Further, Ohio Adm. Code 4901-1-24(C) provides, in part: </w:t>
      </w:r>
      <w:bookmarkStart w:id="2" w:name="4901-1-24(C)"/>
      <w:r>
        <w:t>“</w:t>
      </w:r>
      <w:bookmarkEnd w:id="2"/>
      <w:r>
        <w:t>If a motion for a protective order filed pursuant to paragraph (A) of this rule is denied in whole or in part, the commission, the legal director, the deputy legal director, or the attorney examiner may require that the party or person seeking the order provide or permit discovery, on such terms and conditions as are just.”</w:t>
      </w:r>
    </w:p>
    <w:p w:rsidR="00E26B15" w:rsidRPr="00E26B15" w:rsidP="00E26B15">
      <w:pPr>
        <w:spacing w:before="240" w:after="0" w:line="480" w:lineRule="auto"/>
        <w:rPr>
          <w:b/>
        </w:rPr>
      </w:pPr>
      <w:r>
        <w:rPr>
          <w:b/>
        </w:rPr>
        <w:t>II</w:t>
      </w:r>
      <w:r w:rsidR="00F2094E">
        <w:rPr>
          <w:b/>
        </w:rPr>
        <w:t>I</w:t>
      </w:r>
      <w:r>
        <w:rPr>
          <w:b/>
        </w:rPr>
        <w:t>.</w:t>
      </w:r>
      <w:r>
        <w:rPr>
          <w:b/>
        </w:rPr>
        <w:tab/>
        <w:t>DISCUSSION</w:t>
      </w:r>
    </w:p>
    <w:p w:rsidR="001913D3" w:rsidRPr="001913D3" w:rsidP="00436296">
      <w:pPr>
        <w:spacing w:after="240" w:line="240" w:lineRule="auto"/>
        <w:ind w:left="1440" w:right="720" w:hanging="720"/>
        <w:rPr>
          <w:b/>
        </w:rPr>
      </w:pPr>
      <w:r>
        <w:rPr>
          <w:b/>
        </w:rPr>
        <w:t>A</w:t>
      </w:r>
      <w:r w:rsidR="00240E26">
        <w:rPr>
          <w:b/>
        </w:rPr>
        <w:t>.</w:t>
      </w:r>
      <w:r w:rsidR="00240E26">
        <w:rPr>
          <w:b/>
        </w:rPr>
        <w:tab/>
      </w:r>
      <w:r w:rsidR="009631FF">
        <w:rPr>
          <w:b/>
        </w:rPr>
        <w:t>The PUCO ha</w:t>
      </w:r>
      <w:r w:rsidR="00BD6228">
        <w:rPr>
          <w:b/>
        </w:rPr>
        <w:t>s</w:t>
      </w:r>
      <w:r w:rsidR="009631FF">
        <w:rPr>
          <w:b/>
        </w:rPr>
        <w:t xml:space="preserve"> </w:t>
      </w:r>
      <w:r w:rsidR="00BD6228">
        <w:rPr>
          <w:b/>
        </w:rPr>
        <w:t xml:space="preserve">rejected arguments similar to those made by the Marketers in a case where it </w:t>
      </w:r>
      <w:r w:rsidR="009631FF">
        <w:rPr>
          <w:b/>
        </w:rPr>
        <w:t>ruled that</w:t>
      </w:r>
      <w:r w:rsidR="00F2094E">
        <w:rPr>
          <w:b/>
        </w:rPr>
        <w:t xml:space="preserve"> discovery </w:t>
      </w:r>
      <w:r w:rsidR="001D4786">
        <w:rPr>
          <w:b/>
        </w:rPr>
        <w:t>is not limited to cases involving evidentiary hearings</w:t>
      </w:r>
      <w:r>
        <w:rPr>
          <w:b/>
        </w:rPr>
        <w:t>.</w:t>
      </w:r>
    </w:p>
    <w:p w:rsidR="00F2094E" w:rsidP="002945A2">
      <w:pPr>
        <w:spacing w:after="0" w:line="480" w:lineRule="auto"/>
        <w:ind w:firstLine="720"/>
      </w:pPr>
      <w:r>
        <w:t xml:space="preserve">The crux of the Marketers’ argument </w:t>
      </w:r>
      <w:r w:rsidR="00452032">
        <w:t xml:space="preserve">for a protective order </w:t>
      </w:r>
      <w:r>
        <w:t>is that the PUCO has not set a procedural schedule for this case and thus they need not respond to OCC’s discovery.</w:t>
      </w:r>
      <w:r>
        <w:rPr>
          <w:rStyle w:val="FootnoteReference"/>
        </w:rPr>
        <w:footnoteReference w:id="9"/>
      </w:r>
      <w:r>
        <w:t xml:space="preserve">  </w:t>
      </w:r>
      <w:r w:rsidR="001D4786">
        <w:t>The Marketers claim</w:t>
      </w:r>
      <w:r>
        <w:t xml:space="preserve"> that </w:t>
      </w:r>
      <w:r w:rsidR="001D4786">
        <w:t>“discovery is, at best, premature, and responding would subject [the Marketers] to an undue burden and expense that may well prove unnecessary if the Commission determines that no evidentiary hearing is required in this matter</w:t>
      </w:r>
      <w:r>
        <w:t>.”</w:t>
      </w:r>
      <w:r>
        <w:rPr>
          <w:rStyle w:val="FootnoteReference"/>
        </w:rPr>
        <w:footnoteReference w:id="10"/>
      </w:r>
      <w:r>
        <w:t xml:space="preserve">  </w:t>
      </w:r>
      <w:r w:rsidR="001D0B6E">
        <w:t>The Marketers, however, have not cited any case law to support their position.  In fact, there is none.</w:t>
      </w:r>
    </w:p>
    <w:p w:rsidR="00B449DC" w:rsidRPr="00F234B6" w:rsidP="00452032">
      <w:pPr>
        <w:autoSpaceDE w:val="0"/>
        <w:autoSpaceDN w:val="0"/>
        <w:adjustRightInd w:val="0"/>
        <w:spacing w:after="0" w:line="480" w:lineRule="auto"/>
        <w:ind w:firstLine="720"/>
      </w:pPr>
      <w:r w:rsidRPr="00406450">
        <w:rPr>
          <w:rFonts w:eastAsia="Times New Roman"/>
          <w:szCs w:val="20"/>
        </w:rPr>
        <w:t xml:space="preserve">OCC’s right to discovery is </w:t>
      </w:r>
      <w:r w:rsidR="00902868">
        <w:rPr>
          <w:rFonts w:eastAsia="Times New Roman"/>
          <w:szCs w:val="20"/>
        </w:rPr>
        <w:t>en</w:t>
      </w:r>
      <w:r w:rsidRPr="00406450">
        <w:rPr>
          <w:rFonts w:eastAsia="Times New Roman"/>
          <w:szCs w:val="20"/>
        </w:rPr>
        <w:t>sured by law, rule</w:t>
      </w:r>
      <w:r w:rsidR="00214DB5">
        <w:rPr>
          <w:rFonts w:eastAsia="Times New Roman"/>
          <w:szCs w:val="20"/>
        </w:rPr>
        <w:t>,</w:t>
      </w:r>
      <w:r w:rsidRPr="00406450">
        <w:rPr>
          <w:rFonts w:eastAsia="Times New Roman"/>
          <w:szCs w:val="20"/>
        </w:rPr>
        <w:t xml:space="preserve"> and Supreme Court </w:t>
      </w:r>
      <w:r w:rsidR="00902868">
        <w:rPr>
          <w:rFonts w:eastAsia="Times New Roman"/>
          <w:szCs w:val="20"/>
        </w:rPr>
        <w:t xml:space="preserve">of Ohio (“Court”) </w:t>
      </w:r>
      <w:r w:rsidRPr="00406450">
        <w:rPr>
          <w:rFonts w:eastAsia="Times New Roman"/>
          <w:szCs w:val="20"/>
        </w:rPr>
        <w:t>precedent.  OCC is entitled to timely and complete responses to its discovery inquiries.  R.C. 4903.082 provides</w:t>
      </w:r>
      <w:r w:rsidR="00452032">
        <w:rPr>
          <w:rFonts w:eastAsia="Times New Roman"/>
          <w:szCs w:val="20"/>
        </w:rPr>
        <w:t>:</w:t>
      </w:r>
      <w:r w:rsidRPr="00406450">
        <w:rPr>
          <w:rFonts w:eastAsia="Times New Roman"/>
          <w:szCs w:val="20"/>
        </w:rPr>
        <w:t xml:space="preserve"> “</w:t>
      </w:r>
      <w:r w:rsidR="00452032">
        <w:rPr>
          <w:rFonts w:eastAsia="Times New Roman"/>
          <w:szCs w:val="20"/>
        </w:rPr>
        <w:t>A</w:t>
      </w:r>
      <w:r w:rsidRPr="00406450">
        <w:rPr>
          <w:rFonts w:eastAsia="Times New Roman"/>
          <w:szCs w:val="20"/>
        </w:rPr>
        <w:t xml:space="preserve">ll parties and intervenors shall be granted ample rights of discovery.”  </w:t>
      </w:r>
      <w:r w:rsidR="00452032">
        <w:rPr>
          <w:rFonts w:eastAsia="Times New Roman"/>
          <w:szCs w:val="20"/>
        </w:rPr>
        <w:t>In interpreting this statute, t</w:t>
      </w:r>
      <w:r w:rsidRPr="00406450">
        <w:rPr>
          <w:rFonts w:eastAsia="Times New Roman"/>
          <w:szCs w:val="20"/>
        </w:rPr>
        <w:t xml:space="preserve">he Supreme Court of Ohio </w:t>
      </w:r>
      <w:r w:rsidR="001D0B6E">
        <w:rPr>
          <w:rFonts w:eastAsia="Times New Roman"/>
          <w:szCs w:val="20"/>
        </w:rPr>
        <w:t xml:space="preserve">has </w:t>
      </w:r>
      <w:r w:rsidRPr="00406450">
        <w:rPr>
          <w:rFonts w:eastAsia="Times New Roman"/>
          <w:szCs w:val="20"/>
        </w:rPr>
        <w:t xml:space="preserve">ruled that </w:t>
      </w:r>
      <w:r w:rsidR="001D0B6E">
        <w:rPr>
          <w:rFonts w:eastAsia="Times New Roman"/>
          <w:szCs w:val="20"/>
        </w:rPr>
        <w:t>parties in</w:t>
      </w:r>
      <w:r w:rsidRPr="00406450">
        <w:rPr>
          <w:rFonts w:eastAsia="Times New Roman"/>
          <w:szCs w:val="20"/>
        </w:rPr>
        <w:t xml:space="preserve"> PUCO </w:t>
      </w:r>
      <w:r w:rsidR="001D0B6E">
        <w:rPr>
          <w:rFonts w:eastAsia="Times New Roman"/>
          <w:szCs w:val="20"/>
        </w:rPr>
        <w:t>cases have broad rights to discovery</w:t>
      </w:r>
      <w:r w:rsidRPr="00406450">
        <w:rPr>
          <w:rFonts w:eastAsia="Times New Roman"/>
          <w:szCs w:val="20"/>
        </w:rPr>
        <w:t>.</w:t>
      </w:r>
      <w:r>
        <w:rPr>
          <w:rFonts w:eastAsia="Times New Roman"/>
          <w:szCs w:val="20"/>
          <w:vertAlign w:val="superscript"/>
        </w:rPr>
        <w:footnoteReference w:id="11"/>
      </w:r>
      <w:r w:rsidRPr="00406450">
        <w:rPr>
          <w:rFonts w:eastAsia="Times New Roman"/>
          <w:szCs w:val="20"/>
        </w:rPr>
        <w:t xml:space="preserve">  The Court held that the </w:t>
      </w:r>
      <w:r w:rsidR="00214DB5">
        <w:rPr>
          <w:rFonts w:eastAsia="Times New Roman"/>
          <w:szCs w:val="20"/>
        </w:rPr>
        <w:t>PUCO’s</w:t>
      </w:r>
      <w:r w:rsidRPr="00406450">
        <w:rPr>
          <w:rFonts w:eastAsia="Times New Roman"/>
          <w:szCs w:val="20"/>
        </w:rPr>
        <w:t xml:space="preserve"> discovery rule is similar to Civ. R. 26(B)(1), which governs the scope of discovery in civil cases.</w:t>
      </w:r>
      <w:r>
        <w:rPr>
          <w:rFonts w:eastAsia="Times New Roman"/>
          <w:szCs w:val="20"/>
          <w:vertAlign w:val="superscript"/>
        </w:rPr>
        <w:footnoteReference w:id="12"/>
      </w:r>
      <w:r w:rsidRPr="00406450">
        <w:rPr>
          <w:rFonts w:eastAsia="Times New Roman"/>
          <w:szCs w:val="20"/>
        </w:rPr>
        <w:t xml:space="preserve"> </w:t>
      </w:r>
      <w:r w:rsidR="00452032">
        <w:rPr>
          <w:rFonts w:eastAsia="Times New Roman"/>
          <w:szCs w:val="20"/>
        </w:rPr>
        <w:t xml:space="preserve"> </w:t>
      </w:r>
      <w:r w:rsidR="001D0B6E">
        <w:rPr>
          <w:rFonts w:eastAsia="Times New Roman"/>
          <w:szCs w:val="20"/>
        </w:rPr>
        <w:t xml:space="preserve">The Court noted that </w:t>
      </w:r>
      <w:r w:rsidRPr="00406450">
        <w:rPr>
          <w:rFonts w:eastAsia="Times New Roman"/>
          <w:szCs w:val="20"/>
        </w:rPr>
        <w:t>Civ. R. 26(B) has been liberally construed to allow for broad discovery of any unprivileged matter relevant to the subject matter of the pending proceeding.</w:t>
      </w:r>
      <w:r>
        <w:rPr>
          <w:rStyle w:val="FootnoteReference"/>
          <w:rFonts w:eastAsia="Times New Roman"/>
          <w:szCs w:val="20"/>
        </w:rPr>
        <w:footnoteReference w:id="13"/>
      </w:r>
      <w:r w:rsidRPr="00406450">
        <w:rPr>
          <w:rFonts w:eastAsia="Times New Roman"/>
          <w:szCs w:val="20"/>
        </w:rPr>
        <w:t xml:space="preserve">  </w:t>
      </w:r>
      <w:r w:rsidR="003F34E5">
        <w:rPr>
          <w:rFonts w:eastAsia="Times New Roman"/>
          <w:snapToGrid w:val="0"/>
          <w:spacing w:val="-3"/>
        </w:rPr>
        <w:t>The Marketers admit that OCC’s discovery requests are within the scope of discovery contemplated by the PUCO’s rules</w:t>
      </w:r>
      <w:r w:rsidRPr="001C0CE1" w:rsidR="003F34E5">
        <w:rPr>
          <w:rFonts w:eastAsia="Times New Roman"/>
          <w:snapToGrid w:val="0"/>
          <w:spacing w:val="-3"/>
        </w:rPr>
        <w:t>.</w:t>
      </w:r>
      <w:r>
        <w:rPr>
          <w:rStyle w:val="FootnoteReference"/>
          <w:rFonts w:eastAsia="Times New Roman"/>
          <w:snapToGrid w:val="0"/>
          <w:spacing w:val="-3"/>
        </w:rPr>
        <w:footnoteReference w:id="14"/>
      </w:r>
      <w:r w:rsidRPr="001C0CE1" w:rsidR="003F34E5">
        <w:rPr>
          <w:rFonts w:eastAsia="Times New Roman"/>
          <w:snapToGrid w:val="0"/>
          <w:spacing w:val="-3"/>
        </w:rPr>
        <w:t xml:space="preserve">  </w:t>
      </w:r>
      <w:r w:rsidR="003F34E5">
        <w:rPr>
          <w:rFonts w:eastAsia="Times New Roman"/>
          <w:snapToGrid w:val="0"/>
          <w:spacing w:val="-3"/>
        </w:rPr>
        <w:t>Thus, OCC is entitled to broad discovery in this case.</w:t>
      </w:r>
    </w:p>
    <w:p w:rsidR="00596FD3" w:rsidP="001D4786">
      <w:pPr>
        <w:spacing w:after="0" w:line="480" w:lineRule="auto"/>
        <w:ind w:firstLine="720"/>
      </w:pPr>
      <w:r>
        <w:t>I</w:t>
      </w:r>
      <w:r w:rsidR="005C6796">
        <w:t>n practice before the PUCO, i</w:t>
      </w:r>
      <w:r>
        <w:t xml:space="preserve">t is typical for discovery to </w:t>
      </w:r>
      <w:r w:rsidR="00B31170">
        <w:t xml:space="preserve">begin </w:t>
      </w:r>
      <w:r>
        <w:t xml:space="preserve">as soon as a proceeding commences and parties intervene in </w:t>
      </w:r>
      <w:r w:rsidR="005A0B77">
        <w:t>the</w:t>
      </w:r>
      <w:r>
        <w:t xml:space="preserve"> proceeding.  Indeed,</w:t>
      </w:r>
      <w:r w:rsidR="001D4786">
        <w:t xml:space="preserve"> Ohio Adm. Code 4901-1-17(A) states</w:t>
      </w:r>
      <w:r w:rsidR="00174217">
        <w:t>, in relevant part</w:t>
      </w:r>
      <w:r w:rsidR="001D4786">
        <w:t>: “</w:t>
      </w:r>
      <w:r w:rsidR="003F34E5">
        <w:t>[D]</w:t>
      </w:r>
      <w:r w:rsidR="001D4786">
        <w:t xml:space="preserve">iscovery may begin </w:t>
      </w:r>
      <w:r w:rsidRPr="005C6796" w:rsidR="001D4786">
        <w:rPr>
          <w:i/>
        </w:rPr>
        <w:t>immediately after a proceeding is commenced</w:t>
      </w:r>
      <w:r w:rsidR="001D4786">
        <w:t xml:space="preserve"> and should be completed as expeditiously as possible.</w:t>
      </w:r>
      <w:r>
        <w:t>”</w:t>
      </w:r>
      <w:r>
        <w:rPr>
          <w:rStyle w:val="FootnoteReference"/>
        </w:rPr>
        <w:footnoteReference w:id="15"/>
      </w:r>
      <w:r w:rsidR="001D4786">
        <w:t xml:space="preserve"> </w:t>
      </w:r>
      <w:r w:rsidR="00174217">
        <w:t xml:space="preserve"> (Emphasis added.)</w:t>
      </w:r>
      <w:r>
        <w:t xml:space="preserve">  There is no requirement that a hearing (or any procedural schedule) be set before parties may exercise their discovery rights.  </w:t>
      </w:r>
      <w:r w:rsidR="005C6796">
        <w:t>In fact, the PUCO has rejected arguments against discovery similar to those made by the Marketers in this case.</w:t>
      </w:r>
    </w:p>
    <w:p w:rsidR="00BD6228" w:rsidP="001D4786">
      <w:pPr>
        <w:spacing w:after="0" w:line="480" w:lineRule="auto"/>
        <w:ind w:firstLine="720"/>
      </w:pPr>
      <w:r>
        <w:t>In a case involving Columbia Gas of Ohio (“Columbia”), t</w:t>
      </w:r>
      <w:r w:rsidR="00596FD3">
        <w:t xml:space="preserve">he PUCO rejected arguments that discovery cannot begin until </w:t>
      </w:r>
      <w:r>
        <w:t>it</w:t>
      </w:r>
      <w:r w:rsidR="00596FD3">
        <w:t xml:space="preserve"> determines the procedural posture of the case.</w:t>
      </w:r>
      <w:r>
        <w:rPr>
          <w:rStyle w:val="FootnoteReference"/>
        </w:rPr>
        <w:footnoteReference w:id="16"/>
      </w:r>
      <w:r w:rsidR="00596FD3">
        <w:t xml:space="preserve">  Shortly after Columbia filed its application in that case</w:t>
      </w:r>
      <w:r w:rsidR="003F34E5">
        <w:t>,</w:t>
      </w:r>
      <w:r w:rsidR="00596FD3">
        <w:t xml:space="preserve"> OCC moved to intervene and served discovery on Columbia.</w:t>
      </w:r>
      <w:r>
        <w:rPr>
          <w:rStyle w:val="FootnoteReference"/>
        </w:rPr>
        <w:footnoteReference w:id="17"/>
      </w:r>
      <w:r w:rsidR="00596FD3">
        <w:t xml:space="preserve">  </w:t>
      </w:r>
      <w:r w:rsidRPr="006A1415">
        <w:t xml:space="preserve">Columbia </w:t>
      </w:r>
      <w:r>
        <w:t xml:space="preserve">filed a motion to stay discovery until such time that the PUCO determined whether to conduct further proceedings in the case.  </w:t>
      </w:r>
      <w:r>
        <w:t xml:space="preserve">Like the Marketers in this case, </w:t>
      </w:r>
      <w:r>
        <w:t>Columbia asserted</w:t>
      </w:r>
      <w:r w:rsidRPr="006A1415">
        <w:t xml:space="preserve"> that</w:t>
      </w:r>
      <w:r>
        <w:t xml:space="preserve"> OCC’s</w:t>
      </w:r>
      <w:r w:rsidRPr="006A1415">
        <w:t xml:space="preserve"> discovery </w:t>
      </w:r>
      <w:r>
        <w:t>was</w:t>
      </w:r>
      <w:r w:rsidRPr="006A1415">
        <w:t xml:space="preserve"> improper and premature</w:t>
      </w:r>
      <w:r>
        <w:t xml:space="preserve"> because </w:t>
      </w:r>
      <w:r w:rsidRPr="006A1415">
        <w:t xml:space="preserve">the </w:t>
      </w:r>
      <w:r>
        <w:t xml:space="preserve">PUCO had </w:t>
      </w:r>
      <w:r w:rsidRPr="006A1415">
        <w:t xml:space="preserve">not determined the nature or scope of any future proceedings in </w:t>
      </w:r>
      <w:r>
        <w:t>the case</w:t>
      </w:r>
      <w:r w:rsidRPr="006A1415">
        <w:t>.</w:t>
      </w:r>
      <w:r>
        <w:rPr>
          <w:rStyle w:val="FootnoteReference"/>
        </w:rPr>
        <w:footnoteReference w:id="18"/>
      </w:r>
      <w:r w:rsidRPr="006A1415">
        <w:t xml:space="preserve">  </w:t>
      </w:r>
      <w:r>
        <w:t xml:space="preserve">And like the Marketers in this case, </w:t>
      </w:r>
      <w:r w:rsidR="003F34E5">
        <w:t>Columbia</w:t>
      </w:r>
      <w:r>
        <w:t xml:space="preserve"> contended that</w:t>
      </w:r>
      <w:r w:rsidR="003F34E5">
        <w:t xml:space="preserve"> </w:t>
      </w:r>
      <w:r w:rsidR="004039E6">
        <w:t>the PUCO “may well decide” applications such as the one it filed without a hearing.</w:t>
      </w:r>
      <w:r>
        <w:rPr>
          <w:rStyle w:val="FootnoteReference"/>
        </w:rPr>
        <w:footnoteReference w:id="19"/>
      </w:r>
      <w:r w:rsidR="004039E6">
        <w:t xml:space="preserve">  </w:t>
      </w:r>
    </w:p>
    <w:p w:rsidR="00722C8D" w:rsidP="001D4786">
      <w:pPr>
        <w:spacing w:after="0" w:line="480" w:lineRule="auto"/>
        <w:ind w:firstLine="720"/>
      </w:pPr>
      <w:r>
        <w:t xml:space="preserve">Columbia also made other arguments in seeking a stay of discovery.  </w:t>
      </w:r>
      <w:r w:rsidRPr="006A1415" w:rsidR="00F717F0">
        <w:t xml:space="preserve">Columbia </w:t>
      </w:r>
      <w:r w:rsidR="00F717F0">
        <w:t>argued that</w:t>
      </w:r>
      <w:r w:rsidRPr="006A1415" w:rsidR="00F717F0">
        <w:t xml:space="preserve"> if the </w:t>
      </w:r>
      <w:r w:rsidR="00F717F0">
        <w:t>PUCO determined</w:t>
      </w:r>
      <w:r w:rsidRPr="006A1415" w:rsidR="00F717F0">
        <w:t xml:space="preserve"> that a hearing </w:t>
      </w:r>
      <w:r w:rsidR="00F717F0">
        <w:t xml:space="preserve">was </w:t>
      </w:r>
      <w:r w:rsidRPr="006A1415" w:rsidR="00F717F0">
        <w:t>unnecessary, discovery should be permanently stayed.</w:t>
      </w:r>
      <w:r>
        <w:rPr>
          <w:rStyle w:val="FootnoteReference"/>
        </w:rPr>
        <w:footnoteReference w:id="20"/>
      </w:r>
      <w:r w:rsidRPr="006A1415" w:rsidR="00F717F0">
        <w:t xml:space="preserve"> </w:t>
      </w:r>
      <w:r w:rsidR="005C6796">
        <w:t xml:space="preserve"> In addition, </w:t>
      </w:r>
      <w:r w:rsidRPr="006A1415" w:rsidR="00F717F0">
        <w:t xml:space="preserve">Columbia </w:t>
      </w:r>
      <w:r w:rsidR="005C6796">
        <w:t xml:space="preserve">claimed </w:t>
      </w:r>
      <w:r w:rsidRPr="006A1415" w:rsidR="00F717F0">
        <w:t>that</w:t>
      </w:r>
      <w:r w:rsidR="00F717F0">
        <w:t xml:space="preserve"> </w:t>
      </w:r>
      <w:r w:rsidRPr="006A1415" w:rsidR="00F717F0">
        <w:t xml:space="preserve">without </w:t>
      </w:r>
      <w:r w:rsidR="00F717F0">
        <w:t xml:space="preserve">PUCO </w:t>
      </w:r>
      <w:r w:rsidRPr="006A1415" w:rsidR="00F717F0">
        <w:t xml:space="preserve">guidance as to how </w:t>
      </w:r>
      <w:r w:rsidR="00F717F0">
        <w:t xml:space="preserve">the case would </w:t>
      </w:r>
      <w:r w:rsidRPr="006A1415" w:rsidR="00F717F0">
        <w:t xml:space="preserve">proceed, it </w:t>
      </w:r>
      <w:r w:rsidR="00F717F0">
        <w:t xml:space="preserve">would be </w:t>
      </w:r>
      <w:r w:rsidRPr="006A1415" w:rsidR="00F717F0">
        <w:t>impossible to know whether OCC</w:t>
      </w:r>
      <w:r w:rsidR="00252E99">
        <w:t>’</w:t>
      </w:r>
      <w:r w:rsidRPr="006A1415" w:rsidR="00F717F0">
        <w:t>s discovery requests are relevant or likely to lead to the discovery of admissible evidence.</w:t>
      </w:r>
      <w:r>
        <w:rPr>
          <w:rStyle w:val="FootnoteReference"/>
        </w:rPr>
        <w:footnoteReference w:id="21"/>
      </w:r>
      <w:r w:rsidR="00F717F0">
        <w:t xml:space="preserve"> </w:t>
      </w:r>
      <w:r w:rsidRPr="006A1415" w:rsidR="00F717F0">
        <w:t xml:space="preserve"> </w:t>
      </w:r>
      <w:r w:rsidR="005C6796">
        <w:t>And</w:t>
      </w:r>
      <w:r w:rsidR="00F717F0">
        <w:t xml:space="preserve"> Columbia contended</w:t>
      </w:r>
      <w:r w:rsidRPr="006A1415" w:rsidR="00F717F0">
        <w:t xml:space="preserve"> that the mere filing of an application does not result in a right to discovery.</w:t>
      </w:r>
      <w:r>
        <w:rPr>
          <w:rStyle w:val="FootnoteReference"/>
        </w:rPr>
        <w:footnoteReference w:id="22"/>
      </w:r>
      <w:r w:rsidR="00F717F0">
        <w:t xml:space="preserve">  </w:t>
      </w:r>
      <w:r w:rsidR="00351C33">
        <w:t>OCC opposed</w:t>
      </w:r>
      <w:r w:rsidR="00F717F0">
        <w:t xml:space="preserve"> Columbia’s motion</w:t>
      </w:r>
      <w:r w:rsidR="00351C33">
        <w:t xml:space="preserve"> as being contrary to Ohio law, PUCO rules, and Ohio Supreme Court precedent</w:t>
      </w:r>
      <w:r>
        <w:t>.</w:t>
      </w:r>
      <w:r w:rsidR="00F717F0">
        <w:t xml:space="preserve"> </w:t>
      </w:r>
      <w:r>
        <w:t xml:space="preserve"> </w:t>
      </w:r>
    </w:p>
    <w:p w:rsidR="0079787F" w:rsidP="001D4786">
      <w:pPr>
        <w:spacing w:after="0" w:line="480" w:lineRule="auto"/>
        <w:ind w:firstLine="720"/>
      </w:pPr>
      <w:r>
        <w:t>The PUCO agreed with OCC</w:t>
      </w:r>
      <w:r w:rsidR="00BD6228">
        <w:t>, denied Columbia’s motion,</w:t>
      </w:r>
      <w:r>
        <w:t xml:space="preserve"> and allowed the discovery process to continue.  In so doing, the PUCO stated: “</w:t>
      </w:r>
      <w:r w:rsidRPr="00722C8D">
        <w:t>Section 4903.082, Revised Code, requires the Commission to ensure ample rights of discovery, while Rule 4901-1-17(A), O.A.C, generally provides that discovery may begin immediately after a proceeding is commenced and should be completed as expeditiously as possible.</w:t>
      </w:r>
      <w:r>
        <w:t>”</w:t>
      </w:r>
      <w:r>
        <w:rPr>
          <w:rStyle w:val="FootnoteReference"/>
        </w:rPr>
        <w:footnoteReference w:id="23"/>
      </w:r>
      <w:r w:rsidR="00351C33">
        <w:t xml:space="preserve">  </w:t>
      </w:r>
      <w:r w:rsidRPr="00722C8D" w:rsidR="00351C33">
        <w:t xml:space="preserve">The </w:t>
      </w:r>
      <w:r w:rsidR="00351C33">
        <w:t xml:space="preserve">PUCO also noted that the </w:t>
      </w:r>
      <w:r w:rsidRPr="00722C8D" w:rsidR="00351C33">
        <w:t xml:space="preserve">discovery process </w:t>
      </w:r>
      <w:r w:rsidR="00DC148C">
        <w:t xml:space="preserve">would </w:t>
      </w:r>
      <w:r w:rsidRPr="00722C8D" w:rsidR="00351C33">
        <w:t>aid parties in prepar</w:t>
      </w:r>
      <w:r w:rsidR="00DC148C">
        <w:t xml:space="preserve">ing </w:t>
      </w:r>
      <w:r w:rsidRPr="00722C8D" w:rsidR="00351C33">
        <w:t>their comments and reply comments</w:t>
      </w:r>
      <w:r w:rsidR="00DC148C">
        <w:t>,</w:t>
      </w:r>
      <w:r w:rsidRPr="00722C8D" w:rsidR="00351C33">
        <w:t xml:space="preserve"> and, ultimately, </w:t>
      </w:r>
      <w:r w:rsidR="00E7416B">
        <w:t>would “</w:t>
      </w:r>
      <w:r w:rsidRPr="00722C8D" w:rsidR="00351C33">
        <w:t>better inform the Commission's review of the application.</w:t>
      </w:r>
      <w:r w:rsidR="00DC148C">
        <w:t>”</w:t>
      </w:r>
      <w:r>
        <w:rPr>
          <w:rStyle w:val="FootnoteReference"/>
        </w:rPr>
        <w:footnoteReference w:id="24"/>
      </w:r>
      <w:r w:rsidR="00700056">
        <w:t xml:space="preserve">  The PUCO ordered Columbia to respond to OCC’s discovery within ten days.</w:t>
      </w:r>
      <w:r>
        <w:rPr>
          <w:rStyle w:val="FootnoteReference"/>
          <w:rFonts w:eastAsia="Calibri"/>
          <w:szCs w:val="22"/>
        </w:rPr>
        <w:footnoteReference w:id="25"/>
      </w:r>
      <w:r w:rsidR="00B17BB7">
        <w:t xml:space="preserve">  </w:t>
      </w:r>
      <w:r w:rsidR="00252E99">
        <w:t>In the instant case, t</w:t>
      </w:r>
      <w:r w:rsidR="00B17BB7">
        <w:t xml:space="preserve">he PUCO should rule consistent with the precedent set in the Columbia case and allow discovery to proceed.  </w:t>
      </w:r>
    </w:p>
    <w:p w:rsidR="00DC148C" w:rsidRPr="001C0CE1" w:rsidP="00DC148C">
      <w:pPr>
        <w:spacing w:after="0" w:line="480" w:lineRule="auto"/>
        <w:ind w:firstLine="720"/>
        <w:rPr>
          <w:rFonts w:eastAsia="Times New Roman"/>
          <w:snapToGrid w:val="0"/>
          <w:spacing w:val="-3"/>
        </w:rPr>
      </w:pPr>
      <w:r>
        <w:rPr>
          <w:rFonts w:eastAsia="Times New Roman"/>
          <w:snapToGrid w:val="0"/>
          <w:spacing w:val="-3"/>
        </w:rPr>
        <w:t>The Marketers</w:t>
      </w:r>
      <w:r w:rsidRPr="001C0CE1">
        <w:rPr>
          <w:rFonts w:eastAsia="Times New Roman"/>
          <w:snapToGrid w:val="0"/>
          <w:spacing w:val="-3"/>
        </w:rPr>
        <w:t xml:space="preserve"> cannot determine unilaterally what does or does not constitute a proceeding where </w:t>
      </w:r>
      <w:r>
        <w:rPr>
          <w:rFonts w:eastAsia="Times New Roman"/>
          <w:snapToGrid w:val="0"/>
          <w:spacing w:val="-3"/>
        </w:rPr>
        <w:t xml:space="preserve">they are </w:t>
      </w:r>
      <w:r w:rsidRPr="001C0CE1">
        <w:rPr>
          <w:rFonts w:eastAsia="Times New Roman"/>
          <w:snapToGrid w:val="0"/>
          <w:spacing w:val="-3"/>
        </w:rPr>
        <w:t xml:space="preserve">obligated to respond to discovery.  </w:t>
      </w:r>
      <w:r>
        <w:rPr>
          <w:rFonts w:eastAsia="Times New Roman"/>
          <w:snapToGrid w:val="0"/>
          <w:spacing w:val="-3"/>
        </w:rPr>
        <w:t>And</w:t>
      </w:r>
      <w:r w:rsidRPr="001C0CE1">
        <w:rPr>
          <w:rFonts w:eastAsia="Times New Roman"/>
          <w:snapToGrid w:val="0"/>
          <w:spacing w:val="-3"/>
        </w:rPr>
        <w:t xml:space="preserve"> </w:t>
      </w:r>
      <w:r>
        <w:rPr>
          <w:rFonts w:eastAsia="Times New Roman"/>
          <w:snapToGrid w:val="0"/>
          <w:spacing w:val="-3"/>
        </w:rPr>
        <w:t>they</w:t>
      </w:r>
      <w:r w:rsidRPr="001C0CE1">
        <w:rPr>
          <w:rFonts w:eastAsia="Times New Roman"/>
          <w:snapToGrid w:val="0"/>
          <w:spacing w:val="-3"/>
        </w:rPr>
        <w:t xml:space="preserve"> cannot decide </w:t>
      </w:r>
      <w:r w:rsidRPr="001C0CE1" w:rsidR="00D80E97">
        <w:rPr>
          <w:rFonts w:eastAsia="Times New Roman"/>
          <w:snapToGrid w:val="0"/>
          <w:spacing w:val="-3"/>
        </w:rPr>
        <w:t xml:space="preserve">unilaterally </w:t>
      </w:r>
      <w:r w:rsidR="00D80E97">
        <w:rPr>
          <w:rFonts w:eastAsia="Times New Roman"/>
          <w:snapToGrid w:val="0"/>
          <w:spacing w:val="-3"/>
        </w:rPr>
        <w:t>when</w:t>
      </w:r>
      <w:r w:rsidR="001353E6">
        <w:rPr>
          <w:rFonts w:eastAsia="Times New Roman"/>
          <w:snapToGrid w:val="0"/>
          <w:spacing w:val="-3"/>
        </w:rPr>
        <w:t xml:space="preserve"> </w:t>
      </w:r>
      <w:r w:rsidRPr="001C0CE1">
        <w:rPr>
          <w:rFonts w:eastAsia="Times New Roman"/>
          <w:snapToGrid w:val="0"/>
          <w:spacing w:val="-3"/>
        </w:rPr>
        <w:t>discovery</w:t>
      </w:r>
      <w:r w:rsidR="001353E6">
        <w:rPr>
          <w:rFonts w:eastAsia="Times New Roman"/>
          <w:snapToGrid w:val="0"/>
          <w:spacing w:val="-3"/>
        </w:rPr>
        <w:t xml:space="preserve"> would be appropriate</w:t>
      </w:r>
      <w:r w:rsidRPr="00D80E97" w:rsidR="00D80E97">
        <w:rPr>
          <w:rFonts w:eastAsia="Times New Roman"/>
          <w:snapToGrid w:val="0"/>
          <w:spacing w:val="-3"/>
        </w:rPr>
        <w:t xml:space="preserve"> </w:t>
      </w:r>
      <w:r w:rsidR="00D80E97">
        <w:rPr>
          <w:rFonts w:eastAsia="Times New Roman"/>
          <w:snapToGrid w:val="0"/>
          <w:spacing w:val="-3"/>
        </w:rPr>
        <w:t>in a proceeding.</w:t>
      </w:r>
      <w:r>
        <w:rPr>
          <w:rStyle w:val="FootnoteReference"/>
          <w:rFonts w:eastAsia="Times New Roman"/>
          <w:snapToGrid w:val="0"/>
          <w:spacing w:val="-3"/>
        </w:rPr>
        <w:footnoteReference w:id="26"/>
      </w:r>
      <w:r w:rsidR="00E7416B">
        <w:rPr>
          <w:rFonts w:eastAsia="Times New Roman"/>
          <w:snapToGrid w:val="0"/>
          <w:spacing w:val="-3"/>
        </w:rPr>
        <w:t xml:space="preserve">  </w:t>
      </w:r>
      <w:r>
        <w:t xml:space="preserve">The Marketers’ position would unreasonably narrow OCC’s rights of discovery </w:t>
      </w:r>
      <w:r w:rsidR="001353E6">
        <w:t xml:space="preserve">recognized </w:t>
      </w:r>
      <w:r>
        <w:t xml:space="preserve">under </w:t>
      </w:r>
      <w:r w:rsidR="001353E6">
        <w:t xml:space="preserve">Ohio law, </w:t>
      </w:r>
      <w:r>
        <w:t>the PUCO’s rules</w:t>
      </w:r>
      <w:r w:rsidR="001353E6">
        <w:t>, and case law</w:t>
      </w:r>
      <w:r>
        <w:t>.</w:t>
      </w:r>
      <w:r>
        <w:rPr>
          <w:rStyle w:val="FootnoteReference"/>
        </w:rPr>
        <w:footnoteReference w:id="27"/>
      </w:r>
      <w:r>
        <w:t xml:space="preserve">  The</w:t>
      </w:r>
      <w:r w:rsidR="00B31170">
        <w:t xml:space="preserve"> Marketers’</w:t>
      </w:r>
      <w:r>
        <w:t xml:space="preserve"> motion to stay discovery should be denied</w:t>
      </w:r>
      <w:r w:rsidR="00B31170">
        <w:t>, and they should be ordered to respond immediately to OCC’s discovery</w:t>
      </w:r>
      <w:r>
        <w:t>.</w:t>
      </w:r>
    </w:p>
    <w:p w:rsidR="00DC148C" w:rsidRPr="009631FF" w:rsidP="00436296">
      <w:pPr>
        <w:spacing w:after="240" w:line="240" w:lineRule="auto"/>
        <w:ind w:left="1440" w:right="720" w:hanging="720"/>
        <w:rPr>
          <w:b/>
        </w:rPr>
      </w:pPr>
      <w:r>
        <w:rPr>
          <w:b/>
        </w:rPr>
        <w:t>B.</w:t>
      </w:r>
      <w:r>
        <w:rPr>
          <w:b/>
        </w:rPr>
        <w:tab/>
        <w:t xml:space="preserve">Discovery is needed to help the PUCO determine whether the Marketers’ proposed waiver would aid or hinder protection </w:t>
      </w:r>
      <w:r w:rsidR="00AB4FC9">
        <w:rPr>
          <w:b/>
        </w:rPr>
        <w:t>for consumers who call natural gas companies and change suppliers</w:t>
      </w:r>
      <w:r>
        <w:rPr>
          <w:b/>
        </w:rPr>
        <w:t>.</w:t>
      </w:r>
    </w:p>
    <w:p w:rsidR="001C0CE1" w:rsidP="001C0CE1">
      <w:pPr>
        <w:spacing w:after="0" w:line="480" w:lineRule="auto"/>
        <w:ind w:firstLine="720"/>
        <w:rPr>
          <w:rFonts w:eastAsia="Times New Roman"/>
          <w:snapToGrid w:val="0"/>
          <w:spacing w:val="-3"/>
        </w:rPr>
      </w:pPr>
      <w:r w:rsidRPr="001C0CE1">
        <w:rPr>
          <w:rFonts w:eastAsia="Times New Roman"/>
          <w:snapToGrid w:val="0"/>
          <w:spacing w:val="-3"/>
        </w:rPr>
        <w:t xml:space="preserve">OCC is entitled to discovery within the scope provided by the </w:t>
      </w:r>
      <w:r>
        <w:rPr>
          <w:rFonts w:eastAsia="Times New Roman"/>
          <w:snapToGrid w:val="0"/>
          <w:spacing w:val="-3"/>
        </w:rPr>
        <w:t>PUCO’s</w:t>
      </w:r>
      <w:r w:rsidRPr="001C0CE1">
        <w:rPr>
          <w:rFonts w:eastAsia="Times New Roman"/>
          <w:snapToGrid w:val="0"/>
          <w:spacing w:val="-3"/>
        </w:rPr>
        <w:t xml:space="preserve"> rules: “[A]ny party to a commission proceeding may obtain discovery of any matter, not privileged, which is relevant to the subject matter of the proceeding.</w:t>
      </w:r>
      <w:r>
        <w:rPr>
          <w:rFonts w:eastAsia="Times New Roman"/>
          <w:snapToGrid w:val="0"/>
          <w:spacing w:val="-3"/>
        </w:rPr>
        <w:t>”</w:t>
      </w:r>
      <w:r>
        <w:rPr>
          <w:rFonts w:eastAsia="Times New Roman"/>
          <w:snapToGrid w:val="0"/>
          <w:spacing w:val="-3"/>
          <w:vertAlign w:val="superscript"/>
        </w:rPr>
        <w:footnoteReference w:id="28"/>
      </w:r>
      <w:r w:rsidRPr="001C0CE1">
        <w:rPr>
          <w:rFonts w:eastAsia="Times New Roman"/>
          <w:snapToGrid w:val="0"/>
          <w:spacing w:val="-3"/>
        </w:rPr>
        <w:t xml:space="preserve">  </w:t>
      </w:r>
      <w:r>
        <w:rPr>
          <w:rFonts w:eastAsia="Times New Roman"/>
          <w:snapToGrid w:val="0"/>
          <w:spacing w:val="-3"/>
        </w:rPr>
        <w:t>The Marketers admit that OCC’s discovery requests are within the scope of discovery contemplated by the PUCO’s rules</w:t>
      </w:r>
      <w:r w:rsidRPr="001C0CE1">
        <w:rPr>
          <w:rFonts w:eastAsia="Times New Roman"/>
          <w:snapToGrid w:val="0"/>
          <w:spacing w:val="-3"/>
        </w:rPr>
        <w:t>.</w:t>
      </w:r>
      <w:r>
        <w:rPr>
          <w:rStyle w:val="FootnoteReference"/>
          <w:rFonts w:eastAsia="Times New Roman"/>
          <w:snapToGrid w:val="0"/>
          <w:spacing w:val="-3"/>
        </w:rPr>
        <w:footnoteReference w:id="29"/>
      </w:r>
      <w:r w:rsidRPr="001C0CE1">
        <w:rPr>
          <w:rFonts w:eastAsia="Times New Roman"/>
          <w:snapToGrid w:val="0"/>
          <w:spacing w:val="-3"/>
        </w:rPr>
        <w:t xml:space="preserve">  </w:t>
      </w:r>
      <w:r>
        <w:rPr>
          <w:rFonts w:eastAsia="Times New Roman"/>
          <w:snapToGrid w:val="0"/>
          <w:spacing w:val="-3"/>
        </w:rPr>
        <w:t>Their only issue is with the timing of the request</w:t>
      </w:r>
      <w:r w:rsidR="00792B13">
        <w:rPr>
          <w:rFonts w:eastAsia="Times New Roman"/>
          <w:snapToGrid w:val="0"/>
          <w:spacing w:val="-3"/>
        </w:rPr>
        <w:t>s</w:t>
      </w:r>
      <w:r>
        <w:rPr>
          <w:rFonts w:eastAsia="Times New Roman"/>
          <w:snapToGrid w:val="0"/>
          <w:spacing w:val="-3"/>
        </w:rPr>
        <w:t>.</w:t>
      </w:r>
      <w:r>
        <w:rPr>
          <w:rStyle w:val="FootnoteReference"/>
          <w:rFonts w:eastAsia="Times New Roman"/>
          <w:snapToGrid w:val="0"/>
          <w:spacing w:val="-3"/>
        </w:rPr>
        <w:footnoteReference w:id="30"/>
      </w:r>
    </w:p>
    <w:p w:rsidR="00700056" w:rsidP="001C0CE1">
      <w:pPr>
        <w:spacing w:after="0" w:line="480" w:lineRule="auto"/>
        <w:ind w:firstLine="720"/>
        <w:rPr>
          <w:rFonts w:eastAsia="Times New Roman"/>
        </w:rPr>
      </w:pPr>
      <w:r w:rsidRPr="001C0CE1">
        <w:rPr>
          <w:rFonts w:eastAsia="Times New Roman"/>
        </w:rPr>
        <w:t xml:space="preserve">Discovery is a necessary part of the analysis that OCC must undertake in order to evaluate the </w:t>
      </w:r>
      <w:r>
        <w:rPr>
          <w:rFonts w:eastAsia="Times New Roman"/>
        </w:rPr>
        <w:t>effect of the Marketers’</w:t>
      </w:r>
      <w:r w:rsidRPr="001C0CE1">
        <w:rPr>
          <w:rFonts w:eastAsia="Times New Roman"/>
        </w:rPr>
        <w:t xml:space="preserve"> </w:t>
      </w:r>
      <w:r>
        <w:rPr>
          <w:rFonts w:eastAsia="Times New Roman"/>
        </w:rPr>
        <w:t>waiver a</w:t>
      </w:r>
      <w:r w:rsidRPr="001C0CE1">
        <w:rPr>
          <w:rFonts w:eastAsia="Times New Roman"/>
        </w:rPr>
        <w:t>pplication</w:t>
      </w:r>
      <w:r>
        <w:rPr>
          <w:rFonts w:eastAsia="Times New Roman"/>
        </w:rPr>
        <w:t xml:space="preserve"> on consumers</w:t>
      </w:r>
      <w:r w:rsidR="00E7416B">
        <w:rPr>
          <w:rFonts w:eastAsia="Times New Roman"/>
        </w:rPr>
        <w:t xml:space="preserve">.  Discovery is </w:t>
      </w:r>
      <w:r w:rsidRPr="001C0CE1">
        <w:rPr>
          <w:rFonts w:eastAsia="Times New Roman"/>
        </w:rPr>
        <w:t xml:space="preserve">especially </w:t>
      </w:r>
      <w:r w:rsidR="00E7416B">
        <w:rPr>
          <w:rFonts w:eastAsia="Times New Roman"/>
        </w:rPr>
        <w:t xml:space="preserve">needed in this case </w:t>
      </w:r>
      <w:r w:rsidRPr="001C0CE1">
        <w:rPr>
          <w:rFonts w:eastAsia="Times New Roman"/>
        </w:rPr>
        <w:t>because of the lack of information, explanation</w:t>
      </w:r>
      <w:r>
        <w:rPr>
          <w:rFonts w:eastAsia="Times New Roman"/>
        </w:rPr>
        <w:t>,</w:t>
      </w:r>
      <w:r w:rsidRPr="001C0CE1">
        <w:rPr>
          <w:rFonts w:eastAsia="Times New Roman"/>
        </w:rPr>
        <w:t xml:space="preserve"> or supporting data in the </w:t>
      </w:r>
      <w:r>
        <w:rPr>
          <w:rFonts w:eastAsia="Times New Roman"/>
        </w:rPr>
        <w:t>a</w:t>
      </w:r>
      <w:r w:rsidRPr="001C0CE1">
        <w:rPr>
          <w:rFonts w:eastAsia="Times New Roman"/>
        </w:rPr>
        <w:t xml:space="preserve">pplication.  </w:t>
      </w:r>
      <w:r w:rsidR="0020690F">
        <w:rPr>
          <w:rFonts w:eastAsia="Times New Roman"/>
        </w:rPr>
        <w:t>The Marketers claim that they incur extra costs associated</w:t>
      </w:r>
      <w:r w:rsidR="00E7416B">
        <w:rPr>
          <w:rFonts w:eastAsia="Times New Roman"/>
        </w:rPr>
        <w:t xml:space="preserve"> with third-party verification,</w:t>
      </w:r>
      <w:r>
        <w:rPr>
          <w:rStyle w:val="FootnoteReference"/>
          <w:rFonts w:eastAsia="Times New Roman"/>
        </w:rPr>
        <w:footnoteReference w:id="31"/>
      </w:r>
      <w:r w:rsidR="00E7416B">
        <w:rPr>
          <w:rFonts w:eastAsia="Times New Roman"/>
        </w:rPr>
        <w:t xml:space="preserve"> </w:t>
      </w:r>
      <w:r w:rsidR="0020690F">
        <w:rPr>
          <w:rFonts w:eastAsia="Times New Roman"/>
        </w:rPr>
        <w:t>but do not quantify those costs.  They also assert that the rule has resulted in consumer complaints,</w:t>
      </w:r>
      <w:r>
        <w:rPr>
          <w:rStyle w:val="FootnoteReference"/>
          <w:rFonts w:eastAsia="Times New Roman"/>
        </w:rPr>
        <w:footnoteReference w:id="32"/>
      </w:r>
      <w:r w:rsidR="0020690F">
        <w:rPr>
          <w:rFonts w:eastAsia="Times New Roman"/>
        </w:rPr>
        <w:t xml:space="preserve"> but do not provide information regarding the number of consumer complaints.  In addition, they assert that some consumers have terminated the enrollment process because of the rule,</w:t>
      </w:r>
      <w:r>
        <w:rPr>
          <w:rStyle w:val="FootnoteReference"/>
          <w:rFonts w:eastAsia="Times New Roman"/>
        </w:rPr>
        <w:footnoteReference w:id="33"/>
      </w:r>
      <w:r w:rsidR="0020690F">
        <w:rPr>
          <w:rFonts w:eastAsia="Times New Roman"/>
        </w:rPr>
        <w:t xml:space="preserve"> but do not quantify the rule’s effect on their sales.  </w:t>
      </w:r>
    </w:p>
    <w:p w:rsidR="0020690F" w:rsidP="001C0CE1">
      <w:pPr>
        <w:spacing w:after="0" w:line="480" w:lineRule="auto"/>
        <w:ind w:firstLine="720"/>
        <w:rPr>
          <w:rFonts w:eastAsia="Times New Roman"/>
        </w:rPr>
      </w:pPr>
      <w:r>
        <w:rPr>
          <w:rFonts w:eastAsia="Times New Roman"/>
        </w:rPr>
        <w:t>This information is important for the PUCO to determine whether complying with the rule is sufficiently burdensome on the Marketers to grant the application.  The Marketers have the burden of proof in this case and</w:t>
      </w:r>
      <w:r>
        <w:rPr>
          <w:rFonts w:eastAsia="Times New Roman"/>
        </w:rPr>
        <w:t xml:space="preserve"> should </w:t>
      </w:r>
      <w:r>
        <w:rPr>
          <w:rFonts w:eastAsia="Times New Roman"/>
        </w:rPr>
        <w:t xml:space="preserve">have included this information </w:t>
      </w:r>
      <w:r>
        <w:rPr>
          <w:rFonts w:eastAsia="Times New Roman"/>
        </w:rPr>
        <w:t>in the record of this case</w:t>
      </w:r>
      <w:r>
        <w:rPr>
          <w:rFonts w:eastAsia="Times New Roman"/>
        </w:rPr>
        <w:t xml:space="preserve">.  They did not. </w:t>
      </w:r>
      <w:r>
        <w:rPr>
          <w:rFonts w:eastAsia="Times New Roman"/>
        </w:rPr>
        <w:t xml:space="preserve"> OCC’s discovery delves into these issues.</w:t>
      </w:r>
      <w:r>
        <w:rPr>
          <w:rStyle w:val="FootnoteReference"/>
          <w:rFonts w:eastAsia="Times New Roman"/>
        </w:rPr>
        <w:footnoteReference w:id="34"/>
      </w:r>
    </w:p>
    <w:p w:rsidR="00F717F0" w:rsidRPr="001C0CE1" w:rsidP="001C0CE1">
      <w:pPr>
        <w:spacing w:after="0" w:line="480" w:lineRule="auto"/>
        <w:ind w:firstLine="720"/>
      </w:pPr>
      <w:r w:rsidRPr="001C0CE1">
        <w:rPr>
          <w:rFonts w:eastAsia="Times New Roman"/>
        </w:rPr>
        <w:t xml:space="preserve">Discovery is a very important part of the PUCO’s regulatory process, </w:t>
      </w:r>
      <w:r w:rsidR="00E7416B">
        <w:rPr>
          <w:rFonts w:eastAsia="Times New Roman"/>
        </w:rPr>
        <w:t>especially</w:t>
      </w:r>
      <w:r w:rsidRPr="001C0CE1">
        <w:rPr>
          <w:rFonts w:eastAsia="Times New Roman"/>
        </w:rPr>
        <w:t xml:space="preserve"> in this case where </w:t>
      </w:r>
      <w:r w:rsidR="0020690F">
        <w:rPr>
          <w:rFonts w:eastAsia="Times New Roman"/>
        </w:rPr>
        <w:t xml:space="preserve">the Marketers seek to avoid </w:t>
      </w:r>
      <w:r w:rsidR="00E7416B">
        <w:rPr>
          <w:rFonts w:eastAsia="Times New Roman"/>
        </w:rPr>
        <w:t xml:space="preserve">complying with </w:t>
      </w:r>
      <w:r w:rsidR="0020690F">
        <w:rPr>
          <w:rFonts w:eastAsia="Times New Roman"/>
        </w:rPr>
        <w:t>an important consumer protection</w:t>
      </w:r>
      <w:r w:rsidRPr="001C0CE1">
        <w:rPr>
          <w:rFonts w:eastAsia="Times New Roman"/>
        </w:rPr>
        <w:t xml:space="preserve">.  </w:t>
      </w:r>
      <w:r w:rsidRPr="001C0CE1">
        <w:rPr>
          <w:rFonts w:eastAsia="Times New Roman"/>
          <w:szCs w:val="20"/>
        </w:rPr>
        <w:t xml:space="preserve">Rather than </w:t>
      </w:r>
      <w:r w:rsidR="0020690F">
        <w:rPr>
          <w:rFonts w:eastAsia="Times New Roman"/>
          <w:szCs w:val="20"/>
        </w:rPr>
        <w:t>s</w:t>
      </w:r>
      <w:r w:rsidRPr="001C0CE1">
        <w:rPr>
          <w:rFonts w:eastAsia="Times New Roman"/>
          <w:szCs w:val="20"/>
        </w:rPr>
        <w:t xml:space="preserve">tay discovery, the </w:t>
      </w:r>
      <w:r w:rsidR="0020690F">
        <w:rPr>
          <w:rFonts w:eastAsia="Times New Roman"/>
          <w:szCs w:val="20"/>
        </w:rPr>
        <w:t>PUCO</w:t>
      </w:r>
      <w:r w:rsidRPr="001C0CE1">
        <w:rPr>
          <w:rFonts w:eastAsia="Times New Roman"/>
          <w:szCs w:val="20"/>
        </w:rPr>
        <w:t xml:space="preserve"> should order </w:t>
      </w:r>
      <w:r w:rsidR="0020690F">
        <w:rPr>
          <w:rFonts w:eastAsia="Times New Roman"/>
          <w:szCs w:val="20"/>
        </w:rPr>
        <w:t>the Marketers</w:t>
      </w:r>
      <w:r w:rsidRPr="001C0CE1">
        <w:rPr>
          <w:rFonts w:eastAsia="Times New Roman"/>
          <w:szCs w:val="20"/>
        </w:rPr>
        <w:t xml:space="preserve"> to provide immediate responses to OCC’s interrogatories and the requests for production of documents.</w:t>
      </w:r>
      <w:r w:rsidR="00B17BB7">
        <w:rPr>
          <w:rFonts w:eastAsia="Times New Roman"/>
          <w:szCs w:val="20"/>
        </w:rPr>
        <w:t xml:space="preserve">  This will </w:t>
      </w:r>
      <w:r w:rsidRPr="00722C8D" w:rsidR="00B17BB7">
        <w:t>aid parties in prepar</w:t>
      </w:r>
      <w:r w:rsidR="00B17BB7">
        <w:t xml:space="preserve">ing </w:t>
      </w:r>
      <w:r w:rsidRPr="00722C8D" w:rsidR="00B17BB7">
        <w:t>their comments and reply comments</w:t>
      </w:r>
      <w:r w:rsidR="00B17BB7">
        <w:t>,</w:t>
      </w:r>
      <w:r w:rsidRPr="00722C8D" w:rsidR="00B17BB7">
        <w:t xml:space="preserve"> and, ultimately, </w:t>
      </w:r>
      <w:r w:rsidR="00B17BB7">
        <w:t xml:space="preserve">will </w:t>
      </w:r>
      <w:r w:rsidRPr="00722C8D" w:rsidR="00B17BB7">
        <w:t>better inform the Commission's review of the application.</w:t>
      </w:r>
    </w:p>
    <w:p w:rsidR="00214DB5" w:rsidRPr="006D121C" w:rsidP="00436296">
      <w:pPr>
        <w:keepNext/>
        <w:spacing w:after="240" w:line="240" w:lineRule="auto"/>
        <w:ind w:left="1440" w:right="720" w:hanging="720"/>
        <w:rPr>
          <w:b/>
        </w:rPr>
      </w:pPr>
      <w:r>
        <w:rPr>
          <w:b/>
        </w:rPr>
        <w:t>C</w:t>
      </w:r>
      <w:r>
        <w:rPr>
          <w:b/>
        </w:rPr>
        <w:t>.</w:t>
      </w:r>
      <w:r>
        <w:rPr>
          <w:b/>
        </w:rPr>
        <w:tab/>
        <w:t>The Marketers</w:t>
      </w:r>
      <w:r w:rsidR="000B0E5E">
        <w:rPr>
          <w:b/>
        </w:rPr>
        <w:t xml:space="preserve"> have </w:t>
      </w:r>
      <w:r>
        <w:rPr>
          <w:b/>
        </w:rPr>
        <w:t>not show</w:t>
      </w:r>
      <w:r w:rsidR="000B0E5E">
        <w:rPr>
          <w:b/>
        </w:rPr>
        <w:t>n</w:t>
      </w:r>
      <w:r>
        <w:rPr>
          <w:b/>
        </w:rPr>
        <w:t xml:space="preserve"> that the</w:t>
      </w:r>
      <w:r w:rsidR="000B0E5E">
        <w:rPr>
          <w:b/>
        </w:rPr>
        <w:t>y</w:t>
      </w:r>
      <w:r>
        <w:rPr>
          <w:b/>
        </w:rPr>
        <w:t xml:space="preserve"> have </w:t>
      </w:r>
      <w:r w:rsidRPr="006D121C">
        <w:rPr>
          <w:b/>
        </w:rPr>
        <w:t xml:space="preserve">exhausted all other reasonable means of resolving any differences with </w:t>
      </w:r>
      <w:r w:rsidR="0092724A">
        <w:rPr>
          <w:b/>
        </w:rPr>
        <w:t>OCC regarding the</w:t>
      </w:r>
      <w:r w:rsidRPr="006D121C">
        <w:rPr>
          <w:b/>
        </w:rPr>
        <w:t xml:space="preserve"> discovery</w:t>
      </w:r>
      <w:r w:rsidR="00882FD5">
        <w:rPr>
          <w:b/>
        </w:rPr>
        <w:t>, and thus have not met the PUCO’s standard for protective orders</w:t>
      </w:r>
      <w:r>
        <w:rPr>
          <w:b/>
        </w:rPr>
        <w:t>.</w:t>
      </w:r>
    </w:p>
    <w:p w:rsidR="00F22ECF" w:rsidP="00214DB5">
      <w:pPr>
        <w:spacing w:after="0" w:line="480" w:lineRule="auto"/>
        <w:ind w:firstLine="720"/>
      </w:pPr>
      <w:r>
        <w:t>The Marketers’</w:t>
      </w:r>
      <w:r w:rsidR="00214DB5">
        <w:t xml:space="preserve"> “efforts” to resolve the differences regarding discovery are inadequate under the PUCO’s rules.  The PUCO’s discovery rules are intended to minimize </w:t>
      </w:r>
      <w:r w:rsidR="00EB4B98">
        <w:t>PUCO</w:t>
      </w:r>
      <w:r w:rsidR="00214DB5">
        <w:t xml:space="preserve"> intervention in the discovery process.</w:t>
      </w:r>
      <w:r>
        <w:rPr>
          <w:rStyle w:val="FootnoteReference"/>
        </w:rPr>
        <w:footnoteReference w:id="35"/>
      </w:r>
      <w:r w:rsidR="00214DB5">
        <w:t xml:space="preserve">  This means that the party seeking protection must exhaust </w:t>
      </w:r>
      <w:r w:rsidRPr="00EB4B98" w:rsidR="00214DB5">
        <w:rPr>
          <w:i/>
        </w:rPr>
        <w:t xml:space="preserve">all other </w:t>
      </w:r>
      <w:r w:rsidR="00214DB5">
        <w:t xml:space="preserve">reasonable means of resolving any differences with the party seeking discovery </w:t>
      </w:r>
      <w:r w:rsidR="00214DB5">
        <w:rPr>
          <w:i/>
        </w:rPr>
        <w:t>before</w:t>
      </w:r>
      <w:r w:rsidR="00214DB5">
        <w:t xml:space="preserve"> filing a motion for protection.  </w:t>
      </w:r>
      <w:r>
        <w:t>The Marketers</w:t>
      </w:r>
      <w:r w:rsidRPr="00DC4523">
        <w:t xml:space="preserve"> </w:t>
      </w:r>
      <w:r>
        <w:t>failed to follow the PUCO’s rules and, thus, their motion does not satisfy these PUCO requirements.</w:t>
      </w:r>
    </w:p>
    <w:p w:rsidR="001174C0" w:rsidP="00214DB5">
      <w:pPr>
        <w:spacing w:after="0" w:line="480" w:lineRule="auto"/>
        <w:ind w:firstLine="720"/>
      </w:pPr>
      <w:r>
        <w:t xml:space="preserve">OCC served discovery </w:t>
      </w:r>
      <w:r w:rsidR="00252E99">
        <w:t>on</w:t>
      </w:r>
      <w:r>
        <w:t xml:space="preserve"> the Marketers on December 29, 2017</w:t>
      </w:r>
      <w:r w:rsidR="00B30D72">
        <w:t xml:space="preserve">. </w:t>
      </w:r>
      <w:r>
        <w:t xml:space="preserve"> </w:t>
      </w:r>
      <w:r w:rsidR="00B30D72">
        <w:t xml:space="preserve">Under Ohio Adm. Code 4901-1-19(A) the Marketers were required to respond within 20 days.  So, the Marketers’ responses to OCC’s discovery were due on January 18, 2018.  But </w:t>
      </w:r>
      <w:r w:rsidR="00FC7A4B">
        <w:t xml:space="preserve">none of </w:t>
      </w:r>
      <w:r w:rsidR="00B30D72">
        <w:t>the Marketers attempt</w:t>
      </w:r>
      <w:r w:rsidR="00FC7A4B">
        <w:t>ed</w:t>
      </w:r>
      <w:r w:rsidR="00B30D72">
        <w:t xml:space="preserve"> to contact OCC about the discovery issue until January 16, 2018 – just two days before their responses were due.  </w:t>
      </w:r>
      <w:r w:rsidR="00EB4B98">
        <w:t>The initial contact was by telephone</w:t>
      </w:r>
      <w:r>
        <w:t xml:space="preserve">, when counsel for one of the Marketers left a voice mail message with OCC’s counsel. OCC received no emails from </w:t>
      </w:r>
      <w:r w:rsidR="00FC7A4B">
        <w:t xml:space="preserve">any of </w:t>
      </w:r>
      <w:r>
        <w:t xml:space="preserve">the Marketers concerning </w:t>
      </w:r>
      <w:r w:rsidR="00FC7A4B">
        <w:t>an</w:t>
      </w:r>
      <w:r>
        <w:t xml:space="preserve"> issue with OCC’s discovery.  </w:t>
      </w:r>
    </w:p>
    <w:p w:rsidR="00B30D72" w:rsidP="00214DB5">
      <w:pPr>
        <w:spacing w:after="0" w:line="480" w:lineRule="auto"/>
        <w:ind w:firstLine="720"/>
      </w:pPr>
      <w:r>
        <w:t>A</w:t>
      </w:r>
      <w:r>
        <w:t xml:space="preserve"> series of voice mail messages ensued, and it was not until the next day, January 17, that counsel for the Marketers discussed the discovery issue with OCC’s counsel.</w:t>
      </w:r>
      <w:r>
        <w:rPr>
          <w:rStyle w:val="FootnoteReference"/>
        </w:rPr>
        <w:footnoteReference w:id="36"/>
      </w:r>
      <w:r>
        <w:t xml:space="preserve">  This was the first time that OCC became aware of the Marketers’ position that “discovery is premature at this juncture.”</w:t>
      </w:r>
      <w:r>
        <w:rPr>
          <w:rStyle w:val="FootnoteReference"/>
        </w:rPr>
        <w:footnoteReference w:id="37"/>
      </w:r>
    </w:p>
    <w:p w:rsidR="005D54E8" w:rsidP="005D54E8">
      <w:pPr>
        <w:spacing w:after="0" w:line="480" w:lineRule="auto"/>
        <w:ind w:firstLine="720"/>
      </w:pPr>
      <w:r>
        <w:t>Even then, the Marketers’</w:t>
      </w:r>
      <w:r w:rsidR="00214DB5">
        <w:t xml:space="preserve"> attempt to satisfy the requirement was to ask OCC to agree to a complete halt of discovery.</w:t>
      </w:r>
      <w:r>
        <w:rPr>
          <w:rStyle w:val="FootnoteReference"/>
        </w:rPr>
        <w:footnoteReference w:id="38"/>
      </w:r>
      <w:r w:rsidR="00214DB5">
        <w:t xml:space="preserve">  </w:t>
      </w:r>
      <w:r>
        <w:t xml:space="preserve">When OCC declined the suggestion, the Marketers filed their motion the same day.  </w:t>
      </w:r>
      <w:r w:rsidR="001174C0">
        <w:t xml:space="preserve">The Marketers offered no alternatives, such </w:t>
      </w:r>
      <w:r w:rsidR="00B31170">
        <w:t xml:space="preserve">as </w:t>
      </w:r>
      <w:r w:rsidR="00214DB5">
        <w:t>extend</w:t>
      </w:r>
      <w:r w:rsidR="001174C0">
        <w:t>ing</w:t>
      </w:r>
      <w:r w:rsidR="00214DB5">
        <w:t xml:space="preserve"> the response time for discovery served or consider</w:t>
      </w:r>
      <w:r w:rsidR="001174C0">
        <w:t>ing</w:t>
      </w:r>
      <w:r w:rsidR="00214DB5">
        <w:t xml:space="preserve"> </w:t>
      </w:r>
      <w:r w:rsidR="001174C0">
        <w:t>an</w:t>
      </w:r>
      <w:r w:rsidR="00214DB5">
        <w:t>other resolution or compromise.  Th</w:t>
      </w:r>
      <w:r>
        <w:t>eir</w:t>
      </w:r>
      <w:r w:rsidR="00214DB5">
        <w:t xml:space="preserve"> </w:t>
      </w:r>
      <w:r>
        <w:t xml:space="preserve">“take it or leave it” offer </w:t>
      </w:r>
      <w:r w:rsidR="001174C0">
        <w:t xml:space="preserve">to halt discovery </w:t>
      </w:r>
      <w:r w:rsidR="00214DB5">
        <w:t>is hardly an effort to exhaust all other reasonable means of resolving differences over discovery.</w:t>
      </w:r>
      <w:r w:rsidR="00E7416B">
        <w:t xml:space="preserve">  </w:t>
      </w:r>
    </w:p>
    <w:p w:rsidR="00214DB5" w:rsidP="00214DB5">
      <w:pPr>
        <w:spacing w:after="0" w:line="480" w:lineRule="auto"/>
        <w:ind w:firstLine="720"/>
      </w:pPr>
      <w:r>
        <w:t xml:space="preserve">The Marketers discussed the issue of discovery just once with OCC – in a very brief conversation held the day the Marketers filed their motion (which was the day before discovery responses were due).  </w:t>
      </w:r>
      <w:r>
        <w:t xml:space="preserve">The PUCO should not issue a protective order based on </w:t>
      </w:r>
      <w:r w:rsidR="001174C0">
        <w:t xml:space="preserve">such </w:t>
      </w:r>
      <w:r>
        <w:t>inadequate efforts to resolve</w:t>
      </w:r>
      <w:r w:rsidR="00792B13">
        <w:t xml:space="preserve"> discovery issues</w:t>
      </w:r>
      <w:r>
        <w:t xml:space="preserve">.  The PUCO should deny </w:t>
      </w:r>
      <w:r w:rsidR="00C53C06">
        <w:t>the Marketers’</w:t>
      </w:r>
      <w:r>
        <w:t xml:space="preserve"> </w:t>
      </w:r>
      <w:r w:rsidR="00C53C06">
        <w:t>m</w:t>
      </w:r>
      <w:r>
        <w:t>otion.</w:t>
      </w:r>
    </w:p>
    <w:p w:rsidR="00CB335A" w:rsidRPr="00CB335A" w:rsidP="00252E99">
      <w:pPr>
        <w:keepNext/>
        <w:spacing w:before="240" w:after="0" w:line="480" w:lineRule="auto"/>
        <w:rPr>
          <w:rFonts w:eastAsia="Calibri"/>
          <w:b/>
          <w:szCs w:val="22"/>
        </w:rPr>
      </w:pPr>
      <w:r>
        <w:rPr>
          <w:rFonts w:eastAsia="Calibri"/>
          <w:b/>
          <w:szCs w:val="22"/>
        </w:rPr>
        <w:t>I</w:t>
      </w:r>
      <w:r w:rsidR="00424FD6">
        <w:rPr>
          <w:rFonts w:eastAsia="Calibri"/>
          <w:b/>
          <w:szCs w:val="22"/>
        </w:rPr>
        <w:t>V</w:t>
      </w:r>
      <w:r>
        <w:rPr>
          <w:rFonts w:eastAsia="Calibri"/>
          <w:b/>
          <w:szCs w:val="22"/>
        </w:rPr>
        <w:t>.</w:t>
      </w:r>
      <w:r>
        <w:rPr>
          <w:rFonts w:eastAsia="Calibri"/>
          <w:b/>
          <w:szCs w:val="22"/>
        </w:rPr>
        <w:tab/>
        <w:t>CONCLUSION</w:t>
      </w:r>
    </w:p>
    <w:p w:rsidR="00CB335A" w:rsidP="00A56338">
      <w:pPr>
        <w:spacing w:after="0" w:line="480" w:lineRule="auto"/>
        <w:ind w:firstLine="720"/>
        <w:rPr>
          <w:rFonts w:eastAsia="Calibri"/>
          <w:szCs w:val="22"/>
        </w:rPr>
      </w:pPr>
      <w:r>
        <w:rPr>
          <w:rFonts w:eastAsia="Calibri"/>
          <w:szCs w:val="22"/>
        </w:rPr>
        <w:t xml:space="preserve">OCC is entitled to ample rights of discovery on behalf of consumers in this case.  The Marketers attempt to unreasonably and unlawfully limit OCC’s discovery rights.  Their motion is contrary to </w:t>
      </w:r>
      <w:r w:rsidR="00921578">
        <w:rPr>
          <w:rFonts w:eastAsia="Calibri"/>
          <w:szCs w:val="22"/>
        </w:rPr>
        <w:t xml:space="preserve">Ohio law, </w:t>
      </w:r>
      <w:r>
        <w:rPr>
          <w:rFonts w:eastAsia="Calibri"/>
          <w:szCs w:val="22"/>
        </w:rPr>
        <w:t>PUCO</w:t>
      </w:r>
      <w:r w:rsidR="00921578">
        <w:rPr>
          <w:rFonts w:eastAsia="Calibri"/>
          <w:szCs w:val="22"/>
        </w:rPr>
        <w:t xml:space="preserve"> rules, and precedent from the Supreme Court of Ohio and the PUCO.  In addition, </w:t>
      </w:r>
      <w:r w:rsidR="00921578">
        <w:rPr>
          <w:color w:val="373739"/>
        </w:rPr>
        <w:t>the Marketers</w:t>
      </w:r>
      <w:r>
        <w:rPr>
          <w:color w:val="373739"/>
        </w:rPr>
        <w:t xml:space="preserve"> have not exhausted all reasonable means for resolving their discovery dispute with OCC.  The Marketers do not meet the PUCO’s standard for a motion for a protective order. </w:t>
      </w:r>
      <w:r w:rsidR="00A24CE6">
        <w:rPr>
          <w:rFonts w:eastAsia="Calibri"/>
          <w:szCs w:val="22"/>
        </w:rPr>
        <w:t xml:space="preserve"> </w:t>
      </w:r>
      <w:r w:rsidR="00451414">
        <w:rPr>
          <w:rFonts w:eastAsia="Calibri"/>
          <w:szCs w:val="22"/>
        </w:rPr>
        <w:t xml:space="preserve">To protect consumers, </w:t>
      </w:r>
      <w:r w:rsidR="00B17BB7">
        <w:rPr>
          <w:rFonts w:eastAsia="Calibri"/>
          <w:szCs w:val="22"/>
        </w:rPr>
        <w:t xml:space="preserve">and to better inform the PUCO's review of the application, </w:t>
      </w:r>
      <w:r w:rsidR="00451414">
        <w:rPr>
          <w:rFonts w:eastAsia="Calibri"/>
          <w:szCs w:val="22"/>
        </w:rPr>
        <w:t xml:space="preserve">the PUCO should </w:t>
      </w:r>
      <w:r>
        <w:rPr>
          <w:rFonts w:eastAsia="Calibri"/>
          <w:szCs w:val="22"/>
        </w:rPr>
        <w:t>deny their m</w:t>
      </w:r>
      <w:r w:rsidR="00451414">
        <w:rPr>
          <w:rFonts w:eastAsia="Calibri"/>
          <w:szCs w:val="22"/>
        </w:rPr>
        <w:t>otion</w:t>
      </w:r>
      <w:r>
        <w:rPr>
          <w:rFonts w:eastAsia="Calibri"/>
          <w:szCs w:val="22"/>
        </w:rPr>
        <w:t xml:space="preserve"> and order them to </w:t>
      </w:r>
      <w:r w:rsidR="004777B4">
        <w:rPr>
          <w:rFonts w:eastAsia="Calibri"/>
          <w:szCs w:val="22"/>
        </w:rPr>
        <w:t>respond to OCC’s discovery immediately</w:t>
      </w:r>
      <w:r w:rsidR="00F03805">
        <w:rPr>
          <w:rFonts w:eastAsia="Calibri"/>
          <w:szCs w:val="22"/>
        </w:rPr>
        <w:t>.</w:t>
      </w:r>
    </w:p>
    <w:p w:rsidR="00436296" w:rsidP="00A56338">
      <w:pPr>
        <w:spacing w:after="0" w:line="480" w:lineRule="auto"/>
        <w:ind w:firstLine="720"/>
        <w:rPr>
          <w:rFonts w:eastAsia="Calibri"/>
          <w:szCs w:val="22"/>
        </w:rPr>
      </w:pPr>
    </w:p>
    <w:p w:rsidR="005269CC" w:rsidRPr="00104013" w:rsidP="00630094">
      <w:pPr>
        <w:ind w:left="3600" w:firstLine="720"/>
      </w:pPr>
      <w:r w:rsidRPr="00104013">
        <w:t>Respectfully submitted,</w:t>
      </w:r>
    </w:p>
    <w:p w:rsidR="005269CC" w:rsidRPr="00104013" w:rsidP="00630094">
      <w:pPr>
        <w:pStyle w:val="Footer"/>
        <w:tabs>
          <w:tab w:val="left" w:pos="4320"/>
        </w:tabs>
        <w:ind w:left="4320"/>
      </w:pPr>
      <w:r w:rsidRPr="00104013">
        <w:t>BRUCE WESTON</w:t>
      </w:r>
      <w:r w:rsidRPr="00104013" w:rsidR="000A491C">
        <w:t xml:space="preserve"> (0016973)</w:t>
      </w:r>
    </w:p>
    <w:p w:rsidR="005269CC" w:rsidRPr="00104013" w:rsidP="00630094">
      <w:pPr>
        <w:pStyle w:val="Footer"/>
        <w:tabs>
          <w:tab w:val="left" w:pos="4320"/>
        </w:tabs>
        <w:spacing w:after="120"/>
        <w:ind w:left="4320"/>
      </w:pPr>
      <w:r w:rsidRPr="00104013">
        <w:t>OHIO CONSUMERS’ COUNSEL</w:t>
      </w:r>
    </w:p>
    <w:p w:rsidR="0037013A" w:rsidP="00630094">
      <w:pPr>
        <w:tabs>
          <w:tab w:val="left" w:pos="4320"/>
        </w:tabs>
        <w:spacing w:after="0"/>
        <w:ind w:left="4320"/>
        <w:rPr>
          <w:u w:val="single"/>
        </w:rPr>
      </w:pPr>
      <w:r>
        <w:rPr>
          <w:i/>
          <w:u w:val="single"/>
        </w:rPr>
        <w:t>/s/ Terry L. Etter</w:t>
      </w:r>
      <w:r w:rsidR="00436296">
        <w:rPr>
          <w:u w:val="single"/>
        </w:rPr>
        <w:t>      </w:t>
      </w:r>
      <w:r w:rsidRPr="00104013" w:rsidR="005269CC">
        <w:rPr>
          <w:u w:val="single"/>
        </w:rPr>
        <w:t>       </w:t>
      </w:r>
    </w:p>
    <w:p w:rsidR="005269CC" w:rsidRPr="00104013" w:rsidP="00630094">
      <w:pPr>
        <w:tabs>
          <w:tab w:val="left" w:pos="4320"/>
        </w:tabs>
        <w:spacing w:after="0"/>
        <w:ind w:left="4320"/>
      </w:pPr>
      <w:r w:rsidRPr="00104013">
        <w:t xml:space="preserve">Terry </w:t>
      </w:r>
      <w:r w:rsidR="00322013">
        <w:t xml:space="preserve">L. </w:t>
      </w:r>
      <w:r w:rsidRPr="00104013">
        <w:t>Etter</w:t>
      </w:r>
      <w:r w:rsidR="00C9186D">
        <w:t xml:space="preserve"> </w:t>
      </w:r>
      <w:r w:rsidRPr="00104013" w:rsidR="00C9186D">
        <w:t>(00</w:t>
      </w:r>
      <w:r w:rsidR="00C9186D">
        <w:t>67445</w:t>
      </w:r>
      <w:r w:rsidRPr="00104013" w:rsidR="00C9186D">
        <w:t>)</w:t>
      </w:r>
      <w:r w:rsidRPr="00104013">
        <w:t xml:space="preserve">, Counsel of Record </w:t>
      </w:r>
    </w:p>
    <w:p w:rsidR="005269CC" w:rsidRPr="00104013" w:rsidP="00630094">
      <w:pPr>
        <w:tabs>
          <w:tab w:val="left" w:pos="4320"/>
        </w:tabs>
        <w:spacing w:after="0"/>
        <w:ind w:left="4320"/>
      </w:pPr>
      <w:r w:rsidRPr="00104013">
        <w:t>Assistant Consumers’ Counsel</w:t>
      </w:r>
    </w:p>
    <w:p w:rsidR="005269CC" w:rsidRPr="00104013" w:rsidP="00630094">
      <w:pPr>
        <w:pStyle w:val="Heading1"/>
        <w:spacing w:before="0" w:after="0"/>
        <w:ind w:left="4320"/>
        <w:rPr>
          <w:rFonts w:ascii="Times New Roman" w:hAnsi="Times New Roman"/>
          <w:sz w:val="24"/>
          <w:szCs w:val="24"/>
        </w:rPr>
      </w:pPr>
      <w:r w:rsidRPr="00104013">
        <w:rPr>
          <w:rFonts w:ascii="Times New Roman" w:hAnsi="Times New Roman"/>
          <w:sz w:val="24"/>
          <w:szCs w:val="24"/>
        </w:rPr>
        <w:t>Office of the Ohio Consumers’ Counsel</w:t>
      </w:r>
    </w:p>
    <w:p w:rsidR="005269CC" w:rsidRPr="00104013" w:rsidP="00630094">
      <w:pPr>
        <w:pStyle w:val="Heading1"/>
        <w:spacing w:before="0" w:after="0"/>
        <w:ind w:left="4320"/>
        <w:rPr>
          <w:rFonts w:ascii="Times New Roman" w:hAnsi="Times New Roman"/>
          <w:b w:val="0"/>
          <w:sz w:val="24"/>
          <w:szCs w:val="24"/>
        </w:rPr>
      </w:pPr>
      <w:r>
        <w:rPr>
          <w:rFonts w:ascii="Times New Roman" w:hAnsi="Times New Roman"/>
          <w:b w:val="0"/>
          <w:sz w:val="24"/>
          <w:szCs w:val="24"/>
        </w:rPr>
        <w:t>65 East State</w:t>
      </w:r>
      <w:r w:rsidRPr="00104013">
        <w:rPr>
          <w:rFonts w:ascii="Times New Roman" w:hAnsi="Times New Roman"/>
          <w:b w:val="0"/>
          <w:sz w:val="24"/>
          <w:szCs w:val="24"/>
        </w:rPr>
        <w:t xml:space="preserve"> Street, </w:t>
      </w:r>
      <w:r>
        <w:rPr>
          <w:rFonts w:ascii="Times New Roman" w:hAnsi="Times New Roman"/>
          <w:b w:val="0"/>
          <w:sz w:val="24"/>
          <w:szCs w:val="24"/>
        </w:rPr>
        <w:t>7</w:t>
      </w:r>
      <w:r w:rsidRPr="00C53C06">
        <w:rPr>
          <w:rFonts w:ascii="Times New Roman" w:hAnsi="Times New Roman"/>
          <w:b w:val="0"/>
          <w:sz w:val="24"/>
          <w:szCs w:val="24"/>
          <w:vertAlign w:val="superscript"/>
        </w:rPr>
        <w:t>th</w:t>
      </w:r>
      <w:r>
        <w:rPr>
          <w:rFonts w:ascii="Times New Roman" w:hAnsi="Times New Roman"/>
          <w:b w:val="0"/>
          <w:sz w:val="24"/>
          <w:szCs w:val="24"/>
        </w:rPr>
        <w:t xml:space="preserve"> Floor</w:t>
      </w:r>
    </w:p>
    <w:p w:rsidR="005269CC" w:rsidRPr="00104013" w:rsidP="00630094">
      <w:pPr>
        <w:pStyle w:val="Heading1"/>
        <w:spacing w:before="0" w:after="0"/>
        <w:ind w:left="4320"/>
        <w:rPr>
          <w:rFonts w:ascii="Times New Roman" w:hAnsi="Times New Roman"/>
          <w:b w:val="0"/>
          <w:sz w:val="24"/>
          <w:szCs w:val="24"/>
        </w:rPr>
      </w:pPr>
      <w:r w:rsidRPr="00104013">
        <w:rPr>
          <w:rFonts w:ascii="Times New Roman" w:hAnsi="Times New Roman"/>
          <w:b w:val="0"/>
          <w:sz w:val="24"/>
          <w:szCs w:val="24"/>
        </w:rPr>
        <w:t>Columbus, Ohio 43215-</w:t>
      </w:r>
      <w:r w:rsidR="00C53C06">
        <w:rPr>
          <w:rFonts w:ascii="Times New Roman" w:hAnsi="Times New Roman"/>
          <w:b w:val="0"/>
          <w:sz w:val="24"/>
          <w:szCs w:val="24"/>
        </w:rPr>
        <w:t>4213</w:t>
      </w:r>
    </w:p>
    <w:p w:rsidR="005269CC" w:rsidRPr="00104013" w:rsidP="005A7B86">
      <w:pPr>
        <w:autoSpaceDE w:val="0"/>
        <w:autoSpaceDN w:val="0"/>
        <w:adjustRightInd w:val="0"/>
        <w:spacing w:after="0" w:line="240" w:lineRule="auto"/>
        <w:ind w:left="4320"/>
      </w:pPr>
      <w:r w:rsidRPr="00104013">
        <w:t>Telephone: (614) 466-</w:t>
      </w:r>
      <w:r w:rsidRPr="00104013" w:rsidR="001C5A39">
        <w:t>7964</w:t>
      </w:r>
      <w:r w:rsidRPr="00104013">
        <w:t xml:space="preserve"> (</w:t>
      </w:r>
      <w:r w:rsidRPr="00104013" w:rsidR="001C5A39">
        <w:t>Etter</w:t>
      </w:r>
      <w:r w:rsidRPr="00104013">
        <w:t xml:space="preserve"> direct)</w:t>
      </w:r>
    </w:p>
    <w:p w:rsidR="000F5424" w:rsidRPr="00104013" w:rsidP="00630094">
      <w:pPr>
        <w:tabs>
          <w:tab w:val="center" w:pos="4680"/>
          <w:tab w:val="right" w:pos="9360"/>
        </w:tabs>
        <w:spacing w:after="0" w:line="240" w:lineRule="auto"/>
        <w:ind w:firstLine="4320"/>
      </w:pPr>
      <w:r w:rsidRPr="00104013">
        <w:rPr>
          <w:rStyle w:val="Hyperlink"/>
        </w:rPr>
        <w:t>Terry.etter</w:t>
      </w:r>
      <w:r w:rsidRPr="00104013">
        <w:rPr>
          <w:rStyle w:val="Hyperlink"/>
        </w:rPr>
        <w:t>@occ.ohio.gov</w:t>
      </w:r>
    </w:p>
    <w:p w:rsidR="00766541" w:rsidRPr="00104013" w:rsidP="00630094">
      <w:pPr>
        <w:tabs>
          <w:tab w:val="center" w:pos="4680"/>
          <w:tab w:val="right" w:pos="9360"/>
        </w:tabs>
        <w:spacing w:after="0" w:line="240" w:lineRule="auto"/>
        <w:ind w:firstLine="4320"/>
      </w:pPr>
      <w:r w:rsidRPr="00104013">
        <w:t>(willing to accept service by e-mail)</w:t>
      </w:r>
    </w:p>
    <w:p w:rsidR="00766541" w:rsidRPr="00104013" w:rsidP="00630094">
      <w:pPr>
        <w:tabs>
          <w:tab w:val="center" w:pos="4680"/>
          <w:tab w:val="right" w:pos="9360"/>
        </w:tabs>
        <w:spacing w:after="0" w:line="240" w:lineRule="auto"/>
        <w:ind w:firstLine="4320"/>
        <w:rPr>
          <w:i/>
        </w:rPr>
      </w:pPr>
    </w:p>
    <w:p w:rsidR="00162B06" w:rsidRPr="00104013" w:rsidP="00162B06">
      <w:pPr>
        <w:tabs>
          <w:tab w:val="center" w:pos="4680"/>
          <w:tab w:val="right" w:pos="9360"/>
        </w:tabs>
        <w:spacing w:after="0" w:line="240" w:lineRule="auto"/>
        <w:ind w:firstLine="4320"/>
      </w:pPr>
    </w:p>
    <w:p w:rsidR="00A70DAB" w:rsidP="00A70DAB">
      <w:pPr>
        <w:spacing w:line="480" w:lineRule="auto"/>
        <w:ind w:left="3600" w:hanging="3600"/>
        <w:jc w:val="center"/>
        <w:sectPr w:rsidSect="007B27BA">
          <w:footerReference w:type="default" r:id="rId5"/>
          <w:pgSz w:w="12240" w:h="15840"/>
          <w:pgMar w:top="1440" w:right="1800" w:bottom="1440" w:left="1800" w:header="720" w:footer="720" w:gutter="0"/>
          <w:pgNumType w:start="1"/>
          <w:cols w:space="720"/>
          <w:noEndnote/>
          <w:titlePg/>
          <w:docGrid w:linePitch="326"/>
        </w:sectPr>
      </w:pPr>
    </w:p>
    <w:p w:rsidR="00A70DAB" w:rsidRPr="00A70DAB" w:rsidP="00A70DAB">
      <w:pPr>
        <w:spacing w:line="480" w:lineRule="auto"/>
        <w:ind w:left="3600" w:hanging="3600"/>
        <w:jc w:val="center"/>
        <w:rPr>
          <w:rFonts w:eastAsia="Times New Roman"/>
        </w:rPr>
      </w:pPr>
      <w:r w:rsidRPr="00A70DAB">
        <w:rPr>
          <w:rFonts w:eastAsia="Times New Roman"/>
          <w:b/>
        </w:rPr>
        <w:t>CERTIFICATE OF SERVICE</w:t>
      </w:r>
    </w:p>
    <w:p w:rsidR="00A70DAB" w:rsidRPr="00A70DAB" w:rsidP="00A70DAB">
      <w:pPr>
        <w:spacing w:after="0" w:line="480" w:lineRule="auto"/>
        <w:rPr>
          <w:rFonts w:eastAsia="Times New Roman"/>
        </w:rPr>
      </w:pPr>
      <w:r w:rsidRPr="00A70DAB">
        <w:rPr>
          <w:rFonts w:eastAsia="Times New Roman"/>
        </w:rPr>
        <w:tab/>
        <w:t>I hereby certify that a copy of the foregoing</w:t>
      </w:r>
      <w:r w:rsidRPr="00A70DAB">
        <w:rPr>
          <w:rFonts w:eastAsia="Times New Roman"/>
          <w:b/>
        </w:rPr>
        <w:t xml:space="preserve"> </w:t>
      </w:r>
      <w:r w:rsidRPr="00A70DAB">
        <w:rPr>
          <w:rFonts w:eastAsia="Times New Roman"/>
        </w:rPr>
        <w:t xml:space="preserve">Memorandum </w:t>
      </w:r>
      <w:r w:rsidR="00934343">
        <w:rPr>
          <w:rFonts w:eastAsia="Times New Roman"/>
        </w:rPr>
        <w:t xml:space="preserve">Contra was </w:t>
      </w:r>
      <w:r w:rsidRPr="00A70DAB">
        <w:rPr>
          <w:rFonts w:eastAsia="Times New Roman"/>
        </w:rPr>
        <w:t xml:space="preserve">served by electronic mail to the persons listed below, on this </w:t>
      </w:r>
      <w:r w:rsidR="00436296">
        <w:rPr>
          <w:rFonts w:eastAsia="Times New Roman"/>
        </w:rPr>
        <w:t>1</w:t>
      </w:r>
      <w:r w:rsidRPr="00436296" w:rsidR="00436296">
        <w:rPr>
          <w:rFonts w:eastAsia="Times New Roman"/>
          <w:vertAlign w:val="superscript"/>
        </w:rPr>
        <w:t>st</w:t>
      </w:r>
      <w:r w:rsidR="00436296">
        <w:rPr>
          <w:rFonts w:eastAsia="Times New Roman"/>
        </w:rPr>
        <w:t xml:space="preserve"> </w:t>
      </w:r>
      <w:r w:rsidRPr="00A70DAB">
        <w:rPr>
          <w:rFonts w:eastAsia="Times New Roman"/>
        </w:rPr>
        <w:t>day of</w:t>
      </w:r>
      <w:r w:rsidR="00934343">
        <w:rPr>
          <w:rFonts w:eastAsia="Times New Roman"/>
        </w:rPr>
        <w:t xml:space="preserve"> </w:t>
      </w:r>
      <w:r w:rsidR="00436296">
        <w:rPr>
          <w:rFonts w:eastAsia="Times New Roman"/>
        </w:rPr>
        <w:t>February</w:t>
      </w:r>
      <w:r w:rsidR="00C53C06">
        <w:rPr>
          <w:rFonts w:eastAsia="Times New Roman"/>
        </w:rPr>
        <w:t xml:space="preserve"> 2018</w:t>
      </w:r>
      <w:r w:rsidRPr="00A70DAB">
        <w:rPr>
          <w:rFonts w:eastAsia="Times New Roman"/>
        </w:rPr>
        <w:t xml:space="preserve">. </w:t>
      </w:r>
    </w:p>
    <w:p w:rsidR="00A70DAB" w:rsidRPr="00A70DAB" w:rsidP="00A70DAB">
      <w:pPr>
        <w:tabs>
          <w:tab w:val="left" w:pos="1440"/>
          <w:tab w:val="left" w:pos="2016"/>
        </w:tabs>
        <w:spacing w:after="0" w:line="480" w:lineRule="atLeast"/>
        <w:rPr>
          <w:rFonts w:eastAsia="Times New Roman"/>
        </w:rPr>
      </w:pPr>
    </w:p>
    <w:p w:rsidR="00D83141" w:rsidP="00D83141">
      <w:pPr>
        <w:tabs>
          <w:tab w:val="left" w:pos="4320"/>
        </w:tabs>
        <w:spacing w:after="0"/>
        <w:ind w:left="4320"/>
        <w:rPr>
          <w:u w:val="single"/>
        </w:rPr>
      </w:pPr>
      <w:r>
        <w:rPr>
          <w:i/>
          <w:u w:val="single"/>
        </w:rPr>
        <w:t>/s/ Terry L. Etter</w:t>
      </w:r>
      <w:r w:rsidR="00436296">
        <w:rPr>
          <w:u w:val="single"/>
        </w:rPr>
        <w:t>  </w:t>
      </w:r>
      <w:r w:rsidRPr="00104013">
        <w:rPr>
          <w:u w:val="single"/>
        </w:rPr>
        <w:t>          </w:t>
      </w:r>
    </w:p>
    <w:p w:rsidR="00A70DAB" w:rsidRPr="00A70DAB" w:rsidP="00A70DAB">
      <w:pPr>
        <w:tabs>
          <w:tab w:val="left" w:pos="4320"/>
        </w:tabs>
        <w:spacing w:after="0" w:line="240" w:lineRule="auto"/>
        <w:rPr>
          <w:rFonts w:eastAsia="Times New Roman"/>
        </w:rPr>
      </w:pPr>
      <w:r w:rsidRPr="00A70DAB">
        <w:rPr>
          <w:rFonts w:eastAsia="Times New Roman"/>
        </w:rPr>
        <w:tab/>
        <w:t>Terry L. Etter</w:t>
      </w:r>
    </w:p>
    <w:p w:rsidR="00A70DAB" w:rsidRPr="00A70DAB" w:rsidP="00A70DAB">
      <w:pPr>
        <w:tabs>
          <w:tab w:val="left" w:pos="4320"/>
        </w:tabs>
        <w:spacing w:after="0" w:line="240" w:lineRule="auto"/>
        <w:rPr>
          <w:rFonts w:eastAsia="Times New Roman"/>
        </w:rPr>
      </w:pPr>
      <w:r w:rsidRPr="00A70DAB">
        <w:rPr>
          <w:rFonts w:eastAsia="Times New Roman"/>
        </w:rPr>
        <w:tab/>
        <w:t>Assistant Consumers’ Counsel</w:t>
      </w:r>
    </w:p>
    <w:p w:rsidR="00A70DAB" w:rsidRPr="00A70DAB" w:rsidP="00A70DAB">
      <w:pPr>
        <w:tabs>
          <w:tab w:val="left" w:pos="0"/>
          <w:tab w:val="left" w:pos="720"/>
          <w:tab w:val="left" w:pos="4320"/>
        </w:tabs>
        <w:spacing w:after="0" w:line="480" w:lineRule="auto"/>
        <w:rPr>
          <w:rFonts w:eastAsia="Times New Roman"/>
        </w:rPr>
      </w:pPr>
      <w:r w:rsidRPr="00A70DAB">
        <w:rPr>
          <w:rFonts w:eastAsia="Times New Roman"/>
        </w:rPr>
        <w:tab/>
      </w:r>
      <w:r w:rsidRPr="00A70DAB">
        <w:rPr>
          <w:rFonts w:eastAsia="Times New Roman"/>
        </w:rPr>
        <w:tab/>
      </w:r>
    </w:p>
    <w:p w:rsidR="00A70DAB" w:rsidRPr="00A70DAB" w:rsidP="00A70DAB">
      <w:pPr>
        <w:tabs>
          <w:tab w:val="left" w:pos="0"/>
          <w:tab w:val="left" w:pos="720"/>
          <w:tab w:val="left" w:pos="4320"/>
        </w:tabs>
        <w:spacing w:after="0" w:line="480" w:lineRule="auto"/>
        <w:jc w:val="center"/>
        <w:rPr>
          <w:rFonts w:eastAsia="Times New Roman"/>
          <w:b/>
        </w:rPr>
      </w:pPr>
      <w:r w:rsidRPr="00A70DAB">
        <w:rPr>
          <w:rFonts w:eastAsia="Times New Roman"/>
          <w:b/>
        </w:rPr>
        <w:t>SERVICE LIST</w:t>
      </w:r>
    </w:p>
    <w:p w:rsidR="00A70DAB" w:rsidP="00446FA4">
      <w:pPr>
        <w:tabs>
          <w:tab w:val="left" w:pos="0"/>
          <w:tab w:val="left" w:pos="720"/>
          <w:tab w:val="left" w:pos="4320"/>
        </w:tabs>
        <w:spacing w:after="0" w:line="480" w:lineRule="auto"/>
        <w:rPr>
          <w:rFonts w:eastAsia="Times New Roman"/>
        </w:rPr>
      </w:pPr>
    </w:p>
    <w:tbl>
      <w:tblPr>
        <w:tblW w:w="0" w:type="auto"/>
        <w:tblLook w:val="04A0"/>
      </w:tblPr>
      <w:tblGrid>
        <w:gridCol w:w="4428"/>
        <w:gridCol w:w="4428"/>
      </w:tblGrid>
      <w:tr w:rsidTr="00D22773">
        <w:tblPrEx>
          <w:tblW w:w="0" w:type="auto"/>
          <w:tblLook w:val="04A0"/>
        </w:tblPrEx>
        <w:tc>
          <w:tcPr>
            <w:tcW w:w="4428" w:type="dxa"/>
            <w:shd w:val="clear" w:color="auto" w:fill="auto"/>
          </w:tcPr>
          <w:p w:rsidR="00446FA4" w:rsidRPr="00446FA4" w:rsidP="00446FA4">
            <w:pPr>
              <w:autoSpaceDE w:val="0"/>
              <w:autoSpaceDN w:val="0"/>
              <w:adjustRightInd w:val="0"/>
              <w:spacing w:after="0" w:line="240" w:lineRule="auto"/>
              <w:rPr>
                <w:rFonts w:eastAsia="Times New Roman"/>
                <w:bCs/>
              </w:rPr>
            </w:pPr>
            <w:r w:rsidRPr="00446FA4">
              <w:rPr>
                <w:rFonts w:eastAsia="Times New Roman"/>
                <w:bCs/>
                <w:color w:val="0000FF"/>
                <w:u w:val="single"/>
              </w:rPr>
              <w:t>William.wright@ohioattorneygeneral.gov</w:t>
            </w:r>
          </w:p>
          <w:p w:rsidR="00446FA4" w:rsidRPr="00446FA4" w:rsidP="00446FA4">
            <w:pPr>
              <w:spacing w:after="0" w:line="240" w:lineRule="auto"/>
              <w:jc w:val="both"/>
              <w:rPr>
                <w:rFonts w:eastAsia="Times New Roman"/>
                <w:bCs/>
              </w:rPr>
            </w:pPr>
            <w:r w:rsidRPr="00446FA4">
              <w:rPr>
                <w:rFonts w:eastAsia="Times New Roman"/>
                <w:bCs/>
                <w:color w:val="0000FF"/>
                <w:u w:val="single"/>
              </w:rPr>
              <w:t>BarthRoyer@aol.com</w:t>
            </w:r>
          </w:p>
          <w:p w:rsidR="00446FA4" w:rsidRPr="00446FA4" w:rsidP="00446FA4">
            <w:pPr>
              <w:autoSpaceDE w:val="0"/>
              <w:autoSpaceDN w:val="0"/>
              <w:adjustRightInd w:val="0"/>
              <w:spacing w:after="0" w:line="240" w:lineRule="auto"/>
              <w:rPr>
                <w:rFonts w:eastAsia="Times New Roman"/>
                <w:bCs/>
              </w:rPr>
            </w:pPr>
            <w:r w:rsidRPr="00446FA4">
              <w:rPr>
                <w:rFonts w:eastAsia="Times New Roman"/>
                <w:bCs/>
                <w:color w:val="0000FF"/>
                <w:u w:val="single"/>
              </w:rPr>
              <w:t>sdismukes@eckertseamans.com</w:t>
            </w:r>
          </w:p>
          <w:p w:rsidR="00446FA4" w:rsidRPr="00446FA4" w:rsidP="00446FA4">
            <w:pPr>
              <w:autoSpaceDE w:val="0"/>
              <w:autoSpaceDN w:val="0"/>
              <w:adjustRightInd w:val="0"/>
              <w:spacing w:after="0" w:line="240" w:lineRule="auto"/>
              <w:rPr>
                <w:rFonts w:eastAsia="Times New Roman"/>
                <w:bCs/>
              </w:rPr>
            </w:pPr>
            <w:r w:rsidRPr="00446FA4">
              <w:rPr>
                <w:rFonts w:eastAsia="Times New Roman"/>
                <w:bCs/>
                <w:color w:val="0000FF"/>
                <w:u w:val="single"/>
              </w:rPr>
              <w:t>mnugent@igsenergy.com</w:t>
            </w:r>
          </w:p>
          <w:p w:rsidR="00446FA4" w:rsidP="00446FA4">
            <w:pPr>
              <w:spacing w:after="0" w:line="240" w:lineRule="auto"/>
              <w:jc w:val="both"/>
              <w:rPr>
                <w:rFonts w:eastAsia="Times New Roman"/>
                <w:bCs/>
              </w:rPr>
            </w:pPr>
            <w:r w:rsidRPr="00446FA4">
              <w:rPr>
                <w:rFonts w:eastAsia="Times New Roman"/>
                <w:bCs/>
                <w:color w:val="0000FF"/>
                <w:u w:val="single"/>
              </w:rPr>
              <w:t>aemerson@porterwright.com</w:t>
            </w:r>
          </w:p>
          <w:p w:rsidR="00446FA4" w:rsidP="00446FA4">
            <w:pPr>
              <w:spacing w:after="0" w:line="240" w:lineRule="auto"/>
              <w:jc w:val="both"/>
              <w:rPr>
                <w:rFonts w:eastAsia="Times New Roman"/>
                <w:bCs/>
              </w:rPr>
            </w:pPr>
          </w:p>
          <w:p w:rsidR="00446FA4" w:rsidRPr="00446FA4" w:rsidP="00446FA4">
            <w:pPr>
              <w:spacing w:after="0" w:line="240" w:lineRule="auto"/>
              <w:jc w:val="both"/>
              <w:rPr>
                <w:rFonts w:eastAsia="Times New Roman"/>
                <w:b/>
                <w:bCs/>
              </w:rPr>
            </w:pPr>
          </w:p>
          <w:p w:rsidR="00446FA4" w:rsidRPr="00446FA4" w:rsidP="00446FA4">
            <w:pPr>
              <w:spacing w:after="0" w:line="240" w:lineRule="auto"/>
              <w:jc w:val="both"/>
              <w:rPr>
                <w:rFonts w:eastAsia="Times New Roman"/>
                <w:bCs/>
              </w:rPr>
            </w:pPr>
            <w:r w:rsidRPr="00446FA4">
              <w:rPr>
                <w:rFonts w:eastAsia="Times New Roman"/>
                <w:bCs/>
              </w:rPr>
              <w:t>Attorney Examiner:</w:t>
            </w:r>
          </w:p>
          <w:p w:rsidR="00446FA4" w:rsidRPr="00446FA4" w:rsidP="00446FA4">
            <w:pPr>
              <w:spacing w:after="0" w:line="240" w:lineRule="auto"/>
              <w:jc w:val="both"/>
              <w:rPr>
                <w:rFonts w:eastAsia="Times New Roman"/>
                <w:bCs/>
              </w:rPr>
            </w:pPr>
            <w:r w:rsidRPr="00446FA4">
              <w:rPr>
                <w:rFonts w:eastAsia="Times New Roman"/>
                <w:color w:val="0000FF"/>
                <w:u w:val="single"/>
              </w:rPr>
              <w:t>Stacie.cathcart@puc.state.oh.us</w:t>
            </w:r>
            <w:r w:rsidRPr="00446FA4">
              <w:rPr>
                <w:rFonts w:eastAsia="Times New Roman"/>
                <w:bCs/>
              </w:rPr>
              <w:t xml:space="preserve"> </w:t>
            </w:r>
          </w:p>
          <w:p w:rsidR="00446FA4" w:rsidRPr="00446FA4" w:rsidP="00446FA4">
            <w:pPr>
              <w:spacing w:after="0" w:line="240" w:lineRule="auto"/>
              <w:jc w:val="both"/>
              <w:rPr>
                <w:rFonts w:eastAsia="Times New Roman"/>
                <w:b/>
                <w:bCs/>
              </w:rPr>
            </w:pPr>
          </w:p>
        </w:tc>
        <w:tc>
          <w:tcPr>
            <w:tcW w:w="4428" w:type="dxa"/>
            <w:shd w:val="clear" w:color="auto" w:fill="auto"/>
          </w:tcPr>
          <w:p w:rsidR="00446FA4" w:rsidRPr="00446FA4" w:rsidP="00446FA4">
            <w:pPr>
              <w:autoSpaceDE w:val="0"/>
              <w:autoSpaceDN w:val="0"/>
              <w:adjustRightInd w:val="0"/>
              <w:spacing w:after="0" w:line="240" w:lineRule="auto"/>
              <w:rPr>
                <w:rFonts w:eastAsia="Times New Roman"/>
                <w:bCs/>
              </w:rPr>
            </w:pPr>
          </w:p>
          <w:p w:rsidR="00446FA4" w:rsidRPr="00446FA4" w:rsidP="00446FA4">
            <w:pPr>
              <w:spacing w:after="0" w:line="240" w:lineRule="auto"/>
              <w:jc w:val="both"/>
              <w:rPr>
                <w:rFonts w:eastAsia="Times New Roman"/>
                <w:b/>
                <w:bCs/>
              </w:rPr>
            </w:pPr>
          </w:p>
        </w:tc>
      </w:tr>
    </w:tbl>
    <w:p w:rsidR="00766541" w:rsidRPr="00104013"/>
    <w:sectPr w:rsidSect="007B27BA">
      <w:pgSz w:w="12240" w:h="15840"/>
      <w:pgMar w:top="1440" w:right="1800" w:bottom="1440" w:left="1800"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419422"/>
      <w:docPartObj>
        <w:docPartGallery w:val="Page Numbers (Bottom of Page)"/>
        <w:docPartUnique/>
      </w:docPartObj>
    </w:sdtPr>
    <w:sdtEndPr>
      <w:rPr>
        <w:noProof/>
      </w:rPr>
    </w:sdtEndPr>
    <w:sdtContent>
      <w:p w:rsidR="007B27BA">
        <w:pPr>
          <w:pStyle w:val="Footer"/>
          <w:jc w:val="center"/>
        </w:pPr>
        <w:r>
          <w:fldChar w:fldCharType="begin"/>
        </w:r>
        <w:r>
          <w:instrText xml:space="preserve"> PAGE   \* MERGEFORMAT </w:instrText>
        </w:r>
        <w:r>
          <w:fldChar w:fldCharType="separate"/>
        </w:r>
        <w:r w:rsidR="00C046D6">
          <w:rPr>
            <w:noProof/>
          </w:rPr>
          <w:t>10</w:t>
        </w:r>
        <w:r>
          <w:rPr>
            <w:noProof/>
          </w:rPr>
          <w:fldChar w:fldCharType="end"/>
        </w:r>
      </w:p>
    </w:sdtContent>
  </w:sdt>
  <w:p w:rsidR="007B2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3D78" w:rsidP="004D17A3">
      <w:pPr>
        <w:spacing w:after="0" w:line="240" w:lineRule="auto"/>
      </w:pPr>
      <w:r>
        <w:separator/>
      </w:r>
    </w:p>
  </w:footnote>
  <w:footnote w:type="continuationSeparator" w:id="1">
    <w:p w:rsidR="00A83D78" w:rsidP="004D17A3">
      <w:pPr>
        <w:spacing w:after="0" w:line="240" w:lineRule="auto"/>
      </w:pPr>
      <w:r>
        <w:continuationSeparator/>
      </w:r>
    </w:p>
  </w:footnote>
  <w:footnote w:type="continuationNotice" w:id="2">
    <w:p w:rsidR="00A83D78">
      <w:pPr>
        <w:spacing w:after="0" w:line="240" w:lineRule="auto"/>
      </w:pPr>
    </w:p>
  </w:footnote>
  <w:footnote w:id="3">
    <w:p w:rsidR="00A3275C" w:rsidP="00A3275C">
      <w:pPr>
        <w:pStyle w:val="FootnoteText"/>
      </w:pPr>
      <w:r>
        <w:rPr>
          <w:rStyle w:val="FootnoteReference"/>
        </w:rPr>
        <w:footnoteRef/>
      </w:r>
      <w:r>
        <w:t xml:space="preserve"> Ohio Adm. Code 4901:1-20-06(E)(1).</w:t>
      </w:r>
    </w:p>
  </w:footnote>
  <w:footnote w:id="4">
    <w:p w:rsidR="00A3275C" w:rsidP="00A3275C">
      <w:pPr>
        <w:pStyle w:val="FootnoteText"/>
      </w:pPr>
      <w:r>
        <w:rPr>
          <w:rStyle w:val="FootnoteReference"/>
        </w:rPr>
        <w:footnoteRef/>
      </w:r>
      <w:r>
        <w:t xml:space="preserve"> Joint Application for Waiver (November 15, 2017).</w:t>
      </w:r>
    </w:p>
  </w:footnote>
  <w:footnote w:id="5">
    <w:p w:rsidR="00792B13">
      <w:pPr>
        <w:pStyle w:val="FootnoteText"/>
      </w:pPr>
      <w:r>
        <w:rPr>
          <w:rStyle w:val="FootnoteReference"/>
        </w:rPr>
        <w:footnoteRef/>
      </w:r>
      <w:r>
        <w:t xml:space="preserve"> Ohio Adm. Code 4901-1-16(H).</w:t>
      </w:r>
    </w:p>
  </w:footnote>
  <w:footnote w:id="6">
    <w:p w:rsidR="00792B13">
      <w:pPr>
        <w:pStyle w:val="FootnoteText"/>
      </w:pPr>
      <w:r>
        <w:rPr>
          <w:rStyle w:val="FootnoteReference"/>
        </w:rPr>
        <w:footnoteRef/>
      </w:r>
      <w:r>
        <w:t xml:space="preserve"> Ohio Adm. Code 4901-1-19(A).</w:t>
      </w:r>
    </w:p>
  </w:footnote>
  <w:footnote w:id="7">
    <w:p w:rsidR="001D0B6E" w:rsidRPr="001D0B6E">
      <w:pPr>
        <w:pStyle w:val="FootnoteText"/>
      </w:pPr>
      <w:r>
        <w:rPr>
          <w:rStyle w:val="FootnoteReference"/>
        </w:rPr>
        <w:footnoteRef/>
      </w:r>
      <w:r>
        <w:t xml:space="preserve"> </w:t>
      </w:r>
      <w:r>
        <w:rPr>
          <w:i/>
        </w:rPr>
        <w:t>See</w:t>
      </w:r>
      <w:r>
        <w:t xml:space="preserve"> Ohio Adm. Code 4901-1-12(B)(1).</w:t>
      </w:r>
    </w:p>
  </w:footnote>
  <w:footnote w:id="8">
    <w:p w:rsidR="00452032">
      <w:pPr>
        <w:pStyle w:val="FootnoteText"/>
      </w:pPr>
      <w:r>
        <w:rPr>
          <w:rStyle w:val="FootnoteReference"/>
        </w:rPr>
        <w:footnoteRef/>
      </w:r>
      <w:r>
        <w:t xml:space="preserve"> Ohio Adm. Code 4901-1-24(B).</w:t>
      </w:r>
    </w:p>
  </w:footnote>
  <w:footnote w:id="9">
    <w:p w:rsidR="00B449DC" w:rsidRPr="00D727BA">
      <w:pPr>
        <w:pStyle w:val="FootnoteText"/>
      </w:pPr>
      <w:r>
        <w:rPr>
          <w:rStyle w:val="FootnoteReference"/>
        </w:rPr>
        <w:footnoteRef/>
      </w:r>
      <w:r>
        <w:t xml:space="preserve"> </w:t>
      </w:r>
      <w:r>
        <w:rPr>
          <w:i/>
        </w:rPr>
        <w:t>See</w:t>
      </w:r>
      <w:r>
        <w:t xml:space="preserve"> Memorandum in Support at 3.  The</w:t>
      </w:r>
      <w:r w:rsidR="00D727BA">
        <w:t xml:space="preserve"> Marketers</w:t>
      </w:r>
      <w:r>
        <w:t xml:space="preserve"> also reiterate the basic arguments made in their application.  </w:t>
      </w:r>
      <w:r>
        <w:rPr>
          <w:i/>
        </w:rPr>
        <w:t>Id.</w:t>
      </w:r>
      <w:r>
        <w:t xml:space="preserve"> at 4-5.  OCC will not address these arguments here.  Instead, OCC directs the PUCO’s attention to the Motion to Deny the application OCC filed in this case on January 19, 2018. </w:t>
      </w:r>
      <w:r w:rsidR="00452032">
        <w:t>There is no need</w:t>
      </w:r>
      <w:r w:rsidR="001C0CE1">
        <w:t xml:space="preserve"> to </w:t>
      </w:r>
      <w:r w:rsidR="00D727BA">
        <w:t xml:space="preserve">speculate, as the Marketers’ have done, regarding the PUCO’s intent in adopting Ohio Adm. Code 4901:1-26-06(E)(1).  </w:t>
      </w:r>
      <w:r w:rsidR="00D727BA">
        <w:rPr>
          <w:i/>
        </w:rPr>
        <w:t>See id.</w:t>
      </w:r>
      <w:r w:rsidR="00D727BA">
        <w:t xml:space="preserve"> at 4.  An examination of intent is necessary only if the language of the rule is ambiguous.   </w:t>
      </w:r>
      <w:r w:rsidR="00452032">
        <w:rPr>
          <w:i/>
        </w:rPr>
        <w:t>See</w:t>
      </w:r>
      <w:r w:rsidR="00452032">
        <w:t xml:space="preserve"> R.C. 1.49.</w:t>
      </w:r>
      <w:r w:rsidR="00D727BA">
        <w:t xml:space="preserve">  The language of the rule </w:t>
      </w:r>
      <w:r w:rsidR="00214DB5">
        <w:t xml:space="preserve">at issue in this case </w:t>
      </w:r>
      <w:r w:rsidR="00D727BA">
        <w:t>is not ambiguous, and thus an examination of the PUCO’s intent in adopting the rule is unnecessary.</w:t>
      </w:r>
    </w:p>
  </w:footnote>
  <w:footnote w:id="10">
    <w:p w:rsidR="00F2094E" w:rsidP="00D727BA">
      <w:pPr>
        <w:pStyle w:val="FootnoteText"/>
      </w:pPr>
      <w:r>
        <w:rPr>
          <w:rStyle w:val="FootnoteReference"/>
        </w:rPr>
        <w:footnoteRef/>
      </w:r>
      <w:r>
        <w:t xml:space="preserve"> </w:t>
      </w:r>
      <w:r w:rsidR="00D727BA">
        <w:t>Memorandum in Support</w:t>
      </w:r>
      <w:r w:rsidR="00B449DC">
        <w:rPr>
          <w:i/>
        </w:rPr>
        <w:t xml:space="preserve"> </w:t>
      </w:r>
      <w:r>
        <w:t xml:space="preserve">at </w:t>
      </w:r>
      <w:r w:rsidR="001D4786">
        <w:t>1</w:t>
      </w:r>
      <w:r>
        <w:t>.</w:t>
      </w:r>
    </w:p>
  </w:footnote>
  <w:footnote w:id="11">
    <w:p w:rsidR="005C6796" w:rsidP="005C6796">
      <w:pPr>
        <w:pStyle w:val="FootnoteText"/>
      </w:pPr>
      <w:r>
        <w:rPr>
          <w:rStyle w:val="FootnoteReference"/>
        </w:rPr>
        <w:footnoteRef/>
      </w:r>
      <w:r>
        <w:t xml:space="preserve"> </w:t>
      </w:r>
      <w:r>
        <w:rPr>
          <w:i/>
        </w:rPr>
        <w:t>Ohio Consumers’ Counsel v. Public Util. Comm</w:t>
      </w:r>
      <w:r>
        <w:t>., 111 Ohio St.3d 300, 2006-Ohio-5789 (2006).</w:t>
      </w:r>
    </w:p>
  </w:footnote>
  <w:footnote w:id="12">
    <w:p w:rsidR="005C6796" w:rsidP="005C6796">
      <w:pPr>
        <w:autoSpaceDE w:val="0"/>
        <w:autoSpaceDN w:val="0"/>
        <w:adjustRightInd w:val="0"/>
        <w:spacing w:after="120" w:line="240" w:lineRule="auto"/>
        <w:rPr>
          <w:sz w:val="20"/>
        </w:rPr>
      </w:pPr>
      <w:r>
        <w:rPr>
          <w:rStyle w:val="FootnoteReference"/>
        </w:rPr>
        <w:footnoteRef/>
      </w:r>
      <w:r>
        <w:rPr>
          <w:sz w:val="20"/>
        </w:rPr>
        <w:t xml:space="preserve"> </w:t>
      </w:r>
      <w:r w:rsidRPr="00214DB5">
        <w:rPr>
          <w:i/>
          <w:sz w:val="20"/>
        </w:rPr>
        <w:t>Id</w:t>
      </w:r>
      <w:r>
        <w:rPr>
          <w:sz w:val="20"/>
        </w:rPr>
        <w:t>., ¶83.</w:t>
      </w:r>
      <w:r w:rsidRPr="00214DB5">
        <w:rPr>
          <w:i/>
          <w:sz w:val="20"/>
        </w:rPr>
        <w:t xml:space="preserve"> </w:t>
      </w:r>
    </w:p>
  </w:footnote>
  <w:footnote w:id="13">
    <w:p w:rsidR="005C6796" w:rsidRPr="005C6796">
      <w:pPr>
        <w:pStyle w:val="FootnoteText"/>
      </w:pPr>
      <w:r>
        <w:rPr>
          <w:rStyle w:val="FootnoteReference"/>
        </w:rPr>
        <w:footnoteRef/>
      </w:r>
      <w:r>
        <w:t xml:space="preserve"> </w:t>
      </w:r>
      <w:r>
        <w:rPr>
          <w:i/>
        </w:rPr>
        <w:t>Id.</w:t>
      </w:r>
      <w:r>
        <w:t xml:space="preserve">, citing </w:t>
      </w:r>
      <w:r>
        <w:rPr>
          <w:i/>
          <w:iCs/>
        </w:rPr>
        <w:t xml:space="preserve">Moskovitz v. Mt. Sinai Med. Ctr. </w:t>
      </w:r>
      <w:r>
        <w:t>(1994), 69 Ohio St.3d 638, 661, 635 N.E.2d 331.</w:t>
      </w:r>
    </w:p>
  </w:footnote>
  <w:footnote w:id="14">
    <w:p w:rsidR="003F34E5" w:rsidP="003F34E5">
      <w:pPr>
        <w:pStyle w:val="FootnoteText"/>
      </w:pPr>
      <w:r>
        <w:rPr>
          <w:rStyle w:val="FootnoteReference"/>
        </w:rPr>
        <w:footnoteRef/>
      </w:r>
      <w:r>
        <w:t xml:space="preserve"> Memorandum in Support at 5.</w:t>
      </w:r>
    </w:p>
  </w:footnote>
  <w:footnote w:id="15">
    <w:p w:rsidR="00A065C6">
      <w:pPr>
        <w:pStyle w:val="FootnoteText"/>
      </w:pPr>
      <w:r>
        <w:rPr>
          <w:rStyle w:val="FootnoteReference"/>
        </w:rPr>
        <w:footnoteRef/>
      </w:r>
      <w:r>
        <w:t xml:space="preserve"> The rule does mention that discovery must be completed before the hearing, but that provision only limits the end date of discovery, not the beginning.</w:t>
      </w:r>
    </w:p>
  </w:footnote>
  <w:footnote w:id="16">
    <w:p w:rsidR="00596FD3">
      <w:pPr>
        <w:pStyle w:val="FootnoteText"/>
      </w:pPr>
      <w:r>
        <w:rPr>
          <w:rStyle w:val="FootnoteReference"/>
        </w:rPr>
        <w:footnoteRef/>
      </w:r>
      <w:r>
        <w:t xml:space="preserve"> </w:t>
      </w:r>
      <w:r w:rsidRPr="00596FD3">
        <w:rPr>
          <w:i/>
        </w:rPr>
        <w:t>In the Matter of the Application of Columbia Gas of Ohio, Inc. for Approval to Implement a Capital Expenditure Program</w:t>
      </w:r>
      <w:r>
        <w:t>, Case No. 11-5351-GA-UNC, Entry (January 27, 2012).</w:t>
      </w:r>
    </w:p>
  </w:footnote>
  <w:footnote w:id="17">
    <w:p w:rsidR="00F717F0" w:rsidRPr="00F717F0">
      <w:pPr>
        <w:pStyle w:val="FootnoteText"/>
      </w:pPr>
      <w:r>
        <w:rPr>
          <w:rStyle w:val="FootnoteReference"/>
        </w:rPr>
        <w:footnoteRef/>
      </w:r>
      <w:r>
        <w:t xml:space="preserve"> </w:t>
      </w:r>
      <w:r>
        <w:rPr>
          <w:i/>
        </w:rPr>
        <w:t>See id.</w:t>
      </w:r>
      <w:r>
        <w:t>, ¶6.</w:t>
      </w:r>
    </w:p>
  </w:footnote>
  <w:footnote w:id="18">
    <w:p w:rsidR="003F34E5">
      <w:pPr>
        <w:pStyle w:val="FootnoteText"/>
      </w:pPr>
      <w:r>
        <w:rPr>
          <w:rStyle w:val="FootnoteReference"/>
        </w:rPr>
        <w:footnoteRef/>
      </w:r>
      <w:r>
        <w:t xml:space="preserve"> Case No. 11-5351-GA-UNC, Columbia’s Motion to Stay Discovery (December 19, 2011</w:t>
      </w:r>
      <w:r w:rsidR="00B31170">
        <w:t xml:space="preserve">) </w:t>
      </w:r>
      <w:r>
        <w:t>at 3-5.</w:t>
      </w:r>
    </w:p>
  </w:footnote>
  <w:footnote w:id="19">
    <w:p w:rsidR="004039E6" w:rsidRPr="004039E6">
      <w:pPr>
        <w:pStyle w:val="FootnoteText"/>
      </w:pPr>
      <w:r>
        <w:rPr>
          <w:rStyle w:val="FootnoteReference"/>
        </w:rPr>
        <w:footnoteRef/>
      </w:r>
      <w:r>
        <w:t xml:space="preserve"> </w:t>
      </w:r>
      <w:r>
        <w:rPr>
          <w:i/>
        </w:rPr>
        <w:t>Id.</w:t>
      </w:r>
      <w:r>
        <w:t xml:space="preserve"> at 5.</w:t>
      </w:r>
    </w:p>
  </w:footnote>
  <w:footnote w:id="20">
    <w:p w:rsidR="004039E6" w:rsidRPr="004039E6">
      <w:pPr>
        <w:pStyle w:val="FootnoteText"/>
      </w:pPr>
      <w:r>
        <w:rPr>
          <w:rStyle w:val="FootnoteReference"/>
        </w:rPr>
        <w:footnoteRef/>
      </w:r>
      <w:r>
        <w:t xml:space="preserve"> </w:t>
      </w:r>
      <w:r>
        <w:rPr>
          <w:i/>
        </w:rPr>
        <w:t>Id.</w:t>
      </w:r>
      <w:r>
        <w:t xml:space="preserve"> at 6.  </w:t>
      </w:r>
    </w:p>
  </w:footnote>
  <w:footnote w:id="21">
    <w:p w:rsidR="004039E6" w:rsidRPr="004039E6">
      <w:pPr>
        <w:pStyle w:val="FootnoteText"/>
      </w:pPr>
      <w:r>
        <w:rPr>
          <w:rStyle w:val="FootnoteReference"/>
        </w:rPr>
        <w:footnoteRef/>
      </w:r>
      <w:r>
        <w:t xml:space="preserve"> </w:t>
      </w:r>
      <w:r>
        <w:rPr>
          <w:i/>
        </w:rPr>
        <w:t>Id.</w:t>
      </w:r>
      <w:r>
        <w:t xml:space="preserve"> at 5.</w:t>
      </w:r>
    </w:p>
  </w:footnote>
  <w:footnote w:id="22">
    <w:p w:rsidR="004039E6" w:rsidRPr="004039E6">
      <w:pPr>
        <w:pStyle w:val="FootnoteText"/>
      </w:pPr>
      <w:r>
        <w:rPr>
          <w:rStyle w:val="FootnoteReference"/>
        </w:rPr>
        <w:footnoteRef/>
      </w:r>
      <w:r>
        <w:t xml:space="preserve"> </w:t>
      </w:r>
      <w:r>
        <w:rPr>
          <w:i/>
        </w:rPr>
        <w:t>Id.</w:t>
      </w:r>
      <w:r>
        <w:t xml:space="preserve"> at 5-6.</w:t>
      </w:r>
    </w:p>
  </w:footnote>
  <w:footnote w:id="23">
    <w:p w:rsidR="00D727BA" w:rsidRPr="00D727BA">
      <w:pPr>
        <w:pStyle w:val="FootnoteText"/>
      </w:pPr>
      <w:r>
        <w:rPr>
          <w:rStyle w:val="FootnoteReference"/>
        </w:rPr>
        <w:footnoteRef/>
      </w:r>
      <w:r>
        <w:t xml:space="preserve"> </w:t>
      </w:r>
      <w:r w:rsidR="00133029">
        <w:t>Case No. 11-5351-GA-UNC</w:t>
      </w:r>
      <w:r>
        <w:t xml:space="preserve">, </w:t>
      </w:r>
      <w:r w:rsidR="00133029">
        <w:t xml:space="preserve">Entry (January 27, 2012), </w:t>
      </w:r>
      <w:r>
        <w:t xml:space="preserve">¶8.  </w:t>
      </w:r>
      <w:r w:rsidR="009631FF">
        <w:t>OCC notes that Columbia had responded to earlier discovery from OCC before seeking a stay of discovery.  However, that apparently was not a factor in the PUCO’s decision, and the PUCO did not limit its decision to those cases where the party seeking a protective order had previously responded to discovery.</w:t>
      </w:r>
    </w:p>
  </w:footnote>
  <w:footnote w:id="24">
    <w:p w:rsidR="00DC148C" w:rsidRPr="00DC148C">
      <w:pPr>
        <w:pStyle w:val="FootnoteText"/>
      </w:pPr>
      <w:r>
        <w:rPr>
          <w:rStyle w:val="FootnoteReference"/>
        </w:rPr>
        <w:footnoteRef/>
      </w:r>
      <w:r>
        <w:t xml:space="preserve"> </w:t>
      </w:r>
      <w:r>
        <w:rPr>
          <w:i/>
        </w:rPr>
        <w:t>Id.</w:t>
      </w:r>
      <w:r>
        <w:t xml:space="preserve">  The PUCO established a procedural schedule in the same Entry.  </w:t>
      </w:r>
      <w:r>
        <w:rPr>
          <w:i/>
        </w:rPr>
        <w:t>Id.</w:t>
      </w:r>
      <w:r>
        <w:t>, ¶5.</w:t>
      </w:r>
    </w:p>
  </w:footnote>
  <w:footnote w:id="25">
    <w:p w:rsidR="00700056" w:rsidRPr="005A1C71" w:rsidP="00700056">
      <w:pPr>
        <w:pStyle w:val="FootnoteText"/>
      </w:pPr>
      <w:r>
        <w:rPr>
          <w:rStyle w:val="FootnoteReference"/>
        </w:rPr>
        <w:footnoteRef/>
      </w:r>
      <w:r>
        <w:t xml:space="preserve"> </w:t>
      </w:r>
      <w:r>
        <w:rPr>
          <w:i/>
        </w:rPr>
        <w:t>Id.</w:t>
      </w:r>
      <w:r>
        <w:t>, ¶8.</w:t>
      </w:r>
    </w:p>
  </w:footnote>
  <w:footnote w:id="26">
    <w:p w:rsidR="00E7416B">
      <w:pPr>
        <w:pStyle w:val="FootnoteText"/>
      </w:pPr>
      <w:r>
        <w:rPr>
          <w:rStyle w:val="FootnoteReference"/>
        </w:rPr>
        <w:footnoteRef/>
      </w:r>
      <w:r>
        <w:t xml:space="preserve"> </w:t>
      </w:r>
      <w:r w:rsidR="00D80E97">
        <w:rPr>
          <w:rFonts w:eastAsia="Times New Roman"/>
          <w:snapToGrid w:val="0"/>
          <w:spacing w:val="-3"/>
        </w:rPr>
        <w:t xml:space="preserve">Further, it is irrelevant that no other parties have yet intervened in this case.  </w:t>
      </w:r>
      <w:r w:rsidR="00D80E97">
        <w:rPr>
          <w:rFonts w:eastAsia="Times New Roman"/>
          <w:i/>
          <w:snapToGrid w:val="0"/>
          <w:spacing w:val="-3"/>
        </w:rPr>
        <w:t xml:space="preserve">See </w:t>
      </w:r>
      <w:r w:rsidR="00320C96">
        <w:t>Memorandum in Support at 6, n. 11.</w:t>
      </w:r>
    </w:p>
  </w:footnote>
  <w:footnote w:id="27">
    <w:p w:rsidR="002A1F09" w:rsidRPr="002A1F09">
      <w:pPr>
        <w:pStyle w:val="FootnoteText"/>
        <w:rPr>
          <w:i/>
        </w:rPr>
      </w:pPr>
      <w:r>
        <w:rPr>
          <w:rStyle w:val="FootnoteReference"/>
        </w:rPr>
        <w:footnoteRef/>
      </w:r>
      <w:r>
        <w:t xml:space="preserve"> </w:t>
      </w:r>
      <w:r>
        <w:rPr>
          <w:i/>
        </w:rPr>
        <w:t xml:space="preserve">See also </w:t>
      </w:r>
      <w:r w:rsidRPr="002A1F09">
        <w:rPr>
          <w:rFonts w:cs="Times New Roman"/>
          <w:i/>
          <w:szCs w:val="20"/>
        </w:rPr>
        <w:t>In the Matter of the Application of The Dayton Power and Light Company for Authority to Transfer or Sell Its Generation Assets</w:t>
      </w:r>
      <w:r>
        <w:rPr>
          <w:rFonts w:cs="Times New Roman"/>
          <w:szCs w:val="20"/>
        </w:rPr>
        <w:t xml:space="preserve">, </w:t>
      </w:r>
      <w:r w:rsidRPr="002A1F09">
        <w:rPr>
          <w:szCs w:val="20"/>
        </w:rPr>
        <w:t>Case No. 13-2420-EL-UNC</w:t>
      </w:r>
      <w:r>
        <w:rPr>
          <w:szCs w:val="20"/>
        </w:rPr>
        <w:t>, Entry (May 30, 2014), ¶9 (denying DP&amp;L’s motion for protective order to stay discovery until the PUCO ruled on DP&amp;L’s motion to waive the required hearing: “</w:t>
      </w:r>
      <w:r w:rsidRPr="002A1F09">
        <w:rPr>
          <w:rFonts w:cs="Times New Roman"/>
        </w:rPr>
        <w:t>Until the Commission makes a decision on DP&amp;L’s waiver request, this case should proceed as if it were going to hearing.</w:t>
      </w:r>
      <w:r>
        <w:rPr>
          <w:rFonts w:cs="Times New Roman"/>
        </w:rPr>
        <w:t>”</w:t>
      </w:r>
      <w:r w:rsidRPr="002A1F09">
        <w:rPr>
          <w:rFonts w:cs="Times New Roman"/>
          <w:szCs w:val="20"/>
        </w:rPr>
        <w:t>).</w:t>
      </w:r>
    </w:p>
  </w:footnote>
  <w:footnote w:id="28">
    <w:p w:rsidR="001C0CE1" w:rsidP="001C0CE1">
      <w:pPr>
        <w:pStyle w:val="FootnoteText"/>
      </w:pPr>
      <w:r>
        <w:rPr>
          <w:rStyle w:val="FootnoteReference"/>
        </w:rPr>
        <w:footnoteRef/>
      </w:r>
      <w:r>
        <w:t xml:space="preserve"> </w:t>
      </w:r>
      <w:r>
        <w:rPr>
          <w:spacing w:val="-3"/>
        </w:rPr>
        <w:t>Ohio Adm. Code 4901-1-16</w:t>
      </w:r>
      <w:r w:rsidR="00792B13">
        <w:rPr>
          <w:spacing w:val="-3"/>
        </w:rPr>
        <w:t>(B)</w:t>
      </w:r>
      <w:r>
        <w:rPr>
          <w:spacing w:val="-3"/>
        </w:rPr>
        <w:t>.</w:t>
      </w:r>
    </w:p>
  </w:footnote>
  <w:footnote w:id="29">
    <w:p w:rsidR="001C0CE1">
      <w:pPr>
        <w:pStyle w:val="FootnoteText"/>
      </w:pPr>
      <w:r>
        <w:rPr>
          <w:rStyle w:val="FootnoteReference"/>
        </w:rPr>
        <w:footnoteRef/>
      </w:r>
      <w:r>
        <w:t xml:space="preserve"> Memorandum in Support at 5.</w:t>
      </w:r>
    </w:p>
  </w:footnote>
  <w:footnote w:id="30">
    <w:p w:rsidR="001C0CE1" w:rsidRPr="001C0CE1">
      <w:pPr>
        <w:pStyle w:val="FootnoteText"/>
        <w:rPr>
          <w:i/>
        </w:rPr>
      </w:pPr>
      <w:r>
        <w:rPr>
          <w:rStyle w:val="FootnoteReference"/>
        </w:rPr>
        <w:footnoteRef/>
      </w:r>
      <w:r>
        <w:t xml:space="preserve"> </w:t>
      </w:r>
      <w:r>
        <w:rPr>
          <w:i/>
        </w:rPr>
        <w:t>Id.</w:t>
      </w:r>
    </w:p>
  </w:footnote>
  <w:footnote w:id="31">
    <w:p w:rsidR="00E7416B">
      <w:pPr>
        <w:pStyle w:val="FootnoteText"/>
      </w:pPr>
      <w:r>
        <w:rPr>
          <w:rStyle w:val="FootnoteReference"/>
        </w:rPr>
        <w:footnoteRef/>
      </w:r>
      <w:r>
        <w:t xml:space="preserve"> </w:t>
      </w:r>
      <w:r w:rsidR="00894D89">
        <w:t>Application at 13.</w:t>
      </w:r>
    </w:p>
  </w:footnote>
  <w:footnote w:id="32">
    <w:p w:rsidR="00E7416B" w:rsidRPr="00700056">
      <w:pPr>
        <w:pStyle w:val="FootnoteText"/>
      </w:pPr>
      <w:r>
        <w:rPr>
          <w:rStyle w:val="FootnoteReference"/>
        </w:rPr>
        <w:footnoteRef/>
      </w:r>
      <w:r>
        <w:t xml:space="preserve"> </w:t>
      </w:r>
      <w:r w:rsidR="00700056">
        <w:rPr>
          <w:i/>
        </w:rPr>
        <w:t>Id.</w:t>
      </w:r>
      <w:r w:rsidR="00700056">
        <w:t xml:space="preserve"> at 12.</w:t>
      </w:r>
    </w:p>
  </w:footnote>
  <w:footnote w:id="33">
    <w:p w:rsidR="00E7416B" w:rsidRPr="00700056">
      <w:pPr>
        <w:pStyle w:val="FootnoteText"/>
        <w:rPr>
          <w:i/>
        </w:rPr>
      </w:pPr>
      <w:r>
        <w:rPr>
          <w:rStyle w:val="FootnoteReference"/>
        </w:rPr>
        <w:footnoteRef/>
      </w:r>
      <w:r>
        <w:t xml:space="preserve"> </w:t>
      </w:r>
      <w:r w:rsidR="00700056">
        <w:rPr>
          <w:i/>
        </w:rPr>
        <w:t>Id.</w:t>
      </w:r>
    </w:p>
  </w:footnote>
  <w:footnote w:id="34">
    <w:p w:rsidR="00B31170" w:rsidRPr="00B31170">
      <w:pPr>
        <w:pStyle w:val="FootnoteText"/>
      </w:pPr>
      <w:r>
        <w:rPr>
          <w:rStyle w:val="FootnoteReference"/>
        </w:rPr>
        <w:footnoteRef/>
      </w:r>
      <w:r>
        <w:t xml:space="preserve"> </w:t>
      </w:r>
      <w:r>
        <w:rPr>
          <w:i/>
        </w:rPr>
        <w:t>See</w:t>
      </w:r>
      <w:r>
        <w:t xml:space="preserve"> Motion, Attachment A at 10-21.</w:t>
      </w:r>
    </w:p>
  </w:footnote>
  <w:footnote w:id="35">
    <w:p w:rsidR="00214DB5" w:rsidP="00214DB5">
      <w:pPr>
        <w:pStyle w:val="FootnoteText"/>
      </w:pPr>
      <w:r>
        <w:rPr>
          <w:rStyle w:val="FootnoteReference"/>
        </w:rPr>
        <w:footnoteRef/>
      </w:r>
      <w:r>
        <w:t xml:space="preserve"> Ohio Adm. Code 4901-1-16(A).</w:t>
      </w:r>
    </w:p>
  </w:footnote>
  <w:footnote w:id="36">
    <w:p w:rsidR="00B30D72" w:rsidRPr="00B30D72">
      <w:pPr>
        <w:pStyle w:val="FootnoteText"/>
      </w:pPr>
      <w:r>
        <w:rPr>
          <w:rStyle w:val="FootnoteReference"/>
        </w:rPr>
        <w:footnoteRef/>
      </w:r>
      <w:r>
        <w:t xml:space="preserve"> </w:t>
      </w:r>
      <w:r>
        <w:rPr>
          <w:i/>
        </w:rPr>
        <w:t>See</w:t>
      </w:r>
      <w:r>
        <w:t xml:space="preserve"> Motion, Attachment B</w:t>
      </w:r>
      <w:r w:rsidR="001174C0">
        <w:t>, ¶5</w:t>
      </w:r>
      <w:r>
        <w:t>.</w:t>
      </w:r>
    </w:p>
  </w:footnote>
  <w:footnote w:id="37">
    <w:p w:rsidR="001174C0" w:rsidRPr="001174C0">
      <w:pPr>
        <w:pStyle w:val="FootnoteText"/>
      </w:pPr>
      <w:r>
        <w:rPr>
          <w:rStyle w:val="FootnoteReference"/>
        </w:rPr>
        <w:footnoteRef/>
      </w:r>
      <w:r>
        <w:t xml:space="preserve"> </w:t>
      </w:r>
      <w:r>
        <w:rPr>
          <w:i/>
        </w:rPr>
        <w:t>Id.</w:t>
      </w:r>
      <w:r>
        <w:t>, ¶3.</w:t>
      </w:r>
    </w:p>
  </w:footnote>
  <w:footnote w:id="38">
    <w:p w:rsidR="00B30D72" w:rsidRPr="001174C0">
      <w:pPr>
        <w:pStyle w:val="FootnoteText"/>
      </w:pPr>
      <w:r>
        <w:rPr>
          <w:rStyle w:val="FootnoteReference"/>
        </w:rPr>
        <w:footnoteRef/>
      </w:r>
      <w:r>
        <w:t xml:space="preserve"> </w:t>
      </w:r>
      <w:r>
        <w:rPr>
          <w:i/>
        </w:rPr>
        <w:t>See id.</w:t>
      </w:r>
      <w:r w:rsidR="001174C0">
        <w:t>,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756ACD6"/>
    <w:lvl w:ilvl="0">
      <w:start w:val="1"/>
      <w:numFmt w:val="decimal"/>
      <w:lvlText w:val="%1."/>
      <w:lvlJc w:val="left"/>
      <w:pPr>
        <w:tabs>
          <w:tab w:val="num" w:pos="720"/>
        </w:tabs>
        <w:ind w:left="720" w:hanging="360"/>
      </w:pPr>
    </w:lvl>
  </w:abstractNum>
  <w:abstractNum w:abstractNumId="1">
    <w:nsid w:val="FFFFFF80"/>
    <w:multiLevelType w:val="singleLevel"/>
    <w:tmpl w:val="AA6C6594"/>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BCE6689C"/>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D00C06F2"/>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081C701A"/>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7F684700"/>
    <w:lvl w:ilvl="0">
      <w:start w:val="1"/>
      <w:numFmt w:val="decimal"/>
      <w:lvlText w:val="%1."/>
      <w:lvlJc w:val="left"/>
      <w:pPr>
        <w:tabs>
          <w:tab w:val="num" w:pos="360"/>
        </w:tabs>
        <w:ind w:left="360" w:hanging="360"/>
      </w:pPr>
    </w:lvl>
  </w:abstractNum>
  <w:abstractNum w:abstractNumId="6">
    <w:nsid w:val="FFFFFF89"/>
    <w:multiLevelType w:val="singleLevel"/>
    <w:tmpl w:val="B7C82C3A"/>
    <w:lvl w:ilvl="0">
      <w:start w:val="1"/>
      <w:numFmt w:val="bullet"/>
      <w:lvlText w:val=""/>
      <w:lvlJc w:val="left"/>
      <w:pPr>
        <w:tabs>
          <w:tab w:val="num" w:pos="360"/>
        </w:tabs>
        <w:ind w:left="360" w:hanging="360"/>
      </w:pPr>
      <w:rPr>
        <w:rFonts w:ascii="Symbol" w:hAnsi="Symbol" w:hint="default"/>
      </w:rPr>
    </w:lvl>
  </w:abstractNum>
  <w:abstractNum w:abstractNumId="7">
    <w:nsid w:val="0DDD1B79"/>
    <w:multiLevelType w:val="hybridMultilevel"/>
    <w:tmpl w:val="32346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2056B2"/>
    <w:multiLevelType w:val="hybridMultilevel"/>
    <w:tmpl w:val="98661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AA7C3D"/>
    <w:multiLevelType w:val="hybridMultilevel"/>
    <w:tmpl w:val="CFCC6C00"/>
    <w:lvl w:ilvl="0">
      <w:start w:val="1"/>
      <w:numFmt w:val="decimal"/>
      <w:lvlText w:val="%1."/>
      <w:lvlJc w:val="left"/>
      <w:pPr>
        <w:ind w:left="360" w:hanging="360"/>
      </w:pPr>
      <w:rPr>
        <w:rFonts w:ascii="Times New Roman" w:hAnsi="Times New Roman" w:hint="default"/>
        <w:b w:val="0"/>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CEB4C4E"/>
    <w:multiLevelType w:val="hybridMultilevel"/>
    <w:tmpl w:val="0F20ADFC"/>
    <w:lvl w:ilvl="0">
      <w:start w:val="5"/>
      <w:numFmt w:val="decimal"/>
      <w:lvlText w:val="%1."/>
      <w:lvlJc w:val="left"/>
      <w:pPr>
        <w:ind w:left="126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1">
    <w:nsid w:val="40E42AA0"/>
    <w:multiLevelType w:val="hybridMultilevel"/>
    <w:tmpl w:val="87BEFF20"/>
    <w:lvl w:ilvl="0">
      <w:start w:val="1"/>
      <w:numFmt w:val="decimal"/>
      <w:lvlText w:val="%1."/>
      <w:lvlJc w:val="left"/>
      <w:pPr>
        <w:ind w:left="63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A4D7A8C"/>
    <w:multiLevelType w:val="hybridMultilevel"/>
    <w:tmpl w:val="E3DE38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3" w:hAnsi="Wingdings 3"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1E386A"/>
    <w:multiLevelType w:val="hybridMultilevel"/>
    <w:tmpl w:val="9C640FB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3" w:hAnsi="Wingdings 3"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D74AB7"/>
    <w:multiLevelType w:val="hybridMultilevel"/>
    <w:tmpl w:val="D2E889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3" w:hAnsi="Wingdings 3"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7"/>
  </w:num>
  <w:num w:numId="6">
    <w:abstractNumId w:val="14"/>
  </w:num>
  <w:num w:numId="7">
    <w:abstractNumId w:val="12"/>
  </w:num>
  <w:num w:numId="8">
    <w:abstractNumId w:val="8"/>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BA"/>
  </w:style>
  <w:style w:type="paragraph" w:styleId="Heading1">
    <w:name w:val="heading 1"/>
    <w:basedOn w:val="Normal"/>
    <w:next w:val="Normal"/>
    <w:link w:val="Heading1Char"/>
    <w:qFormat/>
    <w:rsid w:val="005269CC"/>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F3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FOOTNOTE,Footnote Text Char Char,Footnote Text Char Char Char Char,Footnote Text Char Char Char Char Char Char1,Footnote Text Char1 Char Char,Footnote Text Char1 Char Char Char Char,Footnote Text Char2,Footnote text,fn"/>
    <w:basedOn w:val="Normal"/>
    <w:link w:val="FootnoteTextChar"/>
    <w:uiPriority w:val="99"/>
    <w:unhideWhenUsed/>
    <w:rsid w:val="00D727BA"/>
    <w:pPr>
      <w:spacing w:after="120" w:line="240" w:lineRule="auto"/>
    </w:pPr>
    <w:rPr>
      <w:rFonts w:cstheme="minorBidi"/>
      <w:sz w:val="20"/>
    </w:rPr>
  </w:style>
  <w:style w:type="character" w:customStyle="1" w:styleId="FootnoteTextChar">
    <w:name w:val="Footnote Text Char"/>
    <w:aliases w:val="ALTS FOOTNOTE Char,FOOTNOTE Char,Footnote Text Char Char Char,Footnote Text Char Char Char Char Char,Footnote Text Char1 Char Char Char,Footnote Text Char1 Char Char Char Char Char,Footnote Text Char2 Char,Footnote text Char,fn Char"/>
    <w:basedOn w:val="DefaultParagraphFont"/>
    <w:link w:val="FootnoteText"/>
    <w:uiPriority w:val="99"/>
    <w:rsid w:val="00D727BA"/>
    <w:rPr>
      <w:rFonts w:cstheme="minorBidi"/>
      <w:sz w:val="20"/>
    </w:rPr>
  </w:style>
  <w:style w:type="character" w:styleId="FootnoteReference">
    <w:name w:val="footnote reference"/>
    <w:aliases w:val="fr,o"/>
    <w:basedOn w:val="DefaultParagraphFont"/>
    <w:semiHidden/>
    <w:unhideWhenUsed/>
    <w:rsid w:val="004D17A3"/>
    <w:rPr>
      <w:vertAlign w:val="superscript"/>
    </w:rPr>
  </w:style>
  <w:style w:type="paragraph" w:styleId="ListParagraph">
    <w:name w:val="List Paragraph"/>
    <w:basedOn w:val="Normal"/>
    <w:uiPriority w:val="34"/>
    <w:qFormat/>
    <w:rsid w:val="004D17A3"/>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4D17A3"/>
    <w:rPr>
      <w:color w:val="0000FF" w:themeColor="hyperlink"/>
      <w:u w:val="single"/>
    </w:rPr>
  </w:style>
  <w:style w:type="character" w:styleId="CommentReference">
    <w:name w:val="annotation reference"/>
    <w:basedOn w:val="DefaultParagraphFont"/>
    <w:uiPriority w:val="99"/>
    <w:semiHidden/>
    <w:unhideWhenUsed/>
    <w:rsid w:val="00E87502"/>
    <w:rPr>
      <w:sz w:val="16"/>
      <w:szCs w:val="16"/>
    </w:rPr>
  </w:style>
  <w:style w:type="paragraph" w:styleId="CommentText">
    <w:name w:val="annotation text"/>
    <w:basedOn w:val="Normal"/>
    <w:link w:val="CommentTextChar"/>
    <w:uiPriority w:val="99"/>
    <w:semiHidden/>
    <w:unhideWhenUsed/>
    <w:rsid w:val="00E87502"/>
    <w:pPr>
      <w:spacing w:line="240" w:lineRule="auto"/>
    </w:pPr>
    <w:rPr>
      <w:sz w:val="20"/>
      <w:szCs w:val="20"/>
    </w:rPr>
  </w:style>
  <w:style w:type="character" w:customStyle="1" w:styleId="CommentTextChar">
    <w:name w:val="Comment Text Char"/>
    <w:basedOn w:val="DefaultParagraphFont"/>
    <w:link w:val="CommentText"/>
    <w:uiPriority w:val="99"/>
    <w:semiHidden/>
    <w:rsid w:val="00E87502"/>
    <w:rPr>
      <w:sz w:val="20"/>
      <w:szCs w:val="20"/>
    </w:rPr>
  </w:style>
  <w:style w:type="paragraph" w:styleId="CommentSubject">
    <w:name w:val="annotation subject"/>
    <w:basedOn w:val="CommentText"/>
    <w:next w:val="CommentText"/>
    <w:link w:val="CommentSubjectChar"/>
    <w:uiPriority w:val="99"/>
    <w:semiHidden/>
    <w:unhideWhenUsed/>
    <w:rsid w:val="00E87502"/>
    <w:rPr>
      <w:b/>
      <w:bCs/>
    </w:rPr>
  </w:style>
  <w:style w:type="character" w:customStyle="1" w:styleId="CommentSubjectChar">
    <w:name w:val="Comment Subject Char"/>
    <w:basedOn w:val="CommentTextChar"/>
    <w:link w:val="CommentSubject"/>
    <w:uiPriority w:val="99"/>
    <w:semiHidden/>
    <w:rsid w:val="00E87502"/>
    <w:rPr>
      <w:b/>
      <w:bCs/>
      <w:sz w:val="20"/>
      <w:szCs w:val="20"/>
    </w:rPr>
  </w:style>
  <w:style w:type="paragraph" w:styleId="BalloonText">
    <w:name w:val="Balloon Text"/>
    <w:basedOn w:val="Normal"/>
    <w:link w:val="BalloonTextChar"/>
    <w:uiPriority w:val="99"/>
    <w:semiHidden/>
    <w:unhideWhenUsed/>
    <w:rsid w:val="00E87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02"/>
    <w:rPr>
      <w:rFonts w:ascii="Tahoma" w:hAnsi="Tahoma" w:cs="Tahoma"/>
      <w:sz w:val="16"/>
      <w:szCs w:val="16"/>
    </w:rPr>
  </w:style>
  <w:style w:type="paragraph" w:styleId="Header">
    <w:name w:val="header"/>
    <w:basedOn w:val="Normal"/>
    <w:link w:val="HeaderChar"/>
    <w:uiPriority w:val="99"/>
    <w:unhideWhenUsed/>
    <w:rsid w:val="00015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F1"/>
  </w:style>
  <w:style w:type="paragraph" w:styleId="Footer">
    <w:name w:val="footer"/>
    <w:basedOn w:val="Normal"/>
    <w:link w:val="FooterChar"/>
    <w:uiPriority w:val="99"/>
    <w:unhideWhenUsed/>
    <w:rsid w:val="00015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F1"/>
  </w:style>
  <w:style w:type="character" w:customStyle="1" w:styleId="apple-converted-space">
    <w:name w:val="apple-converted-space"/>
    <w:basedOn w:val="DefaultParagraphFont"/>
    <w:rsid w:val="00F9285A"/>
  </w:style>
  <w:style w:type="character" w:customStyle="1" w:styleId="Heading1Char">
    <w:name w:val="Heading 1 Char"/>
    <w:basedOn w:val="DefaultParagraphFont"/>
    <w:link w:val="Heading1"/>
    <w:rsid w:val="005269CC"/>
    <w:rPr>
      <w:rFonts w:ascii="Cambria" w:eastAsia="Times New Roman" w:hAnsi="Cambria"/>
      <w:b/>
      <w:bCs/>
      <w:kern w:val="32"/>
      <w:sz w:val="32"/>
      <w:szCs w:val="32"/>
    </w:rPr>
  </w:style>
  <w:style w:type="paragraph" w:styleId="Revision">
    <w:name w:val="Revision"/>
    <w:hidden/>
    <w:uiPriority w:val="99"/>
    <w:semiHidden/>
    <w:rsid w:val="002D06D5"/>
    <w:pPr>
      <w:spacing w:after="0" w:line="240" w:lineRule="auto"/>
    </w:pPr>
  </w:style>
  <w:style w:type="character" w:customStyle="1" w:styleId="hvr">
    <w:name w:val="hvr"/>
    <w:basedOn w:val="DefaultParagraphFont"/>
    <w:rsid w:val="009B5571"/>
  </w:style>
  <w:style w:type="character" w:customStyle="1" w:styleId="Heading2Char">
    <w:name w:val="Heading 2 Char"/>
    <w:basedOn w:val="DefaultParagraphFont"/>
    <w:link w:val="Heading2"/>
    <w:uiPriority w:val="9"/>
    <w:rsid w:val="008F3C2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F3C22"/>
    <w:pPr>
      <w:spacing w:before="100" w:beforeAutospacing="1" w:after="100" w:afterAutospacing="1" w:line="240" w:lineRule="auto"/>
    </w:pPr>
    <w:rPr>
      <w:rFonts w:eastAsia="Times New Roman"/>
    </w:rPr>
  </w:style>
  <w:style w:type="character" w:customStyle="1" w:styleId="sspagshow">
    <w:name w:val="ss_pag_show"/>
    <w:basedOn w:val="DefaultParagraphFont"/>
    <w:rsid w:val="00BF1368"/>
  </w:style>
  <w:style w:type="character" w:customStyle="1" w:styleId="ssleftalign">
    <w:name w:val="ss_leftalign"/>
    <w:basedOn w:val="DefaultParagraphFont"/>
    <w:rsid w:val="00F84F39"/>
  </w:style>
  <w:style w:type="character" w:customStyle="1" w:styleId="sssh">
    <w:name w:val="ss_sh"/>
    <w:basedOn w:val="DefaultParagraphFont"/>
    <w:rsid w:val="00F84F39"/>
  </w:style>
  <w:style w:type="character" w:customStyle="1" w:styleId="sspagshow1">
    <w:name w:val="ss_pag_show1"/>
    <w:basedOn w:val="DefaultParagraphFont"/>
    <w:rsid w:val="00E16D6A"/>
    <w:rPr>
      <w:b/>
      <w:bCs/>
    </w:rPr>
  </w:style>
  <w:style w:type="character" w:customStyle="1" w:styleId="ssit1">
    <w:name w:val="ss_it1"/>
    <w:basedOn w:val="DefaultParagraphFont"/>
    <w:rsid w:val="00E16D6A"/>
    <w:rPr>
      <w:i/>
      <w:iCs/>
    </w:rPr>
  </w:style>
  <w:style w:type="paragraph" w:styleId="HTMLPreformatted">
    <w:name w:val="HTML Preformatted"/>
    <w:basedOn w:val="Normal"/>
    <w:link w:val="HTMLPreformattedChar"/>
    <w:rsid w:val="00401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01BAC"/>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MC Motion for Protective Order 17-2358 w-dfs te.docx [Read-Only].docx</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2018-02-01T21:55:57Z</dcterms:created>
  <dcterms:modified xsi:type="dcterms:W3CDTF">2018-02-01T21:55:57Z</dcterms:modified>
</cp:coreProperties>
</file>