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836BDA" w:rsidRPr="00A45537" w:rsidP="00D4185C" w14:paraId="0FDE94D0" w14:textId="77777777">
      <w:pPr>
        <w:pStyle w:val="HTMLPreformatted"/>
        <w:jc w:val="center"/>
        <w:rPr>
          <w:rFonts w:ascii="Times New Roman" w:hAnsi="Times New Roman" w:cs="Times New Roman"/>
          <w:b/>
          <w:bCs/>
          <w:sz w:val="24"/>
          <w:szCs w:val="24"/>
        </w:rPr>
      </w:pPr>
      <w:r w:rsidRPr="00A45537">
        <w:rPr>
          <w:rFonts w:ascii="Times New Roman" w:hAnsi="Times New Roman" w:cs="Times New Roman"/>
          <w:b/>
          <w:bCs/>
          <w:sz w:val="24"/>
          <w:szCs w:val="24"/>
        </w:rPr>
        <w:t>BEFORE</w:t>
      </w:r>
    </w:p>
    <w:p w:rsidR="00836BDA" w:rsidRPr="00A45537" w:rsidP="00D4185C" w14:paraId="68FF964C" w14:textId="77777777">
      <w:pPr>
        <w:pStyle w:val="HTMLPreformatted"/>
        <w:jc w:val="center"/>
        <w:rPr>
          <w:rFonts w:ascii="Times New Roman" w:hAnsi="Times New Roman" w:cs="Times New Roman"/>
          <w:sz w:val="24"/>
          <w:szCs w:val="24"/>
        </w:rPr>
      </w:pPr>
      <w:r w:rsidRPr="00A45537">
        <w:rPr>
          <w:rFonts w:ascii="Times New Roman" w:hAnsi="Times New Roman" w:cs="Times New Roman"/>
          <w:b/>
          <w:bCs/>
          <w:sz w:val="24"/>
          <w:szCs w:val="24"/>
        </w:rPr>
        <w:t>THE PUBLIC UTILITIES COMMISSION OF OHIO</w:t>
      </w:r>
    </w:p>
    <w:p w:rsidR="00836BDA" w:rsidRPr="00A45537" w:rsidP="00D4185C" w14:paraId="3035DE4B" w14:textId="77777777">
      <w:pPr>
        <w:pStyle w:val="HTMLPreformatted"/>
        <w:rPr>
          <w:rFonts w:ascii="Times New Roman" w:hAnsi="Times New Roman" w:cs="Times New Roman"/>
          <w:sz w:val="24"/>
          <w:szCs w:val="24"/>
        </w:rPr>
      </w:pPr>
    </w:p>
    <w:tbl>
      <w:tblPr>
        <w:tblW w:w="9468" w:type="dxa"/>
        <w:tblLook w:val="01E0"/>
      </w:tblPr>
      <w:tblGrid>
        <w:gridCol w:w="4590"/>
        <w:gridCol w:w="378"/>
        <w:gridCol w:w="4500"/>
      </w:tblGrid>
      <w:tr w14:paraId="18B9DF74" w14:textId="77777777" w:rsidTr="00B50ED6">
        <w:tblPrEx>
          <w:tblW w:w="9468" w:type="dxa"/>
          <w:tblLook w:val="01E0"/>
        </w:tblPrEx>
        <w:trPr>
          <w:trHeight w:val="807"/>
        </w:trPr>
        <w:tc>
          <w:tcPr>
            <w:tcW w:w="4590" w:type="dxa"/>
            <w:shd w:val="clear" w:color="auto" w:fill="auto"/>
          </w:tcPr>
          <w:p w:rsidR="00023E2B" w:rsidRPr="00A45537" w:rsidP="00EA6C58" w14:paraId="287AA416" w14:textId="77777777">
            <w:pPr>
              <w:pStyle w:val="HTMLPreformatted"/>
              <w:rPr>
                <w:rFonts w:ascii="Times New Roman" w:hAnsi="Times New Roman" w:cs="Times New Roman"/>
                <w:sz w:val="24"/>
                <w:szCs w:val="24"/>
              </w:rPr>
            </w:pPr>
            <w:r w:rsidRPr="00A45537">
              <w:rPr>
                <w:rFonts w:ascii="Times New Roman" w:hAnsi="Times New Roman" w:cs="Times New Roman"/>
                <w:sz w:val="24"/>
                <w:szCs w:val="24"/>
              </w:rPr>
              <w:t>In the Matter of the Application of The Dayton Power and Light Company for Approval to Defer Distribution Decoupling Costs.</w:t>
            </w:r>
          </w:p>
        </w:tc>
        <w:tc>
          <w:tcPr>
            <w:tcW w:w="378" w:type="dxa"/>
            <w:shd w:val="clear" w:color="auto" w:fill="auto"/>
          </w:tcPr>
          <w:p w:rsidR="00023E2B" w:rsidRPr="00A45537" w:rsidP="00EA6C58" w14:paraId="03F5ACB9" w14:textId="77777777">
            <w:pPr>
              <w:pStyle w:val="HTMLPreformatted"/>
              <w:rPr>
                <w:rFonts w:ascii="Times New Roman" w:hAnsi="Times New Roman" w:cs="Times New Roman"/>
                <w:sz w:val="24"/>
                <w:szCs w:val="24"/>
              </w:rPr>
            </w:pPr>
            <w:r w:rsidRPr="00A45537">
              <w:rPr>
                <w:rFonts w:ascii="Times New Roman" w:hAnsi="Times New Roman" w:cs="Times New Roman"/>
                <w:sz w:val="24"/>
                <w:szCs w:val="24"/>
              </w:rPr>
              <w:t>)</w:t>
            </w:r>
          </w:p>
          <w:p w:rsidR="00023E2B" w:rsidRPr="00A45537" w:rsidP="00EA6C58" w14:paraId="02EFE8B0" w14:textId="77777777">
            <w:pPr>
              <w:pStyle w:val="HTMLPreformatted"/>
              <w:rPr>
                <w:rFonts w:ascii="Times New Roman" w:hAnsi="Times New Roman" w:cs="Times New Roman"/>
                <w:sz w:val="24"/>
                <w:szCs w:val="24"/>
              </w:rPr>
            </w:pPr>
            <w:r w:rsidRPr="00A45537">
              <w:rPr>
                <w:rFonts w:ascii="Times New Roman" w:hAnsi="Times New Roman" w:cs="Times New Roman"/>
                <w:sz w:val="24"/>
                <w:szCs w:val="24"/>
              </w:rPr>
              <w:t>)</w:t>
            </w:r>
          </w:p>
          <w:p w:rsidR="00023E2B" w:rsidRPr="00A45537" w:rsidP="00EA6C58" w14:paraId="48BE533F" w14:textId="77777777">
            <w:pPr>
              <w:pStyle w:val="HTMLPreformatted"/>
              <w:rPr>
                <w:rFonts w:ascii="Times New Roman" w:hAnsi="Times New Roman" w:cs="Times New Roman"/>
                <w:sz w:val="24"/>
                <w:szCs w:val="24"/>
              </w:rPr>
            </w:pPr>
            <w:r w:rsidRPr="00A45537">
              <w:rPr>
                <w:rFonts w:ascii="Times New Roman" w:hAnsi="Times New Roman" w:cs="Times New Roman"/>
                <w:sz w:val="24"/>
                <w:szCs w:val="24"/>
              </w:rPr>
              <w:t>)</w:t>
            </w:r>
          </w:p>
          <w:p w:rsidR="00023E2B" w:rsidRPr="00A45537" w:rsidP="00EA6C58" w14:paraId="488C7147" w14:textId="77777777">
            <w:pPr>
              <w:pStyle w:val="HTMLPreformatted"/>
              <w:rPr>
                <w:rFonts w:ascii="Times New Roman" w:hAnsi="Times New Roman" w:cs="Times New Roman"/>
                <w:sz w:val="24"/>
                <w:szCs w:val="24"/>
              </w:rPr>
            </w:pPr>
            <w:r w:rsidRPr="00A45537">
              <w:rPr>
                <w:rFonts w:ascii="Times New Roman" w:hAnsi="Times New Roman" w:cs="Times New Roman"/>
                <w:sz w:val="24"/>
                <w:szCs w:val="24"/>
              </w:rPr>
              <w:t>)</w:t>
            </w:r>
          </w:p>
        </w:tc>
        <w:tc>
          <w:tcPr>
            <w:tcW w:w="4500" w:type="dxa"/>
            <w:shd w:val="clear" w:color="auto" w:fill="auto"/>
          </w:tcPr>
          <w:p w:rsidR="00023E2B" w:rsidRPr="00A45537" w:rsidP="00EA6C58" w14:paraId="4EE29605" w14:textId="77777777">
            <w:pPr>
              <w:pStyle w:val="HTMLPreformatted"/>
              <w:rPr>
                <w:rFonts w:ascii="Times New Roman" w:hAnsi="Times New Roman" w:cs="Times New Roman"/>
                <w:sz w:val="24"/>
                <w:szCs w:val="24"/>
              </w:rPr>
            </w:pPr>
          </w:p>
          <w:p w:rsidR="00023E2B" w:rsidRPr="00A45537" w:rsidP="00EA6C58" w14:paraId="65A226DD" w14:textId="77777777">
            <w:pPr>
              <w:pStyle w:val="HTMLPreformatted"/>
              <w:rPr>
                <w:rFonts w:ascii="Times New Roman" w:hAnsi="Times New Roman" w:cs="Times New Roman"/>
                <w:sz w:val="24"/>
                <w:szCs w:val="24"/>
              </w:rPr>
            </w:pPr>
            <w:r w:rsidRPr="00A45537">
              <w:rPr>
                <w:rFonts w:ascii="Times New Roman" w:hAnsi="Times New Roman" w:cs="Times New Roman"/>
                <w:sz w:val="24"/>
                <w:szCs w:val="24"/>
              </w:rPr>
              <w:t>Case No. 20-140-EL-AAM</w:t>
            </w:r>
          </w:p>
        </w:tc>
      </w:tr>
    </w:tbl>
    <w:p w:rsidR="00836BDA" w:rsidRPr="00A45537" w:rsidP="00D4185C" w14:paraId="01168CE6" w14:textId="77777777">
      <w:pPr>
        <w:pStyle w:val="HTMLPreformatted"/>
        <w:rPr>
          <w:rFonts w:ascii="Times New Roman" w:hAnsi="Times New Roman" w:cs="Times New Roman"/>
          <w:sz w:val="24"/>
          <w:szCs w:val="24"/>
        </w:rPr>
      </w:pPr>
    </w:p>
    <w:p w:rsidR="00836BDA" w:rsidRPr="00A45537" w:rsidP="00D4185C" w14:paraId="592801EF" w14:textId="77777777">
      <w:pPr>
        <w:pStyle w:val="HTMLPreformatted"/>
        <w:pBdr>
          <w:top w:val="single" w:sz="12" w:space="1" w:color="auto"/>
        </w:pBdr>
        <w:rPr>
          <w:rFonts w:ascii="Times New Roman" w:hAnsi="Times New Roman" w:cs="Times New Roman"/>
          <w:sz w:val="24"/>
          <w:szCs w:val="24"/>
        </w:rPr>
      </w:pPr>
    </w:p>
    <w:p w:rsidR="00B20BB6" w:rsidRPr="00A45537" w:rsidP="00B20BB6" w14:paraId="3474001A" w14:textId="77777777">
      <w:pPr>
        <w:jc w:val="center"/>
        <w:rPr>
          <w:b/>
          <w:bCs/>
          <w:szCs w:val="24"/>
        </w:rPr>
      </w:pPr>
      <w:r>
        <w:rPr>
          <w:b/>
          <w:bCs/>
          <w:szCs w:val="24"/>
        </w:rPr>
        <w:t>INITIAL</w:t>
      </w:r>
      <w:r w:rsidRPr="00A45537">
        <w:rPr>
          <w:b/>
          <w:bCs/>
          <w:szCs w:val="24"/>
        </w:rPr>
        <w:t xml:space="preserve"> BRIEF</w:t>
      </w:r>
      <w:r>
        <w:rPr>
          <w:b/>
          <w:bCs/>
          <w:szCs w:val="24"/>
        </w:rPr>
        <w:t xml:space="preserve"> FOR CONSUMER PROTECTION</w:t>
      </w:r>
    </w:p>
    <w:p w:rsidR="00836BDA" w:rsidRPr="00A45537" w:rsidP="00D4185C" w14:paraId="7FB6E50D" w14:textId="77777777">
      <w:pPr>
        <w:jc w:val="center"/>
        <w:rPr>
          <w:b/>
          <w:bCs/>
          <w:szCs w:val="24"/>
        </w:rPr>
      </w:pPr>
      <w:r w:rsidRPr="00A45537">
        <w:rPr>
          <w:b/>
          <w:bCs/>
          <w:szCs w:val="24"/>
        </w:rPr>
        <w:t>BY</w:t>
      </w:r>
    </w:p>
    <w:p w:rsidR="00836BDA" w:rsidRPr="00A45537" w:rsidP="00D4185C" w14:paraId="267E1D55" w14:textId="43EF8A2A">
      <w:pPr>
        <w:jc w:val="center"/>
        <w:rPr>
          <w:b/>
          <w:bCs/>
          <w:szCs w:val="24"/>
        </w:rPr>
      </w:pPr>
      <w:r w:rsidRPr="00A45537">
        <w:rPr>
          <w:b/>
          <w:bCs/>
          <w:szCs w:val="24"/>
        </w:rPr>
        <w:t>OFFICE OF THE OHIO CONSUMERS’ COUNSEL</w:t>
      </w:r>
    </w:p>
    <w:p w:rsidR="00836BDA" w:rsidRPr="00A45537" w:rsidP="00D4185C" w14:paraId="4F381839" w14:textId="77777777">
      <w:pPr>
        <w:pBdr>
          <w:bottom w:val="single" w:sz="12" w:space="1" w:color="auto"/>
        </w:pBdr>
        <w:tabs>
          <w:tab w:val="left" w:pos="4320"/>
        </w:tabs>
        <w:rPr>
          <w:szCs w:val="24"/>
        </w:rPr>
      </w:pPr>
    </w:p>
    <w:p w:rsidR="00836BDA" w:rsidRPr="00A45537" w:rsidP="00D4185C" w14:paraId="36063473" w14:textId="77777777">
      <w:pPr>
        <w:tabs>
          <w:tab w:val="left" w:pos="4320"/>
        </w:tabs>
        <w:rPr>
          <w:szCs w:val="24"/>
        </w:rPr>
      </w:pPr>
    </w:p>
    <w:p w:rsidR="0069402D" w:rsidRPr="00A45537" w:rsidP="00CD2C14" w14:paraId="2716EF47" w14:textId="19DD969A">
      <w:pPr>
        <w:pStyle w:val="Heading1"/>
      </w:pPr>
      <w:bookmarkStart w:id="0" w:name="_Toc74571227"/>
      <w:r w:rsidRPr="00A45537">
        <w:t>INTRODUCTION</w:t>
      </w:r>
      <w:bookmarkEnd w:id="0"/>
    </w:p>
    <w:p w:rsidR="00C43E0C" w:rsidP="00DB3BBC" w14:paraId="40B5F4B8" w14:textId="5673C8C2">
      <w:pPr>
        <w:spacing w:line="480" w:lineRule="auto"/>
        <w:ind w:firstLine="720"/>
      </w:pPr>
      <w:r>
        <w:t>DP&amp;L</w:t>
      </w:r>
      <w:r w:rsidR="00DB7173">
        <w:t xml:space="preserve"> (AES)</w:t>
      </w:r>
      <w:r w:rsidR="002A505A">
        <w:t xml:space="preserve"> had a decoupling charge, unfortunately for Dayton-area consumers who paid it.</w:t>
      </w:r>
      <w:r>
        <w:t xml:space="preserve"> </w:t>
      </w:r>
      <w:r w:rsidR="002A505A">
        <w:t>(Recall that FirstEnergy’s former CEO described its House Bill 6 decoupling as “recession-proofing.”)</w:t>
      </w:r>
      <w:r>
        <w:rPr>
          <w:rStyle w:val="FootnoteReference"/>
        </w:rPr>
        <w:footnoteReference w:id="2"/>
      </w:r>
      <w:r w:rsidR="002A505A">
        <w:t xml:space="preserve"> </w:t>
      </w:r>
      <w:r>
        <w:t>It is difficult to say there is much that is favorable for consumers with DP&amp;L’s recent cases, but DP&amp;L did give up its decoupling charge</w:t>
      </w:r>
      <w:r w:rsidR="00F341E7">
        <w:t xml:space="preserve"> when it</w:t>
      </w:r>
      <w:r>
        <w:t xml:space="preserve"> voluntarily withdr</w:t>
      </w:r>
      <w:r w:rsidR="00F341E7">
        <w:t>ew</w:t>
      </w:r>
      <w:r>
        <w:rPr>
          <w:rStyle w:val="FootnoteReference"/>
        </w:rPr>
        <w:footnoteReference w:id="3"/>
      </w:r>
      <w:r>
        <w:t xml:space="preserve"> its </w:t>
      </w:r>
      <w:r w:rsidR="000C257E">
        <w:t xml:space="preserve">third </w:t>
      </w:r>
      <w:r>
        <w:t>electric security plan.</w:t>
      </w:r>
      <w:r>
        <w:rPr>
          <w:rStyle w:val="FootnoteReference"/>
        </w:rPr>
        <w:footnoteReference w:id="4"/>
      </w:r>
      <w:r>
        <w:t xml:space="preserve"> Or so it seemed.</w:t>
      </w:r>
    </w:p>
    <w:p w:rsidR="00961B18" w:rsidP="00DB3BBC" w14:paraId="01768845" w14:textId="2716261F">
      <w:pPr>
        <w:spacing w:line="480" w:lineRule="auto"/>
        <w:ind w:firstLine="720"/>
      </w:pPr>
      <w:r>
        <w:t>Now DP&amp;L wants to have it both ways, seeking</w:t>
      </w:r>
      <w:r w:rsidR="00C43E0C">
        <w:t xml:space="preserve"> to</w:t>
      </w:r>
      <w:r>
        <w:t xml:space="preserve"> </w:t>
      </w:r>
      <w:r w:rsidR="00C43E0C">
        <w:t>use the anti-consumer mechanism of a</w:t>
      </w:r>
      <w:r>
        <w:t xml:space="preserve"> </w:t>
      </w:r>
      <w:r w:rsidR="00C43E0C">
        <w:t>so-called “</w:t>
      </w:r>
      <w:r>
        <w:t>deferral</w:t>
      </w:r>
      <w:r w:rsidR="00C43E0C">
        <w:t>”</w:t>
      </w:r>
      <w:r>
        <w:t xml:space="preserve"> for the very same </w:t>
      </w:r>
      <w:r w:rsidR="00C43E0C">
        <w:t xml:space="preserve">decoupling </w:t>
      </w:r>
      <w:r>
        <w:t>charges that it walk</w:t>
      </w:r>
      <w:r w:rsidR="00C43E0C">
        <w:t>ed</w:t>
      </w:r>
      <w:r>
        <w:t xml:space="preserve"> away from.</w:t>
      </w:r>
      <w:r w:rsidR="00A50AAF">
        <w:t xml:space="preserve"> </w:t>
      </w:r>
      <w:r>
        <w:t>Combining the utility-friendly ratemaking for deferrals and decoupling would be a double whammy for Dayton consumers.</w:t>
      </w:r>
      <w:r w:rsidR="00250DFB">
        <w:t xml:space="preserve"> </w:t>
      </w:r>
    </w:p>
    <w:p w:rsidR="00A603F0" w:rsidP="00BC25A7" w14:paraId="5DA0CE74" w14:textId="77777777">
      <w:pPr>
        <w:spacing w:line="480" w:lineRule="auto"/>
        <w:ind w:firstLine="720"/>
        <w:sectPr w:rsidSect="00F1443A">
          <w:footerReference w:type="default" r:id="rId6"/>
          <w:footerReference w:type="first" r:id="rId7"/>
          <w:pgSz w:w="12240" w:h="15840"/>
          <w:pgMar w:top="1440" w:right="1440" w:bottom="1440" w:left="1440" w:header="720" w:footer="720" w:gutter="0"/>
          <w:pgNumType w:start="2"/>
          <w:cols w:space="720"/>
          <w:titlePg/>
          <w:docGrid w:linePitch="326"/>
        </w:sectPr>
      </w:pPr>
      <w:r>
        <w:t xml:space="preserve">But </w:t>
      </w:r>
      <w:r w:rsidR="00C43E0C">
        <w:t xml:space="preserve">Ohio law does not allow </w:t>
      </w:r>
      <w:r>
        <w:t>DP&amp;L to have its cake and eat it too. Ohio’s 2008 electric law favored utilities with such powers as the right to withdraw its electric security plan if the</w:t>
      </w:r>
    </w:p>
    <w:p w:rsidR="00FD1401" w:rsidP="00A603F0" w14:paraId="08F63802" w14:textId="7D1D2AC7">
      <w:pPr>
        <w:spacing w:line="480" w:lineRule="auto"/>
      </w:pPr>
      <w:r>
        <w:t>utility doesn’t like the PUCO’s order</w:t>
      </w:r>
      <w:r w:rsidR="00372BC4">
        <w:t>.</w:t>
      </w:r>
      <w:r>
        <w:rPr>
          <w:rStyle w:val="FootnoteReference"/>
        </w:rPr>
        <w:footnoteReference w:id="5"/>
      </w:r>
      <w:r>
        <w:t xml:space="preserve"> (</w:t>
      </w:r>
      <w:r w:rsidR="00372BC4">
        <w:t>It’s an</w:t>
      </w:r>
      <w:r>
        <w:t xml:space="preserve"> odd </w:t>
      </w:r>
      <w:r w:rsidR="00372BC4">
        <w:t>statute</w:t>
      </w:r>
      <w:r>
        <w:t xml:space="preserve"> that essentially allows the regulated utility to overrule the regulator</w:t>
      </w:r>
      <w:r w:rsidR="0098108F">
        <w:t>.</w:t>
      </w:r>
      <w:r>
        <w:t>) DP&amp;L exercised that</w:t>
      </w:r>
      <w:r w:rsidR="00425E9D">
        <w:t xml:space="preserve"> case withdrawal</w:t>
      </w:r>
      <w:r>
        <w:t xml:space="preserve"> right (to its benefit, of course), and cannot now be heard to </w:t>
      </w:r>
      <w:r w:rsidR="005D7E7C">
        <w:t>complain that it wants even more from consumers.</w:t>
      </w:r>
      <w:r w:rsidR="00425E9D">
        <w:t xml:space="preserve"> </w:t>
      </w:r>
    </w:p>
    <w:p w:rsidR="005D7E7C" w:rsidP="00DB3BBC" w14:paraId="3AA9420C" w14:textId="6FC34011">
      <w:pPr>
        <w:spacing w:line="480" w:lineRule="auto"/>
        <w:ind w:firstLine="720"/>
      </w:pPr>
      <w:r>
        <w:t>Indeed, the PUCO already has rejected DP&amp;L’s attempt to game the system</w:t>
      </w:r>
      <w:r w:rsidR="00FD1401">
        <w:t xml:space="preserve"> with a revival of its defunct </w:t>
      </w:r>
      <w:r w:rsidR="00CD29E4">
        <w:t>decoupling charge</w:t>
      </w:r>
      <w:r>
        <w:t>.</w:t>
      </w:r>
      <w:r>
        <w:rPr>
          <w:rStyle w:val="FootnoteReference"/>
        </w:rPr>
        <w:footnoteReference w:id="6"/>
      </w:r>
      <w:r w:rsidR="00CD29E4">
        <w:t xml:space="preserve"> DP&amp;L’s new application is more of the same maneuvering, this time with a decoupling charge masquerading as a deferral.</w:t>
      </w:r>
    </w:p>
    <w:p w:rsidR="00372BC4" w:rsidP="00DB3BBC" w14:paraId="6269D06A" w14:textId="37D251AA">
      <w:pPr>
        <w:spacing w:line="480" w:lineRule="auto"/>
        <w:ind w:firstLine="720"/>
        <w:rPr>
          <w:rFonts w:cstheme="minorBidi"/>
        </w:rPr>
      </w:pPr>
      <w:r>
        <w:t>Of course, d</w:t>
      </w:r>
      <w:r w:rsidR="005D7E7C">
        <w:t xml:space="preserve">eferrals (which utilities like to describe as mere accounting) are the gateway to </w:t>
      </w:r>
      <w:r w:rsidR="00233766">
        <w:t>rate increases (that are not mere accounting for consumers).</w:t>
      </w:r>
      <w:r>
        <w:t xml:space="preserve"> </w:t>
      </w:r>
      <w:r w:rsidR="00A66EDE">
        <w:t>T</w:t>
      </w:r>
      <w:r>
        <w:t>hat’s why DP&amp;L would make its deferrals proposal.</w:t>
      </w:r>
      <w:r w:rsidR="00233766">
        <w:t xml:space="preserve"> Indeed, the Ohio Supreme Court overturned a PUCO decision regarding an OCC intervention</w:t>
      </w:r>
      <w:r w:rsidR="00FD7258">
        <w:t>.</w:t>
      </w:r>
      <w:r w:rsidR="00233766">
        <w:t xml:space="preserve"> </w:t>
      </w:r>
      <w:r w:rsidR="00FD7258">
        <w:t>T</w:t>
      </w:r>
      <w:r w:rsidR="00233766">
        <w:t>here</w:t>
      </w:r>
      <w:r w:rsidR="00FD7258">
        <w:t>,</w:t>
      </w:r>
      <w:r w:rsidR="00233766">
        <w:t xml:space="preserve"> the PUCO was </w:t>
      </w:r>
      <w:r w:rsidR="00FD7258">
        <w:t>mistakenly</w:t>
      </w:r>
      <w:r w:rsidR="00233766">
        <w:t xml:space="preserve"> in denial </w:t>
      </w:r>
      <w:r w:rsidR="00FD7258">
        <w:t>of the fact that,</w:t>
      </w:r>
      <w:r w:rsidR="004E0B86">
        <w:t xml:space="preserve"> according to the Court,</w:t>
      </w:r>
      <w:r w:rsidR="00233766">
        <w:t xml:space="preserve"> </w:t>
      </w:r>
      <w:r w:rsidR="004E0B86">
        <w:t>“</w:t>
      </w:r>
      <w:r w:rsidRPr="00250DFB" w:rsidR="00233766">
        <w:t>deferrals</w:t>
      </w:r>
      <w:r w:rsidRPr="00233766" w:rsidR="00233766">
        <w:t> are a prelude to possible rate increases for the companies' customers…</w:t>
      </w:r>
      <w:r w:rsidR="00233766">
        <w:t>.”</w:t>
      </w:r>
      <w:r>
        <w:rPr>
          <w:rStyle w:val="FootnoteReference"/>
          <w:rFonts w:cstheme="minorBidi"/>
        </w:rPr>
        <w:footnoteReference w:id="7"/>
      </w:r>
      <w:r w:rsidR="006B1F37">
        <w:rPr>
          <w:rFonts w:cstheme="minorBidi"/>
        </w:rPr>
        <w:t xml:space="preserve"> </w:t>
      </w:r>
    </w:p>
    <w:p w:rsidR="00F341E7" w:rsidP="00DB3BBC" w14:paraId="3046E2F6" w14:textId="6A048ABA">
      <w:pPr>
        <w:spacing w:line="480" w:lineRule="auto"/>
        <w:ind w:firstLine="720"/>
      </w:pPr>
      <w:r>
        <w:t>The PUCO should require DP&amp;L to live with the consequences of its choice</w:t>
      </w:r>
      <w:r w:rsidR="00372BC4">
        <w:t xml:space="preserve"> (under the already-favorable 2008 law)</w:t>
      </w:r>
      <w:r>
        <w:t xml:space="preserve"> to withdraw from</w:t>
      </w:r>
      <w:r w:rsidR="00372BC4">
        <w:t xml:space="preserve"> its</w:t>
      </w:r>
      <w:r>
        <w:t xml:space="preserve"> ESP III</w:t>
      </w:r>
      <w:r w:rsidR="00372BC4">
        <w:t xml:space="preserve">. The PUCO </w:t>
      </w:r>
      <w:r w:rsidR="00FD7258">
        <w:t>lacks the authority to</w:t>
      </w:r>
      <w:r w:rsidR="004E0B86">
        <w:t xml:space="preserve"> legislate to</w:t>
      </w:r>
      <w:r w:rsidR="00372BC4">
        <w:t xml:space="preserve"> make the law even more favorable to </w:t>
      </w:r>
      <w:r w:rsidR="004E0B86">
        <w:t>DP&amp;L.</w:t>
      </w:r>
      <w:r w:rsidR="00250DFB">
        <w:t xml:space="preserve"> </w:t>
      </w:r>
    </w:p>
    <w:p w:rsidR="000D4A0C" w:rsidP="00EC1F50" w14:paraId="15396469" w14:textId="12EB91B3">
      <w:pPr>
        <w:spacing w:line="480" w:lineRule="auto"/>
        <w:ind w:firstLine="720"/>
        <w:rPr>
          <w:szCs w:val="24"/>
        </w:rPr>
      </w:pPr>
      <w:r>
        <w:t>As background</w:t>
      </w:r>
      <w:r w:rsidR="00BD1909">
        <w:t xml:space="preserve">, </w:t>
      </w:r>
      <w:r w:rsidRPr="00250DFB" w:rsidR="00BD1909">
        <w:rPr>
          <w:i/>
          <w:iCs/>
        </w:rPr>
        <w:t>d</w:t>
      </w:r>
      <w:r w:rsidRPr="00250DFB" w:rsidR="00377818">
        <w:rPr>
          <w:i/>
          <w:iCs/>
        </w:rPr>
        <w:t>ecoupling</w:t>
      </w:r>
      <w:r w:rsidR="00377818">
        <w:t xml:space="preserve"> allows a utility to be made whole (</w:t>
      </w:r>
      <w:r w:rsidR="007E53D2">
        <w:t xml:space="preserve">unfortunately guaranteed </w:t>
      </w:r>
      <w:r w:rsidR="00377818">
        <w:t xml:space="preserve">at consumer expense) if its sales </w:t>
      </w:r>
      <w:r w:rsidR="00F1443A">
        <w:t>decline.</w:t>
      </w:r>
      <w:r w:rsidR="00BD1909">
        <w:t xml:space="preserve"> In theory, decoupling can be a charge to consumers (if the utility’s revenues are lower than expected) or a credit (if the utility’s revenues are higher than expected).</w:t>
      </w:r>
      <w:r>
        <w:t xml:space="preserve"> (The PUCO should be skeptical about utility claims that consumers could receive credits under decoupling.)</w:t>
      </w:r>
      <w:r w:rsidR="00250DFB">
        <w:t xml:space="preserve"> </w:t>
      </w:r>
      <w:r w:rsidRPr="00250DFB" w:rsidR="00E43FC4">
        <w:rPr>
          <w:i/>
          <w:iCs/>
        </w:rPr>
        <w:t>D</w:t>
      </w:r>
      <w:r w:rsidRPr="00250DFB" w:rsidR="00377818">
        <w:rPr>
          <w:i/>
          <w:iCs/>
        </w:rPr>
        <w:t>eferral</w:t>
      </w:r>
      <w:r>
        <w:rPr>
          <w:i/>
          <w:iCs/>
        </w:rPr>
        <w:t>s</w:t>
      </w:r>
      <w:r w:rsidR="00377818">
        <w:t xml:space="preserve"> enable a utility to hold costs (that it could not yet charge to consumers) in an account for potential future collection from customers, if allowed by the </w:t>
      </w:r>
      <w:r w:rsidR="00377818">
        <w:t>PUCO</w:t>
      </w:r>
      <w:r w:rsidR="00E43FC4">
        <w:t>.</w:t>
      </w:r>
      <w:r>
        <w:t xml:space="preserve"> (Once deferrals are allowed, the PUCO unfortunately tends to </w:t>
      </w:r>
      <w:r w:rsidR="00D607D0">
        <w:t xml:space="preserve">later </w:t>
      </w:r>
      <w:r>
        <w:t>say “yes” to charging consumers.)</w:t>
      </w:r>
      <w:r w:rsidR="00E43FC4">
        <w:t xml:space="preserve"> </w:t>
      </w:r>
      <w:r w:rsidR="00470E07">
        <w:t>But d</w:t>
      </w:r>
      <w:r w:rsidR="00377818">
        <w:t xml:space="preserve">espite DP&amp;L’s preference for </w:t>
      </w:r>
      <w:r w:rsidR="00BD1909">
        <w:t>decoupling</w:t>
      </w:r>
      <w:r w:rsidR="00377818">
        <w:t>, its current electric security plan</w:t>
      </w:r>
      <w:r w:rsidR="00F23C8D">
        <w:t>, ESP</w:t>
      </w:r>
      <w:r w:rsidR="00EC1F50">
        <w:t xml:space="preserve"> </w:t>
      </w:r>
      <w:r w:rsidR="00F23C8D">
        <w:t>I</w:t>
      </w:r>
      <w:r w:rsidR="00BD1909">
        <w:t>, does not include decoupling or authority to defer decoupling</w:t>
      </w:r>
      <w:r w:rsidR="00377818">
        <w:t>.</w:t>
      </w:r>
      <w:r>
        <w:rPr>
          <w:rStyle w:val="FootnoteReference"/>
        </w:rPr>
        <w:footnoteReference w:id="8"/>
      </w:r>
      <w:r w:rsidR="00377818">
        <w:t xml:space="preserve"> </w:t>
      </w:r>
      <w:r w:rsidRPr="00A45537" w:rsidR="00377818">
        <w:rPr>
          <w:szCs w:val="24"/>
        </w:rPr>
        <w:t>DP&amp;L’s application should be denied.</w:t>
      </w:r>
    </w:p>
    <w:p w:rsidR="000D4A0C" w:rsidP="000D4A0C" w14:paraId="7E81FE51" w14:textId="77777777">
      <w:pPr>
        <w:rPr>
          <w:szCs w:val="24"/>
        </w:rPr>
      </w:pPr>
    </w:p>
    <w:p w:rsidR="00A837AD" w:rsidRPr="00A45537" w:rsidP="00F10C1E" w14:paraId="089091C6" w14:textId="1C5E8CC7">
      <w:pPr>
        <w:pStyle w:val="Heading1"/>
      </w:pPr>
      <w:bookmarkStart w:id="1" w:name="_Toc74571228"/>
      <w:r w:rsidRPr="00A45537">
        <w:t>RECOMMENDATIONS</w:t>
      </w:r>
      <w:bookmarkEnd w:id="1"/>
    </w:p>
    <w:p w:rsidR="001E686E" w:rsidP="00FD1686" w14:paraId="29DD883D" w14:textId="72413FCA">
      <w:pPr>
        <w:pStyle w:val="Heading2"/>
        <w:tabs>
          <w:tab w:val="clear" w:pos="4320"/>
        </w:tabs>
        <w:ind w:left="1440" w:hanging="720"/>
      </w:pPr>
      <w:bookmarkStart w:id="2" w:name="_Toc74571229"/>
      <w:bookmarkStart w:id="3" w:name="_Toc45699261"/>
      <w:r>
        <w:t>To protect consumers t</w:t>
      </w:r>
      <w:r w:rsidRPr="00A45537">
        <w:t xml:space="preserve">he PUCO should reject DP&amp;L’s request </w:t>
      </w:r>
      <w:r w:rsidR="001A05E4">
        <w:t>for</w:t>
      </w:r>
      <w:r w:rsidR="00CF30AE">
        <w:t xml:space="preserve"> </w:t>
      </w:r>
      <w:r w:rsidRPr="00A45537">
        <w:t>decoupling</w:t>
      </w:r>
      <w:r w:rsidR="00685424">
        <w:t xml:space="preserve"> deferral</w:t>
      </w:r>
      <w:bookmarkStart w:id="4" w:name="_Toc45699260"/>
      <w:r w:rsidRPr="00A45537">
        <w:t xml:space="preserve"> </w:t>
      </w:r>
      <w:bookmarkEnd w:id="4"/>
      <w:r w:rsidR="001A05E4">
        <w:t>authority.</w:t>
      </w:r>
      <w:bookmarkEnd w:id="2"/>
    </w:p>
    <w:p w:rsidR="00EC1F50" w:rsidRPr="00EC1F50" w:rsidP="00EC1F50" w14:paraId="4C391853" w14:textId="2DDE5D24">
      <w:pPr>
        <w:ind w:left="1440"/>
        <w:rPr>
          <w:b/>
          <w:bCs/>
        </w:rPr>
      </w:pPr>
      <w:r w:rsidRPr="00EC1F50">
        <w:rPr>
          <w:b/>
          <w:bCs/>
        </w:rPr>
        <w:t>and</w:t>
      </w:r>
    </w:p>
    <w:p w:rsidR="00EC1F50" w:rsidRPr="00EC1F50" w:rsidP="00EC1F50" w14:paraId="79404C3C" w14:textId="77777777">
      <w:pPr>
        <w:ind w:left="1440"/>
      </w:pPr>
    </w:p>
    <w:p w:rsidR="000B591F" w:rsidRPr="00250DFB" w:rsidP="00250DFB" w14:paraId="40E42E1F" w14:textId="2B4416A9">
      <w:pPr>
        <w:ind w:left="1440" w:hanging="720"/>
        <w:rPr>
          <w:b/>
          <w:bCs/>
        </w:rPr>
      </w:pPr>
      <w:r w:rsidRPr="00EC1F50">
        <w:rPr>
          <w:b/>
          <w:bCs/>
        </w:rPr>
        <w:t>B</w:t>
      </w:r>
      <w:r>
        <w:t>.</w:t>
      </w:r>
      <w:r>
        <w:tab/>
      </w:r>
      <w:r w:rsidRPr="00250DFB" w:rsidR="00E25786">
        <w:rPr>
          <w:b/>
          <w:bCs/>
        </w:rPr>
        <w:t xml:space="preserve">DP&amp;L’s Application in this case cannot be heard and must be denied by the PUCO because the Application is, in reality, an untimely </w:t>
      </w:r>
      <w:r w:rsidR="00064835">
        <w:rPr>
          <w:b/>
          <w:bCs/>
        </w:rPr>
        <w:t>application for rehearing</w:t>
      </w:r>
      <w:r w:rsidRPr="00250DFB" w:rsidR="00E25786">
        <w:rPr>
          <w:b/>
          <w:bCs/>
        </w:rPr>
        <w:t xml:space="preserve"> under R.C. 4903.10 that the PUCO has no jurisdiction to entertain at this late date. </w:t>
      </w:r>
    </w:p>
    <w:p w:rsidR="00E25786" w:rsidRPr="000B591F" w:rsidP="00250DFB" w14:paraId="41B1E180" w14:textId="77777777">
      <w:pPr>
        <w:ind w:left="720"/>
      </w:pPr>
    </w:p>
    <w:p w:rsidR="000B591F" w:rsidP="000432ED" w14:paraId="0D1EAF90" w14:textId="590F4FAF">
      <w:pPr>
        <w:spacing w:line="480" w:lineRule="auto"/>
        <w:ind w:firstLine="720"/>
        <w:rPr>
          <w:szCs w:val="24"/>
        </w:rPr>
      </w:pPr>
      <w:r>
        <w:rPr>
          <w:szCs w:val="24"/>
        </w:rPr>
        <w:t xml:space="preserve">The PUCO should adopt OCC’s arguments A and B. </w:t>
      </w:r>
      <w:r w:rsidR="000432ED">
        <w:rPr>
          <w:szCs w:val="24"/>
        </w:rPr>
        <w:t>Ohio law provides that if a</w:t>
      </w:r>
      <w:r w:rsidRPr="00464EFA" w:rsidR="000432ED">
        <w:rPr>
          <w:color w:val="333333"/>
          <w:szCs w:val="24"/>
          <w:shd w:val="clear" w:color="auto" w:fill="FFFFFF"/>
        </w:rPr>
        <w:t xml:space="preserve"> </w:t>
      </w:r>
      <w:r w:rsidR="000432ED">
        <w:rPr>
          <w:color w:val="333333"/>
          <w:szCs w:val="24"/>
          <w:shd w:val="clear" w:color="auto" w:fill="FFFFFF"/>
        </w:rPr>
        <w:t>“…</w:t>
      </w:r>
      <w:r w:rsidRPr="00464EFA" w:rsidR="000432ED">
        <w:rPr>
          <w:color w:val="333333"/>
          <w:szCs w:val="24"/>
          <w:shd w:val="clear" w:color="auto" w:fill="FFFFFF"/>
        </w:rPr>
        <w:t xml:space="preserve">utility terminates an application </w:t>
      </w:r>
      <w:r w:rsidR="000432ED">
        <w:rPr>
          <w:color w:val="333333"/>
          <w:szCs w:val="24"/>
          <w:shd w:val="clear" w:color="auto" w:fill="FFFFFF"/>
        </w:rPr>
        <w:t>[for an electric security plan]…</w:t>
      </w:r>
      <w:r w:rsidRPr="00464EFA" w:rsidR="000432ED">
        <w:rPr>
          <w:color w:val="333333"/>
          <w:szCs w:val="24"/>
          <w:shd w:val="clear" w:color="auto" w:fill="FFFFFF"/>
        </w:rPr>
        <w:t>or if the commission disapproves an application</w:t>
      </w:r>
      <w:r w:rsidR="000432ED">
        <w:rPr>
          <w:color w:val="333333"/>
          <w:szCs w:val="24"/>
          <w:shd w:val="clear" w:color="auto" w:fill="FFFFFF"/>
        </w:rPr>
        <w:t>…</w:t>
      </w:r>
      <w:r w:rsidRPr="00464EFA" w:rsidR="000432ED">
        <w:rPr>
          <w:color w:val="333333"/>
          <w:szCs w:val="24"/>
          <w:shd w:val="clear" w:color="auto" w:fill="FFFFFF"/>
        </w:rPr>
        <w:t>the commission shall issue such order as is necessary to continue the provisions, terms, and conditions of the utility's most recent standard service offer</w:t>
      </w:r>
      <w:r w:rsidR="000432ED">
        <w:rPr>
          <w:color w:val="333333"/>
          <w:szCs w:val="24"/>
          <w:shd w:val="clear" w:color="auto" w:fill="FFFFFF"/>
        </w:rPr>
        <w:t>…</w:t>
      </w:r>
      <w:r w:rsidRPr="00464EFA" w:rsidR="000432ED">
        <w:rPr>
          <w:color w:val="333333"/>
          <w:szCs w:val="24"/>
          <w:shd w:val="clear" w:color="auto" w:fill="FFFFFF"/>
        </w:rPr>
        <w:t>until a subsequent</w:t>
      </w:r>
      <w:r w:rsidR="000432ED">
        <w:rPr>
          <w:color w:val="333333"/>
          <w:szCs w:val="24"/>
          <w:shd w:val="clear" w:color="auto" w:fill="FFFFFF"/>
        </w:rPr>
        <w:t>” PUCO authorization.</w:t>
      </w:r>
      <w:r>
        <w:rPr>
          <w:rStyle w:val="FootnoteReference"/>
          <w:color w:val="333333"/>
          <w:szCs w:val="24"/>
          <w:shd w:val="clear" w:color="auto" w:fill="FFFFFF"/>
        </w:rPr>
        <w:footnoteReference w:id="9"/>
      </w:r>
      <w:r w:rsidR="000432ED">
        <w:rPr>
          <w:color w:val="333333"/>
          <w:szCs w:val="24"/>
          <w:shd w:val="clear" w:color="auto" w:fill="FFFFFF"/>
        </w:rPr>
        <w:t xml:space="preserve"> </w:t>
      </w:r>
      <w:r w:rsidRPr="00A45537" w:rsidR="000432ED">
        <w:rPr>
          <w:szCs w:val="24"/>
        </w:rPr>
        <w:t xml:space="preserve">The PUCO previously authorized DP&amp;L to implement </w:t>
      </w:r>
      <w:r w:rsidR="000432ED">
        <w:rPr>
          <w:szCs w:val="24"/>
        </w:rPr>
        <w:t xml:space="preserve">a </w:t>
      </w:r>
      <w:r w:rsidRPr="00A45537" w:rsidR="000432ED">
        <w:rPr>
          <w:szCs w:val="24"/>
        </w:rPr>
        <w:t xml:space="preserve">revenue decoupling </w:t>
      </w:r>
      <w:r w:rsidR="000432ED">
        <w:rPr>
          <w:szCs w:val="24"/>
        </w:rPr>
        <w:t xml:space="preserve">mechanism </w:t>
      </w:r>
      <w:r w:rsidRPr="00A45537" w:rsidR="000432ED">
        <w:rPr>
          <w:szCs w:val="24"/>
        </w:rPr>
        <w:t xml:space="preserve">through its Distribution Decoupling Rider (“Decoupling Rider”) in </w:t>
      </w:r>
      <w:r w:rsidR="000432ED">
        <w:rPr>
          <w:szCs w:val="24"/>
        </w:rPr>
        <w:t>ESP III.</w:t>
      </w:r>
      <w:r>
        <w:rPr>
          <w:rStyle w:val="FootnoteReference"/>
          <w:szCs w:val="24"/>
        </w:rPr>
        <w:footnoteReference w:id="10"/>
      </w:r>
      <w:r w:rsidRPr="00A45537" w:rsidR="000432ED">
        <w:rPr>
          <w:szCs w:val="24"/>
        </w:rPr>
        <w:t xml:space="preserve"> </w:t>
      </w:r>
      <w:r w:rsidR="000432ED">
        <w:rPr>
          <w:szCs w:val="24"/>
        </w:rPr>
        <w:t xml:space="preserve">But DP&amp;L voluntarily withdrew from ESP III </w:t>
      </w:r>
      <w:r w:rsidR="0069492D">
        <w:rPr>
          <w:szCs w:val="24"/>
        </w:rPr>
        <w:t xml:space="preserve">(and the Decoupling Rider with it) </w:t>
      </w:r>
      <w:r w:rsidR="000432ED">
        <w:rPr>
          <w:szCs w:val="24"/>
        </w:rPr>
        <w:t>and the PUCO approved DP&amp;L’s reversion to ESP I</w:t>
      </w:r>
      <w:r w:rsidR="00F436A0">
        <w:rPr>
          <w:szCs w:val="24"/>
        </w:rPr>
        <w:t>.</w:t>
      </w:r>
    </w:p>
    <w:p w:rsidR="000B591F" w:rsidP="000432ED" w14:paraId="0373DCF3" w14:textId="77777777">
      <w:pPr>
        <w:spacing w:line="480" w:lineRule="auto"/>
        <w:ind w:firstLine="720"/>
        <w:rPr>
          <w:szCs w:val="24"/>
        </w:rPr>
      </w:pPr>
      <w:r>
        <w:rPr>
          <w:szCs w:val="24"/>
        </w:rPr>
        <w:t xml:space="preserve">DP&amp;L asked the PUCO to let it keep </w:t>
      </w:r>
      <w:r w:rsidR="000745C8">
        <w:rPr>
          <w:szCs w:val="24"/>
        </w:rPr>
        <w:t xml:space="preserve">the </w:t>
      </w:r>
      <w:r w:rsidR="00AC0274">
        <w:rPr>
          <w:szCs w:val="24"/>
        </w:rPr>
        <w:t xml:space="preserve">decoupling </w:t>
      </w:r>
      <w:r w:rsidR="000745C8">
        <w:rPr>
          <w:szCs w:val="24"/>
        </w:rPr>
        <w:t xml:space="preserve">charge </w:t>
      </w:r>
      <w:r w:rsidR="00AC0274">
        <w:rPr>
          <w:szCs w:val="24"/>
        </w:rPr>
        <w:t xml:space="preserve">when it </w:t>
      </w:r>
      <w:r w:rsidR="00B84303">
        <w:rPr>
          <w:szCs w:val="24"/>
        </w:rPr>
        <w:t>withdrew</w:t>
      </w:r>
      <w:r w:rsidR="00AC0274">
        <w:rPr>
          <w:szCs w:val="24"/>
        </w:rPr>
        <w:t xml:space="preserve"> ESP III.</w:t>
      </w:r>
      <w:r>
        <w:rPr>
          <w:rStyle w:val="FootnoteReference"/>
          <w:szCs w:val="24"/>
        </w:rPr>
        <w:footnoteReference w:id="11"/>
      </w:r>
      <w:r w:rsidR="00AC0274">
        <w:rPr>
          <w:szCs w:val="24"/>
        </w:rPr>
        <w:t xml:space="preserve"> </w:t>
      </w:r>
      <w:r w:rsidR="00662EB4">
        <w:rPr>
          <w:szCs w:val="24"/>
        </w:rPr>
        <w:t>But t</w:t>
      </w:r>
      <w:r w:rsidR="00AC0274">
        <w:rPr>
          <w:szCs w:val="24"/>
        </w:rPr>
        <w:t xml:space="preserve">he PUCO </w:t>
      </w:r>
      <w:r w:rsidR="000432ED">
        <w:rPr>
          <w:szCs w:val="24"/>
        </w:rPr>
        <w:t xml:space="preserve">ruled </w:t>
      </w:r>
      <w:r w:rsidRPr="00A45537" w:rsidR="000432ED">
        <w:rPr>
          <w:szCs w:val="24"/>
        </w:rPr>
        <w:t xml:space="preserve">that because </w:t>
      </w:r>
      <w:r w:rsidR="000745C8">
        <w:rPr>
          <w:szCs w:val="24"/>
        </w:rPr>
        <w:t>the charge</w:t>
      </w:r>
      <w:r w:rsidRPr="00A45537" w:rsidR="000745C8">
        <w:rPr>
          <w:szCs w:val="24"/>
        </w:rPr>
        <w:t xml:space="preserve"> </w:t>
      </w:r>
      <w:r w:rsidRPr="00A45537" w:rsidR="000432ED">
        <w:rPr>
          <w:szCs w:val="24"/>
        </w:rPr>
        <w:t>was not part of DP&amp;L’s ESP I</w:t>
      </w:r>
      <w:r w:rsidRPr="00FC4287" w:rsidR="00FC4287">
        <w:rPr>
          <w:szCs w:val="24"/>
        </w:rPr>
        <w:t>—</w:t>
      </w:r>
      <w:r w:rsidR="00FC4287">
        <w:rPr>
          <w:szCs w:val="24"/>
        </w:rPr>
        <w:t>the current effective ESP</w:t>
      </w:r>
      <w:r w:rsidRPr="00FC4287" w:rsidR="00FC4287">
        <w:rPr>
          <w:szCs w:val="24"/>
        </w:rPr>
        <w:t>—</w:t>
      </w:r>
      <w:r w:rsidRPr="00A45537" w:rsidR="000432ED">
        <w:rPr>
          <w:szCs w:val="24"/>
        </w:rPr>
        <w:t>it should not be continued</w:t>
      </w:r>
      <w:r w:rsidR="000432ED">
        <w:rPr>
          <w:szCs w:val="24"/>
        </w:rPr>
        <w:t>.</w:t>
      </w:r>
      <w:r>
        <w:rPr>
          <w:rStyle w:val="FootnoteReference"/>
          <w:szCs w:val="24"/>
        </w:rPr>
        <w:footnoteReference w:id="12"/>
      </w:r>
      <w:r w:rsidR="000432ED">
        <w:rPr>
          <w:szCs w:val="24"/>
        </w:rPr>
        <w:t xml:space="preserve"> </w:t>
      </w:r>
      <w:r w:rsidR="00614B46">
        <w:rPr>
          <w:szCs w:val="24"/>
        </w:rPr>
        <w:t>During the hearing</w:t>
      </w:r>
      <w:r w:rsidR="005218A9">
        <w:rPr>
          <w:szCs w:val="24"/>
        </w:rPr>
        <w:t xml:space="preserve"> in this case</w:t>
      </w:r>
      <w:r w:rsidR="00614B46">
        <w:rPr>
          <w:szCs w:val="24"/>
        </w:rPr>
        <w:t>, Staff verified that “the PUCO does not generally approve deferrals without having a rider attached to the deferral for collection.”</w:t>
      </w:r>
      <w:r>
        <w:rPr>
          <w:rStyle w:val="FootnoteReference"/>
          <w:szCs w:val="24"/>
        </w:rPr>
        <w:footnoteReference w:id="13"/>
      </w:r>
      <w:r w:rsidR="00614B46">
        <w:rPr>
          <w:szCs w:val="24"/>
        </w:rPr>
        <w:t xml:space="preserve"> </w:t>
      </w:r>
    </w:p>
    <w:p w:rsidR="000B591F" w:rsidP="000432ED" w14:paraId="7145CCFA" w14:textId="77777777">
      <w:pPr>
        <w:spacing w:line="480" w:lineRule="auto"/>
        <w:ind w:firstLine="720"/>
        <w:rPr>
          <w:szCs w:val="24"/>
        </w:rPr>
      </w:pPr>
      <w:r>
        <w:rPr>
          <w:szCs w:val="24"/>
        </w:rPr>
        <w:t xml:space="preserve">And OCC witness </w:t>
      </w:r>
      <w:r w:rsidR="00E550B3">
        <w:rPr>
          <w:szCs w:val="24"/>
        </w:rPr>
        <w:t xml:space="preserve">Mr. Willis discussed this fact in his testimony, </w:t>
      </w:r>
      <w:r w:rsidR="00805D0A">
        <w:rPr>
          <w:szCs w:val="24"/>
        </w:rPr>
        <w:t>citing the PUCO’s Order</w:t>
      </w:r>
      <w:r w:rsidR="00FC0B73">
        <w:rPr>
          <w:szCs w:val="24"/>
        </w:rPr>
        <w:t>:</w:t>
      </w:r>
      <w:r w:rsidR="00266528">
        <w:rPr>
          <w:szCs w:val="24"/>
        </w:rPr>
        <w:t xml:space="preserve"> </w:t>
      </w:r>
      <w:r w:rsidR="006647DC">
        <w:t>“ESP I did not include riders such as the DIR, the reconciliation rider, the decoupling rider, the RCR, and the uncollectible rider, and that these riders should not be charged to consumers with the withdrawal of ESP III.”</w:t>
      </w:r>
      <w:r>
        <w:rPr>
          <w:rStyle w:val="FootnoteReference"/>
        </w:rPr>
        <w:footnoteReference w:id="14"/>
      </w:r>
      <w:r w:rsidR="00FC0B73">
        <w:t xml:space="preserve"> </w:t>
      </w:r>
      <w:r>
        <w:rPr>
          <w:szCs w:val="24"/>
        </w:rPr>
        <w:t>Accordingly,</w:t>
      </w:r>
      <w:r w:rsidR="000432ED">
        <w:rPr>
          <w:szCs w:val="24"/>
        </w:rPr>
        <w:t xml:space="preserve"> t</w:t>
      </w:r>
      <w:r w:rsidRPr="00A45537" w:rsidR="000432ED">
        <w:rPr>
          <w:szCs w:val="24"/>
        </w:rPr>
        <w:t>he PUCO directed DP&amp;L to file revised tariffs to implement ESP I, removing the decoupling provisions.</w:t>
      </w:r>
      <w:r>
        <w:rPr>
          <w:rStyle w:val="FootnoteReference"/>
          <w:szCs w:val="24"/>
        </w:rPr>
        <w:footnoteReference w:id="15"/>
      </w:r>
      <w:r w:rsidRPr="00A45537" w:rsidR="000432ED">
        <w:rPr>
          <w:szCs w:val="24"/>
        </w:rPr>
        <w:t xml:space="preserve"> </w:t>
      </w:r>
    </w:p>
    <w:p w:rsidR="000B591F" w:rsidP="000432ED" w14:paraId="2C0EA7A1" w14:textId="002687B0">
      <w:pPr>
        <w:spacing w:line="480" w:lineRule="auto"/>
        <w:ind w:firstLine="720"/>
        <w:rPr>
          <w:szCs w:val="24"/>
        </w:rPr>
      </w:pPr>
      <w:r>
        <w:t>Indeed, the PUCO already has rejected DP&amp;L’s attempt to game the system with a revival of its defunct decoupling charge.</w:t>
      </w:r>
      <w:r>
        <w:rPr>
          <w:rStyle w:val="FootnoteReference"/>
        </w:rPr>
        <w:footnoteReference w:id="16"/>
      </w:r>
      <w:r>
        <w:t xml:space="preserve"> DP&amp;L’s new application is more of the same maneuvering, this time with a decoupling charge masquerading as a deferral.</w:t>
      </w:r>
    </w:p>
    <w:p w:rsidR="00AF1261" w:rsidP="00AF1261" w14:paraId="42C01C62" w14:textId="6A1A5992">
      <w:pPr>
        <w:spacing w:line="480" w:lineRule="auto"/>
        <w:ind w:firstLine="720"/>
        <w:rPr>
          <w:szCs w:val="24"/>
        </w:rPr>
      </w:pPr>
      <w:r w:rsidRPr="00A45537">
        <w:rPr>
          <w:szCs w:val="24"/>
        </w:rPr>
        <w:t xml:space="preserve">DP&amp;L chose, with all </w:t>
      </w:r>
      <w:r w:rsidR="00C002F0">
        <w:rPr>
          <w:szCs w:val="24"/>
        </w:rPr>
        <w:t>associated</w:t>
      </w:r>
      <w:r w:rsidRPr="00A45537">
        <w:rPr>
          <w:szCs w:val="24"/>
        </w:rPr>
        <w:t xml:space="preserve"> risks, to </w:t>
      </w:r>
      <w:r w:rsidRPr="00A45537">
        <w:rPr>
          <w:i/>
          <w:iCs/>
          <w:szCs w:val="24"/>
        </w:rPr>
        <w:t>withdraw</w:t>
      </w:r>
      <w:r w:rsidRPr="00A45537">
        <w:rPr>
          <w:szCs w:val="24"/>
        </w:rPr>
        <w:t xml:space="preserve"> ESP III.</w:t>
      </w:r>
      <w:r>
        <w:rPr>
          <w:rStyle w:val="FootnoteReference"/>
          <w:szCs w:val="24"/>
        </w:rPr>
        <w:footnoteReference w:id="17"/>
      </w:r>
      <w:r w:rsidRPr="00A45537">
        <w:rPr>
          <w:szCs w:val="24"/>
        </w:rPr>
        <w:t xml:space="preserve"> This choice resulted in DP&amp;L reverting to the rates of ESP I.</w:t>
      </w:r>
      <w:r>
        <w:rPr>
          <w:rStyle w:val="FootnoteReference"/>
          <w:szCs w:val="24"/>
        </w:rPr>
        <w:footnoteReference w:id="18"/>
      </w:r>
      <w:r w:rsidRPr="00A45537">
        <w:rPr>
          <w:szCs w:val="24"/>
        </w:rPr>
        <w:t xml:space="preserve"> And unfortunately for DP&amp;L, those rates do not include decoupling.</w:t>
      </w:r>
      <w:r>
        <w:rPr>
          <w:rStyle w:val="FootnoteReference"/>
          <w:szCs w:val="24"/>
        </w:rPr>
        <w:footnoteReference w:id="19"/>
      </w:r>
      <w:r w:rsidR="00025FC8">
        <w:rPr>
          <w:szCs w:val="24"/>
        </w:rPr>
        <w:t xml:space="preserve"> </w:t>
      </w:r>
      <w:r w:rsidR="00662EB4">
        <w:rPr>
          <w:szCs w:val="24"/>
        </w:rPr>
        <w:t xml:space="preserve">Now DP&amp;L is asking the PUCO for deferral </w:t>
      </w:r>
      <w:r w:rsidR="00B515B2">
        <w:rPr>
          <w:szCs w:val="24"/>
        </w:rPr>
        <w:t xml:space="preserve">authority </w:t>
      </w:r>
      <w:r w:rsidR="00662EB4">
        <w:rPr>
          <w:szCs w:val="24"/>
        </w:rPr>
        <w:t xml:space="preserve">of the same charges the </w:t>
      </w:r>
      <w:r w:rsidR="00381396">
        <w:rPr>
          <w:szCs w:val="24"/>
        </w:rPr>
        <w:t xml:space="preserve">PUCO rejected. The PUCO should again reject </w:t>
      </w:r>
      <w:r w:rsidR="003D5536">
        <w:rPr>
          <w:szCs w:val="24"/>
        </w:rPr>
        <w:t>DP&amp;L’s request.</w:t>
      </w:r>
    </w:p>
    <w:p w:rsidR="00CE2F47" w:rsidP="007C4ADB" w14:paraId="4AA86040" w14:textId="2895CE0A">
      <w:pPr>
        <w:spacing w:line="480" w:lineRule="auto"/>
        <w:ind w:firstLine="720"/>
        <w:rPr>
          <w:szCs w:val="24"/>
        </w:rPr>
      </w:pPr>
      <w:r>
        <w:rPr>
          <w:szCs w:val="24"/>
        </w:rPr>
        <w:t>Notably</w:t>
      </w:r>
      <w:r w:rsidRPr="00A45537">
        <w:rPr>
          <w:szCs w:val="24"/>
        </w:rPr>
        <w:t xml:space="preserve">, DP&amp;L </w:t>
      </w:r>
      <w:r w:rsidRPr="00FE0BA6">
        <w:rPr>
          <w:szCs w:val="24"/>
        </w:rPr>
        <w:t>did not seek rehearing</w:t>
      </w:r>
      <w:r w:rsidR="002F2E5C">
        <w:rPr>
          <w:szCs w:val="24"/>
        </w:rPr>
        <w:t xml:space="preserve"> of the PUCO’s Order rejecting the decoupling charge.</w:t>
      </w:r>
      <w:r>
        <w:rPr>
          <w:rStyle w:val="FootnoteReference"/>
          <w:szCs w:val="24"/>
        </w:rPr>
        <w:footnoteReference w:id="20"/>
      </w:r>
      <w:r w:rsidR="002F2E5C">
        <w:rPr>
          <w:szCs w:val="24"/>
        </w:rPr>
        <w:t xml:space="preserve"> Therefore, </w:t>
      </w:r>
      <w:r w:rsidRPr="00250DFB" w:rsidR="002F2E5C">
        <w:rPr>
          <w:szCs w:val="24"/>
        </w:rPr>
        <w:t>DP&amp;L’s Application in this case cannot be heard and must be denied by the PUCO</w:t>
      </w:r>
      <w:r w:rsidR="002F2E5C">
        <w:rPr>
          <w:szCs w:val="24"/>
        </w:rPr>
        <w:t>. That is</w:t>
      </w:r>
      <w:r w:rsidRPr="00250DFB" w:rsidR="002F2E5C">
        <w:rPr>
          <w:szCs w:val="24"/>
        </w:rPr>
        <w:t xml:space="preserve"> because the Application</w:t>
      </w:r>
      <w:r w:rsidR="002F2E5C">
        <w:rPr>
          <w:szCs w:val="24"/>
        </w:rPr>
        <w:t>,</w:t>
      </w:r>
      <w:r w:rsidRPr="00250DFB" w:rsidR="002F2E5C">
        <w:rPr>
          <w:szCs w:val="24"/>
        </w:rPr>
        <w:t xml:space="preserve"> in reality,</w:t>
      </w:r>
      <w:r w:rsidR="002F2E5C">
        <w:rPr>
          <w:szCs w:val="24"/>
        </w:rPr>
        <w:t xml:space="preserve"> is</w:t>
      </w:r>
      <w:r w:rsidRPr="00250DFB" w:rsidR="002F2E5C">
        <w:rPr>
          <w:szCs w:val="24"/>
        </w:rPr>
        <w:t xml:space="preserve"> an untimely application for rehearing under R.C. 4903.10</w:t>
      </w:r>
      <w:r w:rsidR="002F2E5C">
        <w:rPr>
          <w:szCs w:val="24"/>
        </w:rPr>
        <w:t>.</w:t>
      </w:r>
      <w:r w:rsidR="00250DFB">
        <w:rPr>
          <w:szCs w:val="24"/>
        </w:rPr>
        <w:t xml:space="preserve"> </w:t>
      </w:r>
      <w:r w:rsidR="002F2E5C">
        <w:rPr>
          <w:szCs w:val="24"/>
        </w:rPr>
        <w:t>T</w:t>
      </w:r>
      <w:r w:rsidRPr="00250DFB" w:rsidR="002F2E5C">
        <w:rPr>
          <w:szCs w:val="24"/>
        </w:rPr>
        <w:t xml:space="preserve">he PUCO has no jurisdiction to entertain </w:t>
      </w:r>
      <w:r w:rsidR="002F2E5C">
        <w:rPr>
          <w:szCs w:val="24"/>
        </w:rPr>
        <w:t>this untimely application for rehearing.</w:t>
      </w:r>
      <w:r w:rsidRPr="00A45537">
        <w:rPr>
          <w:szCs w:val="24"/>
        </w:rPr>
        <w:t xml:space="preserve"> </w:t>
      </w:r>
    </w:p>
    <w:p w:rsidR="007C4ADB" w:rsidP="007C4ADB" w14:paraId="50C5C3A3" w14:textId="0454B159">
      <w:pPr>
        <w:spacing w:line="480" w:lineRule="auto"/>
        <w:ind w:firstLine="720"/>
        <w:rPr>
          <w:szCs w:val="24"/>
        </w:rPr>
      </w:pPr>
      <w:r>
        <w:rPr>
          <w:szCs w:val="24"/>
        </w:rPr>
        <w:t>Moreover, DP&amp;L</w:t>
      </w:r>
      <w:r w:rsidR="001316C1">
        <w:rPr>
          <w:szCs w:val="24"/>
        </w:rPr>
        <w:t>’s Application</w:t>
      </w:r>
      <w:r>
        <w:rPr>
          <w:szCs w:val="24"/>
        </w:rPr>
        <w:t xml:space="preserve"> is barred by legal doctrines</w:t>
      </w:r>
      <w:r w:rsidR="001316C1">
        <w:rPr>
          <w:szCs w:val="24"/>
        </w:rPr>
        <w:t>. DP&amp;L is barred by</w:t>
      </w:r>
      <w:r>
        <w:rPr>
          <w:szCs w:val="24"/>
        </w:rPr>
        <w:t xml:space="preserve"> the doctrines of collateral estoppel and res judicata from having this issue reheard. </w:t>
      </w:r>
    </w:p>
    <w:p w:rsidR="001C3F54" w:rsidRPr="00A45537" w:rsidP="00EC1F50" w14:paraId="14E369B8" w14:textId="260F990F">
      <w:pPr>
        <w:pStyle w:val="Heading2"/>
        <w:numPr>
          <w:ilvl w:val="0"/>
          <w:numId w:val="0"/>
        </w:numPr>
        <w:tabs>
          <w:tab w:val="clear" w:pos="4320"/>
        </w:tabs>
        <w:ind w:left="1440" w:hanging="720"/>
      </w:pPr>
      <w:bookmarkStart w:id="5" w:name="_Toc74571230"/>
      <w:bookmarkEnd w:id="3"/>
      <w:r>
        <w:t>C.</w:t>
      </w:r>
      <w:r>
        <w:tab/>
      </w:r>
      <w:r w:rsidRPr="00A45537">
        <w:t>DP</w:t>
      </w:r>
      <w:r w:rsidRPr="00A45537" w:rsidR="008816CB">
        <w:t xml:space="preserve">&amp;L’s application </w:t>
      </w:r>
      <w:r w:rsidR="00E32609">
        <w:t xml:space="preserve">fails to </w:t>
      </w:r>
      <w:r w:rsidR="00224A2D">
        <w:t xml:space="preserve">comply </w:t>
      </w:r>
      <w:r w:rsidR="00412148">
        <w:t xml:space="preserve">with </w:t>
      </w:r>
      <w:r w:rsidR="00E32609">
        <w:t xml:space="preserve">the PUCO’s </w:t>
      </w:r>
      <w:r w:rsidR="00412148">
        <w:t>standards for approving deferrals</w:t>
      </w:r>
      <w:r w:rsidR="00F35742">
        <w:t xml:space="preserve"> and should be denied for consumer protection</w:t>
      </w:r>
      <w:r w:rsidR="008D4FF4">
        <w:t>.</w:t>
      </w:r>
      <w:bookmarkEnd w:id="5"/>
    </w:p>
    <w:p w:rsidR="00CE576F" w:rsidP="00FE0BA6" w14:paraId="1A57A313" w14:textId="2E1006DC">
      <w:pPr>
        <w:spacing w:line="480" w:lineRule="auto"/>
        <w:ind w:firstLine="720"/>
      </w:pPr>
      <w:r w:rsidRPr="00FE0BA6">
        <w:t xml:space="preserve">The PUCO generally employs a </w:t>
      </w:r>
      <w:r w:rsidR="00084DD4">
        <w:t xml:space="preserve">modified </w:t>
      </w:r>
      <w:r w:rsidRPr="00FE0BA6">
        <w:t xml:space="preserve">six-part test (“Test”) to determine whether it should permit a public utility to defer </w:t>
      </w:r>
      <w:r w:rsidR="00084DD4">
        <w:t>revenue</w:t>
      </w:r>
      <w:r w:rsidR="0062034B">
        <w:t xml:space="preserve"> </w:t>
      </w:r>
      <w:r w:rsidRPr="00FE0BA6">
        <w:t>for later collection from consumers and accrue expenses for later recovery as a regulatory asset.</w:t>
      </w:r>
      <w:r>
        <w:rPr>
          <w:rStyle w:val="FootnoteReference"/>
          <w:szCs w:val="24"/>
        </w:rPr>
        <w:footnoteReference w:id="21"/>
      </w:r>
      <w:r w:rsidR="00084DD4">
        <w:t xml:space="preserve"> </w:t>
      </w:r>
      <w:r w:rsidR="00E550CC">
        <w:t>The components of the Test are generally:</w:t>
      </w:r>
      <w:r>
        <w:rPr>
          <w:rStyle w:val="FootnoteReference"/>
        </w:rPr>
        <w:footnoteReference w:id="22"/>
      </w:r>
      <w:r w:rsidR="00E550CC">
        <w:t xml:space="preserve"> </w:t>
      </w:r>
    </w:p>
    <w:p w:rsidR="00D32B1D" w:rsidP="00B50ED6" w14:paraId="4D8FAF11" w14:textId="1F990AC6">
      <w:pPr>
        <w:pStyle w:val="ListParagraph"/>
        <w:numPr>
          <w:ilvl w:val="0"/>
          <w:numId w:val="27"/>
        </w:numPr>
        <w:ind w:left="2160" w:hanging="720"/>
      </w:pPr>
      <w:r>
        <w:t xml:space="preserve">Whether the utility’s current rates or revenues are sufficient to cover the costs associated with the requested deferral; </w:t>
      </w:r>
    </w:p>
    <w:p w:rsidR="00D32B1D" w:rsidP="00B50ED6" w14:paraId="1976968D" w14:textId="77777777">
      <w:pPr>
        <w:pStyle w:val="ListParagraph"/>
        <w:numPr>
          <w:ilvl w:val="0"/>
          <w:numId w:val="27"/>
        </w:numPr>
        <w:ind w:left="2160" w:hanging="720"/>
      </w:pPr>
      <w:r>
        <w:t xml:space="preserve">Whether the costs requested to be deferred are material in nature; </w:t>
      </w:r>
    </w:p>
    <w:p w:rsidR="00D32B1D" w:rsidP="00B50ED6" w14:paraId="4596768B" w14:textId="77777777">
      <w:pPr>
        <w:pStyle w:val="ListParagraph"/>
        <w:numPr>
          <w:ilvl w:val="0"/>
          <w:numId w:val="27"/>
        </w:numPr>
        <w:ind w:left="2160" w:hanging="720"/>
      </w:pPr>
      <w:r>
        <w:t xml:space="preserve">Whether the problem was outside of the Company’s control; </w:t>
      </w:r>
    </w:p>
    <w:p w:rsidR="00D32B1D" w:rsidP="00B50ED6" w14:paraId="29F3BA75" w14:textId="77777777">
      <w:pPr>
        <w:pStyle w:val="ListParagraph"/>
        <w:numPr>
          <w:ilvl w:val="0"/>
          <w:numId w:val="27"/>
        </w:numPr>
        <w:ind w:left="2160" w:hanging="720"/>
      </w:pPr>
      <w:r>
        <w:t xml:space="preserve">Whether the expenditures are atypical and infrequent; </w:t>
      </w:r>
    </w:p>
    <w:p w:rsidR="006D235F" w:rsidP="00B50ED6" w14:paraId="4722342E" w14:textId="2C58E28C">
      <w:pPr>
        <w:pStyle w:val="ListParagraph"/>
        <w:numPr>
          <w:ilvl w:val="0"/>
          <w:numId w:val="27"/>
        </w:numPr>
        <w:ind w:left="2160" w:hanging="720"/>
      </w:pPr>
      <w:r>
        <w:t xml:space="preserve">Whether the financial integrity of the utility will be significantly and adversely affected; and </w:t>
      </w:r>
    </w:p>
    <w:p w:rsidR="00CE576F" w:rsidP="00B50ED6" w14:paraId="41AE83DF" w14:textId="5C066B0D">
      <w:pPr>
        <w:pStyle w:val="ListParagraph"/>
        <w:numPr>
          <w:ilvl w:val="0"/>
          <w:numId w:val="27"/>
        </w:numPr>
        <w:ind w:left="2160" w:hanging="720"/>
      </w:pPr>
      <w:r>
        <w:t>Whether the Commission could encourage the utility to do something it would not otherwise do through the granting of the deferral authority</w:t>
      </w:r>
    </w:p>
    <w:p w:rsidR="000D4A0C" w:rsidP="000D4A0C" w14:paraId="7D45B4D9" w14:textId="77777777">
      <w:pPr>
        <w:pStyle w:val="ListParagraph"/>
        <w:ind w:left="2160"/>
      </w:pPr>
    </w:p>
    <w:p w:rsidR="00224A2D" w:rsidRPr="00FE0BA6" w:rsidP="00FE0BA6" w14:paraId="3696731A" w14:textId="2F17DE0E">
      <w:pPr>
        <w:spacing w:line="480" w:lineRule="auto"/>
        <w:ind w:firstLine="720"/>
      </w:pPr>
      <w:r>
        <w:t xml:space="preserve">DP&amp;L’s </w:t>
      </w:r>
      <w:r w:rsidRPr="00FE0BA6" w:rsidR="005674E0">
        <w:t>Application does not even acknowledge that the Test exists, let alone attempt to demonstrate the Test is satisfied</w:t>
      </w:r>
      <w:r w:rsidR="007C5F01">
        <w:t>. DP&amp;L’s Application should be denied.</w:t>
      </w:r>
      <w:r w:rsidRPr="00FE0BA6">
        <w:t xml:space="preserve"> </w:t>
      </w:r>
    </w:p>
    <w:p w:rsidR="00623FDE" w:rsidP="00D4029F" w14:paraId="24A6FD34" w14:textId="47843F17">
      <w:pPr>
        <w:autoSpaceDE w:val="0"/>
        <w:autoSpaceDN w:val="0"/>
        <w:adjustRightInd w:val="0"/>
        <w:spacing w:line="480" w:lineRule="auto"/>
        <w:ind w:firstLine="720"/>
        <w:rPr>
          <w:szCs w:val="24"/>
        </w:rPr>
      </w:pPr>
      <w:r>
        <w:rPr>
          <w:szCs w:val="24"/>
        </w:rPr>
        <w:t xml:space="preserve">PUCO </w:t>
      </w:r>
      <w:r w:rsidR="00D4029F">
        <w:rPr>
          <w:szCs w:val="24"/>
        </w:rPr>
        <w:t xml:space="preserve">Staff </w:t>
      </w:r>
      <w:r>
        <w:rPr>
          <w:szCs w:val="24"/>
        </w:rPr>
        <w:t xml:space="preserve">filed testimony on </w:t>
      </w:r>
      <w:r w:rsidR="004567C8">
        <w:rPr>
          <w:szCs w:val="24"/>
        </w:rPr>
        <w:t>March 19, 2021</w:t>
      </w:r>
      <w:r w:rsidR="00EC221F">
        <w:rPr>
          <w:szCs w:val="24"/>
        </w:rPr>
        <w:t xml:space="preserve"> and</w:t>
      </w:r>
      <w:r w:rsidR="00D53FF2">
        <w:rPr>
          <w:szCs w:val="24"/>
        </w:rPr>
        <w:t xml:space="preserve"> Staff determined that DP&amp;L’s Application</w:t>
      </w:r>
      <w:r w:rsidR="00960422">
        <w:rPr>
          <w:szCs w:val="24"/>
        </w:rPr>
        <w:t xml:space="preserve"> should be denied for the following reasons.</w:t>
      </w:r>
      <w:r>
        <w:rPr>
          <w:rStyle w:val="FootnoteReference"/>
          <w:szCs w:val="24"/>
        </w:rPr>
        <w:footnoteReference w:id="23"/>
      </w:r>
      <w:r w:rsidRPr="00A37932" w:rsidR="0014195E">
        <w:rPr>
          <w:szCs w:val="24"/>
        </w:rPr>
        <w:t xml:space="preserve"> </w:t>
      </w:r>
      <w:r w:rsidR="00EC221F">
        <w:rPr>
          <w:szCs w:val="24"/>
        </w:rPr>
        <w:t>First, w</w:t>
      </w:r>
      <w:r w:rsidR="005F2334">
        <w:t xml:space="preserve">ithdrawing from ESP III and losing revenues associated with the termination of the decoupling rider was entirely within the </w:t>
      </w:r>
      <w:r w:rsidR="00876AA0">
        <w:t>Utility’s</w:t>
      </w:r>
      <w:r w:rsidR="005F2334">
        <w:t xml:space="preserve"> control.</w:t>
      </w:r>
      <w:r>
        <w:rPr>
          <w:rStyle w:val="FootnoteReference"/>
        </w:rPr>
        <w:footnoteReference w:id="24"/>
      </w:r>
      <w:r w:rsidR="005F2334">
        <w:t xml:space="preserve"> </w:t>
      </w:r>
      <w:r w:rsidR="00EC221F">
        <w:t>Second, t</w:t>
      </w:r>
      <w:r w:rsidR="005F2334">
        <w:t>he decoupling revenues are not atypical and infrequent, and Staff has significant concerns about encouraging cherry-picking components of ESPs and discouraging rate cases to address revenue requirement shortfalls.</w:t>
      </w:r>
      <w:r>
        <w:rPr>
          <w:rStyle w:val="FootnoteReference"/>
        </w:rPr>
        <w:footnoteReference w:id="25"/>
      </w:r>
      <w:r w:rsidR="005F2334">
        <w:t xml:space="preserve"> </w:t>
      </w:r>
      <w:r w:rsidR="00EC221F">
        <w:t>Third, a</w:t>
      </w:r>
      <w:r w:rsidR="005F2334">
        <w:t xml:space="preserve">lthough the amount of revenues the </w:t>
      </w:r>
      <w:r w:rsidR="00147CF4">
        <w:t>DP&amp;L</w:t>
      </w:r>
      <w:r w:rsidR="005F2334">
        <w:t xml:space="preserve"> requested deferral authority for is material, the appropriate solution is a rate case proceeding.</w:t>
      </w:r>
      <w:r>
        <w:rPr>
          <w:rStyle w:val="FootnoteReference"/>
        </w:rPr>
        <w:footnoteReference w:id="26"/>
      </w:r>
      <w:r w:rsidR="003E3849">
        <w:t xml:space="preserve"> </w:t>
      </w:r>
      <w:r w:rsidR="00EC221F">
        <w:t>And f</w:t>
      </w:r>
      <w:r w:rsidR="00F61E20">
        <w:rPr>
          <w:szCs w:val="24"/>
        </w:rPr>
        <w:t xml:space="preserve">inally, the PUCO would discourage </w:t>
      </w:r>
      <w:r w:rsidR="00396A2A">
        <w:rPr>
          <w:szCs w:val="24"/>
        </w:rPr>
        <w:t>an action rather than encourage an</w:t>
      </w:r>
      <w:r w:rsidR="003C5E89">
        <w:rPr>
          <w:szCs w:val="24"/>
        </w:rPr>
        <w:t xml:space="preserve"> action in this case.</w:t>
      </w:r>
      <w:r>
        <w:rPr>
          <w:rStyle w:val="FootnoteReference"/>
          <w:szCs w:val="24"/>
        </w:rPr>
        <w:footnoteReference w:id="27"/>
      </w:r>
      <w:r w:rsidR="003C5E89">
        <w:rPr>
          <w:szCs w:val="24"/>
        </w:rPr>
        <w:t xml:space="preserve"> </w:t>
      </w:r>
    </w:p>
    <w:p w:rsidR="00A66D17" w:rsidP="00D4029F" w14:paraId="6E505E16" w14:textId="41121D18">
      <w:pPr>
        <w:autoSpaceDE w:val="0"/>
        <w:autoSpaceDN w:val="0"/>
        <w:adjustRightInd w:val="0"/>
        <w:spacing w:line="480" w:lineRule="auto"/>
        <w:ind w:firstLine="720"/>
        <w:rPr>
          <w:szCs w:val="24"/>
        </w:rPr>
      </w:pPr>
      <w:r w:rsidRPr="00CE2506">
        <w:rPr>
          <w:szCs w:val="24"/>
        </w:rPr>
        <w:t>Staff has consistently rejected formal and informal requests to defer revenues.</w:t>
      </w:r>
      <w:r>
        <w:rPr>
          <w:rStyle w:val="FootnoteReference"/>
          <w:szCs w:val="24"/>
        </w:rPr>
        <w:footnoteReference w:id="28"/>
      </w:r>
      <w:r w:rsidRPr="00CE2506">
        <w:rPr>
          <w:szCs w:val="24"/>
        </w:rPr>
        <w:t xml:space="preserve"> And although revenue deferral is sometimes permitted, it is </w:t>
      </w:r>
      <w:r w:rsidR="00147CF4">
        <w:rPr>
          <w:szCs w:val="24"/>
        </w:rPr>
        <w:t>only in</w:t>
      </w:r>
      <w:r w:rsidRPr="00CE2506">
        <w:rPr>
          <w:szCs w:val="24"/>
        </w:rPr>
        <w:t xml:space="preserve"> unique and unprecedented</w:t>
      </w:r>
      <w:r w:rsidR="00DF7EAF">
        <w:rPr>
          <w:szCs w:val="24"/>
        </w:rPr>
        <w:t xml:space="preserve"> situations</w:t>
      </w:r>
      <w:r w:rsidRPr="00CE2506">
        <w:rPr>
          <w:szCs w:val="24"/>
        </w:rPr>
        <w:t>.</w:t>
      </w:r>
      <w:r>
        <w:rPr>
          <w:rStyle w:val="FootnoteReference"/>
          <w:szCs w:val="24"/>
        </w:rPr>
        <w:footnoteReference w:id="29"/>
      </w:r>
      <w:r w:rsidRPr="00CE2506">
        <w:rPr>
          <w:szCs w:val="24"/>
        </w:rPr>
        <w:t xml:space="preserve"> In fact, DP&amp;L’s request is not unique or unprecedented. It </w:t>
      </w:r>
      <w:r w:rsidRPr="00CE2506">
        <w:rPr>
          <w:i/>
          <w:iCs/>
          <w:szCs w:val="24"/>
        </w:rPr>
        <w:t xml:space="preserve">chose </w:t>
      </w:r>
      <w:r w:rsidRPr="00CE2506">
        <w:rPr>
          <w:szCs w:val="24"/>
        </w:rPr>
        <w:t xml:space="preserve">to withdraw its ESP III and it </w:t>
      </w:r>
      <w:r w:rsidRPr="00CE2506">
        <w:rPr>
          <w:i/>
          <w:iCs/>
          <w:szCs w:val="24"/>
        </w:rPr>
        <w:t xml:space="preserve">failed </w:t>
      </w:r>
      <w:r w:rsidRPr="00CE2506">
        <w:rPr>
          <w:szCs w:val="24"/>
        </w:rPr>
        <w:t>to apply for rehearing of the PUCO’s decision that decoupling authority is absent in ESP I. And Staff agrees: “The loss of decoupling rider was within the Company’s control. The decoupling rider was approved as part of the Company’s ESP III application. When the Company affirmatively made the decision to</w:t>
      </w:r>
      <w:r>
        <w:rPr>
          <w:szCs w:val="24"/>
        </w:rPr>
        <w:t xml:space="preserve"> </w:t>
      </w:r>
      <w:r w:rsidRPr="00CE2506">
        <w:rPr>
          <w:szCs w:val="24"/>
        </w:rPr>
        <w:t>withdraw its ESP III application, it also terminated the decoupling rider that was intended to collect the revenues.</w:t>
      </w:r>
      <w:r>
        <w:rPr>
          <w:szCs w:val="24"/>
        </w:rPr>
        <w:t>”</w:t>
      </w:r>
      <w:r>
        <w:rPr>
          <w:rStyle w:val="FootnoteReference"/>
          <w:szCs w:val="24"/>
        </w:rPr>
        <w:footnoteReference w:id="30"/>
      </w:r>
    </w:p>
    <w:p w:rsidR="0014195E" w:rsidRPr="00A37932" w:rsidP="00FE0BA6" w14:paraId="2CD83432" w14:textId="65C2F3AA">
      <w:pPr>
        <w:autoSpaceDE w:val="0"/>
        <w:autoSpaceDN w:val="0"/>
        <w:adjustRightInd w:val="0"/>
        <w:spacing w:line="480" w:lineRule="auto"/>
        <w:ind w:firstLine="720"/>
        <w:rPr>
          <w:szCs w:val="24"/>
        </w:rPr>
      </w:pPr>
      <w:r>
        <w:rPr>
          <w:szCs w:val="24"/>
        </w:rPr>
        <w:t xml:space="preserve">The PUCO should </w:t>
      </w:r>
      <w:r w:rsidR="00EA7B0A">
        <w:rPr>
          <w:szCs w:val="24"/>
        </w:rPr>
        <w:t xml:space="preserve">also </w:t>
      </w:r>
      <w:r w:rsidR="00055C96">
        <w:rPr>
          <w:szCs w:val="24"/>
        </w:rPr>
        <w:t>adopt Staff’s recommendation to deny</w:t>
      </w:r>
      <w:r>
        <w:rPr>
          <w:szCs w:val="24"/>
        </w:rPr>
        <w:t xml:space="preserve"> this deferral </w:t>
      </w:r>
      <w:r w:rsidR="00C34AEA">
        <w:rPr>
          <w:szCs w:val="24"/>
        </w:rPr>
        <w:t xml:space="preserve">because </w:t>
      </w:r>
      <w:r w:rsidR="00D4029F">
        <w:rPr>
          <w:szCs w:val="24"/>
        </w:rPr>
        <w:t xml:space="preserve">of </w:t>
      </w:r>
      <w:r w:rsidR="00C34AEA">
        <w:rPr>
          <w:szCs w:val="24"/>
        </w:rPr>
        <w:t>con</w:t>
      </w:r>
      <w:r w:rsidR="00D4029F">
        <w:rPr>
          <w:szCs w:val="24"/>
        </w:rPr>
        <w:t>c</w:t>
      </w:r>
      <w:r w:rsidR="00C34AEA">
        <w:rPr>
          <w:szCs w:val="24"/>
        </w:rPr>
        <w:t>er</w:t>
      </w:r>
      <w:r w:rsidR="00D4029F">
        <w:rPr>
          <w:szCs w:val="24"/>
        </w:rPr>
        <w:t>n</w:t>
      </w:r>
      <w:r w:rsidR="00C34AEA">
        <w:rPr>
          <w:szCs w:val="24"/>
        </w:rPr>
        <w:t xml:space="preserve">s that approval of this application could encourage a utility to withdraw from an ESP while continuing to claim </w:t>
      </w:r>
      <w:r w:rsidR="00181727">
        <w:rPr>
          <w:szCs w:val="24"/>
        </w:rPr>
        <w:t>entitlement to certain parts of it</w:t>
      </w:r>
      <w:r w:rsidR="00D4029F">
        <w:rPr>
          <w:szCs w:val="24"/>
        </w:rPr>
        <w:t>.</w:t>
      </w:r>
      <w:r>
        <w:rPr>
          <w:rStyle w:val="FootnoteReference"/>
          <w:szCs w:val="24"/>
        </w:rPr>
        <w:footnoteReference w:id="31"/>
      </w:r>
      <w:r w:rsidR="00D4029F">
        <w:rPr>
          <w:szCs w:val="24"/>
        </w:rPr>
        <w:t xml:space="preserve"> A</w:t>
      </w:r>
      <w:r w:rsidR="00C522BD">
        <w:rPr>
          <w:szCs w:val="24"/>
        </w:rPr>
        <w:t>nd it could also encourage a utility to circumvent a rate case by requesting deferral authority for revenue deficiencies that should be addressed in a rate case pro</w:t>
      </w:r>
      <w:r w:rsidR="00CF2E85">
        <w:rPr>
          <w:szCs w:val="24"/>
        </w:rPr>
        <w:t>ceeding.</w:t>
      </w:r>
      <w:r>
        <w:rPr>
          <w:rStyle w:val="FootnoteReference"/>
          <w:szCs w:val="24"/>
        </w:rPr>
        <w:footnoteReference w:id="32"/>
      </w:r>
      <w:r w:rsidR="00CF2E85">
        <w:rPr>
          <w:szCs w:val="24"/>
        </w:rPr>
        <w:t xml:space="preserve"> Staff</w:t>
      </w:r>
      <w:r w:rsidR="005A07F0">
        <w:rPr>
          <w:szCs w:val="24"/>
        </w:rPr>
        <w:t>’s</w:t>
      </w:r>
      <w:r w:rsidR="00CF2E85">
        <w:rPr>
          <w:szCs w:val="24"/>
        </w:rPr>
        <w:t xml:space="preserve"> conclu</w:t>
      </w:r>
      <w:r w:rsidR="005A07F0">
        <w:rPr>
          <w:szCs w:val="24"/>
        </w:rPr>
        <w:t>sion</w:t>
      </w:r>
      <w:r w:rsidR="00CF2E85">
        <w:rPr>
          <w:szCs w:val="24"/>
        </w:rPr>
        <w:t xml:space="preserve"> that </w:t>
      </w:r>
      <w:r w:rsidR="00D4029F">
        <w:rPr>
          <w:szCs w:val="24"/>
        </w:rPr>
        <w:t>granting</w:t>
      </w:r>
      <w:r w:rsidR="00CF2E85">
        <w:rPr>
          <w:szCs w:val="24"/>
        </w:rPr>
        <w:t xml:space="preserve"> DP&amp;L’s deferral authority request could “create a pathway for other utilit</w:t>
      </w:r>
      <w:r w:rsidR="00D4029F">
        <w:rPr>
          <w:szCs w:val="24"/>
        </w:rPr>
        <w:t>i</w:t>
      </w:r>
      <w:r w:rsidR="00CF2E85">
        <w:rPr>
          <w:szCs w:val="24"/>
        </w:rPr>
        <w:t>es to file similar applications that request to defer what amounts to shortfalls in the revenue requirement”</w:t>
      </w:r>
      <w:r w:rsidR="005A07F0">
        <w:rPr>
          <w:szCs w:val="24"/>
        </w:rPr>
        <w:t xml:space="preserve"> hits the nail on the head</w:t>
      </w:r>
      <w:r w:rsidR="00E123F6">
        <w:rPr>
          <w:szCs w:val="24"/>
        </w:rPr>
        <w:t>.</w:t>
      </w:r>
      <w:r>
        <w:rPr>
          <w:rStyle w:val="FootnoteReference"/>
          <w:szCs w:val="24"/>
        </w:rPr>
        <w:footnoteReference w:id="33"/>
      </w:r>
      <w:r>
        <w:rPr>
          <w:szCs w:val="24"/>
        </w:rPr>
        <w:t xml:space="preserve"> </w:t>
      </w:r>
    </w:p>
    <w:p w:rsidR="003226A0" w:rsidP="00384C49" w14:paraId="174A0B77" w14:textId="53A5B1CA">
      <w:pPr>
        <w:autoSpaceDE w:val="0"/>
        <w:autoSpaceDN w:val="0"/>
        <w:adjustRightInd w:val="0"/>
        <w:spacing w:line="480" w:lineRule="auto"/>
        <w:ind w:firstLine="720"/>
        <w:rPr>
          <w:szCs w:val="24"/>
        </w:rPr>
      </w:pPr>
      <w:r>
        <w:rPr>
          <w:szCs w:val="24"/>
        </w:rPr>
        <w:t>DP&amp;L</w:t>
      </w:r>
      <w:r w:rsidR="0014195E">
        <w:rPr>
          <w:szCs w:val="24"/>
        </w:rPr>
        <w:t xml:space="preserve"> </w:t>
      </w:r>
      <w:r w:rsidRPr="00A37932" w:rsidR="0014195E">
        <w:rPr>
          <w:szCs w:val="24"/>
        </w:rPr>
        <w:t>bears the burden of proof to demonstrate that it</w:t>
      </w:r>
      <w:r w:rsidR="0014195E">
        <w:rPr>
          <w:szCs w:val="24"/>
        </w:rPr>
        <w:t xml:space="preserve"> fully</w:t>
      </w:r>
      <w:r w:rsidRPr="00A37932" w:rsidR="0014195E">
        <w:rPr>
          <w:szCs w:val="24"/>
        </w:rPr>
        <w:t xml:space="preserve"> satisfies the</w:t>
      </w:r>
      <w:r w:rsidR="0014195E">
        <w:rPr>
          <w:szCs w:val="24"/>
        </w:rPr>
        <w:t xml:space="preserve"> Test</w:t>
      </w:r>
      <w:r w:rsidRPr="00A37932" w:rsidR="0014195E">
        <w:rPr>
          <w:szCs w:val="24"/>
        </w:rPr>
        <w:t xml:space="preserve"> before it </w:t>
      </w:r>
      <w:r w:rsidR="0014195E">
        <w:rPr>
          <w:szCs w:val="24"/>
        </w:rPr>
        <w:t xml:space="preserve">should be permitted to defer foregone revenue and seek later collection of the </w:t>
      </w:r>
      <w:r w:rsidR="00A106FB">
        <w:rPr>
          <w:szCs w:val="24"/>
        </w:rPr>
        <w:t>revenue</w:t>
      </w:r>
      <w:r w:rsidRPr="00A37932" w:rsidR="0014195E">
        <w:rPr>
          <w:szCs w:val="24"/>
        </w:rPr>
        <w:t xml:space="preserve"> </w:t>
      </w:r>
      <w:r w:rsidR="0014195E">
        <w:rPr>
          <w:szCs w:val="24"/>
        </w:rPr>
        <w:t>from consumers.</w:t>
      </w:r>
      <w:r w:rsidRPr="00A37932" w:rsidR="0014195E">
        <w:rPr>
          <w:szCs w:val="24"/>
        </w:rPr>
        <w:t xml:space="preserve"> In this case, </w:t>
      </w:r>
      <w:r>
        <w:rPr>
          <w:szCs w:val="24"/>
        </w:rPr>
        <w:t>DP&amp;L</w:t>
      </w:r>
      <w:r w:rsidR="0014195E">
        <w:rPr>
          <w:szCs w:val="24"/>
        </w:rPr>
        <w:t xml:space="preserve"> </w:t>
      </w:r>
      <w:r w:rsidRPr="00A37932" w:rsidR="0014195E">
        <w:rPr>
          <w:szCs w:val="24"/>
        </w:rPr>
        <w:t>made no effort to meet that burden.</w:t>
      </w:r>
      <w:r w:rsidR="00B25CBB">
        <w:rPr>
          <w:szCs w:val="24"/>
        </w:rPr>
        <w:t xml:space="preserve"> </w:t>
      </w:r>
      <w:r w:rsidRPr="00A37932" w:rsidR="0014195E">
        <w:rPr>
          <w:szCs w:val="24"/>
        </w:rPr>
        <w:t xml:space="preserve">Staff </w:t>
      </w:r>
      <w:r w:rsidR="0014195E">
        <w:rPr>
          <w:szCs w:val="24"/>
        </w:rPr>
        <w:t>con</w:t>
      </w:r>
      <w:r w:rsidR="00B25CBB">
        <w:rPr>
          <w:szCs w:val="24"/>
        </w:rPr>
        <w:t>firmed</w:t>
      </w:r>
      <w:r w:rsidRPr="00A37932" w:rsidR="0014195E">
        <w:rPr>
          <w:szCs w:val="24"/>
        </w:rPr>
        <w:t xml:space="preserve"> that </w:t>
      </w:r>
      <w:r>
        <w:rPr>
          <w:szCs w:val="24"/>
        </w:rPr>
        <w:t>DP&amp;L</w:t>
      </w:r>
      <w:r w:rsidRPr="00A37932" w:rsidR="0014195E">
        <w:rPr>
          <w:szCs w:val="24"/>
        </w:rPr>
        <w:t xml:space="preserve"> </w:t>
      </w:r>
      <w:r w:rsidR="006E2004">
        <w:rPr>
          <w:szCs w:val="24"/>
        </w:rPr>
        <w:t xml:space="preserve">indeed </w:t>
      </w:r>
      <w:r w:rsidR="0014195E">
        <w:rPr>
          <w:szCs w:val="24"/>
        </w:rPr>
        <w:t xml:space="preserve">has </w:t>
      </w:r>
      <w:r w:rsidR="006E2004">
        <w:rPr>
          <w:szCs w:val="24"/>
        </w:rPr>
        <w:t>not</w:t>
      </w:r>
      <w:r w:rsidR="0014195E">
        <w:rPr>
          <w:szCs w:val="24"/>
        </w:rPr>
        <w:t xml:space="preserve"> met that</w:t>
      </w:r>
      <w:r w:rsidRPr="00A37932" w:rsidR="0014195E">
        <w:rPr>
          <w:szCs w:val="24"/>
        </w:rPr>
        <w:t xml:space="preserve"> burden.</w:t>
      </w:r>
      <w:r w:rsidR="0014195E">
        <w:rPr>
          <w:szCs w:val="24"/>
        </w:rPr>
        <w:t xml:space="preserve"> Because </w:t>
      </w:r>
      <w:r w:rsidR="006E2004">
        <w:rPr>
          <w:szCs w:val="24"/>
        </w:rPr>
        <w:t>DP&amp;L</w:t>
      </w:r>
      <w:r w:rsidR="0014195E">
        <w:rPr>
          <w:szCs w:val="24"/>
        </w:rPr>
        <w:t xml:space="preserve"> did not show that its deferral request complies with the PUCO standards, its request should be denied. </w:t>
      </w:r>
      <w:r w:rsidR="006E2004">
        <w:rPr>
          <w:szCs w:val="24"/>
        </w:rPr>
        <w:t>DP&amp;L</w:t>
      </w:r>
      <w:r w:rsidR="0014195E">
        <w:rPr>
          <w:szCs w:val="24"/>
        </w:rPr>
        <w:t xml:space="preserve"> does not deserve a pass on the standards involving consumer protection. The deferral standards must be met. They are not met here.</w:t>
      </w:r>
    </w:p>
    <w:p w:rsidR="00C53A92" w:rsidP="00FE0BA6" w14:paraId="73F9858B" w14:textId="38FB4EF2">
      <w:pPr>
        <w:autoSpaceDE w:val="0"/>
        <w:autoSpaceDN w:val="0"/>
        <w:adjustRightInd w:val="0"/>
        <w:spacing w:line="480" w:lineRule="auto"/>
        <w:ind w:firstLine="720"/>
        <w:rPr>
          <w:szCs w:val="24"/>
        </w:rPr>
      </w:pPr>
      <w:r>
        <w:rPr>
          <w:szCs w:val="24"/>
        </w:rPr>
        <w:t xml:space="preserve">As Staff noted, </w:t>
      </w:r>
      <w:r w:rsidRPr="00A45537">
        <w:rPr>
          <w:szCs w:val="24"/>
        </w:rPr>
        <w:t>DP&amp;L has not provided justification for approval to defer its “lost” revenue.</w:t>
      </w:r>
      <w:r>
        <w:rPr>
          <w:rStyle w:val="FootnoteReference"/>
          <w:szCs w:val="24"/>
        </w:rPr>
        <w:footnoteReference w:id="34"/>
      </w:r>
      <w:r w:rsidRPr="00A45537" w:rsidR="0035122A">
        <w:rPr>
          <w:szCs w:val="24"/>
        </w:rPr>
        <w:t xml:space="preserve"> </w:t>
      </w:r>
      <w:r w:rsidRPr="00A45537">
        <w:rPr>
          <w:szCs w:val="24"/>
        </w:rPr>
        <w:t>DP&amp;L’s application should be denied.</w:t>
      </w:r>
    </w:p>
    <w:p w:rsidR="000D4A0C" w:rsidRPr="00A45537" w:rsidP="000D4A0C" w14:paraId="1C10770D" w14:textId="77777777">
      <w:pPr>
        <w:autoSpaceDE w:val="0"/>
        <w:autoSpaceDN w:val="0"/>
        <w:adjustRightInd w:val="0"/>
        <w:ind w:firstLine="720"/>
        <w:rPr>
          <w:szCs w:val="24"/>
        </w:rPr>
      </w:pPr>
    </w:p>
    <w:p w:rsidR="00E522A9" w:rsidRPr="00A45537" w:rsidP="00F10C1E" w14:paraId="3F3FDD76" w14:textId="0B388424">
      <w:pPr>
        <w:pStyle w:val="Heading1"/>
      </w:pPr>
      <w:bookmarkStart w:id="6" w:name="_Toc74571231"/>
      <w:r w:rsidRPr="00A45537">
        <w:t>CONCLUSION</w:t>
      </w:r>
      <w:bookmarkEnd w:id="6"/>
    </w:p>
    <w:p w:rsidR="00C03DF6" w:rsidP="00C03DF6" w14:paraId="2E03FD95" w14:textId="547A3CE2">
      <w:pPr>
        <w:spacing w:line="480" w:lineRule="auto"/>
        <w:ind w:firstLine="720"/>
        <w:rPr>
          <w:szCs w:val="24"/>
        </w:rPr>
      </w:pPr>
      <w:r w:rsidRPr="00A45537">
        <w:rPr>
          <w:szCs w:val="24"/>
        </w:rPr>
        <w:t>DP&amp;L withdr</w:t>
      </w:r>
      <w:r w:rsidR="00C0186B">
        <w:rPr>
          <w:szCs w:val="24"/>
        </w:rPr>
        <w:t>e</w:t>
      </w:r>
      <w:r w:rsidRPr="00A45537">
        <w:rPr>
          <w:szCs w:val="24"/>
        </w:rPr>
        <w:t>w its electric security plan. When it did so</w:t>
      </w:r>
      <w:r w:rsidR="00C0186B">
        <w:rPr>
          <w:szCs w:val="24"/>
        </w:rPr>
        <w:t>,</w:t>
      </w:r>
      <w:r w:rsidRPr="00A45537">
        <w:rPr>
          <w:szCs w:val="24"/>
        </w:rPr>
        <w:t xml:space="preserve"> it lost the ability to charge its customers </w:t>
      </w:r>
      <w:r w:rsidR="00B75F8C">
        <w:rPr>
          <w:szCs w:val="24"/>
        </w:rPr>
        <w:t>“</w:t>
      </w:r>
      <w:r w:rsidRPr="00A45537">
        <w:rPr>
          <w:szCs w:val="24"/>
        </w:rPr>
        <w:t>lost</w:t>
      </w:r>
      <w:r w:rsidR="00B75F8C">
        <w:rPr>
          <w:szCs w:val="24"/>
        </w:rPr>
        <w:t>”</w:t>
      </w:r>
      <w:r w:rsidRPr="00A45537">
        <w:rPr>
          <w:szCs w:val="24"/>
        </w:rPr>
        <w:t xml:space="preserve"> revenues through a decoupling </w:t>
      </w:r>
      <w:r w:rsidR="00B75F8C">
        <w:rPr>
          <w:szCs w:val="24"/>
        </w:rPr>
        <w:t>mechanism</w:t>
      </w:r>
      <w:r w:rsidRPr="00A45537">
        <w:rPr>
          <w:szCs w:val="24"/>
        </w:rPr>
        <w:t xml:space="preserve">. To protect DP&amp;L’s 465,000 customers, </w:t>
      </w:r>
      <w:r w:rsidR="008E7B6F">
        <w:rPr>
          <w:szCs w:val="24"/>
        </w:rPr>
        <w:t xml:space="preserve">and in the interest of </w:t>
      </w:r>
      <w:r w:rsidR="00B9053E">
        <w:rPr>
          <w:szCs w:val="24"/>
        </w:rPr>
        <w:t xml:space="preserve">Ohio law and </w:t>
      </w:r>
      <w:r w:rsidR="008E7B6F">
        <w:rPr>
          <w:szCs w:val="24"/>
        </w:rPr>
        <w:t xml:space="preserve">good public policy, </w:t>
      </w:r>
      <w:r w:rsidRPr="00A45537">
        <w:rPr>
          <w:szCs w:val="24"/>
        </w:rPr>
        <w:t xml:space="preserve">the PUCO should deny DP&amp;L’s request to </w:t>
      </w:r>
      <w:r w:rsidR="00886911">
        <w:rPr>
          <w:szCs w:val="24"/>
        </w:rPr>
        <w:t>defer decoupling.</w:t>
      </w:r>
      <w:r w:rsidRPr="00A45537">
        <w:rPr>
          <w:szCs w:val="24"/>
        </w:rPr>
        <w:t xml:space="preserve"> </w:t>
      </w:r>
    </w:p>
    <w:p w:rsidR="00836BDA" w:rsidRPr="00A45537" w:rsidP="00E70248" w14:paraId="220BB8E5" w14:textId="041051D2">
      <w:pPr>
        <w:ind w:left="3600" w:firstLine="720"/>
        <w:rPr>
          <w:szCs w:val="24"/>
        </w:rPr>
      </w:pPr>
      <w:r w:rsidRPr="00A45537">
        <w:rPr>
          <w:szCs w:val="24"/>
        </w:rPr>
        <w:t>Respectfully submitted,</w:t>
      </w:r>
    </w:p>
    <w:p w:rsidR="00F10C1E" w:rsidRPr="00A45537" w:rsidP="00B50ED6" w14:paraId="36C0E090" w14:textId="77777777">
      <w:pPr>
        <w:pStyle w:val="BodyTextIndent3"/>
        <w:spacing w:line="240" w:lineRule="auto"/>
        <w:ind w:left="3600"/>
        <w:rPr>
          <w:szCs w:val="24"/>
        </w:rPr>
      </w:pPr>
    </w:p>
    <w:p w:rsidR="009B4A76" w:rsidRPr="00A45537" w:rsidP="00B50ED6" w14:paraId="24B49CC1" w14:textId="092EFBFB">
      <w:pPr>
        <w:pStyle w:val="Footer"/>
        <w:tabs>
          <w:tab w:val="left" w:pos="4320"/>
          <w:tab w:val="clear" w:pos="8640"/>
        </w:tabs>
        <w:ind w:firstLine="4320"/>
        <w:rPr>
          <w:sz w:val="24"/>
          <w:szCs w:val="24"/>
        </w:rPr>
      </w:pPr>
      <w:r w:rsidRPr="00A45537">
        <w:rPr>
          <w:sz w:val="24"/>
          <w:szCs w:val="24"/>
        </w:rPr>
        <w:t>Bruce Weston (0016973)</w:t>
      </w:r>
    </w:p>
    <w:p w:rsidR="009B4A76" w:rsidRPr="00A45537" w:rsidP="009B4A76" w14:paraId="3FEE55C8" w14:textId="77777777">
      <w:pPr>
        <w:tabs>
          <w:tab w:val="left" w:pos="4320"/>
        </w:tabs>
        <w:rPr>
          <w:szCs w:val="24"/>
        </w:rPr>
      </w:pPr>
      <w:r w:rsidRPr="00A45537">
        <w:rPr>
          <w:szCs w:val="24"/>
        </w:rPr>
        <w:tab/>
        <w:t>Ohio Consumers’ Counsel</w:t>
      </w:r>
    </w:p>
    <w:p w:rsidR="009B4A76" w:rsidRPr="00A45537" w:rsidP="009B4A76" w14:paraId="355D9FF1" w14:textId="77777777">
      <w:pPr>
        <w:tabs>
          <w:tab w:val="left" w:pos="4320"/>
        </w:tabs>
        <w:rPr>
          <w:szCs w:val="24"/>
        </w:rPr>
      </w:pPr>
      <w:r w:rsidRPr="00A45537">
        <w:rPr>
          <w:szCs w:val="24"/>
        </w:rPr>
        <w:tab/>
      </w:r>
    </w:p>
    <w:p w:rsidR="000D4A0C" w:rsidRPr="000D4A0C" w:rsidP="009B4A76" w14:paraId="1A4E1F9A" w14:textId="5FA8F9E8">
      <w:pPr>
        <w:tabs>
          <w:tab w:val="left" w:pos="4320"/>
        </w:tabs>
        <w:rPr>
          <w:i/>
          <w:iCs/>
          <w:szCs w:val="24"/>
          <w:u w:val="single"/>
        </w:rPr>
      </w:pPr>
      <w:r w:rsidRPr="00A45537">
        <w:rPr>
          <w:szCs w:val="24"/>
        </w:rPr>
        <w:tab/>
      </w:r>
      <w:r>
        <w:rPr>
          <w:i/>
          <w:iCs/>
          <w:szCs w:val="24"/>
          <w:u w:val="single"/>
        </w:rPr>
        <w:t>/s/ Ambrosia E. Wilson</w:t>
      </w:r>
      <w:r>
        <w:rPr>
          <w:i/>
          <w:iCs/>
          <w:szCs w:val="24"/>
          <w:u w:val="single"/>
        </w:rPr>
        <w:tab/>
      </w:r>
    </w:p>
    <w:p w:rsidR="009B4A76" w:rsidRPr="00A45537" w:rsidP="009B4A76" w14:paraId="63CDA290" w14:textId="6B33F3DA">
      <w:pPr>
        <w:tabs>
          <w:tab w:val="left" w:pos="4320"/>
        </w:tabs>
        <w:rPr>
          <w:szCs w:val="24"/>
        </w:rPr>
      </w:pPr>
      <w:r>
        <w:rPr>
          <w:szCs w:val="24"/>
        </w:rPr>
        <w:tab/>
      </w:r>
      <w:r w:rsidRPr="00A45537">
        <w:rPr>
          <w:szCs w:val="24"/>
        </w:rPr>
        <w:t>Ambrosia E. Wilson (0096598)</w:t>
      </w:r>
    </w:p>
    <w:p w:rsidR="009B4A76" w:rsidRPr="00A45537" w:rsidP="009B4A76" w14:paraId="62E24920" w14:textId="77777777">
      <w:pPr>
        <w:tabs>
          <w:tab w:val="left" w:pos="4320"/>
        </w:tabs>
        <w:ind w:firstLine="4320"/>
        <w:rPr>
          <w:szCs w:val="24"/>
        </w:rPr>
      </w:pPr>
      <w:r w:rsidRPr="00A45537">
        <w:rPr>
          <w:szCs w:val="24"/>
        </w:rPr>
        <w:t>Counsel of Record</w:t>
      </w:r>
    </w:p>
    <w:p w:rsidR="009B4A76" w:rsidRPr="00A45537" w:rsidP="009B4A76" w14:paraId="1E1C3029" w14:textId="77777777">
      <w:pPr>
        <w:tabs>
          <w:tab w:val="left" w:pos="4320"/>
        </w:tabs>
        <w:rPr>
          <w:szCs w:val="24"/>
        </w:rPr>
      </w:pPr>
      <w:r w:rsidRPr="00A45537">
        <w:rPr>
          <w:szCs w:val="24"/>
        </w:rPr>
        <w:tab/>
        <w:t>Amy Botschner O’Brien (0074423)</w:t>
      </w:r>
    </w:p>
    <w:p w:rsidR="009B4A76" w:rsidRPr="00A45537" w:rsidP="009B4A76" w14:paraId="3A705F13" w14:textId="77777777">
      <w:pPr>
        <w:tabs>
          <w:tab w:val="left" w:pos="4320"/>
        </w:tabs>
        <w:ind w:firstLine="4320"/>
        <w:rPr>
          <w:szCs w:val="24"/>
        </w:rPr>
      </w:pPr>
      <w:r w:rsidRPr="00A45537">
        <w:rPr>
          <w:szCs w:val="24"/>
        </w:rPr>
        <w:t>Assistant Consumers’ Counsel</w:t>
      </w:r>
    </w:p>
    <w:p w:rsidR="009B4A76" w:rsidRPr="00A45537" w:rsidP="009B4A76" w14:paraId="03FC2F00" w14:textId="77777777">
      <w:pPr>
        <w:rPr>
          <w:szCs w:val="24"/>
        </w:rPr>
      </w:pPr>
      <w:r w:rsidRPr="00A45537">
        <w:rPr>
          <w:szCs w:val="24"/>
        </w:rPr>
        <w:tab/>
      </w:r>
    </w:p>
    <w:p w:rsidR="009B4A76" w:rsidRPr="00A45537" w:rsidP="009B4A76" w14:paraId="7CA3D755" w14:textId="77777777">
      <w:pPr>
        <w:rPr>
          <w:b/>
          <w:bCs/>
          <w:szCs w:val="24"/>
        </w:rPr>
      </w:pPr>
      <w:r w:rsidRPr="00A45537">
        <w:rPr>
          <w:szCs w:val="24"/>
        </w:rPr>
        <w:tab/>
      </w:r>
      <w:r w:rsidRPr="00A45537">
        <w:rPr>
          <w:szCs w:val="24"/>
        </w:rPr>
        <w:tab/>
      </w:r>
      <w:r w:rsidRPr="00A45537">
        <w:rPr>
          <w:szCs w:val="24"/>
        </w:rPr>
        <w:tab/>
      </w:r>
      <w:r w:rsidRPr="00A45537">
        <w:rPr>
          <w:szCs w:val="24"/>
        </w:rPr>
        <w:tab/>
      </w:r>
      <w:r w:rsidRPr="00A45537">
        <w:rPr>
          <w:szCs w:val="24"/>
        </w:rPr>
        <w:tab/>
      </w:r>
      <w:r w:rsidRPr="00A45537">
        <w:rPr>
          <w:szCs w:val="24"/>
        </w:rPr>
        <w:tab/>
      </w:r>
      <w:r w:rsidRPr="00A45537">
        <w:rPr>
          <w:b/>
          <w:bCs/>
          <w:szCs w:val="24"/>
        </w:rPr>
        <w:t>Office of the Ohio Consumers’ Counsel</w:t>
      </w:r>
    </w:p>
    <w:p w:rsidR="009B4A76" w:rsidRPr="00A45537" w:rsidP="009B4A76" w14:paraId="3488CAE5" w14:textId="77777777">
      <w:pPr>
        <w:rPr>
          <w:b/>
          <w:szCs w:val="24"/>
        </w:rPr>
      </w:pPr>
      <w:r w:rsidRPr="00A45537">
        <w:rPr>
          <w:szCs w:val="24"/>
        </w:rPr>
        <w:tab/>
      </w:r>
      <w:r w:rsidRPr="00A45537">
        <w:rPr>
          <w:szCs w:val="24"/>
        </w:rPr>
        <w:tab/>
      </w:r>
      <w:r w:rsidRPr="00A45537">
        <w:rPr>
          <w:szCs w:val="24"/>
        </w:rPr>
        <w:tab/>
      </w:r>
      <w:r w:rsidRPr="00A45537">
        <w:rPr>
          <w:szCs w:val="24"/>
        </w:rPr>
        <w:tab/>
      </w:r>
      <w:r w:rsidRPr="00A45537">
        <w:rPr>
          <w:szCs w:val="24"/>
        </w:rPr>
        <w:tab/>
      </w:r>
      <w:r w:rsidRPr="00A45537">
        <w:rPr>
          <w:szCs w:val="24"/>
        </w:rPr>
        <w:tab/>
        <w:t>65 East State Street, 7th Floor</w:t>
      </w:r>
    </w:p>
    <w:p w:rsidR="009B4A76" w:rsidRPr="00A45537" w:rsidP="009B4A76" w14:paraId="7EDC8622" w14:textId="77777777">
      <w:pPr>
        <w:rPr>
          <w:b/>
          <w:szCs w:val="24"/>
        </w:rPr>
      </w:pPr>
      <w:r w:rsidRPr="00A45537">
        <w:rPr>
          <w:szCs w:val="24"/>
        </w:rPr>
        <w:tab/>
      </w:r>
      <w:r w:rsidRPr="00A45537">
        <w:rPr>
          <w:szCs w:val="24"/>
        </w:rPr>
        <w:tab/>
      </w:r>
      <w:r w:rsidRPr="00A45537">
        <w:rPr>
          <w:szCs w:val="24"/>
        </w:rPr>
        <w:tab/>
      </w:r>
      <w:r w:rsidRPr="00A45537">
        <w:rPr>
          <w:szCs w:val="24"/>
        </w:rPr>
        <w:tab/>
      </w:r>
      <w:r w:rsidRPr="00A45537">
        <w:rPr>
          <w:szCs w:val="24"/>
        </w:rPr>
        <w:tab/>
      </w:r>
      <w:r w:rsidRPr="00A45537">
        <w:rPr>
          <w:szCs w:val="24"/>
        </w:rPr>
        <w:tab/>
        <w:t>Columbus, Ohio 43215-4213</w:t>
      </w:r>
    </w:p>
    <w:p w:rsidR="009B4A76" w:rsidRPr="00A45537" w:rsidP="009B4A76" w14:paraId="6D12C979" w14:textId="77777777">
      <w:pPr>
        <w:autoSpaceDE w:val="0"/>
        <w:autoSpaceDN w:val="0"/>
        <w:adjustRightInd w:val="0"/>
        <w:ind w:left="3600" w:firstLine="720"/>
        <w:rPr>
          <w:szCs w:val="24"/>
        </w:rPr>
      </w:pPr>
      <w:r w:rsidRPr="00A45537">
        <w:rPr>
          <w:szCs w:val="24"/>
        </w:rPr>
        <w:t>Telephone [Wilson]: (614) 466-1292</w:t>
      </w:r>
    </w:p>
    <w:p w:rsidR="009B4A76" w:rsidRPr="00A45537" w:rsidP="009B4A76" w14:paraId="04C8225E" w14:textId="77777777">
      <w:pPr>
        <w:autoSpaceDE w:val="0"/>
        <w:autoSpaceDN w:val="0"/>
        <w:adjustRightInd w:val="0"/>
        <w:ind w:left="3600" w:firstLine="720"/>
        <w:rPr>
          <w:szCs w:val="24"/>
        </w:rPr>
      </w:pPr>
      <w:r w:rsidRPr="00A45537">
        <w:rPr>
          <w:szCs w:val="24"/>
        </w:rPr>
        <w:t>Telephone [Botschner O’Brien] (614) 466-9575</w:t>
      </w:r>
      <w:r w:rsidRPr="00A45537">
        <w:rPr>
          <w:szCs w:val="24"/>
        </w:rPr>
        <w:tab/>
      </w:r>
      <w:r w:rsidRPr="00A45537">
        <w:rPr>
          <w:szCs w:val="24"/>
        </w:rPr>
        <w:tab/>
      </w:r>
      <w:hyperlink r:id="rId8" w:history="1">
        <w:r w:rsidRPr="00A45537">
          <w:rPr>
            <w:rStyle w:val="Hyperlink"/>
            <w:szCs w:val="24"/>
          </w:rPr>
          <w:t>ambrosia.wilson@occ.ohio.gov</w:t>
        </w:r>
      </w:hyperlink>
    </w:p>
    <w:p w:rsidR="009B4A76" w:rsidRPr="00A45537" w:rsidP="009B4A76" w14:paraId="0CDB29EC" w14:textId="06CC44A2">
      <w:pPr>
        <w:rPr>
          <w:szCs w:val="24"/>
        </w:rPr>
      </w:pPr>
      <w:r w:rsidRPr="00A45537">
        <w:rPr>
          <w:szCs w:val="24"/>
        </w:rPr>
        <w:tab/>
      </w:r>
      <w:r w:rsidRPr="00A45537">
        <w:rPr>
          <w:szCs w:val="24"/>
        </w:rPr>
        <w:tab/>
      </w:r>
      <w:r w:rsidRPr="00A45537">
        <w:rPr>
          <w:szCs w:val="24"/>
        </w:rPr>
        <w:tab/>
      </w:r>
      <w:r w:rsidRPr="00A45537">
        <w:rPr>
          <w:szCs w:val="24"/>
        </w:rPr>
        <w:tab/>
      </w:r>
      <w:r w:rsidRPr="00A45537">
        <w:rPr>
          <w:szCs w:val="24"/>
        </w:rPr>
        <w:tab/>
      </w:r>
      <w:r w:rsidRPr="00A45537">
        <w:rPr>
          <w:szCs w:val="24"/>
        </w:rPr>
        <w:tab/>
      </w:r>
      <w:hyperlink r:id="rId9" w:history="1">
        <w:r w:rsidRPr="00495AF3" w:rsidR="00B50ED6">
          <w:rPr>
            <w:rStyle w:val="Hyperlink"/>
            <w:szCs w:val="24"/>
          </w:rPr>
          <w:t>amy.botschner.obrien@occ.ohio.gov</w:t>
        </w:r>
      </w:hyperlink>
      <w:r w:rsidRPr="00A45537">
        <w:rPr>
          <w:szCs w:val="24"/>
        </w:rPr>
        <w:t xml:space="preserve"> </w:t>
      </w:r>
    </w:p>
    <w:p w:rsidR="00CB5D16" w:rsidRPr="00A45537" w:rsidP="009B4A76" w14:paraId="57293913" w14:textId="5D8BA134">
      <w:pPr>
        <w:pStyle w:val="Footer"/>
        <w:tabs>
          <w:tab w:val="left" w:pos="4320"/>
          <w:tab w:val="clear" w:pos="8640"/>
        </w:tabs>
        <w:rPr>
          <w:b/>
          <w:bCs/>
          <w:sz w:val="24"/>
          <w:szCs w:val="24"/>
          <w:u w:val="single"/>
        </w:rPr>
      </w:pPr>
      <w:r w:rsidRPr="00A45537">
        <w:rPr>
          <w:sz w:val="24"/>
          <w:szCs w:val="24"/>
        </w:rPr>
        <w:tab/>
        <w:t>(willing to accept service by email)</w:t>
      </w:r>
      <w:r w:rsidRPr="00A45537" w:rsidR="001008CF">
        <w:rPr>
          <w:b/>
          <w:bCs/>
          <w:sz w:val="24"/>
          <w:szCs w:val="24"/>
          <w:u w:val="single"/>
        </w:rPr>
        <w:br w:type="page"/>
      </w:r>
    </w:p>
    <w:p w:rsidR="00CD2C14" w:rsidRPr="00A45537" w:rsidP="00CD2C14" w14:paraId="637F8051" w14:textId="77777777">
      <w:pPr>
        <w:pStyle w:val="ANSWER"/>
        <w:suppressLineNumbers/>
        <w:ind w:left="720"/>
        <w:jc w:val="center"/>
        <w:rPr>
          <w:b/>
          <w:szCs w:val="24"/>
          <w:u w:val="single"/>
        </w:rPr>
      </w:pPr>
      <w:r w:rsidRPr="00A45537">
        <w:rPr>
          <w:b/>
          <w:szCs w:val="24"/>
          <w:u w:val="single"/>
        </w:rPr>
        <w:t>CERTIFICATE OF SERVICE</w:t>
      </w:r>
    </w:p>
    <w:p w:rsidR="00CD2C14" w:rsidRPr="00A45537" w:rsidP="00CD2C14" w14:paraId="2D6A8B47" w14:textId="311DDB7A">
      <w:pPr>
        <w:spacing w:line="480" w:lineRule="atLeast"/>
        <w:ind w:firstLine="720"/>
        <w:rPr>
          <w:szCs w:val="24"/>
        </w:rPr>
      </w:pPr>
      <w:r w:rsidRPr="00A45537">
        <w:rPr>
          <w:szCs w:val="24"/>
        </w:rPr>
        <w:t xml:space="preserve">I hereby certify that a copy of this </w:t>
      </w:r>
      <w:r w:rsidR="00B50ED6">
        <w:rPr>
          <w:szCs w:val="24"/>
        </w:rPr>
        <w:t>Initial</w:t>
      </w:r>
      <w:r w:rsidRPr="00A45537">
        <w:rPr>
          <w:szCs w:val="24"/>
        </w:rPr>
        <w:t xml:space="preserve"> Brief was served on the persons stated below via electronic transmission, this </w:t>
      </w:r>
      <w:r w:rsidR="00F1443A">
        <w:rPr>
          <w:szCs w:val="24"/>
        </w:rPr>
        <w:t>21st</w:t>
      </w:r>
      <w:r w:rsidRPr="00A45537">
        <w:rPr>
          <w:szCs w:val="24"/>
        </w:rPr>
        <w:t xml:space="preserve"> day of </w:t>
      </w:r>
      <w:r w:rsidRPr="00A45537" w:rsidR="009B4A76">
        <w:rPr>
          <w:szCs w:val="24"/>
        </w:rPr>
        <w:t>June</w:t>
      </w:r>
      <w:r w:rsidRPr="00A45537">
        <w:rPr>
          <w:szCs w:val="24"/>
        </w:rPr>
        <w:t xml:space="preserve"> 202</w:t>
      </w:r>
      <w:r w:rsidRPr="00A45537" w:rsidR="006615B0">
        <w:rPr>
          <w:szCs w:val="24"/>
        </w:rPr>
        <w:t>1</w:t>
      </w:r>
      <w:r w:rsidRPr="00A45537">
        <w:rPr>
          <w:szCs w:val="24"/>
        </w:rPr>
        <w:t>.</w:t>
      </w:r>
    </w:p>
    <w:p w:rsidR="00CD2C14" w:rsidRPr="00A45537" w:rsidP="00CD2C14" w14:paraId="6B6DF330" w14:textId="77777777">
      <w:pPr>
        <w:suppressLineNumbers/>
        <w:ind w:firstLine="720"/>
        <w:rPr>
          <w:szCs w:val="24"/>
        </w:rPr>
      </w:pPr>
    </w:p>
    <w:p w:rsidR="00CD2C14" w:rsidRPr="00A45537" w:rsidP="00CD2C14" w14:paraId="741774D1" w14:textId="122FBA61">
      <w:pPr>
        <w:suppressLineNumbers/>
        <w:tabs>
          <w:tab w:val="left" w:pos="4320"/>
        </w:tabs>
        <w:rPr>
          <w:i/>
          <w:szCs w:val="24"/>
          <w:u w:val="single"/>
        </w:rPr>
      </w:pPr>
      <w:r w:rsidRPr="00A45537">
        <w:rPr>
          <w:i/>
          <w:szCs w:val="24"/>
        </w:rPr>
        <w:tab/>
      </w:r>
      <w:r w:rsidRPr="00A45537">
        <w:rPr>
          <w:i/>
          <w:szCs w:val="24"/>
          <w:u w:val="single"/>
        </w:rPr>
        <w:t xml:space="preserve">/s/ </w:t>
      </w:r>
      <w:r w:rsidRPr="00A45537" w:rsidR="008A49A5">
        <w:rPr>
          <w:i/>
          <w:iCs/>
          <w:szCs w:val="24"/>
          <w:u w:val="single"/>
        </w:rPr>
        <w:t>Ambrosia E. Wilson</w:t>
      </w:r>
      <w:r w:rsidRPr="00A45537">
        <w:rPr>
          <w:i/>
          <w:szCs w:val="24"/>
          <w:u w:val="single"/>
        </w:rPr>
        <w:tab/>
      </w:r>
    </w:p>
    <w:p w:rsidR="00CD2C14" w:rsidRPr="00A45537" w:rsidP="00CD2C14" w14:paraId="42E963D9" w14:textId="029F6E1B">
      <w:pPr>
        <w:suppressLineNumbers/>
        <w:tabs>
          <w:tab w:val="left" w:pos="4320"/>
        </w:tabs>
        <w:rPr>
          <w:szCs w:val="24"/>
        </w:rPr>
      </w:pPr>
      <w:r w:rsidRPr="00A45537">
        <w:rPr>
          <w:szCs w:val="24"/>
        </w:rPr>
        <w:tab/>
      </w:r>
      <w:r w:rsidRPr="00A45537" w:rsidR="006615B0">
        <w:rPr>
          <w:szCs w:val="24"/>
        </w:rPr>
        <w:t>Ambrosia E. Wilson</w:t>
      </w:r>
    </w:p>
    <w:p w:rsidR="00CD2C14" w:rsidRPr="00A45537" w:rsidP="00CD2C14" w14:paraId="0EA8414B" w14:textId="77777777">
      <w:pPr>
        <w:suppressLineNumbers/>
        <w:tabs>
          <w:tab w:val="left" w:pos="4320"/>
        </w:tabs>
        <w:rPr>
          <w:szCs w:val="24"/>
        </w:rPr>
      </w:pPr>
      <w:r w:rsidRPr="00A45537">
        <w:rPr>
          <w:szCs w:val="24"/>
        </w:rPr>
        <w:tab/>
        <w:t>Assistant Consumers’ Counsel</w:t>
      </w:r>
    </w:p>
    <w:p w:rsidR="00CD2C14" w:rsidRPr="00A45537" w:rsidP="00CD2C14" w14:paraId="67DD9C55" w14:textId="77777777">
      <w:pPr>
        <w:suppressLineNumbers/>
        <w:spacing w:line="480" w:lineRule="auto"/>
        <w:ind w:firstLine="720"/>
        <w:rPr>
          <w:szCs w:val="24"/>
        </w:rPr>
      </w:pPr>
    </w:p>
    <w:p w:rsidR="006B5EC6" w:rsidRPr="008A21A4" w:rsidP="006B5EC6" w14:paraId="3E70E495" w14:textId="77777777">
      <w:r w:rsidRPr="008A21A4">
        <w:t>The PUCO’s e-filing system will electronically serve notice of the filing of this document on the following parties:</w:t>
      </w:r>
    </w:p>
    <w:p w:rsidR="006B5EC6" w:rsidRPr="008A21A4" w:rsidP="006B5EC6" w14:paraId="0BFE0AF6" w14:textId="77777777">
      <w:pPr>
        <w:pStyle w:val="CommentText"/>
        <w:jc w:val="center"/>
        <w:rPr>
          <w:b/>
          <w:u w:val="single"/>
        </w:rPr>
      </w:pPr>
    </w:p>
    <w:p w:rsidR="006B5EC6" w:rsidRPr="008A21A4" w:rsidP="006B5EC6" w14:paraId="2BF7493F" w14:textId="77777777">
      <w:pPr>
        <w:pStyle w:val="CommentText"/>
        <w:jc w:val="center"/>
        <w:rPr>
          <w:b/>
          <w:u w:val="single"/>
        </w:rPr>
      </w:pPr>
      <w:r w:rsidRPr="008A21A4">
        <w:rPr>
          <w:b/>
          <w:u w:val="single"/>
        </w:rPr>
        <w:t>SERVICE LIST</w:t>
      </w:r>
    </w:p>
    <w:p w:rsidR="006B5EC6" w:rsidRPr="008A21A4" w:rsidP="006B5EC6" w14:paraId="4EDA9DC6" w14:textId="77777777">
      <w:pPr>
        <w:pStyle w:val="BodyText"/>
        <w:rPr>
          <w:b/>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7"/>
        <w:gridCol w:w="4425"/>
      </w:tblGrid>
      <w:tr w14:paraId="32010B45" w14:textId="77777777" w:rsidTr="008B753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427" w:type="dxa"/>
          </w:tcPr>
          <w:p w:rsidR="006B5EC6" w:rsidRPr="006B5EC6" w:rsidP="008B7533" w14:paraId="33E3A672" w14:textId="4A535BA2">
            <w:pPr>
              <w:pStyle w:val="BodyText"/>
              <w:jc w:val="left"/>
              <w:rPr>
                <w:color w:val="0000FF"/>
                <w:szCs w:val="24"/>
                <w:u w:val="single"/>
              </w:rPr>
            </w:pPr>
            <w:hyperlink r:id="rId10" w:history="1">
              <w:r w:rsidRPr="006B5EC6" w:rsidR="00096830">
                <w:rPr>
                  <w:rStyle w:val="Hyperlink"/>
                  <w:szCs w:val="24"/>
                </w:rPr>
                <w:t>robert.eubanks@O</w:t>
              </w:r>
              <w:r w:rsidRPr="006B5EC6" w:rsidR="00096830">
                <w:rPr>
                  <w:rStyle w:val="Hyperlink"/>
                </w:rPr>
                <w:t>hio</w:t>
              </w:r>
            </w:hyperlink>
            <w:r w:rsidRPr="006B5EC6" w:rsidR="00096830">
              <w:rPr>
                <w:color w:val="0000FF"/>
                <w:u w:val="single"/>
              </w:rPr>
              <w:t>AGO.</w:t>
            </w:r>
            <w:r w:rsidRPr="006B5EC6" w:rsidR="00096830">
              <w:rPr>
                <w:color w:val="0000FF"/>
                <w:szCs w:val="24"/>
                <w:u w:val="single"/>
              </w:rPr>
              <w:t>gov</w:t>
            </w:r>
          </w:p>
          <w:p w:rsidR="006B5EC6" w:rsidRPr="008A21A4" w:rsidP="008B7533" w14:paraId="55A5D779" w14:textId="77777777">
            <w:pPr>
              <w:pStyle w:val="BodyText"/>
              <w:jc w:val="left"/>
              <w:rPr>
                <w:color w:val="0000FF"/>
                <w:szCs w:val="24"/>
                <w:u w:val="single"/>
              </w:rPr>
            </w:pPr>
          </w:p>
          <w:p w:rsidR="006B5EC6" w:rsidRPr="008A21A4" w:rsidP="008B7533" w14:paraId="3F75445F" w14:textId="77777777">
            <w:pPr>
              <w:autoSpaceDE w:val="0"/>
              <w:autoSpaceDN w:val="0"/>
              <w:adjustRightInd w:val="0"/>
              <w:rPr>
                <w:bCs/>
              </w:rPr>
            </w:pPr>
          </w:p>
          <w:p w:rsidR="006B5EC6" w:rsidRPr="008A21A4" w:rsidP="008B7533" w14:paraId="10CCCC01" w14:textId="77777777">
            <w:pPr>
              <w:autoSpaceDE w:val="0"/>
              <w:autoSpaceDN w:val="0"/>
              <w:adjustRightInd w:val="0"/>
              <w:rPr>
                <w:bCs/>
              </w:rPr>
            </w:pPr>
            <w:r w:rsidRPr="008A21A4">
              <w:rPr>
                <w:bCs/>
              </w:rPr>
              <w:t>Attorney Examiners:</w:t>
            </w:r>
          </w:p>
          <w:p w:rsidR="006B5EC6" w:rsidRPr="008A21A4" w:rsidP="008B7533" w14:paraId="1BBAED86" w14:textId="77777777">
            <w:pPr>
              <w:autoSpaceDE w:val="0"/>
              <w:autoSpaceDN w:val="0"/>
              <w:adjustRightInd w:val="0"/>
              <w:rPr>
                <w:bCs/>
              </w:rPr>
            </w:pPr>
          </w:p>
          <w:p w:rsidR="006B5EC6" w:rsidRPr="008A21A4" w:rsidP="008B7533" w14:paraId="6D36F921" w14:textId="77777777">
            <w:pPr>
              <w:adjustRightInd w:val="0"/>
              <w:rPr>
                <w:color w:val="0000FF"/>
                <w:u w:val="single"/>
              </w:rPr>
            </w:pPr>
            <w:hyperlink r:id="rId11" w:history="1">
              <w:r w:rsidRPr="008A21A4" w:rsidR="00096830">
                <w:rPr>
                  <w:color w:val="0000FF"/>
                  <w:u w:val="single"/>
                </w:rPr>
                <w:t>patricia.schabo@puco.ohio.gov</w:t>
              </w:r>
            </w:hyperlink>
          </w:p>
          <w:p w:rsidR="006B5EC6" w:rsidRPr="008A21A4" w:rsidP="008B7533" w14:paraId="710063D1" w14:textId="77777777">
            <w:pPr>
              <w:rPr>
                <w:bCs/>
              </w:rPr>
            </w:pPr>
            <w:r w:rsidRPr="008A21A4">
              <w:rPr>
                <w:bCs/>
                <w:color w:val="0000FF"/>
                <w:u w:val="single"/>
              </w:rPr>
              <w:t>michael.williams@puco.ohio.gov</w:t>
            </w:r>
          </w:p>
          <w:p w:rsidR="006B5EC6" w:rsidRPr="008A21A4" w:rsidP="008B7533" w14:paraId="37023A71" w14:textId="77777777">
            <w:pPr>
              <w:autoSpaceDE w:val="0"/>
              <w:autoSpaceDN w:val="0"/>
              <w:adjustRightInd w:val="0"/>
              <w:rPr>
                <w:bCs/>
              </w:rPr>
            </w:pPr>
          </w:p>
          <w:p w:rsidR="006B5EC6" w:rsidRPr="008A21A4" w:rsidP="008B7533" w14:paraId="6B88E215" w14:textId="77777777">
            <w:pPr>
              <w:autoSpaceDE w:val="0"/>
              <w:autoSpaceDN w:val="0"/>
              <w:adjustRightInd w:val="0"/>
              <w:rPr>
                <w:bCs/>
              </w:rPr>
            </w:pPr>
          </w:p>
        </w:tc>
        <w:tc>
          <w:tcPr>
            <w:tcW w:w="4425" w:type="dxa"/>
          </w:tcPr>
          <w:p w:rsidR="006B5EC6" w:rsidP="008B7533" w14:paraId="7D562215" w14:textId="7674A20E">
            <w:pPr>
              <w:pStyle w:val="BodyText"/>
              <w:rPr>
                <w:color w:val="0000FF"/>
                <w:szCs w:val="24"/>
                <w:u w:val="single"/>
              </w:rPr>
            </w:pPr>
            <w:hyperlink r:id="rId12" w:history="1">
              <w:r w:rsidRPr="00495AF3" w:rsidR="00025FC8">
                <w:rPr>
                  <w:rStyle w:val="Hyperlink"/>
                  <w:szCs w:val="24"/>
                </w:rPr>
                <w:t>michael.schuler@aes.com</w:t>
              </w:r>
            </w:hyperlink>
          </w:p>
          <w:p w:rsidR="00025FC8" w:rsidP="008B7533" w14:paraId="0E9A3E14" w14:textId="03D8BFD3">
            <w:pPr>
              <w:pStyle w:val="BodyText"/>
              <w:rPr>
                <w:color w:val="0000FF"/>
                <w:szCs w:val="24"/>
                <w:u w:val="single"/>
              </w:rPr>
            </w:pPr>
            <w:hyperlink r:id="rId13" w:history="1">
              <w:r w:rsidRPr="00495AF3" w:rsidR="00096830">
                <w:rPr>
                  <w:rStyle w:val="Hyperlink"/>
                  <w:szCs w:val="24"/>
                </w:rPr>
                <w:t>jsharkey@ficlaw.com</w:t>
              </w:r>
            </w:hyperlink>
          </w:p>
          <w:p w:rsidR="00025FC8" w:rsidP="008B7533" w14:paraId="321F22DB" w14:textId="0CD1D12D">
            <w:pPr>
              <w:pStyle w:val="BodyText"/>
              <w:rPr>
                <w:color w:val="0000FF"/>
                <w:szCs w:val="24"/>
                <w:u w:val="single"/>
              </w:rPr>
            </w:pPr>
            <w:hyperlink r:id="rId14" w:history="1">
              <w:r w:rsidRPr="00495AF3" w:rsidR="00096830">
                <w:rPr>
                  <w:rStyle w:val="Hyperlink"/>
                  <w:szCs w:val="24"/>
                </w:rPr>
                <w:t>chollon@ficlaw.com</w:t>
              </w:r>
            </w:hyperlink>
          </w:p>
          <w:p w:rsidR="006B5EC6" w:rsidP="008B7533" w14:paraId="6C66738A" w14:textId="3F5FA4ED">
            <w:pPr>
              <w:pStyle w:val="BodyText"/>
              <w:rPr>
                <w:rStyle w:val="Hyperlink"/>
                <w:bCs/>
                <w:szCs w:val="24"/>
              </w:rPr>
            </w:pPr>
            <w:hyperlink r:id="rId15" w:history="1">
              <w:r w:rsidRPr="008A21A4" w:rsidR="00096830">
                <w:rPr>
                  <w:rStyle w:val="Hyperlink"/>
                  <w:bCs/>
                  <w:szCs w:val="24"/>
                </w:rPr>
                <w:t>bojko@carpenterlipps.com</w:t>
              </w:r>
            </w:hyperlink>
          </w:p>
          <w:p w:rsidR="00025FC8" w:rsidP="008B7533" w14:paraId="5346E3C6" w14:textId="316B3A25">
            <w:pPr>
              <w:pStyle w:val="BodyText"/>
            </w:pPr>
            <w:hyperlink r:id="rId16" w:history="1">
              <w:r w:rsidRPr="00495AF3" w:rsidR="00096830">
                <w:rPr>
                  <w:rStyle w:val="Hyperlink"/>
                  <w:bCs/>
                  <w:szCs w:val="24"/>
                </w:rPr>
                <w:t>d</w:t>
              </w:r>
              <w:r w:rsidRPr="00495AF3" w:rsidR="00096830">
                <w:rPr>
                  <w:rStyle w:val="Hyperlink"/>
                </w:rPr>
                <w:t>onadio@carpenterlipps.com</w:t>
              </w:r>
            </w:hyperlink>
          </w:p>
          <w:p w:rsidR="006B5EC6" w:rsidP="008B7533" w14:paraId="316B7556" w14:textId="769FFD37">
            <w:pPr>
              <w:pStyle w:val="BodyText"/>
              <w:ind w:hanging="1"/>
              <w:rPr>
                <w:rStyle w:val="Hyperlink"/>
                <w:bCs/>
                <w:szCs w:val="24"/>
              </w:rPr>
            </w:pPr>
            <w:hyperlink r:id="rId17" w:history="1">
              <w:r w:rsidRPr="008A21A4" w:rsidR="00096830">
                <w:rPr>
                  <w:rStyle w:val="Hyperlink"/>
                  <w:bCs/>
                  <w:szCs w:val="24"/>
                </w:rPr>
                <w:t>paul@carpenterlipps.com</w:t>
              </w:r>
            </w:hyperlink>
          </w:p>
          <w:p w:rsidR="006B5EC6" w:rsidP="008B7533" w14:paraId="72C222E9" w14:textId="6FBD884E">
            <w:pPr>
              <w:pStyle w:val="BodyText"/>
              <w:ind w:hanging="1"/>
              <w:rPr>
                <w:rStyle w:val="Hyperlink"/>
                <w:bCs/>
                <w:szCs w:val="24"/>
              </w:rPr>
            </w:pPr>
            <w:hyperlink r:id="rId18" w:history="1">
              <w:r w:rsidRPr="00495AF3" w:rsidR="00096830">
                <w:rPr>
                  <w:rStyle w:val="Hyperlink"/>
                  <w:bCs/>
                  <w:szCs w:val="24"/>
                </w:rPr>
                <w:t>wygonski@carpenterlipps.com</w:t>
              </w:r>
            </w:hyperlink>
          </w:p>
          <w:p w:rsidR="006B5EC6" w:rsidRPr="008A21A4" w:rsidP="008B7533" w14:paraId="70F03D24" w14:textId="77777777">
            <w:pPr>
              <w:pStyle w:val="BodyText"/>
              <w:ind w:hanging="1"/>
              <w:rPr>
                <w:bCs/>
                <w:szCs w:val="24"/>
              </w:rPr>
            </w:pPr>
          </w:p>
          <w:p w:rsidR="006B5EC6" w:rsidRPr="008A21A4" w:rsidP="008B7533" w14:paraId="028135FE" w14:textId="77777777">
            <w:pPr>
              <w:pStyle w:val="BodyText"/>
              <w:ind w:hanging="1"/>
              <w:rPr>
                <w:bCs/>
                <w:szCs w:val="24"/>
              </w:rPr>
            </w:pPr>
          </w:p>
        </w:tc>
      </w:tr>
    </w:tbl>
    <w:p w:rsidR="00D4185C" w:rsidRPr="00A45537" w:rsidP="006B5EC6" w14:paraId="72AC3DF8" w14:textId="77777777">
      <w:pPr>
        <w:rPr>
          <w:b/>
          <w:bCs/>
          <w:szCs w:val="24"/>
        </w:rPr>
      </w:pPr>
    </w:p>
    <w:sectPr w:rsidSect="00F1443A">
      <w:footerReference w:type="first" r:id="rId19"/>
      <w:pgSz w:w="12240" w:h="15840"/>
      <w:pgMar w:top="1440" w:right="1440" w:bottom="1440" w:left="1440" w:header="720" w:footer="720" w:gutter="0"/>
      <w:pgNumType w:start="2"/>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9520444"/>
      <w:docPartObj>
        <w:docPartGallery w:val="Page Numbers (Bottom of Page)"/>
        <w:docPartUnique/>
      </w:docPartObj>
    </w:sdtPr>
    <w:sdtEndPr>
      <w:rPr>
        <w:noProof/>
        <w:sz w:val="24"/>
        <w:szCs w:val="24"/>
      </w:rPr>
    </w:sdtEndPr>
    <w:sdtContent>
      <w:p w:rsidR="00A603F0" w:rsidRPr="00A603F0" w14:paraId="2E7E87AE" w14:textId="63415DF2">
        <w:pPr>
          <w:pStyle w:val="Footer"/>
          <w:jc w:val="center"/>
          <w:rPr>
            <w:sz w:val="24"/>
            <w:szCs w:val="24"/>
          </w:rPr>
        </w:pPr>
        <w:r w:rsidRPr="00A603F0">
          <w:rPr>
            <w:sz w:val="24"/>
            <w:szCs w:val="24"/>
          </w:rPr>
          <w:fldChar w:fldCharType="begin"/>
        </w:r>
        <w:r w:rsidRPr="00A603F0">
          <w:rPr>
            <w:sz w:val="24"/>
            <w:szCs w:val="24"/>
          </w:rPr>
          <w:instrText xml:space="preserve"> PAGE   \* MERGEFORMAT </w:instrText>
        </w:r>
        <w:r w:rsidRPr="00A603F0">
          <w:rPr>
            <w:sz w:val="24"/>
            <w:szCs w:val="24"/>
          </w:rPr>
          <w:fldChar w:fldCharType="separate"/>
        </w:r>
        <w:r w:rsidRPr="00A603F0">
          <w:rPr>
            <w:noProof/>
            <w:sz w:val="24"/>
            <w:szCs w:val="24"/>
          </w:rPr>
          <w:t>2</w:t>
        </w:r>
        <w:r w:rsidRPr="00A603F0">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443A" w:rsidRPr="00F1443A" w14:paraId="5336CF6F" w14:textId="70A190F4">
    <w:pPr>
      <w:pStyle w:val="Footer"/>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28008067"/>
      <w:docPartObj>
        <w:docPartGallery w:val="Page Numbers (Bottom of Page)"/>
        <w:docPartUnique/>
      </w:docPartObj>
    </w:sdtPr>
    <w:sdtEndPr>
      <w:rPr>
        <w:noProof/>
        <w:sz w:val="24"/>
        <w:szCs w:val="24"/>
      </w:rPr>
    </w:sdtEndPr>
    <w:sdtContent>
      <w:p w:rsidR="00A603F0" w:rsidRPr="00A603F0" w14:paraId="437F90C3" w14:textId="52743753">
        <w:pPr>
          <w:pStyle w:val="Footer"/>
          <w:jc w:val="center"/>
          <w:rPr>
            <w:sz w:val="24"/>
            <w:szCs w:val="24"/>
          </w:rPr>
        </w:pPr>
        <w:r w:rsidRPr="00A603F0">
          <w:rPr>
            <w:sz w:val="24"/>
            <w:szCs w:val="24"/>
          </w:rPr>
          <w:fldChar w:fldCharType="begin"/>
        </w:r>
        <w:r w:rsidRPr="00A603F0">
          <w:rPr>
            <w:sz w:val="24"/>
            <w:szCs w:val="24"/>
          </w:rPr>
          <w:instrText xml:space="preserve"> PAGE   \* MERGEFORMAT </w:instrText>
        </w:r>
        <w:r w:rsidRPr="00A603F0">
          <w:rPr>
            <w:sz w:val="24"/>
            <w:szCs w:val="24"/>
          </w:rPr>
          <w:fldChar w:fldCharType="separate"/>
        </w:r>
        <w:r w:rsidRPr="00A603F0">
          <w:rPr>
            <w:noProof/>
            <w:sz w:val="24"/>
            <w:szCs w:val="24"/>
          </w:rPr>
          <w:t>2</w:t>
        </w:r>
        <w:r w:rsidRPr="00A603F0">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E763C" w14:paraId="1FA88E48" w14:textId="77777777">
      <w:r>
        <w:separator/>
      </w:r>
    </w:p>
  </w:footnote>
  <w:footnote w:type="continuationSeparator" w:id="1">
    <w:p w:rsidR="001E763C" w14:paraId="3168517C" w14:textId="77777777">
      <w:r>
        <w:continuationSeparator/>
      </w:r>
    </w:p>
  </w:footnote>
  <w:footnote w:id="2">
    <w:p w:rsidR="00B82213" w:rsidRPr="00CD63B1" w:rsidP="00BC25A7" w14:paraId="2E5A1038" w14:textId="1B221569">
      <w:pPr>
        <w:pStyle w:val="Heading1"/>
        <w:numPr>
          <w:ilvl w:val="0"/>
          <w:numId w:val="0"/>
        </w:numPr>
        <w:shd w:val="clear" w:color="auto" w:fill="FFFFFF"/>
        <w:spacing w:after="120"/>
      </w:pPr>
      <w:r w:rsidRPr="00BC25A7">
        <w:rPr>
          <w:rStyle w:val="FootnoteReference"/>
          <w:b w:val="0"/>
          <w:bCs/>
          <w:sz w:val="20"/>
          <w:szCs w:val="20"/>
        </w:rPr>
        <w:footnoteRef/>
      </w:r>
      <w:r w:rsidRPr="00BC25A7">
        <w:rPr>
          <w:b w:val="0"/>
          <w:bCs/>
          <w:sz w:val="20"/>
          <w:szCs w:val="20"/>
        </w:rPr>
        <w:t xml:space="preserve"> </w:t>
      </w:r>
      <w:r w:rsidRPr="00BC25A7" w:rsidR="00BC25A7">
        <w:rPr>
          <w:b w:val="0"/>
          <w:bCs/>
          <w:sz w:val="20"/>
          <w:szCs w:val="20"/>
        </w:rPr>
        <w:t xml:space="preserve">Larry Pearl, </w:t>
      </w:r>
      <w:r w:rsidRPr="00BC25A7" w:rsidR="00BC25A7">
        <w:rPr>
          <w:b w:val="0"/>
          <w:bCs/>
          <w:i/>
          <w:iCs/>
          <w:color w:val="0A0A0A"/>
          <w:sz w:val="20"/>
          <w:szCs w:val="20"/>
        </w:rPr>
        <w:t>FirstEnergy nears proposal to decouple Ohio utility revenues, electricity consumption: CEO</w:t>
      </w:r>
      <w:r w:rsidR="00BC25A7">
        <w:rPr>
          <w:b w:val="0"/>
          <w:bCs/>
          <w:color w:val="0A0A0A"/>
          <w:sz w:val="20"/>
          <w:szCs w:val="20"/>
        </w:rPr>
        <w:t>, Utility Dive (Nov. 5, 2019</w:t>
      </w:r>
      <w:r w:rsidR="00A603F0">
        <w:rPr>
          <w:b w:val="0"/>
          <w:bCs/>
          <w:color w:val="0A0A0A"/>
          <w:sz w:val="20"/>
          <w:szCs w:val="20"/>
        </w:rPr>
        <w:t>).</w:t>
      </w:r>
    </w:p>
  </w:footnote>
  <w:footnote w:id="3">
    <w:p w:rsidR="00F800B1" w:rsidRPr="00CD63B1" w:rsidP="00BC25A7" w14:paraId="19D719A8" w14:textId="32EE5A71">
      <w:pPr>
        <w:pStyle w:val="FootnoteText"/>
        <w:spacing w:after="120"/>
      </w:pPr>
      <w:r w:rsidRPr="00CD63B1">
        <w:rPr>
          <w:rStyle w:val="FootnoteReference"/>
        </w:rPr>
        <w:footnoteRef/>
      </w:r>
      <w:r w:rsidRPr="00CD63B1">
        <w:t xml:space="preserve"> </w:t>
      </w:r>
      <w:r w:rsidRPr="00CD63B1" w:rsidR="00F63189">
        <w:rPr>
          <w:i/>
          <w:iCs/>
        </w:rPr>
        <w:t>In re Application of DP&amp;L for Approval of its Electric Security Plan</w:t>
      </w:r>
      <w:r w:rsidRPr="00AF2302" w:rsidR="00F63189">
        <w:t>,</w:t>
      </w:r>
      <w:r w:rsidRPr="00F17A39" w:rsidR="00F63189">
        <w:rPr>
          <w:i/>
          <w:iCs/>
        </w:rPr>
        <w:t xml:space="preserve"> </w:t>
      </w:r>
      <w:r w:rsidRPr="00F17A39" w:rsidR="00610512">
        <w:t>Case No. 16-395-</w:t>
      </w:r>
      <w:r w:rsidRPr="00CD63B1" w:rsidR="005D0E73">
        <w:t>EL-SSO</w:t>
      </w:r>
      <w:r w:rsidRPr="00CD63B1" w:rsidR="001E1D70">
        <w:t>. (“</w:t>
      </w:r>
      <w:r w:rsidRPr="00CD63B1" w:rsidR="005926F2">
        <w:t>ESP III”</w:t>
      </w:r>
      <w:r w:rsidRPr="00CD63B1" w:rsidR="009270DF">
        <w:t>)</w:t>
      </w:r>
      <w:r w:rsidRPr="00CD63B1" w:rsidR="005926F2">
        <w:t>.</w:t>
      </w:r>
    </w:p>
  </w:footnote>
  <w:footnote w:id="4">
    <w:p w:rsidR="00C55625" w:rsidRPr="00CD63B1" w:rsidP="00BC25A7" w14:paraId="28DB1A45" w14:textId="6DAC7F59">
      <w:pPr>
        <w:pStyle w:val="FootnoteText"/>
        <w:spacing w:after="120"/>
      </w:pPr>
      <w:r w:rsidRPr="00CD63B1">
        <w:rPr>
          <w:rStyle w:val="FootnoteReference"/>
        </w:rPr>
        <w:footnoteRef/>
      </w:r>
      <w:r w:rsidRPr="00CD63B1">
        <w:t xml:space="preserve"> </w:t>
      </w:r>
      <w:r w:rsidRPr="00CD63B1" w:rsidR="00CA120E">
        <w:t xml:space="preserve">OCC Ex. 9 </w:t>
      </w:r>
      <w:r w:rsidRPr="00AF2302" w:rsidR="007F0CC7">
        <w:t>(</w:t>
      </w:r>
      <w:r w:rsidRPr="00F17A39" w:rsidR="00F800B1">
        <w:t>ESP III</w:t>
      </w:r>
      <w:r w:rsidRPr="00F17A39" w:rsidR="00367D12">
        <w:t>,</w:t>
      </w:r>
      <w:r w:rsidRPr="00CD63B1" w:rsidR="00690BF3">
        <w:t xml:space="preserve"> Notice of Withdrawal (</w:t>
      </w:r>
      <w:r w:rsidRPr="00CD63B1" w:rsidR="00F1088E">
        <w:t xml:space="preserve">Nov. </w:t>
      </w:r>
      <w:r w:rsidRPr="00CD63B1" w:rsidR="00610512">
        <w:t>26, 2019</w:t>
      </w:r>
      <w:r w:rsidRPr="00CD63B1" w:rsidR="00690BF3">
        <w:t>)</w:t>
      </w:r>
      <w:r w:rsidR="00BC25A7">
        <w:t>)</w:t>
      </w:r>
      <w:r w:rsidRPr="00CD63B1" w:rsidR="00690BF3">
        <w:t>.</w:t>
      </w:r>
    </w:p>
  </w:footnote>
  <w:footnote w:id="5">
    <w:p w:rsidR="00372BC4" w:rsidRPr="00CD63B1" w:rsidP="00BC25A7" w14:paraId="213D8B8E" w14:textId="29746462">
      <w:pPr>
        <w:pStyle w:val="FootnoteText"/>
        <w:spacing w:after="120"/>
      </w:pPr>
      <w:r w:rsidRPr="00CD63B1">
        <w:rPr>
          <w:rStyle w:val="FootnoteReference"/>
        </w:rPr>
        <w:footnoteRef/>
      </w:r>
      <w:r w:rsidRPr="00CD63B1">
        <w:t xml:space="preserve"> </w:t>
      </w:r>
      <w:r w:rsidRPr="00CD63B1" w:rsidR="004E1BEF">
        <w:t xml:space="preserve">R.C. </w:t>
      </w:r>
      <w:r w:rsidRPr="00AF2302" w:rsidR="004E1BEF">
        <w:t>4928.14</w:t>
      </w:r>
      <w:r w:rsidRPr="00F17A39" w:rsidR="001A275E">
        <w:t>3</w:t>
      </w:r>
      <w:r w:rsidRPr="00F17A39" w:rsidR="004E1BEF">
        <w:t>(C)(2)(b).</w:t>
      </w:r>
    </w:p>
  </w:footnote>
  <w:footnote w:id="6">
    <w:p w:rsidR="00425E9D" w:rsidRPr="00CD63B1" w:rsidP="00BC25A7" w14:paraId="6FFD62A9" w14:textId="6E2F59C8">
      <w:pPr>
        <w:pStyle w:val="FootnoteText"/>
        <w:spacing w:after="120"/>
      </w:pPr>
      <w:r w:rsidRPr="00CD63B1">
        <w:rPr>
          <w:rStyle w:val="FootnoteReference"/>
        </w:rPr>
        <w:footnoteRef/>
      </w:r>
      <w:r w:rsidRPr="00CD63B1">
        <w:t xml:space="preserve"> PUCO Case </w:t>
      </w:r>
      <w:r w:rsidRPr="00CD63B1" w:rsidR="00B44DD9">
        <w:t xml:space="preserve">No. </w:t>
      </w:r>
      <w:r w:rsidRPr="00CD63B1">
        <w:t xml:space="preserve">08-1094-EL-SSO, </w:t>
      </w:r>
      <w:r w:rsidR="00F17A39">
        <w:t xml:space="preserve">Second </w:t>
      </w:r>
      <w:r w:rsidRPr="00F17A39" w:rsidR="00B44DD9">
        <w:t>Finding and Order</w:t>
      </w:r>
      <w:r w:rsidRPr="00CD63B1">
        <w:t xml:space="preserve"> (Dec. 18, 2019); OCC Ex. 13</w:t>
      </w:r>
      <w:r w:rsidRPr="00CD63B1" w:rsidR="00E1759B">
        <w:t xml:space="preserve"> (Testimony of OCC Witness Willis)</w:t>
      </w:r>
      <w:r w:rsidRPr="00CD63B1">
        <w:t xml:space="preserve"> (March 12, 2021)</w:t>
      </w:r>
      <w:r w:rsidRPr="00CD63B1" w:rsidR="00E1759B">
        <w:t>.</w:t>
      </w:r>
      <w:r w:rsidRPr="00CD63B1">
        <w:t xml:space="preserve"> </w:t>
      </w:r>
    </w:p>
  </w:footnote>
  <w:footnote w:id="7">
    <w:p w:rsidR="001E4CD6" w:rsidRPr="00CD63B1" w:rsidP="00BC25A7" w14:paraId="51C6B65F" w14:textId="250E05A7">
      <w:pPr>
        <w:pStyle w:val="FootnoteText"/>
        <w:spacing w:after="120"/>
      </w:pPr>
      <w:r w:rsidRPr="00CD63B1">
        <w:rPr>
          <w:rStyle w:val="FootnoteReference"/>
        </w:rPr>
        <w:footnoteRef/>
      </w:r>
      <w:r w:rsidRPr="00CD63B1">
        <w:t xml:space="preserve"> </w:t>
      </w:r>
      <w:r w:rsidRPr="00250DFB" w:rsidR="001F0BC8">
        <w:rPr>
          <w:i/>
          <w:iCs/>
        </w:rPr>
        <w:t>See</w:t>
      </w:r>
      <w:r w:rsidRPr="00CD63B1" w:rsidR="001F0BC8">
        <w:t xml:space="preserve"> </w:t>
      </w:r>
      <w:hyperlink r:id="rId1" w:history="1">
        <w:r w:rsidRPr="00250DFB" w:rsidR="001F0BC8">
          <w:rPr>
            <w:rStyle w:val="Hyperlink"/>
            <w:i/>
            <w:iCs/>
            <w:color w:val="006EBB"/>
            <w:bdr w:val="none" w:sz="0" w:space="0" w:color="auto" w:frame="1"/>
          </w:rPr>
          <w:t>Ohio Consumers' Counsel v. PUC</w:t>
        </w:r>
        <w:r w:rsidRPr="00250DFB" w:rsidR="001F0BC8">
          <w:rPr>
            <w:rStyle w:val="Hyperlink"/>
            <w:color w:val="006EBB"/>
            <w:bdr w:val="none" w:sz="0" w:space="0" w:color="auto" w:frame="1"/>
          </w:rPr>
          <w:t>, 111 Ohio St.3d 384, 2006-Ohio-5853, 856 N.E.2d 940, ¶ 38</w:t>
        </w:r>
      </w:hyperlink>
      <w:r w:rsidRPr="00CD63B1" w:rsidR="001F0BC8">
        <w:t xml:space="preserve"> (“…</w:t>
      </w:r>
      <w:r w:rsidRPr="00250DFB" w:rsidR="001F0BC8">
        <w:rPr>
          <w:rStyle w:val="sssh"/>
          <w:b/>
          <w:bCs/>
          <w:color w:val="373739"/>
          <w:bdr w:val="none" w:sz="0" w:space="0" w:color="auto" w:frame="1"/>
        </w:rPr>
        <w:t>deferrals</w:t>
      </w:r>
      <w:r w:rsidRPr="00250DFB" w:rsidR="001F0BC8">
        <w:rPr>
          <w:color w:val="373739"/>
        </w:rPr>
        <w:t> are a prelude to possible rate increases for the companies' customers</w:t>
      </w:r>
      <w:r w:rsidRPr="00250DFB" w:rsidR="008B063C">
        <w:rPr>
          <w:color w:val="373739"/>
        </w:rPr>
        <w:t>…”).</w:t>
      </w:r>
    </w:p>
  </w:footnote>
  <w:footnote w:id="8">
    <w:p w:rsidR="00E56E79" w:rsidRPr="00CD63B1" w:rsidP="00BC25A7" w14:paraId="233D8B84" w14:textId="3F9555E3">
      <w:pPr>
        <w:pStyle w:val="FootnoteText"/>
        <w:spacing w:after="120"/>
      </w:pPr>
      <w:r w:rsidRPr="00CD63B1">
        <w:rPr>
          <w:rStyle w:val="FootnoteReference"/>
        </w:rPr>
        <w:footnoteRef/>
      </w:r>
      <w:r w:rsidRPr="00CD63B1">
        <w:t xml:space="preserve"> </w:t>
      </w:r>
      <w:r w:rsidRPr="00CD63B1" w:rsidR="00F23C8D">
        <w:rPr>
          <w:i/>
          <w:iCs/>
        </w:rPr>
        <w:t>In re the Application of The Dayton Power and Light Company for Approval of its Electric Security Plan</w:t>
      </w:r>
      <w:r w:rsidRPr="00AF2302" w:rsidR="00F23C8D">
        <w:t xml:space="preserve">, Case No. 08-1094-EL-SSO, </w:t>
      </w:r>
      <w:r w:rsidRPr="00CD63B1" w:rsidR="00F23C8D">
        <w:rPr>
          <w:i/>
          <w:iCs/>
        </w:rPr>
        <w:t>et al.</w:t>
      </w:r>
      <w:r w:rsidRPr="00CD63B1" w:rsidR="00326C1E">
        <w:rPr>
          <w:i/>
          <w:iCs/>
        </w:rPr>
        <w:t xml:space="preserve"> </w:t>
      </w:r>
      <w:r w:rsidRPr="00CD63B1" w:rsidR="00F23C8D">
        <w:t xml:space="preserve">(Dec. 18, 2019) (“ESP I”). </w:t>
      </w:r>
    </w:p>
  </w:footnote>
  <w:footnote w:id="9">
    <w:p w:rsidR="000432ED" w:rsidRPr="00CD63B1" w:rsidP="00BC25A7" w14:paraId="7A29753D" w14:textId="77777777">
      <w:pPr>
        <w:pStyle w:val="FootnoteText"/>
        <w:spacing w:after="120"/>
      </w:pPr>
      <w:r w:rsidRPr="00CD63B1">
        <w:rPr>
          <w:rStyle w:val="FootnoteReference"/>
        </w:rPr>
        <w:footnoteRef/>
      </w:r>
      <w:r w:rsidRPr="00CD63B1">
        <w:t xml:space="preserve"> R.C. 4928.142(C)(2)(b).</w:t>
      </w:r>
    </w:p>
  </w:footnote>
  <w:footnote w:id="10">
    <w:p w:rsidR="000432ED" w:rsidRPr="00CD63B1" w:rsidP="00BC25A7" w14:paraId="2383A24B" w14:textId="57764DED">
      <w:pPr>
        <w:pStyle w:val="FootnoteText"/>
        <w:spacing w:after="120"/>
      </w:pPr>
      <w:r w:rsidRPr="00CD63B1">
        <w:rPr>
          <w:rStyle w:val="FootnoteReference"/>
        </w:rPr>
        <w:footnoteRef/>
      </w:r>
      <w:r w:rsidRPr="00CD63B1">
        <w:t xml:space="preserve"> ESP III, Opinion and Order (Oct. 20, 2017).</w:t>
      </w:r>
    </w:p>
  </w:footnote>
  <w:footnote w:id="11">
    <w:p w:rsidR="00B84303" w:rsidRPr="00CD63B1" w:rsidP="00BC25A7" w14:paraId="05918979" w14:textId="58E041DE">
      <w:pPr>
        <w:pStyle w:val="FootnoteText"/>
        <w:spacing w:after="120"/>
      </w:pPr>
      <w:r w:rsidRPr="00CD63B1">
        <w:rPr>
          <w:rStyle w:val="FootnoteReference"/>
        </w:rPr>
        <w:footnoteRef/>
      </w:r>
      <w:r w:rsidRPr="00CD63B1">
        <w:t xml:space="preserve"> </w:t>
      </w:r>
      <w:r w:rsidRPr="00CD63B1" w:rsidR="008B3F4A">
        <w:t>ESP I, Second Finding and Order at ¶36 (Dec. 18, 2019).</w:t>
      </w:r>
    </w:p>
  </w:footnote>
  <w:footnote w:id="12">
    <w:p w:rsidR="000432ED" w:rsidRPr="00CD63B1" w:rsidP="00BC25A7" w14:paraId="0BF5D7EA" w14:textId="7069F039">
      <w:pPr>
        <w:pStyle w:val="FootnoteText"/>
        <w:spacing w:after="120"/>
      </w:pPr>
      <w:r w:rsidRPr="00CD63B1">
        <w:rPr>
          <w:rStyle w:val="FootnoteReference"/>
        </w:rPr>
        <w:footnoteRef/>
      </w:r>
      <w:r w:rsidRPr="00CD63B1">
        <w:t xml:space="preserve"> </w:t>
      </w:r>
      <w:r w:rsidRPr="00CD63B1" w:rsidR="00C44460">
        <w:t>ESP I,</w:t>
      </w:r>
      <w:r w:rsidRPr="00CD63B1">
        <w:t xml:space="preserve"> Second Finding and Order at ¶36 (Dec. 18, 2019).</w:t>
      </w:r>
    </w:p>
  </w:footnote>
  <w:footnote w:id="13">
    <w:p w:rsidR="00614B46" w:rsidRPr="00CD63B1" w:rsidP="00BC25A7" w14:paraId="21F710BB" w14:textId="77777777">
      <w:pPr>
        <w:pStyle w:val="FootnoteText"/>
        <w:spacing w:after="120"/>
      </w:pPr>
      <w:r w:rsidRPr="00CD63B1">
        <w:rPr>
          <w:rStyle w:val="FootnoteReference"/>
        </w:rPr>
        <w:footnoteRef/>
      </w:r>
      <w:r w:rsidRPr="00CD63B1">
        <w:t xml:space="preserve"> Tr. at 234.</w:t>
      </w:r>
    </w:p>
  </w:footnote>
  <w:footnote w:id="14">
    <w:p w:rsidR="006647DC" w:rsidRPr="00CD63B1" w:rsidP="00BC25A7" w14:paraId="165A4E7B" w14:textId="077FEE89">
      <w:pPr>
        <w:pStyle w:val="FootnoteText"/>
        <w:spacing w:after="120"/>
      </w:pPr>
      <w:r w:rsidRPr="00CD63B1">
        <w:rPr>
          <w:rStyle w:val="FootnoteReference"/>
        </w:rPr>
        <w:footnoteRef/>
      </w:r>
      <w:r w:rsidRPr="00CD63B1">
        <w:t xml:space="preserve"> OCC Ex. 13 at </w:t>
      </w:r>
      <w:r w:rsidRPr="00CD63B1" w:rsidR="00E550B3">
        <w:t>5.</w:t>
      </w:r>
    </w:p>
  </w:footnote>
  <w:footnote w:id="15">
    <w:p w:rsidR="00131DB5" w:rsidRPr="00CD63B1" w:rsidP="00BC25A7" w14:paraId="7BD67431" w14:textId="75474F4E">
      <w:pPr>
        <w:pStyle w:val="FootnoteText"/>
        <w:spacing w:after="120"/>
      </w:pPr>
      <w:r w:rsidRPr="00CD63B1">
        <w:rPr>
          <w:rStyle w:val="FootnoteReference"/>
        </w:rPr>
        <w:footnoteRef/>
      </w:r>
      <w:r w:rsidRPr="00CD63B1">
        <w:t xml:space="preserve"> </w:t>
      </w:r>
      <w:r w:rsidRPr="00CD63B1" w:rsidR="0033621F">
        <w:t xml:space="preserve">Case No. 08-1094-EL-SSO, </w:t>
      </w:r>
      <w:r w:rsidR="00BC25A7">
        <w:t xml:space="preserve">Second </w:t>
      </w:r>
      <w:r w:rsidRPr="00CD63B1" w:rsidR="0033621F">
        <w:t>Finding and Order (December 18, 2019)</w:t>
      </w:r>
      <w:r w:rsidRPr="00CD63B1" w:rsidR="0092354C">
        <w:t xml:space="preserve">. </w:t>
      </w:r>
    </w:p>
  </w:footnote>
  <w:footnote w:id="16">
    <w:p w:rsidR="000B591F" w:rsidRPr="00250DFB" w:rsidP="00BC25A7" w14:paraId="7328FEF3" w14:textId="7E339D06">
      <w:pPr>
        <w:spacing w:after="120"/>
        <w:rPr>
          <w:sz w:val="20"/>
        </w:rPr>
      </w:pPr>
      <w:r w:rsidRPr="00250DFB">
        <w:rPr>
          <w:rStyle w:val="FootnoteReference"/>
          <w:sz w:val="20"/>
        </w:rPr>
        <w:footnoteRef/>
      </w:r>
      <w:r w:rsidRPr="00250DFB">
        <w:rPr>
          <w:sz w:val="20"/>
        </w:rPr>
        <w:t xml:space="preserve">PUCO Case </w:t>
      </w:r>
      <w:r w:rsidRPr="00250DFB" w:rsidR="0092354C">
        <w:rPr>
          <w:sz w:val="20"/>
        </w:rPr>
        <w:t xml:space="preserve">No. </w:t>
      </w:r>
      <w:r w:rsidRPr="00250DFB">
        <w:rPr>
          <w:sz w:val="20"/>
        </w:rPr>
        <w:t>08-1094-EL-SSO</w:t>
      </w:r>
      <w:r w:rsidR="006861E2">
        <w:rPr>
          <w:sz w:val="20"/>
        </w:rPr>
        <w:t xml:space="preserve"> </w:t>
      </w:r>
      <w:r w:rsidRPr="00250DFB" w:rsidR="0092354C">
        <w:rPr>
          <w:sz w:val="20"/>
        </w:rPr>
        <w:t xml:space="preserve">Second Finding and Order </w:t>
      </w:r>
      <w:r w:rsidRPr="00250DFB" w:rsidR="001A5BC6">
        <w:rPr>
          <w:sz w:val="20"/>
        </w:rPr>
        <w:t>(</w:t>
      </w:r>
      <w:r w:rsidRPr="00250DFB">
        <w:rPr>
          <w:sz w:val="20"/>
        </w:rPr>
        <w:t>Dec. 18, 2019</w:t>
      </w:r>
      <w:r w:rsidRPr="00250DFB" w:rsidR="001A5BC6">
        <w:rPr>
          <w:sz w:val="20"/>
        </w:rPr>
        <w:t>)</w:t>
      </w:r>
      <w:r w:rsidRPr="00250DFB">
        <w:rPr>
          <w:sz w:val="20"/>
        </w:rPr>
        <w:t>; OCC Ex. 13 (Testimony of OCC Witness Willis)</w:t>
      </w:r>
      <w:r w:rsidRPr="00250DFB" w:rsidR="00CD63B1">
        <w:rPr>
          <w:sz w:val="20"/>
        </w:rPr>
        <w:t xml:space="preserve"> at 7</w:t>
      </w:r>
      <w:r w:rsidRPr="00250DFB">
        <w:rPr>
          <w:sz w:val="20"/>
        </w:rPr>
        <w:t xml:space="preserve"> (March 12, 2021). </w:t>
      </w:r>
    </w:p>
  </w:footnote>
  <w:footnote w:id="17">
    <w:p w:rsidR="00AA6D5E" w:rsidRPr="00CD63B1" w:rsidP="00BC25A7" w14:paraId="4C68565A" w14:textId="77777777">
      <w:pPr>
        <w:pStyle w:val="FootnoteText"/>
        <w:spacing w:after="120"/>
      </w:pPr>
      <w:r w:rsidRPr="00CD63B1">
        <w:rPr>
          <w:rStyle w:val="FootnoteReference"/>
        </w:rPr>
        <w:footnoteRef/>
      </w:r>
      <w:r w:rsidRPr="00CD63B1">
        <w:t xml:space="preserve"> OCC Ex. 9; DP&amp;L withdrew ESP III after the PUCO stopped DP&amp;L from further collecting its distribution modernization rider (in response to a Supreme Court of Ohio ruling that First Energy’s distribution modernization rider was unlawful). </w:t>
      </w:r>
      <w:r w:rsidRPr="00CD63B1">
        <w:rPr>
          <w:i/>
          <w:iCs/>
        </w:rPr>
        <w:t>In re Application of Ohio Edison Co</w:t>
      </w:r>
      <w:r w:rsidRPr="00CD63B1">
        <w:t>., 157 Ohio St.3d 73, 2019-Ohio-2401.</w:t>
      </w:r>
    </w:p>
  </w:footnote>
  <w:footnote w:id="18">
    <w:p w:rsidR="00AA6D5E" w:rsidRPr="00CD63B1" w:rsidP="00BC25A7" w14:paraId="59C5A086" w14:textId="77777777">
      <w:pPr>
        <w:pStyle w:val="FootnoteText"/>
        <w:spacing w:after="120"/>
      </w:pPr>
      <w:r w:rsidRPr="00CD63B1">
        <w:rPr>
          <w:rStyle w:val="FootnoteReference"/>
        </w:rPr>
        <w:footnoteRef/>
      </w:r>
      <w:r w:rsidRPr="00CD63B1">
        <w:t xml:space="preserve"> </w:t>
      </w:r>
      <w:r w:rsidRPr="00CD63B1">
        <w:rPr>
          <w:i/>
          <w:iCs/>
        </w:rPr>
        <w:t>Id.</w:t>
      </w:r>
    </w:p>
  </w:footnote>
  <w:footnote w:id="19">
    <w:p w:rsidR="00AA6D5E" w:rsidRPr="00CD63B1" w:rsidP="00BC25A7" w14:paraId="0DAC08C1" w14:textId="77777777">
      <w:pPr>
        <w:pStyle w:val="FootnoteText"/>
        <w:spacing w:after="120"/>
      </w:pPr>
      <w:r w:rsidRPr="00CD63B1">
        <w:rPr>
          <w:rStyle w:val="FootnoteReference"/>
        </w:rPr>
        <w:footnoteRef/>
      </w:r>
      <w:r w:rsidRPr="00CD63B1">
        <w:t xml:space="preserve"> OCC Ex. 13 at 7.</w:t>
      </w:r>
    </w:p>
  </w:footnote>
  <w:footnote w:id="20">
    <w:p w:rsidR="00CE2F47" w:rsidRPr="00CD63B1" w:rsidP="00BC25A7" w14:paraId="2D63A6E1" w14:textId="42A13D22">
      <w:pPr>
        <w:pStyle w:val="FootnoteText"/>
        <w:spacing w:after="120"/>
      </w:pPr>
      <w:r w:rsidRPr="00CD63B1">
        <w:rPr>
          <w:rStyle w:val="FootnoteReference"/>
        </w:rPr>
        <w:footnoteRef/>
      </w:r>
      <w:r w:rsidRPr="00CD63B1">
        <w:t xml:space="preserve"> </w:t>
      </w:r>
      <w:r w:rsidR="00CD63B1">
        <w:t>Case No</w:t>
      </w:r>
      <w:r w:rsidRPr="004217C6" w:rsidR="00CD63B1">
        <w:t>.</w:t>
      </w:r>
      <w:r w:rsidRPr="004217C6">
        <w:t xml:space="preserve"> PUCO Case </w:t>
      </w:r>
      <w:r w:rsidRPr="004217C6" w:rsidR="00CD63B1">
        <w:t xml:space="preserve">No. </w:t>
      </w:r>
      <w:r w:rsidRPr="004217C6">
        <w:t>08-1094-EL-SSO</w:t>
      </w:r>
      <w:r w:rsidRPr="004217C6" w:rsidR="00CD63B1">
        <w:t>, Second Finding and Order</w:t>
      </w:r>
      <w:r w:rsidRPr="004217C6">
        <w:t xml:space="preserve"> (Dec. 18, 2019).</w:t>
      </w:r>
    </w:p>
  </w:footnote>
  <w:footnote w:id="21">
    <w:p w:rsidR="005674E0" w:rsidRPr="00F17A39" w:rsidP="00BC25A7" w14:paraId="5B1D3EEB" w14:textId="606D07B6">
      <w:pPr>
        <w:pStyle w:val="FootnoteText"/>
        <w:spacing w:after="120"/>
      </w:pPr>
      <w:r w:rsidRPr="00CD63B1">
        <w:rPr>
          <w:rStyle w:val="FootnoteReference"/>
        </w:rPr>
        <w:footnoteRef/>
      </w:r>
      <w:r w:rsidRPr="00CD63B1">
        <w:t xml:space="preserve"> </w:t>
      </w:r>
      <w:r w:rsidRPr="00CD63B1" w:rsidR="00CE0805">
        <w:t>Staff Ex. 1 at</w:t>
      </w:r>
      <w:r w:rsidRPr="00CD63B1">
        <w:t xml:space="preserve"> </w:t>
      </w:r>
      <w:r w:rsidRPr="00CD63B1" w:rsidR="00CE0805">
        <w:t>3</w:t>
      </w:r>
      <w:r w:rsidRPr="00A9505D">
        <w:t>.</w:t>
      </w:r>
      <w:r w:rsidRPr="00A9505D" w:rsidR="006977D1">
        <w:t xml:space="preserve"> The </w:t>
      </w:r>
      <w:r w:rsidRPr="00AF2302" w:rsidR="00B869B8">
        <w:t>modified</w:t>
      </w:r>
      <w:r w:rsidRPr="00AF2302" w:rsidR="006977D1">
        <w:t xml:space="preserve"> test for revenue deferral is based on the PUCO’s six-part test for cost deferral</w:t>
      </w:r>
      <w:r w:rsidRPr="00AF2302" w:rsidR="00B869B8">
        <w:t>.</w:t>
      </w:r>
    </w:p>
  </w:footnote>
  <w:footnote w:id="22">
    <w:p w:rsidR="00431A82" w:rsidRPr="00CD63B1" w:rsidP="00BC25A7" w14:paraId="37E40395" w14:textId="4E0BDEF6">
      <w:pPr>
        <w:pStyle w:val="FootnoteText"/>
        <w:spacing w:after="120"/>
      </w:pPr>
      <w:r w:rsidRPr="00CD63B1">
        <w:rPr>
          <w:rStyle w:val="FootnoteReference"/>
        </w:rPr>
        <w:footnoteRef/>
      </w:r>
      <w:r w:rsidRPr="00CD63B1">
        <w:t xml:space="preserve"> Staff Ex. 1 at 3.</w:t>
      </w:r>
    </w:p>
  </w:footnote>
  <w:footnote w:id="23">
    <w:p w:rsidR="00B8331D" w:rsidRPr="00CD63B1" w:rsidP="00BC25A7" w14:paraId="5577A34B" w14:textId="2F450727">
      <w:pPr>
        <w:pStyle w:val="FootnoteText"/>
        <w:spacing w:after="120"/>
      </w:pPr>
      <w:r w:rsidRPr="00CD63B1">
        <w:rPr>
          <w:rStyle w:val="FootnoteReference"/>
        </w:rPr>
        <w:footnoteRef/>
      </w:r>
      <w:r w:rsidRPr="00CD63B1">
        <w:t xml:space="preserve"> Any omission of one of the factors does not indicate that OCC nor Staff </w:t>
      </w:r>
      <w:r w:rsidRPr="00CD63B1" w:rsidR="00D41371">
        <w:t>believes DP&amp;L met it. The focus here is on the most important factors in this case.</w:t>
      </w:r>
      <w:r w:rsidRPr="00CD63B1" w:rsidR="00615138">
        <w:t xml:space="preserve"> Staff found that the first factor is irrelevant because DP&amp;L is seeking to defer revenues, not expenses.</w:t>
      </w:r>
      <w:r w:rsidRPr="00CD63B1" w:rsidR="00BC3614">
        <w:t xml:space="preserve"> Staff also found that DP&amp;L’s financial integrity will not be significantly </w:t>
      </w:r>
      <w:r w:rsidRPr="00CD63B1" w:rsidR="00397098">
        <w:t>and adversely affected if the deferral of revenues is not granted.</w:t>
      </w:r>
    </w:p>
  </w:footnote>
  <w:footnote w:id="24">
    <w:p w:rsidR="00960422" w:rsidRPr="00CD63B1" w:rsidP="00BC25A7" w14:paraId="2E27939C" w14:textId="5849B6DD">
      <w:pPr>
        <w:pStyle w:val="FootnoteText"/>
        <w:spacing w:after="120"/>
      </w:pPr>
      <w:r w:rsidRPr="00CD63B1">
        <w:rPr>
          <w:rStyle w:val="FootnoteReference"/>
        </w:rPr>
        <w:footnoteRef/>
      </w:r>
      <w:r w:rsidRPr="00CD63B1">
        <w:t xml:space="preserve"> Staff Ex. 1 at 6.</w:t>
      </w:r>
    </w:p>
  </w:footnote>
  <w:footnote w:id="25">
    <w:p w:rsidR="00960422" w:rsidRPr="00CD63B1" w:rsidP="00BC25A7" w14:paraId="280E2F2B" w14:textId="0A4F65E4">
      <w:pPr>
        <w:pStyle w:val="FootnoteText"/>
        <w:spacing w:after="120"/>
      </w:pPr>
      <w:r w:rsidRPr="00CD63B1">
        <w:rPr>
          <w:rStyle w:val="FootnoteReference"/>
        </w:rPr>
        <w:footnoteRef/>
      </w:r>
      <w:r w:rsidRPr="00CD63B1">
        <w:t xml:space="preserve"> Staff Ex. 1 at 6.</w:t>
      </w:r>
    </w:p>
  </w:footnote>
  <w:footnote w:id="26">
    <w:p w:rsidR="00C51263" w:rsidRPr="00CD63B1" w:rsidP="00BC25A7" w14:paraId="0ECEAB90" w14:textId="5C2A09DE">
      <w:pPr>
        <w:pStyle w:val="FootnoteText"/>
        <w:spacing w:after="120"/>
      </w:pPr>
      <w:r w:rsidRPr="00CD63B1">
        <w:rPr>
          <w:rStyle w:val="FootnoteReference"/>
        </w:rPr>
        <w:footnoteRef/>
      </w:r>
      <w:r w:rsidRPr="00CD63B1">
        <w:t xml:space="preserve"> Staff Ex. 1 at 6.</w:t>
      </w:r>
    </w:p>
  </w:footnote>
  <w:footnote w:id="27">
    <w:p w:rsidR="00CE33A2" w:rsidRPr="00CD63B1" w:rsidP="00BC25A7" w14:paraId="11626107" w14:textId="6E6B4BB4">
      <w:pPr>
        <w:pStyle w:val="FootnoteText"/>
        <w:spacing w:after="120"/>
      </w:pPr>
      <w:r w:rsidRPr="00CD63B1">
        <w:rPr>
          <w:rStyle w:val="FootnoteReference"/>
        </w:rPr>
        <w:footnoteRef/>
      </w:r>
      <w:r w:rsidRPr="00CD63B1">
        <w:t xml:space="preserve"> </w:t>
      </w:r>
      <w:r w:rsidRPr="00CD63B1" w:rsidR="00623FDE">
        <w:t>Staff Ex. 1 at 6.</w:t>
      </w:r>
    </w:p>
  </w:footnote>
  <w:footnote w:id="28">
    <w:p w:rsidR="00A66D17" w:rsidRPr="00CD63B1" w:rsidP="00BC25A7" w14:paraId="7037D4F0" w14:textId="77777777">
      <w:pPr>
        <w:pStyle w:val="FootnoteText"/>
        <w:spacing w:after="120"/>
      </w:pPr>
      <w:r w:rsidRPr="00CD63B1">
        <w:rPr>
          <w:rStyle w:val="FootnoteReference"/>
        </w:rPr>
        <w:footnoteRef/>
      </w:r>
      <w:r w:rsidRPr="00CD63B1">
        <w:t xml:space="preserve"> Staff Ex. 1 at 6.</w:t>
      </w:r>
    </w:p>
  </w:footnote>
  <w:footnote w:id="29">
    <w:p w:rsidR="00A66D17" w:rsidRPr="00CD63B1" w:rsidP="00BC25A7" w14:paraId="28F1019C" w14:textId="77777777">
      <w:pPr>
        <w:pStyle w:val="FootnoteText"/>
        <w:spacing w:after="120"/>
      </w:pPr>
      <w:r w:rsidRPr="00CD63B1">
        <w:rPr>
          <w:rStyle w:val="FootnoteReference"/>
        </w:rPr>
        <w:footnoteRef/>
      </w:r>
      <w:r w:rsidRPr="00CD63B1">
        <w:t xml:space="preserve"> Staff Ex. 1 at 6.</w:t>
      </w:r>
    </w:p>
  </w:footnote>
  <w:footnote w:id="30">
    <w:p w:rsidR="00A66D17" w:rsidRPr="00CD63B1" w:rsidP="00BC25A7" w14:paraId="40D7926B" w14:textId="77777777">
      <w:pPr>
        <w:pStyle w:val="FootnoteText"/>
        <w:spacing w:after="120"/>
      </w:pPr>
      <w:r w:rsidRPr="00CD63B1">
        <w:rPr>
          <w:rStyle w:val="FootnoteReference"/>
        </w:rPr>
        <w:footnoteRef/>
      </w:r>
      <w:r w:rsidRPr="00CD63B1">
        <w:t xml:space="preserve"> Staff Ex. 1 at 4.</w:t>
      </w:r>
    </w:p>
  </w:footnote>
  <w:footnote w:id="31">
    <w:p w:rsidR="00623FDE" w:rsidRPr="00CD63B1" w:rsidP="00BC25A7" w14:paraId="4245131C" w14:textId="4C39E1A7">
      <w:pPr>
        <w:pStyle w:val="FootnoteText"/>
        <w:spacing w:after="120"/>
      </w:pPr>
      <w:r w:rsidRPr="00CD63B1">
        <w:rPr>
          <w:rStyle w:val="FootnoteReference"/>
        </w:rPr>
        <w:footnoteRef/>
      </w:r>
      <w:r w:rsidRPr="00CD63B1">
        <w:t xml:space="preserve"> Staff Ex. 1 at 6.</w:t>
      </w:r>
    </w:p>
  </w:footnote>
  <w:footnote w:id="32">
    <w:p w:rsidR="00623FDE" w:rsidRPr="00CD63B1" w:rsidP="00BC25A7" w14:paraId="360AF6DA" w14:textId="7C08C0D4">
      <w:pPr>
        <w:pStyle w:val="FootnoteText"/>
        <w:spacing w:after="120"/>
      </w:pPr>
      <w:r w:rsidRPr="00CD63B1">
        <w:rPr>
          <w:rStyle w:val="FootnoteReference"/>
        </w:rPr>
        <w:footnoteRef/>
      </w:r>
      <w:r w:rsidRPr="00CD63B1">
        <w:t xml:space="preserve"> Staff Ex. 1 at 6.</w:t>
      </w:r>
    </w:p>
  </w:footnote>
  <w:footnote w:id="33">
    <w:p w:rsidR="00CF2E85" w:rsidRPr="00A9505D" w:rsidP="00BC25A7" w14:paraId="11E8679A" w14:textId="0F9BD8A3">
      <w:pPr>
        <w:pStyle w:val="FootnoteText"/>
        <w:spacing w:after="120"/>
      </w:pPr>
      <w:r w:rsidRPr="00CD63B1">
        <w:rPr>
          <w:rStyle w:val="FootnoteReference"/>
        </w:rPr>
        <w:footnoteRef/>
      </w:r>
      <w:r w:rsidRPr="00CD63B1">
        <w:t xml:space="preserve"> </w:t>
      </w:r>
      <w:r w:rsidRPr="00CD63B1" w:rsidR="009F0AD1">
        <w:t xml:space="preserve">Staff Ex. 1 at </w:t>
      </w:r>
      <w:r w:rsidRPr="00CD63B1" w:rsidR="00240DD1">
        <w:t>5.</w:t>
      </w:r>
    </w:p>
  </w:footnote>
  <w:footnote w:id="34">
    <w:p w:rsidR="00882E2D" w:rsidRPr="00CD63B1" w:rsidP="00BC25A7" w14:paraId="2264A5A9" w14:textId="77777777">
      <w:pPr>
        <w:pStyle w:val="FootnoteText"/>
        <w:spacing w:after="120"/>
      </w:pPr>
      <w:r w:rsidRPr="00CD63B1">
        <w:rPr>
          <w:rStyle w:val="FootnoteReference"/>
        </w:rPr>
        <w:footnoteRef/>
      </w:r>
      <w:r w:rsidRPr="00CD63B1">
        <w:t xml:space="preserve"> Staff Ex. 1 at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BB567E4"/>
    <w:multiLevelType w:val="hybridMultilevel"/>
    <w:tmpl w:val="437ECC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9C04C7F"/>
    <w:multiLevelType w:val="hybridMultilevel"/>
    <w:tmpl w:val="88B05E3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48A641DA"/>
    <w:multiLevelType w:val="hybridMultilevel"/>
    <w:tmpl w:val="FA4E3352"/>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AF00AED"/>
    <w:multiLevelType w:val="hybridMultilevel"/>
    <w:tmpl w:val="A1C0AE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4FCA3353"/>
    <w:multiLevelType w:val="hybridMultilevel"/>
    <w:tmpl w:val="E80C915C"/>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95E3538"/>
    <w:multiLevelType w:val="multilevel"/>
    <w:tmpl w:val="7E701034"/>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5CAA370C"/>
    <w:multiLevelType w:val="hybridMultilevel"/>
    <w:tmpl w:val="E6A6105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5FA912FB"/>
    <w:multiLevelType w:val="hybridMultilevel"/>
    <w:tmpl w:val="A0DECB12"/>
    <w:lvl w:ilvl="0">
      <w:start w:val="1"/>
      <w:numFmt w:val="upperLetter"/>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62AD4054"/>
    <w:multiLevelType w:val="hybridMultilevel"/>
    <w:tmpl w:val="0D4EC96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4">
    <w:nsid w:val="6BFE42E8"/>
    <w:multiLevelType w:val="hybridMultilevel"/>
    <w:tmpl w:val="F97A58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8"/>
  </w:num>
  <w:num w:numId="2">
    <w:abstractNumId w:val="6"/>
  </w:num>
  <w:num w:numId="3">
    <w:abstractNumId w:val="13"/>
  </w:num>
  <w:num w:numId="4">
    <w:abstractNumId w:val="10"/>
  </w:num>
  <w:num w:numId="5">
    <w:abstractNumId w:val="0"/>
  </w:num>
  <w:num w:numId="6">
    <w:abstractNumId w:val="15"/>
  </w:num>
  <w:num w:numId="7">
    <w:abstractNumId w:val="4"/>
  </w:num>
  <w:num w:numId="8">
    <w:abstractNumId w:val="3"/>
  </w:num>
  <w:num w:numId="9">
    <w:abstractNumId w:val="11"/>
  </w:num>
  <w:num w:numId="10">
    <w:abstractNumId w:val="14"/>
  </w:num>
  <w:num w:numId="11">
    <w:abstractNumId w:val="12"/>
  </w:num>
  <w:num w:numId="12">
    <w:abstractNumId w:val="1"/>
  </w:num>
  <w:num w:numId="13">
    <w:abstractNumId w:val="5"/>
  </w:num>
  <w:num w:numId="14">
    <w:abstractNumId w:val="5"/>
    <w:lvlOverride w:ilvl="0">
      <w:startOverride w:val="1"/>
    </w:lvlOverride>
  </w:num>
  <w:num w:numId="15">
    <w:abstractNumId w:val="5"/>
    <w:lvlOverride w:ilvl="0">
      <w:startOverride w:val="1"/>
    </w:lvlOverride>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num>
  <w:num w:numId="20">
    <w:abstractNumId w:val="5"/>
  </w:num>
  <w:num w:numId="21">
    <w:abstractNumId w:val="7"/>
  </w:num>
  <w:num w:numId="22">
    <w:abstractNumId w:val="2"/>
  </w:num>
  <w:num w:numId="23">
    <w:abstractNumId w:val="5"/>
    <w:lvlOverride w:ilvl="0">
      <w:startOverride w:val="1"/>
    </w:lvlOverride>
  </w:num>
  <w:num w:numId="24">
    <w:abstractNumId w:val="5"/>
  </w:num>
  <w:num w:numId="25">
    <w:abstractNumId w:val="5"/>
  </w:num>
  <w:num w:numId="26">
    <w:abstractNumId w:val="7"/>
    <w:lvlOverride w:ilvl="0">
      <w:startOverride w:val="1"/>
    </w:lvlOverride>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DC"/>
    <w:rsid w:val="000004A9"/>
    <w:rsid w:val="00000655"/>
    <w:rsid w:val="000020B1"/>
    <w:rsid w:val="00003256"/>
    <w:rsid w:val="00003362"/>
    <w:rsid w:val="0000400B"/>
    <w:rsid w:val="00004E6E"/>
    <w:rsid w:val="000052F7"/>
    <w:rsid w:val="00005B10"/>
    <w:rsid w:val="000069F5"/>
    <w:rsid w:val="00007BE4"/>
    <w:rsid w:val="0001155F"/>
    <w:rsid w:val="000124EC"/>
    <w:rsid w:val="000130D3"/>
    <w:rsid w:val="000163F6"/>
    <w:rsid w:val="00017099"/>
    <w:rsid w:val="00017DF3"/>
    <w:rsid w:val="000202A4"/>
    <w:rsid w:val="00022C03"/>
    <w:rsid w:val="00023E2B"/>
    <w:rsid w:val="000251B3"/>
    <w:rsid w:val="000256A7"/>
    <w:rsid w:val="0002599B"/>
    <w:rsid w:val="00025DD2"/>
    <w:rsid w:val="00025FC8"/>
    <w:rsid w:val="000265E4"/>
    <w:rsid w:val="0003106F"/>
    <w:rsid w:val="00033389"/>
    <w:rsid w:val="00034AEC"/>
    <w:rsid w:val="00034BE7"/>
    <w:rsid w:val="000350C4"/>
    <w:rsid w:val="00035497"/>
    <w:rsid w:val="00041E9D"/>
    <w:rsid w:val="00042FA3"/>
    <w:rsid w:val="000432ED"/>
    <w:rsid w:val="00043DF6"/>
    <w:rsid w:val="00047396"/>
    <w:rsid w:val="000503C1"/>
    <w:rsid w:val="000520C5"/>
    <w:rsid w:val="00052217"/>
    <w:rsid w:val="000533CB"/>
    <w:rsid w:val="000553C5"/>
    <w:rsid w:val="00055C96"/>
    <w:rsid w:val="00056A1A"/>
    <w:rsid w:val="000573DD"/>
    <w:rsid w:val="000575B2"/>
    <w:rsid w:val="0006002D"/>
    <w:rsid w:val="000607D9"/>
    <w:rsid w:val="00060BD8"/>
    <w:rsid w:val="00061367"/>
    <w:rsid w:val="000614DD"/>
    <w:rsid w:val="00061BAD"/>
    <w:rsid w:val="000623A7"/>
    <w:rsid w:val="00062F9A"/>
    <w:rsid w:val="00064835"/>
    <w:rsid w:val="00064C81"/>
    <w:rsid w:val="00064C85"/>
    <w:rsid w:val="000651DF"/>
    <w:rsid w:val="00070FF6"/>
    <w:rsid w:val="000726E7"/>
    <w:rsid w:val="000745C8"/>
    <w:rsid w:val="00074B5E"/>
    <w:rsid w:val="00074C12"/>
    <w:rsid w:val="00074CC9"/>
    <w:rsid w:val="00075735"/>
    <w:rsid w:val="00076C96"/>
    <w:rsid w:val="000844F0"/>
    <w:rsid w:val="00084DD4"/>
    <w:rsid w:val="00087268"/>
    <w:rsid w:val="00091365"/>
    <w:rsid w:val="000932BF"/>
    <w:rsid w:val="00093A89"/>
    <w:rsid w:val="00093E59"/>
    <w:rsid w:val="00096830"/>
    <w:rsid w:val="00096CAE"/>
    <w:rsid w:val="000A02FB"/>
    <w:rsid w:val="000A0D04"/>
    <w:rsid w:val="000A2304"/>
    <w:rsid w:val="000A56B0"/>
    <w:rsid w:val="000A6315"/>
    <w:rsid w:val="000A6C2F"/>
    <w:rsid w:val="000A791D"/>
    <w:rsid w:val="000B0EF2"/>
    <w:rsid w:val="000B1CEE"/>
    <w:rsid w:val="000B2FF8"/>
    <w:rsid w:val="000B3316"/>
    <w:rsid w:val="000B3D25"/>
    <w:rsid w:val="000B5600"/>
    <w:rsid w:val="000B591F"/>
    <w:rsid w:val="000B6682"/>
    <w:rsid w:val="000C02C1"/>
    <w:rsid w:val="000C16B2"/>
    <w:rsid w:val="000C257E"/>
    <w:rsid w:val="000C2B8B"/>
    <w:rsid w:val="000C473D"/>
    <w:rsid w:val="000C5DB7"/>
    <w:rsid w:val="000C6514"/>
    <w:rsid w:val="000D1BA7"/>
    <w:rsid w:val="000D2DF7"/>
    <w:rsid w:val="000D3CB7"/>
    <w:rsid w:val="000D48A4"/>
    <w:rsid w:val="000D4A0C"/>
    <w:rsid w:val="000D6056"/>
    <w:rsid w:val="000E04DA"/>
    <w:rsid w:val="000E07C6"/>
    <w:rsid w:val="000E0D0D"/>
    <w:rsid w:val="000E0DA2"/>
    <w:rsid w:val="000E11E3"/>
    <w:rsid w:val="000E2FCF"/>
    <w:rsid w:val="000E3362"/>
    <w:rsid w:val="000E3423"/>
    <w:rsid w:val="000E46C0"/>
    <w:rsid w:val="000E4979"/>
    <w:rsid w:val="000E4A32"/>
    <w:rsid w:val="000E4ABF"/>
    <w:rsid w:val="000E51BB"/>
    <w:rsid w:val="000E62DA"/>
    <w:rsid w:val="000E6B41"/>
    <w:rsid w:val="000E72BD"/>
    <w:rsid w:val="000E7D1A"/>
    <w:rsid w:val="000F0355"/>
    <w:rsid w:val="000F09A3"/>
    <w:rsid w:val="000F1144"/>
    <w:rsid w:val="000F3C7E"/>
    <w:rsid w:val="000F3D8D"/>
    <w:rsid w:val="000F55E4"/>
    <w:rsid w:val="000F57AF"/>
    <w:rsid w:val="000F6BF3"/>
    <w:rsid w:val="000F6E94"/>
    <w:rsid w:val="000F7B77"/>
    <w:rsid w:val="000F7E3A"/>
    <w:rsid w:val="001008CF"/>
    <w:rsid w:val="00101991"/>
    <w:rsid w:val="00102009"/>
    <w:rsid w:val="00106ED6"/>
    <w:rsid w:val="00107E50"/>
    <w:rsid w:val="00110041"/>
    <w:rsid w:val="00110AAF"/>
    <w:rsid w:val="00111A9E"/>
    <w:rsid w:val="00111C81"/>
    <w:rsid w:val="00112B46"/>
    <w:rsid w:val="00113C2A"/>
    <w:rsid w:val="001225ED"/>
    <w:rsid w:val="00122BA6"/>
    <w:rsid w:val="001245A2"/>
    <w:rsid w:val="00126A6B"/>
    <w:rsid w:val="001277C8"/>
    <w:rsid w:val="00131442"/>
    <w:rsid w:val="001316C1"/>
    <w:rsid w:val="001319E8"/>
    <w:rsid w:val="00131DB5"/>
    <w:rsid w:val="00132670"/>
    <w:rsid w:val="00132DD1"/>
    <w:rsid w:val="00134110"/>
    <w:rsid w:val="001352CC"/>
    <w:rsid w:val="00136437"/>
    <w:rsid w:val="00136CA4"/>
    <w:rsid w:val="0013705B"/>
    <w:rsid w:val="0014195E"/>
    <w:rsid w:val="00144ED9"/>
    <w:rsid w:val="001450FB"/>
    <w:rsid w:val="00145C24"/>
    <w:rsid w:val="00145E28"/>
    <w:rsid w:val="00146B35"/>
    <w:rsid w:val="00146EBD"/>
    <w:rsid w:val="00147CF4"/>
    <w:rsid w:val="00150108"/>
    <w:rsid w:val="0015165F"/>
    <w:rsid w:val="00151D22"/>
    <w:rsid w:val="00152119"/>
    <w:rsid w:val="0015279D"/>
    <w:rsid w:val="0015340C"/>
    <w:rsid w:val="00154EC9"/>
    <w:rsid w:val="00156EFB"/>
    <w:rsid w:val="00156FFC"/>
    <w:rsid w:val="001579E7"/>
    <w:rsid w:val="001605D3"/>
    <w:rsid w:val="00161F1B"/>
    <w:rsid w:val="00163DD0"/>
    <w:rsid w:val="001643AC"/>
    <w:rsid w:val="001645C7"/>
    <w:rsid w:val="00166062"/>
    <w:rsid w:val="00171323"/>
    <w:rsid w:val="001777EC"/>
    <w:rsid w:val="00177FC3"/>
    <w:rsid w:val="00181164"/>
    <w:rsid w:val="00181428"/>
    <w:rsid w:val="00181727"/>
    <w:rsid w:val="00181D2D"/>
    <w:rsid w:val="001826DE"/>
    <w:rsid w:val="0018413B"/>
    <w:rsid w:val="00186C0F"/>
    <w:rsid w:val="0019116F"/>
    <w:rsid w:val="001914FA"/>
    <w:rsid w:val="00191D4F"/>
    <w:rsid w:val="00192878"/>
    <w:rsid w:val="001928AF"/>
    <w:rsid w:val="001948F0"/>
    <w:rsid w:val="00194E09"/>
    <w:rsid w:val="00196274"/>
    <w:rsid w:val="001965C5"/>
    <w:rsid w:val="001A05E4"/>
    <w:rsid w:val="001A09CE"/>
    <w:rsid w:val="001A275E"/>
    <w:rsid w:val="001A3192"/>
    <w:rsid w:val="001A3F56"/>
    <w:rsid w:val="001A5BC6"/>
    <w:rsid w:val="001A5C4B"/>
    <w:rsid w:val="001A620E"/>
    <w:rsid w:val="001A6299"/>
    <w:rsid w:val="001A644E"/>
    <w:rsid w:val="001B0AD4"/>
    <w:rsid w:val="001B17D4"/>
    <w:rsid w:val="001B2408"/>
    <w:rsid w:val="001B29DD"/>
    <w:rsid w:val="001B2F27"/>
    <w:rsid w:val="001B3177"/>
    <w:rsid w:val="001B392D"/>
    <w:rsid w:val="001C295D"/>
    <w:rsid w:val="001C3F54"/>
    <w:rsid w:val="001C635F"/>
    <w:rsid w:val="001C6CF1"/>
    <w:rsid w:val="001C76BB"/>
    <w:rsid w:val="001C7F5A"/>
    <w:rsid w:val="001D0B5B"/>
    <w:rsid w:val="001D10A0"/>
    <w:rsid w:val="001D285F"/>
    <w:rsid w:val="001D36F7"/>
    <w:rsid w:val="001D3914"/>
    <w:rsid w:val="001D52E1"/>
    <w:rsid w:val="001D542B"/>
    <w:rsid w:val="001D563C"/>
    <w:rsid w:val="001D6E99"/>
    <w:rsid w:val="001E1374"/>
    <w:rsid w:val="001E1D70"/>
    <w:rsid w:val="001E4CD6"/>
    <w:rsid w:val="001E560A"/>
    <w:rsid w:val="001E5CD8"/>
    <w:rsid w:val="001E62A2"/>
    <w:rsid w:val="001E686E"/>
    <w:rsid w:val="001E763C"/>
    <w:rsid w:val="001E76D2"/>
    <w:rsid w:val="001E7860"/>
    <w:rsid w:val="001E79F9"/>
    <w:rsid w:val="001F0BC8"/>
    <w:rsid w:val="001F1302"/>
    <w:rsid w:val="001F3527"/>
    <w:rsid w:val="001F53CA"/>
    <w:rsid w:val="001F6225"/>
    <w:rsid w:val="001F6786"/>
    <w:rsid w:val="001F7949"/>
    <w:rsid w:val="001F7CBF"/>
    <w:rsid w:val="00201CB9"/>
    <w:rsid w:val="00203EE6"/>
    <w:rsid w:val="0020483F"/>
    <w:rsid w:val="00204FFC"/>
    <w:rsid w:val="00205248"/>
    <w:rsid w:val="002054C3"/>
    <w:rsid w:val="00206263"/>
    <w:rsid w:val="0020664D"/>
    <w:rsid w:val="00210B64"/>
    <w:rsid w:val="00211B15"/>
    <w:rsid w:val="0021252C"/>
    <w:rsid w:val="00212B0D"/>
    <w:rsid w:val="00213C9B"/>
    <w:rsid w:val="00213E63"/>
    <w:rsid w:val="00214A22"/>
    <w:rsid w:val="002178BD"/>
    <w:rsid w:val="00221324"/>
    <w:rsid w:val="0022158C"/>
    <w:rsid w:val="00221B46"/>
    <w:rsid w:val="00222321"/>
    <w:rsid w:val="00222B29"/>
    <w:rsid w:val="00223013"/>
    <w:rsid w:val="00223A55"/>
    <w:rsid w:val="00223D08"/>
    <w:rsid w:val="0022439D"/>
    <w:rsid w:val="00224A2D"/>
    <w:rsid w:val="00226742"/>
    <w:rsid w:val="00227CC0"/>
    <w:rsid w:val="00232F90"/>
    <w:rsid w:val="002333AD"/>
    <w:rsid w:val="00233766"/>
    <w:rsid w:val="002342AF"/>
    <w:rsid w:val="0024060D"/>
    <w:rsid w:val="00240DD1"/>
    <w:rsid w:val="00243094"/>
    <w:rsid w:val="002435B6"/>
    <w:rsid w:val="00243D57"/>
    <w:rsid w:val="002463CC"/>
    <w:rsid w:val="002465F2"/>
    <w:rsid w:val="002470E7"/>
    <w:rsid w:val="00247D22"/>
    <w:rsid w:val="00250ACB"/>
    <w:rsid w:val="00250DC6"/>
    <w:rsid w:val="00250DFB"/>
    <w:rsid w:val="00251079"/>
    <w:rsid w:val="00251CD7"/>
    <w:rsid w:val="00252385"/>
    <w:rsid w:val="002543E8"/>
    <w:rsid w:val="0025583B"/>
    <w:rsid w:val="002559C8"/>
    <w:rsid w:val="00257602"/>
    <w:rsid w:val="002602D6"/>
    <w:rsid w:val="00260E04"/>
    <w:rsid w:val="00262485"/>
    <w:rsid w:val="0026401B"/>
    <w:rsid w:val="002645C5"/>
    <w:rsid w:val="00265856"/>
    <w:rsid w:val="00266528"/>
    <w:rsid w:val="0026658C"/>
    <w:rsid w:val="002669E1"/>
    <w:rsid w:val="00272DD3"/>
    <w:rsid w:val="00273193"/>
    <w:rsid w:val="0027542A"/>
    <w:rsid w:val="00276019"/>
    <w:rsid w:val="00280058"/>
    <w:rsid w:val="0028035C"/>
    <w:rsid w:val="0028122D"/>
    <w:rsid w:val="00281258"/>
    <w:rsid w:val="002812E4"/>
    <w:rsid w:val="002815B6"/>
    <w:rsid w:val="00282774"/>
    <w:rsid w:val="00283754"/>
    <w:rsid w:val="00286904"/>
    <w:rsid w:val="0029454B"/>
    <w:rsid w:val="002946CB"/>
    <w:rsid w:val="00295187"/>
    <w:rsid w:val="00296226"/>
    <w:rsid w:val="00296970"/>
    <w:rsid w:val="002A081C"/>
    <w:rsid w:val="002A18E6"/>
    <w:rsid w:val="002A1E0A"/>
    <w:rsid w:val="002A2D5C"/>
    <w:rsid w:val="002A2D87"/>
    <w:rsid w:val="002A365A"/>
    <w:rsid w:val="002A3940"/>
    <w:rsid w:val="002A3BF0"/>
    <w:rsid w:val="002A4DB0"/>
    <w:rsid w:val="002A505A"/>
    <w:rsid w:val="002A53E7"/>
    <w:rsid w:val="002A5621"/>
    <w:rsid w:val="002A5622"/>
    <w:rsid w:val="002A663B"/>
    <w:rsid w:val="002A71F0"/>
    <w:rsid w:val="002B16DB"/>
    <w:rsid w:val="002B1BAB"/>
    <w:rsid w:val="002B1F0E"/>
    <w:rsid w:val="002B2801"/>
    <w:rsid w:val="002B34DA"/>
    <w:rsid w:val="002B5102"/>
    <w:rsid w:val="002B54B9"/>
    <w:rsid w:val="002B6B40"/>
    <w:rsid w:val="002C0C6E"/>
    <w:rsid w:val="002C243C"/>
    <w:rsid w:val="002C25A2"/>
    <w:rsid w:val="002C41DA"/>
    <w:rsid w:val="002C47A2"/>
    <w:rsid w:val="002C5BF4"/>
    <w:rsid w:val="002C5CE9"/>
    <w:rsid w:val="002C6022"/>
    <w:rsid w:val="002C61BA"/>
    <w:rsid w:val="002C6643"/>
    <w:rsid w:val="002C7B00"/>
    <w:rsid w:val="002C7EBA"/>
    <w:rsid w:val="002D35CB"/>
    <w:rsid w:val="002D36B6"/>
    <w:rsid w:val="002D3B14"/>
    <w:rsid w:val="002D524A"/>
    <w:rsid w:val="002D697B"/>
    <w:rsid w:val="002D74B3"/>
    <w:rsid w:val="002D7CE6"/>
    <w:rsid w:val="002E02F0"/>
    <w:rsid w:val="002E0F2F"/>
    <w:rsid w:val="002E119C"/>
    <w:rsid w:val="002E1EE2"/>
    <w:rsid w:val="002E2195"/>
    <w:rsid w:val="002E2899"/>
    <w:rsid w:val="002E2C3F"/>
    <w:rsid w:val="002E379B"/>
    <w:rsid w:val="002E4D54"/>
    <w:rsid w:val="002E4DCF"/>
    <w:rsid w:val="002E508F"/>
    <w:rsid w:val="002F0CDB"/>
    <w:rsid w:val="002F1E58"/>
    <w:rsid w:val="002F251E"/>
    <w:rsid w:val="002F2E5C"/>
    <w:rsid w:val="002F3104"/>
    <w:rsid w:val="002F329A"/>
    <w:rsid w:val="002F42B8"/>
    <w:rsid w:val="002F4C0B"/>
    <w:rsid w:val="002F67F3"/>
    <w:rsid w:val="0030104A"/>
    <w:rsid w:val="00302394"/>
    <w:rsid w:val="003024FB"/>
    <w:rsid w:val="0030298B"/>
    <w:rsid w:val="00303D8A"/>
    <w:rsid w:val="00303DD9"/>
    <w:rsid w:val="00304692"/>
    <w:rsid w:val="00304D9A"/>
    <w:rsid w:val="00307D71"/>
    <w:rsid w:val="00310E97"/>
    <w:rsid w:val="00312A55"/>
    <w:rsid w:val="00313037"/>
    <w:rsid w:val="00315455"/>
    <w:rsid w:val="00317534"/>
    <w:rsid w:val="00321D45"/>
    <w:rsid w:val="003224C9"/>
    <w:rsid w:val="003226A0"/>
    <w:rsid w:val="003248FA"/>
    <w:rsid w:val="00325170"/>
    <w:rsid w:val="00325BF9"/>
    <w:rsid w:val="00326C1E"/>
    <w:rsid w:val="00326FA5"/>
    <w:rsid w:val="00327AD4"/>
    <w:rsid w:val="00330001"/>
    <w:rsid w:val="0033124E"/>
    <w:rsid w:val="00332BB9"/>
    <w:rsid w:val="0033621F"/>
    <w:rsid w:val="0033793E"/>
    <w:rsid w:val="00340405"/>
    <w:rsid w:val="00342D8E"/>
    <w:rsid w:val="003434E1"/>
    <w:rsid w:val="00345FED"/>
    <w:rsid w:val="00347BCC"/>
    <w:rsid w:val="00351175"/>
    <w:rsid w:val="0035122A"/>
    <w:rsid w:val="00351ACC"/>
    <w:rsid w:val="00351B66"/>
    <w:rsid w:val="00352A8B"/>
    <w:rsid w:val="0035322E"/>
    <w:rsid w:val="00353281"/>
    <w:rsid w:val="00353FE7"/>
    <w:rsid w:val="00361E43"/>
    <w:rsid w:val="00362B28"/>
    <w:rsid w:val="00363674"/>
    <w:rsid w:val="003648A7"/>
    <w:rsid w:val="003666A6"/>
    <w:rsid w:val="00367582"/>
    <w:rsid w:val="00367D12"/>
    <w:rsid w:val="00367E9C"/>
    <w:rsid w:val="00367EB9"/>
    <w:rsid w:val="00370DEF"/>
    <w:rsid w:val="00372BC4"/>
    <w:rsid w:val="00372DFE"/>
    <w:rsid w:val="00372E01"/>
    <w:rsid w:val="003755CD"/>
    <w:rsid w:val="00375904"/>
    <w:rsid w:val="00375A86"/>
    <w:rsid w:val="003765E4"/>
    <w:rsid w:val="00376A33"/>
    <w:rsid w:val="00377818"/>
    <w:rsid w:val="00377EB4"/>
    <w:rsid w:val="00381396"/>
    <w:rsid w:val="00382058"/>
    <w:rsid w:val="003821EF"/>
    <w:rsid w:val="00383AE6"/>
    <w:rsid w:val="003847CB"/>
    <w:rsid w:val="00384C49"/>
    <w:rsid w:val="00385335"/>
    <w:rsid w:val="003858A3"/>
    <w:rsid w:val="00386194"/>
    <w:rsid w:val="0038687F"/>
    <w:rsid w:val="0038752E"/>
    <w:rsid w:val="00390A39"/>
    <w:rsid w:val="003916C0"/>
    <w:rsid w:val="00395327"/>
    <w:rsid w:val="0039644B"/>
    <w:rsid w:val="00396A2A"/>
    <w:rsid w:val="00397098"/>
    <w:rsid w:val="003973D7"/>
    <w:rsid w:val="00397E7C"/>
    <w:rsid w:val="003A1B6D"/>
    <w:rsid w:val="003A26C9"/>
    <w:rsid w:val="003A31C5"/>
    <w:rsid w:val="003A44E2"/>
    <w:rsid w:val="003A5E1D"/>
    <w:rsid w:val="003A6C5D"/>
    <w:rsid w:val="003A7E8D"/>
    <w:rsid w:val="003B15C6"/>
    <w:rsid w:val="003B1F57"/>
    <w:rsid w:val="003B2503"/>
    <w:rsid w:val="003B31AB"/>
    <w:rsid w:val="003B3E36"/>
    <w:rsid w:val="003B4855"/>
    <w:rsid w:val="003B5A48"/>
    <w:rsid w:val="003B6781"/>
    <w:rsid w:val="003B71B3"/>
    <w:rsid w:val="003B78B3"/>
    <w:rsid w:val="003B791E"/>
    <w:rsid w:val="003B7CB1"/>
    <w:rsid w:val="003C039D"/>
    <w:rsid w:val="003C04D1"/>
    <w:rsid w:val="003C54B7"/>
    <w:rsid w:val="003C5E89"/>
    <w:rsid w:val="003C7D83"/>
    <w:rsid w:val="003D0C51"/>
    <w:rsid w:val="003D0DDE"/>
    <w:rsid w:val="003D1CC3"/>
    <w:rsid w:val="003D2DA9"/>
    <w:rsid w:val="003D30A5"/>
    <w:rsid w:val="003D3241"/>
    <w:rsid w:val="003D3A21"/>
    <w:rsid w:val="003D5071"/>
    <w:rsid w:val="003D5536"/>
    <w:rsid w:val="003D5FAA"/>
    <w:rsid w:val="003D6749"/>
    <w:rsid w:val="003D6EC8"/>
    <w:rsid w:val="003D767E"/>
    <w:rsid w:val="003E1203"/>
    <w:rsid w:val="003E1C21"/>
    <w:rsid w:val="003E2833"/>
    <w:rsid w:val="003E2A67"/>
    <w:rsid w:val="003E3849"/>
    <w:rsid w:val="003E4768"/>
    <w:rsid w:val="003E4BA4"/>
    <w:rsid w:val="003E66CB"/>
    <w:rsid w:val="003E6D22"/>
    <w:rsid w:val="003E7E14"/>
    <w:rsid w:val="003F0B1C"/>
    <w:rsid w:val="003F1978"/>
    <w:rsid w:val="003F19D6"/>
    <w:rsid w:val="003F1D60"/>
    <w:rsid w:val="003F5E85"/>
    <w:rsid w:val="003F7472"/>
    <w:rsid w:val="00402DE1"/>
    <w:rsid w:val="00404022"/>
    <w:rsid w:val="00404F5B"/>
    <w:rsid w:val="00406DDB"/>
    <w:rsid w:val="004072E0"/>
    <w:rsid w:val="00412148"/>
    <w:rsid w:val="00412806"/>
    <w:rsid w:val="00412DD1"/>
    <w:rsid w:val="00413DD0"/>
    <w:rsid w:val="00414BDE"/>
    <w:rsid w:val="00420FB6"/>
    <w:rsid w:val="004217C6"/>
    <w:rsid w:val="00421A9E"/>
    <w:rsid w:val="00421C36"/>
    <w:rsid w:val="0042326F"/>
    <w:rsid w:val="00423B34"/>
    <w:rsid w:val="00425E9D"/>
    <w:rsid w:val="004267F5"/>
    <w:rsid w:val="00426F61"/>
    <w:rsid w:val="00427823"/>
    <w:rsid w:val="0043109A"/>
    <w:rsid w:val="00431A64"/>
    <w:rsid w:val="00431A82"/>
    <w:rsid w:val="00432A9F"/>
    <w:rsid w:val="00432D47"/>
    <w:rsid w:val="00433849"/>
    <w:rsid w:val="0043420E"/>
    <w:rsid w:val="00434347"/>
    <w:rsid w:val="004356B0"/>
    <w:rsid w:val="004379A4"/>
    <w:rsid w:val="00437A1E"/>
    <w:rsid w:val="00437D55"/>
    <w:rsid w:val="00437ECC"/>
    <w:rsid w:val="004406F3"/>
    <w:rsid w:val="00442E0A"/>
    <w:rsid w:val="00445594"/>
    <w:rsid w:val="00445959"/>
    <w:rsid w:val="00446A1F"/>
    <w:rsid w:val="00450186"/>
    <w:rsid w:val="00450AE8"/>
    <w:rsid w:val="004515C4"/>
    <w:rsid w:val="004515F8"/>
    <w:rsid w:val="00451C9E"/>
    <w:rsid w:val="0045291B"/>
    <w:rsid w:val="00455BF1"/>
    <w:rsid w:val="004560C6"/>
    <w:rsid w:val="004567C8"/>
    <w:rsid w:val="00456C56"/>
    <w:rsid w:val="00457D38"/>
    <w:rsid w:val="00460648"/>
    <w:rsid w:val="00460D90"/>
    <w:rsid w:val="00461D53"/>
    <w:rsid w:val="00464EFA"/>
    <w:rsid w:val="004675D6"/>
    <w:rsid w:val="00470E07"/>
    <w:rsid w:val="00471C8B"/>
    <w:rsid w:val="00473C06"/>
    <w:rsid w:val="00474101"/>
    <w:rsid w:val="00474815"/>
    <w:rsid w:val="004778AF"/>
    <w:rsid w:val="00481650"/>
    <w:rsid w:val="00482004"/>
    <w:rsid w:val="004869EE"/>
    <w:rsid w:val="00486E96"/>
    <w:rsid w:val="004878AF"/>
    <w:rsid w:val="0049010B"/>
    <w:rsid w:val="00490564"/>
    <w:rsid w:val="00493C33"/>
    <w:rsid w:val="00493ECE"/>
    <w:rsid w:val="00494AF6"/>
    <w:rsid w:val="00495512"/>
    <w:rsid w:val="00495AF3"/>
    <w:rsid w:val="00495C2F"/>
    <w:rsid w:val="0049615E"/>
    <w:rsid w:val="00497238"/>
    <w:rsid w:val="004978C5"/>
    <w:rsid w:val="004A2CB0"/>
    <w:rsid w:val="004A445B"/>
    <w:rsid w:val="004A44C0"/>
    <w:rsid w:val="004A4814"/>
    <w:rsid w:val="004A66C2"/>
    <w:rsid w:val="004A6798"/>
    <w:rsid w:val="004A6D4E"/>
    <w:rsid w:val="004A7CBB"/>
    <w:rsid w:val="004B1C4C"/>
    <w:rsid w:val="004B2A53"/>
    <w:rsid w:val="004B341B"/>
    <w:rsid w:val="004B3D59"/>
    <w:rsid w:val="004B41CD"/>
    <w:rsid w:val="004B4543"/>
    <w:rsid w:val="004B4DFA"/>
    <w:rsid w:val="004B6809"/>
    <w:rsid w:val="004C04FA"/>
    <w:rsid w:val="004C0E68"/>
    <w:rsid w:val="004C28EF"/>
    <w:rsid w:val="004C375D"/>
    <w:rsid w:val="004C3C36"/>
    <w:rsid w:val="004C4F63"/>
    <w:rsid w:val="004C765D"/>
    <w:rsid w:val="004C7C23"/>
    <w:rsid w:val="004D4AF0"/>
    <w:rsid w:val="004D4C6D"/>
    <w:rsid w:val="004E0A36"/>
    <w:rsid w:val="004E0B86"/>
    <w:rsid w:val="004E13A1"/>
    <w:rsid w:val="004E1BEF"/>
    <w:rsid w:val="004E349D"/>
    <w:rsid w:val="004E3A86"/>
    <w:rsid w:val="004E45EA"/>
    <w:rsid w:val="004E5EA9"/>
    <w:rsid w:val="004E5EBB"/>
    <w:rsid w:val="004E6413"/>
    <w:rsid w:val="004E6ED2"/>
    <w:rsid w:val="004E7837"/>
    <w:rsid w:val="004E7BEA"/>
    <w:rsid w:val="004F049F"/>
    <w:rsid w:val="004F22BB"/>
    <w:rsid w:val="004F3292"/>
    <w:rsid w:val="004F3298"/>
    <w:rsid w:val="004F35FB"/>
    <w:rsid w:val="004F5BDC"/>
    <w:rsid w:val="004F6745"/>
    <w:rsid w:val="004F74AA"/>
    <w:rsid w:val="0050020B"/>
    <w:rsid w:val="005034C5"/>
    <w:rsid w:val="0050504E"/>
    <w:rsid w:val="005057A9"/>
    <w:rsid w:val="00506DBE"/>
    <w:rsid w:val="00510B05"/>
    <w:rsid w:val="00510EBA"/>
    <w:rsid w:val="00513C9C"/>
    <w:rsid w:val="00516354"/>
    <w:rsid w:val="00517420"/>
    <w:rsid w:val="00517A4A"/>
    <w:rsid w:val="00520E56"/>
    <w:rsid w:val="0052135C"/>
    <w:rsid w:val="005218A9"/>
    <w:rsid w:val="00521B8C"/>
    <w:rsid w:val="00524818"/>
    <w:rsid w:val="00524A1E"/>
    <w:rsid w:val="0052576D"/>
    <w:rsid w:val="00526CA5"/>
    <w:rsid w:val="005311B2"/>
    <w:rsid w:val="00531C9B"/>
    <w:rsid w:val="00533B43"/>
    <w:rsid w:val="005363EA"/>
    <w:rsid w:val="005364D8"/>
    <w:rsid w:val="005425A2"/>
    <w:rsid w:val="00543380"/>
    <w:rsid w:val="00543826"/>
    <w:rsid w:val="00543D64"/>
    <w:rsid w:val="00543D9F"/>
    <w:rsid w:val="00544580"/>
    <w:rsid w:val="00547630"/>
    <w:rsid w:val="00547A3B"/>
    <w:rsid w:val="00547C2F"/>
    <w:rsid w:val="00547E5C"/>
    <w:rsid w:val="005508B7"/>
    <w:rsid w:val="005529E8"/>
    <w:rsid w:val="0055527A"/>
    <w:rsid w:val="00555314"/>
    <w:rsid w:val="00555CEC"/>
    <w:rsid w:val="00561F8E"/>
    <w:rsid w:val="005632C0"/>
    <w:rsid w:val="00564463"/>
    <w:rsid w:val="00564611"/>
    <w:rsid w:val="00564F2C"/>
    <w:rsid w:val="00565FA7"/>
    <w:rsid w:val="005674E0"/>
    <w:rsid w:val="0057057C"/>
    <w:rsid w:val="00570637"/>
    <w:rsid w:val="0057094C"/>
    <w:rsid w:val="00570C9E"/>
    <w:rsid w:val="0057149E"/>
    <w:rsid w:val="00571E39"/>
    <w:rsid w:val="005727F2"/>
    <w:rsid w:val="005775AC"/>
    <w:rsid w:val="00577A6E"/>
    <w:rsid w:val="00583506"/>
    <w:rsid w:val="00583C27"/>
    <w:rsid w:val="005858A0"/>
    <w:rsid w:val="005900A9"/>
    <w:rsid w:val="005926F2"/>
    <w:rsid w:val="00592AE3"/>
    <w:rsid w:val="00592F22"/>
    <w:rsid w:val="005943BF"/>
    <w:rsid w:val="005978AF"/>
    <w:rsid w:val="005A07F0"/>
    <w:rsid w:val="005A144F"/>
    <w:rsid w:val="005A2A37"/>
    <w:rsid w:val="005A30D0"/>
    <w:rsid w:val="005A5A4E"/>
    <w:rsid w:val="005A5C1C"/>
    <w:rsid w:val="005A644B"/>
    <w:rsid w:val="005A6DC0"/>
    <w:rsid w:val="005B2C7E"/>
    <w:rsid w:val="005B3677"/>
    <w:rsid w:val="005C039B"/>
    <w:rsid w:val="005C1A15"/>
    <w:rsid w:val="005C1EDE"/>
    <w:rsid w:val="005C2D8C"/>
    <w:rsid w:val="005C3E8C"/>
    <w:rsid w:val="005C43B9"/>
    <w:rsid w:val="005C50B1"/>
    <w:rsid w:val="005C5690"/>
    <w:rsid w:val="005C74FC"/>
    <w:rsid w:val="005D0E73"/>
    <w:rsid w:val="005D17DD"/>
    <w:rsid w:val="005D1C42"/>
    <w:rsid w:val="005D25EA"/>
    <w:rsid w:val="005D455D"/>
    <w:rsid w:val="005D6B2F"/>
    <w:rsid w:val="005D76AF"/>
    <w:rsid w:val="005D7E7C"/>
    <w:rsid w:val="005E0921"/>
    <w:rsid w:val="005E153C"/>
    <w:rsid w:val="005E1A52"/>
    <w:rsid w:val="005E23DC"/>
    <w:rsid w:val="005E2B5C"/>
    <w:rsid w:val="005E5BD9"/>
    <w:rsid w:val="005E6471"/>
    <w:rsid w:val="005F146A"/>
    <w:rsid w:val="005F1D1F"/>
    <w:rsid w:val="005F2334"/>
    <w:rsid w:val="005F28B3"/>
    <w:rsid w:val="005F34E0"/>
    <w:rsid w:val="005F5405"/>
    <w:rsid w:val="005F68AF"/>
    <w:rsid w:val="005F6E34"/>
    <w:rsid w:val="005F7BC5"/>
    <w:rsid w:val="0060150F"/>
    <w:rsid w:val="00601775"/>
    <w:rsid w:val="00601C0E"/>
    <w:rsid w:val="006026F9"/>
    <w:rsid w:val="00602CD0"/>
    <w:rsid w:val="00604E6F"/>
    <w:rsid w:val="00605C87"/>
    <w:rsid w:val="006062CE"/>
    <w:rsid w:val="00606E67"/>
    <w:rsid w:val="00607A42"/>
    <w:rsid w:val="00610314"/>
    <w:rsid w:val="00610512"/>
    <w:rsid w:val="00610B63"/>
    <w:rsid w:val="00612D62"/>
    <w:rsid w:val="00613ED8"/>
    <w:rsid w:val="0061484A"/>
    <w:rsid w:val="00614B46"/>
    <w:rsid w:val="00615138"/>
    <w:rsid w:val="006172C8"/>
    <w:rsid w:val="00617470"/>
    <w:rsid w:val="00620150"/>
    <w:rsid w:val="0062034B"/>
    <w:rsid w:val="0062083B"/>
    <w:rsid w:val="006211CF"/>
    <w:rsid w:val="00621A3E"/>
    <w:rsid w:val="00622500"/>
    <w:rsid w:val="00623FDE"/>
    <w:rsid w:val="0062437C"/>
    <w:rsid w:val="0062634A"/>
    <w:rsid w:val="00630779"/>
    <w:rsid w:val="0063143B"/>
    <w:rsid w:val="00632A00"/>
    <w:rsid w:val="00632A3C"/>
    <w:rsid w:val="006343E4"/>
    <w:rsid w:val="00636BE5"/>
    <w:rsid w:val="00637208"/>
    <w:rsid w:val="00641180"/>
    <w:rsid w:val="00642606"/>
    <w:rsid w:val="0064298C"/>
    <w:rsid w:val="00645CEA"/>
    <w:rsid w:val="0065052C"/>
    <w:rsid w:val="00650B98"/>
    <w:rsid w:val="00650F07"/>
    <w:rsid w:val="0065139A"/>
    <w:rsid w:val="00651F0D"/>
    <w:rsid w:val="00652332"/>
    <w:rsid w:val="006524B8"/>
    <w:rsid w:val="00653E2F"/>
    <w:rsid w:val="00655016"/>
    <w:rsid w:val="00656E9C"/>
    <w:rsid w:val="00657982"/>
    <w:rsid w:val="006609E8"/>
    <w:rsid w:val="00661572"/>
    <w:rsid w:val="006615B0"/>
    <w:rsid w:val="00662B08"/>
    <w:rsid w:val="00662EB4"/>
    <w:rsid w:val="0066370A"/>
    <w:rsid w:val="006647DC"/>
    <w:rsid w:val="00664C56"/>
    <w:rsid w:val="00667078"/>
    <w:rsid w:val="00670488"/>
    <w:rsid w:val="00670963"/>
    <w:rsid w:val="0067226A"/>
    <w:rsid w:val="0067324A"/>
    <w:rsid w:val="00673450"/>
    <w:rsid w:val="006735B3"/>
    <w:rsid w:val="00673E71"/>
    <w:rsid w:val="00674D24"/>
    <w:rsid w:val="00677F9A"/>
    <w:rsid w:val="00680680"/>
    <w:rsid w:val="00681A03"/>
    <w:rsid w:val="00681FBC"/>
    <w:rsid w:val="00682615"/>
    <w:rsid w:val="006844AE"/>
    <w:rsid w:val="00684A53"/>
    <w:rsid w:val="00684C66"/>
    <w:rsid w:val="00685424"/>
    <w:rsid w:val="00685675"/>
    <w:rsid w:val="00685786"/>
    <w:rsid w:val="006861E2"/>
    <w:rsid w:val="006876E1"/>
    <w:rsid w:val="00687C99"/>
    <w:rsid w:val="00690416"/>
    <w:rsid w:val="00690567"/>
    <w:rsid w:val="00690BF3"/>
    <w:rsid w:val="00691CF4"/>
    <w:rsid w:val="006923D1"/>
    <w:rsid w:val="00692AFF"/>
    <w:rsid w:val="00692EB0"/>
    <w:rsid w:val="0069402D"/>
    <w:rsid w:val="00694321"/>
    <w:rsid w:val="00694684"/>
    <w:rsid w:val="0069492D"/>
    <w:rsid w:val="00695939"/>
    <w:rsid w:val="006962C6"/>
    <w:rsid w:val="00696F3B"/>
    <w:rsid w:val="00697023"/>
    <w:rsid w:val="006977D1"/>
    <w:rsid w:val="006A0077"/>
    <w:rsid w:val="006A0987"/>
    <w:rsid w:val="006A0E37"/>
    <w:rsid w:val="006A314F"/>
    <w:rsid w:val="006A5587"/>
    <w:rsid w:val="006A6F7F"/>
    <w:rsid w:val="006A7C4D"/>
    <w:rsid w:val="006B00BB"/>
    <w:rsid w:val="006B0315"/>
    <w:rsid w:val="006B031B"/>
    <w:rsid w:val="006B1AD4"/>
    <w:rsid w:val="006B1C30"/>
    <w:rsid w:val="006B1F37"/>
    <w:rsid w:val="006B1FC1"/>
    <w:rsid w:val="006B1FE5"/>
    <w:rsid w:val="006B2D4D"/>
    <w:rsid w:val="006B2F6B"/>
    <w:rsid w:val="006B321A"/>
    <w:rsid w:val="006B38A6"/>
    <w:rsid w:val="006B3FF6"/>
    <w:rsid w:val="006B418E"/>
    <w:rsid w:val="006B45D4"/>
    <w:rsid w:val="006B4A74"/>
    <w:rsid w:val="006B4E1A"/>
    <w:rsid w:val="006B4F8D"/>
    <w:rsid w:val="006B5EC6"/>
    <w:rsid w:val="006B6838"/>
    <w:rsid w:val="006B6E52"/>
    <w:rsid w:val="006C03EB"/>
    <w:rsid w:val="006C0BC7"/>
    <w:rsid w:val="006C187E"/>
    <w:rsid w:val="006C2DAE"/>
    <w:rsid w:val="006C2EF7"/>
    <w:rsid w:val="006C3BC4"/>
    <w:rsid w:val="006C3C9D"/>
    <w:rsid w:val="006C6311"/>
    <w:rsid w:val="006C7B70"/>
    <w:rsid w:val="006D00A9"/>
    <w:rsid w:val="006D235F"/>
    <w:rsid w:val="006D2C82"/>
    <w:rsid w:val="006D3966"/>
    <w:rsid w:val="006D3D5C"/>
    <w:rsid w:val="006D3EED"/>
    <w:rsid w:val="006D5389"/>
    <w:rsid w:val="006D6689"/>
    <w:rsid w:val="006D7569"/>
    <w:rsid w:val="006E041C"/>
    <w:rsid w:val="006E08F4"/>
    <w:rsid w:val="006E2004"/>
    <w:rsid w:val="006E2831"/>
    <w:rsid w:val="006E3F2E"/>
    <w:rsid w:val="006E48BC"/>
    <w:rsid w:val="006E4CF0"/>
    <w:rsid w:val="006E5A3A"/>
    <w:rsid w:val="006E6AF3"/>
    <w:rsid w:val="006E7113"/>
    <w:rsid w:val="006E75D3"/>
    <w:rsid w:val="006F0279"/>
    <w:rsid w:val="006F0ABA"/>
    <w:rsid w:val="006F15A8"/>
    <w:rsid w:val="006F1A6A"/>
    <w:rsid w:val="006F1E51"/>
    <w:rsid w:val="006F243B"/>
    <w:rsid w:val="006F3F48"/>
    <w:rsid w:val="006F4218"/>
    <w:rsid w:val="006F57E5"/>
    <w:rsid w:val="006F6B22"/>
    <w:rsid w:val="006F7E92"/>
    <w:rsid w:val="0070442F"/>
    <w:rsid w:val="00705BB3"/>
    <w:rsid w:val="0070618D"/>
    <w:rsid w:val="00710E70"/>
    <w:rsid w:val="00710EA8"/>
    <w:rsid w:val="0071172D"/>
    <w:rsid w:val="00711BC4"/>
    <w:rsid w:val="00711C5C"/>
    <w:rsid w:val="00713BCB"/>
    <w:rsid w:val="00714356"/>
    <w:rsid w:val="00714911"/>
    <w:rsid w:val="00717CA0"/>
    <w:rsid w:val="00720F7B"/>
    <w:rsid w:val="0072151A"/>
    <w:rsid w:val="00722153"/>
    <w:rsid w:val="00722C99"/>
    <w:rsid w:val="00723872"/>
    <w:rsid w:val="00726376"/>
    <w:rsid w:val="007266FC"/>
    <w:rsid w:val="00730061"/>
    <w:rsid w:val="0073238F"/>
    <w:rsid w:val="0073286C"/>
    <w:rsid w:val="0073318A"/>
    <w:rsid w:val="00733348"/>
    <w:rsid w:val="00733B6F"/>
    <w:rsid w:val="00734DB9"/>
    <w:rsid w:val="00735734"/>
    <w:rsid w:val="00735E7C"/>
    <w:rsid w:val="007360B0"/>
    <w:rsid w:val="00737701"/>
    <w:rsid w:val="007409F6"/>
    <w:rsid w:val="00740A76"/>
    <w:rsid w:val="0074246A"/>
    <w:rsid w:val="00742532"/>
    <w:rsid w:val="00742DDD"/>
    <w:rsid w:val="00743354"/>
    <w:rsid w:val="007433F6"/>
    <w:rsid w:val="00743819"/>
    <w:rsid w:val="00744EC8"/>
    <w:rsid w:val="0074512F"/>
    <w:rsid w:val="0074632E"/>
    <w:rsid w:val="0074700C"/>
    <w:rsid w:val="00751596"/>
    <w:rsid w:val="007524F6"/>
    <w:rsid w:val="007574D3"/>
    <w:rsid w:val="00760330"/>
    <w:rsid w:val="0076355D"/>
    <w:rsid w:val="00763852"/>
    <w:rsid w:val="007644B2"/>
    <w:rsid w:val="007652C5"/>
    <w:rsid w:val="00765745"/>
    <w:rsid w:val="00766453"/>
    <w:rsid w:val="00770563"/>
    <w:rsid w:val="00770F28"/>
    <w:rsid w:val="00771135"/>
    <w:rsid w:val="00774303"/>
    <w:rsid w:val="0077602F"/>
    <w:rsid w:val="00776962"/>
    <w:rsid w:val="007773DD"/>
    <w:rsid w:val="00777674"/>
    <w:rsid w:val="007826AF"/>
    <w:rsid w:val="007830C4"/>
    <w:rsid w:val="00783A68"/>
    <w:rsid w:val="00783BF7"/>
    <w:rsid w:val="007857D0"/>
    <w:rsid w:val="00785ABD"/>
    <w:rsid w:val="0078602A"/>
    <w:rsid w:val="00786F58"/>
    <w:rsid w:val="00795DA5"/>
    <w:rsid w:val="007A1367"/>
    <w:rsid w:val="007A28C4"/>
    <w:rsid w:val="007A2E0E"/>
    <w:rsid w:val="007A3797"/>
    <w:rsid w:val="007A42D8"/>
    <w:rsid w:val="007A45FF"/>
    <w:rsid w:val="007A4EAF"/>
    <w:rsid w:val="007A6C83"/>
    <w:rsid w:val="007B0321"/>
    <w:rsid w:val="007B1CE9"/>
    <w:rsid w:val="007B35B9"/>
    <w:rsid w:val="007B5AF9"/>
    <w:rsid w:val="007B631E"/>
    <w:rsid w:val="007B750D"/>
    <w:rsid w:val="007C182E"/>
    <w:rsid w:val="007C21FE"/>
    <w:rsid w:val="007C2350"/>
    <w:rsid w:val="007C2BC9"/>
    <w:rsid w:val="007C434F"/>
    <w:rsid w:val="007C4ADB"/>
    <w:rsid w:val="007C4C4A"/>
    <w:rsid w:val="007C51A4"/>
    <w:rsid w:val="007C5F01"/>
    <w:rsid w:val="007C6B73"/>
    <w:rsid w:val="007C7432"/>
    <w:rsid w:val="007C7FA7"/>
    <w:rsid w:val="007D5B5E"/>
    <w:rsid w:val="007D7A79"/>
    <w:rsid w:val="007D7CBD"/>
    <w:rsid w:val="007D7DA6"/>
    <w:rsid w:val="007D7DB4"/>
    <w:rsid w:val="007E183E"/>
    <w:rsid w:val="007E4866"/>
    <w:rsid w:val="007E4EA0"/>
    <w:rsid w:val="007E53D2"/>
    <w:rsid w:val="007E5466"/>
    <w:rsid w:val="007E6F62"/>
    <w:rsid w:val="007F0AC4"/>
    <w:rsid w:val="007F0B15"/>
    <w:rsid w:val="007F0CC7"/>
    <w:rsid w:val="007F15F5"/>
    <w:rsid w:val="007F316D"/>
    <w:rsid w:val="007F3E81"/>
    <w:rsid w:val="007F479E"/>
    <w:rsid w:val="007F5A95"/>
    <w:rsid w:val="007F5B3C"/>
    <w:rsid w:val="007F72D1"/>
    <w:rsid w:val="00800189"/>
    <w:rsid w:val="0080038A"/>
    <w:rsid w:val="008012BF"/>
    <w:rsid w:val="00803667"/>
    <w:rsid w:val="0080512C"/>
    <w:rsid w:val="00805843"/>
    <w:rsid w:val="00805D0A"/>
    <w:rsid w:val="00806696"/>
    <w:rsid w:val="00807B53"/>
    <w:rsid w:val="0081102F"/>
    <w:rsid w:val="00811286"/>
    <w:rsid w:val="0081302A"/>
    <w:rsid w:val="00814B8B"/>
    <w:rsid w:val="00814BD8"/>
    <w:rsid w:val="008152A7"/>
    <w:rsid w:val="00815E09"/>
    <w:rsid w:val="00817F15"/>
    <w:rsid w:val="00820661"/>
    <w:rsid w:val="00820F85"/>
    <w:rsid w:val="008214B9"/>
    <w:rsid w:val="00821F0E"/>
    <w:rsid w:val="00822156"/>
    <w:rsid w:val="008221D8"/>
    <w:rsid w:val="00822B05"/>
    <w:rsid w:val="00823B23"/>
    <w:rsid w:val="00824146"/>
    <w:rsid w:val="00824D53"/>
    <w:rsid w:val="00824E19"/>
    <w:rsid w:val="00825126"/>
    <w:rsid w:val="008300E2"/>
    <w:rsid w:val="008311D2"/>
    <w:rsid w:val="0083155B"/>
    <w:rsid w:val="00834122"/>
    <w:rsid w:val="0083461E"/>
    <w:rsid w:val="00834DA4"/>
    <w:rsid w:val="008368D0"/>
    <w:rsid w:val="008369CD"/>
    <w:rsid w:val="00836BDA"/>
    <w:rsid w:val="0083745E"/>
    <w:rsid w:val="00837AD3"/>
    <w:rsid w:val="00837DC3"/>
    <w:rsid w:val="00840538"/>
    <w:rsid w:val="00840E34"/>
    <w:rsid w:val="00841E5F"/>
    <w:rsid w:val="0084265D"/>
    <w:rsid w:val="008426DF"/>
    <w:rsid w:val="00842C20"/>
    <w:rsid w:val="00844F7B"/>
    <w:rsid w:val="008452E7"/>
    <w:rsid w:val="008453B9"/>
    <w:rsid w:val="00845592"/>
    <w:rsid w:val="00846631"/>
    <w:rsid w:val="00847E6A"/>
    <w:rsid w:val="008512AB"/>
    <w:rsid w:val="008513BF"/>
    <w:rsid w:val="008539FB"/>
    <w:rsid w:val="00854BEE"/>
    <w:rsid w:val="008562DA"/>
    <w:rsid w:val="008564B9"/>
    <w:rsid w:val="0085693F"/>
    <w:rsid w:val="008574C0"/>
    <w:rsid w:val="00857EFF"/>
    <w:rsid w:val="008601F7"/>
    <w:rsid w:val="008612E3"/>
    <w:rsid w:val="0086489F"/>
    <w:rsid w:val="0086689D"/>
    <w:rsid w:val="0086728E"/>
    <w:rsid w:val="0087142E"/>
    <w:rsid w:val="008729C4"/>
    <w:rsid w:val="00872BB3"/>
    <w:rsid w:val="00873123"/>
    <w:rsid w:val="00875757"/>
    <w:rsid w:val="00876AA0"/>
    <w:rsid w:val="0087780D"/>
    <w:rsid w:val="00880C10"/>
    <w:rsid w:val="00880F0C"/>
    <w:rsid w:val="0088121A"/>
    <w:rsid w:val="008816CB"/>
    <w:rsid w:val="008818D2"/>
    <w:rsid w:val="00881BD7"/>
    <w:rsid w:val="008820C5"/>
    <w:rsid w:val="00882E2D"/>
    <w:rsid w:val="008840DF"/>
    <w:rsid w:val="00886172"/>
    <w:rsid w:val="00886911"/>
    <w:rsid w:val="00886EDD"/>
    <w:rsid w:val="00886F71"/>
    <w:rsid w:val="00887D3B"/>
    <w:rsid w:val="00890AFE"/>
    <w:rsid w:val="00890BEE"/>
    <w:rsid w:val="0089133A"/>
    <w:rsid w:val="00891520"/>
    <w:rsid w:val="008947CD"/>
    <w:rsid w:val="00894FB0"/>
    <w:rsid w:val="008959A6"/>
    <w:rsid w:val="008961FD"/>
    <w:rsid w:val="008976C9"/>
    <w:rsid w:val="008A21A4"/>
    <w:rsid w:val="008A49A5"/>
    <w:rsid w:val="008A539A"/>
    <w:rsid w:val="008A5D66"/>
    <w:rsid w:val="008A7F5D"/>
    <w:rsid w:val="008B063C"/>
    <w:rsid w:val="008B1298"/>
    <w:rsid w:val="008B15B7"/>
    <w:rsid w:val="008B182C"/>
    <w:rsid w:val="008B1916"/>
    <w:rsid w:val="008B3514"/>
    <w:rsid w:val="008B3E53"/>
    <w:rsid w:val="008B3F4A"/>
    <w:rsid w:val="008B5229"/>
    <w:rsid w:val="008B689C"/>
    <w:rsid w:val="008B7286"/>
    <w:rsid w:val="008B7533"/>
    <w:rsid w:val="008C0311"/>
    <w:rsid w:val="008C2556"/>
    <w:rsid w:val="008C3C8B"/>
    <w:rsid w:val="008C3EAB"/>
    <w:rsid w:val="008C445B"/>
    <w:rsid w:val="008C5690"/>
    <w:rsid w:val="008C6B4D"/>
    <w:rsid w:val="008C7E54"/>
    <w:rsid w:val="008D0C49"/>
    <w:rsid w:val="008D2D08"/>
    <w:rsid w:val="008D4207"/>
    <w:rsid w:val="008D4FF4"/>
    <w:rsid w:val="008D64AB"/>
    <w:rsid w:val="008E0E5E"/>
    <w:rsid w:val="008E0F6B"/>
    <w:rsid w:val="008E153E"/>
    <w:rsid w:val="008E177E"/>
    <w:rsid w:val="008E2499"/>
    <w:rsid w:val="008E26A5"/>
    <w:rsid w:val="008E3811"/>
    <w:rsid w:val="008E3B31"/>
    <w:rsid w:val="008E3EEE"/>
    <w:rsid w:val="008E4E01"/>
    <w:rsid w:val="008E652D"/>
    <w:rsid w:val="008E7358"/>
    <w:rsid w:val="008E7B6F"/>
    <w:rsid w:val="008F06F7"/>
    <w:rsid w:val="008F0E2E"/>
    <w:rsid w:val="008F1B0B"/>
    <w:rsid w:val="008F1C4A"/>
    <w:rsid w:val="008F2EBE"/>
    <w:rsid w:val="008F3451"/>
    <w:rsid w:val="008F3F3D"/>
    <w:rsid w:val="009040D9"/>
    <w:rsid w:val="0090621B"/>
    <w:rsid w:val="009100A4"/>
    <w:rsid w:val="00911C11"/>
    <w:rsid w:val="00912D68"/>
    <w:rsid w:val="009133EA"/>
    <w:rsid w:val="009138DC"/>
    <w:rsid w:val="00913C29"/>
    <w:rsid w:val="009149A0"/>
    <w:rsid w:val="00915F30"/>
    <w:rsid w:val="009167C1"/>
    <w:rsid w:val="00916F91"/>
    <w:rsid w:val="00920B1D"/>
    <w:rsid w:val="0092354C"/>
    <w:rsid w:val="009270DF"/>
    <w:rsid w:val="00927548"/>
    <w:rsid w:val="00931066"/>
    <w:rsid w:val="009322B8"/>
    <w:rsid w:val="00932E58"/>
    <w:rsid w:val="00933AB8"/>
    <w:rsid w:val="0093407C"/>
    <w:rsid w:val="00934AD6"/>
    <w:rsid w:val="009353F3"/>
    <w:rsid w:val="00937325"/>
    <w:rsid w:val="00940CD2"/>
    <w:rsid w:val="00943A01"/>
    <w:rsid w:val="00945792"/>
    <w:rsid w:val="009468BB"/>
    <w:rsid w:val="009479F4"/>
    <w:rsid w:val="00951282"/>
    <w:rsid w:val="009512B5"/>
    <w:rsid w:val="00952669"/>
    <w:rsid w:val="00955926"/>
    <w:rsid w:val="00955E87"/>
    <w:rsid w:val="00960422"/>
    <w:rsid w:val="00960F8A"/>
    <w:rsid w:val="0096114A"/>
    <w:rsid w:val="009617A4"/>
    <w:rsid w:val="00961B18"/>
    <w:rsid w:val="009634F8"/>
    <w:rsid w:val="00963D90"/>
    <w:rsid w:val="009647B0"/>
    <w:rsid w:val="009649D5"/>
    <w:rsid w:val="00964C72"/>
    <w:rsid w:val="00964D8D"/>
    <w:rsid w:val="0096530F"/>
    <w:rsid w:val="009656A7"/>
    <w:rsid w:val="009657BB"/>
    <w:rsid w:val="00965B3A"/>
    <w:rsid w:val="00965DD5"/>
    <w:rsid w:val="0096720E"/>
    <w:rsid w:val="00970348"/>
    <w:rsid w:val="00972944"/>
    <w:rsid w:val="00974448"/>
    <w:rsid w:val="00975692"/>
    <w:rsid w:val="00975BB5"/>
    <w:rsid w:val="00976A5E"/>
    <w:rsid w:val="0098108F"/>
    <w:rsid w:val="009827F5"/>
    <w:rsid w:val="00983B2E"/>
    <w:rsid w:val="00985D50"/>
    <w:rsid w:val="00987D45"/>
    <w:rsid w:val="009909FB"/>
    <w:rsid w:val="009910F8"/>
    <w:rsid w:val="009913AB"/>
    <w:rsid w:val="00992A4D"/>
    <w:rsid w:val="00993225"/>
    <w:rsid w:val="009957CB"/>
    <w:rsid w:val="00996B1B"/>
    <w:rsid w:val="009A0366"/>
    <w:rsid w:val="009A1A62"/>
    <w:rsid w:val="009A27E5"/>
    <w:rsid w:val="009A2BD4"/>
    <w:rsid w:val="009A404C"/>
    <w:rsid w:val="009A48D9"/>
    <w:rsid w:val="009B17A3"/>
    <w:rsid w:val="009B1E0C"/>
    <w:rsid w:val="009B23BA"/>
    <w:rsid w:val="009B24DC"/>
    <w:rsid w:val="009B4A76"/>
    <w:rsid w:val="009B513C"/>
    <w:rsid w:val="009C3B2E"/>
    <w:rsid w:val="009C49EA"/>
    <w:rsid w:val="009C5CE1"/>
    <w:rsid w:val="009C6B0D"/>
    <w:rsid w:val="009D2252"/>
    <w:rsid w:val="009D328C"/>
    <w:rsid w:val="009D3373"/>
    <w:rsid w:val="009D37EA"/>
    <w:rsid w:val="009D5191"/>
    <w:rsid w:val="009D5C1F"/>
    <w:rsid w:val="009D6844"/>
    <w:rsid w:val="009E06A5"/>
    <w:rsid w:val="009E1326"/>
    <w:rsid w:val="009E296C"/>
    <w:rsid w:val="009E4336"/>
    <w:rsid w:val="009E59CD"/>
    <w:rsid w:val="009E5DC4"/>
    <w:rsid w:val="009E6190"/>
    <w:rsid w:val="009E6541"/>
    <w:rsid w:val="009E6D6B"/>
    <w:rsid w:val="009F0AD1"/>
    <w:rsid w:val="009F2641"/>
    <w:rsid w:val="009F3686"/>
    <w:rsid w:val="00A00ECF"/>
    <w:rsid w:val="00A037BF"/>
    <w:rsid w:val="00A03FD5"/>
    <w:rsid w:val="00A044B5"/>
    <w:rsid w:val="00A04873"/>
    <w:rsid w:val="00A04977"/>
    <w:rsid w:val="00A04C14"/>
    <w:rsid w:val="00A058DA"/>
    <w:rsid w:val="00A059C9"/>
    <w:rsid w:val="00A06281"/>
    <w:rsid w:val="00A06F57"/>
    <w:rsid w:val="00A106FB"/>
    <w:rsid w:val="00A114C5"/>
    <w:rsid w:val="00A124DF"/>
    <w:rsid w:val="00A12CE6"/>
    <w:rsid w:val="00A134F7"/>
    <w:rsid w:val="00A13860"/>
    <w:rsid w:val="00A14554"/>
    <w:rsid w:val="00A162D5"/>
    <w:rsid w:val="00A169AB"/>
    <w:rsid w:val="00A179DF"/>
    <w:rsid w:val="00A21585"/>
    <w:rsid w:val="00A225E1"/>
    <w:rsid w:val="00A2332D"/>
    <w:rsid w:val="00A24041"/>
    <w:rsid w:val="00A24253"/>
    <w:rsid w:val="00A25F4B"/>
    <w:rsid w:val="00A26534"/>
    <w:rsid w:val="00A342E4"/>
    <w:rsid w:val="00A3485B"/>
    <w:rsid w:val="00A34C66"/>
    <w:rsid w:val="00A37783"/>
    <w:rsid w:val="00A37932"/>
    <w:rsid w:val="00A37A13"/>
    <w:rsid w:val="00A41BE3"/>
    <w:rsid w:val="00A428C9"/>
    <w:rsid w:val="00A43EC4"/>
    <w:rsid w:val="00A448AB"/>
    <w:rsid w:val="00A44AF7"/>
    <w:rsid w:val="00A45537"/>
    <w:rsid w:val="00A456B7"/>
    <w:rsid w:val="00A457B3"/>
    <w:rsid w:val="00A45A0F"/>
    <w:rsid w:val="00A4732D"/>
    <w:rsid w:val="00A4799C"/>
    <w:rsid w:val="00A5013B"/>
    <w:rsid w:val="00A50AAF"/>
    <w:rsid w:val="00A51FFC"/>
    <w:rsid w:val="00A548D4"/>
    <w:rsid w:val="00A55581"/>
    <w:rsid w:val="00A57578"/>
    <w:rsid w:val="00A575C5"/>
    <w:rsid w:val="00A578EC"/>
    <w:rsid w:val="00A578FB"/>
    <w:rsid w:val="00A57A0C"/>
    <w:rsid w:val="00A603F0"/>
    <w:rsid w:val="00A60F2C"/>
    <w:rsid w:val="00A61AFF"/>
    <w:rsid w:val="00A646DF"/>
    <w:rsid w:val="00A655CE"/>
    <w:rsid w:val="00A65EF0"/>
    <w:rsid w:val="00A66D17"/>
    <w:rsid w:val="00A66E8D"/>
    <w:rsid w:val="00A66EDE"/>
    <w:rsid w:val="00A677C0"/>
    <w:rsid w:val="00A71D97"/>
    <w:rsid w:val="00A721DF"/>
    <w:rsid w:val="00A7221E"/>
    <w:rsid w:val="00A725CF"/>
    <w:rsid w:val="00A72F2D"/>
    <w:rsid w:val="00A736BE"/>
    <w:rsid w:val="00A742CC"/>
    <w:rsid w:val="00A75FC5"/>
    <w:rsid w:val="00A766C1"/>
    <w:rsid w:val="00A76BF2"/>
    <w:rsid w:val="00A76E36"/>
    <w:rsid w:val="00A80EDB"/>
    <w:rsid w:val="00A810B7"/>
    <w:rsid w:val="00A81B1E"/>
    <w:rsid w:val="00A837AD"/>
    <w:rsid w:val="00A847D5"/>
    <w:rsid w:val="00A85150"/>
    <w:rsid w:val="00A865EC"/>
    <w:rsid w:val="00A87788"/>
    <w:rsid w:val="00A9040A"/>
    <w:rsid w:val="00A91671"/>
    <w:rsid w:val="00A933D0"/>
    <w:rsid w:val="00A937B2"/>
    <w:rsid w:val="00A93963"/>
    <w:rsid w:val="00A94640"/>
    <w:rsid w:val="00A9505D"/>
    <w:rsid w:val="00A96867"/>
    <w:rsid w:val="00AA027A"/>
    <w:rsid w:val="00AA179F"/>
    <w:rsid w:val="00AA25C1"/>
    <w:rsid w:val="00AA34AA"/>
    <w:rsid w:val="00AA3CF7"/>
    <w:rsid w:val="00AA50AE"/>
    <w:rsid w:val="00AA6491"/>
    <w:rsid w:val="00AA6D5E"/>
    <w:rsid w:val="00AB22E0"/>
    <w:rsid w:val="00AB30A8"/>
    <w:rsid w:val="00AB3867"/>
    <w:rsid w:val="00AB3F64"/>
    <w:rsid w:val="00AB6985"/>
    <w:rsid w:val="00AB7B58"/>
    <w:rsid w:val="00AC0274"/>
    <w:rsid w:val="00AC03B0"/>
    <w:rsid w:val="00AC0983"/>
    <w:rsid w:val="00AC0C17"/>
    <w:rsid w:val="00AC1C05"/>
    <w:rsid w:val="00AC26A7"/>
    <w:rsid w:val="00AC2F9B"/>
    <w:rsid w:val="00AC37FB"/>
    <w:rsid w:val="00AC54A7"/>
    <w:rsid w:val="00AC5D87"/>
    <w:rsid w:val="00AC5E1E"/>
    <w:rsid w:val="00AC75DE"/>
    <w:rsid w:val="00AD05F8"/>
    <w:rsid w:val="00AD1B42"/>
    <w:rsid w:val="00AD2AAF"/>
    <w:rsid w:val="00AD47B2"/>
    <w:rsid w:val="00AD4B3C"/>
    <w:rsid w:val="00AD5761"/>
    <w:rsid w:val="00AD6EF7"/>
    <w:rsid w:val="00AD738C"/>
    <w:rsid w:val="00AD7499"/>
    <w:rsid w:val="00AE1A76"/>
    <w:rsid w:val="00AE2337"/>
    <w:rsid w:val="00AE25B3"/>
    <w:rsid w:val="00AE4390"/>
    <w:rsid w:val="00AE4F96"/>
    <w:rsid w:val="00AE5D19"/>
    <w:rsid w:val="00AE63DF"/>
    <w:rsid w:val="00AF1261"/>
    <w:rsid w:val="00AF1AFE"/>
    <w:rsid w:val="00AF200B"/>
    <w:rsid w:val="00AF2302"/>
    <w:rsid w:val="00AF2428"/>
    <w:rsid w:val="00AF2909"/>
    <w:rsid w:val="00AF6906"/>
    <w:rsid w:val="00AF6A22"/>
    <w:rsid w:val="00AF7F4B"/>
    <w:rsid w:val="00B00277"/>
    <w:rsid w:val="00B00D01"/>
    <w:rsid w:val="00B05CB9"/>
    <w:rsid w:val="00B067CD"/>
    <w:rsid w:val="00B06DD2"/>
    <w:rsid w:val="00B109F4"/>
    <w:rsid w:val="00B13A30"/>
    <w:rsid w:val="00B16E5C"/>
    <w:rsid w:val="00B20BB6"/>
    <w:rsid w:val="00B20C87"/>
    <w:rsid w:val="00B21C39"/>
    <w:rsid w:val="00B21D29"/>
    <w:rsid w:val="00B226BA"/>
    <w:rsid w:val="00B227EE"/>
    <w:rsid w:val="00B2469B"/>
    <w:rsid w:val="00B259E1"/>
    <w:rsid w:val="00B25CBB"/>
    <w:rsid w:val="00B26200"/>
    <w:rsid w:val="00B26520"/>
    <w:rsid w:val="00B32AC9"/>
    <w:rsid w:val="00B32F23"/>
    <w:rsid w:val="00B34579"/>
    <w:rsid w:val="00B34685"/>
    <w:rsid w:val="00B348CE"/>
    <w:rsid w:val="00B35495"/>
    <w:rsid w:val="00B35E2A"/>
    <w:rsid w:val="00B36B99"/>
    <w:rsid w:val="00B37AE7"/>
    <w:rsid w:val="00B37FA9"/>
    <w:rsid w:val="00B404DE"/>
    <w:rsid w:val="00B41B6B"/>
    <w:rsid w:val="00B42519"/>
    <w:rsid w:val="00B44DD9"/>
    <w:rsid w:val="00B44DF2"/>
    <w:rsid w:val="00B5034C"/>
    <w:rsid w:val="00B50ED6"/>
    <w:rsid w:val="00B515B2"/>
    <w:rsid w:val="00B538D6"/>
    <w:rsid w:val="00B5427B"/>
    <w:rsid w:val="00B55114"/>
    <w:rsid w:val="00B56A7B"/>
    <w:rsid w:val="00B5798C"/>
    <w:rsid w:val="00B60AE0"/>
    <w:rsid w:val="00B62269"/>
    <w:rsid w:val="00B63422"/>
    <w:rsid w:val="00B638EB"/>
    <w:rsid w:val="00B652E1"/>
    <w:rsid w:val="00B65836"/>
    <w:rsid w:val="00B65FA1"/>
    <w:rsid w:val="00B666CA"/>
    <w:rsid w:val="00B6757C"/>
    <w:rsid w:val="00B70A07"/>
    <w:rsid w:val="00B70EEB"/>
    <w:rsid w:val="00B71A59"/>
    <w:rsid w:val="00B72018"/>
    <w:rsid w:val="00B72FFD"/>
    <w:rsid w:val="00B73CFE"/>
    <w:rsid w:val="00B7455E"/>
    <w:rsid w:val="00B74BBE"/>
    <w:rsid w:val="00B75F8C"/>
    <w:rsid w:val="00B765BE"/>
    <w:rsid w:val="00B76EB1"/>
    <w:rsid w:val="00B76F7F"/>
    <w:rsid w:val="00B82213"/>
    <w:rsid w:val="00B8331D"/>
    <w:rsid w:val="00B84303"/>
    <w:rsid w:val="00B847A0"/>
    <w:rsid w:val="00B84853"/>
    <w:rsid w:val="00B85170"/>
    <w:rsid w:val="00B85570"/>
    <w:rsid w:val="00B85C06"/>
    <w:rsid w:val="00B8645F"/>
    <w:rsid w:val="00B869B8"/>
    <w:rsid w:val="00B900F3"/>
    <w:rsid w:val="00B9053E"/>
    <w:rsid w:val="00B9184D"/>
    <w:rsid w:val="00B9194E"/>
    <w:rsid w:val="00B9204F"/>
    <w:rsid w:val="00B93A22"/>
    <w:rsid w:val="00B94C76"/>
    <w:rsid w:val="00B94E6B"/>
    <w:rsid w:val="00B956FA"/>
    <w:rsid w:val="00B95982"/>
    <w:rsid w:val="00B972CB"/>
    <w:rsid w:val="00B97DAF"/>
    <w:rsid w:val="00BA01A4"/>
    <w:rsid w:val="00BA0756"/>
    <w:rsid w:val="00BA10C6"/>
    <w:rsid w:val="00BA253E"/>
    <w:rsid w:val="00BA2B49"/>
    <w:rsid w:val="00BA3539"/>
    <w:rsid w:val="00BA4089"/>
    <w:rsid w:val="00BA4D9B"/>
    <w:rsid w:val="00BA53E8"/>
    <w:rsid w:val="00BA6157"/>
    <w:rsid w:val="00BA6957"/>
    <w:rsid w:val="00BB2B3D"/>
    <w:rsid w:val="00BB2FD1"/>
    <w:rsid w:val="00BB351E"/>
    <w:rsid w:val="00BB3D1A"/>
    <w:rsid w:val="00BB6930"/>
    <w:rsid w:val="00BB7916"/>
    <w:rsid w:val="00BB796B"/>
    <w:rsid w:val="00BC05C0"/>
    <w:rsid w:val="00BC170B"/>
    <w:rsid w:val="00BC25A7"/>
    <w:rsid w:val="00BC3614"/>
    <w:rsid w:val="00BC4AB4"/>
    <w:rsid w:val="00BC54C6"/>
    <w:rsid w:val="00BC6563"/>
    <w:rsid w:val="00BC6DE4"/>
    <w:rsid w:val="00BD0049"/>
    <w:rsid w:val="00BD1909"/>
    <w:rsid w:val="00BD2060"/>
    <w:rsid w:val="00BD4138"/>
    <w:rsid w:val="00BD45F8"/>
    <w:rsid w:val="00BD53A8"/>
    <w:rsid w:val="00BD6B9A"/>
    <w:rsid w:val="00BD710E"/>
    <w:rsid w:val="00BE0735"/>
    <w:rsid w:val="00BE1BB1"/>
    <w:rsid w:val="00BE2B5C"/>
    <w:rsid w:val="00BE3744"/>
    <w:rsid w:val="00BE37F0"/>
    <w:rsid w:val="00BE4974"/>
    <w:rsid w:val="00BE765E"/>
    <w:rsid w:val="00BF1920"/>
    <w:rsid w:val="00BF2D35"/>
    <w:rsid w:val="00BF4934"/>
    <w:rsid w:val="00BF6EBE"/>
    <w:rsid w:val="00C001CF"/>
    <w:rsid w:val="00C002F0"/>
    <w:rsid w:val="00C0060E"/>
    <w:rsid w:val="00C010DD"/>
    <w:rsid w:val="00C0125F"/>
    <w:rsid w:val="00C0161F"/>
    <w:rsid w:val="00C0186B"/>
    <w:rsid w:val="00C0313C"/>
    <w:rsid w:val="00C03DF6"/>
    <w:rsid w:val="00C04DEF"/>
    <w:rsid w:val="00C054DB"/>
    <w:rsid w:val="00C05F88"/>
    <w:rsid w:val="00C06536"/>
    <w:rsid w:val="00C06685"/>
    <w:rsid w:val="00C072B2"/>
    <w:rsid w:val="00C0739A"/>
    <w:rsid w:val="00C07D11"/>
    <w:rsid w:val="00C07D3C"/>
    <w:rsid w:val="00C100BF"/>
    <w:rsid w:val="00C10425"/>
    <w:rsid w:val="00C10A2A"/>
    <w:rsid w:val="00C10CC9"/>
    <w:rsid w:val="00C118E9"/>
    <w:rsid w:val="00C1232C"/>
    <w:rsid w:val="00C13015"/>
    <w:rsid w:val="00C13106"/>
    <w:rsid w:val="00C134EC"/>
    <w:rsid w:val="00C155A7"/>
    <w:rsid w:val="00C15CB8"/>
    <w:rsid w:val="00C17250"/>
    <w:rsid w:val="00C17BE6"/>
    <w:rsid w:val="00C20CEA"/>
    <w:rsid w:val="00C222D8"/>
    <w:rsid w:val="00C2290B"/>
    <w:rsid w:val="00C23559"/>
    <w:rsid w:val="00C25159"/>
    <w:rsid w:val="00C30218"/>
    <w:rsid w:val="00C30A30"/>
    <w:rsid w:val="00C31946"/>
    <w:rsid w:val="00C31E64"/>
    <w:rsid w:val="00C3254F"/>
    <w:rsid w:val="00C345F4"/>
    <w:rsid w:val="00C34AEA"/>
    <w:rsid w:val="00C35647"/>
    <w:rsid w:val="00C3634D"/>
    <w:rsid w:val="00C36354"/>
    <w:rsid w:val="00C36553"/>
    <w:rsid w:val="00C37C9F"/>
    <w:rsid w:val="00C405CE"/>
    <w:rsid w:val="00C410BE"/>
    <w:rsid w:val="00C413BD"/>
    <w:rsid w:val="00C418BD"/>
    <w:rsid w:val="00C43026"/>
    <w:rsid w:val="00C43E0C"/>
    <w:rsid w:val="00C44460"/>
    <w:rsid w:val="00C4447F"/>
    <w:rsid w:val="00C45B0E"/>
    <w:rsid w:val="00C4666B"/>
    <w:rsid w:val="00C51263"/>
    <w:rsid w:val="00C522BD"/>
    <w:rsid w:val="00C53A92"/>
    <w:rsid w:val="00C540E2"/>
    <w:rsid w:val="00C54709"/>
    <w:rsid w:val="00C55625"/>
    <w:rsid w:val="00C56932"/>
    <w:rsid w:val="00C61770"/>
    <w:rsid w:val="00C621CA"/>
    <w:rsid w:val="00C62C8E"/>
    <w:rsid w:val="00C6360D"/>
    <w:rsid w:val="00C63E38"/>
    <w:rsid w:val="00C65CC3"/>
    <w:rsid w:val="00C70B61"/>
    <w:rsid w:val="00C71785"/>
    <w:rsid w:val="00C71BB7"/>
    <w:rsid w:val="00C71E0F"/>
    <w:rsid w:val="00C7326E"/>
    <w:rsid w:val="00C73819"/>
    <w:rsid w:val="00C74046"/>
    <w:rsid w:val="00C74C60"/>
    <w:rsid w:val="00C76911"/>
    <w:rsid w:val="00C77355"/>
    <w:rsid w:val="00C77544"/>
    <w:rsid w:val="00C82A3B"/>
    <w:rsid w:val="00C848C5"/>
    <w:rsid w:val="00C84E04"/>
    <w:rsid w:val="00C85200"/>
    <w:rsid w:val="00C8544C"/>
    <w:rsid w:val="00C90C4D"/>
    <w:rsid w:val="00C92F61"/>
    <w:rsid w:val="00C93953"/>
    <w:rsid w:val="00C9675A"/>
    <w:rsid w:val="00C9731F"/>
    <w:rsid w:val="00CA04C2"/>
    <w:rsid w:val="00CA120E"/>
    <w:rsid w:val="00CA138F"/>
    <w:rsid w:val="00CA42B9"/>
    <w:rsid w:val="00CA47CF"/>
    <w:rsid w:val="00CA74E0"/>
    <w:rsid w:val="00CB02D4"/>
    <w:rsid w:val="00CB085D"/>
    <w:rsid w:val="00CB0CC1"/>
    <w:rsid w:val="00CB1B2F"/>
    <w:rsid w:val="00CB5D16"/>
    <w:rsid w:val="00CB6314"/>
    <w:rsid w:val="00CC0D74"/>
    <w:rsid w:val="00CC1B87"/>
    <w:rsid w:val="00CC22C3"/>
    <w:rsid w:val="00CC287A"/>
    <w:rsid w:val="00CC2AAE"/>
    <w:rsid w:val="00CC4E4C"/>
    <w:rsid w:val="00CC5258"/>
    <w:rsid w:val="00CC574E"/>
    <w:rsid w:val="00CC79DD"/>
    <w:rsid w:val="00CD0C46"/>
    <w:rsid w:val="00CD1194"/>
    <w:rsid w:val="00CD204E"/>
    <w:rsid w:val="00CD2819"/>
    <w:rsid w:val="00CD29E4"/>
    <w:rsid w:val="00CD2C14"/>
    <w:rsid w:val="00CD4B19"/>
    <w:rsid w:val="00CD55A0"/>
    <w:rsid w:val="00CD63B1"/>
    <w:rsid w:val="00CD6642"/>
    <w:rsid w:val="00CD6C25"/>
    <w:rsid w:val="00CE0805"/>
    <w:rsid w:val="00CE2506"/>
    <w:rsid w:val="00CE2F47"/>
    <w:rsid w:val="00CE33A2"/>
    <w:rsid w:val="00CE576F"/>
    <w:rsid w:val="00CE69A6"/>
    <w:rsid w:val="00CF0CC2"/>
    <w:rsid w:val="00CF2E85"/>
    <w:rsid w:val="00CF30AE"/>
    <w:rsid w:val="00CF3990"/>
    <w:rsid w:val="00CF4919"/>
    <w:rsid w:val="00CF5A7A"/>
    <w:rsid w:val="00CF5B38"/>
    <w:rsid w:val="00CF7C43"/>
    <w:rsid w:val="00D000C8"/>
    <w:rsid w:val="00D0082C"/>
    <w:rsid w:val="00D01562"/>
    <w:rsid w:val="00D02794"/>
    <w:rsid w:val="00D02B48"/>
    <w:rsid w:val="00D04A39"/>
    <w:rsid w:val="00D05CA4"/>
    <w:rsid w:val="00D06195"/>
    <w:rsid w:val="00D070A6"/>
    <w:rsid w:val="00D128D6"/>
    <w:rsid w:val="00D14C3E"/>
    <w:rsid w:val="00D14D20"/>
    <w:rsid w:val="00D1700D"/>
    <w:rsid w:val="00D17557"/>
    <w:rsid w:val="00D17EE1"/>
    <w:rsid w:val="00D20D20"/>
    <w:rsid w:val="00D24C19"/>
    <w:rsid w:val="00D25B00"/>
    <w:rsid w:val="00D26177"/>
    <w:rsid w:val="00D30114"/>
    <w:rsid w:val="00D30E56"/>
    <w:rsid w:val="00D313C6"/>
    <w:rsid w:val="00D32B1D"/>
    <w:rsid w:val="00D33E54"/>
    <w:rsid w:val="00D33E96"/>
    <w:rsid w:val="00D3440C"/>
    <w:rsid w:val="00D34F1C"/>
    <w:rsid w:val="00D35CF6"/>
    <w:rsid w:val="00D37F70"/>
    <w:rsid w:val="00D4029F"/>
    <w:rsid w:val="00D41371"/>
    <w:rsid w:val="00D4185C"/>
    <w:rsid w:val="00D4198E"/>
    <w:rsid w:val="00D41FCB"/>
    <w:rsid w:val="00D47ECF"/>
    <w:rsid w:val="00D512D9"/>
    <w:rsid w:val="00D52604"/>
    <w:rsid w:val="00D53DD8"/>
    <w:rsid w:val="00D53F0A"/>
    <w:rsid w:val="00D53FF2"/>
    <w:rsid w:val="00D55AC2"/>
    <w:rsid w:val="00D57A0A"/>
    <w:rsid w:val="00D607D0"/>
    <w:rsid w:val="00D6115F"/>
    <w:rsid w:val="00D643ED"/>
    <w:rsid w:val="00D646BB"/>
    <w:rsid w:val="00D66867"/>
    <w:rsid w:val="00D6741A"/>
    <w:rsid w:val="00D67734"/>
    <w:rsid w:val="00D679FA"/>
    <w:rsid w:val="00D70887"/>
    <w:rsid w:val="00D712DE"/>
    <w:rsid w:val="00D73090"/>
    <w:rsid w:val="00D74569"/>
    <w:rsid w:val="00D74612"/>
    <w:rsid w:val="00D76128"/>
    <w:rsid w:val="00D7695E"/>
    <w:rsid w:val="00D7729E"/>
    <w:rsid w:val="00D80AB9"/>
    <w:rsid w:val="00D817C3"/>
    <w:rsid w:val="00D821DE"/>
    <w:rsid w:val="00D83403"/>
    <w:rsid w:val="00D84EC3"/>
    <w:rsid w:val="00D86317"/>
    <w:rsid w:val="00D86902"/>
    <w:rsid w:val="00D875C7"/>
    <w:rsid w:val="00D879B3"/>
    <w:rsid w:val="00D926EE"/>
    <w:rsid w:val="00D92E7D"/>
    <w:rsid w:val="00D937B0"/>
    <w:rsid w:val="00D94EA7"/>
    <w:rsid w:val="00D952DC"/>
    <w:rsid w:val="00D95ACF"/>
    <w:rsid w:val="00D961B0"/>
    <w:rsid w:val="00D96D4C"/>
    <w:rsid w:val="00DA40E5"/>
    <w:rsid w:val="00DA5A1F"/>
    <w:rsid w:val="00DB1C53"/>
    <w:rsid w:val="00DB273F"/>
    <w:rsid w:val="00DB2909"/>
    <w:rsid w:val="00DB3BBC"/>
    <w:rsid w:val="00DB49CA"/>
    <w:rsid w:val="00DB4B19"/>
    <w:rsid w:val="00DB5164"/>
    <w:rsid w:val="00DB6AED"/>
    <w:rsid w:val="00DB6F1A"/>
    <w:rsid w:val="00DB7173"/>
    <w:rsid w:val="00DB723A"/>
    <w:rsid w:val="00DC055C"/>
    <w:rsid w:val="00DC0BD3"/>
    <w:rsid w:val="00DC52DD"/>
    <w:rsid w:val="00DC5737"/>
    <w:rsid w:val="00DC5F76"/>
    <w:rsid w:val="00DC61DF"/>
    <w:rsid w:val="00DD12A9"/>
    <w:rsid w:val="00DD2FAC"/>
    <w:rsid w:val="00DD3746"/>
    <w:rsid w:val="00DD4DEA"/>
    <w:rsid w:val="00DD5DD9"/>
    <w:rsid w:val="00DD5EEB"/>
    <w:rsid w:val="00DD6950"/>
    <w:rsid w:val="00DD6AAD"/>
    <w:rsid w:val="00DD7B9E"/>
    <w:rsid w:val="00DD7C23"/>
    <w:rsid w:val="00DE0FE3"/>
    <w:rsid w:val="00DE26BF"/>
    <w:rsid w:val="00DE7C69"/>
    <w:rsid w:val="00DF6691"/>
    <w:rsid w:val="00DF6B06"/>
    <w:rsid w:val="00DF7945"/>
    <w:rsid w:val="00DF7EAF"/>
    <w:rsid w:val="00E04D51"/>
    <w:rsid w:val="00E05201"/>
    <w:rsid w:val="00E06006"/>
    <w:rsid w:val="00E074E5"/>
    <w:rsid w:val="00E12194"/>
    <w:rsid w:val="00E123F6"/>
    <w:rsid w:val="00E12912"/>
    <w:rsid w:val="00E13371"/>
    <w:rsid w:val="00E14456"/>
    <w:rsid w:val="00E17331"/>
    <w:rsid w:val="00E1759B"/>
    <w:rsid w:val="00E21DA9"/>
    <w:rsid w:val="00E223CC"/>
    <w:rsid w:val="00E241B3"/>
    <w:rsid w:val="00E24E4B"/>
    <w:rsid w:val="00E25786"/>
    <w:rsid w:val="00E26F24"/>
    <w:rsid w:val="00E2799C"/>
    <w:rsid w:val="00E3108C"/>
    <w:rsid w:val="00E32609"/>
    <w:rsid w:val="00E332B2"/>
    <w:rsid w:val="00E351CB"/>
    <w:rsid w:val="00E35963"/>
    <w:rsid w:val="00E36F69"/>
    <w:rsid w:val="00E41939"/>
    <w:rsid w:val="00E41E2A"/>
    <w:rsid w:val="00E41E4C"/>
    <w:rsid w:val="00E43FC4"/>
    <w:rsid w:val="00E45027"/>
    <w:rsid w:val="00E455FE"/>
    <w:rsid w:val="00E46471"/>
    <w:rsid w:val="00E473A7"/>
    <w:rsid w:val="00E47744"/>
    <w:rsid w:val="00E5046B"/>
    <w:rsid w:val="00E50749"/>
    <w:rsid w:val="00E516CB"/>
    <w:rsid w:val="00E522A9"/>
    <w:rsid w:val="00E550B3"/>
    <w:rsid w:val="00E550CC"/>
    <w:rsid w:val="00E55D3E"/>
    <w:rsid w:val="00E56451"/>
    <w:rsid w:val="00E56E79"/>
    <w:rsid w:val="00E57B6F"/>
    <w:rsid w:val="00E604BC"/>
    <w:rsid w:val="00E60B0D"/>
    <w:rsid w:val="00E60B7E"/>
    <w:rsid w:val="00E62F22"/>
    <w:rsid w:val="00E6336B"/>
    <w:rsid w:val="00E635EE"/>
    <w:rsid w:val="00E63943"/>
    <w:rsid w:val="00E64E45"/>
    <w:rsid w:val="00E64E9D"/>
    <w:rsid w:val="00E6534B"/>
    <w:rsid w:val="00E658AA"/>
    <w:rsid w:val="00E6621C"/>
    <w:rsid w:val="00E6672D"/>
    <w:rsid w:val="00E67914"/>
    <w:rsid w:val="00E70248"/>
    <w:rsid w:val="00E705C3"/>
    <w:rsid w:val="00E71D03"/>
    <w:rsid w:val="00E7255E"/>
    <w:rsid w:val="00E73C9E"/>
    <w:rsid w:val="00E745A7"/>
    <w:rsid w:val="00E758EC"/>
    <w:rsid w:val="00E77BC9"/>
    <w:rsid w:val="00E8403F"/>
    <w:rsid w:val="00E84146"/>
    <w:rsid w:val="00E84625"/>
    <w:rsid w:val="00E857DC"/>
    <w:rsid w:val="00E8588A"/>
    <w:rsid w:val="00E86590"/>
    <w:rsid w:val="00E90A07"/>
    <w:rsid w:val="00E9119A"/>
    <w:rsid w:val="00E91397"/>
    <w:rsid w:val="00E91FB8"/>
    <w:rsid w:val="00E91FED"/>
    <w:rsid w:val="00E928E1"/>
    <w:rsid w:val="00E934E6"/>
    <w:rsid w:val="00E93580"/>
    <w:rsid w:val="00E94638"/>
    <w:rsid w:val="00E94B6C"/>
    <w:rsid w:val="00E951E7"/>
    <w:rsid w:val="00E951E8"/>
    <w:rsid w:val="00E95278"/>
    <w:rsid w:val="00EA0AD7"/>
    <w:rsid w:val="00EA19F1"/>
    <w:rsid w:val="00EA2F7C"/>
    <w:rsid w:val="00EA3704"/>
    <w:rsid w:val="00EA4AF1"/>
    <w:rsid w:val="00EA628C"/>
    <w:rsid w:val="00EA6C58"/>
    <w:rsid w:val="00EA7B0A"/>
    <w:rsid w:val="00EB0E52"/>
    <w:rsid w:val="00EB177B"/>
    <w:rsid w:val="00EB1DCB"/>
    <w:rsid w:val="00EB3603"/>
    <w:rsid w:val="00EB4020"/>
    <w:rsid w:val="00EB58AF"/>
    <w:rsid w:val="00EB664A"/>
    <w:rsid w:val="00EB6BCA"/>
    <w:rsid w:val="00EC1F50"/>
    <w:rsid w:val="00EC221F"/>
    <w:rsid w:val="00EC2700"/>
    <w:rsid w:val="00EC28A7"/>
    <w:rsid w:val="00EC41C6"/>
    <w:rsid w:val="00EC4689"/>
    <w:rsid w:val="00EC4AD4"/>
    <w:rsid w:val="00EC69C0"/>
    <w:rsid w:val="00EC7E9F"/>
    <w:rsid w:val="00ED056B"/>
    <w:rsid w:val="00ED0783"/>
    <w:rsid w:val="00ED1AA0"/>
    <w:rsid w:val="00ED43DD"/>
    <w:rsid w:val="00ED72CC"/>
    <w:rsid w:val="00ED7BE9"/>
    <w:rsid w:val="00EE2710"/>
    <w:rsid w:val="00EE3BDC"/>
    <w:rsid w:val="00EE5600"/>
    <w:rsid w:val="00EE5973"/>
    <w:rsid w:val="00EE5A33"/>
    <w:rsid w:val="00EE6015"/>
    <w:rsid w:val="00EE75BA"/>
    <w:rsid w:val="00EE783B"/>
    <w:rsid w:val="00EF069B"/>
    <w:rsid w:val="00EF2697"/>
    <w:rsid w:val="00EF39FE"/>
    <w:rsid w:val="00EF4251"/>
    <w:rsid w:val="00EF49E1"/>
    <w:rsid w:val="00EF6F20"/>
    <w:rsid w:val="00EF7252"/>
    <w:rsid w:val="00EF7525"/>
    <w:rsid w:val="00F00347"/>
    <w:rsid w:val="00F00B90"/>
    <w:rsid w:val="00F027EB"/>
    <w:rsid w:val="00F0300B"/>
    <w:rsid w:val="00F03F20"/>
    <w:rsid w:val="00F04C5F"/>
    <w:rsid w:val="00F05736"/>
    <w:rsid w:val="00F0630F"/>
    <w:rsid w:val="00F071E5"/>
    <w:rsid w:val="00F1088E"/>
    <w:rsid w:val="00F10A9F"/>
    <w:rsid w:val="00F10C1E"/>
    <w:rsid w:val="00F1443A"/>
    <w:rsid w:val="00F156B5"/>
    <w:rsid w:val="00F175A7"/>
    <w:rsid w:val="00F17A39"/>
    <w:rsid w:val="00F17B52"/>
    <w:rsid w:val="00F21029"/>
    <w:rsid w:val="00F21FEE"/>
    <w:rsid w:val="00F22829"/>
    <w:rsid w:val="00F23C8D"/>
    <w:rsid w:val="00F24CC2"/>
    <w:rsid w:val="00F25AAE"/>
    <w:rsid w:val="00F26A1A"/>
    <w:rsid w:val="00F26D51"/>
    <w:rsid w:val="00F30438"/>
    <w:rsid w:val="00F30672"/>
    <w:rsid w:val="00F306DC"/>
    <w:rsid w:val="00F306EA"/>
    <w:rsid w:val="00F313D4"/>
    <w:rsid w:val="00F31F80"/>
    <w:rsid w:val="00F3255E"/>
    <w:rsid w:val="00F334AB"/>
    <w:rsid w:val="00F341E7"/>
    <w:rsid w:val="00F34FF6"/>
    <w:rsid w:val="00F35742"/>
    <w:rsid w:val="00F35848"/>
    <w:rsid w:val="00F35D54"/>
    <w:rsid w:val="00F36645"/>
    <w:rsid w:val="00F37869"/>
    <w:rsid w:val="00F37F33"/>
    <w:rsid w:val="00F40096"/>
    <w:rsid w:val="00F40885"/>
    <w:rsid w:val="00F41175"/>
    <w:rsid w:val="00F41590"/>
    <w:rsid w:val="00F436A0"/>
    <w:rsid w:val="00F45FD4"/>
    <w:rsid w:val="00F46555"/>
    <w:rsid w:val="00F46887"/>
    <w:rsid w:val="00F473B5"/>
    <w:rsid w:val="00F4752D"/>
    <w:rsid w:val="00F51F30"/>
    <w:rsid w:val="00F5256A"/>
    <w:rsid w:val="00F527F7"/>
    <w:rsid w:val="00F52A20"/>
    <w:rsid w:val="00F53F07"/>
    <w:rsid w:val="00F54BD2"/>
    <w:rsid w:val="00F54E67"/>
    <w:rsid w:val="00F55FD2"/>
    <w:rsid w:val="00F5628F"/>
    <w:rsid w:val="00F564E5"/>
    <w:rsid w:val="00F618CC"/>
    <w:rsid w:val="00F61E20"/>
    <w:rsid w:val="00F63189"/>
    <w:rsid w:val="00F642D6"/>
    <w:rsid w:val="00F6453A"/>
    <w:rsid w:val="00F64F14"/>
    <w:rsid w:val="00F659CF"/>
    <w:rsid w:val="00F66CC4"/>
    <w:rsid w:val="00F67B0F"/>
    <w:rsid w:val="00F707F3"/>
    <w:rsid w:val="00F72206"/>
    <w:rsid w:val="00F75171"/>
    <w:rsid w:val="00F752BF"/>
    <w:rsid w:val="00F75F1B"/>
    <w:rsid w:val="00F76269"/>
    <w:rsid w:val="00F800B1"/>
    <w:rsid w:val="00F807C0"/>
    <w:rsid w:val="00F80D9B"/>
    <w:rsid w:val="00F82A07"/>
    <w:rsid w:val="00F83D32"/>
    <w:rsid w:val="00F85654"/>
    <w:rsid w:val="00F87C07"/>
    <w:rsid w:val="00F900EB"/>
    <w:rsid w:val="00F9036D"/>
    <w:rsid w:val="00F92B8E"/>
    <w:rsid w:val="00F93681"/>
    <w:rsid w:val="00F94BA0"/>
    <w:rsid w:val="00F95410"/>
    <w:rsid w:val="00F95D1F"/>
    <w:rsid w:val="00F95FDE"/>
    <w:rsid w:val="00F96D42"/>
    <w:rsid w:val="00F97F62"/>
    <w:rsid w:val="00FA1483"/>
    <w:rsid w:val="00FA280C"/>
    <w:rsid w:val="00FA2B9C"/>
    <w:rsid w:val="00FA37FA"/>
    <w:rsid w:val="00FA5FDA"/>
    <w:rsid w:val="00FB00E6"/>
    <w:rsid w:val="00FB145D"/>
    <w:rsid w:val="00FB1CEF"/>
    <w:rsid w:val="00FB34D5"/>
    <w:rsid w:val="00FB3734"/>
    <w:rsid w:val="00FB4771"/>
    <w:rsid w:val="00FB48D3"/>
    <w:rsid w:val="00FB4F67"/>
    <w:rsid w:val="00FB59E0"/>
    <w:rsid w:val="00FB711E"/>
    <w:rsid w:val="00FC0B73"/>
    <w:rsid w:val="00FC0F0B"/>
    <w:rsid w:val="00FC0F87"/>
    <w:rsid w:val="00FC1470"/>
    <w:rsid w:val="00FC166C"/>
    <w:rsid w:val="00FC2355"/>
    <w:rsid w:val="00FC3827"/>
    <w:rsid w:val="00FC4287"/>
    <w:rsid w:val="00FC44A5"/>
    <w:rsid w:val="00FC622B"/>
    <w:rsid w:val="00FC7EEF"/>
    <w:rsid w:val="00FD0673"/>
    <w:rsid w:val="00FD1401"/>
    <w:rsid w:val="00FD1686"/>
    <w:rsid w:val="00FD2A77"/>
    <w:rsid w:val="00FD387E"/>
    <w:rsid w:val="00FD48A5"/>
    <w:rsid w:val="00FD4F6E"/>
    <w:rsid w:val="00FD7258"/>
    <w:rsid w:val="00FE0BA6"/>
    <w:rsid w:val="00FE5246"/>
    <w:rsid w:val="00FE6095"/>
    <w:rsid w:val="00FE6F4B"/>
    <w:rsid w:val="00FE7727"/>
    <w:rsid w:val="00FE7C4E"/>
    <w:rsid w:val="00FE7F0A"/>
    <w:rsid w:val="00FF1261"/>
    <w:rsid w:val="00FF12B4"/>
    <w:rsid w:val="00FF246B"/>
    <w:rsid w:val="00FF5356"/>
    <w:rsid w:val="00FF5A99"/>
    <w:rsid w:val="00FF7D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E5F"/>
    <w:rPr>
      <w:sz w:val="24"/>
    </w:rPr>
  </w:style>
  <w:style w:type="paragraph" w:styleId="Heading1">
    <w:name w:val="heading 1"/>
    <w:basedOn w:val="Normal"/>
    <w:next w:val="Normal"/>
    <w:link w:val="Heading1Char"/>
    <w:qFormat/>
    <w:rsid w:val="00EF4251"/>
    <w:pPr>
      <w:keepNext/>
      <w:numPr>
        <w:numId w:val="21"/>
      </w:numPr>
      <w:spacing w:after="240"/>
      <w:outlineLvl w:val="0"/>
    </w:pPr>
    <w:rPr>
      <w:b/>
      <w:szCs w:val="24"/>
    </w:rPr>
  </w:style>
  <w:style w:type="paragraph" w:styleId="Heading2">
    <w:name w:val="heading 2"/>
    <w:basedOn w:val="Normal"/>
    <w:next w:val="Normal"/>
    <w:qFormat/>
    <w:rsid w:val="009E06A5"/>
    <w:pPr>
      <w:keepNext/>
      <w:numPr>
        <w:ilvl w:val="1"/>
        <w:numId w:val="21"/>
      </w:numPr>
      <w:tabs>
        <w:tab w:val="left" w:pos="4320"/>
      </w:tabs>
      <w:spacing w:after="240"/>
      <w:outlineLvl w:val="1"/>
    </w:pPr>
    <w:rPr>
      <w:b/>
    </w:rPr>
  </w:style>
  <w:style w:type="paragraph" w:styleId="Heading3">
    <w:name w:val="heading 3"/>
    <w:basedOn w:val="Normal"/>
    <w:next w:val="Normal"/>
    <w:autoRedefine/>
    <w:qFormat/>
    <w:rsid w:val="00FD1686"/>
    <w:pPr>
      <w:keepNext/>
      <w:keepLines/>
      <w:numPr>
        <w:ilvl w:val="2"/>
        <w:numId w:val="21"/>
      </w:numPr>
      <w:spacing w:after="240"/>
      <w:ind w:left="2160" w:hanging="720"/>
      <w:outlineLvl w:val="2"/>
    </w:pPr>
    <w:rPr>
      <w:b/>
      <w:bCs/>
    </w:rPr>
  </w:style>
  <w:style w:type="paragraph" w:styleId="Heading4">
    <w:name w:val="heading 4"/>
    <w:basedOn w:val="Normal"/>
    <w:next w:val="Normal"/>
    <w:link w:val="Heading4Char"/>
    <w:semiHidden/>
    <w:unhideWhenUsed/>
    <w:qFormat/>
    <w:rsid w:val="00547A3B"/>
    <w:pPr>
      <w:keepNext/>
      <w:keepLines/>
      <w:numPr>
        <w:ilvl w:val="3"/>
        <w:numId w:val="2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547A3B"/>
    <w:pPr>
      <w:keepNext/>
      <w:keepLines/>
      <w:numPr>
        <w:ilvl w:val="4"/>
        <w:numId w:val="2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547A3B"/>
    <w:pPr>
      <w:keepNext/>
      <w:keepLines/>
      <w:numPr>
        <w:ilvl w:val="5"/>
        <w:numId w:val="2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547A3B"/>
    <w:pPr>
      <w:keepNext/>
      <w:keepLines/>
      <w:numPr>
        <w:ilvl w:val="6"/>
        <w:numId w:val="2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547A3B"/>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547A3B"/>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91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9138DC"/>
    <w:pPr>
      <w:tabs>
        <w:tab w:val="center" w:pos="4320"/>
        <w:tab w:val="right" w:pos="8640"/>
      </w:tabs>
    </w:pPr>
    <w:rPr>
      <w:sz w:val="20"/>
    </w:rPr>
  </w:style>
  <w:style w:type="character" w:styleId="Hyperlink">
    <w:name w:val="Hyperlink"/>
    <w:uiPriority w:val="99"/>
    <w:rsid w:val="009138DC"/>
    <w:rPr>
      <w:color w:val="0000FF"/>
      <w:u w:val="single"/>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uiPriority w:val="99"/>
    <w:qFormat/>
    <w:rsid w:val="009138DC"/>
    <w:rPr>
      <w:sz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uiPriority w:val="99"/>
    <w:qFormat/>
    <w:rsid w:val="009138DC"/>
    <w:rPr>
      <w:vertAlign w:val="superscript"/>
    </w:rPr>
  </w:style>
  <w:style w:type="paragraph" w:styleId="BodyTextIndent">
    <w:name w:val="Body Text Indent"/>
    <w:basedOn w:val="Normal"/>
    <w:rsid w:val="009138DC"/>
    <w:pPr>
      <w:spacing w:line="480" w:lineRule="auto"/>
      <w:ind w:firstLine="720"/>
    </w:pPr>
  </w:style>
  <w:style w:type="paragraph" w:styleId="BodyTextIndent3">
    <w:name w:val="Body Text Indent 3"/>
    <w:basedOn w:val="Normal"/>
    <w:link w:val="BodyTextIndent3Char"/>
    <w:rsid w:val="009138DC"/>
    <w:pPr>
      <w:spacing w:line="480" w:lineRule="atLeast"/>
      <w:ind w:firstLine="720"/>
    </w:pPr>
  </w:style>
  <w:style w:type="paragraph" w:styleId="BodyTextIndent2">
    <w:name w:val="Body Text Indent 2"/>
    <w:basedOn w:val="Normal"/>
    <w:rsid w:val="009138DC"/>
    <w:pPr>
      <w:tabs>
        <w:tab w:val="left" w:pos="720"/>
      </w:tabs>
      <w:spacing w:before="240" w:after="240"/>
      <w:ind w:left="1464" w:hanging="744"/>
    </w:pPr>
  </w:style>
  <w:style w:type="character" w:styleId="PageNumber">
    <w:name w:val="page number"/>
    <w:basedOn w:val="DefaultParagraphFont"/>
    <w:rsid w:val="009138DC"/>
  </w:style>
  <w:style w:type="paragraph" w:styleId="BodyText">
    <w:name w:val="Body Text"/>
    <w:basedOn w:val="Normal"/>
    <w:link w:val="BodyTextChar"/>
    <w:rsid w:val="009138DC"/>
    <w:pPr>
      <w:jc w:val="both"/>
    </w:pPr>
  </w:style>
  <w:style w:type="paragraph" w:styleId="BlockText">
    <w:name w:val="Block Text"/>
    <w:basedOn w:val="Normal"/>
    <w:rsid w:val="009138DC"/>
    <w:pPr>
      <w:ind w:left="1440" w:right="720"/>
    </w:pPr>
  </w:style>
  <w:style w:type="paragraph" w:styleId="EndnoteText">
    <w:name w:val="endnote text"/>
    <w:basedOn w:val="Normal"/>
    <w:semiHidden/>
    <w:rsid w:val="009138DC"/>
    <w:rPr>
      <w:sz w:val="20"/>
    </w:rPr>
  </w:style>
  <w:style w:type="character" w:styleId="EndnoteReference">
    <w:name w:val="endnote reference"/>
    <w:semiHidden/>
    <w:rsid w:val="009138DC"/>
    <w:rPr>
      <w:vertAlign w:val="superscript"/>
    </w:rPr>
  </w:style>
  <w:style w:type="paragraph" w:styleId="BodyText2">
    <w:name w:val="Body Text 2"/>
    <w:basedOn w:val="Normal"/>
    <w:rsid w:val="009138DC"/>
    <w:pPr>
      <w:spacing w:line="480" w:lineRule="auto"/>
      <w:ind w:right="1440"/>
    </w:pPr>
  </w:style>
  <w:style w:type="paragraph" w:styleId="Header">
    <w:name w:val="header"/>
    <w:basedOn w:val="Normal"/>
    <w:rsid w:val="009138DC"/>
    <w:pPr>
      <w:tabs>
        <w:tab w:val="center" w:pos="4320"/>
        <w:tab w:val="right" w:pos="8640"/>
      </w:tabs>
    </w:pPr>
  </w:style>
  <w:style w:type="paragraph" w:styleId="BalloonText">
    <w:name w:val="Balloon Text"/>
    <w:basedOn w:val="Normal"/>
    <w:semiHidden/>
    <w:rsid w:val="009138DC"/>
    <w:rPr>
      <w:rFonts w:ascii="Lucida Grande" w:hAnsi="Lucida Grande"/>
      <w:sz w:val="18"/>
      <w:szCs w:val="18"/>
    </w:rPr>
  </w:style>
  <w:style w:type="character" w:styleId="CommentReference">
    <w:name w:val="annotation reference"/>
    <w:semiHidden/>
    <w:rsid w:val="009138DC"/>
    <w:rPr>
      <w:sz w:val="18"/>
    </w:rPr>
  </w:style>
  <w:style w:type="paragraph" w:styleId="CommentText">
    <w:name w:val="annotation text"/>
    <w:basedOn w:val="Normal"/>
    <w:link w:val="CommentTextChar"/>
    <w:rsid w:val="009138DC"/>
    <w:rPr>
      <w:szCs w:val="24"/>
    </w:rPr>
  </w:style>
  <w:style w:type="paragraph" w:styleId="CommentSubject">
    <w:name w:val="annotation subject"/>
    <w:basedOn w:val="CommentText"/>
    <w:next w:val="CommentText"/>
    <w:semiHidden/>
    <w:rsid w:val="009138DC"/>
    <w:rPr>
      <w:szCs w:val="20"/>
    </w:rPr>
  </w:style>
  <w:style w:type="character" w:styleId="FollowedHyperlink">
    <w:name w:val="FollowedHyperlink"/>
    <w:rsid w:val="009138DC"/>
    <w:rPr>
      <w:color w:val="800080"/>
      <w:u w:val="single"/>
    </w:rPr>
  </w:style>
  <w:style w:type="character" w:customStyle="1" w:styleId="term1">
    <w:name w:val="term1"/>
    <w:rsid w:val="009138DC"/>
    <w:rPr>
      <w:b/>
      <w:bCs/>
    </w:rPr>
  </w:style>
  <w:style w:type="table" w:styleId="TableGrid">
    <w:name w:val="Table Grid"/>
    <w:basedOn w:val="TableNormal"/>
    <w:rsid w:val="00913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9138DC"/>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sid w:val="00FE7F0A"/>
    <w:rPr>
      <w:color w:val="605E5C"/>
      <w:shd w:val="clear" w:color="auto" w:fill="E1DFDD"/>
    </w:rPr>
  </w:style>
  <w:style w:type="character" w:customStyle="1" w:styleId="FooterChar">
    <w:name w:val="Footer Char"/>
    <w:basedOn w:val="DefaultParagraphFont"/>
    <w:link w:val="Footer"/>
    <w:uiPriority w:val="99"/>
    <w:rsid w:val="00FE7F0A"/>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
    <w:basedOn w:val="DefaultParagraphFont"/>
    <w:link w:val="FootnoteText"/>
    <w:uiPriority w:val="99"/>
    <w:rsid w:val="00E951E8"/>
  </w:style>
  <w:style w:type="character" w:customStyle="1" w:styleId="BodyTextIndent3Char">
    <w:name w:val="Body Text Indent 3 Char"/>
    <w:basedOn w:val="DefaultParagraphFont"/>
    <w:link w:val="BodyTextIndent3"/>
    <w:rsid w:val="00E951E8"/>
    <w:rPr>
      <w:sz w:val="24"/>
    </w:rPr>
  </w:style>
  <w:style w:type="character" w:customStyle="1" w:styleId="UnresolvedMention2">
    <w:name w:val="Unresolved Mention2"/>
    <w:basedOn w:val="DefaultParagraphFont"/>
    <w:uiPriority w:val="99"/>
    <w:semiHidden/>
    <w:unhideWhenUsed/>
    <w:rsid w:val="00D74569"/>
    <w:rPr>
      <w:color w:val="605E5C"/>
      <w:shd w:val="clear" w:color="auto" w:fill="E1DFDD"/>
    </w:rPr>
  </w:style>
  <w:style w:type="character" w:customStyle="1" w:styleId="HTMLPreformattedChar">
    <w:name w:val="HTML Preformatted Char"/>
    <w:basedOn w:val="DefaultParagraphFont"/>
    <w:link w:val="HTMLPreformatted"/>
    <w:rsid w:val="00841E5F"/>
    <w:rPr>
      <w:rFonts w:ascii="Courier New" w:eastAsia="Courier New" w:hAnsi="Courier New" w:cs="Courier New"/>
    </w:rPr>
  </w:style>
  <w:style w:type="character" w:customStyle="1" w:styleId="Heading1Char">
    <w:name w:val="Heading 1 Char"/>
    <w:basedOn w:val="DefaultParagraphFont"/>
    <w:link w:val="Heading1"/>
    <w:rsid w:val="00EF4251"/>
    <w:rPr>
      <w:b/>
      <w:sz w:val="24"/>
      <w:szCs w:val="24"/>
    </w:rPr>
  </w:style>
  <w:style w:type="paragraph" w:styleId="TOC1">
    <w:name w:val="toc 1"/>
    <w:basedOn w:val="Normal"/>
    <w:next w:val="Normal"/>
    <w:autoRedefine/>
    <w:uiPriority w:val="39"/>
    <w:unhideWhenUsed/>
    <w:rsid w:val="00DB1C53"/>
    <w:pPr>
      <w:tabs>
        <w:tab w:val="decimal" w:leader="dot" w:pos="9360"/>
      </w:tabs>
      <w:spacing w:after="240"/>
      <w:ind w:left="720" w:hanging="720"/>
    </w:pPr>
  </w:style>
  <w:style w:type="paragraph" w:styleId="TOC2">
    <w:name w:val="toc 2"/>
    <w:basedOn w:val="Normal"/>
    <w:next w:val="Normal"/>
    <w:autoRedefine/>
    <w:uiPriority w:val="39"/>
    <w:unhideWhenUsed/>
    <w:rsid w:val="00DB1C53"/>
    <w:pPr>
      <w:tabs>
        <w:tab w:val="left" w:pos="2126"/>
        <w:tab w:val="decimal" w:leader="dot" w:pos="9360"/>
      </w:tabs>
      <w:spacing w:after="240"/>
      <w:ind w:left="1440" w:hanging="720"/>
    </w:pPr>
  </w:style>
  <w:style w:type="character" w:customStyle="1" w:styleId="CommentTextChar">
    <w:name w:val="Comment Text Char"/>
    <w:basedOn w:val="DefaultParagraphFont"/>
    <w:link w:val="CommentText"/>
    <w:rsid w:val="00CD2C14"/>
    <w:rPr>
      <w:sz w:val="24"/>
      <w:szCs w:val="24"/>
    </w:rPr>
  </w:style>
  <w:style w:type="paragraph" w:customStyle="1" w:styleId="ANSWER">
    <w:name w:val="ANSWER"/>
    <w:basedOn w:val="Normal"/>
    <w:rsid w:val="00CD2C14"/>
    <w:pPr>
      <w:spacing w:line="480" w:lineRule="auto"/>
      <w:ind w:left="1008" w:hanging="720"/>
    </w:pPr>
  </w:style>
  <w:style w:type="paragraph" w:styleId="TOC3">
    <w:name w:val="toc 3"/>
    <w:basedOn w:val="Normal"/>
    <w:next w:val="Normal"/>
    <w:autoRedefine/>
    <w:uiPriority w:val="39"/>
    <w:unhideWhenUsed/>
    <w:qFormat/>
    <w:rsid w:val="00CD2C14"/>
    <w:pPr>
      <w:spacing w:after="240"/>
      <w:ind w:left="2160" w:hanging="720"/>
      <w:outlineLvl w:val="2"/>
    </w:pPr>
  </w:style>
  <w:style w:type="character" w:customStyle="1" w:styleId="UnresolvedMention3">
    <w:name w:val="Unresolved Mention3"/>
    <w:basedOn w:val="DefaultParagraphFont"/>
    <w:rsid w:val="00033389"/>
    <w:rPr>
      <w:color w:val="605E5C"/>
      <w:shd w:val="clear" w:color="auto" w:fill="E1DFDD"/>
    </w:rPr>
  </w:style>
  <w:style w:type="table" w:customStyle="1" w:styleId="TableGrid1">
    <w:name w:val="Table Grid1"/>
    <w:basedOn w:val="TableNormal"/>
    <w:next w:val="TableGrid"/>
    <w:uiPriority w:val="59"/>
    <w:rsid w:val="00FC44A5"/>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3">
    <w:name w:val="Footnote Text Char3"/>
    <w:aliases w:val="ALTS FOOTNOTE Char1,Footnote Text Char Char Char Char Char1,Footnote Text Char Char Char1,Footnote Text Char Char1,Footnote Text Char1 Char Char1 Char Char Char Char1,Footnote Text Char1 Char Char1 Char1,Footnote Text Char1 Char1"/>
    <w:uiPriority w:val="99"/>
    <w:locked/>
    <w:rsid w:val="00DC055C"/>
  </w:style>
  <w:style w:type="character" w:styleId="Strong">
    <w:name w:val="Strong"/>
    <w:basedOn w:val="DefaultParagraphFont"/>
    <w:uiPriority w:val="22"/>
    <w:qFormat/>
    <w:rsid w:val="00711C5C"/>
    <w:rPr>
      <w:b/>
      <w:bCs/>
    </w:rPr>
  </w:style>
  <w:style w:type="paragraph" w:styleId="ListParagraph">
    <w:name w:val="List Paragraph"/>
    <w:basedOn w:val="Normal"/>
    <w:uiPriority w:val="34"/>
    <w:rsid w:val="00375A86"/>
    <w:pPr>
      <w:ind w:left="720"/>
      <w:contextualSpacing/>
    </w:pPr>
    <w:rPr>
      <w:szCs w:val="24"/>
    </w:rPr>
  </w:style>
  <w:style w:type="paragraph" w:styleId="NoSpacing">
    <w:name w:val="No Spacing"/>
    <w:uiPriority w:val="1"/>
    <w:qFormat/>
    <w:rsid w:val="008C5690"/>
    <w:rPr>
      <w:rFonts w:asciiTheme="minorHAnsi" w:eastAsiaTheme="minorHAnsi" w:hAnsiTheme="minorHAnsi" w:cstheme="minorBidi"/>
      <w:sz w:val="22"/>
      <w:szCs w:val="22"/>
    </w:rPr>
  </w:style>
  <w:style w:type="paragraph" w:customStyle="1" w:styleId="DirectQuestion">
    <w:name w:val="Direct Question"/>
    <w:next w:val="Normal"/>
    <w:rsid w:val="00421C36"/>
    <w:pPr>
      <w:pBdr>
        <w:top w:val="nil"/>
        <w:left w:val="nil"/>
        <w:bottom w:val="nil"/>
        <w:right w:val="nil"/>
        <w:between w:val="nil"/>
        <w:bar w:val="nil"/>
      </w:pBdr>
      <w:tabs>
        <w:tab w:val="left" w:pos="1440"/>
      </w:tabs>
      <w:spacing w:line="480" w:lineRule="auto"/>
      <w:ind w:left="1440" w:hanging="1440"/>
    </w:pPr>
    <w:rPr>
      <w:rFonts w:eastAsia="Arial Unicode MS" w:hAnsi="Arial Unicode MS" w:cs="Arial Unicode MS"/>
      <w:b/>
      <w:bCs/>
      <w:i/>
      <w:iCs/>
      <w:caps/>
      <w:color w:val="000000"/>
      <w:sz w:val="24"/>
      <w:szCs w:val="24"/>
      <w:u w:color="000000"/>
      <w:bdr w:val="nil"/>
    </w:rPr>
  </w:style>
  <w:style w:type="paragraph" w:customStyle="1" w:styleId="DirectAnswer">
    <w:name w:val="Direct Answer"/>
    <w:next w:val="DirectNext"/>
    <w:rsid w:val="00421C36"/>
    <w:pPr>
      <w:pBdr>
        <w:top w:val="nil"/>
        <w:left w:val="nil"/>
        <w:bottom w:val="nil"/>
        <w:right w:val="nil"/>
        <w:between w:val="nil"/>
        <w:bar w:val="nil"/>
      </w:pBdr>
      <w:spacing w:line="480" w:lineRule="auto"/>
      <w:ind w:left="720" w:hanging="720"/>
    </w:pPr>
    <w:rPr>
      <w:rFonts w:eastAsia="Arial Unicode MS" w:hAnsi="Arial Unicode MS" w:cs="Arial Unicode MS"/>
      <w:color w:val="000000"/>
      <w:sz w:val="24"/>
      <w:szCs w:val="24"/>
      <w:u w:color="000000"/>
      <w:bdr w:val="nil"/>
    </w:rPr>
  </w:style>
  <w:style w:type="paragraph" w:customStyle="1" w:styleId="DirectNext">
    <w:name w:val="Direct Next"/>
    <w:rsid w:val="00421C36"/>
    <w:pPr>
      <w:pBdr>
        <w:top w:val="nil"/>
        <w:left w:val="nil"/>
        <w:bottom w:val="nil"/>
        <w:right w:val="nil"/>
        <w:between w:val="nil"/>
        <w:bar w:val="nil"/>
      </w:pBdr>
      <w:spacing w:line="504" w:lineRule="exact"/>
      <w:ind w:left="720"/>
    </w:pPr>
    <w:rPr>
      <w:rFonts w:eastAsia="Arial Unicode MS" w:hAnsi="Arial Unicode MS" w:cs="Arial Unicode MS"/>
      <w:color w:val="000000"/>
      <w:sz w:val="24"/>
      <w:szCs w:val="24"/>
      <w:u w:color="000000"/>
      <w:bdr w:val="nil"/>
    </w:rPr>
  </w:style>
  <w:style w:type="paragraph" w:customStyle="1" w:styleId="BodyA">
    <w:name w:val="Body A"/>
    <w:rsid w:val="003D0C51"/>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character" w:customStyle="1" w:styleId="sssh">
    <w:name w:val="ss_sh"/>
    <w:basedOn w:val="DefaultParagraphFont"/>
    <w:rsid w:val="0070618D"/>
  </w:style>
  <w:style w:type="character" w:customStyle="1" w:styleId="Heading4Char">
    <w:name w:val="Heading 4 Char"/>
    <w:basedOn w:val="DefaultParagraphFont"/>
    <w:link w:val="Heading4"/>
    <w:semiHidden/>
    <w:rsid w:val="00547A3B"/>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semiHidden/>
    <w:rsid w:val="00547A3B"/>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semiHidden/>
    <w:rsid w:val="00547A3B"/>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semiHidden/>
    <w:rsid w:val="00547A3B"/>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semiHidden/>
    <w:rsid w:val="00547A3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547A3B"/>
    <w:rPr>
      <w:rFonts w:asciiTheme="majorHAnsi" w:eastAsiaTheme="majorEastAsia" w:hAnsiTheme="majorHAnsi" w:cstheme="majorBidi"/>
      <w:i/>
      <w:iCs/>
      <w:color w:val="272727" w:themeColor="text1" w:themeTint="D8"/>
      <w:sz w:val="21"/>
      <w:szCs w:val="21"/>
    </w:rPr>
  </w:style>
  <w:style w:type="character" w:customStyle="1" w:styleId="BodyTextChar">
    <w:name w:val="Body Text Char"/>
    <w:basedOn w:val="DefaultParagraphFont"/>
    <w:link w:val="BodyText"/>
    <w:rsid w:val="006B5EC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robert.eubanks@Ohio" TargetMode="External" /><Relationship Id="rId11" Type="http://schemas.openxmlformats.org/officeDocument/2006/relationships/hyperlink" Target="mailto:patricia.schabo@puco.ohio.gov" TargetMode="External" /><Relationship Id="rId12" Type="http://schemas.openxmlformats.org/officeDocument/2006/relationships/hyperlink" Target="mailto:michael.schuler@aes.com" TargetMode="External" /><Relationship Id="rId13" Type="http://schemas.openxmlformats.org/officeDocument/2006/relationships/hyperlink" Target="mailto:jsharkey@ficlaw.com" TargetMode="External" /><Relationship Id="rId14" Type="http://schemas.openxmlformats.org/officeDocument/2006/relationships/hyperlink" Target="mailto:chollon@ficlaw.com" TargetMode="External" /><Relationship Id="rId15" Type="http://schemas.openxmlformats.org/officeDocument/2006/relationships/hyperlink" Target="mailto:bojko@carpenterlipps.com" TargetMode="External" /><Relationship Id="rId16" Type="http://schemas.openxmlformats.org/officeDocument/2006/relationships/hyperlink" Target="mailto:donadio@carpenterlipps.com" TargetMode="External" /><Relationship Id="rId17" Type="http://schemas.openxmlformats.org/officeDocument/2006/relationships/hyperlink" Target="mailto:paul@carpenterlipps.com" TargetMode="External" /><Relationship Id="rId18" Type="http://schemas.openxmlformats.org/officeDocument/2006/relationships/hyperlink" Target="mailto:wygonski@carpenterlipps.com" TargetMode="External" /><Relationship Id="rId19" Type="http://schemas.openxmlformats.org/officeDocument/2006/relationships/footer" Target="footer3.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yperlink" Target="mailto:ambrosia.wilson@occ.ohio.gov" TargetMode="External" /><Relationship Id="rId9" Type="http://schemas.openxmlformats.org/officeDocument/2006/relationships/hyperlink" Target="mailto:amy.botschner.obrien@occ.ohio.gov" TargetMode="External" /></Relationships>
</file>

<file path=word/_rels/footnotes.xml.rels>&#65279;<?xml version="1.0" encoding="utf-8" standalone="yes"?><Relationships xmlns="http://schemas.openxmlformats.org/package/2006/relationships"><Relationship Id="rId1" Type="http://schemas.openxmlformats.org/officeDocument/2006/relationships/hyperlink" Target="https://advance.lexis.com/api/document/collection/cases/id/4MFT-J0X0-TVW7-J31S-00000-00?page=392&amp;reporter=3352&amp;cite=111%20Ohio%20St.%203d%20384&amp;context=100051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32010-9BCA-479D-BF22-D55C2018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2021-06-21T21:06:49Z</dcterms:created>
  <dcterms:modified xsi:type="dcterms:W3CDTF">2021-06-21T21:06:49Z</dcterms:modified>
</cp:coreProperties>
</file>