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11" w:rsidRDefault="008C5511" w:rsidP="008C55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>BEFORE</w:t>
      </w:r>
    </w:p>
    <w:p w:rsidR="008C5511" w:rsidRDefault="008C5511" w:rsidP="008C55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THE PUBLIC UTILITIES COMMISSION OF OHIO</w:t>
      </w:r>
    </w:p>
    <w:p w:rsidR="008C5511" w:rsidRDefault="008C5511" w:rsidP="008C551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456"/>
        <w:gridCol w:w="3885"/>
      </w:tblGrid>
      <w:tr w:rsidR="008C5511" w:rsidTr="003D5F6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511" w:rsidRDefault="008C5511" w:rsidP="008C5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In the Matter of Eugene Hall, Notice of Apparent Violation and Intent to Assess Forfeiture.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511" w:rsidRDefault="00FE5958" w:rsidP="003D5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FE5958" w:rsidRDefault="00FE5958" w:rsidP="003D5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8C5511" w:rsidRDefault="00FE5958" w:rsidP="003D5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511" w:rsidRDefault="008C5511" w:rsidP="00FE5958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Case No.</w:t>
            </w:r>
            <w:r w:rsidR="00FE595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15-1533-TR-CVF</w:t>
            </w:r>
          </w:p>
          <w:p w:rsidR="008C5511" w:rsidRDefault="00FE5958" w:rsidP="00FE5958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8C5511">
              <w:rPr>
                <w:rFonts w:ascii="Times New Roman" w:eastAsia="Times New Roman" w:hAnsi="Times New Roman"/>
                <w:sz w:val="26"/>
                <w:szCs w:val="26"/>
              </w:rPr>
              <w:t>(OH3267009382D)</w:t>
            </w:r>
          </w:p>
        </w:tc>
      </w:tr>
    </w:tbl>
    <w:p w:rsidR="008C5511" w:rsidRDefault="008C5511" w:rsidP="008C5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</w:p>
    <w:p w:rsidR="008C5511" w:rsidRDefault="00FE5958" w:rsidP="008C5511">
      <w:pPr>
        <w:keepNext/>
        <w:tabs>
          <w:tab w:val="left" w:pos="9360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MOTION TO DISMISS</w:t>
      </w:r>
    </w:p>
    <w:p w:rsidR="00FE5958" w:rsidRDefault="00FE5958" w:rsidP="008C5511">
      <w:pPr>
        <w:keepNext/>
        <w:tabs>
          <w:tab w:val="left" w:pos="9360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SUBMITTED ON BEHALF OF THE STAFF OF</w:t>
      </w:r>
    </w:p>
    <w:p w:rsidR="00FE5958" w:rsidRDefault="00FE5958" w:rsidP="008C5511">
      <w:pPr>
        <w:keepNext/>
        <w:tabs>
          <w:tab w:val="left" w:pos="9360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THE PUBLIC UTILITIES COMMISSION OF OHIO</w:t>
      </w: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C5511" w:rsidRDefault="008C5511" w:rsidP="008C5511">
      <w:pPr>
        <w:spacing w:after="0" w:line="48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Pursuant to Rule 4901-1-12 of the Ohio Administrative Code</w:t>
      </w:r>
      <w:r w:rsidR="00F145FE">
        <w:rPr>
          <w:rFonts w:ascii="Times New Roman" w:eastAsia="Times New Roman" w:hAnsi="Times New Roman"/>
          <w:sz w:val="26"/>
          <w:szCs w:val="26"/>
        </w:rPr>
        <w:t xml:space="preserve"> O.A.C.</w:t>
      </w:r>
      <w:r>
        <w:rPr>
          <w:rFonts w:ascii="Times New Roman" w:eastAsia="Times New Roman" w:hAnsi="Times New Roman"/>
          <w:sz w:val="26"/>
          <w:szCs w:val="26"/>
        </w:rPr>
        <w:t xml:space="preserve">, the Staff of the Public Utilities Commission of Ohio (Staff) moves to dismiss this case for good cause shown in the memorandum in support below. 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Respectfully Submitted,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Michael DeWine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Attorney General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William L. Wright</w:t>
      </w:r>
      <w:r>
        <w:rPr>
          <w:rFonts w:ascii="Times New Roman" w:eastAsia="Times New Roman" w:hAnsi="Times New Roman"/>
          <w:sz w:val="26"/>
          <w:szCs w:val="26"/>
        </w:rPr>
        <w:t>, Section Chief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Public Utilities Section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Viner Hand ITC" w:eastAsia="Times New Roman" w:hAnsi="Viner Hand ITC"/>
          <w:sz w:val="28"/>
          <w:szCs w:val="28"/>
          <w:u w:val="single"/>
        </w:rPr>
      </w:pPr>
      <w:r>
        <w:rPr>
          <w:rFonts w:ascii="Viner Hand ITC" w:eastAsia="Times New Roman" w:hAnsi="Viner Hand ITC"/>
          <w:sz w:val="28"/>
          <w:szCs w:val="28"/>
          <w:u w:val="single"/>
        </w:rPr>
        <w:t>/s/ Katie L. Johnson</w:t>
      </w:r>
      <w:r>
        <w:rPr>
          <w:rFonts w:ascii="Viner Hand ITC" w:eastAsia="Times New Roman" w:hAnsi="Viner Hand ITC"/>
          <w:sz w:val="28"/>
          <w:szCs w:val="28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Katie L. Johnson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Assistant Attorney General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Public Utilities Section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180 East Broad Street, 6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/>
          <w:sz w:val="26"/>
          <w:szCs w:val="26"/>
        </w:rPr>
        <w:t xml:space="preserve"> Fl.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Columbus, Ohio  43215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614.644.8588 (telephone)</w:t>
      </w:r>
    </w:p>
    <w:p w:rsidR="008C5511" w:rsidRDefault="008C5511" w:rsidP="008C5511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614.644.8764 (fax)</w:t>
      </w:r>
    </w:p>
    <w:p w:rsidR="008C5511" w:rsidRDefault="00E15098" w:rsidP="008C5511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hyperlink r:id="rId6" w:history="1">
        <w:r w:rsidR="008C5511" w:rsidRPr="00896D01">
          <w:rPr>
            <w:rStyle w:val="Hyperlink"/>
            <w:rFonts w:ascii="Times New Roman" w:eastAsia="Times New Roman" w:hAnsi="Times New Roman"/>
            <w:sz w:val="26"/>
            <w:szCs w:val="26"/>
          </w:rPr>
          <w:t>katie.johnson@puc.state.oh.us</w:t>
        </w:r>
      </w:hyperlink>
    </w:p>
    <w:p w:rsidR="00FE5958" w:rsidRDefault="00FE5958" w:rsidP="008C5511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  <w:sectPr w:rsidR="00FE59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</w:p>
    <w:p w:rsidR="008C5511" w:rsidRDefault="008C5511" w:rsidP="008C5511">
      <w:pPr>
        <w:keepNext/>
        <w:tabs>
          <w:tab w:val="left" w:pos="9360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MEMORANDUM IN SUPPORT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C5511" w:rsidRDefault="008C5511" w:rsidP="008C551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ab/>
      </w:r>
    </w:p>
    <w:p w:rsidR="002F17A5" w:rsidRDefault="002F17A5" w:rsidP="002F17A5">
      <w:pPr>
        <w:spacing w:after="0" w:line="480" w:lineRule="auto"/>
        <w:ind w:firstLine="720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Pursuant to 4901:2-7-12, O.A.C.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, the Staff served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Eugene Hall (Respondent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>) with a Notice of Preliminary Determination regarding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an alleged violation of 49 C.F.R. 392.82(a)(1).  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>After a review of the facts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, 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>further investigation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,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and discussion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s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with the Ohio State Highway Patrol, Staff agrees with the Patrol that further prosecution of the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alleged 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violation is not warranted and that the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alleged </w:t>
      </w:r>
      <w:r w:rsidRPr="0085492E">
        <w:rPr>
          <w:rFonts w:ascii="Times New Roman" w:eastAsia="Times New Roman" w:hAnsi="Times New Roman"/>
          <w:bCs/>
          <w:color w:val="000000"/>
          <w:sz w:val="26"/>
          <w:szCs w:val="26"/>
        </w:rPr>
        <w:t>violation should be deleted.  Accordingly, the Staff requests that the Commission dismiss the alleged violation in this case and order it deleted from the Respondent’s record.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Respectfully Submitted,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Michael DeWine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Attorney General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William L. Wright</w:t>
      </w:r>
      <w:r>
        <w:rPr>
          <w:rFonts w:ascii="Times New Roman" w:eastAsia="Times New Roman" w:hAnsi="Times New Roman"/>
          <w:sz w:val="26"/>
          <w:szCs w:val="26"/>
        </w:rPr>
        <w:t>, Section Chief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Public Utilities Section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Viner Hand ITC" w:eastAsia="Times New Roman" w:hAnsi="Viner Hand ITC"/>
          <w:sz w:val="28"/>
          <w:szCs w:val="28"/>
          <w:u w:val="single"/>
        </w:rPr>
      </w:pPr>
      <w:r>
        <w:rPr>
          <w:rFonts w:ascii="Viner Hand ITC" w:eastAsia="Times New Roman" w:hAnsi="Viner Hand ITC"/>
          <w:sz w:val="28"/>
          <w:szCs w:val="28"/>
          <w:u w:val="single"/>
        </w:rPr>
        <w:t>/s/ Katie L. Johnson</w:t>
      </w:r>
      <w:r>
        <w:rPr>
          <w:rFonts w:ascii="Viner Hand ITC" w:eastAsia="Times New Roman" w:hAnsi="Viner Hand ITC"/>
          <w:sz w:val="28"/>
          <w:szCs w:val="28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Katie L. Johnson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Assistant Attorney General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Public Utilities Section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180 East Broad Street, 6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/>
          <w:sz w:val="26"/>
          <w:szCs w:val="26"/>
        </w:rPr>
        <w:t xml:space="preserve"> Fl.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Columbus, Ohio  43215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614.644.8588 (telephone)</w:t>
      </w:r>
    </w:p>
    <w:p w:rsidR="008C5511" w:rsidRDefault="008C5511" w:rsidP="008C5511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614.644.8764 (fax)</w:t>
      </w:r>
    </w:p>
    <w:p w:rsidR="00FE3BC9" w:rsidRDefault="00E15098" w:rsidP="006A2B4C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hyperlink r:id="rId7" w:history="1">
        <w:r w:rsidR="008C5511" w:rsidRPr="00896D01">
          <w:rPr>
            <w:rStyle w:val="Hyperlink"/>
            <w:rFonts w:ascii="Times New Roman" w:eastAsia="Times New Roman" w:hAnsi="Times New Roman"/>
            <w:sz w:val="26"/>
            <w:szCs w:val="26"/>
          </w:rPr>
          <w:t>katie.johnson@puc.state.oh.us</w:t>
        </w:r>
      </w:hyperlink>
    </w:p>
    <w:p w:rsidR="006A2B4C" w:rsidRDefault="006A2B4C" w:rsidP="006A2B4C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6A2B4C" w:rsidRPr="002330B5" w:rsidRDefault="006A2B4C" w:rsidP="006A2B4C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</w:p>
    <w:p w:rsidR="00FE5958" w:rsidRDefault="00FE5958" w:rsidP="008C551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br w:type="page"/>
      </w:r>
    </w:p>
    <w:p w:rsidR="008C5511" w:rsidRPr="00FE5958" w:rsidRDefault="008C5511" w:rsidP="00FE5958">
      <w:pPr>
        <w:pStyle w:val="Heading1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9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CERTIFICATE OF SERVICE</w:t>
      </w:r>
    </w:p>
    <w:p w:rsidR="008C5511" w:rsidRDefault="008C5511" w:rsidP="008C5511">
      <w:pPr>
        <w:pStyle w:val="text"/>
      </w:pPr>
      <w:r>
        <w:rPr>
          <w:szCs w:val="26"/>
        </w:rPr>
        <w:tab/>
        <w:t xml:space="preserve">I certify that a true copy of the </w:t>
      </w:r>
      <w:r w:rsidRPr="00966014">
        <w:rPr>
          <w:szCs w:val="26"/>
        </w:rPr>
        <w:t xml:space="preserve">Motion to Dismiss </w:t>
      </w:r>
      <w:r>
        <w:rPr>
          <w:szCs w:val="26"/>
        </w:rPr>
        <w:t xml:space="preserve">filed on behalf of the Staff of </w:t>
      </w:r>
      <w:r>
        <w:t xml:space="preserve">the Public Utilities Commission of Ohio was served </w:t>
      </w:r>
      <w:r w:rsidR="00F650A7">
        <w:t xml:space="preserve">via </w:t>
      </w:r>
      <w:r>
        <w:t>upon the fol</w:t>
      </w:r>
      <w:r w:rsidR="00F650A7">
        <w:t>lowing party</w:t>
      </w:r>
      <w:r>
        <w:t xml:space="preserve"> of record this </w:t>
      </w:r>
      <w:r w:rsidR="00206ECE" w:rsidRPr="00206ECE">
        <w:t>5th</w:t>
      </w:r>
      <w:r w:rsidR="00F650A7">
        <w:t xml:space="preserve"> day of October, 2015</w:t>
      </w:r>
      <w:r>
        <w:t>.</w:t>
      </w:r>
    </w:p>
    <w:p w:rsidR="008C5511" w:rsidRDefault="008C5511" w:rsidP="008C5511">
      <w:pPr>
        <w:spacing w:after="0" w:line="240" w:lineRule="auto"/>
        <w:ind w:left="3600" w:right="720"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Viner Hand ITC" w:eastAsia="Times New Roman" w:hAnsi="Viner Hand ITC"/>
          <w:sz w:val="28"/>
          <w:szCs w:val="28"/>
          <w:u w:val="single"/>
        </w:rPr>
      </w:pPr>
      <w:r>
        <w:rPr>
          <w:rFonts w:ascii="Viner Hand ITC" w:eastAsia="Times New Roman" w:hAnsi="Viner Hand ITC"/>
          <w:sz w:val="28"/>
          <w:szCs w:val="28"/>
          <w:u w:val="single"/>
        </w:rPr>
        <w:t>/s/ Katie L. Johnson</w:t>
      </w:r>
      <w:r>
        <w:rPr>
          <w:rFonts w:ascii="Viner Hand ITC" w:eastAsia="Times New Roman" w:hAnsi="Viner Hand ITC"/>
          <w:sz w:val="28"/>
          <w:szCs w:val="28"/>
          <w:u w:val="single"/>
        </w:rPr>
        <w:tab/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Katie L. Johnson </w:t>
      </w:r>
    </w:p>
    <w:p w:rsidR="008C5511" w:rsidRDefault="008C5511" w:rsidP="008C5511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Assistant Attorney General</w:t>
      </w:r>
    </w:p>
    <w:p w:rsidR="008C5511" w:rsidRDefault="008C5511" w:rsidP="008C5511">
      <w:pPr>
        <w:spacing w:after="0" w:line="48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spacing w:after="0" w:line="48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8C5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Parties of Record:</w:t>
      </w:r>
    </w:p>
    <w:p w:rsidR="008C5511" w:rsidRDefault="008C5511" w:rsidP="008C5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C5511" w:rsidRDefault="008C5511" w:rsidP="00F650A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Mr. </w:t>
      </w:r>
      <w:r w:rsidR="00F650A7">
        <w:rPr>
          <w:rFonts w:ascii="Times New Roman" w:eastAsia="Times New Roman" w:hAnsi="Times New Roman"/>
          <w:sz w:val="26"/>
          <w:szCs w:val="26"/>
        </w:rPr>
        <w:t>Paul Newton</w:t>
      </w:r>
    </w:p>
    <w:p w:rsidR="00F650A7" w:rsidRDefault="00F650A7" w:rsidP="00F650A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498 Commercial Drive</w:t>
      </w:r>
    </w:p>
    <w:p w:rsidR="008C5511" w:rsidRDefault="00F650A7" w:rsidP="00206ECE">
      <w:pPr>
        <w:spacing w:after="0" w:line="240" w:lineRule="auto"/>
      </w:pPr>
      <w:r>
        <w:rPr>
          <w:rFonts w:ascii="Times New Roman" w:eastAsia="Times New Roman" w:hAnsi="Times New Roman"/>
          <w:sz w:val="26"/>
          <w:szCs w:val="26"/>
        </w:rPr>
        <w:lastRenderedPageBreak/>
        <w:t>Fairfield, OH 45014</w:t>
      </w:r>
    </w:p>
    <w:p w:rsidR="00206ECE" w:rsidRPr="00206ECE" w:rsidRDefault="00206ECE" w:rsidP="00206E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6ECE">
        <w:rPr>
          <w:rFonts w:ascii="Times New Roman" w:hAnsi="Times New Roman"/>
          <w:sz w:val="26"/>
          <w:szCs w:val="26"/>
        </w:rPr>
        <w:t>newtonp@relayexpress.com</w:t>
      </w:r>
    </w:p>
    <w:p w:rsidR="005C7FE7" w:rsidRDefault="00E15098"/>
    <w:sectPr w:rsidR="005C7FE7" w:rsidSect="00E15098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11" w:rsidRDefault="008C5511" w:rsidP="008C5511">
      <w:pPr>
        <w:spacing w:after="0" w:line="240" w:lineRule="auto"/>
      </w:pPr>
      <w:r>
        <w:separator/>
      </w:r>
    </w:p>
  </w:endnote>
  <w:endnote w:type="continuationSeparator" w:id="0">
    <w:p w:rsidR="008C5511" w:rsidRDefault="008C5511" w:rsidP="008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07177"/>
      <w:docPartObj>
        <w:docPartGallery w:val="Page Numbers (Bottom of Page)"/>
        <w:docPartUnique/>
      </w:docPartObj>
    </w:sdtPr>
    <w:sdtEndPr>
      <w:rPr>
        <w:rFonts w:ascii="Times New Roman" w:eastAsia="BatangChe" w:hAnsi="Times New Roman"/>
        <w:noProof/>
        <w:sz w:val="24"/>
        <w:szCs w:val="24"/>
      </w:rPr>
    </w:sdtEndPr>
    <w:sdtContent>
      <w:p w:rsidR="00E15098" w:rsidRPr="00E15098" w:rsidRDefault="00E15098" w:rsidP="00E15098">
        <w:pPr>
          <w:pStyle w:val="Footer"/>
          <w:jc w:val="center"/>
          <w:rPr>
            <w:rFonts w:ascii="Times New Roman" w:eastAsia="BatangChe" w:hAnsi="Times New Roman"/>
            <w:sz w:val="24"/>
            <w:szCs w:val="24"/>
          </w:rPr>
        </w:pPr>
        <w:r w:rsidRPr="00E15098">
          <w:rPr>
            <w:rFonts w:ascii="Times New Roman" w:eastAsia="BatangChe" w:hAnsi="Times New Roman"/>
            <w:sz w:val="24"/>
            <w:szCs w:val="24"/>
          </w:rPr>
          <w:fldChar w:fldCharType="begin"/>
        </w:r>
        <w:r w:rsidRPr="00E15098">
          <w:rPr>
            <w:rFonts w:ascii="Times New Roman" w:eastAsia="BatangChe" w:hAnsi="Times New Roman"/>
            <w:sz w:val="24"/>
            <w:szCs w:val="24"/>
          </w:rPr>
          <w:instrText xml:space="preserve"> PAGE   \* MERGEFORMAT </w:instrText>
        </w:r>
        <w:r w:rsidRPr="00E15098">
          <w:rPr>
            <w:rFonts w:ascii="Times New Roman" w:eastAsia="BatangChe" w:hAnsi="Times New Roman"/>
            <w:sz w:val="24"/>
            <w:szCs w:val="24"/>
          </w:rPr>
          <w:fldChar w:fldCharType="separate"/>
        </w:r>
        <w:r>
          <w:rPr>
            <w:rFonts w:ascii="Times New Roman" w:eastAsia="BatangChe" w:hAnsi="Times New Roman"/>
            <w:noProof/>
            <w:sz w:val="24"/>
            <w:szCs w:val="24"/>
          </w:rPr>
          <w:t>2</w:t>
        </w:r>
        <w:r w:rsidRPr="00E15098">
          <w:rPr>
            <w:rFonts w:ascii="Times New Roman" w:eastAsia="BatangChe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98" w:rsidRDefault="00E1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11" w:rsidRDefault="008C5511" w:rsidP="008C5511">
      <w:pPr>
        <w:spacing w:after="0" w:line="240" w:lineRule="auto"/>
      </w:pPr>
      <w:r>
        <w:separator/>
      </w:r>
    </w:p>
  </w:footnote>
  <w:footnote w:type="continuationSeparator" w:id="0">
    <w:p w:rsidR="008C5511" w:rsidRDefault="008C5511" w:rsidP="008C5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11"/>
    <w:rsid w:val="00203937"/>
    <w:rsid w:val="00206ECE"/>
    <w:rsid w:val="002F17A5"/>
    <w:rsid w:val="0037456A"/>
    <w:rsid w:val="003B57EF"/>
    <w:rsid w:val="0053669C"/>
    <w:rsid w:val="00575E7A"/>
    <w:rsid w:val="006A2B4C"/>
    <w:rsid w:val="008C5511"/>
    <w:rsid w:val="00C779D0"/>
    <w:rsid w:val="00E15098"/>
    <w:rsid w:val="00F0728F"/>
    <w:rsid w:val="00F145FE"/>
    <w:rsid w:val="00F650A7"/>
    <w:rsid w:val="00FE3BC9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7329-CD1E-457D-810D-2AF4904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1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rsid w:val="008C5511"/>
    <w:pPr>
      <w:spacing w:after="0" w:line="480" w:lineRule="auto"/>
    </w:pPr>
    <w:rPr>
      <w:rFonts w:ascii="Times New Roman" w:eastAsia="Times New Roman" w:hAnsi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8C551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5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51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E5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tie.johnson@puc.state.oh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e.johnson@puc.state.oh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Katherine</dc:creator>
  <cp:keywords/>
  <dc:description/>
  <cp:lastModifiedBy>Keeton, Kim</cp:lastModifiedBy>
  <cp:revision>3</cp:revision>
  <dcterms:created xsi:type="dcterms:W3CDTF">2015-10-05T13:53:00Z</dcterms:created>
  <dcterms:modified xsi:type="dcterms:W3CDTF">2015-10-05T13:54:00Z</dcterms:modified>
</cp:coreProperties>
</file>