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D0DDF" w14:textId="77777777" w:rsidR="004E796C" w:rsidRPr="004E796C" w:rsidRDefault="004E796C" w:rsidP="004E796C">
      <w:pPr>
        <w:spacing w:after="0"/>
        <w:jc w:val="center"/>
        <w:rPr>
          <w:rFonts w:ascii="Arial" w:eastAsia="Calibri" w:hAnsi="Arial" w:cs="Arial"/>
          <w:b/>
        </w:rPr>
      </w:pPr>
      <w:r w:rsidRPr="004E796C">
        <w:rPr>
          <w:rFonts w:ascii="Arial" w:eastAsia="Calibri" w:hAnsi="Arial" w:cs="Arial"/>
          <w:b/>
        </w:rPr>
        <w:t>BEFORE THE</w:t>
      </w:r>
    </w:p>
    <w:p w14:paraId="0BFA0A84" w14:textId="77777777" w:rsidR="004E796C" w:rsidRPr="004E796C" w:rsidRDefault="004E796C" w:rsidP="004E796C">
      <w:pPr>
        <w:tabs>
          <w:tab w:val="center" w:pos="4682"/>
          <w:tab w:val="left" w:pos="8625"/>
        </w:tabs>
        <w:jc w:val="center"/>
        <w:rPr>
          <w:rFonts w:ascii="Arial" w:eastAsia="Calibri" w:hAnsi="Arial" w:cs="Arial"/>
          <w:b/>
        </w:rPr>
      </w:pPr>
      <w:r w:rsidRPr="004E796C">
        <w:rPr>
          <w:rFonts w:ascii="Arial" w:eastAsia="Calibri" w:hAnsi="Arial" w:cs="Arial"/>
          <w:b/>
        </w:rPr>
        <w:t>PUBLIC UTILITIES COMMISSION OF OHIO</w:t>
      </w:r>
    </w:p>
    <w:p w14:paraId="12723004" w14:textId="77777777" w:rsidR="004E796C" w:rsidRPr="004E796C" w:rsidRDefault="004E796C" w:rsidP="004E796C">
      <w:pPr>
        <w:spacing w:after="0"/>
        <w:rPr>
          <w:rFonts w:ascii="Arial" w:eastAsia="Calibri"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720"/>
        <w:gridCol w:w="4140"/>
      </w:tblGrid>
      <w:tr w:rsidR="004E796C" w:rsidRPr="004E796C" w14:paraId="65332B69" w14:textId="77777777" w:rsidTr="00027DFF">
        <w:tc>
          <w:tcPr>
            <w:tcW w:w="4428" w:type="dxa"/>
          </w:tcPr>
          <w:p w14:paraId="41A8B68F" w14:textId="77777777" w:rsidR="004E796C" w:rsidRPr="004E796C" w:rsidRDefault="004E796C" w:rsidP="004E796C">
            <w:pPr>
              <w:spacing w:after="0"/>
              <w:rPr>
                <w:rFonts w:ascii="Arial" w:eastAsia="Calibri" w:hAnsi="Arial" w:cs="Arial"/>
              </w:rPr>
            </w:pPr>
            <w:r w:rsidRPr="004E796C">
              <w:rPr>
                <w:rFonts w:ascii="Arial" w:eastAsia="Calibri" w:hAnsi="Arial" w:cs="Arial"/>
              </w:rPr>
              <w:t>In the Matter of the Application of The Dayton Power &amp; Light Company for Approval of Its Electric Security Plan.</w:t>
            </w:r>
          </w:p>
        </w:tc>
        <w:tc>
          <w:tcPr>
            <w:tcW w:w="720" w:type="dxa"/>
          </w:tcPr>
          <w:p w14:paraId="00707321" w14:textId="77777777" w:rsidR="004E796C" w:rsidRPr="004E796C" w:rsidRDefault="004E796C" w:rsidP="004E796C">
            <w:pPr>
              <w:spacing w:after="0"/>
              <w:rPr>
                <w:rFonts w:ascii="Arial" w:eastAsia="Calibri" w:hAnsi="Arial" w:cs="Arial"/>
              </w:rPr>
            </w:pPr>
            <w:r w:rsidRPr="004E796C">
              <w:rPr>
                <w:rFonts w:ascii="Arial" w:eastAsia="Calibri" w:hAnsi="Arial" w:cs="Arial"/>
              </w:rPr>
              <w:t>)</w:t>
            </w:r>
          </w:p>
          <w:p w14:paraId="74FD7108" w14:textId="77777777" w:rsidR="004E796C" w:rsidRPr="004E796C" w:rsidRDefault="004E796C" w:rsidP="004E796C">
            <w:pPr>
              <w:spacing w:after="0"/>
              <w:rPr>
                <w:rFonts w:ascii="Arial" w:eastAsia="Calibri" w:hAnsi="Arial" w:cs="Arial"/>
              </w:rPr>
            </w:pPr>
            <w:r w:rsidRPr="004E796C">
              <w:rPr>
                <w:rFonts w:ascii="Arial" w:eastAsia="Calibri" w:hAnsi="Arial" w:cs="Arial"/>
              </w:rPr>
              <w:t>)</w:t>
            </w:r>
          </w:p>
          <w:p w14:paraId="39E63B04" w14:textId="77777777" w:rsidR="004E796C" w:rsidRPr="004E796C" w:rsidRDefault="004E796C" w:rsidP="004E796C">
            <w:pPr>
              <w:spacing w:after="0"/>
              <w:rPr>
                <w:rFonts w:ascii="Arial" w:eastAsia="Calibri" w:hAnsi="Arial" w:cs="Arial"/>
              </w:rPr>
            </w:pPr>
            <w:r w:rsidRPr="004E796C">
              <w:rPr>
                <w:rFonts w:ascii="Arial" w:eastAsia="Calibri" w:hAnsi="Arial" w:cs="Arial"/>
              </w:rPr>
              <w:t>)</w:t>
            </w:r>
          </w:p>
        </w:tc>
        <w:tc>
          <w:tcPr>
            <w:tcW w:w="4140" w:type="dxa"/>
          </w:tcPr>
          <w:p w14:paraId="5072D840" w14:textId="77777777" w:rsidR="004E796C" w:rsidRPr="004E796C" w:rsidRDefault="004E796C" w:rsidP="004E796C">
            <w:pPr>
              <w:spacing w:after="0"/>
              <w:rPr>
                <w:rFonts w:ascii="Arial" w:eastAsia="Calibri" w:hAnsi="Arial" w:cs="Arial"/>
              </w:rPr>
            </w:pPr>
          </w:p>
          <w:p w14:paraId="60DEFA3F" w14:textId="77777777" w:rsidR="004E796C" w:rsidRPr="004E796C" w:rsidRDefault="004E796C" w:rsidP="004E796C">
            <w:pPr>
              <w:spacing w:after="0"/>
              <w:rPr>
                <w:rFonts w:ascii="Arial" w:eastAsia="Calibri" w:hAnsi="Arial" w:cs="Arial"/>
              </w:rPr>
            </w:pPr>
            <w:r w:rsidRPr="004E796C">
              <w:rPr>
                <w:rFonts w:ascii="Arial" w:eastAsia="Calibri" w:hAnsi="Arial" w:cs="Arial"/>
              </w:rPr>
              <w:t>Case No. 16-0395-EL-SSO</w:t>
            </w:r>
          </w:p>
        </w:tc>
      </w:tr>
      <w:tr w:rsidR="004E796C" w:rsidRPr="004E796C" w14:paraId="47055CBE" w14:textId="77777777" w:rsidTr="00027DFF">
        <w:tc>
          <w:tcPr>
            <w:tcW w:w="4428" w:type="dxa"/>
          </w:tcPr>
          <w:p w14:paraId="771543E4" w14:textId="77777777" w:rsidR="004E796C" w:rsidRPr="004E796C" w:rsidRDefault="004E796C" w:rsidP="004E796C">
            <w:pPr>
              <w:spacing w:after="0"/>
              <w:rPr>
                <w:rFonts w:ascii="Arial" w:eastAsia="Calibri" w:hAnsi="Arial" w:cs="Arial"/>
              </w:rPr>
            </w:pPr>
          </w:p>
        </w:tc>
        <w:tc>
          <w:tcPr>
            <w:tcW w:w="720" w:type="dxa"/>
          </w:tcPr>
          <w:p w14:paraId="05DA7F7D" w14:textId="77777777" w:rsidR="004E796C" w:rsidRPr="004E796C" w:rsidRDefault="004E796C" w:rsidP="004E796C">
            <w:pPr>
              <w:spacing w:after="0"/>
              <w:rPr>
                <w:rFonts w:ascii="Arial" w:eastAsia="Calibri" w:hAnsi="Arial" w:cs="Arial"/>
              </w:rPr>
            </w:pPr>
          </w:p>
        </w:tc>
        <w:tc>
          <w:tcPr>
            <w:tcW w:w="4140" w:type="dxa"/>
          </w:tcPr>
          <w:p w14:paraId="2A59830D" w14:textId="77777777" w:rsidR="004E796C" w:rsidRPr="004E796C" w:rsidRDefault="004E796C" w:rsidP="004E796C">
            <w:pPr>
              <w:spacing w:after="0"/>
              <w:rPr>
                <w:rFonts w:ascii="Arial" w:eastAsia="Calibri" w:hAnsi="Arial" w:cs="Arial"/>
              </w:rPr>
            </w:pPr>
          </w:p>
        </w:tc>
      </w:tr>
      <w:tr w:rsidR="004E796C" w:rsidRPr="004E796C" w14:paraId="03D4A06C" w14:textId="77777777" w:rsidTr="00027DFF">
        <w:tc>
          <w:tcPr>
            <w:tcW w:w="4428" w:type="dxa"/>
          </w:tcPr>
          <w:p w14:paraId="33C3C8C1" w14:textId="77777777" w:rsidR="004E796C" w:rsidRPr="004E796C" w:rsidRDefault="004E796C" w:rsidP="004E796C">
            <w:pPr>
              <w:spacing w:after="0"/>
              <w:rPr>
                <w:rFonts w:ascii="Arial" w:eastAsia="Calibri" w:hAnsi="Arial" w:cs="Arial"/>
              </w:rPr>
            </w:pPr>
            <w:r w:rsidRPr="004E796C">
              <w:rPr>
                <w:rFonts w:ascii="Arial" w:eastAsia="Calibri" w:hAnsi="Arial" w:cs="Arial"/>
              </w:rPr>
              <w:t>In the Matter of the Application of The Dayton Power &amp; Light Company for Approval of Revised Tariffs.</w:t>
            </w:r>
          </w:p>
        </w:tc>
        <w:tc>
          <w:tcPr>
            <w:tcW w:w="720" w:type="dxa"/>
          </w:tcPr>
          <w:p w14:paraId="78F964E2" w14:textId="77777777" w:rsidR="004E796C" w:rsidRPr="004E796C" w:rsidRDefault="004E796C" w:rsidP="004E796C">
            <w:pPr>
              <w:spacing w:after="0"/>
              <w:rPr>
                <w:rFonts w:ascii="Arial" w:eastAsia="Calibri" w:hAnsi="Arial" w:cs="Arial"/>
              </w:rPr>
            </w:pPr>
            <w:r w:rsidRPr="004E796C">
              <w:rPr>
                <w:rFonts w:ascii="Arial" w:eastAsia="Calibri" w:hAnsi="Arial" w:cs="Arial"/>
              </w:rPr>
              <w:t>)</w:t>
            </w:r>
          </w:p>
          <w:p w14:paraId="12A02AF7" w14:textId="77777777" w:rsidR="004E796C" w:rsidRPr="004E796C" w:rsidRDefault="004E796C" w:rsidP="004E796C">
            <w:pPr>
              <w:spacing w:after="0"/>
              <w:rPr>
                <w:rFonts w:ascii="Arial" w:eastAsia="Calibri" w:hAnsi="Arial" w:cs="Arial"/>
              </w:rPr>
            </w:pPr>
            <w:r w:rsidRPr="004E796C">
              <w:rPr>
                <w:rFonts w:ascii="Arial" w:eastAsia="Calibri" w:hAnsi="Arial" w:cs="Arial"/>
              </w:rPr>
              <w:t>)</w:t>
            </w:r>
          </w:p>
          <w:p w14:paraId="259CF8C2" w14:textId="77777777" w:rsidR="004E796C" w:rsidRPr="004E796C" w:rsidRDefault="004E796C" w:rsidP="004E796C">
            <w:pPr>
              <w:spacing w:after="0"/>
              <w:rPr>
                <w:rFonts w:ascii="Arial" w:eastAsia="Calibri" w:hAnsi="Arial" w:cs="Arial"/>
              </w:rPr>
            </w:pPr>
            <w:r w:rsidRPr="004E796C">
              <w:rPr>
                <w:rFonts w:ascii="Arial" w:eastAsia="Calibri" w:hAnsi="Arial" w:cs="Arial"/>
              </w:rPr>
              <w:t>)</w:t>
            </w:r>
          </w:p>
        </w:tc>
        <w:tc>
          <w:tcPr>
            <w:tcW w:w="4140" w:type="dxa"/>
          </w:tcPr>
          <w:p w14:paraId="11FFF8B4" w14:textId="77777777" w:rsidR="004E796C" w:rsidRPr="004E796C" w:rsidRDefault="004E796C" w:rsidP="004E796C">
            <w:pPr>
              <w:spacing w:after="0"/>
              <w:rPr>
                <w:rFonts w:ascii="Arial" w:eastAsia="Calibri" w:hAnsi="Arial" w:cs="Arial"/>
              </w:rPr>
            </w:pPr>
          </w:p>
          <w:p w14:paraId="23F4DD25" w14:textId="77777777" w:rsidR="004E796C" w:rsidRPr="004E796C" w:rsidRDefault="004E796C" w:rsidP="004E796C">
            <w:pPr>
              <w:spacing w:after="0"/>
              <w:rPr>
                <w:rFonts w:ascii="Arial" w:eastAsia="Calibri" w:hAnsi="Arial" w:cs="Arial"/>
              </w:rPr>
            </w:pPr>
            <w:r w:rsidRPr="004E796C">
              <w:rPr>
                <w:rFonts w:ascii="Arial" w:eastAsia="Calibri" w:hAnsi="Arial" w:cs="Arial"/>
              </w:rPr>
              <w:t>Case No. 16-0396-EL-ATA</w:t>
            </w:r>
          </w:p>
        </w:tc>
      </w:tr>
      <w:tr w:rsidR="004E796C" w:rsidRPr="004E796C" w14:paraId="35D9EC37" w14:textId="77777777" w:rsidTr="00027DFF">
        <w:tc>
          <w:tcPr>
            <w:tcW w:w="4428" w:type="dxa"/>
          </w:tcPr>
          <w:p w14:paraId="0F1B09C2" w14:textId="77777777" w:rsidR="004E796C" w:rsidRPr="004E796C" w:rsidRDefault="004E796C" w:rsidP="004E796C">
            <w:pPr>
              <w:spacing w:after="0"/>
              <w:rPr>
                <w:rFonts w:ascii="Arial" w:eastAsia="Calibri" w:hAnsi="Arial" w:cs="Arial"/>
              </w:rPr>
            </w:pPr>
          </w:p>
        </w:tc>
        <w:tc>
          <w:tcPr>
            <w:tcW w:w="720" w:type="dxa"/>
          </w:tcPr>
          <w:p w14:paraId="1B5205A3" w14:textId="77777777" w:rsidR="004E796C" w:rsidRPr="004E796C" w:rsidRDefault="004E796C" w:rsidP="004E796C">
            <w:pPr>
              <w:spacing w:after="0"/>
              <w:rPr>
                <w:rFonts w:ascii="Arial" w:eastAsia="Calibri" w:hAnsi="Arial" w:cs="Arial"/>
              </w:rPr>
            </w:pPr>
          </w:p>
        </w:tc>
        <w:tc>
          <w:tcPr>
            <w:tcW w:w="4140" w:type="dxa"/>
          </w:tcPr>
          <w:p w14:paraId="34AEED7F" w14:textId="77777777" w:rsidR="004E796C" w:rsidRPr="004E796C" w:rsidRDefault="004E796C" w:rsidP="004E796C">
            <w:pPr>
              <w:spacing w:after="0"/>
              <w:rPr>
                <w:rFonts w:ascii="Arial" w:eastAsia="Calibri" w:hAnsi="Arial" w:cs="Arial"/>
              </w:rPr>
            </w:pPr>
          </w:p>
        </w:tc>
      </w:tr>
      <w:tr w:rsidR="004E796C" w:rsidRPr="004E796C" w14:paraId="72D3E2AF" w14:textId="77777777" w:rsidTr="00027DFF">
        <w:tc>
          <w:tcPr>
            <w:tcW w:w="4428" w:type="dxa"/>
          </w:tcPr>
          <w:p w14:paraId="0447D3F9" w14:textId="77777777" w:rsidR="004E796C" w:rsidRPr="004E796C" w:rsidRDefault="004E796C" w:rsidP="004E796C">
            <w:pPr>
              <w:spacing w:after="0"/>
              <w:rPr>
                <w:rFonts w:ascii="Arial" w:eastAsia="Calibri" w:hAnsi="Arial" w:cs="Arial"/>
              </w:rPr>
            </w:pPr>
            <w:r w:rsidRPr="004E796C">
              <w:rPr>
                <w:rFonts w:ascii="Arial" w:eastAsia="Calibri" w:hAnsi="Arial" w:cs="Arial"/>
              </w:rPr>
              <w:t>In the Matter of the Application of The Dayton Power &amp; Light Company for Approval of Certain Accounting Authority Pursuant to Ohio Rev. Code § 4905.13.</w:t>
            </w:r>
          </w:p>
        </w:tc>
        <w:tc>
          <w:tcPr>
            <w:tcW w:w="720" w:type="dxa"/>
          </w:tcPr>
          <w:p w14:paraId="529BB0B4" w14:textId="77777777" w:rsidR="004E796C" w:rsidRPr="004E796C" w:rsidRDefault="004E796C" w:rsidP="004E796C">
            <w:pPr>
              <w:spacing w:after="0"/>
              <w:rPr>
                <w:rFonts w:ascii="Arial" w:eastAsia="Calibri" w:hAnsi="Arial" w:cs="Arial"/>
              </w:rPr>
            </w:pPr>
            <w:r w:rsidRPr="004E796C">
              <w:rPr>
                <w:rFonts w:ascii="Arial" w:eastAsia="Calibri" w:hAnsi="Arial" w:cs="Arial"/>
              </w:rPr>
              <w:t>)</w:t>
            </w:r>
          </w:p>
          <w:p w14:paraId="39D6BA8A" w14:textId="77777777" w:rsidR="004E796C" w:rsidRPr="004E796C" w:rsidRDefault="004E796C" w:rsidP="004E796C">
            <w:pPr>
              <w:spacing w:after="0"/>
              <w:rPr>
                <w:rFonts w:ascii="Arial" w:eastAsia="Calibri" w:hAnsi="Arial" w:cs="Arial"/>
              </w:rPr>
            </w:pPr>
            <w:r w:rsidRPr="004E796C">
              <w:rPr>
                <w:rFonts w:ascii="Arial" w:eastAsia="Calibri" w:hAnsi="Arial" w:cs="Arial"/>
              </w:rPr>
              <w:t>)</w:t>
            </w:r>
          </w:p>
          <w:p w14:paraId="7DBF0F1B" w14:textId="77777777" w:rsidR="004E796C" w:rsidRPr="004E796C" w:rsidRDefault="004E796C" w:rsidP="004E796C">
            <w:pPr>
              <w:spacing w:after="0"/>
              <w:rPr>
                <w:rFonts w:ascii="Arial" w:eastAsia="Calibri" w:hAnsi="Arial" w:cs="Arial"/>
              </w:rPr>
            </w:pPr>
            <w:r w:rsidRPr="004E796C">
              <w:rPr>
                <w:rFonts w:ascii="Arial" w:eastAsia="Calibri" w:hAnsi="Arial" w:cs="Arial"/>
              </w:rPr>
              <w:t>)</w:t>
            </w:r>
          </w:p>
          <w:p w14:paraId="25B369E2" w14:textId="77777777" w:rsidR="004E796C" w:rsidRPr="004E796C" w:rsidRDefault="004E796C" w:rsidP="004E796C">
            <w:pPr>
              <w:spacing w:after="0"/>
              <w:rPr>
                <w:rFonts w:ascii="Arial" w:eastAsia="Calibri" w:hAnsi="Arial" w:cs="Arial"/>
              </w:rPr>
            </w:pPr>
            <w:r w:rsidRPr="004E796C">
              <w:rPr>
                <w:rFonts w:ascii="Arial" w:eastAsia="Calibri" w:hAnsi="Arial" w:cs="Arial"/>
              </w:rPr>
              <w:t>)</w:t>
            </w:r>
          </w:p>
          <w:p w14:paraId="6EF1CC4E" w14:textId="77777777" w:rsidR="004E796C" w:rsidRPr="004E796C" w:rsidRDefault="004E796C" w:rsidP="004E796C">
            <w:pPr>
              <w:spacing w:after="0"/>
              <w:rPr>
                <w:rFonts w:ascii="Arial" w:eastAsia="Calibri" w:hAnsi="Arial" w:cs="Arial"/>
              </w:rPr>
            </w:pPr>
            <w:r w:rsidRPr="004E796C">
              <w:rPr>
                <w:rFonts w:ascii="Arial" w:eastAsia="Calibri" w:hAnsi="Arial" w:cs="Arial"/>
              </w:rPr>
              <w:t>)</w:t>
            </w:r>
          </w:p>
        </w:tc>
        <w:tc>
          <w:tcPr>
            <w:tcW w:w="4140" w:type="dxa"/>
          </w:tcPr>
          <w:p w14:paraId="4D37B7EF" w14:textId="77777777" w:rsidR="004E796C" w:rsidRPr="004E796C" w:rsidRDefault="004E796C" w:rsidP="004E796C">
            <w:pPr>
              <w:spacing w:after="0"/>
              <w:rPr>
                <w:rFonts w:ascii="Arial" w:eastAsia="Calibri" w:hAnsi="Arial" w:cs="Arial"/>
              </w:rPr>
            </w:pPr>
          </w:p>
          <w:p w14:paraId="6D981F5E" w14:textId="77777777" w:rsidR="004E796C" w:rsidRPr="004E796C" w:rsidRDefault="004E796C" w:rsidP="004E796C">
            <w:pPr>
              <w:spacing w:after="0"/>
              <w:rPr>
                <w:rFonts w:ascii="Arial" w:eastAsia="Calibri" w:hAnsi="Arial" w:cs="Arial"/>
              </w:rPr>
            </w:pPr>
          </w:p>
          <w:p w14:paraId="7FF8474A" w14:textId="77777777" w:rsidR="004E796C" w:rsidRPr="004E796C" w:rsidRDefault="004E796C" w:rsidP="004E796C">
            <w:pPr>
              <w:spacing w:after="0"/>
              <w:rPr>
                <w:rFonts w:ascii="Arial" w:eastAsia="Calibri" w:hAnsi="Arial" w:cs="Arial"/>
              </w:rPr>
            </w:pPr>
            <w:r w:rsidRPr="004E796C">
              <w:rPr>
                <w:rFonts w:ascii="Arial" w:eastAsia="Calibri" w:hAnsi="Arial" w:cs="Arial"/>
              </w:rPr>
              <w:t>Case No. 16-0397-EL-AAM</w:t>
            </w:r>
          </w:p>
        </w:tc>
      </w:tr>
    </w:tbl>
    <w:p w14:paraId="45AC36B4" w14:textId="77777777" w:rsidR="004E796C" w:rsidRPr="004E796C" w:rsidRDefault="004E796C" w:rsidP="004E796C">
      <w:pPr>
        <w:spacing w:after="0"/>
        <w:rPr>
          <w:rFonts w:ascii="Arial" w:eastAsia="Calibri" w:hAnsi="Arial" w:cs="Arial"/>
        </w:rPr>
      </w:pPr>
    </w:p>
    <w:p w14:paraId="7ABB7D37" w14:textId="77777777" w:rsidR="004E796C" w:rsidRPr="004E796C" w:rsidRDefault="004E796C" w:rsidP="004E796C">
      <w:pPr>
        <w:spacing w:after="0"/>
        <w:rPr>
          <w:rFonts w:ascii="Arial" w:eastAsia="Calibri" w:hAnsi="Arial" w:cs="Arial"/>
        </w:rPr>
      </w:pP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4E796C" w:rsidRPr="004E796C" w14:paraId="5BA78E0F" w14:textId="77777777" w:rsidTr="00027DFF">
        <w:tc>
          <w:tcPr>
            <w:tcW w:w="9288" w:type="dxa"/>
          </w:tcPr>
          <w:p w14:paraId="05BFA16B" w14:textId="77777777" w:rsidR="004E796C" w:rsidRPr="004E796C" w:rsidRDefault="004E796C" w:rsidP="004E796C">
            <w:pPr>
              <w:spacing w:after="0"/>
              <w:jc w:val="center"/>
              <w:rPr>
                <w:rFonts w:ascii="Arial" w:eastAsia="Calibri" w:hAnsi="Arial" w:cs="Arial"/>
                <w:b/>
              </w:rPr>
            </w:pPr>
          </w:p>
          <w:p w14:paraId="23A031DB" w14:textId="77777777" w:rsidR="004E796C" w:rsidRPr="004E796C" w:rsidRDefault="004E796C" w:rsidP="004E796C">
            <w:pPr>
              <w:spacing w:after="0"/>
              <w:jc w:val="center"/>
              <w:rPr>
                <w:rFonts w:ascii="Arial" w:eastAsia="Calibri" w:hAnsi="Arial" w:cs="Arial"/>
                <w:b/>
              </w:rPr>
            </w:pPr>
            <w:r w:rsidRPr="004E796C">
              <w:rPr>
                <w:rFonts w:ascii="Arial" w:eastAsia="Calibri" w:hAnsi="Arial" w:cs="Arial"/>
                <w:b/>
              </w:rPr>
              <w:t>SUPPLEMENTAL BRIEF OF</w:t>
            </w:r>
          </w:p>
          <w:p w14:paraId="53A569F0" w14:textId="77777777" w:rsidR="004E796C" w:rsidRDefault="004E796C" w:rsidP="004E796C">
            <w:pPr>
              <w:spacing w:after="0"/>
              <w:jc w:val="center"/>
              <w:rPr>
                <w:rFonts w:ascii="Arial" w:eastAsia="Calibri" w:hAnsi="Arial" w:cs="Arial"/>
                <w:b/>
              </w:rPr>
            </w:pPr>
            <w:r w:rsidRPr="004E796C">
              <w:rPr>
                <w:rFonts w:ascii="Arial" w:eastAsia="Calibri" w:hAnsi="Arial" w:cs="Arial"/>
                <w:b/>
              </w:rPr>
              <w:t xml:space="preserve">INTERSTATE GAS SUPPLY, INC. </w:t>
            </w:r>
          </w:p>
          <w:p w14:paraId="0BDDEBB1" w14:textId="77777777" w:rsidR="004E796C" w:rsidRPr="004E796C" w:rsidRDefault="004E796C" w:rsidP="004E796C">
            <w:pPr>
              <w:spacing w:after="0"/>
              <w:jc w:val="center"/>
              <w:rPr>
                <w:rFonts w:ascii="Arial" w:eastAsia="Calibri" w:hAnsi="Arial" w:cs="Arial"/>
                <w:b/>
              </w:rPr>
            </w:pPr>
          </w:p>
        </w:tc>
      </w:tr>
    </w:tbl>
    <w:p w14:paraId="4601CE75" w14:textId="77777777" w:rsidR="004E796C" w:rsidRPr="004E796C" w:rsidRDefault="004E796C" w:rsidP="004E796C">
      <w:pPr>
        <w:spacing w:after="0"/>
        <w:jc w:val="center"/>
        <w:rPr>
          <w:rFonts w:ascii="Arial" w:eastAsia="Calibri" w:hAnsi="Arial" w:cs="Arial"/>
          <w:b/>
        </w:rPr>
      </w:pPr>
    </w:p>
    <w:p w14:paraId="4E5A45C1" w14:textId="77777777" w:rsidR="004E796C" w:rsidRPr="004E796C" w:rsidRDefault="004E796C" w:rsidP="004E796C">
      <w:pPr>
        <w:spacing w:after="0"/>
        <w:jc w:val="center"/>
        <w:rPr>
          <w:rFonts w:ascii="Arial" w:eastAsia="Calibri" w:hAnsi="Arial" w:cs="Arial"/>
          <w:b/>
        </w:rPr>
      </w:pPr>
    </w:p>
    <w:p w14:paraId="7832E27D" w14:textId="77777777" w:rsidR="004E796C" w:rsidRDefault="004E796C" w:rsidP="004E796C">
      <w:pPr>
        <w:spacing w:after="0"/>
        <w:jc w:val="center"/>
        <w:rPr>
          <w:rFonts w:ascii="Arial" w:eastAsia="Calibri" w:hAnsi="Arial" w:cs="Arial"/>
          <w:b/>
        </w:rPr>
      </w:pPr>
    </w:p>
    <w:p w14:paraId="5327CC65" w14:textId="77777777" w:rsidR="004E796C" w:rsidRDefault="004E796C" w:rsidP="004E796C">
      <w:pPr>
        <w:spacing w:after="0"/>
        <w:jc w:val="center"/>
        <w:rPr>
          <w:rFonts w:ascii="Arial" w:eastAsia="Calibri" w:hAnsi="Arial" w:cs="Arial"/>
          <w:b/>
        </w:rPr>
      </w:pPr>
    </w:p>
    <w:p w14:paraId="38D9299D" w14:textId="77777777" w:rsidR="004E796C" w:rsidRDefault="004E796C" w:rsidP="004E796C">
      <w:pPr>
        <w:spacing w:after="0"/>
        <w:jc w:val="center"/>
        <w:rPr>
          <w:rFonts w:ascii="Arial" w:eastAsia="Calibri" w:hAnsi="Arial" w:cs="Arial"/>
          <w:b/>
        </w:rPr>
      </w:pPr>
    </w:p>
    <w:p w14:paraId="7E1E4D97" w14:textId="77777777" w:rsidR="004E796C" w:rsidRPr="004E796C" w:rsidRDefault="004E796C" w:rsidP="004E796C">
      <w:pPr>
        <w:spacing w:after="0"/>
        <w:jc w:val="center"/>
        <w:rPr>
          <w:rFonts w:ascii="Arial" w:eastAsia="Calibri" w:hAnsi="Arial" w:cs="Arial"/>
          <w:b/>
        </w:rPr>
      </w:pPr>
    </w:p>
    <w:p w14:paraId="6B9386B9" w14:textId="77777777" w:rsidR="004E796C" w:rsidRPr="004E796C" w:rsidRDefault="004E796C" w:rsidP="004E796C">
      <w:pPr>
        <w:spacing w:after="0"/>
        <w:ind w:left="4320" w:firstLine="720"/>
        <w:rPr>
          <w:rFonts w:ascii="Arial" w:eastAsia="Arial" w:hAnsi="Arial" w:cs="Arial"/>
        </w:rPr>
      </w:pPr>
      <w:r w:rsidRPr="004E796C">
        <w:rPr>
          <w:rFonts w:ascii="Arial" w:eastAsia="Arial" w:hAnsi="Arial" w:cs="Arial"/>
        </w:rPr>
        <w:t xml:space="preserve"> </w:t>
      </w:r>
    </w:p>
    <w:p w14:paraId="15A46491" w14:textId="77777777" w:rsidR="004E796C" w:rsidRPr="004E796C" w:rsidRDefault="004E796C" w:rsidP="004E796C">
      <w:pPr>
        <w:spacing w:after="0"/>
        <w:ind w:left="5040"/>
        <w:rPr>
          <w:rFonts w:ascii="Arial" w:eastAsia="Calibri" w:hAnsi="Arial" w:cs="Arial"/>
        </w:rPr>
      </w:pPr>
      <w:r w:rsidRPr="004E796C">
        <w:rPr>
          <w:rFonts w:ascii="Arial" w:eastAsia="Calibri" w:hAnsi="Arial" w:cs="Arial"/>
        </w:rPr>
        <w:t>Joseph Oliker (0086088)</w:t>
      </w:r>
    </w:p>
    <w:p w14:paraId="5EB2BDCE" w14:textId="77777777" w:rsidR="004E796C" w:rsidRPr="004E796C" w:rsidRDefault="004E796C" w:rsidP="004E796C">
      <w:pPr>
        <w:spacing w:after="0"/>
        <w:ind w:left="5040"/>
        <w:rPr>
          <w:rFonts w:ascii="Arial" w:eastAsia="Calibri" w:hAnsi="Arial" w:cs="Arial"/>
        </w:rPr>
      </w:pPr>
      <w:r w:rsidRPr="004E796C">
        <w:rPr>
          <w:rFonts w:ascii="Arial" w:eastAsia="Calibri" w:hAnsi="Arial" w:cs="Arial"/>
        </w:rPr>
        <w:t>Counsel of Record</w:t>
      </w:r>
    </w:p>
    <w:p w14:paraId="0A286B58" w14:textId="77777777" w:rsidR="004E796C" w:rsidRPr="004E796C" w:rsidRDefault="0011224C" w:rsidP="004E796C">
      <w:pPr>
        <w:spacing w:after="0"/>
        <w:ind w:left="5040"/>
        <w:rPr>
          <w:rFonts w:ascii="Arial" w:eastAsia="Calibri" w:hAnsi="Arial" w:cs="Arial"/>
        </w:rPr>
      </w:pPr>
      <w:hyperlink r:id="rId11" w:history="1">
        <w:r w:rsidR="004E796C" w:rsidRPr="004E796C">
          <w:rPr>
            <w:rFonts w:ascii="Arial" w:eastAsia="Calibri" w:hAnsi="Arial" w:cs="Arial"/>
          </w:rPr>
          <w:t>joliker@igsenergy.com</w:t>
        </w:r>
      </w:hyperlink>
    </w:p>
    <w:p w14:paraId="4BAACAD6" w14:textId="77777777" w:rsidR="004E796C" w:rsidRPr="004E796C" w:rsidRDefault="004E796C" w:rsidP="004E796C">
      <w:pPr>
        <w:spacing w:after="0"/>
        <w:ind w:left="5040"/>
        <w:rPr>
          <w:rFonts w:ascii="Arial" w:eastAsia="Calibri" w:hAnsi="Arial" w:cs="Arial"/>
        </w:rPr>
      </w:pPr>
      <w:r w:rsidRPr="004E796C">
        <w:rPr>
          <w:rFonts w:ascii="Arial" w:eastAsia="Calibri" w:hAnsi="Arial" w:cs="Arial"/>
        </w:rPr>
        <w:t>Michael Nugent (0090408)</w:t>
      </w:r>
    </w:p>
    <w:p w14:paraId="72345299" w14:textId="77777777" w:rsidR="004E796C" w:rsidRPr="004E796C" w:rsidRDefault="004E796C" w:rsidP="004E796C">
      <w:pPr>
        <w:spacing w:after="0"/>
        <w:ind w:left="5040"/>
        <w:rPr>
          <w:rFonts w:ascii="Arial" w:eastAsia="Calibri" w:hAnsi="Arial" w:cs="Arial"/>
        </w:rPr>
      </w:pPr>
      <w:r w:rsidRPr="004E796C">
        <w:rPr>
          <w:rFonts w:ascii="Arial" w:eastAsia="Calibri" w:hAnsi="Arial" w:cs="Arial"/>
        </w:rPr>
        <w:t>Mnugent@igsenergy.com</w:t>
      </w:r>
    </w:p>
    <w:p w14:paraId="5C51B622" w14:textId="77777777" w:rsidR="004E796C" w:rsidRPr="004E796C" w:rsidRDefault="004E796C" w:rsidP="004E796C">
      <w:pPr>
        <w:spacing w:after="0"/>
        <w:ind w:left="5040"/>
        <w:rPr>
          <w:rFonts w:ascii="Arial" w:eastAsia="Calibri" w:hAnsi="Arial" w:cs="Arial"/>
        </w:rPr>
      </w:pPr>
      <w:r w:rsidRPr="004E796C">
        <w:rPr>
          <w:rFonts w:ascii="Arial" w:eastAsia="Calibri" w:hAnsi="Arial" w:cs="Arial"/>
        </w:rPr>
        <w:t>IGS Energy</w:t>
      </w:r>
    </w:p>
    <w:p w14:paraId="45C52E9D" w14:textId="77777777" w:rsidR="004E796C" w:rsidRPr="004E796C" w:rsidRDefault="004E796C" w:rsidP="004E796C">
      <w:pPr>
        <w:spacing w:after="0"/>
        <w:ind w:left="5040"/>
        <w:rPr>
          <w:rFonts w:ascii="Arial" w:eastAsia="Calibri" w:hAnsi="Arial" w:cs="Arial"/>
        </w:rPr>
      </w:pPr>
      <w:r w:rsidRPr="004E796C">
        <w:rPr>
          <w:rFonts w:ascii="Arial" w:eastAsia="Calibri" w:hAnsi="Arial" w:cs="Arial"/>
        </w:rPr>
        <w:t>6100 Emerald Parkway</w:t>
      </w:r>
    </w:p>
    <w:p w14:paraId="389A04F8" w14:textId="77777777" w:rsidR="004E796C" w:rsidRPr="004E796C" w:rsidRDefault="004E796C" w:rsidP="004E796C">
      <w:pPr>
        <w:spacing w:after="0"/>
        <w:ind w:left="5040"/>
        <w:rPr>
          <w:rFonts w:ascii="Arial" w:eastAsia="Calibri" w:hAnsi="Arial" w:cs="Arial"/>
        </w:rPr>
      </w:pPr>
      <w:r w:rsidRPr="004E796C">
        <w:rPr>
          <w:rFonts w:ascii="Arial" w:eastAsia="Calibri" w:hAnsi="Arial" w:cs="Arial"/>
        </w:rPr>
        <w:t>Dublin, Ohio 43016</w:t>
      </w:r>
    </w:p>
    <w:p w14:paraId="07BD5FF6" w14:textId="77777777" w:rsidR="004E796C" w:rsidRPr="004E796C" w:rsidRDefault="004E796C" w:rsidP="004E796C">
      <w:pPr>
        <w:spacing w:after="0"/>
        <w:ind w:left="5040"/>
        <w:rPr>
          <w:rFonts w:ascii="Arial" w:eastAsia="Calibri" w:hAnsi="Arial" w:cs="Arial"/>
        </w:rPr>
      </w:pPr>
      <w:r w:rsidRPr="004E796C">
        <w:rPr>
          <w:rFonts w:ascii="Arial" w:eastAsia="Calibri" w:hAnsi="Arial" w:cs="Arial"/>
        </w:rPr>
        <w:t>Telephone:</w:t>
      </w:r>
      <w:r w:rsidRPr="004E796C">
        <w:rPr>
          <w:rFonts w:ascii="Arial" w:eastAsia="Calibri" w:hAnsi="Arial" w:cs="Arial"/>
        </w:rPr>
        <w:tab/>
        <w:t>(614) 659-5000</w:t>
      </w:r>
    </w:p>
    <w:p w14:paraId="071706E2" w14:textId="77777777" w:rsidR="004E796C" w:rsidRPr="004E796C" w:rsidRDefault="004E796C" w:rsidP="004E796C">
      <w:pPr>
        <w:spacing w:after="0"/>
        <w:ind w:left="5040"/>
        <w:rPr>
          <w:rFonts w:ascii="Arial" w:eastAsia="Calibri" w:hAnsi="Arial" w:cs="Arial"/>
        </w:rPr>
      </w:pPr>
    </w:p>
    <w:p w14:paraId="196FCD84" w14:textId="77777777" w:rsidR="004E796C" w:rsidRPr="004E796C" w:rsidRDefault="004E796C" w:rsidP="004E796C">
      <w:pPr>
        <w:spacing w:after="0"/>
        <w:ind w:left="5040"/>
        <w:rPr>
          <w:rFonts w:ascii="Arial" w:eastAsia="Calibri" w:hAnsi="Arial" w:cs="Arial"/>
          <w:b/>
          <w:i/>
        </w:rPr>
      </w:pPr>
      <w:r w:rsidRPr="004E796C">
        <w:rPr>
          <w:rFonts w:ascii="Arial" w:eastAsia="Calibri" w:hAnsi="Arial" w:cs="Arial"/>
          <w:b/>
          <w:i/>
        </w:rPr>
        <w:t>Attorneys for IGS Energy</w:t>
      </w:r>
    </w:p>
    <w:p w14:paraId="712C0A61" w14:textId="77777777" w:rsidR="004E796C" w:rsidRPr="004E796C" w:rsidRDefault="004E796C" w:rsidP="004E796C">
      <w:pPr>
        <w:spacing w:after="0"/>
        <w:jc w:val="center"/>
        <w:rPr>
          <w:rFonts w:ascii="Arial" w:eastAsia="Calibri" w:hAnsi="Arial" w:cs="Arial"/>
          <w:b/>
        </w:rPr>
      </w:pPr>
    </w:p>
    <w:p w14:paraId="41972BBE" w14:textId="77777777" w:rsidR="004E796C" w:rsidRPr="004E796C" w:rsidRDefault="004E796C" w:rsidP="004E796C">
      <w:pPr>
        <w:spacing w:after="0"/>
        <w:rPr>
          <w:rFonts w:ascii="Arial" w:eastAsia="Calibri" w:hAnsi="Arial" w:cs="Arial"/>
          <w:b/>
        </w:rPr>
      </w:pPr>
    </w:p>
    <w:p w14:paraId="5F75DF47" w14:textId="77777777" w:rsidR="004E796C" w:rsidRPr="004E796C" w:rsidRDefault="004E796C" w:rsidP="004E796C">
      <w:pPr>
        <w:spacing w:after="0"/>
        <w:rPr>
          <w:rFonts w:ascii="Arial" w:eastAsia="Calibri" w:hAnsi="Arial" w:cs="Arial"/>
          <w:b/>
        </w:rPr>
      </w:pPr>
    </w:p>
    <w:p w14:paraId="48039D08" w14:textId="77152902" w:rsidR="00226949" w:rsidRDefault="006F717E" w:rsidP="00226949">
      <w:pPr>
        <w:spacing w:after="0" w:line="480" w:lineRule="auto"/>
        <w:ind w:firstLine="720"/>
        <w:jc w:val="both"/>
        <w:rPr>
          <w:rFonts w:ascii="Arial" w:hAnsi="Arial" w:cs="Arial"/>
          <w:b/>
        </w:rPr>
      </w:pPr>
      <w:r>
        <w:rPr>
          <w:rFonts w:ascii="Arial" w:hAnsi="Arial" w:cs="Arial"/>
          <w:b/>
        </w:rPr>
        <w:t>August 1, 2019</w:t>
      </w:r>
    </w:p>
    <w:p w14:paraId="5C16A589" w14:textId="77777777" w:rsidR="00F012E4" w:rsidRPr="00774DB9" w:rsidRDefault="00F012E4" w:rsidP="00F012E4">
      <w:pPr>
        <w:widowControl w:val="0"/>
        <w:spacing w:after="0"/>
        <w:jc w:val="center"/>
        <w:rPr>
          <w:b/>
          <w:bCs/>
          <w:u w:val="single"/>
        </w:rPr>
      </w:pPr>
      <w:bookmarkStart w:id="0" w:name="_Hlk524355073"/>
      <w:bookmarkStart w:id="1" w:name="_Hlk15553625"/>
      <w:r w:rsidRPr="00774DB9">
        <w:rPr>
          <w:b/>
          <w:bCs/>
          <w:u w:val="single"/>
        </w:rPr>
        <w:lastRenderedPageBreak/>
        <w:t>TABLE OF CONTENTS</w:t>
      </w:r>
    </w:p>
    <w:p w14:paraId="6BD957ED" w14:textId="77777777" w:rsidR="00F012E4" w:rsidRPr="00774DB9" w:rsidRDefault="00F012E4" w:rsidP="00F012E4">
      <w:pPr>
        <w:widowControl w:val="0"/>
        <w:spacing w:after="0"/>
        <w:jc w:val="center"/>
        <w:rPr>
          <w:b/>
          <w:bCs/>
          <w:u w:val="single"/>
        </w:rPr>
      </w:pPr>
      <w:r w:rsidRPr="00774DB9">
        <w:rPr>
          <w:b/>
          <w:bCs/>
        </w:rPr>
        <w:tab/>
      </w:r>
      <w:r w:rsidRPr="00774DB9">
        <w:rPr>
          <w:b/>
          <w:bCs/>
        </w:rPr>
        <w:tab/>
      </w:r>
      <w:r w:rsidRPr="00774DB9">
        <w:rPr>
          <w:b/>
          <w:bCs/>
        </w:rPr>
        <w:tab/>
      </w:r>
      <w:r w:rsidRPr="00774DB9">
        <w:rPr>
          <w:b/>
          <w:bCs/>
        </w:rPr>
        <w:tab/>
      </w:r>
      <w:r w:rsidRPr="00774DB9">
        <w:rPr>
          <w:b/>
          <w:bCs/>
        </w:rPr>
        <w:tab/>
      </w:r>
      <w:r w:rsidRPr="00774DB9">
        <w:rPr>
          <w:b/>
          <w:bCs/>
        </w:rPr>
        <w:tab/>
      </w:r>
      <w:r w:rsidRPr="00774DB9">
        <w:rPr>
          <w:b/>
          <w:bCs/>
        </w:rPr>
        <w:tab/>
      </w:r>
      <w:r w:rsidRPr="00774DB9">
        <w:rPr>
          <w:b/>
          <w:bCs/>
        </w:rPr>
        <w:tab/>
      </w:r>
      <w:r w:rsidRPr="00774DB9">
        <w:rPr>
          <w:b/>
          <w:bCs/>
        </w:rPr>
        <w:tab/>
      </w:r>
      <w:r w:rsidRPr="00774DB9">
        <w:rPr>
          <w:b/>
          <w:bCs/>
        </w:rPr>
        <w:tab/>
      </w:r>
      <w:r>
        <w:rPr>
          <w:b/>
          <w:bCs/>
        </w:rPr>
        <w:tab/>
      </w:r>
      <w:r>
        <w:rPr>
          <w:b/>
          <w:bCs/>
        </w:rPr>
        <w:tab/>
      </w:r>
      <w:r w:rsidRPr="00774DB9">
        <w:rPr>
          <w:b/>
          <w:bCs/>
          <w:u w:val="single"/>
        </w:rPr>
        <w:t>PAGE</w:t>
      </w:r>
    </w:p>
    <w:p w14:paraId="0C0F132A" w14:textId="77777777" w:rsidR="00F012E4" w:rsidRPr="00774DB9" w:rsidRDefault="00F012E4" w:rsidP="00F012E4">
      <w:pPr>
        <w:pStyle w:val="Level1"/>
        <w:rPr>
          <w:rFonts w:ascii="Arial" w:hAnsi="Arial" w:cs="Arial"/>
          <w:webHidden/>
        </w:rPr>
      </w:pPr>
    </w:p>
    <w:p w14:paraId="395EF3AC" w14:textId="77777777" w:rsidR="00F012E4" w:rsidRPr="00774DB9" w:rsidRDefault="00F012E4" w:rsidP="00957782">
      <w:pPr>
        <w:pStyle w:val="Level1"/>
        <w:numPr>
          <w:ilvl w:val="0"/>
          <w:numId w:val="14"/>
        </w:numPr>
        <w:tabs>
          <w:tab w:val="clear" w:pos="8630"/>
          <w:tab w:val="left" w:leader="dot" w:pos="9000"/>
        </w:tabs>
        <w:rPr>
          <w:rFonts w:ascii="Arial" w:hAnsi="Arial" w:cs="Arial"/>
        </w:rPr>
      </w:pPr>
      <w:r w:rsidRPr="00774DB9">
        <w:rPr>
          <w:rFonts w:ascii="Arial" w:eastAsia="Arial" w:hAnsi="Arial" w:cs="Arial"/>
          <w:caps w:val="0"/>
          <w:webHidden/>
        </w:rPr>
        <w:t xml:space="preserve">INTRODUCTION </w:t>
      </w:r>
      <w:r w:rsidRPr="00774DB9">
        <w:rPr>
          <w:rFonts w:ascii="Arial" w:hAnsi="Arial" w:cs="Arial"/>
          <w:caps w:val="0"/>
          <w:webHidden/>
        </w:rPr>
        <w:tab/>
      </w:r>
      <w:r>
        <w:rPr>
          <w:rFonts w:ascii="Arial" w:hAnsi="Arial" w:cs="Arial"/>
          <w:caps w:val="0"/>
          <w:webHidden/>
        </w:rPr>
        <w:t>3</w:t>
      </w:r>
    </w:p>
    <w:p w14:paraId="0AB6D6EB" w14:textId="77777777" w:rsidR="00F012E4" w:rsidRPr="00774DB9" w:rsidRDefault="00F012E4" w:rsidP="00957782">
      <w:pPr>
        <w:pStyle w:val="Level1"/>
        <w:numPr>
          <w:ilvl w:val="0"/>
          <w:numId w:val="14"/>
        </w:numPr>
        <w:tabs>
          <w:tab w:val="clear" w:pos="8630"/>
          <w:tab w:val="left" w:leader="dot" w:pos="9000"/>
        </w:tabs>
        <w:rPr>
          <w:rFonts w:ascii="Arial" w:hAnsi="Arial" w:cs="Arial"/>
          <w:webHidden/>
        </w:rPr>
      </w:pPr>
      <w:r>
        <w:rPr>
          <w:rFonts w:ascii="Arial" w:hAnsi="Arial" w:cs="Arial"/>
          <w:webHidden/>
        </w:rPr>
        <w:t>Background</w:t>
      </w:r>
      <w:r w:rsidRPr="00774DB9">
        <w:rPr>
          <w:rFonts w:ascii="Arial" w:hAnsi="Arial" w:cs="Arial"/>
          <w:webHidden/>
        </w:rPr>
        <w:tab/>
      </w:r>
      <w:r>
        <w:rPr>
          <w:rFonts w:ascii="Arial" w:hAnsi="Arial" w:cs="Arial"/>
          <w:webHidden/>
        </w:rPr>
        <w:t>4</w:t>
      </w:r>
    </w:p>
    <w:p w14:paraId="235FA926" w14:textId="77777777" w:rsidR="00F012E4" w:rsidRPr="00774DB9" w:rsidRDefault="00F012E4" w:rsidP="00957782">
      <w:pPr>
        <w:pStyle w:val="Level1"/>
        <w:numPr>
          <w:ilvl w:val="1"/>
          <w:numId w:val="14"/>
        </w:numPr>
        <w:tabs>
          <w:tab w:val="clear" w:pos="8630"/>
          <w:tab w:val="left" w:leader="dot" w:pos="9000"/>
        </w:tabs>
        <w:rPr>
          <w:rFonts w:ascii="Arial" w:hAnsi="Arial" w:cs="Arial"/>
          <w:webHidden/>
        </w:rPr>
      </w:pPr>
      <w:r>
        <w:rPr>
          <w:rFonts w:ascii="Arial" w:hAnsi="Arial" w:cs="Arial"/>
          <w:caps w:val="0"/>
          <w:webHidden/>
        </w:rPr>
        <w:t xml:space="preserve">The Nearly Identical Distribution Modernization Riders </w:t>
      </w:r>
      <w:r w:rsidRPr="00774DB9">
        <w:rPr>
          <w:rFonts w:ascii="Arial" w:hAnsi="Arial" w:cs="Arial"/>
          <w:webHidden/>
        </w:rPr>
        <w:tab/>
      </w:r>
      <w:r>
        <w:rPr>
          <w:rFonts w:ascii="Arial" w:hAnsi="Arial" w:cs="Arial"/>
          <w:webHidden/>
        </w:rPr>
        <w:t>4</w:t>
      </w:r>
    </w:p>
    <w:bookmarkEnd w:id="0"/>
    <w:p w14:paraId="27E8DDFD" w14:textId="77777777" w:rsidR="00F012E4" w:rsidRPr="005672E7" w:rsidRDefault="00F012E4" w:rsidP="00957782">
      <w:pPr>
        <w:pStyle w:val="Level1"/>
        <w:numPr>
          <w:ilvl w:val="1"/>
          <w:numId w:val="14"/>
        </w:numPr>
        <w:tabs>
          <w:tab w:val="clear" w:pos="8630"/>
          <w:tab w:val="left" w:leader="dot" w:pos="9000"/>
        </w:tabs>
        <w:ind w:right="810"/>
        <w:rPr>
          <w:rFonts w:ascii="Arial" w:hAnsi="Arial" w:cs="Arial"/>
          <w:caps w:val="0"/>
        </w:rPr>
      </w:pPr>
      <w:r>
        <w:rPr>
          <w:rFonts w:ascii="Arial" w:hAnsi="Arial" w:cs="Arial"/>
          <w:caps w:val="0"/>
        </w:rPr>
        <w:t>The Supreme Court’s Reversal of the FE DMR</w:t>
      </w:r>
      <w:r w:rsidRPr="005672E7">
        <w:rPr>
          <w:rFonts w:ascii="Arial" w:hAnsi="Arial" w:cs="Arial"/>
          <w:caps w:val="0"/>
        </w:rPr>
        <w:tab/>
      </w:r>
      <w:r>
        <w:rPr>
          <w:rFonts w:ascii="Arial" w:hAnsi="Arial" w:cs="Arial"/>
          <w:caps w:val="0"/>
        </w:rPr>
        <w:t>8</w:t>
      </w:r>
    </w:p>
    <w:p w14:paraId="2B98FBD1" w14:textId="77777777" w:rsidR="00F012E4" w:rsidRDefault="00F012E4" w:rsidP="00957782">
      <w:pPr>
        <w:pStyle w:val="Level1"/>
        <w:numPr>
          <w:ilvl w:val="0"/>
          <w:numId w:val="14"/>
        </w:numPr>
        <w:tabs>
          <w:tab w:val="clear" w:pos="8630"/>
          <w:tab w:val="left" w:leader="dot" w:pos="9000"/>
        </w:tabs>
        <w:rPr>
          <w:rFonts w:ascii="Arial" w:hAnsi="Arial" w:cs="Arial"/>
        </w:rPr>
      </w:pPr>
      <w:r>
        <w:rPr>
          <w:rFonts w:ascii="Arial" w:hAnsi="Arial" w:cs="Arial"/>
        </w:rPr>
        <w:t>Argument</w:t>
      </w:r>
      <w:r w:rsidRPr="005A3B91">
        <w:rPr>
          <w:rFonts w:ascii="Arial" w:hAnsi="Arial" w:cs="Arial"/>
        </w:rPr>
        <w:tab/>
      </w:r>
      <w:r>
        <w:rPr>
          <w:rFonts w:ascii="Arial" w:hAnsi="Arial" w:cs="Arial"/>
        </w:rPr>
        <w:t>12</w:t>
      </w:r>
    </w:p>
    <w:p w14:paraId="270150A7" w14:textId="1039E2E3" w:rsidR="00F012E4" w:rsidRPr="00350F88" w:rsidRDefault="00F012E4" w:rsidP="00957782">
      <w:pPr>
        <w:pStyle w:val="Level1"/>
        <w:numPr>
          <w:ilvl w:val="1"/>
          <w:numId w:val="14"/>
        </w:numPr>
        <w:tabs>
          <w:tab w:val="clear" w:pos="8630"/>
          <w:tab w:val="left" w:leader="dot" w:pos="9000"/>
        </w:tabs>
        <w:rPr>
          <w:rFonts w:ascii="Arial" w:hAnsi="Arial" w:cs="Arial"/>
        </w:rPr>
      </w:pPr>
      <w:r>
        <w:rPr>
          <w:rFonts w:ascii="Arial" w:hAnsi="Arial" w:cs="Arial"/>
        </w:rPr>
        <w:t>t</w:t>
      </w:r>
      <w:r>
        <w:rPr>
          <w:rFonts w:ascii="Arial" w:hAnsi="Arial" w:cs="Arial"/>
          <w:caps w:val="0"/>
        </w:rPr>
        <w:t>he DMR Does Not Relate to Distribution Service</w:t>
      </w:r>
      <w:r>
        <w:rPr>
          <w:rFonts w:ascii="Arial" w:hAnsi="Arial" w:cs="Arial"/>
          <w:caps w:val="0"/>
        </w:rPr>
        <w:tab/>
        <w:t>13</w:t>
      </w:r>
    </w:p>
    <w:p w14:paraId="58E8E4AC" w14:textId="77777777" w:rsidR="00853A4F" w:rsidRPr="005672E7" w:rsidRDefault="00853A4F" w:rsidP="00957782">
      <w:pPr>
        <w:pStyle w:val="Level1"/>
        <w:numPr>
          <w:ilvl w:val="1"/>
          <w:numId w:val="14"/>
        </w:numPr>
        <w:tabs>
          <w:tab w:val="clear" w:pos="8630"/>
          <w:tab w:val="left" w:leader="dot" w:pos="9000"/>
        </w:tabs>
        <w:ind w:right="810"/>
        <w:rPr>
          <w:rFonts w:ascii="Arial" w:hAnsi="Arial" w:cs="Arial"/>
          <w:caps w:val="0"/>
        </w:rPr>
      </w:pPr>
      <w:r>
        <w:rPr>
          <w:rFonts w:ascii="Arial" w:hAnsi="Arial" w:cs="Arial"/>
          <w:caps w:val="0"/>
        </w:rPr>
        <w:t>The DMR Does Not Qualify as a Financial Incentive Related to Grid Modernization</w:t>
      </w:r>
      <w:r w:rsidRPr="005672E7">
        <w:rPr>
          <w:rFonts w:ascii="Arial" w:hAnsi="Arial" w:cs="Arial"/>
          <w:caps w:val="0"/>
        </w:rPr>
        <w:tab/>
        <w:t>1</w:t>
      </w:r>
      <w:r>
        <w:rPr>
          <w:rFonts w:ascii="Arial" w:hAnsi="Arial" w:cs="Arial"/>
          <w:caps w:val="0"/>
        </w:rPr>
        <w:t>4</w:t>
      </w:r>
    </w:p>
    <w:p w14:paraId="5B01AD86" w14:textId="60497AC5" w:rsidR="00F012E4" w:rsidRPr="000E4E95" w:rsidRDefault="00F012E4" w:rsidP="00957782">
      <w:pPr>
        <w:pStyle w:val="Level1"/>
        <w:numPr>
          <w:ilvl w:val="2"/>
          <w:numId w:val="14"/>
        </w:numPr>
        <w:tabs>
          <w:tab w:val="clear" w:pos="8630"/>
          <w:tab w:val="left" w:leader="dot" w:pos="9000"/>
        </w:tabs>
        <w:rPr>
          <w:rFonts w:ascii="Arial" w:hAnsi="Arial" w:cs="Arial"/>
        </w:rPr>
      </w:pPr>
      <w:r>
        <w:rPr>
          <w:rFonts w:ascii="Arial" w:hAnsi="Arial" w:cs="Arial"/>
          <w:caps w:val="0"/>
        </w:rPr>
        <w:t>There is No Connection Between the $105 million DMR and Grid</w:t>
      </w:r>
      <w:r w:rsidR="005636A8">
        <w:rPr>
          <w:rFonts w:ascii="Arial" w:hAnsi="Arial" w:cs="Arial"/>
          <w:caps w:val="0"/>
        </w:rPr>
        <w:t xml:space="preserve"> </w:t>
      </w:r>
      <w:r>
        <w:rPr>
          <w:rFonts w:ascii="Arial" w:hAnsi="Arial" w:cs="Arial"/>
          <w:caps w:val="0"/>
        </w:rPr>
        <w:t>Modernization</w:t>
      </w:r>
      <w:r>
        <w:rPr>
          <w:rFonts w:ascii="Arial" w:hAnsi="Arial" w:cs="Arial"/>
          <w:caps w:val="0"/>
        </w:rPr>
        <w:tab/>
        <w:t>14</w:t>
      </w:r>
    </w:p>
    <w:p w14:paraId="6A6AD634" w14:textId="77777777" w:rsidR="00F012E4" w:rsidRPr="000E4E95" w:rsidRDefault="00F012E4" w:rsidP="00957782">
      <w:pPr>
        <w:pStyle w:val="Level1"/>
        <w:numPr>
          <w:ilvl w:val="2"/>
          <w:numId w:val="14"/>
        </w:numPr>
        <w:tabs>
          <w:tab w:val="clear" w:pos="8630"/>
          <w:tab w:val="left" w:leader="dot" w:pos="9000"/>
        </w:tabs>
        <w:rPr>
          <w:rFonts w:ascii="Arial" w:hAnsi="Arial" w:cs="Arial"/>
        </w:rPr>
      </w:pPr>
      <w:r>
        <w:rPr>
          <w:rFonts w:ascii="Arial" w:hAnsi="Arial" w:cs="Arial"/>
        </w:rPr>
        <w:t xml:space="preserve"> </w:t>
      </w:r>
      <w:r>
        <w:rPr>
          <w:rFonts w:ascii="Arial" w:hAnsi="Arial" w:cs="Arial"/>
          <w:caps w:val="0"/>
        </w:rPr>
        <w:t xml:space="preserve">The Proposed DMR Contains No Safeguards to Protect Customers </w:t>
      </w:r>
      <w:r>
        <w:rPr>
          <w:rFonts w:ascii="Arial" w:hAnsi="Arial" w:cs="Arial"/>
          <w:caps w:val="0"/>
        </w:rPr>
        <w:tab/>
        <w:t>16</w:t>
      </w:r>
    </w:p>
    <w:p w14:paraId="1FA871A5" w14:textId="77777777" w:rsidR="00F012E4" w:rsidRPr="006B6D3C" w:rsidRDefault="00F012E4" w:rsidP="00957782">
      <w:pPr>
        <w:pStyle w:val="Level1"/>
        <w:numPr>
          <w:ilvl w:val="1"/>
          <w:numId w:val="14"/>
        </w:numPr>
        <w:tabs>
          <w:tab w:val="clear" w:pos="8630"/>
          <w:tab w:val="left" w:leader="dot" w:pos="9000"/>
        </w:tabs>
        <w:rPr>
          <w:rFonts w:ascii="Arial" w:hAnsi="Arial" w:cs="Arial"/>
        </w:rPr>
      </w:pPr>
      <w:r>
        <w:rPr>
          <w:rFonts w:ascii="Arial" w:hAnsi="Arial" w:cs="Arial"/>
          <w:caps w:val="0"/>
        </w:rPr>
        <w:t xml:space="preserve">The DMR Does Not Reflect Sound Reasoning and Cannot be Authorized          </w:t>
      </w:r>
      <w:r w:rsidRPr="000E4E95">
        <w:rPr>
          <w:rFonts w:ascii="Arial" w:hAnsi="Arial" w:cs="Arial"/>
          <w:caps w:val="0"/>
        </w:rPr>
        <w:t>Under</w:t>
      </w:r>
      <w:r>
        <w:rPr>
          <w:rFonts w:ascii="Arial" w:hAnsi="Arial" w:cs="Arial"/>
          <w:caps w:val="0"/>
        </w:rPr>
        <w:t xml:space="preserve"> </w:t>
      </w:r>
      <w:r w:rsidRPr="000E4E95">
        <w:rPr>
          <w:rFonts w:ascii="Arial" w:hAnsi="Arial" w:cs="Arial"/>
          <w:caps w:val="0"/>
        </w:rPr>
        <w:t>Any Reasonable Interpretation of R.C. 4928.143(B)(2)(h)</w:t>
      </w:r>
      <w:r w:rsidRPr="000E4E95">
        <w:rPr>
          <w:rFonts w:ascii="Arial" w:hAnsi="Arial" w:cs="Arial"/>
          <w:caps w:val="0"/>
        </w:rPr>
        <w:tab/>
        <w:t>16</w:t>
      </w:r>
    </w:p>
    <w:p w14:paraId="1C1C77DF" w14:textId="77777777" w:rsidR="00F012E4" w:rsidRPr="006B6D3C" w:rsidRDefault="00F012E4" w:rsidP="00957782">
      <w:pPr>
        <w:pStyle w:val="Level1"/>
        <w:numPr>
          <w:ilvl w:val="2"/>
          <w:numId w:val="14"/>
        </w:numPr>
        <w:tabs>
          <w:tab w:val="clear" w:pos="8630"/>
          <w:tab w:val="left" w:leader="dot" w:pos="9000"/>
        </w:tabs>
        <w:rPr>
          <w:rFonts w:ascii="Arial" w:hAnsi="Arial" w:cs="Arial"/>
        </w:rPr>
      </w:pPr>
      <w:r>
        <w:rPr>
          <w:rFonts w:ascii="Arial" w:hAnsi="Arial" w:cs="Arial"/>
          <w:caps w:val="0"/>
        </w:rPr>
        <w:t>The DMR Fails to Align DP&amp;L’s and Customers’ Interests</w:t>
      </w:r>
      <w:r>
        <w:rPr>
          <w:rFonts w:ascii="Arial" w:hAnsi="Arial" w:cs="Arial"/>
          <w:caps w:val="0"/>
        </w:rPr>
        <w:tab/>
        <w:t>16</w:t>
      </w:r>
    </w:p>
    <w:p w14:paraId="4B98224C" w14:textId="77777777" w:rsidR="00D662D6" w:rsidRDefault="00D662D6" w:rsidP="00957782">
      <w:pPr>
        <w:pStyle w:val="Level1"/>
        <w:numPr>
          <w:ilvl w:val="2"/>
          <w:numId w:val="14"/>
        </w:numPr>
        <w:tabs>
          <w:tab w:val="clear" w:pos="8630"/>
          <w:tab w:val="left" w:leader="dot" w:pos="9000"/>
        </w:tabs>
        <w:ind w:right="810"/>
        <w:rPr>
          <w:rFonts w:ascii="Arial" w:hAnsi="Arial" w:cs="Arial"/>
          <w:caps w:val="0"/>
        </w:rPr>
      </w:pPr>
      <w:r>
        <w:rPr>
          <w:rFonts w:ascii="Arial" w:hAnsi="Arial" w:cs="Arial"/>
          <w:caps w:val="0"/>
        </w:rPr>
        <w:t>The DMR Would Provide Unjust and Unreasonable Rates Above the Zone of Reasonableness in Violation of R.C. 4928.143(B)(2)(h)</w:t>
      </w:r>
      <w:r>
        <w:rPr>
          <w:rFonts w:ascii="Arial" w:hAnsi="Arial" w:cs="Arial"/>
          <w:caps w:val="0"/>
        </w:rPr>
        <w:tab/>
        <w:t>17</w:t>
      </w:r>
    </w:p>
    <w:p w14:paraId="360C999B" w14:textId="77777777" w:rsidR="00F012E4" w:rsidRPr="000E4E95" w:rsidRDefault="00F012E4" w:rsidP="00957782">
      <w:pPr>
        <w:pStyle w:val="Level1"/>
        <w:numPr>
          <w:ilvl w:val="1"/>
          <w:numId w:val="14"/>
        </w:numPr>
        <w:tabs>
          <w:tab w:val="clear" w:pos="8630"/>
          <w:tab w:val="left" w:leader="dot" w:pos="9000"/>
        </w:tabs>
        <w:rPr>
          <w:rFonts w:ascii="Arial" w:hAnsi="Arial" w:cs="Arial"/>
        </w:rPr>
      </w:pPr>
      <w:r>
        <w:rPr>
          <w:rFonts w:ascii="Arial" w:hAnsi="Arial" w:cs="Arial"/>
          <w:caps w:val="0"/>
        </w:rPr>
        <w:t>The DMR Would Flunk the ESP v. MRO Test</w:t>
      </w:r>
      <w:r>
        <w:rPr>
          <w:rFonts w:ascii="Arial" w:hAnsi="Arial" w:cs="Arial"/>
          <w:caps w:val="0"/>
        </w:rPr>
        <w:tab/>
        <w:t>21</w:t>
      </w:r>
    </w:p>
    <w:p w14:paraId="1C6D90CC" w14:textId="77777777" w:rsidR="00F012E4" w:rsidRPr="005A3B91" w:rsidRDefault="00F012E4" w:rsidP="00957782">
      <w:pPr>
        <w:pStyle w:val="Level1"/>
        <w:numPr>
          <w:ilvl w:val="0"/>
          <w:numId w:val="14"/>
        </w:numPr>
        <w:tabs>
          <w:tab w:val="clear" w:pos="8630"/>
          <w:tab w:val="left" w:leader="dot" w:pos="9000"/>
        </w:tabs>
        <w:rPr>
          <w:rFonts w:ascii="Arial" w:hAnsi="Arial" w:cs="Arial"/>
        </w:rPr>
      </w:pPr>
      <w:r>
        <w:rPr>
          <w:rFonts w:ascii="Arial" w:hAnsi="Arial" w:cs="Arial"/>
        </w:rPr>
        <w:t>Conclusion</w:t>
      </w:r>
      <w:r>
        <w:rPr>
          <w:rFonts w:ascii="Arial" w:hAnsi="Arial" w:cs="Arial"/>
        </w:rPr>
        <w:tab/>
        <w:t>22</w:t>
      </w:r>
      <w:bookmarkEnd w:id="1"/>
    </w:p>
    <w:p w14:paraId="77C10567" w14:textId="77777777" w:rsidR="00961B49" w:rsidRDefault="00961B49" w:rsidP="00226949">
      <w:pPr>
        <w:spacing w:after="0" w:line="480" w:lineRule="auto"/>
        <w:ind w:firstLine="720"/>
        <w:jc w:val="both"/>
        <w:rPr>
          <w:rFonts w:ascii="Arial" w:hAnsi="Arial" w:cs="Arial"/>
          <w:b/>
        </w:rPr>
      </w:pPr>
    </w:p>
    <w:p w14:paraId="00A8A02F" w14:textId="77777777" w:rsidR="00961B49" w:rsidRDefault="00961B49" w:rsidP="00226949">
      <w:pPr>
        <w:spacing w:after="0" w:line="480" w:lineRule="auto"/>
        <w:ind w:firstLine="720"/>
        <w:jc w:val="both"/>
        <w:rPr>
          <w:rFonts w:ascii="Arial" w:hAnsi="Arial" w:cs="Arial"/>
          <w:b/>
        </w:rPr>
      </w:pPr>
    </w:p>
    <w:p w14:paraId="41F099EE" w14:textId="77777777" w:rsidR="00961B49" w:rsidRDefault="00961B49" w:rsidP="00226949">
      <w:pPr>
        <w:spacing w:after="0" w:line="480" w:lineRule="auto"/>
        <w:ind w:firstLine="720"/>
        <w:jc w:val="both"/>
        <w:rPr>
          <w:rFonts w:ascii="Arial" w:hAnsi="Arial" w:cs="Arial"/>
          <w:b/>
        </w:rPr>
      </w:pPr>
    </w:p>
    <w:p w14:paraId="3E0506F2" w14:textId="77777777" w:rsidR="00961B49" w:rsidRDefault="00961B49" w:rsidP="00226949">
      <w:pPr>
        <w:spacing w:after="0" w:line="480" w:lineRule="auto"/>
        <w:ind w:firstLine="720"/>
        <w:jc w:val="both"/>
        <w:rPr>
          <w:rFonts w:ascii="Arial" w:hAnsi="Arial" w:cs="Arial"/>
          <w:b/>
        </w:rPr>
      </w:pPr>
    </w:p>
    <w:p w14:paraId="274A6150" w14:textId="77777777" w:rsidR="00961B49" w:rsidRDefault="00961B49" w:rsidP="00226949">
      <w:pPr>
        <w:spacing w:after="0" w:line="480" w:lineRule="auto"/>
        <w:ind w:firstLine="720"/>
        <w:jc w:val="both"/>
        <w:rPr>
          <w:rFonts w:ascii="Arial" w:hAnsi="Arial" w:cs="Arial"/>
          <w:b/>
        </w:rPr>
      </w:pPr>
    </w:p>
    <w:p w14:paraId="43898746" w14:textId="77777777" w:rsidR="00961B49" w:rsidRDefault="00961B49" w:rsidP="00226949">
      <w:pPr>
        <w:spacing w:after="0" w:line="480" w:lineRule="auto"/>
        <w:ind w:firstLine="720"/>
        <w:jc w:val="both"/>
        <w:rPr>
          <w:rFonts w:ascii="Arial" w:hAnsi="Arial" w:cs="Arial"/>
          <w:b/>
        </w:rPr>
      </w:pPr>
    </w:p>
    <w:p w14:paraId="31418CD4" w14:textId="77777777" w:rsidR="00961B49" w:rsidRDefault="00961B49" w:rsidP="00226949">
      <w:pPr>
        <w:spacing w:after="0" w:line="480" w:lineRule="auto"/>
        <w:ind w:firstLine="720"/>
        <w:jc w:val="both"/>
        <w:rPr>
          <w:rFonts w:ascii="Arial" w:hAnsi="Arial" w:cs="Arial"/>
          <w:b/>
        </w:rPr>
      </w:pPr>
    </w:p>
    <w:p w14:paraId="1B069F22" w14:textId="77777777" w:rsidR="00961B49" w:rsidRDefault="00961B49" w:rsidP="00226949">
      <w:pPr>
        <w:spacing w:after="0" w:line="480" w:lineRule="auto"/>
        <w:ind w:firstLine="720"/>
        <w:jc w:val="both"/>
        <w:rPr>
          <w:rFonts w:ascii="Arial" w:hAnsi="Arial" w:cs="Arial"/>
          <w:b/>
        </w:rPr>
      </w:pPr>
    </w:p>
    <w:p w14:paraId="55EA382E" w14:textId="77777777" w:rsidR="00961B49" w:rsidRDefault="00961B49" w:rsidP="00226949">
      <w:pPr>
        <w:spacing w:after="0" w:line="480" w:lineRule="auto"/>
        <w:ind w:firstLine="720"/>
        <w:jc w:val="both"/>
        <w:rPr>
          <w:rFonts w:ascii="Arial" w:hAnsi="Arial" w:cs="Arial"/>
          <w:b/>
        </w:rPr>
      </w:pPr>
    </w:p>
    <w:p w14:paraId="09E7D811" w14:textId="77777777" w:rsidR="00961B49" w:rsidRDefault="00961B49" w:rsidP="00226949">
      <w:pPr>
        <w:spacing w:after="0" w:line="480" w:lineRule="auto"/>
        <w:ind w:firstLine="720"/>
        <w:jc w:val="both"/>
        <w:rPr>
          <w:rFonts w:ascii="Arial" w:hAnsi="Arial" w:cs="Arial"/>
          <w:b/>
        </w:rPr>
      </w:pPr>
    </w:p>
    <w:p w14:paraId="4EA0FB49" w14:textId="77777777" w:rsidR="00961B49" w:rsidRDefault="00961B49" w:rsidP="00226949">
      <w:pPr>
        <w:spacing w:after="0" w:line="480" w:lineRule="auto"/>
        <w:ind w:firstLine="720"/>
        <w:jc w:val="both"/>
        <w:rPr>
          <w:rFonts w:ascii="Arial" w:hAnsi="Arial" w:cs="Arial"/>
          <w:b/>
        </w:rPr>
      </w:pPr>
    </w:p>
    <w:p w14:paraId="557A8F93" w14:textId="77777777" w:rsidR="00961B49" w:rsidRPr="006F717E" w:rsidRDefault="00961B49" w:rsidP="00226949">
      <w:pPr>
        <w:spacing w:after="0" w:line="480" w:lineRule="auto"/>
        <w:ind w:firstLine="720"/>
        <w:jc w:val="both"/>
        <w:rPr>
          <w:rFonts w:ascii="Arial" w:hAnsi="Arial" w:cs="Arial"/>
          <w:b/>
        </w:rPr>
      </w:pPr>
    </w:p>
    <w:p w14:paraId="6BC417F6" w14:textId="39FBF78A" w:rsidR="00015EED" w:rsidRPr="00015EED" w:rsidRDefault="00015EED" w:rsidP="00015EED">
      <w:pPr>
        <w:pStyle w:val="ListParagraph"/>
        <w:numPr>
          <w:ilvl w:val="0"/>
          <w:numId w:val="10"/>
        </w:numPr>
        <w:spacing w:after="0"/>
        <w:rPr>
          <w:rFonts w:ascii="Arial" w:eastAsia="Calibri" w:hAnsi="Arial" w:cs="Arial"/>
          <w:b/>
        </w:rPr>
      </w:pPr>
      <w:r>
        <w:rPr>
          <w:rFonts w:ascii="Arial" w:eastAsia="Calibri" w:hAnsi="Arial" w:cs="Arial"/>
          <w:b/>
        </w:rPr>
        <w:t>INTRODUCTION</w:t>
      </w:r>
    </w:p>
    <w:p w14:paraId="3D46F117" w14:textId="77777777" w:rsidR="00015EED" w:rsidRDefault="00015EED" w:rsidP="00226949">
      <w:pPr>
        <w:spacing w:after="0" w:line="480" w:lineRule="auto"/>
        <w:ind w:firstLine="720"/>
        <w:jc w:val="both"/>
        <w:rPr>
          <w:rFonts w:ascii="Arial" w:hAnsi="Arial" w:cs="Arial"/>
        </w:rPr>
      </w:pPr>
    </w:p>
    <w:p w14:paraId="4DAC0782" w14:textId="6E3D35D4" w:rsidR="00226949" w:rsidRDefault="00226949" w:rsidP="00226949">
      <w:pPr>
        <w:spacing w:after="0" w:line="480" w:lineRule="auto"/>
        <w:ind w:firstLine="720"/>
        <w:jc w:val="both"/>
        <w:rPr>
          <w:rFonts w:ascii="Arial" w:hAnsi="Arial" w:cs="Arial"/>
        </w:rPr>
      </w:pPr>
      <w:r>
        <w:rPr>
          <w:rFonts w:ascii="Arial" w:hAnsi="Arial" w:cs="Arial"/>
        </w:rPr>
        <w:t>The Amended Stipulation and Recommendation</w:t>
      </w:r>
      <w:r w:rsidR="004A63C2">
        <w:rPr>
          <w:rFonts w:ascii="Arial" w:hAnsi="Arial" w:cs="Arial"/>
        </w:rPr>
        <w:t xml:space="preserve"> (“Stipulation”)</w:t>
      </w:r>
      <w:r>
        <w:rPr>
          <w:rFonts w:ascii="Arial" w:hAnsi="Arial" w:cs="Arial"/>
        </w:rPr>
        <w:t xml:space="preserve"> in this proceeding </w:t>
      </w:r>
      <w:r w:rsidR="0069268A">
        <w:rPr>
          <w:rFonts w:ascii="Arial" w:hAnsi="Arial" w:cs="Arial"/>
        </w:rPr>
        <w:t>proposes</w:t>
      </w:r>
      <w:r>
        <w:rPr>
          <w:rFonts w:ascii="Arial" w:hAnsi="Arial" w:cs="Arial"/>
        </w:rPr>
        <w:t xml:space="preserve"> that the Public Utilities Commission of Ohio (“Commission”) authorize the Dayton Power and Light Company</w:t>
      </w:r>
      <w:r w:rsidR="00D6629B">
        <w:rPr>
          <w:rFonts w:ascii="Arial" w:hAnsi="Arial" w:cs="Arial"/>
        </w:rPr>
        <w:t xml:space="preserve"> (“DP&amp;L”)</w:t>
      </w:r>
      <w:r>
        <w:rPr>
          <w:rFonts w:ascii="Arial" w:hAnsi="Arial" w:cs="Arial"/>
        </w:rPr>
        <w:t xml:space="preserve"> to implement a Distribution Modernization Rider (“DMR”) to collect $105 million per year.</w:t>
      </w:r>
      <w:r w:rsidR="002327F1">
        <w:rPr>
          <w:rStyle w:val="FootnoteReference"/>
          <w:rFonts w:ascii="Arial" w:hAnsi="Arial" w:cs="Arial"/>
        </w:rPr>
        <w:footnoteReference w:id="2"/>
      </w:r>
      <w:r>
        <w:rPr>
          <w:rFonts w:ascii="Arial" w:hAnsi="Arial" w:cs="Arial"/>
        </w:rPr>
        <w:t xml:space="preserve">  Following several days of hearings and testimony, I</w:t>
      </w:r>
      <w:r w:rsidRPr="004E796C">
        <w:rPr>
          <w:rFonts w:ascii="Arial" w:hAnsi="Arial" w:cs="Arial"/>
        </w:rPr>
        <w:t xml:space="preserve">nterstate Gas Supply, Inc’s (“IGS”) </w:t>
      </w:r>
      <w:r>
        <w:rPr>
          <w:rFonts w:ascii="Arial" w:hAnsi="Arial" w:cs="Arial"/>
        </w:rPr>
        <w:t xml:space="preserve">briefs </w:t>
      </w:r>
      <w:r w:rsidRPr="004E796C">
        <w:rPr>
          <w:rFonts w:ascii="Arial" w:hAnsi="Arial" w:cs="Arial"/>
        </w:rPr>
        <w:t>demonstrated that the DMR is unlawful</w:t>
      </w:r>
      <w:r>
        <w:rPr>
          <w:rFonts w:ascii="Arial" w:hAnsi="Arial" w:cs="Arial"/>
        </w:rPr>
        <w:t>,</w:t>
      </w:r>
      <w:r w:rsidRPr="004E796C">
        <w:rPr>
          <w:rFonts w:ascii="Arial" w:hAnsi="Arial" w:cs="Arial"/>
        </w:rPr>
        <w:t xml:space="preserve"> unreasonable</w:t>
      </w:r>
      <w:r>
        <w:rPr>
          <w:rFonts w:ascii="Arial" w:hAnsi="Arial" w:cs="Arial"/>
        </w:rPr>
        <w:t>, and generally a bad idea for customers, the competitive market, and the state of Ohio.</w:t>
      </w:r>
      <w:r w:rsidR="0050462A">
        <w:rPr>
          <w:rStyle w:val="FootnoteReference"/>
          <w:rFonts w:ascii="Arial" w:hAnsi="Arial" w:cs="Arial"/>
        </w:rPr>
        <w:footnoteReference w:id="3"/>
      </w:r>
      <w:r>
        <w:rPr>
          <w:rFonts w:ascii="Arial" w:hAnsi="Arial" w:cs="Arial"/>
        </w:rPr>
        <w:t xml:space="preserve">  </w:t>
      </w:r>
    </w:p>
    <w:p w14:paraId="5BA8EAA1" w14:textId="1A855D63" w:rsidR="00226949" w:rsidRDefault="00226949" w:rsidP="00226949">
      <w:pPr>
        <w:spacing w:after="0" w:line="480" w:lineRule="auto"/>
        <w:ind w:firstLine="720"/>
        <w:jc w:val="both"/>
        <w:rPr>
          <w:rFonts w:ascii="Arial" w:hAnsi="Arial" w:cs="Arial"/>
        </w:rPr>
      </w:pPr>
      <w:r>
        <w:rPr>
          <w:rFonts w:ascii="Arial" w:hAnsi="Arial" w:cs="Arial"/>
        </w:rPr>
        <w:t>If IGS</w:t>
      </w:r>
      <w:r w:rsidR="006F717E">
        <w:rPr>
          <w:rFonts w:ascii="Arial" w:hAnsi="Arial" w:cs="Arial"/>
        </w:rPr>
        <w:t>’ briefs</w:t>
      </w:r>
      <w:r>
        <w:rPr>
          <w:rFonts w:ascii="Arial" w:hAnsi="Arial" w:cs="Arial"/>
        </w:rPr>
        <w:t xml:space="preserve"> did not give the Commission enough </w:t>
      </w:r>
      <w:r w:rsidR="006F717E">
        <w:rPr>
          <w:rFonts w:ascii="Arial" w:hAnsi="Arial" w:cs="Arial"/>
        </w:rPr>
        <w:t>pause</w:t>
      </w:r>
      <w:r w:rsidR="004A63C2">
        <w:rPr>
          <w:rFonts w:ascii="Arial" w:hAnsi="Arial" w:cs="Arial"/>
        </w:rPr>
        <w:t xml:space="preserve"> to reject the DMR, t</w:t>
      </w:r>
      <w:r w:rsidRPr="004E796C">
        <w:rPr>
          <w:rFonts w:ascii="Arial" w:hAnsi="Arial" w:cs="Arial"/>
        </w:rPr>
        <w:t>he Supreme Court of Ohio</w:t>
      </w:r>
      <w:r>
        <w:rPr>
          <w:rFonts w:ascii="Arial" w:hAnsi="Arial" w:cs="Arial"/>
        </w:rPr>
        <w:t xml:space="preserve"> recently</w:t>
      </w:r>
      <w:r w:rsidR="004A63C2">
        <w:rPr>
          <w:rFonts w:ascii="Arial" w:hAnsi="Arial" w:cs="Arial"/>
        </w:rPr>
        <w:t xml:space="preserve"> sealed </w:t>
      </w:r>
      <w:r w:rsidR="006F717E">
        <w:rPr>
          <w:rFonts w:ascii="Arial" w:hAnsi="Arial" w:cs="Arial"/>
        </w:rPr>
        <w:t xml:space="preserve">the rider’s </w:t>
      </w:r>
      <w:r w:rsidR="004A63C2">
        <w:rPr>
          <w:rFonts w:ascii="Arial" w:hAnsi="Arial" w:cs="Arial"/>
        </w:rPr>
        <w:t>fate</w:t>
      </w:r>
      <w:r w:rsidR="00501337">
        <w:rPr>
          <w:rFonts w:ascii="Arial" w:hAnsi="Arial" w:cs="Arial"/>
        </w:rPr>
        <w:t>.  The Court</w:t>
      </w:r>
      <w:r w:rsidR="00F2212E">
        <w:rPr>
          <w:rFonts w:ascii="Arial" w:hAnsi="Arial" w:cs="Arial"/>
        </w:rPr>
        <w:t xml:space="preserve"> </w:t>
      </w:r>
      <w:r w:rsidR="004A63C2">
        <w:rPr>
          <w:rFonts w:ascii="Arial" w:hAnsi="Arial" w:cs="Arial"/>
        </w:rPr>
        <w:t>str</w:t>
      </w:r>
      <w:r w:rsidR="00501337">
        <w:rPr>
          <w:rFonts w:ascii="Arial" w:hAnsi="Arial" w:cs="Arial"/>
        </w:rPr>
        <w:t>uck</w:t>
      </w:r>
      <w:r w:rsidR="004A63C2">
        <w:rPr>
          <w:rFonts w:ascii="Arial" w:hAnsi="Arial" w:cs="Arial"/>
        </w:rPr>
        <w:t xml:space="preserve"> down the lawfulness of </w:t>
      </w:r>
      <w:r w:rsidR="00501337">
        <w:rPr>
          <w:rFonts w:ascii="Arial" w:hAnsi="Arial" w:cs="Arial"/>
        </w:rPr>
        <w:t>the rider’s</w:t>
      </w:r>
      <w:r w:rsidR="004A63C2">
        <w:rPr>
          <w:rFonts w:ascii="Arial" w:hAnsi="Arial" w:cs="Arial"/>
        </w:rPr>
        <w:t xml:space="preserve"> namesake in the </w:t>
      </w:r>
      <w:r w:rsidR="00434671" w:rsidRPr="00434671">
        <w:rPr>
          <w:rFonts w:ascii="Arial" w:hAnsi="Arial" w:cs="Arial"/>
        </w:rPr>
        <w:t>Ohio Edison Company, Toledo Edison Company, and the Cleveland Electric Illuminating Company (collectively, “</w:t>
      </w:r>
      <w:r w:rsidR="004A63C2">
        <w:rPr>
          <w:rFonts w:ascii="Arial" w:hAnsi="Arial" w:cs="Arial"/>
        </w:rPr>
        <w:t>FirstEnergy</w:t>
      </w:r>
      <w:r w:rsidR="00434671" w:rsidRPr="00434671">
        <w:rPr>
          <w:rFonts w:ascii="Arial" w:hAnsi="Arial" w:cs="Arial"/>
        </w:rPr>
        <w:t>”)</w:t>
      </w:r>
      <w:r w:rsidR="00F2212E">
        <w:rPr>
          <w:rFonts w:ascii="Arial" w:hAnsi="Arial" w:cs="Arial"/>
        </w:rPr>
        <w:t xml:space="preserve"> service</w:t>
      </w:r>
      <w:r w:rsidR="004A63C2">
        <w:rPr>
          <w:rFonts w:ascii="Arial" w:hAnsi="Arial" w:cs="Arial"/>
        </w:rPr>
        <w:t xml:space="preserve"> territory.</w:t>
      </w:r>
      <w:r w:rsidR="00F2212E">
        <w:rPr>
          <w:rStyle w:val="FootnoteReference"/>
          <w:rFonts w:ascii="Arial" w:hAnsi="Arial" w:cs="Arial"/>
        </w:rPr>
        <w:footnoteReference w:id="4"/>
      </w:r>
      <w:r w:rsidR="004A63C2">
        <w:rPr>
          <w:rFonts w:ascii="Arial" w:hAnsi="Arial" w:cs="Arial"/>
        </w:rPr>
        <w:t xml:space="preserve">  Based upon the Court’s decision, it is clear the </w:t>
      </w:r>
      <w:r w:rsidRPr="004E796C">
        <w:rPr>
          <w:rFonts w:ascii="Arial" w:hAnsi="Arial" w:cs="Arial"/>
        </w:rPr>
        <w:t xml:space="preserve">Commission </w:t>
      </w:r>
      <w:r w:rsidR="004A63C2">
        <w:rPr>
          <w:rFonts w:ascii="Arial" w:hAnsi="Arial" w:cs="Arial"/>
        </w:rPr>
        <w:t>has no</w:t>
      </w:r>
      <w:r w:rsidRPr="004E796C">
        <w:rPr>
          <w:rFonts w:ascii="Arial" w:hAnsi="Arial" w:cs="Arial"/>
        </w:rPr>
        <w:t xml:space="preserve"> authority to authorize</w:t>
      </w:r>
      <w:r w:rsidR="005A405A">
        <w:rPr>
          <w:rFonts w:ascii="Arial" w:hAnsi="Arial" w:cs="Arial"/>
        </w:rPr>
        <w:t xml:space="preserve"> a</w:t>
      </w:r>
      <w:r w:rsidRPr="004E796C">
        <w:rPr>
          <w:rFonts w:ascii="Arial" w:hAnsi="Arial" w:cs="Arial"/>
        </w:rPr>
        <w:t xml:space="preserve"> thinly veiled bailout under the guise of distribution modernization</w:t>
      </w:r>
      <w:r w:rsidR="004A63C2">
        <w:rPr>
          <w:rFonts w:ascii="Arial" w:hAnsi="Arial" w:cs="Arial"/>
        </w:rPr>
        <w:t>.</w:t>
      </w:r>
      <w:r w:rsidR="00E218B8">
        <w:rPr>
          <w:rStyle w:val="FootnoteReference"/>
          <w:rFonts w:ascii="Arial" w:hAnsi="Arial" w:cs="Arial"/>
        </w:rPr>
        <w:footnoteReference w:id="5"/>
      </w:r>
      <w:r w:rsidR="004A63C2">
        <w:rPr>
          <w:rFonts w:ascii="Arial" w:hAnsi="Arial" w:cs="Arial"/>
        </w:rPr>
        <w:t xml:space="preserve"> </w:t>
      </w:r>
    </w:p>
    <w:p w14:paraId="282EBFDF" w14:textId="05E9B088" w:rsidR="00961B49" w:rsidRPr="006F717E" w:rsidRDefault="004A63C2" w:rsidP="006F717E">
      <w:pPr>
        <w:spacing w:after="0" w:line="480" w:lineRule="auto"/>
        <w:jc w:val="both"/>
        <w:rPr>
          <w:rFonts w:ascii="Arial" w:hAnsi="Arial" w:cs="Arial"/>
        </w:rPr>
      </w:pPr>
      <w:r>
        <w:rPr>
          <w:rFonts w:ascii="Arial" w:hAnsi="Arial" w:cs="Arial"/>
        </w:rPr>
        <w:tab/>
        <w:t xml:space="preserve">In the wake of the Court’s order, the Commission has requested that the parties submit supplemental briefs regarding the applicability of the Court’s precedent.  </w:t>
      </w:r>
      <w:r w:rsidR="006F717E">
        <w:rPr>
          <w:rFonts w:ascii="Arial" w:hAnsi="Arial" w:cs="Arial"/>
        </w:rPr>
        <w:t>As discussed below,</w:t>
      </w:r>
      <w:r w:rsidR="00225C41">
        <w:rPr>
          <w:rFonts w:ascii="Arial" w:hAnsi="Arial" w:cs="Arial"/>
        </w:rPr>
        <w:t xml:space="preserve"> the </w:t>
      </w:r>
      <w:r w:rsidR="0054799A">
        <w:rPr>
          <w:rFonts w:ascii="Arial" w:hAnsi="Arial" w:cs="Arial"/>
          <w:i/>
        </w:rPr>
        <w:t xml:space="preserve">FirstEnergy Decision </w:t>
      </w:r>
      <w:r w:rsidR="0054799A">
        <w:rPr>
          <w:rFonts w:ascii="Arial" w:hAnsi="Arial" w:cs="Arial"/>
        </w:rPr>
        <w:t>further demonstrates</w:t>
      </w:r>
      <w:r w:rsidR="00225C41">
        <w:rPr>
          <w:rFonts w:ascii="Arial" w:hAnsi="Arial" w:cs="Arial"/>
        </w:rPr>
        <w:t xml:space="preserve"> </w:t>
      </w:r>
      <w:r w:rsidR="0054799A">
        <w:rPr>
          <w:rFonts w:ascii="Arial" w:hAnsi="Arial" w:cs="Arial"/>
        </w:rPr>
        <w:t xml:space="preserve">that </w:t>
      </w:r>
      <w:r w:rsidR="00225C41">
        <w:rPr>
          <w:rFonts w:ascii="Arial" w:hAnsi="Arial" w:cs="Arial"/>
        </w:rPr>
        <w:t>Commission</w:t>
      </w:r>
      <w:r w:rsidR="00E60BB6">
        <w:rPr>
          <w:rFonts w:ascii="Arial" w:hAnsi="Arial" w:cs="Arial"/>
        </w:rPr>
        <w:t xml:space="preserve"> </w:t>
      </w:r>
      <w:r>
        <w:rPr>
          <w:rFonts w:ascii="Arial" w:hAnsi="Arial" w:cs="Arial"/>
        </w:rPr>
        <w:t>lacks</w:t>
      </w:r>
      <w:r w:rsidR="00E60BB6">
        <w:rPr>
          <w:rFonts w:ascii="Arial" w:hAnsi="Arial" w:cs="Arial"/>
        </w:rPr>
        <w:t xml:space="preserve"> </w:t>
      </w:r>
      <w:r>
        <w:rPr>
          <w:rFonts w:ascii="Arial" w:hAnsi="Arial" w:cs="Arial"/>
        </w:rPr>
        <w:t xml:space="preserve">authority to authorize the DMR. </w:t>
      </w:r>
    </w:p>
    <w:p w14:paraId="480DC90D" w14:textId="77777777" w:rsidR="00961B49" w:rsidRDefault="00961B49" w:rsidP="00F519E8">
      <w:pPr>
        <w:pStyle w:val="ListParagraph"/>
        <w:spacing w:after="0"/>
        <w:ind w:left="1080"/>
        <w:rPr>
          <w:rFonts w:ascii="Arial" w:eastAsia="Calibri" w:hAnsi="Arial" w:cs="Arial"/>
          <w:b/>
        </w:rPr>
      </w:pPr>
    </w:p>
    <w:p w14:paraId="4C69D926" w14:textId="65A6B8D6" w:rsidR="00F5766C" w:rsidRDefault="00F5766C" w:rsidP="00145504">
      <w:pPr>
        <w:pStyle w:val="ListParagraph"/>
        <w:numPr>
          <w:ilvl w:val="0"/>
          <w:numId w:val="6"/>
        </w:numPr>
        <w:spacing w:after="0"/>
        <w:rPr>
          <w:rFonts w:ascii="Arial" w:eastAsia="Calibri" w:hAnsi="Arial" w:cs="Arial"/>
          <w:b/>
        </w:rPr>
      </w:pPr>
      <w:r>
        <w:rPr>
          <w:rFonts w:ascii="Arial" w:eastAsia="Calibri" w:hAnsi="Arial" w:cs="Arial"/>
          <w:b/>
        </w:rPr>
        <w:lastRenderedPageBreak/>
        <w:t>BACKGROUND</w:t>
      </w:r>
    </w:p>
    <w:p w14:paraId="395059CE" w14:textId="44D633BE" w:rsidR="004E796C" w:rsidRPr="00145504" w:rsidRDefault="00707A75" w:rsidP="00F5766C">
      <w:pPr>
        <w:pStyle w:val="ListParagraph"/>
        <w:numPr>
          <w:ilvl w:val="0"/>
          <w:numId w:val="8"/>
        </w:numPr>
        <w:spacing w:after="0"/>
        <w:rPr>
          <w:rFonts w:ascii="Arial" w:eastAsia="Calibri" w:hAnsi="Arial" w:cs="Arial"/>
          <w:b/>
        </w:rPr>
      </w:pPr>
      <w:r>
        <w:rPr>
          <w:rFonts w:ascii="Arial" w:eastAsia="Calibri" w:hAnsi="Arial" w:cs="Arial"/>
          <w:b/>
        </w:rPr>
        <w:t>THE NEARLY IDENTICAL DISTRIBUTION MODERNIZATION RIDERS</w:t>
      </w:r>
    </w:p>
    <w:p w14:paraId="5A9210AC" w14:textId="77777777" w:rsidR="00226949" w:rsidRDefault="00226949" w:rsidP="00226949">
      <w:pPr>
        <w:spacing w:after="0"/>
        <w:rPr>
          <w:rFonts w:ascii="Arial" w:eastAsia="Calibri" w:hAnsi="Arial" w:cs="Arial"/>
          <w:b/>
        </w:rPr>
      </w:pPr>
    </w:p>
    <w:p w14:paraId="30967259" w14:textId="024B2FFE" w:rsidR="004E796C" w:rsidRPr="002024EC" w:rsidRDefault="006F717E" w:rsidP="002024EC">
      <w:pPr>
        <w:spacing w:after="0" w:line="480" w:lineRule="auto"/>
        <w:ind w:firstLine="720"/>
        <w:jc w:val="both"/>
        <w:rPr>
          <w:rFonts w:ascii="Arial" w:eastAsia="Calibri" w:hAnsi="Arial" w:cs="Arial"/>
        </w:rPr>
      </w:pPr>
      <w:r>
        <w:rPr>
          <w:rFonts w:ascii="Arial" w:eastAsia="Calibri" w:hAnsi="Arial" w:cs="Arial"/>
        </w:rPr>
        <w:t xml:space="preserve">Rather than restate </w:t>
      </w:r>
      <w:r w:rsidR="005F5457">
        <w:rPr>
          <w:rFonts w:ascii="Arial" w:eastAsia="Calibri" w:hAnsi="Arial" w:cs="Arial"/>
        </w:rPr>
        <w:t>the complete</w:t>
      </w:r>
      <w:r>
        <w:rPr>
          <w:rFonts w:ascii="Arial" w:eastAsia="Calibri" w:hAnsi="Arial" w:cs="Arial"/>
        </w:rPr>
        <w:t xml:space="preserve"> history</w:t>
      </w:r>
      <w:r w:rsidR="005F5457">
        <w:rPr>
          <w:rFonts w:ascii="Arial" w:eastAsia="Calibri" w:hAnsi="Arial" w:cs="Arial"/>
        </w:rPr>
        <w:t xml:space="preserve"> of th</w:t>
      </w:r>
      <w:r w:rsidR="0056612D">
        <w:rPr>
          <w:rFonts w:ascii="Arial" w:eastAsia="Calibri" w:hAnsi="Arial" w:cs="Arial"/>
        </w:rPr>
        <w:t>e</w:t>
      </w:r>
      <w:r>
        <w:rPr>
          <w:rFonts w:ascii="Arial" w:eastAsia="Calibri" w:hAnsi="Arial" w:cs="Arial"/>
        </w:rPr>
        <w:t xml:space="preserve"> </w:t>
      </w:r>
      <w:r w:rsidR="001A5735">
        <w:rPr>
          <w:rFonts w:ascii="Arial" w:eastAsia="Calibri" w:hAnsi="Arial" w:cs="Arial"/>
        </w:rPr>
        <w:t xml:space="preserve">case, </w:t>
      </w:r>
      <w:r>
        <w:rPr>
          <w:rFonts w:ascii="Arial" w:eastAsia="Calibri" w:hAnsi="Arial" w:cs="Arial"/>
        </w:rPr>
        <w:t>this brief wil</w:t>
      </w:r>
      <w:r w:rsidR="002024EC">
        <w:rPr>
          <w:rFonts w:ascii="Arial" w:eastAsia="Calibri" w:hAnsi="Arial" w:cs="Arial"/>
        </w:rPr>
        <w:t>l start at the point in time</w:t>
      </w:r>
      <w:r>
        <w:rPr>
          <w:rFonts w:ascii="Arial" w:eastAsia="Calibri" w:hAnsi="Arial" w:cs="Arial"/>
        </w:rPr>
        <w:t xml:space="preserve"> when DP&amp;L jumped on the bandwagon and tied its fate to FirstEnergy’s success or, in this case, failure.</w:t>
      </w:r>
    </w:p>
    <w:p w14:paraId="16AD8E56" w14:textId="0C69391A" w:rsidR="0064093A" w:rsidRDefault="000221D8" w:rsidP="001B0161">
      <w:pPr>
        <w:spacing w:after="0" w:line="480" w:lineRule="auto"/>
        <w:jc w:val="both"/>
        <w:rPr>
          <w:rFonts w:ascii="Arial" w:hAnsi="Arial" w:cs="Arial"/>
        </w:rPr>
      </w:pPr>
      <w:r w:rsidRPr="004E796C">
        <w:rPr>
          <w:rFonts w:ascii="Arial" w:hAnsi="Arial" w:cs="Arial"/>
        </w:rPr>
        <w:tab/>
      </w:r>
      <w:r w:rsidR="00D24922">
        <w:rPr>
          <w:rFonts w:ascii="Arial" w:hAnsi="Arial" w:cs="Arial"/>
        </w:rPr>
        <w:t xml:space="preserve">On October 12, 2016, the </w:t>
      </w:r>
      <w:r w:rsidR="002024EC">
        <w:rPr>
          <w:rFonts w:ascii="Arial" w:hAnsi="Arial" w:cs="Arial"/>
        </w:rPr>
        <w:t>Commission authorize</w:t>
      </w:r>
      <w:r w:rsidR="00FD47E6">
        <w:rPr>
          <w:rFonts w:ascii="Arial" w:hAnsi="Arial" w:cs="Arial"/>
        </w:rPr>
        <w:t>d</w:t>
      </w:r>
      <w:r w:rsidR="003B301B">
        <w:rPr>
          <w:rFonts w:ascii="Arial" w:hAnsi="Arial" w:cs="Arial"/>
        </w:rPr>
        <w:t xml:space="preserve"> </w:t>
      </w:r>
      <w:r w:rsidR="00D24922">
        <w:rPr>
          <w:rFonts w:ascii="Arial" w:hAnsi="Arial" w:cs="Arial"/>
        </w:rPr>
        <w:t>FirstEnergy to establish</w:t>
      </w:r>
      <w:r w:rsidR="002024EC">
        <w:rPr>
          <w:rFonts w:ascii="Arial" w:hAnsi="Arial" w:cs="Arial"/>
        </w:rPr>
        <w:t xml:space="preserve"> an</w:t>
      </w:r>
      <w:r w:rsidR="00FA795C">
        <w:rPr>
          <w:rFonts w:ascii="Arial" w:hAnsi="Arial" w:cs="Arial"/>
        </w:rPr>
        <w:t xml:space="preserve"> electric security plan</w:t>
      </w:r>
      <w:r w:rsidR="002024EC">
        <w:rPr>
          <w:rFonts w:ascii="Arial" w:hAnsi="Arial" w:cs="Arial"/>
        </w:rPr>
        <w:t xml:space="preserve"> </w:t>
      </w:r>
      <w:r w:rsidR="00FA795C">
        <w:rPr>
          <w:rFonts w:ascii="Arial" w:hAnsi="Arial" w:cs="Arial"/>
        </w:rPr>
        <w:t>(“</w:t>
      </w:r>
      <w:r w:rsidR="002024EC">
        <w:rPr>
          <w:rFonts w:ascii="Arial" w:hAnsi="Arial" w:cs="Arial"/>
        </w:rPr>
        <w:t>ESP</w:t>
      </w:r>
      <w:r w:rsidR="00FA795C">
        <w:rPr>
          <w:rFonts w:ascii="Arial" w:hAnsi="Arial" w:cs="Arial"/>
        </w:rPr>
        <w:t>”)</w:t>
      </w:r>
      <w:r w:rsidR="002024EC">
        <w:rPr>
          <w:rFonts w:ascii="Arial" w:hAnsi="Arial" w:cs="Arial"/>
        </w:rPr>
        <w:t>, which included</w:t>
      </w:r>
      <w:r w:rsidR="00D24922">
        <w:rPr>
          <w:rFonts w:ascii="Arial" w:hAnsi="Arial" w:cs="Arial"/>
        </w:rPr>
        <w:t xml:space="preserve"> a Distribution Modernization Rider (“FE DMR”) to collect </w:t>
      </w:r>
      <w:r w:rsidR="00D24922" w:rsidRPr="0064093A">
        <w:rPr>
          <w:rFonts w:ascii="Arial" w:hAnsi="Arial" w:cs="Arial"/>
        </w:rPr>
        <w:t>$13</w:t>
      </w:r>
      <w:r w:rsidR="00145504">
        <w:rPr>
          <w:rFonts w:ascii="Arial" w:hAnsi="Arial" w:cs="Arial"/>
        </w:rPr>
        <w:t>3</w:t>
      </w:r>
      <w:r w:rsidR="00D24922" w:rsidRPr="0064093A">
        <w:rPr>
          <w:rFonts w:ascii="Arial" w:hAnsi="Arial" w:cs="Arial"/>
        </w:rPr>
        <w:t xml:space="preserve"> million per year after tax.</w:t>
      </w:r>
      <w:r w:rsidR="008151F8">
        <w:rPr>
          <w:rStyle w:val="FootnoteReference"/>
          <w:rFonts w:ascii="Arial" w:hAnsi="Arial" w:cs="Arial"/>
        </w:rPr>
        <w:footnoteReference w:id="6"/>
      </w:r>
      <w:r w:rsidR="00D24922" w:rsidRPr="0064093A">
        <w:rPr>
          <w:rFonts w:ascii="Arial" w:hAnsi="Arial" w:cs="Arial"/>
        </w:rPr>
        <w:t xml:space="preserve"> </w:t>
      </w:r>
      <w:r w:rsidR="000748A9">
        <w:rPr>
          <w:rFonts w:ascii="Arial" w:hAnsi="Arial" w:cs="Arial"/>
        </w:rPr>
        <w:t xml:space="preserve">In authorizing the </w:t>
      </w:r>
      <w:r w:rsidR="00972CC8">
        <w:rPr>
          <w:rFonts w:ascii="Arial" w:hAnsi="Arial" w:cs="Arial"/>
        </w:rPr>
        <w:t>F</w:t>
      </w:r>
      <w:r w:rsidR="00647AA5">
        <w:rPr>
          <w:rFonts w:ascii="Arial" w:hAnsi="Arial" w:cs="Arial"/>
        </w:rPr>
        <w:t>E</w:t>
      </w:r>
      <w:r w:rsidR="00972CC8">
        <w:rPr>
          <w:rFonts w:ascii="Arial" w:hAnsi="Arial" w:cs="Arial"/>
        </w:rPr>
        <w:t xml:space="preserve"> </w:t>
      </w:r>
      <w:r w:rsidR="000748A9">
        <w:rPr>
          <w:rFonts w:ascii="Arial" w:hAnsi="Arial" w:cs="Arial"/>
        </w:rPr>
        <w:t xml:space="preserve">DMR, the Commission </w:t>
      </w:r>
      <w:r w:rsidR="001B0161">
        <w:rPr>
          <w:rFonts w:ascii="Arial" w:hAnsi="Arial" w:cs="Arial"/>
        </w:rPr>
        <w:t>concluded that the “</w:t>
      </w:r>
      <w:r w:rsidR="001B0161" w:rsidRPr="001B0161">
        <w:rPr>
          <w:rFonts w:ascii="Arial" w:hAnsi="Arial" w:cs="Arial"/>
        </w:rPr>
        <w:t>DMR will address a demonstrated need for credit support for the Companies in order to</w:t>
      </w:r>
      <w:r w:rsidR="001B0161">
        <w:rPr>
          <w:rFonts w:ascii="Arial" w:hAnsi="Arial" w:cs="Arial"/>
        </w:rPr>
        <w:t xml:space="preserve"> </w:t>
      </w:r>
      <w:r w:rsidR="001B0161" w:rsidRPr="001B0161">
        <w:rPr>
          <w:rFonts w:ascii="Arial" w:hAnsi="Arial" w:cs="Arial"/>
        </w:rPr>
        <w:t>ensure that the Companies have access to capital markets in order to make investments in</w:t>
      </w:r>
      <w:r w:rsidR="001B0161">
        <w:rPr>
          <w:rFonts w:ascii="Arial" w:hAnsi="Arial" w:cs="Arial"/>
        </w:rPr>
        <w:t xml:space="preserve"> their distribution system.”</w:t>
      </w:r>
      <w:r w:rsidR="00A06870">
        <w:rPr>
          <w:rStyle w:val="FootnoteReference"/>
          <w:rFonts w:ascii="Arial" w:hAnsi="Arial" w:cs="Arial"/>
        </w:rPr>
        <w:footnoteReference w:id="7"/>
      </w:r>
      <w:r w:rsidR="001B0161">
        <w:rPr>
          <w:rFonts w:ascii="Arial" w:hAnsi="Arial" w:cs="Arial"/>
        </w:rPr>
        <w:t xml:space="preserve">  </w:t>
      </w:r>
      <w:r w:rsidR="000748A9" w:rsidRPr="001B0161">
        <w:rPr>
          <w:rFonts w:ascii="Arial" w:hAnsi="Arial" w:cs="Arial"/>
        </w:rPr>
        <w:t>The rider was designed to provide $13</w:t>
      </w:r>
      <w:r w:rsidR="005A405A">
        <w:rPr>
          <w:rFonts w:ascii="Arial" w:hAnsi="Arial" w:cs="Arial"/>
        </w:rPr>
        <w:t>3</w:t>
      </w:r>
      <w:r w:rsidR="000748A9" w:rsidRPr="001B0161">
        <w:rPr>
          <w:rFonts w:ascii="Arial" w:hAnsi="Arial" w:cs="Arial"/>
        </w:rPr>
        <w:t xml:space="preserve"> million per year after tax “in order to improve FirstEnergy's credit position, as determined by its Cash Flow from Operations per-Working Capital (CFO) to debt ratio.”</w:t>
      </w:r>
      <w:r w:rsidR="000F3B4B">
        <w:rPr>
          <w:rStyle w:val="FootnoteReference"/>
          <w:rFonts w:ascii="Arial" w:hAnsi="Arial" w:cs="Arial"/>
        </w:rPr>
        <w:footnoteReference w:id="8"/>
      </w:r>
      <w:r w:rsidR="001B0161" w:rsidRPr="001B0161">
        <w:t xml:space="preserve">  </w:t>
      </w:r>
      <w:r w:rsidR="001B0161" w:rsidRPr="001B0161">
        <w:rPr>
          <w:rFonts w:ascii="Arial" w:hAnsi="Arial" w:cs="Arial"/>
        </w:rPr>
        <w:t>“</w:t>
      </w:r>
      <w:r w:rsidR="005A405A">
        <w:rPr>
          <w:rFonts w:ascii="Arial" w:hAnsi="Arial" w:cs="Arial"/>
        </w:rPr>
        <w:t>The Commission concluded that t</w:t>
      </w:r>
      <w:r w:rsidR="001B0161" w:rsidRPr="001B0161">
        <w:rPr>
          <w:rFonts w:ascii="Arial" w:hAnsi="Arial" w:cs="Arial"/>
        </w:rPr>
        <w:t>he Rider DMR will provide a needed incentive to the Companies to focus innovation and resources on grid modernizatio</w:t>
      </w:r>
      <w:r w:rsidR="00AC3FB2">
        <w:rPr>
          <w:rFonts w:ascii="Arial" w:hAnsi="Arial" w:cs="Arial"/>
        </w:rPr>
        <w:t>n</w:t>
      </w:r>
      <w:r w:rsidR="001B0161" w:rsidRPr="001B0161">
        <w:rPr>
          <w:rFonts w:ascii="Arial" w:hAnsi="Arial" w:cs="Arial"/>
        </w:rPr>
        <w:t>.</w:t>
      </w:r>
      <w:r w:rsidR="001B0161">
        <w:rPr>
          <w:rFonts w:ascii="Arial" w:hAnsi="Arial" w:cs="Arial"/>
        </w:rPr>
        <w:t>”</w:t>
      </w:r>
      <w:r w:rsidR="000F3B4B">
        <w:rPr>
          <w:rStyle w:val="FootnoteReference"/>
          <w:rFonts w:ascii="Arial" w:hAnsi="Arial" w:cs="Arial"/>
        </w:rPr>
        <w:footnoteReference w:id="9"/>
      </w:r>
      <w:r w:rsidR="001B0161" w:rsidRPr="001B0161">
        <w:rPr>
          <w:rFonts w:ascii="Arial" w:hAnsi="Arial" w:cs="Arial"/>
        </w:rPr>
        <w:t xml:space="preserve">  </w:t>
      </w:r>
    </w:p>
    <w:p w14:paraId="1B3A3018" w14:textId="26E7807B" w:rsidR="00AC3FB2" w:rsidRPr="001B0161" w:rsidRDefault="00AC3FB2" w:rsidP="00AC3FB2">
      <w:pPr>
        <w:spacing w:after="0" w:line="480" w:lineRule="auto"/>
        <w:jc w:val="both"/>
        <w:rPr>
          <w:rFonts w:ascii="Arial" w:hAnsi="Arial" w:cs="Arial"/>
        </w:rPr>
      </w:pPr>
      <w:r>
        <w:rPr>
          <w:rFonts w:ascii="Arial" w:hAnsi="Arial" w:cs="Arial"/>
        </w:rPr>
        <w:tab/>
        <w:t xml:space="preserve">The Commission </w:t>
      </w:r>
      <w:r w:rsidR="008B4A84">
        <w:rPr>
          <w:rFonts w:ascii="Arial" w:hAnsi="Arial" w:cs="Arial"/>
        </w:rPr>
        <w:t>authorized</w:t>
      </w:r>
      <w:r>
        <w:rPr>
          <w:rFonts w:ascii="Arial" w:hAnsi="Arial" w:cs="Arial"/>
        </w:rPr>
        <w:t xml:space="preserve"> the </w:t>
      </w:r>
      <w:r w:rsidR="008B4A84">
        <w:rPr>
          <w:rFonts w:ascii="Arial" w:hAnsi="Arial" w:cs="Arial"/>
        </w:rPr>
        <w:t xml:space="preserve">FE </w:t>
      </w:r>
      <w:r>
        <w:rPr>
          <w:rFonts w:ascii="Arial" w:hAnsi="Arial" w:cs="Arial"/>
        </w:rPr>
        <w:t xml:space="preserve">DMR </w:t>
      </w:r>
      <w:r w:rsidR="008B4A84">
        <w:rPr>
          <w:rFonts w:ascii="Arial" w:hAnsi="Arial" w:cs="Arial"/>
        </w:rPr>
        <w:t>with</w:t>
      </w:r>
      <w:r>
        <w:rPr>
          <w:rFonts w:ascii="Arial" w:hAnsi="Arial" w:cs="Arial"/>
        </w:rPr>
        <w:t xml:space="preserve"> the following three conditions:  (1) </w:t>
      </w:r>
      <w:r w:rsidRPr="00AC3FB2">
        <w:rPr>
          <w:rFonts w:ascii="Arial" w:hAnsi="Arial" w:cs="Arial"/>
        </w:rPr>
        <w:t xml:space="preserve">maintaining FirstEnergy’s headquarters in Akron; (2) no change in control of FirstEnergy; and (3) “a demonstration of sufficient progress in the implementation and deployment of </w:t>
      </w:r>
      <w:r w:rsidRPr="00AC3FB2">
        <w:rPr>
          <w:rFonts w:ascii="Arial" w:hAnsi="Arial" w:cs="Arial"/>
        </w:rPr>
        <w:lastRenderedPageBreak/>
        <w:t>grid modernization programs approved by the Commission.”</w:t>
      </w:r>
      <w:r w:rsidR="005E3182">
        <w:rPr>
          <w:rStyle w:val="FootnoteReference"/>
          <w:rFonts w:ascii="Arial" w:hAnsi="Arial" w:cs="Arial"/>
        </w:rPr>
        <w:footnoteReference w:id="10"/>
      </w:r>
      <w:r w:rsidRPr="00AC3FB2">
        <w:rPr>
          <w:rFonts w:ascii="Arial" w:hAnsi="Arial" w:cs="Arial"/>
        </w:rPr>
        <w:t xml:space="preserve"> Regarding grid modernization, the Commission indicated that “the Commission will undertake a detailed policy review of grid modernization in the near future. Following such review, we will address FirstEnergy's pending grid modernization application</w:t>
      </w:r>
      <w:r w:rsidR="00130ED3">
        <w:rPr>
          <w:rFonts w:ascii="Arial" w:hAnsi="Arial" w:cs="Arial"/>
        </w:rPr>
        <w:t>,</w:t>
      </w:r>
      <w:r w:rsidRPr="00AC3FB2">
        <w:rPr>
          <w:rFonts w:ascii="Arial" w:hAnsi="Arial" w:cs="Arial"/>
        </w:rPr>
        <w:t>”</w:t>
      </w:r>
      <w:r w:rsidR="00130ED3">
        <w:rPr>
          <w:rFonts w:ascii="Arial" w:hAnsi="Arial" w:cs="Arial"/>
        </w:rPr>
        <w:t xml:space="preserve"> which FirstEnergy was required to file </w:t>
      </w:r>
      <w:r w:rsidR="00626604">
        <w:rPr>
          <w:rFonts w:ascii="Arial" w:hAnsi="Arial" w:cs="Arial"/>
        </w:rPr>
        <w:t>under the Stipulation.</w:t>
      </w:r>
      <w:r w:rsidR="00583080">
        <w:rPr>
          <w:rStyle w:val="FootnoteReference"/>
          <w:rFonts w:ascii="Arial" w:hAnsi="Arial" w:cs="Arial"/>
        </w:rPr>
        <w:footnoteReference w:id="11"/>
      </w:r>
      <w:r w:rsidR="008B4A84">
        <w:rPr>
          <w:rFonts w:ascii="Arial" w:hAnsi="Arial" w:cs="Arial"/>
        </w:rPr>
        <w:t xml:space="preserve">  Stated differently, while the ESP included a placeholder rider for grid modernization, no specific grid modernization </w:t>
      </w:r>
      <w:r w:rsidR="00972CC8">
        <w:rPr>
          <w:rFonts w:ascii="Arial" w:hAnsi="Arial" w:cs="Arial"/>
        </w:rPr>
        <w:t xml:space="preserve">investments were </w:t>
      </w:r>
      <w:r w:rsidR="008B4A84">
        <w:rPr>
          <w:rFonts w:ascii="Arial" w:hAnsi="Arial" w:cs="Arial"/>
        </w:rPr>
        <w:t xml:space="preserve">authorized </w:t>
      </w:r>
      <w:r w:rsidR="00972CC8">
        <w:rPr>
          <w:rFonts w:ascii="Arial" w:hAnsi="Arial" w:cs="Arial"/>
        </w:rPr>
        <w:t xml:space="preserve">or required </w:t>
      </w:r>
      <w:r w:rsidR="008B4A84">
        <w:rPr>
          <w:rFonts w:ascii="Arial" w:hAnsi="Arial" w:cs="Arial"/>
        </w:rPr>
        <w:t>in the proceeding</w:t>
      </w:r>
      <w:r w:rsidR="008E365C">
        <w:rPr>
          <w:rFonts w:ascii="Arial" w:hAnsi="Arial" w:cs="Arial"/>
        </w:rPr>
        <w:t>.</w:t>
      </w:r>
    </w:p>
    <w:p w14:paraId="2253BAB3" w14:textId="5D7D2294" w:rsidR="00145504" w:rsidRDefault="00226949" w:rsidP="00145504">
      <w:pPr>
        <w:spacing w:after="0" w:line="480" w:lineRule="auto"/>
        <w:ind w:firstLine="720"/>
        <w:jc w:val="both"/>
        <w:rPr>
          <w:rFonts w:ascii="Arial" w:hAnsi="Arial" w:cs="Arial"/>
        </w:rPr>
      </w:pPr>
      <w:r w:rsidRPr="001B0161">
        <w:rPr>
          <w:rFonts w:ascii="Arial" w:hAnsi="Arial" w:cs="Arial"/>
        </w:rPr>
        <w:t>Right around that same time</w:t>
      </w:r>
      <w:r w:rsidR="00AC3FB2">
        <w:rPr>
          <w:rFonts w:ascii="Arial" w:hAnsi="Arial" w:cs="Arial"/>
        </w:rPr>
        <w:t xml:space="preserve"> that the Commission authorized the FE DMR</w:t>
      </w:r>
      <w:r w:rsidRPr="001B0161">
        <w:rPr>
          <w:rFonts w:ascii="Arial" w:hAnsi="Arial" w:cs="Arial"/>
        </w:rPr>
        <w:t>, i</w:t>
      </w:r>
      <w:r w:rsidR="00D24922" w:rsidRPr="001B0161">
        <w:rPr>
          <w:rFonts w:ascii="Arial" w:hAnsi="Arial" w:cs="Arial"/>
        </w:rPr>
        <w:t>n a case of monkey see, monkey do</w:t>
      </w:r>
      <w:r w:rsidRPr="001B0161">
        <w:rPr>
          <w:rFonts w:ascii="Arial" w:hAnsi="Arial" w:cs="Arial"/>
        </w:rPr>
        <w:t>—a familiar theme in Commission proceedings—</w:t>
      </w:r>
      <w:r w:rsidR="00D24922" w:rsidRPr="001B0161">
        <w:rPr>
          <w:rFonts w:ascii="Arial" w:hAnsi="Arial" w:cs="Arial"/>
        </w:rPr>
        <w:t xml:space="preserve">DP&amp;L modified its </w:t>
      </w:r>
      <w:r w:rsidR="00391F32">
        <w:rPr>
          <w:rFonts w:ascii="Arial" w:hAnsi="Arial" w:cs="Arial"/>
        </w:rPr>
        <w:t>ESP</w:t>
      </w:r>
      <w:r w:rsidR="00D24922" w:rsidRPr="001B0161">
        <w:rPr>
          <w:rFonts w:ascii="Arial" w:hAnsi="Arial" w:cs="Arial"/>
        </w:rPr>
        <w:t xml:space="preserve"> application to request its own D</w:t>
      </w:r>
      <w:r w:rsidR="008E365C">
        <w:rPr>
          <w:rFonts w:ascii="Arial" w:hAnsi="Arial" w:cs="Arial"/>
        </w:rPr>
        <w:t>MR</w:t>
      </w:r>
      <w:r w:rsidR="00D24922" w:rsidRPr="001B0161">
        <w:rPr>
          <w:rFonts w:ascii="Arial" w:hAnsi="Arial" w:cs="Arial"/>
        </w:rPr>
        <w:t>.</w:t>
      </w:r>
      <w:r w:rsidR="000507BC">
        <w:rPr>
          <w:rStyle w:val="FootnoteReference"/>
          <w:rFonts w:ascii="Arial" w:hAnsi="Arial" w:cs="Arial"/>
        </w:rPr>
        <w:footnoteReference w:id="12"/>
      </w:r>
      <w:r w:rsidR="00145504">
        <w:rPr>
          <w:rFonts w:ascii="Arial" w:hAnsi="Arial" w:cs="Arial"/>
        </w:rPr>
        <w:t xml:space="preserve">  The charge was proposed to support DP&amp;L’s financial integrity, with the prospect of eventual grid modernization mentioned as an afterthought.  </w:t>
      </w:r>
    </w:p>
    <w:p w14:paraId="012E1E6D" w14:textId="77777777" w:rsidR="00145504" w:rsidRDefault="00145504" w:rsidP="00145504">
      <w:pPr>
        <w:spacing w:after="0" w:line="480" w:lineRule="auto"/>
        <w:ind w:firstLine="720"/>
        <w:jc w:val="both"/>
        <w:rPr>
          <w:rFonts w:ascii="Arial" w:hAnsi="Arial" w:cs="Arial"/>
        </w:rPr>
      </w:pPr>
      <w:r>
        <w:rPr>
          <w:rFonts w:ascii="Arial" w:hAnsi="Arial" w:cs="Arial"/>
        </w:rPr>
        <w:t>Specifically, DP&amp;L alleged that “[t]</w:t>
      </w:r>
      <w:r w:rsidRPr="00964291">
        <w:rPr>
          <w:rFonts w:ascii="Arial" w:hAnsi="Arial" w:cs="Arial"/>
        </w:rPr>
        <w:t>he DMR is necessary</w:t>
      </w:r>
      <w:r>
        <w:rPr>
          <w:rFonts w:ascii="Arial" w:hAnsi="Arial" w:cs="Arial"/>
        </w:rPr>
        <w:t xml:space="preserve"> </w:t>
      </w:r>
      <w:r w:rsidRPr="00964291">
        <w:rPr>
          <w:rFonts w:ascii="Arial" w:hAnsi="Arial" w:cs="Arial"/>
        </w:rPr>
        <w:t>to allow DP&amp;L to maintain its financial integrity and to allow DP&amp;L to access equity and debt</w:t>
      </w:r>
      <w:r>
        <w:rPr>
          <w:rFonts w:ascii="Arial" w:hAnsi="Arial" w:cs="Arial"/>
        </w:rPr>
        <w:t xml:space="preserve"> </w:t>
      </w:r>
      <w:r w:rsidRPr="00964291">
        <w:rPr>
          <w:rFonts w:ascii="Arial" w:hAnsi="Arial" w:cs="Arial"/>
        </w:rPr>
        <w:t>capital in order to finance transmission and distribution infrastructure modernization</w:t>
      </w:r>
      <w:r>
        <w:rPr>
          <w:rFonts w:ascii="Arial" w:hAnsi="Arial" w:cs="Arial"/>
        </w:rPr>
        <w:t xml:space="preserve"> </w:t>
      </w:r>
      <w:r w:rsidRPr="00964291">
        <w:rPr>
          <w:rFonts w:ascii="Arial" w:hAnsi="Arial" w:cs="Arial"/>
        </w:rPr>
        <w:t>investments.</w:t>
      </w:r>
      <w:r>
        <w:rPr>
          <w:rFonts w:ascii="Arial" w:hAnsi="Arial" w:cs="Arial"/>
        </w:rPr>
        <w:t xml:space="preserve">”  Amended Application at 1-2.  DP&amp;L did not propose any specific quantity or type of grid modernization in its amended application or any timeframe in which the investment will take place. </w:t>
      </w:r>
    </w:p>
    <w:p w14:paraId="6151F451" w14:textId="0AE7EC9B" w:rsidR="00145504" w:rsidRPr="00145504" w:rsidRDefault="00145504" w:rsidP="005A405A">
      <w:pPr>
        <w:spacing w:after="0" w:line="480" w:lineRule="auto"/>
        <w:ind w:firstLine="720"/>
        <w:jc w:val="both"/>
        <w:rPr>
          <w:rFonts w:ascii="Arial" w:hAnsi="Arial" w:cs="Arial"/>
          <w:i/>
        </w:rPr>
      </w:pPr>
      <w:r>
        <w:rPr>
          <w:rFonts w:ascii="Arial" w:hAnsi="Arial" w:cs="Arial"/>
        </w:rPr>
        <w:lastRenderedPageBreak/>
        <w:t xml:space="preserve">On March 14, 2017, DP&amp;L and certain parties entered into </w:t>
      </w:r>
      <w:r w:rsidR="008E365C">
        <w:rPr>
          <w:rFonts w:ascii="Arial" w:hAnsi="Arial" w:cs="Arial"/>
        </w:rPr>
        <w:t>a</w:t>
      </w:r>
      <w:r>
        <w:rPr>
          <w:rFonts w:ascii="Arial" w:hAnsi="Arial" w:cs="Arial"/>
        </w:rPr>
        <w:t xml:space="preserve"> Stipulation.</w:t>
      </w:r>
      <w:r w:rsidR="00583080">
        <w:rPr>
          <w:rStyle w:val="FootnoteReference"/>
          <w:rFonts w:ascii="Arial" w:hAnsi="Arial" w:cs="Arial"/>
        </w:rPr>
        <w:footnoteReference w:id="13"/>
      </w:r>
      <w:r>
        <w:rPr>
          <w:rFonts w:ascii="Arial" w:hAnsi="Arial" w:cs="Arial"/>
        </w:rPr>
        <w:t xml:space="preserve">  The Stipulation recommended that the Commission authorize the DMR to collect $105 million in revenue for three years with the option to extend the DMR for an additional two years.</w:t>
      </w:r>
      <w:r w:rsidR="00583080">
        <w:rPr>
          <w:rStyle w:val="FootnoteReference"/>
          <w:rFonts w:ascii="Arial" w:hAnsi="Arial" w:cs="Arial"/>
        </w:rPr>
        <w:footnoteReference w:id="14"/>
      </w:r>
      <w:r>
        <w:rPr>
          <w:rFonts w:ascii="Arial" w:hAnsi="Arial" w:cs="Arial"/>
        </w:rPr>
        <w:t xml:space="preserve">  The Stipulation indicates that the DMR is intended to support DP&amp;L’s financial integrity by </w:t>
      </w:r>
      <w:r w:rsidR="00AD2A3A">
        <w:rPr>
          <w:rFonts w:ascii="Arial" w:hAnsi="Arial" w:cs="Arial"/>
        </w:rPr>
        <w:t>allowing for the</w:t>
      </w:r>
      <w:r>
        <w:rPr>
          <w:rFonts w:ascii="Arial" w:hAnsi="Arial" w:cs="Arial"/>
        </w:rPr>
        <w:t xml:space="preserve"> reduc</w:t>
      </w:r>
      <w:r w:rsidR="00AD2A3A">
        <w:rPr>
          <w:rFonts w:ascii="Arial" w:hAnsi="Arial" w:cs="Arial"/>
        </w:rPr>
        <w:t>tion of</w:t>
      </w:r>
      <w:r>
        <w:rPr>
          <w:rFonts w:ascii="Arial" w:hAnsi="Arial" w:cs="Arial"/>
        </w:rPr>
        <w:t xml:space="preserve"> debt at DP&amp;L and DPL Inc.</w:t>
      </w:r>
      <w:r w:rsidR="00E20EEA">
        <w:rPr>
          <w:rStyle w:val="FootnoteReference"/>
          <w:rFonts w:ascii="Arial" w:hAnsi="Arial" w:cs="Arial"/>
        </w:rPr>
        <w:footnoteReference w:id="15"/>
      </w:r>
      <w:r>
        <w:rPr>
          <w:rFonts w:ascii="Arial" w:hAnsi="Arial" w:cs="Arial"/>
        </w:rPr>
        <w:t xml:space="preserve">  The DMR was not connected or conditioned on DP&amp;L performing any amount of investment in grid modernization</w:t>
      </w:r>
      <w:r w:rsidR="00AD2A3A">
        <w:rPr>
          <w:rFonts w:ascii="Arial" w:hAnsi="Arial" w:cs="Arial"/>
        </w:rPr>
        <w:t>.</w:t>
      </w:r>
      <w:r w:rsidR="00D866C6">
        <w:rPr>
          <w:rStyle w:val="FootnoteReference"/>
          <w:rFonts w:ascii="Arial" w:hAnsi="Arial" w:cs="Arial"/>
        </w:rPr>
        <w:footnoteReference w:id="16"/>
      </w:r>
      <w:r w:rsidR="00AD2A3A">
        <w:rPr>
          <w:rFonts w:ascii="Arial" w:hAnsi="Arial" w:cs="Arial"/>
        </w:rPr>
        <w:t xml:space="preserve">  Rather,</w:t>
      </w:r>
      <w:r>
        <w:rPr>
          <w:rFonts w:ascii="Arial" w:hAnsi="Arial" w:cs="Arial"/>
        </w:rPr>
        <w:t xml:space="preserve"> the DMR </w:t>
      </w:r>
      <w:r w:rsidR="00AD2A3A">
        <w:rPr>
          <w:rFonts w:ascii="Arial" w:hAnsi="Arial" w:cs="Arial"/>
        </w:rPr>
        <w:t>is intended</w:t>
      </w:r>
      <w:r>
        <w:rPr>
          <w:rFonts w:ascii="Arial" w:hAnsi="Arial" w:cs="Arial"/>
        </w:rPr>
        <w:t xml:space="preserve"> to “</w:t>
      </w:r>
      <w:r w:rsidRPr="00EF1899">
        <w:rPr>
          <w:rFonts w:ascii="Arial" w:hAnsi="Arial" w:cs="Arial"/>
          <w:i/>
        </w:rPr>
        <w:t>position DP&amp;L to make capital expenditures to modernize and/or maintain DP&amp;L's transmission</w:t>
      </w:r>
      <w:r>
        <w:rPr>
          <w:rFonts w:ascii="Arial" w:hAnsi="Arial" w:cs="Arial"/>
          <w:i/>
        </w:rPr>
        <w:t xml:space="preserve"> </w:t>
      </w:r>
      <w:r w:rsidRPr="00EF1899">
        <w:rPr>
          <w:rFonts w:ascii="Arial" w:hAnsi="Arial" w:cs="Arial"/>
          <w:i/>
        </w:rPr>
        <w:t>and</w:t>
      </w:r>
      <w:r>
        <w:rPr>
          <w:rFonts w:ascii="Arial" w:hAnsi="Arial" w:cs="Arial"/>
          <w:i/>
        </w:rPr>
        <w:t xml:space="preserve"> </w:t>
      </w:r>
      <w:r w:rsidRPr="00EF1899">
        <w:rPr>
          <w:rFonts w:ascii="Arial" w:hAnsi="Arial" w:cs="Arial"/>
          <w:i/>
        </w:rPr>
        <w:t>distribution infrastructure</w:t>
      </w:r>
      <w:r w:rsidRPr="00EF1899">
        <w:rPr>
          <w:rFonts w:ascii="Arial" w:hAnsi="Arial" w:cs="Arial"/>
        </w:rPr>
        <w:t>.</w:t>
      </w:r>
      <w:r>
        <w:rPr>
          <w:rFonts w:ascii="Arial" w:hAnsi="Arial" w:cs="Arial"/>
        </w:rPr>
        <w:t>”</w:t>
      </w:r>
      <w:r w:rsidR="00D866C6">
        <w:rPr>
          <w:rStyle w:val="FootnoteReference"/>
          <w:rFonts w:ascii="Arial" w:hAnsi="Arial" w:cs="Arial"/>
        </w:rPr>
        <w:footnoteReference w:id="17"/>
      </w:r>
      <w:r>
        <w:rPr>
          <w:rFonts w:ascii="Arial" w:hAnsi="Arial" w:cs="Arial"/>
        </w:rPr>
        <w:t xml:space="preserve"> </w:t>
      </w:r>
    </w:p>
    <w:p w14:paraId="2016B486" w14:textId="3232DF46" w:rsidR="00145504" w:rsidRDefault="00145504" w:rsidP="00145504">
      <w:pPr>
        <w:spacing w:after="0" w:line="480" w:lineRule="auto"/>
        <w:jc w:val="both"/>
        <w:rPr>
          <w:rFonts w:ascii="Arial" w:hAnsi="Arial" w:cs="Arial"/>
        </w:rPr>
      </w:pPr>
      <w:r>
        <w:rPr>
          <w:rFonts w:ascii="Arial" w:hAnsi="Arial" w:cs="Arial"/>
        </w:rPr>
        <w:tab/>
        <w:t>Extension of the DMR is not connected to grid modernization in any fashion. Rather, “[t]</w:t>
      </w:r>
      <w:r w:rsidRPr="00EF1899">
        <w:rPr>
          <w:rFonts w:ascii="Arial" w:hAnsi="Arial" w:cs="Arial"/>
        </w:rPr>
        <w:t>he</w:t>
      </w:r>
      <w:r>
        <w:rPr>
          <w:rFonts w:ascii="Arial" w:hAnsi="Arial" w:cs="Arial"/>
        </w:rPr>
        <w:t xml:space="preserve"> </w:t>
      </w:r>
      <w:r w:rsidRPr="00EF1899">
        <w:rPr>
          <w:rFonts w:ascii="Arial" w:hAnsi="Arial" w:cs="Arial"/>
        </w:rPr>
        <w:t xml:space="preserve">Commission will determine the amount of the Rider DMR for the </w:t>
      </w:r>
      <w:proofErr w:type="gramStart"/>
      <w:r w:rsidRPr="00EF1899">
        <w:rPr>
          <w:rFonts w:ascii="Arial" w:hAnsi="Arial" w:cs="Arial"/>
        </w:rPr>
        <w:t>two</w:t>
      </w:r>
      <w:r>
        <w:rPr>
          <w:rFonts w:ascii="Arial" w:hAnsi="Arial" w:cs="Arial"/>
        </w:rPr>
        <w:t xml:space="preserve"> </w:t>
      </w:r>
      <w:r w:rsidRPr="00EF1899">
        <w:rPr>
          <w:rFonts w:ascii="Arial" w:hAnsi="Arial" w:cs="Arial"/>
        </w:rPr>
        <w:t>year</w:t>
      </w:r>
      <w:proofErr w:type="gramEnd"/>
      <w:r w:rsidRPr="00EF1899">
        <w:rPr>
          <w:rFonts w:ascii="Arial" w:hAnsi="Arial" w:cs="Arial"/>
        </w:rPr>
        <w:t xml:space="preserve"> extension period based upon the evidence presented in the separate</w:t>
      </w:r>
      <w:r>
        <w:rPr>
          <w:rFonts w:ascii="Arial" w:hAnsi="Arial" w:cs="Arial"/>
        </w:rPr>
        <w:t xml:space="preserve"> </w:t>
      </w:r>
      <w:r w:rsidRPr="00EF1899">
        <w:rPr>
          <w:rFonts w:ascii="Arial" w:hAnsi="Arial" w:cs="Arial"/>
        </w:rPr>
        <w:t>docket, including, but not limited to evidence of DPL Inc.'s and DP&amp;L's</w:t>
      </w:r>
      <w:r>
        <w:rPr>
          <w:rFonts w:ascii="Arial" w:hAnsi="Arial" w:cs="Arial"/>
        </w:rPr>
        <w:t xml:space="preserve"> </w:t>
      </w:r>
      <w:r w:rsidRPr="00EF1899">
        <w:rPr>
          <w:rFonts w:ascii="Arial" w:hAnsi="Arial" w:cs="Arial"/>
        </w:rPr>
        <w:t>financial needs and evidence of the measures undertaken by DPL Inc. and</w:t>
      </w:r>
      <w:r>
        <w:rPr>
          <w:rFonts w:ascii="Arial" w:hAnsi="Arial" w:cs="Arial"/>
        </w:rPr>
        <w:t xml:space="preserve"> </w:t>
      </w:r>
      <w:r w:rsidRPr="00EF1899">
        <w:rPr>
          <w:rFonts w:ascii="Arial" w:hAnsi="Arial" w:cs="Arial"/>
        </w:rPr>
        <w:t>DP&amp;L, to address their financial issues</w:t>
      </w:r>
      <w:r>
        <w:rPr>
          <w:rFonts w:ascii="Arial" w:hAnsi="Arial" w:cs="Arial"/>
        </w:rPr>
        <w:t>.”</w:t>
      </w:r>
      <w:r w:rsidR="00D866C6">
        <w:rPr>
          <w:rStyle w:val="FootnoteReference"/>
          <w:rFonts w:ascii="Arial" w:hAnsi="Arial" w:cs="Arial"/>
        </w:rPr>
        <w:footnoteReference w:id="18"/>
      </w:r>
    </w:p>
    <w:p w14:paraId="2218499B" w14:textId="661D40C5" w:rsidR="00145504" w:rsidRDefault="00145504" w:rsidP="00145504">
      <w:pPr>
        <w:spacing w:after="0" w:line="480" w:lineRule="auto"/>
        <w:jc w:val="both"/>
        <w:rPr>
          <w:rFonts w:ascii="Arial" w:hAnsi="Arial" w:cs="Arial"/>
        </w:rPr>
      </w:pPr>
      <w:r>
        <w:rPr>
          <w:rFonts w:ascii="Arial" w:hAnsi="Arial" w:cs="Arial"/>
        </w:rPr>
        <w:tab/>
        <w:t>The Stipulation contemplates the potential for grid modernization at some point in the future.  But not until after either February 2018 or the completion of the PowerForward initiative—unless an extension is recommended by Staff or granted by the Commission.  “Th</w:t>
      </w:r>
      <w:r w:rsidRPr="00E25218">
        <w:rPr>
          <w:rFonts w:ascii="Arial" w:hAnsi="Arial" w:cs="Arial"/>
        </w:rPr>
        <w:t xml:space="preserve">e costs of DP&amp;L's grid modernization efforts as outlined in the </w:t>
      </w:r>
      <w:r w:rsidRPr="00E25218">
        <w:rPr>
          <w:rFonts w:ascii="Arial" w:hAnsi="Arial" w:cs="Arial"/>
          <w:i/>
        </w:rPr>
        <w:t>to-be filed</w:t>
      </w:r>
      <w:r w:rsidRPr="00E25218">
        <w:rPr>
          <w:rFonts w:ascii="Arial" w:hAnsi="Arial" w:cs="Arial"/>
        </w:rPr>
        <w:t xml:space="preserve"> </w:t>
      </w:r>
      <w:r w:rsidRPr="00E25218">
        <w:rPr>
          <w:rFonts w:ascii="Arial" w:hAnsi="Arial" w:cs="Arial"/>
        </w:rPr>
        <w:lastRenderedPageBreak/>
        <w:t>Modernization Plan, once approved by the Commission, will be</w:t>
      </w:r>
      <w:r>
        <w:rPr>
          <w:rFonts w:ascii="Arial" w:hAnsi="Arial" w:cs="Arial"/>
        </w:rPr>
        <w:t xml:space="preserve"> </w:t>
      </w:r>
      <w:r w:rsidRPr="00E25218">
        <w:rPr>
          <w:rFonts w:ascii="Arial" w:hAnsi="Arial" w:cs="Arial"/>
        </w:rPr>
        <w:t>recovered through a new Smart Grid Rider ("SGR").</w:t>
      </w:r>
      <w:r w:rsidR="00317D2E">
        <w:rPr>
          <w:rFonts w:ascii="Arial" w:hAnsi="Arial" w:cs="Arial"/>
        </w:rPr>
        <w:t>”</w:t>
      </w:r>
      <w:r w:rsidR="001323EB">
        <w:rPr>
          <w:rStyle w:val="FootnoteReference"/>
          <w:rFonts w:ascii="Arial" w:hAnsi="Arial" w:cs="Arial"/>
        </w:rPr>
        <w:footnoteReference w:id="19"/>
      </w:r>
      <w:r>
        <w:rPr>
          <w:rFonts w:ascii="Arial" w:hAnsi="Arial" w:cs="Arial"/>
        </w:rPr>
        <w:t xml:space="preserve"> </w:t>
      </w:r>
    </w:p>
    <w:p w14:paraId="18CC7961" w14:textId="081D4B14" w:rsidR="00145504" w:rsidRDefault="00753D72" w:rsidP="00145504">
      <w:pPr>
        <w:spacing w:after="0" w:line="480" w:lineRule="auto"/>
        <w:ind w:firstLine="720"/>
        <w:jc w:val="both"/>
        <w:rPr>
          <w:rFonts w:ascii="Arial" w:hAnsi="Arial" w:cs="Arial"/>
        </w:rPr>
      </w:pPr>
      <w:r>
        <w:rPr>
          <w:rFonts w:ascii="Arial" w:hAnsi="Arial" w:cs="Arial"/>
        </w:rPr>
        <w:t>Neither t</w:t>
      </w:r>
      <w:r w:rsidR="00145504">
        <w:rPr>
          <w:rFonts w:ascii="Arial" w:hAnsi="Arial" w:cs="Arial"/>
        </w:rPr>
        <w:t>he Stipulation</w:t>
      </w:r>
      <w:r>
        <w:rPr>
          <w:rFonts w:ascii="Arial" w:hAnsi="Arial" w:cs="Arial"/>
        </w:rPr>
        <w:t xml:space="preserve"> or supporting </w:t>
      </w:r>
      <w:r w:rsidR="00320955">
        <w:rPr>
          <w:rFonts w:ascii="Arial" w:hAnsi="Arial" w:cs="Arial"/>
        </w:rPr>
        <w:t>testimony</w:t>
      </w:r>
      <w:r w:rsidR="00145504">
        <w:rPr>
          <w:rFonts w:ascii="Arial" w:hAnsi="Arial" w:cs="Arial"/>
        </w:rPr>
        <w:t xml:space="preserve"> provided </w:t>
      </w:r>
      <w:r w:rsidR="0065783C">
        <w:rPr>
          <w:rFonts w:ascii="Arial" w:hAnsi="Arial" w:cs="Arial"/>
        </w:rPr>
        <w:t>any</w:t>
      </w:r>
      <w:r w:rsidR="00145504">
        <w:rPr>
          <w:rFonts w:ascii="Arial" w:hAnsi="Arial" w:cs="Arial"/>
        </w:rPr>
        <w:t xml:space="preserve"> connection between smart grid investment or the level of the charge included in the DMR.  Additionally, the Stipulation neither conditioned collection of DMR on the commencement or completion of grid modernization, nor did the Stipulation recommend that the DMR funds be returned to customers if certain milestones are not achieved.  </w:t>
      </w:r>
    </w:p>
    <w:p w14:paraId="77594F4F" w14:textId="11533CC4" w:rsidR="00145504" w:rsidRDefault="00145504" w:rsidP="00145504">
      <w:pPr>
        <w:spacing w:after="0" w:line="480" w:lineRule="auto"/>
        <w:ind w:firstLine="720"/>
        <w:jc w:val="both"/>
        <w:rPr>
          <w:rFonts w:ascii="Arial" w:hAnsi="Arial" w:cs="Arial"/>
        </w:rPr>
      </w:pPr>
      <w:r>
        <w:rPr>
          <w:rFonts w:ascii="Arial" w:hAnsi="Arial" w:cs="Arial"/>
        </w:rPr>
        <w:t>To date, the Commission has not authorized any grid modernization costs.  Yet, DP&amp;L has</w:t>
      </w:r>
      <w:r w:rsidR="001C3B42">
        <w:rPr>
          <w:rFonts w:ascii="Arial" w:hAnsi="Arial" w:cs="Arial"/>
        </w:rPr>
        <w:t xml:space="preserve"> likely</w:t>
      </w:r>
      <w:r>
        <w:rPr>
          <w:rFonts w:ascii="Arial" w:hAnsi="Arial" w:cs="Arial"/>
        </w:rPr>
        <w:t xml:space="preserve"> collected nearly two hundred million</w:t>
      </w:r>
      <w:r w:rsidR="001C3B42">
        <w:rPr>
          <w:rFonts w:ascii="Arial" w:hAnsi="Arial" w:cs="Arial"/>
        </w:rPr>
        <w:t xml:space="preserve"> dollars</w:t>
      </w:r>
      <w:r>
        <w:rPr>
          <w:rFonts w:ascii="Arial" w:hAnsi="Arial" w:cs="Arial"/>
        </w:rPr>
        <w:t xml:space="preserve"> in DMR revenue from customers, with no strings attached.</w:t>
      </w:r>
    </w:p>
    <w:p w14:paraId="38447812" w14:textId="57D92893" w:rsidR="00145504" w:rsidRDefault="00145504" w:rsidP="00145504">
      <w:pPr>
        <w:spacing w:after="0" w:line="480" w:lineRule="auto"/>
        <w:ind w:firstLine="720"/>
        <w:jc w:val="both"/>
        <w:rPr>
          <w:rFonts w:ascii="Arial" w:hAnsi="Arial" w:cs="Arial"/>
        </w:rPr>
      </w:pPr>
      <w:r>
        <w:rPr>
          <w:rFonts w:ascii="Arial" w:hAnsi="Arial" w:cs="Arial"/>
        </w:rPr>
        <w:t>DP&amp;L has argued that the DMR is lawful although, even without the DMR, it admits that it would earn a just and reasonable rate of return for the provision of distribution service.</w:t>
      </w:r>
      <w:r w:rsidR="00CB073C">
        <w:rPr>
          <w:rStyle w:val="FootnoteReference"/>
          <w:rFonts w:ascii="Arial" w:hAnsi="Arial" w:cs="Arial"/>
        </w:rPr>
        <w:footnoteReference w:id="20"/>
      </w:r>
      <w:r>
        <w:rPr>
          <w:rFonts w:ascii="Arial" w:hAnsi="Arial" w:cs="Arial"/>
        </w:rPr>
        <w:t xml:space="preserve">  Without the DMR, its existing cash flows are </w:t>
      </w:r>
      <w:proofErr w:type="gramStart"/>
      <w:r>
        <w:rPr>
          <w:rFonts w:ascii="Arial" w:hAnsi="Arial" w:cs="Arial"/>
        </w:rPr>
        <w:t>sufficient</w:t>
      </w:r>
      <w:proofErr w:type="gramEnd"/>
      <w:r>
        <w:rPr>
          <w:rFonts w:ascii="Arial" w:hAnsi="Arial" w:cs="Arial"/>
        </w:rPr>
        <w:t xml:space="preserve"> to cover all of its ongoing expenses.</w:t>
      </w:r>
      <w:r w:rsidR="00470B08">
        <w:rPr>
          <w:rStyle w:val="FootnoteReference"/>
          <w:rFonts w:ascii="Arial" w:hAnsi="Arial" w:cs="Arial"/>
        </w:rPr>
        <w:footnoteReference w:id="21"/>
      </w:r>
      <w:r w:rsidR="004067A2">
        <w:rPr>
          <w:rFonts w:ascii="Arial" w:hAnsi="Arial" w:cs="Arial"/>
        </w:rPr>
        <w:t xml:space="preserve">  </w:t>
      </w:r>
      <w:r>
        <w:rPr>
          <w:rFonts w:ascii="Arial" w:hAnsi="Arial" w:cs="Arial"/>
        </w:rPr>
        <w:t xml:space="preserve">  </w:t>
      </w:r>
    </w:p>
    <w:p w14:paraId="59474FE1" w14:textId="77777777" w:rsidR="00961B49" w:rsidRDefault="00145504" w:rsidP="00145504">
      <w:pPr>
        <w:spacing w:after="0" w:line="480" w:lineRule="auto"/>
        <w:ind w:firstLine="720"/>
        <w:jc w:val="both"/>
        <w:rPr>
          <w:rFonts w:ascii="Arial" w:hAnsi="Arial" w:cs="Arial"/>
        </w:rPr>
      </w:pPr>
      <w:r>
        <w:rPr>
          <w:rFonts w:ascii="Arial" w:hAnsi="Arial" w:cs="Arial"/>
        </w:rPr>
        <w:t>It is not disputed that the main purpose of the DMR is to prop up the balance sheet of DP&amp;L’s unregulated parent company, DPL Inc. Particularly, 65-70% of each dollar collected through the DMR is intended to pay off the debts of DPL Inc.</w:t>
      </w:r>
      <w:r w:rsidR="000D5C15">
        <w:rPr>
          <w:rStyle w:val="FootnoteReference"/>
          <w:rFonts w:ascii="Arial" w:hAnsi="Arial" w:cs="Arial"/>
        </w:rPr>
        <w:footnoteReference w:id="22"/>
      </w:r>
      <w:r>
        <w:rPr>
          <w:rFonts w:ascii="Arial" w:hAnsi="Arial" w:cs="Arial"/>
        </w:rPr>
        <w:t xml:space="preserve">    </w:t>
      </w:r>
    </w:p>
    <w:p w14:paraId="163F5848" w14:textId="77777777" w:rsidR="00961B49" w:rsidRDefault="00961B49" w:rsidP="00145504">
      <w:pPr>
        <w:spacing w:after="0" w:line="480" w:lineRule="auto"/>
        <w:ind w:firstLine="720"/>
        <w:jc w:val="both"/>
        <w:rPr>
          <w:rFonts w:ascii="Arial" w:hAnsi="Arial" w:cs="Arial"/>
        </w:rPr>
      </w:pPr>
    </w:p>
    <w:p w14:paraId="23A0671B" w14:textId="1FD05451" w:rsidR="00F5766C" w:rsidRDefault="00145504" w:rsidP="00145504">
      <w:pPr>
        <w:spacing w:after="0" w:line="480" w:lineRule="auto"/>
        <w:ind w:firstLine="720"/>
        <w:jc w:val="both"/>
        <w:rPr>
          <w:rFonts w:ascii="Arial" w:hAnsi="Arial" w:cs="Arial"/>
        </w:rPr>
      </w:pPr>
      <w:r>
        <w:rPr>
          <w:rFonts w:ascii="Arial" w:hAnsi="Arial" w:cs="Arial"/>
        </w:rPr>
        <w:t xml:space="preserve"> </w:t>
      </w:r>
    </w:p>
    <w:p w14:paraId="35BF1372" w14:textId="3F631E35" w:rsidR="008E1CDF" w:rsidRDefault="00F5766C" w:rsidP="00145504">
      <w:pPr>
        <w:spacing w:after="0" w:line="480" w:lineRule="auto"/>
        <w:ind w:firstLine="720"/>
        <w:jc w:val="both"/>
        <w:rPr>
          <w:rFonts w:ascii="Arial" w:hAnsi="Arial" w:cs="Arial"/>
        </w:rPr>
      </w:pPr>
      <w:r>
        <w:rPr>
          <w:rFonts w:ascii="Arial" w:hAnsi="Arial" w:cs="Arial"/>
          <w:b/>
        </w:rPr>
        <w:lastRenderedPageBreak/>
        <w:t xml:space="preserve">B. The Supreme Court’s Reversal of the </w:t>
      </w:r>
      <w:r w:rsidR="005F5457">
        <w:rPr>
          <w:rFonts w:ascii="Arial" w:hAnsi="Arial" w:cs="Arial"/>
          <w:b/>
        </w:rPr>
        <w:t xml:space="preserve">FE </w:t>
      </w:r>
      <w:r>
        <w:rPr>
          <w:rFonts w:ascii="Arial" w:hAnsi="Arial" w:cs="Arial"/>
          <w:b/>
        </w:rPr>
        <w:t>DMR</w:t>
      </w:r>
      <w:r w:rsidR="00145504">
        <w:rPr>
          <w:rFonts w:ascii="Arial" w:hAnsi="Arial" w:cs="Arial"/>
        </w:rPr>
        <w:t xml:space="preserve">  </w:t>
      </w:r>
      <w:r w:rsidR="00D24922">
        <w:rPr>
          <w:rFonts w:ascii="Arial" w:hAnsi="Arial" w:cs="Arial"/>
        </w:rPr>
        <w:t xml:space="preserve"> </w:t>
      </w:r>
    </w:p>
    <w:p w14:paraId="1876E895" w14:textId="6348FD50" w:rsidR="009A1119" w:rsidRDefault="00D24922" w:rsidP="009A1119">
      <w:pPr>
        <w:spacing w:after="0" w:line="480" w:lineRule="auto"/>
        <w:ind w:firstLine="720"/>
        <w:jc w:val="both"/>
        <w:rPr>
          <w:rFonts w:ascii="Arial" w:hAnsi="Arial" w:cs="Arial"/>
        </w:rPr>
      </w:pPr>
      <w:r>
        <w:rPr>
          <w:rFonts w:ascii="Arial" w:hAnsi="Arial" w:cs="Arial"/>
        </w:rPr>
        <w:t>While DP&amp;L’s quick maneuvering</w:t>
      </w:r>
      <w:r w:rsidR="00145504">
        <w:rPr>
          <w:rFonts w:ascii="Arial" w:hAnsi="Arial" w:cs="Arial"/>
        </w:rPr>
        <w:t xml:space="preserve"> to </w:t>
      </w:r>
      <w:r w:rsidR="00F73F29">
        <w:rPr>
          <w:rFonts w:ascii="Arial" w:hAnsi="Arial" w:cs="Arial"/>
        </w:rPr>
        <w:t xml:space="preserve">copy FirstEnergy and </w:t>
      </w:r>
      <w:r w:rsidR="00145504">
        <w:rPr>
          <w:rFonts w:ascii="Arial" w:hAnsi="Arial" w:cs="Arial"/>
        </w:rPr>
        <w:t>request a DMR</w:t>
      </w:r>
      <w:r>
        <w:rPr>
          <w:rFonts w:ascii="Arial" w:hAnsi="Arial" w:cs="Arial"/>
        </w:rPr>
        <w:t xml:space="preserve"> seemed clever at the time, the Supreme Court recently struck down FirstEnergy’s DMR and directed the Commission to remove the rider from </w:t>
      </w:r>
      <w:r w:rsidRPr="00806391">
        <w:rPr>
          <w:rFonts w:ascii="Arial" w:hAnsi="Arial" w:cs="Arial"/>
        </w:rPr>
        <w:t>the ESP.</w:t>
      </w:r>
      <w:r w:rsidR="00221439">
        <w:rPr>
          <w:rStyle w:val="FootnoteReference"/>
          <w:rFonts w:ascii="Arial" w:hAnsi="Arial" w:cs="Arial"/>
        </w:rPr>
        <w:footnoteReference w:id="23"/>
      </w:r>
      <w:r w:rsidR="00BE1E14">
        <w:rPr>
          <w:rFonts w:ascii="Arial" w:hAnsi="Arial" w:cs="Arial"/>
        </w:rPr>
        <w:t xml:space="preserve"> The Court identified t</w:t>
      </w:r>
      <w:r w:rsidR="009A1119">
        <w:rPr>
          <w:rFonts w:ascii="Arial" w:hAnsi="Arial" w:cs="Arial"/>
        </w:rPr>
        <w:t>w</w:t>
      </w:r>
      <w:r w:rsidR="00BE1E14">
        <w:rPr>
          <w:rFonts w:ascii="Arial" w:hAnsi="Arial" w:cs="Arial"/>
        </w:rPr>
        <w:t xml:space="preserve">o </w:t>
      </w:r>
      <w:r w:rsidR="009A1119">
        <w:rPr>
          <w:rFonts w:ascii="Arial" w:hAnsi="Arial" w:cs="Arial"/>
        </w:rPr>
        <w:t xml:space="preserve">main </w:t>
      </w:r>
      <w:r w:rsidR="00BE1E14">
        <w:rPr>
          <w:rFonts w:ascii="Arial" w:hAnsi="Arial" w:cs="Arial"/>
        </w:rPr>
        <w:t xml:space="preserve">reasons, while hinting that more may exist: (1) the rider is not an appropriate incentive; </w:t>
      </w:r>
      <w:r w:rsidR="00760A07">
        <w:rPr>
          <w:rFonts w:ascii="Arial" w:hAnsi="Arial" w:cs="Arial"/>
        </w:rPr>
        <w:t xml:space="preserve">and </w:t>
      </w:r>
      <w:r w:rsidR="00BE1E14">
        <w:rPr>
          <w:rFonts w:ascii="Arial" w:hAnsi="Arial" w:cs="Arial"/>
        </w:rPr>
        <w:t>(2) the Commission failed to establish any safeguards to protect customers</w:t>
      </w:r>
      <w:r w:rsidR="009A1119">
        <w:rPr>
          <w:rFonts w:ascii="Arial" w:hAnsi="Arial" w:cs="Arial"/>
        </w:rPr>
        <w:t>.</w:t>
      </w:r>
      <w:r w:rsidRPr="00806391">
        <w:rPr>
          <w:rFonts w:ascii="Arial" w:hAnsi="Arial" w:cs="Arial"/>
        </w:rPr>
        <w:t xml:space="preserve"> </w:t>
      </w:r>
      <w:r w:rsidR="009A1119">
        <w:rPr>
          <w:rFonts w:ascii="Arial" w:hAnsi="Arial" w:cs="Arial"/>
        </w:rPr>
        <w:t xml:space="preserve"> </w:t>
      </w:r>
    </w:p>
    <w:p w14:paraId="5D20007D" w14:textId="6B8C508E" w:rsidR="00FE603A" w:rsidRDefault="00FE603A" w:rsidP="00BE1E14">
      <w:pPr>
        <w:spacing w:after="0" w:line="480" w:lineRule="auto"/>
        <w:ind w:firstLine="720"/>
        <w:jc w:val="both"/>
        <w:rPr>
          <w:rFonts w:ascii="Arial" w:hAnsi="Arial" w:cs="Arial"/>
        </w:rPr>
      </w:pPr>
      <w:r>
        <w:rPr>
          <w:rFonts w:ascii="Arial" w:hAnsi="Arial" w:cs="Arial"/>
        </w:rPr>
        <w:t>First, the Court rejected the Commission’s definition of incentive.</w:t>
      </w:r>
      <w:r w:rsidR="005B72A6">
        <w:rPr>
          <w:rStyle w:val="FootnoteReference"/>
          <w:rFonts w:ascii="Arial" w:hAnsi="Arial" w:cs="Arial"/>
        </w:rPr>
        <w:footnoteReference w:id="24"/>
      </w:r>
      <w:r>
        <w:rPr>
          <w:rFonts w:ascii="Arial" w:hAnsi="Arial" w:cs="Arial"/>
        </w:rPr>
        <w:t xml:space="preserve">  </w:t>
      </w:r>
      <w:r w:rsidR="008F7B55" w:rsidRPr="00806391">
        <w:rPr>
          <w:rFonts w:ascii="Arial" w:hAnsi="Arial" w:cs="Arial"/>
        </w:rPr>
        <w:t>The Court d</w:t>
      </w:r>
      <w:r w:rsidR="00806391" w:rsidRPr="00806391">
        <w:rPr>
          <w:rFonts w:ascii="Arial" w:hAnsi="Arial" w:cs="Arial"/>
        </w:rPr>
        <w:t>etermined that “</w:t>
      </w:r>
      <w:r w:rsidR="008F7B55" w:rsidRPr="00806391">
        <w:rPr>
          <w:rFonts w:ascii="Arial" w:hAnsi="Arial" w:cs="Arial"/>
          <w:color w:val="222222"/>
          <w:shd w:val="clear" w:color="auto" w:fill="FFFFFF"/>
        </w:rPr>
        <w:t>The commission's finding that the DMR operates as an incentive under R.C. 4928.143(B)(2)(h) is both unlawful and unreasonable because it lacks evidence and sound reasoning.</w:t>
      </w:r>
      <w:r w:rsidR="00806391" w:rsidRPr="00806391">
        <w:rPr>
          <w:rFonts w:ascii="Arial" w:hAnsi="Arial" w:cs="Arial"/>
          <w:color w:val="222222"/>
          <w:shd w:val="clear" w:color="auto" w:fill="FFFFFF"/>
        </w:rPr>
        <w:t>”</w:t>
      </w:r>
      <w:r w:rsidR="00D864C0">
        <w:rPr>
          <w:rStyle w:val="FootnoteReference"/>
          <w:rFonts w:ascii="Arial" w:hAnsi="Arial" w:cs="Arial"/>
          <w:color w:val="222222"/>
          <w:shd w:val="clear" w:color="auto" w:fill="FFFFFF"/>
        </w:rPr>
        <w:footnoteReference w:id="25"/>
      </w:r>
      <w:r w:rsidR="00806391">
        <w:rPr>
          <w:rFonts w:ascii="Arial" w:hAnsi="Arial" w:cs="Arial"/>
          <w:color w:val="222222"/>
          <w:sz w:val="21"/>
          <w:szCs w:val="21"/>
          <w:shd w:val="clear" w:color="auto" w:fill="FFFFFF"/>
        </w:rPr>
        <w:t xml:space="preserve">  </w:t>
      </w:r>
      <w:r w:rsidR="00D24922">
        <w:rPr>
          <w:rFonts w:ascii="Arial" w:hAnsi="Arial" w:cs="Arial"/>
        </w:rPr>
        <w:t>The Court correct</w:t>
      </w:r>
      <w:r w:rsidR="008E1CDF">
        <w:rPr>
          <w:rFonts w:ascii="Arial" w:hAnsi="Arial" w:cs="Arial"/>
        </w:rPr>
        <w:t>ly</w:t>
      </w:r>
      <w:r w:rsidR="00D24922">
        <w:rPr>
          <w:rFonts w:ascii="Arial" w:hAnsi="Arial" w:cs="Arial"/>
        </w:rPr>
        <w:t xml:space="preserve"> reason</w:t>
      </w:r>
      <w:r w:rsidR="008E1CDF">
        <w:rPr>
          <w:rFonts w:ascii="Arial" w:hAnsi="Arial" w:cs="Arial"/>
        </w:rPr>
        <w:t>ed that the FE DMR does not qualify as a grid modernization incentive</w:t>
      </w:r>
      <w:r w:rsidR="008E1CDF" w:rsidRPr="008E1CDF">
        <w:t xml:space="preserve"> </w:t>
      </w:r>
      <w:r w:rsidR="008E1CDF">
        <w:rPr>
          <w:rFonts w:ascii="Arial" w:hAnsi="Arial" w:cs="Arial"/>
        </w:rPr>
        <w:t>because “the</w:t>
      </w:r>
      <w:r w:rsidR="008E1CDF" w:rsidRPr="008E1CDF">
        <w:rPr>
          <w:rFonts w:ascii="Arial" w:hAnsi="Arial" w:cs="Arial"/>
        </w:rPr>
        <w:t xml:space="preserve"> companies are not required to make any investments to modernize the distribution grid in exchange for DMR revenues.</w:t>
      </w:r>
      <w:r w:rsidR="008E1CDF">
        <w:rPr>
          <w:rFonts w:ascii="Arial" w:hAnsi="Arial" w:cs="Arial"/>
        </w:rPr>
        <w:t>”</w:t>
      </w:r>
      <w:r w:rsidR="001B5898">
        <w:rPr>
          <w:rStyle w:val="FootnoteReference"/>
          <w:rFonts w:ascii="Arial" w:hAnsi="Arial" w:cs="Arial"/>
        </w:rPr>
        <w:footnoteReference w:id="26"/>
      </w:r>
      <w:r w:rsidR="008E1CDF">
        <w:rPr>
          <w:rFonts w:ascii="Arial" w:hAnsi="Arial" w:cs="Arial"/>
        </w:rPr>
        <w:t xml:space="preserve"> </w:t>
      </w:r>
      <w:r w:rsidR="00CE254A">
        <w:rPr>
          <w:rFonts w:ascii="Arial" w:hAnsi="Arial" w:cs="Arial"/>
        </w:rPr>
        <w:br/>
        <w:t>“</w:t>
      </w:r>
      <w:r w:rsidR="00CE254A" w:rsidRPr="00CE254A">
        <w:rPr>
          <w:rFonts w:ascii="Arial" w:hAnsi="Arial" w:cs="Arial"/>
        </w:rPr>
        <w:t>Although the DMR may make it possible for FirstEnergy to obtain capital for future</w:t>
      </w:r>
      <w:r w:rsidR="00CE254A">
        <w:rPr>
          <w:rFonts w:ascii="Arial" w:hAnsi="Arial" w:cs="Arial"/>
        </w:rPr>
        <w:t xml:space="preserve"> </w:t>
      </w:r>
      <w:r w:rsidR="00CE254A" w:rsidRPr="00CE254A">
        <w:rPr>
          <w:rFonts w:ascii="Arial" w:hAnsi="Arial" w:cs="Arial"/>
        </w:rPr>
        <w:t>infrastructure investment on more favorable credit terms, the evidence cited does</w:t>
      </w:r>
      <w:r w:rsidR="00CE254A">
        <w:rPr>
          <w:rFonts w:ascii="Arial" w:hAnsi="Arial" w:cs="Arial"/>
        </w:rPr>
        <w:t xml:space="preserve"> </w:t>
      </w:r>
      <w:r w:rsidR="00CE254A" w:rsidRPr="00CE254A">
        <w:rPr>
          <w:rFonts w:ascii="Arial" w:hAnsi="Arial" w:cs="Arial"/>
        </w:rPr>
        <w:t>not support the commission’s finding that the DMR qualifies as an incentive under</w:t>
      </w:r>
      <w:r w:rsidR="00CE254A">
        <w:rPr>
          <w:rFonts w:ascii="Arial" w:hAnsi="Arial" w:cs="Arial"/>
        </w:rPr>
        <w:t xml:space="preserve"> </w:t>
      </w:r>
      <w:r w:rsidR="00CE254A" w:rsidRPr="00CE254A">
        <w:rPr>
          <w:rFonts w:ascii="Arial" w:hAnsi="Arial" w:cs="Arial"/>
        </w:rPr>
        <w:t>R.C. 4928.143(B)(2)(h).</w:t>
      </w:r>
      <w:r w:rsidR="00CE254A">
        <w:rPr>
          <w:rFonts w:ascii="Arial" w:hAnsi="Arial" w:cs="Arial"/>
        </w:rPr>
        <w:t>”</w:t>
      </w:r>
      <w:r w:rsidR="00163527">
        <w:rPr>
          <w:rStyle w:val="FootnoteReference"/>
          <w:rFonts w:ascii="Arial" w:hAnsi="Arial" w:cs="Arial"/>
        </w:rPr>
        <w:footnoteReference w:id="27"/>
      </w:r>
      <w:r w:rsidR="00CE254A">
        <w:rPr>
          <w:rFonts w:ascii="Arial" w:hAnsi="Arial" w:cs="Arial"/>
        </w:rPr>
        <w:t xml:space="preserve">  </w:t>
      </w:r>
      <w:r w:rsidR="00C44CA6">
        <w:rPr>
          <w:rFonts w:ascii="Arial" w:hAnsi="Arial" w:cs="Arial"/>
        </w:rPr>
        <w:t xml:space="preserve">Notably, the Court gave no weight to the fact that FirstEnergy’s </w:t>
      </w:r>
      <w:r w:rsidR="00C44CA6">
        <w:rPr>
          <w:rFonts w:ascii="Arial" w:hAnsi="Arial" w:cs="Arial"/>
        </w:rPr>
        <w:lastRenderedPageBreak/>
        <w:t>credit rating and borrowing ability—for purposes of grid modernization—would be supported by the DMR revenues.</w:t>
      </w:r>
      <w:r w:rsidR="006B60A8">
        <w:rPr>
          <w:rStyle w:val="FootnoteReference"/>
          <w:rFonts w:ascii="Arial" w:hAnsi="Arial" w:cs="Arial"/>
        </w:rPr>
        <w:footnoteReference w:id="28"/>
      </w:r>
      <w:r w:rsidR="00CE254A">
        <w:rPr>
          <w:rFonts w:ascii="Arial" w:hAnsi="Arial" w:cs="Arial"/>
        </w:rPr>
        <w:t xml:space="preserve"> </w:t>
      </w:r>
    </w:p>
    <w:p w14:paraId="7E59CC22" w14:textId="2B6DDD32" w:rsidR="00D24922" w:rsidRPr="007231AB" w:rsidRDefault="008E1CDF" w:rsidP="00BE1E14">
      <w:pPr>
        <w:spacing w:after="0" w:line="480" w:lineRule="auto"/>
        <w:ind w:firstLine="720"/>
        <w:jc w:val="both"/>
        <w:rPr>
          <w:rFonts w:ascii="Arial" w:hAnsi="Arial" w:cs="Arial"/>
        </w:rPr>
      </w:pPr>
      <w:r>
        <w:rPr>
          <w:rFonts w:ascii="Arial" w:hAnsi="Arial" w:cs="Arial"/>
        </w:rPr>
        <w:t xml:space="preserve"> </w:t>
      </w:r>
      <w:r w:rsidR="00595424">
        <w:rPr>
          <w:rFonts w:ascii="Arial" w:hAnsi="Arial" w:cs="Arial"/>
        </w:rPr>
        <w:t xml:space="preserve">Second, </w:t>
      </w:r>
      <w:r>
        <w:rPr>
          <w:rFonts w:ascii="Arial" w:hAnsi="Arial" w:cs="Arial"/>
        </w:rPr>
        <w:t xml:space="preserve">the Court determined that the rider was not just and reasonable because </w:t>
      </w:r>
      <w:r w:rsidR="00595424">
        <w:rPr>
          <w:rFonts w:ascii="Arial" w:hAnsi="Arial" w:cs="Arial"/>
        </w:rPr>
        <w:t>t</w:t>
      </w:r>
      <w:r w:rsidR="00595424" w:rsidRPr="00595424">
        <w:rPr>
          <w:rFonts w:ascii="Arial" w:hAnsi="Arial" w:cs="Arial"/>
        </w:rPr>
        <w:t xml:space="preserve">he conditions placed on the recovery of DMR revenue are not </w:t>
      </w:r>
      <w:proofErr w:type="gramStart"/>
      <w:r w:rsidR="00595424" w:rsidRPr="00595424">
        <w:rPr>
          <w:rFonts w:ascii="Arial" w:hAnsi="Arial" w:cs="Arial"/>
        </w:rPr>
        <w:t>sufficient</w:t>
      </w:r>
      <w:proofErr w:type="gramEnd"/>
      <w:r w:rsidR="00595424" w:rsidRPr="00595424">
        <w:rPr>
          <w:rFonts w:ascii="Arial" w:hAnsi="Arial" w:cs="Arial"/>
        </w:rPr>
        <w:t xml:space="preserve"> to protect </w:t>
      </w:r>
      <w:r w:rsidR="00595424" w:rsidRPr="007231AB">
        <w:rPr>
          <w:rFonts w:ascii="Arial" w:hAnsi="Arial" w:cs="Arial"/>
        </w:rPr>
        <w:t>customers.</w:t>
      </w:r>
      <w:r w:rsidR="009C6E7E">
        <w:rPr>
          <w:rStyle w:val="FootnoteReference"/>
          <w:rFonts w:ascii="Arial" w:hAnsi="Arial" w:cs="Arial"/>
        </w:rPr>
        <w:footnoteReference w:id="29"/>
      </w:r>
      <w:r w:rsidR="007231AB" w:rsidRPr="007231AB">
        <w:rPr>
          <w:rFonts w:ascii="Arial" w:hAnsi="Arial" w:cs="Arial"/>
        </w:rPr>
        <w:t xml:space="preserve">  </w:t>
      </w:r>
      <w:r w:rsidR="007231AB">
        <w:rPr>
          <w:rFonts w:ascii="Arial" w:hAnsi="Arial" w:cs="Arial"/>
        </w:rPr>
        <w:t xml:space="preserve">To be clear, </w:t>
      </w:r>
      <w:r w:rsidR="007231AB" w:rsidRPr="007231AB">
        <w:rPr>
          <w:rFonts w:ascii="Arial" w:hAnsi="Arial" w:cs="Arial"/>
        </w:rPr>
        <w:t>the order authorizing the FE DMR included the following conditions:</w:t>
      </w:r>
    </w:p>
    <w:p w14:paraId="614961E8" w14:textId="314DC2B7" w:rsidR="007231AB" w:rsidRPr="007231AB" w:rsidRDefault="007231AB" w:rsidP="007231AB">
      <w:pPr>
        <w:spacing w:after="0"/>
        <w:ind w:left="720" w:right="720"/>
        <w:jc w:val="both"/>
        <w:rPr>
          <w:rFonts w:ascii="Arial" w:hAnsi="Arial" w:cs="Arial"/>
        </w:rPr>
      </w:pPr>
      <w:r>
        <w:rPr>
          <w:rFonts w:ascii="Arial" w:hAnsi="Arial" w:cs="Arial"/>
        </w:rPr>
        <w:t xml:space="preserve">(1) </w:t>
      </w:r>
      <w:r w:rsidRPr="007231AB">
        <w:rPr>
          <w:rFonts w:ascii="Arial" w:hAnsi="Arial" w:cs="Arial"/>
        </w:rPr>
        <w:t xml:space="preserve">FirstEnergy Corporation keeping its corporate headquarters and nexus of operations in Akron, (2) no change in the "control" of the companies as that term is defined in R.C. 4905.402(A)(1), and (3) a demonstration of </w:t>
      </w:r>
      <w:proofErr w:type="gramStart"/>
      <w:r w:rsidRPr="007231AB">
        <w:rPr>
          <w:rFonts w:ascii="Arial" w:hAnsi="Arial" w:cs="Arial"/>
        </w:rPr>
        <w:t>sufficient</w:t>
      </w:r>
      <w:proofErr w:type="gramEnd"/>
      <w:r w:rsidRPr="007231AB">
        <w:rPr>
          <w:rFonts w:ascii="Arial" w:hAnsi="Arial" w:cs="Arial"/>
        </w:rPr>
        <w:t xml:space="preserve"> progress in implementing and deploying grid-modernization programs approved by the commission.</w:t>
      </w:r>
      <w:r w:rsidR="0000172E">
        <w:rPr>
          <w:rStyle w:val="FootnoteReference"/>
          <w:rFonts w:ascii="Arial" w:hAnsi="Arial" w:cs="Arial"/>
        </w:rPr>
        <w:footnoteReference w:id="30"/>
      </w:r>
    </w:p>
    <w:p w14:paraId="4BCB8CE4" w14:textId="6802D1C8" w:rsidR="007231AB" w:rsidRDefault="007231AB" w:rsidP="007231AB">
      <w:pPr>
        <w:spacing w:after="0"/>
        <w:ind w:right="720"/>
        <w:jc w:val="both"/>
        <w:rPr>
          <w:rFonts w:ascii="Arial" w:hAnsi="Arial" w:cs="Arial"/>
        </w:rPr>
      </w:pPr>
    </w:p>
    <w:p w14:paraId="4F36D41A" w14:textId="334CCC49" w:rsidR="007231AB" w:rsidRDefault="007231AB" w:rsidP="00381DA7">
      <w:pPr>
        <w:spacing w:after="0" w:line="480" w:lineRule="auto"/>
        <w:jc w:val="both"/>
        <w:rPr>
          <w:rFonts w:ascii="Arial" w:hAnsi="Arial" w:cs="Arial"/>
        </w:rPr>
      </w:pPr>
      <w:r>
        <w:rPr>
          <w:rFonts w:ascii="Arial" w:hAnsi="Arial" w:cs="Arial"/>
        </w:rPr>
        <w:t>But the Court concluded</w:t>
      </w:r>
      <w:r w:rsidR="00FB5397">
        <w:rPr>
          <w:rFonts w:ascii="Arial" w:hAnsi="Arial" w:cs="Arial"/>
        </w:rPr>
        <w:t xml:space="preserve"> “</w:t>
      </w:r>
      <w:r>
        <w:rPr>
          <w:rFonts w:ascii="Arial" w:hAnsi="Arial" w:cs="Arial"/>
        </w:rPr>
        <w:t xml:space="preserve">that </w:t>
      </w:r>
      <w:r w:rsidR="00394731" w:rsidRPr="00394731">
        <w:rPr>
          <w:rFonts w:ascii="Arial" w:hAnsi="Arial" w:cs="Arial"/>
        </w:rPr>
        <w:t>there are no discernable consequences or repercussions if FirstEnergy fails to comply with the conditions imposed for receiving DMR funds.</w:t>
      </w:r>
      <w:r w:rsidR="00FB5397">
        <w:rPr>
          <w:rFonts w:ascii="Arial" w:hAnsi="Arial" w:cs="Arial"/>
        </w:rPr>
        <w:t>”</w:t>
      </w:r>
      <w:r w:rsidR="00BA7EC8">
        <w:rPr>
          <w:rStyle w:val="FootnoteReference"/>
          <w:rFonts w:ascii="Arial" w:hAnsi="Arial" w:cs="Arial"/>
        </w:rPr>
        <w:footnoteReference w:id="31"/>
      </w:r>
      <w:r w:rsidR="00FB5397">
        <w:rPr>
          <w:rFonts w:ascii="Arial" w:hAnsi="Arial" w:cs="Arial"/>
        </w:rPr>
        <w:t xml:space="preserve">  Moreover, FirstEnergy would be permitted to retain any DMR revenues collected prior to its failure to meet a condition because “</w:t>
      </w:r>
      <w:r w:rsidR="00394731" w:rsidRPr="00394731">
        <w:rPr>
          <w:rFonts w:ascii="Arial" w:hAnsi="Arial" w:cs="Arial"/>
        </w:rPr>
        <w:t>the commission did not make the DMR subject to refund</w:t>
      </w:r>
      <w:r w:rsidR="00FB5397">
        <w:rPr>
          <w:rFonts w:ascii="Arial" w:hAnsi="Arial" w:cs="Arial"/>
        </w:rPr>
        <w:t xml:space="preserve"> . . . .”</w:t>
      </w:r>
      <w:r w:rsidR="00E34C3B">
        <w:rPr>
          <w:rStyle w:val="FootnoteReference"/>
          <w:rFonts w:ascii="Arial" w:hAnsi="Arial" w:cs="Arial"/>
        </w:rPr>
        <w:footnoteReference w:id="32"/>
      </w:r>
    </w:p>
    <w:p w14:paraId="4B2BBD1D" w14:textId="7899F9FF" w:rsidR="007231AB" w:rsidRDefault="00655AD2" w:rsidP="00EC34B3">
      <w:pPr>
        <w:spacing w:after="0" w:line="480" w:lineRule="auto"/>
        <w:jc w:val="both"/>
        <w:rPr>
          <w:rFonts w:ascii="Arial" w:hAnsi="Arial" w:cs="Arial"/>
        </w:rPr>
      </w:pPr>
      <w:r>
        <w:rPr>
          <w:rFonts w:ascii="Arial" w:hAnsi="Arial" w:cs="Arial"/>
        </w:rPr>
        <w:tab/>
        <w:t>The Court</w:t>
      </w:r>
      <w:r w:rsidR="00F0690B">
        <w:rPr>
          <w:rFonts w:ascii="Arial" w:hAnsi="Arial" w:cs="Arial"/>
        </w:rPr>
        <w:t xml:space="preserve"> identified that the audit process was meaningless, given</w:t>
      </w:r>
      <w:r w:rsidR="00972BB6">
        <w:rPr>
          <w:rFonts w:ascii="Arial" w:hAnsi="Arial" w:cs="Arial"/>
        </w:rPr>
        <w:t xml:space="preserve"> that “</w:t>
      </w:r>
      <w:r w:rsidR="00972BB6" w:rsidRPr="00972BB6">
        <w:rPr>
          <w:rFonts w:ascii="Arial" w:hAnsi="Arial" w:cs="Arial"/>
        </w:rPr>
        <w:t xml:space="preserve">the parties will not be able to challenge Oxford's findings until well after the DMR funds have been </w:t>
      </w:r>
      <w:r w:rsidR="00972BB6" w:rsidRPr="00972BB6">
        <w:rPr>
          <w:rFonts w:ascii="Arial" w:hAnsi="Arial" w:cs="Arial"/>
        </w:rPr>
        <w:lastRenderedPageBreak/>
        <w:t>recovered and spent</w:t>
      </w:r>
      <w:r w:rsidR="00EC34B3">
        <w:rPr>
          <w:rFonts w:ascii="Arial" w:hAnsi="Arial" w:cs="Arial"/>
        </w:rPr>
        <w:t>.”</w:t>
      </w:r>
      <w:r w:rsidR="00BD1F00">
        <w:rPr>
          <w:rStyle w:val="FootnoteReference"/>
          <w:rFonts w:ascii="Arial" w:hAnsi="Arial" w:cs="Arial"/>
        </w:rPr>
        <w:footnoteReference w:id="33"/>
      </w:r>
      <w:r w:rsidR="00EC34B3">
        <w:rPr>
          <w:rFonts w:ascii="Arial" w:hAnsi="Arial" w:cs="Arial"/>
        </w:rPr>
        <w:t xml:space="preserve">  And “it </w:t>
      </w:r>
      <w:r w:rsidR="00972BB6" w:rsidRPr="00972BB6">
        <w:rPr>
          <w:rFonts w:ascii="Arial" w:hAnsi="Arial" w:cs="Arial"/>
        </w:rPr>
        <w:t>is not clear what remedy would be available should the commission (or this court on appeal) find that FirstEnergy has misused DMR funds</w:t>
      </w:r>
      <w:r w:rsidR="00EC34B3">
        <w:rPr>
          <w:rFonts w:ascii="Arial" w:hAnsi="Arial" w:cs="Arial"/>
        </w:rPr>
        <w:t>.</w:t>
      </w:r>
      <w:r w:rsidR="00D52F79">
        <w:rPr>
          <w:rStyle w:val="FootnoteReference"/>
          <w:rFonts w:ascii="Arial" w:hAnsi="Arial" w:cs="Arial"/>
        </w:rPr>
        <w:footnoteReference w:id="34"/>
      </w:r>
      <w:r w:rsidR="00EC34B3">
        <w:rPr>
          <w:rFonts w:ascii="Arial" w:hAnsi="Arial" w:cs="Arial"/>
        </w:rPr>
        <w:t xml:space="preserve">  </w:t>
      </w:r>
    </w:p>
    <w:p w14:paraId="647BC27C" w14:textId="00FB5445" w:rsidR="00DA1C58" w:rsidRDefault="00F67C36" w:rsidP="00EC34B3">
      <w:pPr>
        <w:spacing w:after="0" w:line="480" w:lineRule="auto"/>
        <w:jc w:val="both"/>
        <w:rPr>
          <w:rFonts w:ascii="Arial" w:hAnsi="Arial" w:cs="Arial"/>
        </w:rPr>
      </w:pPr>
      <w:r>
        <w:rPr>
          <w:rFonts w:ascii="Arial" w:hAnsi="Arial" w:cs="Arial"/>
        </w:rPr>
        <w:tab/>
        <w:t>The condition that FirstEnergy undertake grid modernization did not save the rider. “</w:t>
      </w:r>
      <w:r w:rsidRPr="00F67C36">
        <w:rPr>
          <w:rFonts w:ascii="Arial" w:hAnsi="Arial" w:cs="Arial"/>
        </w:rPr>
        <w:t>Because the DMR was initially approved for only three years—ending in 2019 unless extended—</w:t>
      </w:r>
      <w:r w:rsidRPr="00F67C36">
        <w:rPr>
          <w:rFonts w:ascii="Arial" w:hAnsi="Arial" w:cs="Arial"/>
          <w:i/>
        </w:rPr>
        <w:t>it is possible, if not likely, that the companies will recover most, if not all, of the DMR revenue before the commission approves any modernization projects for the companies</w:t>
      </w:r>
      <w:r w:rsidRPr="00F67C36">
        <w:rPr>
          <w:rFonts w:ascii="Arial" w:hAnsi="Arial" w:cs="Arial"/>
        </w:rPr>
        <w:t>.</w:t>
      </w:r>
      <w:r>
        <w:rPr>
          <w:rFonts w:ascii="Arial" w:hAnsi="Arial" w:cs="Arial"/>
        </w:rPr>
        <w:t>”</w:t>
      </w:r>
      <w:r w:rsidR="002D05F3">
        <w:rPr>
          <w:rStyle w:val="FootnoteReference"/>
          <w:rFonts w:ascii="Arial" w:hAnsi="Arial" w:cs="Arial"/>
        </w:rPr>
        <w:footnoteReference w:id="35"/>
      </w:r>
    </w:p>
    <w:p w14:paraId="471DFBCB" w14:textId="7B704EEE" w:rsidR="00B27BBD" w:rsidRDefault="00B27BBD" w:rsidP="00B27BBD">
      <w:pPr>
        <w:spacing w:after="0" w:line="480" w:lineRule="auto"/>
        <w:ind w:firstLine="720"/>
        <w:jc w:val="both"/>
        <w:rPr>
          <w:rFonts w:ascii="Arial" w:hAnsi="Arial" w:cs="Arial"/>
        </w:rPr>
      </w:pPr>
      <w:r>
        <w:rPr>
          <w:rFonts w:ascii="Arial" w:hAnsi="Arial" w:cs="Arial"/>
        </w:rPr>
        <w:t xml:space="preserve">Finally, the </w:t>
      </w:r>
      <w:r w:rsidRPr="00B27BBD">
        <w:rPr>
          <w:rFonts w:ascii="Arial" w:hAnsi="Arial" w:cs="Arial"/>
          <w:i/>
        </w:rPr>
        <w:t>FirstEnergy</w:t>
      </w:r>
      <w:r>
        <w:rPr>
          <w:rFonts w:ascii="Arial" w:hAnsi="Arial" w:cs="Arial"/>
        </w:rPr>
        <w:t xml:space="preserve"> decision provides further guidance that the Commission cannot ignore.  An </w:t>
      </w:r>
      <w:r w:rsidR="00765A83">
        <w:rPr>
          <w:rFonts w:ascii="Arial" w:hAnsi="Arial" w:cs="Arial"/>
        </w:rPr>
        <w:t>ESP</w:t>
      </w:r>
      <w:r>
        <w:rPr>
          <w:rFonts w:ascii="Arial" w:hAnsi="Arial" w:cs="Arial"/>
        </w:rPr>
        <w:t xml:space="preserve"> cannot be authorized unless it is more favorable than the otherwise applicable market-based outcome.</w:t>
      </w:r>
      <w:r w:rsidR="0014302F">
        <w:rPr>
          <w:rStyle w:val="FootnoteReference"/>
          <w:rFonts w:ascii="Arial" w:hAnsi="Arial" w:cs="Arial"/>
        </w:rPr>
        <w:footnoteReference w:id="36"/>
      </w:r>
      <w:r>
        <w:rPr>
          <w:rFonts w:ascii="Arial" w:hAnsi="Arial" w:cs="Arial"/>
        </w:rPr>
        <w:t xml:space="preserve">  Considering the DMR, the Court held “we question the commission’s interpretation of R.C. 4928.142 to exclude the DMR revenues under the ESP-versus-market-rate-offer test . . . .”</w:t>
      </w:r>
      <w:r w:rsidR="00D009BE">
        <w:rPr>
          <w:rStyle w:val="FootnoteReference"/>
          <w:rFonts w:ascii="Arial" w:hAnsi="Arial" w:cs="Arial"/>
        </w:rPr>
        <w:footnoteReference w:id="37"/>
      </w:r>
      <w:r>
        <w:rPr>
          <w:rFonts w:ascii="Arial" w:hAnsi="Arial" w:cs="Arial"/>
        </w:rPr>
        <w:t xml:space="preserve">  </w:t>
      </w:r>
    </w:p>
    <w:p w14:paraId="282DB3F1" w14:textId="77777777" w:rsidR="007231AB" w:rsidRPr="007231AB" w:rsidRDefault="007231AB" w:rsidP="007231AB">
      <w:pPr>
        <w:spacing w:after="0"/>
        <w:ind w:right="720"/>
        <w:jc w:val="both"/>
        <w:rPr>
          <w:rFonts w:ascii="Arial" w:hAnsi="Arial" w:cs="Arial"/>
        </w:rPr>
      </w:pPr>
    </w:p>
    <w:p w14:paraId="55F93EBE" w14:textId="4939C62F" w:rsidR="006B6F4E" w:rsidRPr="004E796C" w:rsidRDefault="00A34BC4" w:rsidP="000221D8">
      <w:pPr>
        <w:spacing w:after="0" w:line="480" w:lineRule="auto"/>
        <w:jc w:val="both"/>
        <w:rPr>
          <w:rFonts w:ascii="Arial" w:hAnsi="Arial" w:cs="Arial"/>
        </w:rPr>
      </w:pPr>
      <w:r w:rsidRPr="004E796C">
        <w:rPr>
          <w:rFonts w:ascii="Arial" w:hAnsi="Arial" w:cs="Arial"/>
        </w:rPr>
        <w:tab/>
      </w:r>
      <w:r w:rsidR="00CE254A">
        <w:rPr>
          <w:rFonts w:ascii="Arial" w:hAnsi="Arial" w:cs="Arial"/>
        </w:rPr>
        <w:t>Just like in</w:t>
      </w:r>
      <w:r w:rsidR="00CE254A" w:rsidRPr="0044330B">
        <w:rPr>
          <w:rFonts w:ascii="Arial" w:hAnsi="Arial" w:cs="Arial"/>
          <w:i/>
        </w:rPr>
        <w:t xml:space="preserve"> FirstEnergy</w:t>
      </w:r>
      <w:r w:rsidR="00CE254A">
        <w:rPr>
          <w:rFonts w:ascii="Arial" w:hAnsi="Arial" w:cs="Arial"/>
        </w:rPr>
        <w:t>, t</w:t>
      </w:r>
      <w:r w:rsidR="006B6F4E" w:rsidRPr="00CE254A">
        <w:rPr>
          <w:rFonts w:ascii="Arial" w:hAnsi="Arial" w:cs="Arial"/>
        </w:rPr>
        <w:t>he</w:t>
      </w:r>
      <w:r w:rsidR="006B6F4E" w:rsidRPr="004E796C">
        <w:rPr>
          <w:rFonts w:ascii="Arial" w:hAnsi="Arial" w:cs="Arial"/>
        </w:rPr>
        <w:t xml:space="preserve"> alleged purpose of the DMR is to position DP&amp;L to have the financial wherewithal to invest in modernization of the distribution system. Yet, the amount of money that DP&amp;L seeks to extract from its captive distribution customer base is almost equivalent to the entirety of the current distribution rate base.</w:t>
      </w:r>
      <w:r w:rsidR="00211178">
        <w:rPr>
          <w:rStyle w:val="FootnoteReference"/>
          <w:rFonts w:ascii="Arial" w:hAnsi="Arial" w:cs="Arial"/>
        </w:rPr>
        <w:footnoteReference w:id="38"/>
      </w:r>
      <w:r w:rsidR="006B6F4E" w:rsidRPr="004E796C">
        <w:rPr>
          <w:rFonts w:ascii="Arial" w:hAnsi="Arial" w:cs="Arial"/>
        </w:rPr>
        <w:t xml:space="preserve">  There is no evidence in the record of a grid modernization plan</w:t>
      </w:r>
      <w:r w:rsidR="0044330B">
        <w:rPr>
          <w:rFonts w:ascii="Arial" w:hAnsi="Arial" w:cs="Arial"/>
        </w:rPr>
        <w:t xml:space="preserve"> or any requirement to implement </w:t>
      </w:r>
      <w:r w:rsidR="0044330B">
        <w:rPr>
          <w:rFonts w:ascii="Arial" w:hAnsi="Arial" w:cs="Arial"/>
        </w:rPr>
        <w:lastRenderedPageBreak/>
        <w:t>any level of grid modernization prior to receiving the DMR funds</w:t>
      </w:r>
      <w:r w:rsidR="006B6F4E" w:rsidRPr="004E796C">
        <w:rPr>
          <w:rFonts w:ascii="Arial" w:hAnsi="Arial" w:cs="Arial"/>
        </w:rPr>
        <w:t xml:space="preserve">.  </w:t>
      </w:r>
      <w:r w:rsidR="000A3D2A">
        <w:rPr>
          <w:rFonts w:ascii="Arial" w:hAnsi="Arial" w:cs="Arial"/>
        </w:rPr>
        <w:t>Moreover, even if a modernization plan existed that</w:t>
      </w:r>
      <w:r w:rsidR="006B6F4E" w:rsidRPr="004E796C">
        <w:rPr>
          <w:rFonts w:ascii="Arial" w:hAnsi="Arial" w:cs="Arial"/>
        </w:rPr>
        <w:t xml:space="preserve"> </w:t>
      </w:r>
      <w:r w:rsidR="00A97CE8" w:rsidRPr="004E796C">
        <w:rPr>
          <w:rFonts w:ascii="Arial" w:hAnsi="Arial" w:cs="Arial"/>
        </w:rPr>
        <w:t>required expenditures</w:t>
      </w:r>
      <w:r w:rsidR="006B6F4E" w:rsidRPr="004E796C">
        <w:rPr>
          <w:rFonts w:ascii="Arial" w:hAnsi="Arial" w:cs="Arial"/>
        </w:rPr>
        <w:t xml:space="preserve"> equal to</w:t>
      </w:r>
      <w:r w:rsidR="00A97CE8" w:rsidRPr="004E796C">
        <w:rPr>
          <w:rFonts w:ascii="Arial" w:hAnsi="Arial" w:cs="Arial"/>
        </w:rPr>
        <w:t xml:space="preserve"> the</w:t>
      </w:r>
      <w:r w:rsidR="006B6F4E" w:rsidRPr="004E796C">
        <w:rPr>
          <w:rFonts w:ascii="Arial" w:hAnsi="Arial" w:cs="Arial"/>
        </w:rPr>
        <w:t xml:space="preserve"> existing distribution rate base, it would be impossible to conclude that the DMR </w:t>
      </w:r>
      <w:r w:rsidR="00A97CE8" w:rsidRPr="004E796C">
        <w:rPr>
          <w:rFonts w:ascii="Arial" w:hAnsi="Arial" w:cs="Arial"/>
        </w:rPr>
        <w:t xml:space="preserve">properly aligns customers’ and DP&amp;L’s expectations.  </w:t>
      </w:r>
    </w:p>
    <w:p w14:paraId="6D205258" w14:textId="1BBD1D40" w:rsidR="001B7123" w:rsidRDefault="00A97CE8" w:rsidP="000221D8">
      <w:pPr>
        <w:spacing w:after="0" w:line="480" w:lineRule="auto"/>
        <w:jc w:val="both"/>
        <w:rPr>
          <w:rFonts w:ascii="Arial" w:hAnsi="Arial" w:cs="Arial"/>
        </w:rPr>
      </w:pPr>
      <w:r w:rsidRPr="004E796C">
        <w:rPr>
          <w:rFonts w:ascii="Arial" w:hAnsi="Arial" w:cs="Arial"/>
        </w:rPr>
        <w:tab/>
        <w:t>The DMR</w:t>
      </w:r>
      <w:r w:rsidR="001F1A67">
        <w:rPr>
          <w:rFonts w:ascii="Arial" w:hAnsi="Arial" w:cs="Arial"/>
        </w:rPr>
        <w:t>, if extended,</w:t>
      </w:r>
      <w:r w:rsidRPr="004E796C">
        <w:rPr>
          <w:rFonts w:ascii="Arial" w:hAnsi="Arial" w:cs="Arial"/>
        </w:rPr>
        <w:t xml:space="preserve"> </w:t>
      </w:r>
      <w:r w:rsidR="00145504">
        <w:rPr>
          <w:rFonts w:ascii="Arial" w:hAnsi="Arial" w:cs="Arial"/>
        </w:rPr>
        <w:t>would</w:t>
      </w:r>
      <w:r w:rsidRPr="004E796C">
        <w:rPr>
          <w:rFonts w:ascii="Arial" w:hAnsi="Arial" w:cs="Arial"/>
        </w:rPr>
        <w:t xml:space="preserve"> allow DP&amp;L to collect from customers </w:t>
      </w:r>
      <w:r w:rsidR="00145504">
        <w:rPr>
          <w:rFonts w:ascii="Arial" w:hAnsi="Arial" w:cs="Arial"/>
        </w:rPr>
        <w:t xml:space="preserve">over a </w:t>
      </w:r>
      <w:proofErr w:type="gramStart"/>
      <w:r w:rsidR="00145504">
        <w:rPr>
          <w:rFonts w:ascii="Arial" w:hAnsi="Arial" w:cs="Arial"/>
        </w:rPr>
        <w:t>five year</w:t>
      </w:r>
      <w:proofErr w:type="gramEnd"/>
      <w:r w:rsidR="00145504">
        <w:rPr>
          <w:rFonts w:ascii="Arial" w:hAnsi="Arial" w:cs="Arial"/>
        </w:rPr>
        <w:t xml:space="preserve"> term </w:t>
      </w:r>
      <w:r w:rsidRPr="004E796C">
        <w:rPr>
          <w:rFonts w:ascii="Arial" w:hAnsi="Arial" w:cs="Arial"/>
        </w:rPr>
        <w:t xml:space="preserve">close to the entire </w:t>
      </w:r>
      <w:r w:rsidR="00375A62">
        <w:rPr>
          <w:rFonts w:ascii="Arial" w:hAnsi="Arial" w:cs="Arial"/>
        </w:rPr>
        <w:t>total</w:t>
      </w:r>
      <w:r w:rsidR="00145504">
        <w:rPr>
          <w:rFonts w:ascii="Arial" w:hAnsi="Arial" w:cs="Arial"/>
        </w:rPr>
        <w:t xml:space="preserve"> </w:t>
      </w:r>
      <w:r w:rsidR="001B7123">
        <w:rPr>
          <w:rFonts w:ascii="Arial" w:hAnsi="Arial" w:cs="Arial"/>
        </w:rPr>
        <w:t xml:space="preserve">plant </w:t>
      </w:r>
      <w:r w:rsidRPr="004E796C" w:rsidDel="00375A62">
        <w:rPr>
          <w:rFonts w:ascii="Arial" w:hAnsi="Arial" w:cs="Arial"/>
        </w:rPr>
        <w:t>investment</w:t>
      </w:r>
      <w:r w:rsidRPr="004E796C">
        <w:rPr>
          <w:rFonts w:ascii="Arial" w:hAnsi="Arial" w:cs="Arial"/>
        </w:rPr>
        <w:t xml:space="preserve"> in DP&amp;L.  Specifically, the rate</w:t>
      </w:r>
      <w:r w:rsidR="00D96229">
        <w:rPr>
          <w:rFonts w:ascii="Arial" w:hAnsi="Arial" w:cs="Arial"/>
        </w:rPr>
        <w:t xml:space="preserve"> </w:t>
      </w:r>
      <w:r w:rsidR="00C37E7D" w:rsidRPr="004E796C">
        <w:rPr>
          <w:rFonts w:ascii="Arial" w:hAnsi="Arial" w:cs="Arial"/>
        </w:rPr>
        <w:t>base</w:t>
      </w:r>
      <w:r w:rsidRPr="004E796C">
        <w:rPr>
          <w:rFonts w:ascii="Arial" w:hAnsi="Arial" w:cs="Arial"/>
        </w:rPr>
        <w:t xml:space="preserve"> of DP&amp;L, which represents the total </w:t>
      </w:r>
      <w:r w:rsidR="001B7123">
        <w:rPr>
          <w:rFonts w:ascii="Arial" w:hAnsi="Arial" w:cs="Arial"/>
        </w:rPr>
        <w:t>investment</w:t>
      </w:r>
      <w:r w:rsidRPr="004E796C">
        <w:rPr>
          <w:rFonts w:ascii="Arial" w:hAnsi="Arial" w:cs="Arial"/>
        </w:rPr>
        <w:t xml:space="preserve"> of the company, is $</w:t>
      </w:r>
      <w:r w:rsidR="00300E32" w:rsidRPr="004E796C">
        <w:rPr>
          <w:rFonts w:ascii="Arial" w:hAnsi="Arial" w:cs="Arial"/>
        </w:rPr>
        <w:t>643</w:t>
      </w:r>
      <w:r w:rsidRPr="004E796C">
        <w:rPr>
          <w:rFonts w:ascii="Arial" w:hAnsi="Arial" w:cs="Arial"/>
        </w:rPr>
        <w:t xml:space="preserve"> million.  </w:t>
      </w:r>
      <w:r w:rsidR="001B7123">
        <w:rPr>
          <w:rFonts w:ascii="Arial" w:hAnsi="Arial" w:cs="Arial"/>
        </w:rPr>
        <w:t xml:space="preserve">Moreover, the DMR is significantly larger than the $330 million shareholder equity value </w:t>
      </w:r>
      <w:r w:rsidR="00D96229">
        <w:rPr>
          <w:rFonts w:ascii="Arial" w:hAnsi="Arial" w:cs="Arial"/>
        </w:rPr>
        <w:t>on</w:t>
      </w:r>
      <w:r w:rsidR="004A2614">
        <w:rPr>
          <w:rFonts w:ascii="Arial" w:hAnsi="Arial" w:cs="Arial"/>
        </w:rPr>
        <w:t xml:space="preserve"> DP&amp;L</w:t>
      </w:r>
      <w:r w:rsidR="00D96229">
        <w:rPr>
          <w:rFonts w:ascii="Arial" w:hAnsi="Arial" w:cs="Arial"/>
        </w:rPr>
        <w:t>’s balance sheet</w:t>
      </w:r>
      <w:r w:rsidR="004A2614">
        <w:rPr>
          <w:rFonts w:ascii="Arial" w:hAnsi="Arial" w:cs="Arial"/>
        </w:rPr>
        <w:t xml:space="preserve"> as of December 31, 2017.</w:t>
      </w:r>
      <w:r w:rsidR="004A2614">
        <w:rPr>
          <w:rStyle w:val="FootnoteReference"/>
          <w:rFonts w:ascii="Arial" w:hAnsi="Arial" w:cs="Arial"/>
        </w:rPr>
        <w:footnoteReference w:id="39"/>
      </w:r>
      <w:r w:rsidRPr="004E796C">
        <w:rPr>
          <w:rFonts w:ascii="Arial" w:hAnsi="Arial" w:cs="Arial"/>
        </w:rPr>
        <w:t xml:space="preserve">  </w:t>
      </w:r>
    </w:p>
    <w:p w14:paraId="55E8EBBE" w14:textId="414EF4EF" w:rsidR="001B4BFF" w:rsidRDefault="00A97CE8" w:rsidP="00D96229">
      <w:pPr>
        <w:spacing w:after="0" w:line="480" w:lineRule="auto"/>
        <w:ind w:firstLine="720"/>
        <w:jc w:val="both"/>
        <w:rPr>
          <w:rFonts w:ascii="Arial" w:hAnsi="Arial" w:cs="Arial"/>
        </w:rPr>
      </w:pPr>
      <w:r w:rsidRPr="004E796C">
        <w:rPr>
          <w:rFonts w:ascii="Arial" w:hAnsi="Arial" w:cs="Arial"/>
        </w:rPr>
        <w:t xml:space="preserve">The DMR would provide DP&amp;L with $525 million without doing anything and merely to position DP&amp;L to then turn around and invest in grid modernization to increase customers’ rates.  Rather than increasing customers’ rates </w:t>
      </w:r>
      <w:r w:rsidR="00C37E7D" w:rsidRPr="004E796C">
        <w:rPr>
          <w:rFonts w:ascii="Arial" w:hAnsi="Arial" w:cs="Arial"/>
        </w:rPr>
        <w:t xml:space="preserve">twice, first to </w:t>
      </w:r>
      <w:r w:rsidRPr="004E796C">
        <w:rPr>
          <w:rFonts w:ascii="Arial" w:hAnsi="Arial" w:cs="Arial"/>
        </w:rPr>
        <w:t>collect $525 million</w:t>
      </w:r>
      <w:r w:rsidR="00C37E7D" w:rsidRPr="004E796C">
        <w:rPr>
          <w:rFonts w:ascii="Arial" w:hAnsi="Arial" w:cs="Arial"/>
        </w:rPr>
        <w:t xml:space="preserve"> (for no investment and nothing in return), and second</w:t>
      </w:r>
      <w:r w:rsidRPr="004E796C">
        <w:rPr>
          <w:rFonts w:ascii="Arial" w:hAnsi="Arial" w:cs="Arial"/>
        </w:rPr>
        <w:t xml:space="preserve"> to</w:t>
      </w:r>
      <w:r w:rsidR="00C37E7D" w:rsidRPr="004E796C">
        <w:rPr>
          <w:rFonts w:ascii="Arial" w:hAnsi="Arial" w:cs="Arial"/>
        </w:rPr>
        <w:t xml:space="preserve"> </w:t>
      </w:r>
      <w:r w:rsidRPr="004E796C">
        <w:rPr>
          <w:rFonts w:ascii="Arial" w:hAnsi="Arial" w:cs="Arial"/>
        </w:rPr>
        <w:t xml:space="preserve">increase </w:t>
      </w:r>
      <w:r w:rsidR="00C37E7D" w:rsidRPr="004E796C">
        <w:rPr>
          <w:rFonts w:ascii="Arial" w:hAnsi="Arial" w:cs="Arial"/>
        </w:rPr>
        <w:t>rates</w:t>
      </w:r>
      <w:r w:rsidRPr="004E796C">
        <w:rPr>
          <w:rFonts w:ascii="Arial" w:hAnsi="Arial" w:cs="Arial"/>
        </w:rPr>
        <w:t xml:space="preserve"> again to recover the cost of grid modernization investment</w:t>
      </w:r>
      <w:r w:rsidR="00C37E7D" w:rsidRPr="004E796C">
        <w:rPr>
          <w:rFonts w:ascii="Arial" w:hAnsi="Arial" w:cs="Arial"/>
        </w:rPr>
        <w:t xml:space="preserve">, </w:t>
      </w:r>
      <w:r w:rsidRPr="004E796C">
        <w:rPr>
          <w:rFonts w:ascii="Arial" w:hAnsi="Arial" w:cs="Arial"/>
        </w:rPr>
        <w:t>there is no question that customers would rather the entirety of the $525 million be invested in grid modernization</w:t>
      </w:r>
      <w:r>
        <w:rPr>
          <w:rFonts w:ascii="Arial" w:hAnsi="Arial" w:cs="Arial"/>
        </w:rPr>
        <w:t xml:space="preserve">, with the caveat that </w:t>
      </w:r>
      <w:r w:rsidR="001B4BFF">
        <w:rPr>
          <w:rFonts w:ascii="Arial" w:hAnsi="Arial" w:cs="Arial"/>
        </w:rPr>
        <w:t>DP&amp;L should not earn a</w:t>
      </w:r>
      <w:r>
        <w:rPr>
          <w:rFonts w:ascii="Arial" w:hAnsi="Arial" w:cs="Arial"/>
        </w:rPr>
        <w:t xml:space="preserve"> return of or on investment.</w:t>
      </w:r>
      <w:r w:rsidR="001B4BFF">
        <w:rPr>
          <w:rFonts w:ascii="Arial" w:hAnsi="Arial" w:cs="Arial"/>
        </w:rPr>
        <w:t xml:space="preserve">  </w:t>
      </w:r>
      <w:r w:rsidR="006B6F4E">
        <w:rPr>
          <w:rFonts w:ascii="Arial" w:hAnsi="Arial" w:cs="Arial"/>
        </w:rPr>
        <w:t>Given these facts, DP&amp;L’s and customer</w:t>
      </w:r>
      <w:r w:rsidR="003D4458">
        <w:rPr>
          <w:rFonts w:ascii="Arial" w:hAnsi="Arial" w:cs="Arial"/>
        </w:rPr>
        <w:t>s</w:t>
      </w:r>
      <w:r w:rsidR="006B6F4E">
        <w:rPr>
          <w:rFonts w:ascii="Arial" w:hAnsi="Arial" w:cs="Arial"/>
        </w:rPr>
        <w:t xml:space="preserve">’ interests are not aligned with respect to the DMR.  </w:t>
      </w:r>
      <w:r w:rsidR="001B4BFF">
        <w:rPr>
          <w:rFonts w:ascii="Arial" w:hAnsi="Arial" w:cs="Arial"/>
        </w:rPr>
        <w:t>Therefore, the DMR cannot be authorized under R.C. 4928.143(B)(2)(h).</w:t>
      </w:r>
    </w:p>
    <w:p w14:paraId="63A8C75D" w14:textId="1CA56389" w:rsidR="001B4BFF" w:rsidRDefault="0056050E" w:rsidP="00153B94">
      <w:pPr>
        <w:spacing w:after="0" w:line="480" w:lineRule="auto"/>
        <w:ind w:firstLine="720"/>
        <w:jc w:val="both"/>
        <w:rPr>
          <w:rFonts w:ascii="Arial" w:hAnsi="Arial" w:cs="Arial"/>
        </w:rPr>
      </w:pPr>
      <w:r>
        <w:rPr>
          <w:rFonts w:ascii="Arial" w:hAnsi="Arial" w:cs="Arial"/>
        </w:rPr>
        <w:t>Finally</w:t>
      </w:r>
      <w:r w:rsidR="00153B94">
        <w:rPr>
          <w:rFonts w:ascii="Arial" w:hAnsi="Arial" w:cs="Arial"/>
        </w:rPr>
        <w:t xml:space="preserve">, even </w:t>
      </w:r>
      <w:r w:rsidR="007E2DBC">
        <w:rPr>
          <w:rFonts w:ascii="Arial" w:hAnsi="Arial" w:cs="Arial"/>
        </w:rPr>
        <w:t xml:space="preserve">the Commission can put lipstick on a pig and fit the DMR under R.C. 4928.143(B)(2)(h) (which it cannot), the ESP would still fail the MRO price test by a tune of more than </w:t>
      </w:r>
      <w:r w:rsidR="004E796C">
        <w:rPr>
          <w:rFonts w:ascii="Arial" w:hAnsi="Arial" w:cs="Arial"/>
        </w:rPr>
        <w:t xml:space="preserve">500 million </w:t>
      </w:r>
      <w:r w:rsidR="007E2DBC">
        <w:rPr>
          <w:rFonts w:ascii="Arial" w:hAnsi="Arial" w:cs="Arial"/>
        </w:rPr>
        <w:t xml:space="preserve">dollars.  </w:t>
      </w:r>
    </w:p>
    <w:p w14:paraId="5CF537D7" w14:textId="73ABD679" w:rsidR="00B61795" w:rsidRDefault="00B27BBD" w:rsidP="00145504">
      <w:pPr>
        <w:spacing w:after="0" w:line="480" w:lineRule="auto"/>
        <w:ind w:firstLine="720"/>
        <w:jc w:val="both"/>
        <w:rPr>
          <w:rFonts w:ascii="Arial" w:hAnsi="Arial" w:cs="Arial"/>
        </w:rPr>
      </w:pPr>
      <w:r>
        <w:rPr>
          <w:rFonts w:ascii="Arial" w:hAnsi="Arial" w:cs="Arial"/>
        </w:rPr>
        <w:lastRenderedPageBreak/>
        <w:t>Given the legal infirmities in the proposed DMR, t</w:t>
      </w:r>
      <w:r w:rsidR="004E796C">
        <w:rPr>
          <w:rFonts w:ascii="Arial" w:hAnsi="Arial" w:cs="Arial"/>
        </w:rPr>
        <w:t>he Commission should spare the parties</w:t>
      </w:r>
      <w:r w:rsidR="000A3D2A">
        <w:rPr>
          <w:rFonts w:ascii="Arial" w:hAnsi="Arial" w:cs="Arial"/>
        </w:rPr>
        <w:t>—and customers that are already being charged for an unlawful rider—</w:t>
      </w:r>
      <w:r w:rsidR="004E796C">
        <w:rPr>
          <w:rFonts w:ascii="Arial" w:hAnsi="Arial" w:cs="Arial"/>
        </w:rPr>
        <w:t xml:space="preserve">the appellant process and eliminate the DMR now. </w:t>
      </w:r>
      <w:r w:rsidR="00B61795">
        <w:rPr>
          <w:rFonts w:ascii="Arial" w:hAnsi="Arial" w:cs="Arial"/>
        </w:rPr>
        <w:t xml:space="preserve"> </w:t>
      </w:r>
    </w:p>
    <w:p w14:paraId="466C1303" w14:textId="77777777" w:rsidR="00DB4CBF" w:rsidRDefault="00DB4CBF" w:rsidP="001874B7">
      <w:pPr>
        <w:spacing w:after="0" w:line="480" w:lineRule="auto"/>
        <w:ind w:firstLine="720"/>
        <w:jc w:val="both"/>
        <w:rPr>
          <w:rFonts w:ascii="Arial" w:hAnsi="Arial" w:cs="Arial"/>
          <w:b/>
        </w:rPr>
      </w:pPr>
      <w:r>
        <w:rPr>
          <w:rFonts w:ascii="Arial" w:hAnsi="Arial" w:cs="Arial"/>
          <w:b/>
        </w:rPr>
        <w:t>III. ARGUMENT</w:t>
      </w:r>
    </w:p>
    <w:p w14:paraId="3B22471C" w14:textId="6DA4AC48" w:rsidR="00A64F81" w:rsidRPr="00A64F81" w:rsidRDefault="00194E05" w:rsidP="00A64F81">
      <w:pPr>
        <w:spacing w:after="0" w:line="480" w:lineRule="auto"/>
        <w:ind w:firstLine="720"/>
        <w:jc w:val="both"/>
        <w:rPr>
          <w:rFonts w:ascii="Arial" w:hAnsi="Arial" w:cs="Arial"/>
        </w:rPr>
      </w:pPr>
      <w:r w:rsidRPr="00A64F81">
        <w:rPr>
          <w:rFonts w:ascii="Arial" w:hAnsi="Arial" w:cs="Arial"/>
        </w:rPr>
        <w:t xml:space="preserve">Based upon the Court’s precedent in </w:t>
      </w:r>
      <w:r w:rsidRPr="00A64F81">
        <w:rPr>
          <w:rFonts w:ascii="Arial" w:hAnsi="Arial" w:cs="Arial"/>
          <w:i/>
        </w:rPr>
        <w:t>FirstEnergy</w:t>
      </w:r>
      <w:r w:rsidRPr="00A64F81">
        <w:rPr>
          <w:rFonts w:ascii="Arial" w:hAnsi="Arial" w:cs="Arial"/>
        </w:rPr>
        <w:t>,</w:t>
      </w:r>
      <w:r w:rsidR="00145504">
        <w:rPr>
          <w:rFonts w:ascii="Arial" w:hAnsi="Arial" w:cs="Arial"/>
        </w:rPr>
        <w:t xml:space="preserve"> as well as the remaining legal arguments</w:t>
      </w:r>
      <w:r w:rsidR="00F34956">
        <w:rPr>
          <w:rFonts w:ascii="Arial" w:hAnsi="Arial" w:cs="Arial"/>
        </w:rPr>
        <w:t xml:space="preserve"> which</w:t>
      </w:r>
      <w:r w:rsidR="00145504">
        <w:rPr>
          <w:rFonts w:ascii="Arial" w:hAnsi="Arial" w:cs="Arial"/>
        </w:rPr>
        <w:t xml:space="preserve"> the Court declined to address,</w:t>
      </w:r>
      <w:r w:rsidRPr="00A64F81">
        <w:rPr>
          <w:rFonts w:ascii="Arial" w:hAnsi="Arial" w:cs="Arial"/>
        </w:rPr>
        <w:t xml:space="preserve"> </w:t>
      </w:r>
      <w:proofErr w:type="gramStart"/>
      <w:r w:rsidRPr="00A64F81">
        <w:rPr>
          <w:rFonts w:ascii="Arial" w:hAnsi="Arial" w:cs="Arial"/>
        </w:rPr>
        <w:t>it is clear that the</w:t>
      </w:r>
      <w:proofErr w:type="gramEnd"/>
      <w:r w:rsidRPr="00A64F81">
        <w:rPr>
          <w:rFonts w:ascii="Arial" w:hAnsi="Arial" w:cs="Arial"/>
        </w:rPr>
        <w:t xml:space="preserve"> DMR is unlawful and unreasonable.</w:t>
      </w:r>
      <w:r w:rsidR="00A64F81" w:rsidRPr="00A64F81">
        <w:rPr>
          <w:rFonts w:ascii="Arial" w:hAnsi="Arial" w:cs="Arial"/>
        </w:rPr>
        <w:t xml:space="preserve">  Under R.C. 4928.143(B)(2)(h), an ESP may include</w:t>
      </w:r>
      <w:r w:rsidR="00145504">
        <w:rPr>
          <w:rFonts w:ascii="Arial" w:hAnsi="Arial" w:cs="Arial"/>
        </w:rPr>
        <w:t xml:space="preserve"> (emphasis added): </w:t>
      </w:r>
    </w:p>
    <w:p w14:paraId="2D0EE207" w14:textId="77777777" w:rsidR="00A64F81" w:rsidRDefault="00A64F81" w:rsidP="00145504">
      <w:pPr>
        <w:pStyle w:val="ListParagraph"/>
        <w:spacing w:after="0" w:line="240" w:lineRule="auto"/>
        <w:ind w:right="720"/>
        <w:jc w:val="both"/>
        <w:rPr>
          <w:rFonts w:ascii="Arial" w:hAnsi="Arial" w:cs="Arial"/>
          <w:color w:val="000000"/>
          <w:sz w:val="24"/>
          <w:szCs w:val="24"/>
          <w:shd w:val="clear" w:color="auto" w:fill="FFFFFF"/>
        </w:rPr>
      </w:pPr>
      <w:r w:rsidRPr="00A64F81">
        <w:rPr>
          <w:rFonts w:ascii="Arial" w:hAnsi="Arial" w:cs="Arial"/>
          <w:color w:val="000000"/>
          <w:sz w:val="24"/>
          <w:szCs w:val="24"/>
          <w:shd w:val="clear" w:color="auto" w:fill="FFFFFF"/>
        </w:rPr>
        <w:t xml:space="preserve">Provisions regarding the utility's </w:t>
      </w:r>
      <w:r w:rsidRPr="00A64F81">
        <w:rPr>
          <w:rFonts w:ascii="Arial" w:hAnsi="Arial" w:cs="Arial"/>
          <w:i/>
          <w:color w:val="000000"/>
          <w:sz w:val="24"/>
          <w:szCs w:val="24"/>
          <w:shd w:val="clear" w:color="auto" w:fill="FFFFFF"/>
        </w:rPr>
        <w:t>distribution service</w:t>
      </w:r>
      <w:r w:rsidRPr="00A64F81">
        <w:rPr>
          <w:rFonts w:ascii="Arial" w:hAnsi="Arial" w:cs="Arial"/>
          <w:color w:val="000000"/>
          <w:sz w:val="24"/>
          <w:szCs w:val="24"/>
          <w:shd w:val="clear" w:color="auto" w:fill="FFFFFF"/>
        </w:rPr>
        <w:t xml:space="preserve">, including, without limitation and notwithstanding any provision of Title XLIX of the Revised Code to the contrary, provisions regarding </w:t>
      </w:r>
      <w:r w:rsidRPr="00A64F81">
        <w:rPr>
          <w:rFonts w:ascii="Arial" w:hAnsi="Arial" w:cs="Arial"/>
          <w:i/>
          <w:color w:val="000000"/>
          <w:sz w:val="24"/>
          <w:szCs w:val="24"/>
          <w:shd w:val="clear" w:color="auto" w:fill="FFFFFF"/>
        </w:rPr>
        <w:t>single issue ratemaking</w:t>
      </w:r>
      <w:r w:rsidRPr="00A64F81">
        <w:rPr>
          <w:rFonts w:ascii="Arial" w:hAnsi="Arial" w:cs="Arial"/>
          <w:color w:val="000000"/>
          <w:sz w:val="24"/>
          <w:szCs w:val="24"/>
          <w:shd w:val="clear" w:color="auto" w:fill="FFFFFF"/>
        </w:rPr>
        <w:t xml:space="preserve">, a </w:t>
      </w:r>
      <w:r w:rsidRPr="00A64F81">
        <w:rPr>
          <w:rFonts w:ascii="Arial" w:hAnsi="Arial" w:cs="Arial"/>
          <w:i/>
          <w:color w:val="000000"/>
          <w:sz w:val="24"/>
          <w:szCs w:val="24"/>
          <w:shd w:val="clear" w:color="auto" w:fill="FFFFFF"/>
        </w:rPr>
        <w:t>revenue decoupling mechanism</w:t>
      </w:r>
      <w:r w:rsidRPr="00A64F81">
        <w:rPr>
          <w:rFonts w:ascii="Arial" w:hAnsi="Arial" w:cs="Arial"/>
          <w:color w:val="000000"/>
          <w:sz w:val="24"/>
          <w:szCs w:val="24"/>
          <w:shd w:val="clear" w:color="auto" w:fill="FFFFFF"/>
        </w:rPr>
        <w:t xml:space="preserve"> or </w:t>
      </w:r>
      <w:r w:rsidRPr="00A64F81">
        <w:rPr>
          <w:rFonts w:ascii="Arial" w:hAnsi="Arial" w:cs="Arial"/>
          <w:i/>
          <w:color w:val="000000"/>
          <w:sz w:val="24"/>
          <w:szCs w:val="24"/>
          <w:shd w:val="clear" w:color="auto" w:fill="FFFFFF"/>
        </w:rPr>
        <w:t>any other incentive ratemaking</w:t>
      </w:r>
      <w:r w:rsidRPr="00A64F81">
        <w:rPr>
          <w:rFonts w:ascii="Arial" w:hAnsi="Arial" w:cs="Arial"/>
          <w:color w:val="000000"/>
          <w:sz w:val="24"/>
          <w:szCs w:val="24"/>
          <w:shd w:val="clear" w:color="auto" w:fill="FFFFFF"/>
        </w:rPr>
        <w:t xml:space="preserve">, and provisions regarding distribution infrastructure and </w:t>
      </w:r>
      <w:r w:rsidRPr="00A64F81">
        <w:rPr>
          <w:rFonts w:ascii="Arial" w:hAnsi="Arial" w:cs="Arial"/>
          <w:b/>
          <w:i/>
          <w:color w:val="000000"/>
          <w:sz w:val="24"/>
          <w:szCs w:val="24"/>
          <w:shd w:val="clear" w:color="auto" w:fill="FFFFFF"/>
        </w:rPr>
        <w:t>modernization incentives</w:t>
      </w:r>
      <w:r w:rsidRPr="00A64F81">
        <w:rPr>
          <w:rFonts w:ascii="Arial" w:hAnsi="Arial" w:cs="Arial"/>
          <w:color w:val="000000"/>
          <w:sz w:val="24"/>
          <w:szCs w:val="24"/>
          <w:shd w:val="clear" w:color="auto" w:fill="FFFFFF"/>
        </w:rPr>
        <w:t xml:space="preserve"> for the electric distribution utility. </w:t>
      </w:r>
    </w:p>
    <w:p w14:paraId="2F01ECC1" w14:textId="77777777" w:rsidR="00145504" w:rsidRDefault="00145504" w:rsidP="00145504">
      <w:pPr>
        <w:pStyle w:val="ListParagraph"/>
        <w:spacing w:after="0" w:line="240" w:lineRule="auto"/>
        <w:ind w:right="720"/>
        <w:jc w:val="both"/>
        <w:rPr>
          <w:rFonts w:ascii="Arial" w:hAnsi="Arial" w:cs="Arial"/>
          <w:color w:val="000000"/>
          <w:sz w:val="24"/>
          <w:szCs w:val="24"/>
          <w:shd w:val="clear" w:color="auto" w:fill="FFFFFF"/>
        </w:rPr>
      </w:pPr>
    </w:p>
    <w:p w14:paraId="77E46327" w14:textId="118FED80" w:rsidR="00A64F81" w:rsidRPr="00D11CA7" w:rsidRDefault="00A2061B" w:rsidP="001C5C95">
      <w:pPr>
        <w:spacing w:after="0" w:line="480" w:lineRule="auto"/>
        <w:jc w:val="both"/>
        <w:rPr>
          <w:rFonts w:ascii="Arial" w:hAnsi="Arial" w:cs="Arial"/>
          <w:color w:val="000000"/>
          <w:shd w:val="clear" w:color="auto" w:fill="FFFFFF"/>
        </w:rPr>
      </w:pPr>
      <w:r>
        <w:rPr>
          <w:rFonts w:ascii="Arial" w:hAnsi="Arial" w:cs="Arial"/>
          <w:color w:val="000000"/>
          <w:shd w:val="clear" w:color="auto" w:fill="FFFFFF"/>
        </w:rPr>
        <w:t>Modernization</w:t>
      </w:r>
      <w:r w:rsidR="00A64F81" w:rsidRPr="001C5C95">
        <w:rPr>
          <w:rFonts w:ascii="Arial" w:hAnsi="Arial" w:cs="Arial"/>
          <w:color w:val="000000"/>
          <w:shd w:val="clear" w:color="auto" w:fill="FFFFFF"/>
        </w:rPr>
        <w:t xml:space="preserve"> incentives</w:t>
      </w:r>
      <w:r>
        <w:rPr>
          <w:rFonts w:ascii="Arial" w:hAnsi="Arial" w:cs="Arial"/>
          <w:color w:val="000000"/>
          <w:shd w:val="clear" w:color="auto" w:fill="FFFFFF"/>
        </w:rPr>
        <w:t xml:space="preserve"> “</w:t>
      </w:r>
      <w:r w:rsidR="00A64F81" w:rsidRPr="001C5C95">
        <w:rPr>
          <w:rFonts w:ascii="Arial" w:hAnsi="Arial" w:cs="Arial"/>
          <w:color w:val="000000"/>
          <w:shd w:val="clear" w:color="auto" w:fill="FFFFFF"/>
        </w:rPr>
        <w:t xml:space="preserve">may include a long-term energy delivery infrastructure modernization plan for that utility or any plan providing for the utility's recovery of costs, including lost revenue, shared savings, and avoided costs, </w:t>
      </w:r>
      <w:r w:rsidR="00A64F81" w:rsidRPr="001C5C95">
        <w:rPr>
          <w:rFonts w:ascii="Arial" w:hAnsi="Arial" w:cs="Arial"/>
          <w:b/>
          <w:i/>
          <w:color w:val="000000"/>
          <w:shd w:val="clear" w:color="auto" w:fill="FFFFFF"/>
        </w:rPr>
        <w:t>and a just and reasonable rate of return on such infrastructure modernization.</w:t>
      </w:r>
      <w:r w:rsidR="00D11CA7">
        <w:rPr>
          <w:rFonts w:ascii="Arial" w:hAnsi="Arial" w:cs="Arial"/>
          <w:color w:val="000000"/>
          <w:shd w:val="clear" w:color="auto" w:fill="FFFFFF"/>
        </w:rPr>
        <w:t>”</w:t>
      </w:r>
    </w:p>
    <w:p w14:paraId="0FBCD478" w14:textId="36E1B70C" w:rsidR="00A64F81" w:rsidRPr="001C5C95" w:rsidRDefault="001C5C95" w:rsidP="001C5C95">
      <w:pPr>
        <w:pStyle w:val="ListParagraph"/>
        <w:spacing w:after="0" w:line="480" w:lineRule="auto"/>
        <w:ind w:left="0" w:firstLine="72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Moreover, i</w:t>
      </w:r>
      <w:r w:rsidR="00A64F81" w:rsidRPr="001C5C95">
        <w:rPr>
          <w:rFonts w:ascii="Arial" w:hAnsi="Arial" w:cs="Arial"/>
          <w:color w:val="000000"/>
          <w:sz w:val="24"/>
          <w:szCs w:val="24"/>
          <w:shd w:val="clear" w:color="auto" w:fill="FFFFFF"/>
        </w:rPr>
        <w:t xml:space="preserve">n any order authorizing a provision under section </w:t>
      </w:r>
      <w:r w:rsidR="008B684C">
        <w:rPr>
          <w:rFonts w:ascii="Arial" w:hAnsi="Arial" w:cs="Arial"/>
          <w:color w:val="000000"/>
          <w:sz w:val="24"/>
          <w:szCs w:val="24"/>
          <w:shd w:val="clear" w:color="auto" w:fill="FFFFFF"/>
        </w:rPr>
        <w:t>(</w:t>
      </w:r>
      <w:r w:rsidR="00A64F81" w:rsidRPr="001C5C95">
        <w:rPr>
          <w:rFonts w:ascii="Arial" w:hAnsi="Arial" w:cs="Arial"/>
          <w:color w:val="000000"/>
          <w:sz w:val="24"/>
          <w:szCs w:val="24"/>
          <w:shd w:val="clear" w:color="auto" w:fill="FFFFFF"/>
        </w:rPr>
        <w:t>B</w:t>
      </w:r>
      <w:r w:rsidR="008B684C">
        <w:rPr>
          <w:rFonts w:ascii="Arial" w:hAnsi="Arial" w:cs="Arial"/>
          <w:color w:val="000000"/>
          <w:sz w:val="24"/>
          <w:szCs w:val="24"/>
          <w:shd w:val="clear" w:color="auto" w:fill="FFFFFF"/>
        </w:rPr>
        <w:t>)</w:t>
      </w:r>
      <w:r w:rsidR="00A64F81" w:rsidRPr="001C5C95">
        <w:rPr>
          <w:rFonts w:ascii="Arial" w:hAnsi="Arial" w:cs="Arial"/>
          <w:color w:val="000000"/>
          <w:sz w:val="24"/>
          <w:szCs w:val="24"/>
          <w:shd w:val="clear" w:color="auto" w:fill="FFFFFF"/>
        </w:rPr>
        <w:t>(2)(h), the Commission must</w:t>
      </w:r>
      <w:r>
        <w:rPr>
          <w:rFonts w:ascii="Arial" w:hAnsi="Arial" w:cs="Arial"/>
          <w:color w:val="000000"/>
          <w:sz w:val="24"/>
          <w:szCs w:val="24"/>
          <w:shd w:val="clear" w:color="auto" w:fill="FFFFFF"/>
        </w:rPr>
        <w:t xml:space="preserve">: (1) </w:t>
      </w:r>
      <w:r w:rsidR="00A64F81" w:rsidRPr="001C5C95">
        <w:rPr>
          <w:rFonts w:ascii="Arial" w:hAnsi="Arial" w:cs="Arial"/>
          <w:color w:val="000000"/>
          <w:sz w:val="24"/>
          <w:szCs w:val="24"/>
          <w:shd w:val="clear" w:color="auto" w:fill="FFFFFF"/>
        </w:rPr>
        <w:t>examine the reliability of the electric distribution utility's distribution system</w:t>
      </w:r>
      <w:r>
        <w:rPr>
          <w:rFonts w:ascii="Arial" w:hAnsi="Arial" w:cs="Arial"/>
          <w:color w:val="000000"/>
          <w:sz w:val="24"/>
          <w:szCs w:val="24"/>
          <w:shd w:val="clear" w:color="auto" w:fill="FFFFFF"/>
        </w:rPr>
        <w:t xml:space="preserve">; </w:t>
      </w:r>
      <w:r w:rsidR="006C09B2">
        <w:rPr>
          <w:rFonts w:ascii="Arial" w:hAnsi="Arial" w:cs="Arial"/>
          <w:color w:val="000000"/>
          <w:sz w:val="24"/>
          <w:szCs w:val="24"/>
          <w:shd w:val="clear" w:color="auto" w:fill="FFFFFF"/>
        </w:rPr>
        <w:t xml:space="preserve">and </w:t>
      </w:r>
      <w:r>
        <w:rPr>
          <w:rFonts w:ascii="Arial" w:hAnsi="Arial" w:cs="Arial"/>
          <w:color w:val="000000"/>
          <w:sz w:val="24"/>
          <w:szCs w:val="24"/>
          <w:shd w:val="clear" w:color="auto" w:fill="FFFFFF"/>
        </w:rPr>
        <w:t>(2)</w:t>
      </w:r>
      <w:r w:rsidR="00A64F81" w:rsidRPr="001C5C95">
        <w:rPr>
          <w:rFonts w:ascii="Arial" w:hAnsi="Arial" w:cs="Arial"/>
          <w:color w:val="000000"/>
          <w:sz w:val="24"/>
          <w:szCs w:val="24"/>
          <w:shd w:val="clear" w:color="auto" w:fill="FFFFFF"/>
        </w:rPr>
        <w:t xml:space="preserve"> </w:t>
      </w:r>
      <w:r w:rsidR="00A64F81" w:rsidRPr="001C5C95">
        <w:rPr>
          <w:rFonts w:ascii="Arial" w:hAnsi="Arial" w:cs="Arial"/>
          <w:b/>
          <w:color w:val="000000"/>
          <w:sz w:val="24"/>
          <w:szCs w:val="24"/>
          <w:shd w:val="clear" w:color="auto" w:fill="FFFFFF"/>
        </w:rPr>
        <w:t>ensure that customers' and the electric distribution utility's expectations are aligned</w:t>
      </w:r>
      <w:r>
        <w:rPr>
          <w:rFonts w:ascii="Arial" w:hAnsi="Arial" w:cs="Arial"/>
          <w:color w:val="000000"/>
          <w:sz w:val="24"/>
          <w:szCs w:val="24"/>
          <w:shd w:val="clear" w:color="auto" w:fill="FFFFFF"/>
        </w:rPr>
        <w:t xml:space="preserve"> and</w:t>
      </w:r>
      <w:r w:rsidR="00A64F81" w:rsidRPr="001C5C95">
        <w:rPr>
          <w:rFonts w:ascii="Arial" w:hAnsi="Arial" w:cs="Arial"/>
          <w:color w:val="000000"/>
          <w:sz w:val="24"/>
          <w:szCs w:val="24"/>
          <w:shd w:val="clear" w:color="auto" w:fill="FFFFFF"/>
        </w:rPr>
        <w:t xml:space="preserve"> that the electric distribution utility is placing </w:t>
      </w:r>
      <w:proofErr w:type="gramStart"/>
      <w:r w:rsidR="00A64F81" w:rsidRPr="001C5C95">
        <w:rPr>
          <w:rFonts w:ascii="Arial" w:hAnsi="Arial" w:cs="Arial"/>
          <w:color w:val="000000"/>
          <w:sz w:val="24"/>
          <w:szCs w:val="24"/>
          <w:shd w:val="clear" w:color="auto" w:fill="FFFFFF"/>
        </w:rPr>
        <w:t>sufficient</w:t>
      </w:r>
      <w:proofErr w:type="gramEnd"/>
      <w:r w:rsidR="00A64F81" w:rsidRPr="001C5C95">
        <w:rPr>
          <w:rFonts w:ascii="Arial" w:hAnsi="Arial" w:cs="Arial"/>
          <w:color w:val="000000"/>
          <w:sz w:val="24"/>
          <w:szCs w:val="24"/>
          <w:shd w:val="clear" w:color="auto" w:fill="FFFFFF"/>
        </w:rPr>
        <w:t xml:space="preserve"> emphasis on and dedicating sufficient resources to the reliability of its distribution system.</w:t>
      </w:r>
      <w:r w:rsidR="00E73943">
        <w:rPr>
          <w:rStyle w:val="FootnoteReference"/>
          <w:rFonts w:ascii="Arial" w:hAnsi="Arial" w:cs="Arial"/>
          <w:color w:val="000000"/>
          <w:sz w:val="24"/>
          <w:szCs w:val="24"/>
          <w:shd w:val="clear" w:color="auto" w:fill="FFFFFF"/>
        </w:rPr>
        <w:footnoteReference w:id="40"/>
      </w:r>
    </w:p>
    <w:p w14:paraId="5A2FB877" w14:textId="5AE5D3BD" w:rsidR="00905130" w:rsidRPr="00194E05" w:rsidRDefault="00194E05" w:rsidP="00435488">
      <w:pPr>
        <w:spacing w:after="0" w:line="480" w:lineRule="auto"/>
        <w:ind w:firstLine="720"/>
        <w:jc w:val="both"/>
        <w:rPr>
          <w:rFonts w:ascii="Arial" w:hAnsi="Arial" w:cs="Arial"/>
        </w:rPr>
      </w:pPr>
      <w:r>
        <w:rPr>
          <w:rFonts w:ascii="Arial" w:hAnsi="Arial" w:cs="Arial"/>
        </w:rPr>
        <w:lastRenderedPageBreak/>
        <w:t xml:space="preserve">As discussed </w:t>
      </w:r>
      <w:r w:rsidR="00435488">
        <w:rPr>
          <w:rFonts w:ascii="Arial" w:hAnsi="Arial" w:cs="Arial"/>
        </w:rPr>
        <w:t xml:space="preserve">in </w:t>
      </w:r>
      <w:r w:rsidR="00435488">
        <w:rPr>
          <w:rFonts w:ascii="Arial" w:hAnsi="Arial" w:cs="Arial"/>
          <w:i/>
        </w:rPr>
        <w:t xml:space="preserve">FirstEnergy </w:t>
      </w:r>
      <w:r w:rsidR="00435488">
        <w:rPr>
          <w:rFonts w:ascii="Arial" w:hAnsi="Arial" w:cs="Arial"/>
        </w:rPr>
        <w:t xml:space="preserve">and further </w:t>
      </w:r>
      <w:r>
        <w:rPr>
          <w:rFonts w:ascii="Arial" w:hAnsi="Arial" w:cs="Arial"/>
        </w:rPr>
        <w:t xml:space="preserve">below, the DMR </w:t>
      </w:r>
      <w:r w:rsidR="001C5C95">
        <w:rPr>
          <w:rFonts w:ascii="Arial" w:hAnsi="Arial" w:cs="Arial"/>
        </w:rPr>
        <w:t>does not satisfy the criteria in this section.  It has</w:t>
      </w:r>
      <w:r>
        <w:rPr>
          <w:rFonts w:ascii="Arial" w:hAnsi="Arial" w:cs="Arial"/>
        </w:rPr>
        <w:t xml:space="preserve"> no</w:t>
      </w:r>
      <w:r w:rsidR="00FD5196">
        <w:rPr>
          <w:rFonts w:ascii="Arial" w:hAnsi="Arial" w:cs="Arial"/>
        </w:rPr>
        <w:t xml:space="preserve"> tangible</w:t>
      </w:r>
      <w:r>
        <w:rPr>
          <w:rFonts w:ascii="Arial" w:hAnsi="Arial" w:cs="Arial"/>
        </w:rPr>
        <w:t xml:space="preserve"> connection to distribution service.  Moreover, the DMR has no connection to grid modernization, given that: (1) it is not conditioned upon achieving any level of grid modernization; (2)</w:t>
      </w:r>
      <w:r w:rsidR="00905130" w:rsidRPr="00905130">
        <w:t xml:space="preserve"> </w:t>
      </w:r>
      <w:r w:rsidR="00905130" w:rsidRPr="00905130">
        <w:rPr>
          <w:rFonts w:ascii="Arial" w:hAnsi="Arial" w:cs="Arial"/>
        </w:rPr>
        <w:t xml:space="preserve">the size of the DMR is not connected to any amount of grid modernization; </w:t>
      </w:r>
      <w:r w:rsidR="00905130">
        <w:rPr>
          <w:rFonts w:ascii="Arial" w:hAnsi="Arial" w:cs="Arial"/>
        </w:rPr>
        <w:t>(3)</w:t>
      </w:r>
      <w:r>
        <w:rPr>
          <w:rFonts w:ascii="Arial" w:hAnsi="Arial" w:cs="Arial"/>
        </w:rPr>
        <w:t xml:space="preserve"> the record lacks any evidence of any grid modernization proposal; (4) grid modernization shall</w:t>
      </w:r>
      <w:r w:rsidR="00905130">
        <w:rPr>
          <w:rFonts w:ascii="Arial" w:hAnsi="Arial" w:cs="Arial"/>
        </w:rPr>
        <w:t xml:space="preserve"> not</w:t>
      </w:r>
      <w:r>
        <w:rPr>
          <w:rFonts w:ascii="Arial" w:hAnsi="Arial" w:cs="Arial"/>
        </w:rPr>
        <w:t xml:space="preserve"> occur—if at all—until some point in time several years after the Stipulation was executed</w:t>
      </w:r>
      <w:r w:rsidR="00905130">
        <w:rPr>
          <w:rFonts w:ascii="Arial" w:hAnsi="Arial" w:cs="Arial"/>
        </w:rPr>
        <w:t>, after the Commission issues orders in another proceeding</w:t>
      </w:r>
      <w:r>
        <w:rPr>
          <w:rFonts w:ascii="Arial" w:hAnsi="Arial" w:cs="Arial"/>
        </w:rPr>
        <w:t>.</w:t>
      </w:r>
      <w:r w:rsidR="00905130">
        <w:rPr>
          <w:rFonts w:ascii="Arial" w:hAnsi="Arial" w:cs="Arial"/>
        </w:rPr>
        <w:t xml:space="preserve">  Finally, even if there was some tenuous connection between the DMR and grid modernization, DP&amp;L cannot demonstrate that the rider</w:t>
      </w:r>
      <w:r w:rsidR="001C5C95">
        <w:rPr>
          <w:rFonts w:ascii="Arial" w:hAnsi="Arial" w:cs="Arial"/>
        </w:rPr>
        <w:t xml:space="preserve"> is permissible—</w:t>
      </w:r>
      <w:proofErr w:type="gramStart"/>
      <w:r w:rsidR="001C5C95">
        <w:rPr>
          <w:rFonts w:ascii="Arial" w:hAnsi="Arial" w:cs="Arial"/>
        </w:rPr>
        <w:t>in light of</w:t>
      </w:r>
      <w:proofErr w:type="gramEnd"/>
      <w:r w:rsidR="001C5C95">
        <w:rPr>
          <w:rFonts w:ascii="Arial" w:hAnsi="Arial" w:cs="Arial"/>
        </w:rPr>
        <w:t xml:space="preserve"> its unreasonable</w:t>
      </w:r>
      <w:r w:rsidR="00415DA1">
        <w:rPr>
          <w:rFonts w:ascii="Arial" w:hAnsi="Arial" w:cs="Arial"/>
        </w:rPr>
        <w:t xml:space="preserve"> and</w:t>
      </w:r>
      <w:r w:rsidR="001C5C95">
        <w:rPr>
          <w:rFonts w:ascii="Arial" w:hAnsi="Arial" w:cs="Arial"/>
        </w:rPr>
        <w:t xml:space="preserve"> unsubstantiated return—or that the rider</w:t>
      </w:r>
      <w:r w:rsidR="00905130">
        <w:rPr>
          <w:rFonts w:ascii="Arial" w:hAnsi="Arial" w:cs="Arial"/>
        </w:rPr>
        <w:t xml:space="preserve"> aligns customers’ and DP&amp;L’s expectations</w:t>
      </w:r>
      <w:r w:rsidR="001C5C95">
        <w:rPr>
          <w:rFonts w:ascii="Arial" w:hAnsi="Arial" w:cs="Arial"/>
        </w:rPr>
        <w:t xml:space="preserve">.  Finally, as the Supreme </w:t>
      </w:r>
      <w:r w:rsidR="0033432D">
        <w:rPr>
          <w:rFonts w:ascii="Arial" w:hAnsi="Arial" w:cs="Arial"/>
        </w:rPr>
        <w:t xml:space="preserve">Court </w:t>
      </w:r>
      <w:r w:rsidR="001C5C95">
        <w:rPr>
          <w:rFonts w:ascii="Arial" w:hAnsi="Arial" w:cs="Arial"/>
        </w:rPr>
        <w:t>alluded,</w:t>
      </w:r>
      <w:r w:rsidR="00905130">
        <w:rPr>
          <w:rFonts w:ascii="Arial" w:hAnsi="Arial" w:cs="Arial"/>
        </w:rPr>
        <w:t xml:space="preserve"> </w:t>
      </w:r>
      <w:r w:rsidR="001C5C95">
        <w:rPr>
          <w:rFonts w:ascii="Arial" w:hAnsi="Arial" w:cs="Arial"/>
        </w:rPr>
        <w:t>the DMR would cause the ESP to not be</w:t>
      </w:r>
      <w:r w:rsidR="00905130">
        <w:rPr>
          <w:rFonts w:ascii="Arial" w:hAnsi="Arial" w:cs="Arial"/>
        </w:rPr>
        <w:t xml:space="preserve"> more favorable than the otherwise applicable market rate offer.</w:t>
      </w:r>
      <w:r w:rsidR="0064335A">
        <w:rPr>
          <w:rStyle w:val="FootnoteReference"/>
          <w:rFonts w:ascii="Arial" w:hAnsi="Arial" w:cs="Arial"/>
        </w:rPr>
        <w:footnoteReference w:id="41"/>
      </w:r>
      <w:r w:rsidR="00905130">
        <w:rPr>
          <w:rFonts w:ascii="Arial" w:hAnsi="Arial" w:cs="Arial"/>
        </w:rPr>
        <w:t xml:space="preserve">  Accordingly, the Commission should modify the ESP to eliminate the DMR.</w:t>
      </w:r>
    </w:p>
    <w:p w14:paraId="73C481E6" w14:textId="2C78980C" w:rsidR="004E26C4" w:rsidRPr="00D53094" w:rsidRDefault="004E26C4" w:rsidP="00DE5CC0">
      <w:pPr>
        <w:pStyle w:val="ListParagraph"/>
        <w:numPr>
          <w:ilvl w:val="0"/>
          <w:numId w:val="9"/>
        </w:numPr>
        <w:spacing w:after="0" w:line="480" w:lineRule="auto"/>
        <w:jc w:val="both"/>
        <w:rPr>
          <w:rFonts w:ascii="Arial" w:hAnsi="Arial" w:cs="Arial"/>
          <w:b/>
          <w:sz w:val="24"/>
          <w:szCs w:val="24"/>
        </w:rPr>
      </w:pPr>
      <w:r w:rsidRPr="00D53094">
        <w:rPr>
          <w:rFonts w:ascii="Arial" w:hAnsi="Arial" w:cs="Arial"/>
          <w:b/>
          <w:sz w:val="24"/>
          <w:szCs w:val="24"/>
        </w:rPr>
        <w:t>The DMR does not relate to distribution service</w:t>
      </w:r>
    </w:p>
    <w:p w14:paraId="54B83822" w14:textId="063178C3" w:rsidR="004E26C4" w:rsidRPr="00E36038" w:rsidRDefault="004E26C4" w:rsidP="00967AE1">
      <w:pPr>
        <w:spacing w:after="0" w:line="480" w:lineRule="auto"/>
        <w:jc w:val="both"/>
        <w:rPr>
          <w:rFonts w:ascii="Arial" w:hAnsi="Arial" w:cs="Arial"/>
        </w:rPr>
      </w:pPr>
      <w:r w:rsidRPr="00D53094">
        <w:rPr>
          <w:rFonts w:ascii="Arial" w:hAnsi="Arial" w:cs="Arial"/>
          <w:b/>
        </w:rPr>
        <w:tab/>
      </w:r>
      <w:r w:rsidRPr="007E43F4">
        <w:rPr>
          <w:rFonts w:ascii="Arial" w:hAnsi="Arial" w:cs="Arial"/>
        </w:rPr>
        <w:t xml:space="preserve">First, and perhaps most importantly, there is nothing about the DMR that relates to </w:t>
      </w:r>
      <w:r w:rsidRPr="007E43F4">
        <w:rPr>
          <w:rFonts w:ascii="Arial" w:hAnsi="Arial" w:cs="Arial"/>
          <w:i/>
        </w:rPr>
        <w:t>distribution service</w:t>
      </w:r>
      <w:r w:rsidRPr="007E43F4">
        <w:rPr>
          <w:rFonts w:ascii="Arial" w:hAnsi="Arial" w:cs="Arial"/>
        </w:rPr>
        <w:t>.</w:t>
      </w:r>
      <w:r w:rsidR="00A133FF">
        <w:rPr>
          <w:rFonts w:ascii="Arial" w:hAnsi="Arial" w:cs="Arial"/>
        </w:rPr>
        <w:t xml:space="preserve">  Although the Court declined to address this argument</w:t>
      </w:r>
      <w:r w:rsidR="00600425">
        <w:rPr>
          <w:rFonts w:ascii="Arial" w:hAnsi="Arial" w:cs="Arial"/>
        </w:rPr>
        <w:t xml:space="preserve"> in the </w:t>
      </w:r>
      <w:r w:rsidR="00600425">
        <w:rPr>
          <w:rFonts w:ascii="Arial" w:hAnsi="Arial" w:cs="Arial"/>
          <w:i/>
        </w:rPr>
        <w:t xml:space="preserve">FirstEnergy </w:t>
      </w:r>
      <w:r w:rsidR="00600425">
        <w:rPr>
          <w:rFonts w:ascii="Arial" w:hAnsi="Arial" w:cs="Arial"/>
        </w:rPr>
        <w:t>case</w:t>
      </w:r>
      <w:r w:rsidR="00A133FF">
        <w:rPr>
          <w:rFonts w:ascii="Arial" w:hAnsi="Arial" w:cs="Arial"/>
        </w:rPr>
        <w:t>, the fact remains that b</w:t>
      </w:r>
      <w:r w:rsidRPr="007E43F4">
        <w:rPr>
          <w:rFonts w:ascii="Arial" w:hAnsi="Arial" w:cs="Arial"/>
        </w:rPr>
        <w:t>ased upon DP&amp;L’s own testimony, the DMR provides revenue to DP&amp;L to pay down debt at DP&amp;L and its parent DPL Inc.</w:t>
      </w:r>
      <w:r w:rsidRPr="007E43F4">
        <w:rPr>
          <w:rStyle w:val="FootnoteReference"/>
          <w:rFonts w:ascii="Arial" w:hAnsi="Arial" w:cs="Arial"/>
        </w:rPr>
        <w:footnoteReference w:id="42"/>
      </w:r>
      <w:r w:rsidRPr="007E43F4">
        <w:rPr>
          <w:rFonts w:ascii="Arial" w:hAnsi="Arial" w:cs="Arial"/>
        </w:rPr>
        <w:t xml:space="preserve">  There is no se</w:t>
      </w:r>
      <w:r w:rsidR="00A133FF">
        <w:rPr>
          <w:rFonts w:ascii="Arial" w:hAnsi="Arial" w:cs="Arial"/>
        </w:rPr>
        <w:t>rvice provided</w:t>
      </w:r>
      <w:r w:rsidRPr="007E43F4">
        <w:rPr>
          <w:rFonts w:ascii="Arial" w:hAnsi="Arial" w:cs="Arial"/>
        </w:rPr>
        <w:t>—no generation, distribution, or transmission service—</w:t>
      </w:r>
      <w:r w:rsidR="00A133FF">
        <w:rPr>
          <w:rFonts w:ascii="Arial" w:hAnsi="Arial" w:cs="Arial"/>
        </w:rPr>
        <w:t>to</w:t>
      </w:r>
      <w:r w:rsidRPr="007E43F4">
        <w:rPr>
          <w:rFonts w:ascii="Arial" w:hAnsi="Arial" w:cs="Arial"/>
        </w:rPr>
        <w:t xml:space="preserve"> customers in exchange for the rider.  Rather, the DMR constitutes revenue to DP&amp;L with nothing in return.  </w:t>
      </w:r>
      <w:r w:rsidR="00A133FF">
        <w:rPr>
          <w:rFonts w:ascii="Arial" w:hAnsi="Arial" w:cs="Arial"/>
        </w:rPr>
        <w:t xml:space="preserve">Therefore, there is an insufficient </w:t>
      </w:r>
      <w:r w:rsidR="00967AE1">
        <w:rPr>
          <w:rFonts w:ascii="Arial" w:hAnsi="Arial" w:cs="Arial"/>
        </w:rPr>
        <w:t>connection to</w:t>
      </w:r>
      <w:r w:rsidR="00A133FF">
        <w:rPr>
          <w:rFonts w:ascii="Arial" w:hAnsi="Arial" w:cs="Arial"/>
        </w:rPr>
        <w:t xml:space="preserve"> distribution service to even </w:t>
      </w:r>
      <w:r w:rsidR="00A133FF">
        <w:rPr>
          <w:rFonts w:ascii="Arial" w:hAnsi="Arial" w:cs="Arial"/>
        </w:rPr>
        <w:lastRenderedPageBreak/>
        <w:t xml:space="preserve">evaluate the rider under R.C. 4928.143(B)(2)(h).  The Commission’s evaluation </w:t>
      </w:r>
      <w:proofErr w:type="gramStart"/>
      <w:r w:rsidR="00A133FF">
        <w:rPr>
          <w:rFonts w:ascii="Arial" w:hAnsi="Arial" w:cs="Arial"/>
        </w:rPr>
        <w:t>need</w:t>
      </w:r>
      <w:proofErr w:type="gramEnd"/>
      <w:r w:rsidR="00A133FF">
        <w:rPr>
          <w:rFonts w:ascii="Arial" w:hAnsi="Arial" w:cs="Arial"/>
        </w:rPr>
        <w:t xml:space="preserve"> </w:t>
      </w:r>
      <w:r w:rsidR="00D50C7F">
        <w:rPr>
          <w:rFonts w:ascii="Arial" w:hAnsi="Arial" w:cs="Arial"/>
        </w:rPr>
        <w:t>not go</w:t>
      </w:r>
      <w:r w:rsidR="00A133FF">
        <w:rPr>
          <w:rFonts w:ascii="Arial" w:hAnsi="Arial" w:cs="Arial"/>
        </w:rPr>
        <w:t xml:space="preserve"> further.</w:t>
      </w:r>
    </w:p>
    <w:p w14:paraId="764B2FD2" w14:textId="0E415700" w:rsidR="009E7595" w:rsidRDefault="004E26C4" w:rsidP="00DE5CC0">
      <w:pPr>
        <w:pStyle w:val="ListParagraph"/>
        <w:numPr>
          <w:ilvl w:val="0"/>
          <w:numId w:val="9"/>
        </w:numPr>
        <w:jc w:val="both"/>
        <w:rPr>
          <w:rFonts w:ascii="Arial" w:hAnsi="Arial" w:cs="Arial"/>
          <w:b/>
          <w:sz w:val="24"/>
          <w:szCs w:val="24"/>
        </w:rPr>
      </w:pPr>
      <w:r w:rsidRPr="00E36038">
        <w:rPr>
          <w:rFonts w:ascii="Arial" w:hAnsi="Arial" w:cs="Arial"/>
          <w:b/>
          <w:sz w:val="24"/>
          <w:szCs w:val="24"/>
        </w:rPr>
        <w:t>The DMR does not qualify as a financial incentive</w:t>
      </w:r>
      <w:r w:rsidR="00FE1A3C">
        <w:rPr>
          <w:rFonts w:ascii="Arial" w:hAnsi="Arial" w:cs="Arial"/>
          <w:b/>
          <w:sz w:val="24"/>
          <w:szCs w:val="24"/>
        </w:rPr>
        <w:t xml:space="preserve"> related to grid modernization</w:t>
      </w:r>
    </w:p>
    <w:p w14:paraId="3D768067" w14:textId="3D1F6F8E" w:rsidR="00FE1A3C" w:rsidRDefault="00FE1A3C" w:rsidP="00967AE1">
      <w:pPr>
        <w:spacing w:line="480" w:lineRule="auto"/>
        <w:ind w:firstLine="720"/>
        <w:jc w:val="both"/>
        <w:rPr>
          <w:rFonts w:ascii="Arial" w:hAnsi="Arial" w:cs="Arial"/>
        </w:rPr>
      </w:pPr>
      <w:r>
        <w:rPr>
          <w:rFonts w:ascii="Arial" w:hAnsi="Arial" w:cs="Arial"/>
        </w:rPr>
        <w:t xml:space="preserve">In the </w:t>
      </w:r>
      <w:r w:rsidRPr="00BA7930">
        <w:rPr>
          <w:rFonts w:ascii="Arial" w:hAnsi="Arial" w:cs="Arial"/>
          <w:i/>
        </w:rPr>
        <w:t>FirstEnergy</w:t>
      </w:r>
      <w:r>
        <w:rPr>
          <w:rFonts w:ascii="Arial" w:hAnsi="Arial" w:cs="Arial"/>
        </w:rPr>
        <w:t xml:space="preserve"> </w:t>
      </w:r>
      <w:r w:rsidR="00F23AC9" w:rsidRPr="00E67C5F">
        <w:rPr>
          <w:rFonts w:ascii="Arial" w:hAnsi="Arial" w:cs="Arial"/>
          <w:i/>
        </w:rPr>
        <w:t>Decision</w:t>
      </w:r>
      <w:r>
        <w:rPr>
          <w:rFonts w:ascii="Arial" w:hAnsi="Arial" w:cs="Arial"/>
        </w:rPr>
        <w:t>, the Court was troubled by the lack of causal connection between the DMR and grid modernization.</w:t>
      </w:r>
      <w:r w:rsidR="009225EC">
        <w:rPr>
          <w:rStyle w:val="FootnoteReference"/>
          <w:rFonts w:ascii="Arial" w:hAnsi="Arial" w:cs="Arial"/>
        </w:rPr>
        <w:footnoteReference w:id="43"/>
      </w:r>
      <w:r>
        <w:rPr>
          <w:rFonts w:ascii="Arial" w:hAnsi="Arial" w:cs="Arial"/>
        </w:rPr>
        <w:t xml:space="preserve">  Simply put, the</w:t>
      </w:r>
      <w:r w:rsidR="00BA7930">
        <w:rPr>
          <w:rFonts w:ascii="Arial" w:hAnsi="Arial" w:cs="Arial"/>
        </w:rPr>
        <w:t xml:space="preserve"> Court concluded that the</w:t>
      </w:r>
      <w:r>
        <w:rPr>
          <w:rFonts w:ascii="Arial" w:hAnsi="Arial" w:cs="Arial"/>
        </w:rPr>
        <w:t xml:space="preserve"> DMR was awarded to FirstEnergy without requiring any tangible investment</w:t>
      </w:r>
      <w:r w:rsidR="00BA7930">
        <w:rPr>
          <w:rFonts w:ascii="Arial" w:hAnsi="Arial" w:cs="Arial"/>
        </w:rPr>
        <w:t xml:space="preserve"> in grid modernization</w:t>
      </w:r>
      <w:r>
        <w:rPr>
          <w:rFonts w:ascii="Arial" w:hAnsi="Arial" w:cs="Arial"/>
        </w:rPr>
        <w:t xml:space="preserve">, </w:t>
      </w:r>
      <w:r w:rsidR="00BA7930">
        <w:rPr>
          <w:rFonts w:ascii="Arial" w:hAnsi="Arial" w:cs="Arial"/>
        </w:rPr>
        <w:t>and no penalties for failure to invest or reach certain milestones.</w:t>
      </w:r>
      <w:r w:rsidR="001757C1">
        <w:rPr>
          <w:rStyle w:val="FootnoteReference"/>
          <w:rFonts w:ascii="Arial" w:hAnsi="Arial" w:cs="Arial"/>
        </w:rPr>
        <w:footnoteReference w:id="44"/>
      </w:r>
      <w:r>
        <w:rPr>
          <w:rFonts w:ascii="Arial" w:hAnsi="Arial" w:cs="Arial"/>
        </w:rPr>
        <w:t xml:space="preserve"> </w:t>
      </w:r>
      <w:r w:rsidR="00BA7930">
        <w:rPr>
          <w:rFonts w:ascii="Arial" w:hAnsi="Arial" w:cs="Arial"/>
        </w:rPr>
        <w:t xml:space="preserve"> </w:t>
      </w:r>
      <w:r>
        <w:rPr>
          <w:rFonts w:ascii="Arial" w:hAnsi="Arial" w:cs="Arial"/>
        </w:rPr>
        <w:t>Here, the DMR suffers from a similar fate</w:t>
      </w:r>
      <w:r w:rsidR="006E4FE7">
        <w:rPr>
          <w:rFonts w:ascii="Arial" w:hAnsi="Arial" w:cs="Arial"/>
        </w:rPr>
        <w:t>. J</w:t>
      </w:r>
      <w:r w:rsidR="006E4FE7" w:rsidRPr="00FF6400">
        <w:rPr>
          <w:rFonts w:ascii="Arial" w:hAnsi="Arial" w:cs="Arial"/>
        </w:rPr>
        <w:t xml:space="preserve">ust like </w:t>
      </w:r>
      <w:r w:rsidR="006E4FE7">
        <w:rPr>
          <w:rFonts w:ascii="Arial" w:hAnsi="Arial" w:cs="Arial"/>
        </w:rPr>
        <w:t xml:space="preserve">in </w:t>
      </w:r>
      <w:r w:rsidR="006E4FE7" w:rsidRPr="0079719E">
        <w:rPr>
          <w:rFonts w:ascii="Arial" w:hAnsi="Arial" w:cs="Arial"/>
          <w:i/>
        </w:rPr>
        <w:t>FirstEnergy</w:t>
      </w:r>
      <w:r w:rsidR="006E4FE7">
        <w:rPr>
          <w:rFonts w:ascii="Arial" w:hAnsi="Arial" w:cs="Arial"/>
          <w:i/>
        </w:rPr>
        <w:t xml:space="preserve"> </w:t>
      </w:r>
      <w:r w:rsidR="00F23AC9" w:rsidRPr="00E67C5F">
        <w:rPr>
          <w:rFonts w:ascii="Arial" w:hAnsi="Arial" w:cs="Arial"/>
          <w:i/>
        </w:rPr>
        <w:t>Decision</w:t>
      </w:r>
      <w:r w:rsidR="006E4FE7" w:rsidRPr="00FF6400">
        <w:rPr>
          <w:rFonts w:ascii="Arial" w:hAnsi="Arial" w:cs="Arial"/>
        </w:rPr>
        <w:t xml:space="preserve">, DP&amp;L’s DMR </w:t>
      </w:r>
      <w:r w:rsidR="000C72E4">
        <w:rPr>
          <w:rFonts w:ascii="Arial" w:hAnsi="Arial" w:cs="Arial"/>
        </w:rPr>
        <w:t>h</w:t>
      </w:r>
      <w:r w:rsidR="003756BF">
        <w:rPr>
          <w:rFonts w:ascii="Arial" w:hAnsi="Arial" w:cs="Arial"/>
        </w:rPr>
        <w:t>olds</w:t>
      </w:r>
      <w:r w:rsidR="006E4FE7" w:rsidRPr="00FF6400">
        <w:rPr>
          <w:rFonts w:ascii="Arial" w:hAnsi="Arial" w:cs="Arial"/>
        </w:rPr>
        <w:t xml:space="preserve"> </w:t>
      </w:r>
      <w:r w:rsidR="006E4FE7">
        <w:rPr>
          <w:rFonts w:ascii="Arial" w:hAnsi="Arial" w:cs="Arial"/>
        </w:rPr>
        <w:t xml:space="preserve">the </w:t>
      </w:r>
      <w:r w:rsidR="006E4FE7" w:rsidRPr="00FF6400">
        <w:rPr>
          <w:rFonts w:ascii="Arial" w:hAnsi="Arial" w:cs="Arial"/>
        </w:rPr>
        <w:t xml:space="preserve">“critical problem” </w:t>
      </w:r>
      <w:r w:rsidR="006E4FE7">
        <w:rPr>
          <w:rFonts w:ascii="Arial" w:hAnsi="Arial" w:cs="Arial"/>
        </w:rPr>
        <w:t>deemed</w:t>
      </w:r>
      <w:r w:rsidR="006E4FE7" w:rsidRPr="00FF6400">
        <w:rPr>
          <w:rFonts w:ascii="Arial" w:hAnsi="Arial" w:cs="Arial"/>
        </w:rPr>
        <w:t xml:space="preserve"> by the Court – DP&amp;L is not “</w:t>
      </w:r>
      <w:r w:rsidR="006E4FE7" w:rsidRPr="00FF6400">
        <w:rPr>
          <w:rFonts w:ascii="Arial" w:hAnsi="Arial" w:cs="Arial"/>
          <w:i/>
        </w:rPr>
        <w:t xml:space="preserve">required </w:t>
      </w:r>
      <w:r w:rsidR="006E4FE7" w:rsidRPr="00FF6400">
        <w:rPr>
          <w:rFonts w:ascii="Arial" w:hAnsi="Arial" w:cs="Arial"/>
        </w:rPr>
        <w:t>to make any investments to modernize the distribution grid in exchange for DMR revenues.”</w:t>
      </w:r>
      <w:r w:rsidR="006E4FE7" w:rsidRPr="00FF6400">
        <w:rPr>
          <w:rStyle w:val="FootnoteReference"/>
          <w:rFonts w:ascii="Arial" w:hAnsi="Arial" w:cs="Arial"/>
        </w:rPr>
        <w:footnoteReference w:id="45"/>
      </w:r>
      <w:r w:rsidR="006E4FE7">
        <w:rPr>
          <w:rFonts w:ascii="Arial" w:hAnsi="Arial" w:cs="Arial"/>
        </w:rPr>
        <w:t xml:space="preserve"> </w:t>
      </w:r>
      <w:r>
        <w:rPr>
          <w:rFonts w:ascii="Arial" w:hAnsi="Arial" w:cs="Arial"/>
        </w:rPr>
        <w:t xml:space="preserve"> </w:t>
      </w:r>
      <w:r w:rsidR="001F54A0">
        <w:rPr>
          <w:rFonts w:ascii="Arial" w:hAnsi="Arial" w:cs="Arial"/>
        </w:rPr>
        <w:t xml:space="preserve">DP&amp;L is merely required to </w:t>
      </w:r>
      <w:r w:rsidR="001F54A0" w:rsidRPr="00FB37B0">
        <w:rPr>
          <w:rFonts w:ascii="Arial" w:hAnsi="Arial" w:cs="Arial"/>
          <w:i/>
        </w:rPr>
        <w:t>file</w:t>
      </w:r>
      <w:r w:rsidR="001F54A0">
        <w:rPr>
          <w:rFonts w:ascii="Arial" w:hAnsi="Arial" w:cs="Arial"/>
        </w:rPr>
        <w:t xml:space="preserve"> a grid modernization plan </w:t>
      </w:r>
      <w:r w:rsidR="00714F4A" w:rsidRPr="00FF6400">
        <w:rPr>
          <w:rFonts w:ascii="Arial" w:hAnsi="Arial" w:cs="Arial"/>
        </w:rPr>
        <w:t>–</w:t>
      </w:r>
      <w:r w:rsidR="001F54A0">
        <w:rPr>
          <w:rFonts w:ascii="Arial" w:hAnsi="Arial" w:cs="Arial"/>
        </w:rPr>
        <w:t xml:space="preserve"> </w:t>
      </w:r>
      <w:r w:rsidR="001F54A0" w:rsidRPr="007049D4">
        <w:rPr>
          <w:rFonts w:ascii="Arial" w:hAnsi="Arial" w:cs="Arial"/>
          <w:i/>
        </w:rPr>
        <w:t>the same commitment from FirstEnergy.</w:t>
      </w:r>
      <w:r w:rsidR="001F54A0">
        <w:rPr>
          <w:rFonts w:ascii="Arial" w:hAnsi="Arial" w:cs="Arial"/>
        </w:rPr>
        <w:t xml:space="preserve"> </w:t>
      </w:r>
      <w:r w:rsidR="00896342">
        <w:rPr>
          <w:rFonts w:ascii="Arial" w:hAnsi="Arial" w:cs="Arial"/>
        </w:rPr>
        <w:t xml:space="preserve">Additionally, </w:t>
      </w:r>
      <w:r w:rsidR="00F956AD">
        <w:rPr>
          <w:rFonts w:ascii="Arial" w:hAnsi="Arial" w:cs="Arial"/>
        </w:rPr>
        <w:t xml:space="preserve">like in the </w:t>
      </w:r>
      <w:r w:rsidR="00F956AD" w:rsidRPr="00F519E8">
        <w:rPr>
          <w:rFonts w:ascii="Arial" w:hAnsi="Arial" w:cs="Arial"/>
          <w:i/>
        </w:rPr>
        <w:t xml:space="preserve">FirstEnergy </w:t>
      </w:r>
      <w:r w:rsidR="00F23AC9" w:rsidRPr="00F519E8">
        <w:rPr>
          <w:rFonts w:ascii="Arial" w:hAnsi="Arial" w:cs="Arial"/>
          <w:i/>
        </w:rPr>
        <w:t>Decision</w:t>
      </w:r>
      <w:r w:rsidR="00F956AD">
        <w:rPr>
          <w:rFonts w:ascii="Arial" w:hAnsi="Arial" w:cs="Arial"/>
        </w:rPr>
        <w:t>,</w:t>
      </w:r>
      <w:r w:rsidR="00D46482">
        <w:rPr>
          <w:rFonts w:ascii="Arial" w:hAnsi="Arial" w:cs="Arial"/>
        </w:rPr>
        <w:t xml:space="preserve"> </w:t>
      </w:r>
      <w:r w:rsidR="006031E1">
        <w:rPr>
          <w:rFonts w:ascii="Arial" w:hAnsi="Arial" w:cs="Arial"/>
        </w:rPr>
        <w:t xml:space="preserve">the Commission did not place effective conditions or </w:t>
      </w:r>
      <w:r w:rsidR="005C666B">
        <w:rPr>
          <w:rFonts w:ascii="Arial" w:hAnsi="Arial" w:cs="Arial"/>
        </w:rPr>
        <w:t>penalties</w:t>
      </w:r>
      <w:r w:rsidR="006031E1">
        <w:rPr>
          <w:rFonts w:ascii="Arial" w:hAnsi="Arial" w:cs="Arial"/>
        </w:rPr>
        <w:t xml:space="preserve"> on DP&amp;L should the funds</w:t>
      </w:r>
      <w:r w:rsidR="00D46482">
        <w:rPr>
          <w:rFonts w:ascii="Arial" w:hAnsi="Arial" w:cs="Arial"/>
        </w:rPr>
        <w:t xml:space="preserve"> </w:t>
      </w:r>
      <w:r w:rsidR="005C666B">
        <w:rPr>
          <w:rFonts w:ascii="Arial" w:hAnsi="Arial" w:cs="Arial"/>
        </w:rPr>
        <w:t xml:space="preserve">be used outside or their intended purpose. </w:t>
      </w:r>
      <w:r w:rsidR="00D46482">
        <w:rPr>
          <w:rFonts w:ascii="Arial" w:hAnsi="Arial" w:cs="Arial"/>
        </w:rPr>
        <w:t>Further, DP&amp;L’s DMR</w:t>
      </w:r>
      <w:r>
        <w:rPr>
          <w:rFonts w:ascii="Arial" w:hAnsi="Arial" w:cs="Arial"/>
        </w:rPr>
        <w:t xml:space="preserve"> contains additional flaws not even present in the </w:t>
      </w:r>
      <w:r w:rsidRPr="00F519E8">
        <w:rPr>
          <w:rFonts w:ascii="Arial" w:hAnsi="Arial" w:cs="Arial"/>
          <w:i/>
        </w:rPr>
        <w:t>FirstEnergy</w:t>
      </w:r>
      <w:r>
        <w:rPr>
          <w:rFonts w:ascii="Arial" w:hAnsi="Arial" w:cs="Arial"/>
        </w:rPr>
        <w:t xml:space="preserve"> case</w:t>
      </w:r>
      <w:r w:rsidR="004E40B7">
        <w:rPr>
          <w:rFonts w:ascii="Arial" w:hAnsi="Arial" w:cs="Arial"/>
        </w:rPr>
        <w:t>.</w:t>
      </w:r>
    </w:p>
    <w:p w14:paraId="0628C5AA" w14:textId="77777777" w:rsidR="00C56F0A" w:rsidRDefault="00C56F0A" w:rsidP="00967AE1">
      <w:pPr>
        <w:pStyle w:val="ListParagraph"/>
        <w:numPr>
          <w:ilvl w:val="0"/>
          <w:numId w:val="4"/>
        </w:numPr>
        <w:jc w:val="both"/>
        <w:rPr>
          <w:rFonts w:ascii="Arial" w:hAnsi="Arial" w:cs="Arial"/>
          <w:b/>
          <w:sz w:val="24"/>
          <w:szCs w:val="24"/>
        </w:rPr>
      </w:pPr>
      <w:r>
        <w:rPr>
          <w:rFonts w:ascii="Arial" w:hAnsi="Arial" w:cs="Arial"/>
          <w:b/>
          <w:sz w:val="24"/>
          <w:szCs w:val="24"/>
        </w:rPr>
        <w:t xml:space="preserve">There is no connection between the $105 million DMR and grid modernization </w:t>
      </w:r>
    </w:p>
    <w:p w14:paraId="6533C0DB" w14:textId="10AE1121" w:rsidR="00BA7930" w:rsidRDefault="00C56F0A" w:rsidP="00967AE1">
      <w:pPr>
        <w:spacing w:line="480" w:lineRule="auto"/>
        <w:ind w:firstLine="720"/>
        <w:jc w:val="both"/>
        <w:rPr>
          <w:rFonts w:ascii="Arial" w:hAnsi="Arial" w:cs="Arial"/>
        </w:rPr>
      </w:pPr>
      <w:r>
        <w:rPr>
          <w:rFonts w:ascii="Arial" w:hAnsi="Arial" w:cs="Arial"/>
        </w:rPr>
        <w:t>Th</w:t>
      </w:r>
      <w:r w:rsidR="00FE1A3C">
        <w:rPr>
          <w:rFonts w:ascii="Arial" w:hAnsi="Arial" w:cs="Arial"/>
        </w:rPr>
        <w:t xml:space="preserve">ere is no nexus between the $105 million DMR and grid modernization.  The authorized amount is not tied to investment in any level of grid modernization.  DP&amp;L </w:t>
      </w:r>
      <w:r w:rsidR="00FE1A3C">
        <w:rPr>
          <w:rFonts w:ascii="Arial" w:hAnsi="Arial" w:cs="Arial"/>
        </w:rPr>
        <w:lastRenderedPageBreak/>
        <w:t xml:space="preserve">concedes that the rider </w:t>
      </w:r>
      <w:r w:rsidR="00435488">
        <w:rPr>
          <w:rFonts w:ascii="Arial" w:hAnsi="Arial" w:cs="Arial"/>
        </w:rPr>
        <w:t xml:space="preserve">was designed to pay down </w:t>
      </w:r>
      <w:r w:rsidR="00FE1A3C">
        <w:rPr>
          <w:rFonts w:ascii="Arial" w:hAnsi="Arial" w:cs="Arial"/>
        </w:rPr>
        <w:t>the debt that resides at DP&amp;L and DPL Inc.—mainly the latter, with 70% of the DMR directed at paying down the debt of a non-regulated entity.</w:t>
      </w:r>
      <w:r w:rsidR="00AA5BA1">
        <w:rPr>
          <w:rStyle w:val="FootnoteReference"/>
          <w:rFonts w:ascii="Arial" w:hAnsi="Arial" w:cs="Arial"/>
        </w:rPr>
        <w:footnoteReference w:id="46"/>
      </w:r>
      <w:r w:rsidR="00BA7930">
        <w:rPr>
          <w:rFonts w:ascii="Arial" w:hAnsi="Arial" w:cs="Arial"/>
        </w:rPr>
        <w:t xml:space="preserve">  The collection of DMR funds is not tied to grid modernization—nor could it be, given that this proceeding lacks even a shred of evidence regarding any tangible form of grid modernization.  The DMR is intended to </w:t>
      </w:r>
      <w:r w:rsidR="00BA7930">
        <w:rPr>
          <w:rFonts w:ascii="Arial" w:hAnsi="Arial" w:cs="Arial"/>
          <w:i/>
        </w:rPr>
        <w:t>position</w:t>
      </w:r>
      <w:r w:rsidR="00BA7930">
        <w:rPr>
          <w:rFonts w:ascii="Arial" w:hAnsi="Arial" w:cs="Arial"/>
        </w:rPr>
        <w:t xml:space="preserve"> DP&amp;L to invest in grid modernization—it is not an incentive that will be provided in recognition of any investment. </w:t>
      </w:r>
      <w:r w:rsidR="00FE1A3C">
        <w:rPr>
          <w:rFonts w:ascii="Arial" w:hAnsi="Arial" w:cs="Arial"/>
        </w:rPr>
        <w:t xml:space="preserve"> It’s not an incentive; it’s a bailout.</w:t>
      </w:r>
      <w:r w:rsidR="001B6172">
        <w:rPr>
          <w:rFonts w:ascii="Arial" w:hAnsi="Arial" w:cs="Arial"/>
        </w:rPr>
        <w:t xml:space="preserve">  If the DMR incentivizes anything, it is bad behavior and moral hazard, providing a policy statement that EDUs may be a conduit to extract revenues from their captive customer base to shore up the losses of unregulated entities.</w:t>
      </w:r>
      <w:r w:rsidR="00FE1A3C">
        <w:rPr>
          <w:rFonts w:ascii="Arial" w:hAnsi="Arial" w:cs="Arial"/>
        </w:rPr>
        <w:t xml:space="preserve">  </w:t>
      </w:r>
    </w:p>
    <w:p w14:paraId="0D7A70F2" w14:textId="40DD7983" w:rsidR="00BA7930" w:rsidRDefault="00694A73" w:rsidP="00967AE1">
      <w:pPr>
        <w:spacing w:line="480" w:lineRule="auto"/>
        <w:ind w:firstLine="720"/>
        <w:jc w:val="both"/>
        <w:rPr>
          <w:rFonts w:ascii="Arial" w:hAnsi="Arial" w:cs="Arial"/>
        </w:rPr>
      </w:pPr>
      <w:r>
        <w:rPr>
          <w:rFonts w:ascii="Arial" w:hAnsi="Arial" w:cs="Arial"/>
        </w:rPr>
        <w:t>E</w:t>
      </w:r>
      <w:r w:rsidR="00BA7930">
        <w:rPr>
          <w:rFonts w:ascii="Arial" w:hAnsi="Arial" w:cs="Arial"/>
        </w:rPr>
        <w:t xml:space="preserve">ven the extension of the DMR, and the criteria the Commission will consider, has no connection to grid modernization.  </w:t>
      </w:r>
      <w:proofErr w:type="gramStart"/>
      <w:r w:rsidR="00BA7930">
        <w:rPr>
          <w:rFonts w:ascii="Arial" w:hAnsi="Arial" w:cs="Arial"/>
        </w:rPr>
        <w:t>All of</w:t>
      </w:r>
      <w:proofErr w:type="gramEnd"/>
      <w:r w:rsidR="00BA7930">
        <w:rPr>
          <w:rFonts w:ascii="Arial" w:hAnsi="Arial" w:cs="Arial"/>
        </w:rPr>
        <w:t xml:space="preserve"> the issues related to grid modernization are proposed to</w:t>
      </w:r>
      <w:r w:rsidR="00731728">
        <w:rPr>
          <w:rFonts w:ascii="Arial" w:hAnsi="Arial" w:cs="Arial"/>
        </w:rPr>
        <w:t xml:space="preserve"> be</w:t>
      </w:r>
      <w:r w:rsidR="00BA7930">
        <w:rPr>
          <w:rFonts w:ascii="Arial" w:hAnsi="Arial" w:cs="Arial"/>
        </w:rPr>
        <w:t xml:space="preserve"> addressed in a separate proceeding without any relationship to the DMR.</w:t>
      </w:r>
      <w:r w:rsidRPr="00694A73">
        <w:rPr>
          <w:rFonts w:ascii="Arial" w:hAnsi="Arial" w:cs="Arial"/>
        </w:rPr>
        <w:t xml:space="preserve"> </w:t>
      </w:r>
      <w:r w:rsidR="0070716C">
        <w:rPr>
          <w:rFonts w:ascii="Arial" w:hAnsi="Arial" w:cs="Arial"/>
        </w:rPr>
        <w:t xml:space="preserve"> Indeed,</w:t>
      </w:r>
      <w:r w:rsidRPr="00694A73">
        <w:rPr>
          <w:rFonts w:ascii="Arial" w:hAnsi="Arial" w:cs="Arial"/>
        </w:rPr>
        <w:t xml:space="preserve"> </w:t>
      </w:r>
      <w:r w:rsidR="0070716C">
        <w:rPr>
          <w:rFonts w:ascii="Arial" w:hAnsi="Arial" w:cs="Arial"/>
        </w:rPr>
        <w:t>a</w:t>
      </w:r>
      <w:r w:rsidRPr="00694A73">
        <w:rPr>
          <w:rFonts w:ascii="Arial" w:hAnsi="Arial" w:cs="Arial"/>
        </w:rPr>
        <w:t>ny extension will be</w:t>
      </w:r>
      <w:r>
        <w:t xml:space="preserve"> </w:t>
      </w:r>
      <w:r w:rsidRPr="00694A73">
        <w:rPr>
          <w:rFonts w:ascii="Arial" w:hAnsi="Arial" w:cs="Arial"/>
        </w:rPr>
        <w:t>based upon</w:t>
      </w:r>
      <w:r w:rsidR="004E668A">
        <w:rPr>
          <w:rFonts w:ascii="Arial" w:hAnsi="Arial" w:cs="Arial"/>
        </w:rPr>
        <w:t xml:space="preserve"> “</w:t>
      </w:r>
      <w:r w:rsidRPr="00694A73">
        <w:rPr>
          <w:rFonts w:ascii="Arial" w:hAnsi="Arial" w:cs="Arial"/>
        </w:rPr>
        <w:t>DPL Inc.'s and DP&amp;L's financial needs and evidence of the measures undertaken by DPL Inc. and DP&amp;L, to address their financial issues.”</w:t>
      </w:r>
      <w:r>
        <w:rPr>
          <w:rStyle w:val="FootnoteReference"/>
          <w:rFonts w:ascii="Arial" w:hAnsi="Arial" w:cs="Arial"/>
        </w:rPr>
        <w:footnoteReference w:id="47"/>
      </w:r>
    </w:p>
    <w:p w14:paraId="2D4BB028" w14:textId="172A861E" w:rsidR="00FE1A3C" w:rsidRDefault="00FE1A3C" w:rsidP="00967AE1">
      <w:pPr>
        <w:spacing w:line="480" w:lineRule="auto"/>
        <w:ind w:firstLine="720"/>
        <w:jc w:val="both"/>
        <w:rPr>
          <w:rFonts w:ascii="Arial" w:hAnsi="Arial" w:cs="Arial"/>
        </w:rPr>
      </w:pPr>
      <w:r>
        <w:rPr>
          <w:rFonts w:ascii="Arial" w:hAnsi="Arial" w:cs="Arial"/>
        </w:rPr>
        <w:t>Given these facts, the DMR cannot be authorized as a grid modernization incentive</w:t>
      </w:r>
      <w:r w:rsidRPr="00BA7930">
        <w:rPr>
          <w:rFonts w:ascii="Arial" w:hAnsi="Arial" w:cs="Arial"/>
        </w:rPr>
        <w:t xml:space="preserve">. </w:t>
      </w:r>
    </w:p>
    <w:p w14:paraId="5567FD12" w14:textId="77777777" w:rsidR="00961B49" w:rsidRPr="00BA7930" w:rsidRDefault="00961B49" w:rsidP="00967AE1">
      <w:pPr>
        <w:spacing w:line="480" w:lineRule="auto"/>
        <w:ind w:firstLine="720"/>
        <w:jc w:val="both"/>
        <w:rPr>
          <w:rFonts w:ascii="Arial" w:hAnsi="Arial" w:cs="Arial"/>
        </w:rPr>
      </w:pPr>
    </w:p>
    <w:p w14:paraId="0246F3E9" w14:textId="69F76FF7" w:rsidR="00481C52" w:rsidRPr="00905354" w:rsidRDefault="00481C52" w:rsidP="00481C52">
      <w:pPr>
        <w:pStyle w:val="ListParagraph"/>
        <w:numPr>
          <w:ilvl w:val="0"/>
          <w:numId w:val="4"/>
        </w:numPr>
        <w:spacing w:line="240" w:lineRule="auto"/>
        <w:rPr>
          <w:rFonts w:ascii="Arial" w:hAnsi="Arial" w:cs="Arial"/>
          <w:b/>
          <w:sz w:val="24"/>
          <w:szCs w:val="24"/>
        </w:rPr>
      </w:pPr>
      <w:r>
        <w:rPr>
          <w:rFonts w:ascii="Arial" w:hAnsi="Arial" w:cs="Arial"/>
          <w:b/>
          <w:sz w:val="24"/>
          <w:szCs w:val="24"/>
        </w:rPr>
        <w:lastRenderedPageBreak/>
        <w:t>The Proposed DMR contains no safeguards to protect customers</w:t>
      </w:r>
    </w:p>
    <w:p w14:paraId="02D2D239" w14:textId="46C3AA40" w:rsidR="00481C52" w:rsidRPr="002334F7" w:rsidRDefault="00355116" w:rsidP="002334F7">
      <w:pPr>
        <w:spacing w:line="480" w:lineRule="auto"/>
        <w:ind w:firstLine="720"/>
        <w:jc w:val="both"/>
        <w:rPr>
          <w:rFonts w:ascii="Arial" w:hAnsi="Arial" w:cs="Arial"/>
          <w:i/>
        </w:rPr>
      </w:pPr>
      <w:r>
        <w:rPr>
          <w:rFonts w:ascii="Arial" w:hAnsi="Arial" w:cs="Arial"/>
        </w:rPr>
        <w:t>Making matters worse for customers, the</w:t>
      </w:r>
      <w:r w:rsidR="00443DCE">
        <w:rPr>
          <w:rFonts w:ascii="Arial" w:hAnsi="Arial" w:cs="Arial"/>
        </w:rPr>
        <w:t xml:space="preserve"> Stipulation does not propose any</w:t>
      </w:r>
      <w:r>
        <w:rPr>
          <w:rFonts w:ascii="Arial" w:hAnsi="Arial" w:cs="Arial"/>
        </w:rPr>
        <w:t xml:space="preserve"> protections for customers</w:t>
      </w:r>
      <w:r w:rsidR="00443DCE">
        <w:rPr>
          <w:rFonts w:ascii="Arial" w:hAnsi="Arial" w:cs="Arial"/>
        </w:rPr>
        <w:t xml:space="preserve"> </w:t>
      </w:r>
      <w:proofErr w:type="gramStart"/>
      <w:r w:rsidR="00443DCE">
        <w:rPr>
          <w:rFonts w:ascii="Arial" w:hAnsi="Arial" w:cs="Arial"/>
        </w:rPr>
        <w:t>in the event that</w:t>
      </w:r>
      <w:proofErr w:type="gramEnd"/>
      <w:r w:rsidR="00443DCE">
        <w:rPr>
          <w:rFonts w:ascii="Arial" w:hAnsi="Arial" w:cs="Arial"/>
        </w:rPr>
        <w:t xml:space="preserve"> DP&amp;L fails to </w:t>
      </w:r>
      <w:r w:rsidR="002F367D">
        <w:rPr>
          <w:rFonts w:ascii="Arial" w:hAnsi="Arial" w:cs="Arial"/>
        </w:rPr>
        <w:t>undertake</w:t>
      </w:r>
      <w:r w:rsidR="00443DCE">
        <w:rPr>
          <w:rFonts w:ascii="Arial" w:hAnsi="Arial" w:cs="Arial"/>
        </w:rPr>
        <w:t xml:space="preserve"> grid modernization</w:t>
      </w:r>
      <w:r>
        <w:rPr>
          <w:rFonts w:ascii="Arial" w:hAnsi="Arial" w:cs="Arial"/>
        </w:rPr>
        <w:t>.</w:t>
      </w:r>
      <w:r w:rsidR="00FF18E3">
        <w:rPr>
          <w:rFonts w:ascii="Arial" w:hAnsi="Arial" w:cs="Arial"/>
        </w:rPr>
        <w:t xml:space="preserve">  </w:t>
      </w:r>
      <w:r w:rsidR="002F367D">
        <w:rPr>
          <w:rFonts w:ascii="Arial" w:hAnsi="Arial" w:cs="Arial"/>
        </w:rPr>
        <w:t>Should</w:t>
      </w:r>
      <w:r w:rsidR="00FF18E3">
        <w:rPr>
          <w:rFonts w:ascii="Arial" w:hAnsi="Arial" w:cs="Arial"/>
        </w:rPr>
        <w:t xml:space="preserve"> DP&amp;L </w:t>
      </w:r>
      <w:r w:rsidR="002F367D">
        <w:rPr>
          <w:rFonts w:ascii="Arial" w:hAnsi="Arial" w:cs="Arial"/>
        </w:rPr>
        <w:t>fail in that endeavor</w:t>
      </w:r>
      <w:r w:rsidR="00FF18E3">
        <w:rPr>
          <w:rFonts w:ascii="Arial" w:hAnsi="Arial" w:cs="Arial"/>
        </w:rPr>
        <w:t xml:space="preserve">, nothing requires DP&amp;L to return the DMR revenues to customers.  </w:t>
      </w:r>
      <w:r w:rsidR="00EE4CC4">
        <w:rPr>
          <w:rFonts w:ascii="Arial" w:hAnsi="Arial" w:cs="Arial"/>
        </w:rPr>
        <w:t xml:space="preserve">Further, the audit process </w:t>
      </w:r>
      <w:r w:rsidR="008F7337">
        <w:rPr>
          <w:rFonts w:ascii="Arial" w:hAnsi="Arial" w:cs="Arial"/>
        </w:rPr>
        <w:t xml:space="preserve">for DP&amp;L’s DMR is identical to the audit process </w:t>
      </w:r>
      <w:r w:rsidR="000E4ABF">
        <w:rPr>
          <w:rFonts w:ascii="Arial" w:hAnsi="Arial" w:cs="Arial"/>
        </w:rPr>
        <w:t xml:space="preserve">the Supreme Court called “unhelpful” </w:t>
      </w:r>
      <w:r w:rsidR="00474F4B">
        <w:rPr>
          <w:rFonts w:ascii="Arial" w:hAnsi="Arial" w:cs="Arial"/>
        </w:rPr>
        <w:t xml:space="preserve">and insufficient to </w:t>
      </w:r>
      <w:r w:rsidR="00B77E22">
        <w:rPr>
          <w:rFonts w:ascii="Arial" w:hAnsi="Arial" w:cs="Arial"/>
        </w:rPr>
        <w:t>protect from the possible misuse of funds.</w:t>
      </w:r>
      <w:r w:rsidR="00B77E22">
        <w:rPr>
          <w:rStyle w:val="FootnoteReference"/>
          <w:rFonts w:ascii="Arial" w:hAnsi="Arial" w:cs="Arial"/>
        </w:rPr>
        <w:footnoteReference w:id="48"/>
      </w:r>
      <w:r w:rsidR="00B77E22">
        <w:rPr>
          <w:rFonts w:ascii="Arial" w:hAnsi="Arial" w:cs="Arial"/>
        </w:rPr>
        <w:t xml:space="preserve"> </w:t>
      </w:r>
      <w:r w:rsidR="002F367D">
        <w:rPr>
          <w:rFonts w:ascii="Arial" w:hAnsi="Arial" w:cs="Arial"/>
        </w:rPr>
        <w:t xml:space="preserve">Like in the </w:t>
      </w:r>
      <w:r w:rsidR="002F367D">
        <w:rPr>
          <w:rFonts w:ascii="Arial" w:hAnsi="Arial" w:cs="Arial"/>
          <w:i/>
        </w:rPr>
        <w:t>FirstEnergy Decision</w:t>
      </w:r>
      <w:r w:rsidR="002F367D">
        <w:rPr>
          <w:rFonts w:ascii="Arial" w:hAnsi="Arial" w:cs="Arial"/>
        </w:rPr>
        <w:t>, it cannot be concluded that the DMR incents DP&amp;L do anything.</w:t>
      </w:r>
      <w:r w:rsidR="00FF18E3">
        <w:rPr>
          <w:rFonts w:ascii="Arial" w:hAnsi="Arial" w:cs="Arial"/>
        </w:rPr>
        <w:t xml:space="preserve">  There</w:t>
      </w:r>
      <w:r w:rsidR="00443DCE">
        <w:rPr>
          <w:rFonts w:ascii="Arial" w:hAnsi="Arial" w:cs="Arial"/>
        </w:rPr>
        <w:t xml:space="preserve">fore, the Stipulation runs afoul of the </w:t>
      </w:r>
      <w:r w:rsidR="00443DCE">
        <w:rPr>
          <w:rFonts w:ascii="Arial" w:hAnsi="Arial" w:cs="Arial"/>
          <w:i/>
        </w:rPr>
        <w:t>FirstEnergy Decision</w:t>
      </w:r>
      <w:r w:rsidR="002F367D">
        <w:rPr>
          <w:rFonts w:ascii="Arial" w:hAnsi="Arial" w:cs="Arial"/>
          <w:i/>
        </w:rPr>
        <w:t xml:space="preserve"> </w:t>
      </w:r>
      <w:r w:rsidR="002F367D">
        <w:rPr>
          <w:rFonts w:ascii="Arial" w:hAnsi="Arial" w:cs="Arial"/>
        </w:rPr>
        <w:t>and the DMR should be rejected</w:t>
      </w:r>
      <w:r w:rsidR="00443DCE">
        <w:rPr>
          <w:rFonts w:ascii="Arial" w:hAnsi="Arial" w:cs="Arial"/>
          <w:i/>
        </w:rPr>
        <w:t>.</w:t>
      </w:r>
    </w:p>
    <w:p w14:paraId="4BB1C9DE" w14:textId="740DCEBC" w:rsidR="00C56F0A" w:rsidRPr="0054660E" w:rsidRDefault="00C56F0A" w:rsidP="00526385">
      <w:pPr>
        <w:pStyle w:val="ListParagraph"/>
        <w:numPr>
          <w:ilvl w:val="0"/>
          <w:numId w:val="9"/>
        </w:numPr>
        <w:rPr>
          <w:rFonts w:ascii="Arial" w:hAnsi="Arial" w:cs="Arial"/>
          <w:b/>
          <w:sz w:val="24"/>
          <w:szCs w:val="24"/>
        </w:rPr>
      </w:pPr>
      <w:r w:rsidRPr="0054660E">
        <w:rPr>
          <w:rFonts w:ascii="Arial" w:hAnsi="Arial" w:cs="Arial"/>
          <w:b/>
          <w:sz w:val="24"/>
          <w:szCs w:val="24"/>
        </w:rPr>
        <w:t xml:space="preserve">The DMR does not reflect sound </w:t>
      </w:r>
      <w:r w:rsidR="00626D6F">
        <w:rPr>
          <w:rFonts w:ascii="Arial" w:hAnsi="Arial" w:cs="Arial"/>
          <w:b/>
          <w:sz w:val="24"/>
          <w:szCs w:val="24"/>
        </w:rPr>
        <w:t>reasoning and cannot be authorized under any reasonable interpretation of R.C. 4928.143(B)(2)(h)</w:t>
      </w:r>
    </w:p>
    <w:p w14:paraId="31FE2641" w14:textId="451F1D19" w:rsidR="000E3EB6" w:rsidRDefault="00AB40A5" w:rsidP="00967AE1">
      <w:pPr>
        <w:spacing w:line="480" w:lineRule="auto"/>
        <w:ind w:firstLine="720"/>
        <w:jc w:val="both"/>
        <w:rPr>
          <w:rFonts w:ascii="Arial" w:hAnsi="Arial" w:cs="Arial"/>
        </w:rPr>
      </w:pPr>
      <w:r w:rsidRPr="0054660E">
        <w:rPr>
          <w:rFonts w:ascii="Arial" w:hAnsi="Arial" w:cs="Arial"/>
        </w:rPr>
        <w:t>The Court</w:t>
      </w:r>
      <w:r w:rsidR="00BA732F">
        <w:rPr>
          <w:rFonts w:ascii="Arial" w:hAnsi="Arial" w:cs="Arial"/>
        </w:rPr>
        <w:t xml:space="preserve"> has indicated that it wil</w:t>
      </w:r>
      <w:r w:rsidR="0098197C">
        <w:rPr>
          <w:rFonts w:ascii="Arial" w:hAnsi="Arial" w:cs="Arial"/>
        </w:rPr>
        <w:t xml:space="preserve">l closely evaluate any interpretation of R.C. 4928.143(B)(2)(h).  In the </w:t>
      </w:r>
      <w:r w:rsidR="0098197C">
        <w:rPr>
          <w:rFonts w:ascii="Arial" w:hAnsi="Arial" w:cs="Arial"/>
          <w:i/>
        </w:rPr>
        <w:t>FirstEnergy Decision</w:t>
      </w:r>
      <w:r w:rsidR="00906AE5">
        <w:rPr>
          <w:rFonts w:ascii="Arial" w:hAnsi="Arial" w:cs="Arial"/>
        </w:rPr>
        <w:t>, the Court ultimately</w:t>
      </w:r>
      <w:r w:rsidR="00435488">
        <w:rPr>
          <w:rFonts w:ascii="Arial" w:hAnsi="Arial" w:cs="Arial"/>
          <w:i/>
        </w:rPr>
        <w:t xml:space="preserve"> </w:t>
      </w:r>
      <w:r w:rsidR="00435488">
        <w:rPr>
          <w:rFonts w:ascii="Arial" w:hAnsi="Arial" w:cs="Arial"/>
        </w:rPr>
        <w:t>held that the DMR was not the product of sound decision making and reasoning.</w:t>
      </w:r>
      <w:r w:rsidR="007E119C">
        <w:rPr>
          <w:rStyle w:val="FootnoteReference"/>
          <w:rFonts w:ascii="Arial" w:hAnsi="Arial" w:cs="Arial"/>
        </w:rPr>
        <w:footnoteReference w:id="49"/>
      </w:r>
      <w:r w:rsidR="00435488">
        <w:rPr>
          <w:rFonts w:ascii="Arial" w:hAnsi="Arial" w:cs="Arial"/>
        </w:rPr>
        <w:t xml:space="preserve">  The same concerns apply here.</w:t>
      </w:r>
    </w:p>
    <w:p w14:paraId="0660F1E9" w14:textId="51051C70" w:rsidR="00DD4275" w:rsidRDefault="00435488" w:rsidP="00DD4275">
      <w:pPr>
        <w:ind w:left="2160"/>
        <w:jc w:val="both"/>
        <w:rPr>
          <w:rFonts w:ascii="Arial" w:hAnsi="Arial" w:cs="Arial"/>
          <w:b/>
        </w:rPr>
      </w:pPr>
      <w:r w:rsidRPr="00DD4275">
        <w:rPr>
          <w:rFonts w:ascii="Arial" w:hAnsi="Arial" w:cs="Arial"/>
        </w:rPr>
        <w:t xml:space="preserve">  </w:t>
      </w:r>
      <w:r w:rsidR="00DD4275">
        <w:rPr>
          <w:rFonts w:ascii="Arial" w:hAnsi="Arial" w:cs="Arial"/>
          <w:b/>
        </w:rPr>
        <w:t xml:space="preserve">1. </w:t>
      </w:r>
      <w:r w:rsidR="00DD4275" w:rsidRPr="0053209E">
        <w:rPr>
          <w:rFonts w:ascii="Arial" w:hAnsi="Arial" w:cs="Arial"/>
          <w:b/>
        </w:rPr>
        <w:t>The DMR fails to align DP&amp;L’s and customers’ interests</w:t>
      </w:r>
    </w:p>
    <w:p w14:paraId="27646EF5" w14:textId="27B0B770" w:rsidR="00DD4275" w:rsidRDefault="00DD4275" w:rsidP="00DD4275">
      <w:pPr>
        <w:spacing w:line="480" w:lineRule="auto"/>
        <w:ind w:firstLine="720"/>
        <w:jc w:val="both"/>
        <w:rPr>
          <w:rFonts w:ascii="Arial" w:hAnsi="Arial" w:cs="Arial"/>
        </w:rPr>
      </w:pPr>
      <w:r>
        <w:rPr>
          <w:rFonts w:ascii="Arial" w:hAnsi="Arial" w:cs="Arial"/>
        </w:rPr>
        <w:t xml:space="preserve">As part of the authorization of any charge under R.C. 4928.143(B)(2)(h), the Commission must “ensure </w:t>
      </w:r>
      <w:r w:rsidRPr="0032357F">
        <w:rPr>
          <w:rFonts w:ascii="Arial" w:hAnsi="Arial" w:cs="Arial"/>
        </w:rPr>
        <w:t>that customers' and the electric distribution utility's expectations are aligned</w:t>
      </w:r>
      <w:r>
        <w:rPr>
          <w:rFonts w:ascii="Arial" w:hAnsi="Arial" w:cs="Arial"/>
        </w:rPr>
        <w:t xml:space="preserve"> . . . .”</w:t>
      </w:r>
      <w:r>
        <w:rPr>
          <w:rStyle w:val="FootnoteReference"/>
          <w:rFonts w:ascii="Arial" w:hAnsi="Arial" w:cs="Arial"/>
        </w:rPr>
        <w:footnoteReference w:id="50"/>
      </w:r>
      <w:r>
        <w:rPr>
          <w:rFonts w:ascii="Arial" w:hAnsi="Arial" w:cs="Arial"/>
        </w:rPr>
        <w:t xml:space="preserve">  The Court did not provide guidance on this legal </w:t>
      </w:r>
      <w:r>
        <w:rPr>
          <w:rFonts w:ascii="Arial" w:hAnsi="Arial" w:cs="Arial"/>
        </w:rPr>
        <w:lastRenderedPageBreak/>
        <w:t xml:space="preserve">requirement, dismissing the DMR on other grounds.  Here, there is no evidence to suggest that the DMR aligns DP&amp;L’s and consumers’ </w:t>
      </w:r>
      <w:r w:rsidDel="005147EC">
        <w:rPr>
          <w:rFonts w:ascii="Arial" w:hAnsi="Arial" w:cs="Arial"/>
        </w:rPr>
        <w:t>expectation</w:t>
      </w:r>
      <w:r>
        <w:rPr>
          <w:rFonts w:ascii="Arial" w:hAnsi="Arial" w:cs="Arial"/>
        </w:rPr>
        <w:t>s, and such a conclusion would be an abuse of discretion based upon the record evidence.</w:t>
      </w:r>
    </w:p>
    <w:p w14:paraId="53016E44" w14:textId="52D0A6B6" w:rsidR="00DD4275" w:rsidRPr="006D2DFC" w:rsidRDefault="00DD4275" w:rsidP="00DD4275">
      <w:pPr>
        <w:spacing w:line="480" w:lineRule="auto"/>
        <w:ind w:firstLine="720"/>
        <w:jc w:val="both"/>
        <w:rPr>
          <w:rFonts w:ascii="Arial" w:hAnsi="Arial" w:cs="Arial"/>
        </w:rPr>
      </w:pPr>
      <w:r>
        <w:rPr>
          <w:rFonts w:ascii="Arial" w:hAnsi="Arial" w:cs="Arial"/>
        </w:rPr>
        <w:t xml:space="preserve">It cannot be concluded that customers and DP&amp;L have an alignment of interest when captive customers are forced to pay hundreds of millions of dollars without receiving anything in return.  Likewise, there can be no alignment of interests when the DMR revenues provide interest free-customer funded capital without anything in return.  Rather, the DMR permits DP&amp;L to raise customers’ rates to </w:t>
      </w:r>
      <w:r>
        <w:rPr>
          <w:rFonts w:ascii="Arial" w:hAnsi="Arial" w:cs="Arial"/>
          <w:i/>
        </w:rPr>
        <w:t xml:space="preserve">position </w:t>
      </w:r>
      <w:r>
        <w:rPr>
          <w:rFonts w:ascii="Arial" w:hAnsi="Arial" w:cs="Arial"/>
        </w:rPr>
        <w:t xml:space="preserve">DP&amp;L to undertake grid modernization at some undefined point in the future, and, if that grid modernization </w:t>
      </w:r>
      <w:proofErr w:type="gramStart"/>
      <w:r>
        <w:rPr>
          <w:rFonts w:ascii="Arial" w:hAnsi="Arial" w:cs="Arial"/>
        </w:rPr>
        <w:t>actually occurs</w:t>
      </w:r>
      <w:proofErr w:type="gramEnd"/>
      <w:r>
        <w:rPr>
          <w:rFonts w:ascii="Arial" w:hAnsi="Arial" w:cs="Arial"/>
        </w:rPr>
        <w:t xml:space="preserve">, DP&amp;L will once again be permitted to raise customers’ rates to collect the cost associated with that investment. </w:t>
      </w:r>
    </w:p>
    <w:p w14:paraId="4D4486E1" w14:textId="0925AC7E" w:rsidR="0033286D" w:rsidRPr="0033286D" w:rsidRDefault="00927C9D" w:rsidP="009B6D11">
      <w:pPr>
        <w:ind w:left="1440"/>
        <w:jc w:val="both"/>
        <w:rPr>
          <w:rFonts w:ascii="Arial" w:hAnsi="Arial" w:cs="Arial"/>
          <w:b/>
        </w:rPr>
      </w:pPr>
      <w:r>
        <w:rPr>
          <w:rFonts w:ascii="Arial" w:hAnsi="Arial" w:cs="Arial"/>
          <w:b/>
        </w:rPr>
        <w:t xml:space="preserve">2. </w:t>
      </w:r>
      <w:r w:rsidR="00837CC0" w:rsidRPr="00837CC0">
        <w:rPr>
          <w:rFonts w:ascii="Arial" w:hAnsi="Arial" w:cs="Arial"/>
          <w:b/>
        </w:rPr>
        <w:t xml:space="preserve">The DMR would provide </w:t>
      </w:r>
      <w:r w:rsidR="0073309E">
        <w:rPr>
          <w:rFonts w:ascii="Arial" w:hAnsi="Arial" w:cs="Arial"/>
          <w:b/>
        </w:rPr>
        <w:t>un</w:t>
      </w:r>
      <w:r w:rsidR="00837CC0" w:rsidRPr="00927C9D">
        <w:rPr>
          <w:rFonts w:ascii="Arial" w:hAnsi="Arial" w:cs="Arial"/>
          <w:b/>
        </w:rPr>
        <w:t>just</w:t>
      </w:r>
      <w:r w:rsidR="00837CC0" w:rsidRPr="00837CC0">
        <w:rPr>
          <w:rFonts w:ascii="Arial" w:hAnsi="Arial" w:cs="Arial"/>
          <w:b/>
        </w:rPr>
        <w:t xml:space="preserve"> and </w:t>
      </w:r>
      <w:r w:rsidR="0073309E">
        <w:rPr>
          <w:rFonts w:ascii="Arial" w:hAnsi="Arial" w:cs="Arial"/>
          <w:b/>
        </w:rPr>
        <w:t>un</w:t>
      </w:r>
      <w:r w:rsidR="00837CC0" w:rsidRPr="00927C9D">
        <w:rPr>
          <w:rFonts w:ascii="Arial" w:hAnsi="Arial" w:cs="Arial"/>
          <w:b/>
        </w:rPr>
        <w:t>reasonable</w:t>
      </w:r>
      <w:r w:rsidR="00837CC0" w:rsidRPr="00837CC0">
        <w:rPr>
          <w:rFonts w:ascii="Arial" w:hAnsi="Arial" w:cs="Arial"/>
          <w:b/>
        </w:rPr>
        <w:t xml:space="preserve"> rates</w:t>
      </w:r>
      <w:r>
        <w:rPr>
          <w:rFonts w:ascii="Arial" w:hAnsi="Arial" w:cs="Arial"/>
          <w:b/>
        </w:rPr>
        <w:t xml:space="preserve"> </w:t>
      </w:r>
      <w:r w:rsidR="00C576EE">
        <w:rPr>
          <w:rFonts w:ascii="Arial" w:hAnsi="Arial" w:cs="Arial"/>
          <w:b/>
        </w:rPr>
        <w:t>above the zone of reasonableness</w:t>
      </w:r>
      <w:r>
        <w:rPr>
          <w:rFonts w:ascii="Arial" w:hAnsi="Arial" w:cs="Arial"/>
          <w:b/>
        </w:rPr>
        <w:t xml:space="preserve"> in violation of R.C. 4928.143(B)(2)(h)</w:t>
      </w:r>
    </w:p>
    <w:p w14:paraId="66414B7E" w14:textId="0988AA77" w:rsidR="009B6D11" w:rsidRDefault="009B6D11" w:rsidP="009B6D11">
      <w:pPr>
        <w:spacing w:line="480" w:lineRule="auto"/>
        <w:ind w:firstLine="720"/>
        <w:jc w:val="both"/>
        <w:rPr>
          <w:rFonts w:ascii="Arial" w:hAnsi="Arial" w:cs="Arial"/>
        </w:rPr>
      </w:pPr>
      <w:r>
        <w:rPr>
          <w:rFonts w:ascii="Arial" w:hAnsi="Arial" w:cs="Arial"/>
        </w:rPr>
        <w:t>With the Court’s reversal of FirstEnergy’s DMR, the Commission has been given a directive to go back to the drawing board in its application of R.C. 4928.143(B)(2)(h).  During that process, IGS suggests that the Commission adopt a reasonable interpretation of section (h) that encourages responsible grid modernization while balancing the interests of customers.</w:t>
      </w:r>
      <w:r w:rsidR="003B2B72">
        <w:rPr>
          <w:rFonts w:ascii="Arial" w:hAnsi="Arial" w:cs="Arial"/>
        </w:rPr>
        <w:t xml:space="preserve">  The </w:t>
      </w:r>
      <w:r w:rsidR="003B2B72">
        <w:rPr>
          <w:rFonts w:ascii="Arial" w:hAnsi="Arial" w:cs="Arial"/>
          <w:i/>
        </w:rPr>
        <w:t xml:space="preserve">FirstEnergy Decision </w:t>
      </w:r>
      <w:r w:rsidR="003B2B72">
        <w:rPr>
          <w:rFonts w:ascii="Arial" w:hAnsi="Arial" w:cs="Arial"/>
        </w:rPr>
        <w:t>supports this conclusion.</w:t>
      </w:r>
    </w:p>
    <w:p w14:paraId="423802F5" w14:textId="36447FDF" w:rsidR="00EB7729" w:rsidRDefault="009B6D11" w:rsidP="003B2B72">
      <w:pPr>
        <w:spacing w:line="480" w:lineRule="auto"/>
        <w:ind w:firstLine="720"/>
        <w:jc w:val="both"/>
        <w:rPr>
          <w:rFonts w:ascii="Arial" w:hAnsi="Arial" w:cs="Arial"/>
        </w:rPr>
      </w:pPr>
      <w:r>
        <w:rPr>
          <w:rFonts w:ascii="Arial" w:hAnsi="Arial" w:cs="Arial"/>
        </w:rPr>
        <w:t xml:space="preserve">  While IGS</w:t>
      </w:r>
      <w:r w:rsidDel="00100DFD">
        <w:rPr>
          <w:rFonts w:ascii="Arial" w:hAnsi="Arial" w:cs="Arial"/>
        </w:rPr>
        <w:t xml:space="preserve"> </w:t>
      </w:r>
      <w:r>
        <w:rPr>
          <w:rFonts w:ascii="Arial" w:hAnsi="Arial" w:cs="Arial"/>
        </w:rPr>
        <w:t>acknowledges that the Commission has the authority to provide incentives explicitly tied to tangible grid modernization, the ultimately authorized rates must be within the zone of reasonableness.</w:t>
      </w:r>
      <w:r w:rsidR="003B2B72">
        <w:rPr>
          <w:rFonts w:ascii="Arial" w:hAnsi="Arial" w:cs="Arial"/>
        </w:rPr>
        <w:t xml:space="preserve"> </w:t>
      </w:r>
      <w:r>
        <w:rPr>
          <w:rFonts w:ascii="Arial" w:hAnsi="Arial" w:cs="Arial"/>
        </w:rPr>
        <w:t xml:space="preserve"> Section (B)(2)(h) identifies that grid modernization incentives may relate to “a </w:t>
      </w:r>
      <w:r w:rsidRPr="00967AE1">
        <w:rPr>
          <w:rFonts w:ascii="Arial" w:hAnsi="Arial" w:cs="Arial"/>
        </w:rPr>
        <w:t xml:space="preserve">long-term energy delivery infrastructure modernization plan for that utility or any plan providing for the utility's recovery of costs, </w:t>
      </w:r>
      <w:r w:rsidRPr="00967AE1">
        <w:rPr>
          <w:rFonts w:ascii="Arial" w:hAnsi="Arial" w:cs="Arial"/>
        </w:rPr>
        <w:lastRenderedPageBreak/>
        <w:t>including lost revenue, shared savings, and avoided costs, and a just and reasonable rate of return on such infrastructure modernization.</w:t>
      </w:r>
      <w:r>
        <w:rPr>
          <w:rFonts w:ascii="Arial" w:hAnsi="Arial" w:cs="Arial"/>
        </w:rPr>
        <w:t>”  Although the law permits recovery of lost revenues, shared savings, and avoided costs—potential categories that are not at issue here—the law</w:t>
      </w:r>
      <w:r w:rsidDel="00845E2D">
        <w:rPr>
          <w:rFonts w:ascii="Arial" w:hAnsi="Arial" w:cs="Arial"/>
        </w:rPr>
        <w:t xml:space="preserve"> </w:t>
      </w:r>
      <w:r>
        <w:rPr>
          <w:rFonts w:ascii="Arial" w:hAnsi="Arial" w:cs="Arial"/>
        </w:rPr>
        <w:t>otherwise limits any grid modernization incentive to a just and reasonable return.</w:t>
      </w:r>
    </w:p>
    <w:p w14:paraId="57AB0E5E" w14:textId="787C2D8A" w:rsidR="00E23FF8" w:rsidRPr="00E23FF8" w:rsidRDefault="00005366" w:rsidP="00E23FF8">
      <w:pPr>
        <w:spacing w:line="480" w:lineRule="auto"/>
        <w:ind w:firstLine="720"/>
        <w:jc w:val="both"/>
        <w:rPr>
          <w:rFonts w:ascii="Arial" w:hAnsi="Arial" w:cs="Arial"/>
        </w:rPr>
      </w:pPr>
      <w:r>
        <w:rPr>
          <w:rFonts w:ascii="Arial" w:hAnsi="Arial" w:cs="Arial"/>
        </w:rPr>
        <w:t>Indeed, the Federal Energy Regulatory Commission (“FERC”), one of the pioneers of incentive ratemaking mechanisms, has</w:t>
      </w:r>
      <w:r w:rsidR="00F55F5C">
        <w:rPr>
          <w:rFonts w:ascii="Arial" w:hAnsi="Arial" w:cs="Arial"/>
        </w:rPr>
        <w:t xml:space="preserve"> similarly</w:t>
      </w:r>
      <w:r>
        <w:rPr>
          <w:rFonts w:ascii="Arial" w:hAnsi="Arial" w:cs="Arial"/>
        </w:rPr>
        <w:t xml:space="preserve"> concluded that they must provide for just and reasonable rates.  For over a decade, the FERC has authorized incentives for certain transmission investments.  But, as FERC identified in Order 679, “</w:t>
      </w:r>
      <w:r w:rsidRPr="003B1213">
        <w:rPr>
          <w:rFonts w:ascii="Arial" w:hAnsi="Arial" w:cs="Arial"/>
        </w:rPr>
        <w:t>the Commission will permit incentives only if the</w:t>
      </w:r>
      <w:r>
        <w:rPr>
          <w:rFonts w:ascii="Arial" w:hAnsi="Arial" w:cs="Arial"/>
        </w:rPr>
        <w:t xml:space="preserve"> </w:t>
      </w:r>
      <w:r w:rsidRPr="003B1213">
        <w:rPr>
          <w:rFonts w:ascii="Arial" w:hAnsi="Arial" w:cs="Arial"/>
        </w:rPr>
        <w:t>incentive package as a whole results in a just and reasonable rate.</w:t>
      </w:r>
      <w:r>
        <w:rPr>
          <w:rFonts w:ascii="Arial" w:hAnsi="Arial" w:cs="Arial"/>
        </w:rPr>
        <w:t>”</w:t>
      </w:r>
      <w:r>
        <w:rPr>
          <w:rStyle w:val="FootnoteReference"/>
          <w:rFonts w:ascii="Arial" w:hAnsi="Arial" w:cs="Arial"/>
        </w:rPr>
        <w:footnoteReference w:id="51"/>
      </w:r>
      <w:r>
        <w:rPr>
          <w:rFonts w:ascii="Arial" w:hAnsi="Arial" w:cs="Arial"/>
        </w:rPr>
        <w:t xml:space="preserve"> To that end, “</w:t>
      </w:r>
      <w:r w:rsidRPr="003B1213">
        <w:rPr>
          <w:rFonts w:ascii="Arial" w:hAnsi="Arial" w:cs="Arial"/>
        </w:rPr>
        <w:t>an</w:t>
      </w:r>
      <w:r>
        <w:rPr>
          <w:rFonts w:ascii="Arial" w:hAnsi="Arial" w:cs="Arial"/>
        </w:rPr>
        <w:t xml:space="preserve"> </w:t>
      </w:r>
      <w:r w:rsidRPr="003B1213">
        <w:rPr>
          <w:rFonts w:ascii="Arial" w:hAnsi="Arial" w:cs="Arial"/>
        </w:rPr>
        <w:t>incentive rate of return sought by an applicant must be within a range of reasonable</w:t>
      </w:r>
      <w:r>
        <w:rPr>
          <w:rFonts w:ascii="Arial" w:hAnsi="Arial" w:cs="Arial"/>
        </w:rPr>
        <w:t xml:space="preserve"> </w:t>
      </w:r>
      <w:r w:rsidRPr="003B1213">
        <w:rPr>
          <w:rFonts w:ascii="Arial" w:hAnsi="Arial" w:cs="Arial"/>
        </w:rPr>
        <w:t>returns and the rate proposal as a whole must be within the zone of reasonableness before</w:t>
      </w:r>
      <w:r>
        <w:rPr>
          <w:rFonts w:ascii="Arial" w:hAnsi="Arial" w:cs="Arial"/>
        </w:rPr>
        <w:t xml:space="preserve"> </w:t>
      </w:r>
      <w:r w:rsidRPr="003B1213">
        <w:rPr>
          <w:rFonts w:ascii="Arial" w:hAnsi="Arial" w:cs="Arial"/>
        </w:rPr>
        <w:t>it will be approved</w:t>
      </w:r>
      <w:r>
        <w:rPr>
          <w:rFonts w:ascii="Arial" w:hAnsi="Arial" w:cs="Arial"/>
        </w:rPr>
        <w:t>.”</w:t>
      </w:r>
      <w:r>
        <w:rPr>
          <w:rStyle w:val="FootnoteReference"/>
          <w:rFonts w:ascii="Arial" w:hAnsi="Arial" w:cs="Arial"/>
        </w:rPr>
        <w:footnoteReference w:id="52"/>
      </w:r>
      <w:r>
        <w:rPr>
          <w:rFonts w:ascii="Arial" w:hAnsi="Arial" w:cs="Arial"/>
        </w:rPr>
        <w:t xml:space="preserve">  </w:t>
      </w:r>
      <w:r w:rsidR="009B6D11" w:rsidRPr="008D4A12">
        <w:rPr>
          <w:rFonts w:ascii="Arial" w:hAnsi="Arial" w:cs="Arial"/>
        </w:rPr>
        <w:t>This interpretation is supported by the plain language of the statutory section and the Court’s example of what could be an appropriate incentive.</w:t>
      </w:r>
      <w:r w:rsidR="009B6D11">
        <w:rPr>
          <w:rStyle w:val="FootnoteReference"/>
          <w:rFonts w:ascii="Arial" w:hAnsi="Arial" w:cs="Arial"/>
        </w:rPr>
        <w:footnoteReference w:id="53"/>
      </w:r>
      <w:r w:rsidR="00EB7729">
        <w:rPr>
          <w:rFonts w:ascii="Arial" w:hAnsi="Arial" w:cs="Arial"/>
        </w:rPr>
        <w:t xml:space="preserve"> </w:t>
      </w:r>
    </w:p>
    <w:p w14:paraId="5618DE13" w14:textId="33814779" w:rsidR="003B7C70" w:rsidRDefault="00C84870" w:rsidP="00C84870">
      <w:pPr>
        <w:spacing w:line="480" w:lineRule="auto"/>
        <w:ind w:firstLine="720"/>
        <w:jc w:val="both"/>
        <w:rPr>
          <w:rFonts w:ascii="Arial" w:hAnsi="Arial" w:cs="Arial"/>
        </w:rPr>
      </w:pPr>
      <w:r>
        <w:rPr>
          <w:rFonts w:ascii="Arial" w:hAnsi="Arial" w:cs="Arial"/>
        </w:rPr>
        <w:t xml:space="preserve">Accordingly, IGS urges the Commission to reject the DMR because it does not ensure that any incentive authorized under R.C. 4928.143(B)(2)(h) be within the zone of reasonableness.  In evaluating potential rates of return, the Commission has historically </w:t>
      </w:r>
      <w:r>
        <w:rPr>
          <w:rFonts w:ascii="Arial" w:hAnsi="Arial" w:cs="Arial"/>
        </w:rPr>
        <w:lastRenderedPageBreak/>
        <w:t>considered a range of acceptable returns, based upon comparable companies.</w:t>
      </w:r>
      <w:r>
        <w:rPr>
          <w:rStyle w:val="FootnoteReference"/>
          <w:rFonts w:ascii="Arial" w:hAnsi="Arial" w:cs="Arial"/>
        </w:rPr>
        <w:footnoteReference w:id="54"/>
      </w:r>
      <w:r w:rsidRPr="00112652">
        <w:rPr>
          <w:rFonts w:ascii="Arial" w:hAnsi="Arial" w:cs="Arial"/>
          <w:i/>
        </w:rPr>
        <w:t xml:space="preserve"> </w:t>
      </w:r>
      <w:r>
        <w:rPr>
          <w:rFonts w:ascii="Arial" w:hAnsi="Arial" w:cs="Arial"/>
        </w:rPr>
        <w:t xml:space="preserve">For purposes of providing an incentive for grid modernization, the incentives should not result in the total authorized return on equity exceeding the high point applicable to comparable companies. </w:t>
      </w:r>
    </w:p>
    <w:p w14:paraId="1A4C1ADB" w14:textId="2895E3F8" w:rsidR="00C84870" w:rsidRDefault="00C84870" w:rsidP="003B7C70">
      <w:pPr>
        <w:spacing w:line="480" w:lineRule="auto"/>
        <w:ind w:firstLine="720"/>
        <w:jc w:val="both"/>
        <w:rPr>
          <w:rFonts w:ascii="Arial" w:hAnsi="Arial" w:cs="Arial"/>
        </w:rPr>
      </w:pPr>
      <w:r>
        <w:rPr>
          <w:rFonts w:ascii="Arial" w:hAnsi="Arial" w:cs="Arial"/>
        </w:rPr>
        <w:t>Such an approach would: (1) require actual investment in grid modernization to receive an incentive; (2) incentivize grid modernization through the potential for an enhanced rate of</w:t>
      </w:r>
      <w:r w:rsidDel="00296491">
        <w:rPr>
          <w:rFonts w:ascii="Arial" w:hAnsi="Arial" w:cs="Arial"/>
        </w:rPr>
        <w:t xml:space="preserve"> </w:t>
      </w:r>
      <w:r>
        <w:rPr>
          <w:rFonts w:ascii="Arial" w:hAnsi="Arial" w:cs="Arial"/>
        </w:rPr>
        <w:t>return;</w:t>
      </w:r>
      <w:r w:rsidR="00F2741F">
        <w:rPr>
          <w:rFonts w:ascii="Arial" w:hAnsi="Arial" w:cs="Arial"/>
        </w:rPr>
        <w:t xml:space="preserve"> </w:t>
      </w:r>
      <w:r>
        <w:rPr>
          <w:rFonts w:ascii="Arial" w:hAnsi="Arial" w:cs="Arial"/>
        </w:rPr>
        <w:t>(3) ensure that captive customer rates are just and reasonable</w:t>
      </w:r>
      <w:r w:rsidR="00FA1759">
        <w:rPr>
          <w:rFonts w:ascii="Arial" w:hAnsi="Arial" w:cs="Arial"/>
        </w:rPr>
        <w:t>.</w:t>
      </w:r>
      <w:r w:rsidR="00FA1759">
        <w:rPr>
          <w:rStyle w:val="FootnoteReference"/>
          <w:rFonts w:ascii="Arial" w:hAnsi="Arial" w:cs="Arial"/>
        </w:rPr>
        <w:footnoteReference w:id="55"/>
      </w:r>
      <w:r w:rsidR="00FA1759">
        <w:rPr>
          <w:rFonts w:ascii="Arial" w:hAnsi="Arial" w:cs="Arial"/>
        </w:rPr>
        <w:t xml:space="preserve"> </w:t>
      </w:r>
      <w:r>
        <w:rPr>
          <w:rFonts w:ascii="Arial" w:hAnsi="Arial" w:cs="Arial"/>
        </w:rPr>
        <w:t xml:space="preserve">While such an incentive mechanism could be reasonable, the DMR as proposed does not satisfy these requirements. </w:t>
      </w:r>
    </w:p>
    <w:p w14:paraId="79EF3D57" w14:textId="6BE7C40C" w:rsidR="00EB7729" w:rsidRPr="003B7C70" w:rsidRDefault="003B7C70" w:rsidP="00EB7729">
      <w:pPr>
        <w:spacing w:line="480" w:lineRule="auto"/>
        <w:ind w:firstLine="720"/>
        <w:jc w:val="both"/>
        <w:rPr>
          <w:rFonts w:ascii="Arial" w:hAnsi="Arial" w:cs="Arial"/>
          <w:i/>
        </w:rPr>
      </w:pPr>
      <w:r>
        <w:rPr>
          <w:rFonts w:ascii="Arial" w:hAnsi="Arial" w:cs="Arial"/>
        </w:rPr>
        <w:t xml:space="preserve">This interpretation of the statute is supported by the </w:t>
      </w:r>
      <w:r>
        <w:rPr>
          <w:rFonts w:ascii="Arial" w:hAnsi="Arial" w:cs="Arial"/>
          <w:i/>
        </w:rPr>
        <w:t xml:space="preserve">FirstEnergy Decision.  </w:t>
      </w:r>
      <w:r w:rsidR="00EB7729">
        <w:rPr>
          <w:rFonts w:ascii="Arial" w:hAnsi="Arial" w:cs="Arial"/>
        </w:rPr>
        <w:t xml:space="preserve">The Court </w:t>
      </w:r>
      <w:r>
        <w:rPr>
          <w:rFonts w:ascii="Arial" w:hAnsi="Arial" w:cs="Arial"/>
        </w:rPr>
        <w:t xml:space="preserve">provided an example of what </w:t>
      </w:r>
      <w:r>
        <w:rPr>
          <w:rFonts w:ascii="Arial" w:hAnsi="Arial" w:cs="Arial"/>
          <w:i/>
        </w:rPr>
        <w:t xml:space="preserve">could </w:t>
      </w:r>
      <w:r>
        <w:rPr>
          <w:rFonts w:ascii="Arial" w:hAnsi="Arial" w:cs="Arial"/>
        </w:rPr>
        <w:t>have been an acceptable incentive mechanism, noting</w:t>
      </w:r>
      <w:r w:rsidR="00EB7729">
        <w:rPr>
          <w:rFonts w:ascii="Arial" w:hAnsi="Arial" w:cs="Arial"/>
        </w:rPr>
        <w:t xml:space="preserve"> that the Commission previously authorized FirstEnergy’s AMI Rider to include a 50 basis point adder to the otherwise applicable return on equity in the rate of return.</w:t>
      </w:r>
      <w:r w:rsidR="00EB7729">
        <w:rPr>
          <w:rStyle w:val="FootnoteReference"/>
          <w:rFonts w:ascii="Arial" w:hAnsi="Arial" w:cs="Arial"/>
        </w:rPr>
        <w:footnoteReference w:id="56"/>
      </w:r>
      <w:r w:rsidR="00EB7729">
        <w:rPr>
          <w:rFonts w:ascii="Arial" w:hAnsi="Arial" w:cs="Arial"/>
        </w:rPr>
        <w:t xml:space="preserve"> In other words, if FirstEnergy’s authorized return on equity was 9.75%, for purposes of actual grid modernization investments, they may apply a 10.25% return on equity in the rate of return calculation of the rider</w:t>
      </w:r>
      <w:r>
        <w:rPr>
          <w:rFonts w:ascii="Arial" w:hAnsi="Arial" w:cs="Arial"/>
        </w:rPr>
        <w:t xml:space="preserve"> for purpose of actual grid modernization investment</w:t>
      </w:r>
      <w:r w:rsidR="00EB7729">
        <w:rPr>
          <w:rFonts w:ascii="Arial" w:hAnsi="Arial" w:cs="Arial"/>
        </w:rPr>
        <w:t>.</w:t>
      </w:r>
      <w:r>
        <w:rPr>
          <w:rFonts w:ascii="Arial" w:hAnsi="Arial" w:cs="Arial"/>
        </w:rPr>
        <w:t xml:space="preserve">  </w:t>
      </w:r>
      <w:r w:rsidR="00865F42">
        <w:rPr>
          <w:rFonts w:ascii="Arial" w:hAnsi="Arial" w:cs="Arial"/>
        </w:rPr>
        <w:t xml:space="preserve">The </w:t>
      </w:r>
      <w:proofErr w:type="gramStart"/>
      <w:r w:rsidR="00865F42">
        <w:rPr>
          <w:rFonts w:ascii="Arial" w:hAnsi="Arial" w:cs="Arial"/>
        </w:rPr>
        <w:t>50 basis</w:t>
      </w:r>
      <w:proofErr w:type="gramEnd"/>
      <w:r w:rsidR="00865F42">
        <w:rPr>
          <w:rFonts w:ascii="Arial" w:hAnsi="Arial" w:cs="Arial"/>
        </w:rPr>
        <w:t xml:space="preserve"> point adder would have ensured that FirstEnergy’s incentive compensation remained within the zone of reasonableness</w:t>
      </w:r>
      <w:r w:rsidR="00EB7729">
        <w:rPr>
          <w:rFonts w:ascii="Arial" w:hAnsi="Arial" w:cs="Arial"/>
        </w:rPr>
        <w:t xml:space="preserve">.  </w:t>
      </w:r>
    </w:p>
    <w:p w14:paraId="6A113D12" w14:textId="29CF3DD0" w:rsidR="00EB7729" w:rsidRDefault="00EB7729" w:rsidP="00EB7729">
      <w:pPr>
        <w:spacing w:line="480" w:lineRule="auto"/>
        <w:ind w:firstLine="720"/>
        <w:jc w:val="both"/>
        <w:rPr>
          <w:rFonts w:ascii="Arial" w:hAnsi="Arial" w:cs="Arial"/>
        </w:rPr>
      </w:pPr>
      <w:r>
        <w:rPr>
          <w:rFonts w:ascii="Arial" w:hAnsi="Arial" w:cs="Arial"/>
        </w:rPr>
        <w:lastRenderedPageBreak/>
        <w:t xml:space="preserve">Because the cost of equity is only a portion—around half—of the rate of return equation (less for DP&amp;L), that means that FirstEnergy would have received an incentive of .25% multiplied by the investment in grid modernization.  For purposes of a $500 million investment, FirstEnergy would have been entitled to an incentive of $1.25 million per year after it makes the investment ($500 million </w:t>
      </w:r>
      <w:proofErr w:type="gramStart"/>
      <w:r>
        <w:rPr>
          <w:rFonts w:ascii="Arial" w:hAnsi="Arial" w:cs="Arial"/>
        </w:rPr>
        <w:t>x  .</w:t>
      </w:r>
      <w:proofErr w:type="gramEnd"/>
      <w:r>
        <w:rPr>
          <w:rFonts w:ascii="Arial" w:hAnsi="Arial" w:cs="Arial"/>
        </w:rPr>
        <w:t xml:space="preserve">5 x .005=$1.25 million).  </w:t>
      </w:r>
      <w:proofErr w:type="gramStart"/>
      <w:r>
        <w:rPr>
          <w:rFonts w:ascii="Arial" w:hAnsi="Arial" w:cs="Arial"/>
        </w:rPr>
        <w:t xml:space="preserve">In </w:t>
      </w:r>
      <w:r w:rsidR="00862164">
        <w:rPr>
          <w:rFonts w:ascii="Arial" w:hAnsi="Arial" w:cs="Arial"/>
        </w:rPr>
        <w:t>light</w:t>
      </w:r>
      <w:r>
        <w:rPr>
          <w:rFonts w:ascii="Arial" w:hAnsi="Arial" w:cs="Arial"/>
        </w:rPr>
        <w:t xml:space="preserve"> of</w:t>
      </w:r>
      <w:proofErr w:type="gramEnd"/>
      <w:r>
        <w:rPr>
          <w:rFonts w:ascii="Arial" w:hAnsi="Arial" w:cs="Arial"/>
        </w:rPr>
        <w:t xml:space="preserve"> this example, it is clear that the DMR is unlawful and unreasonable.</w:t>
      </w:r>
    </w:p>
    <w:p w14:paraId="46F7EF6C" w14:textId="7378584C" w:rsidR="00E23FF8" w:rsidRPr="00E23FF8" w:rsidRDefault="00F85391" w:rsidP="00E23FF8">
      <w:pPr>
        <w:spacing w:line="480" w:lineRule="auto"/>
        <w:ind w:firstLine="720"/>
        <w:jc w:val="both"/>
        <w:rPr>
          <w:rFonts w:ascii="Arial" w:hAnsi="Arial" w:cs="Arial"/>
        </w:rPr>
      </w:pPr>
      <w:r>
        <w:rPr>
          <w:rFonts w:ascii="Arial" w:hAnsi="Arial" w:cs="Arial"/>
        </w:rPr>
        <w:t>T</w:t>
      </w:r>
      <w:r w:rsidR="00EB7729">
        <w:rPr>
          <w:rFonts w:ascii="Arial" w:hAnsi="Arial" w:cs="Arial"/>
        </w:rPr>
        <w:t xml:space="preserve">he magnitude of the </w:t>
      </w:r>
      <w:r w:rsidR="00865F42">
        <w:rPr>
          <w:rFonts w:ascii="Arial" w:hAnsi="Arial" w:cs="Arial"/>
        </w:rPr>
        <w:t xml:space="preserve">DMR </w:t>
      </w:r>
      <w:r>
        <w:rPr>
          <w:rFonts w:ascii="Arial" w:hAnsi="Arial" w:cs="Arial"/>
        </w:rPr>
        <w:t>charge</w:t>
      </w:r>
      <w:r w:rsidR="00EB7729">
        <w:rPr>
          <w:rFonts w:ascii="Arial" w:hAnsi="Arial" w:cs="Arial"/>
        </w:rPr>
        <w:t xml:space="preserve"> </w:t>
      </w:r>
      <w:r>
        <w:rPr>
          <w:rFonts w:ascii="Arial" w:hAnsi="Arial" w:cs="Arial"/>
        </w:rPr>
        <w:t>itself</w:t>
      </w:r>
      <w:r w:rsidR="00EB7729">
        <w:rPr>
          <w:rFonts w:ascii="Arial" w:hAnsi="Arial" w:cs="Arial"/>
        </w:rPr>
        <w:t xml:space="preserve"> illustrates that it lacks sound reasoning</w:t>
      </w:r>
      <w:r>
        <w:rPr>
          <w:rFonts w:ascii="Arial" w:hAnsi="Arial" w:cs="Arial"/>
        </w:rPr>
        <w:t xml:space="preserve"> and would provide unjust and unreasonable r</w:t>
      </w:r>
      <w:r w:rsidR="00B508DB">
        <w:rPr>
          <w:rFonts w:ascii="Arial" w:hAnsi="Arial" w:cs="Arial"/>
        </w:rPr>
        <w:t>ates</w:t>
      </w:r>
      <w:r w:rsidR="00EB7729">
        <w:rPr>
          <w:rFonts w:ascii="Arial" w:hAnsi="Arial" w:cs="Arial"/>
        </w:rPr>
        <w:t xml:space="preserve">.  DP&amp;L’s total distribution rate base at the time of the ESP was approximately $643 million. </w:t>
      </w:r>
      <w:r w:rsidR="00C34468">
        <w:rPr>
          <w:rFonts w:ascii="Arial" w:hAnsi="Arial" w:cs="Arial"/>
        </w:rPr>
        <w:t xml:space="preserve">Based upon </w:t>
      </w:r>
      <w:r w:rsidR="00EB7729">
        <w:rPr>
          <w:rFonts w:ascii="Arial" w:hAnsi="Arial" w:cs="Arial"/>
        </w:rPr>
        <w:t xml:space="preserve">DP&amp;L’s authorized rate of return </w:t>
      </w:r>
      <w:r w:rsidR="00575A3C">
        <w:rPr>
          <w:rFonts w:ascii="Arial" w:hAnsi="Arial" w:cs="Arial"/>
        </w:rPr>
        <w:t xml:space="preserve">of </w:t>
      </w:r>
      <w:r w:rsidR="00EB7729">
        <w:rPr>
          <w:rFonts w:ascii="Arial" w:hAnsi="Arial" w:cs="Arial"/>
        </w:rPr>
        <w:t>7.27%</w:t>
      </w:r>
      <w:r w:rsidR="00C34468">
        <w:rPr>
          <w:rFonts w:ascii="Arial" w:hAnsi="Arial" w:cs="Arial"/>
        </w:rPr>
        <w:t>, DP&amp;L receives</w:t>
      </w:r>
      <w:r w:rsidR="00EB7729">
        <w:rPr>
          <w:rFonts w:ascii="Arial" w:hAnsi="Arial" w:cs="Arial"/>
        </w:rPr>
        <w:t xml:space="preserve"> an annual </w:t>
      </w:r>
      <w:r w:rsidR="00C34468">
        <w:rPr>
          <w:rFonts w:ascii="Arial" w:hAnsi="Arial" w:cs="Arial"/>
        </w:rPr>
        <w:t>rate of</w:t>
      </w:r>
      <w:r w:rsidR="00EB7729">
        <w:rPr>
          <w:rFonts w:ascii="Arial" w:hAnsi="Arial" w:cs="Arial"/>
        </w:rPr>
        <w:t xml:space="preserve"> return of $46.7 million—less than half of the total amount of the DMR.    </w:t>
      </w:r>
    </w:p>
    <w:p w14:paraId="097B2F43" w14:textId="38E4D247" w:rsidR="006A477F" w:rsidRDefault="00865F42" w:rsidP="006A477F">
      <w:pPr>
        <w:spacing w:line="480" w:lineRule="auto"/>
        <w:ind w:firstLine="720"/>
        <w:jc w:val="both"/>
        <w:rPr>
          <w:rFonts w:ascii="Arial" w:hAnsi="Arial" w:cs="Arial"/>
        </w:rPr>
      </w:pPr>
      <w:r>
        <w:rPr>
          <w:rFonts w:ascii="Arial" w:hAnsi="Arial" w:cs="Arial"/>
        </w:rPr>
        <w:t xml:space="preserve">Moreover, the DMR would lead to </w:t>
      </w:r>
      <w:r w:rsidR="008418FD">
        <w:rPr>
          <w:rFonts w:ascii="Arial" w:hAnsi="Arial" w:cs="Arial"/>
        </w:rPr>
        <w:t xml:space="preserve">DP&amp;L’s total rate of return exceeding the zone of reasonableness.  </w:t>
      </w:r>
      <w:r w:rsidR="006A477F">
        <w:rPr>
          <w:rFonts w:ascii="Arial" w:hAnsi="Arial" w:cs="Arial"/>
        </w:rPr>
        <w:t>As testified by IGS witness Hess, the DMR coupled with DP&amp;L’s existing distribution rates would permit DP&amp;L to earn a rate of return in excess of 20% on the existing rate base without performing any investment whatsoever.</w:t>
      </w:r>
      <w:r w:rsidR="006A477F">
        <w:rPr>
          <w:rStyle w:val="FootnoteReference"/>
          <w:rFonts w:ascii="Arial" w:hAnsi="Arial" w:cs="Arial"/>
        </w:rPr>
        <w:footnoteReference w:id="57"/>
      </w:r>
      <w:r w:rsidR="006A477F">
        <w:rPr>
          <w:rFonts w:ascii="Arial" w:hAnsi="Arial" w:cs="Arial"/>
        </w:rPr>
        <w:t xml:space="preserve">  This return is conservative, given that it </w:t>
      </w:r>
      <w:r w:rsidR="00556397">
        <w:rPr>
          <w:rFonts w:ascii="Arial" w:hAnsi="Arial" w:cs="Arial"/>
        </w:rPr>
        <w:t xml:space="preserve">is </w:t>
      </w:r>
      <w:r w:rsidR="006A477F">
        <w:rPr>
          <w:rFonts w:ascii="Arial" w:hAnsi="Arial" w:cs="Arial"/>
        </w:rPr>
        <w:t xml:space="preserve">watered down by the entirety of DP&amp;L’s rate base and is not focused on the revenue </w:t>
      </w:r>
      <w:r w:rsidR="006A477F" w:rsidRPr="00DC123F">
        <w:rPr>
          <w:rFonts w:ascii="Arial" w:hAnsi="Arial" w:cs="Arial"/>
        </w:rPr>
        <w:t>impact of the DMR relative to any potential unquantified and yet</w:t>
      </w:r>
      <w:r w:rsidR="00556397">
        <w:rPr>
          <w:rFonts w:ascii="Arial" w:hAnsi="Arial" w:cs="Arial"/>
        </w:rPr>
        <w:t>-</w:t>
      </w:r>
      <w:r w:rsidR="006A477F" w:rsidRPr="00DC123F">
        <w:rPr>
          <w:rFonts w:ascii="Arial" w:hAnsi="Arial" w:cs="Arial"/>
        </w:rPr>
        <w:t>to</w:t>
      </w:r>
      <w:r w:rsidR="00556397">
        <w:rPr>
          <w:rFonts w:ascii="Arial" w:hAnsi="Arial" w:cs="Arial"/>
        </w:rPr>
        <w:t>-</w:t>
      </w:r>
      <w:r w:rsidR="006A477F" w:rsidRPr="00DC123F">
        <w:rPr>
          <w:rFonts w:ascii="Arial" w:hAnsi="Arial" w:cs="Arial"/>
        </w:rPr>
        <w:t>be authorized grid modernization.</w:t>
      </w:r>
    </w:p>
    <w:p w14:paraId="4E5541B0" w14:textId="56FCEE34" w:rsidR="00B51680" w:rsidRDefault="00EB7729" w:rsidP="00EB7729">
      <w:pPr>
        <w:spacing w:line="480" w:lineRule="auto"/>
        <w:ind w:firstLine="720"/>
        <w:jc w:val="both"/>
        <w:rPr>
          <w:rFonts w:ascii="Arial" w:hAnsi="Arial" w:cs="Arial"/>
        </w:rPr>
      </w:pPr>
      <w:r>
        <w:rPr>
          <w:rFonts w:ascii="Arial" w:hAnsi="Arial" w:cs="Arial"/>
        </w:rPr>
        <w:t xml:space="preserve">Even if DP&amp;L’s investment in grid modernization doubled the rate base—a quantity the Commission has not evaluated or authorized in this record—the DMR would provide </w:t>
      </w:r>
      <w:r>
        <w:rPr>
          <w:rFonts w:ascii="Arial" w:hAnsi="Arial" w:cs="Arial"/>
        </w:rPr>
        <w:lastRenderedPageBreak/>
        <w:t>an alleged incentive that is equal to any grid modernization investment on nearly a dollar for dollar basis without even accounting for the fact that DP&amp;L’s capital structure is weighted heavily toward debt.  In fact, the DMR reflects revenue that far exceeds the existing equity investment in DP&amp;L itself.  Thus, the DMR would provide an alleged incentive that is greater than AES’ equity interest in DP&amp;L.</w:t>
      </w:r>
      <w:r>
        <w:rPr>
          <w:rStyle w:val="FootnoteReference"/>
          <w:rFonts w:ascii="Arial" w:hAnsi="Arial" w:cs="Arial"/>
        </w:rPr>
        <w:footnoteReference w:id="58"/>
      </w:r>
    </w:p>
    <w:p w14:paraId="4DE18FA2" w14:textId="0558FD23" w:rsidR="00D85612" w:rsidRPr="00A909F5" w:rsidRDefault="00EB7729" w:rsidP="00857FC1">
      <w:pPr>
        <w:spacing w:line="480" w:lineRule="auto"/>
        <w:ind w:firstLine="720"/>
        <w:jc w:val="both"/>
        <w:rPr>
          <w:rFonts w:ascii="Arial" w:hAnsi="Arial" w:cs="Arial"/>
        </w:rPr>
      </w:pPr>
      <w:r>
        <w:rPr>
          <w:rFonts w:ascii="Arial" w:hAnsi="Arial" w:cs="Arial"/>
        </w:rPr>
        <w:t>The amount of compensation provided to DP&amp;L through the DMR sounds absurd because the DMR was never designed to provide a grid modernization incentive, rather the rider was based upon the level of debt at DPL Inc.  Providing $105 million in additional revenue above and beyond DP&amp;L’s cost of providing distribution service would lack sound reasoning and be an abuse of discretion.</w:t>
      </w:r>
    </w:p>
    <w:p w14:paraId="4F6428E7" w14:textId="7F6BA136" w:rsidR="003B1213" w:rsidRPr="00A909F5" w:rsidRDefault="0032357F" w:rsidP="00A909F5">
      <w:pPr>
        <w:pStyle w:val="ListParagraph"/>
        <w:numPr>
          <w:ilvl w:val="0"/>
          <w:numId w:val="9"/>
        </w:numPr>
        <w:rPr>
          <w:rFonts w:ascii="Arial" w:hAnsi="Arial" w:cs="Arial"/>
          <w:b/>
          <w:sz w:val="24"/>
          <w:szCs w:val="24"/>
        </w:rPr>
      </w:pPr>
      <w:r w:rsidRPr="00A909F5">
        <w:rPr>
          <w:rFonts w:ascii="Arial" w:hAnsi="Arial" w:cs="Arial"/>
          <w:b/>
          <w:sz w:val="24"/>
          <w:szCs w:val="24"/>
        </w:rPr>
        <w:t>The DMR would flunk the ESP vs. MRO test</w:t>
      </w:r>
    </w:p>
    <w:p w14:paraId="65EA3E12" w14:textId="2B35708C" w:rsidR="00D862C9" w:rsidRDefault="00AB5DDA" w:rsidP="003E6E15">
      <w:pPr>
        <w:spacing w:line="480" w:lineRule="auto"/>
        <w:ind w:firstLine="720"/>
        <w:jc w:val="both"/>
        <w:rPr>
          <w:rFonts w:ascii="Arial" w:hAnsi="Arial" w:cs="Arial"/>
        </w:rPr>
      </w:pPr>
      <w:r w:rsidRPr="00DC123F">
        <w:rPr>
          <w:rFonts w:ascii="Arial" w:hAnsi="Arial" w:cs="Arial"/>
        </w:rPr>
        <w:t>Finally, as the Commission is evaluating supplemental briefs, it should not overlook other important findings from the Court.</w:t>
      </w:r>
      <w:r w:rsidR="00DC123F" w:rsidRPr="00DC123F">
        <w:rPr>
          <w:rFonts w:ascii="Arial" w:hAnsi="Arial" w:cs="Arial"/>
        </w:rPr>
        <w:t xml:space="preserve">   While the Court is not fond of providing advisory opinions, it went out of its way to warn the Commission that the DMR may have failed on other grounds.  Indeed, the Court stated “</w:t>
      </w:r>
      <w:r w:rsidR="004C2B37">
        <w:rPr>
          <w:rFonts w:ascii="Arial" w:hAnsi="Arial" w:cs="Arial"/>
        </w:rPr>
        <w:t>a</w:t>
      </w:r>
      <w:r w:rsidR="00DC123F" w:rsidRPr="00DC123F">
        <w:rPr>
          <w:rFonts w:ascii="Arial" w:hAnsi="Arial" w:cs="Arial"/>
        </w:rPr>
        <w:t>lthough we question the commission’s interpretation of R.C. 4928.142 to exclude the DMR revenues under the ESP-versus-market-rate-offer test, our decision holding that the DMR is</w:t>
      </w:r>
      <w:r w:rsidR="00DC123F">
        <w:rPr>
          <w:rFonts w:ascii="Arial" w:hAnsi="Arial" w:cs="Arial"/>
        </w:rPr>
        <w:t xml:space="preserve"> </w:t>
      </w:r>
      <w:r w:rsidR="00DC123F" w:rsidRPr="00DC123F">
        <w:rPr>
          <w:rFonts w:ascii="Arial" w:hAnsi="Arial" w:cs="Arial"/>
        </w:rPr>
        <w:t>unlawful renders this issue moot.”</w:t>
      </w:r>
      <w:r w:rsidR="00BE4D30">
        <w:rPr>
          <w:rStyle w:val="FootnoteReference"/>
          <w:rFonts w:ascii="Arial" w:hAnsi="Arial" w:cs="Arial"/>
        </w:rPr>
        <w:footnoteReference w:id="59"/>
      </w:r>
      <w:r w:rsidR="00DC123F" w:rsidRPr="00DC123F">
        <w:rPr>
          <w:rFonts w:ascii="Arial" w:hAnsi="Arial" w:cs="Arial"/>
        </w:rPr>
        <w:t xml:space="preserve">  Thus,</w:t>
      </w:r>
      <w:r w:rsidRPr="00DC123F">
        <w:rPr>
          <w:rFonts w:ascii="Arial" w:hAnsi="Arial" w:cs="Arial"/>
        </w:rPr>
        <w:t xml:space="preserve"> </w:t>
      </w:r>
      <w:r w:rsidR="00DC123F" w:rsidRPr="00DC123F">
        <w:rPr>
          <w:rFonts w:ascii="Arial" w:hAnsi="Arial" w:cs="Arial"/>
        </w:rPr>
        <w:t>i</w:t>
      </w:r>
      <w:r w:rsidRPr="00DC123F">
        <w:rPr>
          <w:rFonts w:ascii="Arial" w:hAnsi="Arial" w:cs="Arial"/>
        </w:rPr>
        <w:t xml:space="preserve">f by some legal wizardry, the Commission twists Ohio law to permit authorization of the DMR under R.C. 4928.143(B)(2)(h), the ESP still </w:t>
      </w:r>
      <w:r w:rsidR="00DC123F" w:rsidRPr="00DC123F">
        <w:rPr>
          <w:rFonts w:ascii="Arial" w:hAnsi="Arial" w:cs="Arial"/>
        </w:rPr>
        <w:t xml:space="preserve">cannot be </w:t>
      </w:r>
      <w:r w:rsidR="00DC123F" w:rsidRPr="00DC123F">
        <w:rPr>
          <w:rFonts w:ascii="Arial" w:hAnsi="Arial" w:cs="Arial"/>
        </w:rPr>
        <w:lastRenderedPageBreak/>
        <w:t>authorized as it would cause the ESP to fail the MRO price test</w:t>
      </w:r>
      <w:r w:rsidRPr="00DC123F">
        <w:rPr>
          <w:rFonts w:ascii="Arial" w:hAnsi="Arial" w:cs="Arial"/>
        </w:rPr>
        <w:t xml:space="preserve">.  </w:t>
      </w:r>
      <w:r w:rsidR="00804AA5">
        <w:rPr>
          <w:rFonts w:ascii="Arial" w:hAnsi="Arial" w:cs="Arial"/>
        </w:rPr>
        <w:t>Accordingly, the Commission should remove the DMR from DP&amp;L’s ESP.</w:t>
      </w:r>
    </w:p>
    <w:p w14:paraId="51A1183F" w14:textId="7DF26C68" w:rsidR="00C21040" w:rsidRPr="00192E61" w:rsidRDefault="00C21040" w:rsidP="00192E61">
      <w:pPr>
        <w:pStyle w:val="ListParagraph"/>
        <w:numPr>
          <w:ilvl w:val="0"/>
          <w:numId w:val="13"/>
        </w:numPr>
        <w:spacing w:line="480" w:lineRule="auto"/>
        <w:jc w:val="both"/>
        <w:rPr>
          <w:rFonts w:ascii="Arial" w:hAnsi="Arial" w:cs="Arial"/>
          <w:b/>
          <w:sz w:val="24"/>
          <w:szCs w:val="24"/>
        </w:rPr>
      </w:pPr>
      <w:r w:rsidRPr="00192E61">
        <w:rPr>
          <w:rFonts w:ascii="Arial" w:hAnsi="Arial" w:cs="Arial"/>
          <w:b/>
          <w:sz w:val="24"/>
          <w:szCs w:val="24"/>
        </w:rPr>
        <w:t>CONCLUSION</w:t>
      </w:r>
    </w:p>
    <w:p w14:paraId="3D0BF9BD" w14:textId="5C9F9D04" w:rsidR="00F4560F" w:rsidRDefault="00C21040" w:rsidP="00612255">
      <w:pPr>
        <w:spacing w:line="480" w:lineRule="auto"/>
        <w:ind w:firstLine="720"/>
        <w:jc w:val="both"/>
        <w:rPr>
          <w:rFonts w:ascii="Arial" w:hAnsi="Arial" w:cs="Arial"/>
        </w:rPr>
      </w:pPr>
      <w:r>
        <w:rPr>
          <w:rFonts w:ascii="Arial" w:hAnsi="Arial" w:cs="Arial"/>
        </w:rPr>
        <w:t xml:space="preserve">For the reasons stated herein, the Commission should modify DP&amp;L’s ESP to eliminate the DMR.  </w:t>
      </w:r>
      <w:r w:rsidR="00612255">
        <w:rPr>
          <w:rFonts w:ascii="Arial" w:hAnsi="Arial" w:cs="Arial"/>
        </w:rPr>
        <w:t>It simply</w:t>
      </w:r>
      <w:r>
        <w:rPr>
          <w:rFonts w:ascii="Arial" w:hAnsi="Arial" w:cs="Arial"/>
        </w:rPr>
        <w:t xml:space="preserve"> has no connection to distribution service</w:t>
      </w:r>
      <w:r w:rsidR="00612255">
        <w:rPr>
          <w:rFonts w:ascii="Arial" w:hAnsi="Arial" w:cs="Arial"/>
        </w:rPr>
        <w:t xml:space="preserve">.  </w:t>
      </w:r>
      <w:r w:rsidR="00AD2CD8">
        <w:rPr>
          <w:rFonts w:ascii="Arial" w:hAnsi="Arial" w:cs="Arial"/>
        </w:rPr>
        <w:t>It is not an incentive—it</w:t>
      </w:r>
      <w:r w:rsidR="00612255">
        <w:rPr>
          <w:rFonts w:ascii="Arial" w:hAnsi="Arial" w:cs="Arial"/>
        </w:rPr>
        <w:t xml:space="preserve"> is a</w:t>
      </w:r>
      <w:r w:rsidR="00AD2CD8">
        <w:rPr>
          <w:rFonts w:ascii="Arial" w:hAnsi="Arial" w:cs="Arial"/>
        </w:rPr>
        <w:t xml:space="preserve"> customer-funded</w:t>
      </w:r>
      <w:r w:rsidR="00612255">
        <w:rPr>
          <w:rFonts w:ascii="Arial" w:hAnsi="Arial" w:cs="Arial"/>
        </w:rPr>
        <w:t xml:space="preserve"> gift</w:t>
      </w:r>
      <w:r w:rsidR="005D331D">
        <w:rPr>
          <w:rFonts w:ascii="Arial" w:hAnsi="Arial" w:cs="Arial"/>
        </w:rPr>
        <w:t xml:space="preserve"> that would provide DP&amp;L with unjust and unreasonable compensation</w:t>
      </w:r>
      <w:r w:rsidR="00AD2CD8">
        <w:rPr>
          <w:rFonts w:ascii="Arial" w:hAnsi="Arial" w:cs="Arial"/>
        </w:rPr>
        <w:t xml:space="preserve"> for doing nothing whatsoever</w:t>
      </w:r>
      <w:r w:rsidR="00DD14DF">
        <w:rPr>
          <w:rFonts w:ascii="Arial" w:hAnsi="Arial" w:cs="Arial"/>
        </w:rPr>
        <w:t>.</w:t>
      </w:r>
      <w:r w:rsidR="00AD2CD8">
        <w:rPr>
          <w:rFonts w:ascii="Arial" w:hAnsi="Arial" w:cs="Arial"/>
        </w:rPr>
        <w:t xml:space="preserve">  Given its uncurable legal </w:t>
      </w:r>
      <w:r w:rsidR="007F5ECD">
        <w:rPr>
          <w:rFonts w:ascii="Arial" w:hAnsi="Arial" w:cs="Arial"/>
        </w:rPr>
        <w:t>infirmities, IGS urges the Commission to reject the DMR.</w:t>
      </w:r>
      <w:r w:rsidR="005D331D">
        <w:rPr>
          <w:rFonts w:ascii="Arial" w:hAnsi="Arial" w:cs="Arial"/>
        </w:rPr>
        <w:t xml:space="preserve"> </w:t>
      </w:r>
    </w:p>
    <w:p w14:paraId="7F79E9CF" w14:textId="22438A35" w:rsidR="00E32B77" w:rsidRDefault="00E32B77" w:rsidP="00612255">
      <w:pPr>
        <w:spacing w:line="480" w:lineRule="auto"/>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Respectfully,</w:t>
      </w:r>
    </w:p>
    <w:p w14:paraId="45CEF692" w14:textId="77777777" w:rsidR="00E32B77" w:rsidRPr="00E32B77" w:rsidRDefault="00E32B77" w:rsidP="00E32B77">
      <w:pPr>
        <w:spacing w:after="0"/>
        <w:ind w:left="4320" w:firstLine="720"/>
        <w:rPr>
          <w:rFonts w:ascii="Arial" w:eastAsia="Arial" w:hAnsi="Arial" w:cs="Arial"/>
          <w:u w:val="single"/>
        </w:rPr>
      </w:pPr>
      <w:r w:rsidRPr="00E32B77">
        <w:rPr>
          <w:rFonts w:ascii="Arial" w:eastAsia="Arial" w:hAnsi="Arial" w:cs="Arial"/>
          <w:b/>
          <w:u w:val="single"/>
        </w:rPr>
        <w:t>/s/ Joseph Oliker____</w:t>
      </w:r>
    </w:p>
    <w:p w14:paraId="2FD60DA4" w14:textId="77777777" w:rsidR="00E32B77" w:rsidRPr="00E32B77" w:rsidRDefault="00E32B77" w:rsidP="00E32B77">
      <w:pPr>
        <w:spacing w:after="0"/>
        <w:ind w:left="5040"/>
        <w:rPr>
          <w:rFonts w:ascii="Arial" w:eastAsia="Calibri" w:hAnsi="Arial" w:cs="Arial"/>
        </w:rPr>
      </w:pPr>
      <w:r w:rsidRPr="00E32B77">
        <w:rPr>
          <w:rFonts w:ascii="Arial" w:eastAsia="Calibri" w:hAnsi="Arial" w:cs="Arial"/>
        </w:rPr>
        <w:t>Joseph Oliker (0086088)</w:t>
      </w:r>
    </w:p>
    <w:p w14:paraId="41D614CF" w14:textId="77777777" w:rsidR="00E32B77" w:rsidRPr="00E32B77" w:rsidRDefault="00E32B77" w:rsidP="00E32B77">
      <w:pPr>
        <w:spacing w:after="0"/>
        <w:ind w:left="5040"/>
        <w:rPr>
          <w:rFonts w:ascii="Arial" w:eastAsia="Calibri" w:hAnsi="Arial" w:cs="Arial"/>
        </w:rPr>
      </w:pPr>
      <w:r w:rsidRPr="00E32B77">
        <w:rPr>
          <w:rFonts w:ascii="Arial" w:eastAsia="Calibri" w:hAnsi="Arial" w:cs="Arial"/>
        </w:rPr>
        <w:t>Counsel of Record</w:t>
      </w:r>
    </w:p>
    <w:p w14:paraId="4CE926EF" w14:textId="77777777" w:rsidR="00E32B77" w:rsidRPr="00E32B77" w:rsidRDefault="0011224C" w:rsidP="00E32B77">
      <w:pPr>
        <w:spacing w:after="0"/>
        <w:ind w:left="5040"/>
        <w:rPr>
          <w:rFonts w:ascii="Arial" w:eastAsia="Calibri" w:hAnsi="Arial" w:cs="Arial"/>
        </w:rPr>
      </w:pPr>
      <w:hyperlink r:id="rId12" w:history="1">
        <w:r w:rsidR="00E32B77" w:rsidRPr="00E32B77">
          <w:rPr>
            <w:rFonts w:ascii="Arial" w:eastAsia="Calibri" w:hAnsi="Arial" w:cs="Arial"/>
          </w:rPr>
          <w:t>joliker@igsenergy.com</w:t>
        </w:r>
      </w:hyperlink>
    </w:p>
    <w:p w14:paraId="27878195" w14:textId="77777777" w:rsidR="00E32B77" w:rsidRPr="00E32B77" w:rsidRDefault="00E32B77" w:rsidP="00E32B77">
      <w:pPr>
        <w:spacing w:after="0"/>
        <w:ind w:left="5040"/>
        <w:rPr>
          <w:rFonts w:ascii="Arial" w:eastAsia="Calibri" w:hAnsi="Arial" w:cs="Arial"/>
        </w:rPr>
      </w:pPr>
      <w:r w:rsidRPr="00E32B77">
        <w:rPr>
          <w:rFonts w:ascii="Arial" w:eastAsia="Calibri" w:hAnsi="Arial" w:cs="Arial"/>
        </w:rPr>
        <w:t>Michael Nugent (0090408)</w:t>
      </w:r>
    </w:p>
    <w:p w14:paraId="1482F40B" w14:textId="77777777" w:rsidR="00E32B77" w:rsidRPr="00E32B77" w:rsidRDefault="00E32B77" w:rsidP="00E32B77">
      <w:pPr>
        <w:spacing w:after="0"/>
        <w:ind w:left="5040"/>
        <w:rPr>
          <w:rFonts w:ascii="Arial" w:eastAsia="Calibri" w:hAnsi="Arial" w:cs="Arial"/>
        </w:rPr>
      </w:pPr>
      <w:r w:rsidRPr="00E32B77">
        <w:rPr>
          <w:rFonts w:ascii="Arial" w:eastAsia="Calibri" w:hAnsi="Arial" w:cs="Arial"/>
        </w:rPr>
        <w:t>mnugent@igsenergy.com</w:t>
      </w:r>
    </w:p>
    <w:p w14:paraId="7ED90556" w14:textId="77777777" w:rsidR="00E32B77" w:rsidRPr="00E32B77" w:rsidRDefault="00E32B77" w:rsidP="00E32B77">
      <w:pPr>
        <w:spacing w:after="0"/>
        <w:ind w:left="5040"/>
        <w:rPr>
          <w:rFonts w:ascii="Arial" w:eastAsia="Calibri" w:hAnsi="Arial" w:cs="Arial"/>
        </w:rPr>
      </w:pPr>
      <w:r w:rsidRPr="00E32B77">
        <w:rPr>
          <w:rFonts w:ascii="Arial" w:eastAsia="Calibri" w:hAnsi="Arial" w:cs="Arial"/>
        </w:rPr>
        <w:t>IGS Energy</w:t>
      </w:r>
    </w:p>
    <w:p w14:paraId="66AEAF0C" w14:textId="77777777" w:rsidR="00E32B77" w:rsidRPr="00E32B77" w:rsidRDefault="00E32B77" w:rsidP="00E32B77">
      <w:pPr>
        <w:spacing w:after="0"/>
        <w:ind w:left="5040"/>
        <w:rPr>
          <w:rFonts w:ascii="Arial" w:eastAsia="Calibri" w:hAnsi="Arial" w:cs="Arial"/>
        </w:rPr>
      </w:pPr>
      <w:r w:rsidRPr="00E32B77">
        <w:rPr>
          <w:rFonts w:ascii="Arial" w:eastAsia="Calibri" w:hAnsi="Arial" w:cs="Arial"/>
        </w:rPr>
        <w:t>6100 Emerald Parkway</w:t>
      </w:r>
    </w:p>
    <w:p w14:paraId="567E5479" w14:textId="77777777" w:rsidR="00E32B77" w:rsidRPr="00E32B77" w:rsidRDefault="00E32B77" w:rsidP="00E32B77">
      <w:pPr>
        <w:spacing w:after="0"/>
        <w:ind w:left="5040"/>
        <w:rPr>
          <w:rFonts w:ascii="Arial" w:eastAsia="Calibri" w:hAnsi="Arial" w:cs="Arial"/>
        </w:rPr>
      </w:pPr>
      <w:r w:rsidRPr="00E32B77">
        <w:rPr>
          <w:rFonts w:ascii="Arial" w:eastAsia="Calibri" w:hAnsi="Arial" w:cs="Arial"/>
        </w:rPr>
        <w:t>Dublin, Ohio 43016</w:t>
      </w:r>
    </w:p>
    <w:p w14:paraId="477B7C20" w14:textId="77777777" w:rsidR="00E32B77" w:rsidRPr="00E32B77" w:rsidRDefault="00E32B77" w:rsidP="00E32B77">
      <w:pPr>
        <w:spacing w:after="0"/>
        <w:ind w:left="5040"/>
        <w:rPr>
          <w:rFonts w:ascii="Arial" w:eastAsia="Calibri" w:hAnsi="Arial" w:cs="Arial"/>
        </w:rPr>
      </w:pPr>
      <w:r w:rsidRPr="00E32B77">
        <w:rPr>
          <w:rFonts w:ascii="Arial" w:eastAsia="Calibri" w:hAnsi="Arial" w:cs="Arial"/>
        </w:rPr>
        <w:t>Telephone:</w:t>
      </w:r>
      <w:r w:rsidRPr="00E32B77">
        <w:rPr>
          <w:rFonts w:ascii="Arial" w:eastAsia="Calibri" w:hAnsi="Arial" w:cs="Arial"/>
        </w:rPr>
        <w:tab/>
        <w:t>(614) 659-5000</w:t>
      </w:r>
    </w:p>
    <w:p w14:paraId="6755AD1E" w14:textId="77777777" w:rsidR="00E32B77" w:rsidRPr="00E32B77" w:rsidRDefault="00E32B77" w:rsidP="00E32B77">
      <w:pPr>
        <w:spacing w:after="0"/>
        <w:ind w:left="5040"/>
        <w:rPr>
          <w:rFonts w:ascii="Arial" w:eastAsia="Calibri" w:hAnsi="Arial" w:cs="Arial"/>
        </w:rPr>
      </w:pPr>
    </w:p>
    <w:p w14:paraId="5CDF3B67" w14:textId="77777777" w:rsidR="00E32B77" w:rsidRPr="00E32B77" w:rsidRDefault="00E32B77" w:rsidP="00E32B77">
      <w:pPr>
        <w:spacing w:after="0"/>
        <w:ind w:left="5040"/>
        <w:rPr>
          <w:rFonts w:ascii="Arial" w:eastAsia="Calibri" w:hAnsi="Arial" w:cs="Arial"/>
          <w:b/>
          <w:i/>
        </w:rPr>
      </w:pPr>
      <w:r w:rsidRPr="00E32B77">
        <w:rPr>
          <w:rFonts w:ascii="Arial" w:eastAsia="Calibri" w:hAnsi="Arial" w:cs="Arial"/>
          <w:b/>
          <w:i/>
        </w:rPr>
        <w:t>Attorneys for IGS Energy</w:t>
      </w:r>
    </w:p>
    <w:p w14:paraId="7AF6C0A5" w14:textId="77777777" w:rsidR="00E32B77" w:rsidRPr="00E32B77" w:rsidRDefault="00E32B77" w:rsidP="00E32B77">
      <w:pPr>
        <w:spacing w:after="0"/>
        <w:ind w:left="5040"/>
        <w:rPr>
          <w:rFonts w:eastAsia="Calibri"/>
        </w:rPr>
      </w:pPr>
    </w:p>
    <w:p w14:paraId="67497F29" w14:textId="77777777" w:rsidR="00E32B77" w:rsidRPr="00E32B77" w:rsidRDefault="00E32B77" w:rsidP="00E32B77">
      <w:pPr>
        <w:spacing w:after="0"/>
        <w:ind w:left="4320" w:firstLine="720"/>
        <w:rPr>
          <w:rFonts w:ascii="Arial" w:eastAsia="Arial" w:hAnsi="Arial" w:cs="Arial"/>
          <w:b/>
          <w:u w:val="single"/>
        </w:rPr>
      </w:pPr>
      <w:r w:rsidRPr="00E32B77">
        <w:rPr>
          <w:rFonts w:ascii="Arial" w:eastAsia="Arial" w:hAnsi="Arial" w:cs="Arial"/>
          <w:b/>
          <w:u w:val="single"/>
        </w:rPr>
        <w:br w:type="page"/>
      </w:r>
    </w:p>
    <w:p w14:paraId="09A0469A" w14:textId="77777777" w:rsidR="00E32B77" w:rsidRPr="00E32B77" w:rsidRDefault="00E32B77" w:rsidP="00E32B77">
      <w:pPr>
        <w:spacing w:after="0"/>
        <w:ind w:left="2160" w:firstLine="720"/>
        <w:rPr>
          <w:rFonts w:ascii="Arial" w:eastAsia="Arial" w:hAnsi="Arial" w:cs="Arial"/>
          <w:b/>
          <w:u w:val="single"/>
        </w:rPr>
      </w:pPr>
      <w:r w:rsidRPr="00E32B77">
        <w:rPr>
          <w:rFonts w:ascii="Arial" w:eastAsia="Arial" w:hAnsi="Arial" w:cs="Arial"/>
          <w:b/>
          <w:u w:val="single"/>
        </w:rPr>
        <w:lastRenderedPageBreak/>
        <w:t>CERTIFICATE OF SERVICE</w:t>
      </w:r>
    </w:p>
    <w:p w14:paraId="64C13B57" w14:textId="77777777" w:rsidR="00E32B77" w:rsidRPr="00E32B77" w:rsidRDefault="00E32B77" w:rsidP="00E32B77">
      <w:pPr>
        <w:spacing w:after="0"/>
        <w:jc w:val="center"/>
        <w:rPr>
          <w:rFonts w:ascii="Arial" w:eastAsia="Arial" w:hAnsi="Arial" w:cs="Arial"/>
          <w:b/>
          <w:u w:val="single"/>
        </w:rPr>
      </w:pPr>
    </w:p>
    <w:p w14:paraId="640E57B0" w14:textId="1409FFE5" w:rsidR="00E32B77" w:rsidRPr="00E32B77" w:rsidRDefault="00E32B77" w:rsidP="00E32B77">
      <w:pPr>
        <w:spacing w:after="0"/>
        <w:jc w:val="both"/>
        <w:rPr>
          <w:rFonts w:ascii="Arial" w:eastAsia="Calibri" w:hAnsi="Arial" w:cs="Arial"/>
        </w:rPr>
      </w:pPr>
      <w:r w:rsidRPr="00E32B77">
        <w:rPr>
          <w:rFonts w:ascii="Arial" w:eastAsia="Arial" w:hAnsi="Arial" w:cs="Arial"/>
        </w:rPr>
        <w:tab/>
      </w:r>
      <w:r w:rsidRPr="00E32B77">
        <w:rPr>
          <w:rFonts w:ascii="Arial" w:eastAsia="Calibri" w:hAnsi="Arial" w:cs="Arial"/>
        </w:rPr>
        <w:t xml:space="preserve">The undersigned hereby certifies that a copy of the foregoing Supplemental Post- Brief of Interstate Gas Supply, Inc. was served this </w:t>
      </w:r>
      <w:r>
        <w:rPr>
          <w:rFonts w:ascii="Arial" w:eastAsia="Calibri" w:hAnsi="Arial" w:cs="Arial"/>
        </w:rPr>
        <w:t>1st</w:t>
      </w:r>
      <w:r w:rsidRPr="00E32B77">
        <w:rPr>
          <w:rFonts w:ascii="Arial" w:eastAsia="Calibri" w:hAnsi="Arial" w:cs="Arial"/>
        </w:rPr>
        <w:t xml:space="preserve"> day of </w:t>
      </w:r>
      <w:r>
        <w:rPr>
          <w:rFonts w:ascii="Arial" w:eastAsia="Calibri" w:hAnsi="Arial" w:cs="Arial"/>
        </w:rPr>
        <w:t>August</w:t>
      </w:r>
      <w:r w:rsidRPr="00E32B77">
        <w:rPr>
          <w:rFonts w:ascii="Arial" w:eastAsia="Calibri" w:hAnsi="Arial" w:cs="Arial"/>
        </w:rPr>
        <w:t xml:space="preserve"> 2019 via electronic mail upon the following:</w:t>
      </w:r>
    </w:p>
    <w:p w14:paraId="1546E809" w14:textId="77777777" w:rsidR="00E32B77" w:rsidRPr="00E32B77" w:rsidRDefault="00E32B77" w:rsidP="00E32B77">
      <w:pPr>
        <w:spacing w:after="0"/>
        <w:jc w:val="both"/>
        <w:rPr>
          <w:rFonts w:ascii="Arial" w:eastAsia="Calibri"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417"/>
      </w:tblGrid>
      <w:tr w:rsidR="00E32B77" w:rsidRPr="00E32B77" w14:paraId="7F46DF8A" w14:textId="77777777" w:rsidTr="009E1575">
        <w:tc>
          <w:tcPr>
            <w:tcW w:w="4943" w:type="dxa"/>
          </w:tcPr>
          <w:p w14:paraId="5C4066BA" w14:textId="77777777" w:rsidR="00E32B77" w:rsidRPr="00E32B77" w:rsidRDefault="0011224C" w:rsidP="00E32B77">
            <w:pPr>
              <w:spacing w:after="0"/>
              <w:rPr>
                <w:rFonts w:ascii="Arial" w:eastAsia="Calibri" w:hAnsi="Arial" w:cs="Arial"/>
              </w:rPr>
            </w:pPr>
            <w:hyperlink r:id="rId13" w:history="1">
              <w:r w:rsidR="00E32B77" w:rsidRPr="00E32B77">
                <w:rPr>
                  <w:rFonts w:ascii="Arial" w:eastAsia="Calibri" w:hAnsi="Arial" w:cs="Arial"/>
                  <w:color w:val="0000FF"/>
                  <w:u w:val="single"/>
                </w:rPr>
                <w:t>djireland@ficlaw.com</w:t>
              </w:r>
            </w:hyperlink>
          </w:p>
          <w:p w14:paraId="2DB1D606" w14:textId="77777777" w:rsidR="00E32B77" w:rsidRPr="00E32B77" w:rsidRDefault="0011224C" w:rsidP="00E32B77">
            <w:pPr>
              <w:spacing w:after="0"/>
              <w:rPr>
                <w:rFonts w:ascii="Arial" w:eastAsia="Calibri" w:hAnsi="Arial" w:cs="Arial"/>
              </w:rPr>
            </w:pPr>
            <w:hyperlink r:id="rId14" w:history="1">
              <w:r w:rsidR="00E32B77" w:rsidRPr="00E32B77">
                <w:rPr>
                  <w:rFonts w:ascii="Arial" w:eastAsia="Calibri" w:hAnsi="Arial" w:cs="Arial"/>
                  <w:color w:val="0000FF"/>
                  <w:u w:val="single"/>
                </w:rPr>
                <w:t>jsharkey@ficlaw.com</w:t>
              </w:r>
            </w:hyperlink>
          </w:p>
          <w:p w14:paraId="1A6C5F9A" w14:textId="77777777" w:rsidR="00E32B77" w:rsidRPr="00E32B77" w:rsidRDefault="0011224C" w:rsidP="00E32B77">
            <w:pPr>
              <w:spacing w:after="0"/>
              <w:rPr>
                <w:rFonts w:ascii="Arial" w:eastAsia="Calibri" w:hAnsi="Arial" w:cs="Arial"/>
                <w:color w:val="0000FF"/>
                <w:u w:val="single"/>
              </w:rPr>
            </w:pPr>
            <w:hyperlink r:id="rId15" w:history="1">
              <w:r w:rsidR="00E32B77" w:rsidRPr="00E32B77">
                <w:rPr>
                  <w:rFonts w:ascii="Arial" w:eastAsia="Calibri" w:hAnsi="Arial" w:cs="Arial"/>
                  <w:color w:val="0000FF"/>
                  <w:u w:val="single"/>
                </w:rPr>
                <w:t>mfleisher@elpc.org</w:t>
              </w:r>
            </w:hyperlink>
          </w:p>
          <w:p w14:paraId="4A9C4BFF" w14:textId="77777777" w:rsidR="00E32B77" w:rsidRPr="00E32B77" w:rsidRDefault="0011224C" w:rsidP="00E32B77">
            <w:pPr>
              <w:spacing w:after="0"/>
              <w:rPr>
                <w:rFonts w:ascii="Arial" w:eastAsia="Calibri" w:hAnsi="Arial" w:cs="Arial"/>
              </w:rPr>
            </w:pPr>
            <w:hyperlink r:id="rId16" w:history="1">
              <w:r w:rsidR="00E32B77" w:rsidRPr="00E32B77">
                <w:rPr>
                  <w:rFonts w:ascii="Arial" w:eastAsia="Calibri" w:hAnsi="Arial" w:cs="Arial"/>
                  <w:color w:val="0000FF"/>
                  <w:u w:val="single"/>
                </w:rPr>
                <w:t>fdarr@mwncmh.com</w:t>
              </w:r>
            </w:hyperlink>
          </w:p>
          <w:p w14:paraId="691C4030" w14:textId="77777777" w:rsidR="00E32B77" w:rsidRPr="00E32B77" w:rsidRDefault="0011224C" w:rsidP="00E32B77">
            <w:pPr>
              <w:spacing w:after="0"/>
              <w:rPr>
                <w:rFonts w:ascii="Arial" w:eastAsia="Calibri" w:hAnsi="Arial" w:cs="Arial"/>
              </w:rPr>
            </w:pPr>
            <w:hyperlink r:id="rId17" w:history="1">
              <w:r w:rsidR="00E32B77" w:rsidRPr="00E32B77">
                <w:rPr>
                  <w:rFonts w:ascii="Arial" w:eastAsia="Calibri" w:hAnsi="Arial" w:cs="Arial"/>
                  <w:color w:val="0000FF"/>
                  <w:u w:val="single"/>
                </w:rPr>
                <w:t>mpritchard@mwncmh.com</w:t>
              </w:r>
            </w:hyperlink>
          </w:p>
          <w:p w14:paraId="7BD7675F" w14:textId="77777777" w:rsidR="00E32B77" w:rsidRPr="00E32B77" w:rsidRDefault="0011224C" w:rsidP="00E32B77">
            <w:pPr>
              <w:spacing w:after="0"/>
              <w:rPr>
                <w:rFonts w:ascii="Arial" w:eastAsia="Calibri" w:hAnsi="Arial" w:cs="Arial"/>
              </w:rPr>
            </w:pPr>
            <w:hyperlink r:id="rId18" w:history="1">
              <w:r w:rsidR="00E32B77" w:rsidRPr="00E32B77">
                <w:rPr>
                  <w:rFonts w:ascii="Arial" w:eastAsia="Calibri" w:hAnsi="Arial" w:cs="Arial"/>
                  <w:color w:val="0000FF"/>
                  <w:u w:val="single"/>
                </w:rPr>
                <w:t>jeffrey.mayes@monitoringanalytics.com</w:t>
              </w:r>
            </w:hyperlink>
          </w:p>
          <w:p w14:paraId="11A5A3F9" w14:textId="77777777" w:rsidR="00E32B77" w:rsidRPr="00E32B77" w:rsidRDefault="0011224C" w:rsidP="00E32B77">
            <w:pPr>
              <w:spacing w:after="0"/>
              <w:rPr>
                <w:rFonts w:ascii="Arial" w:eastAsia="Calibri" w:hAnsi="Arial" w:cs="Arial"/>
              </w:rPr>
            </w:pPr>
            <w:hyperlink r:id="rId19" w:history="1">
              <w:r w:rsidR="00E32B77" w:rsidRPr="00E32B77">
                <w:rPr>
                  <w:rFonts w:ascii="Arial" w:eastAsia="Calibri" w:hAnsi="Arial" w:cs="Arial"/>
                  <w:color w:val="0000FF"/>
                  <w:u w:val="single"/>
                </w:rPr>
                <w:t>evelyn.robinson@pjm.com</w:t>
              </w:r>
            </w:hyperlink>
          </w:p>
          <w:p w14:paraId="1A902FB2" w14:textId="77777777" w:rsidR="00E32B77" w:rsidRPr="00E32B77" w:rsidRDefault="0011224C" w:rsidP="00E32B77">
            <w:pPr>
              <w:spacing w:after="0"/>
              <w:rPr>
                <w:rFonts w:ascii="Arial" w:eastAsia="Calibri" w:hAnsi="Arial" w:cs="Arial"/>
              </w:rPr>
            </w:pPr>
            <w:hyperlink r:id="rId20" w:history="1">
              <w:r w:rsidR="00E32B77" w:rsidRPr="00E32B77">
                <w:rPr>
                  <w:rFonts w:ascii="Arial" w:eastAsia="Calibri" w:hAnsi="Arial" w:cs="Arial"/>
                  <w:color w:val="0000FF"/>
                  <w:u w:val="single"/>
                </w:rPr>
                <w:t>schmidt@sppgrp.com</w:t>
              </w:r>
            </w:hyperlink>
          </w:p>
          <w:p w14:paraId="288287E6" w14:textId="77777777" w:rsidR="00E32B77" w:rsidRPr="00E32B77" w:rsidRDefault="0011224C" w:rsidP="00E32B77">
            <w:pPr>
              <w:spacing w:after="0"/>
              <w:rPr>
                <w:rFonts w:ascii="Arial" w:eastAsia="Calibri" w:hAnsi="Arial" w:cs="Arial"/>
              </w:rPr>
            </w:pPr>
            <w:hyperlink r:id="rId21" w:history="1">
              <w:r w:rsidR="00E32B77" w:rsidRPr="00E32B77">
                <w:rPr>
                  <w:rFonts w:ascii="Arial" w:eastAsia="Calibri" w:hAnsi="Arial" w:cs="Arial"/>
                  <w:color w:val="0000FF"/>
                  <w:u w:val="single"/>
                </w:rPr>
                <w:t>dboehm@BKLlawfirm.com</w:t>
              </w:r>
            </w:hyperlink>
          </w:p>
          <w:p w14:paraId="32A439EE" w14:textId="77777777" w:rsidR="00E32B77" w:rsidRPr="00E32B77" w:rsidRDefault="0011224C" w:rsidP="00E32B77">
            <w:pPr>
              <w:spacing w:after="0"/>
              <w:rPr>
                <w:rFonts w:ascii="Arial" w:eastAsia="Calibri" w:hAnsi="Arial" w:cs="Arial"/>
              </w:rPr>
            </w:pPr>
            <w:hyperlink r:id="rId22" w:history="1">
              <w:r w:rsidR="00E32B77" w:rsidRPr="00E32B77">
                <w:rPr>
                  <w:rFonts w:ascii="Arial" w:eastAsia="Calibri" w:hAnsi="Arial" w:cs="Arial"/>
                  <w:color w:val="0000FF"/>
                  <w:u w:val="single"/>
                </w:rPr>
                <w:t>mkurtz@BKLlawfirm.com</w:t>
              </w:r>
            </w:hyperlink>
          </w:p>
          <w:p w14:paraId="614F1BDA" w14:textId="77777777" w:rsidR="00E32B77" w:rsidRPr="00E32B77" w:rsidRDefault="0011224C" w:rsidP="00E32B77">
            <w:pPr>
              <w:spacing w:after="0"/>
              <w:rPr>
                <w:rFonts w:ascii="Arial" w:eastAsia="Calibri" w:hAnsi="Arial" w:cs="Arial"/>
              </w:rPr>
            </w:pPr>
            <w:hyperlink r:id="rId23" w:history="1">
              <w:r w:rsidR="00E32B77" w:rsidRPr="00E32B77">
                <w:rPr>
                  <w:rFonts w:ascii="Arial" w:eastAsia="Calibri" w:hAnsi="Arial" w:cs="Arial"/>
                  <w:color w:val="0000FF"/>
                  <w:u w:val="single"/>
                </w:rPr>
                <w:t>kboehm@BKLlawfirm.com</w:t>
              </w:r>
            </w:hyperlink>
          </w:p>
          <w:p w14:paraId="32EC6378" w14:textId="77777777" w:rsidR="00E32B77" w:rsidRPr="00E32B77" w:rsidRDefault="0011224C" w:rsidP="00E32B77">
            <w:pPr>
              <w:spacing w:after="0"/>
              <w:rPr>
                <w:rFonts w:ascii="Arial" w:eastAsia="Calibri" w:hAnsi="Arial" w:cs="Arial"/>
              </w:rPr>
            </w:pPr>
            <w:hyperlink r:id="rId24" w:history="1">
              <w:r w:rsidR="00E32B77" w:rsidRPr="00E32B77">
                <w:rPr>
                  <w:rFonts w:ascii="Arial" w:eastAsia="Calibri" w:hAnsi="Arial" w:cs="Arial"/>
                  <w:color w:val="0000FF"/>
                  <w:u w:val="single"/>
                </w:rPr>
                <w:t>jkylercohn@BKLlawfirm.com</w:t>
              </w:r>
            </w:hyperlink>
            <w:r w:rsidR="00E32B77" w:rsidRPr="00E32B77">
              <w:rPr>
                <w:rFonts w:ascii="Arial" w:eastAsia="Calibri" w:hAnsi="Arial" w:cs="Arial"/>
                <w:color w:val="0000FF"/>
                <w:u w:val="single"/>
              </w:rPr>
              <w:t xml:space="preserve"> </w:t>
            </w:r>
          </w:p>
          <w:p w14:paraId="31B0D44D" w14:textId="77777777" w:rsidR="00E32B77" w:rsidRPr="00E32B77" w:rsidRDefault="0011224C" w:rsidP="00E32B77">
            <w:pPr>
              <w:spacing w:after="0"/>
              <w:rPr>
                <w:rFonts w:ascii="Arial" w:eastAsia="Calibri" w:hAnsi="Arial" w:cs="Arial"/>
              </w:rPr>
            </w:pPr>
            <w:hyperlink r:id="rId25" w:history="1">
              <w:r w:rsidR="00E32B77" w:rsidRPr="00E32B77">
                <w:rPr>
                  <w:rFonts w:ascii="Arial" w:eastAsia="Calibri" w:hAnsi="Arial" w:cs="Arial"/>
                  <w:color w:val="0000FF"/>
                  <w:u w:val="single"/>
                </w:rPr>
                <w:t>william.wright@ohioattorneygeneral.gov</w:t>
              </w:r>
            </w:hyperlink>
          </w:p>
          <w:p w14:paraId="67CD626A" w14:textId="77777777" w:rsidR="00E32B77" w:rsidRPr="00E32B77" w:rsidRDefault="0011224C" w:rsidP="00E32B77">
            <w:pPr>
              <w:spacing w:after="0"/>
              <w:rPr>
                <w:rFonts w:ascii="Arial" w:eastAsia="Calibri" w:hAnsi="Arial" w:cs="Arial"/>
              </w:rPr>
            </w:pPr>
            <w:hyperlink r:id="rId26" w:history="1">
              <w:r w:rsidR="00E32B77" w:rsidRPr="00E32B77">
                <w:rPr>
                  <w:rFonts w:ascii="Arial" w:eastAsia="Calibri" w:hAnsi="Arial" w:cs="Arial"/>
                  <w:color w:val="0000FF"/>
                  <w:u w:val="single"/>
                </w:rPr>
                <w:t>Michelle.d.grant@dynegy.com</w:t>
              </w:r>
            </w:hyperlink>
          </w:p>
          <w:p w14:paraId="4D45718C" w14:textId="77777777" w:rsidR="00E32B77" w:rsidRPr="00E32B77" w:rsidRDefault="0011224C" w:rsidP="00E32B77">
            <w:pPr>
              <w:spacing w:after="0"/>
              <w:rPr>
                <w:rFonts w:ascii="Arial" w:eastAsia="Calibri" w:hAnsi="Arial" w:cs="Arial"/>
                <w:color w:val="0000FF"/>
                <w:u w:val="single"/>
              </w:rPr>
            </w:pPr>
            <w:hyperlink r:id="rId27" w:history="1">
              <w:r w:rsidR="00E32B77" w:rsidRPr="00E32B77">
                <w:rPr>
                  <w:rFonts w:ascii="Arial" w:eastAsia="Calibri" w:hAnsi="Arial" w:cs="Arial"/>
                  <w:color w:val="0000FF"/>
                  <w:u w:val="single"/>
                </w:rPr>
                <w:t>rsahli@columbus.rr.com</w:t>
              </w:r>
            </w:hyperlink>
            <w:r w:rsidR="00E32B77" w:rsidRPr="00E32B77">
              <w:rPr>
                <w:rFonts w:ascii="Arial" w:eastAsia="Calibri" w:hAnsi="Arial" w:cs="Arial"/>
              </w:rPr>
              <w:t xml:space="preserve"> </w:t>
            </w:r>
          </w:p>
          <w:p w14:paraId="7C21D70E" w14:textId="77777777" w:rsidR="00E32B77" w:rsidRPr="00E32B77" w:rsidRDefault="0011224C" w:rsidP="00E32B77">
            <w:pPr>
              <w:spacing w:after="0"/>
              <w:rPr>
                <w:rFonts w:ascii="Arial" w:eastAsia="Calibri" w:hAnsi="Arial" w:cs="Arial"/>
              </w:rPr>
            </w:pPr>
            <w:hyperlink r:id="rId28" w:history="1">
              <w:r w:rsidR="00E32B77" w:rsidRPr="00E32B77">
                <w:rPr>
                  <w:rFonts w:ascii="Arial" w:eastAsia="Calibri" w:hAnsi="Arial" w:cs="Arial"/>
                  <w:color w:val="0000FF"/>
                  <w:u w:val="single"/>
                </w:rPr>
                <w:t>slesser@calfee.com</w:t>
              </w:r>
            </w:hyperlink>
          </w:p>
          <w:p w14:paraId="39443410" w14:textId="77777777" w:rsidR="00E32B77" w:rsidRPr="00E32B77" w:rsidRDefault="0011224C" w:rsidP="00E32B77">
            <w:pPr>
              <w:spacing w:after="0"/>
              <w:rPr>
                <w:rFonts w:ascii="Arial" w:eastAsia="Calibri" w:hAnsi="Arial" w:cs="Arial"/>
              </w:rPr>
            </w:pPr>
            <w:hyperlink r:id="rId29" w:history="1">
              <w:r w:rsidR="00E32B77" w:rsidRPr="00E32B77">
                <w:rPr>
                  <w:rFonts w:ascii="Arial" w:eastAsia="Calibri" w:hAnsi="Arial" w:cs="Arial"/>
                  <w:color w:val="0000FF"/>
                  <w:u w:val="single"/>
                </w:rPr>
                <w:t>jlang@calfee.com</w:t>
              </w:r>
            </w:hyperlink>
          </w:p>
          <w:p w14:paraId="088E2CF2" w14:textId="77777777" w:rsidR="00E32B77" w:rsidRPr="00E32B77" w:rsidRDefault="0011224C" w:rsidP="00E32B77">
            <w:pPr>
              <w:spacing w:after="0"/>
              <w:rPr>
                <w:rFonts w:ascii="Arial" w:eastAsia="Calibri" w:hAnsi="Arial" w:cs="Arial"/>
              </w:rPr>
            </w:pPr>
            <w:hyperlink r:id="rId30" w:history="1">
              <w:r w:rsidR="00E32B77" w:rsidRPr="00E32B77">
                <w:rPr>
                  <w:rFonts w:ascii="Arial" w:eastAsia="Calibri" w:hAnsi="Arial" w:cs="Arial"/>
                  <w:color w:val="0000FF"/>
                  <w:u w:val="single"/>
                </w:rPr>
                <w:t>talexander@calfee.com</w:t>
              </w:r>
            </w:hyperlink>
          </w:p>
          <w:p w14:paraId="515EFF4D" w14:textId="77777777" w:rsidR="00E32B77" w:rsidRPr="00E32B77" w:rsidRDefault="0011224C" w:rsidP="00E32B77">
            <w:pPr>
              <w:spacing w:after="0"/>
              <w:rPr>
                <w:rFonts w:ascii="Arial" w:eastAsia="Calibri" w:hAnsi="Arial" w:cs="Arial"/>
              </w:rPr>
            </w:pPr>
            <w:hyperlink r:id="rId31" w:history="1">
              <w:r w:rsidR="00E32B77" w:rsidRPr="00E32B77">
                <w:rPr>
                  <w:rFonts w:ascii="Arial" w:eastAsia="Calibri" w:hAnsi="Arial" w:cs="Arial"/>
                  <w:color w:val="0000FF"/>
                  <w:u w:val="single"/>
                </w:rPr>
                <w:t>lhawrot@spilmanlaw.com</w:t>
              </w:r>
            </w:hyperlink>
          </w:p>
          <w:p w14:paraId="44752070" w14:textId="77777777" w:rsidR="00E32B77" w:rsidRPr="00E32B77" w:rsidRDefault="0011224C" w:rsidP="00E32B77">
            <w:pPr>
              <w:spacing w:after="0"/>
              <w:rPr>
                <w:rFonts w:ascii="Arial" w:eastAsia="Calibri" w:hAnsi="Arial" w:cs="Arial"/>
              </w:rPr>
            </w:pPr>
            <w:hyperlink r:id="rId32" w:history="1">
              <w:r w:rsidR="00E32B77" w:rsidRPr="00E32B77">
                <w:rPr>
                  <w:rFonts w:ascii="Arial" w:eastAsia="Calibri" w:hAnsi="Arial" w:cs="Arial"/>
                  <w:color w:val="0000FF"/>
                  <w:u w:val="single"/>
                </w:rPr>
                <w:t>dwilliamson@spilmanlaw.com</w:t>
              </w:r>
            </w:hyperlink>
          </w:p>
          <w:p w14:paraId="5C6A3F01" w14:textId="77777777" w:rsidR="00E32B77" w:rsidRPr="00E32B77" w:rsidRDefault="0011224C" w:rsidP="00E32B77">
            <w:pPr>
              <w:spacing w:after="0"/>
              <w:rPr>
                <w:rFonts w:ascii="Arial" w:eastAsia="Calibri" w:hAnsi="Arial" w:cs="Arial"/>
              </w:rPr>
            </w:pPr>
            <w:hyperlink r:id="rId33" w:history="1">
              <w:r w:rsidR="00E32B77" w:rsidRPr="00E32B77">
                <w:rPr>
                  <w:rFonts w:ascii="Arial" w:eastAsia="Calibri" w:hAnsi="Arial" w:cs="Arial"/>
                  <w:color w:val="0000FF"/>
                  <w:u w:val="single"/>
                </w:rPr>
                <w:t>charris@spilmanlaw.com</w:t>
              </w:r>
            </w:hyperlink>
          </w:p>
          <w:p w14:paraId="72FFECCA" w14:textId="77777777" w:rsidR="00E32B77" w:rsidRPr="00E32B77" w:rsidRDefault="0011224C" w:rsidP="00E32B77">
            <w:pPr>
              <w:spacing w:after="0"/>
              <w:rPr>
                <w:rFonts w:ascii="Arial" w:eastAsia="Calibri" w:hAnsi="Arial" w:cs="Arial"/>
              </w:rPr>
            </w:pPr>
            <w:hyperlink r:id="rId34" w:history="1">
              <w:r w:rsidR="00E32B77" w:rsidRPr="00E32B77">
                <w:rPr>
                  <w:rFonts w:ascii="Arial" w:eastAsia="Calibri" w:hAnsi="Arial" w:cs="Arial"/>
                  <w:color w:val="0000FF"/>
                  <w:u w:val="single"/>
                </w:rPr>
                <w:t>gthomas@gtpowergroup.com</w:t>
              </w:r>
            </w:hyperlink>
          </w:p>
          <w:p w14:paraId="5F2C0302" w14:textId="77777777" w:rsidR="00E32B77" w:rsidRPr="00E32B77" w:rsidRDefault="0011224C" w:rsidP="00E32B77">
            <w:pPr>
              <w:spacing w:after="0"/>
              <w:rPr>
                <w:rFonts w:ascii="Arial" w:eastAsia="Calibri" w:hAnsi="Arial" w:cs="Arial"/>
              </w:rPr>
            </w:pPr>
            <w:hyperlink r:id="rId35" w:history="1">
              <w:r w:rsidR="00E32B77" w:rsidRPr="00E32B77">
                <w:rPr>
                  <w:rFonts w:ascii="Arial" w:eastAsia="Calibri" w:hAnsi="Arial" w:cs="Arial"/>
                  <w:color w:val="0000FF"/>
                  <w:u w:val="single"/>
                </w:rPr>
                <w:t>laurac@chappelleconsulting.net</w:t>
              </w:r>
            </w:hyperlink>
          </w:p>
          <w:p w14:paraId="367C46DC" w14:textId="77777777" w:rsidR="00E32B77" w:rsidRPr="00E32B77" w:rsidRDefault="0011224C" w:rsidP="00E32B77">
            <w:pPr>
              <w:spacing w:after="0"/>
              <w:rPr>
                <w:rFonts w:ascii="Arial" w:eastAsia="Calibri" w:hAnsi="Arial" w:cs="Arial"/>
              </w:rPr>
            </w:pPr>
            <w:hyperlink r:id="rId36" w:history="1">
              <w:r w:rsidR="00E32B77" w:rsidRPr="00E32B77">
                <w:rPr>
                  <w:rFonts w:ascii="Arial" w:eastAsia="Calibri" w:hAnsi="Arial" w:cs="Arial"/>
                  <w:color w:val="0000FF"/>
                  <w:u w:val="single"/>
                </w:rPr>
                <w:t>stheodore@epsa.org</w:t>
              </w:r>
            </w:hyperlink>
          </w:p>
          <w:p w14:paraId="58B7254F" w14:textId="77777777" w:rsidR="00E32B77" w:rsidRPr="00E32B77" w:rsidRDefault="0011224C" w:rsidP="00E32B77">
            <w:pPr>
              <w:spacing w:after="0"/>
              <w:rPr>
                <w:rFonts w:ascii="Arial" w:eastAsia="Calibri" w:hAnsi="Arial" w:cs="Arial"/>
              </w:rPr>
            </w:pPr>
            <w:hyperlink r:id="rId37" w:history="1">
              <w:r w:rsidR="00E32B77" w:rsidRPr="00E32B77">
                <w:rPr>
                  <w:rFonts w:ascii="Arial" w:eastAsia="Calibri" w:hAnsi="Arial" w:cs="Arial"/>
                  <w:color w:val="0000FF"/>
                  <w:u w:val="single"/>
                </w:rPr>
                <w:t>todonnell@dickinsonwright.com</w:t>
              </w:r>
            </w:hyperlink>
          </w:p>
          <w:p w14:paraId="051F3B2B" w14:textId="77777777" w:rsidR="00E32B77" w:rsidRPr="00E32B77" w:rsidRDefault="0011224C" w:rsidP="00E32B77">
            <w:pPr>
              <w:spacing w:after="0"/>
              <w:rPr>
                <w:rFonts w:ascii="Arial" w:eastAsia="Calibri" w:hAnsi="Arial" w:cs="Arial"/>
              </w:rPr>
            </w:pPr>
            <w:hyperlink r:id="rId38" w:history="1">
              <w:r w:rsidR="00E32B77" w:rsidRPr="00E32B77">
                <w:rPr>
                  <w:rFonts w:ascii="Arial" w:eastAsia="Calibri" w:hAnsi="Arial" w:cs="Arial"/>
                  <w:color w:val="0000FF"/>
                  <w:u w:val="single"/>
                </w:rPr>
                <w:t>rseiler@dickinsonwright.com</w:t>
              </w:r>
            </w:hyperlink>
          </w:p>
          <w:p w14:paraId="1A2D9094" w14:textId="77777777" w:rsidR="00E32B77" w:rsidRPr="00E32B77" w:rsidRDefault="0011224C" w:rsidP="00E32B77">
            <w:pPr>
              <w:spacing w:after="0"/>
              <w:rPr>
                <w:rFonts w:ascii="Arial" w:eastAsia="Calibri" w:hAnsi="Arial" w:cs="Arial"/>
              </w:rPr>
            </w:pPr>
            <w:hyperlink r:id="rId39" w:history="1">
              <w:r w:rsidR="00E32B77" w:rsidRPr="00E32B77">
                <w:rPr>
                  <w:rFonts w:ascii="Arial" w:eastAsia="Calibri" w:hAnsi="Arial" w:cs="Arial"/>
                  <w:color w:val="0000FF"/>
                  <w:u w:val="single"/>
                </w:rPr>
                <w:t>jeanne.kingery@duke-energy.com</w:t>
              </w:r>
            </w:hyperlink>
            <w:r w:rsidR="00E32B77" w:rsidRPr="00E32B77">
              <w:rPr>
                <w:rFonts w:ascii="Arial" w:eastAsia="Calibri" w:hAnsi="Arial" w:cs="Arial"/>
              </w:rPr>
              <w:t xml:space="preserve"> </w:t>
            </w:r>
          </w:p>
          <w:p w14:paraId="61103AD5" w14:textId="77777777" w:rsidR="00E32B77" w:rsidRPr="00E32B77" w:rsidRDefault="0011224C" w:rsidP="00E32B77">
            <w:pPr>
              <w:spacing w:after="0"/>
              <w:rPr>
                <w:rFonts w:ascii="Arial" w:eastAsia="Calibri" w:hAnsi="Arial" w:cs="Arial"/>
              </w:rPr>
            </w:pPr>
            <w:hyperlink r:id="rId40" w:history="1">
              <w:r w:rsidR="00E32B77" w:rsidRPr="00E32B77">
                <w:rPr>
                  <w:rFonts w:ascii="Arial" w:eastAsia="Calibri" w:hAnsi="Arial" w:cs="Arial"/>
                  <w:color w:val="0000FF"/>
                  <w:u w:val="single"/>
                </w:rPr>
                <w:t>kristin.henry@sierraclub.org</w:t>
              </w:r>
            </w:hyperlink>
            <w:r w:rsidR="00E32B77" w:rsidRPr="00E32B77">
              <w:rPr>
                <w:rFonts w:ascii="Arial" w:eastAsia="Calibri" w:hAnsi="Arial" w:cs="Arial"/>
              </w:rPr>
              <w:t xml:space="preserve"> </w:t>
            </w:r>
          </w:p>
          <w:p w14:paraId="46ADD8A4" w14:textId="77777777" w:rsidR="00E32B77" w:rsidRPr="00E32B77" w:rsidRDefault="0011224C" w:rsidP="00E32B77">
            <w:pPr>
              <w:spacing w:after="0"/>
              <w:rPr>
                <w:rFonts w:ascii="Arial" w:eastAsia="Calibri" w:hAnsi="Arial" w:cs="Arial"/>
              </w:rPr>
            </w:pPr>
            <w:hyperlink r:id="rId41" w:history="1">
              <w:r w:rsidR="00E32B77" w:rsidRPr="00E32B77">
                <w:rPr>
                  <w:rFonts w:ascii="Arial" w:eastAsia="Calibri" w:hAnsi="Arial" w:cs="Arial"/>
                  <w:color w:val="0000FF"/>
                  <w:u w:val="single"/>
                </w:rPr>
                <w:t>thomas.mcnamee@ohioattorneygeneral.gov</w:t>
              </w:r>
            </w:hyperlink>
          </w:p>
        </w:tc>
        <w:tc>
          <w:tcPr>
            <w:tcW w:w="4417" w:type="dxa"/>
          </w:tcPr>
          <w:p w14:paraId="165CEE90" w14:textId="77777777" w:rsidR="00E32B77" w:rsidRPr="00E32B77" w:rsidRDefault="0011224C" w:rsidP="00E32B77">
            <w:pPr>
              <w:spacing w:after="0"/>
              <w:rPr>
                <w:rFonts w:ascii="Arial" w:eastAsia="Calibri" w:hAnsi="Arial" w:cs="Arial"/>
                <w:color w:val="0000FF"/>
                <w:u w:val="single"/>
              </w:rPr>
            </w:pPr>
            <w:hyperlink r:id="rId42" w:history="1">
              <w:r w:rsidR="00E32B77" w:rsidRPr="00E32B77">
                <w:rPr>
                  <w:rFonts w:ascii="Arial" w:eastAsia="Calibri" w:hAnsi="Arial" w:cs="Arial"/>
                  <w:color w:val="0000FF"/>
                  <w:u w:val="single"/>
                </w:rPr>
                <w:t>joliker@igsenergy.com</w:t>
              </w:r>
            </w:hyperlink>
          </w:p>
          <w:p w14:paraId="0638BBC5" w14:textId="77777777" w:rsidR="00E32B77" w:rsidRPr="00E32B77" w:rsidRDefault="0011224C" w:rsidP="00E32B77">
            <w:pPr>
              <w:spacing w:after="0"/>
              <w:rPr>
                <w:rFonts w:ascii="Arial" w:eastAsia="Calibri" w:hAnsi="Arial" w:cs="Arial"/>
              </w:rPr>
            </w:pPr>
            <w:hyperlink r:id="rId43" w:history="1">
              <w:r w:rsidR="00E32B77" w:rsidRPr="00E32B77">
                <w:rPr>
                  <w:rFonts w:ascii="Arial" w:eastAsia="Calibri" w:hAnsi="Arial" w:cs="Arial"/>
                  <w:color w:val="0000FF"/>
                  <w:u w:val="single"/>
                </w:rPr>
                <w:t>bojko@carpenterlipps.com</w:t>
              </w:r>
            </w:hyperlink>
            <w:r w:rsidR="00E32B77" w:rsidRPr="00E32B77">
              <w:rPr>
                <w:rFonts w:ascii="Arial" w:eastAsia="Calibri" w:hAnsi="Arial" w:cs="Arial"/>
              </w:rPr>
              <w:t xml:space="preserve"> </w:t>
            </w:r>
          </w:p>
          <w:p w14:paraId="4988238C" w14:textId="77777777" w:rsidR="00E32B77" w:rsidRPr="00E32B77" w:rsidRDefault="0011224C" w:rsidP="00E32B77">
            <w:pPr>
              <w:spacing w:after="0"/>
              <w:rPr>
                <w:rFonts w:ascii="Arial" w:eastAsia="Calibri" w:hAnsi="Arial" w:cs="Arial"/>
              </w:rPr>
            </w:pPr>
            <w:hyperlink r:id="rId44" w:history="1">
              <w:r w:rsidR="00E32B77" w:rsidRPr="00E32B77">
                <w:rPr>
                  <w:rFonts w:ascii="Arial" w:eastAsia="Calibri" w:hAnsi="Arial" w:cs="Arial"/>
                  <w:color w:val="0000FF"/>
                  <w:u w:val="single"/>
                </w:rPr>
                <w:t>ghiloni@carpenterlipps.com</w:t>
              </w:r>
            </w:hyperlink>
            <w:r w:rsidR="00E32B77" w:rsidRPr="00E32B77">
              <w:rPr>
                <w:rFonts w:ascii="Arial" w:eastAsia="Calibri" w:hAnsi="Arial" w:cs="Arial"/>
              </w:rPr>
              <w:t xml:space="preserve"> </w:t>
            </w:r>
          </w:p>
          <w:p w14:paraId="06C8876E" w14:textId="77777777" w:rsidR="00E32B77" w:rsidRPr="00E32B77" w:rsidRDefault="0011224C" w:rsidP="00E32B77">
            <w:pPr>
              <w:spacing w:after="0"/>
              <w:rPr>
                <w:rFonts w:ascii="Arial" w:eastAsia="Calibri" w:hAnsi="Arial" w:cs="Arial"/>
              </w:rPr>
            </w:pPr>
            <w:hyperlink r:id="rId45" w:history="1">
              <w:r w:rsidR="00E32B77" w:rsidRPr="00E32B77">
                <w:rPr>
                  <w:rFonts w:ascii="Arial" w:eastAsia="Calibri" w:hAnsi="Arial" w:cs="Arial"/>
                  <w:color w:val="0000FF"/>
                  <w:u w:val="single"/>
                </w:rPr>
                <w:t>mjsettineri@vorys.com</w:t>
              </w:r>
            </w:hyperlink>
            <w:r w:rsidR="00E32B77" w:rsidRPr="00E32B77">
              <w:rPr>
                <w:rFonts w:ascii="Arial" w:eastAsia="Calibri" w:hAnsi="Arial" w:cs="Arial"/>
              </w:rPr>
              <w:t xml:space="preserve"> </w:t>
            </w:r>
          </w:p>
          <w:p w14:paraId="56004B12" w14:textId="77777777" w:rsidR="00E32B77" w:rsidRPr="00E32B77" w:rsidRDefault="0011224C" w:rsidP="00E32B77">
            <w:pPr>
              <w:autoSpaceDE w:val="0"/>
              <w:autoSpaceDN w:val="0"/>
              <w:adjustRightInd w:val="0"/>
              <w:spacing w:after="0"/>
              <w:rPr>
                <w:rFonts w:ascii="Arial" w:eastAsia="Calibri" w:hAnsi="Arial" w:cs="Arial"/>
              </w:rPr>
            </w:pPr>
            <w:hyperlink r:id="rId46" w:history="1">
              <w:r w:rsidR="00E32B77" w:rsidRPr="00E32B77">
                <w:rPr>
                  <w:rFonts w:ascii="Arial" w:eastAsia="Calibri" w:hAnsi="Arial" w:cs="Arial"/>
                  <w:color w:val="0000FF"/>
                  <w:u w:val="single"/>
                </w:rPr>
                <w:t>smhoward@vorys.com</w:t>
              </w:r>
            </w:hyperlink>
            <w:r w:rsidR="00E32B77" w:rsidRPr="00E32B77">
              <w:rPr>
                <w:rFonts w:ascii="Arial" w:eastAsia="Calibri" w:hAnsi="Arial" w:cs="Arial"/>
              </w:rPr>
              <w:t xml:space="preserve"> </w:t>
            </w:r>
          </w:p>
          <w:p w14:paraId="644CCFA6" w14:textId="77777777" w:rsidR="00E32B77" w:rsidRPr="00E32B77" w:rsidRDefault="0011224C" w:rsidP="00E32B77">
            <w:pPr>
              <w:autoSpaceDE w:val="0"/>
              <w:autoSpaceDN w:val="0"/>
              <w:adjustRightInd w:val="0"/>
              <w:spacing w:after="0"/>
              <w:rPr>
                <w:rFonts w:ascii="Arial" w:eastAsia="Calibri" w:hAnsi="Arial" w:cs="Arial"/>
              </w:rPr>
            </w:pPr>
            <w:hyperlink r:id="rId47" w:history="1">
              <w:r w:rsidR="00E32B77" w:rsidRPr="00E32B77">
                <w:rPr>
                  <w:rFonts w:ascii="Arial" w:eastAsia="Calibri" w:hAnsi="Arial" w:cs="Arial"/>
                  <w:color w:val="0000FF"/>
                  <w:u w:val="single"/>
                </w:rPr>
                <w:t>glpetrucci@vorys.com</w:t>
              </w:r>
            </w:hyperlink>
            <w:r w:rsidR="00E32B77" w:rsidRPr="00E32B77">
              <w:rPr>
                <w:rFonts w:ascii="Arial" w:eastAsia="Calibri" w:hAnsi="Arial" w:cs="Arial"/>
              </w:rPr>
              <w:t xml:space="preserve"> </w:t>
            </w:r>
          </w:p>
          <w:p w14:paraId="71C6F289" w14:textId="77777777" w:rsidR="00E32B77" w:rsidRPr="00E32B77" w:rsidRDefault="0011224C" w:rsidP="00E32B77">
            <w:pPr>
              <w:spacing w:after="0"/>
              <w:rPr>
                <w:rFonts w:ascii="Arial" w:eastAsia="Calibri" w:hAnsi="Arial" w:cs="Arial"/>
                <w:color w:val="0000FF"/>
                <w:u w:val="single"/>
              </w:rPr>
            </w:pPr>
            <w:hyperlink r:id="rId48" w:history="1">
              <w:r w:rsidR="00E32B77" w:rsidRPr="00E32B77">
                <w:rPr>
                  <w:rFonts w:ascii="Arial" w:eastAsia="Calibri" w:hAnsi="Arial" w:cs="Arial"/>
                  <w:color w:val="0000FF"/>
                  <w:u w:val="single"/>
                </w:rPr>
                <w:t>ibatikov@vorys.com</w:t>
              </w:r>
            </w:hyperlink>
          </w:p>
          <w:p w14:paraId="78536CCC" w14:textId="77777777" w:rsidR="00E32B77" w:rsidRPr="00E32B77" w:rsidRDefault="00E32B77" w:rsidP="00E32B77">
            <w:pPr>
              <w:spacing w:after="0"/>
              <w:rPr>
                <w:rFonts w:ascii="Arial" w:eastAsia="Calibri" w:hAnsi="Arial" w:cs="Arial"/>
              </w:rPr>
            </w:pPr>
            <w:r w:rsidRPr="00E32B77">
              <w:rPr>
                <w:rFonts w:ascii="Arial" w:eastAsia="Calibri" w:hAnsi="Arial" w:cs="Arial"/>
                <w:color w:val="0000FF"/>
                <w:u w:val="single"/>
              </w:rPr>
              <w:t xml:space="preserve">wasieck@vorys.com </w:t>
            </w:r>
          </w:p>
          <w:p w14:paraId="3381D834" w14:textId="77777777" w:rsidR="00E32B77" w:rsidRPr="00E32B77" w:rsidRDefault="0011224C" w:rsidP="00E32B77">
            <w:pPr>
              <w:spacing w:after="0"/>
              <w:rPr>
                <w:rFonts w:ascii="Arial" w:eastAsia="Calibri" w:hAnsi="Arial" w:cs="Arial"/>
              </w:rPr>
            </w:pPr>
            <w:hyperlink r:id="rId49" w:history="1">
              <w:r w:rsidR="00E32B77" w:rsidRPr="00E32B77">
                <w:rPr>
                  <w:rFonts w:ascii="Arial" w:eastAsia="Calibri" w:hAnsi="Arial" w:cs="Arial"/>
                  <w:color w:val="0000FF"/>
                  <w:u w:val="single"/>
                </w:rPr>
                <w:t>william.michael@occ.ohio.gov</w:t>
              </w:r>
            </w:hyperlink>
            <w:r w:rsidR="00E32B77" w:rsidRPr="00E32B77">
              <w:rPr>
                <w:rFonts w:ascii="Arial" w:eastAsia="Calibri" w:hAnsi="Arial" w:cs="Arial"/>
                <w:color w:val="0000FF"/>
              </w:rPr>
              <w:t xml:space="preserve"> </w:t>
            </w:r>
          </w:p>
          <w:p w14:paraId="175013BE" w14:textId="77777777" w:rsidR="00E32B77" w:rsidRPr="00E32B77" w:rsidRDefault="0011224C" w:rsidP="00E32B77">
            <w:pPr>
              <w:spacing w:after="0"/>
              <w:rPr>
                <w:rFonts w:ascii="Arial" w:eastAsia="Calibri" w:hAnsi="Arial" w:cs="Arial"/>
              </w:rPr>
            </w:pPr>
            <w:hyperlink r:id="rId50" w:history="1">
              <w:r w:rsidR="00E32B77" w:rsidRPr="00E32B77">
                <w:rPr>
                  <w:rFonts w:ascii="Arial" w:eastAsia="Calibri" w:hAnsi="Arial" w:cs="Arial"/>
                  <w:color w:val="0000FF"/>
                  <w:u w:val="single"/>
                </w:rPr>
                <w:t>kevin.moore@occ.ohio.gov</w:t>
              </w:r>
            </w:hyperlink>
          </w:p>
          <w:p w14:paraId="7612131F" w14:textId="77777777" w:rsidR="00E32B77" w:rsidRPr="00E32B77" w:rsidRDefault="0011224C" w:rsidP="00E32B77">
            <w:pPr>
              <w:spacing w:after="0"/>
              <w:rPr>
                <w:rFonts w:ascii="Arial" w:eastAsia="Calibri" w:hAnsi="Arial" w:cs="Arial"/>
              </w:rPr>
            </w:pPr>
            <w:hyperlink r:id="rId51" w:history="1">
              <w:r w:rsidR="00E32B77" w:rsidRPr="00E32B77">
                <w:rPr>
                  <w:rFonts w:ascii="Arial" w:eastAsia="Calibri" w:hAnsi="Arial" w:cs="Arial"/>
                  <w:color w:val="0000FF"/>
                  <w:u w:val="single"/>
                </w:rPr>
                <w:t>mdortch@kravitzllc.com</w:t>
              </w:r>
            </w:hyperlink>
          </w:p>
          <w:p w14:paraId="2E7487D2" w14:textId="77777777" w:rsidR="00E32B77" w:rsidRPr="00E32B77" w:rsidRDefault="0011224C" w:rsidP="00E32B77">
            <w:pPr>
              <w:spacing w:after="0"/>
              <w:rPr>
                <w:rFonts w:ascii="Arial" w:eastAsia="Calibri" w:hAnsi="Arial" w:cs="Arial"/>
              </w:rPr>
            </w:pPr>
            <w:hyperlink r:id="rId52" w:history="1">
              <w:r w:rsidR="00E32B77" w:rsidRPr="00E32B77">
                <w:rPr>
                  <w:rFonts w:ascii="Arial" w:eastAsia="Calibri" w:hAnsi="Arial" w:cs="Arial"/>
                  <w:color w:val="0000FF"/>
                  <w:u w:val="single"/>
                </w:rPr>
                <w:t>tdougherty@theOEC.org</w:t>
              </w:r>
            </w:hyperlink>
          </w:p>
          <w:p w14:paraId="478B4AFF" w14:textId="77777777" w:rsidR="00E32B77" w:rsidRPr="00E32B77" w:rsidRDefault="0011224C" w:rsidP="00E32B77">
            <w:pPr>
              <w:spacing w:after="0"/>
              <w:rPr>
                <w:rFonts w:ascii="Arial" w:eastAsia="Calibri" w:hAnsi="Arial" w:cs="Arial"/>
              </w:rPr>
            </w:pPr>
            <w:hyperlink r:id="rId53" w:history="1">
              <w:r w:rsidR="00E32B77" w:rsidRPr="00E32B77">
                <w:rPr>
                  <w:rFonts w:ascii="Arial" w:eastAsia="Calibri" w:hAnsi="Arial" w:cs="Arial"/>
                  <w:color w:val="0000FF"/>
                  <w:u w:val="single"/>
                </w:rPr>
                <w:t>cmooney@ohiopartners.org</w:t>
              </w:r>
            </w:hyperlink>
          </w:p>
          <w:p w14:paraId="45C8EBF5" w14:textId="77777777" w:rsidR="00E32B77" w:rsidRPr="00E32B77" w:rsidRDefault="0011224C" w:rsidP="00E32B77">
            <w:pPr>
              <w:spacing w:after="0"/>
              <w:rPr>
                <w:rFonts w:ascii="Arial" w:eastAsia="Calibri" w:hAnsi="Arial" w:cs="Arial"/>
              </w:rPr>
            </w:pPr>
            <w:hyperlink r:id="rId54" w:history="1">
              <w:r w:rsidR="00E32B77" w:rsidRPr="00E32B77">
                <w:rPr>
                  <w:rFonts w:ascii="Arial" w:eastAsia="Calibri" w:hAnsi="Arial" w:cs="Arial"/>
                  <w:color w:val="0000FF"/>
                  <w:u w:val="single"/>
                </w:rPr>
                <w:t>sechler@carpenterlipps.com</w:t>
              </w:r>
            </w:hyperlink>
          </w:p>
          <w:p w14:paraId="4810EF3E" w14:textId="77777777" w:rsidR="00E32B77" w:rsidRPr="00E32B77" w:rsidRDefault="0011224C" w:rsidP="00E32B77">
            <w:pPr>
              <w:spacing w:after="0"/>
              <w:rPr>
                <w:rFonts w:ascii="Arial" w:eastAsia="Calibri" w:hAnsi="Arial" w:cs="Arial"/>
              </w:rPr>
            </w:pPr>
            <w:hyperlink r:id="rId55" w:history="1">
              <w:r w:rsidR="00E32B77" w:rsidRPr="00E32B77">
                <w:rPr>
                  <w:rFonts w:ascii="Arial" w:eastAsia="Calibri" w:hAnsi="Arial" w:cs="Arial"/>
                  <w:color w:val="0000FF"/>
                  <w:u w:val="single"/>
                </w:rPr>
                <w:t>gpoulos@enernoc.com</w:t>
              </w:r>
            </w:hyperlink>
            <w:r w:rsidR="00E32B77" w:rsidRPr="00E32B77">
              <w:rPr>
                <w:rFonts w:ascii="Arial" w:eastAsia="Calibri" w:hAnsi="Arial" w:cs="Arial"/>
              </w:rPr>
              <w:t xml:space="preserve"> </w:t>
            </w:r>
          </w:p>
          <w:p w14:paraId="4CB7042D" w14:textId="7F7B3ADC" w:rsidR="00E32B77" w:rsidRPr="00E32B77" w:rsidRDefault="0011224C" w:rsidP="00E32B77">
            <w:pPr>
              <w:spacing w:after="0"/>
              <w:rPr>
                <w:rFonts w:ascii="Arial" w:eastAsia="Calibri" w:hAnsi="Arial" w:cs="Arial"/>
              </w:rPr>
            </w:pPr>
            <w:hyperlink r:id="rId56" w:history="1">
              <w:r w:rsidR="00E32B77" w:rsidRPr="00E32B77">
                <w:rPr>
                  <w:rFonts w:ascii="Arial" w:eastAsia="Calibri" w:hAnsi="Arial" w:cs="Arial"/>
                  <w:color w:val="0000FF"/>
                  <w:u w:val="single"/>
                </w:rPr>
                <w:t>rick.sites@ohiohospitals.org</w:t>
              </w:r>
            </w:hyperlink>
          </w:p>
          <w:p w14:paraId="24280658" w14:textId="77777777" w:rsidR="00E32B77" w:rsidRPr="00E32B77" w:rsidRDefault="0011224C" w:rsidP="00E32B77">
            <w:pPr>
              <w:spacing w:after="0"/>
              <w:rPr>
                <w:rFonts w:ascii="Arial" w:eastAsia="Calibri" w:hAnsi="Arial" w:cs="Arial"/>
              </w:rPr>
            </w:pPr>
            <w:hyperlink r:id="rId57" w:history="1">
              <w:r w:rsidR="00E32B77" w:rsidRPr="00E32B77">
                <w:rPr>
                  <w:rFonts w:ascii="Arial" w:eastAsia="Calibri" w:hAnsi="Arial" w:cs="Arial"/>
                  <w:color w:val="0000FF"/>
                  <w:u w:val="single"/>
                </w:rPr>
                <w:t>elizabeth.watts@duke-energy.com</w:t>
              </w:r>
            </w:hyperlink>
          </w:p>
          <w:p w14:paraId="2E882933" w14:textId="77777777" w:rsidR="00E32B77" w:rsidRPr="00E32B77" w:rsidRDefault="0011224C" w:rsidP="00E32B77">
            <w:pPr>
              <w:spacing w:after="0"/>
              <w:rPr>
                <w:rFonts w:ascii="Arial" w:eastAsia="Calibri" w:hAnsi="Arial" w:cs="Arial"/>
              </w:rPr>
            </w:pPr>
            <w:hyperlink r:id="rId58" w:history="1">
              <w:r w:rsidR="00E32B77" w:rsidRPr="00E32B77">
                <w:rPr>
                  <w:rFonts w:ascii="Arial" w:eastAsia="Calibri" w:hAnsi="Arial" w:cs="Arial"/>
                  <w:color w:val="0000FF"/>
                  <w:u w:val="single"/>
                </w:rPr>
                <w:t>stephen.chriss@walmart.com</w:t>
              </w:r>
            </w:hyperlink>
          </w:p>
          <w:p w14:paraId="38A14B17" w14:textId="77777777" w:rsidR="00E32B77" w:rsidRPr="00E32B77" w:rsidRDefault="0011224C" w:rsidP="00E32B77">
            <w:pPr>
              <w:spacing w:after="0"/>
              <w:rPr>
                <w:rFonts w:ascii="Arial" w:eastAsia="Calibri" w:hAnsi="Arial" w:cs="Arial"/>
              </w:rPr>
            </w:pPr>
            <w:hyperlink r:id="rId59" w:history="1">
              <w:r w:rsidR="00E32B77" w:rsidRPr="00E32B77">
                <w:rPr>
                  <w:rFonts w:ascii="Arial" w:eastAsia="Calibri" w:hAnsi="Arial" w:cs="Arial"/>
                  <w:color w:val="0000FF"/>
                  <w:u w:val="single"/>
                </w:rPr>
                <w:t>greg.tillman@walmart.com</w:t>
              </w:r>
            </w:hyperlink>
          </w:p>
          <w:p w14:paraId="1ECA88B9" w14:textId="77777777" w:rsidR="00E32B77" w:rsidRPr="00E32B77" w:rsidRDefault="0011224C" w:rsidP="00E32B77">
            <w:pPr>
              <w:spacing w:after="0"/>
              <w:ind w:right="-36"/>
              <w:rPr>
                <w:rFonts w:ascii="Arial" w:eastAsia="Calibri" w:hAnsi="Arial" w:cs="Arial"/>
              </w:rPr>
            </w:pPr>
            <w:hyperlink r:id="rId60" w:history="1">
              <w:r w:rsidR="00E32B77" w:rsidRPr="00E32B77">
                <w:rPr>
                  <w:rFonts w:ascii="Arial" w:eastAsia="Calibri" w:hAnsi="Arial" w:cs="Arial"/>
                  <w:color w:val="0000FF"/>
                  <w:u w:val="single"/>
                </w:rPr>
                <w:t>mwarnock@bricker.com</w:t>
              </w:r>
            </w:hyperlink>
          </w:p>
          <w:p w14:paraId="5AEBF31A" w14:textId="77777777" w:rsidR="00E32B77" w:rsidRPr="00E32B77" w:rsidRDefault="0011224C" w:rsidP="00E32B77">
            <w:pPr>
              <w:spacing w:after="0"/>
              <w:rPr>
                <w:rFonts w:ascii="Arial" w:eastAsia="Calibri" w:hAnsi="Arial" w:cs="Arial"/>
                <w:color w:val="0000FF"/>
                <w:u w:val="single"/>
              </w:rPr>
            </w:pPr>
            <w:hyperlink r:id="rId61" w:history="1">
              <w:r w:rsidR="00E32B77" w:rsidRPr="00E32B77">
                <w:rPr>
                  <w:rFonts w:ascii="Arial" w:eastAsia="Calibri" w:hAnsi="Arial" w:cs="Arial"/>
                  <w:color w:val="0000FF"/>
                  <w:u w:val="single"/>
                </w:rPr>
                <w:t>dborchers@bricker.com</w:t>
              </w:r>
            </w:hyperlink>
          </w:p>
          <w:p w14:paraId="28DA1ABE" w14:textId="77777777" w:rsidR="00E32B77" w:rsidRPr="00E32B77" w:rsidRDefault="0011224C" w:rsidP="00E32B77">
            <w:pPr>
              <w:spacing w:after="0"/>
              <w:rPr>
                <w:rFonts w:ascii="Arial" w:eastAsia="Calibri" w:hAnsi="Arial" w:cs="Arial"/>
                <w:color w:val="0000FF"/>
                <w:u w:val="single"/>
              </w:rPr>
            </w:pPr>
            <w:hyperlink r:id="rId62" w:history="1">
              <w:r w:rsidR="00E32B77" w:rsidRPr="00E32B77">
                <w:rPr>
                  <w:rFonts w:ascii="Arial" w:eastAsia="Calibri" w:hAnsi="Arial" w:cs="Arial"/>
                  <w:color w:val="0000FF"/>
                  <w:u w:val="single"/>
                </w:rPr>
                <w:t>ejacobs@ablelaw.org</w:t>
              </w:r>
            </w:hyperlink>
            <w:r w:rsidR="00E32B77" w:rsidRPr="00E32B77">
              <w:rPr>
                <w:rFonts w:ascii="Arial" w:eastAsia="Calibri" w:hAnsi="Arial" w:cs="Arial"/>
                <w:color w:val="0000FF"/>
                <w:u w:val="single"/>
              </w:rPr>
              <w:t xml:space="preserve"> </w:t>
            </w:r>
            <w:r w:rsidR="00E32B77" w:rsidRPr="00E32B77">
              <w:rPr>
                <w:rFonts w:ascii="Arial" w:eastAsia="Calibri" w:hAnsi="Arial" w:cs="Arial"/>
                <w:color w:val="0000FF"/>
                <w:u w:val="single"/>
              </w:rPr>
              <w:br/>
            </w:r>
            <w:hyperlink r:id="rId63" w:history="1">
              <w:r w:rsidR="00E32B77" w:rsidRPr="00E32B77">
                <w:rPr>
                  <w:rFonts w:ascii="Arial" w:eastAsia="Calibri" w:hAnsi="Arial" w:cs="Arial"/>
                  <w:color w:val="0000FF"/>
                  <w:u w:val="single"/>
                </w:rPr>
                <w:t>tony.mendoza@sierraclub.org</w:t>
              </w:r>
            </w:hyperlink>
            <w:r w:rsidR="00E32B77" w:rsidRPr="00E32B77">
              <w:rPr>
                <w:rFonts w:ascii="Arial" w:eastAsia="Calibri" w:hAnsi="Arial" w:cs="Arial"/>
                <w:color w:val="0000FF"/>
                <w:u w:val="single"/>
              </w:rPr>
              <w:t xml:space="preserve"> </w:t>
            </w:r>
          </w:p>
          <w:p w14:paraId="5240ACE2" w14:textId="77777777" w:rsidR="00E32B77" w:rsidRPr="00E32B77" w:rsidRDefault="0011224C" w:rsidP="00E32B77">
            <w:pPr>
              <w:spacing w:after="0"/>
              <w:rPr>
                <w:rFonts w:ascii="Arial" w:eastAsia="Calibri" w:hAnsi="Arial" w:cs="Arial"/>
                <w:color w:val="0000FF"/>
                <w:u w:val="single"/>
              </w:rPr>
            </w:pPr>
            <w:hyperlink r:id="rId64" w:history="1">
              <w:r w:rsidR="00E32B77" w:rsidRPr="00E32B77">
                <w:rPr>
                  <w:rFonts w:ascii="Arial" w:eastAsia="Calibri" w:hAnsi="Arial" w:cs="Arial"/>
                  <w:color w:val="0000FF"/>
                  <w:u w:val="single"/>
                </w:rPr>
                <w:t>chris@envlaw.com</w:t>
              </w:r>
            </w:hyperlink>
            <w:r w:rsidR="00E32B77" w:rsidRPr="00E32B77">
              <w:rPr>
                <w:rFonts w:ascii="Arial" w:eastAsia="Calibri" w:hAnsi="Arial" w:cs="Arial"/>
                <w:color w:val="0000FF"/>
                <w:u w:val="single"/>
              </w:rPr>
              <w:t xml:space="preserve"> </w:t>
            </w:r>
          </w:p>
          <w:p w14:paraId="16354D58" w14:textId="77777777" w:rsidR="00E32B77" w:rsidRPr="00E32B77" w:rsidRDefault="0011224C" w:rsidP="00E32B77">
            <w:pPr>
              <w:spacing w:after="0"/>
              <w:rPr>
                <w:rFonts w:ascii="Arial" w:eastAsia="Calibri" w:hAnsi="Arial" w:cs="Arial"/>
                <w:color w:val="0000FF"/>
                <w:u w:val="single"/>
              </w:rPr>
            </w:pPr>
            <w:hyperlink r:id="rId65" w:history="1">
              <w:r w:rsidR="00E32B77" w:rsidRPr="00E32B77">
                <w:rPr>
                  <w:rFonts w:ascii="Arial" w:eastAsia="Calibri" w:hAnsi="Arial" w:cs="Arial"/>
                  <w:color w:val="0000FF"/>
                  <w:u w:val="single"/>
                </w:rPr>
                <w:t>jdoll@djflawfirm.com</w:t>
              </w:r>
            </w:hyperlink>
          </w:p>
          <w:p w14:paraId="15E4EA62" w14:textId="77777777" w:rsidR="00E32B77" w:rsidRPr="00E32B77" w:rsidRDefault="0011224C" w:rsidP="00E32B77">
            <w:pPr>
              <w:spacing w:after="0"/>
              <w:rPr>
                <w:rFonts w:ascii="Arial" w:eastAsia="Calibri" w:hAnsi="Arial" w:cs="Arial"/>
                <w:color w:val="0000FF"/>
                <w:u w:val="single"/>
              </w:rPr>
            </w:pPr>
            <w:hyperlink r:id="rId66" w:history="1">
              <w:r w:rsidR="00E32B77" w:rsidRPr="00E32B77">
                <w:rPr>
                  <w:rFonts w:ascii="Arial" w:eastAsia="Calibri" w:hAnsi="Arial" w:cs="Arial"/>
                  <w:color w:val="0000FF"/>
                  <w:u w:val="single"/>
                </w:rPr>
                <w:t>mcrawford@djflawfirm.com</w:t>
              </w:r>
            </w:hyperlink>
            <w:r w:rsidR="00E32B77" w:rsidRPr="00E32B77">
              <w:rPr>
                <w:rFonts w:ascii="Arial" w:eastAsia="Calibri" w:hAnsi="Arial" w:cs="Arial"/>
                <w:color w:val="0000FF"/>
                <w:u w:val="single"/>
              </w:rPr>
              <w:t xml:space="preserve"> </w:t>
            </w:r>
          </w:p>
          <w:p w14:paraId="0A007B09" w14:textId="77777777" w:rsidR="00E32B77" w:rsidRPr="00E32B77" w:rsidRDefault="0011224C" w:rsidP="00E32B77">
            <w:pPr>
              <w:spacing w:after="0"/>
              <w:rPr>
                <w:rFonts w:ascii="Arial" w:eastAsia="Calibri" w:hAnsi="Arial" w:cs="Arial"/>
              </w:rPr>
            </w:pPr>
            <w:hyperlink r:id="rId67" w:history="1">
              <w:r w:rsidR="00E32B77" w:rsidRPr="00E32B77">
                <w:rPr>
                  <w:rFonts w:ascii="Arial" w:eastAsia="Calibri" w:hAnsi="Arial" w:cs="Arial"/>
                  <w:color w:val="0000FF"/>
                  <w:u w:val="single"/>
                </w:rPr>
                <w:t>dparram@bricker.com</w:t>
              </w:r>
            </w:hyperlink>
            <w:r w:rsidR="00E32B77" w:rsidRPr="00E32B77">
              <w:rPr>
                <w:rFonts w:ascii="Arial" w:eastAsia="Calibri" w:hAnsi="Arial" w:cs="Arial"/>
              </w:rPr>
              <w:t xml:space="preserve"> </w:t>
            </w:r>
          </w:p>
          <w:p w14:paraId="4F7CBC0B" w14:textId="77777777" w:rsidR="00E32B77" w:rsidRPr="00E32B77" w:rsidRDefault="0011224C" w:rsidP="00E32B77">
            <w:pPr>
              <w:spacing w:after="0"/>
              <w:rPr>
                <w:rFonts w:ascii="Arial" w:eastAsia="Calibri" w:hAnsi="Arial" w:cs="Arial"/>
              </w:rPr>
            </w:pPr>
            <w:hyperlink r:id="rId68" w:history="1">
              <w:r w:rsidR="00E32B77" w:rsidRPr="00E32B77">
                <w:rPr>
                  <w:rFonts w:ascii="Arial" w:eastAsia="Calibri" w:hAnsi="Arial" w:cs="Arial"/>
                  <w:color w:val="0000FF"/>
                  <w:u w:val="single"/>
                </w:rPr>
                <w:t>paul@carpenterlipps.com</w:t>
              </w:r>
            </w:hyperlink>
          </w:p>
        </w:tc>
      </w:tr>
    </w:tbl>
    <w:p w14:paraId="5CFAA066" w14:textId="77777777" w:rsidR="00E32B77" w:rsidRPr="00E32B77" w:rsidRDefault="00E32B77" w:rsidP="00E32B77">
      <w:pPr>
        <w:spacing w:line="480" w:lineRule="auto"/>
        <w:rPr>
          <w:rFonts w:ascii="Arial" w:eastAsia="Calibri" w:hAnsi="Arial" w:cs="Arial"/>
          <w:b/>
        </w:rPr>
      </w:pPr>
    </w:p>
    <w:p w14:paraId="15E85F38" w14:textId="77777777" w:rsidR="00E32B77" w:rsidRPr="00E32B77" w:rsidRDefault="00E32B77" w:rsidP="00E32B77">
      <w:pPr>
        <w:spacing w:after="0"/>
        <w:ind w:left="5040"/>
        <w:jc w:val="both"/>
        <w:rPr>
          <w:rFonts w:ascii="Arial" w:eastAsia="Calibri" w:hAnsi="Arial" w:cs="Arial"/>
          <w:u w:val="single"/>
        </w:rPr>
      </w:pPr>
      <w:r w:rsidRPr="00E32B77">
        <w:rPr>
          <w:rFonts w:ascii="Arial" w:eastAsia="Calibri" w:hAnsi="Arial" w:cs="Arial"/>
          <w:b/>
          <w:u w:val="single"/>
        </w:rPr>
        <w:t>/s/ _Joseph Oliker_</w:t>
      </w:r>
    </w:p>
    <w:p w14:paraId="0E99ABFB" w14:textId="77777777" w:rsidR="00E32B77" w:rsidRPr="00E32B77" w:rsidRDefault="00E32B77" w:rsidP="00E32B77">
      <w:pPr>
        <w:widowControl w:val="0"/>
        <w:autoSpaceDE w:val="0"/>
        <w:autoSpaceDN w:val="0"/>
        <w:adjustRightInd w:val="0"/>
        <w:spacing w:line="480" w:lineRule="auto"/>
        <w:jc w:val="center"/>
        <w:rPr>
          <w:rFonts w:ascii="Arial" w:eastAsia="Calibri" w:hAnsi="Arial" w:cs="Arial"/>
          <w:b/>
        </w:rPr>
      </w:pPr>
      <w:r w:rsidRPr="00E32B77">
        <w:rPr>
          <w:rFonts w:ascii="Arial" w:eastAsia="Calibri" w:hAnsi="Arial" w:cs="Arial"/>
          <w:b/>
        </w:rPr>
        <w:tab/>
      </w:r>
      <w:r w:rsidRPr="00E32B77">
        <w:rPr>
          <w:rFonts w:ascii="Arial" w:eastAsia="Calibri" w:hAnsi="Arial" w:cs="Arial"/>
          <w:b/>
        </w:rPr>
        <w:tab/>
      </w:r>
      <w:r w:rsidRPr="00E32B77">
        <w:rPr>
          <w:rFonts w:ascii="Arial" w:eastAsia="Calibri" w:hAnsi="Arial" w:cs="Arial"/>
          <w:b/>
        </w:rPr>
        <w:tab/>
      </w:r>
      <w:r w:rsidRPr="00E32B77">
        <w:rPr>
          <w:rFonts w:ascii="Arial" w:eastAsia="Calibri" w:hAnsi="Arial" w:cs="Arial"/>
          <w:b/>
        </w:rPr>
        <w:tab/>
        <w:t xml:space="preserve">     Attorney for IGS Energy</w:t>
      </w:r>
    </w:p>
    <w:p w14:paraId="6FC0782B" w14:textId="77777777" w:rsidR="00E32B77" w:rsidRDefault="00E32B77" w:rsidP="00612255">
      <w:pPr>
        <w:spacing w:line="480" w:lineRule="auto"/>
        <w:ind w:firstLine="720"/>
        <w:jc w:val="both"/>
        <w:rPr>
          <w:rFonts w:ascii="Arial" w:hAnsi="Arial" w:cs="Arial"/>
        </w:rPr>
      </w:pPr>
    </w:p>
    <w:p w14:paraId="24FF901D" w14:textId="77777777" w:rsidR="00E23FF8" w:rsidRPr="00E23FF8" w:rsidRDefault="00E23FF8" w:rsidP="00E23FF8">
      <w:pPr>
        <w:spacing w:line="480" w:lineRule="auto"/>
        <w:ind w:firstLine="720"/>
        <w:jc w:val="both"/>
        <w:rPr>
          <w:rFonts w:ascii="Arial" w:hAnsi="Arial" w:cs="Arial"/>
        </w:rPr>
      </w:pPr>
      <w:bookmarkStart w:id="2" w:name="_GoBack"/>
      <w:bookmarkEnd w:id="2"/>
    </w:p>
    <w:sectPr w:rsidR="00E23FF8" w:rsidRPr="00E23FF8" w:rsidSect="00F55B82">
      <w:footerReference w:type="default" r:id="rId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8D9AB" w14:textId="77777777" w:rsidR="00B60033" w:rsidRDefault="00B60033" w:rsidP="004E26C4">
      <w:pPr>
        <w:spacing w:after="0"/>
      </w:pPr>
      <w:r>
        <w:separator/>
      </w:r>
    </w:p>
  </w:endnote>
  <w:endnote w:type="continuationSeparator" w:id="0">
    <w:p w14:paraId="576D2A49" w14:textId="77777777" w:rsidR="00B60033" w:rsidRDefault="00B60033" w:rsidP="004E26C4">
      <w:pPr>
        <w:spacing w:after="0"/>
      </w:pPr>
      <w:r>
        <w:continuationSeparator/>
      </w:r>
    </w:p>
  </w:endnote>
  <w:endnote w:type="continuationNotice" w:id="1">
    <w:p w14:paraId="0D05BC03" w14:textId="77777777" w:rsidR="00B60033" w:rsidRDefault="00B600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72374009"/>
      <w:docPartObj>
        <w:docPartGallery w:val="Page Numbers (Bottom of Page)"/>
        <w:docPartUnique/>
      </w:docPartObj>
    </w:sdtPr>
    <w:sdtEndPr/>
    <w:sdtContent>
      <w:p w14:paraId="36D1E740" w14:textId="21681AC3" w:rsidR="00606C39" w:rsidRPr="009804DD" w:rsidRDefault="00606C39">
        <w:pPr>
          <w:pStyle w:val="Footer"/>
          <w:jc w:val="right"/>
          <w:rPr>
            <w:rFonts w:ascii="Arial" w:hAnsi="Arial" w:cs="Arial"/>
          </w:rPr>
        </w:pPr>
        <w:r w:rsidRPr="009804DD">
          <w:rPr>
            <w:rFonts w:ascii="Arial" w:hAnsi="Arial" w:cs="Arial"/>
          </w:rPr>
          <w:fldChar w:fldCharType="begin"/>
        </w:r>
        <w:r w:rsidRPr="009804DD">
          <w:rPr>
            <w:rFonts w:ascii="Arial" w:hAnsi="Arial" w:cs="Arial"/>
          </w:rPr>
          <w:instrText xml:space="preserve"> PAGE   \* MERGEFORMAT </w:instrText>
        </w:r>
        <w:r w:rsidRPr="009804DD">
          <w:rPr>
            <w:rFonts w:ascii="Arial" w:hAnsi="Arial" w:cs="Arial"/>
          </w:rPr>
          <w:fldChar w:fldCharType="separate"/>
        </w:r>
        <w:r w:rsidRPr="009804DD">
          <w:rPr>
            <w:rFonts w:ascii="Arial" w:hAnsi="Arial" w:cs="Arial"/>
          </w:rPr>
          <w:t>2</w:t>
        </w:r>
        <w:r w:rsidRPr="009804DD">
          <w:rPr>
            <w:rFonts w:ascii="Arial" w:hAnsi="Arial" w:cs="Arial"/>
          </w:rPr>
          <w:fldChar w:fldCharType="end"/>
        </w:r>
      </w:p>
    </w:sdtContent>
  </w:sdt>
  <w:p w14:paraId="1FC05403" w14:textId="77777777" w:rsidR="00606C39" w:rsidRPr="009804DD" w:rsidRDefault="00606C3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77CE4" w14:textId="77777777" w:rsidR="00B60033" w:rsidRDefault="00B60033" w:rsidP="004E26C4">
      <w:pPr>
        <w:spacing w:after="0"/>
      </w:pPr>
      <w:r>
        <w:separator/>
      </w:r>
    </w:p>
  </w:footnote>
  <w:footnote w:type="continuationSeparator" w:id="0">
    <w:p w14:paraId="181AE6A3" w14:textId="77777777" w:rsidR="00B60033" w:rsidRDefault="00B60033" w:rsidP="004E26C4">
      <w:pPr>
        <w:spacing w:after="0"/>
      </w:pPr>
      <w:r>
        <w:continuationSeparator/>
      </w:r>
    </w:p>
  </w:footnote>
  <w:footnote w:type="continuationNotice" w:id="1">
    <w:p w14:paraId="5FC8F185" w14:textId="77777777" w:rsidR="00B60033" w:rsidRDefault="00B60033">
      <w:pPr>
        <w:spacing w:after="0"/>
      </w:pPr>
    </w:p>
  </w:footnote>
  <w:footnote w:id="2">
    <w:p w14:paraId="7B84718C" w14:textId="3247BA63" w:rsidR="002327F1" w:rsidRPr="00647C37" w:rsidRDefault="002327F1">
      <w:pPr>
        <w:pStyle w:val="FootnoteText"/>
        <w:rPr>
          <w:rFonts w:ascii="Arial" w:hAnsi="Arial" w:cs="Arial"/>
        </w:rPr>
      </w:pPr>
      <w:r w:rsidRPr="00647C37">
        <w:rPr>
          <w:rStyle w:val="FootnoteReference"/>
          <w:rFonts w:ascii="Arial" w:hAnsi="Arial" w:cs="Arial"/>
        </w:rPr>
        <w:footnoteRef/>
      </w:r>
      <w:r w:rsidR="0058570C" w:rsidRPr="00647C37">
        <w:rPr>
          <w:rFonts w:ascii="Arial" w:hAnsi="Arial" w:cs="Arial"/>
        </w:rPr>
        <w:t xml:space="preserve"> Joint Ex. 1.</w:t>
      </w:r>
    </w:p>
    <w:p w14:paraId="45BD4329" w14:textId="77777777" w:rsidR="002327F1" w:rsidRPr="00647C37" w:rsidRDefault="002327F1">
      <w:pPr>
        <w:pStyle w:val="FootnoteText"/>
        <w:rPr>
          <w:rFonts w:ascii="Arial" w:hAnsi="Arial" w:cs="Arial"/>
        </w:rPr>
      </w:pPr>
    </w:p>
  </w:footnote>
  <w:footnote w:id="3">
    <w:p w14:paraId="3A81B7DE" w14:textId="4DB83D48" w:rsidR="0050462A" w:rsidRPr="00647C37" w:rsidRDefault="0050462A">
      <w:pPr>
        <w:pStyle w:val="FootnoteText"/>
        <w:rPr>
          <w:rFonts w:ascii="Arial" w:hAnsi="Arial" w:cs="Arial"/>
        </w:rPr>
      </w:pPr>
      <w:r w:rsidRPr="00647C37">
        <w:rPr>
          <w:rStyle w:val="FootnoteReference"/>
          <w:rFonts w:ascii="Arial" w:hAnsi="Arial" w:cs="Arial"/>
        </w:rPr>
        <w:footnoteRef/>
      </w:r>
      <w:r w:rsidRPr="00647C37">
        <w:rPr>
          <w:rFonts w:ascii="Arial" w:hAnsi="Arial" w:cs="Arial"/>
        </w:rPr>
        <w:t xml:space="preserve"> See generally IGS’ </w:t>
      </w:r>
      <w:r w:rsidR="00FE419A" w:rsidRPr="00647C37">
        <w:rPr>
          <w:rFonts w:ascii="Arial" w:hAnsi="Arial" w:cs="Arial"/>
        </w:rPr>
        <w:t>Supplemental Post-Hearing</w:t>
      </w:r>
      <w:r w:rsidRPr="00647C37">
        <w:rPr>
          <w:rFonts w:ascii="Arial" w:hAnsi="Arial" w:cs="Arial"/>
        </w:rPr>
        <w:t xml:space="preserve"> Brief and </w:t>
      </w:r>
      <w:r w:rsidR="00FE419A" w:rsidRPr="00647C37">
        <w:rPr>
          <w:rFonts w:ascii="Arial" w:hAnsi="Arial" w:cs="Arial"/>
        </w:rPr>
        <w:t xml:space="preserve">Supplemental Post-Hearing </w:t>
      </w:r>
      <w:r w:rsidRPr="00647C37">
        <w:rPr>
          <w:rFonts w:ascii="Arial" w:hAnsi="Arial" w:cs="Arial"/>
        </w:rPr>
        <w:t>Reply Brief</w:t>
      </w:r>
      <w:r w:rsidR="0058570C" w:rsidRPr="00647C37">
        <w:rPr>
          <w:rFonts w:ascii="Arial" w:hAnsi="Arial" w:cs="Arial"/>
        </w:rPr>
        <w:t>.</w:t>
      </w:r>
    </w:p>
    <w:p w14:paraId="4DAD3766" w14:textId="77777777" w:rsidR="0050462A" w:rsidRPr="00647C37" w:rsidRDefault="0050462A">
      <w:pPr>
        <w:pStyle w:val="FootnoteText"/>
        <w:rPr>
          <w:rFonts w:ascii="Arial" w:hAnsi="Arial" w:cs="Arial"/>
        </w:rPr>
      </w:pPr>
    </w:p>
  </w:footnote>
  <w:footnote w:id="4">
    <w:p w14:paraId="71CC71A2" w14:textId="4535B48E" w:rsidR="00F2212E" w:rsidRPr="00647C37" w:rsidRDefault="00F2212E">
      <w:pPr>
        <w:pStyle w:val="FootnoteText"/>
        <w:rPr>
          <w:rFonts w:ascii="Arial" w:hAnsi="Arial" w:cs="Arial"/>
        </w:rPr>
      </w:pPr>
      <w:r w:rsidRPr="00647C37">
        <w:rPr>
          <w:rStyle w:val="FootnoteReference"/>
          <w:rFonts w:ascii="Arial" w:hAnsi="Arial" w:cs="Arial"/>
        </w:rPr>
        <w:footnoteRef/>
      </w:r>
      <w:r w:rsidRPr="00647C37">
        <w:rPr>
          <w:rFonts w:ascii="Arial" w:hAnsi="Arial" w:cs="Arial"/>
        </w:rPr>
        <w:t xml:space="preserve"> </w:t>
      </w:r>
      <w:r w:rsidR="004A7582" w:rsidRPr="00647C37">
        <w:rPr>
          <w:rFonts w:ascii="Arial" w:hAnsi="Arial" w:cs="Arial"/>
          <w:i/>
        </w:rPr>
        <w:t>In re in re Ohio Edison Co.</w:t>
      </w:r>
      <w:r w:rsidR="004A7582" w:rsidRPr="00647C37">
        <w:rPr>
          <w:rFonts w:ascii="Arial" w:hAnsi="Arial" w:cs="Arial"/>
        </w:rPr>
        <w:t>, 2019-Ohio-2401</w:t>
      </w:r>
      <w:r w:rsidR="0054799A">
        <w:rPr>
          <w:rFonts w:ascii="Arial" w:hAnsi="Arial" w:cs="Arial"/>
        </w:rPr>
        <w:t xml:space="preserve"> (hereinafter “</w:t>
      </w:r>
      <w:r w:rsidR="0054799A">
        <w:rPr>
          <w:rFonts w:ascii="Arial" w:hAnsi="Arial" w:cs="Arial"/>
          <w:i/>
        </w:rPr>
        <w:t>FirstEnergy Decision</w:t>
      </w:r>
      <w:r w:rsidR="0054799A">
        <w:rPr>
          <w:rFonts w:ascii="Arial" w:hAnsi="Arial" w:cs="Arial"/>
        </w:rPr>
        <w:t>”)</w:t>
      </w:r>
    </w:p>
    <w:p w14:paraId="308732C8" w14:textId="77777777" w:rsidR="00F2212E" w:rsidRPr="00647C37" w:rsidRDefault="00F2212E">
      <w:pPr>
        <w:pStyle w:val="FootnoteText"/>
        <w:rPr>
          <w:rFonts w:ascii="Arial" w:hAnsi="Arial" w:cs="Arial"/>
        </w:rPr>
      </w:pPr>
    </w:p>
  </w:footnote>
  <w:footnote w:id="5">
    <w:p w14:paraId="63A30A7E" w14:textId="1551629C" w:rsidR="00E218B8" w:rsidRPr="00E218B8" w:rsidRDefault="00E218B8">
      <w:pPr>
        <w:pStyle w:val="FootnoteText"/>
      </w:pPr>
      <w:r w:rsidRPr="00647C37">
        <w:rPr>
          <w:rStyle w:val="FootnoteReference"/>
          <w:rFonts w:ascii="Arial" w:hAnsi="Arial" w:cs="Arial"/>
        </w:rPr>
        <w:footnoteRef/>
      </w:r>
      <w:r w:rsidRPr="00647C37">
        <w:rPr>
          <w:rFonts w:ascii="Arial" w:hAnsi="Arial" w:cs="Arial"/>
        </w:rPr>
        <w:t xml:space="preserve"> </w:t>
      </w:r>
      <w:r w:rsidRPr="00647C37">
        <w:rPr>
          <w:rFonts w:ascii="Arial" w:hAnsi="Arial" w:cs="Arial"/>
          <w:i/>
        </w:rPr>
        <w:t>Id</w:t>
      </w:r>
      <w:r w:rsidRPr="00647C37">
        <w:rPr>
          <w:rFonts w:ascii="Arial" w:hAnsi="Arial" w:cs="Arial"/>
        </w:rPr>
        <w:t>. at</w:t>
      </w:r>
      <w:r w:rsidR="0087699E" w:rsidRPr="00647C37">
        <w:rPr>
          <w:rFonts w:ascii="Arial" w:hAnsi="Arial" w:cs="Arial"/>
        </w:rPr>
        <w:t xml:space="preserve"> ¶</w:t>
      </w:r>
      <w:r w:rsidR="00A17298">
        <w:rPr>
          <w:rFonts w:ascii="Arial" w:hAnsi="Arial" w:cs="Arial"/>
        </w:rPr>
        <w:t>13-29</w:t>
      </w:r>
      <w:r w:rsidR="0087699E" w:rsidRPr="00647C37">
        <w:rPr>
          <w:rFonts w:ascii="Arial" w:hAnsi="Arial" w:cs="Arial"/>
        </w:rPr>
        <w:t>.</w:t>
      </w:r>
    </w:p>
  </w:footnote>
  <w:footnote w:id="6">
    <w:p w14:paraId="04CC835C" w14:textId="58BDFFA8" w:rsidR="008151F8" w:rsidRPr="000D5C15" w:rsidRDefault="008151F8">
      <w:pPr>
        <w:pStyle w:val="FootnoteText"/>
        <w:rPr>
          <w:rFonts w:ascii="Arial" w:hAnsi="Arial" w:cs="Arial"/>
        </w:rPr>
      </w:pPr>
      <w:r w:rsidRPr="000D5C15">
        <w:rPr>
          <w:rStyle w:val="FootnoteReference"/>
          <w:rFonts w:ascii="Arial" w:hAnsi="Arial" w:cs="Arial"/>
        </w:rPr>
        <w:footnoteRef/>
      </w:r>
      <w:r w:rsidRPr="000D5C15">
        <w:rPr>
          <w:rFonts w:ascii="Arial" w:hAnsi="Arial" w:cs="Arial"/>
        </w:rPr>
        <w:t xml:space="preserve"> </w:t>
      </w:r>
      <w:r w:rsidR="00B24FC6" w:rsidRPr="000D5C15">
        <w:rPr>
          <w:rFonts w:ascii="Arial" w:hAnsi="Arial" w:cs="Arial"/>
        </w:rPr>
        <w:t xml:space="preserve"> </w:t>
      </w:r>
      <w:r w:rsidR="00B24FC6" w:rsidRPr="000D5C15">
        <w:rPr>
          <w:rFonts w:ascii="Arial" w:hAnsi="Arial" w:cs="Arial"/>
          <w:i/>
        </w:rPr>
        <w:t xml:space="preserve">In the Matter of the Application of Ohio Edison, Company, </w:t>
      </w:r>
      <w:r w:rsidR="00692F00" w:rsidRPr="000D5C15">
        <w:rPr>
          <w:rFonts w:ascii="Arial" w:hAnsi="Arial" w:cs="Arial"/>
          <w:i/>
        </w:rPr>
        <w:t xml:space="preserve">Cleveland Electric Illuminating Company, and </w:t>
      </w:r>
      <w:r w:rsidR="00B24FC6" w:rsidRPr="000D5C15">
        <w:rPr>
          <w:rFonts w:ascii="Arial" w:hAnsi="Arial" w:cs="Arial"/>
          <w:i/>
        </w:rPr>
        <w:t>Toledo Edison Company</w:t>
      </w:r>
      <w:r w:rsidR="00692F00" w:rsidRPr="000D5C15">
        <w:rPr>
          <w:rFonts w:ascii="Arial" w:hAnsi="Arial" w:cs="Arial"/>
          <w:i/>
        </w:rPr>
        <w:t xml:space="preserve"> </w:t>
      </w:r>
      <w:r w:rsidR="006A279C" w:rsidRPr="000D5C15">
        <w:rPr>
          <w:rFonts w:ascii="Arial" w:hAnsi="Arial" w:cs="Arial"/>
          <w:i/>
        </w:rPr>
        <w:t xml:space="preserve">for Authority to Provide a Standard Service Offer Pursuant to </w:t>
      </w:r>
      <w:r w:rsidR="00B33952" w:rsidRPr="000D5C15">
        <w:rPr>
          <w:rFonts w:ascii="Arial" w:hAnsi="Arial" w:cs="Arial"/>
          <w:i/>
        </w:rPr>
        <w:t xml:space="preserve">R.C. 4928.143 in the Form of an Electric Security </w:t>
      </w:r>
      <w:r w:rsidR="00B33952" w:rsidRPr="000D5C15">
        <w:rPr>
          <w:rFonts w:ascii="Arial" w:hAnsi="Arial" w:cs="Arial"/>
        </w:rPr>
        <w:t xml:space="preserve">Plan, </w:t>
      </w:r>
      <w:r w:rsidR="00B24FC6" w:rsidRPr="000D5C15">
        <w:rPr>
          <w:rFonts w:ascii="Arial" w:hAnsi="Arial" w:cs="Arial"/>
        </w:rPr>
        <w:t xml:space="preserve">Case No. </w:t>
      </w:r>
      <w:r w:rsidR="00DA114B" w:rsidRPr="000D5C15">
        <w:rPr>
          <w:rFonts w:ascii="Arial" w:hAnsi="Arial" w:cs="Arial"/>
        </w:rPr>
        <w:t>14-1297-EL-SSO</w:t>
      </w:r>
      <w:r w:rsidR="00B33952" w:rsidRPr="000D5C15">
        <w:rPr>
          <w:rFonts w:ascii="Arial" w:hAnsi="Arial" w:cs="Arial"/>
        </w:rPr>
        <w:t>,</w:t>
      </w:r>
      <w:r w:rsidR="00DA114B" w:rsidRPr="000D5C15">
        <w:rPr>
          <w:rFonts w:ascii="Arial" w:hAnsi="Arial" w:cs="Arial"/>
        </w:rPr>
        <w:t xml:space="preserve"> </w:t>
      </w:r>
      <w:r w:rsidR="00B33952" w:rsidRPr="000D5C15">
        <w:rPr>
          <w:rFonts w:ascii="Arial" w:hAnsi="Arial" w:cs="Arial"/>
        </w:rPr>
        <w:t>Fifth Entry on Rehearing</w:t>
      </w:r>
      <w:r w:rsidR="00F673FE" w:rsidRPr="000D5C15">
        <w:rPr>
          <w:rFonts w:ascii="Arial" w:hAnsi="Arial" w:cs="Arial"/>
        </w:rPr>
        <w:t xml:space="preserve"> </w:t>
      </w:r>
      <w:r w:rsidR="00583080" w:rsidRPr="000D5C15">
        <w:rPr>
          <w:rFonts w:ascii="Arial" w:hAnsi="Arial" w:cs="Arial"/>
        </w:rPr>
        <w:t>at 95</w:t>
      </w:r>
      <w:r w:rsidR="00F673FE" w:rsidRPr="000D5C15">
        <w:rPr>
          <w:rFonts w:ascii="Arial" w:hAnsi="Arial" w:cs="Arial"/>
        </w:rPr>
        <w:t xml:space="preserve"> </w:t>
      </w:r>
      <w:r w:rsidR="00AE3B97" w:rsidRPr="000D5C15">
        <w:rPr>
          <w:rFonts w:ascii="Arial" w:hAnsi="Arial" w:cs="Arial"/>
        </w:rPr>
        <w:t>(</w:t>
      </w:r>
      <w:r w:rsidR="007F6753">
        <w:rPr>
          <w:rFonts w:ascii="Arial" w:hAnsi="Arial" w:cs="Arial"/>
        </w:rPr>
        <w:t>O</w:t>
      </w:r>
      <w:r w:rsidR="00AE3B97" w:rsidRPr="000D5C15">
        <w:rPr>
          <w:rFonts w:ascii="Arial" w:hAnsi="Arial" w:cs="Arial"/>
        </w:rPr>
        <w:t>ct. 12, 2016)</w:t>
      </w:r>
      <w:r w:rsidR="00583080" w:rsidRPr="000D5C15">
        <w:rPr>
          <w:rFonts w:ascii="Arial" w:hAnsi="Arial" w:cs="Arial"/>
        </w:rPr>
        <w:t xml:space="preserve"> (hereinafter “</w:t>
      </w:r>
      <w:r w:rsidR="00583080" w:rsidRPr="00323BC8">
        <w:rPr>
          <w:rFonts w:ascii="Arial" w:hAnsi="Arial" w:cs="Arial"/>
          <w:i/>
        </w:rPr>
        <w:t>FE Fifth Entry on Rehearing</w:t>
      </w:r>
      <w:r w:rsidR="00583080" w:rsidRPr="000D5C15">
        <w:rPr>
          <w:rFonts w:ascii="Arial" w:hAnsi="Arial" w:cs="Arial"/>
        </w:rPr>
        <w:t>”).</w:t>
      </w:r>
    </w:p>
    <w:p w14:paraId="2EB820DB" w14:textId="77777777" w:rsidR="008151F8" w:rsidRPr="000D5C15" w:rsidRDefault="008151F8">
      <w:pPr>
        <w:pStyle w:val="FootnoteText"/>
        <w:rPr>
          <w:rFonts w:ascii="Arial" w:hAnsi="Arial" w:cs="Arial"/>
        </w:rPr>
      </w:pPr>
    </w:p>
  </w:footnote>
  <w:footnote w:id="7">
    <w:p w14:paraId="232C3C68" w14:textId="6FA58D07" w:rsidR="00A06870" w:rsidRDefault="00A06870">
      <w:pPr>
        <w:pStyle w:val="FootnoteText"/>
        <w:rPr>
          <w:rFonts w:ascii="Arial" w:hAnsi="Arial" w:cs="Arial"/>
        </w:rPr>
      </w:pPr>
      <w:r w:rsidRPr="000D5C15">
        <w:rPr>
          <w:rStyle w:val="FootnoteReference"/>
          <w:rFonts w:ascii="Arial" w:hAnsi="Arial" w:cs="Arial"/>
        </w:rPr>
        <w:footnoteRef/>
      </w:r>
      <w:r w:rsidRPr="000D5C15">
        <w:rPr>
          <w:rFonts w:ascii="Arial" w:hAnsi="Arial" w:cs="Arial"/>
        </w:rPr>
        <w:t xml:space="preserve"> </w:t>
      </w:r>
      <w:r w:rsidR="00583080" w:rsidRPr="00323BC8">
        <w:rPr>
          <w:rFonts w:ascii="Arial" w:hAnsi="Arial" w:cs="Arial"/>
          <w:i/>
        </w:rPr>
        <w:t>FE</w:t>
      </w:r>
      <w:r w:rsidRPr="00323BC8">
        <w:rPr>
          <w:rFonts w:ascii="Arial" w:hAnsi="Arial" w:cs="Arial"/>
          <w:i/>
        </w:rPr>
        <w:t xml:space="preserve"> Fifth Entry on Rehearing</w:t>
      </w:r>
      <w:r w:rsidRPr="000D5C15">
        <w:rPr>
          <w:rFonts w:ascii="Arial" w:hAnsi="Arial" w:cs="Arial"/>
        </w:rPr>
        <w:t xml:space="preserve"> at 87-88.  </w:t>
      </w:r>
    </w:p>
    <w:p w14:paraId="3D2032DD" w14:textId="77777777" w:rsidR="00A06870" w:rsidRPr="000D5C15" w:rsidRDefault="00A06870">
      <w:pPr>
        <w:pStyle w:val="FootnoteText"/>
        <w:rPr>
          <w:rFonts w:ascii="Arial" w:hAnsi="Arial" w:cs="Arial"/>
        </w:rPr>
      </w:pPr>
    </w:p>
  </w:footnote>
  <w:footnote w:id="8">
    <w:p w14:paraId="7B8720CB" w14:textId="174C22BA" w:rsidR="000F3B4B" w:rsidRPr="005E3182" w:rsidRDefault="000F3B4B">
      <w:pPr>
        <w:pStyle w:val="FootnoteText"/>
        <w:rPr>
          <w:rFonts w:ascii="Arial" w:hAnsi="Arial" w:cs="Arial"/>
          <w:i/>
        </w:rPr>
      </w:pPr>
      <w:r w:rsidRPr="005E3182">
        <w:rPr>
          <w:rStyle w:val="FootnoteReference"/>
          <w:rFonts w:ascii="Arial" w:hAnsi="Arial" w:cs="Arial"/>
        </w:rPr>
        <w:footnoteRef/>
      </w:r>
      <w:r w:rsidRPr="005E3182">
        <w:rPr>
          <w:rFonts w:ascii="Arial" w:hAnsi="Arial" w:cs="Arial"/>
        </w:rPr>
        <w:t xml:space="preserve"> </w:t>
      </w:r>
      <w:r w:rsidR="006D18C2" w:rsidRPr="005E3182">
        <w:rPr>
          <w:rFonts w:ascii="Arial" w:hAnsi="Arial" w:cs="Arial"/>
          <w:i/>
        </w:rPr>
        <w:t>Id.</w:t>
      </w:r>
    </w:p>
    <w:p w14:paraId="5EDCF643" w14:textId="77777777" w:rsidR="006D18C2" w:rsidRPr="005E3182" w:rsidRDefault="006D18C2">
      <w:pPr>
        <w:pStyle w:val="FootnoteText"/>
        <w:rPr>
          <w:rFonts w:ascii="Arial" w:hAnsi="Arial" w:cs="Arial"/>
          <w:i/>
        </w:rPr>
      </w:pPr>
    </w:p>
  </w:footnote>
  <w:footnote w:id="9">
    <w:p w14:paraId="638E4807" w14:textId="267F0020" w:rsidR="000F3B4B" w:rsidRPr="005E3182" w:rsidRDefault="000F3B4B">
      <w:pPr>
        <w:pStyle w:val="FootnoteText"/>
        <w:rPr>
          <w:rFonts w:ascii="Arial" w:hAnsi="Arial" w:cs="Arial"/>
        </w:rPr>
      </w:pPr>
      <w:r w:rsidRPr="005E3182">
        <w:rPr>
          <w:rStyle w:val="FootnoteReference"/>
          <w:rFonts w:ascii="Arial" w:hAnsi="Arial" w:cs="Arial"/>
        </w:rPr>
        <w:footnoteRef/>
      </w:r>
      <w:r w:rsidRPr="005E3182">
        <w:rPr>
          <w:rFonts w:ascii="Arial" w:hAnsi="Arial" w:cs="Arial"/>
        </w:rPr>
        <w:t xml:space="preserve"> </w:t>
      </w:r>
      <w:r w:rsidR="006D18C2" w:rsidRPr="005E3182">
        <w:rPr>
          <w:rFonts w:ascii="Arial" w:hAnsi="Arial" w:cs="Arial"/>
          <w:i/>
        </w:rPr>
        <w:t xml:space="preserve">Id. </w:t>
      </w:r>
      <w:r w:rsidR="006D18C2" w:rsidRPr="005E3182">
        <w:rPr>
          <w:rFonts w:ascii="Arial" w:hAnsi="Arial" w:cs="Arial"/>
        </w:rPr>
        <w:t>at 87.</w:t>
      </w:r>
    </w:p>
    <w:p w14:paraId="713487CA" w14:textId="77777777" w:rsidR="005E3182" w:rsidRPr="005E3182" w:rsidRDefault="005E3182">
      <w:pPr>
        <w:pStyle w:val="FootnoteText"/>
        <w:rPr>
          <w:rFonts w:ascii="Arial" w:hAnsi="Arial" w:cs="Arial"/>
          <w:i/>
        </w:rPr>
      </w:pPr>
    </w:p>
  </w:footnote>
  <w:footnote w:id="10">
    <w:p w14:paraId="05D68466" w14:textId="646F8CF2" w:rsidR="005E3182" w:rsidRDefault="005E3182">
      <w:pPr>
        <w:pStyle w:val="FootnoteText"/>
        <w:rPr>
          <w:rFonts w:ascii="Arial" w:hAnsi="Arial" w:cs="Arial"/>
        </w:rPr>
      </w:pPr>
      <w:r w:rsidRPr="005E3182">
        <w:rPr>
          <w:rStyle w:val="FootnoteReference"/>
          <w:rFonts w:ascii="Arial" w:hAnsi="Arial" w:cs="Arial"/>
        </w:rPr>
        <w:footnoteRef/>
      </w:r>
      <w:r w:rsidRPr="005E3182">
        <w:rPr>
          <w:rFonts w:ascii="Arial" w:hAnsi="Arial" w:cs="Arial"/>
        </w:rPr>
        <w:t xml:space="preserve"> </w:t>
      </w:r>
      <w:r w:rsidRPr="005E3182">
        <w:rPr>
          <w:rFonts w:ascii="Arial" w:hAnsi="Arial" w:cs="Arial"/>
          <w:i/>
        </w:rPr>
        <w:t xml:space="preserve">Id. </w:t>
      </w:r>
      <w:r w:rsidRPr="005E3182">
        <w:rPr>
          <w:rFonts w:ascii="Arial" w:hAnsi="Arial" w:cs="Arial"/>
        </w:rPr>
        <w:t>at 96.</w:t>
      </w:r>
    </w:p>
    <w:p w14:paraId="4C1682A7" w14:textId="77777777" w:rsidR="00BD00A0" w:rsidRPr="005E3182" w:rsidRDefault="00BD00A0">
      <w:pPr>
        <w:pStyle w:val="FootnoteText"/>
      </w:pPr>
    </w:p>
  </w:footnote>
  <w:footnote w:id="11">
    <w:p w14:paraId="53046FE0" w14:textId="524ADA55" w:rsidR="00583080" w:rsidRPr="000D5C15" w:rsidRDefault="00583080">
      <w:pPr>
        <w:pStyle w:val="FootnoteText"/>
        <w:rPr>
          <w:rFonts w:ascii="Arial" w:hAnsi="Arial" w:cs="Arial"/>
        </w:rPr>
      </w:pPr>
      <w:r w:rsidRPr="000D5C15">
        <w:rPr>
          <w:rStyle w:val="FootnoteReference"/>
          <w:rFonts w:ascii="Arial" w:hAnsi="Arial" w:cs="Arial"/>
        </w:rPr>
        <w:footnoteRef/>
      </w:r>
      <w:r w:rsidRPr="000D5C15">
        <w:rPr>
          <w:rFonts w:ascii="Arial" w:hAnsi="Arial" w:cs="Arial"/>
        </w:rPr>
        <w:t xml:space="preserve"> </w:t>
      </w:r>
      <w:r w:rsidRPr="000D5C15">
        <w:rPr>
          <w:rFonts w:ascii="Arial" w:hAnsi="Arial" w:cs="Arial"/>
          <w:i/>
        </w:rPr>
        <w:t xml:space="preserve">Id. </w:t>
      </w:r>
      <w:r w:rsidR="00264090">
        <w:rPr>
          <w:rFonts w:ascii="Arial" w:hAnsi="Arial" w:cs="Arial"/>
        </w:rPr>
        <w:t xml:space="preserve">at </w:t>
      </w:r>
      <w:r w:rsidR="00A95430">
        <w:rPr>
          <w:rFonts w:ascii="Arial" w:hAnsi="Arial" w:cs="Arial"/>
        </w:rPr>
        <w:t>96-97, 107.</w:t>
      </w:r>
    </w:p>
    <w:p w14:paraId="367719B2" w14:textId="77777777" w:rsidR="00583080" w:rsidRPr="000D5C15" w:rsidRDefault="00583080">
      <w:pPr>
        <w:pStyle w:val="FootnoteText"/>
        <w:rPr>
          <w:rFonts w:ascii="Arial" w:hAnsi="Arial" w:cs="Arial"/>
        </w:rPr>
      </w:pPr>
    </w:p>
  </w:footnote>
  <w:footnote w:id="12">
    <w:p w14:paraId="24A47756" w14:textId="5EA799EE" w:rsidR="000507BC" w:rsidRDefault="000507BC">
      <w:pPr>
        <w:pStyle w:val="FootnoteText"/>
      </w:pPr>
      <w:r w:rsidRPr="00F519E8">
        <w:rPr>
          <w:rStyle w:val="FootnoteReference"/>
          <w:rFonts w:ascii="Arial" w:hAnsi="Arial" w:cs="Arial"/>
        </w:rPr>
        <w:footnoteRef/>
      </w:r>
      <w:r>
        <w:t xml:space="preserve"> </w:t>
      </w:r>
      <w:r w:rsidR="00962F5C" w:rsidRPr="000D5C15">
        <w:rPr>
          <w:rFonts w:ascii="Arial" w:hAnsi="Arial" w:cs="Arial"/>
          <w:i/>
        </w:rPr>
        <w:t xml:space="preserve">In the Matter of the Application of </w:t>
      </w:r>
      <w:r w:rsidR="00962F5C">
        <w:rPr>
          <w:rFonts w:ascii="Arial" w:hAnsi="Arial" w:cs="Arial"/>
          <w:i/>
        </w:rPr>
        <w:t>The Dayton Power and Light Company</w:t>
      </w:r>
      <w:r w:rsidR="00962F5C" w:rsidRPr="000D5C15">
        <w:rPr>
          <w:rFonts w:ascii="Arial" w:hAnsi="Arial" w:cs="Arial"/>
          <w:i/>
        </w:rPr>
        <w:t xml:space="preserve"> for A</w:t>
      </w:r>
      <w:r w:rsidR="0053506D">
        <w:rPr>
          <w:rFonts w:ascii="Arial" w:hAnsi="Arial" w:cs="Arial"/>
          <w:i/>
        </w:rPr>
        <w:t>pproval of Its Electric Security Plan</w:t>
      </w:r>
      <w:r w:rsidR="006321B9">
        <w:rPr>
          <w:rFonts w:ascii="Arial" w:hAnsi="Arial" w:cs="Arial"/>
          <w:i/>
        </w:rPr>
        <w:t>, et al</w:t>
      </w:r>
      <w:r w:rsidR="00627D67">
        <w:rPr>
          <w:rFonts w:ascii="Arial" w:hAnsi="Arial" w:cs="Arial"/>
          <w:i/>
        </w:rPr>
        <w:t>.,</w:t>
      </w:r>
      <w:r w:rsidR="00962F5C" w:rsidRPr="000D5C15">
        <w:rPr>
          <w:rFonts w:ascii="Arial" w:hAnsi="Arial" w:cs="Arial"/>
        </w:rPr>
        <w:t xml:space="preserve"> Case No. 1</w:t>
      </w:r>
      <w:r w:rsidR="00445BEB">
        <w:rPr>
          <w:rFonts w:ascii="Arial" w:hAnsi="Arial" w:cs="Arial"/>
        </w:rPr>
        <w:t>6</w:t>
      </w:r>
      <w:r w:rsidR="00962F5C" w:rsidRPr="000D5C15">
        <w:rPr>
          <w:rFonts w:ascii="Arial" w:hAnsi="Arial" w:cs="Arial"/>
        </w:rPr>
        <w:t>-</w:t>
      </w:r>
      <w:r w:rsidR="00445BEB">
        <w:rPr>
          <w:rFonts w:ascii="Arial" w:hAnsi="Arial" w:cs="Arial"/>
        </w:rPr>
        <w:t>039</w:t>
      </w:r>
      <w:r w:rsidR="00E25EE4">
        <w:rPr>
          <w:rFonts w:ascii="Arial" w:hAnsi="Arial" w:cs="Arial"/>
        </w:rPr>
        <w:t>5</w:t>
      </w:r>
      <w:r w:rsidR="00962F5C" w:rsidRPr="000D5C15">
        <w:rPr>
          <w:rFonts w:ascii="Arial" w:hAnsi="Arial" w:cs="Arial"/>
        </w:rPr>
        <w:t>-EL-SSO</w:t>
      </w:r>
      <w:r w:rsidR="00E25EE4">
        <w:rPr>
          <w:rFonts w:ascii="Arial" w:hAnsi="Arial" w:cs="Arial"/>
        </w:rPr>
        <w:t>, Amended Application of the Dayton Power and Light Company</w:t>
      </w:r>
      <w:r w:rsidR="006B2499">
        <w:rPr>
          <w:rFonts w:ascii="Arial" w:hAnsi="Arial" w:cs="Arial"/>
        </w:rPr>
        <w:t xml:space="preserve"> for Approval of Its Electric Security Plan</w:t>
      </w:r>
      <w:r w:rsidR="00962F5C" w:rsidRPr="000D5C15">
        <w:rPr>
          <w:rFonts w:ascii="Arial" w:hAnsi="Arial" w:cs="Arial"/>
        </w:rPr>
        <w:t xml:space="preserve"> (</w:t>
      </w:r>
      <w:r w:rsidR="00962F5C">
        <w:rPr>
          <w:rFonts w:ascii="Arial" w:hAnsi="Arial" w:cs="Arial"/>
        </w:rPr>
        <w:t>O</w:t>
      </w:r>
      <w:r w:rsidR="00962F5C" w:rsidRPr="000D5C15">
        <w:rPr>
          <w:rFonts w:ascii="Arial" w:hAnsi="Arial" w:cs="Arial"/>
        </w:rPr>
        <w:t>ct. 1</w:t>
      </w:r>
      <w:r w:rsidR="006B2499">
        <w:rPr>
          <w:rFonts w:ascii="Arial" w:hAnsi="Arial" w:cs="Arial"/>
        </w:rPr>
        <w:t>1</w:t>
      </w:r>
      <w:r w:rsidR="00962F5C" w:rsidRPr="000D5C15">
        <w:rPr>
          <w:rFonts w:ascii="Arial" w:hAnsi="Arial" w:cs="Arial"/>
        </w:rPr>
        <w:t>, 2016)</w:t>
      </w:r>
      <w:r w:rsidR="006B2499">
        <w:rPr>
          <w:rFonts w:ascii="Arial" w:hAnsi="Arial" w:cs="Arial"/>
        </w:rPr>
        <w:t>.</w:t>
      </w:r>
    </w:p>
    <w:p w14:paraId="38E15440" w14:textId="77777777" w:rsidR="000507BC" w:rsidRDefault="000507BC">
      <w:pPr>
        <w:pStyle w:val="FootnoteText"/>
      </w:pPr>
    </w:p>
  </w:footnote>
  <w:footnote w:id="13">
    <w:p w14:paraId="11A2784D" w14:textId="7833C94F" w:rsidR="00583080" w:rsidRPr="000D5C15" w:rsidRDefault="00583080">
      <w:pPr>
        <w:pStyle w:val="FootnoteText"/>
        <w:rPr>
          <w:rFonts w:ascii="Arial" w:hAnsi="Arial" w:cs="Arial"/>
        </w:rPr>
      </w:pPr>
      <w:r w:rsidRPr="000D5C15">
        <w:rPr>
          <w:rStyle w:val="FootnoteReference"/>
          <w:rFonts w:ascii="Arial" w:hAnsi="Arial" w:cs="Arial"/>
        </w:rPr>
        <w:footnoteRef/>
      </w:r>
      <w:r w:rsidRPr="000D5C15">
        <w:rPr>
          <w:rFonts w:ascii="Arial" w:hAnsi="Arial" w:cs="Arial"/>
        </w:rPr>
        <w:t xml:space="preserve"> Joint Ex. 1.</w:t>
      </w:r>
    </w:p>
    <w:p w14:paraId="346FB50B" w14:textId="77777777" w:rsidR="00583080" w:rsidRPr="000D5C15" w:rsidRDefault="00583080">
      <w:pPr>
        <w:pStyle w:val="FootnoteText"/>
        <w:rPr>
          <w:rFonts w:ascii="Arial" w:hAnsi="Arial" w:cs="Arial"/>
        </w:rPr>
      </w:pPr>
    </w:p>
  </w:footnote>
  <w:footnote w:id="14">
    <w:p w14:paraId="2F48EAAC" w14:textId="0502A6B9" w:rsidR="00583080" w:rsidRPr="000D5C15" w:rsidRDefault="00583080">
      <w:pPr>
        <w:pStyle w:val="FootnoteText"/>
        <w:rPr>
          <w:rFonts w:ascii="Arial" w:hAnsi="Arial" w:cs="Arial"/>
        </w:rPr>
      </w:pPr>
      <w:r w:rsidRPr="000D5C15">
        <w:rPr>
          <w:rStyle w:val="FootnoteReference"/>
          <w:rFonts w:ascii="Arial" w:hAnsi="Arial" w:cs="Arial"/>
        </w:rPr>
        <w:footnoteRef/>
      </w:r>
      <w:r w:rsidRPr="000D5C15">
        <w:rPr>
          <w:rFonts w:ascii="Arial" w:hAnsi="Arial" w:cs="Arial"/>
        </w:rPr>
        <w:t xml:space="preserve"> </w:t>
      </w:r>
      <w:r w:rsidR="00E20EEA" w:rsidRPr="000D5C15">
        <w:rPr>
          <w:rFonts w:ascii="Arial" w:hAnsi="Arial" w:cs="Arial"/>
          <w:i/>
        </w:rPr>
        <w:t xml:space="preserve">Id. </w:t>
      </w:r>
      <w:r w:rsidR="00E20EEA" w:rsidRPr="000D5C15">
        <w:rPr>
          <w:rFonts w:ascii="Arial" w:hAnsi="Arial" w:cs="Arial"/>
        </w:rPr>
        <w:t>at 4.</w:t>
      </w:r>
    </w:p>
    <w:p w14:paraId="2828217B" w14:textId="77777777" w:rsidR="00583080" w:rsidRPr="000D5C15" w:rsidRDefault="00583080">
      <w:pPr>
        <w:pStyle w:val="FootnoteText"/>
        <w:rPr>
          <w:rFonts w:ascii="Arial" w:hAnsi="Arial" w:cs="Arial"/>
        </w:rPr>
      </w:pPr>
    </w:p>
  </w:footnote>
  <w:footnote w:id="15">
    <w:p w14:paraId="4436F3B6" w14:textId="484C5044" w:rsidR="00E20EEA" w:rsidRPr="000D5C15" w:rsidRDefault="00E20EEA">
      <w:pPr>
        <w:pStyle w:val="FootnoteText"/>
        <w:rPr>
          <w:rFonts w:ascii="Arial" w:hAnsi="Arial" w:cs="Arial"/>
        </w:rPr>
      </w:pPr>
      <w:r w:rsidRPr="000D5C15">
        <w:rPr>
          <w:rStyle w:val="FootnoteReference"/>
          <w:rFonts w:ascii="Arial" w:hAnsi="Arial" w:cs="Arial"/>
        </w:rPr>
        <w:footnoteRef/>
      </w:r>
      <w:r w:rsidRPr="000D5C15">
        <w:rPr>
          <w:rFonts w:ascii="Arial" w:hAnsi="Arial" w:cs="Arial"/>
        </w:rPr>
        <w:t xml:space="preserve"> </w:t>
      </w:r>
      <w:r w:rsidRPr="000D5C15">
        <w:rPr>
          <w:rFonts w:ascii="Arial" w:hAnsi="Arial" w:cs="Arial"/>
          <w:i/>
        </w:rPr>
        <w:t xml:space="preserve">Id. </w:t>
      </w:r>
      <w:r w:rsidRPr="000D5C15">
        <w:rPr>
          <w:rFonts w:ascii="Arial" w:hAnsi="Arial" w:cs="Arial"/>
        </w:rPr>
        <w:t xml:space="preserve">at </w:t>
      </w:r>
      <w:r w:rsidR="00D866C6" w:rsidRPr="000D5C15">
        <w:rPr>
          <w:rFonts w:ascii="Arial" w:hAnsi="Arial" w:cs="Arial"/>
        </w:rPr>
        <w:t>5.</w:t>
      </w:r>
    </w:p>
    <w:p w14:paraId="7B6EF504" w14:textId="77777777" w:rsidR="00E20EEA" w:rsidRPr="000D5C15" w:rsidRDefault="00E20EEA">
      <w:pPr>
        <w:pStyle w:val="FootnoteText"/>
        <w:rPr>
          <w:rFonts w:ascii="Arial" w:hAnsi="Arial" w:cs="Arial"/>
        </w:rPr>
      </w:pPr>
    </w:p>
  </w:footnote>
  <w:footnote w:id="16">
    <w:p w14:paraId="5F74C9B7" w14:textId="3D63C10A" w:rsidR="00D866C6" w:rsidRPr="000D5C15" w:rsidRDefault="00D866C6">
      <w:pPr>
        <w:pStyle w:val="FootnoteText"/>
        <w:rPr>
          <w:rFonts w:ascii="Arial" w:hAnsi="Arial" w:cs="Arial"/>
          <w:i/>
        </w:rPr>
      </w:pPr>
      <w:r w:rsidRPr="000D5C15">
        <w:rPr>
          <w:rStyle w:val="FootnoteReference"/>
          <w:rFonts w:ascii="Arial" w:hAnsi="Arial" w:cs="Arial"/>
        </w:rPr>
        <w:footnoteRef/>
      </w:r>
      <w:r w:rsidRPr="000D5C15">
        <w:rPr>
          <w:rFonts w:ascii="Arial" w:hAnsi="Arial" w:cs="Arial"/>
        </w:rPr>
        <w:t xml:space="preserve"> </w:t>
      </w:r>
      <w:r w:rsidRPr="000D5C15">
        <w:rPr>
          <w:rFonts w:ascii="Arial" w:hAnsi="Arial" w:cs="Arial"/>
          <w:i/>
        </w:rPr>
        <w:t xml:space="preserve">See generally </w:t>
      </w:r>
      <w:r w:rsidR="00AA1501" w:rsidRPr="000D5C15">
        <w:rPr>
          <w:rFonts w:ascii="Arial" w:hAnsi="Arial" w:cs="Arial"/>
        </w:rPr>
        <w:t>Joint Ex. 1</w:t>
      </w:r>
      <w:r w:rsidRPr="000D5C15">
        <w:rPr>
          <w:rFonts w:ascii="Arial" w:hAnsi="Arial" w:cs="Arial"/>
          <w:i/>
        </w:rPr>
        <w:t>.</w:t>
      </w:r>
    </w:p>
    <w:p w14:paraId="11310EC9" w14:textId="77777777" w:rsidR="00D866C6" w:rsidRPr="000D5C15" w:rsidRDefault="00D866C6">
      <w:pPr>
        <w:pStyle w:val="FootnoteText"/>
        <w:rPr>
          <w:rFonts w:ascii="Arial" w:hAnsi="Arial" w:cs="Arial"/>
          <w:i/>
        </w:rPr>
      </w:pPr>
    </w:p>
  </w:footnote>
  <w:footnote w:id="17">
    <w:p w14:paraId="7E6CB5C5" w14:textId="719D14C6" w:rsidR="00D866C6" w:rsidRPr="000D5C15" w:rsidRDefault="00D866C6">
      <w:pPr>
        <w:pStyle w:val="FootnoteText"/>
        <w:rPr>
          <w:rFonts w:ascii="Arial" w:hAnsi="Arial" w:cs="Arial"/>
        </w:rPr>
      </w:pPr>
      <w:r w:rsidRPr="000D5C15">
        <w:rPr>
          <w:rStyle w:val="FootnoteReference"/>
          <w:rFonts w:ascii="Arial" w:hAnsi="Arial" w:cs="Arial"/>
        </w:rPr>
        <w:footnoteRef/>
      </w:r>
      <w:r w:rsidRPr="000D5C15">
        <w:rPr>
          <w:rFonts w:ascii="Arial" w:hAnsi="Arial" w:cs="Arial"/>
        </w:rPr>
        <w:t xml:space="preserve"> </w:t>
      </w:r>
      <w:r w:rsidRPr="000D5C15">
        <w:rPr>
          <w:rFonts w:ascii="Arial" w:hAnsi="Arial" w:cs="Arial"/>
          <w:i/>
        </w:rPr>
        <w:t xml:space="preserve">Id. </w:t>
      </w:r>
      <w:r w:rsidRPr="000D5C15">
        <w:rPr>
          <w:rFonts w:ascii="Arial" w:hAnsi="Arial" w:cs="Arial"/>
        </w:rPr>
        <w:t>at 5.</w:t>
      </w:r>
    </w:p>
    <w:p w14:paraId="7E3B3BBA" w14:textId="77777777" w:rsidR="00D866C6" w:rsidRPr="000D5C15" w:rsidRDefault="00D866C6">
      <w:pPr>
        <w:pStyle w:val="FootnoteText"/>
        <w:rPr>
          <w:rFonts w:ascii="Arial" w:hAnsi="Arial" w:cs="Arial"/>
        </w:rPr>
      </w:pPr>
    </w:p>
  </w:footnote>
  <w:footnote w:id="18">
    <w:p w14:paraId="64AC5745" w14:textId="1ECDC8ED" w:rsidR="00D866C6" w:rsidRPr="000D5C15" w:rsidRDefault="00D866C6">
      <w:pPr>
        <w:pStyle w:val="FootnoteText"/>
        <w:rPr>
          <w:rFonts w:ascii="Arial" w:hAnsi="Arial" w:cs="Arial"/>
          <w:i/>
        </w:rPr>
      </w:pPr>
      <w:r w:rsidRPr="000D5C15">
        <w:rPr>
          <w:rStyle w:val="FootnoteReference"/>
          <w:rFonts w:ascii="Arial" w:hAnsi="Arial" w:cs="Arial"/>
        </w:rPr>
        <w:footnoteRef/>
      </w:r>
      <w:r w:rsidRPr="000D5C15">
        <w:rPr>
          <w:rFonts w:ascii="Arial" w:hAnsi="Arial" w:cs="Arial"/>
        </w:rPr>
        <w:t xml:space="preserve"> </w:t>
      </w:r>
      <w:r w:rsidR="001323EB" w:rsidRPr="000D5C15">
        <w:rPr>
          <w:rFonts w:ascii="Arial" w:hAnsi="Arial" w:cs="Arial"/>
          <w:i/>
        </w:rPr>
        <w:t>Id.</w:t>
      </w:r>
    </w:p>
    <w:p w14:paraId="23349373" w14:textId="77777777" w:rsidR="00D866C6" w:rsidRPr="000D5C15" w:rsidRDefault="00D866C6">
      <w:pPr>
        <w:pStyle w:val="FootnoteText"/>
        <w:rPr>
          <w:rFonts w:ascii="Arial" w:hAnsi="Arial" w:cs="Arial"/>
          <w:i/>
        </w:rPr>
      </w:pPr>
    </w:p>
  </w:footnote>
  <w:footnote w:id="19">
    <w:p w14:paraId="532B33E8" w14:textId="5AFE160F" w:rsidR="001323EB" w:rsidRDefault="001323EB">
      <w:pPr>
        <w:pStyle w:val="FootnoteText"/>
        <w:rPr>
          <w:rFonts w:ascii="Arial" w:hAnsi="Arial" w:cs="Arial"/>
        </w:rPr>
      </w:pPr>
      <w:r w:rsidRPr="000D5C15">
        <w:rPr>
          <w:rStyle w:val="FootnoteReference"/>
          <w:rFonts w:ascii="Arial" w:hAnsi="Arial" w:cs="Arial"/>
        </w:rPr>
        <w:footnoteRef/>
      </w:r>
      <w:r w:rsidRPr="000D5C15">
        <w:rPr>
          <w:rFonts w:ascii="Arial" w:hAnsi="Arial" w:cs="Arial"/>
        </w:rPr>
        <w:t xml:space="preserve"> </w:t>
      </w:r>
      <w:r w:rsidRPr="000D5C15">
        <w:rPr>
          <w:rFonts w:ascii="Arial" w:hAnsi="Arial" w:cs="Arial"/>
          <w:i/>
        </w:rPr>
        <w:t xml:space="preserve">Id. </w:t>
      </w:r>
      <w:r w:rsidRPr="000D5C15">
        <w:rPr>
          <w:rFonts w:ascii="Arial" w:hAnsi="Arial" w:cs="Arial"/>
        </w:rPr>
        <w:t xml:space="preserve">at 7 (emphasis added).  </w:t>
      </w:r>
    </w:p>
    <w:p w14:paraId="718D4BEA" w14:textId="77777777" w:rsidR="0028080A" w:rsidRPr="004E668A" w:rsidRDefault="0028080A">
      <w:pPr>
        <w:pStyle w:val="FootnoteText"/>
        <w:rPr>
          <w:rFonts w:ascii="Arial" w:hAnsi="Arial" w:cs="Arial"/>
        </w:rPr>
      </w:pPr>
    </w:p>
  </w:footnote>
  <w:footnote w:id="20">
    <w:p w14:paraId="2422B799" w14:textId="38CDEDC1" w:rsidR="00CB073C" w:rsidRPr="004E668A" w:rsidRDefault="00CB073C" w:rsidP="00470B08">
      <w:pPr>
        <w:pStyle w:val="FootnoteText"/>
        <w:tabs>
          <w:tab w:val="left" w:pos="2220"/>
        </w:tabs>
        <w:rPr>
          <w:rFonts w:ascii="Arial" w:hAnsi="Arial" w:cs="Arial"/>
        </w:rPr>
      </w:pPr>
      <w:r w:rsidRPr="004E668A">
        <w:rPr>
          <w:rStyle w:val="FootnoteReference"/>
          <w:rFonts w:ascii="Arial" w:hAnsi="Arial" w:cs="Arial"/>
        </w:rPr>
        <w:footnoteRef/>
      </w:r>
      <w:r w:rsidRPr="004E668A">
        <w:rPr>
          <w:rFonts w:ascii="Arial" w:hAnsi="Arial" w:cs="Arial"/>
        </w:rPr>
        <w:t xml:space="preserve"> Tr. Vol. VII at 1130.</w:t>
      </w:r>
      <w:r w:rsidR="00470B08" w:rsidRPr="004E668A">
        <w:rPr>
          <w:rFonts w:ascii="Arial" w:hAnsi="Arial" w:cs="Arial"/>
        </w:rPr>
        <w:tab/>
      </w:r>
    </w:p>
    <w:p w14:paraId="1F611E0B" w14:textId="77777777" w:rsidR="00CB073C" w:rsidRPr="004E668A" w:rsidRDefault="00CB073C" w:rsidP="00470B08">
      <w:pPr>
        <w:pStyle w:val="FootnoteText"/>
        <w:tabs>
          <w:tab w:val="left" w:pos="2220"/>
        </w:tabs>
        <w:rPr>
          <w:rFonts w:ascii="Arial" w:hAnsi="Arial" w:cs="Arial"/>
        </w:rPr>
      </w:pPr>
    </w:p>
  </w:footnote>
  <w:footnote w:id="21">
    <w:p w14:paraId="40F66379" w14:textId="6BF889DE" w:rsidR="00470B08" w:rsidRPr="004E668A" w:rsidRDefault="00470B08">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Tr. Vol. VI at 990-92; Tr. Vol. VII at 1140-41, 1166 IGS Ex. 1015 at 23-24.</w:t>
      </w:r>
    </w:p>
    <w:p w14:paraId="707DDA06" w14:textId="77777777" w:rsidR="00470B08" w:rsidRPr="004E668A" w:rsidRDefault="00470B08">
      <w:pPr>
        <w:pStyle w:val="FootnoteText"/>
        <w:rPr>
          <w:rFonts w:ascii="Arial" w:hAnsi="Arial" w:cs="Arial"/>
        </w:rPr>
      </w:pPr>
    </w:p>
  </w:footnote>
  <w:footnote w:id="22">
    <w:p w14:paraId="723E4897" w14:textId="72E9FA3A" w:rsidR="000D5C15" w:rsidRPr="004E668A" w:rsidRDefault="000D5C15">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Tr. Vo. VII at 1162.</w:t>
      </w:r>
    </w:p>
    <w:p w14:paraId="15316B26" w14:textId="77777777" w:rsidR="005B72A6" w:rsidRPr="004E668A" w:rsidRDefault="005B72A6">
      <w:pPr>
        <w:pStyle w:val="FootnoteText"/>
        <w:rPr>
          <w:rFonts w:ascii="Arial" w:hAnsi="Arial" w:cs="Arial"/>
        </w:rPr>
      </w:pPr>
    </w:p>
  </w:footnote>
  <w:footnote w:id="23">
    <w:p w14:paraId="022AC0F4" w14:textId="011B9018" w:rsidR="00221439" w:rsidRDefault="00221439">
      <w:pPr>
        <w:pStyle w:val="FootnoteText"/>
        <w:rPr>
          <w:rFonts w:ascii="Arial" w:hAnsi="Arial" w:cs="Arial"/>
        </w:rPr>
      </w:pPr>
      <w:r>
        <w:rPr>
          <w:rStyle w:val="FootnoteReference"/>
        </w:rPr>
        <w:footnoteRef/>
      </w:r>
      <w:r>
        <w:t xml:space="preserve"> </w:t>
      </w:r>
      <w:r>
        <w:rPr>
          <w:rFonts w:ascii="Arial" w:hAnsi="Arial" w:cs="Arial"/>
          <w:i/>
        </w:rPr>
        <w:t xml:space="preserve">FirstEnergy </w:t>
      </w:r>
      <w:r w:rsidRPr="00902696">
        <w:rPr>
          <w:rFonts w:ascii="Arial" w:hAnsi="Arial" w:cs="Arial"/>
          <w:i/>
        </w:rPr>
        <w:t>Decision</w:t>
      </w:r>
      <w:r>
        <w:rPr>
          <w:rFonts w:ascii="Arial" w:hAnsi="Arial" w:cs="Arial"/>
        </w:rPr>
        <w:t xml:space="preserve"> at </w:t>
      </w:r>
      <w:r w:rsidRPr="00647C37">
        <w:rPr>
          <w:rFonts w:ascii="Arial" w:hAnsi="Arial" w:cs="Arial"/>
        </w:rPr>
        <w:t>¶</w:t>
      </w:r>
      <w:r w:rsidR="000F4AC4">
        <w:rPr>
          <w:rFonts w:ascii="Arial" w:hAnsi="Arial" w:cs="Arial"/>
        </w:rPr>
        <w:t>56</w:t>
      </w:r>
      <w:r w:rsidRPr="00647C37">
        <w:rPr>
          <w:rFonts w:ascii="Arial" w:hAnsi="Arial" w:cs="Arial"/>
        </w:rPr>
        <w:t>.</w:t>
      </w:r>
    </w:p>
    <w:p w14:paraId="11324931" w14:textId="77777777" w:rsidR="00DC4BBC" w:rsidRDefault="00DC4BBC">
      <w:pPr>
        <w:pStyle w:val="FootnoteText"/>
      </w:pPr>
    </w:p>
  </w:footnote>
  <w:footnote w:id="24">
    <w:p w14:paraId="70EA1647" w14:textId="67387EB0" w:rsidR="005B72A6" w:rsidRDefault="005B72A6">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002D13DA">
        <w:rPr>
          <w:rFonts w:ascii="Arial" w:hAnsi="Arial" w:cs="Arial"/>
          <w:i/>
        </w:rPr>
        <w:t>Id.</w:t>
      </w:r>
      <w:r w:rsidR="009A1497">
        <w:rPr>
          <w:rFonts w:ascii="Arial" w:hAnsi="Arial" w:cs="Arial"/>
        </w:rPr>
        <w:t xml:space="preserve"> at</w:t>
      </w:r>
      <w:r>
        <w:rPr>
          <w:rFonts w:ascii="Arial" w:hAnsi="Arial" w:cs="Arial"/>
        </w:rPr>
        <w:t xml:space="preserve"> </w:t>
      </w:r>
      <w:r w:rsidRPr="00647C37">
        <w:rPr>
          <w:rFonts w:ascii="Arial" w:hAnsi="Arial" w:cs="Arial"/>
        </w:rPr>
        <w:t>¶</w:t>
      </w:r>
      <w:r w:rsidR="00C32C8D">
        <w:rPr>
          <w:rFonts w:ascii="Arial" w:hAnsi="Arial" w:cs="Arial"/>
        </w:rPr>
        <w:t>19</w:t>
      </w:r>
      <w:r w:rsidRPr="00647C37">
        <w:rPr>
          <w:rFonts w:ascii="Arial" w:hAnsi="Arial" w:cs="Arial"/>
        </w:rPr>
        <w:t>.</w:t>
      </w:r>
    </w:p>
    <w:p w14:paraId="4DC18AB5" w14:textId="77777777" w:rsidR="00D864C0" w:rsidRPr="004E668A" w:rsidRDefault="00D864C0">
      <w:pPr>
        <w:pStyle w:val="FootnoteText"/>
        <w:rPr>
          <w:rFonts w:ascii="Arial" w:hAnsi="Arial" w:cs="Arial"/>
        </w:rPr>
      </w:pPr>
    </w:p>
  </w:footnote>
  <w:footnote w:id="25">
    <w:p w14:paraId="03339057" w14:textId="6B0AA5C3" w:rsidR="007E2CC8" w:rsidRPr="009A074C" w:rsidRDefault="00D864C0">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007E2CC8" w:rsidRPr="004E668A">
        <w:rPr>
          <w:rFonts w:ascii="Arial" w:hAnsi="Arial" w:cs="Arial"/>
          <w:i/>
        </w:rPr>
        <w:t>Id</w:t>
      </w:r>
      <w:r w:rsidR="001B5898" w:rsidRPr="004E668A">
        <w:rPr>
          <w:rFonts w:ascii="Arial" w:hAnsi="Arial" w:cs="Arial"/>
        </w:rPr>
        <w:t>.</w:t>
      </w:r>
    </w:p>
    <w:p w14:paraId="4CAAD4A0" w14:textId="77777777" w:rsidR="007E2CC8" w:rsidRPr="004E668A" w:rsidRDefault="007E2CC8">
      <w:pPr>
        <w:pStyle w:val="FootnoteText"/>
        <w:rPr>
          <w:rFonts w:ascii="Arial" w:hAnsi="Arial" w:cs="Arial"/>
        </w:rPr>
      </w:pPr>
    </w:p>
  </w:footnote>
  <w:footnote w:id="26">
    <w:p w14:paraId="2F061C9C" w14:textId="0488FF98" w:rsidR="001B5898" w:rsidRDefault="001B5898">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Pr="004E668A">
        <w:rPr>
          <w:rFonts w:ascii="Arial" w:hAnsi="Arial" w:cs="Arial"/>
          <w:i/>
        </w:rPr>
        <w:t>Id</w:t>
      </w:r>
      <w:r w:rsidRPr="004E668A">
        <w:rPr>
          <w:rFonts w:ascii="Arial" w:hAnsi="Arial" w:cs="Arial"/>
        </w:rPr>
        <w:t xml:space="preserve">. at </w:t>
      </w:r>
      <w:r w:rsidRPr="00647C37">
        <w:rPr>
          <w:rFonts w:ascii="Arial" w:hAnsi="Arial" w:cs="Arial"/>
        </w:rPr>
        <w:t>¶</w:t>
      </w:r>
      <w:r>
        <w:rPr>
          <w:rFonts w:ascii="Arial" w:hAnsi="Arial" w:cs="Arial"/>
        </w:rPr>
        <w:t>18</w:t>
      </w:r>
    </w:p>
    <w:p w14:paraId="16C20A71" w14:textId="77777777" w:rsidR="00163527" w:rsidRPr="004E668A" w:rsidRDefault="00163527">
      <w:pPr>
        <w:pStyle w:val="FootnoteText"/>
        <w:rPr>
          <w:rFonts w:ascii="Arial" w:hAnsi="Arial" w:cs="Arial"/>
        </w:rPr>
      </w:pPr>
    </w:p>
  </w:footnote>
  <w:footnote w:id="27">
    <w:p w14:paraId="07343B1E" w14:textId="1B72D626" w:rsidR="00163527" w:rsidRDefault="00163527">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006B60A8" w:rsidRPr="004E668A">
        <w:rPr>
          <w:rFonts w:ascii="Arial" w:hAnsi="Arial" w:cs="Arial"/>
          <w:i/>
        </w:rPr>
        <w:t>Id</w:t>
      </w:r>
      <w:r w:rsidR="006B60A8" w:rsidRPr="004E668A">
        <w:rPr>
          <w:rFonts w:ascii="Arial" w:hAnsi="Arial" w:cs="Arial"/>
        </w:rPr>
        <w:t xml:space="preserve">. at </w:t>
      </w:r>
      <w:r w:rsidR="006B60A8" w:rsidRPr="00647C37">
        <w:rPr>
          <w:rFonts w:ascii="Arial" w:hAnsi="Arial" w:cs="Arial"/>
        </w:rPr>
        <w:t>¶</w:t>
      </w:r>
      <w:r w:rsidR="006B60A8">
        <w:rPr>
          <w:rFonts w:ascii="Arial" w:hAnsi="Arial" w:cs="Arial"/>
        </w:rPr>
        <w:t>19.</w:t>
      </w:r>
    </w:p>
    <w:p w14:paraId="1F8E253C" w14:textId="77777777" w:rsidR="006B60A8" w:rsidRPr="004E668A" w:rsidRDefault="006B60A8">
      <w:pPr>
        <w:pStyle w:val="FootnoteText"/>
        <w:rPr>
          <w:rFonts w:ascii="Arial" w:hAnsi="Arial" w:cs="Arial"/>
        </w:rPr>
      </w:pPr>
    </w:p>
  </w:footnote>
  <w:footnote w:id="28">
    <w:p w14:paraId="3969AA91" w14:textId="2A9EC277" w:rsidR="006B60A8" w:rsidRDefault="006B60A8">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Pr="004E668A">
        <w:rPr>
          <w:rFonts w:ascii="Arial" w:hAnsi="Arial" w:cs="Arial"/>
          <w:i/>
        </w:rPr>
        <w:t>Id</w:t>
      </w:r>
      <w:r w:rsidRPr="004E668A">
        <w:rPr>
          <w:rFonts w:ascii="Arial" w:hAnsi="Arial" w:cs="Arial"/>
        </w:rPr>
        <w:t xml:space="preserve">. at </w:t>
      </w:r>
      <w:r w:rsidRPr="00647C37">
        <w:rPr>
          <w:rFonts w:ascii="Arial" w:hAnsi="Arial" w:cs="Arial"/>
        </w:rPr>
        <w:t>¶</w:t>
      </w:r>
      <w:r>
        <w:rPr>
          <w:rFonts w:ascii="Arial" w:hAnsi="Arial" w:cs="Arial"/>
        </w:rPr>
        <w:t>18</w:t>
      </w:r>
      <w:r w:rsidR="00D5029A">
        <w:rPr>
          <w:rFonts w:ascii="Arial" w:hAnsi="Arial" w:cs="Arial"/>
        </w:rPr>
        <w:t>.</w:t>
      </w:r>
    </w:p>
    <w:p w14:paraId="279711D8" w14:textId="77777777" w:rsidR="009C6E7E" w:rsidRPr="004E668A" w:rsidRDefault="009C6E7E">
      <w:pPr>
        <w:pStyle w:val="FootnoteText"/>
        <w:rPr>
          <w:rFonts w:ascii="Arial" w:hAnsi="Arial" w:cs="Arial"/>
        </w:rPr>
      </w:pPr>
    </w:p>
  </w:footnote>
  <w:footnote w:id="29">
    <w:p w14:paraId="30CB8714" w14:textId="4BD31451" w:rsidR="009C6E7E" w:rsidRDefault="009C6E7E">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Pr="004E668A">
        <w:rPr>
          <w:rFonts w:ascii="Arial" w:hAnsi="Arial" w:cs="Arial"/>
          <w:i/>
        </w:rPr>
        <w:t>Id</w:t>
      </w:r>
      <w:r w:rsidRPr="004E668A">
        <w:rPr>
          <w:rFonts w:ascii="Arial" w:hAnsi="Arial" w:cs="Arial"/>
        </w:rPr>
        <w:t xml:space="preserve">. at </w:t>
      </w:r>
      <w:r w:rsidRPr="00647C37">
        <w:rPr>
          <w:rFonts w:ascii="Arial" w:hAnsi="Arial" w:cs="Arial"/>
        </w:rPr>
        <w:t>¶</w:t>
      </w:r>
      <w:r w:rsidR="0000172E">
        <w:rPr>
          <w:rFonts w:ascii="Arial" w:hAnsi="Arial" w:cs="Arial"/>
        </w:rPr>
        <w:t>23.</w:t>
      </w:r>
    </w:p>
    <w:p w14:paraId="7BBF3EB7" w14:textId="77777777" w:rsidR="00B10EB4" w:rsidRPr="004E668A" w:rsidRDefault="00B10EB4">
      <w:pPr>
        <w:pStyle w:val="FootnoteText"/>
        <w:rPr>
          <w:rFonts w:ascii="Arial" w:hAnsi="Arial" w:cs="Arial"/>
        </w:rPr>
      </w:pPr>
    </w:p>
  </w:footnote>
  <w:footnote w:id="30">
    <w:p w14:paraId="0F33BDDA" w14:textId="5FE975E0" w:rsidR="0000172E" w:rsidRPr="004E668A" w:rsidRDefault="0000172E">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00F461EC" w:rsidRPr="00323BC8">
        <w:rPr>
          <w:rFonts w:ascii="Arial" w:hAnsi="Arial" w:cs="Arial"/>
          <w:i/>
        </w:rPr>
        <w:t>FE Fifth Entry on Rehearing</w:t>
      </w:r>
      <w:r w:rsidR="00F461EC" w:rsidRPr="000D5C15">
        <w:rPr>
          <w:rFonts w:ascii="Arial" w:hAnsi="Arial" w:cs="Arial"/>
        </w:rPr>
        <w:t xml:space="preserve"> at </w:t>
      </w:r>
      <w:r w:rsidR="00DA47D3">
        <w:rPr>
          <w:rFonts w:ascii="Arial" w:hAnsi="Arial" w:cs="Arial"/>
        </w:rPr>
        <w:t>40</w:t>
      </w:r>
      <w:r w:rsidR="00F461EC" w:rsidRPr="000D5C15">
        <w:rPr>
          <w:rFonts w:ascii="Arial" w:hAnsi="Arial" w:cs="Arial"/>
        </w:rPr>
        <w:t>-</w:t>
      </w:r>
      <w:r w:rsidR="00DA47D3">
        <w:rPr>
          <w:rFonts w:ascii="Arial" w:hAnsi="Arial" w:cs="Arial"/>
        </w:rPr>
        <w:t>43.</w:t>
      </w:r>
      <w:r w:rsidR="00F461EC" w:rsidRPr="004E668A">
        <w:rPr>
          <w:rFonts w:ascii="Arial" w:hAnsi="Arial" w:cs="Arial"/>
        </w:rPr>
        <w:t xml:space="preserve"> </w:t>
      </w:r>
    </w:p>
    <w:p w14:paraId="1A5BF715" w14:textId="77777777" w:rsidR="00BA7EC8" w:rsidRPr="004E668A" w:rsidRDefault="00BA7EC8">
      <w:pPr>
        <w:pStyle w:val="FootnoteText"/>
        <w:rPr>
          <w:rFonts w:ascii="Arial" w:hAnsi="Arial" w:cs="Arial"/>
        </w:rPr>
      </w:pPr>
    </w:p>
  </w:footnote>
  <w:footnote w:id="31">
    <w:p w14:paraId="3C740105" w14:textId="143130D3" w:rsidR="00BA7EC8" w:rsidRDefault="00BA7EC8">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009A1497">
        <w:rPr>
          <w:rFonts w:ascii="Arial" w:hAnsi="Arial" w:cs="Arial"/>
          <w:i/>
        </w:rPr>
        <w:t xml:space="preserve">FirstEnergy </w:t>
      </w:r>
      <w:r w:rsidR="009A1497" w:rsidRPr="00902696">
        <w:rPr>
          <w:rFonts w:ascii="Arial" w:hAnsi="Arial" w:cs="Arial"/>
          <w:i/>
        </w:rPr>
        <w:t>Decision</w:t>
      </w:r>
      <w:r w:rsidR="009A1497">
        <w:rPr>
          <w:rFonts w:ascii="Arial" w:hAnsi="Arial" w:cs="Arial"/>
        </w:rPr>
        <w:t xml:space="preserve"> at</w:t>
      </w:r>
      <w:r>
        <w:rPr>
          <w:rFonts w:ascii="Arial" w:hAnsi="Arial" w:cs="Arial"/>
        </w:rPr>
        <w:t xml:space="preserve"> </w:t>
      </w:r>
      <w:r w:rsidRPr="00647C37">
        <w:rPr>
          <w:rFonts w:ascii="Arial" w:hAnsi="Arial" w:cs="Arial"/>
        </w:rPr>
        <w:t>¶</w:t>
      </w:r>
      <w:r w:rsidR="00E34C3B">
        <w:rPr>
          <w:rFonts w:ascii="Arial" w:hAnsi="Arial" w:cs="Arial"/>
        </w:rPr>
        <w:t>22</w:t>
      </w:r>
      <w:r w:rsidRPr="00647C37">
        <w:rPr>
          <w:rFonts w:ascii="Arial" w:hAnsi="Arial" w:cs="Arial"/>
        </w:rPr>
        <w:t>.</w:t>
      </w:r>
    </w:p>
    <w:p w14:paraId="394D98E6" w14:textId="77777777" w:rsidR="00E34C3B" w:rsidRPr="004E668A" w:rsidRDefault="00E34C3B">
      <w:pPr>
        <w:pStyle w:val="FootnoteText"/>
        <w:rPr>
          <w:rFonts w:ascii="Arial" w:hAnsi="Arial" w:cs="Arial"/>
        </w:rPr>
      </w:pPr>
    </w:p>
  </w:footnote>
  <w:footnote w:id="32">
    <w:p w14:paraId="2445EB75" w14:textId="79F1C643" w:rsidR="00E34C3B" w:rsidRPr="004E668A" w:rsidRDefault="00E34C3B">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Pr="004E668A">
        <w:rPr>
          <w:rFonts w:ascii="Arial" w:hAnsi="Arial" w:cs="Arial"/>
          <w:i/>
        </w:rPr>
        <w:t>Id</w:t>
      </w:r>
      <w:r w:rsidRPr="004E668A">
        <w:rPr>
          <w:rFonts w:ascii="Arial" w:hAnsi="Arial" w:cs="Arial"/>
        </w:rPr>
        <w:t>.</w:t>
      </w:r>
    </w:p>
    <w:p w14:paraId="4B5002A8" w14:textId="77777777" w:rsidR="00BD1F00" w:rsidRPr="004E668A" w:rsidRDefault="00BD1F00">
      <w:pPr>
        <w:pStyle w:val="FootnoteText"/>
        <w:rPr>
          <w:rFonts w:ascii="Arial" w:hAnsi="Arial" w:cs="Arial"/>
        </w:rPr>
      </w:pPr>
    </w:p>
  </w:footnote>
  <w:footnote w:id="33">
    <w:p w14:paraId="4F2AAFC9" w14:textId="168187FB" w:rsidR="00BD1F00" w:rsidRDefault="00BD1F00">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002A7E4C" w:rsidRPr="004E668A">
        <w:rPr>
          <w:rFonts w:ascii="Arial" w:hAnsi="Arial" w:cs="Arial"/>
          <w:i/>
        </w:rPr>
        <w:t>Id</w:t>
      </w:r>
      <w:r w:rsidR="002A7E4C" w:rsidRPr="004E668A">
        <w:rPr>
          <w:rFonts w:ascii="Arial" w:hAnsi="Arial" w:cs="Arial"/>
        </w:rPr>
        <w:t>. at</w:t>
      </w:r>
      <w:r w:rsidR="002A7E4C">
        <w:rPr>
          <w:rFonts w:ascii="Arial" w:hAnsi="Arial" w:cs="Arial"/>
        </w:rPr>
        <w:t xml:space="preserve"> </w:t>
      </w:r>
      <w:r w:rsidR="002A7E4C" w:rsidRPr="00647C37">
        <w:rPr>
          <w:rFonts w:ascii="Arial" w:hAnsi="Arial" w:cs="Arial"/>
        </w:rPr>
        <w:t>¶</w:t>
      </w:r>
      <w:r w:rsidR="002A7E4C">
        <w:rPr>
          <w:rFonts w:ascii="Arial" w:hAnsi="Arial" w:cs="Arial"/>
        </w:rPr>
        <w:t>26</w:t>
      </w:r>
      <w:r w:rsidR="002A7E4C" w:rsidRPr="00647C37">
        <w:rPr>
          <w:rFonts w:ascii="Arial" w:hAnsi="Arial" w:cs="Arial"/>
        </w:rPr>
        <w:t>.</w:t>
      </w:r>
    </w:p>
    <w:p w14:paraId="7344E695" w14:textId="77777777" w:rsidR="00D52F79" w:rsidRPr="004E668A" w:rsidRDefault="00D52F79">
      <w:pPr>
        <w:pStyle w:val="FootnoteText"/>
        <w:rPr>
          <w:rFonts w:ascii="Arial" w:hAnsi="Arial" w:cs="Arial"/>
        </w:rPr>
      </w:pPr>
    </w:p>
  </w:footnote>
  <w:footnote w:id="34">
    <w:p w14:paraId="46189C2E" w14:textId="30B3C6E2" w:rsidR="00D52F79" w:rsidRPr="004E668A" w:rsidRDefault="00D52F79">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008C2EF5" w:rsidRPr="004E668A">
        <w:rPr>
          <w:rFonts w:ascii="Arial" w:hAnsi="Arial" w:cs="Arial"/>
          <w:i/>
        </w:rPr>
        <w:t>Id</w:t>
      </w:r>
      <w:r w:rsidR="008C2EF5" w:rsidRPr="004E668A">
        <w:rPr>
          <w:rFonts w:ascii="Arial" w:hAnsi="Arial" w:cs="Arial"/>
        </w:rPr>
        <w:t>.</w:t>
      </w:r>
    </w:p>
    <w:p w14:paraId="7BE18C50" w14:textId="77777777" w:rsidR="002D05F3" w:rsidRPr="004E668A" w:rsidRDefault="002D05F3">
      <w:pPr>
        <w:pStyle w:val="FootnoteText"/>
        <w:rPr>
          <w:rFonts w:ascii="Arial" w:hAnsi="Arial" w:cs="Arial"/>
        </w:rPr>
      </w:pPr>
    </w:p>
  </w:footnote>
  <w:footnote w:id="35">
    <w:p w14:paraId="7C68E075" w14:textId="7FA10734" w:rsidR="002D05F3" w:rsidRDefault="002D05F3">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00480D8B" w:rsidRPr="004E668A">
        <w:rPr>
          <w:rFonts w:ascii="Arial" w:hAnsi="Arial" w:cs="Arial"/>
          <w:i/>
        </w:rPr>
        <w:t>Id</w:t>
      </w:r>
      <w:r w:rsidR="00480D8B">
        <w:rPr>
          <w:rFonts w:ascii="Arial" w:hAnsi="Arial" w:cs="Arial"/>
        </w:rPr>
        <w:t xml:space="preserve">. at </w:t>
      </w:r>
      <w:r w:rsidR="00480D8B" w:rsidRPr="00647C37">
        <w:rPr>
          <w:rFonts w:ascii="Arial" w:hAnsi="Arial" w:cs="Arial"/>
        </w:rPr>
        <w:t>¶</w:t>
      </w:r>
      <w:r w:rsidR="00480D8B">
        <w:rPr>
          <w:rFonts w:ascii="Arial" w:hAnsi="Arial" w:cs="Arial"/>
        </w:rPr>
        <w:t>28</w:t>
      </w:r>
      <w:r w:rsidR="007766E1">
        <w:rPr>
          <w:rFonts w:ascii="Arial" w:hAnsi="Arial" w:cs="Arial"/>
        </w:rPr>
        <w:t xml:space="preserve"> (emphasis added)</w:t>
      </w:r>
      <w:r w:rsidR="00480D8B" w:rsidRPr="00647C37">
        <w:rPr>
          <w:rFonts w:ascii="Arial" w:hAnsi="Arial" w:cs="Arial"/>
        </w:rPr>
        <w:t>.</w:t>
      </w:r>
    </w:p>
    <w:p w14:paraId="3B73CECA" w14:textId="77777777" w:rsidR="00542A2E" w:rsidRPr="004E668A" w:rsidRDefault="00542A2E">
      <w:pPr>
        <w:pStyle w:val="FootnoteText"/>
        <w:rPr>
          <w:rFonts w:ascii="Arial" w:hAnsi="Arial" w:cs="Arial"/>
        </w:rPr>
      </w:pPr>
    </w:p>
  </w:footnote>
  <w:footnote w:id="36">
    <w:p w14:paraId="519BCB1D" w14:textId="7A8310E0" w:rsidR="0014302F" w:rsidRPr="004E668A" w:rsidRDefault="0014302F">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009544E7" w:rsidRPr="00F519E8">
        <w:rPr>
          <w:rFonts w:ascii="Arial" w:hAnsi="Arial" w:cs="Arial"/>
          <w:i/>
        </w:rPr>
        <w:t>See</w:t>
      </w:r>
      <w:r w:rsidR="009544E7" w:rsidRPr="004E668A">
        <w:rPr>
          <w:rFonts w:ascii="Arial" w:hAnsi="Arial" w:cs="Arial"/>
        </w:rPr>
        <w:t xml:space="preserve"> R.C. 4928.143(C)(1).</w:t>
      </w:r>
    </w:p>
    <w:p w14:paraId="112B4D93" w14:textId="77777777" w:rsidR="00D009BE" w:rsidRPr="004E668A" w:rsidRDefault="00D009BE">
      <w:pPr>
        <w:pStyle w:val="FootnoteText"/>
        <w:rPr>
          <w:rFonts w:ascii="Arial" w:hAnsi="Arial" w:cs="Arial"/>
        </w:rPr>
      </w:pPr>
    </w:p>
  </w:footnote>
  <w:footnote w:id="37">
    <w:p w14:paraId="1E90FFFE" w14:textId="10264636" w:rsidR="00D009BE" w:rsidRDefault="00D009BE">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009A1497">
        <w:rPr>
          <w:rFonts w:ascii="Arial" w:hAnsi="Arial" w:cs="Arial"/>
          <w:i/>
        </w:rPr>
        <w:t xml:space="preserve">FirstEnergy </w:t>
      </w:r>
      <w:r w:rsidR="009A1497" w:rsidRPr="00902696">
        <w:rPr>
          <w:rFonts w:ascii="Arial" w:hAnsi="Arial" w:cs="Arial"/>
          <w:i/>
        </w:rPr>
        <w:t>Decision</w:t>
      </w:r>
      <w:r w:rsidR="009A1497">
        <w:rPr>
          <w:rFonts w:ascii="Arial" w:hAnsi="Arial" w:cs="Arial"/>
        </w:rPr>
        <w:t xml:space="preserve"> at</w:t>
      </w:r>
      <w:r w:rsidR="00211178">
        <w:rPr>
          <w:rFonts w:ascii="Arial" w:hAnsi="Arial" w:cs="Arial"/>
        </w:rPr>
        <w:t xml:space="preserve"> </w:t>
      </w:r>
      <w:r w:rsidR="00211178" w:rsidRPr="00647C37">
        <w:rPr>
          <w:rFonts w:ascii="Arial" w:hAnsi="Arial" w:cs="Arial"/>
        </w:rPr>
        <w:t>¶</w:t>
      </w:r>
      <w:r w:rsidR="00211178">
        <w:rPr>
          <w:rFonts w:ascii="Arial" w:hAnsi="Arial" w:cs="Arial"/>
        </w:rPr>
        <w:t>37</w:t>
      </w:r>
      <w:r w:rsidR="00211178" w:rsidRPr="00647C37">
        <w:rPr>
          <w:rFonts w:ascii="Arial" w:hAnsi="Arial" w:cs="Arial"/>
        </w:rPr>
        <w:t>.</w:t>
      </w:r>
    </w:p>
    <w:p w14:paraId="14C59271" w14:textId="5F8C6586" w:rsidR="00211178" w:rsidRPr="004E668A" w:rsidRDefault="00211178">
      <w:pPr>
        <w:pStyle w:val="FootnoteText"/>
        <w:rPr>
          <w:rFonts w:ascii="Arial" w:hAnsi="Arial" w:cs="Arial"/>
        </w:rPr>
      </w:pPr>
    </w:p>
  </w:footnote>
  <w:footnote w:id="38">
    <w:p w14:paraId="54AE0F05" w14:textId="0EA6A7BE" w:rsidR="00211178" w:rsidRPr="004E668A" w:rsidRDefault="00211178">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00B92AAF" w:rsidRPr="004E668A">
        <w:rPr>
          <w:rFonts w:ascii="Arial" w:hAnsi="Arial" w:cs="Arial"/>
        </w:rPr>
        <w:t>IGS Ex. 1015 at 27.</w:t>
      </w:r>
    </w:p>
    <w:p w14:paraId="230548AA" w14:textId="77777777" w:rsidR="0064335A" w:rsidRPr="004E668A" w:rsidRDefault="0064335A">
      <w:pPr>
        <w:pStyle w:val="FootnoteText"/>
        <w:rPr>
          <w:rFonts w:ascii="Arial" w:hAnsi="Arial" w:cs="Arial"/>
        </w:rPr>
      </w:pPr>
    </w:p>
  </w:footnote>
  <w:footnote w:id="39">
    <w:p w14:paraId="4AE44343" w14:textId="37B780F4" w:rsidR="004A2614" w:rsidRPr="004E668A" w:rsidRDefault="004A2614">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00162D0A" w:rsidRPr="00F519E8">
        <w:rPr>
          <w:rFonts w:ascii="Arial" w:hAnsi="Arial" w:cs="Arial"/>
          <w:i/>
        </w:rPr>
        <w:t>See</w:t>
      </w:r>
      <w:r w:rsidR="00162D0A" w:rsidRPr="004E668A">
        <w:rPr>
          <w:rFonts w:ascii="Arial" w:hAnsi="Arial" w:cs="Arial"/>
        </w:rPr>
        <w:t xml:space="preserve"> IGS Ex. 1015 at JEH-10 at 3.</w:t>
      </w:r>
    </w:p>
  </w:footnote>
  <w:footnote w:id="40">
    <w:p w14:paraId="0C3819C9" w14:textId="1B91E591" w:rsidR="00E73943" w:rsidRPr="004E668A" w:rsidRDefault="00E73943">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Pr="004E668A">
        <w:rPr>
          <w:rFonts w:ascii="Arial" w:hAnsi="Arial" w:cs="Arial"/>
          <w:i/>
        </w:rPr>
        <w:t>See</w:t>
      </w:r>
      <w:r w:rsidRPr="004E668A">
        <w:rPr>
          <w:rFonts w:ascii="Arial" w:hAnsi="Arial" w:cs="Arial"/>
        </w:rPr>
        <w:t xml:space="preserve"> R.C. 4928.143(</w:t>
      </w:r>
      <w:r w:rsidR="00071493" w:rsidRPr="004E668A">
        <w:rPr>
          <w:rFonts w:ascii="Arial" w:hAnsi="Arial" w:cs="Arial"/>
        </w:rPr>
        <w:t xml:space="preserve">B(2)(H). </w:t>
      </w:r>
    </w:p>
    <w:p w14:paraId="500EDA0E" w14:textId="77777777" w:rsidR="0064335A" w:rsidRPr="004E668A" w:rsidRDefault="0064335A">
      <w:pPr>
        <w:pStyle w:val="FootnoteText"/>
        <w:rPr>
          <w:rFonts w:ascii="Arial" w:hAnsi="Arial" w:cs="Arial"/>
        </w:rPr>
      </w:pPr>
    </w:p>
  </w:footnote>
  <w:footnote w:id="41">
    <w:p w14:paraId="1A152DA7" w14:textId="553EF819" w:rsidR="0064335A" w:rsidRDefault="0064335A" w:rsidP="0064335A">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009A1497">
        <w:rPr>
          <w:rFonts w:ascii="Arial" w:hAnsi="Arial" w:cs="Arial"/>
          <w:i/>
        </w:rPr>
        <w:t xml:space="preserve">FirstEnergy </w:t>
      </w:r>
      <w:r w:rsidR="009A1497" w:rsidRPr="00902696">
        <w:rPr>
          <w:rFonts w:ascii="Arial" w:hAnsi="Arial" w:cs="Arial"/>
          <w:i/>
        </w:rPr>
        <w:t>Decision</w:t>
      </w:r>
      <w:r w:rsidR="009A1497">
        <w:rPr>
          <w:rFonts w:ascii="Arial" w:hAnsi="Arial" w:cs="Arial"/>
        </w:rPr>
        <w:t xml:space="preserve"> at</w:t>
      </w:r>
      <w:r>
        <w:rPr>
          <w:rFonts w:ascii="Arial" w:hAnsi="Arial" w:cs="Arial"/>
        </w:rPr>
        <w:t xml:space="preserve"> </w:t>
      </w:r>
      <w:r w:rsidRPr="00647C37">
        <w:rPr>
          <w:rFonts w:ascii="Arial" w:hAnsi="Arial" w:cs="Arial"/>
        </w:rPr>
        <w:t>¶</w:t>
      </w:r>
      <w:r>
        <w:rPr>
          <w:rFonts w:ascii="Arial" w:hAnsi="Arial" w:cs="Arial"/>
        </w:rPr>
        <w:t>3</w:t>
      </w:r>
      <w:r w:rsidR="00844207">
        <w:rPr>
          <w:rFonts w:ascii="Arial" w:hAnsi="Arial" w:cs="Arial"/>
        </w:rPr>
        <w:t>5-9</w:t>
      </w:r>
      <w:r w:rsidRPr="00647C37">
        <w:rPr>
          <w:rFonts w:ascii="Arial" w:hAnsi="Arial" w:cs="Arial"/>
        </w:rPr>
        <w:t>.</w:t>
      </w:r>
    </w:p>
    <w:p w14:paraId="0F3CD2DA" w14:textId="4534FF91" w:rsidR="0064335A" w:rsidRPr="004E668A" w:rsidRDefault="0064335A">
      <w:pPr>
        <w:pStyle w:val="FootnoteText"/>
        <w:rPr>
          <w:rFonts w:ascii="Arial" w:hAnsi="Arial" w:cs="Arial"/>
        </w:rPr>
      </w:pPr>
    </w:p>
  </w:footnote>
  <w:footnote w:id="42">
    <w:p w14:paraId="7DA2E535" w14:textId="77777777" w:rsidR="004E26C4" w:rsidRDefault="004E26C4" w:rsidP="004E26C4">
      <w:pPr>
        <w:pStyle w:val="FootnoteText"/>
        <w:rPr>
          <w:rFonts w:ascii="Arial" w:hAnsi="Arial" w:cs="Arial"/>
        </w:rPr>
      </w:pPr>
      <w:r w:rsidRPr="000D48F4">
        <w:rPr>
          <w:rStyle w:val="FootnoteReference"/>
          <w:rFonts w:ascii="Arial" w:hAnsi="Arial" w:cs="Arial"/>
        </w:rPr>
        <w:footnoteRef/>
      </w:r>
      <w:r w:rsidRPr="000D48F4">
        <w:rPr>
          <w:rFonts w:ascii="Arial" w:hAnsi="Arial" w:cs="Arial"/>
        </w:rPr>
        <w:t xml:space="preserve"> </w:t>
      </w:r>
      <w:r w:rsidRPr="000D48F4">
        <w:rPr>
          <w:rFonts w:ascii="Arial" w:hAnsi="Arial" w:cs="Arial"/>
          <w:i/>
        </w:rPr>
        <w:t xml:space="preserve">See </w:t>
      </w:r>
      <w:r w:rsidRPr="000D48F4">
        <w:rPr>
          <w:rFonts w:ascii="Arial" w:hAnsi="Arial" w:cs="Arial"/>
        </w:rPr>
        <w:t>DP&amp;L Ex. 1 and 2.</w:t>
      </w:r>
    </w:p>
    <w:p w14:paraId="6D401784" w14:textId="77777777" w:rsidR="004E26C4" w:rsidRPr="000D48F4" w:rsidRDefault="004E26C4" w:rsidP="004E26C4">
      <w:pPr>
        <w:pStyle w:val="FootnoteText"/>
        <w:rPr>
          <w:rFonts w:ascii="Arial" w:hAnsi="Arial" w:cs="Arial"/>
        </w:rPr>
      </w:pPr>
    </w:p>
  </w:footnote>
  <w:footnote w:id="43">
    <w:p w14:paraId="4E10D8A9" w14:textId="5E662A13" w:rsidR="009225EC" w:rsidRDefault="009225EC">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009A1497">
        <w:rPr>
          <w:rFonts w:ascii="Arial" w:hAnsi="Arial" w:cs="Arial"/>
          <w:i/>
        </w:rPr>
        <w:t xml:space="preserve">FirstEnergy </w:t>
      </w:r>
      <w:r w:rsidR="009A1497" w:rsidRPr="00902696">
        <w:rPr>
          <w:rFonts w:ascii="Arial" w:hAnsi="Arial" w:cs="Arial"/>
          <w:i/>
        </w:rPr>
        <w:t>Decision</w:t>
      </w:r>
      <w:r w:rsidR="009A1497">
        <w:rPr>
          <w:rFonts w:ascii="Arial" w:hAnsi="Arial" w:cs="Arial"/>
        </w:rPr>
        <w:t xml:space="preserve"> at</w:t>
      </w:r>
      <w:r w:rsidR="00B60033">
        <w:rPr>
          <w:rFonts w:ascii="Arial" w:hAnsi="Arial" w:cs="Arial"/>
        </w:rPr>
        <w:t xml:space="preserve"> </w:t>
      </w:r>
      <w:r w:rsidRPr="00647C37">
        <w:rPr>
          <w:rFonts w:ascii="Arial" w:hAnsi="Arial" w:cs="Arial"/>
        </w:rPr>
        <w:t>¶</w:t>
      </w:r>
      <w:r w:rsidR="00805E95">
        <w:rPr>
          <w:rFonts w:ascii="Arial" w:hAnsi="Arial" w:cs="Arial"/>
        </w:rPr>
        <w:t>2</w:t>
      </w:r>
      <w:r>
        <w:rPr>
          <w:rFonts w:ascii="Arial" w:hAnsi="Arial" w:cs="Arial"/>
        </w:rPr>
        <w:t>7</w:t>
      </w:r>
      <w:r w:rsidR="006744B1">
        <w:rPr>
          <w:rFonts w:ascii="Arial" w:hAnsi="Arial" w:cs="Arial"/>
        </w:rPr>
        <w:t>-</w:t>
      </w:r>
      <w:r w:rsidR="00805E95">
        <w:rPr>
          <w:rFonts w:ascii="Arial" w:hAnsi="Arial" w:cs="Arial"/>
        </w:rPr>
        <w:t>9</w:t>
      </w:r>
      <w:r w:rsidRPr="00647C37">
        <w:rPr>
          <w:rFonts w:ascii="Arial" w:hAnsi="Arial" w:cs="Arial"/>
        </w:rPr>
        <w:t>.</w:t>
      </w:r>
    </w:p>
    <w:p w14:paraId="0237E15A" w14:textId="77777777" w:rsidR="001757C1" w:rsidRPr="004E668A" w:rsidRDefault="001757C1">
      <w:pPr>
        <w:pStyle w:val="FootnoteText"/>
        <w:rPr>
          <w:rFonts w:ascii="Arial" w:hAnsi="Arial" w:cs="Arial"/>
        </w:rPr>
      </w:pPr>
    </w:p>
  </w:footnote>
  <w:footnote w:id="44">
    <w:p w14:paraId="5C5BF1A0" w14:textId="3E95A873" w:rsidR="001757C1" w:rsidRDefault="001757C1">
      <w:pPr>
        <w:pStyle w:val="FootnoteText"/>
      </w:pPr>
      <w:r>
        <w:rPr>
          <w:rStyle w:val="FootnoteReference"/>
        </w:rPr>
        <w:footnoteRef/>
      </w:r>
      <w:r>
        <w:t xml:space="preserve"> </w:t>
      </w:r>
      <w:r>
        <w:rPr>
          <w:i/>
        </w:rPr>
        <w:t>Id</w:t>
      </w:r>
      <w:r>
        <w:t xml:space="preserve">. </w:t>
      </w:r>
    </w:p>
    <w:p w14:paraId="55B57FE3" w14:textId="77777777" w:rsidR="00F17C7B" w:rsidRPr="001757C1" w:rsidRDefault="00F17C7B">
      <w:pPr>
        <w:pStyle w:val="FootnoteText"/>
      </w:pPr>
    </w:p>
  </w:footnote>
  <w:footnote w:id="45">
    <w:p w14:paraId="4C36DD33" w14:textId="684BBE4A" w:rsidR="006E4FE7" w:rsidRPr="00B47E7C" w:rsidRDefault="006E4FE7" w:rsidP="006E4FE7">
      <w:pPr>
        <w:pStyle w:val="FootnoteText"/>
        <w:rPr>
          <w:rFonts w:ascii="Arial" w:hAnsi="Arial" w:cs="Arial"/>
        </w:rPr>
      </w:pPr>
      <w:r w:rsidRPr="00B47E7C">
        <w:rPr>
          <w:rStyle w:val="FootnoteReference"/>
          <w:rFonts w:ascii="Arial" w:hAnsi="Arial" w:cs="Arial"/>
        </w:rPr>
        <w:footnoteRef/>
      </w:r>
      <w:r w:rsidRPr="00B47E7C">
        <w:rPr>
          <w:rFonts w:ascii="Arial" w:hAnsi="Arial" w:cs="Arial"/>
        </w:rPr>
        <w:t xml:space="preserve"> </w:t>
      </w:r>
      <w:r w:rsidR="002D13DA">
        <w:rPr>
          <w:rFonts w:ascii="Arial" w:hAnsi="Arial" w:cs="Arial"/>
          <w:i/>
        </w:rPr>
        <w:t>Id</w:t>
      </w:r>
      <w:r w:rsidR="002D13DA">
        <w:rPr>
          <w:rFonts w:ascii="Arial" w:hAnsi="Arial" w:cs="Arial"/>
        </w:rPr>
        <w:t>.</w:t>
      </w:r>
      <w:r w:rsidR="00FF285A">
        <w:rPr>
          <w:rFonts w:ascii="Arial" w:hAnsi="Arial" w:cs="Arial"/>
        </w:rPr>
        <w:t xml:space="preserve"> </w:t>
      </w:r>
      <w:r w:rsidRPr="00B47E7C">
        <w:rPr>
          <w:rFonts w:ascii="Arial" w:hAnsi="Arial" w:cs="Arial"/>
        </w:rPr>
        <w:t xml:space="preserve">at ¶18 (emphasis in the original). </w:t>
      </w:r>
    </w:p>
  </w:footnote>
  <w:footnote w:id="46">
    <w:p w14:paraId="00D3DE02" w14:textId="3D3576D4" w:rsidR="00AA5BA1" w:rsidRDefault="00AA5BA1">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Tr. Vo. VII at 1162.</w:t>
      </w:r>
    </w:p>
    <w:p w14:paraId="40E31FF3" w14:textId="77777777" w:rsidR="00526CB6" w:rsidRPr="004E668A" w:rsidRDefault="00526CB6">
      <w:pPr>
        <w:pStyle w:val="FootnoteText"/>
        <w:rPr>
          <w:rFonts w:ascii="Arial" w:hAnsi="Arial" w:cs="Arial"/>
        </w:rPr>
      </w:pPr>
    </w:p>
  </w:footnote>
  <w:footnote w:id="47">
    <w:p w14:paraId="602950C4" w14:textId="07E507C7" w:rsidR="00694A73" w:rsidRDefault="00694A73">
      <w:pPr>
        <w:pStyle w:val="FootnoteText"/>
        <w:rPr>
          <w:rFonts w:ascii="Arial" w:hAnsi="Arial" w:cs="Arial"/>
        </w:rPr>
      </w:pPr>
      <w:r w:rsidRPr="00694A73">
        <w:rPr>
          <w:rStyle w:val="FootnoteReference"/>
          <w:rFonts w:ascii="Arial" w:hAnsi="Arial" w:cs="Arial"/>
        </w:rPr>
        <w:footnoteRef/>
      </w:r>
      <w:r w:rsidRPr="00694A73">
        <w:rPr>
          <w:rFonts w:ascii="Arial" w:hAnsi="Arial" w:cs="Arial"/>
        </w:rPr>
        <w:t xml:space="preserve"> Joint Ex. 1. at 5.</w:t>
      </w:r>
    </w:p>
    <w:p w14:paraId="44C85F5A" w14:textId="77777777" w:rsidR="00F17C7B" w:rsidRPr="00694A73" w:rsidRDefault="00F17C7B">
      <w:pPr>
        <w:pStyle w:val="FootnoteText"/>
        <w:rPr>
          <w:rFonts w:ascii="Arial" w:hAnsi="Arial" w:cs="Arial"/>
        </w:rPr>
      </w:pPr>
    </w:p>
  </w:footnote>
  <w:footnote w:id="48">
    <w:p w14:paraId="1F04FC2C" w14:textId="2D47A525" w:rsidR="00B77E22" w:rsidRDefault="00B77E22">
      <w:pPr>
        <w:pStyle w:val="FootnoteText"/>
        <w:rPr>
          <w:rFonts w:ascii="Arial" w:hAnsi="Arial" w:cs="Arial"/>
        </w:rPr>
      </w:pPr>
      <w:r>
        <w:rPr>
          <w:rStyle w:val="FootnoteReference"/>
        </w:rPr>
        <w:footnoteRef/>
      </w:r>
      <w:r>
        <w:t xml:space="preserve"> </w:t>
      </w:r>
      <w:r w:rsidR="00F90B77">
        <w:rPr>
          <w:rFonts w:ascii="Arial" w:hAnsi="Arial" w:cs="Arial"/>
          <w:i/>
        </w:rPr>
        <w:t xml:space="preserve">FirstEnergy </w:t>
      </w:r>
      <w:r w:rsidR="00F90B77" w:rsidRPr="00902696">
        <w:rPr>
          <w:rFonts w:ascii="Arial" w:hAnsi="Arial" w:cs="Arial"/>
          <w:i/>
        </w:rPr>
        <w:t>Decision</w:t>
      </w:r>
      <w:r w:rsidR="00F90B77">
        <w:rPr>
          <w:rFonts w:ascii="Arial" w:hAnsi="Arial" w:cs="Arial"/>
        </w:rPr>
        <w:t xml:space="preserve"> at </w:t>
      </w:r>
      <w:r w:rsidR="00F90B77" w:rsidRPr="00647C37">
        <w:rPr>
          <w:rFonts w:ascii="Arial" w:hAnsi="Arial" w:cs="Arial"/>
        </w:rPr>
        <w:t>¶</w:t>
      </w:r>
      <w:r w:rsidR="00F90B77">
        <w:rPr>
          <w:rFonts w:ascii="Arial" w:hAnsi="Arial" w:cs="Arial"/>
        </w:rPr>
        <w:t>24.</w:t>
      </w:r>
    </w:p>
    <w:p w14:paraId="0F19361F" w14:textId="1C4171B2" w:rsidR="0076563F" w:rsidRDefault="0076563F" w:rsidP="0076563F">
      <w:pPr>
        <w:pStyle w:val="FootnoteText"/>
      </w:pPr>
    </w:p>
  </w:footnote>
  <w:footnote w:id="49">
    <w:p w14:paraId="0F1E9B70" w14:textId="119D845B" w:rsidR="007E119C" w:rsidRDefault="007E119C">
      <w:pPr>
        <w:pStyle w:val="FootnoteText"/>
        <w:rPr>
          <w:rFonts w:ascii="Arial" w:hAnsi="Arial" w:cs="Arial"/>
        </w:rPr>
      </w:pPr>
      <w:r>
        <w:rPr>
          <w:rStyle w:val="FootnoteReference"/>
        </w:rPr>
        <w:footnoteRef/>
      </w:r>
      <w:r>
        <w:t xml:space="preserve"> </w:t>
      </w:r>
      <w:r w:rsidR="00F90B77">
        <w:rPr>
          <w:rFonts w:ascii="Arial" w:hAnsi="Arial" w:cs="Arial"/>
          <w:i/>
        </w:rPr>
        <w:t>Id.</w:t>
      </w:r>
      <w:r>
        <w:rPr>
          <w:rFonts w:ascii="Arial" w:hAnsi="Arial" w:cs="Arial"/>
        </w:rPr>
        <w:t xml:space="preserve"> at </w:t>
      </w:r>
      <w:r w:rsidRPr="00647C37">
        <w:rPr>
          <w:rFonts w:ascii="Arial" w:hAnsi="Arial" w:cs="Arial"/>
        </w:rPr>
        <w:t>¶</w:t>
      </w:r>
      <w:r>
        <w:rPr>
          <w:rFonts w:ascii="Arial" w:hAnsi="Arial" w:cs="Arial"/>
        </w:rPr>
        <w:t>19.</w:t>
      </w:r>
    </w:p>
    <w:p w14:paraId="3197E35A" w14:textId="77777777" w:rsidR="00EB6BC5" w:rsidRDefault="00EB6BC5">
      <w:pPr>
        <w:pStyle w:val="FootnoteText"/>
      </w:pPr>
    </w:p>
  </w:footnote>
  <w:footnote w:id="50">
    <w:p w14:paraId="78F0088E" w14:textId="77777777" w:rsidR="00DD4275" w:rsidRDefault="00DD4275" w:rsidP="00DD4275">
      <w:pPr>
        <w:pStyle w:val="FootnoteText"/>
      </w:pPr>
      <w:r>
        <w:rPr>
          <w:rStyle w:val="FootnoteReference"/>
        </w:rPr>
        <w:footnoteRef/>
      </w:r>
      <w:r>
        <w:t xml:space="preserve"> </w:t>
      </w:r>
      <w:r w:rsidRPr="004E668A">
        <w:rPr>
          <w:rFonts w:ascii="Arial" w:hAnsi="Arial" w:cs="Arial"/>
          <w:i/>
        </w:rPr>
        <w:t>See</w:t>
      </w:r>
      <w:r w:rsidRPr="004E668A">
        <w:rPr>
          <w:rFonts w:ascii="Arial" w:hAnsi="Arial" w:cs="Arial"/>
        </w:rPr>
        <w:t xml:space="preserve"> R.C. 4928.143(B(2)(H).</w:t>
      </w:r>
    </w:p>
  </w:footnote>
  <w:footnote w:id="51">
    <w:p w14:paraId="2ACEB2CC" w14:textId="77777777" w:rsidR="00005366" w:rsidRPr="004E668A" w:rsidRDefault="00005366" w:rsidP="00005366">
      <w:pPr>
        <w:pStyle w:val="FootnoteText"/>
        <w:rPr>
          <w:rFonts w:ascii="Arial" w:hAnsi="Arial" w:cs="Arial"/>
        </w:rPr>
      </w:pPr>
      <w:r w:rsidRPr="004E668A">
        <w:rPr>
          <w:rStyle w:val="FootnoteReference"/>
          <w:rFonts w:ascii="Arial" w:hAnsi="Arial" w:cs="Arial"/>
        </w:rPr>
        <w:footnoteRef/>
      </w:r>
      <w:r w:rsidRPr="004E668A">
        <w:rPr>
          <w:rFonts w:ascii="Arial" w:hAnsi="Arial" w:cs="Arial"/>
        </w:rPr>
        <w:t>FERC Order 679, 116 FERC ¶ 61,057 at 2</w:t>
      </w:r>
      <w:r>
        <w:rPr>
          <w:rFonts w:ascii="Arial" w:hAnsi="Arial" w:cs="Arial"/>
        </w:rPr>
        <w:t>,</w:t>
      </w:r>
      <w:r w:rsidRPr="004E668A">
        <w:rPr>
          <w:rFonts w:ascii="Arial" w:hAnsi="Arial" w:cs="Arial"/>
        </w:rPr>
        <w:t xml:space="preserve"> Docket No. RM06-4-000</w:t>
      </w:r>
      <w:r>
        <w:rPr>
          <w:rFonts w:ascii="Arial" w:hAnsi="Arial" w:cs="Arial"/>
        </w:rPr>
        <w:t xml:space="preserve"> </w:t>
      </w:r>
      <w:r w:rsidRPr="004E668A">
        <w:rPr>
          <w:rFonts w:ascii="Arial" w:hAnsi="Arial" w:cs="Arial"/>
        </w:rPr>
        <w:t>(Jul. 20, 2006) (18 CFR Part 35).</w:t>
      </w:r>
    </w:p>
    <w:p w14:paraId="56ADF73A" w14:textId="77777777" w:rsidR="00005366" w:rsidRPr="004E668A" w:rsidRDefault="00005366" w:rsidP="00862164">
      <w:pPr>
        <w:pStyle w:val="FootnoteText"/>
        <w:jc w:val="both"/>
        <w:rPr>
          <w:rFonts w:ascii="Arial" w:hAnsi="Arial" w:cs="Arial"/>
        </w:rPr>
      </w:pPr>
    </w:p>
  </w:footnote>
  <w:footnote w:id="52">
    <w:p w14:paraId="6AF251F8" w14:textId="77777777" w:rsidR="00005366" w:rsidRPr="004E668A" w:rsidRDefault="00005366" w:rsidP="00862164">
      <w:pPr>
        <w:pStyle w:val="FootnoteText"/>
        <w:jc w:val="both"/>
        <w:rPr>
          <w:rFonts w:ascii="Arial" w:hAnsi="Arial" w:cs="Arial"/>
        </w:rPr>
      </w:pPr>
      <w:r w:rsidRPr="004E668A">
        <w:rPr>
          <w:rStyle w:val="FootnoteReference"/>
          <w:rFonts w:ascii="Arial" w:hAnsi="Arial" w:cs="Arial"/>
        </w:rPr>
        <w:footnoteRef/>
      </w:r>
      <w:r w:rsidRPr="004E668A">
        <w:rPr>
          <w:rFonts w:ascii="Arial" w:hAnsi="Arial" w:cs="Arial"/>
        </w:rPr>
        <w:t xml:space="preserve"> </w:t>
      </w:r>
      <w:r w:rsidRPr="004E668A">
        <w:rPr>
          <w:rFonts w:ascii="Arial" w:hAnsi="Arial" w:cs="Arial"/>
          <w:i/>
        </w:rPr>
        <w:t xml:space="preserve">Id. </w:t>
      </w:r>
      <w:r w:rsidRPr="004E668A">
        <w:rPr>
          <w:rFonts w:ascii="Arial" w:hAnsi="Arial" w:cs="Arial"/>
        </w:rPr>
        <w:t>at 2-3.</w:t>
      </w:r>
    </w:p>
    <w:p w14:paraId="6D3F987E" w14:textId="77777777" w:rsidR="00005366" w:rsidRPr="004E668A" w:rsidRDefault="00005366" w:rsidP="00862164">
      <w:pPr>
        <w:pStyle w:val="FootnoteText"/>
        <w:jc w:val="both"/>
        <w:rPr>
          <w:rFonts w:ascii="Arial" w:hAnsi="Arial" w:cs="Arial"/>
        </w:rPr>
      </w:pPr>
    </w:p>
  </w:footnote>
  <w:footnote w:id="53">
    <w:p w14:paraId="0958A763" w14:textId="77777777" w:rsidR="009B6D11" w:rsidRDefault="009B6D11" w:rsidP="00862164">
      <w:pPr>
        <w:pStyle w:val="FootnoteText"/>
        <w:jc w:val="both"/>
      </w:pPr>
      <w:r w:rsidRPr="00F519E8">
        <w:rPr>
          <w:rStyle w:val="FootnoteReference"/>
          <w:rFonts w:ascii="Arial" w:hAnsi="Arial" w:cs="Arial"/>
        </w:rPr>
        <w:footnoteRef/>
      </w:r>
      <w:r>
        <w:t xml:space="preserve"> </w:t>
      </w:r>
      <w:r>
        <w:rPr>
          <w:rFonts w:ascii="Arial" w:hAnsi="Arial" w:cs="Arial"/>
          <w:i/>
        </w:rPr>
        <w:t xml:space="preserve">FirstEnergy </w:t>
      </w:r>
      <w:r w:rsidRPr="00902696">
        <w:rPr>
          <w:rFonts w:ascii="Arial" w:hAnsi="Arial" w:cs="Arial"/>
          <w:i/>
        </w:rPr>
        <w:t>Decision</w:t>
      </w:r>
      <w:r>
        <w:rPr>
          <w:rFonts w:ascii="Arial" w:hAnsi="Arial" w:cs="Arial"/>
        </w:rPr>
        <w:t xml:space="preserve"> at </w:t>
      </w:r>
      <w:r w:rsidRPr="00647C37">
        <w:rPr>
          <w:rFonts w:ascii="Arial" w:hAnsi="Arial" w:cs="Arial"/>
        </w:rPr>
        <w:t>¶</w:t>
      </w:r>
      <w:r>
        <w:rPr>
          <w:rFonts w:ascii="Arial" w:hAnsi="Arial" w:cs="Arial"/>
        </w:rPr>
        <w:t>17.</w:t>
      </w:r>
    </w:p>
    <w:p w14:paraId="291A2E13" w14:textId="77777777" w:rsidR="009B6D11" w:rsidRDefault="009B6D11" w:rsidP="00862164">
      <w:pPr>
        <w:pStyle w:val="FootnoteText"/>
        <w:jc w:val="both"/>
      </w:pPr>
    </w:p>
  </w:footnote>
  <w:footnote w:id="54">
    <w:p w14:paraId="7719E802" w14:textId="77777777" w:rsidR="00C84870" w:rsidRDefault="00C84870" w:rsidP="00862164">
      <w:pPr>
        <w:pStyle w:val="FootnoteText"/>
        <w:jc w:val="both"/>
        <w:rPr>
          <w:rFonts w:ascii="Arial" w:hAnsi="Arial" w:cs="Arial"/>
        </w:rPr>
      </w:pPr>
      <w:r w:rsidRPr="003E6E15">
        <w:rPr>
          <w:rStyle w:val="FootnoteReference"/>
          <w:rFonts w:ascii="Arial" w:hAnsi="Arial" w:cs="Arial"/>
        </w:rPr>
        <w:footnoteRef/>
      </w:r>
      <w:r w:rsidRPr="003E6E15">
        <w:rPr>
          <w:rFonts w:ascii="Arial" w:hAnsi="Arial" w:cs="Arial"/>
        </w:rPr>
        <w:t xml:space="preserve"> </w:t>
      </w:r>
      <w:r w:rsidRPr="003E6E15">
        <w:rPr>
          <w:rFonts w:ascii="Arial" w:hAnsi="Arial" w:cs="Arial"/>
          <w:i/>
        </w:rPr>
        <w:t>In the Matter of the Application of Duke Energy Ohio, Inc. for an Increase in Electric Distribution Rates</w:t>
      </w:r>
      <w:r w:rsidRPr="003E6E15">
        <w:rPr>
          <w:rFonts w:ascii="Arial" w:hAnsi="Arial" w:cs="Arial"/>
        </w:rPr>
        <w:t xml:space="preserve">, Case Nos. 17-32-EL-AIR, </w:t>
      </w:r>
      <w:r w:rsidRPr="003E6E15">
        <w:rPr>
          <w:rFonts w:ascii="Arial" w:hAnsi="Arial" w:cs="Arial"/>
          <w:i/>
        </w:rPr>
        <w:t>et al.</w:t>
      </w:r>
      <w:r w:rsidRPr="003E6E15">
        <w:rPr>
          <w:rFonts w:ascii="Arial" w:hAnsi="Arial" w:cs="Arial"/>
        </w:rPr>
        <w:t xml:space="preserve">, Opinion and Order at 92-93 (Dec. 19, 2018); </w:t>
      </w:r>
      <w:r>
        <w:rPr>
          <w:rFonts w:ascii="Arial" w:hAnsi="Arial" w:cs="Arial"/>
          <w:i/>
        </w:rPr>
        <w:t>see Cleveland Electric Illum. Co. v. Pub. Util. Comm’n of Ohio</w:t>
      </w:r>
      <w:r>
        <w:rPr>
          <w:rFonts w:ascii="Arial" w:hAnsi="Arial" w:cs="Arial"/>
        </w:rPr>
        <w:t xml:space="preserve">, </w:t>
      </w:r>
      <w:r w:rsidRPr="00E909DE">
        <w:rPr>
          <w:rFonts w:ascii="Arial" w:hAnsi="Arial" w:cs="Arial"/>
        </w:rPr>
        <w:t>4 Ohio St. 3d 107 (1983)</w:t>
      </w:r>
      <w:r>
        <w:rPr>
          <w:rFonts w:ascii="Arial" w:hAnsi="Arial" w:cs="Arial"/>
        </w:rPr>
        <w:t xml:space="preserve">.  </w:t>
      </w:r>
    </w:p>
    <w:p w14:paraId="1E9788C8" w14:textId="77777777" w:rsidR="00FA1759" w:rsidRPr="00FA1759" w:rsidRDefault="00FA1759" w:rsidP="00862164">
      <w:pPr>
        <w:pStyle w:val="FootnoteText"/>
        <w:jc w:val="both"/>
        <w:rPr>
          <w:rFonts w:ascii="Arial" w:hAnsi="Arial" w:cs="Arial"/>
        </w:rPr>
      </w:pPr>
    </w:p>
  </w:footnote>
  <w:footnote w:id="55">
    <w:p w14:paraId="628006FD" w14:textId="45C07A56" w:rsidR="00FA1759" w:rsidRDefault="00FA1759" w:rsidP="00862164">
      <w:pPr>
        <w:pStyle w:val="FootnoteText"/>
        <w:jc w:val="both"/>
        <w:rPr>
          <w:rFonts w:ascii="Arial" w:hAnsi="Arial" w:cs="Arial"/>
        </w:rPr>
      </w:pPr>
      <w:r w:rsidRPr="00FA1759">
        <w:rPr>
          <w:rStyle w:val="FootnoteReference"/>
          <w:rFonts w:ascii="Arial" w:hAnsi="Arial" w:cs="Arial"/>
        </w:rPr>
        <w:footnoteRef/>
      </w:r>
      <w:r w:rsidRPr="00FA1759">
        <w:rPr>
          <w:rFonts w:ascii="Arial" w:hAnsi="Arial" w:cs="Arial"/>
        </w:rPr>
        <w:t xml:space="preserve"> IGS also suggests that any rider be established subject to refund to ensure that customers are protected.</w:t>
      </w:r>
    </w:p>
    <w:p w14:paraId="04221E98" w14:textId="77777777" w:rsidR="002D13DA" w:rsidRDefault="002D13DA" w:rsidP="00862164">
      <w:pPr>
        <w:pStyle w:val="FootnoteText"/>
        <w:jc w:val="both"/>
      </w:pPr>
    </w:p>
  </w:footnote>
  <w:footnote w:id="56">
    <w:p w14:paraId="15EAC3DB" w14:textId="07B3D9B4" w:rsidR="00EB7729" w:rsidRPr="00192E61" w:rsidRDefault="00EB7729" w:rsidP="00EB7729">
      <w:pPr>
        <w:pStyle w:val="FootnoteText"/>
        <w:rPr>
          <w:rFonts w:ascii="Arial" w:hAnsi="Arial" w:cs="Arial"/>
        </w:rPr>
      </w:pPr>
      <w:r w:rsidRPr="00192E61">
        <w:rPr>
          <w:rStyle w:val="FootnoteReference"/>
          <w:rFonts w:ascii="Arial" w:hAnsi="Arial" w:cs="Arial"/>
        </w:rPr>
        <w:footnoteRef/>
      </w:r>
      <w:r w:rsidRPr="00192E61">
        <w:rPr>
          <w:rFonts w:ascii="Arial" w:hAnsi="Arial" w:cs="Arial"/>
        </w:rPr>
        <w:t xml:space="preserve"> </w:t>
      </w:r>
      <w:r w:rsidR="00A55180" w:rsidRPr="00192E61">
        <w:rPr>
          <w:rFonts w:ascii="Arial" w:hAnsi="Arial" w:cs="Arial"/>
          <w:i/>
        </w:rPr>
        <w:t xml:space="preserve">FirstEnergy Decision </w:t>
      </w:r>
      <w:r w:rsidR="00A55180" w:rsidRPr="00192E61">
        <w:rPr>
          <w:rFonts w:ascii="Arial" w:hAnsi="Arial" w:cs="Arial"/>
        </w:rPr>
        <w:t xml:space="preserve">at </w:t>
      </w:r>
      <m:oMath>
        <m:r>
          <w:rPr>
            <w:rFonts w:ascii="Cambria Math" w:hAnsi="Cambria Math" w:cs="Arial"/>
          </w:rPr>
          <m:t>¶17</m:t>
        </m:r>
      </m:oMath>
      <w:r w:rsidR="00A55180" w:rsidRPr="00192E61">
        <w:rPr>
          <w:rFonts w:ascii="Arial" w:eastAsiaTheme="minorEastAsia" w:hAnsi="Arial" w:cs="Arial"/>
        </w:rPr>
        <w:t>.</w:t>
      </w:r>
    </w:p>
    <w:p w14:paraId="6A685AE8" w14:textId="77777777" w:rsidR="00EB7729" w:rsidRPr="007314A0" w:rsidRDefault="00EB7729" w:rsidP="00EB7729">
      <w:pPr>
        <w:pStyle w:val="FootnoteText"/>
      </w:pPr>
    </w:p>
  </w:footnote>
  <w:footnote w:id="57">
    <w:p w14:paraId="46B3F5ED" w14:textId="77777777" w:rsidR="006A477F" w:rsidRDefault="006A477F" w:rsidP="006A477F">
      <w:pPr>
        <w:pStyle w:val="FootnoteText"/>
        <w:rPr>
          <w:rFonts w:ascii="Arial" w:hAnsi="Arial" w:cs="Arial"/>
        </w:rPr>
      </w:pPr>
      <w:r w:rsidRPr="004E668A">
        <w:rPr>
          <w:rStyle w:val="FootnoteReference"/>
          <w:rFonts w:ascii="Arial" w:hAnsi="Arial" w:cs="Arial"/>
        </w:rPr>
        <w:footnoteRef/>
      </w:r>
      <w:r w:rsidRPr="004E668A">
        <w:rPr>
          <w:rFonts w:ascii="Arial" w:hAnsi="Arial" w:cs="Arial"/>
        </w:rPr>
        <w:t xml:space="preserve"> IGS Ex. 1015 at 27.</w:t>
      </w:r>
    </w:p>
    <w:p w14:paraId="455D3F41" w14:textId="77777777" w:rsidR="00857FC1" w:rsidRDefault="00857FC1" w:rsidP="006A477F">
      <w:pPr>
        <w:pStyle w:val="FootnoteText"/>
      </w:pPr>
    </w:p>
  </w:footnote>
  <w:footnote w:id="58">
    <w:p w14:paraId="4F4E4094" w14:textId="77777777" w:rsidR="00EB7729" w:rsidRDefault="00EB7729" w:rsidP="00EB7729">
      <w:pPr>
        <w:pStyle w:val="FootnoteText"/>
        <w:rPr>
          <w:rFonts w:ascii="Arial" w:hAnsi="Arial" w:cs="Arial"/>
        </w:rPr>
      </w:pPr>
      <w:r w:rsidRPr="00162D0A">
        <w:rPr>
          <w:rStyle w:val="FootnoteReference"/>
          <w:rFonts w:ascii="Arial" w:hAnsi="Arial" w:cs="Arial"/>
        </w:rPr>
        <w:footnoteRef/>
      </w:r>
      <w:r w:rsidRPr="00162D0A">
        <w:rPr>
          <w:rFonts w:ascii="Arial" w:hAnsi="Arial" w:cs="Arial"/>
        </w:rPr>
        <w:t xml:space="preserve"> As of December 31, 2017, the shareholders common equity for DP&amp;L was only $330 million.  </w:t>
      </w:r>
      <w:r w:rsidRPr="00162D0A">
        <w:rPr>
          <w:rFonts w:ascii="Arial" w:hAnsi="Arial" w:cs="Arial"/>
          <w:i/>
        </w:rPr>
        <w:t xml:space="preserve">See </w:t>
      </w:r>
      <w:r w:rsidRPr="00162D0A">
        <w:rPr>
          <w:rFonts w:ascii="Arial" w:hAnsi="Arial" w:cs="Arial"/>
        </w:rPr>
        <w:t>IGS Ex. 1015 at JEH-10 at 3.</w:t>
      </w:r>
    </w:p>
    <w:p w14:paraId="08105CBD" w14:textId="77777777" w:rsidR="00EB7729" w:rsidRPr="00932AD1" w:rsidRDefault="00EB7729" w:rsidP="00EB7729">
      <w:pPr>
        <w:pStyle w:val="FootnoteText"/>
        <w:rPr>
          <w:rFonts w:ascii="Arial" w:hAnsi="Arial" w:cs="Arial"/>
        </w:rPr>
      </w:pPr>
    </w:p>
  </w:footnote>
  <w:footnote w:id="59">
    <w:p w14:paraId="5AAB4CA3" w14:textId="500B5F42" w:rsidR="00BE4D30" w:rsidRPr="004E668A" w:rsidRDefault="00BE4D30" w:rsidP="00BE4D30">
      <w:pPr>
        <w:pStyle w:val="FootnoteText"/>
        <w:rPr>
          <w:rFonts w:ascii="Arial" w:hAnsi="Arial" w:cs="Arial"/>
        </w:rPr>
      </w:pPr>
      <w:r w:rsidRPr="00F519E8">
        <w:rPr>
          <w:rStyle w:val="FootnoteReference"/>
          <w:rFonts w:ascii="Arial" w:hAnsi="Arial" w:cs="Arial"/>
        </w:rPr>
        <w:footnoteRef/>
      </w:r>
      <w:r w:rsidRPr="00F519E8">
        <w:rPr>
          <w:rFonts w:ascii="Arial" w:hAnsi="Arial" w:cs="Arial"/>
        </w:rPr>
        <w:t xml:space="preserve"> </w:t>
      </w:r>
      <w:r w:rsidR="00500D55">
        <w:rPr>
          <w:rFonts w:ascii="Arial" w:hAnsi="Arial" w:cs="Arial"/>
          <w:i/>
        </w:rPr>
        <w:t xml:space="preserve">FirstEnergy </w:t>
      </w:r>
      <w:r w:rsidR="00500D55" w:rsidRPr="00902696">
        <w:rPr>
          <w:rFonts w:ascii="Arial" w:hAnsi="Arial" w:cs="Arial"/>
          <w:i/>
        </w:rPr>
        <w:t>Decision</w:t>
      </w:r>
      <w:r w:rsidR="00500D55">
        <w:rPr>
          <w:rFonts w:ascii="Arial" w:hAnsi="Arial" w:cs="Arial"/>
        </w:rPr>
        <w:t xml:space="preserve"> at </w:t>
      </w:r>
      <w:r w:rsidR="00500D55" w:rsidRPr="00647C37">
        <w:rPr>
          <w:rFonts w:ascii="Arial" w:hAnsi="Arial" w:cs="Arial"/>
        </w:rPr>
        <w:t>¶</w:t>
      </w:r>
      <w:r w:rsidR="00500D55">
        <w:rPr>
          <w:rFonts w:ascii="Arial" w:hAnsi="Arial" w:cs="Arial"/>
        </w:rPr>
        <w:t>37</w:t>
      </w:r>
      <w:r w:rsidRPr="004E668A">
        <w:rPr>
          <w:rFonts w:ascii="Arial" w:hAnsi="Arial" w:cs="Arial"/>
        </w:rPr>
        <w:t>.</w:t>
      </w:r>
    </w:p>
    <w:p w14:paraId="642DF4D2" w14:textId="322543EB" w:rsidR="00BE4D30" w:rsidRDefault="00BE4D3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1F88"/>
    <w:multiLevelType w:val="hybridMultilevel"/>
    <w:tmpl w:val="15E6809E"/>
    <w:lvl w:ilvl="0" w:tplc="ABA43100">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3680A"/>
    <w:multiLevelType w:val="hybridMultilevel"/>
    <w:tmpl w:val="0CA472E2"/>
    <w:lvl w:ilvl="0" w:tplc="07C6B2F6">
      <w:start w:val="1"/>
      <w:numFmt w:val="decimal"/>
      <w:lvlText w:val="%1."/>
      <w:lvlJc w:val="left"/>
      <w:pPr>
        <w:ind w:left="1080" w:hanging="360"/>
      </w:pPr>
      <w:rPr>
        <w:rFonts w:hint="default"/>
      </w:rPr>
    </w:lvl>
    <w:lvl w:ilvl="1" w:tplc="AC7A66AC">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89601D"/>
    <w:multiLevelType w:val="hybridMultilevel"/>
    <w:tmpl w:val="C122E28E"/>
    <w:lvl w:ilvl="0" w:tplc="8942479A">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D74D4"/>
    <w:multiLevelType w:val="hybridMultilevel"/>
    <w:tmpl w:val="6148A64A"/>
    <w:lvl w:ilvl="0" w:tplc="E262482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EA7EF4"/>
    <w:multiLevelType w:val="hybridMultilevel"/>
    <w:tmpl w:val="A246FA74"/>
    <w:lvl w:ilvl="0" w:tplc="24EE47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734DD"/>
    <w:multiLevelType w:val="hybridMultilevel"/>
    <w:tmpl w:val="ED0CA64C"/>
    <w:lvl w:ilvl="0" w:tplc="467C94B8">
      <w:start w:val="2"/>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11935F9"/>
    <w:multiLevelType w:val="hybridMultilevel"/>
    <w:tmpl w:val="3D847292"/>
    <w:lvl w:ilvl="0" w:tplc="E408BDC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58318BC"/>
    <w:multiLevelType w:val="hybridMultilevel"/>
    <w:tmpl w:val="252C7396"/>
    <w:lvl w:ilvl="0" w:tplc="094CE434">
      <w:start w:val="1"/>
      <w:numFmt w:val="decimal"/>
      <w:lvlText w:val="(%1)"/>
      <w:lvlJc w:val="left"/>
      <w:pPr>
        <w:ind w:left="1810" w:hanging="37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CD3DD5"/>
    <w:multiLevelType w:val="hybridMultilevel"/>
    <w:tmpl w:val="0206E406"/>
    <w:lvl w:ilvl="0" w:tplc="5D865F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A2D55"/>
    <w:multiLevelType w:val="hybridMultilevel"/>
    <w:tmpl w:val="89061EA8"/>
    <w:lvl w:ilvl="0" w:tplc="AA1C6C5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730D0A"/>
    <w:multiLevelType w:val="hybridMultilevel"/>
    <w:tmpl w:val="BE2C1386"/>
    <w:lvl w:ilvl="0" w:tplc="004006F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3521A0"/>
    <w:multiLevelType w:val="hybridMultilevel"/>
    <w:tmpl w:val="2E4216EA"/>
    <w:lvl w:ilvl="0" w:tplc="6E807CC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C47CF"/>
    <w:multiLevelType w:val="hybridMultilevel"/>
    <w:tmpl w:val="864CBC80"/>
    <w:lvl w:ilvl="0" w:tplc="DD48C09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8B574E"/>
    <w:multiLevelType w:val="hybridMultilevel"/>
    <w:tmpl w:val="A942BD0A"/>
    <w:lvl w:ilvl="0" w:tplc="2B4C68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9"/>
  </w:num>
  <w:num w:numId="4">
    <w:abstractNumId w:val="6"/>
  </w:num>
  <w:num w:numId="5">
    <w:abstractNumId w:val="8"/>
  </w:num>
  <w:num w:numId="6">
    <w:abstractNumId w:val="12"/>
  </w:num>
  <w:num w:numId="7">
    <w:abstractNumId w:val="7"/>
  </w:num>
  <w:num w:numId="8">
    <w:abstractNumId w:val="13"/>
  </w:num>
  <w:num w:numId="9">
    <w:abstractNumId w:val="3"/>
  </w:num>
  <w:num w:numId="10">
    <w:abstractNumId w:val="4"/>
  </w:num>
  <w:num w:numId="11">
    <w:abstractNumId w:val="5"/>
  </w:num>
  <w:num w:numId="12">
    <w:abstractNumId w:val="1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PersonalInformation/>
  <w:removeDateAndTime/>
  <w:proofState w:spelling="clean" w:grammar="clean"/>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C4"/>
    <w:rsid w:val="0000172E"/>
    <w:rsid w:val="000022A7"/>
    <w:rsid w:val="0000489D"/>
    <w:rsid w:val="00005366"/>
    <w:rsid w:val="00015EED"/>
    <w:rsid w:val="00020871"/>
    <w:rsid w:val="000221D8"/>
    <w:rsid w:val="000255AC"/>
    <w:rsid w:val="0002563F"/>
    <w:rsid w:val="0003205F"/>
    <w:rsid w:val="00042799"/>
    <w:rsid w:val="00044DCF"/>
    <w:rsid w:val="0004798D"/>
    <w:rsid w:val="000507BC"/>
    <w:rsid w:val="00051C07"/>
    <w:rsid w:val="000538D5"/>
    <w:rsid w:val="00056BDE"/>
    <w:rsid w:val="00057C7C"/>
    <w:rsid w:val="0006130E"/>
    <w:rsid w:val="0006188E"/>
    <w:rsid w:val="00071493"/>
    <w:rsid w:val="000716C6"/>
    <w:rsid w:val="000748A9"/>
    <w:rsid w:val="00075B7B"/>
    <w:rsid w:val="00077374"/>
    <w:rsid w:val="00082150"/>
    <w:rsid w:val="00085EAC"/>
    <w:rsid w:val="00087471"/>
    <w:rsid w:val="000911B8"/>
    <w:rsid w:val="0009320F"/>
    <w:rsid w:val="00096043"/>
    <w:rsid w:val="000A3D2A"/>
    <w:rsid w:val="000A6D5E"/>
    <w:rsid w:val="000B18B4"/>
    <w:rsid w:val="000B55EA"/>
    <w:rsid w:val="000B6CDB"/>
    <w:rsid w:val="000C126A"/>
    <w:rsid w:val="000C47EF"/>
    <w:rsid w:val="000C5508"/>
    <w:rsid w:val="000C555C"/>
    <w:rsid w:val="000C5C57"/>
    <w:rsid w:val="000C675B"/>
    <w:rsid w:val="000C72AB"/>
    <w:rsid w:val="000C72E4"/>
    <w:rsid w:val="000D0F49"/>
    <w:rsid w:val="000D5C15"/>
    <w:rsid w:val="000D74EF"/>
    <w:rsid w:val="000E323F"/>
    <w:rsid w:val="000E3E21"/>
    <w:rsid w:val="000E3EB6"/>
    <w:rsid w:val="000E4ABF"/>
    <w:rsid w:val="000E5473"/>
    <w:rsid w:val="000E74A9"/>
    <w:rsid w:val="000F1FB1"/>
    <w:rsid w:val="000F3B4B"/>
    <w:rsid w:val="000F4AC4"/>
    <w:rsid w:val="000F63DE"/>
    <w:rsid w:val="0010044E"/>
    <w:rsid w:val="00100DFD"/>
    <w:rsid w:val="00111860"/>
    <w:rsid w:val="00112099"/>
    <w:rsid w:val="0011224C"/>
    <w:rsid w:val="00112652"/>
    <w:rsid w:val="00114CD7"/>
    <w:rsid w:val="00115829"/>
    <w:rsid w:val="00120F23"/>
    <w:rsid w:val="001278C1"/>
    <w:rsid w:val="001302FB"/>
    <w:rsid w:val="00130ED3"/>
    <w:rsid w:val="001323EB"/>
    <w:rsid w:val="001361E5"/>
    <w:rsid w:val="0014083C"/>
    <w:rsid w:val="00141407"/>
    <w:rsid w:val="0014189D"/>
    <w:rsid w:val="0014302F"/>
    <w:rsid w:val="00145078"/>
    <w:rsid w:val="00145504"/>
    <w:rsid w:val="00153A8E"/>
    <w:rsid w:val="00153B94"/>
    <w:rsid w:val="00161487"/>
    <w:rsid w:val="00162D0A"/>
    <w:rsid w:val="00163527"/>
    <w:rsid w:val="0016389B"/>
    <w:rsid w:val="00170B09"/>
    <w:rsid w:val="00174690"/>
    <w:rsid w:val="001757C1"/>
    <w:rsid w:val="00176C76"/>
    <w:rsid w:val="0017770F"/>
    <w:rsid w:val="00183C83"/>
    <w:rsid w:val="001874B7"/>
    <w:rsid w:val="001904C6"/>
    <w:rsid w:val="00192E61"/>
    <w:rsid w:val="00194E05"/>
    <w:rsid w:val="001961D0"/>
    <w:rsid w:val="001A0773"/>
    <w:rsid w:val="001A117F"/>
    <w:rsid w:val="001A249A"/>
    <w:rsid w:val="001A5735"/>
    <w:rsid w:val="001A65E0"/>
    <w:rsid w:val="001B0161"/>
    <w:rsid w:val="001B4BFF"/>
    <w:rsid w:val="001B5898"/>
    <w:rsid w:val="001B6172"/>
    <w:rsid w:val="001B7123"/>
    <w:rsid w:val="001C0114"/>
    <w:rsid w:val="001C025B"/>
    <w:rsid w:val="001C2EA4"/>
    <w:rsid w:val="001C3B42"/>
    <w:rsid w:val="001C3C8E"/>
    <w:rsid w:val="001C5C95"/>
    <w:rsid w:val="001C6CB0"/>
    <w:rsid w:val="001D6899"/>
    <w:rsid w:val="001E019E"/>
    <w:rsid w:val="001E12C6"/>
    <w:rsid w:val="001E20EE"/>
    <w:rsid w:val="001E5B96"/>
    <w:rsid w:val="001E6F73"/>
    <w:rsid w:val="001F1791"/>
    <w:rsid w:val="001F1A67"/>
    <w:rsid w:val="001F2404"/>
    <w:rsid w:val="001F54A0"/>
    <w:rsid w:val="001F5EFE"/>
    <w:rsid w:val="001F5FFC"/>
    <w:rsid w:val="001F6116"/>
    <w:rsid w:val="001F6561"/>
    <w:rsid w:val="001F6DFF"/>
    <w:rsid w:val="002024EC"/>
    <w:rsid w:val="0020464A"/>
    <w:rsid w:val="00205A9E"/>
    <w:rsid w:val="00206657"/>
    <w:rsid w:val="00206A04"/>
    <w:rsid w:val="00206D73"/>
    <w:rsid w:val="00211178"/>
    <w:rsid w:val="0021241C"/>
    <w:rsid w:val="0021422F"/>
    <w:rsid w:val="002148C7"/>
    <w:rsid w:val="0021785C"/>
    <w:rsid w:val="00217EEC"/>
    <w:rsid w:val="00221039"/>
    <w:rsid w:val="00221439"/>
    <w:rsid w:val="00221A6C"/>
    <w:rsid w:val="00225C41"/>
    <w:rsid w:val="00225C99"/>
    <w:rsid w:val="00226949"/>
    <w:rsid w:val="00230DC2"/>
    <w:rsid w:val="002327F1"/>
    <w:rsid w:val="002334F7"/>
    <w:rsid w:val="002344FE"/>
    <w:rsid w:val="00234565"/>
    <w:rsid w:val="00243DC4"/>
    <w:rsid w:val="00254B2A"/>
    <w:rsid w:val="00255983"/>
    <w:rsid w:val="0026011A"/>
    <w:rsid w:val="0026140F"/>
    <w:rsid w:val="0026263C"/>
    <w:rsid w:val="00264090"/>
    <w:rsid w:val="0026680B"/>
    <w:rsid w:val="00276C3C"/>
    <w:rsid w:val="0028080A"/>
    <w:rsid w:val="00282580"/>
    <w:rsid w:val="0028623C"/>
    <w:rsid w:val="0029527C"/>
    <w:rsid w:val="00296491"/>
    <w:rsid w:val="00296796"/>
    <w:rsid w:val="00297546"/>
    <w:rsid w:val="0029786A"/>
    <w:rsid w:val="002A0183"/>
    <w:rsid w:val="002A4846"/>
    <w:rsid w:val="002A6635"/>
    <w:rsid w:val="002A7E4C"/>
    <w:rsid w:val="002B13D7"/>
    <w:rsid w:val="002B2268"/>
    <w:rsid w:val="002B4D1F"/>
    <w:rsid w:val="002B5FE4"/>
    <w:rsid w:val="002B7310"/>
    <w:rsid w:val="002C61C9"/>
    <w:rsid w:val="002C7F16"/>
    <w:rsid w:val="002D05F3"/>
    <w:rsid w:val="002D13DA"/>
    <w:rsid w:val="002D16A0"/>
    <w:rsid w:val="002D2800"/>
    <w:rsid w:val="002E07B8"/>
    <w:rsid w:val="002E4412"/>
    <w:rsid w:val="002F367D"/>
    <w:rsid w:val="002F42CF"/>
    <w:rsid w:val="00300E32"/>
    <w:rsid w:val="00304273"/>
    <w:rsid w:val="00304F3D"/>
    <w:rsid w:val="003065B2"/>
    <w:rsid w:val="00306F66"/>
    <w:rsid w:val="00311789"/>
    <w:rsid w:val="00315FA7"/>
    <w:rsid w:val="00317D2E"/>
    <w:rsid w:val="0032052B"/>
    <w:rsid w:val="00320955"/>
    <w:rsid w:val="00320CBA"/>
    <w:rsid w:val="0032188D"/>
    <w:rsid w:val="00321B7A"/>
    <w:rsid w:val="0032357F"/>
    <w:rsid w:val="00323BC8"/>
    <w:rsid w:val="00325C38"/>
    <w:rsid w:val="0032649C"/>
    <w:rsid w:val="0033231B"/>
    <w:rsid w:val="0033286D"/>
    <w:rsid w:val="0033432D"/>
    <w:rsid w:val="00335E68"/>
    <w:rsid w:val="00336214"/>
    <w:rsid w:val="00340FAB"/>
    <w:rsid w:val="00344119"/>
    <w:rsid w:val="0034528B"/>
    <w:rsid w:val="0034549D"/>
    <w:rsid w:val="00347A3A"/>
    <w:rsid w:val="0035061E"/>
    <w:rsid w:val="00350F2F"/>
    <w:rsid w:val="00350F88"/>
    <w:rsid w:val="00351B5D"/>
    <w:rsid w:val="00351E5C"/>
    <w:rsid w:val="00353F35"/>
    <w:rsid w:val="00355116"/>
    <w:rsid w:val="0035650F"/>
    <w:rsid w:val="00356B99"/>
    <w:rsid w:val="00362A2F"/>
    <w:rsid w:val="003655E1"/>
    <w:rsid w:val="00365D9F"/>
    <w:rsid w:val="003756BF"/>
    <w:rsid w:val="00375A62"/>
    <w:rsid w:val="00380A5D"/>
    <w:rsid w:val="00381DA7"/>
    <w:rsid w:val="003824E6"/>
    <w:rsid w:val="00383A66"/>
    <w:rsid w:val="003864E3"/>
    <w:rsid w:val="00391F32"/>
    <w:rsid w:val="00392612"/>
    <w:rsid w:val="003946B7"/>
    <w:rsid w:val="00394731"/>
    <w:rsid w:val="00396C3C"/>
    <w:rsid w:val="003A1F32"/>
    <w:rsid w:val="003A5D28"/>
    <w:rsid w:val="003B1213"/>
    <w:rsid w:val="003B2B72"/>
    <w:rsid w:val="003B301B"/>
    <w:rsid w:val="003B5D3F"/>
    <w:rsid w:val="003B7C70"/>
    <w:rsid w:val="003C125A"/>
    <w:rsid w:val="003C496F"/>
    <w:rsid w:val="003C5792"/>
    <w:rsid w:val="003C5E8A"/>
    <w:rsid w:val="003D3F88"/>
    <w:rsid w:val="003D415E"/>
    <w:rsid w:val="003D4458"/>
    <w:rsid w:val="003E00BA"/>
    <w:rsid w:val="003E3673"/>
    <w:rsid w:val="003E4D1A"/>
    <w:rsid w:val="003E57D8"/>
    <w:rsid w:val="003E6E15"/>
    <w:rsid w:val="003F2FF7"/>
    <w:rsid w:val="003F31DB"/>
    <w:rsid w:val="00400569"/>
    <w:rsid w:val="00400D16"/>
    <w:rsid w:val="004067A2"/>
    <w:rsid w:val="00407775"/>
    <w:rsid w:val="00407949"/>
    <w:rsid w:val="00415DA1"/>
    <w:rsid w:val="00416F71"/>
    <w:rsid w:val="00417B0D"/>
    <w:rsid w:val="00420CCC"/>
    <w:rsid w:val="00425286"/>
    <w:rsid w:val="00434671"/>
    <w:rsid w:val="00435203"/>
    <w:rsid w:val="00435488"/>
    <w:rsid w:val="00436446"/>
    <w:rsid w:val="00436707"/>
    <w:rsid w:val="00437D67"/>
    <w:rsid w:val="0044330B"/>
    <w:rsid w:val="00443DCE"/>
    <w:rsid w:val="00445BEB"/>
    <w:rsid w:val="0045528B"/>
    <w:rsid w:val="00455291"/>
    <w:rsid w:val="004554D3"/>
    <w:rsid w:val="004629D4"/>
    <w:rsid w:val="00465EE7"/>
    <w:rsid w:val="00470B08"/>
    <w:rsid w:val="00470FBB"/>
    <w:rsid w:val="0047370B"/>
    <w:rsid w:val="00474F4B"/>
    <w:rsid w:val="00476E07"/>
    <w:rsid w:val="00477895"/>
    <w:rsid w:val="00480D8B"/>
    <w:rsid w:val="00481C52"/>
    <w:rsid w:val="00484158"/>
    <w:rsid w:val="00485992"/>
    <w:rsid w:val="00486376"/>
    <w:rsid w:val="004870E0"/>
    <w:rsid w:val="00487F75"/>
    <w:rsid w:val="004929F0"/>
    <w:rsid w:val="00493ABE"/>
    <w:rsid w:val="00494876"/>
    <w:rsid w:val="00496F05"/>
    <w:rsid w:val="004A2614"/>
    <w:rsid w:val="004A3A81"/>
    <w:rsid w:val="004A5FB0"/>
    <w:rsid w:val="004A63C2"/>
    <w:rsid w:val="004A6835"/>
    <w:rsid w:val="004A7582"/>
    <w:rsid w:val="004B161F"/>
    <w:rsid w:val="004B2F2F"/>
    <w:rsid w:val="004B7743"/>
    <w:rsid w:val="004B7EAB"/>
    <w:rsid w:val="004C0871"/>
    <w:rsid w:val="004C1246"/>
    <w:rsid w:val="004C2170"/>
    <w:rsid w:val="004C2B37"/>
    <w:rsid w:val="004C3C20"/>
    <w:rsid w:val="004C3FA9"/>
    <w:rsid w:val="004C4E4A"/>
    <w:rsid w:val="004C74BF"/>
    <w:rsid w:val="004E26C4"/>
    <w:rsid w:val="004E3CC8"/>
    <w:rsid w:val="004E40B7"/>
    <w:rsid w:val="004E668A"/>
    <w:rsid w:val="004E702A"/>
    <w:rsid w:val="004E796C"/>
    <w:rsid w:val="004E79DD"/>
    <w:rsid w:val="004E7D27"/>
    <w:rsid w:val="004F2C43"/>
    <w:rsid w:val="00500BFD"/>
    <w:rsid w:val="00500D55"/>
    <w:rsid w:val="00501337"/>
    <w:rsid w:val="00501917"/>
    <w:rsid w:val="0050358F"/>
    <w:rsid w:val="0050462A"/>
    <w:rsid w:val="005054A8"/>
    <w:rsid w:val="00512103"/>
    <w:rsid w:val="00512727"/>
    <w:rsid w:val="0051371F"/>
    <w:rsid w:val="00513B96"/>
    <w:rsid w:val="0051428B"/>
    <w:rsid w:val="0051440C"/>
    <w:rsid w:val="005147EC"/>
    <w:rsid w:val="0051647E"/>
    <w:rsid w:val="00517D47"/>
    <w:rsid w:val="0052086F"/>
    <w:rsid w:val="005219CF"/>
    <w:rsid w:val="005226DB"/>
    <w:rsid w:val="00522E69"/>
    <w:rsid w:val="00523DAD"/>
    <w:rsid w:val="00526385"/>
    <w:rsid w:val="00526928"/>
    <w:rsid w:val="00526CB6"/>
    <w:rsid w:val="0053203F"/>
    <w:rsid w:val="0053209E"/>
    <w:rsid w:val="0053506D"/>
    <w:rsid w:val="00542A2E"/>
    <w:rsid w:val="0054660E"/>
    <w:rsid w:val="0054799A"/>
    <w:rsid w:val="00547B49"/>
    <w:rsid w:val="00551BFD"/>
    <w:rsid w:val="00553888"/>
    <w:rsid w:val="005539E0"/>
    <w:rsid w:val="00553B4F"/>
    <w:rsid w:val="00556397"/>
    <w:rsid w:val="00556B0E"/>
    <w:rsid w:val="00557577"/>
    <w:rsid w:val="0056050E"/>
    <w:rsid w:val="00562773"/>
    <w:rsid w:val="005636A8"/>
    <w:rsid w:val="00565D68"/>
    <w:rsid w:val="0056612D"/>
    <w:rsid w:val="00573B99"/>
    <w:rsid w:val="0057475B"/>
    <w:rsid w:val="00574F1E"/>
    <w:rsid w:val="00575A3C"/>
    <w:rsid w:val="00575BAD"/>
    <w:rsid w:val="00575C5A"/>
    <w:rsid w:val="005779CF"/>
    <w:rsid w:val="00577DD5"/>
    <w:rsid w:val="005818EF"/>
    <w:rsid w:val="00582D57"/>
    <w:rsid w:val="00583080"/>
    <w:rsid w:val="0058570C"/>
    <w:rsid w:val="00595424"/>
    <w:rsid w:val="00596F99"/>
    <w:rsid w:val="00597585"/>
    <w:rsid w:val="005A405A"/>
    <w:rsid w:val="005A7350"/>
    <w:rsid w:val="005B0DD5"/>
    <w:rsid w:val="005B72A6"/>
    <w:rsid w:val="005C666B"/>
    <w:rsid w:val="005C77BF"/>
    <w:rsid w:val="005D29E7"/>
    <w:rsid w:val="005D331D"/>
    <w:rsid w:val="005D7079"/>
    <w:rsid w:val="005D7852"/>
    <w:rsid w:val="005D7BD8"/>
    <w:rsid w:val="005E3182"/>
    <w:rsid w:val="005F5457"/>
    <w:rsid w:val="005F6B6E"/>
    <w:rsid w:val="00600425"/>
    <w:rsid w:val="006031E1"/>
    <w:rsid w:val="00606973"/>
    <w:rsid w:val="00606C39"/>
    <w:rsid w:val="00607A21"/>
    <w:rsid w:val="00611094"/>
    <w:rsid w:val="00612255"/>
    <w:rsid w:val="006168DE"/>
    <w:rsid w:val="00616AEB"/>
    <w:rsid w:val="00620F49"/>
    <w:rsid w:val="00626604"/>
    <w:rsid w:val="00626D6F"/>
    <w:rsid w:val="00627D67"/>
    <w:rsid w:val="006307AA"/>
    <w:rsid w:val="006321B9"/>
    <w:rsid w:val="00635BF4"/>
    <w:rsid w:val="0064093A"/>
    <w:rsid w:val="0064335A"/>
    <w:rsid w:val="0064375A"/>
    <w:rsid w:val="006473B7"/>
    <w:rsid w:val="00647AA5"/>
    <w:rsid w:val="00647C37"/>
    <w:rsid w:val="00650B07"/>
    <w:rsid w:val="006543D0"/>
    <w:rsid w:val="006545BC"/>
    <w:rsid w:val="00655AD2"/>
    <w:rsid w:val="006575E5"/>
    <w:rsid w:val="0065783C"/>
    <w:rsid w:val="006608B6"/>
    <w:rsid w:val="00670BBE"/>
    <w:rsid w:val="0067140F"/>
    <w:rsid w:val="00672812"/>
    <w:rsid w:val="0067435A"/>
    <w:rsid w:val="006744B1"/>
    <w:rsid w:val="00675D27"/>
    <w:rsid w:val="00680209"/>
    <w:rsid w:val="00681214"/>
    <w:rsid w:val="00690C25"/>
    <w:rsid w:val="006911DA"/>
    <w:rsid w:val="0069268A"/>
    <w:rsid w:val="00692F00"/>
    <w:rsid w:val="00694A73"/>
    <w:rsid w:val="00697B52"/>
    <w:rsid w:val="006A279C"/>
    <w:rsid w:val="006A3D0A"/>
    <w:rsid w:val="006A477F"/>
    <w:rsid w:val="006B0344"/>
    <w:rsid w:val="006B0486"/>
    <w:rsid w:val="006B09A9"/>
    <w:rsid w:val="006B2499"/>
    <w:rsid w:val="006B28BA"/>
    <w:rsid w:val="006B391B"/>
    <w:rsid w:val="006B60A8"/>
    <w:rsid w:val="006B6F4E"/>
    <w:rsid w:val="006C09B2"/>
    <w:rsid w:val="006C2199"/>
    <w:rsid w:val="006C306F"/>
    <w:rsid w:val="006D18C2"/>
    <w:rsid w:val="006D2911"/>
    <w:rsid w:val="006D2DFC"/>
    <w:rsid w:val="006D3DB6"/>
    <w:rsid w:val="006E4FE7"/>
    <w:rsid w:val="006E58CF"/>
    <w:rsid w:val="006F2444"/>
    <w:rsid w:val="006F519B"/>
    <w:rsid w:val="006F61AB"/>
    <w:rsid w:val="006F717E"/>
    <w:rsid w:val="007013D1"/>
    <w:rsid w:val="00701F09"/>
    <w:rsid w:val="0070331C"/>
    <w:rsid w:val="00706D59"/>
    <w:rsid w:val="0070716C"/>
    <w:rsid w:val="00707A75"/>
    <w:rsid w:val="007139D6"/>
    <w:rsid w:val="00714F4A"/>
    <w:rsid w:val="00720C55"/>
    <w:rsid w:val="007231AB"/>
    <w:rsid w:val="00723520"/>
    <w:rsid w:val="007314A0"/>
    <w:rsid w:val="00731728"/>
    <w:rsid w:val="00731C3D"/>
    <w:rsid w:val="0073309E"/>
    <w:rsid w:val="00734AC6"/>
    <w:rsid w:val="0073596F"/>
    <w:rsid w:val="00744149"/>
    <w:rsid w:val="007445BF"/>
    <w:rsid w:val="0075297D"/>
    <w:rsid w:val="00753864"/>
    <w:rsid w:val="00753D72"/>
    <w:rsid w:val="00753E31"/>
    <w:rsid w:val="0075479C"/>
    <w:rsid w:val="0075645B"/>
    <w:rsid w:val="00757B9F"/>
    <w:rsid w:val="00760A07"/>
    <w:rsid w:val="0076261B"/>
    <w:rsid w:val="0076326A"/>
    <w:rsid w:val="00763D90"/>
    <w:rsid w:val="0076563F"/>
    <w:rsid w:val="00765A83"/>
    <w:rsid w:val="0077267F"/>
    <w:rsid w:val="00773164"/>
    <w:rsid w:val="007766E1"/>
    <w:rsid w:val="0078128A"/>
    <w:rsid w:val="00781537"/>
    <w:rsid w:val="00781DD3"/>
    <w:rsid w:val="00785897"/>
    <w:rsid w:val="00787C2C"/>
    <w:rsid w:val="00793756"/>
    <w:rsid w:val="00794CB1"/>
    <w:rsid w:val="007B0495"/>
    <w:rsid w:val="007B63FE"/>
    <w:rsid w:val="007B6A9E"/>
    <w:rsid w:val="007C013D"/>
    <w:rsid w:val="007C185C"/>
    <w:rsid w:val="007C3DA6"/>
    <w:rsid w:val="007D5466"/>
    <w:rsid w:val="007D6EDE"/>
    <w:rsid w:val="007E119C"/>
    <w:rsid w:val="007E2CC8"/>
    <w:rsid w:val="007E2DBC"/>
    <w:rsid w:val="007E31FF"/>
    <w:rsid w:val="007E3A98"/>
    <w:rsid w:val="007E5DCE"/>
    <w:rsid w:val="007F5ECD"/>
    <w:rsid w:val="007F6753"/>
    <w:rsid w:val="00800931"/>
    <w:rsid w:val="00800C9D"/>
    <w:rsid w:val="0080139B"/>
    <w:rsid w:val="00801C8A"/>
    <w:rsid w:val="00804742"/>
    <w:rsid w:val="00804AA5"/>
    <w:rsid w:val="00805519"/>
    <w:rsid w:val="00805E95"/>
    <w:rsid w:val="00806391"/>
    <w:rsid w:val="008120CE"/>
    <w:rsid w:val="00813B15"/>
    <w:rsid w:val="00814820"/>
    <w:rsid w:val="008151F8"/>
    <w:rsid w:val="008179C3"/>
    <w:rsid w:val="00817A07"/>
    <w:rsid w:val="0082023C"/>
    <w:rsid w:val="00821C91"/>
    <w:rsid w:val="00822427"/>
    <w:rsid w:val="00822D87"/>
    <w:rsid w:val="00823545"/>
    <w:rsid w:val="008251F3"/>
    <w:rsid w:val="0082551C"/>
    <w:rsid w:val="00825F1F"/>
    <w:rsid w:val="00826952"/>
    <w:rsid w:val="00826BE1"/>
    <w:rsid w:val="0083278C"/>
    <w:rsid w:val="0083586F"/>
    <w:rsid w:val="00837CC0"/>
    <w:rsid w:val="008418FD"/>
    <w:rsid w:val="0084305A"/>
    <w:rsid w:val="00844207"/>
    <w:rsid w:val="00845E2D"/>
    <w:rsid w:val="00846703"/>
    <w:rsid w:val="008473FD"/>
    <w:rsid w:val="00847BBC"/>
    <w:rsid w:val="00852962"/>
    <w:rsid w:val="00853A4F"/>
    <w:rsid w:val="008542B0"/>
    <w:rsid w:val="00857FC1"/>
    <w:rsid w:val="00861FB1"/>
    <w:rsid w:val="00862164"/>
    <w:rsid w:val="0086527A"/>
    <w:rsid w:val="00865F42"/>
    <w:rsid w:val="00873EE2"/>
    <w:rsid w:val="0087699E"/>
    <w:rsid w:val="00882829"/>
    <w:rsid w:val="008854A2"/>
    <w:rsid w:val="0088608D"/>
    <w:rsid w:val="00886ECC"/>
    <w:rsid w:val="00886F68"/>
    <w:rsid w:val="0088770B"/>
    <w:rsid w:val="008914D8"/>
    <w:rsid w:val="00892699"/>
    <w:rsid w:val="00894BD3"/>
    <w:rsid w:val="008954DA"/>
    <w:rsid w:val="00896342"/>
    <w:rsid w:val="008A0D83"/>
    <w:rsid w:val="008A1E65"/>
    <w:rsid w:val="008A4023"/>
    <w:rsid w:val="008A4CC2"/>
    <w:rsid w:val="008A5986"/>
    <w:rsid w:val="008A635E"/>
    <w:rsid w:val="008A6A05"/>
    <w:rsid w:val="008B08B2"/>
    <w:rsid w:val="008B4A84"/>
    <w:rsid w:val="008B684C"/>
    <w:rsid w:val="008C2EF5"/>
    <w:rsid w:val="008C7653"/>
    <w:rsid w:val="008D0A9F"/>
    <w:rsid w:val="008D22D7"/>
    <w:rsid w:val="008D4A12"/>
    <w:rsid w:val="008D4B3C"/>
    <w:rsid w:val="008D5534"/>
    <w:rsid w:val="008D5E0B"/>
    <w:rsid w:val="008E1CDF"/>
    <w:rsid w:val="008E365C"/>
    <w:rsid w:val="008E67DA"/>
    <w:rsid w:val="008F26EB"/>
    <w:rsid w:val="008F28CF"/>
    <w:rsid w:val="008F7337"/>
    <w:rsid w:val="008F7B55"/>
    <w:rsid w:val="0090036B"/>
    <w:rsid w:val="00902F89"/>
    <w:rsid w:val="00905130"/>
    <w:rsid w:val="00905354"/>
    <w:rsid w:val="00906AE5"/>
    <w:rsid w:val="0091066A"/>
    <w:rsid w:val="00911ABB"/>
    <w:rsid w:val="009124B1"/>
    <w:rsid w:val="009128A8"/>
    <w:rsid w:val="00916171"/>
    <w:rsid w:val="00917571"/>
    <w:rsid w:val="009219F7"/>
    <w:rsid w:val="009225EC"/>
    <w:rsid w:val="0092264D"/>
    <w:rsid w:val="00922EC7"/>
    <w:rsid w:val="00927978"/>
    <w:rsid w:val="00927C9D"/>
    <w:rsid w:val="00932AD1"/>
    <w:rsid w:val="009366CB"/>
    <w:rsid w:val="0093672C"/>
    <w:rsid w:val="00942D20"/>
    <w:rsid w:val="00950634"/>
    <w:rsid w:val="009544E7"/>
    <w:rsid w:val="00957782"/>
    <w:rsid w:val="009615A7"/>
    <w:rsid w:val="00961B49"/>
    <w:rsid w:val="00962F5C"/>
    <w:rsid w:val="00962F62"/>
    <w:rsid w:val="00964291"/>
    <w:rsid w:val="00967AE1"/>
    <w:rsid w:val="00972854"/>
    <w:rsid w:val="00972BB6"/>
    <w:rsid w:val="00972CC8"/>
    <w:rsid w:val="00972F83"/>
    <w:rsid w:val="00973815"/>
    <w:rsid w:val="009755E7"/>
    <w:rsid w:val="00976173"/>
    <w:rsid w:val="009804DD"/>
    <w:rsid w:val="009807B9"/>
    <w:rsid w:val="0098197C"/>
    <w:rsid w:val="00982EB7"/>
    <w:rsid w:val="00983231"/>
    <w:rsid w:val="009847DA"/>
    <w:rsid w:val="009852A5"/>
    <w:rsid w:val="0099259E"/>
    <w:rsid w:val="00992AE7"/>
    <w:rsid w:val="00995A7C"/>
    <w:rsid w:val="009A03D5"/>
    <w:rsid w:val="009A074C"/>
    <w:rsid w:val="009A1119"/>
    <w:rsid w:val="009A1497"/>
    <w:rsid w:val="009A4DE5"/>
    <w:rsid w:val="009A7040"/>
    <w:rsid w:val="009A793B"/>
    <w:rsid w:val="009B4E85"/>
    <w:rsid w:val="009B6D11"/>
    <w:rsid w:val="009B6DD7"/>
    <w:rsid w:val="009C6E7E"/>
    <w:rsid w:val="009E1C7D"/>
    <w:rsid w:val="009E70B9"/>
    <w:rsid w:val="009E7514"/>
    <w:rsid w:val="009E7595"/>
    <w:rsid w:val="009F577F"/>
    <w:rsid w:val="00A004DE"/>
    <w:rsid w:val="00A02485"/>
    <w:rsid w:val="00A030A9"/>
    <w:rsid w:val="00A03FEE"/>
    <w:rsid w:val="00A05193"/>
    <w:rsid w:val="00A05800"/>
    <w:rsid w:val="00A06870"/>
    <w:rsid w:val="00A1141D"/>
    <w:rsid w:val="00A133FF"/>
    <w:rsid w:val="00A17298"/>
    <w:rsid w:val="00A17630"/>
    <w:rsid w:val="00A2061B"/>
    <w:rsid w:val="00A25A6B"/>
    <w:rsid w:val="00A25EA0"/>
    <w:rsid w:val="00A26AD0"/>
    <w:rsid w:val="00A343ED"/>
    <w:rsid w:val="00A34BC4"/>
    <w:rsid w:val="00A55180"/>
    <w:rsid w:val="00A566E5"/>
    <w:rsid w:val="00A616A4"/>
    <w:rsid w:val="00A642CB"/>
    <w:rsid w:val="00A64F81"/>
    <w:rsid w:val="00A67D5B"/>
    <w:rsid w:val="00A713B3"/>
    <w:rsid w:val="00A72529"/>
    <w:rsid w:val="00A73A80"/>
    <w:rsid w:val="00A76DAF"/>
    <w:rsid w:val="00A77529"/>
    <w:rsid w:val="00A909F5"/>
    <w:rsid w:val="00A9474B"/>
    <w:rsid w:val="00A95430"/>
    <w:rsid w:val="00A957B0"/>
    <w:rsid w:val="00A959AE"/>
    <w:rsid w:val="00A969D9"/>
    <w:rsid w:val="00A97962"/>
    <w:rsid w:val="00A97CE8"/>
    <w:rsid w:val="00AA1501"/>
    <w:rsid w:val="00AA5BA1"/>
    <w:rsid w:val="00AA6E3E"/>
    <w:rsid w:val="00AB40A5"/>
    <w:rsid w:val="00AB59A4"/>
    <w:rsid w:val="00AB5DDA"/>
    <w:rsid w:val="00AB6A9A"/>
    <w:rsid w:val="00AC326E"/>
    <w:rsid w:val="00AC3FB2"/>
    <w:rsid w:val="00AD2A3A"/>
    <w:rsid w:val="00AD2CD8"/>
    <w:rsid w:val="00AD2D8A"/>
    <w:rsid w:val="00AD6A9F"/>
    <w:rsid w:val="00AE3B97"/>
    <w:rsid w:val="00AF1F73"/>
    <w:rsid w:val="00AF46BD"/>
    <w:rsid w:val="00B02262"/>
    <w:rsid w:val="00B051D6"/>
    <w:rsid w:val="00B10EB4"/>
    <w:rsid w:val="00B1712B"/>
    <w:rsid w:val="00B17332"/>
    <w:rsid w:val="00B22953"/>
    <w:rsid w:val="00B24FC6"/>
    <w:rsid w:val="00B27BBD"/>
    <w:rsid w:val="00B319BC"/>
    <w:rsid w:val="00B31BD1"/>
    <w:rsid w:val="00B32020"/>
    <w:rsid w:val="00B33952"/>
    <w:rsid w:val="00B343BB"/>
    <w:rsid w:val="00B35C00"/>
    <w:rsid w:val="00B37CA2"/>
    <w:rsid w:val="00B40D50"/>
    <w:rsid w:val="00B5050C"/>
    <w:rsid w:val="00B508DB"/>
    <w:rsid w:val="00B51680"/>
    <w:rsid w:val="00B51F95"/>
    <w:rsid w:val="00B55F58"/>
    <w:rsid w:val="00B60033"/>
    <w:rsid w:val="00B6011C"/>
    <w:rsid w:val="00B61795"/>
    <w:rsid w:val="00B64945"/>
    <w:rsid w:val="00B701DF"/>
    <w:rsid w:val="00B72000"/>
    <w:rsid w:val="00B72124"/>
    <w:rsid w:val="00B73766"/>
    <w:rsid w:val="00B7609F"/>
    <w:rsid w:val="00B7688F"/>
    <w:rsid w:val="00B77460"/>
    <w:rsid w:val="00B77E22"/>
    <w:rsid w:val="00B85402"/>
    <w:rsid w:val="00B85DD6"/>
    <w:rsid w:val="00B90D6A"/>
    <w:rsid w:val="00B91561"/>
    <w:rsid w:val="00B92AAF"/>
    <w:rsid w:val="00B931F4"/>
    <w:rsid w:val="00B94D71"/>
    <w:rsid w:val="00B9638F"/>
    <w:rsid w:val="00B976FE"/>
    <w:rsid w:val="00BA732F"/>
    <w:rsid w:val="00BA7930"/>
    <w:rsid w:val="00BA7EC8"/>
    <w:rsid w:val="00BB0A75"/>
    <w:rsid w:val="00BC06BB"/>
    <w:rsid w:val="00BC6E04"/>
    <w:rsid w:val="00BD00A0"/>
    <w:rsid w:val="00BD1792"/>
    <w:rsid w:val="00BD1F00"/>
    <w:rsid w:val="00BD28B0"/>
    <w:rsid w:val="00BD58F7"/>
    <w:rsid w:val="00BD6D1B"/>
    <w:rsid w:val="00BD6D80"/>
    <w:rsid w:val="00BE1E14"/>
    <w:rsid w:val="00BE1E22"/>
    <w:rsid w:val="00BE230A"/>
    <w:rsid w:val="00BE3820"/>
    <w:rsid w:val="00BE3936"/>
    <w:rsid w:val="00BE4D30"/>
    <w:rsid w:val="00BE514B"/>
    <w:rsid w:val="00BF1AB1"/>
    <w:rsid w:val="00BF2274"/>
    <w:rsid w:val="00BF3521"/>
    <w:rsid w:val="00BF4CD7"/>
    <w:rsid w:val="00C00FB9"/>
    <w:rsid w:val="00C10EAD"/>
    <w:rsid w:val="00C11FD8"/>
    <w:rsid w:val="00C12854"/>
    <w:rsid w:val="00C1374C"/>
    <w:rsid w:val="00C21040"/>
    <w:rsid w:val="00C26289"/>
    <w:rsid w:val="00C30DBF"/>
    <w:rsid w:val="00C31250"/>
    <w:rsid w:val="00C32C8D"/>
    <w:rsid w:val="00C33479"/>
    <w:rsid w:val="00C34468"/>
    <w:rsid w:val="00C37E7D"/>
    <w:rsid w:val="00C412E5"/>
    <w:rsid w:val="00C41DC9"/>
    <w:rsid w:val="00C44CA6"/>
    <w:rsid w:val="00C52C0F"/>
    <w:rsid w:val="00C56F0A"/>
    <w:rsid w:val="00C56F88"/>
    <w:rsid w:val="00C576EE"/>
    <w:rsid w:val="00C6094F"/>
    <w:rsid w:val="00C732DA"/>
    <w:rsid w:val="00C765D7"/>
    <w:rsid w:val="00C8319E"/>
    <w:rsid w:val="00C84870"/>
    <w:rsid w:val="00CA010C"/>
    <w:rsid w:val="00CA22DC"/>
    <w:rsid w:val="00CA2AD0"/>
    <w:rsid w:val="00CA4EB4"/>
    <w:rsid w:val="00CB073C"/>
    <w:rsid w:val="00CB0DB7"/>
    <w:rsid w:val="00CB3740"/>
    <w:rsid w:val="00CB5FBC"/>
    <w:rsid w:val="00CB62A0"/>
    <w:rsid w:val="00CB6830"/>
    <w:rsid w:val="00CC0523"/>
    <w:rsid w:val="00CC43C9"/>
    <w:rsid w:val="00CC5D15"/>
    <w:rsid w:val="00CD16F4"/>
    <w:rsid w:val="00CD3397"/>
    <w:rsid w:val="00CE2486"/>
    <w:rsid w:val="00CE254A"/>
    <w:rsid w:val="00CE565B"/>
    <w:rsid w:val="00CE6E2E"/>
    <w:rsid w:val="00CF4AE3"/>
    <w:rsid w:val="00D0058C"/>
    <w:rsid w:val="00D009BE"/>
    <w:rsid w:val="00D029BF"/>
    <w:rsid w:val="00D0420A"/>
    <w:rsid w:val="00D04CA6"/>
    <w:rsid w:val="00D10045"/>
    <w:rsid w:val="00D108DF"/>
    <w:rsid w:val="00D112FE"/>
    <w:rsid w:val="00D11CA7"/>
    <w:rsid w:val="00D14145"/>
    <w:rsid w:val="00D142C5"/>
    <w:rsid w:val="00D179C3"/>
    <w:rsid w:val="00D20DC6"/>
    <w:rsid w:val="00D2255C"/>
    <w:rsid w:val="00D24922"/>
    <w:rsid w:val="00D40632"/>
    <w:rsid w:val="00D4452C"/>
    <w:rsid w:val="00D45F1E"/>
    <w:rsid w:val="00D462CA"/>
    <w:rsid w:val="00D46482"/>
    <w:rsid w:val="00D46F64"/>
    <w:rsid w:val="00D5029A"/>
    <w:rsid w:val="00D50C7F"/>
    <w:rsid w:val="00D52F79"/>
    <w:rsid w:val="00D5391C"/>
    <w:rsid w:val="00D54E5E"/>
    <w:rsid w:val="00D56BB1"/>
    <w:rsid w:val="00D63452"/>
    <w:rsid w:val="00D63A23"/>
    <w:rsid w:val="00D6629B"/>
    <w:rsid w:val="00D662D6"/>
    <w:rsid w:val="00D7018C"/>
    <w:rsid w:val="00D71022"/>
    <w:rsid w:val="00D762A3"/>
    <w:rsid w:val="00D82C2B"/>
    <w:rsid w:val="00D85612"/>
    <w:rsid w:val="00D862C9"/>
    <w:rsid w:val="00D864C0"/>
    <w:rsid w:val="00D866C6"/>
    <w:rsid w:val="00D905E0"/>
    <w:rsid w:val="00D90AD8"/>
    <w:rsid w:val="00D95A3A"/>
    <w:rsid w:val="00D96229"/>
    <w:rsid w:val="00DA114B"/>
    <w:rsid w:val="00DA1C58"/>
    <w:rsid w:val="00DA32E9"/>
    <w:rsid w:val="00DA47D3"/>
    <w:rsid w:val="00DA4B25"/>
    <w:rsid w:val="00DB1C26"/>
    <w:rsid w:val="00DB4CBF"/>
    <w:rsid w:val="00DB5EB6"/>
    <w:rsid w:val="00DB7428"/>
    <w:rsid w:val="00DC123F"/>
    <w:rsid w:val="00DC1E98"/>
    <w:rsid w:val="00DC4BBC"/>
    <w:rsid w:val="00DD14DF"/>
    <w:rsid w:val="00DD1930"/>
    <w:rsid w:val="00DD2566"/>
    <w:rsid w:val="00DD4275"/>
    <w:rsid w:val="00DE0438"/>
    <w:rsid w:val="00DE48FF"/>
    <w:rsid w:val="00DE597F"/>
    <w:rsid w:val="00DE5CC0"/>
    <w:rsid w:val="00DF14C3"/>
    <w:rsid w:val="00DF5450"/>
    <w:rsid w:val="00E03E93"/>
    <w:rsid w:val="00E1135C"/>
    <w:rsid w:val="00E1238B"/>
    <w:rsid w:val="00E13234"/>
    <w:rsid w:val="00E167F8"/>
    <w:rsid w:val="00E20EEA"/>
    <w:rsid w:val="00E21269"/>
    <w:rsid w:val="00E218B8"/>
    <w:rsid w:val="00E23FF8"/>
    <w:rsid w:val="00E25218"/>
    <w:rsid w:val="00E25EE4"/>
    <w:rsid w:val="00E2629B"/>
    <w:rsid w:val="00E320AA"/>
    <w:rsid w:val="00E32B77"/>
    <w:rsid w:val="00E34C3B"/>
    <w:rsid w:val="00E358E3"/>
    <w:rsid w:val="00E36038"/>
    <w:rsid w:val="00E40292"/>
    <w:rsid w:val="00E428A2"/>
    <w:rsid w:val="00E547F6"/>
    <w:rsid w:val="00E60BB6"/>
    <w:rsid w:val="00E636AE"/>
    <w:rsid w:val="00E64CB8"/>
    <w:rsid w:val="00E66FFD"/>
    <w:rsid w:val="00E7221B"/>
    <w:rsid w:val="00E73943"/>
    <w:rsid w:val="00E74E74"/>
    <w:rsid w:val="00E75D40"/>
    <w:rsid w:val="00E909DE"/>
    <w:rsid w:val="00E91243"/>
    <w:rsid w:val="00E916AE"/>
    <w:rsid w:val="00E922A4"/>
    <w:rsid w:val="00EA33DE"/>
    <w:rsid w:val="00EA713C"/>
    <w:rsid w:val="00EA71E8"/>
    <w:rsid w:val="00EB0D81"/>
    <w:rsid w:val="00EB317D"/>
    <w:rsid w:val="00EB3806"/>
    <w:rsid w:val="00EB6BC5"/>
    <w:rsid w:val="00EB7729"/>
    <w:rsid w:val="00EC22CE"/>
    <w:rsid w:val="00EC28B2"/>
    <w:rsid w:val="00EC2C58"/>
    <w:rsid w:val="00EC34B3"/>
    <w:rsid w:val="00ED052B"/>
    <w:rsid w:val="00ED0F7A"/>
    <w:rsid w:val="00ED4B9A"/>
    <w:rsid w:val="00EE29AA"/>
    <w:rsid w:val="00EE4CC4"/>
    <w:rsid w:val="00EF1899"/>
    <w:rsid w:val="00EF5E11"/>
    <w:rsid w:val="00F012E4"/>
    <w:rsid w:val="00F0690B"/>
    <w:rsid w:val="00F07200"/>
    <w:rsid w:val="00F120A1"/>
    <w:rsid w:val="00F15351"/>
    <w:rsid w:val="00F17C7B"/>
    <w:rsid w:val="00F2212E"/>
    <w:rsid w:val="00F23AC9"/>
    <w:rsid w:val="00F26E41"/>
    <w:rsid w:val="00F2741F"/>
    <w:rsid w:val="00F34956"/>
    <w:rsid w:val="00F37A9B"/>
    <w:rsid w:val="00F41C4D"/>
    <w:rsid w:val="00F43706"/>
    <w:rsid w:val="00F4560F"/>
    <w:rsid w:val="00F461EC"/>
    <w:rsid w:val="00F519E8"/>
    <w:rsid w:val="00F5320B"/>
    <w:rsid w:val="00F55B82"/>
    <w:rsid w:val="00F55F5C"/>
    <w:rsid w:val="00F56814"/>
    <w:rsid w:val="00F5766C"/>
    <w:rsid w:val="00F673FE"/>
    <w:rsid w:val="00F67C36"/>
    <w:rsid w:val="00F70B7B"/>
    <w:rsid w:val="00F710B4"/>
    <w:rsid w:val="00F73F29"/>
    <w:rsid w:val="00F75D5F"/>
    <w:rsid w:val="00F77F42"/>
    <w:rsid w:val="00F811B5"/>
    <w:rsid w:val="00F81B5F"/>
    <w:rsid w:val="00F82B70"/>
    <w:rsid w:val="00F85391"/>
    <w:rsid w:val="00F90B43"/>
    <w:rsid w:val="00F90B77"/>
    <w:rsid w:val="00F956AD"/>
    <w:rsid w:val="00FA1759"/>
    <w:rsid w:val="00FA6DB1"/>
    <w:rsid w:val="00FA795C"/>
    <w:rsid w:val="00FB025A"/>
    <w:rsid w:val="00FB095C"/>
    <w:rsid w:val="00FB1912"/>
    <w:rsid w:val="00FB3636"/>
    <w:rsid w:val="00FB3EAC"/>
    <w:rsid w:val="00FB5397"/>
    <w:rsid w:val="00FC3B7A"/>
    <w:rsid w:val="00FC50F4"/>
    <w:rsid w:val="00FC6CCD"/>
    <w:rsid w:val="00FD47E6"/>
    <w:rsid w:val="00FD5196"/>
    <w:rsid w:val="00FE0125"/>
    <w:rsid w:val="00FE1A3C"/>
    <w:rsid w:val="00FE419A"/>
    <w:rsid w:val="00FE603A"/>
    <w:rsid w:val="00FE6C6C"/>
    <w:rsid w:val="00FE799F"/>
    <w:rsid w:val="00FE7FBC"/>
    <w:rsid w:val="00FF18E3"/>
    <w:rsid w:val="00FF2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F5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6C4"/>
    <w:pPr>
      <w:spacing w:after="24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E26C4"/>
    <w:pPr>
      <w:spacing w:after="0"/>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4E26C4"/>
    <w:rPr>
      <w:rFonts w:asciiTheme="minorHAnsi" w:hAnsiTheme="minorHAnsi" w:cstheme="minorBidi"/>
    </w:rPr>
  </w:style>
  <w:style w:type="character" w:styleId="FootnoteReference">
    <w:name w:val="footnote reference"/>
    <w:aliases w:val="o,(NECG) Footnote Reference,Style 12,Style 13,Style 15,Style 17,Style 18,Style 19,Style 20,Style 28,Style 42,Style 7,Style 8,Style 9,fr,fr1,fr2,fr3,o1,o2,o3"/>
    <w:basedOn w:val="DefaultParagraphFont"/>
    <w:uiPriority w:val="99"/>
    <w:unhideWhenUsed/>
    <w:rsid w:val="004E26C4"/>
    <w:rPr>
      <w:vertAlign w:val="superscript"/>
    </w:rPr>
  </w:style>
  <w:style w:type="paragraph" w:styleId="ListParagraph">
    <w:name w:val="List Paragraph"/>
    <w:basedOn w:val="Normal"/>
    <w:uiPriority w:val="34"/>
    <w:qFormat/>
    <w:rsid w:val="004E26C4"/>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B6CDB"/>
    <w:pPr>
      <w:tabs>
        <w:tab w:val="center" w:pos="4680"/>
        <w:tab w:val="right" w:pos="9360"/>
      </w:tabs>
      <w:spacing w:after="0"/>
    </w:pPr>
  </w:style>
  <w:style w:type="character" w:customStyle="1" w:styleId="HeaderChar">
    <w:name w:val="Header Char"/>
    <w:basedOn w:val="DefaultParagraphFont"/>
    <w:link w:val="Header"/>
    <w:uiPriority w:val="99"/>
    <w:rsid w:val="000B6CDB"/>
    <w:rPr>
      <w:rFonts w:ascii="Times New Roman" w:hAnsi="Times New Roman" w:cs="Times New Roman"/>
      <w:sz w:val="24"/>
      <w:szCs w:val="24"/>
    </w:rPr>
  </w:style>
  <w:style w:type="paragraph" w:styleId="Footer">
    <w:name w:val="footer"/>
    <w:basedOn w:val="Normal"/>
    <w:link w:val="FooterChar"/>
    <w:uiPriority w:val="99"/>
    <w:unhideWhenUsed/>
    <w:rsid w:val="000B6CDB"/>
    <w:pPr>
      <w:tabs>
        <w:tab w:val="center" w:pos="4680"/>
        <w:tab w:val="right" w:pos="9360"/>
      </w:tabs>
      <w:spacing w:after="0"/>
    </w:pPr>
  </w:style>
  <w:style w:type="character" w:customStyle="1" w:styleId="FooterChar">
    <w:name w:val="Footer Char"/>
    <w:basedOn w:val="DefaultParagraphFont"/>
    <w:link w:val="Footer"/>
    <w:uiPriority w:val="99"/>
    <w:rsid w:val="000B6CDB"/>
    <w:rPr>
      <w:rFonts w:ascii="Times New Roman" w:hAnsi="Times New Roman" w:cs="Times New Roman"/>
      <w:sz w:val="24"/>
      <w:szCs w:val="24"/>
    </w:rPr>
  </w:style>
  <w:style w:type="table" w:styleId="TableGrid">
    <w:name w:val="Table Grid"/>
    <w:basedOn w:val="TableNormal"/>
    <w:uiPriority w:val="59"/>
    <w:rsid w:val="004E796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7471"/>
    <w:rPr>
      <w:sz w:val="16"/>
      <w:szCs w:val="16"/>
    </w:rPr>
  </w:style>
  <w:style w:type="paragraph" w:styleId="CommentText">
    <w:name w:val="annotation text"/>
    <w:basedOn w:val="Normal"/>
    <w:link w:val="CommentTextChar"/>
    <w:uiPriority w:val="99"/>
    <w:semiHidden/>
    <w:unhideWhenUsed/>
    <w:rsid w:val="00087471"/>
    <w:rPr>
      <w:sz w:val="20"/>
      <w:szCs w:val="20"/>
    </w:rPr>
  </w:style>
  <w:style w:type="character" w:customStyle="1" w:styleId="CommentTextChar">
    <w:name w:val="Comment Text Char"/>
    <w:basedOn w:val="DefaultParagraphFont"/>
    <w:link w:val="CommentText"/>
    <w:uiPriority w:val="99"/>
    <w:semiHidden/>
    <w:rsid w:val="00087471"/>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87471"/>
    <w:rPr>
      <w:b/>
      <w:bCs/>
    </w:rPr>
  </w:style>
  <w:style w:type="character" w:customStyle="1" w:styleId="CommentSubjectChar">
    <w:name w:val="Comment Subject Char"/>
    <w:basedOn w:val="CommentTextChar"/>
    <w:link w:val="CommentSubject"/>
    <w:uiPriority w:val="99"/>
    <w:semiHidden/>
    <w:rsid w:val="00087471"/>
    <w:rPr>
      <w:rFonts w:ascii="Times New Roman" w:hAnsi="Times New Roman" w:cs="Times New Roman"/>
      <w:b/>
      <w:bCs/>
    </w:rPr>
  </w:style>
  <w:style w:type="paragraph" w:styleId="BalloonText">
    <w:name w:val="Balloon Text"/>
    <w:basedOn w:val="Normal"/>
    <w:link w:val="BalloonTextChar"/>
    <w:uiPriority w:val="99"/>
    <w:semiHidden/>
    <w:unhideWhenUsed/>
    <w:rsid w:val="0008747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471"/>
    <w:rPr>
      <w:rFonts w:ascii="Segoe UI" w:hAnsi="Segoe UI" w:cs="Segoe UI"/>
      <w:sz w:val="18"/>
      <w:szCs w:val="18"/>
    </w:rPr>
  </w:style>
  <w:style w:type="character" w:styleId="PlaceholderText">
    <w:name w:val="Placeholder Text"/>
    <w:basedOn w:val="DefaultParagraphFont"/>
    <w:uiPriority w:val="99"/>
    <w:semiHidden/>
    <w:rsid w:val="00F43706"/>
    <w:rPr>
      <w:color w:val="808080"/>
    </w:rPr>
  </w:style>
  <w:style w:type="paragraph" w:customStyle="1" w:styleId="Level1">
    <w:name w:val="Level 1"/>
    <w:basedOn w:val="TOC1"/>
    <w:link w:val="Level1Char"/>
    <w:qFormat/>
    <w:rsid w:val="00961B49"/>
    <w:pPr>
      <w:tabs>
        <w:tab w:val="right" w:leader="dot" w:pos="8630"/>
      </w:tabs>
      <w:spacing w:before="120" w:after="120"/>
    </w:pPr>
    <w:rPr>
      <w:rFonts w:asciiTheme="majorHAnsi" w:eastAsia="Times New Roman" w:hAnsiTheme="majorHAnsi"/>
      <w:b/>
      <w:bCs/>
      <w:caps/>
      <w:sz w:val="20"/>
      <w:szCs w:val="20"/>
    </w:rPr>
  </w:style>
  <w:style w:type="character" w:customStyle="1" w:styleId="Level1Char">
    <w:name w:val="Level 1 Char"/>
    <w:basedOn w:val="DefaultParagraphFont"/>
    <w:link w:val="Level1"/>
    <w:rsid w:val="00961B49"/>
    <w:rPr>
      <w:rFonts w:asciiTheme="majorHAnsi" w:eastAsia="Times New Roman" w:hAnsiTheme="majorHAnsi" w:cs="Times New Roman"/>
      <w:b/>
      <w:bCs/>
      <w:caps/>
    </w:rPr>
  </w:style>
  <w:style w:type="paragraph" w:styleId="TOC1">
    <w:name w:val="toc 1"/>
    <w:basedOn w:val="Normal"/>
    <w:next w:val="Normal"/>
    <w:autoRedefine/>
    <w:uiPriority w:val="39"/>
    <w:semiHidden/>
    <w:unhideWhenUsed/>
    <w:rsid w:val="00961B4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jireland@ficlaw.com" TargetMode="External"/><Relationship Id="rId18" Type="http://schemas.openxmlformats.org/officeDocument/2006/relationships/hyperlink" Target="mailto:jeffrey.mayes@monitoringanalytics.com" TargetMode="External"/><Relationship Id="rId26" Type="http://schemas.openxmlformats.org/officeDocument/2006/relationships/hyperlink" Target="mailto:Michelle.d.grant@dynegy.com" TargetMode="External"/><Relationship Id="rId39" Type="http://schemas.openxmlformats.org/officeDocument/2006/relationships/hyperlink" Target="mailto:jeanne.kingery@duke-energy.com" TargetMode="External"/><Relationship Id="rId21" Type="http://schemas.openxmlformats.org/officeDocument/2006/relationships/hyperlink" Target="mailto:dboehm@BKLlawfirm.com" TargetMode="External"/><Relationship Id="rId34" Type="http://schemas.openxmlformats.org/officeDocument/2006/relationships/hyperlink" Target="mailto:gthomas@gtpowergroup.com" TargetMode="External"/><Relationship Id="rId42" Type="http://schemas.openxmlformats.org/officeDocument/2006/relationships/hyperlink" Target="mailto:joliker@igsenergy.com" TargetMode="External"/><Relationship Id="rId47" Type="http://schemas.openxmlformats.org/officeDocument/2006/relationships/hyperlink" Target="mailto:glpetrucci@vorys.com" TargetMode="External"/><Relationship Id="rId50" Type="http://schemas.openxmlformats.org/officeDocument/2006/relationships/hyperlink" Target="mailto:kevin.moore@occ.ohio.gov" TargetMode="External"/><Relationship Id="rId55" Type="http://schemas.openxmlformats.org/officeDocument/2006/relationships/hyperlink" Target="mailto:gpoulos@enernoc.com" TargetMode="External"/><Relationship Id="rId63" Type="http://schemas.openxmlformats.org/officeDocument/2006/relationships/hyperlink" Target="mailto:tony.mendoza@sierraclub.org" TargetMode="External"/><Relationship Id="rId68" Type="http://schemas.openxmlformats.org/officeDocument/2006/relationships/hyperlink" Target="mailto:paul@carpenterlipps.com"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darr@mwncmh.com" TargetMode="External"/><Relationship Id="rId29" Type="http://schemas.openxmlformats.org/officeDocument/2006/relationships/hyperlink" Target="mailto:jlang@calfe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liker@igsenergy.com" TargetMode="External"/><Relationship Id="rId24" Type="http://schemas.openxmlformats.org/officeDocument/2006/relationships/hyperlink" Target="mailto:jkylercohn@BKLlawfirm.com" TargetMode="External"/><Relationship Id="rId32" Type="http://schemas.openxmlformats.org/officeDocument/2006/relationships/hyperlink" Target="mailto:dwilliamson@spilmanlaw.com" TargetMode="External"/><Relationship Id="rId37" Type="http://schemas.openxmlformats.org/officeDocument/2006/relationships/hyperlink" Target="mailto:todonnell@dickinsonwright.com" TargetMode="External"/><Relationship Id="rId40" Type="http://schemas.openxmlformats.org/officeDocument/2006/relationships/hyperlink" Target="mailto:kristin.henry@sierraclub.org" TargetMode="External"/><Relationship Id="rId45" Type="http://schemas.openxmlformats.org/officeDocument/2006/relationships/hyperlink" Target="mailto:mjsettineri@vorys.com" TargetMode="External"/><Relationship Id="rId53" Type="http://schemas.openxmlformats.org/officeDocument/2006/relationships/hyperlink" Target="mailto:cmooney@ohiopartners.org" TargetMode="External"/><Relationship Id="rId58" Type="http://schemas.openxmlformats.org/officeDocument/2006/relationships/hyperlink" Target="mailto:stephen.chriss@walmart.com" TargetMode="External"/><Relationship Id="rId66" Type="http://schemas.openxmlformats.org/officeDocument/2006/relationships/hyperlink" Target="mailto:mcrawford@djflawfirm.com" TargetMode="External"/><Relationship Id="rId5" Type="http://schemas.openxmlformats.org/officeDocument/2006/relationships/numbering" Target="numbering.xml"/><Relationship Id="rId15" Type="http://schemas.openxmlformats.org/officeDocument/2006/relationships/hyperlink" Target="mailto:mfleisher@elpc.org" TargetMode="External"/><Relationship Id="rId23" Type="http://schemas.openxmlformats.org/officeDocument/2006/relationships/hyperlink" Target="mailto:kboehm@BKLlawfirm.com" TargetMode="External"/><Relationship Id="rId28" Type="http://schemas.openxmlformats.org/officeDocument/2006/relationships/hyperlink" Target="mailto:slesser@calfee.com" TargetMode="External"/><Relationship Id="rId36" Type="http://schemas.openxmlformats.org/officeDocument/2006/relationships/hyperlink" Target="mailto:stheodore@epsa.org" TargetMode="External"/><Relationship Id="rId49" Type="http://schemas.openxmlformats.org/officeDocument/2006/relationships/hyperlink" Target="mailto:william.michael@occ.ohio.gov" TargetMode="External"/><Relationship Id="rId57" Type="http://schemas.openxmlformats.org/officeDocument/2006/relationships/hyperlink" Target="mailto:elizabeth.watts@duke-energy.com" TargetMode="External"/><Relationship Id="rId61" Type="http://schemas.openxmlformats.org/officeDocument/2006/relationships/hyperlink" Target="mailto:dborchers@bricker.com" TargetMode="External"/><Relationship Id="rId10" Type="http://schemas.openxmlformats.org/officeDocument/2006/relationships/endnotes" Target="endnotes.xml"/><Relationship Id="rId19" Type="http://schemas.openxmlformats.org/officeDocument/2006/relationships/hyperlink" Target="mailto:evelyn.robinson@pjm.com" TargetMode="External"/><Relationship Id="rId31" Type="http://schemas.openxmlformats.org/officeDocument/2006/relationships/hyperlink" Target="mailto:lhawrot@spilmanlaw.com" TargetMode="External"/><Relationship Id="rId44" Type="http://schemas.openxmlformats.org/officeDocument/2006/relationships/hyperlink" Target="mailto:ghiloni@carpenterlipps.com" TargetMode="External"/><Relationship Id="rId52" Type="http://schemas.openxmlformats.org/officeDocument/2006/relationships/hyperlink" Target="mailto:tdougherty@theOEC.org" TargetMode="External"/><Relationship Id="rId60" Type="http://schemas.openxmlformats.org/officeDocument/2006/relationships/hyperlink" Target="mailto:mwarnock@bricker.com" TargetMode="External"/><Relationship Id="rId65" Type="http://schemas.openxmlformats.org/officeDocument/2006/relationships/hyperlink" Target="mailto:jdoll@djflawfir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harkey@ficlaw.com" TargetMode="External"/><Relationship Id="rId22" Type="http://schemas.openxmlformats.org/officeDocument/2006/relationships/hyperlink" Target="mailto:mkurtz@BKLlawfirm.com" TargetMode="External"/><Relationship Id="rId27" Type="http://schemas.openxmlformats.org/officeDocument/2006/relationships/hyperlink" Target="mailto:rsahli@columbus.rr.com" TargetMode="External"/><Relationship Id="rId30" Type="http://schemas.openxmlformats.org/officeDocument/2006/relationships/hyperlink" Target="mailto:talexander@calfee.com" TargetMode="External"/><Relationship Id="rId35" Type="http://schemas.openxmlformats.org/officeDocument/2006/relationships/hyperlink" Target="mailto:laurac@chappelleconsulting.net" TargetMode="External"/><Relationship Id="rId43" Type="http://schemas.openxmlformats.org/officeDocument/2006/relationships/hyperlink" Target="mailto:bojko@carpenterlipps.com" TargetMode="External"/><Relationship Id="rId48" Type="http://schemas.openxmlformats.org/officeDocument/2006/relationships/hyperlink" Target="mailto:ibatikov@vorys.com" TargetMode="External"/><Relationship Id="rId56" Type="http://schemas.openxmlformats.org/officeDocument/2006/relationships/hyperlink" Target="mailto:rick.sites@ohiohospitals.org" TargetMode="External"/><Relationship Id="rId64" Type="http://schemas.openxmlformats.org/officeDocument/2006/relationships/hyperlink" Target="mailto:chris@envlaw.com"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mdortch@kravitzllc.com" TargetMode="External"/><Relationship Id="rId3" Type="http://schemas.openxmlformats.org/officeDocument/2006/relationships/customXml" Target="../customXml/item3.xml"/><Relationship Id="rId12" Type="http://schemas.openxmlformats.org/officeDocument/2006/relationships/hyperlink" Target="mailto:joliker@igsenergy.com" TargetMode="External"/><Relationship Id="rId17" Type="http://schemas.openxmlformats.org/officeDocument/2006/relationships/hyperlink" Target="mailto:mpritchard@mwncmh.com" TargetMode="External"/><Relationship Id="rId25" Type="http://schemas.openxmlformats.org/officeDocument/2006/relationships/hyperlink" Target="mailto:william.wright@ohioattorneygeneral.gov" TargetMode="External"/><Relationship Id="rId33" Type="http://schemas.openxmlformats.org/officeDocument/2006/relationships/hyperlink" Target="mailto:charris@spilmanlaw.com" TargetMode="External"/><Relationship Id="rId38" Type="http://schemas.openxmlformats.org/officeDocument/2006/relationships/hyperlink" Target="mailto:rseiler@dickinsonwright.com" TargetMode="External"/><Relationship Id="rId46" Type="http://schemas.openxmlformats.org/officeDocument/2006/relationships/hyperlink" Target="mailto:smhoward@vorys.com" TargetMode="External"/><Relationship Id="rId59" Type="http://schemas.openxmlformats.org/officeDocument/2006/relationships/hyperlink" Target="mailto:greg.tillman@walmart.com" TargetMode="External"/><Relationship Id="rId67" Type="http://schemas.openxmlformats.org/officeDocument/2006/relationships/hyperlink" Target="mailto:dparram@bricker.com" TargetMode="External"/><Relationship Id="rId20" Type="http://schemas.openxmlformats.org/officeDocument/2006/relationships/hyperlink" Target="mailto:schmidt@sppgrp.com" TargetMode="External"/><Relationship Id="rId41" Type="http://schemas.openxmlformats.org/officeDocument/2006/relationships/hyperlink" Target="mailto:thomas.mcnamee@ohioattorneygeneral.gov" TargetMode="External"/><Relationship Id="rId54" Type="http://schemas.openxmlformats.org/officeDocument/2006/relationships/hyperlink" Target="mailto:Sechler@carpenterlipps.com" TargetMode="External"/><Relationship Id="rId62" Type="http://schemas.openxmlformats.org/officeDocument/2006/relationships/hyperlink" Target="mailto:ejacobs@ablelaw.org"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952F9974ECA4090E456E20DC829D0" ma:contentTypeVersion="8" ma:contentTypeDescription="Create a new document." ma:contentTypeScope="" ma:versionID="b123bb675f538c01cd1edc001d17f45a">
  <xsd:schema xmlns:xsd="http://www.w3.org/2001/XMLSchema" xmlns:xs="http://www.w3.org/2001/XMLSchema" xmlns:p="http://schemas.microsoft.com/office/2006/metadata/properties" xmlns:ns2="7b65a839-91ea-4ae8-a3e7-aa2e1fd1ecb0" xmlns:ns3="55d5c4c6-b9eb-4cda-b39a-7fef7100373c" targetNamespace="http://schemas.microsoft.com/office/2006/metadata/properties" ma:root="true" ma:fieldsID="c0175aaf1d765f7823cf700f99e3fa78" ns2:_="" ns3:_="">
    <xsd:import namespace="7b65a839-91ea-4ae8-a3e7-aa2e1fd1ecb0"/>
    <xsd:import namespace="55d5c4c6-b9eb-4cda-b39a-7fef7100373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5a839-91ea-4ae8-a3e7-aa2e1fd1e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5c4c6-b9eb-4cda-b39a-7fef710037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1FB9C-AC5C-456D-95C2-E3B7947F6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5a839-91ea-4ae8-a3e7-aa2e1fd1ecb0"/>
    <ds:schemaRef ds:uri="55d5c4c6-b9eb-4cda-b39a-7fef71003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AF89A-4194-47D7-9288-2FDD4CD7BEE0}">
  <ds:schemaRefs>
    <ds:schemaRef ds:uri="http://schemas.microsoft.com/sharepoint/v3/contenttype/forms"/>
  </ds:schemaRefs>
</ds:datastoreItem>
</file>

<file path=customXml/itemProps3.xml><?xml version="1.0" encoding="utf-8"?>
<ds:datastoreItem xmlns:ds="http://schemas.openxmlformats.org/officeDocument/2006/customXml" ds:itemID="{5409DB55-A6CA-4C14-88D0-B82C727CB3B5}">
  <ds:schemaRefs>
    <ds:schemaRef ds:uri="55d5c4c6-b9eb-4cda-b39a-7fef7100373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b65a839-91ea-4ae8-a3e7-aa2e1fd1ecb0"/>
    <ds:schemaRef ds:uri="http://www.w3.org/XML/1998/namespace"/>
  </ds:schemaRefs>
</ds:datastoreItem>
</file>

<file path=customXml/itemProps4.xml><?xml version="1.0" encoding="utf-8"?>
<ds:datastoreItem xmlns:ds="http://schemas.openxmlformats.org/officeDocument/2006/customXml" ds:itemID="{E3DE5C4B-FEDA-49EF-A58D-469A4F62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5129</Words>
  <Characters>29239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2019-08-01T20:35:00Z</dcterms:created>
  <dcterms:modified xsi:type="dcterms:W3CDTF">2019-08-01T20:35:00Z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0x010100134952F9974ECA4090E456E20DC829D0</vt:lpwstr>
  </property>
</Properties>
</file>