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52" w:rsidRPr="00141D52" w:rsidRDefault="00141D52" w:rsidP="00141D52">
      <w:pPr>
        <w:widowControl w:val="0"/>
        <w:spacing w:after="0" w:line="240" w:lineRule="auto"/>
        <w:jc w:val="center"/>
        <w:rPr>
          <w:rFonts w:ascii="Arial" w:eastAsia="Times New Roman" w:hAnsi="Arial" w:cs="Arial"/>
          <w:b/>
          <w:sz w:val="24"/>
          <w:szCs w:val="24"/>
        </w:rPr>
      </w:pPr>
      <w:r w:rsidRPr="00141D52">
        <w:rPr>
          <w:rFonts w:ascii="Arial" w:eastAsia="Times New Roman" w:hAnsi="Arial" w:cs="Arial"/>
          <w:b/>
          <w:sz w:val="24"/>
          <w:szCs w:val="24"/>
        </w:rPr>
        <w:t>BEFORE</w:t>
      </w:r>
    </w:p>
    <w:p w:rsidR="00141D52" w:rsidRPr="00141D52" w:rsidRDefault="00141D52" w:rsidP="00141D52">
      <w:pPr>
        <w:widowControl w:val="0"/>
        <w:spacing w:after="200" w:line="276" w:lineRule="auto"/>
        <w:jc w:val="center"/>
        <w:rPr>
          <w:rFonts w:ascii="Arial" w:eastAsia="Times New Roman" w:hAnsi="Arial" w:cs="Arial"/>
          <w:b/>
          <w:sz w:val="24"/>
          <w:szCs w:val="24"/>
        </w:rPr>
      </w:pPr>
      <w:r w:rsidRPr="00141D52">
        <w:rPr>
          <w:rFonts w:ascii="Arial" w:eastAsia="Times New Roman"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41D52" w:rsidRPr="00141D52" w:rsidTr="0021773C">
        <w:trPr>
          <w:trHeight w:val="1908"/>
          <w:jc w:val="center"/>
        </w:trPr>
        <w:tc>
          <w:tcPr>
            <w:tcW w:w="4739" w:type="dxa"/>
          </w:tcPr>
          <w:p w:rsidR="00141D52" w:rsidRPr="00141D52" w:rsidRDefault="00141D52" w:rsidP="00141D52">
            <w:pPr>
              <w:autoSpaceDE w:val="0"/>
              <w:autoSpaceDN w:val="0"/>
              <w:adjustRightInd w:val="0"/>
              <w:spacing w:after="0" w:line="240" w:lineRule="auto"/>
              <w:rPr>
                <w:rFonts w:ascii="Arial" w:eastAsia="Times New Roman" w:hAnsi="Arial" w:cs="Arial"/>
                <w:sz w:val="24"/>
                <w:szCs w:val="24"/>
              </w:rPr>
            </w:pPr>
            <w:r w:rsidRPr="00141D52">
              <w:rPr>
                <w:rFonts w:ascii="Arial" w:eastAsia="Times New Roman" w:hAnsi="Arial" w:cs="Arial"/>
                <w:sz w:val="24"/>
                <w:szCs w:val="24"/>
              </w:rPr>
              <w:t>In the Matter of the Application of Ohio</w:t>
            </w:r>
          </w:p>
          <w:p w:rsidR="00141D52" w:rsidRPr="00141D52" w:rsidRDefault="00141D52" w:rsidP="00141D52">
            <w:pPr>
              <w:autoSpaceDE w:val="0"/>
              <w:autoSpaceDN w:val="0"/>
              <w:adjustRightInd w:val="0"/>
              <w:spacing w:after="0" w:line="240" w:lineRule="auto"/>
              <w:rPr>
                <w:rFonts w:ascii="Arial" w:eastAsia="Times New Roman" w:hAnsi="Arial" w:cs="Arial"/>
                <w:sz w:val="24"/>
                <w:szCs w:val="24"/>
              </w:rPr>
            </w:pPr>
            <w:r w:rsidRPr="00141D52">
              <w:rPr>
                <w:rFonts w:ascii="Arial" w:eastAsia="Times New Roman" w:hAnsi="Arial" w:cs="Arial"/>
                <w:sz w:val="24"/>
                <w:szCs w:val="24"/>
              </w:rPr>
              <w:t>Edison Company, The Cleveland Electric Illuminating Company and The Toledo Edison Company for Approval of their Energy Efficiency and Peak Demand Reduction Program Portfolio Plans for 2017 through 2019</w:t>
            </w:r>
          </w:p>
          <w:p w:rsidR="00141D52" w:rsidRPr="00141D52" w:rsidRDefault="00141D52" w:rsidP="00141D52">
            <w:pPr>
              <w:widowControl w:val="0"/>
              <w:spacing w:after="0" w:line="240" w:lineRule="auto"/>
              <w:rPr>
                <w:rFonts w:ascii="Arial" w:eastAsia="Times New Roman" w:hAnsi="Arial" w:cs="Arial"/>
                <w:sz w:val="24"/>
                <w:szCs w:val="24"/>
              </w:rPr>
            </w:pPr>
          </w:p>
        </w:tc>
        <w:tc>
          <w:tcPr>
            <w:tcW w:w="630" w:type="dxa"/>
          </w:tcPr>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141D52" w:rsidRPr="00141D52" w:rsidRDefault="00141D52" w:rsidP="00141D52">
            <w:pPr>
              <w:widowControl w:val="0"/>
              <w:spacing w:after="0" w:line="240" w:lineRule="auto"/>
              <w:jc w:val="center"/>
              <w:rPr>
                <w:rFonts w:ascii="Arial" w:eastAsia="Times New Roman" w:hAnsi="Arial" w:cs="Arial"/>
                <w:sz w:val="24"/>
                <w:szCs w:val="24"/>
              </w:rPr>
            </w:pPr>
          </w:p>
        </w:tc>
        <w:tc>
          <w:tcPr>
            <w:tcW w:w="3928" w:type="dxa"/>
          </w:tcPr>
          <w:p w:rsidR="00141D52" w:rsidRPr="00141D52" w:rsidRDefault="00141D52" w:rsidP="00141D52">
            <w:pPr>
              <w:widowControl w:val="0"/>
              <w:spacing w:after="0" w:line="240" w:lineRule="auto"/>
              <w:rPr>
                <w:rFonts w:ascii="Arial" w:eastAsia="Times New Roman" w:hAnsi="Arial" w:cs="Arial"/>
                <w:sz w:val="24"/>
                <w:szCs w:val="24"/>
              </w:rPr>
            </w:pPr>
          </w:p>
          <w:p w:rsidR="00141D52" w:rsidRPr="00141D52" w:rsidRDefault="00141D52" w:rsidP="00141D52">
            <w:pPr>
              <w:widowControl w:val="0"/>
              <w:spacing w:after="0" w:line="240" w:lineRule="auto"/>
              <w:rPr>
                <w:rFonts w:ascii="Arial" w:eastAsia="Times New Roman" w:hAnsi="Arial" w:cs="Arial"/>
                <w:sz w:val="24"/>
                <w:szCs w:val="24"/>
              </w:rPr>
            </w:pPr>
            <w:r w:rsidRPr="00141D52">
              <w:rPr>
                <w:rFonts w:ascii="Arial" w:eastAsia="Times New Roman" w:hAnsi="Arial" w:cs="Arial"/>
                <w:sz w:val="24"/>
                <w:szCs w:val="24"/>
              </w:rPr>
              <w:t>Case No. 16-0743-EL-POR</w:t>
            </w:r>
          </w:p>
          <w:p w:rsidR="00141D52" w:rsidRPr="00141D52" w:rsidRDefault="00141D52" w:rsidP="00141D52">
            <w:pPr>
              <w:widowControl w:val="0"/>
              <w:spacing w:after="0" w:line="240" w:lineRule="auto"/>
              <w:rPr>
                <w:rFonts w:ascii="Arial" w:eastAsia="Times New Roman" w:hAnsi="Arial" w:cs="Arial"/>
                <w:sz w:val="24"/>
                <w:szCs w:val="24"/>
              </w:rPr>
            </w:pPr>
          </w:p>
          <w:p w:rsidR="00141D52" w:rsidRPr="00141D52" w:rsidRDefault="00141D52" w:rsidP="00141D52">
            <w:pPr>
              <w:widowControl w:val="0"/>
              <w:spacing w:after="0" w:line="240" w:lineRule="auto"/>
              <w:rPr>
                <w:rFonts w:ascii="Arial" w:eastAsia="Times New Roman" w:hAnsi="Arial" w:cs="Arial"/>
                <w:sz w:val="24"/>
                <w:szCs w:val="24"/>
              </w:rPr>
            </w:pPr>
          </w:p>
        </w:tc>
      </w:tr>
    </w:tbl>
    <w:p w:rsidR="00D528CE" w:rsidRPr="0088309A" w:rsidRDefault="00D528CE" w:rsidP="00D528CE">
      <w:pPr>
        <w:widowControl w:val="0"/>
        <w:pBdr>
          <w:bottom w:val="single" w:sz="12" w:space="0" w:color="auto"/>
        </w:pBdr>
        <w:spacing w:after="0" w:line="240" w:lineRule="auto"/>
        <w:rPr>
          <w:rFonts w:ascii="Arial" w:hAnsi="Arial" w:cs="Arial"/>
          <w:sz w:val="24"/>
          <w:szCs w:val="24"/>
        </w:rPr>
      </w:pPr>
    </w:p>
    <w:p w:rsidR="00D528CE" w:rsidRPr="0088309A" w:rsidRDefault="00D528CE" w:rsidP="00D528CE">
      <w:pPr>
        <w:widowControl w:val="0"/>
        <w:spacing w:after="0" w:line="240" w:lineRule="auto"/>
        <w:jc w:val="center"/>
        <w:rPr>
          <w:rFonts w:ascii="Arial" w:hAnsi="Arial" w:cs="Arial"/>
          <w:b/>
          <w:bCs/>
          <w:sz w:val="24"/>
          <w:szCs w:val="24"/>
        </w:rPr>
      </w:pPr>
    </w:p>
    <w:p w:rsidR="00D528CE" w:rsidRDefault="00BC2B3B" w:rsidP="00D528CE">
      <w:pPr>
        <w:widowControl w:val="0"/>
        <w:pBdr>
          <w:bottom w:val="single" w:sz="12" w:space="1" w:color="auto"/>
        </w:pBdr>
        <w:tabs>
          <w:tab w:val="left" w:pos="6461"/>
        </w:tabs>
        <w:spacing w:after="0" w:line="240" w:lineRule="auto"/>
        <w:jc w:val="center"/>
        <w:rPr>
          <w:rFonts w:ascii="Arial" w:hAnsi="Arial" w:cs="Arial"/>
          <w:b/>
          <w:sz w:val="24"/>
          <w:szCs w:val="24"/>
        </w:rPr>
      </w:pPr>
      <w:r w:rsidRPr="0088309A">
        <w:rPr>
          <w:rFonts w:ascii="Arial" w:hAnsi="Arial" w:cs="Arial"/>
          <w:b/>
          <w:sz w:val="24"/>
          <w:szCs w:val="24"/>
        </w:rPr>
        <w:t>INITIAL BRIEF OF INTERSTATE GAS SUPPLY, INC.</w:t>
      </w:r>
    </w:p>
    <w:p w:rsidR="0088309A" w:rsidRPr="0088309A" w:rsidRDefault="0088309A" w:rsidP="00D528CE">
      <w:pPr>
        <w:widowControl w:val="0"/>
        <w:pBdr>
          <w:bottom w:val="single" w:sz="12" w:space="1" w:color="auto"/>
        </w:pBdr>
        <w:tabs>
          <w:tab w:val="left" w:pos="6461"/>
        </w:tabs>
        <w:spacing w:after="0" w:line="240" w:lineRule="auto"/>
        <w:jc w:val="center"/>
        <w:rPr>
          <w:rFonts w:ascii="Arial" w:hAnsi="Arial" w:cs="Arial"/>
          <w:b/>
          <w:sz w:val="24"/>
          <w:szCs w:val="24"/>
        </w:rPr>
      </w:pPr>
    </w:p>
    <w:p w:rsidR="00D528CE" w:rsidRPr="0088309A" w:rsidRDefault="00D528CE" w:rsidP="00D528CE">
      <w:pPr>
        <w:tabs>
          <w:tab w:val="left" w:pos="360"/>
        </w:tabs>
        <w:spacing w:after="0" w:line="240" w:lineRule="auto"/>
        <w:ind w:left="360" w:hanging="360"/>
        <w:jc w:val="both"/>
        <w:rPr>
          <w:rFonts w:ascii="Arial" w:hAnsi="Arial" w:cs="Arial"/>
          <w:sz w:val="24"/>
          <w:szCs w:val="24"/>
        </w:rPr>
      </w:pPr>
    </w:p>
    <w:p w:rsidR="00D528CE" w:rsidRPr="0088309A" w:rsidRDefault="00D528CE" w:rsidP="00D528CE">
      <w:pPr>
        <w:autoSpaceDE w:val="0"/>
        <w:autoSpaceDN w:val="0"/>
        <w:adjustRightInd w:val="0"/>
        <w:spacing w:after="120" w:line="480" w:lineRule="auto"/>
        <w:ind w:firstLine="720"/>
        <w:jc w:val="both"/>
        <w:rPr>
          <w:rFonts w:ascii="Arial" w:hAnsi="Arial" w:cs="Arial"/>
          <w:sz w:val="24"/>
          <w:szCs w:val="24"/>
        </w:rPr>
      </w:pPr>
    </w:p>
    <w:p w:rsidR="002D4AA2" w:rsidRPr="0088309A" w:rsidRDefault="002D4AA2" w:rsidP="002D4AA2">
      <w:pPr>
        <w:autoSpaceDE w:val="0"/>
        <w:autoSpaceDN w:val="0"/>
        <w:adjustRightInd w:val="0"/>
        <w:spacing w:after="120" w:line="480" w:lineRule="auto"/>
        <w:jc w:val="both"/>
        <w:rPr>
          <w:rFonts w:ascii="Arial" w:hAnsi="Arial" w:cs="Arial"/>
          <w:sz w:val="24"/>
          <w:szCs w:val="24"/>
        </w:rPr>
      </w:pPr>
    </w:p>
    <w:p w:rsidR="00D528CE" w:rsidRPr="0088309A" w:rsidRDefault="00D528CE" w:rsidP="00D528CE">
      <w:pPr>
        <w:autoSpaceDE w:val="0"/>
        <w:autoSpaceDN w:val="0"/>
        <w:adjustRightInd w:val="0"/>
        <w:spacing w:after="120" w:line="480" w:lineRule="auto"/>
        <w:ind w:firstLine="720"/>
        <w:jc w:val="both"/>
        <w:rPr>
          <w:rFonts w:ascii="Arial" w:hAnsi="Arial" w:cs="Arial"/>
          <w:sz w:val="24"/>
          <w:szCs w:val="24"/>
        </w:rPr>
      </w:pPr>
    </w:p>
    <w:p w:rsidR="00D528CE" w:rsidRPr="0088309A" w:rsidRDefault="00D528CE" w:rsidP="00D528CE">
      <w:pPr>
        <w:spacing w:after="0" w:line="240" w:lineRule="auto"/>
        <w:ind w:left="5040"/>
        <w:rPr>
          <w:rFonts w:ascii="Arial" w:eastAsia="Calibri" w:hAnsi="Arial" w:cs="Arial"/>
          <w:sz w:val="24"/>
          <w:szCs w:val="24"/>
          <w:u w:val="single"/>
        </w:rPr>
      </w:pPr>
    </w:p>
    <w:p w:rsidR="00D528CE" w:rsidRPr="0088309A" w:rsidRDefault="00D528CE" w:rsidP="00D528CE">
      <w:pPr>
        <w:spacing w:after="0" w:line="240" w:lineRule="auto"/>
        <w:ind w:left="5040"/>
        <w:rPr>
          <w:rFonts w:ascii="Arial" w:hAnsi="Arial" w:cs="Arial"/>
          <w:sz w:val="24"/>
          <w:szCs w:val="24"/>
        </w:rPr>
      </w:pPr>
    </w:p>
    <w:p w:rsidR="00D528CE" w:rsidRPr="0088309A" w:rsidRDefault="00D528CE" w:rsidP="00D528CE">
      <w:pPr>
        <w:spacing w:after="0" w:line="240" w:lineRule="auto"/>
        <w:ind w:left="5040"/>
        <w:rPr>
          <w:rFonts w:ascii="Arial" w:hAnsi="Arial" w:cs="Arial"/>
          <w:sz w:val="24"/>
          <w:szCs w:val="24"/>
        </w:rPr>
      </w:pPr>
    </w:p>
    <w:p w:rsidR="00D528CE" w:rsidRPr="0088309A" w:rsidRDefault="00D528CE" w:rsidP="00D528CE">
      <w:pPr>
        <w:spacing w:after="0" w:line="240" w:lineRule="auto"/>
        <w:ind w:left="5040"/>
        <w:rPr>
          <w:rFonts w:ascii="Arial" w:hAnsi="Arial" w:cs="Arial"/>
          <w:sz w:val="24"/>
          <w:szCs w:val="24"/>
        </w:rPr>
      </w:pPr>
    </w:p>
    <w:p w:rsidR="00D528CE" w:rsidRPr="0088309A" w:rsidRDefault="00D528CE" w:rsidP="00D528CE">
      <w:pPr>
        <w:spacing w:after="0" w:line="240" w:lineRule="auto"/>
        <w:ind w:left="5040"/>
        <w:rPr>
          <w:rFonts w:ascii="Arial" w:hAnsi="Arial" w:cs="Arial"/>
          <w:sz w:val="24"/>
          <w:szCs w:val="24"/>
        </w:rPr>
      </w:pP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Arial" w:hAnsi="Arial" w:cs="Arial"/>
          <w:sz w:val="24"/>
          <w:szCs w:val="24"/>
        </w:rPr>
        <w:t xml:space="preserve">Joseph Oliker </w:t>
      </w:r>
      <w:r w:rsidRPr="002D4AA2">
        <w:rPr>
          <w:rFonts w:ascii="Arial" w:eastAsia="Calibri" w:hAnsi="Arial" w:cs="Arial"/>
          <w:sz w:val="24"/>
          <w:szCs w:val="24"/>
        </w:rPr>
        <w:t>(0086088)</w:t>
      </w:r>
    </w:p>
    <w:p w:rsidR="002D4AA2" w:rsidRPr="002D4AA2" w:rsidRDefault="002D4AA2" w:rsidP="002D4AA2">
      <w:pPr>
        <w:spacing w:after="0" w:line="240" w:lineRule="auto"/>
        <w:ind w:left="5040"/>
        <w:jc w:val="both"/>
        <w:rPr>
          <w:rFonts w:ascii="Arial" w:eastAsia="Calibri" w:hAnsi="Arial" w:cs="Arial"/>
          <w:sz w:val="24"/>
          <w:szCs w:val="24"/>
          <w:u w:val="single"/>
        </w:rPr>
      </w:pPr>
      <w:r w:rsidRPr="002D4AA2">
        <w:rPr>
          <w:rFonts w:ascii="Arial" w:eastAsia="Arial" w:hAnsi="Arial" w:cs="Arial"/>
          <w:sz w:val="24"/>
          <w:szCs w:val="24"/>
        </w:rPr>
        <w:t xml:space="preserve">Counsel of Record </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Email:  joliker@igsenergy.com</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Interstate Gas Supply, Inc.</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6100 Emerald Parkway</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Dublin, Ohio 43016</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Telephone:</w:t>
      </w:r>
      <w:r w:rsidRPr="002D4AA2">
        <w:rPr>
          <w:rFonts w:ascii="Arial" w:eastAsia="Calibri" w:hAnsi="Arial" w:cs="Arial"/>
          <w:sz w:val="24"/>
          <w:szCs w:val="24"/>
        </w:rPr>
        <w:tab/>
        <w:t>(614) 659-5000</w:t>
      </w:r>
    </w:p>
    <w:p w:rsidR="002D4AA2" w:rsidRPr="002D4AA2" w:rsidRDefault="002D4AA2" w:rsidP="002D4AA2">
      <w:pPr>
        <w:spacing w:after="0" w:line="240" w:lineRule="auto"/>
        <w:ind w:left="5040"/>
        <w:jc w:val="both"/>
        <w:rPr>
          <w:rFonts w:ascii="Arial" w:eastAsia="Calibri" w:hAnsi="Arial" w:cs="Arial"/>
          <w:sz w:val="24"/>
          <w:szCs w:val="24"/>
        </w:rPr>
      </w:pPr>
      <w:r w:rsidRPr="002D4AA2">
        <w:rPr>
          <w:rFonts w:ascii="Arial" w:eastAsia="Calibri" w:hAnsi="Arial" w:cs="Arial"/>
          <w:sz w:val="24"/>
          <w:szCs w:val="24"/>
        </w:rPr>
        <w:t>Facsimile:</w:t>
      </w:r>
      <w:r w:rsidRPr="002D4AA2">
        <w:rPr>
          <w:rFonts w:ascii="Arial" w:eastAsia="Calibri" w:hAnsi="Arial" w:cs="Arial"/>
          <w:sz w:val="24"/>
          <w:szCs w:val="24"/>
        </w:rPr>
        <w:tab/>
        <w:t>(614) 659-5073</w:t>
      </w:r>
    </w:p>
    <w:p w:rsidR="002D4AA2" w:rsidRPr="002D4AA2" w:rsidRDefault="002D4AA2" w:rsidP="002D4AA2">
      <w:pPr>
        <w:spacing w:after="0" w:line="240" w:lineRule="auto"/>
        <w:ind w:left="5040"/>
        <w:jc w:val="both"/>
        <w:rPr>
          <w:rFonts w:ascii="Arial" w:eastAsia="Calibri" w:hAnsi="Arial" w:cs="Arial"/>
          <w:sz w:val="24"/>
          <w:szCs w:val="24"/>
        </w:rPr>
      </w:pPr>
    </w:p>
    <w:p w:rsidR="002D4AA2" w:rsidRPr="002D4AA2" w:rsidRDefault="002D4AA2" w:rsidP="002D4AA2">
      <w:pPr>
        <w:spacing w:after="0" w:line="240" w:lineRule="auto"/>
        <w:ind w:left="5040"/>
        <w:jc w:val="both"/>
        <w:rPr>
          <w:rFonts w:ascii="Arial" w:eastAsia="Calibri" w:hAnsi="Arial" w:cs="Arial"/>
          <w:b/>
          <w:i/>
          <w:sz w:val="24"/>
          <w:szCs w:val="24"/>
        </w:rPr>
      </w:pPr>
      <w:r w:rsidRPr="002D4AA2">
        <w:rPr>
          <w:rFonts w:ascii="Arial" w:eastAsia="Calibri" w:hAnsi="Arial" w:cs="Arial"/>
          <w:b/>
          <w:i/>
          <w:sz w:val="24"/>
          <w:szCs w:val="24"/>
        </w:rPr>
        <w:t>Attorney for IGS Energy</w:t>
      </w:r>
    </w:p>
    <w:p w:rsidR="00D528CE" w:rsidRPr="0088309A" w:rsidRDefault="00D528CE" w:rsidP="00D528CE">
      <w:pPr>
        <w:spacing w:after="0" w:line="240" w:lineRule="auto"/>
        <w:ind w:left="5040"/>
        <w:rPr>
          <w:rFonts w:ascii="Arial" w:hAnsi="Arial" w:cs="Arial"/>
          <w:sz w:val="24"/>
          <w:szCs w:val="24"/>
        </w:rPr>
      </w:pPr>
    </w:p>
    <w:p w:rsidR="00D528CE" w:rsidRPr="0088309A" w:rsidRDefault="00D528CE" w:rsidP="00D528CE">
      <w:pPr>
        <w:spacing w:after="0" w:line="240" w:lineRule="auto"/>
        <w:ind w:left="5040"/>
        <w:rPr>
          <w:rFonts w:ascii="Arial" w:hAnsi="Arial" w:cs="Arial"/>
          <w:b/>
          <w:i/>
          <w:sz w:val="24"/>
          <w:szCs w:val="24"/>
        </w:rPr>
      </w:pPr>
    </w:p>
    <w:p w:rsidR="00D528CE" w:rsidRPr="0088309A" w:rsidRDefault="00D528CE" w:rsidP="00D528CE">
      <w:pPr>
        <w:spacing w:after="0" w:line="240" w:lineRule="auto"/>
        <w:rPr>
          <w:rFonts w:ascii="Arial" w:hAnsi="Arial" w:cs="Arial"/>
          <w:b/>
          <w:sz w:val="24"/>
          <w:szCs w:val="24"/>
        </w:rPr>
      </w:pPr>
    </w:p>
    <w:p w:rsidR="00D528CE" w:rsidRPr="0088309A" w:rsidRDefault="00D528CE" w:rsidP="00D528CE">
      <w:pPr>
        <w:spacing w:after="0" w:line="240" w:lineRule="auto"/>
        <w:rPr>
          <w:rFonts w:ascii="Arial" w:hAnsi="Arial" w:cs="Arial"/>
          <w:b/>
          <w:sz w:val="24"/>
          <w:szCs w:val="24"/>
        </w:rPr>
      </w:pPr>
    </w:p>
    <w:p w:rsidR="00D528CE" w:rsidRPr="0088309A" w:rsidRDefault="00D528CE" w:rsidP="00D528CE">
      <w:pPr>
        <w:spacing w:after="0" w:line="240" w:lineRule="auto"/>
        <w:rPr>
          <w:rFonts w:ascii="Arial" w:hAnsi="Arial" w:cs="Arial"/>
          <w:b/>
          <w:sz w:val="24"/>
          <w:szCs w:val="24"/>
        </w:rPr>
      </w:pPr>
    </w:p>
    <w:p w:rsidR="00265630" w:rsidRDefault="00265630" w:rsidP="00265630">
      <w:pPr>
        <w:spacing w:after="0" w:line="240" w:lineRule="auto"/>
        <w:rPr>
          <w:rFonts w:ascii="Arial" w:hAnsi="Arial" w:cs="Arial"/>
          <w:b/>
          <w:sz w:val="24"/>
          <w:szCs w:val="24"/>
        </w:rPr>
      </w:pPr>
    </w:p>
    <w:p w:rsidR="00265630" w:rsidRDefault="00265630" w:rsidP="00265630">
      <w:pPr>
        <w:spacing w:after="0" w:line="240" w:lineRule="auto"/>
        <w:rPr>
          <w:rFonts w:ascii="Arial" w:hAnsi="Arial" w:cs="Arial"/>
          <w:b/>
          <w:sz w:val="24"/>
          <w:szCs w:val="24"/>
        </w:rPr>
      </w:pPr>
    </w:p>
    <w:p w:rsidR="00535E6B" w:rsidRDefault="00535E6B" w:rsidP="00845DD3">
      <w:pPr>
        <w:widowControl w:val="0"/>
        <w:spacing w:after="0" w:line="240" w:lineRule="auto"/>
        <w:jc w:val="center"/>
        <w:rPr>
          <w:rFonts w:ascii="Arial" w:eastAsia="Times New Roman" w:hAnsi="Arial" w:cs="Arial"/>
          <w:b/>
          <w:sz w:val="24"/>
          <w:szCs w:val="24"/>
        </w:rPr>
      </w:pPr>
    </w:p>
    <w:p w:rsidR="00535E6B" w:rsidRPr="00141D52" w:rsidRDefault="00535E6B" w:rsidP="00535E6B">
      <w:pPr>
        <w:widowControl w:val="0"/>
        <w:spacing w:after="0" w:line="240" w:lineRule="auto"/>
        <w:jc w:val="center"/>
        <w:rPr>
          <w:rFonts w:ascii="Arial" w:eastAsia="Times New Roman" w:hAnsi="Arial" w:cs="Arial"/>
          <w:b/>
          <w:sz w:val="24"/>
          <w:szCs w:val="24"/>
        </w:rPr>
      </w:pPr>
      <w:r w:rsidRPr="00141D52">
        <w:rPr>
          <w:rFonts w:ascii="Arial" w:eastAsia="Times New Roman" w:hAnsi="Arial" w:cs="Arial"/>
          <w:b/>
          <w:sz w:val="24"/>
          <w:szCs w:val="24"/>
        </w:rPr>
        <w:lastRenderedPageBreak/>
        <w:t>BEFORE</w:t>
      </w:r>
    </w:p>
    <w:p w:rsidR="00535E6B" w:rsidRPr="00141D52" w:rsidRDefault="00535E6B" w:rsidP="00535E6B">
      <w:pPr>
        <w:widowControl w:val="0"/>
        <w:spacing w:after="200" w:line="276" w:lineRule="auto"/>
        <w:jc w:val="center"/>
        <w:rPr>
          <w:rFonts w:ascii="Arial" w:eastAsia="Times New Roman" w:hAnsi="Arial" w:cs="Arial"/>
          <w:b/>
          <w:sz w:val="24"/>
          <w:szCs w:val="24"/>
        </w:rPr>
      </w:pPr>
      <w:r w:rsidRPr="00141D52">
        <w:rPr>
          <w:rFonts w:ascii="Arial" w:eastAsia="Times New Roman"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535E6B" w:rsidRPr="00141D52" w:rsidTr="0021773C">
        <w:trPr>
          <w:trHeight w:val="1908"/>
          <w:jc w:val="center"/>
        </w:trPr>
        <w:tc>
          <w:tcPr>
            <w:tcW w:w="4739" w:type="dxa"/>
          </w:tcPr>
          <w:p w:rsidR="00535E6B" w:rsidRPr="00141D52" w:rsidRDefault="00535E6B" w:rsidP="0021773C">
            <w:pPr>
              <w:autoSpaceDE w:val="0"/>
              <w:autoSpaceDN w:val="0"/>
              <w:adjustRightInd w:val="0"/>
              <w:spacing w:after="0" w:line="240" w:lineRule="auto"/>
              <w:rPr>
                <w:rFonts w:ascii="Arial" w:eastAsia="Times New Roman" w:hAnsi="Arial" w:cs="Arial"/>
                <w:sz w:val="24"/>
                <w:szCs w:val="24"/>
              </w:rPr>
            </w:pPr>
            <w:r w:rsidRPr="00141D52">
              <w:rPr>
                <w:rFonts w:ascii="Arial" w:eastAsia="Times New Roman" w:hAnsi="Arial" w:cs="Arial"/>
                <w:sz w:val="24"/>
                <w:szCs w:val="24"/>
              </w:rPr>
              <w:t>In the Matter of the Application of Ohio</w:t>
            </w:r>
          </w:p>
          <w:p w:rsidR="00535E6B" w:rsidRPr="00141D52" w:rsidRDefault="00535E6B" w:rsidP="0021773C">
            <w:pPr>
              <w:autoSpaceDE w:val="0"/>
              <w:autoSpaceDN w:val="0"/>
              <w:adjustRightInd w:val="0"/>
              <w:spacing w:after="0" w:line="240" w:lineRule="auto"/>
              <w:rPr>
                <w:rFonts w:ascii="Arial" w:eastAsia="Times New Roman" w:hAnsi="Arial" w:cs="Arial"/>
                <w:sz w:val="24"/>
                <w:szCs w:val="24"/>
              </w:rPr>
            </w:pPr>
            <w:r w:rsidRPr="00141D52">
              <w:rPr>
                <w:rFonts w:ascii="Arial" w:eastAsia="Times New Roman" w:hAnsi="Arial" w:cs="Arial"/>
                <w:sz w:val="24"/>
                <w:szCs w:val="24"/>
              </w:rPr>
              <w:t>Edison Company, The Cleveland Electric Illuminating Company and The Toledo Edison Company for Approval of their Energy Efficiency and Peak Demand Reduction Program Portfolio Plans for 2017 through 2019</w:t>
            </w:r>
          </w:p>
          <w:p w:rsidR="00535E6B" w:rsidRPr="00141D52" w:rsidRDefault="00535E6B" w:rsidP="0021773C">
            <w:pPr>
              <w:widowControl w:val="0"/>
              <w:spacing w:after="0" w:line="240" w:lineRule="auto"/>
              <w:rPr>
                <w:rFonts w:ascii="Arial" w:eastAsia="Times New Roman" w:hAnsi="Arial" w:cs="Arial"/>
                <w:sz w:val="24"/>
                <w:szCs w:val="24"/>
              </w:rPr>
            </w:pPr>
          </w:p>
        </w:tc>
        <w:tc>
          <w:tcPr>
            <w:tcW w:w="630" w:type="dxa"/>
          </w:tcPr>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r w:rsidRPr="00141D52">
              <w:rPr>
                <w:rFonts w:ascii="Arial" w:eastAsia="Times New Roman" w:hAnsi="Arial" w:cs="Arial"/>
                <w:sz w:val="24"/>
                <w:szCs w:val="24"/>
              </w:rPr>
              <w:t>)</w:t>
            </w:r>
          </w:p>
          <w:p w:rsidR="00535E6B" w:rsidRPr="00141D52" w:rsidRDefault="00535E6B" w:rsidP="0021773C">
            <w:pPr>
              <w:widowControl w:val="0"/>
              <w:spacing w:after="0" w:line="240" w:lineRule="auto"/>
              <w:jc w:val="center"/>
              <w:rPr>
                <w:rFonts w:ascii="Arial" w:eastAsia="Times New Roman" w:hAnsi="Arial" w:cs="Arial"/>
                <w:sz w:val="24"/>
                <w:szCs w:val="24"/>
              </w:rPr>
            </w:pPr>
          </w:p>
        </w:tc>
        <w:tc>
          <w:tcPr>
            <w:tcW w:w="3928" w:type="dxa"/>
          </w:tcPr>
          <w:p w:rsidR="00535E6B" w:rsidRPr="00141D52" w:rsidRDefault="00535E6B" w:rsidP="0021773C">
            <w:pPr>
              <w:widowControl w:val="0"/>
              <w:spacing w:after="0" w:line="240" w:lineRule="auto"/>
              <w:rPr>
                <w:rFonts w:ascii="Arial" w:eastAsia="Times New Roman" w:hAnsi="Arial" w:cs="Arial"/>
                <w:sz w:val="24"/>
                <w:szCs w:val="24"/>
              </w:rPr>
            </w:pPr>
          </w:p>
          <w:p w:rsidR="00535E6B" w:rsidRPr="00141D52" w:rsidRDefault="00535E6B" w:rsidP="0021773C">
            <w:pPr>
              <w:widowControl w:val="0"/>
              <w:spacing w:after="0" w:line="240" w:lineRule="auto"/>
              <w:rPr>
                <w:rFonts w:ascii="Arial" w:eastAsia="Times New Roman" w:hAnsi="Arial" w:cs="Arial"/>
                <w:sz w:val="24"/>
                <w:szCs w:val="24"/>
              </w:rPr>
            </w:pPr>
            <w:r w:rsidRPr="00141D52">
              <w:rPr>
                <w:rFonts w:ascii="Arial" w:eastAsia="Times New Roman" w:hAnsi="Arial" w:cs="Arial"/>
                <w:sz w:val="24"/>
                <w:szCs w:val="24"/>
              </w:rPr>
              <w:t>Case No. 16-0743-EL-POR</w:t>
            </w:r>
          </w:p>
          <w:p w:rsidR="00535E6B" w:rsidRPr="00141D52" w:rsidRDefault="00535E6B" w:rsidP="0021773C">
            <w:pPr>
              <w:widowControl w:val="0"/>
              <w:spacing w:after="0" w:line="240" w:lineRule="auto"/>
              <w:rPr>
                <w:rFonts w:ascii="Arial" w:eastAsia="Times New Roman" w:hAnsi="Arial" w:cs="Arial"/>
                <w:sz w:val="24"/>
                <w:szCs w:val="24"/>
              </w:rPr>
            </w:pPr>
          </w:p>
          <w:p w:rsidR="00535E6B" w:rsidRPr="00141D52" w:rsidRDefault="00535E6B" w:rsidP="0021773C">
            <w:pPr>
              <w:widowControl w:val="0"/>
              <w:spacing w:after="0" w:line="240" w:lineRule="auto"/>
              <w:rPr>
                <w:rFonts w:ascii="Arial" w:eastAsia="Times New Roman" w:hAnsi="Arial" w:cs="Arial"/>
                <w:sz w:val="24"/>
                <w:szCs w:val="24"/>
              </w:rPr>
            </w:pPr>
          </w:p>
        </w:tc>
      </w:tr>
    </w:tbl>
    <w:p w:rsidR="00BC2B3B" w:rsidRDefault="00BC2B3B" w:rsidP="00BC2B3B">
      <w:pPr>
        <w:widowControl w:val="0"/>
        <w:pBdr>
          <w:bottom w:val="single" w:sz="12" w:space="1" w:color="auto"/>
        </w:pBdr>
        <w:spacing w:after="0" w:line="240" w:lineRule="auto"/>
        <w:jc w:val="center"/>
        <w:rPr>
          <w:rFonts w:ascii="Arial" w:hAnsi="Arial" w:cs="Arial"/>
          <w:b/>
          <w:bCs/>
          <w:sz w:val="24"/>
          <w:szCs w:val="24"/>
        </w:rPr>
      </w:pPr>
    </w:p>
    <w:p w:rsidR="00DC3530" w:rsidRPr="0088309A" w:rsidRDefault="00DC3530" w:rsidP="00BC2B3B">
      <w:pPr>
        <w:widowControl w:val="0"/>
        <w:spacing w:after="0" w:line="240" w:lineRule="auto"/>
        <w:jc w:val="center"/>
        <w:rPr>
          <w:rFonts w:ascii="Arial" w:hAnsi="Arial" w:cs="Arial"/>
          <w:b/>
          <w:bCs/>
          <w:sz w:val="24"/>
          <w:szCs w:val="24"/>
        </w:rPr>
      </w:pPr>
    </w:p>
    <w:p w:rsidR="00BC2B3B" w:rsidRDefault="00BC2B3B" w:rsidP="00BC2B3B">
      <w:pPr>
        <w:widowControl w:val="0"/>
        <w:pBdr>
          <w:bottom w:val="single" w:sz="12" w:space="1" w:color="auto"/>
        </w:pBdr>
        <w:tabs>
          <w:tab w:val="left" w:pos="6461"/>
        </w:tabs>
        <w:spacing w:after="0" w:line="240" w:lineRule="auto"/>
        <w:jc w:val="center"/>
        <w:rPr>
          <w:rFonts w:ascii="Arial" w:hAnsi="Arial" w:cs="Arial"/>
          <w:b/>
          <w:sz w:val="24"/>
          <w:szCs w:val="24"/>
        </w:rPr>
      </w:pPr>
      <w:r w:rsidRPr="0088309A">
        <w:rPr>
          <w:rFonts w:ascii="Arial" w:hAnsi="Arial" w:cs="Arial"/>
          <w:b/>
          <w:sz w:val="24"/>
          <w:szCs w:val="24"/>
        </w:rPr>
        <w:t>INITIAL BRIEF OF INTERSTATE GAS SUPPLY, INC.</w:t>
      </w:r>
    </w:p>
    <w:p w:rsidR="0088309A" w:rsidRPr="0088309A" w:rsidRDefault="0088309A" w:rsidP="00BC2B3B">
      <w:pPr>
        <w:widowControl w:val="0"/>
        <w:pBdr>
          <w:bottom w:val="single" w:sz="12" w:space="1" w:color="auto"/>
        </w:pBdr>
        <w:tabs>
          <w:tab w:val="left" w:pos="6461"/>
        </w:tabs>
        <w:spacing w:after="0" w:line="240" w:lineRule="auto"/>
        <w:jc w:val="center"/>
        <w:rPr>
          <w:rFonts w:ascii="Arial" w:hAnsi="Arial" w:cs="Arial"/>
          <w:b/>
          <w:sz w:val="24"/>
          <w:szCs w:val="24"/>
        </w:rPr>
      </w:pPr>
    </w:p>
    <w:p w:rsidR="00BC2B3B" w:rsidRPr="0088309A" w:rsidRDefault="00BC2B3B" w:rsidP="006B651F">
      <w:pPr>
        <w:spacing w:line="240" w:lineRule="auto"/>
        <w:jc w:val="both"/>
        <w:rPr>
          <w:rFonts w:ascii="Arial" w:hAnsi="Arial" w:cs="Arial"/>
          <w:sz w:val="24"/>
          <w:szCs w:val="24"/>
        </w:rPr>
      </w:pPr>
    </w:p>
    <w:p w:rsidR="00845DD3" w:rsidRPr="0088309A" w:rsidRDefault="0088309A" w:rsidP="00845DD3">
      <w:pPr>
        <w:pStyle w:val="ListParagraph"/>
        <w:numPr>
          <w:ilvl w:val="0"/>
          <w:numId w:val="5"/>
        </w:numPr>
        <w:spacing w:line="480" w:lineRule="auto"/>
        <w:jc w:val="both"/>
        <w:rPr>
          <w:rFonts w:ascii="Arial" w:hAnsi="Arial" w:cs="Arial"/>
          <w:sz w:val="24"/>
          <w:szCs w:val="24"/>
        </w:rPr>
      </w:pPr>
      <w:r>
        <w:rPr>
          <w:rFonts w:ascii="Arial" w:hAnsi="Arial" w:cs="Arial"/>
          <w:b/>
          <w:sz w:val="24"/>
          <w:szCs w:val="24"/>
        </w:rPr>
        <w:t>IN</w:t>
      </w:r>
      <w:r w:rsidR="00845DD3">
        <w:rPr>
          <w:rFonts w:ascii="Arial" w:hAnsi="Arial" w:cs="Arial"/>
          <w:b/>
          <w:sz w:val="24"/>
          <w:szCs w:val="24"/>
        </w:rPr>
        <w:t>TRODUCTION</w:t>
      </w:r>
    </w:p>
    <w:p w:rsidR="0074565D" w:rsidRDefault="009F1A96" w:rsidP="00F17F1D">
      <w:pPr>
        <w:spacing w:line="480" w:lineRule="auto"/>
        <w:ind w:firstLine="720"/>
        <w:jc w:val="both"/>
        <w:rPr>
          <w:rFonts w:ascii="Arial" w:eastAsia="Calibri" w:hAnsi="Arial" w:cs="Arial"/>
          <w:sz w:val="24"/>
          <w:szCs w:val="24"/>
        </w:rPr>
      </w:pPr>
      <w:r w:rsidRPr="0088309A">
        <w:rPr>
          <w:rFonts w:ascii="Arial" w:hAnsi="Arial" w:cs="Arial"/>
          <w:sz w:val="24"/>
          <w:szCs w:val="24"/>
        </w:rPr>
        <w:t xml:space="preserve"> </w:t>
      </w:r>
      <w:r w:rsidR="00535E6B">
        <w:rPr>
          <w:rFonts w:ascii="Arial" w:eastAsia="Calibri" w:hAnsi="Arial" w:cs="Arial"/>
          <w:sz w:val="24"/>
          <w:szCs w:val="24"/>
        </w:rPr>
        <w:t>On April 15</w:t>
      </w:r>
      <w:r w:rsidR="00845DD3" w:rsidRPr="00845DD3">
        <w:rPr>
          <w:rFonts w:ascii="Arial" w:eastAsia="Calibri" w:hAnsi="Arial" w:cs="Arial"/>
          <w:sz w:val="24"/>
          <w:szCs w:val="24"/>
        </w:rPr>
        <w:t>, 2016</w:t>
      </w:r>
      <w:r w:rsidR="00B577D1">
        <w:rPr>
          <w:rFonts w:ascii="Arial" w:eastAsia="Calibri" w:hAnsi="Arial" w:cs="Arial"/>
          <w:sz w:val="24"/>
          <w:szCs w:val="24"/>
        </w:rPr>
        <w:t>,</w:t>
      </w:r>
      <w:r w:rsidR="00845DD3" w:rsidRPr="00845DD3">
        <w:rPr>
          <w:rFonts w:ascii="Arial" w:eastAsia="Calibri" w:hAnsi="Arial" w:cs="Arial"/>
          <w:sz w:val="24"/>
          <w:szCs w:val="24"/>
        </w:rPr>
        <w:t xml:space="preserve"> </w:t>
      </w:r>
      <w:r w:rsidR="00535E6B" w:rsidRPr="00535E6B">
        <w:rPr>
          <w:rFonts w:ascii="Arial" w:eastAsia="Times New Roman" w:hAnsi="Arial" w:cs="Arial"/>
          <w:sz w:val="24"/>
          <w:szCs w:val="24"/>
        </w:rPr>
        <w:t xml:space="preserve">Ohio Edison Company, Toledo Edison Company, and Cleveland Electric Illuminating Company (collectively, “FirstEnergy”) </w:t>
      </w:r>
      <w:r w:rsidR="00535E6B">
        <w:rPr>
          <w:rFonts w:ascii="Arial" w:eastAsia="Times New Roman" w:hAnsi="Arial" w:cs="Arial"/>
          <w:sz w:val="24"/>
          <w:szCs w:val="24"/>
        </w:rPr>
        <w:t xml:space="preserve">filed an application for approval of their energy efficiency and peak demand reduction plan </w:t>
      </w:r>
      <w:r w:rsidR="00845DD3" w:rsidRPr="00845DD3">
        <w:rPr>
          <w:rFonts w:ascii="Arial" w:eastAsia="Calibri" w:hAnsi="Arial" w:cs="Arial"/>
          <w:sz w:val="24"/>
          <w:szCs w:val="24"/>
        </w:rPr>
        <w:t>(the “Application”</w:t>
      </w:r>
      <w:r w:rsidR="00535E6B">
        <w:rPr>
          <w:rFonts w:ascii="Arial" w:eastAsia="Calibri" w:hAnsi="Arial" w:cs="Arial"/>
          <w:sz w:val="24"/>
          <w:szCs w:val="24"/>
        </w:rPr>
        <w:t xml:space="preserve"> or “Portfolio Plan”</w:t>
      </w:r>
      <w:r w:rsidR="00845DD3" w:rsidRPr="00845DD3">
        <w:rPr>
          <w:rFonts w:ascii="Arial" w:eastAsia="Calibri" w:hAnsi="Arial" w:cs="Arial"/>
          <w:sz w:val="24"/>
          <w:szCs w:val="24"/>
        </w:rPr>
        <w:t>).  Following several settlement meetings,</w:t>
      </w:r>
      <w:r w:rsidR="00DC3530">
        <w:rPr>
          <w:rFonts w:ascii="Arial" w:eastAsia="Calibri" w:hAnsi="Arial" w:cs="Arial"/>
          <w:sz w:val="24"/>
          <w:szCs w:val="24"/>
        </w:rPr>
        <w:t xml:space="preserve"> in order to resolve the outstanding issues in this proceeding,</w:t>
      </w:r>
      <w:r w:rsidR="00845DD3" w:rsidRPr="00845DD3">
        <w:rPr>
          <w:rFonts w:ascii="Arial" w:eastAsia="Calibri" w:hAnsi="Arial" w:cs="Arial"/>
          <w:sz w:val="24"/>
          <w:szCs w:val="24"/>
        </w:rPr>
        <w:t xml:space="preserve"> </w:t>
      </w:r>
      <w:r w:rsidR="00535E6B">
        <w:rPr>
          <w:rFonts w:ascii="Arial" w:eastAsia="Calibri" w:hAnsi="Arial" w:cs="Arial"/>
          <w:sz w:val="24"/>
          <w:szCs w:val="24"/>
        </w:rPr>
        <w:t xml:space="preserve">FirstEnergy </w:t>
      </w:r>
      <w:r w:rsidR="00DC3530">
        <w:rPr>
          <w:rFonts w:ascii="Arial" w:eastAsia="Calibri" w:hAnsi="Arial" w:cs="Arial"/>
          <w:sz w:val="24"/>
          <w:szCs w:val="24"/>
        </w:rPr>
        <w:t>and a diverse group of parties</w:t>
      </w:r>
      <w:r w:rsidR="00DC3530">
        <w:rPr>
          <w:rStyle w:val="FootnoteReference"/>
          <w:rFonts w:ascii="Arial" w:eastAsia="Calibri" w:hAnsi="Arial" w:cs="Arial"/>
          <w:sz w:val="24"/>
          <w:szCs w:val="24"/>
        </w:rPr>
        <w:footnoteReference w:id="1"/>
      </w:r>
      <w:r w:rsidR="00DC3530">
        <w:rPr>
          <w:rFonts w:ascii="Arial" w:eastAsia="Calibri" w:hAnsi="Arial" w:cs="Arial"/>
          <w:sz w:val="24"/>
          <w:szCs w:val="24"/>
        </w:rPr>
        <w:t xml:space="preserve"> </w:t>
      </w:r>
      <w:r w:rsidR="00845DD3" w:rsidRPr="00845DD3">
        <w:rPr>
          <w:rFonts w:ascii="Arial" w:eastAsia="Calibri" w:hAnsi="Arial" w:cs="Arial"/>
          <w:sz w:val="24"/>
          <w:szCs w:val="24"/>
        </w:rPr>
        <w:t>submitted a Stipulation and Recommendation (“Stipulation”)</w:t>
      </w:r>
      <w:r w:rsidR="00DC3530">
        <w:rPr>
          <w:rFonts w:ascii="Arial" w:eastAsia="Calibri" w:hAnsi="Arial" w:cs="Arial"/>
          <w:sz w:val="24"/>
          <w:szCs w:val="24"/>
        </w:rPr>
        <w:t xml:space="preserve"> requesting that the Commission approve the </w:t>
      </w:r>
      <w:r w:rsidR="00535E6B">
        <w:rPr>
          <w:rFonts w:ascii="Arial" w:eastAsia="Calibri" w:hAnsi="Arial" w:cs="Arial"/>
          <w:sz w:val="24"/>
          <w:szCs w:val="24"/>
        </w:rPr>
        <w:t>Portfolio Plan</w:t>
      </w:r>
      <w:r w:rsidR="00DC3530">
        <w:rPr>
          <w:rFonts w:ascii="Arial" w:eastAsia="Calibri" w:hAnsi="Arial" w:cs="Arial"/>
          <w:sz w:val="24"/>
          <w:szCs w:val="24"/>
        </w:rPr>
        <w:t xml:space="preserve"> as modified by the Stipulation.</w:t>
      </w:r>
      <w:r w:rsidR="00845DD3" w:rsidRPr="00845DD3">
        <w:rPr>
          <w:rFonts w:ascii="Arial" w:eastAsia="Calibri" w:hAnsi="Arial" w:cs="Arial"/>
          <w:sz w:val="24"/>
          <w:szCs w:val="24"/>
        </w:rPr>
        <w:t xml:space="preserve"> </w:t>
      </w:r>
    </w:p>
    <w:p w:rsidR="0074565D" w:rsidRDefault="00535E6B" w:rsidP="00535E6B">
      <w:pPr>
        <w:spacing w:after="0" w:line="480" w:lineRule="auto"/>
        <w:ind w:firstLine="720"/>
        <w:jc w:val="both"/>
        <w:rPr>
          <w:rFonts w:ascii="Arial" w:eastAsia="Calibri" w:hAnsi="Arial" w:cs="Arial"/>
          <w:sz w:val="24"/>
          <w:szCs w:val="24"/>
        </w:rPr>
      </w:pPr>
      <w:r>
        <w:rPr>
          <w:rFonts w:ascii="Arial" w:eastAsia="Calibri" w:hAnsi="Arial" w:cs="Arial"/>
          <w:sz w:val="24"/>
          <w:szCs w:val="24"/>
        </w:rPr>
        <w:t xml:space="preserve">Although several parties </w:t>
      </w:r>
      <w:r w:rsidR="0074565D" w:rsidRPr="0074565D">
        <w:rPr>
          <w:rFonts w:ascii="Arial" w:eastAsia="Calibri" w:hAnsi="Arial" w:cs="Arial"/>
          <w:sz w:val="24"/>
          <w:szCs w:val="24"/>
        </w:rPr>
        <w:t>to this proceeding are supporti</w:t>
      </w:r>
      <w:r w:rsidR="006B651F">
        <w:rPr>
          <w:rFonts w:ascii="Arial" w:eastAsia="Calibri" w:hAnsi="Arial" w:cs="Arial"/>
          <w:sz w:val="24"/>
          <w:szCs w:val="24"/>
        </w:rPr>
        <w:t xml:space="preserve">ve </w:t>
      </w:r>
      <w:r>
        <w:rPr>
          <w:rFonts w:ascii="Arial" w:eastAsia="Calibri" w:hAnsi="Arial" w:cs="Arial"/>
          <w:sz w:val="24"/>
          <w:szCs w:val="24"/>
        </w:rPr>
        <w:t>of the Stipulation</w:t>
      </w:r>
      <w:r w:rsidR="0074565D" w:rsidRPr="0074565D">
        <w:rPr>
          <w:rFonts w:ascii="Arial" w:eastAsia="Calibri" w:hAnsi="Arial" w:cs="Arial"/>
          <w:sz w:val="24"/>
          <w:szCs w:val="24"/>
        </w:rPr>
        <w:t>, the Office of the Ohio C</w:t>
      </w:r>
      <w:r w:rsidR="00B577D1">
        <w:rPr>
          <w:rFonts w:ascii="Arial" w:eastAsia="Calibri" w:hAnsi="Arial" w:cs="Arial"/>
          <w:sz w:val="24"/>
          <w:szCs w:val="24"/>
        </w:rPr>
        <w:t xml:space="preserve">onsumers’ Counsel (“OCC”) </w:t>
      </w:r>
      <w:r w:rsidR="00F17F1D">
        <w:rPr>
          <w:rFonts w:ascii="Arial" w:eastAsia="Calibri" w:hAnsi="Arial" w:cs="Arial"/>
          <w:sz w:val="24"/>
          <w:szCs w:val="24"/>
        </w:rPr>
        <w:t>submitted t</w:t>
      </w:r>
      <w:r>
        <w:rPr>
          <w:rFonts w:ascii="Arial" w:eastAsia="Calibri" w:hAnsi="Arial" w:cs="Arial"/>
          <w:sz w:val="24"/>
          <w:szCs w:val="24"/>
        </w:rPr>
        <w:t>estimony opposing many aspects of the</w:t>
      </w:r>
      <w:r w:rsidR="00F17F1D">
        <w:rPr>
          <w:rFonts w:ascii="Arial" w:eastAsia="Calibri" w:hAnsi="Arial" w:cs="Arial"/>
          <w:sz w:val="24"/>
          <w:szCs w:val="24"/>
        </w:rPr>
        <w:t xml:space="preserve"> Application, as modified by the Stipulation</w:t>
      </w:r>
      <w:r w:rsidR="00AF448F">
        <w:rPr>
          <w:rFonts w:ascii="Arial" w:eastAsia="Calibri" w:hAnsi="Arial" w:cs="Arial"/>
          <w:sz w:val="24"/>
          <w:szCs w:val="24"/>
        </w:rPr>
        <w:t xml:space="preserve">, including all measures </w:t>
      </w:r>
      <w:r>
        <w:rPr>
          <w:rFonts w:ascii="Arial" w:eastAsia="Calibri" w:hAnsi="Arial" w:cs="Arial"/>
          <w:sz w:val="24"/>
          <w:szCs w:val="24"/>
        </w:rPr>
        <w:t xml:space="preserve">related to incentives for </w:t>
      </w:r>
      <w:r>
        <w:rPr>
          <w:rFonts w:ascii="Arial" w:eastAsia="Calibri" w:hAnsi="Arial" w:cs="Arial"/>
          <w:sz w:val="24"/>
          <w:szCs w:val="24"/>
        </w:rPr>
        <w:lastRenderedPageBreak/>
        <w:t>smart thermostats</w:t>
      </w:r>
      <w:r w:rsidR="0074565D" w:rsidRPr="0074565D">
        <w:rPr>
          <w:rFonts w:ascii="Arial" w:eastAsia="Calibri" w:hAnsi="Arial" w:cs="Arial"/>
          <w:sz w:val="24"/>
          <w:szCs w:val="24"/>
        </w:rPr>
        <w:t>.</w:t>
      </w:r>
      <w:r w:rsidR="00F17F1D">
        <w:rPr>
          <w:rFonts w:ascii="Arial" w:eastAsia="Calibri" w:hAnsi="Arial" w:cs="Arial"/>
          <w:sz w:val="24"/>
          <w:szCs w:val="24"/>
        </w:rPr>
        <w:t xml:space="preserve">  </w:t>
      </w:r>
      <w:r>
        <w:rPr>
          <w:rFonts w:ascii="Arial" w:eastAsia="Calibri" w:hAnsi="Arial" w:cs="Arial"/>
          <w:sz w:val="24"/>
          <w:szCs w:val="24"/>
        </w:rPr>
        <w:t xml:space="preserve">IGS hereby submits its initial brief in support of the Stipulation, and in </w:t>
      </w:r>
      <w:r w:rsidR="00EB5B13">
        <w:rPr>
          <w:rFonts w:ascii="Arial" w:eastAsia="Calibri" w:hAnsi="Arial" w:cs="Arial"/>
          <w:sz w:val="24"/>
          <w:szCs w:val="24"/>
        </w:rPr>
        <w:t>particular,</w:t>
      </w:r>
      <w:r>
        <w:rPr>
          <w:rFonts w:ascii="Arial" w:eastAsia="Calibri" w:hAnsi="Arial" w:cs="Arial"/>
          <w:sz w:val="24"/>
          <w:szCs w:val="24"/>
        </w:rPr>
        <w:t xml:space="preserve"> the provisions within the Stipulation that would authorize FirstEnergy to provide incentives for smart thermostats.  As discussed further below, t</w:t>
      </w:r>
      <w:r w:rsidR="0074565D" w:rsidRPr="0074565D">
        <w:rPr>
          <w:rFonts w:ascii="Arial" w:eastAsia="Calibri" w:hAnsi="Arial" w:cs="Arial"/>
          <w:sz w:val="24"/>
          <w:szCs w:val="24"/>
        </w:rPr>
        <w:t>he Stipulation provides a just, reasonable</w:t>
      </w:r>
      <w:r w:rsidR="007225EB">
        <w:rPr>
          <w:rFonts w:ascii="Arial" w:eastAsia="Calibri" w:hAnsi="Arial" w:cs="Arial"/>
          <w:sz w:val="24"/>
          <w:szCs w:val="24"/>
        </w:rPr>
        <w:t>,</w:t>
      </w:r>
      <w:r w:rsidR="0074565D" w:rsidRPr="0074565D">
        <w:rPr>
          <w:rFonts w:ascii="Arial" w:eastAsia="Calibri" w:hAnsi="Arial" w:cs="Arial"/>
          <w:sz w:val="24"/>
          <w:szCs w:val="24"/>
        </w:rPr>
        <w:t xml:space="preserve"> and balanced resolution of the issues</w:t>
      </w:r>
      <w:r w:rsidR="00F17F1D">
        <w:rPr>
          <w:rFonts w:ascii="Arial" w:eastAsia="Calibri" w:hAnsi="Arial" w:cs="Arial"/>
          <w:sz w:val="24"/>
          <w:szCs w:val="24"/>
        </w:rPr>
        <w:t xml:space="preserve"> in this proceeding; therefore, t</w:t>
      </w:r>
      <w:r w:rsidR="0074565D" w:rsidRPr="0074565D">
        <w:rPr>
          <w:rFonts w:ascii="Arial" w:eastAsia="Calibri" w:hAnsi="Arial" w:cs="Arial"/>
          <w:sz w:val="24"/>
          <w:szCs w:val="24"/>
        </w:rPr>
        <w:t>he Commission</w:t>
      </w:r>
      <w:r>
        <w:rPr>
          <w:rFonts w:ascii="Arial" w:eastAsia="Calibri" w:hAnsi="Arial" w:cs="Arial"/>
          <w:sz w:val="24"/>
          <w:szCs w:val="24"/>
        </w:rPr>
        <w:t xml:space="preserve"> should approve the Stipulation.</w:t>
      </w:r>
    </w:p>
    <w:p w:rsidR="00F01599" w:rsidRPr="0088309A" w:rsidRDefault="006B651F" w:rsidP="006B651F">
      <w:pPr>
        <w:pStyle w:val="ListParagraph"/>
        <w:numPr>
          <w:ilvl w:val="0"/>
          <w:numId w:val="5"/>
        </w:numPr>
        <w:spacing w:after="0" w:line="480" w:lineRule="auto"/>
        <w:jc w:val="both"/>
        <w:rPr>
          <w:rFonts w:ascii="Arial" w:hAnsi="Arial" w:cs="Arial"/>
          <w:b/>
          <w:sz w:val="24"/>
          <w:szCs w:val="24"/>
        </w:rPr>
      </w:pPr>
      <w:r>
        <w:rPr>
          <w:rFonts w:ascii="Arial" w:hAnsi="Arial" w:cs="Arial"/>
          <w:b/>
          <w:sz w:val="24"/>
          <w:szCs w:val="24"/>
        </w:rPr>
        <w:t xml:space="preserve">BACKGROUND AND </w:t>
      </w:r>
      <w:r w:rsidR="00DC3530">
        <w:rPr>
          <w:rFonts w:ascii="Arial" w:hAnsi="Arial" w:cs="Arial"/>
          <w:b/>
          <w:sz w:val="24"/>
          <w:szCs w:val="24"/>
        </w:rPr>
        <w:t>ARGUMENT</w:t>
      </w:r>
    </w:p>
    <w:p w:rsidR="00D85476" w:rsidRPr="0088309A" w:rsidRDefault="00C201B8" w:rsidP="0088309A">
      <w:pPr>
        <w:spacing w:line="480" w:lineRule="auto"/>
        <w:ind w:firstLine="720"/>
        <w:jc w:val="both"/>
        <w:rPr>
          <w:rFonts w:ascii="Arial" w:hAnsi="Arial" w:cs="Arial"/>
          <w:b/>
          <w:sz w:val="24"/>
          <w:szCs w:val="24"/>
        </w:rPr>
      </w:pPr>
      <w:r>
        <w:rPr>
          <w:rFonts w:ascii="Arial" w:hAnsi="Arial" w:cs="Arial"/>
          <w:sz w:val="24"/>
          <w:szCs w:val="24"/>
        </w:rPr>
        <w:t>Under rule 4901-1-30, Ohio Administrative Code (“OAC”),</w:t>
      </w:r>
      <w:r w:rsidR="00D85476" w:rsidRPr="0088309A">
        <w:rPr>
          <w:rFonts w:ascii="Arial" w:hAnsi="Arial" w:cs="Arial"/>
          <w:sz w:val="24"/>
          <w:szCs w:val="24"/>
        </w:rPr>
        <w:t xml:space="preserve"> </w:t>
      </w:r>
      <w:r w:rsidR="004112E7" w:rsidRPr="0088309A">
        <w:rPr>
          <w:rFonts w:ascii="Arial" w:hAnsi="Arial" w:cs="Arial"/>
          <w:sz w:val="24"/>
          <w:szCs w:val="24"/>
        </w:rPr>
        <w:t>parties to Commission proceed</w:t>
      </w:r>
      <w:r w:rsidR="00115215" w:rsidRPr="0088309A">
        <w:rPr>
          <w:rFonts w:ascii="Arial" w:hAnsi="Arial" w:cs="Arial"/>
          <w:sz w:val="24"/>
          <w:szCs w:val="24"/>
        </w:rPr>
        <w:t>ings may</w:t>
      </w:r>
      <w:r>
        <w:rPr>
          <w:rFonts w:ascii="Arial" w:hAnsi="Arial" w:cs="Arial"/>
          <w:sz w:val="24"/>
          <w:szCs w:val="24"/>
        </w:rPr>
        <w:t xml:space="preserve"> enter into </w:t>
      </w:r>
      <w:r w:rsidR="00115215" w:rsidRPr="0088309A">
        <w:rPr>
          <w:rFonts w:ascii="Arial" w:hAnsi="Arial" w:cs="Arial"/>
          <w:sz w:val="24"/>
          <w:szCs w:val="24"/>
        </w:rPr>
        <w:t>s</w:t>
      </w:r>
      <w:r w:rsidR="004112E7" w:rsidRPr="0088309A">
        <w:rPr>
          <w:rFonts w:ascii="Arial" w:hAnsi="Arial" w:cs="Arial"/>
          <w:sz w:val="24"/>
          <w:szCs w:val="24"/>
        </w:rPr>
        <w:t>tipulation</w:t>
      </w:r>
      <w:r>
        <w:rPr>
          <w:rFonts w:ascii="Arial" w:hAnsi="Arial" w:cs="Arial"/>
          <w:sz w:val="24"/>
          <w:szCs w:val="24"/>
        </w:rPr>
        <w:t>s to resolve contested issues</w:t>
      </w:r>
      <w:r w:rsidR="004112E7" w:rsidRPr="0088309A">
        <w:rPr>
          <w:rFonts w:ascii="Arial" w:hAnsi="Arial" w:cs="Arial"/>
          <w:sz w:val="24"/>
          <w:szCs w:val="24"/>
        </w:rPr>
        <w:t xml:space="preserve">. </w:t>
      </w:r>
      <w:r w:rsidR="00D34E33">
        <w:rPr>
          <w:rFonts w:ascii="Arial" w:hAnsi="Arial" w:cs="Arial"/>
          <w:sz w:val="24"/>
          <w:szCs w:val="24"/>
        </w:rPr>
        <w:t>Although t</w:t>
      </w:r>
      <w:r w:rsidR="004112E7" w:rsidRPr="0088309A">
        <w:rPr>
          <w:rFonts w:ascii="Arial" w:hAnsi="Arial" w:cs="Arial"/>
          <w:sz w:val="24"/>
          <w:szCs w:val="24"/>
        </w:rPr>
        <w:t>he Stipulation filed in this case is non-binding to the Commission, the terms of the agreement are accorded substantial weight.</w:t>
      </w:r>
      <w:r w:rsidR="00C036CA" w:rsidRPr="0088309A">
        <w:rPr>
          <w:rFonts w:ascii="Arial" w:hAnsi="Arial" w:cs="Arial"/>
          <w:sz w:val="24"/>
          <w:szCs w:val="24"/>
        </w:rPr>
        <w:t xml:space="preserve"> In con</w:t>
      </w:r>
      <w:r w:rsidR="00115215" w:rsidRPr="0088309A">
        <w:rPr>
          <w:rFonts w:ascii="Arial" w:hAnsi="Arial" w:cs="Arial"/>
          <w:sz w:val="24"/>
          <w:szCs w:val="24"/>
        </w:rPr>
        <w:t xml:space="preserve">sidering the reasonableness of </w:t>
      </w:r>
      <w:r w:rsidR="00EB5B13" w:rsidRPr="0088309A">
        <w:rPr>
          <w:rFonts w:ascii="Arial" w:hAnsi="Arial" w:cs="Arial"/>
          <w:sz w:val="24"/>
          <w:szCs w:val="24"/>
        </w:rPr>
        <w:t>stipulations,</w:t>
      </w:r>
      <w:r w:rsidR="00C036CA" w:rsidRPr="0088309A">
        <w:rPr>
          <w:rFonts w:ascii="Arial" w:hAnsi="Arial" w:cs="Arial"/>
          <w:sz w:val="24"/>
          <w:szCs w:val="24"/>
        </w:rPr>
        <w:t xml:space="preserve"> the Commission often</w:t>
      </w:r>
      <w:r w:rsidR="00DC3530">
        <w:rPr>
          <w:rFonts w:ascii="Arial" w:hAnsi="Arial" w:cs="Arial"/>
          <w:sz w:val="24"/>
          <w:szCs w:val="24"/>
        </w:rPr>
        <w:t xml:space="preserve"> relies on a test </w:t>
      </w:r>
      <w:r w:rsidR="00C036CA" w:rsidRPr="0088309A">
        <w:rPr>
          <w:rFonts w:ascii="Arial" w:hAnsi="Arial" w:cs="Arial"/>
          <w:sz w:val="24"/>
          <w:szCs w:val="24"/>
        </w:rPr>
        <w:t xml:space="preserve">known </w:t>
      </w:r>
      <w:r w:rsidR="00DC3530">
        <w:rPr>
          <w:rFonts w:ascii="Arial" w:hAnsi="Arial" w:cs="Arial"/>
          <w:sz w:val="24"/>
          <w:szCs w:val="24"/>
        </w:rPr>
        <w:t>as th</w:t>
      </w:r>
      <w:r w:rsidR="006B651F">
        <w:rPr>
          <w:rFonts w:ascii="Arial" w:hAnsi="Arial" w:cs="Arial"/>
          <w:sz w:val="24"/>
          <w:szCs w:val="24"/>
        </w:rPr>
        <w:t xml:space="preserve">e </w:t>
      </w:r>
      <w:r w:rsidR="00EB5B13">
        <w:rPr>
          <w:rFonts w:ascii="Arial" w:hAnsi="Arial" w:cs="Arial"/>
          <w:sz w:val="24"/>
          <w:szCs w:val="24"/>
        </w:rPr>
        <w:t>three-prong</w:t>
      </w:r>
      <w:r w:rsidR="006B651F">
        <w:rPr>
          <w:rFonts w:ascii="Arial" w:hAnsi="Arial" w:cs="Arial"/>
          <w:sz w:val="24"/>
          <w:szCs w:val="24"/>
        </w:rPr>
        <w:t xml:space="preserve"> t</w:t>
      </w:r>
      <w:r w:rsidR="00DC3530">
        <w:rPr>
          <w:rFonts w:ascii="Arial" w:hAnsi="Arial" w:cs="Arial"/>
          <w:sz w:val="24"/>
          <w:szCs w:val="24"/>
        </w:rPr>
        <w:t>est</w:t>
      </w:r>
      <w:r w:rsidR="00C036CA" w:rsidRPr="0088309A">
        <w:rPr>
          <w:rFonts w:ascii="Arial" w:hAnsi="Arial" w:cs="Arial"/>
          <w:sz w:val="24"/>
          <w:szCs w:val="24"/>
        </w:rPr>
        <w:t>:</w:t>
      </w:r>
    </w:p>
    <w:p w:rsidR="00C036CA" w:rsidRPr="0088309A" w:rsidRDefault="00C036CA" w:rsidP="00D34E33">
      <w:pPr>
        <w:spacing w:line="480" w:lineRule="auto"/>
        <w:ind w:left="1260" w:hanging="540"/>
        <w:jc w:val="both"/>
        <w:rPr>
          <w:rFonts w:ascii="Arial" w:hAnsi="Arial" w:cs="Arial"/>
          <w:sz w:val="24"/>
          <w:szCs w:val="24"/>
        </w:rPr>
      </w:pPr>
      <w:r w:rsidRPr="0088309A">
        <w:rPr>
          <w:rFonts w:ascii="Arial" w:hAnsi="Arial" w:cs="Arial"/>
          <w:sz w:val="24"/>
          <w:szCs w:val="24"/>
        </w:rPr>
        <w:t>(1) Is the settlement a product of serious bargaining among capable, knowledgeab</w:t>
      </w:r>
      <w:r w:rsidRPr="004A1807">
        <w:rPr>
          <w:rFonts w:ascii="Arial" w:hAnsi="Arial" w:cs="Arial"/>
          <w:b/>
          <w:sz w:val="24"/>
          <w:szCs w:val="24"/>
        </w:rPr>
        <w:t>l</w:t>
      </w:r>
      <w:r w:rsidRPr="0088309A">
        <w:rPr>
          <w:rFonts w:ascii="Arial" w:hAnsi="Arial" w:cs="Arial"/>
          <w:sz w:val="24"/>
          <w:szCs w:val="24"/>
        </w:rPr>
        <w:t xml:space="preserve">e parties? </w:t>
      </w:r>
    </w:p>
    <w:p w:rsidR="00C036CA" w:rsidRPr="0088309A" w:rsidRDefault="00C036CA" w:rsidP="0088309A">
      <w:pPr>
        <w:spacing w:line="480" w:lineRule="auto"/>
        <w:ind w:firstLine="720"/>
        <w:jc w:val="both"/>
        <w:rPr>
          <w:rFonts w:ascii="Arial" w:hAnsi="Arial" w:cs="Arial"/>
          <w:sz w:val="24"/>
          <w:szCs w:val="24"/>
        </w:rPr>
      </w:pPr>
      <w:r w:rsidRPr="0088309A">
        <w:rPr>
          <w:rFonts w:ascii="Arial" w:hAnsi="Arial" w:cs="Arial"/>
          <w:sz w:val="24"/>
          <w:szCs w:val="24"/>
        </w:rPr>
        <w:t xml:space="preserve">(2) </w:t>
      </w:r>
      <w:r w:rsidR="00D34E33">
        <w:rPr>
          <w:rFonts w:ascii="Arial" w:hAnsi="Arial" w:cs="Arial"/>
          <w:sz w:val="24"/>
          <w:szCs w:val="24"/>
        </w:rPr>
        <w:t xml:space="preserve">  </w:t>
      </w:r>
      <w:r w:rsidRPr="0088309A">
        <w:rPr>
          <w:rFonts w:ascii="Arial" w:hAnsi="Arial" w:cs="Arial"/>
          <w:sz w:val="24"/>
          <w:szCs w:val="24"/>
        </w:rPr>
        <w:t xml:space="preserve">Does the settlement, as a package, benefit ratepayers and the public interest? </w:t>
      </w:r>
    </w:p>
    <w:p w:rsidR="00C036CA" w:rsidRPr="0088309A" w:rsidRDefault="002279EB" w:rsidP="00D34E33">
      <w:pPr>
        <w:spacing w:line="480" w:lineRule="auto"/>
        <w:ind w:left="1260" w:hanging="540"/>
        <w:jc w:val="both"/>
        <w:rPr>
          <w:rFonts w:ascii="Arial" w:hAnsi="Arial" w:cs="Arial"/>
          <w:sz w:val="24"/>
          <w:szCs w:val="24"/>
        </w:rPr>
      </w:pPr>
      <w:r w:rsidRPr="0088309A">
        <w:rPr>
          <w:rFonts w:ascii="Arial" w:hAnsi="Arial" w:cs="Arial"/>
          <w:sz w:val="24"/>
          <w:szCs w:val="24"/>
        </w:rPr>
        <w:t xml:space="preserve">(3) </w:t>
      </w:r>
      <w:r w:rsidR="00D34E33">
        <w:rPr>
          <w:rFonts w:ascii="Arial" w:hAnsi="Arial" w:cs="Arial"/>
          <w:sz w:val="24"/>
          <w:szCs w:val="24"/>
        </w:rPr>
        <w:t xml:space="preserve"> </w:t>
      </w:r>
      <w:r w:rsidRPr="0088309A">
        <w:rPr>
          <w:rFonts w:ascii="Arial" w:hAnsi="Arial" w:cs="Arial"/>
          <w:sz w:val="24"/>
          <w:szCs w:val="24"/>
        </w:rPr>
        <w:t xml:space="preserve">Does the settlement package violate any important </w:t>
      </w:r>
      <w:r w:rsidR="00C036CA" w:rsidRPr="0088309A">
        <w:rPr>
          <w:rFonts w:ascii="Arial" w:hAnsi="Arial" w:cs="Arial"/>
          <w:sz w:val="24"/>
          <w:szCs w:val="24"/>
        </w:rPr>
        <w:t>regulatory principle or practice?</w:t>
      </w:r>
      <w:r w:rsidR="00C036CA" w:rsidRPr="0088309A">
        <w:rPr>
          <w:rStyle w:val="FootnoteReference"/>
          <w:rFonts w:ascii="Arial" w:hAnsi="Arial" w:cs="Arial"/>
          <w:sz w:val="24"/>
          <w:szCs w:val="24"/>
        </w:rPr>
        <w:footnoteReference w:id="2"/>
      </w:r>
    </w:p>
    <w:p w:rsidR="00F17F1D" w:rsidRPr="0088309A" w:rsidRDefault="00D34E33" w:rsidP="0088309A">
      <w:pPr>
        <w:spacing w:line="480" w:lineRule="auto"/>
        <w:jc w:val="both"/>
        <w:rPr>
          <w:rFonts w:ascii="Arial" w:hAnsi="Arial" w:cs="Arial"/>
          <w:sz w:val="24"/>
          <w:szCs w:val="24"/>
        </w:rPr>
      </w:pPr>
      <w:r w:rsidRPr="0088309A">
        <w:rPr>
          <w:rFonts w:ascii="Arial" w:hAnsi="Arial" w:cs="Arial"/>
          <w:sz w:val="24"/>
          <w:szCs w:val="24"/>
        </w:rPr>
        <w:t xml:space="preserve">The Stipulation in this case is a result of significant time and effort on behalf of the signatory parties </w:t>
      </w:r>
      <w:r>
        <w:rPr>
          <w:rFonts w:ascii="Arial" w:hAnsi="Arial" w:cs="Arial"/>
          <w:sz w:val="24"/>
          <w:szCs w:val="24"/>
        </w:rPr>
        <w:t>and</w:t>
      </w:r>
      <w:r w:rsidRPr="0088309A">
        <w:rPr>
          <w:rFonts w:ascii="Arial" w:hAnsi="Arial" w:cs="Arial"/>
          <w:sz w:val="24"/>
          <w:szCs w:val="24"/>
        </w:rPr>
        <w:t xml:space="preserve"> sa</w:t>
      </w:r>
      <w:r w:rsidR="008C629E">
        <w:rPr>
          <w:rFonts w:ascii="Arial" w:hAnsi="Arial" w:cs="Arial"/>
          <w:sz w:val="24"/>
          <w:szCs w:val="24"/>
        </w:rPr>
        <w:t>tisfies or exceeds each of the</w:t>
      </w:r>
      <w:r w:rsidRPr="0088309A">
        <w:rPr>
          <w:rFonts w:ascii="Arial" w:hAnsi="Arial" w:cs="Arial"/>
          <w:sz w:val="24"/>
          <w:szCs w:val="24"/>
        </w:rPr>
        <w:t xml:space="preserve"> criteria</w:t>
      </w:r>
      <w:r w:rsidR="008C629E">
        <w:rPr>
          <w:rFonts w:ascii="Arial" w:hAnsi="Arial" w:cs="Arial"/>
          <w:sz w:val="24"/>
          <w:szCs w:val="24"/>
        </w:rPr>
        <w:t xml:space="preserve"> above</w:t>
      </w:r>
      <w:r w:rsidRPr="0088309A">
        <w:rPr>
          <w:rFonts w:ascii="Arial" w:hAnsi="Arial" w:cs="Arial"/>
          <w:sz w:val="24"/>
          <w:szCs w:val="24"/>
        </w:rPr>
        <w:t xml:space="preserve">. </w:t>
      </w:r>
      <w:r>
        <w:rPr>
          <w:rFonts w:ascii="Arial" w:hAnsi="Arial" w:cs="Arial"/>
          <w:sz w:val="24"/>
          <w:szCs w:val="24"/>
        </w:rPr>
        <w:t xml:space="preserve">Therefore, </w:t>
      </w:r>
      <w:r w:rsidR="00C13ADE">
        <w:rPr>
          <w:rFonts w:ascii="Arial" w:hAnsi="Arial" w:cs="Arial"/>
          <w:sz w:val="24"/>
          <w:szCs w:val="24"/>
        </w:rPr>
        <w:t xml:space="preserve">the </w:t>
      </w:r>
      <w:r w:rsidR="00535E6B">
        <w:rPr>
          <w:rFonts w:ascii="Arial" w:hAnsi="Arial" w:cs="Arial"/>
          <w:sz w:val="24"/>
          <w:szCs w:val="24"/>
        </w:rPr>
        <w:t>Commission should adopt it.</w:t>
      </w:r>
    </w:p>
    <w:p w:rsidR="00C736B6" w:rsidRPr="00C13ADE" w:rsidRDefault="00C036CA" w:rsidP="00C13ADE">
      <w:pPr>
        <w:pStyle w:val="ListParagraph"/>
        <w:numPr>
          <w:ilvl w:val="0"/>
          <w:numId w:val="6"/>
        </w:numPr>
        <w:spacing w:line="240" w:lineRule="auto"/>
        <w:jc w:val="both"/>
        <w:rPr>
          <w:rFonts w:ascii="Arial" w:hAnsi="Arial" w:cs="Arial"/>
          <w:b/>
          <w:sz w:val="24"/>
          <w:szCs w:val="24"/>
        </w:rPr>
      </w:pPr>
      <w:r w:rsidRPr="0088309A">
        <w:rPr>
          <w:rFonts w:ascii="Arial" w:hAnsi="Arial" w:cs="Arial"/>
          <w:b/>
          <w:sz w:val="24"/>
          <w:szCs w:val="24"/>
        </w:rPr>
        <w:t>The Stipu</w:t>
      </w:r>
      <w:r w:rsidR="00D34E33">
        <w:rPr>
          <w:rFonts w:ascii="Arial" w:hAnsi="Arial" w:cs="Arial"/>
          <w:b/>
          <w:sz w:val="24"/>
          <w:szCs w:val="24"/>
        </w:rPr>
        <w:t>lation is the Product of Serious Bargaining Among Capable, Knowledgeable Parties</w:t>
      </w:r>
    </w:p>
    <w:p w:rsidR="005962A1" w:rsidRDefault="00020868" w:rsidP="00020868">
      <w:pPr>
        <w:spacing w:line="480" w:lineRule="auto"/>
        <w:ind w:firstLine="720"/>
        <w:jc w:val="both"/>
        <w:rPr>
          <w:rFonts w:ascii="Arial" w:hAnsi="Arial" w:cs="Arial"/>
          <w:sz w:val="24"/>
          <w:szCs w:val="24"/>
        </w:rPr>
      </w:pPr>
      <w:r>
        <w:rPr>
          <w:rFonts w:ascii="Arial" w:hAnsi="Arial" w:cs="Arial"/>
          <w:sz w:val="24"/>
          <w:szCs w:val="24"/>
        </w:rPr>
        <w:lastRenderedPageBreak/>
        <w:t xml:space="preserve">The Stipulation is the product of serious bargaining between knowledgeable and capable parties.  </w:t>
      </w:r>
      <w:r w:rsidR="00DC3530">
        <w:rPr>
          <w:rFonts w:ascii="Arial" w:hAnsi="Arial" w:cs="Arial"/>
          <w:sz w:val="24"/>
          <w:szCs w:val="24"/>
        </w:rPr>
        <w:t>As stated by</w:t>
      </w:r>
      <w:r>
        <w:rPr>
          <w:rFonts w:ascii="Arial" w:hAnsi="Arial" w:cs="Arial"/>
          <w:sz w:val="24"/>
          <w:szCs w:val="24"/>
        </w:rPr>
        <w:t xml:space="preserve"> </w:t>
      </w:r>
      <w:r w:rsidR="00DC3530">
        <w:rPr>
          <w:rFonts w:ascii="Arial" w:hAnsi="Arial" w:cs="Arial"/>
          <w:sz w:val="24"/>
          <w:szCs w:val="24"/>
        </w:rPr>
        <w:t xml:space="preserve">the testimony of </w:t>
      </w:r>
      <w:r w:rsidR="005962A1">
        <w:rPr>
          <w:rFonts w:ascii="Arial" w:hAnsi="Arial" w:cs="Arial"/>
          <w:sz w:val="24"/>
          <w:szCs w:val="24"/>
        </w:rPr>
        <w:t>FirstEnergy</w:t>
      </w:r>
      <w:r w:rsidR="00F17F1D" w:rsidRPr="0088309A">
        <w:rPr>
          <w:rFonts w:ascii="Arial" w:hAnsi="Arial" w:cs="Arial"/>
          <w:sz w:val="24"/>
          <w:szCs w:val="24"/>
        </w:rPr>
        <w:t xml:space="preserve"> </w:t>
      </w:r>
      <w:r w:rsidR="005962A1">
        <w:rPr>
          <w:rFonts w:ascii="Arial" w:hAnsi="Arial" w:cs="Arial"/>
          <w:sz w:val="24"/>
          <w:szCs w:val="24"/>
        </w:rPr>
        <w:t>witness Miller:</w:t>
      </w:r>
    </w:p>
    <w:p w:rsidR="005962A1" w:rsidRDefault="005962A1" w:rsidP="005962A1">
      <w:pPr>
        <w:spacing w:line="240" w:lineRule="auto"/>
        <w:ind w:left="720" w:right="720"/>
        <w:jc w:val="both"/>
        <w:rPr>
          <w:rFonts w:ascii="Arial" w:hAnsi="Arial" w:cs="Arial"/>
          <w:sz w:val="24"/>
          <w:szCs w:val="24"/>
        </w:rPr>
      </w:pPr>
      <w:r w:rsidRPr="005962A1">
        <w:rPr>
          <w:rFonts w:ascii="Arial" w:hAnsi="Arial" w:cs="Arial"/>
          <w:sz w:val="24"/>
          <w:szCs w:val="24"/>
        </w:rPr>
        <w:t>All parties in the case were invited to participate</w:t>
      </w:r>
      <w:r>
        <w:rPr>
          <w:rFonts w:ascii="Arial" w:hAnsi="Arial" w:cs="Arial"/>
          <w:sz w:val="24"/>
          <w:szCs w:val="24"/>
        </w:rPr>
        <w:t xml:space="preserve"> in the settlement discussions, </w:t>
      </w:r>
      <w:r w:rsidRPr="005962A1">
        <w:rPr>
          <w:rFonts w:ascii="Arial" w:hAnsi="Arial" w:cs="Arial"/>
          <w:sz w:val="24"/>
          <w:szCs w:val="24"/>
        </w:rPr>
        <w:t>each of which was represented by experie</w:t>
      </w:r>
      <w:r>
        <w:rPr>
          <w:rFonts w:ascii="Arial" w:hAnsi="Arial" w:cs="Arial"/>
          <w:sz w:val="24"/>
          <w:szCs w:val="24"/>
        </w:rPr>
        <w:t>nced, competent counsel—many of w</w:t>
      </w:r>
      <w:r w:rsidRPr="005962A1">
        <w:rPr>
          <w:rFonts w:ascii="Arial" w:hAnsi="Arial" w:cs="Arial"/>
          <w:sz w:val="24"/>
          <w:szCs w:val="24"/>
        </w:rPr>
        <w:t>hom regularly participate in other EE/PDR portf</w:t>
      </w:r>
      <w:r>
        <w:rPr>
          <w:rFonts w:ascii="Arial" w:hAnsi="Arial" w:cs="Arial"/>
          <w:sz w:val="24"/>
          <w:szCs w:val="24"/>
        </w:rPr>
        <w:t xml:space="preserve">olio cases and other regulatory proceedings. . . . After extensive </w:t>
      </w:r>
      <w:r w:rsidRPr="005962A1">
        <w:rPr>
          <w:rFonts w:ascii="Arial" w:hAnsi="Arial" w:cs="Arial"/>
          <w:sz w:val="24"/>
          <w:szCs w:val="24"/>
        </w:rPr>
        <w:t>discussions and spirited debate in these meetings, a compromise was reached with</w:t>
      </w:r>
      <w:r>
        <w:rPr>
          <w:rFonts w:ascii="Arial" w:hAnsi="Arial" w:cs="Arial"/>
          <w:sz w:val="24"/>
          <w:szCs w:val="24"/>
        </w:rPr>
        <w:t xml:space="preserve"> </w:t>
      </w:r>
      <w:r w:rsidRPr="005962A1">
        <w:rPr>
          <w:rFonts w:ascii="Arial" w:hAnsi="Arial" w:cs="Arial"/>
          <w:sz w:val="24"/>
          <w:szCs w:val="24"/>
        </w:rPr>
        <w:t>the signatory parties and documented in the Sti</w:t>
      </w:r>
      <w:r>
        <w:rPr>
          <w:rFonts w:ascii="Arial" w:hAnsi="Arial" w:cs="Arial"/>
          <w:sz w:val="24"/>
          <w:szCs w:val="24"/>
        </w:rPr>
        <w:t xml:space="preserve">pulation being presented to the </w:t>
      </w:r>
      <w:r w:rsidRPr="005962A1">
        <w:rPr>
          <w:rFonts w:ascii="Arial" w:hAnsi="Arial" w:cs="Arial"/>
          <w:sz w:val="24"/>
          <w:szCs w:val="24"/>
        </w:rPr>
        <w:t>Commission for consideration and approval. Thes</w:t>
      </w:r>
      <w:r>
        <w:rPr>
          <w:rFonts w:ascii="Arial" w:hAnsi="Arial" w:cs="Arial"/>
          <w:sz w:val="24"/>
          <w:szCs w:val="24"/>
        </w:rPr>
        <w:t xml:space="preserve">e signatory parties (supporting </w:t>
      </w:r>
      <w:r w:rsidRPr="005962A1">
        <w:rPr>
          <w:rFonts w:ascii="Arial" w:hAnsi="Arial" w:cs="Arial"/>
          <w:sz w:val="24"/>
          <w:szCs w:val="24"/>
        </w:rPr>
        <w:t>and non-opposing) represent a wide range of inte</w:t>
      </w:r>
      <w:r>
        <w:rPr>
          <w:rFonts w:ascii="Arial" w:hAnsi="Arial" w:cs="Arial"/>
          <w:sz w:val="24"/>
          <w:szCs w:val="24"/>
        </w:rPr>
        <w:t xml:space="preserve">rests, including the low-income </w:t>
      </w:r>
      <w:r w:rsidRPr="005962A1">
        <w:rPr>
          <w:rFonts w:ascii="Arial" w:hAnsi="Arial" w:cs="Arial"/>
          <w:sz w:val="24"/>
          <w:szCs w:val="24"/>
        </w:rPr>
        <w:t xml:space="preserve">residential advocate, several environmental </w:t>
      </w:r>
      <w:r>
        <w:rPr>
          <w:rFonts w:ascii="Arial" w:hAnsi="Arial" w:cs="Arial"/>
          <w:sz w:val="24"/>
          <w:szCs w:val="24"/>
        </w:rPr>
        <w:t xml:space="preserve">advocates, an industrial energy </w:t>
      </w:r>
      <w:r w:rsidRPr="005962A1">
        <w:rPr>
          <w:rFonts w:ascii="Arial" w:hAnsi="Arial" w:cs="Arial"/>
          <w:sz w:val="24"/>
          <w:szCs w:val="24"/>
        </w:rPr>
        <w:t>management consultant, a retail energy service</w:t>
      </w:r>
      <w:r>
        <w:rPr>
          <w:rFonts w:ascii="Arial" w:hAnsi="Arial" w:cs="Arial"/>
          <w:sz w:val="24"/>
          <w:szCs w:val="24"/>
        </w:rPr>
        <w:t xml:space="preserve"> provider, an energy technology</w:t>
      </w:r>
      <w:r w:rsidRPr="005962A1">
        <w:rPr>
          <w:rFonts w:ascii="Arial" w:hAnsi="Arial" w:cs="Arial"/>
          <w:sz w:val="24"/>
          <w:szCs w:val="24"/>
        </w:rPr>
        <w:t xml:space="preserve"> and analytics provider, a commercial consumer, and industrial advocates</w:t>
      </w:r>
      <w:r>
        <w:rPr>
          <w:rFonts w:ascii="Arial" w:hAnsi="Arial" w:cs="Arial"/>
          <w:sz w:val="24"/>
          <w:szCs w:val="24"/>
        </w:rPr>
        <w:t>.</w:t>
      </w:r>
      <w:r>
        <w:rPr>
          <w:rStyle w:val="FootnoteReference"/>
          <w:rFonts w:ascii="Arial" w:hAnsi="Arial" w:cs="Arial"/>
          <w:sz w:val="24"/>
          <w:szCs w:val="24"/>
        </w:rPr>
        <w:footnoteReference w:id="3"/>
      </w:r>
    </w:p>
    <w:p w:rsidR="001D0E0C" w:rsidRPr="00020868" w:rsidRDefault="00020868" w:rsidP="005962A1">
      <w:pPr>
        <w:spacing w:line="480" w:lineRule="auto"/>
        <w:jc w:val="both"/>
        <w:rPr>
          <w:rFonts w:ascii="Arial" w:hAnsi="Arial" w:cs="Arial"/>
          <w:i/>
          <w:sz w:val="24"/>
          <w:szCs w:val="24"/>
        </w:rPr>
      </w:pPr>
      <w:r w:rsidRPr="00020868">
        <w:rPr>
          <w:rFonts w:ascii="Arial" w:hAnsi="Arial" w:cs="Arial"/>
          <w:sz w:val="24"/>
          <w:szCs w:val="24"/>
        </w:rPr>
        <w:t>While not all parties to the negotiations signed the Stipulation, every party was invited to the negotiating table and provided the opportunity to make their views and opinions known.</w:t>
      </w:r>
      <w:r>
        <w:rPr>
          <w:rFonts w:ascii="Arial" w:hAnsi="Arial" w:cs="Arial"/>
          <w:sz w:val="24"/>
          <w:szCs w:val="24"/>
        </w:rPr>
        <w:t xml:space="preserve">  N</w:t>
      </w:r>
      <w:r w:rsidR="003F114A" w:rsidRPr="0088309A">
        <w:rPr>
          <w:rFonts w:ascii="Arial" w:hAnsi="Arial" w:cs="Arial"/>
          <w:sz w:val="24"/>
          <w:szCs w:val="24"/>
        </w:rPr>
        <w:t>o customer class was excluded from the negotiations</w:t>
      </w:r>
      <w:r w:rsidR="00451A77" w:rsidRPr="0088309A">
        <w:rPr>
          <w:rFonts w:ascii="Arial" w:hAnsi="Arial" w:cs="Arial"/>
          <w:sz w:val="24"/>
          <w:szCs w:val="24"/>
        </w:rPr>
        <w:t>.</w:t>
      </w:r>
      <w:r w:rsidR="005962A1">
        <w:rPr>
          <w:rFonts w:ascii="Arial" w:hAnsi="Arial" w:cs="Arial"/>
          <w:sz w:val="24"/>
          <w:szCs w:val="24"/>
        </w:rPr>
        <w:t xml:space="preserve"> </w:t>
      </w:r>
      <w:r w:rsidR="00725D79">
        <w:rPr>
          <w:rFonts w:ascii="Arial" w:hAnsi="Arial" w:cs="Arial"/>
          <w:sz w:val="24"/>
          <w:szCs w:val="24"/>
        </w:rPr>
        <w:t xml:space="preserve">Therefore, the </w:t>
      </w:r>
      <w:r w:rsidR="00DC3530">
        <w:rPr>
          <w:rFonts w:ascii="Arial" w:hAnsi="Arial" w:cs="Arial"/>
          <w:sz w:val="24"/>
          <w:szCs w:val="24"/>
        </w:rPr>
        <w:t>Commission should approve the Stipulation</w:t>
      </w:r>
      <w:r w:rsidR="00725D79">
        <w:rPr>
          <w:rFonts w:ascii="Arial" w:hAnsi="Arial" w:cs="Arial"/>
          <w:sz w:val="24"/>
          <w:szCs w:val="24"/>
        </w:rPr>
        <w:t>.</w:t>
      </w:r>
    </w:p>
    <w:p w:rsidR="00345EEC" w:rsidRDefault="00725D79" w:rsidP="00345EEC">
      <w:pPr>
        <w:spacing w:line="480" w:lineRule="auto"/>
        <w:ind w:firstLine="720"/>
        <w:jc w:val="both"/>
        <w:rPr>
          <w:rFonts w:ascii="Arial" w:hAnsi="Arial" w:cs="Arial"/>
          <w:sz w:val="24"/>
          <w:szCs w:val="24"/>
        </w:rPr>
      </w:pPr>
      <w:r>
        <w:rPr>
          <w:rFonts w:ascii="Arial" w:hAnsi="Arial" w:cs="Arial"/>
          <w:sz w:val="24"/>
          <w:szCs w:val="24"/>
        </w:rPr>
        <w:t xml:space="preserve">Despite the clear diversity of interests at the negotiating table, OCC argues in its testimony that </w:t>
      </w:r>
      <w:r w:rsidR="00020868">
        <w:rPr>
          <w:rFonts w:ascii="Arial" w:hAnsi="Arial" w:cs="Arial"/>
          <w:sz w:val="24"/>
          <w:szCs w:val="24"/>
        </w:rPr>
        <w:t xml:space="preserve">the Stipulation should be rejected because it lacks </w:t>
      </w:r>
      <w:r w:rsidR="00DC3530">
        <w:rPr>
          <w:rFonts w:ascii="Arial" w:hAnsi="Arial" w:cs="Arial"/>
          <w:sz w:val="24"/>
          <w:szCs w:val="24"/>
        </w:rPr>
        <w:t xml:space="preserve">a </w:t>
      </w:r>
      <w:r>
        <w:rPr>
          <w:rFonts w:ascii="Arial" w:hAnsi="Arial" w:cs="Arial"/>
          <w:sz w:val="24"/>
          <w:szCs w:val="24"/>
        </w:rPr>
        <w:t>“diversity of inter</w:t>
      </w:r>
      <w:r w:rsidR="00020868">
        <w:rPr>
          <w:rFonts w:ascii="Arial" w:hAnsi="Arial" w:cs="Arial"/>
          <w:sz w:val="24"/>
          <w:szCs w:val="24"/>
        </w:rPr>
        <w:t>ests</w:t>
      </w:r>
      <w:r w:rsidR="00C268C2">
        <w:rPr>
          <w:rFonts w:ascii="Arial" w:hAnsi="Arial" w:cs="Arial"/>
          <w:sz w:val="24"/>
          <w:szCs w:val="24"/>
        </w:rPr>
        <w:t>”</w:t>
      </w:r>
      <w:r w:rsidR="009969EE">
        <w:rPr>
          <w:rFonts w:ascii="Arial" w:hAnsi="Arial" w:cs="Arial"/>
          <w:sz w:val="24"/>
          <w:szCs w:val="24"/>
        </w:rPr>
        <w:t xml:space="preserve"> in support of the Stipulation.</w:t>
      </w:r>
      <w:r w:rsidR="00020868">
        <w:rPr>
          <w:rFonts w:ascii="Arial" w:hAnsi="Arial" w:cs="Arial"/>
          <w:sz w:val="24"/>
          <w:szCs w:val="24"/>
        </w:rPr>
        <w:t xml:space="preserve"> </w:t>
      </w:r>
      <w:r w:rsidR="009969EE">
        <w:rPr>
          <w:rFonts w:ascii="Arial" w:hAnsi="Arial" w:cs="Arial"/>
          <w:sz w:val="24"/>
          <w:szCs w:val="24"/>
        </w:rPr>
        <w:t>OCC, however, misstates the criteria for evaluating stipulations under the first prong.  The question for consideration is whether any class of intervenors was excluded from the negotiating table.</w:t>
      </w:r>
      <w:r w:rsidR="00345EEC">
        <w:rPr>
          <w:rStyle w:val="FootnoteReference"/>
          <w:rFonts w:ascii="Arial" w:hAnsi="Arial" w:cs="Arial"/>
          <w:sz w:val="24"/>
          <w:szCs w:val="24"/>
        </w:rPr>
        <w:footnoteReference w:id="4"/>
      </w:r>
      <w:r w:rsidR="00345EEC">
        <w:rPr>
          <w:rFonts w:ascii="Arial" w:hAnsi="Arial" w:cs="Arial"/>
          <w:sz w:val="24"/>
          <w:szCs w:val="24"/>
        </w:rPr>
        <w:t xml:space="preserve">  It is not a requirement that all customer classes support the Stipulation.  Indeed, the Commission recently held that </w:t>
      </w:r>
      <w:r w:rsidR="00345EEC">
        <w:rPr>
          <w:rFonts w:ascii="Arial" w:hAnsi="Arial" w:cs="Arial"/>
          <w:sz w:val="24"/>
          <w:szCs w:val="24"/>
        </w:rPr>
        <w:br/>
        <w:t xml:space="preserve">“we </w:t>
      </w:r>
      <w:r w:rsidR="00345EEC" w:rsidRPr="00345EEC">
        <w:rPr>
          <w:rFonts w:ascii="Arial" w:hAnsi="Arial" w:cs="Arial"/>
          <w:sz w:val="24"/>
          <w:szCs w:val="24"/>
        </w:rPr>
        <w:t xml:space="preserve">have already rejected proposals that any one class of customers can effectively veto </w:t>
      </w:r>
      <w:r w:rsidR="00345EEC">
        <w:rPr>
          <w:rFonts w:ascii="Arial" w:hAnsi="Arial" w:cs="Arial"/>
          <w:sz w:val="24"/>
          <w:szCs w:val="24"/>
        </w:rPr>
        <w:t xml:space="preserve">a </w:t>
      </w:r>
      <w:r w:rsidR="00345EEC" w:rsidRPr="00345EEC">
        <w:rPr>
          <w:rFonts w:ascii="Arial" w:hAnsi="Arial" w:cs="Arial"/>
          <w:sz w:val="24"/>
          <w:szCs w:val="24"/>
        </w:rPr>
        <w:lastRenderedPageBreak/>
        <w:t>stipulation, holding that we will not require any single party, including OCC, to agree to a</w:t>
      </w:r>
      <w:r w:rsidR="00345EEC">
        <w:rPr>
          <w:rFonts w:ascii="Arial" w:hAnsi="Arial" w:cs="Arial"/>
          <w:sz w:val="24"/>
          <w:szCs w:val="24"/>
        </w:rPr>
        <w:t xml:space="preserve"> </w:t>
      </w:r>
      <w:r w:rsidR="00345EEC" w:rsidRPr="00345EEC">
        <w:rPr>
          <w:rFonts w:ascii="Arial" w:hAnsi="Arial" w:cs="Arial"/>
          <w:sz w:val="24"/>
          <w:szCs w:val="24"/>
        </w:rPr>
        <w:t>stipulation in order to meet the first prong of the three-prong test.</w:t>
      </w:r>
      <w:r w:rsidR="00345EEC">
        <w:rPr>
          <w:rFonts w:ascii="Arial" w:hAnsi="Arial" w:cs="Arial"/>
          <w:sz w:val="24"/>
          <w:szCs w:val="24"/>
        </w:rPr>
        <w:t>”</w:t>
      </w:r>
      <w:r w:rsidR="00345EEC">
        <w:rPr>
          <w:rStyle w:val="FootnoteReference"/>
          <w:rFonts w:ascii="Arial" w:hAnsi="Arial" w:cs="Arial"/>
          <w:sz w:val="24"/>
          <w:szCs w:val="24"/>
        </w:rPr>
        <w:footnoteReference w:id="5"/>
      </w:r>
      <w:r w:rsidR="00345EEC" w:rsidRPr="00345EEC">
        <w:rPr>
          <w:rFonts w:ascii="Arial" w:hAnsi="Arial" w:cs="Arial"/>
          <w:sz w:val="24"/>
          <w:szCs w:val="24"/>
        </w:rPr>
        <w:t xml:space="preserve"> </w:t>
      </w:r>
    </w:p>
    <w:p w:rsidR="00725D79" w:rsidRDefault="00725D79" w:rsidP="00345EEC">
      <w:pPr>
        <w:spacing w:line="480" w:lineRule="auto"/>
        <w:ind w:firstLine="720"/>
        <w:jc w:val="both"/>
        <w:rPr>
          <w:rFonts w:ascii="Arial" w:hAnsi="Arial" w:cs="Arial"/>
          <w:sz w:val="24"/>
          <w:szCs w:val="24"/>
        </w:rPr>
      </w:pPr>
      <w:r>
        <w:rPr>
          <w:rFonts w:ascii="Arial" w:hAnsi="Arial" w:cs="Arial"/>
          <w:sz w:val="24"/>
          <w:szCs w:val="24"/>
        </w:rPr>
        <w:t>Because each party had an opportunity to provide input into the Stipulation, and no customer class was excluded from negotiations, the Commission should determine that the Stipulation satisfies the first prong.</w:t>
      </w:r>
    </w:p>
    <w:p w:rsidR="002444EE" w:rsidRPr="00725D79" w:rsidRDefault="00725D79" w:rsidP="00725D79">
      <w:pPr>
        <w:pStyle w:val="ListParagraph"/>
        <w:numPr>
          <w:ilvl w:val="0"/>
          <w:numId w:val="6"/>
        </w:numPr>
        <w:spacing w:line="480" w:lineRule="auto"/>
        <w:jc w:val="both"/>
        <w:rPr>
          <w:rFonts w:ascii="Arial" w:hAnsi="Arial" w:cs="Arial"/>
          <w:b/>
          <w:sz w:val="24"/>
          <w:szCs w:val="24"/>
        </w:rPr>
      </w:pPr>
      <w:r>
        <w:rPr>
          <w:rFonts w:ascii="Arial" w:hAnsi="Arial" w:cs="Arial"/>
          <w:b/>
          <w:sz w:val="24"/>
          <w:szCs w:val="24"/>
        </w:rPr>
        <w:t>The Stipulation Benefits the Public Interest</w:t>
      </w:r>
    </w:p>
    <w:p w:rsidR="00C90783" w:rsidRDefault="009969EE" w:rsidP="00C90783">
      <w:pPr>
        <w:spacing w:line="480" w:lineRule="auto"/>
        <w:ind w:firstLine="720"/>
        <w:jc w:val="both"/>
        <w:rPr>
          <w:rFonts w:ascii="Arial" w:hAnsi="Arial" w:cs="Arial"/>
          <w:sz w:val="24"/>
          <w:szCs w:val="24"/>
        </w:rPr>
      </w:pPr>
      <w:r>
        <w:rPr>
          <w:rFonts w:ascii="Arial" w:hAnsi="Arial" w:cs="Arial"/>
          <w:sz w:val="24"/>
          <w:szCs w:val="24"/>
        </w:rPr>
        <w:t>FirstEnergy’s Portfolio Plan</w:t>
      </w:r>
      <w:r w:rsidR="00C13ADE">
        <w:rPr>
          <w:rFonts w:ascii="Arial" w:hAnsi="Arial" w:cs="Arial"/>
          <w:sz w:val="24"/>
          <w:szCs w:val="24"/>
        </w:rPr>
        <w:t>, as modified by the Stipulation, will benefit the public interest.  Among other things, the Stipulation provides that</w:t>
      </w:r>
      <w:r>
        <w:rPr>
          <w:rFonts w:ascii="Arial" w:hAnsi="Arial" w:cs="Arial"/>
          <w:sz w:val="24"/>
          <w:szCs w:val="24"/>
        </w:rPr>
        <w:t xml:space="preserve"> FirstEnergy will endeavor to </w:t>
      </w:r>
      <w:r w:rsidR="008C629E">
        <w:rPr>
          <w:rFonts w:ascii="Arial" w:hAnsi="Arial" w:cs="Arial"/>
          <w:sz w:val="24"/>
          <w:szCs w:val="24"/>
        </w:rPr>
        <w:t>provide incentives that will facilitate the</w:t>
      </w:r>
      <w:r>
        <w:rPr>
          <w:rFonts w:ascii="Arial" w:hAnsi="Arial" w:cs="Arial"/>
          <w:sz w:val="24"/>
          <w:szCs w:val="24"/>
        </w:rPr>
        <w:t xml:space="preserve"> deploy</w:t>
      </w:r>
      <w:r w:rsidR="008C629E">
        <w:rPr>
          <w:rFonts w:ascii="Arial" w:hAnsi="Arial" w:cs="Arial"/>
          <w:sz w:val="24"/>
          <w:szCs w:val="24"/>
        </w:rPr>
        <w:t>ment of</w:t>
      </w:r>
      <w:r>
        <w:rPr>
          <w:rFonts w:ascii="Arial" w:hAnsi="Arial" w:cs="Arial"/>
          <w:sz w:val="24"/>
          <w:szCs w:val="24"/>
        </w:rPr>
        <w:t xml:space="preserve"> 20,000 smart thermostats per year, with up to a $100 rebate per thermostat.  </w:t>
      </w:r>
    </w:p>
    <w:p w:rsidR="00C90783" w:rsidRDefault="00C90783" w:rsidP="00224FCB">
      <w:pPr>
        <w:spacing w:line="480" w:lineRule="auto"/>
        <w:ind w:firstLine="720"/>
        <w:jc w:val="both"/>
        <w:rPr>
          <w:rFonts w:ascii="Arial" w:hAnsi="Arial" w:cs="Arial"/>
          <w:sz w:val="24"/>
          <w:szCs w:val="24"/>
        </w:rPr>
      </w:pPr>
      <w:r>
        <w:rPr>
          <w:rFonts w:ascii="Arial" w:hAnsi="Arial" w:cs="Arial"/>
          <w:sz w:val="24"/>
          <w:szCs w:val="24"/>
        </w:rPr>
        <w:t>The OCC takes specific issue with FirstEnergy’s proposal to provide incentives for smart thermostats, alleging that they are not cost-effective.  Specifically, citing to certain Total Resource Cost (“TRC”) test calculations included in the initial Application, OCC alleges that the proposed smart thermostat incentives do not pass the TRC test.</w:t>
      </w:r>
      <w:r>
        <w:rPr>
          <w:rStyle w:val="FootnoteReference"/>
          <w:rFonts w:ascii="Arial" w:hAnsi="Arial" w:cs="Arial"/>
          <w:sz w:val="24"/>
          <w:szCs w:val="24"/>
        </w:rPr>
        <w:footnoteReference w:id="6"/>
      </w:r>
      <w:r w:rsidR="008C629E">
        <w:rPr>
          <w:rFonts w:ascii="Arial" w:hAnsi="Arial" w:cs="Arial"/>
          <w:sz w:val="24"/>
          <w:szCs w:val="24"/>
        </w:rPr>
        <w:t xml:space="preserve"> Thus, </w:t>
      </w:r>
      <w:r w:rsidR="008C629E" w:rsidRPr="008C629E">
        <w:rPr>
          <w:rFonts w:ascii="Arial" w:hAnsi="Arial" w:cs="Arial"/>
          <w:sz w:val="24"/>
          <w:szCs w:val="24"/>
        </w:rPr>
        <w:t>OCC alleges that the net present value of the energy-related savings from</w:t>
      </w:r>
      <w:r w:rsidR="004A1807">
        <w:rPr>
          <w:rFonts w:ascii="Arial" w:hAnsi="Arial" w:cs="Arial"/>
          <w:sz w:val="24"/>
          <w:szCs w:val="24"/>
        </w:rPr>
        <w:t xml:space="preserve"> a smart thermostat</w:t>
      </w:r>
      <w:r w:rsidR="008C629E" w:rsidRPr="008C629E">
        <w:rPr>
          <w:rFonts w:ascii="Arial" w:hAnsi="Arial" w:cs="Arial"/>
          <w:sz w:val="24"/>
          <w:szCs w:val="24"/>
        </w:rPr>
        <w:t xml:space="preserve"> is lower than the</w:t>
      </w:r>
      <w:r w:rsidR="008C629E">
        <w:rPr>
          <w:rFonts w:ascii="Arial" w:hAnsi="Arial" w:cs="Arial"/>
          <w:sz w:val="24"/>
          <w:szCs w:val="24"/>
        </w:rPr>
        <w:t xml:space="preserve"> cost of deploying a smart thermostat</w:t>
      </w:r>
      <w:r w:rsidR="008C629E" w:rsidRPr="008C629E">
        <w:rPr>
          <w:rFonts w:ascii="Arial" w:hAnsi="Arial" w:cs="Arial"/>
          <w:sz w:val="24"/>
          <w:szCs w:val="24"/>
        </w:rPr>
        <w:t>.</w:t>
      </w:r>
      <w:r w:rsidR="008C629E">
        <w:rPr>
          <w:rFonts w:ascii="Arial" w:hAnsi="Arial" w:cs="Arial"/>
          <w:sz w:val="24"/>
          <w:szCs w:val="24"/>
        </w:rPr>
        <w:t xml:space="preserve">  </w:t>
      </w:r>
      <w:r w:rsidR="004A1807">
        <w:rPr>
          <w:rFonts w:ascii="Arial" w:hAnsi="Arial" w:cs="Arial"/>
          <w:sz w:val="24"/>
          <w:szCs w:val="24"/>
        </w:rPr>
        <w:t>OCC further alleges</w:t>
      </w:r>
      <w:r w:rsidR="00224FCB">
        <w:rPr>
          <w:rFonts w:ascii="Arial" w:hAnsi="Arial" w:cs="Arial"/>
          <w:sz w:val="24"/>
          <w:szCs w:val="24"/>
        </w:rPr>
        <w:t xml:space="preserve"> in testimony that “nothing in the </w:t>
      </w:r>
      <w:r w:rsidR="00224FCB" w:rsidRPr="00224FCB">
        <w:rPr>
          <w:rFonts w:ascii="Arial" w:hAnsi="Arial" w:cs="Arial"/>
          <w:sz w:val="24"/>
          <w:szCs w:val="24"/>
        </w:rPr>
        <w:t>Settlement suggests that these programs are now cost-effectiv</w:t>
      </w:r>
      <w:r w:rsidR="00224FCB">
        <w:rPr>
          <w:rFonts w:ascii="Arial" w:hAnsi="Arial" w:cs="Arial"/>
          <w:sz w:val="24"/>
          <w:szCs w:val="24"/>
        </w:rPr>
        <w:t>e.”</w:t>
      </w:r>
      <w:r w:rsidR="00224FCB">
        <w:rPr>
          <w:rStyle w:val="FootnoteReference"/>
          <w:rFonts w:ascii="Arial" w:hAnsi="Arial" w:cs="Arial"/>
          <w:sz w:val="24"/>
          <w:szCs w:val="24"/>
        </w:rPr>
        <w:footnoteReference w:id="7"/>
      </w:r>
      <w:r>
        <w:rPr>
          <w:rFonts w:ascii="Arial" w:hAnsi="Arial" w:cs="Arial"/>
          <w:sz w:val="24"/>
          <w:szCs w:val="24"/>
        </w:rPr>
        <w:t xml:space="preserve"> As discussed below, </w:t>
      </w:r>
      <w:r>
        <w:rPr>
          <w:rFonts w:ascii="Arial" w:hAnsi="Arial" w:cs="Arial"/>
          <w:sz w:val="24"/>
          <w:szCs w:val="24"/>
        </w:rPr>
        <w:lastRenderedPageBreak/>
        <w:t>OCC’</w:t>
      </w:r>
      <w:r w:rsidR="00224FCB">
        <w:rPr>
          <w:rFonts w:ascii="Arial" w:hAnsi="Arial" w:cs="Arial"/>
          <w:sz w:val="24"/>
          <w:szCs w:val="24"/>
        </w:rPr>
        <w:t xml:space="preserve">s argument misstates the legal standard for approval, is internally inconsistent </w:t>
      </w:r>
      <w:r>
        <w:rPr>
          <w:rFonts w:ascii="Arial" w:hAnsi="Arial" w:cs="Arial"/>
          <w:sz w:val="24"/>
          <w:szCs w:val="24"/>
        </w:rPr>
        <w:t>with its own public representations</w:t>
      </w:r>
      <w:r w:rsidR="00224FCB">
        <w:rPr>
          <w:rFonts w:ascii="Arial" w:hAnsi="Arial" w:cs="Arial"/>
          <w:sz w:val="24"/>
          <w:szCs w:val="24"/>
        </w:rPr>
        <w:t>, and</w:t>
      </w:r>
      <w:r w:rsidR="004A1807">
        <w:rPr>
          <w:rFonts w:ascii="Arial" w:hAnsi="Arial" w:cs="Arial"/>
          <w:sz w:val="24"/>
          <w:szCs w:val="24"/>
        </w:rPr>
        <w:t xml:space="preserve"> is</w:t>
      </w:r>
      <w:r w:rsidR="00224FCB">
        <w:rPr>
          <w:rFonts w:ascii="Arial" w:hAnsi="Arial" w:cs="Arial"/>
          <w:sz w:val="24"/>
          <w:szCs w:val="24"/>
        </w:rPr>
        <w:t xml:space="preserve"> factually incorrect</w:t>
      </w:r>
      <w:r>
        <w:rPr>
          <w:rFonts w:ascii="Arial" w:hAnsi="Arial" w:cs="Arial"/>
          <w:sz w:val="24"/>
          <w:szCs w:val="24"/>
        </w:rPr>
        <w:t xml:space="preserve">.  </w:t>
      </w:r>
    </w:p>
    <w:p w:rsidR="00224FCB" w:rsidRDefault="000D4424" w:rsidP="00224FCB">
      <w:pPr>
        <w:spacing w:line="480" w:lineRule="auto"/>
        <w:ind w:firstLine="720"/>
        <w:jc w:val="both"/>
        <w:rPr>
          <w:rFonts w:ascii="Arial" w:hAnsi="Arial" w:cs="Arial"/>
          <w:sz w:val="24"/>
          <w:szCs w:val="24"/>
        </w:rPr>
      </w:pPr>
      <w:r>
        <w:rPr>
          <w:rFonts w:ascii="Arial" w:hAnsi="Arial" w:cs="Arial"/>
          <w:sz w:val="24"/>
          <w:szCs w:val="24"/>
        </w:rPr>
        <w:t xml:space="preserve">Under 4901:1-39-04, FirstEnergy is required to </w:t>
      </w:r>
      <w:r>
        <w:rPr>
          <w:rFonts w:ascii="Arial" w:hAnsi="Arial" w:cs="Arial"/>
          <w:color w:val="000000"/>
          <w:sz w:val="24"/>
          <w:szCs w:val="24"/>
          <w:shd w:val="clear" w:color="auto" w:fill="FFFFFF"/>
        </w:rPr>
        <w:t>“</w:t>
      </w:r>
      <w:r w:rsidRPr="000D4424">
        <w:rPr>
          <w:rFonts w:ascii="Arial" w:hAnsi="Arial" w:cs="Arial"/>
          <w:color w:val="000000"/>
          <w:sz w:val="24"/>
          <w:szCs w:val="24"/>
          <w:shd w:val="clear" w:color="auto" w:fill="FFFFFF"/>
        </w:rPr>
        <w:t xml:space="preserve">demonstrate that its program portfolio plan is </w:t>
      </w:r>
      <w:r w:rsidRPr="00A12177">
        <w:rPr>
          <w:rFonts w:ascii="Arial" w:hAnsi="Arial" w:cs="Arial"/>
          <w:color w:val="000000"/>
          <w:sz w:val="24"/>
          <w:szCs w:val="24"/>
          <w:shd w:val="clear" w:color="auto" w:fill="FFFFFF"/>
        </w:rPr>
        <w:t xml:space="preserve">cost-effective </w:t>
      </w:r>
      <w:r w:rsidRPr="00A12177">
        <w:rPr>
          <w:rFonts w:ascii="Arial" w:hAnsi="Arial" w:cs="Arial"/>
          <w:i/>
          <w:color w:val="000000"/>
          <w:sz w:val="24"/>
          <w:szCs w:val="24"/>
          <w:shd w:val="clear" w:color="auto" w:fill="FFFFFF"/>
        </w:rPr>
        <w:t>on a portfolio basis</w:t>
      </w:r>
      <w:r w:rsidRPr="00A12177">
        <w:rPr>
          <w:rFonts w:ascii="Arial" w:hAnsi="Arial" w:cs="Arial"/>
          <w:color w:val="000000"/>
          <w:sz w:val="24"/>
          <w:szCs w:val="24"/>
          <w:shd w:val="clear" w:color="auto" w:fill="FFFFFF"/>
        </w:rPr>
        <w:t>.” (</w:t>
      </w:r>
      <w:proofErr w:type="gramStart"/>
      <w:r w:rsidRPr="00A12177">
        <w:rPr>
          <w:rFonts w:ascii="Arial" w:hAnsi="Arial" w:cs="Arial"/>
          <w:color w:val="000000"/>
          <w:sz w:val="24"/>
          <w:szCs w:val="24"/>
          <w:shd w:val="clear" w:color="auto" w:fill="FFFFFF"/>
        </w:rPr>
        <w:t>emphasis</w:t>
      </w:r>
      <w:proofErr w:type="gramEnd"/>
      <w:r w:rsidRPr="00A12177">
        <w:rPr>
          <w:rFonts w:ascii="Arial" w:hAnsi="Arial" w:cs="Arial"/>
          <w:color w:val="000000"/>
          <w:sz w:val="24"/>
          <w:szCs w:val="24"/>
          <w:shd w:val="clear" w:color="auto" w:fill="FFFFFF"/>
        </w:rPr>
        <w:t xml:space="preserve"> added).   While programs within the portfolio plan must also be cost effective, “each measure within a program need not be cost-effective.”</w:t>
      </w:r>
      <w:r w:rsidR="00A12177">
        <w:rPr>
          <w:rStyle w:val="FootnoteReference"/>
          <w:rFonts w:ascii="Arial" w:hAnsi="Arial" w:cs="Arial"/>
          <w:color w:val="000000"/>
          <w:sz w:val="24"/>
          <w:szCs w:val="24"/>
          <w:shd w:val="clear" w:color="auto" w:fill="FFFFFF"/>
        </w:rPr>
        <w:footnoteReference w:id="8"/>
      </w:r>
      <w:r w:rsidRPr="00A12177">
        <w:rPr>
          <w:rStyle w:val="apple-converted-space"/>
          <w:rFonts w:ascii="Arial" w:hAnsi="Arial" w:cs="Arial"/>
          <w:color w:val="000000"/>
          <w:sz w:val="24"/>
          <w:szCs w:val="24"/>
          <w:shd w:val="clear" w:color="auto" w:fill="FFFFFF"/>
        </w:rPr>
        <w:t> </w:t>
      </w:r>
      <w:r w:rsidR="00224FCB" w:rsidRPr="00A12177">
        <w:rPr>
          <w:rFonts w:ascii="Arial" w:hAnsi="Arial" w:cs="Arial"/>
          <w:sz w:val="24"/>
          <w:szCs w:val="24"/>
        </w:rPr>
        <w:t xml:space="preserve"> </w:t>
      </w:r>
      <w:r w:rsidR="00A12177" w:rsidRPr="00A12177">
        <w:rPr>
          <w:rFonts w:ascii="Arial" w:hAnsi="Arial" w:cs="Arial"/>
          <w:sz w:val="24"/>
          <w:szCs w:val="24"/>
        </w:rPr>
        <w:t xml:space="preserve">Moreover, “an electric utility may include a program within its program portfolio plan that is not cost-effective when that program provides substantial </w:t>
      </w:r>
      <w:proofErr w:type="spellStart"/>
      <w:r w:rsidR="00A12177" w:rsidRPr="00A12177">
        <w:rPr>
          <w:rFonts w:ascii="Arial" w:hAnsi="Arial" w:cs="Arial"/>
          <w:sz w:val="24"/>
          <w:szCs w:val="24"/>
        </w:rPr>
        <w:t>nonenergy</w:t>
      </w:r>
      <w:proofErr w:type="spellEnd"/>
      <w:r w:rsidR="00A12177" w:rsidRPr="00A12177">
        <w:rPr>
          <w:rFonts w:ascii="Arial" w:hAnsi="Arial" w:cs="Arial"/>
          <w:sz w:val="24"/>
          <w:szCs w:val="24"/>
        </w:rPr>
        <w:t xml:space="preserve"> benefits.</w:t>
      </w:r>
      <w:r w:rsidR="00A12177">
        <w:rPr>
          <w:rFonts w:ascii="Arial" w:hAnsi="Arial" w:cs="Arial"/>
          <w:sz w:val="24"/>
          <w:szCs w:val="24"/>
        </w:rPr>
        <w:t>”</w:t>
      </w:r>
      <w:r w:rsidR="00A12177">
        <w:rPr>
          <w:rStyle w:val="FootnoteReference"/>
          <w:rFonts w:ascii="Arial" w:hAnsi="Arial" w:cs="Arial"/>
          <w:sz w:val="24"/>
          <w:szCs w:val="24"/>
        </w:rPr>
        <w:footnoteReference w:id="9"/>
      </w:r>
      <w:r w:rsidR="00224FCB">
        <w:rPr>
          <w:rFonts w:ascii="Arial" w:hAnsi="Arial" w:cs="Arial"/>
          <w:sz w:val="24"/>
          <w:szCs w:val="24"/>
        </w:rPr>
        <w:t xml:space="preserve"> OCC has not alleged</w:t>
      </w:r>
      <w:r w:rsidR="004A1807">
        <w:rPr>
          <w:rFonts w:ascii="Arial" w:hAnsi="Arial" w:cs="Arial"/>
          <w:sz w:val="24"/>
          <w:szCs w:val="24"/>
        </w:rPr>
        <w:t>—nor can it</w:t>
      </w:r>
      <w:r w:rsidR="004A1807">
        <w:rPr>
          <w:rStyle w:val="FootnoteReference"/>
          <w:rFonts w:ascii="Arial" w:hAnsi="Arial" w:cs="Arial"/>
          <w:sz w:val="24"/>
          <w:szCs w:val="24"/>
        </w:rPr>
        <w:footnoteReference w:id="10"/>
      </w:r>
      <w:r w:rsidR="004A1807">
        <w:rPr>
          <w:rFonts w:ascii="Arial" w:hAnsi="Arial" w:cs="Arial"/>
          <w:sz w:val="24"/>
          <w:szCs w:val="24"/>
        </w:rPr>
        <w:t>—</w:t>
      </w:r>
      <w:r w:rsidR="00224FCB">
        <w:rPr>
          <w:rFonts w:ascii="Arial" w:hAnsi="Arial" w:cs="Arial"/>
          <w:sz w:val="24"/>
          <w:szCs w:val="24"/>
        </w:rPr>
        <w:t>that FirstEnergy’s Portfolio Plan in its entirety</w:t>
      </w:r>
      <w:r w:rsidR="004A1807">
        <w:rPr>
          <w:rFonts w:ascii="Arial" w:hAnsi="Arial" w:cs="Arial"/>
          <w:sz w:val="24"/>
          <w:szCs w:val="24"/>
        </w:rPr>
        <w:t xml:space="preserve"> or that any program as a whole</w:t>
      </w:r>
      <w:r w:rsidR="00A12177">
        <w:rPr>
          <w:rFonts w:ascii="Arial" w:hAnsi="Arial" w:cs="Arial"/>
          <w:sz w:val="24"/>
          <w:szCs w:val="24"/>
        </w:rPr>
        <w:t xml:space="preserve"> fail</w:t>
      </w:r>
      <w:r w:rsidR="00224FCB">
        <w:rPr>
          <w:rFonts w:ascii="Arial" w:hAnsi="Arial" w:cs="Arial"/>
          <w:sz w:val="24"/>
          <w:szCs w:val="24"/>
        </w:rPr>
        <w:t xml:space="preserve"> to pass the TRC test. Therefore, OCC’s ar</w:t>
      </w:r>
      <w:r w:rsidR="00A12177">
        <w:rPr>
          <w:rFonts w:ascii="Arial" w:hAnsi="Arial" w:cs="Arial"/>
          <w:sz w:val="24"/>
          <w:szCs w:val="24"/>
        </w:rPr>
        <w:t>gument is legally flawed and unsubstantiated by the record</w:t>
      </w:r>
      <w:r w:rsidR="00D05688">
        <w:rPr>
          <w:rFonts w:ascii="Arial" w:hAnsi="Arial" w:cs="Arial"/>
          <w:sz w:val="24"/>
          <w:szCs w:val="24"/>
        </w:rPr>
        <w:t>.</w:t>
      </w:r>
    </w:p>
    <w:p w:rsidR="00F147E3" w:rsidRDefault="00A12177" w:rsidP="00224FCB">
      <w:pPr>
        <w:spacing w:line="480" w:lineRule="auto"/>
        <w:ind w:firstLine="720"/>
        <w:jc w:val="both"/>
        <w:rPr>
          <w:rFonts w:ascii="Arial" w:hAnsi="Arial" w:cs="Arial"/>
          <w:sz w:val="24"/>
          <w:szCs w:val="24"/>
        </w:rPr>
      </w:pPr>
      <w:r>
        <w:rPr>
          <w:rFonts w:ascii="Arial" w:hAnsi="Arial" w:cs="Arial"/>
          <w:sz w:val="24"/>
          <w:szCs w:val="24"/>
        </w:rPr>
        <w:t xml:space="preserve">In any event, </w:t>
      </w:r>
      <w:r w:rsidR="00224FCB">
        <w:rPr>
          <w:rFonts w:ascii="Arial" w:hAnsi="Arial" w:cs="Arial"/>
          <w:sz w:val="24"/>
          <w:szCs w:val="24"/>
        </w:rPr>
        <w:t>OCC is also incorrect that th</w:t>
      </w:r>
      <w:r>
        <w:rPr>
          <w:rFonts w:ascii="Arial" w:hAnsi="Arial" w:cs="Arial"/>
          <w:sz w:val="24"/>
          <w:szCs w:val="24"/>
        </w:rPr>
        <w:t>e measures related to thermostat incentives</w:t>
      </w:r>
      <w:r w:rsidR="00224FCB">
        <w:rPr>
          <w:rFonts w:ascii="Arial" w:hAnsi="Arial" w:cs="Arial"/>
          <w:sz w:val="24"/>
          <w:szCs w:val="24"/>
        </w:rPr>
        <w:t xml:space="preserve"> fail the TRC test.  Although OCC witness Spellman claims that the thermostat measures are not cos</w:t>
      </w:r>
      <w:r w:rsidR="00F147E3">
        <w:rPr>
          <w:rFonts w:ascii="Arial" w:hAnsi="Arial" w:cs="Arial"/>
          <w:sz w:val="24"/>
          <w:szCs w:val="24"/>
        </w:rPr>
        <w:t>t-effective, Mr. Spellman conceded that he relied</w:t>
      </w:r>
      <w:r w:rsidR="00224FCB">
        <w:rPr>
          <w:rFonts w:ascii="Arial" w:hAnsi="Arial" w:cs="Arial"/>
          <w:sz w:val="24"/>
          <w:szCs w:val="24"/>
        </w:rPr>
        <w:t xml:space="preserve"> upon stale information </w:t>
      </w:r>
      <w:r w:rsidR="00F147E3">
        <w:rPr>
          <w:rFonts w:ascii="Arial" w:hAnsi="Arial" w:cs="Arial"/>
          <w:sz w:val="24"/>
          <w:szCs w:val="24"/>
        </w:rPr>
        <w:t xml:space="preserve">contained in the Market Potential Study </w:t>
      </w:r>
      <w:r w:rsidR="00224FCB">
        <w:rPr>
          <w:rFonts w:ascii="Arial" w:hAnsi="Arial" w:cs="Arial"/>
          <w:sz w:val="24"/>
          <w:szCs w:val="24"/>
        </w:rPr>
        <w:t>that failed to account for all energy-related savings from smart thermostats.</w:t>
      </w:r>
      <w:r w:rsidR="00F147E3">
        <w:rPr>
          <w:rStyle w:val="FootnoteReference"/>
          <w:rFonts w:ascii="Arial" w:hAnsi="Arial" w:cs="Arial"/>
          <w:sz w:val="24"/>
          <w:szCs w:val="24"/>
        </w:rPr>
        <w:footnoteReference w:id="11"/>
      </w:r>
      <w:r w:rsidR="00224FCB">
        <w:rPr>
          <w:rFonts w:ascii="Arial" w:hAnsi="Arial" w:cs="Arial"/>
          <w:sz w:val="24"/>
          <w:szCs w:val="24"/>
        </w:rPr>
        <w:t xml:space="preserve"> </w:t>
      </w:r>
      <w:r w:rsidR="00F147E3">
        <w:rPr>
          <w:rFonts w:ascii="Arial" w:hAnsi="Arial" w:cs="Arial"/>
          <w:sz w:val="24"/>
          <w:szCs w:val="24"/>
        </w:rPr>
        <w:t>But, a</w:t>
      </w:r>
      <w:r w:rsidR="00224FCB">
        <w:rPr>
          <w:rFonts w:ascii="Arial" w:hAnsi="Arial" w:cs="Arial"/>
          <w:sz w:val="24"/>
          <w:szCs w:val="24"/>
        </w:rPr>
        <w:t>s</w:t>
      </w:r>
      <w:r w:rsidR="004A1807">
        <w:rPr>
          <w:rFonts w:ascii="Arial" w:hAnsi="Arial" w:cs="Arial"/>
          <w:sz w:val="24"/>
          <w:szCs w:val="24"/>
        </w:rPr>
        <w:t xml:space="preserve"> FirstEnergy witness </w:t>
      </w:r>
      <w:r w:rsidR="00224FCB">
        <w:rPr>
          <w:rFonts w:ascii="Arial" w:hAnsi="Arial" w:cs="Arial"/>
          <w:sz w:val="24"/>
          <w:szCs w:val="24"/>
        </w:rPr>
        <w:t>Miller testified, one of the provisions in the Stipulation required FirstEnergy to update its calculations of the TRC test fo</w:t>
      </w:r>
      <w:r w:rsidR="00F147E3">
        <w:rPr>
          <w:rFonts w:ascii="Arial" w:hAnsi="Arial" w:cs="Arial"/>
          <w:sz w:val="24"/>
          <w:szCs w:val="24"/>
        </w:rPr>
        <w:t>r smart thermostats to account for the “</w:t>
      </w:r>
      <w:r w:rsidR="00224FCB" w:rsidRPr="00224FCB">
        <w:rPr>
          <w:rFonts w:ascii="Arial" w:hAnsi="Arial" w:cs="Arial"/>
          <w:sz w:val="24"/>
          <w:szCs w:val="24"/>
        </w:rPr>
        <w:t>inc</w:t>
      </w:r>
      <w:r w:rsidR="00224FCB">
        <w:rPr>
          <w:rFonts w:ascii="Arial" w:hAnsi="Arial" w:cs="Arial"/>
          <w:sz w:val="24"/>
          <w:szCs w:val="24"/>
        </w:rPr>
        <w:t xml:space="preserve">lusion of estimated natural gas </w:t>
      </w:r>
      <w:r w:rsidR="00224FCB" w:rsidRPr="00224FCB">
        <w:rPr>
          <w:rFonts w:ascii="Arial" w:hAnsi="Arial" w:cs="Arial"/>
          <w:sz w:val="24"/>
          <w:szCs w:val="24"/>
        </w:rPr>
        <w:t xml:space="preserve">savings projected to be </w:t>
      </w:r>
      <w:r w:rsidR="00224FCB" w:rsidRPr="00224FCB">
        <w:rPr>
          <w:rFonts w:ascii="Arial" w:hAnsi="Arial" w:cs="Arial"/>
          <w:sz w:val="24"/>
          <w:szCs w:val="24"/>
        </w:rPr>
        <w:lastRenderedPageBreak/>
        <w:t>achieved through the u</w:t>
      </w:r>
      <w:r w:rsidR="00224FCB">
        <w:rPr>
          <w:rFonts w:ascii="Arial" w:hAnsi="Arial" w:cs="Arial"/>
          <w:sz w:val="24"/>
          <w:szCs w:val="24"/>
        </w:rPr>
        <w:t xml:space="preserve">se of smart thermostats, which </w:t>
      </w:r>
      <w:r w:rsidR="00224FCB" w:rsidRPr="00224FCB">
        <w:rPr>
          <w:rFonts w:ascii="Arial" w:hAnsi="Arial" w:cs="Arial"/>
          <w:sz w:val="24"/>
          <w:szCs w:val="24"/>
        </w:rPr>
        <w:t>provides a more accurate estimate of the</w:t>
      </w:r>
      <w:r w:rsidR="00224FCB">
        <w:rPr>
          <w:rFonts w:ascii="Arial" w:hAnsi="Arial" w:cs="Arial"/>
          <w:sz w:val="24"/>
          <w:szCs w:val="24"/>
        </w:rPr>
        <w:t xml:space="preserve"> benefits associated with smart </w:t>
      </w:r>
      <w:r w:rsidR="00224FCB" w:rsidRPr="00224FCB">
        <w:rPr>
          <w:rFonts w:ascii="Arial" w:hAnsi="Arial" w:cs="Arial"/>
          <w:sz w:val="24"/>
          <w:szCs w:val="24"/>
        </w:rPr>
        <w:t>thermostats.</w:t>
      </w:r>
      <w:r w:rsidR="00224FCB">
        <w:rPr>
          <w:rFonts w:ascii="Arial" w:hAnsi="Arial" w:cs="Arial"/>
          <w:sz w:val="24"/>
          <w:szCs w:val="24"/>
        </w:rPr>
        <w:t>”</w:t>
      </w:r>
      <w:r w:rsidR="00183F20">
        <w:rPr>
          <w:rStyle w:val="FootnoteReference"/>
          <w:rFonts w:ascii="Arial" w:hAnsi="Arial" w:cs="Arial"/>
          <w:sz w:val="24"/>
          <w:szCs w:val="24"/>
        </w:rPr>
        <w:footnoteReference w:id="12"/>
      </w:r>
      <w:r w:rsidR="0011487F">
        <w:rPr>
          <w:rFonts w:ascii="Arial" w:hAnsi="Arial" w:cs="Arial"/>
          <w:sz w:val="24"/>
          <w:szCs w:val="24"/>
        </w:rPr>
        <w:t xml:space="preserve">  OCC witness Spellman indicated that he was not aware of this modeling change when he submitted his supplemental direct testimony.</w:t>
      </w:r>
      <w:r w:rsidR="0011487F">
        <w:rPr>
          <w:rStyle w:val="FootnoteReference"/>
          <w:rFonts w:ascii="Arial" w:hAnsi="Arial" w:cs="Arial"/>
          <w:sz w:val="24"/>
          <w:szCs w:val="24"/>
        </w:rPr>
        <w:footnoteReference w:id="13"/>
      </w:r>
      <w:r w:rsidR="00183F20">
        <w:rPr>
          <w:rFonts w:ascii="Arial" w:hAnsi="Arial" w:cs="Arial"/>
          <w:sz w:val="24"/>
          <w:szCs w:val="24"/>
        </w:rPr>
        <w:t xml:space="preserve">  Because OCC failed to account for this modeling change,</w:t>
      </w:r>
      <w:r w:rsidR="00F147E3">
        <w:rPr>
          <w:rFonts w:ascii="Arial" w:hAnsi="Arial" w:cs="Arial"/>
          <w:sz w:val="24"/>
          <w:szCs w:val="24"/>
        </w:rPr>
        <w:t xml:space="preserve"> it cannot credibly argue that smart thermostats fail the TRC Test.</w:t>
      </w:r>
    </w:p>
    <w:p w:rsidR="00F84E7C" w:rsidRDefault="00F147E3" w:rsidP="008C629E">
      <w:pPr>
        <w:spacing w:line="480" w:lineRule="auto"/>
        <w:ind w:firstLine="720"/>
        <w:jc w:val="both"/>
        <w:rPr>
          <w:rFonts w:ascii="Arial" w:hAnsi="Arial" w:cs="Arial"/>
          <w:sz w:val="24"/>
          <w:szCs w:val="24"/>
        </w:rPr>
      </w:pPr>
      <w:r>
        <w:rPr>
          <w:rFonts w:ascii="Arial" w:hAnsi="Arial" w:cs="Arial"/>
          <w:sz w:val="24"/>
          <w:szCs w:val="24"/>
        </w:rPr>
        <w:t>Moreover, OCC’s own public representations regarding thermostat savings undermine its testimony.  Specifically, OCC’</w:t>
      </w:r>
      <w:r w:rsidR="00F84E7C">
        <w:rPr>
          <w:rFonts w:ascii="Arial" w:hAnsi="Arial" w:cs="Arial"/>
          <w:sz w:val="24"/>
          <w:szCs w:val="24"/>
        </w:rPr>
        <w:t xml:space="preserve">s </w:t>
      </w:r>
      <w:r>
        <w:rPr>
          <w:rFonts w:ascii="Arial" w:hAnsi="Arial" w:cs="Arial"/>
          <w:sz w:val="24"/>
          <w:szCs w:val="24"/>
        </w:rPr>
        <w:t xml:space="preserve">website states that “[a] properly set programmable </w:t>
      </w:r>
      <w:r w:rsidRPr="00F147E3">
        <w:rPr>
          <w:rFonts w:ascii="Arial" w:hAnsi="Arial" w:cs="Arial"/>
          <w:sz w:val="24"/>
          <w:szCs w:val="24"/>
        </w:rPr>
        <w:t>thermostat can save h</w:t>
      </w:r>
      <w:r>
        <w:rPr>
          <w:rFonts w:ascii="Arial" w:hAnsi="Arial" w:cs="Arial"/>
          <w:sz w:val="24"/>
          <w:szCs w:val="24"/>
        </w:rPr>
        <w:t xml:space="preserve">omeowners $100 to $180 per year </w:t>
      </w:r>
      <w:r w:rsidRPr="00F147E3">
        <w:rPr>
          <w:rFonts w:ascii="Arial" w:hAnsi="Arial" w:cs="Arial"/>
          <w:sz w:val="24"/>
          <w:szCs w:val="24"/>
        </w:rPr>
        <w:t>if they maintain those settings</w:t>
      </w:r>
      <w:r>
        <w:rPr>
          <w:rFonts w:ascii="Arial" w:hAnsi="Arial" w:cs="Arial"/>
          <w:sz w:val="24"/>
          <w:szCs w:val="24"/>
        </w:rPr>
        <w:t>.”</w:t>
      </w:r>
      <w:r>
        <w:rPr>
          <w:rStyle w:val="FootnoteReference"/>
          <w:rFonts w:ascii="Arial" w:hAnsi="Arial" w:cs="Arial"/>
          <w:sz w:val="24"/>
          <w:szCs w:val="24"/>
        </w:rPr>
        <w:footnoteReference w:id="14"/>
      </w:r>
      <w:r w:rsidR="00F84E7C">
        <w:rPr>
          <w:rFonts w:ascii="Arial" w:hAnsi="Arial" w:cs="Arial"/>
          <w:sz w:val="24"/>
          <w:szCs w:val="24"/>
        </w:rPr>
        <w:t xml:space="preserve">  OCC witness Spellma</w:t>
      </w:r>
      <w:r w:rsidR="00D05688">
        <w:rPr>
          <w:rFonts w:ascii="Arial" w:hAnsi="Arial" w:cs="Arial"/>
          <w:sz w:val="24"/>
          <w:szCs w:val="24"/>
        </w:rPr>
        <w:t>n did not dispute these</w:t>
      </w:r>
      <w:r w:rsidR="00F84E7C">
        <w:rPr>
          <w:rFonts w:ascii="Arial" w:hAnsi="Arial" w:cs="Arial"/>
          <w:sz w:val="24"/>
          <w:szCs w:val="24"/>
        </w:rPr>
        <w:t xml:space="preserve"> savings</w:t>
      </w:r>
      <w:r w:rsidR="00D05688">
        <w:rPr>
          <w:rFonts w:ascii="Arial" w:hAnsi="Arial" w:cs="Arial"/>
          <w:sz w:val="24"/>
          <w:szCs w:val="24"/>
        </w:rPr>
        <w:t xml:space="preserve"> estimates</w:t>
      </w:r>
      <w:r w:rsidR="00F84E7C">
        <w:rPr>
          <w:rFonts w:ascii="Arial" w:hAnsi="Arial" w:cs="Arial"/>
          <w:sz w:val="24"/>
          <w:szCs w:val="24"/>
        </w:rPr>
        <w:t>, and, in fact, he agreed that programmable thermostats are less effective than the smart thermostats at issue in this proceeding:</w:t>
      </w:r>
      <w:r w:rsidR="008C629E">
        <w:rPr>
          <w:rFonts w:ascii="Arial" w:hAnsi="Arial" w:cs="Arial"/>
          <w:sz w:val="24"/>
          <w:szCs w:val="24"/>
        </w:rPr>
        <w:t xml:space="preserve"> “</w:t>
      </w:r>
      <w:r w:rsidR="00F84E7C">
        <w:rPr>
          <w:rFonts w:ascii="Arial" w:hAnsi="Arial" w:cs="Arial"/>
          <w:sz w:val="24"/>
          <w:szCs w:val="24"/>
        </w:rPr>
        <w:t xml:space="preserve">would you </w:t>
      </w:r>
      <w:r w:rsidR="00F84E7C" w:rsidRPr="00F84E7C">
        <w:rPr>
          <w:rFonts w:ascii="Arial" w:hAnsi="Arial" w:cs="Arial"/>
          <w:sz w:val="24"/>
          <w:szCs w:val="24"/>
        </w:rPr>
        <w:t>agree that a programma</w:t>
      </w:r>
      <w:r w:rsidR="00F84E7C">
        <w:rPr>
          <w:rFonts w:ascii="Arial" w:hAnsi="Arial" w:cs="Arial"/>
          <w:sz w:val="24"/>
          <w:szCs w:val="24"/>
        </w:rPr>
        <w:t xml:space="preserve">ble thermostat is effectively a </w:t>
      </w:r>
      <w:r w:rsidR="00F84E7C" w:rsidRPr="00F84E7C">
        <w:rPr>
          <w:rFonts w:ascii="Arial" w:hAnsi="Arial" w:cs="Arial"/>
          <w:sz w:val="24"/>
          <w:szCs w:val="24"/>
        </w:rPr>
        <w:t>dumb version of a smart thermostat?</w:t>
      </w:r>
      <w:r w:rsidR="008C629E">
        <w:rPr>
          <w:rFonts w:ascii="Arial" w:hAnsi="Arial" w:cs="Arial"/>
          <w:sz w:val="24"/>
          <w:szCs w:val="24"/>
        </w:rPr>
        <w:t xml:space="preserve"> A. Yes</w:t>
      </w:r>
      <w:r w:rsidR="00F84E7C" w:rsidRPr="00F84E7C">
        <w:rPr>
          <w:rFonts w:ascii="Arial" w:hAnsi="Arial" w:cs="Arial"/>
          <w:sz w:val="24"/>
          <w:szCs w:val="24"/>
        </w:rPr>
        <w:t>.</w:t>
      </w:r>
      <w:r w:rsidR="008C629E">
        <w:rPr>
          <w:rFonts w:ascii="Arial" w:hAnsi="Arial" w:cs="Arial"/>
          <w:sz w:val="24"/>
          <w:szCs w:val="24"/>
        </w:rPr>
        <w:t>”</w:t>
      </w:r>
      <w:r w:rsidR="00F84E7C">
        <w:rPr>
          <w:rStyle w:val="FootnoteReference"/>
          <w:rFonts w:ascii="Arial" w:hAnsi="Arial" w:cs="Arial"/>
          <w:sz w:val="24"/>
          <w:szCs w:val="24"/>
        </w:rPr>
        <w:footnoteReference w:id="15"/>
      </w:r>
    </w:p>
    <w:p w:rsidR="00224FCB" w:rsidRDefault="00F147E3" w:rsidP="008C629E">
      <w:pPr>
        <w:spacing w:line="480" w:lineRule="auto"/>
        <w:ind w:firstLine="720"/>
        <w:jc w:val="both"/>
        <w:rPr>
          <w:rFonts w:ascii="Arial" w:hAnsi="Arial" w:cs="Arial"/>
          <w:sz w:val="24"/>
          <w:szCs w:val="24"/>
        </w:rPr>
      </w:pPr>
      <w:r>
        <w:rPr>
          <w:rFonts w:ascii="Arial" w:hAnsi="Arial" w:cs="Arial"/>
          <w:sz w:val="24"/>
          <w:szCs w:val="24"/>
        </w:rPr>
        <w:t>Using OCC’s own</w:t>
      </w:r>
      <w:r w:rsidR="005C25C3">
        <w:rPr>
          <w:rFonts w:ascii="Arial" w:hAnsi="Arial" w:cs="Arial"/>
          <w:sz w:val="24"/>
          <w:szCs w:val="24"/>
        </w:rPr>
        <w:t xml:space="preserve"> savings</w:t>
      </w:r>
      <w:r>
        <w:rPr>
          <w:rFonts w:ascii="Arial" w:hAnsi="Arial" w:cs="Arial"/>
          <w:sz w:val="24"/>
          <w:szCs w:val="24"/>
        </w:rPr>
        <w:t xml:space="preserve"> numbers</w:t>
      </w:r>
      <w:r w:rsidR="005C25C3">
        <w:rPr>
          <w:rFonts w:ascii="Arial" w:hAnsi="Arial" w:cs="Arial"/>
          <w:sz w:val="24"/>
          <w:szCs w:val="24"/>
        </w:rPr>
        <w:t xml:space="preserve"> for programmable thermostats</w:t>
      </w:r>
      <w:r>
        <w:rPr>
          <w:rFonts w:ascii="Arial" w:hAnsi="Arial" w:cs="Arial"/>
          <w:sz w:val="24"/>
          <w:szCs w:val="24"/>
        </w:rPr>
        <w:t>,</w:t>
      </w:r>
      <w:r w:rsidR="00F84E7C">
        <w:rPr>
          <w:rFonts w:ascii="Arial" w:hAnsi="Arial" w:cs="Arial"/>
          <w:sz w:val="24"/>
          <w:szCs w:val="24"/>
        </w:rPr>
        <w:t xml:space="preserve"> which a</w:t>
      </w:r>
      <w:r w:rsidR="005C25C3">
        <w:rPr>
          <w:rFonts w:ascii="Arial" w:hAnsi="Arial" w:cs="Arial"/>
          <w:sz w:val="24"/>
          <w:szCs w:val="24"/>
        </w:rPr>
        <w:t xml:space="preserve">re admittedly conservative, FirstEnergy’s smart thermostat incentives </w:t>
      </w:r>
      <w:r>
        <w:rPr>
          <w:rFonts w:ascii="Arial" w:hAnsi="Arial" w:cs="Arial"/>
          <w:sz w:val="24"/>
          <w:szCs w:val="24"/>
        </w:rPr>
        <w:t>would</w:t>
      </w:r>
      <w:r w:rsidR="00F84E7C">
        <w:rPr>
          <w:rFonts w:ascii="Arial" w:hAnsi="Arial" w:cs="Arial"/>
          <w:sz w:val="24"/>
          <w:szCs w:val="24"/>
        </w:rPr>
        <w:t xml:space="preserve"> easily pass the TRC T</w:t>
      </w:r>
      <w:r>
        <w:rPr>
          <w:rFonts w:ascii="Arial" w:hAnsi="Arial" w:cs="Arial"/>
          <w:sz w:val="24"/>
          <w:szCs w:val="24"/>
        </w:rPr>
        <w:t>est.</w:t>
      </w:r>
      <w:r>
        <w:rPr>
          <w:rStyle w:val="FootnoteReference"/>
          <w:rFonts w:ascii="Arial" w:hAnsi="Arial" w:cs="Arial"/>
          <w:sz w:val="24"/>
          <w:szCs w:val="24"/>
        </w:rPr>
        <w:footnoteReference w:id="16"/>
      </w:r>
      <w:r w:rsidR="00F84E7C">
        <w:rPr>
          <w:rFonts w:ascii="Arial" w:hAnsi="Arial" w:cs="Arial"/>
          <w:sz w:val="24"/>
          <w:szCs w:val="24"/>
        </w:rPr>
        <w:t xml:space="preserve">  Therefore, OCC’s claim that smart thermostat incentives are not cost-effective is unsubstantiated</w:t>
      </w:r>
      <w:r w:rsidR="008C629E">
        <w:rPr>
          <w:rFonts w:ascii="Arial" w:hAnsi="Arial" w:cs="Arial"/>
          <w:sz w:val="24"/>
          <w:szCs w:val="24"/>
        </w:rPr>
        <w:t>, undermined by their own website,</w:t>
      </w:r>
      <w:r w:rsidR="00F84E7C">
        <w:rPr>
          <w:rFonts w:ascii="Arial" w:hAnsi="Arial" w:cs="Arial"/>
          <w:sz w:val="24"/>
          <w:szCs w:val="24"/>
        </w:rPr>
        <w:t xml:space="preserve"> and</w:t>
      </w:r>
      <w:r w:rsidR="008C629E">
        <w:rPr>
          <w:rFonts w:ascii="Arial" w:hAnsi="Arial" w:cs="Arial"/>
          <w:sz w:val="24"/>
          <w:szCs w:val="24"/>
        </w:rPr>
        <w:t xml:space="preserve"> therefore</w:t>
      </w:r>
      <w:r w:rsidR="00F84E7C">
        <w:rPr>
          <w:rFonts w:ascii="Arial" w:hAnsi="Arial" w:cs="Arial"/>
          <w:sz w:val="24"/>
          <w:szCs w:val="24"/>
        </w:rPr>
        <w:t xml:space="preserve"> should be rejected. </w:t>
      </w:r>
      <w:r>
        <w:rPr>
          <w:rFonts w:ascii="Arial" w:hAnsi="Arial" w:cs="Arial"/>
          <w:sz w:val="24"/>
          <w:szCs w:val="24"/>
        </w:rPr>
        <w:t xml:space="preserve">  </w:t>
      </w:r>
    </w:p>
    <w:p w:rsidR="00A14C69" w:rsidRPr="00A14C69" w:rsidRDefault="00C431F4" w:rsidP="00A14C69">
      <w:pPr>
        <w:pStyle w:val="ListParagraph"/>
        <w:numPr>
          <w:ilvl w:val="0"/>
          <w:numId w:val="6"/>
        </w:numPr>
        <w:spacing w:line="480" w:lineRule="auto"/>
        <w:jc w:val="both"/>
        <w:rPr>
          <w:rFonts w:ascii="Arial" w:hAnsi="Arial" w:cs="Arial"/>
          <w:b/>
          <w:sz w:val="24"/>
          <w:szCs w:val="24"/>
        </w:rPr>
      </w:pPr>
      <w:r>
        <w:rPr>
          <w:rFonts w:ascii="Arial" w:hAnsi="Arial" w:cs="Arial"/>
          <w:b/>
          <w:bCs/>
          <w:sz w:val="24"/>
          <w:szCs w:val="24"/>
        </w:rPr>
        <w:lastRenderedPageBreak/>
        <w:t>The Stipulation Does N</w:t>
      </w:r>
      <w:r w:rsidR="00A14C69" w:rsidRPr="00A14C69">
        <w:rPr>
          <w:rFonts w:ascii="Arial" w:hAnsi="Arial" w:cs="Arial"/>
          <w:b/>
          <w:bCs/>
          <w:sz w:val="24"/>
          <w:szCs w:val="24"/>
        </w:rPr>
        <w:t xml:space="preserve">ot Violate any Regulatory Practice or Principle </w:t>
      </w:r>
    </w:p>
    <w:p w:rsidR="00A14C69" w:rsidRPr="00DC579C" w:rsidRDefault="00A14C69" w:rsidP="00F84E7C">
      <w:pPr>
        <w:spacing w:line="480" w:lineRule="auto"/>
        <w:ind w:firstLine="720"/>
        <w:jc w:val="both"/>
        <w:rPr>
          <w:rFonts w:ascii="Arial" w:hAnsi="Arial" w:cs="Arial"/>
          <w:sz w:val="24"/>
          <w:szCs w:val="24"/>
        </w:rPr>
      </w:pPr>
      <w:r w:rsidRPr="00A14C69">
        <w:rPr>
          <w:rFonts w:ascii="Arial" w:hAnsi="Arial" w:cs="Arial"/>
          <w:sz w:val="24"/>
          <w:szCs w:val="24"/>
        </w:rPr>
        <w:t>The Stipulation does not violate any regulatory policy or principle</w:t>
      </w:r>
      <w:r w:rsidR="00F84E7C">
        <w:rPr>
          <w:rFonts w:ascii="Arial" w:hAnsi="Arial" w:cs="Arial"/>
          <w:sz w:val="24"/>
          <w:szCs w:val="24"/>
        </w:rPr>
        <w:t xml:space="preserve">. </w:t>
      </w:r>
      <w:r w:rsidR="00DC579C">
        <w:rPr>
          <w:rStyle w:val="apple-converted-space"/>
          <w:rFonts w:ascii="Arial" w:hAnsi="Arial" w:cs="Arial"/>
          <w:sz w:val="24"/>
          <w:szCs w:val="24"/>
        </w:rPr>
        <w:t>Indeed, the Stipulation goes even further, promoting the Sta</w:t>
      </w:r>
      <w:r w:rsidR="00F84E7C">
        <w:rPr>
          <w:rStyle w:val="apple-converted-space"/>
          <w:rFonts w:ascii="Arial" w:hAnsi="Arial" w:cs="Arial"/>
          <w:sz w:val="24"/>
          <w:szCs w:val="24"/>
        </w:rPr>
        <w:t>te Policy contained in R.C. 4928</w:t>
      </w:r>
      <w:r w:rsidR="00DC579C">
        <w:rPr>
          <w:rStyle w:val="apple-converted-space"/>
          <w:rFonts w:ascii="Arial" w:hAnsi="Arial" w:cs="Arial"/>
          <w:sz w:val="24"/>
          <w:szCs w:val="24"/>
        </w:rPr>
        <w:t>.02</w:t>
      </w:r>
      <w:r w:rsidR="00364EAB">
        <w:rPr>
          <w:rStyle w:val="apple-converted-space"/>
          <w:rFonts w:ascii="Arial" w:hAnsi="Arial" w:cs="Arial"/>
          <w:sz w:val="24"/>
          <w:szCs w:val="24"/>
        </w:rPr>
        <w:t xml:space="preserve">.  That section provides that it is the policy of this state </w:t>
      </w:r>
      <w:r w:rsidR="00364EAB" w:rsidRPr="00F84E7C">
        <w:rPr>
          <w:rStyle w:val="apple-converted-space"/>
          <w:rFonts w:ascii="Arial" w:hAnsi="Arial" w:cs="Arial"/>
          <w:sz w:val="24"/>
          <w:szCs w:val="24"/>
        </w:rPr>
        <w:t xml:space="preserve">to </w:t>
      </w:r>
      <w:r w:rsidR="00F84E7C">
        <w:rPr>
          <w:rStyle w:val="apple-converted-space"/>
          <w:rFonts w:ascii="Arial" w:hAnsi="Arial" w:cs="Arial"/>
          <w:sz w:val="24"/>
          <w:szCs w:val="24"/>
        </w:rPr>
        <w:t>“</w:t>
      </w:r>
      <w:r w:rsidR="00F84E7C">
        <w:rPr>
          <w:rFonts w:ascii="Arial" w:hAnsi="Arial" w:cs="Arial"/>
          <w:color w:val="000000"/>
          <w:sz w:val="24"/>
          <w:szCs w:val="24"/>
          <w:shd w:val="clear" w:color="auto" w:fill="FFFFFF"/>
        </w:rPr>
        <w:t>[e]</w:t>
      </w:r>
      <w:proofErr w:type="spellStart"/>
      <w:r w:rsidR="00F84E7C" w:rsidRPr="00F84E7C">
        <w:rPr>
          <w:rFonts w:ascii="Arial" w:hAnsi="Arial" w:cs="Arial"/>
          <w:color w:val="000000"/>
          <w:sz w:val="24"/>
          <w:szCs w:val="24"/>
          <w:shd w:val="clear" w:color="auto" w:fill="FFFFFF"/>
        </w:rPr>
        <w:t>ncourage</w:t>
      </w:r>
      <w:proofErr w:type="spellEnd"/>
      <w:r w:rsidR="00F84E7C" w:rsidRPr="00F84E7C">
        <w:rPr>
          <w:rFonts w:ascii="Arial" w:hAnsi="Arial" w:cs="Arial"/>
          <w:color w:val="000000"/>
          <w:sz w:val="24"/>
          <w:szCs w:val="24"/>
          <w:shd w:val="clear" w:color="auto" w:fill="FFFFFF"/>
        </w:rPr>
        <w:t xml:space="preserve"> innovation and market access for cost-effective supply- and demand-side retail electric service including, but not limited to, demand-side management, time-differentiated pricing, waste energy recovery systems, smart grid programs, and implementation of advanced metering infrastructure</w:t>
      </w:r>
      <w:r w:rsidR="00364EAB" w:rsidRPr="00F84E7C">
        <w:rPr>
          <w:rStyle w:val="apple-converted-space"/>
          <w:rFonts w:ascii="Arial" w:hAnsi="Arial" w:cs="Arial"/>
          <w:sz w:val="24"/>
          <w:szCs w:val="24"/>
        </w:rPr>
        <w:t>.”</w:t>
      </w:r>
      <w:r w:rsidR="00BD647F" w:rsidRPr="00F84E7C">
        <w:rPr>
          <w:rStyle w:val="FootnoteReference"/>
          <w:rFonts w:ascii="Arial" w:hAnsi="Arial" w:cs="Arial"/>
          <w:sz w:val="24"/>
          <w:szCs w:val="24"/>
        </w:rPr>
        <w:footnoteReference w:id="17"/>
      </w:r>
      <w:r w:rsidR="00364EAB" w:rsidRPr="00F84E7C">
        <w:rPr>
          <w:rStyle w:val="apple-converted-space"/>
          <w:rFonts w:ascii="Arial" w:hAnsi="Arial" w:cs="Arial"/>
          <w:sz w:val="24"/>
          <w:szCs w:val="24"/>
        </w:rPr>
        <w:t xml:space="preserve">  The Stipulation</w:t>
      </w:r>
      <w:r w:rsidR="00364EAB">
        <w:rPr>
          <w:rStyle w:val="apple-converted-space"/>
          <w:rFonts w:ascii="Arial" w:hAnsi="Arial" w:cs="Arial"/>
          <w:sz w:val="24"/>
          <w:szCs w:val="24"/>
        </w:rPr>
        <w:t xml:space="preserve">, including the proposed </w:t>
      </w:r>
      <w:r w:rsidR="008C629E">
        <w:rPr>
          <w:rStyle w:val="apple-converted-space"/>
          <w:rFonts w:ascii="Arial" w:hAnsi="Arial" w:cs="Arial"/>
          <w:sz w:val="24"/>
          <w:szCs w:val="24"/>
        </w:rPr>
        <w:t>incentive</w:t>
      </w:r>
      <w:r w:rsidR="00B970DA">
        <w:rPr>
          <w:rStyle w:val="apple-converted-space"/>
          <w:rFonts w:ascii="Arial" w:hAnsi="Arial" w:cs="Arial"/>
          <w:sz w:val="24"/>
          <w:szCs w:val="24"/>
        </w:rPr>
        <w:t>s</w:t>
      </w:r>
      <w:r w:rsidR="008C629E">
        <w:rPr>
          <w:rStyle w:val="apple-converted-space"/>
          <w:rFonts w:ascii="Arial" w:hAnsi="Arial" w:cs="Arial"/>
          <w:sz w:val="24"/>
          <w:szCs w:val="24"/>
        </w:rPr>
        <w:t xml:space="preserve"> to deploy</w:t>
      </w:r>
      <w:r w:rsidR="00F84E7C">
        <w:rPr>
          <w:rStyle w:val="apple-converted-space"/>
          <w:rFonts w:ascii="Arial" w:hAnsi="Arial" w:cs="Arial"/>
          <w:sz w:val="24"/>
          <w:szCs w:val="24"/>
        </w:rPr>
        <w:t xml:space="preserve"> smart</w:t>
      </w:r>
      <w:r w:rsidR="00BD647F">
        <w:rPr>
          <w:rStyle w:val="apple-converted-space"/>
          <w:rFonts w:ascii="Arial" w:hAnsi="Arial" w:cs="Arial"/>
          <w:sz w:val="24"/>
          <w:szCs w:val="24"/>
        </w:rPr>
        <w:t xml:space="preserve"> thermostat</w:t>
      </w:r>
      <w:r w:rsidR="008C629E">
        <w:rPr>
          <w:rStyle w:val="apple-converted-space"/>
          <w:rFonts w:ascii="Arial" w:hAnsi="Arial" w:cs="Arial"/>
          <w:sz w:val="24"/>
          <w:szCs w:val="24"/>
        </w:rPr>
        <w:t>s</w:t>
      </w:r>
      <w:r w:rsidR="006B5993">
        <w:rPr>
          <w:rStyle w:val="apple-converted-space"/>
          <w:rFonts w:ascii="Arial" w:hAnsi="Arial" w:cs="Arial"/>
          <w:sz w:val="24"/>
          <w:szCs w:val="24"/>
        </w:rPr>
        <w:t xml:space="preserve">, will promote energy efficiency </w:t>
      </w:r>
      <w:r w:rsidR="00BD647F">
        <w:rPr>
          <w:rStyle w:val="apple-converted-space"/>
          <w:rFonts w:ascii="Arial" w:hAnsi="Arial" w:cs="Arial"/>
          <w:sz w:val="24"/>
          <w:szCs w:val="24"/>
        </w:rPr>
        <w:t>through innovative technology</w:t>
      </w:r>
      <w:r w:rsidR="00364EAB">
        <w:rPr>
          <w:rStyle w:val="apple-converted-space"/>
          <w:rFonts w:ascii="Arial" w:hAnsi="Arial" w:cs="Arial"/>
          <w:sz w:val="24"/>
          <w:szCs w:val="24"/>
        </w:rPr>
        <w:t xml:space="preserve">. </w:t>
      </w:r>
      <w:r w:rsidR="00DC579C">
        <w:rPr>
          <w:rFonts w:ascii="Arial" w:hAnsi="Arial" w:cs="Arial"/>
          <w:sz w:val="24"/>
          <w:szCs w:val="24"/>
        </w:rPr>
        <w:t>Accordingly, the Stipulation satisfies the third prong; thus, IGS urges the Commission to adopt the Stipulation.</w:t>
      </w:r>
    </w:p>
    <w:p w:rsidR="002444EE" w:rsidRDefault="00DC579C" w:rsidP="00DC579C">
      <w:pPr>
        <w:pStyle w:val="ListParagraph"/>
        <w:numPr>
          <w:ilvl w:val="0"/>
          <w:numId w:val="5"/>
        </w:numPr>
        <w:spacing w:line="480" w:lineRule="auto"/>
        <w:jc w:val="both"/>
        <w:rPr>
          <w:rFonts w:ascii="Arial" w:hAnsi="Arial" w:cs="Arial"/>
          <w:b/>
          <w:sz w:val="24"/>
          <w:szCs w:val="24"/>
        </w:rPr>
      </w:pPr>
      <w:r>
        <w:rPr>
          <w:rFonts w:ascii="Arial" w:hAnsi="Arial" w:cs="Arial"/>
          <w:b/>
          <w:sz w:val="24"/>
          <w:szCs w:val="24"/>
        </w:rPr>
        <w:t>CONCLUSION</w:t>
      </w:r>
    </w:p>
    <w:p w:rsidR="002444EE" w:rsidRPr="00A14C69" w:rsidRDefault="00364EAB" w:rsidP="00BD647F">
      <w:pPr>
        <w:spacing w:line="480" w:lineRule="auto"/>
        <w:ind w:firstLine="720"/>
        <w:jc w:val="both"/>
        <w:rPr>
          <w:rFonts w:ascii="Arial" w:hAnsi="Arial" w:cs="Arial"/>
          <w:sz w:val="24"/>
          <w:szCs w:val="24"/>
        </w:rPr>
      </w:pPr>
      <w:r>
        <w:rPr>
          <w:rFonts w:ascii="Arial" w:hAnsi="Arial" w:cs="Arial"/>
          <w:sz w:val="24"/>
          <w:szCs w:val="24"/>
        </w:rPr>
        <w:t xml:space="preserve">For the reasons stated herein, </w:t>
      </w:r>
      <w:r w:rsidR="00262BFF">
        <w:rPr>
          <w:rFonts w:ascii="Arial" w:hAnsi="Arial" w:cs="Arial"/>
          <w:sz w:val="24"/>
          <w:szCs w:val="24"/>
        </w:rPr>
        <w:t>IGS recommends that the Commission approve the Stipulation.</w:t>
      </w:r>
    </w:p>
    <w:p w:rsidR="00A14C69" w:rsidRDefault="00265630">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265630" w:rsidRDefault="00265630" w:rsidP="00265630">
      <w:pPr>
        <w:spacing w:after="0" w:line="240" w:lineRule="auto"/>
        <w:ind w:left="4770"/>
        <w:rPr>
          <w:rFonts w:ascii="Arial" w:hAnsi="Arial" w:cs="Arial"/>
          <w:sz w:val="24"/>
          <w:szCs w:val="24"/>
        </w:rPr>
      </w:pPr>
      <w:r>
        <w:rPr>
          <w:rFonts w:ascii="Arial" w:hAnsi="Arial" w:cs="Arial"/>
          <w:sz w:val="24"/>
          <w:szCs w:val="24"/>
        </w:rPr>
        <w:tab/>
      </w:r>
    </w:p>
    <w:p w:rsidR="00265630" w:rsidRPr="00265630" w:rsidRDefault="00265630" w:rsidP="00265630">
      <w:pPr>
        <w:spacing w:after="0" w:line="240" w:lineRule="auto"/>
        <w:ind w:left="4770"/>
        <w:rPr>
          <w:rFonts w:ascii="Arial" w:hAnsi="Arial" w:cs="Arial"/>
          <w:b/>
          <w:i/>
          <w:sz w:val="24"/>
          <w:szCs w:val="24"/>
          <w:u w:val="single"/>
        </w:rPr>
      </w:pPr>
      <w:r>
        <w:rPr>
          <w:rFonts w:ascii="Arial" w:hAnsi="Arial" w:cs="Arial"/>
          <w:sz w:val="24"/>
          <w:szCs w:val="24"/>
        </w:rPr>
        <w:tab/>
      </w:r>
      <w:r>
        <w:rPr>
          <w:rFonts w:ascii="Arial" w:hAnsi="Arial" w:cs="Arial"/>
          <w:b/>
          <w:i/>
          <w:sz w:val="24"/>
          <w:szCs w:val="24"/>
          <w:u w:val="single"/>
        </w:rPr>
        <w:t xml:space="preserve">/s/ </w:t>
      </w:r>
      <w:r w:rsidR="00AE01DA">
        <w:rPr>
          <w:rFonts w:ascii="Arial" w:hAnsi="Arial" w:cs="Arial"/>
          <w:b/>
          <w:i/>
          <w:sz w:val="24"/>
          <w:szCs w:val="24"/>
          <w:u w:val="single"/>
        </w:rPr>
        <w:t>Joseph Oliker</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Arial" w:hAnsi="Arial" w:cs="Arial"/>
          <w:sz w:val="24"/>
          <w:szCs w:val="24"/>
        </w:rPr>
        <w:t xml:space="preserve">Joseph Oliker </w:t>
      </w:r>
      <w:r w:rsidRPr="00AE01DA">
        <w:rPr>
          <w:rFonts w:ascii="Arial" w:eastAsia="Calibri" w:hAnsi="Arial" w:cs="Arial"/>
          <w:sz w:val="24"/>
          <w:szCs w:val="24"/>
        </w:rPr>
        <w:t>(0086088)</w:t>
      </w:r>
    </w:p>
    <w:p w:rsidR="00AE01DA" w:rsidRPr="00AE01DA" w:rsidRDefault="00AE01DA" w:rsidP="00AE01DA">
      <w:pPr>
        <w:spacing w:after="0" w:line="240" w:lineRule="auto"/>
        <w:ind w:left="5040"/>
        <w:jc w:val="both"/>
        <w:rPr>
          <w:rFonts w:ascii="Arial" w:eastAsia="Calibri" w:hAnsi="Arial" w:cs="Arial"/>
          <w:sz w:val="24"/>
          <w:szCs w:val="24"/>
          <w:u w:val="single"/>
        </w:rPr>
      </w:pPr>
      <w:r w:rsidRPr="00AE01DA">
        <w:rPr>
          <w:rFonts w:ascii="Arial" w:eastAsia="Arial" w:hAnsi="Arial" w:cs="Arial"/>
          <w:sz w:val="24"/>
          <w:szCs w:val="24"/>
        </w:rPr>
        <w:t xml:space="preserve">Counsel of Record </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Email:  joliker@igsenergy.com</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IGS Energy</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6100 Emerald Parkway</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Dublin, Ohio 43016</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Telephone:</w:t>
      </w:r>
      <w:r w:rsidRPr="00AE01DA">
        <w:rPr>
          <w:rFonts w:ascii="Arial" w:eastAsia="Calibri" w:hAnsi="Arial" w:cs="Arial"/>
          <w:sz w:val="24"/>
          <w:szCs w:val="24"/>
        </w:rPr>
        <w:tab/>
        <w:t>(614) 659-5000</w:t>
      </w:r>
    </w:p>
    <w:p w:rsidR="00AE01DA" w:rsidRPr="00AE01DA" w:rsidRDefault="00AE01DA" w:rsidP="00AE01DA">
      <w:pPr>
        <w:spacing w:after="0" w:line="240" w:lineRule="auto"/>
        <w:ind w:left="5040"/>
        <w:jc w:val="both"/>
        <w:rPr>
          <w:rFonts w:ascii="Arial" w:eastAsia="Calibri" w:hAnsi="Arial" w:cs="Arial"/>
          <w:sz w:val="24"/>
          <w:szCs w:val="24"/>
        </w:rPr>
      </w:pPr>
      <w:r w:rsidRPr="00AE01DA">
        <w:rPr>
          <w:rFonts w:ascii="Arial" w:eastAsia="Calibri" w:hAnsi="Arial" w:cs="Arial"/>
          <w:sz w:val="24"/>
          <w:szCs w:val="24"/>
        </w:rPr>
        <w:t>Facsimile:</w:t>
      </w:r>
      <w:r w:rsidRPr="00AE01DA">
        <w:rPr>
          <w:rFonts w:ascii="Arial" w:eastAsia="Calibri" w:hAnsi="Arial" w:cs="Arial"/>
          <w:sz w:val="24"/>
          <w:szCs w:val="24"/>
        </w:rPr>
        <w:tab/>
        <w:t>(614) 659-5073</w:t>
      </w:r>
    </w:p>
    <w:p w:rsidR="00AE01DA" w:rsidRPr="00AE01DA" w:rsidRDefault="00AE01DA" w:rsidP="00AE01DA">
      <w:pPr>
        <w:spacing w:after="0" w:line="240" w:lineRule="auto"/>
        <w:ind w:left="5040"/>
        <w:jc w:val="both"/>
        <w:rPr>
          <w:rFonts w:ascii="Arial" w:eastAsia="Calibri" w:hAnsi="Arial" w:cs="Arial"/>
          <w:sz w:val="24"/>
          <w:szCs w:val="24"/>
        </w:rPr>
      </w:pPr>
    </w:p>
    <w:p w:rsidR="00B970DA" w:rsidRPr="00B970DA" w:rsidRDefault="00AE01DA" w:rsidP="00B970DA">
      <w:pPr>
        <w:spacing w:after="0" w:line="480" w:lineRule="auto"/>
        <w:ind w:left="5040"/>
        <w:jc w:val="both"/>
        <w:rPr>
          <w:rFonts w:ascii="Arial" w:eastAsia="Calibri" w:hAnsi="Arial" w:cs="Arial"/>
          <w:b/>
          <w:i/>
        </w:rPr>
      </w:pPr>
      <w:r w:rsidRPr="00AE01DA">
        <w:rPr>
          <w:rFonts w:ascii="Arial" w:eastAsia="Calibri" w:hAnsi="Arial" w:cs="Arial"/>
          <w:b/>
          <w:i/>
        </w:rPr>
        <w:t>Attorney</w:t>
      </w:r>
      <w:r w:rsidR="00B970DA">
        <w:rPr>
          <w:rFonts w:ascii="Arial" w:eastAsia="Calibri" w:hAnsi="Arial" w:cs="Arial"/>
          <w:b/>
          <w:i/>
        </w:rPr>
        <w:t xml:space="preserve"> for Interstate Gas Supply, Inc.</w:t>
      </w:r>
    </w:p>
    <w:p w:rsidR="005657E1" w:rsidRPr="009D71F6" w:rsidRDefault="005657E1" w:rsidP="006B651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rsidR="005657E1" w:rsidRPr="00F3286A" w:rsidRDefault="005657E1" w:rsidP="005657E1">
      <w:pPr>
        <w:spacing w:after="0" w:line="240" w:lineRule="auto"/>
        <w:jc w:val="center"/>
        <w:rPr>
          <w:rFonts w:ascii="Arial" w:eastAsia="Arial" w:hAnsi="Arial" w:cs="Arial"/>
          <w:b/>
          <w:sz w:val="24"/>
          <w:szCs w:val="24"/>
          <w:u w:val="single"/>
        </w:rPr>
      </w:pPr>
    </w:p>
    <w:p w:rsidR="005657E1" w:rsidRPr="00F3286A" w:rsidRDefault="005657E1" w:rsidP="005657E1">
      <w:pPr>
        <w:spacing w:after="0" w:line="240" w:lineRule="auto"/>
        <w:jc w:val="both"/>
        <w:rPr>
          <w:rFonts w:ascii="Arial" w:eastAsia="Calibri" w:hAnsi="Arial" w:cs="Arial"/>
          <w:sz w:val="24"/>
          <w:szCs w:val="24"/>
        </w:rPr>
      </w:pPr>
      <w:r w:rsidRPr="00F3286A">
        <w:rPr>
          <w:rFonts w:ascii="Arial" w:eastAsia="Arial" w:hAnsi="Arial" w:cs="Arial"/>
          <w:sz w:val="24"/>
          <w:szCs w:val="24"/>
        </w:rPr>
        <w:tab/>
      </w:r>
      <w:r w:rsidRPr="00F3286A">
        <w:rPr>
          <w:rFonts w:ascii="Arial" w:eastAsia="Calibri" w:hAnsi="Arial" w:cs="Arial"/>
          <w:sz w:val="24"/>
          <w:szCs w:val="24"/>
        </w:rPr>
        <w:t xml:space="preserve">The undersigned hereby certifies that a copy of </w:t>
      </w:r>
      <w:r w:rsidRPr="00F3286A">
        <w:rPr>
          <w:rFonts w:ascii="Arial" w:eastAsia="Calibri" w:hAnsi="Arial" w:cs="Arial"/>
          <w:i/>
          <w:sz w:val="24"/>
          <w:szCs w:val="24"/>
        </w:rPr>
        <w:t xml:space="preserve">Interstate Gas Supply, Inc.’s Initial </w:t>
      </w:r>
      <w:r w:rsidR="00F3286A">
        <w:rPr>
          <w:rFonts w:ascii="Arial" w:eastAsia="Calibri" w:hAnsi="Arial" w:cs="Arial"/>
          <w:i/>
          <w:sz w:val="24"/>
          <w:szCs w:val="24"/>
        </w:rPr>
        <w:t>Brief</w:t>
      </w:r>
      <w:r w:rsidRPr="00F3286A">
        <w:rPr>
          <w:rFonts w:ascii="Arial" w:eastAsia="Calibri" w:hAnsi="Arial" w:cs="Arial"/>
          <w:i/>
          <w:sz w:val="24"/>
          <w:szCs w:val="24"/>
        </w:rPr>
        <w:t xml:space="preserve"> </w:t>
      </w:r>
      <w:r w:rsidR="005E4D56">
        <w:rPr>
          <w:rFonts w:ascii="Arial" w:eastAsia="Calibri" w:hAnsi="Arial" w:cs="Arial"/>
          <w:sz w:val="24"/>
          <w:szCs w:val="24"/>
        </w:rPr>
        <w:t>was served this 21</w:t>
      </w:r>
      <w:r w:rsidR="00AE01DA">
        <w:rPr>
          <w:rFonts w:ascii="Arial" w:eastAsia="Calibri" w:hAnsi="Arial" w:cs="Arial"/>
          <w:sz w:val="24"/>
          <w:szCs w:val="24"/>
        </w:rPr>
        <w:t>th</w:t>
      </w:r>
      <w:r w:rsidRPr="00F3286A">
        <w:rPr>
          <w:rFonts w:ascii="Arial" w:eastAsia="Calibri" w:hAnsi="Arial" w:cs="Arial"/>
          <w:sz w:val="24"/>
          <w:szCs w:val="24"/>
        </w:rPr>
        <w:t xml:space="preserve"> day</w:t>
      </w:r>
      <w:bookmarkStart w:id="0" w:name="_GoBack"/>
      <w:bookmarkEnd w:id="0"/>
      <w:r w:rsidRPr="00F3286A">
        <w:rPr>
          <w:rFonts w:ascii="Arial" w:eastAsia="Calibri" w:hAnsi="Arial" w:cs="Arial"/>
          <w:sz w:val="24"/>
          <w:szCs w:val="24"/>
        </w:rPr>
        <w:t xml:space="preserve"> of </w:t>
      </w:r>
      <w:r w:rsidR="005E4D56">
        <w:rPr>
          <w:rFonts w:ascii="Arial" w:eastAsia="Calibri" w:hAnsi="Arial" w:cs="Arial"/>
          <w:sz w:val="24"/>
          <w:szCs w:val="24"/>
        </w:rPr>
        <w:t>February 2017</w:t>
      </w:r>
      <w:r w:rsidRPr="00F3286A">
        <w:rPr>
          <w:rFonts w:ascii="Arial" w:eastAsia="Calibri" w:hAnsi="Arial" w:cs="Arial"/>
          <w:sz w:val="24"/>
          <w:szCs w:val="24"/>
        </w:rPr>
        <w:t xml:space="preserve"> via electronic mail upon the following:</w:t>
      </w:r>
    </w:p>
    <w:p w:rsidR="005657E1" w:rsidRPr="00F3286A" w:rsidRDefault="005657E1" w:rsidP="005657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5036"/>
      </w:tblGrid>
      <w:tr w:rsidR="00B970DA" w:rsidTr="001559AF">
        <w:tc>
          <w:tcPr>
            <w:tcW w:w="4675" w:type="dxa"/>
          </w:tcPr>
          <w:p w:rsidR="00B970DA" w:rsidRPr="007225EB" w:rsidRDefault="00B970DA" w:rsidP="001559AF">
            <w:pPr>
              <w:pStyle w:val="Default"/>
              <w:rPr>
                <w:rFonts w:ascii="Arial" w:hAnsi="Arial" w:cs="Arial"/>
                <w:color w:val="auto"/>
              </w:rPr>
            </w:pPr>
            <w:r w:rsidRPr="007225EB">
              <w:rPr>
                <w:rFonts w:ascii="Arial" w:hAnsi="Arial" w:cs="Arial"/>
                <w:color w:val="auto"/>
              </w:rPr>
              <w:t xml:space="preserve">rdove@attomeydove.com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swilliams@nrdc.org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Vesta.Miller@puc.state.oh.us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bojko@carpenterlipps.com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perko@carpenterlipps.com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paul@carpenterlipps.com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joliker@igsenergy.com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Sandra.Coffey@puc.state.oh.us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cdunn@firstenergycorp.com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jfinnigan@edf.org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ricks@ohanet.org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mpritchard@mwncmh.com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sam@mwncmh.com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Christopher.healey@occ.ohio.gov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mwarnock@bricker.com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dborchers@bricker.com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dparram@bricker.com </w:t>
            </w:r>
          </w:p>
          <w:p w:rsidR="00B970DA" w:rsidRPr="007225EB" w:rsidRDefault="00B970DA" w:rsidP="001559AF">
            <w:pPr>
              <w:pStyle w:val="Default"/>
              <w:rPr>
                <w:rFonts w:ascii="Arial" w:hAnsi="Arial" w:cs="Arial"/>
                <w:color w:val="auto"/>
              </w:rPr>
            </w:pPr>
          </w:p>
        </w:tc>
        <w:tc>
          <w:tcPr>
            <w:tcW w:w="4675" w:type="dxa"/>
          </w:tcPr>
          <w:p w:rsidR="00B970DA" w:rsidRPr="007225EB" w:rsidRDefault="00B970DA" w:rsidP="001559AF">
            <w:pPr>
              <w:pStyle w:val="Default"/>
              <w:rPr>
                <w:rFonts w:ascii="Arial" w:hAnsi="Arial" w:cs="Arial"/>
                <w:color w:val="auto"/>
              </w:rPr>
            </w:pPr>
            <w:r w:rsidRPr="007225EB">
              <w:rPr>
                <w:rFonts w:ascii="Arial" w:hAnsi="Arial" w:cs="Arial"/>
                <w:color w:val="auto"/>
              </w:rPr>
              <w:t xml:space="preserve">dstinson@bricker.com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cmooney@ohiopartners.org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torahood@bricker.com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Gpoulos@enernoc.com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Natalia.Messenger@ohioattorneygeneral.gov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John.jones@ohioattorneygeneral.gov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eostrowski@firstenergycorp.com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jeckert@firstenergycorp.com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leiterr@firstenergycorp.com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mrgladman@jonesday.com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stostado@jonesday.com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sechler@carpenterlipps.com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kjklaw@yahoo.com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Debra.Hight@puc.state.oh.us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callwein@keglerbrown.com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tdougherty@theoec.org </w:t>
            </w:r>
          </w:p>
          <w:p w:rsidR="00B970DA" w:rsidRPr="007225EB" w:rsidRDefault="00B970DA" w:rsidP="001559AF">
            <w:pPr>
              <w:pStyle w:val="Default"/>
              <w:rPr>
                <w:rFonts w:ascii="Arial" w:hAnsi="Arial" w:cs="Arial"/>
                <w:color w:val="auto"/>
              </w:rPr>
            </w:pPr>
            <w:r w:rsidRPr="007225EB">
              <w:rPr>
                <w:rFonts w:ascii="Arial" w:hAnsi="Arial" w:cs="Arial"/>
                <w:color w:val="auto"/>
              </w:rPr>
              <w:t xml:space="preserve">mleppla@theoec.org </w:t>
            </w:r>
          </w:p>
          <w:p w:rsidR="00B970DA" w:rsidRPr="007225EB" w:rsidRDefault="00B970DA" w:rsidP="001559AF">
            <w:pPr>
              <w:pStyle w:val="Default"/>
              <w:rPr>
                <w:rFonts w:ascii="Arial" w:hAnsi="Arial" w:cs="Arial"/>
                <w:color w:val="auto"/>
              </w:rPr>
            </w:pPr>
            <w:r w:rsidRPr="007225EB">
              <w:rPr>
                <w:rFonts w:ascii="Arial" w:hAnsi="Arial" w:cs="Arial"/>
                <w:color w:val="auto"/>
              </w:rPr>
              <w:t>rkelter@elpc.org</w:t>
            </w:r>
          </w:p>
        </w:tc>
      </w:tr>
    </w:tbl>
    <w:p w:rsidR="00B970DA" w:rsidRDefault="00B970DA" w:rsidP="00B970DA">
      <w:pPr>
        <w:pStyle w:val="Default"/>
        <w:rPr>
          <w:color w:val="auto"/>
          <w:sz w:val="23"/>
          <w:szCs w:val="23"/>
        </w:rPr>
      </w:pPr>
    </w:p>
    <w:p w:rsidR="00B970DA" w:rsidRDefault="00B970DA" w:rsidP="00B970DA">
      <w:pPr>
        <w:pStyle w:val="Default"/>
        <w:rPr>
          <w:color w:val="auto"/>
          <w:sz w:val="23"/>
          <w:szCs w:val="23"/>
        </w:rPr>
      </w:pPr>
    </w:p>
    <w:p w:rsidR="00B970DA" w:rsidRDefault="00B970DA" w:rsidP="00B970DA">
      <w:pPr>
        <w:pStyle w:val="Default"/>
        <w:rPr>
          <w:color w:val="auto"/>
          <w:sz w:val="23"/>
          <w:szCs w:val="23"/>
        </w:rPr>
      </w:pPr>
    </w:p>
    <w:p w:rsidR="00B970DA" w:rsidRPr="00F3286A" w:rsidRDefault="00B970DA" w:rsidP="00B970DA">
      <w:pPr>
        <w:spacing w:after="0" w:line="240" w:lineRule="auto"/>
        <w:ind w:left="5040" w:firstLine="720"/>
        <w:rPr>
          <w:rFonts w:ascii="Arial" w:eastAsia="Calibri" w:hAnsi="Arial" w:cs="Arial"/>
          <w:sz w:val="24"/>
          <w:szCs w:val="24"/>
        </w:rPr>
      </w:pPr>
      <w:r>
        <w:rPr>
          <w:rFonts w:ascii="Arial" w:hAnsi="Arial" w:cs="Arial"/>
          <w:i/>
          <w:sz w:val="24"/>
          <w:szCs w:val="24"/>
          <w:u w:val="single"/>
        </w:rPr>
        <w:t>/s/ Joseph Oliker</w:t>
      </w:r>
      <w:r w:rsidRPr="00F3286A">
        <w:rPr>
          <w:rFonts w:ascii="Arial" w:eastAsia="Arial" w:hAnsi="Arial" w:cs="Arial"/>
          <w:i/>
          <w:sz w:val="24"/>
          <w:szCs w:val="24"/>
        </w:rPr>
        <w:t>_______</w:t>
      </w:r>
    </w:p>
    <w:p w:rsidR="00B970DA" w:rsidRPr="007225EB" w:rsidRDefault="00460979" w:rsidP="00460979">
      <w:pPr>
        <w:tabs>
          <w:tab w:val="left" w:pos="7003"/>
        </w:tabs>
        <w:spacing w:after="0" w:line="240" w:lineRule="auto"/>
        <w:ind w:left="5040" w:firstLine="720"/>
        <w:rPr>
          <w:rFonts w:ascii="Arial" w:hAnsi="Arial" w:cs="Arial"/>
          <w:sz w:val="24"/>
          <w:szCs w:val="24"/>
        </w:rPr>
        <w:sectPr w:rsidR="00B970DA" w:rsidRPr="007225EB">
          <w:pgSz w:w="12240" w:h="16340"/>
          <w:pgMar w:top="1857" w:right="1244" w:bottom="1440" w:left="1211" w:header="720" w:footer="720" w:gutter="0"/>
          <w:cols w:space="720"/>
          <w:noEndnote/>
        </w:sectPr>
      </w:pPr>
      <w:r>
        <w:rPr>
          <w:rFonts w:ascii="Arial" w:hAnsi="Arial" w:cs="Arial"/>
          <w:sz w:val="24"/>
          <w:szCs w:val="24"/>
        </w:rPr>
        <w:t>Joseph Oliker</w:t>
      </w:r>
    </w:p>
    <w:p w:rsidR="005657E1" w:rsidRPr="00A14C69" w:rsidRDefault="005657E1">
      <w:pPr>
        <w:spacing w:line="480" w:lineRule="auto"/>
        <w:jc w:val="both"/>
        <w:rPr>
          <w:rFonts w:ascii="Arial" w:hAnsi="Arial" w:cs="Arial"/>
          <w:sz w:val="24"/>
          <w:szCs w:val="24"/>
        </w:rPr>
      </w:pPr>
    </w:p>
    <w:sectPr w:rsidR="005657E1" w:rsidRPr="00A14C69" w:rsidSect="00E76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6E" w:rsidRDefault="00A9076E" w:rsidP="00C036CA">
      <w:pPr>
        <w:spacing w:after="0" w:line="240" w:lineRule="auto"/>
      </w:pPr>
      <w:r>
        <w:separator/>
      </w:r>
    </w:p>
  </w:endnote>
  <w:endnote w:type="continuationSeparator" w:id="0">
    <w:p w:rsidR="00A9076E" w:rsidRDefault="00A9076E" w:rsidP="00C0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8" w:rsidRDefault="00AE3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57594"/>
      <w:docPartObj>
        <w:docPartGallery w:val="Page Numbers (Bottom of Page)"/>
        <w:docPartUnique/>
      </w:docPartObj>
    </w:sdtPr>
    <w:sdtEndPr>
      <w:rPr>
        <w:noProof/>
      </w:rPr>
    </w:sdtEndPr>
    <w:sdtContent>
      <w:p w:rsidR="00E76B4F" w:rsidRDefault="00E76B4F">
        <w:pPr>
          <w:pStyle w:val="Footer"/>
          <w:jc w:val="center"/>
        </w:pPr>
        <w:r>
          <w:fldChar w:fldCharType="begin"/>
        </w:r>
        <w:r>
          <w:instrText xml:space="preserve"> PAGE   \* MERGEFORMAT </w:instrText>
        </w:r>
        <w:r>
          <w:fldChar w:fldCharType="separate"/>
        </w:r>
        <w:r w:rsidR="00B970DA">
          <w:rPr>
            <w:noProof/>
          </w:rPr>
          <w:t>8</w:t>
        </w:r>
        <w:r>
          <w:rPr>
            <w:noProof/>
          </w:rPr>
          <w:fldChar w:fldCharType="end"/>
        </w:r>
      </w:p>
    </w:sdtContent>
  </w:sdt>
  <w:p w:rsidR="00E76B4F" w:rsidRDefault="00E76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8" w:rsidRDefault="00AE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6E" w:rsidRDefault="00A9076E" w:rsidP="00C036CA">
      <w:pPr>
        <w:spacing w:after="0" w:line="240" w:lineRule="auto"/>
      </w:pPr>
      <w:r>
        <w:separator/>
      </w:r>
    </w:p>
  </w:footnote>
  <w:footnote w:type="continuationSeparator" w:id="0">
    <w:p w:rsidR="00A9076E" w:rsidRDefault="00A9076E" w:rsidP="00C036CA">
      <w:pPr>
        <w:spacing w:after="0" w:line="240" w:lineRule="auto"/>
      </w:pPr>
      <w:r>
        <w:continuationSeparator/>
      </w:r>
    </w:p>
  </w:footnote>
  <w:footnote w:id="1">
    <w:p w:rsidR="00DC3530" w:rsidRPr="00BD647F" w:rsidRDefault="00DC3530" w:rsidP="006B651F">
      <w:pPr>
        <w:pStyle w:val="FootnoteText"/>
        <w:spacing w:after="120"/>
        <w:jc w:val="both"/>
        <w:rPr>
          <w:rFonts w:ascii="Arial" w:hAnsi="Arial" w:cs="Arial"/>
        </w:rPr>
      </w:pPr>
      <w:r w:rsidRPr="00DC3530">
        <w:rPr>
          <w:rStyle w:val="FootnoteReference"/>
          <w:rFonts w:ascii="Arial" w:hAnsi="Arial" w:cs="Arial"/>
        </w:rPr>
        <w:footnoteRef/>
      </w:r>
      <w:r w:rsidRPr="00DC3530">
        <w:rPr>
          <w:rFonts w:ascii="Arial" w:hAnsi="Arial" w:cs="Arial"/>
        </w:rPr>
        <w:t xml:space="preserve"> </w:t>
      </w:r>
      <w:r w:rsidR="00AF448F">
        <w:rPr>
          <w:rFonts w:ascii="Arial" w:hAnsi="Arial" w:cs="Arial"/>
        </w:rPr>
        <w:t xml:space="preserve">The Stipulation is signed by several supporting parties and non-opposing parties.  The supporting parties include Energy Management Solutions, Inc., </w:t>
      </w:r>
      <w:proofErr w:type="spellStart"/>
      <w:r w:rsidR="00AF448F">
        <w:rPr>
          <w:rFonts w:ascii="Arial" w:hAnsi="Arial" w:cs="Arial"/>
        </w:rPr>
        <w:t>EnerNoc</w:t>
      </w:r>
      <w:proofErr w:type="spellEnd"/>
      <w:r w:rsidR="00AF448F">
        <w:rPr>
          <w:rFonts w:ascii="Arial" w:hAnsi="Arial" w:cs="Arial"/>
        </w:rPr>
        <w:t>, Ohio Partners for Affordable Energy, Ohio Environmental Council, Environmental Defense Fund, National Resource Defense Council, IGS Energy, Environmental Law &amp; Policy Center, the Ohio Edison Company, Cleveland Electric Illuminating Company, and Toledo Edison Company.  The non-opposing parties include Kroger Company, Ohio Manufacturer’s Association, and Industrial Energy Users-Ohio</w:t>
      </w:r>
    </w:p>
  </w:footnote>
  <w:footnote w:id="2">
    <w:p w:rsidR="00C036CA" w:rsidRPr="00345EEC" w:rsidRDefault="00C036CA" w:rsidP="00345EEC">
      <w:pPr>
        <w:pStyle w:val="FootnoteText"/>
        <w:spacing w:after="120"/>
        <w:jc w:val="both"/>
        <w:rPr>
          <w:rFonts w:ascii="Arial" w:hAnsi="Arial" w:cs="Arial"/>
        </w:rPr>
      </w:pPr>
      <w:r w:rsidRPr="00345EEC">
        <w:rPr>
          <w:rStyle w:val="FootnoteReference"/>
          <w:rFonts w:ascii="Arial" w:hAnsi="Arial" w:cs="Arial"/>
        </w:rPr>
        <w:footnoteRef/>
      </w:r>
      <w:r w:rsidRPr="00345EEC">
        <w:rPr>
          <w:rFonts w:ascii="Arial" w:hAnsi="Arial" w:cs="Arial"/>
        </w:rPr>
        <w:t xml:space="preserve"> See </w:t>
      </w:r>
      <w:r w:rsidRPr="00345EEC">
        <w:rPr>
          <w:rFonts w:ascii="Arial" w:hAnsi="Arial" w:cs="Arial"/>
          <w:i/>
        </w:rPr>
        <w:t xml:space="preserve">Indus. Energy Consumers of Ohio Power Co. v. Pub. Util. </w:t>
      </w:r>
      <w:proofErr w:type="spellStart"/>
      <w:r w:rsidRPr="00345EEC">
        <w:rPr>
          <w:rFonts w:ascii="Arial" w:hAnsi="Arial" w:cs="Arial"/>
          <w:i/>
        </w:rPr>
        <w:t>Comm’n</w:t>
      </w:r>
      <w:proofErr w:type="spellEnd"/>
      <w:r w:rsidRPr="00345EEC">
        <w:rPr>
          <w:rFonts w:ascii="Arial" w:hAnsi="Arial" w:cs="Arial"/>
        </w:rPr>
        <w:t>, 68 Ohio St.3d 559 (1994).</w:t>
      </w:r>
    </w:p>
  </w:footnote>
  <w:footnote w:id="3">
    <w:p w:rsidR="005962A1" w:rsidRPr="00345EEC" w:rsidRDefault="005962A1" w:rsidP="00345EEC">
      <w:pPr>
        <w:pStyle w:val="FootnoteText"/>
        <w:jc w:val="both"/>
        <w:rPr>
          <w:rFonts w:ascii="Arial" w:hAnsi="Arial" w:cs="Arial"/>
        </w:rPr>
      </w:pPr>
      <w:r w:rsidRPr="00345EEC">
        <w:rPr>
          <w:rStyle w:val="FootnoteReference"/>
          <w:rFonts w:ascii="Arial" w:hAnsi="Arial" w:cs="Arial"/>
        </w:rPr>
        <w:footnoteRef/>
      </w:r>
      <w:r w:rsidR="000C002A">
        <w:rPr>
          <w:rFonts w:ascii="Arial" w:hAnsi="Arial" w:cs="Arial"/>
        </w:rPr>
        <w:t xml:space="preserve"> FirstEnergy</w:t>
      </w:r>
      <w:r w:rsidRPr="00345EEC">
        <w:rPr>
          <w:rFonts w:ascii="Arial" w:hAnsi="Arial" w:cs="Arial"/>
        </w:rPr>
        <w:t xml:space="preserve"> Ex.</w:t>
      </w:r>
      <w:r w:rsidR="000C002A">
        <w:rPr>
          <w:rFonts w:ascii="Arial" w:hAnsi="Arial" w:cs="Arial"/>
        </w:rPr>
        <w:t xml:space="preserve"> 5</w:t>
      </w:r>
      <w:r w:rsidRPr="00345EEC">
        <w:rPr>
          <w:rFonts w:ascii="Arial" w:hAnsi="Arial" w:cs="Arial"/>
        </w:rPr>
        <w:t xml:space="preserve"> at 8-9.</w:t>
      </w:r>
    </w:p>
    <w:p w:rsidR="005962A1" w:rsidRPr="00345EEC" w:rsidRDefault="005962A1" w:rsidP="00345EEC">
      <w:pPr>
        <w:pStyle w:val="FootnoteText"/>
        <w:jc w:val="both"/>
        <w:rPr>
          <w:rFonts w:ascii="Arial" w:hAnsi="Arial" w:cs="Arial"/>
        </w:rPr>
      </w:pPr>
    </w:p>
  </w:footnote>
  <w:footnote w:id="4">
    <w:p w:rsidR="00345EEC" w:rsidRPr="00345EEC" w:rsidRDefault="00345EEC" w:rsidP="00345EEC">
      <w:pPr>
        <w:pStyle w:val="FootnoteText"/>
        <w:jc w:val="both"/>
        <w:rPr>
          <w:rFonts w:ascii="Arial" w:hAnsi="Arial" w:cs="Arial"/>
        </w:rPr>
      </w:pPr>
      <w:r w:rsidRPr="00345EEC">
        <w:rPr>
          <w:rStyle w:val="FootnoteReference"/>
          <w:rFonts w:ascii="Arial" w:hAnsi="Arial" w:cs="Arial"/>
        </w:rPr>
        <w:footnoteRef/>
      </w:r>
      <w:r w:rsidRPr="00345EEC">
        <w:rPr>
          <w:rFonts w:ascii="Arial" w:hAnsi="Arial" w:cs="Arial"/>
        </w:rPr>
        <w:t xml:space="preserve"> </w:t>
      </w:r>
      <w:r w:rsidRPr="00345EEC">
        <w:rPr>
          <w:rFonts w:ascii="Arial" w:hAnsi="Arial" w:cs="Arial"/>
          <w:i/>
        </w:rPr>
        <w:t xml:space="preserve">Time Warner AXS v. Pub. Util. </w:t>
      </w:r>
      <w:proofErr w:type="spellStart"/>
      <w:r w:rsidRPr="00345EEC">
        <w:rPr>
          <w:rFonts w:ascii="Arial" w:hAnsi="Arial" w:cs="Arial"/>
          <w:i/>
        </w:rPr>
        <w:t>Comm’n</w:t>
      </w:r>
      <w:proofErr w:type="spellEnd"/>
      <w:r w:rsidRPr="00345EEC">
        <w:rPr>
          <w:rFonts w:ascii="Arial" w:hAnsi="Arial" w:cs="Arial"/>
          <w:i/>
        </w:rPr>
        <w:t xml:space="preserve"> of Ohio</w:t>
      </w:r>
      <w:r w:rsidRPr="00345EEC">
        <w:rPr>
          <w:rFonts w:ascii="Arial" w:hAnsi="Arial" w:cs="Arial"/>
        </w:rPr>
        <w:t>, 75 Ohio St.3d 229, footnote 2 (1996).</w:t>
      </w:r>
    </w:p>
  </w:footnote>
  <w:footnote w:id="5">
    <w:p w:rsidR="00345EEC" w:rsidRPr="00345EEC" w:rsidRDefault="00345EEC" w:rsidP="00345EEC">
      <w:pPr>
        <w:pStyle w:val="FootnoteText"/>
        <w:jc w:val="both"/>
        <w:rPr>
          <w:rFonts w:ascii="Arial" w:hAnsi="Arial" w:cs="Arial"/>
        </w:rPr>
      </w:pPr>
      <w:r w:rsidRPr="00345EEC">
        <w:rPr>
          <w:rStyle w:val="FootnoteReference"/>
          <w:rFonts w:ascii="Arial" w:hAnsi="Arial" w:cs="Arial"/>
        </w:rPr>
        <w:footnoteRef/>
      </w:r>
      <w:r w:rsidRPr="00345EEC">
        <w:rPr>
          <w:rFonts w:ascii="Arial" w:hAnsi="Arial" w:cs="Arial"/>
        </w:rPr>
        <w:t xml:space="preserve"> </w:t>
      </w:r>
      <w:r w:rsidRPr="00345EEC">
        <w:rPr>
          <w:rFonts w:ascii="Arial" w:hAnsi="Arial" w:cs="Arial"/>
          <w:i/>
        </w:rPr>
        <w:t>In the Matter of the Application of Ohio Edison Company, The Cleveland Electric Illuminating Company, and The Toledo Edison Company for Authority to Provide for a Standard Service Offer Pursuant to R.C. 4928.143 in the Form of an Electric Security Plan</w:t>
      </w:r>
      <w:r w:rsidRPr="00345EEC">
        <w:rPr>
          <w:rFonts w:ascii="Arial" w:hAnsi="Arial" w:cs="Arial"/>
        </w:rPr>
        <w:t xml:space="preserve">, Opinion and Order at 43 (Mar. 31, 2016) (citing </w:t>
      </w:r>
      <w:r w:rsidRPr="00345EEC">
        <w:rPr>
          <w:rFonts w:ascii="Arial" w:hAnsi="Arial" w:cs="Arial"/>
          <w:i/>
        </w:rPr>
        <w:t>Dominion Retail v. Dayton Power &amp; Light Co.</w:t>
      </w:r>
      <w:r w:rsidRPr="00345EEC">
        <w:rPr>
          <w:rFonts w:ascii="Arial" w:hAnsi="Arial" w:cs="Arial"/>
        </w:rPr>
        <w:t>, Case No. 03-2405-EL-CSS, Opinion and Order at 18 (Feb. 2, 2005); Entry on</w:t>
      </w:r>
      <w:r w:rsidR="00EB6F35">
        <w:rPr>
          <w:rFonts w:ascii="Arial" w:hAnsi="Arial" w:cs="Arial"/>
        </w:rPr>
        <w:t xml:space="preserve"> Rehearing at 7 (Mar. 23, 2005)</w:t>
      </w:r>
      <w:r w:rsidRPr="00345EEC">
        <w:rPr>
          <w:rFonts w:ascii="Arial" w:hAnsi="Arial" w:cs="Arial"/>
        </w:rPr>
        <w:t xml:space="preserve">.   </w:t>
      </w:r>
    </w:p>
    <w:p w:rsidR="00345EEC" w:rsidRPr="00345EEC" w:rsidRDefault="00345EEC" w:rsidP="00345EEC">
      <w:pPr>
        <w:pStyle w:val="FootnoteText"/>
        <w:jc w:val="both"/>
        <w:rPr>
          <w:rFonts w:ascii="Arial" w:hAnsi="Arial" w:cs="Arial"/>
          <w:i/>
        </w:rPr>
      </w:pPr>
    </w:p>
  </w:footnote>
  <w:footnote w:id="6">
    <w:p w:rsidR="00C90783" w:rsidRPr="00345EEC" w:rsidRDefault="00C90783" w:rsidP="00345EEC">
      <w:pPr>
        <w:pStyle w:val="FootnoteText"/>
        <w:jc w:val="both"/>
        <w:rPr>
          <w:rFonts w:ascii="Arial" w:hAnsi="Arial" w:cs="Arial"/>
        </w:rPr>
      </w:pPr>
      <w:r w:rsidRPr="00345EEC">
        <w:rPr>
          <w:rStyle w:val="FootnoteReference"/>
          <w:rFonts w:ascii="Arial" w:hAnsi="Arial" w:cs="Arial"/>
        </w:rPr>
        <w:footnoteRef/>
      </w:r>
      <w:r w:rsidR="00A12177" w:rsidRPr="00345EEC">
        <w:rPr>
          <w:rFonts w:ascii="Arial" w:hAnsi="Arial" w:cs="Arial"/>
        </w:rPr>
        <w:t xml:space="preserve"> OCC </w:t>
      </w:r>
      <w:r w:rsidR="006D7DA2" w:rsidRPr="00345EEC">
        <w:rPr>
          <w:rFonts w:ascii="Arial" w:hAnsi="Arial" w:cs="Arial"/>
        </w:rPr>
        <w:t xml:space="preserve">Ex. </w:t>
      </w:r>
      <w:r w:rsidR="00A12177" w:rsidRPr="00345EEC">
        <w:rPr>
          <w:rFonts w:ascii="Arial" w:hAnsi="Arial" w:cs="Arial"/>
        </w:rPr>
        <w:t>9B</w:t>
      </w:r>
      <w:r w:rsidRPr="00345EEC">
        <w:rPr>
          <w:rFonts w:ascii="Arial" w:hAnsi="Arial" w:cs="Arial"/>
        </w:rPr>
        <w:t xml:space="preserve"> at 64-65</w:t>
      </w:r>
      <w:r w:rsidR="00A12177" w:rsidRPr="00345EEC">
        <w:rPr>
          <w:rFonts w:ascii="Arial" w:hAnsi="Arial" w:cs="Arial"/>
        </w:rPr>
        <w:t xml:space="preserve"> (Spellman Supplemental Direct)</w:t>
      </w:r>
      <w:r w:rsidRPr="00345EEC">
        <w:rPr>
          <w:rFonts w:ascii="Arial" w:hAnsi="Arial" w:cs="Arial"/>
        </w:rPr>
        <w:t>.</w:t>
      </w:r>
    </w:p>
    <w:p w:rsidR="006D7DA2" w:rsidRPr="00345EEC" w:rsidRDefault="006D7DA2" w:rsidP="00345EEC">
      <w:pPr>
        <w:pStyle w:val="FootnoteText"/>
        <w:jc w:val="both"/>
        <w:rPr>
          <w:rFonts w:ascii="Arial" w:hAnsi="Arial" w:cs="Arial"/>
        </w:rPr>
      </w:pPr>
    </w:p>
  </w:footnote>
  <w:footnote w:id="7">
    <w:p w:rsidR="006D7DA2" w:rsidRPr="00345EEC" w:rsidRDefault="00224FCB" w:rsidP="00345EEC">
      <w:pPr>
        <w:pStyle w:val="FootnoteText"/>
        <w:jc w:val="both"/>
        <w:rPr>
          <w:rFonts w:ascii="Arial" w:hAnsi="Arial" w:cs="Arial"/>
        </w:rPr>
      </w:pPr>
      <w:r w:rsidRPr="00345EEC">
        <w:rPr>
          <w:rStyle w:val="FootnoteReference"/>
          <w:rFonts w:ascii="Arial" w:hAnsi="Arial" w:cs="Arial"/>
        </w:rPr>
        <w:footnoteRef/>
      </w:r>
      <w:r w:rsidRPr="00345EEC">
        <w:rPr>
          <w:rFonts w:ascii="Arial" w:hAnsi="Arial" w:cs="Arial"/>
        </w:rPr>
        <w:t xml:space="preserve"> </w:t>
      </w:r>
      <w:r w:rsidR="006D7DA2" w:rsidRPr="00345EEC">
        <w:rPr>
          <w:rFonts w:ascii="Arial" w:hAnsi="Arial" w:cs="Arial"/>
        </w:rPr>
        <w:t>OCC Ex. 9B</w:t>
      </w:r>
      <w:r w:rsidR="00345EEC" w:rsidRPr="00345EEC">
        <w:rPr>
          <w:rFonts w:ascii="Arial" w:hAnsi="Arial" w:cs="Arial"/>
        </w:rPr>
        <w:t xml:space="preserve"> at 66.</w:t>
      </w:r>
    </w:p>
  </w:footnote>
  <w:footnote w:id="8">
    <w:p w:rsidR="00A12177" w:rsidRPr="00345EEC" w:rsidRDefault="00A12177" w:rsidP="00345EEC">
      <w:pPr>
        <w:pStyle w:val="FootnoteText"/>
        <w:jc w:val="both"/>
        <w:rPr>
          <w:rFonts w:ascii="Arial" w:hAnsi="Arial" w:cs="Arial"/>
        </w:rPr>
      </w:pPr>
      <w:r w:rsidRPr="00345EEC">
        <w:rPr>
          <w:rStyle w:val="FootnoteReference"/>
          <w:rFonts w:ascii="Arial" w:hAnsi="Arial" w:cs="Arial"/>
        </w:rPr>
        <w:footnoteRef/>
      </w:r>
      <w:r w:rsidRPr="00345EEC">
        <w:rPr>
          <w:rFonts w:ascii="Arial" w:hAnsi="Arial" w:cs="Arial"/>
        </w:rPr>
        <w:t xml:space="preserve"> 4901:1-39-04(B), OAC.</w:t>
      </w:r>
    </w:p>
    <w:p w:rsidR="006D7DA2" w:rsidRPr="00345EEC" w:rsidRDefault="006D7DA2" w:rsidP="00345EEC">
      <w:pPr>
        <w:pStyle w:val="FootnoteText"/>
        <w:jc w:val="both"/>
        <w:rPr>
          <w:rFonts w:ascii="Arial" w:hAnsi="Arial" w:cs="Arial"/>
        </w:rPr>
      </w:pPr>
    </w:p>
  </w:footnote>
  <w:footnote w:id="9">
    <w:p w:rsidR="00A12177" w:rsidRPr="00345EEC" w:rsidRDefault="00A12177" w:rsidP="00345EEC">
      <w:pPr>
        <w:pStyle w:val="FootnoteText"/>
        <w:jc w:val="both"/>
        <w:rPr>
          <w:rFonts w:ascii="Arial" w:hAnsi="Arial" w:cs="Arial"/>
        </w:rPr>
      </w:pPr>
      <w:r w:rsidRPr="00345EEC">
        <w:rPr>
          <w:rStyle w:val="FootnoteReference"/>
          <w:rFonts w:ascii="Arial" w:hAnsi="Arial" w:cs="Arial"/>
        </w:rPr>
        <w:footnoteRef/>
      </w:r>
      <w:r w:rsidRPr="00345EEC">
        <w:rPr>
          <w:rFonts w:ascii="Arial" w:hAnsi="Arial" w:cs="Arial"/>
        </w:rPr>
        <w:t xml:space="preserve"> Indeed, </w:t>
      </w:r>
      <w:r w:rsidR="006D7DA2" w:rsidRPr="00345EEC">
        <w:rPr>
          <w:rFonts w:ascii="Arial" w:hAnsi="Arial" w:cs="Arial"/>
        </w:rPr>
        <w:t>many low-income focused programs and measures</w:t>
      </w:r>
      <w:r w:rsidRPr="00345EEC">
        <w:rPr>
          <w:rFonts w:ascii="Arial" w:hAnsi="Arial" w:cs="Arial"/>
        </w:rPr>
        <w:t xml:space="preserve"> do not pass the TRC test, but that does not mean that this group of customers should be neglected.  </w:t>
      </w:r>
    </w:p>
    <w:p w:rsidR="00345EEC" w:rsidRPr="004A1807" w:rsidRDefault="00345EEC" w:rsidP="00345EEC">
      <w:pPr>
        <w:pStyle w:val="FootnoteText"/>
        <w:jc w:val="both"/>
        <w:rPr>
          <w:rFonts w:ascii="Arial" w:hAnsi="Arial" w:cs="Arial"/>
        </w:rPr>
      </w:pPr>
    </w:p>
  </w:footnote>
  <w:footnote w:id="10">
    <w:p w:rsidR="004A1807" w:rsidRPr="004A1807" w:rsidRDefault="004A1807" w:rsidP="004A1807">
      <w:pPr>
        <w:pStyle w:val="FootnoteText"/>
        <w:rPr>
          <w:rFonts w:ascii="Arial" w:hAnsi="Arial" w:cs="Arial"/>
        </w:rPr>
      </w:pPr>
      <w:r w:rsidRPr="004A1807">
        <w:rPr>
          <w:rStyle w:val="FootnoteReference"/>
          <w:rFonts w:ascii="Arial" w:hAnsi="Arial" w:cs="Arial"/>
        </w:rPr>
        <w:footnoteRef/>
      </w:r>
      <w:r w:rsidRPr="004A1807">
        <w:rPr>
          <w:rFonts w:ascii="Arial" w:hAnsi="Arial" w:cs="Arial"/>
        </w:rPr>
        <w:t xml:space="preserve"> </w:t>
      </w:r>
      <w:r w:rsidRPr="004A1807">
        <w:rPr>
          <w:rFonts w:ascii="Arial" w:hAnsi="Arial" w:cs="Arial"/>
          <w:i/>
        </w:rPr>
        <w:t xml:space="preserve">See </w:t>
      </w:r>
      <w:r w:rsidRPr="004A1807">
        <w:rPr>
          <w:rFonts w:ascii="Arial" w:hAnsi="Arial" w:cs="Arial"/>
        </w:rPr>
        <w:t xml:space="preserve">Joint Ex. 1 at Ex. </w:t>
      </w:r>
      <w:r>
        <w:rPr>
          <w:rFonts w:ascii="Arial" w:hAnsi="Arial" w:cs="Arial"/>
        </w:rPr>
        <w:t xml:space="preserve">A (containing a </w:t>
      </w:r>
      <w:r w:rsidRPr="004A1807">
        <w:rPr>
          <w:rFonts w:ascii="Arial" w:hAnsi="Arial" w:cs="Arial"/>
        </w:rPr>
        <w:t>summary of TRC scores for each program within FirstEnergy’s Portfolio Plan</w:t>
      </w:r>
      <w:r>
        <w:rPr>
          <w:rFonts w:ascii="Arial" w:hAnsi="Arial" w:cs="Arial"/>
        </w:rPr>
        <w:t xml:space="preserve"> to reflect the terms of the Stipulation</w:t>
      </w:r>
      <w:r w:rsidRPr="004A1807">
        <w:rPr>
          <w:rFonts w:ascii="Arial" w:hAnsi="Arial" w:cs="Arial"/>
        </w:rPr>
        <w:t>).</w:t>
      </w:r>
      <w:r>
        <w:rPr>
          <w:rFonts w:ascii="Arial" w:hAnsi="Arial" w:cs="Arial"/>
        </w:rPr>
        <w:t xml:space="preserve">  As the exhibit reflects, each program has a TRC score greater than 1.</w:t>
      </w:r>
    </w:p>
    <w:p w:rsidR="004A1807" w:rsidRPr="004A1807" w:rsidRDefault="004A1807" w:rsidP="004A1807">
      <w:pPr>
        <w:pStyle w:val="FootnoteText"/>
      </w:pPr>
    </w:p>
  </w:footnote>
  <w:footnote w:id="11">
    <w:p w:rsidR="00F147E3" w:rsidRPr="00345EEC" w:rsidRDefault="00F147E3" w:rsidP="00345EEC">
      <w:pPr>
        <w:pStyle w:val="FootnoteText"/>
        <w:jc w:val="both"/>
        <w:rPr>
          <w:rFonts w:ascii="Arial" w:hAnsi="Arial" w:cs="Arial"/>
        </w:rPr>
      </w:pPr>
      <w:r w:rsidRPr="00345EEC">
        <w:rPr>
          <w:rStyle w:val="FootnoteReference"/>
          <w:rFonts w:ascii="Arial" w:hAnsi="Arial" w:cs="Arial"/>
        </w:rPr>
        <w:footnoteRef/>
      </w:r>
      <w:r w:rsidR="00EB6F35">
        <w:rPr>
          <w:rFonts w:ascii="Arial" w:hAnsi="Arial" w:cs="Arial"/>
        </w:rPr>
        <w:t xml:space="preserve"> Tr. Vol. II at 293</w:t>
      </w:r>
      <w:r w:rsidRPr="00345EEC">
        <w:rPr>
          <w:rFonts w:ascii="Arial" w:hAnsi="Arial" w:cs="Arial"/>
        </w:rPr>
        <w:t xml:space="preserve"> (“Q. And your testimony is based upon statistics in the Market Potential Study, correct? A. Correct.”)</w:t>
      </w:r>
      <w:r w:rsidR="00EB6F35">
        <w:rPr>
          <w:rFonts w:ascii="Arial" w:hAnsi="Arial" w:cs="Arial"/>
        </w:rPr>
        <w:t>.</w:t>
      </w:r>
    </w:p>
    <w:p w:rsidR="00F147E3" w:rsidRPr="00345EEC" w:rsidRDefault="00F147E3" w:rsidP="00345EEC">
      <w:pPr>
        <w:pStyle w:val="FootnoteText"/>
        <w:jc w:val="both"/>
        <w:rPr>
          <w:rFonts w:ascii="Arial" w:hAnsi="Arial" w:cs="Arial"/>
        </w:rPr>
      </w:pPr>
    </w:p>
  </w:footnote>
  <w:footnote w:id="12">
    <w:p w:rsidR="00183F20" w:rsidRPr="00345EEC" w:rsidRDefault="00183F20" w:rsidP="00345EEC">
      <w:pPr>
        <w:pStyle w:val="FootnoteText"/>
        <w:jc w:val="both"/>
        <w:rPr>
          <w:rFonts w:ascii="Arial" w:hAnsi="Arial" w:cs="Arial"/>
        </w:rPr>
      </w:pPr>
      <w:r w:rsidRPr="00345EEC">
        <w:rPr>
          <w:rStyle w:val="FootnoteReference"/>
          <w:rFonts w:ascii="Arial" w:hAnsi="Arial" w:cs="Arial"/>
        </w:rPr>
        <w:footnoteRef/>
      </w:r>
      <w:r w:rsidR="00A12177" w:rsidRPr="00345EEC">
        <w:rPr>
          <w:rFonts w:ascii="Arial" w:hAnsi="Arial" w:cs="Arial"/>
        </w:rPr>
        <w:t xml:space="preserve"> FirstEnergy Ex. 5</w:t>
      </w:r>
      <w:r w:rsidRPr="00345EEC">
        <w:rPr>
          <w:rFonts w:ascii="Arial" w:hAnsi="Arial" w:cs="Arial"/>
        </w:rPr>
        <w:t xml:space="preserve"> at </w:t>
      </w:r>
      <w:r w:rsidR="00A12177" w:rsidRPr="00345EEC">
        <w:rPr>
          <w:rFonts w:ascii="Arial" w:hAnsi="Arial" w:cs="Arial"/>
        </w:rPr>
        <w:t>4-5 (Supplemental Direct Testimony of Ed Miller).</w:t>
      </w:r>
    </w:p>
    <w:p w:rsidR="00A12177" w:rsidRPr="0011487F" w:rsidRDefault="00A12177" w:rsidP="00345EEC">
      <w:pPr>
        <w:pStyle w:val="FootnoteText"/>
        <w:jc w:val="both"/>
        <w:rPr>
          <w:rFonts w:ascii="Arial" w:hAnsi="Arial" w:cs="Arial"/>
        </w:rPr>
      </w:pPr>
    </w:p>
  </w:footnote>
  <w:footnote w:id="13">
    <w:p w:rsidR="0011487F" w:rsidRPr="0011487F" w:rsidRDefault="0011487F">
      <w:pPr>
        <w:pStyle w:val="FootnoteText"/>
        <w:rPr>
          <w:rFonts w:ascii="Arial" w:hAnsi="Arial" w:cs="Arial"/>
        </w:rPr>
      </w:pPr>
      <w:r w:rsidRPr="0011487F">
        <w:rPr>
          <w:rStyle w:val="FootnoteReference"/>
          <w:rFonts w:ascii="Arial" w:hAnsi="Arial" w:cs="Arial"/>
        </w:rPr>
        <w:footnoteRef/>
      </w:r>
      <w:r w:rsidRPr="0011487F">
        <w:rPr>
          <w:rFonts w:ascii="Arial" w:hAnsi="Arial" w:cs="Arial"/>
        </w:rPr>
        <w:t xml:space="preserve"> Tr. Vol. II at 294. </w:t>
      </w:r>
    </w:p>
    <w:p w:rsidR="0011487F" w:rsidRDefault="0011487F">
      <w:pPr>
        <w:pStyle w:val="FootnoteText"/>
      </w:pPr>
    </w:p>
  </w:footnote>
  <w:footnote w:id="14">
    <w:p w:rsidR="00F147E3" w:rsidRPr="0011487F" w:rsidRDefault="00F147E3" w:rsidP="00171689">
      <w:pPr>
        <w:pStyle w:val="FootnoteText"/>
        <w:jc w:val="both"/>
        <w:rPr>
          <w:rFonts w:ascii="Arial" w:hAnsi="Arial" w:cs="Arial"/>
        </w:rPr>
      </w:pPr>
      <w:r w:rsidRPr="00345EEC">
        <w:rPr>
          <w:rStyle w:val="FootnoteReference"/>
          <w:rFonts w:ascii="Arial" w:hAnsi="Arial" w:cs="Arial"/>
        </w:rPr>
        <w:footnoteRef/>
      </w:r>
      <w:r w:rsidR="00171689">
        <w:rPr>
          <w:rFonts w:ascii="Arial" w:hAnsi="Arial" w:cs="Arial"/>
        </w:rPr>
        <w:t xml:space="preserve"> IGS Ex. 1 (OCC Consumers’ Fact Sheet: </w:t>
      </w:r>
      <w:r w:rsidR="00171689">
        <w:rPr>
          <w:rFonts w:ascii="Arial" w:hAnsi="Arial" w:cs="Arial"/>
          <w:i/>
        </w:rPr>
        <w:t>Easy Ways to Save Energy and Money</w:t>
      </w:r>
      <w:r w:rsidR="00171689">
        <w:rPr>
          <w:rFonts w:ascii="Arial" w:hAnsi="Arial" w:cs="Arial"/>
        </w:rPr>
        <w:t xml:space="preserve">). “A properly set programmable thermostat can save homeowners </w:t>
      </w:r>
      <w:r w:rsidR="00171689" w:rsidRPr="00171689">
        <w:rPr>
          <w:rFonts w:ascii="Arial" w:hAnsi="Arial" w:cs="Arial"/>
        </w:rPr>
        <w:t>$100 to</w:t>
      </w:r>
      <w:r w:rsidR="00171689">
        <w:rPr>
          <w:rFonts w:ascii="Arial" w:hAnsi="Arial" w:cs="Arial"/>
        </w:rPr>
        <w:t xml:space="preserve"> $180 per year if they maintain those settings.”</w:t>
      </w:r>
      <w:r w:rsidR="0011487F">
        <w:rPr>
          <w:rFonts w:ascii="Arial" w:hAnsi="Arial" w:cs="Arial"/>
        </w:rPr>
        <w:t xml:space="preserve">  </w:t>
      </w:r>
      <w:r w:rsidR="0011487F">
        <w:rPr>
          <w:rFonts w:ascii="Arial" w:hAnsi="Arial" w:cs="Arial"/>
          <w:i/>
        </w:rPr>
        <w:t xml:space="preserve">Id; see also </w:t>
      </w:r>
      <w:r w:rsidR="0011487F">
        <w:rPr>
          <w:rFonts w:ascii="Arial" w:hAnsi="Arial" w:cs="Arial"/>
        </w:rPr>
        <w:t>Tr. Vol. II at 295-296.</w:t>
      </w:r>
    </w:p>
    <w:p w:rsidR="00A12177" w:rsidRPr="00345EEC" w:rsidRDefault="00A12177" w:rsidP="00345EEC">
      <w:pPr>
        <w:pStyle w:val="FootnoteText"/>
        <w:jc w:val="both"/>
        <w:rPr>
          <w:rFonts w:ascii="Arial" w:hAnsi="Arial" w:cs="Arial"/>
        </w:rPr>
      </w:pPr>
    </w:p>
  </w:footnote>
  <w:footnote w:id="15">
    <w:p w:rsidR="00F84E7C" w:rsidRPr="0011487F" w:rsidRDefault="00F84E7C" w:rsidP="00345EEC">
      <w:pPr>
        <w:pStyle w:val="FootnoteText"/>
        <w:jc w:val="both"/>
        <w:rPr>
          <w:rFonts w:ascii="Arial" w:hAnsi="Arial" w:cs="Arial"/>
        </w:rPr>
      </w:pPr>
      <w:r w:rsidRPr="00345EEC">
        <w:rPr>
          <w:rStyle w:val="FootnoteReference"/>
          <w:rFonts w:ascii="Arial" w:hAnsi="Arial" w:cs="Arial"/>
        </w:rPr>
        <w:footnoteRef/>
      </w:r>
      <w:r w:rsidR="0011487F">
        <w:rPr>
          <w:rFonts w:ascii="Arial" w:hAnsi="Arial" w:cs="Arial"/>
        </w:rPr>
        <w:t xml:space="preserve"> Tr. Vol. II </w:t>
      </w:r>
      <w:r w:rsidR="00EB6F35">
        <w:rPr>
          <w:rFonts w:ascii="Arial" w:hAnsi="Arial" w:cs="Arial"/>
        </w:rPr>
        <w:t xml:space="preserve">at </w:t>
      </w:r>
      <w:r w:rsidR="0011487F">
        <w:rPr>
          <w:rFonts w:ascii="Arial" w:hAnsi="Arial" w:cs="Arial"/>
        </w:rPr>
        <w:t xml:space="preserve">296.  </w:t>
      </w:r>
      <w:r w:rsidR="0011487F">
        <w:rPr>
          <w:rFonts w:ascii="Arial" w:hAnsi="Arial" w:cs="Arial"/>
          <w:i/>
        </w:rPr>
        <w:t xml:space="preserve">See also id. </w:t>
      </w:r>
      <w:proofErr w:type="gramStart"/>
      <w:r w:rsidR="0011487F">
        <w:rPr>
          <w:rFonts w:ascii="Arial" w:hAnsi="Arial" w:cs="Arial"/>
        </w:rPr>
        <w:t>at</w:t>
      </w:r>
      <w:proofErr w:type="gramEnd"/>
      <w:r w:rsidR="0011487F">
        <w:rPr>
          <w:rFonts w:ascii="Arial" w:hAnsi="Arial" w:cs="Arial"/>
        </w:rPr>
        <w:t xml:space="preserve"> 295-97.</w:t>
      </w:r>
    </w:p>
    <w:p w:rsidR="00345EEC" w:rsidRPr="00345EEC" w:rsidRDefault="00345EEC" w:rsidP="00345EEC">
      <w:pPr>
        <w:pStyle w:val="FootnoteText"/>
        <w:jc w:val="both"/>
        <w:rPr>
          <w:rFonts w:ascii="Arial" w:hAnsi="Arial" w:cs="Arial"/>
        </w:rPr>
      </w:pPr>
    </w:p>
  </w:footnote>
  <w:footnote w:id="16">
    <w:p w:rsidR="00F147E3" w:rsidRPr="00345EEC" w:rsidRDefault="00F147E3" w:rsidP="00345EEC">
      <w:pPr>
        <w:pStyle w:val="FootnoteText"/>
        <w:jc w:val="both"/>
        <w:rPr>
          <w:rFonts w:ascii="Arial" w:hAnsi="Arial" w:cs="Arial"/>
        </w:rPr>
      </w:pPr>
      <w:r w:rsidRPr="00345EEC">
        <w:rPr>
          <w:rStyle w:val="FootnoteReference"/>
          <w:rFonts w:ascii="Arial" w:hAnsi="Arial" w:cs="Arial"/>
        </w:rPr>
        <w:footnoteRef/>
      </w:r>
      <w:r w:rsidR="006D7DA2" w:rsidRPr="00345EEC">
        <w:rPr>
          <w:rFonts w:ascii="Arial" w:hAnsi="Arial" w:cs="Arial"/>
        </w:rPr>
        <w:t xml:space="preserve"> Assuming a useful life of 5 </w:t>
      </w:r>
      <w:r w:rsidRPr="00345EEC">
        <w:rPr>
          <w:rFonts w:ascii="Arial" w:hAnsi="Arial" w:cs="Arial"/>
        </w:rPr>
        <w:t>years or greater</w:t>
      </w:r>
      <w:r w:rsidR="00D05688" w:rsidRPr="00345EEC">
        <w:rPr>
          <w:rFonts w:ascii="Arial" w:hAnsi="Arial" w:cs="Arial"/>
        </w:rPr>
        <w:t>, programmable thermosta</w:t>
      </w:r>
      <w:r w:rsidR="006D7DA2" w:rsidRPr="00345EEC">
        <w:rPr>
          <w:rFonts w:ascii="Arial" w:hAnsi="Arial" w:cs="Arial"/>
        </w:rPr>
        <w:t xml:space="preserve">ts would provide </w:t>
      </w:r>
      <w:proofErr w:type="gramStart"/>
      <w:r w:rsidR="006D7DA2" w:rsidRPr="00345EEC">
        <w:rPr>
          <w:rFonts w:ascii="Arial" w:hAnsi="Arial" w:cs="Arial"/>
        </w:rPr>
        <w:t>between $5</w:t>
      </w:r>
      <w:r w:rsidR="00D05688" w:rsidRPr="00345EEC">
        <w:rPr>
          <w:rFonts w:ascii="Arial" w:hAnsi="Arial" w:cs="Arial"/>
        </w:rPr>
        <w:t>00</w:t>
      </w:r>
      <w:r w:rsidR="006D7DA2" w:rsidRPr="00345EEC">
        <w:rPr>
          <w:rFonts w:ascii="Arial" w:hAnsi="Arial" w:cs="Arial"/>
        </w:rPr>
        <w:t>-$900</w:t>
      </w:r>
      <w:r w:rsidR="00D05688" w:rsidRPr="00345EEC">
        <w:rPr>
          <w:rFonts w:ascii="Arial" w:hAnsi="Arial" w:cs="Arial"/>
        </w:rPr>
        <w:t xml:space="preserve"> in energy-related savings</w:t>
      </w:r>
      <w:proofErr w:type="gramEnd"/>
      <w:r w:rsidR="00B970DA">
        <w:rPr>
          <w:rFonts w:ascii="Arial" w:hAnsi="Arial" w:cs="Arial"/>
        </w:rPr>
        <w:t>.  U</w:t>
      </w:r>
      <w:r w:rsidR="00A12177" w:rsidRPr="00345EEC">
        <w:rPr>
          <w:rFonts w:ascii="Arial" w:hAnsi="Arial" w:cs="Arial"/>
        </w:rPr>
        <w:t xml:space="preserve">sing extremely conservative net present value </w:t>
      </w:r>
      <w:r w:rsidR="006D7DA2" w:rsidRPr="00345EEC">
        <w:rPr>
          <w:rFonts w:ascii="Arial" w:hAnsi="Arial" w:cs="Arial"/>
        </w:rPr>
        <w:t xml:space="preserve">assumptions, a $250 thermostat would be cost-effective under the TRC Test.  </w:t>
      </w:r>
      <w:r w:rsidRPr="00345EEC">
        <w:rPr>
          <w:rFonts w:ascii="Arial" w:hAnsi="Arial" w:cs="Arial"/>
        </w:rPr>
        <w:t>FirstEnergy has assumed that smart thermostats wil</w:t>
      </w:r>
      <w:r w:rsidR="00B970DA">
        <w:rPr>
          <w:rFonts w:ascii="Arial" w:hAnsi="Arial" w:cs="Arial"/>
        </w:rPr>
        <w:t>l be used for 11 years. Ohio Edison.</w:t>
      </w:r>
      <w:r w:rsidRPr="00345EEC">
        <w:rPr>
          <w:rFonts w:ascii="Arial" w:hAnsi="Arial" w:cs="Arial"/>
        </w:rPr>
        <w:t xml:space="preserve"> Appendix C-1 Page 1 of 8.</w:t>
      </w:r>
    </w:p>
    <w:p w:rsidR="00D05688" w:rsidRPr="00345EEC" w:rsidRDefault="00D05688" w:rsidP="00345EEC">
      <w:pPr>
        <w:pStyle w:val="FootnoteText"/>
        <w:jc w:val="both"/>
        <w:rPr>
          <w:rFonts w:ascii="Arial" w:hAnsi="Arial" w:cs="Arial"/>
        </w:rPr>
      </w:pPr>
    </w:p>
  </w:footnote>
  <w:footnote w:id="17">
    <w:p w:rsidR="00BD647F" w:rsidRPr="00345EEC" w:rsidRDefault="00BD647F" w:rsidP="00345EEC">
      <w:pPr>
        <w:pStyle w:val="FootnoteText"/>
        <w:spacing w:after="120"/>
        <w:jc w:val="both"/>
        <w:rPr>
          <w:rFonts w:ascii="Arial" w:hAnsi="Arial" w:cs="Arial"/>
        </w:rPr>
      </w:pPr>
      <w:r w:rsidRPr="00345EEC">
        <w:rPr>
          <w:rStyle w:val="FootnoteReference"/>
          <w:rFonts w:ascii="Arial" w:hAnsi="Arial" w:cs="Arial"/>
        </w:rPr>
        <w:footnoteRef/>
      </w:r>
      <w:r w:rsidR="00F84E7C" w:rsidRPr="00345EEC">
        <w:rPr>
          <w:rFonts w:ascii="Arial" w:hAnsi="Arial" w:cs="Arial"/>
        </w:rPr>
        <w:t xml:space="preserve"> R.C. 4928.02(D)</w:t>
      </w:r>
      <w:r w:rsidRPr="00345EE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8" w:rsidRDefault="00AE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8" w:rsidRDefault="00AE3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B8" w:rsidRDefault="00AE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371"/>
    <w:multiLevelType w:val="hybridMultilevel"/>
    <w:tmpl w:val="EB084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35842"/>
    <w:multiLevelType w:val="hybridMultilevel"/>
    <w:tmpl w:val="95960244"/>
    <w:lvl w:ilvl="0" w:tplc="0BE81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3A73"/>
    <w:multiLevelType w:val="hybridMultilevel"/>
    <w:tmpl w:val="CED09846"/>
    <w:lvl w:ilvl="0" w:tplc="483A28D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D4837"/>
    <w:multiLevelType w:val="hybridMultilevel"/>
    <w:tmpl w:val="A8D2F894"/>
    <w:lvl w:ilvl="0" w:tplc="780E4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F6FBE"/>
    <w:multiLevelType w:val="hybridMultilevel"/>
    <w:tmpl w:val="D11811DC"/>
    <w:lvl w:ilvl="0" w:tplc="AAAC06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310B6"/>
    <w:multiLevelType w:val="hybridMultilevel"/>
    <w:tmpl w:val="2BB29D56"/>
    <w:lvl w:ilvl="0" w:tplc="10363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45718"/>
    <w:multiLevelType w:val="hybridMultilevel"/>
    <w:tmpl w:val="2AE2686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50"/>
    <w:rsid w:val="00020868"/>
    <w:rsid w:val="00023756"/>
    <w:rsid w:val="00042DB4"/>
    <w:rsid w:val="00055394"/>
    <w:rsid w:val="000C002A"/>
    <w:rsid w:val="000D4424"/>
    <w:rsid w:val="000E09BE"/>
    <w:rsid w:val="0011487F"/>
    <w:rsid w:val="00115215"/>
    <w:rsid w:val="00141D52"/>
    <w:rsid w:val="001440F3"/>
    <w:rsid w:val="00171689"/>
    <w:rsid w:val="00183F20"/>
    <w:rsid w:val="001B1FDE"/>
    <w:rsid w:val="001C130F"/>
    <w:rsid w:val="001C5E0A"/>
    <w:rsid w:val="001D0E0C"/>
    <w:rsid w:val="00224FCB"/>
    <w:rsid w:val="002279EB"/>
    <w:rsid w:val="00237D13"/>
    <w:rsid w:val="002444EE"/>
    <w:rsid w:val="00262BFF"/>
    <w:rsid w:val="00265630"/>
    <w:rsid w:val="002C3121"/>
    <w:rsid w:val="002D4AA2"/>
    <w:rsid w:val="002E150E"/>
    <w:rsid w:val="00345EEC"/>
    <w:rsid w:val="00364EAB"/>
    <w:rsid w:val="00371D67"/>
    <w:rsid w:val="003B685B"/>
    <w:rsid w:val="003C3382"/>
    <w:rsid w:val="003F114A"/>
    <w:rsid w:val="004112E7"/>
    <w:rsid w:val="004178D7"/>
    <w:rsid w:val="00451A77"/>
    <w:rsid w:val="00460979"/>
    <w:rsid w:val="00465AD2"/>
    <w:rsid w:val="004A1807"/>
    <w:rsid w:val="004C0E18"/>
    <w:rsid w:val="00535E6B"/>
    <w:rsid w:val="005657E1"/>
    <w:rsid w:val="005962A1"/>
    <w:rsid w:val="005C25C3"/>
    <w:rsid w:val="005D0615"/>
    <w:rsid w:val="005E4D56"/>
    <w:rsid w:val="00611781"/>
    <w:rsid w:val="006954D2"/>
    <w:rsid w:val="006B5993"/>
    <w:rsid w:val="006B651F"/>
    <w:rsid w:val="006D1263"/>
    <w:rsid w:val="006D7DA2"/>
    <w:rsid w:val="007225EB"/>
    <w:rsid w:val="00725D79"/>
    <w:rsid w:val="0074565D"/>
    <w:rsid w:val="007A44D1"/>
    <w:rsid w:val="007B25A5"/>
    <w:rsid w:val="00814E08"/>
    <w:rsid w:val="00817B1C"/>
    <w:rsid w:val="00845DD3"/>
    <w:rsid w:val="00856DA4"/>
    <w:rsid w:val="0088309A"/>
    <w:rsid w:val="008C629E"/>
    <w:rsid w:val="009267DC"/>
    <w:rsid w:val="009969EE"/>
    <w:rsid w:val="009B496C"/>
    <w:rsid w:val="009C32FA"/>
    <w:rsid w:val="009F1A96"/>
    <w:rsid w:val="00A00050"/>
    <w:rsid w:val="00A06DC9"/>
    <w:rsid w:val="00A12177"/>
    <w:rsid w:val="00A13689"/>
    <w:rsid w:val="00A14C69"/>
    <w:rsid w:val="00A25839"/>
    <w:rsid w:val="00A85AAE"/>
    <w:rsid w:val="00A86776"/>
    <w:rsid w:val="00A869BA"/>
    <w:rsid w:val="00A9076E"/>
    <w:rsid w:val="00AA4687"/>
    <w:rsid w:val="00AE01DA"/>
    <w:rsid w:val="00AE35B8"/>
    <w:rsid w:val="00AF448F"/>
    <w:rsid w:val="00AF46BE"/>
    <w:rsid w:val="00B2219F"/>
    <w:rsid w:val="00B577D1"/>
    <w:rsid w:val="00B970DA"/>
    <w:rsid w:val="00BC2B3B"/>
    <w:rsid w:val="00BD647F"/>
    <w:rsid w:val="00C036CA"/>
    <w:rsid w:val="00C13ADE"/>
    <w:rsid w:val="00C201B8"/>
    <w:rsid w:val="00C268C2"/>
    <w:rsid w:val="00C37C66"/>
    <w:rsid w:val="00C431F4"/>
    <w:rsid w:val="00C5118E"/>
    <w:rsid w:val="00C71298"/>
    <w:rsid w:val="00C736B6"/>
    <w:rsid w:val="00C90783"/>
    <w:rsid w:val="00CC4DBB"/>
    <w:rsid w:val="00CE1D8E"/>
    <w:rsid w:val="00D05688"/>
    <w:rsid w:val="00D10ABE"/>
    <w:rsid w:val="00D11339"/>
    <w:rsid w:val="00D14EFD"/>
    <w:rsid w:val="00D34E33"/>
    <w:rsid w:val="00D528CE"/>
    <w:rsid w:val="00D66FCC"/>
    <w:rsid w:val="00D85476"/>
    <w:rsid w:val="00D904D3"/>
    <w:rsid w:val="00DC3530"/>
    <w:rsid w:val="00DC579C"/>
    <w:rsid w:val="00DF4A0C"/>
    <w:rsid w:val="00E041BD"/>
    <w:rsid w:val="00E33995"/>
    <w:rsid w:val="00E500C4"/>
    <w:rsid w:val="00E76B4F"/>
    <w:rsid w:val="00EB5B13"/>
    <w:rsid w:val="00EB6F35"/>
    <w:rsid w:val="00EB7F2F"/>
    <w:rsid w:val="00EC5A2B"/>
    <w:rsid w:val="00EE3877"/>
    <w:rsid w:val="00F01599"/>
    <w:rsid w:val="00F147E3"/>
    <w:rsid w:val="00F17F1D"/>
    <w:rsid w:val="00F20CE1"/>
    <w:rsid w:val="00F31274"/>
    <w:rsid w:val="00F3286A"/>
    <w:rsid w:val="00F84E7C"/>
    <w:rsid w:val="00FB39F1"/>
    <w:rsid w:val="00FD25E3"/>
    <w:rsid w:val="00FD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E7"/>
    <w:pPr>
      <w:ind w:left="720"/>
      <w:contextualSpacing/>
    </w:pPr>
  </w:style>
  <w:style w:type="paragraph" w:styleId="FootnoteText">
    <w:name w:val="footnote text"/>
    <w:basedOn w:val="Normal"/>
    <w:link w:val="FootnoteTextChar"/>
    <w:uiPriority w:val="99"/>
    <w:semiHidden/>
    <w:unhideWhenUsed/>
    <w:rsid w:val="00C03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6CA"/>
    <w:rPr>
      <w:sz w:val="20"/>
      <w:szCs w:val="20"/>
    </w:rPr>
  </w:style>
  <w:style w:type="character" w:styleId="FootnoteReference">
    <w:name w:val="footnote reference"/>
    <w:basedOn w:val="DefaultParagraphFont"/>
    <w:uiPriority w:val="99"/>
    <w:semiHidden/>
    <w:unhideWhenUsed/>
    <w:rsid w:val="00C036CA"/>
    <w:rPr>
      <w:vertAlign w:val="superscript"/>
    </w:rPr>
  </w:style>
  <w:style w:type="paragraph" w:styleId="Title">
    <w:name w:val="Title"/>
    <w:basedOn w:val="Normal"/>
    <w:link w:val="TitleChar"/>
    <w:qFormat/>
    <w:rsid w:val="00D528C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528CE"/>
    <w:rPr>
      <w:rFonts w:ascii="Times New Roman" w:eastAsia="Times New Roman" w:hAnsi="Times New Roman" w:cs="Times New Roman"/>
      <w:b/>
      <w:sz w:val="24"/>
      <w:szCs w:val="20"/>
    </w:rPr>
  </w:style>
  <w:style w:type="character" w:styleId="Hyperlink">
    <w:name w:val="Hyperlink"/>
    <w:basedOn w:val="DefaultParagraphFont"/>
    <w:uiPriority w:val="99"/>
    <w:rsid w:val="00D528CE"/>
    <w:rPr>
      <w:color w:val="0000FF"/>
      <w:u w:val="single"/>
    </w:rPr>
  </w:style>
  <w:style w:type="paragraph" w:styleId="BalloonText">
    <w:name w:val="Balloon Text"/>
    <w:basedOn w:val="Normal"/>
    <w:link w:val="BalloonTextChar"/>
    <w:uiPriority w:val="99"/>
    <w:semiHidden/>
    <w:unhideWhenUsed/>
    <w:rsid w:val="0088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9A"/>
    <w:rPr>
      <w:rFonts w:ascii="Segoe UI" w:hAnsi="Segoe UI" w:cs="Segoe UI"/>
      <w:sz w:val="18"/>
      <w:szCs w:val="18"/>
    </w:rPr>
  </w:style>
  <w:style w:type="character" w:customStyle="1" w:styleId="apple-converted-space">
    <w:name w:val="apple-converted-space"/>
    <w:basedOn w:val="DefaultParagraphFont"/>
    <w:rsid w:val="00A14C69"/>
  </w:style>
  <w:style w:type="table" w:styleId="TableGrid">
    <w:name w:val="Table Grid"/>
    <w:basedOn w:val="TableNormal"/>
    <w:uiPriority w:val="59"/>
    <w:rsid w:val="005657E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26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8C2"/>
    <w:rPr>
      <w:sz w:val="20"/>
      <w:szCs w:val="20"/>
    </w:rPr>
  </w:style>
  <w:style w:type="character" w:styleId="EndnoteReference">
    <w:name w:val="endnote reference"/>
    <w:basedOn w:val="DefaultParagraphFont"/>
    <w:uiPriority w:val="99"/>
    <w:semiHidden/>
    <w:unhideWhenUsed/>
    <w:rsid w:val="00C268C2"/>
    <w:rPr>
      <w:vertAlign w:val="superscript"/>
    </w:rPr>
  </w:style>
  <w:style w:type="paragraph" w:styleId="Header">
    <w:name w:val="header"/>
    <w:basedOn w:val="Normal"/>
    <w:link w:val="HeaderChar"/>
    <w:uiPriority w:val="99"/>
    <w:unhideWhenUsed/>
    <w:rsid w:val="00E7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4F"/>
  </w:style>
  <w:style w:type="paragraph" w:styleId="Footer">
    <w:name w:val="footer"/>
    <w:basedOn w:val="Normal"/>
    <w:link w:val="FooterChar"/>
    <w:uiPriority w:val="99"/>
    <w:unhideWhenUsed/>
    <w:rsid w:val="00E7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4F"/>
  </w:style>
  <w:style w:type="paragraph" w:customStyle="1" w:styleId="Default">
    <w:name w:val="Default"/>
    <w:rsid w:val="00B970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226B-49CA-458F-BB41-24272A04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1594</Words>
  <Characters>10029</Characters>
  <Application>Microsoft Office Word</Application>
  <DocSecurity>0</DocSecurity>
  <Lines>263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2017-02-21T15:57:00Z</dcterms:created>
  <dcterms:modified xsi:type="dcterms:W3CDTF">2017-02-21T16:01:00Z</dcterms:modified>
</cp:coreProperties>
</file>