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t>BEFORE</w:t>
      </w:r>
    </w:p>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t>THE PUBLIC UTILITIES COMMISSION OF OHIO</w:t>
      </w:r>
    </w:p>
    <w:p w:rsidR="00933CA6" w:rsidRPr="00933CA6" w:rsidRDefault="00933CA6" w:rsidP="00933CA6">
      <w:pPr>
        <w:rPr>
          <w:rFonts w:ascii="Times New Roman" w:hAnsi="Times New Roman" w:cs="Times New Roman"/>
          <w:sz w:val="26"/>
          <w:szCs w:val="26"/>
        </w:rPr>
      </w:pPr>
    </w:p>
    <w:tbl>
      <w:tblPr>
        <w:tblW w:w="8762" w:type="dxa"/>
        <w:tblLook w:val="04A0" w:firstRow="1" w:lastRow="0" w:firstColumn="1" w:lastColumn="0" w:noHBand="0" w:noVBand="1"/>
      </w:tblPr>
      <w:tblGrid>
        <w:gridCol w:w="4518"/>
        <w:gridCol w:w="360"/>
        <w:gridCol w:w="3884"/>
      </w:tblGrid>
      <w:tr w:rsidR="00933CA6" w:rsidRPr="00933CA6" w:rsidTr="00933CA6">
        <w:tc>
          <w:tcPr>
            <w:tcW w:w="4518" w:type="dxa"/>
            <w:shd w:val="clear" w:color="auto" w:fill="auto"/>
          </w:tcPr>
          <w:p w:rsidR="00933CA6" w:rsidRDefault="00933CA6" w:rsidP="007B4270">
            <w:pPr>
              <w:pStyle w:val="NoSpacing"/>
              <w:rPr>
                <w:rFonts w:ascii="Times New Roman" w:hAnsi="Times New Roman" w:cs="Times New Roman"/>
                <w:sz w:val="26"/>
                <w:szCs w:val="26"/>
              </w:rPr>
            </w:pPr>
            <w:r w:rsidRPr="00E45456">
              <w:rPr>
                <w:rFonts w:ascii="Times New Roman" w:hAnsi="Times New Roman" w:cs="Times New Roman"/>
                <w:sz w:val="26"/>
                <w:szCs w:val="26"/>
              </w:rPr>
              <w:t>In the Matter of the Application of Duke Energy Ohio, Inc., for the Establishment of a Charge Pursuant to Revised Code Section 4909.18.</w:t>
            </w:r>
          </w:p>
          <w:p w:rsidR="007B4270" w:rsidRPr="00E45456" w:rsidRDefault="007B4270" w:rsidP="007B4270">
            <w:pPr>
              <w:pStyle w:val="NoSpacing"/>
              <w:rPr>
                <w:rFonts w:ascii="Times New Roman" w:hAnsi="Times New Roman" w:cs="Times New Roman"/>
                <w:sz w:val="26"/>
                <w:szCs w:val="26"/>
              </w:rPr>
            </w:pPr>
          </w:p>
        </w:tc>
        <w:tc>
          <w:tcPr>
            <w:tcW w:w="360" w:type="dxa"/>
          </w:tcPr>
          <w:p w:rsidR="00933CA6" w:rsidRPr="00933CA6" w:rsidRDefault="00933CA6" w:rsidP="007B4270">
            <w:pPr>
              <w:spacing w:after="0" w:line="240" w:lineRule="auto"/>
              <w:rPr>
                <w:rFonts w:ascii="Times New Roman" w:hAnsi="Times New Roman" w:cs="Times New Roman"/>
                <w:sz w:val="26"/>
                <w:szCs w:val="26"/>
              </w:rPr>
            </w:pPr>
            <w:r w:rsidRPr="00933CA6">
              <w:rPr>
                <w:rFonts w:ascii="Times New Roman" w:hAnsi="Times New Roman" w:cs="Times New Roman"/>
                <w:sz w:val="26"/>
                <w:szCs w:val="26"/>
              </w:rP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p>
        </w:tc>
        <w:tc>
          <w:tcPr>
            <w:tcW w:w="3884" w:type="dxa"/>
            <w:shd w:val="clear" w:color="auto" w:fill="auto"/>
          </w:tcPr>
          <w:p w:rsidR="00933CA6" w:rsidRPr="00933CA6" w:rsidRDefault="00933CA6" w:rsidP="007B4270">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12-2400-EL-UNC</w:t>
            </w:r>
          </w:p>
        </w:tc>
      </w:tr>
      <w:tr w:rsidR="00933CA6" w:rsidRPr="00933CA6" w:rsidTr="00933CA6">
        <w:tc>
          <w:tcPr>
            <w:tcW w:w="4518" w:type="dxa"/>
            <w:shd w:val="clear" w:color="auto" w:fill="auto"/>
          </w:tcPr>
          <w:p w:rsidR="00933CA6" w:rsidRPr="00E45456" w:rsidRDefault="00933CA6" w:rsidP="007B4270">
            <w:pPr>
              <w:pStyle w:val="NoSpacing"/>
              <w:rPr>
                <w:rFonts w:ascii="Times New Roman" w:hAnsi="Times New Roman" w:cs="Times New Roman"/>
                <w:sz w:val="26"/>
                <w:szCs w:val="26"/>
              </w:rPr>
            </w:pPr>
            <w:r w:rsidRPr="00E45456">
              <w:rPr>
                <w:rFonts w:ascii="Times New Roman" w:hAnsi="Times New Roman" w:cs="Times New Roman"/>
                <w:sz w:val="26"/>
                <w:szCs w:val="26"/>
              </w:rPr>
              <w:t>In the Matter of the Application of Duke Energy Ohio, Inc., for Approval to Change Certain Accounting Methods.</w:t>
            </w:r>
          </w:p>
          <w:p w:rsidR="00933CA6" w:rsidRPr="00E45456" w:rsidRDefault="00933CA6" w:rsidP="007B4270">
            <w:pPr>
              <w:pStyle w:val="NoSpacing"/>
              <w:rPr>
                <w:rFonts w:ascii="Times New Roman" w:hAnsi="Times New Roman" w:cs="Times New Roman"/>
                <w:sz w:val="26"/>
                <w:szCs w:val="26"/>
              </w:rPr>
            </w:pPr>
          </w:p>
          <w:p w:rsidR="00933CA6" w:rsidRPr="00E45456" w:rsidRDefault="00933CA6" w:rsidP="007B4270">
            <w:pPr>
              <w:pStyle w:val="NoSpacing"/>
              <w:rPr>
                <w:rFonts w:ascii="Times New Roman" w:hAnsi="Times New Roman" w:cs="Times New Roman"/>
                <w:sz w:val="26"/>
                <w:szCs w:val="26"/>
              </w:rPr>
            </w:pPr>
            <w:r w:rsidRPr="00E45456">
              <w:rPr>
                <w:rFonts w:ascii="Times New Roman" w:hAnsi="Times New Roman" w:cs="Times New Roman"/>
                <w:sz w:val="26"/>
                <w:szCs w:val="26"/>
              </w:rPr>
              <w:t>In the Matter of the Application of Duke Energy Ohio, Inc., for the Approval of a Tariff for New Service.</w:t>
            </w:r>
          </w:p>
        </w:tc>
        <w:tc>
          <w:tcPr>
            <w:tcW w:w="360" w:type="dxa"/>
          </w:tcPr>
          <w:p w:rsidR="00933CA6" w:rsidRPr="00933CA6" w:rsidRDefault="007B4270" w:rsidP="007B4270">
            <w:pPr>
              <w:spacing w:after="0" w:line="240" w:lineRule="auto"/>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br/>
              <w:t>:</w:t>
            </w:r>
            <w:r>
              <w:rPr>
                <w:rFonts w:ascii="Times New Roman" w:hAnsi="Times New Roman" w:cs="Times New Roman"/>
                <w:sz w:val="26"/>
                <w:szCs w:val="26"/>
              </w:rPr>
              <w:br/>
              <w:t>:</w:t>
            </w:r>
            <w:r>
              <w:rPr>
                <w:rFonts w:ascii="Times New Roman" w:hAnsi="Times New Roman" w:cs="Times New Roman"/>
                <w:sz w:val="26"/>
                <w:szCs w:val="26"/>
              </w:rPr>
              <w:br/>
            </w:r>
          </w:p>
          <w:p w:rsidR="00933CA6" w:rsidRPr="00933CA6" w:rsidRDefault="007B4270" w:rsidP="007B4270">
            <w:pPr>
              <w:spacing w:after="0" w:line="240" w:lineRule="auto"/>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br/>
              <w:t>:</w:t>
            </w:r>
            <w:r>
              <w:rPr>
                <w:rFonts w:ascii="Times New Roman" w:hAnsi="Times New Roman" w:cs="Times New Roman"/>
                <w:sz w:val="26"/>
                <w:szCs w:val="26"/>
              </w:rPr>
              <w:br/>
              <w:t>:</w:t>
            </w:r>
          </w:p>
        </w:tc>
        <w:tc>
          <w:tcPr>
            <w:tcW w:w="3884" w:type="dxa"/>
            <w:shd w:val="clear" w:color="auto" w:fill="auto"/>
          </w:tcPr>
          <w:p w:rsidR="00933CA6" w:rsidRPr="00933CA6" w:rsidRDefault="00933CA6" w:rsidP="007B4270">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12-2401-EL-AAM</w:t>
            </w:r>
          </w:p>
          <w:p w:rsidR="00933CA6" w:rsidRPr="00933CA6" w:rsidRDefault="00933CA6" w:rsidP="007B4270">
            <w:pPr>
              <w:spacing w:after="0" w:line="240" w:lineRule="auto"/>
              <w:ind w:left="72"/>
              <w:rPr>
                <w:rFonts w:ascii="Times New Roman" w:hAnsi="Times New Roman" w:cs="Times New Roman"/>
                <w:sz w:val="26"/>
                <w:szCs w:val="26"/>
              </w:rPr>
            </w:pPr>
          </w:p>
          <w:p w:rsidR="00933CA6" w:rsidRPr="00933CA6" w:rsidRDefault="00933CA6" w:rsidP="007B4270">
            <w:pPr>
              <w:spacing w:after="0" w:line="240" w:lineRule="auto"/>
              <w:ind w:left="72"/>
              <w:rPr>
                <w:rFonts w:ascii="Times New Roman" w:hAnsi="Times New Roman" w:cs="Times New Roman"/>
                <w:sz w:val="26"/>
                <w:szCs w:val="26"/>
              </w:rPr>
            </w:pPr>
          </w:p>
          <w:p w:rsidR="007B4270" w:rsidRDefault="007B4270" w:rsidP="007B4270">
            <w:pPr>
              <w:spacing w:after="0" w:line="240" w:lineRule="auto"/>
              <w:ind w:left="72"/>
              <w:rPr>
                <w:rFonts w:ascii="Times New Roman" w:hAnsi="Times New Roman" w:cs="Times New Roman"/>
                <w:sz w:val="26"/>
                <w:szCs w:val="26"/>
              </w:rPr>
            </w:pPr>
          </w:p>
          <w:p w:rsidR="00933CA6" w:rsidRPr="00933CA6" w:rsidRDefault="00933CA6" w:rsidP="007B4270">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12-2402-EL-ATA</w:t>
            </w:r>
          </w:p>
        </w:tc>
      </w:tr>
    </w:tbl>
    <w:p w:rsidR="00933CA6" w:rsidRPr="00933CA6" w:rsidRDefault="00933CA6" w:rsidP="00933CA6">
      <w:pPr>
        <w:tabs>
          <w:tab w:val="left" w:pos="9360"/>
        </w:tabs>
        <w:jc w:val="both"/>
        <w:rPr>
          <w:rFonts w:ascii="Times New Roman" w:hAnsi="Times New Roman" w:cs="Times New Roman"/>
          <w:sz w:val="26"/>
          <w:szCs w:val="26"/>
          <w:u w:val="single"/>
        </w:rPr>
      </w:pPr>
      <w:r w:rsidRPr="00933CA6">
        <w:rPr>
          <w:rFonts w:ascii="Times New Roman" w:hAnsi="Times New Roman" w:cs="Times New Roman"/>
          <w:sz w:val="26"/>
          <w:szCs w:val="26"/>
          <w:u w:val="single"/>
        </w:rPr>
        <w:tab/>
      </w:r>
    </w:p>
    <w:p w:rsidR="00933CA6" w:rsidRPr="00933CA6" w:rsidRDefault="00B94135" w:rsidP="00933C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REPLY </w:t>
      </w:r>
      <w:r w:rsidR="00D50095">
        <w:rPr>
          <w:rFonts w:ascii="Times New Roman" w:hAnsi="Times New Roman" w:cs="Times New Roman"/>
          <w:b/>
          <w:sz w:val="28"/>
          <w:szCs w:val="28"/>
        </w:rPr>
        <w:t>BRIEF</w:t>
      </w:r>
      <w:r w:rsidR="00933CA6" w:rsidRPr="00933CA6">
        <w:rPr>
          <w:rFonts w:ascii="Times New Roman" w:hAnsi="Times New Roman" w:cs="Times New Roman"/>
          <w:b/>
          <w:sz w:val="28"/>
          <w:szCs w:val="28"/>
        </w:rPr>
        <w:t xml:space="preserve"> </w:t>
      </w:r>
    </w:p>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t>SUBMITTED ON BEHALF OF THE STAFF OF</w:t>
      </w:r>
    </w:p>
    <w:p w:rsidR="00933CA6" w:rsidRPr="00933CA6" w:rsidRDefault="00933CA6" w:rsidP="00933CA6">
      <w:pPr>
        <w:spacing w:after="0" w:line="240" w:lineRule="auto"/>
        <w:jc w:val="center"/>
        <w:rPr>
          <w:rFonts w:ascii="Times New Roman" w:hAnsi="Times New Roman" w:cs="Times New Roman"/>
          <w:sz w:val="26"/>
          <w:szCs w:val="26"/>
        </w:rPr>
      </w:pPr>
      <w:r w:rsidRPr="00933CA6">
        <w:rPr>
          <w:rFonts w:ascii="Times New Roman" w:hAnsi="Times New Roman" w:cs="Times New Roman"/>
          <w:b/>
          <w:sz w:val="26"/>
          <w:szCs w:val="26"/>
        </w:rPr>
        <w:t>THE PUBLIC UTILITIES COMMISSION OF OHIO</w:t>
      </w:r>
    </w:p>
    <w:p w:rsidR="00933CA6" w:rsidRPr="00933CA6" w:rsidRDefault="00933CA6" w:rsidP="00933CA6">
      <w:pPr>
        <w:tabs>
          <w:tab w:val="left" w:pos="9360"/>
        </w:tabs>
        <w:jc w:val="both"/>
        <w:rPr>
          <w:rFonts w:ascii="Times New Roman" w:hAnsi="Times New Roman" w:cs="Times New Roman"/>
          <w:sz w:val="26"/>
          <w:szCs w:val="26"/>
          <w:u w:val="single"/>
        </w:rPr>
      </w:pPr>
      <w:r w:rsidRPr="00933CA6">
        <w:rPr>
          <w:rFonts w:ascii="Times New Roman" w:hAnsi="Times New Roman" w:cs="Times New Roman"/>
          <w:sz w:val="26"/>
          <w:szCs w:val="26"/>
          <w:u w:val="single"/>
        </w:rPr>
        <w:tab/>
      </w:r>
    </w:p>
    <w:p w:rsidR="00933CA6" w:rsidRPr="00933CA6" w:rsidRDefault="00933CA6" w:rsidP="00933CA6">
      <w:pPr>
        <w:spacing w:after="0" w:line="240" w:lineRule="auto"/>
        <w:ind w:left="4320"/>
        <w:rPr>
          <w:rFonts w:ascii="Times New Roman" w:hAnsi="Times New Roman"/>
          <w:b/>
          <w:sz w:val="26"/>
          <w:szCs w:val="26"/>
        </w:rPr>
      </w:pPr>
      <w:r w:rsidRPr="00933CA6">
        <w:rPr>
          <w:rFonts w:ascii="Times New Roman" w:hAnsi="Times New Roman"/>
          <w:b/>
          <w:sz w:val="26"/>
          <w:szCs w:val="26"/>
        </w:rPr>
        <w:t xml:space="preserve">Michael DeWine </w:t>
      </w: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sz w:val="26"/>
          <w:szCs w:val="26"/>
        </w:rPr>
        <w:t>Ohio Attorney General</w:t>
      </w:r>
    </w:p>
    <w:p w:rsidR="00933CA6" w:rsidRPr="00933CA6" w:rsidRDefault="00933CA6" w:rsidP="00933CA6">
      <w:pPr>
        <w:spacing w:after="0" w:line="240" w:lineRule="auto"/>
        <w:ind w:left="4320"/>
        <w:rPr>
          <w:rFonts w:ascii="Times New Roman" w:hAnsi="Times New Roman"/>
          <w:sz w:val="26"/>
          <w:szCs w:val="26"/>
        </w:rPr>
      </w:pP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b/>
          <w:sz w:val="26"/>
          <w:szCs w:val="26"/>
        </w:rPr>
        <w:t>William L. Wright</w:t>
      </w:r>
    </w:p>
    <w:p w:rsidR="00933CA6" w:rsidRPr="00933CA6" w:rsidRDefault="00933CA6" w:rsidP="00933CA6">
      <w:pPr>
        <w:spacing w:after="0" w:line="240" w:lineRule="auto"/>
        <w:ind w:left="4320"/>
        <w:rPr>
          <w:rFonts w:ascii="Times New Roman" w:hAnsi="Times New Roman"/>
          <w:b/>
          <w:sz w:val="26"/>
          <w:szCs w:val="26"/>
        </w:rPr>
      </w:pPr>
      <w:r w:rsidRPr="00933CA6">
        <w:rPr>
          <w:rFonts w:ascii="Times New Roman" w:hAnsi="Times New Roman"/>
          <w:sz w:val="26"/>
          <w:szCs w:val="26"/>
        </w:rPr>
        <w:t>Section Chief</w:t>
      </w:r>
    </w:p>
    <w:p w:rsidR="00933CA6" w:rsidRPr="00933CA6" w:rsidRDefault="00933CA6" w:rsidP="00933CA6">
      <w:pPr>
        <w:spacing w:after="0" w:line="240" w:lineRule="auto"/>
        <w:ind w:left="4320"/>
        <w:rPr>
          <w:rFonts w:ascii="Times New Roman" w:hAnsi="Times New Roman"/>
          <w:sz w:val="26"/>
          <w:szCs w:val="26"/>
        </w:rPr>
      </w:pPr>
    </w:p>
    <w:p w:rsidR="00933CA6" w:rsidRDefault="00933CA6" w:rsidP="00933CA6">
      <w:pPr>
        <w:spacing w:after="0" w:line="240" w:lineRule="auto"/>
        <w:ind w:left="4320"/>
        <w:rPr>
          <w:rFonts w:ascii="Times New Roman" w:hAnsi="Times New Roman"/>
          <w:b/>
          <w:sz w:val="26"/>
          <w:szCs w:val="26"/>
        </w:rPr>
      </w:pPr>
      <w:r w:rsidRPr="00933CA6">
        <w:rPr>
          <w:rFonts w:ascii="Times New Roman" w:hAnsi="Times New Roman"/>
          <w:b/>
          <w:sz w:val="26"/>
          <w:szCs w:val="26"/>
        </w:rPr>
        <w:t>Steven L. Beeler</w:t>
      </w:r>
    </w:p>
    <w:p w:rsidR="00933CA6" w:rsidRPr="00933CA6" w:rsidRDefault="00933CA6" w:rsidP="00933CA6">
      <w:pPr>
        <w:spacing w:after="0" w:line="240" w:lineRule="auto"/>
        <w:ind w:left="4320"/>
        <w:rPr>
          <w:rFonts w:ascii="Times New Roman" w:hAnsi="Times New Roman"/>
          <w:b/>
          <w:sz w:val="26"/>
          <w:szCs w:val="26"/>
        </w:rPr>
      </w:pPr>
      <w:r>
        <w:rPr>
          <w:rFonts w:ascii="Times New Roman" w:hAnsi="Times New Roman"/>
          <w:b/>
          <w:sz w:val="26"/>
          <w:szCs w:val="26"/>
        </w:rPr>
        <w:t>John H. Jones</w:t>
      </w: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sz w:val="26"/>
          <w:szCs w:val="26"/>
        </w:rPr>
        <w:t>Assistant Attorney</w:t>
      </w:r>
      <w:r>
        <w:rPr>
          <w:rFonts w:ascii="Times New Roman" w:hAnsi="Times New Roman"/>
          <w:sz w:val="26"/>
          <w:szCs w:val="26"/>
        </w:rPr>
        <w:t>s</w:t>
      </w:r>
      <w:r w:rsidRPr="00933CA6">
        <w:rPr>
          <w:rFonts w:ascii="Times New Roman" w:hAnsi="Times New Roman"/>
          <w:sz w:val="26"/>
          <w:szCs w:val="26"/>
        </w:rPr>
        <w:t xml:space="preserve"> General</w:t>
      </w: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sz w:val="26"/>
          <w:szCs w:val="26"/>
        </w:rPr>
        <w:t>Public Utilities Section</w:t>
      </w: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sz w:val="26"/>
          <w:szCs w:val="26"/>
        </w:rPr>
        <w:t>180 East Broad Street, 6</w:t>
      </w:r>
      <w:r w:rsidRPr="00933CA6">
        <w:rPr>
          <w:rFonts w:ascii="Times New Roman" w:hAnsi="Times New Roman"/>
          <w:sz w:val="26"/>
          <w:szCs w:val="26"/>
          <w:vertAlign w:val="superscript"/>
        </w:rPr>
        <w:t>th</w:t>
      </w:r>
      <w:r w:rsidRPr="00933CA6">
        <w:rPr>
          <w:rFonts w:ascii="Times New Roman" w:hAnsi="Times New Roman"/>
          <w:sz w:val="26"/>
          <w:szCs w:val="26"/>
        </w:rPr>
        <w:t xml:space="preserve"> Fl. </w:t>
      </w: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sz w:val="26"/>
          <w:szCs w:val="26"/>
        </w:rPr>
        <w:t>Columbus, OH  43215</w:t>
      </w:r>
    </w:p>
    <w:p w:rsidR="00933CA6" w:rsidRPr="00933CA6" w:rsidRDefault="00933CA6" w:rsidP="00933CA6">
      <w:pPr>
        <w:spacing w:after="0" w:line="240" w:lineRule="auto"/>
        <w:ind w:left="4320"/>
        <w:rPr>
          <w:rFonts w:ascii="Times New Roman" w:hAnsi="Times New Roman"/>
          <w:sz w:val="26"/>
          <w:szCs w:val="26"/>
        </w:rPr>
      </w:pPr>
      <w:r w:rsidRPr="00933CA6">
        <w:rPr>
          <w:rFonts w:ascii="Times New Roman" w:hAnsi="Times New Roman"/>
          <w:sz w:val="26"/>
          <w:szCs w:val="26"/>
        </w:rPr>
        <w:t>614.466.4395 (telephone)</w:t>
      </w:r>
    </w:p>
    <w:p w:rsidR="00933CA6" w:rsidRPr="00933CA6" w:rsidRDefault="00933CA6" w:rsidP="00933CA6">
      <w:pPr>
        <w:spacing w:after="0" w:line="240" w:lineRule="auto"/>
        <w:ind w:left="4320"/>
        <w:jc w:val="both"/>
        <w:rPr>
          <w:rFonts w:ascii="Times New Roman" w:hAnsi="Times New Roman" w:cs="Times New Roman"/>
          <w:sz w:val="26"/>
          <w:szCs w:val="26"/>
        </w:rPr>
      </w:pPr>
      <w:r w:rsidRPr="00933CA6">
        <w:rPr>
          <w:rFonts w:ascii="Times New Roman" w:hAnsi="Times New Roman" w:cs="Times New Roman"/>
          <w:sz w:val="26"/>
          <w:szCs w:val="26"/>
        </w:rPr>
        <w:t>614.644.8764 (fax)</w:t>
      </w:r>
    </w:p>
    <w:p w:rsidR="00933CA6" w:rsidRDefault="00567433" w:rsidP="00933CA6">
      <w:pPr>
        <w:spacing w:after="0" w:line="240" w:lineRule="auto"/>
        <w:ind w:left="4320"/>
        <w:jc w:val="both"/>
        <w:rPr>
          <w:rFonts w:ascii="Times New Roman" w:hAnsi="Times New Roman" w:cs="Times New Roman"/>
          <w:color w:val="0000FF"/>
          <w:sz w:val="26"/>
          <w:szCs w:val="26"/>
          <w:u w:val="single"/>
        </w:rPr>
      </w:pPr>
      <w:hyperlink r:id="rId9" w:history="1">
        <w:r w:rsidR="00933CA6" w:rsidRPr="00933CA6">
          <w:rPr>
            <w:rFonts w:ascii="Times New Roman" w:hAnsi="Times New Roman" w:cs="Times New Roman"/>
            <w:color w:val="0000FF"/>
            <w:sz w:val="26"/>
            <w:szCs w:val="26"/>
            <w:u w:val="single"/>
          </w:rPr>
          <w:t>steven.beeler@puc.state.oh.us</w:t>
        </w:r>
      </w:hyperlink>
    </w:p>
    <w:p w:rsidR="00933CA6" w:rsidRPr="00933CA6" w:rsidRDefault="00933CA6" w:rsidP="00933CA6">
      <w:pPr>
        <w:spacing w:after="0" w:line="240" w:lineRule="auto"/>
        <w:ind w:left="4320"/>
        <w:jc w:val="both"/>
        <w:rPr>
          <w:rFonts w:ascii="Times New Roman" w:hAnsi="Times New Roman" w:cs="Times New Roman"/>
          <w:color w:val="0000FF"/>
          <w:sz w:val="26"/>
          <w:szCs w:val="26"/>
          <w:u w:val="single"/>
        </w:rPr>
      </w:pPr>
      <w:r>
        <w:rPr>
          <w:rFonts w:ascii="Times New Roman" w:hAnsi="Times New Roman" w:cs="Times New Roman"/>
          <w:color w:val="0000FF"/>
          <w:sz w:val="26"/>
          <w:szCs w:val="26"/>
          <w:u w:val="single"/>
        </w:rPr>
        <w:t>john.jones@puc.state.oh.us</w:t>
      </w:r>
    </w:p>
    <w:p w:rsidR="00933CA6" w:rsidRPr="00933CA6" w:rsidRDefault="00933CA6" w:rsidP="00933CA6">
      <w:pPr>
        <w:spacing w:after="0" w:line="240" w:lineRule="auto"/>
        <w:jc w:val="both"/>
        <w:rPr>
          <w:rFonts w:ascii="Times New Roman" w:hAnsi="Times New Roman" w:cs="Times New Roman"/>
          <w:color w:val="0000FF"/>
          <w:sz w:val="26"/>
          <w:szCs w:val="26"/>
          <w:u w:val="single"/>
        </w:rPr>
      </w:pPr>
    </w:p>
    <w:p w:rsidR="00933CA6" w:rsidRPr="00933CA6" w:rsidRDefault="00B94135" w:rsidP="00933CA6">
      <w:pPr>
        <w:jc w:val="both"/>
        <w:rPr>
          <w:rFonts w:ascii="Times New Roman" w:hAnsi="Times New Roman" w:cs="Times New Roman"/>
          <w:sz w:val="26"/>
          <w:szCs w:val="26"/>
        </w:rPr>
      </w:pPr>
      <w:r>
        <w:rPr>
          <w:rFonts w:ascii="Times New Roman" w:hAnsi="Times New Roman" w:cs="Times New Roman"/>
          <w:sz w:val="26"/>
          <w:szCs w:val="26"/>
        </w:rPr>
        <w:t>Date Submitted: July 30</w:t>
      </w:r>
      <w:r w:rsidR="00632F5A">
        <w:rPr>
          <w:rFonts w:ascii="Times New Roman" w:hAnsi="Times New Roman" w:cs="Times New Roman"/>
          <w:sz w:val="26"/>
          <w:szCs w:val="26"/>
        </w:rPr>
        <w:t>, 2013</w:t>
      </w:r>
    </w:p>
    <w:p w:rsidR="00933CA6" w:rsidRPr="00933CA6" w:rsidRDefault="00933CA6" w:rsidP="00933CA6">
      <w:pPr>
        <w:rPr>
          <w:rFonts w:ascii="Times New Roman" w:hAnsi="Times New Roman" w:cs="Times New Roman"/>
          <w:sz w:val="26"/>
          <w:szCs w:val="26"/>
        </w:rPr>
        <w:sectPr w:rsidR="00933CA6" w:rsidRPr="00933CA6" w:rsidSect="00933CA6">
          <w:footerReference w:type="default" r:id="rId10"/>
          <w:headerReference w:type="first" r:id="rId11"/>
          <w:pgSz w:w="12240" w:h="15840"/>
          <w:pgMar w:top="1440" w:right="1440" w:bottom="1440" w:left="1440" w:header="720" w:footer="720" w:gutter="0"/>
          <w:cols w:space="720"/>
          <w:titlePg/>
          <w:docGrid w:linePitch="360"/>
        </w:sectPr>
      </w:pPr>
    </w:p>
    <w:p w:rsidR="00567433" w:rsidRDefault="00CD6CD4">
      <w:pPr>
        <w:pStyle w:val="TOC1"/>
        <w:rPr>
          <w:rFonts w:asciiTheme="minorHAnsi" w:eastAsiaTheme="minorEastAsia" w:hAnsiTheme="minorHAnsi"/>
          <w:sz w:val="22"/>
        </w:rPr>
      </w:pPr>
      <w:r>
        <w:rPr>
          <w:rFonts w:cs="Times New Roman"/>
          <w:b/>
          <w:szCs w:val="26"/>
        </w:rPr>
        <w:lastRenderedPageBreak/>
        <w:fldChar w:fldCharType="begin"/>
      </w:r>
      <w:r w:rsidR="00F60FAA">
        <w:rPr>
          <w:rFonts w:cs="Times New Roman"/>
          <w:b/>
          <w:szCs w:val="26"/>
        </w:rPr>
        <w:instrText xml:space="preserve"> TOC \o "1-3" \u </w:instrText>
      </w:r>
      <w:r>
        <w:rPr>
          <w:rFonts w:cs="Times New Roman"/>
          <w:b/>
          <w:szCs w:val="26"/>
        </w:rPr>
        <w:fldChar w:fldCharType="separate"/>
      </w:r>
      <w:r w:rsidR="00567433">
        <w:t>I.</w:t>
      </w:r>
      <w:r w:rsidR="00567433">
        <w:rPr>
          <w:rFonts w:asciiTheme="minorHAnsi" w:eastAsiaTheme="minorEastAsia" w:hAnsiTheme="minorHAnsi"/>
          <w:sz w:val="22"/>
        </w:rPr>
        <w:tab/>
      </w:r>
      <w:r w:rsidR="00567433">
        <w:t>Duke’s application does not mirror AEP Ohio’s Capacity Case application</w:t>
      </w:r>
      <w:r w:rsidR="00567433">
        <w:tab/>
      </w:r>
      <w:r w:rsidR="00567433">
        <w:fldChar w:fldCharType="begin"/>
      </w:r>
      <w:r w:rsidR="00567433">
        <w:instrText xml:space="preserve"> PAGEREF _Toc362959410 \h </w:instrText>
      </w:r>
      <w:r w:rsidR="00567433">
        <w:fldChar w:fldCharType="separate"/>
      </w:r>
      <w:r w:rsidR="00567433">
        <w:t>1</w:t>
      </w:r>
      <w:r w:rsidR="00567433">
        <w:fldChar w:fldCharType="end"/>
      </w:r>
    </w:p>
    <w:p w:rsidR="00567433" w:rsidRDefault="00567433">
      <w:pPr>
        <w:pStyle w:val="TOC1"/>
        <w:rPr>
          <w:rFonts w:asciiTheme="minorHAnsi" w:eastAsiaTheme="minorEastAsia" w:hAnsiTheme="minorHAnsi"/>
          <w:sz w:val="22"/>
        </w:rPr>
      </w:pPr>
      <w:r>
        <w:t>II.</w:t>
      </w:r>
      <w:r>
        <w:rPr>
          <w:rFonts w:asciiTheme="minorHAnsi" w:eastAsiaTheme="minorEastAsia" w:hAnsiTheme="minorHAnsi"/>
          <w:sz w:val="22"/>
        </w:rPr>
        <w:tab/>
      </w:r>
      <w:r>
        <w:t xml:space="preserve">Duke’s application violates the doctrines of </w:t>
      </w:r>
      <w:r w:rsidRPr="00E833F9">
        <w:rPr>
          <w:i/>
        </w:rPr>
        <w:t xml:space="preserve">res judicata </w:t>
      </w:r>
      <w:r>
        <w:t>and collateral estoppel.</w:t>
      </w:r>
      <w:r>
        <w:tab/>
      </w:r>
      <w:r>
        <w:fldChar w:fldCharType="begin"/>
      </w:r>
      <w:r>
        <w:instrText xml:space="preserve"> PAGEREF _Toc362959411 \h </w:instrText>
      </w:r>
      <w:r>
        <w:fldChar w:fldCharType="separate"/>
      </w:r>
      <w:r>
        <w:t>4</w:t>
      </w:r>
      <w:r>
        <w:fldChar w:fldCharType="end"/>
      </w:r>
    </w:p>
    <w:p w:rsidR="00567433" w:rsidRDefault="00567433">
      <w:pPr>
        <w:pStyle w:val="TOC1"/>
        <w:rPr>
          <w:rFonts w:asciiTheme="minorHAnsi" w:eastAsiaTheme="minorEastAsia" w:hAnsiTheme="minorHAnsi"/>
          <w:sz w:val="22"/>
        </w:rPr>
      </w:pPr>
      <w:r>
        <w:t>III.</w:t>
      </w:r>
      <w:r>
        <w:rPr>
          <w:rFonts w:asciiTheme="minorHAnsi" w:eastAsiaTheme="minorEastAsia" w:hAnsiTheme="minorHAnsi"/>
          <w:sz w:val="22"/>
        </w:rPr>
        <w:tab/>
      </w:r>
      <w:r>
        <w:t xml:space="preserve">The Commission has authority to establish a SCM under state law, but Duke previously settled on a capacity </w:t>
      </w:r>
      <w:bookmarkStart w:id="0" w:name="_GoBack"/>
      <w:bookmarkEnd w:id="0"/>
      <w:r>
        <w:t>price.</w:t>
      </w:r>
      <w:r>
        <w:tab/>
      </w:r>
      <w:r>
        <w:fldChar w:fldCharType="begin"/>
      </w:r>
      <w:r>
        <w:instrText xml:space="preserve"> PAGEREF _Toc362959412 \h </w:instrText>
      </w:r>
      <w:r>
        <w:fldChar w:fldCharType="separate"/>
      </w:r>
      <w:r>
        <w:t>5</w:t>
      </w:r>
      <w:r>
        <w:fldChar w:fldCharType="end"/>
      </w:r>
    </w:p>
    <w:p w:rsidR="00567433" w:rsidRDefault="00567433">
      <w:pPr>
        <w:pStyle w:val="TOC1"/>
        <w:rPr>
          <w:rFonts w:asciiTheme="minorHAnsi" w:eastAsiaTheme="minorEastAsia" w:hAnsiTheme="minorHAnsi"/>
          <w:sz w:val="22"/>
        </w:rPr>
      </w:pPr>
      <w:r>
        <w:t xml:space="preserve">IV. </w:t>
      </w:r>
      <w:r>
        <w:rPr>
          <w:rFonts w:asciiTheme="minorHAnsi" w:eastAsiaTheme="minorEastAsia" w:hAnsiTheme="minorHAnsi"/>
          <w:sz w:val="22"/>
        </w:rPr>
        <w:tab/>
      </w:r>
      <w:r>
        <w:t>Conclusion</w:t>
      </w:r>
      <w:r>
        <w:tab/>
      </w:r>
      <w:r>
        <w:fldChar w:fldCharType="begin"/>
      </w:r>
      <w:r>
        <w:instrText xml:space="preserve"> PAGEREF _Toc362959413 \h </w:instrText>
      </w:r>
      <w:r>
        <w:fldChar w:fldCharType="separate"/>
      </w:r>
      <w:r>
        <w:t>6</w:t>
      </w:r>
      <w:r>
        <w:fldChar w:fldCharType="end"/>
      </w:r>
    </w:p>
    <w:p w:rsidR="00567433" w:rsidRDefault="00567433">
      <w:pPr>
        <w:pStyle w:val="TOC1"/>
        <w:rPr>
          <w:rFonts w:asciiTheme="minorHAnsi" w:eastAsiaTheme="minorEastAsia" w:hAnsiTheme="minorHAnsi"/>
          <w:sz w:val="22"/>
        </w:rPr>
      </w:pPr>
      <w:r>
        <w:t>CERTIFICATE OF SERVICE</w:t>
      </w:r>
      <w:r>
        <w:tab/>
      </w:r>
      <w:r>
        <w:fldChar w:fldCharType="begin"/>
      </w:r>
      <w:r>
        <w:instrText xml:space="preserve"> PAGEREF _Toc362959414 \h </w:instrText>
      </w:r>
      <w:r>
        <w:fldChar w:fldCharType="separate"/>
      </w:r>
      <w:r>
        <w:t>8</w:t>
      </w:r>
      <w:r>
        <w:fldChar w:fldCharType="end"/>
      </w:r>
    </w:p>
    <w:p w:rsidR="00F60FAA" w:rsidRDefault="00CD6CD4" w:rsidP="00933CA6">
      <w:pPr>
        <w:rPr>
          <w:rFonts w:ascii="Times New Roman" w:hAnsi="Times New Roman" w:cs="Times New Roman"/>
          <w:b/>
          <w:sz w:val="26"/>
          <w:szCs w:val="26"/>
        </w:rPr>
      </w:pPr>
      <w:r>
        <w:rPr>
          <w:rFonts w:ascii="Times New Roman" w:hAnsi="Times New Roman" w:cs="Times New Roman"/>
          <w:b/>
          <w:sz w:val="26"/>
          <w:szCs w:val="26"/>
        </w:rPr>
        <w:fldChar w:fldCharType="end"/>
      </w:r>
    </w:p>
    <w:p w:rsidR="00F60FAA" w:rsidRPr="00933CA6" w:rsidRDefault="00F60FAA" w:rsidP="00933CA6">
      <w:pPr>
        <w:rPr>
          <w:rFonts w:ascii="Times New Roman" w:hAnsi="Times New Roman" w:cs="Times New Roman"/>
          <w:b/>
          <w:sz w:val="26"/>
          <w:szCs w:val="26"/>
        </w:rPr>
        <w:sectPr w:rsidR="00F60FAA" w:rsidRPr="00933CA6" w:rsidSect="00933CA6">
          <w:headerReference w:type="default" r:id="rId12"/>
          <w:footerReference w:type="default" r:id="rId13"/>
          <w:headerReference w:type="first" r:id="rId14"/>
          <w:footerReference w:type="first" r:id="rId15"/>
          <w:pgSz w:w="12240" w:h="15840"/>
          <w:pgMar w:top="1440" w:right="1440" w:bottom="1440" w:left="1440" w:header="720" w:footer="720" w:gutter="0"/>
          <w:pgNumType w:fmt="lowerRoman" w:start="1"/>
          <w:cols w:space="720"/>
          <w:titlePg/>
          <w:docGrid w:linePitch="360"/>
        </w:sectPr>
      </w:pPr>
    </w:p>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lastRenderedPageBreak/>
        <w:t>BEFORE</w:t>
      </w:r>
    </w:p>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t>THE PUBLIC UTILITIES COMMISSION OF OHIO</w:t>
      </w:r>
    </w:p>
    <w:p w:rsidR="00933CA6" w:rsidRPr="00933CA6" w:rsidRDefault="00933CA6" w:rsidP="00933CA6">
      <w:pPr>
        <w:rPr>
          <w:rFonts w:ascii="Times New Roman" w:hAnsi="Times New Roman" w:cs="Times New Roman"/>
          <w:sz w:val="26"/>
          <w:szCs w:val="26"/>
        </w:rPr>
      </w:pPr>
    </w:p>
    <w:tbl>
      <w:tblPr>
        <w:tblW w:w="8762" w:type="dxa"/>
        <w:tblLook w:val="04A0" w:firstRow="1" w:lastRow="0" w:firstColumn="1" w:lastColumn="0" w:noHBand="0" w:noVBand="1"/>
      </w:tblPr>
      <w:tblGrid>
        <w:gridCol w:w="4518"/>
        <w:gridCol w:w="360"/>
        <w:gridCol w:w="3884"/>
      </w:tblGrid>
      <w:tr w:rsidR="007B4270" w:rsidRPr="00933CA6" w:rsidTr="00306839">
        <w:tc>
          <w:tcPr>
            <w:tcW w:w="4518" w:type="dxa"/>
            <w:shd w:val="clear" w:color="auto" w:fill="auto"/>
          </w:tcPr>
          <w:p w:rsidR="007B4270" w:rsidRDefault="007B4270" w:rsidP="00306839">
            <w:pPr>
              <w:pStyle w:val="NoSpacing"/>
              <w:rPr>
                <w:rFonts w:ascii="Times New Roman" w:hAnsi="Times New Roman" w:cs="Times New Roman"/>
                <w:sz w:val="26"/>
                <w:szCs w:val="26"/>
              </w:rPr>
            </w:pPr>
            <w:r w:rsidRPr="00E45456">
              <w:rPr>
                <w:rFonts w:ascii="Times New Roman" w:hAnsi="Times New Roman" w:cs="Times New Roman"/>
                <w:sz w:val="26"/>
                <w:szCs w:val="26"/>
              </w:rPr>
              <w:t>In the Matter of the Application of Duke Energy Ohio, Inc., for the Establishment of a Charge Pursuant to Revised Code Section 4909.18.</w:t>
            </w:r>
          </w:p>
          <w:p w:rsidR="007B4270" w:rsidRPr="00E45456" w:rsidRDefault="007B4270" w:rsidP="00306839">
            <w:pPr>
              <w:pStyle w:val="NoSpacing"/>
              <w:rPr>
                <w:rFonts w:ascii="Times New Roman" w:hAnsi="Times New Roman" w:cs="Times New Roman"/>
                <w:sz w:val="26"/>
                <w:szCs w:val="26"/>
              </w:rPr>
            </w:pPr>
          </w:p>
        </w:tc>
        <w:tc>
          <w:tcPr>
            <w:tcW w:w="360" w:type="dxa"/>
          </w:tcPr>
          <w:p w:rsidR="007B4270" w:rsidRPr="00933CA6" w:rsidRDefault="007B4270" w:rsidP="00306839">
            <w:pPr>
              <w:spacing w:after="0" w:line="240" w:lineRule="auto"/>
              <w:rPr>
                <w:rFonts w:ascii="Times New Roman" w:hAnsi="Times New Roman" w:cs="Times New Roman"/>
                <w:sz w:val="26"/>
                <w:szCs w:val="26"/>
              </w:rPr>
            </w:pPr>
            <w:r w:rsidRPr="00933CA6">
              <w:rPr>
                <w:rFonts w:ascii="Times New Roman" w:hAnsi="Times New Roman" w:cs="Times New Roman"/>
                <w:sz w:val="26"/>
                <w:szCs w:val="26"/>
              </w:rP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r w:rsidRPr="00933CA6">
              <w:rPr>
                <w:rFonts w:ascii="Times New Roman" w:hAnsi="Times New Roman" w:cs="Times New Roman"/>
                <w:sz w:val="26"/>
                <w:szCs w:val="26"/>
              </w:rPr>
              <w:br/>
              <w:t>:</w:t>
            </w:r>
          </w:p>
        </w:tc>
        <w:tc>
          <w:tcPr>
            <w:tcW w:w="3884" w:type="dxa"/>
            <w:shd w:val="clear" w:color="auto" w:fill="auto"/>
          </w:tcPr>
          <w:p w:rsidR="007B4270" w:rsidRPr="00933CA6" w:rsidRDefault="007B4270" w:rsidP="00306839">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12-2400-EL-UNC</w:t>
            </w:r>
          </w:p>
        </w:tc>
      </w:tr>
      <w:tr w:rsidR="007B4270" w:rsidRPr="00933CA6" w:rsidTr="00306839">
        <w:tc>
          <w:tcPr>
            <w:tcW w:w="4518" w:type="dxa"/>
            <w:shd w:val="clear" w:color="auto" w:fill="auto"/>
          </w:tcPr>
          <w:p w:rsidR="007B4270" w:rsidRPr="00E45456" w:rsidRDefault="007B4270" w:rsidP="00306839">
            <w:pPr>
              <w:pStyle w:val="NoSpacing"/>
              <w:rPr>
                <w:rFonts w:ascii="Times New Roman" w:hAnsi="Times New Roman" w:cs="Times New Roman"/>
                <w:sz w:val="26"/>
                <w:szCs w:val="26"/>
              </w:rPr>
            </w:pPr>
            <w:r w:rsidRPr="00E45456">
              <w:rPr>
                <w:rFonts w:ascii="Times New Roman" w:hAnsi="Times New Roman" w:cs="Times New Roman"/>
                <w:sz w:val="26"/>
                <w:szCs w:val="26"/>
              </w:rPr>
              <w:t>In the Matter of the Application of Duke Energy Ohio, Inc., for Approval to Change Certain Accounting Methods.</w:t>
            </w:r>
          </w:p>
          <w:p w:rsidR="007B4270" w:rsidRPr="00E45456" w:rsidRDefault="007B4270" w:rsidP="00306839">
            <w:pPr>
              <w:pStyle w:val="NoSpacing"/>
              <w:rPr>
                <w:rFonts w:ascii="Times New Roman" w:hAnsi="Times New Roman" w:cs="Times New Roman"/>
                <w:sz w:val="26"/>
                <w:szCs w:val="26"/>
              </w:rPr>
            </w:pPr>
          </w:p>
          <w:p w:rsidR="007B4270" w:rsidRPr="00E45456" w:rsidRDefault="007B4270" w:rsidP="00306839">
            <w:pPr>
              <w:pStyle w:val="NoSpacing"/>
              <w:rPr>
                <w:rFonts w:ascii="Times New Roman" w:hAnsi="Times New Roman" w:cs="Times New Roman"/>
                <w:sz w:val="26"/>
                <w:szCs w:val="26"/>
              </w:rPr>
            </w:pPr>
            <w:r w:rsidRPr="00E45456">
              <w:rPr>
                <w:rFonts w:ascii="Times New Roman" w:hAnsi="Times New Roman" w:cs="Times New Roman"/>
                <w:sz w:val="26"/>
                <w:szCs w:val="26"/>
              </w:rPr>
              <w:t>In the Matter of the Application of Duke Energy Ohio, Inc., for the Approval of a Tariff for New Service.</w:t>
            </w:r>
          </w:p>
        </w:tc>
        <w:tc>
          <w:tcPr>
            <w:tcW w:w="360" w:type="dxa"/>
          </w:tcPr>
          <w:p w:rsidR="007B4270" w:rsidRPr="00933CA6" w:rsidRDefault="007B4270" w:rsidP="00306839">
            <w:pPr>
              <w:spacing w:after="0" w:line="240" w:lineRule="auto"/>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br/>
              <w:t>:</w:t>
            </w:r>
            <w:r>
              <w:rPr>
                <w:rFonts w:ascii="Times New Roman" w:hAnsi="Times New Roman" w:cs="Times New Roman"/>
                <w:sz w:val="26"/>
                <w:szCs w:val="26"/>
              </w:rPr>
              <w:br/>
              <w:t>:</w:t>
            </w:r>
            <w:r>
              <w:rPr>
                <w:rFonts w:ascii="Times New Roman" w:hAnsi="Times New Roman" w:cs="Times New Roman"/>
                <w:sz w:val="26"/>
                <w:szCs w:val="26"/>
              </w:rPr>
              <w:br/>
            </w:r>
          </w:p>
          <w:p w:rsidR="007B4270" w:rsidRPr="00933CA6" w:rsidRDefault="007B4270" w:rsidP="00306839">
            <w:pPr>
              <w:spacing w:after="0" w:line="240" w:lineRule="auto"/>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br/>
              <w:t>:</w:t>
            </w:r>
            <w:r>
              <w:rPr>
                <w:rFonts w:ascii="Times New Roman" w:hAnsi="Times New Roman" w:cs="Times New Roman"/>
                <w:sz w:val="26"/>
                <w:szCs w:val="26"/>
              </w:rPr>
              <w:br/>
              <w:t>:</w:t>
            </w:r>
          </w:p>
        </w:tc>
        <w:tc>
          <w:tcPr>
            <w:tcW w:w="3884" w:type="dxa"/>
            <w:shd w:val="clear" w:color="auto" w:fill="auto"/>
          </w:tcPr>
          <w:p w:rsidR="007B4270" w:rsidRPr="00933CA6" w:rsidRDefault="007B4270" w:rsidP="00306839">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12-2401-EL-AAM</w:t>
            </w:r>
          </w:p>
          <w:p w:rsidR="007B4270" w:rsidRPr="00933CA6" w:rsidRDefault="007B4270" w:rsidP="00306839">
            <w:pPr>
              <w:spacing w:after="0" w:line="240" w:lineRule="auto"/>
              <w:ind w:left="72"/>
              <w:rPr>
                <w:rFonts w:ascii="Times New Roman" w:hAnsi="Times New Roman" w:cs="Times New Roman"/>
                <w:sz w:val="26"/>
                <w:szCs w:val="26"/>
              </w:rPr>
            </w:pPr>
          </w:p>
          <w:p w:rsidR="007B4270" w:rsidRPr="00933CA6" w:rsidRDefault="007B4270" w:rsidP="00306839">
            <w:pPr>
              <w:spacing w:after="0" w:line="240" w:lineRule="auto"/>
              <w:ind w:left="72"/>
              <w:rPr>
                <w:rFonts w:ascii="Times New Roman" w:hAnsi="Times New Roman" w:cs="Times New Roman"/>
                <w:sz w:val="26"/>
                <w:szCs w:val="26"/>
              </w:rPr>
            </w:pPr>
          </w:p>
          <w:p w:rsidR="007B4270" w:rsidRDefault="007B4270" w:rsidP="00306839">
            <w:pPr>
              <w:spacing w:after="0" w:line="240" w:lineRule="auto"/>
              <w:ind w:left="72"/>
              <w:rPr>
                <w:rFonts w:ascii="Times New Roman" w:hAnsi="Times New Roman" w:cs="Times New Roman"/>
                <w:sz w:val="26"/>
                <w:szCs w:val="26"/>
              </w:rPr>
            </w:pPr>
          </w:p>
          <w:p w:rsidR="007B4270" w:rsidRPr="00933CA6" w:rsidRDefault="007B4270" w:rsidP="00306839">
            <w:pPr>
              <w:spacing w:after="0" w:line="240" w:lineRule="auto"/>
              <w:ind w:left="72"/>
              <w:rPr>
                <w:rFonts w:ascii="Times New Roman" w:hAnsi="Times New Roman" w:cs="Times New Roman"/>
                <w:sz w:val="26"/>
                <w:szCs w:val="26"/>
              </w:rPr>
            </w:pPr>
            <w:r w:rsidRPr="00933CA6">
              <w:rPr>
                <w:rFonts w:ascii="Times New Roman" w:hAnsi="Times New Roman" w:cs="Times New Roman"/>
                <w:sz w:val="26"/>
                <w:szCs w:val="26"/>
              </w:rPr>
              <w:t>Case No. 12-2402-EL-ATA</w:t>
            </w:r>
          </w:p>
        </w:tc>
      </w:tr>
    </w:tbl>
    <w:p w:rsidR="007B4270" w:rsidRDefault="007B4270" w:rsidP="00933CA6">
      <w:pPr>
        <w:tabs>
          <w:tab w:val="left" w:pos="9360"/>
        </w:tabs>
        <w:jc w:val="both"/>
        <w:rPr>
          <w:rFonts w:ascii="Times New Roman" w:hAnsi="Times New Roman" w:cs="Times New Roman"/>
          <w:sz w:val="26"/>
          <w:szCs w:val="26"/>
          <w:u w:val="single"/>
        </w:rPr>
      </w:pPr>
    </w:p>
    <w:p w:rsidR="00933CA6" w:rsidRPr="00933CA6" w:rsidRDefault="00933CA6" w:rsidP="00933CA6">
      <w:pPr>
        <w:tabs>
          <w:tab w:val="left" w:pos="9360"/>
        </w:tabs>
        <w:jc w:val="both"/>
        <w:rPr>
          <w:rFonts w:ascii="Times New Roman" w:hAnsi="Times New Roman" w:cs="Times New Roman"/>
          <w:sz w:val="26"/>
          <w:szCs w:val="26"/>
          <w:u w:val="single"/>
        </w:rPr>
      </w:pPr>
      <w:r w:rsidRPr="00933CA6">
        <w:rPr>
          <w:rFonts w:ascii="Times New Roman" w:hAnsi="Times New Roman" w:cs="Times New Roman"/>
          <w:sz w:val="26"/>
          <w:szCs w:val="26"/>
          <w:u w:val="single"/>
        </w:rPr>
        <w:tab/>
      </w:r>
    </w:p>
    <w:p w:rsidR="00933CA6" w:rsidRPr="00933CA6" w:rsidRDefault="00B94135" w:rsidP="00933C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REPLY</w:t>
      </w:r>
      <w:r w:rsidR="00D50095">
        <w:rPr>
          <w:rFonts w:ascii="Times New Roman" w:hAnsi="Times New Roman" w:cs="Times New Roman"/>
          <w:b/>
          <w:sz w:val="28"/>
          <w:szCs w:val="28"/>
        </w:rPr>
        <w:t xml:space="preserve"> BRIEF</w:t>
      </w:r>
      <w:r w:rsidR="00933CA6" w:rsidRPr="00933CA6">
        <w:rPr>
          <w:rFonts w:ascii="Times New Roman" w:hAnsi="Times New Roman" w:cs="Times New Roman"/>
          <w:b/>
          <w:sz w:val="28"/>
          <w:szCs w:val="28"/>
        </w:rPr>
        <w:t xml:space="preserve"> </w:t>
      </w:r>
    </w:p>
    <w:p w:rsidR="00933CA6" w:rsidRPr="00933CA6" w:rsidRDefault="00933CA6" w:rsidP="00933CA6">
      <w:pPr>
        <w:spacing w:after="0" w:line="240" w:lineRule="auto"/>
        <w:jc w:val="center"/>
        <w:rPr>
          <w:rFonts w:ascii="Times New Roman" w:hAnsi="Times New Roman" w:cs="Times New Roman"/>
          <w:b/>
          <w:sz w:val="26"/>
          <w:szCs w:val="26"/>
        </w:rPr>
      </w:pPr>
      <w:r w:rsidRPr="00933CA6">
        <w:rPr>
          <w:rFonts w:ascii="Times New Roman" w:hAnsi="Times New Roman" w:cs="Times New Roman"/>
          <w:b/>
          <w:sz w:val="26"/>
          <w:szCs w:val="26"/>
        </w:rPr>
        <w:t>SUBMITTED ON BEHALF OF THE STAFF OF</w:t>
      </w:r>
    </w:p>
    <w:p w:rsidR="00933CA6" w:rsidRPr="00933CA6" w:rsidRDefault="00933CA6" w:rsidP="00933CA6">
      <w:pPr>
        <w:spacing w:after="0" w:line="240" w:lineRule="auto"/>
        <w:jc w:val="center"/>
        <w:rPr>
          <w:rFonts w:ascii="Times New Roman" w:hAnsi="Times New Roman" w:cs="Times New Roman"/>
          <w:sz w:val="26"/>
          <w:szCs w:val="26"/>
        </w:rPr>
      </w:pPr>
      <w:r w:rsidRPr="00933CA6">
        <w:rPr>
          <w:rFonts w:ascii="Times New Roman" w:hAnsi="Times New Roman" w:cs="Times New Roman"/>
          <w:b/>
          <w:sz w:val="26"/>
          <w:szCs w:val="26"/>
        </w:rPr>
        <w:t>THE PUBLIC UTILITIES COMMISSION OF OHIO</w:t>
      </w:r>
    </w:p>
    <w:p w:rsidR="00933CA6" w:rsidRPr="00933CA6" w:rsidRDefault="00933CA6" w:rsidP="00933CA6">
      <w:pPr>
        <w:tabs>
          <w:tab w:val="left" w:pos="9360"/>
        </w:tabs>
        <w:jc w:val="both"/>
        <w:rPr>
          <w:rFonts w:ascii="Times New Roman" w:hAnsi="Times New Roman" w:cs="Times New Roman"/>
          <w:sz w:val="26"/>
          <w:szCs w:val="26"/>
          <w:u w:val="single"/>
        </w:rPr>
      </w:pPr>
      <w:r w:rsidRPr="00933CA6">
        <w:rPr>
          <w:rFonts w:ascii="Times New Roman" w:hAnsi="Times New Roman" w:cs="Times New Roman"/>
          <w:sz w:val="26"/>
          <w:szCs w:val="26"/>
          <w:u w:val="single"/>
        </w:rPr>
        <w:tab/>
      </w:r>
    </w:p>
    <w:p w:rsidR="00F14C58" w:rsidRPr="00E1073B" w:rsidRDefault="00E1073B" w:rsidP="006167D8">
      <w:pPr>
        <w:pStyle w:val="Heading1"/>
      </w:pPr>
      <w:bookmarkStart w:id="1" w:name="_Toc339013414"/>
      <w:bookmarkStart w:id="2" w:name="_Toc362959410"/>
      <w:r>
        <w:t>I.</w:t>
      </w:r>
      <w:r>
        <w:tab/>
      </w:r>
      <w:bookmarkEnd w:id="1"/>
      <w:r w:rsidR="0037008C">
        <w:t>Duke</w:t>
      </w:r>
      <w:r w:rsidR="007F338D">
        <w:t>’s</w:t>
      </w:r>
      <w:r w:rsidR="0037008C">
        <w:t xml:space="preserve"> application does not mirror AEP</w:t>
      </w:r>
      <w:r w:rsidR="007F338D">
        <w:t xml:space="preserve"> Ohio</w:t>
      </w:r>
      <w:r w:rsidR="0037008C">
        <w:t>’s</w:t>
      </w:r>
      <w:r w:rsidR="000726B9">
        <w:t xml:space="preserve"> Capacity Case</w:t>
      </w:r>
      <w:r w:rsidR="0037008C">
        <w:t xml:space="preserve"> application</w:t>
      </w:r>
      <w:bookmarkEnd w:id="2"/>
      <w:r w:rsidR="0037008C">
        <w:t xml:space="preserve"> </w:t>
      </w:r>
      <w:r w:rsidR="00CB5161" w:rsidRPr="00E1073B">
        <w:t xml:space="preserve"> </w:t>
      </w:r>
    </w:p>
    <w:p w:rsidR="00AD654F" w:rsidRDefault="001228C2" w:rsidP="0037008C">
      <w:pPr>
        <w:pStyle w:val="Textstyle"/>
      </w:pPr>
      <w:r>
        <w:tab/>
      </w:r>
      <w:r w:rsidR="00C401AF">
        <w:t>Duke Energy Ohio Inc. (“Duke”)</w:t>
      </w:r>
      <w:r w:rsidR="007F338D">
        <w:t xml:space="preserve"> continues to demand that it be treated like AEP Ohio for</w:t>
      </w:r>
      <w:r w:rsidR="000726B9">
        <w:t xml:space="preserve"> its</w:t>
      </w:r>
      <w:r w:rsidR="007F338D">
        <w:t xml:space="preserve"> capacity</w:t>
      </w:r>
      <w:r w:rsidR="000726B9">
        <w:t xml:space="preserve"> charges</w:t>
      </w:r>
      <w:r w:rsidR="007F338D">
        <w:t>.</w:t>
      </w:r>
      <w:r w:rsidR="0068373E">
        <w:t xml:space="preserve">  As numerous parties have stated in initial briefs, t</w:t>
      </w:r>
      <w:r w:rsidR="008A579D">
        <w:t>he AEP Ohio Capacity decision</w:t>
      </w:r>
      <w:r w:rsidR="007F338D">
        <w:t xml:space="preserve"> has no</w:t>
      </w:r>
      <w:r w:rsidR="0068373E">
        <w:t xml:space="preserve"> bearing on Duke’s capacity rates.  The Commission’s deci</w:t>
      </w:r>
      <w:r w:rsidR="008A579D">
        <w:t>sion in AEP Ohio’s Capacity Case</w:t>
      </w:r>
      <w:r w:rsidR="0068373E">
        <w:t xml:space="preserve"> related only to AEP Ohio.</w:t>
      </w:r>
      <w:r w:rsidR="0068373E">
        <w:rPr>
          <w:rStyle w:val="FootnoteReference"/>
        </w:rPr>
        <w:footnoteReference w:id="1"/>
      </w:r>
      <w:r w:rsidR="0068373E">
        <w:t xml:space="preserve">  The Commission</w:t>
      </w:r>
      <w:r w:rsidR="00613906">
        <w:t xml:space="preserve"> </w:t>
      </w:r>
      <w:r w:rsidR="008C4ADE">
        <w:t>expressly</w:t>
      </w:r>
      <w:r w:rsidR="0068373E">
        <w:t xml:space="preserve"> stated</w:t>
      </w:r>
      <w:r w:rsidR="000726B9">
        <w:t xml:space="preserve"> that it initiated the AEP Ohio proceeding</w:t>
      </w:r>
      <w:r w:rsidR="0068373E">
        <w:t xml:space="preserve">:  </w:t>
      </w:r>
    </w:p>
    <w:p w:rsidR="0068373E" w:rsidRPr="00613906" w:rsidRDefault="0068373E" w:rsidP="007B4270">
      <w:pPr>
        <w:pStyle w:val="Blockquote"/>
      </w:pPr>
      <w:r w:rsidRPr="00613906">
        <w:lastRenderedPageBreak/>
        <w:t>solely</w:t>
      </w:r>
      <w:r w:rsidR="00927647">
        <w:t xml:space="preserve"> to review AEP-Ohio</w:t>
      </w:r>
      <w:r w:rsidRPr="0068373E">
        <w:t>'s capacity costs and determine an appropriate capacity charge for its FRR obligations</w:t>
      </w:r>
      <w:r w:rsidR="004E60B9" w:rsidRPr="0068373E">
        <w:t xml:space="preserve">.  </w:t>
      </w:r>
      <w:r w:rsidRPr="00613906">
        <w:t>We have not considered the costs of any other capacity supplier subject to our jurisdiction nor do we find it appropriate to do so in this proceeding.</w:t>
      </w:r>
      <w:r w:rsidRPr="007B4270">
        <w:rPr>
          <w:rStyle w:val="FootnoteReference"/>
        </w:rPr>
        <w:footnoteReference w:id="2"/>
      </w:r>
      <w:r w:rsidR="00613906">
        <w:t xml:space="preserve"> </w:t>
      </w:r>
    </w:p>
    <w:p w:rsidR="002C7EE6" w:rsidRDefault="002C7EE6" w:rsidP="007B4270">
      <w:pPr>
        <w:pStyle w:val="Textstyle"/>
      </w:pPr>
      <w:r>
        <w:t>The AEP Ohio Capacity decision does not apply on a statewide basis as Duke argues.  The Commission examines and considers applications ind</w:t>
      </w:r>
      <w:r w:rsidR="007E7B20">
        <w:t>ividually and not by a “one-size</w:t>
      </w:r>
      <w:r>
        <w:t xml:space="preserve">-fits-all” mentality.  </w:t>
      </w:r>
      <w:r w:rsidR="000726B9">
        <w:t xml:space="preserve">Duke has even agreed with </w:t>
      </w:r>
      <w:r>
        <w:t>this</w:t>
      </w:r>
      <w:r w:rsidR="008A579D">
        <w:t xml:space="preserve"> important</w:t>
      </w:r>
      <w:r w:rsidR="000726B9">
        <w:t xml:space="preserve"> principle </w:t>
      </w:r>
      <w:r w:rsidR="003A4BE6">
        <w:t>in the past:</w:t>
      </w:r>
      <w:r>
        <w:t xml:space="preserve">    </w:t>
      </w:r>
    </w:p>
    <w:p w:rsidR="002C7EE6" w:rsidRPr="00613906" w:rsidRDefault="002C7EE6" w:rsidP="007B4270">
      <w:pPr>
        <w:pStyle w:val="Blockquote"/>
      </w:pPr>
      <w:r w:rsidRPr="00613906">
        <w:t xml:space="preserve">Despite AEP Ohio’s misguided urging, the Commission should not, and does not, summarily regulate public utilities with a “one size fits all” mentality. </w:t>
      </w:r>
      <w:r w:rsidR="00613906">
        <w:t xml:space="preserve"> </w:t>
      </w:r>
      <w:r w:rsidRPr="00613906">
        <w:t>Rather, as the Commis</w:t>
      </w:r>
      <w:r w:rsidR="004E60B9">
        <w:softHyphen/>
      </w:r>
      <w:r w:rsidRPr="00613906">
        <w:t>sion is accustomed to doing, its decision must be predicated upon a deliberate review of the relevant evidence in the indi</w:t>
      </w:r>
      <w:r w:rsidR="004E60B9">
        <w:softHyphen/>
      </w:r>
      <w:r w:rsidRPr="00613906">
        <w:t xml:space="preserve">vidual case at bar. </w:t>
      </w:r>
      <w:r w:rsidR="00613906">
        <w:t xml:space="preserve"> </w:t>
      </w:r>
      <w:r w:rsidRPr="00613906">
        <w:t>The Commission thoroughly reviewed the record and issued a detailed Opinion and Order in connection with the Duke Energy ESP Stipulation.</w:t>
      </w:r>
      <w:r w:rsidR="003A4BE6" w:rsidRPr="00613906">
        <w:rPr>
          <w:rStyle w:val="FootnoteReference"/>
        </w:rPr>
        <w:footnoteReference w:id="3"/>
      </w:r>
    </w:p>
    <w:p w:rsidR="004A5B50" w:rsidRDefault="002A5EBE" w:rsidP="007B4270">
      <w:pPr>
        <w:pStyle w:val="Textstyle"/>
      </w:pPr>
      <w:r>
        <w:tab/>
      </w:r>
      <w:r w:rsidRPr="002A5EBE">
        <w:t>Duke fully contemplated charging only market rates for capacity until the AEP deci</w:t>
      </w:r>
      <w:r w:rsidR="004E60B9">
        <w:softHyphen/>
      </w:r>
      <w:r w:rsidRPr="002A5EBE">
        <w:t>sion.</w:t>
      </w:r>
      <w:r>
        <w:rPr>
          <w:rStyle w:val="FootnoteReference"/>
        </w:rPr>
        <w:footnoteReference w:id="4"/>
      </w:r>
      <w:r w:rsidRPr="002A5EBE">
        <w:t xml:space="preserve"> </w:t>
      </w:r>
      <w:r>
        <w:t xml:space="preserve"> However, Duke is not “similarly situated” to AEP Ohio.  There are substantial differences between the two companies.  Most notably,</w:t>
      </w:r>
      <w:r w:rsidRPr="002A5EBE">
        <w:t xml:space="preserve"> AEP Ohio did not enter into a stipulation governing the p</w:t>
      </w:r>
      <w:r>
        <w:t>ricing of its capacity</w:t>
      </w:r>
      <w:r w:rsidR="008A579D">
        <w:t xml:space="preserve"> as Duke did</w:t>
      </w:r>
      <w:r>
        <w:t>.</w:t>
      </w:r>
      <w:r w:rsidR="000726B9">
        <w:t xml:space="preserve">  </w:t>
      </w:r>
      <w:r w:rsidR="00472861">
        <w:t>The</w:t>
      </w:r>
      <w:r w:rsidR="004A5B50">
        <w:t xml:space="preserve"> significant differences bolster the need to treat Duke and AEP on a separate and individual basis.  </w:t>
      </w:r>
    </w:p>
    <w:p w:rsidR="00927647" w:rsidRPr="002A5EBE" w:rsidRDefault="007B4270" w:rsidP="007B4270">
      <w:pPr>
        <w:pStyle w:val="Textstyle"/>
      </w:pPr>
      <w:r>
        <w:lastRenderedPageBreak/>
        <w:tab/>
      </w:r>
      <w:r w:rsidR="002A5EBE" w:rsidRPr="002A5EBE">
        <w:t>There are no changed circumstances that would justify</w:t>
      </w:r>
      <w:r w:rsidR="007B28C7">
        <w:t xml:space="preserve"> altering</w:t>
      </w:r>
      <w:r w:rsidR="002A5EBE" w:rsidRPr="002A5EBE">
        <w:t xml:space="preserve"> the pricing that Duke agreed to in the ESP Stipulation. </w:t>
      </w:r>
      <w:r w:rsidR="007B28C7">
        <w:t xml:space="preserve"> </w:t>
      </w:r>
      <w:r w:rsidR="002A5EBE" w:rsidRPr="002A5EBE">
        <w:t>The capacity prices for the ESP period were known before Duke entered into the Stipulation.</w:t>
      </w:r>
      <w:r w:rsidR="002A5EBE">
        <w:rPr>
          <w:rStyle w:val="FootnoteReference"/>
        </w:rPr>
        <w:footnoteReference w:id="5"/>
      </w:r>
      <w:r w:rsidR="002A5EBE" w:rsidRPr="002A5EBE">
        <w:t xml:space="preserve"> </w:t>
      </w:r>
      <w:r w:rsidR="002A5EBE">
        <w:t xml:space="preserve"> </w:t>
      </w:r>
      <w:r w:rsidR="002A5EBE" w:rsidRPr="002A5EBE">
        <w:t>Duke intensely studied the ESP case, modeled the PJM capacity prices as part of the process of agreeing to the ESP Stipula</w:t>
      </w:r>
      <w:r w:rsidR="004E60B9">
        <w:softHyphen/>
      </w:r>
      <w:r w:rsidR="002A5EBE" w:rsidRPr="002A5EBE">
        <w:t>tion, and fully understood the financial ramifications of agreeing to market prices for capacity.</w:t>
      </w:r>
      <w:r w:rsidR="007B28C7">
        <w:rPr>
          <w:rStyle w:val="FootnoteReference"/>
        </w:rPr>
        <w:footnoteReference w:id="6"/>
      </w:r>
      <w:r w:rsidR="002A5EBE" w:rsidRPr="002A5EBE">
        <w:t xml:space="preserve"> </w:t>
      </w:r>
      <w:r>
        <w:t xml:space="preserve"> </w:t>
      </w:r>
      <w:r w:rsidR="007B28C7">
        <w:t>Duke</w:t>
      </w:r>
      <w:r w:rsidR="002A5EBE" w:rsidRPr="002A5EBE">
        <w:t xml:space="preserve"> reported the </w:t>
      </w:r>
      <w:r w:rsidR="007B28C7">
        <w:t>ESP Stipulation to the</w:t>
      </w:r>
      <w:r w:rsidR="002A5EBE" w:rsidRPr="002A5EBE">
        <w:t xml:space="preserve"> investment community, which recog</w:t>
      </w:r>
      <w:r w:rsidR="004E60B9">
        <w:softHyphen/>
      </w:r>
      <w:r w:rsidR="002A5EBE" w:rsidRPr="002A5EBE">
        <w:t>nized that it would immediately and over time diminish Duke’s earnings.</w:t>
      </w:r>
      <w:r w:rsidR="007B28C7">
        <w:rPr>
          <w:rStyle w:val="FootnoteReference"/>
        </w:rPr>
        <w:footnoteReference w:id="7"/>
      </w:r>
      <w:r w:rsidR="002A5EBE" w:rsidRPr="002A5EBE">
        <w:t xml:space="preserve"> </w:t>
      </w:r>
      <w:r w:rsidR="007B28C7">
        <w:t xml:space="preserve"> </w:t>
      </w:r>
      <w:r w:rsidR="002A5EBE" w:rsidRPr="002A5EBE">
        <w:t>Duke must be held to the terms of the</w:t>
      </w:r>
      <w:r w:rsidR="007B28C7">
        <w:t xml:space="preserve"> ESP</w:t>
      </w:r>
      <w:r w:rsidR="002A5EBE" w:rsidRPr="002A5EBE">
        <w:t xml:space="preserve"> settlement</w:t>
      </w:r>
      <w:r w:rsidR="007B28C7">
        <w:t xml:space="preserve"> –</w:t>
      </w:r>
      <w:r w:rsidR="002A5EBE" w:rsidRPr="002A5EBE">
        <w:t xml:space="preserve"> a package that included both market capacity rates and the $330 million ESSC. </w:t>
      </w:r>
      <w:r w:rsidR="007B28C7">
        <w:t xml:space="preserve"> </w:t>
      </w:r>
      <w:r w:rsidR="00705FC7">
        <w:t xml:space="preserve">Since January 2012 Duke has been charging CRES providers the FZCP market rate and retail customers Rider ESSC to compensate Duke for its generation assets to meet its FRR obligations. </w:t>
      </w:r>
      <w:r w:rsidR="007B28C7">
        <w:t>The Commission should not allow</w:t>
      </w:r>
      <w:r w:rsidR="002A5EBE" w:rsidRPr="002A5EBE">
        <w:t xml:space="preserve"> Duke to avoid its agreement</w:t>
      </w:r>
      <w:r w:rsidR="007B28C7">
        <w:t xml:space="preserve"> on capacity pricing capacity and</w:t>
      </w:r>
      <w:r w:rsidR="002A5EBE" w:rsidRPr="002A5EBE">
        <w:t xml:space="preserve"> upset the benefit of the bargain that the other parties made with Duke.</w:t>
      </w:r>
      <w:r w:rsidR="007B28C7">
        <w:t xml:space="preserve">  The Commission must reject Duke’s current application.</w:t>
      </w:r>
    </w:p>
    <w:p w:rsidR="00FC07F0" w:rsidRDefault="00FC07F0" w:rsidP="006167D8">
      <w:pPr>
        <w:pStyle w:val="Heading1"/>
      </w:pPr>
      <w:r>
        <w:br w:type="page"/>
      </w:r>
    </w:p>
    <w:p w:rsidR="00AD654F" w:rsidRDefault="00A06E0A" w:rsidP="006167D8">
      <w:pPr>
        <w:pStyle w:val="Heading1"/>
      </w:pPr>
      <w:bookmarkStart w:id="3" w:name="_Toc362959411"/>
      <w:r>
        <w:lastRenderedPageBreak/>
        <w:t>II.</w:t>
      </w:r>
      <w:r>
        <w:tab/>
      </w:r>
      <w:r w:rsidR="000726B9">
        <w:t>Duke’s application violates the doctrines of</w:t>
      </w:r>
      <w:r w:rsidR="002C7EE6">
        <w:t xml:space="preserve"> </w:t>
      </w:r>
      <w:r w:rsidR="002C7EE6">
        <w:rPr>
          <w:i/>
        </w:rPr>
        <w:t xml:space="preserve">res judicata </w:t>
      </w:r>
      <w:r w:rsidR="002C7EE6">
        <w:t>and collateral estoppel.</w:t>
      </w:r>
      <w:bookmarkEnd w:id="3"/>
      <w:r w:rsidR="007B2FB7">
        <w:t xml:space="preserve"> </w:t>
      </w:r>
    </w:p>
    <w:p w:rsidR="003A4BE6" w:rsidRDefault="007B4270" w:rsidP="007B4270">
      <w:pPr>
        <w:pStyle w:val="Textstyle"/>
      </w:pPr>
      <w:r>
        <w:tab/>
      </w:r>
      <w:r w:rsidR="003A4BE6" w:rsidRPr="003A4BE6">
        <w:t xml:space="preserve">Duke argues that </w:t>
      </w:r>
      <w:r w:rsidR="003A4BE6" w:rsidRPr="003A4BE6">
        <w:rPr>
          <w:i/>
        </w:rPr>
        <w:t>res judicata</w:t>
      </w:r>
      <w:r w:rsidR="003A4BE6" w:rsidRPr="003A4BE6">
        <w:t xml:space="preserve"> and collateral estoppel do not apply because the Appli</w:t>
      </w:r>
      <w:r w:rsidR="004E60B9">
        <w:softHyphen/>
      </w:r>
      <w:r w:rsidR="003A4BE6" w:rsidRPr="003A4BE6">
        <w:t>cation in this proceeding</w:t>
      </w:r>
      <w:r w:rsidR="000726B9">
        <w:t xml:space="preserve"> deals with</w:t>
      </w:r>
      <w:r w:rsidR="003A4BE6" w:rsidRPr="003A4BE6">
        <w:t xml:space="preserve"> issues which are different from the issues addressed in the ESP Case.</w:t>
      </w:r>
      <w:r w:rsidR="003A4BE6">
        <w:rPr>
          <w:rStyle w:val="FootnoteReference"/>
        </w:rPr>
        <w:footnoteReference w:id="8"/>
      </w:r>
      <w:r w:rsidR="003A4BE6" w:rsidRPr="003A4BE6">
        <w:t xml:space="preserve"> </w:t>
      </w:r>
      <w:r w:rsidR="003A4BE6">
        <w:t xml:space="preserve"> Contrary to this claim, </w:t>
      </w:r>
      <w:r w:rsidR="003A4BE6" w:rsidRPr="003A4BE6">
        <w:t>Duke's compensation for the provi</w:t>
      </w:r>
      <w:r w:rsidR="004E60B9">
        <w:softHyphen/>
      </w:r>
      <w:r w:rsidR="003A4BE6" w:rsidRPr="003A4BE6">
        <w:t>sion of its capacity service as an FRR entity has already been settled through the ESP Stipulation.</w:t>
      </w:r>
      <w:r w:rsidR="000726B9">
        <w:t xml:space="preserve">  The issues are the same</w:t>
      </w:r>
      <w:r w:rsidR="007B28C7">
        <w:t xml:space="preserve"> – capacity pricing</w:t>
      </w:r>
      <w:r w:rsidR="000726B9">
        <w:t>.</w:t>
      </w:r>
      <w:r w:rsidR="003A4BE6" w:rsidRPr="003A4BE6">
        <w:t xml:space="preserve"> </w:t>
      </w:r>
      <w:r w:rsidR="003A4BE6">
        <w:t xml:space="preserve"> </w:t>
      </w:r>
      <w:r w:rsidR="003A4BE6" w:rsidRPr="003A4BE6">
        <w:t>Duke was well aware of its alternatives for the provision of its capacity service and chose RPM-based pricing</w:t>
      </w:r>
      <w:r w:rsidR="004A5B50">
        <w:t xml:space="preserve"> (plus the $330 million ESCC)</w:t>
      </w:r>
      <w:r w:rsidR="003A4BE6" w:rsidRPr="003A4BE6">
        <w:t xml:space="preserve"> and explicitly included it in the ESP Stipulation. </w:t>
      </w:r>
      <w:r w:rsidR="000726B9">
        <w:t xml:space="preserve"> </w:t>
      </w:r>
      <w:r w:rsidR="003A4BE6" w:rsidRPr="003A4BE6">
        <w:t>Duke cannot</w:t>
      </w:r>
      <w:r w:rsidR="000726B9">
        <w:t xml:space="preserve"> now</w:t>
      </w:r>
      <w:r w:rsidR="003A4BE6" w:rsidRPr="003A4BE6">
        <w:t xml:space="preserve"> re-litigate</w:t>
      </w:r>
      <w:r w:rsidR="000726B9">
        <w:t xml:space="preserve"> the</w:t>
      </w:r>
      <w:r w:rsidR="003A4BE6" w:rsidRPr="003A4BE6">
        <w:t xml:space="preserve"> issues that it resolved through settlement.  </w:t>
      </w:r>
    </w:p>
    <w:p w:rsidR="003A4BE6" w:rsidRPr="003A4BE6" w:rsidRDefault="007B4270" w:rsidP="007B4270">
      <w:pPr>
        <w:pStyle w:val="Textstyle"/>
      </w:pPr>
      <w:r>
        <w:tab/>
      </w:r>
      <w:r w:rsidR="008C4ADE">
        <w:t>Duke further</w:t>
      </w:r>
      <w:r w:rsidR="003A4BE6" w:rsidRPr="003A4BE6">
        <w:t xml:space="preserve"> argues that </w:t>
      </w:r>
      <w:r w:rsidR="003A4BE6" w:rsidRPr="008C4ADE">
        <w:rPr>
          <w:i/>
        </w:rPr>
        <w:t>res judicata</w:t>
      </w:r>
      <w:r w:rsidR="003A4BE6" w:rsidRPr="003A4BE6">
        <w:t xml:space="preserve"> does not apply to its Application in this pro</w:t>
      </w:r>
      <w:r w:rsidR="004E60B9">
        <w:softHyphen/>
      </w:r>
      <w:r w:rsidR="003A4BE6" w:rsidRPr="003A4BE6">
        <w:t xml:space="preserve">ceeding because the ESP Case was </w:t>
      </w:r>
      <w:r w:rsidR="00927647">
        <w:t>a settlement and not a valid final judgment upon the merits</w:t>
      </w:r>
      <w:r w:rsidR="000726B9">
        <w:t>.</w:t>
      </w:r>
      <w:r w:rsidR="000726B9">
        <w:rPr>
          <w:rStyle w:val="FootnoteReference"/>
        </w:rPr>
        <w:footnoteReference w:id="9"/>
      </w:r>
      <w:r w:rsidR="003A4BE6" w:rsidRPr="003A4BE6">
        <w:t xml:space="preserve"> </w:t>
      </w:r>
      <w:r>
        <w:t xml:space="preserve"> </w:t>
      </w:r>
      <w:r w:rsidR="008C4ADE">
        <w:t>But t</w:t>
      </w:r>
      <w:r w:rsidR="003A4BE6" w:rsidRPr="003A4BE6">
        <w:t>he ESP Case was</w:t>
      </w:r>
      <w:r w:rsidR="008C4ADE">
        <w:t xml:space="preserve"> indeed</w:t>
      </w:r>
      <w:r w:rsidR="00927647">
        <w:t xml:space="preserve"> a proceeding with a final judgment upon the mer</w:t>
      </w:r>
      <w:r w:rsidR="004E60B9">
        <w:softHyphen/>
      </w:r>
      <w:r w:rsidR="00927647">
        <w:t>its where</w:t>
      </w:r>
      <w:r w:rsidR="008C4ADE">
        <w:t xml:space="preserve"> p</w:t>
      </w:r>
      <w:r w:rsidR="003A4BE6" w:rsidRPr="003A4BE6">
        <w:t xml:space="preserve">arties were provided the opportunity to litigate. </w:t>
      </w:r>
      <w:r w:rsidR="008C4ADE">
        <w:t xml:space="preserve"> T</w:t>
      </w:r>
      <w:r w:rsidR="003A4BE6" w:rsidRPr="003A4BE6">
        <w:t>he Commission provided notice, held an evidentiary hearing, and provided parties the oppor</w:t>
      </w:r>
      <w:r w:rsidR="008C4ADE">
        <w:t>tunity to introduce evi</w:t>
      </w:r>
      <w:r w:rsidR="004E60B9">
        <w:softHyphen/>
      </w:r>
      <w:r w:rsidR="008C4ADE">
        <w:t>dence.</w:t>
      </w:r>
      <w:r w:rsidR="003A4BE6" w:rsidRPr="003A4BE6">
        <w:t xml:space="preserve"> </w:t>
      </w:r>
      <w:r w:rsidR="008C4ADE">
        <w:t xml:space="preserve"> </w:t>
      </w:r>
      <w:r w:rsidR="003A4BE6" w:rsidRPr="003A4BE6">
        <w:t xml:space="preserve">Duke took full advantage of the opportunity and submitted evidence in support of its Application. </w:t>
      </w:r>
      <w:r w:rsidR="008C4ADE">
        <w:t xml:space="preserve"> </w:t>
      </w:r>
      <w:r w:rsidR="003A4BE6" w:rsidRPr="003A4BE6">
        <w:t>Duke</w:t>
      </w:r>
      <w:r w:rsidR="008C4ADE">
        <w:t xml:space="preserve"> now</w:t>
      </w:r>
      <w:r w:rsidR="003A4BE6" w:rsidRPr="003A4BE6">
        <w:t xml:space="preserve"> claims that the ESP Case was not litigated because all issues were resolved through the ESP Stipulation. </w:t>
      </w:r>
      <w:r w:rsidR="000726B9">
        <w:t xml:space="preserve"> </w:t>
      </w:r>
      <w:r w:rsidR="008C4ADE" w:rsidRPr="00C30C8F">
        <w:rPr>
          <w:i/>
        </w:rPr>
        <w:t>R</w:t>
      </w:r>
      <w:r w:rsidR="003A4BE6" w:rsidRPr="00C30C8F">
        <w:rPr>
          <w:i/>
        </w:rPr>
        <w:t>es judicata</w:t>
      </w:r>
      <w:r w:rsidR="003A4BE6" w:rsidRPr="003A4BE6">
        <w:t xml:space="preserve"> applies to cases that were</w:t>
      </w:r>
      <w:r w:rsidR="008C4ADE">
        <w:t xml:space="preserve"> resolved through settlement.</w:t>
      </w:r>
      <w:r w:rsidR="008C4ADE">
        <w:rPr>
          <w:rStyle w:val="FootnoteReference"/>
        </w:rPr>
        <w:footnoteReference w:id="10"/>
      </w:r>
      <w:r w:rsidR="003A4BE6" w:rsidRPr="003A4BE6">
        <w:t xml:space="preserve"> </w:t>
      </w:r>
      <w:r w:rsidR="00613906">
        <w:t xml:space="preserve"> </w:t>
      </w:r>
      <w:r w:rsidR="007B28C7">
        <w:t>As such</w:t>
      </w:r>
      <w:r w:rsidR="003A4BE6" w:rsidRPr="003A4BE6">
        <w:t>, the ESP Case was</w:t>
      </w:r>
      <w:r w:rsidR="00927647">
        <w:t xml:space="preserve"> a final judgment upon the </w:t>
      </w:r>
      <w:r w:rsidR="00927647">
        <w:lastRenderedPageBreak/>
        <w:t>mer</w:t>
      </w:r>
      <w:r w:rsidR="004E60B9">
        <w:softHyphen/>
      </w:r>
      <w:r w:rsidR="00927647">
        <w:t>its</w:t>
      </w:r>
      <w:r w:rsidR="003A4BE6" w:rsidRPr="003A4BE6">
        <w:t xml:space="preserve"> and the doctrines of collateral estoppel and </w:t>
      </w:r>
      <w:r w:rsidR="003A4BE6" w:rsidRPr="008C4ADE">
        <w:rPr>
          <w:i/>
        </w:rPr>
        <w:t>res judicata</w:t>
      </w:r>
      <w:r w:rsidR="003A4BE6" w:rsidRPr="003A4BE6">
        <w:t xml:space="preserve"> may be used to bar litiga</w:t>
      </w:r>
      <w:r w:rsidR="004E60B9">
        <w:softHyphen/>
      </w:r>
      <w:r w:rsidR="003A4BE6" w:rsidRPr="003A4BE6">
        <w:t>tion of Duke's Application in this proceeding.</w:t>
      </w:r>
    </w:p>
    <w:p w:rsidR="00613906" w:rsidRDefault="00613906" w:rsidP="008362B6">
      <w:pPr>
        <w:pStyle w:val="Heading1"/>
      </w:pPr>
      <w:bookmarkStart w:id="4" w:name="_Toc362959412"/>
      <w:r>
        <w:t>III.</w:t>
      </w:r>
      <w:r>
        <w:tab/>
        <w:t xml:space="preserve">The Commission has </w:t>
      </w:r>
      <w:r w:rsidR="008362B6">
        <w:t>authority to establish a SCM under state law, but Duke previously settled on a capacity price</w:t>
      </w:r>
      <w:r>
        <w:t>.</w:t>
      </w:r>
      <w:bookmarkEnd w:id="4"/>
    </w:p>
    <w:p w:rsidR="000A40B5" w:rsidRDefault="00613906" w:rsidP="007B4270">
      <w:pPr>
        <w:pStyle w:val="Textstyle"/>
      </w:pPr>
      <w:r>
        <w:tab/>
      </w:r>
      <w:r w:rsidR="0074775A" w:rsidRPr="005C1442">
        <w:t>Some of t</w:t>
      </w:r>
      <w:r w:rsidR="008362B6" w:rsidRPr="005C1442">
        <w:t xml:space="preserve">he parties </w:t>
      </w:r>
      <w:r w:rsidR="00835552">
        <w:t xml:space="preserve">in their initial briefs </w:t>
      </w:r>
      <w:r w:rsidR="008362B6" w:rsidRPr="005C1442">
        <w:t xml:space="preserve">dispute whether the Commission </w:t>
      </w:r>
      <w:r w:rsidR="005C1442" w:rsidRPr="005C1442">
        <w:t>can estab</w:t>
      </w:r>
      <w:r w:rsidR="004E60B9">
        <w:softHyphen/>
      </w:r>
      <w:r w:rsidR="005C1442" w:rsidRPr="005C1442">
        <w:t xml:space="preserve">lish a </w:t>
      </w:r>
      <w:r w:rsidR="00FE4AC3">
        <w:t>state compensation mechanism (“</w:t>
      </w:r>
      <w:r w:rsidR="005C1442" w:rsidRPr="005C1442">
        <w:t>SCM</w:t>
      </w:r>
      <w:r w:rsidR="00FE4AC3">
        <w:t>”)</w:t>
      </w:r>
      <w:r w:rsidR="005C1442" w:rsidRPr="005C1442">
        <w:t xml:space="preserve"> </w:t>
      </w:r>
      <w:r w:rsidR="0074775A" w:rsidRPr="005C1442">
        <w:t>pursuant to its tradi</w:t>
      </w:r>
      <w:r w:rsidR="005C1442" w:rsidRPr="005C1442">
        <w:t>ti</w:t>
      </w:r>
      <w:r w:rsidR="0074775A" w:rsidRPr="005C1442">
        <w:t xml:space="preserve">onal regulatory </w:t>
      </w:r>
      <w:r w:rsidR="005C1442" w:rsidRPr="005C1442">
        <w:t xml:space="preserve">authority under Chapters 4905 and 4909 of the </w:t>
      </w:r>
      <w:r w:rsidR="00131B3D">
        <w:t xml:space="preserve">Ohio </w:t>
      </w:r>
      <w:r w:rsidR="005C1442" w:rsidRPr="005C1442">
        <w:t>Revised Code.</w:t>
      </w:r>
      <w:r w:rsidR="005C1442">
        <w:t xml:space="preserve">  The Commission has already decided </w:t>
      </w:r>
      <w:r w:rsidR="00835552">
        <w:t>it can and these same parties have appealed th</w:t>
      </w:r>
      <w:r w:rsidR="00CD2BAB">
        <w:t>at</w:t>
      </w:r>
      <w:r w:rsidR="00835552">
        <w:t xml:space="preserve"> decision to the Ohio Supreme Court.</w:t>
      </w:r>
      <w:r w:rsidR="00835552">
        <w:rPr>
          <w:rStyle w:val="FootnoteReference"/>
        </w:rPr>
        <w:footnoteReference w:id="11"/>
      </w:r>
      <w:r w:rsidR="00835552">
        <w:t xml:space="preserve"> </w:t>
      </w:r>
      <w:r w:rsidR="00C73E0F">
        <w:t xml:space="preserve"> But that is not the issue here.  Duke may like the outcome of the AEP-Ohio litigation in Case No. 10-2929-EL-UNC better than the result it obtained through a negotiated settlement on the capacity issue, but that does not translate Duke’s preference to have what AEP-Ohio got into a legal right.  The issue here is whether Duke had a deal and is bound to provide its capacity service to CRES providers and its load at the FZCP for </w:t>
      </w:r>
      <w:r w:rsidR="008A41C9">
        <w:t xml:space="preserve">the duration of Duke’s FRR entity status and ESP?  </w:t>
      </w:r>
      <w:r w:rsidR="00D52367">
        <w:t>The answer is clearly yes.</w:t>
      </w:r>
      <w:r w:rsidR="00405476">
        <w:t xml:space="preserve">  In addition, Duke was compensated an additional $110 million a year for three years for an ESSC charge to provide stability and certainty regarding Duke’s capacity service as an FRR entity.</w:t>
      </w:r>
      <w:r w:rsidR="001D2103">
        <w:rPr>
          <w:rStyle w:val="FootnoteReference"/>
        </w:rPr>
        <w:footnoteReference w:id="12"/>
      </w:r>
      <w:r w:rsidR="005A01FC">
        <w:t xml:space="preserve">  The ESP Stipulation addresses Duke’s additional capacity compensation, as follow: </w:t>
      </w:r>
    </w:p>
    <w:p w:rsidR="005A01FC" w:rsidRPr="00472861" w:rsidRDefault="005A01FC" w:rsidP="004E60B9">
      <w:pPr>
        <w:pStyle w:val="Blockquote"/>
      </w:pPr>
      <w:r w:rsidRPr="00472861">
        <w:lastRenderedPageBreak/>
        <w:t>For the calendar years 2012, 2013, and 2014 of the ESP</w:t>
      </w:r>
      <w:r w:rsidR="00D510EC">
        <w:t>,</w:t>
      </w:r>
      <w:r w:rsidRPr="00472861">
        <w:t xml:space="preserve"> Duke Energy Ohio shall recover annually, via a non</w:t>
      </w:r>
      <w:r w:rsidR="00D510EC">
        <w:t>-</w:t>
      </w:r>
      <w:r w:rsidRPr="00472861">
        <w:t>bypassa</w:t>
      </w:r>
      <w:r w:rsidR="004E60B9">
        <w:softHyphen/>
      </w:r>
      <w:r w:rsidRPr="00472861">
        <w:t xml:space="preserve">ble generation charge called the Electric Service Stability Charge </w:t>
      </w:r>
      <w:r w:rsidR="00D510EC">
        <w:t xml:space="preserve">Rider </w:t>
      </w:r>
      <w:r w:rsidRPr="00472861">
        <w:t>(Rider ESSC), an amount intended to provide stability and certainty regarding Duke Energy Ohio’s provi</w:t>
      </w:r>
      <w:r w:rsidR="004E60B9">
        <w:softHyphen/>
      </w:r>
      <w:r w:rsidRPr="00472861">
        <w:t>sion of retail electric service as an FRR entity while continu</w:t>
      </w:r>
      <w:r w:rsidR="004E60B9">
        <w:softHyphen/>
      </w:r>
      <w:r w:rsidRPr="00472861">
        <w:t>ing to operate under an ESP.</w:t>
      </w:r>
      <w:r w:rsidR="00472861">
        <w:rPr>
          <w:rStyle w:val="FootnoteReference"/>
        </w:rPr>
        <w:footnoteReference w:id="13"/>
      </w:r>
    </w:p>
    <w:p w:rsidR="00613906" w:rsidRPr="005C1442" w:rsidRDefault="000A40B5" w:rsidP="004E60B9">
      <w:pPr>
        <w:pStyle w:val="Textstyle"/>
      </w:pPr>
      <w:r>
        <w:tab/>
        <w:t>Duke is asking the Commission to set aside the capacity pricing portion of the Stipu</w:t>
      </w:r>
      <w:r w:rsidR="004E60B9">
        <w:softHyphen/>
      </w:r>
      <w:r>
        <w:t xml:space="preserve">lation in Case No. 11-3549-EL-SSO, </w:t>
      </w:r>
      <w:r w:rsidRPr="004E60B9">
        <w:rPr>
          <w:i/>
        </w:rPr>
        <w:t>et al</w:t>
      </w:r>
      <w:r>
        <w:t xml:space="preserve">., in favor of a cost-based SCM capacity charge.  This directly undermines the agreement </w:t>
      </w:r>
      <w:r w:rsidR="00E30573">
        <w:t>Duke</w:t>
      </w:r>
      <w:r>
        <w:t xml:space="preserve"> and the rest of </w:t>
      </w:r>
      <w:r w:rsidR="00B32EB6">
        <w:t>the ESP parties</w:t>
      </w:r>
      <w:r>
        <w:t xml:space="preserve"> bargained for.</w:t>
      </w:r>
      <w:r w:rsidR="00E30573">
        <w:t xml:space="preserve">  The Commission adopted that Stipulation on November 22, 2011 and issued an Entry on Rehearing on January 18, 2012 affirming its decision.  Duke did not apply for rehearing until now, through this application.  Duke’s application defies regu</w:t>
      </w:r>
      <w:r w:rsidR="004E60B9">
        <w:softHyphen/>
      </w:r>
      <w:r w:rsidR="00E30573">
        <w:t xml:space="preserve">latory </w:t>
      </w:r>
      <w:r w:rsidR="00073EB2">
        <w:t xml:space="preserve">and legal </w:t>
      </w:r>
      <w:r w:rsidR="00E30573">
        <w:t xml:space="preserve">certainty </w:t>
      </w:r>
      <w:r w:rsidR="00797961">
        <w:t>because</w:t>
      </w:r>
      <w:r w:rsidR="00E30573">
        <w:t xml:space="preserve"> there </w:t>
      </w:r>
      <w:r w:rsidR="00797961">
        <w:t xml:space="preserve">exists already </w:t>
      </w:r>
      <w:r w:rsidR="00E30573">
        <w:t xml:space="preserve">a </w:t>
      </w:r>
      <w:r w:rsidR="00797961">
        <w:t xml:space="preserve">valid </w:t>
      </w:r>
      <w:r w:rsidR="00E30573">
        <w:t xml:space="preserve">final order </w:t>
      </w:r>
      <w:r w:rsidR="00797961">
        <w:t>by the Commis</w:t>
      </w:r>
      <w:r w:rsidR="004E60B9">
        <w:softHyphen/>
      </w:r>
      <w:r w:rsidR="00797961">
        <w:t>sion that a</w:t>
      </w:r>
      <w:r w:rsidR="00E30573">
        <w:t>ddress</w:t>
      </w:r>
      <w:r w:rsidR="00797961">
        <w:t>ed</w:t>
      </w:r>
      <w:r w:rsidR="00E30573">
        <w:t xml:space="preserve"> </w:t>
      </w:r>
      <w:r w:rsidR="00797961">
        <w:t>Duke’s capacity</w:t>
      </w:r>
      <w:r w:rsidR="00E30573">
        <w:t xml:space="preserve"> issue</w:t>
      </w:r>
      <w:r w:rsidR="00B32EB6">
        <w:t xml:space="preserve"> and compensation</w:t>
      </w:r>
      <w:r w:rsidR="00797961">
        <w:t xml:space="preserve">.  </w:t>
      </w:r>
      <w:r w:rsidR="00E30573">
        <w:t xml:space="preserve">It’s too late </w:t>
      </w:r>
      <w:r w:rsidR="0019735D">
        <w:t xml:space="preserve">for Duke to get a different capacity price </w:t>
      </w:r>
      <w:r w:rsidR="00A868A7">
        <w:t xml:space="preserve">now </w:t>
      </w:r>
      <w:r w:rsidR="00E30573">
        <w:t xml:space="preserve">and the Commission should deny </w:t>
      </w:r>
      <w:r w:rsidR="0019735D">
        <w:t>its</w:t>
      </w:r>
      <w:r w:rsidR="00E30573">
        <w:t xml:space="preserve"> application for this reason.  </w:t>
      </w:r>
      <w:r>
        <w:t xml:space="preserve">  </w:t>
      </w:r>
      <w:r w:rsidR="00D52367">
        <w:t xml:space="preserve">  </w:t>
      </w:r>
      <w:r w:rsidR="00C73E0F">
        <w:t xml:space="preserve">  </w:t>
      </w:r>
      <w:r w:rsidR="00835552">
        <w:t xml:space="preserve">  </w:t>
      </w:r>
      <w:r w:rsidR="005C1442">
        <w:t xml:space="preserve">  </w:t>
      </w:r>
      <w:r w:rsidR="005C1442" w:rsidRPr="005C1442">
        <w:t xml:space="preserve">  </w:t>
      </w:r>
      <w:r w:rsidR="0074775A" w:rsidRPr="005C1442">
        <w:t xml:space="preserve"> </w:t>
      </w:r>
      <w:r w:rsidR="008362B6" w:rsidRPr="005C1442">
        <w:t xml:space="preserve"> </w:t>
      </w:r>
    </w:p>
    <w:p w:rsidR="003A4BE6" w:rsidRPr="003A4BE6" w:rsidRDefault="00613906" w:rsidP="003A4BE6">
      <w:pPr>
        <w:pStyle w:val="Heading1"/>
        <w:ind w:left="0" w:firstLine="0"/>
      </w:pPr>
      <w:bookmarkStart w:id="5" w:name="_Toc362959413"/>
      <w:r>
        <w:t>IV</w:t>
      </w:r>
      <w:r w:rsidR="00AD654F" w:rsidRPr="007B1ABF">
        <w:t xml:space="preserve">. </w:t>
      </w:r>
      <w:r w:rsidR="00275FA9">
        <w:tab/>
      </w:r>
      <w:r w:rsidR="00AD654F" w:rsidRPr="007B1ABF">
        <w:t>C</w:t>
      </w:r>
      <w:r w:rsidR="003A4BE6">
        <w:t>onclusion</w:t>
      </w:r>
      <w:bookmarkEnd w:id="5"/>
    </w:p>
    <w:p w:rsidR="00CD6D41" w:rsidRDefault="00D64AEC" w:rsidP="00D64AEC">
      <w:pPr>
        <w:pStyle w:val="Textstyle"/>
      </w:pPr>
      <w:r>
        <w:tab/>
      </w:r>
      <w:r w:rsidR="00C75351">
        <w:t>Duke’s application ignore</w:t>
      </w:r>
      <w:r w:rsidR="00EA4886">
        <w:t>s prior</w:t>
      </w:r>
      <w:r w:rsidR="00EA4886" w:rsidRPr="007B1ABF">
        <w:t xml:space="preserve"> settlement</w:t>
      </w:r>
      <w:r w:rsidR="00EA4886">
        <w:t xml:space="preserve"> agreements,</w:t>
      </w:r>
      <w:r w:rsidR="00EE3034">
        <w:t xml:space="preserve"> defies</w:t>
      </w:r>
      <w:r w:rsidR="00EA4886" w:rsidRPr="007B1ABF">
        <w:t xml:space="preserve"> state pol</w:t>
      </w:r>
      <w:r w:rsidR="00EA4886">
        <w:t>icies sup</w:t>
      </w:r>
      <w:r w:rsidR="00275FA9">
        <w:softHyphen/>
      </w:r>
      <w:r w:rsidR="00EA4886">
        <w:t>porting settlements, and undermines</w:t>
      </w:r>
      <w:r w:rsidR="00EA4886" w:rsidRPr="007B1ABF">
        <w:t xml:space="preserve"> the finality </w:t>
      </w:r>
      <w:r w:rsidR="00F009C5">
        <w:t>of Commission</w:t>
      </w:r>
      <w:r w:rsidR="00EA4886">
        <w:t xml:space="preserve"> orders.  </w:t>
      </w:r>
      <w:r w:rsidR="006C27CC">
        <w:t>The</w:t>
      </w:r>
      <w:r w:rsidR="00EA4886">
        <w:t xml:space="preserve"> appli</w:t>
      </w:r>
      <w:r w:rsidR="00275FA9">
        <w:softHyphen/>
      </w:r>
      <w:r w:rsidR="00EA4886">
        <w:t>cation, if approved,</w:t>
      </w:r>
      <w:r w:rsidR="00E07D19" w:rsidRPr="007B1ABF">
        <w:t xml:space="preserve"> will</w:t>
      </w:r>
      <w:r w:rsidR="00EA4886">
        <w:t xml:space="preserve"> unreasonably</w:t>
      </w:r>
      <w:r w:rsidR="005048BE">
        <w:t xml:space="preserve"> cost Ohio customers $729</w:t>
      </w:r>
      <w:r w:rsidR="00E07D19" w:rsidRPr="007B1ABF">
        <w:t xml:space="preserve"> </w:t>
      </w:r>
      <w:r w:rsidR="00AD654F" w:rsidRPr="007B1ABF">
        <w:t>million dollars</w:t>
      </w:r>
      <w:r w:rsidR="00EA4886">
        <w:t xml:space="preserve"> when parties had</w:t>
      </w:r>
      <w:r w:rsidR="00AD654F" w:rsidRPr="007B1ABF">
        <w:t xml:space="preserve"> negotiated a lower amount be paid for</w:t>
      </w:r>
      <w:r w:rsidR="00E07D19" w:rsidRPr="007B1ABF">
        <w:t xml:space="preserve"> the </w:t>
      </w:r>
      <w:r w:rsidR="00AD654F" w:rsidRPr="007B1ABF">
        <w:t xml:space="preserve">same capacity that is the subject of Duke’s </w:t>
      </w:r>
      <w:r w:rsidR="00AD654F" w:rsidRPr="007B1ABF">
        <w:lastRenderedPageBreak/>
        <w:t>Applicatio</w:t>
      </w:r>
      <w:r w:rsidR="00E07D19" w:rsidRPr="007B1ABF">
        <w:t>n</w:t>
      </w:r>
      <w:r w:rsidR="00275FA9" w:rsidRPr="007B1ABF">
        <w:t xml:space="preserve">.  </w:t>
      </w:r>
      <w:r w:rsidR="00E07D19" w:rsidRPr="007B1ABF">
        <w:t xml:space="preserve">The Commission should reject </w:t>
      </w:r>
      <w:r w:rsidR="00AD654F" w:rsidRPr="007B1ABF">
        <w:t>Duke’s Application and preserve the in</w:t>
      </w:r>
      <w:r w:rsidR="00E07D19" w:rsidRPr="007B1ABF">
        <w:t>teg</w:t>
      </w:r>
      <w:r w:rsidR="00E61F5E">
        <w:softHyphen/>
      </w:r>
      <w:r w:rsidR="00E07D19" w:rsidRPr="007B1ABF">
        <w:t>rity of the</w:t>
      </w:r>
      <w:r w:rsidR="00EA4886">
        <w:t xml:space="preserve"> ESP</w:t>
      </w:r>
      <w:r w:rsidR="00E07D19" w:rsidRPr="007B1ABF">
        <w:t xml:space="preserve"> Stipulation</w:t>
      </w:r>
      <w:r w:rsidR="00AD654F" w:rsidRPr="007B1ABF">
        <w:t>.</w:t>
      </w:r>
    </w:p>
    <w:p w:rsidR="00933CA6" w:rsidRPr="007B1ABF" w:rsidRDefault="00933CA6" w:rsidP="00C36830">
      <w:pPr>
        <w:autoSpaceDE w:val="0"/>
        <w:autoSpaceDN w:val="0"/>
        <w:adjustRightInd w:val="0"/>
        <w:spacing w:after="0" w:line="480" w:lineRule="auto"/>
        <w:ind w:left="3600" w:firstLine="720"/>
        <w:rPr>
          <w:rFonts w:ascii="Times New Roman" w:hAnsi="Times New Roman" w:cs="Times New Roman"/>
          <w:sz w:val="26"/>
          <w:szCs w:val="26"/>
        </w:rPr>
      </w:pPr>
      <w:r w:rsidRPr="007B1ABF">
        <w:rPr>
          <w:rFonts w:ascii="Times New Roman" w:hAnsi="Times New Roman" w:cs="Times New Roman"/>
          <w:sz w:val="26"/>
          <w:szCs w:val="26"/>
        </w:rPr>
        <w:t>Respectfully Submitted,</w:t>
      </w:r>
    </w:p>
    <w:p w:rsidR="00933CA6" w:rsidRPr="007B1ABF" w:rsidRDefault="00933CA6" w:rsidP="00933CA6">
      <w:pPr>
        <w:spacing w:after="0" w:line="240" w:lineRule="auto"/>
        <w:ind w:left="4320"/>
        <w:rPr>
          <w:rFonts w:ascii="Times New Roman" w:hAnsi="Times New Roman" w:cs="Times New Roman"/>
          <w:b/>
          <w:sz w:val="26"/>
          <w:szCs w:val="26"/>
        </w:rPr>
      </w:pPr>
      <w:r w:rsidRPr="007B1ABF">
        <w:rPr>
          <w:rFonts w:ascii="Times New Roman" w:hAnsi="Times New Roman" w:cs="Times New Roman"/>
          <w:b/>
          <w:sz w:val="26"/>
          <w:szCs w:val="26"/>
        </w:rPr>
        <w:t xml:space="preserve">Michael DeWine </w:t>
      </w: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Ohio Attorney General</w:t>
      </w:r>
    </w:p>
    <w:p w:rsidR="00933CA6" w:rsidRPr="007B1ABF" w:rsidRDefault="00933CA6" w:rsidP="00933CA6">
      <w:pPr>
        <w:spacing w:after="0" w:line="240" w:lineRule="auto"/>
        <w:ind w:left="4320"/>
        <w:rPr>
          <w:rFonts w:ascii="Times New Roman" w:hAnsi="Times New Roman" w:cs="Times New Roman"/>
          <w:sz w:val="26"/>
          <w:szCs w:val="26"/>
        </w:rPr>
      </w:pP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b/>
          <w:sz w:val="26"/>
          <w:szCs w:val="26"/>
        </w:rPr>
        <w:t>William L. Wright</w:t>
      </w:r>
    </w:p>
    <w:p w:rsidR="00551DEF" w:rsidRDefault="00933CA6" w:rsidP="00C36830">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Section Chief</w:t>
      </w:r>
    </w:p>
    <w:p w:rsidR="00C36830" w:rsidRPr="00551DEF" w:rsidRDefault="00C36830" w:rsidP="00C36830">
      <w:pPr>
        <w:spacing w:after="0" w:line="240" w:lineRule="auto"/>
        <w:ind w:left="4320"/>
        <w:rPr>
          <w:rFonts w:ascii="Times New Roman" w:hAnsi="Times New Roman" w:cs="Times New Roman"/>
          <w:sz w:val="26"/>
          <w:szCs w:val="26"/>
        </w:rPr>
      </w:pPr>
    </w:p>
    <w:p w:rsidR="00933CA6" w:rsidRPr="007B1ABF" w:rsidRDefault="00933CA6" w:rsidP="00933CA6">
      <w:pPr>
        <w:tabs>
          <w:tab w:val="left" w:pos="9360"/>
        </w:tabs>
        <w:spacing w:after="0" w:line="240" w:lineRule="auto"/>
        <w:ind w:left="4320"/>
        <w:rPr>
          <w:rFonts w:ascii="Times New Roman" w:hAnsi="Times New Roman" w:cs="Times New Roman"/>
          <w:sz w:val="26"/>
          <w:szCs w:val="26"/>
          <w:u w:val="single"/>
        </w:rPr>
      </w:pPr>
      <w:r w:rsidRPr="007B1ABF">
        <w:rPr>
          <w:rFonts w:ascii="Times New Roman" w:hAnsi="Times New Roman" w:cs="Times New Roman"/>
          <w:sz w:val="26"/>
          <w:szCs w:val="26"/>
          <w:u w:val="single"/>
        </w:rPr>
        <w:t xml:space="preserve">/s/ </w:t>
      </w:r>
      <w:r w:rsidRPr="00131840">
        <w:rPr>
          <w:rFonts w:ascii="Viner Hand ITC" w:hAnsi="Viner Hand ITC" w:cs="Times New Roman"/>
          <w:sz w:val="32"/>
          <w:szCs w:val="32"/>
          <w:u w:val="single"/>
        </w:rPr>
        <w:t>Steven L. Beeler</w:t>
      </w:r>
      <w:r w:rsidRPr="007B1ABF">
        <w:rPr>
          <w:rFonts w:ascii="Times New Roman" w:hAnsi="Times New Roman" w:cs="Times New Roman"/>
          <w:sz w:val="26"/>
          <w:szCs w:val="26"/>
          <w:u w:val="single"/>
        </w:rPr>
        <w:tab/>
      </w:r>
    </w:p>
    <w:p w:rsidR="00933CA6" w:rsidRPr="007B1ABF" w:rsidRDefault="00933CA6" w:rsidP="00933CA6">
      <w:pPr>
        <w:spacing w:after="0" w:line="240" w:lineRule="auto"/>
        <w:ind w:left="4320"/>
        <w:rPr>
          <w:rFonts w:ascii="Times New Roman" w:hAnsi="Times New Roman" w:cs="Times New Roman"/>
          <w:b/>
          <w:sz w:val="26"/>
          <w:szCs w:val="26"/>
        </w:rPr>
      </w:pPr>
      <w:r w:rsidRPr="007B1ABF">
        <w:rPr>
          <w:rFonts w:ascii="Times New Roman" w:hAnsi="Times New Roman" w:cs="Times New Roman"/>
          <w:b/>
          <w:sz w:val="26"/>
          <w:szCs w:val="26"/>
        </w:rPr>
        <w:t>Steven L. Beeler</w:t>
      </w:r>
    </w:p>
    <w:p w:rsidR="000D7745" w:rsidRPr="007B1ABF" w:rsidRDefault="000D7745" w:rsidP="00933CA6">
      <w:pPr>
        <w:spacing w:after="0" w:line="240" w:lineRule="auto"/>
        <w:ind w:left="4320"/>
        <w:rPr>
          <w:rFonts w:ascii="Times New Roman" w:hAnsi="Times New Roman" w:cs="Times New Roman"/>
          <w:b/>
          <w:sz w:val="26"/>
          <w:szCs w:val="26"/>
        </w:rPr>
      </w:pPr>
      <w:r w:rsidRPr="007B1ABF">
        <w:rPr>
          <w:rFonts w:ascii="Times New Roman" w:hAnsi="Times New Roman" w:cs="Times New Roman"/>
          <w:b/>
          <w:sz w:val="26"/>
          <w:szCs w:val="26"/>
        </w:rPr>
        <w:t>John H. Jones</w:t>
      </w: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Assistant Attorney</w:t>
      </w:r>
      <w:r w:rsidR="000D7745" w:rsidRPr="007B1ABF">
        <w:rPr>
          <w:rFonts w:ascii="Times New Roman" w:hAnsi="Times New Roman" w:cs="Times New Roman"/>
          <w:sz w:val="26"/>
          <w:szCs w:val="26"/>
        </w:rPr>
        <w:t>s</w:t>
      </w:r>
      <w:r w:rsidRPr="007B1ABF">
        <w:rPr>
          <w:rFonts w:ascii="Times New Roman" w:hAnsi="Times New Roman" w:cs="Times New Roman"/>
          <w:sz w:val="26"/>
          <w:szCs w:val="26"/>
        </w:rPr>
        <w:t xml:space="preserve"> General</w:t>
      </w: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Public Utilities Section</w:t>
      </w: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180 East Broad Street, 6</w:t>
      </w:r>
      <w:r w:rsidRPr="007B1ABF">
        <w:rPr>
          <w:rFonts w:ascii="Times New Roman" w:hAnsi="Times New Roman" w:cs="Times New Roman"/>
          <w:sz w:val="26"/>
          <w:szCs w:val="26"/>
          <w:vertAlign w:val="superscript"/>
        </w:rPr>
        <w:t>th</w:t>
      </w:r>
      <w:r w:rsidRPr="007B1ABF">
        <w:rPr>
          <w:rFonts w:ascii="Times New Roman" w:hAnsi="Times New Roman" w:cs="Times New Roman"/>
          <w:sz w:val="26"/>
          <w:szCs w:val="26"/>
        </w:rPr>
        <w:t xml:space="preserve"> Fl. </w:t>
      </w: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Columbus, OH  43215</w:t>
      </w:r>
    </w:p>
    <w:p w:rsidR="00933CA6" w:rsidRPr="007B1ABF" w:rsidRDefault="00933CA6" w:rsidP="00933CA6">
      <w:pPr>
        <w:spacing w:after="0" w:line="240" w:lineRule="auto"/>
        <w:ind w:left="4320"/>
        <w:rPr>
          <w:rFonts w:ascii="Times New Roman" w:hAnsi="Times New Roman" w:cs="Times New Roman"/>
          <w:sz w:val="26"/>
          <w:szCs w:val="26"/>
        </w:rPr>
      </w:pPr>
      <w:r w:rsidRPr="007B1ABF">
        <w:rPr>
          <w:rFonts w:ascii="Times New Roman" w:hAnsi="Times New Roman" w:cs="Times New Roman"/>
          <w:sz w:val="26"/>
          <w:szCs w:val="26"/>
        </w:rPr>
        <w:t>614.466.4395 (telephone)</w:t>
      </w:r>
    </w:p>
    <w:p w:rsidR="00933CA6" w:rsidRPr="007B1ABF" w:rsidRDefault="00567433" w:rsidP="00933CA6">
      <w:pPr>
        <w:spacing w:after="0" w:line="240" w:lineRule="auto"/>
        <w:ind w:left="4320"/>
        <w:jc w:val="both"/>
        <w:rPr>
          <w:rFonts w:ascii="Times New Roman" w:hAnsi="Times New Roman" w:cs="Times New Roman"/>
          <w:color w:val="0000FF"/>
          <w:sz w:val="26"/>
          <w:szCs w:val="26"/>
          <w:u w:val="single"/>
        </w:rPr>
      </w:pPr>
      <w:hyperlink r:id="rId16" w:history="1">
        <w:r w:rsidR="00933CA6" w:rsidRPr="007B1ABF">
          <w:rPr>
            <w:rFonts w:ascii="Times New Roman" w:hAnsi="Times New Roman" w:cs="Times New Roman"/>
            <w:color w:val="0000FF"/>
            <w:sz w:val="26"/>
            <w:szCs w:val="26"/>
            <w:u w:val="single"/>
          </w:rPr>
          <w:t>steven.beeler@puc.state.oh.us</w:t>
        </w:r>
      </w:hyperlink>
    </w:p>
    <w:p w:rsidR="00933CA6" w:rsidRPr="00CD6D41" w:rsidRDefault="000D7745" w:rsidP="00CD6D41">
      <w:pPr>
        <w:spacing w:after="0" w:line="240" w:lineRule="auto"/>
        <w:ind w:left="4320"/>
        <w:jc w:val="both"/>
        <w:rPr>
          <w:rFonts w:ascii="Times New Roman" w:hAnsi="Times New Roman" w:cs="Times New Roman"/>
          <w:sz w:val="26"/>
          <w:szCs w:val="26"/>
        </w:rPr>
      </w:pPr>
      <w:r w:rsidRPr="007B1ABF">
        <w:rPr>
          <w:rFonts w:ascii="Times New Roman" w:hAnsi="Times New Roman" w:cs="Times New Roman"/>
          <w:color w:val="0000FF"/>
          <w:sz w:val="26"/>
          <w:szCs w:val="26"/>
          <w:u w:val="single"/>
        </w:rPr>
        <w:t>john.jones@puc.state.oh.us</w:t>
      </w:r>
      <w:r w:rsidR="00933CA6" w:rsidRPr="007B1ABF">
        <w:rPr>
          <w:rFonts w:ascii="Times New Roman" w:hAnsi="Times New Roman" w:cs="Times New Roman"/>
          <w:b/>
          <w:sz w:val="26"/>
          <w:szCs w:val="26"/>
        </w:rPr>
        <w:br w:type="page"/>
      </w:r>
    </w:p>
    <w:p w:rsidR="00933CA6" w:rsidRPr="00933CA6" w:rsidRDefault="00933CA6" w:rsidP="00275FA9">
      <w:pPr>
        <w:pStyle w:val="Heading1"/>
        <w:jc w:val="center"/>
      </w:pPr>
      <w:bookmarkStart w:id="6" w:name="_Toc317248255"/>
      <w:bookmarkStart w:id="7" w:name="_Toc339013424"/>
      <w:bookmarkStart w:id="8" w:name="_Toc362959414"/>
      <w:r w:rsidRPr="00933CA6">
        <w:lastRenderedPageBreak/>
        <w:t>CERTIFICATE OF SERVICE</w:t>
      </w:r>
      <w:bookmarkEnd w:id="6"/>
      <w:bookmarkEnd w:id="7"/>
      <w:bookmarkEnd w:id="8"/>
    </w:p>
    <w:p w:rsidR="00933CA6" w:rsidRPr="00933CA6" w:rsidRDefault="00933CA6" w:rsidP="00933CA6">
      <w:pPr>
        <w:spacing w:after="0" w:line="480" w:lineRule="auto"/>
        <w:rPr>
          <w:rFonts w:ascii="Times New Roman" w:hAnsi="Times New Roman" w:cs="Times New Roman"/>
          <w:sz w:val="26"/>
          <w:szCs w:val="26"/>
        </w:rPr>
      </w:pPr>
      <w:r w:rsidRPr="00933CA6">
        <w:rPr>
          <w:rFonts w:ascii="Times New Roman" w:hAnsi="Times New Roman" w:cs="Times New Roman"/>
          <w:sz w:val="26"/>
          <w:szCs w:val="26"/>
        </w:rPr>
        <w:tab/>
        <w:t xml:space="preserve">I hereby certify that a true copy of the foregoing </w:t>
      </w:r>
      <w:r w:rsidR="00B94135">
        <w:rPr>
          <w:rFonts w:ascii="Times New Roman" w:hAnsi="Times New Roman" w:cs="Times New Roman"/>
          <w:b/>
          <w:sz w:val="26"/>
          <w:szCs w:val="26"/>
        </w:rPr>
        <w:t>Reply</w:t>
      </w:r>
      <w:r w:rsidR="00734642">
        <w:rPr>
          <w:rFonts w:ascii="Times New Roman" w:hAnsi="Times New Roman" w:cs="Times New Roman"/>
          <w:b/>
          <w:sz w:val="26"/>
          <w:szCs w:val="26"/>
        </w:rPr>
        <w:t xml:space="preserve"> Brief</w:t>
      </w:r>
      <w:r w:rsidRPr="00933CA6">
        <w:rPr>
          <w:rFonts w:ascii="Times New Roman" w:hAnsi="Times New Roman" w:cs="Times New Roman"/>
          <w:b/>
          <w:sz w:val="26"/>
          <w:szCs w:val="26"/>
        </w:rPr>
        <w:t xml:space="preserve"> </w:t>
      </w:r>
      <w:r w:rsidRPr="00933CA6">
        <w:rPr>
          <w:rFonts w:ascii="Times New Roman" w:hAnsi="Times New Roman" w:cs="Times New Roman"/>
          <w:sz w:val="26"/>
          <w:szCs w:val="26"/>
        </w:rPr>
        <w:t>submitted on behalf of the Staff of the Public Utilities Commission of Ohio was served by elec</w:t>
      </w:r>
      <w:r w:rsidRPr="00933CA6">
        <w:rPr>
          <w:rFonts w:ascii="Times New Roman" w:hAnsi="Times New Roman" w:cs="Times New Roman"/>
          <w:sz w:val="26"/>
          <w:szCs w:val="26"/>
        </w:rPr>
        <w:softHyphen/>
        <w:t>tronic mail upon the foll</w:t>
      </w:r>
      <w:r w:rsidR="000D7745">
        <w:rPr>
          <w:rFonts w:ascii="Times New Roman" w:hAnsi="Times New Roman" w:cs="Times New Roman"/>
          <w:sz w:val="26"/>
          <w:szCs w:val="26"/>
        </w:rPr>
        <w:t xml:space="preserve">owing parties of record, this </w:t>
      </w:r>
      <w:r w:rsidR="00B94135">
        <w:rPr>
          <w:rFonts w:ascii="Times New Roman" w:hAnsi="Times New Roman" w:cs="Times New Roman"/>
          <w:sz w:val="26"/>
          <w:szCs w:val="26"/>
        </w:rPr>
        <w:t>30</w:t>
      </w:r>
      <w:r w:rsidR="004E60B9" w:rsidRPr="004E60B9">
        <w:rPr>
          <w:rFonts w:ascii="Times New Roman" w:hAnsi="Times New Roman" w:cs="Times New Roman"/>
          <w:sz w:val="26"/>
          <w:szCs w:val="26"/>
          <w:vertAlign w:val="superscript"/>
        </w:rPr>
        <w:t>th</w:t>
      </w:r>
      <w:r w:rsidR="004E60B9">
        <w:rPr>
          <w:rFonts w:ascii="Times New Roman" w:hAnsi="Times New Roman" w:cs="Times New Roman"/>
          <w:sz w:val="26"/>
          <w:szCs w:val="26"/>
        </w:rPr>
        <w:t xml:space="preserve"> </w:t>
      </w:r>
      <w:r w:rsidR="00B94135">
        <w:rPr>
          <w:rFonts w:ascii="Times New Roman" w:hAnsi="Times New Roman" w:cs="Times New Roman"/>
          <w:sz w:val="26"/>
          <w:szCs w:val="26"/>
        </w:rPr>
        <w:t>day of July</w:t>
      </w:r>
      <w:r w:rsidR="000D7745">
        <w:rPr>
          <w:rFonts w:ascii="Times New Roman" w:hAnsi="Times New Roman" w:cs="Times New Roman"/>
          <w:sz w:val="26"/>
          <w:szCs w:val="26"/>
        </w:rPr>
        <w:t>, 2013</w:t>
      </w:r>
      <w:r w:rsidRPr="00933CA6">
        <w:rPr>
          <w:rFonts w:ascii="Times New Roman" w:hAnsi="Times New Roman" w:cs="Times New Roman"/>
          <w:sz w:val="26"/>
          <w:szCs w:val="26"/>
        </w:rPr>
        <w:t>.</w:t>
      </w:r>
    </w:p>
    <w:p w:rsidR="00933CA6" w:rsidRPr="00933CA6" w:rsidRDefault="00933CA6" w:rsidP="00933CA6">
      <w:pPr>
        <w:tabs>
          <w:tab w:val="left" w:pos="9360"/>
        </w:tabs>
        <w:spacing w:after="0" w:line="240" w:lineRule="auto"/>
        <w:ind w:left="4320"/>
        <w:rPr>
          <w:rFonts w:ascii="Viner Hand ITC" w:hAnsi="Viner Hand ITC" w:cs="Arial"/>
          <w:sz w:val="32"/>
          <w:szCs w:val="32"/>
          <w:u w:val="single"/>
        </w:rPr>
      </w:pPr>
      <w:r w:rsidRPr="00933CA6">
        <w:rPr>
          <w:rFonts w:ascii="Viner Hand ITC" w:hAnsi="Viner Hand ITC" w:cs="Arial"/>
          <w:sz w:val="32"/>
          <w:szCs w:val="32"/>
          <w:u w:val="single"/>
        </w:rPr>
        <w:t>/s/ Steven L. Beeler</w:t>
      </w:r>
      <w:r w:rsidRPr="00933CA6">
        <w:rPr>
          <w:rFonts w:ascii="Viner Hand ITC" w:hAnsi="Viner Hand ITC" w:cs="Arial"/>
          <w:sz w:val="32"/>
          <w:szCs w:val="32"/>
          <w:u w:val="single"/>
        </w:rPr>
        <w:tab/>
      </w:r>
    </w:p>
    <w:p w:rsidR="00933CA6" w:rsidRPr="00933CA6" w:rsidRDefault="00933CA6" w:rsidP="00933CA6">
      <w:pPr>
        <w:spacing w:after="0" w:line="240" w:lineRule="auto"/>
        <w:ind w:left="4320"/>
        <w:rPr>
          <w:rFonts w:ascii="Times New Roman" w:hAnsi="Times New Roman"/>
          <w:b/>
          <w:sz w:val="26"/>
          <w:szCs w:val="26"/>
        </w:rPr>
      </w:pPr>
      <w:r w:rsidRPr="00933CA6">
        <w:rPr>
          <w:rFonts w:ascii="Times New Roman" w:hAnsi="Times New Roman"/>
          <w:b/>
          <w:sz w:val="26"/>
          <w:szCs w:val="26"/>
        </w:rPr>
        <w:t>Steven L. Beeler</w:t>
      </w:r>
    </w:p>
    <w:p w:rsidR="00933CA6" w:rsidRPr="00933CA6" w:rsidRDefault="00933CA6" w:rsidP="00933CA6">
      <w:pPr>
        <w:spacing w:after="0" w:line="240" w:lineRule="auto"/>
        <w:ind w:left="4320"/>
        <w:jc w:val="both"/>
        <w:rPr>
          <w:rFonts w:ascii="Times New Roman" w:hAnsi="Times New Roman" w:cs="Times New Roman"/>
          <w:sz w:val="26"/>
          <w:szCs w:val="26"/>
        </w:rPr>
      </w:pPr>
      <w:r w:rsidRPr="00933CA6">
        <w:rPr>
          <w:rFonts w:ascii="Times New Roman" w:hAnsi="Times New Roman" w:cs="Times New Roman"/>
          <w:sz w:val="26"/>
          <w:szCs w:val="26"/>
        </w:rPr>
        <w:t>Assistant Attorney General</w:t>
      </w:r>
    </w:p>
    <w:p w:rsidR="00C30CF1" w:rsidRDefault="00C30CF1" w:rsidP="00933CA6">
      <w:pPr>
        <w:spacing w:after="0" w:line="240" w:lineRule="auto"/>
        <w:jc w:val="both"/>
        <w:rPr>
          <w:rFonts w:ascii="Times New Roman" w:hAnsi="Times New Roman" w:cs="Times New Roman"/>
          <w:b/>
          <w:sz w:val="26"/>
          <w:szCs w:val="26"/>
        </w:rPr>
      </w:pPr>
    </w:p>
    <w:p w:rsidR="00933CA6" w:rsidRPr="00933CA6" w:rsidRDefault="00933CA6" w:rsidP="00933CA6">
      <w:pPr>
        <w:spacing w:after="0" w:line="240" w:lineRule="auto"/>
        <w:jc w:val="both"/>
        <w:rPr>
          <w:rFonts w:ascii="Times New Roman" w:hAnsi="Times New Roman" w:cs="Times New Roman"/>
          <w:b/>
          <w:sz w:val="26"/>
          <w:szCs w:val="26"/>
        </w:rPr>
      </w:pPr>
      <w:r w:rsidRPr="00933CA6">
        <w:rPr>
          <w:rFonts w:ascii="Times New Roman" w:hAnsi="Times New Roman" w:cs="Times New Roman"/>
          <w:b/>
          <w:sz w:val="26"/>
          <w:szCs w:val="26"/>
        </w:rPr>
        <w:t>PARTIES OF RECORD:</w:t>
      </w:r>
    </w:p>
    <w:p w:rsidR="00933CA6" w:rsidRPr="00445E0D" w:rsidRDefault="00933CA6" w:rsidP="00933CA6">
      <w:pPr>
        <w:spacing w:after="0" w:line="240" w:lineRule="auto"/>
        <w:jc w:val="both"/>
        <w:rPr>
          <w:rFonts w:ascii="Times New Roman" w:hAnsi="Times New Roman" w:cs="Times New Roman"/>
          <w:b/>
          <w:sz w:val="26"/>
          <w:szCs w:val="26"/>
        </w:rPr>
      </w:pPr>
    </w:p>
    <w:p w:rsidR="000D7745" w:rsidRPr="00445E0D" w:rsidRDefault="000D7745" w:rsidP="000D7745">
      <w:pPr>
        <w:autoSpaceDE w:val="0"/>
        <w:autoSpaceDN w:val="0"/>
        <w:adjustRightInd w:val="0"/>
        <w:spacing w:after="0" w:line="240" w:lineRule="auto"/>
        <w:rPr>
          <w:rFonts w:ascii="Times New Roman" w:hAnsi="Times New Roman" w:cs="Times New Roman"/>
          <w:color w:val="0000FF"/>
          <w:sz w:val="26"/>
          <w:szCs w:val="26"/>
        </w:rPr>
        <w:sectPr w:rsidR="000D7745" w:rsidRPr="00445E0D" w:rsidSect="001E79B8">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pP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lastRenderedPageBreak/>
        <w:t>sam@mwncmh.com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fdarr@mwncmh.com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joliker@mwncmh.com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mpritchard@mwncmh.com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cmooney2@columbus.rr.com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dhart@douglasehart.com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haydenm@firstenergycorp.com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jlang@calfee.com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lmcbride@calfee.com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talexander@calfee.com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bojko@carpenterlipps.com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mohler@carpenterlipps.com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joseph.strines@DPLINC.com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judi.sobecki@DPLINC.com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randall.griffin@DPLINC.com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dakutik@jonesday.com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aehaedt@jonesday.com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jbentine@amppartners.org</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jouett.brenzel@cinbell.com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mjsatterwhite@aep.com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kosterkamp@ralaw.com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asonderman@keglerbrown.com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mkimbrough@keglerbrown.com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wmassey@cov.com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asonderman@keglerbrown.com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mkimbrough@keglerbrown.com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Amy.spiller@duke-energy.com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Jeanne.kingery@duke-energy.com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lastRenderedPageBreak/>
        <w:t>Elizabeth.watts@duke-energy.com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Rocco.DAscenzo@duke-energy.com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dboehm@BKLlawfirm.com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mkurtz@BKLlawfirm.com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jkylercohn@BKLlawfirm.com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tobrien@bricker.com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tsiwo@bricker.com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mwarnock@bricker.com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jejadwin@aep.com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yalami@aep.com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mhpetricoff@vorys.com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smhoward@vorys.com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stnourse@aep.com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Rdc_law@swbell.net</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dakutik@jonesday.com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lfloyd@jonesday.com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Gary.A.Jeffries@dom.com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aaragona@eimerstahl.com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dstahl@eimerstahl.com</w:t>
      </w:r>
    </w:p>
    <w:p w:rsidR="00AC5D36" w:rsidRPr="00AC5D36" w:rsidRDefault="00AC5D36" w:rsidP="00AC5D36">
      <w:pPr>
        <w:autoSpaceDE w:val="0"/>
        <w:autoSpaceDN w:val="0"/>
        <w:spacing w:line="240" w:lineRule="auto"/>
        <w:contextualSpacing/>
        <w:rPr>
          <w:rFonts w:ascii="Times New Roman" w:eastAsia="Times New Roman" w:hAnsi="Times New Roman" w:cs="Times New Roman"/>
          <w:color w:val="0000FF"/>
          <w:sz w:val="26"/>
          <w:szCs w:val="26"/>
        </w:rPr>
      </w:pPr>
      <w:r w:rsidRPr="00AC5D36">
        <w:rPr>
          <w:rFonts w:ascii="Times New Roman" w:eastAsia="Times New Roman" w:hAnsi="Times New Roman" w:cs="Times New Roman"/>
          <w:color w:val="0000FF"/>
          <w:sz w:val="26"/>
          <w:szCs w:val="26"/>
        </w:rPr>
        <w:t>ssolberg@eimerstahl.com</w:t>
      </w:r>
    </w:p>
    <w:p w:rsidR="00AC5D36" w:rsidRPr="00734642" w:rsidRDefault="00567433" w:rsidP="00AC5D36">
      <w:pPr>
        <w:autoSpaceDE w:val="0"/>
        <w:autoSpaceDN w:val="0"/>
        <w:spacing w:line="240" w:lineRule="auto"/>
        <w:contextualSpacing/>
        <w:rPr>
          <w:rFonts w:ascii="Times New Roman" w:eastAsia="Times New Roman" w:hAnsi="Times New Roman" w:cs="Times New Roman"/>
          <w:color w:val="0000FF"/>
          <w:sz w:val="26"/>
          <w:szCs w:val="26"/>
        </w:rPr>
      </w:pPr>
      <w:hyperlink r:id="rId21" w:history="1">
        <w:r w:rsidR="00AC5D36" w:rsidRPr="00734642">
          <w:rPr>
            <w:rStyle w:val="Hyperlink"/>
            <w:rFonts w:ascii="Times New Roman" w:eastAsia="Times New Roman" w:hAnsi="Times New Roman" w:cs="Times New Roman"/>
            <w:sz w:val="26"/>
            <w:szCs w:val="26"/>
            <w:u w:val="none"/>
          </w:rPr>
          <w:t>BarthRoyer@aol.com</w:t>
        </w:r>
      </w:hyperlink>
    </w:p>
    <w:p w:rsidR="000D7745" w:rsidRPr="00AC5D36" w:rsidRDefault="000D7745" w:rsidP="000D7745">
      <w:pPr>
        <w:autoSpaceDE w:val="0"/>
        <w:autoSpaceDN w:val="0"/>
        <w:adjustRightInd w:val="0"/>
        <w:spacing w:after="0" w:line="240" w:lineRule="auto"/>
        <w:rPr>
          <w:rFonts w:ascii="Times New Roman" w:hAnsi="Times New Roman" w:cs="Times New Roman"/>
          <w:color w:val="000000"/>
          <w:sz w:val="26"/>
          <w:szCs w:val="26"/>
        </w:rPr>
      </w:pPr>
    </w:p>
    <w:p w:rsidR="00AC5D36" w:rsidRPr="00AC5D36" w:rsidRDefault="002C336F" w:rsidP="00AC5D36">
      <w:pPr>
        <w:autoSpaceDE w:val="0"/>
        <w:autoSpaceDN w:val="0"/>
        <w:spacing w:line="240" w:lineRule="auto"/>
        <w:contextualSpacing/>
        <w:rPr>
          <w:rFonts w:ascii="Times New Roman" w:hAnsi="Times New Roman" w:cs="Times New Roman"/>
          <w:color w:val="0000FF"/>
          <w:sz w:val="26"/>
          <w:szCs w:val="26"/>
        </w:rPr>
      </w:pPr>
      <w:r>
        <w:rPr>
          <w:rFonts w:ascii="Times New Roman" w:hAnsi="Times New Roman" w:cs="Times New Roman"/>
          <w:color w:val="000000"/>
          <w:sz w:val="26"/>
          <w:szCs w:val="26"/>
        </w:rPr>
        <w:t>AE</w:t>
      </w:r>
      <w:r w:rsidR="000D7745" w:rsidRPr="00AC5D36">
        <w:rPr>
          <w:rFonts w:ascii="Times New Roman" w:hAnsi="Times New Roman" w:cs="Times New Roman"/>
          <w:color w:val="000000"/>
          <w:sz w:val="26"/>
          <w:szCs w:val="26"/>
        </w:rPr>
        <w:t xml:space="preserve">: </w:t>
      </w:r>
      <w:r w:rsidR="00AC5D36" w:rsidRPr="00AC5D36">
        <w:rPr>
          <w:rFonts w:ascii="Times New Roman" w:hAnsi="Times New Roman" w:cs="Times New Roman"/>
          <w:color w:val="0000FF"/>
          <w:sz w:val="26"/>
          <w:szCs w:val="26"/>
        </w:rPr>
        <w:t>Christine.pirik@puc.state.oh.us</w:t>
      </w:r>
    </w:p>
    <w:p w:rsidR="00933CA6" w:rsidRPr="00F35BF4" w:rsidRDefault="00933CA6" w:rsidP="00B639BD">
      <w:pPr>
        <w:autoSpaceDE w:val="0"/>
        <w:autoSpaceDN w:val="0"/>
        <w:adjustRightInd w:val="0"/>
        <w:spacing w:after="0" w:line="240" w:lineRule="auto"/>
        <w:rPr>
          <w:rFonts w:ascii="Times New Roman" w:hAnsi="Times New Roman" w:cs="Times New Roman"/>
          <w:sz w:val="26"/>
          <w:szCs w:val="26"/>
        </w:rPr>
      </w:pPr>
    </w:p>
    <w:sectPr w:rsidR="00933CA6" w:rsidRPr="00F35BF4" w:rsidSect="000D774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5F" w:rsidRDefault="00533B5F" w:rsidP="00933CA6">
      <w:pPr>
        <w:spacing w:after="0" w:line="240" w:lineRule="auto"/>
      </w:pPr>
      <w:r>
        <w:separator/>
      </w:r>
    </w:p>
  </w:endnote>
  <w:endnote w:type="continuationSeparator" w:id="0">
    <w:p w:rsidR="00533B5F" w:rsidRDefault="00533B5F" w:rsidP="0093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580093"/>
      <w:docPartObj>
        <w:docPartGallery w:val="Page Numbers (Bottom of Page)"/>
        <w:docPartUnique/>
      </w:docPartObj>
    </w:sdtPr>
    <w:sdtEndPr>
      <w:rPr>
        <w:noProof/>
      </w:rPr>
    </w:sdtEndPr>
    <w:sdtContent>
      <w:p w:rsidR="00E106B2" w:rsidRDefault="00E106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106B2" w:rsidRDefault="00E10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056011"/>
      <w:docPartObj>
        <w:docPartGallery w:val="Page Numbers (Bottom of Page)"/>
        <w:docPartUnique/>
      </w:docPartObj>
    </w:sdtPr>
    <w:sdtEndPr>
      <w:rPr>
        <w:noProof/>
      </w:rPr>
    </w:sdtEndPr>
    <w:sdtContent>
      <w:p w:rsidR="00E106B2" w:rsidRDefault="00E106B2" w:rsidP="00933CA6">
        <w:pPr>
          <w:pStyle w:val="Footer"/>
          <w:jc w:val="center"/>
        </w:pPr>
        <w:r>
          <w:fldChar w:fldCharType="begin"/>
        </w:r>
        <w:r>
          <w:instrText xml:space="preserve"> PAGE   \* MERGEFORMAT </w:instrText>
        </w:r>
        <w:r>
          <w:fldChar w:fldCharType="separate"/>
        </w:r>
        <w:r w:rsidR="001E79B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837683"/>
      <w:docPartObj>
        <w:docPartGallery w:val="Page Numbers (Bottom of Page)"/>
        <w:docPartUnique/>
      </w:docPartObj>
    </w:sdtPr>
    <w:sdtEndPr>
      <w:rPr>
        <w:noProof/>
      </w:rPr>
    </w:sdtEndPr>
    <w:sdtContent>
      <w:p w:rsidR="001E79B8" w:rsidRDefault="001E79B8" w:rsidP="001E79B8">
        <w:pPr>
          <w:pStyle w:val="Footer"/>
          <w:jc w:val="center"/>
        </w:pPr>
        <w:r>
          <w:fldChar w:fldCharType="begin"/>
        </w:r>
        <w:r>
          <w:instrText xml:space="preserve"> PAGE   \* MERGEFORMAT </w:instrText>
        </w:r>
        <w:r>
          <w:fldChar w:fldCharType="separate"/>
        </w:r>
        <w:r w:rsidR="00567433">
          <w:rPr>
            <w:noProof/>
          </w:rPr>
          <w:t>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86933"/>
      <w:docPartObj>
        <w:docPartGallery w:val="Page Numbers (Bottom of Page)"/>
        <w:docPartUnique/>
      </w:docPartObj>
    </w:sdtPr>
    <w:sdtEndPr>
      <w:rPr>
        <w:noProof/>
      </w:rPr>
    </w:sdtEndPr>
    <w:sdtContent>
      <w:p w:rsidR="001E79B8" w:rsidRDefault="001E79B8" w:rsidP="00933CA6">
        <w:pPr>
          <w:pStyle w:val="Footer"/>
          <w:jc w:val="center"/>
        </w:pPr>
        <w:r>
          <w:fldChar w:fldCharType="begin"/>
        </w:r>
        <w:r>
          <w:instrText xml:space="preserve"> PAGE   \* MERGEFORMAT </w:instrText>
        </w:r>
        <w:r>
          <w:fldChar w:fldCharType="separate"/>
        </w:r>
        <w:r w:rsidR="00567433">
          <w:rPr>
            <w:noProof/>
          </w:rPr>
          <w:t>8</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B8" w:rsidRPr="001E79B8" w:rsidRDefault="001E79B8" w:rsidP="001E7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5F" w:rsidRDefault="00533B5F" w:rsidP="00933CA6">
      <w:pPr>
        <w:spacing w:after="0" w:line="240" w:lineRule="auto"/>
      </w:pPr>
      <w:r>
        <w:separator/>
      </w:r>
    </w:p>
  </w:footnote>
  <w:footnote w:type="continuationSeparator" w:id="0">
    <w:p w:rsidR="00533B5F" w:rsidRDefault="00533B5F" w:rsidP="00933CA6">
      <w:pPr>
        <w:spacing w:after="0" w:line="240" w:lineRule="auto"/>
      </w:pPr>
      <w:r>
        <w:continuationSeparator/>
      </w:r>
    </w:p>
  </w:footnote>
  <w:footnote w:id="1">
    <w:p w:rsidR="0068373E" w:rsidRPr="0068373E" w:rsidRDefault="0068373E" w:rsidP="004E60B9">
      <w:pPr>
        <w:pStyle w:val="FootnoteText"/>
      </w:pPr>
      <w:r>
        <w:rPr>
          <w:rStyle w:val="FootnoteReference"/>
        </w:rPr>
        <w:footnoteRef/>
      </w:r>
      <w:r>
        <w:t xml:space="preserve"> </w:t>
      </w:r>
      <w:r>
        <w:tab/>
      </w:r>
      <w:r>
        <w:tab/>
        <w:t xml:space="preserve">OCC Ex. 3, </w:t>
      </w:r>
      <w:r w:rsidRPr="00734642">
        <w:t>In the Matter of the Commission Review of the Capacity Charges of Ohio Power Company and Columbus Southern Power Company</w:t>
      </w:r>
      <w:r>
        <w:t>, Case No. 10-2929-EL-UNC</w:t>
      </w:r>
      <w:r w:rsidR="007B4270">
        <w:t xml:space="preserve"> (“</w:t>
      </w:r>
      <w:r w:rsidR="007B4270" w:rsidRPr="007B4270">
        <w:t>AEP Capacity Proceeding</w:t>
      </w:r>
      <w:r w:rsidR="007B4270">
        <w:t>”)</w:t>
      </w:r>
      <w:r w:rsidRPr="00DF0E98">
        <w:t xml:space="preserve"> </w:t>
      </w:r>
      <w:r>
        <w:t>(</w:t>
      </w:r>
      <w:r w:rsidRPr="00DF0E98">
        <w:t>Entry</w:t>
      </w:r>
      <w:r>
        <w:t xml:space="preserve"> on Rehearing)</w:t>
      </w:r>
      <w:r w:rsidRPr="00DF0E98">
        <w:t xml:space="preserve"> (Dec. 8, 2010)</w:t>
      </w:r>
      <w:r>
        <w:t xml:space="preserve"> at 32</w:t>
      </w:r>
      <w:r w:rsidRPr="00DF0E98">
        <w:t>.</w:t>
      </w:r>
    </w:p>
  </w:footnote>
  <w:footnote w:id="2">
    <w:p w:rsidR="0068373E" w:rsidRPr="007B4270" w:rsidRDefault="0068373E" w:rsidP="004E60B9">
      <w:pPr>
        <w:pStyle w:val="FootnoteText"/>
      </w:pPr>
      <w:r>
        <w:rPr>
          <w:rStyle w:val="FootnoteReference"/>
        </w:rPr>
        <w:footnoteRef/>
      </w:r>
      <w:r>
        <w:t xml:space="preserve"> </w:t>
      </w:r>
      <w:r>
        <w:tab/>
      </w:r>
      <w:r>
        <w:tab/>
      </w:r>
      <w:r w:rsidR="00FC07F0">
        <w:t>OCC Ex. 3,</w:t>
      </w:r>
      <w:r w:rsidR="00FC07F0" w:rsidRPr="00FC07F0">
        <w:rPr>
          <w:i/>
        </w:rPr>
        <w:t xml:space="preserve"> In the Matter of the Commission Review of the Capacity Charges of Ohio Power Company and Columbus Southern Power Company</w:t>
      </w:r>
      <w:r w:rsidR="00FC07F0">
        <w:t>, Case No. 10-2929-EL-UNC (“</w:t>
      </w:r>
      <w:r w:rsidR="00FC07F0" w:rsidRPr="00FC07F0">
        <w:rPr>
          <w:i/>
        </w:rPr>
        <w:t>AEP Capacity Proceeding</w:t>
      </w:r>
      <w:r w:rsidR="00FC07F0">
        <w:t>”)</w:t>
      </w:r>
      <w:r w:rsidR="00FC07F0" w:rsidRPr="00DF0E98">
        <w:t xml:space="preserve"> </w:t>
      </w:r>
      <w:r w:rsidR="00FC07F0">
        <w:t>(</w:t>
      </w:r>
      <w:r w:rsidR="00FC07F0" w:rsidRPr="00DF0E98">
        <w:t>Entry</w:t>
      </w:r>
      <w:r w:rsidR="00FC07F0">
        <w:t xml:space="preserve"> on Rehearing)</w:t>
      </w:r>
      <w:r w:rsidR="00FC07F0" w:rsidRPr="00DF0E98">
        <w:t xml:space="preserve"> (Dec. 8, 2010)</w:t>
      </w:r>
      <w:r w:rsidR="00FC07F0">
        <w:t xml:space="preserve"> at 32 </w:t>
      </w:r>
      <w:r w:rsidR="007B4270">
        <w:t>(emphasis added).</w:t>
      </w:r>
    </w:p>
  </w:footnote>
  <w:footnote w:id="3">
    <w:p w:rsidR="003A4BE6" w:rsidRPr="00FC07F0" w:rsidRDefault="003A4BE6" w:rsidP="003A4BE6">
      <w:pPr>
        <w:autoSpaceDE w:val="0"/>
        <w:autoSpaceDN w:val="0"/>
        <w:adjustRightInd w:val="0"/>
        <w:spacing w:after="0" w:line="240" w:lineRule="auto"/>
        <w:ind w:left="720" w:hanging="720"/>
        <w:rPr>
          <w:rFonts w:ascii="Times New Roman" w:hAnsi="Times New Roman" w:cs="Times New Roman"/>
          <w:sz w:val="24"/>
          <w:szCs w:val="24"/>
        </w:rPr>
      </w:pPr>
      <w:r w:rsidRPr="00472861">
        <w:rPr>
          <w:rStyle w:val="FootnoteReference"/>
          <w:rFonts w:ascii="Times New Roman" w:hAnsi="Times New Roman" w:cs="Times New Roman"/>
          <w:sz w:val="24"/>
          <w:szCs w:val="24"/>
        </w:rPr>
        <w:footnoteRef/>
      </w:r>
      <w:r w:rsidRPr="00472861">
        <w:rPr>
          <w:rFonts w:ascii="Times New Roman" w:hAnsi="Times New Roman" w:cs="Times New Roman"/>
          <w:sz w:val="24"/>
          <w:szCs w:val="24"/>
        </w:rPr>
        <w:t xml:space="preserve"> </w:t>
      </w:r>
      <w:r>
        <w:tab/>
      </w:r>
      <w:r w:rsidRPr="00FC07F0">
        <w:rPr>
          <w:sz w:val="24"/>
          <w:szCs w:val="24"/>
        </w:rPr>
        <w:tab/>
      </w:r>
      <w:r w:rsidRPr="00FC07F0">
        <w:rPr>
          <w:rFonts w:ascii="Times New Roman" w:hAnsi="Times New Roman" w:cs="Times New Roman"/>
          <w:i/>
          <w:sz w:val="24"/>
          <w:szCs w:val="24"/>
        </w:rPr>
        <w:t>In the Matter of the Application of Duke Energy Ohio for Authority to Establish a Standard Service Offer Pursuant to Section 4928.143, Revised Code, in the Form of an Electric Security Plan, Accounting Modifications and Tariffs for Generation Service</w:t>
      </w:r>
      <w:r w:rsidRPr="00FC07F0">
        <w:rPr>
          <w:rFonts w:ascii="Times New Roman" w:hAnsi="Times New Roman" w:cs="Times New Roman"/>
          <w:sz w:val="24"/>
          <w:szCs w:val="24"/>
        </w:rPr>
        <w:t xml:space="preserve">, Case Nos. 11-3549-EL-SSO, </w:t>
      </w:r>
      <w:r w:rsidRPr="00FC07F0">
        <w:rPr>
          <w:rFonts w:ascii="Times New Roman" w:hAnsi="Times New Roman" w:cs="Times New Roman"/>
          <w:i/>
          <w:sz w:val="24"/>
          <w:szCs w:val="24"/>
        </w:rPr>
        <w:t>et al.</w:t>
      </w:r>
      <w:r w:rsidRPr="00FC07F0">
        <w:rPr>
          <w:rFonts w:ascii="Times New Roman" w:hAnsi="Times New Roman" w:cs="Times New Roman"/>
          <w:sz w:val="24"/>
          <w:szCs w:val="24"/>
        </w:rPr>
        <w:t xml:space="preserve"> (“</w:t>
      </w:r>
      <w:r w:rsidRPr="00FC07F0">
        <w:rPr>
          <w:rFonts w:ascii="Times New Roman" w:hAnsi="Times New Roman" w:cs="Times New Roman"/>
          <w:i/>
          <w:sz w:val="24"/>
          <w:szCs w:val="24"/>
        </w:rPr>
        <w:t>Duke ESP Proceeding</w:t>
      </w:r>
      <w:r w:rsidRPr="00FC07F0">
        <w:rPr>
          <w:rFonts w:ascii="Times New Roman" w:hAnsi="Times New Roman" w:cs="Times New Roman"/>
          <w:sz w:val="24"/>
          <w:szCs w:val="24"/>
        </w:rPr>
        <w:t>”) (Duke Energy Ohio, Inc.’s Memorandum in Opposition to the Application for Rehearing of Columbus Southern Power</w:t>
      </w:r>
      <w:r w:rsidR="007B4270" w:rsidRPr="00FC07F0">
        <w:rPr>
          <w:rFonts w:ascii="Times New Roman" w:hAnsi="Times New Roman" w:cs="Times New Roman"/>
          <w:sz w:val="24"/>
          <w:szCs w:val="24"/>
        </w:rPr>
        <w:t xml:space="preserve"> Company and Ohio Power Company</w:t>
      </w:r>
      <w:r w:rsidRPr="00FC07F0">
        <w:rPr>
          <w:rFonts w:ascii="Times New Roman" w:hAnsi="Times New Roman" w:cs="Times New Roman"/>
          <w:sz w:val="24"/>
          <w:szCs w:val="24"/>
        </w:rPr>
        <w:t xml:space="preserve"> at 4</w:t>
      </w:r>
      <w:r w:rsidR="007B4270" w:rsidRPr="00FC07F0">
        <w:rPr>
          <w:rFonts w:ascii="Times New Roman" w:hAnsi="Times New Roman" w:cs="Times New Roman"/>
          <w:sz w:val="24"/>
          <w:szCs w:val="24"/>
        </w:rPr>
        <w:t>)</w:t>
      </w:r>
      <w:r w:rsidRPr="00FC07F0">
        <w:rPr>
          <w:rFonts w:ascii="Times New Roman" w:hAnsi="Times New Roman" w:cs="Times New Roman"/>
          <w:sz w:val="24"/>
          <w:szCs w:val="24"/>
        </w:rPr>
        <w:t xml:space="preserve"> (Dec. 23, 2011).</w:t>
      </w:r>
      <w:r w:rsidRPr="00FC07F0">
        <w:rPr>
          <w:sz w:val="24"/>
          <w:szCs w:val="24"/>
        </w:rPr>
        <w:t xml:space="preserve">  </w:t>
      </w:r>
    </w:p>
  </w:footnote>
  <w:footnote w:id="4">
    <w:p w:rsidR="002A5EBE" w:rsidRDefault="002A5EBE" w:rsidP="004E60B9">
      <w:pPr>
        <w:pStyle w:val="FootnoteText"/>
      </w:pPr>
      <w:r>
        <w:rPr>
          <w:rStyle w:val="FootnoteReference"/>
        </w:rPr>
        <w:footnoteRef/>
      </w:r>
      <w:r>
        <w:t xml:space="preserve"> </w:t>
      </w:r>
      <w:r>
        <w:tab/>
      </w:r>
      <w:r>
        <w:tab/>
        <w:t>Tr</w:t>
      </w:r>
      <w:proofErr w:type="gramStart"/>
      <w:r>
        <w:t>.</w:t>
      </w:r>
      <w:r w:rsidR="007B28C7">
        <w:t xml:space="preserve"> </w:t>
      </w:r>
      <w:proofErr w:type="gramEnd"/>
      <w:r w:rsidR="007B28C7">
        <w:t>I</w:t>
      </w:r>
      <w:r>
        <w:t xml:space="preserve"> at 229 (Trent Cross)</w:t>
      </w:r>
      <w:r w:rsidR="007B4270">
        <w:t>.</w:t>
      </w:r>
    </w:p>
  </w:footnote>
  <w:footnote w:id="5">
    <w:p w:rsidR="002A5EBE" w:rsidRDefault="002A5EBE" w:rsidP="004E60B9">
      <w:pPr>
        <w:pStyle w:val="FootnoteText"/>
      </w:pPr>
      <w:r>
        <w:rPr>
          <w:rStyle w:val="FootnoteReference"/>
        </w:rPr>
        <w:footnoteRef/>
      </w:r>
      <w:r>
        <w:t xml:space="preserve"> </w:t>
      </w:r>
      <w:r>
        <w:tab/>
      </w:r>
      <w:r>
        <w:tab/>
        <w:t>Tr. I at 349-350</w:t>
      </w:r>
      <w:r w:rsidR="007B4270">
        <w:t>.</w:t>
      </w:r>
    </w:p>
  </w:footnote>
  <w:footnote w:id="6">
    <w:p w:rsidR="007B28C7" w:rsidRPr="007B28C7" w:rsidRDefault="007B28C7" w:rsidP="004E60B9">
      <w:pPr>
        <w:pStyle w:val="FootnoteText"/>
      </w:pPr>
      <w:r>
        <w:rPr>
          <w:rStyle w:val="FootnoteReference"/>
        </w:rPr>
        <w:footnoteRef/>
      </w:r>
      <w:r>
        <w:t xml:space="preserve"> </w:t>
      </w:r>
      <w:r>
        <w:tab/>
      </w:r>
      <w:r>
        <w:tab/>
      </w:r>
      <w:r>
        <w:rPr>
          <w:i/>
        </w:rPr>
        <w:t xml:space="preserve">Id. </w:t>
      </w:r>
      <w:r>
        <w:t>at 995, 998, &amp; 1000 (Savoy Cross).</w:t>
      </w:r>
    </w:p>
  </w:footnote>
  <w:footnote w:id="7">
    <w:p w:rsidR="007B28C7" w:rsidRPr="007B28C7" w:rsidRDefault="007B28C7" w:rsidP="004E60B9">
      <w:pPr>
        <w:pStyle w:val="FootnoteText"/>
      </w:pPr>
      <w:r>
        <w:rPr>
          <w:rStyle w:val="FootnoteReference"/>
        </w:rPr>
        <w:footnoteRef/>
      </w:r>
      <w:r>
        <w:t xml:space="preserve"> </w:t>
      </w:r>
      <w:r>
        <w:tab/>
      </w:r>
      <w:r>
        <w:tab/>
      </w:r>
      <w:r>
        <w:rPr>
          <w:i/>
        </w:rPr>
        <w:t xml:space="preserve">Id. </w:t>
      </w:r>
      <w:r>
        <w:t>at 746 (DeMay Cross).</w:t>
      </w:r>
    </w:p>
  </w:footnote>
  <w:footnote w:id="8">
    <w:p w:rsidR="003A4BE6" w:rsidRDefault="003A4BE6" w:rsidP="004E60B9">
      <w:pPr>
        <w:pStyle w:val="FootnoteText"/>
      </w:pPr>
      <w:r>
        <w:rPr>
          <w:rStyle w:val="FootnoteReference"/>
        </w:rPr>
        <w:footnoteRef/>
      </w:r>
      <w:r w:rsidR="00927647">
        <w:t xml:space="preserve"> </w:t>
      </w:r>
      <w:r w:rsidR="00927647">
        <w:tab/>
      </w:r>
      <w:r w:rsidR="00927647">
        <w:tab/>
        <w:t>Duke Brief at 41-42</w:t>
      </w:r>
      <w:r>
        <w:t>.</w:t>
      </w:r>
    </w:p>
  </w:footnote>
  <w:footnote w:id="9">
    <w:p w:rsidR="000726B9" w:rsidRDefault="000726B9" w:rsidP="004E60B9">
      <w:pPr>
        <w:pStyle w:val="FootnoteText"/>
      </w:pPr>
      <w:r>
        <w:rPr>
          <w:rStyle w:val="FootnoteReference"/>
        </w:rPr>
        <w:footnoteRef/>
      </w:r>
      <w:r w:rsidR="00927647">
        <w:t xml:space="preserve"> </w:t>
      </w:r>
      <w:r w:rsidR="00927647">
        <w:tab/>
      </w:r>
      <w:r w:rsidR="00927647">
        <w:tab/>
      </w:r>
      <w:proofErr w:type="gramStart"/>
      <w:r w:rsidR="00FC07F0">
        <w:rPr>
          <w:i/>
        </w:rPr>
        <w:t>Id</w:t>
      </w:r>
      <w:r w:rsidR="00FC07F0">
        <w:t>.</w:t>
      </w:r>
      <w:r w:rsidR="00927647">
        <w:t xml:space="preserve"> at 41</w:t>
      </w:r>
      <w:r>
        <w:t>.</w:t>
      </w:r>
      <w:proofErr w:type="gramEnd"/>
    </w:p>
  </w:footnote>
  <w:footnote w:id="10">
    <w:p w:rsidR="008C4ADE" w:rsidRPr="007B4270" w:rsidRDefault="008C4ADE" w:rsidP="004E60B9">
      <w:pPr>
        <w:pStyle w:val="FootnoteText"/>
      </w:pPr>
      <w:r>
        <w:rPr>
          <w:rStyle w:val="FootnoteReference"/>
        </w:rPr>
        <w:footnoteRef/>
      </w:r>
      <w:r>
        <w:t xml:space="preserve"> </w:t>
      </w:r>
      <w:r>
        <w:tab/>
      </w:r>
      <w:r w:rsidRPr="007B4270">
        <w:tab/>
      </w:r>
      <w:r w:rsidR="00472861" w:rsidRPr="007B4270">
        <w:rPr>
          <w:i/>
        </w:rPr>
        <w:t>Scott v</w:t>
      </w:r>
      <w:r w:rsidRPr="007B4270">
        <w:rPr>
          <w:i/>
        </w:rPr>
        <w:t>. East Cleveland</w:t>
      </w:r>
      <w:r w:rsidRPr="007B4270">
        <w:t>, 16 Ohio App.3d 429,476 (Ct. App.)</w:t>
      </w:r>
      <w:r w:rsidR="007B4270" w:rsidRPr="007B4270">
        <w:t xml:space="preserve"> (1984)</w:t>
      </w:r>
      <w:r w:rsidRPr="007B4270">
        <w:t>.</w:t>
      </w:r>
    </w:p>
  </w:footnote>
  <w:footnote w:id="11">
    <w:p w:rsidR="00835552" w:rsidRDefault="00835552" w:rsidP="004E60B9">
      <w:pPr>
        <w:pStyle w:val="FootnoteText"/>
      </w:pPr>
      <w:r>
        <w:rPr>
          <w:rStyle w:val="FootnoteReference"/>
        </w:rPr>
        <w:footnoteRef/>
      </w:r>
      <w:r>
        <w:t xml:space="preserve"> </w:t>
      </w:r>
      <w:r>
        <w:tab/>
      </w:r>
      <w:r>
        <w:tab/>
      </w:r>
      <w:r w:rsidR="007B4270">
        <w:rPr>
          <w:i/>
        </w:rPr>
        <w:t>AEP Capacity Proceeding</w:t>
      </w:r>
      <w:r w:rsidR="00D52367">
        <w:t xml:space="preserve"> (</w:t>
      </w:r>
      <w:r w:rsidR="007B4270">
        <w:t>Opinion and Order) (</w:t>
      </w:r>
      <w:r w:rsidR="00D52367">
        <w:t>July 2, 2012</w:t>
      </w:r>
      <w:r w:rsidR="007B4270">
        <w:t>);</w:t>
      </w:r>
      <w:r w:rsidR="00D52367">
        <w:t xml:space="preserve"> </w:t>
      </w:r>
      <w:r w:rsidR="007B4270">
        <w:t>(Entry on Rehearing (</w:t>
      </w:r>
      <w:r w:rsidR="00D52367">
        <w:t>Oct</w:t>
      </w:r>
      <w:r w:rsidR="007B4270">
        <w:t>.</w:t>
      </w:r>
      <w:r w:rsidR="00D52367">
        <w:t xml:space="preserve"> 17, 2012</w:t>
      </w:r>
      <w:r w:rsidR="007B4270">
        <w:t>);</w:t>
      </w:r>
      <w:r w:rsidR="00D52367">
        <w:t xml:space="preserve"> </w:t>
      </w:r>
      <w:r w:rsidR="007B4270">
        <w:t>(</w:t>
      </w:r>
      <w:r w:rsidR="00D52367">
        <w:t>Entry on Rehearing</w:t>
      </w:r>
      <w:r w:rsidR="007B4270">
        <w:t>) (</w:t>
      </w:r>
      <w:r w:rsidR="00D52367">
        <w:t>Dec</w:t>
      </w:r>
      <w:r w:rsidR="007B4270">
        <w:t>.</w:t>
      </w:r>
      <w:r w:rsidR="00D52367">
        <w:t xml:space="preserve"> 12, 2012</w:t>
      </w:r>
      <w:r w:rsidR="007B4270">
        <w:t>);</w:t>
      </w:r>
      <w:r w:rsidR="00D52367">
        <w:t xml:space="preserve"> </w:t>
      </w:r>
      <w:r w:rsidR="007B4270">
        <w:t>(</w:t>
      </w:r>
      <w:r w:rsidR="00D52367">
        <w:t>Entry on Rehearing</w:t>
      </w:r>
      <w:r w:rsidR="007B4270">
        <w:t>) (</w:t>
      </w:r>
      <w:r w:rsidR="00D52367">
        <w:t>Jan</w:t>
      </w:r>
      <w:r w:rsidR="007B4270">
        <w:t>.</w:t>
      </w:r>
      <w:r w:rsidR="00D52367">
        <w:t xml:space="preserve"> 30, 2013</w:t>
      </w:r>
      <w:r w:rsidR="007B4270">
        <w:t>)</w:t>
      </w:r>
      <w:r w:rsidR="00D52367">
        <w:t xml:space="preserve"> </w:t>
      </w:r>
      <w:r w:rsidR="004E60B9">
        <w:t>(</w:t>
      </w:r>
      <w:r>
        <w:t>on appeal in the Ohio Supreme Court, Consolidated Case Nos. 2012-2098 and 3013-228</w:t>
      </w:r>
      <w:r w:rsidR="004E60B9">
        <w:t>)</w:t>
      </w:r>
      <w:r>
        <w:t xml:space="preserve">. </w:t>
      </w:r>
    </w:p>
  </w:footnote>
  <w:footnote w:id="12">
    <w:p w:rsidR="001D2103" w:rsidRDefault="001D2103" w:rsidP="004E60B9">
      <w:pPr>
        <w:pStyle w:val="FootnoteText"/>
      </w:pPr>
      <w:r>
        <w:rPr>
          <w:rStyle w:val="FootnoteReference"/>
        </w:rPr>
        <w:footnoteRef/>
      </w:r>
      <w:r>
        <w:t xml:space="preserve"> </w:t>
      </w:r>
      <w:r>
        <w:tab/>
      </w:r>
      <w:r>
        <w:tab/>
      </w:r>
      <w:r w:rsidR="006010DF">
        <w:t xml:space="preserve">FES Ex. 22, </w:t>
      </w:r>
      <w:r w:rsidR="006010DF" w:rsidRPr="00DF0E98">
        <w:rPr>
          <w:i/>
        </w:rPr>
        <w:t>Duke ESP Proceeding</w:t>
      </w:r>
      <w:r w:rsidR="006010DF" w:rsidRPr="00DF0E98">
        <w:t xml:space="preserve"> </w:t>
      </w:r>
      <w:r w:rsidR="006010DF">
        <w:t>(</w:t>
      </w:r>
      <w:r w:rsidR="006010DF" w:rsidRPr="00DF0E98">
        <w:t>Supplemental Testimony of</w:t>
      </w:r>
      <w:r w:rsidR="006010DF">
        <w:t xml:space="preserve"> Duke Witness Wathen at 18-19)</w:t>
      </w:r>
      <w:r w:rsidR="006010DF" w:rsidRPr="00DF0E98">
        <w:t xml:space="preserve"> (Oct. 28, 2011).</w:t>
      </w:r>
    </w:p>
  </w:footnote>
  <w:footnote w:id="13">
    <w:p w:rsidR="00472861" w:rsidRDefault="00472861" w:rsidP="004E60B9">
      <w:pPr>
        <w:pStyle w:val="FootnoteText"/>
      </w:pPr>
      <w:r>
        <w:rPr>
          <w:rStyle w:val="FootnoteReference"/>
        </w:rPr>
        <w:footnoteRef/>
      </w:r>
      <w:r>
        <w:t xml:space="preserve"> </w:t>
      </w:r>
      <w:r>
        <w:tab/>
      </w:r>
      <w:r>
        <w:tab/>
      </w:r>
      <w:proofErr w:type="gramStart"/>
      <w:r>
        <w:t xml:space="preserve">IEU Ex. 5, </w:t>
      </w:r>
      <w:r w:rsidR="004E60B9">
        <w:rPr>
          <w:i/>
        </w:rPr>
        <w:t>Duke ESP Proceeding</w:t>
      </w:r>
      <w:r>
        <w:rPr>
          <w:i/>
        </w:rPr>
        <w:t xml:space="preserve"> </w:t>
      </w:r>
      <w:r>
        <w:t>(</w:t>
      </w:r>
      <w:r w:rsidRPr="00DF0E98">
        <w:t>Stipula</w:t>
      </w:r>
      <w:r w:rsidRPr="00DF0E98">
        <w:softHyphen/>
        <w:t>tion and Recommendation</w:t>
      </w:r>
      <w:r>
        <w:t xml:space="preserve"> at </w:t>
      </w:r>
      <w:r w:rsidR="006010DF">
        <w:t>15-16</w:t>
      </w:r>
      <w:r>
        <w:t>)</w:t>
      </w:r>
      <w:r w:rsidRPr="00DF0E98">
        <w:t xml:space="preserve"> (Oct.</w:t>
      </w:r>
      <w:r>
        <w:t> </w:t>
      </w:r>
      <w:r w:rsidRPr="00DF0E98">
        <w:t>24, 2011)</w:t>
      </w:r>
      <w:r>
        <w:t xml:space="preserve"> (as amended)</w:t>
      </w:r>
      <w:r w:rsidRPr="00236570">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B2" w:rsidRPr="00EA7804" w:rsidRDefault="00E106B2" w:rsidP="00933CA6">
    <w:pPr>
      <w:pStyle w:val="Header"/>
      <w:jc w:val="center"/>
      <w:rPr>
        <w:rFonts w:ascii="Arial" w:hAnsi="Arial" w:cs="Arial"/>
        <w:b/>
        <w:color w:val="FF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B2" w:rsidRDefault="00E106B2" w:rsidP="00933CA6">
    <w:pPr>
      <w:pStyle w:val="Header"/>
      <w:jc w:val="right"/>
      <w:rPr>
        <w:b/>
        <w:sz w:val="28"/>
        <w:szCs w:val="28"/>
      </w:rPr>
    </w:pPr>
  </w:p>
  <w:p w:rsidR="00E106B2" w:rsidRPr="002B0FA8" w:rsidRDefault="00E106B2" w:rsidP="00933CA6">
    <w:pPr>
      <w:pStyle w:val="Header"/>
      <w:jc w:val="right"/>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B2" w:rsidRDefault="00E106B2" w:rsidP="00933CA6">
    <w:pPr>
      <w:pStyle w:val="Header"/>
      <w:jc w:val="center"/>
      <w:rPr>
        <w:b/>
        <w:sz w:val="28"/>
        <w:szCs w:val="28"/>
      </w:rPr>
    </w:pPr>
    <w:r>
      <w:rPr>
        <w:b/>
        <w:sz w:val="28"/>
        <w:szCs w:val="28"/>
      </w:rPr>
      <w:t>TABLE OF CONTENTS</w:t>
    </w:r>
  </w:p>
  <w:p w:rsidR="00E106B2" w:rsidRDefault="00E106B2" w:rsidP="00933CA6">
    <w:pPr>
      <w:pStyle w:val="Header"/>
      <w:jc w:val="right"/>
      <w:rPr>
        <w:b/>
        <w:sz w:val="28"/>
        <w:szCs w:val="28"/>
      </w:rPr>
    </w:pPr>
    <w:r>
      <w:rPr>
        <w:b/>
        <w:sz w:val="28"/>
        <w:szCs w:val="28"/>
      </w:rPr>
      <w:t>Page</w:t>
    </w:r>
  </w:p>
  <w:p w:rsidR="00E106B2" w:rsidRDefault="00E106B2" w:rsidP="00933CA6">
    <w:pPr>
      <w:pStyle w:val="Header"/>
      <w:jc w:val="right"/>
      <w:rPr>
        <w:b/>
        <w:sz w:val="28"/>
        <w:szCs w:val="28"/>
      </w:rPr>
    </w:pPr>
  </w:p>
  <w:p w:rsidR="00E106B2" w:rsidRPr="00326194" w:rsidRDefault="00E106B2" w:rsidP="00933C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B8" w:rsidRDefault="001E79B8" w:rsidP="00933CA6">
    <w:pPr>
      <w:pStyle w:val="Header"/>
      <w:jc w:val="right"/>
      <w:rPr>
        <w:b/>
        <w:sz w:val="28"/>
        <w:szCs w:val="28"/>
      </w:rPr>
    </w:pPr>
  </w:p>
  <w:p w:rsidR="001E79B8" w:rsidRPr="002B0FA8" w:rsidRDefault="001E79B8" w:rsidP="00933CA6">
    <w:pPr>
      <w:pStyle w:val="Header"/>
      <w:jc w:val="right"/>
      <w:rPr>
        <w:b/>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B8" w:rsidRPr="001E79B8" w:rsidRDefault="001E79B8" w:rsidP="001E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00DB4E"/>
    <w:lvl w:ilvl="0">
      <w:start w:val="1"/>
      <w:numFmt w:val="decimal"/>
      <w:lvlText w:val="%1."/>
      <w:lvlJc w:val="left"/>
      <w:pPr>
        <w:tabs>
          <w:tab w:val="num" w:pos="1800"/>
        </w:tabs>
        <w:ind w:left="1800" w:hanging="360"/>
      </w:pPr>
    </w:lvl>
  </w:abstractNum>
  <w:abstractNum w:abstractNumId="1">
    <w:nsid w:val="FFFFFF7D"/>
    <w:multiLevelType w:val="singleLevel"/>
    <w:tmpl w:val="CF465C3E"/>
    <w:lvl w:ilvl="0">
      <w:start w:val="1"/>
      <w:numFmt w:val="decimal"/>
      <w:lvlText w:val="%1."/>
      <w:lvlJc w:val="left"/>
      <w:pPr>
        <w:tabs>
          <w:tab w:val="num" w:pos="1440"/>
        </w:tabs>
        <w:ind w:left="1440" w:hanging="360"/>
      </w:pPr>
    </w:lvl>
  </w:abstractNum>
  <w:abstractNum w:abstractNumId="2">
    <w:nsid w:val="FFFFFF7E"/>
    <w:multiLevelType w:val="singleLevel"/>
    <w:tmpl w:val="FCDA0010"/>
    <w:lvl w:ilvl="0">
      <w:start w:val="1"/>
      <w:numFmt w:val="decimal"/>
      <w:lvlText w:val="%1."/>
      <w:lvlJc w:val="left"/>
      <w:pPr>
        <w:tabs>
          <w:tab w:val="num" w:pos="1080"/>
        </w:tabs>
        <w:ind w:left="1080" w:hanging="360"/>
      </w:pPr>
    </w:lvl>
  </w:abstractNum>
  <w:abstractNum w:abstractNumId="3">
    <w:nsid w:val="FFFFFF7F"/>
    <w:multiLevelType w:val="singleLevel"/>
    <w:tmpl w:val="1BE44D12"/>
    <w:lvl w:ilvl="0">
      <w:start w:val="1"/>
      <w:numFmt w:val="decimal"/>
      <w:lvlText w:val="%1."/>
      <w:lvlJc w:val="left"/>
      <w:pPr>
        <w:tabs>
          <w:tab w:val="num" w:pos="720"/>
        </w:tabs>
        <w:ind w:left="720" w:hanging="360"/>
      </w:pPr>
    </w:lvl>
  </w:abstractNum>
  <w:abstractNum w:abstractNumId="4">
    <w:nsid w:val="FFFFFF80"/>
    <w:multiLevelType w:val="singleLevel"/>
    <w:tmpl w:val="95E28E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A2A2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B431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000E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BA0F60"/>
    <w:lvl w:ilvl="0">
      <w:start w:val="1"/>
      <w:numFmt w:val="decimal"/>
      <w:lvlText w:val="%1."/>
      <w:lvlJc w:val="left"/>
      <w:pPr>
        <w:tabs>
          <w:tab w:val="num" w:pos="360"/>
        </w:tabs>
        <w:ind w:left="360" w:hanging="360"/>
      </w:pPr>
    </w:lvl>
  </w:abstractNum>
  <w:abstractNum w:abstractNumId="9">
    <w:nsid w:val="FFFFFF89"/>
    <w:multiLevelType w:val="singleLevel"/>
    <w:tmpl w:val="9294B988"/>
    <w:lvl w:ilvl="0">
      <w:start w:val="1"/>
      <w:numFmt w:val="bullet"/>
      <w:lvlText w:val=""/>
      <w:lvlJc w:val="left"/>
      <w:pPr>
        <w:tabs>
          <w:tab w:val="num" w:pos="360"/>
        </w:tabs>
        <w:ind w:left="360" w:hanging="360"/>
      </w:pPr>
      <w:rPr>
        <w:rFonts w:ascii="Symbol" w:hAnsi="Symbol" w:hint="default"/>
      </w:rPr>
    </w:lvl>
  </w:abstractNum>
  <w:abstractNum w:abstractNumId="10">
    <w:nsid w:val="08537B67"/>
    <w:multiLevelType w:val="hybridMultilevel"/>
    <w:tmpl w:val="6332E860"/>
    <w:lvl w:ilvl="0" w:tplc="769EF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AB029A8"/>
    <w:multiLevelType w:val="hybridMultilevel"/>
    <w:tmpl w:val="B19E996C"/>
    <w:lvl w:ilvl="0" w:tplc="F58CB4F2">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2D5771"/>
    <w:multiLevelType w:val="hybridMultilevel"/>
    <w:tmpl w:val="B7500F30"/>
    <w:lvl w:ilvl="0" w:tplc="0FE63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F8E4C16"/>
    <w:multiLevelType w:val="hybridMultilevel"/>
    <w:tmpl w:val="B1660AAA"/>
    <w:lvl w:ilvl="0" w:tplc="373EC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D360EE"/>
    <w:multiLevelType w:val="hybridMultilevel"/>
    <w:tmpl w:val="4F5049FE"/>
    <w:lvl w:ilvl="0" w:tplc="0E146F5C">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5A6E6B"/>
    <w:multiLevelType w:val="hybridMultilevel"/>
    <w:tmpl w:val="8990FF7C"/>
    <w:lvl w:ilvl="0" w:tplc="AE047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466B4"/>
    <w:multiLevelType w:val="hybridMultilevel"/>
    <w:tmpl w:val="AE187B48"/>
    <w:lvl w:ilvl="0" w:tplc="F050BDF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1E513F"/>
    <w:multiLevelType w:val="hybridMultilevel"/>
    <w:tmpl w:val="0CF676B8"/>
    <w:lvl w:ilvl="0" w:tplc="D61EC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7652D0"/>
    <w:multiLevelType w:val="hybridMultilevel"/>
    <w:tmpl w:val="88B05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0C2EB1"/>
    <w:multiLevelType w:val="hybridMultilevel"/>
    <w:tmpl w:val="9F4A526A"/>
    <w:lvl w:ilvl="0" w:tplc="40DA3E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E451397"/>
    <w:multiLevelType w:val="hybridMultilevel"/>
    <w:tmpl w:val="9D7650E4"/>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21">
    <w:nsid w:val="7D771F61"/>
    <w:multiLevelType w:val="hybridMultilevel"/>
    <w:tmpl w:val="06E026BE"/>
    <w:lvl w:ilvl="0" w:tplc="CF7EB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3"/>
  </w:num>
  <w:num w:numId="4">
    <w:abstractNumId w:val="16"/>
  </w:num>
  <w:num w:numId="5">
    <w:abstractNumId w:val="10"/>
  </w:num>
  <w:num w:numId="6">
    <w:abstractNumId w:val="1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4"/>
  </w:num>
  <w:num w:numId="10">
    <w:abstractNumId w:val="14"/>
    <w:lvlOverride w:ilvl="0">
      <w:startOverride w:val="1"/>
    </w:lvlOverride>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A6"/>
    <w:rsid w:val="00002C87"/>
    <w:rsid w:val="000075D2"/>
    <w:rsid w:val="00031248"/>
    <w:rsid w:val="00032EAE"/>
    <w:rsid w:val="00040A78"/>
    <w:rsid w:val="00054054"/>
    <w:rsid w:val="00062C65"/>
    <w:rsid w:val="00065DDB"/>
    <w:rsid w:val="00067BFB"/>
    <w:rsid w:val="000726B9"/>
    <w:rsid w:val="00073EB2"/>
    <w:rsid w:val="00097334"/>
    <w:rsid w:val="000A23BD"/>
    <w:rsid w:val="000A40B5"/>
    <w:rsid w:val="000A7A52"/>
    <w:rsid w:val="000B04F4"/>
    <w:rsid w:val="000B1257"/>
    <w:rsid w:val="000B4DBD"/>
    <w:rsid w:val="000C2D48"/>
    <w:rsid w:val="000C78DF"/>
    <w:rsid w:val="000D32FD"/>
    <w:rsid w:val="000D7745"/>
    <w:rsid w:val="000E1457"/>
    <w:rsid w:val="000E6143"/>
    <w:rsid w:val="000E7856"/>
    <w:rsid w:val="000F0EE3"/>
    <w:rsid w:val="001228C2"/>
    <w:rsid w:val="001242BC"/>
    <w:rsid w:val="00131840"/>
    <w:rsid w:val="00131B3D"/>
    <w:rsid w:val="0014231E"/>
    <w:rsid w:val="00174EBF"/>
    <w:rsid w:val="0019735D"/>
    <w:rsid w:val="001B572A"/>
    <w:rsid w:val="001B6A58"/>
    <w:rsid w:val="001D2103"/>
    <w:rsid w:val="001D5BC6"/>
    <w:rsid w:val="001E79B8"/>
    <w:rsid w:val="00203FA7"/>
    <w:rsid w:val="00206E67"/>
    <w:rsid w:val="00220B82"/>
    <w:rsid w:val="002219E3"/>
    <w:rsid w:val="00221F8C"/>
    <w:rsid w:val="002300C7"/>
    <w:rsid w:val="00236570"/>
    <w:rsid w:val="00263A62"/>
    <w:rsid w:val="00275FA9"/>
    <w:rsid w:val="00281498"/>
    <w:rsid w:val="002857D4"/>
    <w:rsid w:val="002872C6"/>
    <w:rsid w:val="00293129"/>
    <w:rsid w:val="002949C2"/>
    <w:rsid w:val="00296261"/>
    <w:rsid w:val="002A1115"/>
    <w:rsid w:val="002A5EBE"/>
    <w:rsid w:val="002B70BB"/>
    <w:rsid w:val="002C336F"/>
    <w:rsid w:val="002C7EE6"/>
    <w:rsid w:val="002F591B"/>
    <w:rsid w:val="0031691E"/>
    <w:rsid w:val="00324509"/>
    <w:rsid w:val="0033297B"/>
    <w:rsid w:val="00334B19"/>
    <w:rsid w:val="00345B36"/>
    <w:rsid w:val="003517B6"/>
    <w:rsid w:val="003607D6"/>
    <w:rsid w:val="0037008C"/>
    <w:rsid w:val="00397DA1"/>
    <w:rsid w:val="003A4BE6"/>
    <w:rsid w:val="003B5FEE"/>
    <w:rsid w:val="003C217C"/>
    <w:rsid w:val="003C2AFA"/>
    <w:rsid w:val="003D3C8F"/>
    <w:rsid w:val="003E2230"/>
    <w:rsid w:val="003E2B83"/>
    <w:rsid w:val="003E4899"/>
    <w:rsid w:val="0040300C"/>
    <w:rsid w:val="00405476"/>
    <w:rsid w:val="0040686C"/>
    <w:rsid w:val="00407A8C"/>
    <w:rsid w:val="00420B0F"/>
    <w:rsid w:val="004226C6"/>
    <w:rsid w:val="00426468"/>
    <w:rsid w:val="00431B4C"/>
    <w:rsid w:val="00433068"/>
    <w:rsid w:val="00445E0D"/>
    <w:rsid w:val="00445E3C"/>
    <w:rsid w:val="004474B0"/>
    <w:rsid w:val="0045010B"/>
    <w:rsid w:val="004600CF"/>
    <w:rsid w:val="0046050B"/>
    <w:rsid w:val="004612AD"/>
    <w:rsid w:val="0046221D"/>
    <w:rsid w:val="00464100"/>
    <w:rsid w:val="004671AB"/>
    <w:rsid w:val="00471EDE"/>
    <w:rsid w:val="004722DB"/>
    <w:rsid w:val="00472861"/>
    <w:rsid w:val="00472B47"/>
    <w:rsid w:val="00473E54"/>
    <w:rsid w:val="00481566"/>
    <w:rsid w:val="0049739A"/>
    <w:rsid w:val="004A5B50"/>
    <w:rsid w:val="004A72E3"/>
    <w:rsid w:val="004B156C"/>
    <w:rsid w:val="004D1493"/>
    <w:rsid w:val="004E60B9"/>
    <w:rsid w:val="004E761E"/>
    <w:rsid w:val="004F7B3E"/>
    <w:rsid w:val="005048BE"/>
    <w:rsid w:val="00510941"/>
    <w:rsid w:val="005120BA"/>
    <w:rsid w:val="00512CEF"/>
    <w:rsid w:val="00523211"/>
    <w:rsid w:val="00533B5F"/>
    <w:rsid w:val="00535EEC"/>
    <w:rsid w:val="00546572"/>
    <w:rsid w:val="00551DEF"/>
    <w:rsid w:val="00560822"/>
    <w:rsid w:val="00567433"/>
    <w:rsid w:val="0056757E"/>
    <w:rsid w:val="0057241C"/>
    <w:rsid w:val="005A01FC"/>
    <w:rsid w:val="005A1A09"/>
    <w:rsid w:val="005B6533"/>
    <w:rsid w:val="005C1442"/>
    <w:rsid w:val="005C3BE5"/>
    <w:rsid w:val="005D5129"/>
    <w:rsid w:val="005E0C24"/>
    <w:rsid w:val="005E2483"/>
    <w:rsid w:val="005F2AE9"/>
    <w:rsid w:val="005F7035"/>
    <w:rsid w:val="00600663"/>
    <w:rsid w:val="006010DF"/>
    <w:rsid w:val="00613906"/>
    <w:rsid w:val="006167D8"/>
    <w:rsid w:val="006317E4"/>
    <w:rsid w:val="0063212C"/>
    <w:rsid w:val="00632F5A"/>
    <w:rsid w:val="00643231"/>
    <w:rsid w:val="00643322"/>
    <w:rsid w:val="006438D4"/>
    <w:rsid w:val="006515BB"/>
    <w:rsid w:val="00657889"/>
    <w:rsid w:val="006676ED"/>
    <w:rsid w:val="006773C0"/>
    <w:rsid w:val="00681270"/>
    <w:rsid w:val="0068373E"/>
    <w:rsid w:val="006968A7"/>
    <w:rsid w:val="006A170E"/>
    <w:rsid w:val="006A313D"/>
    <w:rsid w:val="006B5263"/>
    <w:rsid w:val="006C2140"/>
    <w:rsid w:val="006C27CC"/>
    <w:rsid w:val="006D4601"/>
    <w:rsid w:val="006D52DC"/>
    <w:rsid w:val="006E37C0"/>
    <w:rsid w:val="006E68C1"/>
    <w:rsid w:val="00702304"/>
    <w:rsid w:val="00705FC7"/>
    <w:rsid w:val="00712D30"/>
    <w:rsid w:val="00734642"/>
    <w:rsid w:val="00742C74"/>
    <w:rsid w:val="0074399D"/>
    <w:rsid w:val="0074775A"/>
    <w:rsid w:val="00750AA5"/>
    <w:rsid w:val="00754369"/>
    <w:rsid w:val="00783957"/>
    <w:rsid w:val="00797961"/>
    <w:rsid w:val="007A0CED"/>
    <w:rsid w:val="007B1ABF"/>
    <w:rsid w:val="007B23E8"/>
    <w:rsid w:val="007B28C7"/>
    <w:rsid w:val="007B2FB7"/>
    <w:rsid w:val="007B4270"/>
    <w:rsid w:val="007B7083"/>
    <w:rsid w:val="007E15E1"/>
    <w:rsid w:val="007E4F50"/>
    <w:rsid w:val="007E7B20"/>
    <w:rsid w:val="007F338D"/>
    <w:rsid w:val="007F43A6"/>
    <w:rsid w:val="008058E3"/>
    <w:rsid w:val="00811FA6"/>
    <w:rsid w:val="00835552"/>
    <w:rsid w:val="008362B6"/>
    <w:rsid w:val="00837886"/>
    <w:rsid w:val="00851F14"/>
    <w:rsid w:val="00855D54"/>
    <w:rsid w:val="00873744"/>
    <w:rsid w:val="00891D37"/>
    <w:rsid w:val="00894EEB"/>
    <w:rsid w:val="008A41C9"/>
    <w:rsid w:val="008A579D"/>
    <w:rsid w:val="008A6EC7"/>
    <w:rsid w:val="008B7648"/>
    <w:rsid w:val="008C26B6"/>
    <w:rsid w:val="008C41EF"/>
    <w:rsid w:val="008C4A80"/>
    <w:rsid w:val="008C4ADE"/>
    <w:rsid w:val="008D1C10"/>
    <w:rsid w:val="008F1634"/>
    <w:rsid w:val="00900AC3"/>
    <w:rsid w:val="00914964"/>
    <w:rsid w:val="009245FF"/>
    <w:rsid w:val="0092580D"/>
    <w:rsid w:val="00926581"/>
    <w:rsid w:val="00927647"/>
    <w:rsid w:val="00933CA6"/>
    <w:rsid w:val="00934BBF"/>
    <w:rsid w:val="00940097"/>
    <w:rsid w:val="00944C40"/>
    <w:rsid w:val="00966256"/>
    <w:rsid w:val="00987942"/>
    <w:rsid w:val="00991BF1"/>
    <w:rsid w:val="00996488"/>
    <w:rsid w:val="009A0D16"/>
    <w:rsid w:val="009A1F07"/>
    <w:rsid w:val="009A219A"/>
    <w:rsid w:val="009A5C36"/>
    <w:rsid w:val="009B0F25"/>
    <w:rsid w:val="009B1FE7"/>
    <w:rsid w:val="009C702B"/>
    <w:rsid w:val="009D27B0"/>
    <w:rsid w:val="009D3D37"/>
    <w:rsid w:val="009F3F6B"/>
    <w:rsid w:val="00A06E0A"/>
    <w:rsid w:val="00A0729F"/>
    <w:rsid w:val="00A227BD"/>
    <w:rsid w:val="00A322CD"/>
    <w:rsid w:val="00A33926"/>
    <w:rsid w:val="00A4262F"/>
    <w:rsid w:val="00A4312C"/>
    <w:rsid w:val="00A47440"/>
    <w:rsid w:val="00A53C7D"/>
    <w:rsid w:val="00A60CA2"/>
    <w:rsid w:val="00A8182A"/>
    <w:rsid w:val="00A86616"/>
    <w:rsid w:val="00A868A7"/>
    <w:rsid w:val="00AA28D7"/>
    <w:rsid w:val="00AA5E0D"/>
    <w:rsid w:val="00AB5A91"/>
    <w:rsid w:val="00AC57E1"/>
    <w:rsid w:val="00AC5D36"/>
    <w:rsid w:val="00AD32CC"/>
    <w:rsid w:val="00AD654F"/>
    <w:rsid w:val="00B03F61"/>
    <w:rsid w:val="00B300E4"/>
    <w:rsid w:val="00B32EB6"/>
    <w:rsid w:val="00B33F16"/>
    <w:rsid w:val="00B37893"/>
    <w:rsid w:val="00B639BD"/>
    <w:rsid w:val="00B65E57"/>
    <w:rsid w:val="00B665DF"/>
    <w:rsid w:val="00B72D57"/>
    <w:rsid w:val="00B850E9"/>
    <w:rsid w:val="00B94135"/>
    <w:rsid w:val="00BA0F08"/>
    <w:rsid w:val="00BA6831"/>
    <w:rsid w:val="00BA6FB3"/>
    <w:rsid w:val="00BB38A4"/>
    <w:rsid w:val="00BB6767"/>
    <w:rsid w:val="00BC046E"/>
    <w:rsid w:val="00BC2CFA"/>
    <w:rsid w:val="00BC69FF"/>
    <w:rsid w:val="00BE6EEE"/>
    <w:rsid w:val="00C067A0"/>
    <w:rsid w:val="00C068C6"/>
    <w:rsid w:val="00C21544"/>
    <w:rsid w:val="00C30C8F"/>
    <w:rsid w:val="00C30CF1"/>
    <w:rsid w:val="00C322B0"/>
    <w:rsid w:val="00C36830"/>
    <w:rsid w:val="00C401AF"/>
    <w:rsid w:val="00C437EF"/>
    <w:rsid w:val="00C43A6D"/>
    <w:rsid w:val="00C46EE6"/>
    <w:rsid w:val="00C57362"/>
    <w:rsid w:val="00C601A4"/>
    <w:rsid w:val="00C62FCB"/>
    <w:rsid w:val="00C738F9"/>
    <w:rsid w:val="00C73E0F"/>
    <w:rsid w:val="00C75351"/>
    <w:rsid w:val="00C809B5"/>
    <w:rsid w:val="00CB5161"/>
    <w:rsid w:val="00CB5946"/>
    <w:rsid w:val="00CC67B0"/>
    <w:rsid w:val="00CD2BAB"/>
    <w:rsid w:val="00CD4339"/>
    <w:rsid w:val="00CD6CD4"/>
    <w:rsid w:val="00CD6D41"/>
    <w:rsid w:val="00CE02CF"/>
    <w:rsid w:val="00CE23C7"/>
    <w:rsid w:val="00CE274A"/>
    <w:rsid w:val="00CE2B00"/>
    <w:rsid w:val="00CF2218"/>
    <w:rsid w:val="00D0283C"/>
    <w:rsid w:val="00D11235"/>
    <w:rsid w:val="00D266A8"/>
    <w:rsid w:val="00D50095"/>
    <w:rsid w:val="00D510EC"/>
    <w:rsid w:val="00D52367"/>
    <w:rsid w:val="00D60CEE"/>
    <w:rsid w:val="00D64AEC"/>
    <w:rsid w:val="00D71637"/>
    <w:rsid w:val="00D95629"/>
    <w:rsid w:val="00DC512C"/>
    <w:rsid w:val="00DC716E"/>
    <w:rsid w:val="00DD0DDD"/>
    <w:rsid w:val="00DE374B"/>
    <w:rsid w:val="00DE5979"/>
    <w:rsid w:val="00DF0E98"/>
    <w:rsid w:val="00E009D4"/>
    <w:rsid w:val="00E07D19"/>
    <w:rsid w:val="00E106B2"/>
    <w:rsid w:val="00E1073B"/>
    <w:rsid w:val="00E17434"/>
    <w:rsid w:val="00E2510D"/>
    <w:rsid w:val="00E2654F"/>
    <w:rsid w:val="00E302B4"/>
    <w:rsid w:val="00E3052B"/>
    <w:rsid w:val="00E30573"/>
    <w:rsid w:val="00E322A0"/>
    <w:rsid w:val="00E45456"/>
    <w:rsid w:val="00E53264"/>
    <w:rsid w:val="00E546BD"/>
    <w:rsid w:val="00E61F5E"/>
    <w:rsid w:val="00E65BFD"/>
    <w:rsid w:val="00E74D6D"/>
    <w:rsid w:val="00E76475"/>
    <w:rsid w:val="00EA0F7E"/>
    <w:rsid w:val="00EA4886"/>
    <w:rsid w:val="00EA67C3"/>
    <w:rsid w:val="00EA6DCD"/>
    <w:rsid w:val="00EC6AEC"/>
    <w:rsid w:val="00EC6DC9"/>
    <w:rsid w:val="00EC781F"/>
    <w:rsid w:val="00EE1D17"/>
    <w:rsid w:val="00EE3034"/>
    <w:rsid w:val="00EF0B99"/>
    <w:rsid w:val="00EF6713"/>
    <w:rsid w:val="00F009C5"/>
    <w:rsid w:val="00F14C58"/>
    <w:rsid w:val="00F179FB"/>
    <w:rsid w:val="00F17A9D"/>
    <w:rsid w:val="00F23999"/>
    <w:rsid w:val="00F26476"/>
    <w:rsid w:val="00F3544E"/>
    <w:rsid w:val="00F35BF4"/>
    <w:rsid w:val="00F36CE1"/>
    <w:rsid w:val="00F53D74"/>
    <w:rsid w:val="00F56263"/>
    <w:rsid w:val="00F60FAA"/>
    <w:rsid w:val="00F62C4C"/>
    <w:rsid w:val="00F81078"/>
    <w:rsid w:val="00F85A85"/>
    <w:rsid w:val="00F875B2"/>
    <w:rsid w:val="00F953FE"/>
    <w:rsid w:val="00F97594"/>
    <w:rsid w:val="00FA022F"/>
    <w:rsid w:val="00FA248B"/>
    <w:rsid w:val="00FA626F"/>
    <w:rsid w:val="00FC07F0"/>
    <w:rsid w:val="00FE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1"/>
  </w:style>
  <w:style w:type="paragraph" w:styleId="Heading1">
    <w:name w:val="heading 1"/>
    <w:basedOn w:val="Normal"/>
    <w:next w:val="Normal"/>
    <w:link w:val="Heading1Char"/>
    <w:autoRedefine/>
    <w:uiPriority w:val="9"/>
    <w:qFormat/>
    <w:rsid w:val="007B4270"/>
    <w:pPr>
      <w:keepNext/>
      <w:keepLines/>
      <w:spacing w:before="360" w:after="240" w:line="240" w:lineRule="auto"/>
      <w:ind w:left="1440" w:right="1440" w:hanging="720"/>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autoRedefine/>
    <w:uiPriority w:val="9"/>
    <w:unhideWhenUsed/>
    <w:qFormat/>
    <w:rsid w:val="001228C2"/>
    <w:pPr>
      <w:keepNext/>
      <w:keepLines/>
      <w:spacing w:before="360" w:after="240" w:line="240" w:lineRule="auto"/>
      <w:ind w:left="1440" w:right="1440" w:hanging="72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autoRedefine/>
    <w:uiPriority w:val="9"/>
    <w:unhideWhenUsed/>
    <w:qFormat/>
    <w:rsid w:val="00263A62"/>
    <w:pPr>
      <w:keepNext/>
      <w:keepLines/>
      <w:numPr>
        <w:numId w:val="11"/>
      </w:numPr>
      <w:spacing w:before="360" w:after="240" w:line="240" w:lineRule="auto"/>
      <w:ind w:left="2160" w:right="720" w:hanging="720"/>
      <w:outlineLvl w:val="2"/>
    </w:pPr>
    <w:rPr>
      <w:rFonts w:ascii="Times New Roman" w:eastAsiaTheme="majorEastAsia" w:hAnsi="Times New Roman"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19"/>
    <w:pPr>
      <w:ind w:left="720"/>
      <w:contextualSpacing/>
    </w:pPr>
  </w:style>
  <w:style w:type="paragraph" w:styleId="Header">
    <w:name w:val="header"/>
    <w:basedOn w:val="Normal"/>
    <w:link w:val="HeaderChar"/>
    <w:uiPriority w:val="99"/>
    <w:unhideWhenUsed/>
    <w:rsid w:val="00933CA6"/>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933CA6"/>
    <w:rPr>
      <w:rFonts w:ascii="Times New Roman" w:hAnsi="Times New Roman"/>
      <w:sz w:val="24"/>
    </w:rPr>
  </w:style>
  <w:style w:type="paragraph" w:styleId="Footer">
    <w:name w:val="footer"/>
    <w:basedOn w:val="Normal"/>
    <w:link w:val="FooterChar"/>
    <w:uiPriority w:val="99"/>
    <w:unhideWhenUsed/>
    <w:rsid w:val="00933CA6"/>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933CA6"/>
    <w:rPr>
      <w:rFonts w:ascii="Times New Roman" w:hAnsi="Times New Roman"/>
      <w:sz w:val="24"/>
    </w:rPr>
  </w:style>
  <w:style w:type="paragraph" w:styleId="BalloonText">
    <w:name w:val="Balloon Text"/>
    <w:basedOn w:val="Normal"/>
    <w:link w:val="BalloonTextChar"/>
    <w:uiPriority w:val="99"/>
    <w:semiHidden/>
    <w:unhideWhenUsed/>
    <w:rsid w:val="0093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A6"/>
    <w:rPr>
      <w:rFonts w:ascii="Tahoma" w:hAnsi="Tahoma" w:cs="Tahoma"/>
      <w:sz w:val="16"/>
      <w:szCs w:val="16"/>
    </w:rPr>
  </w:style>
  <w:style w:type="paragraph" w:styleId="FootnoteText">
    <w:name w:val="footnote text"/>
    <w:basedOn w:val="Normal"/>
    <w:link w:val="FootnoteTextChar"/>
    <w:autoRedefine/>
    <w:uiPriority w:val="99"/>
    <w:unhideWhenUsed/>
    <w:rsid w:val="004E60B9"/>
    <w:pPr>
      <w:tabs>
        <w:tab w:val="left" w:pos="720"/>
      </w:tabs>
      <w:spacing w:before="240" w:after="240" w:line="240" w:lineRule="auto"/>
      <w:ind w:left="720" w:hanging="720"/>
    </w:pPr>
    <w:rPr>
      <w:rFonts w:ascii="Times New Roman" w:hAnsi="Times New Roman"/>
      <w:sz w:val="24"/>
      <w:szCs w:val="24"/>
    </w:rPr>
  </w:style>
  <w:style w:type="character" w:customStyle="1" w:styleId="FootnoteTextChar">
    <w:name w:val="Footnote Text Char"/>
    <w:basedOn w:val="DefaultParagraphFont"/>
    <w:link w:val="FootnoteText"/>
    <w:uiPriority w:val="99"/>
    <w:rsid w:val="004E60B9"/>
    <w:rPr>
      <w:rFonts w:ascii="Times New Roman" w:hAnsi="Times New Roman"/>
      <w:sz w:val="24"/>
      <w:szCs w:val="24"/>
    </w:rPr>
  </w:style>
  <w:style w:type="character" w:styleId="FootnoteReference">
    <w:name w:val="footnote reference"/>
    <w:basedOn w:val="DefaultParagraphFont"/>
    <w:uiPriority w:val="99"/>
    <w:semiHidden/>
    <w:unhideWhenUsed/>
    <w:rsid w:val="00632F5A"/>
    <w:rPr>
      <w:vertAlign w:val="superscript"/>
    </w:rPr>
  </w:style>
  <w:style w:type="paragraph" w:styleId="NoSpacing">
    <w:name w:val="No Spacing"/>
    <w:uiPriority w:val="1"/>
    <w:qFormat/>
    <w:rsid w:val="00E45456"/>
    <w:pPr>
      <w:spacing w:after="0" w:line="240" w:lineRule="auto"/>
    </w:pPr>
  </w:style>
  <w:style w:type="character" w:styleId="Hyperlink">
    <w:name w:val="Hyperlink"/>
    <w:basedOn w:val="DefaultParagraphFont"/>
    <w:uiPriority w:val="99"/>
    <w:unhideWhenUsed/>
    <w:rsid w:val="003E4899"/>
    <w:rPr>
      <w:color w:val="0000FF" w:themeColor="hyperlink"/>
      <w:u w:val="single"/>
    </w:rPr>
  </w:style>
  <w:style w:type="character" w:customStyle="1" w:styleId="Heading1Char">
    <w:name w:val="Heading 1 Char"/>
    <w:basedOn w:val="DefaultParagraphFont"/>
    <w:link w:val="Heading1"/>
    <w:uiPriority w:val="9"/>
    <w:rsid w:val="007B4270"/>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1228C2"/>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263A62"/>
    <w:rPr>
      <w:rFonts w:ascii="Times New Roman" w:eastAsiaTheme="majorEastAsia" w:hAnsi="Times New Roman" w:cstheme="majorBidi"/>
      <w:b/>
      <w:bCs/>
      <w:sz w:val="26"/>
    </w:rPr>
  </w:style>
  <w:style w:type="paragraph" w:styleId="TOCHeading">
    <w:name w:val="TOC Heading"/>
    <w:basedOn w:val="Heading1"/>
    <w:next w:val="Normal"/>
    <w:uiPriority w:val="39"/>
    <w:semiHidden/>
    <w:unhideWhenUsed/>
    <w:qFormat/>
    <w:rsid w:val="00EF0B99"/>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DD0DDD"/>
    <w:pPr>
      <w:tabs>
        <w:tab w:val="right" w:leader="dot" w:pos="9350"/>
      </w:tabs>
      <w:spacing w:before="240" w:after="240" w:line="240" w:lineRule="auto"/>
      <w:ind w:left="720" w:right="1440" w:hanging="720"/>
    </w:pPr>
    <w:rPr>
      <w:rFonts w:ascii="Times New Roman" w:hAnsi="Times New Roman"/>
      <w:noProof/>
      <w:sz w:val="26"/>
    </w:rPr>
  </w:style>
  <w:style w:type="paragraph" w:styleId="TOC2">
    <w:name w:val="toc 2"/>
    <w:basedOn w:val="Normal"/>
    <w:next w:val="Normal"/>
    <w:autoRedefine/>
    <w:uiPriority w:val="39"/>
    <w:unhideWhenUsed/>
    <w:qFormat/>
    <w:rsid w:val="00F60FAA"/>
    <w:pPr>
      <w:tabs>
        <w:tab w:val="right" w:leader="dot" w:pos="9350"/>
      </w:tabs>
      <w:spacing w:before="240" w:after="240" w:line="240" w:lineRule="auto"/>
      <w:ind w:left="1440" w:right="1440" w:hanging="720"/>
    </w:pPr>
    <w:rPr>
      <w:rFonts w:ascii="Times New Roman" w:hAnsi="Times New Roman"/>
      <w:sz w:val="26"/>
    </w:rPr>
  </w:style>
  <w:style w:type="paragraph" w:styleId="TOC3">
    <w:name w:val="toc 3"/>
    <w:basedOn w:val="Normal"/>
    <w:next w:val="Normal"/>
    <w:autoRedefine/>
    <w:uiPriority w:val="39"/>
    <w:unhideWhenUsed/>
    <w:qFormat/>
    <w:rsid w:val="00DD0DDD"/>
    <w:pPr>
      <w:tabs>
        <w:tab w:val="right" w:leader="dot" w:pos="9346"/>
      </w:tabs>
      <w:spacing w:before="240" w:after="240" w:line="240" w:lineRule="auto"/>
      <w:ind w:left="2160" w:right="720" w:hanging="720"/>
    </w:pPr>
    <w:rPr>
      <w:rFonts w:ascii="Times New Roman" w:hAnsi="Times New Roman"/>
      <w:sz w:val="26"/>
    </w:rPr>
  </w:style>
  <w:style w:type="paragraph" w:customStyle="1" w:styleId="Textstyle">
    <w:name w:val="Text style"/>
    <w:basedOn w:val="Normal"/>
    <w:autoRedefine/>
    <w:rsid w:val="001228C2"/>
    <w:pPr>
      <w:autoSpaceDE w:val="0"/>
      <w:autoSpaceDN w:val="0"/>
      <w:adjustRightInd w:val="0"/>
      <w:spacing w:after="0" w:line="480" w:lineRule="auto"/>
    </w:pPr>
    <w:rPr>
      <w:rFonts w:ascii="Times New Roman" w:hAnsi="Times New Roman" w:cs="Times New Roman"/>
      <w:sz w:val="26"/>
      <w:szCs w:val="26"/>
    </w:rPr>
  </w:style>
  <w:style w:type="paragraph" w:customStyle="1" w:styleId="Blockquote">
    <w:name w:val="Block quote"/>
    <w:basedOn w:val="Normal"/>
    <w:autoRedefine/>
    <w:rsid w:val="00E106B2"/>
    <w:pPr>
      <w:autoSpaceDE w:val="0"/>
      <w:autoSpaceDN w:val="0"/>
      <w:adjustRightInd w:val="0"/>
      <w:spacing w:after="240" w:line="240" w:lineRule="auto"/>
      <w:ind w:left="1440" w:right="1440"/>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1"/>
  </w:style>
  <w:style w:type="paragraph" w:styleId="Heading1">
    <w:name w:val="heading 1"/>
    <w:basedOn w:val="Normal"/>
    <w:next w:val="Normal"/>
    <w:link w:val="Heading1Char"/>
    <w:autoRedefine/>
    <w:uiPriority w:val="9"/>
    <w:qFormat/>
    <w:rsid w:val="007B4270"/>
    <w:pPr>
      <w:keepNext/>
      <w:keepLines/>
      <w:spacing w:before="360" w:after="240" w:line="240" w:lineRule="auto"/>
      <w:ind w:left="1440" w:right="1440" w:hanging="720"/>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autoRedefine/>
    <w:uiPriority w:val="9"/>
    <w:unhideWhenUsed/>
    <w:qFormat/>
    <w:rsid w:val="001228C2"/>
    <w:pPr>
      <w:keepNext/>
      <w:keepLines/>
      <w:spacing w:before="360" w:after="240" w:line="240" w:lineRule="auto"/>
      <w:ind w:left="1440" w:right="1440" w:hanging="72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autoRedefine/>
    <w:uiPriority w:val="9"/>
    <w:unhideWhenUsed/>
    <w:qFormat/>
    <w:rsid w:val="00263A62"/>
    <w:pPr>
      <w:keepNext/>
      <w:keepLines/>
      <w:numPr>
        <w:numId w:val="11"/>
      </w:numPr>
      <w:spacing w:before="360" w:after="240" w:line="240" w:lineRule="auto"/>
      <w:ind w:left="2160" w:right="720" w:hanging="720"/>
      <w:outlineLvl w:val="2"/>
    </w:pPr>
    <w:rPr>
      <w:rFonts w:ascii="Times New Roman" w:eastAsiaTheme="majorEastAsia" w:hAnsi="Times New Roman"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19"/>
    <w:pPr>
      <w:ind w:left="720"/>
      <w:contextualSpacing/>
    </w:pPr>
  </w:style>
  <w:style w:type="paragraph" w:styleId="Header">
    <w:name w:val="header"/>
    <w:basedOn w:val="Normal"/>
    <w:link w:val="HeaderChar"/>
    <w:uiPriority w:val="99"/>
    <w:unhideWhenUsed/>
    <w:rsid w:val="00933CA6"/>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933CA6"/>
    <w:rPr>
      <w:rFonts w:ascii="Times New Roman" w:hAnsi="Times New Roman"/>
      <w:sz w:val="24"/>
    </w:rPr>
  </w:style>
  <w:style w:type="paragraph" w:styleId="Footer">
    <w:name w:val="footer"/>
    <w:basedOn w:val="Normal"/>
    <w:link w:val="FooterChar"/>
    <w:uiPriority w:val="99"/>
    <w:unhideWhenUsed/>
    <w:rsid w:val="00933CA6"/>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933CA6"/>
    <w:rPr>
      <w:rFonts w:ascii="Times New Roman" w:hAnsi="Times New Roman"/>
      <w:sz w:val="24"/>
    </w:rPr>
  </w:style>
  <w:style w:type="paragraph" w:styleId="BalloonText">
    <w:name w:val="Balloon Text"/>
    <w:basedOn w:val="Normal"/>
    <w:link w:val="BalloonTextChar"/>
    <w:uiPriority w:val="99"/>
    <w:semiHidden/>
    <w:unhideWhenUsed/>
    <w:rsid w:val="0093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A6"/>
    <w:rPr>
      <w:rFonts w:ascii="Tahoma" w:hAnsi="Tahoma" w:cs="Tahoma"/>
      <w:sz w:val="16"/>
      <w:szCs w:val="16"/>
    </w:rPr>
  </w:style>
  <w:style w:type="paragraph" w:styleId="FootnoteText">
    <w:name w:val="footnote text"/>
    <w:basedOn w:val="Normal"/>
    <w:link w:val="FootnoteTextChar"/>
    <w:autoRedefine/>
    <w:uiPriority w:val="99"/>
    <w:unhideWhenUsed/>
    <w:rsid w:val="004E60B9"/>
    <w:pPr>
      <w:tabs>
        <w:tab w:val="left" w:pos="720"/>
      </w:tabs>
      <w:spacing w:before="240" w:after="240" w:line="240" w:lineRule="auto"/>
      <w:ind w:left="720" w:hanging="720"/>
    </w:pPr>
    <w:rPr>
      <w:rFonts w:ascii="Times New Roman" w:hAnsi="Times New Roman"/>
      <w:sz w:val="24"/>
      <w:szCs w:val="24"/>
    </w:rPr>
  </w:style>
  <w:style w:type="character" w:customStyle="1" w:styleId="FootnoteTextChar">
    <w:name w:val="Footnote Text Char"/>
    <w:basedOn w:val="DefaultParagraphFont"/>
    <w:link w:val="FootnoteText"/>
    <w:uiPriority w:val="99"/>
    <w:rsid w:val="004E60B9"/>
    <w:rPr>
      <w:rFonts w:ascii="Times New Roman" w:hAnsi="Times New Roman"/>
      <w:sz w:val="24"/>
      <w:szCs w:val="24"/>
    </w:rPr>
  </w:style>
  <w:style w:type="character" w:styleId="FootnoteReference">
    <w:name w:val="footnote reference"/>
    <w:basedOn w:val="DefaultParagraphFont"/>
    <w:uiPriority w:val="99"/>
    <w:semiHidden/>
    <w:unhideWhenUsed/>
    <w:rsid w:val="00632F5A"/>
    <w:rPr>
      <w:vertAlign w:val="superscript"/>
    </w:rPr>
  </w:style>
  <w:style w:type="paragraph" w:styleId="NoSpacing">
    <w:name w:val="No Spacing"/>
    <w:uiPriority w:val="1"/>
    <w:qFormat/>
    <w:rsid w:val="00E45456"/>
    <w:pPr>
      <w:spacing w:after="0" w:line="240" w:lineRule="auto"/>
    </w:pPr>
  </w:style>
  <w:style w:type="character" w:styleId="Hyperlink">
    <w:name w:val="Hyperlink"/>
    <w:basedOn w:val="DefaultParagraphFont"/>
    <w:uiPriority w:val="99"/>
    <w:unhideWhenUsed/>
    <w:rsid w:val="003E4899"/>
    <w:rPr>
      <w:color w:val="0000FF" w:themeColor="hyperlink"/>
      <w:u w:val="single"/>
    </w:rPr>
  </w:style>
  <w:style w:type="character" w:customStyle="1" w:styleId="Heading1Char">
    <w:name w:val="Heading 1 Char"/>
    <w:basedOn w:val="DefaultParagraphFont"/>
    <w:link w:val="Heading1"/>
    <w:uiPriority w:val="9"/>
    <w:rsid w:val="007B4270"/>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1228C2"/>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263A62"/>
    <w:rPr>
      <w:rFonts w:ascii="Times New Roman" w:eastAsiaTheme="majorEastAsia" w:hAnsi="Times New Roman" w:cstheme="majorBidi"/>
      <w:b/>
      <w:bCs/>
      <w:sz w:val="26"/>
    </w:rPr>
  </w:style>
  <w:style w:type="paragraph" w:styleId="TOCHeading">
    <w:name w:val="TOC Heading"/>
    <w:basedOn w:val="Heading1"/>
    <w:next w:val="Normal"/>
    <w:uiPriority w:val="39"/>
    <w:semiHidden/>
    <w:unhideWhenUsed/>
    <w:qFormat/>
    <w:rsid w:val="00EF0B99"/>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DD0DDD"/>
    <w:pPr>
      <w:tabs>
        <w:tab w:val="right" w:leader="dot" w:pos="9350"/>
      </w:tabs>
      <w:spacing w:before="240" w:after="240" w:line="240" w:lineRule="auto"/>
      <w:ind w:left="720" w:right="1440" w:hanging="720"/>
    </w:pPr>
    <w:rPr>
      <w:rFonts w:ascii="Times New Roman" w:hAnsi="Times New Roman"/>
      <w:noProof/>
      <w:sz w:val="26"/>
    </w:rPr>
  </w:style>
  <w:style w:type="paragraph" w:styleId="TOC2">
    <w:name w:val="toc 2"/>
    <w:basedOn w:val="Normal"/>
    <w:next w:val="Normal"/>
    <w:autoRedefine/>
    <w:uiPriority w:val="39"/>
    <w:unhideWhenUsed/>
    <w:qFormat/>
    <w:rsid w:val="00F60FAA"/>
    <w:pPr>
      <w:tabs>
        <w:tab w:val="right" w:leader="dot" w:pos="9350"/>
      </w:tabs>
      <w:spacing w:before="240" w:after="240" w:line="240" w:lineRule="auto"/>
      <w:ind w:left="1440" w:right="1440" w:hanging="720"/>
    </w:pPr>
    <w:rPr>
      <w:rFonts w:ascii="Times New Roman" w:hAnsi="Times New Roman"/>
      <w:sz w:val="26"/>
    </w:rPr>
  </w:style>
  <w:style w:type="paragraph" w:styleId="TOC3">
    <w:name w:val="toc 3"/>
    <w:basedOn w:val="Normal"/>
    <w:next w:val="Normal"/>
    <w:autoRedefine/>
    <w:uiPriority w:val="39"/>
    <w:unhideWhenUsed/>
    <w:qFormat/>
    <w:rsid w:val="00DD0DDD"/>
    <w:pPr>
      <w:tabs>
        <w:tab w:val="right" w:leader="dot" w:pos="9346"/>
      </w:tabs>
      <w:spacing w:before="240" w:after="240" w:line="240" w:lineRule="auto"/>
      <w:ind w:left="2160" w:right="720" w:hanging="720"/>
    </w:pPr>
    <w:rPr>
      <w:rFonts w:ascii="Times New Roman" w:hAnsi="Times New Roman"/>
      <w:sz w:val="26"/>
    </w:rPr>
  </w:style>
  <w:style w:type="paragraph" w:customStyle="1" w:styleId="Textstyle">
    <w:name w:val="Text style"/>
    <w:basedOn w:val="Normal"/>
    <w:autoRedefine/>
    <w:rsid w:val="001228C2"/>
    <w:pPr>
      <w:autoSpaceDE w:val="0"/>
      <w:autoSpaceDN w:val="0"/>
      <w:adjustRightInd w:val="0"/>
      <w:spacing w:after="0" w:line="480" w:lineRule="auto"/>
    </w:pPr>
    <w:rPr>
      <w:rFonts w:ascii="Times New Roman" w:hAnsi="Times New Roman" w:cs="Times New Roman"/>
      <w:sz w:val="26"/>
      <w:szCs w:val="26"/>
    </w:rPr>
  </w:style>
  <w:style w:type="paragraph" w:customStyle="1" w:styleId="Blockquote">
    <w:name w:val="Block quote"/>
    <w:basedOn w:val="Normal"/>
    <w:autoRedefine/>
    <w:rsid w:val="00E106B2"/>
    <w:pPr>
      <w:autoSpaceDE w:val="0"/>
      <w:autoSpaceDN w:val="0"/>
      <w:adjustRightInd w:val="0"/>
      <w:spacing w:after="240" w:line="240" w:lineRule="auto"/>
      <w:ind w:left="1440" w:right="1440"/>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8500">
      <w:bodyDiv w:val="1"/>
      <w:marLeft w:val="0"/>
      <w:marRight w:val="0"/>
      <w:marTop w:val="0"/>
      <w:marBottom w:val="0"/>
      <w:divBdr>
        <w:top w:val="none" w:sz="0" w:space="0" w:color="auto"/>
        <w:left w:val="none" w:sz="0" w:space="0" w:color="auto"/>
        <w:bottom w:val="none" w:sz="0" w:space="0" w:color="auto"/>
        <w:right w:val="none" w:sz="0" w:space="0" w:color="auto"/>
      </w:divBdr>
    </w:div>
    <w:div w:id="943923663">
      <w:bodyDiv w:val="1"/>
      <w:marLeft w:val="0"/>
      <w:marRight w:val="0"/>
      <w:marTop w:val="0"/>
      <w:marBottom w:val="0"/>
      <w:divBdr>
        <w:top w:val="none" w:sz="0" w:space="0" w:color="auto"/>
        <w:left w:val="none" w:sz="0" w:space="0" w:color="auto"/>
        <w:bottom w:val="none" w:sz="0" w:space="0" w:color="auto"/>
        <w:right w:val="none" w:sz="0" w:space="0" w:color="auto"/>
      </w:divBdr>
    </w:div>
    <w:div w:id="14848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BarthRoyer@aol.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teven.beeler@puc.state.oh.u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steven.beeler@puc.state.oh.us"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5E6A-9D6B-433B-B7E0-1B1196D2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Beeler, Steven</dc:creator>
  <cp:lastModifiedBy>Keeton, Kim</cp:lastModifiedBy>
  <cp:revision>5</cp:revision>
  <cp:lastPrinted>2013-07-30T18:39:00Z</cp:lastPrinted>
  <dcterms:created xsi:type="dcterms:W3CDTF">2013-07-30T18:39:00Z</dcterms:created>
  <dcterms:modified xsi:type="dcterms:W3CDTF">2013-07-30T18:54:00Z</dcterms:modified>
</cp:coreProperties>
</file>