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841F6" w:rsidRPr="00BD1AA7" w:rsidP="001841F6" w14:paraId="76DE3097" w14:textId="77777777">
      <w:pPr>
        <w:pStyle w:val="Title"/>
      </w:pPr>
      <w:r w:rsidRPr="00BD1AA7">
        <w:t>BEFORE</w:t>
      </w:r>
    </w:p>
    <w:p w:rsidR="001841F6" w:rsidRPr="00BD1AA7" w:rsidP="001841F6" w14:paraId="44FB1481" w14:textId="77777777">
      <w:pPr>
        <w:autoSpaceDE w:val="0"/>
        <w:autoSpaceDN w:val="0"/>
        <w:adjustRightInd w:val="0"/>
        <w:jc w:val="center"/>
        <w:rPr>
          <w:b/>
          <w:bCs w:val="0"/>
          <w:szCs w:val="24"/>
        </w:rPr>
      </w:pPr>
      <w:r w:rsidRPr="00BD1AA7">
        <w:rPr>
          <w:b/>
          <w:szCs w:val="24"/>
        </w:rPr>
        <w:t>THE PUBLIC UTILITIES COMMISSION OF OHIO</w:t>
      </w:r>
    </w:p>
    <w:p w:rsidR="001841F6" w:rsidRPr="0057602B" w:rsidP="001841F6" w14:paraId="6F4E783F" w14:textId="77777777">
      <w:pPr>
        <w:autoSpaceDE w:val="0"/>
        <w:autoSpaceDN w:val="0"/>
        <w:adjustRightInd w:val="0"/>
        <w:jc w:val="center"/>
        <w:rPr>
          <w:b/>
          <w:bCs w:val="0"/>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1"/>
        <w:gridCol w:w="298"/>
        <w:gridCol w:w="4631"/>
      </w:tblGrid>
      <w:tr w14:paraId="114D1E7C" w14:textId="77777777" w:rsidTr="003A3B20">
        <w:tblPrEx>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85"/>
        </w:trPr>
        <w:tc>
          <w:tcPr>
            <w:tcW w:w="4631" w:type="dxa"/>
            <w:tcBorders>
              <w:top w:val="nil"/>
              <w:left w:val="nil"/>
              <w:bottom w:val="nil"/>
              <w:right w:val="nil"/>
            </w:tcBorders>
          </w:tcPr>
          <w:p w:rsidR="001841F6" w:rsidRPr="0057602B" w:rsidP="003A3B20" w14:paraId="3067EB7E" w14:textId="77777777">
            <w:pPr>
              <w:autoSpaceDE w:val="0"/>
              <w:autoSpaceDN w:val="0"/>
              <w:adjustRightInd w:val="0"/>
              <w:jc w:val="both"/>
              <w:rPr>
                <w:szCs w:val="24"/>
              </w:rPr>
            </w:pPr>
            <w:r w:rsidRPr="0057602B">
              <w:rPr>
                <w:szCs w:val="24"/>
              </w:rPr>
              <w:br w:type="page"/>
              <w:t>In the Matter of the Review of th</w:t>
            </w:r>
            <w:r>
              <w:rPr>
                <w:szCs w:val="24"/>
              </w:rPr>
              <w:t xml:space="preserve">e Reconciliation Rider of The Dayton Power and Light Company. </w:t>
            </w:r>
          </w:p>
        </w:tc>
        <w:tc>
          <w:tcPr>
            <w:tcW w:w="298" w:type="dxa"/>
            <w:tcBorders>
              <w:top w:val="nil"/>
              <w:left w:val="nil"/>
              <w:bottom w:val="nil"/>
              <w:right w:val="nil"/>
            </w:tcBorders>
          </w:tcPr>
          <w:p w:rsidR="001841F6" w:rsidRPr="0057602B" w:rsidP="003A3B20" w14:paraId="1DC21C1D" w14:textId="77777777">
            <w:pPr>
              <w:contextualSpacing/>
              <w:rPr>
                <w:szCs w:val="24"/>
              </w:rPr>
            </w:pPr>
            <w:r w:rsidRPr="0057602B">
              <w:rPr>
                <w:szCs w:val="24"/>
              </w:rPr>
              <w:t>)</w:t>
            </w:r>
          </w:p>
          <w:p w:rsidR="001841F6" w:rsidRPr="0057602B" w:rsidP="003A3B20" w14:paraId="3ABD481F" w14:textId="77777777">
            <w:pPr>
              <w:contextualSpacing/>
              <w:rPr>
                <w:szCs w:val="24"/>
              </w:rPr>
            </w:pPr>
            <w:r w:rsidRPr="0057602B">
              <w:rPr>
                <w:szCs w:val="24"/>
              </w:rPr>
              <w:t>)</w:t>
            </w:r>
          </w:p>
          <w:p w:rsidR="001841F6" w:rsidRPr="0057602B" w:rsidP="003A3B20" w14:paraId="0A84A0F6" w14:textId="77777777">
            <w:pPr>
              <w:contextualSpacing/>
              <w:rPr>
                <w:szCs w:val="24"/>
              </w:rPr>
            </w:pPr>
            <w:r w:rsidRPr="0057602B">
              <w:rPr>
                <w:szCs w:val="24"/>
              </w:rPr>
              <w:t>)</w:t>
            </w:r>
          </w:p>
        </w:tc>
        <w:tc>
          <w:tcPr>
            <w:tcW w:w="4631" w:type="dxa"/>
            <w:tcBorders>
              <w:top w:val="nil"/>
              <w:left w:val="nil"/>
              <w:bottom w:val="nil"/>
              <w:right w:val="nil"/>
            </w:tcBorders>
          </w:tcPr>
          <w:p w:rsidR="001841F6" w:rsidRPr="0057602B" w:rsidP="003A3B20" w14:paraId="1D1FACB9" w14:textId="77777777">
            <w:pPr>
              <w:contextualSpacing/>
              <w:rPr>
                <w:szCs w:val="24"/>
              </w:rPr>
            </w:pPr>
          </w:p>
          <w:p w:rsidR="001841F6" w:rsidRPr="0057602B" w:rsidP="003A3B20" w14:paraId="63320740" w14:textId="77777777">
            <w:pPr>
              <w:autoSpaceDE w:val="0"/>
              <w:autoSpaceDN w:val="0"/>
              <w:adjustRightInd w:val="0"/>
              <w:rPr>
                <w:szCs w:val="24"/>
              </w:rPr>
            </w:pPr>
            <w:r w:rsidRPr="0057602B">
              <w:rPr>
                <w:szCs w:val="24"/>
              </w:rPr>
              <w:t xml:space="preserve">Case No. </w:t>
            </w:r>
            <w:r>
              <w:rPr>
                <w:szCs w:val="24"/>
              </w:rPr>
              <w:t>20-165</w:t>
            </w:r>
            <w:r w:rsidRPr="0057602B">
              <w:rPr>
                <w:szCs w:val="24"/>
              </w:rPr>
              <w:t xml:space="preserve">-EL-RDR </w:t>
            </w:r>
          </w:p>
        </w:tc>
      </w:tr>
    </w:tbl>
    <w:p w:rsidR="001841F6" w:rsidRPr="0057602B" w:rsidP="001841F6" w14:paraId="569734AA" w14:textId="77777777">
      <w:pPr>
        <w:pBdr>
          <w:bottom w:val="single" w:sz="12" w:space="0" w:color="auto"/>
        </w:pBdr>
        <w:rPr>
          <w:b/>
          <w:szCs w:val="24"/>
        </w:rPr>
      </w:pPr>
    </w:p>
    <w:p w:rsidR="001841F6" w:rsidRPr="0057602B" w:rsidP="001841F6" w14:paraId="01CC51C0" w14:textId="77777777">
      <w:pPr>
        <w:rPr>
          <w:b/>
          <w:szCs w:val="24"/>
        </w:rPr>
      </w:pPr>
    </w:p>
    <w:p w:rsidR="001841F6" w:rsidP="001841F6" w14:paraId="1668ED1F" w14:textId="77777777">
      <w:pPr>
        <w:jc w:val="center"/>
        <w:rPr>
          <w:b/>
          <w:szCs w:val="24"/>
        </w:rPr>
      </w:pPr>
      <w:r>
        <w:rPr>
          <w:b/>
          <w:szCs w:val="24"/>
        </w:rPr>
        <w:t xml:space="preserve">JOINT MEMORANDUM CONTRA MOTION OF DP&amp;L TO QUASH OCC’S NOTICE OF DEPOSITION </w:t>
      </w:r>
    </w:p>
    <w:p w:rsidR="001841F6" w:rsidP="001841F6" w14:paraId="525D84D9" w14:textId="77777777">
      <w:pPr>
        <w:jc w:val="center"/>
        <w:rPr>
          <w:b/>
          <w:szCs w:val="24"/>
        </w:rPr>
      </w:pPr>
      <w:r>
        <w:rPr>
          <w:b/>
          <w:szCs w:val="24"/>
        </w:rPr>
        <w:t>BY</w:t>
      </w:r>
    </w:p>
    <w:p w:rsidR="001841F6" w:rsidP="001841F6" w14:paraId="68BE475B" w14:textId="77777777">
      <w:pPr>
        <w:jc w:val="center"/>
        <w:rPr>
          <w:b/>
          <w:szCs w:val="24"/>
        </w:rPr>
      </w:pPr>
      <w:r>
        <w:rPr>
          <w:b/>
          <w:szCs w:val="24"/>
        </w:rPr>
        <w:t xml:space="preserve">OFFICE OF THE OHIO CONSUMERS’ COUNSEL </w:t>
      </w:r>
    </w:p>
    <w:p w:rsidR="001841F6" w:rsidP="001841F6" w14:paraId="66C455AF" w14:textId="77777777">
      <w:pPr>
        <w:jc w:val="center"/>
        <w:rPr>
          <w:b/>
          <w:szCs w:val="24"/>
        </w:rPr>
      </w:pPr>
      <w:r>
        <w:rPr>
          <w:b/>
          <w:szCs w:val="24"/>
        </w:rPr>
        <w:t xml:space="preserve">AND </w:t>
      </w:r>
    </w:p>
    <w:p w:rsidR="001841F6" w:rsidRPr="0057602B" w:rsidP="001841F6" w14:paraId="1517FC6F" w14:textId="77777777">
      <w:pPr>
        <w:jc w:val="center"/>
        <w:rPr>
          <w:b/>
          <w:szCs w:val="24"/>
        </w:rPr>
      </w:pPr>
      <w:r w:rsidRPr="0057602B">
        <w:rPr>
          <w:b/>
          <w:szCs w:val="24"/>
        </w:rPr>
        <w:t>OHIO MANUFACTURERS’ ASSOCIATION ENERGY GROUP</w:t>
      </w:r>
    </w:p>
    <w:p w:rsidR="001841F6" w:rsidRPr="0057602B" w:rsidP="001841F6" w14:paraId="543BEA57" w14:textId="77777777">
      <w:pPr>
        <w:pBdr>
          <w:bottom w:val="single" w:sz="12" w:space="1" w:color="auto"/>
        </w:pBdr>
        <w:jc w:val="center"/>
        <w:rPr>
          <w:b/>
          <w:szCs w:val="24"/>
        </w:rPr>
      </w:pPr>
    </w:p>
    <w:p w:rsidR="001841F6" w:rsidP="001841F6" w14:paraId="6471B60D" w14:textId="2C2437C5">
      <w:pPr>
        <w:ind w:left="4410"/>
        <w:rPr>
          <w:b/>
          <w:bCs w:val="0"/>
          <w:szCs w:val="24"/>
        </w:rPr>
      </w:pPr>
    </w:p>
    <w:p w:rsidR="001841F6" w:rsidRPr="00F95DDE" w:rsidP="001841F6" w14:paraId="5373AD48" w14:textId="77777777">
      <w:pPr>
        <w:ind w:left="4320"/>
        <w:rPr>
          <w:b/>
          <w:bCs w:val="0"/>
          <w:szCs w:val="24"/>
        </w:rPr>
      </w:pPr>
      <w:r w:rsidRPr="00F95DDE">
        <w:rPr>
          <w:szCs w:val="24"/>
        </w:rPr>
        <w:t>Bruce Weston (0016973)</w:t>
      </w:r>
    </w:p>
    <w:p w:rsidR="001841F6" w:rsidRPr="00F95DDE" w:rsidP="001841F6" w14:paraId="17CB7CB3" w14:textId="77777777">
      <w:pPr>
        <w:ind w:left="4320"/>
        <w:rPr>
          <w:szCs w:val="24"/>
        </w:rPr>
      </w:pPr>
      <w:r w:rsidRPr="00F95DDE">
        <w:rPr>
          <w:szCs w:val="24"/>
        </w:rPr>
        <w:t>Ohio Consumers’ Counsel</w:t>
      </w:r>
    </w:p>
    <w:p w:rsidR="001841F6" w:rsidRPr="00F95DDE" w:rsidP="001841F6" w14:paraId="747B94D3" w14:textId="77777777">
      <w:pPr>
        <w:ind w:left="4320"/>
        <w:rPr>
          <w:b/>
          <w:bCs w:val="0"/>
          <w:szCs w:val="24"/>
        </w:rPr>
      </w:pPr>
    </w:p>
    <w:p w:rsidR="001841F6" w:rsidRPr="00F95DDE" w:rsidP="001841F6" w14:paraId="44094C87" w14:textId="77777777">
      <w:pPr>
        <w:ind w:left="4320"/>
        <w:rPr>
          <w:szCs w:val="24"/>
        </w:rPr>
      </w:pPr>
      <w:r w:rsidRPr="00F95DDE">
        <w:rPr>
          <w:szCs w:val="24"/>
        </w:rPr>
        <w:t>William J. Michael (0070921)</w:t>
      </w:r>
    </w:p>
    <w:p w:rsidR="001841F6" w:rsidRPr="00F95DDE" w:rsidP="001841F6" w14:paraId="33C9A3D8" w14:textId="77777777">
      <w:pPr>
        <w:ind w:left="4320"/>
        <w:rPr>
          <w:szCs w:val="24"/>
        </w:rPr>
      </w:pPr>
      <w:r w:rsidRPr="00F95DDE">
        <w:rPr>
          <w:szCs w:val="24"/>
        </w:rPr>
        <w:t>Counsel of Record</w:t>
      </w:r>
    </w:p>
    <w:p w:rsidR="001841F6" w:rsidRPr="00F95DDE" w:rsidP="001841F6" w14:paraId="599F7646" w14:textId="77777777">
      <w:pPr>
        <w:ind w:left="4320"/>
        <w:rPr>
          <w:szCs w:val="24"/>
        </w:rPr>
      </w:pPr>
      <w:r w:rsidRPr="00F95DDE">
        <w:rPr>
          <w:szCs w:val="24"/>
        </w:rPr>
        <w:t xml:space="preserve">Amy Botschner O’Brien (0074423) </w:t>
      </w:r>
    </w:p>
    <w:p w:rsidR="001841F6" w:rsidRPr="00F95DDE" w:rsidP="001841F6" w14:paraId="55894F58" w14:textId="77777777">
      <w:pPr>
        <w:ind w:left="4320"/>
        <w:rPr>
          <w:szCs w:val="24"/>
        </w:rPr>
      </w:pPr>
      <w:r w:rsidRPr="00F95DDE">
        <w:rPr>
          <w:szCs w:val="24"/>
        </w:rPr>
        <w:t>John Finnigan (0018689)</w:t>
      </w:r>
    </w:p>
    <w:p w:rsidR="001841F6" w:rsidRPr="00F95DDE" w:rsidP="001841F6" w14:paraId="0FB5BCBC" w14:textId="77777777">
      <w:pPr>
        <w:ind w:left="4320"/>
        <w:rPr>
          <w:szCs w:val="24"/>
        </w:rPr>
      </w:pPr>
      <w:r w:rsidRPr="00F95DDE">
        <w:rPr>
          <w:szCs w:val="24"/>
        </w:rPr>
        <w:t>Assistant Consumers’ Counsel</w:t>
      </w:r>
    </w:p>
    <w:p w:rsidR="001841F6" w:rsidRPr="00F95DDE" w:rsidP="001841F6" w14:paraId="4A164300" w14:textId="77777777">
      <w:pPr>
        <w:ind w:left="4320"/>
        <w:rPr>
          <w:szCs w:val="24"/>
        </w:rPr>
      </w:pPr>
    </w:p>
    <w:p w:rsidR="001841F6" w:rsidRPr="00F95DDE" w:rsidP="001841F6" w14:paraId="53153482" w14:textId="77777777">
      <w:pPr>
        <w:pStyle w:val="ListParagraph"/>
        <w:spacing w:after="0"/>
        <w:ind w:left="4320"/>
        <w:rPr>
          <w:rFonts w:ascii="Times New Roman" w:hAnsi="Times New Roman"/>
          <w:b/>
          <w:bCs/>
          <w:sz w:val="24"/>
          <w:szCs w:val="24"/>
        </w:rPr>
      </w:pPr>
      <w:r w:rsidRPr="00F95DDE">
        <w:rPr>
          <w:rFonts w:ascii="Times New Roman" w:hAnsi="Times New Roman"/>
          <w:b/>
          <w:sz w:val="24"/>
          <w:szCs w:val="24"/>
        </w:rPr>
        <w:t>Office of the Ohio Consumers’ Counsel</w:t>
      </w:r>
    </w:p>
    <w:p w:rsidR="001841F6" w:rsidRPr="00F95DDE" w:rsidP="001841F6" w14:paraId="6F8C5370" w14:textId="77777777">
      <w:pPr>
        <w:ind w:left="4320"/>
        <w:rPr>
          <w:szCs w:val="24"/>
        </w:rPr>
      </w:pPr>
      <w:r w:rsidRPr="00F95DDE">
        <w:rPr>
          <w:szCs w:val="24"/>
        </w:rPr>
        <w:t>65 East State Street, 7th Floor</w:t>
      </w:r>
    </w:p>
    <w:p w:rsidR="001841F6" w:rsidRPr="00F95DDE" w:rsidP="001841F6" w14:paraId="7569E552" w14:textId="77777777">
      <w:pPr>
        <w:ind w:left="4320"/>
        <w:rPr>
          <w:szCs w:val="24"/>
        </w:rPr>
      </w:pPr>
      <w:r w:rsidRPr="00F95DDE">
        <w:rPr>
          <w:szCs w:val="24"/>
        </w:rPr>
        <w:t>Columbus, Ohio 43215</w:t>
      </w:r>
    </w:p>
    <w:p w:rsidR="001841F6" w:rsidRPr="00F95DDE" w:rsidP="001841F6" w14:paraId="7A8F81E2" w14:textId="77777777">
      <w:pPr>
        <w:autoSpaceDE w:val="0"/>
        <w:autoSpaceDN w:val="0"/>
        <w:adjustRightInd w:val="0"/>
        <w:ind w:left="4320"/>
        <w:rPr>
          <w:szCs w:val="24"/>
        </w:rPr>
      </w:pPr>
      <w:r w:rsidRPr="00F95DDE">
        <w:rPr>
          <w:szCs w:val="24"/>
        </w:rPr>
        <w:t>Telephone [Michael]: (614) 466-1291</w:t>
      </w:r>
    </w:p>
    <w:p w:rsidR="001841F6" w:rsidRPr="00F95DDE" w:rsidP="001841F6" w14:paraId="6E76A81F" w14:textId="77777777">
      <w:pPr>
        <w:autoSpaceDE w:val="0"/>
        <w:autoSpaceDN w:val="0"/>
        <w:adjustRightInd w:val="0"/>
        <w:ind w:left="4320"/>
        <w:rPr>
          <w:szCs w:val="24"/>
        </w:rPr>
      </w:pPr>
      <w:r w:rsidRPr="00F95DDE">
        <w:rPr>
          <w:szCs w:val="24"/>
        </w:rPr>
        <w:t>Telephone [Botschner O’Brien]: (614) 466-9575</w:t>
      </w:r>
    </w:p>
    <w:p w:rsidR="001841F6" w:rsidRPr="00F95DDE" w:rsidP="001841F6" w14:paraId="591C9230" w14:textId="77777777">
      <w:pPr>
        <w:pStyle w:val="ListParagraph"/>
        <w:autoSpaceDE w:val="0"/>
        <w:autoSpaceDN w:val="0"/>
        <w:adjustRightInd w:val="0"/>
        <w:spacing w:after="0"/>
        <w:ind w:left="4320"/>
        <w:rPr>
          <w:rFonts w:ascii="Times New Roman" w:hAnsi="Times New Roman"/>
          <w:sz w:val="24"/>
          <w:szCs w:val="24"/>
        </w:rPr>
      </w:pPr>
      <w:r w:rsidRPr="00F95DDE">
        <w:rPr>
          <w:rFonts w:ascii="Times New Roman" w:hAnsi="Times New Roman"/>
          <w:sz w:val="24"/>
          <w:szCs w:val="24"/>
        </w:rPr>
        <w:t>Telephone [Finnigan]: (614) 466-9585</w:t>
      </w:r>
    </w:p>
    <w:p w:rsidR="001841F6" w:rsidRPr="00F95DDE" w:rsidP="001841F6" w14:paraId="38212F0D" w14:textId="77777777">
      <w:pPr>
        <w:pStyle w:val="ListParagraph"/>
        <w:autoSpaceDE w:val="0"/>
        <w:autoSpaceDN w:val="0"/>
        <w:adjustRightInd w:val="0"/>
        <w:spacing w:after="0"/>
        <w:ind w:left="4320"/>
        <w:rPr>
          <w:rFonts w:ascii="Times New Roman" w:hAnsi="Times New Roman"/>
          <w:sz w:val="24"/>
          <w:szCs w:val="24"/>
        </w:rPr>
      </w:pPr>
      <w:hyperlink r:id="rId6" w:history="1">
        <w:r w:rsidRPr="00F95DDE" w:rsidR="008530AE">
          <w:rPr>
            <w:rStyle w:val="Hyperlink"/>
            <w:rFonts w:ascii="Times New Roman" w:hAnsi="Times New Roman"/>
            <w:sz w:val="24"/>
            <w:szCs w:val="24"/>
          </w:rPr>
          <w:t>william.michael@occ.ohio.gov</w:t>
        </w:r>
      </w:hyperlink>
    </w:p>
    <w:p w:rsidR="001841F6" w:rsidRPr="00F95DDE" w:rsidP="001841F6" w14:paraId="6C16E9F9" w14:textId="77777777">
      <w:pPr>
        <w:autoSpaceDE w:val="0"/>
        <w:autoSpaceDN w:val="0"/>
        <w:adjustRightInd w:val="0"/>
        <w:ind w:left="4320" w:firstLine="15"/>
        <w:rPr>
          <w:color w:val="0000FF"/>
          <w:szCs w:val="24"/>
          <w:u w:val="single"/>
        </w:rPr>
      </w:pPr>
      <w:r>
        <w:rPr>
          <w:color w:val="0000FF"/>
          <w:szCs w:val="24"/>
          <w:u w:val="single"/>
        </w:rPr>
        <w:t>a</w:t>
      </w:r>
      <w:r w:rsidRPr="00F95DDE">
        <w:rPr>
          <w:color w:val="0000FF"/>
          <w:szCs w:val="24"/>
          <w:u w:val="single"/>
        </w:rPr>
        <w:t xml:space="preserve">my.botschner.obrien@occ.ohio.gov </w:t>
      </w:r>
    </w:p>
    <w:p w:rsidR="001841F6" w:rsidRPr="00F95DDE" w:rsidP="001841F6" w14:paraId="461AF702" w14:textId="77777777">
      <w:pPr>
        <w:pStyle w:val="ListParagraph"/>
        <w:autoSpaceDE w:val="0"/>
        <w:autoSpaceDN w:val="0"/>
        <w:adjustRightInd w:val="0"/>
        <w:ind w:left="4320" w:firstLine="15"/>
        <w:rPr>
          <w:rStyle w:val="Hyperlink"/>
          <w:rFonts w:ascii="Times New Roman" w:hAnsi="Times New Roman"/>
          <w:sz w:val="24"/>
          <w:szCs w:val="24"/>
        </w:rPr>
      </w:pPr>
      <w:hyperlink r:id="rId7" w:history="1">
        <w:r w:rsidRPr="00F95DDE" w:rsidR="008530AE">
          <w:rPr>
            <w:rStyle w:val="Hyperlink"/>
            <w:rFonts w:ascii="Times New Roman" w:hAnsi="Times New Roman"/>
            <w:sz w:val="24"/>
            <w:szCs w:val="24"/>
          </w:rPr>
          <w:t>john.finnigan@occ.ohio.gov</w:t>
        </w:r>
      </w:hyperlink>
    </w:p>
    <w:p w:rsidR="001841F6" w:rsidP="001841F6" w14:paraId="1382E3D1" w14:textId="6CDBD497">
      <w:pPr>
        <w:pStyle w:val="ListParagraph"/>
        <w:autoSpaceDE w:val="0"/>
        <w:autoSpaceDN w:val="0"/>
        <w:adjustRightInd w:val="0"/>
        <w:ind w:left="4320" w:firstLine="15"/>
        <w:rPr>
          <w:rStyle w:val="Hyperlink"/>
          <w:rFonts w:ascii="Times New Roman" w:hAnsi="Times New Roman"/>
          <w:bCs/>
          <w:color w:val="auto"/>
          <w:sz w:val="24"/>
          <w:szCs w:val="24"/>
          <w:u w:val="none"/>
        </w:rPr>
      </w:pPr>
      <w:r w:rsidRPr="00F95DDE">
        <w:rPr>
          <w:rStyle w:val="Hyperlink"/>
          <w:rFonts w:ascii="Times New Roman" w:hAnsi="Times New Roman"/>
          <w:color w:val="auto"/>
          <w:sz w:val="24"/>
          <w:szCs w:val="24"/>
          <w:u w:val="none"/>
        </w:rPr>
        <w:t>(willing to accept service by e-mail)</w:t>
      </w:r>
    </w:p>
    <w:p w:rsidR="001841F6" w14:paraId="48778E94" w14:textId="77777777">
      <w:pPr>
        <w:rPr>
          <w:rStyle w:val="Hyperlink"/>
          <w:rFonts w:eastAsia="Calibri"/>
          <w:bCs w:val="0"/>
          <w:color w:val="auto"/>
          <w:szCs w:val="24"/>
          <w:u w:val="none"/>
        </w:rPr>
      </w:pPr>
      <w:r>
        <w:rPr>
          <w:rStyle w:val="Hyperlink"/>
          <w:color w:val="auto"/>
          <w:szCs w:val="24"/>
          <w:u w:val="none"/>
        </w:rPr>
        <w:br w:type="page"/>
      </w:r>
    </w:p>
    <w:p w:rsidR="001841F6" w:rsidP="001841F6" w14:paraId="67FFB57F" w14:textId="77777777">
      <w:pPr>
        <w:autoSpaceDE w:val="0"/>
        <w:autoSpaceDN w:val="0"/>
        <w:adjustRightInd w:val="0"/>
        <w:ind w:left="4320"/>
        <w:rPr>
          <w:szCs w:val="24"/>
        </w:rPr>
      </w:pPr>
      <w:r w:rsidRPr="00B0075A">
        <w:rPr>
          <w:szCs w:val="24"/>
        </w:rPr>
        <w:t xml:space="preserve">Kimberly W. Bojko (0069402) </w:t>
      </w:r>
    </w:p>
    <w:p w:rsidR="001841F6" w:rsidRPr="00B0075A" w:rsidP="001841F6" w14:paraId="57E2AB24" w14:textId="77777777">
      <w:pPr>
        <w:autoSpaceDE w:val="0"/>
        <w:autoSpaceDN w:val="0"/>
        <w:adjustRightInd w:val="0"/>
        <w:ind w:left="4320"/>
        <w:rPr>
          <w:szCs w:val="24"/>
        </w:rPr>
      </w:pPr>
      <w:r w:rsidRPr="00B0075A">
        <w:rPr>
          <w:szCs w:val="24"/>
        </w:rPr>
        <w:t>(Counsel of Record)</w:t>
      </w:r>
    </w:p>
    <w:p w:rsidR="001841F6" w:rsidRPr="00B0075A" w:rsidP="001841F6" w14:paraId="2DCC7466" w14:textId="77777777">
      <w:pPr>
        <w:autoSpaceDE w:val="0"/>
        <w:autoSpaceDN w:val="0"/>
        <w:adjustRightInd w:val="0"/>
        <w:ind w:left="4320"/>
        <w:rPr>
          <w:szCs w:val="24"/>
        </w:rPr>
      </w:pPr>
      <w:r w:rsidRPr="00B0075A">
        <w:rPr>
          <w:szCs w:val="24"/>
        </w:rPr>
        <w:t>Thomas V. Donadio (0100027)</w:t>
      </w:r>
    </w:p>
    <w:p w:rsidR="001841F6" w:rsidRPr="00B0075A" w:rsidP="001841F6" w14:paraId="179A2B3F" w14:textId="77777777">
      <w:pPr>
        <w:autoSpaceDE w:val="0"/>
        <w:autoSpaceDN w:val="0"/>
        <w:adjustRightInd w:val="0"/>
        <w:ind w:left="4320"/>
        <w:rPr>
          <w:szCs w:val="24"/>
        </w:rPr>
      </w:pPr>
      <w:r w:rsidRPr="00B0075A">
        <w:rPr>
          <w:szCs w:val="24"/>
        </w:rPr>
        <w:t>Carpenter Lipps &amp; Leland LLP</w:t>
      </w:r>
    </w:p>
    <w:p w:rsidR="001841F6" w:rsidRPr="00B0075A" w:rsidP="001841F6" w14:paraId="1079E096" w14:textId="77777777">
      <w:pPr>
        <w:autoSpaceDE w:val="0"/>
        <w:autoSpaceDN w:val="0"/>
        <w:adjustRightInd w:val="0"/>
        <w:ind w:left="4320"/>
        <w:rPr>
          <w:szCs w:val="24"/>
        </w:rPr>
      </w:pPr>
      <w:r w:rsidRPr="00B0075A">
        <w:rPr>
          <w:szCs w:val="24"/>
        </w:rPr>
        <w:t>280 North High Street, Suite 1300</w:t>
      </w:r>
    </w:p>
    <w:p w:rsidR="001841F6" w:rsidRPr="00B0075A" w:rsidP="001841F6" w14:paraId="2EA9A605" w14:textId="77777777">
      <w:pPr>
        <w:autoSpaceDE w:val="0"/>
        <w:autoSpaceDN w:val="0"/>
        <w:adjustRightInd w:val="0"/>
        <w:ind w:left="4320"/>
        <w:rPr>
          <w:szCs w:val="24"/>
        </w:rPr>
      </w:pPr>
      <w:r w:rsidRPr="00B0075A">
        <w:rPr>
          <w:szCs w:val="24"/>
        </w:rPr>
        <w:t>Columbus, Ohio 43215</w:t>
      </w:r>
    </w:p>
    <w:p w:rsidR="001841F6" w:rsidRPr="00B0075A" w:rsidP="001841F6" w14:paraId="3D52EB41" w14:textId="77777777">
      <w:pPr>
        <w:autoSpaceDE w:val="0"/>
        <w:autoSpaceDN w:val="0"/>
        <w:adjustRightInd w:val="0"/>
        <w:ind w:left="4320"/>
        <w:rPr>
          <w:szCs w:val="24"/>
        </w:rPr>
      </w:pPr>
      <w:r w:rsidRPr="00B0075A">
        <w:rPr>
          <w:szCs w:val="24"/>
        </w:rPr>
        <w:t>Telephone: (614) 365-4100</w:t>
      </w:r>
    </w:p>
    <w:p w:rsidR="001841F6" w:rsidRPr="00B0075A" w:rsidP="001841F6" w14:paraId="3117E37F" w14:textId="77777777">
      <w:pPr>
        <w:autoSpaceDE w:val="0"/>
        <w:autoSpaceDN w:val="0"/>
        <w:adjustRightInd w:val="0"/>
        <w:ind w:left="4320"/>
        <w:rPr>
          <w:color w:val="0000FF"/>
          <w:szCs w:val="24"/>
          <w:u w:val="single"/>
        </w:rPr>
      </w:pPr>
      <w:r w:rsidRPr="00B0075A">
        <w:rPr>
          <w:color w:val="0000FF"/>
          <w:szCs w:val="24"/>
          <w:u w:val="single"/>
        </w:rPr>
        <w:t>bojko@carpenterlipps.com</w:t>
      </w:r>
    </w:p>
    <w:p w:rsidR="001841F6" w:rsidRPr="00B0075A" w:rsidP="001841F6" w14:paraId="7C7F5287" w14:textId="77777777">
      <w:pPr>
        <w:autoSpaceDE w:val="0"/>
        <w:autoSpaceDN w:val="0"/>
        <w:adjustRightInd w:val="0"/>
        <w:ind w:left="4320"/>
        <w:rPr>
          <w:color w:val="0000FF"/>
          <w:szCs w:val="24"/>
          <w:u w:val="single"/>
        </w:rPr>
      </w:pPr>
      <w:r w:rsidRPr="00B0075A">
        <w:rPr>
          <w:color w:val="0000FF"/>
          <w:szCs w:val="24"/>
          <w:u w:val="single"/>
        </w:rPr>
        <w:t>donadio@carpenterlipps.com</w:t>
      </w:r>
    </w:p>
    <w:p w:rsidR="001841F6" w:rsidRPr="001841F6" w:rsidP="001841F6" w14:paraId="3B8E0B9D" w14:textId="77777777">
      <w:pPr>
        <w:autoSpaceDE w:val="0"/>
        <w:autoSpaceDN w:val="0"/>
        <w:adjustRightInd w:val="0"/>
        <w:ind w:left="4320"/>
        <w:rPr>
          <w:szCs w:val="24"/>
        </w:rPr>
      </w:pPr>
      <w:r w:rsidRPr="001841F6">
        <w:rPr>
          <w:szCs w:val="24"/>
        </w:rPr>
        <w:t>(willing to accept service by e-mail)</w:t>
      </w:r>
    </w:p>
    <w:p w:rsidR="001841F6" w:rsidRPr="001841F6" w:rsidP="001841F6" w14:paraId="53606891" w14:textId="77777777">
      <w:pPr>
        <w:autoSpaceDE w:val="0"/>
        <w:autoSpaceDN w:val="0"/>
        <w:adjustRightInd w:val="0"/>
        <w:rPr>
          <w:szCs w:val="24"/>
        </w:rPr>
      </w:pPr>
    </w:p>
    <w:p w:rsidR="001841F6" w:rsidRPr="004C3EBD" w:rsidP="001841F6" w14:paraId="3498570C" w14:textId="50EA61E7">
      <w:pPr>
        <w:ind w:left="4320" w:hanging="4320"/>
      </w:pPr>
      <w:r w:rsidRPr="001841F6">
        <w:rPr>
          <w:szCs w:val="24"/>
        </w:rPr>
        <w:t>February 1, 2021</w:t>
      </w:r>
      <w:r>
        <w:rPr>
          <w:i/>
          <w:iCs/>
          <w:szCs w:val="24"/>
        </w:rPr>
        <w:tab/>
      </w:r>
      <w:r w:rsidRPr="00B0075A">
        <w:rPr>
          <w:i/>
          <w:iCs/>
          <w:szCs w:val="24"/>
        </w:rPr>
        <w:t>Counsel for the Ohio Manufacturers’ Association Energy Group</w:t>
      </w:r>
    </w:p>
    <w:p w:rsidR="001841F6" w:rsidP="001841F6" w14:paraId="047C4AE6" w14:textId="2F52143A">
      <w:pPr>
        <w:ind w:left="4410"/>
        <w:rPr>
          <w:b/>
          <w:bCs w:val="0"/>
          <w:szCs w:val="24"/>
        </w:rPr>
      </w:pPr>
    </w:p>
    <w:p w:rsidR="001841F6" w:rsidP="00855ADD" w14:paraId="020C118E" w14:textId="48D10A20">
      <w:pPr>
        <w:pStyle w:val="Title"/>
      </w:pPr>
    </w:p>
    <w:p w:rsidR="001841F6" w:rsidRPr="001841F6" w:rsidP="001841F6" w14:paraId="167E5734" w14:textId="77777777"/>
    <w:p w:rsidR="001841F6" w:rsidP="001841F6" w14:paraId="34428467" w14:textId="77777777"/>
    <w:p w:rsidR="001841F6" w:rsidRPr="001841F6" w:rsidP="001841F6" w14:paraId="7A754DE6" w14:textId="240A2537">
      <w:pPr>
        <w:sectPr w:rsidSect="00E10FA6">
          <w:footerReference w:type="default" r:id="rId8"/>
          <w:pgSz w:w="12240" w:h="15840"/>
          <w:pgMar w:top="1440" w:right="1440" w:bottom="1440" w:left="1440" w:header="720" w:footer="720" w:gutter="0"/>
          <w:cols w:space="720"/>
          <w:titlePg/>
          <w:docGrid w:linePitch="360"/>
        </w:sectPr>
      </w:pPr>
    </w:p>
    <w:p w:rsidR="00297E12" w:rsidRPr="00297E12" w:rsidP="00855ADD" w14:paraId="010D3CBE" w14:textId="4D6DBBC8">
      <w:pPr>
        <w:pStyle w:val="Title"/>
        <w:rPr>
          <w:u w:val="single"/>
        </w:rPr>
      </w:pPr>
      <w:r w:rsidRPr="00297E12">
        <w:rPr>
          <w:u w:val="single"/>
        </w:rPr>
        <w:t>TABLE OF CONTENTS</w:t>
      </w:r>
    </w:p>
    <w:p w:rsidR="00297E12" w:rsidRPr="00297E12" w:rsidP="00297E12" w14:paraId="05C9BECD" w14:textId="27A97B77">
      <w:pPr>
        <w:rPr>
          <w:b/>
        </w:rPr>
      </w:pPr>
    </w:p>
    <w:p w:rsidR="00297E12" w:rsidP="00297E12" w14:paraId="2BF25887" w14:textId="1E84AC69">
      <w:pPr>
        <w:jc w:val="right"/>
        <w:rPr>
          <w:b/>
        </w:rPr>
      </w:pPr>
      <w:r w:rsidRPr="00297E12">
        <w:rPr>
          <w:b/>
        </w:rPr>
        <w:t>PAGE</w:t>
      </w:r>
    </w:p>
    <w:p w:rsidR="00297E12" w:rsidP="00297E12" w14:paraId="62D70039" w14:textId="0DA20295">
      <w:pPr>
        <w:jc w:val="right"/>
        <w:rPr>
          <w:b/>
        </w:rPr>
      </w:pPr>
    </w:p>
    <w:p w:rsidR="00404781" w14:paraId="519C443C" w14:textId="4BD70BF6">
      <w:pPr>
        <w:pStyle w:val="TOC1"/>
        <w:rPr>
          <w:rFonts w:asciiTheme="minorHAnsi" w:eastAsiaTheme="minorEastAsia" w:hAnsiTheme="minorHAnsi" w:cstheme="minorBidi"/>
          <w:bCs w:val="0"/>
          <w:noProof/>
          <w:color w:val="auto"/>
          <w:sz w:val="22"/>
          <w:szCs w:val="22"/>
        </w:rPr>
      </w:pPr>
      <w:r>
        <w:rPr>
          <w:b/>
        </w:rPr>
        <w:fldChar w:fldCharType="begin"/>
      </w:r>
      <w:r>
        <w:rPr>
          <w:b/>
        </w:rPr>
        <w:instrText xml:space="preserve"> TOC \o "1-3" \h \z \u </w:instrText>
      </w:r>
      <w:r>
        <w:rPr>
          <w:b/>
        </w:rPr>
        <w:fldChar w:fldCharType="separate"/>
      </w:r>
      <w:hyperlink w:anchor="_Toc63083178" w:history="1">
        <w:r w:rsidRPr="00C6013C">
          <w:rPr>
            <w:rStyle w:val="Hyperlink"/>
            <w:noProof/>
          </w:rPr>
          <w:t>I.</w:t>
        </w:r>
        <w:r>
          <w:rPr>
            <w:rFonts w:asciiTheme="minorHAnsi" w:eastAsiaTheme="minorEastAsia" w:hAnsiTheme="minorHAnsi" w:cstheme="minorBidi"/>
            <w:bCs w:val="0"/>
            <w:noProof/>
            <w:color w:val="auto"/>
            <w:sz w:val="22"/>
            <w:szCs w:val="22"/>
          </w:rPr>
          <w:tab/>
        </w:r>
        <w:r w:rsidRPr="00C6013C">
          <w:rPr>
            <w:rStyle w:val="Hyperlink"/>
            <w:noProof/>
          </w:rPr>
          <w:t>INTRODUCTION</w:t>
        </w:r>
        <w:r>
          <w:rPr>
            <w:noProof/>
            <w:webHidden/>
          </w:rPr>
          <w:tab/>
        </w:r>
        <w:r>
          <w:rPr>
            <w:noProof/>
            <w:webHidden/>
          </w:rPr>
          <w:fldChar w:fldCharType="begin"/>
        </w:r>
        <w:r>
          <w:rPr>
            <w:noProof/>
            <w:webHidden/>
          </w:rPr>
          <w:instrText xml:space="preserve"> PAGEREF _Toc63083178 \h </w:instrText>
        </w:r>
        <w:r>
          <w:rPr>
            <w:noProof/>
            <w:webHidden/>
          </w:rPr>
          <w:fldChar w:fldCharType="separate"/>
        </w:r>
        <w:r>
          <w:rPr>
            <w:noProof/>
            <w:webHidden/>
          </w:rPr>
          <w:t>1</w:t>
        </w:r>
        <w:r>
          <w:rPr>
            <w:noProof/>
            <w:webHidden/>
          </w:rPr>
          <w:fldChar w:fldCharType="end"/>
        </w:r>
      </w:hyperlink>
    </w:p>
    <w:p w:rsidR="00404781" w14:paraId="72F298D2" w14:textId="08FE93D4">
      <w:pPr>
        <w:pStyle w:val="TOC1"/>
        <w:rPr>
          <w:rFonts w:asciiTheme="minorHAnsi" w:eastAsiaTheme="minorEastAsia" w:hAnsiTheme="minorHAnsi" w:cstheme="minorBidi"/>
          <w:bCs w:val="0"/>
          <w:noProof/>
          <w:color w:val="auto"/>
          <w:sz w:val="22"/>
          <w:szCs w:val="22"/>
        </w:rPr>
      </w:pPr>
      <w:hyperlink w:anchor="_Toc63083179" w:history="1">
        <w:r w:rsidRPr="00C6013C" w:rsidR="008530AE">
          <w:rPr>
            <w:rStyle w:val="Hyperlink"/>
            <w:noProof/>
          </w:rPr>
          <w:t>II.</w:t>
        </w:r>
        <w:r w:rsidR="008530AE">
          <w:rPr>
            <w:rFonts w:asciiTheme="minorHAnsi" w:eastAsiaTheme="minorEastAsia" w:hAnsiTheme="minorHAnsi" w:cstheme="minorBidi"/>
            <w:bCs w:val="0"/>
            <w:noProof/>
            <w:color w:val="auto"/>
            <w:sz w:val="22"/>
            <w:szCs w:val="22"/>
          </w:rPr>
          <w:tab/>
        </w:r>
        <w:r w:rsidRPr="00C6013C" w:rsidR="008530AE">
          <w:rPr>
            <w:rStyle w:val="Hyperlink"/>
            <w:noProof/>
          </w:rPr>
          <w:t>LAW AND ARGUMENT</w:t>
        </w:r>
        <w:r w:rsidR="008530AE">
          <w:rPr>
            <w:noProof/>
            <w:webHidden/>
          </w:rPr>
          <w:tab/>
        </w:r>
        <w:r w:rsidR="008530AE">
          <w:rPr>
            <w:noProof/>
            <w:webHidden/>
          </w:rPr>
          <w:fldChar w:fldCharType="begin"/>
        </w:r>
        <w:r w:rsidR="008530AE">
          <w:rPr>
            <w:noProof/>
            <w:webHidden/>
          </w:rPr>
          <w:instrText xml:space="preserve"> PAGEREF _Toc63083179 \h </w:instrText>
        </w:r>
        <w:r w:rsidR="008530AE">
          <w:rPr>
            <w:noProof/>
            <w:webHidden/>
          </w:rPr>
          <w:fldChar w:fldCharType="separate"/>
        </w:r>
        <w:r w:rsidR="008530AE">
          <w:rPr>
            <w:noProof/>
            <w:webHidden/>
          </w:rPr>
          <w:t>4</w:t>
        </w:r>
        <w:r w:rsidR="008530AE">
          <w:rPr>
            <w:noProof/>
            <w:webHidden/>
          </w:rPr>
          <w:fldChar w:fldCharType="end"/>
        </w:r>
      </w:hyperlink>
    </w:p>
    <w:p w:rsidR="00404781" w14:paraId="5FDDA720" w14:textId="2393A76C">
      <w:pPr>
        <w:pStyle w:val="TOC2"/>
        <w:tabs>
          <w:tab w:val="left" w:pos="1440"/>
          <w:tab w:val="right" w:leader="dot" w:pos="9350"/>
        </w:tabs>
        <w:rPr>
          <w:rFonts w:asciiTheme="minorHAnsi" w:eastAsiaTheme="minorEastAsia" w:hAnsiTheme="minorHAnsi" w:cstheme="minorBidi"/>
          <w:bCs w:val="0"/>
          <w:noProof/>
          <w:color w:val="auto"/>
          <w:sz w:val="22"/>
          <w:szCs w:val="22"/>
        </w:rPr>
      </w:pPr>
      <w:hyperlink w:anchor="_Toc63083180" w:history="1">
        <w:r w:rsidRPr="00C6013C" w:rsidR="008530AE">
          <w:rPr>
            <w:rStyle w:val="Hyperlink"/>
            <w:noProof/>
          </w:rPr>
          <w:t>A.</w:t>
        </w:r>
        <w:r w:rsidR="008530AE">
          <w:rPr>
            <w:rFonts w:asciiTheme="minorHAnsi" w:eastAsiaTheme="minorEastAsia" w:hAnsiTheme="minorHAnsi" w:cstheme="minorBidi"/>
            <w:bCs w:val="0"/>
            <w:noProof/>
            <w:color w:val="auto"/>
            <w:sz w:val="22"/>
            <w:szCs w:val="22"/>
          </w:rPr>
          <w:tab/>
        </w:r>
        <w:r w:rsidRPr="00C6013C" w:rsidR="008530AE">
          <w:rPr>
            <w:rStyle w:val="Hyperlink"/>
            <w:noProof/>
          </w:rPr>
          <w:t>The PUCO should dismiss DP&amp;L’s motion because DP&amp;L filed the wrong pleading and violated the Ohio Administrative Code.</w:t>
        </w:r>
        <w:r w:rsidR="008530AE">
          <w:rPr>
            <w:noProof/>
            <w:webHidden/>
          </w:rPr>
          <w:tab/>
        </w:r>
        <w:r w:rsidR="008530AE">
          <w:rPr>
            <w:noProof/>
            <w:webHidden/>
          </w:rPr>
          <w:fldChar w:fldCharType="begin"/>
        </w:r>
        <w:r w:rsidR="008530AE">
          <w:rPr>
            <w:noProof/>
            <w:webHidden/>
          </w:rPr>
          <w:instrText xml:space="preserve"> PAGEREF _Toc63083180 \h </w:instrText>
        </w:r>
        <w:r w:rsidR="008530AE">
          <w:rPr>
            <w:noProof/>
            <w:webHidden/>
          </w:rPr>
          <w:fldChar w:fldCharType="separate"/>
        </w:r>
        <w:r w:rsidR="008530AE">
          <w:rPr>
            <w:noProof/>
            <w:webHidden/>
          </w:rPr>
          <w:t>4</w:t>
        </w:r>
        <w:r w:rsidR="008530AE">
          <w:rPr>
            <w:noProof/>
            <w:webHidden/>
          </w:rPr>
          <w:fldChar w:fldCharType="end"/>
        </w:r>
      </w:hyperlink>
    </w:p>
    <w:p w:rsidR="00404781" w14:paraId="556153C3" w14:textId="56DDCD85">
      <w:pPr>
        <w:pStyle w:val="TOC2"/>
        <w:tabs>
          <w:tab w:val="left" w:pos="1440"/>
          <w:tab w:val="right" w:leader="dot" w:pos="9350"/>
        </w:tabs>
        <w:rPr>
          <w:rFonts w:asciiTheme="minorHAnsi" w:eastAsiaTheme="minorEastAsia" w:hAnsiTheme="minorHAnsi" w:cstheme="minorBidi"/>
          <w:bCs w:val="0"/>
          <w:noProof/>
          <w:color w:val="auto"/>
          <w:sz w:val="22"/>
          <w:szCs w:val="22"/>
        </w:rPr>
      </w:pPr>
      <w:hyperlink w:anchor="_Toc63083181" w:history="1">
        <w:r w:rsidRPr="00C6013C" w:rsidR="008530AE">
          <w:rPr>
            <w:rStyle w:val="Hyperlink"/>
            <w:noProof/>
          </w:rPr>
          <w:t>B.</w:t>
        </w:r>
        <w:r w:rsidR="008530AE">
          <w:rPr>
            <w:rFonts w:asciiTheme="minorHAnsi" w:eastAsiaTheme="minorEastAsia" w:hAnsiTheme="minorHAnsi" w:cstheme="minorBidi"/>
            <w:bCs w:val="0"/>
            <w:noProof/>
            <w:color w:val="auto"/>
            <w:sz w:val="22"/>
            <w:szCs w:val="22"/>
          </w:rPr>
          <w:tab/>
        </w:r>
        <w:r w:rsidRPr="00C6013C" w:rsidR="008530AE">
          <w:rPr>
            <w:rStyle w:val="Hyperlink"/>
            <w:noProof/>
          </w:rPr>
          <w:t xml:space="preserve">DP&amp;L is required to demonstrate in a motion, if it can, that a protective </w:t>
        </w:r>
        <w:r w:rsidR="008530AE">
          <w:rPr>
            <w:rStyle w:val="Hyperlink"/>
            <w:noProof/>
          </w:rPr>
          <w:br/>
        </w:r>
        <w:r w:rsidRPr="00C6013C" w:rsidR="008530AE">
          <w:rPr>
            <w:rStyle w:val="Hyperlink"/>
            <w:noProof/>
          </w:rPr>
          <w:t xml:space="preserve">order is necessary to shield it from annoyance, embarrassment, oppression, </w:t>
        </w:r>
        <w:r w:rsidR="008530AE">
          <w:rPr>
            <w:rStyle w:val="Hyperlink"/>
            <w:noProof/>
          </w:rPr>
          <w:br/>
        </w:r>
        <w:r w:rsidRPr="00C6013C" w:rsidR="008530AE">
          <w:rPr>
            <w:rStyle w:val="Hyperlink"/>
            <w:noProof/>
          </w:rPr>
          <w:t>or undue burden or expense. It failed to do so.</w:t>
        </w:r>
        <w:r w:rsidR="008530AE">
          <w:rPr>
            <w:noProof/>
            <w:webHidden/>
          </w:rPr>
          <w:tab/>
        </w:r>
        <w:r w:rsidR="008530AE">
          <w:rPr>
            <w:noProof/>
            <w:webHidden/>
          </w:rPr>
          <w:fldChar w:fldCharType="begin"/>
        </w:r>
        <w:r w:rsidR="008530AE">
          <w:rPr>
            <w:noProof/>
            <w:webHidden/>
          </w:rPr>
          <w:instrText xml:space="preserve"> PAGEREF _Toc63083181 \h </w:instrText>
        </w:r>
        <w:r w:rsidR="008530AE">
          <w:rPr>
            <w:noProof/>
            <w:webHidden/>
          </w:rPr>
          <w:fldChar w:fldCharType="separate"/>
        </w:r>
        <w:r w:rsidR="008530AE">
          <w:rPr>
            <w:noProof/>
            <w:webHidden/>
          </w:rPr>
          <w:t>5</w:t>
        </w:r>
        <w:r w:rsidR="008530AE">
          <w:rPr>
            <w:noProof/>
            <w:webHidden/>
          </w:rPr>
          <w:fldChar w:fldCharType="end"/>
        </w:r>
      </w:hyperlink>
    </w:p>
    <w:p w:rsidR="00404781" w14:paraId="11D73137" w14:textId="16223DF0">
      <w:pPr>
        <w:pStyle w:val="TOC2"/>
        <w:tabs>
          <w:tab w:val="left" w:pos="1440"/>
          <w:tab w:val="right" w:leader="dot" w:pos="9350"/>
        </w:tabs>
        <w:rPr>
          <w:rFonts w:asciiTheme="minorHAnsi" w:eastAsiaTheme="minorEastAsia" w:hAnsiTheme="minorHAnsi" w:cstheme="minorBidi"/>
          <w:bCs w:val="0"/>
          <w:noProof/>
          <w:color w:val="auto"/>
          <w:sz w:val="22"/>
          <w:szCs w:val="22"/>
        </w:rPr>
      </w:pPr>
      <w:hyperlink w:anchor="_Toc63083182" w:history="1">
        <w:r w:rsidRPr="00C6013C" w:rsidR="008530AE">
          <w:rPr>
            <w:rStyle w:val="Hyperlink"/>
            <w:rFonts w:eastAsia="Calibri"/>
            <w:noProof/>
          </w:rPr>
          <w:t>C.</w:t>
        </w:r>
        <w:r w:rsidR="008530AE">
          <w:rPr>
            <w:rFonts w:asciiTheme="minorHAnsi" w:eastAsiaTheme="minorEastAsia" w:hAnsiTheme="minorHAnsi" w:cstheme="minorBidi"/>
            <w:bCs w:val="0"/>
            <w:noProof/>
            <w:color w:val="auto"/>
            <w:sz w:val="22"/>
            <w:szCs w:val="22"/>
          </w:rPr>
          <w:tab/>
        </w:r>
        <w:r w:rsidRPr="00C6013C" w:rsidR="008530AE">
          <w:rPr>
            <w:rStyle w:val="Hyperlink"/>
            <w:noProof/>
          </w:rPr>
          <w:t xml:space="preserve">OCC and OMAEG have a right to take depositions for consumer protection </w:t>
        </w:r>
        <w:r w:rsidR="008530AE">
          <w:rPr>
            <w:rStyle w:val="Hyperlink"/>
            <w:noProof/>
          </w:rPr>
          <w:br/>
        </w:r>
        <w:r w:rsidRPr="00C6013C" w:rsidR="008530AE">
          <w:rPr>
            <w:rStyle w:val="Hyperlink"/>
            <w:noProof/>
          </w:rPr>
          <w:t>under Ohio law and the Ohio Administrative Code.</w:t>
        </w:r>
        <w:r w:rsidR="008530AE">
          <w:rPr>
            <w:noProof/>
            <w:webHidden/>
          </w:rPr>
          <w:tab/>
        </w:r>
        <w:r w:rsidR="008530AE">
          <w:rPr>
            <w:noProof/>
            <w:webHidden/>
          </w:rPr>
          <w:fldChar w:fldCharType="begin"/>
        </w:r>
        <w:r w:rsidR="008530AE">
          <w:rPr>
            <w:noProof/>
            <w:webHidden/>
          </w:rPr>
          <w:instrText xml:space="preserve"> PAGEREF _Toc63083182 \h </w:instrText>
        </w:r>
        <w:r w:rsidR="008530AE">
          <w:rPr>
            <w:noProof/>
            <w:webHidden/>
          </w:rPr>
          <w:fldChar w:fldCharType="separate"/>
        </w:r>
        <w:r w:rsidR="008530AE">
          <w:rPr>
            <w:noProof/>
            <w:webHidden/>
          </w:rPr>
          <w:t>6</w:t>
        </w:r>
        <w:r w:rsidR="008530AE">
          <w:rPr>
            <w:noProof/>
            <w:webHidden/>
          </w:rPr>
          <w:fldChar w:fldCharType="end"/>
        </w:r>
      </w:hyperlink>
    </w:p>
    <w:p w:rsidR="00404781" w14:paraId="0787C880" w14:textId="38F31D78">
      <w:pPr>
        <w:pStyle w:val="TOC2"/>
        <w:tabs>
          <w:tab w:val="left" w:pos="1440"/>
          <w:tab w:val="right" w:leader="dot" w:pos="9350"/>
        </w:tabs>
        <w:rPr>
          <w:rFonts w:asciiTheme="minorHAnsi" w:eastAsiaTheme="minorEastAsia" w:hAnsiTheme="minorHAnsi" w:cstheme="minorBidi"/>
          <w:bCs w:val="0"/>
          <w:noProof/>
          <w:color w:val="auto"/>
          <w:sz w:val="22"/>
          <w:szCs w:val="22"/>
        </w:rPr>
      </w:pPr>
      <w:hyperlink w:anchor="_Toc63083183" w:history="1">
        <w:r w:rsidRPr="00C6013C" w:rsidR="008530AE">
          <w:rPr>
            <w:rStyle w:val="Hyperlink"/>
            <w:noProof/>
          </w:rPr>
          <w:t>D.</w:t>
        </w:r>
        <w:r w:rsidR="008530AE">
          <w:rPr>
            <w:rFonts w:asciiTheme="minorHAnsi" w:eastAsiaTheme="minorEastAsia" w:hAnsiTheme="minorHAnsi" w:cstheme="minorBidi"/>
            <w:bCs w:val="0"/>
            <w:noProof/>
            <w:color w:val="auto"/>
            <w:sz w:val="22"/>
            <w:szCs w:val="22"/>
          </w:rPr>
          <w:tab/>
        </w:r>
        <w:r w:rsidRPr="00C6013C" w:rsidR="008530AE">
          <w:rPr>
            <w:rStyle w:val="Hyperlink"/>
            <w:noProof/>
          </w:rPr>
          <w:t>Parties are not limited to choosing one form of discovery over another.</w:t>
        </w:r>
        <w:r w:rsidR="008530AE">
          <w:rPr>
            <w:noProof/>
            <w:webHidden/>
          </w:rPr>
          <w:tab/>
        </w:r>
        <w:r w:rsidR="008530AE">
          <w:rPr>
            <w:noProof/>
            <w:webHidden/>
          </w:rPr>
          <w:fldChar w:fldCharType="begin"/>
        </w:r>
        <w:r w:rsidR="008530AE">
          <w:rPr>
            <w:noProof/>
            <w:webHidden/>
          </w:rPr>
          <w:instrText xml:space="preserve"> PAGEREF _Toc63083183 \h </w:instrText>
        </w:r>
        <w:r w:rsidR="008530AE">
          <w:rPr>
            <w:noProof/>
            <w:webHidden/>
          </w:rPr>
          <w:fldChar w:fldCharType="separate"/>
        </w:r>
        <w:r w:rsidR="008530AE">
          <w:rPr>
            <w:noProof/>
            <w:webHidden/>
          </w:rPr>
          <w:t>8</w:t>
        </w:r>
        <w:r w:rsidR="008530AE">
          <w:rPr>
            <w:noProof/>
            <w:webHidden/>
          </w:rPr>
          <w:fldChar w:fldCharType="end"/>
        </w:r>
      </w:hyperlink>
    </w:p>
    <w:p w:rsidR="00404781" w14:paraId="7F238ED8" w14:textId="5FD873FB">
      <w:pPr>
        <w:pStyle w:val="TOC2"/>
        <w:tabs>
          <w:tab w:val="left" w:pos="1440"/>
          <w:tab w:val="right" w:leader="dot" w:pos="9350"/>
        </w:tabs>
        <w:rPr>
          <w:rFonts w:asciiTheme="minorHAnsi" w:eastAsiaTheme="minorEastAsia" w:hAnsiTheme="minorHAnsi" w:cstheme="minorBidi"/>
          <w:bCs w:val="0"/>
          <w:noProof/>
          <w:color w:val="auto"/>
          <w:sz w:val="22"/>
          <w:szCs w:val="22"/>
        </w:rPr>
      </w:pPr>
      <w:hyperlink w:anchor="_Toc63083184" w:history="1">
        <w:r w:rsidRPr="00C6013C" w:rsidR="008530AE">
          <w:rPr>
            <w:rStyle w:val="Hyperlink"/>
            <w:noProof/>
          </w:rPr>
          <w:t>E.</w:t>
        </w:r>
        <w:r w:rsidR="008530AE">
          <w:rPr>
            <w:rFonts w:asciiTheme="minorHAnsi" w:eastAsiaTheme="minorEastAsia" w:hAnsiTheme="minorHAnsi" w:cstheme="minorBidi"/>
            <w:bCs w:val="0"/>
            <w:noProof/>
            <w:color w:val="auto"/>
            <w:sz w:val="22"/>
            <w:szCs w:val="22"/>
          </w:rPr>
          <w:tab/>
        </w:r>
        <w:r w:rsidRPr="00C6013C" w:rsidR="008530AE">
          <w:rPr>
            <w:rStyle w:val="Hyperlink"/>
            <w:noProof/>
          </w:rPr>
          <w:t xml:space="preserve">Neither the Ohio Administrative Code nor PUCO precedent precludes </w:t>
        </w:r>
        <w:r w:rsidR="008530AE">
          <w:rPr>
            <w:rStyle w:val="Hyperlink"/>
            <w:noProof/>
          </w:rPr>
          <w:br/>
        </w:r>
        <w:r w:rsidRPr="00C6013C" w:rsidR="008530AE">
          <w:rPr>
            <w:rStyle w:val="Hyperlink"/>
            <w:noProof/>
          </w:rPr>
          <w:t xml:space="preserve">depositions from being conducted in cases that have not been set for </w:t>
        </w:r>
        <w:r w:rsidR="008530AE">
          <w:rPr>
            <w:rStyle w:val="Hyperlink"/>
            <w:noProof/>
          </w:rPr>
          <w:br/>
        </w:r>
        <w:r w:rsidRPr="00C6013C" w:rsidR="008530AE">
          <w:rPr>
            <w:rStyle w:val="Hyperlink"/>
            <w:noProof/>
          </w:rPr>
          <w:t>hearing.</w:t>
        </w:r>
        <w:r w:rsidR="008530AE">
          <w:rPr>
            <w:noProof/>
            <w:webHidden/>
          </w:rPr>
          <w:tab/>
        </w:r>
        <w:r w:rsidR="008530AE">
          <w:rPr>
            <w:noProof/>
            <w:webHidden/>
          </w:rPr>
          <w:fldChar w:fldCharType="begin"/>
        </w:r>
        <w:r w:rsidR="008530AE">
          <w:rPr>
            <w:noProof/>
            <w:webHidden/>
          </w:rPr>
          <w:instrText xml:space="preserve"> PAGEREF _Toc63083184 \h </w:instrText>
        </w:r>
        <w:r w:rsidR="008530AE">
          <w:rPr>
            <w:noProof/>
            <w:webHidden/>
          </w:rPr>
          <w:fldChar w:fldCharType="separate"/>
        </w:r>
        <w:r w:rsidR="008530AE">
          <w:rPr>
            <w:noProof/>
            <w:webHidden/>
          </w:rPr>
          <w:t>10</w:t>
        </w:r>
        <w:r w:rsidR="008530AE">
          <w:rPr>
            <w:noProof/>
            <w:webHidden/>
          </w:rPr>
          <w:fldChar w:fldCharType="end"/>
        </w:r>
      </w:hyperlink>
    </w:p>
    <w:p w:rsidR="00404781" w14:paraId="122BE517" w14:textId="0DE648AA">
      <w:pPr>
        <w:pStyle w:val="TOC2"/>
        <w:tabs>
          <w:tab w:val="left" w:pos="1440"/>
          <w:tab w:val="right" w:leader="dot" w:pos="9350"/>
        </w:tabs>
        <w:rPr>
          <w:rFonts w:asciiTheme="minorHAnsi" w:eastAsiaTheme="minorEastAsia" w:hAnsiTheme="minorHAnsi" w:cstheme="minorBidi"/>
          <w:bCs w:val="0"/>
          <w:noProof/>
          <w:color w:val="auto"/>
          <w:sz w:val="22"/>
          <w:szCs w:val="22"/>
        </w:rPr>
      </w:pPr>
      <w:hyperlink w:anchor="_Toc63083185" w:history="1">
        <w:r w:rsidRPr="00C6013C" w:rsidR="008530AE">
          <w:rPr>
            <w:rStyle w:val="Hyperlink"/>
            <w:noProof/>
          </w:rPr>
          <w:t>F.</w:t>
        </w:r>
        <w:r w:rsidR="008530AE">
          <w:rPr>
            <w:rFonts w:asciiTheme="minorHAnsi" w:eastAsiaTheme="minorEastAsia" w:hAnsiTheme="minorHAnsi" w:cstheme="minorBidi"/>
            <w:bCs w:val="0"/>
            <w:noProof/>
            <w:color w:val="auto"/>
            <w:sz w:val="22"/>
            <w:szCs w:val="22"/>
          </w:rPr>
          <w:tab/>
        </w:r>
        <w:r w:rsidRPr="00C6013C" w:rsidR="008530AE">
          <w:rPr>
            <w:rStyle w:val="Hyperlink"/>
            <w:noProof/>
          </w:rPr>
          <w:t xml:space="preserve">Ohio law, the Ohio Administrative Code and PUCO precedent do not require </w:t>
        </w:r>
        <w:r w:rsidR="008530AE">
          <w:rPr>
            <w:rStyle w:val="Hyperlink"/>
            <w:noProof/>
          </w:rPr>
          <w:br/>
        </w:r>
        <w:r w:rsidRPr="00C6013C" w:rsidR="008530AE">
          <w:rPr>
            <w:rStyle w:val="Hyperlink"/>
            <w:noProof/>
          </w:rPr>
          <w:t>that discovery occur in a specific order.</w:t>
        </w:r>
        <w:r w:rsidR="008530AE">
          <w:rPr>
            <w:noProof/>
            <w:webHidden/>
          </w:rPr>
          <w:tab/>
        </w:r>
        <w:r w:rsidR="008530AE">
          <w:rPr>
            <w:noProof/>
            <w:webHidden/>
          </w:rPr>
          <w:fldChar w:fldCharType="begin"/>
        </w:r>
        <w:r w:rsidR="008530AE">
          <w:rPr>
            <w:noProof/>
            <w:webHidden/>
          </w:rPr>
          <w:instrText xml:space="preserve"> PAGEREF _Toc63083185 \h </w:instrText>
        </w:r>
        <w:r w:rsidR="008530AE">
          <w:rPr>
            <w:noProof/>
            <w:webHidden/>
          </w:rPr>
          <w:fldChar w:fldCharType="separate"/>
        </w:r>
        <w:r w:rsidR="008530AE">
          <w:rPr>
            <w:noProof/>
            <w:webHidden/>
          </w:rPr>
          <w:t>11</w:t>
        </w:r>
        <w:r w:rsidR="008530AE">
          <w:rPr>
            <w:noProof/>
            <w:webHidden/>
          </w:rPr>
          <w:fldChar w:fldCharType="end"/>
        </w:r>
      </w:hyperlink>
    </w:p>
    <w:p w:rsidR="00404781" w14:paraId="39005722" w14:textId="066F583D">
      <w:pPr>
        <w:pStyle w:val="TOC1"/>
        <w:rPr>
          <w:rFonts w:asciiTheme="minorHAnsi" w:eastAsiaTheme="minorEastAsia" w:hAnsiTheme="minorHAnsi" w:cstheme="minorBidi"/>
          <w:bCs w:val="0"/>
          <w:noProof/>
          <w:color w:val="auto"/>
          <w:sz w:val="22"/>
          <w:szCs w:val="22"/>
        </w:rPr>
      </w:pPr>
      <w:hyperlink w:anchor="_Toc63083186" w:history="1">
        <w:r w:rsidRPr="00C6013C" w:rsidR="008530AE">
          <w:rPr>
            <w:rStyle w:val="Hyperlink"/>
            <w:noProof/>
          </w:rPr>
          <w:t>III.</w:t>
        </w:r>
        <w:r w:rsidR="008530AE">
          <w:rPr>
            <w:rFonts w:asciiTheme="minorHAnsi" w:eastAsiaTheme="minorEastAsia" w:hAnsiTheme="minorHAnsi" w:cstheme="minorBidi"/>
            <w:bCs w:val="0"/>
            <w:noProof/>
            <w:color w:val="auto"/>
            <w:sz w:val="22"/>
            <w:szCs w:val="22"/>
          </w:rPr>
          <w:tab/>
        </w:r>
        <w:r w:rsidRPr="00C6013C" w:rsidR="008530AE">
          <w:rPr>
            <w:rStyle w:val="Hyperlink"/>
            <w:noProof/>
          </w:rPr>
          <w:t>CONCLUSION</w:t>
        </w:r>
        <w:r w:rsidR="008530AE">
          <w:rPr>
            <w:noProof/>
            <w:webHidden/>
          </w:rPr>
          <w:tab/>
        </w:r>
        <w:r w:rsidR="008530AE">
          <w:rPr>
            <w:noProof/>
            <w:webHidden/>
          </w:rPr>
          <w:fldChar w:fldCharType="begin"/>
        </w:r>
        <w:r w:rsidR="008530AE">
          <w:rPr>
            <w:noProof/>
            <w:webHidden/>
          </w:rPr>
          <w:instrText xml:space="preserve"> PAGEREF _Toc63083186 \h </w:instrText>
        </w:r>
        <w:r w:rsidR="008530AE">
          <w:rPr>
            <w:noProof/>
            <w:webHidden/>
          </w:rPr>
          <w:fldChar w:fldCharType="separate"/>
        </w:r>
        <w:r w:rsidR="008530AE">
          <w:rPr>
            <w:noProof/>
            <w:webHidden/>
          </w:rPr>
          <w:t>12</w:t>
        </w:r>
        <w:r w:rsidR="008530AE">
          <w:rPr>
            <w:noProof/>
            <w:webHidden/>
          </w:rPr>
          <w:fldChar w:fldCharType="end"/>
        </w:r>
      </w:hyperlink>
    </w:p>
    <w:p w:rsidR="00297E12" w:rsidP="00297E12" w14:paraId="1B49C953" w14:textId="5D1B7A88">
      <w:pPr>
        <w:jc w:val="right"/>
        <w:rPr>
          <w:b/>
        </w:rPr>
      </w:pPr>
      <w:r>
        <w:rPr>
          <w:b/>
        </w:rPr>
        <w:fldChar w:fldCharType="end"/>
      </w:r>
    </w:p>
    <w:p w:rsidR="00297E12" w:rsidP="00297E12" w14:paraId="0EA69951" w14:textId="28546084">
      <w:pPr>
        <w:jc w:val="right"/>
        <w:rPr>
          <w:b/>
        </w:rPr>
      </w:pPr>
    </w:p>
    <w:p w:rsidR="00297E12" w:rsidRPr="00297E12" w:rsidP="00297E12" w14:paraId="4807623F" w14:textId="77777777">
      <w:pPr>
        <w:jc w:val="right"/>
        <w:rPr>
          <w:b/>
        </w:rPr>
      </w:pPr>
    </w:p>
    <w:p w:rsidR="00297E12" w:rsidP="00297E12" w14:paraId="737AEA97" w14:textId="77777777"/>
    <w:p w:rsidR="00297E12" w:rsidRPr="00297E12" w:rsidP="00297E12" w14:paraId="1C78878B" w14:textId="73E0005D">
      <w:pPr>
        <w:sectPr w:rsidSect="00297E12">
          <w:footerReference w:type="first" r:id="rId9"/>
          <w:pgSz w:w="12240" w:h="15840"/>
          <w:pgMar w:top="1440" w:right="1440" w:bottom="1440" w:left="1440" w:header="720" w:footer="720" w:gutter="0"/>
          <w:pgNumType w:fmt="lowerRoman" w:start="1"/>
          <w:cols w:space="720"/>
          <w:titlePg/>
          <w:docGrid w:linePitch="360"/>
        </w:sectPr>
      </w:pPr>
    </w:p>
    <w:p w:rsidR="00855ADD" w:rsidRPr="00BD1AA7" w:rsidP="00855ADD" w14:paraId="522A0B3C" w14:textId="55AE5826">
      <w:pPr>
        <w:pStyle w:val="Title"/>
      </w:pPr>
      <w:r w:rsidRPr="00BD1AA7">
        <w:t>BEFORE</w:t>
      </w:r>
    </w:p>
    <w:p w:rsidR="00855ADD" w:rsidRPr="00BD1AA7" w:rsidP="00855ADD" w14:paraId="31FDE852" w14:textId="77777777">
      <w:pPr>
        <w:autoSpaceDE w:val="0"/>
        <w:autoSpaceDN w:val="0"/>
        <w:adjustRightInd w:val="0"/>
        <w:jc w:val="center"/>
        <w:rPr>
          <w:b/>
          <w:bCs w:val="0"/>
          <w:szCs w:val="24"/>
        </w:rPr>
      </w:pPr>
      <w:r w:rsidRPr="00BD1AA7">
        <w:rPr>
          <w:b/>
          <w:szCs w:val="24"/>
        </w:rPr>
        <w:t>THE PUBLIC UTILITIES COMMISSION OF OHIO</w:t>
      </w:r>
    </w:p>
    <w:p w:rsidR="00855ADD" w:rsidRPr="0057602B" w:rsidP="00855ADD" w14:paraId="74C65E5D" w14:textId="77777777">
      <w:pPr>
        <w:autoSpaceDE w:val="0"/>
        <w:autoSpaceDN w:val="0"/>
        <w:adjustRightInd w:val="0"/>
        <w:jc w:val="center"/>
        <w:rPr>
          <w:b/>
          <w:bCs w:val="0"/>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1"/>
        <w:gridCol w:w="298"/>
        <w:gridCol w:w="4631"/>
      </w:tblGrid>
      <w:tr w14:paraId="2C1E4701" w14:textId="77777777" w:rsidTr="005206E8">
        <w:tblPrEx>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85"/>
        </w:trPr>
        <w:tc>
          <w:tcPr>
            <w:tcW w:w="4631" w:type="dxa"/>
            <w:tcBorders>
              <w:top w:val="nil"/>
              <w:left w:val="nil"/>
              <w:bottom w:val="nil"/>
              <w:right w:val="nil"/>
            </w:tcBorders>
          </w:tcPr>
          <w:p w:rsidR="00855ADD" w:rsidRPr="0057602B" w:rsidP="005206E8" w14:paraId="791F080C" w14:textId="2E9CA513">
            <w:pPr>
              <w:autoSpaceDE w:val="0"/>
              <w:autoSpaceDN w:val="0"/>
              <w:adjustRightInd w:val="0"/>
              <w:jc w:val="both"/>
              <w:rPr>
                <w:szCs w:val="24"/>
              </w:rPr>
            </w:pPr>
            <w:r w:rsidRPr="0057602B">
              <w:rPr>
                <w:szCs w:val="24"/>
              </w:rPr>
              <w:br w:type="page"/>
              <w:t>In the Matter of the Review of th</w:t>
            </w:r>
            <w:r>
              <w:rPr>
                <w:szCs w:val="24"/>
              </w:rPr>
              <w:t>e Reconciliation Rider of The Dayton Power and Light Company.</w:t>
            </w:r>
            <w:r w:rsidR="00D635D7">
              <w:rPr>
                <w:szCs w:val="24"/>
              </w:rPr>
              <w:t xml:space="preserve"> </w:t>
            </w:r>
          </w:p>
        </w:tc>
        <w:tc>
          <w:tcPr>
            <w:tcW w:w="298" w:type="dxa"/>
            <w:tcBorders>
              <w:top w:val="nil"/>
              <w:left w:val="nil"/>
              <w:bottom w:val="nil"/>
              <w:right w:val="nil"/>
            </w:tcBorders>
          </w:tcPr>
          <w:p w:rsidR="00855ADD" w:rsidRPr="0057602B" w:rsidP="005206E8" w14:paraId="3684B4B6" w14:textId="77777777">
            <w:pPr>
              <w:contextualSpacing/>
              <w:rPr>
                <w:szCs w:val="24"/>
              </w:rPr>
            </w:pPr>
            <w:r w:rsidRPr="0057602B">
              <w:rPr>
                <w:szCs w:val="24"/>
              </w:rPr>
              <w:t>)</w:t>
            </w:r>
          </w:p>
          <w:p w:rsidR="00855ADD" w:rsidRPr="0057602B" w:rsidP="005206E8" w14:paraId="1C1589CE" w14:textId="77777777">
            <w:pPr>
              <w:contextualSpacing/>
              <w:rPr>
                <w:szCs w:val="24"/>
              </w:rPr>
            </w:pPr>
            <w:r w:rsidRPr="0057602B">
              <w:rPr>
                <w:szCs w:val="24"/>
              </w:rPr>
              <w:t>)</w:t>
            </w:r>
          </w:p>
          <w:p w:rsidR="00855ADD" w:rsidRPr="0057602B" w:rsidP="005206E8" w14:paraId="01545598" w14:textId="77777777">
            <w:pPr>
              <w:contextualSpacing/>
              <w:rPr>
                <w:szCs w:val="24"/>
              </w:rPr>
            </w:pPr>
            <w:r w:rsidRPr="0057602B">
              <w:rPr>
                <w:szCs w:val="24"/>
              </w:rPr>
              <w:t>)</w:t>
            </w:r>
          </w:p>
        </w:tc>
        <w:tc>
          <w:tcPr>
            <w:tcW w:w="4631" w:type="dxa"/>
            <w:tcBorders>
              <w:top w:val="nil"/>
              <w:left w:val="nil"/>
              <w:bottom w:val="nil"/>
              <w:right w:val="nil"/>
            </w:tcBorders>
          </w:tcPr>
          <w:p w:rsidR="00855ADD" w:rsidRPr="0057602B" w:rsidP="005206E8" w14:paraId="1B644CB6" w14:textId="77777777">
            <w:pPr>
              <w:contextualSpacing/>
              <w:rPr>
                <w:szCs w:val="24"/>
              </w:rPr>
            </w:pPr>
          </w:p>
          <w:p w:rsidR="00855ADD" w:rsidRPr="0057602B" w:rsidP="005206E8" w14:paraId="71DFA733" w14:textId="77777777">
            <w:pPr>
              <w:autoSpaceDE w:val="0"/>
              <w:autoSpaceDN w:val="0"/>
              <w:adjustRightInd w:val="0"/>
              <w:rPr>
                <w:szCs w:val="24"/>
              </w:rPr>
            </w:pPr>
            <w:r w:rsidRPr="0057602B">
              <w:rPr>
                <w:szCs w:val="24"/>
              </w:rPr>
              <w:t xml:space="preserve">Case No. </w:t>
            </w:r>
            <w:r>
              <w:rPr>
                <w:szCs w:val="24"/>
              </w:rPr>
              <w:t>20-165</w:t>
            </w:r>
            <w:r w:rsidRPr="0057602B">
              <w:rPr>
                <w:szCs w:val="24"/>
              </w:rPr>
              <w:t xml:space="preserve">-EL-RDR </w:t>
            </w:r>
          </w:p>
        </w:tc>
      </w:tr>
    </w:tbl>
    <w:p w:rsidR="00855ADD" w:rsidRPr="0057602B" w:rsidP="00855ADD" w14:paraId="2096A9C9" w14:textId="77777777">
      <w:pPr>
        <w:pBdr>
          <w:bottom w:val="single" w:sz="12" w:space="0" w:color="auto"/>
        </w:pBdr>
        <w:rPr>
          <w:b/>
          <w:szCs w:val="24"/>
        </w:rPr>
      </w:pPr>
    </w:p>
    <w:p w:rsidR="00855ADD" w:rsidRPr="0057602B" w:rsidP="00855ADD" w14:paraId="4EFC553E" w14:textId="77777777">
      <w:pPr>
        <w:rPr>
          <w:b/>
          <w:szCs w:val="24"/>
        </w:rPr>
      </w:pPr>
    </w:p>
    <w:p w:rsidR="00855ADD" w:rsidP="00E10FA6" w14:paraId="3B7AE994" w14:textId="7C95B617">
      <w:pPr>
        <w:jc w:val="center"/>
        <w:rPr>
          <w:b/>
          <w:szCs w:val="24"/>
        </w:rPr>
      </w:pPr>
      <w:r>
        <w:rPr>
          <w:b/>
          <w:szCs w:val="24"/>
        </w:rPr>
        <w:t xml:space="preserve">JOINT MEMORANDUM CONTRA MOTION OF </w:t>
      </w:r>
      <w:r w:rsidR="00574250">
        <w:rPr>
          <w:b/>
          <w:szCs w:val="24"/>
        </w:rPr>
        <w:t xml:space="preserve">DP&amp;L </w:t>
      </w:r>
      <w:r>
        <w:rPr>
          <w:b/>
          <w:szCs w:val="24"/>
        </w:rPr>
        <w:t xml:space="preserve">TO QUASH </w:t>
      </w:r>
      <w:r w:rsidR="00574250">
        <w:rPr>
          <w:b/>
          <w:szCs w:val="24"/>
        </w:rPr>
        <w:t xml:space="preserve">OCC’S </w:t>
      </w:r>
      <w:r>
        <w:rPr>
          <w:b/>
          <w:szCs w:val="24"/>
        </w:rPr>
        <w:t xml:space="preserve">NOTICE OF DEPOSITION </w:t>
      </w:r>
    </w:p>
    <w:p w:rsidR="00BB7FFC" w:rsidP="00E10FA6" w14:paraId="3A37BE85" w14:textId="0C37DAFA">
      <w:pPr>
        <w:jc w:val="center"/>
        <w:rPr>
          <w:b/>
          <w:szCs w:val="24"/>
        </w:rPr>
      </w:pPr>
      <w:r>
        <w:rPr>
          <w:b/>
          <w:szCs w:val="24"/>
        </w:rPr>
        <w:t>BY</w:t>
      </w:r>
    </w:p>
    <w:p w:rsidR="00574250" w:rsidP="00E10FA6" w14:paraId="2F0EA665" w14:textId="16778F36">
      <w:pPr>
        <w:jc w:val="center"/>
        <w:rPr>
          <w:b/>
          <w:szCs w:val="24"/>
        </w:rPr>
      </w:pPr>
      <w:r>
        <w:rPr>
          <w:b/>
          <w:szCs w:val="24"/>
        </w:rPr>
        <w:t xml:space="preserve">OFFICE OF THE OHIO CONSUMERS’ COUNSEL </w:t>
      </w:r>
    </w:p>
    <w:p w:rsidR="00BB7FFC" w:rsidP="00E10FA6" w14:paraId="11BC24DA" w14:textId="481A2BC9">
      <w:pPr>
        <w:jc w:val="center"/>
        <w:rPr>
          <w:b/>
          <w:szCs w:val="24"/>
        </w:rPr>
      </w:pPr>
      <w:r>
        <w:rPr>
          <w:b/>
          <w:szCs w:val="24"/>
        </w:rPr>
        <w:t xml:space="preserve">AND </w:t>
      </w:r>
    </w:p>
    <w:p w:rsidR="00BB7FFC" w:rsidRPr="0057602B" w:rsidP="00E10FA6" w14:paraId="55D85ED8" w14:textId="03BDD207">
      <w:pPr>
        <w:jc w:val="center"/>
        <w:rPr>
          <w:b/>
          <w:szCs w:val="24"/>
        </w:rPr>
      </w:pPr>
      <w:r w:rsidRPr="0057602B">
        <w:rPr>
          <w:b/>
          <w:szCs w:val="24"/>
        </w:rPr>
        <w:t>OHIO MANUFACTURERS’ ASSOCIATION ENERGY GROUP</w:t>
      </w:r>
    </w:p>
    <w:p w:rsidR="00855ADD" w:rsidRPr="0057602B" w:rsidP="00855ADD" w14:paraId="755FB3F2" w14:textId="77777777">
      <w:pPr>
        <w:pBdr>
          <w:bottom w:val="single" w:sz="12" w:space="1" w:color="auto"/>
        </w:pBdr>
        <w:jc w:val="center"/>
        <w:rPr>
          <w:b/>
          <w:szCs w:val="24"/>
        </w:rPr>
      </w:pPr>
    </w:p>
    <w:p w:rsidR="00C21F22" w:rsidP="00E10FA6" w14:paraId="601C7B0C" w14:textId="17E15950">
      <w:pPr>
        <w:rPr>
          <w:b/>
          <w:bCs w:val="0"/>
        </w:rPr>
      </w:pPr>
    </w:p>
    <w:p w:rsidR="000C59E9" w:rsidRPr="002E75C1" w:rsidP="00BF03A0" w14:paraId="7A67A52D" w14:textId="5D8175C2">
      <w:pPr>
        <w:pStyle w:val="Heading1"/>
        <w:numPr>
          <w:ilvl w:val="0"/>
          <w:numId w:val="9"/>
        </w:numPr>
        <w:ind w:left="720"/>
        <w:rPr>
          <w:bCs w:val="0"/>
        </w:rPr>
      </w:pPr>
      <w:bookmarkStart w:id="0" w:name="_Toc63083178"/>
      <w:r w:rsidRPr="002E75C1">
        <w:t>INTRODUCTION</w:t>
      </w:r>
      <w:bookmarkEnd w:id="0"/>
    </w:p>
    <w:p w:rsidR="000C59E9" w:rsidP="00695A86" w14:paraId="5A43896F" w14:textId="73CC9A40">
      <w:pPr>
        <w:spacing w:line="480" w:lineRule="auto"/>
        <w:ind w:firstLine="720"/>
      </w:pPr>
      <w:r>
        <w:rPr>
          <w:bCs w:val="0"/>
        </w:rPr>
        <w:t xml:space="preserve">DP&amp;L filed the wrong pleading, so the right decision is to overrule its attempt to thwart discovery, as we explain below. As background, </w:t>
      </w:r>
      <w:r w:rsidR="005B1312">
        <w:rPr>
          <w:bCs w:val="0"/>
        </w:rPr>
        <w:t xml:space="preserve">the PUCO formerly </w:t>
      </w:r>
      <w:r>
        <w:t>require</w:t>
      </w:r>
      <w:r w:rsidR="005B1312">
        <w:t>d DP&amp;L’s</w:t>
      </w:r>
      <w:r>
        <w:t xml:space="preserve"> customers (at DP&amp;L’s request) to </w:t>
      </w:r>
      <w:r w:rsidR="005B1312">
        <w:t>subsidize</w:t>
      </w:r>
      <w:r>
        <w:t xml:space="preserve"> electricity from two </w:t>
      </w:r>
      <w:r w:rsidR="005B1312">
        <w:t>outdated</w:t>
      </w:r>
      <w:r w:rsidR="001A0019">
        <w:t>,</w:t>
      </w:r>
      <w:r>
        <w:t xml:space="preserve"> </w:t>
      </w:r>
      <w:r w:rsidR="007E14F5">
        <w:t>uneconomic</w:t>
      </w:r>
      <w:r w:rsidR="003E75B9">
        <w:t xml:space="preserve"> </w:t>
      </w:r>
      <w:r>
        <w:t xml:space="preserve">coal </w:t>
      </w:r>
      <w:r w:rsidR="005B1312">
        <w:t xml:space="preserve">power </w:t>
      </w:r>
      <w:r>
        <w:t>plants</w:t>
      </w:r>
      <w:r w:rsidR="005B1312">
        <w:t xml:space="preserve"> that are polluting the planet, as</w:t>
      </w:r>
      <w:r>
        <w:t xml:space="preserve"> operated by the Ohio Valley Electric Corporation (“OVEC”)</w:t>
      </w:r>
      <w:r w:rsidR="005B1312">
        <w:t xml:space="preserve">. The utilities then </w:t>
      </w:r>
      <w:r w:rsidR="004552D3">
        <w:t xml:space="preserve">apparently used their influence </w:t>
      </w:r>
      <w:r w:rsidR="00F837BB">
        <w:t>to</w:t>
      </w:r>
      <w:r w:rsidR="005B1312">
        <w:t xml:space="preserve"> convinc</w:t>
      </w:r>
      <w:r w:rsidR="00F837BB">
        <w:t>e</w:t>
      </w:r>
      <w:r w:rsidR="005B1312">
        <w:t xml:space="preserve"> the legislature to codify the subsidy, in scandal-ridden House Bill 6. Had state government not involved itself, the competitive market likely would have protected customers (and the planet) from these 20</w:t>
      </w:r>
      <w:r w:rsidRPr="00DD0667" w:rsidR="005B1312">
        <w:rPr>
          <w:vertAlign w:val="superscript"/>
        </w:rPr>
        <w:t>th</w:t>
      </w:r>
      <w:r w:rsidR="005B1312">
        <w:t xml:space="preserve"> Century </w:t>
      </w:r>
      <w:r w:rsidR="00F7571F">
        <w:t xml:space="preserve">coal-fired </w:t>
      </w:r>
      <w:r w:rsidR="005B1312">
        <w:t>dinosaurs. PUCO</w:t>
      </w:r>
      <w:r>
        <w:t xml:space="preserve"> audits of the OVEC </w:t>
      </w:r>
      <w:r w:rsidR="005B1312">
        <w:t>charge</w:t>
      </w:r>
      <w:r w:rsidR="0032310C">
        <w:t>s (</w:t>
      </w:r>
      <w:r w:rsidR="005B1312">
        <w:t xml:space="preserve">that </w:t>
      </w:r>
      <w:r w:rsidR="0032310C">
        <w:t>more recently are</w:t>
      </w:r>
      <w:r w:rsidR="00863BCC">
        <w:t xml:space="preserve"> </w:t>
      </w:r>
      <w:r w:rsidR="00F7571F">
        <w:t xml:space="preserve">paid by </w:t>
      </w:r>
      <w:r w:rsidR="005B1312">
        <w:t>customers of</w:t>
      </w:r>
      <w:r>
        <w:t xml:space="preserve"> DP&amp;L, AEP Ohio</w:t>
      </w:r>
      <w:r w:rsidR="00863BCC">
        <w:t>,</w:t>
      </w:r>
      <w:r>
        <w:t xml:space="preserve"> Duk</w:t>
      </w:r>
      <w:r w:rsidR="005B1312">
        <w:t>e,</w:t>
      </w:r>
      <w:r w:rsidR="0032310C">
        <w:t xml:space="preserve"> and FirstEnergy</w:t>
      </w:r>
      <w:r w:rsidR="00F339FB">
        <w:t xml:space="preserve"> per House Bill 6</w:t>
      </w:r>
      <w:r w:rsidR="0032310C">
        <w:t>)</w:t>
      </w:r>
      <w:r>
        <w:t xml:space="preserve"> confirmed that “the OVEC plants cost more than they earn.”</w:t>
      </w:r>
      <w:r>
        <w:rPr>
          <w:rStyle w:val="FootnoteReference"/>
        </w:rPr>
        <w:footnoteReference w:id="2"/>
      </w:r>
      <w:r>
        <w:t xml:space="preserve"> </w:t>
      </w:r>
      <w:r w:rsidR="004D5214">
        <w:t xml:space="preserve">That’s </w:t>
      </w:r>
      <w:r w:rsidR="00E678C2">
        <w:t xml:space="preserve">bad </w:t>
      </w:r>
      <w:r w:rsidR="004D5214">
        <w:t>for consumers paying the subsidies.</w:t>
      </w:r>
    </w:p>
    <w:p w:rsidR="00EC3DE9" w:rsidP="00411224" w14:paraId="06A0EA74" w14:textId="5327782C">
      <w:pPr>
        <w:spacing w:line="480" w:lineRule="auto"/>
        <w:ind w:firstLine="720"/>
        <w:rPr>
          <w:szCs w:val="24"/>
        </w:rPr>
      </w:pPr>
      <w:r>
        <w:rPr>
          <w:szCs w:val="24"/>
        </w:rPr>
        <w:t xml:space="preserve">The </w:t>
      </w:r>
      <w:r w:rsidRPr="004E6992" w:rsidR="00207593">
        <w:rPr>
          <w:szCs w:val="24"/>
        </w:rPr>
        <w:t xml:space="preserve">Office of the Ohio Consumers’ Counsel (“OCC”) and the Ohio Manufacturers’ Association Energy Group (“OMAEG”) </w:t>
      </w:r>
      <w:r w:rsidR="00BB7FFC">
        <w:rPr>
          <w:szCs w:val="24"/>
        </w:rPr>
        <w:t>i</w:t>
      </w:r>
      <w:r w:rsidRPr="004E6992" w:rsidR="00207593">
        <w:rPr>
          <w:szCs w:val="24"/>
        </w:rPr>
        <w:t>ntervened to partic</w:t>
      </w:r>
      <w:r w:rsidR="00207593">
        <w:rPr>
          <w:szCs w:val="24"/>
        </w:rPr>
        <w:t>ipate in the audit investigation</w:t>
      </w:r>
      <w:r>
        <w:rPr>
          <w:szCs w:val="24"/>
        </w:rPr>
        <w:t>. That</w:t>
      </w:r>
      <w:r w:rsidRPr="004E6992" w:rsidR="00207593">
        <w:rPr>
          <w:szCs w:val="24"/>
        </w:rPr>
        <w:t xml:space="preserve"> includ</w:t>
      </w:r>
      <w:r>
        <w:rPr>
          <w:szCs w:val="24"/>
        </w:rPr>
        <w:t>ed</w:t>
      </w:r>
      <w:r w:rsidRPr="004E6992" w:rsidR="00207593">
        <w:rPr>
          <w:szCs w:val="24"/>
        </w:rPr>
        <w:t xml:space="preserve"> </w:t>
      </w:r>
      <w:r w:rsidRPr="004E6992" w:rsidR="00855ADD">
        <w:rPr>
          <w:szCs w:val="24"/>
        </w:rPr>
        <w:t>conduct</w:t>
      </w:r>
      <w:r>
        <w:rPr>
          <w:szCs w:val="24"/>
        </w:rPr>
        <w:t xml:space="preserve">ing </w:t>
      </w:r>
      <w:r w:rsidR="00855ADD">
        <w:rPr>
          <w:szCs w:val="24"/>
        </w:rPr>
        <w:t xml:space="preserve">discovery </w:t>
      </w:r>
      <w:r>
        <w:rPr>
          <w:szCs w:val="24"/>
        </w:rPr>
        <w:t>for</w:t>
      </w:r>
      <w:r w:rsidRPr="004E6992" w:rsidR="00207593">
        <w:rPr>
          <w:szCs w:val="24"/>
        </w:rPr>
        <w:t xml:space="preserve"> </w:t>
      </w:r>
      <w:r w:rsidR="00790FB6">
        <w:rPr>
          <w:szCs w:val="24"/>
        </w:rPr>
        <w:t>protect</w:t>
      </w:r>
      <w:r>
        <w:rPr>
          <w:szCs w:val="24"/>
        </w:rPr>
        <w:t>ing consumers</w:t>
      </w:r>
      <w:r w:rsidR="00790FB6">
        <w:rPr>
          <w:szCs w:val="24"/>
        </w:rPr>
        <w:t xml:space="preserve"> from paying excessive and unreasonable cost</w:t>
      </w:r>
      <w:r>
        <w:rPr>
          <w:szCs w:val="24"/>
        </w:rPr>
        <w:t>s</w:t>
      </w:r>
      <w:r w:rsidR="00F7571F">
        <w:rPr>
          <w:szCs w:val="24"/>
        </w:rPr>
        <w:t xml:space="preserve"> for coal plant subsidies</w:t>
      </w:r>
      <w:r>
        <w:rPr>
          <w:szCs w:val="24"/>
        </w:rPr>
        <w:t>.</w:t>
      </w:r>
      <w:r w:rsidR="00790FB6">
        <w:rPr>
          <w:szCs w:val="24"/>
        </w:rPr>
        <w:t xml:space="preserve"> </w:t>
      </w:r>
    </w:p>
    <w:p w:rsidR="00EC3DE9" w:rsidRPr="00695A86" w:rsidP="00BB7FFC" w14:paraId="10E6B1FB" w14:textId="0B467167">
      <w:pPr>
        <w:pStyle w:val="ListParagraph"/>
        <w:spacing w:after="0" w:line="480" w:lineRule="auto"/>
        <w:ind w:left="0" w:firstLine="720"/>
        <w:contextualSpacing w:val="0"/>
        <w:rPr>
          <w:rFonts w:ascii="Times New Roman" w:hAnsi="Times New Roman"/>
          <w:sz w:val="24"/>
          <w:szCs w:val="24"/>
        </w:rPr>
      </w:pPr>
      <w:r w:rsidRPr="002E75C1">
        <w:rPr>
          <w:rFonts w:ascii="Times New Roman" w:hAnsi="Times New Roman"/>
          <w:sz w:val="24"/>
          <w:szCs w:val="24"/>
        </w:rPr>
        <w:t xml:space="preserve">As we have found through the years, those like DP&amp;L who feed at the public trough can display a sense of entitlement to their corporate welfare. That brings us to DP&amp;L’s </w:t>
      </w:r>
      <w:r w:rsidRPr="002E75C1" w:rsidR="003F5D99">
        <w:rPr>
          <w:rFonts w:ascii="Times New Roman" w:hAnsi="Times New Roman"/>
          <w:sz w:val="24"/>
          <w:szCs w:val="24"/>
        </w:rPr>
        <w:t>m</w:t>
      </w:r>
      <w:r w:rsidRPr="002E75C1" w:rsidR="00207593">
        <w:rPr>
          <w:rFonts w:ascii="Times New Roman" w:hAnsi="Times New Roman"/>
          <w:sz w:val="24"/>
          <w:szCs w:val="24"/>
        </w:rPr>
        <w:t xml:space="preserve">otion to </w:t>
      </w:r>
      <w:r w:rsidRPr="002E75C1" w:rsidR="003F5D99">
        <w:rPr>
          <w:rFonts w:ascii="Times New Roman" w:hAnsi="Times New Roman"/>
          <w:sz w:val="24"/>
          <w:szCs w:val="24"/>
        </w:rPr>
        <w:t>q</w:t>
      </w:r>
      <w:r w:rsidRPr="002E75C1" w:rsidR="00207593">
        <w:rPr>
          <w:rFonts w:ascii="Times New Roman" w:hAnsi="Times New Roman"/>
          <w:sz w:val="24"/>
          <w:szCs w:val="24"/>
        </w:rPr>
        <w:t xml:space="preserve">uash </w:t>
      </w:r>
      <w:r w:rsidRPr="002E75C1">
        <w:rPr>
          <w:rFonts w:ascii="Times New Roman" w:hAnsi="Times New Roman"/>
          <w:sz w:val="24"/>
          <w:szCs w:val="24"/>
        </w:rPr>
        <w:t xml:space="preserve">for preventing a deposition. DP&amp;L seeks to prevent </w:t>
      </w:r>
      <w:r w:rsidR="003E75B9">
        <w:rPr>
          <w:rFonts w:ascii="Times New Roman" w:hAnsi="Times New Roman"/>
          <w:sz w:val="24"/>
          <w:szCs w:val="24"/>
        </w:rPr>
        <w:t>the</w:t>
      </w:r>
      <w:r w:rsidRPr="002E75C1">
        <w:rPr>
          <w:rFonts w:ascii="Times New Roman" w:hAnsi="Times New Roman"/>
          <w:sz w:val="24"/>
          <w:szCs w:val="24"/>
        </w:rPr>
        <w:t xml:space="preserve"> review, despite the </w:t>
      </w:r>
      <w:r w:rsidRPr="002E75C1" w:rsidR="00EC0DDB">
        <w:rPr>
          <w:rFonts w:ascii="Times New Roman" w:hAnsi="Times New Roman"/>
          <w:sz w:val="24"/>
          <w:szCs w:val="24"/>
        </w:rPr>
        <w:t>ample discovery rights guaranteed under Ohio law, PUCO rules and PUCO precedent.</w:t>
      </w:r>
      <w:r>
        <w:rPr>
          <w:rStyle w:val="FootnoteReference"/>
          <w:rFonts w:ascii="Times New Roman" w:hAnsi="Times New Roman"/>
          <w:sz w:val="24"/>
          <w:szCs w:val="24"/>
        </w:rPr>
        <w:footnoteReference w:id="3"/>
      </w:r>
      <w:r w:rsidRPr="002E75C1" w:rsidR="00207593">
        <w:rPr>
          <w:rFonts w:ascii="Times New Roman" w:hAnsi="Times New Roman"/>
          <w:sz w:val="24"/>
          <w:szCs w:val="24"/>
        </w:rPr>
        <w:t xml:space="preserve"> </w:t>
      </w:r>
    </w:p>
    <w:p w:rsidR="0009154E" w:rsidP="00411224" w14:paraId="33CBA1A8" w14:textId="2C1FD23C">
      <w:pPr>
        <w:spacing w:line="480" w:lineRule="auto"/>
        <w:ind w:firstLine="720"/>
      </w:pPr>
      <w:r>
        <w:t xml:space="preserve">For starters, DP&amp;L violated the Ohio Administrative Code by filing the wrong pleading – a motion to quash instead of the required motion for a protective order. </w:t>
      </w:r>
      <w:r w:rsidR="00D635D7">
        <w:t>So,</w:t>
      </w:r>
      <w:r>
        <w:t xml:space="preserve"> DP&amp;L’s motion should be denied and the PUCO should order DP&amp;L to immediately produce the deponent for OCC.</w:t>
      </w:r>
      <w:r w:rsidR="00D635D7">
        <w:t xml:space="preserve"> </w:t>
      </w:r>
    </w:p>
    <w:p w:rsidR="00411224" w:rsidP="00411224" w14:paraId="7D0198B4" w14:textId="2FE03ACC">
      <w:pPr>
        <w:spacing w:line="480" w:lineRule="auto"/>
        <w:ind w:firstLine="720"/>
      </w:pPr>
      <w:r>
        <w:t xml:space="preserve">In its Motion </w:t>
      </w:r>
      <w:r w:rsidR="002A245D">
        <w:t>to Quash</w:t>
      </w:r>
      <w:r>
        <w:t xml:space="preserve">, </w:t>
      </w:r>
      <w:r w:rsidR="002A245D">
        <w:t>DP&amp;L</w:t>
      </w:r>
      <w:r>
        <w:t xml:space="preserve"> is bent on thwarting and has already delayed the </w:t>
      </w:r>
      <w:r w:rsidR="003E75B9">
        <w:t>intervenors’</w:t>
      </w:r>
      <w:r>
        <w:t xml:space="preserve"> mere request to depose a </w:t>
      </w:r>
      <w:r w:rsidR="002A245D">
        <w:t>DP&amp;L</w:t>
      </w:r>
      <w:r>
        <w:t xml:space="preserve"> official on the prudence of certain of the coal plant subsidies that it is charging to consumers.</w:t>
      </w:r>
      <w:r w:rsidR="00D635D7">
        <w:t xml:space="preserve"> </w:t>
      </w:r>
      <w:r>
        <w:t xml:space="preserve">It’s an old utility </w:t>
      </w:r>
      <w:r w:rsidR="00BF4A54">
        <w:t>tactic</w:t>
      </w:r>
      <w:r>
        <w:t xml:space="preserve"> that continues nearly forty years after – and despite – the legislature’s discovery reform statute, R.C. 4903.082. That statue ensures the discovery rights for </w:t>
      </w:r>
      <w:r w:rsidR="00DC4EDD">
        <w:t>parties</w:t>
      </w:r>
      <w:r>
        <w:t xml:space="preserve"> such as OCC that is performing state work to investigate </w:t>
      </w:r>
      <w:r w:rsidR="00DC4EDD">
        <w:t xml:space="preserve">DP&amp;L and other </w:t>
      </w:r>
      <w:r>
        <w:t xml:space="preserve">utility monopolies </w:t>
      </w:r>
      <w:r w:rsidR="004D6B22">
        <w:t xml:space="preserve">and </w:t>
      </w:r>
      <w:r w:rsidR="00DC4EDD">
        <w:t xml:space="preserve">for </w:t>
      </w:r>
      <w:r w:rsidR="004D6B22">
        <w:t>OMAEG that represents Ohio manufacturers</w:t>
      </w:r>
      <w:r>
        <w:t>.</w:t>
      </w:r>
      <w:r w:rsidR="00D635D7">
        <w:t xml:space="preserve"> </w:t>
      </w:r>
      <w:r>
        <w:t xml:space="preserve">That </w:t>
      </w:r>
      <w:r w:rsidR="002A245D">
        <w:t>DP&amp;L</w:t>
      </w:r>
      <w:r>
        <w:t xml:space="preserve"> perceives it has license to even file a Motion to prevent </w:t>
      </w:r>
      <w:r w:rsidR="003E75B9">
        <w:t>the</w:t>
      </w:r>
      <w:r>
        <w:t xml:space="preserve"> deposition suggests that the PUCO has failed to impose sufficient consequences to deter utilities from this obstructionist tactic. </w:t>
      </w:r>
    </w:p>
    <w:p w:rsidR="00411224" w:rsidP="00411224" w14:paraId="414C3C62" w14:textId="5051AC22">
      <w:pPr>
        <w:spacing w:line="480" w:lineRule="auto"/>
        <w:ind w:firstLine="720"/>
      </w:pPr>
      <w:r>
        <w:t>The longstanding Ohio Administrative Code provisions for discovery, some of which date back to 1981 in their current form, are meant to facilitate thorough and adequate preparation…” in PUCO cases.</w:t>
      </w:r>
      <w:r>
        <w:rPr>
          <w:rStyle w:val="FootnoteReference"/>
        </w:rPr>
        <w:footnoteReference w:id="4"/>
      </w:r>
      <w:r w:rsidR="00D635D7">
        <w:t xml:space="preserve"> </w:t>
      </w:r>
      <w:r>
        <w:t>And they’re “intended to minimize commission intervention in the discovery process.”</w:t>
      </w:r>
      <w:r>
        <w:rPr>
          <w:rStyle w:val="FootnoteReference"/>
        </w:rPr>
        <w:footnoteReference w:id="5"/>
      </w:r>
      <w:r>
        <w:t xml:space="preserve"> </w:t>
      </w:r>
    </w:p>
    <w:p w:rsidR="00411224" w:rsidP="00411224" w14:paraId="24B55358" w14:textId="4DB79BE8">
      <w:pPr>
        <w:spacing w:line="480" w:lineRule="auto"/>
        <w:ind w:firstLine="720"/>
      </w:pPr>
      <w:r>
        <w:t xml:space="preserve">Here, the PUCO is conducting annual audits of the charges to consumers for the coal </w:t>
      </w:r>
      <w:r w:rsidR="00EC3DE9">
        <w:t xml:space="preserve">power </w:t>
      </w:r>
      <w:r>
        <w:t xml:space="preserve">plant subsidies. </w:t>
      </w:r>
      <w:r w:rsidR="00664158">
        <w:t>P</w:t>
      </w:r>
      <w:r w:rsidR="003E75B9">
        <w:t>arties may</w:t>
      </w:r>
      <w:r>
        <w:t xml:space="preserve"> consider any subsidy charge for these coal plants to be unreasonable and anti-competitive for consumers to pay.</w:t>
      </w:r>
      <w:r w:rsidR="00D635D7">
        <w:t xml:space="preserve"> </w:t>
      </w:r>
      <w:r>
        <w:t xml:space="preserve">But even with the general approvals by the PUCO and the legislature for subsidizing coal plants, there are prudency issues – and </w:t>
      </w:r>
      <w:r w:rsidR="003E75B9">
        <w:t>the parties</w:t>
      </w:r>
      <w:r>
        <w:t xml:space="preserve"> are investigating those issues for consumers. It is </w:t>
      </w:r>
      <w:r w:rsidR="003E75B9">
        <w:t>the parties’</w:t>
      </w:r>
      <w:r>
        <w:t xml:space="preserve"> right under law to do so. </w:t>
      </w:r>
    </w:p>
    <w:p w:rsidR="00015EFB" w:rsidP="00052AC7" w14:paraId="1CF86EB2" w14:textId="7EB6D3A3">
      <w:pPr>
        <w:spacing w:line="480" w:lineRule="auto"/>
        <w:ind w:firstLine="720"/>
      </w:pPr>
      <w:r>
        <w:t>The use of discovery</w:t>
      </w:r>
      <w:r w:rsidR="001A0019">
        <w:t xml:space="preserve"> additionally</w:t>
      </w:r>
      <w:r>
        <w:t xml:space="preserve"> is important in this case because the </w:t>
      </w:r>
      <w:r w:rsidR="00EC3DE9">
        <w:t>PUCO</w:t>
      </w:r>
      <w:r w:rsidR="00BC4FEC">
        <w:t xml:space="preserve"> auditor </w:t>
      </w:r>
      <w:r w:rsidR="002F0C0C">
        <w:t>(</w:t>
      </w:r>
      <w:r w:rsidR="00DD0667">
        <w:t>Vantage Energy Consulting, LLC</w:t>
      </w:r>
      <w:r w:rsidR="002F0C0C">
        <w:t>)</w:t>
      </w:r>
      <w:r w:rsidR="00DD0667">
        <w:t xml:space="preserve"> </w:t>
      </w:r>
      <w:r>
        <w:t xml:space="preserve">offered no analysis of </w:t>
      </w:r>
      <w:r w:rsidR="00DD0667">
        <w:t>th</w:t>
      </w:r>
      <w:r w:rsidR="002F0C0C">
        <w:t>e</w:t>
      </w:r>
      <w:r w:rsidR="00DD0667">
        <w:t xml:space="preserve"> </w:t>
      </w:r>
      <w:r>
        <w:t>issue</w:t>
      </w:r>
      <w:r w:rsidR="002F0C0C">
        <w:t xml:space="preserve"> of </w:t>
      </w:r>
      <w:r w:rsidR="003E75B9">
        <w:t>committing the plants into the PJM day ahead energy market as must-run v</w:t>
      </w:r>
      <w:r w:rsidR="00401173">
        <w:t>ersus</w:t>
      </w:r>
      <w:r w:rsidR="003E75B9">
        <w:t xml:space="preserve"> economic</w:t>
      </w:r>
      <w:r>
        <w:t>.</w:t>
      </w:r>
      <w:r w:rsidR="00EC3DE9">
        <w:t xml:space="preserve"> Why not</w:t>
      </w:r>
      <w:r w:rsidR="000C3C0D">
        <w:t xml:space="preserve"> </w:t>
      </w:r>
      <w:r w:rsidR="00401173">
        <w:t xml:space="preserve">– </w:t>
      </w:r>
      <w:r w:rsidR="000C3C0D">
        <w:t>considering that the Auditor</w:t>
      </w:r>
      <w:r w:rsidR="00664158">
        <w:t>s</w:t>
      </w:r>
      <w:r w:rsidR="000C3C0D">
        <w:t xml:space="preserve"> in the</w:t>
      </w:r>
      <w:r w:rsidR="003E75B9">
        <w:t xml:space="preserve"> AEP and Duke</w:t>
      </w:r>
      <w:r w:rsidR="000C3C0D">
        <w:t xml:space="preserve"> case</w:t>
      </w:r>
      <w:r w:rsidR="003E75B9">
        <w:t>s</w:t>
      </w:r>
      <w:r w:rsidR="000C3C0D">
        <w:t xml:space="preserve"> did </w:t>
      </w:r>
      <w:r w:rsidR="00A76371">
        <w:t>raise the issue</w:t>
      </w:r>
      <w:r w:rsidR="00EC3DE9">
        <w:t>?</w:t>
      </w:r>
      <w:r>
        <w:rPr>
          <w:rStyle w:val="FootnoteReference"/>
        </w:rPr>
        <w:footnoteReference w:id="6"/>
      </w:r>
      <w:r w:rsidR="00D635D7">
        <w:t xml:space="preserve"> </w:t>
      </w:r>
      <w:r w:rsidR="003E75B9">
        <w:t>The intervenors</w:t>
      </w:r>
      <w:r w:rsidR="00EC3DE9">
        <w:t xml:space="preserve"> ask the PUCO to require</w:t>
      </w:r>
      <w:r w:rsidR="004D3242">
        <w:t xml:space="preserve"> Vantage</w:t>
      </w:r>
      <w:r w:rsidR="00EC3DE9">
        <w:t xml:space="preserve"> to supplement its audit for this analysis.</w:t>
      </w:r>
      <w:r>
        <w:rPr>
          <w:rStyle w:val="FootnoteReference"/>
        </w:rPr>
        <w:footnoteReference w:id="7"/>
      </w:r>
      <w:r w:rsidR="00D635D7">
        <w:t xml:space="preserve"> </w:t>
      </w:r>
    </w:p>
    <w:p w:rsidR="00A03A81" w:rsidP="00052AC7" w14:paraId="62CD611E" w14:textId="67FA1847">
      <w:pPr>
        <w:spacing w:line="480" w:lineRule="auto"/>
        <w:ind w:firstLine="720"/>
      </w:pPr>
      <w:r>
        <w:t xml:space="preserve">In the audit </w:t>
      </w:r>
      <w:r w:rsidR="00EC3DE9">
        <w:t>for protecting AEP’s consumers</w:t>
      </w:r>
      <w:r>
        <w:t>, the auditor</w:t>
      </w:r>
      <w:r w:rsidR="00E94DF9">
        <w:t xml:space="preserve"> noted</w:t>
      </w:r>
      <w:r w:rsidR="00633E90">
        <w:t xml:space="preserve"> that</w:t>
      </w:r>
      <w:r w:rsidR="00F27379">
        <w:t xml:space="preserve"> </w:t>
      </w:r>
      <w:r w:rsidR="00E94DF9">
        <w:t>OVEC co</w:t>
      </w:r>
      <w:r w:rsidR="00633E90">
        <w:t>ntinued running</w:t>
      </w:r>
      <w:r w:rsidR="00E94DF9">
        <w:t xml:space="preserve"> the plants </w:t>
      </w:r>
      <w:r w:rsidR="00F27379">
        <w:t>on days when</w:t>
      </w:r>
      <w:r w:rsidR="00E94DF9">
        <w:t xml:space="preserve"> the plants earned less revenue from selling electricity than the </w:t>
      </w:r>
      <w:r w:rsidR="00F27379">
        <w:t xml:space="preserve">plants’ </w:t>
      </w:r>
      <w:r w:rsidR="00E94DF9">
        <w:t>variable operating costs.</w:t>
      </w:r>
      <w:r>
        <w:rPr>
          <w:rStyle w:val="FootnoteReference"/>
        </w:rPr>
        <w:footnoteReference w:id="8"/>
      </w:r>
      <w:r w:rsidR="00D635D7">
        <w:t xml:space="preserve"> </w:t>
      </w:r>
      <w:r w:rsidR="00E94DF9">
        <w:t>Accordingly, the</w:t>
      </w:r>
      <w:r>
        <w:t xml:space="preserve"> PUCO</w:t>
      </w:r>
      <w:r w:rsidR="00A845D4">
        <w:t xml:space="preserve"> </w:t>
      </w:r>
      <w:r w:rsidR="00E94DF9">
        <w:t>auditor</w:t>
      </w:r>
      <w:r>
        <w:t xml:space="preserve"> in the AEP case</w:t>
      </w:r>
      <w:r w:rsidR="00E94DF9">
        <w:t xml:space="preserve"> recommended that OVEC reconsider its must-run offer strategy that caused these losses.</w:t>
      </w:r>
      <w:r>
        <w:rPr>
          <w:rStyle w:val="FootnoteReference"/>
        </w:rPr>
        <w:footnoteReference w:id="9"/>
      </w:r>
      <w:r w:rsidR="00E94DF9">
        <w:t xml:space="preserve"> </w:t>
      </w:r>
    </w:p>
    <w:p w:rsidR="00D302F7" w:rsidP="00207593" w14:paraId="4FE117C8" w14:textId="2069E157">
      <w:pPr>
        <w:spacing w:line="480" w:lineRule="auto"/>
        <w:ind w:firstLine="720"/>
      </w:pPr>
      <w:r>
        <w:t xml:space="preserve">OCC and OMAEG are permitted by state law and rule to investigate these and other issues by using discovery such as depositions. </w:t>
      </w:r>
      <w:r w:rsidR="00F76ADA">
        <w:rPr>
          <w:szCs w:val="24"/>
        </w:rPr>
        <w:t xml:space="preserve">On December 23, 2020, </w:t>
      </w:r>
      <w:r w:rsidRPr="00207593" w:rsidR="00E94DF9">
        <w:rPr>
          <w:szCs w:val="24"/>
        </w:rPr>
        <w:t>OCC</w:t>
      </w:r>
      <w:r w:rsidR="00E94DF9">
        <w:t xml:space="preserve"> requested a deposition from </w:t>
      </w:r>
      <w:r w:rsidR="00752562">
        <w:t>DP&amp;L</w:t>
      </w:r>
      <w:r w:rsidR="00E94DF9">
        <w:t xml:space="preserve"> to investigate </w:t>
      </w:r>
      <w:r w:rsidR="00F76ADA">
        <w:t>the OVEC plants’</w:t>
      </w:r>
      <w:r w:rsidR="00855ADD">
        <w:t xml:space="preserve"> must-run</w:t>
      </w:r>
      <w:r w:rsidR="00F76ADA">
        <w:t xml:space="preserve"> offer strategy </w:t>
      </w:r>
      <w:r w:rsidR="002D68FB">
        <w:t xml:space="preserve">in the </w:t>
      </w:r>
      <w:r w:rsidR="00F76ADA">
        <w:t xml:space="preserve">PJM market </w:t>
      </w:r>
      <w:r w:rsidR="00BC4FEC">
        <w:t xml:space="preserve">and </w:t>
      </w:r>
      <w:r w:rsidR="00FF41F4">
        <w:t xml:space="preserve">any </w:t>
      </w:r>
      <w:r w:rsidR="00BC4FEC">
        <w:t xml:space="preserve">costs associated with FirstEnergy Solutions’ OVEC entitlement </w:t>
      </w:r>
      <w:r w:rsidR="00F27379">
        <w:t>to protect consumers</w:t>
      </w:r>
      <w:r w:rsidR="00E94DF9">
        <w:t>.</w:t>
      </w:r>
      <w:r w:rsidR="00D635D7">
        <w:t xml:space="preserve"> </w:t>
      </w:r>
      <w:r w:rsidR="00752562">
        <w:t>DP&amp;L</w:t>
      </w:r>
      <w:r w:rsidR="00E94DF9">
        <w:t xml:space="preserve"> responded with a motion </w:t>
      </w:r>
      <w:r w:rsidR="00A845D4">
        <w:t>to quash the notice of deposition</w:t>
      </w:r>
      <w:r w:rsidR="00FF41F4">
        <w:t>.</w:t>
      </w:r>
    </w:p>
    <w:p w:rsidR="00AF356E" w:rsidP="00207593" w14:paraId="5E8C9351" w14:textId="542F85F3">
      <w:pPr>
        <w:spacing w:line="480" w:lineRule="auto"/>
        <w:ind w:firstLine="720"/>
      </w:pPr>
      <w:r>
        <w:t>OCC’s request for a deposition is reasonable</w:t>
      </w:r>
      <w:r w:rsidR="00F76ADA">
        <w:t xml:space="preserve"> and consistent with </w:t>
      </w:r>
      <w:r w:rsidR="00A6176B">
        <w:t xml:space="preserve">law, </w:t>
      </w:r>
      <w:r w:rsidR="00D635D7">
        <w:t>rule,</w:t>
      </w:r>
      <w:r w:rsidR="00F76ADA">
        <w:t xml:space="preserve"> and precedent</w:t>
      </w:r>
      <w:r>
        <w:t>.</w:t>
      </w:r>
      <w:r w:rsidR="00D635D7">
        <w:t xml:space="preserve"> </w:t>
      </w:r>
      <w:r w:rsidR="001B72A7">
        <w:t>A</w:t>
      </w:r>
      <w:r w:rsidR="00B86362">
        <w:t xml:space="preserve">dditionally, the information will help parties, including </w:t>
      </w:r>
      <w:r w:rsidR="00304846">
        <w:t xml:space="preserve">OCC </w:t>
      </w:r>
      <w:r w:rsidR="00AA3E68">
        <w:t>and</w:t>
      </w:r>
      <w:r w:rsidR="00304846">
        <w:t xml:space="preserve"> </w:t>
      </w:r>
      <w:r w:rsidR="00B86362">
        <w:t>OMAEG, contribute to a just and expeditious resolution of the issues in this proceeding. A</w:t>
      </w:r>
      <w:r w:rsidR="00E367DF">
        <w:t>s articulated</w:t>
      </w:r>
      <w:r w:rsidR="00B86362">
        <w:t xml:space="preserve"> below, DP&amp;L’s </w:t>
      </w:r>
      <w:r w:rsidR="00571F13">
        <w:t>arguments are without merit</w:t>
      </w:r>
      <w:r w:rsidR="00304846">
        <w:t>.</w:t>
      </w:r>
      <w:r w:rsidR="008A00C3">
        <w:t xml:space="preserve"> </w:t>
      </w:r>
      <w:r w:rsidR="00DC4EDD">
        <w:t>The intervenors</w:t>
      </w:r>
      <w:r w:rsidR="008A00C3">
        <w:t xml:space="preserve"> appreciate the recent approach of Duke Energy, whose response to OCC’s deposition notice was </w:t>
      </w:r>
      <w:r w:rsidR="00DC4EDD">
        <w:t xml:space="preserve">to </w:t>
      </w:r>
      <w:r w:rsidR="008A00C3">
        <w:t>provide the deponent on a coal plant</w:t>
      </w:r>
      <w:r w:rsidR="00401173">
        <w:t xml:space="preserve"> cost</w:t>
      </w:r>
      <w:r w:rsidR="008A00C3">
        <w:t xml:space="preserve"> issue.</w:t>
      </w:r>
      <w:r>
        <w:rPr>
          <w:rStyle w:val="FootnoteReference"/>
        </w:rPr>
        <w:footnoteReference w:id="10"/>
      </w:r>
      <w:r w:rsidR="00D635D7">
        <w:t xml:space="preserve"> </w:t>
      </w:r>
      <w:r w:rsidR="00304846">
        <w:t xml:space="preserve"> </w:t>
      </w:r>
      <w:r>
        <w:t xml:space="preserve">The PUCO should </w:t>
      </w:r>
      <w:r w:rsidR="00F27379">
        <w:t xml:space="preserve">therefore </w:t>
      </w:r>
      <w:r w:rsidR="00C71C77">
        <w:t xml:space="preserve">protect consumers and </w:t>
      </w:r>
      <w:r>
        <w:t xml:space="preserve">deny </w:t>
      </w:r>
      <w:r w:rsidR="00752562">
        <w:t>DP&amp;L</w:t>
      </w:r>
      <w:r>
        <w:t xml:space="preserve">’s motion </w:t>
      </w:r>
      <w:r w:rsidR="00A845D4">
        <w:t>to quash</w:t>
      </w:r>
      <w:r>
        <w:t>.</w:t>
      </w:r>
      <w:r w:rsidR="003737CD">
        <w:t xml:space="preserve"> </w:t>
      </w:r>
    </w:p>
    <w:p w:rsidR="00BF03A0" w:rsidP="00BF03A0" w14:paraId="461FE6AA" w14:textId="77777777">
      <w:pPr>
        <w:ind w:firstLine="720"/>
      </w:pPr>
    </w:p>
    <w:p w:rsidR="00AB21C3" w:rsidRPr="00DD0667" w:rsidP="00BF03A0" w14:paraId="7F494F52" w14:textId="3E5D30F9">
      <w:pPr>
        <w:pStyle w:val="Heading1"/>
      </w:pPr>
      <w:bookmarkStart w:id="1" w:name="_Toc63083179"/>
      <w:r>
        <w:t>II.</w:t>
      </w:r>
      <w:r>
        <w:tab/>
        <w:t>LAW AND ARGUMENT</w:t>
      </w:r>
      <w:bookmarkEnd w:id="1"/>
    </w:p>
    <w:p w:rsidR="004D06C5" w:rsidP="00404781" w14:paraId="7DA49831" w14:textId="320B3337">
      <w:pPr>
        <w:pStyle w:val="Heading2"/>
        <w:rPr>
          <w:bCs w:val="0"/>
        </w:rPr>
      </w:pPr>
      <w:bookmarkStart w:id="2" w:name="_Toc63083180"/>
      <w:r>
        <w:rPr>
          <w:rStyle w:val="Heading2Char"/>
        </w:rPr>
        <w:t>A.</w:t>
      </w:r>
      <w:r>
        <w:rPr>
          <w:rStyle w:val="Heading2Char"/>
        </w:rPr>
        <w:tab/>
      </w:r>
      <w:r w:rsidRPr="00BF03A0">
        <w:rPr>
          <w:rStyle w:val="Heading2Char"/>
        </w:rPr>
        <w:t xml:space="preserve">The PUCO should </w:t>
      </w:r>
      <w:r w:rsidRPr="00BF03A0" w:rsidR="004F5711">
        <w:rPr>
          <w:rStyle w:val="Heading2Char"/>
        </w:rPr>
        <w:t>dismiss DP&amp;L’s motion because DP&amp;L filed the wrong</w:t>
      </w:r>
      <w:r w:rsidR="004F5711">
        <w:rPr>
          <w:bCs w:val="0"/>
        </w:rPr>
        <w:t xml:space="preserve"> pleading and violated the </w:t>
      </w:r>
      <w:r w:rsidR="00C41B48">
        <w:rPr>
          <w:bCs w:val="0"/>
        </w:rPr>
        <w:t>Ohio Administrative Code</w:t>
      </w:r>
      <w:r w:rsidR="004F5711">
        <w:rPr>
          <w:bCs w:val="0"/>
        </w:rPr>
        <w:t>.</w:t>
      </w:r>
      <w:bookmarkEnd w:id="2"/>
    </w:p>
    <w:p w:rsidR="004F5711" w14:paraId="54AAC255" w14:textId="36F30C58">
      <w:pPr>
        <w:pStyle w:val="Default"/>
        <w:spacing w:line="480" w:lineRule="auto"/>
        <w:ind w:firstLine="720"/>
      </w:pPr>
      <w:r>
        <w:t xml:space="preserve">First, the PUCO should deny DP&amp;L’s motion to quash </w:t>
      </w:r>
      <w:r w:rsidR="007254B9">
        <w:t xml:space="preserve">because it violates </w:t>
      </w:r>
      <w:r w:rsidR="004A4F2A">
        <w:t>the Ohio Administrative Code</w:t>
      </w:r>
      <w:r>
        <w:t>.</w:t>
      </w:r>
      <w:r w:rsidR="00D635D7">
        <w:t xml:space="preserve"> </w:t>
      </w:r>
      <w:r w:rsidR="004B036D">
        <w:t xml:space="preserve">Under </w:t>
      </w:r>
      <w:r>
        <w:t xml:space="preserve">Ohio </w:t>
      </w:r>
      <w:r w:rsidR="00D635D7">
        <w:t>Adm. Code</w:t>
      </w:r>
      <w:r>
        <w:t xml:space="preserve"> 4901-1-25(C)</w:t>
      </w:r>
      <w:r w:rsidR="004B036D">
        <w:t xml:space="preserve">, a motion to quash </w:t>
      </w:r>
      <w:r>
        <w:t>is permitted for opposing a subpoena. But OCC did not apply for a subpoena.</w:t>
      </w:r>
      <w:r w:rsidR="00D635D7">
        <w:t xml:space="preserve"> </w:t>
      </w:r>
      <w:r>
        <w:t xml:space="preserve">Even so, a party opposing a subpoena under Rule 25 </w:t>
      </w:r>
      <w:r w:rsidR="004B036D">
        <w:t xml:space="preserve">must establish that the </w:t>
      </w:r>
      <w:r w:rsidR="004F5D17">
        <w:t>subpoena</w:t>
      </w:r>
      <w:r w:rsidR="004B036D">
        <w:t xml:space="preserve"> was “unreasonable or oppressive.”</w:t>
      </w:r>
      <w:r w:rsidR="00D635D7">
        <w:t xml:space="preserve"> </w:t>
      </w:r>
      <w:r w:rsidR="004B036D">
        <w:t>DP&amp;L did not claim that the notice of deposition was unreasonable or oppressive.</w:t>
      </w:r>
      <w:r w:rsidR="00D635D7">
        <w:t xml:space="preserve"> </w:t>
      </w:r>
      <w:r w:rsidR="004B036D">
        <w:t>The PUCO should deny DP&amp;L’s motion.</w:t>
      </w:r>
    </w:p>
    <w:p w:rsidR="00B30656" w14:paraId="10E93105" w14:textId="789A320F">
      <w:pPr>
        <w:pStyle w:val="Default"/>
        <w:spacing w:line="480" w:lineRule="auto"/>
        <w:ind w:firstLine="720"/>
      </w:pPr>
      <w:r>
        <w:t>Second and more to the point</w:t>
      </w:r>
      <w:r w:rsidR="004B036D">
        <w:t>, DP&amp;L simply filed the wrong pleading.</w:t>
      </w:r>
      <w:r w:rsidR="00D635D7">
        <w:t xml:space="preserve"> </w:t>
      </w:r>
      <w:r w:rsidR="004B036D">
        <w:t>The proper pleading in response to OCC’s notice of deposition would have been a motion for protective order.</w:t>
      </w:r>
      <w:r>
        <w:rPr>
          <w:rStyle w:val="FootnoteReference"/>
        </w:rPr>
        <w:footnoteReference w:id="11"/>
      </w:r>
      <w:r w:rsidR="00D635D7">
        <w:t xml:space="preserve"> </w:t>
      </w:r>
      <w:r w:rsidR="007254B9">
        <w:t>The rule for protective orders requires that the party seeking the motion must show that a protective order is necessary to protect it from “annoyance, embarrassment, oppression, or undue burden or expense.”</w:t>
      </w:r>
      <w:r>
        <w:rPr>
          <w:rStyle w:val="FootnoteReference"/>
        </w:rPr>
        <w:footnoteReference w:id="12"/>
      </w:r>
      <w:r w:rsidR="00D635D7">
        <w:t xml:space="preserve"> </w:t>
      </w:r>
      <w:r w:rsidR="007254B9">
        <w:t>DP&amp;L did not attempt to make such a showing.</w:t>
      </w:r>
      <w:r w:rsidR="00D635D7">
        <w:t xml:space="preserve"> </w:t>
      </w:r>
      <w:r>
        <w:t>The PUCO should deny DP&amp;L’s motion for this reason.</w:t>
      </w:r>
    </w:p>
    <w:p w:rsidR="004B036D" w14:paraId="5D53E212" w14:textId="3EDFBDF0">
      <w:pPr>
        <w:pStyle w:val="Default"/>
        <w:spacing w:line="480" w:lineRule="auto"/>
        <w:ind w:firstLine="720"/>
      </w:pPr>
      <w:r>
        <w:t>Under Rule 24(B)</w:t>
      </w:r>
      <w:r w:rsidR="00B30656">
        <w:t>, the</w:t>
      </w:r>
      <w:r w:rsidR="007254B9">
        <w:t xml:space="preserve"> </w:t>
      </w:r>
      <w:r w:rsidR="00A046FB">
        <w:t>movant</w:t>
      </w:r>
      <w:r w:rsidR="007254B9">
        <w:t xml:space="preserve"> must also show that </w:t>
      </w:r>
      <w:r w:rsidR="00A046FB">
        <w:t>it</w:t>
      </w:r>
      <w:r w:rsidR="007254B9">
        <w:t xml:space="preserve"> ha</w:t>
      </w:r>
      <w:r w:rsidR="00A046FB">
        <w:t>s</w:t>
      </w:r>
      <w:r w:rsidR="007254B9">
        <w:t xml:space="preserve"> exhausted all other reasonable means to resolve differences with the party seeking discovery.</w:t>
      </w:r>
      <w:r w:rsidR="00D635D7">
        <w:t xml:space="preserve"> </w:t>
      </w:r>
      <w:r w:rsidR="00B30656">
        <w:t xml:space="preserve">This DP&amp;L also failed to </w:t>
      </w:r>
      <w:r w:rsidR="00A046FB">
        <w:t>show</w:t>
      </w:r>
      <w:r w:rsidR="00B30656">
        <w:t>.</w:t>
      </w:r>
      <w:r w:rsidR="00D635D7">
        <w:t xml:space="preserve"> </w:t>
      </w:r>
      <w:r w:rsidR="00A046FB">
        <w:t>That</w:t>
      </w:r>
      <w:r w:rsidR="00B30656">
        <w:t xml:space="preserve"> is another reason the PUCO should reject DP&amp;L’s motion.</w:t>
      </w:r>
    </w:p>
    <w:p w:rsidR="00B30656" w:rsidRPr="003E032F" w:rsidP="003E032F" w14:paraId="79E3AC11" w14:textId="4ACC7142">
      <w:pPr>
        <w:pStyle w:val="Default"/>
        <w:spacing w:line="480" w:lineRule="auto"/>
        <w:ind w:firstLine="720"/>
      </w:pPr>
      <w:r>
        <w:t xml:space="preserve">Finally, </w:t>
      </w:r>
      <w:r w:rsidR="00A046FB">
        <w:t xml:space="preserve">under Rule 24(B)(3) </w:t>
      </w:r>
      <w:r>
        <w:t xml:space="preserve">the </w:t>
      </w:r>
      <w:r w:rsidR="00A046FB">
        <w:t>movant for a protective order</w:t>
      </w:r>
      <w:r>
        <w:t xml:space="preserve"> must file an affidavit laying out all steps it took to resolve differences with the party seeking discovery.</w:t>
      </w:r>
      <w:r w:rsidR="00D635D7">
        <w:t xml:space="preserve"> </w:t>
      </w:r>
      <w:r w:rsidR="0021094A">
        <w:t>DP&amp;L failed to</w:t>
      </w:r>
      <w:r w:rsidR="00A046FB">
        <w:t xml:space="preserve"> file an affidavit</w:t>
      </w:r>
      <w:r w:rsidR="0021094A">
        <w:t>.</w:t>
      </w:r>
      <w:r w:rsidR="00D635D7">
        <w:t xml:space="preserve"> </w:t>
      </w:r>
      <w:r w:rsidR="0021094A">
        <w:t>The PUCO should deny DP&amp;L’s motion</w:t>
      </w:r>
      <w:r w:rsidR="005C334A">
        <w:t xml:space="preserve"> and promptly order DP&amp;L to make the deponent available</w:t>
      </w:r>
      <w:r w:rsidR="0021094A">
        <w:t>.</w:t>
      </w:r>
    </w:p>
    <w:p w:rsidR="00AB21C3" w:rsidP="00404781" w14:paraId="78631B5F" w14:textId="197678CA">
      <w:pPr>
        <w:pStyle w:val="Default"/>
        <w:ind w:left="1440" w:hanging="720"/>
        <w:rPr>
          <w:b/>
          <w:bCs w:val="0"/>
        </w:rPr>
      </w:pPr>
      <w:bookmarkStart w:id="3" w:name="_Toc63083181"/>
      <w:r>
        <w:rPr>
          <w:rStyle w:val="Heading2Char"/>
        </w:rPr>
        <w:t>B.</w:t>
      </w:r>
      <w:r>
        <w:rPr>
          <w:rStyle w:val="Heading2Char"/>
        </w:rPr>
        <w:tab/>
      </w:r>
      <w:r w:rsidRPr="00BF03A0">
        <w:rPr>
          <w:rStyle w:val="Heading2Char"/>
        </w:rPr>
        <w:t>DP&amp;</w:t>
      </w:r>
      <w:r w:rsidRPr="00404781">
        <w:rPr>
          <w:rStyle w:val="Heading2Char"/>
        </w:rPr>
        <w:t xml:space="preserve">L is </w:t>
      </w:r>
      <w:r w:rsidRPr="00404781" w:rsidR="005938B9">
        <w:rPr>
          <w:rStyle w:val="Heading2Char"/>
        </w:rPr>
        <w:t>required to demonstrate</w:t>
      </w:r>
      <w:r w:rsidRPr="00404781">
        <w:rPr>
          <w:rStyle w:val="Heading2Char"/>
        </w:rPr>
        <w:t xml:space="preserve"> in </w:t>
      </w:r>
      <w:r w:rsidRPr="00404781" w:rsidR="004B4606">
        <w:rPr>
          <w:rStyle w:val="Heading2Char"/>
        </w:rPr>
        <w:t>a</w:t>
      </w:r>
      <w:r w:rsidRPr="00404781">
        <w:rPr>
          <w:rStyle w:val="Heading2Char"/>
        </w:rPr>
        <w:t xml:space="preserve"> motion</w:t>
      </w:r>
      <w:r w:rsidRPr="00404781" w:rsidR="00AE618E">
        <w:rPr>
          <w:rStyle w:val="Heading2Char"/>
        </w:rPr>
        <w:t>, if it can,</w:t>
      </w:r>
      <w:r w:rsidRPr="00404781">
        <w:rPr>
          <w:rStyle w:val="Heading2Char"/>
        </w:rPr>
        <w:t xml:space="preserve"> that a protective order is necessary to </w:t>
      </w:r>
      <w:r w:rsidRPr="00404781" w:rsidR="00C47E90">
        <w:rPr>
          <w:rStyle w:val="Heading2Char"/>
        </w:rPr>
        <w:t xml:space="preserve">shield </w:t>
      </w:r>
      <w:r w:rsidRPr="00404781">
        <w:rPr>
          <w:rStyle w:val="Heading2Char"/>
        </w:rPr>
        <w:t>it from annoyance, embarrassment, oppression, or undue burden or expense. It failed</w:t>
      </w:r>
      <w:r w:rsidRPr="00404781" w:rsidR="00BB7FFC">
        <w:rPr>
          <w:rStyle w:val="Heading2Char"/>
        </w:rPr>
        <w:t xml:space="preserve"> to do so</w:t>
      </w:r>
      <w:r w:rsidRPr="00404781">
        <w:rPr>
          <w:rStyle w:val="Heading2Char"/>
        </w:rPr>
        <w:t>.</w:t>
      </w:r>
      <w:bookmarkEnd w:id="3"/>
    </w:p>
    <w:p w:rsidR="00BF03A0" w:rsidRPr="00327386" w:rsidP="00BF03A0" w14:paraId="52C3E5CC" w14:textId="77777777">
      <w:pPr>
        <w:pStyle w:val="Default"/>
        <w:ind w:left="1440"/>
        <w:rPr>
          <w:b/>
          <w:bCs w:val="0"/>
        </w:rPr>
      </w:pPr>
    </w:p>
    <w:p w:rsidR="00AB21C3" w:rsidP="00AB21C3" w14:paraId="5127E618" w14:textId="31F11FBF">
      <w:pPr>
        <w:pStyle w:val="Default"/>
        <w:spacing w:line="480" w:lineRule="auto"/>
        <w:ind w:firstLine="720"/>
      </w:pPr>
      <w:r>
        <w:t>A party seeking a protective order</w:t>
      </w:r>
      <w:r w:rsidR="00A529DB">
        <w:t xml:space="preserve"> (which would have been the correct filing for DP&amp;L’s incorrect claim)</w:t>
      </w:r>
      <w:r>
        <w:t xml:space="preserve"> must establish, to prevail, that the protective order is necessary to protect it.</w:t>
      </w:r>
      <w:r>
        <w:rPr>
          <w:rStyle w:val="FootnoteReference"/>
        </w:rPr>
        <w:footnoteReference w:id="13"/>
      </w:r>
      <w:r w:rsidR="00D635D7">
        <w:t xml:space="preserve"> </w:t>
      </w:r>
      <w:r>
        <w:t xml:space="preserve"> DP&amp;L has not offered any reason why a deposition would result in annoyance, embarrassment, oppression or undue burden or expense.</w:t>
      </w:r>
      <w:r w:rsidR="00D635D7">
        <w:t xml:space="preserve"> </w:t>
      </w:r>
    </w:p>
    <w:p w:rsidR="00AB21C3" w:rsidP="000D4F3D" w14:paraId="28D2D7FE" w14:textId="596E0A75">
      <w:pPr>
        <w:pStyle w:val="Default"/>
        <w:spacing w:line="480" w:lineRule="auto"/>
        <w:ind w:firstLine="720"/>
      </w:pPr>
      <w:r>
        <w:t>OCC and OMAEG have a clear right to conduct discovery “to facilitate thorough and adequate preparation in commission proceedings”</w:t>
      </w:r>
      <w:r w:rsidR="00AE618E">
        <w:t xml:space="preserve"> and under R.C. 4903.082.</w:t>
      </w:r>
      <w:r>
        <w:rPr>
          <w:rStyle w:val="FootnoteReference"/>
        </w:rPr>
        <w:footnoteReference w:id="14"/>
      </w:r>
      <w:r w:rsidR="00D635D7">
        <w:t xml:space="preserve"> </w:t>
      </w:r>
      <w:r>
        <w:t xml:space="preserve">The PUCO should </w:t>
      </w:r>
      <w:r w:rsidR="00F868AD">
        <w:t>deny</w:t>
      </w:r>
      <w:r>
        <w:t xml:space="preserve"> a motion to quash when, as in this case, the party seeking to </w:t>
      </w:r>
      <w:r w:rsidR="00A529DB">
        <w:t>“</w:t>
      </w:r>
      <w:r>
        <w:t>quash</w:t>
      </w:r>
      <w:r w:rsidR="00A529DB">
        <w:t>”</w:t>
      </w:r>
      <w:r>
        <w:t xml:space="preserve"> a deposition has not provide</w:t>
      </w:r>
      <w:r w:rsidR="000D4F3D">
        <w:t>d</w:t>
      </w:r>
      <w:r>
        <w:t xml:space="preserve"> any specific grounds </w:t>
      </w:r>
      <w:r w:rsidR="000D4F3D">
        <w:t xml:space="preserve">to establish </w:t>
      </w:r>
      <w:r>
        <w:t>annoyance, embarrassment, oppression or undue burden or expense</w:t>
      </w:r>
      <w:r w:rsidR="00A529DB">
        <w:t xml:space="preserve">. Those grounds are required to be shown, under Ohio </w:t>
      </w:r>
      <w:r w:rsidR="00D635D7">
        <w:t>Adm. Code</w:t>
      </w:r>
      <w:r w:rsidR="004A484E">
        <w:t xml:space="preserve"> 4901-1-24</w:t>
      </w:r>
      <w:r>
        <w:t xml:space="preserve">. </w:t>
      </w:r>
    </w:p>
    <w:p w:rsidR="00471452" w:rsidRPr="008530AE" w:rsidP="003E032F" w14:paraId="4F61C803" w14:textId="62C0C5F3">
      <w:pPr>
        <w:pStyle w:val="ListParagraph"/>
        <w:numPr>
          <w:ilvl w:val="0"/>
          <w:numId w:val="8"/>
        </w:numPr>
        <w:ind w:left="1440" w:hanging="720"/>
        <w:rPr>
          <w:b/>
          <w:sz w:val="24"/>
          <w:szCs w:val="24"/>
        </w:rPr>
      </w:pPr>
      <w:bookmarkStart w:id="4" w:name="_Toc63083182"/>
      <w:r w:rsidRPr="008530AE">
        <w:rPr>
          <w:rStyle w:val="Heading2Char"/>
          <w:sz w:val="24"/>
          <w:szCs w:val="24"/>
        </w:rPr>
        <w:t>OCC and OMAEG have a right to take depositions for consumer protection under Ohio law and the Ohio Administrative Code.</w:t>
      </w:r>
      <w:bookmarkEnd w:id="4"/>
    </w:p>
    <w:p w:rsidR="001133BD" w:rsidP="00076046" w14:paraId="08AE7C6A" w14:textId="6DCC3651">
      <w:pPr>
        <w:spacing w:line="480" w:lineRule="auto"/>
      </w:pPr>
      <w:r>
        <w:tab/>
        <w:t>OCC</w:t>
      </w:r>
      <w:r w:rsidR="00171078">
        <w:t xml:space="preserve"> and OMAEG</w:t>
      </w:r>
      <w:r>
        <w:t xml:space="preserve"> reasonably </w:t>
      </w:r>
      <w:r w:rsidR="00AE0EB5">
        <w:t>concluded</w:t>
      </w:r>
      <w:r>
        <w:t xml:space="preserve"> that a deposition is the best available tool for investigating</w:t>
      </w:r>
      <w:r w:rsidR="00171078">
        <w:t xml:space="preserve"> t</w:t>
      </w:r>
      <w:r>
        <w:t xml:space="preserve">he OVEC </w:t>
      </w:r>
      <w:r w:rsidR="00171078">
        <w:t xml:space="preserve">plants’ </w:t>
      </w:r>
      <w:r>
        <w:t>must-run offer strategy</w:t>
      </w:r>
      <w:r w:rsidR="00171078">
        <w:t xml:space="preserve"> and any costs associated with FirstEnergy Solutions’ OVEC entitlement</w:t>
      </w:r>
      <w:r>
        <w:t>.</w:t>
      </w:r>
      <w:r w:rsidR="00075138">
        <w:t xml:space="preserve"> That is </w:t>
      </w:r>
      <w:r w:rsidR="005938B9">
        <w:t>the intervenors’</w:t>
      </w:r>
      <w:r w:rsidR="00075138">
        <w:t xml:space="preserve"> choice</w:t>
      </w:r>
      <w:r w:rsidR="000738AD">
        <w:t xml:space="preserve"> to make.</w:t>
      </w:r>
      <w:r w:rsidR="00D635D7">
        <w:t xml:space="preserve"> </w:t>
      </w:r>
    </w:p>
    <w:p w:rsidR="00921D10" w:rsidP="00DD0667" w14:paraId="51FC81A3" w14:textId="2D019351">
      <w:pPr>
        <w:spacing w:line="480" w:lineRule="auto"/>
        <w:ind w:firstLine="720"/>
      </w:pPr>
      <w:r>
        <w:t>DP&amp;L is a co-owner of OVEC and may have relevant information on this topic.</w:t>
      </w:r>
      <w:r w:rsidR="00D635D7">
        <w:t xml:space="preserve"> </w:t>
      </w:r>
      <w:r>
        <w:t xml:space="preserve">This discovery goes to whether DP&amp;L acted prudently </w:t>
      </w:r>
      <w:r w:rsidR="003D6533">
        <w:t xml:space="preserve">and in the best interests of its customers </w:t>
      </w:r>
      <w:r w:rsidR="00B902BC">
        <w:t xml:space="preserve">in </w:t>
      </w:r>
      <w:r>
        <w:t>its management of OVEC costs</w:t>
      </w:r>
      <w:r w:rsidRPr="00E367DF" w:rsidR="00E367DF">
        <w:rPr>
          <w:rFonts w:ascii="Arial" w:hAnsi="Arial" w:cs="Arial"/>
          <w:color w:val="666666"/>
          <w:sz w:val="20"/>
          <w:szCs w:val="20"/>
          <w:shd w:val="clear" w:color="auto" w:fill="FFFFFF"/>
        </w:rPr>
        <w:t xml:space="preserve"> </w:t>
      </w:r>
      <w:r w:rsidR="00E367DF">
        <w:rPr>
          <w:rFonts w:ascii="Arial" w:hAnsi="Arial" w:cs="Arial"/>
          <w:color w:val="666666"/>
          <w:sz w:val="20"/>
          <w:szCs w:val="20"/>
          <w:shd w:val="clear" w:color="auto" w:fill="FFFFFF"/>
        </w:rPr>
        <w:t>—</w:t>
      </w:r>
      <w:r w:rsidR="00E367DF">
        <w:t xml:space="preserve"> the stated</w:t>
      </w:r>
      <w:r w:rsidR="001B72A7">
        <w:t xml:space="preserve"> purpose</w:t>
      </w:r>
      <w:r w:rsidR="00E367DF">
        <w:t xml:space="preserve"> of this audit.</w:t>
      </w:r>
      <w:r>
        <w:rPr>
          <w:rStyle w:val="FootnoteReference"/>
        </w:rPr>
        <w:footnoteReference w:id="15"/>
      </w:r>
      <w:r w:rsidR="00D635D7">
        <w:t xml:space="preserve"> </w:t>
      </w:r>
      <w:r>
        <w:t xml:space="preserve"> </w:t>
      </w:r>
      <w:r w:rsidR="00341738">
        <w:t>This type of complex issue is best explored in a deposition, where a witness can be asked to explain the intricate details involved.</w:t>
      </w:r>
      <w:r w:rsidR="00D635D7">
        <w:t xml:space="preserve"> </w:t>
      </w:r>
      <w:r w:rsidR="00341738">
        <w:t>The data to be considered include PJM day-ahead energy market prices and forward energy prices, as well as the following factors:</w:t>
      </w:r>
    </w:p>
    <w:p w:rsidR="00341738" w:rsidP="00341738" w14:paraId="5F0623AD" w14:textId="77777777">
      <w:pPr>
        <w:ind w:left="1440" w:right="1440"/>
      </w:pPr>
      <w:r>
        <w:t>unit start-up costs, start-up times, cycling costs, risks with powering down and powering up units, such as unexpected outages that occur as a result of additional unit cycling, an operation that is required for environmental and other testing, impacts of multiple unit startups and shutdowns, as well as the loss of option values by missing the opportunity to respond to power price changes.</w:t>
      </w:r>
      <w:r>
        <w:rPr>
          <w:rStyle w:val="FootnoteReference"/>
        </w:rPr>
        <w:footnoteReference w:id="16"/>
      </w:r>
    </w:p>
    <w:p w:rsidR="00341738" w:rsidP="00341738" w14:paraId="09939F68" w14:textId="77777777">
      <w:pPr>
        <w:ind w:left="1440" w:right="1440"/>
      </w:pPr>
    </w:p>
    <w:p w:rsidR="00341738" w:rsidP="00076046" w14:paraId="7F572069" w14:textId="379F347C">
      <w:pPr>
        <w:spacing w:line="480" w:lineRule="auto"/>
      </w:pPr>
      <w:r>
        <w:tab/>
        <w:t xml:space="preserve">To investigate the issue, OCC </w:t>
      </w:r>
      <w:r w:rsidR="007D4AA0">
        <w:t xml:space="preserve">and OMAEG </w:t>
      </w:r>
      <w:r w:rsidR="0089734B">
        <w:t xml:space="preserve">seek to </w:t>
      </w:r>
      <w:r>
        <w:t>learn how each of these factors contributed to the must-run decision during the audit period.</w:t>
      </w:r>
      <w:r w:rsidR="00D635D7">
        <w:t xml:space="preserve"> </w:t>
      </w:r>
      <w:r>
        <w:t>Some of these factors might have weighed in favor of a must-run commitment while other factors weighed against it.</w:t>
      </w:r>
      <w:r w:rsidR="00D635D7">
        <w:t xml:space="preserve"> </w:t>
      </w:r>
      <w:r w:rsidR="00625CCC">
        <w:t>We concluded that a</w:t>
      </w:r>
      <w:r>
        <w:t xml:space="preserve"> deposition is the best discovery tool to find out what weight to assign the different factors, how to </w:t>
      </w:r>
      <w:r w:rsidR="00F27379">
        <w:t>balance</w:t>
      </w:r>
      <w:r>
        <w:t xml:space="preserve"> the importance of each factor and how the value</w:t>
      </w:r>
      <w:r w:rsidR="007B478B">
        <w:t>s</w:t>
      </w:r>
      <w:r>
        <w:t xml:space="preserve"> for each factor </w:t>
      </w:r>
      <w:r w:rsidR="007B478B">
        <w:t xml:space="preserve">might have </w:t>
      </w:r>
      <w:r>
        <w:t>changed during the time period covered by the audit</w:t>
      </w:r>
      <w:r w:rsidR="00FF41F4">
        <w:t xml:space="preserve">. </w:t>
      </w:r>
      <w:r w:rsidR="00625CCC">
        <w:t>That is a party’s own judgment to make.</w:t>
      </w:r>
      <w:r w:rsidR="00FF41F4">
        <w:t xml:space="preserve"> </w:t>
      </w:r>
      <w:r>
        <w:t>A deposition will allow OCC</w:t>
      </w:r>
      <w:r w:rsidR="00304846">
        <w:t>, OMAEG</w:t>
      </w:r>
      <w:r w:rsidR="00FF41F4">
        <w:t>, and</w:t>
      </w:r>
      <w:r w:rsidR="007D4AA0">
        <w:t xml:space="preserve"> other parties</w:t>
      </w:r>
      <w:r>
        <w:t xml:space="preserve"> to discuss these matters with </w:t>
      </w:r>
      <w:r w:rsidR="00752562">
        <w:t>DP&amp;L</w:t>
      </w:r>
      <w:r>
        <w:t>’s witness and w</w:t>
      </w:r>
      <w:r w:rsidR="00F27379">
        <w:t>ill</w:t>
      </w:r>
      <w:r>
        <w:t xml:space="preserve"> produce more useful information than written discovery.</w:t>
      </w:r>
    </w:p>
    <w:p w:rsidR="00BF03A0" w:rsidP="00471452" w14:paraId="70E0A837" w14:textId="529CD7C5">
      <w:pPr>
        <w:spacing w:line="480" w:lineRule="auto"/>
        <w:ind w:firstLine="720"/>
      </w:pPr>
      <w:r>
        <w:t>Depositions are often considered the most important effective tool in an attorney’s toolbox.</w:t>
      </w:r>
      <w:r w:rsidR="00D635D7">
        <w:t xml:space="preserve"> </w:t>
      </w:r>
      <w:r>
        <w:t>They allow for much more information to be gleaned and sooner, as compared to written discovery.</w:t>
      </w:r>
      <w:r w:rsidR="00D635D7">
        <w:t xml:space="preserve"> </w:t>
      </w:r>
      <w:r>
        <w:t>Depositions, most importantly, allow for instantaneous follow-up to questions that are posed.</w:t>
      </w:r>
      <w:r w:rsidR="00D635D7">
        <w:t xml:space="preserve"> </w:t>
      </w:r>
      <w:r>
        <w:t>Depositions allow attorneys to press for more information if answers are not detailed or forthcoming.</w:t>
      </w:r>
      <w:r w:rsidR="00D635D7">
        <w:t xml:space="preserve"> </w:t>
      </w:r>
      <w:r>
        <w:t xml:space="preserve"> </w:t>
      </w:r>
      <w:r w:rsidR="00C47E90">
        <w:t>T</w:t>
      </w:r>
      <w:r>
        <w:t xml:space="preserve">hese well-known fundamentals of the deposition as a discovery tool explain why DP&amp;L wants the PUCO to prevent OCC, OMAEG and other parties from taking </w:t>
      </w:r>
    </w:p>
    <w:p w:rsidR="00471452" w:rsidP="00BF03A0" w14:paraId="0CD10821" w14:textId="5826AF2A">
      <w:pPr>
        <w:spacing w:line="480" w:lineRule="auto"/>
      </w:pPr>
      <w:r>
        <w:t>depositions.</w:t>
      </w:r>
      <w:r w:rsidR="00D635D7">
        <w:t xml:space="preserve"> </w:t>
      </w:r>
      <w:r w:rsidR="001133BD">
        <w:t xml:space="preserve">But again, the conducting of discovery and the form of discovery is </w:t>
      </w:r>
      <w:r w:rsidR="005938B9">
        <w:t>the intervenors’</w:t>
      </w:r>
      <w:r w:rsidR="001133BD">
        <w:t xml:space="preserve"> choice to make, under law and rule.</w:t>
      </w:r>
      <w:r w:rsidR="00625CCC">
        <w:t xml:space="preserve"> </w:t>
      </w:r>
    </w:p>
    <w:p w:rsidR="00404781" w:rsidP="00DE5D79" w14:paraId="707D2A39" w14:textId="056A2EBA">
      <w:pPr>
        <w:spacing w:line="480" w:lineRule="auto"/>
        <w:ind w:firstLine="720"/>
      </w:pPr>
      <w:r>
        <w:t>DP&amp;L’s Motion to Quash should be denied.</w:t>
      </w:r>
      <w:r w:rsidR="00DE5D79">
        <w:t xml:space="preserve">  </w:t>
      </w:r>
    </w:p>
    <w:p w:rsidR="00404781" w14:paraId="558F5269" w14:textId="77777777">
      <w:r>
        <w:br w:type="page"/>
      </w:r>
    </w:p>
    <w:p w:rsidR="00DE5D79" w:rsidP="002B737C" w14:paraId="102DE572" w14:textId="540D4C00">
      <w:pPr>
        <w:pStyle w:val="Heading2"/>
      </w:pPr>
      <w:bookmarkStart w:id="5" w:name="_Toc63083183"/>
      <w:r>
        <w:t>D.</w:t>
      </w:r>
      <w:r>
        <w:tab/>
      </w:r>
      <w:r w:rsidRPr="003E032F" w:rsidR="008C0223">
        <w:t>Parties are not limited to choosing one form of discovery over another.</w:t>
      </w:r>
      <w:bookmarkEnd w:id="5"/>
      <w:r>
        <w:t xml:space="preserve">   </w:t>
      </w:r>
    </w:p>
    <w:p w:rsidR="008C0223" w:rsidP="004B036D" w14:paraId="27EF56FB" w14:textId="0D5EFD73">
      <w:pPr>
        <w:spacing w:line="480" w:lineRule="auto"/>
        <w:ind w:firstLine="720"/>
        <w:rPr>
          <w:szCs w:val="24"/>
        </w:rPr>
      </w:pPr>
      <w:r>
        <w:t xml:space="preserve">In the present case, </w:t>
      </w:r>
      <w:r w:rsidR="00752562">
        <w:t>DP&amp;L</w:t>
      </w:r>
      <w:r>
        <w:t xml:space="preserve"> argues that OCC should not be permitted to take a deposition when OCC can resort to written discovery to investigate this complex issue.</w:t>
      </w:r>
      <w:r>
        <w:rPr>
          <w:rStyle w:val="FootnoteReference"/>
        </w:rPr>
        <w:footnoteReference w:id="17"/>
      </w:r>
      <w:r w:rsidR="00D635D7">
        <w:t xml:space="preserve"> </w:t>
      </w:r>
      <w:r w:rsidR="000A4C89">
        <w:rPr>
          <w:szCs w:val="24"/>
        </w:rPr>
        <w:t>In doing so</w:t>
      </w:r>
      <w:r w:rsidR="00304846">
        <w:rPr>
          <w:szCs w:val="24"/>
        </w:rPr>
        <w:t>,</w:t>
      </w:r>
      <w:r w:rsidR="000A4C89">
        <w:rPr>
          <w:szCs w:val="24"/>
        </w:rPr>
        <w:t xml:space="preserve"> </w:t>
      </w:r>
      <w:r w:rsidR="008C64DB">
        <w:rPr>
          <w:szCs w:val="24"/>
        </w:rPr>
        <w:t xml:space="preserve">DP&amp;L </w:t>
      </w:r>
      <w:r w:rsidR="00851F0C">
        <w:rPr>
          <w:szCs w:val="24"/>
        </w:rPr>
        <w:t>mi</w:t>
      </w:r>
      <w:r w:rsidRPr="00F45046" w:rsidR="00851F0C">
        <w:rPr>
          <w:szCs w:val="24"/>
        </w:rPr>
        <w:t>scharacteriz</w:t>
      </w:r>
      <w:r w:rsidR="00851F0C">
        <w:rPr>
          <w:szCs w:val="24"/>
        </w:rPr>
        <w:t>es</w:t>
      </w:r>
      <w:r w:rsidRPr="00F45046" w:rsidR="008C64DB">
        <w:rPr>
          <w:szCs w:val="24"/>
        </w:rPr>
        <w:t xml:space="preserve"> interrogatories and depositions as in</w:t>
      </w:r>
      <w:r w:rsidR="007D4AA0">
        <w:rPr>
          <w:szCs w:val="24"/>
        </w:rPr>
        <w:t>terchangeable discovery methods.</w:t>
      </w:r>
      <w:r>
        <w:rPr>
          <w:rStyle w:val="FootnoteReference"/>
          <w:szCs w:val="24"/>
        </w:rPr>
        <w:footnoteReference w:id="18"/>
      </w:r>
    </w:p>
    <w:p w:rsidR="006D0C71" w:rsidP="008C0223" w14:paraId="4AEF4E9F" w14:textId="25645932">
      <w:pPr>
        <w:spacing w:line="480" w:lineRule="auto"/>
        <w:ind w:firstLine="720"/>
        <w:rPr>
          <w:szCs w:val="24"/>
        </w:rPr>
      </w:pPr>
      <w:r w:rsidRPr="00F45046">
        <w:rPr>
          <w:szCs w:val="24"/>
        </w:rPr>
        <w:t>Each method has distinct advantages and disadvantages.</w:t>
      </w:r>
      <w:r w:rsidR="00D635D7">
        <w:rPr>
          <w:szCs w:val="24"/>
        </w:rPr>
        <w:t xml:space="preserve"> </w:t>
      </w:r>
      <w:r w:rsidRPr="00F45046">
        <w:rPr>
          <w:szCs w:val="24"/>
        </w:rPr>
        <w:t>For example, depositions provide intervenors with an opportunity for spontaneous, direct contact with the deponent</w:t>
      </w:r>
      <w:r w:rsidRPr="00283EBB">
        <w:rPr>
          <w:szCs w:val="24"/>
        </w:rPr>
        <w:t xml:space="preserve"> and the immediate ability to ask </w:t>
      </w:r>
      <w:r w:rsidR="00304846">
        <w:rPr>
          <w:szCs w:val="24"/>
        </w:rPr>
        <w:t>clarifying or follow-</w:t>
      </w:r>
      <w:r w:rsidRPr="0007187C">
        <w:rPr>
          <w:szCs w:val="24"/>
        </w:rPr>
        <w:t>up questions.</w:t>
      </w:r>
      <w:r>
        <w:rPr>
          <w:rStyle w:val="FootnoteReference"/>
          <w:szCs w:val="24"/>
        </w:rPr>
        <w:footnoteReference w:id="19"/>
      </w:r>
      <w:r w:rsidR="00D635D7">
        <w:rPr>
          <w:szCs w:val="24"/>
        </w:rPr>
        <w:t xml:space="preserve"> </w:t>
      </w:r>
      <w:r w:rsidRPr="00F45046">
        <w:rPr>
          <w:szCs w:val="24"/>
        </w:rPr>
        <w:t xml:space="preserve">Limiting the methods of discovery available in this case would </w:t>
      </w:r>
      <w:r>
        <w:rPr>
          <w:szCs w:val="24"/>
        </w:rPr>
        <w:t xml:space="preserve">thwart a full and complete development of the record and </w:t>
      </w:r>
      <w:r w:rsidRPr="00F45046">
        <w:rPr>
          <w:szCs w:val="24"/>
        </w:rPr>
        <w:t>impair the ability of intervenors to protect their real and substantial interests in this proceeding.</w:t>
      </w:r>
      <w:r w:rsidR="00D635D7">
        <w:rPr>
          <w:szCs w:val="24"/>
        </w:rPr>
        <w:t xml:space="preserve"> </w:t>
      </w:r>
    </w:p>
    <w:p w:rsidR="008C0223" w:rsidP="008C0223" w14:paraId="378B1FEB" w14:textId="161EF0BC">
      <w:pPr>
        <w:spacing w:line="480" w:lineRule="auto"/>
        <w:ind w:firstLine="720"/>
      </w:pPr>
      <w:r>
        <w:t xml:space="preserve">Moreover, </w:t>
      </w:r>
      <w:r w:rsidR="005938B9">
        <w:t xml:space="preserve">the </w:t>
      </w:r>
      <w:r w:rsidR="00F868AD">
        <w:t xml:space="preserve">Ohio Administrative Code </w:t>
      </w:r>
      <w:r>
        <w:t>leave</w:t>
      </w:r>
      <w:r w:rsidR="00F868AD">
        <w:t>s</w:t>
      </w:r>
      <w:r>
        <w:t xml:space="preserve"> case preparation to the parties, per Ohio Adm. Code 4901-1-16(A).</w:t>
      </w:r>
      <w:r w:rsidR="00D635D7">
        <w:t xml:space="preserve"> </w:t>
      </w:r>
      <w:r>
        <w:t xml:space="preserve">Under that state Code, </w:t>
      </w:r>
      <w:r w:rsidRPr="00935273">
        <w:t>OCC</w:t>
      </w:r>
      <w:r w:rsidR="007C7F9C">
        <w:t xml:space="preserve"> and OMAEG</w:t>
      </w:r>
      <w:r w:rsidRPr="00935273">
        <w:t xml:space="preserve"> ha</w:t>
      </w:r>
      <w:r w:rsidR="007C7F9C">
        <w:t xml:space="preserve">ve </w:t>
      </w:r>
      <w:r w:rsidRPr="00935273">
        <w:t xml:space="preserve">the right to prepare </w:t>
      </w:r>
      <w:r w:rsidR="007C7F9C">
        <w:t>their</w:t>
      </w:r>
      <w:r w:rsidRPr="00935273">
        <w:t xml:space="preserve"> own case using the discovery tools </w:t>
      </w:r>
      <w:r w:rsidR="005D0D6B">
        <w:t>they</w:t>
      </w:r>
      <w:r w:rsidRPr="00935273">
        <w:t xml:space="preserve"> choose, not the ones that </w:t>
      </w:r>
      <w:r w:rsidR="007C7F9C">
        <w:t>DP&amp;L</w:t>
      </w:r>
      <w:r w:rsidRPr="00935273">
        <w:t xml:space="preserve"> would like to choose for OCC</w:t>
      </w:r>
      <w:r w:rsidR="007C7F9C">
        <w:t xml:space="preserve"> and OMAEG</w:t>
      </w:r>
      <w:r w:rsidRPr="00935273">
        <w:t xml:space="preserve"> to hinder our consumer advocacy</w:t>
      </w:r>
      <w:r w:rsidRPr="00327386">
        <w:rPr>
          <w:i/>
          <w:iCs/>
        </w:rPr>
        <w:t>.</w:t>
      </w:r>
      <w:r w:rsidR="00D635D7">
        <w:rPr>
          <w:i/>
          <w:iCs/>
        </w:rPr>
        <w:t xml:space="preserve"> </w:t>
      </w:r>
      <w:r w:rsidR="006D0C71">
        <w:t xml:space="preserve">DP&amp;L is wasting </w:t>
      </w:r>
      <w:r w:rsidR="005938B9">
        <w:t>the parties’</w:t>
      </w:r>
      <w:r w:rsidR="006D0C71">
        <w:t xml:space="preserve"> time and the PUCO’s time with its obstruction.</w:t>
      </w:r>
    </w:p>
    <w:p w:rsidR="000A4C89" w:rsidP="00E10FA6" w14:paraId="0FCBD5E3" w14:textId="4EE8987D">
      <w:pPr>
        <w:spacing w:line="480" w:lineRule="auto"/>
        <w:ind w:firstLine="720"/>
        <w:rPr>
          <w:szCs w:val="24"/>
        </w:rPr>
      </w:pPr>
      <w:r>
        <w:rPr>
          <w:szCs w:val="24"/>
        </w:rPr>
        <w:t>In addition to glossing over fundamental differences between discovery methods, DP&amp;L’s argument defies PUCO precedent.</w:t>
      </w:r>
      <w:r w:rsidR="00D635D7">
        <w:rPr>
          <w:szCs w:val="24"/>
        </w:rPr>
        <w:t xml:space="preserve"> </w:t>
      </w:r>
      <w:r>
        <w:rPr>
          <w:szCs w:val="24"/>
        </w:rPr>
        <w:t>T</w:t>
      </w:r>
      <w:r w:rsidR="00A929A6">
        <w:rPr>
          <w:szCs w:val="24"/>
        </w:rPr>
        <w:t>he PUCO</w:t>
      </w:r>
      <w:r>
        <w:rPr>
          <w:szCs w:val="24"/>
        </w:rPr>
        <w:t xml:space="preserve"> has determined</w:t>
      </w:r>
      <w:r w:rsidRPr="00E728A6" w:rsidR="00A929A6">
        <w:rPr>
          <w:szCs w:val="24"/>
        </w:rPr>
        <w:t xml:space="preserve"> that “depositions are not necessarily improper because substantial information (such as written testimony) is already available to a party and that the use of oral depositions in such a situation need not be precluded.”</w:t>
      </w:r>
      <w:r>
        <w:rPr>
          <w:rStyle w:val="FootnoteReference"/>
          <w:szCs w:val="24"/>
        </w:rPr>
        <w:footnoteReference w:id="20"/>
      </w:r>
    </w:p>
    <w:p w:rsidR="00AE0EB5" w:rsidP="00076046" w14:paraId="4C834EDC" w14:textId="3DA11E19">
      <w:pPr>
        <w:spacing w:line="480" w:lineRule="auto"/>
      </w:pPr>
      <w:r>
        <w:rPr>
          <w:szCs w:val="24"/>
        </w:rPr>
        <w:tab/>
      </w:r>
      <w:r w:rsidR="008C64DB">
        <w:t xml:space="preserve">Furthermore, </w:t>
      </w:r>
      <w:r w:rsidR="0044451A">
        <w:t xml:space="preserve">in </w:t>
      </w:r>
      <w:r w:rsidR="00A845D4">
        <w:t>this case,</w:t>
      </w:r>
      <w:r w:rsidR="0044451A">
        <w:t xml:space="preserve"> </w:t>
      </w:r>
      <w:r w:rsidR="00304846">
        <w:t xml:space="preserve">the parties did utilize written discovery requests to investigate </w:t>
      </w:r>
      <w:r w:rsidR="0044451A">
        <w:t>complex issues</w:t>
      </w:r>
      <w:r w:rsidR="00455526">
        <w:t>,</w:t>
      </w:r>
      <w:r w:rsidR="00A845D4">
        <w:t xml:space="preserve"> </w:t>
      </w:r>
      <w:r w:rsidR="00304846">
        <w:t>but</w:t>
      </w:r>
      <w:r w:rsidR="00A845D4">
        <w:t xml:space="preserve"> DP&amp;L objected</w:t>
      </w:r>
      <w:r w:rsidR="00304846">
        <w:t>.</w:t>
      </w:r>
      <w:r w:rsidR="00D635D7">
        <w:t xml:space="preserve"> </w:t>
      </w:r>
      <w:r w:rsidR="00304846">
        <w:t xml:space="preserve">For example, in response to OCC’s written requests, </w:t>
      </w:r>
      <w:r w:rsidR="00AA3E68">
        <w:t xml:space="preserve">DP&amp;L stated that </w:t>
      </w:r>
      <w:r w:rsidR="00AB0107">
        <w:t xml:space="preserve">OCC should </w:t>
      </w:r>
      <w:r w:rsidR="00A03A81">
        <w:t xml:space="preserve">have </w:t>
      </w:r>
      <w:r w:rsidR="00AB0107">
        <w:t>use</w:t>
      </w:r>
      <w:r w:rsidR="00A03A81">
        <w:t>d</w:t>
      </w:r>
      <w:r w:rsidR="00AB0107">
        <w:t xml:space="preserve"> depositions to investigate complex issues</w:t>
      </w:r>
      <w:r w:rsidR="003548AC">
        <w:t>, as shown below</w:t>
      </w:r>
      <w:r w:rsidR="007B478B">
        <w:t>:</w:t>
      </w:r>
    </w:p>
    <w:p w:rsidR="00843F8F" w:rsidP="00843F8F" w14:paraId="64752B5B" w14:textId="6A3BE7F0">
      <w:pPr>
        <w:pStyle w:val="Default"/>
        <w:ind w:left="1440" w:right="1440"/>
      </w:pPr>
      <w:r w:rsidRPr="00843F8F">
        <w:t xml:space="preserve">DP&amp;L objects to each and every interrogatory that can be answered more efficiently by the production of documents </w:t>
      </w:r>
      <w:r w:rsidRPr="000A4C89">
        <w:t>or</w:t>
      </w:r>
      <w:r w:rsidRPr="000A4C89">
        <w:rPr>
          <w:b/>
        </w:rPr>
        <w:t xml:space="preserve"> by</w:t>
      </w:r>
      <w:r w:rsidRPr="000A4C89">
        <w:t xml:space="preserve"> </w:t>
      </w:r>
      <w:r w:rsidRPr="00E10FA6">
        <w:rPr>
          <w:b/>
        </w:rPr>
        <w:t>the taking of depositions</w:t>
      </w:r>
      <w:r w:rsidRPr="00843F8F">
        <w:t xml:space="preserve">. Under the comparable Ohio Civil Rules, "[a]n interrogatory seeks an </w:t>
      </w:r>
      <w:r w:rsidRPr="00843F8F" w:rsidR="00D635D7">
        <w:t>admission,</w:t>
      </w:r>
      <w:r w:rsidRPr="00843F8F">
        <w:t xml:space="preserve"> or it seeks information of major significance in the trial or in the preparation for trial. It does not contemplate an array of details or outlines of evidence, a function reserved by rules for depositions." Penn Cent. Transp. Co. v. Armco Steel Corp., 27 Ohio Misc. 76, 77, 272 N.E.2d 877, 878 (Montgomery Cty. 1971). As Penn further noted, interrogatories that ask one to "describe in detail," "state in detail," or "describe in particulars" are "open end invitation[s] without limit on its comprehensive nature with no guide for the court to determine if the voluminous response is what the party sought in the first place." Id., 272 N.E.2d at 878. </w:t>
      </w:r>
      <w:r>
        <w:rPr>
          <w:rStyle w:val="FootnoteReference"/>
        </w:rPr>
        <w:footnoteReference w:id="21"/>
      </w:r>
    </w:p>
    <w:p w:rsidR="00843F8F" w:rsidP="00843F8F" w14:paraId="7E0D2F4D" w14:textId="77777777">
      <w:pPr>
        <w:pStyle w:val="Default"/>
        <w:ind w:right="1440"/>
      </w:pPr>
    </w:p>
    <w:p w:rsidR="002D220F" w:rsidP="00AB0107" w14:paraId="478A9271" w14:textId="69AF8EA2">
      <w:pPr>
        <w:pStyle w:val="Default"/>
        <w:spacing w:line="480" w:lineRule="auto"/>
      </w:pPr>
      <w:r>
        <w:tab/>
      </w:r>
      <w:r w:rsidR="00A845D4">
        <w:t xml:space="preserve">Now that OCC </w:t>
      </w:r>
      <w:r w:rsidR="00304846">
        <w:t xml:space="preserve">and others </w:t>
      </w:r>
      <w:r w:rsidR="00A845D4">
        <w:t xml:space="preserve">seek a deposition to investigate complex issues, </w:t>
      </w:r>
      <w:r w:rsidR="002413D0">
        <w:t xml:space="preserve">as a response to DP&amp;L’s objection to OCC’s written discovery, DP&amp;L </w:t>
      </w:r>
      <w:r w:rsidR="00A03A81">
        <w:t xml:space="preserve">whipsaws </w:t>
      </w:r>
      <w:r w:rsidR="00171078">
        <w:t xml:space="preserve">parties </w:t>
      </w:r>
      <w:r w:rsidR="00A03A81">
        <w:t xml:space="preserve">by </w:t>
      </w:r>
      <w:r w:rsidR="002413D0">
        <w:t>argu</w:t>
      </w:r>
      <w:r w:rsidR="00A03A81">
        <w:t>ing</w:t>
      </w:r>
      <w:r w:rsidR="002413D0">
        <w:t xml:space="preserve"> that </w:t>
      </w:r>
      <w:r w:rsidR="00A03A81">
        <w:t>DP&amp;L</w:t>
      </w:r>
      <w:r w:rsidR="002413D0">
        <w:t xml:space="preserve"> should not be required to submit to a deposition</w:t>
      </w:r>
      <w:r w:rsidR="00A03A81">
        <w:t xml:space="preserve"> either</w:t>
      </w:r>
      <w:r w:rsidR="002413D0">
        <w:t>.</w:t>
      </w:r>
      <w:r w:rsidR="008C64DB">
        <w:t xml:space="preserve"> </w:t>
      </w:r>
      <w:r w:rsidR="00A03A81">
        <w:t xml:space="preserve">By </w:t>
      </w:r>
      <w:r w:rsidR="009E38CE">
        <w:t>object</w:t>
      </w:r>
      <w:r w:rsidR="00A03A81">
        <w:t>ing</w:t>
      </w:r>
      <w:r w:rsidR="009E38CE">
        <w:t xml:space="preserve"> to </w:t>
      </w:r>
      <w:r w:rsidR="00AA3E68">
        <w:t>a party’s</w:t>
      </w:r>
      <w:r w:rsidR="009E38CE">
        <w:t xml:space="preserve"> written discovery and now object</w:t>
      </w:r>
      <w:r w:rsidR="00A03A81">
        <w:t>ing</w:t>
      </w:r>
      <w:r w:rsidR="009E38CE">
        <w:t xml:space="preserve"> to </w:t>
      </w:r>
      <w:r w:rsidR="00171078">
        <w:t>parties’</w:t>
      </w:r>
      <w:r w:rsidR="009E38CE">
        <w:t xml:space="preserve"> attempt to take a deposition,</w:t>
      </w:r>
      <w:r w:rsidR="00A03A81">
        <w:t xml:space="preserve"> DP&amp;L would leave</w:t>
      </w:r>
      <w:r w:rsidR="009E38CE">
        <w:t xml:space="preserve"> no </w:t>
      </w:r>
      <w:r w:rsidR="00A03A81">
        <w:t>method</w:t>
      </w:r>
      <w:r w:rsidR="009E38CE">
        <w:t xml:space="preserve"> of discovery available to </w:t>
      </w:r>
      <w:r w:rsidR="00171078">
        <w:t>parties</w:t>
      </w:r>
      <w:r w:rsidR="009E38CE">
        <w:t xml:space="preserve">. </w:t>
      </w:r>
    </w:p>
    <w:p w:rsidR="00A845D4" w:rsidP="00DD0667" w14:paraId="583DA9AC" w14:textId="2313DF5C">
      <w:pPr>
        <w:pStyle w:val="Default"/>
        <w:spacing w:line="480" w:lineRule="auto"/>
        <w:ind w:firstLine="720"/>
      </w:pPr>
      <w:r>
        <w:t>DP&amp;L’s objections are inconsistent with the PUCO’s objective that parties shall have broad rights to discovery “to facilitate thorough and adequate preparation for participation in commission proceedings.”</w:t>
      </w:r>
      <w:r w:rsidR="00D635D7">
        <w:t xml:space="preserve"> </w:t>
      </w:r>
      <w:r>
        <w:t>Ohio Adm. Code 4901-1-16(A).</w:t>
      </w:r>
      <w:r w:rsidRPr="009005BC" w:rsidR="009005BC">
        <w:t xml:space="preserve"> </w:t>
      </w:r>
      <w:r w:rsidRPr="00F45046" w:rsidR="009005BC">
        <w:t xml:space="preserve">That is exactly what the </w:t>
      </w:r>
      <w:r w:rsidR="009005BC">
        <w:t>intervenors</w:t>
      </w:r>
      <w:r w:rsidRPr="00F45046" w:rsidR="009005BC">
        <w:t xml:space="preserve"> seek thr</w:t>
      </w:r>
      <w:r w:rsidR="009005BC">
        <w:t>ough a deposition of DP&amp;L’</w:t>
      </w:r>
      <w:r w:rsidR="00464562">
        <w:t>s witness</w:t>
      </w:r>
      <w:r w:rsidR="009005BC">
        <w:t xml:space="preserve">: </w:t>
      </w:r>
      <w:r w:rsidRPr="00F45046" w:rsidR="009005BC">
        <w:t>discovery during the prehearing phase of the proceeding to adequately participate in the proceeding (including the filing of comments</w:t>
      </w:r>
      <w:r w:rsidR="009005BC">
        <w:t xml:space="preserve"> and reply comments</w:t>
      </w:r>
      <w:r w:rsidRPr="00F45046" w:rsidR="009005BC">
        <w:t>)</w:t>
      </w:r>
      <w:r w:rsidRPr="00283EBB" w:rsidR="009005BC">
        <w:t>.</w:t>
      </w:r>
      <w:r w:rsidR="00D635D7">
        <w:t xml:space="preserve"> </w:t>
      </w:r>
      <w:r w:rsidRPr="00574F2B" w:rsidR="009005BC">
        <w:t>The rule does not require that a hearing be held; it only explains the timing of the dis</w:t>
      </w:r>
      <w:r w:rsidRPr="00E728A6" w:rsidR="009005BC">
        <w:t>covery.</w:t>
      </w:r>
      <w:r w:rsidR="00D635D7">
        <w:t xml:space="preserve"> </w:t>
      </w:r>
    </w:p>
    <w:p w:rsidR="007C7F9C" w:rsidP="00DD0667" w14:paraId="71EEA26F" w14:textId="173DCF96">
      <w:pPr>
        <w:pStyle w:val="Default"/>
        <w:spacing w:line="480" w:lineRule="auto"/>
        <w:ind w:firstLine="720"/>
      </w:pPr>
      <w:r>
        <w:t>Ohio Adm.</w:t>
      </w:r>
      <w:r w:rsidR="00D635D7">
        <w:t xml:space="preserve"> </w:t>
      </w:r>
      <w:r>
        <w:t>Code 4901-1-16(B) states: “</w:t>
      </w:r>
      <w:r w:rsidRPr="003A0071">
        <w:t>Discovery may be obtained through interrogatories, requests for the production of documents and things or permission to enter upon land or other property, depositions, and requests for admission.</w:t>
      </w:r>
      <w:r>
        <w:t>”</w:t>
      </w:r>
      <w:r w:rsidR="00D635D7">
        <w:t xml:space="preserve"> </w:t>
      </w:r>
      <w:r w:rsidR="006421F6">
        <w:t xml:space="preserve">Under law and rule, </w:t>
      </w:r>
      <w:r w:rsidR="005938B9">
        <w:t>the intervenors</w:t>
      </w:r>
      <w:r w:rsidR="006421F6">
        <w:t xml:space="preserve"> chose a deposition. That is </w:t>
      </w:r>
      <w:r w:rsidR="005938B9">
        <w:t>their</w:t>
      </w:r>
      <w:r w:rsidR="006421F6">
        <w:t xml:space="preserve"> choice to make. </w:t>
      </w:r>
    </w:p>
    <w:p w:rsidR="00173336" w:rsidP="003E032F" w14:paraId="28314ACF" w14:textId="5948E967">
      <w:pPr>
        <w:pStyle w:val="Default"/>
        <w:numPr>
          <w:ilvl w:val="0"/>
          <w:numId w:val="7"/>
        </w:numPr>
        <w:ind w:left="1440" w:hanging="720"/>
        <w:rPr>
          <w:b/>
          <w:bCs w:val="0"/>
        </w:rPr>
      </w:pPr>
      <w:bookmarkStart w:id="6" w:name="_Toc63083184"/>
      <w:r w:rsidRPr="00BF03A0">
        <w:rPr>
          <w:rStyle w:val="Heading2Char"/>
        </w:rPr>
        <w:t xml:space="preserve">Neither the Ohio </w:t>
      </w:r>
      <w:r w:rsidRPr="00404781">
        <w:rPr>
          <w:rStyle w:val="Heading2Char"/>
        </w:rPr>
        <w:t>Administrative Code nor PUCO precedent precludes depositions from being conducted in cases that have not been set for hearing.</w:t>
      </w:r>
      <w:bookmarkEnd w:id="6"/>
    </w:p>
    <w:p w:rsidR="006421F6" w:rsidP="002E75C1" w14:paraId="55F25654" w14:textId="77777777">
      <w:pPr>
        <w:pStyle w:val="Default"/>
        <w:ind w:left="1440"/>
        <w:rPr>
          <w:b/>
          <w:bCs w:val="0"/>
        </w:rPr>
      </w:pPr>
    </w:p>
    <w:p w:rsidR="00962F66" w:rsidP="00AB0107" w14:paraId="27047B7B" w14:textId="7D8C08E1">
      <w:pPr>
        <w:pStyle w:val="Default"/>
        <w:spacing w:line="480" w:lineRule="auto"/>
      </w:pPr>
      <w:r>
        <w:tab/>
      </w:r>
      <w:r w:rsidR="00752562">
        <w:t>DP&amp;L</w:t>
      </w:r>
      <w:r>
        <w:t xml:space="preserve"> </w:t>
      </w:r>
      <w:r w:rsidR="00340172">
        <w:t>also seeks to quash the deposition on the ground that</w:t>
      </w:r>
      <w:r>
        <w:t xml:space="preserve"> a deposition is improper </w:t>
      </w:r>
      <w:r w:rsidR="00340172">
        <w:t>because no evidentiary hearing has been scheduled.</w:t>
      </w:r>
      <w:r>
        <w:rPr>
          <w:rStyle w:val="FootnoteReference"/>
        </w:rPr>
        <w:footnoteReference w:id="22"/>
      </w:r>
      <w:r w:rsidR="00D635D7">
        <w:t xml:space="preserve"> </w:t>
      </w:r>
      <w:r w:rsidR="0034062C">
        <w:t>The utilities have been trotting out that tired old argument for years to interpose delay. But, a</w:t>
      </w:r>
      <w:r w:rsidR="002D68FB">
        <w:t>s previously explained, t</w:t>
      </w:r>
      <w:r>
        <w:t xml:space="preserve">he </w:t>
      </w:r>
      <w:r w:rsidR="00F868AD">
        <w:t>Ohio Administrative Code</w:t>
      </w:r>
      <w:r>
        <w:t xml:space="preserve"> do</w:t>
      </w:r>
      <w:r w:rsidR="00F868AD">
        <w:t>es</w:t>
      </w:r>
      <w:r>
        <w:t xml:space="preserve"> not </w:t>
      </w:r>
      <w:r w:rsidR="00626757">
        <w:t xml:space="preserve">bar </w:t>
      </w:r>
      <w:r>
        <w:t>the use of depositions in cases where no hearing is scheduled.</w:t>
      </w:r>
      <w:r w:rsidR="00D635D7">
        <w:t xml:space="preserve"> </w:t>
      </w:r>
      <w:r>
        <w:t xml:space="preserve">To the contrary, the </w:t>
      </w:r>
      <w:r w:rsidR="000B4C01">
        <w:t xml:space="preserve">Code </w:t>
      </w:r>
      <w:r>
        <w:t>broadly provide</w:t>
      </w:r>
      <w:r w:rsidR="000B4C01">
        <w:t>s</w:t>
      </w:r>
      <w:r>
        <w:t xml:space="preserve"> parties with an unlimited right to take depositions: </w:t>
      </w:r>
    </w:p>
    <w:p w:rsidR="00962F66" w:rsidP="00962F66" w14:paraId="7201EDEE" w14:textId="77777777">
      <w:pPr>
        <w:pStyle w:val="Default"/>
        <w:ind w:left="1440" w:right="1440"/>
      </w:pPr>
      <w:r w:rsidRPr="00962F66">
        <w:t>Any party to a pending commission proceeding may take the testimony of any other party or person, other than a member of the commission staff, by deposition upon oral examination with respect to any matter within the scope of discovery set forth in rule </w:t>
      </w:r>
      <w:hyperlink r:id="rId10" w:tooltip="General provisions and scope of discovery" w:history="1">
        <w:r w:rsidRPr="00962F66">
          <w:t>4901-1-16</w:t>
        </w:r>
      </w:hyperlink>
      <w:r w:rsidRPr="00962F66">
        <w:t> of the Administrative Code.</w:t>
      </w:r>
      <w:r>
        <w:rPr>
          <w:rStyle w:val="FootnoteReference"/>
        </w:rPr>
        <w:footnoteReference w:id="23"/>
      </w:r>
    </w:p>
    <w:p w:rsidR="00F27379" w:rsidP="00962F66" w14:paraId="4F11B1E8" w14:textId="77777777">
      <w:pPr>
        <w:pStyle w:val="Default"/>
        <w:ind w:left="1440" w:right="1440"/>
      </w:pPr>
    </w:p>
    <w:p w:rsidR="004D308F" w:rsidP="00AB0107" w14:paraId="74E2E13A" w14:textId="17C49EBC">
      <w:pPr>
        <w:pStyle w:val="Default"/>
        <w:spacing w:line="480" w:lineRule="auto"/>
      </w:pPr>
      <w:r>
        <w:tab/>
      </w:r>
      <w:r w:rsidR="006A3823">
        <w:t xml:space="preserve">By arguing that depositions can be used only in cases involving a hearing, </w:t>
      </w:r>
      <w:r w:rsidR="00752562">
        <w:t>DP&amp;L</w:t>
      </w:r>
      <w:r>
        <w:t xml:space="preserve"> is</w:t>
      </w:r>
      <w:r w:rsidR="006A3823">
        <w:t xml:space="preserve"> </w:t>
      </w:r>
      <w:r w:rsidR="00851F0C">
        <w:t xml:space="preserve">unlawfully </w:t>
      </w:r>
      <w:r w:rsidR="006A3823">
        <w:t xml:space="preserve">attempting to re-write the </w:t>
      </w:r>
      <w:r w:rsidR="000B4C01">
        <w:t xml:space="preserve">Ohio </w:t>
      </w:r>
      <w:r w:rsidR="00B903BE">
        <w:t>Administrative</w:t>
      </w:r>
      <w:r w:rsidR="000B4C01">
        <w:t xml:space="preserve"> Code </w:t>
      </w:r>
      <w:r w:rsidR="006A3823">
        <w:t>rule on depositions</w:t>
      </w:r>
      <w:r>
        <w:rPr>
          <w:rStyle w:val="FootnoteReference"/>
        </w:rPr>
        <w:footnoteReference w:id="24"/>
      </w:r>
      <w:r w:rsidR="006A3823">
        <w:t xml:space="preserve"> and create a new limitation on depositions that the PUCO did not choose to </w:t>
      </w:r>
      <w:r w:rsidR="00F27379">
        <w:t>include</w:t>
      </w:r>
      <w:r w:rsidR="006A3823">
        <w:t xml:space="preserve"> when it adopted the rule.</w:t>
      </w:r>
      <w:r w:rsidR="00D635D7">
        <w:t xml:space="preserve"> </w:t>
      </w:r>
      <w:r w:rsidR="00173336">
        <w:t>Not even JCARR does that.</w:t>
      </w:r>
      <w:r w:rsidR="00D635D7">
        <w:t xml:space="preserve"> </w:t>
      </w:r>
      <w:r w:rsidR="00340172">
        <w:t xml:space="preserve">Moreover, OCC </w:t>
      </w:r>
      <w:r w:rsidR="00171078">
        <w:t xml:space="preserve">and OMAEG </w:t>
      </w:r>
      <w:r w:rsidR="00340172">
        <w:t>need to take this deposition to investigate whether grounds exist to file a motion requesting an evidentiary hearing.</w:t>
      </w:r>
      <w:r w:rsidR="00D635D7">
        <w:t xml:space="preserve"> </w:t>
      </w:r>
      <w:r w:rsidR="00C3438F">
        <w:t>In any event, intervenors are typically afforded full discovery rights, even in proceedings without scheduled hearings.</w:t>
      </w:r>
      <w:r>
        <w:rPr>
          <w:rStyle w:val="FootnoteReference"/>
        </w:rPr>
        <w:footnoteReference w:id="25"/>
      </w:r>
      <w:r w:rsidR="00D635D7">
        <w:t xml:space="preserve"> </w:t>
      </w:r>
      <w:r w:rsidR="006A3823">
        <w:t>The PUCO should</w:t>
      </w:r>
      <w:r w:rsidR="00340172">
        <w:t xml:space="preserve"> therefore</w:t>
      </w:r>
      <w:r w:rsidR="006A3823">
        <w:t xml:space="preserve"> reject this argument</w:t>
      </w:r>
      <w:r w:rsidR="00063DCD">
        <w:t>.</w:t>
      </w:r>
    </w:p>
    <w:p w:rsidR="00173336" w:rsidP="003E032F" w14:paraId="330622F8" w14:textId="4312605F">
      <w:pPr>
        <w:pStyle w:val="Default"/>
        <w:numPr>
          <w:ilvl w:val="0"/>
          <w:numId w:val="7"/>
        </w:numPr>
        <w:ind w:left="1440" w:hanging="720"/>
        <w:rPr>
          <w:b/>
          <w:bCs w:val="0"/>
        </w:rPr>
      </w:pPr>
      <w:bookmarkStart w:id="7" w:name="_Toc63083185"/>
      <w:r w:rsidRPr="00BF03A0">
        <w:rPr>
          <w:rStyle w:val="Heading2Char"/>
        </w:rPr>
        <w:t xml:space="preserve">Ohio law, the Ohio </w:t>
      </w:r>
      <w:r w:rsidRPr="00404781">
        <w:rPr>
          <w:rStyle w:val="Heading2Char"/>
        </w:rPr>
        <w:t xml:space="preserve">Administrative Code and PUCO precedent do not require that discovery occur in a </w:t>
      </w:r>
      <w:r w:rsidRPr="00404781" w:rsidR="00AB5AAB">
        <w:rPr>
          <w:rStyle w:val="Heading2Char"/>
        </w:rPr>
        <w:t xml:space="preserve">specific </w:t>
      </w:r>
      <w:r w:rsidRPr="00404781">
        <w:rPr>
          <w:rStyle w:val="Heading2Char"/>
        </w:rPr>
        <w:t>order</w:t>
      </w:r>
      <w:r w:rsidRPr="00404781" w:rsidR="00BF03A0">
        <w:rPr>
          <w:rStyle w:val="Heading2Char"/>
        </w:rPr>
        <w:t>.</w:t>
      </w:r>
      <w:bookmarkEnd w:id="7"/>
    </w:p>
    <w:p w:rsidR="00173336" w:rsidRPr="00DD0667" w:rsidP="00DD0667" w14:paraId="23A6ADB2" w14:textId="77777777">
      <w:pPr>
        <w:pStyle w:val="Default"/>
        <w:ind w:left="1440"/>
        <w:rPr>
          <w:b/>
          <w:bCs w:val="0"/>
        </w:rPr>
      </w:pPr>
    </w:p>
    <w:p w:rsidR="00DA0CCF" w:rsidP="00AB0107" w14:paraId="113FB032" w14:textId="4014D83A">
      <w:pPr>
        <w:pStyle w:val="Default"/>
        <w:spacing w:line="480" w:lineRule="auto"/>
      </w:pPr>
      <w:r>
        <w:tab/>
      </w:r>
      <w:r w:rsidR="00E72EA2">
        <w:t xml:space="preserve">Finally, </w:t>
      </w:r>
      <w:r w:rsidR="00752562">
        <w:t>DP&amp;L</w:t>
      </w:r>
      <w:r w:rsidR="00E72EA2">
        <w:t xml:space="preserve"> </w:t>
      </w:r>
      <w:r w:rsidR="00340172">
        <w:t>seeks a motion to quash because “</w:t>
      </w:r>
      <w:r w:rsidRPr="00340172" w:rsidR="00340172">
        <w:t>other, less intrusive</w:t>
      </w:r>
      <w:r w:rsidR="00340172">
        <w:t xml:space="preserve"> </w:t>
      </w:r>
      <w:r w:rsidRPr="00340172" w:rsidR="00340172">
        <w:t>means of discovery are preferred at least as the initial steps in a litigated matter.</w:t>
      </w:r>
      <w:r w:rsidR="00340172">
        <w:t>”</w:t>
      </w:r>
      <w:r>
        <w:rPr>
          <w:rStyle w:val="FootnoteReference"/>
        </w:rPr>
        <w:footnoteReference w:id="26"/>
      </w:r>
      <w:r w:rsidR="00D635D7">
        <w:t xml:space="preserve"> </w:t>
      </w:r>
      <w:r w:rsidR="0034062C">
        <w:t>What’s really intrusive is that DP&amp;L is taking its consumers’ money to subsidize two outmoded, uneconomic</w:t>
      </w:r>
      <w:r>
        <w:t>,</w:t>
      </w:r>
      <w:r w:rsidR="0034062C">
        <w:t xml:space="preserve"> dirty coal plants. What comes with that corporate welfare is regulatory review, including this discovery. </w:t>
      </w:r>
    </w:p>
    <w:p w:rsidR="00E72EA2" w:rsidP="002E75C1" w14:paraId="7185702E" w14:textId="1C5937F5">
      <w:pPr>
        <w:pStyle w:val="Default"/>
        <w:spacing w:line="480" w:lineRule="auto"/>
        <w:ind w:firstLine="720"/>
      </w:pPr>
      <w:r>
        <w:t xml:space="preserve">The </w:t>
      </w:r>
      <w:r w:rsidR="00B903BE">
        <w:t>Ohio Administrative Code</w:t>
      </w:r>
      <w:r>
        <w:t xml:space="preserve"> do</w:t>
      </w:r>
      <w:r w:rsidR="00B903BE">
        <w:t>es</w:t>
      </w:r>
      <w:r>
        <w:t xml:space="preserve"> not create any sequential order in which the various methods of discovery must be sought.</w:t>
      </w:r>
      <w:r w:rsidR="00D635D7">
        <w:t xml:space="preserve"> </w:t>
      </w:r>
      <w:r>
        <w:t xml:space="preserve">In any event, </w:t>
      </w:r>
      <w:r w:rsidR="00AA3E68">
        <w:t xml:space="preserve">parties </w:t>
      </w:r>
      <w:r>
        <w:t>already submitted interrogatories and requests for production of documents to DP&amp;L</w:t>
      </w:r>
      <w:r w:rsidR="00AA3E68">
        <w:t xml:space="preserve"> and DP&amp;L objected and did not respond</w:t>
      </w:r>
      <w:r>
        <w:t>.</w:t>
      </w:r>
      <w:r w:rsidR="00D635D7">
        <w:t xml:space="preserve"> </w:t>
      </w:r>
      <w:r>
        <w:t xml:space="preserve">As noted above, </w:t>
      </w:r>
      <w:r w:rsidR="00AA3E68">
        <w:t xml:space="preserve">a </w:t>
      </w:r>
      <w:r w:rsidR="006105B0">
        <w:t>party seeking discovery has the prerogative to choose the most suitable discovery tool, not the party responding to discovery.</w:t>
      </w:r>
      <w:r w:rsidR="00D635D7">
        <w:t xml:space="preserve"> </w:t>
      </w:r>
      <w:r>
        <w:t>DP&amp;L</w:t>
      </w:r>
      <w:r w:rsidR="00A03A81">
        <w:t>’s</w:t>
      </w:r>
      <w:r>
        <w:t xml:space="preserve"> objections to </w:t>
      </w:r>
      <w:r w:rsidR="00AA3E68">
        <w:t>parties’</w:t>
      </w:r>
      <w:r>
        <w:t xml:space="preserve"> written discovery suggested that a deposition is the appropriate tool to investigate complex matters</w:t>
      </w:r>
      <w:r w:rsidR="00A03A81">
        <w:t xml:space="preserve">, so </w:t>
      </w:r>
      <w:r w:rsidR="00AA3E68">
        <w:t>the parties</w:t>
      </w:r>
      <w:r w:rsidR="00A03A81">
        <w:t xml:space="preserve"> responded to DP&amp;L’s objection by scheduling this deposition</w:t>
      </w:r>
      <w:r>
        <w:t>.</w:t>
      </w:r>
      <w:r w:rsidR="00A9182A">
        <w:t xml:space="preserve"> </w:t>
      </w:r>
      <w:r w:rsidR="00D03D31">
        <w:t xml:space="preserve">Parties, including DP&amp;L, participating in the deposition are more than capable of exercising their rights and ensuring that discovery is conducted in accordance with the </w:t>
      </w:r>
      <w:r w:rsidR="007B7A1B">
        <w:t>Ohio Administrative Code</w:t>
      </w:r>
      <w:r w:rsidR="00D03D31">
        <w:t>.</w:t>
      </w:r>
      <w:r>
        <w:rPr>
          <w:rStyle w:val="FootnoteReference"/>
        </w:rPr>
        <w:footnoteReference w:id="27"/>
      </w:r>
      <w:r w:rsidR="00D03D31">
        <w:t xml:space="preserve"> </w:t>
      </w:r>
      <w:r w:rsidR="006105B0">
        <w:t xml:space="preserve">The PUCO should </w:t>
      </w:r>
      <w:r w:rsidRPr="009F1308" w:rsidR="006105B0">
        <w:t xml:space="preserve">therefore reject this argument for </w:t>
      </w:r>
      <w:r>
        <w:t>quashing the deposition</w:t>
      </w:r>
      <w:r w:rsidRPr="009F1308" w:rsidR="006105B0">
        <w:t>.</w:t>
      </w:r>
    </w:p>
    <w:p w:rsidR="004502DE" w:rsidP="004502DE" w14:paraId="3C237685" w14:textId="77777777">
      <w:pPr>
        <w:pStyle w:val="Default"/>
        <w:ind w:firstLine="720"/>
      </w:pPr>
    </w:p>
    <w:p w:rsidR="00AB0107" w:rsidRPr="009837AD" w:rsidP="009837AD" w14:paraId="272D8315" w14:textId="1479AD1E">
      <w:pPr>
        <w:pStyle w:val="Heading1"/>
        <w:numPr>
          <w:ilvl w:val="0"/>
          <w:numId w:val="11"/>
        </w:numPr>
        <w:ind w:left="720"/>
      </w:pPr>
      <w:bookmarkStart w:id="8" w:name="_Toc63083186"/>
      <w:r w:rsidRPr="009837AD">
        <w:t>CONCLUSION</w:t>
      </w:r>
      <w:bookmarkEnd w:id="8"/>
    </w:p>
    <w:p w:rsidR="00321599" w:rsidP="00E10FA6" w14:paraId="4753D938" w14:textId="7B7B8595">
      <w:pPr>
        <w:pStyle w:val="Default"/>
        <w:spacing w:line="480" w:lineRule="auto"/>
      </w:pPr>
      <w:r>
        <w:tab/>
        <w:t>The PUCO’s rules recognize how important discovery is “to facilitate thorough and adequate preparation for participation in commission proceedings.”</w:t>
      </w:r>
      <w:r>
        <w:rPr>
          <w:rStyle w:val="FootnoteReference"/>
        </w:rPr>
        <w:footnoteReference w:id="28"/>
      </w:r>
      <w:r w:rsidR="00A9182A">
        <w:t xml:space="preserve"> R.C. 4903.082 ensures discovery rights for OCC and OMAEG.</w:t>
      </w:r>
      <w:r w:rsidR="00D635D7">
        <w:t xml:space="preserve"> </w:t>
      </w:r>
      <w:r w:rsidR="008D5AD4">
        <w:t>The intervenors are</w:t>
      </w:r>
      <w:r w:rsidR="00A9182A">
        <w:t xml:space="preserve"> exercising </w:t>
      </w:r>
      <w:r w:rsidR="008D5AD4">
        <w:t>their</w:t>
      </w:r>
      <w:r w:rsidR="00A9182A">
        <w:t xml:space="preserve"> rights to take a deposition of DP&amp;L.</w:t>
      </w:r>
      <w:r>
        <w:t xml:space="preserve"> </w:t>
      </w:r>
    </w:p>
    <w:p w:rsidR="004D27BD" w14:paraId="66B1A87E" w14:textId="2FDA24A9">
      <w:pPr>
        <w:pStyle w:val="Default"/>
        <w:spacing w:line="480" w:lineRule="auto"/>
        <w:ind w:firstLine="720"/>
      </w:pPr>
      <w:r>
        <w:t>DP&amp;L</w:t>
      </w:r>
      <w:r w:rsidR="009F1308">
        <w:t xml:space="preserve"> has advanced several </w:t>
      </w:r>
      <w:r w:rsidR="00A9182A">
        <w:t xml:space="preserve">meritless </w:t>
      </w:r>
      <w:r w:rsidR="009F1308">
        <w:t xml:space="preserve">arguments for </w:t>
      </w:r>
      <w:r w:rsidR="00A9182A">
        <w:t>“</w:t>
      </w:r>
      <w:r w:rsidR="00A03A81">
        <w:t>quashing</w:t>
      </w:r>
      <w:r w:rsidR="00A9182A">
        <w:t>”</w:t>
      </w:r>
      <w:r w:rsidR="00A03A81">
        <w:t xml:space="preserve"> the deposition</w:t>
      </w:r>
      <w:r w:rsidR="009F1308">
        <w:t xml:space="preserve">. </w:t>
      </w:r>
      <w:r w:rsidR="00A9182A">
        <w:t xml:space="preserve">Further, DP&amp;L filed the wrong pleading under the </w:t>
      </w:r>
      <w:r w:rsidR="007B7A1B">
        <w:t>Ohio Administrative Code</w:t>
      </w:r>
      <w:r w:rsidR="00A9182A">
        <w:t xml:space="preserve"> (when it filed to quash instead of for a protective order), and therefore it should be </w:t>
      </w:r>
      <w:r w:rsidR="00D635D7">
        <w:t>ignored,</w:t>
      </w:r>
      <w:r w:rsidR="00A9182A">
        <w:t xml:space="preserve"> and the deposition should proceed.</w:t>
      </w:r>
      <w:r w:rsidR="00D635D7">
        <w:t xml:space="preserve"> </w:t>
      </w:r>
      <w:r w:rsidR="009F1308">
        <w:t xml:space="preserve">The PUCO should reject </w:t>
      </w:r>
      <w:r>
        <w:t>DP&amp;L</w:t>
      </w:r>
      <w:r w:rsidR="009F1308">
        <w:t xml:space="preserve">’s motion </w:t>
      </w:r>
      <w:r w:rsidR="00A03A81">
        <w:t>to quash the deposit</w:t>
      </w:r>
      <w:r w:rsidR="00626757">
        <w:t>i</w:t>
      </w:r>
      <w:r w:rsidR="00A03A81">
        <w:t>on</w:t>
      </w:r>
      <w:r w:rsidR="00A9182A">
        <w:t xml:space="preserve"> and order DP&amp;L to </w:t>
      </w:r>
      <w:r w:rsidR="00A772D4">
        <w:t xml:space="preserve">immediately make the deponent available for </w:t>
      </w:r>
      <w:r w:rsidR="008D5AD4">
        <w:t>the intervenors</w:t>
      </w:r>
      <w:r w:rsidR="009F1308">
        <w:t>.</w:t>
      </w:r>
    </w:p>
    <w:p w:rsidR="00A7467D" w14:paraId="5E33954A" w14:textId="340D7134">
      <w:pPr>
        <w:rPr>
          <w:szCs w:val="24"/>
        </w:rPr>
      </w:pPr>
      <w:r>
        <w:br w:type="page"/>
      </w:r>
    </w:p>
    <w:p w:rsidR="00001F07" w:rsidP="00001F07" w14:paraId="4EB1545D" w14:textId="77777777">
      <w:pPr>
        <w:ind w:left="3060"/>
        <w:rPr>
          <w:szCs w:val="24"/>
        </w:rPr>
      </w:pPr>
      <w:r w:rsidRPr="00C675E3">
        <w:rPr>
          <w:szCs w:val="24"/>
        </w:rPr>
        <w:t>Respectfully submitted,</w:t>
      </w:r>
    </w:p>
    <w:p w:rsidR="00001F07" w:rsidRPr="00C675E3" w:rsidP="00001F07" w14:paraId="03FE459C" w14:textId="77777777">
      <w:pPr>
        <w:ind w:left="4410"/>
        <w:rPr>
          <w:b/>
          <w:bCs w:val="0"/>
          <w:szCs w:val="24"/>
        </w:rPr>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0"/>
        <w:gridCol w:w="4118"/>
      </w:tblGrid>
      <w:tr w14:paraId="26FFD0CA" w14:textId="77777777" w:rsidTr="00E14882">
        <w:tblPrEx>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40" w:type="dxa"/>
            <w:vMerge w:val="restart"/>
          </w:tcPr>
          <w:p w:rsidR="00001F07" w:rsidRPr="00F95DDE" w:rsidP="00E14882" w14:paraId="4CC132A2" w14:textId="77777777">
            <w:pPr>
              <w:ind w:left="-15"/>
              <w:rPr>
                <w:b/>
                <w:bCs/>
                <w:sz w:val="24"/>
                <w:szCs w:val="24"/>
              </w:rPr>
            </w:pPr>
            <w:r w:rsidRPr="00F95DDE">
              <w:rPr>
                <w:sz w:val="24"/>
                <w:szCs w:val="24"/>
              </w:rPr>
              <w:t>Bruce Weston (0016973)</w:t>
            </w:r>
          </w:p>
          <w:p w:rsidR="00001F07" w:rsidRPr="00F95DDE" w:rsidP="00E14882" w14:paraId="2AC05D33" w14:textId="77777777">
            <w:pPr>
              <w:ind w:left="-15"/>
              <w:rPr>
                <w:sz w:val="24"/>
                <w:szCs w:val="24"/>
              </w:rPr>
            </w:pPr>
            <w:r w:rsidRPr="00F95DDE">
              <w:rPr>
                <w:sz w:val="24"/>
                <w:szCs w:val="24"/>
              </w:rPr>
              <w:t>Ohio Consumers’ Counsel</w:t>
            </w:r>
          </w:p>
          <w:p w:rsidR="00001F07" w:rsidRPr="00F95DDE" w:rsidP="00E14882" w14:paraId="30C43A08" w14:textId="77777777">
            <w:pPr>
              <w:ind w:left="-15"/>
              <w:rPr>
                <w:b/>
                <w:bCs/>
                <w:sz w:val="24"/>
                <w:szCs w:val="24"/>
              </w:rPr>
            </w:pPr>
          </w:p>
          <w:p w:rsidR="00001F07" w:rsidRPr="00F95DDE" w:rsidP="00E14882" w14:paraId="72F309D6" w14:textId="77777777">
            <w:pPr>
              <w:pStyle w:val="ListParagraph"/>
              <w:spacing w:after="0"/>
              <w:ind w:left="-15"/>
              <w:rPr>
                <w:rFonts w:ascii="Times New Roman" w:hAnsi="Times New Roman"/>
                <w:i/>
                <w:iCs/>
                <w:sz w:val="24"/>
                <w:szCs w:val="24"/>
                <w:u w:val="single"/>
              </w:rPr>
            </w:pPr>
            <w:r w:rsidRPr="00F95DDE">
              <w:rPr>
                <w:rFonts w:ascii="Times New Roman" w:hAnsi="Times New Roman"/>
                <w:i/>
                <w:iCs/>
                <w:sz w:val="24"/>
                <w:szCs w:val="24"/>
                <w:u w:val="single"/>
              </w:rPr>
              <w:t>/s/ John Finnigan</w:t>
            </w:r>
            <w:r w:rsidRPr="00F95DDE">
              <w:rPr>
                <w:rFonts w:ascii="Times New Roman" w:hAnsi="Times New Roman"/>
                <w:i/>
                <w:iCs/>
                <w:sz w:val="24"/>
                <w:szCs w:val="24"/>
                <w:u w:val="single"/>
              </w:rPr>
              <w:tab/>
            </w:r>
            <w:r w:rsidRPr="00F95DDE">
              <w:rPr>
                <w:rFonts w:ascii="Times New Roman" w:hAnsi="Times New Roman"/>
                <w:i/>
                <w:iCs/>
                <w:sz w:val="24"/>
                <w:szCs w:val="24"/>
                <w:u w:val="single"/>
              </w:rPr>
              <w:tab/>
            </w:r>
          </w:p>
          <w:p w:rsidR="00001F07" w:rsidRPr="00F95DDE" w:rsidP="00E14882" w14:paraId="70CD5B23" w14:textId="77777777">
            <w:pPr>
              <w:ind w:left="-15"/>
              <w:rPr>
                <w:sz w:val="24"/>
                <w:szCs w:val="24"/>
              </w:rPr>
            </w:pPr>
            <w:r w:rsidRPr="00F95DDE">
              <w:rPr>
                <w:sz w:val="24"/>
                <w:szCs w:val="24"/>
              </w:rPr>
              <w:t>William J. Michael (0070921)</w:t>
            </w:r>
          </w:p>
          <w:p w:rsidR="00001F07" w:rsidRPr="00F95DDE" w:rsidP="00E14882" w14:paraId="112E4C6C" w14:textId="77777777">
            <w:pPr>
              <w:ind w:left="-15"/>
              <w:rPr>
                <w:sz w:val="24"/>
                <w:szCs w:val="24"/>
              </w:rPr>
            </w:pPr>
            <w:r w:rsidRPr="00F95DDE">
              <w:rPr>
                <w:sz w:val="24"/>
                <w:szCs w:val="24"/>
              </w:rPr>
              <w:t>Counsel of Record</w:t>
            </w:r>
          </w:p>
          <w:p w:rsidR="00001F07" w:rsidRPr="00F95DDE" w:rsidP="00E14882" w14:paraId="383684B5" w14:textId="77777777">
            <w:pPr>
              <w:ind w:left="-15"/>
              <w:rPr>
                <w:sz w:val="24"/>
                <w:szCs w:val="24"/>
              </w:rPr>
            </w:pPr>
            <w:r w:rsidRPr="00F95DDE">
              <w:rPr>
                <w:sz w:val="24"/>
                <w:szCs w:val="24"/>
              </w:rPr>
              <w:t xml:space="preserve">Amy Botschner O’Brien (0074423) </w:t>
            </w:r>
          </w:p>
          <w:p w:rsidR="00001F07" w:rsidRPr="00F95DDE" w:rsidP="00E14882" w14:paraId="1E8DD372" w14:textId="77777777">
            <w:pPr>
              <w:ind w:left="-15"/>
              <w:rPr>
                <w:sz w:val="24"/>
                <w:szCs w:val="24"/>
              </w:rPr>
            </w:pPr>
            <w:r w:rsidRPr="00F95DDE">
              <w:rPr>
                <w:sz w:val="24"/>
                <w:szCs w:val="24"/>
              </w:rPr>
              <w:t>John Finnigan (0018689)</w:t>
            </w:r>
          </w:p>
          <w:p w:rsidR="00001F07" w:rsidRPr="00F95DDE" w:rsidP="00E14882" w14:paraId="41F57F07" w14:textId="77777777">
            <w:pPr>
              <w:ind w:left="-15"/>
              <w:rPr>
                <w:sz w:val="24"/>
                <w:szCs w:val="24"/>
              </w:rPr>
            </w:pPr>
            <w:r w:rsidRPr="00F95DDE">
              <w:rPr>
                <w:sz w:val="24"/>
                <w:szCs w:val="24"/>
              </w:rPr>
              <w:t>Assistant Consumers’ Counsel</w:t>
            </w:r>
          </w:p>
          <w:p w:rsidR="00001F07" w:rsidRPr="00F95DDE" w:rsidP="00E14882" w14:paraId="0216F561" w14:textId="77777777">
            <w:pPr>
              <w:ind w:left="-15"/>
              <w:rPr>
                <w:sz w:val="24"/>
                <w:szCs w:val="24"/>
              </w:rPr>
            </w:pPr>
          </w:p>
          <w:p w:rsidR="00001F07" w:rsidRPr="00F95DDE" w:rsidP="00E14882" w14:paraId="45D048CE" w14:textId="77777777">
            <w:pPr>
              <w:pStyle w:val="ListParagraph"/>
              <w:spacing w:after="0"/>
              <w:ind w:left="-15"/>
              <w:rPr>
                <w:rFonts w:ascii="Times New Roman" w:hAnsi="Times New Roman"/>
                <w:b/>
                <w:bCs w:val="0"/>
                <w:sz w:val="24"/>
                <w:szCs w:val="24"/>
              </w:rPr>
            </w:pPr>
            <w:r w:rsidRPr="00F95DDE">
              <w:rPr>
                <w:rFonts w:ascii="Times New Roman" w:hAnsi="Times New Roman"/>
                <w:b/>
                <w:sz w:val="24"/>
                <w:szCs w:val="24"/>
              </w:rPr>
              <w:t>Office of the Ohio Consumers’ Counsel</w:t>
            </w:r>
          </w:p>
          <w:p w:rsidR="00001F07" w:rsidRPr="00F95DDE" w:rsidP="00E14882" w14:paraId="6285D403" w14:textId="77777777">
            <w:pPr>
              <w:ind w:left="-15"/>
              <w:rPr>
                <w:sz w:val="24"/>
                <w:szCs w:val="24"/>
              </w:rPr>
            </w:pPr>
            <w:r w:rsidRPr="00F95DDE">
              <w:rPr>
                <w:sz w:val="24"/>
                <w:szCs w:val="24"/>
              </w:rPr>
              <w:t>65 East State Street, 7th Floor</w:t>
            </w:r>
          </w:p>
          <w:p w:rsidR="00001F07" w:rsidRPr="00F95DDE" w:rsidP="00E14882" w14:paraId="43236B61" w14:textId="77777777">
            <w:pPr>
              <w:ind w:left="-15"/>
              <w:rPr>
                <w:sz w:val="24"/>
                <w:szCs w:val="24"/>
              </w:rPr>
            </w:pPr>
            <w:r w:rsidRPr="00F95DDE">
              <w:rPr>
                <w:sz w:val="24"/>
                <w:szCs w:val="24"/>
              </w:rPr>
              <w:t>Columbus, Ohio 43215</w:t>
            </w:r>
          </w:p>
          <w:p w:rsidR="00001F07" w:rsidRPr="00F95DDE" w:rsidP="00E14882" w14:paraId="40DB3E7B" w14:textId="77777777">
            <w:pPr>
              <w:autoSpaceDE w:val="0"/>
              <w:autoSpaceDN w:val="0"/>
              <w:adjustRightInd w:val="0"/>
              <w:ind w:left="-15"/>
              <w:rPr>
                <w:sz w:val="24"/>
                <w:szCs w:val="24"/>
              </w:rPr>
            </w:pPr>
            <w:r w:rsidRPr="00F95DDE">
              <w:rPr>
                <w:sz w:val="24"/>
                <w:szCs w:val="24"/>
              </w:rPr>
              <w:t>Telephone [Michael]: (614) 466-1291</w:t>
            </w:r>
          </w:p>
          <w:p w:rsidR="00001F07" w:rsidRPr="00F95DDE" w:rsidP="00E14882" w14:paraId="35F8D125" w14:textId="77777777">
            <w:pPr>
              <w:autoSpaceDE w:val="0"/>
              <w:autoSpaceDN w:val="0"/>
              <w:adjustRightInd w:val="0"/>
              <w:ind w:left="-15"/>
              <w:rPr>
                <w:sz w:val="24"/>
                <w:szCs w:val="24"/>
              </w:rPr>
            </w:pPr>
            <w:r w:rsidRPr="00F95DDE">
              <w:rPr>
                <w:sz w:val="24"/>
                <w:szCs w:val="24"/>
              </w:rPr>
              <w:t>Telephone [Botschner O’Brien]: (614) 466-9575</w:t>
            </w:r>
          </w:p>
          <w:p w:rsidR="00001F07" w:rsidRPr="00F95DDE" w:rsidP="00E14882" w14:paraId="257C57D4" w14:textId="77777777">
            <w:pPr>
              <w:pStyle w:val="ListParagraph"/>
              <w:autoSpaceDE w:val="0"/>
              <w:autoSpaceDN w:val="0"/>
              <w:adjustRightInd w:val="0"/>
              <w:spacing w:after="0"/>
              <w:ind w:left="-15"/>
              <w:rPr>
                <w:rFonts w:ascii="Times New Roman" w:hAnsi="Times New Roman"/>
                <w:sz w:val="24"/>
                <w:szCs w:val="24"/>
              </w:rPr>
            </w:pPr>
            <w:r w:rsidRPr="00F95DDE">
              <w:rPr>
                <w:rFonts w:ascii="Times New Roman" w:hAnsi="Times New Roman"/>
                <w:sz w:val="24"/>
                <w:szCs w:val="24"/>
              </w:rPr>
              <w:t>Telephone [Finnigan]: (614) 466-9585</w:t>
            </w:r>
          </w:p>
          <w:p w:rsidR="00001F07" w:rsidRPr="00F95DDE" w:rsidP="00E14882" w14:paraId="2E421C42" w14:textId="77777777">
            <w:pPr>
              <w:pStyle w:val="ListParagraph"/>
              <w:autoSpaceDE w:val="0"/>
              <w:autoSpaceDN w:val="0"/>
              <w:adjustRightInd w:val="0"/>
              <w:spacing w:after="0"/>
              <w:ind w:left="-15"/>
              <w:rPr>
                <w:rFonts w:ascii="Times New Roman" w:hAnsi="Times New Roman"/>
                <w:sz w:val="24"/>
                <w:szCs w:val="24"/>
              </w:rPr>
            </w:pPr>
            <w:hyperlink r:id="rId6" w:history="1">
              <w:r w:rsidRPr="00F95DDE" w:rsidR="008530AE">
                <w:rPr>
                  <w:rStyle w:val="Hyperlink"/>
                  <w:rFonts w:ascii="Times New Roman" w:hAnsi="Times New Roman"/>
                  <w:sz w:val="24"/>
                  <w:szCs w:val="24"/>
                </w:rPr>
                <w:t>william.michael@occ.ohio.gov</w:t>
              </w:r>
            </w:hyperlink>
          </w:p>
          <w:p w:rsidR="00001F07" w:rsidRPr="00F95DDE" w:rsidP="00E14882" w14:paraId="3942EB51" w14:textId="77777777">
            <w:pPr>
              <w:autoSpaceDE w:val="0"/>
              <w:autoSpaceDN w:val="0"/>
              <w:adjustRightInd w:val="0"/>
              <w:ind w:left="-15" w:firstLine="15"/>
              <w:rPr>
                <w:color w:val="0000FF"/>
                <w:sz w:val="24"/>
                <w:szCs w:val="24"/>
                <w:u w:val="single"/>
              </w:rPr>
            </w:pPr>
            <w:r>
              <w:rPr>
                <w:color w:val="0000FF"/>
                <w:sz w:val="24"/>
                <w:szCs w:val="24"/>
                <w:u w:val="single"/>
              </w:rPr>
              <w:t>a</w:t>
            </w:r>
            <w:r w:rsidRPr="00F95DDE">
              <w:rPr>
                <w:color w:val="0000FF"/>
                <w:sz w:val="24"/>
                <w:szCs w:val="24"/>
                <w:u w:val="single"/>
              </w:rPr>
              <w:t xml:space="preserve">my.botschner.obrien@occ.ohio.gov </w:t>
            </w:r>
          </w:p>
          <w:p w:rsidR="00001F07" w:rsidRPr="00F95DDE" w:rsidP="00E14882" w14:paraId="574A4603" w14:textId="77777777">
            <w:pPr>
              <w:pStyle w:val="ListParagraph"/>
              <w:autoSpaceDE w:val="0"/>
              <w:autoSpaceDN w:val="0"/>
              <w:adjustRightInd w:val="0"/>
              <w:ind w:left="-15" w:firstLine="15"/>
              <w:rPr>
                <w:rStyle w:val="Hyperlink"/>
                <w:rFonts w:ascii="Times New Roman" w:hAnsi="Times New Roman"/>
                <w:sz w:val="24"/>
                <w:szCs w:val="24"/>
              </w:rPr>
            </w:pPr>
            <w:hyperlink r:id="rId7" w:history="1">
              <w:r w:rsidRPr="00F95DDE" w:rsidR="008530AE">
                <w:rPr>
                  <w:rStyle w:val="Hyperlink"/>
                  <w:rFonts w:ascii="Times New Roman" w:hAnsi="Times New Roman"/>
                  <w:sz w:val="24"/>
                  <w:szCs w:val="24"/>
                </w:rPr>
                <w:t>john.finnigan@occ.ohio.gov</w:t>
              </w:r>
            </w:hyperlink>
          </w:p>
          <w:p w:rsidR="00001F07" w:rsidRPr="00F95DDE" w:rsidP="00E14882" w14:paraId="576CB4C9" w14:textId="77777777">
            <w:pPr>
              <w:pStyle w:val="ListParagraph"/>
              <w:autoSpaceDE w:val="0"/>
              <w:autoSpaceDN w:val="0"/>
              <w:adjustRightInd w:val="0"/>
              <w:ind w:left="-15" w:firstLine="15"/>
              <w:rPr>
                <w:rFonts w:ascii="Times New Roman" w:hAnsi="Times New Roman"/>
                <w:sz w:val="24"/>
                <w:szCs w:val="24"/>
              </w:rPr>
            </w:pPr>
            <w:r w:rsidRPr="00F95DDE">
              <w:rPr>
                <w:rStyle w:val="Hyperlink"/>
                <w:rFonts w:ascii="Times New Roman" w:hAnsi="Times New Roman"/>
                <w:color w:val="auto"/>
                <w:sz w:val="24"/>
                <w:szCs w:val="24"/>
                <w:u w:val="none"/>
              </w:rPr>
              <w:t>(willing to accept service by e-mail)</w:t>
            </w:r>
          </w:p>
          <w:p w:rsidR="00001F07" w:rsidP="00E14882" w14:paraId="006058BE" w14:textId="77777777"/>
          <w:p w:rsidR="00001F07" w:rsidRPr="004C3EBD" w:rsidP="00E14882" w14:paraId="0B391CB6" w14:textId="77777777"/>
          <w:p w:rsidR="00001F07" w:rsidRPr="004C3EBD" w:rsidP="00E14882" w14:paraId="290F21A0" w14:textId="77777777"/>
        </w:tc>
        <w:tc>
          <w:tcPr>
            <w:tcW w:w="4118" w:type="dxa"/>
          </w:tcPr>
          <w:p w:rsidR="00001F07" w:rsidP="00E14882" w14:paraId="4489BF1F" w14:textId="77777777">
            <w:pPr>
              <w:autoSpaceDE w:val="0"/>
              <w:autoSpaceDN w:val="0"/>
              <w:adjustRightInd w:val="0"/>
              <w:rPr>
                <w:sz w:val="24"/>
                <w:szCs w:val="24"/>
                <w:u w:val="single"/>
              </w:rPr>
            </w:pPr>
          </w:p>
          <w:p w:rsidR="00001F07" w:rsidRPr="00B0075A" w:rsidP="00E14882" w14:paraId="7375E834" w14:textId="77777777">
            <w:pPr>
              <w:autoSpaceDE w:val="0"/>
              <w:autoSpaceDN w:val="0"/>
              <w:adjustRightInd w:val="0"/>
              <w:rPr>
                <w:i/>
                <w:iCs/>
                <w:sz w:val="24"/>
                <w:szCs w:val="24"/>
                <w:u w:val="single"/>
              </w:rPr>
            </w:pPr>
            <w:r w:rsidRPr="00B0075A">
              <w:rPr>
                <w:sz w:val="24"/>
                <w:szCs w:val="24"/>
                <w:u w:val="single"/>
              </w:rPr>
              <w:t xml:space="preserve">/s/ </w:t>
            </w:r>
            <w:r w:rsidRPr="00B0075A">
              <w:rPr>
                <w:i/>
                <w:iCs/>
                <w:sz w:val="24"/>
                <w:szCs w:val="24"/>
                <w:u w:val="single"/>
              </w:rPr>
              <w:t>Kimberly W. Bojko</w:t>
            </w:r>
            <w:r>
              <w:rPr>
                <w:i/>
                <w:iCs/>
                <w:sz w:val="24"/>
                <w:szCs w:val="24"/>
                <w:u w:val="single"/>
              </w:rPr>
              <w:t xml:space="preserve"> </w:t>
            </w:r>
          </w:p>
          <w:p w:rsidR="00001F07" w:rsidP="00E14882" w14:paraId="0D5A169E" w14:textId="77777777">
            <w:pPr>
              <w:autoSpaceDE w:val="0"/>
              <w:autoSpaceDN w:val="0"/>
              <w:adjustRightInd w:val="0"/>
              <w:rPr>
                <w:sz w:val="24"/>
                <w:szCs w:val="24"/>
              </w:rPr>
            </w:pPr>
            <w:r w:rsidRPr="00B0075A">
              <w:rPr>
                <w:sz w:val="24"/>
                <w:szCs w:val="24"/>
              </w:rPr>
              <w:t xml:space="preserve">Kimberly W. Bojko (0069402) </w:t>
            </w:r>
          </w:p>
          <w:p w:rsidR="00001F07" w:rsidRPr="00B0075A" w:rsidP="00E14882" w14:paraId="54226B76" w14:textId="77777777">
            <w:pPr>
              <w:autoSpaceDE w:val="0"/>
              <w:autoSpaceDN w:val="0"/>
              <w:adjustRightInd w:val="0"/>
              <w:rPr>
                <w:sz w:val="24"/>
                <w:szCs w:val="24"/>
              </w:rPr>
            </w:pPr>
            <w:r w:rsidRPr="00B0075A">
              <w:rPr>
                <w:sz w:val="24"/>
                <w:szCs w:val="24"/>
              </w:rPr>
              <w:t>(Counsel of Record)</w:t>
            </w:r>
          </w:p>
          <w:p w:rsidR="00001F07" w:rsidRPr="00B0075A" w:rsidP="00E14882" w14:paraId="47817352" w14:textId="77777777">
            <w:pPr>
              <w:autoSpaceDE w:val="0"/>
              <w:autoSpaceDN w:val="0"/>
              <w:adjustRightInd w:val="0"/>
              <w:rPr>
                <w:sz w:val="24"/>
                <w:szCs w:val="24"/>
              </w:rPr>
            </w:pPr>
            <w:r w:rsidRPr="00B0075A">
              <w:rPr>
                <w:sz w:val="24"/>
                <w:szCs w:val="24"/>
              </w:rPr>
              <w:t>Thomas V. Donadio (0100027)</w:t>
            </w:r>
          </w:p>
          <w:p w:rsidR="00001F07" w:rsidRPr="00B0075A" w:rsidP="00E14882" w14:paraId="4C31E861" w14:textId="77777777">
            <w:pPr>
              <w:autoSpaceDE w:val="0"/>
              <w:autoSpaceDN w:val="0"/>
              <w:adjustRightInd w:val="0"/>
              <w:rPr>
                <w:sz w:val="24"/>
                <w:szCs w:val="24"/>
              </w:rPr>
            </w:pPr>
            <w:r w:rsidRPr="00B0075A">
              <w:rPr>
                <w:sz w:val="24"/>
                <w:szCs w:val="24"/>
              </w:rPr>
              <w:t>Carpenter Lipps &amp; Leland LLP</w:t>
            </w:r>
          </w:p>
          <w:p w:rsidR="00001F07" w:rsidRPr="00B0075A" w:rsidP="00E14882" w14:paraId="31ACB80B" w14:textId="77777777">
            <w:pPr>
              <w:autoSpaceDE w:val="0"/>
              <w:autoSpaceDN w:val="0"/>
              <w:adjustRightInd w:val="0"/>
              <w:rPr>
                <w:sz w:val="24"/>
                <w:szCs w:val="24"/>
              </w:rPr>
            </w:pPr>
            <w:r w:rsidRPr="00B0075A">
              <w:rPr>
                <w:sz w:val="24"/>
                <w:szCs w:val="24"/>
              </w:rPr>
              <w:t>280 North High Street, Suite 1300</w:t>
            </w:r>
          </w:p>
          <w:p w:rsidR="00001F07" w:rsidRPr="00B0075A" w:rsidP="00E14882" w14:paraId="4A1D3990" w14:textId="77777777">
            <w:pPr>
              <w:autoSpaceDE w:val="0"/>
              <w:autoSpaceDN w:val="0"/>
              <w:adjustRightInd w:val="0"/>
              <w:rPr>
                <w:sz w:val="24"/>
                <w:szCs w:val="24"/>
              </w:rPr>
            </w:pPr>
            <w:r w:rsidRPr="00B0075A">
              <w:rPr>
                <w:sz w:val="24"/>
                <w:szCs w:val="24"/>
              </w:rPr>
              <w:t>Columbus, Ohio 43215</w:t>
            </w:r>
          </w:p>
          <w:p w:rsidR="00001F07" w:rsidRPr="00B0075A" w:rsidP="00E14882" w14:paraId="5E3632A9" w14:textId="77777777">
            <w:pPr>
              <w:autoSpaceDE w:val="0"/>
              <w:autoSpaceDN w:val="0"/>
              <w:adjustRightInd w:val="0"/>
              <w:rPr>
                <w:sz w:val="24"/>
                <w:szCs w:val="24"/>
              </w:rPr>
            </w:pPr>
            <w:r w:rsidRPr="00B0075A">
              <w:rPr>
                <w:sz w:val="24"/>
                <w:szCs w:val="24"/>
              </w:rPr>
              <w:t>Telephone: (614) 365-4100</w:t>
            </w:r>
          </w:p>
          <w:p w:rsidR="00001F07" w:rsidRPr="00B0075A" w:rsidP="00E14882" w14:paraId="60426611" w14:textId="77777777">
            <w:pPr>
              <w:autoSpaceDE w:val="0"/>
              <w:autoSpaceDN w:val="0"/>
              <w:adjustRightInd w:val="0"/>
              <w:rPr>
                <w:color w:val="0000FF"/>
                <w:sz w:val="24"/>
                <w:szCs w:val="24"/>
                <w:u w:val="single"/>
              </w:rPr>
            </w:pPr>
            <w:r w:rsidRPr="00B0075A">
              <w:rPr>
                <w:color w:val="0000FF"/>
                <w:sz w:val="24"/>
                <w:szCs w:val="24"/>
                <w:u w:val="single"/>
              </w:rPr>
              <w:t>bojko@carpenterlipps.com</w:t>
            </w:r>
          </w:p>
          <w:p w:rsidR="00001F07" w:rsidRPr="00B0075A" w:rsidP="00E14882" w14:paraId="6E5290DC" w14:textId="77777777">
            <w:pPr>
              <w:autoSpaceDE w:val="0"/>
              <w:autoSpaceDN w:val="0"/>
              <w:adjustRightInd w:val="0"/>
              <w:rPr>
                <w:color w:val="0000FF"/>
                <w:sz w:val="24"/>
                <w:szCs w:val="24"/>
                <w:u w:val="single"/>
              </w:rPr>
            </w:pPr>
            <w:r w:rsidRPr="00B0075A">
              <w:rPr>
                <w:color w:val="0000FF"/>
                <w:sz w:val="24"/>
                <w:szCs w:val="24"/>
                <w:u w:val="single"/>
              </w:rPr>
              <w:t>donadio@carpenterlipps.com</w:t>
            </w:r>
          </w:p>
          <w:p w:rsidR="00001F07" w:rsidRPr="00B0075A" w:rsidP="00E14882" w14:paraId="708C3D55" w14:textId="77777777">
            <w:pPr>
              <w:autoSpaceDE w:val="0"/>
              <w:autoSpaceDN w:val="0"/>
              <w:adjustRightInd w:val="0"/>
              <w:rPr>
                <w:sz w:val="24"/>
                <w:szCs w:val="24"/>
              </w:rPr>
            </w:pPr>
            <w:r w:rsidRPr="00B0075A">
              <w:rPr>
                <w:sz w:val="24"/>
                <w:szCs w:val="24"/>
              </w:rPr>
              <w:t>(willing to accept service by e-mail)</w:t>
            </w:r>
          </w:p>
          <w:p w:rsidR="00001F07" w:rsidRPr="00B0075A" w:rsidP="00E14882" w14:paraId="4F19D7FE" w14:textId="77777777">
            <w:pPr>
              <w:autoSpaceDE w:val="0"/>
              <w:autoSpaceDN w:val="0"/>
              <w:adjustRightInd w:val="0"/>
              <w:rPr>
                <w:sz w:val="24"/>
                <w:szCs w:val="24"/>
              </w:rPr>
            </w:pPr>
          </w:p>
          <w:p w:rsidR="00001F07" w:rsidRPr="004C3EBD" w:rsidP="00E14882" w14:paraId="2D801DB1" w14:textId="77777777">
            <w:pPr>
              <w:autoSpaceDE w:val="0"/>
              <w:autoSpaceDN w:val="0"/>
              <w:adjustRightInd w:val="0"/>
            </w:pPr>
            <w:r w:rsidRPr="00B0075A">
              <w:rPr>
                <w:i/>
                <w:iCs/>
                <w:sz w:val="24"/>
                <w:szCs w:val="24"/>
              </w:rPr>
              <w:t>Counsel for the Ohio Manufacturers’ Association Energy Group</w:t>
            </w:r>
          </w:p>
        </w:tc>
      </w:tr>
      <w:tr w14:paraId="301B1768" w14:textId="77777777" w:rsidTr="00E14882">
        <w:tblPrEx>
          <w:tblW w:w="9158" w:type="dxa"/>
          <w:tblLook w:val="04A0"/>
        </w:tblPrEx>
        <w:tc>
          <w:tcPr>
            <w:tcW w:w="5040" w:type="dxa"/>
            <w:vMerge/>
          </w:tcPr>
          <w:p w:rsidR="00001F07" w:rsidRPr="004C3EBD" w:rsidP="00E14882" w14:paraId="3EF9A5C8" w14:textId="77777777"/>
        </w:tc>
        <w:tc>
          <w:tcPr>
            <w:tcW w:w="4118" w:type="dxa"/>
          </w:tcPr>
          <w:p w:rsidR="00001F07" w:rsidRPr="004C3EBD" w:rsidP="00E14882" w14:paraId="0A59BFAD" w14:textId="77777777"/>
        </w:tc>
      </w:tr>
    </w:tbl>
    <w:p w:rsidR="00001F07" w:rsidRPr="00C675E3" w:rsidP="00001F07" w14:paraId="1A5DB62B" w14:textId="77777777">
      <w:pPr>
        <w:ind w:left="4320"/>
        <w:rPr>
          <w:b/>
          <w:bCs w:val="0"/>
          <w:szCs w:val="24"/>
        </w:rPr>
      </w:pPr>
    </w:p>
    <w:p w:rsidR="00001F07" w:rsidP="00001F07" w14:paraId="18224ABE" w14:textId="77777777">
      <w:r>
        <w:br w:type="page"/>
      </w:r>
    </w:p>
    <w:p w:rsidR="00001F07" w:rsidRPr="00C675E3" w:rsidP="00001F07" w14:paraId="769A1A8F" w14:textId="77777777">
      <w:pPr>
        <w:jc w:val="center"/>
        <w:rPr>
          <w:b/>
          <w:bCs w:val="0"/>
          <w:szCs w:val="24"/>
          <w:u w:val="single"/>
        </w:rPr>
      </w:pPr>
      <w:r w:rsidRPr="00C675E3">
        <w:rPr>
          <w:b/>
          <w:szCs w:val="24"/>
          <w:u w:val="single"/>
        </w:rPr>
        <w:t>CERTIFICATE OF SERVICE</w:t>
      </w:r>
    </w:p>
    <w:p w:rsidR="00001F07" w:rsidRPr="00C675E3" w:rsidP="00001F07" w14:paraId="10F9E15B" w14:textId="77777777">
      <w:pPr>
        <w:jc w:val="center"/>
        <w:rPr>
          <w:szCs w:val="24"/>
          <w:u w:val="single"/>
        </w:rPr>
      </w:pPr>
    </w:p>
    <w:p w:rsidR="00001F07" w:rsidRPr="00C675E3" w:rsidP="00001F07" w14:paraId="5D4707D8" w14:textId="2822C905">
      <w:pPr>
        <w:spacing w:line="480" w:lineRule="auto"/>
        <w:rPr>
          <w:b/>
          <w:bCs w:val="0"/>
          <w:szCs w:val="24"/>
        </w:rPr>
      </w:pPr>
      <w:r w:rsidRPr="00C675E3">
        <w:rPr>
          <w:szCs w:val="24"/>
        </w:rPr>
        <w:tab/>
        <w:t>I hereby certify that a copy of th</w:t>
      </w:r>
      <w:r>
        <w:rPr>
          <w:szCs w:val="24"/>
        </w:rPr>
        <w:t xml:space="preserve">is </w:t>
      </w:r>
      <w:r w:rsidR="00A7467D">
        <w:rPr>
          <w:szCs w:val="24"/>
        </w:rPr>
        <w:t xml:space="preserve">Joint </w:t>
      </w:r>
      <w:r>
        <w:rPr>
          <w:szCs w:val="24"/>
        </w:rPr>
        <w:t xml:space="preserve">Memorandum Contra </w:t>
      </w:r>
      <w:r w:rsidRPr="00C675E3">
        <w:rPr>
          <w:szCs w:val="24"/>
        </w:rPr>
        <w:t>w</w:t>
      </w:r>
      <w:r>
        <w:rPr>
          <w:szCs w:val="24"/>
        </w:rPr>
        <w:t>as</w:t>
      </w:r>
      <w:r w:rsidRPr="00C675E3">
        <w:rPr>
          <w:szCs w:val="24"/>
        </w:rPr>
        <w:t xml:space="preserve"> served on the persons stated below via electric transmission this </w:t>
      </w:r>
      <w:r>
        <w:rPr>
          <w:szCs w:val="24"/>
        </w:rPr>
        <w:t>1st</w:t>
      </w:r>
      <w:r w:rsidRPr="00C675E3">
        <w:rPr>
          <w:szCs w:val="24"/>
        </w:rPr>
        <w:t xml:space="preserve"> day of </w:t>
      </w:r>
      <w:r>
        <w:rPr>
          <w:szCs w:val="24"/>
        </w:rPr>
        <w:t>February</w:t>
      </w:r>
      <w:r w:rsidRPr="00C675E3">
        <w:rPr>
          <w:szCs w:val="24"/>
        </w:rPr>
        <w:t xml:space="preserve"> 202</w:t>
      </w:r>
      <w:r>
        <w:rPr>
          <w:szCs w:val="24"/>
        </w:rPr>
        <w:t>1</w:t>
      </w:r>
      <w:r w:rsidRPr="00C675E3">
        <w:rPr>
          <w:szCs w:val="24"/>
        </w:rPr>
        <w:t>.</w:t>
      </w:r>
    </w:p>
    <w:p w:rsidR="00001F07" w:rsidRPr="00C675E3" w:rsidP="00001F07" w14:paraId="0904D49F" w14:textId="77777777">
      <w:pPr>
        <w:rPr>
          <w:b/>
          <w:bCs w:val="0"/>
          <w:szCs w:val="24"/>
        </w:rPr>
      </w:pPr>
      <w:r w:rsidRPr="00C675E3">
        <w:rPr>
          <w:szCs w:val="24"/>
        </w:rPr>
        <w:tab/>
      </w:r>
      <w:r w:rsidRPr="00C675E3">
        <w:rPr>
          <w:szCs w:val="24"/>
        </w:rPr>
        <w:tab/>
      </w:r>
      <w:r w:rsidRPr="00C675E3">
        <w:rPr>
          <w:szCs w:val="24"/>
        </w:rPr>
        <w:tab/>
      </w:r>
      <w:r w:rsidRPr="00C675E3">
        <w:rPr>
          <w:szCs w:val="24"/>
        </w:rPr>
        <w:tab/>
      </w:r>
      <w:r w:rsidRPr="00C675E3">
        <w:rPr>
          <w:szCs w:val="24"/>
        </w:rPr>
        <w:tab/>
      </w:r>
      <w:r w:rsidRPr="00C675E3">
        <w:rPr>
          <w:szCs w:val="24"/>
        </w:rPr>
        <w:tab/>
      </w:r>
    </w:p>
    <w:p w:rsidR="00001F07" w:rsidRPr="00C675E3" w:rsidP="00001F07" w14:paraId="195D8180" w14:textId="77777777">
      <w:pPr>
        <w:rPr>
          <w:b/>
          <w:bCs w:val="0"/>
          <w:i/>
          <w:iCs/>
          <w:szCs w:val="24"/>
          <w:u w:val="single"/>
        </w:rPr>
      </w:pPr>
      <w:r w:rsidRPr="00C675E3">
        <w:rPr>
          <w:szCs w:val="24"/>
        </w:rPr>
        <w:tab/>
      </w:r>
      <w:r w:rsidRPr="00C675E3">
        <w:rPr>
          <w:szCs w:val="24"/>
        </w:rPr>
        <w:tab/>
      </w:r>
      <w:r w:rsidRPr="00C675E3">
        <w:rPr>
          <w:szCs w:val="24"/>
        </w:rPr>
        <w:tab/>
      </w:r>
      <w:r w:rsidRPr="00C675E3">
        <w:rPr>
          <w:szCs w:val="24"/>
        </w:rPr>
        <w:tab/>
      </w:r>
      <w:r w:rsidRPr="00C675E3">
        <w:rPr>
          <w:szCs w:val="24"/>
        </w:rPr>
        <w:tab/>
      </w:r>
      <w:r w:rsidRPr="00C675E3">
        <w:rPr>
          <w:szCs w:val="24"/>
        </w:rPr>
        <w:tab/>
      </w:r>
      <w:r w:rsidRPr="00C675E3">
        <w:rPr>
          <w:i/>
          <w:iCs/>
          <w:szCs w:val="24"/>
          <w:u w:val="single"/>
        </w:rPr>
        <w:t>/s/ John Finnigan</w:t>
      </w:r>
      <w:r>
        <w:rPr>
          <w:i/>
          <w:iCs/>
          <w:szCs w:val="24"/>
          <w:u w:val="single"/>
        </w:rPr>
        <w:tab/>
      </w:r>
    </w:p>
    <w:p w:rsidR="00001F07" w:rsidRPr="00C675E3" w:rsidP="00001F07" w14:paraId="333DC5A5" w14:textId="77777777">
      <w:pPr>
        <w:rPr>
          <w:b/>
          <w:bCs w:val="0"/>
          <w:szCs w:val="24"/>
        </w:rPr>
      </w:pPr>
      <w:r w:rsidRPr="00C675E3">
        <w:rPr>
          <w:szCs w:val="24"/>
        </w:rPr>
        <w:tab/>
      </w:r>
      <w:r w:rsidRPr="00C675E3">
        <w:rPr>
          <w:szCs w:val="24"/>
        </w:rPr>
        <w:tab/>
      </w:r>
      <w:r w:rsidRPr="00C675E3">
        <w:rPr>
          <w:szCs w:val="24"/>
        </w:rPr>
        <w:tab/>
      </w:r>
      <w:r w:rsidRPr="00C675E3">
        <w:rPr>
          <w:szCs w:val="24"/>
        </w:rPr>
        <w:tab/>
      </w:r>
      <w:r w:rsidRPr="00C675E3">
        <w:rPr>
          <w:szCs w:val="24"/>
        </w:rPr>
        <w:tab/>
      </w:r>
      <w:r w:rsidRPr="00C675E3">
        <w:rPr>
          <w:szCs w:val="24"/>
        </w:rPr>
        <w:tab/>
        <w:t>John Finnigan (0018689)</w:t>
      </w:r>
    </w:p>
    <w:p w:rsidR="00001F07" w:rsidRPr="00C675E3" w:rsidP="00001F07" w14:paraId="63D422FB" w14:textId="77777777">
      <w:pPr>
        <w:rPr>
          <w:b/>
          <w:bCs w:val="0"/>
          <w:szCs w:val="24"/>
        </w:rPr>
      </w:pPr>
      <w:r w:rsidRPr="00C675E3">
        <w:rPr>
          <w:szCs w:val="24"/>
        </w:rPr>
        <w:tab/>
      </w:r>
      <w:r w:rsidRPr="00C675E3">
        <w:rPr>
          <w:szCs w:val="24"/>
        </w:rPr>
        <w:tab/>
      </w:r>
      <w:r w:rsidRPr="00C675E3">
        <w:rPr>
          <w:szCs w:val="24"/>
        </w:rPr>
        <w:tab/>
      </w:r>
      <w:r w:rsidRPr="00C675E3">
        <w:rPr>
          <w:szCs w:val="24"/>
        </w:rPr>
        <w:tab/>
      </w:r>
      <w:r w:rsidRPr="00C675E3">
        <w:rPr>
          <w:szCs w:val="24"/>
        </w:rPr>
        <w:tab/>
      </w:r>
      <w:r w:rsidRPr="00C675E3">
        <w:rPr>
          <w:szCs w:val="24"/>
        </w:rPr>
        <w:tab/>
        <w:t>Assistant Consumers’ Counsel</w:t>
      </w:r>
    </w:p>
    <w:p w:rsidR="00001F07" w:rsidRPr="00C675E3" w:rsidP="00001F07" w14:paraId="5C4EE16E" w14:textId="77777777">
      <w:pPr>
        <w:pStyle w:val="ListParagraph"/>
        <w:ind w:left="0"/>
        <w:rPr>
          <w:b/>
          <w:bCs/>
          <w:szCs w:val="24"/>
        </w:rPr>
      </w:pPr>
    </w:p>
    <w:p w:rsidR="00001F07" w:rsidRPr="00C675E3" w:rsidP="00001F07" w14:paraId="592B2887" w14:textId="77777777">
      <w:pPr>
        <w:rPr>
          <w:b/>
          <w:bCs w:val="0"/>
          <w:szCs w:val="24"/>
        </w:rPr>
      </w:pPr>
      <w:r w:rsidRPr="00C675E3">
        <w:rPr>
          <w:szCs w:val="24"/>
        </w:rPr>
        <w:t>The PUCO’s e-filing system will electronically serve notice of the filing of this document on the following parties:</w:t>
      </w:r>
    </w:p>
    <w:p w:rsidR="00001F07" w:rsidRPr="00C675E3" w:rsidP="00001F07" w14:paraId="67BEAEA3" w14:textId="77777777">
      <w:pPr>
        <w:rPr>
          <w:b/>
          <w:bCs w:val="0"/>
          <w:szCs w:val="24"/>
        </w:rPr>
      </w:pPr>
    </w:p>
    <w:p w:rsidR="00001F07" w:rsidP="00001F07" w14:paraId="193E9D20" w14:textId="77777777">
      <w:pPr>
        <w:pStyle w:val="CommentText"/>
        <w:jc w:val="center"/>
        <w:rPr>
          <w:b/>
          <w:bCs w:val="0"/>
          <w:sz w:val="24"/>
          <w:szCs w:val="24"/>
          <w:u w:val="single"/>
        </w:rPr>
      </w:pPr>
      <w:r w:rsidRPr="00C675E3">
        <w:rPr>
          <w:b/>
          <w:sz w:val="24"/>
          <w:szCs w:val="24"/>
          <w:u w:val="single"/>
        </w:rPr>
        <w:t>SERVICE LIST</w:t>
      </w:r>
    </w:p>
    <w:p w:rsidR="00001F07" w:rsidRPr="00C675E3" w:rsidP="00001F07" w14:paraId="121E9C69" w14:textId="77777777">
      <w:pPr>
        <w:pStyle w:val="CommentText"/>
        <w:jc w:val="center"/>
        <w:rPr>
          <w:b/>
          <w:bCs w:val="0"/>
          <w:sz w:val="24"/>
          <w:szCs w:val="24"/>
          <w:u w:val="single"/>
        </w:rPr>
      </w:pPr>
    </w:p>
    <w:tbl>
      <w:tblPr>
        <w:tblW w:w="0" w:type="auto"/>
        <w:tblLook w:val="01E0"/>
      </w:tblPr>
      <w:tblGrid>
        <w:gridCol w:w="4428"/>
        <w:gridCol w:w="4428"/>
      </w:tblGrid>
      <w:tr w14:paraId="0392AE54" w14:textId="77777777" w:rsidTr="00E14882">
        <w:tblPrEx>
          <w:tblW w:w="0" w:type="auto"/>
          <w:tblLook w:val="01E0"/>
        </w:tblPrEx>
        <w:tc>
          <w:tcPr>
            <w:tcW w:w="4428" w:type="dxa"/>
            <w:shd w:val="clear" w:color="auto" w:fill="auto"/>
          </w:tcPr>
          <w:p w:rsidR="00001F07" w:rsidRPr="00E20C06" w:rsidP="00E14882" w14:paraId="3B631C12" w14:textId="77777777">
            <w:pPr>
              <w:pStyle w:val="BodyText"/>
              <w:spacing w:line="240" w:lineRule="auto"/>
              <w:rPr>
                <w:rStyle w:val="Hyperlink"/>
                <w:bCs/>
              </w:rPr>
            </w:pPr>
            <w:hyperlink r:id="rId11" w:history="1">
              <w:r w:rsidRPr="00E20C06" w:rsidR="008530AE">
                <w:rPr>
                  <w:rStyle w:val="Hyperlink"/>
                </w:rPr>
                <w:t>kyle</w:t>
              </w:r>
              <w:r w:rsidRPr="00E20C06" w:rsidR="008530AE">
                <w:rPr>
                  <w:rStyle w:val="Hyperlink"/>
                  <w:bCs/>
                </w:rPr>
                <w:t>.kern@ohioattorneygeneral.gov</w:t>
              </w:r>
            </w:hyperlink>
          </w:p>
          <w:p w:rsidR="00001F07" w:rsidRPr="00E20C06" w:rsidP="00E14882" w14:paraId="6438B3A8" w14:textId="77777777">
            <w:pPr>
              <w:pStyle w:val="BodyText"/>
              <w:spacing w:line="240" w:lineRule="auto"/>
              <w:rPr>
                <w:rStyle w:val="Hyperlink"/>
                <w:bCs/>
              </w:rPr>
            </w:pPr>
            <w:hyperlink r:id="rId12" w:history="1">
              <w:r w:rsidRPr="00C43258" w:rsidR="008530AE">
                <w:rPr>
                  <w:rStyle w:val="Hyperlink"/>
                  <w:bCs/>
                </w:rPr>
                <w:t>thomas.lindgren@ohioattorneygeneral.gov</w:t>
              </w:r>
            </w:hyperlink>
          </w:p>
          <w:p w:rsidR="00001F07" w:rsidP="00E14882" w14:paraId="6E511B0E" w14:textId="77777777">
            <w:pPr>
              <w:pStyle w:val="BodyText"/>
              <w:rPr>
                <w:bCs/>
              </w:rPr>
            </w:pPr>
          </w:p>
          <w:p w:rsidR="00001F07" w:rsidRPr="00E20C06" w:rsidP="00E14882" w14:paraId="3887DEEC" w14:textId="77777777">
            <w:pPr>
              <w:pStyle w:val="BodyText"/>
              <w:spacing w:line="240" w:lineRule="auto"/>
              <w:rPr>
                <w:bCs/>
              </w:rPr>
            </w:pPr>
            <w:r w:rsidRPr="00E20C06">
              <w:rPr>
                <w:bCs/>
              </w:rPr>
              <w:t>Attorney Examiners:</w:t>
            </w:r>
          </w:p>
          <w:p w:rsidR="00001F07" w:rsidRPr="00E20C06" w:rsidP="00E14882" w14:paraId="4F7FE0DF" w14:textId="77777777">
            <w:pPr>
              <w:pStyle w:val="BodyText"/>
              <w:spacing w:line="240" w:lineRule="auto"/>
              <w:rPr>
                <w:bCs/>
              </w:rPr>
            </w:pPr>
            <w:hyperlink r:id="rId13" w:history="1">
              <w:r w:rsidRPr="00771090" w:rsidR="008530AE">
                <w:rPr>
                  <w:rStyle w:val="Hyperlink"/>
                </w:rPr>
                <w:t>patricia</w:t>
              </w:r>
              <w:r w:rsidRPr="00771090" w:rsidR="008530AE">
                <w:rPr>
                  <w:rStyle w:val="Hyperlink"/>
                  <w:bCs/>
                </w:rPr>
                <w:t>.schabo@puco.ohio.gov</w:t>
              </w:r>
            </w:hyperlink>
          </w:p>
          <w:p w:rsidR="00001F07" w:rsidP="00E14882" w14:paraId="77E29C61" w14:textId="77777777">
            <w:pPr>
              <w:pStyle w:val="BodyText"/>
              <w:rPr>
                <w:bCs/>
              </w:rPr>
            </w:pPr>
            <w:hyperlink r:id="rId14" w:history="1">
              <w:r w:rsidRPr="00771090" w:rsidR="008530AE">
                <w:rPr>
                  <w:rStyle w:val="Hyperlink"/>
                  <w:bCs/>
                </w:rPr>
                <w:t>michael.williams@puco.ohio.gov</w:t>
              </w:r>
            </w:hyperlink>
          </w:p>
          <w:p w:rsidR="00001F07" w:rsidRPr="00E20C06" w:rsidP="00E14882" w14:paraId="4B963F7B" w14:textId="77777777">
            <w:pPr>
              <w:pStyle w:val="BodyText"/>
              <w:rPr>
                <w:bCs/>
              </w:rPr>
            </w:pPr>
          </w:p>
        </w:tc>
        <w:tc>
          <w:tcPr>
            <w:tcW w:w="4428" w:type="dxa"/>
            <w:shd w:val="clear" w:color="auto" w:fill="auto"/>
          </w:tcPr>
          <w:p w:rsidR="00001F07" w:rsidP="00E14882" w14:paraId="5E0E3077" w14:textId="77777777">
            <w:pPr>
              <w:autoSpaceDE w:val="0"/>
              <w:autoSpaceDN w:val="0"/>
              <w:adjustRightInd w:val="0"/>
              <w:ind w:left="1247"/>
              <w:rPr>
                <w:rStyle w:val="Hyperlink"/>
                <w:bCs w:val="0"/>
                <w:szCs w:val="24"/>
              </w:rPr>
            </w:pPr>
            <w:hyperlink r:id="rId15" w:history="1">
              <w:r w:rsidRPr="00771090" w:rsidR="008530AE">
                <w:rPr>
                  <w:rStyle w:val="Hyperlink"/>
                  <w:szCs w:val="24"/>
                </w:rPr>
                <w:t>michael.schuler@aes.com</w:t>
              </w:r>
            </w:hyperlink>
          </w:p>
          <w:p w:rsidR="00001F07" w:rsidP="00E14882" w14:paraId="61663CD0" w14:textId="77777777">
            <w:pPr>
              <w:autoSpaceDE w:val="0"/>
              <w:autoSpaceDN w:val="0"/>
              <w:adjustRightInd w:val="0"/>
              <w:ind w:left="1247"/>
              <w:rPr>
                <w:rStyle w:val="Hyperlink"/>
                <w:bCs w:val="0"/>
                <w:szCs w:val="24"/>
              </w:rPr>
            </w:pPr>
            <w:hyperlink r:id="rId16" w:history="1">
              <w:r w:rsidRPr="00935365" w:rsidR="008530AE">
                <w:rPr>
                  <w:rStyle w:val="Hyperlink"/>
                  <w:szCs w:val="24"/>
                </w:rPr>
                <w:t>paul@carpenterlipps.com</w:t>
              </w:r>
            </w:hyperlink>
          </w:p>
          <w:p w:rsidR="00001F07" w:rsidP="00E14882" w14:paraId="2A37F3DF" w14:textId="77777777">
            <w:pPr>
              <w:autoSpaceDE w:val="0"/>
              <w:autoSpaceDN w:val="0"/>
              <w:adjustRightInd w:val="0"/>
              <w:ind w:left="1247"/>
              <w:rPr>
                <w:rStyle w:val="Hyperlink"/>
              </w:rPr>
            </w:pPr>
            <w:hyperlink r:id="rId17" w:history="1">
              <w:r w:rsidRPr="00935365" w:rsidR="008530AE">
                <w:rPr>
                  <w:rStyle w:val="Hyperlink"/>
                </w:rPr>
                <w:t>bojko@carpenterlipps.com</w:t>
              </w:r>
            </w:hyperlink>
          </w:p>
          <w:p w:rsidR="00001F07" w:rsidP="00E14882" w14:paraId="3F93729A" w14:textId="77777777">
            <w:pPr>
              <w:autoSpaceDE w:val="0"/>
              <w:autoSpaceDN w:val="0"/>
              <w:adjustRightInd w:val="0"/>
              <w:ind w:left="1247"/>
              <w:rPr>
                <w:bCs w:val="0"/>
                <w:szCs w:val="24"/>
              </w:rPr>
            </w:pPr>
            <w:hyperlink r:id="rId18" w:history="1">
              <w:r w:rsidRPr="00935365" w:rsidR="008530AE">
                <w:rPr>
                  <w:rStyle w:val="Hyperlink"/>
                  <w:szCs w:val="24"/>
                </w:rPr>
                <w:t>donadio@carpenterlipps.com</w:t>
              </w:r>
            </w:hyperlink>
          </w:p>
          <w:p w:rsidR="00001F07" w:rsidP="00E14882" w14:paraId="16A04774" w14:textId="77777777">
            <w:pPr>
              <w:autoSpaceDE w:val="0"/>
              <w:autoSpaceDN w:val="0"/>
              <w:adjustRightInd w:val="0"/>
              <w:ind w:left="1247"/>
              <w:rPr>
                <w:bCs w:val="0"/>
                <w:szCs w:val="24"/>
              </w:rPr>
            </w:pPr>
            <w:hyperlink r:id="rId19" w:history="1">
              <w:r w:rsidRPr="003D34A7" w:rsidR="008530AE">
                <w:rPr>
                  <w:rStyle w:val="Hyperlink"/>
                  <w:bCs w:val="0"/>
                  <w:szCs w:val="24"/>
                </w:rPr>
                <w:t>randall.griffin@aes.com</w:t>
              </w:r>
            </w:hyperlink>
          </w:p>
          <w:p w:rsidR="00001F07" w:rsidP="00E14882" w14:paraId="1DE1E7E3" w14:textId="77777777">
            <w:pPr>
              <w:autoSpaceDE w:val="0"/>
              <w:autoSpaceDN w:val="0"/>
              <w:adjustRightInd w:val="0"/>
              <w:ind w:left="1247"/>
              <w:rPr>
                <w:bCs w:val="0"/>
                <w:szCs w:val="24"/>
              </w:rPr>
            </w:pPr>
          </w:p>
          <w:p w:rsidR="00001F07" w:rsidRPr="00E20C06" w:rsidP="00E14882" w14:paraId="7E89B286" w14:textId="77777777">
            <w:pPr>
              <w:autoSpaceDE w:val="0"/>
              <w:autoSpaceDN w:val="0"/>
              <w:adjustRightInd w:val="0"/>
              <w:ind w:left="1247"/>
              <w:rPr>
                <w:bCs w:val="0"/>
                <w:szCs w:val="24"/>
              </w:rPr>
            </w:pPr>
          </w:p>
        </w:tc>
      </w:tr>
    </w:tbl>
    <w:p w:rsidR="00001F07" w:rsidRPr="00843F8F" w:rsidP="00001F07" w14:paraId="2D367281" w14:textId="77777777"/>
    <w:p w:rsidR="00001F07" w:rsidRPr="00843F8F" w:rsidP="00001F07" w14:paraId="1CD39C3A" w14:textId="77777777">
      <w:pPr>
        <w:pStyle w:val="Default"/>
        <w:spacing w:line="480" w:lineRule="auto"/>
      </w:pPr>
    </w:p>
    <w:p w:rsidR="00001F07" w:rsidRPr="00843F8F" w:rsidP="00001F07" w14:paraId="5248D21C" w14:textId="77777777">
      <w:pPr>
        <w:pStyle w:val="Default"/>
        <w:spacing w:line="480" w:lineRule="auto"/>
        <w:ind w:firstLine="720"/>
      </w:pPr>
    </w:p>
    <w:sectPr w:rsidSect="00297E12">
      <w:footerReference w:type="default" r:id="rId20"/>
      <w:footerReference w:type="first" r:id="rId21"/>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89A" w14:paraId="50720575" w14:textId="49FC2DA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664458"/>
      <w:docPartObj>
        <w:docPartGallery w:val="Page Numbers (Bottom of Page)"/>
        <w:docPartUnique/>
      </w:docPartObj>
    </w:sdtPr>
    <w:sdtEndPr>
      <w:rPr>
        <w:noProof/>
      </w:rPr>
    </w:sdtEndPr>
    <w:sdtContent>
      <w:p w:rsidR="00297E12" w14:paraId="67DBFC1E" w14:textId="0138D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1431708"/>
      <w:docPartObj>
        <w:docPartGallery w:val="Page Numbers (Bottom of Page)"/>
        <w:docPartUnique/>
      </w:docPartObj>
    </w:sdtPr>
    <w:sdtEndPr>
      <w:rPr>
        <w:noProof/>
      </w:rPr>
    </w:sdtEndPr>
    <w:sdtContent>
      <w:p w:rsidR="00404781" w14:paraId="29B98944" w14:textId="511BA1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5288091"/>
      <w:docPartObj>
        <w:docPartGallery w:val="Page Numbers (Bottom of Page)"/>
        <w:docPartUnique/>
      </w:docPartObj>
    </w:sdtPr>
    <w:sdtEndPr>
      <w:rPr>
        <w:noProof/>
      </w:rPr>
    </w:sdtEndPr>
    <w:sdtContent>
      <w:p w:rsidR="00297E12" w14:paraId="1761C1A0" w14:textId="7133F2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40EF" w:rsidP="00076046" w14:paraId="4C03388B" w14:textId="77777777">
      <w:r>
        <w:separator/>
      </w:r>
    </w:p>
  </w:footnote>
  <w:footnote w:type="continuationSeparator" w:id="1">
    <w:p w:rsidR="00F440EF" w:rsidP="00076046" w14:paraId="4FA984A7" w14:textId="77777777">
      <w:r>
        <w:continuationSeparator/>
      </w:r>
    </w:p>
  </w:footnote>
  <w:footnote w:id="2">
    <w:p w:rsidR="000C59E9" w:rsidRPr="00076046" w:rsidP="00D635D7" w14:paraId="6BFC4E6C" w14:textId="5B22C64B">
      <w:pPr>
        <w:pStyle w:val="FootnoteText"/>
        <w:spacing w:after="120"/>
      </w:pPr>
      <w:r>
        <w:rPr>
          <w:rStyle w:val="FootnoteReference"/>
        </w:rPr>
        <w:footnoteRef/>
      </w:r>
      <w:r>
        <w:t xml:space="preserve"> </w:t>
      </w:r>
      <w:r>
        <w:rPr>
          <w:i/>
          <w:iCs/>
        </w:rPr>
        <w:t xml:space="preserve">In the Matter of the Review of the Power Purchase Agreement Rider of Ohio Power Company for 2018 and 2019, </w:t>
      </w:r>
      <w:r>
        <w:t xml:space="preserve">Case Nos. 18-1004-EL-RDR and 18-1759-EL-RDR London Economics International, LLC, </w:t>
      </w:r>
      <w:r w:rsidRPr="00A845D4">
        <w:t>Audit of the OVEC Power Purchase Agreement Rider of Ohio Power Company</w:t>
      </w:r>
      <w:r>
        <w:rPr>
          <w:i/>
          <w:iCs/>
        </w:rPr>
        <w:t xml:space="preserve"> </w:t>
      </w:r>
      <w:r>
        <w:t>at 31 (Sept. 16, 2020).</w:t>
      </w:r>
    </w:p>
  </w:footnote>
  <w:footnote w:id="3">
    <w:p w:rsidR="00D41D2A" w:rsidP="00D635D7" w14:paraId="72090CF5" w14:textId="7D67CF9F">
      <w:pPr>
        <w:pStyle w:val="FootnoteText"/>
        <w:spacing w:after="120"/>
      </w:pPr>
      <w:r>
        <w:rPr>
          <w:rStyle w:val="FootnoteReference"/>
        </w:rPr>
        <w:footnoteRef/>
      </w:r>
      <w:r>
        <w:t xml:space="preserve"> For purposes of discovery, </w:t>
      </w:r>
      <w:r w:rsidRPr="00810B41">
        <w:t xml:space="preserve">Ohio Adm. Code 4901-1-16(H) </w:t>
      </w:r>
      <w:r>
        <w:t>defines</w:t>
      </w:r>
      <w:r w:rsidR="00855ADD">
        <w:t xml:space="preserve"> a</w:t>
      </w:r>
      <w:r>
        <w:t xml:space="preserve"> party as any person who has filed a motion to intervene </w:t>
      </w:r>
      <w:r w:rsidRPr="00810B41">
        <w:t>(“</w:t>
      </w:r>
      <w:r>
        <w:t>F</w:t>
      </w:r>
      <w:r w:rsidRPr="001E4D30">
        <w:rPr>
          <w:shd w:val="clear" w:color="auto" w:fill="FFFFFF"/>
        </w:rPr>
        <w:t xml:space="preserve">or purposes of rules 4901-1-16 to </w:t>
      </w:r>
      <w:hyperlink r:id="rId1" w:tgtFrame="_new" w:tooltip="Motions for protective orders" w:history="1">
        <w:r w:rsidRPr="00D43D01">
          <w:rPr>
            <w:rStyle w:val="Hyperlink"/>
            <w:color w:val="auto"/>
          </w:rPr>
          <w:t>4901-1-24</w:t>
        </w:r>
      </w:hyperlink>
      <w:r w:rsidRPr="001E4D30">
        <w:rPr>
          <w:shd w:val="clear" w:color="auto" w:fill="FFFFFF"/>
        </w:rPr>
        <w:t xml:space="preserve"> of the Administrative Code, the term</w:t>
      </w:r>
      <w:r>
        <w:rPr>
          <w:shd w:val="clear" w:color="auto" w:fill="FFFFFF"/>
        </w:rPr>
        <w:t xml:space="preserve"> ‘</w:t>
      </w:r>
      <w:r w:rsidRPr="001E4D30">
        <w:rPr>
          <w:shd w:val="clear" w:color="auto" w:fill="FFFFFF"/>
        </w:rPr>
        <w:t>party</w:t>
      </w:r>
      <w:r>
        <w:rPr>
          <w:shd w:val="clear" w:color="auto" w:fill="FFFFFF"/>
        </w:rPr>
        <w:t>’</w:t>
      </w:r>
      <w:r w:rsidRPr="001E4D30">
        <w:rPr>
          <w:shd w:val="clear" w:color="auto" w:fill="FFFFFF"/>
        </w:rPr>
        <w:t xml:space="preserve"> includes any person who has filed a motion to intervene which is pending at the time a discovery request or motion is to be served or filed</w:t>
      </w:r>
      <w:r>
        <w:rPr>
          <w:shd w:val="clear" w:color="auto" w:fill="FFFFFF"/>
        </w:rPr>
        <w:t>.</w:t>
      </w:r>
      <w:r>
        <w:t>”).</w:t>
      </w:r>
    </w:p>
  </w:footnote>
  <w:footnote w:id="4">
    <w:p w:rsidR="00411224" w:rsidP="00D635D7" w14:paraId="6CE47AA8" w14:textId="77777777">
      <w:pPr>
        <w:pStyle w:val="FootnoteText"/>
        <w:spacing w:after="120"/>
      </w:pPr>
      <w:r>
        <w:rPr>
          <w:rStyle w:val="FootnoteReference"/>
        </w:rPr>
        <w:footnoteRef/>
      </w:r>
      <w:r>
        <w:t xml:space="preserve"> Ohio Adm. Code 4901-1-16(A).</w:t>
      </w:r>
    </w:p>
  </w:footnote>
  <w:footnote w:id="5">
    <w:p w:rsidR="00411224" w:rsidP="00D635D7" w14:paraId="14426922" w14:textId="77777777">
      <w:pPr>
        <w:pStyle w:val="FootnoteText"/>
        <w:spacing w:after="120"/>
      </w:pPr>
      <w:r>
        <w:rPr>
          <w:rStyle w:val="FootnoteReference"/>
        </w:rPr>
        <w:footnoteRef/>
      </w:r>
      <w:r>
        <w:t xml:space="preserve"> </w:t>
      </w:r>
      <w:r w:rsidRPr="00A7467D">
        <w:rPr>
          <w:i/>
          <w:iCs/>
        </w:rPr>
        <w:t>Id</w:t>
      </w:r>
      <w:r>
        <w:t>.</w:t>
      </w:r>
    </w:p>
  </w:footnote>
  <w:footnote w:id="6">
    <w:p w:rsidR="003E75B9" w:rsidP="00D635D7" w14:paraId="6E15950E" w14:textId="1A5AE5ED">
      <w:pPr>
        <w:pStyle w:val="FootnoteText"/>
        <w:spacing w:after="120"/>
      </w:pPr>
      <w:r>
        <w:rPr>
          <w:rStyle w:val="FootnoteReference"/>
        </w:rPr>
        <w:footnoteRef/>
      </w:r>
      <w:r>
        <w:t xml:space="preserve"> </w:t>
      </w:r>
      <w:r>
        <w:rPr>
          <w:i/>
          <w:iCs/>
        </w:rPr>
        <w:t xml:space="preserve">In the Matter of the Review of the Power Purchase Agreement Rider of Ohio Power Company for 2018 and 2019, </w:t>
      </w:r>
      <w:r>
        <w:t xml:space="preserve">Case Nos. 18-1004-EL-RDR and 18-1759-EL-RDR London Economics International, LLC, </w:t>
      </w:r>
      <w:r w:rsidRPr="00A845D4">
        <w:t>Audit of the OVEC Power Purchase Agreement Rider of Ohio Power Company</w:t>
      </w:r>
      <w:r>
        <w:rPr>
          <w:i/>
          <w:iCs/>
        </w:rPr>
        <w:t xml:space="preserve"> </w:t>
      </w:r>
      <w:r>
        <w:t xml:space="preserve">at 9 (Sept. 16, 2020); </w:t>
      </w:r>
      <w:r>
        <w:rPr>
          <w:i/>
          <w:iCs/>
        </w:rPr>
        <w:t>In the Matter of the Review of the Reconciliation Rider of Duke Energy Ohio, Inc.</w:t>
      </w:r>
      <w:r>
        <w:t xml:space="preserve">, Case No. 20-167-EL-RDR London Economics International, LLC, </w:t>
      </w:r>
      <w:r w:rsidRPr="00A845D4">
        <w:t>Audit of the OVEC Power Purchase Agreement Rider of Ohio Power Company</w:t>
      </w:r>
      <w:r>
        <w:rPr>
          <w:i/>
          <w:iCs/>
        </w:rPr>
        <w:t xml:space="preserve"> </w:t>
      </w:r>
      <w:r>
        <w:t xml:space="preserve">at </w:t>
      </w:r>
      <w:r w:rsidR="00ED3B21">
        <w:t>10</w:t>
      </w:r>
      <w:r>
        <w:t xml:space="preserve"> (Oct. 15, 2020).</w:t>
      </w:r>
    </w:p>
  </w:footnote>
  <w:footnote w:id="7">
    <w:p w:rsidR="005938B9" w:rsidRPr="003E032F" w:rsidP="00D635D7" w14:paraId="76E2E618" w14:textId="4EB4F93E">
      <w:pPr>
        <w:pStyle w:val="FootnoteText"/>
        <w:spacing w:after="120"/>
        <w:rPr>
          <w:i/>
          <w:iCs/>
        </w:rPr>
      </w:pPr>
      <w:r>
        <w:rPr>
          <w:rStyle w:val="FootnoteReference"/>
        </w:rPr>
        <w:footnoteRef/>
      </w:r>
      <w:r>
        <w:t xml:space="preserve"> Nor did the auditor address whether the FirstEnergy Solutions bankruptcy impacted the OVEC charges for DP&amp;L, even though the auditors for AEP and Duke both concluded that the FES bankruptcy impacted AEP’s and Duke’s charges.</w:t>
      </w:r>
      <w:r w:rsidR="00D635D7">
        <w:t xml:space="preserve"> </w:t>
      </w:r>
      <w:r>
        <w:rPr>
          <w:i/>
          <w:iCs/>
        </w:rPr>
        <w:t xml:space="preserve">See: In the Matter of the Review of the Power Purchase Agreement Rider of Ohio Power Company for 2018 and 2019, </w:t>
      </w:r>
      <w:r>
        <w:t xml:space="preserve">Case Nos. 18-1004-EL-RDR and 18-1759-EL-RDR London Economics International, LLC, </w:t>
      </w:r>
      <w:r w:rsidRPr="00A845D4">
        <w:t>Audit of the OVEC Power Purchase Agreement Rider of Ohio Power Company</w:t>
      </w:r>
      <w:r>
        <w:rPr>
          <w:i/>
          <w:iCs/>
        </w:rPr>
        <w:t xml:space="preserve"> </w:t>
      </w:r>
      <w:r>
        <w:t xml:space="preserve">at 16 (Sept. 16, 2020); </w:t>
      </w:r>
      <w:r>
        <w:rPr>
          <w:i/>
          <w:iCs/>
        </w:rPr>
        <w:t>In the Matter of the Review of the Reconciliation Rider of Duke Energy Ohio, Inc.</w:t>
      </w:r>
      <w:r>
        <w:t xml:space="preserve">, Case No. 20-167-EL-RDR London Economics International, LLC, </w:t>
      </w:r>
      <w:r w:rsidRPr="00A845D4">
        <w:t>Audit of the OVEC Power Purchase Agreement Rider of Ohio Power Company</w:t>
      </w:r>
      <w:r>
        <w:rPr>
          <w:i/>
          <w:iCs/>
        </w:rPr>
        <w:t xml:space="preserve"> </w:t>
      </w:r>
      <w:r>
        <w:t>at 13 (Oct. 15, 2020).</w:t>
      </w:r>
    </w:p>
  </w:footnote>
  <w:footnote w:id="8">
    <w:p w:rsidR="00E94DF9" w:rsidRPr="00E94DF9" w:rsidP="00D635D7" w14:paraId="33CB3B38" w14:textId="7B69B5C4">
      <w:pPr>
        <w:pStyle w:val="FootnoteText"/>
        <w:spacing w:after="120"/>
      </w:pPr>
      <w:r>
        <w:rPr>
          <w:rStyle w:val="FootnoteReference"/>
        </w:rPr>
        <w:footnoteRef/>
      </w:r>
      <w:r>
        <w:t xml:space="preserve"> </w:t>
      </w:r>
      <w:r>
        <w:rPr>
          <w:i/>
          <w:iCs/>
        </w:rPr>
        <w:t xml:space="preserve">Id. </w:t>
      </w:r>
      <w:r>
        <w:t>at 9.</w:t>
      </w:r>
    </w:p>
  </w:footnote>
  <w:footnote w:id="9">
    <w:p w:rsidR="00E94DF9" w:rsidRPr="00E94DF9" w:rsidP="00D635D7" w14:paraId="16AB9D73" w14:textId="3DFBF5CF">
      <w:pPr>
        <w:pStyle w:val="FootnoteText"/>
        <w:spacing w:after="120"/>
        <w:rPr>
          <w:i/>
          <w:iCs/>
        </w:rPr>
      </w:pPr>
      <w:r>
        <w:rPr>
          <w:rStyle w:val="FootnoteReference"/>
        </w:rPr>
        <w:footnoteRef/>
      </w:r>
      <w:r>
        <w:t xml:space="preserve"> </w:t>
      </w:r>
      <w:r>
        <w:rPr>
          <w:i/>
          <w:iCs/>
        </w:rPr>
        <w:t>Id.</w:t>
      </w:r>
    </w:p>
  </w:footnote>
  <w:footnote w:id="10">
    <w:p w:rsidR="008A00C3" w:rsidP="00D635D7" w14:paraId="3DF18E21" w14:textId="53AED4A7">
      <w:pPr>
        <w:pStyle w:val="FootnoteText"/>
        <w:spacing w:after="120"/>
      </w:pPr>
      <w:r>
        <w:rPr>
          <w:rStyle w:val="FootnoteReference"/>
        </w:rPr>
        <w:footnoteRef/>
      </w:r>
      <w:r>
        <w:t xml:space="preserve"> </w:t>
      </w:r>
      <w:r w:rsidR="0038194E">
        <w:rPr>
          <w:i/>
          <w:iCs/>
        </w:rPr>
        <w:t>In the Matter of the Review of the Reconciliation Rider of Duke Energy Ohio, Inc.</w:t>
      </w:r>
      <w:r w:rsidR="0038194E">
        <w:t>, Case No. 20-167-EL-RDR Deposition of John Swez (Jan. 12, 2021).</w:t>
      </w:r>
    </w:p>
  </w:footnote>
  <w:footnote w:id="11">
    <w:p w:rsidR="00156316" w:rsidP="00D635D7" w14:paraId="33B324DE" w14:textId="69DA9CEC">
      <w:pPr>
        <w:pStyle w:val="FootnoteText"/>
        <w:spacing w:after="120"/>
      </w:pPr>
      <w:r>
        <w:rPr>
          <w:rStyle w:val="FootnoteReference"/>
        </w:rPr>
        <w:footnoteRef/>
      </w:r>
      <w:r w:rsidR="00D635D7">
        <w:t xml:space="preserve"> </w:t>
      </w:r>
      <w:r>
        <w:t>Ohio Adm. Code 4901-1-24(A).</w:t>
      </w:r>
    </w:p>
  </w:footnote>
  <w:footnote w:id="12">
    <w:p w:rsidR="00156316" w:rsidRPr="003E032F" w:rsidP="00D635D7" w14:paraId="0922507D" w14:textId="0BB23848">
      <w:pPr>
        <w:pStyle w:val="FootnoteText"/>
        <w:spacing w:after="120"/>
        <w:rPr>
          <w:i/>
          <w:iCs/>
        </w:rPr>
      </w:pPr>
      <w:r>
        <w:rPr>
          <w:rStyle w:val="FootnoteReference"/>
        </w:rPr>
        <w:footnoteRef/>
      </w:r>
      <w:r w:rsidR="00D635D7">
        <w:t xml:space="preserve"> </w:t>
      </w:r>
      <w:r>
        <w:rPr>
          <w:i/>
          <w:iCs/>
        </w:rPr>
        <w:t>Id.</w:t>
      </w:r>
    </w:p>
  </w:footnote>
  <w:footnote w:id="13">
    <w:p w:rsidR="00AB21C3" w:rsidP="00D635D7" w14:paraId="3BB4F7B4" w14:textId="15918A00">
      <w:pPr>
        <w:pStyle w:val="FootnoteText"/>
        <w:spacing w:after="120"/>
      </w:pPr>
      <w:r>
        <w:rPr>
          <w:rStyle w:val="FootnoteReference"/>
        </w:rPr>
        <w:footnoteRef/>
      </w:r>
      <w:r>
        <w:t xml:space="preserve"> </w:t>
      </w:r>
      <w:r w:rsidR="004F5D17">
        <w:t>Ohio Adm. Code 4901-1-24(A)</w:t>
      </w:r>
      <w:r>
        <w:t>.</w:t>
      </w:r>
      <w:r w:rsidR="00D635D7">
        <w:t xml:space="preserve"> </w:t>
      </w:r>
    </w:p>
  </w:footnote>
  <w:footnote w:id="14">
    <w:p w:rsidR="00AB21C3" w:rsidP="00D635D7" w14:paraId="25956783" w14:textId="287B663F">
      <w:pPr>
        <w:pStyle w:val="FootnoteText"/>
        <w:spacing w:after="120"/>
      </w:pPr>
      <w:r>
        <w:rPr>
          <w:rStyle w:val="FootnoteReference"/>
        </w:rPr>
        <w:footnoteRef/>
      </w:r>
      <w:r>
        <w:t xml:space="preserve"> Ohio Adm. Code 4901-1-16(A).</w:t>
      </w:r>
      <w:r w:rsidR="00D635D7">
        <w:t xml:space="preserve"> </w:t>
      </w:r>
    </w:p>
  </w:footnote>
  <w:footnote w:id="15">
    <w:p w:rsidR="00E367DF" w:rsidP="00D635D7" w14:paraId="08F32043" w14:textId="15ED26E5">
      <w:pPr>
        <w:pStyle w:val="FootnoteText"/>
        <w:spacing w:after="120"/>
      </w:pPr>
      <w:r>
        <w:rPr>
          <w:rStyle w:val="FootnoteReference"/>
        </w:rPr>
        <w:footnoteRef/>
      </w:r>
      <w:r>
        <w:t xml:space="preserve"> “The Commission selects Vantage Energy Consulting, LLC to conduct the audit services necessary to assist the Commission in </w:t>
      </w:r>
      <w:r w:rsidRPr="00E10FA6">
        <w:rPr>
          <w:b/>
        </w:rPr>
        <w:t>the prudency and performance audit</w:t>
      </w:r>
      <w:r>
        <w:t xml:space="preserve"> of the Dayton Power and Light Company’s reconciliation rider for the period of November 1, 2018 through December 31, 2019.” Entry at </w:t>
      </w:r>
      <w:r w:rsidRPr="00E367DF">
        <w:t>¶ 1</w:t>
      </w:r>
      <w:r w:rsidR="00C47E90">
        <w:t xml:space="preserve"> </w:t>
      </w:r>
      <w:r>
        <w:t>(Mar</w:t>
      </w:r>
      <w:r w:rsidR="00D635D7">
        <w:t>.</w:t>
      </w:r>
      <w:r>
        <w:t xml:space="preserve"> 11, 2020) (emphasis added). </w:t>
      </w:r>
    </w:p>
  </w:footnote>
  <w:footnote w:id="16">
    <w:p w:rsidR="00341738" w:rsidRPr="00341738" w:rsidP="00D635D7" w14:paraId="50C410E7" w14:textId="27561278">
      <w:pPr>
        <w:pStyle w:val="FootnoteText"/>
        <w:spacing w:after="120"/>
      </w:pPr>
      <w:r>
        <w:rPr>
          <w:rStyle w:val="FootnoteReference"/>
        </w:rPr>
        <w:footnoteRef/>
      </w:r>
      <w:r>
        <w:t xml:space="preserve"> </w:t>
      </w:r>
      <w:r>
        <w:rPr>
          <w:i/>
          <w:iCs/>
        </w:rPr>
        <w:t>In the Matter of the Review of the Reconciliation Rider of Duke Energy Ohio, Inc.</w:t>
      </w:r>
      <w:r>
        <w:t>, Case No. 20-167-EL-RD</w:t>
      </w:r>
      <w:r w:rsidR="00AE0EB5">
        <w:t>R Reply Comments of Duke Energy Ohio, Inc. at 18 (Jan. 8, 2021).</w:t>
      </w:r>
    </w:p>
  </w:footnote>
  <w:footnote w:id="17">
    <w:p w:rsidR="0044451A" w:rsidRPr="007F1AE0" w:rsidP="00D635D7" w14:paraId="0CC95CBE" w14:textId="636B66E7">
      <w:pPr>
        <w:pStyle w:val="FootnoteText"/>
        <w:spacing w:after="120"/>
      </w:pPr>
      <w:r>
        <w:rPr>
          <w:rStyle w:val="FootnoteReference"/>
        </w:rPr>
        <w:footnoteRef/>
      </w:r>
      <w:r>
        <w:t xml:space="preserve"> </w:t>
      </w:r>
      <w:r w:rsidR="007F1AE0">
        <w:t>Motion to Quash at 1-2.</w:t>
      </w:r>
    </w:p>
  </w:footnote>
  <w:footnote w:id="18">
    <w:p w:rsidR="00D92D96" w:rsidRPr="00B55306" w:rsidP="00D635D7" w14:paraId="4D8EE779" w14:textId="45F9CA46">
      <w:pPr>
        <w:pStyle w:val="FootnoteText"/>
        <w:spacing w:after="120"/>
      </w:pPr>
      <w:r w:rsidRPr="00B55306">
        <w:rPr>
          <w:rStyle w:val="FootnoteReference"/>
        </w:rPr>
        <w:footnoteRef/>
      </w:r>
      <w:r w:rsidR="000A4C89">
        <w:t xml:space="preserve"> </w:t>
      </w:r>
      <w:r w:rsidRPr="00E10FA6" w:rsidR="000A4C89">
        <w:rPr>
          <w:i/>
        </w:rPr>
        <w:t>See, e.g</w:t>
      </w:r>
      <w:r w:rsidR="000A4C89">
        <w:t xml:space="preserve">., </w:t>
      </w:r>
      <w:r w:rsidRPr="00E10FA6" w:rsidR="000A4C89">
        <w:rPr>
          <w:i/>
        </w:rPr>
        <w:t>Id.</w:t>
      </w:r>
      <w:r w:rsidR="000A4C89">
        <w:t xml:space="preserve"> (stating, “[t]o the extent that OCC is unsatisfied with one or more of DP&amp;L’s prior responses [to interrogatories], the appropriate </w:t>
      </w:r>
      <w:r w:rsidR="002D68FB">
        <w:t>remedy</w:t>
      </w:r>
      <w:r w:rsidR="000A4C89">
        <w:t xml:space="preserve"> is a motion to compel. There is no need to schedule a deposition to obtain the information that OCC seeks.”). </w:t>
      </w:r>
    </w:p>
  </w:footnote>
  <w:footnote w:id="19">
    <w:p w:rsidR="008C64DB" w:rsidRPr="0016056F" w:rsidP="00D635D7" w14:paraId="04EDCD62" w14:textId="5C903716">
      <w:pPr>
        <w:shd w:val="clear" w:color="auto" w:fill="FFFFFF"/>
        <w:spacing w:after="120"/>
        <w:rPr>
          <w:rFonts w:eastAsia="Times New Roman"/>
          <w:sz w:val="20"/>
          <w:szCs w:val="20"/>
        </w:rPr>
      </w:pPr>
      <w:r w:rsidRPr="00B55306">
        <w:rPr>
          <w:rStyle w:val="FootnoteReference"/>
          <w:sz w:val="20"/>
          <w:szCs w:val="20"/>
        </w:rPr>
        <w:footnoteRef/>
      </w:r>
      <w:r w:rsidR="00107D26">
        <w:rPr>
          <w:sz w:val="20"/>
          <w:szCs w:val="20"/>
        </w:rPr>
        <w:t xml:space="preserve"> </w:t>
      </w:r>
      <w:r w:rsidRPr="00B55306">
        <w:rPr>
          <w:rFonts w:eastAsia="Times New Roman"/>
          <w:sz w:val="20"/>
          <w:szCs w:val="20"/>
        </w:rPr>
        <w:t>§ 38:2.Advantages and disadvantages of depositions, 5 Ohio Jur. Pl. &amp; Pr. Forms § 38:2 (2018 ed.)</w:t>
      </w:r>
      <w:r>
        <w:rPr>
          <w:rFonts w:eastAsia="Times New Roman"/>
          <w:sz w:val="20"/>
          <w:szCs w:val="20"/>
        </w:rPr>
        <w:t>.</w:t>
      </w:r>
    </w:p>
  </w:footnote>
  <w:footnote w:id="20">
    <w:p w:rsidR="00A929A6" w:rsidRPr="00DE715F" w:rsidP="00D635D7" w14:paraId="385A70FD" w14:textId="118DDFFB">
      <w:pPr>
        <w:pStyle w:val="FootnoteText"/>
        <w:spacing w:after="120"/>
      </w:pPr>
      <w:r w:rsidRPr="00DE715F">
        <w:rPr>
          <w:rStyle w:val="FootnoteReference"/>
        </w:rPr>
        <w:footnoteRef/>
      </w:r>
      <w:r w:rsidRPr="00DE715F">
        <w:t xml:space="preserve"> </w:t>
      </w:r>
      <w:r w:rsidRPr="00197B02">
        <w:rPr>
          <w:i/>
        </w:rPr>
        <w:t>In the Matter of the Application of the Ohio B</w:t>
      </w:r>
      <w:r>
        <w:rPr>
          <w:i/>
        </w:rPr>
        <w:t>ell</w:t>
      </w:r>
      <w:r w:rsidRPr="00197B02">
        <w:rPr>
          <w:i/>
        </w:rPr>
        <w:t xml:space="preserve"> Telephone Company for Authority to Increase and Adjust its Rates and Charges and to Change Regulations and Practices Affecting the Same</w:t>
      </w:r>
      <w:r>
        <w:t xml:space="preserve">, Case No. 79-1184-TP-AIR, 1980 WL 625298, Entry at </w:t>
      </w:r>
      <w:r w:rsidRPr="00165C52">
        <w:t>¶ 5</w:t>
      </w:r>
      <w:r w:rsidR="00D635D7">
        <w:t xml:space="preserve"> </w:t>
      </w:r>
      <w:r>
        <w:t>(Aug</w:t>
      </w:r>
      <w:r w:rsidR="00D635D7">
        <w:t>.</w:t>
      </w:r>
      <w:r>
        <w:t xml:space="preserve"> 4, 1980). </w:t>
      </w:r>
    </w:p>
  </w:footnote>
  <w:footnote w:id="21">
    <w:p w:rsidR="00843F8F" w:rsidP="00D635D7" w14:paraId="23F78AF0" w14:textId="0630081B">
      <w:pPr>
        <w:pStyle w:val="FootnoteText"/>
        <w:spacing w:after="120"/>
      </w:pPr>
      <w:r>
        <w:rPr>
          <w:rStyle w:val="FootnoteReference"/>
        </w:rPr>
        <w:footnoteRef/>
      </w:r>
      <w:r>
        <w:t xml:space="preserve"> </w:t>
      </w:r>
      <w:r w:rsidR="0044451A">
        <w:rPr>
          <w:i/>
          <w:iCs/>
        </w:rPr>
        <w:t>In the Matter of the Review of the Reconciliation Rider of The Dayton Power &amp; Light Company</w:t>
      </w:r>
      <w:r w:rsidR="0044451A">
        <w:t>, Case No. 20-165-EL-RDR The Dayton Power &amp; Light Company’s Objections and Responses to the Ohio Consumers’ Counsel’s Interrogatories and Requests for Production of Documents (Second Set) at 3 (Jan. 6, 2021)</w:t>
      </w:r>
      <w:r w:rsidR="000A4C89">
        <w:t xml:space="preserve"> (emphasis added). </w:t>
      </w:r>
    </w:p>
  </w:footnote>
  <w:footnote w:id="22">
    <w:p w:rsidR="00EA63C9" w:rsidRPr="005E14C8" w:rsidP="00D635D7" w14:paraId="12BA8787" w14:textId="33C4089C">
      <w:pPr>
        <w:pStyle w:val="FootnoteText"/>
        <w:spacing w:after="120"/>
      </w:pPr>
      <w:r w:rsidRPr="005E14C8">
        <w:rPr>
          <w:rStyle w:val="FootnoteReference"/>
        </w:rPr>
        <w:footnoteRef/>
      </w:r>
      <w:r w:rsidRPr="005E14C8">
        <w:t xml:space="preserve"> </w:t>
      </w:r>
      <w:r w:rsidR="00464562">
        <w:t xml:space="preserve">Motion to Quash at 2. </w:t>
      </w:r>
    </w:p>
  </w:footnote>
  <w:footnote w:id="23">
    <w:p w:rsidR="00962F66" w:rsidRPr="005E14C8" w:rsidP="00D635D7" w14:paraId="55B28166" w14:textId="2D5EDCC8">
      <w:pPr>
        <w:pStyle w:val="FootnoteText"/>
        <w:spacing w:after="120"/>
      </w:pPr>
      <w:r w:rsidRPr="005E14C8">
        <w:rPr>
          <w:rStyle w:val="FootnoteReference"/>
        </w:rPr>
        <w:footnoteRef/>
      </w:r>
      <w:r w:rsidRPr="005E14C8">
        <w:t xml:space="preserve"> Ohio Adm.Code 4901-1-21(</w:t>
      </w:r>
      <w:r w:rsidRPr="005E14C8" w:rsidR="002814B4">
        <w:t>A</w:t>
      </w:r>
      <w:r w:rsidRPr="005E14C8">
        <w:t>).</w:t>
      </w:r>
    </w:p>
  </w:footnote>
  <w:footnote w:id="24">
    <w:p w:rsidR="00851F0C" w:rsidRPr="005E14C8" w:rsidP="00D635D7" w14:paraId="4FD2BE78" w14:textId="70BBB4A9">
      <w:pPr>
        <w:spacing w:after="120"/>
      </w:pPr>
      <w:r w:rsidRPr="005E14C8">
        <w:rPr>
          <w:rStyle w:val="FootnoteReference"/>
          <w:sz w:val="20"/>
          <w:szCs w:val="20"/>
        </w:rPr>
        <w:footnoteRef/>
      </w:r>
      <w:r w:rsidRPr="005E14C8">
        <w:rPr>
          <w:sz w:val="20"/>
          <w:szCs w:val="20"/>
        </w:rPr>
        <w:t xml:space="preserve"> </w:t>
      </w:r>
      <w:r w:rsidRPr="00A7467D" w:rsidR="005E14C8">
        <w:rPr>
          <w:i/>
          <w:iCs/>
          <w:sz w:val="20"/>
          <w:szCs w:val="20"/>
        </w:rPr>
        <w:t>See</w:t>
      </w:r>
      <w:r w:rsidRPr="005E14C8" w:rsidR="005E14C8">
        <w:rPr>
          <w:i/>
          <w:sz w:val="20"/>
          <w:szCs w:val="20"/>
        </w:rPr>
        <w:t xml:space="preserve"> State ex rel. Colvin v. Brunner</w:t>
      </w:r>
      <w:r w:rsidRPr="005E14C8" w:rsidR="005E14C8">
        <w:rPr>
          <w:sz w:val="20"/>
          <w:szCs w:val="20"/>
        </w:rPr>
        <w:t xml:space="preserve">, 120 Ohio St.3d 110, 2008-Ohio-5041, 896 N.E.2d 979, ¶ 45 (2008) (“we cannot generally add a requirement that does not exist in the Constitution or a statute”); </w:t>
      </w:r>
      <w:r w:rsidRPr="005E14C8" w:rsidR="005E14C8">
        <w:rPr>
          <w:i/>
          <w:sz w:val="20"/>
          <w:szCs w:val="20"/>
        </w:rPr>
        <w:t>Wachendorf v. Shaver</w:t>
      </w:r>
      <w:r w:rsidRPr="005E14C8" w:rsidR="005E14C8">
        <w:rPr>
          <w:sz w:val="20"/>
          <w:szCs w:val="20"/>
        </w:rPr>
        <w:t xml:space="preserve">, 149 Ohio St. 231, 237, 78 N.E.2d 370, 374 (1948) (“it is a general rule that courts, in the interpretation of a statute, may not take, strike or read anything out of a statute, or delete, subtract or omit anything therefrom.”). </w:t>
      </w:r>
    </w:p>
  </w:footnote>
  <w:footnote w:id="25">
    <w:p w:rsidR="00C3438F" w:rsidRPr="00C3438F" w:rsidP="00D635D7" w14:paraId="4A314203" w14:textId="12874AA1">
      <w:pPr>
        <w:pStyle w:val="FootnoteText"/>
        <w:spacing w:after="120"/>
      </w:pPr>
      <w:r>
        <w:rPr>
          <w:rStyle w:val="FootnoteReference"/>
        </w:rPr>
        <w:footnoteRef/>
      </w:r>
      <w:r w:rsidR="00D635D7">
        <w:t xml:space="preserve"> </w:t>
      </w:r>
      <w:r w:rsidRPr="003E032F">
        <w:rPr>
          <w:i/>
          <w:iCs/>
        </w:rPr>
        <w:t>See, e.g., In the Matter of the Commission’s Investigation into PALMco Power OH, LLC DBA Indra Energy and PALMco Energy OH, LLC DBA Indra Energy’s Compliance with the Ohio Administrative Code and Potential Remedial Actions for Non-Compliance</w:t>
      </w:r>
      <w:r w:rsidRPr="003E032F">
        <w:t>, Case No. 19-2153-GE-COI Entry at ¶ 15 (Mar</w:t>
      </w:r>
      <w:r w:rsidR="008A1AFF">
        <w:t>.</w:t>
      </w:r>
      <w:r w:rsidRPr="003E032F">
        <w:t xml:space="preserve"> 9, 2020) (scheduling a discovery conference in a Commission investigation prior to granting any stakeholder intervention or determining that a hearing would be held); </w:t>
      </w:r>
      <w:r w:rsidRPr="003E032F">
        <w:rPr>
          <w:i/>
          <w:iCs/>
        </w:rPr>
        <w:t>In the Matter of the Application of Verde Energy USA Ohio, LLC for Certification as a Competitive Retail Electric Service Supplier</w:t>
      </w:r>
      <w:r w:rsidRPr="003E032F">
        <w:t>, Case Nos. 11-5886-EL-CRS, et al., Entry at ¶ 11 (Mar</w:t>
      </w:r>
      <w:r w:rsidR="008A1AFF">
        <w:t>.</w:t>
      </w:r>
      <w:r w:rsidRPr="003E032F">
        <w:t xml:space="preserve"> 3, 2020) (establishing a deadline to respond to discovery requests in a Commission investigation before granting any stakeholder intervention or determining that a hearing would be held).</w:t>
      </w:r>
    </w:p>
  </w:footnote>
  <w:footnote w:id="26">
    <w:p w:rsidR="00340172" w:rsidP="00D635D7" w14:paraId="2E7264A0" w14:textId="0C4CF2D5">
      <w:pPr>
        <w:pStyle w:val="FootnoteText"/>
        <w:spacing w:after="120"/>
      </w:pPr>
      <w:r w:rsidRPr="005E14C8">
        <w:rPr>
          <w:rStyle w:val="FootnoteReference"/>
        </w:rPr>
        <w:footnoteRef/>
      </w:r>
      <w:r w:rsidRPr="005E14C8">
        <w:t xml:space="preserve"> </w:t>
      </w:r>
      <w:r w:rsidRPr="005E14C8" w:rsidR="007F1AE0">
        <w:t>Motion to Quash at 2.</w:t>
      </w:r>
    </w:p>
  </w:footnote>
  <w:footnote w:id="27">
    <w:p w:rsidR="00D03D31" w:rsidRPr="006B6925" w:rsidP="00D635D7" w14:paraId="6AA4F63A" w14:textId="4B984B93">
      <w:pPr>
        <w:pStyle w:val="ListParagraph"/>
        <w:spacing w:after="120" w:line="240" w:lineRule="auto"/>
        <w:ind w:left="0"/>
        <w:contextualSpacing w:val="0"/>
        <w:rPr>
          <w:rFonts w:ascii="Times New Roman" w:hAnsi="Times New Roman" w:eastAsiaTheme="minorHAnsi"/>
          <w:color w:val="2E2E2E"/>
          <w:sz w:val="20"/>
          <w:szCs w:val="20"/>
          <w:u w:color="2E2E2E"/>
        </w:rPr>
      </w:pPr>
      <w:r w:rsidRPr="00F45046">
        <w:rPr>
          <w:rStyle w:val="FootnoteReference"/>
          <w:rFonts w:ascii="Times New Roman" w:hAnsi="Times New Roman"/>
          <w:sz w:val="20"/>
          <w:szCs w:val="20"/>
        </w:rPr>
        <w:footnoteRef/>
      </w:r>
      <w:r w:rsidRPr="00F45046">
        <w:rPr>
          <w:rFonts w:ascii="Times New Roman" w:hAnsi="Times New Roman"/>
          <w:sz w:val="20"/>
          <w:szCs w:val="20"/>
        </w:rPr>
        <w:t xml:space="preserve"> </w:t>
      </w:r>
      <w:r w:rsidRPr="00E10FA6">
        <w:rPr>
          <w:rFonts w:ascii="Times New Roman" w:hAnsi="Times New Roman"/>
          <w:i/>
          <w:sz w:val="20"/>
          <w:szCs w:val="20"/>
        </w:rPr>
        <w:t>See, e.g.</w:t>
      </w:r>
      <w:r>
        <w:rPr>
          <w:rFonts w:ascii="Times New Roman" w:hAnsi="Times New Roman"/>
          <w:sz w:val="20"/>
          <w:szCs w:val="20"/>
        </w:rPr>
        <w:t>,</w:t>
      </w:r>
      <w:r w:rsidRPr="00F45046">
        <w:rPr>
          <w:rFonts w:ascii="Times New Roman" w:hAnsi="Times New Roman"/>
          <w:sz w:val="20"/>
          <w:szCs w:val="20"/>
        </w:rPr>
        <w:t xml:space="preserve"> </w:t>
      </w:r>
      <w:r w:rsidRPr="00F45046">
        <w:rPr>
          <w:rFonts w:ascii="Times New Roman" w:hAnsi="Times New Roman" w:eastAsiaTheme="minorHAnsi"/>
          <w:i/>
          <w:color w:val="2E2E2E"/>
          <w:sz w:val="20"/>
          <w:szCs w:val="20"/>
        </w:rPr>
        <w:t>In the Matter of the Application of the Ohio Edison Company for Authority to Change Certain of its Filed Schedules Fixing Rates and Charges for Electric Service</w:t>
      </w:r>
      <w:r w:rsidRPr="00F45046">
        <w:rPr>
          <w:rFonts w:ascii="Times New Roman" w:hAnsi="Times New Roman" w:eastAsiaTheme="minorHAnsi"/>
          <w:color w:val="2E2E2E"/>
          <w:sz w:val="20"/>
          <w:szCs w:val="20"/>
        </w:rPr>
        <w:t xml:space="preserve">, Case No. 77-553-EL-AIR, 1977 WL 424255, Entry at </w:t>
      </w:r>
      <w:r w:rsidRPr="001E4D30">
        <w:rPr>
          <w:rFonts w:ascii="Times New Roman" w:hAnsi="Times New Roman"/>
          <w:color w:val="111111"/>
          <w:sz w:val="20"/>
          <w:szCs w:val="20"/>
          <w:shd w:val="clear" w:color="auto" w:fill="FFFFFF"/>
        </w:rPr>
        <w:t xml:space="preserve">¶¶ </w:t>
      </w:r>
      <w:r w:rsidRPr="00F45046">
        <w:rPr>
          <w:rFonts w:ascii="Times New Roman" w:hAnsi="Times New Roman" w:eastAsiaTheme="minorHAnsi"/>
          <w:color w:val="2E2E2E"/>
          <w:sz w:val="20"/>
          <w:szCs w:val="20"/>
        </w:rPr>
        <w:t>12 -13</w:t>
      </w:r>
      <w:r>
        <w:rPr>
          <w:rFonts w:ascii="Times New Roman" w:hAnsi="Times New Roman" w:eastAsiaTheme="minorHAnsi"/>
          <w:color w:val="2E2E2E"/>
          <w:sz w:val="20"/>
          <w:szCs w:val="20"/>
        </w:rPr>
        <w:t xml:space="preserve"> </w:t>
      </w:r>
      <w:r w:rsidRPr="00F45046">
        <w:rPr>
          <w:rFonts w:ascii="Times New Roman" w:hAnsi="Times New Roman" w:eastAsiaTheme="minorHAnsi"/>
          <w:color w:val="2E2E2E"/>
          <w:sz w:val="20"/>
          <w:szCs w:val="20"/>
        </w:rPr>
        <w:t>(Dec</w:t>
      </w:r>
      <w:r w:rsidR="008A1AFF">
        <w:rPr>
          <w:rFonts w:ascii="Times New Roman" w:hAnsi="Times New Roman" w:eastAsiaTheme="minorHAnsi"/>
          <w:color w:val="2E2E2E"/>
          <w:sz w:val="20"/>
          <w:szCs w:val="20"/>
        </w:rPr>
        <w:t>.</w:t>
      </w:r>
      <w:r w:rsidRPr="00F45046">
        <w:rPr>
          <w:rFonts w:ascii="Times New Roman" w:hAnsi="Times New Roman" w:eastAsiaTheme="minorHAnsi"/>
          <w:color w:val="2E2E2E"/>
          <w:sz w:val="20"/>
          <w:szCs w:val="20"/>
        </w:rPr>
        <w:t xml:space="preserve"> 7, 1977)</w:t>
      </w:r>
      <w:r w:rsidR="00D635D7">
        <w:rPr>
          <w:rFonts w:ascii="Times New Roman" w:hAnsi="Times New Roman" w:eastAsiaTheme="minorHAnsi"/>
          <w:color w:val="2E2E2E"/>
          <w:sz w:val="20"/>
          <w:szCs w:val="20"/>
        </w:rPr>
        <w:t xml:space="preserve"> </w:t>
      </w:r>
      <w:r w:rsidR="00A25472">
        <w:rPr>
          <w:rFonts w:ascii="Times New Roman" w:hAnsi="Times New Roman" w:eastAsiaTheme="minorHAnsi"/>
          <w:color w:val="2E2E2E"/>
          <w:sz w:val="20"/>
          <w:szCs w:val="20"/>
        </w:rPr>
        <w:t>(denying a motion for protective o</w:t>
      </w:r>
      <w:r w:rsidRPr="00F45046">
        <w:rPr>
          <w:rFonts w:ascii="Times New Roman" w:hAnsi="Times New Roman" w:eastAsiaTheme="minorHAnsi"/>
          <w:color w:val="2E2E2E"/>
          <w:sz w:val="20"/>
          <w:szCs w:val="20"/>
        </w:rPr>
        <w:t xml:space="preserve">rder against the use of depositions because movant failed to demonstrate bad faith of </w:t>
      </w:r>
      <w:r>
        <w:rPr>
          <w:rFonts w:ascii="Times New Roman" w:hAnsi="Times New Roman" w:eastAsiaTheme="minorHAnsi"/>
          <w:color w:val="2E2E2E"/>
          <w:sz w:val="20"/>
          <w:szCs w:val="20"/>
        </w:rPr>
        <w:t>the deposing parties and the PUCO</w:t>
      </w:r>
      <w:r w:rsidRPr="00F45046">
        <w:rPr>
          <w:rFonts w:ascii="Times New Roman" w:hAnsi="Times New Roman" w:eastAsiaTheme="minorHAnsi"/>
          <w:color w:val="2E2E2E"/>
          <w:sz w:val="20"/>
          <w:szCs w:val="20"/>
        </w:rPr>
        <w:t xml:space="preserve"> determined counsel for participating parties would be aware </w:t>
      </w:r>
      <w:r>
        <w:rPr>
          <w:rFonts w:ascii="Times New Roman" w:hAnsi="Times New Roman" w:eastAsiaTheme="minorHAnsi"/>
          <w:color w:val="2E2E2E"/>
          <w:sz w:val="20"/>
          <w:szCs w:val="20"/>
        </w:rPr>
        <w:t xml:space="preserve">of </w:t>
      </w:r>
      <w:r w:rsidRPr="00F45046">
        <w:rPr>
          <w:rFonts w:ascii="Times New Roman" w:hAnsi="Times New Roman" w:eastAsiaTheme="minorHAnsi"/>
          <w:color w:val="2E2E2E"/>
          <w:sz w:val="20"/>
          <w:szCs w:val="20"/>
        </w:rPr>
        <w:t>and capable of exercising their righ</w:t>
      </w:r>
      <w:r w:rsidRPr="00283EBB">
        <w:rPr>
          <w:rFonts w:ascii="Times New Roman" w:hAnsi="Times New Roman" w:eastAsiaTheme="minorHAnsi"/>
          <w:color w:val="2E2E2E"/>
          <w:sz w:val="20"/>
          <w:szCs w:val="20"/>
        </w:rPr>
        <w:t>ts should any abuse of the discovery process occur in a deposition).</w:t>
      </w:r>
      <w:r>
        <w:rPr>
          <w:rFonts w:ascii="Times New Roman" w:hAnsi="Times New Roman" w:eastAsiaTheme="minorHAnsi"/>
          <w:color w:val="2E2E2E"/>
          <w:sz w:val="20"/>
          <w:szCs w:val="20"/>
        </w:rPr>
        <w:t xml:space="preserve"> </w:t>
      </w:r>
    </w:p>
  </w:footnote>
  <w:footnote w:id="28">
    <w:p w:rsidR="009F1308" w:rsidP="00D635D7" w14:paraId="77A46939" w14:textId="5455A48E">
      <w:pPr>
        <w:pStyle w:val="FootnoteText"/>
        <w:spacing w:after="120"/>
      </w:pPr>
      <w:r>
        <w:rPr>
          <w:rStyle w:val="FootnoteReference"/>
        </w:rPr>
        <w:footnoteRef/>
      </w:r>
      <w:r>
        <w:t xml:space="preserve"> Ohio Adm.Code 4901-1-16(A).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925DDE"/>
    <w:multiLevelType w:val="hybridMultilevel"/>
    <w:tmpl w:val="3F62E11E"/>
    <w:lvl w:ilvl="0">
      <w:start w:val="1"/>
      <w:numFmt w:val="decimal"/>
      <w:lvlText w:val="%1."/>
      <w:lvlJc w:val="left"/>
      <w:pPr>
        <w:ind w:left="1080" w:hanging="360"/>
      </w:pPr>
      <w:rPr>
        <w:rFonts w:hint="default"/>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87624A9"/>
    <w:multiLevelType w:val="hybridMultilevel"/>
    <w:tmpl w:val="52667206"/>
    <w:lvl w:ilvl="0">
      <w:start w:val="3"/>
      <w:numFmt w:val="upp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F27C62"/>
    <w:multiLevelType w:val="hybridMultilevel"/>
    <w:tmpl w:val="E1DC507C"/>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5C1F46"/>
    <w:multiLevelType w:val="hybridMultilevel"/>
    <w:tmpl w:val="25AA32D8"/>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53F7930"/>
    <w:multiLevelType w:val="hybridMultilevel"/>
    <w:tmpl w:val="A8206DA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A8E7E0C"/>
    <w:multiLevelType w:val="hybridMultilevel"/>
    <w:tmpl w:val="65305CD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EB41B55"/>
    <w:multiLevelType w:val="hybridMultilevel"/>
    <w:tmpl w:val="81AC4B42"/>
    <w:lvl w:ilvl="0">
      <w:start w:val="1"/>
      <w:numFmt w:val="upperRoman"/>
      <w:lvlText w:val="%1."/>
      <w:lvlJc w:val="left"/>
      <w:pPr>
        <w:ind w:left="1080" w:hanging="720"/>
      </w:pPr>
      <w:rPr>
        <w:rFonts w:ascii="Times New Roman" w:hAnsi="Times New Roman" w:cs="Times New Roman" w:hint="default"/>
        <w:b/>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1015AE4"/>
    <w:multiLevelType w:val="hybridMultilevel"/>
    <w:tmpl w:val="3D0C7E22"/>
    <w:lvl w:ilvl="0">
      <w:start w:val="2"/>
      <w:numFmt w:val="upperLetter"/>
      <w:lvlText w:val="%1."/>
      <w:lvlJc w:val="left"/>
      <w:pPr>
        <w:ind w:left="1440" w:hanging="360"/>
      </w:pPr>
      <w:rPr>
        <w:rFonts w:hint="default"/>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5D2E6C5F"/>
    <w:multiLevelType w:val="hybridMultilevel"/>
    <w:tmpl w:val="F378ED6C"/>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392037"/>
    <w:multiLevelType w:val="hybridMultilevel"/>
    <w:tmpl w:val="7CA2F626"/>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7B8300C"/>
    <w:multiLevelType w:val="hybridMultilevel"/>
    <w:tmpl w:val="37C860A0"/>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3"/>
  </w:num>
  <w:num w:numId="5">
    <w:abstractNumId w:val="7"/>
  </w:num>
  <w:num w:numId="6">
    <w:abstractNumId w:val="10"/>
  </w:num>
  <w:num w:numId="7">
    <w:abstractNumId w:val="8"/>
  </w:num>
  <w:num w:numId="8">
    <w:abstractNumId w:val="1"/>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BD"/>
    <w:rsid w:val="00001F07"/>
    <w:rsid w:val="0000342E"/>
    <w:rsid w:val="00014761"/>
    <w:rsid w:val="00015EFB"/>
    <w:rsid w:val="00052AC7"/>
    <w:rsid w:val="00060363"/>
    <w:rsid w:val="00063DCD"/>
    <w:rsid w:val="00071637"/>
    <w:rsid w:val="0007187C"/>
    <w:rsid w:val="000738AD"/>
    <w:rsid w:val="00075138"/>
    <w:rsid w:val="00076046"/>
    <w:rsid w:val="0009154E"/>
    <w:rsid w:val="000A4C89"/>
    <w:rsid w:val="000B4C01"/>
    <w:rsid w:val="000C3C0D"/>
    <w:rsid w:val="000C59E9"/>
    <w:rsid w:val="000D1147"/>
    <w:rsid w:val="000D4F3D"/>
    <w:rsid w:val="001029AE"/>
    <w:rsid w:val="00104B08"/>
    <w:rsid w:val="00107D26"/>
    <w:rsid w:val="001133BD"/>
    <w:rsid w:val="00156316"/>
    <w:rsid w:val="0016056F"/>
    <w:rsid w:val="00165C52"/>
    <w:rsid w:val="00171078"/>
    <w:rsid w:val="00172817"/>
    <w:rsid w:val="00173336"/>
    <w:rsid w:val="001841F6"/>
    <w:rsid w:val="00197B02"/>
    <w:rsid w:val="001A0019"/>
    <w:rsid w:val="001B72A7"/>
    <w:rsid w:val="001D08AB"/>
    <w:rsid w:val="001E4D30"/>
    <w:rsid w:val="002070D9"/>
    <w:rsid w:val="00207593"/>
    <w:rsid w:val="0021094A"/>
    <w:rsid w:val="00227910"/>
    <w:rsid w:val="002413D0"/>
    <w:rsid w:val="002604A3"/>
    <w:rsid w:val="00262B6D"/>
    <w:rsid w:val="002814B4"/>
    <w:rsid w:val="00283EBB"/>
    <w:rsid w:val="0029479F"/>
    <w:rsid w:val="00297E12"/>
    <w:rsid w:val="002A245D"/>
    <w:rsid w:val="002A5D19"/>
    <w:rsid w:val="002B0910"/>
    <w:rsid w:val="002B737C"/>
    <w:rsid w:val="002D220F"/>
    <w:rsid w:val="002D68FB"/>
    <w:rsid w:val="002E75C1"/>
    <w:rsid w:val="002F0C0C"/>
    <w:rsid w:val="00304846"/>
    <w:rsid w:val="00321599"/>
    <w:rsid w:val="0032310C"/>
    <w:rsid w:val="00327386"/>
    <w:rsid w:val="0033189A"/>
    <w:rsid w:val="00340172"/>
    <w:rsid w:val="0034062C"/>
    <w:rsid w:val="00341738"/>
    <w:rsid w:val="0034432A"/>
    <w:rsid w:val="003548AC"/>
    <w:rsid w:val="003673B3"/>
    <w:rsid w:val="003737CD"/>
    <w:rsid w:val="0038194E"/>
    <w:rsid w:val="003909E0"/>
    <w:rsid w:val="003A0071"/>
    <w:rsid w:val="003A3B20"/>
    <w:rsid w:val="003A4557"/>
    <w:rsid w:val="003B2E7B"/>
    <w:rsid w:val="003D0D32"/>
    <w:rsid w:val="003D34A7"/>
    <w:rsid w:val="003D616F"/>
    <w:rsid w:val="003D6533"/>
    <w:rsid w:val="003E032F"/>
    <w:rsid w:val="003E75B9"/>
    <w:rsid w:val="003F40AF"/>
    <w:rsid w:val="003F5D99"/>
    <w:rsid w:val="003F68AF"/>
    <w:rsid w:val="00401173"/>
    <w:rsid w:val="00404781"/>
    <w:rsid w:val="00411224"/>
    <w:rsid w:val="0042424F"/>
    <w:rsid w:val="00434856"/>
    <w:rsid w:val="0044451A"/>
    <w:rsid w:val="004502DE"/>
    <w:rsid w:val="004552D3"/>
    <w:rsid w:val="00455526"/>
    <w:rsid w:val="00455FCC"/>
    <w:rsid w:val="00464562"/>
    <w:rsid w:val="00471452"/>
    <w:rsid w:val="00475AEB"/>
    <w:rsid w:val="004A484E"/>
    <w:rsid w:val="004A4F2A"/>
    <w:rsid w:val="004B036D"/>
    <w:rsid w:val="004B4606"/>
    <w:rsid w:val="004C3EBD"/>
    <w:rsid w:val="004D00EC"/>
    <w:rsid w:val="004D06C5"/>
    <w:rsid w:val="004D27BD"/>
    <w:rsid w:val="004D308F"/>
    <w:rsid w:val="004D3242"/>
    <w:rsid w:val="004D4140"/>
    <w:rsid w:val="004D5214"/>
    <w:rsid w:val="004D6B22"/>
    <w:rsid w:val="004E6992"/>
    <w:rsid w:val="004F5711"/>
    <w:rsid w:val="004F5D17"/>
    <w:rsid w:val="005206E8"/>
    <w:rsid w:val="00543812"/>
    <w:rsid w:val="00556DD2"/>
    <w:rsid w:val="00571F13"/>
    <w:rsid w:val="00574250"/>
    <w:rsid w:val="00574F2B"/>
    <w:rsid w:val="0057602B"/>
    <w:rsid w:val="005938B9"/>
    <w:rsid w:val="005B1312"/>
    <w:rsid w:val="005B7284"/>
    <w:rsid w:val="005C334A"/>
    <w:rsid w:val="005D0D6B"/>
    <w:rsid w:val="005D29BE"/>
    <w:rsid w:val="005E14C8"/>
    <w:rsid w:val="0060704C"/>
    <w:rsid w:val="006105B0"/>
    <w:rsid w:val="00612465"/>
    <w:rsid w:val="00625CCC"/>
    <w:rsid w:val="00626757"/>
    <w:rsid w:val="00633E90"/>
    <w:rsid w:val="006421F6"/>
    <w:rsid w:val="00664158"/>
    <w:rsid w:val="00695A86"/>
    <w:rsid w:val="006A3823"/>
    <w:rsid w:val="006B6925"/>
    <w:rsid w:val="006D0C71"/>
    <w:rsid w:val="007254B9"/>
    <w:rsid w:val="0072786A"/>
    <w:rsid w:val="00740E56"/>
    <w:rsid w:val="007430D5"/>
    <w:rsid w:val="00752562"/>
    <w:rsid w:val="007534BE"/>
    <w:rsid w:val="007671AE"/>
    <w:rsid w:val="00771090"/>
    <w:rsid w:val="00790FB6"/>
    <w:rsid w:val="007A5995"/>
    <w:rsid w:val="007B0AF4"/>
    <w:rsid w:val="007B478B"/>
    <w:rsid w:val="007B7A1B"/>
    <w:rsid w:val="007C7F9C"/>
    <w:rsid w:val="007D4AA0"/>
    <w:rsid w:val="007E0020"/>
    <w:rsid w:val="007E14F5"/>
    <w:rsid w:val="007F1AE0"/>
    <w:rsid w:val="00810B41"/>
    <w:rsid w:val="00843F8F"/>
    <w:rsid w:val="00851F0C"/>
    <w:rsid w:val="008530AE"/>
    <w:rsid w:val="00855ADD"/>
    <w:rsid w:val="00863BCC"/>
    <w:rsid w:val="00866FA5"/>
    <w:rsid w:val="00891FC7"/>
    <w:rsid w:val="0089734B"/>
    <w:rsid w:val="008A00C3"/>
    <w:rsid w:val="008A1AFF"/>
    <w:rsid w:val="008A5127"/>
    <w:rsid w:val="008B611F"/>
    <w:rsid w:val="008C0223"/>
    <w:rsid w:val="008C64DB"/>
    <w:rsid w:val="008D0E1C"/>
    <w:rsid w:val="008D2E9D"/>
    <w:rsid w:val="008D5AD4"/>
    <w:rsid w:val="008E18F0"/>
    <w:rsid w:val="008E59B7"/>
    <w:rsid w:val="009005BC"/>
    <w:rsid w:val="00905A79"/>
    <w:rsid w:val="00921D10"/>
    <w:rsid w:val="00935273"/>
    <w:rsid w:val="00935365"/>
    <w:rsid w:val="00943907"/>
    <w:rsid w:val="00962F66"/>
    <w:rsid w:val="0097291A"/>
    <w:rsid w:val="009837AD"/>
    <w:rsid w:val="00997D58"/>
    <w:rsid w:val="009B68A1"/>
    <w:rsid w:val="009D525E"/>
    <w:rsid w:val="009E38CE"/>
    <w:rsid w:val="009F1308"/>
    <w:rsid w:val="009F586B"/>
    <w:rsid w:val="00A03A81"/>
    <w:rsid w:val="00A046FB"/>
    <w:rsid w:val="00A04BAC"/>
    <w:rsid w:val="00A24347"/>
    <w:rsid w:val="00A25472"/>
    <w:rsid w:val="00A2609B"/>
    <w:rsid w:val="00A2728B"/>
    <w:rsid w:val="00A35A63"/>
    <w:rsid w:val="00A529DB"/>
    <w:rsid w:val="00A6176B"/>
    <w:rsid w:val="00A73A29"/>
    <w:rsid w:val="00A7467D"/>
    <w:rsid w:val="00A76371"/>
    <w:rsid w:val="00A772D4"/>
    <w:rsid w:val="00A845D4"/>
    <w:rsid w:val="00A9182A"/>
    <w:rsid w:val="00A929A6"/>
    <w:rsid w:val="00A95FDA"/>
    <w:rsid w:val="00A96B6E"/>
    <w:rsid w:val="00AA3E68"/>
    <w:rsid w:val="00AB0107"/>
    <w:rsid w:val="00AB21C3"/>
    <w:rsid w:val="00AB5AAB"/>
    <w:rsid w:val="00AC4A77"/>
    <w:rsid w:val="00AD1D93"/>
    <w:rsid w:val="00AD7B18"/>
    <w:rsid w:val="00AE0EB5"/>
    <w:rsid w:val="00AE618E"/>
    <w:rsid w:val="00AF356E"/>
    <w:rsid w:val="00B0075A"/>
    <w:rsid w:val="00B14BED"/>
    <w:rsid w:val="00B30656"/>
    <w:rsid w:val="00B31EE1"/>
    <w:rsid w:val="00B46C96"/>
    <w:rsid w:val="00B55306"/>
    <w:rsid w:val="00B6417E"/>
    <w:rsid w:val="00B86362"/>
    <w:rsid w:val="00B902BC"/>
    <w:rsid w:val="00B903BE"/>
    <w:rsid w:val="00BB7FFC"/>
    <w:rsid w:val="00BC4FEC"/>
    <w:rsid w:val="00BD1AA7"/>
    <w:rsid w:val="00BF03A0"/>
    <w:rsid w:val="00BF4A54"/>
    <w:rsid w:val="00C21F22"/>
    <w:rsid w:val="00C3438F"/>
    <w:rsid w:val="00C40919"/>
    <w:rsid w:val="00C41B48"/>
    <w:rsid w:val="00C43258"/>
    <w:rsid w:val="00C47E90"/>
    <w:rsid w:val="00C6013C"/>
    <w:rsid w:val="00C63E0C"/>
    <w:rsid w:val="00C675E3"/>
    <w:rsid w:val="00C71C77"/>
    <w:rsid w:val="00C82B68"/>
    <w:rsid w:val="00C92BD4"/>
    <w:rsid w:val="00C95E02"/>
    <w:rsid w:val="00CC2486"/>
    <w:rsid w:val="00CC249A"/>
    <w:rsid w:val="00CE567D"/>
    <w:rsid w:val="00D03D31"/>
    <w:rsid w:val="00D26F40"/>
    <w:rsid w:val="00D302F7"/>
    <w:rsid w:val="00D41D2A"/>
    <w:rsid w:val="00D42F51"/>
    <w:rsid w:val="00D433AE"/>
    <w:rsid w:val="00D43D01"/>
    <w:rsid w:val="00D509BD"/>
    <w:rsid w:val="00D635D7"/>
    <w:rsid w:val="00D746FD"/>
    <w:rsid w:val="00D87F92"/>
    <w:rsid w:val="00D92D96"/>
    <w:rsid w:val="00DA0CCF"/>
    <w:rsid w:val="00DA75FB"/>
    <w:rsid w:val="00DA7968"/>
    <w:rsid w:val="00DC2B31"/>
    <w:rsid w:val="00DC4EDD"/>
    <w:rsid w:val="00DD0667"/>
    <w:rsid w:val="00DD303B"/>
    <w:rsid w:val="00DE5D79"/>
    <w:rsid w:val="00DE715F"/>
    <w:rsid w:val="00E10FA6"/>
    <w:rsid w:val="00E14882"/>
    <w:rsid w:val="00E20C06"/>
    <w:rsid w:val="00E33531"/>
    <w:rsid w:val="00E367DF"/>
    <w:rsid w:val="00E47094"/>
    <w:rsid w:val="00E678C2"/>
    <w:rsid w:val="00E728A6"/>
    <w:rsid w:val="00E72EA2"/>
    <w:rsid w:val="00E731DA"/>
    <w:rsid w:val="00E741B1"/>
    <w:rsid w:val="00E94DF9"/>
    <w:rsid w:val="00EA043E"/>
    <w:rsid w:val="00EA438E"/>
    <w:rsid w:val="00EA63C9"/>
    <w:rsid w:val="00EB08AA"/>
    <w:rsid w:val="00EC0DDB"/>
    <w:rsid w:val="00EC3DE9"/>
    <w:rsid w:val="00ED3B21"/>
    <w:rsid w:val="00F17514"/>
    <w:rsid w:val="00F24CEA"/>
    <w:rsid w:val="00F27379"/>
    <w:rsid w:val="00F339FB"/>
    <w:rsid w:val="00F42FAA"/>
    <w:rsid w:val="00F440EF"/>
    <w:rsid w:val="00F45046"/>
    <w:rsid w:val="00F56B4D"/>
    <w:rsid w:val="00F7571F"/>
    <w:rsid w:val="00F76ADA"/>
    <w:rsid w:val="00F837BB"/>
    <w:rsid w:val="00F8452F"/>
    <w:rsid w:val="00F868AD"/>
    <w:rsid w:val="00F95DDE"/>
    <w:rsid w:val="00FC7AAA"/>
    <w:rsid w:val="00FF41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1F6"/>
  </w:style>
  <w:style w:type="paragraph" w:styleId="Heading1">
    <w:name w:val="heading 1"/>
    <w:basedOn w:val="Normal"/>
    <w:next w:val="Normal"/>
    <w:link w:val="Heading1Char"/>
    <w:uiPriority w:val="9"/>
    <w:qFormat/>
    <w:rsid w:val="00BF03A0"/>
    <w:pPr>
      <w:keepNext/>
      <w:keepLines/>
      <w:spacing w:after="240"/>
      <w:ind w:left="720" w:hanging="720"/>
      <w:outlineLvl w:val="0"/>
    </w:pPr>
    <w:rPr>
      <w:rFonts w:ascii="Times New Roman Bold" w:hAnsi="Times New Roman Bold" w:eastAsiaTheme="majorEastAsia" w:cstheme="majorBidi"/>
      <w:b/>
      <w:color w:val="auto"/>
      <w:szCs w:val="32"/>
    </w:rPr>
  </w:style>
  <w:style w:type="paragraph" w:styleId="Heading2">
    <w:name w:val="heading 2"/>
    <w:basedOn w:val="Normal"/>
    <w:next w:val="Normal"/>
    <w:link w:val="Heading2Char"/>
    <w:uiPriority w:val="9"/>
    <w:unhideWhenUsed/>
    <w:qFormat/>
    <w:rsid w:val="00BF03A0"/>
    <w:pPr>
      <w:keepNext/>
      <w:keepLines/>
      <w:spacing w:after="240"/>
      <w:ind w:left="1440" w:hanging="720"/>
      <w:outlineLvl w:val="1"/>
    </w:pPr>
    <w:rPr>
      <w:rFonts w:ascii="Times New Roman Bold" w:hAnsi="Times New Roman Bold" w:eastAsiaTheme="majorEastAsia" w:cstheme="majorBidi"/>
      <w:b/>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076046"/>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076046"/>
    <w:rPr>
      <w:sz w:val="20"/>
      <w:szCs w:val="20"/>
    </w:rPr>
  </w:style>
  <w:style w:type="character" w:styleId="FootnoteReference">
    <w:name w:val="footnote reference"/>
    <w:basedOn w:val="DefaultParagraphFont"/>
    <w:uiPriority w:val="99"/>
    <w:semiHidden/>
    <w:unhideWhenUsed/>
    <w:rsid w:val="00076046"/>
    <w:rPr>
      <w:vertAlign w:val="superscript"/>
    </w:rPr>
  </w:style>
  <w:style w:type="paragraph" w:styleId="Header">
    <w:name w:val="header"/>
    <w:basedOn w:val="Normal"/>
    <w:link w:val="HeaderChar"/>
    <w:uiPriority w:val="99"/>
    <w:unhideWhenUsed/>
    <w:rsid w:val="00AE0EB5"/>
    <w:pPr>
      <w:tabs>
        <w:tab w:val="center" w:pos="4680"/>
        <w:tab w:val="right" w:pos="9360"/>
      </w:tabs>
    </w:pPr>
  </w:style>
  <w:style w:type="character" w:customStyle="1" w:styleId="HeaderChar">
    <w:name w:val="Header Char"/>
    <w:basedOn w:val="DefaultParagraphFont"/>
    <w:link w:val="Header"/>
    <w:uiPriority w:val="99"/>
    <w:rsid w:val="00AE0EB5"/>
  </w:style>
  <w:style w:type="paragraph" w:styleId="Footer">
    <w:name w:val="footer"/>
    <w:basedOn w:val="Normal"/>
    <w:link w:val="FooterChar"/>
    <w:uiPriority w:val="99"/>
    <w:unhideWhenUsed/>
    <w:rsid w:val="00AE0EB5"/>
    <w:pPr>
      <w:tabs>
        <w:tab w:val="center" w:pos="4680"/>
        <w:tab w:val="right" w:pos="9360"/>
      </w:tabs>
    </w:pPr>
  </w:style>
  <w:style w:type="character" w:customStyle="1" w:styleId="FooterChar">
    <w:name w:val="Footer Char"/>
    <w:basedOn w:val="DefaultParagraphFont"/>
    <w:link w:val="Footer"/>
    <w:uiPriority w:val="99"/>
    <w:rsid w:val="00AE0EB5"/>
  </w:style>
  <w:style w:type="paragraph" w:customStyle="1" w:styleId="Default">
    <w:name w:val="Default"/>
    <w:rsid w:val="00843F8F"/>
    <w:pPr>
      <w:autoSpaceDE w:val="0"/>
      <w:autoSpaceDN w:val="0"/>
      <w:adjustRightInd w:val="0"/>
    </w:pPr>
    <w:rPr>
      <w:szCs w:val="24"/>
    </w:rPr>
  </w:style>
  <w:style w:type="character" w:styleId="Hyperlink">
    <w:name w:val="Hyperlink"/>
    <w:basedOn w:val="DefaultParagraphFont"/>
    <w:uiPriority w:val="99"/>
    <w:unhideWhenUsed/>
    <w:rsid w:val="00962F66"/>
    <w:rPr>
      <w:color w:val="0000FF"/>
      <w:u w:val="single"/>
    </w:rPr>
  </w:style>
  <w:style w:type="paragraph" w:styleId="BalloonText">
    <w:name w:val="Balloon Text"/>
    <w:basedOn w:val="Normal"/>
    <w:link w:val="BalloonTextChar"/>
    <w:uiPriority w:val="99"/>
    <w:semiHidden/>
    <w:unhideWhenUsed/>
    <w:rsid w:val="004D0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EC"/>
    <w:rPr>
      <w:rFonts w:ascii="Segoe UI" w:hAnsi="Segoe UI" w:cs="Segoe UI"/>
      <w:sz w:val="18"/>
      <w:szCs w:val="18"/>
    </w:rPr>
  </w:style>
  <w:style w:type="paragraph" w:styleId="ListParagraph">
    <w:name w:val="List Paragraph"/>
    <w:basedOn w:val="Normal"/>
    <w:uiPriority w:val="34"/>
    <w:qFormat/>
    <w:rsid w:val="00612465"/>
    <w:pPr>
      <w:spacing w:after="200" w:line="276" w:lineRule="auto"/>
      <w:ind w:left="720"/>
      <w:contextualSpacing/>
    </w:pPr>
    <w:rPr>
      <w:rFonts w:ascii="Calibri" w:eastAsia="Calibri" w:hAnsi="Calibri"/>
      <w:bCs w:val="0"/>
      <w:color w:val="auto"/>
      <w:sz w:val="22"/>
      <w:szCs w:val="22"/>
    </w:rPr>
  </w:style>
  <w:style w:type="paragraph" w:styleId="Title">
    <w:name w:val="Title"/>
    <w:basedOn w:val="Normal"/>
    <w:next w:val="Normal"/>
    <w:link w:val="TitleChar"/>
    <w:uiPriority w:val="10"/>
    <w:qFormat/>
    <w:rsid w:val="00855ADD"/>
    <w:pPr>
      <w:contextualSpacing/>
      <w:jc w:val="center"/>
    </w:pPr>
    <w:rPr>
      <w:rFonts w:eastAsia="Calibri"/>
      <w:b/>
      <w:color w:val="auto"/>
      <w:szCs w:val="24"/>
    </w:rPr>
  </w:style>
  <w:style w:type="character" w:customStyle="1" w:styleId="TitleChar">
    <w:name w:val="Title Char"/>
    <w:basedOn w:val="DefaultParagraphFont"/>
    <w:link w:val="Title"/>
    <w:uiPriority w:val="10"/>
    <w:rsid w:val="00855ADD"/>
    <w:rPr>
      <w:rFonts w:eastAsia="Calibri"/>
      <w:b/>
      <w:color w:val="auto"/>
      <w:szCs w:val="24"/>
    </w:rPr>
  </w:style>
  <w:style w:type="character" w:styleId="CommentReference">
    <w:name w:val="annotation reference"/>
    <w:basedOn w:val="DefaultParagraphFont"/>
    <w:uiPriority w:val="99"/>
    <w:semiHidden/>
    <w:unhideWhenUsed/>
    <w:rsid w:val="008A5127"/>
    <w:rPr>
      <w:sz w:val="16"/>
      <w:szCs w:val="16"/>
    </w:rPr>
  </w:style>
  <w:style w:type="paragraph" w:styleId="CommentText">
    <w:name w:val="annotation text"/>
    <w:basedOn w:val="Normal"/>
    <w:link w:val="CommentTextChar"/>
    <w:unhideWhenUsed/>
    <w:rsid w:val="008A5127"/>
    <w:rPr>
      <w:sz w:val="20"/>
      <w:szCs w:val="20"/>
    </w:rPr>
  </w:style>
  <w:style w:type="character" w:customStyle="1" w:styleId="CommentTextChar">
    <w:name w:val="Comment Text Char"/>
    <w:basedOn w:val="DefaultParagraphFont"/>
    <w:link w:val="CommentText"/>
    <w:rsid w:val="008A5127"/>
    <w:rPr>
      <w:sz w:val="20"/>
      <w:szCs w:val="20"/>
    </w:rPr>
  </w:style>
  <w:style w:type="paragraph" w:styleId="CommentSubject">
    <w:name w:val="annotation subject"/>
    <w:basedOn w:val="CommentText"/>
    <w:next w:val="CommentText"/>
    <w:link w:val="CommentSubjectChar"/>
    <w:uiPriority w:val="99"/>
    <w:semiHidden/>
    <w:unhideWhenUsed/>
    <w:rsid w:val="008A5127"/>
    <w:rPr>
      <w:b/>
    </w:rPr>
  </w:style>
  <w:style w:type="character" w:customStyle="1" w:styleId="CommentSubjectChar">
    <w:name w:val="Comment Subject Char"/>
    <w:basedOn w:val="CommentTextChar"/>
    <w:link w:val="CommentSubject"/>
    <w:uiPriority w:val="99"/>
    <w:semiHidden/>
    <w:rsid w:val="008A5127"/>
    <w:rPr>
      <w:b/>
      <w:sz w:val="20"/>
      <w:szCs w:val="20"/>
    </w:rPr>
  </w:style>
  <w:style w:type="paragraph" w:styleId="BodyText">
    <w:name w:val="Body Text"/>
    <w:basedOn w:val="Normal"/>
    <w:link w:val="BodyTextChar"/>
    <w:uiPriority w:val="99"/>
    <w:rsid w:val="00001F07"/>
    <w:pPr>
      <w:tabs>
        <w:tab w:val="left" w:pos="-720"/>
      </w:tabs>
      <w:suppressAutoHyphens/>
      <w:spacing w:line="480" w:lineRule="auto"/>
      <w:jc w:val="both"/>
    </w:pPr>
    <w:rPr>
      <w:rFonts w:eastAsia="Times New Roman"/>
      <w:bCs w:val="0"/>
      <w:color w:val="auto"/>
      <w:szCs w:val="24"/>
    </w:rPr>
  </w:style>
  <w:style w:type="character" w:customStyle="1" w:styleId="BodyTextChar">
    <w:name w:val="Body Text Char"/>
    <w:basedOn w:val="DefaultParagraphFont"/>
    <w:link w:val="BodyText"/>
    <w:uiPriority w:val="99"/>
    <w:rsid w:val="00001F07"/>
    <w:rPr>
      <w:rFonts w:eastAsia="Times New Roman"/>
      <w:bCs w:val="0"/>
      <w:color w:val="auto"/>
      <w:szCs w:val="24"/>
    </w:rPr>
  </w:style>
  <w:style w:type="table" w:styleId="TableGrid">
    <w:name w:val="Table Grid"/>
    <w:basedOn w:val="TableNormal"/>
    <w:rsid w:val="00001F07"/>
    <w:rPr>
      <w:rFonts w:eastAsia="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3A0"/>
    <w:rPr>
      <w:rFonts w:ascii="Times New Roman Bold" w:hAnsi="Times New Roman Bold" w:eastAsiaTheme="majorEastAsia" w:cstheme="majorBidi"/>
      <w:b/>
      <w:color w:val="auto"/>
      <w:szCs w:val="32"/>
    </w:rPr>
  </w:style>
  <w:style w:type="character" w:customStyle="1" w:styleId="Heading2Char">
    <w:name w:val="Heading 2 Char"/>
    <w:basedOn w:val="DefaultParagraphFont"/>
    <w:link w:val="Heading2"/>
    <w:uiPriority w:val="9"/>
    <w:rsid w:val="00BF03A0"/>
    <w:rPr>
      <w:rFonts w:ascii="Times New Roman Bold" w:hAnsi="Times New Roman Bold" w:eastAsiaTheme="majorEastAsia" w:cstheme="majorBidi"/>
      <w:b/>
      <w:color w:val="auto"/>
      <w:szCs w:val="26"/>
    </w:rPr>
  </w:style>
  <w:style w:type="paragraph" w:styleId="TOC2">
    <w:name w:val="toc 2"/>
    <w:basedOn w:val="Normal"/>
    <w:next w:val="Normal"/>
    <w:autoRedefine/>
    <w:uiPriority w:val="39"/>
    <w:unhideWhenUsed/>
    <w:rsid w:val="0033189A"/>
    <w:pPr>
      <w:spacing w:after="240"/>
      <w:ind w:left="1440" w:hanging="720"/>
    </w:pPr>
  </w:style>
  <w:style w:type="paragraph" w:styleId="TOC1">
    <w:name w:val="toc 1"/>
    <w:basedOn w:val="Normal"/>
    <w:next w:val="Normal"/>
    <w:autoRedefine/>
    <w:uiPriority w:val="39"/>
    <w:unhideWhenUsed/>
    <w:rsid w:val="0033189A"/>
    <w:pPr>
      <w:tabs>
        <w:tab w:val="decimal" w:leader="dot" w:pos="9360"/>
      </w:tabs>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codes.ohio.gov/oac/4901-1-16" TargetMode="External" /><Relationship Id="rId11" Type="http://schemas.openxmlformats.org/officeDocument/2006/relationships/hyperlink" Target="mailto:kyle.kern@ohioattorneygeneral.gov" TargetMode="External" /><Relationship Id="rId12" Type="http://schemas.openxmlformats.org/officeDocument/2006/relationships/hyperlink" Target="mailto:thomas.lindgren@ohioattorneygeneral.gov" TargetMode="External" /><Relationship Id="rId13" Type="http://schemas.openxmlformats.org/officeDocument/2006/relationships/hyperlink" Target="mailto:patricia.schabo@puco.ohio.gov" TargetMode="External" /><Relationship Id="rId14" Type="http://schemas.openxmlformats.org/officeDocument/2006/relationships/hyperlink" Target="mailto:michael.williams@puco.ohio.gov" TargetMode="External" /><Relationship Id="rId15" Type="http://schemas.openxmlformats.org/officeDocument/2006/relationships/hyperlink" Target="mailto:michael.schuler@aes.com" TargetMode="External" /><Relationship Id="rId16" Type="http://schemas.openxmlformats.org/officeDocument/2006/relationships/hyperlink" Target="mailto:paul@carpenterlipps.com" TargetMode="External" /><Relationship Id="rId17" Type="http://schemas.openxmlformats.org/officeDocument/2006/relationships/hyperlink" Target="mailto:bojko@carpenterlipps.com" TargetMode="External" /><Relationship Id="rId18" Type="http://schemas.openxmlformats.org/officeDocument/2006/relationships/hyperlink" Target="mailto:donadio@carpenterlipps.com" TargetMode="External" /><Relationship Id="rId19" Type="http://schemas.openxmlformats.org/officeDocument/2006/relationships/hyperlink" Target="mailto:randall.griffin@aes.com" TargetMode="Externa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john.finniga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codes.ohio.gov/NLLXML/ohiocodesGetcode.aspx?userid=PRODSG&amp;interface=OHCODES&amp;statecd=OH&amp;codesec=4901-1-24&amp;sessionyr=2020&amp;Title=4901&amp;datatype=D&amp;noheader=0&amp;nojumpmsg=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2A9C-ADEB-49E2-B3CF-EF220079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3506</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Draft OCC-OMAEG Memo Contra;  DPL Motion to Quash (20-165-EL-RDR) (818461).DOCX</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2021-02-01T20:00:37Z</dcterms:created>
  <dcterms:modified xsi:type="dcterms:W3CDTF">2021-02-01T20:00:37Z</dcterms:modified>
</cp:coreProperties>
</file>