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E9" w:rsidRPr="002676E9" w:rsidRDefault="002676E9" w:rsidP="002676E9">
      <w:pPr>
        <w:spacing w:line="240" w:lineRule="auto"/>
        <w:ind w:firstLine="0"/>
        <w:jc w:val="center"/>
        <w:rPr>
          <w:rFonts w:eastAsia="Times New Roman" w:cs="Arial"/>
          <w:b/>
          <w:smallCaps/>
          <w:sz w:val="28"/>
        </w:rPr>
      </w:pPr>
      <w:bookmarkStart w:id="0" w:name="OLE_LINK1"/>
      <w:bookmarkStart w:id="1" w:name="OLE_LINK2"/>
      <w:r w:rsidRPr="002676E9">
        <w:rPr>
          <w:rFonts w:eastAsia="Times New Roman" w:cs="Arial"/>
          <w:b/>
          <w:smallCaps/>
          <w:sz w:val="28"/>
        </w:rPr>
        <w:t>Before</w:t>
      </w:r>
    </w:p>
    <w:p w:rsidR="002676E9" w:rsidRPr="002676E9" w:rsidRDefault="002676E9" w:rsidP="002676E9">
      <w:pPr>
        <w:spacing w:line="240" w:lineRule="auto"/>
        <w:ind w:firstLine="0"/>
        <w:jc w:val="center"/>
        <w:rPr>
          <w:rFonts w:eastAsia="Times New Roman" w:cs="Arial"/>
          <w:b/>
          <w:smallCaps/>
          <w:sz w:val="28"/>
        </w:rPr>
      </w:pPr>
      <w:r w:rsidRPr="002676E9">
        <w:rPr>
          <w:rFonts w:eastAsia="Times New Roman" w:cs="Arial"/>
          <w:b/>
          <w:smallCaps/>
          <w:sz w:val="28"/>
        </w:rPr>
        <w:t>The Public Utilities Commission of Ohio</w:t>
      </w:r>
    </w:p>
    <w:p w:rsidR="002676E9" w:rsidRPr="002676E9" w:rsidRDefault="002676E9" w:rsidP="002676E9">
      <w:pPr>
        <w:autoSpaceDE w:val="0"/>
        <w:autoSpaceDN w:val="0"/>
        <w:adjustRightInd w:val="0"/>
        <w:spacing w:line="240" w:lineRule="auto"/>
        <w:ind w:firstLine="0"/>
        <w:jc w:val="left"/>
        <w:rPr>
          <w:rFonts w:eastAsia="Calibri" w:cs="Arial"/>
        </w:rPr>
      </w:pPr>
    </w:p>
    <w:p w:rsidR="002676E9" w:rsidRDefault="00C62B71" w:rsidP="00C62B71">
      <w:pPr>
        <w:tabs>
          <w:tab w:val="left" w:pos="4680"/>
        </w:tabs>
        <w:spacing w:line="240" w:lineRule="auto"/>
        <w:ind w:firstLine="0"/>
        <w:rPr>
          <w:rFonts w:eastAsia="Calibri" w:cs="Arial"/>
        </w:rPr>
      </w:pPr>
      <w:r>
        <w:rPr>
          <w:rFonts w:eastAsia="Calibri" w:cs="Arial"/>
        </w:rPr>
        <w:t>In the Matter of the Application of Duke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Energy Ohio, Inc., for the Establishment</w:t>
      </w:r>
      <w:r>
        <w:rPr>
          <w:rFonts w:eastAsia="Calibri" w:cs="Arial"/>
        </w:rPr>
        <w:tab/>
        <w:t>)</w:t>
      </w:r>
      <w:r>
        <w:rPr>
          <w:rFonts w:eastAsia="Calibri" w:cs="Arial"/>
        </w:rPr>
        <w:tab/>
        <w:t>Case No. 12-2400-EL-UNC</w:t>
      </w:r>
    </w:p>
    <w:p w:rsidR="00C62B71" w:rsidRDefault="00C62B71" w:rsidP="00C62B71">
      <w:pPr>
        <w:tabs>
          <w:tab w:val="left" w:pos="4680"/>
        </w:tabs>
        <w:spacing w:line="240" w:lineRule="auto"/>
        <w:ind w:firstLine="0"/>
        <w:rPr>
          <w:rFonts w:eastAsia="Calibri" w:cs="Arial"/>
        </w:rPr>
      </w:pPr>
      <w:r>
        <w:rPr>
          <w:rFonts w:eastAsia="Calibri" w:cs="Arial"/>
        </w:rPr>
        <w:t>of a Charge Pursuant to Revised Code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Section 4909.18</w:t>
      </w:r>
      <w:r>
        <w:rPr>
          <w:rFonts w:eastAsia="Calibri" w:cs="Arial"/>
        </w:rPr>
        <w:tab/>
        <w:t>)</w:t>
      </w:r>
    </w:p>
    <w:p w:rsidR="00C62B71" w:rsidRDefault="00C62B71" w:rsidP="00C62B71">
      <w:pPr>
        <w:tabs>
          <w:tab w:val="left" w:pos="4680"/>
        </w:tabs>
        <w:spacing w:line="240" w:lineRule="auto"/>
        <w:ind w:firstLine="0"/>
        <w:rPr>
          <w:rFonts w:eastAsia="Calibri" w:cs="Arial"/>
        </w:rPr>
      </w:pPr>
    </w:p>
    <w:p w:rsidR="00C62B71" w:rsidRDefault="00C62B71" w:rsidP="00C62B71">
      <w:pPr>
        <w:tabs>
          <w:tab w:val="left" w:pos="4680"/>
        </w:tabs>
        <w:spacing w:line="240" w:lineRule="auto"/>
        <w:ind w:firstLine="0"/>
        <w:rPr>
          <w:rFonts w:eastAsia="Calibri" w:cs="Arial"/>
        </w:rPr>
      </w:pPr>
      <w:r>
        <w:rPr>
          <w:rFonts w:eastAsia="Calibri" w:cs="Arial"/>
        </w:rPr>
        <w:t>In the Matter of the Application of Duke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Energy Ohio, Inc., for Approval to</w:t>
      </w:r>
      <w:r>
        <w:rPr>
          <w:rFonts w:eastAsia="Calibri" w:cs="Arial"/>
        </w:rPr>
        <w:tab/>
        <w:t>)</w:t>
      </w:r>
      <w:r>
        <w:rPr>
          <w:rFonts w:eastAsia="Calibri" w:cs="Arial"/>
        </w:rPr>
        <w:tab/>
        <w:t>Case No. 12-2401-EL-AAM</w:t>
      </w:r>
    </w:p>
    <w:p w:rsidR="00C62B71" w:rsidRPr="00C62B71" w:rsidRDefault="00C62B71" w:rsidP="00C62B71">
      <w:pPr>
        <w:tabs>
          <w:tab w:val="left" w:pos="4680"/>
        </w:tabs>
        <w:spacing w:line="240" w:lineRule="auto"/>
        <w:ind w:firstLine="0"/>
        <w:rPr>
          <w:rFonts w:eastAsia="Calibri" w:cs="Arial"/>
        </w:rPr>
      </w:pPr>
      <w:r>
        <w:rPr>
          <w:rFonts w:eastAsia="Calibri" w:cs="Arial"/>
        </w:rPr>
        <w:t>Change Accounting Methods</w:t>
      </w:r>
      <w:r>
        <w:rPr>
          <w:rFonts w:eastAsia="Calibri" w:cs="Arial"/>
        </w:rPr>
        <w:tab/>
        <w:t>)</w:t>
      </w:r>
    </w:p>
    <w:p w:rsidR="002676E9" w:rsidRDefault="002676E9" w:rsidP="002676E9">
      <w:pPr>
        <w:tabs>
          <w:tab w:val="left" w:pos="5040"/>
        </w:tabs>
        <w:spacing w:line="240" w:lineRule="auto"/>
        <w:ind w:firstLine="0"/>
        <w:rPr>
          <w:rFonts w:eastAsia="Times New Roman" w:cs="Arial"/>
        </w:rPr>
      </w:pPr>
    </w:p>
    <w:p w:rsidR="00C62B71" w:rsidRDefault="00C62B71" w:rsidP="00C62B71">
      <w:pPr>
        <w:tabs>
          <w:tab w:val="left" w:pos="4680"/>
        </w:tabs>
        <w:spacing w:line="240" w:lineRule="auto"/>
        <w:ind w:firstLine="0"/>
        <w:rPr>
          <w:rFonts w:eastAsia="Times New Roman" w:cs="Arial"/>
        </w:rPr>
      </w:pPr>
      <w:r>
        <w:rPr>
          <w:rFonts w:eastAsia="Times New Roman" w:cs="Arial"/>
        </w:rPr>
        <w:t>In the Matter of the Application of Duke</w:t>
      </w:r>
      <w:r>
        <w:rPr>
          <w:rFonts w:eastAsia="Times New Roman" w:cs="Arial"/>
        </w:rPr>
        <w:tab/>
        <w:t>)</w:t>
      </w:r>
    </w:p>
    <w:p w:rsidR="00C62B71" w:rsidRDefault="00C62B71" w:rsidP="00C62B71">
      <w:pPr>
        <w:tabs>
          <w:tab w:val="left" w:pos="4680"/>
        </w:tabs>
        <w:spacing w:line="240" w:lineRule="auto"/>
        <w:ind w:firstLine="0"/>
        <w:rPr>
          <w:rFonts w:eastAsia="Times New Roman" w:cs="Arial"/>
        </w:rPr>
      </w:pPr>
      <w:r>
        <w:rPr>
          <w:rFonts w:eastAsia="Times New Roman" w:cs="Arial"/>
        </w:rPr>
        <w:t>Energy Ohio, Inc., for the Approval of a</w:t>
      </w:r>
      <w:r>
        <w:rPr>
          <w:rFonts w:eastAsia="Times New Roman" w:cs="Arial"/>
        </w:rPr>
        <w:tab/>
        <w:t>)</w:t>
      </w:r>
      <w:r>
        <w:rPr>
          <w:rFonts w:eastAsia="Times New Roman" w:cs="Arial"/>
        </w:rPr>
        <w:tab/>
        <w:t>Case No. 12-2402-EL-ATA</w:t>
      </w:r>
    </w:p>
    <w:p w:rsidR="00C62B71" w:rsidRPr="002676E9" w:rsidRDefault="00C62B71" w:rsidP="00C62B71">
      <w:pPr>
        <w:tabs>
          <w:tab w:val="left" w:pos="4680"/>
        </w:tabs>
        <w:spacing w:line="240" w:lineRule="auto"/>
        <w:ind w:firstLine="0"/>
        <w:rPr>
          <w:rFonts w:eastAsia="Times New Roman" w:cs="Arial"/>
        </w:rPr>
      </w:pPr>
      <w:r>
        <w:rPr>
          <w:rFonts w:eastAsia="Times New Roman" w:cs="Arial"/>
        </w:rPr>
        <w:t>Tariff for a New Service</w:t>
      </w:r>
      <w:r>
        <w:rPr>
          <w:rFonts w:eastAsia="Times New Roman" w:cs="Arial"/>
        </w:rPr>
        <w:tab/>
        <w:t>)</w:t>
      </w:r>
    </w:p>
    <w:p w:rsidR="002676E9" w:rsidRPr="002676E9" w:rsidRDefault="002676E9" w:rsidP="002676E9">
      <w:pPr>
        <w:spacing w:line="240" w:lineRule="auto"/>
        <w:ind w:firstLine="0"/>
        <w:jc w:val="center"/>
        <w:rPr>
          <w:rFonts w:eastAsia="Times New Roman" w:cs="Arial"/>
          <w:b/>
          <w:smallCaps/>
          <w:sz w:val="28"/>
        </w:rPr>
      </w:pPr>
      <w:r w:rsidRPr="002676E9">
        <w:rPr>
          <w:rFonts w:eastAsia="Times New Roman" w:cs="Arial"/>
          <w:b/>
          <w:smallCaps/>
          <w:sz w:val="28"/>
        </w:rPr>
        <w:t>____________________________________________________________</w:t>
      </w: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ascii="Arial Bold" w:eastAsia="Times New Roman" w:hAnsi="Arial Bold" w:cs="Arial"/>
          <w:b/>
          <w:caps/>
          <w:smallCaps/>
          <w:sz w:val="28"/>
          <w:szCs w:val="28"/>
        </w:rPr>
      </w:pPr>
      <w:r w:rsidRPr="002676E9">
        <w:rPr>
          <w:rFonts w:ascii="Arial Bold" w:hAnsi="Arial Bold"/>
          <w:b/>
          <w:caps/>
          <w:sz w:val="28"/>
          <w:szCs w:val="28"/>
        </w:rPr>
        <w:t>Notice of Additional Authority</w:t>
      </w:r>
    </w:p>
    <w:p w:rsidR="002676E9" w:rsidRPr="002676E9" w:rsidRDefault="002676E9" w:rsidP="002676E9">
      <w:pPr>
        <w:spacing w:line="240" w:lineRule="auto"/>
        <w:ind w:firstLine="0"/>
        <w:jc w:val="center"/>
        <w:rPr>
          <w:rFonts w:eastAsia="Times New Roman" w:cs="Arial"/>
          <w:b/>
          <w:smallCaps/>
          <w:sz w:val="28"/>
          <w:u w:val="single"/>
        </w:rPr>
      </w:pP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p>
    <w:bookmarkEnd w:id="0"/>
    <w:bookmarkEnd w:id="1"/>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tabs>
          <w:tab w:val="left" w:pos="4320"/>
          <w:tab w:val="right" w:pos="8640"/>
        </w:tabs>
        <w:spacing w:line="240" w:lineRule="auto"/>
        <w:ind w:left="4320" w:firstLine="0"/>
        <w:rPr>
          <w:rFonts w:eastAsia="Times New Roman" w:cs="Arial"/>
        </w:rPr>
      </w:pPr>
      <w:r w:rsidRPr="002676E9">
        <w:rPr>
          <w:rFonts w:eastAsia="Times New Roman" w:cs="Arial"/>
        </w:rPr>
        <w:t>Samuel C. Randazzo (Counsel of Record)</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Frank P. Darr</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Joseph E. Oliker</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Matthew R. Pritchard</w:t>
      </w:r>
    </w:p>
    <w:p w:rsidR="002676E9" w:rsidRPr="002676E9" w:rsidRDefault="002676E9" w:rsidP="002676E9">
      <w:pPr>
        <w:widowControl w:val="0"/>
        <w:tabs>
          <w:tab w:val="left" w:pos="4320"/>
        </w:tabs>
        <w:spacing w:line="240" w:lineRule="auto"/>
        <w:ind w:left="4320" w:firstLine="0"/>
        <w:rPr>
          <w:rFonts w:eastAsia="Times New Roman" w:cs="Arial"/>
          <w:bCs/>
          <w:smallCaps/>
        </w:rPr>
      </w:pPr>
      <w:r w:rsidRPr="002676E9">
        <w:rPr>
          <w:rFonts w:eastAsia="Times New Roman" w:cs="Arial"/>
          <w:bCs/>
          <w:smallCaps/>
        </w:rPr>
        <w:t>McNees Wallace &amp; Nurick LLC</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21 East State Street, 17</w:t>
      </w:r>
      <w:r w:rsidRPr="002676E9">
        <w:rPr>
          <w:rFonts w:eastAsia="Times New Roman" w:cs="Arial"/>
          <w:bCs/>
          <w:szCs w:val="20"/>
          <w:vertAlign w:val="superscript"/>
        </w:rPr>
        <w:t>TH</w:t>
      </w:r>
      <w:r w:rsidRPr="002676E9">
        <w:rPr>
          <w:rFonts w:eastAsia="Times New Roman" w:cs="Arial"/>
          <w:bCs/>
          <w:szCs w:val="20"/>
        </w:rPr>
        <w:t xml:space="preserve"> Floor</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Columbus, OH  43215</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Telephone:  (614) 469-8000</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Telecopier:  (614) 469-4653</w:t>
      </w:r>
    </w:p>
    <w:p w:rsidR="002676E9" w:rsidRPr="002676E9" w:rsidRDefault="002676E9" w:rsidP="002676E9">
      <w:pPr>
        <w:spacing w:line="240" w:lineRule="auto"/>
        <w:ind w:left="4320" w:firstLine="0"/>
        <w:rPr>
          <w:rFonts w:eastAsia="Times New Roman" w:cs="Arial"/>
        </w:rPr>
      </w:pPr>
      <w:r w:rsidRPr="002676E9">
        <w:rPr>
          <w:rFonts w:eastAsia="Times New Roman" w:cs="Arial"/>
        </w:rPr>
        <w:t>sam@mwncmh.com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fdarr@mwncmh.com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joliker@mwncmh.com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mpritchard@mwncmh.com</w:t>
      </w:r>
    </w:p>
    <w:p w:rsidR="002676E9" w:rsidRPr="002676E9" w:rsidRDefault="002676E9" w:rsidP="002676E9">
      <w:pPr>
        <w:spacing w:line="240" w:lineRule="auto"/>
        <w:ind w:firstLine="0"/>
        <w:rPr>
          <w:rFonts w:eastAsia="Times New Roman" w:cs="Arial"/>
        </w:rPr>
      </w:pPr>
    </w:p>
    <w:p w:rsidR="002676E9" w:rsidRDefault="002676E9" w:rsidP="002676E9">
      <w:pPr>
        <w:spacing w:line="240" w:lineRule="auto"/>
        <w:ind w:firstLine="0"/>
        <w:rPr>
          <w:rFonts w:eastAsia="Times New Roman" w:cs="Arial"/>
          <w:b/>
        </w:rPr>
      </w:pPr>
      <w:r>
        <w:rPr>
          <w:rFonts w:eastAsia="Times New Roman" w:cs="Arial"/>
          <w:b/>
        </w:rPr>
        <w:t xml:space="preserve">October </w:t>
      </w:r>
      <w:r w:rsidR="00EF1A66">
        <w:rPr>
          <w:rFonts w:eastAsia="Times New Roman" w:cs="Arial"/>
          <w:b/>
        </w:rPr>
        <w:t>18</w:t>
      </w:r>
      <w:r>
        <w:rPr>
          <w:rFonts w:eastAsia="Times New Roman" w:cs="Arial"/>
          <w:b/>
        </w:rPr>
        <w:t>,</w:t>
      </w:r>
      <w:r w:rsidRPr="002676E9">
        <w:rPr>
          <w:rFonts w:eastAsia="Times New Roman" w:cs="Arial"/>
          <w:b/>
        </w:rPr>
        <w:t xml:space="preserve"> 2013</w:t>
      </w:r>
      <w:r w:rsidRPr="002676E9">
        <w:rPr>
          <w:rFonts w:eastAsia="Times New Roman" w:cs="Arial"/>
          <w:b/>
        </w:rPr>
        <w:tab/>
      </w:r>
      <w:r w:rsidRPr="002676E9">
        <w:rPr>
          <w:rFonts w:eastAsia="Times New Roman" w:cs="Arial"/>
          <w:b/>
        </w:rPr>
        <w:tab/>
      </w:r>
      <w:r w:rsidRPr="002676E9">
        <w:rPr>
          <w:rFonts w:eastAsia="Times New Roman" w:cs="Arial"/>
          <w:b/>
        </w:rPr>
        <w:tab/>
      </w:r>
      <w:r w:rsidRPr="002676E9">
        <w:rPr>
          <w:rFonts w:eastAsia="Times New Roman" w:cs="Arial"/>
          <w:b/>
        </w:rPr>
        <w:tab/>
        <w:t>Attorneys for Industrial Energy Users-Ohio</w:t>
      </w:r>
    </w:p>
    <w:p w:rsidR="00733CF0" w:rsidRDefault="00733CF0" w:rsidP="002676E9">
      <w:pPr>
        <w:spacing w:line="240" w:lineRule="auto"/>
        <w:ind w:firstLine="0"/>
        <w:jc w:val="center"/>
        <w:rPr>
          <w:rFonts w:eastAsia="Times New Roman" w:cs="Arial"/>
          <w:b/>
          <w:smallCaps/>
          <w:sz w:val="28"/>
        </w:rPr>
        <w:sectPr w:rsidR="00733CF0" w:rsidSect="00733C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2676E9" w:rsidRPr="002676E9" w:rsidRDefault="002676E9" w:rsidP="002676E9">
      <w:pPr>
        <w:spacing w:line="240" w:lineRule="auto"/>
        <w:ind w:firstLine="0"/>
        <w:jc w:val="center"/>
        <w:rPr>
          <w:rFonts w:eastAsia="Times New Roman" w:cs="Arial"/>
          <w:b/>
          <w:smallCaps/>
          <w:sz w:val="28"/>
        </w:rPr>
      </w:pPr>
      <w:r w:rsidRPr="002676E9">
        <w:rPr>
          <w:rFonts w:eastAsia="Times New Roman" w:cs="Arial"/>
          <w:b/>
          <w:smallCaps/>
          <w:sz w:val="28"/>
        </w:rPr>
        <w:lastRenderedPageBreak/>
        <w:t>Before</w:t>
      </w:r>
    </w:p>
    <w:p w:rsidR="002676E9" w:rsidRPr="002676E9" w:rsidRDefault="002676E9" w:rsidP="002676E9">
      <w:pPr>
        <w:spacing w:line="240" w:lineRule="auto"/>
        <w:ind w:firstLine="0"/>
        <w:jc w:val="center"/>
        <w:rPr>
          <w:rFonts w:eastAsia="Times New Roman" w:cs="Arial"/>
          <w:b/>
          <w:smallCaps/>
          <w:sz w:val="28"/>
        </w:rPr>
      </w:pPr>
      <w:r w:rsidRPr="002676E9">
        <w:rPr>
          <w:rFonts w:eastAsia="Times New Roman" w:cs="Arial"/>
          <w:b/>
          <w:smallCaps/>
          <w:sz w:val="28"/>
        </w:rPr>
        <w:t>The Public Utilities Commission of Ohio</w:t>
      </w:r>
    </w:p>
    <w:p w:rsidR="002676E9" w:rsidRPr="002676E9" w:rsidRDefault="002676E9" w:rsidP="002676E9">
      <w:pPr>
        <w:autoSpaceDE w:val="0"/>
        <w:autoSpaceDN w:val="0"/>
        <w:adjustRightInd w:val="0"/>
        <w:spacing w:line="240" w:lineRule="auto"/>
        <w:ind w:firstLine="0"/>
        <w:jc w:val="left"/>
        <w:rPr>
          <w:rFonts w:eastAsia="Calibri" w:cs="Arial"/>
        </w:rPr>
      </w:pPr>
    </w:p>
    <w:p w:rsidR="00C62B71" w:rsidRDefault="00C62B71" w:rsidP="00C62B71">
      <w:pPr>
        <w:tabs>
          <w:tab w:val="left" w:pos="4680"/>
        </w:tabs>
        <w:spacing w:line="240" w:lineRule="auto"/>
        <w:ind w:firstLine="0"/>
        <w:rPr>
          <w:rFonts w:eastAsia="Calibri" w:cs="Arial"/>
        </w:rPr>
      </w:pPr>
      <w:r>
        <w:rPr>
          <w:rFonts w:eastAsia="Calibri" w:cs="Arial"/>
        </w:rPr>
        <w:t>In the Matter of the Application of Duke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Energy Ohio, Inc., for the Establishment</w:t>
      </w:r>
      <w:r>
        <w:rPr>
          <w:rFonts w:eastAsia="Calibri" w:cs="Arial"/>
        </w:rPr>
        <w:tab/>
        <w:t>)</w:t>
      </w:r>
      <w:r>
        <w:rPr>
          <w:rFonts w:eastAsia="Calibri" w:cs="Arial"/>
        </w:rPr>
        <w:tab/>
        <w:t>Case No. 12-2400-EL-UNC</w:t>
      </w:r>
    </w:p>
    <w:p w:rsidR="00C62B71" w:rsidRDefault="00C62B71" w:rsidP="00C62B71">
      <w:pPr>
        <w:tabs>
          <w:tab w:val="left" w:pos="4680"/>
        </w:tabs>
        <w:spacing w:line="240" w:lineRule="auto"/>
        <w:ind w:firstLine="0"/>
        <w:rPr>
          <w:rFonts w:eastAsia="Calibri" w:cs="Arial"/>
        </w:rPr>
      </w:pPr>
      <w:r>
        <w:rPr>
          <w:rFonts w:eastAsia="Calibri" w:cs="Arial"/>
        </w:rPr>
        <w:t>of a Charge Pursuant to Revised Code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Section 4909.18</w:t>
      </w:r>
      <w:r>
        <w:rPr>
          <w:rFonts w:eastAsia="Calibri" w:cs="Arial"/>
        </w:rPr>
        <w:tab/>
        <w:t>)</w:t>
      </w:r>
    </w:p>
    <w:p w:rsidR="00C62B71" w:rsidRDefault="00C62B71" w:rsidP="00C62B71">
      <w:pPr>
        <w:tabs>
          <w:tab w:val="left" w:pos="4680"/>
        </w:tabs>
        <w:spacing w:line="240" w:lineRule="auto"/>
        <w:ind w:firstLine="0"/>
        <w:rPr>
          <w:rFonts w:eastAsia="Calibri" w:cs="Arial"/>
        </w:rPr>
      </w:pPr>
    </w:p>
    <w:p w:rsidR="00C62B71" w:rsidRDefault="00C62B71" w:rsidP="00C62B71">
      <w:pPr>
        <w:tabs>
          <w:tab w:val="left" w:pos="4680"/>
        </w:tabs>
        <w:spacing w:line="240" w:lineRule="auto"/>
        <w:ind w:firstLine="0"/>
        <w:rPr>
          <w:rFonts w:eastAsia="Calibri" w:cs="Arial"/>
        </w:rPr>
      </w:pPr>
      <w:r>
        <w:rPr>
          <w:rFonts w:eastAsia="Calibri" w:cs="Arial"/>
        </w:rPr>
        <w:t>In the Matter of the Application of Duke</w:t>
      </w:r>
      <w:r>
        <w:rPr>
          <w:rFonts w:eastAsia="Calibri" w:cs="Arial"/>
        </w:rPr>
        <w:tab/>
        <w:t>)</w:t>
      </w:r>
    </w:p>
    <w:p w:rsidR="00C62B71" w:rsidRDefault="00C62B71" w:rsidP="00C62B71">
      <w:pPr>
        <w:tabs>
          <w:tab w:val="left" w:pos="4680"/>
        </w:tabs>
        <w:spacing w:line="240" w:lineRule="auto"/>
        <w:ind w:firstLine="0"/>
        <w:rPr>
          <w:rFonts w:eastAsia="Calibri" w:cs="Arial"/>
        </w:rPr>
      </w:pPr>
      <w:r>
        <w:rPr>
          <w:rFonts w:eastAsia="Calibri" w:cs="Arial"/>
        </w:rPr>
        <w:t>Energy Ohio, Inc., for Approval to</w:t>
      </w:r>
      <w:r>
        <w:rPr>
          <w:rFonts w:eastAsia="Calibri" w:cs="Arial"/>
        </w:rPr>
        <w:tab/>
        <w:t>)</w:t>
      </w:r>
      <w:r>
        <w:rPr>
          <w:rFonts w:eastAsia="Calibri" w:cs="Arial"/>
        </w:rPr>
        <w:tab/>
        <w:t>Case No. 12-2401-EL-AAM</w:t>
      </w:r>
    </w:p>
    <w:p w:rsidR="00C62B71" w:rsidRPr="00C62B71" w:rsidRDefault="00C62B71" w:rsidP="00C62B71">
      <w:pPr>
        <w:tabs>
          <w:tab w:val="left" w:pos="4680"/>
        </w:tabs>
        <w:spacing w:line="240" w:lineRule="auto"/>
        <w:ind w:firstLine="0"/>
        <w:rPr>
          <w:rFonts w:eastAsia="Calibri" w:cs="Arial"/>
        </w:rPr>
      </w:pPr>
      <w:r>
        <w:rPr>
          <w:rFonts w:eastAsia="Calibri" w:cs="Arial"/>
        </w:rPr>
        <w:t>Change Accounting Methods</w:t>
      </w:r>
      <w:r>
        <w:rPr>
          <w:rFonts w:eastAsia="Calibri" w:cs="Arial"/>
        </w:rPr>
        <w:tab/>
        <w:t>)</w:t>
      </w:r>
    </w:p>
    <w:p w:rsidR="00C62B71" w:rsidRDefault="00C62B71" w:rsidP="00C62B71">
      <w:pPr>
        <w:tabs>
          <w:tab w:val="left" w:pos="5040"/>
        </w:tabs>
        <w:spacing w:line="240" w:lineRule="auto"/>
        <w:ind w:firstLine="0"/>
        <w:rPr>
          <w:rFonts w:eastAsia="Times New Roman" w:cs="Arial"/>
        </w:rPr>
      </w:pPr>
    </w:p>
    <w:p w:rsidR="00C62B71" w:rsidRDefault="00C62B71" w:rsidP="00C62B71">
      <w:pPr>
        <w:tabs>
          <w:tab w:val="left" w:pos="4680"/>
        </w:tabs>
        <w:spacing w:line="240" w:lineRule="auto"/>
        <w:ind w:firstLine="0"/>
        <w:rPr>
          <w:rFonts w:eastAsia="Times New Roman" w:cs="Arial"/>
        </w:rPr>
      </w:pPr>
      <w:r>
        <w:rPr>
          <w:rFonts w:eastAsia="Times New Roman" w:cs="Arial"/>
        </w:rPr>
        <w:t>In the Matter of the Application of Duke</w:t>
      </w:r>
      <w:r>
        <w:rPr>
          <w:rFonts w:eastAsia="Times New Roman" w:cs="Arial"/>
        </w:rPr>
        <w:tab/>
        <w:t>)</w:t>
      </w:r>
    </w:p>
    <w:p w:rsidR="00C62B71" w:rsidRDefault="00C62B71" w:rsidP="00C62B71">
      <w:pPr>
        <w:tabs>
          <w:tab w:val="left" w:pos="4680"/>
        </w:tabs>
        <w:spacing w:line="240" w:lineRule="auto"/>
        <w:ind w:firstLine="0"/>
        <w:rPr>
          <w:rFonts w:eastAsia="Times New Roman" w:cs="Arial"/>
        </w:rPr>
      </w:pPr>
      <w:r>
        <w:rPr>
          <w:rFonts w:eastAsia="Times New Roman" w:cs="Arial"/>
        </w:rPr>
        <w:t>Energy Ohio, Inc., for the Approval of a</w:t>
      </w:r>
      <w:r>
        <w:rPr>
          <w:rFonts w:eastAsia="Times New Roman" w:cs="Arial"/>
        </w:rPr>
        <w:tab/>
        <w:t>)</w:t>
      </w:r>
      <w:r>
        <w:rPr>
          <w:rFonts w:eastAsia="Times New Roman" w:cs="Arial"/>
        </w:rPr>
        <w:tab/>
        <w:t>Case No. 12-2402-EL-ATA</w:t>
      </w:r>
    </w:p>
    <w:p w:rsidR="00C62B71" w:rsidRPr="002676E9" w:rsidRDefault="00C62B71" w:rsidP="00C62B71">
      <w:pPr>
        <w:tabs>
          <w:tab w:val="left" w:pos="4680"/>
        </w:tabs>
        <w:spacing w:line="240" w:lineRule="auto"/>
        <w:ind w:firstLine="0"/>
        <w:rPr>
          <w:rFonts w:eastAsia="Times New Roman" w:cs="Arial"/>
        </w:rPr>
      </w:pPr>
      <w:r>
        <w:rPr>
          <w:rFonts w:eastAsia="Times New Roman" w:cs="Arial"/>
        </w:rPr>
        <w:t>Tariff for a New Service</w:t>
      </w:r>
      <w:r>
        <w:rPr>
          <w:rFonts w:eastAsia="Times New Roman" w:cs="Arial"/>
        </w:rPr>
        <w:tab/>
        <w:t>)</w:t>
      </w:r>
    </w:p>
    <w:p w:rsidR="002676E9" w:rsidRPr="002676E9" w:rsidRDefault="002676E9" w:rsidP="002676E9">
      <w:pPr>
        <w:tabs>
          <w:tab w:val="left" w:pos="5040"/>
        </w:tabs>
        <w:spacing w:line="240" w:lineRule="auto"/>
        <w:ind w:firstLine="0"/>
        <w:rPr>
          <w:rFonts w:eastAsia="Times New Roman" w:cs="Arial"/>
        </w:rPr>
      </w:pPr>
    </w:p>
    <w:p w:rsidR="002676E9" w:rsidRPr="002676E9" w:rsidRDefault="002676E9" w:rsidP="002676E9">
      <w:pPr>
        <w:spacing w:line="240" w:lineRule="auto"/>
        <w:ind w:firstLine="0"/>
        <w:jc w:val="center"/>
        <w:rPr>
          <w:rFonts w:eastAsia="Times New Roman" w:cs="Arial"/>
          <w:b/>
          <w:smallCaps/>
          <w:sz w:val="28"/>
        </w:rPr>
      </w:pPr>
      <w:r w:rsidRPr="002676E9">
        <w:rPr>
          <w:rFonts w:eastAsia="Times New Roman" w:cs="Arial"/>
          <w:b/>
          <w:smallCaps/>
          <w:sz w:val="28"/>
        </w:rPr>
        <w:t>____________________________________________________________</w:t>
      </w:r>
    </w:p>
    <w:p w:rsidR="002676E9" w:rsidRPr="002676E9" w:rsidRDefault="002676E9" w:rsidP="002676E9">
      <w:pPr>
        <w:spacing w:line="240" w:lineRule="auto"/>
        <w:ind w:firstLine="0"/>
        <w:jc w:val="center"/>
        <w:rPr>
          <w:rFonts w:eastAsia="Times New Roman" w:cs="Arial"/>
          <w:b/>
          <w:smallCaps/>
          <w:sz w:val="28"/>
          <w:u w:val="single"/>
        </w:rPr>
      </w:pPr>
    </w:p>
    <w:p w:rsidR="002676E9" w:rsidRPr="002676E9" w:rsidRDefault="002676E9" w:rsidP="002676E9">
      <w:pPr>
        <w:spacing w:line="240" w:lineRule="auto"/>
        <w:ind w:firstLine="0"/>
        <w:jc w:val="center"/>
        <w:rPr>
          <w:rFonts w:ascii="Arial Bold" w:eastAsia="Times New Roman" w:hAnsi="Arial Bold" w:cs="Arial"/>
          <w:b/>
          <w:caps/>
          <w:smallCaps/>
          <w:sz w:val="28"/>
          <w:szCs w:val="28"/>
        </w:rPr>
      </w:pPr>
      <w:r w:rsidRPr="002676E9">
        <w:rPr>
          <w:rFonts w:ascii="Arial Bold" w:hAnsi="Arial Bold"/>
          <w:b/>
          <w:caps/>
          <w:sz w:val="28"/>
          <w:szCs w:val="28"/>
        </w:rPr>
        <w:t>Notice of Additional Authority</w:t>
      </w:r>
    </w:p>
    <w:p w:rsidR="002676E9" w:rsidRPr="002676E9" w:rsidRDefault="002676E9" w:rsidP="002676E9">
      <w:pPr>
        <w:spacing w:line="240" w:lineRule="auto"/>
        <w:ind w:firstLine="0"/>
        <w:jc w:val="center"/>
        <w:rPr>
          <w:rFonts w:eastAsia="Times New Roman" w:cs="Arial"/>
          <w:b/>
          <w:smallCaps/>
          <w:sz w:val="28"/>
          <w:u w:val="single"/>
        </w:rPr>
      </w:pP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r w:rsidRPr="002676E9">
        <w:rPr>
          <w:rFonts w:eastAsia="Times New Roman" w:cs="Arial"/>
          <w:b/>
          <w:smallCaps/>
          <w:sz w:val="28"/>
          <w:u w:val="single"/>
        </w:rPr>
        <w:tab/>
      </w:r>
    </w:p>
    <w:p w:rsidR="002676E9" w:rsidRPr="002676E9" w:rsidRDefault="002676E9" w:rsidP="002676E9">
      <w:pPr>
        <w:spacing w:line="240" w:lineRule="auto"/>
        <w:ind w:firstLine="0"/>
        <w:jc w:val="center"/>
        <w:rPr>
          <w:rFonts w:eastAsia="Times New Roman" w:cs="Arial"/>
          <w:b/>
          <w:smallCaps/>
          <w:sz w:val="28"/>
          <w:u w:val="single"/>
        </w:rPr>
      </w:pPr>
    </w:p>
    <w:p w:rsidR="002676E9" w:rsidRDefault="002676E9" w:rsidP="002676E9">
      <w:pPr>
        <w:spacing w:line="240" w:lineRule="auto"/>
        <w:ind w:firstLine="0"/>
      </w:pPr>
    </w:p>
    <w:p w:rsidR="00BE4DD6" w:rsidRDefault="00687EB4">
      <w:r>
        <w:t xml:space="preserve">In support of its demonstration that the Public Utilities Commission of Ohio </w:t>
      </w:r>
      <w:r w:rsidR="00DB11C9">
        <w:t xml:space="preserve">(“Commission”) </w:t>
      </w:r>
      <w:r>
        <w:t>does not have jurisdiction to increase the amount of compensation provided to Duke Energy Ohio</w:t>
      </w:r>
      <w:r w:rsidR="00473387">
        <w:t>, Inc.</w:t>
      </w:r>
      <w:r>
        <w:t xml:space="preserve"> (“Duke”)</w:t>
      </w:r>
      <w:r w:rsidR="003F165A">
        <w:t xml:space="preserve"> for the provision of wholesale generation-related capacity service (“Capacity Service”)</w:t>
      </w:r>
      <w:r>
        <w:t xml:space="preserve">, Industrial Energy Users-Ohio (“IEU-Ohio”) provides </w:t>
      </w:r>
      <w:r w:rsidR="00473387">
        <w:t xml:space="preserve">Notice </w:t>
      </w:r>
      <w:r>
        <w:t xml:space="preserve">of </w:t>
      </w:r>
      <w:r w:rsidR="00473387">
        <w:t>Additional Authority</w:t>
      </w:r>
      <w:r>
        <w:t xml:space="preserve">.  Attached </w:t>
      </w:r>
      <w:r w:rsidR="00910957">
        <w:t>is</w:t>
      </w:r>
      <w:r>
        <w:t xml:space="preserve"> the decision of the United States District Court of Maryland in </w:t>
      </w:r>
      <w:r w:rsidRPr="000A7C17">
        <w:rPr>
          <w:i/>
        </w:rPr>
        <w:t>PPL Energyplus, LLC, et al., v. Douglas R.</w:t>
      </w:r>
      <w:r w:rsidR="00DB11C9">
        <w:rPr>
          <w:i/>
        </w:rPr>
        <w:t xml:space="preserve"> </w:t>
      </w:r>
      <w:r w:rsidRPr="000A7C17">
        <w:rPr>
          <w:i/>
        </w:rPr>
        <w:t>M. Nazarian</w:t>
      </w:r>
      <w:r>
        <w:t>,</w:t>
      </w:r>
      <w:r w:rsidR="001A6CD1">
        <w:t xml:space="preserve"> </w:t>
      </w:r>
      <w:r w:rsidR="001A6CD1" w:rsidRPr="001A6CD1">
        <w:rPr>
          <w:i/>
        </w:rPr>
        <w:t>et al</w:t>
      </w:r>
      <w:r w:rsidR="001A6CD1">
        <w:t>.,</w:t>
      </w:r>
      <w:r>
        <w:t xml:space="preserve"> Civ. Action No. MJG-12-1286 (decided Sept. 30, 2013)</w:t>
      </w:r>
      <w:r w:rsidR="000A7C17">
        <w:t xml:space="preserve"> (“</w:t>
      </w:r>
      <w:r w:rsidR="00773608">
        <w:rPr>
          <w:i/>
        </w:rPr>
        <w:t>PPL I</w:t>
      </w:r>
      <w:r w:rsidR="000A7C17">
        <w:t>”)</w:t>
      </w:r>
      <w:r>
        <w:t xml:space="preserve">, in which the District Court found that the Maryland </w:t>
      </w:r>
      <w:r w:rsidR="00DB11C9">
        <w:t xml:space="preserve">Public Service </w:t>
      </w:r>
      <w:r>
        <w:t xml:space="preserve">Commission </w:t>
      </w:r>
      <w:r w:rsidR="00784F11">
        <w:t>(“</w:t>
      </w:r>
      <w:r w:rsidR="00C126A7">
        <w:t>Maryland</w:t>
      </w:r>
      <w:r w:rsidR="00784F11">
        <w:t xml:space="preserve"> Commission”) </w:t>
      </w:r>
      <w:r>
        <w:t xml:space="preserve">was preempted from authorizing above-market compensation for the provision of wholesale </w:t>
      </w:r>
      <w:r w:rsidR="000A7C17">
        <w:t xml:space="preserve">energy and </w:t>
      </w:r>
      <w:r>
        <w:t>capacity service.</w:t>
      </w:r>
      <w:r w:rsidR="00910957">
        <w:t xml:space="preserve">  Also attached is the decision of the District Court for the United States District Court of New Jersey in </w:t>
      </w:r>
      <w:r w:rsidR="00896641">
        <w:rPr>
          <w:i/>
        </w:rPr>
        <w:t>PPL Energyp</w:t>
      </w:r>
      <w:r w:rsidR="00910957" w:rsidRPr="00CD13F0">
        <w:rPr>
          <w:i/>
        </w:rPr>
        <w:t>lus, LLC, et al., v. Robert M. Hanna, et al.</w:t>
      </w:r>
      <w:r w:rsidR="00910957">
        <w:t xml:space="preserve">, Civ. Action No. 11-745 (decided Oct. 11, 2013) </w:t>
      </w:r>
      <w:r w:rsidR="00910957">
        <w:lastRenderedPageBreak/>
        <w:t>(“</w:t>
      </w:r>
      <w:r w:rsidR="00910957" w:rsidRPr="00CD13F0">
        <w:rPr>
          <w:i/>
        </w:rPr>
        <w:t>PPL II</w:t>
      </w:r>
      <w:r w:rsidR="00910957">
        <w:t>”), in which the District Court found that the New Jersey Long-Term Capacity Pilot Project Act (“LCAPP”) was unconstitutional because it violated the Supremacy Clause.</w:t>
      </w:r>
    </w:p>
    <w:p w:rsidR="00687EB4" w:rsidRDefault="00687EB4">
      <w:r>
        <w:t xml:space="preserve">In its Application and supporting testimony, Duke has repeatedly asserted that the Commission has jurisdiction to increase </w:t>
      </w:r>
      <w:r w:rsidR="00C126A7">
        <w:t>Duke’s</w:t>
      </w:r>
      <w:r>
        <w:t xml:space="preserve"> total compensation for the provision of </w:t>
      </w:r>
      <w:r w:rsidR="003F165A">
        <w:t>Capacity Service</w:t>
      </w:r>
      <w:r w:rsidR="000B0491">
        <w:t xml:space="preserve"> </w:t>
      </w:r>
      <w:r>
        <w:t>under Chapter</w:t>
      </w:r>
      <w:r w:rsidR="00DB11C9">
        <w:t>s</w:t>
      </w:r>
      <w:r>
        <w:t xml:space="preserve"> 4905</w:t>
      </w:r>
      <w:r w:rsidR="00DB11C9">
        <w:t xml:space="preserve"> and 4909</w:t>
      </w:r>
      <w:r>
        <w:t>, Revised Code, and the Reliability Assurance Agreement (“RAA”), an agreement among members of the PJM Interconnection, LLC (“PJM”)</w:t>
      </w:r>
      <w:r w:rsidR="004941FC">
        <w:t>,</w:t>
      </w:r>
      <w:r w:rsidR="000A7C17">
        <w:t xml:space="preserve"> </w:t>
      </w:r>
      <w:r w:rsidR="000A7C17" w:rsidRPr="00C126A7">
        <w:t>because</w:t>
      </w:r>
      <w:r w:rsidR="000A7C17">
        <w:t xml:space="preserve"> the service is a wholesale service</w:t>
      </w:r>
      <w:r>
        <w:t>.</w:t>
      </w:r>
      <w:r w:rsidR="000A7C17">
        <w:rPr>
          <w:rStyle w:val="FootnoteReference"/>
        </w:rPr>
        <w:footnoteReference w:id="1"/>
      </w:r>
      <w:r>
        <w:t xml:space="preserve">  </w:t>
      </w:r>
      <w:r w:rsidR="000B428D">
        <w:t>In support, it argues that the compensation it receives under the federally-approved Reliability Pricing Model (“RPM-based Price”) is inadequate.</w:t>
      </w:r>
      <w:r w:rsidR="000B428D">
        <w:rPr>
          <w:rStyle w:val="FootnoteReference"/>
        </w:rPr>
        <w:footnoteReference w:id="2"/>
      </w:r>
      <w:r w:rsidR="000B428D">
        <w:t xml:space="preserve">  </w:t>
      </w:r>
      <w:r>
        <w:t>Neither Ohio law nor the RAA, however, provide</w:t>
      </w:r>
      <w:r w:rsidR="000A7C17">
        <w:t>s</w:t>
      </w:r>
      <w:r>
        <w:t xml:space="preserve"> </w:t>
      </w:r>
      <w:r w:rsidR="000A7C17">
        <w:t xml:space="preserve">authority </w:t>
      </w:r>
      <w:r>
        <w:t xml:space="preserve">to approve an increase </w:t>
      </w:r>
      <w:r w:rsidR="00257108">
        <w:t>in compensation for Capacity Service</w:t>
      </w:r>
      <w:r w:rsidR="000A7C17">
        <w:t xml:space="preserve"> established through the Reliability Pricing Model (“RPM</w:t>
      </w:r>
      <w:r w:rsidR="007A4891">
        <w:t>”)</w:t>
      </w:r>
      <w:r>
        <w:t xml:space="preserve"> Duke </w:t>
      </w:r>
      <w:r w:rsidR="000A7C17">
        <w:t xml:space="preserve">agreed to </w:t>
      </w:r>
      <w:r>
        <w:t>in its settlement of its last Electric Security Plan (“ESP”) case.</w:t>
      </w:r>
      <w:r w:rsidR="007D23F0">
        <w:rPr>
          <w:rStyle w:val="FootnoteReference"/>
        </w:rPr>
        <w:footnoteReference w:id="3"/>
      </w:r>
    </w:p>
    <w:p w:rsidR="00E24455" w:rsidRDefault="000B428D" w:rsidP="002C0003">
      <w:r>
        <w:t xml:space="preserve">The recent decisions of the District Courts of Maryland and New Jersey provide an additional basis on which the Commission must dismiss Duke’s Application.  The </w:t>
      </w:r>
      <w:r w:rsidR="00773608">
        <w:rPr>
          <w:i/>
        </w:rPr>
        <w:t>PPL</w:t>
      </w:r>
      <w:r w:rsidR="00773608">
        <w:t xml:space="preserve"> </w:t>
      </w:r>
      <w:r w:rsidR="002C0003">
        <w:t>decision</w:t>
      </w:r>
      <w:r w:rsidR="00773608">
        <w:t>s</w:t>
      </w:r>
      <w:r w:rsidR="002C0003">
        <w:t xml:space="preserve"> </w:t>
      </w:r>
      <w:r w:rsidR="003F165A">
        <w:t>find</w:t>
      </w:r>
      <w:r>
        <w:t xml:space="preserve"> that the Federal Power Act</w:t>
      </w:r>
      <w:r w:rsidR="000B0B1F">
        <w:t xml:space="preserve"> (“FPA”)</w:t>
      </w:r>
      <w:r>
        <w:t xml:space="preserve"> preempts a state commission from approving an increase in total compensation of a generator for the provision</w:t>
      </w:r>
      <w:r w:rsidR="003F165A">
        <w:t xml:space="preserve"> of wholesale energy and capacity</w:t>
      </w:r>
      <w:r>
        <w:t xml:space="preserve"> </w:t>
      </w:r>
      <w:r w:rsidR="000F14F8">
        <w:t xml:space="preserve">above the </w:t>
      </w:r>
      <w:r w:rsidR="003F165A">
        <w:t>RPM-based Price</w:t>
      </w:r>
      <w:r w:rsidR="00CD13F0">
        <w:t>.</w:t>
      </w:r>
    </w:p>
    <w:p w:rsidR="00E24455" w:rsidRPr="00CD13F0" w:rsidRDefault="00E24455" w:rsidP="00CD13F0">
      <w:pPr>
        <w:ind w:firstLine="0"/>
        <w:rPr>
          <w:b/>
          <w:i/>
        </w:rPr>
      </w:pPr>
      <w:r w:rsidRPr="00CD13F0">
        <w:rPr>
          <w:b/>
          <w:i/>
        </w:rPr>
        <w:t>PPL I</w:t>
      </w:r>
    </w:p>
    <w:p w:rsidR="00CF2935" w:rsidRDefault="002C0003" w:rsidP="002C0003">
      <w:r>
        <w:t xml:space="preserve">In </w:t>
      </w:r>
      <w:r w:rsidR="00773608">
        <w:rPr>
          <w:i/>
        </w:rPr>
        <w:t>PPL</w:t>
      </w:r>
      <w:r w:rsidR="00E24455">
        <w:rPr>
          <w:i/>
        </w:rPr>
        <w:t xml:space="preserve"> I</w:t>
      </w:r>
      <w:r>
        <w:t xml:space="preserve">, the plaintiffs challenged an order of the </w:t>
      </w:r>
      <w:r w:rsidR="00C126A7">
        <w:t>Maryland</w:t>
      </w:r>
      <w:r w:rsidR="009142EC">
        <w:t xml:space="preserve"> Commission</w:t>
      </w:r>
      <w:r w:rsidR="00E24455">
        <w:t xml:space="preserve"> </w:t>
      </w:r>
      <w:r>
        <w:t xml:space="preserve">directing the local electric distribution </w:t>
      </w:r>
      <w:r w:rsidR="007A4891">
        <w:t xml:space="preserve">companies </w:t>
      </w:r>
      <w:r>
        <w:t>to compensate generator</w:t>
      </w:r>
      <w:r w:rsidR="00E24455">
        <w:t>s</w:t>
      </w:r>
      <w:r>
        <w:t xml:space="preserve"> for the construction </w:t>
      </w:r>
      <w:r>
        <w:lastRenderedPageBreak/>
        <w:t xml:space="preserve">and operating costs of a new gas generation plant </w:t>
      </w:r>
      <w:r w:rsidR="00033275">
        <w:t xml:space="preserve">in an amount in addition to the </w:t>
      </w:r>
      <w:r w:rsidR="007D48B5">
        <w:t xml:space="preserve">wholesale </w:t>
      </w:r>
      <w:r w:rsidR="00033275">
        <w:t>compensation they received from PJM for capacity and energy</w:t>
      </w:r>
      <w:r w:rsidR="007D23F0">
        <w:t>.</w:t>
      </w:r>
      <w:r w:rsidR="000152CF">
        <w:rPr>
          <w:rStyle w:val="FootnoteReference"/>
        </w:rPr>
        <w:footnoteReference w:id="4"/>
      </w:r>
    </w:p>
    <w:p w:rsidR="00311B5D" w:rsidRDefault="000152CF" w:rsidP="002C0003">
      <w:r>
        <w:t xml:space="preserve">Like Ohio, Maryland’s legislature enacted legislation </w:t>
      </w:r>
      <w:r w:rsidR="007D23F0">
        <w:t xml:space="preserve">in 1999 that restructured </w:t>
      </w:r>
      <w:r>
        <w:t xml:space="preserve">the retail electric generation industry and required that the generation business segment be separated from the distribution </w:t>
      </w:r>
      <w:r w:rsidR="00751456">
        <w:t>segment</w:t>
      </w:r>
      <w:r>
        <w:t>.</w:t>
      </w:r>
      <w:r>
        <w:rPr>
          <w:rStyle w:val="FootnoteReference"/>
        </w:rPr>
        <w:footnoteReference w:id="5"/>
      </w:r>
      <w:r>
        <w:t xml:space="preserve">  Also like Ohio, the distribution company was responsible for supplying a default generation alternative, </w:t>
      </w:r>
      <w:r w:rsidR="00751456">
        <w:t xml:space="preserve">the </w:t>
      </w:r>
      <w:r>
        <w:t>Standard Offer Service</w:t>
      </w:r>
      <w:r w:rsidR="00751456">
        <w:t>, for those customers that did not contract with a competitive retail electric service provider</w:t>
      </w:r>
      <w:r>
        <w:t>.</w:t>
      </w:r>
      <w:r>
        <w:rPr>
          <w:rStyle w:val="FootnoteReference"/>
        </w:rPr>
        <w:footnoteReference w:id="6"/>
      </w:r>
      <w:r>
        <w:t xml:space="preserve">  </w:t>
      </w:r>
    </w:p>
    <w:p w:rsidR="002C0003" w:rsidRDefault="000152CF" w:rsidP="002C0003">
      <w:r>
        <w:t xml:space="preserve">In 2007, the Maryland legislature directed the </w:t>
      </w:r>
      <w:r w:rsidR="00C126A7">
        <w:t>Maryland</w:t>
      </w:r>
      <w:r>
        <w:t xml:space="preserve"> Commission to study re-regulation options.</w:t>
      </w:r>
      <w:r>
        <w:rPr>
          <w:rStyle w:val="FootnoteReference"/>
        </w:rPr>
        <w:footnoteReference w:id="7"/>
      </w:r>
      <w:r>
        <w:t xml:space="preserve">  In subsequent proceedings, the </w:t>
      </w:r>
      <w:r w:rsidR="00C126A7">
        <w:t>Maryland</w:t>
      </w:r>
      <w:r>
        <w:t xml:space="preserve"> Commission questioned the ability of the wholesale market to relieve a potential capacity shortage, and it issued a request for proposals to secure additional capacity resources.</w:t>
      </w:r>
      <w:r>
        <w:rPr>
          <w:rStyle w:val="FootnoteReference"/>
        </w:rPr>
        <w:footnoteReference w:id="8"/>
      </w:r>
      <w:r>
        <w:t xml:space="preserve">  Under the request for proposals, the generator would have to offer its capacity and energy to PJM</w:t>
      </w:r>
      <w:r w:rsidR="00EB3512">
        <w:t xml:space="preserve"> and be compensated</w:t>
      </w:r>
      <w:r w:rsidR="00033275">
        <w:t xml:space="preserve"> </w:t>
      </w:r>
      <w:r w:rsidR="00EB3512">
        <w:t>by PJM.</w:t>
      </w:r>
      <w:r w:rsidR="00EB3512">
        <w:rPr>
          <w:rStyle w:val="FootnoteReference"/>
        </w:rPr>
        <w:footnoteReference w:id="9"/>
      </w:r>
      <w:r w:rsidR="00EB3512">
        <w:t xml:space="preserve">  In addition to the compensation for capacity and energy it received from PJM, the generator would also receive </w:t>
      </w:r>
      <w:r w:rsidR="00C62B71">
        <w:t>a</w:t>
      </w:r>
      <w:r w:rsidR="00EB3512">
        <w:t xml:space="preserve"> payment from the local distribution </w:t>
      </w:r>
      <w:r w:rsidR="003F165A">
        <w:t>companies</w:t>
      </w:r>
      <w:r w:rsidR="00EB3512">
        <w:t xml:space="preserve"> under a </w:t>
      </w:r>
      <w:r w:rsidR="00CF2935">
        <w:t>long term contract that enabled the generator to receive a proposed contract price</w:t>
      </w:r>
      <w:r w:rsidR="00EB3512">
        <w:t xml:space="preserve">.  As explained by the successful bidder in </w:t>
      </w:r>
      <w:r w:rsidR="00311B5D">
        <w:t xml:space="preserve">its response to </w:t>
      </w:r>
      <w:r w:rsidR="00EB3512">
        <w:t xml:space="preserve">the request for proposals, the costs </w:t>
      </w:r>
      <w:r w:rsidR="00CF2935">
        <w:t xml:space="preserve">it </w:t>
      </w:r>
      <w:r w:rsidR="00EB3512">
        <w:t xml:space="preserve">used to calculate the </w:t>
      </w:r>
      <w:r w:rsidR="007D23F0">
        <w:t>contract price</w:t>
      </w:r>
      <w:r w:rsidR="00EB3512">
        <w:t xml:space="preserve"> included costs of construction of the generating plan</w:t>
      </w:r>
      <w:r w:rsidR="00311B5D">
        <w:t>t</w:t>
      </w:r>
      <w:r w:rsidR="00EB3512">
        <w:t>, the fixed operating costs of going forward</w:t>
      </w:r>
      <w:r w:rsidR="009142EC">
        <w:t>,</w:t>
      </w:r>
      <w:r w:rsidR="00EB3512">
        <w:t xml:space="preserve"> such as </w:t>
      </w:r>
      <w:r w:rsidR="00EB3512">
        <w:lastRenderedPageBreak/>
        <w:t>labor, property taxes, and maintenance, financing costs of construction, and a reasonable rate of return.</w:t>
      </w:r>
      <w:r w:rsidR="00EB3512">
        <w:rPr>
          <w:rStyle w:val="FootnoteReference"/>
        </w:rPr>
        <w:footnoteReference w:id="10"/>
      </w:r>
      <w:r w:rsidR="00EB3512">
        <w:t xml:space="preserve">  </w:t>
      </w:r>
      <w:r w:rsidR="00E078FC">
        <w:t>Electric distribution companies were ordered</w:t>
      </w:r>
      <w:r w:rsidR="00B533AB">
        <w:t xml:space="preserve"> </w:t>
      </w:r>
      <w:r w:rsidR="007D23F0">
        <w:t xml:space="preserve">to </w:t>
      </w:r>
      <w:r w:rsidR="00B533AB">
        <w:t>enter into contracts</w:t>
      </w:r>
      <w:r w:rsidR="00E078FC">
        <w:t xml:space="preserve"> to pay the generator the difference between what the generator received for </w:t>
      </w:r>
      <w:r w:rsidR="00F12E2F">
        <w:t>energy and capacity</w:t>
      </w:r>
      <w:r w:rsidR="00E078FC">
        <w:t xml:space="preserve"> </w:t>
      </w:r>
      <w:r w:rsidR="00033275">
        <w:t>from</w:t>
      </w:r>
      <w:r w:rsidR="00E078FC">
        <w:t xml:space="preserve"> PJM and the </w:t>
      </w:r>
      <w:r w:rsidR="007D23F0">
        <w:t>contract</w:t>
      </w:r>
      <w:r w:rsidR="00F12E2F">
        <w:t>-based</w:t>
      </w:r>
      <w:r w:rsidR="007D23F0">
        <w:t xml:space="preserve"> total compensation</w:t>
      </w:r>
      <w:r w:rsidR="00E078FC">
        <w:t>.</w:t>
      </w:r>
      <w:r w:rsidR="00E078FC">
        <w:rPr>
          <w:rStyle w:val="FootnoteReference"/>
        </w:rPr>
        <w:footnoteReference w:id="11"/>
      </w:r>
      <w:r w:rsidR="00E078FC">
        <w:t xml:space="preserve">  </w:t>
      </w:r>
      <w:r w:rsidR="00EB3512">
        <w:t>The electric distribution compan</w:t>
      </w:r>
      <w:r w:rsidR="00311B5D">
        <w:t xml:space="preserve">ies that paid the generator amounts in excess of the amounts the generator recovered from PJM for energy and capacity would then be authorized to </w:t>
      </w:r>
      <w:r w:rsidR="00CF2935">
        <w:t xml:space="preserve">recover </w:t>
      </w:r>
      <w:r w:rsidR="00B533AB">
        <w:t xml:space="preserve">the excess </w:t>
      </w:r>
      <w:r w:rsidR="00CF2935">
        <w:t>amount from</w:t>
      </w:r>
      <w:r w:rsidR="00311B5D">
        <w:t xml:space="preserve"> their Standard Offer Service customers</w:t>
      </w:r>
      <w:r w:rsidR="00EB3512">
        <w:t>.</w:t>
      </w:r>
      <w:r w:rsidR="00EB3512">
        <w:rPr>
          <w:rStyle w:val="FootnoteReference"/>
        </w:rPr>
        <w:footnoteReference w:id="12"/>
      </w:r>
    </w:p>
    <w:p w:rsidR="00EB3512" w:rsidRDefault="00EB3512" w:rsidP="002C0003">
      <w:r>
        <w:t xml:space="preserve">The District Court determined that the </w:t>
      </w:r>
      <w:r w:rsidR="00AA29CC">
        <w:t xml:space="preserve">actions of the </w:t>
      </w:r>
      <w:r w:rsidR="00C126A7">
        <w:t>Maryland</w:t>
      </w:r>
      <w:r w:rsidR="00AA29CC">
        <w:t xml:space="preserve"> </w:t>
      </w:r>
      <w:r w:rsidR="00CF2935">
        <w:t>Commission</w:t>
      </w:r>
      <w:r w:rsidR="00AA29CC">
        <w:t xml:space="preserve"> approving the compensation structure which permitted the generator to recover revenue in excess of the RPM-based </w:t>
      </w:r>
      <w:r w:rsidR="009142EC">
        <w:t xml:space="preserve">Price </w:t>
      </w:r>
      <w:r w:rsidR="00B533AB">
        <w:t xml:space="preserve">were </w:t>
      </w:r>
      <w:r w:rsidR="00AA29CC">
        <w:t>preempted under the Supremacy Clause</w:t>
      </w:r>
      <w:r w:rsidR="00B533AB">
        <w:rPr>
          <w:rStyle w:val="FootnoteReference"/>
        </w:rPr>
        <w:footnoteReference w:id="13"/>
      </w:r>
      <w:r w:rsidR="00AA29CC">
        <w:t xml:space="preserve"> because the </w:t>
      </w:r>
      <w:r w:rsidR="007D48B5">
        <w:t xml:space="preserve">Maryland </w:t>
      </w:r>
      <w:r w:rsidR="00F12E2F">
        <w:t xml:space="preserve">Commission’s </w:t>
      </w:r>
      <w:r w:rsidR="00AA29CC">
        <w:t>pricing of wholesale capacity and energy sales invades a field occupied exclusively by the Federal Energy Regulatory Commission (“FERC”) under the FPA</w:t>
      </w:r>
      <w:r w:rsidR="000B0B1F">
        <w:t>.</w:t>
      </w:r>
      <w:r w:rsidR="00B533AB">
        <w:rPr>
          <w:rStyle w:val="FootnoteReference"/>
        </w:rPr>
        <w:footnoteReference w:id="14"/>
      </w:r>
      <w:r w:rsidR="00AA29CC">
        <w:t xml:space="preserve">  While acknowledging that </w:t>
      </w:r>
      <w:r w:rsidR="00311B5D">
        <w:t xml:space="preserve">the </w:t>
      </w:r>
      <w:r w:rsidR="00C126A7">
        <w:t>Maryland</w:t>
      </w:r>
      <w:r w:rsidR="00AA29CC">
        <w:t xml:space="preserve"> Commission retained jurisdiction over matters such as siting, the Court went on to state that “after a generator physically comes into existence and operation and participates in the </w:t>
      </w:r>
      <w:r w:rsidR="00074BED">
        <w:t>wholesale</w:t>
      </w:r>
      <w:r w:rsidR="00AA29CC">
        <w:t xml:space="preserve"> electric energy market, the prices or rates received by that generator in exchange for wholesale energy and capacity sales are within the sole purview of the federal </w:t>
      </w:r>
      <w:r w:rsidR="00751456">
        <w:t>government</w:t>
      </w:r>
      <w:r w:rsidR="00AA29CC">
        <w:t>.”</w:t>
      </w:r>
      <w:r w:rsidR="00AA29CC">
        <w:rPr>
          <w:rStyle w:val="FootnoteReference"/>
        </w:rPr>
        <w:footnoteReference w:id="15"/>
      </w:r>
      <w:r w:rsidR="00AA29CC">
        <w:t xml:space="preserve">  </w:t>
      </w:r>
      <w:r w:rsidR="00F8550D">
        <w:t>The Court continued:</w:t>
      </w:r>
    </w:p>
    <w:p w:rsidR="00F8550D" w:rsidRDefault="00F8550D" w:rsidP="00F8550D">
      <w:pPr>
        <w:spacing w:line="240" w:lineRule="auto"/>
        <w:ind w:left="720" w:right="720" w:firstLine="0"/>
      </w:pPr>
      <w:r>
        <w:t xml:space="preserve">While Maryland may retain traditional state authority to regulate the development, location, and type of power plants within its borders, the </w:t>
      </w:r>
      <w:r>
        <w:lastRenderedPageBreak/>
        <w:t xml:space="preserve">scope of Maryland’s power is necessarily limited by FERC’s exclusive authority to set wholesale energy and capacity prices under, </w:t>
      </w:r>
      <w:r w:rsidRPr="00311B5D">
        <w:rPr>
          <w:i/>
        </w:rPr>
        <w:t>inter alia</w:t>
      </w:r>
      <w:r>
        <w:t xml:space="preserve">, the Supremacy </w:t>
      </w:r>
      <w:r w:rsidR="00311B5D">
        <w:t>Clause</w:t>
      </w:r>
      <w:r>
        <w:t xml:space="preserve"> and the field preemption doctrine.  Based on this principle, Maryland cannot secure the development of a new power plant by regulating in such a manner as to intrude </w:t>
      </w:r>
      <w:r w:rsidR="00751456">
        <w:t>into</w:t>
      </w:r>
      <w:r>
        <w:t xml:space="preserve"> the federal field of wholesale electric energy and capacity </w:t>
      </w:r>
      <w:r w:rsidR="009142EC">
        <w:t>price-</w:t>
      </w:r>
      <w:r>
        <w:t>setting.</w:t>
      </w:r>
      <w:r>
        <w:rPr>
          <w:rStyle w:val="FootnoteReference"/>
        </w:rPr>
        <w:footnoteReference w:id="16"/>
      </w:r>
    </w:p>
    <w:p w:rsidR="00311B5D" w:rsidRDefault="00311B5D" w:rsidP="00F8550D">
      <w:pPr>
        <w:spacing w:line="240" w:lineRule="auto"/>
        <w:ind w:left="720" w:right="720" w:firstLine="0"/>
      </w:pPr>
    </w:p>
    <w:p w:rsidR="00D713AC" w:rsidRDefault="00F8550D" w:rsidP="00F8550D">
      <w:pPr>
        <w:ind w:firstLine="0"/>
      </w:pPr>
      <w:r>
        <w:t xml:space="preserve">The </w:t>
      </w:r>
      <w:r w:rsidR="00311B5D">
        <w:t>intention</w:t>
      </w:r>
      <w:r>
        <w:t xml:space="preserve"> of the </w:t>
      </w:r>
      <w:r w:rsidR="00C126A7">
        <w:t>Maryland</w:t>
      </w:r>
      <w:r>
        <w:t xml:space="preserve"> Commission </w:t>
      </w:r>
      <w:r w:rsidR="00311B5D">
        <w:t xml:space="preserve">to fill a </w:t>
      </w:r>
      <w:r w:rsidR="00257108">
        <w:t xml:space="preserve">potential </w:t>
      </w:r>
      <w:r w:rsidR="00311B5D">
        <w:t xml:space="preserve">shortfall in capacity resources </w:t>
      </w:r>
      <w:r>
        <w:t xml:space="preserve">did not justify the Commission’s actions.  “Where a state action falls within a field Congress intended the </w:t>
      </w:r>
      <w:r w:rsidR="00826582">
        <w:t>federal</w:t>
      </w:r>
      <w:r>
        <w:t xml:space="preserve"> government alone to occupy, the good intentions and importance of the state’s objectives are immaterial to the field preemption analysis.”</w:t>
      </w:r>
      <w:r>
        <w:rPr>
          <w:rStyle w:val="FootnoteReference"/>
        </w:rPr>
        <w:footnoteReference w:id="17"/>
      </w:r>
      <w:r w:rsidR="00B533AB">
        <w:t xml:space="preserve">  </w:t>
      </w:r>
      <w:r w:rsidR="00E50E21">
        <w:t>The critical fact was whether the state order set the total wholesale compensation received by the generator.</w:t>
      </w:r>
      <w:r w:rsidR="00E50E21">
        <w:rPr>
          <w:rStyle w:val="FootnoteReference"/>
        </w:rPr>
        <w:footnoteReference w:id="18"/>
      </w:r>
    </w:p>
    <w:p w:rsidR="00F8550D" w:rsidRDefault="00F8550D" w:rsidP="00F8550D">
      <w:pPr>
        <w:ind w:firstLine="0"/>
      </w:pPr>
      <w:r>
        <w:tab/>
      </w:r>
      <w:r w:rsidR="00E50E21">
        <w:t>Based on the terms of the contract that allowed recovery of cost-based total compensation, t</w:t>
      </w:r>
      <w:r w:rsidR="00311B5D">
        <w:t xml:space="preserve">he Court determined that the </w:t>
      </w:r>
      <w:r w:rsidR="00C126A7">
        <w:t>Maryland</w:t>
      </w:r>
      <w:r w:rsidR="00311B5D">
        <w:t xml:space="preserve"> Commission’s order set a price for wholesale capacity and energy service.</w:t>
      </w:r>
      <w:r w:rsidR="00311B5D">
        <w:rPr>
          <w:rStyle w:val="FootnoteReference"/>
        </w:rPr>
        <w:footnoteReference w:id="19"/>
      </w:r>
      <w:r w:rsidR="00311B5D">
        <w:t xml:space="preserve">  Having found</w:t>
      </w:r>
      <w:r w:rsidR="00F629C6">
        <w:t xml:space="preserve"> that the </w:t>
      </w:r>
      <w:r w:rsidR="00C126A7">
        <w:t>Maryland</w:t>
      </w:r>
      <w:r w:rsidR="00F629C6">
        <w:t xml:space="preserve"> Commission had set a price for wholesale capacity and energy </w:t>
      </w:r>
      <w:r w:rsidR="00311B5D">
        <w:t>service</w:t>
      </w:r>
      <w:r w:rsidR="00F629C6">
        <w:t xml:space="preserve">, the </w:t>
      </w:r>
      <w:r w:rsidR="00534736">
        <w:t xml:space="preserve">District </w:t>
      </w:r>
      <w:r w:rsidR="00F629C6">
        <w:t>Court concluded</w:t>
      </w:r>
      <w:r w:rsidR="00311B5D">
        <w:t xml:space="preserve"> that the Commission’s actions were preempted:</w:t>
      </w:r>
      <w:r w:rsidR="00F629C6">
        <w:t xml:space="preserve"> “</w:t>
      </w:r>
      <w:r w:rsidR="00E50E21">
        <w:t>[U]</w:t>
      </w:r>
      <w:r w:rsidR="00F629C6">
        <w:t>nder field preemption principles, the [</w:t>
      </w:r>
      <w:r w:rsidR="00C126A7">
        <w:t>Maryland</w:t>
      </w:r>
      <w:r w:rsidR="00F629C6">
        <w:t xml:space="preserve"> Commission] is impotent to take regulatory action to establish the price for wholesale energy and capacity sales.  FERC has exclusive domain in that field and has fixed the price for wholesale energy and capacity sales in the PJM Markets as the market-based rate produced by the auction processes approved by FERC and utilized by PJM.”</w:t>
      </w:r>
      <w:r w:rsidR="00F629C6">
        <w:rPr>
          <w:rStyle w:val="FootnoteReference"/>
        </w:rPr>
        <w:footnoteReference w:id="20"/>
      </w:r>
      <w:r w:rsidR="00826582">
        <w:t xml:space="preserve">  Further, the Court stated:</w:t>
      </w:r>
    </w:p>
    <w:p w:rsidR="00826582" w:rsidRDefault="006A0CD9" w:rsidP="00826582">
      <w:pPr>
        <w:spacing w:line="240" w:lineRule="auto"/>
        <w:ind w:left="720" w:right="720" w:firstLine="0"/>
      </w:pPr>
      <w:r>
        <w:lastRenderedPageBreak/>
        <w:t xml:space="preserve">Because states have no authority, either </w:t>
      </w:r>
      <w:r w:rsidR="002676E9">
        <w:t>traditional</w:t>
      </w:r>
      <w:r>
        <w:t xml:space="preserve"> or otherwise, to set wholesale rates, the compensation received by [the generator] for its wholesale energy and capacity </w:t>
      </w:r>
      <w:r w:rsidR="009142EC">
        <w:t xml:space="preserve">sales </w:t>
      </w:r>
      <w:r>
        <w:t>is exclusively subject to regulation of FERC.</w:t>
      </w:r>
      <w:r w:rsidR="00826582" w:rsidRPr="00826582">
        <w:t xml:space="preserve">  While there exist legitimate ways in which states may secure the development of generation facilities, </w:t>
      </w:r>
      <w:r w:rsidR="00826582" w:rsidRPr="000A7C17">
        <w:rPr>
          <w:i/>
        </w:rPr>
        <w:t>states may not do so by dictating the ultimate price received by the generation facility for its actual wholesale energy and capacity sales in the PJM Markets without running afoul of the Supremacy Clause</w:t>
      </w:r>
      <w:r w:rsidR="00826582" w:rsidRPr="00826582">
        <w:t>.</w:t>
      </w:r>
      <w:r w:rsidR="00C07952">
        <w:rPr>
          <w:rStyle w:val="FootnoteReference"/>
        </w:rPr>
        <w:footnoteReference w:id="21"/>
      </w:r>
    </w:p>
    <w:p w:rsidR="00E24455" w:rsidRDefault="00E24455" w:rsidP="00CD13F0">
      <w:pPr>
        <w:spacing w:line="240" w:lineRule="auto"/>
        <w:ind w:right="720" w:firstLine="0"/>
      </w:pPr>
    </w:p>
    <w:p w:rsidR="00E24455" w:rsidRPr="00CD13F0" w:rsidRDefault="00E24455" w:rsidP="00CD13F0">
      <w:pPr>
        <w:spacing w:line="240" w:lineRule="auto"/>
        <w:ind w:right="720" w:firstLine="0"/>
        <w:rPr>
          <w:b/>
          <w:i/>
        </w:rPr>
      </w:pPr>
      <w:r w:rsidRPr="00CD13F0">
        <w:rPr>
          <w:b/>
          <w:i/>
        </w:rPr>
        <w:t>PPL II</w:t>
      </w:r>
    </w:p>
    <w:p w:rsidR="00C07952" w:rsidRDefault="00C07952" w:rsidP="00826582">
      <w:pPr>
        <w:spacing w:line="240" w:lineRule="auto"/>
        <w:ind w:left="720" w:right="720" w:firstLine="0"/>
      </w:pPr>
    </w:p>
    <w:p w:rsidR="00287712" w:rsidRDefault="00F629C6" w:rsidP="00F8550D">
      <w:pPr>
        <w:ind w:firstLine="0"/>
      </w:pPr>
      <w:r>
        <w:tab/>
      </w:r>
      <w:r w:rsidR="00910957">
        <w:t xml:space="preserve">In </w:t>
      </w:r>
      <w:r w:rsidR="00910957" w:rsidRPr="00CD13F0">
        <w:rPr>
          <w:i/>
        </w:rPr>
        <w:t>PPL II</w:t>
      </w:r>
      <w:r w:rsidR="00910957">
        <w:t xml:space="preserve">, </w:t>
      </w:r>
      <w:r w:rsidR="0084591E">
        <w:t>the District</w:t>
      </w:r>
      <w:r w:rsidR="00B519D0">
        <w:t xml:space="preserve"> Court’s decision </w:t>
      </w:r>
      <w:r w:rsidR="00FA380A">
        <w:t xml:space="preserve">finding LCAPP preempted and void </w:t>
      </w:r>
      <w:r w:rsidR="0084591E">
        <w:t xml:space="preserve">again </w:t>
      </w:r>
      <w:r w:rsidR="00B519D0">
        <w:t xml:space="preserve">arose in a state in which </w:t>
      </w:r>
      <w:r w:rsidR="00FA380A">
        <w:t xml:space="preserve">state law mandates </w:t>
      </w:r>
      <w:r w:rsidR="0084591E">
        <w:t xml:space="preserve">retail electric </w:t>
      </w:r>
      <w:r w:rsidR="00B519D0">
        <w:t>competition.  Like Ohio and Maryland, t</w:t>
      </w:r>
      <w:r w:rsidR="00E12A9A">
        <w:t xml:space="preserve">he New Jersey legislature </w:t>
      </w:r>
      <w:r w:rsidR="00FA380A">
        <w:t>enacted legislation restructuring</w:t>
      </w:r>
      <w:r w:rsidR="00E12A9A">
        <w:t xml:space="preserve"> the retail electric generation business and its regulati</w:t>
      </w:r>
      <w:r w:rsidR="007769D5">
        <w:t>on in 1999</w:t>
      </w:r>
      <w:r w:rsidR="00E12A9A">
        <w:t>.</w:t>
      </w:r>
      <w:r w:rsidR="007769D5">
        <w:rPr>
          <w:rStyle w:val="FootnoteReference"/>
        </w:rPr>
        <w:footnoteReference w:id="22"/>
      </w:r>
      <w:r w:rsidR="00E12A9A">
        <w:t xml:space="preserve">  The </w:t>
      </w:r>
      <w:r w:rsidR="00FA380A">
        <w:t>legislation</w:t>
      </w:r>
      <w:r w:rsidR="00E12A9A">
        <w:t xml:space="preserve"> required New Jersey electric distribution </w:t>
      </w:r>
      <w:r w:rsidR="007A4891">
        <w:t>companies</w:t>
      </w:r>
      <w:r w:rsidR="00E12A9A">
        <w:t xml:space="preserve"> to divest their generation assets and permitted retail customers to choose a generation supplier.</w:t>
      </w:r>
      <w:r w:rsidR="00270720">
        <w:rPr>
          <w:rStyle w:val="FootnoteReference"/>
        </w:rPr>
        <w:footnoteReference w:id="23"/>
      </w:r>
      <w:r w:rsidR="00E12A9A">
        <w:t xml:space="preserve">  </w:t>
      </w:r>
      <w:r w:rsidR="00FA380A">
        <w:t>Over the opposition of New Jersey officials, p</w:t>
      </w:r>
      <w:r w:rsidR="00B519D0">
        <w:t>ric</w:t>
      </w:r>
      <w:r w:rsidR="007A4891">
        <w:t>i</w:t>
      </w:r>
      <w:r w:rsidR="00B519D0">
        <w:t xml:space="preserve">ng of wholesale capacity resources in New Jersey was governed by PJM </w:t>
      </w:r>
      <w:r w:rsidR="009F0C4B">
        <w:t>under</w:t>
      </w:r>
      <w:r w:rsidR="00B519D0">
        <w:t xml:space="preserve"> RPM.  Beginning in 2006</w:t>
      </w:r>
      <w:r w:rsidR="009F0C4B">
        <w:t>, state</w:t>
      </w:r>
      <w:r w:rsidR="00287712">
        <w:t xml:space="preserve"> leaders </w:t>
      </w:r>
      <w:r w:rsidR="009F0C4B">
        <w:t xml:space="preserve">opposed the adoption of RPM </w:t>
      </w:r>
      <w:r w:rsidR="00FA380A">
        <w:t>based on concerns</w:t>
      </w:r>
      <w:r w:rsidR="00287712">
        <w:t xml:space="preserve"> that RPM</w:t>
      </w:r>
      <w:r w:rsidR="00B519D0">
        <w:t>,</w:t>
      </w:r>
      <w:r w:rsidR="00287712">
        <w:t xml:space="preserve"> </w:t>
      </w:r>
      <w:r w:rsidR="00B519D0">
        <w:t>transmission constraints, and the effects of environmental regulation</w:t>
      </w:r>
      <w:r w:rsidR="00B519D0" w:rsidRPr="00B519D0">
        <w:t xml:space="preserve"> </w:t>
      </w:r>
      <w:r w:rsidR="00B519D0">
        <w:t>would result in insuffici</w:t>
      </w:r>
      <w:r w:rsidR="00FA380A">
        <w:t>ent capacity to serve the state</w:t>
      </w:r>
      <w:r w:rsidR="00287712">
        <w:t>.</w:t>
      </w:r>
      <w:r w:rsidR="00270720">
        <w:rPr>
          <w:rStyle w:val="FootnoteReference"/>
        </w:rPr>
        <w:footnoteReference w:id="24"/>
      </w:r>
      <w:r w:rsidR="00287712">
        <w:t xml:space="preserve">  </w:t>
      </w:r>
    </w:p>
    <w:p w:rsidR="00910957" w:rsidRDefault="00287712" w:rsidP="00CD13F0">
      <w:r>
        <w:t>In response to the concerns regarding sufficient capacity resources, t</w:t>
      </w:r>
      <w:r w:rsidR="00910957">
        <w:t>he New Jersey legislature enacted LCAPP in 2011.</w:t>
      </w:r>
      <w:r w:rsidR="003722EB">
        <w:rPr>
          <w:rStyle w:val="FootnoteReference"/>
        </w:rPr>
        <w:footnoteReference w:id="25"/>
      </w:r>
      <w:r w:rsidR="00910957">
        <w:t xml:space="preserve"> </w:t>
      </w:r>
      <w:r>
        <w:t xml:space="preserve"> </w:t>
      </w:r>
      <w:r w:rsidR="009F0C4B">
        <w:t xml:space="preserve">An express purpose of LCAPP and the contracts approved under the statute was to provide a transaction structure that would result in new power plant construction in the PJM region that would benefit New </w:t>
      </w:r>
      <w:r w:rsidR="009F0C4B">
        <w:lastRenderedPageBreak/>
        <w:t>Jersey.</w:t>
      </w:r>
      <w:r w:rsidR="009F0C4B">
        <w:rPr>
          <w:rStyle w:val="FootnoteReference"/>
        </w:rPr>
        <w:footnoteReference w:id="26"/>
      </w:r>
      <w:r w:rsidR="009F0C4B">
        <w:t xml:space="preserve"> </w:t>
      </w:r>
      <w:r w:rsidR="007A4891">
        <w:t xml:space="preserve"> </w:t>
      </w:r>
      <w:r w:rsidR="009F0C4B">
        <w:t>To effect that purpose, t</w:t>
      </w:r>
      <w:r w:rsidR="00910957">
        <w:t xml:space="preserve">he statute required New Jersey electric distribution </w:t>
      </w:r>
      <w:r w:rsidR="007A4891">
        <w:t>companies</w:t>
      </w:r>
      <w:r w:rsidR="00910957">
        <w:t xml:space="preserve"> to enter into </w:t>
      </w:r>
      <w:r w:rsidR="009F0C4B">
        <w:t xml:space="preserve">long-term </w:t>
      </w:r>
      <w:r w:rsidR="00910957">
        <w:t xml:space="preserve">contracts with eligible generators </w:t>
      </w:r>
      <w:r w:rsidR="003722EB">
        <w:t xml:space="preserve">selected through a competitive bidding process </w:t>
      </w:r>
      <w:r w:rsidR="00910957">
        <w:t xml:space="preserve">and pay </w:t>
      </w:r>
      <w:r w:rsidR="009F0C4B">
        <w:t xml:space="preserve">the generators </w:t>
      </w:r>
      <w:r w:rsidR="00910957">
        <w:t>the difference betwe</w:t>
      </w:r>
      <w:r w:rsidR="003722EB">
        <w:t xml:space="preserve">en the RPM auction price and </w:t>
      </w:r>
      <w:r w:rsidR="009F0C4B">
        <w:t>the</w:t>
      </w:r>
      <w:r w:rsidR="003722EB">
        <w:t xml:space="preserve"> </w:t>
      </w:r>
      <w:r w:rsidR="009F0C4B">
        <w:t>“</w:t>
      </w:r>
      <w:r w:rsidR="003722EB">
        <w:t>actual development costs</w:t>
      </w:r>
      <w:r w:rsidR="009F0C4B">
        <w:t>” of the generator</w:t>
      </w:r>
      <w:r w:rsidR="003722EB">
        <w:t>.</w:t>
      </w:r>
      <w:r w:rsidR="003722EB">
        <w:rPr>
          <w:rStyle w:val="FootnoteReference"/>
        </w:rPr>
        <w:footnoteReference w:id="27"/>
      </w:r>
      <w:r w:rsidR="003722EB">
        <w:t xml:space="preserve">  </w:t>
      </w:r>
      <w:r w:rsidR="009F0C4B">
        <w:t>(</w:t>
      </w:r>
      <w:r>
        <w:t>The approved contract for one generator required above-market payments to the generator for fifteen years</w:t>
      </w:r>
      <w:r w:rsidR="00896641">
        <w:t>)</w:t>
      </w:r>
      <w:r>
        <w:t>.</w:t>
      </w:r>
      <w:r>
        <w:rPr>
          <w:rStyle w:val="FootnoteReference"/>
        </w:rPr>
        <w:footnoteReference w:id="28"/>
      </w:r>
      <w:r>
        <w:t xml:space="preserve"> </w:t>
      </w:r>
    </w:p>
    <w:p w:rsidR="00D92B14" w:rsidRDefault="00D92B14" w:rsidP="00F8550D">
      <w:pPr>
        <w:ind w:firstLine="0"/>
      </w:pPr>
      <w:r>
        <w:tab/>
      </w:r>
      <w:r w:rsidR="00287712">
        <w:t xml:space="preserve">Following analysis similar to that </w:t>
      </w:r>
      <w:r w:rsidR="00E24455">
        <w:t xml:space="preserve">in </w:t>
      </w:r>
      <w:r w:rsidR="00E24455">
        <w:rPr>
          <w:i/>
        </w:rPr>
        <w:t>PPL</w:t>
      </w:r>
      <w:r w:rsidR="00287712" w:rsidRPr="00CD13F0">
        <w:rPr>
          <w:i/>
        </w:rPr>
        <w:t xml:space="preserve"> I</w:t>
      </w:r>
      <w:r w:rsidR="00287712">
        <w:t xml:space="preserve">, the District Court initially determined that </w:t>
      </w:r>
      <w:r w:rsidR="00516B93">
        <w:t xml:space="preserve">LCAPP </w:t>
      </w:r>
      <w:r w:rsidR="0084591E">
        <w:t>was</w:t>
      </w:r>
      <w:r w:rsidR="00287712">
        <w:t xml:space="preserve"> preempted under field preemption</w:t>
      </w:r>
      <w:r w:rsidR="0084591E">
        <w:t xml:space="preserve"> </w:t>
      </w:r>
      <w:r w:rsidR="00FA380A">
        <w:t>because</w:t>
      </w:r>
      <w:r>
        <w:t xml:space="preserve"> </w:t>
      </w:r>
      <w:r w:rsidR="0084591E">
        <w:t xml:space="preserve">LCAPP supplants the </w:t>
      </w:r>
      <w:r w:rsidR="00FA380A">
        <w:t>FPA</w:t>
      </w:r>
      <w:r w:rsidR="0084591E">
        <w:t>.</w:t>
      </w:r>
      <w:r w:rsidR="0084591E">
        <w:rPr>
          <w:rStyle w:val="FootnoteReference"/>
        </w:rPr>
        <w:footnoteReference w:id="29"/>
      </w:r>
      <w:r>
        <w:t xml:space="preserve">  </w:t>
      </w:r>
      <w:r w:rsidR="009F0C4B">
        <w:t>To support that finding, t</w:t>
      </w:r>
      <w:r>
        <w:t xml:space="preserve">he Court identified various terms of the </w:t>
      </w:r>
      <w:r w:rsidR="0084591E">
        <w:t xml:space="preserve">LCAPP </w:t>
      </w:r>
      <w:r>
        <w:t>contract</w:t>
      </w:r>
      <w:r w:rsidR="00FA380A">
        <w:t>s</w:t>
      </w:r>
      <w:r>
        <w:t xml:space="preserve"> that relied on RPM terminology and related specifically to the determination of a wholesale capacity price.</w:t>
      </w:r>
      <w:r>
        <w:rPr>
          <w:rStyle w:val="FootnoteReference"/>
        </w:rPr>
        <w:footnoteReference w:id="30"/>
      </w:r>
      <w:r>
        <w:t xml:space="preserve">  </w:t>
      </w:r>
      <w:r w:rsidR="007612DC">
        <w:t xml:space="preserve">The Court then determined that the field of wholesale electricity pricing was a field within </w:t>
      </w:r>
      <w:r w:rsidR="00287712">
        <w:t>the exclusive authority of FERC</w:t>
      </w:r>
      <w:r w:rsidR="007612DC">
        <w:rPr>
          <w:rStyle w:val="FootnoteReference"/>
        </w:rPr>
        <w:footnoteReference w:id="31"/>
      </w:r>
      <w:r w:rsidR="00287712">
        <w:t xml:space="preserve"> and that</w:t>
      </w:r>
      <w:r w:rsidR="007612DC">
        <w:t xml:space="preserve"> LCAPP and the </w:t>
      </w:r>
      <w:r w:rsidR="00896641">
        <w:t>New Jersey Board of Public Utilities (“</w:t>
      </w:r>
      <w:r w:rsidR="007612DC">
        <w:t>NJ Board</w:t>
      </w:r>
      <w:r w:rsidR="00896641">
        <w:t>”)</w:t>
      </w:r>
      <w:r w:rsidR="007612DC">
        <w:t xml:space="preserve"> approved contracts sought to supplant the FPA by establish</w:t>
      </w:r>
      <w:r w:rsidR="00287712">
        <w:t>ing</w:t>
      </w:r>
      <w:r w:rsidR="007612DC">
        <w:t xml:space="preserve"> the price that LCAPP generators </w:t>
      </w:r>
      <w:r w:rsidR="009F0C4B">
        <w:t>would</w:t>
      </w:r>
      <w:r w:rsidR="007612DC">
        <w:t xml:space="preserve"> receive for their sales of </w:t>
      </w:r>
      <w:r w:rsidR="00287712">
        <w:t xml:space="preserve">wholesale </w:t>
      </w:r>
      <w:r w:rsidR="007612DC">
        <w:t xml:space="preserve">capacity.  </w:t>
      </w:r>
      <w:r w:rsidR="00516B93">
        <w:t>Accordingly,</w:t>
      </w:r>
      <w:r w:rsidR="007612DC">
        <w:t xml:space="preserve"> LCAPP </w:t>
      </w:r>
      <w:r w:rsidR="00516B93">
        <w:t>was preempted</w:t>
      </w:r>
      <w:r w:rsidR="007612DC">
        <w:t>.</w:t>
      </w:r>
      <w:r w:rsidR="007612DC">
        <w:rPr>
          <w:rStyle w:val="FootnoteReference"/>
        </w:rPr>
        <w:footnoteReference w:id="32"/>
      </w:r>
    </w:p>
    <w:p w:rsidR="00802CDC" w:rsidRPr="00CD13F0" w:rsidRDefault="007612DC" w:rsidP="00F8550D">
      <w:pPr>
        <w:ind w:firstLine="0"/>
      </w:pPr>
      <w:r>
        <w:tab/>
        <w:t xml:space="preserve">The District Court also </w:t>
      </w:r>
      <w:r w:rsidR="00E12A9A">
        <w:t>held</w:t>
      </w:r>
      <w:r>
        <w:t xml:space="preserve"> that there was a conflict between state and federal law </w:t>
      </w:r>
      <w:r w:rsidR="00E12A9A">
        <w:t xml:space="preserve">that required the state law to be preempted.  Under conflict preemption doctrine, </w:t>
      </w:r>
      <w:r w:rsidR="009F0C4B">
        <w:t>a</w:t>
      </w:r>
      <w:r w:rsidR="00E12A9A">
        <w:t xml:space="preserve"> state law is preempted if </w:t>
      </w:r>
      <w:r w:rsidR="009F0C4B">
        <w:t>it</w:t>
      </w:r>
      <w:r>
        <w:t xml:space="preserve"> stand</w:t>
      </w:r>
      <w:r w:rsidR="007769D5">
        <w:t>s</w:t>
      </w:r>
      <w:r>
        <w:t xml:space="preserve"> as an obstacle to the accomplishment of the purposes </w:t>
      </w:r>
      <w:r>
        <w:lastRenderedPageBreak/>
        <w:t>and objectives of Congress.</w:t>
      </w:r>
      <w:r>
        <w:rPr>
          <w:rStyle w:val="FootnoteReference"/>
        </w:rPr>
        <w:footnoteReference w:id="33"/>
      </w:r>
      <w:r>
        <w:t xml:space="preserve">  </w:t>
      </w:r>
      <w:r w:rsidR="00E12A9A">
        <w:t>If there is a conflict</w:t>
      </w:r>
      <w:r>
        <w:t xml:space="preserve">, the state law must yield regardless of the purpose the state </w:t>
      </w:r>
      <w:r w:rsidR="007769D5">
        <w:t>seeks</w:t>
      </w:r>
      <w:r>
        <w:t xml:space="preserve"> to pursue.</w:t>
      </w:r>
      <w:r>
        <w:rPr>
          <w:rStyle w:val="FootnoteReference"/>
        </w:rPr>
        <w:footnoteReference w:id="34"/>
      </w:r>
      <w:r w:rsidR="00E12A9A">
        <w:t xml:space="preserve">  The District Court held that LCAPP poses an obstacle to FERC’s implementation of RPM because the record demonstrated that LCAPP undermined competitors’ reliance on the price signals provided by RPM.</w:t>
      </w:r>
      <w:r w:rsidR="00E12A9A">
        <w:rPr>
          <w:rStyle w:val="FootnoteReference"/>
        </w:rPr>
        <w:footnoteReference w:id="35"/>
      </w:r>
      <w:r w:rsidR="00E12A9A">
        <w:t xml:space="preserve">  “The effects … demonstrate that the [Commission-approved contract’s] imposition of a government imposed price creates an obstacle to [FERC’s] preferred method for the wholesale sale of electricity in interstate commerce.”</w:t>
      </w:r>
      <w:r w:rsidR="00E12A9A">
        <w:rPr>
          <w:rStyle w:val="FootnoteReference"/>
        </w:rPr>
        <w:footnoteReference w:id="36"/>
      </w:r>
    </w:p>
    <w:p w:rsidR="00E24455" w:rsidRPr="00CD13F0" w:rsidRDefault="00E24455" w:rsidP="00F8550D">
      <w:pPr>
        <w:ind w:firstLine="0"/>
        <w:rPr>
          <w:b/>
          <w:i/>
        </w:rPr>
      </w:pPr>
      <w:r w:rsidRPr="00CD13F0">
        <w:rPr>
          <w:b/>
          <w:i/>
        </w:rPr>
        <w:t>The FPA Preempts Commission Wholesale Price Setting</w:t>
      </w:r>
    </w:p>
    <w:p w:rsidR="00260A2A" w:rsidRDefault="00CB05CC" w:rsidP="00260A2A">
      <w:r>
        <w:t xml:space="preserve">In this Application, Duke </w:t>
      </w:r>
      <w:r w:rsidR="00840088">
        <w:t>complains that it is not receiving sufficient revenue because it has agreed to accept only the RPM-based Price.</w:t>
      </w:r>
      <w:r w:rsidR="00840088">
        <w:rPr>
          <w:rStyle w:val="FootnoteReference"/>
        </w:rPr>
        <w:footnoteReference w:id="37"/>
      </w:r>
      <w:r w:rsidR="00840088">
        <w:t xml:space="preserve">  It then seeks a formula-based increase in the total compensation it would receive for Capacity Service.</w:t>
      </w:r>
      <w:r w:rsidR="00840088">
        <w:rPr>
          <w:rStyle w:val="FootnoteReference"/>
        </w:rPr>
        <w:footnoteReference w:id="38"/>
      </w:r>
      <w:r w:rsidR="00260A2A">
        <w:t xml:space="preserve">  </w:t>
      </w:r>
      <w:r w:rsidR="00DD56FB">
        <w:t>Duke further states that the service for which it is seeking increased compensation is a wholesale service</w:t>
      </w:r>
      <w:r w:rsidR="00260A2A">
        <w:t>,</w:t>
      </w:r>
      <w:r w:rsidR="00DD56FB">
        <w:rPr>
          <w:rStyle w:val="FootnoteReference"/>
        </w:rPr>
        <w:footnoteReference w:id="39"/>
      </w:r>
      <w:r w:rsidR="00DD56FB">
        <w:t xml:space="preserve"> relying on the Commission’s decision in the</w:t>
      </w:r>
      <w:r w:rsidR="00F629C6">
        <w:t xml:space="preserve"> </w:t>
      </w:r>
      <w:r w:rsidR="00F629C6" w:rsidRPr="00C07952">
        <w:rPr>
          <w:i/>
        </w:rPr>
        <w:t>AEP-Ohio Capacity Case</w:t>
      </w:r>
      <w:r w:rsidR="00DD56FB">
        <w:t>.</w:t>
      </w:r>
      <w:r w:rsidR="00826582">
        <w:rPr>
          <w:rStyle w:val="FootnoteReference"/>
        </w:rPr>
        <w:footnoteReference w:id="40"/>
      </w:r>
      <w:r w:rsidR="00DD56FB">
        <w:t xml:space="preserve">  </w:t>
      </w:r>
    </w:p>
    <w:p w:rsidR="007769D5" w:rsidRDefault="00005BF5" w:rsidP="00260A2A">
      <w:r>
        <w:t xml:space="preserve">As demonstrated in the </w:t>
      </w:r>
      <w:r w:rsidRPr="00005BF5">
        <w:rPr>
          <w:i/>
        </w:rPr>
        <w:t>PPL</w:t>
      </w:r>
      <w:r>
        <w:t xml:space="preserve"> decisions, the</w:t>
      </w:r>
      <w:r w:rsidR="00B034F2">
        <w:t xml:space="preserve"> </w:t>
      </w:r>
      <w:r>
        <w:t>price setting</w:t>
      </w:r>
      <w:r w:rsidR="00B034F2">
        <w:t xml:space="preserve"> of wholesale capacity and energy services is within</w:t>
      </w:r>
      <w:r w:rsidR="00826582">
        <w:t xml:space="preserve"> </w:t>
      </w:r>
      <w:r w:rsidR="00B034F2">
        <w:t>the</w:t>
      </w:r>
      <w:r w:rsidR="00826582">
        <w:t xml:space="preserve"> </w:t>
      </w:r>
      <w:r w:rsidR="00DD56FB">
        <w:t xml:space="preserve">exclusive </w:t>
      </w:r>
      <w:r w:rsidR="00826582">
        <w:t xml:space="preserve">federal authority </w:t>
      </w:r>
      <w:r w:rsidR="00B034F2">
        <w:t>of</w:t>
      </w:r>
      <w:r w:rsidR="00826582">
        <w:t xml:space="preserve"> FERC</w:t>
      </w:r>
      <w:r>
        <w:t xml:space="preserve"> under the F</w:t>
      </w:r>
      <w:r w:rsidR="006F532D">
        <w:t>PA</w:t>
      </w:r>
      <w:bookmarkStart w:id="2" w:name="_GoBack"/>
      <w:bookmarkEnd w:id="2"/>
      <w:r w:rsidR="00B034F2">
        <w:t>.</w:t>
      </w:r>
      <w:r w:rsidR="00B034F2" w:rsidRPr="00B034F2">
        <w:t xml:space="preserve"> </w:t>
      </w:r>
      <w:r w:rsidR="00B034F2">
        <w:t xml:space="preserve"> Based on well-understood principles that </w:t>
      </w:r>
      <w:r w:rsidR="00B034F2" w:rsidRPr="00E84C18">
        <w:t xml:space="preserve">a state </w:t>
      </w:r>
      <w:r w:rsidR="000D187D">
        <w:t xml:space="preserve">law or administrative </w:t>
      </w:r>
      <w:r w:rsidR="00B034F2" w:rsidRPr="00E84C18">
        <w:t xml:space="preserve">action </w:t>
      </w:r>
      <w:r w:rsidR="00B034F2">
        <w:t xml:space="preserve">is </w:t>
      </w:r>
      <w:r w:rsidR="00B034F2">
        <w:lastRenderedPageBreak/>
        <w:t>preempted if it falls</w:t>
      </w:r>
      <w:r w:rsidR="00B034F2" w:rsidRPr="00E84C18">
        <w:t xml:space="preserve"> within a field Congress intended the federal government alone to occupy</w:t>
      </w:r>
      <w:r w:rsidR="00B034F2">
        <w:t xml:space="preserve">, the Commission </w:t>
      </w:r>
      <w:r w:rsidR="000D187D">
        <w:t>is preempted from increasing the total compensation of Duke for wholesale Capacity Service</w:t>
      </w:r>
      <w:r w:rsidR="00B034F2">
        <w:t xml:space="preserve">.  </w:t>
      </w:r>
    </w:p>
    <w:p w:rsidR="00823B48" w:rsidRDefault="0063094B" w:rsidP="00CD13F0">
      <w:r>
        <w:t xml:space="preserve">The Commission’s motivation for increasing total compensation for Capacity Service does not provide a basis for avoiding the preemptive effect of the FPA.  </w:t>
      </w:r>
      <w:r w:rsidR="00D713AC">
        <w:t xml:space="preserve">Policy justifications, whether based on the desire to increase </w:t>
      </w:r>
      <w:r w:rsidR="00260A2A">
        <w:t xml:space="preserve">available </w:t>
      </w:r>
      <w:r w:rsidR="00D713AC">
        <w:t xml:space="preserve">capacity resources as in Maryland </w:t>
      </w:r>
      <w:r w:rsidR="00E12A9A">
        <w:t xml:space="preserve">and New Jersey </w:t>
      </w:r>
      <w:r w:rsidR="00D713AC">
        <w:t xml:space="preserve">or to protect the financial integrity of </w:t>
      </w:r>
      <w:r w:rsidR="00260A2A">
        <w:t>an electric</w:t>
      </w:r>
      <w:r w:rsidR="00D713AC">
        <w:t xml:space="preserve"> distribution utility as the Commission has </w:t>
      </w:r>
      <w:r w:rsidR="00260A2A">
        <w:t>asserted</w:t>
      </w:r>
      <w:r w:rsidR="00D713AC">
        <w:t xml:space="preserve"> in the </w:t>
      </w:r>
      <w:r w:rsidR="00D713AC" w:rsidRPr="00823B48">
        <w:rPr>
          <w:i/>
        </w:rPr>
        <w:t>AEP-Ohio Capacity Case</w:t>
      </w:r>
      <w:r w:rsidR="00DD56FB">
        <w:rPr>
          <w:rStyle w:val="FootnoteReference"/>
          <w:i/>
        </w:rPr>
        <w:footnoteReference w:id="41"/>
      </w:r>
      <w:r w:rsidR="00DD56FB">
        <w:rPr>
          <w:i/>
        </w:rPr>
        <w:t xml:space="preserve"> </w:t>
      </w:r>
      <w:r w:rsidR="00D713AC">
        <w:t>and Duke urges in this case,</w:t>
      </w:r>
      <w:r w:rsidR="00DD56FB">
        <w:rPr>
          <w:rStyle w:val="FootnoteReference"/>
        </w:rPr>
        <w:footnoteReference w:id="42"/>
      </w:r>
      <w:r w:rsidR="00D713AC">
        <w:t xml:space="preserve"> do not provide any </w:t>
      </w:r>
      <w:r w:rsidR="006A0CD9">
        <w:t>lawful justification</w:t>
      </w:r>
      <w:r w:rsidR="00D713AC">
        <w:t>.</w:t>
      </w:r>
      <w:r>
        <w:t xml:space="preserve">  If the </w:t>
      </w:r>
      <w:r w:rsidR="00260A2A">
        <w:t xml:space="preserve">Commission </w:t>
      </w:r>
      <w:r>
        <w:t>order invades the field governed by the FPA, the order is preempted</w:t>
      </w:r>
      <w:r w:rsidR="00DD56FB">
        <w:t>, regardless of the Commission’s purpose</w:t>
      </w:r>
      <w:r>
        <w:t>.</w:t>
      </w:r>
    </w:p>
    <w:p w:rsidR="00B034F2" w:rsidRDefault="00D713AC" w:rsidP="00823B48">
      <w:r>
        <w:t xml:space="preserve">Likewise, an increase in the total compensation cannot be justified because </w:t>
      </w:r>
      <w:r w:rsidR="00AA162C">
        <w:t xml:space="preserve">all customers would be required to pay </w:t>
      </w:r>
      <w:r w:rsidR="00352365">
        <w:t xml:space="preserve">the increase </w:t>
      </w:r>
      <w:r w:rsidR="00E50E21">
        <w:t xml:space="preserve">through a nonbypassable </w:t>
      </w:r>
      <w:r w:rsidR="00823B48">
        <w:t xml:space="preserve">“retail” </w:t>
      </w:r>
      <w:r w:rsidR="00E50E21">
        <w:t>charge</w:t>
      </w:r>
      <w:r w:rsidR="008E3946">
        <w:t>.</w:t>
      </w:r>
      <w:r w:rsidR="00E50E21">
        <w:t xml:space="preserve"> </w:t>
      </w:r>
      <w:r w:rsidR="008E3946">
        <w:t xml:space="preserve"> </w:t>
      </w:r>
      <w:r w:rsidR="00DB4486">
        <w:t xml:space="preserve">As </w:t>
      </w:r>
      <w:r w:rsidR="00EF1A66">
        <w:t>shown</w:t>
      </w:r>
      <w:r w:rsidR="00DB4486">
        <w:t xml:space="preserve"> by the decision in </w:t>
      </w:r>
      <w:r w:rsidR="00DB4486">
        <w:rPr>
          <w:i/>
        </w:rPr>
        <w:t>PPL I,</w:t>
      </w:r>
      <w:r w:rsidR="00DB4486">
        <w:t xml:space="preserve"> authorization of a retail charge does not save the request for additional </w:t>
      </w:r>
      <w:r w:rsidR="00B034F2">
        <w:t xml:space="preserve">wholesale </w:t>
      </w:r>
      <w:r w:rsidR="00DB4486">
        <w:t>compensation from the preemptive effect of the FPA.</w:t>
      </w:r>
    </w:p>
    <w:p w:rsidR="00B034F2" w:rsidRDefault="00B034F2">
      <w:r>
        <w:br w:type="page"/>
      </w:r>
    </w:p>
    <w:p w:rsidR="00B034F2" w:rsidRDefault="00260A2A" w:rsidP="00823B48">
      <w:r>
        <w:lastRenderedPageBreak/>
        <w:t>Accordingly, t</w:t>
      </w:r>
      <w:r w:rsidR="00444377">
        <w:t>he</w:t>
      </w:r>
      <w:r w:rsidR="00E24455">
        <w:t xml:space="preserve"> FPA</w:t>
      </w:r>
      <w:r w:rsidR="00444377">
        <w:t xml:space="preserve"> </w:t>
      </w:r>
      <w:r w:rsidR="00E24455">
        <w:t xml:space="preserve">preempts </w:t>
      </w:r>
      <w:r w:rsidR="00001786">
        <w:t xml:space="preserve">the Commission from authorizing </w:t>
      </w:r>
      <w:r>
        <w:t>Duke’s</w:t>
      </w:r>
      <w:r w:rsidR="00001786">
        <w:t xml:space="preserve"> requested increase </w:t>
      </w:r>
      <w:r>
        <w:t xml:space="preserve">in compensation for wholesale Capacity Service </w:t>
      </w:r>
      <w:r w:rsidR="00001786">
        <w:t xml:space="preserve">even if Ohio law provided the Commission a </w:t>
      </w:r>
      <w:r w:rsidR="00444377">
        <w:t xml:space="preserve">statutory </w:t>
      </w:r>
      <w:r w:rsidR="00001786">
        <w:t>bas</w:t>
      </w:r>
      <w:r w:rsidR="00B034F2">
        <w:t>is to act (which it does not).</w:t>
      </w:r>
    </w:p>
    <w:p w:rsidR="00826582" w:rsidRDefault="00826582" w:rsidP="00B034F2">
      <w:pPr>
        <w:ind w:firstLine="0"/>
      </w:pPr>
    </w:p>
    <w:p w:rsidR="002676E9" w:rsidRPr="002676E9" w:rsidRDefault="002676E9" w:rsidP="002676E9">
      <w:pPr>
        <w:tabs>
          <w:tab w:val="left" w:pos="4320"/>
          <w:tab w:val="right" w:pos="8640"/>
        </w:tabs>
        <w:spacing w:line="240" w:lineRule="auto"/>
        <w:ind w:firstLine="0"/>
        <w:rPr>
          <w:rFonts w:eastAsia="Times New Roman" w:cs="Arial"/>
        </w:rPr>
      </w:pPr>
      <w:r>
        <w:rPr>
          <w:rFonts w:eastAsia="Times New Roman" w:cs="Arial"/>
        </w:rPr>
        <w:tab/>
      </w:r>
      <w:r w:rsidRPr="002676E9">
        <w:rPr>
          <w:rFonts w:eastAsia="Times New Roman" w:cs="Arial"/>
        </w:rPr>
        <w:t>Respectfully submitted,</w:t>
      </w:r>
    </w:p>
    <w:p w:rsidR="002676E9" w:rsidRPr="002676E9" w:rsidRDefault="002676E9" w:rsidP="002676E9">
      <w:pPr>
        <w:tabs>
          <w:tab w:val="left" w:pos="4320"/>
          <w:tab w:val="right" w:pos="8640"/>
        </w:tabs>
        <w:spacing w:line="240" w:lineRule="auto"/>
        <w:ind w:firstLine="0"/>
        <w:rPr>
          <w:rFonts w:eastAsia="Times New Roman" w:cs="Arial"/>
        </w:rPr>
      </w:pPr>
    </w:p>
    <w:p w:rsidR="002676E9" w:rsidRPr="002676E9" w:rsidRDefault="002676E9" w:rsidP="002676E9">
      <w:pPr>
        <w:tabs>
          <w:tab w:val="left" w:pos="4320"/>
          <w:tab w:val="right" w:pos="8640"/>
        </w:tabs>
        <w:spacing w:line="240" w:lineRule="auto"/>
        <w:ind w:firstLine="0"/>
        <w:rPr>
          <w:rFonts w:eastAsia="Times New Roman" w:cs="Arial"/>
        </w:rPr>
      </w:pPr>
    </w:p>
    <w:p w:rsidR="002676E9" w:rsidRPr="002676E9" w:rsidRDefault="002676E9" w:rsidP="002676E9">
      <w:pPr>
        <w:tabs>
          <w:tab w:val="left" w:pos="4320"/>
          <w:tab w:val="right" w:pos="8640"/>
        </w:tabs>
        <w:spacing w:line="240" w:lineRule="auto"/>
        <w:ind w:firstLine="0"/>
        <w:rPr>
          <w:rFonts w:eastAsia="Times New Roman" w:cs="Arial"/>
          <w:u w:val="single"/>
        </w:rPr>
      </w:pPr>
      <w:r w:rsidRPr="002676E9">
        <w:rPr>
          <w:rFonts w:eastAsia="Times New Roman" w:cs="Arial"/>
        </w:rPr>
        <w:tab/>
      </w:r>
      <w:r w:rsidRPr="002676E9">
        <w:rPr>
          <w:rFonts w:eastAsia="Times New Roman" w:cs="Arial"/>
          <w:u w:val="single"/>
        </w:rPr>
        <w:t>/s/ Frank P. Darr</w:t>
      </w:r>
      <w:r w:rsidRPr="002676E9">
        <w:rPr>
          <w:rFonts w:eastAsia="Times New Roman" w:cs="Arial"/>
          <w:u w:val="single"/>
        </w:rPr>
        <w:tab/>
      </w:r>
    </w:p>
    <w:p w:rsidR="002676E9" w:rsidRPr="002676E9" w:rsidRDefault="002676E9" w:rsidP="002676E9">
      <w:pPr>
        <w:tabs>
          <w:tab w:val="left" w:pos="4320"/>
          <w:tab w:val="right" w:pos="8640"/>
        </w:tabs>
        <w:spacing w:line="240" w:lineRule="auto"/>
        <w:ind w:left="4320" w:firstLine="0"/>
        <w:rPr>
          <w:rFonts w:eastAsia="Times New Roman" w:cs="Arial"/>
        </w:rPr>
      </w:pPr>
      <w:r w:rsidRPr="002676E9">
        <w:rPr>
          <w:rFonts w:eastAsia="Times New Roman" w:cs="Arial"/>
        </w:rPr>
        <w:tab/>
        <w:t>Samuel C. Randazzo (Counsel of Record)</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Frank P. Darr</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Joseph E. Oliker</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Matthew R. Pritchard</w:t>
      </w:r>
    </w:p>
    <w:p w:rsidR="002676E9" w:rsidRPr="002676E9" w:rsidRDefault="002676E9" w:rsidP="002676E9">
      <w:pPr>
        <w:widowControl w:val="0"/>
        <w:tabs>
          <w:tab w:val="left" w:pos="4320"/>
        </w:tabs>
        <w:spacing w:line="240" w:lineRule="auto"/>
        <w:ind w:left="4320" w:firstLine="0"/>
        <w:rPr>
          <w:rFonts w:eastAsia="Times New Roman" w:cs="Arial"/>
          <w:bCs/>
          <w:smallCaps/>
        </w:rPr>
      </w:pPr>
      <w:r w:rsidRPr="002676E9">
        <w:rPr>
          <w:rFonts w:eastAsia="Times New Roman" w:cs="Arial"/>
          <w:bCs/>
          <w:smallCaps/>
        </w:rPr>
        <w:t>McNees Wallace &amp; Nurick LLC</w:t>
      </w:r>
    </w:p>
    <w:p w:rsidR="002676E9" w:rsidRPr="002676E9" w:rsidRDefault="002676E9" w:rsidP="002676E9">
      <w:pPr>
        <w:widowControl w:val="0"/>
        <w:tabs>
          <w:tab w:val="left" w:pos="4320"/>
        </w:tabs>
        <w:spacing w:line="240" w:lineRule="auto"/>
        <w:ind w:left="4320" w:firstLine="0"/>
        <w:rPr>
          <w:rFonts w:eastAsia="Times New Roman" w:cs="Arial"/>
          <w:bCs/>
          <w:szCs w:val="20"/>
        </w:rPr>
      </w:pPr>
      <w:r w:rsidRPr="002676E9">
        <w:rPr>
          <w:rFonts w:eastAsia="Times New Roman" w:cs="Arial"/>
          <w:bCs/>
          <w:szCs w:val="20"/>
        </w:rPr>
        <w:t>21 East State Street, 17</w:t>
      </w:r>
      <w:r w:rsidRPr="002676E9">
        <w:rPr>
          <w:rFonts w:eastAsia="Times New Roman" w:cs="Arial"/>
          <w:bCs/>
          <w:szCs w:val="20"/>
          <w:vertAlign w:val="superscript"/>
        </w:rPr>
        <w:t>TH</w:t>
      </w:r>
      <w:r w:rsidRPr="002676E9">
        <w:rPr>
          <w:rFonts w:eastAsia="Times New Roman" w:cs="Arial"/>
          <w:bCs/>
          <w:szCs w:val="20"/>
        </w:rPr>
        <w:t xml:space="preserve"> Floor</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Columbus, OH  43215</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Telephone:  (614) 469-8000</w:t>
      </w:r>
    </w:p>
    <w:p w:rsidR="002676E9" w:rsidRPr="002676E9" w:rsidRDefault="002676E9" w:rsidP="002676E9">
      <w:pPr>
        <w:tabs>
          <w:tab w:val="left" w:pos="4320"/>
        </w:tabs>
        <w:spacing w:line="240" w:lineRule="auto"/>
        <w:ind w:left="4320" w:firstLine="0"/>
        <w:rPr>
          <w:rFonts w:eastAsia="Times New Roman" w:cs="Arial"/>
        </w:rPr>
      </w:pPr>
      <w:r w:rsidRPr="002676E9">
        <w:rPr>
          <w:rFonts w:eastAsia="Times New Roman" w:cs="Arial"/>
        </w:rPr>
        <w:t>Telecopier:  (614) 469-4653</w:t>
      </w:r>
    </w:p>
    <w:p w:rsidR="002676E9" w:rsidRPr="002676E9" w:rsidRDefault="002676E9" w:rsidP="002676E9">
      <w:pPr>
        <w:spacing w:line="240" w:lineRule="auto"/>
        <w:ind w:left="4320" w:firstLine="0"/>
        <w:rPr>
          <w:rFonts w:eastAsia="Times New Roman" w:cs="Arial"/>
        </w:rPr>
      </w:pPr>
      <w:r w:rsidRPr="002676E9">
        <w:rPr>
          <w:rFonts w:eastAsia="Times New Roman" w:cs="Arial"/>
        </w:rPr>
        <w:t>sam@mwncmh.com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fdarr@mwncmh.com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joliker@mwncmh.com</w:t>
      </w:r>
    </w:p>
    <w:p w:rsidR="002676E9" w:rsidRPr="002676E9" w:rsidRDefault="002676E9" w:rsidP="002676E9">
      <w:pPr>
        <w:spacing w:line="240" w:lineRule="auto"/>
        <w:ind w:left="4320" w:firstLine="0"/>
        <w:rPr>
          <w:rFonts w:eastAsia="Times New Roman" w:cs="Arial"/>
        </w:rPr>
      </w:pPr>
      <w:r w:rsidRPr="002676E9">
        <w:rPr>
          <w:rFonts w:eastAsia="Times New Roman" w:cs="Arial"/>
        </w:rPr>
        <w:t>mpritchard@mwncmh.com</w:t>
      </w:r>
    </w:p>
    <w:p w:rsidR="002676E9" w:rsidRPr="002676E9" w:rsidRDefault="002676E9" w:rsidP="002676E9">
      <w:pPr>
        <w:spacing w:line="240" w:lineRule="auto"/>
        <w:ind w:firstLine="0"/>
        <w:rPr>
          <w:rFonts w:eastAsia="Times New Roman" w:cs="Arial"/>
        </w:rPr>
      </w:pPr>
    </w:p>
    <w:p w:rsidR="002676E9" w:rsidRDefault="002676E9" w:rsidP="002676E9">
      <w:pPr>
        <w:ind w:firstLine="0"/>
        <w:rPr>
          <w:rFonts w:eastAsia="Times New Roman" w:cs="Arial"/>
          <w:b/>
        </w:rPr>
      </w:pPr>
      <w:r w:rsidRPr="002676E9">
        <w:rPr>
          <w:rFonts w:eastAsia="Times New Roman" w:cs="Arial"/>
          <w:b/>
        </w:rPr>
        <w:tab/>
      </w:r>
      <w:r w:rsidRPr="002676E9">
        <w:rPr>
          <w:rFonts w:eastAsia="Times New Roman" w:cs="Arial"/>
          <w:b/>
        </w:rPr>
        <w:tab/>
      </w:r>
      <w:r w:rsidRPr="002676E9">
        <w:rPr>
          <w:rFonts w:eastAsia="Times New Roman" w:cs="Arial"/>
          <w:b/>
        </w:rPr>
        <w:tab/>
      </w:r>
      <w:r w:rsidRPr="002676E9">
        <w:rPr>
          <w:rFonts w:eastAsia="Times New Roman" w:cs="Arial"/>
          <w:b/>
        </w:rPr>
        <w:tab/>
      </w:r>
      <w:r w:rsidRPr="002676E9">
        <w:rPr>
          <w:rFonts w:eastAsia="Times New Roman" w:cs="Arial"/>
          <w:b/>
        </w:rPr>
        <w:tab/>
      </w:r>
      <w:r w:rsidRPr="002676E9">
        <w:rPr>
          <w:rFonts w:eastAsia="Times New Roman" w:cs="Arial"/>
          <w:b/>
        </w:rPr>
        <w:tab/>
        <w:t>Attorneys for Industrial Energy Users-Ohio</w:t>
      </w:r>
    </w:p>
    <w:p w:rsidR="002676E9" w:rsidRDefault="002676E9" w:rsidP="002676E9">
      <w:pPr>
        <w:ind w:firstLine="0"/>
        <w:sectPr w:rsidR="002676E9" w:rsidSect="00733CF0">
          <w:pgSz w:w="12240" w:h="15840" w:code="1"/>
          <w:pgMar w:top="1440" w:right="1440" w:bottom="1440" w:left="1440" w:header="720" w:footer="720" w:gutter="0"/>
          <w:pgNumType w:start="1"/>
          <w:cols w:space="720"/>
          <w:titlePg/>
          <w:docGrid w:linePitch="360"/>
        </w:sectPr>
      </w:pPr>
    </w:p>
    <w:p w:rsidR="002676E9" w:rsidRPr="002676E9" w:rsidRDefault="002676E9" w:rsidP="002676E9">
      <w:pPr>
        <w:spacing w:after="240"/>
        <w:ind w:left="720" w:firstLine="0"/>
        <w:jc w:val="center"/>
      </w:pPr>
      <w:r>
        <w:lastRenderedPageBreak/>
        <w:t>CERTIFICATE OF SERVICE</w:t>
      </w:r>
    </w:p>
    <w:p w:rsidR="002676E9" w:rsidRPr="002676E9" w:rsidRDefault="002676E9" w:rsidP="002676E9">
      <w:r w:rsidRPr="002676E9">
        <w:t xml:space="preserve">I hereby certify that a copy of the foregoing </w:t>
      </w:r>
      <w:r w:rsidRPr="002676E9">
        <w:rPr>
          <w:i/>
        </w:rPr>
        <w:t>Notice of Additional Authority</w:t>
      </w:r>
      <w:r w:rsidRPr="002676E9">
        <w:t xml:space="preserve"> was served upon the following parties of record this </w:t>
      </w:r>
      <w:r w:rsidR="00EF1A66">
        <w:t>18</w:t>
      </w:r>
      <w:r w:rsidR="004F0EE9">
        <w:t>th</w:t>
      </w:r>
      <w:r>
        <w:t xml:space="preserve"> </w:t>
      </w:r>
      <w:r w:rsidRPr="002676E9">
        <w:t>day of</w:t>
      </w:r>
      <w:r>
        <w:t xml:space="preserve"> October</w:t>
      </w:r>
      <w:r w:rsidRPr="002676E9">
        <w:t>, 2013, via hand-delivery, electronic transmission, or first class mail, U.S. postage prepaid.</w:t>
      </w:r>
    </w:p>
    <w:p w:rsidR="002676E9" w:rsidRPr="002676E9" w:rsidRDefault="002676E9" w:rsidP="002676E9">
      <w:pPr>
        <w:spacing w:line="240" w:lineRule="auto"/>
        <w:ind w:firstLine="0"/>
        <w:rPr>
          <w:rFonts w:eastAsia="Times New Roman" w:cs="Arial"/>
        </w:rPr>
      </w:pPr>
    </w:p>
    <w:p w:rsidR="002676E9" w:rsidRPr="002676E9" w:rsidRDefault="002676E9" w:rsidP="002676E9">
      <w:pPr>
        <w:tabs>
          <w:tab w:val="center" w:pos="7200"/>
          <w:tab w:val="right" w:pos="9270"/>
        </w:tabs>
        <w:spacing w:line="240" w:lineRule="auto"/>
        <w:ind w:left="5040" w:firstLine="0"/>
        <w:jc w:val="left"/>
        <w:rPr>
          <w:rFonts w:cs="Arial"/>
          <w:szCs w:val="20"/>
          <w:u w:val="single"/>
        </w:rPr>
      </w:pPr>
      <w:r w:rsidRPr="002676E9">
        <w:rPr>
          <w:rFonts w:cs="Arial"/>
          <w:szCs w:val="20"/>
          <w:u w:val="single"/>
        </w:rPr>
        <w:t xml:space="preserve"> </w:t>
      </w:r>
      <w:r>
        <w:rPr>
          <w:rFonts w:cs="Arial"/>
          <w:szCs w:val="20"/>
          <w:u w:val="single"/>
        </w:rPr>
        <w:t>/s/  Frank P. Darr</w:t>
      </w:r>
      <w:r w:rsidRPr="002676E9">
        <w:rPr>
          <w:rFonts w:cs="Arial"/>
          <w:szCs w:val="20"/>
          <w:u w:val="single"/>
        </w:rPr>
        <w:tab/>
      </w:r>
      <w:r w:rsidRPr="002676E9">
        <w:rPr>
          <w:rFonts w:cs="Arial"/>
          <w:szCs w:val="20"/>
          <w:u w:val="single"/>
        </w:rPr>
        <w:tab/>
      </w:r>
      <w:r w:rsidRPr="002676E9">
        <w:rPr>
          <w:rFonts w:cs="Arial"/>
          <w:szCs w:val="20"/>
          <w:u w:val="single"/>
        </w:rPr>
        <w:tab/>
      </w:r>
    </w:p>
    <w:p w:rsidR="002676E9" w:rsidRPr="002676E9" w:rsidRDefault="002676E9" w:rsidP="002676E9">
      <w:pPr>
        <w:tabs>
          <w:tab w:val="center" w:pos="7200"/>
        </w:tabs>
        <w:overflowPunct w:val="0"/>
        <w:autoSpaceDE w:val="0"/>
        <w:autoSpaceDN w:val="0"/>
        <w:adjustRightInd w:val="0"/>
        <w:spacing w:line="240" w:lineRule="auto"/>
        <w:ind w:firstLine="0"/>
        <w:textAlignment w:val="baseline"/>
        <w:rPr>
          <w:rFonts w:eastAsia="Times New Roman" w:cs="Arial"/>
          <w:bCs/>
          <w:szCs w:val="20"/>
        </w:rPr>
      </w:pPr>
      <w:r w:rsidRPr="002676E9">
        <w:rPr>
          <w:rFonts w:eastAsia="Times New Roman" w:cs="Arial"/>
          <w:bCs/>
          <w:smallCaps/>
          <w:szCs w:val="20"/>
        </w:rPr>
        <w:tab/>
      </w:r>
      <w:r>
        <w:rPr>
          <w:rFonts w:eastAsia="Times New Roman" w:cs="Arial"/>
          <w:bCs/>
          <w:szCs w:val="20"/>
        </w:rPr>
        <w:t>Frank P. Darr</w:t>
      </w:r>
    </w:p>
    <w:p w:rsidR="002676E9" w:rsidRPr="002676E9" w:rsidRDefault="002676E9" w:rsidP="002676E9">
      <w:pPr>
        <w:tabs>
          <w:tab w:val="left" w:pos="2160"/>
          <w:tab w:val="left" w:pos="2280"/>
        </w:tabs>
        <w:spacing w:line="240" w:lineRule="auto"/>
        <w:ind w:firstLine="0"/>
        <w:jc w:val="left"/>
        <w:rPr>
          <w:rFonts w:cs="Arial"/>
          <w:sz w:val="20"/>
          <w:szCs w:val="20"/>
          <w:u w:val="single"/>
        </w:rPr>
      </w:pPr>
    </w:p>
    <w:p w:rsidR="002676E9" w:rsidRPr="002676E9" w:rsidRDefault="002676E9" w:rsidP="002676E9">
      <w:pPr>
        <w:tabs>
          <w:tab w:val="left" w:pos="2160"/>
          <w:tab w:val="left" w:pos="2280"/>
        </w:tabs>
        <w:spacing w:line="240" w:lineRule="auto"/>
        <w:ind w:firstLine="0"/>
        <w:jc w:val="left"/>
        <w:rPr>
          <w:rFonts w:cs="Arial"/>
          <w:sz w:val="20"/>
          <w:szCs w:val="20"/>
        </w:rPr>
        <w:sectPr w:rsidR="002676E9" w:rsidRPr="002676E9" w:rsidSect="00C0405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lastRenderedPageBreak/>
        <w:t>Amy B. Spiller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Rocco D’Ascenzo</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Jeanne Kingery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Elizabeth Watts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Duke Energy Business Services LLC</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139 East Fourth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1303 Main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Cincinnati, Ohio  45202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amy.spiller@duke-energy.com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rocco.dascenzo@duke-energy.com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jeanne.kingery@duke-energy.com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elizabeth.watts@duke-energy.com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Duke Energy Ohio, Inc.</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Bruce J. Weston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Consumers’ Counsel</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Maureen R. Grady (Counsel of Record)</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Kyle L. Kern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Office of the Ohio Consumers’ Counsel</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10 West Broad Street, Suite 1800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grady@occ.state.oh.us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kern@occ.state.oh.us</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the Office of the Ohio Consumers’ Counsel</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David F. Boehm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Michael L. Kurtz</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Jody M. Kyler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Boehm, Kurtz &amp; Lowry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36 East Seventh Street, Suite 1510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Cincinnati, Ohio  45202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dboehm@bkllawfirm.com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mkurtz@bkllawfirm.com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jkyler@bkllawfirm.com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the Ohio Energy Group</w:t>
      </w:r>
    </w:p>
    <w:p w:rsidR="0097681B" w:rsidRDefault="0097681B" w:rsidP="002676E9">
      <w:pPr>
        <w:tabs>
          <w:tab w:val="left" w:pos="2160"/>
          <w:tab w:val="left" w:pos="2280"/>
        </w:tabs>
        <w:spacing w:line="240" w:lineRule="auto"/>
        <w:ind w:firstLine="0"/>
        <w:jc w:val="left"/>
        <w:rPr>
          <w:rFonts w:cs="Arial"/>
          <w:sz w:val="20"/>
          <w:szCs w:val="20"/>
        </w:rPr>
      </w:pPr>
    </w:p>
    <w:p w:rsidR="002676E9" w:rsidRPr="002676E9" w:rsidRDefault="0097681B" w:rsidP="002676E9">
      <w:pPr>
        <w:tabs>
          <w:tab w:val="left" w:pos="2160"/>
          <w:tab w:val="left" w:pos="2280"/>
        </w:tabs>
        <w:spacing w:line="240" w:lineRule="auto"/>
        <w:ind w:firstLine="0"/>
        <w:jc w:val="left"/>
        <w:rPr>
          <w:rFonts w:cs="Arial"/>
          <w:sz w:val="20"/>
          <w:szCs w:val="20"/>
        </w:rPr>
      </w:pPr>
      <w:r>
        <w:rPr>
          <w:rFonts w:cs="Arial"/>
          <w:sz w:val="20"/>
          <w:szCs w:val="20"/>
        </w:rPr>
        <w:br w:type="column"/>
      </w:r>
      <w:r w:rsidR="002676E9" w:rsidRPr="002676E9">
        <w:rPr>
          <w:rFonts w:cs="Arial"/>
          <w:sz w:val="20"/>
          <w:szCs w:val="20"/>
        </w:rPr>
        <w:lastRenderedPageBreak/>
        <w:t>Colleen L. Mooney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Ohio Partners for Affordable Energy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231 West Lima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Findlay, Ohio 45839-1793</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Cmooney2@columbus.rr.com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Ohio Partners for Affordable Energy</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Douglas E. Hart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411 Vine Street, Suite 4192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Cincinnati, Ohio 45202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dhart@douglasehart.com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The Greater Cincinnati Health Council and Cincinnati Bell Inc.</w:t>
      </w:r>
    </w:p>
    <w:p w:rsidR="002676E9" w:rsidRPr="002676E9" w:rsidRDefault="002676E9" w:rsidP="002676E9">
      <w:pPr>
        <w:tabs>
          <w:tab w:val="left" w:pos="2160"/>
          <w:tab w:val="left" w:pos="2280"/>
          <w:tab w:val="left" w:pos="4230"/>
        </w:tabs>
        <w:spacing w:line="240" w:lineRule="auto"/>
        <w:ind w:firstLine="0"/>
        <w:jc w:val="left"/>
        <w:rPr>
          <w:rFonts w:cs="Arial"/>
          <w:sz w:val="20"/>
          <w:szCs w:val="20"/>
        </w:rPr>
      </w:pPr>
    </w:p>
    <w:p w:rsidR="002676E9" w:rsidRPr="002676E9" w:rsidRDefault="002676E9" w:rsidP="002676E9">
      <w:pPr>
        <w:tabs>
          <w:tab w:val="left" w:pos="2160"/>
          <w:tab w:val="left" w:pos="2280"/>
          <w:tab w:val="left" w:pos="4230"/>
        </w:tabs>
        <w:spacing w:line="240" w:lineRule="auto"/>
        <w:ind w:firstLine="0"/>
        <w:jc w:val="left"/>
        <w:rPr>
          <w:rFonts w:cs="Arial"/>
          <w:sz w:val="20"/>
          <w:szCs w:val="20"/>
        </w:rPr>
      </w:pPr>
      <w:r w:rsidRPr="002676E9">
        <w:rPr>
          <w:rFonts w:cs="Arial"/>
          <w:sz w:val="20"/>
          <w:szCs w:val="20"/>
        </w:rPr>
        <w:t>Kimberly W. Bojko (Counsel of Record)</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Mallory M. Mohler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Carpenter Lipps &amp; Leland LLP</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280 North High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Suite 1300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bojko@carpenterlipps.com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mohler@carpenterlipps.com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Kroger Co.</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sectPr w:rsidR="002676E9" w:rsidRPr="002676E9" w:rsidSect="00773608">
          <w:headerReference w:type="default" r:id="rId20"/>
          <w:footerReference w:type="default" r:id="rId21"/>
          <w:headerReference w:type="first" r:id="rId22"/>
          <w:footerReference w:type="first" r:id="rId23"/>
          <w:type w:val="continuous"/>
          <w:pgSz w:w="12240" w:h="15840" w:code="1"/>
          <w:pgMar w:top="1440" w:right="1440" w:bottom="1440" w:left="1440" w:header="720" w:footer="720" w:gutter="0"/>
          <w:cols w:num="2" w:space="720"/>
          <w:titlePg/>
          <w:docGrid w:linePitch="360"/>
        </w:sect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lastRenderedPageBreak/>
        <w:t>Jay E. Jadwin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Yazen Alami</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Madelon Kuchera</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Jon Casadont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American Electric Power Service Corporation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155 Nationwide Avenue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jejadwin@aep.com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yalami@aep.com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mkuchera@aepenergy.com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jcasadont@aepenergy.com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AEP Energy</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Default="0097681B" w:rsidP="002676E9">
      <w:pPr>
        <w:tabs>
          <w:tab w:val="left" w:pos="2160"/>
          <w:tab w:val="left" w:pos="2280"/>
        </w:tabs>
        <w:spacing w:line="240" w:lineRule="auto"/>
        <w:ind w:firstLine="0"/>
        <w:jc w:val="left"/>
        <w:rPr>
          <w:rFonts w:cs="Arial"/>
          <w:sz w:val="20"/>
          <w:szCs w:val="20"/>
        </w:rPr>
      </w:pPr>
      <w:r>
        <w:rPr>
          <w:rFonts w:cs="Arial"/>
          <w:sz w:val="20"/>
          <w:szCs w:val="20"/>
        </w:rPr>
        <w:t>Robert A. Brundrett</w:t>
      </w:r>
    </w:p>
    <w:p w:rsidR="0097681B" w:rsidRDefault="0097681B" w:rsidP="002676E9">
      <w:pPr>
        <w:tabs>
          <w:tab w:val="left" w:pos="2160"/>
          <w:tab w:val="left" w:pos="2280"/>
        </w:tabs>
        <w:spacing w:line="240" w:lineRule="auto"/>
        <w:ind w:firstLine="0"/>
        <w:jc w:val="left"/>
        <w:rPr>
          <w:rFonts w:cs="Arial"/>
          <w:sz w:val="20"/>
          <w:szCs w:val="20"/>
        </w:rPr>
      </w:pPr>
      <w:r>
        <w:rPr>
          <w:rFonts w:cs="Arial"/>
          <w:sz w:val="20"/>
          <w:szCs w:val="20"/>
        </w:rPr>
        <w:t>The Ohio Manufacturer’s Association</w:t>
      </w:r>
    </w:p>
    <w:p w:rsidR="0097681B" w:rsidRDefault="0097681B" w:rsidP="002676E9">
      <w:pPr>
        <w:tabs>
          <w:tab w:val="left" w:pos="2160"/>
          <w:tab w:val="left" w:pos="2280"/>
        </w:tabs>
        <w:spacing w:line="240" w:lineRule="auto"/>
        <w:ind w:firstLine="0"/>
        <w:jc w:val="left"/>
        <w:rPr>
          <w:rFonts w:cs="Arial"/>
          <w:sz w:val="20"/>
          <w:szCs w:val="20"/>
        </w:rPr>
      </w:pPr>
      <w:r>
        <w:rPr>
          <w:rFonts w:cs="Arial"/>
          <w:sz w:val="20"/>
          <w:szCs w:val="20"/>
        </w:rPr>
        <w:t>33 N. High Street</w:t>
      </w:r>
    </w:p>
    <w:p w:rsidR="0097681B" w:rsidRDefault="0097681B" w:rsidP="002676E9">
      <w:pPr>
        <w:tabs>
          <w:tab w:val="left" w:pos="2160"/>
          <w:tab w:val="left" w:pos="2280"/>
        </w:tabs>
        <w:spacing w:line="240" w:lineRule="auto"/>
        <w:ind w:firstLine="0"/>
        <w:jc w:val="left"/>
        <w:rPr>
          <w:rFonts w:cs="Arial"/>
          <w:sz w:val="20"/>
          <w:szCs w:val="20"/>
        </w:rPr>
      </w:pPr>
      <w:r>
        <w:rPr>
          <w:rFonts w:cs="Arial"/>
          <w:sz w:val="20"/>
          <w:szCs w:val="20"/>
        </w:rPr>
        <w:t>Columbus, Ohio  43215</w:t>
      </w:r>
    </w:p>
    <w:p w:rsidR="0097681B" w:rsidRPr="002676E9" w:rsidRDefault="0097681B" w:rsidP="002676E9">
      <w:pPr>
        <w:tabs>
          <w:tab w:val="left" w:pos="2160"/>
          <w:tab w:val="left" w:pos="2280"/>
        </w:tabs>
        <w:spacing w:line="240" w:lineRule="auto"/>
        <w:ind w:firstLine="0"/>
        <w:jc w:val="left"/>
        <w:rPr>
          <w:rFonts w:cs="Arial"/>
          <w:sz w:val="20"/>
          <w:szCs w:val="20"/>
        </w:rPr>
      </w:pPr>
      <w:r>
        <w:rPr>
          <w:rFonts w:cs="Arial"/>
          <w:sz w:val="20"/>
          <w:szCs w:val="20"/>
        </w:rPr>
        <w:t>rbrundrett@ohiomfg.com</w:t>
      </w:r>
    </w:p>
    <w:p w:rsidR="002676E9" w:rsidRPr="002676E9" w:rsidRDefault="002676E9" w:rsidP="002676E9">
      <w:pPr>
        <w:tabs>
          <w:tab w:val="left" w:pos="2160"/>
          <w:tab w:val="left" w:pos="2280"/>
        </w:tabs>
        <w:spacing w:line="240" w:lineRule="auto"/>
        <w:ind w:firstLine="0"/>
        <w:jc w:val="left"/>
        <w:rPr>
          <w:rFonts w:cs="Arial"/>
          <w:sz w:val="20"/>
          <w:szCs w:val="20"/>
        </w:rPr>
      </w:pPr>
    </w:p>
    <w:p w:rsidR="00141070"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 xml:space="preserve">On Behalf of the Ohio Manufacturers’ Association </w:t>
      </w:r>
    </w:p>
    <w:p w:rsidR="00141070" w:rsidRDefault="00141070" w:rsidP="002676E9">
      <w:pPr>
        <w:tabs>
          <w:tab w:val="left" w:pos="2160"/>
          <w:tab w:val="left" w:pos="2280"/>
        </w:tabs>
        <w:spacing w:line="240" w:lineRule="auto"/>
        <w:ind w:firstLine="0"/>
        <w:jc w:val="left"/>
        <w:rPr>
          <w:rFonts w:cs="Arial"/>
          <w:b/>
          <w:sz w:val="20"/>
          <w:szCs w:val="20"/>
        </w:rPr>
      </w:pP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Thomas J. O’Brien</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J. Thomas Siwo</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Matthew W. Warnock</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Bricker &amp; Eckler, LLP</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100 South Third Street</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Columbus, Ohio  43215</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tobrien@bricker.com</w:t>
      </w:r>
    </w:p>
    <w:p w:rsidR="00141070" w:rsidRP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tsiwo@bricker.com</w:t>
      </w:r>
    </w:p>
    <w:p w:rsidR="00141070" w:rsidRDefault="00141070" w:rsidP="00141070">
      <w:pPr>
        <w:tabs>
          <w:tab w:val="left" w:pos="2160"/>
          <w:tab w:val="left" w:pos="2280"/>
        </w:tabs>
        <w:spacing w:line="240" w:lineRule="auto"/>
        <w:ind w:firstLine="0"/>
        <w:jc w:val="left"/>
        <w:rPr>
          <w:rFonts w:cs="Arial"/>
          <w:sz w:val="20"/>
          <w:szCs w:val="20"/>
        </w:rPr>
      </w:pPr>
      <w:r w:rsidRPr="00141070">
        <w:rPr>
          <w:rFonts w:cs="Arial"/>
          <w:sz w:val="20"/>
          <w:szCs w:val="20"/>
        </w:rPr>
        <w:t>mwarnock@bricker.com</w:t>
      </w:r>
    </w:p>
    <w:p w:rsidR="00141070" w:rsidRPr="00141070" w:rsidRDefault="00141070" w:rsidP="00141070">
      <w:pPr>
        <w:tabs>
          <w:tab w:val="left" w:pos="2160"/>
          <w:tab w:val="left" w:pos="2280"/>
        </w:tabs>
        <w:spacing w:line="240" w:lineRule="auto"/>
        <w:ind w:firstLine="0"/>
        <w:jc w:val="left"/>
        <w:rPr>
          <w:rFonts w:cs="Arial"/>
          <w:sz w:val="20"/>
          <w:szCs w:val="20"/>
        </w:rPr>
      </w:pPr>
    </w:p>
    <w:p w:rsidR="002676E9" w:rsidRPr="002676E9" w:rsidRDefault="00141070" w:rsidP="002676E9">
      <w:pPr>
        <w:tabs>
          <w:tab w:val="left" w:pos="2160"/>
          <w:tab w:val="left" w:pos="2280"/>
        </w:tabs>
        <w:spacing w:line="240" w:lineRule="auto"/>
        <w:ind w:firstLine="0"/>
        <w:jc w:val="left"/>
        <w:rPr>
          <w:rFonts w:cs="Arial"/>
          <w:b/>
          <w:sz w:val="20"/>
          <w:szCs w:val="20"/>
        </w:rPr>
      </w:pPr>
      <w:r>
        <w:rPr>
          <w:rFonts w:cs="Arial"/>
          <w:b/>
          <w:sz w:val="20"/>
          <w:szCs w:val="20"/>
        </w:rPr>
        <w:t xml:space="preserve">On Behalf of </w:t>
      </w:r>
      <w:r w:rsidR="002676E9" w:rsidRPr="002676E9">
        <w:rPr>
          <w:rFonts w:cs="Arial"/>
          <w:b/>
          <w:sz w:val="20"/>
          <w:szCs w:val="20"/>
        </w:rPr>
        <w:t>the City of Cincinnati</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141070" w:rsidP="002676E9">
      <w:pPr>
        <w:tabs>
          <w:tab w:val="left" w:pos="2160"/>
          <w:tab w:val="left" w:pos="2280"/>
        </w:tabs>
        <w:spacing w:line="240" w:lineRule="auto"/>
        <w:ind w:firstLine="0"/>
        <w:jc w:val="left"/>
        <w:rPr>
          <w:rFonts w:cs="Arial"/>
          <w:sz w:val="20"/>
          <w:szCs w:val="20"/>
        </w:rPr>
      </w:pPr>
      <w:r>
        <w:rPr>
          <w:rFonts w:cs="Arial"/>
          <w:sz w:val="20"/>
          <w:szCs w:val="20"/>
        </w:rPr>
        <w:br w:type="column"/>
      </w:r>
      <w:r w:rsidR="002676E9" w:rsidRPr="002676E9">
        <w:rPr>
          <w:rFonts w:cs="Arial"/>
          <w:sz w:val="20"/>
          <w:szCs w:val="20"/>
        </w:rPr>
        <w:lastRenderedPageBreak/>
        <w:t>Mark A. Hayden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FirstEnergy Service Company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76 South Main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Akron, Ohio  44308</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haydenm@firstenergycorp.com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James F. Lang</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Laura C. McBride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N. Trevor Alexander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Calfee, Halter &amp; Griswold LLP</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1405 East Sixth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Cleveland, Ohio 44114</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jlang@calfee.com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lmcbride@calfee.com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talexander@calfee.com</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David A. Kutik</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Lydia M. Floyd</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Jones Day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North Point, 901 Lakeside Avenue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Cleveland, OH  44114-1190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dakutik@jonesday.com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lfloyd@jonesday.com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FirstEnergy Solutions Corp.</w:t>
      </w:r>
    </w:p>
    <w:p w:rsidR="00141070" w:rsidRDefault="00141070"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 Howard Petricoff</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Stephen M. Howard</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Gretchen L. Petrucci</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Lija Kaleps-Clark</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Vorys, Sater, Seymour and Pease LLP</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52 East Gay Street, P.O. Box 1008</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43216-1008</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mhpetricoff@vorys.com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smhoward@vorys.com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glpetrucci@vorys.com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lkalepsclark@vorys.com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b/>
          <w:sz w:val="20"/>
          <w:szCs w:val="20"/>
        </w:rPr>
        <w:t>On Behalf of Constellation NewEnergy, Inc., Exelon Generation Company, LLC, Interstate Gas Supply, Inc., Retail Energy Supply Association, Miami University and the University of Cincinnati</w:t>
      </w:r>
    </w:p>
    <w:p w:rsidR="002676E9" w:rsidRPr="002676E9" w:rsidRDefault="002676E9" w:rsidP="002676E9">
      <w:pPr>
        <w:tabs>
          <w:tab w:val="left" w:pos="2160"/>
          <w:tab w:val="left" w:pos="2280"/>
        </w:tabs>
        <w:spacing w:line="240" w:lineRule="auto"/>
        <w:ind w:firstLine="0"/>
        <w:jc w:val="left"/>
        <w:rPr>
          <w:rFonts w:cs="Arial"/>
          <w:sz w:val="20"/>
          <w:szCs w:val="20"/>
        </w:rPr>
      </w:pPr>
    </w:p>
    <w:p w:rsidR="00141070" w:rsidRDefault="00141070" w:rsidP="002676E9">
      <w:pPr>
        <w:tabs>
          <w:tab w:val="left" w:pos="2160"/>
          <w:tab w:val="left" w:pos="2280"/>
        </w:tabs>
        <w:spacing w:line="240" w:lineRule="auto"/>
        <w:ind w:firstLine="0"/>
        <w:jc w:val="left"/>
        <w:rPr>
          <w:rFonts w:cs="Arial"/>
          <w:sz w:val="20"/>
          <w:szCs w:val="20"/>
        </w:rPr>
        <w:sectPr w:rsidR="00141070" w:rsidSect="00773608">
          <w:pgSz w:w="12240" w:h="15840" w:code="1"/>
          <w:pgMar w:top="1440" w:right="1440" w:bottom="1440" w:left="1440" w:header="720" w:footer="720" w:gutter="0"/>
          <w:cols w:num="2" w:space="720"/>
          <w:titlePg/>
          <w:docGrid w:linePitch="360"/>
        </w:sect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lastRenderedPageBreak/>
        <w:t>Steven T. Nourse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Matthew J. Satterwhite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American Electric Power Service Corp.</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 Riverside Plaza 29</w:t>
      </w:r>
      <w:r w:rsidRPr="002676E9">
        <w:rPr>
          <w:rFonts w:cs="Arial"/>
          <w:sz w:val="20"/>
          <w:szCs w:val="20"/>
          <w:vertAlign w:val="superscript"/>
        </w:rPr>
        <w:t>th</w:t>
      </w:r>
      <w:r w:rsidRPr="002676E9">
        <w:rPr>
          <w:rFonts w:cs="Arial"/>
          <w:sz w:val="20"/>
          <w:szCs w:val="20"/>
        </w:rPr>
        <w:t xml:space="preserve"> Floor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stnourse@aep.com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mjsatterwhite@aep.com</w:t>
      </w: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b/>
          <w:sz w:val="20"/>
          <w:szCs w:val="20"/>
        </w:rPr>
        <w:t>On Behalf of Ohio Power Company</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Joseph G. Strines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DPL Energy Resources Inc.</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1065 Woodman Drive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Dayton, Ohio  45432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Jospeh.strines@DPLINC.com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Andrew J. Sonderman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Margeaux Kimbrough</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Kegler, Brown, Hill &amp; Ritter Co. LPA</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Capitol Square, Suite 1800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65 East State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asonderman@keglerbrown.com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mkimbrough@keglerbrown.com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DPL Energy Resources Inc.</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Judi L. Sobecki</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Randall V. Griffin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The Dayton Power and Light Company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1065 Woodman Drive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Dayton, Ohio  45432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judi.sobecki@DPLINC.com</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randall.griffin@DPLINC.com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Jeffrey S. Sharkey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James W. Pauley</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Faruki Ireland &amp; Cox PLL</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500 Courthouse Plaza, S.W.</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10 North Ludlow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Dayton, Ohio  45402</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jsharkey@ficlaw.com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The Dayton Power and Light Company</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Kevin J. Osterkamp</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Roetzel &amp; Andress LPA</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PNC Plaza</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Twelfth Floor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155 East Broad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kosterkamp@ralaw.com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Rick D. Chamberlain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Behrens, Wheeler &amp; Chamberlain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6 N.E. 63</w:t>
      </w:r>
      <w:r w:rsidRPr="002676E9">
        <w:rPr>
          <w:rFonts w:cs="Arial"/>
          <w:sz w:val="20"/>
          <w:szCs w:val="20"/>
          <w:vertAlign w:val="superscript"/>
        </w:rPr>
        <w:t>rd</w:t>
      </w:r>
      <w:r w:rsidRPr="002676E9">
        <w:rPr>
          <w:rFonts w:cs="Arial"/>
          <w:sz w:val="20"/>
          <w:szCs w:val="20"/>
        </w:rPr>
        <w:t xml:space="preserve"> Street, Suite 400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lastRenderedPageBreak/>
        <w:t>Oklahoma City, Oklahoma  73105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Rdc_law@swbell.net</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Wal-Mart Stores East, LP, and Sam’s East, Inc.</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Barth E. Royer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Bell &amp; Royer Co., LPA</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33 South Grant Ave.</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barthroyer@aol.com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Gary A. Jeffries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Dominion Resources Services, Inc.</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501 Martindale Street, Suite 400</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Pittsburgh, Pennsylvania  15212-5817</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Gary.a.jeffries@dom.com</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Dominion Retail, Inc.</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Steven Beeler</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John Jones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Assistant Attorneys General</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Public Utilities Section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180 East Broad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6F532D" w:rsidP="002676E9">
      <w:pPr>
        <w:spacing w:line="240" w:lineRule="auto"/>
        <w:ind w:firstLine="0"/>
        <w:jc w:val="left"/>
        <w:rPr>
          <w:rFonts w:cs="Arial"/>
          <w:sz w:val="20"/>
          <w:szCs w:val="20"/>
        </w:rPr>
      </w:pPr>
      <w:hyperlink r:id="rId24" w:history="1">
        <w:r w:rsidR="002676E9" w:rsidRPr="002676E9">
          <w:rPr>
            <w:rFonts w:eastAsiaTheme="majorEastAsia" w:cs="Arial"/>
            <w:sz w:val="20"/>
            <w:szCs w:val="20"/>
          </w:rPr>
          <w:t>steven.beeler@puc.state.oh.us</w:t>
        </w:r>
      </w:hyperlink>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john.jones@puc.state.oh.us</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On Behalf of the Staff of the Public Utilities Commission of Ohio</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Christine Pirik</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Katie Stenman</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Attorney Examiners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Public Utilities Commission of Ohio</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180 East Broad Street</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Columbus, Ohio 43215</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Christine.pirik@puc.state.oh.us</w:t>
      </w:r>
    </w:p>
    <w:p w:rsidR="002676E9" w:rsidRPr="002676E9" w:rsidRDefault="002676E9" w:rsidP="002676E9">
      <w:pPr>
        <w:tabs>
          <w:tab w:val="left" w:pos="2160"/>
          <w:tab w:val="left" w:pos="2280"/>
        </w:tabs>
        <w:spacing w:line="240" w:lineRule="auto"/>
        <w:ind w:firstLine="0"/>
        <w:jc w:val="left"/>
        <w:rPr>
          <w:rFonts w:cs="Arial"/>
          <w:sz w:val="20"/>
          <w:szCs w:val="20"/>
        </w:rPr>
      </w:pPr>
      <w:r w:rsidRPr="002676E9">
        <w:rPr>
          <w:rFonts w:cs="Arial"/>
          <w:sz w:val="20"/>
          <w:szCs w:val="20"/>
        </w:rPr>
        <w:t>Katie.stenman@puc.state.oh.us</w:t>
      </w:r>
    </w:p>
    <w:p w:rsidR="002676E9" w:rsidRPr="002676E9" w:rsidRDefault="002676E9" w:rsidP="002676E9">
      <w:pPr>
        <w:tabs>
          <w:tab w:val="left" w:pos="2160"/>
          <w:tab w:val="left" w:pos="2280"/>
        </w:tabs>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r w:rsidRPr="002676E9">
        <w:rPr>
          <w:rFonts w:cs="Arial"/>
          <w:b/>
          <w:sz w:val="20"/>
          <w:szCs w:val="20"/>
        </w:rPr>
        <w:t>Attorney Examiners</w:t>
      </w:r>
    </w:p>
    <w:p w:rsidR="002676E9" w:rsidRPr="002676E9" w:rsidRDefault="002676E9" w:rsidP="002676E9">
      <w:pPr>
        <w:spacing w:line="240" w:lineRule="auto"/>
        <w:ind w:firstLine="0"/>
        <w:jc w:val="left"/>
        <w:rPr>
          <w:rFonts w:cs="Arial"/>
          <w:sz w:val="20"/>
          <w:szCs w:val="20"/>
        </w:rPr>
      </w:pPr>
    </w:p>
    <w:p w:rsidR="002676E9" w:rsidRPr="002676E9" w:rsidRDefault="002676E9" w:rsidP="002676E9">
      <w:pPr>
        <w:tabs>
          <w:tab w:val="left" w:pos="2160"/>
          <w:tab w:val="left" w:pos="2280"/>
        </w:tabs>
        <w:spacing w:line="240" w:lineRule="auto"/>
        <w:ind w:firstLine="0"/>
        <w:jc w:val="left"/>
        <w:rPr>
          <w:rFonts w:cs="Arial"/>
          <w:b/>
          <w:sz w:val="20"/>
          <w:szCs w:val="20"/>
        </w:rPr>
      </w:pPr>
    </w:p>
    <w:p w:rsidR="002676E9" w:rsidRDefault="002676E9" w:rsidP="002676E9">
      <w:pPr>
        <w:ind w:firstLine="0"/>
      </w:pPr>
    </w:p>
    <w:sectPr w:rsidR="002676E9" w:rsidSect="0077360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08" w:rsidRDefault="00773608" w:rsidP="002C0003">
      <w:pPr>
        <w:spacing w:line="240" w:lineRule="auto"/>
      </w:pPr>
      <w:r>
        <w:separator/>
      </w:r>
    </w:p>
  </w:endnote>
  <w:endnote w:type="continuationSeparator" w:id="0">
    <w:p w:rsidR="00773608" w:rsidRDefault="00773608" w:rsidP="002C0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D3" w:rsidRDefault="00912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6" w:rsidRPr="00E862E6" w:rsidRDefault="006F532D" w:rsidP="00BD7E2C">
    <w:pPr>
      <w:pStyle w:val="Footer"/>
      <w:ind w:firstLine="0"/>
    </w:pPr>
    <w:r w:rsidRPr="006F532D">
      <w:rPr>
        <w:noProof/>
        <w:sz w:val="16"/>
      </w:rPr>
      <w:t>{C41711:2 }</w:t>
    </w:r>
    <w:sdt>
      <w:sdtPr>
        <w:id w:val="-1163547443"/>
        <w:docPartObj>
          <w:docPartGallery w:val="Page Numbers (Bottom of Page)"/>
          <w:docPartUnique/>
        </w:docPartObj>
      </w:sdtPr>
      <w:sdtEndPr>
        <w:rPr>
          <w:noProof/>
        </w:rPr>
      </w:sdtEndPr>
      <w:sdtContent>
        <w:r w:rsidR="00BD7E2C">
          <w:tab/>
        </w:r>
        <w:r w:rsidR="00E862E6" w:rsidRPr="00E862E6">
          <w:fldChar w:fldCharType="begin"/>
        </w:r>
        <w:r w:rsidR="00E862E6" w:rsidRPr="00E862E6">
          <w:instrText xml:space="preserve"> PAGE   \* MERGEFORMAT </w:instrText>
        </w:r>
        <w:r w:rsidR="00E862E6" w:rsidRPr="00E862E6">
          <w:fldChar w:fldCharType="separate"/>
        </w:r>
        <w:r>
          <w:rPr>
            <w:noProof/>
          </w:rPr>
          <w:t>8</w:t>
        </w:r>
        <w:r w:rsidR="00E862E6" w:rsidRPr="00E862E6">
          <w:rPr>
            <w:noProof/>
          </w:rPr>
          <w:fldChar w:fldCharType="end"/>
        </w:r>
      </w:sdtContent>
    </w:sdt>
  </w:p>
  <w:p w:rsidR="00773608" w:rsidRPr="00E862E6" w:rsidRDefault="00773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F0" w:rsidRPr="00733CF0" w:rsidRDefault="006F532D" w:rsidP="00BD7E2C">
    <w:pPr>
      <w:pStyle w:val="Footer"/>
      <w:ind w:firstLine="0"/>
    </w:pPr>
    <w:r w:rsidRPr="006F532D">
      <w:rPr>
        <w:noProof/>
        <w:sz w:val="16"/>
      </w:rPr>
      <w:t>{C41711:2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Pr="009D7F76" w:rsidRDefault="006F532D">
    <w:pPr>
      <w:pStyle w:val="Footer"/>
    </w:pPr>
    <w:r w:rsidRPr="006F532D">
      <w:rPr>
        <w:noProof/>
        <w:sz w:val="16"/>
      </w:rPr>
      <w:t>{C41711:2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Pr="009D7F76" w:rsidRDefault="006F532D">
    <w:pPr>
      <w:pStyle w:val="Footer"/>
    </w:pPr>
    <w:r w:rsidRPr="006F532D">
      <w:rPr>
        <w:noProof/>
        <w:sz w:val="16"/>
      </w:rPr>
      <w:t>{C41711:2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Pr="00257108" w:rsidRDefault="006F532D">
    <w:pPr>
      <w:pStyle w:val="Footer"/>
    </w:pPr>
    <w:r w:rsidRPr="006F532D">
      <w:rPr>
        <w:noProof/>
        <w:sz w:val="16"/>
      </w:rPr>
      <w:t>{C41711:2 }{C41711:2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Pr="009D7F76" w:rsidRDefault="006F532D">
    <w:pPr>
      <w:pStyle w:val="Footer"/>
    </w:pPr>
    <w:r w:rsidRPr="006F532D">
      <w:rPr>
        <w:noProof/>
        <w:sz w:val="16"/>
      </w:rPr>
      <w:t>{C41711:2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08" w:rsidRDefault="00773608" w:rsidP="002C0003">
      <w:pPr>
        <w:spacing w:line="240" w:lineRule="auto"/>
        <w:rPr>
          <w:noProof/>
        </w:rPr>
      </w:pPr>
      <w:r>
        <w:rPr>
          <w:noProof/>
        </w:rPr>
        <w:separator/>
      </w:r>
    </w:p>
  </w:footnote>
  <w:footnote w:type="continuationSeparator" w:id="0">
    <w:p w:rsidR="00773608" w:rsidRDefault="00773608" w:rsidP="002C0003">
      <w:pPr>
        <w:spacing w:line="240" w:lineRule="auto"/>
      </w:pPr>
      <w:r>
        <w:continuationSeparator/>
      </w:r>
    </w:p>
  </w:footnote>
  <w:footnote w:id="1">
    <w:p w:rsidR="00773608" w:rsidRDefault="00773608" w:rsidP="00823B48">
      <w:pPr>
        <w:pStyle w:val="FootnoteText"/>
        <w:spacing w:after="120"/>
        <w:ind w:firstLine="0"/>
      </w:pPr>
      <w:r>
        <w:rPr>
          <w:rStyle w:val="FootnoteReference"/>
        </w:rPr>
        <w:footnoteRef/>
      </w:r>
      <w:r>
        <w:t xml:space="preserve"> Application at 3; Duke Ex. 1 at 11.</w:t>
      </w:r>
    </w:p>
  </w:footnote>
  <w:footnote w:id="2">
    <w:p w:rsidR="000B428D" w:rsidRDefault="000B428D" w:rsidP="00CD13F0">
      <w:pPr>
        <w:pStyle w:val="FootnoteText"/>
        <w:spacing w:after="120"/>
        <w:ind w:firstLine="0"/>
      </w:pPr>
      <w:r>
        <w:rPr>
          <w:rStyle w:val="FootnoteReference"/>
        </w:rPr>
        <w:footnoteRef/>
      </w:r>
      <w:r>
        <w:t xml:space="preserve"> </w:t>
      </w:r>
      <w:r w:rsidRPr="00CD13F0">
        <w:rPr>
          <w:i/>
        </w:rPr>
        <w:t>Id</w:t>
      </w:r>
      <w:r>
        <w:t>. at 8.</w:t>
      </w:r>
    </w:p>
  </w:footnote>
  <w:footnote w:id="3">
    <w:p w:rsidR="00773608" w:rsidRDefault="00773608" w:rsidP="007D23F0">
      <w:pPr>
        <w:pStyle w:val="FootnoteText"/>
        <w:spacing w:after="120"/>
        <w:ind w:firstLine="0"/>
      </w:pPr>
      <w:r>
        <w:rPr>
          <w:rStyle w:val="FootnoteReference"/>
        </w:rPr>
        <w:footnoteRef/>
      </w:r>
      <w:r>
        <w:t xml:space="preserve"> Initial Brief of Industrial Energy Users-Ohio at 25-44 (June 28, 2013).</w:t>
      </w:r>
    </w:p>
  </w:footnote>
  <w:footnote w:id="4">
    <w:p w:rsidR="00773608" w:rsidRDefault="00773608" w:rsidP="00823B48">
      <w:pPr>
        <w:pStyle w:val="FootnoteText"/>
        <w:spacing w:after="120"/>
        <w:ind w:firstLine="0"/>
      </w:pPr>
      <w:r>
        <w:rPr>
          <w:rStyle w:val="FootnoteReference"/>
        </w:rPr>
        <w:footnoteRef/>
      </w:r>
      <w:r>
        <w:t xml:space="preserve"> </w:t>
      </w:r>
      <w:r>
        <w:rPr>
          <w:i/>
        </w:rPr>
        <w:t>PPL I</w:t>
      </w:r>
      <w:r>
        <w:t xml:space="preserve"> at 50-51 (copy attached). </w:t>
      </w:r>
    </w:p>
  </w:footnote>
  <w:footnote w:id="5">
    <w:p w:rsidR="00773608" w:rsidRDefault="00773608" w:rsidP="00823B48">
      <w:pPr>
        <w:pStyle w:val="FootnoteText"/>
        <w:spacing w:after="120"/>
        <w:ind w:firstLine="0"/>
      </w:pPr>
      <w:r>
        <w:rPr>
          <w:rStyle w:val="FootnoteReference"/>
        </w:rPr>
        <w:footnoteRef/>
      </w:r>
      <w:r>
        <w:t xml:space="preserve"> </w:t>
      </w:r>
      <w:r w:rsidRPr="00823B48">
        <w:rPr>
          <w:i/>
        </w:rPr>
        <w:t>Id</w:t>
      </w:r>
      <w:r>
        <w:t>. at 49-50.</w:t>
      </w:r>
    </w:p>
  </w:footnote>
  <w:footnote w:id="6">
    <w:p w:rsidR="00773608" w:rsidRDefault="00773608" w:rsidP="00823B48">
      <w:pPr>
        <w:pStyle w:val="FootnoteText"/>
        <w:spacing w:after="120"/>
        <w:ind w:firstLine="0"/>
      </w:pPr>
      <w:r>
        <w:rPr>
          <w:rStyle w:val="FootnoteReference"/>
        </w:rPr>
        <w:footnoteRef/>
      </w:r>
      <w:r>
        <w:t xml:space="preserve"> </w:t>
      </w:r>
      <w:r w:rsidRPr="00823B48">
        <w:rPr>
          <w:i/>
        </w:rPr>
        <w:t>Id</w:t>
      </w:r>
      <w:r>
        <w:t>. at 50-51.</w:t>
      </w:r>
    </w:p>
  </w:footnote>
  <w:footnote w:id="7">
    <w:p w:rsidR="00773608" w:rsidRDefault="00773608" w:rsidP="00823B48">
      <w:pPr>
        <w:pStyle w:val="FootnoteText"/>
        <w:spacing w:after="120"/>
        <w:ind w:firstLine="0"/>
      </w:pPr>
      <w:r>
        <w:rPr>
          <w:rStyle w:val="FootnoteReference"/>
        </w:rPr>
        <w:footnoteRef/>
      </w:r>
      <w:r>
        <w:t xml:space="preserve"> </w:t>
      </w:r>
      <w:r w:rsidRPr="00823B48">
        <w:rPr>
          <w:i/>
        </w:rPr>
        <w:t>Id</w:t>
      </w:r>
      <w:r>
        <w:t>. at 52.</w:t>
      </w:r>
    </w:p>
  </w:footnote>
  <w:footnote w:id="8">
    <w:p w:rsidR="00773608" w:rsidRDefault="00773608" w:rsidP="00823B48">
      <w:pPr>
        <w:pStyle w:val="FootnoteText"/>
        <w:spacing w:after="120"/>
        <w:ind w:firstLine="0"/>
      </w:pPr>
      <w:r>
        <w:rPr>
          <w:rStyle w:val="FootnoteReference"/>
        </w:rPr>
        <w:footnoteRef/>
      </w:r>
      <w:r>
        <w:t xml:space="preserve"> </w:t>
      </w:r>
      <w:r w:rsidRPr="00823B48">
        <w:rPr>
          <w:i/>
        </w:rPr>
        <w:t>Id</w:t>
      </w:r>
      <w:r>
        <w:t>. at 58.</w:t>
      </w:r>
    </w:p>
  </w:footnote>
  <w:footnote w:id="9">
    <w:p w:rsidR="00773608" w:rsidRDefault="00773608" w:rsidP="00823B48">
      <w:pPr>
        <w:pStyle w:val="FootnoteText"/>
        <w:spacing w:after="120"/>
        <w:ind w:firstLine="0"/>
      </w:pPr>
      <w:r>
        <w:rPr>
          <w:rStyle w:val="FootnoteReference"/>
        </w:rPr>
        <w:footnoteRef/>
      </w:r>
      <w:r>
        <w:t xml:space="preserve"> </w:t>
      </w:r>
      <w:r w:rsidRPr="00823B48">
        <w:rPr>
          <w:i/>
        </w:rPr>
        <w:t>Id</w:t>
      </w:r>
      <w:r>
        <w:t>. at 64.</w:t>
      </w:r>
    </w:p>
  </w:footnote>
  <w:footnote w:id="10">
    <w:p w:rsidR="00773608" w:rsidRDefault="00773608" w:rsidP="00823B48">
      <w:pPr>
        <w:pStyle w:val="FootnoteText"/>
        <w:spacing w:after="120"/>
        <w:ind w:firstLine="0"/>
      </w:pPr>
      <w:r>
        <w:rPr>
          <w:rStyle w:val="FootnoteReference"/>
        </w:rPr>
        <w:footnoteRef/>
      </w:r>
      <w:r>
        <w:t xml:space="preserve"> </w:t>
      </w:r>
      <w:r w:rsidRPr="00823B48">
        <w:rPr>
          <w:i/>
        </w:rPr>
        <w:t>Id</w:t>
      </w:r>
      <w:r>
        <w:t>. at 65.</w:t>
      </w:r>
    </w:p>
  </w:footnote>
  <w:footnote w:id="11">
    <w:p w:rsidR="00773608" w:rsidRDefault="00773608" w:rsidP="00823B48">
      <w:pPr>
        <w:pStyle w:val="FootnoteText"/>
        <w:spacing w:after="120"/>
        <w:ind w:firstLine="0"/>
      </w:pPr>
      <w:r>
        <w:rPr>
          <w:rStyle w:val="FootnoteReference"/>
        </w:rPr>
        <w:footnoteRef/>
      </w:r>
      <w:r>
        <w:t xml:space="preserve"> </w:t>
      </w:r>
      <w:r w:rsidRPr="00823B48">
        <w:rPr>
          <w:i/>
        </w:rPr>
        <w:t>Id</w:t>
      </w:r>
      <w:r>
        <w:t>. at 90-91.</w:t>
      </w:r>
    </w:p>
  </w:footnote>
  <w:footnote w:id="12">
    <w:p w:rsidR="00773608" w:rsidRDefault="00773608" w:rsidP="00823B48">
      <w:pPr>
        <w:pStyle w:val="FootnoteText"/>
        <w:spacing w:after="120"/>
        <w:ind w:firstLine="0"/>
      </w:pPr>
      <w:r>
        <w:rPr>
          <w:rStyle w:val="FootnoteReference"/>
        </w:rPr>
        <w:footnoteRef/>
      </w:r>
      <w:r>
        <w:t xml:space="preserve"> </w:t>
      </w:r>
      <w:r w:rsidRPr="00823B48">
        <w:rPr>
          <w:i/>
        </w:rPr>
        <w:t>Id</w:t>
      </w:r>
      <w:r>
        <w:t>. at 66.</w:t>
      </w:r>
    </w:p>
  </w:footnote>
  <w:footnote w:id="13">
    <w:p w:rsidR="00773608" w:rsidRDefault="00773608" w:rsidP="00823B48">
      <w:pPr>
        <w:pStyle w:val="FootnoteText"/>
        <w:spacing w:after="120"/>
        <w:ind w:firstLine="0"/>
      </w:pPr>
      <w:r>
        <w:rPr>
          <w:rStyle w:val="FootnoteReference"/>
        </w:rPr>
        <w:footnoteRef/>
      </w:r>
      <w:r>
        <w:t xml:space="preserve"> U.S. Const., Art. VI, cl. 2.</w:t>
      </w:r>
    </w:p>
  </w:footnote>
  <w:footnote w:id="14">
    <w:p w:rsidR="00773608" w:rsidRDefault="00773608" w:rsidP="00823B48">
      <w:pPr>
        <w:pStyle w:val="FootnoteText"/>
        <w:spacing w:after="120"/>
        <w:ind w:firstLine="0"/>
      </w:pPr>
      <w:r>
        <w:rPr>
          <w:rStyle w:val="FootnoteReference"/>
        </w:rPr>
        <w:footnoteRef/>
      </w:r>
      <w:r>
        <w:t xml:space="preserve"> 16 U.S.C. </w:t>
      </w:r>
      <w:r>
        <w:rPr>
          <w:rFonts w:cs="Arial"/>
        </w:rPr>
        <w:t>§</w:t>
      </w:r>
      <w:r>
        <w:t xml:space="preserve"> 201 </w:t>
      </w:r>
      <w:r w:rsidRPr="00460CAB">
        <w:t>et seq</w:t>
      </w:r>
      <w:r>
        <w:t>.</w:t>
      </w:r>
    </w:p>
  </w:footnote>
  <w:footnote w:id="15">
    <w:p w:rsidR="00773608" w:rsidRDefault="00773608" w:rsidP="00823B48">
      <w:pPr>
        <w:pStyle w:val="FootnoteText"/>
        <w:spacing w:after="120"/>
        <w:ind w:firstLine="0"/>
      </w:pPr>
      <w:r>
        <w:rPr>
          <w:rStyle w:val="FootnoteReference"/>
        </w:rPr>
        <w:footnoteRef/>
      </w:r>
      <w:r>
        <w:t xml:space="preserve"> </w:t>
      </w:r>
      <w:r>
        <w:rPr>
          <w:i/>
        </w:rPr>
        <w:t>PPL I</w:t>
      </w:r>
      <w:r>
        <w:t xml:space="preserve"> at 85.</w:t>
      </w:r>
    </w:p>
  </w:footnote>
  <w:footnote w:id="16">
    <w:p w:rsidR="00773608" w:rsidRDefault="00773608" w:rsidP="00823B48">
      <w:pPr>
        <w:pStyle w:val="FootnoteText"/>
        <w:spacing w:after="120"/>
        <w:ind w:firstLine="0"/>
      </w:pPr>
      <w:r>
        <w:rPr>
          <w:rStyle w:val="FootnoteReference"/>
        </w:rPr>
        <w:footnoteRef/>
      </w:r>
      <w:r>
        <w:t xml:space="preserve"> </w:t>
      </w:r>
      <w:r w:rsidRPr="00823B48">
        <w:rPr>
          <w:i/>
        </w:rPr>
        <w:t>Id</w:t>
      </w:r>
      <w:r>
        <w:t>. at 85-86.</w:t>
      </w:r>
    </w:p>
  </w:footnote>
  <w:footnote w:id="17">
    <w:p w:rsidR="00773608" w:rsidRDefault="00773608" w:rsidP="00823B48">
      <w:pPr>
        <w:pStyle w:val="FootnoteText"/>
        <w:spacing w:after="120"/>
        <w:ind w:firstLine="0"/>
      </w:pPr>
      <w:r>
        <w:rPr>
          <w:rStyle w:val="FootnoteReference"/>
        </w:rPr>
        <w:footnoteRef/>
      </w:r>
      <w:r>
        <w:t xml:space="preserve"> </w:t>
      </w:r>
      <w:r w:rsidRPr="00823B48">
        <w:rPr>
          <w:i/>
        </w:rPr>
        <w:t>Id</w:t>
      </w:r>
      <w:r>
        <w:t>. at 86.</w:t>
      </w:r>
    </w:p>
  </w:footnote>
  <w:footnote w:id="18">
    <w:p w:rsidR="00773608" w:rsidRDefault="00773608" w:rsidP="00823B48">
      <w:pPr>
        <w:pStyle w:val="FootnoteText"/>
        <w:spacing w:after="120"/>
        <w:ind w:firstLine="0"/>
      </w:pPr>
      <w:r>
        <w:rPr>
          <w:rStyle w:val="FootnoteReference"/>
        </w:rPr>
        <w:footnoteRef/>
      </w:r>
      <w:r>
        <w:t xml:space="preserve"> </w:t>
      </w:r>
      <w:r w:rsidRPr="00823B48">
        <w:rPr>
          <w:i/>
        </w:rPr>
        <w:t>Id</w:t>
      </w:r>
      <w:r>
        <w:t>. at 87.</w:t>
      </w:r>
    </w:p>
  </w:footnote>
  <w:footnote w:id="19">
    <w:p w:rsidR="00773608" w:rsidRDefault="00773608" w:rsidP="00823B48">
      <w:pPr>
        <w:pStyle w:val="FootnoteText"/>
        <w:spacing w:after="120"/>
        <w:ind w:firstLine="0"/>
      </w:pPr>
      <w:r>
        <w:rPr>
          <w:rStyle w:val="FootnoteReference"/>
        </w:rPr>
        <w:footnoteRef/>
      </w:r>
      <w:r>
        <w:t xml:space="preserve"> </w:t>
      </w:r>
      <w:r w:rsidRPr="00823B48">
        <w:rPr>
          <w:i/>
        </w:rPr>
        <w:t>Id</w:t>
      </w:r>
      <w:r>
        <w:t>. at 88-93.</w:t>
      </w:r>
    </w:p>
  </w:footnote>
  <w:footnote w:id="20">
    <w:p w:rsidR="00773608" w:rsidRDefault="00773608" w:rsidP="00823B48">
      <w:pPr>
        <w:pStyle w:val="FootnoteText"/>
        <w:spacing w:after="120"/>
        <w:ind w:firstLine="0"/>
      </w:pPr>
      <w:r>
        <w:rPr>
          <w:rStyle w:val="FootnoteReference"/>
        </w:rPr>
        <w:footnoteRef/>
      </w:r>
      <w:r>
        <w:t xml:space="preserve"> </w:t>
      </w:r>
      <w:r w:rsidRPr="00823B48">
        <w:rPr>
          <w:i/>
        </w:rPr>
        <w:t>Id</w:t>
      </w:r>
      <w:r>
        <w:t>. at 93.</w:t>
      </w:r>
    </w:p>
  </w:footnote>
  <w:footnote w:id="21">
    <w:p w:rsidR="00773608" w:rsidRDefault="00773608" w:rsidP="00823B48">
      <w:pPr>
        <w:pStyle w:val="FootnoteText"/>
        <w:spacing w:after="120"/>
        <w:ind w:firstLine="0"/>
      </w:pPr>
      <w:r>
        <w:rPr>
          <w:rStyle w:val="FootnoteReference"/>
        </w:rPr>
        <w:footnoteRef/>
      </w:r>
      <w:r>
        <w:t xml:space="preserve"> </w:t>
      </w:r>
      <w:r w:rsidRPr="00823B48">
        <w:rPr>
          <w:i/>
        </w:rPr>
        <w:t>Id</w:t>
      </w:r>
      <w:r>
        <w:t xml:space="preserve"> at 110-11 (emphasis added).</w:t>
      </w:r>
    </w:p>
  </w:footnote>
  <w:footnote w:id="22">
    <w:p w:rsidR="00773608" w:rsidRDefault="00773608" w:rsidP="00CD13F0">
      <w:pPr>
        <w:pStyle w:val="FootnoteText"/>
        <w:spacing w:after="120"/>
        <w:ind w:firstLine="0"/>
      </w:pPr>
      <w:r>
        <w:rPr>
          <w:rStyle w:val="FootnoteReference"/>
        </w:rPr>
        <w:footnoteRef/>
      </w:r>
      <w:r>
        <w:t xml:space="preserve"> </w:t>
      </w:r>
      <w:r w:rsidRPr="00CD13F0">
        <w:rPr>
          <w:i/>
        </w:rPr>
        <w:t>PPL II</w:t>
      </w:r>
      <w:r>
        <w:t xml:space="preserve"> at 19.</w:t>
      </w:r>
    </w:p>
  </w:footnote>
  <w:footnote w:id="23">
    <w:p w:rsidR="00773608" w:rsidRDefault="00773608" w:rsidP="00CD13F0">
      <w:pPr>
        <w:pStyle w:val="FootnoteText"/>
        <w:spacing w:after="120"/>
        <w:ind w:firstLine="0"/>
      </w:pPr>
      <w:r>
        <w:rPr>
          <w:rStyle w:val="FootnoteReference"/>
        </w:rPr>
        <w:footnoteRef/>
      </w:r>
      <w:r>
        <w:t xml:space="preserve"> </w:t>
      </w:r>
      <w:r w:rsidRPr="00CD13F0">
        <w:rPr>
          <w:i/>
        </w:rPr>
        <w:t>Id</w:t>
      </w:r>
      <w:r>
        <w:t>. at 19-22.</w:t>
      </w:r>
    </w:p>
  </w:footnote>
  <w:footnote w:id="24">
    <w:p w:rsidR="00773608" w:rsidRDefault="00773608" w:rsidP="00CD13F0">
      <w:pPr>
        <w:pStyle w:val="FootnoteText"/>
        <w:spacing w:after="120"/>
        <w:ind w:firstLine="0"/>
      </w:pPr>
      <w:r>
        <w:rPr>
          <w:rStyle w:val="FootnoteReference"/>
        </w:rPr>
        <w:footnoteRef/>
      </w:r>
      <w:r>
        <w:t xml:space="preserve"> </w:t>
      </w:r>
      <w:r w:rsidRPr="00CD13F0">
        <w:rPr>
          <w:i/>
        </w:rPr>
        <w:t>Id</w:t>
      </w:r>
      <w:r>
        <w:t>. at 30-32.</w:t>
      </w:r>
    </w:p>
  </w:footnote>
  <w:footnote w:id="25">
    <w:p w:rsidR="00773608" w:rsidRDefault="00773608" w:rsidP="00CD13F0">
      <w:pPr>
        <w:pStyle w:val="FootnoteText"/>
        <w:spacing w:after="120"/>
        <w:ind w:firstLine="0"/>
      </w:pPr>
      <w:r>
        <w:rPr>
          <w:rStyle w:val="FootnoteReference"/>
        </w:rPr>
        <w:footnoteRef/>
      </w:r>
      <w:r>
        <w:t xml:space="preserve"> </w:t>
      </w:r>
      <w:r w:rsidRPr="00CD13F0">
        <w:rPr>
          <w:i/>
        </w:rPr>
        <w:t>Id</w:t>
      </w:r>
      <w:r>
        <w:t>. at 32.</w:t>
      </w:r>
    </w:p>
  </w:footnote>
  <w:footnote w:id="26">
    <w:p w:rsidR="009F0C4B" w:rsidRDefault="009F0C4B" w:rsidP="00CD13F0">
      <w:pPr>
        <w:pStyle w:val="FootnoteText"/>
        <w:spacing w:after="120"/>
        <w:ind w:firstLine="0"/>
      </w:pPr>
      <w:r>
        <w:rPr>
          <w:rStyle w:val="FootnoteReference"/>
        </w:rPr>
        <w:footnoteRef/>
      </w:r>
      <w:r>
        <w:t xml:space="preserve"> </w:t>
      </w:r>
      <w:r w:rsidRPr="00CD13F0">
        <w:rPr>
          <w:i/>
        </w:rPr>
        <w:t>Id</w:t>
      </w:r>
      <w:r>
        <w:t>.</w:t>
      </w:r>
    </w:p>
  </w:footnote>
  <w:footnote w:id="27">
    <w:p w:rsidR="00773608" w:rsidRDefault="00773608" w:rsidP="00CD13F0">
      <w:pPr>
        <w:pStyle w:val="FootnoteText"/>
        <w:spacing w:after="120"/>
        <w:ind w:firstLine="0"/>
      </w:pPr>
      <w:r>
        <w:rPr>
          <w:rStyle w:val="FootnoteReference"/>
        </w:rPr>
        <w:footnoteRef/>
      </w:r>
      <w:r>
        <w:t xml:space="preserve"> </w:t>
      </w:r>
      <w:r w:rsidRPr="00CD13F0">
        <w:rPr>
          <w:i/>
        </w:rPr>
        <w:t>Id</w:t>
      </w:r>
      <w:r>
        <w:t>. at 33.</w:t>
      </w:r>
    </w:p>
  </w:footnote>
  <w:footnote w:id="28">
    <w:p w:rsidR="00773608" w:rsidRDefault="00773608" w:rsidP="00CD13F0">
      <w:pPr>
        <w:pStyle w:val="FootnoteText"/>
        <w:spacing w:after="120"/>
        <w:ind w:firstLine="0"/>
      </w:pPr>
      <w:r>
        <w:rPr>
          <w:rStyle w:val="FootnoteReference"/>
        </w:rPr>
        <w:footnoteRef/>
      </w:r>
      <w:r>
        <w:t xml:space="preserve"> </w:t>
      </w:r>
      <w:r w:rsidRPr="00CD13F0">
        <w:rPr>
          <w:i/>
        </w:rPr>
        <w:t>Id</w:t>
      </w:r>
      <w:r>
        <w:t>. at 39.</w:t>
      </w:r>
    </w:p>
  </w:footnote>
  <w:footnote w:id="29">
    <w:p w:rsidR="0084591E" w:rsidRDefault="0084591E" w:rsidP="0084591E">
      <w:pPr>
        <w:pStyle w:val="FootnoteText"/>
        <w:spacing w:after="120"/>
        <w:ind w:firstLine="0"/>
      </w:pPr>
      <w:r>
        <w:rPr>
          <w:rStyle w:val="FootnoteReference"/>
        </w:rPr>
        <w:footnoteRef/>
      </w:r>
      <w:r>
        <w:t xml:space="preserve"> </w:t>
      </w:r>
      <w:r w:rsidRPr="0084591E">
        <w:rPr>
          <w:i/>
        </w:rPr>
        <w:t>Id</w:t>
      </w:r>
      <w:r>
        <w:t>. at 60.</w:t>
      </w:r>
    </w:p>
  </w:footnote>
  <w:footnote w:id="30">
    <w:p w:rsidR="00773608" w:rsidRDefault="00773608" w:rsidP="00CD13F0">
      <w:pPr>
        <w:pStyle w:val="FootnoteText"/>
        <w:spacing w:after="120"/>
        <w:ind w:firstLine="0"/>
      </w:pPr>
      <w:r>
        <w:rPr>
          <w:rStyle w:val="FootnoteReference"/>
        </w:rPr>
        <w:footnoteRef/>
      </w:r>
      <w:r>
        <w:t xml:space="preserve"> </w:t>
      </w:r>
      <w:r w:rsidRPr="00CD13F0">
        <w:rPr>
          <w:i/>
        </w:rPr>
        <w:t>Id</w:t>
      </w:r>
      <w:r>
        <w:t>. at 54-55.</w:t>
      </w:r>
    </w:p>
  </w:footnote>
  <w:footnote w:id="31">
    <w:p w:rsidR="00773608" w:rsidRDefault="00773608" w:rsidP="00CD13F0">
      <w:pPr>
        <w:pStyle w:val="FootnoteText"/>
        <w:spacing w:after="120"/>
        <w:ind w:firstLine="0"/>
      </w:pPr>
      <w:r>
        <w:rPr>
          <w:rStyle w:val="FootnoteReference"/>
        </w:rPr>
        <w:footnoteRef/>
      </w:r>
      <w:r>
        <w:t xml:space="preserve"> </w:t>
      </w:r>
      <w:r w:rsidRPr="00CD13F0">
        <w:rPr>
          <w:i/>
        </w:rPr>
        <w:t>Id</w:t>
      </w:r>
      <w:r>
        <w:t>. at 58-60.</w:t>
      </w:r>
    </w:p>
  </w:footnote>
  <w:footnote w:id="32">
    <w:p w:rsidR="00773608" w:rsidRDefault="00773608" w:rsidP="00CD13F0">
      <w:pPr>
        <w:pStyle w:val="FootnoteText"/>
        <w:spacing w:after="120"/>
        <w:ind w:firstLine="0"/>
      </w:pPr>
      <w:r>
        <w:rPr>
          <w:rStyle w:val="FootnoteReference"/>
        </w:rPr>
        <w:footnoteRef/>
      </w:r>
      <w:r>
        <w:t xml:space="preserve"> </w:t>
      </w:r>
      <w:r w:rsidRPr="00CD13F0">
        <w:rPr>
          <w:i/>
        </w:rPr>
        <w:t>Id</w:t>
      </w:r>
      <w:r>
        <w:t>. at 60.</w:t>
      </w:r>
    </w:p>
  </w:footnote>
  <w:footnote w:id="33">
    <w:p w:rsidR="00773608" w:rsidRDefault="00773608" w:rsidP="00CD13F0">
      <w:pPr>
        <w:pStyle w:val="FootnoteText"/>
        <w:spacing w:after="120"/>
        <w:ind w:firstLine="0"/>
      </w:pPr>
      <w:r>
        <w:rPr>
          <w:rStyle w:val="FootnoteReference"/>
        </w:rPr>
        <w:footnoteRef/>
      </w:r>
      <w:r>
        <w:t xml:space="preserve"> </w:t>
      </w:r>
      <w:r w:rsidRPr="00CD13F0">
        <w:rPr>
          <w:i/>
        </w:rPr>
        <w:t>Id</w:t>
      </w:r>
      <w:r>
        <w:t>. at 61.</w:t>
      </w:r>
    </w:p>
  </w:footnote>
  <w:footnote w:id="34">
    <w:p w:rsidR="00773608" w:rsidRDefault="00773608" w:rsidP="00CD13F0">
      <w:pPr>
        <w:pStyle w:val="FootnoteText"/>
        <w:spacing w:after="120"/>
        <w:ind w:firstLine="0"/>
      </w:pPr>
      <w:r>
        <w:rPr>
          <w:rStyle w:val="FootnoteReference"/>
        </w:rPr>
        <w:footnoteRef/>
      </w:r>
      <w:r>
        <w:t xml:space="preserve"> </w:t>
      </w:r>
      <w:r w:rsidRPr="00CD13F0">
        <w:rPr>
          <w:i/>
        </w:rPr>
        <w:t>Id</w:t>
      </w:r>
      <w:r>
        <w:t>. at 62.</w:t>
      </w:r>
    </w:p>
  </w:footnote>
  <w:footnote w:id="35">
    <w:p w:rsidR="00773608" w:rsidRDefault="00773608" w:rsidP="00CD13F0">
      <w:pPr>
        <w:pStyle w:val="FootnoteText"/>
        <w:spacing w:after="120"/>
        <w:ind w:firstLine="0"/>
      </w:pPr>
      <w:r>
        <w:rPr>
          <w:rStyle w:val="FootnoteReference"/>
        </w:rPr>
        <w:footnoteRef/>
      </w:r>
      <w:r>
        <w:t xml:space="preserve"> </w:t>
      </w:r>
      <w:r w:rsidRPr="00CD13F0">
        <w:rPr>
          <w:i/>
        </w:rPr>
        <w:t>Id</w:t>
      </w:r>
      <w:r>
        <w:t>.</w:t>
      </w:r>
    </w:p>
  </w:footnote>
  <w:footnote w:id="36">
    <w:p w:rsidR="00773608" w:rsidRDefault="00773608" w:rsidP="00CD13F0">
      <w:pPr>
        <w:pStyle w:val="FootnoteText"/>
        <w:spacing w:after="120"/>
        <w:ind w:firstLine="0"/>
      </w:pPr>
      <w:r>
        <w:rPr>
          <w:rStyle w:val="FootnoteReference"/>
        </w:rPr>
        <w:footnoteRef/>
      </w:r>
      <w:r>
        <w:t xml:space="preserve"> </w:t>
      </w:r>
      <w:r w:rsidRPr="00CD13F0">
        <w:rPr>
          <w:i/>
        </w:rPr>
        <w:t>Id</w:t>
      </w:r>
      <w:r>
        <w:t>.</w:t>
      </w:r>
    </w:p>
  </w:footnote>
  <w:footnote w:id="37">
    <w:p w:rsidR="00840088" w:rsidRDefault="00840088" w:rsidP="00840088">
      <w:pPr>
        <w:pStyle w:val="FootnoteText"/>
        <w:spacing w:after="120"/>
        <w:ind w:firstLine="0"/>
      </w:pPr>
      <w:r>
        <w:rPr>
          <w:rStyle w:val="FootnoteReference"/>
        </w:rPr>
        <w:footnoteRef/>
      </w:r>
      <w:r w:rsidR="00260A2A">
        <w:t xml:space="preserve"> Application </w:t>
      </w:r>
      <w:r>
        <w:t>at 4.</w:t>
      </w:r>
    </w:p>
  </w:footnote>
  <w:footnote w:id="38">
    <w:p w:rsidR="00840088" w:rsidRDefault="00840088" w:rsidP="00DD56FB">
      <w:pPr>
        <w:pStyle w:val="FootnoteText"/>
        <w:spacing w:after="120"/>
        <w:ind w:firstLine="0"/>
      </w:pPr>
      <w:r>
        <w:rPr>
          <w:rStyle w:val="FootnoteReference"/>
        </w:rPr>
        <w:footnoteRef/>
      </w:r>
      <w:r>
        <w:t xml:space="preserve"> </w:t>
      </w:r>
      <w:r w:rsidRPr="00DD56FB">
        <w:rPr>
          <w:i/>
        </w:rPr>
        <w:t>Id</w:t>
      </w:r>
      <w:r>
        <w:t xml:space="preserve">. at </w:t>
      </w:r>
      <w:r w:rsidR="00DD56FB">
        <w:t>4 &amp; 7-8.</w:t>
      </w:r>
    </w:p>
  </w:footnote>
  <w:footnote w:id="39">
    <w:p w:rsidR="00DD56FB" w:rsidRDefault="00DD56FB" w:rsidP="00DD56FB">
      <w:pPr>
        <w:pStyle w:val="FootnoteText"/>
        <w:spacing w:after="120"/>
        <w:ind w:firstLine="0"/>
      </w:pPr>
      <w:r>
        <w:rPr>
          <w:rStyle w:val="FootnoteReference"/>
        </w:rPr>
        <w:footnoteRef/>
      </w:r>
      <w:r>
        <w:t xml:space="preserve"> Id. at 3.</w:t>
      </w:r>
    </w:p>
  </w:footnote>
  <w:footnote w:id="40">
    <w:p w:rsidR="00773608" w:rsidRDefault="00773608" w:rsidP="00823B48">
      <w:pPr>
        <w:pStyle w:val="FootnoteText"/>
        <w:spacing w:after="120"/>
        <w:ind w:firstLine="0"/>
      </w:pPr>
      <w:r>
        <w:rPr>
          <w:rStyle w:val="FootnoteReference"/>
        </w:rPr>
        <w:footnoteRef/>
      </w:r>
      <w:r w:rsidR="000F14F8">
        <w:t xml:space="preserve"> </w:t>
      </w:r>
      <w:r w:rsidR="001A3B0B">
        <w:rPr>
          <w:i/>
        </w:rPr>
        <w:t>In the Matter of the Commission Review of the Capacity Charges of Ohio Power Company and Columbus Southern Power Company,</w:t>
      </w:r>
      <w:r w:rsidR="001A3B0B">
        <w:t xml:space="preserve"> Case No. 10-2929-EL-UNC, Opinion and Order at </w:t>
      </w:r>
      <w:r w:rsidR="000F14F8">
        <w:t>13</w:t>
      </w:r>
      <w:r w:rsidR="001A3B0B">
        <w:t xml:space="preserve"> (July 2, 2012)</w:t>
      </w:r>
      <w:r w:rsidR="00DD56FB">
        <w:t xml:space="preserve"> (“</w:t>
      </w:r>
      <w:r w:rsidR="00DD56FB" w:rsidRPr="00DD56FB">
        <w:rPr>
          <w:i/>
        </w:rPr>
        <w:t>AEP-Ohio Capacity Case</w:t>
      </w:r>
      <w:r w:rsidR="00DD56FB">
        <w:t>”)</w:t>
      </w:r>
      <w:r w:rsidR="000F14F8">
        <w:t>.</w:t>
      </w:r>
    </w:p>
  </w:footnote>
  <w:footnote w:id="41">
    <w:p w:rsidR="00DD56FB" w:rsidRDefault="00DD56FB" w:rsidP="00DD56FB">
      <w:pPr>
        <w:pStyle w:val="FootnoteText"/>
        <w:spacing w:after="120"/>
        <w:ind w:firstLine="0"/>
      </w:pPr>
      <w:r>
        <w:rPr>
          <w:rStyle w:val="FootnoteReference"/>
        </w:rPr>
        <w:footnoteRef/>
      </w:r>
      <w:r>
        <w:t xml:space="preserve"> </w:t>
      </w:r>
      <w:r w:rsidRPr="00DD56FB">
        <w:rPr>
          <w:i/>
        </w:rPr>
        <w:t>Id</w:t>
      </w:r>
      <w:r>
        <w:t>. at 23.</w:t>
      </w:r>
    </w:p>
  </w:footnote>
  <w:footnote w:id="42">
    <w:p w:rsidR="00DD56FB" w:rsidRDefault="00DD56FB" w:rsidP="00DD56FB">
      <w:pPr>
        <w:pStyle w:val="FootnoteText"/>
        <w:spacing w:after="120"/>
        <w:ind w:firstLine="0"/>
      </w:pPr>
      <w:r>
        <w:rPr>
          <w:rStyle w:val="FootnoteReference"/>
        </w:rPr>
        <w:footnoteRef/>
      </w:r>
      <w:r>
        <w:t xml:space="preserve"> Application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D3" w:rsidRDefault="00912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D3" w:rsidRDefault="00912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D3" w:rsidRDefault="009128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8" w:rsidRDefault="00773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D6"/>
    <w:rsid w:val="00001786"/>
    <w:rsid w:val="00005BF5"/>
    <w:rsid w:val="000152CF"/>
    <w:rsid w:val="00033275"/>
    <w:rsid w:val="00067E55"/>
    <w:rsid w:val="00074BED"/>
    <w:rsid w:val="000A7C17"/>
    <w:rsid w:val="000B0491"/>
    <w:rsid w:val="000B0B1F"/>
    <w:rsid w:val="000B428D"/>
    <w:rsid w:val="000D187D"/>
    <w:rsid w:val="000F14F8"/>
    <w:rsid w:val="00141070"/>
    <w:rsid w:val="001A3B0B"/>
    <w:rsid w:val="001A6CD1"/>
    <w:rsid w:val="001D1309"/>
    <w:rsid w:val="00204BEC"/>
    <w:rsid w:val="00257108"/>
    <w:rsid w:val="00260A2A"/>
    <w:rsid w:val="002676E9"/>
    <w:rsid w:val="00270720"/>
    <w:rsid w:val="00287712"/>
    <w:rsid w:val="002C0003"/>
    <w:rsid w:val="00304641"/>
    <w:rsid w:val="00305BFC"/>
    <w:rsid w:val="00311B5D"/>
    <w:rsid w:val="00352365"/>
    <w:rsid w:val="003722EB"/>
    <w:rsid w:val="003C0524"/>
    <w:rsid w:val="003F165A"/>
    <w:rsid w:val="00444377"/>
    <w:rsid w:val="00460CAB"/>
    <w:rsid w:val="00473387"/>
    <w:rsid w:val="004941FC"/>
    <w:rsid w:val="004F0EE9"/>
    <w:rsid w:val="00516B93"/>
    <w:rsid w:val="00531744"/>
    <w:rsid w:val="00534736"/>
    <w:rsid w:val="005E3E84"/>
    <w:rsid w:val="0063094B"/>
    <w:rsid w:val="0066161C"/>
    <w:rsid w:val="00687EB4"/>
    <w:rsid w:val="006A0CD9"/>
    <w:rsid w:val="006D6808"/>
    <w:rsid w:val="006F532D"/>
    <w:rsid w:val="00723BAE"/>
    <w:rsid w:val="00733CF0"/>
    <w:rsid w:val="0074301A"/>
    <w:rsid w:val="00745A2D"/>
    <w:rsid w:val="00751456"/>
    <w:rsid w:val="007612DC"/>
    <w:rsid w:val="00763C0B"/>
    <w:rsid w:val="00773608"/>
    <w:rsid w:val="007769D5"/>
    <w:rsid w:val="00784F11"/>
    <w:rsid w:val="007A4891"/>
    <w:rsid w:val="007B64D2"/>
    <w:rsid w:val="007D23F0"/>
    <w:rsid w:val="007D48B5"/>
    <w:rsid w:val="00802CDC"/>
    <w:rsid w:val="008122FD"/>
    <w:rsid w:val="00822100"/>
    <w:rsid w:val="00823B48"/>
    <w:rsid w:val="00826582"/>
    <w:rsid w:val="00840088"/>
    <w:rsid w:val="0084591E"/>
    <w:rsid w:val="0086581D"/>
    <w:rsid w:val="00894E64"/>
    <w:rsid w:val="00896641"/>
    <w:rsid w:val="008E3946"/>
    <w:rsid w:val="008E3BF4"/>
    <w:rsid w:val="00910957"/>
    <w:rsid w:val="009128D3"/>
    <w:rsid w:val="009142EC"/>
    <w:rsid w:val="00923CB2"/>
    <w:rsid w:val="0097681B"/>
    <w:rsid w:val="009D1FA7"/>
    <w:rsid w:val="009F0C4B"/>
    <w:rsid w:val="00AA162C"/>
    <w:rsid w:val="00AA29CC"/>
    <w:rsid w:val="00B034F2"/>
    <w:rsid w:val="00B519D0"/>
    <w:rsid w:val="00B533AB"/>
    <w:rsid w:val="00BD7E2C"/>
    <w:rsid w:val="00BE4DD6"/>
    <w:rsid w:val="00C0405A"/>
    <w:rsid w:val="00C07952"/>
    <w:rsid w:val="00C126A7"/>
    <w:rsid w:val="00C62B71"/>
    <w:rsid w:val="00CB05CC"/>
    <w:rsid w:val="00CC5E5A"/>
    <w:rsid w:val="00CD13F0"/>
    <w:rsid w:val="00CD46C4"/>
    <w:rsid w:val="00CF2935"/>
    <w:rsid w:val="00D713AC"/>
    <w:rsid w:val="00D92B14"/>
    <w:rsid w:val="00DA2D55"/>
    <w:rsid w:val="00DB11C9"/>
    <w:rsid w:val="00DB4486"/>
    <w:rsid w:val="00DD56FB"/>
    <w:rsid w:val="00E078FC"/>
    <w:rsid w:val="00E12A9A"/>
    <w:rsid w:val="00E24455"/>
    <w:rsid w:val="00E50E21"/>
    <w:rsid w:val="00E84C18"/>
    <w:rsid w:val="00E862E6"/>
    <w:rsid w:val="00EB3512"/>
    <w:rsid w:val="00EC2499"/>
    <w:rsid w:val="00EF1A66"/>
    <w:rsid w:val="00F12E2F"/>
    <w:rsid w:val="00F2315A"/>
    <w:rsid w:val="00F5389D"/>
    <w:rsid w:val="00F611F4"/>
    <w:rsid w:val="00F629C6"/>
    <w:rsid w:val="00F8550D"/>
    <w:rsid w:val="00FA380A"/>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C0003"/>
    <w:rPr>
      <w:vertAlign w:val="superscript"/>
    </w:rPr>
  </w:style>
  <w:style w:type="paragraph" w:styleId="NormalWeb">
    <w:name w:val="Normal (Web)"/>
    <w:basedOn w:val="Normal"/>
    <w:uiPriority w:val="99"/>
    <w:semiHidden/>
    <w:unhideWhenUsed/>
    <w:rsid w:val="002C0003"/>
    <w:rPr>
      <w:rFonts w:ascii="Times New Roman" w:hAnsi="Times New Roman" w:cs="Times New Roman"/>
    </w:rPr>
  </w:style>
  <w:style w:type="paragraph" w:styleId="Header">
    <w:name w:val="header"/>
    <w:basedOn w:val="Normal"/>
    <w:link w:val="HeaderChar"/>
    <w:uiPriority w:val="99"/>
    <w:unhideWhenUsed/>
    <w:rsid w:val="00C07952"/>
    <w:pPr>
      <w:tabs>
        <w:tab w:val="center" w:pos="4680"/>
        <w:tab w:val="right" w:pos="9360"/>
      </w:tabs>
      <w:spacing w:line="240" w:lineRule="auto"/>
    </w:pPr>
  </w:style>
  <w:style w:type="character" w:customStyle="1" w:styleId="HeaderChar">
    <w:name w:val="Header Char"/>
    <w:basedOn w:val="DefaultParagraphFont"/>
    <w:link w:val="Header"/>
    <w:uiPriority w:val="99"/>
    <w:rsid w:val="00C07952"/>
  </w:style>
  <w:style w:type="paragraph" w:styleId="Footer">
    <w:name w:val="footer"/>
    <w:basedOn w:val="Normal"/>
    <w:link w:val="FooterChar"/>
    <w:uiPriority w:val="99"/>
    <w:unhideWhenUsed/>
    <w:rsid w:val="00C07952"/>
    <w:pPr>
      <w:tabs>
        <w:tab w:val="center" w:pos="4680"/>
        <w:tab w:val="right" w:pos="9360"/>
      </w:tabs>
      <w:spacing w:line="240" w:lineRule="auto"/>
    </w:pPr>
  </w:style>
  <w:style w:type="character" w:customStyle="1" w:styleId="FooterChar">
    <w:name w:val="Footer Char"/>
    <w:basedOn w:val="DefaultParagraphFont"/>
    <w:link w:val="Footer"/>
    <w:uiPriority w:val="99"/>
    <w:rsid w:val="00C07952"/>
  </w:style>
  <w:style w:type="character" w:styleId="CommentReference">
    <w:name w:val="annotation reference"/>
    <w:basedOn w:val="DefaultParagraphFont"/>
    <w:uiPriority w:val="99"/>
    <w:semiHidden/>
    <w:unhideWhenUsed/>
    <w:rsid w:val="009D1FA7"/>
    <w:rPr>
      <w:sz w:val="16"/>
      <w:szCs w:val="16"/>
    </w:rPr>
  </w:style>
  <w:style w:type="paragraph" w:styleId="CommentText">
    <w:name w:val="annotation text"/>
    <w:basedOn w:val="Normal"/>
    <w:link w:val="CommentTextChar"/>
    <w:uiPriority w:val="99"/>
    <w:semiHidden/>
    <w:unhideWhenUsed/>
    <w:rsid w:val="009D1FA7"/>
    <w:pPr>
      <w:spacing w:line="240" w:lineRule="auto"/>
    </w:pPr>
    <w:rPr>
      <w:sz w:val="20"/>
      <w:szCs w:val="20"/>
    </w:rPr>
  </w:style>
  <w:style w:type="character" w:customStyle="1" w:styleId="CommentTextChar">
    <w:name w:val="Comment Text Char"/>
    <w:basedOn w:val="DefaultParagraphFont"/>
    <w:link w:val="CommentText"/>
    <w:uiPriority w:val="99"/>
    <w:semiHidden/>
    <w:rsid w:val="009D1FA7"/>
    <w:rPr>
      <w:sz w:val="20"/>
      <w:szCs w:val="20"/>
    </w:rPr>
  </w:style>
  <w:style w:type="paragraph" w:styleId="CommentSubject">
    <w:name w:val="annotation subject"/>
    <w:basedOn w:val="CommentText"/>
    <w:next w:val="CommentText"/>
    <w:link w:val="CommentSubjectChar"/>
    <w:uiPriority w:val="99"/>
    <w:semiHidden/>
    <w:unhideWhenUsed/>
    <w:rsid w:val="009D1FA7"/>
    <w:rPr>
      <w:b/>
      <w:bCs/>
    </w:rPr>
  </w:style>
  <w:style w:type="character" w:customStyle="1" w:styleId="CommentSubjectChar">
    <w:name w:val="Comment Subject Char"/>
    <w:basedOn w:val="CommentTextChar"/>
    <w:link w:val="CommentSubject"/>
    <w:uiPriority w:val="99"/>
    <w:semiHidden/>
    <w:rsid w:val="009D1FA7"/>
    <w:rPr>
      <w:b/>
      <w:bCs/>
      <w:sz w:val="20"/>
      <w:szCs w:val="20"/>
    </w:rPr>
  </w:style>
  <w:style w:type="paragraph" w:styleId="BalloonText">
    <w:name w:val="Balloon Text"/>
    <w:basedOn w:val="Normal"/>
    <w:link w:val="BalloonTextChar"/>
    <w:uiPriority w:val="99"/>
    <w:semiHidden/>
    <w:unhideWhenUsed/>
    <w:rsid w:val="009D1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A7"/>
    <w:rPr>
      <w:rFonts w:ascii="Tahoma" w:hAnsi="Tahoma" w:cs="Tahoma"/>
      <w:sz w:val="16"/>
      <w:szCs w:val="16"/>
    </w:rPr>
  </w:style>
  <w:style w:type="character" w:styleId="Hyperlink">
    <w:name w:val="Hyperlink"/>
    <w:basedOn w:val="DefaultParagraphFont"/>
    <w:uiPriority w:val="99"/>
    <w:unhideWhenUsed/>
    <w:rsid w:val="0014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C0003"/>
    <w:rPr>
      <w:vertAlign w:val="superscript"/>
    </w:rPr>
  </w:style>
  <w:style w:type="paragraph" w:styleId="NormalWeb">
    <w:name w:val="Normal (Web)"/>
    <w:basedOn w:val="Normal"/>
    <w:uiPriority w:val="99"/>
    <w:semiHidden/>
    <w:unhideWhenUsed/>
    <w:rsid w:val="002C0003"/>
    <w:rPr>
      <w:rFonts w:ascii="Times New Roman" w:hAnsi="Times New Roman" w:cs="Times New Roman"/>
    </w:rPr>
  </w:style>
  <w:style w:type="paragraph" w:styleId="Header">
    <w:name w:val="header"/>
    <w:basedOn w:val="Normal"/>
    <w:link w:val="HeaderChar"/>
    <w:uiPriority w:val="99"/>
    <w:unhideWhenUsed/>
    <w:rsid w:val="00C07952"/>
    <w:pPr>
      <w:tabs>
        <w:tab w:val="center" w:pos="4680"/>
        <w:tab w:val="right" w:pos="9360"/>
      </w:tabs>
      <w:spacing w:line="240" w:lineRule="auto"/>
    </w:pPr>
  </w:style>
  <w:style w:type="character" w:customStyle="1" w:styleId="HeaderChar">
    <w:name w:val="Header Char"/>
    <w:basedOn w:val="DefaultParagraphFont"/>
    <w:link w:val="Header"/>
    <w:uiPriority w:val="99"/>
    <w:rsid w:val="00C07952"/>
  </w:style>
  <w:style w:type="paragraph" w:styleId="Footer">
    <w:name w:val="footer"/>
    <w:basedOn w:val="Normal"/>
    <w:link w:val="FooterChar"/>
    <w:uiPriority w:val="99"/>
    <w:unhideWhenUsed/>
    <w:rsid w:val="00C07952"/>
    <w:pPr>
      <w:tabs>
        <w:tab w:val="center" w:pos="4680"/>
        <w:tab w:val="right" w:pos="9360"/>
      </w:tabs>
      <w:spacing w:line="240" w:lineRule="auto"/>
    </w:pPr>
  </w:style>
  <w:style w:type="character" w:customStyle="1" w:styleId="FooterChar">
    <w:name w:val="Footer Char"/>
    <w:basedOn w:val="DefaultParagraphFont"/>
    <w:link w:val="Footer"/>
    <w:uiPriority w:val="99"/>
    <w:rsid w:val="00C07952"/>
  </w:style>
  <w:style w:type="character" w:styleId="CommentReference">
    <w:name w:val="annotation reference"/>
    <w:basedOn w:val="DefaultParagraphFont"/>
    <w:uiPriority w:val="99"/>
    <w:semiHidden/>
    <w:unhideWhenUsed/>
    <w:rsid w:val="009D1FA7"/>
    <w:rPr>
      <w:sz w:val="16"/>
      <w:szCs w:val="16"/>
    </w:rPr>
  </w:style>
  <w:style w:type="paragraph" w:styleId="CommentText">
    <w:name w:val="annotation text"/>
    <w:basedOn w:val="Normal"/>
    <w:link w:val="CommentTextChar"/>
    <w:uiPriority w:val="99"/>
    <w:semiHidden/>
    <w:unhideWhenUsed/>
    <w:rsid w:val="009D1FA7"/>
    <w:pPr>
      <w:spacing w:line="240" w:lineRule="auto"/>
    </w:pPr>
    <w:rPr>
      <w:sz w:val="20"/>
      <w:szCs w:val="20"/>
    </w:rPr>
  </w:style>
  <w:style w:type="character" w:customStyle="1" w:styleId="CommentTextChar">
    <w:name w:val="Comment Text Char"/>
    <w:basedOn w:val="DefaultParagraphFont"/>
    <w:link w:val="CommentText"/>
    <w:uiPriority w:val="99"/>
    <w:semiHidden/>
    <w:rsid w:val="009D1FA7"/>
    <w:rPr>
      <w:sz w:val="20"/>
      <w:szCs w:val="20"/>
    </w:rPr>
  </w:style>
  <w:style w:type="paragraph" w:styleId="CommentSubject">
    <w:name w:val="annotation subject"/>
    <w:basedOn w:val="CommentText"/>
    <w:next w:val="CommentText"/>
    <w:link w:val="CommentSubjectChar"/>
    <w:uiPriority w:val="99"/>
    <w:semiHidden/>
    <w:unhideWhenUsed/>
    <w:rsid w:val="009D1FA7"/>
    <w:rPr>
      <w:b/>
      <w:bCs/>
    </w:rPr>
  </w:style>
  <w:style w:type="character" w:customStyle="1" w:styleId="CommentSubjectChar">
    <w:name w:val="Comment Subject Char"/>
    <w:basedOn w:val="CommentTextChar"/>
    <w:link w:val="CommentSubject"/>
    <w:uiPriority w:val="99"/>
    <w:semiHidden/>
    <w:rsid w:val="009D1FA7"/>
    <w:rPr>
      <w:b/>
      <w:bCs/>
      <w:sz w:val="20"/>
      <w:szCs w:val="20"/>
    </w:rPr>
  </w:style>
  <w:style w:type="paragraph" w:styleId="BalloonText">
    <w:name w:val="Balloon Text"/>
    <w:basedOn w:val="Normal"/>
    <w:link w:val="BalloonTextChar"/>
    <w:uiPriority w:val="99"/>
    <w:semiHidden/>
    <w:unhideWhenUsed/>
    <w:rsid w:val="009D1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A7"/>
    <w:rPr>
      <w:rFonts w:ascii="Tahoma" w:hAnsi="Tahoma" w:cs="Tahoma"/>
      <w:sz w:val="16"/>
      <w:szCs w:val="16"/>
    </w:rPr>
  </w:style>
  <w:style w:type="character" w:styleId="Hyperlink">
    <w:name w:val="Hyperlink"/>
    <w:basedOn w:val="DefaultParagraphFont"/>
    <w:uiPriority w:val="99"/>
    <w:unhideWhenUsed/>
    <w:rsid w:val="0014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even.beeler@puc.state.oh.u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028F-71D4-492C-9E61-B0F1DDB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14</Pages>
  <Words>2948</Words>
  <Characters>17185</Characters>
  <Application>Microsoft Office Word</Application>
  <DocSecurity>0</DocSecurity>
  <PresentationFormat/>
  <Lines>520</Lines>
  <Paragraphs>279</Paragraphs>
  <ScaleCrop>false</ScaleCrop>
  <HeadingPairs>
    <vt:vector size="2" baseType="variant">
      <vt:variant>
        <vt:lpstr>Title</vt:lpstr>
      </vt:variant>
      <vt:variant>
        <vt:i4>1</vt:i4>
      </vt:variant>
    </vt:vector>
  </HeadingPairs>
  <TitlesOfParts>
    <vt:vector size="1" baseType="lpstr">
      <vt:lpstr>notice of additional authority (C41711-2).DOCX</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additional authority (C41711-2).DOCX</dc:title>
  <dc:subject>C41711:2 /font=8</dc:subject>
  <dc:creator>Frank Darr</dc:creator>
  <cp:keywords/>
  <dc:description/>
  <cp:lastModifiedBy>Karen Bowman</cp:lastModifiedBy>
  <cp:revision>52</cp:revision>
  <cp:lastPrinted>2013-10-18T15:44:00Z</cp:lastPrinted>
  <dcterms:created xsi:type="dcterms:W3CDTF">2013-10-01T18:31:00Z</dcterms:created>
  <dcterms:modified xsi:type="dcterms:W3CDTF">2013-10-18T15:45:00Z</dcterms:modified>
</cp:coreProperties>
</file>