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D9" w:rsidRPr="00886A30" w:rsidRDefault="00886A30" w:rsidP="001E44D9">
      <w:pPr>
        <w:tabs>
          <w:tab w:val="left" w:pos="-1440"/>
          <w:tab w:val="left" w:pos="-720"/>
          <w:tab w:val="left" w:pos="1440"/>
          <w:tab w:val="left" w:pos="5760"/>
        </w:tabs>
        <w:suppressAutoHyphens/>
        <w:jc w:val="both"/>
        <w:rPr>
          <w:rFonts w:ascii="Times New Roman" w:hAnsi="Times New Roman"/>
          <w:spacing w:val="-3"/>
        </w:rPr>
      </w:pPr>
      <w:bookmarkStart w:id="0" w:name="_GoBack"/>
      <w:bookmarkEnd w:id="0"/>
      <w:r w:rsidRPr="008021DB">
        <w:rPr>
          <w:rFonts w:ascii="Arial Narrow" w:hAnsi="Arial Narrow" w:cs="Arial"/>
          <w:noProof/>
          <w:szCs w:val="24"/>
        </w:rPr>
        <w:drawing>
          <wp:anchor distT="0" distB="0" distL="114300" distR="114300" simplePos="0" relativeHeight="251659264" behindDoc="0" locked="0" layoutInCell="1" allowOverlap="1" wp14:anchorId="76950428" wp14:editId="4DCD5C54">
            <wp:simplePos x="0" y="0"/>
            <wp:positionH relativeFrom="column">
              <wp:posOffset>5067300</wp:posOffset>
            </wp:positionH>
            <wp:positionV relativeFrom="paragraph">
              <wp:posOffset>-604520</wp:posOffset>
            </wp:positionV>
            <wp:extent cx="1289050" cy="950595"/>
            <wp:effectExtent l="0" t="0" r="635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0" cy="950595"/>
                    </a:xfrm>
                    <a:prstGeom prst="rect">
                      <a:avLst/>
                    </a:prstGeom>
                    <a:noFill/>
                  </pic:spPr>
                </pic:pic>
              </a:graphicData>
            </a:graphic>
            <wp14:sizeRelH relativeFrom="margin">
              <wp14:pctWidth>0</wp14:pctWidth>
            </wp14:sizeRelH>
            <wp14:sizeRelV relativeFrom="margin">
              <wp14:pctHeight>0</wp14:pctHeight>
            </wp14:sizeRelV>
          </wp:anchor>
        </w:drawing>
      </w:r>
      <w:r w:rsidR="00AD5FE9">
        <w:rPr>
          <w:rFonts w:ascii="Palatino Linotype" w:hAnsi="Palatino Linotype"/>
          <w:spacing w:val="-3"/>
          <w:szCs w:val="24"/>
        </w:rPr>
        <w:t>May 27</w:t>
      </w:r>
      <w:r w:rsidR="00265771">
        <w:rPr>
          <w:rFonts w:ascii="Palatino Linotype" w:hAnsi="Palatino Linotype"/>
          <w:spacing w:val="-3"/>
          <w:szCs w:val="24"/>
        </w:rPr>
        <w:t>, 2021</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p>
    <w:p w:rsid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 xml:space="preserve">The </w:t>
      </w:r>
      <w:r w:rsidR="00886A30" w:rsidRPr="00886A30">
        <w:rPr>
          <w:rFonts w:ascii="Palatino Linotype" w:hAnsi="Palatino Linotype"/>
          <w:spacing w:val="-3"/>
          <w:szCs w:val="24"/>
        </w:rPr>
        <w:t>Public Utilities Commission of Ohio</w:t>
      </w:r>
    </w:p>
    <w:p w:rsidR="00E32B60"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Energy and Water Division</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180 East Broad Street</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Columbus, Ohio 43215</w:t>
      </w:r>
    </w:p>
    <w:p w:rsidR="00D40596" w:rsidRPr="00886A30" w:rsidRDefault="00D40596" w:rsidP="00D40596">
      <w:pPr>
        <w:tabs>
          <w:tab w:val="left" w:pos="-144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 xml:space="preserve">    </w:t>
      </w:r>
    </w:p>
    <w:p w:rsidR="00D40596" w:rsidRPr="00886A30" w:rsidRDefault="00D40596" w:rsidP="00E32B60">
      <w:pPr>
        <w:tabs>
          <w:tab w:val="left" w:pos="-1440"/>
          <w:tab w:val="left" w:pos="-720"/>
          <w:tab w:val="left" w:pos="720"/>
          <w:tab w:val="left" w:pos="1440"/>
          <w:tab w:val="left" w:pos="5760"/>
        </w:tabs>
        <w:suppressAutoHyphens/>
        <w:jc w:val="both"/>
        <w:rPr>
          <w:rFonts w:ascii="Palatino Linotype" w:hAnsi="Palatino Linotype"/>
          <w:bCs/>
          <w:spacing w:val="-3"/>
          <w:szCs w:val="24"/>
        </w:rPr>
      </w:pPr>
      <w:r w:rsidRPr="004E3CDB">
        <w:rPr>
          <w:rFonts w:ascii="Palatino Linotype" w:hAnsi="Palatino Linotype"/>
          <w:bCs/>
          <w:spacing w:val="-3"/>
          <w:szCs w:val="24"/>
        </w:rPr>
        <w:t xml:space="preserve">Re: </w:t>
      </w:r>
      <w:r w:rsidRPr="004E3CDB">
        <w:rPr>
          <w:rFonts w:ascii="Palatino Linotype" w:hAnsi="Palatino Linotype"/>
          <w:bCs/>
          <w:spacing w:val="-3"/>
          <w:szCs w:val="24"/>
        </w:rPr>
        <w:tab/>
        <w:t xml:space="preserve">Case Number </w:t>
      </w:r>
      <w:r w:rsidR="004E3CDB" w:rsidRPr="004E3CDB">
        <w:rPr>
          <w:rFonts w:ascii="Palatino Linotype" w:hAnsi="Palatino Linotype"/>
          <w:bCs/>
          <w:spacing w:val="-3"/>
          <w:szCs w:val="24"/>
        </w:rPr>
        <w:t>21</w:t>
      </w:r>
      <w:r w:rsidRPr="004E3CDB">
        <w:rPr>
          <w:rFonts w:ascii="Palatino Linotype" w:hAnsi="Palatino Linotype"/>
          <w:bCs/>
          <w:spacing w:val="-3"/>
          <w:szCs w:val="24"/>
        </w:rPr>
        <w:t>-</w:t>
      </w:r>
      <w:r w:rsidR="00E32B60" w:rsidRPr="004E3CDB">
        <w:rPr>
          <w:rFonts w:ascii="Palatino Linotype" w:hAnsi="Palatino Linotype"/>
          <w:bCs/>
          <w:spacing w:val="-3"/>
          <w:szCs w:val="24"/>
        </w:rPr>
        <w:t>1</w:t>
      </w:r>
      <w:r w:rsidR="005123EA" w:rsidRPr="004E3CDB">
        <w:rPr>
          <w:rFonts w:ascii="Palatino Linotype" w:hAnsi="Palatino Linotype"/>
          <w:bCs/>
          <w:spacing w:val="-3"/>
          <w:szCs w:val="24"/>
        </w:rPr>
        <w:t>21</w:t>
      </w:r>
      <w:r w:rsidR="00E32B60" w:rsidRPr="004E3CDB">
        <w:rPr>
          <w:rFonts w:ascii="Palatino Linotype" w:hAnsi="Palatino Linotype"/>
          <w:bCs/>
          <w:spacing w:val="-3"/>
          <w:szCs w:val="24"/>
        </w:rPr>
        <w:t>-GA-UNC</w:t>
      </w:r>
    </w:p>
    <w:p w:rsidR="00D40596" w:rsidRPr="00886A30" w:rsidRDefault="00D40596" w:rsidP="00D40596">
      <w:pPr>
        <w:tabs>
          <w:tab w:val="left" w:pos="-1440"/>
          <w:tab w:val="left" w:pos="-720"/>
          <w:tab w:val="left" w:pos="720"/>
          <w:tab w:val="left" w:pos="1440"/>
          <w:tab w:val="left" w:pos="5760"/>
        </w:tabs>
        <w:suppressAutoHyphens/>
        <w:jc w:val="both"/>
        <w:rPr>
          <w:rFonts w:ascii="Palatino Linotype" w:hAnsi="Palatino Linotype"/>
          <w:spacing w:val="-3"/>
          <w:szCs w:val="24"/>
        </w:rPr>
      </w:pPr>
      <w:r w:rsidRPr="00886A30">
        <w:rPr>
          <w:rFonts w:ascii="Palatino Linotype" w:hAnsi="Palatino Linotype"/>
          <w:spacing w:val="-3"/>
          <w:szCs w:val="24"/>
        </w:rPr>
        <w:tab/>
        <w:t xml:space="preserve">              </w:t>
      </w:r>
    </w:p>
    <w:p w:rsidR="00D40596" w:rsidRPr="00886A30" w:rsidRDefault="00E32B60" w:rsidP="00D40596">
      <w:pPr>
        <w:tabs>
          <w:tab w:val="left" w:pos="-1440"/>
          <w:tab w:val="left" w:pos="-720"/>
          <w:tab w:val="left" w:pos="1440"/>
          <w:tab w:val="left" w:pos="5760"/>
        </w:tabs>
        <w:suppressAutoHyphens/>
        <w:jc w:val="both"/>
        <w:rPr>
          <w:rFonts w:ascii="Palatino Linotype" w:hAnsi="Palatino Linotype"/>
          <w:spacing w:val="-3"/>
          <w:szCs w:val="24"/>
        </w:rPr>
      </w:pPr>
      <w:r>
        <w:rPr>
          <w:rFonts w:ascii="Palatino Linotype" w:hAnsi="Palatino Linotype"/>
          <w:spacing w:val="-3"/>
          <w:szCs w:val="24"/>
        </w:rPr>
        <w:t>Docketing Division</w:t>
      </w:r>
      <w:r w:rsidR="00D40596" w:rsidRPr="00886A30">
        <w:rPr>
          <w:rFonts w:ascii="Palatino Linotype" w:hAnsi="Palatino Linotype"/>
          <w:spacing w:val="-3"/>
          <w:szCs w:val="24"/>
        </w:rPr>
        <w:t>:</w:t>
      </w:r>
    </w:p>
    <w:p w:rsidR="00D40596" w:rsidRPr="00886A30" w:rsidRDefault="00D40596" w:rsidP="00D40596">
      <w:pPr>
        <w:pStyle w:val="BodyText"/>
        <w:rPr>
          <w:rFonts w:ascii="Palatino Linotype" w:hAnsi="Palatino Linotype"/>
          <w:sz w:val="24"/>
          <w:szCs w:val="24"/>
        </w:rPr>
      </w:pPr>
    </w:p>
    <w:p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In accordance with the Public Utilities Commission of Ohio’s (Commission) Opinion and Order of January 9, 2013 and Columbia’s Second Revised Program Outline filed on November 27, 2012 in Case No. 12-2637-GA-EXM, Columbia Gas of Ohio, Inc. (Columbia) hereby submits for filing its quarterly CHOICE/SCO Reconciliation Rider (CSRR) rate filing. This CSRR filing provides for establ</w:t>
      </w:r>
      <w:r w:rsidR="004E0AE3">
        <w:rPr>
          <w:rFonts w:ascii="Palatino Linotype" w:hAnsi="Palatino Linotype"/>
          <w:sz w:val="24"/>
          <w:szCs w:val="24"/>
        </w:rPr>
        <w:t>ishment of a revised CSRR rate</w:t>
      </w:r>
      <w:r w:rsidRPr="00E32B60">
        <w:rPr>
          <w:rFonts w:ascii="Palatino Linotype" w:hAnsi="Palatino Linotype"/>
          <w:sz w:val="24"/>
          <w:szCs w:val="24"/>
        </w:rPr>
        <w:t xml:space="preserve"> </w:t>
      </w:r>
      <w:r w:rsidRPr="00B562CB">
        <w:rPr>
          <w:rFonts w:ascii="Palatino Linotype" w:hAnsi="Palatino Linotype"/>
          <w:sz w:val="24"/>
          <w:szCs w:val="24"/>
        </w:rPr>
        <w:t>of $</w:t>
      </w:r>
      <w:r w:rsidR="006E73B8">
        <w:rPr>
          <w:rFonts w:ascii="Palatino Linotype" w:hAnsi="Palatino Linotype"/>
          <w:sz w:val="24"/>
          <w:szCs w:val="24"/>
        </w:rPr>
        <w:t>0.0120</w:t>
      </w:r>
      <w:r w:rsidR="001E32F4">
        <w:rPr>
          <w:rFonts w:ascii="Palatino Linotype" w:hAnsi="Palatino Linotype"/>
          <w:sz w:val="24"/>
          <w:szCs w:val="24"/>
        </w:rPr>
        <w:t xml:space="preserve"> per Mcf (</w:t>
      </w:r>
      <w:r w:rsidR="006E73B8">
        <w:rPr>
          <w:rFonts w:ascii="Palatino Linotype" w:hAnsi="Palatino Linotype"/>
          <w:sz w:val="24"/>
          <w:szCs w:val="24"/>
        </w:rPr>
        <w:t>one and twenty</w:t>
      </w:r>
      <w:r w:rsidR="003D7BEC" w:rsidRPr="00B562CB">
        <w:rPr>
          <w:rFonts w:ascii="Palatino Linotype" w:hAnsi="Palatino Linotype"/>
          <w:sz w:val="24"/>
          <w:szCs w:val="24"/>
        </w:rPr>
        <w:t xml:space="preserve"> </w:t>
      </w:r>
      <w:r w:rsidRPr="00B562CB">
        <w:rPr>
          <w:rFonts w:ascii="Palatino Linotype" w:hAnsi="Palatino Linotype"/>
          <w:sz w:val="24"/>
          <w:szCs w:val="24"/>
        </w:rPr>
        <w:t>hundredths</w:t>
      </w:r>
      <w:r w:rsidRPr="00E32B60">
        <w:rPr>
          <w:rFonts w:ascii="Palatino Linotype" w:hAnsi="Palatino Linotype"/>
          <w:sz w:val="24"/>
          <w:szCs w:val="24"/>
        </w:rPr>
        <w:t xml:space="preserve"> cents per 1,000 cubic feet) to be applied to bills of customers served under rate schedules SGS, GS, LGS, FRSGTS, FRGTS and FRLGTS.</w:t>
      </w:r>
    </w:p>
    <w:p w:rsidR="00E32B60" w:rsidRPr="00E32B60" w:rsidRDefault="00E32B60" w:rsidP="00E32B60">
      <w:pPr>
        <w:pStyle w:val="BodyText"/>
        <w:rPr>
          <w:rFonts w:ascii="Palatino Linotype" w:hAnsi="Palatino Linotype"/>
          <w:sz w:val="24"/>
          <w:szCs w:val="24"/>
        </w:rPr>
      </w:pPr>
    </w:p>
    <w:p w:rsidR="00E32B60" w:rsidRP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provides for the pass back or recovery of activity o</w:t>
      </w:r>
      <w:r w:rsidR="00AD5FE9">
        <w:rPr>
          <w:rFonts w:ascii="Palatino Linotype" w:hAnsi="Palatino Linotype"/>
          <w:sz w:val="24"/>
          <w:szCs w:val="24"/>
        </w:rPr>
        <w:t>n Columbia’s books through March</w:t>
      </w:r>
      <w:r w:rsidRPr="00E32B60">
        <w:rPr>
          <w:rFonts w:ascii="Palatino Linotype" w:hAnsi="Palatino Linotype"/>
          <w:sz w:val="24"/>
          <w:szCs w:val="24"/>
        </w:rPr>
        <w:t xml:space="preserve"> 3</w:t>
      </w:r>
      <w:r w:rsidR="00265771">
        <w:rPr>
          <w:rFonts w:ascii="Palatino Linotype" w:hAnsi="Palatino Linotype"/>
          <w:sz w:val="24"/>
          <w:szCs w:val="24"/>
        </w:rPr>
        <w:t>1</w:t>
      </w:r>
      <w:r w:rsidR="00AD5FE9">
        <w:rPr>
          <w:rFonts w:ascii="Palatino Linotype" w:hAnsi="Palatino Linotype"/>
          <w:sz w:val="24"/>
          <w:szCs w:val="24"/>
        </w:rPr>
        <w:t>, 2021</w:t>
      </w:r>
      <w:r w:rsidRPr="00E32B60">
        <w:rPr>
          <w:rFonts w:ascii="Palatino Linotype" w:hAnsi="Palatino Linotype"/>
          <w:sz w:val="24"/>
          <w:szCs w:val="24"/>
        </w:rPr>
        <w:t xml:space="preserve"> of gas costs, refunds</w:t>
      </w:r>
      <w:r w:rsidR="00CC0CCB">
        <w:rPr>
          <w:rFonts w:ascii="Palatino Linotype" w:hAnsi="Palatino Linotype"/>
          <w:sz w:val="24"/>
          <w:szCs w:val="24"/>
        </w:rPr>
        <w:t>,</w:t>
      </w:r>
      <w:r w:rsidRPr="00E32B60">
        <w:rPr>
          <w:rFonts w:ascii="Palatino Linotype" w:hAnsi="Palatino Linotype"/>
          <w:sz w:val="24"/>
          <w:szCs w:val="24"/>
        </w:rPr>
        <w:t xml:space="preserve"> and shared Off-System Sales and Capacity Release (OSS/CR) revenues. </w:t>
      </w:r>
    </w:p>
    <w:p w:rsidR="00E32B60" w:rsidRPr="00E32B60" w:rsidRDefault="00E32B60" w:rsidP="00E32B60">
      <w:pPr>
        <w:pStyle w:val="BodyText"/>
        <w:rPr>
          <w:rFonts w:ascii="Palatino Linotype" w:hAnsi="Palatino Linotype"/>
          <w:sz w:val="24"/>
          <w:szCs w:val="24"/>
        </w:rPr>
      </w:pPr>
    </w:p>
    <w:p w:rsidR="00E32B60" w:rsidRDefault="00E32B60" w:rsidP="00E32B60">
      <w:pPr>
        <w:pStyle w:val="BodyText"/>
        <w:rPr>
          <w:rFonts w:ascii="Palatino Linotype" w:hAnsi="Palatino Linotype"/>
          <w:sz w:val="24"/>
          <w:szCs w:val="24"/>
        </w:rPr>
      </w:pPr>
      <w:r w:rsidRPr="00E32B60">
        <w:rPr>
          <w:rFonts w:ascii="Palatino Linotype" w:hAnsi="Palatino Linotype"/>
          <w:sz w:val="24"/>
          <w:szCs w:val="24"/>
        </w:rPr>
        <w:t>This CSRR adjus</w:t>
      </w:r>
      <w:r w:rsidR="00F24DB1">
        <w:rPr>
          <w:rFonts w:ascii="Palatino Linotype" w:hAnsi="Palatino Linotype"/>
          <w:sz w:val="24"/>
          <w:szCs w:val="24"/>
        </w:rPr>
        <w:t>tment will become ef</w:t>
      </w:r>
      <w:r w:rsidR="00265771">
        <w:rPr>
          <w:rFonts w:ascii="Palatino Linotype" w:hAnsi="Palatino Linotype"/>
          <w:sz w:val="24"/>
          <w:szCs w:val="24"/>
        </w:rPr>
        <w:t>fe</w:t>
      </w:r>
      <w:r w:rsidR="00AD5FE9">
        <w:rPr>
          <w:rFonts w:ascii="Palatino Linotype" w:hAnsi="Palatino Linotype"/>
          <w:sz w:val="24"/>
          <w:szCs w:val="24"/>
        </w:rPr>
        <w:t>ctive June 29</w:t>
      </w:r>
      <w:r w:rsidR="00265771">
        <w:rPr>
          <w:rFonts w:ascii="Palatino Linotype" w:hAnsi="Palatino Linotype"/>
          <w:sz w:val="24"/>
          <w:szCs w:val="24"/>
        </w:rPr>
        <w:t>, 2021</w:t>
      </w:r>
      <w:r w:rsidRPr="00E32B60">
        <w:rPr>
          <w:rFonts w:ascii="Palatino Linotype" w:hAnsi="Palatino Linotype"/>
          <w:sz w:val="24"/>
          <w:szCs w:val="24"/>
        </w:rPr>
        <w:t xml:space="preserve"> and will remain in effect through</w:t>
      </w:r>
      <w:r w:rsidR="00AD5FE9">
        <w:rPr>
          <w:rFonts w:ascii="Palatino Linotype" w:hAnsi="Palatino Linotype"/>
          <w:sz w:val="24"/>
          <w:szCs w:val="24"/>
        </w:rPr>
        <w:t xml:space="preserve"> the conclusion of the September</w:t>
      </w:r>
      <w:r w:rsidR="00997DF4">
        <w:rPr>
          <w:rFonts w:ascii="Palatino Linotype" w:hAnsi="Palatino Linotype"/>
          <w:sz w:val="24"/>
          <w:szCs w:val="24"/>
        </w:rPr>
        <w:t xml:space="preserve"> 2021</w:t>
      </w:r>
      <w:r w:rsidRPr="00E32B60">
        <w:rPr>
          <w:rFonts w:ascii="Palatino Linotype" w:hAnsi="Palatino Linotype"/>
          <w:sz w:val="24"/>
          <w:szCs w:val="24"/>
        </w:rPr>
        <w:t xml:space="preserve"> billing month.</w:t>
      </w:r>
    </w:p>
    <w:p w:rsidR="00E32B60" w:rsidRDefault="00E32B60" w:rsidP="00E32B60">
      <w:pPr>
        <w:pStyle w:val="BodyText"/>
        <w:rPr>
          <w:rFonts w:ascii="Palatino Linotype" w:hAnsi="Palatino Linotype"/>
          <w:sz w:val="24"/>
          <w:szCs w:val="24"/>
        </w:rPr>
      </w:pPr>
    </w:p>
    <w:p w:rsidR="00E32B60" w:rsidRDefault="00E32B60" w:rsidP="00E32B60">
      <w:pPr>
        <w:pStyle w:val="BodyText"/>
        <w:rPr>
          <w:rFonts w:ascii="Palatino Linotype" w:hAnsi="Palatino Linotype"/>
          <w:szCs w:val="24"/>
        </w:rPr>
      </w:pPr>
    </w:p>
    <w:p w:rsidR="00E32B60" w:rsidRDefault="00E32B60" w:rsidP="00E32B60">
      <w:pPr>
        <w:pStyle w:val="BodyText"/>
        <w:rPr>
          <w:rFonts w:ascii="Palatino Linotype" w:hAnsi="Palatino Linotype"/>
          <w:szCs w:val="24"/>
        </w:rPr>
      </w:pPr>
    </w:p>
    <w:p w:rsidR="00E32B60" w:rsidRDefault="00E32B60" w:rsidP="00E32B60">
      <w:pPr>
        <w:pStyle w:val="BodyText"/>
        <w:rPr>
          <w:rFonts w:ascii="Palatino Linotype" w:hAnsi="Palatino Linotype"/>
          <w:szCs w:val="24"/>
        </w:rPr>
      </w:pPr>
    </w:p>
    <w:p w:rsidR="006702FE" w:rsidRPr="00886A30" w:rsidRDefault="00E32B60" w:rsidP="00E32B60">
      <w:pPr>
        <w:pStyle w:val="BodyText"/>
        <w:rPr>
          <w:rFonts w:ascii="Palatino Linotype" w:hAnsi="Palatino Linotype"/>
          <w:szCs w:val="24"/>
        </w:rPr>
      </w:pPr>
      <w:r w:rsidRPr="00886A30">
        <w:rPr>
          <w:rFonts w:ascii="Palatino Linotype" w:hAnsi="Palatino Linotype"/>
          <w:szCs w:val="24"/>
        </w:rPr>
        <w:t xml:space="preserve"> </w:t>
      </w:r>
    </w:p>
    <w:p w:rsidR="006702FE" w:rsidRDefault="006702FE" w:rsidP="006702FE">
      <w:pPr>
        <w:tabs>
          <w:tab w:val="left" w:pos="-1440"/>
          <w:tab w:val="left" w:pos="-720"/>
          <w:tab w:val="left" w:pos="1440"/>
          <w:tab w:val="left" w:pos="5760"/>
        </w:tabs>
        <w:suppressAutoHyphens/>
        <w:rPr>
          <w:rFonts w:ascii="Palatino Linotype" w:hAnsi="Palatino Linotype"/>
          <w:spacing w:val="-3"/>
          <w:szCs w:val="24"/>
        </w:rPr>
      </w:pPr>
      <w:r w:rsidRPr="00886A30">
        <w:rPr>
          <w:rFonts w:ascii="Palatino Linotype" w:hAnsi="Palatino Linotype"/>
          <w:spacing w:val="-3"/>
          <w:szCs w:val="24"/>
        </w:rPr>
        <w:t>Very truly yours,</w:t>
      </w:r>
    </w:p>
    <w:p w:rsidR="00886A30" w:rsidRPr="00886A30" w:rsidRDefault="00886A30" w:rsidP="006702FE">
      <w:pPr>
        <w:tabs>
          <w:tab w:val="left" w:pos="-1440"/>
          <w:tab w:val="left" w:pos="-720"/>
          <w:tab w:val="left" w:pos="1440"/>
          <w:tab w:val="left" w:pos="5760"/>
        </w:tabs>
        <w:suppressAutoHyphens/>
        <w:rPr>
          <w:rFonts w:ascii="Palatino Linotype" w:hAnsi="Palatino Linotype"/>
          <w:spacing w:val="-3"/>
          <w:szCs w:val="24"/>
        </w:rPr>
      </w:pPr>
    </w:p>
    <w:p w:rsidR="006702FE" w:rsidRPr="00886A30" w:rsidRDefault="00C97394" w:rsidP="006702FE">
      <w:pPr>
        <w:tabs>
          <w:tab w:val="left" w:pos="-1440"/>
          <w:tab w:val="left" w:pos="-720"/>
          <w:tab w:val="left" w:pos="1440"/>
          <w:tab w:val="left" w:pos="5760"/>
        </w:tabs>
        <w:suppressAutoHyphens/>
        <w:outlineLvl w:val="0"/>
        <w:rPr>
          <w:rFonts w:ascii="Palatino Linotype" w:hAnsi="Palatino Linotype"/>
          <w:spacing w:val="-3"/>
          <w:szCs w:val="24"/>
        </w:rPr>
      </w:pPr>
      <w:r>
        <w:rPr>
          <w:rFonts w:ascii="Palatino Linotype" w:hAnsi="Palatino Linotype"/>
          <w:spacing w:val="-3"/>
          <w:szCs w:val="24"/>
        </w:rPr>
        <w:t>Melissa L. Thompson</w:t>
      </w:r>
    </w:p>
    <w:p w:rsidR="006702FE" w:rsidRPr="00886A30" w:rsidRDefault="00886A30" w:rsidP="00886A30">
      <w:pPr>
        <w:tabs>
          <w:tab w:val="left" w:pos="-1440"/>
          <w:tab w:val="left" w:pos="-720"/>
          <w:tab w:val="left" w:pos="1440"/>
          <w:tab w:val="left" w:pos="5760"/>
        </w:tabs>
        <w:suppressAutoHyphens/>
        <w:rPr>
          <w:rFonts w:ascii="Palatino Linotype" w:hAnsi="Palatino Linotype"/>
          <w:spacing w:val="-3"/>
          <w:szCs w:val="24"/>
        </w:rPr>
      </w:pPr>
      <w:r>
        <w:rPr>
          <w:rFonts w:ascii="Palatino Linotype" w:hAnsi="Palatino Linotype"/>
          <w:spacing w:val="-3"/>
          <w:szCs w:val="24"/>
        </w:rPr>
        <w:t>Director</w:t>
      </w:r>
      <w:r w:rsidR="00CC0CCB">
        <w:rPr>
          <w:rFonts w:ascii="Palatino Linotype" w:hAnsi="Palatino Linotype"/>
          <w:spacing w:val="-3"/>
          <w:szCs w:val="24"/>
        </w:rPr>
        <w:t xml:space="preserve"> of Regulatory Policy</w:t>
      </w:r>
    </w:p>
    <w:sectPr w:rsidR="006702FE" w:rsidRPr="00886A30" w:rsidSect="00886A30">
      <w:endnotePr>
        <w:numFmt w:val="decimal"/>
      </w:endnotePr>
      <w:pgSz w:w="12240" w:h="15840"/>
      <w:pgMar w:top="1440" w:right="1440" w:bottom="1440" w:left="1440" w:header="2160" w:footer="21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96"/>
    <w:rsid w:val="00050106"/>
    <w:rsid w:val="00085EB7"/>
    <w:rsid w:val="00113AA8"/>
    <w:rsid w:val="00151CB0"/>
    <w:rsid w:val="00166C99"/>
    <w:rsid w:val="001C088E"/>
    <w:rsid w:val="001C6648"/>
    <w:rsid w:val="001E32F4"/>
    <w:rsid w:val="001E44D9"/>
    <w:rsid w:val="001E73CB"/>
    <w:rsid w:val="002122CB"/>
    <w:rsid w:val="00265771"/>
    <w:rsid w:val="002B5523"/>
    <w:rsid w:val="002C2A25"/>
    <w:rsid w:val="002F2C8B"/>
    <w:rsid w:val="00303176"/>
    <w:rsid w:val="00313E85"/>
    <w:rsid w:val="0031721E"/>
    <w:rsid w:val="0032537D"/>
    <w:rsid w:val="003472AB"/>
    <w:rsid w:val="00357E61"/>
    <w:rsid w:val="003713A3"/>
    <w:rsid w:val="003B0091"/>
    <w:rsid w:val="003D7BEC"/>
    <w:rsid w:val="003E2514"/>
    <w:rsid w:val="003F20E0"/>
    <w:rsid w:val="004321CA"/>
    <w:rsid w:val="00436CED"/>
    <w:rsid w:val="00472D09"/>
    <w:rsid w:val="004857C1"/>
    <w:rsid w:val="00487255"/>
    <w:rsid w:val="004B34BB"/>
    <w:rsid w:val="004C404D"/>
    <w:rsid w:val="004E0AE3"/>
    <w:rsid w:val="004E3CDB"/>
    <w:rsid w:val="004F3BCE"/>
    <w:rsid w:val="005123EA"/>
    <w:rsid w:val="0052200E"/>
    <w:rsid w:val="00556D22"/>
    <w:rsid w:val="00584B53"/>
    <w:rsid w:val="005F3AD1"/>
    <w:rsid w:val="0061799F"/>
    <w:rsid w:val="00626592"/>
    <w:rsid w:val="006702FE"/>
    <w:rsid w:val="006E73B8"/>
    <w:rsid w:val="00710176"/>
    <w:rsid w:val="0074290C"/>
    <w:rsid w:val="007903FD"/>
    <w:rsid w:val="008021DB"/>
    <w:rsid w:val="00870BB7"/>
    <w:rsid w:val="00886A30"/>
    <w:rsid w:val="0089023B"/>
    <w:rsid w:val="009138B8"/>
    <w:rsid w:val="00915704"/>
    <w:rsid w:val="00936B53"/>
    <w:rsid w:val="00985B9E"/>
    <w:rsid w:val="00997DF4"/>
    <w:rsid w:val="00A02758"/>
    <w:rsid w:val="00A80F8E"/>
    <w:rsid w:val="00A9371C"/>
    <w:rsid w:val="00AA6044"/>
    <w:rsid w:val="00AB259B"/>
    <w:rsid w:val="00AB6CA3"/>
    <w:rsid w:val="00AD5FE9"/>
    <w:rsid w:val="00AF1D28"/>
    <w:rsid w:val="00B36278"/>
    <w:rsid w:val="00B562CB"/>
    <w:rsid w:val="00B930D6"/>
    <w:rsid w:val="00BA2B71"/>
    <w:rsid w:val="00BB2DFD"/>
    <w:rsid w:val="00C03E64"/>
    <w:rsid w:val="00C21258"/>
    <w:rsid w:val="00C97394"/>
    <w:rsid w:val="00CC0CCB"/>
    <w:rsid w:val="00D40596"/>
    <w:rsid w:val="00D87E83"/>
    <w:rsid w:val="00D9025B"/>
    <w:rsid w:val="00D975C9"/>
    <w:rsid w:val="00DC482D"/>
    <w:rsid w:val="00E32B60"/>
    <w:rsid w:val="00E7257E"/>
    <w:rsid w:val="00EF48EE"/>
    <w:rsid w:val="00F23C07"/>
    <w:rsid w:val="00F24DB1"/>
    <w:rsid w:val="00F277DA"/>
    <w:rsid w:val="00F358CD"/>
    <w:rsid w:val="00FB0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D6C82-912F-4346-AA37-3291942A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96"/>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40596"/>
    <w:pPr>
      <w:keepNext/>
      <w:tabs>
        <w:tab w:val="left" w:pos="-1440"/>
        <w:tab w:val="left" w:pos="-720"/>
        <w:tab w:val="left" w:pos="1440"/>
        <w:tab w:val="left" w:pos="5760"/>
        <w:tab w:val="left" w:pos="7110"/>
        <w:tab w:val="left" w:pos="8100"/>
      </w:tabs>
      <w:suppressAutoHyphens/>
      <w:jc w:val="center"/>
      <w:outlineLvl w:val="0"/>
    </w:pPr>
    <w:rPr>
      <w:rFonts w:ascii="Bookman Old Style" w:hAnsi="Bookman Old Style"/>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596"/>
    <w:rPr>
      <w:rFonts w:ascii="Bookman Old Style" w:eastAsia="Times New Roman" w:hAnsi="Bookman Old Style" w:cs="Times New Roman"/>
      <w:spacing w:val="-3"/>
      <w:sz w:val="20"/>
      <w:szCs w:val="20"/>
      <w:u w:val="single"/>
    </w:rPr>
  </w:style>
  <w:style w:type="paragraph" w:styleId="BodyText">
    <w:name w:val="Body Text"/>
    <w:basedOn w:val="Normal"/>
    <w:link w:val="BodyTextChar"/>
    <w:rsid w:val="00D40596"/>
    <w:pPr>
      <w:tabs>
        <w:tab w:val="left" w:pos="-1440"/>
        <w:tab w:val="left" w:pos="-720"/>
        <w:tab w:val="left" w:pos="1440"/>
        <w:tab w:val="left" w:pos="5760"/>
      </w:tabs>
      <w:suppressAutoHyphens/>
    </w:pPr>
    <w:rPr>
      <w:rFonts w:ascii="Bookman Old Style" w:hAnsi="Bookman Old Style"/>
      <w:spacing w:val="-3"/>
      <w:sz w:val="20"/>
    </w:rPr>
  </w:style>
  <w:style w:type="character" w:customStyle="1" w:styleId="BodyTextChar">
    <w:name w:val="Body Text Char"/>
    <w:basedOn w:val="DefaultParagraphFont"/>
    <w:link w:val="BodyText"/>
    <w:rsid w:val="00D40596"/>
    <w:rPr>
      <w:rFonts w:ascii="Bookman Old Style" w:eastAsia="Times New Roman" w:hAnsi="Bookman Old Style" w:cs="Times New Roman"/>
      <w:spacing w:val="-3"/>
      <w:sz w:val="20"/>
      <w:szCs w:val="20"/>
    </w:rPr>
  </w:style>
  <w:style w:type="paragraph" w:styleId="BalloonText">
    <w:name w:val="Balloon Text"/>
    <w:basedOn w:val="Normal"/>
    <w:link w:val="BalloonTextChar"/>
    <w:uiPriority w:val="99"/>
    <w:semiHidden/>
    <w:unhideWhenUsed/>
    <w:rsid w:val="00C03E64"/>
    <w:rPr>
      <w:rFonts w:ascii="Tahoma" w:hAnsi="Tahoma" w:cs="Tahoma"/>
      <w:sz w:val="16"/>
      <w:szCs w:val="16"/>
    </w:rPr>
  </w:style>
  <w:style w:type="character" w:customStyle="1" w:styleId="BalloonTextChar">
    <w:name w:val="Balloon Text Char"/>
    <w:basedOn w:val="DefaultParagraphFont"/>
    <w:link w:val="BalloonText"/>
    <w:uiPriority w:val="99"/>
    <w:semiHidden/>
    <w:rsid w:val="00C03E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40726">
      <w:bodyDiv w:val="1"/>
      <w:marLeft w:val="0"/>
      <w:marRight w:val="0"/>
      <w:marTop w:val="0"/>
      <w:marBottom w:val="0"/>
      <w:divBdr>
        <w:top w:val="none" w:sz="0" w:space="0" w:color="auto"/>
        <w:left w:val="none" w:sz="0" w:space="0" w:color="auto"/>
        <w:bottom w:val="none" w:sz="0" w:space="0" w:color="auto"/>
        <w:right w:val="none" w:sz="0" w:space="0" w:color="auto"/>
      </w:divBdr>
    </w:div>
    <w:div w:id="1352220255">
      <w:bodyDiv w:val="1"/>
      <w:marLeft w:val="0"/>
      <w:marRight w:val="0"/>
      <w:marTop w:val="0"/>
      <w:marBottom w:val="0"/>
      <w:divBdr>
        <w:top w:val="none" w:sz="0" w:space="0" w:color="auto"/>
        <w:left w:val="none" w:sz="0" w:space="0" w:color="auto"/>
        <w:bottom w:val="none" w:sz="0" w:space="0" w:color="auto"/>
        <w:right w:val="none" w:sz="0" w:space="0" w:color="auto"/>
      </w:divBdr>
    </w:div>
    <w:div w:id="15706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3F2C-74E8-4365-8BFD-C6BCC246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 Larry \ W</dc:creator>
  <cp:lastModifiedBy>Battig \ May \ L</cp:lastModifiedBy>
  <cp:revision>14</cp:revision>
  <cp:lastPrinted>2017-05-30T19:56:00Z</cp:lastPrinted>
  <dcterms:created xsi:type="dcterms:W3CDTF">2020-11-18T17:45:00Z</dcterms:created>
  <dcterms:modified xsi:type="dcterms:W3CDTF">2021-05-21T15:07:00Z</dcterms:modified>
</cp:coreProperties>
</file>