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8D9B" w14:textId="77777777" w:rsidR="0042644F" w:rsidRPr="00104013" w:rsidRDefault="00076F41" w:rsidP="00076F41">
      <w:pPr>
        <w:autoSpaceDE w:val="0"/>
        <w:autoSpaceDN w:val="0"/>
        <w:adjustRightInd w:val="0"/>
        <w:spacing w:after="0" w:line="240" w:lineRule="auto"/>
        <w:jc w:val="center"/>
        <w:rPr>
          <w:b/>
        </w:rPr>
      </w:pPr>
      <w:bookmarkStart w:id="0" w:name="_GoBack"/>
      <w:bookmarkEnd w:id="0"/>
      <w:r>
        <w:rPr>
          <w:b/>
        </w:rPr>
        <w:t>B</w:t>
      </w:r>
      <w:r w:rsidR="00CA6B85" w:rsidRPr="00104013">
        <w:rPr>
          <w:b/>
        </w:rPr>
        <w:t xml:space="preserve">EFORE </w:t>
      </w:r>
    </w:p>
    <w:p w14:paraId="34DA219E" w14:textId="77777777" w:rsidR="00CA6B85" w:rsidRPr="00104013" w:rsidRDefault="00CA6B85" w:rsidP="00076F41">
      <w:pPr>
        <w:autoSpaceDE w:val="0"/>
        <w:autoSpaceDN w:val="0"/>
        <w:adjustRightInd w:val="0"/>
        <w:spacing w:after="0" w:line="240" w:lineRule="auto"/>
        <w:jc w:val="center"/>
        <w:rPr>
          <w:b/>
        </w:rPr>
      </w:pPr>
      <w:r w:rsidRPr="00104013">
        <w:rPr>
          <w:b/>
        </w:rPr>
        <w:t>THE PUBLIC UTILITIES COMMISSION OF OHIO</w:t>
      </w:r>
    </w:p>
    <w:p w14:paraId="2F48679E" w14:textId="77777777" w:rsidR="00CA6B85" w:rsidRPr="00104013" w:rsidRDefault="00CA6B85" w:rsidP="00CA6B85">
      <w:pPr>
        <w:autoSpaceDE w:val="0"/>
        <w:autoSpaceDN w:val="0"/>
        <w:adjustRightInd w:val="0"/>
        <w:spacing w:after="0" w:line="240" w:lineRule="auto"/>
        <w:ind w:left="14" w:right="-14"/>
        <w:jc w:val="center"/>
        <w:rPr>
          <w:b/>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282"/>
        <w:gridCol w:w="4230"/>
      </w:tblGrid>
      <w:tr w:rsidR="00CA6B85" w:rsidRPr="00104013" w14:paraId="5DF3AC32" w14:textId="77777777" w:rsidTr="00E16B4C">
        <w:trPr>
          <w:trHeight w:val="2493"/>
        </w:trPr>
        <w:tc>
          <w:tcPr>
            <w:tcW w:w="4330" w:type="dxa"/>
          </w:tcPr>
          <w:p w14:paraId="07BBDB3D" w14:textId="77777777" w:rsidR="00CA6B85" w:rsidRPr="00104013" w:rsidRDefault="00CA6B85" w:rsidP="00076F41">
            <w:pPr>
              <w:autoSpaceDE w:val="0"/>
              <w:autoSpaceDN w:val="0"/>
              <w:adjustRightInd w:val="0"/>
            </w:pPr>
            <w:r w:rsidRPr="00104013">
              <w:t>The Office of the Ohio Consumers</w:t>
            </w:r>
            <w:r w:rsidR="00B93CB0" w:rsidRPr="00104013">
              <w:t>’</w:t>
            </w:r>
            <w:r w:rsidRPr="00104013">
              <w:t xml:space="preserve"> Counsel</w:t>
            </w:r>
            <w:r w:rsidR="000A5465" w:rsidRPr="00104013">
              <w:t xml:space="preserve">, </w:t>
            </w:r>
            <w:r w:rsidR="00D20091">
              <w:t>and</w:t>
            </w:r>
          </w:p>
          <w:p w14:paraId="4CD66789" w14:textId="77777777" w:rsidR="000A5465" w:rsidRDefault="000A5465" w:rsidP="00076F41">
            <w:pPr>
              <w:autoSpaceDE w:val="0"/>
              <w:autoSpaceDN w:val="0"/>
              <w:adjustRightInd w:val="0"/>
            </w:pPr>
          </w:p>
          <w:p w14:paraId="584ECB55" w14:textId="77777777" w:rsidR="0040106B" w:rsidRDefault="004B3DBD" w:rsidP="00076F41">
            <w:pPr>
              <w:autoSpaceDE w:val="0"/>
              <w:autoSpaceDN w:val="0"/>
              <w:adjustRightInd w:val="0"/>
            </w:pPr>
            <w:r>
              <w:t>Communities United for Action</w:t>
            </w:r>
          </w:p>
          <w:p w14:paraId="20AAB7B4" w14:textId="77777777" w:rsidR="00AA6E79" w:rsidRPr="00104013" w:rsidRDefault="00AA6E79" w:rsidP="00076F41">
            <w:pPr>
              <w:autoSpaceDE w:val="0"/>
              <w:autoSpaceDN w:val="0"/>
              <w:adjustRightInd w:val="0"/>
            </w:pPr>
          </w:p>
          <w:p w14:paraId="61DB708A" w14:textId="77777777" w:rsidR="000A5465" w:rsidRPr="00104013" w:rsidRDefault="000A5465" w:rsidP="00076F41">
            <w:pPr>
              <w:autoSpaceDE w:val="0"/>
              <w:autoSpaceDN w:val="0"/>
              <w:adjustRightInd w:val="0"/>
              <w:ind w:firstLine="706"/>
            </w:pPr>
            <w:r w:rsidRPr="00104013">
              <w:t>Complainant</w:t>
            </w:r>
            <w:r w:rsidR="00EB2FA8">
              <w:t>s</w:t>
            </w:r>
            <w:r w:rsidRPr="00104013">
              <w:t>,</w:t>
            </w:r>
          </w:p>
          <w:p w14:paraId="3A795738" w14:textId="77777777" w:rsidR="00CA6B85" w:rsidRPr="00104013" w:rsidRDefault="00CA6B85" w:rsidP="00076F41">
            <w:pPr>
              <w:autoSpaceDE w:val="0"/>
              <w:autoSpaceDN w:val="0"/>
              <w:adjustRightInd w:val="0"/>
            </w:pPr>
          </w:p>
          <w:p w14:paraId="5C13C733" w14:textId="77777777" w:rsidR="00CA6B85" w:rsidRPr="00104013" w:rsidRDefault="00CA6B85" w:rsidP="00076F41">
            <w:pPr>
              <w:autoSpaceDE w:val="0"/>
              <w:autoSpaceDN w:val="0"/>
              <w:adjustRightInd w:val="0"/>
            </w:pPr>
            <w:r w:rsidRPr="00104013">
              <w:t xml:space="preserve">v. </w:t>
            </w:r>
          </w:p>
          <w:p w14:paraId="7DCDD0C8" w14:textId="77777777" w:rsidR="00CA6B85" w:rsidRPr="00104013" w:rsidRDefault="00CA6B85" w:rsidP="00076F41">
            <w:pPr>
              <w:autoSpaceDE w:val="0"/>
              <w:autoSpaceDN w:val="0"/>
              <w:adjustRightInd w:val="0"/>
            </w:pPr>
          </w:p>
          <w:p w14:paraId="5BCF8004" w14:textId="77777777" w:rsidR="00CA6B85" w:rsidRPr="00104013" w:rsidRDefault="00CA6B85" w:rsidP="00076F41">
            <w:pPr>
              <w:autoSpaceDE w:val="0"/>
              <w:autoSpaceDN w:val="0"/>
              <w:adjustRightInd w:val="0"/>
            </w:pPr>
            <w:r w:rsidRPr="00104013">
              <w:t>Duke Energy Ohio, Inc.</w:t>
            </w:r>
          </w:p>
          <w:p w14:paraId="426F00EE" w14:textId="77777777" w:rsidR="000A5465" w:rsidRPr="00104013" w:rsidRDefault="000A5465" w:rsidP="00076F41">
            <w:pPr>
              <w:autoSpaceDE w:val="0"/>
              <w:autoSpaceDN w:val="0"/>
              <w:adjustRightInd w:val="0"/>
            </w:pPr>
          </w:p>
          <w:p w14:paraId="37837E62" w14:textId="77777777" w:rsidR="000A5465" w:rsidRPr="00104013" w:rsidRDefault="000A5465" w:rsidP="00076F41">
            <w:pPr>
              <w:autoSpaceDE w:val="0"/>
              <w:autoSpaceDN w:val="0"/>
              <w:adjustRightInd w:val="0"/>
              <w:ind w:firstLine="706"/>
            </w:pPr>
            <w:r w:rsidRPr="00104013">
              <w:t>Respondent.</w:t>
            </w:r>
          </w:p>
        </w:tc>
        <w:tc>
          <w:tcPr>
            <w:tcW w:w="282" w:type="dxa"/>
          </w:tcPr>
          <w:p w14:paraId="4A9439DC" w14:textId="77777777" w:rsidR="000A5465" w:rsidRPr="00104013" w:rsidRDefault="00CA6B85" w:rsidP="00CA6B85">
            <w:pPr>
              <w:autoSpaceDE w:val="0"/>
              <w:autoSpaceDN w:val="0"/>
              <w:adjustRightInd w:val="0"/>
              <w:ind w:right="-14"/>
            </w:pPr>
            <w:r w:rsidRPr="00104013">
              <w:t>) ) ) ) )</w:t>
            </w:r>
          </w:p>
          <w:p w14:paraId="337C98F8" w14:textId="77777777" w:rsidR="000A5465" w:rsidRPr="00104013" w:rsidRDefault="000A5465" w:rsidP="00CA6B85">
            <w:pPr>
              <w:autoSpaceDE w:val="0"/>
              <w:autoSpaceDN w:val="0"/>
              <w:adjustRightInd w:val="0"/>
              <w:ind w:right="-14"/>
            </w:pPr>
            <w:r w:rsidRPr="00104013">
              <w:t>)</w:t>
            </w:r>
          </w:p>
          <w:p w14:paraId="4E053916" w14:textId="77777777" w:rsidR="000A5465" w:rsidRPr="00104013" w:rsidRDefault="000A5465" w:rsidP="00CA6B85">
            <w:pPr>
              <w:autoSpaceDE w:val="0"/>
              <w:autoSpaceDN w:val="0"/>
              <w:adjustRightInd w:val="0"/>
              <w:ind w:right="-14"/>
            </w:pPr>
            <w:r w:rsidRPr="00104013">
              <w:t>)</w:t>
            </w:r>
          </w:p>
          <w:p w14:paraId="396BD669" w14:textId="77777777" w:rsidR="000A5465" w:rsidRPr="00104013" w:rsidRDefault="000A5465" w:rsidP="00CA6B85">
            <w:pPr>
              <w:autoSpaceDE w:val="0"/>
              <w:autoSpaceDN w:val="0"/>
              <w:adjustRightInd w:val="0"/>
              <w:ind w:right="-14"/>
            </w:pPr>
            <w:r w:rsidRPr="00104013">
              <w:t>)</w:t>
            </w:r>
          </w:p>
          <w:p w14:paraId="790D56AE" w14:textId="77777777" w:rsidR="005F4FCE" w:rsidRDefault="000A5465" w:rsidP="00CA6B85">
            <w:pPr>
              <w:autoSpaceDE w:val="0"/>
              <w:autoSpaceDN w:val="0"/>
              <w:adjustRightInd w:val="0"/>
              <w:ind w:right="-14"/>
            </w:pPr>
            <w:r w:rsidRPr="00104013">
              <w:t>)</w:t>
            </w:r>
          </w:p>
          <w:p w14:paraId="0FC33791" w14:textId="77777777" w:rsidR="00A52D05" w:rsidRDefault="00A52D05" w:rsidP="00CA6B85">
            <w:pPr>
              <w:autoSpaceDE w:val="0"/>
              <w:autoSpaceDN w:val="0"/>
              <w:adjustRightInd w:val="0"/>
              <w:ind w:right="-14"/>
            </w:pPr>
            <w:r>
              <w:t>)</w:t>
            </w:r>
          </w:p>
          <w:p w14:paraId="4F376DF2" w14:textId="77777777" w:rsidR="001B704D" w:rsidRDefault="001B704D" w:rsidP="00CA6B85">
            <w:pPr>
              <w:autoSpaceDE w:val="0"/>
              <w:autoSpaceDN w:val="0"/>
              <w:adjustRightInd w:val="0"/>
              <w:ind w:right="-14"/>
            </w:pPr>
            <w:r>
              <w:t>)</w:t>
            </w:r>
          </w:p>
          <w:p w14:paraId="505641F1" w14:textId="182C9451" w:rsidR="00AA6E79" w:rsidRPr="00104013" w:rsidRDefault="00AA6E79" w:rsidP="00CA6B85">
            <w:pPr>
              <w:autoSpaceDE w:val="0"/>
              <w:autoSpaceDN w:val="0"/>
              <w:adjustRightInd w:val="0"/>
              <w:ind w:right="-14"/>
            </w:pPr>
            <w:r>
              <w:t>)</w:t>
            </w:r>
          </w:p>
          <w:p w14:paraId="1C81C691" w14:textId="77777777" w:rsidR="00CA6B85" w:rsidRPr="00104013" w:rsidRDefault="00CA6B85" w:rsidP="00CA6B85">
            <w:pPr>
              <w:autoSpaceDE w:val="0"/>
              <w:autoSpaceDN w:val="0"/>
              <w:adjustRightInd w:val="0"/>
              <w:ind w:right="-14"/>
            </w:pPr>
            <w:r w:rsidRPr="00104013">
              <w:t xml:space="preserve"> </w:t>
            </w:r>
          </w:p>
        </w:tc>
        <w:tc>
          <w:tcPr>
            <w:tcW w:w="4230" w:type="dxa"/>
          </w:tcPr>
          <w:p w14:paraId="39AB6080" w14:textId="77777777" w:rsidR="00CA6B85" w:rsidRPr="00104013" w:rsidRDefault="00CA6B85" w:rsidP="00CA6B85">
            <w:pPr>
              <w:autoSpaceDE w:val="0"/>
              <w:autoSpaceDN w:val="0"/>
              <w:adjustRightInd w:val="0"/>
              <w:ind w:right="-14"/>
            </w:pPr>
          </w:p>
          <w:p w14:paraId="7EA1CE56" w14:textId="77777777" w:rsidR="00CA6B85" w:rsidRPr="00104013" w:rsidRDefault="00CA6B85" w:rsidP="00CA6B85">
            <w:pPr>
              <w:autoSpaceDE w:val="0"/>
              <w:autoSpaceDN w:val="0"/>
              <w:adjustRightInd w:val="0"/>
              <w:ind w:right="-14"/>
            </w:pPr>
          </w:p>
          <w:p w14:paraId="2075B028" w14:textId="6587972A" w:rsidR="00CA6B85" w:rsidRPr="00104013" w:rsidRDefault="00CA6B85" w:rsidP="002E5DBD">
            <w:pPr>
              <w:autoSpaceDE w:val="0"/>
              <w:autoSpaceDN w:val="0"/>
              <w:adjustRightInd w:val="0"/>
              <w:ind w:right="-14"/>
            </w:pPr>
            <w:r w:rsidRPr="00104013">
              <w:t>Case No. 15-</w:t>
            </w:r>
            <w:r w:rsidR="002E5DBD">
              <w:t>1588</w:t>
            </w:r>
            <w:r w:rsidRPr="00104013">
              <w:t>-</w:t>
            </w:r>
            <w:r w:rsidR="008B49E9" w:rsidRPr="00104013">
              <w:t>GE</w:t>
            </w:r>
            <w:r w:rsidRPr="00104013">
              <w:t>-CSS</w:t>
            </w:r>
          </w:p>
        </w:tc>
      </w:tr>
    </w:tbl>
    <w:p w14:paraId="6821E6CF" w14:textId="77777777" w:rsidR="0042644F" w:rsidRPr="00104013" w:rsidRDefault="00CA6B85" w:rsidP="001D6531">
      <w:pPr>
        <w:autoSpaceDE w:val="0"/>
        <w:autoSpaceDN w:val="0"/>
        <w:adjustRightInd w:val="0"/>
        <w:spacing w:after="0" w:line="480" w:lineRule="auto"/>
        <w:ind w:left="14" w:right="-14"/>
      </w:pPr>
      <w:r w:rsidRPr="00104013">
        <w:t>________________________________________________________________________</w:t>
      </w:r>
    </w:p>
    <w:p w14:paraId="77A07B92" w14:textId="257A136A" w:rsidR="00CA6B85" w:rsidRDefault="003617A1" w:rsidP="00076F41">
      <w:pPr>
        <w:autoSpaceDE w:val="0"/>
        <w:autoSpaceDN w:val="0"/>
        <w:adjustRightInd w:val="0"/>
        <w:spacing w:after="0" w:line="240" w:lineRule="auto"/>
        <w:jc w:val="center"/>
        <w:rPr>
          <w:b/>
        </w:rPr>
      </w:pPr>
      <w:r>
        <w:rPr>
          <w:b/>
        </w:rPr>
        <w:t>REPLY TO DUKE’S MEMORANDUM CONTRA</w:t>
      </w:r>
    </w:p>
    <w:p w14:paraId="4D67E2F1" w14:textId="708C336F" w:rsidR="003617A1" w:rsidRDefault="003617A1" w:rsidP="00076F41">
      <w:pPr>
        <w:autoSpaceDE w:val="0"/>
        <w:autoSpaceDN w:val="0"/>
        <w:adjustRightInd w:val="0"/>
        <w:spacing w:after="0" w:line="240" w:lineRule="auto"/>
        <w:jc w:val="center"/>
        <w:rPr>
          <w:b/>
        </w:rPr>
      </w:pPr>
      <w:r>
        <w:rPr>
          <w:b/>
        </w:rPr>
        <w:t>BY</w:t>
      </w:r>
    </w:p>
    <w:p w14:paraId="57479782" w14:textId="254AA913" w:rsidR="003617A1" w:rsidRDefault="003617A1" w:rsidP="00076F41">
      <w:pPr>
        <w:autoSpaceDE w:val="0"/>
        <w:autoSpaceDN w:val="0"/>
        <w:adjustRightInd w:val="0"/>
        <w:spacing w:after="0" w:line="240" w:lineRule="auto"/>
        <w:jc w:val="center"/>
        <w:rPr>
          <w:b/>
        </w:rPr>
      </w:pPr>
      <w:r>
        <w:rPr>
          <w:b/>
        </w:rPr>
        <w:t>THE OFFICE OF THE OHIO CONSUMERS’ COUNSEL</w:t>
      </w:r>
    </w:p>
    <w:p w14:paraId="23148F0F" w14:textId="66C0EAA5" w:rsidR="002E5DBD" w:rsidRPr="00104013" w:rsidRDefault="002E5DBD" w:rsidP="00076F41">
      <w:pPr>
        <w:autoSpaceDE w:val="0"/>
        <w:autoSpaceDN w:val="0"/>
        <w:adjustRightInd w:val="0"/>
        <w:spacing w:after="0" w:line="240" w:lineRule="auto"/>
        <w:jc w:val="center"/>
        <w:rPr>
          <w:b/>
        </w:rPr>
      </w:pPr>
      <w:r>
        <w:rPr>
          <w:b/>
        </w:rPr>
        <w:t>AND COMMUNITIES UNITED FOR ACTION</w:t>
      </w:r>
    </w:p>
    <w:p w14:paraId="62B19137" w14:textId="77777777" w:rsidR="00CA6B85" w:rsidRPr="00104013" w:rsidRDefault="00CA6B85" w:rsidP="00CA6B85">
      <w:pPr>
        <w:autoSpaceDE w:val="0"/>
        <w:autoSpaceDN w:val="0"/>
        <w:adjustRightInd w:val="0"/>
        <w:spacing w:after="0" w:line="240" w:lineRule="auto"/>
        <w:ind w:left="14" w:right="-14"/>
        <w:jc w:val="both"/>
      </w:pPr>
      <w:r w:rsidRPr="00104013">
        <w:t>________________________________________________________________________</w:t>
      </w:r>
    </w:p>
    <w:p w14:paraId="511CCA83" w14:textId="77777777" w:rsidR="00175D24" w:rsidRPr="00104013" w:rsidRDefault="00175D24" w:rsidP="005A7ACB">
      <w:pPr>
        <w:spacing w:after="0" w:line="240" w:lineRule="auto"/>
        <w:ind w:firstLine="720"/>
      </w:pPr>
    </w:p>
    <w:p w14:paraId="58FF06C3" w14:textId="2E5A7082" w:rsidR="0013148E" w:rsidRPr="0013148E" w:rsidRDefault="0013148E" w:rsidP="0013148E">
      <w:pPr>
        <w:spacing w:before="240" w:after="0" w:line="480" w:lineRule="auto"/>
        <w:rPr>
          <w:b/>
        </w:rPr>
      </w:pPr>
      <w:r>
        <w:rPr>
          <w:b/>
        </w:rPr>
        <w:t>I.</w:t>
      </w:r>
      <w:r>
        <w:rPr>
          <w:b/>
        </w:rPr>
        <w:tab/>
        <w:t>INTRODUCTION</w:t>
      </w:r>
    </w:p>
    <w:p w14:paraId="6B7BF6A5" w14:textId="6EE1AFA0" w:rsidR="00A3748A" w:rsidRDefault="0088766C" w:rsidP="002945A2">
      <w:pPr>
        <w:spacing w:after="0" w:line="480" w:lineRule="auto"/>
        <w:ind w:firstLine="720"/>
      </w:pPr>
      <w:r>
        <w:t xml:space="preserve">The Office of the Ohio Consumers’ Counsel (“OCC”) and Communities United for Action </w:t>
      </w:r>
      <w:r w:rsidR="00D9686B">
        <w:t xml:space="preserve">(“CUFA”) (collectively, “Consumer Parties”) </w:t>
      </w:r>
      <w:r>
        <w:t xml:space="preserve">filed a complaint to protect residential customers from </w:t>
      </w:r>
      <w:r w:rsidR="008C3E9F" w:rsidRPr="00104013">
        <w:t>Duke Energy Ohio, Inc.</w:t>
      </w:r>
      <w:r w:rsidR="008C3E9F">
        <w:t>’s</w:t>
      </w:r>
      <w:r w:rsidR="008C3E9F" w:rsidRPr="00104013">
        <w:t xml:space="preserve"> (“</w:t>
      </w:r>
      <w:r w:rsidR="00D9686B">
        <w:t>Duke</w:t>
      </w:r>
      <w:r w:rsidR="008C3E9F">
        <w:t>”)</w:t>
      </w:r>
      <w:r w:rsidR="00D9686B">
        <w:t xml:space="preserve"> </w:t>
      </w:r>
      <w:r w:rsidRPr="00104013">
        <w:t>unlawful and unreasonable</w:t>
      </w:r>
      <w:r>
        <w:t xml:space="preserve"> disconnection practices.  Concurrently with the Complaint, </w:t>
      </w:r>
      <w:r w:rsidR="00D9686B">
        <w:t>we</w:t>
      </w:r>
      <w:r>
        <w:t xml:space="preserve"> filed a Motion asking t</w:t>
      </w:r>
      <w:r w:rsidR="00684425" w:rsidRPr="00104013">
        <w:t xml:space="preserve">he </w:t>
      </w:r>
      <w:r w:rsidR="008C3E9F" w:rsidRPr="00104013">
        <w:t>Public Utilities Commission of Ohio (“</w:t>
      </w:r>
      <w:r w:rsidR="00684425" w:rsidRPr="00104013">
        <w:t>PUCO</w:t>
      </w:r>
      <w:r w:rsidR="008C3E9F">
        <w:t>”)</w:t>
      </w:r>
      <w:r w:rsidR="00684425">
        <w:t xml:space="preserve"> </w:t>
      </w:r>
      <w:r>
        <w:t>to protect consumers against Duke’s disconnection practices during the upcoming winter heating season</w:t>
      </w:r>
      <w:r w:rsidR="00684425">
        <w:t>.</w:t>
      </w:r>
      <w:r w:rsidR="00080637" w:rsidRPr="00104013">
        <w:t xml:space="preserve"> </w:t>
      </w:r>
      <w:r w:rsidR="00684425">
        <w:t xml:space="preserve"> </w:t>
      </w:r>
      <w:r w:rsidR="00A3748A">
        <w:t xml:space="preserve">  </w:t>
      </w:r>
    </w:p>
    <w:p w14:paraId="5891F422" w14:textId="12CD11E5" w:rsidR="00124FAB" w:rsidRDefault="0013148E" w:rsidP="002945A2">
      <w:pPr>
        <w:spacing w:after="0" w:line="480" w:lineRule="auto"/>
        <w:ind w:firstLine="720"/>
      </w:pPr>
      <w:r>
        <w:t>The</w:t>
      </w:r>
      <w:r w:rsidR="00A3748A">
        <w:t xml:space="preserve"> </w:t>
      </w:r>
      <w:r w:rsidR="00531E27">
        <w:t xml:space="preserve">Complaint and </w:t>
      </w:r>
      <w:r w:rsidR="00A3748A">
        <w:t xml:space="preserve">Motion </w:t>
      </w:r>
      <w:r w:rsidR="00531E27">
        <w:t xml:space="preserve">were </w:t>
      </w:r>
      <w:r w:rsidR="00A3748A">
        <w:t xml:space="preserve">prompted by </w:t>
      </w:r>
      <w:r w:rsidR="00D25E50">
        <w:t>a</w:t>
      </w:r>
      <w:r w:rsidR="008C3E9F">
        <w:t xml:space="preserve"> </w:t>
      </w:r>
      <w:r w:rsidR="00C64E8F">
        <w:t xml:space="preserve">concerning </w:t>
      </w:r>
      <w:r w:rsidR="00D25E50">
        <w:t xml:space="preserve">position advanced </w:t>
      </w:r>
      <w:r w:rsidR="00531E27">
        <w:t xml:space="preserve">several times </w:t>
      </w:r>
      <w:r w:rsidR="00D25E50">
        <w:t xml:space="preserve">by Duke that the PUCO’s </w:t>
      </w:r>
      <w:r w:rsidR="00531E27">
        <w:t xml:space="preserve">rules governing </w:t>
      </w:r>
      <w:r w:rsidR="00D25E50">
        <w:t xml:space="preserve">winter disconnection of customers do not apply if the arrearages leading to the disconnection were incurred prior </w:t>
      </w:r>
      <w:r w:rsidR="00D25E50">
        <w:lastRenderedPageBreak/>
        <w:t>to the winter heating season.</w:t>
      </w:r>
      <w:r w:rsidR="00202738">
        <w:rPr>
          <w:rStyle w:val="FootnoteReference"/>
        </w:rPr>
        <w:footnoteReference w:id="2"/>
      </w:r>
      <w:r w:rsidR="00D25E50">
        <w:t xml:space="preserve">  This position is contrary to </w:t>
      </w:r>
      <w:r w:rsidR="00112613">
        <w:t xml:space="preserve">the </w:t>
      </w:r>
      <w:r w:rsidR="00531E27">
        <w:t xml:space="preserve">plain language </w:t>
      </w:r>
      <w:r w:rsidR="00112613">
        <w:t xml:space="preserve">of </w:t>
      </w:r>
      <w:r w:rsidR="00D25E50">
        <w:t xml:space="preserve">the PUCO’s </w:t>
      </w:r>
      <w:r w:rsidR="00531E27">
        <w:t xml:space="preserve">winter heating rules and its </w:t>
      </w:r>
      <w:r w:rsidR="008C3E9F">
        <w:t>W</w:t>
      </w:r>
      <w:r w:rsidR="00D25E50">
        <w:t xml:space="preserve">inter </w:t>
      </w:r>
      <w:r w:rsidR="008C3E9F">
        <w:t>Reconnect</w:t>
      </w:r>
      <w:r w:rsidR="00D25E50">
        <w:t xml:space="preserve"> Orders.</w:t>
      </w:r>
      <w:r w:rsidR="008C3E9F">
        <w:rPr>
          <w:rStyle w:val="FootnoteReference"/>
        </w:rPr>
        <w:footnoteReference w:id="3"/>
      </w:r>
      <w:r w:rsidR="00D25E50">
        <w:t xml:space="preserve">  The Motion was made against a backdrop of Duke disconnecting, for nonpayment</w:t>
      </w:r>
      <w:r w:rsidR="00A3748A">
        <w:t xml:space="preserve">, by far the highest percentage of residential customers among Ohio’s electric utilities.  </w:t>
      </w:r>
    </w:p>
    <w:p w14:paraId="1A40AB8A" w14:textId="769EE257" w:rsidR="00C64E8F" w:rsidRDefault="00A3748A" w:rsidP="002945A2">
      <w:pPr>
        <w:spacing w:after="0" w:line="480" w:lineRule="auto"/>
        <w:ind w:firstLine="720"/>
      </w:pPr>
      <w:r>
        <w:t xml:space="preserve">On September 29, 2015, Duke filed a memorandum contra </w:t>
      </w:r>
      <w:r w:rsidR="0013148E">
        <w:t>the</w:t>
      </w:r>
      <w:r>
        <w:t xml:space="preserve"> Motion.  Instead of </w:t>
      </w:r>
      <w:r w:rsidR="00D25E50">
        <w:t>addressing our</w:t>
      </w:r>
      <w:r>
        <w:t xml:space="preserve"> arguments, Duke </w:t>
      </w:r>
      <w:r w:rsidR="00D5239D">
        <w:t>focuse</w:t>
      </w:r>
      <w:r w:rsidR="00D25E50">
        <w:t>d</w:t>
      </w:r>
      <w:r w:rsidR="00D5239D">
        <w:t xml:space="preserve"> on the facts of the </w:t>
      </w:r>
      <w:r w:rsidR="00D5239D" w:rsidRPr="0013148E">
        <w:rPr>
          <w:i/>
        </w:rPr>
        <w:t>Pitzer</w:t>
      </w:r>
      <w:r w:rsidR="00D5239D">
        <w:t xml:space="preserve"> </w:t>
      </w:r>
      <w:r w:rsidR="00397803">
        <w:t>C</w:t>
      </w:r>
      <w:r w:rsidR="00D5239D">
        <w:t xml:space="preserve">omplaint </w:t>
      </w:r>
      <w:r w:rsidR="00397803">
        <w:t>C</w:t>
      </w:r>
      <w:r w:rsidR="00D5239D">
        <w:t>ase.</w:t>
      </w:r>
      <w:r w:rsidR="00E83555">
        <w:rPr>
          <w:rStyle w:val="FootnoteReference"/>
        </w:rPr>
        <w:footnoteReference w:id="4"/>
      </w:r>
      <w:r w:rsidR="00D5239D">
        <w:t xml:space="preserve">  Duke reargue</w:t>
      </w:r>
      <w:r w:rsidR="00D25E50">
        <w:t>d</w:t>
      </w:r>
      <w:r w:rsidR="00D5239D">
        <w:t xml:space="preserve"> </w:t>
      </w:r>
      <w:r w:rsidR="00D25E50">
        <w:t xml:space="preserve">various </w:t>
      </w:r>
      <w:r w:rsidR="00C64E8F">
        <w:t>positions from its opposition to OCC’s intervention in</w:t>
      </w:r>
      <w:r w:rsidR="00D83141">
        <w:t xml:space="preserve"> the</w:t>
      </w:r>
      <w:r w:rsidR="00C64E8F">
        <w:t xml:space="preserve"> </w:t>
      </w:r>
      <w:r w:rsidR="00C64E8F" w:rsidRPr="0013148E">
        <w:rPr>
          <w:i/>
        </w:rPr>
        <w:t>Pitzer</w:t>
      </w:r>
      <w:r w:rsidR="00C64E8F">
        <w:t xml:space="preserve"> Complaint Case, all of which </w:t>
      </w:r>
      <w:r w:rsidR="00D5239D">
        <w:t xml:space="preserve">the PUCO </w:t>
      </w:r>
      <w:r w:rsidR="003C7BDE">
        <w:t xml:space="preserve">rejected in granting OCC’s intervention in </w:t>
      </w:r>
      <w:r w:rsidR="00C64E8F">
        <w:t>that c</w:t>
      </w:r>
      <w:r w:rsidR="00397803">
        <w:t>ase</w:t>
      </w:r>
      <w:r w:rsidR="003C7BDE">
        <w:t xml:space="preserve">.  And Duke </w:t>
      </w:r>
      <w:r w:rsidR="00CA2743">
        <w:t>tries</w:t>
      </w:r>
      <w:r w:rsidR="003C7BDE">
        <w:t xml:space="preserve"> to divert the PUCO’s attention away from the real issue in </w:t>
      </w:r>
      <w:r w:rsidR="0013148E">
        <w:t>the</w:t>
      </w:r>
      <w:r w:rsidR="003C7BDE">
        <w:t xml:space="preserve"> Motion.</w:t>
      </w:r>
      <w:r w:rsidR="00D25E50">
        <w:t xml:space="preserve">  </w:t>
      </w:r>
    </w:p>
    <w:p w14:paraId="13D0FF1F" w14:textId="4AE5F6CE" w:rsidR="00A3748A" w:rsidRDefault="00D25E50" w:rsidP="002945A2">
      <w:pPr>
        <w:spacing w:after="0" w:line="480" w:lineRule="auto"/>
        <w:ind w:firstLine="720"/>
      </w:pPr>
      <w:r>
        <w:t xml:space="preserve">The real issue for PUCO action is </w:t>
      </w:r>
      <w:r w:rsidR="008C3E9F">
        <w:t xml:space="preserve">to protect residential customers </w:t>
      </w:r>
      <w:r w:rsidR="00D83141">
        <w:t>who</w:t>
      </w:r>
      <w:r w:rsidR="008C3E9F">
        <w:t xml:space="preserve"> enter the winter heating season without utility service for heating purposes, as well as to protect those customers who are at risk of disconnection from unpaid bills for service provided prior to the winter heating season. </w:t>
      </w:r>
      <w:r>
        <w:t xml:space="preserve"> Duke</w:t>
      </w:r>
      <w:r w:rsidR="008C3E9F">
        <w:t xml:space="preserve"> </w:t>
      </w:r>
      <w:r w:rsidR="00531E27">
        <w:t xml:space="preserve">contends </w:t>
      </w:r>
      <w:r>
        <w:t xml:space="preserve">that PUCO </w:t>
      </w:r>
      <w:r w:rsidR="00C64E8F">
        <w:t xml:space="preserve">directives </w:t>
      </w:r>
      <w:r>
        <w:t xml:space="preserve">deterring disconnection </w:t>
      </w:r>
      <w:r w:rsidR="008C3E9F">
        <w:t xml:space="preserve">(and requiring reconnection) </w:t>
      </w:r>
      <w:r>
        <w:t xml:space="preserve">of customers in cold weather do not apply if the arrearages leading to the disconnection were incurred </w:t>
      </w:r>
      <w:r w:rsidR="00D83141">
        <w:t>befo</w:t>
      </w:r>
      <w:r w:rsidR="00391A4A">
        <w:t>r</w:t>
      </w:r>
      <w:r w:rsidR="00D83141">
        <w:t>e</w:t>
      </w:r>
      <w:r>
        <w:t xml:space="preserve"> the winter heating </w:t>
      </w:r>
      <w:r>
        <w:lastRenderedPageBreak/>
        <w:t>season</w:t>
      </w:r>
      <w:r w:rsidR="00C64E8F">
        <w:t xml:space="preserve">.  Duke’s mistaken and illogical approach </w:t>
      </w:r>
      <w:r w:rsidR="00C64E8F" w:rsidRPr="005B2DEE">
        <w:rPr>
          <w:rFonts w:eastAsia="Calibri"/>
          <w:szCs w:val="22"/>
        </w:rPr>
        <w:t>reaffirm</w:t>
      </w:r>
      <w:r w:rsidR="00C64E8F">
        <w:rPr>
          <w:rFonts w:eastAsia="Calibri"/>
          <w:szCs w:val="22"/>
        </w:rPr>
        <w:t>s the importance of the Motion and</w:t>
      </w:r>
      <w:r w:rsidR="00C64E8F" w:rsidRPr="005B2DEE">
        <w:rPr>
          <w:rFonts w:eastAsia="Calibri"/>
          <w:szCs w:val="22"/>
        </w:rPr>
        <w:t xml:space="preserve"> why the PUCO should grant </w:t>
      </w:r>
      <w:r w:rsidR="00C64E8F">
        <w:rPr>
          <w:rFonts w:eastAsia="Calibri"/>
          <w:szCs w:val="22"/>
        </w:rPr>
        <w:t>it.</w:t>
      </w:r>
      <w:r w:rsidR="0004068E">
        <w:rPr>
          <w:rStyle w:val="FootnoteReference"/>
          <w:rFonts w:eastAsia="Calibri"/>
          <w:szCs w:val="22"/>
        </w:rPr>
        <w:footnoteReference w:id="5"/>
      </w:r>
    </w:p>
    <w:p w14:paraId="5E9B067D" w14:textId="6CBD18F7" w:rsidR="0013148E" w:rsidRPr="0013148E" w:rsidRDefault="0013148E" w:rsidP="0013148E">
      <w:pPr>
        <w:spacing w:before="240" w:after="0" w:line="480" w:lineRule="auto"/>
        <w:rPr>
          <w:b/>
        </w:rPr>
      </w:pPr>
      <w:r>
        <w:rPr>
          <w:b/>
        </w:rPr>
        <w:t>II.</w:t>
      </w:r>
      <w:r>
        <w:rPr>
          <w:b/>
        </w:rPr>
        <w:tab/>
        <w:t>DISCUSSION</w:t>
      </w:r>
    </w:p>
    <w:p w14:paraId="55E7EB5D" w14:textId="1833D8D8" w:rsidR="004837EE" w:rsidRDefault="00DE5D87" w:rsidP="001F41A7">
      <w:pPr>
        <w:spacing w:after="240" w:line="240" w:lineRule="auto"/>
        <w:ind w:left="1440" w:right="720" w:hanging="720"/>
        <w:rPr>
          <w:rFonts w:eastAsia="Calibri"/>
          <w:szCs w:val="22"/>
        </w:rPr>
      </w:pPr>
      <w:r w:rsidRPr="00DE5D87">
        <w:rPr>
          <w:rFonts w:eastAsia="Calibri"/>
          <w:b/>
          <w:szCs w:val="22"/>
        </w:rPr>
        <w:t>A.</w:t>
      </w:r>
      <w:r w:rsidRPr="00DE5D87">
        <w:rPr>
          <w:rFonts w:eastAsia="Calibri"/>
          <w:b/>
          <w:szCs w:val="22"/>
        </w:rPr>
        <w:tab/>
      </w:r>
      <w:r w:rsidR="004837EE">
        <w:rPr>
          <w:rFonts w:eastAsia="Calibri"/>
          <w:b/>
          <w:szCs w:val="22"/>
        </w:rPr>
        <w:t>Duke has mischaracterized the relief sought in the Motion</w:t>
      </w:r>
      <w:r w:rsidR="00D25E50">
        <w:rPr>
          <w:rFonts w:eastAsia="Calibri"/>
          <w:b/>
          <w:szCs w:val="22"/>
        </w:rPr>
        <w:t xml:space="preserve"> for protecting consumers</w:t>
      </w:r>
      <w:r w:rsidR="004837EE">
        <w:rPr>
          <w:rFonts w:eastAsia="Calibri"/>
          <w:b/>
          <w:szCs w:val="22"/>
        </w:rPr>
        <w:t>.</w:t>
      </w:r>
    </w:p>
    <w:p w14:paraId="5596BE7C" w14:textId="414C92EF" w:rsidR="004837EE" w:rsidRDefault="00F0585A" w:rsidP="004837EE">
      <w:pPr>
        <w:spacing w:after="0" w:line="480" w:lineRule="auto"/>
        <w:ind w:firstLine="720"/>
        <w:rPr>
          <w:rFonts w:eastAsia="Calibri"/>
          <w:szCs w:val="22"/>
        </w:rPr>
      </w:pPr>
      <w:r>
        <w:rPr>
          <w:rFonts w:eastAsia="Calibri"/>
          <w:szCs w:val="22"/>
        </w:rPr>
        <w:t xml:space="preserve">Duke </w:t>
      </w:r>
      <w:r w:rsidR="00C64E8F">
        <w:rPr>
          <w:rFonts w:eastAsia="Calibri"/>
          <w:szCs w:val="22"/>
        </w:rPr>
        <w:t xml:space="preserve">claims </w:t>
      </w:r>
      <w:r>
        <w:rPr>
          <w:rFonts w:eastAsia="Calibri"/>
          <w:szCs w:val="22"/>
        </w:rPr>
        <w:t>that the Consumer Parties ask for a complete halt to disconnection of residential customers’ gas and electric service</w:t>
      </w:r>
      <w:r w:rsidR="00D25E50" w:rsidRPr="00D25E50">
        <w:rPr>
          <w:rFonts w:eastAsia="Calibri"/>
          <w:szCs w:val="22"/>
        </w:rPr>
        <w:t xml:space="preserve"> </w:t>
      </w:r>
      <w:r w:rsidR="00D25E50">
        <w:rPr>
          <w:rFonts w:eastAsia="Calibri"/>
          <w:szCs w:val="22"/>
        </w:rPr>
        <w:t>during the winter</w:t>
      </w:r>
      <w:r w:rsidR="00F71276">
        <w:rPr>
          <w:rFonts w:eastAsia="Calibri"/>
          <w:szCs w:val="22"/>
        </w:rPr>
        <w:t>.  That is not the case.</w:t>
      </w:r>
    </w:p>
    <w:p w14:paraId="25C21B19" w14:textId="7A120503" w:rsidR="00F71276" w:rsidRDefault="008D5C7A" w:rsidP="00F71276">
      <w:pPr>
        <w:autoSpaceDE w:val="0"/>
        <w:autoSpaceDN w:val="0"/>
        <w:adjustRightInd w:val="0"/>
        <w:spacing w:after="0" w:line="480" w:lineRule="auto"/>
        <w:ind w:firstLine="720"/>
      </w:pPr>
      <w:r>
        <w:rPr>
          <w:rFonts w:eastAsia="Calibri"/>
          <w:szCs w:val="22"/>
        </w:rPr>
        <w:t>Our</w:t>
      </w:r>
      <w:r w:rsidR="00F71276">
        <w:rPr>
          <w:rFonts w:eastAsia="Calibri"/>
          <w:szCs w:val="22"/>
        </w:rPr>
        <w:t xml:space="preserve"> Motion plainly stated, “</w:t>
      </w:r>
      <w:r w:rsidR="00F71276">
        <w:t xml:space="preserve">In light of the alleged violations by Duke, and until the Consumer Parties’ and </w:t>
      </w:r>
      <w:r w:rsidR="00F71276" w:rsidRPr="00C122F8">
        <w:rPr>
          <w:i/>
        </w:rPr>
        <w:t>Pitzer</w:t>
      </w:r>
      <w:r w:rsidR="00F71276">
        <w:t xml:space="preserve"> Complaints are heard and decided, the PUCO should provide relief for residential natural gas and electric consumers </w:t>
      </w:r>
      <w:r w:rsidR="00F71276" w:rsidRPr="00D475CE">
        <w:t>this winter</w:t>
      </w:r>
      <w:r w:rsidR="00F71276">
        <w:t xml:space="preserve"> by protecting consumers against disconnection in violation of the Winter Orders.”</w:t>
      </w:r>
      <w:r w:rsidR="00F71276">
        <w:rPr>
          <w:rStyle w:val="FootnoteReference"/>
        </w:rPr>
        <w:footnoteReference w:id="6"/>
      </w:r>
      <w:r w:rsidR="00F71276">
        <w:t xml:space="preserve">  </w:t>
      </w:r>
      <w:r w:rsidR="00D475CE">
        <w:t>In other words, Consumer Parties seek to prohibit Duke, while the complaint is pending, from disconnecting customers during the winter heating season for arrearages that arose prior to the heating season.  Additionally, Consumer Parties ask that the PUCO require Duke to reconnect customers (consistent with the special provisions of the Winter Reconnect Order) who may enter into the heating season with no heat (due to prior disconnections).</w:t>
      </w:r>
    </w:p>
    <w:p w14:paraId="330E5793" w14:textId="05C0E56D" w:rsidR="00697156" w:rsidRPr="004837EE" w:rsidRDefault="00697156" w:rsidP="00F71276">
      <w:pPr>
        <w:autoSpaceDE w:val="0"/>
        <w:autoSpaceDN w:val="0"/>
        <w:adjustRightInd w:val="0"/>
        <w:spacing w:after="0" w:line="480" w:lineRule="auto"/>
        <w:ind w:firstLine="720"/>
        <w:rPr>
          <w:rFonts w:eastAsia="Calibri"/>
          <w:szCs w:val="22"/>
        </w:rPr>
      </w:pPr>
      <w:r>
        <w:t xml:space="preserve">Duke’s characterization of the relief sought in the Consumer Parties’ Motion is flawed.  </w:t>
      </w:r>
      <w:r w:rsidR="005F7EE3">
        <w:t>The PUCO should grant the Motion.</w:t>
      </w:r>
    </w:p>
    <w:p w14:paraId="14B76151" w14:textId="77777777" w:rsidR="00391A4A" w:rsidRDefault="00391A4A">
      <w:pPr>
        <w:rPr>
          <w:rFonts w:eastAsia="Calibri"/>
          <w:b/>
          <w:szCs w:val="22"/>
        </w:rPr>
      </w:pPr>
      <w:r>
        <w:rPr>
          <w:rFonts w:eastAsia="Calibri"/>
          <w:b/>
          <w:szCs w:val="22"/>
        </w:rPr>
        <w:br w:type="page"/>
      </w:r>
    </w:p>
    <w:p w14:paraId="27C16EF5" w14:textId="733A0AA5" w:rsidR="00DE5D87" w:rsidRPr="00DE5D87" w:rsidRDefault="004837EE" w:rsidP="001F41A7">
      <w:pPr>
        <w:spacing w:after="240" w:line="240" w:lineRule="auto"/>
        <w:ind w:left="1440" w:right="720" w:hanging="720"/>
        <w:rPr>
          <w:rFonts w:eastAsia="Calibri"/>
          <w:szCs w:val="22"/>
        </w:rPr>
      </w:pPr>
      <w:r>
        <w:rPr>
          <w:rFonts w:eastAsia="Calibri"/>
          <w:b/>
          <w:szCs w:val="22"/>
        </w:rPr>
        <w:lastRenderedPageBreak/>
        <w:t>B.</w:t>
      </w:r>
      <w:r>
        <w:rPr>
          <w:rFonts w:eastAsia="Calibri"/>
          <w:b/>
          <w:szCs w:val="22"/>
        </w:rPr>
        <w:tab/>
      </w:r>
      <w:r w:rsidR="0013148E">
        <w:rPr>
          <w:rFonts w:eastAsia="Calibri"/>
          <w:b/>
          <w:szCs w:val="22"/>
        </w:rPr>
        <w:t>Duke’s statements</w:t>
      </w:r>
      <w:r w:rsidR="00E57BAE">
        <w:rPr>
          <w:rFonts w:eastAsia="Calibri"/>
          <w:b/>
          <w:szCs w:val="22"/>
        </w:rPr>
        <w:t xml:space="preserve"> that the PUCO’s winter disconnection procedures protect customers only if the charges leading to disconnection are incurred during the winter heating season reaffirm why the PUCO should grant our Motion</w:t>
      </w:r>
      <w:r w:rsidR="0013148E">
        <w:rPr>
          <w:rFonts w:eastAsia="Calibri"/>
          <w:b/>
          <w:szCs w:val="22"/>
        </w:rPr>
        <w:t>.</w:t>
      </w:r>
    </w:p>
    <w:p w14:paraId="6B11C744" w14:textId="0E3A1329" w:rsidR="00DE5D87" w:rsidRDefault="00093DC4" w:rsidP="00093DC4">
      <w:pPr>
        <w:spacing w:after="0" w:line="480" w:lineRule="auto"/>
        <w:ind w:firstLine="720"/>
        <w:rPr>
          <w:rFonts w:eastAsia="Calibri"/>
          <w:szCs w:val="22"/>
        </w:rPr>
      </w:pPr>
      <w:r>
        <w:rPr>
          <w:rFonts w:eastAsia="Calibri"/>
          <w:szCs w:val="22"/>
        </w:rPr>
        <w:t xml:space="preserve">In an effort to divert the PUCO’s attention away from the issues in the Consumer Parties’ Complaint, Duke focuses </w:t>
      </w:r>
      <w:r w:rsidR="0013148E">
        <w:rPr>
          <w:rFonts w:eastAsia="Calibri"/>
          <w:szCs w:val="22"/>
        </w:rPr>
        <w:t>its memorandum contra</w:t>
      </w:r>
      <w:r>
        <w:rPr>
          <w:rFonts w:eastAsia="Calibri"/>
          <w:szCs w:val="22"/>
        </w:rPr>
        <w:t xml:space="preserve"> on the </w:t>
      </w:r>
      <w:r w:rsidR="00DC5FB3">
        <w:rPr>
          <w:rFonts w:eastAsia="Calibri"/>
          <w:szCs w:val="22"/>
        </w:rPr>
        <w:t xml:space="preserve">facts of the </w:t>
      </w:r>
      <w:r w:rsidRPr="00C122F8">
        <w:rPr>
          <w:rFonts w:eastAsia="Calibri"/>
          <w:i/>
          <w:szCs w:val="22"/>
        </w:rPr>
        <w:t>Pitzer</w:t>
      </w:r>
      <w:r>
        <w:rPr>
          <w:rFonts w:eastAsia="Calibri"/>
          <w:szCs w:val="22"/>
        </w:rPr>
        <w:t xml:space="preserve"> </w:t>
      </w:r>
      <w:r w:rsidR="00C122F8">
        <w:t>Complaint Case</w:t>
      </w:r>
      <w:r>
        <w:rPr>
          <w:rFonts w:eastAsia="Calibri"/>
          <w:szCs w:val="22"/>
        </w:rPr>
        <w:t>.  Duke asserts that “the l</w:t>
      </w:r>
      <w:r w:rsidR="00DE5D87" w:rsidRPr="00DE5D87">
        <w:rPr>
          <w:rFonts w:eastAsia="Calibri"/>
          <w:szCs w:val="22"/>
        </w:rPr>
        <w:t xml:space="preserve">one support </w:t>
      </w:r>
      <w:r>
        <w:rPr>
          <w:rFonts w:eastAsia="Calibri"/>
          <w:szCs w:val="22"/>
        </w:rPr>
        <w:t xml:space="preserve">for the single issue underlying the Motion is a complaint case that, as OCC is undeniably aware, </w:t>
      </w:r>
      <w:r w:rsidR="00DE5D87" w:rsidRPr="00DE5D87">
        <w:rPr>
          <w:rFonts w:eastAsia="Calibri"/>
          <w:szCs w:val="22"/>
        </w:rPr>
        <w:t xml:space="preserve">concerns discrete events </w:t>
      </w:r>
      <w:r>
        <w:rPr>
          <w:rFonts w:eastAsia="Calibri"/>
          <w:szCs w:val="22"/>
        </w:rPr>
        <w:t>occurring</w:t>
      </w:r>
      <w:r w:rsidR="00DE5D87" w:rsidRPr="00DE5D87">
        <w:rPr>
          <w:rFonts w:eastAsia="Calibri"/>
          <w:szCs w:val="22"/>
        </w:rPr>
        <w:t xml:space="preserve"> in 2011.</w:t>
      </w:r>
      <w:r>
        <w:rPr>
          <w:rFonts w:eastAsia="Calibri"/>
          <w:szCs w:val="22"/>
        </w:rPr>
        <w:t>”</w:t>
      </w:r>
      <w:r>
        <w:rPr>
          <w:rStyle w:val="FootnoteReference"/>
          <w:rFonts w:eastAsia="Calibri"/>
          <w:szCs w:val="22"/>
        </w:rPr>
        <w:footnoteReference w:id="7"/>
      </w:r>
      <w:r>
        <w:rPr>
          <w:rFonts w:eastAsia="Calibri"/>
          <w:szCs w:val="22"/>
        </w:rPr>
        <w:t xml:space="preserve">  Duke is wrong.</w:t>
      </w:r>
      <w:r w:rsidR="003757FB">
        <w:rPr>
          <w:rFonts w:eastAsia="Calibri"/>
          <w:szCs w:val="22"/>
        </w:rPr>
        <w:t xml:space="preserve">  The only fact from that case relevant to the present motion is Duke’s admission that it does not apply the procedural protections of the </w:t>
      </w:r>
      <w:r w:rsidR="009B20C2">
        <w:rPr>
          <w:rFonts w:eastAsia="Calibri"/>
          <w:szCs w:val="22"/>
        </w:rPr>
        <w:t>w</w:t>
      </w:r>
      <w:r w:rsidR="003757FB">
        <w:rPr>
          <w:rFonts w:eastAsia="Calibri"/>
          <w:szCs w:val="22"/>
        </w:rPr>
        <w:t xml:space="preserve">inter </w:t>
      </w:r>
      <w:r w:rsidR="009B20C2">
        <w:rPr>
          <w:rFonts w:eastAsia="Calibri"/>
          <w:szCs w:val="22"/>
        </w:rPr>
        <w:t>disconnect r</w:t>
      </w:r>
      <w:r w:rsidR="003757FB">
        <w:rPr>
          <w:rFonts w:eastAsia="Calibri"/>
          <w:szCs w:val="22"/>
        </w:rPr>
        <w:t>ule when the customer’s delinquent bill includes charges for services received before winter heating period.</w:t>
      </w:r>
    </w:p>
    <w:p w14:paraId="68A61D3B" w14:textId="77777777" w:rsidR="001F41A7" w:rsidRDefault="0048027C" w:rsidP="00093DC4">
      <w:pPr>
        <w:spacing w:after="0" w:line="480" w:lineRule="auto"/>
        <w:ind w:firstLine="720"/>
        <w:rPr>
          <w:rFonts w:eastAsia="Calibri"/>
          <w:szCs w:val="22"/>
        </w:rPr>
      </w:pPr>
      <w:r>
        <w:rPr>
          <w:rFonts w:eastAsia="Calibri"/>
          <w:szCs w:val="22"/>
        </w:rPr>
        <w:t>Our</w:t>
      </w:r>
      <w:r w:rsidR="00093DC4">
        <w:rPr>
          <w:rFonts w:eastAsia="Calibri"/>
          <w:szCs w:val="22"/>
        </w:rPr>
        <w:t xml:space="preserve"> Motion is </w:t>
      </w:r>
      <w:r w:rsidR="00662576">
        <w:rPr>
          <w:rFonts w:eastAsia="Calibri"/>
          <w:szCs w:val="22"/>
        </w:rPr>
        <w:t xml:space="preserve">prompted by Duke’s own statements, made in various documents in </w:t>
      </w:r>
      <w:r>
        <w:rPr>
          <w:rFonts w:eastAsia="Calibri"/>
          <w:szCs w:val="22"/>
        </w:rPr>
        <w:t xml:space="preserve">the </w:t>
      </w:r>
      <w:r w:rsidR="00662576" w:rsidRPr="00C122F8">
        <w:rPr>
          <w:rFonts w:eastAsia="Calibri"/>
          <w:i/>
          <w:szCs w:val="22"/>
        </w:rPr>
        <w:t>Pitzer</w:t>
      </w:r>
      <w:r w:rsidR="00662576">
        <w:rPr>
          <w:rFonts w:eastAsia="Calibri"/>
          <w:szCs w:val="22"/>
        </w:rPr>
        <w:t xml:space="preserve"> </w:t>
      </w:r>
      <w:r w:rsidR="00C122F8">
        <w:t>Complaint Case</w:t>
      </w:r>
      <w:r w:rsidR="00C122F8">
        <w:rPr>
          <w:rFonts w:eastAsia="Calibri"/>
          <w:szCs w:val="22"/>
        </w:rPr>
        <w:t xml:space="preserve"> </w:t>
      </w:r>
      <w:r>
        <w:rPr>
          <w:rFonts w:eastAsia="Calibri"/>
          <w:szCs w:val="22"/>
        </w:rPr>
        <w:t>and now in this case</w:t>
      </w:r>
      <w:r w:rsidR="00662576">
        <w:rPr>
          <w:rFonts w:eastAsia="Calibri"/>
          <w:szCs w:val="22"/>
        </w:rPr>
        <w:t xml:space="preserve">, that demonstrate Duke’s </w:t>
      </w:r>
      <w:r w:rsidR="00FB0500">
        <w:rPr>
          <w:rFonts w:eastAsia="Calibri"/>
          <w:szCs w:val="22"/>
        </w:rPr>
        <w:t>erroneous view regarding the special protections regarding disconnection and reconnection in</w:t>
      </w:r>
      <w:r w:rsidR="00662576">
        <w:rPr>
          <w:rFonts w:eastAsia="Calibri"/>
          <w:szCs w:val="22"/>
        </w:rPr>
        <w:t xml:space="preserve"> the winter.  </w:t>
      </w:r>
      <w:r w:rsidR="00541BD2">
        <w:rPr>
          <w:rFonts w:eastAsia="Calibri"/>
          <w:szCs w:val="22"/>
        </w:rPr>
        <w:t>I</w:t>
      </w:r>
      <w:r w:rsidR="00662576">
        <w:rPr>
          <w:rFonts w:eastAsia="Calibri"/>
          <w:szCs w:val="22"/>
        </w:rPr>
        <w:t xml:space="preserve">n the </w:t>
      </w:r>
      <w:r w:rsidR="00662576" w:rsidRPr="00C122F8">
        <w:rPr>
          <w:rFonts w:eastAsia="Calibri"/>
          <w:i/>
          <w:szCs w:val="22"/>
        </w:rPr>
        <w:t>Pitzer</w:t>
      </w:r>
      <w:r w:rsidR="00662576">
        <w:rPr>
          <w:rFonts w:eastAsia="Calibri"/>
          <w:szCs w:val="22"/>
        </w:rPr>
        <w:t xml:space="preserve"> </w:t>
      </w:r>
      <w:r w:rsidR="00C122F8">
        <w:t>Complaint Case</w:t>
      </w:r>
      <w:r w:rsidR="00662576">
        <w:rPr>
          <w:rFonts w:eastAsia="Calibri"/>
          <w:szCs w:val="22"/>
        </w:rPr>
        <w:t xml:space="preserve">, Duke </w:t>
      </w:r>
      <w:r w:rsidR="00541BD2">
        <w:rPr>
          <w:rFonts w:eastAsia="Calibri"/>
          <w:szCs w:val="22"/>
        </w:rPr>
        <w:t xml:space="preserve">has repeatedly contended </w:t>
      </w:r>
      <w:r w:rsidR="00662576">
        <w:rPr>
          <w:rFonts w:eastAsia="Calibri"/>
          <w:szCs w:val="22"/>
        </w:rPr>
        <w:t xml:space="preserve">that the special procedures contained in the winter rules apply only if the customer incurred the charges </w:t>
      </w:r>
    </w:p>
    <w:p w14:paraId="59BC4B85" w14:textId="54E9D9AD" w:rsidR="003422D8" w:rsidRDefault="00662576" w:rsidP="001F41A7">
      <w:pPr>
        <w:spacing w:after="0" w:line="480" w:lineRule="auto"/>
        <w:rPr>
          <w:rFonts w:eastAsia="Calibri"/>
          <w:szCs w:val="22"/>
        </w:rPr>
      </w:pPr>
      <w:r>
        <w:rPr>
          <w:rFonts w:eastAsia="Calibri"/>
          <w:szCs w:val="22"/>
        </w:rPr>
        <w:t>leading to disconnection during the winter heating season.</w:t>
      </w:r>
      <w:r>
        <w:rPr>
          <w:rStyle w:val="FootnoteReference"/>
          <w:rFonts w:eastAsia="Calibri"/>
          <w:szCs w:val="22"/>
        </w:rPr>
        <w:footnoteReference w:id="8"/>
      </w:r>
      <w:r>
        <w:rPr>
          <w:rFonts w:eastAsia="Calibri"/>
          <w:szCs w:val="22"/>
        </w:rPr>
        <w:t xml:space="preserve">  </w:t>
      </w:r>
      <w:r w:rsidR="00F35478">
        <w:rPr>
          <w:rFonts w:eastAsia="Calibri"/>
          <w:szCs w:val="22"/>
        </w:rPr>
        <w:t xml:space="preserve">Duke </w:t>
      </w:r>
      <w:r w:rsidR="00541BD2">
        <w:rPr>
          <w:rFonts w:eastAsia="Calibri"/>
          <w:szCs w:val="22"/>
        </w:rPr>
        <w:t xml:space="preserve">made a similar statement </w:t>
      </w:r>
      <w:r w:rsidR="00F35478">
        <w:rPr>
          <w:rFonts w:eastAsia="Calibri"/>
          <w:szCs w:val="22"/>
        </w:rPr>
        <w:t xml:space="preserve">in its memorandum contra </w:t>
      </w:r>
      <w:r w:rsidR="007F0F83">
        <w:rPr>
          <w:rFonts w:eastAsia="Calibri"/>
          <w:szCs w:val="22"/>
        </w:rPr>
        <w:t xml:space="preserve">our Motion </w:t>
      </w:r>
      <w:r w:rsidR="00F35478">
        <w:rPr>
          <w:rFonts w:eastAsia="Calibri"/>
          <w:szCs w:val="22"/>
        </w:rPr>
        <w:t xml:space="preserve">when it </w:t>
      </w:r>
      <w:r w:rsidR="00541BD2">
        <w:rPr>
          <w:rFonts w:eastAsia="Calibri"/>
          <w:szCs w:val="22"/>
        </w:rPr>
        <w:t xml:space="preserve">claimed </w:t>
      </w:r>
      <w:r w:rsidR="00F35478">
        <w:rPr>
          <w:rFonts w:eastAsia="Calibri"/>
          <w:szCs w:val="22"/>
        </w:rPr>
        <w:t xml:space="preserve">that the winter rules are not implicated in the </w:t>
      </w:r>
      <w:r w:rsidR="00F35478" w:rsidRPr="00C122F8">
        <w:rPr>
          <w:rFonts w:eastAsia="Calibri"/>
          <w:i/>
          <w:szCs w:val="22"/>
        </w:rPr>
        <w:t>Pitzer</w:t>
      </w:r>
      <w:r w:rsidR="00F35478">
        <w:rPr>
          <w:rFonts w:eastAsia="Calibri"/>
          <w:szCs w:val="22"/>
        </w:rPr>
        <w:t xml:space="preserve"> </w:t>
      </w:r>
      <w:r w:rsidR="00C122F8">
        <w:t>Complaint Case</w:t>
      </w:r>
      <w:r w:rsidR="00C122F8">
        <w:rPr>
          <w:rFonts w:eastAsia="Calibri"/>
          <w:szCs w:val="22"/>
        </w:rPr>
        <w:t xml:space="preserve"> </w:t>
      </w:r>
      <w:r w:rsidR="007F0F83">
        <w:rPr>
          <w:rFonts w:eastAsia="Calibri"/>
          <w:szCs w:val="22"/>
        </w:rPr>
        <w:t xml:space="preserve">because </w:t>
      </w:r>
      <w:r w:rsidR="00F35478">
        <w:rPr>
          <w:rFonts w:eastAsia="Calibri"/>
          <w:szCs w:val="22"/>
        </w:rPr>
        <w:t>“the partial payment was made three weeks prior to the commencement of the winter heating season….”</w:t>
      </w:r>
      <w:r w:rsidR="00F35478">
        <w:rPr>
          <w:rStyle w:val="FootnoteReference"/>
          <w:rFonts w:eastAsia="Calibri"/>
          <w:szCs w:val="22"/>
        </w:rPr>
        <w:footnoteReference w:id="9"/>
      </w:r>
      <w:r w:rsidR="008C16D8">
        <w:rPr>
          <w:rFonts w:eastAsia="Calibri"/>
          <w:szCs w:val="22"/>
        </w:rPr>
        <w:t xml:space="preserve">  </w:t>
      </w:r>
    </w:p>
    <w:p w14:paraId="3A2730F7" w14:textId="27469382" w:rsidR="003422D8" w:rsidRDefault="003422D8" w:rsidP="001F41A7">
      <w:pPr>
        <w:spacing w:after="0" w:line="480" w:lineRule="auto"/>
        <w:ind w:firstLine="720"/>
        <w:rPr>
          <w:rFonts w:eastAsia="Calibri"/>
          <w:szCs w:val="22"/>
        </w:rPr>
      </w:pPr>
      <w:r>
        <w:rPr>
          <w:rFonts w:eastAsia="Calibri"/>
          <w:szCs w:val="22"/>
        </w:rPr>
        <w:t xml:space="preserve">Duke fails to address the fact that the Winter Reconnect Order provides otherwise.  The Winter Reconnect Order makes no distinction as to when arrearages arise.  Rather it focuses on the fact that customers need special protection during the winter heating season, regardless of when the usage occurred.  </w:t>
      </w:r>
    </w:p>
    <w:p w14:paraId="0C8E54D7" w14:textId="77777777" w:rsidR="003422D8" w:rsidRDefault="003422D8" w:rsidP="001F41A7">
      <w:pPr>
        <w:spacing w:after="0" w:line="480" w:lineRule="auto"/>
        <w:ind w:firstLine="720"/>
        <w:rPr>
          <w:rFonts w:eastAsia="Calibri"/>
          <w:szCs w:val="22"/>
        </w:rPr>
      </w:pPr>
      <w:r>
        <w:rPr>
          <w:rFonts w:eastAsia="Calibri"/>
          <w:szCs w:val="22"/>
        </w:rPr>
        <w:t xml:space="preserve">The language contained in the Winter Reconnect Order bears this out.  For instance the PUCO in its Winter Reconnect Order finds a “continuing emergency” under R.C. 4901.16 based on “a number of Ohio citizens [who] will </w:t>
      </w:r>
      <w:r w:rsidRPr="003422D8">
        <w:rPr>
          <w:rFonts w:eastAsia="Calibri"/>
          <w:szCs w:val="22"/>
          <w:u w:val="single"/>
        </w:rPr>
        <w:t>enter</w:t>
      </w:r>
      <w:r>
        <w:rPr>
          <w:rFonts w:eastAsia="Calibri"/>
          <w:szCs w:val="22"/>
        </w:rPr>
        <w:t xml:space="preserve"> the winter season without utility service for heating purposes.”</w:t>
      </w:r>
      <w:r>
        <w:rPr>
          <w:rStyle w:val="FootnoteReference"/>
          <w:rFonts w:eastAsia="Calibri"/>
          <w:szCs w:val="22"/>
        </w:rPr>
        <w:footnoteReference w:id="10"/>
      </w:r>
      <w:r>
        <w:rPr>
          <w:rFonts w:eastAsia="Calibri"/>
          <w:szCs w:val="22"/>
        </w:rPr>
        <w:t xml:space="preserve">  This finding can only make sense if the PUCO’s Winter Reconnect Order applies to customers who are disconnected for arrearages that exist prior to the winter heating season.  </w:t>
      </w:r>
    </w:p>
    <w:p w14:paraId="4B597F2A" w14:textId="264B068A" w:rsidR="003422D8" w:rsidRDefault="003422D8" w:rsidP="003422D8">
      <w:pPr>
        <w:spacing w:after="0" w:line="480" w:lineRule="auto"/>
        <w:ind w:firstLine="720"/>
        <w:rPr>
          <w:rFonts w:eastAsia="Calibri"/>
          <w:szCs w:val="22"/>
        </w:rPr>
      </w:pPr>
      <w:r>
        <w:rPr>
          <w:rFonts w:eastAsia="Calibri"/>
          <w:szCs w:val="22"/>
        </w:rPr>
        <w:t xml:space="preserve"> Consistent with this </w:t>
      </w:r>
      <w:r w:rsidR="003743F0">
        <w:rPr>
          <w:rFonts w:eastAsia="Calibri"/>
          <w:szCs w:val="22"/>
        </w:rPr>
        <w:t>application</w:t>
      </w:r>
      <w:r>
        <w:rPr>
          <w:rFonts w:eastAsia="Calibri"/>
          <w:szCs w:val="22"/>
        </w:rPr>
        <w:t>, the PUCO’s Winter Reconnect Order has special reconnection procedures for those who have had their service disconnected.  For reconnection, there is no requirement for the disconnection to have occurred during the winter heating season or relate to charges for service during the winter heating season.</w:t>
      </w:r>
      <w:r>
        <w:rPr>
          <w:rStyle w:val="FootnoteReference"/>
          <w:rFonts w:eastAsia="Calibri"/>
          <w:szCs w:val="22"/>
        </w:rPr>
        <w:footnoteReference w:id="11"/>
      </w:r>
      <w:r>
        <w:rPr>
          <w:rFonts w:eastAsia="Calibri"/>
          <w:szCs w:val="22"/>
        </w:rPr>
        <w:t xml:space="preserve">   The PUCO also addresses special reconnection procedures for customers when they make a payment of less than $175 which cures “any default previously owed to the utility in order to maintain service, or requests reconnection of service.”</w:t>
      </w:r>
      <w:r>
        <w:rPr>
          <w:rStyle w:val="FootnoteReference"/>
          <w:rFonts w:eastAsia="Calibri"/>
          <w:szCs w:val="22"/>
        </w:rPr>
        <w:footnoteReference w:id="12"/>
      </w:r>
      <w:r>
        <w:rPr>
          <w:rFonts w:eastAsia="Calibri"/>
          <w:szCs w:val="22"/>
        </w:rPr>
        <w:t xml:space="preserve">  Again there is no requirement in the Winter Reconnect Order, for purposes of reconnecting customers, that the service or disconnection have occurred during the winter season.  </w:t>
      </w:r>
    </w:p>
    <w:p w14:paraId="5BB11F80" w14:textId="644F69E8" w:rsidR="00F35478" w:rsidRDefault="003422D8" w:rsidP="003422D8">
      <w:pPr>
        <w:spacing w:after="0" w:line="480" w:lineRule="auto"/>
        <w:ind w:firstLine="720"/>
        <w:rPr>
          <w:rFonts w:eastAsia="Calibri"/>
          <w:szCs w:val="22"/>
        </w:rPr>
      </w:pPr>
      <w:r>
        <w:rPr>
          <w:rFonts w:eastAsia="Calibri"/>
          <w:szCs w:val="22"/>
        </w:rPr>
        <w:t>Moreover, accepting Duke’s viewpoint would</w:t>
      </w:r>
      <w:r w:rsidR="008C16D8">
        <w:rPr>
          <w:rFonts w:eastAsia="Calibri"/>
          <w:szCs w:val="22"/>
        </w:rPr>
        <w:t xml:space="preserve"> contravene the PUCO’s directive in the Winter Reconnect Order</w:t>
      </w:r>
      <w:r w:rsidR="007F0F83" w:rsidRPr="007F0F83">
        <w:rPr>
          <w:rFonts w:eastAsia="Calibri"/>
          <w:szCs w:val="22"/>
        </w:rPr>
        <w:t xml:space="preserve"> </w:t>
      </w:r>
      <w:r w:rsidR="007F0F83">
        <w:rPr>
          <w:rFonts w:eastAsia="Calibri"/>
          <w:szCs w:val="22"/>
        </w:rPr>
        <w:t>and the PUCO’s instruction to</w:t>
      </w:r>
      <w:r w:rsidR="008C16D8">
        <w:rPr>
          <w:rFonts w:eastAsia="Calibri"/>
          <w:szCs w:val="22"/>
        </w:rPr>
        <w:t xml:space="preserve"> </w:t>
      </w:r>
      <w:r w:rsidR="00AC5A45">
        <w:rPr>
          <w:rFonts w:eastAsia="Calibri"/>
          <w:szCs w:val="22"/>
        </w:rPr>
        <w:t>“err on the side of maintaining</w:t>
      </w:r>
      <w:r w:rsidR="008C16D8">
        <w:rPr>
          <w:rFonts w:eastAsia="Calibri"/>
          <w:szCs w:val="22"/>
        </w:rPr>
        <w:t xml:space="preserve"> service</w:t>
      </w:r>
      <w:r w:rsidR="00AC5A45" w:rsidRPr="00AC5A45">
        <w:t xml:space="preserve"> </w:t>
      </w:r>
      <w:r w:rsidR="00AC5A45">
        <w:t>when there is a doubt as to the applicability or the interpretation of a rule</w:t>
      </w:r>
      <w:r w:rsidR="008C16D8">
        <w:rPr>
          <w:rFonts w:eastAsia="Calibri"/>
          <w:szCs w:val="22"/>
        </w:rPr>
        <w:t>.</w:t>
      </w:r>
      <w:r w:rsidR="00AC5A45">
        <w:rPr>
          <w:rFonts w:eastAsia="Calibri"/>
          <w:szCs w:val="22"/>
        </w:rPr>
        <w:t>”</w:t>
      </w:r>
      <w:r w:rsidR="008C16D8">
        <w:rPr>
          <w:rStyle w:val="FootnoteReference"/>
          <w:rFonts w:eastAsia="Calibri"/>
          <w:szCs w:val="22"/>
        </w:rPr>
        <w:footnoteReference w:id="13"/>
      </w:r>
      <w:r>
        <w:rPr>
          <w:rFonts w:eastAsia="Calibri"/>
          <w:szCs w:val="22"/>
        </w:rPr>
        <w:t xml:space="preserve">  Duke’s belief is also inconsistent with the PUCO’s expectation that, for the 2015-2016 winter heating season, “utility companies under our jurisdiction will assist customers in every way possible to maintain their service for heating purposes.”</w:t>
      </w:r>
      <w:r>
        <w:rPr>
          <w:rStyle w:val="FootnoteReference"/>
          <w:rFonts w:eastAsia="Calibri"/>
          <w:szCs w:val="22"/>
        </w:rPr>
        <w:footnoteReference w:id="14"/>
      </w:r>
    </w:p>
    <w:p w14:paraId="11099DA9" w14:textId="684C4CBE" w:rsidR="00662576" w:rsidRDefault="00662576" w:rsidP="00093DC4">
      <w:pPr>
        <w:spacing w:after="0" w:line="480" w:lineRule="auto"/>
        <w:ind w:firstLine="720"/>
        <w:rPr>
          <w:rFonts w:eastAsia="Calibri"/>
          <w:szCs w:val="22"/>
        </w:rPr>
      </w:pPr>
      <w:r>
        <w:rPr>
          <w:rFonts w:eastAsia="Calibri"/>
          <w:szCs w:val="22"/>
        </w:rPr>
        <w:t>Duke</w:t>
      </w:r>
      <w:r w:rsidR="00F20A5D">
        <w:rPr>
          <w:rFonts w:eastAsia="Calibri"/>
          <w:szCs w:val="22"/>
        </w:rPr>
        <w:t>’s response</w:t>
      </w:r>
      <w:r w:rsidR="007F0F83">
        <w:rPr>
          <w:rFonts w:eastAsia="Calibri"/>
          <w:szCs w:val="22"/>
        </w:rPr>
        <w:t xml:space="preserve">s in the </w:t>
      </w:r>
      <w:r w:rsidR="007F0F83" w:rsidRPr="00C122F8">
        <w:rPr>
          <w:rFonts w:eastAsia="Calibri"/>
          <w:i/>
          <w:szCs w:val="22"/>
        </w:rPr>
        <w:t>Pitzer</w:t>
      </w:r>
      <w:r w:rsidR="007F0F83">
        <w:rPr>
          <w:rFonts w:eastAsia="Calibri"/>
          <w:szCs w:val="22"/>
        </w:rPr>
        <w:t xml:space="preserve"> </w:t>
      </w:r>
      <w:r w:rsidR="00C122F8">
        <w:t>Complaint Case</w:t>
      </w:r>
      <w:r w:rsidR="00C122F8">
        <w:rPr>
          <w:rFonts w:eastAsia="Calibri"/>
          <w:szCs w:val="22"/>
        </w:rPr>
        <w:t xml:space="preserve"> </w:t>
      </w:r>
      <w:r>
        <w:rPr>
          <w:rFonts w:eastAsia="Calibri"/>
          <w:szCs w:val="22"/>
        </w:rPr>
        <w:t>specifically addressed only the winter rules</w:t>
      </w:r>
      <w:r w:rsidR="005C06EE">
        <w:rPr>
          <w:rFonts w:eastAsia="Calibri"/>
          <w:szCs w:val="22"/>
        </w:rPr>
        <w:t xml:space="preserve">. </w:t>
      </w:r>
      <w:r>
        <w:rPr>
          <w:rFonts w:eastAsia="Calibri"/>
          <w:szCs w:val="22"/>
        </w:rPr>
        <w:t xml:space="preserve"> </w:t>
      </w:r>
      <w:r w:rsidR="005C06EE">
        <w:rPr>
          <w:rFonts w:eastAsia="Calibri"/>
          <w:szCs w:val="22"/>
        </w:rPr>
        <w:t>But</w:t>
      </w:r>
      <w:r w:rsidR="00C1145B">
        <w:rPr>
          <w:rFonts w:eastAsia="Calibri"/>
          <w:szCs w:val="22"/>
        </w:rPr>
        <w:t xml:space="preserve"> </w:t>
      </w:r>
      <w:r>
        <w:rPr>
          <w:rFonts w:eastAsia="Calibri"/>
          <w:szCs w:val="22"/>
        </w:rPr>
        <w:t xml:space="preserve">the </w:t>
      </w:r>
      <w:r w:rsidR="00C1145B">
        <w:rPr>
          <w:rFonts w:eastAsia="Calibri"/>
          <w:szCs w:val="22"/>
        </w:rPr>
        <w:t xml:space="preserve">Consumer Parties are </w:t>
      </w:r>
      <w:r>
        <w:rPr>
          <w:rFonts w:eastAsia="Calibri"/>
          <w:szCs w:val="22"/>
        </w:rPr>
        <w:t xml:space="preserve">concerned that Duke would </w:t>
      </w:r>
      <w:r w:rsidR="00C1145B">
        <w:rPr>
          <w:rFonts w:eastAsia="Calibri"/>
          <w:szCs w:val="22"/>
        </w:rPr>
        <w:t xml:space="preserve">similarly </w:t>
      </w:r>
      <w:r w:rsidR="00D957BA">
        <w:rPr>
          <w:rFonts w:eastAsia="Calibri"/>
          <w:szCs w:val="22"/>
        </w:rPr>
        <w:t>misapply</w:t>
      </w:r>
      <w:r>
        <w:rPr>
          <w:rFonts w:eastAsia="Calibri"/>
          <w:szCs w:val="22"/>
        </w:rPr>
        <w:t xml:space="preserve"> the Winter Reconnect Order.  </w:t>
      </w:r>
    </w:p>
    <w:p w14:paraId="3CF69926" w14:textId="1D78D6B1" w:rsidR="00662576" w:rsidRDefault="00662576" w:rsidP="00093DC4">
      <w:pPr>
        <w:spacing w:after="0" w:line="480" w:lineRule="auto"/>
        <w:ind w:firstLine="720"/>
        <w:rPr>
          <w:rFonts w:eastAsia="Calibri"/>
          <w:szCs w:val="22"/>
        </w:rPr>
      </w:pPr>
      <w:r>
        <w:rPr>
          <w:rFonts w:eastAsia="Calibri"/>
          <w:szCs w:val="22"/>
        </w:rPr>
        <w:t xml:space="preserve">And it is irrelevant that </w:t>
      </w:r>
      <w:r w:rsidR="00DC5FB3">
        <w:rPr>
          <w:rFonts w:eastAsia="Calibri"/>
          <w:szCs w:val="22"/>
        </w:rPr>
        <w:t>the winter rules and the Winter Reconnect Order involve different periods of time, as Duke discusses.</w:t>
      </w:r>
      <w:r w:rsidR="00F35478">
        <w:rPr>
          <w:rStyle w:val="FootnoteReference"/>
          <w:rFonts w:eastAsia="Calibri"/>
          <w:szCs w:val="22"/>
        </w:rPr>
        <w:footnoteReference w:id="15"/>
      </w:r>
      <w:r w:rsidR="005C06EE">
        <w:rPr>
          <w:rFonts w:eastAsia="Calibri"/>
          <w:szCs w:val="22"/>
        </w:rPr>
        <w:t xml:space="preserve"> </w:t>
      </w:r>
      <w:r w:rsidR="00DC5FB3">
        <w:rPr>
          <w:rFonts w:eastAsia="Calibri"/>
          <w:szCs w:val="22"/>
        </w:rPr>
        <w:t xml:space="preserve"> The timeframe covered by the Winter Reconnect Order </w:t>
      </w:r>
      <w:r w:rsidR="008007FA">
        <w:rPr>
          <w:rFonts w:eastAsia="Calibri"/>
          <w:szCs w:val="22"/>
        </w:rPr>
        <w:t xml:space="preserve">includes </w:t>
      </w:r>
      <w:r w:rsidR="00DC5FB3">
        <w:rPr>
          <w:rFonts w:eastAsia="Calibri"/>
          <w:szCs w:val="22"/>
        </w:rPr>
        <w:t xml:space="preserve">the </w:t>
      </w:r>
      <w:r w:rsidR="008007FA">
        <w:rPr>
          <w:rFonts w:eastAsia="Calibri"/>
          <w:szCs w:val="22"/>
        </w:rPr>
        <w:t xml:space="preserve">entire </w:t>
      </w:r>
      <w:r w:rsidR="00DC5FB3">
        <w:rPr>
          <w:rFonts w:eastAsia="Calibri"/>
          <w:szCs w:val="22"/>
        </w:rPr>
        <w:t xml:space="preserve">period covered by the winter heating rules, </w:t>
      </w:r>
      <w:r w:rsidR="008007FA">
        <w:rPr>
          <w:rFonts w:eastAsia="Calibri"/>
          <w:szCs w:val="22"/>
        </w:rPr>
        <w:t>with the addition of</w:t>
      </w:r>
      <w:r w:rsidR="00C23226">
        <w:rPr>
          <w:rFonts w:eastAsia="Calibri"/>
          <w:szCs w:val="22"/>
        </w:rPr>
        <w:t xml:space="preserve"> </w:t>
      </w:r>
      <w:r w:rsidR="00DC5FB3">
        <w:rPr>
          <w:rFonts w:eastAsia="Calibri"/>
          <w:szCs w:val="22"/>
        </w:rPr>
        <w:t xml:space="preserve">12 days in October.  </w:t>
      </w:r>
    </w:p>
    <w:p w14:paraId="20F96B0C" w14:textId="4CEF3C91" w:rsidR="00430AA9" w:rsidRDefault="00430AA9" w:rsidP="00093DC4">
      <w:pPr>
        <w:spacing w:after="0" w:line="480" w:lineRule="auto"/>
        <w:ind w:firstLine="720"/>
        <w:rPr>
          <w:rFonts w:eastAsia="Calibri"/>
          <w:szCs w:val="22"/>
        </w:rPr>
      </w:pPr>
      <w:r>
        <w:rPr>
          <w:rFonts w:eastAsia="Calibri"/>
          <w:szCs w:val="22"/>
        </w:rPr>
        <w:t xml:space="preserve">The PUCO should not be swayed by Duke’s arguments against the Motion.  Consumers </w:t>
      </w:r>
      <w:r w:rsidR="00C1145B">
        <w:rPr>
          <w:rFonts w:eastAsia="Calibri"/>
          <w:szCs w:val="22"/>
        </w:rPr>
        <w:t xml:space="preserve">are </w:t>
      </w:r>
      <w:r>
        <w:rPr>
          <w:rFonts w:eastAsia="Calibri"/>
          <w:szCs w:val="22"/>
        </w:rPr>
        <w:t xml:space="preserve">at risk of losing necessary protections, </w:t>
      </w:r>
      <w:r w:rsidR="00316704">
        <w:rPr>
          <w:rFonts w:eastAsia="Calibri"/>
          <w:szCs w:val="22"/>
        </w:rPr>
        <w:t>protections the PUCO has ordered time and time again</w:t>
      </w:r>
      <w:r>
        <w:rPr>
          <w:rFonts w:eastAsia="Calibri"/>
          <w:szCs w:val="22"/>
        </w:rPr>
        <w:t>.  The PUCO should protect consumers by granting the Motion.</w:t>
      </w:r>
    </w:p>
    <w:p w14:paraId="1BF20537" w14:textId="741773E0" w:rsidR="00A56338" w:rsidRPr="00A56338" w:rsidRDefault="00A56338" w:rsidP="001F41A7">
      <w:pPr>
        <w:spacing w:after="240" w:line="240" w:lineRule="auto"/>
        <w:ind w:left="1440" w:right="720" w:hanging="720"/>
        <w:rPr>
          <w:rFonts w:eastAsia="Calibri"/>
          <w:b/>
          <w:szCs w:val="22"/>
        </w:rPr>
      </w:pPr>
      <w:r>
        <w:rPr>
          <w:rFonts w:eastAsia="Calibri"/>
          <w:b/>
          <w:szCs w:val="22"/>
        </w:rPr>
        <w:t>C.</w:t>
      </w:r>
      <w:r>
        <w:rPr>
          <w:rFonts w:eastAsia="Calibri"/>
          <w:b/>
          <w:szCs w:val="22"/>
        </w:rPr>
        <w:tab/>
        <w:t xml:space="preserve">The </w:t>
      </w:r>
      <w:r w:rsidR="000733C1">
        <w:rPr>
          <w:rFonts w:eastAsia="Calibri"/>
          <w:b/>
          <w:szCs w:val="22"/>
        </w:rPr>
        <w:t>consumer protection</w:t>
      </w:r>
      <w:r>
        <w:rPr>
          <w:rFonts w:eastAsia="Calibri"/>
          <w:b/>
          <w:szCs w:val="22"/>
        </w:rPr>
        <w:t xml:space="preserve"> sought in the Motion would not harm Duke’s other customers.</w:t>
      </w:r>
    </w:p>
    <w:p w14:paraId="17D71515" w14:textId="55482CAB" w:rsidR="00A56338" w:rsidRDefault="00A56338" w:rsidP="00A56338">
      <w:pPr>
        <w:spacing w:after="0" w:line="480" w:lineRule="auto"/>
        <w:ind w:firstLine="720"/>
        <w:rPr>
          <w:rFonts w:eastAsia="Calibri"/>
          <w:szCs w:val="22"/>
        </w:rPr>
      </w:pPr>
      <w:r>
        <w:rPr>
          <w:rFonts w:eastAsia="Calibri"/>
          <w:szCs w:val="22"/>
        </w:rPr>
        <w:t>Duke claims that the relief sought in the Motion would harm other residential customers</w:t>
      </w:r>
      <w:r w:rsidR="0055217C">
        <w:rPr>
          <w:rFonts w:eastAsia="Calibri"/>
          <w:szCs w:val="22"/>
        </w:rPr>
        <w:t xml:space="preserve"> because it </w:t>
      </w:r>
      <w:r>
        <w:rPr>
          <w:rFonts w:eastAsia="Calibri"/>
          <w:szCs w:val="22"/>
        </w:rPr>
        <w:t xml:space="preserve">would prevent Duke from disconnecting </w:t>
      </w:r>
      <w:r w:rsidR="000733C1">
        <w:rPr>
          <w:rFonts w:eastAsia="Calibri"/>
          <w:szCs w:val="22"/>
        </w:rPr>
        <w:t xml:space="preserve">any </w:t>
      </w:r>
      <w:r w:rsidR="00316704">
        <w:rPr>
          <w:rFonts w:eastAsia="Calibri"/>
          <w:szCs w:val="22"/>
        </w:rPr>
        <w:t xml:space="preserve">and all </w:t>
      </w:r>
      <w:r w:rsidR="000733C1">
        <w:rPr>
          <w:rFonts w:eastAsia="Calibri"/>
          <w:szCs w:val="22"/>
        </w:rPr>
        <w:t xml:space="preserve">residential </w:t>
      </w:r>
      <w:r>
        <w:rPr>
          <w:rFonts w:eastAsia="Calibri"/>
          <w:szCs w:val="22"/>
        </w:rPr>
        <w:t xml:space="preserve">customers </w:t>
      </w:r>
      <w:r w:rsidR="000733C1">
        <w:rPr>
          <w:rFonts w:eastAsia="Calibri"/>
          <w:szCs w:val="22"/>
        </w:rPr>
        <w:t xml:space="preserve">for nonpayment </w:t>
      </w:r>
      <w:r>
        <w:rPr>
          <w:rFonts w:eastAsia="Calibri"/>
          <w:szCs w:val="22"/>
        </w:rPr>
        <w:t xml:space="preserve">during the pendency of the </w:t>
      </w:r>
      <w:r w:rsidRPr="001D5948">
        <w:rPr>
          <w:rFonts w:eastAsia="Calibri"/>
          <w:i/>
          <w:szCs w:val="22"/>
        </w:rPr>
        <w:t>Pitzer</w:t>
      </w:r>
      <w:r>
        <w:rPr>
          <w:rFonts w:eastAsia="Calibri"/>
          <w:szCs w:val="22"/>
        </w:rPr>
        <w:t xml:space="preserve"> and Consumer Parties’ complaints.</w:t>
      </w:r>
      <w:r w:rsidR="00E842A4">
        <w:rPr>
          <w:rStyle w:val="FootnoteReference"/>
          <w:rFonts w:eastAsia="Calibri"/>
          <w:szCs w:val="22"/>
        </w:rPr>
        <w:footnoteReference w:id="16"/>
      </w:r>
      <w:r>
        <w:rPr>
          <w:rFonts w:eastAsia="Calibri"/>
          <w:szCs w:val="22"/>
        </w:rPr>
        <w:t xml:space="preserve">  As discussed above, that is not the relief sought in the Motion</w:t>
      </w:r>
      <w:r w:rsidR="00AF27D5">
        <w:rPr>
          <w:rFonts w:eastAsia="Calibri"/>
          <w:szCs w:val="22"/>
        </w:rPr>
        <w:t xml:space="preserve"> and the relief sought is, in fact, narrowly focused</w:t>
      </w:r>
      <w:r>
        <w:rPr>
          <w:rFonts w:eastAsia="Calibri"/>
          <w:szCs w:val="22"/>
        </w:rPr>
        <w:t>.</w:t>
      </w:r>
    </w:p>
    <w:p w14:paraId="35568C39" w14:textId="493171B4" w:rsidR="00EC1353" w:rsidRDefault="00A56338" w:rsidP="00A56338">
      <w:pPr>
        <w:spacing w:after="0" w:line="480" w:lineRule="auto"/>
        <w:ind w:firstLine="720"/>
        <w:rPr>
          <w:rFonts w:eastAsia="Calibri"/>
          <w:szCs w:val="22"/>
        </w:rPr>
      </w:pPr>
      <w:r>
        <w:rPr>
          <w:rFonts w:eastAsia="Calibri"/>
          <w:szCs w:val="22"/>
        </w:rPr>
        <w:t>The Motion</w:t>
      </w:r>
      <w:r w:rsidR="00202738">
        <w:rPr>
          <w:rFonts w:eastAsia="Calibri"/>
          <w:szCs w:val="22"/>
        </w:rPr>
        <w:t xml:space="preserve"> does not seek a moratorium. </w:t>
      </w:r>
      <w:r w:rsidR="00E842A4">
        <w:rPr>
          <w:rFonts w:eastAsia="Calibri"/>
          <w:szCs w:val="22"/>
        </w:rPr>
        <w:t xml:space="preserve"> </w:t>
      </w:r>
      <w:r w:rsidR="00202738">
        <w:rPr>
          <w:rFonts w:eastAsia="Calibri"/>
          <w:szCs w:val="22"/>
        </w:rPr>
        <w:t>It asks only that the PUCO stay Duke from depriving customers of the winter protections because the default amounts precede the winter</w:t>
      </w:r>
      <w:r>
        <w:rPr>
          <w:rFonts w:eastAsia="Calibri"/>
          <w:szCs w:val="22"/>
        </w:rPr>
        <w:t xml:space="preserve">.  Customers who have arrearages would not be absolved from paying the charges.  Instead, by granting the Motion the PUCO would ensure that customers </w:t>
      </w:r>
      <w:r w:rsidR="00EC1353">
        <w:rPr>
          <w:rFonts w:eastAsia="Calibri"/>
          <w:szCs w:val="22"/>
        </w:rPr>
        <w:t xml:space="preserve">receive all the protections </w:t>
      </w:r>
      <w:r w:rsidR="00100659">
        <w:rPr>
          <w:rFonts w:eastAsia="Calibri"/>
          <w:szCs w:val="22"/>
        </w:rPr>
        <w:t xml:space="preserve">contained in </w:t>
      </w:r>
      <w:r w:rsidR="00EC1353">
        <w:rPr>
          <w:rFonts w:eastAsia="Calibri"/>
          <w:szCs w:val="22"/>
        </w:rPr>
        <w:t xml:space="preserve">the Winter Reconnect Order, even if the arrearages at issue were incurred </w:t>
      </w:r>
      <w:r w:rsidR="000733C1">
        <w:rPr>
          <w:rFonts w:eastAsia="Calibri"/>
          <w:szCs w:val="22"/>
        </w:rPr>
        <w:t>prior to</w:t>
      </w:r>
      <w:r w:rsidR="00EC1353">
        <w:rPr>
          <w:rFonts w:eastAsia="Calibri"/>
          <w:szCs w:val="22"/>
        </w:rPr>
        <w:t xml:space="preserve"> the winter heating season.</w:t>
      </w:r>
    </w:p>
    <w:p w14:paraId="386F9CF6" w14:textId="7B8F530D" w:rsidR="00CB335A" w:rsidRPr="00CB335A" w:rsidRDefault="00CB335A" w:rsidP="00CB335A">
      <w:pPr>
        <w:spacing w:before="240" w:after="0" w:line="480" w:lineRule="auto"/>
        <w:rPr>
          <w:rFonts w:eastAsia="Calibri"/>
          <w:b/>
          <w:szCs w:val="22"/>
        </w:rPr>
      </w:pPr>
      <w:r>
        <w:rPr>
          <w:rFonts w:eastAsia="Calibri"/>
          <w:b/>
          <w:szCs w:val="22"/>
        </w:rPr>
        <w:t>III.</w:t>
      </w:r>
      <w:r>
        <w:rPr>
          <w:rFonts w:eastAsia="Calibri"/>
          <w:b/>
          <w:szCs w:val="22"/>
        </w:rPr>
        <w:tab/>
        <w:t>CONCLUSION</w:t>
      </w:r>
    </w:p>
    <w:p w14:paraId="2CE568D4" w14:textId="47B4695F" w:rsidR="00CB335A" w:rsidRDefault="00F03805" w:rsidP="00A56338">
      <w:pPr>
        <w:spacing w:after="0" w:line="480" w:lineRule="auto"/>
        <w:ind w:firstLine="720"/>
        <w:rPr>
          <w:rFonts w:eastAsia="Calibri"/>
          <w:szCs w:val="22"/>
        </w:rPr>
      </w:pPr>
      <w:r>
        <w:rPr>
          <w:rFonts w:eastAsia="Calibri"/>
          <w:szCs w:val="22"/>
        </w:rPr>
        <w:t>The PUCO should ensure that Duke’s residential customers do not unlawfully lose the source for heating their homes – their electric and/or natural gas service – during the upcoming winter heating season.  The PUCO should order Duke to follow the special procedures in the Winter Reconnect Order even if the customer faces disconnection because of arrearages that occurred before the winter heating season.</w:t>
      </w:r>
    </w:p>
    <w:p w14:paraId="5B1FE63F" w14:textId="77777777" w:rsidR="005269CC" w:rsidRPr="00104013" w:rsidRDefault="005269CC" w:rsidP="00630094">
      <w:pPr>
        <w:ind w:left="3600" w:firstLine="720"/>
      </w:pPr>
      <w:r w:rsidRPr="00104013">
        <w:t>Respectfully submitted,</w:t>
      </w:r>
    </w:p>
    <w:p w14:paraId="71D0E888" w14:textId="77777777" w:rsidR="005269CC" w:rsidRPr="00104013" w:rsidRDefault="005269CC" w:rsidP="00630094">
      <w:pPr>
        <w:pStyle w:val="Footer"/>
        <w:tabs>
          <w:tab w:val="left" w:pos="4320"/>
        </w:tabs>
        <w:ind w:left="4320"/>
      </w:pPr>
      <w:r w:rsidRPr="00104013">
        <w:t>BRUCE WESTON</w:t>
      </w:r>
      <w:r w:rsidR="000A491C" w:rsidRPr="00104013">
        <w:t xml:space="preserve"> (0016973)</w:t>
      </w:r>
    </w:p>
    <w:p w14:paraId="7675ADF4" w14:textId="77777777" w:rsidR="005269CC" w:rsidRPr="00104013" w:rsidRDefault="005269CC" w:rsidP="00630094">
      <w:pPr>
        <w:pStyle w:val="Footer"/>
        <w:tabs>
          <w:tab w:val="left" w:pos="4320"/>
        </w:tabs>
        <w:spacing w:after="120"/>
        <w:ind w:left="4320"/>
      </w:pPr>
      <w:r w:rsidRPr="00104013">
        <w:t>OHIO CONSUMERS’ COUNSEL</w:t>
      </w:r>
    </w:p>
    <w:p w14:paraId="711CF60D" w14:textId="77777777" w:rsidR="001F41A7" w:rsidRDefault="001F41A7" w:rsidP="00630094">
      <w:pPr>
        <w:tabs>
          <w:tab w:val="left" w:pos="4320"/>
        </w:tabs>
        <w:spacing w:after="0"/>
        <w:ind w:left="4320"/>
        <w:rPr>
          <w:i/>
          <w:u w:val="single"/>
        </w:rPr>
      </w:pPr>
    </w:p>
    <w:p w14:paraId="7F184EF9" w14:textId="77777777" w:rsidR="001F41A7" w:rsidRDefault="001F41A7" w:rsidP="00630094">
      <w:pPr>
        <w:tabs>
          <w:tab w:val="left" w:pos="4320"/>
        </w:tabs>
        <w:spacing w:after="0"/>
        <w:ind w:left="4320"/>
        <w:rPr>
          <w:i/>
          <w:u w:val="single"/>
        </w:rPr>
      </w:pPr>
    </w:p>
    <w:p w14:paraId="1B9F4FEC" w14:textId="77777777" w:rsidR="0037013A" w:rsidRDefault="00322013" w:rsidP="00630094">
      <w:pPr>
        <w:tabs>
          <w:tab w:val="left" w:pos="4320"/>
        </w:tabs>
        <w:spacing w:after="0"/>
        <w:ind w:left="4320"/>
        <w:rPr>
          <w:u w:val="single"/>
        </w:rPr>
      </w:pPr>
      <w:r>
        <w:rPr>
          <w:i/>
          <w:u w:val="single"/>
        </w:rPr>
        <w:t>/s/ Terry L. Etter</w:t>
      </w:r>
      <w:r w:rsidR="005269CC" w:rsidRPr="00104013">
        <w:rPr>
          <w:u w:val="single"/>
        </w:rPr>
        <w:t>                                       </w:t>
      </w:r>
    </w:p>
    <w:p w14:paraId="49C9C1F6" w14:textId="77777777" w:rsidR="005269CC" w:rsidRPr="00104013" w:rsidRDefault="001C5A39" w:rsidP="00630094">
      <w:pPr>
        <w:tabs>
          <w:tab w:val="left" w:pos="4320"/>
        </w:tabs>
        <w:spacing w:after="0"/>
        <w:ind w:left="4320"/>
      </w:pPr>
      <w:r w:rsidRPr="00104013">
        <w:t xml:space="preserve">Terry </w:t>
      </w:r>
      <w:r w:rsidR="00322013">
        <w:t xml:space="preserve">L. </w:t>
      </w:r>
      <w:r w:rsidRPr="00104013">
        <w:t>Etter</w:t>
      </w:r>
      <w:r w:rsidR="005269CC" w:rsidRPr="00104013">
        <w:t>, Counsel of Record (</w:t>
      </w:r>
      <w:r w:rsidR="00E06DD8" w:rsidRPr="00104013">
        <w:t>00</w:t>
      </w:r>
      <w:r w:rsidR="005A7B86">
        <w:t>67445</w:t>
      </w:r>
      <w:r w:rsidR="005269CC" w:rsidRPr="00104013">
        <w:t>)</w:t>
      </w:r>
    </w:p>
    <w:p w14:paraId="5C22E12B" w14:textId="77777777" w:rsidR="005269CC" w:rsidRPr="00104013" w:rsidRDefault="005269CC" w:rsidP="00630094">
      <w:pPr>
        <w:tabs>
          <w:tab w:val="left" w:pos="4320"/>
        </w:tabs>
        <w:spacing w:after="0"/>
        <w:ind w:left="4320"/>
      </w:pPr>
      <w:r w:rsidRPr="00104013">
        <w:t>Assistant Consumers’ Counsel</w:t>
      </w:r>
    </w:p>
    <w:p w14:paraId="4125108D" w14:textId="77777777" w:rsidR="005269CC" w:rsidRPr="00104013" w:rsidRDefault="005269CC" w:rsidP="00630094">
      <w:pPr>
        <w:pStyle w:val="Heading1"/>
        <w:spacing w:before="0" w:after="0"/>
        <w:ind w:left="4320"/>
        <w:rPr>
          <w:rFonts w:ascii="Times New Roman" w:hAnsi="Times New Roman"/>
          <w:sz w:val="24"/>
          <w:szCs w:val="24"/>
        </w:rPr>
      </w:pPr>
      <w:r w:rsidRPr="00104013">
        <w:rPr>
          <w:rFonts w:ascii="Times New Roman" w:hAnsi="Times New Roman"/>
          <w:sz w:val="24"/>
          <w:szCs w:val="24"/>
        </w:rPr>
        <w:t>Office of the Ohio Consumers’ Counsel</w:t>
      </w:r>
    </w:p>
    <w:p w14:paraId="45F8DA92" w14:textId="77777777" w:rsidR="005269CC" w:rsidRPr="00104013" w:rsidRDefault="005269CC" w:rsidP="00630094">
      <w:pPr>
        <w:pStyle w:val="Heading1"/>
        <w:spacing w:before="0" w:after="0"/>
        <w:ind w:left="4320"/>
        <w:rPr>
          <w:rFonts w:ascii="Times New Roman" w:hAnsi="Times New Roman"/>
          <w:b w:val="0"/>
          <w:sz w:val="24"/>
          <w:szCs w:val="24"/>
        </w:rPr>
      </w:pPr>
      <w:r w:rsidRPr="00104013">
        <w:rPr>
          <w:rFonts w:ascii="Times New Roman" w:hAnsi="Times New Roman"/>
          <w:b w:val="0"/>
          <w:sz w:val="24"/>
          <w:szCs w:val="24"/>
        </w:rPr>
        <w:t>10 West Broad Street, Suite 1800</w:t>
      </w:r>
    </w:p>
    <w:p w14:paraId="76E5FBB6" w14:textId="77777777" w:rsidR="005269CC" w:rsidRPr="00104013" w:rsidRDefault="005269CC" w:rsidP="00630094">
      <w:pPr>
        <w:pStyle w:val="Heading1"/>
        <w:spacing w:before="0" w:after="0"/>
        <w:ind w:left="4320"/>
        <w:rPr>
          <w:rFonts w:ascii="Times New Roman" w:hAnsi="Times New Roman"/>
          <w:b w:val="0"/>
          <w:sz w:val="24"/>
          <w:szCs w:val="24"/>
        </w:rPr>
      </w:pPr>
      <w:r w:rsidRPr="00104013">
        <w:rPr>
          <w:rFonts w:ascii="Times New Roman" w:hAnsi="Times New Roman"/>
          <w:b w:val="0"/>
          <w:sz w:val="24"/>
          <w:szCs w:val="24"/>
        </w:rPr>
        <w:t>Columbus, Ohio 43215-3485</w:t>
      </w:r>
    </w:p>
    <w:p w14:paraId="6FF66BCD" w14:textId="77777777" w:rsidR="005269CC" w:rsidRPr="00104013" w:rsidRDefault="005269CC" w:rsidP="005A7B86">
      <w:pPr>
        <w:autoSpaceDE w:val="0"/>
        <w:autoSpaceDN w:val="0"/>
        <w:adjustRightInd w:val="0"/>
        <w:spacing w:after="0" w:line="240" w:lineRule="auto"/>
        <w:ind w:left="4320"/>
      </w:pPr>
      <w:r w:rsidRPr="00104013">
        <w:t>Telephone: (614) 466-</w:t>
      </w:r>
      <w:r w:rsidR="001C5A39" w:rsidRPr="00104013">
        <w:t>7964</w:t>
      </w:r>
      <w:r w:rsidRPr="00104013">
        <w:t xml:space="preserve"> (</w:t>
      </w:r>
      <w:r w:rsidR="001C5A39" w:rsidRPr="00104013">
        <w:t>Etter</w:t>
      </w:r>
      <w:r w:rsidRPr="00104013">
        <w:t xml:space="preserve"> direct)</w:t>
      </w:r>
    </w:p>
    <w:p w14:paraId="5B928CE2" w14:textId="77777777" w:rsidR="000F5424" w:rsidRPr="00104013" w:rsidRDefault="001C5A39" w:rsidP="00630094">
      <w:pPr>
        <w:tabs>
          <w:tab w:val="center" w:pos="4680"/>
          <w:tab w:val="right" w:pos="9360"/>
        </w:tabs>
        <w:spacing w:after="0" w:line="240" w:lineRule="auto"/>
        <w:ind w:firstLine="4320"/>
      </w:pPr>
      <w:r w:rsidRPr="00104013">
        <w:rPr>
          <w:rStyle w:val="Hyperlink"/>
        </w:rPr>
        <w:t>Terry.etter</w:t>
      </w:r>
      <w:r w:rsidR="000F5424" w:rsidRPr="00104013">
        <w:rPr>
          <w:rStyle w:val="Hyperlink"/>
        </w:rPr>
        <w:t>@occ.ohio.gov</w:t>
      </w:r>
    </w:p>
    <w:p w14:paraId="2033AC38" w14:textId="77777777" w:rsidR="00766541" w:rsidRPr="00104013" w:rsidRDefault="00766541" w:rsidP="00630094">
      <w:pPr>
        <w:tabs>
          <w:tab w:val="center" w:pos="4680"/>
          <w:tab w:val="right" w:pos="9360"/>
        </w:tabs>
        <w:spacing w:after="0" w:line="240" w:lineRule="auto"/>
        <w:ind w:firstLine="4320"/>
      </w:pPr>
      <w:r w:rsidRPr="00104013">
        <w:t>(willing to accept service by e-mail)</w:t>
      </w:r>
    </w:p>
    <w:p w14:paraId="7962AC51" w14:textId="77777777" w:rsidR="00766541" w:rsidRPr="00104013" w:rsidRDefault="00766541" w:rsidP="00630094">
      <w:pPr>
        <w:tabs>
          <w:tab w:val="center" w:pos="4680"/>
          <w:tab w:val="right" w:pos="9360"/>
        </w:tabs>
        <w:spacing w:after="0" w:line="240" w:lineRule="auto"/>
        <w:ind w:firstLine="4320"/>
        <w:rPr>
          <w:i/>
        </w:rPr>
      </w:pPr>
    </w:p>
    <w:p w14:paraId="4DB6991E" w14:textId="77777777" w:rsidR="001F41A7" w:rsidRDefault="001F41A7" w:rsidP="00630094">
      <w:pPr>
        <w:widowControl w:val="0"/>
        <w:tabs>
          <w:tab w:val="center" w:pos="4680"/>
          <w:tab w:val="right" w:pos="9360"/>
        </w:tabs>
        <w:spacing w:after="0" w:line="240" w:lineRule="auto"/>
        <w:ind w:firstLine="4320"/>
      </w:pPr>
    </w:p>
    <w:p w14:paraId="5979A6AC" w14:textId="77777777" w:rsidR="006D26B4" w:rsidRPr="00104013" w:rsidRDefault="006D26B4" w:rsidP="00630094">
      <w:pPr>
        <w:widowControl w:val="0"/>
        <w:tabs>
          <w:tab w:val="center" w:pos="4680"/>
          <w:tab w:val="right" w:pos="9360"/>
        </w:tabs>
        <w:spacing w:after="0" w:line="240" w:lineRule="auto"/>
        <w:ind w:firstLine="4320"/>
      </w:pPr>
      <w:r w:rsidRPr="00104013">
        <w:t>Kimberly W. Bojko (0069402)</w:t>
      </w:r>
    </w:p>
    <w:p w14:paraId="2AFBE914" w14:textId="77777777" w:rsidR="006D26B4" w:rsidRPr="00104013" w:rsidRDefault="006D26B4" w:rsidP="00630094">
      <w:pPr>
        <w:widowControl w:val="0"/>
        <w:tabs>
          <w:tab w:val="center" w:pos="4680"/>
          <w:tab w:val="right" w:pos="9360"/>
        </w:tabs>
        <w:spacing w:after="0" w:line="240" w:lineRule="auto"/>
        <w:ind w:firstLine="4320"/>
      </w:pPr>
      <w:r w:rsidRPr="00104013">
        <w:t>Carpenter Lipps &amp; Leland LLP</w:t>
      </w:r>
    </w:p>
    <w:p w14:paraId="1D2980E1" w14:textId="77777777" w:rsidR="006D26B4" w:rsidRPr="00104013" w:rsidRDefault="006D26B4" w:rsidP="00630094">
      <w:pPr>
        <w:widowControl w:val="0"/>
        <w:tabs>
          <w:tab w:val="center" w:pos="4680"/>
          <w:tab w:val="right" w:pos="9360"/>
        </w:tabs>
        <w:spacing w:after="0" w:line="240" w:lineRule="auto"/>
        <w:ind w:firstLine="4320"/>
      </w:pPr>
      <w:r w:rsidRPr="00104013">
        <w:t>280 North High Street, Suite 1300</w:t>
      </w:r>
    </w:p>
    <w:p w14:paraId="5C41FEB2" w14:textId="77777777" w:rsidR="006D26B4" w:rsidRPr="00104013" w:rsidRDefault="006D26B4" w:rsidP="00630094">
      <w:pPr>
        <w:widowControl w:val="0"/>
        <w:tabs>
          <w:tab w:val="center" w:pos="4680"/>
          <w:tab w:val="right" w:pos="9360"/>
        </w:tabs>
        <w:spacing w:after="0" w:line="240" w:lineRule="auto"/>
        <w:ind w:firstLine="4320"/>
      </w:pPr>
      <w:r w:rsidRPr="00104013">
        <w:t>Columbus, Ohio 43215</w:t>
      </w:r>
    </w:p>
    <w:p w14:paraId="6AD4CD06" w14:textId="77777777" w:rsidR="006D26B4" w:rsidRPr="00104013" w:rsidRDefault="00162B06" w:rsidP="00630094">
      <w:pPr>
        <w:widowControl w:val="0"/>
        <w:tabs>
          <w:tab w:val="center" w:pos="4680"/>
          <w:tab w:val="right" w:pos="9360"/>
        </w:tabs>
        <w:spacing w:after="0" w:line="240" w:lineRule="auto"/>
        <w:ind w:firstLine="4320"/>
      </w:pPr>
      <w:r>
        <w:t>Telep</w:t>
      </w:r>
      <w:r w:rsidR="006D26B4" w:rsidRPr="00104013">
        <w:t>hone: (614) 365-4100</w:t>
      </w:r>
    </w:p>
    <w:p w14:paraId="00CA61A2" w14:textId="52B0847D" w:rsidR="006D26B4" w:rsidRPr="00104013" w:rsidRDefault="006F64E8" w:rsidP="00630094">
      <w:pPr>
        <w:widowControl w:val="0"/>
        <w:tabs>
          <w:tab w:val="center" w:pos="4680"/>
          <w:tab w:val="right" w:pos="9360"/>
        </w:tabs>
        <w:spacing w:after="0" w:line="240" w:lineRule="auto"/>
        <w:ind w:firstLine="4320"/>
      </w:pPr>
      <w:hyperlink r:id="rId8" w:history="1">
        <w:r w:rsidR="006D26B4" w:rsidRPr="00104013">
          <w:rPr>
            <w:rStyle w:val="Hyperlink"/>
          </w:rPr>
          <w:t>bojko@carpenterlipps.com</w:t>
        </w:r>
      </w:hyperlink>
    </w:p>
    <w:p w14:paraId="6F104077" w14:textId="77777777" w:rsidR="006D26B4" w:rsidRPr="00104013" w:rsidRDefault="006D26B4" w:rsidP="00630094">
      <w:pPr>
        <w:widowControl w:val="0"/>
        <w:tabs>
          <w:tab w:val="center" w:pos="4680"/>
          <w:tab w:val="right" w:pos="9360"/>
        </w:tabs>
        <w:spacing w:after="0" w:line="240" w:lineRule="auto"/>
        <w:ind w:firstLine="4320"/>
      </w:pPr>
      <w:r w:rsidRPr="00104013">
        <w:t>(willing to accept service by e-mail)</w:t>
      </w:r>
    </w:p>
    <w:p w14:paraId="5D861369" w14:textId="77777777" w:rsidR="006D26B4" w:rsidRPr="00104013" w:rsidRDefault="006D26B4" w:rsidP="00630094">
      <w:pPr>
        <w:widowControl w:val="0"/>
        <w:tabs>
          <w:tab w:val="center" w:pos="4680"/>
          <w:tab w:val="right" w:pos="9360"/>
        </w:tabs>
        <w:spacing w:after="0" w:line="240" w:lineRule="auto"/>
        <w:ind w:firstLine="4320"/>
      </w:pPr>
    </w:p>
    <w:p w14:paraId="7BA38406" w14:textId="77777777" w:rsidR="006D26B4" w:rsidRPr="00104013" w:rsidRDefault="006D26B4" w:rsidP="00630094">
      <w:pPr>
        <w:widowControl w:val="0"/>
        <w:tabs>
          <w:tab w:val="center" w:pos="4680"/>
          <w:tab w:val="right" w:pos="9360"/>
        </w:tabs>
        <w:spacing w:after="0" w:line="240" w:lineRule="auto"/>
        <w:ind w:firstLine="4320"/>
        <w:rPr>
          <w:i/>
        </w:rPr>
      </w:pPr>
      <w:r w:rsidRPr="00104013">
        <w:rPr>
          <w:i/>
        </w:rPr>
        <w:t>Outside Counsel for the</w:t>
      </w:r>
    </w:p>
    <w:p w14:paraId="4B0CD510" w14:textId="77777777" w:rsidR="006D26B4" w:rsidRDefault="006D26B4" w:rsidP="00630094">
      <w:pPr>
        <w:widowControl w:val="0"/>
        <w:tabs>
          <w:tab w:val="center" w:pos="4680"/>
          <w:tab w:val="right" w:pos="9360"/>
        </w:tabs>
        <w:spacing w:after="0" w:line="240" w:lineRule="auto"/>
        <w:ind w:firstLine="4320"/>
        <w:rPr>
          <w:i/>
        </w:rPr>
      </w:pPr>
      <w:r w:rsidRPr="00104013">
        <w:rPr>
          <w:i/>
        </w:rPr>
        <w:t>Office of the Ohio Consumers’ Counsel</w:t>
      </w:r>
    </w:p>
    <w:p w14:paraId="753D14E5" w14:textId="77777777" w:rsidR="00674CAD" w:rsidRDefault="00674CAD" w:rsidP="00630094">
      <w:pPr>
        <w:widowControl w:val="0"/>
        <w:tabs>
          <w:tab w:val="center" w:pos="4680"/>
          <w:tab w:val="right" w:pos="9360"/>
        </w:tabs>
        <w:spacing w:after="0" w:line="240" w:lineRule="auto"/>
        <w:ind w:firstLine="4320"/>
        <w:rPr>
          <w:i/>
        </w:rPr>
      </w:pPr>
    </w:p>
    <w:p w14:paraId="4357891B" w14:textId="77777777" w:rsidR="00674CAD" w:rsidRPr="00104013" w:rsidRDefault="00674CAD" w:rsidP="00630094">
      <w:pPr>
        <w:widowControl w:val="0"/>
        <w:tabs>
          <w:tab w:val="center" w:pos="4680"/>
          <w:tab w:val="right" w:pos="9360"/>
        </w:tabs>
        <w:spacing w:after="0" w:line="240" w:lineRule="auto"/>
        <w:ind w:firstLine="4320"/>
        <w:rPr>
          <w:i/>
        </w:rPr>
      </w:pPr>
    </w:p>
    <w:p w14:paraId="46569C75" w14:textId="77777777" w:rsidR="004B3DBD" w:rsidRPr="00DB701F" w:rsidRDefault="0040106B" w:rsidP="001B704D">
      <w:pPr>
        <w:widowControl w:val="0"/>
        <w:tabs>
          <w:tab w:val="center" w:pos="4680"/>
          <w:tab w:val="right" w:pos="9360"/>
        </w:tabs>
        <w:spacing w:after="0" w:line="240" w:lineRule="auto"/>
        <w:ind w:firstLine="4320"/>
        <w:rPr>
          <w:rFonts w:ascii="Georgia" w:hAnsi="Georgia" w:cs="Arial"/>
          <w:u w:val="single"/>
        </w:rPr>
      </w:pPr>
      <w:r>
        <w:tab/>
      </w:r>
      <w:r>
        <w:tab/>
      </w:r>
      <w:r>
        <w:tab/>
      </w:r>
      <w:r>
        <w:tab/>
      </w:r>
      <w:r>
        <w:tab/>
      </w:r>
      <w:r>
        <w:tab/>
      </w:r>
    </w:p>
    <w:p w14:paraId="4344B027" w14:textId="2A50B504" w:rsidR="00D83141" w:rsidRDefault="001F41A7" w:rsidP="001F41A7">
      <w:pPr>
        <w:spacing w:after="0"/>
        <w:rPr>
          <w:u w:val="single"/>
        </w:rPr>
      </w:pPr>
      <w:r>
        <w:rPr>
          <w:i/>
        </w:rPr>
        <w:tab/>
      </w:r>
      <w:r>
        <w:rPr>
          <w:i/>
        </w:rPr>
        <w:tab/>
      </w:r>
      <w:r>
        <w:rPr>
          <w:i/>
        </w:rPr>
        <w:tab/>
      </w:r>
      <w:r>
        <w:rPr>
          <w:i/>
        </w:rPr>
        <w:tab/>
      </w:r>
      <w:r>
        <w:rPr>
          <w:i/>
        </w:rPr>
        <w:tab/>
      </w:r>
      <w:r>
        <w:rPr>
          <w:i/>
        </w:rPr>
        <w:tab/>
      </w:r>
      <w:r w:rsidR="00D83141">
        <w:rPr>
          <w:i/>
          <w:u w:val="single"/>
        </w:rPr>
        <w:t>/s/ Noel M. Morgan</w:t>
      </w:r>
      <w:r w:rsidR="00D83141" w:rsidRPr="00104013">
        <w:rPr>
          <w:u w:val="single"/>
        </w:rPr>
        <w:t>                                       </w:t>
      </w:r>
    </w:p>
    <w:p w14:paraId="04A5D11F" w14:textId="77777777" w:rsidR="004B3DBD" w:rsidRPr="00162B06" w:rsidRDefault="004B3DBD" w:rsidP="001F41A7">
      <w:pPr>
        <w:spacing w:after="0" w:line="240" w:lineRule="auto"/>
        <w:ind w:left="4320"/>
      </w:pPr>
      <w:r w:rsidRPr="00162B06">
        <w:t>Noel M. Morgan (0066904)</w:t>
      </w:r>
    </w:p>
    <w:p w14:paraId="68544B81" w14:textId="77777777" w:rsidR="004B3DBD" w:rsidRPr="00162B06" w:rsidRDefault="004B3DBD" w:rsidP="001F41A7">
      <w:pPr>
        <w:spacing w:after="0" w:line="240" w:lineRule="auto"/>
        <w:ind w:left="4320"/>
      </w:pPr>
      <w:r w:rsidRPr="00162B06">
        <w:t>Attorney for CUFA</w:t>
      </w:r>
    </w:p>
    <w:p w14:paraId="04E18B61" w14:textId="77777777" w:rsidR="004B3DBD" w:rsidRPr="00162B06" w:rsidRDefault="004B3DBD" w:rsidP="001B704D">
      <w:pPr>
        <w:spacing w:after="0" w:line="240" w:lineRule="auto"/>
        <w:ind w:left="4320"/>
      </w:pPr>
      <w:r w:rsidRPr="00162B06">
        <w:t>Legal Aid Society of Southwest Ohio, LLC</w:t>
      </w:r>
    </w:p>
    <w:p w14:paraId="5BACB0D9" w14:textId="77777777" w:rsidR="004B3DBD" w:rsidRPr="00162B06" w:rsidRDefault="004B3DBD" w:rsidP="001B704D">
      <w:pPr>
        <w:spacing w:after="0" w:line="240" w:lineRule="auto"/>
        <w:ind w:left="4320"/>
      </w:pPr>
      <w:r w:rsidRPr="00162B06">
        <w:t>215 East Ninth Street, Suite 500</w:t>
      </w:r>
    </w:p>
    <w:p w14:paraId="0B095FE8" w14:textId="77777777" w:rsidR="004B3DBD" w:rsidRPr="00162B06" w:rsidRDefault="004B3DBD" w:rsidP="001B704D">
      <w:pPr>
        <w:spacing w:after="0" w:line="240" w:lineRule="auto"/>
        <w:ind w:left="4320"/>
      </w:pPr>
      <w:r w:rsidRPr="00162B06">
        <w:t>Cincinnati, Ohio  45202</w:t>
      </w:r>
    </w:p>
    <w:p w14:paraId="01B1106A" w14:textId="77777777" w:rsidR="004B3DBD" w:rsidRPr="00162B06" w:rsidRDefault="00162B06" w:rsidP="001B704D">
      <w:pPr>
        <w:spacing w:after="0" w:line="240" w:lineRule="auto"/>
        <w:ind w:left="4320"/>
      </w:pPr>
      <w:r>
        <w:t xml:space="preserve">Telephone: </w:t>
      </w:r>
      <w:r w:rsidR="004B3DBD" w:rsidRPr="00162B06">
        <w:t>(513) 362-2837</w:t>
      </w:r>
    </w:p>
    <w:p w14:paraId="00CF70C7" w14:textId="792703CD" w:rsidR="004B3DBD" w:rsidRPr="00162B06" w:rsidRDefault="004B3DBD" w:rsidP="001B704D">
      <w:pPr>
        <w:spacing w:after="0" w:line="240" w:lineRule="auto"/>
        <w:ind w:left="4320"/>
      </w:pPr>
      <w:r w:rsidRPr="00162B06">
        <w:t xml:space="preserve">Email:  </w:t>
      </w:r>
      <w:hyperlink r:id="rId9" w:history="1">
        <w:r w:rsidRPr="00162B06">
          <w:rPr>
            <w:rStyle w:val="Hyperlink"/>
          </w:rPr>
          <w:t>nmorgan@lascinti.org</w:t>
        </w:r>
      </w:hyperlink>
    </w:p>
    <w:p w14:paraId="31263399" w14:textId="77777777" w:rsidR="00162B06" w:rsidRPr="00104013" w:rsidRDefault="00162B06" w:rsidP="00162B06">
      <w:pPr>
        <w:tabs>
          <w:tab w:val="center" w:pos="4680"/>
          <w:tab w:val="right" w:pos="9360"/>
        </w:tabs>
        <w:spacing w:after="0" w:line="240" w:lineRule="auto"/>
        <w:ind w:firstLine="4320"/>
      </w:pPr>
      <w:r w:rsidRPr="00104013">
        <w:t>(willing to accept service by e-mail)</w:t>
      </w:r>
    </w:p>
    <w:p w14:paraId="08C73BE5" w14:textId="5E517F5B" w:rsidR="00A70DAB" w:rsidRDefault="0040106B" w:rsidP="00A70DAB">
      <w:pPr>
        <w:spacing w:line="480" w:lineRule="auto"/>
        <w:ind w:left="3600" w:hanging="3600"/>
        <w:jc w:val="center"/>
        <w:sectPr w:rsidR="00A70DAB" w:rsidSect="007B27B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noEndnote/>
          <w:titlePg/>
          <w:docGrid w:linePitch="326"/>
        </w:sectPr>
      </w:pPr>
      <w:r>
        <w:tab/>
      </w:r>
    </w:p>
    <w:p w14:paraId="6E602428" w14:textId="34DC76D3" w:rsidR="00A70DAB" w:rsidRPr="00A70DAB" w:rsidRDefault="00A70DAB" w:rsidP="00A70DAB">
      <w:pPr>
        <w:spacing w:line="480" w:lineRule="auto"/>
        <w:ind w:left="3600" w:hanging="3600"/>
        <w:jc w:val="center"/>
        <w:rPr>
          <w:rFonts w:eastAsia="Times New Roman"/>
        </w:rPr>
      </w:pPr>
      <w:r w:rsidRPr="00A70DAB">
        <w:rPr>
          <w:rFonts w:eastAsia="Times New Roman"/>
          <w:b/>
        </w:rPr>
        <w:t>CERTIFICATE OF SERVICE</w:t>
      </w:r>
    </w:p>
    <w:p w14:paraId="7957F270" w14:textId="020F0CC1" w:rsidR="00A70DAB" w:rsidRPr="00A70DAB" w:rsidRDefault="00A70DAB" w:rsidP="00A70DAB">
      <w:pPr>
        <w:spacing w:after="0" w:line="480" w:lineRule="auto"/>
        <w:rPr>
          <w:rFonts w:eastAsia="Times New Roman"/>
        </w:rPr>
      </w:pPr>
      <w:r w:rsidRPr="00A70DAB">
        <w:rPr>
          <w:rFonts w:eastAsia="Times New Roman"/>
        </w:rPr>
        <w:tab/>
        <w:t>I hereby certify that a copy of the foregoing</w:t>
      </w:r>
      <w:r w:rsidRPr="00A70DAB">
        <w:rPr>
          <w:rFonts w:eastAsia="Times New Roman"/>
          <w:b/>
        </w:rPr>
        <w:t xml:space="preserve"> </w:t>
      </w:r>
      <w:r w:rsidR="00934343">
        <w:rPr>
          <w:rFonts w:eastAsia="Times New Roman"/>
        </w:rPr>
        <w:t xml:space="preserve">Reply to Duke’s </w:t>
      </w:r>
      <w:r w:rsidRPr="00A70DAB">
        <w:rPr>
          <w:rFonts w:eastAsia="Times New Roman"/>
        </w:rPr>
        <w:t xml:space="preserve">Memorandum </w:t>
      </w:r>
      <w:r w:rsidR="00934343">
        <w:rPr>
          <w:rFonts w:eastAsia="Times New Roman"/>
        </w:rPr>
        <w:t xml:space="preserve">Contra was </w:t>
      </w:r>
      <w:r w:rsidRPr="00A70DAB">
        <w:rPr>
          <w:rFonts w:eastAsia="Times New Roman"/>
        </w:rPr>
        <w:t xml:space="preserve">served by electronic mail to the persons listed below, on this </w:t>
      </w:r>
      <w:r w:rsidR="00934343">
        <w:rPr>
          <w:rFonts w:eastAsia="Times New Roman"/>
        </w:rPr>
        <w:t>6</w:t>
      </w:r>
      <w:r w:rsidR="00934343" w:rsidRPr="00934343">
        <w:rPr>
          <w:rFonts w:eastAsia="Times New Roman"/>
          <w:vertAlign w:val="superscript"/>
        </w:rPr>
        <w:t>th</w:t>
      </w:r>
      <w:r w:rsidR="00934343">
        <w:rPr>
          <w:rFonts w:eastAsia="Times New Roman"/>
        </w:rPr>
        <w:t xml:space="preserve"> </w:t>
      </w:r>
      <w:r w:rsidRPr="00A70DAB">
        <w:rPr>
          <w:rFonts w:eastAsia="Times New Roman"/>
        </w:rPr>
        <w:t>day of</w:t>
      </w:r>
      <w:r w:rsidR="00934343">
        <w:rPr>
          <w:rFonts w:eastAsia="Times New Roman"/>
        </w:rPr>
        <w:t xml:space="preserve"> October</w:t>
      </w:r>
      <w:r w:rsidRPr="00A70DAB">
        <w:rPr>
          <w:rFonts w:eastAsia="Times New Roman"/>
        </w:rPr>
        <w:t xml:space="preserve"> 2015. </w:t>
      </w:r>
    </w:p>
    <w:p w14:paraId="3DFC9FB5" w14:textId="77777777" w:rsidR="00A70DAB" w:rsidRPr="00A70DAB" w:rsidRDefault="00A70DAB" w:rsidP="00A70DAB">
      <w:pPr>
        <w:tabs>
          <w:tab w:val="left" w:pos="1440"/>
          <w:tab w:val="left" w:pos="2016"/>
        </w:tabs>
        <w:spacing w:after="0" w:line="480" w:lineRule="atLeast"/>
        <w:rPr>
          <w:rFonts w:eastAsia="Times New Roman"/>
        </w:rPr>
      </w:pPr>
    </w:p>
    <w:p w14:paraId="7AC71A30" w14:textId="77777777" w:rsidR="00D83141" w:rsidRDefault="00D83141" w:rsidP="00D83141">
      <w:pPr>
        <w:tabs>
          <w:tab w:val="left" w:pos="4320"/>
        </w:tabs>
        <w:spacing w:after="0"/>
        <w:ind w:left="4320"/>
        <w:rPr>
          <w:u w:val="single"/>
        </w:rPr>
      </w:pPr>
      <w:r>
        <w:rPr>
          <w:i/>
          <w:u w:val="single"/>
        </w:rPr>
        <w:t>/s/ Terry L. Etter</w:t>
      </w:r>
      <w:r w:rsidRPr="00104013">
        <w:rPr>
          <w:u w:val="single"/>
        </w:rPr>
        <w:t>                                       </w:t>
      </w:r>
    </w:p>
    <w:p w14:paraId="370451C0" w14:textId="77777777" w:rsidR="00A70DAB" w:rsidRPr="00A70DAB" w:rsidRDefault="00A70DAB" w:rsidP="00A70DAB">
      <w:pPr>
        <w:tabs>
          <w:tab w:val="left" w:pos="4320"/>
        </w:tabs>
        <w:spacing w:after="0" w:line="240" w:lineRule="auto"/>
        <w:rPr>
          <w:rFonts w:eastAsia="Times New Roman"/>
        </w:rPr>
      </w:pPr>
      <w:r w:rsidRPr="00A70DAB">
        <w:rPr>
          <w:rFonts w:eastAsia="Times New Roman"/>
        </w:rPr>
        <w:tab/>
        <w:t>Terry L. Etter</w:t>
      </w:r>
    </w:p>
    <w:p w14:paraId="3BC11009" w14:textId="77777777" w:rsidR="00A70DAB" w:rsidRPr="00A70DAB" w:rsidRDefault="00A70DAB" w:rsidP="00A70DAB">
      <w:pPr>
        <w:tabs>
          <w:tab w:val="left" w:pos="4320"/>
        </w:tabs>
        <w:spacing w:after="0" w:line="240" w:lineRule="auto"/>
        <w:rPr>
          <w:rFonts w:eastAsia="Times New Roman"/>
        </w:rPr>
      </w:pPr>
      <w:r w:rsidRPr="00A70DAB">
        <w:rPr>
          <w:rFonts w:eastAsia="Times New Roman"/>
        </w:rPr>
        <w:tab/>
        <w:t>Assistant Consumers’ Counsel</w:t>
      </w:r>
    </w:p>
    <w:p w14:paraId="78910893" w14:textId="77777777" w:rsidR="00A70DAB" w:rsidRPr="00A70DAB" w:rsidRDefault="00A70DAB" w:rsidP="00A70DAB">
      <w:pPr>
        <w:tabs>
          <w:tab w:val="left" w:pos="0"/>
          <w:tab w:val="left" w:pos="720"/>
          <w:tab w:val="left" w:pos="4320"/>
        </w:tabs>
        <w:spacing w:after="0" w:line="480" w:lineRule="auto"/>
        <w:rPr>
          <w:rFonts w:eastAsia="Times New Roman"/>
        </w:rPr>
      </w:pPr>
      <w:r w:rsidRPr="00A70DAB">
        <w:rPr>
          <w:rFonts w:eastAsia="Times New Roman"/>
        </w:rPr>
        <w:tab/>
      </w:r>
      <w:r w:rsidRPr="00A70DAB">
        <w:rPr>
          <w:rFonts w:eastAsia="Times New Roman"/>
        </w:rPr>
        <w:tab/>
      </w:r>
    </w:p>
    <w:p w14:paraId="6F02F166" w14:textId="77777777" w:rsidR="00A70DAB" w:rsidRPr="00A70DAB" w:rsidRDefault="00A70DAB" w:rsidP="00A70DAB">
      <w:pPr>
        <w:tabs>
          <w:tab w:val="left" w:pos="0"/>
          <w:tab w:val="left" w:pos="720"/>
          <w:tab w:val="left" w:pos="4320"/>
        </w:tabs>
        <w:spacing w:after="0" w:line="480" w:lineRule="auto"/>
        <w:jc w:val="center"/>
        <w:rPr>
          <w:rFonts w:eastAsia="Times New Roman"/>
          <w:b/>
        </w:rPr>
      </w:pPr>
      <w:r w:rsidRPr="00A70DAB">
        <w:rPr>
          <w:rFonts w:eastAsia="Times New Roman"/>
          <w:b/>
        </w:rPr>
        <w:t>SERVICE LIST</w:t>
      </w:r>
    </w:p>
    <w:p w14:paraId="5EF3DBF3" w14:textId="77777777" w:rsidR="00A70DAB" w:rsidRPr="00A70DAB" w:rsidRDefault="00A70DAB" w:rsidP="00A70DAB">
      <w:pPr>
        <w:tabs>
          <w:tab w:val="left" w:pos="0"/>
          <w:tab w:val="left" w:pos="720"/>
          <w:tab w:val="left" w:pos="4320"/>
        </w:tabs>
        <w:spacing w:after="0" w:line="480" w:lineRule="auto"/>
        <w:jc w:val="center"/>
        <w:rPr>
          <w:rFonts w:eastAsia="Times New Roman"/>
          <w:b/>
        </w:rPr>
      </w:pPr>
    </w:p>
    <w:tbl>
      <w:tblPr>
        <w:tblW w:w="11883" w:type="dxa"/>
        <w:tblLook w:val="04A0" w:firstRow="1" w:lastRow="0" w:firstColumn="1" w:lastColumn="0" w:noHBand="0" w:noVBand="1"/>
      </w:tblPr>
      <w:tblGrid>
        <w:gridCol w:w="5941"/>
        <w:gridCol w:w="5942"/>
      </w:tblGrid>
      <w:tr w:rsidR="00A70DAB" w:rsidRPr="00A70DAB" w14:paraId="239040F5" w14:textId="77777777" w:rsidTr="00290EE7">
        <w:tc>
          <w:tcPr>
            <w:tcW w:w="4428" w:type="dxa"/>
            <w:shd w:val="clear" w:color="auto" w:fill="auto"/>
          </w:tcPr>
          <w:p w14:paraId="4C49E9E5" w14:textId="6B2C0D79"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William Wright, Chief</w:t>
            </w:r>
          </w:p>
          <w:p w14:paraId="4A9ED041"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Attorney General’s Office</w:t>
            </w:r>
          </w:p>
          <w:p w14:paraId="49A83431"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Public Utilities Commission of Ohio</w:t>
            </w:r>
          </w:p>
          <w:p w14:paraId="54E708D3"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180 E. Broad St., 6</w:t>
            </w:r>
            <w:r w:rsidRPr="00A70DAB">
              <w:rPr>
                <w:rFonts w:eastAsia="Times New Roman"/>
                <w:vertAlign w:val="superscript"/>
              </w:rPr>
              <w:t>th</w:t>
            </w:r>
            <w:r w:rsidRPr="00A70DAB">
              <w:rPr>
                <w:rFonts w:eastAsia="Times New Roman"/>
              </w:rPr>
              <w:t xml:space="preserve"> Fl.</w:t>
            </w:r>
          </w:p>
          <w:p w14:paraId="3E4A7C5D"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Columbus, Ohio 43216</w:t>
            </w:r>
          </w:p>
          <w:p w14:paraId="4A91E356" w14:textId="59C6469E" w:rsidR="00A70DAB" w:rsidRDefault="006F64E8" w:rsidP="00A70DAB">
            <w:pPr>
              <w:tabs>
                <w:tab w:val="left" w:pos="0"/>
                <w:tab w:val="left" w:pos="720"/>
                <w:tab w:val="left" w:pos="4320"/>
              </w:tabs>
              <w:spacing w:after="0" w:line="240" w:lineRule="auto"/>
              <w:rPr>
                <w:rFonts w:eastAsia="Times New Roman"/>
                <w:color w:val="0000FF"/>
                <w:u w:val="single"/>
              </w:rPr>
            </w:pPr>
            <w:hyperlink r:id="rId16" w:history="1">
              <w:r w:rsidR="00A70DAB" w:rsidRPr="00A70DAB">
                <w:rPr>
                  <w:rFonts w:eastAsia="Times New Roman"/>
                  <w:color w:val="0000FF"/>
                  <w:u w:val="single"/>
                </w:rPr>
                <w:t>William.wright@puc.state.oh.us</w:t>
              </w:r>
            </w:hyperlink>
          </w:p>
          <w:p w14:paraId="1F65EDBD"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245E2462"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4AA68A55" w14:textId="77777777" w:rsidR="001F41A7" w:rsidRPr="001F41A7" w:rsidRDefault="001F41A7" w:rsidP="00A70DAB">
            <w:pPr>
              <w:tabs>
                <w:tab w:val="left" w:pos="0"/>
                <w:tab w:val="left" w:pos="720"/>
                <w:tab w:val="left" w:pos="4320"/>
              </w:tabs>
              <w:spacing w:after="0" w:line="240" w:lineRule="auto"/>
              <w:rPr>
                <w:rFonts w:eastAsia="Times New Roman"/>
              </w:rPr>
            </w:pPr>
            <w:r w:rsidRPr="001F41A7">
              <w:rPr>
                <w:rFonts w:eastAsia="Times New Roman"/>
              </w:rPr>
              <w:t>Attorney Examiner:</w:t>
            </w:r>
          </w:p>
          <w:p w14:paraId="7215CAB3"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3D8DB31A" w14:textId="1E4F33B6" w:rsidR="001F41A7" w:rsidRDefault="006F64E8" w:rsidP="00A70DAB">
            <w:pPr>
              <w:tabs>
                <w:tab w:val="left" w:pos="0"/>
                <w:tab w:val="left" w:pos="720"/>
                <w:tab w:val="left" w:pos="4320"/>
              </w:tabs>
              <w:spacing w:after="0" w:line="240" w:lineRule="auto"/>
              <w:rPr>
                <w:rFonts w:eastAsia="Times New Roman"/>
                <w:color w:val="0000FF"/>
              </w:rPr>
            </w:pPr>
            <w:hyperlink r:id="rId17" w:history="1">
              <w:r w:rsidR="001F41A7" w:rsidRPr="000D7112">
                <w:rPr>
                  <w:rStyle w:val="Hyperlink"/>
                  <w:rFonts w:eastAsia="Times New Roman"/>
                </w:rPr>
                <w:t>Bryce.McKenney@puc.state.oh.us</w:t>
              </w:r>
            </w:hyperlink>
          </w:p>
          <w:p w14:paraId="001CC7DD" w14:textId="77777777" w:rsidR="001F41A7" w:rsidRPr="001F41A7" w:rsidRDefault="001F41A7" w:rsidP="00A70DAB">
            <w:pPr>
              <w:tabs>
                <w:tab w:val="left" w:pos="0"/>
                <w:tab w:val="left" w:pos="720"/>
                <w:tab w:val="left" w:pos="4320"/>
              </w:tabs>
              <w:spacing w:after="0" w:line="240" w:lineRule="auto"/>
              <w:rPr>
                <w:rFonts w:eastAsia="Times New Roman"/>
              </w:rPr>
            </w:pPr>
          </w:p>
          <w:p w14:paraId="59CB3521" w14:textId="77777777" w:rsidR="00A70DAB" w:rsidRPr="00A70DAB" w:rsidRDefault="00A70DAB" w:rsidP="00A70DAB">
            <w:pPr>
              <w:tabs>
                <w:tab w:val="left" w:pos="0"/>
                <w:tab w:val="left" w:pos="720"/>
                <w:tab w:val="left" w:pos="4320"/>
              </w:tabs>
              <w:spacing w:after="0" w:line="240" w:lineRule="auto"/>
              <w:rPr>
                <w:rFonts w:eastAsia="Times New Roman"/>
              </w:rPr>
            </w:pPr>
          </w:p>
        </w:tc>
        <w:tc>
          <w:tcPr>
            <w:tcW w:w="4428" w:type="dxa"/>
            <w:shd w:val="clear" w:color="auto" w:fill="auto"/>
          </w:tcPr>
          <w:p w14:paraId="63C2197D" w14:textId="77777777" w:rsidR="00A70DAB" w:rsidRPr="00A70DAB" w:rsidRDefault="00A70DAB" w:rsidP="00A70DAB">
            <w:pPr>
              <w:tabs>
                <w:tab w:val="left" w:pos="4320"/>
                <w:tab w:val="right" w:pos="8640"/>
              </w:tabs>
              <w:spacing w:after="0" w:line="240" w:lineRule="auto"/>
              <w:rPr>
                <w:rFonts w:eastAsia="Times New Roman"/>
              </w:rPr>
            </w:pPr>
            <w:r w:rsidRPr="00A70DAB">
              <w:rPr>
                <w:rFonts w:eastAsia="Times New Roman"/>
              </w:rPr>
              <w:t>Amy B. Spiller</w:t>
            </w:r>
          </w:p>
          <w:p w14:paraId="2858BCD5"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Elizabeth H. Watts</w:t>
            </w:r>
          </w:p>
          <w:p w14:paraId="6F510AD9"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Duke Energy Business Services</w:t>
            </w:r>
          </w:p>
          <w:p w14:paraId="131A0E03"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139 East Fourth Street</w:t>
            </w:r>
          </w:p>
          <w:p w14:paraId="69984135"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1303-Main</w:t>
            </w:r>
          </w:p>
          <w:p w14:paraId="110A9055" w14:textId="77777777" w:rsidR="00A70DAB" w:rsidRPr="00A70DAB" w:rsidRDefault="00A70DAB" w:rsidP="00A70DAB">
            <w:pPr>
              <w:tabs>
                <w:tab w:val="left" w:pos="522"/>
                <w:tab w:val="left" w:pos="720"/>
                <w:tab w:val="left" w:pos="4320"/>
              </w:tabs>
              <w:spacing w:after="0" w:line="240" w:lineRule="auto"/>
              <w:rPr>
                <w:rFonts w:eastAsia="Times New Roman"/>
              </w:rPr>
            </w:pPr>
            <w:r w:rsidRPr="00A70DAB">
              <w:rPr>
                <w:rFonts w:eastAsia="Times New Roman"/>
              </w:rPr>
              <w:t>Cincinnati, Ohio 45202</w:t>
            </w:r>
          </w:p>
          <w:p w14:paraId="5D4FCCF1" w14:textId="1CB69F78" w:rsidR="00A70DAB" w:rsidRPr="00A70DAB" w:rsidRDefault="006F64E8" w:rsidP="00A70DAB">
            <w:pPr>
              <w:spacing w:after="0" w:line="240" w:lineRule="auto"/>
              <w:jc w:val="both"/>
              <w:rPr>
                <w:rFonts w:eastAsia="Times New Roman"/>
              </w:rPr>
            </w:pPr>
            <w:hyperlink r:id="rId18" w:history="1">
              <w:r w:rsidR="00A70DAB" w:rsidRPr="00A70DAB">
                <w:rPr>
                  <w:rFonts w:eastAsia="Times New Roman"/>
                  <w:color w:val="0000FF"/>
                  <w:u w:val="single"/>
                </w:rPr>
                <w:t>Amy.Spiller@duke-energy.com</w:t>
              </w:r>
            </w:hyperlink>
          </w:p>
          <w:p w14:paraId="61053242" w14:textId="1B364095" w:rsidR="001F41A7" w:rsidRDefault="006F64E8" w:rsidP="00A70DAB">
            <w:pPr>
              <w:tabs>
                <w:tab w:val="left" w:pos="522"/>
                <w:tab w:val="left" w:pos="720"/>
                <w:tab w:val="left" w:pos="4320"/>
              </w:tabs>
              <w:spacing w:after="0" w:line="240" w:lineRule="auto"/>
              <w:rPr>
                <w:rFonts w:eastAsia="Times New Roman"/>
                <w:color w:val="0000FF"/>
                <w:u w:val="single"/>
              </w:rPr>
            </w:pPr>
            <w:hyperlink r:id="rId19" w:history="1">
              <w:r w:rsidR="00A70DAB" w:rsidRPr="00A70DAB">
                <w:rPr>
                  <w:rFonts w:eastAsia="Times New Roman"/>
                  <w:color w:val="0000FF"/>
                  <w:u w:val="single"/>
                </w:rPr>
                <w:t>Elizabeth.watts@duke-energy.com</w:t>
              </w:r>
            </w:hyperlink>
          </w:p>
          <w:p w14:paraId="59761F01" w14:textId="14D8ECE8" w:rsidR="001F41A7" w:rsidRPr="001F41A7" w:rsidRDefault="001F41A7" w:rsidP="00A70DAB">
            <w:pPr>
              <w:tabs>
                <w:tab w:val="left" w:pos="522"/>
                <w:tab w:val="left" w:pos="720"/>
                <w:tab w:val="left" w:pos="4320"/>
              </w:tabs>
              <w:spacing w:after="0" w:line="240" w:lineRule="auto"/>
              <w:rPr>
                <w:rFonts w:eastAsia="Times New Roman"/>
                <w:color w:val="0000FF"/>
                <w:u w:val="single"/>
              </w:rPr>
            </w:pPr>
          </w:p>
        </w:tc>
      </w:tr>
    </w:tbl>
    <w:p w14:paraId="219652FD" w14:textId="77777777" w:rsidR="00766541" w:rsidRPr="00104013" w:rsidRDefault="00766541"/>
    <w:sectPr w:rsidR="00766541" w:rsidRPr="00104013" w:rsidSect="007B27BA">
      <w:pgSz w:w="12240" w:h="15840"/>
      <w:pgMar w:top="1440"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0F8F" w14:textId="77777777" w:rsidR="00C6771B" w:rsidRDefault="00C6771B" w:rsidP="004D17A3">
      <w:pPr>
        <w:spacing w:after="0" w:line="240" w:lineRule="auto"/>
      </w:pPr>
      <w:r>
        <w:separator/>
      </w:r>
    </w:p>
  </w:endnote>
  <w:endnote w:type="continuationSeparator" w:id="0">
    <w:p w14:paraId="3BD55735" w14:textId="77777777" w:rsidR="00C6771B" w:rsidRDefault="00C6771B" w:rsidP="004D17A3">
      <w:pPr>
        <w:spacing w:after="0" w:line="240" w:lineRule="auto"/>
      </w:pPr>
      <w:r>
        <w:continuationSeparator/>
      </w:r>
    </w:p>
  </w:endnote>
  <w:endnote w:type="continuationNotice" w:id="1">
    <w:p w14:paraId="6D6DED86" w14:textId="77777777" w:rsidR="00C6771B" w:rsidRDefault="00C67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B4B" w14:textId="77777777" w:rsidR="006A38C6" w:rsidRDefault="006A3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19422"/>
      <w:docPartObj>
        <w:docPartGallery w:val="Page Numbers (Bottom of Page)"/>
        <w:docPartUnique/>
      </w:docPartObj>
    </w:sdtPr>
    <w:sdtEndPr>
      <w:rPr>
        <w:noProof/>
      </w:rPr>
    </w:sdtEndPr>
    <w:sdtContent>
      <w:p w14:paraId="68F32BE7" w14:textId="0AB23729" w:rsidR="007B27BA" w:rsidRDefault="007B27BA">
        <w:pPr>
          <w:pStyle w:val="Footer"/>
          <w:jc w:val="center"/>
        </w:pPr>
        <w:r>
          <w:fldChar w:fldCharType="begin"/>
        </w:r>
        <w:r>
          <w:instrText xml:space="preserve"> PAGE   \* MERGEFORMAT </w:instrText>
        </w:r>
        <w:r>
          <w:fldChar w:fldCharType="separate"/>
        </w:r>
        <w:r w:rsidR="006F64E8">
          <w:rPr>
            <w:noProof/>
          </w:rPr>
          <w:t>2</w:t>
        </w:r>
        <w:r>
          <w:rPr>
            <w:noProof/>
          </w:rPr>
          <w:fldChar w:fldCharType="end"/>
        </w:r>
      </w:p>
    </w:sdtContent>
  </w:sdt>
  <w:p w14:paraId="0EFA7319" w14:textId="77777777" w:rsidR="007B27BA" w:rsidRDefault="007B2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09B7" w14:textId="77777777" w:rsidR="006A38C6" w:rsidRDefault="006A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7707" w14:textId="77777777" w:rsidR="00C6771B" w:rsidRDefault="00C6771B" w:rsidP="004D17A3">
      <w:pPr>
        <w:spacing w:after="0" w:line="240" w:lineRule="auto"/>
      </w:pPr>
      <w:r>
        <w:separator/>
      </w:r>
    </w:p>
  </w:footnote>
  <w:footnote w:type="continuationSeparator" w:id="0">
    <w:p w14:paraId="51C61DD4" w14:textId="77777777" w:rsidR="00C6771B" w:rsidRDefault="00C6771B" w:rsidP="004D17A3">
      <w:pPr>
        <w:spacing w:after="0" w:line="240" w:lineRule="auto"/>
      </w:pPr>
      <w:r>
        <w:continuationSeparator/>
      </w:r>
    </w:p>
  </w:footnote>
  <w:footnote w:type="continuationNotice" w:id="1">
    <w:p w14:paraId="35F2010A" w14:textId="77777777" w:rsidR="00C6771B" w:rsidRDefault="00C6771B">
      <w:pPr>
        <w:spacing w:after="0" w:line="240" w:lineRule="auto"/>
      </w:pPr>
    </w:p>
  </w:footnote>
  <w:footnote w:id="2">
    <w:p w14:paraId="7E4460F3" w14:textId="44978028" w:rsidR="00202738" w:rsidRDefault="00202738">
      <w:pPr>
        <w:pStyle w:val="FootnoteText"/>
      </w:pPr>
      <w:r>
        <w:rPr>
          <w:rStyle w:val="FootnoteReference"/>
        </w:rPr>
        <w:footnoteRef/>
      </w:r>
      <w:r>
        <w:t xml:space="preserve"> Duke apparently confuses the winter heating season payment plan rule (Ohio Adm. Code 4901:1-18-05(B)(3)), which specifies that usage must occur during the winter heating season to qualify for a payment plan, with the winter disconnect rule (Ohio Adm. Code 4901:1-18-0</w:t>
      </w:r>
      <w:r w:rsidR="00112613">
        <w:t>6</w:t>
      </w:r>
      <w:r>
        <w:t xml:space="preserve">(B)), which </w:t>
      </w:r>
      <w:r w:rsidR="00BA251E">
        <w:t>does not specify that the winter disconnection procedures apply only</w:t>
      </w:r>
      <w:r>
        <w:t xml:space="preserve"> when the usage occur</w:t>
      </w:r>
      <w:r w:rsidR="00BA251E">
        <w:t>s during the winter heating season</w:t>
      </w:r>
      <w:r>
        <w:t xml:space="preserve">.  </w:t>
      </w:r>
    </w:p>
  </w:footnote>
  <w:footnote w:id="3">
    <w:p w14:paraId="73BAE841" w14:textId="4D05A240" w:rsidR="008C3E9F" w:rsidRDefault="008C3E9F">
      <w:pPr>
        <w:pStyle w:val="FootnoteText"/>
      </w:pPr>
      <w:r>
        <w:rPr>
          <w:rStyle w:val="FootnoteReference"/>
        </w:rPr>
        <w:footnoteRef/>
      </w:r>
      <w:r>
        <w:t xml:space="preserve"> The PUCO has annually issued orders to help protect consumers from losing utility service that provides heat to their homes during Ohio’s cold winters.  See, e.g., </w:t>
      </w:r>
      <w:r w:rsidRPr="001C7828">
        <w:rPr>
          <w:i/>
        </w:rPr>
        <w:t>In the Matter of the Commission’s Consideration of Solutions Concerning the Disconnection of Gas and Electric Service in Winter Emergencies for 2015</w:t>
      </w:r>
      <w:r>
        <w:rPr>
          <w:i/>
        </w:rPr>
        <w:t>-2016</w:t>
      </w:r>
      <w:r w:rsidRPr="001C7828">
        <w:rPr>
          <w:i/>
        </w:rPr>
        <w:t xml:space="preserve"> Winter Heating Season</w:t>
      </w:r>
      <w:r w:rsidRPr="001C7828">
        <w:t>, Case No. 1</w:t>
      </w:r>
      <w:r>
        <w:t>5</w:t>
      </w:r>
      <w:r w:rsidRPr="001C7828">
        <w:t>-</w:t>
      </w:r>
      <w:r>
        <w:t>1460</w:t>
      </w:r>
      <w:r w:rsidRPr="001C7828">
        <w:t xml:space="preserve">-GE-UNC, Finding and Order (September </w:t>
      </w:r>
      <w:r>
        <w:t>2</w:t>
      </w:r>
      <w:r w:rsidRPr="001C7828">
        <w:t>, 201</w:t>
      </w:r>
      <w:r>
        <w:t>5</w:t>
      </w:r>
      <w:r w:rsidRPr="001C7828">
        <w:t>)</w:t>
      </w:r>
      <w:r>
        <w:t>.</w:t>
      </w:r>
    </w:p>
  </w:footnote>
  <w:footnote w:id="4">
    <w:p w14:paraId="0DD0C230" w14:textId="6CBD5A24" w:rsidR="00E83555" w:rsidRDefault="00E83555">
      <w:pPr>
        <w:pStyle w:val="FootnoteText"/>
      </w:pPr>
      <w:r>
        <w:rPr>
          <w:rStyle w:val="FootnoteReference"/>
        </w:rPr>
        <w:footnoteRef/>
      </w:r>
      <w:r>
        <w:t xml:space="preserve"> </w:t>
      </w:r>
      <w:r w:rsidRPr="007A2029">
        <w:rPr>
          <w:i/>
        </w:rPr>
        <w:t>Pitzer v. Duke Energy Ohio, Inc</w:t>
      </w:r>
      <w:r w:rsidRPr="007A2029">
        <w:t>., Case No. 15-298-GE-CSS</w:t>
      </w:r>
      <w:r>
        <w:t xml:space="preserve"> </w:t>
      </w:r>
      <w:r w:rsidRPr="007A2029">
        <w:t>(</w:t>
      </w:r>
      <w:r>
        <w:t>“</w:t>
      </w:r>
      <w:r w:rsidRPr="007A2029">
        <w:rPr>
          <w:i/>
        </w:rPr>
        <w:t>Pitzer</w:t>
      </w:r>
      <w:r w:rsidRPr="007A2029">
        <w:t xml:space="preserve"> Complaint</w:t>
      </w:r>
      <w:r>
        <w:t xml:space="preserve"> Case”), Answer of Duke Energy Ohio, Inc. (February 27, 2015) at 4.  The case was</w:t>
      </w:r>
      <w:r w:rsidRPr="007A2029">
        <w:t xml:space="preserve"> formerly known as </w:t>
      </w:r>
      <w:r w:rsidRPr="007A2029">
        <w:rPr>
          <w:i/>
        </w:rPr>
        <w:t>Lykins v.</w:t>
      </w:r>
      <w:r w:rsidRPr="007A2029">
        <w:t xml:space="preserve"> </w:t>
      </w:r>
      <w:r w:rsidRPr="007A2029">
        <w:rPr>
          <w:i/>
        </w:rPr>
        <w:t>Duke Energy Ohio, Inc</w:t>
      </w:r>
      <w:r w:rsidRPr="007A2029">
        <w:t xml:space="preserve">. </w:t>
      </w:r>
      <w:r>
        <w:t xml:space="preserve"> T</w:t>
      </w:r>
      <w:r w:rsidRPr="007A2029">
        <w:t xml:space="preserve">he case caption was amended </w:t>
      </w:r>
      <w:r>
        <w:t xml:space="preserve">by Entry dated </w:t>
      </w:r>
      <w:r w:rsidRPr="007A2029">
        <w:t>July 10, 2015</w:t>
      </w:r>
      <w:r>
        <w:t>,</w:t>
      </w:r>
      <w:r w:rsidRPr="00525104">
        <w:t xml:space="preserve"> </w:t>
      </w:r>
      <w:r>
        <w:t>at 2</w:t>
      </w:r>
      <w:r w:rsidRPr="007A2029">
        <w:t>.</w:t>
      </w:r>
    </w:p>
  </w:footnote>
  <w:footnote w:id="5">
    <w:p w14:paraId="2F368DC8" w14:textId="0F28EFE9" w:rsidR="0004068E" w:rsidRDefault="0004068E">
      <w:pPr>
        <w:pStyle w:val="FootnoteText"/>
      </w:pPr>
      <w:r>
        <w:rPr>
          <w:rStyle w:val="FootnoteReference"/>
        </w:rPr>
        <w:footnoteRef/>
      </w:r>
      <w:r>
        <w:t xml:space="preserve"> If the Consumer Parties do not address a given argument in Duke’s memorandum contra, that should not be construed as the Consumer Parties acquiescing to the argument.</w:t>
      </w:r>
    </w:p>
  </w:footnote>
  <w:footnote w:id="6">
    <w:p w14:paraId="4E85F6FE" w14:textId="2D7C9AE6" w:rsidR="003277C2" w:rsidRPr="00F71276" w:rsidRDefault="003277C2">
      <w:pPr>
        <w:pStyle w:val="FootnoteText"/>
        <w:rPr>
          <w:rFonts w:cs="Times New Roman"/>
          <w:szCs w:val="20"/>
        </w:rPr>
      </w:pPr>
      <w:r>
        <w:rPr>
          <w:rStyle w:val="FootnoteReference"/>
        </w:rPr>
        <w:footnoteRef/>
      </w:r>
      <w:r>
        <w:t xml:space="preserve"> </w:t>
      </w:r>
      <w:r>
        <w:rPr>
          <w:rFonts w:cs="Times New Roman"/>
          <w:szCs w:val="20"/>
        </w:rPr>
        <w:t>Motion, Memorandum in Support at 6.</w:t>
      </w:r>
      <w:r w:rsidR="00D25E50">
        <w:rPr>
          <w:rFonts w:cs="Times New Roman"/>
          <w:szCs w:val="20"/>
        </w:rPr>
        <w:t xml:space="preserve">  See also Motion at 2.</w:t>
      </w:r>
    </w:p>
  </w:footnote>
  <w:footnote w:id="7">
    <w:p w14:paraId="5B0C20F2" w14:textId="78049D11" w:rsidR="003277C2" w:rsidRDefault="003277C2">
      <w:pPr>
        <w:pStyle w:val="FootnoteText"/>
      </w:pPr>
      <w:r>
        <w:rPr>
          <w:rStyle w:val="FootnoteReference"/>
        </w:rPr>
        <w:footnoteRef/>
      </w:r>
      <w:r>
        <w:t xml:space="preserve"> Duke’s Memorandum Contra at 2.</w:t>
      </w:r>
    </w:p>
  </w:footnote>
  <w:footnote w:id="8">
    <w:p w14:paraId="3E0FC0D8" w14:textId="202AC3AD" w:rsidR="003277C2" w:rsidRDefault="003277C2">
      <w:pPr>
        <w:pStyle w:val="FootnoteText"/>
      </w:pPr>
      <w:r>
        <w:rPr>
          <w:rStyle w:val="FootnoteReference"/>
        </w:rPr>
        <w:footnoteRef/>
      </w:r>
      <w:r>
        <w:t xml:space="preserve"> </w:t>
      </w:r>
      <w:r w:rsidR="00763E0C" w:rsidRPr="001A6125">
        <w:rPr>
          <w:i/>
        </w:rPr>
        <w:t>Pitzer</w:t>
      </w:r>
      <w:r w:rsidR="00763E0C">
        <w:t xml:space="preserve"> Complaint</w:t>
      </w:r>
      <w:r w:rsidR="00C122F8">
        <w:t xml:space="preserve"> Case</w:t>
      </w:r>
      <w:r w:rsidR="00763E0C">
        <w:t xml:space="preserve">, Answer of Duke Energy Ohio, Inc. at 4 (“Duke Energy Ohio denies that the 10-day notice requirement under O.A.C. 4901:1-18-06(B) applied to the subject disconnection of electric service at the Property because the electric service was disconnected only for the non-payment of utility services incurred during August, September and October 2011, and relevant late fees, and </w:t>
      </w:r>
      <w:r w:rsidR="00763E0C">
        <w:rPr>
          <w:i/>
          <w:iCs/>
        </w:rPr>
        <w:t xml:space="preserve">not </w:t>
      </w:r>
      <w:r w:rsidR="00763E0C">
        <w:t xml:space="preserve">for the nonpayment of charges incurred during the winter heating season”) (emphasis in original); id. at 5 (“Duke Energy Ohio denies that O.A.C. 4901:1-18-06(B)(3) applies to the Company’s disconnection of the electric service at the Property on November 4, 2011, because (a) the Company did not disconnect Estill Easterling’s electric service for any unpaid bills which included usage occurring during November first to April fifteenth of each year,….”); id. at 7 (“the customer’s services were not subject to disconnection for nonpayment of charges incurred during the winter heating season”); id., Duke’s Memorandum Contra OCC’s Motion to Intervene (May 22, 2015) at 4 (“The Duke Energy Ohio bills for the Account attached to the Complaint demonstrate that the Company disconnected the electric service to the Account for the non-payment of electric services provided to the Account from August 3 through September 1, 2011. … Therefore, the allegations </w:t>
      </w:r>
      <w:r w:rsidR="00763E0C">
        <w:rPr>
          <w:i/>
          <w:iCs/>
        </w:rPr>
        <w:t xml:space="preserve">in </w:t>
      </w:r>
      <w:r w:rsidR="00763E0C">
        <w:t xml:space="preserve">the Complaint are contradicted by the utility bills attached </w:t>
      </w:r>
      <w:r w:rsidR="00763E0C">
        <w:rPr>
          <w:i/>
          <w:iCs/>
        </w:rPr>
        <w:t xml:space="preserve">to </w:t>
      </w:r>
      <w:r w:rsidR="00763E0C">
        <w:t>the Complaint because the Account was not disconnected for the non-payment of any bills including usage during the winter heating season”) (emphasis in original); id. at 8 (“the Account was not disconnected for unpaid bills including electric charges incurred during the winter heating season”); id., Duke’s Memorandum in Opposition to Complainant Jeffrey Pitzer’s Second Motion to Compel (August 27, 2015) at 4 (“</w:t>
      </w:r>
      <w:r w:rsidR="00763E0C" w:rsidRPr="00E82584">
        <w:t>Moreover, the Duke Energy Ohio bills for the Account attached to the Complaint demonstrate that the Company disconnected the electric service to the Account for the non-payment of electric services provided to the Account from August 3 through September 1, 2011</w:t>
      </w:r>
      <w:r w:rsidR="00763E0C">
        <w:t xml:space="preserve">. … </w:t>
      </w:r>
      <w:r w:rsidR="00763E0C" w:rsidRPr="00E82584">
        <w:t xml:space="preserve">Therefore, the allegations </w:t>
      </w:r>
      <w:r w:rsidR="00763E0C" w:rsidRPr="00E82584">
        <w:rPr>
          <w:i/>
        </w:rPr>
        <w:t>in</w:t>
      </w:r>
      <w:r w:rsidR="00763E0C" w:rsidRPr="00E82584">
        <w:t xml:space="preserve"> the Complaint are contradicted by the utility bills attached </w:t>
      </w:r>
      <w:r w:rsidR="00763E0C" w:rsidRPr="00E82584">
        <w:rPr>
          <w:i/>
        </w:rPr>
        <w:t>to</w:t>
      </w:r>
      <w:r w:rsidR="00763E0C" w:rsidRPr="00E82584">
        <w:t xml:space="preserve"> the Complaint because the Account was not disconnected for the non-payment of any bills including usage during the winter heating season</w:t>
      </w:r>
      <w:r w:rsidR="00763E0C">
        <w:t>.”) (emphasis in original).</w:t>
      </w:r>
    </w:p>
  </w:footnote>
  <w:footnote w:id="9">
    <w:p w14:paraId="18FD3992" w14:textId="2323A209" w:rsidR="003277C2" w:rsidRDefault="003277C2">
      <w:pPr>
        <w:pStyle w:val="FootnoteText"/>
      </w:pPr>
      <w:r>
        <w:rPr>
          <w:rStyle w:val="FootnoteReference"/>
        </w:rPr>
        <w:footnoteRef/>
      </w:r>
      <w:r>
        <w:t xml:space="preserve"> Duke’s Memorandum Contra at 5.</w:t>
      </w:r>
    </w:p>
  </w:footnote>
  <w:footnote w:id="10">
    <w:p w14:paraId="4C760A7C" w14:textId="538D8007" w:rsidR="003422D8" w:rsidRDefault="003422D8" w:rsidP="003422D8">
      <w:pPr>
        <w:pStyle w:val="FootnoteText"/>
      </w:pPr>
      <w:r>
        <w:rPr>
          <w:rStyle w:val="FootnoteReference"/>
        </w:rPr>
        <w:footnoteRef/>
      </w:r>
      <w:r>
        <w:t xml:space="preserve"> Winter Reconnect Order at 3 (emphasis added).  </w:t>
      </w:r>
    </w:p>
  </w:footnote>
  <w:footnote w:id="11">
    <w:p w14:paraId="677D1DEC" w14:textId="3F4B2FD7" w:rsidR="003422D8" w:rsidRDefault="003422D8" w:rsidP="003422D8">
      <w:pPr>
        <w:pStyle w:val="FootnoteText"/>
      </w:pPr>
      <w:r>
        <w:rPr>
          <w:rStyle w:val="FootnoteReference"/>
        </w:rPr>
        <w:footnoteRef/>
      </w:r>
      <w:r>
        <w:t xml:space="preserve"> Id. at 3-4.  </w:t>
      </w:r>
    </w:p>
  </w:footnote>
  <w:footnote w:id="12">
    <w:p w14:paraId="2768B8B4" w14:textId="3F7FC2C9" w:rsidR="003422D8" w:rsidRDefault="003422D8">
      <w:pPr>
        <w:pStyle w:val="FootnoteText"/>
      </w:pPr>
      <w:r>
        <w:rPr>
          <w:rStyle w:val="FootnoteReference"/>
        </w:rPr>
        <w:footnoteRef/>
      </w:r>
      <w:r>
        <w:t xml:space="preserve"> Id. at 8.</w:t>
      </w:r>
    </w:p>
  </w:footnote>
  <w:footnote w:id="13">
    <w:p w14:paraId="16A91399" w14:textId="521D4B76" w:rsidR="003277C2" w:rsidRDefault="003277C2">
      <w:pPr>
        <w:pStyle w:val="FootnoteText"/>
      </w:pPr>
      <w:r>
        <w:rPr>
          <w:rStyle w:val="FootnoteReference"/>
        </w:rPr>
        <w:footnoteRef/>
      </w:r>
      <w:r>
        <w:t xml:space="preserve"> </w:t>
      </w:r>
      <w:r w:rsidR="003422D8">
        <w:t>Id.</w:t>
      </w:r>
      <w:r w:rsidR="00AC5A45">
        <w:t xml:space="preserve"> at 2.</w:t>
      </w:r>
    </w:p>
  </w:footnote>
  <w:footnote w:id="14">
    <w:p w14:paraId="25DACD7F" w14:textId="559EE330" w:rsidR="003422D8" w:rsidRDefault="003422D8" w:rsidP="003422D8">
      <w:pPr>
        <w:pStyle w:val="FootnoteText"/>
      </w:pPr>
      <w:r>
        <w:rPr>
          <w:rStyle w:val="FootnoteReference"/>
        </w:rPr>
        <w:footnoteRef/>
      </w:r>
      <w:r>
        <w:t xml:space="preserve"> Id.</w:t>
      </w:r>
    </w:p>
  </w:footnote>
  <w:footnote w:id="15">
    <w:p w14:paraId="4E95D304" w14:textId="4B54AAB1" w:rsidR="003277C2" w:rsidRDefault="003277C2">
      <w:pPr>
        <w:pStyle w:val="FootnoteText"/>
      </w:pPr>
      <w:r>
        <w:rPr>
          <w:rStyle w:val="FootnoteReference"/>
        </w:rPr>
        <w:footnoteRef/>
      </w:r>
      <w:r>
        <w:t xml:space="preserve"> See Duke’s Memorandum Contra at 6, n. 10.</w:t>
      </w:r>
    </w:p>
  </w:footnote>
  <w:footnote w:id="16">
    <w:p w14:paraId="4CE67596" w14:textId="2D76FF6B" w:rsidR="00E842A4" w:rsidRDefault="00E842A4">
      <w:pPr>
        <w:pStyle w:val="FootnoteText"/>
      </w:pPr>
      <w:r>
        <w:rPr>
          <w:rStyle w:val="FootnoteReference"/>
        </w:rPr>
        <w:footnoteRef/>
      </w:r>
      <w:r>
        <w:t xml:space="preserve"> See Duke’s Memorandum Contra at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501A" w14:textId="77777777" w:rsidR="006A38C6" w:rsidRDefault="006A3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90C7" w14:textId="77777777" w:rsidR="006A38C6" w:rsidRDefault="006A3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6B919" w14:textId="77777777" w:rsidR="006A38C6" w:rsidRDefault="006A3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B79"/>
    <w:multiLevelType w:val="hybridMultilevel"/>
    <w:tmpl w:val="323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056B2"/>
    <w:multiLevelType w:val="hybridMultilevel"/>
    <w:tmpl w:val="986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A7C3D"/>
    <w:multiLevelType w:val="hybridMultilevel"/>
    <w:tmpl w:val="CFCC6C00"/>
    <w:lvl w:ilvl="0" w:tplc="C16016A6">
      <w:start w:val="1"/>
      <w:numFmt w:val="decimal"/>
      <w:lvlText w:val="%1."/>
      <w:lvlJc w:val="left"/>
      <w:pPr>
        <w:ind w:left="360" w:hanging="360"/>
      </w:pPr>
      <w:rPr>
        <w:rFonts w:ascii="Times New Roman" w:hAnsi="Times New Roman"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B4C4E"/>
    <w:multiLevelType w:val="hybridMultilevel"/>
    <w:tmpl w:val="0F20ADFC"/>
    <w:lvl w:ilvl="0" w:tplc="8564CAA6">
      <w:start w:val="5"/>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0E42AA0"/>
    <w:multiLevelType w:val="hybridMultilevel"/>
    <w:tmpl w:val="87BEFF20"/>
    <w:lvl w:ilvl="0" w:tplc="CCFA3138">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D7A8C"/>
    <w:multiLevelType w:val="hybridMultilevel"/>
    <w:tmpl w:val="E3DE38B4"/>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E386A"/>
    <w:multiLevelType w:val="hybridMultilevel"/>
    <w:tmpl w:val="9C640FBE"/>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74AB7"/>
    <w:multiLevelType w:val="hybridMultilevel"/>
    <w:tmpl w:val="D2E88934"/>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31"/>
    <w:rsid w:val="00000394"/>
    <w:rsid w:val="00003BCB"/>
    <w:rsid w:val="000050FA"/>
    <w:rsid w:val="0000684C"/>
    <w:rsid w:val="00007A50"/>
    <w:rsid w:val="00014693"/>
    <w:rsid w:val="000158F1"/>
    <w:rsid w:val="00022413"/>
    <w:rsid w:val="000255E8"/>
    <w:rsid w:val="000264FA"/>
    <w:rsid w:val="00031111"/>
    <w:rsid w:val="00031346"/>
    <w:rsid w:val="00034746"/>
    <w:rsid w:val="00034768"/>
    <w:rsid w:val="00036E3D"/>
    <w:rsid w:val="00037D50"/>
    <w:rsid w:val="0004028B"/>
    <w:rsid w:val="000405D0"/>
    <w:rsid w:val="0004068E"/>
    <w:rsid w:val="00041B76"/>
    <w:rsid w:val="00043D92"/>
    <w:rsid w:val="00045A3D"/>
    <w:rsid w:val="0004639B"/>
    <w:rsid w:val="0005581E"/>
    <w:rsid w:val="00055EE1"/>
    <w:rsid w:val="000604C2"/>
    <w:rsid w:val="00060A1A"/>
    <w:rsid w:val="000662CE"/>
    <w:rsid w:val="000679CE"/>
    <w:rsid w:val="00072040"/>
    <w:rsid w:val="000733C1"/>
    <w:rsid w:val="00074980"/>
    <w:rsid w:val="00074E50"/>
    <w:rsid w:val="00074F36"/>
    <w:rsid w:val="00076F41"/>
    <w:rsid w:val="00080637"/>
    <w:rsid w:val="00080F31"/>
    <w:rsid w:val="0008221F"/>
    <w:rsid w:val="0008262C"/>
    <w:rsid w:val="000832FB"/>
    <w:rsid w:val="00093DC4"/>
    <w:rsid w:val="000A19E8"/>
    <w:rsid w:val="000A491C"/>
    <w:rsid w:val="000A5465"/>
    <w:rsid w:val="000A6CBE"/>
    <w:rsid w:val="000B1477"/>
    <w:rsid w:val="000B2403"/>
    <w:rsid w:val="000C1784"/>
    <w:rsid w:val="000C38F5"/>
    <w:rsid w:val="000C7B05"/>
    <w:rsid w:val="000D3E02"/>
    <w:rsid w:val="000D3E49"/>
    <w:rsid w:val="000D604A"/>
    <w:rsid w:val="000D7080"/>
    <w:rsid w:val="000E1127"/>
    <w:rsid w:val="000E1FCB"/>
    <w:rsid w:val="000E5390"/>
    <w:rsid w:val="000F0647"/>
    <w:rsid w:val="000F5424"/>
    <w:rsid w:val="00100659"/>
    <w:rsid w:val="001028E8"/>
    <w:rsid w:val="00104013"/>
    <w:rsid w:val="001062FA"/>
    <w:rsid w:val="00112613"/>
    <w:rsid w:val="0011352B"/>
    <w:rsid w:val="001159CF"/>
    <w:rsid w:val="00120B48"/>
    <w:rsid w:val="00124FAB"/>
    <w:rsid w:val="0013148E"/>
    <w:rsid w:val="001340AF"/>
    <w:rsid w:val="00137062"/>
    <w:rsid w:val="001403C8"/>
    <w:rsid w:val="00141A0D"/>
    <w:rsid w:val="00142942"/>
    <w:rsid w:val="001451E9"/>
    <w:rsid w:val="001471CB"/>
    <w:rsid w:val="00151463"/>
    <w:rsid w:val="00151AC1"/>
    <w:rsid w:val="001526FA"/>
    <w:rsid w:val="00157236"/>
    <w:rsid w:val="001573BD"/>
    <w:rsid w:val="001578AB"/>
    <w:rsid w:val="001610F6"/>
    <w:rsid w:val="00162B06"/>
    <w:rsid w:val="00165E62"/>
    <w:rsid w:val="00167653"/>
    <w:rsid w:val="00171F04"/>
    <w:rsid w:val="00172478"/>
    <w:rsid w:val="00172650"/>
    <w:rsid w:val="00175D24"/>
    <w:rsid w:val="00175D9B"/>
    <w:rsid w:val="00181AC7"/>
    <w:rsid w:val="00187AED"/>
    <w:rsid w:val="001937A5"/>
    <w:rsid w:val="00194547"/>
    <w:rsid w:val="00194CE4"/>
    <w:rsid w:val="0019775F"/>
    <w:rsid w:val="001A4F90"/>
    <w:rsid w:val="001A5692"/>
    <w:rsid w:val="001A6F4A"/>
    <w:rsid w:val="001B06E4"/>
    <w:rsid w:val="001B1081"/>
    <w:rsid w:val="001B3C2A"/>
    <w:rsid w:val="001B704D"/>
    <w:rsid w:val="001C004F"/>
    <w:rsid w:val="001C0AB7"/>
    <w:rsid w:val="001C4D45"/>
    <w:rsid w:val="001C5A39"/>
    <w:rsid w:val="001C6C6C"/>
    <w:rsid w:val="001C78EE"/>
    <w:rsid w:val="001D1C49"/>
    <w:rsid w:val="001D4F5A"/>
    <w:rsid w:val="001D5948"/>
    <w:rsid w:val="001D6531"/>
    <w:rsid w:val="001D7F0D"/>
    <w:rsid w:val="001E4DD5"/>
    <w:rsid w:val="001E6A9A"/>
    <w:rsid w:val="001F0B8E"/>
    <w:rsid w:val="001F137F"/>
    <w:rsid w:val="001F1A50"/>
    <w:rsid w:val="001F1CB5"/>
    <w:rsid w:val="001F2AFC"/>
    <w:rsid w:val="001F40CF"/>
    <w:rsid w:val="001F41A7"/>
    <w:rsid w:val="001F6995"/>
    <w:rsid w:val="002026FE"/>
    <w:rsid w:val="00202738"/>
    <w:rsid w:val="002107A3"/>
    <w:rsid w:val="00215439"/>
    <w:rsid w:val="00220BA5"/>
    <w:rsid w:val="00226966"/>
    <w:rsid w:val="00227784"/>
    <w:rsid w:val="00231FC6"/>
    <w:rsid w:val="002330CE"/>
    <w:rsid w:val="00235D6A"/>
    <w:rsid w:val="00236B11"/>
    <w:rsid w:val="002370B0"/>
    <w:rsid w:val="00237693"/>
    <w:rsid w:val="00240AB3"/>
    <w:rsid w:val="00240D40"/>
    <w:rsid w:val="0024177A"/>
    <w:rsid w:val="00241832"/>
    <w:rsid w:val="00243CB4"/>
    <w:rsid w:val="002532BA"/>
    <w:rsid w:val="00254F60"/>
    <w:rsid w:val="002574AF"/>
    <w:rsid w:val="00261771"/>
    <w:rsid w:val="00262115"/>
    <w:rsid w:val="00262832"/>
    <w:rsid w:val="00263CC9"/>
    <w:rsid w:val="002648B3"/>
    <w:rsid w:val="002663DD"/>
    <w:rsid w:val="002768B2"/>
    <w:rsid w:val="00281F2B"/>
    <w:rsid w:val="0028245B"/>
    <w:rsid w:val="00290955"/>
    <w:rsid w:val="00292091"/>
    <w:rsid w:val="002945A2"/>
    <w:rsid w:val="00295492"/>
    <w:rsid w:val="002A1EF5"/>
    <w:rsid w:val="002B1024"/>
    <w:rsid w:val="002B184B"/>
    <w:rsid w:val="002B4A10"/>
    <w:rsid w:val="002B6509"/>
    <w:rsid w:val="002B6F27"/>
    <w:rsid w:val="002C32FA"/>
    <w:rsid w:val="002C4374"/>
    <w:rsid w:val="002D06D5"/>
    <w:rsid w:val="002D1ECD"/>
    <w:rsid w:val="002D36C1"/>
    <w:rsid w:val="002D5D21"/>
    <w:rsid w:val="002E002B"/>
    <w:rsid w:val="002E0E9D"/>
    <w:rsid w:val="002E22CF"/>
    <w:rsid w:val="002E5DBD"/>
    <w:rsid w:val="002E65BA"/>
    <w:rsid w:val="002F07D4"/>
    <w:rsid w:val="002F10A4"/>
    <w:rsid w:val="002F157D"/>
    <w:rsid w:val="002F3247"/>
    <w:rsid w:val="002F4014"/>
    <w:rsid w:val="002F44C4"/>
    <w:rsid w:val="0030121C"/>
    <w:rsid w:val="00301C1B"/>
    <w:rsid w:val="003072C1"/>
    <w:rsid w:val="00312ED9"/>
    <w:rsid w:val="00313524"/>
    <w:rsid w:val="00316704"/>
    <w:rsid w:val="00316CA3"/>
    <w:rsid w:val="00322013"/>
    <w:rsid w:val="003226ED"/>
    <w:rsid w:val="00322793"/>
    <w:rsid w:val="00323331"/>
    <w:rsid w:val="00326A45"/>
    <w:rsid w:val="003277C2"/>
    <w:rsid w:val="00332161"/>
    <w:rsid w:val="00337B14"/>
    <w:rsid w:val="00341FF0"/>
    <w:rsid w:val="003422D8"/>
    <w:rsid w:val="00342994"/>
    <w:rsid w:val="00344C69"/>
    <w:rsid w:val="00350DCE"/>
    <w:rsid w:val="00353550"/>
    <w:rsid w:val="0036173F"/>
    <w:rsid w:val="003617A1"/>
    <w:rsid w:val="003631DF"/>
    <w:rsid w:val="003642F6"/>
    <w:rsid w:val="00364680"/>
    <w:rsid w:val="003671E5"/>
    <w:rsid w:val="0037013A"/>
    <w:rsid w:val="0037188F"/>
    <w:rsid w:val="003743F0"/>
    <w:rsid w:val="003757FB"/>
    <w:rsid w:val="00382BA8"/>
    <w:rsid w:val="00385F37"/>
    <w:rsid w:val="00391A4A"/>
    <w:rsid w:val="0039233B"/>
    <w:rsid w:val="003973F1"/>
    <w:rsid w:val="00397803"/>
    <w:rsid w:val="003A0243"/>
    <w:rsid w:val="003A088A"/>
    <w:rsid w:val="003A10C6"/>
    <w:rsid w:val="003A2E9B"/>
    <w:rsid w:val="003A3B02"/>
    <w:rsid w:val="003A5BC1"/>
    <w:rsid w:val="003C0B04"/>
    <w:rsid w:val="003C2533"/>
    <w:rsid w:val="003C2DE7"/>
    <w:rsid w:val="003C3425"/>
    <w:rsid w:val="003C36A7"/>
    <w:rsid w:val="003C4EF3"/>
    <w:rsid w:val="003C7BDE"/>
    <w:rsid w:val="003D42AB"/>
    <w:rsid w:val="003E3DB5"/>
    <w:rsid w:val="003E5A3D"/>
    <w:rsid w:val="003E7099"/>
    <w:rsid w:val="003E72D8"/>
    <w:rsid w:val="003F1CCB"/>
    <w:rsid w:val="003F645C"/>
    <w:rsid w:val="0040106B"/>
    <w:rsid w:val="00401B37"/>
    <w:rsid w:val="0040258A"/>
    <w:rsid w:val="00406501"/>
    <w:rsid w:val="00407E49"/>
    <w:rsid w:val="0041142F"/>
    <w:rsid w:val="00412CD4"/>
    <w:rsid w:val="00413304"/>
    <w:rsid w:val="0041726D"/>
    <w:rsid w:val="00417696"/>
    <w:rsid w:val="00420253"/>
    <w:rsid w:val="004226C6"/>
    <w:rsid w:val="0042644F"/>
    <w:rsid w:val="004302E4"/>
    <w:rsid w:val="00430A0D"/>
    <w:rsid w:val="00430AA9"/>
    <w:rsid w:val="004427B6"/>
    <w:rsid w:val="004432B7"/>
    <w:rsid w:val="00445DCA"/>
    <w:rsid w:val="00447342"/>
    <w:rsid w:val="004551AA"/>
    <w:rsid w:val="00465721"/>
    <w:rsid w:val="00476A85"/>
    <w:rsid w:val="00477CBA"/>
    <w:rsid w:val="004801F9"/>
    <w:rsid w:val="0048027C"/>
    <w:rsid w:val="004837EE"/>
    <w:rsid w:val="00484D0E"/>
    <w:rsid w:val="00494E4D"/>
    <w:rsid w:val="00495F88"/>
    <w:rsid w:val="004A51EA"/>
    <w:rsid w:val="004A6A47"/>
    <w:rsid w:val="004B3179"/>
    <w:rsid w:val="004B3DBD"/>
    <w:rsid w:val="004B457E"/>
    <w:rsid w:val="004B551A"/>
    <w:rsid w:val="004C27D7"/>
    <w:rsid w:val="004C55E7"/>
    <w:rsid w:val="004C5665"/>
    <w:rsid w:val="004D0371"/>
    <w:rsid w:val="004D17A3"/>
    <w:rsid w:val="004D2CE4"/>
    <w:rsid w:val="004E0AAD"/>
    <w:rsid w:val="004E42A3"/>
    <w:rsid w:val="004F2EB4"/>
    <w:rsid w:val="004F46DE"/>
    <w:rsid w:val="004F4D01"/>
    <w:rsid w:val="004F6728"/>
    <w:rsid w:val="004F79C6"/>
    <w:rsid w:val="00506A16"/>
    <w:rsid w:val="0050702E"/>
    <w:rsid w:val="005106E5"/>
    <w:rsid w:val="005269CC"/>
    <w:rsid w:val="00527459"/>
    <w:rsid w:val="00531E27"/>
    <w:rsid w:val="00534AC3"/>
    <w:rsid w:val="00534F51"/>
    <w:rsid w:val="00535E91"/>
    <w:rsid w:val="00536A43"/>
    <w:rsid w:val="00540D67"/>
    <w:rsid w:val="00541BD2"/>
    <w:rsid w:val="00541FF0"/>
    <w:rsid w:val="00543ACE"/>
    <w:rsid w:val="0055217C"/>
    <w:rsid w:val="00557FC6"/>
    <w:rsid w:val="00560ECB"/>
    <w:rsid w:val="00561764"/>
    <w:rsid w:val="005651EF"/>
    <w:rsid w:val="0056567F"/>
    <w:rsid w:val="005659DF"/>
    <w:rsid w:val="00571DF6"/>
    <w:rsid w:val="00585093"/>
    <w:rsid w:val="00587F33"/>
    <w:rsid w:val="0059180C"/>
    <w:rsid w:val="0059241F"/>
    <w:rsid w:val="0059736E"/>
    <w:rsid w:val="005A22DE"/>
    <w:rsid w:val="005A28B9"/>
    <w:rsid w:val="005A37C1"/>
    <w:rsid w:val="005A424A"/>
    <w:rsid w:val="005A660D"/>
    <w:rsid w:val="005A7ACB"/>
    <w:rsid w:val="005A7B86"/>
    <w:rsid w:val="005B20D8"/>
    <w:rsid w:val="005B3CA6"/>
    <w:rsid w:val="005C06EE"/>
    <w:rsid w:val="005C6057"/>
    <w:rsid w:val="005C64C3"/>
    <w:rsid w:val="005E05A5"/>
    <w:rsid w:val="005E1851"/>
    <w:rsid w:val="005E32C0"/>
    <w:rsid w:val="005E66D8"/>
    <w:rsid w:val="005F00C0"/>
    <w:rsid w:val="005F3857"/>
    <w:rsid w:val="005F38A8"/>
    <w:rsid w:val="005F44DB"/>
    <w:rsid w:val="005F4FCE"/>
    <w:rsid w:val="005F7EE3"/>
    <w:rsid w:val="006025C9"/>
    <w:rsid w:val="0060487C"/>
    <w:rsid w:val="00606F09"/>
    <w:rsid w:val="006074A8"/>
    <w:rsid w:val="00611B5C"/>
    <w:rsid w:val="006128B4"/>
    <w:rsid w:val="0061439C"/>
    <w:rsid w:val="006203FC"/>
    <w:rsid w:val="006226B3"/>
    <w:rsid w:val="00623A97"/>
    <w:rsid w:val="00626241"/>
    <w:rsid w:val="00630094"/>
    <w:rsid w:val="00630D1F"/>
    <w:rsid w:val="00634301"/>
    <w:rsid w:val="00640A5C"/>
    <w:rsid w:val="006420EF"/>
    <w:rsid w:val="00642B96"/>
    <w:rsid w:val="00647077"/>
    <w:rsid w:val="00652664"/>
    <w:rsid w:val="00652C31"/>
    <w:rsid w:val="00662576"/>
    <w:rsid w:val="00662960"/>
    <w:rsid w:val="0066679A"/>
    <w:rsid w:val="00674CAD"/>
    <w:rsid w:val="00680860"/>
    <w:rsid w:val="0068250F"/>
    <w:rsid w:val="00684425"/>
    <w:rsid w:val="006867D3"/>
    <w:rsid w:val="00695E3F"/>
    <w:rsid w:val="00697156"/>
    <w:rsid w:val="006A38C6"/>
    <w:rsid w:val="006A5D77"/>
    <w:rsid w:val="006B1828"/>
    <w:rsid w:val="006B2DF4"/>
    <w:rsid w:val="006B4A85"/>
    <w:rsid w:val="006B62B1"/>
    <w:rsid w:val="006B7344"/>
    <w:rsid w:val="006C59C9"/>
    <w:rsid w:val="006C7751"/>
    <w:rsid w:val="006D26B4"/>
    <w:rsid w:val="006D3FCE"/>
    <w:rsid w:val="006D729F"/>
    <w:rsid w:val="006E6082"/>
    <w:rsid w:val="006F5829"/>
    <w:rsid w:val="006F64E8"/>
    <w:rsid w:val="006F71F1"/>
    <w:rsid w:val="007072CF"/>
    <w:rsid w:val="007105C8"/>
    <w:rsid w:val="0071075A"/>
    <w:rsid w:val="0072112C"/>
    <w:rsid w:val="00723DB1"/>
    <w:rsid w:val="00724B50"/>
    <w:rsid w:val="0073142C"/>
    <w:rsid w:val="00733135"/>
    <w:rsid w:val="0073348A"/>
    <w:rsid w:val="00736D58"/>
    <w:rsid w:val="00737335"/>
    <w:rsid w:val="007420A9"/>
    <w:rsid w:val="007425F1"/>
    <w:rsid w:val="00746FCC"/>
    <w:rsid w:val="00747FE5"/>
    <w:rsid w:val="00762768"/>
    <w:rsid w:val="0076397D"/>
    <w:rsid w:val="00763E0C"/>
    <w:rsid w:val="00766541"/>
    <w:rsid w:val="00767985"/>
    <w:rsid w:val="00767D42"/>
    <w:rsid w:val="007742A3"/>
    <w:rsid w:val="00774AA2"/>
    <w:rsid w:val="007855BE"/>
    <w:rsid w:val="00786E7E"/>
    <w:rsid w:val="00793AD5"/>
    <w:rsid w:val="007A2029"/>
    <w:rsid w:val="007B1640"/>
    <w:rsid w:val="007B27BA"/>
    <w:rsid w:val="007B2B91"/>
    <w:rsid w:val="007B2E0E"/>
    <w:rsid w:val="007B4FB8"/>
    <w:rsid w:val="007B68E0"/>
    <w:rsid w:val="007B7D9E"/>
    <w:rsid w:val="007B7FBF"/>
    <w:rsid w:val="007C4BAE"/>
    <w:rsid w:val="007D0D6A"/>
    <w:rsid w:val="007D1911"/>
    <w:rsid w:val="007D1AA1"/>
    <w:rsid w:val="007D2906"/>
    <w:rsid w:val="007D3758"/>
    <w:rsid w:val="007D7222"/>
    <w:rsid w:val="007E0985"/>
    <w:rsid w:val="007E241D"/>
    <w:rsid w:val="007E5307"/>
    <w:rsid w:val="007E5A4F"/>
    <w:rsid w:val="007F03C9"/>
    <w:rsid w:val="007F07D9"/>
    <w:rsid w:val="007F0F83"/>
    <w:rsid w:val="007F4B8C"/>
    <w:rsid w:val="007F7D1F"/>
    <w:rsid w:val="008004C1"/>
    <w:rsid w:val="008007FA"/>
    <w:rsid w:val="0080167D"/>
    <w:rsid w:val="008030D1"/>
    <w:rsid w:val="00804FBA"/>
    <w:rsid w:val="008146E8"/>
    <w:rsid w:val="00816EE2"/>
    <w:rsid w:val="00823DEF"/>
    <w:rsid w:val="00824EC5"/>
    <w:rsid w:val="00826AC7"/>
    <w:rsid w:val="00836E6C"/>
    <w:rsid w:val="00840E92"/>
    <w:rsid w:val="00840F13"/>
    <w:rsid w:val="00844FA3"/>
    <w:rsid w:val="0084657E"/>
    <w:rsid w:val="00863330"/>
    <w:rsid w:val="00864142"/>
    <w:rsid w:val="008674C2"/>
    <w:rsid w:val="008707F2"/>
    <w:rsid w:val="008722B4"/>
    <w:rsid w:val="0087231B"/>
    <w:rsid w:val="00880E72"/>
    <w:rsid w:val="00882349"/>
    <w:rsid w:val="0088351C"/>
    <w:rsid w:val="0088766C"/>
    <w:rsid w:val="00893C02"/>
    <w:rsid w:val="0089408D"/>
    <w:rsid w:val="00894420"/>
    <w:rsid w:val="008A0414"/>
    <w:rsid w:val="008A1AEA"/>
    <w:rsid w:val="008A4583"/>
    <w:rsid w:val="008A7976"/>
    <w:rsid w:val="008B49E9"/>
    <w:rsid w:val="008C16D8"/>
    <w:rsid w:val="008C1970"/>
    <w:rsid w:val="008C20B6"/>
    <w:rsid w:val="008C254A"/>
    <w:rsid w:val="008C3629"/>
    <w:rsid w:val="008C3E9F"/>
    <w:rsid w:val="008D48F6"/>
    <w:rsid w:val="008D5C7A"/>
    <w:rsid w:val="008D6E3E"/>
    <w:rsid w:val="008E53B4"/>
    <w:rsid w:val="008F0876"/>
    <w:rsid w:val="008F0C29"/>
    <w:rsid w:val="008F17E8"/>
    <w:rsid w:val="008F1B3F"/>
    <w:rsid w:val="008F2201"/>
    <w:rsid w:val="008F3C22"/>
    <w:rsid w:val="008F5D66"/>
    <w:rsid w:val="008F7646"/>
    <w:rsid w:val="008F78A9"/>
    <w:rsid w:val="0090008C"/>
    <w:rsid w:val="0091347E"/>
    <w:rsid w:val="00914EC6"/>
    <w:rsid w:val="00916280"/>
    <w:rsid w:val="009200E0"/>
    <w:rsid w:val="009271C8"/>
    <w:rsid w:val="009330A7"/>
    <w:rsid w:val="00933573"/>
    <w:rsid w:val="00934343"/>
    <w:rsid w:val="00935520"/>
    <w:rsid w:val="00935D6A"/>
    <w:rsid w:val="00937589"/>
    <w:rsid w:val="00940711"/>
    <w:rsid w:val="00940A3C"/>
    <w:rsid w:val="00946DCB"/>
    <w:rsid w:val="0094773E"/>
    <w:rsid w:val="00953BC5"/>
    <w:rsid w:val="0095571A"/>
    <w:rsid w:val="00956478"/>
    <w:rsid w:val="009602B8"/>
    <w:rsid w:val="00962152"/>
    <w:rsid w:val="00966C10"/>
    <w:rsid w:val="00970E8D"/>
    <w:rsid w:val="00973476"/>
    <w:rsid w:val="009832CB"/>
    <w:rsid w:val="00983B4E"/>
    <w:rsid w:val="00987369"/>
    <w:rsid w:val="0099118B"/>
    <w:rsid w:val="0099161A"/>
    <w:rsid w:val="00991C44"/>
    <w:rsid w:val="009A75DE"/>
    <w:rsid w:val="009B10BC"/>
    <w:rsid w:val="009B20C2"/>
    <w:rsid w:val="009B3833"/>
    <w:rsid w:val="009B5571"/>
    <w:rsid w:val="009B5748"/>
    <w:rsid w:val="009B66A7"/>
    <w:rsid w:val="009C3767"/>
    <w:rsid w:val="009C4BD5"/>
    <w:rsid w:val="009C51C1"/>
    <w:rsid w:val="009D3E71"/>
    <w:rsid w:val="009E48E6"/>
    <w:rsid w:val="009E4A2C"/>
    <w:rsid w:val="009E5745"/>
    <w:rsid w:val="009E7FD2"/>
    <w:rsid w:val="009F2588"/>
    <w:rsid w:val="009F2D05"/>
    <w:rsid w:val="00A00541"/>
    <w:rsid w:val="00A00C80"/>
    <w:rsid w:val="00A02BAA"/>
    <w:rsid w:val="00A04282"/>
    <w:rsid w:val="00A06B91"/>
    <w:rsid w:val="00A06ED8"/>
    <w:rsid w:val="00A11E9C"/>
    <w:rsid w:val="00A15107"/>
    <w:rsid w:val="00A1585C"/>
    <w:rsid w:val="00A16C1D"/>
    <w:rsid w:val="00A17F29"/>
    <w:rsid w:val="00A2304F"/>
    <w:rsid w:val="00A2330A"/>
    <w:rsid w:val="00A241C7"/>
    <w:rsid w:val="00A304A9"/>
    <w:rsid w:val="00A3308E"/>
    <w:rsid w:val="00A341F3"/>
    <w:rsid w:val="00A34287"/>
    <w:rsid w:val="00A3748A"/>
    <w:rsid w:val="00A40B91"/>
    <w:rsid w:val="00A42CDC"/>
    <w:rsid w:val="00A50CC6"/>
    <w:rsid w:val="00A52D05"/>
    <w:rsid w:val="00A56338"/>
    <w:rsid w:val="00A567D2"/>
    <w:rsid w:val="00A63408"/>
    <w:rsid w:val="00A70DAB"/>
    <w:rsid w:val="00A70E82"/>
    <w:rsid w:val="00A722CD"/>
    <w:rsid w:val="00A750C4"/>
    <w:rsid w:val="00A7638E"/>
    <w:rsid w:val="00A7714C"/>
    <w:rsid w:val="00A81823"/>
    <w:rsid w:val="00A81CAD"/>
    <w:rsid w:val="00A82446"/>
    <w:rsid w:val="00A844C2"/>
    <w:rsid w:val="00A84D3A"/>
    <w:rsid w:val="00A86174"/>
    <w:rsid w:val="00A8745E"/>
    <w:rsid w:val="00A878BE"/>
    <w:rsid w:val="00A912C2"/>
    <w:rsid w:val="00A92A11"/>
    <w:rsid w:val="00AA4819"/>
    <w:rsid w:val="00AA4F52"/>
    <w:rsid w:val="00AA58CF"/>
    <w:rsid w:val="00AA6E79"/>
    <w:rsid w:val="00AB2F06"/>
    <w:rsid w:val="00AB4322"/>
    <w:rsid w:val="00AC27EB"/>
    <w:rsid w:val="00AC5A45"/>
    <w:rsid w:val="00AC615F"/>
    <w:rsid w:val="00AC63BB"/>
    <w:rsid w:val="00AD1166"/>
    <w:rsid w:val="00AD18CD"/>
    <w:rsid w:val="00AD5B9B"/>
    <w:rsid w:val="00AE14E7"/>
    <w:rsid w:val="00AF1FB7"/>
    <w:rsid w:val="00AF27D5"/>
    <w:rsid w:val="00AF4FB9"/>
    <w:rsid w:val="00AF6DBE"/>
    <w:rsid w:val="00B01F9C"/>
    <w:rsid w:val="00B048E8"/>
    <w:rsid w:val="00B053B0"/>
    <w:rsid w:val="00B06A93"/>
    <w:rsid w:val="00B22A8B"/>
    <w:rsid w:val="00B26FA8"/>
    <w:rsid w:val="00B320DA"/>
    <w:rsid w:val="00B35FCC"/>
    <w:rsid w:val="00B47C96"/>
    <w:rsid w:val="00B70E78"/>
    <w:rsid w:val="00B73966"/>
    <w:rsid w:val="00B775F1"/>
    <w:rsid w:val="00B80B01"/>
    <w:rsid w:val="00B83B14"/>
    <w:rsid w:val="00B85F74"/>
    <w:rsid w:val="00B921F2"/>
    <w:rsid w:val="00B9276E"/>
    <w:rsid w:val="00B93CB0"/>
    <w:rsid w:val="00B97E6F"/>
    <w:rsid w:val="00BA13E0"/>
    <w:rsid w:val="00BA251E"/>
    <w:rsid w:val="00BA36F8"/>
    <w:rsid w:val="00BA3D09"/>
    <w:rsid w:val="00BB1BEE"/>
    <w:rsid w:val="00BB254C"/>
    <w:rsid w:val="00BB5722"/>
    <w:rsid w:val="00BC137E"/>
    <w:rsid w:val="00BC7B48"/>
    <w:rsid w:val="00BD077F"/>
    <w:rsid w:val="00BE09F1"/>
    <w:rsid w:val="00BE373F"/>
    <w:rsid w:val="00BE5656"/>
    <w:rsid w:val="00BE7FFE"/>
    <w:rsid w:val="00BF1647"/>
    <w:rsid w:val="00BF38F3"/>
    <w:rsid w:val="00C03DFC"/>
    <w:rsid w:val="00C05816"/>
    <w:rsid w:val="00C07D0F"/>
    <w:rsid w:val="00C103D1"/>
    <w:rsid w:val="00C1145B"/>
    <w:rsid w:val="00C122F8"/>
    <w:rsid w:val="00C1336B"/>
    <w:rsid w:val="00C14A48"/>
    <w:rsid w:val="00C21249"/>
    <w:rsid w:val="00C23226"/>
    <w:rsid w:val="00C24083"/>
    <w:rsid w:val="00C25939"/>
    <w:rsid w:val="00C42F8F"/>
    <w:rsid w:val="00C43750"/>
    <w:rsid w:val="00C4746A"/>
    <w:rsid w:val="00C47B2B"/>
    <w:rsid w:val="00C50B22"/>
    <w:rsid w:val="00C5489C"/>
    <w:rsid w:val="00C56C77"/>
    <w:rsid w:val="00C605BE"/>
    <w:rsid w:val="00C61E56"/>
    <w:rsid w:val="00C628B4"/>
    <w:rsid w:val="00C6326E"/>
    <w:rsid w:val="00C64E8F"/>
    <w:rsid w:val="00C6771B"/>
    <w:rsid w:val="00C7178E"/>
    <w:rsid w:val="00C73C8E"/>
    <w:rsid w:val="00C73E44"/>
    <w:rsid w:val="00C74D5D"/>
    <w:rsid w:val="00C74E0E"/>
    <w:rsid w:val="00C77566"/>
    <w:rsid w:val="00C81CDC"/>
    <w:rsid w:val="00C8285A"/>
    <w:rsid w:val="00C85D0F"/>
    <w:rsid w:val="00C85D24"/>
    <w:rsid w:val="00C85E2D"/>
    <w:rsid w:val="00C90551"/>
    <w:rsid w:val="00C939CE"/>
    <w:rsid w:val="00CA01B4"/>
    <w:rsid w:val="00CA1C25"/>
    <w:rsid w:val="00CA2743"/>
    <w:rsid w:val="00CA5012"/>
    <w:rsid w:val="00CA53C7"/>
    <w:rsid w:val="00CA6B85"/>
    <w:rsid w:val="00CA6CF4"/>
    <w:rsid w:val="00CB335A"/>
    <w:rsid w:val="00CB598F"/>
    <w:rsid w:val="00CC0FB4"/>
    <w:rsid w:val="00CC5034"/>
    <w:rsid w:val="00CD1390"/>
    <w:rsid w:val="00CD5234"/>
    <w:rsid w:val="00CD7CF5"/>
    <w:rsid w:val="00CE015D"/>
    <w:rsid w:val="00CE2673"/>
    <w:rsid w:val="00CE526E"/>
    <w:rsid w:val="00CE7C90"/>
    <w:rsid w:val="00CF013E"/>
    <w:rsid w:val="00CF4DA7"/>
    <w:rsid w:val="00CF4FD4"/>
    <w:rsid w:val="00D04360"/>
    <w:rsid w:val="00D043EC"/>
    <w:rsid w:val="00D108D1"/>
    <w:rsid w:val="00D13FDC"/>
    <w:rsid w:val="00D156F8"/>
    <w:rsid w:val="00D20091"/>
    <w:rsid w:val="00D20E5D"/>
    <w:rsid w:val="00D24AFA"/>
    <w:rsid w:val="00D253E1"/>
    <w:rsid w:val="00D25883"/>
    <w:rsid w:val="00D25E50"/>
    <w:rsid w:val="00D27570"/>
    <w:rsid w:val="00D30441"/>
    <w:rsid w:val="00D307AD"/>
    <w:rsid w:val="00D311D6"/>
    <w:rsid w:val="00D33DA9"/>
    <w:rsid w:val="00D360DC"/>
    <w:rsid w:val="00D371AB"/>
    <w:rsid w:val="00D43FCB"/>
    <w:rsid w:val="00D44279"/>
    <w:rsid w:val="00D45C6E"/>
    <w:rsid w:val="00D475CE"/>
    <w:rsid w:val="00D513E9"/>
    <w:rsid w:val="00D5239D"/>
    <w:rsid w:val="00D576FD"/>
    <w:rsid w:val="00D60BE2"/>
    <w:rsid w:val="00D66B88"/>
    <w:rsid w:val="00D66EF8"/>
    <w:rsid w:val="00D67EEF"/>
    <w:rsid w:val="00D82D54"/>
    <w:rsid w:val="00D83141"/>
    <w:rsid w:val="00D90AD3"/>
    <w:rsid w:val="00D948BC"/>
    <w:rsid w:val="00D957BA"/>
    <w:rsid w:val="00D95CBF"/>
    <w:rsid w:val="00D9686B"/>
    <w:rsid w:val="00D9693B"/>
    <w:rsid w:val="00DA1F7E"/>
    <w:rsid w:val="00DA27C6"/>
    <w:rsid w:val="00DA3084"/>
    <w:rsid w:val="00DA50CF"/>
    <w:rsid w:val="00DB47DE"/>
    <w:rsid w:val="00DC37A8"/>
    <w:rsid w:val="00DC5FB3"/>
    <w:rsid w:val="00DD3079"/>
    <w:rsid w:val="00DD3978"/>
    <w:rsid w:val="00DD7779"/>
    <w:rsid w:val="00DE0F6A"/>
    <w:rsid w:val="00DE5D87"/>
    <w:rsid w:val="00DF074E"/>
    <w:rsid w:val="00DF18AA"/>
    <w:rsid w:val="00DF6E4D"/>
    <w:rsid w:val="00E029FC"/>
    <w:rsid w:val="00E05948"/>
    <w:rsid w:val="00E06DD8"/>
    <w:rsid w:val="00E12574"/>
    <w:rsid w:val="00E1270D"/>
    <w:rsid w:val="00E16B4C"/>
    <w:rsid w:val="00E16C75"/>
    <w:rsid w:val="00E17634"/>
    <w:rsid w:val="00E17E77"/>
    <w:rsid w:val="00E21C14"/>
    <w:rsid w:val="00E234AC"/>
    <w:rsid w:val="00E251C1"/>
    <w:rsid w:val="00E261B6"/>
    <w:rsid w:val="00E35BF7"/>
    <w:rsid w:val="00E360D7"/>
    <w:rsid w:val="00E36C1C"/>
    <w:rsid w:val="00E37399"/>
    <w:rsid w:val="00E42BF4"/>
    <w:rsid w:val="00E57BAE"/>
    <w:rsid w:val="00E57BF8"/>
    <w:rsid w:val="00E61FD1"/>
    <w:rsid w:val="00E62347"/>
    <w:rsid w:val="00E6274F"/>
    <w:rsid w:val="00E63A28"/>
    <w:rsid w:val="00E66CF2"/>
    <w:rsid w:val="00E72609"/>
    <w:rsid w:val="00E73B1B"/>
    <w:rsid w:val="00E747D1"/>
    <w:rsid w:val="00E75F04"/>
    <w:rsid w:val="00E802E0"/>
    <w:rsid w:val="00E818BA"/>
    <w:rsid w:val="00E83555"/>
    <w:rsid w:val="00E842A4"/>
    <w:rsid w:val="00E85089"/>
    <w:rsid w:val="00E85411"/>
    <w:rsid w:val="00E87502"/>
    <w:rsid w:val="00E87F79"/>
    <w:rsid w:val="00E92BF3"/>
    <w:rsid w:val="00E97D93"/>
    <w:rsid w:val="00EA2F81"/>
    <w:rsid w:val="00EA392C"/>
    <w:rsid w:val="00EA7DFB"/>
    <w:rsid w:val="00EB07F1"/>
    <w:rsid w:val="00EB2FA8"/>
    <w:rsid w:val="00EB372F"/>
    <w:rsid w:val="00EB3F3F"/>
    <w:rsid w:val="00EB50B4"/>
    <w:rsid w:val="00EC09C8"/>
    <w:rsid w:val="00EC1353"/>
    <w:rsid w:val="00EC31C3"/>
    <w:rsid w:val="00EC4EBF"/>
    <w:rsid w:val="00EC619E"/>
    <w:rsid w:val="00ED07E7"/>
    <w:rsid w:val="00ED0D76"/>
    <w:rsid w:val="00ED1C82"/>
    <w:rsid w:val="00ED4FBA"/>
    <w:rsid w:val="00ED7B6B"/>
    <w:rsid w:val="00EE4677"/>
    <w:rsid w:val="00EE5F70"/>
    <w:rsid w:val="00EF3FBD"/>
    <w:rsid w:val="00EF4CAB"/>
    <w:rsid w:val="00EF6182"/>
    <w:rsid w:val="00EF64B6"/>
    <w:rsid w:val="00EF7C7B"/>
    <w:rsid w:val="00F0141F"/>
    <w:rsid w:val="00F02030"/>
    <w:rsid w:val="00F03320"/>
    <w:rsid w:val="00F03805"/>
    <w:rsid w:val="00F042CD"/>
    <w:rsid w:val="00F050FB"/>
    <w:rsid w:val="00F0585A"/>
    <w:rsid w:val="00F05CD5"/>
    <w:rsid w:val="00F11123"/>
    <w:rsid w:val="00F13D3F"/>
    <w:rsid w:val="00F16F3F"/>
    <w:rsid w:val="00F20A35"/>
    <w:rsid w:val="00F20A5D"/>
    <w:rsid w:val="00F20CBB"/>
    <w:rsid w:val="00F30711"/>
    <w:rsid w:val="00F30B92"/>
    <w:rsid w:val="00F33A74"/>
    <w:rsid w:val="00F346F7"/>
    <w:rsid w:val="00F35478"/>
    <w:rsid w:val="00F53271"/>
    <w:rsid w:val="00F55F34"/>
    <w:rsid w:val="00F62D85"/>
    <w:rsid w:val="00F63D48"/>
    <w:rsid w:val="00F6569B"/>
    <w:rsid w:val="00F659BF"/>
    <w:rsid w:val="00F71276"/>
    <w:rsid w:val="00F73A5F"/>
    <w:rsid w:val="00F76001"/>
    <w:rsid w:val="00F762A3"/>
    <w:rsid w:val="00F84AB2"/>
    <w:rsid w:val="00F86464"/>
    <w:rsid w:val="00F90C6B"/>
    <w:rsid w:val="00F91034"/>
    <w:rsid w:val="00F9285A"/>
    <w:rsid w:val="00F95531"/>
    <w:rsid w:val="00FA2E54"/>
    <w:rsid w:val="00FA6BFA"/>
    <w:rsid w:val="00FB0500"/>
    <w:rsid w:val="00FB19F1"/>
    <w:rsid w:val="00FB23A7"/>
    <w:rsid w:val="00FB4D12"/>
    <w:rsid w:val="00FB4EC4"/>
    <w:rsid w:val="00FB6E47"/>
    <w:rsid w:val="00FC09E4"/>
    <w:rsid w:val="00FC0EF3"/>
    <w:rsid w:val="00FC3005"/>
    <w:rsid w:val="00FC3B6F"/>
    <w:rsid w:val="00FC5D82"/>
    <w:rsid w:val="00FC6EF5"/>
    <w:rsid w:val="00FC72F1"/>
    <w:rsid w:val="00FD2091"/>
    <w:rsid w:val="00FD7AC3"/>
    <w:rsid w:val="00FE18D4"/>
    <w:rsid w:val="00FE1C6B"/>
    <w:rsid w:val="00FE2EAA"/>
    <w:rsid w:val="00FE3701"/>
    <w:rsid w:val="00FF0C14"/>
    <w:rsid w:val="00FF199A"/>
    <w:rsid w:val="00FF4874"/>
    <w:rsid w:val="00FF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C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3E"/>
  </w:style>
  <w:style w:type="paragraph" w:styleId="Heading1">
    <w:name w:val="heading 1"/>
    <w:basedOn w:val="Normal"/>
    <w:next w:val="Normal"/>
    <w:link w:val="Heading1Char"/>
    <w:qFormat/>
    <w:rsid w:val="005269C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3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5269CC"/>
    <w:rPr>
      <w:rFonts w:ascii="Cambria" w:eastAsia="Times New Roman" w:hAnsi="Cambria"/>
      <w:b/>
      <w:bCs/>
      <w:kern w:val="32"/>
      <w:sz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8F3C2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3E"/>
  </w:style>
  <w:style w:type="paragraph" w:styleId="Heading1">
    <w:name w:val="heading 1"/>
    <w:basedOn w:val="Normal"/>
    <w:next w:val="Normal"/>
    <w:link w:val="Heading1Char"/>
    <w:qFormat/>
    <w:rsid w:val="005269C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3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5269CC"/>
    <w:rPr>
      <w:rFonts w:ascii="Cambria" w:eastAsia="Times New Roman" w:hAnsi="Cambria"/>
      <w:b/>
      <w:bCs/>
      <w:kern w:val="32"/>
      <w:sz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8F3C2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8314">
      <w:bodyDiv w:val="1"/>
      <w:marLeft w:val="0"/>
      <w:marRight w:val="0"/>
      <w:marTop w:val="0"/>
      <w:marBottom w:val="0"/>
      <w:divBdr>
        <w:top w:val="none" w:sz="0" w:space="0" w:color="auto"/>
        <w:left w:val="none" w:sz="0" w:space="0" w:color="auto"/>
        <w:bottom w:val="none" w:sz="0" w:space="0" w:color="auto"/>
        <w:right w:val="none" w:sz="0" w:space="0" w:color="auto"/>
      </w:divBdr>
    </w:div>
    <w:div w:id="602419558">
      <w:bodyDiv w:val="1"/>
      <w:marLeft w:val="0"/>
      <w:marRight w:val="0"/>
      <w:marTop w:val="0"/>
      <w:marBottom w:val="0"/>
      <w:divBdr>
        <w:top w:val="none" w:sz="0" w:space="0" w:color="auto"/>
        <w:left w:val="none" w:sz="0" w:space="0" w:color="auto"/>
        <w:bottom w:val="none" w:sz="0" w:space="0" w:color="auto"/>
        <w:right w:val="none" w:sz="0" w:space="0" w:color="auto"/>
      </w:divBdr>
    </w:div>
    <w:div w:id="883717717">
      <w:bodyDiv w:val="1"/>
      <w:marLeft w:val="0"/>
      <w:marRight w:val="0"/>
      <w:marTop w:val="0"/>
      <w:marBottom w:val="0"/>
      <w:divBdr>
        <w:top w:val="none" w:sz="0" w:space="0" w:color="auto"/>
        <w:left w:val="none" w:sz="0" w:space="0" w:color="auto"/>
        <w:bottom w:val="none" w:sz="0" w:space="0" w:color="auto"/>
        <w:right w:val="none" w:sz="0" w:space="0" w:color="auto"/>
      </w:divBdr>
    </w:div>
    <w:div w:id="902830962">
      <w:bodyDiv w:val="1"/>
      <w:marLeft w:val="0"/>
      <w:marRight w:val="0"/>
      <w:marTop w:val="0"/>
      <w:marBottom w:val="0"/>
      <w:divBdr>
        <w:top w:val="none" w:sz="0" w:space="0" w:color="auto"/>
        <w:left w:val="none" w:sz="0" w:space="0" w:color="auto"/>
        <w:bottom w:val="none" w:sz="0" w:space="0" w:color="auto"/>
        <w:right w:val="none" w:sz="0" w:space="0" w:color="auto"/>
      </w:divBdr>
    </w:div>
    <w:div w:id="1011563526">
      <w:bodyDiv w:val="1"/>
      <w:marLeft w:val="0"/>
      <w:marRight w:val="0"/>
      <w:marTop w:val="0"/>
      <w:marBottom w:val="0"/>
      <w:divBdr>
        <w:top w:val="none" w:sz="0" w:space="0" w:color="auto"/>
        <w:left w:val="none" w:sz="0" w:space="0" w:color="auto"/>
        <w:bottom w:val="none" w:sz="0" w:space="0" w:color="auto"/>
        <w:right w:val="none" w:sz="0" w:space="0" w:color="auto"/>
      </w:divBdr>
    </w:div>
    <w:div w:id="1063219592">
      <w:bodyDiv w:val="1"/>
      <w:marLeft w:val="0"/>
      <w:marRight w:val="0"/>
      <w:marTop w:val="0"/>
      <w:marBottom w:val="0"/>
      <w:divBdr>
        <w:top w:val="none" w:sz="0" w:space="0" w:color="auto"/>
        <w:left w:val="none" w:sz="0" w:space="0" w:color="auto"/>
        <w:bottom w:val="none" w:sz="0" w:space="0" w:color="auto"/>
        <w:right w:val="none" w:sz="0" w:space="0" w:color="auto"/>
      </w:divBdr>
    </w:div>
    <w:div w:id="19858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jko@carpenterlipps.com" TargetMode="External"/><Relationship Id="rId13" Type="http://schemas.openxmlformats.org/officeDocument/2006/relationships/footer" Target="footer2.xml"/><Relationship Id="rId18"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ryce.McKenney@puc.state.oh.us" TargetMode="External"/><Relationship Id="rId2" Type="http://schemas.openxmlformats.org/officeDocument/2006/relationships/styles" Target="styles.xml"/><Relationship Id="rId16" Type="http://schemas.openxmlformats.org/officeDocument/2006/relationships/hyperlink" Target="mailto:William.wright@puc.state.oh.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lizabeth.watts@duke-energy.com" TargetMode="External"/><Relationship Id="rId4" Type="http://schemas.openxmlformats.org/officeDocument/2006/relationships/settings" Target="settings.xml"/><Relationship Id="rId9" Type="http://schemas.openxmlformats.org/officeDocument/2006/relationships/hyperlink" Target="mailto:nmorgan@lascin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9329</Characters>
  <Application>Microsoft Office Word</Application>
  <DocSecurity>0</DocSecurity>
  <PresentationFormat/>
  <Lines>231</Lines>
  <Paragraphs>101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2015-10-06T19:40:00Z</cp:lastPrinted>
  <dcterms:created xsi:type="dcterms:W3CDTF">2015-10-06T20:29:00Z</dcterms:created>
  <dcterms:modified xsi:type="dcterms:W3CDTF">2015-10-06T20:29:00Z</dcterms:modified>
  <cp:category> </cp:category>
  <cp:contentStatus> </cp:contentStatus>
</cp:coreProperties>
</file>