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901B3" w:rsidP="00D633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D6337A">
              <w:rPr>
                <w:sz w:val="16"/>
              </w:rPr>
              <w:t>5</w:t>
            </w:r>
            <w:bookmarkStart w:id="0" w:name="_GoBack"/>
            <w:bookmarkEnd w:id="0"/>
            <w:r w:rsidR="00591871" w:rsidRPr="00791C3E">
              <w:rPr>
                <w:sz w:val="16"/>
              </w:rPr>
              <w:t>-</w:t>
            </w:r>
            <w:r w:rsidR="00846DE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2B45F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2B45F9">
              <w:rPr>
                <w:sz w:val="16"/>
              </w:rPr>
              <w:t>4</w:t>
            </w:r>
            <w:r w:rsidR="00CB58F1">
              <w:rPr>
                <w:sz w:val="16"/>
              </w:rPr>
              <w:t>-</w:t>
            </w:r>
            <w:r w:rsidR="002B45F9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D6337A">
      <w:rPr>
        <w:sz w:val="16"/>
      </w:rPr>
      <w:t>January 9, 2013</w:t>
    </w:r>
    <w:r w:rsidR="00BB54F6">
      <w:rPr>
        <w:sz w:val="16"/>
      </w:rPr>
      <w:t xml:space="preserve"> in Case No. 1</w:t>
    </w:r>
    <w:r w:rsidR="00D6337A">
      <w:rPr>
        <w:sz w:val="16"/>
      </w:rPr>
      <w:t>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1530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  <w:gridCol w:w="5490"/>
    </w:tblGrid>
    <w:tr w:rsidR="00D6337A" w:rsidTr="00D6337A">
      <w:tc>
        <w:tcPr>
          <w:tcW w:w="4320" w:type="dxa"/>
        </w:tcPr>
        <w:p w:rsidR="00D6337A" w:rsidRDefault="00D6337A" w:rsidP="002B45F9">
          <w:pPr>
            <w:pStyle w:val="Footer"/>
            <w:rPr>
              <w:sz w:val="16"/>
            </w:rPr>
          </w:pPr>
          <w:r>
            <w:rPr>
              <w:sz w:val="16"/>
            </w:rPr>
            <w:t>Issued:  May 27, 2016</w:t>
          </w:r>
        </w:p>
      </w:tc>
      <w:tc>
        <w:tcPr>
          <w:tcW w:w="5490" w:type="dxa"/>
        </w:tcPr>
        <w:p w:rsidR="00D6337A" w:rsidRDefault="00D6337A" w:rsidP="00D6337A">
          <w:pPr>
            <w:pStyle w:val="Footer"/>
            <w:ind w:left="1602" w:right="-90"/>
            <w:rPr>
              <w:sz w:val="16"/>
            </w:rPr>
          </w:pPr>
        </w:p>
      </w:tc>
      <w:tc>
        <w:tcPr>
          <w:tcW w:w="5490" w:type="dxa"/>
        </w:tcPr>
        <w:p w:rsidR="00D6337A" w:rsidRDefault="00D6337A" w:rsidP="00D6337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               Effective: May 31,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D6337A">
      <w:rPr>
        <w:b/>
        <w:sz w:val="22"/>
      </w:rPr>
      <w:t>Eightieth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256592">
      <w:rPr>
        <w:b/>
        <w:sz w:val="22"/>
      </w:rPr>
      <w:t>Seventy-</w:t>
    </w:r>
    <w:r w:rsidR="00D6337A">
      <w:rPr>
        <w:b/>
        <w:sz w:val="22"/>
      </w:rPr>
      <w:t>Ninth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004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B50A-C90E-4959-9E46-A519482C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2016-05-26T17:24:00Z</dcterms:created>
  <dcterms:modified xsi:type="dcterms:W3CDTF">2016-05-26T17:26:00Z</dcterms:modified>
</cp:coreProperties>
</file>