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3E8" w:rsidRDefault="00EB160C">
      <w:pPr>
        <w:spacing w:line="240" w:lineRule="auto"/>
        <w:jc w:val="center"/>
        <w:rPr>
          <w:rFonts w:cs="Arial"/>
          <w:b/>
          <w:smallCaps/>
          <w:sz w:val="28"/>
        </w:rPr>
      </w:pPr>
      <w:r>
        <w:rPr>
          <w:rFonts w:cs="Arial"/>
          <w:b/>
          <w:smallCaps/>
          <w:sz w:val="28"/>
        </w:rPr>
        <w:t>Before</w:t>
      </w:r>
    </w:p>
    <w:p w:rsidR="003833E8" w:rsidRDefault="00EB160C">
      <w:pPr>
        <w:spacing w:line="240" w:lineRule="auto"/>
        <w:jc w:val="center"/>
        <w:rPr>
          <w:rFonts w:cs="Arial"/>
          <w:smallCaps/>
          <w:sz w:val="28"/>
        </w:rPr>
      </w:pPr>
      <w:r>
        <w:rPr>
          <w:rFonts w:cs="Arial"/>
          <w:b/>
          <w:smallCaps/>
          <w:sz w:val="28"/>
        </w:rPr>
        <w:t xml:space="preserve">The Public Utilities Commission of </w:t>
      </w:r>
      <w:smartTag w:uri="urn:schemas-microsoft-com:office:smarttags" w:element="place">
        <w:smartTag w:uri="urn:schemas-microsoft-com:office:smarttags" w:element="State">
          <w:r>
            <w:rPr>
              <w:rFonts w:cs="Arial"/>
              <w:b/>
              <w:smallCaps/>
              <w:sz w:val="28"/>
            </w:rPr>
            <w:t>Ohio</w:t>
          </w:r>
        </w:smartTag>
      </w:smartTag>
    </w:p>
    <w:p w:rsidR="003833E8" w:rsidRDefault="003833E8">
      <w:pPr>
        <w:spacing w:line="240" w:lineRule="auto"/>
        <w:jc w:val="left"/>
        <w:rPr>
          <w:rFonts w:cs="Arial"/>
        </w:rPr>
      </w:pPr>
    </w:p>
    <w:p w:rsidR="003833E8" w:rsidRDefault="00EB160C">
      <w:pPr>
        <w:spacing w:line="240" w:lineRule="auto"/>
        <w:jc w:val="left"/>
        <w:rPr>
          <w:rFonts w:cs="Arial"/>
        </w:rPr>
      </w:pPr>
      <w:r>
        <w:rPr>
          <w:rFonts w:cs="Arial"/>
        </w:rPr>
        <w:t xml:space="preserve">In the Matter of the Application for </w:t>
      </w:r>
      <w:r>
        <w:rPr>
          <w:rFonts w:cs="Arial"/>
        </w:rPr>
        <w:tab/>
        <w:t>)</w:t>
      </w:r>
    </w:p>
    <w:p w:rsidR="003833E8" w:rsidRDefault="00EB160C">
      <w:pPr>
        <w:spacing w:line="240" w:lineRule="auto"/>
        <w:jc w:val="left"/>
        <w:rPr>
          <w:rFonts w:cs="Arial"/>
        </w:rPr>
      </w:pPr>
      <w:r>
        <w:rPr>
          <w:rFonts w:cs="Arial"/>
        </w:rPr>
        <w:t xml:space="preserve">Establishment of a Reasonable </w:t>
      </w:r>
      <w:r>
        <w:rPr>
          <w:rFonts w:cs="Arial"/>
        </w:rPr>
        <w:tab/>
      </w:r>
      <w:r>
        <w:rPr>
          <w:rFonts w:cs="Arial"/>
        </w:rPr>
        <w:tab/>
        <w:t>)</w:t>
      </w:r>
      <w:r>
        <w:rPr>
          <w:rFonts w:cs="Arial"/>
        </w:rPr>
        <w:tab/>
        <w:t>Case No. 12-1494-EL-AEC</w:t>
      </w:r>
    </w:p>
    <w:p w:rsidR="003833E8" w:rsidRDefault="00EB160C">
      <w:pPr>
        <w:spacing w:line="240" w:lineRule="auto"/>
        <w:jc w:val="left"/>
        <w:rPr>
          <w:rFonts w:cs="Arial"/>
        </w:rPr>
      </w:pPr>
      <w:r>
        <w:rPr>
          <w:rFonts w:cs="Arial"/>
        </w:rPr>
        <w:t>Arrangement Between ASHTA</w:t>
      </w:r>
      <w:r>
        <w:rPr>
          <w:rFonts w:cs="Arial"/>
        </w:rPr>
        <w:tab/>
      </w:r>
      <w:r>
        <w:rPr>
          <w:rFonts w:cs="Arial"/>
        </w:rPr>
        <w:tab/>
        <w:t>)</w:t>
      </w:r>
    </w:p>
    <w:p w:rsidR="003833E8" w:rsidRDefault="00EB160C">
      <w:pPr>
        <w:spacing w:line="240" w:lineRule="auto"/>
        <w:jc w:val="left"/>
        <w:rPr>
          <w:rFonts w:cs="Arial"/>
        </w:rPr>
      </w:pPr>
      <w:r>
        <w:rPr>
          <w:rFonts w:cs="Arial"/>
        </w:rPr>
        <w:t xml:space="preserve">Chemicals Inc. and The Cleveland </w:t>
      </w:r>
      <w:r>
        <w:rPr>
          <w:rFonts w:cs="Arial"/>
        </w:rPr>
        <w:tab/>
        <w:t>)</w:t>
      </w:r>
    </w:p>
    <w:p w:rsidR="003833E8" w:rsidRDefault="00EB160C">
      <w:pPr>
        <w:spacing w:line="240" w:lineRule="auto"/>
        <w:jc w:val="left"/>
        <w:rPr>
          <w:rFonts w:cs="Arial"/>
        </w:rPr>
      </w:pPr>
      <w:r>
        <w:rPr>
          <w:rFonts w:cs="Arial"/>
        </w:rPr>
        <w:t>Electric Illuminating Company.</w:t>
      </w:r>
      <w:r>
        <w:rPr>
          <w:rFonts w:cs="Arial"/>
        </w:rPr>
        <w:tab/>
      </w:r>
      <w:r>
        <w:rPr>
          <w:rFonts w:cs="Arial"/>
        </w:rPr>
        <w:tab/>
        <w:t>)</w:t>
      </w:r>
    </w:p>
    <w:p w:rsidR="003833E8" w:rsidRDefault="003833E8">
      <w:pPr>
        <w:spacing w:line="240" w:lineRule="auto"/>
        <w:jc w:val="left"/>
        <w:rPr>
          <w:szCs w:val="20"/>
        </w:rPr>
      </w:pPr>
    </w:p>
    <w:p w:rsidR="003833E8" w:rsidRDefault="003833E8">
      <w:pPr>
        <w:pBdr>
          <w:top w:val="single" w:sz="12" w:space="1" w:color="auto"/>
        </w:pBdr>
        <w:tabs>
          <w:tab w:val="left" w:pos="7320"/>
        </w:tabs>
        <w:spacing w:line="240" w:lineRule="auto"/>
        <w:rPr>
          <w:rFonts w:cs="Arial"/>
        </w:rPr>
      </w:pPr>
    </w:p>
    <w:p w:rsidR="003833E8" w:rsidRDefault="00EB160C">
      <w:pPr>
        <w:pStyle w:val="ListParagraph"/>
        <w:spacing w:line="240" w:lineRule="auto"/>
        <w:ind w:left="1080"/>
        <w:jc w:val="center"/>
        <w:rPr>
          <w:b/>
        </w:rPr>
      </w:pPr>
      <w:r>
        <w:rPr>
          <w:b/>
        </w:rPr>
        <w:t xml:space="preserve">ASHTA </w:t>
      </w:r>
      <w:r>
        <w:rPr>
          <w:b/>
        </w:rPr>
        <w:t>CHEMICALS INC.’S MOTION TO EXTEND ITS PROTECTIVE ORDER AND MEMORANDUM IN SUPPORT</w:t>
      </w:r>
    </w:p>
    <w:p w:rsidR="003833E8" w:rsidRDefault="003833E8">
      <w:pPr>
        <w:pBdr>
          <w:bottom w:val="single" w:sz="12" w:space="1" w:color="auto"/>
        </w:pBdr>
        <w:tabs>
          <w:tab w:val="left" w:pos="7320"/>
        </w:tabs>
        <w:spacing w:line="240" w:lineRule="auto"/>
        <w:jc w:val="center"/>
        <w:rPr>
          <w:rFonts w:cs="Arial"/>
        </w:rPr>
      </w:pPr>
    </w:p>
    <w:p w:rsidR="003833E8" w:rsidRDefault="003833E8">
      <w:pPr>
        <w:spacing w:line="240" w:lineRule="auto"/>
        <w:jc w:val="center"/>
        <w:rPr>
          <w:b/>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A4305A" w:rsidRDefault="00A4305A">
      <w:pPr>
        <w:spacing w:line="240" w:lineRule="auto"/>
        <w:jc w:val="left"/>
        <w:rPr>
          <w:szCs w:val="20"/>
        </w:rPr>
      </w:pP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EB160C">
      <w:pPr>
        <w:tabs>
          <w:tab w:val="left" w:pos="-1440"/>
          <w:tab w:val="left" w:pos="-720"/>
          <w:tab w:val="left" w:pos="4680"/>
          <w:tab w:val="left" w:pos="5040"/>
        </w:tabs>
        <w:spacing w:line="240" w:lineRule="auto"/>
        <w:ind w:firstLine="4446"/>
        <w:rPr>
          <w:rFonts w:cs="Arial"/>
        </w:rPr>
      </w:pPr>
      <w:r>
        <w:rPr>
          <w:rFonts w:cs="Arial"/>
        </w:rPr>
        <w:t>Samuel C. Randazzo, Trial Attorney</w:t>
      </w:r>
    </w:p>
    <w:p w:rsidR="003833E8" w:rsidRDefault="00EB160C">
      <w:pPr>
        <w:tabs>
          <w:tab w:val="left" w:pos="-1440"/>
          <w:tab w:val="left" w:pos="-720"/>
          <w:tab w:val="left" w:pos="4680"/>
          <w:tab w:val="left" w:pos="5040"/>
        </w:tabs>
        <w:spacing w:line="240" w:lineRule="auto"/>
        <w:ind w:firstLine="4446"/>
        <w:rPr>
          <w:rFonts w:cs="Arial"/>
        </w:rPr>
      </w:pPr>
      <w:r>
        <w:rPr>
          <w:rFonts w:cs="Arial"/>
        </w:rPr>
        <w:t>Scott E. Elisar</w:t>
      </w:r>
    </w:p>
    <w:p w:rsidR="003833E8" w:rsidRDefault="00EB160C">
      <w:pPr>
        <w:tabs>
          <w:tab w:val="left" w:pos="-1440"/>
          <w:tab w:val="left" w:pos="-720"/>
          <w:tab w:val="left" w:pos="4680"/>
          <w:tab w:val="left" w:pos="5040"/>
        </w:tabs>
        <w:spacing w:line="240" w:lineRule="auto"/>
        <w:ind w:firstLine="4446"/>
        <w:rPr>
          <w:rFonts w:cs="Arial"/>
        </w:rPr>
      </w:pPr>
      <w:r>
        <w:rPr>
          <w:rFonts w:cs="Arial"/>
        </w:rPr>
        <w:t>Frank P. Darr</w:t>
      </w:r>
    </w:p>
    <w:p w:rsidR="003833E8" w:rsidRDefault="00EB160C">
      <w:pPr>
        <w:tabs>
          <w:tab w:val="left" w:pos="-1440"/>
          <w:tab w:val="left" w:pos="-720"/>
          <w:tab w:val="left" w:pos="4680"/>
          <w:tab w:val="left" w:pos="5040"/>
        </w:tabs>
        <w:spacing w:line="240" w:lineRule="auto"/>
        <w:ind w:firstLine="4446"/>
        <w:rPr>
          <w:rFonts w:cs="Arial"/>
        </w:rPr>
      </w:pPr>
      <w:r>
        <w:rPr>
          <w:rFonts w:cs="Arial"/>
          <w:smallCaps/>
        </w:rPr>
        <w:t xml:space="preserve">McNees Wallace &amp; Nurick </w:t>
      </w:r>
      <w:r>
        <w:rPr>
          <w:rFonts w:cs="Arial"/>
          <w:smallCaps/>
          <w:sz w:val="20"/>
        </w:rPr>
        <w:t>LLC</w:t>
      </w:r>
      <w:r>
        <w:rPr>
          <w:rFonts w:cs="Arial"/>
          <w:smallCaps/>
          <w:sz w:val="20"/>
        </w:rPr>
        <w:tab/>
      </w:r>
    </w:p>
    <w:p w:rsidR="003833E8" w:rsidRDefault="00EB160C">
      <w:pPr>
        <w:tabs>
          <w:tab w:val="left" w:pos="-1440"/>
          <w:tab w:val="left" w:pos="-720"/>
          <w:tab w:val="left" w:pos="4680"/>
          <w:tab w:val="left" w:pos="5040"/>
        </w:tabs>
        <w:spacing w:line="240" w:lineRule="auto"/>
        <w:ind w:firstLine="4446"/>
        <w:rPr>
          <w:rFonts w:cs="Arial"/>
        </w:rPr>
      </w:pPr>
      <w:smartTag w:uri="urn:schemas-microsoft-com:office:smarttags" w:element="Street">
        <w:smartTag w:uri="urn:schemas-microsoft-com:office:smarttags" w:element="address">
          <w:r>
            <w:rPr>
              <w:rFonts w:cs="Arial"/>
            </w:rPr>
            <w:t>21 East State Street</w:t>
          </w:r>
        </w:smartTag>
      </w:smartTag>
      <w:r>
        <w:rPr>
          <w:rFonts w:cs="Arial"/>
        </w:rPr>
        <w:t>, 17</w:t>
      </w:r>
      <w:r>
        <w:rPr>
          <w:rFonts w:cs="Arial"/>
          <w:vertAlign w:val="superscript"/>
        </w:rPr>
        <w:t>th</w:t>
      </w:r>
      <w:r>
        <w:rPr>
          <w:rFonts w:cs="Arial"/>
        </w:rPr>
        <w:t xml:space="preserve"> Floor</w:t>
      </w:r>
    </w:p>
    <w:p w:rsidR="003833E8" w:rsidRDefault="00EB160C">
      <w:pPr>
        <w:tabs>
          <w:tab w:val="left" w:pos="-1440"/>
          <w:tab w:val="left" w:pos="-720"/>
          <w:tab w:val="left" w:pos="4680"/>
          <w:tab w:val="left" w:pos="5040"/>
        </w:tabs>
        <w:spacing w:line="240" w:lineRule="auto"/>
        <w:ind w:firstLine="4446"/>
        <w:rPr>
          <w:rFonts w:cs="Arial"/>
        </w:rPr>
      </w:pPr>
      <w:smartTag w:uri="urn:schemas-microsoft-com:office:smarttags" w:element="place">
        <w:smartTag w:uri="urn:schemas-microsoft-com:office:smarttags" w:element="City">
          <w:r>
            <w:rPr>
              <w:rFonts w:cs="Arial"/>
            </w:rPr>
            <w:t>Columbus</w:t>
          </w:r>
        </w:smartTag>
        <w:r>
          <w:rPr>
            <w:rFonts w:cs="Arial"/>
          </w:rPr>
          <w:t xml:space="preserve">, </w:t>
        </w:r>
        <w:smartTag w:uri="urn:schemas-microsoft-com:office:smarttags" w:element="State">
          <w:r>
            <w:rPr>
              <w:rFonts w:cs="Arial"/>
            </w:rPr>
            <w:t>OH</w:t>
          </w:r>
        </w:smartTag>
        <w:r>
          <w:rPr>
            <w:rFonts w:cs="Arial"/>
          </w:rPr>
          <w:t xml:space="preserve">  </w:t>
        </w:r>
        <w:smartTag w:uri="urn:schemas-microsoft-com:office:smarttags" w:element="PlaceType">
          <w:r>
            <w:rPr>
              <w:rFonts w:cs="Arial"/>
            </w:rPr>
            <w:t>43215-4228</w:t>
          </w:r>
        </w:smartTag>
      </w:smartTag>
    </w:p>
    <w:p w:rsidR="003833E8" w:rsidRDefault="00EB160C">
      <w:pPr>
        <w:tabs>
          <w:tab w:val="left" w:pos="-1440"/>
          <w:tab w:val="left" w:pos="-720"/>
          <w:tab w:val="left" w:pos="4680"/>
          <w:tab w:val="left" w:pos="5040"/>
        </w:tabs>
        <w:spacing w:line="240" w:lineRule="auto"/>
        <w:ind w:firstLine="4446"/>
        <w:rPr>
          <w:rFonts w:cs="Arial"/>
        </w:rPr>
      </w:pPr>
      <w:r>
        <w:rPr>
          <w:rFonts w:cs="Arial"/>
        </w:rPr>
        <w:t>Telephone:  (614) 469-8000</w:t>
      </w:r>
    </w:p>
    <w:p w:rsidR="003833E8" w:rsidRDefault="00EB160C">
      <w:pPr>
        <w:tabs>
          <w:tab w:val="left" w:pos="-1440"/>
          <w:tab w:val="left" w:pos="-720"/>
          <w:tab w:val="left" w:pos="4680"/>
          <w:tab w:val="left" w:pos="5040"/>
        </w:tabs>
        <w:spacing w:line="240" w:lineRule="auto"/>
        <w:ind w:firstLine="4446"/>
        <w:rPr>
          <w:rFonts w:cs="Arial"/>
        </w:rPr>
      </w:pPr>
      <w:r>
        <w:rPr>
          <w:rFonts w:cs="Arial"/>
        </w:rPr>
        <w:t>Telecopier:  (614) 469-4653</w:t>
      </w:r>
    </w:p>
    <w:p w:rsidR="003833E8" w:rsidRDefault="00EB160C">
      <w:pPr>
        <w:tabs>
          <w:tab w:val="left" w:pos="-1440"/>
          <w:tab w:val="left" w:pos="-720"/>
          <w:tab w:val="left" w:pos="4680"/>
          <w:tab w:val="left" w:pos="5040"/>
        </w:tabs>
        <w:spacing w:line="240" w:lineRule="auto"/>
        <w:ind w:firstLine="4446"/>
        <w:rPr>
          <w:rFonts w:cs="Arial"/>
        </w:rPr>
      </w:pPr>
      <w:r>
        <w:rPr>
          <w:rFonts w:cs="Arial"/>
        </w:rPr>
        <w:t xml:space="preserve">sam@mwncmh.com </w:t>
      </w:r>
    </w:p>
    <w:p w:rsidR="003833E8" w:rsidRDefault="00EB160C">
      <w:pPr>
        <w:tabs>
          <w:tab w:val="left" w:pos="-1440"/>
          <w:tab w:val="left" w:pos="-720"/>
          <w:tab w:val="left" w:pos="4680"/>
          <w:tab w:val="left" w:pos="5040"/>
        </w:tabs>
        <w:spacing w:line="240" w:lineRule="auto"/>
        <w:ind w:firstLine="4446"/>
        <w:rPr>
          <w:rFonts w:cs="Arial"/>
        </w:rPr>
      </w:pPr>
      <w:r>
        <w:rPr>
          <w:rFonts w:cs="Arial"/>
        </w:rPr>
        <w:t>selisar@mwncmh.com</w:t>
      </w:r>
    </w:p>
    <w:p w:rsidR="003833E8" w:rsidRDefault="00EB160C">
      <w:pPr>
        <w:tabs>
          <w:tab w:val="left" w:pos="-1440"/>
          <w:tab w:val="left" w:pos="-720"/>
          <w:tab w:val="left" w:pos="4680"/>
          <w:tab w:val="left" w:pos="5040"/>
        </w:tabs>
        <w:spacing w:line="240" w:lineRule="auto"/>
        <w:ind w:firstLine="4446"/>
        <w:rPr>
          <w:rFonts w:cs="Arial"/>
        </w:rPr>
      </w:pPr>
      <w:r>
        <w:rPr>
          <w:rFonts w:cs="Arial"/>
        </w:rPr>
        <w:t>fdarr@mwncmh.com</w:t>
      </w:r>
    </w:p>
    <w:p w:rsidR="003833E8" w:rsidRDefault="003833E8">
      <w:pPr>
        <w:tabs>
          <w:tab w:val="left" w:pos="-1440"/>
          <w:tab w:val="left" w:pos="-720"/>
          <w:tab w:val="left" w:pos="4680"/>
          <w:tab w:val="left" w:pos="5040"/>
        </w:tabs>
        <w:spacing w:line="240" w:lineRule="auto"/>
        <w:ind w:firstLine="4446"/>
        <w:rPr>
          <w:rFonts w:cs="Arial"/>
        </w:rPr>
      </w:pPr>
    </w:p>
    <w:p w:rsidR="003833E8" w:rsidRDefault="00EB160C">
      <w:pPr>
        <w:tabs>
          <w:tab w:val="left" w:pos="-1440"/>
          <w:tab w:val="left" w:pos="-720"/>
          <w:tab w:val="left" w:pos="4500"/>
          <w:tab w:val="left" w:pos="5040"/>
        </w:tabs>
        <w:spacing w:line="240" w:lineRule="auto"/>
        <w:ind w:left="4446" w:hanging="4446"/>
        <w:rPr>
          <w:rFonts w:cs="Arial"/>
          <w:b/>
          <w:bCs/>
        </w:rPr>
      </w:pPr>
      <w:r>
        <w:rPr>
          <w:rFonts w:cs="Arial"/>
          <w:b/>
          <w:bCs/>
        </w:rPr>
        <w:t>March 20, 2014</w:t>
      </w:r>
      <w:r>
        <w:rPr>
          <w:rFonts w:cs="Arial"/>
          <w:b/>
          <w:bCs/>
        </w:rPr>
        <w:tab/>
        <w:t>Attorneys for ASHTA Chemicals Inc.</w:t>
      </w:r>
    </w:p>
    <w:p w:rsidR="003833E8" w:rsidRDefault="003833E8">
      <w:pPr>
        <w:tabs>
          <w:tab w:val="left" w:pos="-1440"/>
          <w:tab w:val="left" w:pos="-720"/>
          <w:tab w:val="left" w:pos="4500"/>
          <w:tab w:val="left" w:pos="5040"/>
        </w:tabs>
        <w:spacing w:line="240" w:lineRule="auto"/>
        <w:ind w:left="4446" w:hanging="4446"/>
        <w:rPr>
          <w:rFonts w:cs="Arial"/>
          <w:b/>
          <w:bCs/>
        </w:rPr>
      </w:pPr>
    </w:p>
    <w:p w:rsidR="003833E8" w:rsidRDefault="003833E8">
      <w:pPr>
        <w:spacing w:line="240" w:lineRule="auto"/>
        <w:jc w:val="center"/>
        <w:rPr>
          <w:rFonts w:cs="Arial"/>
          <w:b/>
          <w:smallCaps/>
          <w:sz w:val="28"/>
        </w:rPr>
        <w:sectPr w:rsidR="003833E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008" w:left="1440" w:header="720" w:footer="720" w:gutter="0"/>
          <w:pgNumType w:start="1"/>
          <w:cols w:space="720"/>
          <w:noEndnote/>
          <w:titlePg/>
          <w:docGrid w:linePitch="78"/>
        </w:sectPr>
      </w:pPr>
    </w:p>
    <w:p w:rsidR="003833E8" w:rsidRDefault="00EB160C">
      <w:pPr>
        <w:spacing w:line="240" w:lineRule="auto"/>
        <w:jc w:val="center"/>
        <w:rPr>
          <w:rFonts w:cs="Arial"/>
          <w:b/>
          <w:smallCaps/>
          <w:sz w:val="28"/>
        </w:rPr>
      </w:pPr>
      <w:r>
        <w:rPr>
          <w:rFonts w:cs="Arial"/>
          <w:b/>
          <w:smallCaps/>
          <w:sz w:val="28"/>
        </w:rPr>
        <w:lastRenderedPageBreak/>
        <w:t>Before</w:t>
      </w:r>
    </w:p>
    <w:p w:rsidR="003833E8" w:rsidRDefault="00EB160C">
      <w:pPr>
        <w:spacing w:line="240" w:lineRule="auto"/>
        <w:jc w:val="center"/>
        <w:rPr>
          <w:rFonts w:cs="Arial"/>
          <w:smallCaps/>
          <w:sz w:val="28"/>
        </w:rPr>
      </w:pPr>
      <w:r>
        <w:rPr>
          <w:rFonts w:cs="Arial"/>
          <w:b/>
          <w:smallCaps/>
          <w:sz w:val="28"/>
        </w:rPr>
        <w:t xml:space="preserve">The Public Utilities Commission of </w:t>
      </w:r>
      <w:smartTag w:uri="urn:schemas-microsoft-com:office:smarttags" w:element="place">
        <w:smartTag w:uri="urn:schemas-microsoft-com:office:smarttags" w:element="State">
          <w:r>
            <w:rPr>
              <w:rFonts w:cs="Arial"/>
              <w:b/>
              <w:smallCaps/>
              <w:sz w:val="28"/>
            </w:rPr>
            <w:t>Ohio</w:t>
          </w:r>
        </w:smartTag>
      </w:smartTag>
    </w:p>
    <w:p w:rsidR="003833E8" w:rsidRDefault="003833E8">
      <w:pPr>
        <w:spacing w:line="240" w:lineRule="auto"/>
        <w:jc w:val="left"/>
        <w:rPr>
          <w:rFonts w:cs="Arial"/>
        </w:rPr>
      </w:pPr>
    </w:p>
    <w:p w:rsidR="003833E8" w:rsidRDefault="00EB160C">
      <w:pPr>
        <w:spacing w:line="240" w:lineRule="auto"/>
        <w:jc w:val="left"/>
        <w:rPr>
          <w:rFonts w:cs="Arial"/>
        </w:rPr>
      </w:pPr>
      <w:r>
        <w:rPr>
          <w:rFonts w:cs="Arial"/>
        </w:rPr>
        <w:t xml:space="preserve">In the Matter of the Application for </w:t>
      </w:r>
      <w:r>
        <w:rPr>
          <w:rFonts w:cs="Arial"/>
        </w:rPr>
        <w:tab/>
        <w:t>)</w:t>
      </w:r>
    </w:p>
    <w:p w:rsidR="003833E8" w:rsidRDefault="00EB160C">
      <w:pPr>
        <w:spacing w:line="240" w:lineRule="auto"/>
        <w:jc w:val="left"/>
        <w:rPr>
          <w:rFonts w:cs="Arial"/>
        </w:rPr>
      </w:pPr>
      <w:r>
        <w:rPr>
          <w:rFonts w:cs="Arial"/>
        </w:rPr>
        <w:t xml:space="preserve">Establishment of a Reasonable </w:t>
      </w:r>
      <w:r>
        <w:rPr>
          <w:rFonts w:cs="Arial"/>
        </w:rPr>
        <w:tab/>
      </w:r>
      <w:r>
        <w:rPr>
          <w:rFonts w:cs="Arial"/>
        </w:rPr>
        <w:tab/>
        <w:t>)</w:t>
      </w:r>
      <w:r>
        <w:rPr>
          <w:rFonts w:cs="Arial"/>
        </w:rPr>
        <w:tab/>
        <w:t>Case No. 12-1494-EL-AEC</w:t>
      </w:r>
    </w:p>
    <w:p w:rsidR="003833E8" w:rsidRDefault="00EB160C">
      <w:pPr>
        <w:spacing w:line="240" w:lineRule="auto"/>
        <w:jc w:val="left"/>
        <w:rPr>
          <w:rFonts w:cs="Arial"/>
        </w:rPr>
      </w:pPr>
      <w:r>
        <w:rPr>
          <w:rFonts w:cs="Arial"/>
        </w:rPr>
        <w:t>Arrangement Between ASHTA</w:t>
      </w:r>
      <w:r>
        <w:rPr>
          <w:rFonts w:cs="Arial"/>
        </w:rPr>
        <w:tab/>
      </w:r>
      <w:r>
        <w:rPr>
          <w:rFonts w:cs="Arial"/>
        </w:rPr>
        <w:tab/>
        <w:t>)</w:t>
      </w:r>
    </w:p>
    <w:p w:rsidR="003833E8" w:rsidRDefault="00EB160C">
      <w:pPr>
        <w:spacing w:line="240" w:lineRule="auto"/>
        <w:jc w:val="left"/>
        <w:rPr>
          <w:rFonts w:cs="Arial"/>
        </w:rPr>
      </w:pPr>
      <w:r>
        <w:rPr>
          <w:rFonts w:cs="Arial"/>
        </w:rPr>
        <w:t xml:space="preserve">Chemicals Inc. and The Cleveland </w:t>
      </w:r>
      <w:r>
        <w:rPr>
          <w:rFonts w:cs="Arial"/>
        </w:rPr>
        <w:tab/>
        <w:t>)</w:t>
      </w:r>
    </w:p>
    <w:p w:rsidR="003833E8" w:rsidRDefault="00EB160C">
      <w:pPr>
        <w:spacing w:line="240" w:lineRule="auto"/>
        <w:jc w:val="left"/>
        <w:rPr>
          <w:rFonts w:cs="Arial"/>
        </w:rPr>
      </w:pPr>
      <w:r>
        <w:rPr>
          <w:rFonts w:cs="Arial"/>
        </w:rPr>
        <w:t>Electric Illuminating Company.</w:t>
      </w:r>
      <w:r>
        <w:rPr>
          <w:rFonts w:cs="Arial"/>
        </w:rPr>
        <w:tab/>
      </w:r>
      <w:r>
        <w:rPr>
          <w:rFonts w:cs="Arial"/>
        </w:rPr>
        <w:tab/>
        <w:t>)</w:t>
      </w:r>
    </w:p>
    <w:p w:rsidR="003833E8" w:rsidRDefault="003833E8">
      <w:pPr>
        <w:spacing w:line="240" w:lineRule="auto"/>
        <w:rPr>
          <w:rFonts w:cs="Arial"/>
        </w:rPr>
      </w:pPr>
    </w:p>
    <w:p w:rsidR="003833E8" w:rsidRDefault="003833E8">
      <w:pPr>
        <w:pBdr>
          <w:top w:val="single" w:sz="12" w:space="1" w:color="auto"/>
        </w:pBdr>
        <w:tabs>
          <w:tab w:val="left" w:pos="7320"/>
        </w:tabs>
        <w:spacing w:line="240" w:lineRule="auto"/>
        <w:rPr>
          <w:rFonts w:cs="Arial"/>
        </w:rPr>
      </w:pPr>
    </w:p>
    <w:p w:rsidR="003833E8" w:rsidRDefault="00EB160C">
      <w:pPr>
        <w:spacing w:line="240" w:lineRule="auto"/>
        <w:jc w:val="center"/>
        <w:rPr>
          <w:b/>
        </w:rPr>
      </w:pPr>
      <w:r>
        <w:rPr>
          <w:b/>
        </w:rPr>
        <w:t>ASHTA CHEMICALS INC.’S MOTION TO EXTEND ITS PROTECTIVE ORDER</w:t>
      </w:r>
    </w:p>
    <w:p w:rsidR="003833E8" w:rsidRDefault="003833E8">
      <w:pPr>
        <w:pBdr>
          <w:bottom w:val="single" w:sz="12" w:space="1" w:color="auto"/>
        </w:pBdr>
        <w:tabs>
          <w:tab w:val="left" w:pos="7320"/>
        </w:tabs>
        <w:spacing w:line="240" w:lineRule="auto"/>
        <w:jc w:val="center"/>
        <w:rPr>
          <w:rFonts w:cs="Arial"/>
        </w:rPr>
      </w:pPr>
    </w:p>
    <w:p w:rsidR="003833E8" w:rsidRDefault="00EB160C">
      <w:pPr>
        <w:spacing w:before="480"/>
      </w:pPr>
      <w:r>
        <w:tab/>
      </w:r>
      <w:r>
        <w:t xml:space="preserve">Pursuant to Rule 4901-1-24(F), Ohio Administrative Code (“O.A.C”), and the Public Utilities Commission of Ohio’s (“Commission”) November 5, 2012 Entry in the above-captioned matter, ASHTA Chemicals Inc. (“ASHTA”) hereby requests that the Commission extend </w:t>
      </w:r>
      <w:r>
        <w:t>the protective order issued by the Commission in its November 5, 2012 Entry in this proceeding.  This protective order protected the disclosure of the confidential information contained in the direct testimony of Richard L. Jackson and Kevin M. Murray that</w:t>
      </w:r>
      <w:r>
        <w:t xml:space="preserve"> ASHTA filed under seal on August 20, 2012.  The November 5, 2012 Entry indicated that the protective order would expire on May 5, 2014, unless ASHTA moved for an extension of the protective order at least 45 days before the expiration of the order.  </w:t>
      </w:r>
      <w:r>
        <w:t>ASHTA</w:t>
      </w:r>
      <w:r>
        <w:t xml:space="preserve"> notes that a portion of this protected information was subsequently voluntarily disclosed by ASHTA in the December </w:t>
      </w:r>
      <w:r>
        <w:t xml:space="preserve">10, 2013 Amended Public </w:t>
      </w:r>
      <w:r w:rsidR="00A4305A">
        <w:t xml:space="preserve">Version of Joint </w:t>
      </w:r>
      <w:r>
        <w:t>Stipulation</w:t>
      </w:r>
      <w:r w:rsidR="00A4305A">
        <w:t xml:space="preserve"> and Recommendation</w:t>
      </w:r>
      <w:r>
        <w:t>, and therefore only seeks to extend the protective order regarding the confidential information that re</w:t>
      </w:r>
      <w:r>
        <w:t>mains under seal.</w:t>
      </w:r>
      <w:r>
        <w:rPr>
          <w:rStyle w:val="FootnoteReference"/>
        </w:rPr>
        <w:footnoteReference w:id="1"/>
      </w:r>
      <w:r>
        <w:t xml:space="preserve">  ASHTA would also note that on September 13, 2013</w:t>
      </w:r>
      <w:r w:rsidR="00A4305A">
        <w:t>,</w:t>
      </w:r>
      <w:r>
        <w:t xml:space="preserve"> it filed a motion for </w:t>
      </w:r>
      <w:r>
        <w:lastRenderedPageBreak/>
        <w:t>protective order regarding the confidential information contained in the Joint Stipulation and Recommendation, which remains pending.</w:t>
      </w:r>
    </w:p>
    <w:p w:rsidR="003833E8" w:rsidRDefault="00EB160C" w:rsidP="00A4305A">
      <w:pPr>
        <w:rPr>
          <w:rFonts w:cs="Arial"/>
        </w:rPr>
      </w:pPr>
      <w:r>
        <w:tab/>
      </w:r>
      <w:r>
        <w:t>As demonstrated in the attach</w:t>
      </w:r>
      <w:r>
        <w:t>ed memorandum in support, the confidential information contained in the direct testimony of Richard L. Jackson and Kevin M. Murray filed with the Commission August 20, 2012 remains a trade secret, which should remain protected.  Accordingly, ASHTA requests</w:t>
      </w:r>
      <w:r>
        <w:t xml:space="preserve"> that the Commission grant this motion.</w:t>
      </w:r>
    </w:p>
    <w:p w:rsidR="003833E8" w:rsidRDefault="00EB160C">
      <w:pPr>
        <w:spacing w:line="240" w:lineRule="auto"/>
        <w:ind w:left="3600" w:firstLine="720"/>
        <w:jc w:val="left"/>
        <w:rPr>
          <w:rFonts w:cs="Arial"/>
        </w:rPr>
      </w:pPr>
      <w:r>
        <w:rPr>
          <w:rFonts w:cs="Arial"/>
        </w:rPr>
        <w:t>Respectfully submitted,</w:t>
      </w:r>
    </w:p>
    <w:p w:rsidR="003833E8" w:rsidRDefault="003833E8">
      <w:pPr>
        <w:spacing w:after="120" w:line="240" w:lineRule="auto"/>
        <w:ind w:left="3600" w:firstLine="720"/>
        <w:jc w:val="left"/>
        <w:rPr>
          <w:rFonts w:cs="Arial"/>
        </w:rPr>
      </w:pPr>
    </w:p>
    <w:p w:rsidR="003833E8" w:rsidRDefault="003833E8">
      <w:pPr>
        <w:spacing w:after="120" w:line="240" w:lineRule="auto"/>
        <w:ind w:left="3600" w:firstLine="720"/>
        <w:jc w:val="left"/>
        <w:rPr>
          <w:rFonts w:cs="Arial"/>
        </w:rPr>
      </w:pPr>
    </w:p>
    <w:p w:rsidR="003833E8" w:rsidRDefault="00A4305A">
      <w:pPr>
        <w:tabs>
          <w:tab w:val="left" w:pos="4320"/>
          <w:tab w:val="right" w:pos="8640"/>
        </w:tabs>
        <w:spacing w:line="240" w:lineRule="auto"/>
        <w:ind w:left="4320"/>
        <w:rPr>
          <w:rFonts w:cs="Arial"/>
          <w:u w:val="single"/>
        </w:rPr>
      </w:pPr>
      <w:r>
        <w:rPr>
          <w:rFonts w:cs="Arial"/>
          <w:u w:val="single"/>
        </w:rPr>
        <w:t>/s/ Scott E. Elisar</w:t>
      </w:r>
      <w:r w:rsidR="00EB160C">
        <w:rPr>
          <w:rFonts w:cs="Arial"/>
          <w:u w:val="single"/>
        </w:rPr>
        <w:tab/>
      </w:r>
    </w:p>
    <w:p w:rsidR="003833E8" w:rsidRDefault="00EB160C">
      <w:pPr>
        <w:tabs>
          <w:tab w:val="left" w:pos="4320"/>
          <w:tab w:val="right" w:pos="8640"/>
        </w:tabs>
        <w:spacing w:line="240" w:lineRule="auto"/>
        <w:ind w:left="4320"/>
        <w:rPr>
          <w:rFonts w:cs="Arial"/>
        </w:rPr>
      </w:pPr>
      <w:r>
        <w:rPr>
          <w:rFonts w:cs="Arial"/>
        </w:rPr>
        <w:t>Samuel C. Randazzo (Counsel of Record)</w:t>
      </w:r>
    </w:p>
    <w:p w:rsidR="003833E8" w:rsidRDefault="00EB160C">
      <w:pPr>
        <w:widowControl w:val="0"/>
        <w:tabs>
          <w:tab w:val="left" w:pos="4320"/>
        </w:tabs>
        <w:spacing w:line="240" w:lineRule="auto"/>
        <w:ind w:left="4320"/>
        <w:rPr>
          <w:rFonts w:cs="Arial"/>
          <w:bCs/>
          <w:lang w:val="de-DE"/>
        </w:rPr>
      </w:pPr>
      <w:r>
        <w:rPr>
          <w:rFonts w:cs="Arial"/>
          <w:bCs/>
          <w:lang w:val="de-DE"/>
        </w:rPr>
        <w:t>Scott E. Elisar</w:t>
      </w:r>
    </w:p>
    <w:p w:rsidR="003833E8" w:rsidRDefault="00EB160C">
      <w:pPr>
        <w:tabs>
          <w:tab w:val="left" w:pos="-1440"/>
          <w:tab w:val="left" w:pos="-720"/>
          <w:tab w:val="left" w:pos="4680"/>
          <w:tab w:val="left" w:pos="5040"/>
        </w:tabs>
        <w:spacing w:line="240" w:lineRule="auto"/>
        <w:ind w:firstLine="4320"/>
        <w:rPr>
          <w:rFonts w:cs="Arial"/>
        </w:rPr>
      </w:pPr>
      <w:r>
        <w:rPr>
          <w:rFonts w:cs="Arial"/>
        </w:rPr>
        <w:t>Frank P. Darr</w:t>
      </w:r>
    </w:p>
    <w:p w:rsidR="003833E8" w:rsidRDefault="00EB160C">
      <w:pPr>
        <w:tabs>
          <w:tab w:val="left" w:pos="-1440"/>
          <w:tab w:val="left" w:pos="-720"/>
          <w:tab w:val="left" w:pos="4680"/>
          <w:tab w:val="left" w:pos="5040"/>
        </w:tabs>
        <w:spacing w:line="240" w:lineRule="auto"/>
        <w:ind w:firstLine="4320"/>
        <w:rPr>
          <w:rFonts w:cs="Arial"/>
        </w:rPr>
      </w:pPr>
      <w:r>
        <w:rPr>
          <w:rFonts w:cs="Arial"/>
          <w:smallCaps/>
        </w:rPr>
        <w:t>McNees Wallace &amp; Nurick LLC</w:t>
      </w:r>
    </w:p>
    <w:p w:rsidR="003833E8" w:rsidRDefault="00EB160C">
      <w:pPr>
        <w:tabs>
          <w:tab w:val="left" w:pos="-1440"/>
          <w:tab w:val="left" w:pos="-720"/>
          <w:tab w:val="left" w:pos="4680"/>
          <w:tab w:val="left" w:pos="5040"/>
        </w:tabs>
        <w:spacing w:line="240" w:lineRule="auto"/>
        <w:ind w:firstLine="4320"/>
        <w:rPr>
          <w:rFonts w:cs="Arial"/>
        </w:rPr>
      </w:pPr>
      <w:r>
        <w:rPr>
          <w:rFonts w:cs="Arial"/>
        </w:rPr>
        <w:t>21 East State Street, 17</w:t>
      </w:r>
      <w:r>
        <w:rPr>
          <w:rFonts w:cs="Arial"/>
          <w:vertAlign w:val="superscript"/>
        </w:rPr>
        <w:t>th</w:t>
      </w:r>
      <w:r>
        <w:rPr>
          <w:rFonts w:cs="Arial"/>
        </w:rPr>
        <w:t xml:space="preserve"> Floor</w:t>
      </w:r>
    </w:p>
    <w:p w:rsidR="003833E8" w:rsidRDefault="00EB160C">
      <w:pPr>
        <w:tabs>
          <w:tab w:val="left" w:pos="-1440"/>
          <w:tab w:val="left" w:pos="-720"/>
          <w:tab w:val="left" w:pos="4680"/>
          <w:tab w:val="left" w:pos="5040"/>
        </w:tabs>
        <w:spacing w:line="240" w:lineRule="auto"/>
        <w:ind w:firstLine="4320"/>
        <w:rPr>
          <w:rFonts w:cs="Arial"/>
        </w:rPr>
      </w:pPr>
      <w:r>
        <w:rPr>
          <w:rFonts w:cs="Arial"/>
        </w:rPr>
        <w:t>Columbus, OH  43215-4228</w:t>
      </w:r>
    </w:p>
    <w:p w:rsidR="003833E8" w:rsidRDefault="00EB160C">
      <w:pPr>
        <w:tabs>
          <w:tab w:val="left" w:pos="-1440"/>
          <w:tab w:val="left" w:pos="-720"/>
          <w:tab w:val="left" w:pos="4680"/>
          <w:tab w:val="left" w:pos="5040"/>
        </w:tabs>
        <w:spacing w:line="240" w:lineRule="auto"/>
        <w:ind w:firstLine="4320"/>
        <w:rPr>
          <w:rFonts w:cs="Arial"/>
        </w:rPr>
      </w:pPr>
      <w:r>
        <w:rPr>
          <w:rFonts w:cs="Arial"/>
        </w:rPr>
        <w:t xml:space="preserve">Telephone:  </w:t>
      </w:r>
      <w:r>
        <w:rPr>
          <w:rFonts w:cs="Arial"/>
        </w:rPr>
        <w:t>(614) 469-8000</w:t>
      </w:r>
    </w:p>
    <w:p w:rsidR="003833E8" w:rsidRDefault="00EB160C">
      <w:pPr>
        <w:tabs>
          <w:tab w:val="left" w:pos="-1440"/>
          <w:tab w:val="left" w:pos="-720"/>
          <w:tab w:val="left" w:pos="4680"/>
          <w:tab w:val="left" w:pos="5040"/>
        </w:tabs>
        <w:spacing w:line="240" w:lineRule="auto"/>
        <w:ind w:firstLine="4320"/>
        <w:rPr>
          <w:rFonts w:cs="Arial"/>
        </w:rPr>
      </w:pPr>
      <w:r>
        <w:rPr>
          <w:rFonts w:cs="Arial"/>
        </w:rPr>
        <w:t>Telecopier:  (614) 469-4653</w:t>
      </w:r>
    </w:p>
    <w:p w:rsidR="003833E8" w:rsidRDefault="00EB160C">
      <w:pPr>
        <w:spacing w:line="240" w:lineRule="auto"/>
        <w:ind w:left="4320"/>
        <w:rPr>
          <w:rFonts w:cs="Arial"/>
          <w:color w:val="000000" w:themeColor="text1"/>
        </w:rPr>
      </w:pPr>
      <w:r>
        <w:rPr>
          <w:rFonts w:cs="Arial"/>
          <w:color w:val="000000" w:themeColor="text1"/>
        </w:rPr>
        <w:t xml:space="preserve">sam@mwncmh.com </w:t>
      </w:r>
    </w:p>
    <w:p w:rsidR="003833E8" w:rsidRDefault="00EB160C">
      <w:pPr>
        <w:spacing w:line="240" w:lineRule="auto"/>
        <w:ind w:left="4320"/>
        <w:rPr>
          <w:rFonts w:cs="Arial"/>
          <w:color w:val="000000" w:themeColor="text1"/>
        </w:rPr>
      </w:pPr>
      <w:r>
        <w:rPr>
          <w:rFonts w:cs="Arial"/>
          <w:color w:val="000000" w:themeColor="text1"/>
        </w:rPr>
        <w:t>selisar@mwncmh.com</w:t>
      </w:r>
    </w:p>
    <w:p w:rsidR="003833E8" w:rsidRDefault="00EB160C">
      <w:pPr>
        <w:spacing w:line="240" w:lineRule="auto"/>
        <w:ind w:left="4320"/>
        <w:rPr>
          <w:rFonts w:cs="Arial"/>
          <w:color w:val="000000" w:themeColor="text1"/>
        </w:rPr>
      </w:pPr>
      <w:r>
        <w:rPr>
          <w:rFonts w:cs="Arial"/>
          <w:color w:val="000000" w:themeColor="text1"/>
        </w:rPr>
        <w:t>fdarr@mwncmh.com</w:t>
      </w:r>
    </w:p>
    <w:p w:rsidR="003833E8" w:rsidRDefault="00EB160C">
      <w:pPr>
        <w:tabs>
          <w:tab w:val="left" w:pos="-1440"/>
          <w:tab w:val="left" w:pos="-720"/>
          <w:tab w:val="left" w:pos="4680"/>
          <w:tab w:val="left" w:pos="5040"/>
        </w:tabs>
        <w:spacing w:line="240" w:lineRule="auto"/>
        <w:rPr>
          <w:rFonts w:cs="Arial"/>
        </w:rPr>
      </w:pPr>
      <w:r>
        <w:rPr>
          <w:rFonts w:cs="Arial"/>
        </w:rPr>
        <w:tab/>
      </w:r>
    </w:p>
    <w:p w:rsidR="003833E8" w:rsidRDefault="00EB160C">
      <w:pPr>
        <w:tabs>
          <w:tab w:val="left" w:pos="-1440"/>
          <w:tab w:val="left" w:pos="-720"/>
          <w:tab w:val="left" w:pos="4320"/>
        </w:tabs>
        <w:spacing w:line="240" w:lineRule="auto"/>
        <w:ind w:left="4320" w:hanging="4320"/>
        <w:rPr>
          <w:rFonts w:cs="Arial"/>
          <w:b/>
        </w:rPr>
      </w:pPr>
      <w:r>
        <w:rPr>
          <w:rFonts w:cs="Arial"/>
        </w:rPr>
        <w:tab/>
      </w:r>
      <w:r>
        <w:rPr>
          <w:rFonts w:cs="Arial"/>
          <w:b/>
        </w:rPr>
        <w:t>Attorneys for ASHTA Chemicals Inc.</w:t>
      </w:r>
    </w:p>
    <w:p w:rsidR="003833E8" w:rsidRDefault="00EB160C">
      <w:pPr>
        <w:spacing w:after="120" w:line="240" w:lineRule="auto"/>
        <w:jc w:val="left"/>
        <w:rPr>
          <w:b/>
        </w:rPr>
      </w:pPr>
      <w:r>
        <w:rPr>
          <w:b/>
        </w:rPr>
        <w:br w:type="page"/>
      </w:r>
    </w:p>
    <w:p w:rsidR="003833E8" w:rsidRDefault="00EB160C">
      <w:pPr>
        <w:spacing w:line="240" w:lineRule="auto"/>
        <w:jc w:val="center"/>
        <w:rPr>
          <w:rFonts w:cs="Arial"/>
          <w:b/>
          <w:smallCaps/>
          <w:sz w:val="28"/>
        </w:rPr>
      </w:pPr>
      <w:r>
        <w:rPr>
          <w:rFonts w:cs="Arial"/>
          <w:b/>
          <w:smallCaps/>
          <w:sz w:val="28"/>
        </w:rPr>
        <w:lastRenderedPageBreak/>
        <w:t>Before</w:t>
      </w:r>
    </w:p>
    <w:p w:rsidR="003833E8" w:rsidRDefault="00EB160C">
      <w:pPr>
        <w:spacing w:line="240" w:lineRule="auto"/>
        <w:jc w:val="center"/>
        <w:rPr>
          <w:rFonts w:cs="Arial"/>
          <w:smallCaps/>
          <w:sz w:val="28"/>
        </w:rPr>
      </w:pPr>
      <w:r>
        <w:rPr>
          <w:rFonts w:cs="Arial"/>
          <w:b/>
          <w:smallCaps/>
          <w:sz w:val="28"/>
        </w:rPr>
        <w:t xml:space="preserve">The Public Utilities Commission of </w:t>
      </w:r>
      <w:smartTag w:uri="urn:schemas-microsoft-com:office:smarttags" w:element="place">
        <w:smartTag w:uri="urn:schemas-microsoft-com:office:smarttags" w:element="State">
          <w:r>
            <w:rPr>
              <w:rFonts w:cs="Arial"/>
              <w:b/>
              <w:smallCaps/>
              <w:sz w:val="28"/>
            </w:rPr>
            <w:t>Ohio</w:t>
          </w:r>
        </w:smartTag>
      </w:smartTag>
    </w:p>
    <w:p w:rsidR="003833E8" w:rsidRDefault="003833E8">
      <w:pPr>
        <w:spacing w:line="240" w:lineRule="auto"/>
        <w:jc w:val="left"/>
        <w:rPr>
          <w:rFonts w:cs="Arial"/>
        </w:rPr>
      </w:pPr>
    </w:p>
    <w:p w:rsidR="003833E8" w:rsidRDefault="00EB160C">
      <w:pPr>
        <w:spacing w:line="240" w:lineRule="auto"/>
        <w:jc w:val="left"/>
        <w:rPr>
          <w:rFonts w:cs="Arial"/>
        </w:rPr>
      </w:pPr>
      <w:r>
        <w:rPr>
          <w:rFonts w:cs="Arial"/>
        </w:rPr>
        <w:t xml:space="preserve">In the Matter of the Application for </w:t>
      </w:r>
      <w:r>
        <w:rPr>
          <w:rFonts w:cs="Arial"/>
        </w:rPr>
        <w:tab/>
        <w:t>)</w:t>
      </w:r>
    </w:p>
    <w:p w:rsidR="003833E8" w:rsidRDefault="00EB160C">
      <w:pPr>
        <w:spacing w:line="240" w:lineRule="auto"/>
        <w:jc w:val="left"/>
        <w:rPr>
          <w:rFonts w:cs="Arial"/>
        </w:rPr>
      </w:pPr>
      <w:r>
        <w:rPr>
          <w:rFonts w:cs="Arial"/>
        </w:rPr>
        <w:t xml:space="preserve">Establishment of a Reasonable </w:t>
      </w:r>
      <w:r>
        <w:rPr>
          <w:rFonts w:cs="Arial"/>
        </w:rPr>
        <w:tab/>
      </w:r>
      <w:r>
        <w:rPr>
          <w:rFonts w:cs="Arial"/>
        </w:rPr>
        <w:tab/>
        <w:t>)</w:t>
      </w:r>
      <w:r>
        <w:rPr>
          <w:rFonts w:cs="Arial"/>
        </w:rPr>
        <w:tab/>
        <w:t>Case No. 12-1494-EL-AEC</w:t>
      </w:r>
    </w:p>
    <w:p w:rsidR="003833E8" w:rsidRDefault="00EB160C">
      <w:pPr>
        <w:spacing w:line="240" w:lineRule="auto"/>
        <w:jc w:val="left"/>
        <w:rPr>
          <w:rFonts w:cs="Arial"/>
        </w:rPr>
      </w:pPr>
      <w:r>
        <w:rPr>
          <w:rFonts w:cs="Arial"/>
        </w:rPr>
        <w:t>Arrangement Between ASHTA</w:t>
      </w:r>
      <w:r>
        <w:rPr>
          <w:rFonts w:cs="Arial"/>
        </w:rPr>
        <w:tab/>
      </w:r>
      <w:r>
        <w:rPr>
          <w:rFonts w:cs="Arial"/>
        </w:rPr>
        <w:tab/>
        <w:t>)</w:t>
      </w:r>
    </w:p>
    <w:p w:rsidR="003833E8" w:rsidRDefault="00EB160C">
      <w:pPr>
        <w:spacing w:line="240" w:lineRule="auto"/>
        <w:jc w:val="left"/>
        <w:rPr>
          <w:rFonts w:cs="Arial"/>
        </w:rPr>
      </w:pPr>
      <w:r>
        <w:rPr>
          <w:rFonts w:cs="Arial"/>
        </w:rPr>
        <w:t xml:space="preserve">Chemicals Inc. and The Cleveland </w:t>
      </w:r>
      <w:r>
        <w:rPr>
          <w:rFonts w:cs="Arial"/>
        </w:rPr>
        <w:tab/>
        <w:t>)</w:t>
      </w:r>
    </w:p>
    <w:p w:rsidR="003833E8" w:rsidRDefault="00EB160C">
      <w:pPr>
        <w:spacing w:line="240" w:lineRule="auto"/>
        <w:jc w:val="left"/>
        <w:rPr>
          <w:rFonts w:cs="Arial"/>
        </w:rPr>
      </w:pPr>
      <w:r>
        <w:rPr>
          <w:rFonts w:cs="Arial"/>
        </w:rPr>
        <w:t>Electric Illuminating Company.</w:t>
      </w:r>
      <w:r>
        <w:rPr>
          <w:rFonts w:cs="Arial"/>
        </w:rPr>
        <w:tab/>
      </w:r>
      <w:r>
        <w:rPr>
          <w:rFonts w:cs="Arial"/>
        </w:rPr>
        <w:tab/>
        <w:t>)</w:t>
      </w:r>
    </w:p>
    <w:p w:rsidR="003833E8" w:rsidRDefault="003833E8">
      <w:pPr>
        <w:spacing w:line="240" w:lineRule="auto"/>
        <w:rPr>
          <w:rFonts w:cs="Arial"/>
        </w:rPr>
      </w:pPr>
    </w:p>
    <w:p w:rsidR="003833E8" w:rsidRDefault="003833E8">
      <w:pPr>
        <w:pBdr>
          <w:top w:val="single" w:sz="12" w:space="1" w:color="auto"/>
        </w:pBdr>
        <w:tabs>
          <w:tab w:val="left" w:pos="7320"/>
        </w:tabs>
        <w:spacing w:line="240" w:lineRule="auto"/>
        <w:rPr>
          <w:rFonts w:cs="Arial"/>
        </w:rPr>
      </w:pPr>
    </w:p>
    <w:p w:rsidR="003833E8" w:rsidRDefault="00EB160C">
      <w:pPr>
        <w:spacing w:line="240" w:lineRule="auto"/>
        <w:jc w:val="center"/>
        <w:rPr>
          <w:b/>
        </w:rPr>
      </w:pPr>
      <w:r>
        <w:rPr>
          <w:b/>
        </w:rPr>
        <w:t>MEMORANDUM IN SUPPORT</w:t>
      </w:r>
    </w:p>
    <w:p w:rsidR="003833E8" w:rsidRDefault="003833E8">
      <w:pPr>
        <w:pBdr>
          <w:bottom w:val="single" w:sz="12" w:space="1" w:color="auto"/>
        </w:pBdr>
        <w:tabs>
          <w:tab w:val="left" w:pos="7320"/>
        </w:tabs>
        <w:spacing w:line="240" w:lineRule="auto"/>
        <w:jc w:val="center"/>
        <w:rPr>
          <w:rFonts w:cs="Arial"/>
        </w:rPr>
      </w:pPr>
    </w:p>
    <w:p w:rsidR="003833E8" w:rsidRDefault="00EB160C">
      <w:pPr>
        <w:widowControl w:val="0"/>
        <w:spacing w:before="480"/>
        <w:ind w:firstLine="720"/>
        <w:rPr>
          <w:szCs w:val="20"/>
        </w:rPr>
      </w:pPr>
      <w:r>
        <w:rPr>
          <w:rFonts w:cs="Arial"/>
          <w:szCs w:val="20"/>
        </w:rPr>
        <w:t>By this motion, ASHTA requests that the Commission extend the protective order regarding the confidential</w:t>
      </w:r>
      <w:r>
        <w:rPr>
          <w:rFonts w:cs="Arial"/>
          <w:szCs w:val="20"/>
        </w:rPr>
        <w:t xml:space="preserve"> information contained in the direct testimony of Richard L. Jackson and Kevin M. Murray, which ASHTA filed under seal with the Commission on August 20, 2012</w:t>
      </w:r>
      <w:r>
        <w:rPr>
          <w:rFonts w:cs="Arial"/>
          <w:szCs w:val="20"/>
        </w:rPr>
        <w:t xml:space="preserve"> and which was not voluntarily publicly disclosed on December 10, 2013 in the Amended Public Version of Joint Stipulation and Recommendation</w:t>
      </w:r>
      <w:r>
        <w:rPr>
          <w:rFonts w:cs="Arial"/>
          <w:szCs w:val="20"/>
        </w:rPr>
        <w:t>.</w:t>
      </w:r>
      <w:r>
        <w:rPr>
          <w:rFonts w:cs="Arial"/>
          <w:szCs w:val="20"/>
          <w:vertAlign w:val="superscript"/>
        </w:rPr>
        <w:footnoteReference w:id="2"/>
      </w:r>
      <w:r>
        <w:rPr>
          <w:rFonts w:cs="Arial"/>
          <w:szCs w:val="20"/>
        </w:rPr>
        <w:t xml:space="preserve">  </w:t>
      </w:r>
    </w:p>
    <w:p w:rsidR="003833E8" w:rsidRDefault="00EB160C">
      <w:pPr>
        <w:widowControl w:val="0"/>
        <w:ind w:firstLine="720"/>
        <w:rPr>
          <w:szCs w:val="20"/>
        </w:rPr>
      </w:pPr>
      <w:r>
        <w:rPr>
          <w:szCs w:val="20"/>
        </w:rPr>
        <w:t xml:space="preserve">State law recognizes the need to protect information that is confidential in nature.  </w:t>
      </w:r>
      <w:r>
        <w:rPr>
          <w:rFonts w:cs="Arial"/>
        </w:rPr>
        <w:t xml:space="preserve">Accordingly, the General </w:t>
      </w:r>
      <w:r>
        <w:rPr>
          <w:rFonts w:cs="Arial"/>
        </w:rPr>
        <w:t>Assembly granted the Commission statutory authority to exempt certain documents from disclosure.</w:t>
      </w:r>
      <w:r>
        <w:rPr>
          <w:rFonts w:cs="Arial"/>
          <w:vertAlign w:val="superscript"/>
        </w:rPr>
        <w:footnoteReference w:id="3"/>
      </w:r>
      <w:r>
        <w:rPr>
          <w:rFonts w:cs="Arial"/>
        </w:rPr>
        <w:t xml:space="preserve">  Pursuant to this statutory grant of authority, the Commission promulgated Rule 4901-1-24, O.A.C.  </w:t>
      </w:r>
      <w:r>
        <w:rPr>
          <w:szCs w:val="20"/>
        </w:rPr>
        <w:t xml:space="preserve">Rule 4901-1-24(D), O.A.C., provides for the issuance of an </w:t>
      </w:r>
      <w:r>
        <w:rPr>
          <w:szCs w:val="20"/>
        </w:rPr>
        <w:t>order that is necessary to protect the confidentiality of information contained in documents filed at the Commission to the extent that state and federal law prohibit the release of such information and where non-disclosure of the information is not incons</w:t>
      </w:r>
      <w:r>
        <w:rPr>
          <w:szCs w:val="20"/>
        </w:rPr>
        <w:t xml:space="preserve">istent with the purposes of Title 49 of the Revised Code.  </w:t>
      </w:r>
    </w:p>
    <w:p w:rsidR="003833E8" w:rsidRDefault="00EB160C">
      <w:pPr>
        <w:widowControl w:val="0"/>
        <w:ind w:firstLine="720"/>
        <w:rPr>
          <w:szCs w:val="20"/>
        </w:rPr>
      </w:pPr>
      <w:r>
        <w:rPr>
          <w:szCs w:val="20"/>
        </w:rPr>
        <w:lastRenderedPageBreak/>
        <w:t>Trade secrets protected by state law are not considered public records and are therefore exempt from public disclosure.</w:t>
      </w:r>
      <w:r>
        <w:rPr>
          <w:szCs w:val="20"/>
          <w:vertAlign w:val="superscript"/>
        </w:rPr>
        <w:footnoteReference w:id="4"/>
      </w:r>
      <w:r>
        <w:rPr>
          <w:szCs w:val="20"/>
        </w:rPr>
        <w:t xml:space="preserve">  A trade secret is defined by Section 1333.61(D), Revised Code, as follows:</w:t>
      </w:r>
    </w:p>
    <w:p w:rsidR="003833E8" w:rsidRDefault="00EB160C">
      <w:pPr>
        <w:widowControl w:val="0"/>
        <w:spacing w:line="240" w:lineRule="auto"/>
        <w:ind w:left="720" w:right="720"/>
        <w:rPr>
          <w:szCs w:val="20"/>
        </w:rPr>
      </w:pPr>
      <w:r>
        <w:rPr>
          <w:szCs w:val="20"/>
        </w:rPr>
        <w:t xml:space="preserve">"Trade secret" means information, including the whole or any portion or phase of any scientific or technical information, design, process, procedure, formula, pattern, compilation, program, device, method, technique, or improvement, or any </w:t>
      </w:r>
      <w:r>
        <w:rPr>
          <w:b/>
          <w:i/>
          <w:szCs w:val="20"/>
          <w:u w:val="single"/>
        </w:rPr>
        <w:t>business inform</w:t>
      </w:r>
      <w:r>
        <w:rPr>
          <w:b/>
          <w:i/>
          <w:szCs w:val="20"/>
          <w:u w:val="single"/>
        </w:rPr>
        <w:t>ation or plans</w:t>
      </w:r>
      <w:r>
        <w:rPr>
          <w:i/>
          <w:szCs w:val="20"/>
          <w:u w:val="single"/>
        </w:rPr>
        <w:t xml:space="preserve">, </w:t>
      </w:r>
      <w:r>
        <w:rPr>
          <w:b/>
          <w:bCs/>
          <w:i/>
          <w:szCs w:val="20"/>
          <w:u w:val="single"/>
        </w:rPr>
        <w:t>financial</w:t>
      </w:r>
      <w:r>
        <w:rPr>
          <w:i/>
          <w:szCs w:val="20"/>
          <w:u w:val="single"/>
        </w:rPr>
        <w:t xml:space="preserve"> </w:t>
      </w:r>
      <w:r>
        <w:rPr>
          <w:b/>
          <w:bCs/>
          <w:i/>
          <w:szCs w:val="20"/>
          <w:u w:val="single"/>
        </w:rPr>
        <w:t>information</w:t>
      </w:r>
      <w:r>
        <w:rPr>
          <w:szCs w:val="20"/>
        </w:rPr>
        <w:t>, or listing of names, addresses, or telephone numbers, that satisfies both of the following:</w:t>
      </w:r>
    </w:p>
    <w:p w:rsidR="003833E8" w:rsidRDefault="003833E8">
      <w:pPr>
        <w:widowControl w:val="0"/>
        <w:spacing w:line="240" w:lineRule="auto"/>
        <w:ind w:left="720" w:right="720"/>
        <w:rPr>
          <w:szCs w:val="20"/>
        </w:rPr>
      </w:pPr>
    </w:p>
    <w:p w:rsidR="003833E8" w:rsidRDefault="00EB160C">
      <w:pPr>
        <w:widowControl w:val="0"/>
        <w:spacing w:line="240" w:lineRule="auto"/>
        <w:ind w:left="720" w:right="720"/>
        <w:rPr>
          <w:szCs w:val="20"/>
        </w:rPr>
      </w:pPr>
      <w:r>
        <w:rPr>
          <w:szCs w:val="20"/>
        </w:rPr>
        <w:t>(1) It derives independent economic value, actual or potential, from not being generally known to, and not being readily asc</w:t>
      </w:r>
      <w:r>
        <w:rPr>
          <w:szCs w:val="20"/>
        </w:rPr>
        <w:t>ertainable by proper means by, other persons who can obtain economic value from its disclosure or use.</w:t>
      </w:r>
    </w:p>
    <w:p w:rsidR="003833E8" w:rsidRDefault="003833E8">
      <w:pPr>
        <w:widowControl w:val="0"/>
        <w:spacing w:line="240" w:lineRule="auto"/>
        <w:ind w:left="720" w:right="720"/>
        <w:rPr>
          <w:szCs w:val="20"/>
        </w:rPr>
      </w:pPr>
    </w:p>
    <w:p w:rsidR="003833E8" w:rsidRDefault="00EB160C">
      <w:pPr>
        <w:spacing w:line="240" w:lineRule="auto"/>
        <w:ind w:left="720" w:right="720"/>
        <w:rPr>
          <w:szCs w:val="20"/>
        </w:rPr>
      </w:pPr>
      <w:r>
        <w:rPr>
          <w:szCs w:val="20"/>
        </w:rPr>
        <w:t>(2) It is the subject of efforts that are reasonable under the circumstances to maintain its secrecy.</w:t>
      </w:r>
    </w:p>
    <w:p w:rsidR="003833E8" w:rsidRDefault="003833E8">
      <w:pPr>
        <w:widowControl w:val="0"/>
        <w:spacing w:line="240" w:lineRule="auto"/>
        <w:ind w:right="720"/>
        <w:rPr>
          <w:szCs w:val="20"/>
        </w:rPr>
      </w:pPr>
    </w:p>
    <w:p w:rsidR="003833E8" w:rsidRDefault="00EB160C">
      <w:pPr>
        <w:widowControl w:val="0"/>
        <w:ind w:right="720"/>
        <w:rPr>
          <w:szCs w:val="20"/>
        </w:rPr>
      </w:pPr>
      <w:r>
        <w:rPr>
          <w:szCs w:val="20"/>
        </w:rPr>
        <w:t>Section 1333.61(D), Revised Code (emphasis added)</w:t>
      </w:r>
      <w:r>
        <w:rPr>
          <w:szCs w:val="20"/>
        </w:rPr>
        <w:t>.</w:t>
      </w:r>
    </w:p>
    <w:p w:rsidR="003833E8" w:rsidRDefault="00EB160C">
      <w:pPr>
        <w:widowControl w:val="0"/>
        <w:ind w:firstLine="720"/>
        <w:rPr>
          <w:rFonts w:cs="Arial"/>
          <w:szCs w:val="20"/>
        </w:rPr>
      </w:pPr>
      <w:r>
        <w:rPr>
          <w:szCs w:val="20"/>
        </w:rPr>
        <w:t>In its November 5, 2012 Entry in this matter, the Commission found that the confidential information contained within the direct testimony of Richard L. Jackson and Kevin M. Murray that was filed under seal in this matter on August 20, 2012 constituted a</w:t>
      </w:r>
      <w:r>
        <w:rPr>
          <w:szCs w:val="20"/>
        </w:rPr>
        <w:t xml:space="preserve"> trade secret and therefore the release of this information was prohibited as a matter of law.</w:t>
      </w:r>
      <w:r>
        <w:rPr>
          <w:szCs w:val="20"/>
          <w:vertAlign w:val="superscript"/>
        </w:rPr>
        <w:footnoteReference w:id="5"/>
      </w:r>
      <w:r>
        <w:rPr>
          <w:szCs w:val="20"/>
        </w:rPr>
        <w:t xml:space="preserve">  This information remains competitively sensitive and highly proprietary business and financial information that continues to fall within the definition of a tr</w:t>
      </w:r>
      <w:r>
        <w:rPr>
          <w:szCs w:val="20"/>
        </w:rPr>
        <w:t>ade secret.  Public disclosure of the information would jeopardize ASHTA’s business position and its ability to compete.  Non-disclosure of the information will not impair the purposes of Title 49 of the Revised Code as the Commission and its Staff will co</w:t>
      </w:r>
      <w:r>
        <w:rPr>
          <w:szCs w:val="20"/>
        </w:rPr>
        <w:t>ntinue to have full access to the confidential information</w:t>
      </w:r>
      <w:r>
        <w:rPr>
          <w:rFonts w:cs="Arial"/>
          <w:szCs w:val="20"/>
        </w:rPr>
        <w:t>.  Because ASHTA’s information continues to constitute a trade secret, it should retain its protected status.</w:t>
      </w:r>
    </w:p>
    <w:p w:rsidR="003833E8" w:rsidRDefault="00EB160C" w:rsidP="00A4305A">
      <w:pPr>
        <w:ind w:firstLine="720"/>
        <w:rPr>
          <w:rFonts w:cs="Arial"/>
        </w:rPr>
      </w:pPr>
      <w:r>
        <w:rPr>
          <w:rFonts w:cs="Arial"/>
        </w:rPr>
        <w:lastRenderedPageBreak/>
        <w:t>ASHTA respectfully requests that this Motion for an Extension of the Protective Order be</w:t>
      </w:r>
      <w:r>
        <w:rPr>
          <w:rFonts w:cs="Arial"/>
        </w:rPr>
        <w:t xml:space="preserve"> granted for the reasons set forth herein.</w:t>
      </w:r>
    </w:p>
    <w:p w:rsidR="003833E8" w:rsidRDefault="00EB160C">
      <w:pPr>
        <w:spacing w:line="240" w:lineRule="auto"/>
        <w:ind w:left="4320"/>
        <w:jc w:val="left"/>
        <w:rPr>
          <w:rFonts w:cs="Arial"/>
        </w:rPr>
      </w:pPr>
      <w:r>
        <w:rPr>
          <w:rFonts w:cs="Arial"/>
        </w:rPr>
        <w:t>Respectfully submitted,</w:t>
      </w:r>
    </w:p>
    <w:p w:rsidR="003833E8" w:rsidRDefault="003833E8">
      <w:pPr>
        <w:spacing w:line="240" w:lineRule="auto"/>
        <w:ind w:left="4320"/>
        <w:jc w:val="left"/>
        <w:rPr>
          <w:rFonts w:cs="Arial"/>
        </w:rPr>
      </w:pPr>
    </w:p>
    <w:p w:rsidR="003833E8" w:rsidRDefault="003833E8">
      <w:pPr>
        <w:spacing w:line="240" w:lineRule="auto"/>
        <w:ind w:left="4320"/>
        <w:jc w:val="left"/>
        <w:rPr>
          <w:rFonts w:cs="Arial"/>
        </w:rPr>
      </w:pPr>
    </w:p>
    <w:p w:rsidR="003833E8" w:rsidRDefault="007C07A0">
      <w:pPr>
        <w:tabs>
          <w:tab w:val="left" w:pos="4320"/>
          <w:tab w:val="right" w:pos="8640"/>
        </w:tabs>
        <w:spacing w:line="240" w:lineRule="auto"/>
        <w:ind w:left="4320"/>
        <w:rPr>
          <w:rFonts w:cs="Arial"/>
        </w:rPr>
      </w:pPr>
      <w:r>
        <w:rPr>
          <w:rFonts w:cs="Arial"/>
          <w:u w:val="single"/>
        </w:rPr>
        <w:t>/s/ Scott E. Elisar</w:t>
      </w:r>
      <w:r w:rsidR="00EB160C">
        <w:rPr>
          <w:rFonts w:cs="Arial"/>
          <w:u w:val="single"/>
        </w:rPr>
        <w:tab/>
      </w:r>
    </w:p>
    <w:p w:rsidR="003833E8" w:rsidRDefault="00EB160C">
      <w:pPr>
        <w:tabs>
          <w:tab w:val="left" w:pos="4320"/>
          <w:tab w:val="right" w:pos="8640"/>
        </w:tabs>
        <w:spacing w:line="240" w:lineRule="auto"/>
        <w:ind w:left="4320"/>
        <w:rPr>
          <w:rFonts w:cs="Arial"/>
        </w:rPr>
      </w:pPr>
      <w:r>
        <w:rPr>
          <w:rFonts w:cs="Arial"/>
        </w:rPr>
        <w:t>Samuel C. Randazzo (Counsel of Record)</w:t>
      </w:r>
    </w:p>
    <w:p w:rsidR="003833E8" w:rsidRDefault="00EB160C">
      <w:pPr>
        <w:widowControl w:val="0"/>
        <w:tabs>
          <w:tab w:val="left" w:pos="4320"/>
        </w:tabs>
        <w:spacing w:line="240" w:lineRule="auto"/>
        <w:ind w:left="4320"/>
        <w:rPr>
          <w:rFonts w:cs="Arial"/>
          <w:bCs/>
          <w:lang w:val="de-DE"/>
        </w:rPr>
      </w:pPr>
      <w:r>
        <w:rPr>
          <w:rFonts w:cs="Arial"/>
          <w:bCs/>
          <w:lang w:val="de-DE"/>
        </w:rPr>
        <w:t>Scott E. Elisar</w:t>
      </w:r>
    </w:p>
    <w:p w:rsidR="003833E8" w:rsidRDefault="00EB160C">
      <w:pPr>
        <w:widowControl w:val="0"/>
        <w:tabs>
          <w:tab w:val="left" w:pos="4320"/>
        </w:tabs>
        <w:spacing w:line="240" w:lineRule="auto"/>
        <w:ind w:left="4320"/>
        <w:rPr>
          <w:rFonts w:cs="Arial"/>
          <w:bCs/>
          <w:lang w:val="de-DE"/>
        </w:rPr>
      </w:pPr>
      <w:r>
        <w:rPr>
          <w:rFonts w:cs="Arial"/>
          <w:bCs/>
          <w:lang w:val="de-DE"/>
        </w:rPr>
        <w:t>Frank P. Darr</w:t>
      </w:r>
    </w:p>
    <w:p w:rsidR="003833E8" w:rsidRDefault="00EB160C">
      <w:pPr>
        <w:tabs>
          <w:tab w:val="left" w:pos="-1440"/>
          <w:tab w:val="left" w:pos="-720"/>
          <w:tab w:val="left" w:pos="4680"/>
          <w:tab w:val="left" w:pos="5040"/>
        </w:tabs>
        <w:spacing w:line="240" w:lineRule="auto"/>
        <w:ind w:firstLine="4320"/>
        <w:rPr>
          <w:rFonts w:cs="Arial"/>
        </w:rPr>
      </w:pPr>
      <w:r>
        <w:rPr>
          <w:rFonts w:cs="Arial"/>
          <w:smallCaps/>
        </w:rPr>
        <w:t>McNees Wallace &amp; Nurick LLC</w:t>
      </w:r>
    </w:p>
    <w:p w:rsidR="003833E8" w:rsidRDefault="00EB160C">
      <w:pPr>
        <w:tabs>
          <w:tab w:val="left" w:pos="-1440"/>
          <w:tab w:val="left" w:pos="-720"/>
          <w:tab w:val="left" w:pos="4680"/>
          <w:tab w:val="left" w:pos="5040"/>
        </w:tabs>
        <w:spacing w:line="240" w:lineRule="auto"/>
        <w:ind w:firstLine="4320"/>
        <w:rPr>
          <w:rFonts w:cs="Arial"/>
        </w:rPr>
      </w:pPr>
      <w:r>
        <w:rPr>
          <w:rFonts w:cs="Arial"/>
        </w:rPr>
        <w:t>21 East State Street, 17</w:t>
      </w:r>
      <w:r>
        <w:rPr>
          <w:rFonts w:cs="Arial"/>
          <w:vertAlign w:val="superscript"/>
        </w:rPr>
        <w:t>th</w:t>
      </w:r>
      <w:r>
        <w:rPr>
          <w:rFonts w:cs="Arial"/>
        </w:rPr>
        <w:t xml:space="preserve"> Floor</w:t>
      </w:r>
    </w:p>
    <w:p w:rsidR="003833E8" w:rsidRDefault="00EB160C">
      <w:pPr>
        <w:tabs>
          <w:tab w:val="left" w:pos="-1440"/>
          <w:tab w:val="left" w:pos="-720"/>
          <w:tab w:val="left" w:pos="4680"/>
          <w:tab w:val="left" w:pos="5040"/>
        </w:tabs>
        <w:spacing w:line="240" w:lineRule="auto"/>
        <w:ind w:firstLine="4320"/>
        <w:rPr>
          <w:rFonts w:cs="Arial"/>
        </w:rPr>
      </w:pPr>
      <w:r>
        <w:rPr>
          <w:rFonts w:cs="Arial"/>
        </w:rPr>
        <w:t>Columbus, OH  43215-4228</w:t>
      </w:r>
    </w:p>
    <w:p w:rsidR="003833E8" w:rsidRDefault="00EB160C">
      <w:pPr>
        <w:tabs>
          <w:tab w:val="left" w:pos="-1440"/>
          <w:tab w:val="left" w:pos="-720"/>
          <w:tab w:val="left" w:pos="4680"/>
          <w:tab w:val="left" w:pos="5040"/>
        </w:tabs>
        <w:spacing w:line="240" w:lineRule="auto"/>
        <w:ind w:firstLine="4320"/>
        <w:rPr>
          <w:rFonts w:cs="Arial"/>
        </w:rPr>
      </w:pPr>
      <w:r>
        <w:rPr>
          <w:rFonts w:cs="Arial"/>
        </w:rPr>
        <w:t xml:space="preserve">Telephone: </w:t>
      </w:r>
      <w:r>
        <w:rPr>
          <w:rFonts w:cs="Arial"/>
        </w:rPr>
        <w:t xml:space="preserve"> (614) 469-8000</w:t>
      </w:r>
    </w:p>
    <w:p w:rsidR="003833E8" w:rsidRDefault="00EB160C">
      <w:pPr>
        <w:tabs>
          <w:tab w:val="left" w:pos="-1440"/>
          <w:tab w:val="left" w:pos="-720"/>
          <w:tab w:val="left" w:pos="4680"/>
          <w:tab w:val="left" w:pos="5040"/>
        </w:tabs>
        <w:spacing w:line="240" w:lineRule="auto"/>
        <w:ind w:firstLine="4320"/>
        <w:rPr>
          <w:rFonts w:cs="Arial"/>
        </w:rPr>
      </w:pPr>
      <w:r>
        <w:rPr>
          <w:rFonts w:cs="Arial"/>
        </w:rPr>
        <w:t>Telecopier:  (614) 469-4653</w:t>
      </w:r>
    </w:p>
    <w:p w:rsidR="003833E8" w:rsidRDefault="00EB160C">
      <w:pPr>
        <w:spacing w:line="240" w:lineRule="auto"/>
        <w:ind w:left="4320"/>
        <w:rPr>
          <w:rFonts w:cs="Arial"/>
        </w:rPr>
      </w:pPr>
      <w:r>
        <w:rPr>
          <w:rFonts w:cs="Arial"/>
        </w:rPr>
        <w:t xml:space="preserve">sam@mwncmh.com </w:t>
      </w:r>
    </w:p>
    <w:p w:rsidR="003833E8" w:rsidRDefault="00EB160C">
      <w:pPr>
        <w:spacing w:line="240" w:lineRule="auto"/>
        <w:ind w:left="4320"/>
        <w:rPr>
          <w:rFonts w:cs="Arial"/>
        </w:rPr>
      </w:pPr>
      <w:r>
        <w:rPr>
          <w:rFonts w:cs="Arial"/>
        </w:rPr>
        <w:t>selisar@mwncmh.com</w:t>
      </w:r>
    </w:p>
    <w:p w:rsidR="003833E8" w:rsidRDefault="00EB160C">
      <w:pPr>
        <w:spacing w:line="240" w:lineRule="auto"/>
        <w:ind w:left="4320"/>
        <w:rPr>
          <w:rFonts w:cs="Arial"/>
        </w:rPr>
      </w:pPr>
      <w:r>
        <w:rPr>
          <w:rFonts w:cs="Arial"/>
        </w:rPr>
        <w:t>fdarr@mwncmh.com</w:t>
      </w:r>
    </w:p>
    <w:p w:rsidR="003833E8" w:rsidRDefault="003833E8">
      <w:pPr>
        <w:tabs>
          <w:tab w:val="left" w:pos="-1440"/>
          <w:tab w:val="left" w:pos="-720"/>
          <w:tab w:val="left" w:pos="4680"/>
          <w:tab w:val="left" w:pos="5040"/>
        </w:tabs>
        <w:spacing w:line="240" w:lineRule="auto"/>
        <w:rPr>
          <w:rFonts w:cs="Arial"/>
        </w:rPr>
      </w:pPr>
    </w:p>
    <w:p w:rsidR="003833E8" w:rsidRDefault="00EB160C">
      <w:pPr>
        <w:tabs>
          <w:tab w:val="left" w:pos="-1440"/>
          <w:tab w:val="left" w:pos="-720"/>
          <w:tab w:val="left" w:pos="4320"/>
        </w:tabs>
        <w:spacing w:line="240" w:lineRule="auto"/>
        <w:ind w:left="4320" w:hanging="4320"/>
        <w:rPr>
          <w:rFonts w:cs="Arial"/>
          <w:b/>
        </w:rPr>
      </w:pPr>
      <w:r>
        <w:rPr>
          <w:rFonts w:cs="Arial"/>
        </w:rPr>
        <w:tab/>
      </w:r>
      <w:r>
        <w:rPr>
          <w:rFonts w:cs="Arial"/>
          <w:b/>
        </w:rPr>
        <w:t>Attorneys for ASHTA Chemicals Inc.</w:t>
      </w:r>
    </w:p>
    <w:p w:rsidR="003833E8" w:rsidRDefault="003833E8">
      <w:pPr>
        <w:tabs>
          <w:tab w:val="left" w:pos="-1440"/>
          <w:tab w:val="left" w:pos="-720"/>
          <w:tab w:val="left" w:pos="4320"/>
        </w:tabs>
        <w:spacing w:line="240" w:lineRule="auto"/>
        <w:ind w:left="4320" w:hanging="4320"/>
        <w:rPr>
          <w:rFonts w:cs="Arial"/>
          <w:b/>
        </w:rPr>
      </w:pPr>
    </w:p>
    <w:p w:rsidR="003833E8" w:rsidRDefault="003833E8">
      <w:pPr>
        <w:spacing w:after="120" w:line="240" w:lineRule="auto"/>
        <w:jc w:val="left"/>
        <w:rPr>
          <w:rFonts w:cs="Arial"/>
        </w:rPr>
        <w:sectPr w:rsidR="003833E8">
          <w:pgSz w:w="12240" w:h="15840"/>
          <w:pgMar w:top="1440" w:right="1440" w:bottom="1008" w:left="1440" w:header="720" w:footer="720" w:gutter="0"/>
          <w:pgNumType w:start="1"/>
          <w:cols w:space="720"/>
          <w:noEndnote/>
          <w:titlePg/>
          <w:docGrid w:linePitch="78"/>
        </w:sectPr>
      </w:pPr>
    </w:p>
    <w:p w:rsidR="003833E8" w:rsidRDefault="00EB160C">
      <w:pPr>
        <w:tabs>
          <w:tab w:val="center" w:pos="4680"/>
        </w:tabs>
        <w:spacing w:line="240" w:lineRule="auto"/>
        <w:jc w:val="center"/>
        <w:rPr>
          <w:rFonts w:ascii="Arial Bold" w:hAnsi="Arial Bold"/>
          <w:b/>
          <w:caps/>
          <w:u w:val="single"/>
        </w:rPr>
      </w:pPr>
      <w:bookmarkStart w:id="1" w:name="_Toc381606702"/>
      <w:bookmarkStart w:id="2" w:name="_Toc385406742"/>
      <w:r>
        <w:rPr>
          <w:rFonts w:ascii="Arial Bold" w:hAnsi="Arial Bold"/>
          <w:b/>
          <w:caps/>
          <w:u w:val="single"/>
        </w:rPr>
        <w:lastRenderedPageBreak/>
        <w:t>Certificate of Service</w:t>
      </w:r>
    </w:p>
    <w:p w:rsidR="003833E8" w:rsidRDefault="003833E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rPr>
          <w:rFonts w:ascii="Arial Bold" w:hAnsi="Arial Bold"/>
          <w:caps/>
          <w:sz w:val="28"/>
          <w:szCs w:val="20"/>
        </w:rPr>
      </w:pPr>
    </w:p>
    <w:p w:rsidR="003833E8" w:rsidRDefault="00EB160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2" w:firstLine="720"/>
        <w:rPr>
          <w:szCs w:val="20"/>
        </w:rPr>
      </w:pPr>
      <w:r>
        <w:rPr>
          <w:szCs w:val="20"/>
        </w:rPr>
        <w:t xml:space="preserve">I hereby certify that a copy of the foregoing </w:t>
      </w:r>
      <w:r>
        <w:rPr>
          <w:i/>
          <w:szCs w:val="20"/>
        </w:rPr>
        <w:t>ASHTA Chemical</w:t>
      </w:r>
      <w:r w:rsidR="007C07A0">
        <w:rPr>
          <w:i/>
          <w:szCs w:val="20"/>
        </w:rPr>
        <w:t>s</w:t>
      </w:r>
      <w:r>
        <w:rPr>
          <w:i/>
          <w:szCs w:val="20"/>
        </w:rPr>
        <w:t xml:space="preserve"> Inc.’s Motion to </w:t>
      </w:r>
      <w:r>
        <w:rPr>
          <w:i/>
          <w:szCs w:val="20"/>
        </w:rPr>
        <w:t>Extend Protective Order and Memorandum in Support</w:t>
      </w:r>
      <w:r>
        <w:rPr>
          <w:szCs w:val="20"/>
        </w:rPr>
        <w:t xml:space="preserve"> was served upon the following parties of record this 20th day of March, 2014, </w:t>
      </w:r>
      <w:r>
        <w:rPr>
          <w:i/>
          <w:szCs w:val="20"/>
        </w:rPr>
        <w:t>via</w:t>
      </w:r>
      <w:r>
        <w:rPr>
          <w:szCs w:val="20"/>
        </w:rPr>
        <w:t xml:space="preserve"> electronic transmission, hand-delivery, or ordinary U.S. mail, postage prepaid.</w:t>
      </w:r>
    </w:p>
    <w:p w:rsidR="003833E8" w:rsidRDefault="003833E8">
      <w:pPr>
        <w:tabs>
          <w:tab w:val="left" w:pos="-1440"/>
          <w:tab w:val="left" w:pos="-720"/>
          <w:tab w:val="left" w:pos="5040"/>
          <w:tab w:val="center" w:pos="7200"/>
        </w:tabs>
        <w:spacing w:line="240" w:lineRule="auto"/>
        <w:rPr>
          <w:szCs w:val="20"/>
        </w:rPr>
      </w:pPr>
    </w:p>
    <w:p w:rsidR="003833E8" w:rsidRDefault="007C07A0">
      <w:pPr>
        <w:tabs>
          <w:tab w:val="right" w:pos="8640"/>
        </w:tabs>
        <w:autoSpaceDE w:val="0"/>
        <w:autoSpaceDN w:val="0"/>
        <w:adjustRightInd w:val="0"/>
        <w:spacing w:line="240" w:lineRule="auto"/>
        <w:ind w:left="4320"/>
        <w:rPr>
          <w:szCs w:val="20"/>
          <w:u w:val="single"/>
        </w:rPr>
      </w:pPr>
      <w:r>
        <w:rPr>
          <w:szCs w:val="20"/>
          <w:u w:val="single"/>
        </w:rPr>
        <w:t>/s/ Scott E. Elisar</w:t>
      </w:r>
      <w:r w:rsidR="00EB160C">
        <w:rPr>
          <w:szCs w:val="20"/>
          <w:u w:val="single"/>
        </w:rPr>
        <w:tab/>
      </w:r>
    </w:p>
    <w:p w:rsidR="003833E8" w:rsidRDefault="007C07A0">
      <w:pPr>
        <w:tabs>
          <w:tab w:val="left" w:pos="-1440"/>
          <w:tab w:val="left" w:pos="-720"/>
          <w:tab w:val="left" w:pos="4320"/>
          <w:tab w:val="center" w:pos="6480"/>
          <w:tab w:val="right" w:pos="8640"/>
        </w:tabs>
        <w:spacing w:line="240" w:lineRule="auto"/>
        <w:rPr>
          <w:szCs w:val="20"/>
        </w:rPr>
      </w:pPr>
      <w:r>
        <w:rPr>
          <w:szCs w:val="20"/>
        </w:rPr>
        <w:tab/>
      </w:r>
      <w:r>
        <w:rPr>
          <w:szCs w:val="20"/>
        </w:rPr>
        <w:tab/>
        <w:t>Scott E. Elisar</w:t>
      </w:r>
    </w:p>
    <w:p w:rsidR="003833E8" w:rsidRDefault="003833E8">
      <w:pPr>
        <w:tabs>
          <w:tab w:val="left" w:pos="-1440"/>
          <w:tab w:val="left" w:pos="-720"/>
          <w:tab w:val="left" w:pos="4320"/>
          <w:tab w:val="center" w:pos="6480"/>
          <w:tab w:val="right" w:pos="8640"/>
        </w:tabs>
        <w:spacing w:before="240" w:line="240" w:lineRule="auto"/>
        <w:rPr>
          <w:szCs w:val="20"/>
        </w:rPr>
      </w:pPr>
    </w:p>
    <w:p w:rsidR="003833E8" w:rsidRDefault="003833E8">
      <w:pPr>
        <w:tabs>
          <w:tab w:val="left" w:pos="-1440"/>
          <w:tab w:val="left" w:pos="-720"/>
          <w:tab w:val="left" w:pos="5040"/>
          <w:tab w:val="center" w:pos="6750"/>
        </w:tabs>
        <w:spacing w:line="240" w:lineRule="auto"/>
        <w:ind w:firstLine="5040"/>
        <w:rPr>
          <w:szCs w:val="20"/>
        </w:rPr>
      </w:pPr>
    </w:p>
    <w:p w:rsidR="003833E8" w:rsidRDefault="003833E8">
      <w:pPr>
        <w:tabs>
          <w:tab w:val="left" w:pos="-1440"/>
          <w:tab w:val="left" w:pos="-720"/>
          <w:tab w:val="left" w:pos="5040"/>
          <w:tab w:val="center" w:pos="6750"/>
        </w:tabs>
        <w:spacing w:line="240" w:lineRule="auto"/>
        <w:ind w:firstLine="5040"/>
        <w:rPr>
          <w:szCs w:val="20"/>
        </w:rPr>
      </w:pPr>
    </w:p>
    <w:p w:rsidR="003833E8" w:rsidRDefault="003833E8">
      <w:pPr>
        <w:spacing w:line="240" w:lineRule="auto"/>
        <w:jc w:val="left"/>
        <w:rPr>
          <w:szCs w:val="20"/>
        </w:rPr>
        <w:sectPr w:rsidR="003833E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008" w:left="1440" w:header="720" w:footer="720" w:gutter="0"/>
          <w:pgNumType w:start="1"/>
          <w:cols w:space="720"/>
          <w:noEndnote/>
          <w:titlePg/>
          <w:docGrid w:linePitch="78"/>
        </w:sectPr>
      </w:pPr>
    </w:p>
    <w:p w:rsidR="003833E8" w:rsidRDefault="003833E8">
      <w:pPr>
        <w:spacing w:line="240" w:lineRule="auto"/>
        <w:jc w:val="left"/>
        <w:rPr>
          <w:szCs w:val="20"/>
        </w:rPr>
      </w:pPr>
    </w:p>
    <w:p w:rsidR="003833E8" w:rsidRDefault="003833E8">
      <w:pPr>
        <w:spacing w:line="240" w:lineRule="auto"/>
        <w:jc w:val="left"/>
        <w:rPr>
          <w:szCs w:val="20"/>
        </w:rPr>
        <w:sectPr w:rsidR="003833E8">
          <w:type w:val="continuous"/>
          <w:pgSz w:w="12240" w:h="15840"/>
          <w:pgMar w:top="1440" w:right="1440" w:bottom="1008" w:left="1440" w:header="720" w:footer="720" w:gutter="0"/>
          <w:pgNumType w:start="1"/>
          <w:cols w:space="720"/>
          <w:noEndnote/>
          <w:titlePg/>
          <w:docGrid w:linePitch="78"/>
        </w:sectPr>
      </w:pPr>
    </w:p>
    <w:p w:rsidR="003833E8" w:rsidRDefault="00EB160C">
      <w:pPr>
        <w:spacing w:line="240" w:lineRule="auto"/>
        <w:jc w:val="left"/>
        <w:rPr>
          <w:szCs w:val="20"/>
        </w:rPr>
      </w:pPr>
      <w:r>
        <w:rPr>
          <w:szCs w:val="20"/>
        </w:rPr>
        <w:lastRenderedPageBreak/>
        <w:t>James Burk</w:t>
      </w:r>
    </w:p>
    <w:p w:rsidR="003833E8" w:rsidRDefault="00EB160C">
      <w:pPr>
        <w:spacing w:line="240" w:lineRule="auto"/>
        <w:jc w:val="left"/>
        <w:rPr>
          <w:szCs w:val="20"/>
        </w:rPr>
      </w:pPr>
      <w:r>
        <w:rPr>
          <w:szCs w:val="20"/>
        </w:rPr>
        <w:t>FirstEnergy Service Company</w:t>
      </w:r>
    </w:p>
    <w:p w:rsidR="003833E8" w:rsidRDefault="00EB160C">
      <w:pPr>
        <w:spacing w:line="240" w:lineRule="auto"/>
        <w:jc w:val="left"/>
        <w:rPr>
          <w:szCs w:val="20"/>
        </w:rPr>
      </w:pPr>
      <w:r>
        <w:rPr>
          <w:szCs w:val="20"/>
        </w:rPr>
        <w:t>76 S. Main Street</w:t>
      </w:r>
    </w:p>
    <w:p w:rsidR="003833E8" w:rsidRDefault="00EB160C">
      <w:pPr>
        <w:spacing w:line="240" w:lineRule="auto"/>
        <w:jc w:val="left"/>
        <w:rPr>
          <w:szCs w:val="20"/>
        </w:rPr>
      </w:pPr>
      <w:r>
        <w:rPr>
          <w:szCs w:val="20"/>
        </w:rPr>
        <w:t>Akron, OH  44308</w:t>
      </w:r>
    </w:p>
    <w:p w:rsidR="003833E8" w:rsidRDefault="00EB160C">
      <w:pPr>
        <w:spacing w:line="240" w:lineRule="auto"/>
        <w:jc w:val="left"/>
        <w:rPr>
          <w:rFonts w:cs="Arial"/>
          <w:color w:val="000000"/>
        </w:rPr>
      </w:pPr>
      <w:r>
        <w:rPr>
          <w:rFonts w:cs="Arial"/>
          <w:color w:val="000000"/>
        </w:rPr>
        <w:t>burkj@firstenergycorp.com</w:t>
      </w:r>
    </w:p>
    <w:p w:rsidR="003833E8" w:rsidRDefault="003833E8">
      <w:pPr>
        <w:spacing w:line="240" w:lineRule="auto"/>
        <w:jc w:val="left"/>
        <w:rPr>
          <w:szCs w:val="20"/>
        </w:rPr>
      </w:pPr>
    </w:p>
    <w:p w:rsidR="003833E8" w:rsidRDefault="00EB160C">
      <w:pPr>
        <w:spacing w:line="240" w:lineRule="auto"/>
        <w:jc w:val="left"/>
        <w:rPr>
          <w:rFonts w:ascii="Arial Bold" w:hAnsi="Arial Bold"/>
          <w:b/>
          <w:smallCaps/>
          <w:szCs w:val="20"/>
        </w:rPr>
      </w:pPr>
      <w:r>
        <w:rPr>
          <w:rFonts w:ascii="Arial Bold" w:hAnsi="Arial Bold"/>
          <w:b/>
          <w:smallCaps/>
          <w:szCs w:val="20"/>
        </w:rPr>
        <w:t>On Behalf of The Cleveland Electric</w:t>
      </w:r>
    </w:p>
    <w:p w:rsidR="003833E8" w:rsidRDefault="00EB160C">
      <w:pPr>
        <w:spacing w:line="240" w:lineRule="auto"/>
        <w:jc w:val="left"/>
        <w:rPr>
          <w:rFonts w:ascii="Arial Bold" w:hAnsi="Arial Bold"/>
          <w:b/>
          <w:smallCaps/>
          <w:szCs w:val="20"/>
        </w:rPr>
      </w:pPr>
      <w:r>
        <w:rPr>
          <w:rFonts w:ascii="Arial Bold" w:hAnsi="Arial Bold"/>
          <w:b/>
          <w:smallCaps/>
          <w:szCs w:val="20"/>
        </w:rPr>
        <w:t>Illuminating Company</w:t>
      </w:r>
    </w:p>
    <w:p w:rsidR="003833E8" w:rsidRDefault="003833E8">
      <w:pPr>
        <w:spacing w:line="240" w:lineRule="auto"/>
        <w:jc w:val="left"/>
        <w:rPr>
          <w:szCs w:val="20"/>
        </w:rPr>
      </w:pPr>
    </w:p>
    <w:p w:rsidR="003833E8" w:rsidRDefault="003833E8">
      <w:pPr>
        <w:spacing w:line="240" w:lineRule="auto"/>
        <w:jc w:val="left"/>
        <w:rPr>
          <w:szCs w:val="20"/>
        </w:rPr>
      </w:pPr>
    </w:p>
    <w:p w:rsidR="003833E8" w:rsidRDefault="00EB160C">
      <w:pPr>
        <w:spacing w:line="240" w:lineRule="auto"/>
        <w:jc w:val="left"/>
        <w:rPr>
          <w:szCs w:val="20"/>
          <w:lang w:val="de-DE"/>
        </w:rPr>
      </w:pPr>
      <w:r>
        <w:rPr>
          <w:szCs w:val="20"/>
          <w:lang w:val="de-DE"/>
        </w:rPr>
        <w:t xml:space="preserve">William Wright, </w:t>
      </w:r>
      <w:r>
        <w:rPr>
          <w:szCs w:val="20"/>
          <w:lang w:val="de-DE"/>
        </w:rPr>
        <w:t>Section Chief</w:t>
      </w:r>
    </w:p>
    <w:p w:rsidR="003833E8" w:rsidRDefault="00EB160C">
      <w:pPr>
        <w:spacing w:line="240" w:lineRule="auto"/>
        <w:jc w:val="left"/>
        <w:rPr>
          <w:szCs w:val="20"/>
          <w:lang w:val="de-DE"/>
        </w:rPr>
      </w:pPr>
      <w:r>
        <w:rPr>
          <w:szCs w:val="20"/>
          <w:lang w:val="de-DE"/>
        </w:rPr>
        <w:t>Thomas W. McNamee</w:t>
      </w:r>
    </w:p>
    <w:p w:rsidR="003833E8" w:rsidRDefault="00EB160C">
      <w:pPr>
        <w:spacing w:line="240" w:lineRule="auto"/>
        <w:jc w:val="left"/>
        <w:rPr>
          <w:szCs w:val="20"/>
          <w:lang w:val="de-DE"/>
        </w:rPr>
      </w:pPr>
      <w:r>
        <w:rPr>
          <w:szCs w:val="20"/>
          <w:lang w:val="de-DE"/>
        </w:rPr>
        <w:t>Assistant Attorneys General</w:t>
      </w:r>
    </w:p>
    <w:p w:rsidR="003833E8" w:rsidRDefault="00EB160C">
      <w:pPr>
        <w:spacing w:line="240" w:lineRule="auto"/>
        <w:jc w:val="left"/>
        <w:rPr>
          <w:szCs w:val="20"/>
        </w:rPr>
      </w:pPr>
      <w:r>
        <w:rPr>
          <w:szCs w:val="20"/>
        </w:rPr>
        <w:t>Public Utilities Commission of Ohio</w:t>
      </w:r>
    </w:p>
    <w:p w:rsidR="003833E8" w:rsidRDefault="00EB160C">
      <w:pPr>
        <w:spacing w:line="240" w:lineRule="auto"/>
        <w:jc w:val="left"/>
        <w:rPr>
          <w:szCs w:val="20"/>
        </w:rPr>
      </w:pPr>
      <w:r>
        <w:rPr>
          <w:szCs w:val="20"/>
        </w:rPr>
        <w:t>180 East Broad Street, 6</w:t>
      </w:r>
      <w:r>
        <w:rPr>
          <w:szCs w:val="20"/>
          <w:vertAlign w:val="superscript"/>
        </w:rPr>
        <w:t>th</w:t>
      </w:r>
      <w:r>
        <w:rPr>
          <w:szCs w:val="20"/>
        </w:rPr>
        <w:t xml:space="preserve"> Floor</w:t>
      </w:r>
    </w:p>
    <w:p w:rsidR="003833E8" w:rsidRDefault="00EB160C">
      <w:pPr>
        <w:spacing w:line="240" w:lineRule="auto"/>
        <w:jc w:val="left"/>
        <w:rPr>
          <w:szCs w:val="20"/>
        </w:rPr>
      </w:pPr>
      <w:r>
        <w:rPr>
          <w:szCs w:val="20"/>
        </w:rPr>
        <w:t>Columbus, OH  43215</w:t>
      </w:r>
    </w:p>
    <w:p w:rsidR="003833E8" w:rsidRDefault="00EB160C">
      <w:pPr>
        <w:spacing w:line="240" w:lineRule="auto"/>
        <w:rPr>
          <w:rFonts w:eastAsia="Calibri" w:cs="Arial"/>
          <w:color w:val="000000"/>
        </w:rPr>
      </w:pPr>
      <w:r>
        <w:rPr>
          <w:rFonts w:eastAsia="Calibri" w:cs="Arial"/>
        </w:rPr>
        <w:t>thomas.mcnamee@puc.state.oh.us</w:t>
      </w:r>
    </w:p>
    <w:p w:rsidR="003833E8" w:rsidRDefault="00EB160C">
      <w:pPr>
        <w:spacing w:line="240" w:lineRule="auto"/>
        <w:rPr>
          <w:rFonts w:eastAsia="Calibri" w:cs="Arial"/>
          <w:color w:val="000000"/>
        </w:rPr>
      </w:pPr>
      <w:r>
        <w:rPr>
          <w:rFonts w:eastAsia="Calibri" w:cs="Arial"/>
          <w:color w:val="000000"/>
        </w:rPr>
        <w:t>william.wright@puc.state.oh.us</w:t>
      </w:r>
    </w:p>
    <w:p w:rsidR="003833E8" w:rsidRDefault="003833E8">
      <w:pPr>
        <w:spacing w:line="240" w:lineRule="auto"/>
        <w:jc w:val="left"/>
        <w:rPr>
          <w:szCs w:val="20"/>
        </w:rPr>
      </w:pPr>
    </w:p>
    <w:p w:rsidR="003833E8" w:rsidRDefault="00EB160C">
      <w:pPr>
        <w:spacing w:line="240" w:lineRule="auto"/>
        <w:jc w:val="left"/>
        <w:rPr>
          <w:rFonts w:ascii="Arial Bold" w:hAnsi="Arial Bold"/>
          <w:b/>
          <w:smallCaps/>
          <w:szCs w:val="20"/>
        </w:rPr>
      </w:pPr>
      <w:r>
        <w:rPr>
          <w:rFonts w:ascii="Arial Bold" w:hAnsi="Arial Bold"/>
          <w:b/>
          <w:smallCaps/>
          <w:szCs w:val="20"/>
        </w:rPr>
        <w:t>On Behalf of the Staff of the Public</w:t>
      </w:r>
    </w:p>
    <w:p w:rsidR="003833E8" w:rsidRDefault="00EB160C">
      <w:pPr>
        <w:spacing w:line="240" w:lineRule="auto"/>
        <w:jc w:val="left"/>
        <w:rPr>
          <w:rFonts w:ascii="Arial Bold" w:hAnsi="Arial Bold"/>
          <w:b/>
          <w:smallCaps/>
          <w:szCs w:val="20"/>
        </w:rPr>
      </w:pPr>
      <w:r>
        <w:rPr>
          <w:rFonts w:ascii="Arial Bold" w:hAnsi="Arial Bold"/>
          <w:b/>
          <w:smallCaps/>
          <w:szCs w:val="20"/>
        </w:rPr>
        <w:t>Utiliti</w:t>
      </w:r>
      <w:r>
        <w:rPr>
          <w:rFonts w:ascii="Arial Bold" w:hAnsi="Arial Bold"/>
          <w:b/>
          <w:smallCaps/>
          <w:szCs w:val="20"/>
        </w:rPr>
        <w:t>es Commission of Ohio</w:t>
      </w:r>
    </w:p>
    <w:bookmarkEnd w:id="1"/>
    <w:bookmarkEnd w:id="2"/>
    <w:p w:rsidR="003833E8" w:rsidRDefault="003833E8">
      <w:pPr>
        <w:spacing w:line="240" w:lineRule="auto"/>
        <w:jc w:val="left"/>
        <w:rPr>
          <w:rFonts w:cs="Arial"/>
          <w:smallCaps/>
          <w:color w:val="000000"/>
        </w:rPr>
      </w:pPr>
    </w:p>
    <w:p w:rsidR="003833E8" w:rsidRDefault="003833E8">
      <w:pPr>
        <w:spacing w:line="240" w:lineRule="auto"/>
        <w:rPr>
          <w:rFonts w:eastAsia="Calibri" w:cs="Arial"/>
          <w:color w:val="000000"/>
        </w:rPr>
      </w:pPr>
    </w:p>
    <w:p w:rsidR="003833E8" w:rsidRDefault="00EB160C">
      <w:pPr>
        <w:spacing w:line="240" w:lineRule="auto"/>
        <w:rPr>
          <w:rFonts w:eastAsia="Calibri" w:cs="Arial"/>
          <w:color w:val="000000"/>
        </w:rPr>
      </w:pPr>
      <w:r>
        <w:rPr>
          <w:rFonts w:eastAsia="Calibri" w:cs="Arial"/>
          <w:color w:val="000000"/>
        </w:rPr>
        <w:br w:type="column"/>
      </w:r>
      <w:r>
        <w:rPr>
          <w:rFonts w:eastAsia="Calibri" w:cs="Arial"/>
          <w:color w:val="000000"/>
        </w:rPr>
        <w:lastRenderedPageBreak/>
        <w:t>David F. Boehm</w:t>
      </w:r>
    </w:p>
    <w:p w:rsidR="003833E8" w:rsidRDefault="00EB160C">
      <w:pPr>
        <w:spacing w:line="240" w:lineRule="auto"/>
        <w:rPr>
          <w:rFonts w:eastAsia="Calibri" w:cs="Arial"/>
          <w:color w:val="000000"/>
        </w:rPr>
      </w:pPr>
      <w:r>
        <w:rPr>
          <w:rFonts w:eastAsia="Calibri" w:cs="Arial"/>
          <w:color w:val="000000"/>
        </w:rPr>
        <w:t>Michael L. Kurtz</w:t>
      </w:r>
    </w:p>
    <w:p w:rsidR="003833E8" w:rsidRDefault="00EB160C">
      <w:pPr>
        <w:spacing w:line="240" w:lineRule="auto"/>
        <w:rPr>
          <w:rFonts w:eastAsia="Calibri" w:cs="Arial"/>
          <w:color w:val="000000"/>
        </w:rPr>
      </w:pPr>
      <w:r>
        <w:rPr>
          <w:rFonts w:eastAsia="Calibri" w:cs="Arial"/>
          <w:color w:val="000000"/>
        </w:rPr>
        <w:t>Jody Kyler Cohn</w:t>
      </w:r>
    </w:p>
    <w:p w:rsidR="003833E8" w:rsidRDefault="00EB160C">
      <w:pPr>
        <w:spacing w:line="240" w:lineRule="auto"/>
        <w:rPr>
          <w:rFonts w:eastAsia="Calibri" w:cs="Arial"/>
          <w:color w:val="000000"/>
        </w:rPr>
      </w:pPr>
      <w:r>
        <w:rPr>
          <w:rFonts w:eastAsia="Calibri" w:cs="Arial"/>
          <w:color w:val="000000"/>
        </w:rPr>
        <w:t>Boehm, Kurtz &amp; Lowry</w:t>
      </w:r>
    </w:p>
    <w:p w:rsidR="003833E8" w:rsidRDefault="00EB160C">
      <w:pPr>
        <w:spacing w:line="240" w:lineRule="auto"/>
        <w:rPr>
          <w:rFonts w:eastAsia="Calibri" w:cs="Arial"/>
          <w:color w:val="000000"/>
        </w:rPr>
      </w:pPr>
      <w:r>
        <w:rPr>
          <w:rFonts w:eastAsia="Calibri" w:cs="Arial"/>
          <w:color w:val="000000"/>
        </w:rPr>
        <w:t>36 East Seventh Street, Suite 1510</w:t>
      </w:r>
    </w:p>
    <w:p w:rsidR="003833E8" w:rsidRDefault="00EB160C">
      <w:pPr>
        <w:spacing w:line="240" w:lineRule="auto"/>
        <w:rPr>
          <w:rFonts w:eastAsia="Calibri" w:cs="Arial"/>
          <w:color w:val="000000"/>
        </w:rPr>
      </w:pPr>
      <w:r>
        <w:rPr>
          <w:rFonts w:eastAsia="Calibri" w:cs="Arial"/>
          <w:color w:val="000000"/>
        </w:rPr>
        <w:t>Cincinnati, OH  45202</w:t>
      </w:r>
    </w:p>
    <w:p w:rsidR="003833E8" w:rsidRDefault="00EB160C">
      <w:pPr>
        <w:spacing w:line="240" w:lineRule="auto"/>
        <w:rPr>
          <w:rFonts w:eastAsia="Calibri" w:cs="Arial"/>
          <w:color w:val="000000"/>
        </w:rPr>
      </w:pPr>
      <w:r>
        <w:rPr>
          <w:rFonts w:eastAsia="Calibri" w:cs="Arial"/>
        </w:rPr>
        <w:t>dboehm@BKLlawfirm.com</w:t>
      </w:r>
    </w:p>
    <w:p w:rsidR="003833E8" w:rsidRDefault="00EB160C">
      <w:pPr>
        <w:spacing w:line="240" w:lineRule="auto"/>
        <w:rPr>
          <w:rFonts w:eastAsia="Calibri" w:cs="Arial"/>
          <w:color w:val="000000"/>
        </w:rPr>
      </w:pPr>
      <w:r>
        <w:rPr>
          <w:rFonts w:eastAsia="Calibri" w:cs="Arial"/>
        </w:rPr>
        <w:t>mkurtz@BKLlawfirm.com</w:t>
      </w:r>
    </w:p>
    <w:p w:rsidR="003833E8" w:rsidRDefault="00EB160C">
      <w:pPr>
        <w:spacing w:line="240" w:lineRule="auto"/>
        <w:rPr>
          <w:rFonts w:eastAsia="Calibri" w:cs="Arial"/>
          <w:color w:val="000000"/>
        </w:rPr>
      </w:pPr>
      <w:r>
        <w:rPr>
          <w:rFonts w:eastAsia="Calibri" w:cs="Arial"/>
          <w:color w:val="000000"/>
        </w:rPr>
        <w:t>jkylercohn@BKLlawfirm.com</w:t>
      </w:r>
    </w:p>
    <w:p w:rsidR="003833E8" w:rsidRDefault="003833E8">
      <w:pPr>
        <w:spacing w:line="240" w:lineRule="auto"/>
        <w:rPr>
          <w:rFonts w:eastAsia="Calibri" w:cs="Arial"/>
          <w:color w:val="000000"/>
        </w:rPr>
      </w:pPr>
    </w:p>
    <w:p w:rsidR="003833E8" w:rsidRDefault="00EB160C">
      <w:pPr>
        <w:tabs>
          <w:tab w:val="right" w:pos="8640"/>
        </w:tabs>
        <w:spacing w:line="240" w:lineRule="auto"/>
        <w:jc w:val="left"/>
        <w:rPr>
          <w:rFonts w:eastAsia="Calibri" w:cs="Arial"/>
          <w:b/>
          <w:smallCaps/>
          <w:color w:val="000000"/>
        </w:rPr>
      </w:pPr>
      <w:r>
        <w:rPr>
          <w:rFonts w:eastAsia="Calibri" w:cs="Arial"/>
          <w:b/>
          <w:smallCaps/>
          <w:color w:val="000000"/>
        </w:rPr>
        <w:t>Counsel for Ohio Energy Group</w:t>
      </w:r>
    </w:p>
    <w:p w:rsidR="003833E8" w:rsidRDefault="003833E8">
      <w:pPr>
        <w:spacing w:line="240" w:lineRule="auto"/>
        <w:jc w:val="left"/>
        <w:rPr>
          <w:rFonts w:eastAsia="Calibri" w:cs="Arial"/>
          <w:color w:val="000000"/>
        </w:rPr>
      </w:pPr>
    </w:p>
    <w:p w:rsidR="003833E8" w:rsidRDefault="003833E8">
      <w:pPr>
        <w:spacing w:line="240" w:lineRule="auto"/>
        <w:jc w:val="left"/>
        <w:rPr>
          <w:rFonts w:eastAsia="Calibri" w:cs="Arial"/>
          <w:color w:val="000000"/>
        </w:rPr>
      </w:pPr>
    </w:p>
    <w:p w:rsidR="003833E8" w:rsidRDefault="00EB160C">
      <w:pPr>
        <w:autoSpaceDE w:val="0"/>
        <w:autoSpaceDN w:val="0"/>
        <w:adjustRightInd w:val="0"/>
        <w:spacing w:line="240" w:lineRule="auto"/>
        <w:jc w:val="left"/>
        <w:rPr>
          <w:rFonts w:eastAsia="Calibri" w:cs="Arial"/>
          <w:color w:val="000000"/>
        </w:rPr>
      </w:pPr>
      <w:r>
        <w:rPr>
          <w:rFonts w:eastAsia="Calibri" w:cs="Arial"/>
          <w:color w:val="000000"/>
        </w:rPr>
        <w:t>Mandy Chiles</w:t>
      </w:r>
    </w:p>
    <w:p w:rsidR="003833E8" w:rsidRDefault="00EB160C">
      <w:pPr>
        <w:autoSpaceDE w:val="0"/>
        <w:autoSpaceDN w:val="0"/>
        <w:adjustRightInd w:val="0"/>
        <w:spacing w:line="240" w:lineRule="auto"/>
        <w:jc w:val="left"/>
        <w:rPr>
          <w:rFonts w:eastAsia="Calibri" w:cs="Arial"/>
          <w:color w:val="000000"/>
        </w:rPr>
      </w:pPr>
      <w:r>
        <w:rPr>
          <w:rFonts w:eastAsia="Calibri" w:cs="Arial"/>
          <w:color w:val="000000"/>
        </w:rPr>
        <w:t>Greg Price</w:t>
      </w:r>
    </w:p>
    <w:p w:rsidR="003833E8" w:rsidRDefault="00EB160C">
      <w:pPr>
        <w:autoSpaceDE w:val="0"/>
        <w:autoSpaceDN w:val="0"/>
        <w:adjustRightInd w:val="0"/>
        <w:spacing w:line="240" w:lineRule="auto"/>
        <w:jc w:val="left"/>
        <w:rPr>
          <w:rFonts w:eastAsia="Calibri" w:cs="Arial"/>
          <w:color w:val="000000"/>
        </w:rPr>
      </w:pPr>
      <w:r>
        <w:rPr>
          <w:rFonts w:eastAsia="Calibri" w:cs="Arial"/>
          <w:color w:val="000000"/>
        </w:rPr>
        <w:t>Public Utilities Commission of Ohio</w:t>
      </w:r>
    </w:p>
    <w:p w:rsidR="003833E8" w:rsidRDefault="00EB160C">
      <w:pPr>
        <w:autoSpaceDE w:val="0"/>
        <w:autoSpaceDN w:val="0"/>
        <w:adjustRightInd w:val="0"/>
        <w:spacing w:line="240" w:lineRule="auto"/>
        <w:jc w:val="left"/>
        <w:rPr>
          <w:rFonts w:eastAsia="Calibri" w:cs="Arial"/>
          <w:color w:val="000000"/>
        </w:rPr>
      </w:pPr>
      <w:r>
        <w:rPr>
          <w:rFonts w:eastAsia="Calibri" w:cs="Arial"/>
          <w:color w:val="000000"/>
        </w:rPr>
        <w:t>180 East Broad Street, 12th Floor</w:t>
      </w:r>
    </w:p>
    <w:p w:rsidR="003833E8" w:rsidRDefault="00EB160C">
      <w:pPr>
        <w:autoSpaceDE w:val="0"/>
        <w:autoSpaceDN w:val="0"/>
        <w:adjustRightInd w:val="0"/>
        <w:spacing w:line="240" w:lineRule="auto"/>
        <w:jc w:val="left"/>
        <w:rPr>
          <w:rFonts w:eastAsia="Calibri" w:cs="Arial"/>
          <w:color w:val="000000"/>
        </w:rPr>
      </w:pPr>
      <w:r>
        <w:rPr>
          <w:rFonts w:eastAsia="Calibri" w:cs="Arial"/>
          <w:color w:val="000000"/>
        </w:rPr>
        <w:t>Columbus, OH  43215</w:t>
      </w:r>
    </w:p>
    <w:p w:rsidR="003833E8" w:rsidRDefault="00EB160C">
      <w:pPr>
        <w:tabs>
          <w:tab w:val="right" w:pos="8640"/>
        </w:tabs>
        <w:spacing w:line="240" w:lineRule="auto"/>
        <w:jc w:val="left"/>
        <w:rPr>
          <w:rFonts w:cs="Arial"/>
        </w:rPr>
      </w:pPr>
      <w:r>
        <w:rPr>
          <w:rFonts w:cs="Arial"/>
        </w:rPr>
        <w:t>mandy.chiles@puc.state.oh.us</w:t>
      </w:r>
    </w:p>
    <w:p w:rsidR="003833E8" w:rsidRDefault="00EB160C">
      <w:pPr>
        <w:tabs>
          <w:tab w:val="right" w:pos="8640"/>
        </w:tabs>
        <w:spacing w:line="240" w:lineRule="auto"/>
        <w:jc w:val="left"/>
        <w:rPr>
          <w:rFonts w:eastAsia="Calibri" w:cs="Arial"/>
          <w:color w:val="000000"/>
        </w:rPr>
      </w:pPr>
      <w:r>
        <w:rPr>
          <w:rFonts w:eastAsia="Calibri" w:cs="Arial"/>
          <w:color w:val="000000"/>
        </w:rPr>
        <w:t>greg.price@puc.state.oh.us</w:t>
      </w:r>
    </w:p>
    <w:p w:rsidR="003833E8" w:rsidRDefault="003833E8">
      <w:pPr>
        <w:tabs>
          <w:tab w:val="right" w:pos="8640"/>
        </w:tabs>
        <w:spacing w:line="240" w:lineRule="auto"/>
        <w:jc w:val="left"/>
        <w:rPr>
          <w:rFonts w:eastAsia="Calibri" w:cs="Arial"/>
          <w:smallCaps/>
          <w:color w:val="000000"/>
        </w:rPr>
      </w:pPr>
    </w:p>
    <w:p w:rsidR="003833E8" w:rsidRDefault="00EB160C">
      <w:pPr>
        <w:tabs>
          <w:tab w:val="right" w:pos="8640"/>
        </w:tabs>
        <w:spacing w:line="240" w:lineRule="auto"/>
        <w:jc w:val="left"/>
        <w:rPr>
          <w:rFonts w:eastAsia="Calibri" w:cs="Arial"/>
          <w:b/>
          <w:smallCaps/>
          <w:color w:val="000000"/>
        </w:rPr>
      </w:pPr>
      <w:r>
        <w:rPr>
          <w:rFonts w:eastAsia="Calibri" w:cs="Arial"/>
          <w:b/>
          <w:smallCaps/>
          <w:color w:val="000000"/>
        </w:rPr>
        <w:t>Attorney Examiners</w:t>
      </w:r>
    </w:p>
    <w:p w:rsidR="003833E8" w:rsidRDefault="003833E8">
      <w:pPr>
        <w:spacing w:line="240" w:lineRule="auto"/>
        <w:jc w:val="left"/>
        <w:rPr>
          <w:b/>
          <w:szCs w:val="20"/>
        </w:rPr>
      </w:pPr>
    </w:p>
    <w:p w:rsidR="003833E8" w:rsidRDefault="003833E8">
      <w:pPr>
        <w:spacing w:after="120" w:line="240" w:lineRule="auto"/>
        <w:jc w:val="left"/>
        <w:rPr>
          <w:rFonts w:cs="Arial"/>
        </w:rPr>
      </w:pPr>
    </w:p>
    <w:sectPr w:rsidR="003833E8">
      <w:type w:val="continuous"/>
      <w:pgSz w:w="12240" w:h="15840"/>
      <w:pgMar w:top="1440" w:right="1440" w:bottom="1008" w:left="1440" w:header="720" w:footer="720" w:gutter="0"/>
      <w:pgNumType w:start="1"/>
      <w:cols w:num="2" w:space="720"/>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E8" w:rsidRDefault="00EB160C">
      <w:pPr>
        <w:spacing w:line="240" w:lineRule="auto"/>
      </w:pPr>
      <w:r>
        <w:separator/>
      </w:r>
    </w:p>
  </w:endnote>
  <w:endnote w:type="continuationSeparator" w:id="0">
    <w:p w:rsidR="003833E8" w:rsidRDefault="00EB1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32" w:rsidRDefault="005E14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E8" w:rsidRDefault="00EB160C">
    <w:pPr>
      <w:pStyle w:val="Footer"/>
    </w:pPr>
    <w:r w:rsidRPr="00EB160C">
      <w:rPr>
        <w:noProof/>
        <w:sz w:val="16"/>
      </w:rPr>
      <w:t>{C43075: }</w:t>
    </w:r>
    <w:r>
      <w:rPr>
        <w:noProof/>
        <w:sz w:val="16"/>
      </w:rPr>
      <w:tab/>
    </w:r>
    <w:r>
      <w:rPr>
        <w:noProof/>
        <w:sz w:val="22"/>
        <w:szCs w:val="22"/>
      </w:rPr>
      <w:fldChar w:fldCharType="begin"/>
    </w:r>
    <w:r>
      <w:rPr>
        <w:noProof/>
        <w:sz w:val="22"/>
        <w:szCs w:val="22"/>
      </w:rPr>
      <w:instrText xml:space="preserve"> PAGE   \* MERGEFORMAT </w:instrText>
    </w:r>
    <w:r>
      <w:rPr>
        <w:noProof/>
        <w:sz w:val="22"/>
        <w:szCs w:val="22"/>
      </w:rPr>
      <w:fldChar w:fldCharType="separate"/>
    </w:r>
    <w:r>
      <w:rPr>
        <w:noProof/>
        <w:sz w:val="22"/>
        <w:szCs w:val="22"/>
      </w:rPr>
      <w:t>5</w:t>
    </w:r>
    <w:r>
      <w:rPr>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E8" w:rsidRDefault="00EB160C">
    <w:pPr>
      <w:pStyle w:val="Footer"/>
    </w:pPr>
    <w:r w:rsidRPr="00EB160C">
      <w:rPr>
        <w:noProof/>
        <w:sz w:val="16"/>
      </w:rPr>
      <w:t>{C43075: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E8" w:rsidRDefault="00EB160C">
    <w:pPr>
      <w:pStyle w:val="Footer"/>
      <w:framePr w:wrap="around" w:vAnchor="text" w:hAnchor="margin" w:xAlign="right" w:y="1"/>
      <w:rPr>
        <w:rStyle w:val="PageNumber"/>
      </w:rPr>
    </w:pPr>
    <w:r>
      <w:rPr>
        <w:rStyle w:val="PageNumber"/>
        <w:noProof/>
        <w:sz w:val="16"/>
      </w:rPr>
      <w:t>{C31508: }</w:t>
    </w: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833E8" w:rsidRDefault="003833E8">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E8" w:rsidRDefault="00EB160C">
    <w:pPr>
      <w:pStyle w:val="Footer"/>
      <w:ind w:right="360"/>
    </w:pPr>
    <w:r w:rsidRPr="00EB160C">
      <w:rPr>
        <w:noProof/>
        <w:sz w:val="16"/>
      </w:rPr>
      <w:t>{C43075: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E8" w:rsidRDefault="00EB160C">
    <w:pPr>
      <w:pStyle w:val="Footer"/>
    </w:pPr>
    <w:r w:rsidRPr="00EB160C">
      <w:rPr>
        <w:noProof/>
        <w:sz w:val="16"/>
      </w:rPr>
      <w:t>{C43075: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E8" w:rsidRDefault="00EB160C">
      <w:pPr>
        <w:spacing w:line="240" w:lineRule="auto"/>
        <w:rPr>
          <w:noProof/>
        </w:rPr>
      </w:pPr>
      <w:r>
        <w:rPr>
          <w:noProof/>
        </w:rPr>
        <w:separator/>
      </w:r>
    </w:p>
  </w:footnote>
  <w:footnote w:type="continuationSeparator" w:id="0">
    <w:p w:rsidR="003833E8" w:rsidRDefault="00EB160C">
      <w:pPr>
        <w:spacing w:line="240" w:lineRule="auto"/>
      </w:pPr>
      <w:r>
        <w:continuationSeparator/>
      </w:r>
    </w:p>
  </w:footnote>
  <w:footnote w:id="1">
    <w:p w:rsidR="003833E8" w:rsidRDefault="00EB160C" w:rsidP="00A4305A">
      <w:pPr>
        <w:pStyle w:val="FootnoteText"/>
        <w:jc w:val="both"/>
      </w:pPr>
      <w:r>
        <w:rPr>
          <w:rStyle w:val="FootnoteReference"/>
        </w:rPr>
        <w:footnoteRef/>
      </w:r>
      <w:r>
        <w:t xml:space="preserve"> The information that was publicly disclosed related to the</w:t>
      </w:r>
      <w:r>
        <w:t xml:space="preserve"> amount ASHTA intended to invest and the </w:t>
      </w:r>
      <w:r>
        <w:t xml:space="preserve">number of employees that ASHTA </w:t>
      </w:r>
      <w:r>
        <w:t>would retain.  Amended Public Version of Joint Stipulation and Recommendation at 5-6 (Dec. 10, 2013).</w:t>
      </w:r>
    </w:p>
  </w:footnote>
  <w:footnote w:id="2">
    <w:p w:rsidR="003833E8" w:rsidRDefault="00EB160C" w:rsidP="00A4305A">
      <w:pPr>
        <w:pStyle w:val="FootnoteText"/>
        <w:jc w:val="both"/>
      </w:pPr>
      <w:r>
        <w:rPr>
          <w:rStyle w:val="FootnoteReference"/>
        </w:rPr>
        <w:footnoteRef/>
      </w:r>
      <w:r>
        <w:t xml:space="preserve"> The information that was publicly disclosed related to the amount ASHTA intended to invest and the </w:t>
      </w:r>
      <w:r>
        <w:t xml:space="preserve">number of employees that ASHTA </w:t>
      </w:r>
      <w:r>
        <w:t xml:space="preserve">would retain.  Amended Public Version of Joint Stipulation and </w:t>
      </w:r>
      <w:r>
        <w:t>Recommendation at 5-6 (Dec. 10, 2013).</w:t>
      </w:r>
    </w:p>
  </w:footnote>
  <w:footnote w:id="3">
    <w:p w:rsidR="003833E8" w:rsidRDefault="00EB160C">
      <w:pPr>
        <w:pStyle w:val="FootnoteText"/>
      </w:pPr>
      <w:r>
        <w:rPr>
          <w:rStyle w:val="FootnoteReference"/>
        </w:rPr>
        <w:footnoteRef/>
      </w:r>
      <w:r>
        <w:t xml:space="preserve"> </w:t>
      </w:r>
      <w:r>
        <w:rPr>
          <w:i/>
        </w:rPr>
        <w:t>See</w:t>
      </w:r>
      <w:r>
        <w:t xml:space="preserve"> Sections 4901.12 and 4905.07, Revised Code.</w:t>
      </w:r>
    </w:p>
  </w:footnote>
  <w:footnote w:id="4">
    <w:p w:rsidR="003833E8" w:rsidRDefault="00EB160C">
      <w:pPr>
        <w:pStyle w:val="FootnoteText"/>
        <w:jc w:val="both"/>
      </w:pPr>
      <w:bookmarkStart w:id="0" w:name="_GoBack"/>
      <w:r>
        <w:rPr>
          <w:rStyle w:val="FootnoteReference"/>
        </w:rPr>
        <w:footnoteRef/>
      </w:r>
      <w:bookmarkEnd w:id="0"/>
      <w:r>
        <w:t xml:space="preserve"> Section 149.43(A)(1)(v), Revised Code; </w:t>
      </w:r>
      <w:r>
        <w:rPr>
          <w:i/>
        </w:rPr>
        <w:t>State ex rel. The Plain Dealer v. Ohio Dept. of Insurance</w:t>
      </w:r>
      <w:r>
        <w:t>, 80 Ohio St. 3d 513, 530 (1997).</w:t>
      </w:r>
    </w:p>
  </w:footnote>
  <w:footnote w:id="5">
    <w:p w:rsidR="003833E8" w:rsidRDefault="00EB160C">
      <w:pPr>
        <w:pStyle w:val="FootnoteText"/>
      </w:pPr>
      <w:r>
        <w:rPr>
          <w:rStyle w:val="FootnoteReference"/>
        </w:rPr>
        <w:footnoteRef/>
      </w:r>
      <w:r>
        <w:t xml:space="preserve"> Entry at 3 (Nov. 5, 2012); Sectio</w:t>
      </w:r>
      <w:r>
        <w:t>n 1333.61(D), Revised Code.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32" w:rsidRDefault="005E14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32" w:rsidRDefault="005E14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432" w:rsidRDefault="005E14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E8" w:rsidRDefault="003833E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E8" w:rsidRDefault="003833E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3E8" w:rsidRDefault="003833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03CCFE8"/>
    <w:lvl w:ilvl="0">
      <w:start w:val="1"/>
      <w:numFmt w:val="decimal"/>
      <w:pStyle w:val="ListNumber"/>
      <w:lvlText w:val="%1."/>
      <w:lvlJc w:val="left"/>
      <w:pPr>
        <w:tabs>
          <w:tab w:val="num" w:pos="1440"/>
        </w:tabs>
        <w:ind w:left="1440" w:hanging="720"/>
      </w:pPr>
      <w:rPr>
        <w:rFonts w:hint="default"/>
      </w:rPr>
    </w:lvl>
  </w:abstractNum>
  <w:abstractNum w:abstractNumId="1">
    <w:nsid w:val="FFFFFF89"/>
    <w:multiLevelType w:val="singleLevel"/>
    <w:tmpl w:val="4AC003AE"/>
    <w:lvl w:ilvl="0">
      <w:start w:val="1"/>
      <w:numFmt w:val="bullet"/>
      <w:lvlText w:val=""/>
      <w:lvlJc w:val="left"/>
      <w:pPr>
        <w:tabs>
          <w:tab w:val="num" w:pos="360"/>
        </w:tabs>
        <w:ind w:left="360" w:hanging="360"/>
      </w:pPr>
      <w:rPr>
        <w:rFonts w:ascii="Symbol" w:hAnsi="Symbol" w:hint="default"/>
      </w:rPr>
    </w:lvl>
  </w:abstractNum>
  <w:abstractNum w:abstractNumId="2">
    <w:nsid w:val="00F5529E"/>
    <w:multiLevelType w:val="hybridMultilevel"/>
    <w:tmpl w:val="272E87B0"/>
    <w:lvl w:ilvl="0" w:tplc="BCBE74E0">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D20645"/>
    <w:multiLevelType w:val="hybridMultilevel"/>
    <w:tmpl w:val="713225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0C6724"/>
    <w:multiLevelType w:val="hybridMultilevel"/>
    <w:tmpl w:val="70B2FD68"/>
    <w:lvl w:ilvl="0" w:tplc="0E1E1934">
      <w:start w:val="1"/>
      <w:numFmt w:val="bullet"/>
      <w:pStyle w:val="ListBullet"/>
      <w:lvlText w:val=""/>
      <w:lvlJc w:val="left"/>
      <w:pPr>
        <w:tabs>
          <w:tab w:val="num" w:pos="1440"/>
        </w:tabs>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7B71568"/>
    <w:multiLevelType w:val="multilevel"/>
    <w:tmpl w:val="D9844562"/>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lvlText w:val="%5."/>
      <w:lvlJc w:val="left"/>
      <w:pPr>
        <w:tabs>
          <w:tab w:val="num" w:pos="3600"/>
        </w:tabs>
        <w:ind w:left="3600" w:hanging="720"/>
      </w:pPr>
      <w:rPr>
        <w:caps w:val="0"/>
        <w:vanish w:val="0"/>
        <w:u w:val="none"/>
      </w:rPr>
    </w:lvl>
    <w:lvl w:ilvl="5">
      <w:start w:val="1"/>
      <w:numFmt w:val="lowerLetter"/>
      <w:lvlText w:val="(%6)"/>
      <w:lvlJc w:val="left"/>
      <w:pPr>
        <w:tabs>
          <w:tab w:val="num" w:pos="4320"/>
        </w:tabs>
        <w:ind w:left="4320" w:hanging="720"/>
      </w:pPr>
      <w:rPr>
        <w:caps w:val="0"/>
        <w:vanish w:val="0"/>
        <w:u w:val="none"/>
      </w:rPr>
    </w:lvl>
    <w:lvl w:ilvl="6">
      <w:start w:val="1"/>
      <w:numFmt w:val="decimal"/>
      <w:lvlText w:val="(%7)"/>
      <w:lvlJc w:val="left"/>
      <w:pPr>
        <w:tabs>
          <w:tab w:val="num" w:pos="5040"/>
        </w:tabs>
        <w:ind w:left="5040" w:hanging="720"/>
      </w:pPr>
      <w:rPr>
        <w:caps w:val="0"/>
        <w:vanish w:val="0"/>
        <w:u w:val="none"/>
      </w:rPr>
    </w:lvl>
    <w:lvl w:ilvl="7">
      <w:start w:val="1"/>
      <w:numFmt w:val="lowerRoman"/>
      <w:lvlText w:val="%8)"/>
      <w:lvlJc w:val="left"/>
      <w:pPr>
        <w:tabs>
          <w:tab w:val="num" w:pos="5760"/>
        </w:tabs>
        <w:ind w:left="5760" w:hanging="720"/>
      </w:pPr>
      <w:rPr>
        <w:caps w:val="0"/>
        <w:vanish w:val="0"/>
        <w:u w:val="none"/>
      </w:rPr>
    </w:lvl>
    <w:lvl w:ilvl="8">
      <w:start w:val="1"/>
      <w:numFmt w:val="lowerLetter"/>
      <w:lvlText w:val="%9)"/>
      <w:lvlJc w:val="left"/>
      <w:pPr>
        <w:tabs>
          <w:tab w:val="num" w:pos="6480"/>
        </w:tabs>
        <w:ind w:left="6480" w:hanging="720"/>
      </w:pPr>
      <w:rPr>
        <w:caps w:val="0"/>
        <w:vanish w:val="0"/>
        <w:u w:val="none"/>
      </w:rPr>
    </w:lvl>
  </w:abstractNum>
  <w:num w:numId="1">
    <w:abstractNumId w:val="5"/>
  </w:num>
  <w:num w:numId="2">
    <w:abstractNumId w:val="5"/>
  </w:num>
  <w:num w:numId="3">
    <w:abstractNumId w:val="5"/>
  </w:num>
  <w:num w:numId="4">
    <w:abstractNumId w:val="5"/>
  </w:num>
  <w:num w:numId="5">
    <w:abstractNumId w:val="1"/>
  </w:num>
  <w:num w:numId="6">
    <w:abstractNumId w:val="4"/>
  </w:num>
  <w:num w:numId="7">
    <w:abstractNumId w:val="0"/>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3E8"/>
    <w:rsid w:val="003833E8"/>
    <w:rsid w:val="005E1432"/>
    <w:rsid w:val="007C07A0"/>
    <w:rsid w:val="00A4305A"/>
    <w:rsid w:val="00EB1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pPr>
      <w:numPr>
        <w:numId w:val="4"/>
      </w:numPr>
      <w:spacing w:after="240"/>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pPr>
      <w:numPr>
        <w:ilvl w:val="1"/>
        <w:numId w:val="4"/>
      </w:numPr>
      <w:spacing w:after="240"/>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4"/>
      </w:numPr>
      <w:spacing w:after="240"/>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4"/>
      </w:numPr>
      <w:spacing w:after="240"/>
      <w:outlineLvl w:val="3"/>
    </w:pPr>
    <w:rPr>
      <w:rFonts w:eastAsiaTheme="majorEastAsia"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basedOn w:val="Normal"/>
    <w:link w:val="FootnoteTextChar"/>
    <w:uiPriority w:val="99"/>
    <w:unhideWhenUsed/>
    <w:pPr>
      <w:spacing w:after="120" w:line="240" w:lineRule="auto"/>
      <w:jc w:val="left"/>
    </w:pPr>
    <w:rPr>
      <w:rFonts w:eastAsia="Calibri"/>
      <w:sz w:val="20"/>
      <w:szCs w:val="20"/>
    </w:rPr>
  </w:style>
  <w:style w:type="character" w:customStyle="1" w:styleId="FootnoteTextChar">
    <w:name w:val="Footnote Text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semiHidden/>
    <w:rPr>
      <w:vertAlign w:val="superscript"/>
    </w:rPr>
  </w:style>
  <w:style w:type="paragraph" w:styleId="ListParagraph">
    <w:name w:val="List Paragraph"/>
    <w:basedOn w:val="Normal"/>
    <w:uiPriority w:val="34"/>
    <w:pPr>
      <w:ind w:left="720"/>
      <w:contextualSpacing/>
    </w:pPr>
  </w:style>
  <w:style w:type="character" w:styleId="PageNumber">
    <w:name w:val="page number"/>
    <w:basedOn w:val="DefaultParagraphFont"/>
    <w:rsid w:val="00D6396F"/>
  </w:style>
  <w:style w:type="paragraph" w:styleId="BalloonText">
    <w:name w:val="Balloon Text"/>
    <w:basedOn w:val="Normal"/>
    <w:link w:val="BalloonTextChar"/>
    <w:uiPriority w:val="99"/>
    <w:semiHidden/>
    <w:unhideWhenUsed/>
    <w:rsid w:val="003A2B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B5C"/>
    <w:rPr>
      <w:rFonts w:ascii="Tahoma" w:hAnsi="Tahoma" w:cs="Tahoma"/>
      <w:sz w:val="16"/>
      <w:szCs w:val="16"/>
    </w:rPr>
  </w:style>
  <w:style w:type="character" w:styleId="CommentReference">
    <w:name w:val="annotation reference"/>
    <w:basedOn w:val="DefaultParagraphFont"/>
    <w:uiPriority w:val="99"/>
    <w:semiHidden/>
    <w:unhideWhenUsed/>
    <w:rsid w:val="003A2B5C"/>
    <w:rPr>
      <w:sz w:val="16"/>
      <w:szCs w:val="16"/>
    </w:rPr>
  </w:style>
  <w:style w:type="paragraph" w:styleId="CommentText">
    <w:name w:val="annotation text"/>
    <w:basedOn w:val="Normal"/>
    <w:link w:val="CommentTextChar"/>
    <w:uiPriority w:val="99"/>
    <w:semiHidden/>
    <w:unhideWhenUsed/>
    <w:rsid w:val="003A2B5C"/>
    <w:pPr>
      <w:spacing w:line="240" w:lineRule="auto"/>
    </w:pPr>
    <w:rPr>
      <w:sz w:val="20"/>
      <w:szCs w:val="20"/>
    </w:rPr>
  </w:style>
  <w:style w:type="character" w:customStyle="1" w:styleId="CommentTextChar">
    <w:name w:val="Comment Text Char"/>
    <w:basedOn w:val="DefaultParagraphFont"/>
    <w:link w:val="CommentText"/>
    <w:uiPriority w:val="99"/>
    <w:semiHidden/>
    <w:rsid w:val="003A2B5C"/>
    <w:rPr>
      <w:rFonts w:ascii="Arial" w:hAnsi="Arial"/>
    </w:rPr>
  </w:style>
  <w:style w:type="paragraph" w:styleId="CommentSubject">
    <w:name w:val="annotation subject"/>
    <w:basedOn w:val="CommentText"/>
    <w:next w:val="CommentText"/>
    <w:link w:val="CommentSubjectChar"/>
    <w:uiPriority w:val="99"/>
    <w:semiHidden/>
    <w:unhideWhenUsed/>
    <w:rsid w:val="003A2B5C"/>
    <w:rPr>
      <w:b/>
      <w:bCs/>
    </w:rPr>
  </w:style>
  <w:style w:type="character" w:customStyle="1" w:styleId="CommentSubjectChar">
    <w:name w:val="Comment Subject Char"/>
    <w:basedOn w:val="CommentTextChar"/>
    <w:link w:val="CommentSubject"/>
    <w:uiPriority w:val="99"/>
    <w:semiHidden/>
    <w:rsid w:val="003A2B5C"/>
    <w:rPr>
      <w:rFonts w:ascii="Arial" w:hAnsi="Arial"/>
      <w:b/>
      <w:bCs/>
    </w:rPr>
  </w:style>
  <w:style w:type="character" w:styleId="Hyperlink">
    <w:name w:val="Hyperlink"/>
    <w:basedOn w:val="DefaultParagraphFont"/>
    <w:uiPriority w:val="99"/>
    <w:unhideWhenUsed/>
    <w:rsid w:val="00D706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List Bullet" w:qFormat="1"/>
    <w:lsdException w:name="List Number" w:qFormat="1"/>
    <w:lsdException w:name="Title" w:semiHidden="0" w:uiPriority="3" w:unhideWhenUsed="0" w:qFormat="1"/>
    <w:lsdException w:name="Signature" w:uiPriority="3"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spacing w:after="0" w:line="480" w:lineRule="auto"/>
      <w:jc w:val="both"/>
    </w:pPr>
    <w:rPr>
      <w:rFonts w:ascii="Arial" w:hAnsi="Arial"/>
      <w:sz w:val="24"/>
      <w:szCs w:val="24"/>
    </w:rPr>
  </w:style>
  <w:style w:type="paragraph" w:styleId="Heading1">
    <w:name w:val="heading 1"/>
    <w:basedOn w:val="Normal"/>
    <w:next w:val="Normal"/>
    <w:link w:val="Heading1Char"/>
    <w:uiPriority w:val="9"/>
    <w:qFormat/>
    <w:pPr>
      <w:numPr>
        <w:numId w:val="4"/>
      </w:numPr>
      <w:spacing w:after="240"/>
      <w:outlineLvl w:val="0"/>
    </w:pPr>
    <w:rPr>
      <w:rFonts w:ascii="Arial Bold" w:eastAsiaTheme="majorEastAsia" w:hAnsi="Arial Bold" w:cs="Arial"/>
      <w:b/>
      <w:bCs/>
      <w:caps/>
      <w:szCs w:val="28"/>
      <w:u w:val="single"/>
    </w:rPr>
  </w:style>
  <w:style w:type="paragraph" w:styleId="Heading2">
    <w:name w:val="heading 2"/>
    <w:basedOn w:val="Normal"/>
    <w:next w:val="Normal"/>
    <w:link w:val="Heading2Char"/>
    <w:uiPriority w:val="9"/>
    <w:qFormat/>
    <w:pPr>
      <w:numPr>
        <w:ilvl w:val="1"/>
        <w:numId w:val="4"/>
      </w:numPr>
      <w:spacing w:after="240"/>
      <w:outlineLvl w:val="1"/>
    </w:pPr>
    <w:rPr>
      <w:rFonts w:eastAsiaTheme="majorEastAsia" w:cs="Arial"/>
      <w:b/>
      <w:bCs/>
      <w:szCs w:val="26"/>
    </w:rPr>
  </w:style>
  <w:style w:type="paragraph" w:styleId="Heading3">
    <w:name w:val="heading 3"/>
    <w:basedOn w:val="Normal"/>
    <w:next w:val="Normal"/>
    <w:link w:val="Heading3Char"/>
    <w:uiPriority w:val="9"/>
    <w:qFormat/>
    <w:pPr>
      <w:numPr>
        <w:ilvl w:val="2"/>
        <w:numId w:val="4"/>
      </w:numPr>
      <w:spacing w:after="240"/>
      <w:outlineLvl w:val="2"/>
    </w:pPr>
    <w:rPr>
      <w:rFonts w:eastAsiaTheme="majorEastAsia" w:cs="Arial"/>
      <w:b/>
      <w:bCs/>
    </w:rPr>
  </w:style>
  <w:style w:type="paragraph" w:styleId="Heading4">
    <w:name w:val="heading 4"/>
    <w:basedOn w:val="Normal"/>
    <w:next w:val="Normal"/>
    <w:link w:val="Heading4Char"/>
    <w:uiPriority w:val="9"/>
    <w:unhideWhenUsed/>
    <w:qFormat/>
    <w:pPr>
      <w:numPr>
        <w:ilvl w:val="3"/>
        <w:numId w:val="4"/>
      </w:numPr>
      <w:spacing w:after="240"/>
      <w:outlineLvl w:val="3"/>
    </w:pPr>
    <w:rPr>
      <w:rFonts w:eastAsiaTheme="majorEastAsia"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Bold" w:eastAsiaTheme="majorEastAsia" w:hAnsi="Arial Bold" w:cs="Arial"/>
      <w:b/>
      <w:bCs/>
      <w:caps/>
      <w:sz w:val="24"/>
      <w:szCs w:val="28"/>
      <w:u w:val="single"/>
    </w:rPr>
  </w:style>
  <w:style w:type="character" w:customStyle="1" w:styleId="Heading2Char">
    <w:name w:val="Heading 2 Char"/>
    <w:basedOn w:val="DefaultParagraphFont"/>
    <w:link w:val="Heading2"/>
    <w:uiPriority w:val="9"/>
    <w:rPr>
      <w:rFonts w:ascii="Arial" w:eastAsiaTheme="majorEastAsia" w:hAnsi="Arial" w:cs="Arial"/>
      <w:b/>
      <w:bCs/>
      <w:sz w:val="24"/>
      <w:szCs w:val="26"/>
    </w:rPr>
  </w:style>
  <w:style w:type="character" w:customStyle="1" w:styleId="Heading3Char">
    <w:name w:val="Heading 3 Char"/>
    <w:basedOn w:val="DefaultParagraphFont"/>
    <w:link w:val="Heading3"/>
    <w:uiPriority w:val="9"/>
    <w:rPr>
      <w:rFonts w:ascii="Arial" w:eastAsiaTheme="majorEastAsia" w:hAnsi="Arial" w:cs="Arial"/>
      <w:b/>
      <w:bCs/>
      <w:sz w:val="24"/>
    </w:rPr>
  </w:style>
  <w:style w:type="character" w:customStyle="1" w:styleId="Heading4Char">
    <w:name w:val="Heading 4 Char"/>
    <w:basedOn w:val="DefaultParagraphFont"/>
    <w:link w:val="Heading4"/>
    <w:uiPriority w:val="9"/>
    <w:rPr>
      <w:rFonts w:ascii="Arial" w:eastAsiaTheme="majorEastAsia" w:hAnsi="Arial" w:cs="Arial"/>
      <w:b/>
      <w:bCs/>
      <w:i/>
      <w:iCs/>
      <w:sz w:val="24"/>
    </w:rPr>
  </w:style>
  <w:style w:type="paragraph" w:styleId="FootnoteText">
    <w:name w:val="footnote text"/>
    <w:basedOn w:val="Normal"/>
    <w:link w:val="FootnoteTextChar"/>
    <w:uiPriority w:val="99"/>
    <w:unhideWhenUsed/>
    <w:pPr>
      <w:spacing w:after="120" w:line="240" w:lineRule="auto"/>
      <w:jc w:val="left"/>
    </w:pPr>
    <w:rPr>
      <w:rFonts w:eastAsia="Calibri"/>
      <w:sz w:val="20"/>
      <w:szCs w:val="20"/>
    </w:rPr>
  </w:style>
  <w:style w:type="character" w:customStyle="1" w:styleId="FootnoteTextChar">
    <w:name w:val="Footnote Text Char"/>
    <w:basedOn w:val="DefaultParagraphFont"/>
    <w:link w:val="FootnoteText"/>
    <w:uiPriority w:val="99"/>
    <w:rPr>
      <w:rFonts w:ascii="Arial" w:eastAsia="Calibri" w:hAnsi="Arial"/>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ListBullet">
    <w:name w:val="List Bullet"/>
    <w:basedOn w:val="Normal"/>
    <w:uiPriority w:val="99"/>
    <w:qFormat/>
    <w:pPr>
      <w:numPr>
        <w:numId w:val="6"/>
      </w:numPr>
      <w:spacing w:after="240"/>
      <w:contextualSpacing/>
    </w:pPr>
  </w:style>
  <w:style w:type="paragraph" w:styleId="ListNumber">
    <w:name w:val="List Number"/>
    <w:basedOn w:val="Normal"/>
    <w:uiPriority w:val="99"/>
    <w:qFormat/>
    <w:pPr>
      <w:numPr>
        <w:numId w:val="8"/>
      </w:numPr>
      <w:spacing w:after="240"/>
      <w:contextualSpacing/>
    </w:pPr>
  </w:style>
  <w:style w:type="paragraph" w:styleId="Title">
    <w:name w:val="Title"/>
    <w:basedOn w:val="Normal"/>
    <w:link w:val="TitleChar"/>
    <w:uiPriority w:val="3"/>
    <w:qFormat/>
    <w:pPr>
      <w:spacing w:after="240"/>
      <w:jc w:val="center"/>
    </w:pPr>
    <w:rPr>
      <w:rFonts w:eastAsiaTheme="majorEastAsia" w:cstheme="majorBidi"/>
      <w:sz w:val="23"/>
      <w:szCs w:val="52"/>
    </w:rPr>
  </w:style>
  <w:style w:type="character" w:customStyle="1" w:styleId="TitleChar">
    <w:name w:val="Title Char"/>
    <w:basedOn w:val="DefaultParagraphFont"/>
    <w:link w:val="Title"/>
    <w:uiPriority w:val="3"/>
    <w:rPr>
      <w:rFonts w:ascii="Arial" w:eastAsiaTheme="majorEastAsia" w:hAnsi="Arial" w:cstheme="majorBidi"/>
      <w:sz w:val="23"/>
      <w:szCs w:val="52"/>
    </w:rPr>
  </w:style>
  <w:style w:type="paragraph" w:styleId="Signature">
    <w:name w:val="Signature"/>
    <w:basedOn w:val="Normal"/>
    <w:link w:val="SignatureChar"/>
    <w:uiPriority w:val="3"/>
    <w:qFormat/>
    <w:pPr>
      <w:spacing w:after="240"/>
      <w:ind w:left="4320"/>
      <w:contextualSpacing/>
    </w:pPr>
    <w:rPr>
      <w:sz w:val="23"/>
    </w:rPr>
  </w:style>
  <w:style w:type="character" w:customStyle="1" w:styleId="SignatureChar">
    <w:name w:val="Signature Char"/>
    <w:basedOn w:val="DefaultParagraphFont"/>
    <w:link w:val="Signature"/>
    <w:uiPriority w:val="3"/>
    <w:rPr>
      <w:rFonts w:ascii="Arial" w:hAnsi="Arial"/>
      <w:sz w:val="23"/>
    </w:rPr>
  </w:style>
  <w:style w:type="paragraph" w:styleId="TOCHeading">
    <w:name w:val="TOC Heading"/>
    <w:basedOn w:val="Heading1"/>
    <w:next w:val="Normal"/>
    <w:uiPriority w:val="39"/>
    <w:unhideWhenUsed/>
    <w:qFormat/>
    <w:pPr>
      <w:numPr>
        <w:numId w:val="0"/>
      </w:numPr>
      <w:spacing w:before="480"/>
      <w:outlineLvl w:val="9"/>
    </w:pPr>
    <w:rPr>
      <w:rFonts w:asciiTheme="majorHAnsi" w:hAnsiTheme="majorHAnsi"/>
      <w:b w:val="0"/>
      <w:color w:val="365F91" w:themeColor="accent1" w:themeShade="BF"/>
      <w:sz w:val="28"/>
    </w:rPr>
  </w:style>
  <w:style w:type="paragraph" w:customStyle="1" w:styleId="DoubleIndent1">
    <w:name w:val="Double Indent 1"/>
    <w:aliases w:val="DblInd1"/>
    <w:basedOn w:val="Normal"/>
    <w:uiPriority w:val="2"/>
    <w:qFormat/>
    <w:pPr>
      <w:spacing w:after="240"/>
      <w:ind w:left="1440" w:right="1440"/>
    </w:pPr>
  </w:style>
  <w:style w:type="paragraph" w:customStyle="1" w:styleId="LeftIndent">
    <w:name w:val="Left Indent"/>
    <w:aliases w:val="LeftInd"/>
    <w:basedOn w:val="Normal"/>
    <w:uiPriority w:val="11"/>
    <w:qFormat/>
    <w:pPr>
      <w:spacing w:after="240"/>
    </w:pPr>
  </w:style>
  <w:style w:type="paragraph" w:customStyle="1" w:styleId="FirstLineIndent">
    <w:name w:val="First Line Indent"/>
    <w:aliases w:val="FirstInd"/>
    <w:basedOn w:val="Normal"/>
    <w:uiPriority w:val="1"/>
    <w:qFormat/>
    <w:pPr>
      <w:spacing w:after="240"/>
      <w:ind w:firstLine="720"/>
    </w:pPr>
  </w:style>
  <w:style w:type="paragraph" w:customStyle="1" w:styleId="NoIndent">
    <w:name w:val="No Indent"/>
    <w:aliases w:val="NoInd"/>
    <w:basedOn w:val="Normal"/>
    <w:qFormat/>
    <w:pPr>
      <w:spacing w:after="240"/>
    </w:pPr>
  </w:style>
  <w:style w:type="paragraph" w:customStyle="1" w:styleId="DoubleIndent5">
    <w:name w:val="Double Indent .5"/>
    <w:aliases w:val="DblInd5"/>
    <w:basedOn w:val="Normal"/>
    <w:uiPriority w:val="2"/>
    <w:qFormat/>
    <w:pPr>
      <w:spacing w:after="240"/>
      <w:ind w:right="720"/>
    </w:pPr>
    <w:rPr>
      <w:iCs/>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Arial" w:hAnsi="Arial"/>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Arial" w:hAnsi="Arial"/>
      <w:sz w:val="24"/>
      <w:szCs w:val="24"/>
    </w:rPr>
  </w:style>
  <w:style w:type="character" w:styleId="FootnoteReference">
    <w:name w:val="footnote reference"/>
    <w:semiHidden/>
    <w:rPr>
      <w:vertAlign w:val="superscript"/>
    </w:rPr>
  </w:style>
  <w:style w:type="paragraph" w:styleId="ListParagraph">
    <w:name w:val="List Paragraph"/>
    <w:basedOn w:val="Normal"/>
    <w:uiPriority w:val="34"/>
    <w:pPr>
      <w:ind w:left="720"/>
      <w:contextualSpacing/>
    </w:pPr>
  </w:style>
  <w:style w:type="character" w:styleId="PageNumber">
    <w:name w:val="page number"/>
    <w:basedOn w:val="DefaultParagraphFont"/>
    <w:rsid w:val="00D6396F"/>
  </w:style>
  <w:style w:type="paragraph" w:styleId="BalloonText">
    <w:name w:val="Balloon Text"/>
    <w:basedOn w:val="Normal"/>
    <w:link w:val="BalloonTextChar"/>
    <w:uiPriority w:val="99"/>
    <w:semiHidden/>
    <w:unhideWhenUsed/>
    <w:rsid w:val="003A2B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B5C"/>
    <w:rPr>
      <w:rFonts w:ascii="Tahoma" w:hAnsi="Tahoma" w:cs="Tahoma"/>
      <w:sz w:val="16"/>
      <w:szCs w:val="16"/>
    </w:rPr>
  </w:style>
  <w:style w:type="character" w:styleId="CommentReference">
    <w:name w:val="annotation reference"/>
    <w:basedOn w:val="DefaultParagraphFont"/>
    <w:uiPriority w:val="99"/>
    <w:semiHidden/>
    <w:unhideWhenUsed/>
    <w:rsid w:val="003A2B5C"/>
    <w:rPr>
      <w:sz w:val="16"/>
      <w:szCs w:val="16"/>
    </w:rPr>
  </w:style>
  <w:style w:type="paragraph" w:styleId="CommentText">
    <w:name w:val="annotation text"/>
    <w:basedOn w:val="Normal"/>
    <w:link w:val="CommentTextChar"/>
    <w:uiPriority w:val="99"/>
    <w:semiHidden/>
    <w:unhideWhenUsed/>
    <w:rsid w:val="003A2B5C"/>
    <w:pPr>
      <w:spacing w:line="240" w:lineRule="auto"/>
    </w:pPr>
    <w:rPr>
      <w:sz w:val="20"/>
      <w:szCs w:val="20"/>
    </w:rPr>
  </w:style>
  <w:style w:type="character" w:customStyle="1" w:styleId="CommentTextChar">
    <w:name w:val="Comment Text Char"/>
    <w:basedOn w:val="DefaultParagraphFont"/>
    <w:link w:val="CommentText"/>
    <w:uiPriority w:val="99"/>
    <w:semiHidden/>
    <w:rsid w:val="003A2B5C"/>
    <w:rPr>
      <w:rFonts w:ascii="Arial" w:hAnsi="Arial"/>
    </w:rPr>
  </w:style>
  <w:style w:type="paragraph" w:styleId="CommentSubject">
    <w:name w:val="annotation subject"/>
    <w:basedOn w:val="CommentText"/>
    <w:next w:val="CommentText"/>
    <w:link w:val="CommentSubjectChar"/>
    <w:uiPriority w:val="99"/>
    <w:semiHidden/>
    <w:unhideWhenUsed/>
    <w:rsid w:val="003A2B5C"/>
    <w:rPr>
      <w:b/>
      <w:bCs/>
    </w:rPr>
  </w:style>
  <w:style w:type="character" w:customStyle="1" w:styleId="CommentSubjectChar">
    <w:name w:val="Comment Subject Char"/>
    <w:basedOn w:val="CommentTextChar"/>
    <w:link w:val="CommentSubject"/>
    <w:uiPriority w:val="99"/>
    <w:semiHidden/>
    <w:rsid w:val="003A2B5C"/>
    <w:rPr>
      <w:rFonts w:ascii="Arial" w:hAnsi="Arial"/>
      <w:b/>
      <w:bCs/>
    </w:rPr>
  </w:style>
  <w:style w:type="character" w:styleId="Hyperlink">
    <w:name w:val="Hyperlink"/>
    <w:basedOn w:val="DefaultParagraphFont"/>
    <w:uiPriority w:val="99"/>
    <w:unhideWhenUsed/>
    <w:rsid w:val="00D706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DEAF43-4D92-42AD-BD13-9BD0BDB8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1145</Words>
  <Characters>6639</Characters>
  <Application>Microsoft Office Word</Application>
  <DocSecurity>0</DocSecurity>
  <PresentationFormat/>
  <Lines>237</Lines>
  <Paragraphs>114</Paragraphs>
  <ScaleCrop>false</ScaleCrop>
  <HeadingPairs>
    <vt:vector size="2" baseType="variant">
      <vt:variant>
        <vt:lpstr>Title</vt:lpstr>
      </vt:variant>
      <vt:variant>
        <vt:i4>1</vt:i4>
      </vt:variant>
    </vt:vector>
  </HeadingPairs>
  <TitlesOfParts>
    <vt:vector size="1" baseType="lpstr">
      <vt:lpstr>Motion to Extend Protective Order (12-1494) (C43075).DOCX</vt:lpstr>
    </vt:vector>
  </TitlesOfParts>
  <Manager/>
  <Company/>
  <LinksUpToDate>false</LinksUpToDate>
  <CharactersWithSpaces>7728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Extend Protective Order (12-1494) (C43075).DOCX</dc:title>
  <dc:subject>C43075: /font=8</dc:subject>
  <dc:creator/>
  <cp:keywords> </cp:keywords>
  <dc:description> </dc:description>
  <cp:lastModifiedBy/>
  <cp:revision>7</cp:revision>
  <dcterms:created xsi:type="dcterms:W3CDTF">2014-03-10T20:24:00Z</dcterms:created>
  <dcterms:modified xsi:type="dcterms:W3CDTF">2014-03-20T18:58:00Z</dcterms:modified>
  <cp:category> </cp:category>
  <cp:contentStatus> </cp:contentStatus>
</cp:coreProperties>
</file>