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10A7" w:rsidRPr="002277F1" w:rsidP="007E0A34">
      <w:pPr>
        <w:pStyle w:val="HTMLPreformatted"/>
        <w:jc w:val="center"/>
        <w:rPr>
          <w:rFonts w:ascii="Times New Roman" w:hAnsi="Times New Roman" w:cs="Times New Roman"/>
          <w:b/>
          <w:bCs/>
          <w:sz w:val="24"/>
          <w:szCs w:val="24"/>
        </w:rPr>
      </w:pPr>
      <w:bookmarkStart w:id="0" w:name="_GoBack"/>
      <w:bookmarkEnd w:id="0"/>
      <w:r w:rsidRPr="002277F1">
        <w:rPr>
          <w:rFonts w:ascii="Times New Roman" w:hAnsi="Times New Roman" w:cs="Times New Roman"/>
          <w:b/>
          <w:bCs/>
          <w:sz w:val="24"/>
          <w:szCs w:val="24"/>
        </w:rPr>
        <w:t>BEFORE</w:t>
      </w:r>
    </w:p>
    <w:p w:rsidR="00D310A7" w:rsidRPr="002277F1" w:rsidP="007E0A34">
      <w:pPr>
        <w:pStyle w:val="HTMLPreformatted"/>
        <w:jc w:val="center"/>
        <w:rPr>
          <w:rFonts w:ascii="Times New Roman" w:hAnsi="Times New Roman" w:cs="Times New Roman"/>
          <w:b/>
          <w:bCs/>
          <w:sz w:val="24"/>
          <w:szCs w:val="24"/>
        </w:rPr>
      </w:pPr>
      <w:r w:rsidRPr="002277F1">
        <w:rPr>
          <w:rFonts w:ascii="Times New Roman" w:hAnsi="Times New Roman" w:cs="Times New Roman"/>
          <w:b/>
          <w:bCs/>
          <w:sz w:val="24"/>
          <w:szCs w:val="24"/>
        </w:rPr>
        <w:t>THE PUBLIC UTILITIES COMMISSION OF OHIO</w:t>
      </w:r>
    </w:p>
    <w:p w:rsidR="00D310A7" w:rsidRPr="002277F1" w:rsidP="007E0A34">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310A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D310A7"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In the Matter</w:t>
            </w:r>
            <w:r w:rsidRPr="002277F1" w:rsidR="0034059F">
              <w:rPr>
                <w:rFonts w:ascii="Times New Roman" w:eastAsia="Courier New" w:hAnsi="Times New Roman" w:cs="Times New Roman"/>
                <w:sz w:val="24"/>
                <w:szCs w:val="24"/>
                <w:lang w:val="en-US" w:eastAsia="en-US" w:bidi="ar-SA"/>
              </w:rPr>
              <w:t>s</w:t>
            </w:r>
            <w:r w:rsidRPr="002277F1">
              <w:rPr>
                <w:rFonts w:ascii="Times New Roman" w:eastAsia="Courier New" w:hAnsi="Times New Roman" w:cs="Times New Roman"/>
                <w:sz w:val="24"/>
                <w:szCs w:val="24"/>
                <w:lang w:val="en-US" w:eastAsia="en-US" w:bidi="ar-SA"/>
              </w:rPr>
              <w:t xml:space="preserve"> of the Application</w:t>
            </w:r>
            <w:r w:rsidRPr="002277F1" w:rsidR="0034059F">
              <w:rPr>
                <w:rFonts w:ascii="Times New Roman" w:eastAsia="Courier New" w:hAnsi="Times New Roman" w:cs="Times New Roman"/>
                <w:sz w:val="24"/>
                <w:szCs w:val="24"/>
                <w:lang w:val="en-US" w:eastAsia="en-US" w:bidi="ar-SA"/>
              </w:rPr>
              <w:t>s</w:t>
            </w:r>
            <w:r w:rsidRPr="002277F1">
              <w:rPr>
                <w:rFonts w:ascii="Times New Roman" w:eastAsia="Courier New" w:hAnsi="Times New Roman" w:cs="Times New Roman"/>
                <w:sz w:val="24"/>
                <w:szCs w:val="24"/>
                <w:lang w:val="en-US" w:eastAsia="en-US" w:bidi="ar-SA"/>
              </w:rPr>
              <w:t xml:space="preserve"> of Duke Energy Ohio, Inc. for Recovery of Program Costs, Lost Distribution Revenues, and Performance Incentives Related to its Energy Efficiency and Demand Response Programs.</w:t>
            </w:r>
          </w:p>
        </w:tc>
        <w:tc>
          <w:tcPr>
            <w:tcW w:w="360" w:type="dxa"/>
            <w:shd w:val="clear" w:color="auto" w:fill="auto"/>
          </w:tcPr>
          <w:p w:rsidR="00D310A7"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w:t>
            </w:r>
          </w:p>
          <w:p w:rsidR="00D310A7"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w:t>
            </w:r>
          </w:p>
          <w:p w:rsidR="00D310A7"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w:t>
            </w:r>
          </w:p>
          <w:p w:rsidR="0047246F"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w:t>
            </w:r>
          </w:p>
          <w:p w:rsidR="0047246F"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w:t>
            </w:r>
          </w:p>
          <w:p w:rsidR="0047246F"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w:t>
            </w:r>
          </w:p>
        </w:tc>
        <w:tc>
          <w:tcPr>
            <w:tcW w:w="4400" w:type="dxa"/>
            <w:shd w:val="clear" w:color="auto" w:fill="auto"/>
          </w:tcPr>
          <w:p w:rsidR="00D310A7"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34059F"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Case No. 16-664-EL-RDR</w:t>
            </w:r>
          </w:p>
          <w:p w:rsidR="0034059F"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B5209E"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310A7"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2277F1">
              <w:rPr>
                <w:rFonts w:ascii="Times New Roman" w:eastAsia="Courier New" w:hAnsi="Times New Roman" w:cs="Times New Roman"/>
                <w:sz w:val="24"/>
                <w:szCs w:val="24"/>
                <w:lang w:val="en-US" w:eastAsia="en-US" w:bidi="ar-SA"/>
              </w:rPr>
              <w:t>Case No. 17-781-EL-RDR</w:t>
            </w:r>
          </w:p>
          <w:p w:rsidR="00D310A7" w:rsidRPr="002277F1" w:rsidP="007E0A3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D310A7" w:rsidRPr="002277F1" w:rsidP="007E0A34">
      <w:pPr>
        <w:pStyle w:val="HTMLPreformatted"/>
        <w:rPr>
          <w:rFonts w:ascii="Times New Roman" w:hAnsi="Times New Roman" w:cs="Times New Roman"/>
          <w:sz w:val="24"/>
          <w:szCs w:val="24"/>
        </w:rPr>
      </w:pPr>
    </w:p>
    <w:p w:rsidR="00D310A7" w:rsidRPr="002277F1" w:rsidP="007E0A34">
      <w:pPr>
        <w:pStyle w:val="HTMLPreformatted"/>
        <w:pBdr>
          <w:top w:val="single" w:sz="12" w:space="1" w:color="auto"/>
        </w:pBdr>
        <w:rPr>
          <w:rFonts w:ascii="Times New Roman" w:hAnsi="Times New Roman" w:cs="Times New Roman"/>
          <w:sz w:val="24"/>
          <w:szCs w:val="24"/>
        </w:rPr>
      </w:pPr>
    </w:p>
    <w:p w:rsidR="00D310A7" w:rsidRPr="002277F1" w:rsidP="007E0A34">
      <w:pPr>
        <w:jc w:val="center"/>
        <w:rPr>
          <w:b/>
          <w:bCs/>
          <w:szCs w:val="24"/>
        </w:rPr>
      </w:pPr>
      <w:r w:rsidRPr="002277F1">
        <w:rPr>
          <w:b/>
          <w:bCs/>
          <w:szCs w:val="24"/>
        </w:rPr>
        <w:t xml:space="preserve">MEMORANDUM CONTRA DUKE ENERGY </w:t>
      </w:r>
      <w:r w:rsidRPr="002277F1">
        <w:rPr>
          <w:b/>
          <w:bCs/>
          <w:szCs w:val="24"/>
        </w:rPr>
        <w:br/>
        <w:t>OHIO, INC.’S APPLICATION FOR REHEARING</w:t>
      </w:r>
    </w:p>
    <w:p w:rsidR="00D310A7" w:rsidRPr="002277F1" w:rsidP="007E0A34">
      <w:pPr>
        <w:jc w:val="center"/>
        <w:rPr>
          <w:b/>
          <w:bCs/>
          <w:szCs w:val="24"/>
        </w:rPr>
      </w:pPr>
      <w:r w:rsidRPr="002277F1">
        <w:rPr>
          <w:b/>
          <w:bCs/>
          <w:szCs w:val="24"/>
        </w:rPr>
        <w:t>BY</w:t>
      </w:r>
    </w:p>
    <w:p w:rsidR="00D310A7" w:rsidRPr="002277F1" w:rsidP="007E0A34">
      <w:pPr>
        <w:jc w:val="center"/>
        <w:rPr>
          <w:b/>
          <w:bCs/>
          <w:szCs w:val="24"/>
        </w:rPr>
      </w:pPr>
      <w:r w:rsidRPr="002277F1">
        <w:rPr>
          <w:b/>
          <w:bCs/>
          <w:szCs w:val="24"/>
        </w:rPr>
        <w:t>THE OFFICE OF THE OHIO CONSUMERS’ COUNSEL</w:t>
      </w:r>
    </w:p>
    <w:p w:rsidR="00D310A7" w:rsidRPr="002277F1" w:rsidP="007E0A34">
      <w:pPr>
        <w:pBdr>
          <w:bottom w:val="single" w:sz="12" w:space="1" w:color="auto"/>
        </w:pBdr>
        <w:tabs>
          <w:tab w:val="left" w:pos="4320"/>
        </w:tabs>
        <w:rPr>
          <w:szCs w:val="24"/>
        </w:rPr>
      </w:pPr>
    </w:p>
    <w:p w:rsidR="00D310A7" w:rsidRPr="002277F1" w:rsidP="007E0A34">
      <w:pPr>
        <w:tabs>
          <w:tab w:val="left" w:pos="4320"/>
        </w:tabs>
        <w:rPr>
          <w:szCs w:val="24"/>
        </w:rPr>
      </w:pPr>
    </w:p>
    <w:p w:rsidR="0034059F" w:rsidRPr="002277F1" w:rsidP="007E0A34">
      <w:pPr>
        <w:pStyle w:val="BodyTextIndent3"/>
        <w:spacing w:line="480" w:lineRule="auto"/>
        <w:rPr>
          <w:szCs w:val="24"/>
        </w:rPr>
      </w:pPr>
      <w:bookmarkStart w:id="1" w:name="_Hlk525824973"/>
      <w:r w:rsidRPr="002277F1">
        <w:rPr>
          <w:szCs w:val="24"/>
        </w:rPr>
        <w:t>The Public Utilities Commission of Ohio (“PUCO”) should deny Duke’s application for rehearing.</w:t>
      </w:r>
      <w:r>
        <w:rPr>
          <w:rStyle w:val="FootnoteReference"/>
          <w:szCs w:val="24"/>
        </w:rPr>
        <w:footnoteReference w:id="2"/>
      </w:r>
      <w:r w:rsidRPr="002277F1">
        <w:rPr>
          <w:szCs w:val="24"/>
        </w:rPr>
        <w:t xml:space="preserve"> </w:t>
      </w:r>
      <w:r w:rsidRPr="002277F1" w:rsidR="0094533C">
        <w:rPr>
          <w:szCs w:val="24"/>
        </w:rPr>
        <w:t xml:space="preserve">In its </w:t>
      </w:r>
      <w:r w:rsidRPr="002277F1" w:rsidR="00270796">
        <w:rPr>
          <w:szCs w:val="24"/>
        </w:rPr>
        <w:t>o</w:t>
      </w:r>
      <w:r w:rsidRPr="002277F1" w:rsidR="0094533C">
        <w:rPr>
          <w:szCs w:val="24"/>
        </w:rPr>
        <w:t xml:space="preserve">rder, the PUCO ruled that Duke cannot charge customers for incentive </w:t>
      </w:r>
      <w:r w:rsidRPr="002277F1" w:rsidR="00B64351">
        <w:rPr>
          <w:szCs w:val="24"/>
        </w:rPr>
        <w:t xml:space="preserve">compensation </w:t>
      </w:r>
      <w:r w:rsidRPr="002277F1" w:rsidR="0094533C">
        <w:rPr>
          <w:szCs w:val="24"/>
        </w:rPr>
        <w:t>pa</w:t>
      </w:r>
      <w:r w:rsidRPr="002277F1" w:rsidR="00B64351">
        <w:rPr>
          <w:szCs w:val="24"/>
        </w:rPr>
        <w:t>id</w:t>
      </w:r>
      <w:r w:rsidRPr="002277F1" w:rsidR="0094533C">
        <w:rPr>
          <w:szCs w:val="24"/>
        </w:rPr>
        <w:t xml:space="preserve"> to Duke employees</w:t>
      </w:r>
      <w:r w:rsidRPr="002277F1" w:rsidR="004C1C7A">
        <w:rPr>
          <w:szCs w:val="24"/>
        </w:rPr>
        <w:t xml:space="preserve"> in 2015 and 2016</w:t>
      </w:r>
      <w:r w:rsidRPr="002277F1" w:rsidR="0094533C">
        <w:rPr>
          <w:szCs w:val="24"/>
        </w:rPr>
        <w:t>, as the PUCO Staff had recommended.</w:t>
      </w:r>
      <w:r>
        <w:rPr>
          <w:rStyle w:val="FootnoteReference"/>
          <w:szCs w:val="24"/>
        </w:rPr>
        <w:footnoteReference w:id="3"/>
      </w:r>
      <w:r w:rsidRPr="002277F1" w:rsidR="00270796">
        <w:rPr>
          <w:szCs w:val="24"/>
        </w:rPr>
        <w:t xml:space="preserve"> Duke has failed to establish that this ruling was unreasonable or unlawful, as required by R.C. 4903.10(B). To the contrary, the ruling is </w:t>
      </w:r>
      <w:r w:rsidRPr="002277F1" w:rsidR="00B53014">
        <w:rPr>
          <w:szCs w:val="24"/>
        </w:rPr>
        <w:t xml:space="preserve">reasonable and </w:t>
      </w:r>
      <w:r w:rsidRPr="002277F1" w:rsidR="00270796">
        <w:rPr>
          <w:szCs w:val="24"/>
        </w:rPr>
        <w:t>consistent with PUCO precedent</w:t>
      </w:r>
      <w:r w:rsidRPr="002277F1" w:rsidR="004A5E47">
        <w:rPr>
          <w:szCs w:val="24"/>
        </w:rPr>
        <w:t xml:space="preserve"> that excludes from rates charged to customers incentive pay that is linked to the financial performance of the utility</w:t>
      </w:r>
      <w:r w:rsidRPr="002277F1" w:rsidR="00270796">
        <w:rPr>
          <w:szCs w:val="24"/>
        </w:rPr>
        <w:t xml:space="preserve">. Thus, the PUCO should deny Duke’s application for rehearing and reaffirm its ruling that customers should not pay for utility employee incentive </w:t>
      </w:r>
      <w:r w:rsidRPr="002277F1" w:rsidR="00B64351">
        <w:rPr>
          <w:szCs w:val="24"/>
        </w:rPr>
        <w:t>compensation</w:t>
      </w:r>
      <w:r w:rsidRPr="002277F1" w:rsidR="004A5E47">
        <w:rPr>
          <w:szCs w:val="24"/>
        </w:rPr>
        <w:t xml:space="preserve"> linked to financial performance. </w:t>
      </w:r>
    </w:p>
    <w:p w:rsidR="00270796" w:rsidRPr="002277F1" w:rsidP="00270796">
      <w:pPr>
        <w:pStyle w:val="BodyTextIndent3"/>
        <w:keepNext/>
        <w:keepLines/>
        <w:spacing w:after="240" w:line="240" w:lineRule="auto"/>
        <w:ind w:firstLine="0"/>
        <w:rPr>
          <w:b/>
          <w:bCs/>
          <w:szCs w:val="24"/>
        </w:rPr>
      </w:pPr>
      <w:r w:rsidRPr="002277F1">
        <w:rPr>
          <w:b/>
          <w:bCs/>
          <w:szCs w:val="24"/>
        </w:rPr>
        <w:t>I.</w:t>
      </w:r>
      <w:r w:rsidRPr="002277F1">
        <w:rPr>
          <w:b/>
          <w:bCs/>
          <w:szCs w:val="24"/>
        </w:rPr>
        <w:tab/>
        <w:t>RECOMMENDATIONS</w:t>
      </w:r>
    </w:p>
    <w:p w:rsidR="00CE24AB" w:rsidRPr="002277F1" w:rsidP="002277F1">
      <w:pPr>
        <w:pStyle w:val="BodyTextIndent3"/>
        <w:keepNext/>
        <w:keepLines/>
        <w:spacing w:after="240" w:line="240" w:lineRule="auto"/>
        <w:ind w:left="1440" w:right="720" w:hanging="720"/>
        <w:rPr>
          <w:szCs w:val="24"/>
        </w:rPr>
      </w:pPr>
      <w:r w:rsidRPr="002277F1">
        <w:rPr>
          <w:b/>
          <w:bCs/>
          <w:szCs w:val="24"/>
        </w:rPr>
        <w:t>A.</w:t>
      </w:r>
      <w:r w:rsidRPr="002277F1">
        <w:rPr>
          <w:b/>
          <w:bCs/>
          <w:szCs w:val="24"/>
        </w:rPr>
        <w:tab/>
        <w:t>The PUCO denied Duke’s request to charge customers for incentive</w:t>
      </w:r>
      <w:r w:rsidRPr="002277F1" w:rsidR="00B64351">
        <w:rPr>
          <w:b/>
          <w:bCs/>
          <w:szCs w:val="24"/>
        </w:rPr>
        <w:t xml:space="preserve"> compensation</w:t>
      </w:r>
      <w:r w:rsidRPr="002277F1">
        <w:rPr>
          <w:b/>
          <w:bCs/>
          <w:szCs w:val="24"/>
        </w:rPr>
        <w:t xml:space="preserve"> pa</w:t>
      </w:r>
      <w:r w:rsidRPr="002277F1" w:rsidR="00B64351">
        <w:rPr>
          <w:b/>
          <w:bCs/>
          <w:szCs w:val="24"/>
        </w:rPr>
        <w:t>id</w:t>
      </w:r>
      <w:r w:rsidRPr="002277F1">
        <w:rPr>
          <w:b/>
          <w:bCs/>
          <w:szCs w:val="24"/>
        </w:rPr>
        <w:t xml:space="preserve"> to utility employees in Duke’s previous energy efficiency rider case (Case No. 15-534-EL-RDR), so the Order is consistent with PUCO precedent.</w:t>
      </w:r>
    </w:p>
    <w:p w:rsidR="00270796" w:rsidRPr="002277F1" w:rsidP="007E0A34">
      <w:pPr>
        <w:pStyle w:val="BodyTextIndent3"/>
        <w:spacing w:line="480" w:lineRule="auto"/>
        <w:rPr>
          <w:szCs w:val="24"/>
        </w:rPr>
      </w:pPr>
      <w:r w:rsidRPr="002277F1">
        <w:rPr>
          <w:szCs w:val="24"/>
        </w:rPr>
        <w:t>Duke argues that it should be allowed to charge customers for utility employee incentive pay.</w:t>
      </w:r>
      <w:r>
        <w:rPr>
          <w:rStyle w:val="FootnoteReference"/>
          <w:szCs w:val="24"/>
        </w:rPr>
        <w:footnoteReference w:id="4"/>
      </w:r>
      <w:r w:rsidRPr="002277F1">
        <w:rPr>
          <w:szCs w:val="24"/>
        </w:rPr>
        <w:t xml:space="preserve"> In support of its position, Duke cites three PUCO base rate cases (one natural gas, one electric, and one water)</w:t>
      </w:r>
      <w:r w:rsidRPr="002277F1" w:rsidR="00DF2015">
        <w:rPr>
          <w:szCs w:val="24"/>
        </w:rPr>
        <w:t>, and</w:t>
      </w:r>
      <w:r w:rsidRPr="002277F1">
        <w:rPr>
          <w:szCs w:val="24"/>
        </w:rPr>
        <w:t xml:space="preserve"> three cherry-picked cases from other jurisdictions (California, Massachusetts, and Illinois).</w:t>
      </w:r>
      <w:r>
        <w:rPr>
          <w:rStyle w:val="FootnoteReference"/>
          <w:szCs w:val="24"/>
        </w:rPr>
        <w:footnoteReference w:id="5"/>
      </w:r>
    </w:p>
    <w:p w:rsidR="00270796" w:rsidRPr="002277F1" w:rsidP="007E0A34">
      <w:pPr>
        <w:pStyle w:val="BodyTextIndent3"/>
        <w:spacing w:line="480" w:lineRule="auto"/>
        <w:rPr>
          <w:szCs w:val="24"/>
        </w:rPr>
      </w:pPr>
      <w:r w:rsidRPr="002277F1">
        <w:rPr>
          <w:szCs w:val="24"/>
        </w:rPr>
        <w:t>But Duke ignores the most relevant precedent: the PUCO’s ruling in Duke’s own energy efficiency rider case, Case No. 15-534-EL-RDR (the “</w:t>
      </w:r>
      <w:r w:rsidRPr="002277F1" w:rsidR="00A12E2C">
        <w:rPr>
          <w:szCs w:val="24"/>
        </w:rPr>
        <w:t>2014 Rider Case”)</w:t>
      </w:r>
      <w:r w:rsidRPr="002277F1" w:rsidR="00DC0D61">
        <w:rPr>
          <w:szCs w:val="24"/>
        </w:rPr>
        <w:t xml:space="preserve">, which immediately preceded the two cases </w:t>
      </w:r>
      <w:r w:rsidRPr="002277F1" w:rsidR="000824C7">
        <w:rPr>
          <w:szCs w:val="24"/>
        </w:rPr>
        <w:t>that are the subject of the Order</w:t>
      </w:r>
      <w:r w:rsidRPr="002277F1" w:rsidR="00A12E2C">
        <w:rPr>
          <w:szCs w:val="24"/>
        </w:rPr>
        <w:t xml:space="preserve">. In the 2014 Rider Case, the PUCO Staff recommended disallowance of </w:t>
      </w:r>
      <w:r w:rsidRPr="002277F1" w:rsidR="000824C7">
        <w:rPr>
          <w:szCs w:val="24"/>
        </w:rPr>
        <w:t xml:space="preserve">utility employee </w:t>
      </w:r>
      <w:r w:rsidRPr="002277F1" w:rsidR="00A12E2C">
        <w:rPr>
          <w:szCs w:val="24"/>
        </w:rPr>
        <w:t>incentive pay, as follows:</w:t>
      </w:r>
    </w:p>
    <w:p w:rsidR="00A12E2C" w:rsidRPr="002277F1" w:rsidP="002277F1">
      <w:pPr>
        <w:pStyle w:val="BodyTextIndent3"/>
        <w:keepLines/>
        <w:spacing w:after="240" w:line="240" w:lineRule="auto"/>
        <w:ind w:left="1440" w:right="720" w:firstLine="0"/>
        <w:rPr>
          <w:szCs w:val="24"/>
        </w:rPr>
      </w:pPr>
      <w:r w:rsidRPr="002277F1">
        <w:rPr>
          <w:szCs w:val="24"/>
        </w:rPr>
        <w:t>Staff’s review of Rider EE-PDR expenses found incentive pay, performance awards and restricted stock units totaling $286,509 included in the rider. This is comprised of executive short term incentives of $17,919, incentives allocated of $264,997 and a performance award of $3,593. Staff typically does not allow the recovery of incentives, especially those based on financial results. Staff recommends that incentives and restricted stock units in the amount of $286,509 be excluded from the Rider EE-PDR recovery request.</w:t>
      </w:r>
      <w:r>
        <w:rPr>
          <w:rStyle w:val="FootnoteReference"/>
          <w:szCs w:val="24"/>
        </w:rPr>
        <w:footnoteReference w:id="6"/>
      </w:r>
    </w:p>
    <w:p w:rsidR="00270796" w:rsidRPr="002277F1" w:rsidP="007E0A34">
      <w:pPr>
        <w:pStyle w:val="BodyTextIndent3"/>
        <w:spacing w:line="480" w:lineRule="auto"/>
        <w:rPr>
          <w:szCs w:val="24"/>
        </w:rPr>
      </w:pPr>
      <w:r w:rsidRPr="002277F1">
        <w:rPr>
          <w:szCs w:val="24"/>
        </w:rPr>
        <w:t xml:space="preserve">This is nearly identical to the recommendations that the PUCO Staff made in the current cases, where it recommended disallowance of “incentive pay, performance </w:t>
      </w:r>
      <w:r w:rsidRPr="002277F1">
        <w:rPr>
          <w:szCs w:val="24"/>
        </w:rPr>
        <w:t>awards, and restricted stock units linked to the financial performance of the Company.”</w:t>
      </w:r>
      <w:r>
        <w:rPr>
          <w:rStyle w:val="FootnoteReference"/>
          <w:szCs w:val="24"/>
        </w:rPr>
        <w:footnoteReference w:id="7"/>
      </w:r>
      <w:r w:rsidRPr="002277F1">
        <w:rPr>
          <w:szCs w:val="24"/>
        </w:rPr>
        <w:t xml:space="preserve"> </w:t>
      </w:r>
      <w:r w:rsidRPr="002277F1" w:rsidR="009C59F9">
        <w:rPr>
          <w:szCs w:val="24"/>
        </w:rPr>
        <w:t>And i</w:t>
      </w:r>
      <w:r w:rsidRPr="002277F1">
        <w:rPr>
          <w:szCs w:val="24"/>
        </w:rPr>
        <w:t>n the 2014 Rider Case, the PUCO agreed with the PUCO Staff and ruled that Duke could not charge customers for this incentive pay.</w:t>
      </w:r>
      <w:r>
        <w:rPr>
          <w:rStyle w:val="FootnoteReference"/>
          <w:szCs w:val="24"/>
        </w:rPr>
        <w:footnoteReference w:id="8"/>
      </w:r>
    </w:p>
    <w:p w:rsidR="00DC0D61" w:rsidRPr="002277F1" w:rsidP="007E0A34">
      <w:pPr>
        <w:pStyle w:val="BodyTextIndent3"/>
        <w:spacing w:line="480" w:lineRule="auto"/>
        <w:rPr>
          <w:szCs w:val="24"/>
        </w:rPr>
      </w:pPr>
      <w:r w:rsidRPr="002277F1">
        <w:rPr>
          <w:szCs w:val="24"/>
        </w:rPr>
        <w:t>Duke claims that the PUCO’s ruling in the</w:t>
      </w:r>
      <w:r w:rsidRPr="002277F1" w:rsidR="00C24237">
        <w:rPr>
          <w:szCs w:val="24"/>
        </w:rPr>
        <w:t xml:space="preserve"> current</w:t>
      </w:r>
      <w:r w:rsidRPr="002277F1">
        <w:rPr>
          <w:szCs w:val="24"/>
        </w:rPr>
        <w:t xml:space="preserve"> cases is a “significant departure from past cases.”</w:t>
      </w:r>
      <w:r>
        <w:rPr>
          <w:rStyle w:val="FootnoteReference"/>
          <w:szCs w:val="24"/>
        </w:rPr>
        <w:footnoteReference w:id="9"/>
      </w:r>
      <w:r w:rsidRPr="002277F1">
        <w:rPr>
          <w:szCs w:val="24"/>
        </w:rPr>
        <w:t xml:space="preserve"> This is false. The ruling is consistent with the Duke energy efficiency rider case immediately preceding these, in which the PUCO made the exact same ruling as it did here.</w:t>
      </w:r>
      <w:r w:rsidRPr="002277F1" w:rsidR="00B53014">
        <w:rPr>
          <w:szCs w:val="24"/>
        </w:rPr>
        <w:t xml:space="preserve"> And it is consistent with PUCO cases that have found incentive </w:t>
      </w:r>
      <w:r w:rsidRPr="002277F1" w:rsidR="00B64351">
        <w:rPr>
          <w:szCs w:val="24"/>
        </w:rPr>
        <w:t>compensation</w:t>
      </w:r>
      <w:r w:rsidRPr="002277F1" w:rsidR="00B53014">
        <w:rPr>
          <w:szCs w:val="24"/>
        </w:rPr>
        <w:t xml:space="preserve"> related to financial incentives should not be charged to customers.</w:t>
      </w:r>
      <w:r>
        <w:rPr>
          <w:rStyle w:val="FootnoteReference"/>
          <w:szCs w:val="24"/>
        </w:rPr>
        <w:footnoteReference w:id="10"/>
      </w:r>
      <w:r w:rsidRPr="002277F1" w:rsidR="00B53014">
        <w:rPr>
          <w:szCs w:val="24"/>
        </w:rPr>
        <w:t xml:space="preserve">  </w:t>
      </w:r>
    </w:p>
    <w:p w:rsidR="007847C5" w:rsidRPr="002277F1" w:rsidP="002277F1">
      <w:pPr>
        <w:pStyle w:val="BodyTextIndent3"/>
        <w:keepNext/>
        <w:keepLines/>
        <w:spacing w:after="240" w:line="240" w:lineRule="auto"/>
        <w:ind w:left="1440" w:right="720" w:hanging="720"/>
        <w:rPr>
          <w:b/>
          <w:bCs/>
          <w:szCs w:val="24"/>
        </w:rPr>
      </w:pPr>
      <w:r w:rsidRPr="002277F1">
        <w:rPr>
          <w:b/>
          <w:bCs/>
          <w:szCs w:val="24"/>
        </w:rPr>
        <w:t>B.</w:t>
      </w:r>
      <w:r w:rsidRPr="002277F1">
        <w:rPr>
          <w:b/>
          <w:bCs/>
          <w:szCs w:val="24"/>
        </w:rPr>
        <w:tab/>
        <w:t xml:space="preserve">The PUCO </w:t>
      </w:r>
      <w:r w:rsidRPr="002277F1" w:rsidR="00590E4B">
        <w:rPr>
          <w:b/>
          <w:bCs/>
          <w:szCs w:val="24"/>
        </w:rPr>
        <w:t xml:space="preserve">Staff </w:t>
      </w:r>
      <w:r w:rsidRPr="002277F1">
        <w:rPr>
          <w:b/>
          <w:bCs/>
          <w:szCs w:val="24"/>
        </w:rPr>
        <w:t>found that the incentive pay in question in these cases is tied to Duke’s financial performance, and thus, PUCO precedent supports disallowance.</w:t>
      </w:r>
    </w:p>
    <w:p w:rsidR="007847C5" w:rsidRPr="002277F1" w:rsidP="007E0A34">
      <w:pPr>
        <w:pStyle w:val="BodyTextIndent3"/>
        <w:spacing w:line="480" w:lineRule="auto"/>
        <w:rPr>
          <w:szCs w:val="24"/>
        </w:rPr>
      </w:pPr>
      <w:r w:rsidRPr="002277F1">
        <w:rPr>
          <w:szCs w:val="24"/>
        </w:rPr>
        <w:t xml:space="preserve">The PUCO Staff’s findings in these cases is clear: the incentive pay </w:t>
      </w:r>
      <w:r w:rsidRPr="002277F1" w:rsidR="00B64351">
        <w:rPr>
          <w:szCs w:val="24"/>
        </w:rPr>
        <w:t xml:space="preserve">provided to Duke’s employees </w:t>
      </w:r>
      <w:r w:rsidRPr="002277F1">
        <w:rPr>
          <w:szCs w:val="24"/>
        </w:rPr>
        <w:t>in question is related to Duke’s financial performance and thus should not be charged to customers. In the 2015 rider case</w:t>
      </w:r>
      <w:r w:rsidRPr="002277F1" w:rsidR="004C1C7A">
        <w:rPr>
          <w:szCs w:val="24"/>
        </w:rPr>
        <w:t xml:space="preserve"> (Case No. 16-664-EL-RDR)</w:t>
      </w:r>
      <w:r w:rsidRPr="002277F1">
        <w:rPr>
          <w:szCs w:val="24"/>
        </w:rPr>
        <w:t xml:space="preserve">, the PUCO Staff report concluded: “Staff discovered expenses related to incentive pay, performance awards, and restricted stock units </w:t>
      </w:r>
      <w:r w:rsidRPr="002277F1">
        <w:rPr>
          <w:i/>
          <w:iCs/>
          <w:szCs w:val="24"/>
        </w:rPr>
        <w:t>linked to the financial performance of the Company</w:t>
      </w:r>
      <w:r w:rsidRPr="002277F1">
        <w:rPr>
          <w:szCs w:val="24"/>
        </w:rPr>
        <w:t>.”</w:t>
      </w:r>
      <w:r>
        <w:rPr>
          <w:rStyle w:val="FootnoteReference"/>
          <w:szCs w:val="24"/>
        </w:rPr>
        <w:footnoteReference w:id="11"/>
      </w:r>
      <w:r w:rsidRPr="002277F1">
        <w:rPr>
          <w:szCs w:val="24"/>
        </w:rPr>
        <w:t xml:space="preserve"> Likewise, in the 2016 rider case</w:t>
      </w:r>
      <w:r w:rsidRPr="002277F1" w:rsidR="004C1C7A">
        <w:rPr>
          <w:szCs w:val="24"/>
        </w:rPr>
        <w:t xml:space="preserve"> (Case No. 17-781-EL-RDR)</w:t>
      </w:r>
      <w:r w:rsidRPr="002277F1">
        <w:rPr>
          <w:szCs w:val="24"/>
        </w:rPr>
        <w:t xml:space="preserve">, the PUCO Staff report concluded: “Staff discovered within Rider EE-PDR, expenses related to incentive pay, performance awards, and restricted stock units </w:t>
      </w:r>
      <w:r w:rsidRPr="002277F1">
        <w:rPr>
          <w:i/>
          <w:iCs/>
          <w:szCs w:val="24"/>
        </w:rPr>
        <w:t>linked to the financial performance of the Company</w:t>
      </w:r>
      <w:r w:rsidRPr="002277F1">
        <w:rPr>
          <w:szCs w:val="24"/>
        </w:rPr>
        <w:t>.”</w:t>
      </w:r>
      <w:r>
        <w:rPr>
          <w:rStyle w:val="FootnoteReference"/>
          <w:szCs w:val="24"/>
        </w:rPr>
        <w:footnoteReference w:id="12"/>
      </w:r>
    </w:p>
    <w:p w:rsidR="007847C5" w:rsidRPr="002277F1" w:rsidP="007847C5">
      <w:pPr>
        <w:pStyle w:val="BodyTextIndent3"/>
        <w:spacing w:line="480" w:lineRule="auto"/>
        <w:rPr>
          <w:szCs w:val="24"/>
        </w:rPr>
      </w:pPr>
      <w:r w:rsidRPr="002277F1">
        <w:rPr>
          <w:szCs w:val="24"/>
        </w:rPr>
        <w:t>T</w:t>
      </w:r>
      <w:r w:rsidRPr="002277F1">
        <w:rPr>
          <w:szCs w:val="24"/>
        </w:rPr>
        <w:t xml:space="preserve">he very cases that Duke cites in support of its application for rehearing confirm that the charges in question should be disallowed. For example, Duke cites </w:t>
      </w:r>
      <w:r w:rsidRPr="002277F1">
        <w:rPr>
          <w:i/>
          <w:iCs/>
          <w:szCs w:val="24"/>
        </w:rPr>
        <w:t>In re Application of Ohio American Water Company</w:t>
      </w:r>
      <w:r w:rsidRPr="002277F1">
        <w:rPr>
          <w:szCs w:val="24"/>
        </w:rPr>
        <w:t xml:space="preserve"> in support of its application for rehearing.</w:t>
      </w:r>
      <w:r>
        <w:rPr>
          <w:rStyle w:val="FootnoteReference"/>
          <w:szCs w:val="24"/>
        </w:rPr>
        <w:footnoteReference w:id="13"/>
      </w:r>
      <w:r w:rsidRPr="002277F1">
        <w:rPr>
          <w:szCs w:val="24"/>
        </w:rPr>
        <w:t xml:space="preserve"> </w:t>
      </w:r>
      <w:r w:rsidRPr="002277F1" w:rsidR="004B5C58">
        <w:rPr>
          <w:szCs w:val="24"/>
        </w:rPr>
        <w:t>I</w:t>
      </w:r>
      <w:r w:rsidRPr="002277F1">
        <w:rPr>
          <w:szCs w:val="24"/>
        </w:rPr>
        <w:t>n that case, the PUCO found that certain employee incentives were tied to the financial performance of the utility, and it ruled that the utility could not charge customers for that incentive pay.</w:t>
      </w:r>
      <w:r>
        <w:rPr>
          <w:rStyle w:val="FootnoteReference"/>
          <w:szCs w:val="24"/>
        </w:rPr>
        <w:footnoteReference w:id="14"/>
      </w:r>
      <w:r w:rsidRPr="002277F1">
        <w:rPr>
          <w:szCs w:val="24"/>
        </w:rPr>
        <w:t xml:space="preserve"> Duke also cites </w:t>
      </w:r>
      <w:r w:rsidRPr="002277F1">
        <w:rPr>
          <w:i/>
          <w:iCs/>
          <w:szCs w:val="24"/>
        </w:rPr>
        <w:t>In re Application of [FirstEnergy]</w:t>
      </w:r>
      <w:r w:rsidRPr="002277F1">
        <w:rPr>
          <w:szCs w:val="24"/>
        </w:rPr>
        <w:t>.</w:t>
      </w:r>
      <w:r>
        <w:rPr>
          <w:rStyle w:val="FootnoteReference"/>
          <w:szCs w:val="24"/>
        </w:rPr>
        <w:footnoteReference w:id="15"/>
      </w:r>
      <w:r w:rsidRPr="002277F1">
        <w:rPr>
          <w:szCs w:val="24"/>
        </w:rPr>
        <w:t xml:space="preserve"> But again, in that case, the PUCO disallowed all charges related to employee incentives for achieving financial goals, stating that “the primary benefit of such financial incentives accrues to shareholders and that portion of incentive compensation should not be recovered from ratepayers.</w:t>
      </w:r>
      <w:r w:rsidRPr="002277F1" w:rsidR="00570D2F">
        <w:rPr>
          <w:szCs w:val="24"/>
        </w:rPr>
        <w:t>”</w:t>
      </w:r>
      <w:r>
        <w:rPr>
          <w:rStyle w:val="FootnoteReference"/>
          <w:szCs w:val="24"/>
        </w:rPr>
        <w:footnoteReference w:id="16"/>
      </w:r>
    </w:p>
    <w:p w:rsidR="004B5C58" w:rsidP="007847C5">
      <w:pPr>
        <w:pStyle w:val="BodyTextIndent3"/>
        <w:spacing w:line="480" w:lineRule="auto"/>
        <w:rPr>
          <w:szCs w:val="24"/>
        </w:rPr>
      </w:pPr>
      <w:r w:rsidRPr="002277F1">
        <w:rPr>
          <w:szCs w:val="24"/>
        </w:rPr>
        <w:t xml:space="preserve">PUCO precedent </w:t>
      </w:r>
      <w:r w:rsidRPr="002277F1" w:rsidR="000824C7">
        <w:rPr>
          <w:szCs w:val="24"/>
        </w:rPr>
        <w:t>confirms</w:t>
      </w:r>
      <w:r w:rsidRPr="002277F1">
        <w:rPr>
          <w:szCs w:val="24"/>
        </w:rPr>
        <w:t xml:space="preserve"> that payments to utility employees </w:t>
      </w:r>
      <w:r w:rsidRPr="002277F1" w:rsidR="00B64351">
        <w:rPr>
          <w:szCs w:val="24"/>
        </w:rPr>
        <w:t xml:space="preserve">intended to compensate them for </w:t>
      </w:r>
      <w:r w:rsidRPr="002277F1">
        <w:rPr>
          <w:szCs w:val="24"/>
        </w:rPr>
        <w:t>the financial success of the utility shall not be charged to customers. The PUCO Staff found that the incentive payments included in Duke’s energy efficiency rider in these cases were “linked to the financial performance of the Company.”</w:t>
      </w:r>
      <w:r>
        <w:rPr>
          <w:rStyle w:val="FootnoteReference"/>
          <w:szCs w:val="24"/>
        </w:rPr>
        <w:footnoteReference w:id="17"/>
      </w:r>
      <w:r w:rsidRPr="002277F1">
        <w:rPr>
          <w:szCs w:val="24"/>
        </w:rPr>
        <w:t xml:space="preserve"> </w:t>
      </w:r>
      <w:r w:rsidRPr="002277F1" w:rsidR="004A5E47">
        <w:rPr>
          <w:szCs w:val="24"/>
        </w:rPr>
        <w:t xml:space="preserve">The PUCO’s ruling to exclude the incentive payments from rates customers pay was reasonable. Such incentive payments primarily benefit shareholders not customers. </w:t>
      </w:r>
      <w:r w:rsidRPr="002277F1">
        <w:rPr>
          <w:szCs w:val="24"/>
        </w:rPr>
        <w:t xml:space="preserve">The PUCO should </w:t>
      </w:r>
      <w:r w:rsidRPr="002277F1" w:rsidR="004A5E47">
        <w:rPr>
          <w:szCs w:val="24"/>
        </w:rPr>
        <w:t xml:space="preserve">continue to </w:t>
      </w:r>
      <w:r w:rsidRPr="002277F1">
        <w:rPr>
          <w:szCs w:val="24"/>
        </w:rPr>
        <w:t>follow its precedent and not allow Duke to charge these amounts to customers.</w:t>
      </w:r>
    </w:p>
    <w:p w:rsidR="002277F1" w:rsidRPr="002277F1" w:rsidP="002277F1">
      <w:pPr>
        <w:pStyle w:val="BodyTextIndent3"/>
        <w:spacing w:line="240" w:lineRule="auto"/>
        <w:rPr>
          <w:szCs w:val="24"/>
        </w:rPr>
      </w:pPr>
    </w:p>
    <w:p w:rsidR="001623CE" w:rsidRPr="002277F1" w:rsidP="007E0A34">
      <w:pPr>
        <w:pStyle w:val="BodyTextIndent3"/>
        <w:keepNext/>
        <w:keepLines/>
        <w:spacing w:after="240" w:line="240" w:lineRule="auto"/>
        <w:ind w:firstLine="0"/>
        <w:rPr>
          <w:b/>
          <w:szCs w:val="24"/>
        </w:rPr>
      </w:pPr>
      <w:bookmarkEnd w:id="1"/>
      <w:r w:rsidRPr="002277F1">
        <w:rPr>
          <w:b/>
          <w:szCs w:val="24"/>
        </w:rPr>
        <w:t>II.</w:t>
      </w:r>
      <w:r w:rsidRPr="002277F1">
        <w:rPr>
          <w:b/>
          <w:szCs w:val="24"/>
        </w:rPr>
        <w:tab/>
        <w:t>CONCLUSION</w:t>
      </w:r>
    </w:p>
    <w:p w:rsidR="00C24237" w:rsidRPr="002277F1" w:rsidP="007E0A34">
      <w:pPr>
        <w:pStyle w:val="BodyTextIndent3"/>
        <w:spacing w:line="480" w:lineRule="auto"/>
        <w:rPr>
          <w:szCs w:val="24"/>
        </w:rPr>
      </w:pPr>
      <w:r w:rsidRPr="002277F1">
        <w:rPr>
          <w:szCs w:val="24"/>
        </w:rPr>
        <w:t xml:space="preserve">The </w:t>
      </w:r>
      <w:r w:rsidRPr="002277F1">
        <w:rPr>
          <w:szCs w:val="24"/>
        </w:rPr>
        <w:t xml:space="preserve">PUCO </w:t>
      </w:r>
      <w:r w:rsidRPr="002277F1">
        <w:rPr>
          <w:szCs w:val="24"/>
        </w:rPr>
        <w:t xml:space="preserve">has consistently ruled </w:t>
      </w:r>
      <w:r w:rsidRPr="002277F1">
        <w:rPr>
          <w:szCs w:val="24"/>
        </w:rPr>
        <w:t xml:space="preserve">that customers should not be charged for incentives that a utility pays to its employees </w:t>
      </w:r>
      <w:r w:rsidRPr="002277F1" w:rsidR="00B64351">
        <w:rPr>
          <w:szCs w:val="24"/>
        </w:rPr>
        <w:t xml:space="preserve">in which the compensation is </w:t>
      </w:r>
      <w:r w:rsidRPr="002277F1">
        <w:rPr>
          <w:szCs w:val="24"/>
        </w:rPr>
        <w:t xml:space="preserve">based on the financial performance of the utility. </w:t>
      </w:r>
      <w:r w:rsidRPr="002277F1">
        <w:rPr>
          <w:szCs w:val="24"/>
        </w:rPr>
        <w:t xml:space="preserve">This includes Duke’s 2014 Rider Case—that is, the rider case that immediately preceded the current cases regarding 2015 and 2016 energy efficiency rider charges. </w:t>
      </w:r>
      <w:r w:rsidRPr="002277F1">
        <w:rPr>
          <w:szCs w:val="24"/>
        </w:rPr>
        <w:t>The PUCO should follow that precedent here. The Office of the Ohio Consumers’ counsel respectfully requests that the PUCO deny Duke’s application for rehearing in its entirety.</w:t>
      </w:r>
    </w:p>
    <w:p w:rsidR="00D310A7" w:rsidRPr="002277F1" w:rsidP="00A345A6">
      <w:pPr>
        <w:pStyle w:val="BodyTextIndent3"/>
        <w:spacing w:line="480" w:lineRule="auto"/>
        <w:rPr>
          <w:szCs w:val="24"/>
        </w:rPr>
      </w:pPr>
      <w:r w:rsidRPr="002277F1">
        <w:rPr>
          <w:szCs w:val="24"/>
        </w:rPr>
        <w:t xml:space="preserve"> </w:t>
      </w:r>
      <w:r w:rsidRPr="002277F1" w:rsidR="00A345A6">
        <w:rPr>
          <w:szCs w:val="24"/>
        </w:rPr>
        <w:tab/>
      </w:r>
      <w:r w:rsidRPr="002277F1" w:rsidR="00A345A6">
        <w:rPr>
          <w:szCs w:val="24"/>
        </w:rPr>
        <w:tab/>
      </w:r>
      <w:r w:rsidRPr="002277F1" w:rsidR="00A345A6">
        <w:rPr>
          <w:szCs w:val="24"/>
        </w:rPr>
        <w:tab/>
      </w:r>
      <w:r w:rsidRPr="002277F1" w:rsidR="00A345A6">
        <w:rPr>
          <w:szCs w:val="24"/>
        </w:rPr>
        <w:tab/>
      </w:r>
      <w:r w:rsidRPr="002277F1" w:rsidR="00A345A6">
        <w:rPr>
          <w:szCs w:val="24"/>
        </w:rPr>
        <w:tab/>
      </w:r>
      <w:r w:rsidRPr="002277F1">
        <w:rPr>
          <w:szCs w:val="24"/>
        </w:rPr>
        <w:t>Respectfully submitted,</w:t>
      </w:r>
    </w:p>
    <w:p w:rsidR="00D310A7" w:rsidRPr="002277F1" w:rsidP="007E0A34">
      <w:pPr>
        <w:ind w:left="4320"/>
        <w:rPr>
          <w:szCs w:val="24"/>
        </w:rPr>
      </w:pPr>
      <w:r w:rsidRPr="002277F1">
        <w:rPr>
          <w:szCs w:val="24"/>
        </w:rPr>
        <w:t>Bruce Weston (0016973)</w:t>
      </w:r>
    </w:p>
    <w:p w:rsidR="00D310A7" w:rsidRPr="002277F1" w:rsidP="007E0A34">
      <w:pPr>
        <w:tabs>
          <w:tab w:val="left" w:pos="4320"/>
        </w:tabs>
        <w:ind w:left="4320"/>
        <w:rPr>
          <w:szCs w:val="24"/>
        </w:rPr>
      </w:pPr>
      <w:r w:rsidRPr="002277F1">
        <w:rPr>
          <w:szCs w:val="24"/>
        </w:rPr>
        <w:t>Ohio Consumers' Counsel</w:t>
      </w:r>
    </w:p>
    <w:p w:rsidR="00D310A7" w:rsidRPr="002277F1" w:rsidP="007E0A34">
      <w:pPr>
        <w:tabs>
          <w:tab w:val="left" w:pos="4320"/>
        </w:tabs>
        <w:ind w:left="4320"/>
        <w:rPr>
          <w:szCs w:val="24"/>
        </w:rPr>
      </w:pPr>
    </w:p>
    <w:p w:rsidR="00D310A7" w:rsidRPr="002277F1" w:rsidP="007E0A34">
      <w:pPr>
        <w:autoSpaceDE w:val="0"/>
        <w:autoSpaceDN w:val="0"/>
        <w:adjustRightInd w:val="0"/>
        <w:ind w:left="4320"/>
        <w:rPr>
          <w:i/>
          <w:szCs w:val="24"/>
        </w:rPr>
      </w:pPr>
      <w:r w:rsidRPr="002277F1">
        <w:rPr>
          <w:i/>
          <w:szCs w:val="24"/>
          <w:u w:val="single"/>
        </w:rPr>
        <w:t>/s/ Christopher Healey</w:t>
      </w:r>
      <w:r w:rsidRPr="002277F1">
        <w:rPr>
          <w:i/>
          <w:szCs w:val="24"/>
          <w:u w:val="single"/>
        </w:rPr>
        <w:tab/>
      </w:r>
      <w:r w:rsidRPr="002277F1">
        <w:rPr>
          <w:i/>
          <w:szCs w:val="24"/>
          <w:u w:val="single"/>
        </w:rPr>
        <w:tab/>
      </w:r>
    </w:p>
    <w:p w:rsidR="00D310A7" w:rsidRPr="002277F1" w:rsidP="007E0A34">
      <w:pPr>
        <w:tabs>
          <w:tab w:val="left" w:pos="4320"/>
        </w:tabs>
        <w:ind w:left="4320"/>
        <w:rPr>
          <w:szCs w:val="24"/>
        </w:rPr>
      </w:pPr>
      <w:r w:rsidRPr="002277F1">
        <w:rPr>
          <w:szCs w:val="24"/>
        </w:rPr>
        <w:t>Christopher Healey (0086027)</w:t>
      </w:r>
    </w:p>
    <w:p w:rsidR="003B2C6A" w:rsidRPr="002277F1" w:rsidP="007E0A34">
      <w:pPr>
        <w:tabs>
          <w:tab w:val="left" w:pos="4320"/>
        </w:tabs>
        <w:ind w:left="4320"/>
        <w:rPr>
          <w:szCs w:val="24"/>
        </w:rPr>
      </w:pPr>
      <w:r w:rsidRPr="002277F1">
        <w:rPr>
          <w:szCs w:val="24"/>
        </w:rPr>
        <w:t>Counsel of Record</w:t>
      </w:r>
    </w:p>
    <w:p w:rsidR="00D310A7" w:rsidRPr="002277F1" w:rsidP="007E0A34">
      <w:pPr>
        <w:tabs>
          <w:tab w:val="left" w:pos="4320"/>
        </w:tabs>
        <w:ind w:left="4320"/>
        <w:rPr>
          <w:szCs w:val="24"/>
        </w:rPr>
      </w:pPr>
      <w:r w:rsidRPr="002277F1">
        <w:rPr>
          <w:szCs w:val="24"/>
        </w:rPr>
        <w:t>Assistant Consumers’ Counsel</w:t>
      </w:r>
      <w:r w:rsidRPr="002277F1">
        <w:rPr>
          <w:szCs w:val="24"/>
        </w:rPr>
        <w:br/>
      </w:r>
    </w:p>
    <w:p w:rsidR="00D310A7" w:rsidRPr="002277F1" w:rsidP="007E0A34">
      <w:pPr>
        <w:tabs>
          <w:tab w:val="left" w:pos="4320"/>
        </w:tabs>
        <w:ind w:left="4320"/>
        <w:rPr>
          <w:b/>
          <w:szCs w:val="24"/>
        </w:rPr>
      </w:pPr>
      <w:r w:rsidRPr="002277F1">
        <w:rPr>
          <w:b/>
          <w:szCs w:val="24"/>
        </w:rPr>
        <w:t>Office of the Ohio Consumers' Counsel</w:t>
      </w:r>
    </w:p>
    <w:p w:rsidR="00D310A7" w:rsidRPr="002277F1" w:rsidP="007E0A34">
      <w:pPr>
        <w:tabs>
          <w:tab w:val="left" w:pos="4320"/>
        </w:tabs>
        <w:ind w:left="4320"/>
        <w:rPr>
          <w:szCs w:val="24"/>
        </w:rPr>
      </w:pPr>
      <w:r w:rsidRPr="002277F1">
        <w:rPr>
          <w:szCs w:val="24"/>
        </w:rPr>
        <w:t>65 East State Street, 7th Floor</w:t>
      </w:r>
    </w:p>
    <w:p w:rsidR="00D310A7" w:rsidRPr="002277F1" w:rsidP="007E0A34">
      <w:pPr>
        <w:tabs>
          <w:tab w:val="left" w:pos="4320"/>
        </w:tabs>
        <w:ind w:left="4320"/>
        <w:rPr>
          <w:szCs w:val="24"/>
        </w:rPr>
      </w:pPr>
      <w:r w:rsidRPr="002277F1">
        <w:rPr>
          <w:szCs w:val="24"/>
        </w:rPr>
        <w:t>Columbus, Ohio 43215</w:t>
      </w:r>
    </w:p>
    <w:p w:rsidR="00D310A7" w:rsidRPr="002277F1" w:rsidP="007E0A34">
      <w:pPr>
        <w:tabs>
          <w:tab w:val="left" w:pos="4320"/>
        </w:tabs>
        <w:ind w:left="4320"/>
        <w:rPr>
          <w:szCs w:val="24"/>
        </w:rPr>
      </w:pPr>
      <w:r w:rsidRPr="002277F1">
        <w:rPr>
          <w:szCs w:val="24"/>
        </w:rPr>
        <w:t xml:space="preserve">Telephone: (614) 466-9571 </w:t>
      </w:r>
    </w:p>
    <w:p w:rsidR="00D310A7" w:rsidRPr="002277F1" w:rsidP="007E0A34">
      <w:pPr>
        <w:ind w:left="4320"/>
        <w:rPr>
          <w:szCs w:val="24"/>
        </w:rPr>
      </w:pPr>
      <w:r>
        <w:fldChar w:fldCharType="begin"/>
      </w:r>
      <w:r>
        <w:instrText xml:space="preserve"> HYPERLINK "mailto:christopher.healey@occ.ohio.gov" </w:instrText>
      </w:r>
      <w:r>
        <w:fldChar w:fldCharType="separate"/>
      </w:r>
      <w:r w:rsidRPr="002277F1" w:rsidR="003D2640">
        <w:rPr>
          <w:rStyle w:val="Hyperlink"/>
          <w:szCs w:val="24"/>
        </w:rPr>
        <w:t>christopher.healey@occ.ohio.gov</w:t>
      </w:r>
      <w:r>
        <w:fldChar w:fldCharType="end"/>
      </w:r>
      <w:r w:rsidRPr="002277F1" w:rsidR="003D2640">
        <w:rPr>
          <w:szCs w:val="24"/>
        </w:rPr>
        <w:t xml:space="preserve"> </w:t>
      </w:r>
    </w:p>
    <w:p w:rsidR="00D310A7" w:rsidRPr="002277F1" w:rsidP="007E0A34">
      <w:pPr>
        <w:ind w:left="4320"/>
        <w:rPr>
          <w:szCs w:val="24"/>
        </w:rPr>
      </w:pPr>
      <w:r w:rsidRPr="002277F1">
        <w:rPr>
          <w:szCs w:val="24"/>
        </w:rPr>
        <w:t>(willing to accept service by e-mail)</w:t>
      </w:r>
    </w:p>
    <w:p w:rsidR="00D310A7" w:rsidRPr="002277F1" w:rsidP="007E0A34">
      <w:pPr>
        <w:pStyle w:val="HTMLPreformatted"/>
        <w:jc w:val="center"/>
        <w:rPr>
          <w:rFonts w:ascii="Times New Roman" w:hAnsi="Times New Roman" w:cs="Times New Roman"/>
          <w:b/>
          <w:bCs/>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D310A7" w:rsidRPr="002277F1" w:rsidP="007E0A34">
      <w:pPr>
        <w:jc w:val="center"/>
        <w:rPr>
          <w:b/>
          <w:bCs/>
          <w:szCs w:val="24"/>
          <w:u w:val="single"/>
        </w:rPr>
      </w:pPr>
      <w:r w:rsidRPr="002277F1">
        <w:rPr>
          <w:b/>
          <w:bCs/>
          <w:szCs w:val="24"/>
          <w:u w:val="single"/>
        </w:rPr>
        <w:t>CERTIFICATE OF SERVICE</w:t>
      </w:r>
    </w:p>
    <w:p w:rsidR="00D310A7" w:rsidRPr="002277F1" w:rsidP="007E0A34">
      <w:pPr>
        <w:spacing w:line="480" w:lineRule="atLeast"/>
        <w:ind w:firstLine="720"/>
        <w:rPr>
          <w:szCs w:val="24"/>
        </w:rPr>
      </w:pPr>
      <w:r w:rsidRPr="002277F1">
        <w:rPr>
          <w:szCs w:val="24"/>
        </w:rPr>
        <w:t>I hereby certify that a copy of th</w:t>
      </w:r>
      <w:r w:rsidRPr="002277F1" w:rsidR="00C24237">
        <w:rPr>
          <w:szCs w:val="24"/>
        </w:rPr>
        <w:t>is Memorandum Contra</w:t>
      </w:r>
      <w:r w:rsidRPr="002277F1">
        <w:rPr>
          <w:szCs w:val="24"/>
        </w:rPr>
        <w:t xml:space="preserve"> was served on the persons stated below via electronic transmission, this </w:t>
      </w:r>
      <w:r w:rsidRPr="002277F1" w:rsidR="00C24237">
        <w:rPr>
          <w:szCs w:val="24"/>
        </w:rPr>
        <w:t>24th</w:t>
      </w:r>
      <w:r w:rsidRPr="002277F1">
        <w:rPr>
          <w:szCs w:val="24"/>
        </w:rPr>
        <w:t xml:space="preserve"> day of </w:t>
      </w:r>
      <w:r w:rsidRPr="002277F1" w:rsidR="00C24237">
        <w:rPr>
          <w:szCs w:val="24"/>
        </w:rPr>
        <w:t>June</w:t>
      </w:r>
      <w:r w:rsidRPr="002277F1">
        <w:rPr>
          <w:szCs w:val="24"/>
        </w:rPr>
        <w:t xml:space="preserve"> 201</w:t>
      </w:r>
      <w:r w:rsidRPr="002277F1" w:rsidR="00C24237">
        <w:rPr>
          <w:szCs w:val="24"/>
        </w:rPr>
        <w:t>9</w:t>
      </w:r>
      <w:r w:rsidRPr="002277F1">
        <w:rPr>
          <w:szCs w:val="24"/>
        </w:rPr>
        <w:t>.</w:t>
      </w:r>
    </w:p>
    <w:p w:rsidR="00D310A7" w:rsidRPr="002277F1" w:rsidP="007E0A34">
      <w:pPr>
        <w:spacing w:line="480" w:lineRule="atLeast"/>
        <w:rPr>
          <w:szCs w:val="24"/>
        </w:rPr>
      </w:pPr>
    </w:p>
    <w:p w:rsidR="00D310A7" w:rsidRPr="002277F1" w:rsidP="007E0A34">
      <w:pPr>
        <w:tabs>
          <w:tab w:val="left" w:pos="4320"/>
        </w:tabs>
        <w:rPr>
          <w:szCs w:val="24"/>
        </w:rPr>
      </w:pPr>
      <w:r w:rsidRPr="002277F1">
        <w:rPr>
          <w:szCs w:val="24"/>
        </w:rPr>
        <w:tab/>
      </w:r>
      <w:r w:rsidRPr="002277F1">
        <w:rPr>
          <w:i/>
          <w:szCs w:val="24"/>
          <w:u w:val="single"/>
        </w:rPr>
        <w:t>/s/ Christopher Healey</w:t>
      </w:r>
      <w:r w:rsidRPr="002277F1">
        <w:rPr>
          <w:i/>
          <w:szCs w:val="24"/>
          <w:u w:val="single"/>
        </w:rPr>
        <w:tab/>
      </w:r>
      <w:r w:rsidRPr="002277F1" w:rsidR="00C84FAD">
        <w:rPr>
          <w:i/>
          <w:szCs w:val="24"/>
          <w:u w:val="single"/>
        </w:rPr>
        <w:tab/>
      </w:r>
    </w:p>
    <w:p w:rsidR="00D310A7" w:rsidRPr="002277F1" w:rsidP="007E0A34">
      <w:pPr>
        <w:tabs>
          <w:tab w:val="left" w:pos="4320"/>
        </w:tabs>
        <w:rPr>
          <w:szCs w:val="24"/>
        </w:rPr>
      </w:pPr>
      <w:r w:rsidRPr="002277F1">
        <w:rPr>
          <w:szCs w:val="24"/>
        </w:rPr>
        <w:tab/>
        <w:t>Christopher Healey</w:t>
      </w:r>
    </w:p>
    <w:p w:rsidR="00D310A7" w:rsidRPr="002277F1" w:rsidP="007E0A34">
      <w:pPr>
        <w:tabs>
          <w:tab w:val="left" w:pos="4320"/>
        </w:tabs>
        <w:rPr>
          <w:szCs w:val="24"/>
        </w:rPr>
      </w:pPr>
      <w:r w:rsidRPr="002277F1">
        <w:rPr>
          <w:szCs w:val="24"/>
        </w:rPr>
        <w:tab/>
        <w:t>Assistant Consumers’ Counsel</w:t>
      </w:r>
    </w:p>
    <w:p w:rsidR="00D310A7" w:rsidRPr="002277F1" w:rsidP="007E0A34">
      <w:pPr>
        <w:pStyle w:val="CommentSubject"/>
        <w:rPr>
          <w:szCs w:val="24"/>
        </w:rPr>
      </w:pPr>
    </w:p>
    <w:p w:rsidR="00A345A6" w:rsidRPr="002277F1" w:rsidP="00A345A6">
      <w:pPr>
        <w:pStyle w:val="CommentText"/>
        <w:jc w:val="center"/>
        <w:rPr>
          <w:b/>
          <w:u w:val="single"/>
        </w:rPr>
      </w:pPr>
      <w:r w:rsidRPr="002277F1">
        <w:rPr>
          <w:b/>
          <w:u w:val="single"/>
        </w:rPr>
        <w:t>SERVICE LIST</w:t>
      </w:r>
    </w:p>
    <w:p w:rsidR="00A345A6" w:rsidRPr="002277F1" w:rsidP="00A345A6">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374"/>
        <w:gridCol w:w="4266"/>
      </w:tblGrid>
      <w:tr w:rsidTr="00B64342">
        <w:tblPrEx>
          <w:tblW w:w="0" w:type="auto"/>
          <w:tblInd w:w="0" w:type="dxa"/>
          <w:tblCellMar>
            <w:top w:w="0" w:type="dxa"/>
            <w:left w:w="108" w:type="dxa"/>
            <w:bottom w:w="0" w:type="dxa"/>
            <w:right w:w="108" w:type="dxa"/>
          </w:tblCellMar>
          <w:tblLook w:val="04A0"/>
        </w:tblPrEx>
        <w:tc>
          <w:tcPr>
            <w:tcW w:w="4428" w:type="dxa"/>
            <w:shd w:val="clear" w:color="auto" w:fill="auto"/>
          </w:tcPr>
          <w:p w:rsidR="00A345A6" w:rsidRPr="002277F1" w:rsidP="00B64342">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2277F1">
              <w:rPr>
                <w:rStyle w:val="Hyperlink"/>
                <w:color w:val="0000FF"/>
                <w:sz w:val="24"/>
                <w:szCs w:val="24"/>
                <w:u w:val="single"/>
                <w:lang w:val="en-US" w:eastAsia="en-US" w:bidi="ar-SA"/>
              </w:rPr>
              <w:t>John.jones@ohioattorneygeneral.gov</w:t>
            </w:r>
            <w:r>
              <w:fldChar w:fldCharType="end"/>
            </w:r>
          </w:p>
          <w:p w:rsidR="00A345A6" w:rsidRPr="002277F1" w:rsidP="00B64342">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"mailto:dboehm@BKLlawfirm.com" </w:instrText>
            </w:r>
            <w:r>
              <w:fldChar w:fldCharType="separate"/>
            </w:r>
            <w:r w:rsidRPr="002277F1">
              <w:rPr>
                <w:rStyle w:val="Hyperlink"/>
                <w:color w:val="0000FF"/>
                <w:sz w:val="24"/>
                <w:szCs w:val="24"/>
                <w:u w:val="single"/>
                <w:lang w:val="en-US" w:eastAsia="en-US" w:bidi="ar-SA"/>
              </w:rPr>
              <w:t>dboehm@BKLlawfirm.com</w:t>
            </w:r>
            <w:r>
              <w:fldChar w:fldCharType="end"/>
            </w:r>
          </w:p>
          <w:p w:rsidR="00A345A6" w:rsidRPr="002277F1" w:rsidP="00B64342">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2277F1">
              <w:rPr>
                <w:rStyle w:val="Hyperlink"/>
                <w:color w:val="0000FF"/>
                <w:sz w:val="24"/>
                <w:szCs w:val="24"/>
                <w:u w:val="single"/>
                <w:lang w:val="en-US" w:eastAsia="en-US" w:bidi="ar-SA"/>
              </w:rPr>
              <w:t>mkurtz@BKLlawfirm.com</w:t>
            </w:r>
            <w:r>
              <w:fldChar w:fldCharType="end"/>
            </w:r>
          </w:p>
          <w:p w:rsidR="00A345A6" w:rsidRPr="002277F1" w:rsidP="00B64342">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"mailto:kboehm@BKLlawfirm.com" </w:instrText>
            </w:r>
            <w:r>
              <w:fldChar w:fldCharType="separate"/>
            </w:r>
            <w:r w:rsidRPr="002277F1">
              <w:rPr>
                <w:rStyle w:val="Hyperlink"/>
                <w:color w:val="0000FF"/>
                <w:sz w:val="24"/>
                <w:szCs w:val="24"/>
                <w:u w:val="single"/>
                <w:lang w:val="en-US" w:eastAsia="en-US" w:bidi="ar-SA"/>
              </w:rPr>
              <w:t>kboehm@BKLlawfirm.com</w:t>
            </w:r>
            <w:r>
              <w:fldChar w:fldCharType="end"/>
            </w:r>
          </w:p>
          <w:p w:rsidR="00A345A6" w:rsidRPr="002277F1" w:rsidP="00B64342">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"mailto:jkylercohn@BKLlawfirm.com" </w:instrText>
            </w:r>
            <w:r>
              <w:fldChar w:fldCharType="separate"/>
            </w:r>
            <w:r w:rsidRPr="002277F1">
              <w:rPr>
                <w:rStyle w:val="Hyperlink"/>
                <w:color w:val="0000FF"/>
                <w:sz w:val="24"/>
                <w:szCs w:val="24"/>
                <w:u w:val="single"/>
                <w:lang w:val="en-US" w:eastAsia="en-US" w:bidi="ar-SA"/>
              </w:rPr>
              <w:t>jkylercohn@BKLlawfirm.com</w:t>
            </w:r>
            <w:r>
              <w:fldChar w:fldCharType="end"/>
            </w:r>
          </w:p>
          <w:p w:rsidR="00A345A6" w:rsidRPr="002277F1" w:rsidP="00B64342">
            <w:pPr>
              <w:pStyle w:val="CommentText"/>
              <w:rPr>
                <w:rStyle w:val="DefaultParagraphFont"/>
                <w:sz w:val="24"/>
                <w:szCs w:val="24"/>
                <w:lang w:val="en-US" w:eastAsia="en-US" w:bidi="ar-SA"/>
              </w:rPr>
            </w:pPr>
          </w:p>
          <w:p w:rsidR="00A345A6" w:rsidRPr="002277F1" w:rsidP="00B64342">
            <w:pPr>
              <w:pStyle w:val="CommentText"/>
              <w:rPr>
                <w:rStyle w:val="DefaultParagraphFont"/>
                <w:sz w:val="24"/>
                <w:szCs w:val="24"/>
                <w:lang w:val="en-US" w:eastAsia="en-US" w:bidi="ar-SA"/>
              </w:rPr>
            </w:pPr>
            <w:r w:rsidRPr="002277F1">
              <w:rPr>
                <w:sz w:val="24"/>
                <w:szCs w:val="24"/>
                <w:lang w:val="en-US" w:eastAsia="en-US" w:bidi="ar-SA"/>
              </w:rPr>
              <w:t>Attorney Examiner:</w:t>
            </w:r>
          </w:p>
          <w:p w:rsidR="00A345A6" w:rsidRPr="002277F1" w:rsidP="00B64342">
            <w:pPr>
              <w:pStyle w:val="CommentText"/>
              <w:rPr>
                <w:rStyle w:val="DefaultParagraphFont"/>
                <w:sz w:val="24"/>
                <w:szCs w:val="24"/>
                <w:lang w:val="en-US" w:eastAsia="en-US" w:bidi="ar-SA"/>
              </w:rPr>
            </w:pPr>
          </w:p>
          <w:p w:rsidR="00A345A6" w:rsidRPr="002277F1" w:rsidP="00B64342">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"mailto:Nicholas.walstra@puc.state.oh.us" </w:instrText>
            </w:r>
            <w:r>
              <w:fldChar w:fldCharType="separate"/>
            </w:r>
            <w:r w:rsidRPr="002277F1">
              <w:rPr>
                <w:rStyle w:val="Hyperlink"/>
                <w:color w:val="0000FF"/>
                <w:sz w:val="24"/>
                <w:szCs w:val="24"/>
                <w:u w:val="single"/>
                <w:lang w:val="en-US" w:eastAsia="en-US" w:bidi="ar-SA"/>
              </w:rPr>
              <w:t>Nicholas.walstra@puc.state.oh.us</w:t>
            </w:r>
            <w:r>
              <w:fldChar w:fldCharType="end"/>
            </w:r>
          </w:p>
          <w:p w:rsidR="00A345A6" w:rsidRPr="002277F1" w:rsidP="00B64342">
            <w:pPr>
              <w:pStyle w:val="CommentText"/>
              <w:rPr>
                <w:rStyle w:val="DefaultParagraphFont"/>
                <w:sz w:val="24"/>
                <w:szCs w:val="24"/>
                <w:lang w:val="en-US" w:eastAsia="en-US" w:bidi="ar-SA"/>
              </w:rPr>
            </w:pPr>
          </w:p>
        </w:tc>
        <w:tc>
          <w:tcPr>
            <w:tcW w:w="4428" w:type="dxa"/>
            <w:shd w:val="clear" w:color="auto" w:fill="auto"/>
          </w:tcPr>
          <w:p w:rsidR="00A345A6" w:rsidRPr="002277F1" w:rsidP="00B64342">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277F1">
              <w:rPr>
                <w:rStyle w:val="Hyperlink"/>
                <w:color w:val="0000FF"/>
                <w:sz w:val="24"/>
                <w:szCs w:val="24"/>
                <w:u w:val="single"/>
                <w:lang w:val="en-US" w:eastAsia="en-US" w:bidi="ar-SA"/>
              </w:rPr>
              <w:t>Elizabeth.watts@duke-energy.com</w:t>
            </w:r>
            <w:r>
              <w:fldChar w:fldCharType="end"/>
            </w:r>
          </w:p>
          <w:p w:rsidR="00A345A6" w:rsidRPr="002277F1" w:rsidP="00B64342">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277F1">
              <w:rPr>
                <w:rStyle w:val="Hyperlink"/>
                <w:color w:val="0000FF"/>
                <w:sz w:val="24"/>
                <w:szCs w:val="24"/>
                <w:u w:val="single"/>
                <w:lang w:val="en-US" w:eastAsia="en-US" w:bidi="ar-SA"/>
              </w:rPr>
              <w:t>Rocco.dascenzo@duke-energy.com</w:t>
            </w:r>
            <w:r>
              <w:fldChar w:fldCharType="end"/>
            </w:r>
          </w:p>
          <w:p w:rsidR="00A345A6" w:rsidRPr="002277F1" w:rsidP="00B64342">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"mailto:cmooney@opae.org" </w:instrText>
            </w:r>
            <w:r>
              <w:fldChar w:fldCharType="separate"/>
            </w:r>
            <w:r w:rsidRPr="002277F1">
              <w:rPr>
                <w:rStyle w:val="Hyperlink"/>
                <w:color w:val="0000FF"/>
                <w:sz w:val="24"/>
                <w:szCs w:val="24"/>
                <w:u w:val="single"/>
                <w:lang w:val="en-US" w:eastAsia="en-US" w:bidi="ar-SA"/>
              </w:rPr>
              <w:t>cmooney@opae.org</w:t>
            </w:r>
            <w:r>
              <w:fldChar w:fldCharType="end"/>
            </w:r>
            <w:r w:rsidRPr="002277F1">
              <w:rPr>
                <w:sz w:val="24"/>
                <w:szCs w:val="24"/>
                <w:lang w:val="en-US" w:eastAsia="en-US" w:bidi="ar-SA"/>
              </w:rPr>
              <w:t>.</w:t>
            </w:r>
          </w:p>
          <w:p w:rsidR="00A345A6" w:rsidRPr="002277F1" w:rsidP="00B64342">
            <w:pPr>
              <w:pStyle w:val="CommentText"/>
              <w:rPr>
                <w:rStyle w:val="DefaultParagraphFont"/>
                <w:sz w:val="24"/>
                <w:szCs w:val="24"/>
                <w:lang w:val="en-US" w:eastAsia="en-US" w:bidi="ar-SA"/>
              </w:rPr>
            </w:pPr>
          </w:p>
          <w:p w:rsidR="00A345A6" w:rsidRPr="002277F1" w:rsidP="00B64342">
            <w:pPr>
              <w:pStyle w:val="CommentText"/>
              <w:rPr>
                <w:rStyle w:val="DefaultParagraphFont"/>
                <w:sz w:val="24"/>
                <w:szCs w:val="24"/>
                <w:lang w:val="en-US" w:eastAsia="en-US" w:bidi="ar-SA"/>
              </w:rPr>
            </w:pPr>
          </w:p>
        </w:tc>
      </w:tr>
    </w:tbl>
    <w:p w:rsidR="00D310A7" w:rsidRPr="002277F1" w:rsidP="007E0A34">
      <w:pPr>
        <w:pStyle w:val="CommentText"/>
        <w:jc w:val="center"/>
        <w:rPr>
          <w:b/>
          <w:u w:val="single"/>
        </w:rPr>
      </w:pPr>
    </w:p>
    <w:p w:rsidR="00D310A7" w:rsidRPr="002277F1" w:rsidP="007E0A34">
      <w:pPr>
        <w:pStyle w:val="BodyText"/>
        <w:rPr>
          <w:b/>
          <w:bCs/>
          <w:szCs w:val="24"/>
        </w:rPr>
      </w:pPr>
    </w:p>
    <w:sectPr w:rsidSect="003449E7">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31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rsidRPr="00322D13">
    <w:pPr>
      <w:pStyle w:val="Footer"/>
      <w:jc w:val="center"/>
      <w:rPr>
        <w:sz w:val="24"/>
        <w:szCs w:val="24"/>
      </w:rPr>
    </w:pPr>
    <w:r w:rsidRPr="00322D13">
      <w:rPr>
        <w:rStyle w:val="PageNumber"/>
        <w:sz w:val="24"/>
        <w:szCs w:val="24"/>
      </w:rPr>
      <w:fldChar w:fldCharType="begin"/>
    </w:r>
    <w:r w:rsidRPr="00322D13">
      <w:rPr>
        <w:rStyle w:val="PageNumber"/>
        <w:sz w:val="24"/>
        <w:szCs w:val="24"/>
      </w:rPr>
      <w:instrText xml:space="preserve"> PAGE </w:instrText>
    </w:r>
    <w:r w:rsidRPr="00322D13">
      <w:rPr>
        <w:rStyle w:val="PageNumber"/>
        <w:sz w:val="24"/>
        <w:szCs w:val="24"/>
      </w:rPr>
      <w:fldChar w:fldCharType="separate"/>
    </w:r>
    <w:r>
      <w:rPr>
        <w:rStyle w:val="PageNumber"/>
        <w:noProof/>
        <w:sz w:val="24"/>
        <w:szCs w:val="24"/>
      </w:rPr>
      <w:t>10</w:t>
    </w:r>
    <w:r w:rsidRPr="00322D13">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A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rsidRPr="00322D13">
    <w:pPr>
      <w:pStyle w:val="Footer"/>
      <w:framePr w:wrap="around" w:vAnchor="text" w:hAnchor="margin" w:xAlign="center" w:y="1"/>
      <w:jc w:val="center"/>
      <w:rPr>
        <w:rStyle w:val="PageNumber"/>
        <w:sz w:val="24"/>
        <w:szCs w:val="24"/>
      </w:rPr>
    </w:pPr>
    <w:r w:rsidRPr="00322D13">
      <w:rPr>
        <w:rStyle w:val="PageNumber"/>
        <w:sz w:val="24"/>
        <w:szCs w:val="24"/>
      </w:rPr>
      <w:fldChar w:fldCharType="begin"/>
    </w:r>
    <w:r w:rsidRPr="00322D13">
      <w:rPr>
        <w:rStyle w:val="PageNumber"/>
        <w:sz w:val="24"/>
        <w:szCs w:val="24"/>
      </w:rPr>
      <w:instrText xml:space="preserve">PAGE  </w:instrText>
    </w:r>
    <w:r w:rsidRPr="00322D13">
      <w:rPr>
        <w:rStyle w:val="PageNumber"/>
        <w:sz w:val="24"/>
        <w:szCs w:val="24"/>
      </w:rPr>
      <w:fldChar w:fldCharType="separate"/>
    </w:r>
    <w:r w:rsidRPr="00322D13">
      <w:rPr>
        <w:rStyle w:val="PageNumber"/>
        <w:noProof/>
        <w:sz w:val="24"/>
        <w:szCs w:val="24"/>
      </w:rPr>
      <w:t>2</w:t>
    </w:r>
    <w:r w:rsidRPr="00322D13">
      <w:rPr>
        <w:rStyle w:val="PageNumber"/>
        <w:sz w:val="24"/>
        <w:szCs w:val="24"/>
      </w:rPr>
      <w:fldChar w:fldCharType="end"/>
    </w:r>
  </w:p>
  <w:p w:rsidR="00D310A7" w:rsidRPr="00322D13">
    <w:pPr>
      <w:pStyle w:val="Footer"/>
      <w:framePr w:wrap="around" w:vAnchor="text" w:hAnchor="margin" w:xAlign="center" w:y="1"/>
      <w:rPr>
        <w:rStyle w:val="PageNumber"/>
      </w:rPr>
    </w:pPr>
  </w:p>
  <w:p w:rsidR="00D310A7" w:rsidRPr="00322D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rsidRPr="0032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4E8">
      <w:r>
        <w:separator/>
      </w:r>
    </w:p>
  </w:footnote>
  <w:footnote w:type="continuationSeparator" w:id="1">
    <w:p w:rsidR="004764E8">
      <w:r>
        <w:continuationSeparator/>
      </w:r>
    </w:p>
  </w:footnote>
  <w:footnote w:id="2">
    <w:p w:rsidR="0034059F" w:rsidP="004C1C7A">
      <w:pPr>
        <w:pStyle w:val="FootnoteText"/>
        <w:spacing w:after="120"/>
      </w:pPr>
      <w:r>
        <w:rPr>
          <w:rStyle w:val="FootnoteReference"/>
        </w:rPr>
        <w:footnoteRef/>
      </w:r>
      <w:r>
        <w:t xml:space="preserve"> Application for Rehearing of Duke Energy Ohio, Inc. (June 14, 2019)</w:t>
      </w:r>
      <w:r w:rsidR="00270796">
        <w:t xml:space="preserve"> (the “Duke AFR”)</w:t>
      </w:r>
      <w:r>
        <w:t>.</w:t>
      </w:r>
    </w:p>
  </w:footnote>
  <w:footnote w:id="3">
    <w:p w:rsidR="0094533C" w:rsidP="004C1C7A">
      <w:pPr>
        <w:pStyle w:val="FootnoteText"/>
        <w:spacing w:after="120"/>
      </w:pPr>
      <w:r>
        <w:rPr>
          <w:rStyle w:val="FootnoteReference"/>
        </w:rPr>
        <w:footnoteRef/>
      </w:r>
      <w:r>
        <w:t xml:space="preserve"> Finding &amp; Order ¶ 16 (May 15, 2019) (the “Order”)</w:t>
      </w:r>
      <w:r w:rsidR="00270796">
        <w:t>; Staff Review &amp; Recommendation, Case No. 16-664-EL-RDR (Nov. 13, 2017); Staff Review &amp; Recommendation, Case No. 17-781-EL-RDR (Sept. 11, 2018).</w:t>
      </w:r>
    </w:p>
  </w:footnote>
  <w:footnote w:id="4">
    <w:p w:rsidR="00270796" w:rsidP="004C1C7A">
      <w:pPr>
        <w:pStyle w:val="FootnoteText"/>
        <w:spacing w:after="120"/>
      </w:pPr>
      <w:r>
        <w:rPr>
          <w:rStyle w:val="FootnoteReference"/>
        </w:rPr>
        <w:footnoteRef/>
      </w:r>
      <w:r>
        <w:t xml:space="preserve"> Duke AFR at 2-6.</w:t>
      </w:r>
    </w:p>
  </w:footnote>
  <w:footnote w:id="5">
    <w:p w:rsidR="00270796" w:rsidP="004C1C7A">
      <w:pPr>
        <w:pStyle w:val="FootnoteText"/>
        <w:spacing w:after="120"/>
      </w:pPr>
      <w:r>
        <w:rPr>
          <w:rStyle w:val="FootnoteReference"/>
        </w:rPr>
        <w:footnoteRef/>
      </w:r>
      <w:r>
        <w:t xml:space="preserve"> Duke AFR at 4-6.</w:t>
      </w:r>
    </w:p>
  </w:footnote>
  <w:footnote w:id="6">
    <w:p w:rsidR="00A12E2C" w:rsidP="004C1C7A">
      <w:pPr>
        <w:pStyle w:val="FootnoteText"/>
        <w:spacing w:after="120"/>
      </w:pPr>
      <w:r>
        <w:rPr>
          <w:rStyle w:val="FootnoteReference"/>
        </w:rPr>
        <w:footnoteRef/>
      </w:r>
      <w:r>
        <w:t xml:space="preserve"> Case No. 15-534-EL-RDR, PUCO Staff Review &amp; Recommendation (June 23, 2016).</w:t>
      </w:r>
    </w:p>
  </w:footnote>
  <w:footnote w:id="7">
    <w:p w:rsidR="00A12E2C" w:rsidP="004C1C7A">
      <w:pPr>
        <w:pStyle w:val="FootnoteText"/>
        <w:spacing w:after="120"/>
      </w:pPr>
      <w:r>
        <w:rPr>
          <w:rStyle w:val="FootnoteReference"/>
        </w:rPr>
        <w:footnoteRef/>
      </w:r>
      <w:r>
        <w:t xml:space="preserve"> Case No. 16-664-EL-RDR, PUCO Staff Review &amp; Recommendation (Nov. 13, 2017); Case No. 17-781-EL-RDR, PUCO Staff Review &amp; Recommendation (Sept. 11, 2018).</w:t>
      </w:r>
    </w:p>
  </w:footnote>
  <w:footnote w:id="8">
    <w:p w:rsidR="00A12E2C" w:rsidP="004C1C7A">
      <w:pPr>
        <w:pStyle w:val="FootnoteText"/>
        <w:spacing w:after="120"/>
      </w:pPr>
      <w:r>
        <w:rPr>
          <w:rStyle w:val="FootnoteReference"/>
        </w:rPr>
        <w:footnoteRef/>
      </w:r>
      <w:r>
        <w:t xml:space="preserve"> Case No. </w:t>
      </w:r>
      <w:r w:rsidR="00DC0D61">
        <w:t>15-534-EL-RDR, Opinion &amp; Order ¶ 20 (noting that the PUCO Staff recommended disallowing $409,096 in expenses, which includes employee pay incentives), ¶ 44 (agreeing with the PUCO Staff’s recommendation in its entirety).</w:t>
      </w:r>
    </w:p>
  </w:footnote>
  <w:footnote w:id="9">
    <w:p w:rsidR="00DC0D61" w:rsidP="004C1C7A">
      <w:pPr>
        <w:pStyle w:val="FootnoteText"/>
        <w:spacing w:after="120"/>
      </w:pPr>
      <w:r>
        <w:rPr>
          <w:rStyle w:val="FootnoteReference"/>
        </w:rPr>
        <w:footnoteRef/>
      </w:r>
      <w:r>
        <w:t xml:space="preserve"> Duke AFR at 2.</w:t>
      </w:r>
    </w:p>
  </w:footnote>
  <w:footnote w:id="10">
    <w:p w:rsidR="004C1C7A" w:rsidP="004C1C7A">
      <w:pPr>
        <w:pStyle w:val="FootnoteText"/>
        <w:spacing w:after="120"/>
      </w:pPr>
      <w:r>
        <w:rPr>
          <w:rStyle w:val="FootnoteReference"/>
        </w:rPr>
        <w:footnoteRef/>
      </w:r>
      <w:r>
        <w:t xml:space="preserve"> </w:t>
      </w:r>
      <w:r w:rsidRPr="003C3E3F">
        <w:rPr>
          <w:i/>
          <w:iCs/>
        </w:rPr>
        <w:t>See</w:t>
      </w:r>
      <w:r>
        <w:t xml:space="preserve"> section I.B. below.</w:t>
      </w:r>
    </w:p>
  </w:footnote>
  <w:footnote w:id="11">
    <w:p w:rsidR="007847C5" w:rsidP="004C1C7A">
      <w:pPr>
        <w:pStyle w:val="FootnoteText"/>
        <w:spacing w:after="120"/>
      </w:pPr>
      <w:r>
        <w:rPr>
          <w:rStyle w:val="FootnoteReference"/>
        </w:rPr>
        <w:footnoteRef/>
      </w:r>
      <w:r>
        <w:t xml:space="preserve"> Case No. 16-664-EL-RDR, PUCO Staff Review &amp; Recommendation (Nov. 13, 2017) (emphasis added).</w:t>
      </w:r>
    </w:p>
  </w:footnote>
  <w:footnote w:id="12">
    <w:p w:rsidR="007847C5" w:rsidP="004C1C7A">
      <w:pPr>
        <w:pStyle w:val="FootnoteText"/>
        <w:spacing w:after="120"/>
      </w:pPr>
      <w:r>
        <w:rPr>
          <w:rStyle w:val="FootnoteReference"/>
        </w:rPr>
        <w:footnoteRef/>
      </w:r>
      <w:r>
        <w:t xml:space="preserve"> Case No. 17-781-EL-RDR, PUCO Staff Review &amp; Recommendation (Sept. 11, 2018) (emphasis added).</w:t>
      </w:r>
    </w:p>
  </w:footnote>
  <w:footnote w:id="13">
    <w:p w:rsidR="007847C5" w:rsidP="004C1C7A">
      <w:pPr>
        <w:pStyle w:val="FootnoteText"/>
        <w:spacing w:after="120"/>
      </w:pPr>
      <w:r>
        <w:rPr>
          <w:rStyle w:val="FootnoteReference"/>
        </w:rPr>
        <w:footnoteRef/>
      </w:r>
      <w:r>
        <w:t xml:space="preserve"> Case No. 09-391-WS-AIR (cited on page 5 of Duke AFR).</w:t>
      </w:r>
    </w:p>
  </w:footnote>
  <w:footnote w:id="14">
    <w:p w:rsidR="007847C5" w:rsidP="004C1C7A">
      <w:pPr>
        <w:pStyle w:val="FootnoteText"/>
        <w:spacing w:after="120"/>
      </w:pPr>
      <w:r>
        <w:rPr>
          <w:rStyle w:val="FootnoteReference"/>
        </w:rPr>
        <w:footnoteRef/>
      </w:r>
      <w:r>
        <w:t xml:space="preserve"> Case No. 09-391-WS-AIR, Opinion &amp; Order at 21-22 (disallowing all employee compensation that was “related to financial goals”).</w:t>
      </w:r>
    </w:p>
  </w:footnote>
  <w:footnote w:id="15">
    <w:p w:rsidR="007847C5" w:rsidP="004C1C7A">
      <w:pPr>
        <w:pStyle w:val="FootnoteText"/>
        <w:spacing w:after="120"/>
      </w:pPr>
      <w:r>
        <w:rPr>
          <w:rStyle w:val="FootnoteReference"/>
        </w:rPr>
        <w:footnoteRef/>
      </w:r>
      <w:r>
        <w:t xml:space="preserve"> Case No. 07-551-EL-AIR (cited on page 4-5 of Duke AFR).</w:t>
      </w:r>
    </w:p>
  </w:footnote>
  <w:footnote w:id="16">
    <w:p w:rsidR="004B5C58" w:rsidRPr="004B5C58" w:rsidP="004C1C7A">
      <w:pPr>
        <w:pStyle w:val="FootnoteText"/>
        <w:spacing w:after="120"/>
      </w:pPr>
      <w:r>
        <w:rPr>
          <w:rStyle w:val="FootnoteReference"/>
        </w:rPr>
        <w:footnoteRef/>
      </w:r>
      <w:r>
        <w:t xml:space="preserve"> Case No. 07-551-EL-AIR, Opinion &amp; Order at 17 (Jan. 21, 2009).</w:t>
      </w:r>
    </w:p>
  </w:footnote>
  <w:footnote w:id="17">
    <w:p w:rsidR="004B5C58" w:rsidP="004C1C7A">
      <w:pPr>
        <w:pStyle w:val="FootnoteText"/>
        <w:spacing w:after="120"/>
      </w:pPr>
      <w:r>
        <w:rPr>
          <w:rStyle w:val="FootnoteReference"/>
        </w:rPr>
        <w:footnoteRef/>
      </w:r>
      <w:r>
        <w:t xml:space="preserve"> Case No. 16-664-EL-RDR, PUCO Staff Review &amp; Recommendation (Nov. 13, 2017); Case No. 17-781-EL-RDR, PUCO Staff Review &amp; Recommendation (Sept. 11,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A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E7"/>
    <w:rPr>
      <w:sz w:val="24"/>
    </w:rPr>
  </w:style>
  <w:style w:type="paragraph" w:styleId="Heading1">
    <w:name w:val="heading 1"/>
    <w:basedOn w:val="Normal"/>
    <w:next w:val="Normal"/>
    <w:qFormat/>
    <w:rsid w:val="003449E7"/>
    <w:pPr>
      <w:keepNext/>
      <w:outlineLvl w:val="0"/>
    </w:pPr>
    <w:rPr>
      <w:b/>
      <w:szCs w:val="24"/>
      <w:u w:val="single"/>
    </w:rPr>
  </w:style>
  <w:style w:type="paragraph" w:styleId="Heading2">
    <w:name w:val="heading 2"/>
    <w:basedOn w:val="Normal"/>
    <w:next w:val="Normal"/>
    <w:qFormat/>
    <w:rsid w:val="003449E7"/>
    <w:pPr>
      <w:keepNext/>
      <w:tabs>
        <w:tab w:val="left" w:pos="4320"/>
      </w:tabs>
      <w:jc w:val="center"/>
      <w:outlineLvl w:val="1"/>
    </w:pPr>
    <w:rPr>
      <w:b/>
    </w:rPr>
  </w:style>
  <w:style w:type="paragraph" w:styleId="Heading3">
    <w:name w:val="heading 3"/>
    <w:basedOn w:val="Normal"/>
    <w:next w:val="Normal"/>
    <w:qFormat/>
    <w:rsid w:val="003449E7"/>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4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rsid w:val="003449E7"/>
    <w:pPr>
      <w:tabs>
        <w:tab w:val="center" w:pos="4320"/>
        <w:tab w:val="right" w:pos="8640"/>
      </w:tabs>
    </w:pPr>
    <w:rPr>
      <w:sz w:val="20"/>
    </w:rPr>
  </w:style>
  <w:style w:type="character" w:styleId="Hyperlink">
    <w:name w:val="Hyperlink"/>
    <w:rsid w:val="003449E7"/>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3449E7"/>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3449E7"/>
    <w:rPr>
      <w:vertAlign w:val="superscript"/>
    </w:rPr>
  </w:style>
  <w:style w:type="paragraph" w:styleId="BodyTextIndent">
    <w:name w:val="Body Text Indent"/>
    <w:basedOn w:val="Normal"/>
    <w:rsid w:val="003449E7"/>
    <w:pPr>
      <w:spacing w:line="480" w:lineRule="auto"/>
      <w:ind w:firstLine="720"/>
    </w:pPr>
  </w:style>
  <w:style w:type="paragraph" w:styleId="BodyTextIndent3">
    <w:name w:val="Body Text Indent 3"/>
    <w:basedOn w:val="Normal"/>
    <w:link w:val="BodyTextIndent3Char"/>
    <w:rsid w:val="003449E7"/>
    <w:pPr>
      <w:spacing w:line="480" w:lineRule="atLeast"/>
      <w:ind w:firstLine="720"/>
    </w:pPr>
  </w:style>
  <w:style w:type="paragraph" w:styleId="BodyTextIndent2">
    <w:name w:val="Body Text Indent 2"/>
    <w:basedOn w:val="Normal"/>
    <w:rsid w:val="003449E7"/>
    <w:pPr>
      <w:tabs>
        <w:tab w:val="left" w:pos="720"/>
      </w:tabs>
      <w:spacing w:before="240" w:after="240"/>
      <w:ind w:left="1464" w:hanging="744"/>
    </w:pPr>
  </w:style>
  <w:style w:type="character" w:styleId="PageNumber">
    <w:name w:val="page number"/>
    <w:basedOn w:val="DefaultParagraphFont"/>
    <w:rsid w:val="003449E7"/>
  </w:style>
  <w:style w:type="paragraph" w:styleId="BodyText">
    <w:name w:val="Body Text"/>
    <w:basedOn w:val="Normal"/>
    <w:link w:val="BodyTextChar"/>
    <w:rsid w:val="003449E7"/>
    <w:pPr>
      <w:jc w:val="both"/>
    </w:pPr>
  </w:style>
  <w:style w:type="paragraph" w:styleId="BlockText">
    <w:name w:val="Block Text"/>
    <w:basedOn w:val="Normal"/>
    <w:rsid w:val="003449E7"/>
    <w:pPr>
      <w:ind w:left="1440" w:right="720"/>
    </w:pPr>
  </w:style>
  <w:style w:type="paragraph" w:styleId="EndnoteText">
    <w:name w:val="endnote text"/>
    <w:basedOn w:val="Normal"/>
    <w:semiHidden/>
    <w:rsid w:val="003449E7"/>
    <w:rPr>
      <w:sz w:val="20"/>
    </w:rPr>
  </w:style>
  <w:style w:type="character" w:styleId="EndnoteReference">
    <w:name w:val="endnote reference"/>
    <w:semiHidden/>
    <w:rsid w:val="003449E7"/>
    <w:rPr>
      <w:vertAlign w:val="superscript"/>
    </w:rPr>
  </w:style>
  <w:style w:type="paragraph" w:styleId="BodyText2">
    <w:name w:val="Body Text 2"/>
    <w:basedOn w:val="Normal"/>
    <w:rsid w:val="003449E7"/>
    <w:pPr>
      <w:spacing w:line="480" w:lineRule="auto"/>
      <w:ind w:right="1440"/>
    </w:pPr>
  </w:style>
  <w:style w:type="paragraph" w:styleId="Header">
    <w:name w:val="header"/>
    <w:basedOn w:val="Normal"/>
    <w:rsid w:val="003449E7"/>
    <w:pPr>
      <w:tabs>
        <w:tab w:val="center" w:pos="4320"/>
        <w:tab w:val="right" w:pos="8640"/>
      </w:tabs>
    </w:pPr>
  </w:style>
  <w:style w:type="paragraph" w:styleId="BalloonText">
    <w:name w:val="Balloon Text"/>
    <w:basedOn w:val="Normal"/>
    <w:semiHidden/>
    <w:rsid w:val="003449E7"/>
    <w:rPr>
      <w:rFonts w:ascii="Lucida Grande" w:hAnsi="Lucida Grande"/>
      <w:sz w:val="18"/>
      <w:szCs w:val="18"/>
    </w:rPr>
  </w:style>
  <w:style w:type="character" w:styleId="CommentReference">
    <w:name w:val="annotation reference"/>
    <w:semiHidden/>
    <w:rsid w:val="003449E7"/>
    <w:rPr>
      <w:sz w:val="18"/>
    </w:rPr>
  </w:style>
  <w:style w:type="paragraph" w:styleId="CommentText">
    <w:name w:val="annotation text"/>
    <w:basedOn w:val="Normal"/>
    <w:link w:val="CommentTextChar"/>
    <w:semiHidden/>
    <w:rsid w:val="003449E7"/>
    <w:rPr>
      <w:szCs w:val="24"/>
    </w:rPr>
  </w:style>
  <w:style w:type="paragraph" w:styleId="CommentSubject">
    <w:name w:val="annotation subject"/>
    <w:basedOn w:val="CommentText"/>
    <w:next w:val="CommentText"/>
    <w:semiHidden/>
    <w:rsid w:val="003449E7"/>
    <w:rPr>
      <w:szCs w:val="20"/>
    </w:rPr>
  </w:style>
  <w:style w:type="character" w:styleId="FollowedHyperlink">
    <w:name w:val="FollowedHyperlink"/>
    <w:rsid w:val="003449E7"/>
    <w:rPr>
      <w:color w:val="800080"/>
      <w:u w:val="single"/>
    </w:rPr>
  </w:style>
  <w:style w:type="character" w:customStyle="1" w:styleId="term1">
    <w:name w:val="term1"/>
    <w:rsid w:val="003449E7"/>
    <w:rPr>
      <w:b/>
      <w:bCs/>
    </w:rPr>
  </w:style>
  <w:style w:type="table" w:styleId="TableGrid">
    <w:name w:val="Table Grid"/>
    <w:basedOn w:val="TableNormal"/>
    <w:rsid w:val="0034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3449E7"/>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HTMLPreformattedChar">
    <w:name w:val="HTML Preformatted Char"/>
    <w:link w:val="HTMLPreformatted"/>
    <w:locked/>
    <w:rsid w:val="00E3485F"/>
    <w:rPr>
      <w:rFonts w:ascii="Courier New" w:eastAsia="Courier New" w:hAnsi="Courier New" w:cs="Courier New"/>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rsid w:val="00DA5728"/>
  </w:style>
  <w:style w:type="character" w:customStyle="1" w:styleId="UnresolvedMention1">
    <w:name w:val="Unresolved Mention1"/>
    <w:basedOn w:val="DefaultParagraphFont"/>
    <w:uiPriority w:val="99"/>
    <w:semiHidden/>
    <w:unhideWhenUsed/>
    <w:rsid w:val="002917AD"/>
    <w:rPr>
      <w:color w:val="605E5C"/>
      <w:shd w:val="clear" w:color="auto" w:fill="E1DFDD"/>
    </w:rPr>
  </w:style>
  <w:style w:type="character" w:customStyle="1" w:styleId="UnresolvedMention">
    <w:name w:val="Unresolved Mention"/>
    <w:basedOn w:val="DefaultParagraphFont"/>
    <w:rsid w:val="00A34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Duke 16-664, 17-781 - MC Duke AFR.DOCX</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2019-06-24T12:57:01Z</dcterms:created>
  <dcterms:modified xsi:type="dcterms:W3CDTF">2019-06-24T12:57:01Z</dcterms:modified>
</cp:coreProperties>
</file>