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3044DA" w:rsidP="003044DA">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3044DA" w:rsidP="003044DA">
      <w:pPr>
        <w:pStyle w:val="HTMLPreformatted"/>
        <w:jc w:val="center"/>
        <w:rPr>
          <w:rFonts w:ascii="Times New Roman" w:hAnsi="Times New Roman"/>
          <w:sz w:val="24"/>
        </w:rPr>
      </w:pPr>
      <w:r>
        <w:rPr>
          <w:rFonts w:ascii="Times New Roman" w:hAnsi="Times New Roman"/>
          <w:b/>
          <w:bCs/>
          <w:sz w:val="24"/>
        </w:rPr>
        <w:t>THE PUBLIC UTILITIES COMMISSION OF OHIO</w:t>
      </w:r>
    </w:p>
    <w:p w:rsidR="00235D48" w:rsidP="003044DA">
      <w:pPr>
        <w:pStyle w:val="HTMLPreformatted"/>
        <w:rPr>
          <w:rFonts w:ascii="Times New Roman" w:hAnsi="Times New Roman"/>
          <w:sz w:val="24"/>
        </w:rPr>
      </w:pPr>
    </w:p>
    <w:tbl>
      <w:tblPr>
        <w:tblW w:w="8738" w:type="dxa"/>
        <w:tblInd w:w="0" w:type="dxa"/>
        <w:tblCellMar>
          <w:top w:w="0" w:type="dxa"/>
          <w:left w:w="108" w:type="dxa"/>
          <w:bottom w:w="0" w:type="dxa"/>
          <w:right w:w="108" w:type="dxa"/>
        </w:tblCellMar>
        <w:tblLook w:val="01E0"/>
      </w:tblPr>
      <w:tblGrid>
        <w:gridCol w:w="3978"/>
        <w:gridCol w:w="360"/>
        <w:gridCol w:w="4400"/>
      </w:tblGrid>
      <w:tr w:rsidTr="0023157B">
        <w:tblPrEx>
          <w:tblW w:w="8738" w:type="dxa"/>
          <w:tblInd w:w="0" w:type="dxa"/>
          <w:tblCellMar>
            <w:top w:w="0" w:type="dxa"/>
            <w:left w:w="108" w:type="dxa"/>
            <w:bottom w:w="0" w:type="dxa"/>
            <w:right w:w="108" w:type="dxa"/>
          </w:tblCellMar>
          <w:tblLook w:val="01E0"/>
        </w:tblPrEx>
        <w:trPr>
          <w:trHeight w:val="807"/>
        </w:trPr>
        <w:tc>
          <w:tcPr>
            <w:tcW w:w="3978" w:type="dxa"/>
            <w:shd w:val="clear" w:color="auto" w:fill="auto"/>
          </w:tcPr>
          <w:p w:rsidR="003044DA" w:rsidRPr="006759AD" w:rsidP="002315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Ohio Power Company to Update Its gridSMART Phase 2 Rider Rates.</w:t>
            </w:r>
          </w:p>
        </w:tc>
        <w:tc>
          <w:tcPr>
            <w:tcW w:w="360" w:type="dxa"/>
            <w:shd w:val="clear" w:color="auto" w:fill="auto"/>
          </w:tcPr>
          <w:p w:rsidR="003044DA" w:rsidRPr="00A044B5" w:rsidP="002315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3044DA" w:rsidRPr="00A044B5" w:rsidP="002315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3044DA" w:rsidRPr="00A044B5" w:rsidP="002315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tc>
        <w:tc>
          <w:tcPr>
            <w:tcW w:w="4400" w:type="dxa"/>
            <w:shd w:val="clear" w:color="auto" w:fill="auto"/>
          </w:tcPr>
          <w:p w:rsidR="003044DA" w:rsidRPr="00A044B5" w:rsidP="002315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3044DA" w:rsidRPr="00A044B5" w:rsidP="002315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17-1156-EL-RDR</w:t>
            </w:r>
          </w:p>
        </w:tc>
      </w:tr>
    </w:tbl>
    <w:p w:rsidR="003044DA" w:rsidP="003044DA">
      <w:pPr>
        <w:pStyle w:val="HTMLPreformatted"/>
        <w:rPr>
          <w:rFonts w:ascii="Times New Roman" w:hAnsi="Times New Roman"/>
          <w:sz w:val="24"/>
        </w:rPr>
      </w:pPr>
    </w:p>
    <w:p w:rsidR="00235D48" w:rsidP="003044DA">
      <w:pPr>
        <w:pStyle w:val="HTMLPreformatted"/>
        <w:rPr>
          <w:rFonts w:ascii="Times New Roman" w:hAnsi="Times New Roman"/>
          <w:sz w:val="24"/>
        </w:rPr>
      </w:pPr>
    </w:p>
    <w:p w:rsidR="003044DA" w:rsidP="003044DA">
      <w:pPr>
        <w:pStyle w:val="HTMLPreformatted"/>
        <w:pBdr>
          <w:top w:val="single" w:sz="12" w:space="1" w:color="auto"/>
        </w:pBdr>
        <w:rPr>
          <w:rFonts w:ascii="Times New Roman" w:hAnsi="Times New Roman"/>
          <w:sz w:val="24"/>
        </w:rPr>
      </w:pPr>
    </w:p>
    <w:p w:rsidR="003044DA" w:rsidRPr="003044DA" w:rsidP="003044DA">
      <w:pPr>
        <w:spacing w:line="240" w:lineRule="auto"/>
        <w:jc w:val="center"/>
        <w:rPr>
          <w:rFonts w:cs="Times New Roman"/>
          <w:b/>
          <w:bCs/>
          <w:szCs w:val="24"/>
        </w:rPr>
      </w:pPr>
      <w:r>
        <w:rPr>
          <w:rFonts w:cs="Times New Roman"/>
          <w:b/>
          <w:bCs/>
          <w:szCs w:val="24"/>
        </w:rPr>
        <w:t>COMMENTS ON THE PROPOSED CHARGE TO CONSUMERS FOR COSTS ASSOCIATED WITH GRIDSMART PHASE 2</w:t>
      </w:r>
    </w:p>
    <w:p w:rsidR="003044DA" w:rsidRPr="003044DA" w:rsidP="003044DA">
      <w:pPr>
        <w:spacing w:line="240" w:lineRule="auto"/>
        <w:jc w:val="center"/>
        <w:rPr>
          <w:rFonts w:cs="Times New Roman"/>
          <w:b/>
          <w:bCs/>
          <w:szCs w:val="24"/>
        </w:rPr>
      </w:pPr>
      <w:r w:rsidRPr="003044DA">
        <w:rPr>
          <w:rFonts w:cs="Times New Roman"/>
          <w:b/>
          <w:bCs/>
          <w:szCs w:val="24"/>
        </w:rPr>
        <w:t>BY</w:t>
      </w:r>
    </w:p>
    <w:p w:rsidR="003044DA" w:rsidP="003044DA">
      <w:pPr>
        <w:spacing w:line="240" w:lineRule="auto"/>
        <w:jc w:val="center"/>
        <w:rPr>
          <w:b/>
          <w:bCs/>
        </w:rPr>
      </w:pPr>
      <w:r w:rsidRPr="003044DA">
        <w:rPr>
          <w:rFonts w:cs="Times New Roman"/>
          <w:b/>
          <w:bCs/>
          <w:szCs w:val="24"/>
        </w:rPr>
        <w:t>THE OFFICE OF THE OHIO CONSUMERS’ COUNSEL</w:t>
      </w:r>
    </w:p>
    <w:p w:rsidR="003044DA" w:rsidP="001A4F97">
      <w:pPr>
        <w:pBdr>
          <w:bottom w:val="single" w:sz="12" w:space="1" w:color="auto"/>
        </w:pBdr>
        <w:tabs>
          <w:tab w:val="left" w:pos="4320"/>
        </w:tabs>
        <w:spacing w:line="240" w:lineRule="auto"/>
      </w:pPr>
    </w:p>
    <w:p w:rsidR="005F0AF2" w:rsidRPr="00AD66C4" w:rsidP="001A4F97">
      <w:pPr>
        <w:spacing w:before="480"/>
        <w:rPr>
          <w:rFonts w:cs="Times New Roman"/>
          <w:b/>
          <w:szCs w:val="24"/>
        </w:rPr>
      </w:pPr>
      <w:r w:rsidRPr="00AD66C4">
        <w:rPr>
          <w:rFonts w:cs="Times New Roman"/>
          <w:b/>
          <w:szCs w:val="24"/>
        </w:rPr>
        <w:t>I.</w:t>
      </w:r>
      <w:r w:rsidRPr="00AD66C4">
        <w:rPr>
          <w:rFonts w:cs="Times New Roman"/>
          <w:b/>
          <w:szCs w:val="24"/>
        </w:rPr>
        <w:tab/>
        <w:t>INTRODUCTION</w:t>
      </w:r>
    </w:p>
    <w:p w:rsidR="00730ABE" w:rsidP="003044DA">
      <w:pPr>
        <w:ind w:firstLine="720"/>
        <w:rPr>
          <w:rFonts w:cs="Times New Roman"/>
          <w:szCs w:val="24"/>
        </w:rPr>
      </w:pPr>
      <w:r>
        <w:rPr>
          <w:rFonts w:cs="Times New Roman"/>
          <w:szCs w:val="24"/>
        </w:rPr>
        <w:t xml:space="preserve">Ohioans pay hundreds of millions of dollars every year on projects that are supposed to modernize the electric grid and improve electric service.  </w:t>
      </w:r>
      <w:r w:rsidRPr="00523EA3">
        <w:rPr>
          <w:rFonts w:cs="Times New Roman"/>
          <w:szCs w:val="24"/>
        </w:rPr>
        <w:t xml:space="preserve">This case involves the annual </w:t>
      </w:r>
      <w:r>
        <w:rPr>
          <w:rFonts w:cs="Times New Roman"/>
          <w:szCs w:val="24"/>
        </w:rPr>
        <w:t xml:space="preserve">audit </w:t>
      </w:r>
      <w:r w:rsidRPr="00523EA3">
        <w:rPr>
          <w:rFonts w:cs="Times New Roman"/>
          <w:szCs w:val="24"/>
        </w:rPr>
        <w:t xml:space="preserve">of </w:t>
      </w:r>
      <w:r>
        <w:rPr>
          <w:rFonts w:cs="Times New Roman"/>
          <w:szCs w:val="24"/>
        </w:rPr>
        <w:t>Ohio Power Company’s (“</w:t>
      </w:r>
      <w:r w:rsidRPr="00523EA3">
        <w:rPr>
          <w:rFonts w:cs="Times New Roman"/>
          <w:szCs w:val="24"/>
        </w:rPr>
        <w:t>AEP Ohio</w:t>
      </w:r>
      <w:r>
        <w:rPr>
          <w:rFonts w:cs="Times New Roman"/>
          <w:szCs w:val="24"/>
        </w:rPr>
        <w:t>’s”)</w:t>
      </w:r>
      <w:r w:rsidRPr="00523EA3">
        <w:rPr>
          <w:rFonts w:cs="Times New Roman"/>
          <w:szCs w:val="24"/>
        </w:rPr>
        <w:t xml:space="preserve"> gridSMART Phase 2 rider to</w:t>
      </w:r>
      <w:r>
        <w:rPr>
          <w:rFonts w:cs="Times New Roman"/>
          <w:szCs w:val="24"/>
        </w:rPr>
        <w:t xml:space="preserve"> determine whether the charges to AEP Ohio’s customers for gridSMART expenditures are reasonable and prudent</w:t>
      </w:r>
      <w:r w:rsidRPr="00523EA3">
        <w:rPr>
          <w:rFonts w:cs="Times New Roman"/>
          <w:szCs w:val="24"/>
        </w:rPr>
        <w:t xml:space="preserve">.  </w:t>
      </w:r>
    </w:p>
    <w:p w:rsidR="005C3BDB" w:rsidRPr="00523EA3" w:rsidP="00AD66C4">
      <w:pPr>
        <w:ind w:firstLine="720"/>
        <w:rPr>
          <w:rFonts w:cs="Times New Roman"/>
          <w:szCs w:val="24"/>
        </w:rPr>
      </w:pPr>
      <w:r w:rsidRPr="00523EA3">
        <w:rPr>
          <w:rFonts w:cs="Times New Roman"/>
          <w:szCs w:val="24"/>
        </w:rPr>
        <w:t xml:space="preserve">The gridSMART </w:t>
      </w:r>
      <w:r>
        <w:rPr>
          <w:rFonts w:cs="Times New Roman"/>
          <w:szCs w:val="24"/>
        </w:rPr>
        <w:t xml:space="preserve">Phase </w:t>
      </w:r>
      <w:r w:rsidRPr="00523EA3">
        <w:rPr>
          <w:rFonts w:cs="Times New Roman"/>
          <w:szCs w:val="24"/>
        </w:rPr>
        <w:t xml:space="preserve">2 Rider is intended </w:t>
      </w:r>
      <w:r>
        <w:rPr>
          <w:rFonts w:cs="Times New Roman"/>
          <w:szCs w:val="24"/>
        </w:rPr>
        <w:t>as AEP Ohio’s</w:t>
      </w:r>
      <w:r w:rsidRPr="00523EA3">
        <w:rPr>
          <w:rFonts w:cs="Times New Roman"/>
          <w:szCs w:val="24"/>
        </w:rPr>
        <w:t xml:space="preserve"> </w:t>
      </w:r>
      <w:r>
        <w:rPr>
          <w:rFonts w:cs="Times New Roman"/>
          <w:szCs w:val="24"/>
        </w:rPr>
        <w:t>charge to customers for its</w:t>
      </w:r>
      <w:r w:rsidRPr="00523EA3">
        <w:rPr>
          <w:rFonts w:cs="Times New Roman"/>
          <w:szCs w:val="24"/>
        </w:rPr>
        <w:t xml:space="preserve"> on-going operations and maintenance (“O&amp;M”) expenses as well as incremental investment costs associated </w:t>
      </w:r>
      <w:r>
        <w:rPr>
          <w:rFonts w:cs="Times New Roman"/>
          <w:szCs w:val="24"/>
        </w:rPr>
        <w:t xml:space="preserve">with </w:t>
      </w:r>
      <w:r w:rsidRPr="00523EA3">
        <w:rPr>
          <w:rFonts w:cs="Times New Roman"/>
          <w:szCs w:val="24"/>
        </w:rPr>
        <w:t xml:space="preserve">the gridSMART </w:t>
      </w:r>
      <w:r>
        <w:rPr>
          <w:rFonts w:cs="Times New Roman"/>
          <w:szCs w:val="24"/>
        </w:rPr>
        <w:t xml:space="preserve">Phase </w:t>
      </w:r>
      <w:r w:rsidRPr="00523EA3">
        <w:rPr>
          <w:rFonts w:cs="Times New Roman"/>
          <w:szCs w:val="24"/>
        </w:rPr>
        <w:t>2 program.</w:t>
      </w:r>
      <w:r>
        <w:rPr>
          <w:rStyle w:val="FootnoteReference"/>
          <w:rFonts w:cs="Times New Roman"/>
          <w:szCs w:val="24"/>
        </w:rPr>
        <w:footnoteReference w:id="3"/>
      </w:r>
      <w:r w:rsidRPr="00523EA3">
        <w:rPr>
          <w:rFonts w:cs="Times New Roman"/>
          <w:szCs w:val="24"/>
        </w:rPr>
        <w:t xml:space="preserve">  Under an earlier gridSMART Phase 1 program, AEP Ohio installed over 132,000 advanced metering infrastructure (“AMI”)</w:t>
      </w:r>
      <w:r>
        <w:rPr>
          <w:rFonts w:cs="Times New Roman"/>
          <w:szCs w:val="24"/>
        </w:rPr>
        <w:t xml:space="preserve"> meters</w:t>
      </w:r>
      <w:r w:rsidRPr="00523EA3">
        <w:rPr>
          <w:rFonts w:cs="Times New Roman"/>
          <w:szCs w:val="24"/>
        </w:rPr>
        <w:t xml:space="preserve">, distribution automation circuit reconfiguration technology (“DACR”) on 70 circuits, and volt-var optimization (“VVO”) on 17 distribution circuit </w:t>
      </w:r>
      <w:r w:rsidRPr="00523EA3">
        <w:rPr>
          <w:rFonts w:cs="Times New Roman"/>
          <w:szCs w:val="24"/>
        </w:rPr>
        <w:t>feeders.</w:t>
      </w:r>
      <w:r>
        <w:rPr>
          <w:rStyle w:val="FootnoteReference"/>
          <w:rFonts w:cs="Times New Roman"/>
          <w:szCs w:val="24"/>
        </w:rPr>
        <w:footnoteReference w:id="4"/>
      </w:r>
      <w:r w:rsidRPr="00523EA3">
        <w:rPr>
          <w:rFonts w:cs="Times New Roman"/>
          <w:szCs w:val="24"/>
        </w:rPr>
        <w:t xml:space="preserve">  The gridSMART Phase 2 deployment </w:t>
      </w:r>
      <w:r>
        <w:rPr>
          <w:rFonts w:cs="Times New Roman"/>
          <w:szCs w:val="24"/>
        </w:rPr>
        <w:t xml:space="preserve">is estimated to </w:t>
      </w:r>
      <w:r w:rsidRPr="00523EA3">
        <w:rPr>
          <w:rFonts w:cs="Times New Roman"/>
          <w:szCs w:val="24"/>
        </w:rPr>
        <w:t xml:space="preserve">cost approximately $560 million and includes the installation of an additional 894,000 </w:t>
      </w:r>
      <w:r>
        <w:rPr>
          <w:rFonts w:cs="Times New Roman"/>
          <w:szCs w:val="24"/>
        </w:rPr>
        <w:t>AMI</w:t>
      </w:r>
      <w:r w:rsidRPr="00523EA3">
        <w:rPr>
          <w:rFonts w:cs="Times New Roman"/>
          <w:szCs w:val="24"/>
        </w:rPr>
        <w:t xml:space="preserve"> meters over four</w:t>
      </w:r>
      <w:r>
        <w:rPr>
          <w:rFonts w:cs="Times New Roman"/>
          <w:szCs w:val="24"/>
        </w:rPr>
        <w:t xml:space="preserve"> </w:t>
      </w:r>
      <w:r w:rsidRPr="00523EA3">
        <w:rPr>
          <w:rFonts w:cs="Times New Roman"/>
          <w:szCs w:val="24"/>
        </w:rPr>
        <w:t>years, DACR technology on 250 circuits</w:t>
      </w:r>
      <w:r>
        <w:rPr>
          <w:rFonts w:cs="Times New Roman"/>
          <w:szCs w:val="24"/>
        </w:rPr>
        <w:t>,</w:t>
      </w:r>
      <w:r w:rsidRPr="00523EA3">
        <w:rPr>
          <w:rFonts w:cs="Times New Roman"/>
          <w:szCs w:val="24"/>
        </w:rPr>
        <w:t xml:space="preserve"> and VVO on approximately 80 circuits over six</w:t>
      </w:r>
      <w:r>
        <w:rPr>
          <w:rFonts w:cs="Times New Roman"/>
          <w:szCs w:val="24"/>
        </w:rPr>
        <w:t xml:space="preserve"> </w:t>
      </w:r>
      <w:r w:rsidRPr="00523EA3">
        <w:rPr>
          <w:rFonts w:cs="Times New Roman"/>
          <w:szCs w:val="24"/>
        </w:rPr>
        <w:t>years.</w:t>
      </w:r>
      <w:r>
        <w:rPr>
          <w:rStyle w:val="FootnoteReference"/>
          <w:rFonts w:cs="Times New Roman"/>
          <w:szCs w:val="24"/>
        </w:rPr>
        <w:footnoteReference w:id="5"/>
      </w:r>
      <w:r w:rsidRPr="00523EA3">
        <w:rPr>
          <w:rFonts w:cs="Times New Roman"/>
          <w:szCs w:val="24"/>
        </w:rPr>
        <w:t xml:space="preserve"> </w:t>
      </w:r>
    </w:p>
    <w:p w:rsidR="00C40374" w:rsidP="003044DA">
      <w:pPr>
        <w:ind w:firstLine="720"/>
        <w:rPr>
          <w:rFonts w:cs="Times New Roman"/>
          <w:szCs w:val="24"/>
        </w:rPr>
      </w:pPr>
      <w:r w:rsidRPr="00523EA3">
        <w:rPr>
          <w:rFonts w:cs="Times New Roman"/>
          <w:szCs w:val="24"/>
        </w:rPr>
        <w:t xml:space="preserve">AEP Ohio filed an Application </w:t>
      </w:r>
      <w:r>
        <w:rPr>
          <w:rFonts w:cs="Times New Roman"/>
          <w:szCs w:val="24"/>
        </w:rPr>
        <w:t xml:space="preserve">in this case </w:t>
      </w:r>
      <w:r w:rsidRPr="00523EA3">
        <w:rPr>
          <w:rFonts w:cs="Times New Roman"/>
          <w:szCs w:val="24"/>
        </w:rPr>
        <w:t xml:space="preserve">on January 29, 2018 detailing its fourth quarter 2017 expenses.  This application also </w:t>
      </w:r>
      <w:r>
        <w:rPr>
          <w:rFonts w:cs="Times New Roman"/>
          <w:szCs w:val="24"/>
        </w:rPr>
        <w:t xml:space="preserve">initiated </w:t>
      </w:r>
      <w:r w:rsidRPr="00523EA3">
        <w:rPr>
          <w:rFonts w:cs="Times New Roman"/>
          <w:szCs w:val="24"/>
        </w:rPr>
        <w:t xml:space="preserve">the annual </w:t>
      </w:r>
      <w:r>
        <w:rPr>
          <w:rFonts w:cs="Times New Roman"/>
          <w:szCs w:val="24"/>
        </w:rPr>
        <w:t xml:space="preserve">prudency audit </w:t>
      </w:r>
      <w:r w:rsidRPr="00523EA3">
        <w:rPr>
          <w:rFonts w:cs="Times New Roman"/>
          <w:szCs w:val="24"/>
        </w:rPr>
        <w:t xml:space="preserve">of the rider required by </w:t>
      </w:r>
      <w:r>
        <w:rPr>
          <w:rFonts w:cs="Times New Roman"/>
          <w:szCs w:val="24"/>
        </w:rPr>
        <w:t>the Public Utilities Commission of Ohio (“PUCO”).</w:t>
      </w:r>
      <w:r>
        <w:rPr>
          <w:rStyle w:val="FootnoteReference"/>
          <w:rFonts w:cs="Times New Roman"/>
          <w:szCs w:val="24"/>
        </w:rPr>
        <w:footnoteReference w:id="6"/>
      </w:r>
      <w:r>
        <w:rPr>
          <w:rFonts w:cs="Times New Roman"/>
          <w:szCs w:val="24"/>
        </w:rPr>
        <w:t xml:space="preserve">  The audit was</w:t>
      </w:r>
      <w:r w:rsidRPr="00523EA3">
        <w:rPr>
          <w:rFonts w:cs="Times New Roman"/>
          <w:szCs w:val="24"/>
        </w:rPr>
        <w:t xml:space="preserve"> perform</w:t>
      </w:r>
      <w:r>
        <w:rPr>
          <w:rFonts w:cs="Times New Roman"/>
          <w:szCs w:val="24"/>
        </w:rPr>
        <w:t>ed by</w:t>
      </w:r>
      <w:r w:rsidRPr="00523EA3">
        <w:rPr>
          <w:rFonts w:cs="Times New Roman"/>
          <w:szCs w:val="24"/>
        </w:rPr>
        <w:t xml:space="preserve"> the</w:t>
      </w:r>
      <w:r>
        <w:rPr>
          <w:rFonts w:cs="Times New Roman"/>
          <w:szCs w:val="24"/>
        </w:rPr>
        <w:t xml:space="preserve"> PUCO Staff, which filed its Review and Recommendations on July 3, 2018</w:t>
      </w:r>
      <w:r w:rsidRPr="00523EA3">
        <w:rPr>
          <w:rFonts w:cs="Times New Roman"/>
          <w:szCs w:val="24"/>
        </w:rPr>
        <w:t xml:space="preserve">.  </w:t>
      </w:r>
      <w:r>
        <w:rPr>
          <w:rFonts w:cs="Times New Roman"/>
          <w:szCs w:val="24"/>
        </w:rPr>
        <w:t>On August 28, 2018, the PUCO issued an Entry seeking comments on the Phase 2 rider.</w:t>
      </w:r>
      <w:r>
        <w:rPr>
          <w:rStyle w:val="FootnoteReference"/>
          <w:rFonts w:cs="Times New Roman"/>
          <w:szCs w:val="24"/>
        </w:rPr>
        <w:footnoteReference w:id="7"/>
      </w:r>
    </w:p>
    <w:p w:rsidR="00523EA3" w:rsidP="00AD66C4">
      <w:pPr>
        <w:ind w:firstLine="720"/>
        <w:rPr>
          <w:rFonts w:cs="Times New Roman"/>
          <w:szCs w:val="24"/>
        </w:rPr>
      </w:pPr>
      <w:r>
        <w:rPr>
          <w:rFonts w:cs="Times New Roman"/>
          <w:szCs w:val="24"/>
        </w:rPr>
        <w:t>The Office of the Ohio Consumers’ Counsel (“</w:t>
      </w:r>
      <w:r w:rsidRPr="00523EA3">
        <w:rPr>
          <w:rFonts w:cs="Times New Roman"/>
          <w:szCs w:val="24"/>
        </w:rPr>
        <w:t>OCC</w:t>
      </w:r>
      <w:r>
        <w:rPr>
          <w:rFonts w:cs="Times New Roman"/>
          <w:szCs w:val="24"/>
        </w:rPr>
        <w:t>”) agrees with the PUCO Staff’s findings in its prudency audit.  But OCC</w:t>
      </w:r>
      <w:r w:rsidRPr="00523EA3">
        <w:rPr>
          <w:rFonts w:cs="Times New Roman"/>
          <w:szCs w:val="24"/>
        </w:rPr>
        <w:t xml:space="preserve"> recommends that the </w:t>
      </w:r>
      <w:r>
        <w:rPr>
          <w:rFonts w:cs="Times New Roman"/>
          <w:szCs w:val="24"/>
        </w:rPr>
        <w:t xml:space="preserve">PUCO </w:t>
      </w:r>
      <w:r w:rsidRPr="00523EA3">
        <w:rPr>
          <w:rFonts w:cs="Times New Roman"/>
          <w:szCs w:val="24"/>
        </w:rPr>
        <w:t xml:space="preserve">direct </w:t>
      </w:r>
      <w:r>
        <w:rPr>
          <w:rFonts w:cs="Times New Roman"/>
          <w:szCs w:val="24"/>
        </w:rPr>
        <w:t xml:space="preserve">the PUCO </w:t>
      </w:r>
      <w:r w:rsidRPr="00523EA3">
        <w:rPr>
          <w:rFonts w:cs="Times New Roman"/>
          <w:szCs w:val="24"/>
        </w:rPr>
        <w:t>Staff to provide additional reporting</w:t>
      </w:r>
      <w:r>
        <w:rPr>
          <w:rFonts w:cs="Times New Roman"/>
          <w:szCs w:val="24"/>
        </w:rPr>
        <w:t xml:space="preserve">. There should be additional Staff reporting </w:t>
      </w:r>
      <w:r w:rsidRPr="00523EA3">
        <w:rPr>
          <w:rFonts w:cs="Times New Roman"/>
          <w:szCs w:val="24"/>
        </w:rPr>
        <w:t xml:space="preserve">on the status of the </w:t>
      </w:r>
      <w:r>
        <w:rPr>
          <w:rFonts w:cs="Times New Roman"/>
          <w:szCs w:val="24"/>
        </w:rPr>
        <w:t xml:space="preserve">audit of the </w:t>
      </w:r>
      <w:r w:rsidRPr="00523EA3">
        <w:rPr>
          <w:rFonts w:cs="Times New Roman"/>
          <w:szCs w:val="24"/>
        </w:rPr>
        <w:t xml:space="preserve">operational </w:t>
      </w:r>
      <w:r>
        <w:rPr>
          <w:rFonts w:cs="Times New Roman"/>
          <w:szCs w:val="24"/>
        </w:rPr>
        <w:t>savings – estimated at $200 million</w:t>
      </w:r>
      <w:r>
        <w:rPr>
          <w:rStyle w:val="FootnoteReference"/>
          <w:rFonts w:cs="Times New Roman"/>
          <w:szCs w:val="24"/>
        </w:rPr>
        <w:footnoteReference w:id="8"/>
      </w:r>
      <w:r>
        <w:rPr>
          <w:rFonts w:cs="Times New Roman"/>
          <w:szCs w:val="24"/>
        </w:rPr>
        <w:t xml:space="preserve"> – that are to benefit consumers on their electric bills</w:t>
      </w:r>
      <w:r w:rsidRPr="00523EA3">
        <w:rPr>
          <w:rFonts w:cs="Times New Roman"/>
          <w:szCs w:val="24"/>
        </w:rPr>
        <w:t xml:space="preserve"> for the gridSMART </w:t>
      </w:r>
      <w:r>
        <w:rPr>
          <w:rFonts w:cs="Times New Roman"/>
          <w:szCs w:val="24"/>
        </w:rPr>
        <w:t xml:space="preserve">Phase </w:t>
      </w:r>
      <w:r w:rsidRPr="00523EA3">
        <w:rPr>
          <w:rFonts w:cs="Times New Roman"/>
          <w:szCs w:val="24"/>
        </w:rPr>
        <w:t xml:space="preserve">2 program that </w:t>
      </w:r>
      <w:r>
        <w:rPr>
          <w:rFonts w:cs="Times New Roman"/>
          <w:szCs w:val="24"/>
        </w:rPr>
        <w:t xml:space="preserve">the PUCO </w:t>
      </w:r>
      <w:r w:rsidRPr="00523EA3">
        <w:rPr>
          <w:rFonts w:cs="Times New Roman"/>
          <w:szCs w:val="24"/>
        </w:rPr>
        <w:t>previously ordered.</w:t>
      </w:r>
      <w:r>
        <w:rPr>
          <w:rStyle w:val="FootnoteReference"/>
          <w:rFonts w:cs="Times New Roman"/>
          <w:szCs w:val="24"/>
        </w:rPr>
        <w:footnoteReference w:id="9"/>
      </w:r>
      <w:r w:rsidRPr="00523EA3">
        <w:rPr>
          <w:rFonts w:cs="Times New Roman"/>
          <w:szCs w:val="24"/>
        </w:rPr>
        <w:t xml:space="preserve">  </w:t>
      </w:r>
      <w:r>
        <w:rPr>
          <w:rFonts w:cs="Times New Roman"/>
          <w:szCs w:val="24"/>
        </w:rPr>
        <w:t xml:space="preserve">This audit is necessary to increase the $400,000 quarterly operational savings credit that customers receive in their monthly bills.  </w:t>
      </w:r>
      <w:r w:rsidRPr="00523EA3">
        <w:rPr>
          <w:rFonts w:cs="Times New Roman"/>
          <w:szCs w:val="24"/>
        </w:rPr>
        <w:t xml:space="preserve">At a minimum, this report should include the scope of the audit and the specific auditor tasks, the status </w:t>
      </w:r>
      <w:r w:rsidRPr="00523EA3">
        <w:rPr>
          <w:rFonts w:cs="Times New Roman"/>
          <w:szCs w:val="24"/>
        </w:rPr>
        <w:t xml:space="preserve">and schedule for the request for proposal (“RFP”) process, a schedule for when the audit will be performed, and the estimated date when the audit results with the actual operational savings will be publicly available.  The </w:t>
      </w:r>
      <w:r>
        <w:rPr>
          <w:rFonts w:cs="Times New Roman"/>
          <w:szCs w:val="24"/>
        </w:rPr>
        <w:t xml:space="preserve">PUCO </w:t>
      </w:r>
      <w:r w:rsidRPr="00523EA3">
        <w:rPr>
          <w:rFonts w:cs="Times New Roman"/>
          <w:szCs w:val="24"/>
        </w:rPr>
        <w:t xml:space="preserve">should require </w:t>
      </w:r>
      <w:r>
        <w:rPr>
          <w:rFonts w:cs="Times New Roman"/>
          <w:szCs w:val="24"/>
        </w:rPr>
        <w:t xml:space="preserve">the PUCO </w:t>
      </w:r>
      <w:r w:rsidRPr="00523EA3">
        <w:rPr>
          <w:rFonts w:cs="Times New Roman"/>
          <w:szCs w:val="24"/>
        </w:rPr>
        <w:t xml:space="preserve">Staff to file the additional information within 30-days of issuing an order in this case </w:t>
      </w:r>
      <w:r>
        <w:rPr>
          <w:rFonts w:cs="Times New Roman"/>
          <w:szCs w:val="24"/>
        </w:rPr>
        <w:t xml:space="preserve">(if not sooner) </w:t>
      </w:r>
      <w:r w:rsidRPr="00523EA3">
        <w:rPr>
          <w:rFonts w:cs="Times New Roman"/>
          <w:szCs w:val="24"/>
        </w:rPr>
        <w:t>and in all future compliance reviews until the operational audit is completed.</w:t>
      </w:r>
    </w:p>
    <w:p w:rsidR="00E1302A" w:rsidP="00E1302A">
      <w:pPr>
        <w:spacing w:line="240" w:lineRule="auto"/>
        <w:ind w:firstLine="720"/>
        <w:rPr>
          <w:rFonts w:cs="Times New Roman"/>
          <w:szCs w:val="24"/>
        </w:rPr>
      </w:pPr>
    </w:p>
    <w:p w:rsidR="005F0AF2" w:rsidRPr="00523EA3" w:rsidP="007F6DB4">
      <w:pPr>
        <w:keepNext/>
        <w:rPr>
          <w:rFonts w:cs="Times New Roman"/>
          <w:szCs w:val="24"/>
        </w:rPr>
      </w:pPr>
      <w:r>
        <w:rPr>
          <w:rFonts w:cs="Times New Roman"/>
          <w:b/>
          <w:szCs w:val="24"/>
        </w:rPr>
        <w:t>II.</w:t>
      </w:r>
      <w:r>
        <w:rPr>
          <w:rFonts w:cs="Times New Roman"/>
          <w:b/>
          <w:szCs w:val="24"/>
        </w:rPr>
        <w:tab/>
        <w:t>RECOMMENDATIONS</w:t>
      </w:r>
    </w:p>
    <w:p w:rsidR="00FA414E" w:rsidRPr="00AD66C4" w:rsidP="00E1302A">
      <w:pPr>
        <w:keepNext/>
        <w:spacing w:after="240" w:line="240" w:lineRule="auto"/>
        <w:ind w:left="1440" w:right="720" w:hanging="720"/>
        <w:rPr>
          <w:rFonts w:cs="Times New Roman"/>
          <w:b/>
          <w:szCs w:val="24"/>
        </w:rPr>
      </w:pPr>
      <w:r>
        <w:rPr>
          <w:rFonts w:cs="Times New Roman"/>
          <w:b/>
          <w:szCs w:val="24"/>
        </w:rPr>
        <w:t>A.</w:t>
      </w:r>
      <w:r>
        <w:rPr>
          <w:rFonts w:cs="Times New Roman"/>
          <w:b/>
          <w:szCs w:val="24"/>
        </w:rPr>
        <w:tab/>
        <w:t>The PUCO Staff’s proposed reductions of $67,512 to the amount customers are charged through the rider appear to be reasonable and should be adopted by the PUCO.</w:t>
      </w:r>
    </w:p>
    <w:p w:rsidR="00591164" w:rsidP="007D5318">
      <w:pPr>
        <w:ind w:firstLine="720"/>
        <w:rPr>
          <w:rFonts w:cs="Times New Roman"/>
          <w:szCs w:val="24"/>
        </w:rPr>
      </w:pPr>
      <w:r w:rsidRPr="00523EA3">
        <w:rPr>
          <w:rFonts w:cs="Times New Roman"/>
          <w:szCs w:val="24"/>
        </w:rPr>
        <w:t xml:space="preserve">The </w:t>
      </w:r>
      <w:r>
        <w:rPr>
          <w:rFonts w:cs="Times New Roman"/>
          <w:szCs w:val="24"/>
        </w:rPr>
        <w:t>PUCO</w:t>
      </w:r>
      <w:r w:rsidRPr="00523EA3">
        <w:rPr>
          <w:rFonts w:cs="Times New Roman"/>
          <w:szCs w:val="24"/>
        </w:rPr>
        <w:t xml:space="preserve"> approved the gridSMART 2 </w:t>
      </w:r>
      <w:r>
        <w:rPr>
          <w:rFonts w:cs="Times New Roman"/>
          <w:szCs w:val="24"/>
        </w:rPr>
        <w:t xml:space="preserve">Phase </w:t>
      </w:r>
      <w:r w:rsidRPr="00523EA3">
        <w:rPr>
          <w:rFonts w:cs="Times New Roman"/>
          <w:szCs w:val="24"/>
        </w:rPr>
        <w:t>Rider on February 1, 2017 subject to a number of conditions</w:t>
      </w:r>
      <w:r>
        <w:rPr>
          <w:rFonts w:cs="Times New Roman"/>
          <w:szCs w:val="24"/>
        </w:rPr>
        <w:t>,</w:t>
      </w:r>
      <w:r w:rsidRPr="00523EA3">
        <w:rPr>
          <w:rFonts w:cs="Times New Roman"/>
          <w:szCs w:val="24"/>
        </w:rPr>
        <w:t xml:space="preserve"> including the annual prudenc</w:t>
      </w:r>
      <w:r>
        <w:rPr>
          <w:rFonts w:cs="Times New Roman"/>
          <w:szCs w:val="24"/>
        </w:rPr>
        <w:t>y</w:t>
      </w:r>
      <w:r w:rsidRPr="00523EA3">
        <w:rPr>
          <w:rFonts w:cs="Times New Roman"/>
          <w:szCs w:val="24"/>
        </w:rPr>
        <w:t xml:space="preserve"> review of the rider.</w:t>
      </w:r>
      <w:r>
        <w:rPr>
          <w:rStyle w:val="FootnoteReference"/>
          <w:rFonts w:cs="Times New Roman"/>
          <w:szCs w:val="24"/>
        </w:rPr>
        <w:footnoteReference w:id="10"/>
      </w:r>
      <w:r w:rsidRPr="00523EA3">
        <w:rPr>
          <w:rFonts w:cs="Times New Roman"/>
          <w:szCs w:val="24"/>
        </w:rPr>
        <w:t xml:space="preserve">  </w:t>
      </w:r>
      <w:r>
        <w:rPr>
          <w:rFonts w:cs="Times New Roman"/>
          <w:szCs w:val="24"/>
        </w:rPr>
        <w:t>After AEP Ohio filed its final quarterly update regarding gridSMART Phase 2 costs for 2017, the PUCO Staff conducted its prudency review.  On July 3, 2018, the PUCO Staff filed its recommendations concerning the Phase 2 costs AEP Ohio claimed for 2017.</w:t>
      </w:r>
    </w:p>
    <w:p w:rsidR="00181B09" w:rsidP="002D2D02">
      <w:pPr>
        <w:ind w:firstLine="720"/>
        <w:rPr>
          <w:rFonts w:cs="Times New Roman"/>
          <w:szCs w:val="24"/>
        </w:rPr>
      </w:pPr>
      <w:r>
        <w:rPr>
          <w:rFonts w:cs="Times New Roman"/>
          <w:szCs w:val="24"/>
        </w:rPr>
        <w:t xml:space="preserve">The PUCO </w:t>
      </w:r>
      <w:r w:rsidRPr="00523EA3">
        <w:rPr>
          <w:rFonts w:cs="Times New Roman"/>
          <w:szCs w:val="24"/>
        </w:rPr>
        <w:t>Staff recommend</w:t>
      </w:r>
      <w:r>
        <w:rPr>
          <w:rFonts w:cs="Times New Roman"/>
          <w:szCs w:val="24"/>
        </w:rPr>
        <w:t>ed</w:t>
      </w:r>
      <w:r w:rsidRPr="00523EA3">
        <w:rPr>
          <w:rFonts w:cs="Times New Roman"/>
          <w:szCs w:val="24"/>
        </w:rPr>
        <w:t xml:space="preserve"> </w:t>
      </w:r>
      <w:r>
        <w:rPr>
          <w:rFonts w:cs="Times New Roman"/>
          <w:szCs w:val="24"/>
        </w:rPr>
        <w:t xml:space="preserve">reducing the charges customers pay through the rider by </w:t>
      </w:r>
      <w:r w:rsidRPr="00523EA3">
        <w:rPr>
          <w:rFonts w:cs="Times New Roman"/>
          <w:szCs w:val="24"/>
        </w:rPr>
        <w:t>$67,152</w:t>
      </w:r>
      <w:r>
        <w:rPr>
          <w:rFonts w:cs="Times New Roman"/>
          <w:szCs w:val="24"/>
        </w:rPr>
        <w:t>.  By far, the largest reduction to the amount customers pay is $59,556</w:t>
      </w:r>
      <w:r w:rsidRPr="00523EA3">
        <w:rPr>
          <w:rFonts w:cs="Times New Roman"/>
          <w:szCs w:val="24"/>
        </w:rPr>
        <w:t xml:space="preserve"> associated with </w:t>
      </w:r>
      <w:r>
        <w:rPr>
          <w:rFonts w:cs="Times New Roman"/>
          <w:szCs w:val="24"/>
        </w:rPr>
        <w:t>AEP Ohio</w:t>
      </w:r>
      <w:r w:rsidRPr="00523EA3">
        <w:rPr>
          <w:rFonts w:cs="Times New Roman"/>
          <w:szCs w:val="24"/>
        </w:rPr>
        <w:t xml:space="preserve"> fleet services that are already being collected from customers </w:t>
      </w:r>
      <w:r>
        <w:rPr>
          <w:rFonts w:cs="Times New Roman"/>
          <w:szCs w:val="24"/>
        </w:rPr>
        <w:t xml:space="preserve">through </w:t>
      </w:r>
      <w:r w:rsidRPr="00523EA3">
        <w:rPr>
          <w:rFonts w:cs="Times New Roman"/>
          <w:szCs w:val="24"/>
        </w:rPr>
        <w:t>base rates.</w:t>
      </w:r>
      <w:r>
        <w:rPr>
          <w:rStyle w:val="FootnoteReference"/>
          <w:rFonts w:cs="Times New Roman"/>
          <w:szCs w:val="24"/>
        </w:rPr>
        <w:footnoteReference w:id="11"/>
      </w:r>
      <w:r w:rsidRPr="00523EA3">
        <w:rPr>
          <w:rFonts w:cs="Times New Roman"/>
          <w:szCs w:val="24"/>
        </w:rPr>
        <w:t xml:space="preserve"> </w:t>
      </w:r>
      <w:r>
        <w:rPr>
          <w:rFonts w:cs="Times New Roman"/>
          <w:szCs w:val="24"/>
        </w:rPr>
        <w:t xml:space="preserve">The remainder of the reductions include $6,522 for </w:t>
      </w:r>
      <w:r w:rsidRPr="00523EA3">
        <w:rPr>
          <w:rFonts w:cs="Times New Roman"/>
          <w:szCs w:val="24"/>
        </w:rPr>
        <w:t xml:space="preserve">meals and miscellaneous charges </w:t>
      </w:r>
      <w:r>
        <w:rPr>
          <w:rFonts w:cs="Times New Roman"/>
          <w:szCs w:val="24"/>
        </w:rPr>
        <w:t>(</w:t>
      </w:r>
      <w:r w:rsidRPr="00523EA3">
        <w:rPr>
          <w:rFonts w:cs="Times New Roman"/>
          <w:szCs w:val="24"/>
        </w:rPr>
        <w:t xml:space="preserve">such as group lunches, food and refreshments for meetings, car </w:t>
      </w:r>
      <w:r w:rsidRPr="00523EA3">
        <w:rPr>
          <w:rFonts w:cs="Times New Roman"/>
          <w:szCs w:val="24"/>
        </w:rPr>
        <w:t>washes, gift cards</w:t>
      </w:r>
      <w:r>
        <w:rPr>
          <w:rFonts w:cs="Times New Roman"/>
          <w:szCs w:val="24"/>
        </w:rPr>
        <w:t>, and other miscellaneous transactions),</w:t>
      </w:r>
      <w:r>
        <w:rPr>
          <w:rStyle w:val="FootnoteReference"/>
          <w:rFonts w:cs="Times New Roman"/>
          <w:szCs w:val="24"/>
        </w:rPr>
        <w:footnoteReference w:id="12"/>
      </w:r>
      <w:r>
        <w:rPr>
          <w:rFonts w:cs="Times New Roman"/>
          <w:szCs w:val="24"/>
        </w:rPr>
        <w:t xml:space="preserve"> $623 for two charges for Ohio Use Tax that were incorrectly included,</w:t>
      </w:r>
      <w:r>
        <w:rPr>
          <w:rStyle w:val="FootnoteReference"/>
          <w:rFonts w:cs="Times New Roman"/>
          <w:szCs w:val="24"/>
        </w:rPr>
        <w:footnoteReference w:id="13"/>
      </w:r>
      <w:r>
        <w:rPr>
          <w:rFonts w:cs="Times New Roman"/>
          <w:szCs w:val="24"/>
        </w:rPr>
        <w:t xml:space="preserve"> and $451 for </w:t>
      </w:r>
      <w:r w:rsidRPr="00523EA3">
        <w:rPr>
          <w:rFonts w:cs="Times New Roman"/>
          <w:szCs w:val="24"/>
        </w:rPr>
        <w:t>employee memberships.</w:t>
      </w:r>
      <w:r>
        <w:rPr>
          <w:rStyle w:val="FootnoteReference"/>
          <w:rFonts w:cs="Times New Roman"/>
          <w:szCs w:val="24"/>
        </w:rPr>
        <w:footnoteReference w:id="14"/>
      </w:r>
      <w:r w:rsidRPr="00523EA3">
        <w:rPr>
          <w:rFonts w:cs="Times New Roman"/>
          <w:szCs w:val="24"/>
        </w:rPr>
        <w:t xml:space="preserve"> </w:t>
      </w:r>
    </w:p>
    <w:p w:rsidR="00181B09" w:rsidP="002D2D02">
      <w:pPr>
        <w:ind w:firstLine="720"/>
        <w:rPr>
          <w:rFonts w:cs="Times New Roman"/>
          <w:szCs w:val="24"/>
        </w:rPr>
      </w:pPr>
      <w:r>
        <w:rPr>
          <w:rFonts w:cs="Times New Roman"/>
          <w:szCs w:val="24"/>
        </w:rPr>
        <w:t>In a July 24, 2018 reply to the PUCO Staff’s recommendations, AEP Ohio disagreed with most of the PUCO Staff’s conclusions.  AEP Ohio claims that $300.80 of the $451 disallowed for employee memberships was included in the reduction made to meals and miscellaneous charges.</w:t>
      </w:r>
      <w:r>
        <w:rPr>
          <w:rStyle w:val="FootnoteReference"/>
          <w:rFonts w:cs="Times New Roman"/>
          <w:szCs w:val="24"/>
        </w:rPr>
        <w:footnoteReference w:id="15"/>
      </w:r>
      <w:r>
        <w:rPr>
          <w:rFonts w:cs="Times New Roman"/>
          <w:szCs w:val="24"/>
        </w:rPr>
        <w:t xml:space="preserve">  Thus, AEP Ohio would have only $150 removed from employee memberships.  AEP Ohio also disagreed with $2,454 in employee meals that was disallowed.</w:t>
      </w:r>
      <w:r>
        <w:rPr>
          <w:rStyle w:val="FootnoteReference"/>
          <w:rFonts w:cs="Times New Roman"/>
          <w:szCs w:val="24"/>
        </w:rPr>
        <w:footnoteReference w:id="16"/>
      </w:r>
      <w:r>
        <w:rPr>
          <w:rFonts w:cs="Times New Roman"/>
          <w:szCs w:val="24"/>
        </w:rPr>
        <w:t xml:space="preserve">  AEP Ohio claims that “there are times when meals and other miscellaneous expenses are reasonably incurred directly in conjunction with conducting business.”</w:t>
      </w:r>
      <w:r>
        <w:rPr>
          <w:rStyle w:val="FootnoteReference"/>
          <w:rFonts w:cs="Times New Roman"/>
          <w:szCs w:val="24"/>
        </w:rPr>
        <w:footnoteReference w:id="17"/>
      </w:r>
      <w:r>
        <w:rPr>
          <w:rFonts w:cs="Times New Roman"/>
          <w:szCs w:val="24"/>
        </w:rPr>
        <w:t xml:space="preserve"> AEP Ohio also claims that fleet services for gridSMART are not included in base rates.</w:t>
      </w:r>
      <w:r>
        <w:rPr>
          <w:rStyle w:val="FootnoteReference"/>
          <w:rFonts w:cs="Times New Roman"/>
          <w:szCs w:val="24"/>
        </w:rPr>
        <w:footnoteReference w:id="18"/>
      </w:r>
      <w:r>
        <w:rPr>
          <w:rFonts w:cs="Times New Roman"/>
          <w:szCs w:val="24"/>
        </w:rPr>
        <w:t xml:space="preserve">  AEP Ohio does agree that $22.56 of the incorrectly included use taxes should be removed from the rider charges that consumers pay.</w:t>
      </w:r>
      <w:r>
        <w:rPr>
          <w:rStyle w:val="FootnoteReference"/>
          <w:rFonts w:cs="Times New Roman"/>
          <w:szCs w:val="24"/>
        </w:rPr>
        <w:footnoteReference w:id="19"/>
      </w:r>
      <w:r>
        <w:rPr>
          <w:rFonts w:cs="Times New Roman"/>
          <w:szCs w:val="24"/>
        </w:rPr>
        <w:t xml:space="preserve">  But AEP Ohio claims that the remaining $600 was already removed in January 2018 in the normal course of business. Thus, AEP Ohio disagrees with this reduction to the rider charges.</w:t>
      </w:r>
    </w:p>
    <w:p w:rsidR="007F6DB4" w:rsidP="007F6DB4">
      <w:pPr>
        <w:ind w:firstLine="720"/>
        <w:rPr>
          <w:rFonts w:cs="Times New Roman"/>
          <w:szCs w:val="24"/>
        </w:rPr>
      </w:pPr>
      <w:r>
        <w:rPr>
          <w:rFonts w:cs="Times New Roman"/>
          <w:szCs w:val="24"/>
        </w:rPr>
        <w:t>Based on its own review of the charges, OCC agrees with the PUCO Staff’s recommendations.  It is unreasonable to expect customers to foot the bill for meals and miscellaneous expenses for AEP Ohio employees.  It is particularly unreasonable given the many AEP Ohio customers who lack sufficient access to food on a daily basis.</w:t>
      </w:r>
      <w:r>
        <w:rPr>
          <w:rStyle w:val="FootnoteReference"/>
          <w:rFonts w:cs="Times New Roman"/>
          <w:szCs w:val="24"/>
        </w:rPr>
        <w:footnoteReference w:id="20"/>
      </w:r>
      <w:r>
        <w:rPr>
          <w:rFonts w:cs="Times New Roman"/>
          <w:szCs w:val="24"/>
        </w:rPr>
        <w:t xml:space="preserve">  In addition, the PUCO Staff has the responsibility to prevent customers from paying multiple times for the same service in base rates and through the 31 different riders that can persist on AEP Ohio customer bills.</w:t>
      </w:r>
      <w:r>
        <w:rPr>
          <w:rStyle w:val="FootnoteReference"/>
          <w:rFonts w:cs="Times New Roman"/>
          <w:szCs w:val="24"/>
        </w:rPr>
        <w:footnoteReference w:id="21"/>
      </w:r>
      <w:r>
        <w:rPr>
          <w:rFonts w:cs="Times New Roman"/>
          <w:szCs w:val="24"/>
        </w:rPr>
        <w:t xml:space="preserve"> AEP Ohio’s base distribution rates were established through a settlement in Case No. 11-351-EL-AIR.</w:t>
      </w:r>
      <w:r>
        <w:rPr>
          <w:rStyle w:val="FootnoteReference"/>
          <w:rFonts w:cs="Times New Roman"/>
          <w:szCs w:val="24"/>
        </w:rPr>
        <w:footnoteReference w:id="22"/>
      </w:r>
      <w:r>
        <w:rPr>
          <w:rFonts w:cs="Times New Roman"/>
          <w:szCs w:val="24"/>
        </w:rPr>
        <w:t xml:space="preserve"> Contrary to AEP Ohio’s assertion, the settlement document in that case does not exclude fleet service expenses from other expenses that were included in base rates.</w:t>
      </w:r>
      <w:r>
        <w:rPr>
          <w:rStyle w:val="FootnoteReference"/>
          <w:rFonts w:cs="Times New Roman"/>
          <w:szCs w:val="24"/>
        </w:rPr>
        <w:footnoteReference w:id="23"/>
      </w:r>
      <w:r>
        <w:rPr>
          <w:rFonts w:cs="Times New Roman"/>
          <w:szCs w:val="24"/>
        </w:rPr>
        <w:t xml:space="preserve">  Each </w:t>
      </w:r>
      <w:r w:rsidRPr="00523EA3">
        <w:rPr>
          <w:rFonts w:cs="Times New Roman"/>
          <w:szCs w:val="24"/>
        </w:rPr>
        <w:t xml:space="preserve">of the adjustments proposed by the </w:t>
      </w:r>
      <w:r>
        <w:rPr>
          <w:rFonts w:cs="Times New Roman"/>
          <w:szCs w:val="24"/>
        </w:rPr>
        <w:t xml:space="preserve">PUCO </w:t>
      </w:r>
      <w:r w:rsidRPr="00523EA3">
        <w:rPr>
          <w:rFonts w:cs="Times New Roman"/>
          <w:szCs w:val="24"/>
        </w:rPr>
        <w:t>Staff appear</w:t>
      </w:r>
      <w:r>
        <w:rPr>
          <w:rFonts w:cs="Times New Roman"/>
          <w:szCs w:val="24"/>
        </w:rPr>
        <w:t>s</w:t>
      </w:r>
      <w:r w:rsidRPr="00523EA3">
        <w:rPr>
          <w:rFonts w:cs="Times New Roman"/>
          <w:szCs w:val="24"/>
        </w:rPr>
        <w:t xml:space="preserve"> to be reasonable and should be adopted by the PUCO. </w:t>
      </w:r>
    </w:p>
    <w:p w:rsidR="00FA414E" w:rsidRPr="00AD66C4" w:rsidP="00E1302A">
      <w:pPr>
        <w:spacing w:after="240" w:line="240" w:lineRule="auto"/>
        <w:ind w:left="1440" w:right="720" w:hanging="720"/>
        <w:rPr>
          <w:rFonts w:cs="Times New Roman"/>
          <w:b/>
          <w:szCs w:val="24"/>
        </w:rPr>
      </w:pPr>
      <w:r>
        <w:rPr>
          <w:rFonts w:cs="Times New Roman"/>
          <w:b/>
          <w:szCs w:val="24"/>
        </w:rPr>
        <w:t>B.</w:t>
      </w:r>
      <w:r>
        <w:rPr>
          <w:rFonts w:cs="Times New Roman"/>
          <w:b/>
          <w:szCs w:val="24"/>
        </w:rPr>
        <w:tab/>
        <w:t>The PUCO Staff should provide an update on the audit that will review the operational savings that are credited to customers quarterly.</w:t>
      </w:r>
    </w:p>
    <w:p w:rsidR="00E338C0" w:rsidP="007D5318">
      <w:pPr>
        <w:ind w:firstLine="720"/>
        <w:rPr>
          <w:rFonts w:cs="Times New Roman"/>
          <w:szCs w:val="24"/>
        </w:rPr>
      </w:pPr>
      <w:r w:rsidRPr="00523EA3">
        <w:rPr>
          <w:rFonts w:cs="Times New Roman"/>
          <w:szCs w:val="24"/>
        </w:rPr>
        <w:t xml:space="preserve">The </w:t>
      </w:r>
      <w:r>
        <w:rPr>
          <w:rFonts w:cs="Times New Roman"/>
          <w:szCs w:val="24"/>
        </w:rPr>
        <w:t xml:space="preserve">PUCO </w:t>
      </w:r>
      <w:r w:rsidRPr="00523EA3">
        <w:rPr>
          <w:rFonts w:cs="Times New Roman"/>
          <w:szCs w:val="24"/>
        </w:rPr>
        <w:t>Staff</w:t>
      </w:r>
      <w:r>
        <w:rPr>
          <w:rFonts w:cs="Times New Roman"/>
          <w:szCs w:val="24"/>
        </w:rPr>
        <w:t>’s</w:t>
      </w:r>
      <w:r w:rsidRPr="00523EA3">
        <w:rPr>
          <w:rFonts w:cs="Times New Roman"/>
          <w:szCs w:val="24"/>
        </w:rPr>
        <w:t xml:space="preserve"> Review and Recommendations in this case </w:t>
      </w:r>
      <w:r>
        <w:rPr>
          <w:rFonts w:cs="Times New Roman"/>
          <w:szCs w:val="24"/>
        </w:rPr>
        <w:t xml:space="preserve">did </w:t>
      </w:r>
      <w:r w:rsidRPr="00523EA3">
        <w:rPr>
          <w:rFonts w:cs="Times New Roman"/>
          <w:szCs w:val="24"/>
        </w:rPr>
        <w:t>no</w:t>
      </w:r>
      <w:r>
        <w:rPr>
          <w:rFonts w:cs="Times New Roman"/>
          <w:szCs w:val="24"/>
        </w:rPr>
        <w:t>t</w:t>
      </w:r>
      <w:r w:rsidRPr="00523EA3">
        <w:rPr>
          <w:rFonts w:cs="Times New Roman"/>
          <w:szCs w:val="24"/>
        </w:rPr>
        <w:t xml:space="preserve"> mention the status of the </w:t>
      </w:r>
      <w:r>
        <w:rPr>
          <w:rFonts w:cs="Times New Roman"/>
          <w:szCs w:val="24"/>
        </w:rPr>
        <w:t xml:space="preserve">PUCO-ordered </w:t>
      </w:r>
      <w:r w:rsidRPr="00523EA3">
        <w:rPr>
          <w:rFonts w:cs="Times New Roman"/>
          <w:szCs w:val="24"/>
        </w:rPr>
        <w:t xml:space="preserve">RFP process that will result in the operational audit of </w:t>
      </w:r>
      <w:r>
        <w:rPr>
          <w:rFonts w:cs="Times New Roman"/>
          <w:szCs w:val="24"/>
        </w:rPr>
        <w:t>gridSMART Phase 2</w:t>
      </w:r>
      <w:r w:rsidRPr="00523EA3">
        <w:rPr>
          <w:rFonts w:cs="Times New Roman"/>
          <w:szCs w:val="24"/>
        </w:rPr>
        <w:t xml:space="preserve">.  </w:t>
      </w:r>
      <w:r>
        <w:rPr>
          <w:rFonts w:cs="Times New Roman"/>
          <w:szCs w:val="24"/>
        </w:rPr>
        <w:t>This audit is necessary to determine the actual amount of the operational savings credit customers are supposed to receive each quarter from gridSMART Phase 2.</w:t>
      </w:r>
      <w:r w:rsidRPr="00523EA3">
        <w:rPr>
          <w:rFonts w:cs="Times New Roman"/>
          <w:szCs w:val="24"/>
        </w:rPr>
        <w:t xml:space="preserve"> </w:t>
      </w:r>
    </w:p>
    <w:p w:rsidR="002955A7" w:rsidRPr="00523EA3" w:rsidP="007D5318">
      <w:pPr>
        <w:ind w:firstLine="720"/>
        <w:rPr>
          <w:rFonts w:cs="Times New Roman"/>
          <w:szCs w:val="24"/>
        </w:rPr>
      </w:pPr>
      <w:r w:rsidRPr="00523EA3">
        <w:rPr>
          <w:rFonts w:cs="Times New Roman"/>
          <w:szCs w:val="24"/>
        </w:rPr>
        <w:t xml:space="preserve">Currently, a $400,000 operational savings credit is reflected as an offset in the quarterly gridSMART </w:t>
      </w:r>
      <w:r>
        <w:rPr>
          <w:rFonts w:cs="Times New Roman"/>
          <w:szCs w:val="24"/>
        </w:rPr>
        <w:t xml:space="preserve">Phase </w:t>
      </w:r>
      <w:r w:rsidRPr="00523EA3">
        <w:rPr>
          <w:rFonts w:cs="Times New Roman"/>
          <w:szCs w:val="24"/>
        </w:rPr>
        <w:t>2 revenue requirement.</w:t>
      </w:r>
      <w:r>
        <w:rPr>
          <w:rStyle w:val="FootnoteReference"/>
          <w:rFonts w:cs="Times New Roman"/>
          <w:szCs w:val="24"/>
        </w:rPr>
        <w:footnoteReference w:id="24"/>
      </w:r>
      <w:r w:rsidRPr="00523EA3">
        <w:rPr>
          <w:rFonts w:cs="Times New Roman"/>
          <w:szCs w:val="24"/>
        </w:rPr>
        <w:t xml:space="preserve"> The operational savings are intended to reflect </w:t>
      </w:r>
      <w:r>
        <w:rPr>
          <w:rFonts w:cs="Times New Roman"/>
          <w:szCs w:val="24"/>
        </w:rPr>
        <w:t xml:space="preserve">cost </w:t>
      </w:r>
      <w:r w:rsidRPr="00523EA3">
        <w:rPr>
          <w:rFonts w:cs="Times New Roman"/>
          <w:szCs w:val="24"/>
        </w:rPr>
        <w:t xml:space="preserve">reductions in meter reading and lower operating costs that AEP Ohio </w:t>
      </w:r>
      <w:r>
        <w:rPr>
          <w:rFonts w:cs="Times New Roman"/>
          <w:szCs w:val="24"/>
        </w:rPr>
        <w:t xml:space="preserve">is benefiting </w:t>
      </w:r>
      <w:r w:rsidRPr="00523EA3">
        <w:rPr>
          <w:rFonts w:cs="Times New Roman"/>
          <w:szCs w:val="24"/>
        </w:rPr>
        <w:t xml:space="preserve">from </w:t>
      </w:r>
      <w:r>
        <w:rPr>
          <w:rFonts w:cs="Times New Roman"/>
          <w:szCs w:val="24"/>
        </w:rPr>
        <w:t xml:space="preserve">due to </w:t>
      </w:r>
      <w:r w:rsidRPr="00523EA3">
        <w:rPr>
          <w:rFonts w:cs="Times New Roman"/>
          <w:szCs w:val="24"/>
        </w:rPr>
        <w:t xml:space="preserve">the </w:t>
      </w:r>
      <w:r>
        <w:rPr>
          <w:rFonts w:cs="Times New Roman"/>
          <w:szCs w:val="24"/>
        </w:rPr>
        <w:t xml:space="preserve">gridSMART </w:t>
      </w:r>
      <w:r w:rsidRPr="00523EA3">
        <w:rPr>
          <w:rFonts w:cs="Times New Roman"/>
          <w:szCs w:val="24"/>
        </w:rPr>
        <w:t xml:space="preserve">deployment.  The </w:t>
      </w:r>
      <w:r>
        <w:rPr>
          <w:rFonts w:cs="Times New Roman"/>
          <w:szCs w:val="24"/>
        </w:rPr>
        <w:t xml:space="preserve">$400,000 quarterly </w:t>
      </w:r>
      <w:r w:rsidRPr="00523EA3">
        <w:rPr>
          <w:rFonts w:cs="Times New Roman"/>
          <w:szCs w:val="24"/>
        </w:rPr>
        <w:t xml:space="preserve">operational savings credit </w:t>
      </w:r>
      <w:r>
        <w:rPr>
          <w:rFonts w:cs="Times New Roman"/>
          <w:szCs w:val="24"/>
        </w:rPr>
        <w:t>was merely a placeholder number</w:t>
      </w:r>
      <w:r w:rsidRPr="00523EA3">
        <w:rPr>
          <w:rFonts w:cs="Times New Roman"/>
          <w:szCs w:val="24"/>
        </w:rPr>
        <w:t xml:space="preserve">.  </w:t>
      </w:r>
      <w:r>
        <w:rPr>
          <w:rFonts w:cs="Times New Roman"/>
          <w:szCs w:val="24"/>
        </w:rPr>
        <w:t xml:space="preserve">It </w:t>
      </w:r>
      <w:r w:rsidRPr="00523EA3">
        <w:rPr>
          <w:rFonts w:cs="Times New Roman"/>
          <w:szCs w:val="24"/>
        </w:rPr>
        <w:t xml:space="preserve">does not incorporate the additional </w:t>
      </w:r>
      <w:r>
        <w:rPr>
          <w:rFonts w:cs="Times New Roman"/>
          <w:szCs w:val="24"/>
        </w:rPr>
        <w:t xml:space="preserve">actual </w:t>
      </w:r>
      <w:r w:rsidRPr="00523EA3">
        <w:rPr>
          <w:rFonts w:cs="Times New Roman"/>
          <w:szCs w:val="24"/>
        </w:rPr>
        <w:t xml:space="preserve">savings </w:t>
      </w:r>
      <w:r>
        <w:rPr>
          <w:rFonts w:cs="Times New Roman"/>
          <w:szCs w:val="24"/>
        </w:rPr>
        <w:softHyphen/>
        <w:t>– estimated at $200 million</w:t>
      </w:r>
      <w:r>
        <w:rPr>
          <w:rStyle w:val="FootnoteReference"/>
          <w:rFonts w:cs="Times New Roman"/>
          <w:szCs w:val="24"/>
        </w:rPr>
        <w:footnoteReference w:id="25"/>
      </w:r>
      <w:r>
        <w:rPr>
          <w:rFonts w:cs="Times New Roman"/>
          <w:szCs w:val="24"/>
        </w:rPr>
        <w:t xml:space="preserve"> – </w:t>
      </w:r>
      <w:r w:rsidRPr="00523EA3">
        <w:rPr>
          <w:rFonts w:cs="Times New Roman"/>
          <w:szCs w:val="24"/>
        </w:rPr>
        <w:t xml:space="preserve">that must be passed on to customers associated with the gridSMART </w:t>
      </w:r>
      <w:r>
        <w:rPr>
          <w:rFonts w:cs="Times New Roman"/>
          <w:szCs w:val="24"/>
        </w:rPr>
        <w:t>P</w:t>
      </w:r>
      <w:r w:rsidRPr="00523EA3">
        <w:rPr>
          <w:rFonts w:cs="Times New Roman"/>
          <w:szCs w:val="24"/>
        </w:rPr>
        <w:t>hase 2 deployment.  The $400,000 per quarter cost savings credit will continue until an operational audit is performed</w:t>
      </w:r>
      <w:r>
        <w:rPr>
          <w:rFonts w:cs="Times New Roman"/>
          <w:szCs w:val="24"/>
        </w:rPr>
        <w:t>,</w:t>
      </w:r>
      <w:r w:rsidRPr="00523EA3">
        <w:rPr>
          <w:rFonts w:cs="Times New Roman"/>
          <w:szCs w:val="24"/>
        </w:rPr>
        <w:t xml:space="preserve"> when actual cost savings can be </w:t>
      </w:r>
      <w:r>
        <w:rPr>
          <w:rFonts w:cs="Times New Roman"/>
          <w:szCs w:val="24"/>
        </w:rPr>
        <w:t xml:space="preserve">more accurately </w:t>
      </w:r>
      <w:r w:rsidRPr="00523EA3">
        <w:rPr>
          <w:rFonts w:cs="Times New Roman"/>
          <w:szCs w:val="24"/>
        </w:rPr>
        <w:t>quantified.</w:t>
      </w:r>
      <w:r>
        <w:rPr>
          <w:rStyle w:val="FootnoteReference"/>
          <w:rFonts w:cs="Times New Roman"/>
          <w:szCs w:val="24"/>
        </w:rPr>
        <w:footnoteReference w:id="26"/>
      </w:r>
      <w:r w:rsidRPr="00523EA3">
        <w:rPr>
          <w:rFonts w:cs="Times New Roman"/>
          <w:szCs w:val="24"/>
        </w:rPr>
        <w:t xml:space="preserve">  The quarterly credit will then be updated to reflect actual operational savings</w:t>
      </w:r>
      <w:r>
        <w:rPr>
          <w:rFonts w:cs="Times New Roman"/>
          <w:szCs w:val="24"/>
        </w:rPr>
        <w:t>,</w:t>
      </w:r>
      <w:r w:rsidRPr="00523EA3">
        <w:rPr>
          <w:rFonts w:cs="Times New Roman"/>
          <w:szCs w:val="24"/>
        </w:rPr>
        <w:t xml:space="preserve"> which </w:t>
      </w:r>
      <w:r>
        <w:rPr>
          <w:rFonts w:cs="Times New Roman"/>
          <w:szCs w:val="24"/>
        </w:rPr>
        <w:t xml:space="preserve">should </w:t>
      </w:r>
      <w:r w:rsidRPr="00523EA3">
        <w:rPr>
          <w:rFonts w:cs="Times New Roman"/>
          <w:szCs w:val="24"/>
        </w:rPr>
        <w:t xml:space="preserve">lower the gridSMART </w:t>
      </w:r>
      <w:r>
        <w:rPr>
          <w:rFonts w:cs="Times New Roman"/>
          <w:szCs w:val="24"/>
        </w:rPr>
        <w:t xml:space="preserve">Phase </w:t>
      </w:r>
      <w:r w:rsidRPr="00523EA3">
        <w:rPr>
          <w:rFonts w:cs="Times New Roman"/>
          <w:szCs w:val="24"/>
        </w:rPr>
        <w:t>2 rider costs</w:t>
      </w:r>
      <w:r>
        <w:rPr>
          <w:rFonts w:cs="Times New Roman"/>
          <w:szCs w:val="24"/>
        </w:rPr>
        <w:t xml:space="preserve"> and the charge to customers</w:t>
      </w:r>
      <w:r w:rsidRPr="00523EA3">
        <w:rPr>
          <w:rFonts w:cs="Times New Roman"/>
          <w:szCs w:val="24"/>
        </w:rPr>
        <w:t xml:space="preserve">.  </w:t>
      </w:r>
    </w:p>
    <w:p w:rsidR="00622970" w:rsidRPr="00523EA3" w:rsidP="007D5318">
      <w:pPr>
        <w:ind w:firstLine="720"/>
        <w:rPr>
          <w:rFonts w:cs="Times New Roman"/>
          <w:szCs w:val="24"/>
        </w:rPr>
      </w:pPr>
      <w:r w:rsidRPr="00523EA3">
        <w:rPr>
          <w:rFonts w:cs="Times New Roman"/>
          <w:szCs w:val="24"/>
        </w:rPr>
        <w:t xml:space="preserve">In approving the gridSMART </w:t>
      </w:r>
      <w:r>
        <w:rPr>
          <w:rFonts w:cs="Times New Roman"/>
          <w:szCs w:val="24"/>
        </w:rPr>
        <w:t xml:space="preserve">Phase </w:t>
      </w:r>
      <w:r w:rsidRPr="00523EA3">
        <w:rPr>
          <w:rFonts w:cs="Times New Roman"/>
          <w:szCs w:val="24"/>
        </w:rPr>
        <w:t xml:space="preserve">2 rider, the PUCO expressed a sense of urgency in ordering that the operational audit be conducted timely so that customers could benefit from the </w:t>
      </w:r>
      <w:r>
        <w:rPr>
          <w:rFonts w:cs="Times New Roman"/>
          <w:szCs w:val="24"/>
        </w:rPr>
        <w:t xml:space="preserve">actual </w:t>
      </w:r>
      <w:r w:rsidRPr="00523EA3">
        <w:rPr>
          <w:rFonts w:cs="Times New Roman"/>
          <w:szCs w:val="24"/>
        </w:rPr>
        <w:t>operational savings over the four-year deployment of the AMI meters.</w:t>
      </w:r>
      <w:r>
        <w:rPr>
          <w:rStyle w:val="FootnoteReference"/>
          <w:rFonts w:cs="Times New Roman"/>
          <w:szCs w:val="24"/>
        </w:rPr>
        <w:footnoteReference w:id="27"/>
      </w:r>
      <w:r w:rsidRPr="00523EA3">
        <w:rPr>
          <w:rFonts w:cs="Times New Roman"/>
          <w:szCs w:val="24"/>
        </w:rPr>
        <w:t xml:space="preserve">  The </w:t>
      </w:r>
      <w:r>
        <w:rPr>
          <w:rFonts w:cs="Times New Roman"/>
          <w:szCs w:val="24"/>
        </w:rPr>
        <w:t xml:space="preserve">PUCO </w:t>
      </w:r>
      <w:r w:rsidRPr="00523EA3">
        <w:rPr>
          <w:rFonts w:cs="Times New Roman"/>
          <w:szCs w:val="24"/>
        </w:rPr>
        <w:t xml:space="preserve">directed </w:t>
      </w:r>
      <w:r>
        <w:rPr>
          <w:rFonts w:cs="Times New Roman"/>
          <w:szCs w:val="24"/>
        </w:rPr>
        <w:t xml:space="preserve">the PUCO </w:t>
      </w:r>
      <w:r w:rsidRPr="00523EA3">
        <w:rPr>
          <w:rFonts w:cs="Times New Roman"/>
          <w:szCs w:val="24"/>
        </w:rPr>
        <w:t>Staff to immediately begin the RFP process.</w:t>
      </w:r>
      <w:r>
        <w:rPr>
          <w:rStyle w:val="FootnoteReference"/>
          <w:rFonts w:cs="Times New Roman"/>
          <w:szCs w:val="24"/>
        </w:rPr>
        <w:footnoteReference w:id="28"/>
      </w:r>
      <w:r w:rsidRPr="00523EA3">
        <w:rPr>
          <w:rFonts w:cs="Times New Roman"/>
          <w:szCs w:val="24"/>
        </w:rPr>
        <w:t xml:space="preserve">  The </w:t>
      </w:r>
      <w:r>
        <w:rPr>
          <w:rFonts w:cs="Times New Roman"/>
          <w:szCs w:val="24"/>
        </w:rPr>
        <w:t xml:space="preserve">PUCO </w:t>
      </w:r>
      <w:r w:rsidRPr="00523EA3">
        <w:rPr>
          <w:rFonts w:cs="Times New Roman"/>
          <w:szCs w:val="24"/>
        </w:rPr>
        <w:t xml:space="preserve">directed AEP </w:t>
      </w:r>
      <w:r>
        <w:rPr>
          <w:rFonts w:cs="Times New Roman"/>
          <w:szCs w:val="24"/>
        </w:rPr>
        <w:t xml:space="preserve">Ohio </w:t>
      </w:r>
      <w:r w:rsidRPr="00523EA3">
        <w:rPr>
          <w:rFonts w:cs="Times New Roman"/>
          <w:szCs w:val="24"/>
        </w:rPr>
        <w:t>to file quarterly status updates and recommendations regarding the progress of implementation and development of the operational savings credit.</w:t>
      </w:r>
      <w:r>
        <w:rPr>
          <w:rStyle w:val="FootnoteReference"/>
          <w:rFonts w:cs="Times New Roman"/>
          <w:szCs w:val="24"/>
        </w:rPr>
        <w:footnoteReference w:id="29"/>
      </w:r>
      <w:r w:rsidRPr="00523EA3">
        <w:rPr>
          <w:rFonts w:cs="Times New Roman"/>
          <w:szCs w:val="24"/>
        </w:rPr>
        <w:t xml:space="preserve">  Yet a full </w:t>
      </w:r>
      <w:r>
        <w:rPr>
          <w:rFonts w:cs="Times New Roman"/>
          <w:szCs w:val="24"/>
        </w:rPr>
        <w:t xml:space="preserve">20 </w:t>
      </w:r>
      <w:r w:rsidRPr="00523EA3">
        <w:rPr>
          <w:rFonts w:cs="Times New Roman"/>
          <w:szCs w:val="24"/>
        </w:rPr>
        <w:t xml:space="preserve">months after the PUCO approved the gridSMART </w:t>
      </w:r>
      <w:r>
        <w:rPr>
          <w:rFonts w:cs="Times New Roman"/>
          <w:szCs w:val="24"/>
        </w:rPr>
        <w:t xml:space="preserve">Phase </w:t>
      </w:r>
      <w:r w:rsidRPr="00523EA3">
        <w:rPr>
          <w:rFonts w:cs="Times New Roman"/>
          <w:szCs w:val="24"/>
        </w:rPr>
        <w:t xml:space="preserve">2 rider, there is still no meaningful status </w:t>
      </w:r>
      <w:r>
        <w:rPr>
          <w:rFonts w:cs="Times New Roman"/>
          <w:szCs w:val="24"/>
        </w:rPr>
        <w:t xml:space="preserve">report </w:t>
      </w:r>
      <w:r w:rsidRPr="00523EA3">
        <w:rPr>
          <w:rFonts w:cs="Times New Roman"/>
          <w:szCs w:val="24"/>
        </w:rPr>
        <w:t>or a timeline for when the operational audit will be conducted.  According to recent reports, approximately 3</w:t>
      </w:r>
      <w:r>
        <w:rPr>
          <w:rFonts w:cs="Times New Roman"/>
          <w:szCs w:val="24"/>
        </w:rPr>
        <w:t>64</w:t>
      </w:r>
      <w:r w:rsidRPr="00523EA3">
        <w:rPr>
          <w:rFonts w:cs="Times New Roman"/>
          <w:szCs w:val="24"/>
        </w:rPr>
        <w:t>,000 AMI meters have been installed by AEP Ohio</w:t>
      </w:r>
      <w:r>
        <w:rPr>
          <w:rFonts w:cs="Times New Roman"/>
          <w:szCs w:val="24"/>
        </w:rPr>
        <w:t xml:space="preserve"> – more than a third of the 894,000 meters to be installed in Phase 2</w:t>
      </w:r>
      <w:r w:rsidRPr="00523EA3">
        <w:rPr>
          <w:rFonts w:cs="Times New Roman"/>
          <w:szCs w:val="24"/>
        </w:rPr>
        <w:t>.</w:t>
      </w:r>
      <w:r>
        <w:rPr>
          <w:rStyle w:val="FootnoteReference"/>
          <w:rFonts w:cs="Times New Roman"/>
          <w:szCs w:val="24"/>
        </w:rPr>
        <w:footnoteReference w:id="30"/>
      </w:r>
      <w:r w:rsidRPr="00523EA3">
        <w:rPr>
          <w:rFonts w:cs="Times New Roman"/>
          <w:szCs w:val="24"/>
        </w:rPr>
        <w:t xml:space="preserve">  Yet the </w:t>
      </w:r>
      <w:r>
        <w:rPr>
          <w:rFonts w:cs="Times New Roman"/>
          <w:szCs w:val="24"/>
        </w:rPr>
        <w:t xml:space="preserve">operational savings </w:t>
      </w:r>
      <w:r w:rsidRPr="00523EA3">
        <w:rPr>
          <w:rFonts w:cs="Times New Roman"/>
          <w:szCs w:val="24"/>
        </w:rPr>
        <w:t xml:space="preserve">benefit </w:t>
      </w:r>
      <w:r>
        <w:rPr>
          <w:rFonts w:cs="Times New Roman"/>
          <w:szCs w:val="24"/>
        </w:rPr>
        <w:t xml:space="preserve">of these meters </w:t>
      </w:r>
      <w:r w:rsidRPr="00523EA3">
        <w:rPr>
          <w:rFonts w:cs="Times New Roman"/>
          <w:szCs w:val="24"/>
        </w:rPr>
        <w:t xml:space="preserve">that customers should be receiving in the form of lower gridSMART </w:t>
      </w:r>
      <w:r>
        <w:rPr>
          <w:rFonts w:cs="Times New Roman"/>
          <w:szCs w:val="24"/>
        </w:rPr>
        <w:t xml:space="preserve">Phase </w:t>
      </w:r>
      <w:r w:rsidRPr="00523EA3">
        <w:rPr>
          <w:rFonts w:cs="Times New Roman"/>
          <w:szCs w:val="24"/>
        </w:rPr>
        <w:t xml:space="preserve">2 rider costs are being </w:t>
      </w:r>
      <w:r>
        <w:rPr>
          <w:rFonts w:cs="Times New Roman"/>
          <w:szCs w:val="24"/>
        </w:rPr>
        <w:t xml:space="preserve">delayed </w:t>
      </w:r>
      <w:r w:rsidRPr="00523EA3">
        <w:rPr>
          <w:rFonts w:cs="Times New Roman"/>
          <w:szCs w:val="24"/>
        </w:rPr>
        <w:t xml:space="preserve">without </w:t>
      </w:r>
      <w:r>
        <w:rPr>
          <w:rFonts w:cs="Times New Roman"/>
          <w:szCs w:val="24"/>
        </w:rPr>
        <w:t>justification</w:t>
      </w:r>
      <w:r w:rsidRPr="00523EA3">
        <w:rPr>
          <w:rFonts w:cs="Times New Roman"/>
          <w:szCs w:val="24"/>
        </w:rPr>
        <w:t xml:space="preserve">. </w:t>
      </w:r>
    </w:p>
    <w:p w:rsidR="00796575" w:rsidP="007D5318">
      <w:pPr>
        <w:ind w:firstLine="720"/>
        <w:rPr>
          <w:rFonts w:cs="Times New Roman"/>
          <w:szCs w:val="24"/>
        </w:rPr>
      </w:pPr>
      <w:r w:rsidRPr="00523EA3">
        <w:rPr>
          <w:rFonts w:cs="Times New Roman"/>
          <w:szCs w:val="24"/>
        </w:rPr>
        <w:t xml:space="preserve">AEP Ohio confirmed in </w:t>
      </w:r>
      <w:r>
        <w:rPr>
          <w:rFonts w:cs="Times New Roman"/>
          <w:szCs w:val="24"/>
        </w:rPr>
        <w:t>its</w:t>
      </w:r>
      <w:r w:rsidRPr="00523EA3">
        <w:rPr>
          <w:rFonts w:cs="Times New Roman"/>
          <w:szCs w:val="24"/>
        </w:rPr>
        <w:t xml:space="preserve"> Application that the RFP process for the operational audit has not been initiated.</w:t>
      </w:r>
      <w:r>
        <w:rPr>
          <w:rStyle w:val="FootnoteReference"/>
          <w:rFonts w:cs="Times New Roman"/>
          <w:szCs w:val="24"/>
        </w:rPr>
        <w:footnoteReference w:id="31"/>
      </w:r>
      <w:r w:rsidRPr="00523EA3">
        <w:rPr>
          <w:rFonts w:cs="Times New Roman"/>
          <w:szCs w:val="24"/>
        </w:rPr>
        <w:t xml:space="preserve">  AEP Ohio has also filed quarterly updates </w:t>
      </w:r>
      <w:r>
        <w:rPr>
          <w:rFonts w:cs="Times New Roman"/>
          <w:szCs w:val="24"/>
        </w:rPr>
        <w:t xml:space="preserve">on gridSMART Phase 2 operational savings </w:t>
      </w:r>
      <w:r w:rsidRPr="00523EA3">
        <w:rPr>
          <w:rFonts w:cs="Times New Roman"/>
          <w:szCs w:val="24"/>
        </w:rPr>
        <w:t xml:space="preserve">in Case No. 18-192-EL-UNC.  </w:t>
      </w:r>
      <w:r>
        <w:rPr>
          <w:rFonts w:cs="Times New Roman"/>
          <w:szCs w:val="24"/>
        </w:rPr>
        <w:t xml:space="preserve">The updates state only that AEP Ohio continues to provide the $400,000 quarterly credit to customers.  </w:t>
      </w:r>
      <w:r w:rsidRPr="00523EA3">
        <w:rPr>
          <w:rFonts w:cs="Times New Roman"/>
          <w:szCs w:val="24"/>
        </w:rPr>
        <w:t xml:space="preserve">The most recent filing states that </w:t>
      </w:r>
      <w:r>
        <w:rPr>
          <w:rFonts w:cs="Times New Roman"/>
          <w:szCs w:val="24"/>
        </w:rPr>
        <w:t xml:space="preserve">AEP Ohio </w:t>
      </w:r>
      <w:r w:rsidRPr="00523EA3">
        <w:rPr>
          <w:rFonts w:cs="Times New Roman"/>
          <w:szCs w:val="24"/>
        </w:rPr>
        <w:t>will “provide additional updates on the RFP process and audit timeline when those processes are initiated.</w:t>
      </w:r>
      <w:r>
        <w:rPr>
          <w:rFonts w:cs="Times New Roman"/>
          <w:szCs w:val="24"/>
        </w:rPr>
        <w:t>”</w:t>
      </w:r>
      <w:r>
        <w:rPr>
          <w:rStyle w:val="FootnoteReference"/>
          <w:rFonts w:cs="Times New Roman"/>
          <w:szCs w:val="24"/>
        </w:rPr>
        <w:footnoteReference w:id="32"/>
      </w:r>
      <w:r w:rsidRPr="00523EA3">
        <w:rPr>
          <w:rFonts w:cs="Times New Roman"/>
          <w:szCs w:val="24"/>
        </w:rPr>
        <w:t xml:space="preserve">  </w:t>
      </w:r>
    </w:p>
    <w:p w:rsidR="00523EA3" w:rsidP="007D5318">
      <w:pPr>
        <w:ind w:firstLine="720"/>
        <w:rPr>
          <w:rFonts w:cs="Times New Roman"/>
          <w:szCs w:val="24"/>
        </w:rPr>
      </w:pPr>
      <w:r w:rsidRPr="00523EA3">
        <w:rPr>
          <w:rFonts w:cs="Times New Roman"/>
          <w:szCs w:val="24"/>
        </w:rPr>
        <w:t xml:space="preserve">Neither </w:t>
      </w:r>
      <w:r>
        <w:rPr>
          <w:rFonts w:cs="Times New Roman"/>
          <w:szCs w:val="24"/>
        </w:rPr>
        <w:t xml:space="preserve">the PUCO </w:t>
      </w:r>
      <w:r w:rsidRPr="00523EA3">
        <w:rPr>
          <w:rFonts w:cs="Times New Roman"/>
          <w:szCs w:val="24"/>
        </w:rPr>
        <w:t xml:space="preserve">Staff </w:t>
      </w:r>
      <w:r>
        <w:rPr>
          <w:rFonts w:cs="Times New Roman"/>
          <w:szCs w:val="24"/>
        </w:rPr>
        <w:t>n</w:t>
      </w:r>
      <w:r w:rsidRPr="00523EA3">
        <w:rPr>
          <w:rFonts w:cs="Times New Roman"/>
          <w:szCs w:val="24"/>
        </w:rPr>
        <w:t>or AEP Ohio are provid</w:t>
      </w:r>
      <w:r>
        <w:rPr>
          <w:rFonts w:cs="Times New Roman"/>
          <w:szCs w:val="24"/>
        </w:rPr>
        <w:t>ing</w:t>
      </w:r>
      <w:r w:rsidRPr="00523EA3">
        <w:rPr>
          <w:rFonts w:cs="Times New Roman"/>
          <w:szCs w:val="24"/>
        </w:rPr>
        <w:t xml:space="preserve"> meaningful information to the </w:t>
      </w:r>
      <w:r>
        <w:rPr>
          <w:rFonts w:cs="Times New Roman"/>
          <w:szCs w:val="24"/>
        </w:rPr>
        <w:t xml:space="preserve">PUCO and the public </w:t>
      </w:r>
      <w:r w:rsidRPr="00523EA3">
        <w:rPr>
          <w:rFonts w:cs="Times New Roman"/>
          <w:szCs w:val="24"/>
        </w:rPr>
        <w:t xml:space="preserve">regarding the status for completing the operational audit.  Delays in implementing the operational audit contradict the </w:t>
      </w:r>
      <w:r>
        <w:rPr>
          <w:rFonts w:cs="Times New Roman"/>
          <w:szCs w:val="24"/>
        </w:rPr>
        <w:t xml:space="preserve">PUCO’s specific directive to the PUCO Staff in the </w:t>
      </w:r>
      <w:r w:rsidRPr="00523EA3">
        <w:rPr>
          <w:rFonts w:cs="Times New Roman"/>
          <w:szCs w:val="24"/>
        </w:rPr>
        <w:t>order approv</w:t>
      </w:r>
      <w:r>
        <w:rPr>
          <w:rFonts w:cs="Times New Roman"/>
          <w:szCs w:val="24"/>
        </w:rPr>
        <w:t xml:space="preserve">ing </w:t>
      </w:r>
      <w:r w:rsidRPr="00523EA3">
        <w:rPr>
          <w:rFonts w:cs="Times New Roman"/>
          <w:szCs w:val="24"/>
        </w:rPr>
        <w:t xml:space="preserve">gridSMART </w:t>
      </w:r>
      <w:r>
        <w:rPr>
          <w:rFonts w:cs="Times New Roman"/>
          <w:szCs w:val="24"/>
        </w:rPr>
        <w:t xml:space="preserve">Phase </w:t>
      </w:r>
      <w:r w:rsidRPr="00523EA3">
        <w:rPr>
          <w:rFonts w:cs="Times New Roman"/>
          <w:szCs w:val="24"/>
        </w:rPr>
        <w:t>2</w:t>
      </w:r>
      <w:r>
        <w:rPr>
          <w:rFonts w:cs="Times New Roman"/>
          <w:szCs w:val="24"/>
        </w:rPr>
        <w:t xml:space="preserve"> deployment.  And even more importantly, this delay is resulting in customers being </w:t>
      </w:r>
      <w:r w:rsidRPr="00523EA3">
        <w:rPr>
          <w:rFonts w:cs="Times New Roman"/>
          <w:szCs w:val="24"/>
        </w:rPr>
        <w:t>unfairly den</w:t>
      </w:r>
      <w:r>
        <w:rPr>
          <w:rFonts w:cs="Times New Roman"/>
          <w:szCs w:val="24"/>
        </w:rPr>
        <w:t xml:space="preserve">ied </w:t>
      </w:r>
      <w:r w:rsidRPr="00523EA3">
        <w:rPr>
          <w:rFonts w:cs="Times New Roman"/>
          <w:szCs w:val="24"/>
        </w:rPr>
        <w:t xml:space="preserve">savings </w:t>
      </w:r>
      <w:r>
        <w:rPr>
          <w:rFonts w:cs="Times New Roman"/>
          <w:szCs w:val="24"/>
        </w:rPr>
        <w:t xml:space="preserve">that </w:t>
      </w:r>
      <w:r w:rsidRPr="00523EA3">
        <w:rPr>
          <w:rFonts w:cs="Times New Roman"/>
          <w:szCs w:val="24"/>
        </w:rPr>
        <w:t xml:space="preserve">they should be receiving as AEP Ohio deploys its gridSMART program. </w:t>
      </w:r>
    </w:p>
    <w:p w:rsidR="004309DB" w:rsidP="007D5318">
      <w:pPr>
        <w:ind w:firstLine="720"/>
        <w:rPr>
          <w:rFonts w:cs="Times New Roman"/>
          <w:szCs w:val="24"/>
        </w:rPr>
      </w:pPr>
      <w:r>
        <w:rPr>
          <w:rFonts w:cs="Times New Roman"/>
          <w:szCs w:val="24"/>
        </w:rPr>
        <w:t>T</w:t>
      </w:r>
      <w:r w:rsidRPr="00523EA3">
        <w:rPr>
          <w:rFonts w:cs="Times New Roman"/>
          <w:szCs w:val="24"/>
        </w:rPr>
        <w:t xml:space="preserve">he </w:t>
      </w:r>
      <w:r>
        <w:rPr>
          <w:rFonts w:cs="Times New Roman"/>
          <w:szCs w:val="24"/>
        </w:rPr>
        <w:t xml:space="preserve">PUCO should </w:t>
      </w:r>
      <w:r w:rsidRPr="00523EA3">
        <w:rPr>
          <w:rFonts w:cs="Times New Roman"/>
          <w:szCs w:val="24"/>
        </w:rPr>
        <w:t xml:space="preserve">direct </w:t>
      </w:r>
      <w:r>
        <w:rPr>
          <w:rFonts w:cs="Times New Roman"/>
          <w:szCs w:val="24"/>
        </w:rPr>
        <w:t xml:space="preserve">the PUCO </w:t>
      </w:r>
      <w:r w:rsidRPr="00523EA3">
        <w:rPr>
          <w:rFonts w:cs="Times New Roman"/>
          <w:szCs w:val="24"/>
        </w:rPr>
        <w:t xml:space="preserve">Staff to </w:t>
      </w:r>
      <w:r>
        <w:rPr>
          <w:rFonts w:cs="Times New Roman"/>
          <w:szCs w:val="24"/>
        </w:rPr>
        <w:t xml:space="preserve">release the RFP for </w:t>
      </w:r>
      <w:r w:rsidRPr="00523EA3">
        <w:rPr>
          <w:rFonts w:cs="Times New Roman"/>
          <w:szCs w:val="24"/>
        </w:rPr>
        <w:t xml:space="preserve">the operational audit </w:t>
      </w:r>
      <w:r>
        <w:rPr>
          <w:rFonts w:cs="Times New Roman"/>
          <w:szCs w:val="24"/>
        </w:rPr>
        <w:t xml:space="preserve">of </w:t>
      </w:r>
      <w:r w:rsidRPr="00523EA3">
        <w:rPr>
          <w:rFonts w:cs="Times New Roman"/>
          <w:szCs w:val="24"/>
        </w:rPr>
        <w:t xml:space="preserve">the gridSMART </w:t>
      </w:r>
      <w:r>
        <w:rPr>
          <w:rFonts w:cs="Times New Roman"/>
          <w:szCs w:val="24"/>
        </w:rPr>
        <w:t xml:space="preserve">Phase </w:t>
      </w:r>
      <w:r w:rsidRPr="00523EA3">
        <w:rPr>
          <w:rFonts w:cs="Times New Roman"/>
          <w:szCs w:val="24"/>
        </w:rPr>
        <w:t xml:space="preserve">2 program </w:t>
      </w:r>
      <w:r>
        <w:rPr>
          <w:rFonts w:cs="Times New Roman"/>
          <w:szCs w:val="24"/>
        </w:rPr>
        <w:t xml:space="preserve">as the PUCO </w:t>
      </w:r>
      <w:r w:rsidRPr="00523EA3">
        <w:rPr>
          <w:rFonts w:cs="Times New Roman"/>
          <w:szCs w:val="24"/>
        </w:rPr>
        <w:t xml:space="preserve">previously ordered.  </w:t>
      </w:r>
      <w:r>
        <w:rPr>
          <w:rFonts w:cs="Times New Roman"/>
          <w:szCs w:val="24"/>
        </w:rPr>
        <w:t xml:space="preserve">The RFP should be released no later than 30 days after the order in this case.    </w:t>
      </w:r>
      <w:r w:rsidRPr="00523EA3">
        <w:rPr>
          <w:rFonts w:cs="Times New Roman"/>
          <w:szCs w:val="24"/>
        </w:rPr>
        <w:t xml:space="preserve">   </w:t>
      </w:r>
    </w:p>
    <w:p w:rsidR="00E1302A">
      <w:pPr>
        <w:spacing w:after="200" w:line="276" w:lineRule="auto"/>
        <w:rPr>
          <w:rFonts w:cs="Times New Roman"/>
          <w:b/>
          <w:szCs w:val="24"/>
        </w:rPr>
      </w:pPr>
      <w:r>
        <w:rPr>
          <w:rFonts w:cs="Times New Roman"/>
          <w:b/>
          <w:szCs w:val="24"/>
        </w:rPr>
        <w:br w:type="page"/>
      </w:r>
    </w:p>
    <w:p w:rsidR="004309DB" w:rsidRPr="00440117" w:rsidP="005B6AEB">
      <w:pPr>
        <w:spacing w:after="240" w:line="240" w:lineRule="auto"/>
        <w:ind w:left="1440" w:right="720" w:hanging="720"/>
        <w:rPr>
          <w:rFonts w:cs="Times New Roman"/>
          <w:b/>
          <w:szCs w:val="24"/>
        </w:rPr>
      </w:pPr>
      <w:r>
        <w:rPr>
          <w:rFonts w:cs="Times New Roman"/>
          <w:b/>
          <w:szCs w:val="24"/>
        </w:rPr>
        <w:t>C.</w:t>
      </w:r>
      <w:r>
        <w:rPr>
          <w:rFonts w:cs="Times New Roman"/>
          <w:b/>
          <w:szCs w:val="24"/>
        </w:rPr>
        <w:tab/>
        <w:t xml:space="preserve">To protect consumers, the tariff should state that the collections made through the rider are subject to refund, as the PUCO previously ordered in this case on February 28, 2018. </w:t>
      </w:r>
    </w:p>
    <w:p w:rsidR="00F77667" w:rsidP="007D5318">
      <w:pPr>
        <w:ind w:firstLine="720"/>
        <w:rPr>
          <w:rFonts w:cs="Times New Roman"/>
          <w:szCs w:val="24"/>
        </w:rPr>
      </w:pPr>
      <w:r>
        <w:rPr>
          <w:rFonts w:cs="Times New Roman"/>
          <w:szCs w:val="24"/>
        </w:rPr>
        <w:t>In response to AEP Ohio’s quarterly update filing in January 2018, OCC filed comments to bring to the PUCO’s attention a ruling by the Supreme Court of Ohio (“Court”).</w:t>
      </w:r>
      <w:r>
        <w:rPr>
          <w:rStyle w:val="FootnoteReference"/>
          <w:rFonts w:cs="Times New Roman"/>
          <w:szCs w:val="24"/>
        </w:rPr>
        <w:footnoteReference w:id="33"/>
      </w:r>
      <w:r>
        <w:rPr>
          <w:rFonts w:cs="Times New Roman"/>
          <w:szCs w:val="24"/>
        </w:rPr>
        <w:t xml:space="preserve">  OCC noted that the Court had ruled that quarterly tariff updates that went into effect automatically were considered to be approved by the PUCO.</w:t>
      </w:r>
      <w:r>
        <w:rPr>
          <w:rStyle w:val="FootnoteReference"/>
          <w:szCs w:val="24"/>
        </w:rPr>
        <w:footnoteReference w:id="34"/>
      </w:r>
      <w:r>
        <w:rPr>
          <w:rFonts w:cs="Times New Roman"/>
          <w:szCs w:val="24"/>
        </w:rPr>
        <w:t xml:space="preserve">  Under the Court’s ruling, the “filed rate doctrine” prevented any refunds from such rates unless the tariffs specified that the rates were collected subject to refund.</w:t>
      </w:r>
      <w:r>
        <w:rPr>
          <w:rStyle w:val="FootnoteReference"/>
          <w:rFonts w:cs="Times New Roman"/>
          <w:szCs w:val="24"/>
        </w:rPr>
        <w:footnoteReference w:id="35"/>
      </w:r>
      <w:r>
        <w:rPr>
          <w:rFonts w:cs="Times New Roman"/>
          <w:szCs w:val="24"/>
        </w:rPr>
        <w:t xml:space="preserve">  </w:t>
      </w:r>
    </w:p>
    <w:p w:rsidR="00523EA3" w:rsidP="007D5318">
      <w:pPr>
        <w:ind w:firstLine="720"/>
        <w:rPr>
          <w:rFonts w:cs="Times New Roman"/>
          <w:szCs w:val="24"/>
        </w:rPr>
      </w:pPr>
      <w:r>
        <w:rPr>
          <w:rFonts w:cs="Times New Roman"/>
          <w:szCs w:val="24"/>
        </w:rPr>
        <w:t>Because of the Court’s decision – and in recognition of the PUCO’s proceeding concerning refunds due to changes in federal tax laws – the PUCO ordered that the gridSMART Phase 2 rider be collected subject to refund.</w:t>
      </w:r>
      <w:r>
        <w:rPr>
          <w:rStyle w:val="FootnoteReference"/>
          <w:rFonts w:cs="Times New Roman"/>
          <w:szCs w:val="24"/>
        </w:rPr>
        <w:footnoteReference w:id="36"/>
      </w:r>
      <w:r>
        <w:rPr>
          <w:rFonts w:cs="Times New Roman"/>
          <w:szCs w:val="24"/>
        </w:rPr>
        <w:t xml:space="preserve">  The PUCO approved the following language for the rider’s tariff: “</w:t>
      </w:r>
      <w:r w:rsidRPr="00474B7B">
        <w:rPr>
          <w:rFonts w:cs="Times New Roman"/>
          <w:szCs w:val="24"/>
        </w:rPr>
        <w:t>This Rider is subject to reconciliation, including, but not limited to, refunds to customers, based upon the impact to the carrying charge rate recovered through this Rider of changes in Federal corporate income taxes due to the Tax Cuts and Jobs Act of 2017 or based upon the results of audits ordered by the Commission in accordance with the February 1, 2017 Opinion and Order in Case No. 13-1939-EL-RDR.</w:t>
      </w:r>
      <w:r>
        <w:rPr>
          <w:rFonts w:cs="Times New Roman"/>
          <w:szCs w:val="24"/>
        </w:rPr>
        <w:t>”</w:t>
      </w:r>
      <w:r>
        <w:rPr>
          <w:rStyle w:val="FootnoteReference"/>
          <w:rFonts w:cs="Times New Roman"/>
          <w:szCs w:val="24"/>
        </w:rPr>
        <w:footnoteReference w:id="37"/>
      </w:r>
    </w:p>
    <w:p w:rsidR="00F77667" w:rsidRPr="00523EA3" w:rsidP="007D5318">
      <w:pPr>
        <w:ind w:firstLine="720"/>
        <w:rPr>
          <w:rFonts w:cs="Times New Roman"/>
          <w:szCs w:val="24"/>
        </w:rPr>
      </w:pPr>
      <w:r>
        <w:rPr>
          <w:rFonts w:cs="Times New Roman"/>
          <w:szCs w:val="24"/>
        </w:rPr>
        <w:t>The PUCO should ensure that this consumer protection remains in the rider’s tariff.  To protect consumers, the PUCO should require that the Phase 2 rider tariff include the refund language the PUCO approved in the February 28 Order in this case.</w:t>
      </w:r>
    </w:p>
    <w:p w:rsidR="00523EA3" w:rsidRPr="00AD66C4" w:rsidP="007F16B6">
      <w:pPr>
        <w:keepNext/>
        <w:spacing w:before="240"/>
        <w:rPr>
          <w:rFonts w:cs="Times New Roman"/>
          <w:b/>
          <w:szCs w:val="24"/>
        </w:rPr>
      </w:pPr>
      <w:r w:rsidRPr="00AD66C4">
        <w:rPr>
          <w:rFonts w:cs="Times New Roman"/>
          <w:b/>
          <w:szCs w:val="24"/>
        </w:rPr>
        <w:t>III.</w:t>
      </w:r>
      <w:r w:rsidRPr="00AD66C4">
        <w:rPr>
          <w:rFonts w:cs="Times New Roman"/>
          <w:b/>
          <w:szCs w:val="24"/>
        </w:rPr>
        <w:tab/>
        <w:t>CONCLUSION</w:t>
      </w:r>
    </w:p>
    <w:p w:rsidR="00235D48" w:rsidP="00FF25C8">
      <w:pPr>
        <w:autoSpaceDE w:val="0"/>
        <w:autoSpaceDN w:val="0"/>
        <w:adjustRightInd w:val="0"/>
        <w:ind w:firstLine="720"/>
        <w:rPr>
          <w:rFonts w:eastAsia="Times New Roman" w:cs="Times New Roman"/>
          <w:szCs w:val="24"/>
        </w:rPr>
      </w:pPr>
      <w:r>
        <w:rPr>
          <w:rFonts w:cs="Times New Roman"/>
          <w:szCs w:val="24"/>
        </w:rPr>
        <w:t xml:space="preserve">The PUCO Staff appropriately recommended removing $67,152 in improper expenses from the charges customers pay through the gridSMART Phase 2 rider.  But the PUCO Staff did not provide an update on the Phase 2 operational audit that should save customers millions of dollars.  AEP Ohio is currently reaping the benefits from gridSMART Phase 2 operational savings that rightfully belong to consumers.  That is unfair.  The PUCO should rectify this situation by requiring the PUCO Staff to issue the operations audit RFP within 30 days after the order in this case is issued (if not sooner).  The operations audit should proceed </w:t>
      </w:r>
      <w:r>
        <w:rPr>
          <w:rFonts w:eastAsia="Times New Roman" w:cs="Times New Roman"/>
          <w:szCs w:val="24"/>
        </w:rPr>
        <w:t>without delay so that consumers can start receiving the full operational savings from gridSMART Phase 2 deployment.</w:t>
      </w:r>
    </w:p>
    <w:p w:rsidR="005F7811" w:rsidP="005F7811">
      <w:pPr>
        <w:pStyle w:val="BodyTextIndent3"/>
        <w:widowControl w:val="0"/>
        <w:spacing w:line="480" w:lineRule="auto"/>
        <w:ind w:left="4320" w:firstLine="0"/>
        <w:rPr>
          <w:szCs w:val="24"/>
        </w:rPr>
      </w:pPr>
      <w:r>
        <w:rPr>
          <w:szCs w:val="24"/>
        </w:rPr>
        <w:t>Respectfully submitted,</w:t>
      </w:r>
    </w:p>
    <w:p w:rsidR="005F7811" w:rsidP="005F7811">
      <w:pPr>
        <w:pStyle w:val="Footer"/>
        <w:tabs>
          <w:tab w:val="left" w:pos="4320"/>
        </w:tabs>
        <w:ind w:left="4320"/>
        <w:rPr>
          <w:szCs w:val="24"/>
        </w:rPr>
      </w:pPr>
      <w:r>
        <w:rPr>
          <w:szCs w:val="24"/>
        </w:rPr>
        <w:t>Bruce Weston (0016973)</w:t>
      </w:r>
    </w:p>
    <w:p w:rsidR="005F7811" w:rsidP="005F7811">
      <w:pPr>
        <w:tabs>
          <w:tab w:val="left" w:pos="4320"/>
        </w:tabs>
        <w:spacing w:after="120"/>
        <w:ind w:left="4320"/>
        <w:rPr>
          <w:szCs w:val="24"/>
        </w:rPr>
      </w:pPr>
      <w:r>
        <w:rPr>
          <w:szCs w:val="24"/>
        </w:rPr>
        <w:t>Ohio Consumers’ Counsel</w:t>
      </w:r>
    </w:p>
    <w:p w:rsidR="005F7811" w:rsidRPr="006223A6" w:rsidP="005F7811">
      <w:pPr>
        <w:tabs>
          <w:tab w:val="left" w:pos="4320"/>
        </w:tabs>
        <w:spacing w:line="240" w:lineRule="auto"/>
        <w:rPr>
          <w:szCs w:val="24"/>
          <w:u w:val="single"/>
        </w:rPr>
      </w:pPr>
      <w:r w:rsidRPr="006223A6">
        <w:rPr>
          <w:szCs w:val="24"/>
        </w:rPr>
        <w:tab/>
      </w:r>
      <w:r w:rsidRPr="006223A6">
        <w:rPr>
          <w:i/>
          <w:szCs w:val="24"/>
          <w:u w:val="single"/>
        </w:rPr>
        <w:t>/s/ Terry L. Etter</w:t>
      </w:r>
      <w:r w:rsidRPr="006223A6">
        <w:rPr>
          <w:szCs w:val="24"/>
          <w:u w:val="single"/>
        </w:rPr>
        <w:t>                      </w:t>
      </w:r>
    </w:p>
    <w:p w:rsidR="005F7811" w:rsidP="00BA307C">
      <w:pPr>
        <w:tabs>
          <w:tab w:val="left" w:pos="4320"/>
        </w:tabs>
        <w:spacing w:line="240" w:lineRule="auto"/>
        <w:ind w:left="4320"/>
        <w:rPr>
          <w:szCs w:val="24"/>
        </w:rPr>
      </w:pPr>
      <w:r>
        <w:rPr>
          <w:szCs w:val="24"/>
        </w:rPr>
        <w:t>Terry L. Etter (0067445), Counsel of Record</w:t>
      </w:r>
    </w:p>
    <w:p w:rsidR="007F16B6" w:rsidP="00F5447A">
      <w:pPr>
        <w:tabs>
          <w:tab w:val="left" w:pos="4320"/>
        </w:tabs>
        <w:spacing w:line="240" w:lineRule="auto"/>
        <w:ind w:left="4320"/>
        <w:rPr>
          <w:szCs w:val="24"/>
        </w:rPr>
      </w:pPr>
      <w:r>
        <w:rPr>
          <w:szCs w:val="24"/>
        </w:rPr>
        <w:t>Christopher Healey (0086027)</w:t>
      </w:r>
    </w:p>
    <w:p w:rsidR="005F7811" w:rsidP="00F5447A">
      <w:pPr>
        <w:tabs>
          <w:tab w:val="left" w:pos="4320"/>
        </w:tabs>
        <w:spacing w:line="240" w:lineRule="auto"/>
        <w:ind w:left="4320"/>
        <w:rPr>
          <w:szCs w:val="24"/>
        </w:rPr>
      </w:pPr>
      <w:r>
        <w:rPr>
          <w:szCs w:val="24"/>
        </w:rPr>
        <w:t>Assistant Consumers’ Counsel</w:t>
      </w:r>
    </w:p>
    <w:p w:rsidR="005F7811" w:rsidP="005F7811">
      <w:pPr>
        <w:pStyle w:val="Heading1"/>
        <w:spacing w:before="120"/>
        <w:ind w:left="4320"/>
        <w:rPr>
          <w:u w:val="none"/>
        </w:rPr>
      </w:pPr>
      <w:r>
        <w:rPr>
          <w:u w:val="none"/>
        </w:rPr>
        <w:t>Office of the Ohio Consumers’ Counsel</w:t>
      </w:r>
    </w:p>
    <w:p w:rsidR="005F7811" w:rsidP="005F7811">
      <w:pPr>
        <w:pStyle w:val="Heading1"/>
        <w:ind w:left="4320"/>
        <w:rPr>
          <w:b w:val="0"/>
          <w:u w:val="none"/>
        </w:rPr>
      </w:pPr>
      <w:r>
        <w:rPr>
          <w:b w:val="0"/>
          <w:u w:val="none"/>
        </w:rPr>
        <w:t>65 East State Street, 7</w:t>
      </w:r>
      <w:r w:rsidRPr="00AD66C4">
        <w:rPr>
          <w:b w:val="0"/>
          <w:u w:val="none"/>
          <w:vertAlign w:val="superscript"/>
        </w:rPr>
        <w:t>th</w:t>
      </w:r>
      <w:r>
        <w:rPr>
          <w:b w:val="0"/>
          <w:u w:val="none"/>
        </w:rPr>
        <w:t xml:space="preserve"> Floor</w:t>
      </w:r>
    </w:p>
    <w:p w:rsidR="005F7811" w:rsidP="005F7811">
      <w:pPr>
        <w:pStyle w:val="Heading1"/>
        <w:ind w:left="4320"/>
        <w:rPr>
          <w:b w:val="0"/>
          <w:u w:val="none"/>
        </w:rPr>
      </w:pPr>
      <w:r>
        <w:rPr>
          <w:b w:val="0"/>
          <w:u w:val="none"/>
        </w:rPr>
        <w:t>Columbus, Ohio 43215</w:t>
      </w:r>
    </w:p>
    <w:p w:rsidR="005F7811" w:rsidP="005F7811">
      <w:pPr>
        <w:autoSpaceDE w:val="0"/>
        <w:autoSpaceDN w:val="0"/>
        <w:adjustRightInd w:val="0"/>
        <w:spacing w:line="240" w:lineRule="auto"/>
        <w:ind w:left="4320"/>
        <w:rPr>
          <w:szCs w:val="24"/>
        </w:rPr>
      </w:pPr>
      <w:r>
        <w:rPr>
          <w:szCs w:val="24"/>
        </w:rPr>
        <w:t xml:space="preserve">Telephone [Etter]: 614-466-7964 </w:t>
      </w:r>
    </w:p>
    <w:p w:rsidR="00F5447A" w:rsidRPr="00F257DB" w:rsidP="00F5447A">
      <w:pPr>
        <w:tabs>
          <w:tab w:val="left" w:pos="4320"/>
        </w:tabs>
        <w:spacing w:line="240" w:lineRule="auto"/>
        <w:ind w:left="4320"/>
        <w:rPr>
          <w:szCs w:val="24"/>
        </w:rPr>
      </w:pPr>
      <w:r>
        <w:rPr>
          <w:szCs w:val="24"/>
        </w:rPr>
        <w:t xml:space="preserve">Telephone [Healey]: </w:t>
      </w:r>
      <w:r w:rsidRPr="00F257DB">
        <w:rPr>
          <w:szCs w:val="24"/>
        </w:rPr>
        <w:t>6</w:t>
      </w:r>
      <w:r>
        <w:rPr>
          <w:szCs w:val="24"/>
        </w:rPr>
        <w:t xml:space="preserve">14-466-9571 </w:t>
      </w:r>
    </w:p>
    <w:p w:rsidR="005F7811" w:rsidP="005F7811">
      <w:pPr>
        <w:autoSpaceDE w:val="0"/>
        <w:autoSpaceDN w:val="0"/>
        <w:adjustRightInd w:val="0"/>
        <w:spacing w:line="240" w:lineRule="auto"/>
        <w:ind w:left="4320"/>
        <w:rPr>
          <w:szCs w:val="24"/>
        </w:rPr>
      </w:pPr>
      <w:r>
        <w:fldChar w:fldCharType="begin"/>
      </w:r>
      <w:r>
        <w:instrText xml:space="preserve"> HYPERLINK "mailto:Terry.etter@occ.ohio.gov" </w:instrText>
      </w:r>
      <w:r>
        <w:fldChar w:fldCharType="separate"/>
      </w:r>
      <w:r w:rsidRPr="00DD0D34" w:rsidR="005B6AEB">
        <w:rPr>
          <w:rStyle w:val="Hyperlink"/>
          <w:szCs w:val="24"/>
        </w:rPr>
        <w:t>Terry.etter@occ.ohio.gov</w:t>
      </w:r>
      <w:r>
        <w:fldChar w:fldCharType="end"/>
      </w:r>
    </w:p>
    <w:p w:rsidR="00F5447A" w:rsidRPr="00F257DB" w:rsidP="00F5447A">
      <w:pPr>
        <w:spacing w:line="240" w:lineRule="auto"/>
        <w:ind w:left="4320"/>
        <w:rPr>
          <w:szCs w:val="24"/>
        </w:rPr>
      </w:pPr>
      <w:r>
        <w:fldChar w:fldCharType="begin"/>
      </w:r>
      <w:r>
        <w:instrText xml:space="preserve"> HYPERLINK "mailto:christopher.healey@occ.ohio.gov" </w:instrText>
      </w:r>
      <w:r>
        <w:fldChar w:fldCharType="separate"/>
      </w:r>
      <w:r w:rsidRPr="000A0618" w:rsidR="005B6AEB">
        <w:rPr>
          <w:rStyle w:val="Hyperlink"/>
          <w:szCs w:val="24"/>
        </w:rPr>
        <w:t>christopher.healey@occ.ohio.gov</w:t>
      </w:r>
      <w:r>
        <w:fldChar w:fldCharType="end"/>
      </w:r>
      <w:r w:rsidR="005B6AEB">
        <w:rPr>
          <w:szCs w:val="24"/>
        </w:rPr>
        <w:t xml:space="preserve"> </w:t>
      </w:r>
    </w:p>
    <w:p w:rsidR="005E157B" w:rsidRPr="00523EA3" w:rsidP="00F5447A">
      <w:pPr>
        <w:spacing w:line="240" w:lineRule="auto"/>
        <w:ind w:left="4320"/>
        <w:rPr>
          <w:rFonts w:cs="Times New Roman"/>
          <w:szCs w:val="24"/>
        </w:rPr>
      </w:pPr>
      <w:r>
        <w:rPr>
          <w:szCs w:val="24"/>
        </w:rPr>
        <w:t>(willing to accept service via email)</w:t>
      </w:r>
    </w:p>
    <w:p w:rsidR="00BA307C">
      <w:pPr>
        <w:spacing w:after="200" w:line="276" w:lineRule="auto"/>
        <w:rPr>
          <w:rFonts w:cs="Times New Roman"/>
          <w:szCs w:val="24"/>
        </w:rPr>
      </w:pPr>
      <w:r>
        <w:rPr>
          <w:rFonts w:cs="Times New Roman"/>
          <w:szCs w:val="24"/>
        </w:rPr>
        <w:br w:type="page"/>
      </w:r>
    </w:p>
    <w:p w:rsidR="00BA307C" w:rsidP="00BA307C">
      <w:pPr>
        <w:jc w:val="center"/>
        <w:rPr>
          <w:b/>
          <w:bCs/>
          <w:u w:val="single"/>
        </w:rPr>
      </w:pPr>
      <w:r>
        <w:rPr>
          <w:b/>
          <w:bCs/>
          <w:u w:val="single"/>
        </w:rPr>
        <w:t>CERTIFICATE OF SERVICE</w:t>
      </w:r>
    </w:p>
    <w:p w:rsidR="00BA307C" w:rsidP="00BA307C">
      <w:pPr>
        <w:ind w:firstLine="720"/>
      </w:pPr>
      <w:r>
        <w:t xml:space="preserve">I hereby certify that a copy of the foregoing Comments was served on the persons stated below </w:t>
      </w:r>
      <w:r w:rsidRPr="00F71EF5">
        <w:t>via</w:t>
      </w:r>
      <w:r>
        <w:t xml:space="preserve"> electronic transmission this 12</w:t>
      </w:r>
      <w:r w:rsidRPr="00445041">
        <w:rPr>
          <w:vertAlign w:val="superscript"/>
        </w:rPr>
        <w:t>th</w:t>
      </w:r>
      <w:r>
        <w:t xml:space="preserve"> day of October 2018.</w:t>
      </w:r>
    </w:p>
    <w:p w:rsidR="00BA307C" w:rsidP="00BA307C">
      <w:pPr>
        <w:spacing w:line="480" w:lineRule="atLeast"/>
      </w:pPr>
    </w:p>
    <w:p w:rsidR="00BA307C" w:rsidRPr="006223A6" w:rsidP="00BA307C">
      <w:pPr>
        <w:tabs>
          <w:tab w:val="left" w:pos="4320"/>
        </w:tabs>
        <w:spacing w:line="240" w:lineRule="auto"/>
        <w:rPr>
          <w:szCs w:val="24"/>
          <w:u w:val="single"/>
        </w:rPr>
      </w:pPr>
      <w:r>
        <w:rPr>
          <w:szCs w:val="24"/>
        </w:rPr>
        <w:tab/>
      </w:r>
      <w:r w:rsidRPr="006223A6">
        <w:rPr>
          <w:i/>
          <w:szCs w:val="24"/>
          <w:u w:val="single"/>
        </w:rPr>
        <w:t>/s/ Terry L. Etter</w:t>
      </w:r>
      <w:r w:rsidRPr="006223A6">
        <w:rPr>
          <w:szCs w:val="24"/>
          <w:u w:val="single"/>
        </w:rPr>
        <w:t>                      </w:t>
      </w:r>
    </w:p>
    <w:p w:rsidR="00BA307C" w:rsidP="00BA307C">
      <w:pPr>
        <w:tabs>
          <w:tab w:val="left" w:pos="4320"/>
        </w:tabs>
        <w:spacing w:line="240" w:lineRule="auto"/>
      </w:pPr>
      <w:r>
        <w:tab/>
        <w:t>Terry L. Etter</w:t>
      </w:r>
    </w:p>
    <w:p w:rsidR="00BA307C" w:rsidP="000D211D">
      <w:pPr>
        <w:tabs>
          <w:tab w:val="left" w:pos="4320"/>
        </w:tabs>
        <w:spacing w:line="240" w:lineRule="auto"/>
      </w:pPr>
      <w:r>
        <w:tab/>
        <w:t>Assistant Consumers’ Counsel</w:t>
      </w:r>
    </w:p>
    <w:p w:rsidR="00BA307C">
      <w:pPr>
        <w:pStyle w:val="CommentSubject"/>
      </w:pPr>
    </w:p>
    <w:p w:rsidR="00BA307C">
      <w:pPr>
        <w:pStyle w:val="CommentText"/>
      </w:pPr>
    </w:p>
    <w:p w:rsidR="00BA307C" w:rsidP="00AD66C4">
      <w:pPr>
        <w:pStyle w:val="CommentText"/>
        <w:spacing w:line="480" w:lineRule="auto"/>
        <w:jc w:val="center"/>
        <w:rPr>
          <w:b/>
          <w:u w:val="single"/>
        </w:rPr>
      </w:pPr>
      <w:r>
        <w:rPr>
          <w:b/>
          <w:u w:val="single"/>
        </w:rPr>
        <w:t>SERVICE LIST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10"/>
        <w:gridCol w:w="4230"/>
      </w:tblGrid>
      <w:tr w:rsidTr="009165FB">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E1302A" w:rsidP="00E1302A">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"mailto:Thomas.lindgren@ohioattorneygeneral.gov" </w:instrText>
            </w:r>
            <w:r>
              <w:fldChar w:fldCharType="separate"/>
            </w:r>
            <w:r w:rsidRPr="001E517B" w:rsidR="005B6AEB">
              <w:rPr>
                <w:rStyle w:val="Hyperlink"/>
                <w:rFonts w:ascii="Times New Roman" w:eastAsia="Times New Roman" w:hAnsi="Times New Roman" w:cs="Times New Roman"/>
                <w:color w:val="0000FF"/>
                <w:sz w:val="24"/>
                <w:szCs w:val="24"/>
                <w:u w:val="single"/>
                <w:lang w:val="en-US" w:eastAsia="en-US" w:bidi="ar-SA"/>
              </w:rPr>
              <w:t>Thomas.lindgren@ohioattorneygeneral.gov</w:t>
            </w:r>
            <w:r>
              <w:fldChar w:fldCharType="end"/>
            </w:r>
          </w:p>
          <w:p w:rsidR="00E1302A" w:rsidP="00E1302A">
            <w:pPr>
              <w:pStyle w:val="CommentText"/>
              <w:spacing w:after="0" w:line="240" w:lineRule="auto"/>
              <w:rPr>
                <w:rStyle w:val="DefaultParagraphFont"/>
                <w:rFonts w:ascii="Times New Roman" w:eastAsia="Times New Roman" w:hAnsi="Times New Roman" w:cs="Times New Roman"/>
                <w:sz w:val="24"/>
                <w:szCs w:val="24"/>
                <w:lang w:val="en-US" w:eastAsia="en-US" w:bidi="ar-SA"/>
              </w:rPr>
            </w:pPr>
          </w:p>
          <w:p w:rsidR="00E1302A" w:rsidP="00E1302A">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Attorney Examiners:</w:t>
            </w:r>
          </w:p>
          <w:p w:rsidR="00E1302A" w:rsidP="00E1302A">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"mailto:Sarah.parrot@puc.state.oh.us" </w:instrText>
            </w:r>
            <w:r>
              <w:fldChar w:fldCharType="separate"/>
            </w:r>
            <w:r w:rsidRPr="001E517B" w:rsidR="005B6AEB">
              <w:rPr>
                <w:rStyle w:val="Hyperlink"/>
                <w:rFonts w:ascii="Times New Roman" w:eastAsia="Times New Roman" w:hAnsi="Times New Roman" w:cs="Times New Roman"/>
                <w:color w:val="0000FF"/>
                <w:sz w:val="24"/>
                <w:szCs w:val="24"/>
                <w:u w:val="single"/>
                <w:lang w:val="en-US" w:eastAsia="en-US" w:bidi="ar-SA"/>
              </w:rPr>
              <w:t>Sarah.parrot@puc.state.oh.us</w:t>
            </w:r>
            <w:r>
              <w:fldChar w:fldCharType="end"/>
            </w:r>
          </w:p>
          <w:p w:rsidR="00E1302A" w:rsidP="00E1302A">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"mailto:Greta.see@puc.state.oh.us" </w:instrText>
            </w:r>
            <w:r>
              <w:fldChar w:fldCharType="separate"/>
            </w:r>
            <w:r w:rsidRPr="001E517B" w:rsidR="005B6AEB">
              <w:rPr>
                <w:rStyle w:val="Hyperlink"/>
                <w:rFonts w:ascii="Times New Roman" w:eastAsia="Times New Roman" w:hAnsi="Times New Roman" w:cs="Times New Roman"/>
                <w:color w:val="0000FF"/>
                <w:sz w:val="24"/>
                <w:szCs w:val="24"/>
                <w:u w:val="single"/>
                <w:lang w:val="en-US" w:eastAsia="en-US" w:bidi="ar-SA"/>
              </w:rPr>
              <w:t>Greta.see@puc.state.oh.us</w:t>
            </w:r>
            <w:r>
              <w:fldChar w:fldCharType="end"/>
            </w:r>
          </w:p>
          <w:p w:rsidR="00E1302A" w:rsidRPr="00E1302A" w:rsidP="00E1302A">
            <w:pPr>
              <w:pStyle w:val="CommentText"/>
              <w:spacing w:after="0" w:line="480" w:lineRule="auto"/>
              <w:rPr>
                <w:rStyle w:val="DefaultParagraphFont"/>
                <w:rFonts w:ascii="Times New Roman" w:eastAsia="Times New Roman" w:hAnsi="Times New Roman" w:cs="Times New Roman"/>
                <w:sz w:val="24"/>
                <w:szCs w:val="24"/>
                <w:lang w:val="en-US" w:eastAsia="en-US" w:bidi="ar-SA"/>
              </w:rPr>
            </w:pPr>
          </w:p>
        </w:tc>
        <w:tc>
          <w:tcPr>
            <w:tcW w:w="4315" w:type="dxa"/>
          </w:tcPr>
          <w:p w:rsidR="00E1302A" w:rsidP="00E1302A">
            <w:pPr>
              <w:pStyle w:val="BodyText"/>
              <w:spacing w:after="0" w:line="240" w:lineRule="auto"/>
              <w:ind w:left="1325"/>
              <w:rPr>
                <w:rStyle w:val="Hyperlink"/>
                <w:rFonts w:ascii="Times New Roman" w:hAnsi="Times New Roman" w:eastAsiaTheme="minorHAnsi" w:cstheme="minorBidi"/>
                <w:bCs/>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"mailto:stnorse@aep.com" </w:instrText>
            </w:r>
            <w:r>
              <w:fldChar w:fldCharType="separate"/>
            </w:r>
            <w:r w:rsidRPr="009B52AB" w:rsidR="005B6AEB">
              <w:rPr>
                <w:rStyle w:val="Hyperlink"/>
                <w:rFonts w:ascii="Times New Roman" w:hAnsi="Times New Roman" w:eastAsiaTheme="minorHAnsi" w:cstheme="minorBidi"/>
                <w:bCs/>
                <w:color w:val="0000FF"/>
                <w:sz w:val="24"/>
                <w:szCs w:val="22"/>
                <w:u w:val="single"/>
                <w:lang w:val="en-US" w:eastAsia="en-US" w:bidi="ar-SA"/>
              </w:rPr>
              <w:t>stno</w:t>
            </w:r>
            <w:r w:rsidR="005B6AEB">
              <w:rPr>
                <w:rStyle w:val="Hyperlink"/>
                <w:rFonts w:ascii="Times New Roman" w:hAnsi="Times New Roman" w:eastAsiaTheme="minorHAnsi" w:cstheme="minorBidi"/>
                <w:bCs/>
                <w:color w:val="0000FF"/>
                <w:sz w:val="24"/>
                <w:szCs w:val="22"/>
                <w:u w:val="single"/>
                <w:lang w:val="en-US" w:eastAsia="en-US" w:bidi="ar-SA"/>
              </w:rPr>
              <w:t>u</w:t>
            </w:r>
            <w:r w:rsidRPr="009B52AB" w:rsidR="005B6AEB">
              <w:rPr>
                <w:rStyle w:val="Hyperlink"/>
                <w:rFonts w:ascii="Times New Roman" w:hAnsi="Times New Roman" w:eastAsiaTheme="minorHAnsi" w:cstheme="minorBidi"/>
                <w:bCs/>
                <w:color w:val="0000FF"/>
                <w:sz w:val="24"/>
                <w:szCs w:val="22"/>
                <w:u w:val="single"/>
                <w:lang w:val="en-US" w:eastAsia="en-US" w:bidi="ar-SA"/>
              </w:rPr>
              <w:t>rse@aep.com</w:t>
            </w:r>
            <w:r>
              <w:fldChar w:fldCharType="end"/>
            </w:r>
          </w:p>
          <w:p w:rsidR="00E1302A" w:rsidP="00E1302A">
            <w:pPr>
              <w:pStyle w:val="BodyText"/>
              <w:spacing w:after="0" w:line="240" w:lineRule="auto"/>
              <w:ind w:left="1325"/>
              <w:rPr>
                <w:rStyle w:val="DefaultParagraphFont"/>
                <w:rFonts w:ascii="Times New Roman" w:hAnsi="Times New Roman" w:eastAsiaTheme="minorHAnsi" w:cstheme="minorBidi"/>
                <w:b/>
                <w:sz w:val="24"/>
                <w:szCs w:val="22"/>
                <w:u w:val="single"/>
                <w:lang w:val="en-US" w:eastAsia="en-US" w:bidi="ar-SA"/>
              </w:rPr>
            </w:pPr>
          </w:p>
        </w:tc>
      </w:tr>
    </w:tbl>
    <w:tbl>
      <w:tblPr>
        <w:tblW w:w="0" w:type="auto"/>
        <w:tblInd w:w="0" w:type="dxa"/>
        <w:tblCellMar>
          <w:top w:w="0" w:type="dxa"/>
          <w:left w:w="108" w:type="dxa"/>
          <w:bottom w:w="0" w:type="dxa"/>
          <w:right w:w="108" w:type="dxa"/>
        </w:tblCellMar>
        <w:tblLook w:val="04A0"/>
      </w:tblPr>
      <w:tblGrid>
        <w:gridCol w:w="4409"/>
        <w:gridCol w:w="4231"/>
      </w:tblGrid>
      <w:tr w:rsidTr="00E1302A">
        <w:tblPrEx>
          <w:tblW w:w="0" w:type="auto"/>
          <w:tblInd w:w="0" w:type="dxa"/>
          <w:tblCellMar>
            <w:top w:w="0" w:type="dxa"/>
            <w:left w:w="108" w:type="dxa"/>
            <w:bottom w:w="0" w:type="dxa"/>
            <w:right w:w="108" w:type="dxa"/>
          </w:tblCellMar>
          <w:tblLook w:val="04A0"/>
        </w:tblPrEx>
        <w:tc>
          <w:tcPr>
            <w:tcW w:w="4409" w:type="dxa"/>
            <w:shd w:val="clear" w:color="auto" w:fill="auto"/>
          </w:tcPr>
          <w:p w:rsidR="00BA307C" w:rsidRPr="009B52AB" w:rsidP="0023157B">
            <w:pPr>
              <w:spacing w:after="0" w:line="480" w:lineRule="auto"/>
              <w:rPr>
                <w:rStyle w:val="DefaultParagraphFont"/>
                <w:rFonts w:ascii="Times New Roman" w:hAnsi="Times New Roman" w:eastAsiaTheme="minorHAnsi" w:cstheme="minorBidi"/>
                <w:sz w:val="24"/>
                <w:szCs w:val="24"/>
                <w:lang w:val="en-US" w:eastAsia="en-US" w:bidi="ar-SA"/>
              </w:rPr>
            </w:pPr>
          </w:p>
          <w:p w:rsidR="00BA307C" w:rsidRPr="009B52AB" w:rsidP="0023157B">
            <w:pPr>
              <w:spacing w:after="0" w:line="480" w:lineRule="auto"/>
              <w:rPr>
                <w:rStyle w:val="DefaultParagraphFont"/>
                <w:rFonts w:ascii="Times New Roman" w:hAnsi="Times New Roman" w:eastAsiaTheme="minorHAnsi" w:cstheme="minorBidi"/>
                <w:sz w:val="24"/>
                <w:szCs w:val="24"/>
                <w:lang w:val="en-US" w:eastAsia="en-US" w:bidi="ar-SA"/>
              </w:rPr>
            </w:pPr>
          </w:p>
        </w:tc>
        <w:tc>
          <w:tcPr>
            <w:tcW w:w="4231" w:type="dxa"/>
            <w:shd w:val="clear" w:color="auto" w:fill="auto"/>
          </w:tcPr>
          <w:p w:rsidR="00BA307C" w:rsidRPr="009B52AB" w:rsidP="0023157B">
            <w:pPr>
              <w:spacing w:after="0" w:line="480" w:lineRule="auto"/>
              <w:rPr>
                <w:rStyle w:val="DefaultParagraphFont"/>
                <w:rFonts w:ascii="Times New Roman" w:hAnsi="Times New Roman" w:eastAsiaTheme="minorHAnsi" w:cstheme="minorBidi"/>
                <w:bCs/>
                <w:sz w:val="24"/>
                <w:szCs w:val="22"/>
                <w:lang w:val="en-US" w:eastAsia="en-US" w:bidi="ar-SA"/>
              </w:rPr>
            </w:pPr>
          </w:p>
        </w:tc>
      </w:tr>
    </w:tbl>
    <w:p w:rsidR="00BA307C" w:rsidP="00BA307C">
      <w:pPr>
        <w:pStyle w:val="BodyText"/>
        <w:rPr>
          <w:b/>
          <w:bCs/>
        </w:rPr>
      </w:pPr>
    </w:p>
    <w:p w:rsidR="00A84CCD" w:rsidRPr="00523EA3">
      <w:pPr>
        <w:rPr>
          <w:rFonts w:cs="Times New Roman"/>
          <w:szCs w:val="24"/>
        </w:rPr>
      </w:pPr>
    </w:p>
    <w:sectPr w:rsidSect="00E1302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3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4888364"/>
      <w:docPartObj>
        <w:docPartGallery w:val="Page Numbers (Bottom of Page)"/>
        <w:docPartUnique/>
      </w:docPartObj>
    </w:sdtPr>
    <w:sdtEndPr>
      <w:rPr>
        <w:noProof/>
      </w:rPr>
    </w:sdtEndPr>
    <w:sdtContent>
      <w:p w:rsidR="007D531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7D5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3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3FB3" w:rsidP="00A84CCD">
      <w:pPr>
        <w:spacing w:line="240" w:lineRule="auto"/>
      </w:pPr>
      <w:r>
        <w:separator/>
      </w:r>
    </w:p>
  </w:footnote>
  <w:footnote w:type="continuationSeparator" w:id="1">
    <w:p w:rsidR="00343FB3" w:rsidP="00A84CCD">
      <w:pPr>
        <w:spacing w:line="240" w:lineRule="auto"/>
      </w:pPr>
      <w:r>
        <w:continuationSeparator/>
      </w:r>
    </w:p>
  </w:footnote>
  <w:footnote w:type="continuationNotice" w:id="2">
    <w:p w:rsidR="00343FB3">
      <w:pPr>
        <w:spacing w:line="240" w:lineRule="auto"/>
      </w:pPr>
    </w:p>
  </w:footnote>
  <w:footnote w:id="3">
    <w:p w:rsidR="00D64388" w:rsidP="007A6DEF">
      <w:pPr>
        <w:autoSpaceDE w:val="0"/>
        <w:autoSpaceDN w:val="0"/>
        <w:adjustRightInd w:val="0"/>
        <w:spacing w:after="120" w:line="240" w:lineRule="auto"/>
      </w:pPr>
      <w:r>
        <w:rPr>
          <w:rStyle w:val="FootnoteReference"/>
        </w:rPr>
        <w:footnoteRef/>
      </w:r>
      <w:r w:rsidRPr="007A6DEF">
        <w:rPr>
          <w:rFonts w:cs="Times New Roman"/>
          <w:i/>
          <w:sz w:val="19"/>
          <w:szCs w:val="19"/>
        </w:rPr>
        <w:t xml:space="preserve"> </w:t>
      </w:r>
      <w:r>
        <w:rPr>
          <w:rFonts w:cs="Times New Roman"/>
          <w:i/>
          <w:sz w:val="19"/>
          <w:szCs w:val="19"/>
        </w:rPr>
        <w:t xml:space="preserve">See </w:t>
      </w:r>
      <w:r w:rsidRPr="007A6DEF">
        <w:rPr>
          <w:rFonts w:cs="Times New Roman"/>
          <w:i/>
          <w:sz w:val="19"/>
          <w:szCs w:val="19"/>
        </w:rPr>
        <w:t>In the Matter of the Application of Ohio Power Company to Initiate Phase 2</w:t>
      </w:r>
      <w:r w:rsidRPr="007A6DEF">
        <w:rPr>
          <w:rFonts w:cs="Times New Roman"/>
          <w:i/>
          <w:szCs w:val="24"/>
        </w:rPr>
        <w:t xml:space="preserve"> </w:t>
      </w:r>
      <w:r w:rsidRPr="00AD66C4">
        <w:rPr>
          <w:rFonts w:cs="Times New Roman"/>
          <w:i/>
          <w:sz w:val="20"/>
          <w:szCs w:val="20"/>
        </w:rPr>
        <w:t>o</w:t>
      </w:r>
      <w:r w:rsidRPr="00AD66C4">
        <w:rPr>
          <w:rFonts w:cs="Times New Roman"/>
          <w:i/>
          <w:sz w:val="19"/>
          <w:szCs w:val="19"/>
        </w:rPr>
        <w:t>f</w:t>
      </w:r>
      <w:r w:rsidRPr="007A6DEF">
        <w:rPr>
          <w:rFonts w:cs="Times New Roman"/>
          <w:i/>
          <w:sz w:val="19"/>
          <w:szCs w:val="19"/>
        </w:rPr>
        <w:t xml:space="preserve"> its gridSMART Project and to Establish the gridSMART Phase 2 Rider</w:t>
      </w:r>
      <w:r>
        <w:rPr>
          <w:rFonts w:cs="Times New Roman"/>
          <w:sz w:val="19"/>
          <w:szCs w:val="19"/>
        </w:rPr>
        <w:t>,</w:t>
      </w:r>
      <w:r w:rsidRPr="00AD66C4">
        <w:rPr>
          <w:rFonts w:cs="Times New Roman"/>
          <w:sz w:val="20"/>
          <w:szCs w:val="20"/>
        </w:rPr>
        <w:t xml:space="preserve"> </w:t>
      </w:r>
      <w:r w:rsidRPr="00AD66C4">
        <w:rPr>
          <w:sz w:val="20"/>
          <w:szCs w:val="20"/>
        </w:rPr>
        <w:t>Case No. 13-1939-EL-RDR</w:t>
      </w:r>
      <w:r>
        <w:rPr>
          <w:rFonts w:cs="Times New Roman"/>
          <w:sz w:val="19"/>
          <w:szCs w:val="19"/>
        </w:rPr>
        <w:t>, Opinion and Order (February 1, 2017), ¶8.</w:t>
      </w:r>
    </w:p>
  </w:footnote>
  <w:footnote w:id="4">
    <w:p w:rsidR="00D64388">
      <w:pPr>
        <w:pStyle w:val="FootnoteText"/>
      </w:pPr>
      <w:r>
        <w:rPr>
          <w:rStyle w:val="FootnoteReference"/>
        </w:rPr>
        <w:footnoteRef/>
      </w:r>
      <w:r>
        <w:t xml:space="preserve"> Case No. 13-1939-EL-RDR, Application (September 13, 2015), Attachment A at 2.</w:t>
      </w:r>
    </w:p>
  </w:footnote>
  <w:footnote w:id="5">
    <w:p w:rsidR="00D64388">
      <w:pPr>
        <w:pStyle w:val="FootnoteText"/>
      </w:pPr>
      <w:r>
        <w:rPr>
          <w:rStyle w:val="FootnoteReference"/>
        </w:rPr>
        <w:footnoteRef/>
      </w:r>
      <w:r>
        <w:t xml:space="preserve"> </w:t>
      </w:r>
      <w:r w:rsidRPr="00AD66C4">
        <w:rPr>
          <w:i/>
        </w:rPr>
        <w:t>Id</w:t>
      </w:r>
      <w:r>
        <w:rPr>
          <w:i/>
        </w:rPr>
        <w:t>.</w:t>
      </w:r>
    </w:p>
  </w:footnote>
  <w:footnote w:id="6">
    <w:p w:rsidR="00591164" w:rsidP="00591164">
      <w:pPr>
        <w:pStyle w:val="FootnoteText"/>
      </w:pPr>
      <w:r>
        <w:rPr>
          <w:rStyle w:val="FootnoteReference"/>
        </w:rPr>
        <w:footnoteRef/>
      </w:r>
      <w:r>
        <w:t xml:space="preserve"> </w:t>
      </w:r>
      <w:r>
        <w:rPr>
          <w:i/>
        </w:rPr>
        <w:t>See</w:t>
      </w:r>
      <w:r>
        <w:t xml:space="preserve"> Staff Review and Recommendations (July 3, 2018) at 2</w:t>
      </w:r>
      <w:r>
        <w:rPr>
          <w:i/>
        </w:rPr>
        <w:t>.</w:t>
      </w:r>
    </w:p>
  </w:footnote>
  <w:footnote w:id="7">
    <w:p w:rsidR="000C696E">
      <w:pPr>
        <w:pStyle w:val="FootnoteText"/>
      </w:pPr>
      <w:r>
        <w:rPr>
          <w:rStyle w:val="FootnoteReference"/>
        </w:rPr>
        <w:footnoteRef/>
      </w:r>
      <w:r>
        <w:t xml:space="preserve"> The Entry (¶8) also set a deadline of October 5, 2018 for interested persons to file a motion to intervene in this case.  OCC filed its motion to intervene in this case on May 12, 2017 and was granted intervention by Finding and Order dated February 28, 2018 (¶12).</w:t>
      </w:r>
    </w:p>
  </w:footnote>
  <w:footnote w:id="8">
    <w:p w:rsidR="00AB016F" w:rsidRPr="00AB016F">
      <w:pPr>
        <w:pStyle w:val="FootnoteText"/>
      </w:pPr>
      <w:r>
        <w:rPr>
          <w:rStyle w:val="FootnoteReference"/>
        </w:rPr>
        <w:footnoteRef/>
      </w:r>
      <w:r>
        <w:t xml:space="preserve"> </w:t>
      </w:r>
      <w:r>
        <w:rPr>
          <w:i/>
        </w:rPr>
        <w:t>See</w:t>
      </w:r>
      <w:r>
        <w:t xml:space="preserve"> Case No. 13-1939-EL-RDR, Opinion and Order (February 1, 2017), ¶52.</w:t>
      </w:r>
    </w:p>
  </w:footnote>
  <w:footnote w:id="9">
    <w:p w:rsidR="00C40374">
      <w:pPr>
        <w:pStyle w:val="FootnoteText"/>
      </w:pPr>
      <w:r>
        <w:rPr>
          <w:rStyle w:val="FootnoteReference"/>
        </w:rPr>
        <w:footnoteRef/>
      </w:r>
      <w:r>
        <w:t xml:space="preserve"> </w:t>
      </w:r>
      <w:r>
        <w:rPr>
          <w:i/>
        </w:rPr>
        <w:t>Id.</w:t>
      </w:r>
      <w:r>
        <w:t>, ¶66.</w:t>
      </w:r>
    </w:p>
  </w:footnote>
  <w:footnote w:id="10">
    <w:p w:rsidR="00D64388">
      <w:pPr>
        <w:pStyle w:val="FootnoteText"/>
      </w:pPr>
      <w:r>
        <w:rPr>
          <w:rStyle w:val="FootnoteReference"/>
        </w:rPr>
        <w:footnoteRef/>
      </w:r>
      <w:r>
        <w:t xml:space="preserve"> Case No. 13-1939-EL-RDR, Opinion and Order, ¶37.</w:t>
      </w:r>
    </w:p>
  </w:footnote>
  <w:footnote w:id="11">
    <w:p w:rsidR="002D2D02" w:rsidP="002D2D02">
      <w:pPr>
        <w:pStyle w:val="FootnoteText"/>
      </w:pPr>
      <w:r>
        <w:rPr>
          <w:rStyle w:val="FootnoteReference"/>
        </w:rPr>
        <w:footnoteRef/>
      </w:r>
      <w:r>
        <w:t xml:space="preserve"> Staff Review and Recommendation at 3.</w:t>
      </w:r>
    </w:p>
  </w:footnote>
  <w:footnote w:id="12">
    <w:p w:rsidR="00181B09" w:rsidRPr="00AD66C4">
      <w:pPr>
        <w:pStyle w:val="FootnoteText"/>
        <w:rPr>
          <w:i/>
        </w:rPr>
      </w:pPr>
      <w:r>
        <w:rPr>
          <w:rStyle w:val="FootnoteReference"/>
        </w:rPr>
        <w:footnoteRef/>
      </w:r>
      <w:r>
        <w:t xml:space="preserve"> </w:t>
      </w:r>
      <w:r>
        <w:rPr>
          <w:i/>
        </w:rPr>
        <w:t>Id.</w:t>
      </w:r>
    </w:p>
  </w:footnote>
  <w:footnote w:id="13">
    <w:p w:rsidR="00181B09" w:rsidRPr="00AD66C4">
      <w:pPr>
        <w:pStyle w:val="FootnoteText"/>
        <w:rPr>
          <w:i/>
        </w:rPr>
      </w:pPr>
      <w:r>
        <w:rPr>
          <w:rStyle w:val="FootnoteReference"/>
        </w:rPr>
        <w:footnoteRef/>
      </w:r>
      <w:r>
        <w:t xml:space="preserve"> </w:t>
      </w:r>
      <w:r>
        <w:rPr>
          <w:i/>
        </w:rPr>
        <w:t>Id.</w:t>
      </w:r>
    </w:p>
  </w:footnote>
  <w:footnote w:id="14">
    <w:p w:rsidR="002D2D02" w:rsidP="002D2D02">
      <w:pPr>
        <w:pStyle w:val="FootnoteText"/>
      </w:pPr>
      <w:r>
        <w:rPr>
          <w:rStyle w:val="FootnoteReference"/>
        </w:rPr>
        <w:footnoteRef/>
      </w:r>
      <w:r>
        <w:t xml:space="preserve"> </w:t>
      </w:r>
      <w:r w:rsidRPr="007F6DB4">
        <w:rPr>
          <w:i/>
        </w:rPr>
        <w:t>Id</w:t>
      </w:r>
      <w:r>
        <w:t>. at 2.</w:t>
      </w:r>
    </w:p>
  </w:footnote>
  <w:footnote w:id="15">
    <w:p w:rsidR="00037746">
      <w:pPr>
        <w:pStyle w:val="FootnoteText"/>
      </w:pPr>
      <w:r>
        <w:rPr>
          <w:rStyle w:val="FootnoteReference"/>
        </w:rPr>
        <w:footnoteRef/>
      </w:r>
      <w:r>
        <w:t xml:space="preserve"> AEP Ohio Reply at 1.</w:t>
      </w:r>
    </w:p>
  </w:footnote>
  <w:footnote w:id="16">
    <w:p w:rsidR="00037746" w:rsidRPr="00AD66C4">
      <w:pPr>
        <w:pStyle w:val="FootnoteText"/>
        <w:rPr>
          <w:i/>
        </w:rPr>
      </w:pPr>
      <w:r>
        <w:rPr>
          <w:rStyle w:val="FootnoteReference"/>
        </w:rPr>
        <w:footnoteRef/>
      </w:r>
      <w:r>
        <w:t xml:space="preserve"> </w:t>
      </w:r>
      <w:r>
        <w:rPr>
          <w:i/>
        </w:rPr>
        <w:t>Id.</w:t>
      </w:r>
    </w:p>
  </w:footnote>
  <w:footnote w:id="17">
    <w:p w:rsidR="00037746" w:rsidRPr="00037746">
      <w:pPr>
        <w:pStyle w:val="FootnoteText"/>
      </w:pPr>
      <w:r>
        <w:rPr>
          <w:rStyle w:val="FootnoteReference"/>
        </w:rPr>
        <w:footnoteRef/>
      </w:r>
      <w:r>
        <w:t xml:space="preserve"> </w:t>
      </w:r>
      <w:r>
        <w:rPr>
          <w:i/>
        </w:rPr>
        <w:t>Id.</w:t>
      </w:r>
      <w:r>
        <w:t xml:space="preserve"> at 2.</w:t>
      </w:r>
    </w:p>
  </w:footnote>
  <w:footnote w:id="18">
    <w:p w:rsidR="00037746" w:rsidRPr="00AD66C4">
      <w:pPr>
        <w:pStyle w:val="FootnoteText"/>
        <w:rPr>
          <w:i/>
        </w:rPr>
      </w:pPr>
      <w:r>
        <w:rPr>
          <w:rStyle w:val="FootnoteReference"/>
        </w:rPr>
        <w:footnoteRef/>
      </w:r>
      <w:r>
        <w:t xml:space="preserve"> </w:t>
      </w:r>
      <w:r>
        <w:rPr>
          <w:i/>
        </w:rPr>
        <w:t>Id.</w:t>
      </w:r>
    </w:p>
  </w:footnote>
  <w:footnote w:id="19">
    <w:p w:rsidR="00FA414E" w:rsidRPr="00FA414E">
      <w:pPr>
        <w:pStyle w:val="FootnoteText"/>
      </w:pPr>
      <w:r>
        <w:rPr>
          <w:rStyle w:val="FootnoteReference"/>
        </w:rPr>
        <w:footnoteRef/>
      </w:r>
      <w:r>
        <w:t xml:space="preserve"> </w:t>
      </w:r>
      <w:r>
        <w:rPr>
          <w:i/>
        </w:rPr>
        <w:t>Id.</w:t>
      </w:r>
      <w:r>
        <w:t xml:space="preserve"> at 3.</w:t>
      </w:r>
    </w:p>
  </w:footnote>
  <w:footnote w:id="20">
    <w:p w:rsidR="00F0036B" w:rsidP="00F0036B">
      <w:pPr>
        <w:pStyle w:val="FootnoteText"/>
      </w:pPr>
      <w:r>
        <w:rPr>
          <w:rStyle w:val="FootnoteReference"/>
        </w:rPr>
        <w:footnoteRef/>
      </w:r>
      <w:r>
        <w:t xml:space="preserve"> </w:t>
      </w:r>
      <w:r w:rsidRPr="00BF64F8">
        <w:t>https://www.dispatch.com/news/20180126/one-third-of-families-experience-food-insecurity-double-previous-estimates</w:t>
      </w:r>
    </w:p>
  </w:footnote>
  <w:footnote w:id="21">
    <w:p w:rsidR="00F0036B" w:rsidP="00F0036B">
      <w:pPr>
        <w:pStyle w:val="FootnoteText"/>
      </w:pPr>
      <w:r>
        <w:rPr>
          <w:rStyle w:val="FootnoteReference"/>
        </w:rPr>
        <w:footnoteRef/>
      </w:r>
      <w:r>
        <w:t xml:space="preserve"> Ohio Power Company Tariff, P.U.C.O. NO 20, 13</w:t>
      </w:r>
      <w:r w:rsidRPr="005E34C8">
        <w:rPr>
          <w:vertAlign w:val="superscript"/>
        </w:rPr>
        <w:t>th</w:t>
      </w:r>
      <w:r>
        <w:t xml:space="preserve"> Revised Sheet No. 104-1, Applicable Riders (May 8, 2018).</w:t>
      </w:r>
    </w:p>
  </w:footnote>
  <w:footnote w:id="22">
    <w:p w:rsidR="00F0036B" w:rsidRPr="00C5311A" w:rsidP="00C5311A">
      <w:pPr>
        <w:autoSpaceDE w:val="0"/>
        <w:autoSpaceDN w:val="0"/>
        <w:adjustRightInd w:val="0"/>
        <w:spacing w:after="120" w:line="240" w:lineRule="auto"/>
        <w:rPr>
          <w:rFonts w:cs="Times New Roman"/>
          <w:sz w:val="20"/>
          <w:szCs w:val="20"/>
        </w:rPr>
      </w:pPr>
      <w:r>
        <w:rPr>
          <w:rStyle w:val="FootnoteReference"/>
        </w:rPr>
        <w:footnoteRef/>
      </w:r>
      <w:r>
        <w:t xml:space="preserve"> </w:t>
      </w:r>
      <w:r w:rsidRPr="00F320CF">
        <w:rPr>
          <w:rFonts w:cs="Times New Roman"/>
          <w:i/>
          <w:sz w:val="20"/>
          <w:szCs w:val="20"/>
        </w:rPr>
        <w:t xml:space="preserve">In the Matter of the Application of Columbus Southern Power Company and Ohio Power Company, Individually and, if Their Proposed Merger </w:t>
      </w:r>
      <w:r>
        <w:rPr>
          <w:rFonts w:cs="Times New Roman"/>
          <w:i/>
          <w:sz w:val="20"/>
          <w:szCs w:val="20"/>
        </w:rPr>
        <w:t>I</w:t>
      </w:r>
      <w:r w:rsidRPr="00F320CF">
        <w:rPr>
          <w:rFonts w:cs="Times New Roman"/>
          <w:i/>
          <w:sz w:val="20"/>
          <w:szCs w:val="20"/>
        </w:rPr>
        <w:t xml:space="preserve">s Approved, as a Merged Company (collectively, AEP Ohio) for an Increase in Electric </w:t>
      </w:r>
      <w:r>
        <w:rPr>
          <w:rFonts w:cs="Times New Roman"/>
          <w:i/>
          <w:sz w:val="20"/>
          <w:szCs w:val="20"/>
        </w:rPr>
        <w:t>D</w:t>
      </w:r>
      <w:r w:rsidRPr="00F320CF">
        <w:rPr>
          <w:rFonts w:cs="Times New Roman"/>
          <w:i/>
          <w:sz w:val="20"/>
          <w:szCs w:val="20"/>
        </w:rPr>
        <w:t>istribution Rates</w:t>
      </w:r>
      <w:r w:rsidRPr="00F320CF">
        <w:rPr>
          <w:rFonts w:cs="Times New Roman"/>
          <w:sz w:val="20"/>
          <w:szCs w:val="20"/>
        </w:rPr>
        <w:t>, Case No. 11-351-EL-AIR</w:t>
      </w:r>
      <w:r>
        <w:rPr>
          <w:rFonts w:cs="Times New Roman"/>
          <w:sz w:val="20"/>
          <w:szCs w:val="20"/>
        </w:rPr>
        <w:t>,</w:t>
      </w:r>
      <w:r w:rsidRPr="00F320CF">
        <w:rPr>
          <w:rFonts w:cs="Times New Roman"/>
          <w:sz w:val="20"/>
          <w:szCs w:val="20"/>
        </w:rPr>
        <w:t xml:space="preserve"> Opinion and Order (December 14, 2011).</w:t>
      </w:r>
    </w:p>
  </w:footnote>
  <w:footnote w:id="23">
    <w:p w:rsidR="00F0036B" w:rsidP="00F0036B">
      <w:pPr>
        <w:pStyle w:val="FootnoteText"/>
      </w:pPr>
      <w:r>
        <w:rPr>
          <w:rStyle w:val="FootnoteReference"/>
        </w:rPr>
        <w:footnoteRef/>
      </w:r>
      <w:r>
        <w:t xml:space="preserve"> </w:t>
      </w:r>
      <w:r w:rsidRPr="00F320CF">
        <w:rPr>
          <w:rFonts w:cs="Times New Roman"/>
        </w:rPr>
        <w:t>Case No. 11-351-EL-AIR</w:t>
      </w:r>
      <w:r>
        <w:rPr>
          <w:rFonts w:cs="Times New Roman"/>
        </w:rPr>
        <w:t>,</w:t>
      </w:r>
      <w:r>
        <w:t xml:space="preserve"> Joint Stipulation and Recommendation (November 23, 2011).</w:t>
      </w:r>
    </w:p>
  </w:footnote>
  <w:footnote w:id="24">
    <w:p w:rsidR="003A272A">
      <w:pPr>
        <w:pStyle w:val="FootnoteText"/>
      </w:pPr>
      <w:r>
        <w:rPr>
          <w:rStyle w:val="FootnoteReference"/>
        </w:rPr>
        <w:footnoteRef/>
      </w:r>
      <w:r>
        <w:t xml:space="preserve"> Case No. 13-1939-EL-RDR, Opinion and Order, ¶34.</w:t>
      </w:r>
    </w:p>
  </w:footnote>
  <w:footnote w:id="25">
    <w:p w:rsidR="00AB016F" w:rsidRPr="00AB016F">
      <w:pPr>
        <w:pStyle w:val="FootnoteText"/>
      </w:pPr>
      <w:r>
        <w:rPr>
          <w:rStyle w:val="FootnoteReference"/>
        </w:rPr>
        <w:footnoteRef/>
      </w:r>
      <w:r>
        <w:t xml:space="preserve"> </w:t>
      </w:r>
      <w:r>
        <w:rPr>
          <w:i/>
        </w:rPr>
        <w:t>See id.</w:t>
      </w:r>
      <w:r>
        <w:t>, ¶52.</w:t>
      </w:r>
    </w:p>
  </w:footnote>
  <w:footnote w:id="26">
    <w:p w:rsidR="004C3CDA" w:rsidRPr="00AB016F">
      <w:pPr>
        <w:pStyle w:val="FootnoteText"/>
      </w:pPr>
      <w:r>
        <w:rPr>
          <w:rStyle w:val="FootnoteReference"/>
        </w:rPr>
        <w:footnoteRef/>
      </w:r>
      <w:r>
        <w:t xml:space="preserve"> </w:t>
      </w:r>
      <w:r>
        <w:rPr>
          <w:i/>
        </w:rPr>
        <w:t>Id.</w:t>
      </w:r>
      <w:r>
        <w:t>, ¶34.</w:t>
      </w:r>
    </w:p>
  </w:footnote>
  <w:footnote w:id="27">
    <w:p w:rsidR="003A272A">
      <w:pPr>
        <w:pStyle w:val="FootnoteText"/>
      </w:pPr>
      <w:r>
        <w:rPr>
          <w:rStyle w:val="FootnoteReference"/>
        </w:rPr>
        <w:footnoteRef/>
      </w:r>
      <w:r>
        <w:t xml:space="preserve"> </w:t>
      </w:r>
      <w:r w:rsidRPr="00AD66C4">
        <w:rPr>
          <w:i/>
        </w:rPr>
        <w:t>Id</w:t>
      </w:r>
      <w:r>
        <w:t>., ¶66.</w:t>
      </w:r>
    </w:p>
  </w:footnote>
  <w:footnote w:id="28">
    <w:p w:rsidR="003A272A">
      <w:pPr>
        <w:pStyle w:val="FootnoteText"/>
      </w:pPr>
      <w:r>
        <w:rPr>
          <w:rStyle w:val="FootnoteReference"/>
        </w:rPr>
        <w:footnoteRef/>
      </w:r>
      <w:r>
        <w:t xml:space="preserve"> </w:t>
      </w:r>
      <w:r w:rsidRPr="00AD66C4">
        <w:rPr>
          <w:i/>
        </w:rPr>
        <w:t>Id</w:t>
      </w:r>
      <w:r>
        <w:t>.</w:t>
      </w:r>
    </w:p>
  </w:footnote>
  <w:footnote w:id="29">
    <w:p w:rsidR="003A272A">
      <w:pPr>
        <w:pStyle w:val="FootnoteText"/>
      </w:pPr>
      <w:r>
        <w:rPr>
          <w:rStyle w:val="FootnoteReference"/>
        </w:rPr>
        <w:footnoteRef/>
      </w:r>
      <w:r>
        <w:t xml:space="preserve"> </w:t>
      </w:r>
      <w:r w:rsidRPr="00AD66C4">
        <w:rPr>
          <w:i/>
        </w:rPr>
        <w:t>Id</w:t>
      </w:r>
      <w:r>
        <w:t>.</w:t>
      </w:r>
    </w:p>
  </w:footnote>
  <w:footnote w:id="30">
    <w:p w:rsidR="003A272A">
      <w:pPr>
        <w:pStyle w:val="FootnoteText"/>
      </w:pPr>
      <w:r>
        <w:rPr>
          <w:rStyle w:val="FootnoteReference"/>
        </w:rPr>
        <w:footnoteRef/>
      </w:r>
      <w:r>
        <w:t xml:space="preserve"> October 4, 2018 Presentation to the AEP Ohio Collaborative. </w:t>
      </w:r>
    </w:p>
  </w:footnote>
  <w:footnote w:id="31">
    <w:p w:rsidR="00803DF5">
      <w:pPr>
        <w:pStyle w:val="FootnoteText"/>
      </w:pPr>
      <w:r>
        <w:rPr>
          <w:rStyle w:val="FootnoteReference"/>
        </w:rPr>
        <w:footnoteRef/>
      </w:r>
      <w:r>
        <w:t xml:space="preserve"> Application at 2. </w:t>
      </w:r>
    </w:p>
  </w:footnote>
  <w:footnote w:id="32">
    <w:p w:rsidR="00803DF5">
      <w:pPr>
        <w:pStyle w:val="FootnoteText"/>
      </w:pPr>
      <w:r>
        <w:rPr>
          <w:rStyle w:val="FootnoteReference"/>
        </w:rPr>
        <w:footnoteRef/>
      </w:r>
      <w:r>
        <w:t xml:space="preserve"> </w:t>
      </w:r>
      <w:r w:rsidRPr="00AD66C4">
        <w:rPr>
          <w:i/>
        </w:rPr>
        <w:t>In the Matter of gridSMART Phase 2 Rider Operational Savings Status Update</w:t>
      </w:r>
      <w:r>
        <w:t xml:space="preserve">, Case No. 18-192-EL-UNC, Correspondence (July 27, 2018). </w:t>
      </w:r>
    </w:p>
  </w:footnote>
  <w:footnote w:id="33">
    <w:p w:rsidR="00EE5C77">
      <w:pPr>
        <w:pStyle w:val="FootnoteText"/>
      </w:pPr>
      <w:r>
        <w:rPr>
          <w:rStyle w:val="FootnoteReference"/>
        </w:rPr>
        <w:footnoteRef/>
      </w:r>
      <w:r>
        <w:t xml:space="preserve"> OCC Comments (February 5, 2018).</w:t>
      </w:r>
    </w:p>
  </w:footnote>
  <w:footnote w:id="34">
    <w:p w:rsidR="00EE5C77" w:rsidRPr="00E65294" w:rsidP="00EE5C77">
      <w:pPr>
        <w:pStyle w:val="FootnoteText"/>
      </w:pPr>
      <w:r>
        <w:rPr>
          <w:rStyle w:val="FootnoteReference"/>
        </w:rPr>
        <w:footnoteRef/>
      </w:r>
      <w:r>
        <w:t xml:space="preserve"> </w:t>
      </w:r>
      <w:r>
        <w:rPr>
          <w:i/>
        </w:rPr>
        <w:t xml:space="preserve">See id. </w:t>
      </w:r>
      <w:r>
        <w:t xml:space="preserve">at 2 citing </w:t>
      </w:r>
      <w:r w:rsidRPr="00A8019D">
        <w:rPr>
          <w:bCs/>
          <w:i/>
          <w:iCs/>
        </w:rPr>
        <w:t>In re Rev. of Alternative Energy Rider Contained in Tariffs of Ohio Edison Co.,</w:t>
      </w:r>
      <w:r>
        <w:rPr>
          <w:bCs/>
          <w:iCs/>
        </w:rPr>
        <w:t xml:space="preserve"> </w:t>
      </w:r>
      <w:r w:rsidRPr="00A8019D">
        <w:rPr>
          <w:bCs/>
        </w:rPr>
        <w:t>Slip Opinion No. 2018-Ohio-229</w:t>
      </w:r>
      <w:r>
        <w:rPr>
          <w:bCs/>
          <w:iCs/>
        </w:rPr>
        <w:t xml:space="preserve">. </w:t>
      </w:r>
    </w:p>
  </w:footnote>
  <w:footnote w:id="35">
    <w:p w:rsidR="00EE5C77" w:rsidRPr="00EE5C77">
      <w:pPr>
        <w:pStyle w:val="FootnoteText"/>
      </w:pPr>
      <w:r>
        <w:rPr>
          <w:rStyle w:val="FootnoteReference"/>
        </w:rPr>
        <w:footnoteRef/>
      </w:r>
      <w:r>
        <w:t xml:space="preserve"> </w:t>
      </w:r>
      <w:r>
        <w:rPr>
          <w:i/>
        </w:rPr>
        <w:t>Id.</w:t>
      </w:r>
      <w:r>
        <w:t xml:space="preserve"> at 3.</w:t>
      </w:r>
    </w:p>
  </w:footnote>
  <w:footnote w:id="36">
    <w:p w:rsidR="00211C18">
      <w:pPr>
        <w:pStyle w:val="FootnoteText"/>
      </w:pPr>
      <w:r>
        <w:rPr>
          <w:rStyle w:val="FootnoteReference"/>
        </w:rPr>
        <w:footnoteRef/>
      </w:r>
      <w:r>
        <w:t xml:space="preserve"> Order (February 28, 2018), ¶11.</w:t>
      </w:r>
    </w:p>
  </w:footnote>
  <w:footnote w:id="37">
    <w:p w:rsidR="00F77667" w:rsidRPr="00F77667">
      <w:pPr>
        <w:pStyle w:val="FootnoteText"/>
      </w:pPr>
      <w:r>
        <w:rPr>
          <w:rStyle w:val="FootnoteReference"/>
        </w:rPr>
        <w:footnoteRef/>
      </w:r>
      <w:r>
        <w:t xml:space="preserve"> </w:t>
      </w:r>
      <w:r>
        <w:rPr>
          <w:i/>
        </w:rPr>
        <w:t>See</w:t>
      </w:r>
      <w:r>
        <w:t xml:space="preserve"> Revised PUCO No. 20 tariff – Compliance tariffs (February 28,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3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3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3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8F8A55E"/>
    <w:lvl w:ilvl="0">
      <w:start w:val="1"/>
      <w:numFmt w:val="decimal"/>
      <w:lvlText w:val="%1."/>
      <w:lvlJc w:val="left"/>
      <w:pPr>
        <w:tabs>
          <w:tab w:val="num" w:pos="1800"/>
        </w:tabs>
        <w:ind w:left="1800" w:hanging="360"/>
      </w:pPr>
    </w:lvl>
  </w:abstractNum>
  <w:abstractNum w:abstractNumId="1">
    <w:nsid w:val="FFFFFF7D"/>
    <w:multiLevelType w:val="singleLevel"/>
    <w:tmpl w:val="75EC67A6"/>
    <w:lvl w:ilvl="0">
      <w:start w:val="1"/>
      <w:numFmt w:val="decimal"/>
      <w:lvlText w:val="%1."/>
      <w:lvlJc w:val="left"/>
      <w:pPr>
        <w:tabs>
          <w:tab w:val="num" w:pos="1440"/>
        </w:tabs>
        <w:ind w:left="1440" w:hanging="360"/>
      </w:pPr>
    </w:lvl>
  </w:abstractNum>
  <w:abstractNum w:abstractNumId="2">
    <w:nsid w:val="FFFFFF7E"/>
    <w:multiLevelType w:val="singleLevel"/>
    <w:tmpl w:val="2FFEB40E"/>
    <w:lvl w:ilvl="0">
      <w:start w:val="1"/>
      <w:numFmt w:val="decimal"/>
      <w:lvlText w:val="%1."/>
      <w:lvlJc w:val="left"/>
      <w:pPr>
        <w:tabs>
          <w:tab w:val="num" w:pos="1080"/>
        </w:tabs>
        <w:ind w:left="1080" w:hanging="360"/>
      </w:pPr>
    </w:lvl>
  </w:abstractNum>
  <w:abstractNum w:abstractNumId="3">
    <w:nsid w:val="FFFFFF7F"/>
    <w:multiLevelType w:val="singleLevel"/>
    <w:tmpl w:val="3BE4E2A4"/>
    <w:lvl w:ilvl="0">
      <w:start w:val="1"/>
      <w:numFmt w:val="decimal"/>
      <w:lvlText w:val="%1."/>
      <w:lvlJc w:val="left"/>
      <w:pPr>
        <w:tabs>
          <w:tab w:val="num" w:pos="720"/>
        </w:tabs>
        <w:ind w:left="720" w:hanging="360"/>
      </w:pPr>
    </w:lvl>
  </w:abstractNum>
  <w:abstractNum w:abstractNumId="4">
    <w:nsid w:val="FFFFFF80"/>
    <w:multiLevelType w:val="singleLevel"/>
    <w:tmpl w:val="ED6CF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60BC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5269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CE5B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E74241A"/>
    <w:lvl w:ilvl="0">
      <w:start w:val="1"/>
      <w:numFmt w:val="decimal"/>
      <w:lvlText w:val="%1."/>
      <w:lvlJc w:val="left"/>
      <w:pPr>
        <w:tabs>
          <w:tab w:val="num" w:pos="360"/>
        </w:tabs>
        <w:ind w:left="360" w:hanging="360"/>
      </w:pPr>
    </w:lvl>
  </w:abstractNum>
  <w:abstractNum w:abstractNumId="9">
    <w:nsid w:val="FFFFFF89"/>
    <w:multiLevelType w:val="singleLevel"/>
    <w:tmpl w:val="DCCE56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46"/>
    <w:pPr>
      <w:spacing w:after="0" w:line="480" w:lineRule="auto"/>
    </w:pPr>
    <w:rPr>
      <w:rFonts w:ascii="Times New Roman" w:hAnsi="Times New Roman"/>
      <w:sz w:val="24"/>
    </w:rPr>
  </w:style>
  <w:style w:type="paragraph" w:styleId="Heading1">
    <w:name w:val="heading 1"/>
    <w:basedOn w:val="Normal"/>
    <w:next w:val="Normal"/>
    <w:link w:val="Heading1Char"/>
    <w:qFormat/>
    <w:rsid w:val="005F7811"/>
    <w:pPr>
      <w:keepNext/>
      <w:spacing w:line="240" w:lineRule="auto"/>
      <w:outlineLvl w:val="0"/>
    </w:pPr>
    <w:rPr>
      <w:rFonts w:eastAsia="Times New Roman"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40374"/>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C40374"/>
    <w:rPr>
      <w:rFonts w:ascii="Times New Roman" w:hAnsi="Times New Roman"/>
      <w:sz w:val="20"/>
      <w:szCs w:val="20"/>
    </w:rPr>
  </w:style>
  <w:style w:type="character" w:styleId="FootnoteReference">
    <w:name w:val="footnote reference"/>
    <w:basedOn w:val="DefaultParagraphFont"/>
    <w:unhideWhenUsed/>
    <w:rsid w:val="00A84CCD"/>
    <w:rPr>
      <w:vertAlign w:val="superscript"/>
    </w:rPr>
  </w:style>
  <w:style w:type="paragraph" w:styleId="HTMLPreformatted">
    <w:name w:val="HTML Preformatted"/>
    <w:basedOn w:val="Normal"/>
    <w:link w:val="HTMLPreformattedChar"/>
    <w:rsid w:val="0030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044DA"/>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304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DA"/>
    <w:rPr>
      <w:rFonts w:ascii="Segoe UI" w:hAnsi="Segoe UI" w:cs="Segoe UI"/>
      <w:sz w:val="18"/>
      <w:szCs w:val="18"/>
    </w:rPr>
  </w:style>
  <w:style w:type="paragraph" w:styleId="Header">
    <w:name w:val="header"/>
    <w:basedOn w:val="Normal"/>
    <w:link w:val="HeaderChar"/>
    <w:uiPriority w:val="99"/>
    <w:unhideWhenUsed/>
    <w:rsid w:val="009A3F47"/>
    <w:pPr>
      <w:tabs>
        <w:tab w:val="center" w:pos="4680"/>
        <w:tab w:val="right" w:pos="9360"/>
      </w:tabs>
      <w:spacing w:line="240" w:lineRule="auto"/>
    </w:pPr>
  </w:style>
  <w:style w:type="character" w:customStyle="1" w:styleId="HeaderChar">
    <w:name w:val="Header Char"/>
    <w:basedOn w:val="DefaultParagraphFont"/>
    <w:link w:val="Header"/>
    <w:uiPriority w:val="99"/>
    <w:rsid w:val="009A3F47"/>
  </w:style>
  <w:style w:type="paragraph" w:styleId="Footer">
    <w:name w:val="footer"/>
    <w:basedOn w:val="Normal"/>
    <w:link w:val="FooterChar"/>
    <w:unhideWhenUsed/>
    <w:rsid w:val="009A3F47"/>
    <w:pPr>
      <w:tabs>
        <w:tab w:val="center" w:pos="4680"/>
        <w:tab w:val="right" w:pos="9360"/>
      </w:tabs>
      <w:spacing w:line="240" w:lineRule="auto"/>
    </w:pPr>
  </w:style>
  <w:style w:type="character" w:customStyle="1" w:styleId="FooterChar">
    <w:name w:val="Footer Char"/>
    <w:basedOn w:val="DefaultParagraphFont"/>
    <w:link w:val="Footer"/>
    <w:uiPriority w:val="99"/>
    <w:rsid w:val="009A3F47"/>
  </w:style>
  <w:style w:type="character" w:customStyle="1" w:styleId="Heading1Char">
    <w:name w:val="Heading 1 Char"/>
    <w:basedOn w:val="DefaultParagraphFont"/>
    <w:link w:val="Heading1"/>
    <w:rsid w:val="005F7811"/>
    <w:rPr>
      <w:rFonts w:ascii="Times New Roman" w:eastAsia="Times New Roman" w:hAnsi="Times New Roman" w:cs="Times New Roman"/>
      <w:b/>
      <w:sz w:val="24"/>
      <w:szCs w:val="24"/>
      <w:u w:val="single"/>
    </w:rPr>
  </w:style>
  <w:style w:type="character" w:styleId="Hyperlink">
    <w:name w:val="Hyperlink"/>
    <w:rsid w:val="005F7811"/>
    <w:rPr>
      <w:color w:val="0000FF"/>
      <w:u w:val="single"/>
    </w:rPr>
  </w:style>
  <w:style w:type="paragraph" w:styleId="BodyTextIndent3">
    <w:name w:val="Body Text Indent 3"/>
    <w:basedOn w:val="Normal"/>
    <w:link w:val="BodyTextIndent3Char"/>
    <w:rsid w:val="005F7811"/>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5F7811"/>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BA307C"/>
    <w:pPr>
      <w:spacing w:after="120"/>
    </w:pPr>
  </w:style>
  <w:style w:type="character" w:customStyle="1" w:styleId="BodyTextChar">
    <w:name w:val="Body Text Char"/>
    <w:basedOn w:val="DefaultParagraphFont"/>
    <w:link w:val="BodyText"/>
    <w:uiPriority w:val="99"/>
    <w:semiHidden/>
    <w:rsid w:val="00BA307C"/>
    <w:rPr>
      <w:rFonts w:ascii="Times New Roman" w:hAnsi="Times New Roman"/>
      <w:sz w:val="24"/>
    </w:rPr>
  </w:style>
  <w:style w:type="paragraph" w:styleId="CommentText">
    <w:name w:val="annotation text"/>
    <w:basedOn w:val="Normal"/>
    <w:link w:val="CommentTextChar"/>
    <w:semiHidden/>
    <w:rsid w:val="00BA307C"/>
    <w:pPr>
      <w:spacing w:line="240" w:lineRule="auto"/>
    </w:pPr>
    <w:rPr>
      <w:rFonts w:eastAsia="Times New Roman" w:cs="Times New Roman"/>
      <w:szCs w:val="24"/>
    </w:rPr>
  </w:style>
  <w:style w:type="character" w:customStyle="1" w:styleId="CommentTextChar">
    <w:name w:val="Comment Text Char"/>
    <w:basedOn w:val="DefaultParagraphFont"/>
    <w:link w:val="CommentText"/>
    <w:semiHidden/>
    <w:rsid w:val="00BA307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BA307C"/>
    <w:rPr>
      <w:szCs w:val="20"/>
    </w:rPr>
  </w:style>
  <w:style w:type="character" w:customStyle="1" w:styleId="CommentSubjectChar">
    <w:name w:val="Comment Subject Char"/>
    <w:basedOn w:val="CommentTextChar"/>
    <w:link w:val="CommentSubject"/>
    <w:semiHidden/>
    <w:rsid w:val="00BA307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E7505"/>
    <w:rPr>
      <w:sz w:val="16"/>
      <w:szCs w:val="16"/>
    </w:rPr>
  </w:style>
  <w:style w:type="table" w:styleId="TableGrid">
    <w:name w:val="Table Grid"/>
    <w:basedOn w:val="TableNormal"/>
    <w:uiPriority w:val="59"/>
    <w:rsid w:val="00E1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13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Comments (17-1156).docx</vt:lpstr>
    </vt:vector>
  </TitlesOfParts>
  <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2018-10-12T19:58:44Z</dcterms:created>
  <dcterms:modified xsi:type="dcterms:W3CDTF">2018-10-12T19:58:44Z</dcterms:modified>
</cp:coreProperties>
</file>