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76788" w:rsidRPr="00FE0954" w:rsidP="00476788" w14:paraId="11F118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FE0954">
        <w:rPr>
          <w:rFonts w:ascii="Times New Roman" w:eastAsia="Courier New" w:hAnsi="Times New Roman" w:cs="Times New Roman"/>
          <w:b/>
          <w:bCs/>
          <w:sz w:val="24"/>
          <w:szCs w:val="24"/>
        </w:rPr>
        <w:t>BEFORE</w:t>
      </w:r>
    </w:p>
    <w:p w:rsidR="00476788" w:rsidRPr="00FE0954" w:rsidP="00476788" w14:paraId="693A58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FE0954">
        <w:rPr>
          <w:rFonts w:ascii="Times New Roman" w:eastAsia="Courier New" w:hAnsi="Times New Roman" w:cs="Times New Roman"/>
          <w:b/>
          <w:bCs/>
          <w:sz w:val="24"/>
          <w:szCs w:val="24"/>
        </w:rPr>
        <w:t>THE PUBLIC UTILITIES COMMISSION OF OHIO</w:t>
      </w:r>
    </w:p>
    <w:p w:rsidR="00476788" w:rsidRPr="00FE0954" w:rsidP="00476788" w14:paraId="7E54EB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tbl>
      <w:tblPr>
        <w:tblW w:w="8640" w:type="dxa"/>
        <w:tblLook w:val="01E0"/>
      </w:tblPr>
      <w:tblGrid>
        <w:gridCol w:w="4230"/>
        <w:gridCol w:w="450"/>
        <w:gridCol w:w="3960"/>
      </w:tblGrid>
      <w:tr w14:paraId="57085666" w14:textId="77777777" w:rsidTr="00CA5340">
        <w:tblPrEx>
          <w:tblW w:w="8640" w:type="dxa"/>
          <w:tblLook w:val="01E0"/>
        </w:tblPrEx>
        <w:trPr>
          <w:trHeight w:val="807"/>
        </w:trPr>
        <w:tc>
          <w:tcPr>
            <w:tcW w:w="4230" w:type="dxa"/>
            <w:shd w:val="clear" w:color="auto" w:fill="auto"/>
          </w:tcPr>
          <w:p w:rsidR="00476788" w:rsidRPr="00FE0954" w:rsidP="00CA5340" w14:paraId="1ADB2F5F" w14:textId="77777777">
            <w:pPr>
              <w:autoSpaceDE w:val="0"/>
              <w:autoSpaceDN w:val="0"/>
              <w:adjustRightInd w:val="0"/>
              <w:rPr>
                <w:rFonts w:ascii="Times New Roman" w:hAnsi="Times New Roman" w:cs="Times New Roman"/>
                <w:sz w:val="24"/>
                <w:szCs w:val="24"/>
              </w:rPr>
            </w:pPr>
            <w:r w:rsidRPr="00FE0954">
              <w:rPr>
                <w:rFonts w:ascii="Times New Roman" w:hAnsi="Times New Roman" w:cs="Times New Roman"/>
                <w:sz w:val="24"/>
                <w:szCs w:val="24"/>
              </w:rPr>
              <w:t>In the Matter of the Application of Ohio Power Company to Revise Reliability Performance Standards Pursuant to O.A.C. 4901:1-10-10(B)(7).</w:t>
            </w:r>
          </w:p>
        </w:tc>
        <w:tc>
          <w:tcPr>
            <w:tcW w:w="450" w:type="dxa"/>
            <w:shd w:val="clear" w:color="auto" w:fill="auto"/>
          </w:tcPr>
          <w:p w:rsidR="00476788" w:rsidRPr="00FE0954" w:rsidP="00CA5340" w14:paraId="65B506E2" w14:textId="77777777">
            <w:pPr>
              <w:pStyle w:val="HTMLPreformatted"/>
              <w:rPr>
                <w:rFonts w:ascii="Times New Roman" w:hAnsi="Times New Roman" w:cs="Times New Roman"/>
                <w:sz w:val="24"/>
                <w:szCs w:val="24"/>
              </w:rPr>
            </w:pPr>
            <w:r w:rsidRPr="00FE0954">
              <w:rPr>
                <w:rFonts w:ascii="Times New Roman" w:hAnsi="Times New Roman" w:cs="Times New Roman"/>
                <w:sz w:val="24"/>
                <w:szCs w:val="24"/>
              </w:rPr>
              <w:t>)</w:t>
            </w:r>
          </w:p>
          <w:p w:rsidR="00476788" w:rsidRPr="00FE0954" w:rsidP="00CA5340" w14:paraId="6CD5EEDB" w14:textId="77777777">
            <w:pPr>
              <w:pStyle w:val="HTMLPreformatted"/>
              <w:rPr>
                <w:rFonts w:ascii="Times New Roman" w:hAnsi="Times New Roman" w:cs="Times New Roman"/>
                <w:sz w:val="24"/>
                <w:szCs w:val="24"/>
              </w:rPr>
            </w:pPr>
            <w:r w:rsidRPr="00FE0954">
              <w:rPr>
                <w:rFonts w:ascii="Times New Roman" w:hAnsi="Times New Roman" w:cs="Times New Roman"/>
                <w:sz w:val="24"/>
                <w:szCs w:val="24"/>
              </w:rPr>
              <w:t>)</w:t>
            </w:r>
          </w:p>
          <w:p w:rsidR="00476788" w:rsidRPr="00FE0954" w:rsidP="00CA5340" w14:paraId="663930D5" w14:textId="77777777">
            <w:pPr>
              <w:pStyle w:val="HTMLPreformatted"/>
              <w:rPr>
                <w:rFonts w:ascii="Times New Roman" w:hAnsi="Times New Roman" w:cs="Times New Roman"/>
                <w:sz w:val="24"/>
                <w:szCs w:val="24"/>
              </w:rPr>
            </w:pPr>
            <w:r w:rsidRPr="00FE0954">
              <w:rPr>
                <w:rFonts w:ascii="Times New Roman" w:hAnsi="Times New Roman" w:cs="Times New Roman"/>
                <w:sz w:val="24"/>
                <w:szCs w:val="24"/>
              </w:rPr>
              <w:t>)</w:t>
            </w:r>
          </w:p>
          <w:p w:rsidR="00476788" w:rsidRPr="00FE0954" w:rsidP="00CA5340" w14:paraId="3B133D29" w14:textId="77777777">
            <w:pPr>
              <w:pStyle w:val="HTMLPreformatted"/>
              <w:rPr>
                <w:rFonts w:ascii="Times New Roman" w:hAnsi="Times New Roman" w:cs="Times New Roman"/>
                <w:sz w:val="24"/>
                <w:szCs w:val="24"/>
              </w:rPr>
            </w:pPr>
            <w:r w:rsidRPr="00FE0954">
              <w:rPr>
                <w:rFonts w:ascii="Times New Roman" w:hAnsi="Times New Roman" w:cs="Times New Roman"/>
                <w:sz w:val="24"/>
                <w:szCs w:val="24"/>
              </w:rPr>
              <w:t>)</w:t>
            </w:r>
          </w:p>
        </w:tc>
        <w:tc>
          <w:tcPr>
            <w:tcW w:w="3960" w:type="dxa"/>
            <w:shd w:val="clear" w:color="auto" w:fill="auto"/>
          </w:tcPr>
          <w:p w:rsidR="00476788" w:rsidRPr="00FE0954" w:rsidP="00CA5340" w14:paraId="6C1E294E" w14:textId="77777777">
            <w:pPr>
              <w:pStyle w:val="HTMLPreformatted"/>
              <w:rPr>
                <w:rFonts w:ascii="Times New Roman" w:hAnsi="Times New Roman" w:cs="Times New Roman"/>
                <w:sz w:val="24"/>
                <w:szCs w:val="24"/>
              </w:rPr>
            </w:pPr>
          </w:p>
          <w:p w:rsidR="00476788" w:rsidRPr="00FE0954" w:rsidP="00CA5340" w14:paraId="5C238640" w14:textId="77777777">
            <w:pPr>
              <w:pStyle w:val="HTMLPreformatted"/>
              <w:rPr>
                <w:rFonts w:ascii="Times New Roman" w:hAnsi="Times New Roman" w:cs="Times New Roman"/>
                <w:sz w:val="24"/>
                <w:szCs w:val="24"/>
              </w:rPr>
            </w:pPr>
            <w:r w:rsidRPr="00FE0954">
              <w:rPr>
                <w:rFonts w:ascii="Times New Roman" w:hAnsi="Times New Roman" w:cs="Times New Roman"/>
                <w:sz w:val="24"/>
                <w:szCs w:val="24"/>
              </w:rPr>
              <w:t>Case No. 20-1111-EL-ESS</w:t>
            </w:r>
          </w:p>
          <w:p w:rsidR="00476788" w:rsidRPr="00FE0954" w:rsidP="00CA5340" w14:paraId="59E23B43" w14:textId="77777777">
            <w:pPr>
              <w:pStyle w:val="HTMLPreformatted"/>
              <w:rPr>
                <w:rFonts w:ascii="Times New Roman" w:hAnsi="Times New Roman" w:cs="Times New Roman"/>
                <w:sz w:val="24"/>
                <w:szCs w:val="24"/>
              </w:rPr>
            </w:pPr>
          </w:p>
        </w:tc>
      </w:tr>
    </w:tbl>
    <w:p w:rsidR="00476788" w:rsidRPr="00FE0954" w:rsidP="00476788" w14:paraId="75E777D2" w14:textId="77777777">
      <w:pPr>
        <w:pStyle w:val="HTMLPreformatted"/>
        <w:pBdr>
          <w:top w:val="single" w:sz="12" w:space="1" w:color="auto"/>
        </w:pBdr>
        <w:rPr>
          <w:rFonts w:ascii="Times New Roman" w:hAnsi="Times New Roman" w:cs="Times New Roman"/>
          <w:sz w:val="24"/>
          <w:szCs w:val="24"/>
        </w:rPr>
      </w:pPr>
    </w:p>
    <w:p w:rsidR="00476788" w:rsidRPr="00FE0954" w:rsidP="00476788" w14:paraId="4BEC9B4A" w14:textId="77777777">
      <w:pPr>
        <w:spacing w:after="0" w:line="240" w:lineRule="auto"/>
        <w:jc w:val="center"/>
        <w:rPr>
          <w:rFonts w:ascii="Times New Roman" w:hAnsi="Times New Roman" w:cs="Times New Roman"/>
          <w:b/>
          <w:bCs/>
          <w:caps/>
          <w:sz w:val="24"/>
          <w:szCs w:val="24"/>
        </w:rPr>
      </w:pPr>
      <w:r w:rsidRPr="00FE0954">
        <w:rPr>
          <w:rFonts w:ascii="Times New Roman" w:hAnsi="Times New Roman" w:cs="Times New Roman"/>
          <w:b/>
          <w:bCs/>
          <w:caps/>
          <w:sz w:val="24"/>
          <w:szCs w:val="24"/>
        </w:rPr>
        <w:t>MEMORANDUM CONTRA AEP’S MOTION FOR A PROTECTIVE ORDER</w:t>
      </w:r>
    </w:p>
    <w:p w:rsidR="00476788" w:rsidRPr="00FE0954" w:rsidP="00476788" w14:paraId="4F0E4438" w14:textId="77777777">
      <w:pPr>
        <w:spacing w:after="0" w:line="240" w:lineRule="auto"/>
        <w:jc w:val="center"/>
        <w:rPr>
          <w:rFonts w:ascii="Times New Roman" w:hAnsi="Times New Roman" w:cs="Times New Roman"/>
          <w:b/>
          <w:iCs/>
          <w:sz w:val="24"/>
          <w:szCs w:val="24"/>
        </w:rPr>
      </w:pPr>
      <w:r w:rsidRPr="00FE0954">
        <w:rPr>
          <w:rFonts w:ascii="Times New Roman" w:hAnsi="Times New Roman" w:cs="Times New Roman"/>
          <w:b/>
          <w:iCs/>
          <w:sz w:val="24"/>
          <w:szCs w:val="24"/>
        </w:rPr>
        <w:t>BY</w:t>
      </w:r>
    </w:p>
    <w:p w:rsidR="00476788" w:rsidRPr="00FE0954" w:rsidP="00476788" w14:paraId="715BE61E" w14:textId="77777777">
      <w:pPr>
        <w:spacing w:after="0" w:line="240" w:lineRule="auto"/>
        <w:jc w:val="center"/>
        <w:rPr>
          <w:rFonts w:ascii="Times New Roman" w:hAnsi="Times New Roman" w:cs="Times New Roman"/>
          <w:b/>
          <w:bCs/>
          <w:sz w:val="24"/>
          <w:szCs w:val="24"/>
        </w:rPr>
      </w:pPr>
      <w:r w:rsidRPr="00FE0954">
        <w:rPr>
          <w:rFonts w:ascii="Times New Roman" w:hAnsi="Times New Roman" w:cs="Times New Roman"/>
          <w:b/>
          <w:bCs/>
          <w:sz w:val="24"/>
          <w:szCs w:val="24"/>
        </w:rPr>
        <w:t>OFFICE OF THE OHIO CONSUMERS’ COUNSEL</w:t>
      </w:r>
    </w:p>
    <w:p w:rsidR="00476788" w:rsidRPr="00FE0954" w:rsidP="00476788" w14:paraId="6D97FB91" w14:textId="77777777">
      <w:pPr>
        <w:pBdr>
          <w:bottom w:val="single" w:sz="12" w:space="1" w:color="auto"/>
        </w:pBdr>
        <w:spacing w:after="240" w:line="240" w:lineRule="auto"/>
        <w:jc w:val="center"/>
        <w:rPr>
          <w:rFonts w:ascii="Times New Roman" w:hAnsi="Times New Roman" w:cs="Times New Roman"/>
          <w:b/>
          <w:sz w:val="24"/>
          <w:szCs w:val="24"/>
        </w:rPr>
      </w:pPr>
    </w:p>
    <w:p w:rsidR="00476788" w:rsidRPr="00FE0954" w:rsidP="00BD1DE1" w14:paraId="28C5F88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p>
    <w:p w:rsidR="00476788" w:rsidRPr="00FE0954" w:rsidP="00476788" w14:paraId="4DDD0B58" w14:textId="77777777">
      <w:pPr>
        <w:spacing w:after="0" w:line="240" w:lineRule="auto"/>
        <w:ind w:left="3690"/>
        <w:jc w:val="both"/>
        <w:rPr>
          <w:rFonts w:ascii="Times New Roman" w:hAnsi="Times New Roman" w:cs="Times New Roman"/>
          <w:sz w:val="24"/>
          <w:szCs w:val="24"/>
        </w:rPr>
      </w:pPr>
      <w:r w:rsidRPr="00FE0954">
        <w:rPr>
          <w:rFonts w:ascii="Times New Roman" w:hAnsi="Times New Roman" w:cs="Times New Roman"/>
          <w:sz w:val="24"/>
          <w:szCs w:val="24"/>
        </w:rPr>
        <w:t>Bruce Weston (0016973)</w:t>
      </w:r>
    </w:p>
    <w:p w:rsidR="00476788" w:rsidRPr="00FE0954" w:rsidP="00476788" w14:paraId="34090BCE" w14:textId="77777777">
      <w:pPr>
        <w:spacing w:after="0" w:line="240" w:lineRule="auto"/>
        <w:ind w:left="3690"/>
        <w:jc w:val="both"/>
        <w:rPr>
          <w:rFonts w:ascii="Times New Roman" w:hAnsi="Times New Roman" w:cs="Times New Roman"/>
          <w:sz w:val="24"/>
          <w:szCs w:val="24"/>
        </w:rPr>
      </w:pPr>
      <w:r w:rsidRPr="00FE0954">
        <w:rPr>
          <w:rFonts w:ascii="Times New Roman" w:hAnsi="Times New Roman" w:cs="Times New Roman"/>
          <w:sz w:val="24"/>
          <w:szCs w:val="24"/>
        </w:rPr>
        <w:t>Ohio Consumers’ Counsel</w:t>
      </w:r>
    </w:p>
    <w:p w:rsidR="00476788" w:rsidRPr="00FE0954" w:rsidP="00476788" w14:paraId="5A16B9B2" w14:textId="77777777">
      <w:pPr>
        <w:tabs>
          <w:tab w:val="left" w:pos="4320"/>
        </w:tabs>
        <w:spacing w:after="0" w:line="240" w:lineRule="auto"/>
        <w:ind w:left="3690"/>
        <w:jc w:val="both"/>
        <w:rPr>
          <w:rFonts w:ascii="Times New Roman" w:hAnsi="Times New Roman" w:cs="Times New Roman"/>
          <w:sz w:val="24"/>
          <w:szCs w:val="24"/>
        </w:rPr>
      </w:pPr>
    </w:p>
    <w:p w:rsidR="00476788" w:rsidRPr="00FE0954" w:rsidP="00476788" w14:paraId="34DED607" w14:textId="77777777">
      <w:pPr>
        <w:spacing w:after="0" w:line="240" w:lineRule="auto"/>
        <w:ind w:left="3690"/>
        <w:rPr>
          <w:rFonts w:ascii="Times New Roman" w:hAnsi="Times New Roman" w:cs="Times New Roman"/>
          <w:sz w:val="24"/>
          <w:szCs w:val="24"/>
        </w:rPr>
      </w:pPr>
      <w:r w:rsidRPr="00FE0954">
        <w:rPr>
          <w:rFonts w:ascii="Times New Roman" w:hAnsi="Times New Roman" w:cs="Times New Roman"/>
          <w:sz w:val="24"/>
          <w:szCs w:val="24"/>
        </w:rPr>
        <w:t>William J. Michael (0070921)</w:t>
      </w:r>
    </w:p>
    <w:p w:rsidR="00476788" w:rsidRPr="00FE0954" w:rsidP="00476788" w14:paraId="63C5A7C0" w14:textId="77777777">
      <w:pPr>
        <w:spacing w:after="0" w:line="240" w:lineRule="auto"/>
        <w:ind w:left="3690"/>
        <w:rPr>
          <w:rFonts w:ascii="Times New Roman" w:hAnsi="Times New Roman" w:cs="Times New Roman"/>
          <w:sz w:val="24"/>
          <w:szCs w:val="24"/>
        </w:rPr>
      </w:pPr>
      <w:r w:rsidRPr="00FE0954">
        <w:rPr>
          <w:rFonts w:ascii="Times New Roman" w:hAnsi="Times New Roman" w:cs="Times New Roman"/>
          <w:sz w:val="24"/>
          <w:szCs w:val="24"/>
        </w:rPr>
        <w:t>Counsel of Record</w:t>
      </w:r>
    </w:p>
    <w:p w:rsidR="00476788" w:rsidRPr="00FE0954" w:rsidP="00476788" w14:paraId="30C16F74" w14:textId="77777777">
      <w:pPr>
        <w:spacing w:after="0" w:line="240" w:lineRule="auto"/>
        <w:ind w:left="3690"/>
        <w:rPr>
          <w:rFonts w:ascii="Times New Roman" w:hAnsi="Times New Roman" w:cs="Times New Roman"/>
          <w:sz w:val="24"/>
          <w:szCs w:val="24"/>
        </w:rPr>
      </w:pPr>
      <w:r w:rsidRPr="00FE0954">
        <w:rPr>
          <w:rFonts w:ascii="Times New Roman" w:eastAsia="Times New Roman" w:hAnsi="Times New Roman" w:cs="Times New Roman"/>
          <w:sz w:val="24"/>
          <w:szCs w:val="24"/>
        </w:rPr>
        <w:t>Amy Botschner O’Brien (0074423)</w:t>
      </w:r>
    </w:p>
    <w:p w:rsidR="00476788" w:rsidRPr="00FE0954" w:rsidP="00476788" w14:paraId="07DD94E7" w14:textId="77777777">
      <w:pPr>
        <w:spacing w:after="0" w:line="240" w:lineRule="auto"/>
        <w:ind w:left="3690"/>
        <w:rPr>
          <w:rFonts w:ascii="Times New Roman" w:hAnsi="Times New Roman" w:cs="Times New Roman"/>
          <w:sz w:val="24"/>
          <w:szCs w:val="24"/>
        </w:rPr>
      </w:pPr>
      <w:r w:rsidRPr="00FE0954">
        <w:rPr>
          <w:rFonts w:ascii="Times New Roman" w:hAnsi="Times New Roman" w:cs="Times New Roman"/>
          <w:sz w:val="24"/>
          <w:szCs w:val="24"/>
        </w:rPr>
        <w:t>Assistant Consumers’ Counsel</w:t>
      </w:r>
    </w:p>
    <w:p w:rsidR="00476788" w:rsidRPr="00FE0954" w:rsidP="00476788" w14:paraId="5AA61AA3" w14:textId="77777777">
      <w:pPr>
        <w:spacing w:after="0" w:line="240" w:lineRule="auto"/>
        <w:ind w:left="3690"/>
        <w:rPr>
          <w:rFonts w:ascii="Times New Roman" w:hAnsi="Times New Roman" w:cs="Times New Roman"/>
          <w:sz w:val="24"/>
          <w:szCs w:val="24"/>
        </w:rPr>
      </w:pPr>
    </w:p>
    <w:p w:rsidR="00476788" w:rsidRPr="00FE0954" w:rsidP="00476788" w14:paraId="3158CC50" w14:textId="77777777">
      <w:pPr>
        <w:spacing w:after="0" w:line="240" w:lineRule="auto"/>
        <w:ind w:left="3690"/>
        <w:rPr>
          <w:rFonts w:ascii="Times New Roman" w:hAnsi="Times New Roman" w:cs="Times New Roman"/>
          <w:b/>
          <w:bCs/>
          <w:sz w:val="24"/>
          <w:szCs w:val="24"/>
        </w:rPr>
      </w:pPr>
      <w:r w:rsidRPr="00FE0954">
        <w:rPr>
          <w:rFonts w:ascii="Times New Roman" w:hAnsi="Times New Roman" w:cs="Times New Roman"/>
          <w:b/>
          <w:bCs/>
          <w:sz w:val="24"/>
          <w:szCs w:val="24"/>
        </w:rPr>
        <w:t>Office of the Ohio Consumers’ Counsel</w:t>
      </w:r>
    </w:p>
    <w:p w:rsidR="00476788" w:rsidRPr="00FE0954" w:rsidP="00476788" w14:paraId="36A2DE86" w14:textId="77777777">
      <w:pPr>
        <w:spacing w:after="0" w:line="240" w:lineRule="auto"/>
        <w:ind w:left="3690"/>
        <w:rPr>
          <w:rFonts w:ascii="Times New Roman" w:hAnsi="Times New Roman" w:cs="Times New Roman"/>
          <w:b/>
          <w:sz w:val="24"/>
          <w:szCs w:val="24"/>
        </w:rPr>
      </w:pPr>
      <w:r w:rsidRPr="00FE0954">
        <w:rPr>
          <w:rFonts w:ascii="Times New Roman" w:hAnsi="Times New Roman" w:cs="Times New Roman"/>
          <w:sz w:val="24"/>
          <w:szCs w:val="24"/>
        </w:rPr>
        <w:t>65 East State Street, Suite 700</w:t>
      </w:r>
    </w:p>
    <w:p w:rsidR="00476788" w:rsidRPr="00FE0954" w:rsidP="00476788" w14:paraId="213F7CC5" w14:textId="77777777">
      <w:pPr>
        <w:spacing w:after="0" w:line="240" w:lineRule="auto"/>
        <w:ind w:left="3690"/>
        <w:rPr>
          <w:rFonts w:ascii="Times New Roman" w:hAnsi="Times New Roman" w:cs="Times New Roman"/>
          <w:b/>
          <w:sz w:val="24"/>
          <w:szCs w:val="24"/>
        </w:rPr>
      </w:pPr>
      <w:r w:rsidRPr="00FE0954">
        <w:rPr>
          <w:rFonts w:ascii="Times New Roman" w:hAnsi="Times New Roman" w:cs="Times New Roman"/>
          <w:sz w:val="24"/>
          <w:szCs w:val="24"/>
        </w:rPr>
        <w:t>Columbus, Ohio 43215</w:t>
      </w:r>
    </w:p>
    <w:p w:rsidR="00476788" w:rsidRPr="00FE0954" w:rsidP="00476788" w14:paraId="1BA24CFD" w14:textId="77777777">
      <w:pPr>
        <w:spacing w:after="0" w:line="240" w:lineRule="auto"/>
        <w:ind w:left="3690"/>
        <w:rPr>
          <w:rFonts w:ascii="Times New Roman" w:hAnsi="Times New Roman" w:cs="Times New Roman"/>
          <w:sz w:val="24"/>
          <w:szCs w:val="24"/>
        </w:rPr>
      </w:pPr>
      <w:r w:rsidRPr="00FE0954">
        <w:rPr>
          <w:rFonts w:ascii="Times New Roman" w:hAnsi="Times New Roman" w:cs="Times New Roman"/>
          <w:sz w:val="24"/>
          <w:szCs w:val="24"/>
        </w:rPr>
        <w:t>Telephone [Michael]: (614) 466-1291</w:t>
      </w:r>
    </w:p>
    <w:p w:rsidR="00476788" w:rsidRPr="00FE0954" w:rsidP="00476788" w14:paraId="3C703AF6" w14:textId="77777777">
      <w:pPr>
        <w:tabs>
          <w:tab w:val="left" w:pos="3690"/>
        </w:tabs>
        <w:autoSpaceDE w:val="0"/>
        <w:autoSpaceDN w:val="0"/>
        <w:adjustRightInd w:val="0"/>
        <w:spacing w:after="0" w:line="240" w:lineRule="auto"/>
        <w:ind w:left="3690"/>
        <w:rPr>
          <w:rFonts w:ascii="Times New Roman" w:eastAsia="Times New Roman" w:hAnsi="Times New Roman" w:cs="Times New Roman"/>
          <w:sz w:val="24"/>
          <w:szCs w:val="24"/>
        </w:rPr>
      </w:pPr>
      <w:r w:rsidRPr="00FE0954">
        <w:rPr>
          <w:rFonts w:ascii="Times New Roman" w:eastAsia="Times New Roman" w:hAnsi="Times New Roman" w:cs="Times New Roman"/>
          <w:sz w:val="24"/>
          <w:szCs w:val="24"/>
        </w:rPr>
        <w:t>Telephone [Botschner O’Brien]: (614) 466-9575</w:t>
      </w:r>
    </w:p>
    <w:p w:rsidR="00476788" w:rsidRPr="00FE0954" w:rsidP="00476788" w14:paraId="3892B9EC" w14:textId="77777777">
      <w:pPr>
        <w:spacing w:after="0" w:line="240" w:lineRule="auto"/>
        <w:ind w:left="3690"/>
        <w:rPr>
          <w:rFonts w:ascii="Times New Roman" w:hAnsi="Times New Roman" w:cs="Times New Roman"/>
          <w:color w:val="0000FF"/>
          <w:sz w:val="24"/>
          <w:szCs w:val="24"/>
          <w:u w:val="single"/>
        </w:rPr>
      </w:pPr>
      <w:hyperlink r:id="rId6" w:history="1">
        <w:r w:rsidRPr="00FE0954">
          <w:rPr>
            <w:rFonts w:ascii="Times New Roman" w:hAnsi="Times New Roman" w:cs="Times New Roman"/>
            <w:color w:val="0000FF"/>
            <w:sz w:val="24"/>
            <w:szCs w:val="24"/>
            <w:u w:val="single"/>
          </w:rPr>
          <w:t>william.michael@occ.ohio.gov</w:t>
        </w:r>
      </w:hyperlink>
    </w:p>
    <w:p w:rsidR="00476788" w:rsidRPr="00FE0954" w:rsidP="00476788" w14:paraId="44E6D87C" w14:textId="77777777">
      <w:pPr>
        <w:spacing w:after="0" w:line="240" w:lineRule="auto"/>
        <w:ind w:left="3690"/>
        <w:rPr>
          <w:rFonts w:ascii="Times New Roman" w:hAnsi="Times New Roman" w:cs="Times New Roman"/>
          <w:color w:val="0000FF"/>
          <w:sz w:val="24"/>
          <w:szCs w:val="24"/>
          <w:u w:val="single"/>
        </w:rPr>
      </w:pPr>
      <w:hyperlink r:id="rId7" w:history="1">
        <w:r w:rsidRPr="00FE0954">
          <w:rPr>
            <w:rFonts w:ascii="Times New Roman" w:eastAsia="Times New Roman" w:hAnsi="Times New Roman" w:cs="Times New Roman"/>
            <w:color w:val="0000FF"/>
            <w:sz w:val="24"/>
            <w:szCs w:val="24"/>
            <w:u w:val="single"/>
          </w:rPr>
          <w:t>amy.botschner.obrien@occ.ohio.gov</w:t>
        </w:r>
      </w:hyperlink>
    </w:p>
    <w:p w:rsidR="00476788" w:rsidRPr="00FE0954" w:rsidP="00476788" w14:paraId="60E024D0" w14:textId="2B2250EA">
      <w:pPr>
        <w:spacing w:after="0" w:line="240" w:lineRule="auto"/>
        <w:ind w:left="3690" w:hanging="3690"/>
        <w:rPr>
          <w:rFonts w:ascii="Times New Roman" w:hAnsi="Times New Roman" w:cs="Times New Roman"/>
          <w:color w:val="0000FF"/>
          <w:sz w:val="24"/>
          <w:szCs w:val="24"/>
          <w:u w:val="single"/>
        </w:rPr>
        <w:sectPr w:rsidSect="00DE55E2">
          <w:footerReference w:type="default" r:id="rId8"/>
          <w:pgSz w:w="12240" w:h="15840"/>
          <w:pgMar w:top="1440" w:right="1800" w:bottom="1440" w:left="1800" w:header="720" w:footer="720" w:gutter="0"/>
          <w:pgNumType w:start="1"/>
          <w:cols w:space="720"/>
          <w:docGrid w:linePitch="360"/>
        </w:sectPr>
      </w:pPr>
      <w:r w:rsidRPr="00FE0954">
        <w:rPr>
          <w:rFonts w:ascii="Times New Roman" w:hAnsi="Times New Roman" w:cs="Times New Roman"/>
          <w:sz w:val="24"/>
          <w:szCs w:val="24"/>
        </w:rPr>
        <w:t>September 19, 2022</w:t>
      </w:r>
      <w:r w:rsidRPr="00FE0954">
        <w:rPr>
          <w:rFonts w:ascii="Times New Roman" w:hAnsi="Times New Roman" w:cs="Times New Roman"/>
          <w:sz w:val="24"/>
          <w:szCs w:val="24"/>
        </w:rPr>
        <w:tab/>
        <w:t>(willing to accept service by e-mail)</w:t>
      </w:r>
    </w:p>
    <w:p w:rsidR="00C7683A" w:rsidRPr="00FE0954" w:rsidP="00C7683A" w14:paraId="6616A3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u w:val="single"/>
        </w:rPr>
      </w:pPr>
      <w:r w:rsidRPr="00FE0954">
        <w:rPr>
          <w:rFonts w:ascii="Times New Roman" w:eastAsia="Courier New" w:hAnsi="Times New Roman" w:cs="Times New Roman"/>
          <w:b/>
          <w:bCs/>
          <w:sz w:val="24"/>
          <w:szCs w:val="24"/>
          <w:u w:val="single"/>
        </w:rPr>
        <w:t>TABLE OF CONTENTS</w:t>
      </w:r>
    </w:p>
    <w:p w:rsidR="00C7683A" w:rsidRPr="00FE0954" w:rsidP="00C7683A" w14:paraId="0D993E3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u w:val="single"/>
        </w:rPr>
      </w:pPr>
    </w:p>
    <w:p w:rsidR="00C7683A" w:rsidRPr="00FE0954" w:rsidP="00C7683A" w14:paraId="4AF3764D" w14:textId="0104E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b/>
          <w:bCs/>
          <w:sz w:val="24"/>
          <w:szCs w:val="24"/>
        </w:rPr>
      </w:pPr>
      <w:r w:rsidRPr="00FE0954">
        <w:rPr>
          <w:rFonts w:ascii="Times New Roman" w:eastAsia="Courier New" w:hAnsi="Times New Roman" w:cs="Times New Roman"/>
          <w:b/>
          <w:bCs/>
          <w:sz w:val="24"/>
          <w:szCs w:val="24"/>
        </w:rPr>
        <w:t>P</w:t>
      </w:r>
      <w:r w:rsidR="00145A8F">
        <w:rPr>
          <w:rFonts w:ascii="Times New Roman" w:eastAsia="Courier New" w:hAnsi="Times New Roman" w:cs="Times New Roman"/>
          <w:b/>
          <w:bCs/>
          <w:sz w:val="24"/>
          <w:szCs w:val="24"/>
        </w:rPr>
        <w:t>AGE</w:t>
      </w:r>
    </w:p>
    <w:p w:rsidR="00C7683A" w:rsidRPr="00FE0954" w:rsidP="00C7683A" w14:paraId="790E51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b/>
          <w:bCs/>
          <w:sz w:val="24"/>
          <w:szCs w:val="24"/>
        </w:rPr>
      </w:pPr>
    </w:p>
    <w:p w:rsidR="006221D5" w14:paraId="248DB94F" w14:textId="773DEC3C">
      <w:pPr>
        <w:pStyle w:val="TOC1"/>
        <w:rPr>
          <w:rFonts w:asciiTheme="minorHAnsi" w:eastAsiaTheme="minorEastAsia" w:hAnsiTheme="minorHAnsi"/>
          <w:caps w:val="0"/>
          <w:noProof/>
          <w:sz w:val="22"/>
        </w:rPr>
      </w:pPr>
      <w:r w:rsidRPr="00FE0954">
        <w:rPr>
          <w:rFonts w:eastAsia="Courier New" w:cs="Times New Roman"/>
          <w:b/>
          <w:bCs/>
          <w:szCs w:val="24"/>
        </w:rPr>
        <w:fldChar w:fldCharType="begin"/>
      </w:r>
      <w:r w:rsidRPr="00FE0954">
        <w:rPr>
          <w:rFonts w:eastAsia="Courier New" w:cs="Times New Roman"/>
          <w:b/>
          <w:bCs/>
          <w:szCs w:val="24"/>
        </w:rPr>
        <w:instrText xml:space="preserve"> TOC \o "1-3" \h \z \u </w:instrText>
      </w:r>
      <w:r w:rsidRPr="00FE0954">
        <w:rPr>
          <w:rFonts w:eastAsia="Courier New" w:cs="Times New Roman"/>
          <w:b/>
          <w:bCs/>
          <w:szCs w:val="24"/>
        </w:rPr>
        <w:fldChar w:fldCharType="separate"/>
      </w:r>
      <w:hyperlink w:anchor="_Toc114492657" w:history="1">
        <w:r w:rsidRPr="008D0FFA">
          <w:rPr>
            <w:rStyle w:val="Hyperlink"/>
            <w:rFonts w:cs="Times New Roman"/>
            <w:noProof/>
          </w:rPr>
          <w:t>I.</w:t>
        </w:r>
        <w:r>
          <w:rPr>
            <w:rFonts w:asciiTheme="minorHAnsi" w:eastAsiaTheme="minorEastAsia" w:hAnsiTheme="minorHAnsi"/>
            <w:caps w:val="0"/>
            <w:noProof/>
            <w:sz w:val="22"/>
          </w:rPr>
          <w:tab/>
        </w:r>
        <w:r w:rsidRPr="008D0FFA">
          <w:rPr>
            <w:rStyle w:val="Hyperlink"/>
            <w:rFonts w:cs="Times New Roman"/>
            <w:noProof/>
          </w:rPr>
          <w:t>Introduction</w:t>
        </w:r>
        <w:r>
          <w:rPr>
            <w:noProof/>
            <w:webHidden/>
          </w:rPr>
          <w:tab/>
        </w:r>
        <w:r>
          <w:rPr>
            <w:noProof/>
            <w:webHidden/>
          </w:rPr>
          <w:fldChar w:fldCharType="begin"/>
        </w:r>
        <w:r>
          <w:rPr>
            <w:noProof/>
            <w:webHidden/>
          </w:rPr>
          <w:instrText xml:space="preserve"> PAGEREF _Toc114492657 \h </w:instrText>
        </w:r>
        <w:r>
          <w:rPr>
            <w:noProof/>
            <w:webHidden/>
          </w:rPr>
          <w:fldChar w:fldCharType="separate"/>
        </w:r>
        <w:r>
          <w:rPr>
            <w:noProof/>
            <w:webHidden/>
          </w:rPr>
          <w:t>1</w:t>
        </w:r>
        <w:r>
          <w:rPr>
            <w:noProof/>
            <w:webHidden/>
          </w:rPr>
          <w:fldChar w:fldCharType="end"/>
        </w:r>
      </w:hyperlink>
    </w:p>
    <w:p w:rsidR="006221D5" w14:paraId="6C0AD604" w14:textId="26D1849F">
      <w:pPr>
        <w:pStyle w:val="TOC1"/>
        <w:rPr>
          <w:rFonts w:asciiTheme="minorHAnsi" w:eastAsiaTheme="minorEastAsia" w:hAnsiTheme="minorHAnsi"/>
          <w:caps w:val="0"/>
          <w:noProof/>
          <w:sz w:val="22"/>
        </w:rPr>
      </w:pPr>
      <w:hyperlink w:anchor="_Toc114492658" w:history="1">
        <w:r w:rsidRPr="008D0FFA">
          <w:rPr>
            <w:rStyle w:val="Hyperlink"/>
            <w:rFonts w:cs="Times New Roman"/>
            <w:noProof/>
          </w:rPr>
          <w:t>II.</w:t>
        </w:r>
        <w:r>
          <w:rPr>
            <w:rFonts w:asciiTheme="minorHAnsi" w:eastAsiaTheme="minorEastAsia" w:hAnsiTheme="minorHAnsi"/>
            <w:caps w:val="0"/>
            <w:noProof/>
            <w:sz w:val="22"/>
          </w:rPr>
          <w:tab/>
        </w:r>
        <w:r w:rsidRPr="008D0FFA">
          <w:rPr>
            <w:rStyle w:val="Hyperlink"/>
            <w:rFonts w:cs="Times New Roman"/>
            <w:noProof/>
          </w:rPr>
          <w:t xml:space="preserve">Standard Governing OCC’s Consumer Protection Discovery and AEP’s Effort To Prevent OCC’s </w:t>
        </w:r>
        <w:r>
          <w:rPr>
            <w:rStyle w:val="Hyperlink"/>
            <w:rFonts w:cs="Times New Roman"/>
            <w:noProof/>
          </w:rPr>
          <w:br/>
        </w:r>
        <w:r w:rsidRPr="008D0FFA">
          <w:rPr>
            <w:rStyle w:val="Hyperlink"/>
            <w:rFonts w:cs="Times New Roman"/>
            <w:noProof/>
          </w:rPr>
          <w:t>Fact-Finding</w:t>
        </w:r>
        <w:r>
          <w:rPr>
            <w:noProof/>
            <w:webHidden/>
          </w:rPr>
          <w:tab/>
        </w:r>
        <w:r>
          <w:rPr>
            <w:noProof/>
            <w:webHidden/>
          </w:rPr>
          <w:fldChar w:fldCharType="begin"/>
        </w:r>
        <w:r>
          <w:rPr>
            <w:noProof/>
            <w:webHidden/>
          </w:rPr>
          <w:instrText xml:space="preserve"> PAGEREF _Toc114492658 \h </w:instrText>
        </w:r>
        <w:r>
          <w:rPr>
            <w:noProof/>
            <w:webHidden/>
          </w:rPr>
          <w:fldChar w:fldCharType="separate"/>
        </w:r>
        <w:r>
          <w:rPr>
            <w:noProof/>
            <w:webHidden/>
          </w:rPr>
          <w:t>2</w:t>
        </w:r>
        <w:r>
          <w:rPr>
            <w:noProof/>
            <w:webHidden/>
          </w:rPr>
          <w:fldChar w:fldCharType="end"/>
        </w:r>
      </w:hyperlink>
    </w:p>
    <w:p w:rsidR="006221D5" w14:paraId="76C14F99" w14:textId="2EB6659B">
      <w:pPr>
        <w:pStyle w:val="TOC1"/>
        <w:rPr>
          <w:rFonts w:asciiTheme="minorHAnsi" w:eastAsiaTheme="minorEastAsia" w:hAnsiTheme="minorHAnsi"/>
          <w:caps w:val="0"/>
          <w:noProof/>
          <w:sz w:val="22"/>
        </w:rPr>
      </w:pPr>
      <w:hyperlink w:anchor="_Toc114492659" w:history="1">
        <w:r w:rsidRPr="008D0FFA">
          <w:rPr>
            <w:rStyle w:val="Hyperlink"/>
            <w:rFonts w:cs="Times New Roman"/>
            <w:noProof/>
          </w:rPr>
          <w:t>III.</w:t>
        </w:r>
        <w:r>
          <w:rPr>
            <w:rFonts w:asciiTheme="minorHAnsi" w:eastAsiaTheme="minorEastAsia" w:hAnsiTheme="minorHAnsi"/>
            <w:caps w:val="0"/>
            <w:noProof/>
            <w:sz w:val="22"/>
          </w:rPr>
          <w:tab/>
        </w:r>
        <w:r w:rsidRPr="008D0FFA">
          <w:rPr>
            <w:rStyle w:val="Hyperlink"/>
            <w:rFonts w:cs="Times New Roman"/>
            <w:noProof/>
          </w:rPr>
          <w:t>Recommendations</w:t>
        </w:r>
        <w:r>
          <w:rPr>
            <w:noProof/>
            <w:webHidden/>
          </w:rPr>
          <w:tab/>
        </w:r>
        <w:r>
          <w:rPr>
            <w:noProof/>
            <w:webHidden/>
          </w:rPr>
          <w:fldChar w:fldCharType="begin"/>
        </w:r>
        <w:r>
          <w:rPr>
            <w:noProof/>
            <w:webHidden/>
          </w:rPr>
          <w:instrText xml:space="preserve"> PAGEREF _Toc114492659 \h </w:instrText>
        </w:r>
        <w:r>
          <w:rPr>
            <w:noProof/>
            <w:webHidden/>
          </w:rPr>
          <w:fldChar w:fldCharType="separate"/>
        </w:r>
        <w:r>
          <w:rPr>
            <w:noProof/>
            <w:webHidden/>
          </w:rPr>
          <w:t>3</w:t>
        </w:r>
        <w:r>
          <w:rPr>
            <w:noProof/>
            <w:webHidden/>
          </w:rPr>
          <w:fldChar w:fldCharType="end"/>
        </w:r>
      </w:hyperlink>
    </w:p>
    <w:p w:rsidR="006221D5" w14:paraId="711797A4" w14:textId="4ED983EE">
      <w:pPr>
        <w:pStyle w:val="TOC2"/>
        <w:tabs>
          <w:tab w:val="left" w:pos="1440"/>
        </w:tabs>
        <w:rPr>
          <w:rFonts w:asciiTheme="minorHAnsi" w:eastAsiaTheme="minorEastAsia" w:hAnsiTheme="minorHAnsi"/>
          <w:noProof/>
          <w:sz w:val="22"/>
        </w:rPr>
      </w:pPr>
      <w:hyperlink w:anchor="_Toc114492660" w:history="1">
        <w:r w:rsidRPr="008D0FFA">
          <w:rPr>
            <w:rStyle w:val="Hyperlink"/>
            <w:rFonts w:cs="Times New Roman"/>
            <w:noProof/>
          </w:rPr>
          <w:t>A.</w:t>
        </w:r>
        <w:r>
          <w:rPr>
            <w:rFonts w:asciiTheme="minorHAnsi" w:eastAsiaTheme="minorEastAsia" w:hAnsiTheme="minorHAnsi"/>
            <w:noProof/>
            <w:sz w:val="22"/>
          </w:rPr>
          <w:tab/>
        </w:r>
        <w:r w:rsidRPr="008D0FFA">
          <w:rPr>
            <w:rStyle w:val="Hyperlink"/>
            <w:rFonts w:cs="Times New Roman"/>
            <w:noProof/>
          </w:rPr>
          <w:t xml:space="preserve">Contrary to AEP’s assertions, OCC’s consumer protection </w:t>
        </w:r>
        <w:r>
          <w:rPr>
            <w:rStyle w:val="Hyperlink"/>
            <w:rFonts w:cs="Times New Roman"/>
            <w:noProof/>
          </w:rPr>
          <w:br/>
        </w:r>
        <w:r w:rsidRPr="008D0FFA">
          <w:rPr>
            <w:rStyle w:val="Hyperlink"/>
            <w:rFonts w:cs="Times New Roman"/>
            <w:noProof/>
          </w:rPr>
          <w:t>discovery is limited in time and scope and is not overly broad or burdensome.</w:t>
        </w:r>
        <w:r>
          <w:rPr>
            <w:noProof/>
            <w:webHidden/>
          </w:rPr>
          <w:tab/>
        </w:r>
        <w:r>
          <w:rPr>
            <w:noProof/>
            <w:webHidden/>
          </w:rPr>
          <w:fldChar w:fldCharType="begin"/>
        </w:r>
        <w:r>
          <w:rPr>
            <w:noProof/>
            <w:webHidden/>
          </w:rPr>
          <w:instrText xml:space="preserve"> PAGEREF _Toc114492660 \h </w:instrText>
        </w:r>
        <w:r>
          <w:rPr>
            <w:noProof/>
            <w:webHidden/>
          </w:rPr>
          <w:fldChar w:fldCharType="separate"/>
        </w:r>
        <w:r>
          <w:rPr>
            <w:noProof/>
            <w:webHidden/>
          </w:rPr>
          <w:t>3</w:t>
        </w:r>
        <w:r>
          <w:rPr>
            <w:noProof/>
            <w:webHidden/>
          </w:rPr>
          <w:fldChar w:fldCharType="end"/>
        </w:r>
      </w:hyperlink>
    </w:p>
    <w:p w:rsidR="006221D5" w14:paraId="3121608C" w14:textId="69FD5415">
      <w:pPr>
        <w:pStyle w:val="TOC2"/>
        <w:tabs>
          <w:tab w:val="left" w:pos="1440"/>
        </w:tabs>
        <w:rPr>
          <w:rFonts w:asciiTheme="minorHAnsi" w:eastAsiaTheme="minorEastAsia" w:hAnsiTheme="minorHAnsi"/>
          <w:noProof/>
          <w:sz w:val="22"/>
        </w:rPr>
      </w:pPr>
      <w:hyperlink w:anchor="_Toc114492661" w:history="1">
        <w:r w:rsidRPr="008D0FFA">
          <w:rPr>
            <w:rStyle w:val="Hyperlink"/>
            <w:rFonts w:cs="Times New Roman"/>
            <w:noProof/>
          </w:rPr>
          <w:t>B.</w:t>
        </w:r>
        <w:r>
          <w:rPr>
            <w:rFonts w:asciiTheme="minorHAnsi" w:eastAsiaTheme="minorEastAsia" w:hAnsiTheme="minorHAnsi"/>
            <w:noProof/>
            <w:sz w:val="22"/>
          </w:rPr>
          <w:tab/>
        </w:r>
        <w:r w:rsidRPr="008D0FFA">
          <w:rPr>
            <w:rStyle w:val="Hyperlink"/>
            <w:rFonts w:cs="Times New Roman"/>
            <w:noProof/>
          </w:rPr>
          <w:t xml:space="preserve">Contrary to AEP’s assertion, OCC’s consumer protection </w:t>
        </w:r>
        <w:r>
          <w:rPr>
            <w:rStyle w:val="Hyperlink"/>
            <w:rFonts w:cs="Times New Roman"/>
            <w:noProof/>
          </w:rPr>
          <w:br/>
        </w:r>
        <w:r w:rsidRPr="008D0FFA">
          <w:rPr>
            <w:rStyle w:val="Hyperlink"/>
            <w:rFonts w:cs="Times New Roman"/>
            <w:noProof/>
          </w:rPr>
          <w:t xml:space="preserve">discovery is relevant and reasonably calculated to lead to the </w:t>
        </w:r>
        <w:r>
          <w:rPr>
            <w:rStyle w:val="Hyperlink"/>
            <w:rFonts w:cs="Times New Roman"/>
            <w:noProof/>
          </w:rPr>
          <w:br/>
        </w:r>
        <w:r w:rsidRPr="008D0FFA">
          <w:rPr>
            <w:rStyle w:val="Hyperlink"/>
            <w:rFonts w:cs="Times New Roman"/>
            <w:noProof/>
          </w:rPr>
          <w:t>discovery of admissible evidence.</w:t>
        </w:r>
        <w:r>
          <w:rPr>
            <w:noProof/>
            <w:webHidden/>
          </w:rPr>
          <w:tab/>
        </w:r>
        <w:r>
          <w:rPr>
            <w:noProof/>
            <w:webHidden/>
          </w:rPr>
          <w:fldChar w:fldCharType="begin"/>
        </w:r>
        <w:r>
          <w:rPr>
            <w:noProof/>
            <w:webHidden/>
          </w:rPr>
          <w:instrText xml:space="preserve"> PAGEREF _Toc114492661 \h </w:instrText>
        </w:r>
        <w:r>
          <w:rPr>
            <w:noProof/>
            <w:webHidden/>
          </w:rPr>
          <w:fldChar w:fldCharType="separate"/>
        </w:r>
        <w:r>
          <w:rPr>
            <w:noProof/>
            <w:webHidden/>
          </w:rPr>
          <w:t>5</w:t>
        </w:r>
        <w:r>
          <w:rPr>
            <w:noProof/>
            <w:webHidden/>
          </w:rPr>
          <w:fldChar w:fldCharType="end"/>
        </w:r>
      </w:hyperlink>
    </w:p>
    <w:p w:rsidR="006221D5" w14:paraId="688198F9" w14:textId="368FA350">
      <w:pPr>
        <w:pStyle w:val="TOC2"/>
        <w:tabs>
          <w:tab w:val="left" w:pos="1440"/>
        </w:tabs>
        <w:rPr>
          <w:rFonts w:asciiTheme="minorHAnsi" w:eastAsiaTheme="minorEastAsia" w:hAnsiTheme="minorHAnsi"/>
          <w:noProof/>
          <w:sz w:val="22"/>
        </w:rPr>
      </w:pPr>
      <w:hyperlink w:anchor="_Toc114492662" w:history="1">
        <w:r w:rsidRPr="008D0FFA">
          <w:rPr>
            <w:rStyle w:val="Hyperlink"/>
            <w:rFonts w:cs="Times New Roman"/>
            <w:noProof/>
          </w:rPr>
          <w:t>C.</w:t>
        </w:r>
        <w:r>
          <w:rPr>
            <w:rFonts w:asciiTheme="minorHAnsi" w:eastAsiaTheme="minorEastAsia" w:hAnsiTheme="minorHAnsi"/>
            <w:noProof/>
            <w:sz w:val="22"/>
          </w:rPr>
          <w:tab/>
        </w:r>
        <w:r w:rsidRPr="008D0FFA">
          <w:rPr>
            <w:rStyle w:val="Hyperlink"/>
            <w:rFonts w:cs="Times New Roman"/>
            <w:noProof/>
          </w:rPr>
          <w:t xml:space="preserve">Contrary to AEP’s assertions, OCC’s consumer protection </w:t>
        </w:r>
        <w:r>
          <w:rPr>
            <w:rStyle w:val="Hyperlink"/>
            <w:rFonts w:cs="Times New Roman"/>
            <w:noProof/>
          </w:rPr>
          <w:br/>
        </w:r>
        <w:r w:rsidRPr="008D0FFA">
          <w:rPr>
            <w:rStyle w:val="Hyperlink"/>
            <w:rFonts w:cs="Times New Roman"/>
            <w:noProof/>
          </w:rPr>
          <w:t>discovery about transmission infrastructure is not irrelevant.</w:t>
        </w:r>
        <w:r>
          <w:rPr>
            <w:noProof/>
            <w:webHidden/>
          </w:rPr>
          <w:tab/>
        </w:r>
        <w:r>
          <w:rPr>
            <w:noProof/>
            <w:webHidden/>
          </w:rPr>
          <w:fldChar w:fldCharType="begin"/>
        </w:r>
        <w:r>
          <w:rPr>
            <w:noProof/>
            <w:webHidden/>
          </w:rPr>
          <w:instrText xml:space="preserve"> PAGEREF _Toc114492662 \h </w:instrText>
        </w:r>
        <w:r>
          <w:rPr>
            <w:noProof/>
            <w:webHidden/>
          </w:rPr>
          <w:fldChar w:fldCharType="separate"/>
        </w:r>
        <w:r>
          <w:rPr>
            <w:noProof/>
            <w:webHidden/>
          </w:rPr>
          <w:t>8</w:t>
        </w:r>
        <w:r>
          <w:rPr>
            <w:noProof/>
            <w:webHidden/>
          </w:rPr>
          <w:fldChar w:fldCharType="end"/>
        </w:r>
      </w:hyperlink>
    </w:p>
    <w:p w:rsidR="006221D5" w14:paraId="4ED6788D" w14:textId="6D3F0C8E">
      <w:pPr>
        <w:pStyle w:val="TOC1"/>
        <w:rPr>
          <w:rFonts w:asciiTheme="minorHAnsi" w:eastAsiaTheme="minorEastAsia" w:hAnsiTheme="minorHAnsi"/>
          <w:caps w:val="0"/>
          <w:noProof/>
          <w:sz w:val="22"/>
        </w:rPr>
      </w:pPr>
      <w:hyperlink w:anchor="_Toc114492663" w:history="1">
        <w:r w:rsidRPr="008D0FFA">
          <w:rPr>
            <w:rStyle w:val="Hyperlink"/>
            <w:rFonts w:cs="Times New Roman"/>
            <w:noProof/>
          </w:rPr>
          <w:t>IV.</w:t>
        </w:r>
        <w:r>
          <w:rPr>
            <w:rFonts w:asciiTheme="minorHAnsi" w:eastAsiaTheme="minorEastAsia" w:hAnsiTheme="minorHAnsi"/>
            <w:caps w:val="0"/>
            <w:noProof/>
            <w:sz w:val="22"/>
          </w:rPr>
          <w:tab/>
        </w:r>
        <w:r w:rsidRPr="008D0FFA">
          <w:rPr>
            <w:rStyle w:val="Hyperlink"/>
            <w:rFonts w:cs="Times New Roman"/>
            <w:noProof/>
          </w:rPr>
          <w:t>Conclusion</w:t>
        </w:r>
        <w:r>
          <w:rPr>
            <w:noProof/>
            <w:webHidden/>
          </w:rPr>
          <w:tab/>
        </w:r>
        <w:r>
          <w:rPr>
            <w:noProof/>
            <w:webHidden/>
          </w:rPr>
          <w:fldChar w:fldCharType="begin"/>
        </w:r>
        <w:r>
          <w:rPr>
            <w:noProof/>
            <w:webHidden/>
          </w:rPr>
          <w:instrText xml:space="preserve"> PAGEREF _Toc114492663 \h </w:instrText>
        </w:r>
        <w:r>
          <w:rPr>
            <w:noProof/>
            <w:webHidden/>
          </w:rPr>
          <w:fldChar w:fldCharType="separate"/>
        </w:r>
        <w:r>
          <w:rPr>
            <w:noProof/>
            <w:webHidden/>
          </w:rPr>
          <w:t>8</w:t>
        </w:r>
        <w:r>
          <w:rPr>
            <w:noProof/>
            <w:webHidden/>
          </w:rPr>
          <w:fldChar w:fldCharType="end"/>
        </w:r>
      </w:hyperlink>
    </w:p>
    <w:p w:rsidR="00476788" w:rsidRPr="00FE0954" w:rsidP="00C7683A" w14:paraId="04A13007" w14:textId="14DB8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sectPr w:rsidSect="00410F78">
          <w:footerReference w:type="default" r:id="rId9"/>
          <w:pgSz w:w="12240" w:h="15840"/>
          <w:pgMar w:top="1440" w:right="1800" w:bottom="1440" w:left="1800" w:header="720" w:footer="720" w:gutter="0"/>
          <w:pgNumType w:fmt="lowerRoman" w:start="1"/>
          <w:cols w:space="720"/>
          <w:docGrid w:linePitch="360"/>
        </w:sectPr>
      </w:pPr>
      <w:r w:rsidRPr="00FE0954">
        <w:rPr>
          <w:rFonts w:ascii="Times New Roman" w:eastAsia="Courier New" w:hAnsi="Times New Roman" w:cs="Times New Roman"/>
          <w:b/>
          <w:bCs/>
          <w:sz w:val="24"/>
          <w:szCs w:val="24"/>
        </w:rPr>
        <w:fldChar w:fldCharType="end"/>
      </w:r>
    </w:p>
    <w:p w:rsidR="003E3888" w:rsidRPr="00FE0954" w14:paraId="07CC92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FE0954">
        <w:rPr>
          <w:rFonts w:ascii="Times New Roman" w:eastAsia="Courier New" w:hAnsi="Times New Roman" w:cs="Times New Roman"/>
          <w:b/>
          <w:bCs/>
          <w:sz w:val="24"/>
          <w:szCs w:val="24"/>
        </w:rPr>
        <w:t>BEFORE</w:t>
      </w:r>
    </w:p>
    <w:p w:rsidR="003E3888" w:rsidRPr="00FE0954" w14:paraId="4E1E2A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FE0954">
        <w:rPr>
          <w:rFonts w:ascii="Times New Roman" w:eastAsia="Courier New" w:hAnsi="Times New Roman" w:cs="Times New Roman"/>
          <w:b/>
          <w:bCs/>
          <w:sz w:val="24"/>
          <w:szCs w:val="24"/>
        </w:rPr>
        <w:t>THE PUBLIC UTILITIES COMMISSION OF OHIO</w:t>
      </w:r>
    </w:p>
    <w:p w:rsidR="00C13D01" w:rsidRPr="00FE0954" w:rsidP="00C13D01" w14:paraId="7E1469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tbl>
      <w:tblPr>
        <w:tblW w:w="8640" w:type="dxa"/>
        <w:tblLook w:val="01E0"/>
      </w:tblPr>
      <w:tblGrid>
        <w:gridCol w:w="4230"/>
        <w:gridCol w:w="450"/>
        <w:gridCol w:w="3960"/>
      </w:tblGrid>
      <w:tr w14:paraId="30B21886" w14:textId="77777777" w:rsidTr="000744C5">
        <w:tblPrEx>
          <w:tblW w:w="8640" w:type="dxa"/>
          <w:tblLook w:val="01E0"/>
        </w:tblPrEx>
        <w:trPr>
          <w:trHeight w:val="807"/>
        </w:trPr>
        <w:tc>
          <w:tcPr>
            <w:tcW w:w="4230" w:type="dxa"/>
            <w:shd w:val="clear" w:color="auto" w:fill="auto"/>
          </w:tcPr>
          <w:p w:rsidR="00C13D01" w:rsidRPr="00FE0954" w:rsidP="000744C5" w14:paraId="701A8E1D" w14:textId="77777777">
            <w:pPr>
              <w:autoSpaceDE w:val="0"/>
              <w:autoSpaceDN w:val="0"/>
              <w:adjustRightInd w:val="0"/>
              <w:rPr>
                <w:rFonts w:ascii="Times New Roman" w:hAnsi="Times New Roman" w:cs="Times New Roman"/>
                <w:sz w:val="24"/>
                <w:szCs w:val="24"/>
              </w:rPr>
            </w:pPr>
            <w:r w:rsidRPr="00FE0954">
              <w:rPr>
                <w:rFonts w:ascii="Times New Roman" w:hAnsi="Times New Roman" w:cs="Times New Roman"/>
                <w:sz w:val="24"/>
                <w:szCs w:val="24"/>
              </w:rPr>
              <w:t>In the Matter of the Application of Ohio Power Company to Revise Reliability Performance Standards Pursuant to O.A.C. 4901:1-10-10(B)(7).</w:t>
            </w:r>
          </w:p>
        </w:tc>
        <w:tc>
          <w:tcPr>
            <w:tcW w:w="450" w:type="dxa"/>
            <w:shd w:val="clear" w:color="auto" w:fill="auto"/>
          </w:tcPr>
          <w:p w:rsidR="00C13D01" w:rsidRPr="00FE0954" w:rsidP="000744C5" w14:paraId="45CAE872" w14:textId="77777777">
            <w:pPr>
              <w:pStyle w:val="HTMLPreformatted"/>
              <w:rPr>
                <w:rFonts w:ascii="Times New Roman" w:hAnsi="Times New Roman" w:cs="Times New Roman"/>
                <w:sz w:val="24"/>
                <w:szCs w:val="24"/>
              </w:rPr>
            </w:pPr>
            <w:r w:rsidRPr="00FE0954">
              <w:rPr>
                <w:rFonts w:ascii="Times New Roman" w:hAnsi="Times New Roman" w:cs="Times New Roman"/>
                <w:sz w:val="24"/>
                <w:szCs w:val="24"/>
              </w:rPr>
              <w:t>)</w:t>
            </w:r>
          </w:p>
          <w:p w:rsidR="00C13D01" w:rsidRPr="00FE0954" w:rsidP="000744C5" w14:paraId="14442546" w14:textId="77777777">
            <w:pPr>
              <w:pStyle w:val="HTMLPreformatted"/>
              <w:rPr>
                <w:rFonts w:ascii="Times New Roman" w:hAnsi="Times New Roman" w:cs="Times New Roman"/>
                <w:sz w:val="24"/>
                <w:szCs w:val="24"/>
              </w:rPr>
            </w:pPr>
            <w:r w:rsidRPr="00FE0954">
              <w:rPr>
                <w:rFonts w:ascii="Times New Roman" w:hAnsi="Times New Roman" w:cs="Times New Roman"/>
                <w:sz w:val="24"/>
                <w:szCs w:val="24"/>
              </w:rPr>
              <w:t>)</w:t>
            </w:r>
          </w:p>
          <w:p w:rsidR="00C13D01" w:rsidRPr="00FE0954" w:rsidP="000744C5" w14:paraId="1556A954" w14:textId="77777777">
            <w:pPr>
              <w:pStyle w:val="HTMLPreformatted"/>
              <w:rPr>
                <w:rFonts w:ascii="Times New Roman" w:hAnsi="Times New Roman" w:cs="Times New Roman"/>
                <w:sz w:val="24"/>
                <w:szCs w:val="24"/>
              </w:rPr>
            </w:pPr>
            <w:r w:rsidRPr="00FE0954">
              <w:rPr>
                <w:rFonts w:ascii="Times New Roman" w:hAnsi="Times New Roman" w:cs="Times New Roman"/>
                <w:sz w:val="24"/>
                <w:szCs w:val="24"/>
              </w:rPr>
              <w:t>)</w:t>
            </w:r>
          </w:p>
          <w:p w:rsidR="00C13D01" w:rsidRPr="00FE0954" w:rsidP="000744C5" w14:paraId="38AAA627" w14:textId="77777777">
            <w:pPr>
              <w:pStyle w:val="HTMLPreformatted"/>
              <w:rPr>
                <w:rFonts w:ascii="Times New Roman" w:hAnsi="Times New Roman" w:cs="Times New Roman"/>
                <w:sz w:val="24"/>
                <w:szCs w:val="24"/>
              </w:rPr>
            </w:pPr>
            <w:r w:rsidRPr="00FE0954">
              <w:rPr>
                <w:rFonts w:ascii="Times New Roman" w:hAnsi="Times New Roman" w:cs="Times New Roman"/>
                <w:sz w:val="24"/>
                <w:szCs w:val="24"/>
              </w:rPr>
              <w:t>)</w:t>
            </w:r>
          </w:p>
        </w:tc>
        <w:tc>
          <w:tcPr>
            <w:tcW w:w="3960" w:type="dxa"/>
            <w:shd w:val="clear" w:color="auto" w:fill="auto"/>
          </w:tcPr>
          <w:p w:rsidR="00C13D01" w:rsidRPr="00FE0954" w:rsidP="000744C5" w14:paraId="05B4E736" w14:textId="77777777">
            <w:pPr>
              <w:pStyle w:val="HTMLPreformatted"/>
              <w:rPr>
                <w:rFonts w:ascii="Times New Roman" w:hAnsi="Times New Roman" w:cs="Times New Roman"/>
                <w:sz w:val="24"/>
                <w:szCs w:val="24"/>
              </w:rPr>
            </w:pPr>
          </w:p>
          <w:p w:rsidR="00C13D01" w:rsidRPr="00FE0954" w:rsidP="000744C5" w14:paraId="0816A936" w14:textId="77777777">
            <w:pPr>
              <w:pStyle w:val="HTMLPreformatted"/>
              <w:rPr>
                <w:rFonts w:ascii="Times New Roman" w:hAnsi="Times New Roman" w:cs="Times New Roman"/>
                <w:sz w:val="24"/>
                <w:szCs w:val="24"/>
              </w:rPr>
            </w:pPr>
            <w:r w:rsidRPr="00FE0954">
              <w:rPr>
                <w:rFonts w:ascii="Times New Roman" w:hAnsi="Times New Roman" w:cs="Times New Roman"/>
                <w:sz w:val="24"/>
                <w:szCs w:val="24"/>
              </w:rPr>
              <w:t>Case No. 20-1111-EL-ESS</w:t>
            </w:r>
          </w:p>
          <w:p w:rsidR="00C13D01" w:rsidRPr="00FE0954" w:rsidP="000744C5" w14:paraId="68661EA2" w14:textId="77777777">
            <w:pPr>
              <w:pStyle w:val="HTMLPreformatted"/>
              <w:rPr>
                <w:rFonts w:ascii="Times New Roman" w:hAnsi="Times New Roman" w:cs="Times New Roman"/>
                <w:sz w:val="24"/>
                <w:szCs w:val="24"/>
              </w:rPr>
            </w:pPr>
          </w:p>
        </w:tc>
      </w:tr>
    </w:tbl>
    <w:p w:rsidR="00C13D01" w:rsidRPr="00FE0954" w:rsidP="00C13D01" w14:paraId="3B63A732" w14:textId="77777777">
      <w:pPr>
        <w:pStyle w:val="HTMLPreformatted"/>
        <w:pBdr>
          <w:top w:val="single" w:sz="12" w:space="1" w:color="auto"/>
        </w:pBdr>
        <w:rPr>
          <w:rFonts w:ascii="Times New Roman" w:hAnsi="Times New Roman" w:cs="Times New Roman"/>
          <w:sz w:val="24"/>
          <w:szCs w:val="24"/>
        </w:rPr>
      </w:pPr>
    </w:p>
    <w:p w:rsidR="00C13D01" w:rsidRPr="00FE0954" w:rsidP="00C13D01" w14:paraId="7911ECD2" w14:textId="096B68E5">
      <w:pPr>
        <w:spacing w:after="0" w:line="240" w:lineRule="auto"/>
        <w:jc w:val="center"/>
        <w:rPr>
          <w:rFonts w:ascii="Times New Roman" w:hAnsi="Times New Roman" w:cs="Times New Roman"/>
          <w:b/>
          <w:bCs/>
          <w:caps/>
          <w:sz w:val="24"/>
          <w:szCs w:val="24"/>
        </w:rPr>
      </w:pPr>
      <w:r w:rsidRPr="00FE0954">
        <w:rPr>
          <w:rFonts w:ascii="Times New Roman" w:hAnsi="Times New Roman" w:cs="Times New Roman"/>
          <w:b/>
          <w:bCs/>
          <w:caps/>
          <w:sz w:val="24"/>
          <w:szCs w:val="24"/>
        </w:rPr>
        <w:t xml:space="preserve">MEMORANDUM CONTRA AEP’S MOTION FOR </w:t>
      </w:r>
      <w:r w:rsidRPr="00FE0954" w:rsidR="00A710DD">
        <w:rPr>
          <w:rFonts w:ascii="Times New Roman" w:hAnsi="Times New Roman" w:cs="Times New Roman"/>
          <w:b/>
          <w:bCs/>
          <w:caps/>
          <w:sz w:val="24"/>
          <w:szCs w:val="24"/>
        </w:rPr>
        <w:t xml:space="preserve">A </w:t>
      </w:r>
      <w:r w:rsidRPr="00FE0954">
        <w:rPr>
          <w:rFonts w:ascii="Times New Roman" w:hAnsi="Times New Roman" w:cs="Times New Roman"/>
          <w:b/>
          <w:bCs/>
          <w:caps/>
          <w:sz w:val="24"/>
          <w:szCs w:val="24"/>
        </w:rPr>
        <w:t>PROTECTIVE ORDER</w:t>
      </w:r>
    </w:p>
    <w:p w:rsidR="00C13D01" w:rsidRPr="00FE0954" w:rsidP="00C13D01" w14:paraId="3FB73551" w14:textId="77777777">
      <w:pPr>
        <w:spacing w:after="0" w:line="240" w:lineRule="auto"/>
        <w:jc w:val="center"/>
        <w:rPr>
          <w:rFonts w:ascii="Times New Roman" w:hAnsi="Times New Roman" w:cs="Times New Roman"/>
          <w:b/>
          <w:iCs/>
          <w:sz w:val="24"/>
          <w:szCs w:val="24"/>
        </w:rPr>
      </w:pPr>
      <w:r w:rsidRPr="00FE0954">
        <w:rPr>
          <w:rFonts w:ascii="Times New Roman" w:hAnsi="Times New Roman" w:cs="Times New Roman"/>
          <w:b/>
          <w:iCs/>
          <w:sz w:val="24"/>
          <w:szCs w:val="24"/>
        </w:rPr>
        <w:t>BY</w:t>
      </w:r>
    </w:p>
    <w:p w:rsidR="00C13D01" w:rsidRPr="00FE0954" w:rsidP="00C13D01" w14:paraId="7285362B" w14:textId="0AC630C0">
      <w:pPr>
        <w:spacing w:after="0" w:line="240" w:lineRule="auto"/>
        <w:jc w:val="center"/>
        <w:rPr>
          <w:rFonts w:ascii="Times New Roman" w:hAnsi="Times New Roman" w:cs="Times New Roman"/>
          <w:b/>
          <w:bCs/>
          <w:sz w:val="24"/>
          <w:szCs w:val="24"/>
        </w:rPr>
      </w:pPr>
      <w:r w:rsidRPr="00FE0954">
        <w:rPr>
          <w:rFonts w:ascii="Times New Roman" w:hAnsi="Times New Roman" w:cs="Times New Roman"/>
          <w:b/>
          <w:bCs/>
          <w:sz w:val="24"/>
          <w:szCs w:val="24"/>
        </w:rPr>
        <w:t>OFFICE OF THE OHIO CONSUMERS’ COUNSEL</w:t>
      </w:r>
    </w:p>
    <w:p w:rsidR="00C13D01" w:rsidRPr="00FE0954" w:rsidP="004435C3" w14:paraId="494C7CD8" w14:textId="77777777">
      <w:pPr>
        <w:pBdr>
          <w:bottom w:val="single" w:sz="12" w:space="1" w:color="auto"/>
        </w:pBdr>
        <w:spacing w:after="240" w:line="240" w:lineRule="auto"/>
        <w:jc w:val="center"/>
        <w:rPr>
          <w:rFonts w:ascii="Times New Roman" w:hAnsi="Times New Roman" w:cs="Times New Roman"/>
          <w:b/>
          <w:sz w:val="24"/>
          <w:szCs w:val="24"/>
        </w:rPr>
      </w:pPr>
    </w:p>
    <w:p w:rsidR="003E3888" w:rsidRPr="00FE0954" w14:paraId="23F8C791" w14:textId="4B79DAEB">
      <w:pPr>
        <w:pStyle w:val="Heading1"/>
        <w:rPr>
          <w:rFonts w:ascii="Times New Roman" w:hAnsi="Times New Roman" w:cs="Times New Roman"/>
          <w:szCs w:val="24"/>
        </w:rPr>
      </w:pPr>
      <w:bookmarkStart w:id="0" w:name="_Toc114492657"/>
      <w:r w:rsidRPr="00FE0954">
        <w:rPr>
          <w:rFonts w:ascii="Times New Roman" w:hAnsi="Times New Roman" w:cs="Times New Roman"/>
          <w:szCs w:val="24"/>
        </w:rPr>
        <w:t>I.</w:t>
      </w:r>
      <w:r w:rsidRPr="00FE0954">
        <w:rPr>
          <w:rFonts w:ascii="Times New Roman" w:hAnsi="Times New Roman" w:cs="Times New Roman"/>
          <w:szCs w:val="24"/>
        </w:rPr>
        <w:tab/>
        <w:t>Introduction</w:t>
      </w:r>
      <w:bookmarkEnd w:id="0"/>
    </w:p>
    <w:p w:rsidR="009447EA" w:rsidRPr="00FE0954" w:rsidP="0001557A" w14:paraId="2FC2EF77" w14:textId="5B47459E">
      <w:pPr>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 xml:space="preserve">Tens of thousands of AEP-Ohio residential consumers and their families and businesses lost power during the week of June 12, 2022, in dangerously high heat and humidity. The outages </w:t>
      </w:r>
      <w:r w:rsidRPr="00FE0954">
        <w:rPr>
          <w:rFonts w:ascii="Times New Roman" w:hAnsi="Times New Roman" w:cs="Times New Roman"/>
          <w:i/>
          <w:iCs/>
          <w:sz w:val="24"/>
          <w:szCs w:val="24"/>
        </w:rPr>
        <w:t>reportedly</w:t>
      </w:r>
      <w:r w:rsidRPr="00FE0954">
        <w:rPr>
          <w:rFonts w:ascii="Times New Roman" w:hAnsi="Times New Roman" w:cs="Times New Roman"/>
          <w:sz w:val="24"/>
          <w:szCs w:val="24"/>
        </w:rPr>
        <w:t xml:space="preserve"> occurred through a combination of grid/transmission failures, storms, and AEP’s own use of shut offs to avoid a greater system failure.</w:t>
      </w:r>
      <w:r>
        <w:rPr>
          <w:rStyle w:val="FootnoteReference"/>
          <w:rFonts w:ascii="Times New Roman" w:hAnsi="Times New Roman" w:cs="Times New Roman"/>
          <w:sz w:val="24"/>
          <w:szCs w:val="24"/>
        </w:rPr>
        <w:footnoteReference w:id="2"/>
      </w:r>
      <w:r w:rsidRPr="00FE0954">
        <w:rPr>
          <w:rFonts w:ascii="Times New Roman" w:hAnsi="Times New Roman" w:cs="Times New Roman"/>
          <w:sz w:val="24"/>
          <w:szCs w:val="24"/>
        </w:rPr>
        <w:t xml:space="preserve"> But nearly three months later, </w:t>
      </w:r>
      <w:r w:rsidRPr="00FE0954" w:rsidR="00577B33">
        <w:rPr>
          <w:rFonts w:ascii="Times New Roman" w:hAnsi="Times New Roman" w:cs="Times New Roman"/>
          <w:i/>
          <w:iCs/>
          <w:sz w:val="24"/>
          <w:szCs w:val="24"/>
        </w:rPr>
        <w:t>Ohioans</w:t>
      </w:r>
      <w:r w:rsidRPr="00FE0954">
        <w:rPr>
          <w:rFonts w:ascii="Times New Roman" w:hAnsi="Times New Roman" w:cs="Times New Roman"/>
          <w:i/>
          <w:iCs/>
          <w:sz w:val="24"/>
          <w:szCs w:val="24"/>
        </w:rPr>
        <w:t xml:space="preserve"> still do not </w:t>
      </w:r>
      <w:r w:rsidRPr="00FE0954" w:rsidR="00577B33">
        <w:rPr>
          <w:rFonts w:ascii="Times New Roman" w:hAnsi="Times New Roman" w:cs="Times New Roman"/>
          <w:i/>
          <w:iCs/>
          <w:sz w:val="24"/>
          <w:szCs w:val="24"/>
        </w:rPr>
        <w:t xml:space="preserve">have a public investigation of </w:t>
      </w:r>
      <w:r w:rsidRPr="00FE0954">
        <w:rPr>
          <w:rFonts w:ascii="Times New Roman" w:hAnsi="Times New Roman" w:cs="Times New Roman"/>
          <w:i/>
          <w:iCs/>
          <w:sz w:val="24"/>
          <w:szCs w:val="24"/>
        </w:rPr>
        <w:t xml:space="preserve">the reasons for the outages, if anything could have been done to prevent them, or how they can be prevented in the future. </w:t>
      </w:r>
      <w:r w:rsidRPr="00FE0954">
        <w:rPr>
          <w:rFonts w:ascii="Times New Roman" w:hAnsi="Times New Roman" w:cs="Times New Roman"/>
          <w:sz w:val="24"/>
          <w:szCs w:val="24"/>
        </w:rPr>
        <w:t xml:space="preserve">What we </w:t>
      </w:r>
      <w:r w:rsidRPr="00FE0954">
        <w:rPr>
          <w:rFonts w:ascii="Times New Roman" w:hAnsi="Times New Roman" w:cs="Times New Roman"/>
          <w:i/>
          <w:iCs/>
          <w:sz w:val="24"/>
          <w:szCs w:val="24"/>
        </w:rPr>
        <w:t xml:space="preserve">do </w:t>
      </w:r>
      <w:r w:rsidRPr="00FE0954">
        <w:rPr>
          <w:rFonts w:ascii="Times New Roman" w:hAnsi="Times New Roman" w:cs="Times New Roman"/>
          <w:sz w:val="24"/>
          <w:szCs w:val="24"/>
        </w:rPr>
        <w:t>know is that the lives of AEP consumers and their families in central Ohio were especially disrupted and</w:t>
      </w:r>
      <w:r w:rsidRPr="00FE0954" w:rsidR="0068013A">
        <w:rPr>
          <w:rFonts w:ascii="Times New Roman" w:hAnsi="Times New Roman" w:cs="Times New Roman"/>
          <w:sz w:val="24"/>
          <w:szCs w:val="24"/>
        </w:rPr>
        <w:t xml:space="preserve"> placed</w:t>
      </w:r>
      <w:r w:rsidRPr="00FE0954">
        <w:rPr>
          <w:rFonts w:ascii="Times New Roman" w:hAnsi="Times New Roman" w:cs="Times New Roman"/>
          <w:sz w:val="24"/>
          <w:szCs w:val="24"/>
        </w:rPr>
        <w:t xml:space="preserve"> at risk. People understandably are </w:t>
      </w:r>
      <w:r w:rsidRPr="00FE0954" w:rsidR="00A531CF">
        <w:rPr>
          <w:rFonts w:ascii="Times New Roman" w:hAnsi="Times New Roman" w:cs="Times New Roman"/>
          <w:sz w:val="24"/>
          <w:szCs w:val="24"/>
        </w:rPr>
        <w:t>upset and</w:t>
      </w:r>
      <w:r w:rsidRPr="00FE0954" w:rsidR="0068013A">
        <w:rPr>
          <w:rFonts w:ascii="Times New Roman" w:hAnsi="Times New Roman" w:cs="Times New Roman"/>
          <w:sz w:val="24"/>
          <w:szCs w:val="24"/>
        </w:rPr>
        <w:t xml:space="preserve"> deserve answers to important questions surrounding these events</w:t>
      </w:r>
      <w:r w:rsidRPr="00FE0954">
        <w:rPr>
          <w:rFonts w:ascii="Times New Roman" w:hAnsi="Times New Roman" w:cs="Times New Roman"/>
          <w:sz w:val="24"/>
          <w:szCs w:val="24"/>
        </w:rPr>
        <w:t>.</w:t>
      </w:r>
    </w:p>
    <w:p w:rsidR="009447EA" w:rsidRPr="00FE0954" w:rsidP="009447EA" w14:paraId="64697315" w14:textId="7845EA9C">
      <w:pPr>
        <w:spacing w:after="0" w:line="480" w:lineRule="auto"/>
        <w:rPr>
          <w:rFonts w:ascii="Times New Roman" w:hAnsi="Times New Roman" w:cs="Times New Roman"/>
          <w:sz w:val="24"/>
          <w:szCs w:val="24"/>
        </w:rPr>
      </w:pPr>
      <w:r w:rsidRPr="00FE0954">
        <w:rPr>
          <w:rFonts w:ascii="Times New Roman" w:hAnsi="Times New Roman" w:cs="Times New Roman"/>
          <w:sz w:val="24"/>
          <w:szCs w:val="24"/>
        </w:rPr>
        <w:tab/>
        <w:t xml:space="preserve">As a result, we have served consumer protection discovery about the June 2022 outages in this case where the PUCO will set 2022 reliability standards. Contrary to AEP’s assertions, the discovery is limited in scope, seeks information that is relevant or </w:t>
      </w:r>
      <w:r w:rsidRPr="00FE0954">
        <w:rPr>
          <w:rFonts w:ascii="Times New Roman" w:hAnsi="Times New Roman" w:cs="Times New Roman"/>
          <w:sz w:val="24"/>
          <w:szCs w:val="24"/>
        </w:rPr>
        <w:t>reasonably calculated to lead to the discovery of admissible evidence, and is guaranteed to us by law,</w:t>
      </w:r>
      <w:r>
        <w:rPr>
          <w:rStyle w:val="FootnoteReference"/>
          <w:rFonts w:ascii="Times New Roman" w:hAnsi="Times New Roman" w:cs="Times New Roman"/>
          <w:sz w:val="24"/>
          <w:szCs w:val="24"/>
        </w:rPr>
        <w:footnoteReference w:id="3"/>
      </w:r>
      <w:r w:rsidRPr="00FE0954">
        <w:rPr>
          <w:rFonts w:ascii="Times New Roman" w:hAnsi="Times New Roman" w:cs="Times New Roman"/>
          <w:sz w:val="24"/>
          <w:szCs w:val="24"/>
        </w:rPr>
        <w:t xml:space="preserve"> rule,</w:t>
      </w:r>
      <w:r>
        <w:rPr>
          <w:rStyle w:val="FootnoteReference"/>
          <w:rFonts w:ascii="Times New Roman" w:hAnsi="Times New Roman" w:cs="Times New Roman"/>
          <w:sz w:val="24"/>
          <w:szCs w:val="24"/>
        </w:rPr>
        <w:footnoteReference w:id="4"/>
      </w:r>
      <w:r w:rsidRPr="00FE0954">
        <w:rPr>
          <w:rFonts w:ascii="Times New Roman" w:hAnsi="Times New Roman" w:cs="Times New Roman"/>
          <w:sz w:val="24"/>
          <w:szCs w:val="24"/>
        </w:rPr>
        <w:t xml:space="preserve"> and Supreme Court of Ohio precedent.</w:t>
      </w:r>
      <w:r>
        <w:rPr>
          <w:rStyle w:val="FootnoteReference"/>
          <w:rFonts w:ascii="Times New Roman" w:hAnsi="Times New Roman" w:cs="Times New Roman"/>
          <w:sz w:val="24"/>
          <w:szCs w:val="24"/>
        </w:rPr>
        <w:footnoteReference w:id="5"/>
      </w:r>
      <w:r w:rsidRPr="00FE0954">
        <w:rPr>
          <w:rFonts w:ascii="Times New Roman" w:hAnsi="Times New Roman" w:cs="Times New Roman"/>
          <w:sz w:val="24"/>
          <w:szCs w:val="24"/>
        </w:rPr>
        <w:t xml:space="preserve"> In consumers’ interest, AEP’s Motion for Protective Order should be denied.</w:t>
      </w:r>
    </w:p>
    <w:p w:rsidR="003F3752" w:rsidRPr="00FE0954" w:rsidP="003F3752" w14:paraId="2D46480D" w14:textId="77777777">
      <w:pPr>
        <w:spacing w:after="0" w:line="240" w:lineRule="auto"/>
        <w:rPr>
          <w:rFonts w:ascii="Times New Roman" w:hAnsi="Times New Roman" w:cs="Times New Roman"/>
          <w:sz w:val="24"/>
          <w:szCs w:val="24"/>
        </w:rPr>
      </w:pPr>
    </w:p>
    <w:p w:rsidR="00004C23" w:rsidRPr="00FE0954" w:rsidP="003F3752" w14:paraId="2A1AA0E4" w14:textId="6369DAC2">
      <w:pPr>
        <w:pStyle w:val="Heading1"/>
        <w:rPr>
          <w:rFonts w:ascii="Times New Roman" w:hAnsi="Times New Roman" w:cs="Times New Roman"/>
          <w:szCs w:val="24"/>
        </w:rPr>
      </w:pPr>
      <w:bookmarkStart w:id="1" w:name="_Toc114492658"/>
      <w:r w:rsidRPr="00FE0954">
        <w:rPr>
          <w:rFonts w:ascii="Times New Roman" w:hAnsi="Times New Roman" w:cs="Times New Roman"/>
          <w:szCs w:val="24"/>
        </w:rPr>
        <w:t>II.</w:t>
      </w:r>
      <w:r w:rsidRPr="00FE0954">
        <w:rPr>
          <w:rFonts w:ascii="Times New Roman" w:hAnsi="Times New Roman" w:cs="Times New Roman"/>
          <w:szCs w:val="24"/>
        </w:rPr>
        <w:tab/>
        <w:t xml:space="preserve">Standard Governing OCC’s Consumer Protection Discovery </w:t>
      </w:r>
      <w:r w:rsidRPr="00FE0954" w:rsidR="00D00ACB">
        <w:rPr>
          <w:rFonts w:ascii="Times New Roman" w:hAnsi="Times New Roman" w:cs="Times New Roman"/>
          <w:szCs w:val="24"/>
        </w:rPr>
        <w:t>a</w:t>
      </w:r>
      <w:r w:rsidRPr="00FE0954">
        <w:rPr>
          <w:rFonts w:ascii="Times New Roman" w:hAnsi="Times New Roman" w:cs="Times New Roman"/>
          <w:szCs w:val="24"/>
        </w:rPr>
        <w:t>nd AEP’s Effort To Prevent OCC’s Fact-Finding</w:t>
      </w:r>
      <w:bookmarkEnd w:id="1"/>
    </w:p>
    <w:p w:rsidR="00004C23" w:rsidRPr="00FE0954" w:rsidP="00004C23" w14:paraId="5A9B11A2" w14:textId="6FDBF098">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AEP has moved for a protective order asking the PUCO to prevent OCC from its consumer protection fact-finding.</w:t>
      </w:r>
      <w:r>
        <w:rPr>
          <w:rStyle w:val="FootnoteReference"/>
          <w:rFonts w:ascii="Times New Roman" w:hAnsi="Times New Roman" w:cs="Times New Roman"/>
          <w:sz w:val="24"/>
          <w:szCs w:val="24"/>
        </w:rPr>
        <w:footnoteReference w:id="6"/>
      </w:r>
      <w:r w:rsidRPr="00FE0954">
        <w:rPr>
          <w:rFonts w:ascii="Times New Roman" w:hAnsi="Times New Roman" w:cs="Times New Roman"/>
          <w:sz w:val="24"/>
          <w:szCs w:val="24"/>
        </w:rPr>
        <w:t xml:space="preserve"> Under O.A.C. 4901-1-24, a protective order should not be granted unless, as AEP acknowledges, it is “</w:t>
      </w:r>
      <w:r w:rsidRPr="00FE0954">
        <w:rPr>
          <w:rFonts w:ascii="Times New Roman" w:hAnsi="Times New Roman" w:cs="Times New Roman"/>
          <w:i/>
          <w:iCs/>
          <w:sz w:val="24"/>
          <w:szCs w:val="24"/>
        </w:rPr>
        <w:t>necessary</w:t>
      </w:r>
      <w:r w:rsidRPr="00FE0954">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FE0954">
        <w:rPr>
          <w:rFonts w:ascii="Times New Roman" w:hAnsi="Times New Roman" w:cs="Times New Roman"/>
          <w:sz w:val="24"/>
          <w:szCs w:val="24"/>
        </w:rPr>
        <w:t xml:space="preserve"> to protect a party or person from “annoyance, embarrassment, oppression, or undue burden or expense.” AEP asserts that a protective order is warranted because certain of our consumer protection discovery is not limited in time or scope;</w:t>
      </w:r>
      <w:r>
        <w:rPr>
          <w:rStyle w:val="FootnoteReference"/>
          <w:rFonts w:ascii="Times New Roman" w:hAnsi="Times New Roman" w:cs="Times New Roman"/>
          <w:sz w:val="24"/>
          <w:szCs w:val="24"/>
        </w:rPr>
        <w:footnoteReference w:id="8"/>
      </w:r>
      <w:r w:rsidRPr="00FE0954">
        <w:rPr>
          <w:rFonts w:ascii="Times New Roman" w:hAnsi="Times New Roman" w:cs="Times New Roman"/>
          <w:sz w:val="24"/>
          <w:szCs w:val="24"/>
        </w:rPr>
        <w:t xml:space="preserve"> it is irrelevant in its entirety and only seeks to annoy, oppress, and burden;</w:t>
      </w:r>
      <w:r>
        <w:rPr>
          <w:rStyle w:val="FootnoteReference"/>
          <w:rFonts w:ascii="Times New Roman" w:hAnsi="Times New Roman" w:cs="Times New Roman"/>
          <w:sz w:val="24"/>
          <w:szCs w:val="24"/>
        </w:rPr>
        <w:footnoteReference w:id="9"/>
      </w:r>
      <w:r w:rsidRPr="00FE0954">
        <w:rPr>
          <w:rFonts w:ascii="Times New Roman" w:hAnsi="Times New Roman" w:cs="Times New Roman"/>
          <w:sz w:val="24"/>
          <w:szCs w:val="24"/>
        </w:rPr>
        <w:t xml:space="preserve"> and certain of it relates to irrelevant transmission matters.</w:t>
      </w:r>
      <w:r>
        <w:rPr>
          <w:rStyle w:val="FootnoteReference"/>
          <w:rFonts w:ascii="Times New Roman" w:hAnsi="Times New Roman" w:cs="Times New Roman"/>
          <w:sz w:val="24"/>
          <w:szCs w:val="24"/>
        </w:rPr>
        <w:footnoteReference w:id="10"/>
      </w:r>
      <w:r w:rsidRPr="00FE0954" w:rsidR="00232CB7">
        <w:rPr>
          <w:rFonts w:ascii="Times New Roman" w:hAnsi="Times New Roman" w:cs="Times New Roman"/>
          <w:sz w:val="24"/>
          <w:szCs w:val="24"/>
        </w:rPr>
        <w:t xml:space="preserve"> </w:t>
      </w:r>
    </w:p>
    <w:p w:rsidR="00004C23" w:rsidRPr="00FE0954" w:rsidP="00004C23" w14:paraId="0A0066A5" w14:textId="77777777">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 xml:space="preserve">AEP’s assertions should be considered in light of the broad discovery to which parties are entitled immediately. O.A.C. 4901-1-17(A) provides that discovery may begin “immediately” after a proceeding is commenced. The PUCO has adopted rules that specifically define the scope of discovery. O.A.C. 4901-1-16(B) provides: </w:t>
      </w:r>
    </w:p>
    <w:p w:rsidR="00004C23" w:rsidRPr="00FE0954" w:rsidP="00ED467F" w14:paraId="4C6E85E8" w14:textId="77777777">
      <w:pPr>
        <w:autoSpaceDE w:val="0"/>
        <w:autoSpaceDN w:val="0"/>
        <w:adjustRightInd w:val="0"/>
        <w:spacing w:after="0" w:line="240" w:lineRule="auto"/>
        <w:ind w:left="1440" w:right="1440"/>
        <w:rPr>
          <w:rFonts w:ascii="Times New Roman" w:hAnsi="Times New Roman" w:cs="Times New Roman"/>
          <w:sz w:val="24"/>
          <w:szCs w:val="24"/>
        </w:rPr>
      </w:pPr>
      <w:r w:rsidRPr="00FE0954">
        <w:rPr>
          <w:rFonts w:ascii="Times New Roman" w:hAnsi="Times New Roman" w:cs="Times New Roman"/>
          <w:sz w:val="24"/>
          <w:szCs w:val="24"/>
        </w:rPr>
        <w:t xml:space="preserve">any party to a commission proceeding may obtain discovery of any matter, not privileged, which is relevant to </w:t>
      </w:r>
      <w:r w:rsidRPr="00FE0954">
        <w:rPr>
          <w:rFonts w:ascii="Times New Roman" w:hAnsi="Times New Roman" w:cs="Times New Roman"/>
          <w:sz w:val="24"/>
          <w:szCs w:val="24"/>
        </w:rPr>
        <w:t xml:space="preserve">the subject matter of the proceeding. It is not a ground for objection that the information sought would be inadmissible at the hearing if the information sought </w:t>
      </w:r>
      <w:r w:rsidRPr="00FE0954">
        <w:rPr>
          <w:rFonts w:ascii="Times New Roman" w:hAnsi="Times New Roman" w:cs="Times New Roman"/>
          <w:i/>
          <w:iCs/>
          <w:sz w:val="24"/>
          <w:szCs w:val="24"/>
        </w:rPr>
        <w:t>appears</w:t>
      </w:r>
      <w:r w:rsidRPr="00FE0954">
        <w:rPr>
          <w:rFonts w:ascii="Times New Roman" w:hAnsi="Times New Roman" w:cs="Times New Roman"/>
          <w:sz w:val="24"/>
          <w:szCs w:val="24"/>
        </w:rPr>
        <w:t xml:space="preserve"> reasonably calculated to lead to the discovery of admissible evidence. (Emphasis added.) </w:t>
      </w:r>
    </w:p>
    <w:p w:rsidR="00004C23" w:rsidRPr="00FE0954" w:rsidP="00004C23" w14:paraId="4713F770" w14:textId="77777777">
      <w:pPr>
        <w:autoSpaceDE w:val="0"/>
        <w:autoSpaceDN w:val="0"/>
        <w:adjustRightInd w:val="0"/>
        <w:spacing w:after="0" w:line="240" w:lineRule="auto"/>
        <w:ind w:left="720"/>
        <w:rPr>
          <w:rFonts w:ascii="Times New Roman" w:hAnsi="Times New Roman" w:cs="Times New Roman"/>
          <w:sz w:val="24"/>
          <w:szCs w:val="24"/>
        </w:rPr>
      </w:pPr>
    </w:p>
    <w:p w:rsidR="00004C23" w:rsidRPr="00FE0954" w:rsidP="00004C23" w14:paraId="64085B94" w14:textId="77777777">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The PUCO’s rule is similar to Ohio Civ. R. 26 (B)(1), which governs the scope of discovery in civil cases. Civ. R. 26(B) has been liberally construed to allow for broad discovery of any unprivileged matter relevant to the subject matter of the pending proceeding.</w:t>
      </w:r>
      <w:r>
        <w:rPr>
          <w:rStyle w:val="FootnoteReference"/>
          <w:rFonts w:ascii="Times New Roman" w:hAnsi="Times New Roman" w:cs="Times New Roman"/>
          <w:sz w:val="24"/>
          <w:szCs w:val="24"/>
        </w:rPr>
        <w:footnoteReference w:id="11"/>
      </w:r>
      <w:r w:rsidRPr="00FE0954">
        <w:rPr>
          <w:rFonts w:ascii="Times New Roman" w:hAnsi="Times New Roman" w:cs="Times New Roman"/>
          <w:sz w:val="24"/>
          <w:szCs w:val="24"/>
        </w:rPr>
        <w:t xml:space="preserve"> This scope of discovery also applies to requests for production. Requests for production may elicit documents within the possession, custody, or control, of the party upon whom the discovery is served, under O.A.C. 4901-1-20. OCC’s right to discovery is assured by law, rule, and Supreme Court of Ohio precedent.</w:t>
      </w:r>
      <w:r>
        <w:rPr>
          <w:rStyle w:val="FootnoteReference"/>
          <w:rFonts w:ascii="Times New Roman" w:hAnsi="Times New Roman" w:cs="Times New Roman"/>
          <w:sz w:val="24"/>
          <w:szCs w:val="24"/>
        </w:rPr>
        <w:footnoteReference w:id="12"/>
      </w:r>
      <w:r w:rsidRPr="00FE0954">
        <w:rPr>
          <w:rFonts w:ascii="Times New Roman" w:hAnsi="Times New Roman" w:cs="Times New Roman"/>
          <w:sz w:val="24"/>
          <w:szCs w:val="24"/>
        </w:rPr>
        <w:t xml:space="preserve"> </w:t>
      </w:r>
    </w:p>
    <w:p w:rsidR="00004C23" w:rsidRPr="00FE0954" w:rsidP="00004C23" w14:paraId="2FAE1914" w14:textId="528D2184">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OCC is entitled to timely and complete responses to its consumer protection discovery.</w:t>
      </w:r>
    </w:p>
    <w:p w:rsidR="00ED467F" w:rsidRPr="00FE0954" w:rsidP="00ED467F" w14:paraId="0B4BA59D" w14:textId="2BECBD50">
      <w:pPr>
        <w:autoSpaceDE w:val="0"/>
        <w:autoSpaceDN w:val="0"/>
        <w:adjustRightInd w:val="0"/>
        <w:spacing w:after="0" w:line="240" w:lineRule="auto"/>
        <w:ind w:firstLine="720"/>
        <w:rPr>
          <w:rFonts w:ascii="Times New Roman" w:hAnsi="Times New Roman" w:cs="Times New Roman"/>
          <w:sz w:val="24"/>
          <w:szCs w:val="24"/>
        </w:rPr>
      </w:pPr>
    </w:p>
    <w:p w:rsidR="00004C23" w:rsidRPr="00FE0954" w:rsidP="00ED467F" w14:paraId="4504E5B6" w14:textId="77777777">
      <w:pPr>
        <w:pStyle w:val="Heading1"/>
        <w:rPr>
          <w:rFonts w:ascii="Times New Roman" w:hAnsi="Times New Roman" w:cs="Times New Roman"/>
          <w:szCs w:val="24"/>
        </w:rPr>
      </w:pPr>
      <w:bookmarkStart w:id="2" w:name="_Toc114492659"/>
      <w:r w:rsidRPr="00FE0954">
        <w:rPr>
          <w:rFonts w:ascii="Times New Roman" w:hAnsi="Times New Roman" w:cs="Times New Roman"/>
          <w:szCs w:val="24"/>
        </w:rPr>
        <w:t>III.</w:t>
      </w:r>
      <w:r w:rsidRPr="00FE0954">
        <w:rPr>
          <w:rFonts w:ascii="Times New Roman" w:hAnsi="Times New Roman" w:cs="Times New Roman"/>
          <w:szCs w:val="24"/>
        </w:rPr>
        <w:tab/>
        <w:t>Recommendations</w:t>
      </w:r>
      <w:bookmarkEnd w:id="2"/>
    </w:p>
    <w:p w:rsidR="00004C23" w:rsidRPr="00FE0954" w:rsidP="00ED467F" w14:paraId="18D41B52" w14:textId="28B1269A">
      <w:pPr>
        <w:pStyle w:val="Heading2"/>
        <w:rPr>
          <w:rFonts w:ascii="Times New Roman" w:hAnsi="Times New Roman" w:cs="Times New Roman"/>
          <w:szCs w:val="24"/>
        </w:rPr>
      </w:pPr>
      <w:bookmarkStart w:id="3" w:name="_Toc114492660"/>
      <w:r w:rsidRPr="00FE0954">
        <w:rPr>
          <w:rFonts w:ascii="Times New Roman" w:hAnsi="Times New Roman" w:cs="Times New Roman"/>
          <w:szCs w:val="24"/>
        </w:rPr>
        <w:t>A.</w:t>
      </w:r>
      <w:r w:rsidRPr="00FE0954">
        <w:rPr>
          <w:rFonts w:ascii="Times New Roman" w:hAnsi="Times New Roman" w:cs="Times New Roman"/>
          <w:szCs w:val="24"/>
        </w:rPr>
        <w:tab/>
      </w:r>
      <w:r w:rsidRPr="00FE0954">
        <w:rPr>
          <w:rFonts w:ascii="Times New Roman" w:hAnsi="Times New Roman" w:cs="Times New Roman"/>
          <w:szCs w:val="24"/>
        </w:rPr>
        <w:t>Contrary to AEP’s assertions, OCC’s consumer protection discovery is limited in time and scope and is not overly broad or burdensome.</w:t>
      </w:r>
      <w:bookmarkEnd w:id="3"/>
    </w:p>
    <w:p w:rsidR="00A531CF" w:rsidP="00004C23" w14:paraId="065C55A5" w14:textId="77777777">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AEP’s assertion that OCC’s consumer protection discovery is not limited in time or scope is wrong.</w:t>
      </w:r>
      <w:r>
        <w:rPr>
          <w:rStyle w:val="FootnoteReference"/>
          <w:rFonts w:ascii="Times New Roman" w:hAnsi="Times New Roman" w:cs="Times New Roman"/>
          <w:sz w:val="24"/>
          <w:szCs w:val="24"/>
        </w:rPr>
        <w:footnoteReference w:id="13"/>
      </w:r>
      <w:r w:rsidRPr="00FE0954">
        <w:rPr>
          <w:rFonts w:ascii="Times New Roman" w:hAnsi="Times New Roman" w:cs="Times New Roman"/>
          <w:sz w:val="24"/>
          <w:szCs w:val="24"/>
        </w:rPr>
        <w:t xml:space="preserve"> The assertion cannot and should not serve as a basis for its Motion for Protective Order.</w:t>
      </w:r>
    </w:p>
    <w:p w:rsidR="00004C23" w:rsidRPr="00FE0954" w:rsidP="00004C23" w14:paraId="67A95669" w14:textId="267C3725">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First, the very first discovery request (Interrogatory No. 5-001) begins with “[r]egarding the July 13, 2022 presentation that AEP Ohio provided to the PUCO, . . .”</w:t>
      </w:r>
      <w:r>
        <w:rPr>
          <w:rStyle w:val="FootnoteReference"/>
          <w:rFonts w:ascii="Times New Roman" w:hAnsi="Times New Roman" w:cs="Times New Roman"/>
          <w:sz w:val="24"/>
          <w:szCs w:val="24"/>
        </w:rPr>
        <w:footnoteReference w:id="14"/>
      </w:r>
      <w:r w:rsidRPr="00FE0954">
        <w:rPr>
          <w:rFonts w:ascii="Times New Roman" w:hAnsi="Times New Roman" w:cs="Times New Roman"/>
          <w:sz w:val="24"/>
          <w:szCs w:val="24"/>
        </w:rPr>
        <w:t xml:space="preserve"> There can be no doubt that the “July 13, 2022 presentation” refers to the presentation that AEP gave to the PUCO about the June 2022 outages – as AEP knows.</w:t>
      </w:r>
      <w:r>
        <w:rPr>
          <w:rStyle w:val="FootnoteReference"/>
          <w:rFonts w:ascii="Times New Roman" w:hAnsi="Times New Roman" w:cs="Times New Roman"/>
          <w:sz w:val="24"/>
          <w:szCs w:val="24"/>
        </w:rPr>
        <w:footnoteReference w:id="15"/>
      </w:r>
      <w:r w:rsidRPr="00FE0954">
        <w:rPr>
          <w:rFonts w:ascii="Times New Roman" w:hAnsi="Times New Roman" w:cs="Times New Roman"/>
          <w:sz w:val="24"/>
          <w:szCs w:val="24"/>
        </w:rPr>
        <w:t xml:space="preserve"> AEP conveniently omits this request from its Motion for Protective Order. </w:t>
      </w:r>
    </w:p>
    <w:p w:rsidR="00004C23" w:rsidRPr="00FE0954" w:rsidP="00004C23" w14:paraId="6664F27A" w14:textId="77777777">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Each subsequent discovery requests clearly relates to matters raised in that presentation.</w:t>
      </w:r>
      <w:r>
        <w:rPr>
          <w:rStyle w:val="FootnoteReference"/>
          <w:rFonts w:ascii="Times New Roman" w:hAnsi="Times New Roman" w:cs="Times New Roman"/>
          <w:sz w:val="24"/>
          <w:szCs w:val="24"/>
        </w:rPr>
        <w:footnoteReference w:id="16"/>
      </w:r>
      <w:r w:rsidRPr="00FE0954">
        <w:rPr>
          <w:rFonts w:ascii="Times New Roman" w:hAnsi="Times New Roman" w:cs="Times New Roman"/>
          <w:sz w:val="24"/>
          <w:szCs w:val="24"/>
        </w:rPr>
        <w:t xml:space="preserve"> The PUCO has been very clear that its rules on discovery “do not create an additional field of combat to delay trials or to appropriate the Commission’s time and resources; they are designed to confine discovery procedures to counsel and to expedite the administration of the Commission proceedings.”</w:t>
      </w:r>
      <w:r>
        <w:rPr>
          <w:rStyle w:val="FootnoteReference"/>
          <w:rFonts w:ascii="Times New Roman" w:hAnsi="Times New Roman" w:cs="Times New Roman"/>
          <w:sz w:val="24"/>
          <w:szCs w:val="24"/>
        </w:rPr>
        <w:footnoteReference w:id="17"/>
      </w:r>
      <w:r w:rsidRPr="00FE0954">
        <w:rPr>
          <w:rFonts w:ascii="Times New Roman" w:hAnsi="Times New Roman" w:cs="Times New Roman"/>
          <w:sz w:val="24"/>
          <w:szCs w:val="24"/>
        </w:rPr>
        <w:t xml:space="preserve"> With its unfounded and unreasonable reading of OCC’s consumer protection discovery, AEP is simply creating an additional field of combat contrary to law.</w:t>
      </w:r>
      <w:r>
        <w:rPr>
          <w:rStyle w:val="FootnoteReference"/>
          <w:rFonts w:ascii="Times New Roman" w:hAnsi="Times New Roman" w:cs="Times New Roman"/>
          <w:sz w:val="24"/>
          <w:szCs w:val="24"/>
        </w:rPr>
        <w:footnoteReference w:id="18"/>
      </w:r>
    </w:p>
    <w:p w:rsidR="00004C23" w:rsidRPr="00FE0954" w:rsidP="00004C23" w14:paraId="49B72795" w14:textId="77777777">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Second, OCC’s counsel did not believe that any clarification was necessary regarding the time and scope of its consumer protection discovery. But in the spirit of cooperation (as called for by the discovery rules), OCC’s counsel confirmed for AEP’s counsel (at AEP’s counsel’s request) that the consumer protection discovery was aimed at the June 2022 outages (as AEP acknowledges).</w:t>
      </w:r>
      <w:r>
        <w:rPr>
          <w:rStyle w:val="FootnoteReference"/>
          <w:rFonts w:ascii="Times New Roman" w:hAnsi="Times New Roman" w:cs="Times New Roman"/>
          <w:sz w:val="24"/>
          <w:szCs w:val="24"/>
        </w:rPr>
        <w:footnoteReference w:id="19"/>
      </w:r>
      <w:r w:rsidRPr="00FE0954">
        <w:rPr>
          <w:rFonts w:ascii="Times New Roman" w:hAnsi="Times New Roman" w:cs="Times New Roman"/>
          <w:sz w:val="24"/>
          <w:szCs w:val="24"/>
        </w:rPr>
        <w:t xml:space="preserve"> Such confirmation (although not necessary, given the above) can leave no doubt about the time and scope of OCC’s consumer protection discovery.</w:t>
      </w:r>
    </w:p>
    <w:p w:rsidR="00004C23" w:rsidRPr="00FE0954" w:rsidP="00004C23" w14:paraId="1276633C" w14:textId="77777777">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Based on the face of OCC’s consumer protection discovery, and OCC’s confirmation regarding its time and scope, AEP cannot base its Motion for Protective Order on the assertion that the consumer protection discovery is unlimited in time and scope. Its Motion for Protective Order should be denied.</w:t>
      </w:r>
    </w:p>
    <w:p w:rsidR="00004C23" w:rsidRPr="00FE0954" w:rsidP="000E2228" w14:paraId="71262A9C" w14:textId="1171286D">
      <w:pPr>
        <w:pStyle w:val="Heading2"/>
        <w:rPr>
          <w:rFonts w:ascii="Times New Roman" w:hAnsi="Times New Roman" w:cs="Times New Roman"/>
          <w:szCs w:val="24"/>
        </w:rPr>
      </w:pPr>
      <w:bookmarkStart w:id="4" w:name="_Toc114492661"/>
      <w:r w:rsidRPr="00FE0954">
        <w:rPr>
          <w:rFonts w:ascii="Times New Roman" w:hAnsi="Times New Roman" w:cs="Times New Roman"/>
          <w:szCs w:val="24"/>
        </w:rPr>
        <w:t>B.</w:t>
      </w:r>
      <w:r w:rsidRPr="00FE0954">
        <w:rPr>
          <w:rFonts w:ascii="Times New Roman" w:hAnsi="Times New Roman" w:cs="Times New Roman"/>
          <w:szCs w:val="24"/>
        </w:rPr>
        <w:tab/>
      </w:r>
      <w:r w:rsidRPr="00FE0954">
        <w:rPr>
          <w:rFonts w:ascii="Times New Roman" w:hAnsi="Times New Roman" w:cs="Times New Roman"/>
          <w:szCs w:val="24"/>
        </w:rPr>
        <w:t>Contrary to AEP’s assertion, OCC’s consumer protection discovery is relevant and reasonably calculated to lead to the discovery of admissible evidence.</w:t>
      </w:r>
      <w:bookmarkEnd w:id="4"/>
    </w:p>
    <w:p w:rsidR="00A531CF" w:rsidP="00004C23" w14:paraId="0836E038" w14:textId="77777777">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AEP asserts that OCC’s consumer protection discovery about the June 2022 outages “is far beyond the scope of this two-year-old distribution reliability metrics case and not relevant or reasonably calculated to lead to the discovery of admissible evidence.”</w:t>
      </w:r>
      <w:r>
        <w:rPr>
          <w:rStyle w:val="FootnoteReference"/>
          <w:rFonts w:ascii="Times New Roman" w:hAnsi="Times New Roman" w:cs="Times New Roman"/>
          <w:sz w:val="24"/>
          <w:szCs w:val="24"/>
        </w:rPr>
        <w:footnoteReference w:id="20"/>
      </w:r>
      <w:r w:rsidRPr="00FE0954">
        <w:rPr>
          <w:rFonts w:ascii="Times New Roman" w:hAnsi="Times New Roman" w:cs="Times New Roman"/>
          <w:sz w:val="24"/>
          <w:szCs w:val="24"/>
        </w:rPr>
        <w:t xml:space="preserve"> AEP says that its Application and Amended Application “employ a fairly standardized process of establishing new SAIFI and CAIDI metrics – primarily looking at prior years’ non-major event performance.”</w:t>
      </w:r>
      <w:r>
        <w:rPr>
          <w:rStyle w:val="FootnoteReference"/>
          <w:rFonts w:ascii="Times New Roman" w:hAnsi="Times New Roman" w:cs="Times New Roman"/>
          <w:sz w:val="24"/>
          <w:szCs w:val="24"/>
        </w:rPr>
        <w:footnoteReference w:id="21"/>
      </w:r>
      <w:r w:rsidRPr="00FE0954">
        <w:rPr>
          <w:rFonts w:ascii="Times New Roman" w:hAnsi="Times New Roman" w:cs="Times New Roman"/>
          <w:sz w:val="24"/>
          <w:szCs w:val="24"/>
        </w:rPr>
        <w:t xml:space="preserve"> Because the June 2022 outages occurred after the Amended Application, and would have been excluded from the analysis as a “major event” anyway, AEP concludes that OCC is not entitled to its consumer protection discovery.</w:t>
      </w:r>
      <w:r>
        <w:rPr>
          <w:rStyle w:val="FootnoteReference"/>
          <w:rFonts w:ascii="Times New Roman" w:hAnsi="Times New Roman" w:cs="Times New Roman"/>
          <w:sz w:val="24"/>
          <w:szCs w:val="24"/>
        </w:rPr>
        <w:footnoteReference w:id="22"/>
      </w:r>
      <w:r w:rsidRPr="00FE0954">
        <w:rPr>
          <w:rFonts w:ascii="Times New Roman" w:hAnsi="Times New Roman" w:cs="Times New Roman"/>
          <w:sz w:val="24"/>
          <w:szCs w:val="24"/>
        </w:rPr>
        <w:t xml:space="preserve"> Otherwise, it would incur undue burden and expense.</w:t>
      </w:r>
      <w:r>
        <w:rPr>
          <w:rStyle w:val="FootnoteReference"/>
          <w:rFonts w:ascii="Times New Roman" w:hAnsi="Times New Roman" w:cs="Times New Roman"/>
          <w:sz w:val="24"/>
          <w:szCs w:val="24"/>
        </w:rPr>
        <w:footnoteReference w:id="23"/>
      </w:r>
      <w:r w:rsidRPr="00FE0954">
        <w:rPr>
          <w:rFonts w:ascii="Times New Roman" w:hAnsi="Times New Roman" w:cs="Times New Roman"/>
          <w:sz w:val="24"/>
          <w:szCs w:val="24"/>
        </w:rPr>
        <w:t xml:space="preserve"> AEP is wrong.</w:t>
      </w:r>
    </w:p>
    <w:p w:rsidR="00004C23" w:rsidRPr="00FE0954" w:rsidP="00004C23" w14:paraId="37D1FACB" w14:textId="1A1A90EF">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The reliability standards that are proposed in this case specifically involve establishing AEP’s 2022 reliability standards and beyond.</w:t>
      </w:r>
      <w:r>
        <w:rPr>
          <w:rStyle w:val="FootnoteReference"/>
          <w:rFonts w:ascii="Times New Roman" w:hAnsi="Times New Roman" w:cs="Times New Roman"/>
          <w:sz w:val="24"/>
          <w:szCs w:val="24"/>
        </w:rPr>
        <w:footnoteReference w:id="24"/>
      </w:r>
      <w:r w:rsidRPr="00FE0954">
        <w:rPr>
          <w:rFonts w:ascii="Times New Roman" w:hAnsi="Times New Roman" w:cs="Times New Roman"/>
          <w:sz w:val="24"/>
          <w:szCs w:val="24"/>
        </w:rPr>
        <w:t xml:space="preserve"> The June 2022 outages occurred during the very year that the proposed standards are intended to be in effect. While the specific circumstances and the impact that the June 2022 outages will have on reliability performance in 2022 are still unknown, the magnitude of the impact must be evaluated to determine the reasonableness of the proposed standards. </w:t>
      </w:r>
    </w:p>
    <w:p w:rsidR="00004C23" w:rsidRPr="00FE0954" w:rsidP="00004C23" w14:paraId="0D8F20A8" w14:textId="52443CEA">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AEP asserts that damage to both distribution and transmission facilities led to the widespread June 2022 outages.</w:t>
      </w:r>
      <w:r>
        <w:rPr>
          <w:rStyle w:val="FootnoteReference"/>
          <w:rFonts w:ascii="Times New Roman" w:hAnsi="Times New Roman" w:cs="Times New Roman"/>
          <w:sz w:val="24"/>
          <w:szCs w:val="24"/>
        </w:rPr>
        <w:footnoteReference w:id="25"/>
      </w:r>
      <w:r w:rsidRPr="00FE0954" w:rsidR="00232CB7">
        <w:rPr>
          <w:rFonts w:ascii="Times New Roman" w:hAnsi="Times New Roman" w:cs="Times New Roman"/>
          <w:sz w:val="24"/>
          <w:szCs w:val="24"/>
        </w:rPr>
        <w:t xml:space="preserve"> </w:t>
      </w:r>
      <w:r w:rsidRPr="00FE0954">
        <w:rPr>
          <w:rFonts w:ascii="Times New Roman" w:hAnsi="Times New Roman" w:cs="Times New Roman"/>
          <w:sz w:val="24"/>
          <w:szCs w:val="24"/>
        </w:rPr>
        <w:t>AEP is responsible for the inspection, maintenance, repair, and replacement of transmission and distribution system facilities in the normal course of providing safe and reliable service to consumers.</w:t>
      </w:r>
      <w:r>
        <w:rPr>
          <w:rStyle w:val="FootnoteReference"/>
          <w:rFonts w:ascii="Times New Roman" w:hAnsi="Times New Roman" w:cs="Times New Roman"/>
          <w:sz w:val="24"/>
          <w:szCs w:val="24"/>
        </w:rPr>
        <w:footnoteReference w:id="26"/>
      </w:r>
      <w:r w:rsidRPr="00FE0954">
        <w:rPr>
          <w:rFonts w:ascii="Times New Roman" w:hAnsi="Times New Roman" w:cs="Times New Roman"/>
          <w:sz w:val="24"/>
          <w:szCs w:val="24"/>
        </w:rPr>
        <w:t xml:space="preserve"> Establishing reliability standards in this case is very much dependent upon AEP adhering to well-established written programs, policies, procedures, and schedules for the inspection, maintenance, repair, and replacement</w:t>
      </w:r>
      <w:r w:rsidRPr="00FE0954" w:rsidR="00232CB7">
        <w:rPr>
          <w:rFonts w:ascii="Times New Roman" w:hAnsi="Times New Roman" w:cs="Times New Roman"/>
          <w:sz w:val="24"/>
          <w:szCs w:val="24"/>
        </w:rPr>
        <w:t xml:space="preserve"> </w:t>
      </w:r>
      <w:r w:rsidRPr="00FE0954">
        <w:rPr>
          <w:rFonts w:ascii="Times New Roman" w:hAnsi="Times New Roman" w:cs="Times New Roman"/>
          <w:sz w:val="24"/>
          <w:szCs w:val="24"/>
        </w:rPr>
        <w:t>of transmission and distribution equipment.</w:t>
      </w:r>
      <w:r>
        <w:rPr>
          <w:rStyle w:val="FootnoteReference"/>
          <w:rFonts w:ascii="Times New Roman" w:hAnsi="Times New Roman" w:cs="Times New Roman"/>
          <w:sz w:val="24"/>
          <w:szCs w:val="24"/>
        </w:rPr>
        <w:footnoteReference w:id="27"/>
      </w:r>
      <w:r w:rsidRPr="00FE0954">
        <w:rPr>
          <w:rFonts w:ascii="Times New Roman" w:hAnsi="Times New Roman" w:cs="Times New Roman"/>
          <w:sz w:val="24"/>
          <w:szCs w:val="24"/>
        </w:rPr>
        <w:t xml:space="preserve"> The June 2022 outages may result in changes in those programs, policies, procedures, and schedules that can impact both the reliability standards in 2022 and annual performance.</w:t>
      </w:r>
      <w:r w:rsidRPr="00FE0954" w:rsidR="00232CB7">
        <w:rPr>
          <w:rFonts w:ascii="Times New Roman" w:hAnsi="Times New Roman" w:cs="Times New Roman"/>
          <w:sz w:val="24"/>
          <w:szCs w:val="24"/>
        </w:rPr>
        <w:t xml:space="preserve"> </w:t>
      </w:r>
    </w:p>
    <w:p w:rsidR="00004C23" w:rsidRPr="00FE0954" w:rsidP="00004C23" w14:paraId="46E47784" w14:textId="77777777">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Further, no one can be certain at this stage if the 2017-2021 historical analysis to which AEP refers in establishing baseline performance adequately captures the events of June 2022.</w:t>
      </w:r>
      <w:r>
        <w:rPr>
          <w:rStyle w:val="FootnoteReference"/>
          <w:rFonts w:ascii="Times New Roman" w:hAnsi="Times New Roman" w:cs="Times New Roman"/>
          <w:sz w:val="24"/>
          <w:szCs w:val="24"/>
        </w:rPr>
        <w:footnoteReference w:id="28"/>
      </w:r>
      <w:r w:rsidRPr="00FE0954">
        <w:rPr>
          <w:rFonts w:ascii="Times New Roman" w:hAnsi="Times New Roman" w:cs="Times New Roman"/>
          <w:sz w:val="24"/>
          <w:szCs w:val="24"/>
        </w:rPr>
        <w:t xml:space="preserve"> Historical exclusion of certain outages and the determination of “major events” may be the same or different than the June 2022 outages. Establishing standards and reviewing reliability performance requires analysis of different types and magnitudes of outage events. Additionally, establishing reliability standards requires considering consumer perceptions (including surveys) that evaluate consumer satisfaction.</w:t>
      </w:r>
      <w:r>
        <w:rPr>
          <w:rStyle w:val="FootnoteReference"/>
          <w:rFonts w:ascii="Times New Roman" w:hAnsi="Times New Roman" w:cs="Times New Roman"/>
          <w:sz w:val="24"/>
          <w:szCs w:val="24"/>
        </w:rPr>
        <w:footnoteReference w:id="29"/>
      </w:r>
      <w:r w:rsidRPr="00FE0954">
        <w:rPr>
          <w:rFonts w:ascii="Times New Roman" w:hAnsi="Times New Roman" w:cs="Times New Roman"/>
          <w:sz w:val="24"/>
          <w:szCs w:val="24"/>
        </w:rPr>
        <w:t xml:space="preserve"> There can be no doubt that the magnitude of the forced outages during the June 2022 event had a major impact on consumer perceptions that should influence the 2022 standards. Further, consumers are paying dearly through single issue rate-making in AEP electric security plans for infrastructure modernization that is supposed to improve AEP’s reliability.</w:t>
      </w:r>
      <w:r>
        <w:rPr>
          <w:rStyle w:val="FootnoteReference"/>
          <w:rFonts w:ascii="Times New Roman" w:hAnsi="Times New Roman" w:cs="Times New Roman"/>
          <w:sz w:val="24"/>
          <w:szCs w:val="24"/>
        </w:rPr>
        <w:footnoteReference w:id="30"/>
      </w:r>
      <w:r w:rsidRPr="00FE0954">
        <w:rPr>
          <w:rFonts w:ascii="Times New Roman" w:hAnsi="Times New Roman" w:cs="Times New Roman"/>
          <w:sz w:val="24"/>
          <w:szCs w:val="24"/>
        </w:rPr>
        <w:t xml:space="preserve"> Yet the impact on reliability of the investments in AEP’s gridSMART, distribution investment charges, and tree trimming charges have yet to be determined in light of the June 2022 outages. </w:t>
      </w:r>
    </w:p>
    <w:p w:rsidR="00004C23" w:rsidRPr="00FE0954" w:rsidP="00004C23" w14:paraId="45C9DC6B" w14:textId="2DE461D5">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The consumer protection discovery sought by OCC all relates to AEP’s own presentation that it gave to the PUCO on July 13 about the June 2022 outages. There can be no undue burden and expense to AEP, as it asserts, for producing (relevant) information to OCC that relates to and underlies a presentation that it itself gave to the PUCO. This is especially true to the extent (as AEP asserts) the PUCO is “actively conducting a review of these events with the full cooperation of AEP and AEP Ohio.”</w:t>
      </w:r>
      <w:r>
        <w:rPr>
          <w:rStyle w:val="FootnoteReference"/>
          <w:rFonts w:ascii="Times New Roman" w:hAnsi="Times New Roman" w:cs="Times New Roman"/>
          <w:sz w:val="24"/>
          <w:szCs w:val="24"/>
        </w:rPr>
        <w:footnoteReference w:id="31"/>
      </w:r>
      <w:r w:rsidRPr="00FE0954">
        <w:rPr>
          <w:rFonts w:ascii="Times New Roman" w:hAnsi="Times New Roman" w:cs="Times New Roman"/>
          <w:sz w:val="24"/>
          <w:szCs w:val="24"/>
        </w:rPr>
        <w:t xml:space="preserve"> Any “active review” </w:t>
      </w:r>
      <w:r w:rsidRPr="00FE0954" w:rsidR="00DC1265">
        <w:rPr>
          <w:rFonts w:ascii="Times New Roman" w:hAnsi="Times New Roman" w:cs="Times New Roman"/>
          <w:sz w:val="24"/>
          <w:szCs w:val="24"/>
        </w:rPr>
        <w:t xml:space="preserve">by the PUCO </w:t>
      </w:r>
      <w:r w:rsidRPr="00FE0954">
        <w:rPr>
          <w:rFonts w:ascii="Times New Roman" w:hAnsi="Times New Roman" w:cs="Times New Roman"/>
          <w:sz w:val="24"/>
          <w:szCs w:val="24"/>
        </w:rPr>
        <w:t xml:space="preserve">would certainly include the same information requests made by OCC and, to the extent AEP </w:t>
      </w:r>
      <w:r w:rsidRPr="00FE0954">
        <w:rPr>
          <w:rFonts w:ascii="Times New Roman" w:hAnsi="Times New Roman" w:cs="Times New Roman"/>
          <w:i/>
          <w:iCs/>
          <w:sz w:val="24"/>
          <w:szCs w:val="24"/>
        </w:rPr>
        <w:t xml:space="preserve">is </w:t>
      </w:r>
      <w:r w:rsidRPr="00FE0954">
        <w:rPr>
          <w:rFonts w:ascii="Times New Roman" w:hAnsi="Times New Roman" w:cs="Times New Roman"/>
          <w:sz w:val="24"/>
          <w:szCs w:val="24"/>
        </w:rPr>
        <w:t>cooperating with that review, it is producing the requested information anyway.</w:t>
      </w:r>
    </w:p>
    <w:p w:rsidR="00A40E30" w:rsidRPr="00FE0954" w:rsidP="00A531CF" w14:paraId="2B5CA641" w14:textId="27CCDAF3">
      <w:pPr>
        <w:autoSpaceDE w:val="0"/>
        <w:autoSpaceDN w:val="0"/>
        <w:adjustRightInd w:val="0"/>
        <w:spacing w:after="0" w:line="480" w:lineRule="auto"/>
        <w:ind w:firstLine="720"/>
        <w:rPr>
          <w:rFonts w:ascii="Times New Roman" w:hAnsi="Times New Roman" w:eastAsiaTheme="majorEastAsia" w:cs="Times New Roman"/>
          <w:b/>
          <w:sz w:val="24"/>
          <w:szCs w:val="24"/>
        </w:rPr>
      </w:pPr>
      <w:r w:rsidRPr="00FE0954">
        <w:rPr>
          <w:rFonts w:ascii="Times New Roman" w:hAnsi="Times New Roman" w:cs="Times New Roman"/>
          <w:sz w:val="24"/>
          <w:szCs w:val="24"/>
        </w:rPr>
        <w:t>OCC’s consumer protection discovery is relevant and reasonably calculated to lead to the discovery of admissible evidence. It will not result in AEP incurring undue burden or expense. AEP’s Motion for Protective Order should be denied.</w:t>
      </w:r>
    </w:p>
    <w:p w:rsidR="00004C23" w:rsidRPr="00FE0954" w:rsidP="00A40E30" w14:paraId="5670928D" w14:textId="1C62C5AF">
      <w:pPr>
        <w:pStyle w:val="Heading2"/>
        <w:rPr>
          <w:rFonts w:ascii="Times New Roman" w:hAnsi="Times New Roman" w:cs="Times New Roman"/>
          <w:szCs w:val="24"/>
        </w:rPr>
      </w:pPr>
      <w:bookmarkStart w:id="5" w:name="_Toc114492662"/>
      <w:r w:rsidRPr="00FE0954">
        <w:rPr>
          <w:rFonts w:ascii="Times New Roman" w:hAnsi="Times New Roman" w:cs="Times New Roman"/>
          <w:szCs w:val="24"/>
        </w:rPr>
        <w:t>C.</w:t>
      </w:r>
      <w:r w:rsidRPr="00FE0954">
        <w:rPr>
          <w:rFonts w:ascii="Times New Roman" w:hAnsi="Times New Roman" w:cs="Times New Roman"/>
          <w:szCs w:val="24"/>
        </w:rPr>
        <w:tab/>
      </w:r>
      <w:r w:rsidRPr="00FE0954">
        <w:rPr>
          <w:rFonts w:ascii="Times New Roman" w:hAnsi="Times New Roman" w:cs="Times New Roman"/>
          <w:szCs w:val="24"/>
        </w:rPr>
        <w:t>Contrary to AEP’s assertions, OCC’s consumer protection discovery about transmission infrastructure is not irrelevant.</w:t>
      </w:r>
      <w:bookmarkEnd w:id="5"/>
    </w:p>
    <w:p w:rsidR="00004C23" w:rsidRPr="00FE0954" w:rsidP="00004C23" w14:paraId="37B30896" w14:textId="77777777">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 xml:space="preserve">AEP asserts that its Motion for Protective Order should be granted on OCC’s “transmission-related requests because they are not at all germane to this matter that relates to AEP Ohio’s </w:t>
      </w:r>
      <w:r w:rsidRPr="00FE0954">
        <w:rPr>
          <w:rFonts w:ascii="Times New Roman" w:hAnsi="Times New Roman" w:cs="Times New Roman"/>
          <w:i/>
          <w:iCs/>
          <w:sz w:val="24"/>
          <w:szCs w:val="24"/>
        </w:rPr>
        <w:t xml:space="preserve">distribution </w:t>
      </w:r>
      <w:r w:rsidRPr="00FE0954">
        <w:rPr>
          <w:rFonts w:ascii="Times New Roman" w:hAnsi="Times New Roman" w:cs="Times New Roman"/>
          <w:sz w:val="24"/>
          <w:szCs w:val="24"/>
        </w:rPr>
        <w:t>performance metrics.”</w:t>
      </w:r>
      <w:r>
        <w:rPr>
          <w:rStyle w:val="FootnoteReference"/>
          <w:rFonts w:ascii="Times New Roman" w:hAnsi="Times New Roman" w:cs="Times New Roman"/>
          <w:sz w:val="24"/>
          <w:szCs w:val="24"/>
        </w:rPr>
        <w:footnoteReference w:id="32"/>
      </w:r>
      <w:r w:rsidRPr="00FE0954">
        <w:rPr>
          <w:rFonts w:ascii="Times New Roman" w:hAnsi="Times New Roman" w:cs="Times New Roman"/>
          <w:sz w:val="24"/>
          <w:szCs w:val="24"/>
        </w:rPr>
        <w:t xml:space="preserve"> AEP is wrong.</w:t>
      </w:r>
    </w:p>
    <w:p w:rsidR="00004C23" w:rsidRPr="00FE0954" w:rsidP="00004C23" w14:paraId="6A5D2267" w14:textId="77777777">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It is a truism that distribution and transmission are interrelated. One doesn’t happen without the other. AEP itself appears to concede as much, saying that the events of June 2022 “caused damages to AEP Ohio’s distribution facilities as well as AEP transmission facilities, . . .”</w:t>
      </w:r>
      <w:r>
        <w:rPr>
          <w:rStyle w:val="FootnoteReference"/>
          <w:rFonts w:ascii="Times New Roman" w:hAnsi="Times New Roman" w:cs="Times New Roman"/>
          <w:sz w:val="24"/>
          <w:szCs w:val="24"/>
        </w:rPr>
        <w:footnoteReference w:id="33"/>
      </w:r>
      <w:r w:rsidRPr="00FE0954">
        <w:rPr>
          <w:rFonts w:ascii="Times New Roman" w:hAnsi="Times New Roman" w:cs="Times New Roman"/>
          <w:sz w:val="24"/>
          <w:szCs w:val="24"/>
        </w:rPr>
        <w:t xml:space="preserve"> The potential impact that the June 2022 outages will have on the 2022 reliability performance standards must be evaluated with all available information to fully understand the relationship between different outage events involving both AEP distribution and transmission facilities. </w:t>
      </w:r>
    </w:p>
    <w:p w:rsidR="00004C23" w:rsidRPr="00FE0954" w:rsidP="00004C23" w14:paraId="11FDC74D" w14:textId="6006C8AD">
      <w:pPr>
        <w:autoSpaceDE w:val="0"/>
        <w:autoSpaceDN w:val="0"/>
        <w:adjustRightInd w:val="0"/>
        <w:spacing w:after="0" w:line="480" w:lineRule="auto"/>
        <w:ind w:firstLine="720"/>
        <w:rPr>
          <w:rFonts w:ascii="Times New Roman" w:hAnsi="Times New Roman" w:cs="Times New Roman"/>
          <w:sz w:val="24"/>
          <w:szCs w:val="24"/>
        </w:rPr>
      </w:pPr>
      <w:r w:rsidRPr="00FE0954">
        <w:rPr>
          <w:rFonts w:ascii="Times New Roman" w:hAnsi="Times New Roman" w:cs="Times New Roman"/>
          <w:sz w:val="24"/>
          <w:szCs w:val="24"/>
        </w:rPr>
        <w:t>OCC’s consumer protection discovery is relevant and reasonably calculated to lead to the discovery of admissible evidence.</w:t>
      </w:r>
    </w:p>
    <w:p w:rsidR="000F12DE" w:rsidRPr="00FE0954" w:rsidP="000F12DE" w14:paraId="7F4D88E8" w14:textId="77777777">
      <w:pPr>
        <w:autoSpaceDE w:val="0"/>
        <w:autoSpaceDN w:val="0"/>
        <w:adjustRightInd w:val="0"/>
        <w:spacing w:after="0" w:line="240" w:lineRule="auto"/>
        <w:ind w:firstLine="720"/>
        <w:rPr>
          <w:rFonts w:ascii="Times New Roman" w:hAnsi="Times New Roman" w:cs="Times New Roman"/>
          <w:sz w:val="24"/>
          <w:szCs w:val="24"/>
        </w:rPr>
      </w:pPr>
    </w:p>
    <w:p w:rsidR="00004C23" w:rsidRPr="00FE0954" w:rsidP="000F12DE" w14:paraId="4FD38E71" w14:textId="77777777">
      <w:pPr>
        <w:pStyle w:val="Heading1"/>
        <w:rPr>
          <w:rFonts w:ascii="Times New Roman" w:hAnsi="Times New Roman" w:cs="Times New Roman"/>
          <w:szCs w:val="24"/>
        </w:rPr>
      </w:pPr>
      <w:bookmarkStart w:id="6" w:name="_Toc114492663"/>
      <w:r w:rsidRPr="00FE0954">
        <w:rPr>
          <w:rFonts w:ascii="Times New Roman" w:hAnsi="Times New Roman" w:cs="Times New Roman"/>
          <w:szCs w:val="24"/>
        </w:rPr>
        <w:t>IV.</w:t>
      </w:r>
      <w:r w:rsidRPr="00FE0954">
        <w:rPr>
          <w:rFonts w:ascii="Times New Roman" w:hAnsi="Times New Roman" w:cs="Times New Roman"/>
          <w:szCs w:val="24"/>
        </w:rPr>
        <w:tab/>
        <w:t>Conclusion</w:t>
      </w:r>
      <w:bookmarkEnd w:id="6"/>
    </w:p>
    <w:p w:rsidR="00154BF1" w:rsidRPr="00FE0954" w:rsidP="00A531CF" w14:paraId="38C9D5BA" w14:textId="69C8749C">
      <w:pPr>
        <w:autoSpaceDE w:val="0"/>
        <w:autoSpaceDN w:val="0"/>
        <w:adjustRightInd w:val="0"/>
        <w:spacing w:after="0" w:line="480" w:lineRule="auto"/>
        <w:rPr>
          <w:rFonts w:ascii="Times New Roman" w:hAnsi="Times New Roman" w:cs="Times New Roman"/>
          <w:sz w:val="24"/>
          <w:szCs w:val="24"/>
        </w:rPr>
      </w:pPr>
      <w:r w:rsidRPr="00FE0954">
        <w:rPr>
          <w:rFonts w:ascii="Times New Roman" w:hAnsi="Times New Roman" w:cs="Times New Roman"/>
          <w:b/>
          <w:bCs/>
          <w:sz w:val="24"/>
          <w:szCs w:val="24"/>
        </w:rPr>
        <w:tab/>
      </w:r>
      <w:r w:rsidRPr="00FE0954">
        <w:rPr>
          <w:rFonts w:ascii="Times New Roman" w:hAnsi="Times New Roman" w:cs="Times New Roman"/>
          <w:i/>
          <w:iCs/>
          <w:sz w:val="24"/>
          <w:szCs w:val="24"/>
        </w:rPr>
        <w:t xml:space="preserve">People need utility services to live. </w:t>
      </w:r>
      <w:r w:rsidRPr="00FE0954">
        <w:rPr>
          <w:rFonts w:ascii="Times New Roman" w:hAnsi="Times New Roman" w:cs="Times New Roman"/>
          <w:sz w:val="24"/>
          <w:szCs w:val="24"/>
        </w:rPr>
        <w:t>During June 2022, people using AEP’s utility service had it fail on them. They deserve answers. OCC, on consumers’ behalf, is seeking answers in the very case where 2022 reliability standards are being established. It is entitled to have them. AEP’s Motion for Protective Order should be denied.</w:t>
      </w:r>
    </w:p>
    <w:p w:rsidR="003E3888" w:rsidRPr="00FE0954" w:rsidP="008740EF" w14:paraId="3BD996CF" w14:textId="69A6EAB8">
      <w:pPr>
        <w:spacing w:after="0" w:line="240" w:lineRule="auto"/>
        <w:ind w:left="3150"/>
        <w:rPr>
          <w:rFonts w:ascii="Times New Roman" w:hAnsi="Times New Roman" w:cs="Times New Roman"/>
          <w:sz w:val="24"/>
          <w:szCs w:val="24"/>
        </w:rPr>
      </w:pPr>
      <w:r w:rsidRPr="00FE0954">
        <w:rPr>
          <w:rFonts w:ascii="Times New Roman" w:hAnsi="Times New Roman" w:cs="Times New Roman"/>
          <w:sz w:val="24"/>
          <w:szCs w:val="24"/>
        </w:rPr>
        <w:t>Respectfully submitted,</w:t>
      </w:r>
    </w:p>
    <w:p w:rsidR="008740EF" w:rsidRPr="00FE0954" w:rsidP="008740EF" w14:paraId="4387762D" w14:textId="3ECD7450">
      <w:pPr>
        <w:spacing w:after="0" w:line="240" w:lineRule="auto"/>
        <w:jc w:val="center"/>
        <w:rPr>
          <w:rFonts w:ascii="Times New Roman" w:hAnsi="Times New Roman" w:cs="Times New Roman"/>
          <w:sz w:val="24"/>
          <w:szCs w:val="24"/>
        </w:rPr>
      </w:pPr>
    </w:p>
    <w:p w:rsidR="008740EF" w:rsidRPr="00FE0954" w:rsidP="008740EF" w14:paraId="2E57714C" w14:textId="77777777">
      <w:pPr>
        <w:spacing w:after="0" w:line="240" w:lineRule="auto"/>
        <w:ind w:left="3150"/>
        <w:jc w:val="both"/>
        <w:rPr>
          <w:rFonts w:ascii="Times New Roman" w:hAnsi="Times New Roman" w:cs="Times New Roman"/>
          <w:sz w:val="24"/>
          <w:szCs w:val="24"/>
        </w:rPr>
      </w:pPr>
      <w:r w:rsidRPr="00FE0954">
        <w:rPr>
          <w:rFonts w:ascii="Times New Roman" w:hAnsi="Times New Roman" w:cs="Times New Roman"/>
          <w:sz w:val="24"/>
          <w:szCs w:val="24"/>
        </w:rPr>
        <w:t>Bruce Weston (0016973)</w:t>
      </w:r>
    </w:p>
    <w:p w:rsidR="008740EF" w:rsidRPr="00FE0954" w:rsidP="008740EF" w14:paraId="6BA23577" w14:textId="77777777">
      <w:pPr>
        <w:spacing w:after="0" w:line="240" w:lineRule="auto"/>
        <w:ind w:left="3150"/>
        <w:jc w:val="both"/>
        <w:rPr>
          <w:rFonts w:ascii="Times New Roman" w:hAnsi="Times New Roman" w:cs="Times New Roman"/>
          <w:sz w:val="24"/>
          <w:szCs w:val="24"/>
        </w:rPr>
      </w:pPr>
      <w:r w:rsidRPr="00FE0954">
        <w:rPr>
          <w:rFonts w:ascii="Times New Roman" w:hAnsi="Times New Roman" w:cs="Times New Roman"/>
          <w:sz w:val="24"/>
          <w:szCs w:val="24"/>
        </w:rPr>
        <w:t>Ohio Consumers’ Counsel</w:t>
      </w:r>
    </w:p>
    <w:p w:rsidR="008740EF" w:rsidRPr="00FE0954" w:rsidP="008740EF" w14:paraId="48EA13A9" w14:textId="77777777">
      <w:pPr>
        <w:tabs>
          <w:tab w:val="left" w:pos="4320"/>
        </w:tabs>
        <w:spacing w:after="0" w:line="240" w:lineRule="auto"/>
        <w:ind w:left="3150"/>
        <w:jc w:val="both"/>
        <w:rPr>
          <w:rFonts w:ascii="Times New Roman" w:hAnsi="Times New Roman" w:cs="Times New Roman"/>
          <w:sz w:val="24"/>
          <w:szCs w:val="24"/>
        </w:rPr>
      </w:pPr>
    </w:p>
    <w:p w:rsidR="008740EF" w:rsidRPr="00FE0954" w:rsidP="008740EF" w14:paraId="570116EE" w14:textId="77777777">
      <w:pPr>
        <w:spacing w:after="0" w:line="240" w:lineRule="auto"/>
        <w:ind w:left="3150"/>
        <w:rPr>
          <w:rFonts w:ascii="Times New Roman" w:hAnsi="Times New Roman" w:cs="Times New Roman"/>
          <w:i/>
          <w:iCs/>
          <w:sz w:val="24"/>
          <w:szCs w:val="24"/>
          <w:u w:val="single"/>
        </w:rPr>
      </w:pPr>
      <w:r w:rsidRPr="00FE0954">
        <w:rPr>
          <w:rFonts w:ascii="Times New Roman" w:hAnsi="Times New Roman" w:cs="Times New Roman"/>
          <w:i/>
          <w:iCs/>
          <w:sz w:val="24"/>
          <w:szCs w:val="24"/>
          <w:u w:val="single"/>
        </w:rPr>
        <w:t>/s/ William J. Michael</w:t>
      </w:r>
    </w:p>
    <w:p w:rsidR="008740EF" w:rsidRPr="00FE0954" w:rsidP="008740EF" w14:paraId="5FD98ED0" w14:textId="77777777">
      <w:pPr>
        <w:spacing w:after="0" w:line="240" w:lineRule="auto"/>
        <w:ind w:left="3150"/>
        <w:rPr>
          <w:rFonts w:ascii="Times New Roman" w:hAnsi="Times New Roman" w:cs="Times New Roman"/>
          <w:sz w:val="24"/>
          <w:szCs w:val="24"/>
        </w:rPr>
      </w:pPr>
      <w:r w:rsidRPr="00FE0954">
        <w:rPr>
          <w:rFonts w:ascii="Times New Roman" w:hAnsi="Times New Roman" w:cs="Times New Roman"/>
          <w:sz w:val="24"/>
          <w:szCs w:val="24"/>
        </w:rPr>
        <w:t>William J. Michael (0070921)</w:t>
      </w:r>
    </w:p>
    <w:p w:rsidR="008740EF" w:rsidRPr="00FE0954" w:rsidP="008740EF" w14:paraId="3848A00C" w14:textId="77777777">
      <w:pPr>
        <w:spacing w:after="0" w:line="240" w:lineRule="auto"/>
        <w:ind w:left="3150"/>
        <w:rPr>
          <w:rFonts w:ascii="Times New Roman" w:hAnsi="Times New Roman" w:cs="Times New Roman"/>
          <w:sz w:val="24"/>
          <w:szCs w:val="24"/>
        </w:rPr>
      </w:pPr>
      <w:r w:rsidRPr="00FE0954">
        <w:rPr>
          <w:rFonts w:ascii="Times New Roman" w:hAnsi="Times New Roman" w:cs="Times New Roman"/>
          <w:sz w:val="24"/>
          <w:szCs w:val="24"/>
        </w:rPr>
        <w:t>Counsel of Record</w:t>
      </w:r>
    </w:p>
    <w:p w:rsidR="008740EF" w:rsidRPr="00FE0954" w:rsidP="008740EF" w14:paraId="5530C812" w14:textId="77777777">
      <w:pPr>
        <w:spacing w:after="0" w:line="240" w:lineRule="auto"/>
        <w:ind w:left="3150"/>
        <w:rPr>
          <w:rFonts w:ascii="Times New Roman" w:hAnsi="Times New Roman" w:cs="Times New Roman"/>
          <w:sz w:val="24"/>
          <w:szCs w:val="24"/>
        </w:rPr>
      </w:pPr>
      <w:r w:rsidRPr="00FE0954">
        <w:rPr>
          <w:rFonts w:ascii="Times New Roman" w:eastAsia="Times New Roman" w:hAnsi="Times New Roman" w:cs="Times New Roman"/>
          <w:sz w:val="24"/>
          <w:szCs w:val="24"/>
        </w:rPr>
        <w:t>Amy Botschner O’Brien (0074423)</w:t>
      </w:r>
    </w:p>
    <w:p w:rsidR="008740EF" w:rsidRPr="00FE0954" w:rsidP="008740EF" w14:paraId="4B7840F7" w14:textId="77777777">
      <w:pPr>
        <w:spacing w:after="0" w:line="240" w:lineRule="auto"/>
        <w:ind w:left="3150"/>
        <w:rPr>
          <w:rFonts w:ascii="Times New Roman" w:hAnsi="Times New Roman" w:cs="Times New Roman"/>
          <w:sz w:val="24"/>
          <w:szCs w:val="24"/>
        </w:rPr>
      </w:pPr>
      <w:r w:rsidRPr="00FE0954">
        <w:rPr>
          <w:rFonts w:ascii="Times New Roman" w:hAnsi="Times New Roman" w:cs="Times New Roman"/>
          <w:sz w:val="24"/>
          <w:szCs w:val="24"/>
        </w:rPr>
        <w:t>Assistant Consumers’ Counsel</w:t>
      </w:r>
    </w:p>
    <w:p w:rsidR="008740EF" w:rsidRPr="00FE0954" w:rsidP="008740EF" w14:paraId="5F61292F" w14:textId="77777777">
      <w:pPr>
        <w:spacing w:after="0" w:line="240" w:lineRule="auto"/>
        <w:ind w:left="3150"/>
        <w:rPr>
          <w:rFonts w:ascii="Times New Roman" w:hAnsi="Times New Roman" w:cs="Times New Roman"/>
          <w:sz w:val="24"/>
          <w:szCs w:val="24"/>
        </w:rPr>
      </w:pPr>
    </w:p>
    <w:p w:rsidR="008740EF" w:rsidRPr="00FE0954" w:rsidP="008740EF" w14:paraId="2D75C7AB" w14:textId="77777777">
      <w:pPr>
        <w:spacing w:after="0" w:line="240" w:lineRule="auto"/>
        <w:ind w:left="3150"/>
        <w:rPr>
          <w:rFonts w:ascii="Times New Roman" w:hAnsi="Times New Roman" w:cs="Times New Roman"/>
          <w:b/>
          <w:bCs/>
          <w:sz w:val="24"/>
          <w:szCs w:val="24"/>
        </w:rPr>
      </w:pPr>
      <w:r w:rsidRPr="00FE0954">
        <w:rPr>
          <w:rFonts w:ascii="Times New Roman" w:hAnsi="Times New Roman" w:cs="Times New Roman"/>
          <w:b/>
          <w:bCs/>
          <w:sz w:val="24"/>
          <w:szCs w:val="24"/>
        </w:rPr>
        <w:t>Office of the Ohio Consumers’ Counsel</w:t>
      </w:r>
    </w:p>
    <w:p w:rsidR="008740EF" w:rsidRPr="00FE0954" w:rsidP="008740EF" w14:paraId="1A79AB90" w14:textId="77777777">
      <w:pPr>
        <w:spacing w:after="0" w:line="240" w:lineRule="auto"/>
        <w:ind w:left="3150"/>
        <w:rPr>
          <w:rFonts w:ascii="Times New Roman" w:hAnsi="Times New Roman" w:cs="Times New Roman"/>
          <w:b/>
          <w:sz w:val="24"/>
          <w:szCs w:val="24"/>
        </w:rPr>
      </w:pPr>
      <w:r w:rsidRPr="00FE0954">
        <w:rPr>
          <w:rFonts w:ascii="Times New Roman" w:hAnsi="Times New Roman" w:cs="Times New Roman"/>
          <w:sz w:val="24"/>
          <w:szCs w:val="24"/>
        </w:rPr>
        <w:t>65 East State Street, Suite 700</w:t>
      </w:r>
    </w:p>
    <w:p w:rsidR="008740EF" w:rsidRPr="00FE0954" w:rsidP="008740EF" w14:paraId="48B76EE1" w14:textId="77777777">
      <w:pPr>
        <w:spacing w:after="0" w:line="240" w:lineRule="auto"/>
        <w:ind w:left="3150"/>
        <w:rPr>
          <w:rFonts w:ascii="Times New Roman" w:hAnsi="Times New Roman" w:cs="Times New Roman"/>
          <w:b/>
          <w:sz w:val="24"/>
          <w:szCs w:val="24"/>
        </w:rPr>
      </w:pPr>
      <w:r w:rsidRPr="00FE0954">
        <w:rPr>
          <w:rFonts w:ascii="Times New Roman" w:hAnsi="Times New Roman" w:cs="Times New Roman"/>
          <w:sz w:val="24"/>
          <w:szCs w:val="24"/>
        </w:rPr>
        <w:t>Columbus, Ohio 43215</w:t>
      </w:r>
    </w:p>
    <w:p w:rsidR="008740EF" w:rsidRPr="00FE0954" w:rsidP="008740EF" w14:paraId="40259716" w14:textId="77777777">
      <w:pPr>
        <w:spacing w:after="0" w:line="240" w:lineRule="auto"/>
        <w:ind w:left="3150"/>
        <w:rPr>
          <w:rFonts w:ascii="Times New Roman" w:hAnsi="Times New Roman" w:cs="Times New Roman"/>
          <w:sz w:val="24"/>
          <w:szCs w:val="24"/>
        </w:rPr>
      </w:pPr>
      <w:r w:rsidRPr="00FE0954">
        <w:rPr>
          <w:rFonts w:ascii="Times New Roman" w:hAnsi="Times New Roman" w:cs="Times New Roman"/>
          <w:sz w:val="24"/>
          <w:szCs w:val="24"/>
        </w:rPr>
        <w:t>Telephone [Michael]: (614) 466-1291</w:t>
      </w:r>
    </w:p>
    <w:p w:rsidR="008740EF" w:rsidRPr="00FE0954" w:rsidP="008740EF" w14:paraId="7D220FAA" w14:textId="77777777">
      <w:pPr>
        <w:tabs>
          <w:tab w:val="left" w:pos="3690"/>
        </w:tabs>
        <w:autoSpaceDE w:val="0"/>
        <w:autoSpaceDN w:val="0"/>
        <w:adjustRightInd w:val="0"/>
        <w:spacing w:after="0" w:line="240" w:lineRule="auto"/>
        <w:ind w:left="3150"/>
        <w:rPr>
          <w:rFonts w:ascii="Times New Roman" w:eastAsia="Times New Roman" w:hAnsi="Times New Roman" w:cs="Times New Roman"/>
          <w:sz w:val="24"/>
          <w:szCs w:val="24"/>
        </w:rPr>
      </w:pPr>
      <w:r w:rsidRPr="00FE0954">
        <w:rPr>
          <w:rFonts w:ascii="Times New Roman" w:eastAsia="Times New Roman" w:hAnsi="Times New Roman" w:cs="Times New Roman"/>
          <w:sz w:val="24"/>
          <w:szCs w:val="24"/>
        </w:rPr>
        <w:t>Telephone [Botschner O’Brien]: (614) 466-9575</w:t>
      </w:r>
    </w:p>
    <w:p w:rsidR="008740EF" w:rsidRPr="00FE0954" w:rsidP="008740EF" w14:paraId="1EBFE372" w14:textId="77777777">
      <w:pPr>
        <w:spacing w:after="0" w:line="240" w:lineRule="auto"/>
        <w:ind w:left="3150"/>
        <w:rPr>
          <w:rFonts w:ascii="Times New Roman" w:hAnsi="Times New Roman" w:cs="Times New Roman"/>
          <w:color w:val="0000FF"/>
          <w:sz w:val="24"/>
          <w:szCs w:val="24"/>
          <w:u w:val="single"/>
        </w:rPr>
      </w:pPr>
      <w:hyperlink r:id="rId6" w:history="1">
        <w:r w:rsidRPr="00FE0954">
          <w:rPr>
            <w:rFonts w:ascii="Times New Roman" w:hAnsi="Times New Roman" w:cs="Times New Roman"/>
            <w:color w:val="0000FF"/>
            <w:sz w:val="24"/>
            <w:szCs w:val="24"/>
            <w:u w:val="single"/>
          </w:rPr>
          <w:t>william.michael@occ.ohio.gov</w:t>
        </w:r>
      </w:hyperlink>
    </w:p>
    <w:p w:rsidR="008740EF" w:rsidRPr="00FE0954" w:rsidP="008740EF" w14:paraId="7BB02961" w14:textId="77777777">
      <w:pPr>
        <w:spacing w:after="0" w:line="240" w:lineRule="auto"/>
        <w:ind w:left="3150"/>
        <w:rPr>
          <w:rFonts w:ascii="Times New Roman" w:hAnsi="Times New Roman" w:cs="Times New Roman"/>
          <w:color w:val="0000FF"/>
          <w:sz w:val="24"/>
          <w:szCs w:val="24"/>
          <w:u w:val="single"/>
        </w:rPr>
      </w:pPr>
      <w:hyperlink r:id="rId7" w:history="1">
        <w:r w:rsidRPr="00FE0954">
          <w:rPr>
            <w:rFonts w:ascii="Times New Roman" w:eastAsia="Times New Roman" w:hAnsi="Times New Roman" w:cs="Times New Roman"/>
            <w:color w:val="0000FF"/>
            <w:sz w:val="24"/>
            <w:szCs w:val="24"/>
            <w:u w:val="single"/>
          </w:rPr>
          <w:t>amy.botschner.obrien@occ.ohio.gov</w:t>
        </w:r>
      </w:hyperlink>
    </w:p>
    <w:p w:rsidR="008740EF" w:rsidRPr="00FE0954" w:rsidP="008740EF" w14:paraId="6AF40457" w14:textId="7EB187B5">
      <w:pPr>
        <w:spacing w:after="0" w:line="240" w:lineRule="auto"/>
        <w:ind w:left="3150"/>
        <w:rPr>
          <w:rFonts w:ascii="Times New Roman" w:hAnsi="Times New Roman" w:cs="Times New Roman"/>
          <w:color w:val="0000FF"/>
          <w:sz w:val="24"/>
          <w:szCs w:val="24"/>
          <w:u w:val="single"/>
        </w:rPr>
      </w:pPr>
      <w:r w:rsidRPr="00FE0954">
        <w:rPr>
          <w:rFonts w:ascii="Times New Roman" w:hAnsi="Times New Roman" w:cs="Times New Roman"/>
          <w:sz w:val="24"/>
          <w:szCs w:val="24"/>
        </w:rPr>
        <w:t>(willing to accept service by e-mail)</w:t>
      </w:r>
    </w:p>
    <w:p w:rsidR="003E3888" w:rsidRPr="00FE0954" w:rsidP="008740EF" w14:paraId="15A68687" w14:textId="77777777">
      <w:pPr>
        <w:spacing w:after="0" w:line="240" w:lineRule="auto"/>
        <w:rPr>
          <w:rFonts w:ascii="Times New Roman" w:hAnsi="Times New Roman" w:cs="Times New Roman"/>
          <w:b/>
          <w:bCs/>
          <w:sz w:val="24"/>
          <w:szCs w:val="24"/>
          <w:u w:val="single"/>
        </w:rPr>
      </w:pPr>
      <w:r w:rsidRPr="00FE0954">
        <w:rPr>
          <w:rFonts w:ascii="Times New Roman" w:hAnsi="Times New Roman" w:cs="Times New Roman"/>
          <w:b/>
          <w:bCs/>
          <w:sz w:val="24"/>
          <w:szCs w:val="24"/>
          <w:u w:val="single"/>
        </w:rPr>
        <w:br w:type="page"/>
      </w:r>
    </w:p>
    <w:p w:rsidR="003E3888" w:rsidRPr="00FE0954" w14:paraId="3083AA62" w14:textId="77777777">
      <w:pPr>
        <w:jc w:val="center"/>
        <w:rPr>
          <w:rFonts w:ascii="Times New Roman" w:hAnsi="Times New Roman" w:cs="Times New Roman"/>
          <w:b/>
          <w:bCs/>
          <w:sz w:val="24"/>
          <w:szCs w:val="24"/>
          <w:u w:val="single"/>
        </w:rPr>
      </w:pPr>
      <w:r w:rsidRPr="00FE0954">
        <w:rPr>
          <w:rFonts w:ascii="Times New Roman" w:hAnsi="Times New Roman" w:cs="Times New Roman"/>
          <w:b/>
          <w:bCs/>
          <w:sz w:val="24"/>
          <w:szCs w:val="24"/>
          <w:u w:val="single"/>
        </w:rPr>
        <w:t>CERTIFICATE OF SERVICE</w:t>
      </w:r>
    </w:p>
    <w:p w:rsidR="003E3888" w:rsidRPr="00FE0954" w14:paraId="462C3410" w14:textId="309D5C68">
      <w:pPr>
        <w:spacing w:after="0" w:line="480" w:lineRule="auto"/>
        <w:rPr>
          <w:rFonts w:ascii="Times New Roman" w:hAnsi="Times New Roman" w:cs="Times New Roman"/>
          <w:sz w:val="24"/>
          <w:szCs w:val="24"/>
        </w:rPr>
      </w:pPr>
      <w:r w:rsidRPr="00FE0954">
        <w:rPr>
          <w:rFonts w:ascii="Times New Roman" w:hAnsi="Times New Roman" w:cs="Times New Roman"/>
          <w:sz w:val="24"/>
          <w:szCs w:val="24"/>
        </w:rPr>
        <w:tab/>
        <w:t xml:space="preserve">I hereby certify that a copy of this </w:t>
      </w:r>
      <w:r w:rsidRPr="00FE0954" w:rsidR="004F7CC2">
        <w:rPr>
          <w:rFonts w:ascii="Times New Roman" w:hAnsi="Times New Roman" w:cs="Times New Roman"/>
          <w:sz w:val="24"/>
          <w:szCs w:val="24"/>
        </w:rPr>
        <w:t>Memorandum Contra</w:t>
      </w:r>
      <w:r w:rsidRPr="00FE0954">
        <w:rPr>
          <w:rFonts w:ascii="Times New Roman" w:hAnsi="Times New Roman" w:cs="Times New Roman"/>
          <w:sz w:val="24"/>
          <w:szCs w:val="24"/>
        </w:rPr>
        <w:t xml:space="preserve"> was served on the persons stated below </w:t>
      </w:r>
      <w:r w:rsidRPr="00FE0954">
        <w:rPr>
          <w:rFonts w:ascii="Times New Roman" w:hAnsi="Times New Roman" w:cs="Times New Roman"/>
          <w:iCs/>
          <w:sz w:val="24"/>
          <w:szCs w:val="24"/>
        </w:rPr>
        <w:t>via</w:t>
      </w:r>
      <w:r w:rsidRPr="00FE0954">
        <w:rPr>
          <w:rFonts w:ascii="Times New Roman" w:hAnsi="Times New Roman" w:cs="Times New Roman"/>
          <w:sz w:val="24"/>
          <w:szCs w:val="24"/>
        </w:rPr>
        <w:t xml:space="preserve"> electronic transmission, this </w:t>
      </w:r>
      <w:r w:rsidRPr="00FE0954" w:rsidR="001B3FD7">
        <w:rPr>
          <w:rFonts w:ascii="Times New Roman" w:hAnsi="Times New Roman" w:cs="Times New Roman"/>
          <w:sz w:val="24"/>
          <w:szCs w:val="24"/>
        </w:rPr>
        <w:t>19</w:t>
      </w:r>
      <w:r w:rsidRPr="00FE0954" w:rsidR="001B3FD7">
        <w:rPr>
          <w:rFonts w:ascii="Times New Roman" w:hAnsi="Times New Roman" w:cs="Times New Roman"/>
          <w:sz w:val="24"/>
          <w:szCs w:val="24"/>
          <w:vertAlign w:val="superscript"/>
        </w:rPr>
        <w:t>th</w:t>
      </w:r>
      <w:r w:rsidRPr="00FE0954" w:rsidR="001B3FD7">
        <w:rPr>
          <w:rFonts w:ascii="Times New Roman" w:hAnsi="Times New Roman" w:cs="Times New Roman"/>
          <w:sz w:val="24"/>
          <w:szCs w:val="24"/>
        </w:rPr>
        <w:t xml:space="preserve"> </w:t>
      </w:r>
      <w:r w:rsidRPr="00FE0954">
        <w:rPr>
          <w:rFonts w:ascii="Times New Roman" w:hAnsi="Times New Roman" w:cs="Times New Roman"/>
          <w:sz w:val="24"/>
          <w:szCs w:val="24"/>
        </w:rPr>
        <w:t xml:space="preserve">day of </w:t>
      </w:r>
      <w:r w:rsidRPr="00FE0954" w:rsidR="00731339">
        <w:rPr>
          <w:rFonts w:ascii="Times New Roman" w:hAnsi="Times New Roman" w:cs="Times New Roman"/>
          <w:sz w:val="24"/>
          <w:szCs w:val="24"/>
        </w:rPr>
        <w:t>August</w:t>
      </w:r>
      <w:r w:rsidRPr="00FE0954">
        <w:rPr>
          <w:rFonts w:ascii="Times New Roman" w:hAnsi="Times New Roman" w:cs="Times New Roman"/>
          <w:sz w:val="24"/>
          <w:szCs w:val="24"/>
        </w:rPr>
        <w:t xml:space="preserve"> 2022.</w:t>
      </w:r>
    </w:p>
    <w:p w:rsidR="003E3888" w:rsidRPr="00FE0954" w14:paraId="28D62813" w14:textId="77777777">
      <w:pPr>
        <w:tabs>
          <w:tab w:val="left" w:pos="4320"/>
        </w:tabs>
        <w:spacing w:after="0" w:line="240" w:lineRule="auto"/>
        <w:rPr>
          <w:rFonts w:ascii="Times New Roman" w:hAnsi="Times New Roman" w:cs="Times New Roman"/>
          <w:i/>
          <w:iCs/>
          <w:sz w:val="24"/>
          <w:szCs w:val="24"/>
          <w:u w:val="single"/>
        </w:rPr>
      </w:pPr>
      <w:r w:rsidRPr="00FE0954">
        <w:rPr>
          <w:rFonts w:ascii="Times New Roman" w:hAnsi="Times New Roman" w:cs="Times New Roman"/>
          <w:sz w:val="24"/>
          <w:szCs w:val="24"/>
        </w:rPr>
        <w:tab/>
      </w:r>
      <w:r w:rsidRPr="00FE0954">
        <w:rPr>
          <w:rFonts w:ascii="Times New Roman" w:hAnsi="Times New Roman" w:cs="Times New Roman"/>
          <w:i/>
          <w:iCs/>
          <w:sz w:val="24"/>
          <w:szCs w:val="24"/>
          <w:u w:val="single"/>
        </w:rPr>
        <w:t>/s/ William J. Michael</w:t>
      </w:r>
      <w:r w:rsidRPr="00FE0954">
        <w:rPr>
          <w:rFonts w:ascii="Times New Roman" w:hAnsi="Times New Roman" w:cs="Times New Roman"/>
          <w:i/>
          <w:iCs/>
          <w:sz w:val="24"/>
          <w:szCs w:val="24"/>
          <w:u w:val="single"/>
        </w:rPr>
        <w:tab/>
      </w:r>
      <w:r w:rsidRPr="00FE0954">
        <w:rPr>
          <w:rFonts w:ascii="Times New Roman" w:hAnsi="Times New Roman" w:cs="Times New Roman"/>
          <w:i/>
          <w:iCs/>
          <w:sz w:val="24"/>
          <w:szCs w:val="24"/>
          <w:u w:val="single"/>
        </w:rPr>
        <w:tab/>
      </w:r>
    </w:p>
    <w:p w:rsidR="003E3888" w:rsidRPr="00FE0954" w14:paraId="3ACC27B6" w14:textId="77777777">
      <w:pPr>
        <w:tabs>
          <w:tab w:val="left" w:pos="4320"/>
        </w:tabs>
        <w:spacing w:after="0"/>
        <w:rPr>
          <w:rFonts w:ascii="Times New Roman" w:hAnsi="Times New Roman" w:cs="Times New Roman"/>
          <w:sz w:val="24"/>
          <w:szCs w:val="24"/>
        </w:rPr>
      </w:pPr>
      <w:r w:rsidRPr="00FE0954">
        <w:rPr>
          <w:rFonts w:ascii="Times New Roman" w:hAnsi="Times New Roman" w:cs="Times New Roman"/>
          <w:sz w:val="24"/>
          <w:szCs w:val="24"/>
        </w:rPr>
        <w:tab/>
        <w:t>William J. Michael</w:t>
      </w:r>
    </w:p>
    <w:p w:rsidR="003E3888" w:rsidRPr="00FE0954" w14:paraId="451C3D8B" w14:textId="77777777">
      <w:pPr>
        <w:tabs>
          <w:tab w:val="left" w:pos="4320"/>
        </w:tabs>
        <w:spacing w:after="0"/>
        <w:rPr>
          <w:rFonts w:ascii="Times New Roman" w:hAnsi="Times New Roman" w:cs="Times New Roman"/>
          <w:sz w:val="24"/>
          <w:szCs w:val="24"/>
        </w:rPr>
      </w:pPr>
      <w:r w:rsidRPr="00FE0954">
        <w:rPr>
          <w:rFonts w:ascii="Times New Roman" w:hAnsi="Times New Roman" w:cs="Times New Roman"/>
          <w:sz w:val="24"/>
          <w:szCs w:val="24"/>
        </w:rPr>
        <w:tab/>
        <w:t>Assistant Consumers’ Counsel</w:t>
      </w:r>
    </w:p>
    <w:p w:rsidR="003E3888" w:rsidRPr="00FE0954" w14:paraId="6771E1D3" w14:textId="77777777">
      <w:pPr>
        <w:spacing w:after="0" w:line="240" w:lineRule="auto"/>
        <w:rPr>
          <w:rFonts w:ascii="Times New Roman" w:eastAsia="Times New Roman" w:hAnsi="Times New Roman" w:cs="Times New Roman"/>
          <w:sz w:val="24"/>
          <w:szCs w:val="24"/>
        </w:rPr>
      </w:pPr>
    </w:p>
    <w:p w:rsidR="003E3888" w:rsidRPr="00FE0954" w14:paraId="16F13DD0" w14:textId="77777777">
      <w:pPr>
        <w:spacing w:after="0" w:line="240" w:lineRule="auto"/>
        <w:rPr>
          <w:rFonts w:ascii="Times New Roman" w:eastAsia="Times New Roman" w:hAnsi="Times New Roman" w:cs="Times New Roman"/>
          <w:sz w:val="24"/>
          <w:szCs w:val="24"/>
        </w:rPr>
      </w:pPr>
      <w:r w:rsidRPr="00FE0954">
        <w:rPr>
          <w:rFonts w:ascii="Times New Roman" w:eastAsia="Times New Roman" w:hAnsi="Times New Roman" w:cs="Times New Roman"/>
          <w:sz w:val="24"/>
          <w:szCs w:val="24"/>
        </w:rPr>
        <w:t>The PUCO’s e-filing system will electronically serve notice of the filing of this document on the following parties:</w:t>
      </w:r>
    </w:p>
    <w:p w:rsidR="003E3888" w:rsidRPr="00FE0954" w14:paraId="3FDD0617" w14:textId="77777777">
      <w:pPr>
        <w:spacing w:after="0" w:line="240" w:lineRule="auto"/>
        <w:rPr>
          <w:rFonts w:ascii="Times New Roman" w:eastAsia="Times New Roman" w:hAnsi="Times New Roman" w:cs="Times New Roman"/>
          <w:sz w:val="24"/>
          <w:szCs w:val="24"/>
        </w:rPr>
      </w:pPr>
    </w:p>
    <w:p w:rsidR="003E3888" w:rsidRPr="00FE0954" w14:paraId="1D3F7CAB" w14:textId="77777777">
      <w:pPr>
        <w:spacing w:after="0" w:line="240" w:lineRule="auto"/>
        <w:jc w:val="center"/>
        <w:rPr>
          <w:rFonts w:ascii="Times New Roman" w:eastAsia="Times New Roman" w:hAnsi="Times New Roman" w:cs="Times New Roman"/>
          <w:b/>
          <w:sz w:val="24"/>
          <w:szCs w:val="24"/>
          <w:u w:val="single"/>
        </w:rPr>
      </w:pPr>
      <w:r w:rsidRPr="00FE0954">
        <w:rPr>
          <w:rFonts w:ascii="Times New Roman" w:eastAsia="Times New Roman" w:hAnsi="Times New Roman" w:cs="Times New Roman"/>
          <w:b/>
          <w:sz w:val="24"/>
          <w:szCs w:val="24"/>
          <w:u w:val="single"/>
        </w:rPr>
        <w:t>SERVICE LIST</w:t>
      </w:r>
    </w:p>
    <w:p w:rsidR="003E3888" w:rsidRPr="00FE0954" w14:paraId="279E7D92" w14:textId="77777777">
      <w:pPr>
        <w:spacing w:after="0" w:line="240" w:lineRule="auto"/>
        <w:jc w:val="both"/>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24B4035C"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B02D87" w:rsidRPr="00FE0954" w14:paraId="2B4F6CC9" w14:textId="47928A3E">
            <w:pPr>
              <w:rPr>
                <w:rFonts w:ascii="Times New Roman" w:eastAsia="Times New Roman" w:hAnsi="Times New Roman" w:cs="Times New Roman"/>
                <w:bCs/>
                <w:color w:val="0000FF"/>
                <w:sz w:val="24"/>
                <w:szCs w:val="24"/>
                <w:u w:val="single"/>
              </w:rPr>
            </w:pPr>
            <w:hyperlink r:id="rId10" w:history="1">
              <w:r w:rsidRPr="00FE0954" w:rsidR="00F455BF">
                <w:rPr>
                  <w:rStyle w:val="Hyperlink"/>
                  <w:rFonts w:ascii="Times New Roman" w:eastAsia="Times New Roman" w:hAnsi="Times New Roman" w:cs="Times New Roman"/>
                  <w:bCs/>
                  <w:color w:val="0000FF"/>
                  <w:sz w:val="24"/>
                  <w:szCs w:val="24"/>
                </w:rPr>
                <w:t>thomas.lindgren@ohioago.gov</w:t>
              </w:r>
            </w:hyperlink>
          </w:p>
          <w:p w:rsidR="00B02D87" w:rsidRPr="00FE0954" w14:paraId="5EDF5B54" w14:textId="4CF326A0">
            <w:pPr>
              <w:rPr>
                <w:rFonts w:ascii="Times New Roman" w:eastAsia="Times New Roman" w:hAnsi="Times New Roman" w:cs="Times New Roman"/>
                <w:bCs/>
                <w:color w:val="0000FF"/>
                <w:sz w:val="24"/>
                <w:szCs w:val="24"/>
                <w:u w:val="single"/>
              </w:rPr>
            </w:pPr>
            <w:r w:rsidRPr="00FE0954">
              <w:rPr>
                <w:rFonts w:ascii="Times New Roman" w:eastAsia="Times New Roman" w:hAnsi="Times New Roman" w:cs="Times New Roman"/>
                <w:bCs/>
                <w:color w:val="0000FF"/>
                <w:sz w:val="24"/>
                <w:szCs w:val="24"/>
                <w:u w:val="single"/>
              </w:rPr>
              <w:t>rhiannon.plant@ohioago.gov</w:t>
            </w:r>
          </w:p>
          <w:p w:rsidR="003E3888" w:rsidRPr="00FE0954" w14:paraId="24076D35" w14:textId="038BF555">
            <w:pPr>
              <w:rPr>
                <w:rStyle w:val="Hyperlink"/>
                <w:rFonts w:ascii="Times New Roman" w:eastAsia="Times New Roman" w:hAnsi="Times New Roman" w:cs="Times New Roman"/>
                <w:bCs/>
                <w:color w:val="0000FF"/>
                <w:sz w:val="24"/>
                <w:szCs w:val="24"/>
              </w:rPr>
            </w:pPr>
            <w:hyperlink r:id="rId11" w:history="1">
              <w:r w:rsidRPr="00FE0954" w:rsidR="00265E4B">
                <w:rPr>
                  <w:rStyle w:val="Hyperlink"/>
                  <w:rFonts w:ascii="Times New Roman" w:eastAsia="Times New Roman" w:hAnsi="Times New Roman" w:cs="Times New Roman"/>
                  <w:bCs/>
                  <w:color w:val="0000FF"/>
                  <w:sz w:val="24"/>
                  <w:szCs w:val="24"/>
                </w:rPr>
                <w:t>sjagers@ohiopovertylaw.org</w:t>
              </w:r>
            </w:hyperlink>
          </w:p>
          <w:p w:rsidR="00A57F45" w:rsidRPr="00FE0954" w14:paraId="48FA94B5" w14:textId="28270F21">
            <w:pPr>
              <w:rPr>
                <w:rFonts w:ascii="Times New Roman" w:eastAsia="Times New Roman" w:hAnsi="Times New Roman" w:cs="Times New Roman"/>
                <w:bCs/>
                <w:color w:val="0000FF"/>
                <w:sz w:val="24"/>
                <w:szCs w:val="24"/>
                <w:u w:val="single"/>
              </w:rPr>
            </w:pPr>
            <w:r w:rsidRPr="00FE0954">
              <w:rPr>
                <w:rFonts w:ascii="Times New Roman" w:eastAsia="Times New Roman" w:hAnsi="Times New Roman" w:cs="Times New Roman"/>
                <w:bCs/>
                <w:color w:val="0000FF"/>
                <w:sz w:val="24"/>
                <w:szCs w:val="24"/>
                <w:u w:val="single"/>
              </w:rPr>
              <w:t>mwalters@proseniors.org</w:t>
            </w:r>
          </w:p>
          <w:p w:rsidR="003E3888" w:rsidRPr="00FE0954" w14:paraId="1EE2CBD8" w14:textId="77777777">
            <w:pPr>
              <w:rPr>
                <w:rFonts w:ascii="Times New Roman" w:eastAsia="Times New Roman" w:hAnsi="Times New Roman" w:cs="Times New Roman"/>
                <w:bCs/>
                <w:color w:val="0000FF"/>
                <w:sz w:val="24"/>
                <w:szCs w:val="24"/>
                <w:u w:val="single"/>
              </w:rPr>
            </w:pPr>
          </w:p>
          <w:p w:rsidR="003E3888" w:rsidRPr="00FE0954" w14:paraId="7DB2D716" w14:textId="77777777">
            <w:pPr>
              <w:rPr>
                <w:rFonts w:ascii="Times New Roman" w:eastAsia="Times New Roman" w:hAnsi="Times New Roman" w:cs="Times New Roman"/>
                <w:bCs/>
                <w:sz w:val="24"/>
                <w:szCs w:val="24"/>
              </w:rPr>
            </w:pPr>
            <w:r w:rsidRPr="00FE0954">
              <w:rPr>
                <w:rFonts w:ascii="Times New Roman" w:eastAsia="Times New Roman" w:hAnsi="Times New Roman" w:cs="Times New Roman"/>
                <w:bCs/>
                <w:sz w:val="24"/>
                <w:szCs w:val="24"/>
              </w:rPr>
              <w:t>Attorney Examiners:</w:t>
            </w:r>
          </w:p>
          <w:p w:rsidR="003E3888" w:rsidRPr="00FE0954" w14:paraId="50F25AFB" w14:textId="77777777">
            <w:pPr>
              <w:rPr>
                <w:rFonts w:ascii="Times New Roman" w:eastAsia="Times New Roman" w:hAnsi="Times New Roman" w:cs="Times New Roman"/>
                <w:bCs/>
                <w:color w:val="0000FF"/>
                <w:sz w:val="24"/>
                <w:szCs w:val="24"/>
                <w:u w:val="single"/>
              </w:rPr>
            </w:pPr>
            <w:hyperlink r:id="rId12" w:history="1">
              <w:r w:rsidRPr="00FE0954" w:rsidR="00265E4B">
                <w:rPr>
                  <w:rFonts w:ascii="Times New Roman" w:eastAsia="Times New Roman" w:hAnsi="Times New Roman" w:cs="Times New Roman"/>
                  <w:color w:val="0000FF"/>
                  <w:sz w:val="24"/>
                  <w:szCs w:val="24"/>
                  <w:u w:val="single"/>
                </w:rPr>
                <w:t>s</w:t>
              </w:r>
              <w:r w:rsidRPr="00FE0954" w:rsidR="00265E4B">
                <w:rPr>
                  <w:rFonts w:ascii="Times New Roman" w:eastAsia="Times New Roman" w:hAnsi="Times New Roman" w:cs="Times New Roman"/>
                  <w:bCs/>
                  <w:color w:val="0000FF"/>
                  <w:sz w:val="24"/>
                  <w:szCs w:val="24"/>
                  <w:u w:val="single"/>
                </w:rPr>
                <w:t>arah.parrot@puco.ohio.gov</w:t>
              </w:r>
            </w:hyperlink>
          </w:p>
          <w:p w:rsidR="003E3888" w:rsidRPr="00FE0954" w14:paraId="7C992FEA" w14:textId="77777777">
            <w:pPr>
              <w:rPr>
                <w:rFonts w:ascii="Times New Roman" w:eastAsia="Times New Roman" w:hAnsi="Times New Roman" w:cs="Times New Roman"/>
                <w:color w:val="0000FF"/>
                <w:sz w:val="24"/>
                <w:szCs w:val="24"/>
                <w:u w:val="single"/>
              </w:rPr>
            </w:pPr>
            <w:hyperlink r:id="rId13" w:history="1">
              <w:r w:rsidRPr="00FE0954" w:rsidR="00265E4B">
                <w:rPr>
                  <w:rFonts w:ascii="Times New Roman" w:eastAsia="Times New Roman" w:hAnsi="Times New Roman" w:cs="Times New Roman"/>
                  <w:color w:val="0000FF"/>
                  <w:sz w:val="24"/>
                  <w:szCs w:val="24"/>
                  <w:u w:val="single"/>
                </w:rPr>
                <w:t>greta.see@puco.ohio.gov</w:t>
              </w:r>
            </w:hyperlink>
          </w:p>
          <w:p w:rsidR="003E3888" w:rsidRPr="00FE0954" w14:paraId="1BD010F5" w14:textId="77777777">
            <w:pPr>
              <w:rPr>
                <w:rFonts w:ascii="Times New Roman" w:eastAsia="Times New Roman" w:hAnsi="Times New Roman" w:cs="Times New Roman"/>
                <w:bCs/>
                <w:sz w:val="24"/>
                <w:szCs w:val="24"/>
              </w:rPr>
            </w:pPr>
          </w:p>
          <w:p w:rsidR="003E3888" w:rsidRPr="00FE0954" w14:paraId="18273EAE" w14:textId="77777777">
            <w:pPr>
              <w:rPr>
                <w:rFonts w:ascii="Times New Roman" w:eastAsia="Times New Roman" w:hAnsi="Times New Roman" w:cs="Times New Roman"/>
                <w:bCs/>
                <w:sz w:val="24"/>
                <w:szCs w:val="24"/>
              </w:rPr>
            </w:pPr>
          </w:p>
        </w:tc>
        <w:tc>
          <w:tcPr>
            <w:tcW w:w="4315" w:type="dxa"/>
          </w:tcPr>
          <w:p w:rsidR="00505BDF" w:rsidRPr="00FE0954" w:rsidP="00505BDF" w14:paraId="3510D6D3" w14:textId="77777777">
            <w:pPr>
              <w:rPr>
                <w:rFonts w:ascii="Times New Roman" w:eastAsia="Times New Roman" w:hAnsi="Times New Roman" w:cs="Times New Roman"/>
                <w:bCs/>
                <w:sz w:val="24"/>
                <w:szCs w:val="24"/>
              </w:rPr>
            </w:pPr>
            <w:hyperlink r:id="rId14" w:history="1">
              <w:r w:rsidRPr="00FE0954" w:rsidR="00F455BF">
                <w:rPr>
                  <w:rFonts w:ascii="Times New Roman" w:eastAsia="Times New Roman" w:hAnsi="Times New Roman" w:cs="Times New Roman"/>
                  <w:bCs/>
                  <w:color w:val="0000FF"/>
                  <w:sz w:val="24"/>
                  <w:szCs w:val="24"/>
                  <w:u w:val="single"/>
                </w:rPr>
                <w:t>stnourse@aep.com</w:t>
              </w:r>
            </w:hyperlink>
          </w:p>
          <w:p w:rsidR="00505BDF" w:rsidP="00505BDF" w14:paraId="620E22B5" w14:textId="2F210792">
            <w:pPr>
              <w:rPr>
                <w:rFonts w:ascii="Times New Roman" w:eastAsia="Times New Roman" w:hAnsi="Times New Roman" w:cs="Times New Roman"/>
                <w:bCs/>
                <w:color w:val="0000FF"/>
                <w:sz w:val="24"/>
                <w:szCs w:val="24"/>
                <w:u w:val="single"/>
              </w:rPr>
            </w:pPr>
            <w:hyperlink r:id="rId15" w:history="1">
              <w:r w:rsidRPr="00FE0954" w:rsidR="00F455BF">
                <w:rPr>
                  <w:rFonts w:ascii="Times New Roman" w:eastAsia="Times New Roman" w:hAnsi="Times New Roman" w:cs="Times New Roman"/>
                  <w:bCs/>
                  <w:color w:val="0000FF"/>
                  <w:sz w:val="24"/>
                  <w:szCs w:val="24"/>
                  <w:u w:val="single"/>
                </w:rPr>
                <w:t>mjschuler@aep.com</w:t>
              </w:r>
            </w:hyperlink>
          </w:p>
          <w:p w:rsidR="00025F71" w:rsidRPr="00025F71" w:rsidP="00025F71" w14:paraId="255529F3" w14:textId="77777777">
            <w:pPr>
              <w:rPr>
                <w:rFonts w:ascii="Times New Roman" w:eastAsia="Times New Roman" w:hAnsi="Times New Roman" w:cs="Times New Roman"/>
                <w:bCs/>
                <w:color w:val="0000FF"/>
                <w:sz w:val="24"/>
                <w:szCs w:val="24"/>
                <w:u w:val="single"/>
              </w:rPr>
            </w:pPr>
            <w:r w:rsidRPr="00025F71">
              <w:rPr>
                <w:rFonts w:ascii="Times New Roman" w:eastAsia="Times New Roman" w:hAnsi="Times New Roman" w:cs="Times New Roman"/>
                <w:bCs/>
                <w:color w:val="0000FF"/>
                <w:sz w:val="24"/>
                <w:szCs w:val="24"/>
                <w:u w:val="single"/>
              </w:rPr>
              <w:t>bojko@carpenterlipps.com</w:t>
            </w:r>
          </w:p>
          <w:p w:rsidR="00025F71" w:rsidRPr="00FE0954" w:rsidP="00025F71" w14:paraId="212C382B" w14:textId="666C168E">
            <w:pPr>
              <w:rPr>
                <w:rFonts w:ascii="Times New Roman" w:eastAsia="Times New Roman" w:hAnsi="Times New Roman" w:cs="Times New Roman"/>
                <w:bCs/>
                <w:color w:val="0000FF"/>
                <w:sz w:val="24"/>
                <w:szCs w:val="24"/>
                <w:u w:val="single"/>
              </w:rPr>
            </w:pPr>
            <w:r w:rsidRPr="00025F71">
              <w:rPr>
                <w:rFonts w:ascii="Times New Roman" w:eastAsia="Times New Roman" w:hAnsi="Times New Roman" w:cs="Times New Roman"/>
                <w:bCs/>
                <w:color w:val="0000FF"/>
                <w:sz w:val="24"/>
                <w:szCs w:val="24"/>
                <w:u w:val="single"/>
              </w:rPr>
              <w:t>wygonski@carpenterlipps.com</w:t>
            </w:r>
          </w:p>
          <w:p w:rsidR="003E3888" w:rsidRPr="00FE0954" w14:paraId="349C4B1D" w14:textId="77777777">
            <w:pPr>
              <w:rPr>
                <w:rFonts w:ascii="Times New Roman" w:eastAsia="Times New Roman" w:hAnsi="Times New Roman" w:cs="Times New Roman"/>
                <w:bCs/>
                <w:sz w:val="24"/>
                <w:szCs w:val="24"/>
              </w:rPr>
            </w:pPr>
          </w:p>
          <w:p w:rsidR="003E3888" w:rsidRPr="00FE0954" w14:paraId="6AFA7053" w14:textId="77777777">
            <w:pPr>
              <w:rPr>
                <w:rFonts w:ascii="Times New Roman" w:eastAsia="Times New Roman" w:hAnsi="Times New Roman" w:cs="Times New Roman"/>
                <w:bCs/>
                <w:sz w:val="24"/>
                <w:szCs w:val="24"/>
              </w:rPr>
            </w:pPr>
          </w:p>
        </w:tc>
      </w:tr>
    </w:tbl>
    <w:p w:rsidR="003E3888" w:rsidRPr="00FE0954" w14:paraId="28F1A6C8" w14:textId="77777777">
      <w:pPr>
        <w:spacing w:after="0" w:line="480" w:lineRule="auto"/>
        <w:ind w:firstLine="720"/>
        <w:contextualSpacing/>
        <w:rPr>
          <w:rFonts w:ascii="Times New Roman" w:hAnsi="Times New Roman" w:cs="Times New Roman"/>
          <w:sz w:val="24"/>
          <w:szCs w:val="24"/>
        </w:rPr>
      </w:pPr>
    </w:p>
    <w:p w:rsidR="003E3888" w:rsidRPr="00FE0954" w14:paraId="59980FA3" w14:textId="77777777">
      <w:pPr>
        <w:spacing w:after="0" w:line="480" w:lineRule="auto"/>
        <w:ind w:firstLine="720"/>
        <w:rPr>
          <w:rFonts w:ascii="Times New Roman" w:hAnsi="Times New Roman" w:cs="Times New Roman"/>
          <w:sz w:val="24"/>
          <w:szCs w:val="24"/>
        </w:rPr>
      </w:pPr>
    </w:p>
    <w:sectPr w:rsidSect="00DE55E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04D" w:rsidRPr="006202CB" w:rsidP="00410F78" w14:paraId="0D63A6D3" w14:textId="1BEBEE00">
    <w:pPr>
      <w:pStyle w:val="Footer"/>
      <w:tabs>
        <w:tab w:val="center" w:pos="4320"/>
        <w:tab w:val="left" w:pos="4782"/>
      </w:tabs>
      <w:rPr>
        <w:rFonts w:ascii="Times New Roman" w:hAnsi="Times New Roman" w:cs="Times New Roman"/>
        <w:sz w:val="24"/>
        <w:szCs w:val="24"/>
      </w:rPr>
    </w:pPr>
    <w:r>
      <w:tab/>
    </w:r>
    <w:r>
      <w:rPr>
        <w:rFonts w:ascii="Times New Roman" w:hAnsi="Times New Roman" w:cs="Times New Roman"/>
        <w:noProof/>
        <w:sz w:val="24"/>
        <w:szCs w:val="24"/>
      </w:rPr>
      <w:tab/>
    </w:r>
    <w:r>
      <w:rPr>
        <w:rFonts w:ascii="Times New Roman" w:hAnsi="Times New Roman" w:cs="Times New Roman"/>
        <w:noProof/>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1147391197"/>
      <w:docPartObj>
        <w:docPartGallery w:val="Page Numbers (Bottom of Page)"/>
        <w:docPartUnique/>
      </w:docPartObj>
    </w:sdtPr>
    <w:sdtEndPr>
      <w:rPr>
        <w:noProof/>
      </w:rPr>
    </w:sdtEndPr>
    <w:sdtContent>
      <w:p w:rsidR="00410F78" w:rsidRPr="00410F78" w14:paraId="2A17DEC8" w14:textId="63828B94">
        <w:pPr>
          <w:pStyle w:val="Footer"/>
          <w:jc w:val="center"/>
          <w:rPr>
            <w:rFonts w:ascii="Times New Roman" w:hAnsi="Times New Roman" w:cs="Times New Roman"/>
            <w:sz w:val="24"/>
            <w:szCs w:val="24"/>
          </w:rPr>
        </w:pPr>
        <w:r w:rsidRPr="00410F78">
          <w:rPr>
            <w:rFonts w:ascii="Times New Roman" w:hAnsi="Times New Roman" w:cs="Times New Roman"/>
            <w:sz w:val="24"/>
            <w:szCs w:val="24"/>
          </w:rPr>
          <w:fldChar w:fldCharType="begin"/>
        </w:r>
        <w:r w:rsidRPr="00410F78">
          <w:rPr>
            <w:rFonts w:ascii="Times New Roman" w:hAnsi="Times New Roman" w:cs="Times New Roman"/>
            <w:sz w:val="24"/>
            <w:szCs w:val="24"/>
          </w:rPr>
          <w:instrText xml:space="preserve"> PAGE   \* MERGEFORMAT </w:instrText>
        </w:r>
        <w:r w:rsidRPr="00410F78">
          <w:rPr>
            <w:rFonts w:ascii="Times New Roman" w:hAnsi="Times New Roman" w:cs="Times New Roman"/>
            <w:sz w:val="24"/>
            <w:szCs w:val="24"/>
          </w:rPr>
          <w:fldChar w:fldCharType="separate"/>
        </w:r>
        <w:r w:rsidRPr="00410F78">
          <w:rPr>
            <w:rFonts w:ascii="Times New Roman" w:hAnsi="Times New Roman" w:cs="Times New Roman"/>
            <w:noProof/>
            <w:sz w:val="24"/>
            <w:szCs w:val="24"/>
          </w:rPr>
          <w:t>2</w:t>
        </w:r>
        <w:r w:rsidRPr="00410F7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75FF" w14:paraId="0F8165C0" w14:textId="77777777">
      <w:pPr>
        <w:spacing w:after="0" w:line="240" w:lineRule="auto"/>
      </w:pPr>
      <w:r>
        <w:separator/>
      </w:r>
    </w:p>
  </w:footnote>
  <w:footnote w:type="continuationSeparator" w:id="1">
    <w:p w:rsidR="007E75FF" w14:paraId="2FEF88A0" w14:textId="77777777">
      <w:pPr>
        <w:spacing w:after="0" w:line="240" w:lineRule="auto"/>
      </w:pPr>
      <w:r>
        <w:continuationSeparator/>
      </w:r>
    </w:p>
  </w:footnote>
  <w:footnote w:id="2">
    <w:p w:rsidR="009447EA" w:rsidRPr="00FE0954" w:rsidP="00232CB7" w14:paraId="3C70D814" w14:textId="38E98D6B">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See, e.g</w:t>
      </w:r>
      <w:r w:rsidRPr="00FE0954">
        <w:rPr>
          <w:rFonts w:ascii="Times New Roman" w:hAnsi="Times New Roman" w:cs="Times New Roman"/>
        </w:rPr>
        <w:t xml:space="preserve">., AEP Ohio The Wire, “Columbus Area Power Outages + FAQs;” </w:t>
      </w:r>
      <w:hyperlink r:id="rId1" w:history="1">
        <w:r w:rsidRPr="00FE0954" w:rsidR="00232CB7">
          <w:rPr>
            <w:rStyle w:val="Hyperlink"/>
            <w:rFonts w:ascii="Times New Roman" w:hAnsi="Times New Roman" w:cs="Times New Roman"/>
          </w:rPr>
          <w:t>https://www.aepohiowire.com/columbus-area-power-outages-faqs/</w:t>
        </w:r>
      </w:hyperlink>
      <w:r w:rsidRPr="00FE0954" w:rsidR="00232CB7">
        <w:rPr>
          <w:rFonts w:ascii="Times New Roman" w:hAnsi="Times New Roman" w:cs="Times New Roman"/>
        </w:rPr>
        <w:t>.</w:t>
      </w:r>
      <w:r w:rsidRPr="00FE0954">
        <w:rPr>
          <w:rFonts w:ascii="Times New Roman" w:hAnsi="Times New Roman" w:cs="Times New Roman"/>
        </w:rPr>
        <w:t xml:space="preserve"> </w:t>
      </w:r>
    </w:p>
  </w:footnote>
  <w:footnote w:id="3">
    <w:p w:rsidR="009447EA" w:rsidRPr="00FE0954" w:rsidP="00232CB7" w14:paraId="501E3CE0"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R.C. 4903.082.</w:t>
      </w:r>
    </w:p>
  </w:footnote>
  <w:footnote w:id="4">
    <w:p w:rsidR="009447EA" w:rsidRPr="00FE0954" w:rsidP="00232CB7" w14:paraId="33122D66" w14:textId="7EBD5159">
      <w:pPr>
        <w:autoSpaceDE w:val="0"/>
        <w:autoSpaceDN w:val="0"/>
        <w:adjustRightInd w:val="0"/>
        <w:spacing w:after="120" w:line="240" w:lineRule="auto"/>
        <w:rPr>
          <w:rFonts w:ascii="Times New Roman" w:hAnsi="Times New Roman" w:cs="Times New Roman"/>
          <w:sz w:val="20"/>
          <w:szCs w:val="20"/>
        </w:rPr>
      </w:pPr>
      <w:r w:rsidRPr="00FE0954">
        <w:rPr>
          <w:rStyle w:val="FootnoteReference"/>
          <w:rFonts w:ascii="Times New Roman" w:hAnsi="Times New Roman" w:cs="Times New Roman"/>
          <w:sz w:val="20"/>
          <w:szCs w:val="20"/>
        </w:rPr>
        <w:footnoteRef/>
      </w:r>
      <w:r w:rsidRPr="00FE0954">
        <w:rPr>
          <w:rFonts w:ascii="Times New Roman" w:hAnsi="Times New Roman" w:cs="Times New Roman"/>
          <w:sz w:val="20"/>
          <w:szCs w:val="20"/>
        </w:rPr>
        <w:t xml:space="preserve"> Ohio Admin. Code 4901-1-17(A); O.A.C. 4901-1-16(B).</w:t>
      </w:r>
    </w:p>
  </w:footnote>
  <w:footnote w:id="5">
    <w:p w:rsidR="009447EA" w:rsidRPr="00FE0954" w:rsidP="00232CB7" w14:paraId="5B647B98"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OCC v. PUC</w:t>
      </w:r>
      <w:r w:rsidRPr="00FE0954">
        <w:rPr>
          <w:rFonts w:ascii="Times New Roman" w:hAnsi="Times New Roman" w:cs="Times New Roman"/>
        </w:rPr>
        <w:t>, 111 Ohio St.3d 300 (2006).</w:t>
      </w:r>
    </w:p>
  </w:footnote>
  <w:footnote w:id="6">
    <w:p w:rsidR="00004C23" w:rsidRPr="00FE0954" w:rsidP="00232CB7" w14:paraId="3175AD6C"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See </w:t>
      </w:r>
      <w:r w:rsidRPr="00FE0954">
        <w:rPr>
          <w:rFonts w:ascii="Times New Roman" w:hAnsi="Times New Roman" w:cs="Times New Roman"/>
        </w:rPr>
        <w:t>AEP’s Motion for Protective Order.</w:t>
      </w:r>
    </w:p>
  </w:footnote>
  <w:footnote w:id="7">
    <w:p w:rsidR="00004C23" w:rsidRPr="00FE0954" w:rsidP="00232CB7" w14:paraId="0A8ACE13" w14:textId="77777777">
      <w:pPr>
        <w:pStyle w:val="FootnoteText"/>
        <w:spacing w:after="120"/>
        <w:rPr>
          <w:rFonts w:ascii="Times New Roman" w:hAnsi="Times New Roman" w:cs="Times New Roman"/>
          <w:iCs/>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rPr>
        <w:t xml:space="preserve">Id. </w:t>
      </w:r>
      <w:r w:rsidRPr="00FE0954">
        <w:rPr>
          <w:rFonts w:ascii="Times New Roman" w:hAnsi="Times New Roman" w:cs="Times New Roman"/>
          <w:iCs/>
        </w:rPr>
        <w:t>at 5 (italics added).</w:t>
      </w:r>
    </w:p>
  </w:footnote>
  <w:footnote w:id="8">
    <w:p w:rsidR="00004C23" w:rsidRPr="00FE0954" w:rsidP="00232CB7" w14:paraId="0A105E1C"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Id. </w:t>
      </w:r>
      <w:r w:rsidRPr="00FE0954">
        <w:rPr>
          <w:rFonts w:ascii="Times New Roman" w:hAnsi="Times New Roman" w:cs="Times New Roman"/>
        </w:rPr>
        <w:t>at 6-8.</w:t>
      </w:r>
    </w:p>
  </w:footnote>
  <w:footnote w:id="9">
    <w:p w:rsidR="00004C23" w:rsidRPr="00FE0954" w:rsidP="00232CB7" w14:paraId="30F71C48"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Id. </w:t>
      </w:r>
      <w:r w:rsidRPr="00FE0954">
        <w:rPr>
          <w:rFonts w:ascii="Times New Roman" w:hAnsi="Times New Roman" w:cs="Times New Roman"/>
        </w:rPr>
        <w:t>at 8-9.</w:t>
      </w:r>
    </w:p>
  </w:footnote>
  <w:footnote w:id="10">
    <w:p w:rsidR="00004C23" w:rsidRPr="00FE0954" w:rsidP="00232CB7" w14:paraId="1304D445"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Id. </w:t>
      </w:r>
      <w:r w:rsidRPr="00FE0954">
        <w:rPr>
          <w:rFonts w:ascii="Times New Roman" w:hAnsi="Times New Roman" w:cs="Times New Roman"/>
        </w:rPr>
        <w:t>at 9-10.</w:t>
      </w:r>
    </w:p>
  </w:footnote>
  <w:footnote w:id="11">
    <w:p w:rsidR="00004C23" w:rsidRPr="00FE0954" w:rsidP="00232CB7" w14:paraId="3B5013F0"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Ohio Consumers’ Counsel v. Pub. Util. Comm</w:t>
      </w:r>
      <w:r w:rsidRPr="00FE0954">
        <w:rPr>
          <w:rFonts w:ascii="Times New Roman" w:hAnsi="Times New Roman" w:cs="Times New Roman"/>
        </w:rPr>
        <w:t xml:space="preserve">., 111 Ohio St.3d 300 (2006), citing to </w:t>
      </w:r>
      <w:r w:rsidRPr="00FE0954">
        <w:rPr>
          <w:rFonts w:ascii="Times New Roman" w:hAnsi="Times New Roman" w:cs="Times New Roman"/>
          <w:i/>
          <w:iCs/>
        </w:rPr>
        <w:t>Moskovitz v. Mt. Sinai Med. Ctr</w:t>
      </w:r>
      <w:r w:rsidRPr="00FE0954">
        <w:rPr>
          <w:rFonts w:ascii="Times New Roman" w:hAnsi="Times New Roman" w:cs="Times New Roman"/>
        </w:rPr>
        <w:t xml:space="preserve">., 69 Ohio St.3d 638, 661 (1994) and </w:t>
      </w:r>
      <w:r w:rsidRPr="00FE0954">
        <w:rPr>
          <w:rFonts w:ascii="Times New Roman" w:hAnsi="Times New Roman" w:cs="Times New Roman"/>
          <w:i/>
          <w:iCs/>
        </w:rPr>
        <w:t>Disciplinary Counsel v. O’Neill</w:t>
      </w:r>
      <w:r w:rsidRPr="00FE0954">
        <w:rPr>
          <w:rFonts w:ascii="Times New Roman" w:hAnsi="Times New Roman" w:cs="Times New Roman"/>
        </w:rPr>
        <w:t xml:space="preserve"> (1996), 75 Ohio St.3d 1479 (1996).</w:t>
      </w:r>
    </w:p>
  </w:footnote>
  <w:footnote w:id="12">
    <w:p w:rsidR="00004C23" w:rsidRPr="00FE0954" w:rsidP="00232CB7" w14:paraId="0A19B2DC"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OCC v. PUC</w:t>
      </w:r>
      <w:r w:rsidRPr="00FE0954">
        <w:rPr>
          <w:rFonts w:ascii="Times New Roman" w:hAnsi="Times New Roman" w:cs="Times New Roman"/>
        </w:rPr>
        <w:t>, 111 Ohio St.3d 300 (2006).</w:t>
      </w:r>
    </w:p>
  </w:footnote>
  <w:footnote w:id="13">
    <w:p w:rsidR="00004C23" w:rsidRPr="00FE0954" w:rsidP="00232CB7" w14:paraId="16EF5F24"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See </w:t>
      </w:r>
      <w:r w:rsidRPr="00FE0954">
        <w:rPr>
          <w:rFonts w:ascii="Times New Roman" w:hAnsi="Times New Roman" w:cs="Times New Roman"/>
        </w:rPr>
        <w:t>AEP’s Motion at 6-8.</w:t>
      </w:r>
    </w:p>
  </w:footnote>
  <w:footnote w:id="14">
    <w:p w:rsidR="00004C23" w:rsidRPr="00FE0954" w:rsidP="00232CB7" w14:paraId="7821AAE9"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See id. </w:t>
      </w:r>
      <w:r w:rsidRPr="00FE0954">
        <w:rPr>
          <w:rFonts w:ascii="Times New Roman" w:hAnsi="Times New Roman" w:cs="Times New Roman"/>
        </w:rPr>
        <w:t>at Attachment 1.</w:t>
      </w:r>
    </w:p>
  </w:footnote>
  <w:footnote w:id="15">
    <w:p w:rsidR="00004C23" w:rsidRPr="00FE0954" w:rsidP="00232CB7" w14:paraId="3EA6ADBF" w14:textId="77777777">
      <w:pPr>
        <w:pStyle w:val="FootnoteText"/>
        <w:spacing w:after="120"/>
        <w:rPr>
          <w:rFonts w:ascii="Times New Roman" w:hAnsi="Times New Roman" w:cs="Times New Roman"/>
          <w:iCs/>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rPr>
        <w:t xml:space="preserve">See, e.g., id. </w:t>
      </w:r>
      <w:r w:rsidRPr="00FE0954">
        <w:rPr>
          <w:rFonts w:ascii="Times New Roman" w:hAnsi="Times New Roman" w:cs="Times New Roman"/>
          <w:iCs/>
        </w:rPr>
        <w:t>at 4, n. 5.</w:t>
      </w:r>
    </w:p>
  </w:footnote>
  <w:footnote w:id="16">
    <w:p w:rsidR="00004C23" w:rsidRPr="00FE0954" w:rsidP="00232CB7" w14:paraId="1B645108"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See id. </w:t>
      </w:r>
      <w:r w:rsidRPr="00FE0954">
        <w:rPr>
          <w:rFonts w:ascii="Times New Roman" w:hAnsi="Times New Roman" w:cs="Times New Roman"/>
        </w:rPr>
        <w:t>at Attachment 1.</w:t>
      </w:r>
    </w:p>
  </w:footnote>
  <w:footnote w:id="17">
    <w:p w:rsidR="00004C23" w:rsidRPr="00FE0954" w:rsidP="00232CB7" w14:paraId="72854ECF"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In the Matter of the Investigation into the Perry Nuclear Power Plant</w:t>
      </w:r>
      <w:r w:rsidRPr="00FE0954">
        <w:rPr>
          <w:rFonts w:ascii="Times New Roman" w:hAnsi="Times New Roman" w:cs="Times New Roman"/>
        </w:rPr>
        <w:t>, Case No. 85-521-EL-COI, Entry at 23 (Mar. 17, 1987) (citation omitted).</w:t>
      </w:r>
    </w:p>
  </w:footnote>
  <w:footnote w:id="18">
    <w:p w:rsidR="00004C23" w:rsidRPr="00FE0954" w:rsidP="00232CB7" w14:paraId="7F2D5029"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If AEP did have any credible question regarding the time and scope of OCC’s consumer protection discovery, it could have asserted an appropriate objection and answered (rather than refusing to answer and filing its Motion for Protective Order). That would have been consistent with the standards governing discovery in PUCO proceedings.</w:t>
      </w:r>
    </w:p>
  </w:footnote>
  <w:footnote w:id="19">
    <w:p w:rsidR="00004C23" w:rsidRPr="00FE0954" w:rsidP="00232CB7" w14:paraId="08692391"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AEP’s Motion at 7.</w:t>
      </w:r>
    </w:p>
  </w:footnote>
  <w:footnote w:id="20">
    <w:p w:rsidR="00004C23" w:rsidRPr="00FE0954" w:rsidP="00232CB7" w14:paraId="44863017"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Id. </w:t>
      </w:r>
      <w:r w:rsidRPr="00FE0954">
        <w:rPr>
          <w:rFonts w:ascii="Times New Roman" w:hAnsi="Times New Roman" w:cs="Times New Roman"/>
        </w:rPr>
        <w:t>at 8.</w:t>
      </w:r>
    </w:p>
  </w:footnote>
  <w:footnote w:id="21">
    <w:p w:rsidR="00004C23" w:rsidRPr="00FE0954" w:rsidP="00232CB7" w14:paraId="6AEFC7F5"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Id. </w:t>
      </w:r>
    </w:p>
  </w:footnote>
  <w:footnote w:id="22">
    <w:p w:rsidR="00004C23" w:rsidRPr="00FE0954" w:rsidP="00232CB7" w14:paraId="0BD6E789"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Id. </w:t>
      </w:r>
      <w:r w:rsidRPr="00FE0954">
        <w:rPr>
          <w:rFonts w:ascii="Times New Roman" w:hAnsi="Times New Roman" w:cs="Times New Roman"/>
        </w:rPr>
        <w:t>at 8-9.</w:t>
      </w:r>
    </w:p>
  </w:footnote>
  <w:footnote w:id="23">
    <w:p w:rsidR="00004C23" w:rsidRPr="00FE0954" w:rsidP="00232CB7" w14:paraId="4E7D2B0A"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Id. </w:t>
      </w:r>
      <w:r w:rsidRPr="00FE0954">
        <w:rPr>
          <w:rFonts w:ascii="Times New Roman" w:hAnsi="Times New Roman" w:cs="Times New Roman"/>
        </w:rPr>
        <w:t>at 9.</w:t>
      </w:r>
    </w:p>
  </w:footnote>
  <w:footnote w:id="24">
    <w:p w:rsidR="00004C23" w:rsidRPr="00FE0954" w:rsidP="00232CB7" w14:paraId="32E90848"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Amended Application at 13.</w:t>
      </w:r>
    </w:p>
  </w:footnote>
  <w:footnote w:id="25">
    <w:p w:rsidR="00004C23" w:rsidRPr="00FE0954" w:rsidP="00232CB7" w14:paraId="30EF9058"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AEP Motion at 3.</w:t>
      </w:r>
    </w:p>
  </w:footnote>
  <w:footnote w:id="26">
    <w:p w:rsidR="00004C23" w:rsidRPr="00FE0954" w:rsidP="00232CB7" w14:paraId="71813FCE"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O.A.C. 4901:1-10-27.</w:t>
      </w:r>
    </w:p>
  </w:footnote>
  <w:footnote w:id="27">
    <w:p w:rsidR="00004C23" w:rsidRPr="00FE0954" w:rsidP="00232CB7" w14:paraId="0679B8C0"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3828E0">
        <w:rPr>
          <w:rFonts w:ascii="Times New Roman" w:hAnsi="Times New Roman" w:cs="Times New Roman"/>
          <w:i/>
          <w:iCs/>
        </w:rPr>
        <w:t>Id.</w:t>
      </w:r>
      <w:r w:rsidRPr="00FE0954">
        <w:rPr>
          <w:rFonts w:ascii="Times New Roman" w:hAnsi="Times New Roman" w:cs="Times New Roman"/>
        </w:rPr>
        <w:t xml:space="preserve"> at (E)(1).</w:t>
      </w:r>
    </w:p>
  </w:footnote>
  <w:footnote w:id="28">
    <w:p w:rsidR="00004C23" w:rsidRPr="00FE0954" w:rsidP="00232CB7" w14:paraId="06B15B6B" w14:textId="54B61E74">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AEP Motion at 3.</w:t>
      </w:r>
      <w:r w:rsidRPr="00FE0954" w:rsidR="00232CB7">
        <w:rPr>
          <w:rFonts w:ascii="Times New Roman" w:hAnsi="Times New Roman" w:cs="Times New Roman"/>
        </w:rPr>
        <w:t xml:space="preserve"> </w:t>
      </w:r>
    </w:p>
  </w:footnote>
  <w:footnote w:id="29">
    <w:p w:rsidR="00004C23" w:rsidRPr="00FE0954" w:rsidP="00232CB7" w14:paraId="5D0CDE27"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Ohio Adm. Code 4901:1-10-10(B)(4)(b).</w:t>
      </w:r>
    </w:p>
  </w:footnote>
  <w:footnote w:id="30">
    <w:p w:rsidR="00004C23" w:rsidRPr="00FE0954" w:rsidP="00232CB7" w14:paraId="51B3668B"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R.C. 4928.143(B)(2)(h).</w:t>
      </w:r>
    </w:p>
  </w:footnote>
  <w:footnote w:id="31">
    <w:p w:rsidR="00004C23" w:rsidRPr="00FE0954" w:rsidP="00232CB7" w14:paraId="6A71BD4F"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Id. </w:t>
      </w:r>
      <w:r w:rsidRPr="00FE0954">
        <w:rPr>
          <w:rFonts w:ascii="Times New Roman" w:hAnsi="Times New Roman" w:cs="Times New Roman"/>
        </w:rPr>
        <w:t>at 4.</w:t>
      </w:r>
    </w:p>
  </w:footnote>
  <w:footnote w:id="32">
    <w:p w:rsidR="00004C23" w:rsidRPr="00FE0954" w:rsidP="00232CB7" w14:paraId="28785F3C"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Id. </w:t>
      </w:r>
      <w:r w:rsidRPr="00FE0954">
        <w:rPr>
          <w:rFonts w:ascii="Times New Roman" w:hAnsi="Times New Roman" w:cs="Times New Roman"/>
        </w:rPr>
        <w:t>at 9-10 (italics in original).</w:t>
      </w:r>
    </w:p>
  </w:footnote>
  <w:footnote w:id="33">
    <w:p w:rsidR="00004C23" w:rsidRPr="00FE0954" w:rsidP="00232CB7" w14:paraId="2CEA4AFA" w14:textId="77777777">
      <w:pPr>
        <w:pStyle w:val="FootnoteText"/>
        <w:spacing w:after="120"/>
        <w:rPr>
          <w:rFonts w:ascii="Times New Roman" w:hAnsi="Times New Roman" w:cs="Times New Roman"/>
        </w:rPr>
      </w:pPr>
      <w:r w:rsidRPr="00FE0954">
        <w:rPr>
          <w:rStyle w:val="FootnoteReference"/>
          <w:rFonts w:ascii="Times New Roman" w:hAnsi="Times New Roman" w:cs="Times New Roman"/>
        </w:rPr>
        <w:footnoteRef/>
      </w:r>
      <w:r w:rsidRPr="00FE0954">
        <w:rPr>
          <w:rFonts w:ascii="Times New Roman" w:hAnsi="Times New Roman" w:cs="Times New Roman"/>
        </w:rPr>
        <w:t xml:space="preserve"> </w:t>
      </w:r>
      <w:r w:rsidRPr="00FE0954">
        <w:rPr>
          <w:rFonts w:ascii="Times New Roman" w:hAnsi="Times New Roman" w:cs="Times New Roman"/>
          <w:i/>
          <w:iCs/>
        </w:rPr>
        <w:t xml:space="preserve">Id. </w:t>
      </w:r>
      <w:r w:rsidRPr="00FE0954">
        <w:rPr>
          <w:rFonts w:ascii="Times New Roman" w:hAnsi="Times New Roman" w:cs="Times New Roman"/>
        </w:rPr>
        <w:t>at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CF55DE"/>
    <w:multiLevelType w:val="hybridMultilevel"/>
    <w:tmpl w:val="C012114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D32022E"/>
    <w:multiLevelType w:val="hybridMultilevel"/>
    <w:tmpl w:val="EBF25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611AD0"/>
    <w:multiLevelType w:val="multilevel"/>
    <w:tmpl w:val="9A66B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635087"/>
    <w:multiLevelType w:val="hybridMultilevel"/>
    <w:tmpl w:val="CDCA5B82"/>
    <w:lvl w:ilvl="0">
      <w:start w:val="1"/>
      <w:numFmt w:val="upperLetter"/>
      <w:lvlText w:val="%1."/>
      <w:lvlJc w:val="left"/>
      <w:pPr>
        <w:ind w:left="1080" w:hanging="360"/>
      </w:pPr>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707070C"/>
    <w:multiLevelType w:val="hybridMultilevel"/>
    <w:tmpl w:val="62967274"/>
    <w:lvl w:ilvl="0">
      <w:start w:val="1"/>
      <w:numFmt w:val="decimal"/>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88"/>
    <w:rsid w:val="00004C23"/>
    <w:rsid w:val="0001557A"/>
    <w:rsid w:val="00025F71"/>
    <w:rsid w:val="000526D8"/>
    <w:rsid w:val="00053076"/>
    <w:rsid w:val="000744C5"/>
    <w:rsid w:val="000B1CB4"/>
    <w:rsid w:val="000B412D"/>
    <w:rsid w:val="000C1E73"/>
    <w:rsid w:val="000E2228"/>
    <w:rsid w:val="000F12DE"/>
    <w:rsid w:val="00135DC3"/>
    <w:rsid w:val="00135FA1"/>
    <w:rsid w:val="00145A8F"/>
    <w:rsid w:val="00154BF1"/>
    <w:rsid w:val="00170A79"/>
    <w:rsid w:val="0017693F"/>
    <w:rsid w:val="001B3FD7"/>
    <w:rsid w:val="001E6704"/>
    <w:rsid w:val="0021169C"/>
    <w:rsid w:val="00232CB7"/>
    <w:rsid w:val="0023365F"/>
    <w:rsid w:val="002558A0"/>
    <w:rsid w:val="00262D5E"/>
    <w:rsid w:val="00265E4B"/>
    <w:rsid w:val="002E79FB"/>
    <w:rsid w:val="00305796"/>
    <w:rsid w:val="00312356"/>
    <w:rsid w:val="00336C04"/>
    <w:rsid w:val="0035301D"/>
    <w:rsid w:val="00372633"/>
    <w:rsid w:val="003828E0"/>
    <w:rsid w:val="00383211"/>
    <w:rsid w:val="00392056"/>
    <w:rsid w:val="003B49E1"/>
    <w:rsid w:val="003B6EC1"/>
    <w:rsid w:val="003C12DB"/>
    <w:rsid w:val="003C6368"/>
    <w:rsid w:val="003D326E"/>
    <w:rsid w:val="003E3888"/>
    <w:rsid w:val="003F3752"/>
    <w:rsid w:val="00410F78"/>
    <w:rsid w:val="0042326D"/>
    <w:rsid w:val="004263C0"/>
    <w:rsid w:val="004378CF"/>
    <w:rsid w:val="004435C3"/>
    <w:rsid w:val="00476788"/>
    <w:rsid w:val="004768DF"/>
    <w:rsid w:val="004B54CF"/>
    <w:rsid w:val="004B6BB5"/>
    <w:rsid w:val="004C6C90"/>
    <w:rsid w:val="004D0BE5"/>
    <w:rsid w:val="004D2596"/>
    <w:rsid w:val="004D7930"/>
    <w:rsid w:val="004F7CC2"/>
    <w:rsid w:val="00505BDF"/>
    <w:rsid w:val="00546C8D"/>
    <w:rsid w:val="0056207F"/>
    <w:rsid w:val="00563AFD"/>
    <w:rsid w:val="00573075"/>
    <w:rsid w:val="00577B33"/>
    <w:rsid w:val="005823DE"/>
    <w:rsid w:val="005A0686"/>
    <w:rsid w:val="005A2823"/>
    <w:rsid w:val="005B32FD"/>
    <w:rsid w:val="005B7F76"/>
    <w:rsid w:val="005C6464"/>
    <w:rsid w:val="005D2C4C"/>
    <w:rsid w:val="005D4896"/>
    <w:rsid w:val="005D54B4"/>
    <w:rsid w:val="005E090D"/>
    <w:rsid w:val="005F6D59"/>
    <w:rsid w:val="006047FD"/>
    <w:rsid w:val="00606FE0"/>
    <w:rsid w:val="006202CB"/>
    <w:rsid w:val="006221D5"/>
    <w:rsid w:val="00626A8F"/>
    <w:rsid w:val="00643F73"/>
    <w:rsid w:val="00646255"/>
    <w:rsid w:val="00657D6B"/>
    <w:rsid w:val="00677A61"/>
    <w:rsid w:val="0068013A"/>
    <w:rsid w:val="006901DE"/>
    <w:rsid w:val="006A6588"/>
    <w:rsid w:val="006D7433"/>
    <w:rsid w:val="006E1BF7"/>
    <w:rsid w:val="00731339"/>
    <w:rsid w:val="007401DA"/>
    <w:rsid w:val="00742C20"/>
    <w:rsid w:val="00750293"/>
    <w:rsid w:val="00767521"/>
    <w:rsid w:val="007716F9"/>
    <w:rsid w:val="007814CF"/>
    <w:rsid w:val="0078231B"/>
    <w:rsid w:val="00786346"/>
    <w:rsid w:val="00791742"/>
    <w:rsid w:val="007A4F82"/>
    <w:rsid w:val="007B338B"/>
    <w:rsid w:val="007E75FF"/>
    <w:rsid w:val="00800EAB"/>
    <w:rsid w:val="00802754"/>
    <w:rsid w:val="00822881"/>
    <w:rsid w:val="00836C32"/>
    <w:rsid w:val="008464FA"/>
    <w:rsid w:val="00854A7C"/>
    <w:rsid w:val="00867D03"/>
    <w:rsid w:val="008740EF"/>
    <w:rsid w:val="00881CA1"/>
    <w:rsid w:val="00895A6D"/>
    <w:rsid w:val="008B17BE"/>
    <w:rsid w:val="008C0172"/>
    <w:rsid w:val="008C6B5E"/>
    <w:rsid w:val="008D0FFA"/>
    <w:rsid w:val="008F3254"/>
    <w:rsid w:val="008F472C"/>
    <w:rsid w:val="009035A0"/>
    <w:rsid w:val="009224CC"/>
    <w:rsid w:val="009447EA"/>
    <w:rsid w:val="009520E1"/>
    <w:rsid w:val="009674B7"/>
    <w:rsid w:val="00967F2B"/>
    <w:rsid w:val="00971F70"/>
    <w:rsid w:val="00973F9C"/>
    <w:rsid w:val="00976E63"/>
    <w:rsid w:val="00977A5C"/>
    <w:rsid w:val="009B298A"/>
    <w:rsid w:val="009C7B59"/>
    <w:rsid w:val="009E37EA"/>
    <w:rsid w:val="009F56F3"/>
    <w:rsid w:val="00A01A68"/>
    <w:rsid w:val="00A01E2A"/>
    <w:rsid w:val="00A23CA7"/>
    <w:rsid w:val="00A273C6"/>
    <w:rsid w:val="00A40E30"/>
    <w:rsid w:val="00A50F5E"/>
    <w:rsid w:val="00A531CF"/>
    <w:rsid w:val="00A57F45"/>
    <w:rsid w:val="00A6215B"/>
    <w:rsid w:val="00A710DD"/>
    <w:rsid w:val="00A75DCB"/>
    <w:rsid w:val="00A75EB6"/>
    <w:rsid w:val="00AC1388"/>
    <w:rsid w:val="00AC3383"/>
    <w:rsid w:val="00AF509D"/>
    <w:rsid w:val="00AF5636"/>
    <w:rsid w:val="00B02D87"/>
    <w:rsid w:val="00B10B59"/>
    <w:rsid w:val="00B526E0"/>
    <w:rsid w:val="00B8166E"/>
    <w:rsid w:val="00B9033A"/>
    <w:rsid w:val="00BC6D7E"/>
    <w:rsid w:val="00BC7DED"/>
    <w:rsid w:val="00BD1DE1"/>
    <w:rsid w:val="00BD79D8"/>
    <w:rsid w:val="00BE2593"/>
    <w:rsid w:val="00C13D01"/>
    <w:rsid w:val="00C1615E"/>
    <w:rsid w:val="00C300D7"/>
    <w:rsid w:val="00C7683A"/>
    <w:rsid w:val="00CA5340"/>
    <w:rsid w:val="00CB771D"/>
    <w:rsid w:val="00CE3140"/>
    <w:rsid w:val="00CF19E3"/>
    <w:rsid w:val="00CF7D87"/>
    <w:rsid w:val="00D00ACB"/>
    <w:rsid w:val="00D34C6B"/>
    <w:rsid w:val="00D40885"/>
    <w:rsid w:val="00D644E6"/>
    <w:rsid w:val="00D730A7"/>
    <w:rsid w:val="00DA04B7"/>
    <w:rsid w:val="00DA2991"/>
    <w:rsid w:val="00DA501B"/>
    <w:rsid w:val="00DC1265"/>
    <w:rsid w:val="00DE55E2"/>
    <w:rsid w:val="00E16DE1"/>
    <w:rsid w:val="00E51327"/>
    <w:rsid w:val="00ED467F"/>
    <w:rsid w:val="00EF1306"/>
    <w:rsid w:val="00EF63B8"/>
    <w:rsid w:val="00F1404D"/>
    <w:rsid w:val="00F36AC1"/>
    <w:rsid w:val="00F455BF"/>
    <w:rsid w:val="00F64B54"/>
    <w:rsid w:val="00FD59FD"/>
    <w:rsid w:val="00FE0954"/>
    <w:rsid w:val="00FE0F4F"/>
    <w:rsid w:val="00FF4D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0EF"/>
  </w:style>
  <w:style w:type="paragraph" w:styleId="Heading1">
    <w:name w:val="heading 1"/>
    <w:basedOn w:val="Normal"/>
    <w:next w:val="Normal"/>
    <w:link w:val="Heading1Char"/>
    <w:uiPriority w:val="9"/>
    <w:qFormat/>
    <w:pPr>
      <w:keepNext/>
      <w:keepLines/>
      <w:spacing w:after="240" w:line="240" w:lineRule="auto"/>
      <w:ind w:left="720" w:hanging="720"/>
      <w:outlineLvl w:val="0"/>
    </w:pPr>
    <w:rPr>
      <w:rFonts w:ascii="Times New Roman Bold" w:hAnsi="Times New Roman Bold" w:eastAsiaTheme="majorEastAsia" w:cstheme="majorBidi"/>
      <w:b/>
      <w:caps/>
      <w:sz w:val="24"/>
      <w:szCs w:val="32"/>
    </w:rPr>
  </w:style>
  <w:style w:type="paragraph" w:styleId="Heading2">
    <w:name w:val="heading 2"/>
    <w:basedOn w:val="Normal"/>
    <w:next w:val="Normal"/>
    <w:link w:val="Heading2Char"/>
    <w:uiPriority w:val="9"/>
    <w:unhideWhenUsed/>
    <w:qFormat/>
    <w:pPr>
      <w:keepNext/>
      <w:keepLines/>
      <w:spacing w:after="240" w:line="240" w:lineRule="auto"/>
      <w:ind w:left="1440" w:hanging="720"/>
      <w:outlineLvl w:val="1"/>
    </w:pPr>
    <w:rPr>
      <w:rFonts w:ascii="Times New Roman Bold" w:hAnsi="Times New Roman Bold" w:eastAsiaTheme="majorEastAsia" w:cstheme="majorBidi"/>
      <w:b/>
      <w:sz w:val="24"/>
      <w:szCs w:val="26"/>
    </w:rPr>
  </w:style>
  <w:style w:type="paragraph" w:styleId="Heading3">
    <w:name w:val="heading 3"/>
    <w:basedOn w:val="ListParagraph"/>
    <w:next w:val="Normal"/>
    <w:link w:val="Heading3Char"/>
    <w:uiPriority w:val="9"/>
    <w:unhideWhenUsed/>
    <w:qFormat/>
    <w:rsid w:val="003D326E"/>
    <w:pPr>
      <w:numPr>
        <w:numId w:val="4"/>
      </w:numPr>
      <w:spacing w:after="240" w:line="240" w:lineRule="auto"/>
      <w:ind w:left="2160" w:hanging="720"/>
      <w:textAlignment w:val="baseline"/>
      <w:outlineLvl w:val="2"/>
    </w:pPr>
    <w:rPr>
      <w:rFonts w:ascii="Times New Roman" w:hAnsi="Times New Roman" w:cs="Times New Roman"/>
      <w:b/>
      <w:bCs/>
      <w:color w:val="000000" w:themeColor="text1"/>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Footnote Text Char4 Char,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ALTS FOOTNOTE Char,Footnote Text Char Char Char,Footnote Text Char Char Char Char Char,Footnote Text Char1 Char,Footnote Text Char1 Char Char1 Char,Footnote Text Char1 Char Char1 Char Char Char Char,Footnote Text Char4 Char Char"/>
    <w:basedOn w:val="DefaultParagraphFont"/>
    <w:link w:val="FootnoteText"/>
    <w:uiPriority w:val="99"/>
    <w:rPr>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basedOn w:val="DefaultParagraphFont"/>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Pr>
      <w:rFonts w:ascii="Times New Roman" w:eastAsia="Times New Roman" w:hAnsi="Times New Roman" w:cs="Times New Roman"/>
      <w:sz w:val="24"/>
      <w:szCs w:val="24"/>
    </w:rPr>
  </w:style>
  <w:style w:type="character" w:styleId="CommentReference">
    <w:name w:val="annotation reference"/>
    <w:basedOn w:val="DefaultParagraphFont"/>
    <w:unhideWhenUsed/>
    <w:rPr>
      <w:sz w:val="16"/>
      <w:szCs w:val="16"/>
    </w:rPr>
  </w:style>
  <w:style w:type="character" w:customStyle="1" w:styleId="sssh">
    <w:name w:val="ss_sh"/>
    <w:basedOn w:val="DefaultParagraphFont"/>
  </w:style>
  <w:style w:type="character" w:customStyle="1" w:styleId="apple-converted-space">
    <w:name w:val="apple-converted-space"/>
    <w:basedOn w:val="DefaultParagraphFont"/>
  </w:style>
  <w:style w:type="character" w:customStyle="1" w:styleId="ssrfcpassagedeactivated">
    <w:name w:val="ss_rfcpassage_deactivated"/>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customStyle="1" w:styleId="ssun">
    <w:name w:val="ss_un"/>
    <w:basedOn w:val="DefaultParagraphFont"/>
  </w:style>
  <w:style w:type="character" w:customStyle="1" w:styleId="Heading1Char">
    <w:name w:val="Heading 1 Char"/>
    <w:basedOn w:val="DefaultParagraphFont"/>
    <w:link w:val="Heading1"/>
    <w:uiPriority w:val="9"/>
    <w:rPr>
      <w:rFonts w:ascii="Times New Roman Bold" w:hAnsi="Times New Roman Bold" w:eastAsiaTheme="majorEastAsia" w:cstheme="majorBidi"/>
      <w:b/>
      <w:caps/>
      <w:sz w:val="24"/>
      <w:szCs w:val="32"/>
    </w:rPr>
  </w:style>
  <w:style w:type="character" w:customStyle="1" w:styleId="Heading2Char">
    <w:name w:val="Heading 2 Char"/>
    <w:basedOn w:val="DefaultParagraphFont"/>
    <w:link w:val="Heading2"/>
    <w:uiPriority w:val="9"/>
    <w:rPr>
      <w:rFonts w:ascii="Times New Roman Bold" w:hAnsi="Times New Roman Bold" w:eastAsiaTheme="majorEastAsia" w:cstheme="majorBidi"/>
      <w:b/>
      <w:sz w:val="24"/>
      <w:szCs w:val="26"/>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154BF1"/>
    <w:pPr>
      <w:tabs>
        <w:tab w:val="decimal" w:leader="dot" w:pos="936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rsid w:val="00154BF1"/>
    <w:pPr>
      <w:tabs>
        <w:tab w:val="decimal" w:leader="dot" w:pos="9360"/>
      </w:tabs>
      <w:spacing w:after="240" w:line="240" w:lineRule="auto"/>
      <w:ind w:left="1440" w:hanging="720"/>
    </w:pPr>
    <w:rPr>
      <w:rFonts w:ascii="Times New Roman" w:hAnsi="Times New Roman"/>
      <w:sz w:val="24"/>
    </w:rPr>
  </w:style>
  <w:style w:type="paragraph" w:styleId="BalloonText">
    <w:name w:val="Balloon Text"/>
    <w:basedOn w:val="Normal"/>
    <w:link w:val="BalloonTextChar"/>
    <w:uiPriority w:val="99"/>
    <w:semiHidden/>
    <w:unhideWhenUsed/>
    <w:rsid w:val="007502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0293"/>
    <w:rPr>
      <w:rFonts w:ascii="Times New Roman" w:hAnsi="Times New Roman" w:cs="Times New Roman"/>
      <w:sz w:val="18"/>
      <w:szCs w:val="18"/>
    </w:rPr>
  </w:style>
  <w:style w:type="paragraph" w:styleId="HTMLPreformatted">
    <w:name w:val="HTML Preformatted"/>
    <w:basedOn w:val="Normal"/>
    <w:link w:val="HTMLPreformattedChar"/>
    <w:rsid w:val="0033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6C04"/>
    <w:rPr>
      <w:rFonts w:ascii="Courier New" w:eastAsia="Courier New" w:hAnsi="Courier New" w:cs="Courier New"/>
      <w:sz w:val="20"/>
      <w:szCs w:val="20"/>
    </w:rPr>
  </w:style>
  <w:style w:type="character" w:customStyle="1" w:styleId="Heading3Char">
    <w:name w:val="Heading 3 Char"/>
    <w:basedOn w:val="DefaultParagraphFont"/>
    <w:link w:val="Heading3"/>
    <w:uiPriority w:val="9"/>
    <w:rsid w:val="003D326E"/>
    <w:rPr>
      <w:rFonts w:ascii="Times New Roman" w:hAnsi="Times New Roman" w:cs="Times New Roman"/>
      <w:b/>
      <w:bCs/>
      <w:color w:val="000000" w:themeColor="text1"/>
      <w:sz w:val="24"/>
      <w:szCs w:val="24"/>
    </w:rPr>
  </w:style>
  <w:style w:type="paragraph" w:styleId="TOC3">
    <w:name w:val="toc 3"/>
    <w:basedOn w:val="Normal"/>
    <w:next w:val="Normal"/>
    <w:autoRedefine/>
    <w:uiPriority w:val="39"/>
    <w:unhideWhenUsed/>
    <w:rsid w:val="007A4F82"/>
    <w:pPr>
      <w:tabs>
        <w:tab w:val="decimal" w:leader="dot" w:pos="9360"/>
      </w:tabs>
      <w:spacing w:after="240" w:line="240" w:lineRule="auto"/>
      <w:ind w:left="2160" w:hanging="720"/>
    </w:pPr>
    <w:rPr>
      <w:rFonts w:ascii="Times New Roman" w:hAnsi="Times New Roman"/>
      <w:sz w:val="24"/>
    </w:rPr>
  </w:style>
  <w:style w:type="character" w:customStyle="1" w:styleId="UnresolvedMention">
    <w:name w:val="Unresolved Mention"/>
    <w:basedOn w:val="DefaultParagraphFont"/>
    <w:uiPriority w:val="99"/>
    <w:rsid w:val="0023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sjagers@ohiopovertylaw.org" TargetMode="External" /><Relationship Id="rId12" Type="http://schemas.openxmlformats.org/officeDocument/2006/relationships/hyperlink" Target="mailto:sarah.parrot@puco.ohio.gov" TargetMode="External" /><Relationship Id="rId13" Type="http://schemas.openxmlformats.org/officeDocument/2006/relationships/hyperlink" Target="mailto:greta.see@puco.ohio.gov" TargetMode="External" /><Relationship Id="rId14" Type="http://schemas.openxmlformats.org/officeDocument/2006/relationships/hyperlink" Target="mailto:stnourse@aep.com" TargetMode="External" /><Relationship Id="rId15" Type="http://schemas.openxmlformats.org/officeDocument/2006/relationships/hyperlink" Target="mailto:mjschuler@aep.com"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epohiowire.com/columbus-area-power-outages-faq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E48B4-1E69-4240-B536-101C91F1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2022-09-19T19:11:27Z</dcterms:created>
  <dcterms:modified xsi:type="dcterms:W3CDTF">2022-09-19T19:11:27Z</dcterms:modified>
</cp:coreProperties>
</file>