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FE16B" w14:textId="349BFCDC" w:rsidR="003B7634" w:rsidRPr="003B7634" w:rsidRDefault="003B7634" w:rsidP="003B7634">
      <w:pPr>
        <w:spacing w:after="0" w:line="240" w:lineRule="auto"/>
        <w:jc w:val="center"/>
        <w:rPr>
          <w:rFonts w:ascii="Arial" w:eastAsia="Calibri" w:hAnsi="Arial" w:cs="Arial"/>
          <w:b/>
          <w:sz w:val="24"/>
          <w:szCs w:val="24"/>
        </w:rPr>
      </w:pPr>
      <w:bookmarkStart w:id="0" w:name="_GoBack"/>
      <w:bookmarkEnd w:id="0"/>
      <w:r w:rsidRPr="003B7634">
        <w:rPr>
          <w:rFonts w:ascii="Arial" w:eastAsia="Calibri" w:hAnsi="Arial" w:cs="Arial"/>
          <w:b/>
          <w:sz w:val="24"/>
          <w:szCs w:val="24"/>
        </w:rPr>
        <w:t>BEFORE THE</w:t>
      </w:r>
    </w:p>
    <w:p w14:paraId="3247A242" w14:textId="77777777" w:rsidR="003B7634" w:rsidRPr="003B7634" w:rsidRDefault="003B7634" w:rsidP="003B7634">
      <w:pPr>
        <w:tabs>
          <w:tab w:val="center" w:pos="4682"/>
          <w:tab w:val="left" w:pos="8625"/>
        </w:tabs>
        <w:spacing w:after="240" w:line="240" w:lineRule="auto"/>
        <w:jc w:val="center"/>
        <w:rPr>
          <w:rFonts w:ascii="Arial" w:eastAsia="Calibri" w:hAnsi="Arial" w:cs="Arial"/>
          <w:b/>
          <w:sz w:val="24"/>
          <w:szCs w:val="24"/>
        </w:rPr>
      </w:pPr>
      <w:r w:rsidRPr="003B7634">
        <w:rPr>
          <w:rFonts w:ascii="Arial" w:eastAsia="Calibri" w:hAnsi="Arial" w:cs="Arial"/>
          <w:b/>
          <w:sz w:val="24"/>
          <w:szCs w:val="24"/>
        </w:rPr>
        <w:t>PUBLIC UTILITIES COMMISSION OF OHIO</w:t>
      </w:r>
    </w:p>
    <w:p w14:paraId="01289665" w14:textId="77777777" w:rsidR="003B7634" w:rsidRPr="003B7634" w:rsidRDefault="003B7634" w:rsidP="003B7634">
      <w:pPr>
        <w:spacing w:after="0" w:line="240" w:lineRule="auto"/>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140"/>
      </w:tblGrid>
      <w:tr w:rsidR="003B7634" w:rsidRPr="003B7634" w14:paraId="038B9642" w14:textId="77777777" w:rsidTr="003B7634">
        <w:tc>
          <w:tcPr>
            <w:tcW w:w="4428" w:type="dxa"/>
          </w:tcPr>
          <w:p w14:paraId="0D1E610F"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Its Electric Security Plan.</w:t>
            </w:r>
          </w:p>
        </w:tc>
        <w:tc>
          <w:tcPr>
            <w:tcW w:w="720" w:type="dxa"/>
          </w:tcPr>
          <w:p w14:paraId="617E310C" w14:textId="77777777" w:rsidR="003B7634" w:rsidRPr="003B7634" w:rsidRDefault="003B7634" w:rsidP="003B7634">
            <w:pPr>
              <w:rPr>
                <w:rFonts w:ascii="Arial" w:eastAsia="Calibri" w:hAnsi="Arial" w:cs="Arial"/>
              </w:rPr>
            </w:pPr>
            <w:r w:rsidRPr="003B7634">
              <w:rPr>
                <w:rFonts w:ascii="Arial" w:eastAsia="Calibri" w:hAnsi="Arial" w:cs="Arial"/>
              </w:rPr>
              <w:t>)</w:t>
            </w:r>
          </w:p>
          <w:p w14:paraId="412C9255" w14:textId="77777777" w:rsidR="003B7634" w:rsidRPr="003B7634" w:rsidRDefault="003B7634" w:rsidP="003B7634">
            <w:pPr>
              <w:rPr>
                <w:rFonts w:ascii="Arial" w:eastAsia="Calibri" w:hAnsi="Arial" w:cs="Arial"/>
              </w:rPr>
            </w:pPr>
            <w:r w:rsidRPr="003B7634">
              <w:rPr>
                <w:rFonts w:ascii="Arial" w:eastAsia="Calibri" w:hAnsi="Arial" w:cs="Arial"/>
              </w:rPr>
              <w:t>)</w:t>
            </w:r>
          </w:p>
          <w:p w14:paraId="65F69780"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401EF46C" w14:textId="77777777" w:rsidR="003B7634" w:rsidRPr="003B7634" w:rsidRDefault="003B7634" w:rsidP="003B7634">
            <w:pPr>
              <w:rPr>
                <w:rFonts w:ascii="Arial" w:eastAsia="Calibri" w:hAnsi="Arial" w:cs="Arial"/>
              </w:rPr>
            </w:pPr>
          </w:p>
          <w:p w14:paraId="7E93B4CA" w14:textId="77777777" w:rsidR="003B7634" w:rsidRPr="003B7634" w:rsidRDefault="003B7634" w:rsidP="003B7634">
            <w:pPr>
              <w:rPr>
                <w:rFonts w:ascii="Arial" w:eastAsia="Calibri" w:hAnsi="Arial" w:cs="Arial"/>
              </w:rPr>
            </w:pPr>
            <w:r w:rsidRPr="003B7634">
              <w:rPr>
                <w:rFonts w:ascii="Arial" w:eastAsia="Calibri" w:hAnsi="Arial" w:cs="Arial"/>
              </w:rPr>
              <w:t>Case No. 16-0395-EL-SSO</w:t>
            </w:r>
          </w:p>
        </w:tc>
      </w:tr>
      <w:tr w:rsidR="003B7634" w:rsidRPr="003B7634" w14:paraId="19885F2A" w14:textId="77777777" w:rsidTr="003B7634">
        <w:tc>
          <w:tcPr>
            <w:tcW w:w="4428" w:type="dxa"/>
          </w:tcPr>
          <w:p w14:paraId="1D10129C" w14:textId="77777777" w:rsidR="003B7634" w:rsidRPr="003B7634" w:rsidRDefault="003B7634" w:rsidP="003B7634">
            <w:pPr>
              <w:rPr>
                <w:rFonts w:ascii="Arial" w:eastAsia="Calibri" w:hAnsi="Arial" w:cs="Arial"/>
              </w:rPr>
            </w:pPr>
          </w:p>
        </w:tc>
        <w:tc>
          <w:tcPr>
            <w:tcW w:w="720" w:type="dxa"/>
          </w:tcPr>
          <w:p w14:paraId="0CA699BB" w14:textId="77777777" w:rsidR="003B7634" w:rsidRPr="003B7634" w:rsidRDefault="003B7634" w:rsidP="003B7634">
            <w:pPr>
              <w:rPr>
                <w:rFonts w:ascii="Arial" w:eastAsia="Calibri" w:hAnsi="Arial" w:cs="Arial"/>
              </w:rPr>
            </w:pPr>
          </w:p>
        </w:tc>
        <w:tc>
          <w:tcPr>
            <w:tcW w:w="4140" w:type="dxa"/>
          </w:tcPr>
          <w:p w14:paraId="6E64511B" w14:textId="77777777" w:rsidR="003B7634" w:rsidRPr="003B7634" w:rsidRDefault="003B7634" w:rsidP="003B7634">
            <w:pPr>
              <w:rPr>
                <w:rFonts w:ascii="Arial" w:eastAsia="Calibri" w:hAnsi="Arial" w:cs="Arial"/>
              </w:rPr>
            </w:pPr>
          </w:p>
        </w:tc>
      </w:tr>
      <w:tr w:rsidR="003B7634" w:rsidRPr="003B7634" w14:paraId="5A037D7D" w14:textId="77777777" w:rsidTr="003B7634">
        <w:tc>
          <w:tcPr>
            <w:tcW w:w="4428" w:type="dxa"/>
          </w:tcPr>
          <w:p w14:paraId="1FB78688"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Revised Tariffs.</w:t>
            </w:r>
          </w:p>
        </w:tc>
        <w:tc>
          <w:tcPr>
            <w:tcW w:w="720" w:type="dxa"/>
          </w:tcPr>
          <w:p w14:paraId="5EB0D2B1" w14:textId="77777777" w:rsidR="003B7634" w:rsidRPr="003B7634" w:rsidRDefault="003B7634" w:rsidP="003B7634">
            <w:pPr>
              <w:rPr>
                <w:rFonts w:ascii="Arial" w:eastAsia="Calibri" w:hAnsi="Arial" w:cs="Arial"/>
              </w:rPr>
            </w:pPr>
            <w:r w:rsidRPr="003B7634">
              <w:rPr>
                <w:rFonts w:ascii="Arial" w:eastAsia="Calibri" w:hAnsi="Arial" w:cs="Arial"/>
              </w:rPr>
              <w:t>)</w:t>
            </w:r>
          </w:p>
          <w:p w14:paraId="408FAE7C" w14:textId="77777777" w:rsidR="003B7634" w:rsidRPr="003B7634" w:rsidRDefault="003B7634" w:rsidP="003B7634">
            <w:pPr>
              <w:rPr>
                <w:rFonts w:ascii="Arial" w:eastAsia="Calibri" w:hAnsi="Arial" w:cs="Arial"/>
              </w:rPr>
            </w:pPr>
            <w:r w:rsidRPr="003B7634">
              <w:rPr>
                <w:rFonts w:ascii="Arial" w:eastAsia="Calibri" w:hAnsi="Arial" w:cs="Arial"/>
              </w:rPr>
              <w:t>)</w:t>
            </w:r>
          </w:p>
          <w:p w14:paraId="6325B13F"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380DB4CC" w14:textId="77777777" w:rsidR="003B7634" w:rsidRPr="003B7634" w:rsidRDefault="003B7634" w:rsidP="003B7634">
            <w:pPr>
              <w:rPr>
                <w:rFonts w:ascii="Arial" w:eastAsia="Calibri" w:hAnsi="Arial" w:cs="Arial"/>
              </w:rPr>
            </w:pPr>
          </w:p>
          <w:p w14:paraId="00DDDA11" w14:textId="77777777" w:rsidR="003B7634" w:rsidRPr="003B7634" w:rsidRDefault="003B7634" w:rsidP="003B7634">
            <w:pPr>
              <w:rPr>
                <w:rFonts w:ascii="Arial" w:eastAsia="Calibri" w:hAnsi="Arial" w:cs="Arial"/>
              </w:rPr>
            </w:pPr>
            <w:r w:rsidRPr="003B7634">
              <w:rPr>
                <w:rFonts w:ascii="Arial" w:eastAsia="Calibri" w:hAnsi="Arial" w:cs="Arial"/>
              </w:rPr>
              <w:t>Case No. 16-0396-EL-ATA</w:t>
            </w:r>
          </w:p>
        </w:tc>
      </w:tr>
      <w:tr w:rsidR="003B7634" w:rsidRPr="003B7634" w14:paraId="2F987E9D" w14:textId="77777777" w:rsidTr="003B7634">
        <w:tc>
          <w:tcPr>
            <w:tcW w:w="4428" w:type="dxa"/>
          </w:tcPr>
          <w:p w14:paraId="52F210E8" w14:textId="77777777" w:rsidR="003B7634" w:rsidRPr="003B7634" w:rsidRDefault="003B7634" w:rsidP="003B7634">
            <w:pPr>
              <w:rPr>
                <w:rFonts w:ascii="Arial" w:eastAsia="Calibri" w:hAnsi="Arial" w:cs="Arial"/>
              </w:rPr>
            </w:pPr>
          </w:p>
        </w:tc>
        <w:tc>
          <w:tcPr>
            <w:tcW w:w="720" w:type="dxa"/>
          </w:tcPr>
          <w:p w14:paraId="2B7F7A2F" w14:textId="77777777" w:rsidR="003B7634" w:rsidRPr="003B7634" w:rsidRDefault="003B7634" w:rsidP="003B7634">
            <w:pPr>
              <w:rPr>
                <w:rFonts w:ascii="Arial" w:eastAsia="Calibri" w:hAnsi="Arial" w:cs="Arial"/>
              </w:rPr>
            </w:pPr>
          </w:p>
        </w:tc>
        <w:tc>
          <w:tcPr>
            <w:tcW w:w="4140" w:type="dxa"/>
          </w:tcPr>
          <w:p w14:paraId="547F381C" w14:textId="77777777" w:rsidR="003B7634" w:rsidRPr="003B7634" w:rsidRDefault="003B7634" w:rsidP="003B7634">
            <w:pPr>
              <w:rPr>
                <w:rFonts w:ascii="Arial" w:eastAsia="Calibri" w:hAnsi="Arial" w:cs="Arial"/>
              </w:rPr>
            </w:pPr>
          </w:p>
        </w:tc>
      </w:tr>
      <w:tr w:rsidR="003B7634" w:rsidRPr="003B7634" w14:paraId="0374BC78" w14:textId="77777777" w:rsidTr="003B7634">
        <w:tc>
          <w:tcPr>
            <w:tcW w:w="4428" w:type="dxa"/>
          </w:tcPr>
          <w:p w14:paraId="083E0ADB"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Certain Accounting Authority Pursuant to Ohio Rev. Code § 4905.13.</w:t>
            </w:r>
          </w:p>
        </w:tc>
        <w:tc>
          <w:tcPr>
            <w:tcW w:w="720" w:type="dxa"/>
          </w:tcPr>
          <w:p w14:paraId="4F33216A" w14:textId="77777777" w:rsidR="003B7634" w:rsidRPr="003B7634" w:rsidRDefault="003B7634" w:rsidP="003B7634">
            <w:pPr>
              <w:rPr>
                <w:rFonts w:ascii="Arial" w:eastAsia="Calibri" w:hAnsi="Arial" w:cs="Arial"/>
              </w:rPr>
            </w:pPr>
            <w:r w:rsidRPr="003B7634">
              <w:rPr>
                <w:rFonts w:ascii="Arial" w:eastAsia="Calibri" w:hAnsi="Arial" w:cs="Arial"/>
              </w:rPr>
              <w:t>)</w:t>
            </w:r>
          </w:p>
          <w:p w14:paraId="7795BFA3" w14:textId="77777777" w:rsidR="003B7634" w:rsidRPr="003B7634" w:rsidRDefault="003B7634" w:rsidP="003B7634">
            <w:pPr>
              <w:rPr>
                <w:rFonts w:ascii="Arial" w:eastAsia="Calibri" w:hAnsi="Arial" w:cs="Arial"/>
              </w:rPr>
            </w:pPr>
            <w:r w:rsidRPr="003B7634">
              <w:rPr>
                <w:rFonts w:ascii="Arial" w:eastAsia="Calibri" w:hAnsi="Arial" w:cs="Arial"/>
              </w:rPr>
              <w:t>)</w:t>
            </w:r>
          </w:p>
          <w:p w14:paraId="46E5D224" w14:textId="77777777" w:rsidR="003B7634" w:rsidRPr="003B7634" w:rsidRDefault="003B7634" w:rsidP="003B7634">
            <w:pPr>
              <w:rPr>
                <w:rFonts w:ascii="Arial" w:eastAsia="Calibri" w:hAnsi="Arial" w:cs="Arial"/>
              </w:rPr>
            </w:pPr>
            <w:r w:rsidRPr="003B7634">
              <w:rPr>
                <w:rFonts w:ascii="Arial" w:eastAsia="Calibri" w:hAnsi="Arial" w:cs="Arial"/>
              </w:rPr>
              <w:t>)</w:t>
            </w:r>
          </w:p>
          <w:p w14:paraId="79BB87B7" w14:textId="77777777" w:rsidR="003B7634" w:rsidRPr="003B7634" w:rsidRDefault="003B7634" w:rsidP="003B7634">
            <w:pPr>
              <w:rPr>
                <w:rFonts w:ascii="Arial" w:eastAsia="Calibri" w:hAnsi="Arial" w:cs="Arial"/>
              </w:rPr>
            </w:pPr>
            <w:r w:rsidRPr="003B7634">
              <w:rPr>
                <w:rFonts w:ascii="Arial" w:eastAsia="Calibri" w:hAnsi="Arial" w:cs="Arial"/>
              </w:rPr>
              <w:t>)</w:t>
            </w:r>
          </w:p>
          <w:p w14:paraId="2A52731D"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3816EE49" w14:textId="77777777" w:rsidR="003B7634" w:rsidRPr="003B7634" w:rsidRDefault="003B7634" w:rsidP="003B7634">
            <w:pPr>
              <w:rPr>
                <w:rFonts w:ascii="Arial" w:eastAsia="Calibri" w:hAnsi="Arial" w:cs="Arial"/>
              </w:rPr>
            </w:pPr>
          </w:p>
          <w:p w14:paraId="62C03CAF" w14:textId="77777777" w:rsidR="003B7634" w:rsidRPr="003B7634" w:rsidRDefault="003B7634" w:rsidP="003B7634">
            <w:pPr>
              <w:rPr>
                <w:rFonts w:ascii="Arial" w:eastAsia="Calibri" w:hAnsi="Arial" w:cs="Arial"/>
              </w:rPr>
            </w:pPr>
          </w:p>
          <w:p w14:paraId="03E5016F" w14:textId="77777777" w:rsidR="003B7634" w:rsidRPr="003B7634" w:rsidRDefault="003B7634" w:rsidP="003B7634">
            <w:pPr>
              <w:rPr>
                <w:rFonts w:ascii="Arial" w:eastAsia="Calibri" w:hAnsi="Arial" w:cs="Arial"/>
              </w:rPr>
            </w:pPr>
            <w:r w:rsidRPr="003B7634">
              <w:rPr>
                <w:rFonts w:ascii="Arial" w:eastAsia="Calibri" w:hAnsi="Arial" w:cs="Arial"/>
              </w:rPr>
              <w:t>Case No. 16-0397-EL-AAM</w:t>
            </w:r>
          </w:p>
        </w:tc>
      </w:tr>
    </w:tbl>
    <w:p w14:paraId="306F0376" w14:textId="77777777" w:rsidR="003B7634" w:rsidRPr="003B7634" w:rsidRDefault="003B7634" w:rsidP="003B7634">
      <w:pPr>
        <w:spacing w:after="0" w:line="240" w:lineRule="auto"/>
        <w:rPr>
          <w:rFonts w:ascii="Arial" w:eastAsia="Calibri" w:hAnsi="Arial" w:cs="Arial"/>
          <w:sz w:val="24"/>
          <w:szCs w:val="24"/>
        </w:rPr>
      </w:pPr>
    </w:p>
    <w:p w14:paraId="2DE4A4BA" w14:textId="77777777" w:rsidR="003B7634" w:rsidRPr="003B7634" w:rsidRDefault="003B7634" w:rsidP="003B7634">
      <w:pPr>
        <w:spacing w:after="0" w:line="240" w:lineRule="auto"/>
        <w:rPr>
          <w:rFonts w:ascii="Arial" w:eastAsia="Calibri" w:hAnsi="Arial" w:cs="Arial"/>
          <w:sz w:val="24"/>
          <w:szCs w:val="24"/>
        </w:rPr>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B7634" w:rsidRPr="003B7634" w14:paraId="34163E4E" w14:textId="77777777" w:rsidTr="003B7634">
        <w:tc>
          <w:tcPr>
            <w:tcW w:w="9288" w:type="dxa"/>
          </w:tcPr>
          <w:p w14:paraId="37904BC3" w14:textId="77777777" w:rsidR="003B7634" w:rsidRPr="003B7634" w:rsidRDefault="003B7634" w:rsidP="003B7634">
            <w:pPr>
              <w:jc w:val="center"/>
              <w:rPr>
                <w:rFonts w:ascii="Arial" w:eastAsia="Calibri" w:hAnsi="Arial" w:cs="Arial"/>
                <w:b/>
              </w:rPr>
            </w:pPr>
          </w:p>
          <w:p w14:paraId="35B749AA" w14:textId="77777777" w:rsidR="003B7634" w:rsidRPr="003B7634" w:rsidRDefault="003B7634" w:rsidP="003B7634">
            <w:pPr>
              <w:jc w:val="center"/>
              <w:rPr>
                <w:rFonts w:ascii="Arial" w:eastAsia="Calibri" w:hAnsi="Arial" w:cs="Arial"/>
                <w:b/>
              </w:rPr>
            </w:pPr>
            <w:r w:rsidRPr="003B7634">
              <w:rPr>
                <w:rFonts w:ascii="Arial" w:eastAsia="Calibri" w:hAnsi="Arial" w:cs="Arial"/>
                <w:b/>
              </w:rPr>
              <w:t>APPLICATION FOR REHEARING AND MEMORANDUM IN SUPPORT OF</w:t>
            </w:r>
          </w:p>
          <w:p w14:paraId="5391BFB8" w14:textId="77777777" w:rsidR="003B7634" w:rsidRPr="003B7634" w:rsidRDefault="003B7634" w:rsidP="003B7634">
            <w:pPr>
              <w:jc w:val="center"/>
              <w:rPr>
                <w:rFonts w:ascii="Arial" w:eastAsia="Calibri" w:hAnsi="Arial" w:cs="Arial"/>
                <w:b/>
              </w:rPr>
            </w:pPr>
            <w:r w:rsidRPr="003B7634">
              <w:rPr>
                <w:rFonts w:ascii="Arial" w:eastAsia="Calibri" w:hAnsi="Arial" w:cs="Arial"/>
                <w:b/>
              </w:rPr>
              <w:t xml:space="preserve">INTERSTATE GAS SUPPLY, INC. </w:t>
            </w:r>
          </w:p>
          <w:p w14:paraId="1974E231" w14:textId="77777777" w:rsidR="003B7634" w:rsidRPr="003B7634" w:rsidRDefault="003B7634" w:rsidP="003B7634">
            <w:pPr>
              <w:jc w:val="center"/>
              <w:rPr>
                <w:rFonts w:ascii="Arial" w:eastAsia="Calibri" w:hAnsi="Arial" w:cs="Arial"/>
                <w:b/>
              </w:rPr>
            </w:pPr>
          </w:p>
        </w:tc>
      </w:tr>
    </w:tbl>
    <w:p w14:paraId="5460FB45" w14:textId="77777777" w:rsidR="003B7634" w:rsidRPr="003B7634" w:rsidRDefault="003B7634" w:rsidP="003B7634">
      <w:pPr>
        <w:spacing w:after="0" w:line="240" w:lineRule="auto"/>
        <w:jc w:val="center"/>
        <w:rPr>
          <w:rFonts w:ascii="Arial" w:eastAsia="Calibri" w:hAnsi="Arial" w:cs="Arial"/>
          <w:b/>
          <w:sz w:val="24"/>
          <w:szCs w:val="24"/>
        </w:rPr>
      </w:pPr>
    </w:p>
    <w:p w14:paraId="2794641A" w14:textId="77777777" w:rsidR="003B7634" w:rsidRPr="003B7634" w:rsidRDefault="003B7634" w:rsidP="003B7634">
      <w:pPr>
        <w:spacing w:after="0" w:line="240" w:lineRule="auto"/>
        <w:jc w:val="center"/>
        <w:rPr>
          <w:rFonts w:ascii="Arial" w:eastAsia="Calibri" w:hAnsi="Arial" w:cs="Arial"/>
          <w:b/>
          <w:sz w:val="24"/>
          <w:szCs w:val="24"/>
        </w:rPr>
      </w:pPr>
    </w:p>
    <w:p w14:paraId="02D111B7" w14:textId="77777777" w:rsidR="003B7634" w:rsidRPr="003B7634" w:rsidRDefault="003B7634" w:rsidP="003B7634">
      <w:pPr>
        <w:spacing w:after="0" w:line="240" w:lineRule="auto"/>
        <w:jc w:val="center"/>
        <w:rPr>
          <w:rFonts w:ascii="Arial" w:eastAsia="Calibri" w:hAnsi="Arial" w:cs="Arial"/>
          <w:b/>
          <w:sz w:val="24"/>
          <w:szCs w:val="24"/>
        </w:rPr>
      </w:pPr>
    </w:p>
    <w:p w14:paraId="29A14BE9" w14:textId="77777777" w:rsidR="003B7634" w:rsidRPr="003B7634" w:rsidRDefault="003B7634" w:rsidP="003B7634">
      <w:pPr>
        <w:spacing w:after="0" w:line="240" w:lineRule="auto"/>
        <w:ind w:left="4320" w:firstLine="720"/>
        <w:rPr>
          <w:rFonts w:ascii="Arial" w:eastAsia="Arial" w:hAnsi="Arial" w:cs="Arial"/>
          <w:sz w:val="24"/>
          <w:szCs w:val="24"/>
        </w:rPr>
      </w:pPr>
      <w:r w:rsidRPr="003B7634">
        <w:rPr>
          <w:rFonts w:ascii="Arial" w:eastAsia="Arial" w:hAnsi="Arial" w:cs="Arial"/>
          <w:sz w:val="24"/>
          <w:szCs w:val="24"/>
        </w:rPr>
        <w:t xml:space="preserve"> </w:t>
      </w:r>
    </w:p>
    <w:p w14:paraId="798CD769" w14:textId="77777777" w:rsidR="003B7634" w:rsidRPr="003B7634" w:rsidRDefault="003B7634" w:rsidP="003B7634">
      <w:pPr>
        <w:spacing w:after="0" w:line="240" w:lineRule="auto"/>
        <w:ind w:left="5040"/>
        <w:rPr>
          <w:rFonts w:ascii="Arial" w:eastAsia="Calibri" w:hAnsi="Arial" w:cs="Arial"/>
          <w:sz w:val="24"/>
          <w:szCs w:val="24"/>
        </w:rPr>
      </w:pPr>
    </w:p>
    <w:p w14:paraId="347A88A2" w14:textId="47B157E1" w:rsidR="003A5642" w:rsidRPr="003849D3" w:rsidRDefault="003A5642" w:rsidP="00FF2693">
      <w:pPr>
        <w:spacing w:after="0" w:line="240" w:lineRule="auto"/>
        <w:rPr>
          <w:rFonts w:ascii="Arial" w:hAnsi="Arial" w:cs="Arial"/>
          <w:sz w:val="24"/>
          <w:szCs w:val="24"/>
        </w:rPr>
      </w:pPr>
    </w:p>
    <w:p w14:paraId="78AEA7DB" w14:textId="23093D1F" w:rsidR="003A5642" w:rsidRPr="003849D3" w:rsidRDefault="003A5642" w:rsidP="003A5642">
      <w:pPr>
        <w:spacing w:after="0" w:line="240" w:lineRule="auto"/>
        <w:ind w:left="5040"/>
        <w:rPr>
          <w:rFonts w:ascii="Arial" w:hAnsi="Arial" w:cs="Arial"/>
          <w:sz w:val="24"/>
          <w:szCs w:val="24"/>
        </w:rPr>
      </w:pPr>
      <w:r w:rsidRPr="003849D3">
        <w:rPr>
          <w:rFonts w:ascii="Arial" w:hAnsi="Arial" w:cs="Arial"/>
          <w:sz w:val="24"/>
          <w:szCs w:val="24"/>
        </w:rPr>
        <w:t>Joseph Oliker (0086088)</w:t>
      </w:r>
    </w:p>
    <w:p w14:paraId="5F6A7F9B" w14:textId="77777777" w:rsidR="003A5642" w:rsidRPr="003849D3" w:rsidRDefault="003A5642" w:rsidP="003A5642">
      <w:pPr>
        <w:spacing w:after="0" w:line="240" w:lineRule="auto"/>
        <w:ind w:left="5040"/>
        <w:rPr>
          <w:rFonts w:ascii="Arial" w:hAnsi="Arial" w:cs="Arial"/>
          <w:sz w:val="24"/>
          <w:szCs w:val="24"/>
        </w:rPr>
      </w:pPr>
      <w:r w:rsidRPr="003849D3">
        <w:rPr>
          <w:rFonts w:ascii="Arial" w:hAnsi="Arial" w:cs="Arial"/>
          <w:sz w:val="24"/>
          <w:szCs w:val="24"/>
        </w:rPr>
        <w:t xml:space="preserve">Counsel of Record </w:t>
      </w:r>
    </w:p>
    <w:p w14:paraId="13AE51AD" w14:textId="7DB634E8" w:rsidR="003A5642" w:rsidRPr="003849D3" w:rsidRDefault="003A5642" w:rsidP="003A5642">
      <w:pPr>
        <w:spacing w:after="0" w:line="240" w:lineRule="auto"/>
        <w:ind w:left="5040"/>
        <w:rPr>
          <w:rStyle w:val="Hyperlink"/>
          <w:rFonts w:ascii="Arial" w:hAnsi="Arial" w:cs="Arial"/>
          <w:color w:val="auto"/>
          <w:sz w:val="24"/>
          <w:szCs w:val="24"/>
          <w:u w:val="none"/>
        </w:rPr>
      </w:pPr>
      <w:r w:rsidRPr="003849D3">
        <w:rPr>
          <w:rFonts w:ascii="Arial" w:hAnsi="Arial" w:cs="Arial"/>
          <w:sz w:val="24"/>
          <w:szCs w:val="24"/>
        </w:rPr>
        <w:t xml:space="preserve">Email: </w:t>
      </w:r>
      <w:hyperlink r:id="rId11" w:history="1">
        <w:r w:rsidRPr="003849D3">
          <w:rPr>
            <w:rStyle w:val="Hyperlink"/>
            <w:rFonts w:ascii="Arial" w:hAnsi="Arial" w:cs="Arial"/>
            <w:color w:val="auto"/>
            <w:sz w:val="24"/>
            <w:szCs w:val="24"/>
            <w:u w:val="none"/>
          </w:rPr>
          <w:t>joliker@igsenergy.com</w:t>
        </w:r>
      </w:hyperlink>
    </w:p>
    <w:p w14:paraId="521890CE" w14:textId="0DDE7E48" w:rsidR="0063758B" w:rsidRPr="003849D3" w:rsidRDefault="0063758B" w:rsidP="003A5642">
      <w:pPr>
        <w:spacing w:after="0" w:line="240" w:lineRule="auto"/>
        <w:ind w:left="5040"/>
        <w:rPr>
          <w:rStyle w:val="Hyperlink"/>
          <w:rFonts w:ascii="Arial" w:hAnsi="Arial" w:cs="Arial"/>
          <w:color w:val="auto"/>
          <w:sz w:val="24"/>
          <w:szCs w:val="24"/>
          <w:u w:val="none"/>
        </w:rPr>
      </w:pPr>
      <w:r w:rsidRPr="003849D3">
        <w:rPr>
          <w:rStyle w:val="Hyperlink"/>
          <w:rFonts w:ascii="Arial" w:hAnsi="Arial" w:cs="Arial"/>
          <w:color w:val="auto"/>
          <w:sz w:val="24"/>
          <w:szCs w:val="24"/>
          <w:u w:val="none"/>
        </w:rPr>
        <w:t>Michael Nugent</w:t>
      </w:r>
    </w:p>
    <w:p w14:paraId="2B9F577D" w14:textId="5C32857D" w:rsidR="0063758B" w:rsidRPr="003849D3" w:rsidRDefault="0063758B" w:rsidP="003A5642">
      <w:pPr>
        <w:spacing w:after="0" w:line="240" w:lineRule="auto"/>
        <w:ind w:left="5040"/>
        <w:rPr>
          <w:rStyle w:val="Hyperlink"/>
          <w:rFonts w:ascii="Arial" w:hAnsi="Arial" w:cs="Arial"/>
          <w:color w:val="auto"/>
          <w:sz w:val="24"/>
          <w:szCs w:val="24"/>
          <w:u w:val="none"/>
        </w:rPr>
      </w:pPr>
      <w:r w:rsidRPr="003849D3">
        <w:rPr>
          <w:rStyle w:val="Hyperlink"/>
          <w:rFonts w:ascii="Arial" w:hAnsi="Arial" w:cs="Arial"/>
          <w:color w:val="auto"/>
          <w:sz w:val="24"/>
          <w:szCs w:val="24"/>
          <w:u w:val="none"/>
        </w:rPr>
        <w:t>Email: mnugent@igsenergy.com</w:t>
      </w:r>
    </w:p>
    <w:p w14:paraId="1F82E720" w14:textId="77777777" w:rsidR="003A5642" w:rsidRPr="003849D3" w:rsidRDefault="003A5642" w:rsidP="003A5642">
      <w:pPr>
        <w:spacing w:after="0" w:line="240" w:lineRule="auto"/>
        <w:ind w:left="5040"/>
        <w:rPr>
          <w:rFonts w:ascii="Arial" w:hAnsi="Arial" w:cs="Arial"/>
          <w:sz w:val="24"/>
          <w:szCs w:val="24"/>
        </w:rPr>
      </w:pPr>
      <w:r w:rsidRPr="003849D3">
        <w:rPr>
          <w:rFonts w:ascii="Arial" w:hAnsi="Arial" w:cs="Arial"/>
          <w:sz w:val="24"/>
          <w:szCs w:val="24"/>
        </w:rPr>
        <w:t>IGS Energy</w:t>
      </w:r>
    </w:p>
    <w:p w14:paraId="7BE96F58" w14:textId="77777777" w:rsidR="003A5642" w:rsidRPr="003849D3" w:rsidRDefault="003A5642" w:rsidP="003A5642">
      <w:pPr>
        <w:spacing w:after="0" w:line="240" w:lineRule="auto"/>
        <w:ind w:left="5040"/>
        <w:rPr>
          <w:rFonts w:ascii="Arial" w:hAnsi="Arial" w:cs="Arial"/>
          <w:sz w:val="24"/>
          <w:szCs w:val="24"/>
        </w:rPr>
      </w:pPr>
      <w:r w:rsidRPr="003849D3">
        <w:rPr>
          <w:rFonts w:ascii="Arial" w:hAnsi="Arial" w:cs="Arial"/>
          <w:sz w:val="24"/>
          <w:szCs w:val="24"/>
        </w:rPr>
        <w:t>6100 Emerald Parkway</w:t>
      </w:r>
    </w:p>
    <w:p w14:paraId="45617010" w14:textId="77777777" w:rsidR="003A5642" w:rsidRPr="00C51B26" w:rsidRDefault="003A5642" w:rsidP="003A5642">
      <w:pPr>
        <w:spacing w:after="0" w:line="240" w:lineRule="auto"/>
        <w:ind w:left="5040"/>
        <w:rPr>
          <w:rFonts w:ascii="Arial" w:hAnsi="Arial" w:cs="Arial"/>
          <w:sz w:val="24"/>
          <w:szCs w:val="24"/>
        </w:rPr>
      </w:pPr>
      <w:r w:rsidRPr="00C51B26">
        <w:rPr>
          <w:rFonts w:ascii="Arial" w:hAnsi="Arial" w:cs="Arial"/>
          <w:sz w:val="24"/>
          <w:szCs w:val="24"/>
        </w:rPr>
        <w:t>Dublin, Ohio 43016</w:t>
      </w:r>
    </w:p>
    <w:p w14:paraId="461501A2" w14:textId="77777777" w:rsidR="003A5642" w:rsidRDefault="003A5642" w:rsidP="003A5642">
      <w:pPr>
        <w:spacing w:after="0" w:line="240" w:lineRule="auto"/>
        <w:ind w:left="5040"/>
        <w:rPr>
          <w:rFonts w:ascii="Arial" w:hAnsi="Arial" w:cs="Arial"/>
          <w:sz w:val="24"/>
          <w:szCs w:val="24"/>
        </w:rPr>
      </w:pPr>
      <w:r w:rsidRPr="00C51B26">
        <w:rPr>
          <w:rFonts w:ascii="Arial" w:hAnsi="Arial" w:cs="Arial"/>
          <w:sz w:val="24"/>
          <w:szCs w:val="24"/>
        </w:rPr>
        <w:t>Telephone:</w:t>
      </w:r>
      <w:r w:rsidRPr="00C51B26">
        <w:rPr>
          <w:rFonts w:ascii="Arial" w:hAnsi="Arial" w:cs="Arial"/>
          <w:sz w:val="24"/>
          <w:szCs w:val="24"/>
        </w:rPr>
        <w:tab/>
        <w:t>(614) 659</w:t>
      </w:r>
      <w:r>
        <w:rPr>
          <w:rFonts w:ascii="Arial" w:hAnsi="Arial" w:cs="Arial"/>
          <w:sz w:val="24"/>
          <w:szCs w:val="24"/>
        </w:rPr>
        <w:t>-5000</w:t>
      </w:r>
    </w:p>
    <w:p w14:paraId="2EEC8C4E" w14:textId="77777777" w:rsidR="003A5642" w:rsidRDefault="003A5642" w:rsidP="003A5642">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43CF47C1" w14:textId="77777777" w:rsidR="003A5642" w:rsidRDefault="003A5642" w:rsidP="003A5642">
      <w:pPr>
        <w:spacing w:after="0" w:line="240" w:lineRule="auto"/>
        <w:ind w:left="5040"/>
        <w:rPr>
          <w:rFonts w:ascii="Arial" w:hAnsi="Arial" w:cs="Arial"/>
          <w:sz w:val="24"/>
          <w:szCs w:val="24"/>
        </w:rPr>
      </w:pPr>
    </w:p>
    <w:p w14:paraId="02009288" w14:textId="3B43FD6B" w:rsidR="003A5642" w:rsidRDefault="003A5642" w:rsidP="003A5642">
      <w:pPr>
        <w:spacing w:after="0" w:line="240" w:lineRule="auto"/>
        <w:ind w:left="5040"/>
        <w:rPr>
          <w:rFonts w:ascii="Arial" w:hAnsi="Arial" w:cs="Arial"/>
          <w:b/>
          <w:i/>
          <w:sz w:val="24"/>
          <w:szCs w:val="24"/>
        </w:rPr>
      </w:pPr>
      <w:r>
        <w:rPr>
          <w:rFonts w:ascii="Arial" w:hAnsi="Arial" w:cs="Arial"/>
          <w:b/>
          <w:i/>
          <w:sz w:val="24"/>
          <w:szCs w:val="24"/>
        </w:rPr>
        <w:t>Attorney</w:t>
      </w:r>
      <w:r w:rsidR="0063758B">
        <w:rPr>
          <w:rFonts w:ascii="Arial" w:hAnsi="Arial" w:cs="Arial"/>
          <w:b/>
          <w:i/>
          <w:sz w:val="24"/>
          <w:szCs w:val="24"/>
        </w:rPr>
        <w:t>s</w:t>
      </w:r>
      <w:r>
        <w:rPr>
          <w:rFonts w:ascii="Arial" w:hAnsi="Arial" w:cs="Arial"/>
          <w:b/>
          <w:i/>
          <w:sz w:val="24"/>
          <w:szCs w:val="24"/>
        </w:rPr>
        <w:t xml:space="preserve"> for IGS Energy</w:t>
      </w:r>
    </w:p>
    <w:p w14:paraId="6B020F98" w14:textId="149414C1" w:rsidR="003A5642" w:rsidRPr="006E5083" w:rsidRDefault="00D06E00" w:rsidP="003A5642">
      <w:pPr>
        <w:spacing w:after="0" w:line="240" w:lineRule="auto"/>
        <w:rPr>
          <w:rFonts w:ascii="Arial" w:hAnsi="Arial" w:cs="Arial"/>
          <w:b/>
          <w:sz w:val="24"/>
          <w:szCs w:val="24"/>
        </w:rPr>
      </w:pPr>
      <w:r>
        <w:rPr>
          <w:rFonts w:ascii="Arial" w:hAnsi="Arial" w:cs="Arial"/>
          <w:b/>
          <w:sz w:val="24"/>
          <w:szCs w:val="24"/>
        </w:rPr>
        <w:t>December</w:t>
      </w:r>
      <w:r w:rsidR="0063758B">
        <w:rPr>
          <w:rFonts w:ascii="Arial" w:hAnsi="Arial" w:cs="Arial"/>
          <w:b/>
          <w:sz w:val="24"/>
          <w:szCs w:val="24"/>
        </w:rPr>
        <w:t xml:space="preserve"> 2</w:t>
      </w:r>
      <w:r>
        <w:rPr>
          <w:rFonts w:ascii="Arial" w:hAnsi="Arial" w:cs="Arial"/>
          <w:b/>
          <w:sz w:val="24"/>
          <w:szCs w:val="24"/>
        </w:rPr>
        <w:t>3</w:t>
      </w:r>
      <w:r w:rsidR="003A5642">
        <w:rPr>
          <w:rFonts w:ascii="Arial" w:hAnsi="Arial" w:cs="Arial"/>
          <w:b/>
          <w:sz w:val="24"/>
          <w:szCs w:val="24"/>
        </w:rPr>
        <w:t>, 201</w:t>
      </w:r>
      <w:r>
        <w:rPr>
          <w:rFonts w:ascii="Arial" w:hAnsi="Arial" w:cs="Arial"/>
          <w:b/>
          <w:sz w:val="24"/>
          <w:szCs w:val="24"/>
        </w:rPr>
        <w:t>9</w:t>
      </w:r>
    </w:p>
    <w:p w14:paraId="64304EB1" w14:textId="77777777" w:rsidR="003A5642" w:rsidRDefault="003A5642" w:rsidP="00262C8D">
      <w:pPr>
        <w:widowControl w:val="0"/>
        <w:spacing w:after="0" w:line="240" w:lineRule="auto"/>
        <w:jc w:val="center"/>
        <w:rPr>
          <w:rFonts w:ascii="Arial" w:hAnsi="Arial" w:cs="Arial"/>
          <w:b/>
          <w:bCs/>
          <w:sz w:val="24"/>
          <w:szCs w:val="24"/>
          <w:u w:val="single"/>
        </w:rPr>
      </w:pPr>
    </w:p>
    <w:p w14:paraId="15B07877" w14:textId="25CEDFD7" w:rsidR="003A0C90" w:rsidRDefault="003A0C90" w:rsidP="00FF2693">
      <w:pPr>
        <w:spacing w:line="480" w:lineRule="auto"/>
        <w:ind w:firstLine="720"/>
        <w:jc w:val="both"/>
        <w:rPr>
          <w:rFonts w:ascii="Arial" w:hAnsi="Arial" w:cs="Arial"/>
          <w:sz w:val="24"/>
          <w:szCs w:val="24"/>
        </w:rPr>
      </w:pPr>
    </w:p>
    <w:p w14:paraId="1C71CC47" w14:textId="77777777" w:rsidR="003A0C90" w:rsidRDefault="003A0C90" w:rsidP="003A0C90">
      <w:pPr>
        <w:widowControl w:val="0"/>
        <w:spacing w:after="0" w:line="240" w:lineRule="auto"/>
        <w:jc w:val="center"/>
        <w:rPr>
          <w:rFonts w:ascii="Arial" w:hAnsi="Arial" w:cs="Arial"/>
          <w:b/>
          <w:bCs/>
          <w:sz w:val="24"/>
          <w:szCs w:val="24"/>
          <w:u w:val="single"/>
        </w:rPr>
      </w:pPr>
    </w:p>
    <w:p w14:paraId="75BBD7E2" w14:textId="77777777" w:rsidR="003A0C90" w:rsidRDefault="003A0C90" w:rsidP="003A0C90">
      <w:pPr>
        <w:widowControl w:val="0"/>
        <w:spacing w:after="0" w:line="240" w:lineRule="auto"/>
        <w:jc w:val="center"/>
        <w:rPr>
          <w:rFonts w:ascii="Arial" w:hAnsi="Arial" w:cs="Arial"/>
          <w:b/>
          <w:bCs/>
          <w:sz w:val="24"/>
          <w:szCs w:val="24"/>
          <w:u w:val="single"/>
        </w:rPr>
      </w:pPr>
      <w:r w:rsidRPr="00EC2ABB">
        <w:rPr>
          <w:rFonts w:ascii="Arial" w:hAnsi="Arial" w:cs="Arial"/>
          <w:b/>
          <w:bCs/>
          <w:sz w:val="24"/>
          <w:szCs w:val="24"/>
          <w:u w:val="single"/>
        </w:rPr>
        <w:lastRenderedPageBreak/>
        <w:t>TABLE OF CONTENTS</w:t>
      </w:r>
    </w:p>
    <w:p w14:paraId="4255EFF0" w14:textId="70E4C869" w:rsidR="003A0C90" w:rsidRDefault="003A0C90" w:rsidP="003A0C90">
      <w:pPr>
        <w:widowControl w:val="0"/>
        <w:spacing w:after="0" w:line="240" w:lineRule="auto"/>
        <w:jc w:val="center"/>
        <w:rPr>
          <w:rFonts w:ascii="Arial" w:hAnsi="Arial" w:cs="Arial"/>
          <w:b/>
          <w:bCs/>
          <w:sz w:val="24"/>
          <w:szCs w:val="24"/>
          <w:u w:val="single"/>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p>
    <w:p w14:paraId="05A3E2FD" w14:textId="74854EB0" w:rsidR="00506995" w:rsidRDefault="00506995">
      <w:pPr>
        <w:pStyle w:val="TOC1"/>
        <w:tabs>
          <w:tab w:val="right" w:leader="dot" w:pos="9350"/>
        </w:tabs>
        <w:rPr>
          <w:rFonts w:asciiTheme="minorHAnsi" w:eastAsiaTheme="minorEastAsia" w:hAnsiTheme="minorHAnsi"/>
          <w:noProof/>
          <w:sz w:val="22"/>
        </w:rPr>
      </w:pPr>
      <w:r>
        <w:rPr>
          <w:rFonts w:cs="Arial"/>
          <w:b/>
          <w:bCs/>
          <w:sz w:val="20"/>
          <w:szCs w:val="20"/>
        </w:rPr>
        <w:fldChar w:fldCharType="begin"/>
      </w:r>
      <w:r>
        <w:rPr>
          <w:rFonts w:cs="Arial"/>
          <w:b/>
          <w:bCs/>
          <w:sz w:val="20"/>
          <w:szCs w:val="20"/>
        </w:rPr>
        <w:instrText xml:space="preserve"> TOC \o "1-3" \h \z \u </w:instrText>
      </w:r>
      <w:r>
        <w:rPr>
          <w:rFonts w:cs="Arial"/>
          <w:b/>
          <w:bCs/>
          <w:sz w:val="20"/>
          <w:szCs w:val="20"/>
        </w:rPr>
        <w:fldChar w:fldCharType="separate"/>
      </w:r>
      <w:hyperlink w:anchor="_Toc28008923" w:history="1">
        <w:r w:rsidRPr="00BA5FA7">
          <w:rPr>
            <w:rStyle w:val="Hyperlink"/>
            <w:noProof/>
          </w:rPr>
          <w:t>APPLICATION FOR REHEARING</w:t>
        </w:r>
        <w:r>
          <w:rPr>
            <w:noProof/>
            <w:webHidden/>
          </w:rPr>
          <w:tab/>
        </w:r>
        <w:r>
          <w:rPr>
            <w:noProof/>
            <w:webHidden/>
          </w:rPr>
          <w:fldChar w:fldCharType="begin"/>
        </w:r>
        <w:r>
          <w:rPr>
            <w:noProof/>
            <w:webHidden/>
          </w:rPr>
          <w:instrText xml:space="preserve"> PAGEREF _Toc28008923 \h </w:instrText>
        </w:r>
        <w:r>
          <w:rPr>
            <w:noProof/>
            <w:webHidden/>
          </w:rPr>
        </w:r>
        <w:r>
          <w:rPr>
            <w:noProof/>
            <w:webHidden/>
          </w:rPr>
          <w:fldChar w:fldCharType="separate"/>
        </w:r>
        <w:r>
          <w:rPr>
            <w:noProof/>
            <w:webHidden/>
          </w:rPr>
          <w:t>4</w:t>
        </w:r>
        <w:r>
          <w:rPr>
            <w:noProof/>
            <w:webHidden/>
          </w:rPr>
          <w:fldChar w:fldCharType="end"/>
        </w:r>
      </w:hyperlink>
    </w:p>
    <w:p w14:paraId="7B47C8D7" w14:textId="50EF907C" w:rsidR="00506995" w:rsidRDefault="005B3BDA">
      <w:pPr>
        <w:pStyle w:val="TOC1"/>
        <w:tabs>
          <w:tab w:val="left" w:pos="720"/>
          <w:tab w:val="right" w:leader="dot" w:pos="9350"/>
        </w:tabs>
        <w:rPr>
          <w:rFonts w:asciiTheme="minorHAnsi" w:eastAsiaTheme="minorEastAsia" w:hAnsiTheme="minorHAnsi"/>
          <w:noProof/>
          <w:sz w:val="22"/>
        </w:rPr>
      </w:pPr>
      <w:hyperlink w:anchor="_Toc28008924" w:history="1">
        <w:r w:rsidR="00506995" w:rsidRPr="00BA5FA7">
          <w:rPr>
            <w:rStyle w:val="Hyperlink"/>
            <w:noProof/>
          </w:rPr>
          <w:t>I.</w:t>
        </w:r>
        <w:r w:rsidR="00506995">
          <w:rPr>
            <w:rFonts w:asciiTheme="minorHAnsi" w:eastAsiaTheme="minorEastAsia" w:hAnsiTheme="minorHAnsi"/>
            <w:noProof/>
            <w:sz w:val="22"/>
          </w:rPr>
          <w:tab/>
        </w:r>
        <w:r w:rsidR="00506995" w:rsidRPr="00BA5FA7">
          <w:rPr>
            <w:rStyle w:val="Hyperlink"/>
            <w:noProof/>
          </w:rPr>
          <w:t>INTRODUCTION</w:t>
        </w:r>
        <w:r w:rsidR="00506995">
          <w:rPr>
            <w:noProof/>
            <w:webHidden/>
          </w:rPr>
          <w:tab/>
        </w:r>
        <w:r w:rsidR="00506995">
          <w:rPr>
            <w:noProof/>
            <w:webHidden/>
          </w:rPr>
          <w:fldChar w:fldCharType="begin"/>
        </w:r>
        <w:r w:rsidR="00506995">
          <w:rPr>
            <w:noProof/>
            <w:webHidden/>
          </w:rPr>
          <w:instrText xml:space="preserve"> PAGEREF _Toc28008924 \h </w:instrText>
        </w:r>
        <w:r w:rsidR="00506995">
          <w:rPr>
            <w:noProof/>
            <w:webHidden/>
          </w:rPr>
        </w:r>
        <w:r w:rsidR="00506995">
          <w:rPr>
            <w:noProof/>
            <w:webHidden/>
          </w:rPr>
          <w:fldChar w:fldCharType="separate"/>
        </w:r>
        <w:r w:rsidR="00506995">
          <w:rPr>
            <w:noProof/>
            <w:webHidden/>
          </w:rPr>
          <w:t>7</w:t>
        </w:r>
        <w:r w:rsidR="00506995">
          <w:rPr>
            <w:noProof/>
            <w:webHidden/>
          </w:rPr>
          <w:fldChar w:fldCharType="end"/>
        </w:r>
      </w:hyperlink>
    </w:p>
    <w:p w14:paraId="0BF0E482" w14:textId="15E36724" w:rsidR="00506995" w:rsidRDefault="005B3BDA">
      <w:pPr>
        <w:pStyle w:val="TOC1"/>
        <w:tabs>
          <w:tab w:val="left" w:pos="720"/>
          <w:tab w:val="right" w:leader="dot" w:pos="9350"/>
        </w:tabs>
        <w:rPr>
          <w:rFonts w:asciiTheme="minorHAnsi" w:eastAsiaTheme="minorEastAsia" w:hAnsiTheme="minorHAnsi"/>
          <w:noProof/>
          <w:sz w:val="22"/>
        </w:rPr>
      </w:pPr>
      <w:hyperlink w:anchor="_Toc28008925" w:history="1">
        <w:r w:rsidR="00506995" w:rsidRPr="00BA5FA7">
          <w:rPr>
            <w:rStyle w:val="Hyperlink"/>
            <w:noProof/>
          </w:rPr>
          <w:t>II.</w:t>
        </w:r>
        <w:r w:rsidR="00506995">
          <w:rPr>
            <w:rFonts w:asciiTheme="minorHAnsi" w:eastAsiaTheme="minorEastAsia" w:hAnsiTheme="minorHAnsi"/>
            <w:noProof/>
            <w:sz w:val="22"/>
          </w:rPr>
          <w:tab/>
        </w:r>
        <w:r w:rsidR="00506995" w:rsidRPr="00BA5FA7">
          <w:rPr>
            <w:rStyle w:val="Hyperlink"/>
            <w:noProof/>
          </w:rPr>
          <w:t>BACKGROUND</w:t>
        </w:r>
        <w:r w:rsidR="00506995">
          <w:rPr>
            <w:noProof/>
            <w:webHidden/>
          </w:rPr>
          <w:tab/>
        </w:r>
        <w:r w:rsidR="00506995">
          <w:rPr>
            <w:noProof/>
            <w:webHidden/>
          </w:rPr>
          <w:fldChar w:fldCharType="begin"/>
        </w:r>
        <w:r w:rsidR="00506995">
          <w:rPr>
            <w:noProof/>
            <w:webHidden/>
          </w:rPr>
          <w:instrText xml:space="preserve"> PAGEREF _Toc28008925 \h </w:instrText>
        </w:r>
        <w:r w:rsidR="00506995">
          <w:rPr>
            <w:noProof/>
            <w:webHidden/>
          </w:rPr>
        </w:r>
        <w:r w:rsidR="00506995">
          <w:rPr>
            <w:noProof/>
            <w:webHidden/>
          </w:rPr>
          <w:fldChar w:fldCharType="separate"/>
        </w:r>
        <w:r w:rsidR="00506995">
          <w:rPr>
            <w:noProof/>
            <w:webHidden/>
          </w:rPr>
          <w:t>9</w:t>
        </w:r>
        <w:r w:rsidR="00506995">
          <w:rPr>
            <w:noProof/>
            <w:webHidden/>
          </w:rPr>
          <w:fldChar w:fldCharType="end"/>
        </w:r>
      </w:hyperlink>
    </w:p>
    <w:p w14:paraId="337B0134" w14:textId="7D27865D" w:rsidR="00506995" w:rsidRDefault="005B3BDA">
      <w:pPr>
        <w:pStyle w:val="TOC1"/>
        <w:tabs>
          <w:tab w:val="left" w:pos="720"/>
          <w:tab w:val="right" w:leader="dot" w:pos="9350"/>
        </w:tabs>
        <w:rPr>
          <w:rFonts w:asciiTheme="minorHAnsi" w:eastAsiaTheme="minorEastAsia" w:hAnsiTheme="minorHAnsi"/>
          <w:noProof/>
          <w:sz w:val="22"/>
        </w:rPr>
      </w:pPr>
      <w:hyperlink w:anchor="_Toc28008926" w:history="1">
        <w:r w:rsidR="00506995" w:rsidRPr="00BA5FA7">
          <w:rPr>
            <w:rStyle w:val="Hyperlink"/>
            <w:noProof/>
          </w:rPr>
          <w:t>III.</w:t>
        </w:r>
        <w:r w:rsidR="00506995">
          <w:rPr>
            <w:rFonts w:asciiTheme="minorHAnsi" w:eastAsiaTheme="minorEastAsia" w:hAnsiTheme="minorHAnsi"/>
            <w:noProof/>
            <w:sz w:val="22"/>
          </w:rPr>
          <w:tab/>
        </w:r>
        <w:r w:rsidR="00506995" w:rsidRPr="00BA5FA7">
          <w:rPr>
            <w:rStyle w:val="Hyperlink"/>
            <w:noProof/>
          </w:rPr>
          <w:t>ARGUMENT</w:t>
        </w:r>
        <w:r w:rsidR="00506995">
          <w:rPr>
            <w:noProof/>
            <w:webHidden/>
          </w:rPr>
          <w:tab/>
        </w:r>
        <w:r w:rsidR="00506995">
          <w:rPr>
            <w:noProof/>
            <w:webHidden/>
          </w:rPr>
          <w:fldChar w:fldCharType="begin"/>
        </w:r>
        <w:r w:rsidR="00506995">
          <w:rPr>
            <w:noProof/>
            <w:webHidden/>
          </w:rPr>
          <w:instrText xml:space="preserve"> PAGEREF _Toc28008926 \h </w:instrText>
        </w:r>
        <w:r w:rsidR="00506995">
          <w:rPr>
            <w:noProof/>
            <w:webHidden/>
          </w:rPr>
        </w:r>
        <w:r w:rsidR="00506995">
          <w:rPr>
            <w:noProof/>
            <w:webHidden/>
          </w:rPr>
          <w:fldChar w:fldCharType="separate"/>
        </w:r>
        <w:r w:rsidR="00506995">
          <w:rPr>
            <w:noProof/>
            <w:webHidden/>
          </w:rPr>
          <w:t>10</w:t>
        </w:r>
        <w:r w:rsidR="00506995">
          <w:rPr>
            <w:noProof/>
            <w:webHidden/>
          </w:rPr>
          <w:fldChar w:fldCharType="end"/>
        </w:r>
      </w:hyperlink>
    </w:p>
    <w:p w14:paraId="10EA07A7" w14:textId="6E2AE3DA" w:rsidR="00506995" w:rsidRDefault="005B3BDA">
      <w:pPr>
        <w:pStyle w:val="TOC2"/>
        <w:tabs>
          <w:tab w:val="left" w:pos="1320"/>
        </w:tabs>
        <w:rPr>
          <w:rFonts w:asciiTheme="minorHAnsi" w:eastAsiaTheme="minorEastAsia" w:hAnsiTheme="minorHAnsi"/>
          <w:noProof/>
          <w:sz w:val="22"/>
        </w:rPr>
      </w:pPr>
      <w:hyperlink w:anchor="_Toc28008927" w:history="1">
        <w:r w:rsidR="00506995" w:rsidRPr="00BA5FA7">
          <w:rPr>
            <w:rStyle w:val="Hyperlink"/>
            <w:noProof/>
          </w:rPr>
          <w:t>A.</w:t>
        </w:r>
        <w:r w:rsidR="00506995">
          <w:rPr>
            <w:rFonts w:asciiTheme="minorHAnsi" w:eastAsiaTheme="minorEastAsia" w:hAnsiTheme="minorHAnsi"/>
            <w:noProof/>
            <w:sz w:val="22"/>
          </w:rPr>
          <w:tab/>
        </w:r>
        <w:r w:rsidR="00506995" w:rsidRPr="00BA5FA7">
          <w:rPr>
            <w:rStyle w:val="Hyperlink"/>
            <w:noProof/>
          </w:rPr>
          <w:t>The Supplemental Order (¶ 84) is unlawful and unreasonable inasmuch as it authorized DP&amp;L to modify its Supplier Tariff to impose discriminatory collateral requirements without record support in violation of R.C. 4903.09 and R.C. 4928.143(C)(1).  These discriminatory collateral requirements should be deemed withdrawn with the ESP application.  The Supplemental Order unlawfully and unreasonably determined that IGS’ is attempting to relitigate this matter; the issues decided DP&amp;L’s distribution rate case are not the same as the issues presented in this proceeding.</w:t>
        </w:r>
        <w:r w:rsidR="00506995">
          <w:rPr>
            <w:noProof/>
            <w:webHidden/>
          </w:rPr>
          <w:tab/>
        </w:r>
        <w:r w:rsidR="00506995">
          <w:rPr>
            <w:noProof/>
            <w:webHidden/>
          </w:rPr>
          <w:fldChar w:fldCharType="begin"/>
        </w:r>
        <w:r w:rsidR="00506995">
          <w:rPr>
            <w:noProof/>
            <w:webHidden/>
          </w:rPr>
          <w:instrText xml:space="preserve"> PAGEREF _Toc28008927 \h </w:instrText>
        </w:r>
        <w:r w:rsidR="00506995">
          <w:rPr>
            <w:noProof/>
            <w:webHidden/>
          </w:rPr>
        </w:r>
        <w:r w:rsidR="00506995">
          <w:rPr>
            <w:noProof/>
            <w:webHidden/>
          </w:rPr>
          <w:fldChar w:fldCharType="separate"/>
        </w:r>
        <w:r w:rsidR="00506995">
          <w:rPr>
            <w:noProof/>
            <w:webHidden/>
          </w:rPr>
          <w:t>10</w:t>
        </w:r>
        <w:r w:rsidR="00506995">
          <w:rPr>
            <w:noProof/>
            <w:webHidden/>
          </w:rPr>
          <w:fldChar w:fldCharType="end"/>
        </w:r>
      </w:hyperlink>
    </w:p>
    <w:p w14:paraId="7D344A63" w14:textId="71A9AA28" w:rsidR="00506995" w:rsidRDefault="005B3BDA">
      <w:pPr>
        <w:pStyle w:val="TOC2"/>
        <w:tabs>
          <w:tab w:val="left" w:pos="1320"/>
        </w:tabs>
        <w:rPr>
          <w:rFonts w:asciiTheme="minorHAnsi" w:eastAsiaTheme="minorEastAsia" w:hAnsiTheme="minorHAnsi"/>
          <w:noProof/>
          <w:sz w:val="22"/>
        </w:rPr>
      </w:pPr>
      <w:hyperlink w:anchor="_Toc28008928" w:history="1">
        <w:r w:rsidR="00506995" w:rsidRPr="00BA5FA7">
          <w:rPr>
            <w:rStyle w:val="Hyperlink"/>
            <w:noProof/>
          </w:rPr>
          <w:t>B.</w:t>
        </w:r>
        <w:r w:rsidR="00506995">
          <w:rPr>
            <w:rFonts w:asciiTheme="minorHAnsi" w:eastAsiaTheme="minorEastAsia" w:hAnsiTheme="minorHAnsi"/>
            <w:noProof/>
            <w:sz w:val="22"/>
          </w:rPr>
          <w:tab/>
        </w:r>
        <w:r w:rsidR="00506995" w:rsidRPr="00BA5FA7">
          <w:rPr>
            <w:rStyle w:val="Hyperlink"/>
            <w:noProof/>
          </w:rPr>
          <w:t xml:space="preserve">The Supplemental Order (¶ 84) unlawfully and unreasonably authorized DP&amp;L’s $5 switching fee.  The Supplemental Order impermissibly authorized the fee without rendering findings of fact and conclusions of law based upon the record in violation of R.C. 4903.09. </w:t>
        </w:r>
        <w:r w:rsidR="00506995" w:rsidRPr="00BA5FA7">
          <w:rPr>
            <w:rStyle w:val="Hyperlink"/>
            <w:i/>
            <w:noProof/>
          </w:rPr>
          <w:t>Tongren v. Pub. Util. Comm.,</w:t>
        </w:r>
        <w:r w:rsidR="00506995" w:rsidRPr="00BA5FA7">
          <w:rPr>
            <w:rStyle w:val="Hyperlink"/>
            <w:noProof/>
          </w:rPr>
          <w:t xml:space="preserve"> 85 Ohio St. 3d 87 (1998).  The fee is discriminatory, violates state policy, and precedent inasmuch as DP&amp;L assesses the fee to shopping customers while providing the same service for free to customers that take service under the SSO.  R.C. 4928.02(A); </w:t>
        </w:r>
        <w:r w:rsidR="00506995" w:rsidRPr="00BA5FA7">
          <w:rPr>
            <w:rStyle w:val="Hyperlink"/>
            <w:i/>
            <w:noProof/>
          </w:rPr>
          <w:t xml:space="preserve">Ohio Consumers' Counsel v. Pub. Util. Comm., </w:t>
        </w:r>
        <w:r w:rsidR="00506995" w:rsidRPr="00BA5FA7">
          <w:rPr>
            <w:rStyle w:val="Hyperlink"/>
            <w:noProof/>
          </w:rPr>
          <w:t>109 Ohio St. 3d 328, 2006-Ohio-2110.  The Supplemental Order unlawfully and unreasonably determined that IGS’ is attempting to relitigate this matter; the issues decided DP&amp;L’s distribution rate case are not the same as the issues presented in this proceeding.</w:t>
        </w:r>
        <w:r w:rsidR="00506995">
          <w:rPr>
            <w:noProof/>
            <w:webHidden/>
          </w:rPr>
          <w:tab/>
        </w:r>
        <w:r w:rsidR="00506995">
          <w:rPr>
            <w:noProof/>
            <w:webHidden/>
          </w:rPr>
          <w:fldChar w:fldCharType="begin"/>
        </w:r>
        <w:r w:rsidR="00506995">
          <w:rPr>
            <w:noProof/>
            <w:webHidden/>
          </w:rPr>
          <w:instrText xml:space="preserve"> PAGEREF _Toc28008928 \h </w:instrText>
        </w:r>
        <w:r w:rsidR="00506995">
          <w:rPr>
            <w:noProof/>
            <w:webHidden/>
          </w:rPr>
        </w:r>
        <w:r w:rsidR="00506995">
          <w:rPr>
            <w:noProof/>
            <w:webHidden/>
          </w:rPr>
          <w:fldChar w:fldCharType="separate"/>
        </w:r>
        <w:r w:rsidR="00506995">
          <w:rPr>
            <w:noProof/>
            <w:webHidden/>
          </w:rPr>
          <w:t>15</w:t>
        </w:r>
        <w:r w:rsidR="00506995">
          <w:rPr>
            <w:noProof/>
            <w:webHidden/>
          </w:rPr>
          <w:fldChar w:fldCharType="end"/>
        </w:r>
      </w:hyperlink>
    </w:p>
    <w:p w14:paraId="5A16A50F" w14:textId="6E4DE360" w:rsidR="00506995" w:rsidRDefault="005B3BDA">
      <w:pPr>
        <w:pStyle w:val="TOC2"/>
        <w:tabs>
          <w:tab w:val="left" w:pos="1320"/>
        </w:tabs>
        <w:rPr>
          <w:rFonts w:asciiTheme="minorHAnsi" w:eastAsiaTheme="minorEastAsia" w:hAnsiTheme="minorHAnsi"/>
          <w:noProof/>
          <w:sz w:val="22"/>
        </w:rPr>
      </w:pPr>
      <w:hyperlink w:anchor="_Toc28008929" w:history="1">
        <w:r w:rsidR="00506995" w:rsidRPr="00BA5FA7">
          <w:rPr>
            <w:rStyle w:val="Hyperlink"/>
            <w:noProof/>
          </w:rPr>
          <w:t>C.</w:t>
        </w:r>
        <w:r w:rsidR="00506995">
          <w:rPr>
            <w:rFonts w:asciiTheme="minorHAnsi" w:eastAsiaTheme="minorEastAsia" w:hAnsiTheme="minorHAnsi"/>
            <w:noProof/>
            <w:sz w:val="22"/>
          </w:rPr>
          <w:tab/>
        </w:r>
        <w:r w:rsidR="00506995" w:rsidRPr="00BA5FA7">
          <w:rPr>
            <w:rStyle w:val="Hyperlink"/>
            <w:noProof/>
          </w:rPr>
          <w:t>The Supplemental Order (¶ 84) is unlawful and unreasonable inasmuch as it authorized the continuation of unsubstantiated and exorbitant historical usage fees despite evidence that they are harming the competitive market.  The Supplemental Order violated R.C. 4903.09 for failure to identify record evidence to support the fee. The Supplemental Order unlawfully and unreasonably determined that IGS’ is attempting to relitigate this matter; the issues decided DP&amp;L’s distribution rate case are not the same as the issues presented in this proceeding.</w:t>
        </w:r>
        <w:r w:rsidR="00506995">
          <w:rPr>
            <w:noProof/>
            <w:webHidden/>
          </w:rPr>
          <w:tab/>
        </w:r>
        <w:r w:rsidR="00506995">
          <w:rPr>
            <w:noProof/>
            <w:webHidden/>
          </w:rPr>
          <w:fldChar w:fldCharType="begin"/>
        </w:r>
        <w:r w:rsidR="00506995">
          <w:rPr>
            <w:noProof/>
            <w:webHidden/>
          </w:rPr>
          <w:instrText xml:space="preserve"> PAGEREF _Toc28008929 \h </w:instrText>
        </w:r>
        <w:r w:rsidR="00506995">
          <w:rPr>
            <w:noProof/>
            <w:webHidden/>
          </w:rPr>
        </w:r>
        <w:r w:rsidR="00506995">
          <w:rPr>
            <w:noProof/>
            <w:webHidden/>
          </w:rPr>
          <w:fldChar w:fldCharType="separate"/>
        </w:r>
        <w:r w:rsidR="00506995">
          <w:rPr>
            <w:noProof/>
            <w:webHidden/>
          </w:rPr>
          <w:t>20</w:t>
        </w:r>
        <w:r w:rsidR="00506995">
          <w:rPr>
            <w:noProof/>
            <w:webHidden/>
          </w:rPr>
          <w:fldChar w:fldCharType="end"/>
        </w:r>
      </w:hyperlink>
    </w:p>
    <w:p w14:paraId="31C71C46" w14:textId="0AE4AC54" w:rsidR="00506995" w:rsidRDefault="005B3BDA">
      <w:pPr>
        <w:pStyle w:val="TOC2"/>
        <w:tabs>
          <w:tab w:val="left" w:pos="1320"/>
        </w:tabs>
        <w:rPr>
          <w:rFonts w:asciiTheme="minorHAnsi" w:eastAsiaTheme="minorEastAsia" w:hAnsiTheme="minorHAnsi"/>
          <w:noProof/>
          <w:sz w:val="22"/>
        </w:rPr>
      </w:pPr>
      <w:hyperlink w:anchor="_Toc28008930" w:history="1">
        <w:r w:rsidR="00506995" w:rsidRPr="00BA5FA7">
          <w:rPr>
            <w:rStyle w:val="Hyperlink"/>
            <w:noProof/>
          </w:rPr>
          <w:t>D.</w:t>
        </w:r>
        <w:r w:rsidR="00506995">
          <w:rPr>
            <w:rFonts w:asciiTheme="minorHAnsi" w:eastAsiaTheme="minorEastAsia" w:hAnsiTheme="minorHAnsi"/>
            <w:noProof/>
            <w:sz w:val="22"/>
          </w:rPr>
          <w:tab/>
        </w:r>
        <w:r w:rsidR="00506995" w:rsidRPr="00BA5FA7">
          <w:rPr>
            <w:rStyle w:val="Hyperlink"/>
            <w:noProof/>
          </w:rPr>
          <w:t xml:space="preserve">The Supplemental Order (¶ 84) is unlawful and unreasonable inasmuch as it rejected IGS’ proposal to establish an unbundling rider.  This matter was not addressed in the distribution rate case, given that the Commission has no statutory authority to establish rate adjustment clauses under R.C. 4909.18.  That authority exists only in an ESP case.  The Supplemental Order’s failure to address this matter was arbitrary and </w:t>
        </w:r>
        <w:r w:rsidR="00506995" w:rsidRPr="00BA5FA7">
          <w:rPr>
            <w:rStyle w:val="Hyperlink"/>
            <w:noProof/>
          </w:rPr>
          <w:lastRenderedPageBreak/>
          <w:t xml:space="preserve">unreasonable. </w:t>
        </w:r>
        <w:r w:rsidR="00506995" w:rsidRPr="00BA5FA7">
          <w:rPr>
            <w:rStyle w:val="Hyperlink"/>
            <w:rFonts w:eastAsia="Calibri"/>
            <w:i/>
            <w:noProof/>
          </w:rPr>
          <w:t>Forest Hills Utility Co. v. Pub. Util. Comm</w:t>
        </w:r>
        <w:r w:rsidR="00506995" w:rsidRPr="00BA5FA7">
          <w:rPr>
            <w:rStyle w:val="Hyperlink"/>
            <w:rFonts w:eastAsia="Calibri"/>
            <w:noProof/>
          </w:rPr>
          <w:t>., 31 Ohio St. 2d 46 (1972).</w:t>
        </w:r>
        <w:r w:rsidR="00506995">
          <w:rPr>
            <w:noProof/>
            <w:webHidden/>
          </w:rPr>
          <w:tab/>
        </w:r>
        <w:r w:rsidR="00506995">
          <w:rPr>
            <w:noProof/>
            <w:webHidden/>
          </w:rPr>
          <w:fldChar w:fldCharType="begin"/>
        </w:r>
        <w:r w:rsidR="00506995">
          <w:rPr>
            <w:noProof/>
            <w:webHidden/>
          </w:rPr>
          <w:instrText xml:space="preserve"> PAGEREF _Toc28008930 \h </w:instrText>
        </w:r>
        <w:r w:rsidR="00506995">
          <w:rPr>
            <w:noProof/>
            <w:webHidden/>
          </w:rPr>
        </w:r>
        <w:r w:rsidR="00506995">
          <w:rPr>
            <w:noProof/>
            <w:webHidden/>
          </w:rPr>
          <w:fldChar w:fldCharType="separate"/>
        </w:r>
        <w:r w:rsidR="00506995">
          <w:rPr>
            <w:noProof/>
            <w:webHidden/>
          </w:rPr>
          <w:t>23</w:t>
        </w:r>
        <w:r w:rsidR="00506995">
          <w:rPr>
            <w:noProof/>
            <w:webHidden/>
          </w:rPr>
          <w:fldChar w:fldCharType="end"/>
        </w:r>
      </w:hyperlink>
    </w:p>
    <w:p w14:paraId="3E946B84" w14:textId="741B74B0" w:rsidR="00506995" w:rsidRDefault="005B3BDA">
      <w:pPr>
        <w:pStyle w:val="TOC1"/>
        <w:tabs>
          <w:tab w:val="left" w:pos="720"/>
          <w:tab w:val="right" w:leader="dot" w:pos="9350"/>
        </w:tabs>
        <w:rPr>
          <w:rFonts w:asciiTheme="minorHAnsi" w:eastAsiaTheme="minorEastAsia" w:hAnsiTheme="minorHAnsi"/>
          <w:noProof/>
          <w:sz w:val="22"/>
        </w:rPr>
      </w:pPr>
      <w:hyperlink w:anchor="_Toc28008931" w:history="1">
        <w:r w:rsidR="00506995" w:rsidRPr="00BA5FA7">
          <w:rPr>
            <w:rStyle w:val="Hyperlink"/>
            <w:noProof/>
          </w:rPr>
          <w:t>IV.</w:t>
        </w:r>
        <w:r w:rsidR="00506995">
          <w:rPr>
            <w:rFonts w:asciiTheme="minorHAnsi" w:eastAsiaTheme="minorEastAsia" w:hAnsiTheme="minorHAnsi"/>
            <w:noProof/>
            <w:sz w:val="22"/>
          </w:rPr>
          <w:tab/>
        </w:r>
        <w:r w:rsidR="00506995" w:rsidRPr="00BA5FA7">
          <w:rPr>
            <w:rStyle w:val="Hyperlink"/>
            <w:noProof/>
          </w:rPr>
          <w:t>CONCLUSION</w:t>
        </w:r>
        <w:r w:rsidR="00506995">
          <w:rPr>
            <w:noProof/>
            <w:webHidden/>
          </w:rPr>
          <w:tab/>
        </w:r>
        <w:r w:rsidR="00506995">
          <w:rPr>
            <w:noProof/>
            <w:webHidden/>
          </w:rPr>
          <w:fldChar w:fldCharType="begin"/>
        </w:r>
        <w:r w:rsidR="00506995">
          <w:rPr>
            <w:noProof/>
            <w:webHidden/>
          </w:rPr>
          <w:instrText xml:space="preserve"> PAGEREF _Toc28008931 \h </w:instrText>
        </w:r>
        <w:r w:rsidR="00506995">
          <w:rPr>
            <w:noProof/>
            <w:webHidden/>
          </w:rPr>
        </w:r>
        <w:r w:rsidR="00506995">
          <w:rPr>
            <w:noProof/>
            <w:webHidden/>
          </w:rPr>
          <w:fldChar w:fldCharType="separate"/>
        </w:r>
        <w:r w:rsidR="00506995">
          <w:rPr>
            <w:noProof/>
            <w:webHidden/>
          </w:rPr>
          <w:t>26</w:t>
        </w:r>
        <w:r w:rsidR="00506995">
          <w:rPr>
            <w:noProof/>
            <w:webHidden/>
          </w:rPr>
          <w:fldChar w:fldCharType="end"/>
        </w:r>
      </w:hyperlink>
    </w:p>
    <w:p w14:paraId="0B3D4135" w14:textId="2023B89B" w:rsidR="00F26F40" w:rsidRDefault="00506995">
      <w:pPr>
        <w:rPr>
          <w:rFonts w:ascii="Arial" w:hAnsi="Arial" w:cs="Arial"/>
          <w:b/>
          <w:bCs/>
          <w:sz w:val="20"/>
          <w:szCs w:val="20"/>
        </w:rPr>
      </w:pPr>
      <w:r>
        <w:rPr>
          <w:rFonts w:ascii="Arial" w:hAnsi="Arial" w:cs="Arial"/>
          <w:b/>
          <w:bCs/>
          <w:sz w:val="20"/>
          <w:szCs w:val="20"/>
        </w:rPr>
        <w:fldChar w:fldCharType="end"/>
      </w:r>
      <w:r w:rsidR="00F26F40">
        <w:rPr>
          <w:rFonts w:ascii="Arial" w:hAnsi="Arial" w:cs="Arial"/>
          <w:b/>
          <w:bCs/>
          <w:sz w:val="20"/>
          <w:szCs w:val="20"/>
        </w:rPr>
        <w:br w:type="page"/>
      </w:r>
    </w:p>
    <w:p w14:paraId="0891E7D0" w14:textId="4BA16F72" w:rsidR="003B7634" w:rsidRPr="003B7634" w:rsidRDefault="003B7634" w:rsidP="003B7634">
      <w:pPr>
        <w:spacing w:after="0" w:line="240" w:lineRule="auto"/>
        <w:jc w:val="center"/>
        <w:rPr>
          <w:rFonts w:ascii="Arial" w:eastAsia="Calibri" w:hAnsi="Arial" w:cs="Arial"/>
          <w:b/>
          <w:sz w:val="24"/>
          <w:szCs w:val="24"/>
        </w:rPr>
      </w:pPr>
      <w:r w:rsidRPr="003B7634">
        <w:rPr>
          <w:rFonts w:ascii="Arial" w:eastAsia="Calibri" w:hAnsi="Arial" w:cs="Arial"/>
          <w:b/>
          <w:sz w:val="24"/>
          <w:szCs w:val="24"/>
        </w:rPr>
        <w:lastRenderedPageBreak/>
        <w:t>BEFORE THE</w:t>
      </w:r>
    </w:p>
    <w:p w14:paraId="6076BDAC" w14:textId="77777777" w:rsidR="003B7634" w:rsidRPr="003B7634" w:rsidRDefault="003B7634" w:rsidP="003B7634">
      <w:pPr>
        <w:tabs>
          <w:tab w:val="center" w:pos="4682"/>
          <w:tab w:val="left" w:pos="8625"/>
        </w:tabs>
        <w:spacing w:after="240" w:line="240" w:lineRule="auto"/>
        <w:jc w:val="center"/>
        <w:rPr>
          <w:rFonts w:ascii="Arial" w:eastAsia="Calibri" w:hAnsi="Arial" w:cs="Arial"/>
          <w:b/>
          <w:sz w:val="24"/>
          <w:szCs w:val="24"/>
        </w:rPr>
      </w:pPr>
      <w:r w:rsidRPr="003B7634">
        <w:rPr>
          <w:rFonts w:ascii="Arial" w:eastAsia="Calibri" w:hAnsi="Arial" w:cs="Arial"/>
          <w:b/>
          <w:sz w:val="24"/>
          <w:szCs w:val="24"/>
        </w:rPr>
        <w:t>PUBLIC UTILITIES COMMISSION OF OHIO</w:t>
      </w:r>
    </w:p>
    <w:p w14:paraId="465768A5" w14:textId="77777777" w:rsidR="003B7634" w:rsidRPr="003B7634" w:rsidRDefault="003B7634" w:rsidP="003B7634">
      <w:pPr>
        <w:spacing w:after="0" w:line="240" w:lineRule="auto"/>
        <w:rPr>
          <w:rFonts w:ascii="Arial" w:eastAsia="Calibri"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140"/>
      </w:tblGrid>
      <w:tr w:rsidR="003B7634" w:rsidRPr="003B7634" w14:paraId="12D22813" w14:textId="77777777" w:rsidTr="003B7634">
        <w:tc>
          <w:tcPr>
            <w:tcW w:w="4428" w:type="dxa"/>
          </w:tcPr>
          <w:p w14:paraId="225650C5"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Its Electric Security Plan.</w:t>
            </w:r>
          </w:p>
        </w:tc>
        <w:tc>
          <w:tcPr>
            <w:tcW w:w="720" w:type="dxa"/>
          </w:tcPr>
          <w:p w14:paraId="64654C56" w14:textId="77777777" w:rsidR="003B7634" w:rsidRPr="003B7634" w:rsidRDefault="003B7634" w:rsidP="003B7634">
            <w:pPr>
              <w:rPr>
                <w:rFonts w:ascii="Arial" w:eastAsia="Calibri" w:hAnsi="Arial" w:cs="Arial"/>
              </w:rPr>
            </w:pPr>
            <w:r w:rsidRPr="003B7634">
              <w:rPr>
                <w:rFonts w:ascii="Arial" w:eastAsia="Calibri" w:hAnsi="Arial" w:cs="Arial"/>
              </w:rPr>
              <w:t>)</w:t>
            </w:r>
          </w:p>
          <w:p w14:paraId="1D2E76FB" w14:textId="77777777" w:rsidR="003B7634" w:rsidRPr="003B7634" w:rsidRDefault="003B7634" w:rsidP="003B7634">
            <w:pPr>
              <w:rPr>
                <w:rFonts w:ascii="Arial" w:eastAsia="Calibri" w:hAnsi="Arial" w:cs="Arial"/>
              </w:rPr>
            </w:pPr>
            <w:r w:rsidRPr="003B7634">
              <w:rPr>
                <w:rFonts w:ascii="Arial" w:eastAsia="Calibri" w:hAnsi="Arial" w:cs="Arial"/>
              </w:rPr>
              <w:t>)</w:t>
            </w:r>
          </w:p>
          <w:p w14:paraId="1A9738B4"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366709BD" w14:textId="77777777" w:rsidR="003B7634" w:rsidRPr="003B7634" w:rsidRDefault="003B7634" w:rsidP="003B7634">
            <w:pPr>
              <w:rPr>
                <w:rFonts w:ascii="Arial" w:eastAsia="Calibri" w:hAnsi="Arial" w:cs="Arial"/>
              </w:rPr>
            </w:pPr>
          </w:p>
          <w:p w14:paraId="29ED61EA" w14:textId="77777777" w:rsidR="003B7634" w:rsidRPr="003B7634" w:rsidRDefault="003B7634" w:rsidP="003B7634">
            <w:pPr>
              <w:rPr>
                <w:rFonts w:ascii="Arial" w:eastAsia="Calibri" w:hAnsi="Arial" w:cs="Arial"/>
              </w:rPr>
            </w:pPr>
            <w:r w:rsidRPr="003B7634">
              <w:rPr>
                <w:rFonts w:ascii="Arial" w:eastAsia="Calibri" w:hAnsi="Arial" w:cs="Arial"/>
              </w:rPr>
              <w:t>Case No. 16-0395-EL-SSO</w:t>
            </w:r>
          </w:p>
        </w:tc>
      </w:tr>
      <w:tr w:rsidR="003B7634" w:rsidRPr="003B7634" w14:paraId="5F71ABF7" w14:textId="77777777" w:rsidTr="003B7634">
        <w:tc>
          <w:tcPr>
            <w:tcW w:w="4428" w:type="dxa"/>
          </w:tcPr>
          <w:p w14:paraId="2358211E" w14:textId="77777777" w:rsidR="003B7634" w:rsidRPr="003B7634" w:rsidRDefault="003B7634" w:rsidP="003B7634">
            <w:pPr>
              <w:rPr>
                <w:rFonts w:ascii="Arial" w:eastAsia="Calibri" w:hAnsi="Arial" w:cs="Arial"/>
              </w:rPr>
            </w:pPr>
          </w:p>
        </w:tc>
        <w:tc>
          <w:tcPr>
            <w:tcW w:w="720" w:type="dxa"/>
          </w:tcPr>
          <w:p w14:paraId="06FB48EE" w14:textId="77777777" w:rsidR="003B7634" w:rsidRPr="003B7634" w:rsidRDefault="003B7634" w:rsidP="003B7634">
            <w:pPr>
              <w:rPr>
                <w:rFonts w:ascii="Arial" w:eastAsia="Calibri" w:hAnsi="Arial" w:cs="Arial"/>
              </w:rPr>
            </w:pPr>
          </w:p>
        </w:tc>
        <w:tc>
          <w:tcPr>
            <w:tcW w:w="4140" w:type="dxa"/>
          </w:tcPr>
          <w:p w14:paraId="71297B72" w14:textId="77777777" w:rsidR="003B7634" w:rsidRPr="003B7634" w:rsidRDefault="003B7634" w:rsidP="003B7634">
            <w:pPr>
              <w:rPr>
                <w:rFonts w:ascii="Arial" w:eastAsia="Calibri" w:hAnsi="Arial" w:cs="Arial"/>
              </w:rPr>
            </w:pPr>
          </w:p>
        </w:tc>
      </w:tr>
      <w:tr w:rsidR="003B7634" w:rsidRPr="003B7634" w14:paraId="65F654F9" w14:textId="77777777" w:rsidTr="003B7634">
        <w:tc>
          <w:tcPr>
            <w:tcW w:w="4428" w:type="dxa"/>
          </w:tcPr>
          <w:p w14:paraId="26DEFDC5"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Revised Tariffs.</w:t>
            </w:r>
          </w:p>
        </w:tc>
        <w:tc>
          <w:tcPr>
            <w:tcW w:w="720" w:type="dxa"/>
          </w:tcPr>
          <w:p w14:paraId="53BA3CA4" w14:textId="77777777" w:rsidR="003B7634" w:rsidRPr="003B7634" w:rsidRDefault="003B7634" w:rsidP="003B7634">
            <w:pPr>
              <w:rPr>
                <w:rFonts w:ascii="Arial" w:eastAsia="Calibri" w:hAnsi="Arial" w:cs="Arial"/>
              </w:rPr>
            </w:pPr>
            <w:r w:rsidRPr="003B7634">
              <w:rPr>
                <w:rFonts w:ascii="Arial" w:eastAsia="Calibri" w:hAnsi="Arial" w:cs="Arial"/>
              </w:rPr>
              <w:t>)</w:t>
            </w:r>
          </w:p>
          <w:p w14:paraId="2AB543C2" w14:textId="77777777" w:rsidR="003B7634" w:rsidRPr="003B7634" w:rsidRDefault="003B7634" w:rsidP="003B7634">
            <w:pPr>
              <w:rPr>
                <w:rFonts w:ascii="Arial" w:eastAsia="Calibri" w:hAnsi="Arial" w:cs="Arial"/>
              </w:rPr>
            </w:pPr>
            <w:r w:rsidRPr="003B7634">
              <w:rPr>
                <w:rFonts w:ascii="Arial" w:eastAsia="Calibri" w:hAnsi="Arial" w:cs="Arial"/>
              </w:rPr>
              <w:t>)</w:t>
            </w:r>
          </w:p>
          <w:p w14:paraId="06F53DB3"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094CB5CD" w14:textId="77777777" w:rsidR="003B7634" w:rsidRPr="003B7634" w:rsidRDefault="003B7634" w:rsidP="003B7634">
            <w:pPr>
              <w:rPr>
                <w:rFonts w:ascii="Arial" w:eastAsia="Calibri" w:hAnsi="Arial" w:cs="Arial"/>
              </w:rPr>
            </w:pPr>
          </w:p>
          <w:p w14:paraId="5EE72EAC" w14:textId="77777777" w:rsidR="003B7634" w:rsidRPr="003B7634" w:rsidRDefault="003B7634" w:rsidP="003B7634">
            <w:pPr>
              <w:rPr>
                <w:rFonts w:ascii="Arial" w:eastAsia="Calibri" w:hAnsi="Arial" w:cs="Arial"/>
              </w:rPr>
            </w:pPr>
            <w:r w:rsidRPr="003B7634">
              <w:rPr>
                <w:rFonts w:ascii="Arial" w:eastAsia="Calibri" w:hAnsi="Arial" w:cs="Arial"/>
              </w:rPr>
              <w:t>Case No. 16-0396-EL-ATA</w:t>
            </w:r>
          </w:p>
        </w:tc>
      </w:tr>
      <w:tr w:rsidR="003B7634" w:rsidRPr="003B7634" w14:paraId="3FBD08D1" w14:textId="77777777" w:rsidTr="003B7634">
        <w:tc>
          <w:tcPr>
            <w:tcW w:w="4428" w:type="dxa"/>
          </w:tcPr>
          <w:p w14:paraId="3626C227" w14:textId="77777777" w:rsidR="003B7634" w:rsidRPr="003B7634" w:rsidRDefault="003B7634" w:rsidP="003B7634">
            <w:pPr>
              <w:rPr>
                <w:rFonts w:ascii="Arial" w:eastAsia="Calibri" w:hAnsi="Arial" w:cs="Arial"/>
              </w:rPr>
            </w:pPr>
          </w:p>
        </w:tc>
        <w:tc>
          <w:tcPr>
            <w:tcW w:w="720" w:type="dxa"/>
          </w:tcPr>
          <w:p w14:paraId="07F32903" w14:textId="77777777" w:rsidR="003B7634" w:rsidRPr="003B7634" w:rsidRDefault="003B7634" w:rsidP="003B7634">
            <w:pPr>
              <w:rPr>
                <w:rFonts w:ascii="Arial" w:eastAsia="Calibri" w:hAnsi="Arial" w:cs="Arial"/>
              </w:rPr>
            </w:pPr>
          </w:p>
        </w:tc>
        <w:tc>
          <w:tcPr>
            <w:tcW w:w="4140" w:type="dxa"/>
          </w:tcPr>
          <w:p w14:paraId="16791F93" w14:textId="77777777" w:rsidR="003B7634" w:rsidRPr="003B7634" w:rsidRDefault="003B7634" w:rsidP="003B7634">
            <w:pPr>
              <w:rPr>
                <w:rFonts w:ascii="Arial" w:eastAsia="Calibri" w:hAnsi="Arial" w:cs="Arial"/>
              </w:rPr>
            </w:pPr>
          </w:p>
        </w:tc>
      </w:tr>
      <w:tr w:rsidR="003B7634" w:rsidRPr="003B7634" w14:paraId="5604C204" w14:textId="77777777" w:rsidTr="003B7634">
        <w:tc>
          <w:tcPr>
            <w:tcW w:w="4428" w:type="dxa"/>
          </w:tcPr>
          <w:p w14:paraId="52081F87"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Certain Accounting Authority Pursuant to Ohio Rev. Code § 4905.13.</w:t>
            </w:r>
          </w:p>
        </w:tc>
        <w:tc>
          <w:tcPr>
            <w:tcW w:w="720" w:type="dxa"/>
          </w:tcPr>
          <w:p w14:paraId="1CAE6393" w14:textId="77777777" w:rsidR="003B7634" w:rsidRPr="003B7634" w:rsidRDefault="003B7634" w:rsidP="003B7634">
            <w:pPr>
              <w:rPr>
                <w:rFonts w:ascii="Arial" w:eastAsia="Calibri" w:hAnsi="Arial" w:cs="Arial"/>
              </w:rPr>
            </w:pPr>
            <w:r w:rsidRPr="003B7634">
              <w:rPr>
                <w:rFonts w:ascii="Arial" w:eastAsia="Calibri" w:hAnsi="Arial" w:cs="Arial"/>
              </w:rPr>
              <w:t>)</w:t>
            </w:r>
          </w:p>
          <w:p w14:paraId="692EB699" w14:textId="77777777" w:rsidR="003B7634" w:rsidRPr="003B7634" w:rsidRDefault="003B7634" w:rsidP="003B7634">
            <w:pPr>
              <w:rPr>
                <w:rFonts w:ascii="Arial" w:eastAsia="Calibri" w:hAnsi="Arial" w:cs="Arial"/>
              </w:rPr>
            </w:pPr>
            <w:r w:rsidRPr="003B7634">
              <w:rPr>
                <w:rFonts w:ascii="Arial" w:eastAsia="Calibri" w:hAnsi="Arial" w:cs="Arial"/>
              </w:rPr>
              <w:t>)</w:t>
            </w:r>
          </w:p>
          <w:p w14:paraId="401FEE43" w14:textId="77777777" w:rsidR="003B7634" w:rsidRPr="003B7634" w:rsidRDefault="003B7634" w:rsidP="003B7634">
            <w:pPr>
              <w:rPr>
                <w:rFonts w:ascii="Arial" w:eastAsia="Calibri" w:hAnsi="Arial" w:cs="Arial"/>
              </w:rPr>
            </w:pPr>
            <w:r w:rsidRPr="003B7634">
              <w:rPr>
                <w:rFonts w:ascii="Arial" w:eastAsia="Calibri" w:hAnsi="Arial" w:cs="Arial"/>
              </w:rPr>
              <w:t>)</w:t>
            </w:r>
          </w:p>
          <w:p w14:paraId="240462A6" w14:textId="77777777" w:rsidR="003B7634" w:rsidRPr="003B7634" w:rsidRDefault="003B7634" w:rsidP="003B7634">
            <w:pPr>
              <w:rPr>
                <w:rFonts w:ascii="Arial" w:eastAsia="Calibri" w:hAnsi="Arial" w:cs="Arial"/>
              </w:rPr>
            </w:pPr>
            <w:r w:rsidRPr="003B7634">
              <w:rPr>
                <w:rFonts w:ascii="Arial" w:eastAsia="Calibri" w:hAnsi="Arial" w:cs="Arial"/>
              </w:rPr>
              <w:t>)</w:t>
            </w:r>
          </w:p>
          <w:p w14:paraId="574939C5"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2F3A0EA3" w14:textId="77777777" w:rsidR="003B7634" w:rsidRPr="003B7634" w:rsidRDefault="003B7634" w:rsidP="003B7634">
            <w:pPr>
              <w:rPr>
                <w:rFonts w:ascii="Arial" w:eastAsia="Calibri" w:hAnsi="Arial" w:cs="Arial"/>
              </w:rPr>
            </w:pPr>
          </w:p>
          <w:p w14:paraId="61505569" w14:textId="77777777" w:rsidR="003B7634" w:rsidRPr="003B7634" w:rsidRDefault="003B7634" w:rsidP="003B7634">
            <w:pPr>
              <w:rPr>
                <w:rFonts w:ascii="Arial" w:eastAsia="Calibri" w:hAnsi="Arial" w:cs="Arial"/>
              </w:rPr>
            </w:pPr>
          </w:p>
          <w:p w14:paraId="61E980F3" w14:textId="77777777" w:rsidR="003B7634" w:rsidRPr="003B7634" w:rsidRDefault="003B7634" w:rsidP="003B7634">
            <w:pPr>
              <w:rPr>
                <w:rFonts w:ascii="Arial" w:eastAsia="Calibri" w:hAnsi="Arial" w:cs="Arial"/>
              </w:rPr>
            </w:pPr>
            <w:r w:rsidRPr="003B7634">
              <w:rPr>
                <w:rFonts w:ascii="Arial" w:eastAsia="Calibri" w:hAnsi="Arial" w:cs="Arial"/>
              </w:rPr>
              <w:t>Case No. 16-0397-EL-AAM</w:t>
            </w:r>
          </w:p>
        </w:tc>
      </w:tr>
    </w:tbl>
    <w:p w14:paraId="0F940832" w14:textId="77777777" w:rsidR="003B7634" w:rsidRPr="003B7634" w:rsidRDefault="003B7634" w:rsidP="003B7634">
      <w:pPr>
        <w:spacing w:after="0" w:line="240" w:lineRule="auto"/>
        <w:rPr>
          <w:rFonts w:ascii="Arial" w:eastAsia="Calibri" w:hAnsi="Arial" w:cs="Arial"/>
          <w:sz w:val="24"/>
          <w:szCs w:val="24"/>
        </w:rPr>
      </w:pPr>
    </w:p>
    <w:p w14:paraId="3D0B197E" w14:textId="77777777" w:rsidR="003B7634" w:rsidRPr="003B7634" w:rsidRDefault="003B7634" w:rsidP="003B7634">
      <w:pPr>
        <w:spacing w:after="0" w:line="240" w:lineRule="auto"/>
        <w:rPr>
          <w:rFonts w:ascii="Arial" w:eastAsia="Calibri" w:hAnsi="Arial" w:cs="Arial"/>
          <w:sz w:val="24"/>
          <w:szCs w:val="24"/>
        </w:rPr>
      </w:pPr>
    </w:p>
    <w:tbl>
      <w:tblPr>
        <w:tblStyle w:val="TableGrid1"/>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B7634" w:rsidRPr="003B7634" w14:paraId="766BE5DA" w14:textId="77777777" w:rsidTr="003B7634">
        <w:tc>
          <w:tcPr>
            <w:tcW w:w="9288" w:type="dxa"/>
          </w:tcPr>
          <w:p w14:paraId="6DDDBA82" w14:textId="77777777" w:rsidR="003B7634" w:rsidRPr="003B7634" w:rsidRDefault="003B7634" w:rsidP="003B7634">
            <w:pPr>
              <w:jc w:val="center"/>
              <w:rPr>
                <w:rFonts w:ascii="Arial" w:eastAsia="Calibri" w:hAnsi="Arial" w:cs="Arial"/>
                <w:b/>
              </w:rPr>
            </w:pPr>
          </w:p>
          <w:p w14:paraId="6E48EEDB" w14:textId="77777777" w:rsidR="003B7634" w:rsidRPr="003B7634" w:rsidRDefault="003B7634" w:rsidP="003B7634">
            <w:pPr>
              <w:jc w:val="center"/>
              <w:rPr>
                <w:rFonts w:ascii="Arial" w:eastAsia="Calibri" w:hAnsi="Arial" w:cs="Arial"/>
                <w:b/>
              </w:rPr>
            </w:pPr>
            <w:bookmarkStart w:id="1" w:name="_Toc28008923"/>
            <w:r w:rsidRPr="00AD74B9">
              <w:rPr>
                <w:rStyle w:val="Heading1Char"/>
              </w:rPr>
              <w:t>APPLICATION FOR REHEARING</w:t>
            </w:r>
            <w:bookmarkEnd w:id="1"/>
            <w:r w:rsidRPr="003B7634">
              <w:rPr>
                <w:rFonts w:ascii="Arial" w:eastAsia="Calibri" w:hAnsi="Arial" w:cs="Arial"/>
                <w:b/>
              </w:rPr>
              <w:t xml:space="preserve"> AND MEMORANDUM IN SUPPORT OF</w:t>
            </w:r>
          </w:p>
          <w:p w14:paraId="7F003B78" w14:textId="77777777" w:rsidR="003B7634" w:rsidRPr="003B7634" w:rsidRDefault="003B7634" w:rsidP="003B7634">
            <w:pPr>
              <w:jc w:val="center"/>
              <w:rPr>
                <w:rFonts w:ascii="Arial" w:eastAsia="Calibri" w:hAnsi="Arial" w:cs="Arial"/>
                <w:b/>
              </w:rPr>
            </w:pPr>
            <w:r w:rsidRPr="003B7634">
              <w:rPr>
                <w:rFonts w:ascii="Arial" w:eastAsia="Calibri" w:hAnsi="Arial" w:cs="Arial"/>
                <w:b/>
              </w:rPr>
              <w:t xml:space="preserve">INTERSTATE GAS SUPPLY, INC. </w:t>
            </w:r>
          </w:p>
          <w:p w14:paraId="46F66ACC" w14:textId="77777777" w:rsidR="003B7634" w:rsidRPr="003B7634" w:rsidRDefault="003B7634" w:rsidP="003B7634">
            <w:pPr>
              <w:jc w:val="center"/>
              <w:rPr>
                <w:rFonts w:ascii="Arial" w:eastAsia="Calibri" w:hAnsi="Arial" w:cs="Arial"/>
                <w:b/>
              </w:rPr>
            </w:pPr>
          </w:p>
        </w:tc>
      </w:tr>
    </w:tbl>
    <w:p w14:paraId="3D8BBCA0" w14:textId="0FECE2FE" w:rsidR="003B7634" w:rsidRPr="003B7634" w:rsidRDefault="003B7634" w:rsidP="004A2DFC">
      <w:pPr>
        <w:spacing w:after="0" w:line="240" w:lineRule="auto"/>
        <w:rPr>
          <w:rFonts w:ascii="Arial" w:eastAsia="Calibri" w:hAnsi="Arial" w:cs="Arial"/>
          <w:b/>
          <w:i/>
          <w:sz w:val="24"/>
          <w:szCs w:val="24"/>
        </w:rPr>
      </w:pPr>
      <w:r w:rsidRPr="003B7634">
        <w:rPr>
          <w:rFonts w:ascii="Arial" w:eastAsia="Arial" w:hAnsi="Arial" w:cs="Arial"/>
          <w:sz w:val="24"/>
          <w:szCs w:val="24"/>
        </w:rPr>
        <w:t xml:space="preserve"> </w:t>
      </w:r>
    </w:p>
    <w:p w14:paraId="02FB912D" w14:textId="66982057" w:rsidR="00FF2693" w:rsidRDefault="00FF2693" w:rsidP="00FF2693">
      <w:pPr>
        <w:spacing w:line="480" w:lineRule="auto"/>
        <w:ind w:firstLine="720"/>
        <w:jc w:val="both"/>
        <w:rPr>
          <w:rFonts w:ascii="Arial" w:hAnsi="Arial" w:cs="Arial"/>
          <w:sz w:val="24"/>
          <w:szCs w:val="24"/>
        </w:rPr>
      </w:pPr>
      <w:r w:rsidRPr="008B7539">
        <w:rPr>
          <w:rFonts w:ascii="Arial" w:hAnsi="Arial" w:cs="Arial"/>
          <w:sz w:val="24"/>
          <w:szCs w:val="24"/>
        </w:rPr>
        <w:t>Pursuant to Section 4903.10, Revised Code, and Rule 4901-1-35, Ohio Administrative Code (“O.A.C.”), Interstate Gas Supply, Inc. (“IGS Energy” or “IGS”) respectfully submits this Application for Rehearing of the Opinion and Order (“Order”) issued by the Public Utilities Commission of Ohio (“Commission”) on</w:t>
      </w:r>
      <w:r w:rsidR="00D06E00">
        <w:rPr>
          <w:rFonts w:ascii="Arial" w:hAnsi="Arial" w:cs="Arial"/>
          <w:sz w:val="24"/>
          <w:szCs w:val="24"/>
        </w:rPr>
        <w:t xml:space="preserve"> November</w:t>
      </w:r>
      <w:r w:rsidRPr="008B7539">
        <w:rPr>
          <w:rFonts w:ascii="Arial" w:hAnsi="Arial" w:cs="Arial"/>
          <w:sz w:val="24"/>
          <w:szCs w:val="24"/>
        </w:rPr>
        <w:t xml:space="preserve"> </w:t>
      </w:r>
      <w:r w:rsidR="00D06E00">
        <w:rPr>
          <w:rFonts w:ascii="Arial" w:hAnsi="Arial" w:cs="Arial"/>
          <w:sz w:val="24"/>
          <w:szCs w:val="24"/>
        </w:rPr>
        <w:t>21</w:t>
      </w:r>
      <w:r w:rsidRPr="008B7539">
        <w:rPr>
          <w:rFonts w:ascii="Arial" w:hAnsi="Arial" w:cs="Arial"/>
          <w:sz w:val="24"/>
          <w:szCs w:val="24"/>
        </w:rPr>
        <w:t>, 201</w:t>
      </w:r>
      <w:r w:rsidR="00D06E00">
        <w:rPr>
          <w:rFonts w:ascii="Arial" w:hAnsi="Arial" w:cs="Arial"/>
          <w:sz w:val="24"/>
          <w:szCs w:val="24"/>
        </w:rPr>
        <w:t>9</w:t>
      </w:r>
      <w:r w:rsidRPr="008B7539">
        <w:rPr>
          <w:rFonts w:ascii="Arial" w:hAnsi="Arial" w:cs="Arial"/>
          <w:sz w:val="24"/>
          <w:szCs w:val="24"/>
        </w:rPr>
        <w:t xml:space="preserve"> for the followin</w:t>
      </w:r>
      <w:r w:rsidRPr="00FF2693">
        <w:rPr>
          <w:rFonts w:ascii="Arial" w:hAnsi="Arial" w:cs="Arial"/>
          <w:sz w:val="24"/>
          <w:szCs w:val="24"/>
        </w:rPr>
        <w:t>g reasons:</w:t>
      </w:r>
    </w:p>
    <w:p w14:paraId="476D3A8B" w14:textId="09160043" w:rsidR="00880FCE" w:rsidRPr="00880FCE" w:rsidRDefault="002C73CC" w:rsidP="00880FCE">
      <w:pPr>
        <w:pStyle w:val="ListParagraph"/>
        <w:numPr>
          <w:ilvl w:val="0"/>
          <w:numId w:val="30"/>
        </w:numPr>
        <w:jc w:val="both"/>
        <w:rPr>
          <w:rFonts w:ascii="Arial" w:eastAsia="Times New Roman" w:hAnsi="Arial" w:cs="Arial"/>
          <w:b/>
          <w:bCs/>
          <w:sz w:val="24"/>
          <w:szCs w:val="24"/>
        </w:rPr>
      </w:pPr>
      <w:r w:rsidRPr="00D50C40">
        <w:rPr>
          <w:rFonts w:ascii="Arial" w:eastAsia="Times New Roman" w:hAnsi="Arial" w:cs="Arial"/>
          <w:b/>
          <w:bCs/>
          <w:sz w:val="24"/>
          <w:szCs w:val="24"/>
        </w:rPr>
        <w:t>The Supplemental Order</w:t>
      </w:r>
      <w:r>
        <w:rPr>
          <w:rFonts w:ascii="Arial" w:eastAsia="Times New Roman" w:hAnsi="Arial" w:cs="Arial"/>
          <w:b/>
          <w:bCs/>
          <w:sz w:val="24"/>
          <w:szCs w:val="24"/>
        </w:rPr>
        <w:t xml:space="preserve"> </w:t>
      </w:r>
      <w:r w:rsidR="005955F9" w:rsidRPr="005955F9">
        <w:rPr>
          <w:rFonts w:ascii="Arial" w:eastAsia="Times New Roman" w:hAnsi="Arial" w:cs="Arial"/>
          <w:b/>
          <w:bCs/>
          <w:sz w:val="24"/>
          <w:szCs w:val="24"/>
        </w:rPr>
        <w:t>(¶ 84)</w:t>
      </w:r>
      <w:r w:rsidR="005955F9">
        <w:rPr>
          <w:rFonts w:ascii="Arial" w:eastAsia="Times New Roman" w:hAnsi="Arial" w:cs="Arial"/>
          <w:b/>
          <w:bCs/>
          <w:sz w:val="24"/>
          <w:szCs w:val="24"/>
        </w:rPr>
        <w:t xml:space="preserve"> </w:t>
      </w:r>
      <w:r w:rsidRPr="00D50C40">
        <w:rPr>
          <w:rFonts w:ascii="Arial" w:eastAsia="Times New Roman" w:hAnsi="Arial" w:cs="Arial"/>
          <w:b/>
          <w:bCs/>
          <w:sz w:val="24"/>
          <w:szCs w:val="24"/>
        </w:rPr>
        <w:t xml:space="preserve">is unlawful and unreasonable inasmuch as </w:t>
      </w:r>
      <w:proofErr w:type="gramStart"/>
      <w:r w:rsidRPr="00D50C40">
        <w:rPr>
          <w:rFonts w:ascii="Arial" w:eastAsia="Times New Roman" w:hAnsi="Arial" w:cs="Arial"/>
          <w:b/>
          <w:bCs/>
          <w:sz w:val="24"/>
          <w:szCs w:val="24"/>
        </w:rPr>
        <w:t>it</w:t>
      </w:r>
      <w:proofErr w:type="gramEnd"/>
      <w:r w:rsidRPr="00D50C40">
        <w:rPr>
          <w:rFonts w:ascii="Arial" w:eastAsia="Times New Roman" w:hAnsi="Arial" w:cs="Arial"/>
          <w:b/>
          <w:bCs/>
          <w:sz w:val="24"/>
          <w:szCs w:val="24"/>
        </w:rPr>
        <w:t xml:space="preserve"> authorized DP&amp;L to modify its Supplier </w:t>
      </w:r>
      <w:r w:rsidR="00A569FB">
        <w:rPr>
          <w:rFonts w:ascii="Arial" w:eastAsia="Times New Roman" w:hAnsi="Arial" w:cs="Arial"/>
          <w:b/>
          <w:bCs/>
          <w:sz w:val="24"/>
          <w:szCs w:val="24"/>
        </w:rPr>
        <w:t>T</w:t>
      </w:r>
      <w:r w:rsidRPr="00D50C40">
        <w:rPr>
          <w:rFonts w:ascii="Arial" w:eastAsia="Times New Roman" w:hAnsi="Arial" w:cs="Arial"/>
          <w:b/>
          <w:bCs/>
          <w:sz w:val="24"/>
          <w:szCs w:val="24"/>
        </w:rPr>
        <w:t>ariff to impose discriminatory collateral requirements without record support in violation of R.C. 4903.09</w:t>
      </w:r>
      <w:r w:rsidR="00A64BFC">
        <w:rPr>
          <w:rFonts w:ascii="Arial" w:eastAsia="Times New Roman" w:hAnsi="Arial" w:cs="Arial"/>
          <w:b/>
          <w:bCs/>
          <w:sz w:val="24"/>
          <w:szCs w:val="24"/>
        </w:rPr>
        <w:t xml:space="preserve"> and R.C. 4928.143(C)(1)</w:t>
      </w:r>
      <w:r>
        <w:rPr>
          <w:rFonts w:ascii="Arial" w:eastAsia="Times New Roman" w:hAnsi="Arial" w:cs="Arial"/>
          <w:b/>
          <w:bCs/>
          <w:sz w:val="24"/>
          <w:szCs w:val="24"/>
        </w:rPr>
        <w:t xml:space="preserve">.  These discriminatory collateral requirements should be deemed withdrawn with the ESP application. </w:t>
      </w:r>
      <w:r w:rsidR="009661A9">
        <w:rPr>
          <w:rFonts w:ascii="Arial" w:eastAsia="Times New Roman" w:hAnsi="Arial" w:cs="Arial"/>
          <w:b/>
          <w:bCs/>
          <w:sz w:val="24"/>
          <w:szCs w:val="24"/>
        </w:rPr>
        <w:t xml:space="preserve"> The Supplemental Order unlawfully and unreasonably determined that IGS’ </w:t>
      </w:r>
      <w:r w:rsidR="00710839">
        <w:rPr>
          <w:rFonts w:ascii="Arial" w:eastAsia="Times New Roman" w:hAnsi="Arial" w:cs="Arial"/>
          <w:b/>
          <w:bCs/>
          <w:sz w:val="24"/>
          <w:szCs w:val="24"/>
        </w:rPr>
        <w:t xml:space="preserve">is attempting to relitigate this matter; the issues </w:t>
      </w:r>
      <w:r w:rsidR="00533413">
        <w:rPr>
          <w:rFonts w:ascii="Arial" w:eastAsia="Times New Roman" w:hAnsi="Arial" w:cs="Arial"/>
          <w:b/>
          <w:bCs/>
          <w:sz w:val="24"/>
          <w:szCs w:val="24"/>
        </w:rPr>
        <w:t>decided</w:t>
      </w:r>
      <w:r w:rsidR="00710839">
        <w:rPr>
          <w:rFonts w:ascii="Arial" w:eastAsia="Times New Roman" w:hAnsi="Arial" w:cs="Arial"/>
          <w:b/>
          <w:bCs/>
          <w:sz w:val="24"/>
          <w:szCs w:val="24"/>
        </w:rPr>
        <w:t xml:space="preserve"> DP&amp;L’s distribution rate case </w:t>
      </w:r>
      <w:r w:rsidR="00533413">
        <w:rPr>
          <w:rFonts w:ascii="Arial" w:eastAsia="Times New Roman" w:hAnsi="Arial" w:cs="Arial"/>
          <w:b/>
          <w:bCs/>
          <w:sz w:val="24"/>
          <w:szCs w:val="24"/>
        </w:rPr>
        <w:t>are not the same as the issues presented in this proceeding.</w:t>
      </w:r>
    </w:p>
    <w:p w14:paraId="1CEBF31E" w14:textId="77777777" w:rsidR="002C73CC" w:rsidRPr="00D50C40" w:rsidRDefault="002C73CC" w:rsidP="002C73CC">
      <w:pPr>
        <w:pStyle w:val="ListParagraph"/>
        <w:ind w:left="1080"/>
        <w:jc w:val="both"/>
        <w:rPr>
          <w:rFonts w:ascii="Arial" w:eastAsia="Times New Roman" w:hAnsi="Arial" w:cs="Arial"/>
          <w:b/>
          <w:bCs/>
          <w:sz w:val="24"/>
          <w:szCs w:val="24"/>
        </w:rPr>
      </w:pPr>
    </w:p>
    <w:p w14:paraId="193D5BF2" w14:textId="61813751" w:rsidR="002C73CC" w:rsidRPr="00A012DE" w:rsidRDefault="002C73CC" w:rsidP="00A012DE">
      <w:pPr>
        <w:pStyle w:val="ListParagraph"/>
        <w:numPr>
          <w:ilvl w:val="0"/>
          <w:numId w:val="30"/>
        </w:numPr>
        <w:rPr>
          <w:rFonts w:ascii="Arial" w:eastAsia="Times New Roman" w:hAnsi="Arial" w:cs="Arial"/>
          <w:b/>
          <w:bCs/>
          <w:sz w:val="24"/>
          <w:szCs w:val="24"/>
        </w:rPr>
      </w:pPr>
      <w:r w:rsidRPr="00A012DE">
        <w:rPr>
          <w:rFonts w:ascii="Arial" w:eastAsia="Times New Roman" w:hAnsi="Arial" w:cs="Arial"/>
          <w:b/>
          <w:sz w:val="24"/>
          <w:szCs w:val="24"/>
        </w:rPr>
        <w:lastRenderedPageBreak/>
        <w:t xml:space="preserve">The Supplemental Order </w:t>
      </w:r>
      <w:r w:rsidR="005955F9" w:rsidRPr="00A012DE">
        <w:rPr>
          <w:rFonts w:ascii="Arial" w:eastAsia="Times New Roman" w:hAnsi="Arial" w:cs="Arial"/>
          <w:b/>
          <w:sz w:val="24"/>
          <w:szCs w:val="24"/>
        </w:rPr>
        <w:t xml:space="preserve">(¶ 84) </w:t>
      </w:r>
      <w:r w:rsidRPr="00A012DE">
        <w:rPr>
          <w:rFonts w:ascii="Arial" w:eastAsia="Times New Roman" w:hAnsi="Arial" w:cs="Arial"/>
          <w:b/>
          <w:sz w:val="24"/>
          <w:szCs w:val="24"/>
        </w:rPr>
        <w:t>unlawfully and unreasonably authorized DP&amp;L’s $5 switching fee.  The Supplemental Order impermissibly authorized the fee without rendering findings of fact and conclusions of law based upon the record in violation of R.C. 4903.09.</w:t>
      </w:r>
      <w:r w:rsidRPr="00A012DE">
        <w:rPr>
          <w:b/>
          <w:sz w:val="24"/>
          <w:szCs w:val="24"/>
        </w:rPr>
        <w:t xml:space="preserve"> </w:t>
      </w:r>
      <w:proofErr w:type="spellStart"/>
      <w:r w:rsidRPr="00A012DE">
        <w:rPr>
          <w:rFonts w:ascii="Arial" w:hAnsi="Arial" w:cs="Arial"/>
          <w:b/>
          <w:i/>
          <w:sz w:val="24"/>
          <w:szCs w:val="24"/>
        </w:rPr>
        <w:t>Tongren</w:t>
      </w:r>
      <w:proofErr w:type="spellEnd"/>
      <w:r w:rsidRPr="00A012DE">
        <w:rPr>
          <w:rFonts w:ascii="Arial" w:hAnsi="Arial" w:cs="Arial"/>
          <w:b/>
          <w:i/>
          <w:sz w:val="24"/>
          <w:szCs w:val="24"/>
        </w:rPr>
        <w:t xml:space="preserve"> v. Pub. Util. Comm., </w:t>
      </w:r>
      <w:r w:rsidRPr="00A012DE">
        <w:rPr>
          <w:rFonts w:ascii="Arial" w:hAnsi="Arial" w:cs="Arial"/>
          <w:b/>
          <w:sz w:val="24"/>
          <w:szCs w:val="24"/>
        </w:rPr>
        <w:t>85 Ohio St. 3d 87</w:t>
      </w:r>
      <w:r w:rsidR="00821DD6" w:rsidRPr="00A012DE">
        <w:rPr>
          <w:rFonts w:ascii="Arial" w:hAnsi="Arial" w:cs="Arial"/>
          <w:b/>
          <w:sz w:val="24"/>
          <w:szCs w:val="24"/>
        </w:rPr>
        <w:t xml:space="preserve"> (1</w:t>
      </w:r>
      <w:r w:rsidR="00F04C80" w:rsidRPr="00A012DE">
        <w:rPr>
          <w:rFonts w:ascii="Arial" w:hAnsi="Arial" w:cs="Arial"/>
          <w:b/>
          <w:sz w:val="24"/>
          <w:szCs w:val="24"/>
        </w:rPr>
        <w:t>999)</w:t>
      </w:r>
      <w:r w:rsidRPr="00A012DE">
        <w:rPr>
          <w:rFonts w:ascii="Arial" w:hAnsi="Arial" w:cs="Arial"/>
          <w:b/>
          <w:sz w:val="24"/>
          <w:szCs w:val="24"/>
        </w:rPr>
        <w:t xml:space="preserve">.  The fee is discriminatory, violates state policy, and precedent inasmuch as DP&amp;L assesses the fee to shopping customers while providing the same service for free to customers that take service under the SSO.  R.C. 4928.02(A); </w:t>
      </w:r>
      <w:r w:rsidRPr="00A012DE">
        <w:rPr>
          <w:rFonts w:ascii="Arial" w:hAnsi="Arial" w:cs="Arial"/>
          <w:b/>
          <w:i/>
          <w:sz w:val="24"/>
          <w:szCs w:val="24"/>
        </w:rPr>
        <w:t xml:space="preserve">Ohio Consumers' Counsel v. </w:t>
      </w:r>
      <w:r w:rsidR="009E44F7" w:rsidRPr="00A012DE">
        <w:rPr>
          <w:rFonts w:ascii="Arial" w:hAnsi="Arial" w:cs="Arial"/>
          <w:b/>
          <w:i/>
          <w:sz w:val="24"/>
          <w:szCs w:val="24"/>
        </w:rPr>
        <w:t xml:space="preserve">Pub. Util. Comm., </w:t>
      </w:r>
      <w:r w:rsidRPr="00A012DE">
        <w:rPr>
          <w:rFonts w:ascii="Arial" w:hAnsi="Arial" w:cs="Arial"/>
          <w:b/>
          <w:sz w:val="24"/>
          <w:szCs w:val="24"/>
        </w:rPr>
        <w:t xml:space="preserve">109 Ohio St. 3d 328, 2006-Ohio-2110.  </w:t>
      </w:r>
      <w:r w:rsidR="00D072B6" w:rsidRPr="00A012DE">
        <w:rPr>
          <w:rFonts w:ascii="Arial" w:hAnsi="Arial" w:cs="Arial"/>
          <w:b/>
          <w:sz w:val="24"/>
          <w:szCs w:val="24"/>
        </w:rPr>
        <w:t>The Supplemental Order unlawfully and unreasonably determined that IGS’ is attempting to relitigate this matter; the issues decided DP&amp;L’s distribution rate case are not the same as the issues presented in this proceeding.</w:t>
      </w:r>
    </w:p>
    <w:p w14:paraId="288E233E" w14:textId="77777777" w:rsidR="002C73CC" w:rsidRPr="002C73CC" w:rsidRDefault="002C73CC" w:rsidP="002C73CC">
      <w:pPr>
        <w:pStyle w:val="ListParagraph"/>
        <w:ind w:left="1080"/>
        <w:jc w:val="both"/>
        <w:rPr>
          <w:rFonts w:ascii="Arial" w:eastAsia="Times New Roman" w:hAnsi="Arial" w:cs="Arial"/>
          <w:b/>
          <w:bCs/>
          <w:sz w:val="24"/>
          <w:szCs w:val="24"/>
        </w:rPr>
      </w:pPr>
    </w:p>
    <w:p w14:paraId="2B7FDD86" w14:textId="1D4C2CE6" w:rsidR="00AA680E" w:rsidRPr="00AA680E" w:rsidRDefault="002C73CC" w:rsidP="00AA680E">
      <w:pPr>
        <w:pStyle w:val="ListParagraph"/>
        <w:numPr>
          <w:ilvl w:val="0"/>
          <w:numId w:val="30"/>
        </w:numPr>
        <w:rPr>
          <w:rFonts w:ascii="Arial" w:hAnsi="Arial" w:cs="Arial"/>
          <w:b/>
          <w:sz w:val="24"/>
          <w:szCs w:val="24"/>
        </w:rPr>
      </w:pPr>
      <w:r w:rsidRPr="00995124">
        <w:rPr>
          <w:rFonts w:ascii="Arial" w:hAnsi="Arial" w:cs="Arial"/>
          <w:b/>
          <w:sz w:val="24"/>
          <w:szCs w:val="24"/>
        </w:rPr>
        <w:t>The Supplemental</w:t>
      </w:r>
      <w:r w:rsidR="00330FE0">
        <w:rPr>
          <w:rFonts w:ascii="Arial" w:hAnsi="Arial" w:cs="Arial"/>
          <w:b/>
          <w:sz w:val="24"/>
          <w:szCs w:val="24"/>
        </w:rPr>
        <w:t xml:space="preserve"> Order</w:t>
      </w:r>
      <w:r w:rsidRPr="00995124">
        <w:rPr>
          <w:rFonts w:ascii="Arial" w:hAnsi="Arial" w:cs="Arial"/>
          <w:b/>
          <w:sz w:val="24"/>
          <w:szCs w:val="24"/>
        </w:rPr>
        <w:t xml:space="preserve"> </w:t>
      </w:r>
      <w:r w:rsidR="005955F9" w:rsidRPr="005955F9">
        <w:rPr>
          <w:rFonts w:ascii="Arial" w:hAnsi="Arial" w:cs="Arial"/>
          <w:b/>
          <w:sz w:val="24"/>
          <w:szCs w:val="24"/>
        </w:rPr>
        <w:t>(¶ 84)</w:t>
      </w:r>
      <w:r w:rsidR="005955F9">
        <w:rPr>
          <w:rFonts w:ascii="Arial" w:hAnsi="Arial" w:cs="Arial"/>
          <w:b/>
          <w:sz w:val="24"/>
          <w:szCs w:val="24"/>
        </w:rPr>
        <w:t xml:space="preserve"> </w:t>
      </w:r>
      <w:r w:rsidRPr="00995124">
        <w:rPr>
          <w:rFonts w:ascii="Arial" w:hAnsi="Arial" w:cs="Arial"/>
          <w:b/>
          <w:sz w:val="24"/>
          <w:szCs w:val="24"/>
        </w:rPr>
        <w:t>is unlawful and unreasonable inasmuch as it authorized the continuation of unsubstantiated</w:t>
      </w:r>
      <w:r w:rsidR="00F11FCD">
        <w:rPr>
          <w:rFonts w:ascii="Arial" w:hAnsi="Arial" w:cs="Arial"/>
          <w:b/>
          <w:sz w:val="24"/>
          <w:szCs w:val="24"/>
        </w:rPr>
        <w:t xml:space="preserve"> and</w:t>
      </w:r>
      <w:r w:rsidRPr="00995124">
        <w:rPr>
          <w:rFonts w:ascii="Arial" w:hAnsi="Arial" w:cs="Arial"/>
          <w:b/>
          <w:sz w:val="24"/>
          <w:szCs w:val="24"/>
        </w:rPr>
        <w:t xml:space="preserve"> exorbitant historical usage fees despite evidence that they are harming the competitive market.</w:t>
      </w:r>
      <w:r>
        <w:rPr>
          <w:rFonts w:ascii="Arial" w:hAnsi="Arial" w:cs="Arial"/>
          <w:b/>
          <w:sz w:val="24"/>
          <w:szCs w:val="24"/>
        </w:rPr>
        <w:t xml:space="preserve">  The Supplemental Order violated R.C. 4903.09 for failure to identify record evidence to support the fee.</w:t>
      </w:r>
      <w:r w:rsidR="00AA680E" w:rsidRPr="00AA680E">
        <w:t xml:space="preserve"> </w:t>
      </w:r>
      <w:r w:rsidR="00AA680E">
        <w:rPr>
          <w:rFonts w:ascii="Arial" w:hAnsi="Arial" w:cs="Arial"/>
          <w:b/>
          <w:sz w:val="24"/>
          <w:szCs w:val="24"/>
        </w:rPr>
        <w:t>Th</w:t>
      </w:r>
      <w:r w:rsidR="00AA680E" w:rsidRPr="00AA680E">
        <w:rPr>
          <w:rFonts w:ascii="Arial" w:hAnsi="Arial" w:cs="Arial"/>
          <w:b/>
          <w:sz w:val="24"/>
          <w:szCs w:val="24"/>
        </w:rPr>
        <w:t>e Supplemental Order unlawfully and unreasonably determined that IGS’ is attempting to relitigate this matter; the issues decided DP&amp;L’s distribution rate case are not the same as the issues presented in this proceeding.</w:t>
      </w:r>
    </w:p>
    <w:p w14:paraId="0D4A6461" w14:textId="77777777" w:rsidR="008926F9" w:rsidRPr="008926F9" w:rsidRDefault="008926F9" w:rsidP="008926F9">
      <w:pPr>
        <w:spacing w:after="0" w:line="276" w:lineRule="auto"/>
        <w:jc w:val="both"/>
        <w:rPr>
          <w:rFonts w:ascii="Arial" w:hAnsi="Arial" w:cs="Arial"/>
          <w:sz w:val="24"/>
          <w:szCs w:val="24"/>
        </w:rPr>
      </w:pPr>
    </w:p>
    <w:p w14:paraId="5FDE1502" w14:textId="014F16A1" w:rsidR="00C4526C" w:rsidRPr="00591F4D" w:rsidRDefault="002C73CC" w:rsidP="002C73CC">
      <w:pPr>
        <w:pStyle w:val="ListParagraph"/>
        <w:numPr>
          <w:ilvl w:val="0"/>
          <w:numId w:val="30"/>
        </w:numPr>
        <w:spacing w:after="0"/>
        <w:jc w:val="both"/>
        <w:rPr>
          <w:rFonts w:ascii="Arial" w:hAnsi="Arial" w:cs="Arial"/>
          <w:b/>
          <w:sz w:val="24"/>
          <w:szCs w:val="24"/>
        </w:rPr>
      </w:pPr>
      <w:r>
        <w:rPr>
          <w:rFonts w:ascii="Arial" w:hAnsi="Arial" w:cs="Arial"/>
          <w:b/>
          <w:sz w:val="24"/>
          <w:szCs w:val="24"/>
        </w:rPr>
        <w:t xml:space="preserve">The Supplemental Order </w:t>
      </w:r>
      <w:r w:rsidR="005955F9" w:rsidRPr="005955F9">
        <w:rPr>
          <w:rFonts w:ascii="Arial" w:hAnsi="Arial" w:cs="Arial"/>
          <w:b/>
          <w:sz w:val="24"/>
          <w:szCs w:val="24"/>
        </w:rPr>
        <w:t>(¶ 84)</w:t>
      </w:r>
      <w:r w:rsidR="005955F9">
        <w:rPr>
          <w:rFonts w:ascii="Arial" w:hAnsi="Arial" w:cs="Arial"/>
          <w:b/>
          <w:sz w:val="24"/>
          <w:szCs w:val="24"/>
        </w:rPr>
        <w:t xml:space="preserve"> </w:t>
      </w:r>
      <w:r>
        <w:rPr>
          <w:rFonts w:ascii="Arial" w:hAnsi="Arial" w:cs="Arial"/>
          <w:b/>
          <w:sz w:val="24"/>
          <w:szCs w:val="24"/>
        </w:rPr>
        <w:t xml:space="preserve">is unlawful and unreasonable inasmuch as it rejected IGS’ proposal to establish an unbundling rider.  This matter was </w:t>
      </w:r>
      <w:r w:rsidRPr="00B45273">
        <w:rPr>
          <w:rFonts w:ascii="Arial" w:hAnsi="Arial" w:cs="Arial"/>
          <w:b/>
          <w:sz w:val="24"/>
          <w:szCs w:val="24"/>
        </w:rPr>
        <w:t xml:space="preserve">not addressed in the </w:t>
      </w:r>
      <w:r w:rsidR="004629B2">
        <w:rPr>
          <w:rFonts w:ascii="Arial" w:hAnsi="Arial" w:cs="Arial"/>
          <w:b/>
          <w:sz w:val="24"/>
          <w:szCs w:val="24"/>
        </w:rPr>
        <w:t>distribution rate case</w:t>
      </w:r>
      <w:r w:rsidRPr="00B45273">
        <w:rPr>
          <w:rFonts w:ascii="Arial" w:hAnsi="Arial" w:cs="Arial"/>
          <w:b/>
          <w:sz w:val="24"/>
          <w:szCs w:val="24"/>
        </w:rPr>
        <w:t>, given that the Commission has no statutory authority to establish rate adjustment clauses under R.C. 4909.18.  That authority exists only in an ESP case.</w:t>
      </w:r>
      <w:r w:rsidR="00502CD8" w:rsidRPr="00B45273">
        <w:rPr>
          <w:rFonts w:ascii="Arial" w:hAnsi="Arial" w:cs="Arial"/>
          <w:b/>
          <w:sz w:val="24"/>
          <w:szCs w:val="24"/>
        </w:rPr>
        <w:t xml:space="preserve">  The</w:t>
      </w:r>
      <w:r w:rsidR="00B45273">
        <w:rPr>
          <w:rFonts w:ascii="Arial" w:hAnsi="Arial" w:cs="Arial"/>
          <w:b/>
          <w:sz w:val="24"/>
          <w:szCs w:val="24"/>
        </w:rPr>
        <w:t xml:space="preserve"> Supplemental</w:t>
      </w:r>
      <w:r w:rsidR="00502CD8" w:rsidRPr="00B45273">
        <w:rPr>
          <w:rFonts w:ascii="Arial" w:hAnsi="Arial" w:cs="Arial"/>
          <w:b/>
          <w:sz w:val="24"/>
          <w:szCs w:val="24"/>
        </w:rPr>
        <w:t xml:space="preserve"> Order’s failure to address this matter was arbitrary and unreasonable. </w:t>
      </w:r>
      <w:r w:rsidR="00B45273" w:rsidRPr="00B45273">
        <w:rPr>
          <w:rFonts w:ascii="Arial" w:eastAsia="Calibri" w:hAnsi="Arial" w:cs="Arial"/>
          <w:b/>
          <w:i/>
          <w:sz w:val="24"/>
          <w:szCs w:val="24"/>
        </w:rPr>
        <w:t>Forest Hills Utility Co. v. Pub. Util. Comm</w:t>
      </w:r>
      <w:r w:rsidR="00330FE0">
        <w:rPr>
          <w:rFonts w:ascii="Arial" w:eastAsia="Calibri" w:hAnsi="Arial" w:cs="Arial"/>
          <w:b/>
          <w:i/>
          <w:sz w:val="24"/>
          <w:szCs w:val="24"/>
        </w:rPr>
        <w:t>.</w:t>
      </w:r>
      <w:r w:rsidR="00B45273" w:rsidRPr="00B45273">
        <w:rPr>
          <w:rFonts w:ascii="Arial" w:eastAsia="Calibri" w:hAnsi="Arial" w:cs="Arial"/>
          <w:b/>
          <w:sz w:val="24"/>
          <w:szCs w:val="24"/>
        </w:rPr>
        <w:t>, 31 Ohio St. 2d 46 (1972).</w:t>
      </w:r>
      <w:r w:rsidR="00B45273" w:rsidRPr="00C67CC8">
        <w:rPr>
          <w:rFonts w:ascii="Times New Roman" w:eastAsia="Calibri" w:hAnsi="Times New Roman" w:cs="Times New Roman"/>
          <w:b/>
          <w:sz w:val="24"/>
          <w:szCs w:val="24"/>
        </w:rPr>
        <w:t xml:space="preserve">  </w:t>
      </w:r>
    </w:p>
    <w:p w14:paraId="2A5301ED" w14:textId="77777777" w:rsidR="00591F4D" w:rsidRPr="00591F4D" w:rsidRDefault="00591F4D" w:rsidP="00591F4D">
      <w:pPr>
        <w:spacing w:after="0"/>
        <w:jc w:val="both"/>
        <w:rPr>
          <w:rFonts w:ascii="Arial" w:hAnsi="Arial" w:cs="Arial"/>
          <w:b/>
          <w:sz w:val="24"/>
          <w:szCs w:val="24"/>
        </w:rPr>
      </w:pPr>
    </w:p>
    <w:p w14:paraId="4351B363" w14:textId="183DF8C0" w:rsidR="00FF2693" w:rsidRPr="008B7539" w:rsidRDefault="003A0C90" w:rsidP="00FF2693">
      <w:pPr>
        <w:tabs>
          <w:tab w:val="left" w:pos="960"/>
          <w:tab w:val="left" w:pos="1710"/>
          <w:tab w:val="right" w:leader="dot" w:pos="9360"/>
        </w:tabs>
        <w:spacing w:line="480" w:lineRule="auto"/>
        <w:jc w:val="both"/>
        <w:rPr>
          <w:rFonts w:ascii="Arial" w:hAnsi="Arial" w:cs="Arial"/>
          <w:sz w:val="24"/>
          <w:szCs w:val="24"/>
        </w:rPr>
      </w:pPr>
      <w:r>
        <w:rPr>
          <w:rFonts w:ascii="Arial" w:hAnsi="Arial" w:cs="Arial"/>
          <w:sz w:val="24"/>
          <w:szCs w:val="24"/>
        </w:rPr>
        <w:t xml:space="preserve">As discussed further in the Memorandum in Support, IGS respectfully requests that the Commission grant this Application for Rehearing and </w:t>
      </w:r>
      <w:r w:rsidR="00FF2693" w:rsidRPr="008B7539">
        <w:rPr>
          <w:rFonts w:ascii="Arial" w:hAnsi="Arial" w:cs="Arial"/>
          <w:sz w:val="24"/>
          <w:szCs w:val="24"/>
        </w:rPr>
        <w:t xml:space="preserve">correct the errors identified herein. </w:t>
      </w:r>
    </w:p>
    <w:p w14:paraId="305BBC20" w14:textId="77777777" w:rsidR="00FF2693" w:rsidRPr="00F67B86" w:rsidRDefault="00FF2693" w:rsidP="00FF2693">
      <w:pPr>
        <w:spacing w:after="0" w:line="240" w:lineRule="auto"/>
        <w:ind w:left="5040"/>
        <w:rPr>
          <w:rFonts w:ascii="Arial" w:hAnsi="Arial" w:cs="Arial"/>
          <w:sz w:val="24"/>
          <w:szCs w:val="24"/>
        </w:rPr>
      </w:pPr>
      <w:r w:rsidRPr="00F67B86">
        <w:rPr>
          <w:rFonts w:ascii="Arial" w:hAnsi="Arial" w:cs="Arial"/>
          <w:sz w:val="24"/>
          <w:szCs w:val="24"/>
        </w:rPr>
        <w:t>Respectfully submitted,</w:t>
      </w:r>
    </w:p>
    <w:p w14:paraId="4A4CE553" w14:textId="77777777" w:rsidR="00FF2693" w:rsidRPr="00F67B86" w:rsidRDefault="00FF2693" w:rsidP="00FF2693">
      <w:pPr>
        <w:spacing w:after="0" w:line="240" w:lineRule="auto"/>
        <w:ind w:left="5040"/>
        <w:rPr>
          <w:rFonts w:ascii="Arial" w:hAnsi="Arial" w:cs="Arial"/>
          <w:sz w:val="24"/>
          <w:szCs w:val="24"/>
        </w:rPr>
      </w:pPr>
    </w:p>
    <w:p w14:paraId="030688DB" w14:textId="77777777" w:rsidR="00FF2693" w:rsidRPr="003849D3" w:rsidRDefault="00FF2693" w:rsidP="00FF2693">
      <w:pPr>
        <w:spacing w:after="0" w:line="240" w:lineRule="auto"/>
        <w:ind w:left="5040"/>
        <w:rPr>
          <w:rFonts w:ascii="Arial" w:hAnsi="Arial" w:cs="Arial"/>
          <w:b/>
          <w:i/>
          <w:sz w:val="24"/>
          <w:szCs w:val="24"/>
          <w:u w:val="single"/>
        </w:rPr>
      </w:pPr>
      <w:r w:rsidRPr="003849D3">
        <w:rPr>
          <w:rFonts w:ascii="Arial" w:hAnsi="Arial" w:cs="Arial"/>
          <w:b/>
          <w:i/>
          <w:sz w:val="24"/>
          <w:szCs w:val="24"/>
          <w:u w:val="single"/>
        </w:rPr>
        <w:t>/s/Joseph Oliker</w:t>
      </w:r>
    </w:p>
    <w:p w14:paraId="2CBCFC06" w14:textId="77777777" w:rsidR="00FF2693" w:rsidRPr="00F67B86" w:rsidRDefault="00FF2693" w:rsidP="00FF2693">
      <w:pPr>
        <w:spacing w:after="0" w:line="240" w:lineRule="auto"/>
        <w:ind w:left="5040"/>
        <w:rPr>
          <w:rFonts w:ascii="Arial" w:hAnsi="Arial" w:cs="Arial"/>
          <w:sz w:val="24"/>
          <w:szCs w:val="24"/>
        </w:rPr>
      </w:pPr>
      <w:r w:rsidRPr="00F67B86">
        <w:rPr>
          <w:rFonts w:ascii="Arial" w:hAnsi="Arial" w:cs="Arial"/>
          <w:sz w:val="24"/>
          <w:szCs w:val="24"/>
        </w:rPr>
        <w:t>Joseph Oliker (0086088)</w:t>
      </w:r>
    </w:p>
    <w:p w14:paraId="691D2A14" w14:textId="77777777" w:rsidR="00FF2693" w:rsidRPr="00F67B86" w:rsidRDefault="00FF2693" w:rsidP="00FF2693">
      <w:pPr>
        <w:spacing w:after="0" w:line="240" w:lineRule="auto"/>
        <w:ind w:left="5040"/>
        <w:rPr>
          <w:rFonts w:ascii="Arial" w:hAnsi="Arial" w:cs="Arial"/>
          <w:sz w:val="24"/>
          <w:szCs w:val="24"/>
        </w:rPr>
      </w:pPr>
      <w:r w:rsidRPr="00F67B86">
        <w:rPr>
          <w:rFonts w:ascii="Arial" w:hAnsi="Arial" w:cs="Arial"/>
          <w:sz w:val="24"/>
          <w:szCs w:val="24"/>
        </w:rPr>
        <w:t xml:space="preserve">Counsel of Record </w:t>
      </w:r>
    </w:p>
    <w:p w14:paraId="1EE41F14" w14:textId="77777777" w:rsidR="00FF2693" w:rsidRDefault="00FF2693" w:rsidP="00FF2693">
      <w:pPr>
        <w:spacing w:after="0" w:line="240" w:lineRule="auto"/>
        <w:ind w:left="5040"/>
        <w:rPr>
          <w:rStyle w:val="Hyperlink"/>
          <w:rFonts w:ascii="Arial" w:hAnsi="Arial" w:cs="Arial"/>
          <w:color w:val="auto"/>
          <w:sz w:val="24"/>
          <w:szCs w:val="24"/>
          <w:u w:val="none"/>
        </w:rPr>
      </w:pPr>
      <w:r w:rsidRPr="00F67B86">
        <w:rPr>
          <w:rFonts w:ascii="Arial" w:hAnsi="Arial" w:cs="Arial"/>
          <w:sz w:val="24"/>
          <w:szCs w:val="24"/>
        </w:rPr>
        <w:t xml:space="preserve">Email: </w:t>
      </w:r>
      <w:hyperlink r:id="rId12" w:history="1">
        <w:r w:rsidRPr="00F67B86">
          <w:rPr>
            <w:rStyle w:val="Hyperlink"/>
            <w:rFonts w:ascii="Arial" w:hAnsi="Arial" w:cs="Arial"/>
            <w:color w:val="auto"/>
            <w:sz w:val="24"/>
            <w:szCs w:val="24"/>
            <w:u w:val="none"/>
          </w:rPr>
          <w:t>joliker@igsenergy.com</w:t>
        </w:r>
      </w:hyperlink>
    </w:p>
    <w:p w14:paraId="308905A1" w14:textId="77777777" w:rsidR="00FF2693" w:rsidRDefault="00FF2693" w:rsidP="00FF2693">
      <w:pPr>
        <w:spacing w:after="0" w:line="240" w:lineRule="auto"/>
        <w:ind w:left="5040"/>
        <w:rPr>
          <w:rStyle w:val="Hyperlink"/>
          <w:rFonts w:ascii="Arial" w:hAnsi="Arial" w:cs="Arial"/>
          <w:color w:val="auto"/>
          <w:sz w:val="24"/>
          <w:szCs w:val="24"/>
          <w:u w:val="none"/>
        </w:rPr>
      </w:pPr>
      <w:r>
        <w:rPr>
          <w:rStyle w:val="Hyperlink"/>
          <w:rFonts w:ascii="Arial" w:hAnsi="Arial" w:cs="Arial"/>
          <w:color w:val="auto"/>
          <w:sz w:val="24"/>
          <w:szCs w:val="24"/>
          <w:u w:val="none"/>
        </w:rPr>
        <w:t>Michael Nugent</w:t>
      </w:r>
    </w:p>
    <w:p w14:paraId="13A9B048" w14:textId="77777777" w:rsidR="00FF2693" w:rsidRPr="00C51B26" w:rsidRDefault="00FF2693" w:rsidP="00FF2693">
      <w:pPr>
        <w:spacing w:after="0" w:line="240" w:lineRule="auto"/>
        <w:ind w:left="5040"/>
        <w:rPr>
          <w:rStyle w:val="Hyperlink"/>
          <w:rFonts w:ascii="Arial" w:hAnsi="Arial" w:cs="Arial"/>
          <w:sz w:val="24"/>
          <w:szCs w:val="24"/>
        </w:rPr>
      </w:pPr>
      <w:r>
        <w:rPr>
          <w:rStyle w:val="Hyperlink"/>
          <w:rFonts w:ascii="Arial" w:hAnsi="Arial" w:cs="Arial"/>
          <w:color w:val="auto"/>
          <w:sz w:val="24"/>
          <w:szCs w:val="24"/>
          <w:u w:val="none"/>
        </w:rPr>
        <w:lastRenderedPageBreak/>
        <w:t>Email: Mnugent@igsenergy.com</w:t>
      </w:r>
    </w:p>
    <w:p w14:paraId="6FDC75DF" w14:textId="77777777" w:rsidR="00FF2693" w:rsidRPr="00C51B26" w:rsidRDefault="00FF2693" w:rsidP="00FF2693">
      <w:pPr>
        <w:spacing w:after="0" w:line="240" w:lineRule="auto"/>
        <w:ind w:left="5040"/>
        <w:rPr>
          <w:rFonts w:ascii="Arial" w:hAnsi="Arial" w:cs="Arial"/>
          <w:sz w:val="24"/>
          <w:szCs w:val="24"/>
        </w:rPr>
      </w:pPr>
      <w:r w:rsidRPr="00C51B26">
        <w:rPr>
          <w:rFonts w:ascii="Arial" w:hAnsi="Arial" w:cs="Arial"/>
          <w:sz w:val="24"/>
          <w:szCs w:val="24"/>
        </w:rPr>
        <w:t>IGS Energy</w:t>
      </w:r>
    </w:p>
    <w:p w14:paraId="77A2E34B" w14:textId="77777777" w:rsidR="00FF2693" w:rsidRPr="00C51B26" w:rsidRDefault="00FF2693" w:rsidP="00FF2693">
      <w:pPr>
        <w:spacing w:after="0" w:line="240" w:lineRule="auto"/>
        <w:ind w:left="5040"/>
        <w:rPr>
          <w:rFonts w:ascii="Arial" w:hAnsi="Arial" w:cs="Arial"/>
          <w:sz w:val="24"/>
          <w:szCs w:val="24"/>
        </w:rPr>
      </w:pPr>
      <w:r w:rsidRPr="00C51B26">
        <w:rPr>
          <w:rFonts w:ascii="Arial" w:hAnsi="Arial" w:cs="Arial"/>
          <w:sz w:val="24"/>
          <w:szCs w:val="24"/>
        </w:rPr>
        <w:t>6100 Emerald Parkway</w:t>
      </w:r>
    </w:p>
    <w:p w14:paraId="3EF6BB0B" w14:textId="77777777" w:rsidR="00FF2693" w:rsidRPr="00C51B26" w:rsidRDefault="00FF2693" w:rsidP="00FF2693">
      <w:pPr>
        <w:spacing w:after="0" w:line="240" w:lineRule="auto"/>
        <w:ind w:left="5040"/>
        <w:rPr>
          <w:rFonts w:ascii="Arial" w:hAnsi="Arial" w:cs="Arial"/>
          <w:sz w:val="24"/>
          <w:szCs w:val="24"/>
        </w:rPr>
      </w:pPr>
      <w:r w:rsidRPr="00C51B26">
        <w:rPr>
          <w:rFonts w:ascii="Arial" w:hAnsi="Arial" w:cs="Arial"/>
          <w:sz w:val="24"/>
          <w:szCs w:val="24"/>
        </w:rPr>
        <w:t>Dublin, Ohio 43016</w:t>
      </w:r>
    </w:p>
    <w:p w14:paraId="1A726625" w14:textId="77777777" w:rsidR="00FF2693" w:rsidRDefault="00FF2693" w:rsidP="00FF2693">
      <w:pPr>
        <w:spacing w:after="0" w:line="240" w:lineRule="auto"/>
        <w:ind w:left="5040"/>
        <w:rPr>
          <w:rFonts w:ascii="Arial" w:hAnsi="Arial" w:cs="Arial"/>
          <w:sz w:val="24"/>
          <w:szCs w:val="24"/>
        </w:rPr>
      </w:pPr>
      <w:r w:rsidRPr="00C51B26">
        <w:rPr>
          <w:rFonts w:ascii="Arial" w:hAnsi="Arial" w:cs="Arial"/>
          <w:sz w:val="24"/>
          <w:szCs w:val="24"/>
        </w:rPr>
        <w:t>Telephone:</w:t>
      </w:r>
      <w:r w:rsidRPr="00C51B26">
        <w:rPr>
          <w:rFonts w:ascii="Arial" w:hAnsi="Arial" w:cs="Arial"/>
          <w:sz w:val="24"/>
          <w:szCs w:val="24"/>
        </w:rPr>
        <w:tab/>
        <w:t>(614) 659</w:t>
      </w:r>
      <w:r>
        <w:rPr>
          <w:rFonts w:ascii="Arial" w:hAnsi="Arial" w:cs="Arial"/>
          <w:sz w:val="24"/>
          <w:szCs w:val="24"/>
        </w:rPr>
        <w:t>-5000</w:t>
      </w:r>
    </w:p>
    <w:p w14:paraId="31C5686B" w14:textId="77777777" w:rsidR="00FF2693" w:rsidRDefault="00FF2693" w:rsidP="00FF2693">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D439594" w14:textId="77777777" w:rsidR="00FF2693" w:rsidRDefault="00FF2693" w:rsidP="00FF2693">
      <w:pPr>
        <w:spacing w:after="0" w:line="240" w:lineRule="auto"/>
        <w:ind w:left="5040"/>
        <w:rPr>
          <w:rFonts w:ascii="Arial" w:hAnsi="Arial" w:cs="Arial"/>
          <w:sz w:val="24"/>
          <w:szCs w:val="24"/>
        </w:rPr>
      </w:pPr>
    </w:p>
    <w:p w14:paraId="24CE3E43" w14:textId="77777777" w:rsidR="00FF2693" w:rsidRDefault="00FF2693" w:rsidP="00FF2693">
      <w:pPr>
        <w:pStyle w:val="ListParagraph"/>
        <w:spacing w:after="120" w:line="480" w:lineRule="auto"/>
        <w:ind w:left="4680" w:firstLine="360"/>
        <w:jc w:val="both"/>
        <w:rPr>
          <w:rFonts w:ascii="Arial" w:eastAsia="Arial" w:hAnsi="Arial" w:cs="Arial"/>
          <w:b/>
          <w:bCs/>
          <w:sz w:val="24"/>
          <w:szCs w:val="24"/>
        </w:rPr>
      </w:pPr>
      <w:r>
        <w:rPr>
          <w:rFonts w:ascii="Arial" w:hAnsi="Arial" w:cs="Arial"/>
          <w:b/>
          <w:i/>
          <w:sz w:val="24"/>
          <w:szCs w:val="24"/>
        </w:rPr>
        <w:t>Attorneys for IGS Energy</w:t>
      </w:r>
    </w:p>
    <w:p w14:paraId="17374E9C" w14:textId="77777777" w:rsidR="00FF2693" w:rsidRDefault="00FF2693" w:rsidP="00FF2693">
      <w:pPr>
        <w:pStyle w:val="ListParagraph"/>
        <w:spacing w:after="120" w:line="480" w:lineRule="auto"/>
        <w:ind w:left="1080"/>
        <w:jc w:val="both"/>
        <w:rPr>
          <w:rFonts w:ascii="Arial" w:eastAsia="Arial" w:hAnsi="Arial" w:cs="Arial"/>
          <w:b/>
          <w:bCs/>
          <w:sz w:val="24"/>
          <w:szCs w:val="24"/>
        </w:rPr>
      </w:pPr>
    </w:p>
    <w:p w14:paraId="7389190C" w14:textId="1D9B374E" w:rsidR="00D41BB8" w:rsidRDefault="00D41BB8">
      <w:pPr>
        <w:rPr>
          <w:rFonts w:ascii="Arial" w:eastAsia="Calibri" w:hAnsi="Arial" w:cs="Arial"/>
          <w:b/>
          <w:sz w:val="24"/>
          <w:szCs w:val="24"/>
        </w:rPr>
      </w:pPr>
      <w:r>
        <w:rPr>
          <w:rFonts w:ascii="Arial" w:eastAsia="Calibri" w:hAnsi="Arial" w:cs="Arial"/>
          <w:b/>
          <w:sz w:val="24"/>
          <w:szCs w:val="24"/>
        </w:rPr>
        <w:br w:type="page"/>
      </w:r>
    </w:p>
    <w:p w14:paraId="66A5718B" w14:textId="77777777" w:rsidR="00385098" w:rsidRDefault="00385098" w:rsidP="00572623">
      <w:pPr>
        <w:spacing w:after="0"/>
        <w:rPr>
          <w:rFonts w:ascii="Arial" w:eastAsia="Calibri" w:hAnsi="Arial" w:cs="Arial"/>
          <w:b/>
          <w:sz w:val="24"/>
          <w:szCs w:val="24"/>
        </w:rPr>
      </w:pPr>
    </w:p>
    <w:p w14:paraId="34D00BCF" w14:textId="2A8CB524" w:rsidR="003B7634" w:rsidRPr="003B7634" w:rsidRDefault="003B7634" w:rsidP="006A7486">
      <w:pPr>
        <w:spacing w:after="0"/>
        <w:jc w:val="center"/>
        <w:rPr>
          <w:rFonts w:ascii="Arial" w:eastAsia="Calibri" w:hAnsi="Arial" w:cs="Arial"/>
          <w:b/>
          <w:sz w:val="24"/>
          <w:szCs w:val="24"/>
        </w:rPr>
      </w:pPr>
      <w:r w:rsidRPr="003B7634">
        <w:rPr>
          <w:rFonts w:ascii="Arial" w:eastAsia="Calibri" w:hAnsi="Arial" w:cs="Arial"/>
          <w:b/>
          <w:sz w:val="24"/>
          <w:szCs w:val="24"/>
        </w:rPr>
        <w:t>BEFORE THE</w:t>
      </w:r>
    </w:p>
    <w:p w14:paraId="2C61DB31" w14:textId="77777777" w:rsidR="003B7634" w:rsidRPr="003B7634" w:rsidRDefault="003B7634" w:rsidP="003B7634">
      <w:pPr>
        <w:tabs>
          <w:tab w:val="center" w:pos="4682"/>
          <w:tab w:val="left" w:pos="8625"/>
        </w:tabs>
        <w:spacing w:after="240" w:line="240" w:lineRule="auto"/>
        <w:jc w:val="center"/>
        <w:rPr>
          <w:rFonts w:ascii="Arial" w:eastAsia="Calibri" w:hAnsi="Arial" w:cs="Arial"/>
          <w:b/>
          <w:sz w:val="24"/>
          <w:szCs w:val="24"/>
        </w:rPr>
      </w:pPr>
      <w:r w:rsidRPr="003B7634">
        <w:rPr>
          <w:rFonts w:ascii="Arial" w:eastAsia="Calibri" w:hAnsi="Arial" w:cs="Arial"/>
          <w:b/>
          <w:sz w:val="24"/>
          <w:szCs w:val="24"/>
        </w:rPr>
        <w:t>PUBLIC UTILITIES COMMISSION OF OHIO</w:t>
      </w:r>
    </w:p>
    <w:p w14:paraId="4122BC38" w14:textId="77777777" w:rsidR="003B7634" w:rsidRPr="003B7634" w:rsidRDefault="003B7634" w:rsidP="003B7634">
      <w:pPr>
        <w:spacing w:after="0" w:line="240" w:lineRule="auto"/>
        <w:rPr>
          <w:rFonts w:ascii="Arial" w:eastAsia="Calibri"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140"/>
      </w:tblGrid>
      <w:tr w:rsidR="003B7634" w:rsidRPr="003B7634" w14:paraId="1E6E3F11" w14:textId="77777777" w:rsidTr="003B7634">
        <w:tc>
          <w:tcPr>
            <w:tcW w:w="4428" w:type="dxa"/>
          </w:tcPr>
          <w:p w14:paraId="6C9B8CE1"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Its Electric Security Plan.</w:t>
            </w:r>
          </w:p>
        </w:tc>
        <w:tc>
          <w:tcPr>
            <w:tcW w:w="720" w:type="dxa"/>
          </w:tcPr>
          <w:p w14:paraId="26787A18" w14:textId="77777777" w:rsidR="003B7634" w:rsidRPr="003B7634" w:rsidRDefault="003B7634" w:rsidP="003B7634">
            <w:pPr>
              <w:rPr>
                <w:rFonts w:ascii="Arial" w:eastAsia="Calibri" w:hAnsi="Arial" w:cs="Arial"/>
              </w:rPr>
            </w:pPr>
            <w:r w:rsidRPr="003B7634">
              <w:rPr>
                <w:rFonts w:ascii="Arial" w:eastAsia="Calibri" w:hAnsi="Arial" w:cs="Arial"/>
              </w:rPr>
              <w:t>)</w:t>
            </w:r>
          </w:p>
          <w:p w14:paraId="76F0A2FD" w14:textId="77777777" w:rsidR="003B7634" w:rsidRPr="003B7634" w:rsidRDefault="003B7634" w:rsidP="003B7634">
            <w:pPr>
              <w:rPr>
                <w:rFonts w:ascii="Arial" w:eastAsia="Calibri" w:hAnsi="Arial" w:cs="Arial"/>
              </w:rPr>
            </w:pPr>
            <w:r w:rsidRPr="003B7634">
              <w:rPr>
                <w:rFonts w:ascii="Arial" w:eastAsia="Calibri" w:hAnsi="Arial" w:cs="Arial"/>
              </w:rPr>
              <w:t>)</w:t>
            </w:r>
          </w:p>
          <w:p w14:paraId="08A9AD90"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70742548" w14:textId="77777777" w:rsidR="003B7634" w:rsidRPr="003B7634" w:rsidRDefault="003B7634" w:rsidP="003B7634">
            <w:pPr>
              <w:rPr>
                <w:rFonts w:ascii="Arial" w:eastAsia="Calibri" w:hAnsi="Arial" w:cs="Arial"/>
              </w:rPr>
            </w:pPr>
          </w:p>
          <w:p w14:paraId="32C72F4C" w14:textId="77777777" w:rsidR="003B7634" w:rsidRPr="003B7634" w:rsidRDefault="003B7634" w:rsidP="003B7634">
            <w:pPr>
              <w:rPr>
                <w:rFonts w:ascii="Arial" w:eastAsia="Calibri" w:hAnsi="Arial" w:cs="Arial"/>
              </w:rPr>
            </w:pPr>
            <w:r w:rsidRPr="003B7634">
              <w:rPr>
                <w:rFonts w:ascii="Arial" w:eastAsia="Calibri" w:hAnsi="Arial" w:cs="Arial"/>
              </w:rPr>
              <w:t>Case No. 16-0395-EL-SSO</w:t>
            </w:r>
          </w:p>
        </w:tc>
      </w:tr>
      <w:tr w:rsidR="003B7634" w:rsidRPr="003B7634" w14:paraId="68DF13FA" w14:textId="77777777" w:rsidTr="003B7634">
        <w:tc>
          <w:tcPr>
            <w:tcW w:w="4428" w:type="dxa"/>
          </w:tcPr>
          <w:p w14:paraId="06763B75" w14:textId="77777777" w:rsidR="003B7634" w:rsidRPr="003B7634" w:rsidRDefault="003B7634" w:rsidP="003B7634">
            <w:pPr>
              <w:rPr>
                <w:rFonts w:ascii="Arial" w:eastAsia="Calibri" w:hAnsi="Arial" w:cs="Arial"/>
              </w:rPr>
            </w:pPr>
          </w:p>
        </w:tc>
        <w:tc>
          <w:tcPr>
            <w:tcW w:w="720" w:type="dxa"/>
          </w:tcPr>
          <w:p w14:paraId="00D3A78A" w14:textId="77777777" w:rsidR="003B7634" w:rsidRPr="003B7634" w:rsidRDefault="003B7634" w:rsidP="003B7634">
            <w:pPr>
              <w:rPr>
                <w:rFonts w:ascii="Arial" w:eastAsia="Calibri" w:hAnsi="Arial" w:cs="Arial"/>
              </w:rPr>
            </w:pPr>
          </w:p>
        </w:tc>
        <w:tc>
          <w:tcPr>
            <w:tcW w:w="4140" w:type="dxa"/>
          </w:tcPr>
          <w:p w14:paraId="52CEF6CE" w14:textId="77777777" w:rsidR="003B7634" w:rsidRPr="003B7634" w:rsidRDefault="003B7634" w:rsidP="003B7634">
            <w:pPr>
              <w:rPr>
                <w:rFonts w:ascii="Arial" w:eastAsia="Calibri" w:hAnsi="Arial" w:cs="Arial"/>
              </w:rPr>
            </w:pPr>
          </w:p>
        </w:tc>
      </w:tr>
      <w:tr w:rsidR="003B7634" w:rsidRPr="003B7634" w14:paraId="58F1D2DE" w14:textId="77777777" w:rsidTr="003B7634">
        <w:tc>
          <w:tcPr>
            <w:tcW w:w="4428" w:type="dxa"/>
          </w:tcPr>
          <w:p w14:paraId="510E4CA3"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Revised Tariffs.</w:t>
            </w:r>
          </w:p>
        </w:tc>
        <w:tc>
          <w:tcPr>
            <w:tcW w:w="720" w:type="dxa"/>
          </w:tcPr>
          <w:p w14:paraId="2C9EFBDB" w14:textId="77777777" w:rsidR="003B7634" w:rsidRPr="003B7634" w:rsidRDefault="003B7634" w:rsidP="003B7634">
            <w:pPr>
              <w:rPr>
                <w:rFonts w:ascii="Arial" w:eastAsia="Calibri" w:hAnsi="Arial" w:cs="Arial"/>
              </w:rPr>
            </w:pPr>
            <w:r w:rsidRPr="003B7634">
              <w:rPr>
                <w:rFonts w:ascii="Arial" w:eastAsia="Calibri" w:hAnsi="Arial" w:cs="Arial"/>
              </w:rPr>
              <w:t>)</w:t>
            </w:r>
          </w:p>
          <w:p w14:paraId="6A30D6F3" w14:textId="77777777" w:rsidR="003B7634" w:rsidRPr="003B7634" w:rsidRDefault="003B7634" w:rsidP="003B7634">
            <w:pPr>
              <w:rPr>
                <w:rFonts w:ascii="Arial" w:eastAsia="Calibri" w:hAnsi="Arial" w:cs="Arial"/>
              </w:rPr>
            </w:pPr>
            <w:r w:rsidRPr="003B7634">
              <w:rPr>
                <w:rFonts w:ascii="Arial" w:eastAsia="Calibri" w:hAnsi="Arial" w:cs="Arial"/>
              </w:rPr>
              <w:t>)</w:t>
            </w:r>
          </w:p>
          <w:p w14:paraId="6EB312AC"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66E04DFD" w14:textId="77777777" w:rsidR="003B7634" w:rsidRPr="003B7634" w:rsidRDefault="003B7634" w:rsidP="003B7634">
            <w:pPr>
              <w:rPr>
                <w:rFonts w:ascii="Arial" w:eastAsia="Calibri" w:hAnsi="Arial" w:cs="Arial"/>
              </w:rPr>
            </w:pPr>
          </w:p>
          <w:p w14:paraId="461CC657" w14:textId="77777777" w:rsidR="003B7634" w:rsidRPr="003B7634" w:rsidRDefault="003B7634" w:rsidP="003B7634">
            <w:pPr>
              <w:rPr>
                <w:rFonts w:ascii="Arial" w:eastAsia="Calibri" w:hAnsi="Arial" w:cs="Arial"/>
              </w:rPr>
            </w:pPr>
            <w:r w:rsidRPr="003B7634">
              <w:rPr>
                <w:rFonts w:ascii="Arial" w:eastAsia="Calibri" w:hAnsi="Arial" w:cs="Arial"/>
              </w:rPr>
              <w:t>Case No. 16-0396-EL-ATA</w:t>
            </w:r>
          </w:p>
        </w:tc>
      </w:tr>
      <w:tr w:rsidR="003B7634" w:rsidRPr="003B7634" w14:paraId="1E3526C8" w14:textId="77777777" w:rsidTr="003B7634">
        <w:tc>
          <w:tcPr>
            <w:tcW w:w="4428" w:type="dxa"/>
          </w:tcPr>
          <w:p w14:paraId="503371A1" w14:textId="77777777" w:rsidR="003B7634" w:rsidRPr="003B7634" w:rsidRDefault="003B7634" w:rsidP="003B7634">
            <w:pPr>
              <w:rPr>
                <w:rFonts w:ascii="Arial" w:eastAsia="Calibri" w:hAnsi="Arial" w:cs="Arial"/>
              </w:rPr>
            </w:pPr>
          </w:p>
        </w:tc>
        <w:tc>
          <w:tcPr>
            <w:tcW w:w="720" w:type="dxa"/>
          </w:tcPr>
          <w:p w14:paraId="609B054D" w14:textId="77777777" w:rsidR="003B7634" w:rsidRPr="003B7634" w:rsidRDefault="003B7634" w:rsidP="003B7634">
            <w:pPr>
              <w:rPr>
                <w:rFonts w:ascii="Arial" w:eastAsia="Calibri" w:hAnsi="Arial" w:cs="Arial"/>
              </w:rPr>
            </w:pPr>
          </w:p>
        </w:tc>
        <w:tc>
          <w:tcPr>
            <w:tcW w:w="4140" w:type="dxa"/>
          </w:tcPr>
          <w:p w14:paraId="362756AE" w14:textId="77777777" w:rsidR="003B7634" w:rsidRPr="003B7634" w:rsidRDefault="003B7634" w:rsidP="003B7634">
            <w:pPr>
              <w:rPr>
                <w:rFonts w:ascii="Arial" w:eastAsia="Calibri" w:hAnsi="Arial" w:cs="Arial"/>
              </w:rPr>
            </w:pPr>
          </w:p>
        </w:tc>
      </w:tr>
      <w:tr w:rsidR="003B7634" w:rsidRPr="003B7634" w14:paraId="589878D1" w14:textId="77777777" w:rsidTr="003B7634">
        <w:tc>
          <w:tcPr>
            <w:tcW w:w="4428" w:type="dxa"/>
          </w:tcPr>
          <w:p w14:paraId="781D8AC3" w14:textId="77777777" w:rsidR="003B7634" w:rsidRPr="003B7634" w:rsidRDefault="003B7634" w:rsidP="003B7634">
            <w:pPr>
              <w:rPr>
                <w:rFonts w:ascii="Arial" w:eastAsia="Calibri" w:hAnsi="Arial" w:cs="Arial"/>
              </w:rPr>
            </w:pPr>
            <w:r w:rsidRPr="003B7634">
              <w:rPr>
                <w:rFonts w:ascii="Arial" w:eastAsia="Calibri" w:hAnsi="Arial" w:cs="Arial"/>
              </w:rPr>
              <w:t>In the Matter of the Application of The Dayton Power &amp; Light Company for Approval of Certain Accounting Authority Pursuant to Ohio Rev. Code § 4905.13.</w:t>
            </w:r>
          </w:p>
        </w:tc>
        <w:tc>
          <w:tcPr>
            <w:tcW w:w="720" w:type="dxa"/>
          </w:tcPr>
          <w:p w14:paraId="20615F51" w14:textId="77777777" w:rsidR="003B7634" w:rsidRPr="003B7634" w:rsidRDefault="003B7634" w:rsidP="003B7634">
            <w:pPr>
              <w:rPr>
                <w:rFonts w:ascii="Arial" w:eastAsia="Calibri" w:hAnsi="Arial" w:cs="Arial"/>
              </w:rPr>
            </w:pPr>
            <w:r w:rsidRPr="003B7634">
              <w:rPr>
                <w:rFonts w:ascii="Arial" w:eastAsia="Calibri" w:hAnsi="Arial" w:cs="Arial"/>
              </w:rPr>
              <w:t>)</w:t>
            </w:r>
          </w:p>
          <w:p w14:paraId="52925F4C" w14:textId="77777777" w:rsidR="003B7634" w:rsidRPr="003B7634" w:rsidRDefault="003B7634" w:rsidP="003B7634">
            <w:pPr>
              <w:rPr>
                <w:rFonts w:ascii="Arial" w:eastAsia="Calibri" w:hAnsi="Arial" w:cs="Arial"/>
              </w:rPr>
            </w:pPr>
            <w:r w:rsidRPr="003B7634">
              <w:rPr>
                <w:rFonts w:ascii="Arial" w:eastAsia="Calibri" w:hAnsi="Arial" w:cs="Arial"/>
              </w:rPr>
              <w:t>)</w:t>
            </w:r>
          </w:p>
          <w:p w14:paraId="545EBB47" w14:textId="77777777" w:rsidR="003B7634" w:rsidRPr="003B7634" w:rsidRDefault="003B7634" w:rsidP="003B7634">
            <w:pPr>
              <w:rPr>
                <w:rFonts w:ascii="Arial" w:eastAsia="Calibri" w:hAnsi="Arial" w:cs="Arial"/>
              </w:rPr>
            </w:pPr>
            <w:r w:rsidRPr="003B7634">
              <w:rPr>
                <w:rFonts w:ascii="Arial" w:eastAsia="Calibri" w:hAnsi="Arial" w:cs="Arial"/>
              </w:rPr>
              <w:t>)</w:t>
            </w:r>
          </w:p>
          <w:p w14:paraId="5143765F" w14:textId="77777777" w:rsidR="003B7634" w:rsidRPr="003B7634" w:rsidRDefault="003B7634" w:rsidP="003B7634">
            <w:pPr>
              <w:rPr>
                <w:rFonts w:ascii="Arial" w:eastAsia="Calibri" w:hAnsi="Arial" w:cs="Arial"/>
              </w:rPr>
            </w:pPr>
            <w:r w:rsidRPr="003B7634">
              <w:rPr>
                <w:rFonts w:ascii="Arial" w:eastAsia="Calibri" w:hAnsi="Arial" w:cs="Arial"/>
              </w:rPr>
              <w:t>)</w:t>
            </w:r>
          </w:p>
          <w:p w14:paraId="242103B7" w14:textId="77777777" w:rsidR="003B7634" w:rsidRPr="003B7634" w:rsidRDefault="003B7634" w:rsidP="003B7634">
            <w:pPr>
              <w:rPr>
                <w:rFonts w:ascii="Arial" w:eastAsia="Calibri" w:hAnsi="Arial" w:cs="Arial"/>
              </w:rPr>
            </w:pPr>
            <w:r w:rsidRPr="003B7634">
              <w:rPr>
                <w:rFonts w:ascii="Arial" w:eastAsia="Calibri" w:hAnsi="Arial" w:cs="Arial"/>
              </w:rPr>
              <w:t>)</w:t>
            </w:r>
          </w:p>
        </w:tc>
        <w:tc>
          <w:tcPr>
            <w:tcW w:w="4140" w:type="dxa"/>
          </w:tcPr>
          <w:p w14:paraId="219837DC" w14:textId="77777777" w:rsidR="003B7634" w:rsidRPr="003B7634" w:rsidRDefault="003B7634" w:rsidP="003B7634">
            <w:pPr>
              <w:rPr>
                <w:rFonts w:ascii="Arial" w:eastAsia="Calibri" w:hAnsi="Arial" w:cs="Arial"/>
              </w:rPr>
            </w:pPr>
          </w:p>
          <w:p w14:paraId="67A3A51F" w14:textId="77777777" w:rsidR="003B7634" w:rsidRPr="003B7634" w:rsidRDefault="003B7634" w:rsidP="003B7634">
            <w:pPr>
              <w:rPr>
                <w:rFonts w:ascii="Arial" w:eastAsia="Calibri" w:hAnsi="Arial" w:cs="Arial"/>
              </w:rPr>
            </w:pPr>
          </w:p>
          <w:p w14:paraId="0C028AEE" w14:textId="77777777" w:rsidR="003B7634" w:rsidRPr="003B7634" w:rsidRDefault="003B7634" w:rsidP="003B7634">
            <w:pPr>
              <w:rPr>
                <w:rFonts w:ascii="Arial" w:eastAsia="Calibri" w:hAnsi="Arial" w:cs="Arial"/>
              </w:rPr>
            </w:pPr>
            <w:r w:rsidRPr="003B7634">
              <w:rPr>
                <w:rFonts w:ascii="Arial" w:eastAsia="Calibri" w:hAnsi="Arial" w:cs="Arial"/>
              </w:rPr>
              <w:t>Case No. 16-0397-EL-AAM</w:t>
            </w:r>
          </w:p>
        </w:tc>
      </w:tr>
    </w:tbl>
    <w:p w14:paraId="6C5FD825" w14:textId="77777777" w:rsidR="003B7634" w:rsidRPr="003B7634" w:rsidRDefault="003B7634" w:rsidP="003B7634">
      <w:pPr>
        <w:spacing w:after="0" w:line="240" w:lineRule="auto"/>
        <w:rPr>
          <w:rFonts w:ascii="Arial" w:eastAsia="Calibri" w:hAnsi="Arial" w:cs="Arial"/>
          <w:sz w:val="24"/>
          <w:szCs w:val="24"/>
        </w:rPr>
      </w:pPr>
    </w:p>
    <w:p w14:paraId="12F8C23D" w14:textId="03CE0877" w:rsidR="003B7634" w:rsidRPr="003B7634" w:rsidRDefault="003B7634" w:rsidP="009B4993">
      <w:pPr>
        <w:spacing w:after="0" w:line="240" w:lineRule="auto"/>
        <w:rPr>
          <w:rFonts w:ascii="Arial" w:eastAsia="Calibri" w:hAnsi="Arial" w:cs="Arial"/>
          <w:b/>
          <w:i/>
          <w:sz w:val="24"/>
          <w:szCs w:val="24"/>
        </w:rPr>
      </w:pPr>
    </w:p>
    <w:p w14:paraId="5658A65C" w14:textId="77777777" w:rsidR="008B3507" w:rsidRPr="00D77B42" w:rsidRDefault="008B3507" w:rsidP="008B3507">
      <w:pPr>
        <w:spacing w:line="200" w:lineRule="exact"/>
        <w:rPr>
          <w:rFonts w:ascii="Arial" w:hAnsi="Arial" w:cs="Arial"/>
          <w:sz w:val="24"/>
          <w:szCs w:val="24"/>
        </w:rPr>
      </w:pPr>
    </w:p>
    <w:p w14:paraId="21F2F72F" w14:textId="44895130" w:rsidR="008B3507" w:rsidRDefault="008B3507" w:rsidP="008B3507">
      <w:pPr>
        <w:spacing w:line="268" w:lineRule="exact"/>
        <w:ind w:right="942"/>
        <w:rPr>
          <w:rFonts w:ascii="Arial,Times New Roman" w:eastAsia="Arial,Times New Roman" w:hAnsi="Arial,Times New Roman" w:cs="Arial,Times New Roman"/>
          <w:b/>
          <w:bCs/>
          <w:color w:val="21212A"/>
          <w:w w:val="105"/>
          <w:sz w:val="24"/>
          <w:szCs w:val="24"/>
        </w:rPr>
      </w:pPr>
      <w:r w:rsidRPr="00D77B42">
        <w:rPr>
          <w:rFonts w:ascii="Arial" w:hAnsi="Arial" w:cs="Arial"/>
          <w:b/>
          <w:noProof/>
          <w:sz w:val="24"/>
          <w:szCs w:val="24"/>
        </w:rPr>
        <mc:AlternateContent>
          <mc:Choice Requires="wpg">
            <w:drawing>
              <wp:anchor distT="0" distB="0" distL="114300" distR="114300" simplePos="0" relativeHeight="251658240" behindDoc="1" locked="0" layoutInCell="1" allowOverlap="1" wp14:anchorId="0DBE284D" wp14:editId="531CBACF">
                <wp:simplePos x="0" y="0"/>
                <wp:positionH relativeFrom="page">
                  <wp:posOffset>1121410</wp:posOffset>
                </wp:positionH>
                <wp:positionV relativeFrom="paragraph">
                  <wp:posOffset>-193040</wp:posOffset>
                </wp:positionV>
                <wp:extent cx="5528945" cy="1270"/>
                <wp:effectExtent l="16510" t="16510" r="17145" b="2032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304"/>
                          <a:chExt cx="8707" cy="2"/>
                        </a:xfrm>
                      </wpg:grpSpPr>
                      <wps:wsp>
                        <wps:cNvPr id="3" name="Freeform 37"/>
                        <wps:cNvSpPr>
                          <a:spLocks/>
                        </wps:cNvSpPr>
                        <wps:spPr bwMode="auto">
                          <a:xfrm>
                            <a:off x="1766" y="-304"/>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4A418" id="Group 36" o:spid="_x0000_s1026" style="position:absolute;margin-left:88.3pt;margin-top:-15.2pt;width:435.35pt;height:.1pt;z-index:-251658240;mso-position-horizontal-relative:page" coordorigin="1766,-304"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">
                <v:shape id="Freeform 37" o:spid="_x0000_s1027" style="position:absolute;left:1766;top:-304;width:8707;height:2;visibility:visible;mso-wrap-style:square;v-text-anchor:top" coordsize="8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" path="m,l8708,e" filled="f" strokeweight="1.92pt">
                  <v:path arrowok="t" o:connecttype="custom" o:connectlocs="0,0;8708,0" o:connectangles="0,0"/>
                </v:shape>
                <w10:wrap anchorx="page"/>
              </v:group>
            </w:pict>
          </mc:Fallback>
        </mc:AlternateContent>
      </w:r>
      <w:r>
        <w:rPr>
          <w:rFonts w:ascii="Arial" w:eastAsia="Arial" w:hAnsi="Arial" w:cs="Arial"/>
          <w:b/>
          <w:bCs/>
          <w:color w:val="21212A"/>
          <w:w w:val="105"/>
          <w:sz w:val="24"/>
          <w:szCs w:val="24"/>
        </w:rPr>
        <w:t xml:space="preserve">       MEMORANDUM IN SUPPORT</w:t>
      </w:r>
      <w:r w:rsidRPr="00085080">
        <w:rPr>
          <w:rFonts w:ascii="Arial" w:eastAsia="Arial" w:hAnsi="Arial" w:cs="Arial"/>
          <w:b/>
          <w:bCs/>
          <w:color w:val="21212A"/>
          <w:w w:val="105"/>
          <w:sz w:val="24"/>
          <w:szCs w:val="24"/>
        </w:rPr>
        <w:t xml:space="preserve"> OF INTERSTATE GAS SUPPLY, INC</w:t>
      </w:r>
      <w:r w:rsidRPr="00D77B42">
        <w:rPr>
          <w:rFonts w:ascii="Arial" w:hAnsi="Arial" w:cs="Arial"/>
          <w:b/>
          <w:noProof/>
          <w:sz w:val="24"/>
          <w:szCs w:val="24"/>
        </w:rPr>
        <mc:AlternateContent>
          <mc:Choice Requires="wpg">
            <w:drawing>
              <wp:anchor distT="0" distB="0" distL="114300" distR="114300" simplePos="0" relativeHeight="251658241" behindDoc="1" locked="0" layoutInCell="1" allowOverlap="1" wp14:anchorId="103770D1" wp14:editId="0D2E6FFB">
                <wp:simplePos x="0" y="0"/>
                <wp:positionH relativeFrom="page">
                  <wp:posOffset>1121410</wp:posOffset>
                </wp:positionH>
                <wp:positionV relativeFrom="paragraph">
                  <wp:posOffset>374650</wp:posOffset>
                </wp:positionV>
                <wp:extent cx="5528945" cy="1270"/>
                <wp:effectExtent l="16510" t="12700" r="17145" b="14605"/>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590"/>
                          <a:chExt cx="8707" cy="2"/>
                        </a:xfrm>
                      </wpg:grpSpPr>
                      <wps:wsp>
                        <wps:cNvPr id="5" name="Freeform 35"/>
                        <wps:cNvSpPr>
                          <a:spLocks/>
                        </wps:cNvSpPr>
                        <wps:spPr bwMode="auto">
                          <a:xfrm>
                            <a:off x="1766" y="590"/>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4DD29" id="Group 34" o:spid="_x0000_s1026" style="position:absolute;margin-left:88.3pt;margin-top:29.5pt;width:435.35pt;height:.1pt;z-index:-251658239;mso-position-horizontal-relative:page" coordorigin="1766,590"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fnXQMAAOQ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">
                <v:shape id="Freeform 35" o:spid="_x0000_s1027" style="position:absolute;left:1766;top:590;width:8707;height:2;visibility:visible;mso-wrap-style:square;v-text-anchor:top" coordsize="8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" path="m,l8708,e" filled="f" strokeweight="1.92pt">
                  <v:path arrowok="t" o:connecttype="custom" o:connectlocs="0,0;8708,0" o:connectangles="0,0"/>
                </v:shape>
                <w10:wrap anchorx="page"/>
              </v:group>
            </w:pict>
          </mc:Fallback>
        </mc:AlternateContent>
      </w:r>
      <w:r w:rsidRPr="00085080">
        <w:rPr>
          <w:rFonts w:ascii="Arial,Times New Roman" w:eastAsia="Arial,Times New Roman" w:hAnsi="Arial,Times New Roman" w:cs="Arial,Times New Roman"/>
          <w:b/>
          <w:bCs/>
          <w:color w:val="21212A"/>
          <w:w w:val="105"/>
          <w:sz w:val="24"/>
          <w:szCs w:val="24"/>
        </w:rPr>
        <w:t>.</w:t>
      </w:r>
    </w:p>
    <w:p w14:paraId="57409147" w14:textId="50F8DAE0" w:rsidR="00E23B52" w:rsidRPr="0064316A" w:rsidRDefault="00E23B52" w:rsidP="00FE32BA">
      <w:pPr>
        <w:spacing w:after="120" w:line="480" w:lineRule="auto"/>
        <w:jc w:val="both"/>
        <w:rPr>
          <w:rFonts w:ascii="Arial" w:eastAsia="Arial" w:hAnsi="Arial" w:cs="Arial"/>
          <w:b/>
          <w:bCs/>
          <w:sz w:val="24"/>
          <w:szCs w:val="24"/>
        </w:rPr>
      </w:pPr>
    </w:p>
    <w:p w14:paraId="07B38E67" w14:textId="4D9070C6" w:rsidR="0064316A" w:rsidRPr="00792CF4" w:rsidRDefault="0064316A" w:rsidP="00792CF4">
      <w:pPr>
        <w:pStyle w:val="Heading1"/>
      </w:pPr>
      <w:bookmarkStart w:id="2" w:name="_Toc28008924"/>
      <w:r w:rsidRPr="00792CF4">
        <w:t>INTRODUCTION</w:t>
      </w:r>
      <w:bookmarkEnd w:id="2"/>
      <w:r w:rsidR="00E23B52" w:rsidRPr="00792CF4">
        <w:tab/>
      </w:r>
    </w:p>
    <w:p w14:paraId="1CF0FD9C" w14:textId="5223BF28" w:rsidR="005E07E9" w:rsidRDefault="00E23B52" w:rsidP="003E605C">
      <w:pPr>
        <w:spacing w:after="120" w:line="480" w:lineRule="auto"/>
        <w:ind w:firstLine="720"/>
        <w:jc w:val="both"/>
        <w:rPr>
          <w:rFonts w:ascii="Arial" w:eastAsia="Arial" w:hAnsi="Arial" w:cs="Arial"/>
          <w:bCs/>
          <w:sz w:val="24"/>
          <w:szCs w:val="24"/>
        </w:rPr>
      </w:pPr>
      <w:r w:rsidRPr="004C4156">
        <w:rPr>
          <w:rFonts w:ascii="Arial" w:eastAsia="Arial" w:hAnsi="Arial" w:cs="Arial"/>
          <w:bCs/>
          <w:sz w:val="24"/>
          <w:szCs w:val="24"/>
        </w:rPr>
        <w:t xml:space="preserve">On November 21, 2019, the Commission issued a Supplemental Opinion and Order (“Supplemental Order”) modifying and approving </w:t>
      </w:r>
      <w:r w:rsidR="00B72B03">
        <w:rPr>
          <w:rFonts w:ascii="Arial" w:eastAsia="Arial" w:hAnsi="Arial" w:cs="Arial"/>
          <w:bCs/>
          <w:sz w:val="24"/>
          <w:szCs w:val="24"/>
        </w:rPr>
        <w:t>the</w:t>
      </w:r>
      <w:r w:rsidR="00B72B03" w:rsidRPr="004C4156">
        <w:rPr>
          <w:rFonts w:ascii="Arial" w:eastAsia="Arial" w:hAnsi="Arial" w:cs="Arial"/>
          <w:bCs/>
          <w:sz w:val="24"/>
          <w:szCs w:val="24"/>
        </w:rPr>
        <w:t xml:space="preserve"> </w:t>
      </w:r>
      <w:r w:rsidR="00AF3E28">
        <w:rPr>
          <w:rFonts w:ascii="Arial" w:eastAsia="Arial" w:hAnsi="Arial" w:cs="Arial"/>
          <w:bCs/>
          <w:sz w:val="24"/>
          <w:szCs w:val="24"/>
        </w:rPr>
        <w:t>Amended S</w:t>
      </w:r>
      <w:r w:rsidRPr="004C4156">
        <w:rPr>
          <w:rFonts w:ascii="Arial" w:eastAsia="Arial" w:hAnsi="Arial" w:cs="Arial"/>
          <w:bCs/>
          <w:sz w:val="24"/>
          <w:szCs w:val="24"/>
        </w:rPr>
        <w:t xml:space="preserve">tipulation and </w:t>
      </w:r>
      <w:r w:rsidR="00AF3E28">
        <w:rPr>
          <w:rFonts w:ascii="Arial" w:eastAsia="Arial" w:hAnsi="Arial" w:cs="Arial"/>
          <w:bCs/>
          <w:sz w:val="24"/>
          <w:szCs w:val="24"/>
        </w:rPr>
        <w:t>R</w:t>
      </w:r>
      <w:r w:rsidRPr="004C4156">
        <w:rPr>
          <w:rFonts w:ascii="Arial" w:eastAsia="Arial" w:hAnsi="Arial" w:cs="Arial"/>
          <w:bCs/>
          <w:sz w:val="24"/>
          <w:szCs w:val="24"/>
        </w:rPr>
        <w:t>ecommendatio</w:t>
      </w:r>
      <w:r w:rsidR="00B85C77" w:rsidRPr="004C4156">
        <w:rPr>
          <w:rFonts w:ascii="Arial" w:eastAsia="Arial" w:hAnsi="Arial" w:cs="Arial"/>
          <w:bCs/>
          <w:sz w:val="24"/>
          <w:szCs w:val="24"/>
        </w:rPr>
        <w:t>n</w:t>
      </w:r>
      <w:r w:rsidR="00DA2674">
        <w:rPr>
          <w:rFonts w:ascii="Arial" w:eastAsia="Arial" w:hAnsi="Arial" w:cs="Arial"/>
          <w:bCs/>
          <w:sz w:val="24"/>
          <w:szCs w:val="24"/>
        </w:rPr>
        <w:t xml:space="preserve"> </w:t>
      </w:r>
      <w:r w:rsidR="00AF3E28">
        <w:rPr>
          <w:rFonts w:ascii="Arial" w:eastAsia="Arial" w:hAnsi="Arial" w:cs="Arial"/>
          <w:bCs/>
          <w:sz w:val="24"/>
          <w:szCs w:val="24"/>
        </w:rPr>
        <w:t xml:space="preserve">(“Stipulation”) </w:t>
      </w:r>
      <w:r w:rsidR="00F67982">
        <w:rPr>
          <w:rFonts w:ascii="Arial" w:eastAsia="Arial" w:hAnsi="Arial" w:cs="Arial"/>
          <w:bCs/>
          <w:sz w:val="24"/>
          <w:szCs w:val="24"/>
        </w:rPr>
        <w:t xml:space="preserve">filed </w:t>
      </w:r>
      <w:r w:rsidR="00DA2674">
        <w:rPr>
          <w:rFonts w:ascii="Arial" w:eastAsia="Arial" w:hAnsi="Arial" w:cs="Arial"/>
          <w:bCs/>
          <w:sz w:val="24"/>
          <w:szCs w:val="24"/>
        </w:rPr>
        <w:t>in the above-captioned proceeding</w:t>
      </w:r>
      <w:r w:rsidR="00B85C77" w:rsidRPr="004C4156">
        <w:rPr>
          <w:rFonts w:ascii="Arial" w:eastAsia="Arial" w:hAnsi="Arial" w:cs="Arial"/>
          <w:bCs/>
          <w:sz w:val="24"/>
          <w:szCs w:val="24"/>
        </w:rPr>
        <w:t>.</w:t>
      </w:r>
      <w:r w:rsidR="003E605C">
        <w:rPr>
          <w:rFonts w:ascii="Arial" w:eastAsia="Arial" w:hAnsi="Arial" w:cs="Arial"/>
          <w:bCs/>
          <w:sz w:val="24"/>
          <w:szCs w:val="24"/>
        </w:rPr>
        <w:t xml:space="preserve">  </w:t>
      </w:r>
      <w:r w:rsidR="00B85C77" w:rsidRPr="004C4156">
        <w:rPr>
          <w:rFonts w:ascii="Arial" w:eastAsia="Arial" w:hAnsi="Arial" w:cs="Arial"/>
          <w:bCs/>
          <w:sz w:val="24"/>
          <w:szCs w:val="24"/>
        </w:rPr>
        <w:t>I</w:t>
      </w:r>
      <w:r w:rsidR="009B4993" w:rsidRPr="004C4156">
        <w:rPr>
          <w:rFonts w:ascii="Arial" w:eastAsia="Arial" w:hAnsi="Arial" w:cs="Arial"/>
          <w:bCs/>
          <w:sz w:val="24"/>
          <w:szCs w:val="24"/>
        </w:rPr>
        <w:t>nterstate Gas Supply, Inc. (“I</w:t>
      </w:r>
      <w:r w:rsidR="00B85C77" w:rsidRPr="004C4156">
        <w:rPr>
          <w:rFonts w:ascii="Arial" w:eastAsia="Arial" w:hAnsi="Arial" w:cs="Arial"/>
          <w:bCs/>
          <w:sz w:val="24"/>
          <w:szCs w:val="24"/>
        </w:rPr>
        <w:t>GS</w:t>
      </w:r>
      <w:r w:rsidR="009B4993" w:rsidRPr="004C4156">
        <w:rPr>
          <w:rFonts w:ascii="Arial" w:eastAsia="Arial" w:hAnsi="Arial" w:cs="Arial"/>
          <w:bCs/>
          <w:sz w:val="24"/>
          <w:szCs w:val="24"/>
        </w:rPr>
        <w:t>”)</w:t>
      </w:r>
      <w:r w:rsidR="00B85C77" w:rsidRPr="004C4156">
        <w:rPr>
          <w:rFonts w:ascii="Arial" w:eastAsia="Arial" w:hAnsi="Arial" w:cs="Arial"/>
          <w:bCs/>
          <w:sz w:val="24"/>
          <w:szCs w:val="24"/>
        </w:rPr>
        <w:t xml:space="preserve"> commends the Commission for</w:t>
      </w:r>
      <w:r w:rsidRPr="004C4156">
        <w:rPr>
          <w:rFonts w:ascii="Arial" w:eastAsia="Arial" w:hAnsi="Arial" w:cs="Arial"/>
          <w:bCs/>
          <w:sz w:val="24"/>
          <w:szCs w:val="24"/>
        </w:rPr>
        <w:t xml:space="preserve"> eliminat</w:t>
      </w:r>
      <w:r w:rsidR="00B85C77" w:rsidRPr="004C4156">
        <w:rPr>
          <w:rFonts w:ascii="Arial" w:eastAsia="Arial" w:hAnsi="Arial" w:cs="Arial"/>
          <w:bCs/>
          <w:sz w:val="24"/>
          <w:szCs w:val="24"/>
        </w:rPr>
        <w:t>ing</w:t>
      </w:r>
      <w:r w:rsidRPr="004C4156">
        <w:rPr>
          <w:rFonts w:ascii="Arial" w:eastAsia="Arial" w:hAnsi="Arial" w:cs="Arial"/>
          <w:bCs/>
          <w:sz w:val="24"/>
          <w:szCs w:val="24"/>
        </w:rPr>
        <w:t xml:space="preserve"> the inaptly named Distribution Modernization Rider (“DMR”)</w:t>
      </w:r>
      <w:r w:rsidR="009B4993" w:rsidRPr="004C4156">
        <w:rPr>
          <w:rFonts w:ascii="Arial" w:eastAsia="Arial" w:hAnsi="Arial" w:cs="Arial"/>
          <w:bCs/>
          <w:sz w:val="24"/>
          <w:szCs w:val="24"/>
        </w:rPr>
        <w:t>.</w:t>
      </w:r>
      <w:r w:rsidR="005E07E9">
        <w:rPr>
          <w:rFonts w:ascii="Arial" w:eastAsia="Arial" w:hAnsi="Arial" w:cs="Arial"/>
          <w:bCs/>
          <w:sz w:val="24"/>
          <w:szCs w:val="24"/>
        </w:rPr>
        <w:t xml:space="preserve">  Following the </w:t>
      </w:r>
      <w:r w:rsidR="00491D19">
        <w:rPr>
          <w:rFonts w:ascii="Arial" w:eastAsia="Arial" w:hAnsi="Arial" w:cs="Arial"/>
          <w:bCs/>
          <w:sz w:val="24"/>
          <w:szCs w:val="24"/>
        </w:rPr>
        <w:t>elimination</w:t>
      </w:r>
      <w:r w:rsidR="008E449F">
        <w:rPr>
          <w:rFonts w:ascii="Arial" w:eastAsia="Arial" w:hAnsi="Arial" w:cs="Arial"/>
          <w:bCs/>
          <w:sz w:val="24"/>
          <w:szCs w:val="24"/>
        </w:rPr>
        <w:t xml:space="preserve"> of the DMR</w:t>
      </w:r>
      <w:r w:rsidR="006B586E">
        <w:rPr>
          <w:rFonts w:ascii="Arial" w:eastAsia="Arial" w:hAnsi="Arial" w:cs="Arial"/>
          <w:bCs/>
          <w:sz w:val="24"/>
          <w:szCs w:val="24"/>
        </w:rPr>
        <w:t>,</w:t>
      </w:r>
      <w:r w:rsidR="005D18B6">
        <w:rPr>
          <w:rFonts w:ascii="Arial" w:eastAsia="Arial" w:hAnsi="Arial" w:cs="Arial"/>
          <w:bCs/>
          <w:sz w:val="24"/>
          <w:szCs w:val="24"/>
        </w:rPr>
        <w:t xml:space="preserve"> however,</w:t>
      </w:r>
      <w:r w:rsidR="006B586E">
        <w:rPr>
          <w:rFonts w:ascii="Arial" w:eastAsia="Arial" w:hAnsi="Arial" w:cs="Arial"/>
          <w:bCs/>
          <w:sz w:val="24"/>
          <w:szCs w:val="24"/>
        </w:rPr>
        <w:t xml:space="preserve"> </w:t>
      </w:r>
      <w:r w:rsidR="00500C09">
        <w:rPr>
          <w:rFonts w:ascii="Arial" w:eastAsia="Arial" w:hAnsi="Arial" w:cs="Arial"/>
          <w:bCs/>
          <w:sz w:val="24"/>
          <w:szCs w:val="24"/>
        </w:rPr>
        <w:t xml:space="preserve">The </w:t>
      </w:r>
      <w:r w:rsidR="00E766FC">
        <w:rPr>
          <w:rFonts w:ascii="Arial" w:eastAsia="Arial" w:hAnsi="Arial" w:cs="Arial"/>
          <w:bCs/>
          <w:sz w:val="24"/>
          <w:szCs w:val="24"/>
        </w:rPr>
        <w:t xml:space="preserve">Dayton Power </w:t>
      </w:r>
      <w:r w:rsidR="004D3F6B">
        <w:rPr>
          <w:rFonts w:ascii="Arial" w:eastAsia="Arial" w:hAnsi="Arial" w:cs="Arial"/>
          <w:bCs/>
          <w:sz w:val="24"/>
          <w:szCs w:val="24"/>
        </w:rPr>
        <w:t>and Light (“</w:t>
      </w:r>
      <w:r w:rsidR="005E07E9">
        <w:rPr>
          <w:rFonts w:ascii="Arial" w:eastAsia="Arial" w:hAnsi="Arial" w:cs="Arial"/>
          <w:bCs/>
          <w:sz w:val="24"/>
          <w:szCs w:val="24"/>
        </w:rPr>
        <w:t>DP&amp;L</w:t>
      </w:r>
      <w:r w:rsidR="004D3F6B">
        <w:rPr>
          <w:rFonts w:ascii="Arial" w:eastAsia="Arial" w:hAnsi="Arial" w:cs="Arial"/>
          <w:bCs/>
          <w:sz w:val="24"/>
          <w:szCs w:val="24"/>
        </w:rPr>
        <w:t>”)</w:t>
      </w:r>
      <w:r w:rsidR="005E07E9">
        <w:rPr>
          <w:rFonts w:ascii="Arial" w:eastAsia="Arial" w:hAnsi="Arial" w:cs="Arial"/>
          <w:bCs/>
          <w:sz w:val="24"/>
          <w:szCs w:val="24"/>
        </w:rPr>
        <w:t xml:space="preserve"> filed a notice of withdrawal</w:t>
      </w:r>
      <w:r w:rsidR="0017440E">
        <w:rPr>
          <w:rFonts w:ascii="Arial" w:eastAsia="Arial" w:hAnsi="Arial" w:cs="Arial"/>
          <w:bCs/>
          <w:sz w:val="24"/>
          <w:szCs w:val="24"/>
        </w:rPr>
        <w:t xml:space="preserve"> of its </w:t>
      </w:r>
      <w:r w:rsidR="00C202F3">
        <w:rPr>
          <w:rFonts w:ascii="Arial" w:eastAsia="Arial" w:hAnsi="Arial" w:cs="Arial"/>
          <w:bCs/>
          <w:sz w:val="24"/>
          <w:szCs w:val="24"/>
        </w:rPr>
        <w:t xml:space="preserve">Electric Security Plan </w:t>
      </w:r>
      <w:r w:rsidR="00457B70">
        <w:rPr>
          <w:rFonts w:ascii="Arial" w:eastAsia="Arial" w:hAnsi="Arial" w:cs="Arial"/>
          <w:bCs/>
          <w:sz w:val="24"/>
          <w:szCs w:val="24"/>
        </w:rPr>
        <w:t>(“</w:t>
      </w:r>
      <w:r w:rsidR="0017440E">
        <w:rPr>
          <w:rFonts w:ascii="Arial" w:eastAsia="Arial" w:hAnsi="Arial" w:cs="Arial"/>
          <w:bCs/>
          <w:sz w:val="24"/>
          <w:szCs w:val="24"/>
        </w:rPr>
        <w:t>ESP</w:t>
      </w:r>
      <w:r w:rsidR="00457B70">
        <w:rPr>
          <w:rFonts w:ascii="Arial" w:eastAsia="Arial" w:hAnsi="Arial" w:cs="Arial"/>
          <w:bCs/>
          <w:sz w:val="24"/>
          <w:szCs w:val="24"/>
        </w:rPr>
        <w:t>”)</w:t>
      </w:r>
      <w:r w:rsidR="0017440E">
        <w:rPr>
          <w:rFonts w:ascii="Arial" w:eastAsia="Arial" w:hAnsi="Arial" w:cs="Arial"/>
          <w:bCs/>
          <w:sz w:val="24"/>
          <w:szCs w:val="24"/>
        </w:rPr>
        <w:t xml:space="preserve"> application.  </w:t>
      </w:r>
      <w:r w:rsidR="001A0146">
        <w:rPr>
          <w:rFonts w:ascii="Arial" w:eastAsia="Arial" w:hAnsi="Arial" w:cs="Arial"/>
          <w:bCs/>
          <w:sz w:val="24"/>
          <w:szCs w:val="24"/>
        </w:rPr>
        <w:t>The notice was granted on December 18, 2019.</w:t>
      </w:r>
    </w:p>
    <w:p w14:paraId="3A47BF6A" w14:textId="35D52384" w:rsidR="005E07E9" w:rsidRDefault="001A0146" w:rsidP="00093973">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IGS recognizes that DP&amp;L’s withdrawal presents some uncertainty with respect to the </w:t>
      </w:r>
      <w:r w:rsidR="00CA3A9B">
        <w:rPr>
          <w:rFonts w:ascii="Arial" w:eastAsia="Arial" w:hAnsi="Arial" w:cs="Arial"/>
          <w:bCs/>
          <w:sz w:val="24"/>
          <w:szCs w:val="24"/>
        </w:rPr>
        <w:t>status of matters decided in this docket. Therefore, as a precautionary matter</w:t>
      </w:r>
      <w:r w:rsidR="005E07E9">
        <w:rPr>
          <w:rFonts w:ascii="Arial" w:eastAsia="Arial" w:hAnsi="Arial" w:cs="Arial"/>
          <w:bCs/>
          <w:sz w:val="24"/>
          <w:szCs w:val="24"/>
        </w:rPr>
        <w:t xml:space="preserve">, IGS </w:t>
      </w:r>
      <w:r w:rsidR="005E07E9">
        <w:rPr>
          <w:rFonts w:ascii="Arial" w:eastAsia="Arial" w:hAnsi="Arial" w:cs="Arial"/>
          <w:bCs/>
          <w:sz w:val="24"/>
          <w:szCs w:val="24"/>
        </w:rPr>
        <w:lastRenderedPageBreak/>
        <w:t>respectfully asserts that the Supplemental Order erred in several respects</w:t>
      </w:r>
      <w:r w:rsidR="00CA3A9B">
        <w:rPr>
          <w:rFonts w:ascii="Arial" w:eastAsia="Arial" w:hAnsi="Arial" w:cs="Arial"/>
          <w:bCs/>
          <w:sz w:val="24"/>
          <w:szCs w:val="24"/>
        </w:rPr>
        <w:t xml:space="preserve"> that the Commission should either clarify or </w:t>
      </w:r>
      <w:r w:rsidR="00093973">
        <w:rPr>
          <w:rFonts w:ascii="Arial" w:eastAsia="Arial" w:hAnsi="Arial" w:cs="Arial"/>
          <w:bCs/>
          <w:sz w:val="24"/>
          <w:szCs w:val="24"/>
        </w:rPr>
        <w:t>correct on rehearing.</w:t>
      </w:r>
      <w:r w:rsidR="005E07E9">
        <w:rPr>
          <w:rFonts w:ascii="Arial" w:eastAsia="Arial" w:hAnsi="Arial" w:cs="Arial"/>
          <w:bCs/>
          <w:sz w:val="24"/>
          <w:szCs w:val="24"/>
        </w:rPr>
        <w:t xml:space="preserve">  </w:t>
      </w:r>
    </w:p>
    <w:p w14:paraId="390F7E04" w14:textId="7AC776FD" w:rsidR="00B85C77" w:rsidRPr="004C4156" w:rsidRDefault="00D06E00" w:rsidP="003E605C">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While th</w:t>
      </w:r>
      <w:r w:rsidR="00093973">
        <w:rPr>
          <w:rFonts w:ascii="Arial" w:eastAsia="Arial" w:hAnsi="Arial" w:cs="Arial"/>
          <w:bCs/>
          <w:sz w:val="24"/>
          <w:szCs w:val="24"/>
        </w:rPr>
        <w:t xml:space="preserve">e Supplemental Order represents a step in the right direction for the customers of DP&amp;L, it </w:t>
      </w:r>
      <w:r w:rsidR="00B85C77" w:rsidRPr="004C4156">
        <w:rPr>
          <w:rFonts w:ascii="Arial" w:eastAsia="Arial" w:hAnsi="Arial" w:cs="Arial"/>
          <w:bCs/>
          <w:sz w:val="24"/>
          <w:szCs w:val="24"/>
        </w:rPr>
        <w:t>missed</w:t>
      </w:r>
      <w:r w:rsidR="009B4993" w:rsidRPr="004C4156">
        <w:rPr>
          <w:rFonts w:ascii="Arial" w:eastAsia="Arial" w:hAnsi="Arial" w:cs="Arial"/>
          <w:bCs/>
          <w:sz w:val="24"/>
          <w:szCs w:val="24"/>
        </w:rPr>
        <w:t xml:space="preserve"> an important</w:t>
      </w:r>
      <w:r w:rsidR="00B85C77" w:rsidRPr="004C4156">
        <w:rPr>
          <w:rFonts w:ascii="Arial" w:eastAsia="Arial" w:hAnsi="Arial" w:cs="Arial"/>
          <w:bCs/>
          <w:sz w:val="24"/>
          <w:szCs w:val="24"/>
        </w:rPr>
        <w:t xml:space="preserve"> opportunity to level the playing field between default service</w:t>
      </w:r>
      <w:r w:rsidR="009B4993" w:rsidRPr="004C4156">
        <w:rPr>
          <w:rFonts w:ascii="Arial" w:eastAsia="Arial" w:hAnsi="Arial" w:cs="Arial"/>
          <w:bCs/>
          <w:sz w:val="24"/>
          <w:szCs w:val="24"/>
        </w:rPr>
        <w:t xml:space="preserve"> and </w:t>
      </w:r>
      <w:r w:rsidR="00252AD8">
        <w:rPr>
          <w:rFonts w:ascii="Arial" w:eastAsia="Arial" w:hAnsi="Arial" w:cs="Arial"/>
          <w:bCs/>
          <w:sz w:val="24"/>
          <w:szCs w:val="24"/>
        </w:rPr>
        <w:t>the retail market</w:t>
      </w:r>
      <w:r w:rsidR="00B85C77" w:rsidRPr="004C4156">
        <w:rPr>
          <w:rFonts w:ascii="Arial" w:eastAsia="Arial" w:hAnsi="Arial" w:cs="Arial"/>
          <w:bCs/>
          <w:sz w:val="24"/>
          <w:szCs w:val="24"/>
        </w:rPr>
        <w:t xml:space="preserve">.  </w:t>
      </w:r>
      <w:r w:rsidR="009B4993" w:rsidRPr="004C4156">
        <w:rPr>
          <w:rFonts w:ascii="Arial" w:eastAsia="Arial" w:hAnsi="Arial" w:cs="Arial"/>
          <w:bCs/>
          <w:sz w:val="24"/>
          <w:szCs w:val="24"/>
        </w:rPr>
        <w:t>Specifically, the Supplemental Order:</w:t>
      </w:r>
    </w:p>
    <w:p w14:paraId="6B89A445" w14:textId="2B1657C2" w:rsidR="008D5E8C" w:rsidRPr="004C4156" w:rsidRDefault="009B4993" w:rsidP="008D5E8C">
      <w:pPr>
        <w:pStyle w:val="ListParagraph"/>
        <w:numPr>
          <w:ilvl w:val="0"/>
          <w:numId w:val="25"/>
        </w:numPr>
        <w:spacing w:after="120" w:line="480" w:lineRule="auto"/>
        <w:jc w:val="both"/>
        <w:rPr>
          <w:rFonts w:ascii="Arial" w:eastAsia="Arial" w:hAnsi="Arial" w:cs="Arial"/>
          <w:bCs/>
          <w:sz w:val="24"/>
          <w:szCs w:val="24"/>
        </w:rPr>
      </w:pPr>
      <w:r w:rsidRPr="004C4156">
        <w:rPr>
          <w:rFonts w:ascii="Arial" w:eastAsia="Arial" w:hAnsi="Arial" w:cs="Arial"/>
          <w:bCs/>
          <w:sz w:val="24"/>
          <w:szCs w:val="24"/>
        </w:rPr>
        <w:t xml:space="preserve">Authorized </w:t>
      </w:r>
      <w:r w:rsidR="008D5E8C" w:rsidRPr="004C4156">
        <w:rPr>
          <w:rFonts w:ascii="Arial" w:eastAsia="Arial" w:hAnsi="Arial" w:cs="Arial"/>
          <w:bCs/>
          <w:sz w:val="24"/>
          <w:szCs w:val="24"/>
        </w:rPr>
        <w:t>DP&amp;L’s unsubstantiated modifications to the Supplier Tarif</w:t>
      </w:r>
      <w:r w:rsidR="00252AD8">
        <w:rPr>
          <w:rFonts w:ascii="Arial" w:eastAsia="Arial" w:hAnsi="Arial" w:cs="Arial"/>
          <w:bCs/>
          <w:sz w:val="24"/>
          <w:szCs w:val="24"/>
        </w:rPr>
        <w:t>f with</w:t>
      </w:r>
      <w:r w:rsidR="008D5E8C" w:rsidRPr="004C4156">
        <w:rPr>
          <w:rFonts w:ascii="Arial" w:eastAsia="Arial" w:hAnsi="Arial" w:cs="Arial"/>
          <w:bCs/>
          <w:sz w:val="24"/>
          <w:szCs w:val="24"/>
        </w:rPr>
        <w:t xml:space="preserve"> respect to collateral</w:t>
      </w:r>
      <w:r w:rsidR="00252AD8">
        <w:rPr>
          <w:rFonts w:ascii="Arial" w:eastAsia="Arial" w:hAnsi="Arial" w:cs="Arial"/>
          <w:bCs/>
          <w:sz w:val="24"/>
          <w:szCs w:val="24"/>
        </w:rPr>
        <w:t xml:space="preserve"> that CRES providers must post with DP&amp;L;</w:t>
      </w:r>
    </w:p>
    <w:p w14:paraId="4ABECDE5" w14:textId="48AB2AAF" w:rsidR="008D5E8C" w:rsidRPr="004C4156" w:rsidRDefault="009B4993" w:rsidP="008D5E8C">
      <w:pPr>
        <w:pStyle w:val="ListParagraph"/>
        <w:numPr>
          <w:ilvl w:val="0"/>
          <w:numId w:val="25"/>
        </w:numPr>
        <w:spacing w:after="120" w:line="480" w:lineRule="auto"/>
        <w:jc w:val="both"/>
        <w:rPr>
          <w:rFonts w:ascii="Arial" w:eastAsia="Arial" w:hAnsi="Arial" w:cs="Arial"/>
          <w:bCs/>
          <w:sz w:val="24"/>
          <w:szCs w:val="24"/>
        </w:rPr>
      </w:pPr>
      <w:r w:rsidRPr="004C4156">
        <w:rPr>
          <w:rFonts w:ascii="Arial" w:eastAsia="Arial" w:hAnsi="Arial" w:cs="Arial"/>
          <w:bCs/>
          <w:sz w:val="24"/>
          <w:szCs w:val="24"/>
        </w:rPr>
        <w:t>Rejected IGS’ suggestion to r</w:t>
      </w:r>
      <w:r w:rsidR="008D5E8C" w:rsidRPr="004C4156">
        <w:rPr>
          <w:rFonts w:ascii="Arial" w:eastAsia="Arial" w:hAnsi="Arial" w:cs="Arial"/>
          <w:bCs/>
          <w:sz w:val="24"/>
          <w:szCs w:val="24"/>
        </w:rPr>
        <w:t>educe or at least equally apply switching fees between shopping and SSO customers</w:t>
      </w:r>
      <w:r w:rsidR="000D38F8">
        <w:rPr>
          <w:rFonts w:ascii="Arial" w:eastAsia="Arial" w:hAnsi="Arial" w:cs="Arial"/>
          <w:bCs/>
          <w:sz w:val="24"/>
          <w:szCs w:val="24"/>
        </w:rPr>
        <w:t>;</w:t>
      </w:r>
    </w:p>
    <w:p w14:paraId="4B75F4F6" w14:textId="095B6AA2" w:rsidR="00E23B52" w:rsidRPr="004C4156" w:rsidRDefault="009B4993" w:rsidP="00FE32BA">
      <w:pPr>
        <w:pStyle w:val="ListParagraph"/>
        <w:numPr>
          <w:ilvl w:val="0"/>
          <w:numId w:val="25"/>
        </w:numPr>
        <w:spacing w:after="120" w:line="480" w:lineRule="auto"/>
        <w:jc w:val="both"/>
        <w:rPr>
          <w:rFonts w:ascii="Arial" w:eastAsia="Arial" w:hAnsi="Arial" w:cs="Arial"/>
          <w:bCs/>
          <w:sz w:val="24"/>
          <w:szCs w:val="24"/>
        </w:rPr>
      </w:pPr>
      <w:r w:rsidRPr="004C4156">
        <w:rPr>
          <w:rFonts w:ascii="Arial" w:eastAsia="Arial" w:hAnsi="Arial" w:cs="Arial"/>
          <w:bCs/>
          <w:sz w:val="24"/>
          <w:szCs w:val="24"/>
        </w:rPr>
        <w:t>Rejected IGS’ suggestion to r</w:t>
      </w:r>
      <w:r w:rsidR="008D5E8C" w:rsidRPr="004C4156">
        <w:rPr>
          <w:rFonts w:ascii="Arial" w:eastAsia="Arial" w:hAnsi="Arial" w:cs="Arial"/>
          <w:bCs/>
          <w:sz w:val="24"/>
          <w:szCs w:val="24"/>
        </w:rPr>
        <w:t>educe or eliminate the unsubstantiated $150 fee for historical usage</w:t>
      </w:r>
      <w:r w:rsidR="000D38F8">
        <w:rPr>
          <w:rFonts w:ascii="Arial" w:eastAsia="Arial" w:hAnsi="Arial" w:cs="Arial"/>
          <w:bCs/>
          <w:sz w:val="24"/>
          <w:szCs w:val="24"/>
        </w:rPr>
        <w:t>;</w:t>
      </w:r>
      <w:r w:rsidR="007827E8">
        <w:rPr>
          <w:rFonts w:ascii="Arial" w:eastAsia="Arial" w:hAnsi="Arial" w:cs="Arial"/>
          <w:bCs/>
          <w:sz w:val="24"/>
          <w:szCs w:val="24"/>
        </w:rPr>
        <w:t xml:space="preserve"> and</w:t>
      </w:r>
    </w:p>
    <w:p w14:paraId="61621FF3" w14:textId="51C70F4D" w:rsidR="0064316A" w:rsidRPr="004C4156" w:rsidRDefault="0064316A" w:rsidP="00FE32BA">
      <w:pPr>
        <w:pStyle w:val="ListParagraph"/>
        <w:numPr>
          <w:ilvl w:val="0"/>
          <w:numId w:val="25"/>
        </w:numPr>
        <w:spacing w:after="120" w:line="480" w:lineRule="auto"/>
        <w:jc w:val="both"/>
        <w:rPr>
          <w:rFonts w:ascii="Arial" w:eastAsia="Arial" w:hAnsi="Arial" w:cs="Arial"/>
          <w:bCs/>
          <w:sz w:val="24"/>
          <w:szCs w:val="24"/>
        </w:rPr>
      </w:pPr>
      <w:r w:rsidRPr="004C4156">
        <w:rPr>
          <w:rFonts w:ascii="Arial" w:eastAsia="Arial" w:hAnsi="Arial" w:cs="Arial"/>
          <w:bCs/>
          <w:sz w:val="24"/>
          <w:szCs w:val="24"/>
        </w:rPr>
        <w:t xml:space="preserve">Rejected IGS’ suggestion to establish a rider to unbundle and allocate default service-related costs embedded in distribution rates. </w:t>
      </w:r>
    </w:p>
    <w:p w14:paraId="3CBB60C8" w14:textId="79315E2B" w:rsidR="0064316A" w:rsidRPr="004C4156" w:rsidRDefault="00252AD8" w:rsidP="004B0D79">
      <w:pPr>
        <w:spacing w:after="120" w:line="480" w:lineRule="auto"/>
        <w:jc w:val="both"/>
        <w:rPr>
          <w:rFonts w:ascii="Arial" w:eastAsia="Arial" w:hAnsi="Arial" w:cs="Arial"/>
          <w:bCs/>
          <w:sz w:val="24"/>
          <w:szCs w:val="24"/>
        </w:rPr>
      </w:pPr>
      <w:r>
        <w:rPr>
          <w:rFonts w:ascii="Arial" w:eastAsia="Arial" w:hAnsi="Arial" w:cs="Arial"/>
          <w:bCs/>
          <w:sz w:val="24"/>
          <w:szCs w:val="24"/>
        </w:rPr>
        <w:t xml:space="preserve">Although IGS presented detailed testimony and legal arguments on these matters, the </w:t>
      </w:r>
      <w:r w:rsidR="0064316A" w:rsidRPr="004C4156">
        <w:rPr>
          <w:rFonts w:ascii="Arial" w:eastAsia="Arial" w:hAnsi="Arial" w:cs="Arial"/>
          <w:bCs/>
          <w:sz w:val="24"/>
          <w:szCs w:val="24"/>
        </w:rPr>
        <w:t xml:space="preserve">Supplemental Order </w:t>
      </w:r>
      <w:r>
        <w:rPr>
          <w:rFonts w:ascii="Arial" w:eastAsia="Arial" w:hAnsi="Arial" w:cs="Arial"/>
          <w:bCs/>
          <w:sz w:val="24"/>
          <w:szCs w:val="24"/>
        </w:rPr>
        <w:t>declined</w:t>
      </w:r>
      <w:r w:rsidR="0064316A" w:rsidRPr="004C4156">
        <w:rPr>
          <w:rFonts w:ascii="Arial" w:eastAsia="Arial" w:hAnsi="Arial" w:cs="Arial"/>
          <w:bCs/>
          <w:sz w:val="24"/>
          <w:szCs w:val="24"/>
        </w:rPr>
        <w:t xml:space="preserve"> to address any of these important issues on the merits.  Rather, the Supplemental Order sidestepped these issues </w:t>
      </w:r>
      <w:r w:rsidR="00A16FE6">
        <w:rPr>
          <w:rFonts w:ascii="Arial" w:eastAsia="Arial" w:hAnsi="Arial" w:cs="Arial"/>
          <w:bCs/>
          <w:sz w:val="24"/>
          <w:szCs w:val="24"/>
        </w:rPr>
        <w:t xml:space="preserve">and, instead, </w:t>
      </w:r>
      <w:r w:rsidR="001C5A68">
        <w:rPr>
          <w:rFonts w:ascii="Arial" w:eastAsia="Arial" w:hAnsi="Arial" w:cs="Arial"/>
          <w:bCs/>
          <w:sz w:val="24"/>
          <w:szCs w:val="24"/>
        </w:rPr>
        <w:t>con</w:t>
      </w:r>
      <w:r w:rsidR="00872146">
        <w:rPr>
          <w:rFonts w:ascii="Arial" w:eastAsia="Arial" w:hAnsi="Arial" w:cs="Arial"/>
          <w:bCs/>
          <w:sz w:val="24"/>
          <w:szCs w:val="24"/>
        </w:rPr>
        <w:t>cluded</w:t>
      </w:r>
      <w:r w:rsidR="00A16FE6">
        <w:rPr>
          <w:rFonts w:ascii="Arial" w:eastAsia="Arial" w:hAnsi="Arial" w:cs="Arial"/>
          <w:bCs/>
          <w:sz w:val="24"/>
          <w:szCs w:val="24"/>
        </w:rPr>
        <w:t xml:space="preserve"> that </w:t>
      </w:r>
      <w:r w:rsidR="0064316A" w:rsidRPr="004C4156">
        <w:rPr>
          <w:rFonts w:ascii="Arial" w:eastAsia="Arial" w:hAnsi="Arial" w:cs="Arial"/>
          <w:bCs/>
          <w:sz w:val="24"/>
          <w:szCs w:val="24"/>
        </w:rPr>
        <w:t>“IGS is seeking to relitigate claims which were fully litigated and decided in DP&amp;L’s most recent distribution rate case.</w:t>
      </w:r>
      <w:r w:rsidR="00FE0187" w:rsidRPr="004C4156">
        <w:rPr>
          <w:rFonts w:ascii="Arial" w:eastAsia="Arial" w:hAnsi="Arial" w:cs="Arial"/>
          <w:bCs/>
          <w:sz w:val="24"/>
          <w:szCs w:val="24"/>
        </w:rPr>
        <w:t>”</w:t>
      </w:r>
      <w:r w:rsidR="00B32198">
        <w:rPr>
          <w:rStyle w:val="FootnoteReference"/>
          <w:rFonts w:ascii="Arial" w:eastAsia="Arial" w:hAnsi="Arial" w:cs="Arial"/>
          <w:bCs/>
          <w:sz w:val="24"/>
          <w:szCs w:val="24"/>
        </w:rPr>
        <w:footnoteReference w:id="2"/>
      </w:r>
    </w:p>
    <w:p w14:paraId="5D4EC8B1" w14:textId="2A673361" w:rsidR="00DD035C" w:rsidRPr="004C4156" w:rsidRDefault="00C97797" w:rsidP="00093973">
      <w:pPr>
        <w:spacing w:after="120" w:line="480" w:lineRule="auto"/>
        <w:ind w:firstLine="720"/>
        <w:jc w:val="both"/>
        <w:rPr>
          <w:rFonts w:ascii="Arial" w:eastAsia="Arial" w:hAnsi="Arial" w:cs="Arial"/>
          <w:bCs/>
          <w:sz w:val="24"/>
          <w:szCs w:val="24"/>
        </w:rPr>
      </w:pPr>
      <w:r w:rsidRPr="004C4156">
        <w:rPr>
          <w:rFonts w:ascii="Arial" w:eastAsia="Arial" w:hAnsi="Arial" w:cs="Arial"/>
          <w:bCs/>
          <w:sz w:val="24"/>
          <w:szCs w:val="24"/>
        </w:rPr>
        <w:lastRenderedPageBreak/>
        <w:t xml:space="preserve">While </w:t>
      </w:r>
      <w:r w:rsidR="001A0BC2" w:rsidRPr="004C4156">
        <w:rPr>
          <w:rFonts w:ascii="Arial" w:eastAsia="Arial" w:hAnsi="Arial" w:cs="Arial"/>
          <w:bCs/>
          <w:sz w:val="24"/>
          <w:szCs w:val="24"/>
        </w:rPr>
        <w:t xml:space="preserve">the above subjects may have </w:t>
      </w:r>
      <w:r w:rsidRPr="004C4156">
        <w:rPr>
          <w:rFonts w:ascii="Arial" w:eastAsia="Arial" w:hAnsi="Arial" w:cs="Arial"/>
          <w:bCs/>
          <w:sz w:val="24"/>
          <w:szCs w:val="24"/>
        </w:rPr>
        <w:t>been addressed, in part, in DP&amp;L’s distribution rate case,</w:t>
      </w:r>
      <w:r w:rsidR="00C96C1E" w:rsidRPr="00C96C1E">
        <w:rPr>
          <w:rStyle w:val="FootnoteReference"/>
          <w:rFonts w:ascii="Arial" w:eastAsia="Arial" w:hAnsi="Arial" w:cs="Arial"/>
          <w:bCs/>
          <w:sz w:val="24"/>
          <w:szCs w:val="24"/>
        </w:rPr>
        <w:t xml:space="preserve"> </w:t>
      </w:r>
      <w:r w:rsidR="00C96C1E">
        <w:rPr>
          <w:rStyle w:val="FootnoteReference"/>
          <w:rFonts w:ascii="Arial" w:eastAsia="Arial" w:hAnsi="Arial" w:cs="Arial"/>
          <w:bCs/>
          <w:sz w:val="24"/>
          <w:szCs w:val="24"/>
        </w:rPr>
        <w:footnoteReference w:id="3"/>
      </w:r>
      <w:r w:rsidRPr="004C4156">
        <w:rPr>
          <w:rFonts w:ascii="Arial" w:eastAsia="Arial" w:hAnsi="Arial" w:cs="Arial"/>
          <w:bCs/>
          <w:sz w:val="24"/>
          <w:szCs w:val="24"/>
        </w:rPr>
        <w:t xml:space="preserve"> the </w:t>
      </w:r>
      <w:r w:rsidR="00F164C7">
        <w:rPr>
          <w:rFonts w:ascii="Arial" w:eastAsia="Arial" w:hAnsi="Arial" w:cs="Arial"/>
          <w:bCs/>
          <w:sz w:val="24"/>
          <w:szCs w:val="24"/>
        </w:rPr>
        <w:t xml:space="preserve">specific </w:t>
      </w:r>
      <w:r w:rsidRPr="004C4156">
        <w:rPr>
          <w:rFonts w:ascii="Arial" w:eastAsia="Arial" w:hAnsi="Arial" w:cs="Arial"/>
          <w:bCs/>
          <w:sz w:val="24"/>
          <w:szCs w:val="24"/>
        </w:rPr>
        <w:t xml:space="preserve">issues </w:t>
      </w:r>
      <w:r w:rsidR="00A65310">
        <w:rPr>
          <w:rFonts w:ascii="Arial" w:eastAsia="Arial" w:hAnsi="Arial" w:cs="Arial"/>
          <w:bCs/>
          <w:sz w:val="24"/>
          <w:szCs w:val="24"/>
        </w:rPr>
        <w:t>litigated</w:t>
      </w:r>
      <w:r w:rsidR="00A65310" w:rsidRPr="004C4156">
        <w:rPr>
          <w:rFonts w:ascii="Arial" w:eastAsia="Arial" w:hAnsi="Arial" w:cs="Arial"/>
          <w:bCs/>
          <w:sz w:val="24"/>
          <w:szCs w:val="24"/>
        </w:rPr>
        <w:t xml:space="preserve"> </w:t>
      </w:r>
      <w:r w:rsidR="00252AD8">
        <w:rPr>
          <w:rFonts w:ascii="Arial" w:eastAsia="Arial" w:hAnsi="Arial" w:cs="Arial"/>
          <w:bCs/>
          <w:sz w:val="24"/>
          <w:szCs w:val="24"/>
        </w:rPr>
        <w:t>in that case</w:t>
      </w:r>
      <w:r w:rsidRPr="004C4156">
        <w:rPr>
          <w:rFonts w:ascii="Arial" w:eastAsia="Arial" w:hAnsi="Arial" w:cs="Arial"/>
          <w:bCs/>
          <w:sz w:val="24"/>
          <w:szCs w:val="24"/>
        </w:rPr>
        <w:t>—and decided in the Commission’s order—were not the same.</w:t>
      </w:r>
      <w:r w:rsidR="001A0BC2" w:rsidRPr="004C4156">
        <w:rPr>
          <w:rFonts w:ascii="Arial" w:eastAsia="Arial" w:hAnsi="Arial" w:cs="Arial"/>
          <w:bCs/>
          <w:sz w:val="24"/>
          <w:szCs w:val="24"/>
        </w:rPr>
        <w:t xml:space="preserve">  Moreover, neither the distribution rate case nor this case provided a substantive decision</w:t>
      </w:r>
      <w:r w:rsidR="0075382E">
        <w:rPr>
          <w:rFonts w:ascii="Arial" w:eastAsia="Arial" w:hAnsi="Arial" w:cs="Arial"/>
          <w:bCs/>
          <w:sz w:val="24"/>
          <w:szCs w:val="24"/>
        </w:rPr>
        <w:t xml:space="preserve"> based upon findings of fact or conclusions of law based upon the record</w:t>
      </w:r>
      <w:r w:rsidR="001A0BC2" w:rsidRPr="004C4156">
        <w:rPr>
          <w:rFonts w:ascii="Arial" w:eastAsia="Arial" w:hAnsi="Arial" w:cs="Arial"/>
          <w:bCs/>
          <w:sz w:val="24"/>
          <w:szCs w:val="24"/>
        </w:rPr>
        <w:t xml:space="preserve"> with respect to any of the </w:t>
      </w:r>
      <w:r w:rsidR="00EC0D8B">
        <w:rPr>
          <w:rFonts w:ascii="Arial" w:eastAsia="Arial" w:hAnsi="Arial" w:cs="Arial"/>
          <w:bCs/>
          <w:sz w:val="24"/>
          <w:szCs w:val="24"/>
        </w:rPr>
        <w:t>issues presented above</w:t>
      </w:r>
      <w:r w:rsidR="001A0BC2" w:rsidRPr="004C4156">
        <w:rPr>
          <w:rFonts w:ascii="Arial" w:eastAsia="Arial" w:hAnsi="Arial" w:cs="Arial"/>
          <w:bCs/>
          <w:sz w:val="24"/>
          <w:szCs w:val="24"/>
        </w:rPr>
        <w:t xml:space="preserve">.  </w:t>
      </w:r>
      <w:r w:rsidR="001A0BC2" w:rsidRPr="00BC27A4">
        <w:rPr>
          <w:rFonts w:ascii="Arial" w:eastAsia="Arial" w:hAnsi="Arial" w:cs="Arial"/>
          <w:bCs/>
          <w:sz w:val="24"/>
          <w:szCs w:val="24"/>
        </w:rPr>
        <w:t>The combined impact of these two orders is to deprive IGS of the opportunity for a fair hearing</w:t>
      </w:r>
      <w:r w:rsidR="006C3BF2" w:rsidRPr="00BC27A4">
        <w:rPr>
          <w:rFonts w:ascii="Arial" w:eastAsia="Arial" w:hAnsi="Arial" w:cs="Arial"/>
          <w:bCs/>
          <w:sz w:val="24"/>
          <w:szCs w:val="24"/>
        </w:rPr>
        <w:t xml:space="preserve"> in either forum</w:t>
      </w:r>
      <w:r w:rsidR="001A0BC2" w:rsidRPr="00BC27A4">
        <w:rPr>
          <w:rFonts w:ascii="Arial" w:eastAsia="Arial" w:hAnsi="Arial" w:cs="Arial"/>
          <w:bCs/>
          <w:sz w:val="24"/>
          <w:szCs w:val="24"/>
        </w:rPr>
        <w:t xml:space="preserve">. </w:t>
      </w:r>
      <w:r w:rsidR="006C3BF2" w:rsidRPr="00BC27A4">
        <w:rPr>
          <w:rFonts w:ascii="Arial" w:eastAsia="Arial" w:hAnsi="Arial" w:cs="Arial"/>
          <w:bCs/>
          <w:sz w:val="24"/>
          <w:szCs w:val="24"/>
        </w:rPr>
        <w:t xml:space="preserve"> </w:t>
      </w:r>
      <w:r w:rsidR="00252AD8" w:rsidRPr="00BC27A4">
        <w:rPr>
          <w:rFonts w:ascii="Arial" w:eastAsia="Arial" w:hAnsi="Arial" w:cs="Arial"/>
          <w:bCs/>
          <w:sz w:val="24"/>
          <w:szCs w:val="24"/>
        </w:rPr>
        <w:t>IGS understands that the Commission has a lengthy docket and must deal with several complicated matters.  Given that fact, IGS assumes that the Commission’s action with respect to these matters was unintentional and that the Commission would not deliberately</w:t>
      </w:r>
      <w:r w:rsidR="0075382E" w:rsidRPr="00BC27A4">
        <w:rPr>
          <w:rFonts w:ascii="Arial" w:eastAsia="Arial" w:hAnsi="Arial" w:cs="Arial"/>
          <w:bCs/>
          <w:sz w:val="24"/>
          <w:szCs w:val="24"/>
        </w:rPr>
        <w:t xml:space="preserve"> deprive IGS of a fair opportunity to </w:t>
      </w:r>
      <w:r w:rsidR="002E1CA4" w:rsidRPr="00BC27A4">
        <w:rPr>
          <w:rFonts w:ascii="Arial" w:eastAsia="Arial" w:hAnsi="Arial" w:cs="Arial"/>
          <w:bCs/>
          <w:sz w:val="24"/>
          <w:szCs w:val="24"/>
        </w:rPr>
        <w:t>address matters that directly impact the competitive market.</w:t>
      </w:r>
    </w:p>
    <w:p w14:paraId="3CC8E47A" w14:textId="49DD8EB7" w:rsidR="009B4993" w:rsidRPr="004C4156" w:rsidRDefault="001A0BC2" w:rsidP="00252AD8">
      <w:pPr>
        <w:spacing w:after="120" w:line="480" w:lineRule="auto"/>
        <w:ind w:firstLine="720"/>
        <w:jc w:val="both"/>
        <w:rPr>
          <w:rFonts w:ascii="Arial" w:eastAsia="Arial" w:hAnsi="Arial" w:cs="Arial"/>
          <w:bCs/>
          <w:sz w:val="24"/>
          <w:szCs w:val="24"/>
        </w:rPr>
      </w:pPr>
      <w:r w:rsidRPr="004C4156">
        <w:rPr>
          <w:rFonts w:ascii="Arial" w:eastAsia="Arial" w:hAnsi="Arial" w:cs="Arial"/>
          <w:bCs/>
          <w:sz w:val="24"/>
          <w:szCs w:val="24"/>
        </w:rPr>
        <w:t>On rehearing, the Commission should substantively address IGS’ arguments</w:t>
      </w:r>
      <w:r w:rsidR="0042579A">
        <w:rPr>
          <w:rFonts w:ascii="Arial" w:eastAsia="Arial" w:hAnsi="Arial" w:cs="Arial"/>
          <w:bCs/>
          <w:sz w:val="24"/>
          <w:szCs w:val="24"/>
        </w:rPr>
        <w:t>,</w:t>
      </w:r>
      <w:r w:rsidR="00252AD8">
        <w:rPr>
          <w:rFonts w:ascii="Arial" w:eastAsia="Arial" w:hAnsi="Arial" w:cs="Arial"/>
          <w:bCs/>
          <w:sz w:val="24"/>
          <w:szCs w:val="24"/>
        </w:rPr>
        <w:t xml:space="preserve"> </w:t>
      </w:r>
      <w:r w:rsidRPr="004C4156">
        <w:rPr>
          <w:rFonts w:ascii="Arial" w:eastAsia="Arial" w:hAnsi="Arial" w:cs="Arial"/>
          <w:bCs/>
          <w:sz w:val="24"/>
          <w:szCs w:val="24"/>
        </w:rPr>
        <w:t>issue findings of fact and conclusions of law based upon the record</w:t>
      </w:r>
      <w:r w:rsidR="00B535AB">
        <w:rPr>
          <w:rFonts w:ascii="Arial" w:eastAsia="Arial" w:hAnsi="Arial" w:cs="Arial"/>
          <w:bCs/>
          <w:sz w:val="24"/>
          <w:szCs w:val="24"/>
        </w:rPr>
        <w:t>.</w:t>
      </w:r>
    </w:p>
    <w:p w14:paraId="53E12FB7" w14:textId="58A4C6B8" w:rsidR="001A0BC2" w:rsidRPr="004C4156" w:rsidRDefault="001A0BC2" w:rsidP="00792CF4">
      <w:pPr>
        <w:pStyle w:val="Heading1"/>
      </w:pPr>
      <w:bookmarkStart w:id="3" w:name="_Toc28008925"/>
      <w:r w:rsidRPr="004C4156">
        <w:t>BACKGROUND</w:t>
      </w:r>
      <w:bookmarkEnd w:id="3"/>
    </w:p>
    <w:p w14:paraId="5DF091A6" w14:textId="65269D51" w:rsidR="00BE6885" w:rsidRDefault="00D46D74" w:rsidP="001A0BC2">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On March 14, 2017, a group of parties </w:t>
      </w:r>
      <w:proofErr w:type="gramStart"/>
      <w:r>
        <w:rPr>
          <w:rFonts w:ascii="Arial" w:eastAsia="Arial" w:hAnsi="Arial" w:cs="Arial"/>
          <w:bCs/>
          <w:sz w:val="24"/>
          <w:szCs w:val="24"/>
        </w:rPr>
        <w:t>entered into</w:t>
      </w:r>
      <w:proofErr w:type="gramEnd"/>
      <w:r>
        <w:rPr>
          <w:rFonts w:ascii="Arial" w:eastAsia="Arial" w:hAnsi="Arial" w:cs="Arial"/>
          <w:bCs/>
          <w:sz w:val="24"/>
          <w:szCs w:val="24"/>
        </w:rPr>
        <w:t xml:space="preserve"> a Stipulation</w:t>
      </w:r>
      <w:r w:rsidR="000D53FB">
        <w:rPr>
          <w:rFonts w:ascii="Arial" w:eastAsia="Arial" w:hAnsi="Arial" w:cs="Arial"/>
          <w:bCs/>
          <w:sz w:val="24"/>
          <w:szCs w:val="24"/>
        </w:rPr>
        <w:t xml:space="preserve"> in this proceeding</w:t>
      </w:r>
      <w:r>
        <w:rPr>
          <w:rFonts w:ascii="Arial" w:eastAsia="Arial" w:hAnsi="Arial" w:cs="Arial"/>
          <w:bCs/>
          <w:sz w:val="24"/>
          <w:szCs w:val="24"/>
        </w:rPr>
        <w:t>.</w:t>
      </w:r>
      <w:r w:rsidR="002E1CA4">
        <w:rPr>
          <w:rFonts w:ascii="Arial" w:eastAsia="Arial" w:hAnsi="Arial" w:cs="Arial"/>
          <w:bCs/>
          <w:sz w:val="24"/>
          <w:szCs w:val="24"/>
        </w:rPr>
        <w:t xml:space="preserve"> </w:t>
      </w:r>
      <w:r w:rsidR="0025750F">
        <w:rPr>
          <w:rFonts w:ascii="Arial" w:eastAsia="Arial" w:hAnsi="Arial" w:cs="Arial"/>
          <w:bCs/>
          <w:sz w:val="24"/>
          <w:szCs w:val="24"/>
        </w:rPr>
        <w:t>Although IGS was</w:t>
      </w:r>
      <w:r>
        <w:rPr>
          <w:rFonts w:ascii="Arial" w:eastAsia="Arial" w:hAnsi="Arial" w:cs="Arial"/>
          <w:bCs/>
          <w:sz w:val="24"/>
          <w:szCs w:val="24"/>
        </w:rPr>
        <w:t xml:space="preserve"> at one point a </w:t>
      </w:r>
      <w:r w:rsidR="0025750F">
        <w:rPr>
          <w:rFonts w:ascii="Arial" w:eastAsia="Arial" w:hAnsi="Arial" w:cs="Arial"/>
          <w:bCs/>
          <w:sz w:val="24"/>
          <w:szCs w:val="24"/>
        </w:rPr>
        <w:t xml:space="preserve">signatory </w:t>
      </w:r>
      <w:r>
        <w:rPr>
          <w:rFonts w:ascii="Arial" w:eastAsia="Arial" w:hAnsi="Arial" w:cs="Arial"/>
          <w:bCs/>
          <w:sz w:val="24"/>
          <w:szCs w:val="24"/>
        </w:rPr>
        <w:t>party</w:t>
      </w:r>
      <w:r w:rsidR="0025750F">
        <w:rPr>
          <w:rFonts w:ascii="Arial" w:eastAsia="Arial" w:hAnsi="Arial" w:cs="Arial"/>
          <w:bCs/>
          <w:sz w:val="24"/>
          <w:szCs w:val="24"/>
        </w:rPr>
        <w:t>,</w:t>
      </w:r>
      <w:r w:rsidR="0081001F">
        <w:rPr>
          <w:rFonts w:ascii="Arial" w:eastAsia="Arial" w:hAnsi="Arial" w:cs="Arial"/>
          <w:bCs/>
          <w:sz w:val="24"/>
          <w:szCs w:val="24"/>
        </w:rPr>
        <w:t xml:space="preserve"> on October </w:t>
      </w:r>
      <w:r w:rsidR="00FC0234">
        <w:rPr>
          <w:rFonts w:ascii="Arial" w:eastAsia="Arial" w:hAnsi="Arial" w:cs="Arial"/>
          <w:bCs/>
          <w:sz w:val="24"/>
          <w:szCs w:val="24"/>
        </w:rPr>
        <w:t>19</w:t>
      </w:r>
      <w:r w:rsidR="0081001F">
        <w:rPr>
          <w:rFonts w:ascii="Arial" w:eastAsia="Arial" w:hAnsi="Arial" w:cs="Arial"/>
          <w:bCs/>
          <w:sz w:val="24"/>
          <w:szCs w:val="24"/>
        </w:rPr>
        <w:t xml:space="preserve">, </w:t>
      </w:r>
      <w:r w:rsidR="00FC0234">
        <w:rPr>
          <w:rFonts w:ascii="Arial" w:eastAsia="Arial" w:hAnsi="Arial" w:cs="Arial"/>
          <w:bCs/>
          <w:sz w:val="24"/>
          <w:szCs w:val="24"/>
        </w:rPr>
        <w:t>2018</w:t>
      </w:r>
      <w:r w:rsidR="0081001F">
        <w:rPr>
          <w:rFonts w:ascii="Arial" w:eastAsia="Arial" w:hAnsi="Arial" w:cs="Arial"/>
          <w:bCs/>
          <w:sz w:val="24"/>
          <w:szCs w:val="24"/>
        </w:rPr>
        <w:t>,</w:t>
      </w:r>
      <w:r w:rsidR="0025750F">
        <w:rPr>
          <w:rFonts w:ascii="Arial" w:eastAsia="Arial" w:hAnsi="Arial" w:cs="Arial"/>
          <w:bCs/>
          <w:sz w:val="24"/>
          <w:szCs w:val="24"/>
        </w:rPr>
        <w:t xml:space="preserve"> after the Commission materially modified </w:t>
      </w:r>
      <w:r>
        <w:rPr>
          <w:rFonts w:ascii="Arial" w:eastAsia="Arial" w:hAnsi="Arial" w:cs="Arial"/>
          <w:bCs/>
          <w:sz w:val="24"/>
          <w:szCs w:val="24"/>
        </w:rPr>
        <w:t>the Stipulatio</w:t>
      </w:r>
      <w:r w:rsidR="0081001F">
        <w:rPr>
          <w:rFonts w:ascii="Arial" w:eastAsia="Arial" w:hAnsi="Arial" w:cs="Arial"/>
          <w:bCs/>
          <w:sz w:val="24"/>
          <w:szCs w:val="24"/>
        </w:rPr>
        <w:t>n, IGS withdrew</w:t>
      </w:r>
      <w:r w:rsidR="0025750F">
        <w:rPr>
          <w:rFonts w:ascii="Arial" w:eastAsia="Arial" w:hAnsi="Arial" w:cs="Arial"/>
          <w:bCs/>
          <w:sz w:val="24"/>
          <w:szCs w:val="24"/>
        </w:rPr>
        <w:t>.</w:t>
      </w:r>
      <w:r w:rsidR="00C0408E">
        <w:rPr>
          <w:rFonts w:ascii="Arial" w:eastAsia="Arial" w:hAnsi="Arial" w:cs="Arial"/>
          <w:bCs/>
          <w:sz w:val="24"/>
          <w:szCs w:val="24"/>
        </w:rPr>
        <w:t xml:space="preserve"> </w:t>
      </w:r>
      <w:r w:rsidR="005C7BB3">
        <w:rPr>
          <w:rFonts w:ascii="Arial" w:eastAsia="Arial" w:hAnsi="Arial" w:cs="Arial"/>
          <w:bCs/>
          <w:sz w:val="24"/>
          <w:szCs w:val="24"/>
        </w:rPr>
        <w:t xml:space="preserve"> </w:t>
      </w:r>
      <w:r w:rsidR="00C0408E">
        <w:rPr>
          <w:rFonts w:ascii="Arial" w:eastAsia="Arial" w:hAnsi="Arial" w:cs="Arial"/>
          <w:bCs/>
          <w:sz w:val="24"/>
          <w:szCs w:val="24"/>
        </w:rPr>
        <w:t xml:space="preserve">IGS was given an opportunity to oppose the Stipulation in </w:t>
      </w:r>
      <w:r w:rsidR="0081001F">
        <w:rPr>
          <w:rFonts w:ascii="Arial" w:eastAsia="Arial" w:hAnsi="Arial" w:cs="Arial"/>
          <w:bCs/>
          <w:sz w:val="24"/>
          <w:szCs w:val="24"/>
        </w:rPr>
        <w:t xml:space="preserve">a </w:t>
      </w:r>
      <w:r w:rsidR="00C0408E">
        <w:rPr>
          <w:rFonts w:ascii="Arial" w:eastAsia="Arial" w:hAnsi="Arial" w:cs="Arial"/>
          <w:bCs/>
          <w:sz w:val="24"/>
          <w:szCs w:val="24"/>
        </w:rPr>
        <w:t>hearing that commenced on</w:t>
      </w:r>
      <w:r w:rsidR="005C7BB3">
        <w:rPr>
          <w:rFonts w:ascii="Arial" w:eastAsia="Arial" w:hAnsi="Arial" w:cs="Arial"/>
          <w:bCs/>
          <w:sz w:val="24"/>
          <w:szCs w:val="24"/>
        </w:rPr>
        <w:t xml:space="preserve"> April 1, 2019.</w:t>
      </w:r>
    </w:p>
    <w:p w14:paraId="4937E4D9" w14:textId="3D60E774" w:rsidR="00DB11DC" w:rsidRPr="004C4156" w:rsidRDefault="00D50E29" w:rsidP="001A0BC2">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In opposition to the Stipulation, </w:t>
      </w:r>
      <w:r w:rsidR="001A0BC2" w:rsidRPr="004C4156">
        <w:rPr>
          <w:rFonts w:ascii="Arial" w:eastAsia="Arial" w:hAnsi="Arial" w:cs="Arial"/>
          <w:bCs/>
          <w:sz w:val="24"/>
          <w:szCs w:val="24"/>
        </w:rPr>
        <w:t xml:space="preserve">IGS raised four arguments to improve the competitive market.  The Supplemental Order disregarded each on the basis that IGS’ is </w:t>
      </w:r>
      <w:r w:rsidR="001A0BC2" w:rsidRPr="004C4156">
        <w:rPr>
          <w:rFonts w:ascii="Arial" w:eastAsia="Arial" w:hAnsi="Arial" w:cs="Arial"/>
          <w:bCs/>
          <w:sz w:val="24"/>
          <w:szCs w:val="24"/>
        </w:rPr>
        <w:lastRenderedPageBreak/>
        <w:t xml:space="preserve">attempting to relitigate matters decided in </w:t>
      </w:r>
      <w:r w:rsidR="00BE3006">
        <w:rPr>
          <w:rFonts w:ascii="Arial" w:eastAsia="Arial" w:hAnsi="Arial" w:cs="Arial"/>
          <w:bCs/>
          <w:sz w:val="24"/>
          <w:szCs w:val="24"/>
        </w:rPr>
        <w:t>DP&amp;L’s</w:t>
      </w:r>
      <w:r w:rsidR="00BE3006" w:rsidRPr="004C4156">
        <w:rPr>
          <w:rFonts w:ascii="Arial" w:eastAsia="Arial" w:hAnsi="Arial" w:cs="Arial"/>
          <w:bCs/>
          <w:sz w:val="24"/>
          <w:szCs w:val="24"/>
        </w:rPr>
        <w:t xml:space="preserve"> </w:t>
      </w:r>
      <w:r w:rsidR="001A0BC2" w:rsidRPr="004C4156">
        <w:rPr>
          <w:rFonts w:ascii="Arial" w:eastAsia="Arial" w:hAnsi="Arial" w:cs="Arial"/>
          <w:bCs/>
          <w:sz w:val="24"/>
          <w:szCs w:val="24"/>
        </w:rPr>
        <w:t xml:space="preserve">distribution rate case.  Given the Supplemental Order’s reliance upon the </w:t>
      </w:r>
      <w:r w:rsidR="00902E41">
        <w:rPr>
          <w:rFonts w:ascii="Arial" w:eastAsia="Arial" w:hAnsi="Arial" w:cs="Arial"/>
          <w:bCs/>
          <w:sz w:val="24"/>
          <w:szCs w:val="24"/>
        </w:rPr>
        <w:t>Distribution Order</w:t>
      </w:r>
      <w:r w:rsidR="001A0BC2" w:rsidRPr="004C4156">
        <w:rPr>
          <w:rFonts w:ascii="Arial" w:eastAsia="Arial" w:hAnsi="Arial" w:cs="Arial"/>
          <w:bCs/>
          <w:sz w:val="24"/>
          <w:szCs w:val="24"/>
        </w:rPr>
        <w:t xml:space="preserve">, </w:t>
      </w:r>
      <w:r w:rsidR="00A24A02">
        <w:rPr>
          <w:rFonts w:ascii="Arial" w:eastAsia="Arial" w:hAnsi="Arial" w:cs="Arial"/>
          <w:bCs/>
          <w:sz w:val="24"/>
          <w:szCs w:val="24"/>
        </w:rPr>
        <w:t xml:space="preserve">the arguments </w:t>
      </w:r>
      <w:r w:rsidR="008A0429">
        <w:rPr>
          <w:rFonts w:ascii="Arial" w:eastAsia="Arial" w:hAnsi="Arial" w:cs="Arial"/>
          <w:bCs/>
          <w:sz w:val="24"/>
          <w:szCs w:val="24"/>
        </w:rPr>
        <w:t xml:space="preserve">that </w:t>
      </w:r>
      <w:r w:rsidR="00A24A02">
        <w:rPr>
          <w:rFonts w:ascii="Arial" w:eastAsia="Arial" w:hAnsi="Arial" w:cs="Arial"/>
          <w:bCs/>
          <w:sz w:val="24"/>
          <w:szCs w:val="24"/>
        </w:rPr>
        <w:t xml:space="preserve">IGS presented in </w:t>
      </w:r>
      <w:r w:rsidR="001A0BC2" w:rsidRPr="004C4156">
        <w:rPr>
          <w:rFonts w:ascii="Arial" w:eastAsia="Arial" w:hAnsi="Arial" w:cs="Arial"/>
          <w:bCs/>
          <w:sz w:val="24"/>
          <w:szCs w:val="24"/>
        </w:rPr>
        <w:t>both cases must be placed in the appropriate context.</w:t>
      </w:r>
      <w:r w:rsidR="00DB11DC" w:rsidRPr="004C4156">
        <w:rPr>
          <w:rFonts w:ascii="Arial" w:eastAsia="Arial" w:hAnsi="Arial" w:cs="Arial"/>
          <w:bCs/>
          <w:sz w:val="24"/>
          <w:szCs w:val="24"/>
        </w:rPr>
        <w:t xml:space="preserve">  </w:t>
      </w:r>
    </w:p>
    <w:p w14:paraId="5D9C0DE7" w14:textId="398384B1" w:rsidR="004C1D4C" w:rsidRPr="004C4156" w:rsidRDefault="00DB11DC" w:rsidP="004C1D4C">
      <w:pPr>
        <w:spacing w:after="120" w:line="480" w:lineRule="auto"/>
        <w:ind w:firstLine="720"/>
        <w:jc w:val="both"/>
        <w:rPr>
          <w:rFonts w:ascii="Arial" w:eastAsia="Arial" w:hAnsi="Arial" w:cs="Arial"/>
          <w:bCs/>
          <w:sz w:val="24"/>
          <w:szCs w:val="24"/>
        </w:rPr>
      </w:pPr>
      <w:r w:rsidRPr="004C4156">
        <w:rPr>
          <w:rFonts w:ascii="Arial" w:eastAsia="Arial" w:hAnsi="Arial" w:cs="Arial"/>
          <w:bCs/>
          <w:sz w:val="24"/>
          <w:szCs w:val="24"/>
        </w:rPr>
        <w:t xml:space="preserve">In the distribution rate case, IGS </w:t>
      </w:r>
      <w:r w:rsidR="00A24A02">
        <w:rPr>
          <w:rFonts w:ascii="Arial" w:eastAsia="Arial" w:hAnsi="Arial" w:cs="Arial"/>
          <w:bCs/>
          <w:sz w:val="24"/>
          <w:szCs w:val="24"/>
        </w:rPr>
        <w:t>raised</w:t>
      </w:r>
      <w:r w:rsidRPr="004C4156">
        <w:rPr>
          <w:rFonts w:ascii="Arial" w:eastAsia="Arial" w:hAnsi="Arial" w:cs="Arial"/>
          <w:bCs/>
          <w:sz w:val="24"/>
          <w:szCs w:val="24"/>
        </w:rPr>
        <w:t xml:space="preserve"> concerns regarding collateral, switching fees, historical usage fees, and SSO-related costs proposed for recover</w:t>
      </w:r>
      <w:r w:rsidR="00A24A02">
        <w:rPr>
          <w:rFonts w:ascii="Arial" w:eastAsia="Arial" w:hAnsi="Arial" w:cs="Arial"/>
          <w:bCs/>
          <w:sz w:val="24"/>
          <w:szCs w:val="24"/>
        </w:rPr>
        <w:t>y</w:t>
      </w:r>
      <w:r w:rsidRPr="004C4156">
        <w:rPr>
          <w:rFonts w:ascii="Arial" w:eastAsia="Arial" w:hAnsi="Arial" w:cs="Arial"/>
          <w:bCs/>
          <w:sz w:val="24"/>
          <w:szCs w:val="24"/>
        </w:rPr>
        <w:t xml:space="preserve"> in distribution rates.   But the order in that proceeding did not provide</w:t>
      </w:r>
      <w:r w:rsidR="00E5341B">
        <w:rPr>
          <w:rFonts w:ascii="Arial" w:eastAsia="Arial" w:hAnsi="Arial" w:cs="Arial"/>
          <w:bCs/>
          <w:sz w:val="24"/>
          <w:szCs w:val="24"/>
        </w:rPr>
        <w:t xml:space="preserve"> a</w:t>
      </w:r>
      <w:r w:rsidRPr="004C4156">
        <w:rPr>
          <w:rFonts w:ascii="Arial" w:eastAsia="Arial" w:hAnsi="Arial" w:cs="Arial"/>
          <w:bCs/>
          <w:sz w:val="24"/>
          <w:szCs w:val="24"/>
        </w:rPr>
        <w:t xml:space="preserve"> substantive analysis of those issues.</w:t>
      </w:r>
      <w:r w:rsidR="004C1D4C" w:rsidRPr="004C4156">
        <w:rPr>
          <w:rFonts w:ascii="Arial" w:eastAsia="Arial" w:hAnsi="Arial" w:cs="Arial"/>
          <w:bCs/>
          <w:sz w:val="24"/>
          <w:szCs w:val="24"/>
        </w:rPr>
        <w:t xml:space="preserve">  </w:t>
      </w:r>
      <w:r w:rsidR="00E5341B">
        <w:rPr>
          <w:rFonts w:ascii="Arial" w:eastAsia="Arial" w:hAnsi="Arial" w:cs="Arial"/>
          <w:bCs/>
          <w:sz w:val="24"/>
          <w:szCs w:val="24"/>
        </w:rPr>
        <w:t>Indeed, a</w:t>
      </w:r>
      <w:r w:rsidR="004C1D4C" w:rsidRPr="004C4156">
        <w:rPr>
          <w:rFonts w:ascii="Arial" w:eastAsia="Arial" w:hAnsi="Arial" w:cs="Arial"/>
          <w:bCs/>
          <w:sz w:val="24"/>
          <w:szCs w:val="24"/>
        </w:rPr>
        <w:t xml:space="preserve"> closer examination shows that the issues </w:t>
      </w:r>
      <w:r w:rsidR="00A0415B">
        <w:rPr>
          <w:rFonts w:ascii="Arial" w:eastAsia="Arial" w:hAnsi="Arial" w:cs="Arial"/>
          <w:bCs/>
          <w:sz w:val="24"/>
          <w:szCs w:val="24"/>
        </w:rPr>
        <w:t xml:space="preserve">addressed by the Commission </w:t>
      </w:r>
      <w:r w:rsidR="004C1D4C" w:rsidRPr="004C4156">
        <w:rPr>
          <w:rFonts w:ascii="Arial" w:eastAsia="Arial" w:hAnsi="Arial" w:cs="Arial"/>
          <w:bCs/>
          <w:sz w:val="24"/>
          <w:szCs w:val="24"/>
        </w:rPr>
        <w:t>were quite different.</w:t>
      </w:r>
      <w:r w:rsidR="00AD560F">
        <w:rPr>
          <w:rFonts w:ascii="Arial" w:eastAsia="Arial" w:hAnsi="Arial" w:cs="Arial"/>
          <w:bCs/>
          <w:sz w:val="24"/>
          <w:szCs w:val="24"/>
        </w:rPr>
        <w:t xml:space="preserve">  </w:t>
      </w:r>
      <w:r w:rsidR="004C1D4C" w:rsidRPr="004C4156">
        <w:rPr>
          <w:rFonts w:ascii="Arial" w:eastAsia="Arial" w:hAnsi="Arial" w:cs="Arial"/>
          <w:bCs/>
          <w:sz w:val="24"/>
          <w:szCs w:val="24"/>
        </w:rPr>
        <w:t xml:space="preserve"> </w:t>
      </w:r>
    </w:p>
    <w:p w14:paraId="56796050" w14:textId="43AB67EA" w:rsidR="00F0609A" w:rsidRPr="00792CF4" w:rsidRDefault="006E6473" w:rsidP="00792CF4">
      <w:pPr>
        <w:pStyle w:val="Heading1"/>
      </w:pPr>
      <w:bookmarkStart w:id="4" w:name="_Toc28008926"/>
      <w:r>
        <w:t>ARGUMENT</w:t>
      </w:r>
      <w:bookmarkEnd w:id="4"/>
    </w:p>
    <w:p w14:paraId="70E8D69B" w14:textId="77777777" w:rsidR="005E7EA3" w:rsidRPr="00880FCE" w:rsidRDefault="005E7EA3" w:rsidP="00DE6735">
      <w:pPr>
        <w:pStyle w:val="Heading2"/>
      </w:pPr>
      <w:bookmarkStart w:id="5" w:name="_Toc28008927"/>
      <w:r w:rsidRPr="00D50C40">
        <w:t>The Supplemental Order</w:t>
      </w:r>
      <w:r>
        <w:t xml:space="preserve"> </w:t>
      </w:r>
      <w:r w:rsidRPr="005955F9">
        <w:t>(¶ 84)</w:t>
      </w:r>
      <w:r>
        <w:t xml:space="preserve"> </w:t>
      </w:r>
      <w:r w:rsidRPr="00D50C40">
        <w:t xml:space="preserve">is unlawful and unreasonable inasmuch as </w:t>
      </w:r>
      <w:proofErr w:type="gramStart"/>
      <w:r w:rsidRPr="00D50C40">
        <w:t>it</w:t>
      </w:r>
      <w:proofErr w:type="gramEnd"/>
      <w:r w:rsidRPr="00D50C40">
        <w:t xml:space="preserve"> authorized DP&amp;L to modify its Supplier </w:t>
      </w:r>
      <w:r>
        <w:t>T</w:t>
      </w:r>
      <w:r w:rsidRPr="00D50C40">
        <w:t>ariff to impose discriminatory collateral requirements without record support in violation of R.C. 4903.09</w:t>
      </w:r>
      <w:r>
        <w:t xml:space="preserve"> and R.C. 4928.143(C)(1).  These discriminatory collateral requirements should be deemed withdrawn with the ESP application.  The Supplemental Order unlawfully and unreasonably determined that IGS’ is attempting to relitigate this matter; the issues decided DP&amp;L’s distribution rate case are not the same as the issues presented in this proceeding.</w:t>
      </w:r>
      <w:bookmarkEnd w:id="5"/>
    </w:p>
    <w:p w14:paraId="74AD8A94" w14:textId="6E31C067" w:rsidR="004216F5" w:rsidRPr="00022F93" w:rsidRDefault="004216F5" w:rsidP="004216F5">
      <w:pPr>
        <w:spacing w:after="0" w:line="480" w:lineRule="auto"/>
        <w:ind w:firstLine="720"/>
        <w:jc w:val="both"/>
        <w:rPr>
          <w:rFonts w:ascii="Arial" w:hAnsi="Arial" w:cs="Arial"/>
          <w:sz w:val="24"/>
          <w:szCs w:val="24"/>
        </w:rPr>
      </w:pPr>
      <w:r w:rsidRPr="004C4156">
        <w:rPr>
          <w:rFonts w:ascii="Arial" w:hAnsi="Arial" w:cs="Arial"/>
          <w:sz w:val="24"/>
          <w:szCs w:val="24"/>
        </w:rPr>
        <w:t>DP&amp;L has collateral obligations to account for the possibility that a CRES provider defaults on their obligations.</w:t>
      </w:r>
      <w:r w:rsidRPr="004C4156">
        <w:rPr>
          <w:rStyle w:val="FootnoteReference"/>
          <w:rFonts w:ascii="Arial" w:hAnsi="Arial" w:cs="Arial"/>
          <w:sz w:val="24"/>
          <w:szCs w:val="24"/>
        </w:rPr>
        <w:footnoteReference w:id="4"/>
      </w:r>
      <w:r w:rsidRPr="004C4156">
        <w:rPr>
          <w:rFonts w:ascii="Arial" w:hAnsi="Arial" w:cs="Arial"/>
          <w:sz w:val="24"/>
          <w:szCs w:val="24"/>
        </w:rPr>
        <w:t xml:space="preserve"> </w:t>
      </w:r>
      <w:r>
        <w:rPr>
          <w:rFonts w:ascii="Arial" w:eastAsia="Arial" w:hAnsi="Arial" w:cs="Arial"/>
          <w:bCs/>
          <w:sz w:val="24"/>
          <w:szCs w:val="24"/>
        </w:rPr>
        <w:t xml:space="preserve">DP&amp;L’s ESP application proposed to </w:t>
      </w:r>
      <w:r w:rsidRPr="00B06542">
        <w:rPr>
          <w:rFonts w:ascii="Arial" w:eastAsia="Arial" w:hAnsi="Arial" w:cs="Arial"/>
          <w:bCs/>
          <w:sz w:val="24"/>
          <w:szCs w:val="24"/>
        </w:rPr>
        <w:t>modify</w:t>
      </w:r>
      <w:r>
        <w:rPr>
          <w:rFonts w:ascii="Arial" w:eastAsia="Arial" w:hAnsi="Arial" w:cs="Arial"/>
          <w:bCs/>
          <w:sz w:val="24"/>
          <w:szCs w:val="24"/>
        </w:rPr>
        <w:t xml:space="preserve"> DP&amp;L’s calculation of CRES provider collateral requirements.</w:t>
      </w:r>
      <w:r w:rsidRPr="00B06542">
        <w:rPr>
          <w:rFonts w:ascii="Arial" w:eastAsia="Arial" w:hAnsi="Arial" w:cs="Arial"/>
          <w:bCs/>
          <w:sz w:val="24"/>
          <w:szCs w:val="24"/>
          <w:vertAlign w:val="superscript"/>
        </w:rPr>
        <w:footnoteReference w:id="5"/>
      </w:r>
      <w:r>
        <w:rPr>
          <w:rFonts w:ascii="Arial" w:eastAsia="Arial" w:hAnsi="Arial" w:cs="Arial"/>
          <w:bCs/>
          <w:sz w:val="24"/>
          <w:szCs w:val="24"/>
        </w:rPr>
        <w:t xml:space="preserve"> </w:t>
      </w:r>
      <w:bookmarkStart w:id="6" w:name="_Hlk27488314"/>
      <w:r w:rsidRPr="004C4156">
        <w:rPr>
          <w:rFonts w:ascii="Arial" w:hAnsi="Arial" w:cs="Arial"/>
          <w:sz w:val="24"/>
          <w:szCs w:val="24"/>
        </w:rPr>
        <w:t xml:space="preserve">  </w:t>
      </w:r>
      <w:bookmarkEnd w:id="6"/>
      <w:r w:rsidRPr="004C4156">
        <w:rPr>
          <w:rFonts w:ascii="Arial" w:hAnsi="Arial" w:cs="Arial"/>
          <w:sz w:val="24"/>
          <w:szCs w:val="24"/>
        </w:rPr>
        <w:t>Under DP&amp;L’s</w:t>
      </w:r>
      <w:r w:rsidR="007669AE">
        <w:rPr>
          <w:rFonts w:ascii="Arial" w:hAnsi="Arial" w:cs="Arial"/>
          <w:sz w:val="24"/>
          <w:szCs w:val="24"/>
        </w:rPr>
        <w:t xml:space="preserve"> ESP</w:t>
      </w:r>
      <w:r w:rsidRPr="004C4156">
        <w:rPr>
          <w:rFonts w:ascii="Arial" w:hAnsi="Arial" w:cs="Arial"/>
          <w:sz w:val="24"/>
          <w:szCs w:val="24"/>
        </w:rPr>
        <w:t xml:space="preserve"> proposal, CRES providers without an investment grade long-term bond would be required to post </w:t>
      </w:r>
      <w:r w:rsidRPr="004C4156">
        <w:rPr>
          <w:rFonts w:ascii="Arial" w:hAnsi="Arial" w:cs="Arial"/>
          <w:sz w:val="24"/>
          <w:szCs w:val="24"/>
        </w:rPr>
        <w:lastRenderedPageBreak/>
        <w:t>collateral based upon a set formula.</w:t>
      </w:r>
      <w:r w:rsidRPr="004C4156">
        <w:rPr>
          <w:rStyle w:val="FootnoteReference"/>
          <w:rFonts w:ascii="Arial" w:hAnsi="Arial" w:cs="Arial"/>
          <w:sz w:val="24"/>
          <w:szCs w:val="24"/>
        </w:rPr>
        <w:footnoteReference w:id="6"/>
      </w:r>
      <w:r w:rsidRPr="004C4156">
        <w:rPr>
          <w:rFonts w:ascii="Arial" w:hAnsi="Arial" w:cs="Arial"/>
          <w:sz w:val="24"/>
          <w:szCs w:val="24"/>
        </w:rPr>
        <w:t xml:space="preserve">  DP&amp;L indicated that it plans to require a set formula despite the fact that its current and proposed tariff states that “[t</w:t>
      </w:r>
      <w:bookmarkStart w:id="7" w:name="_Hlk8310156"/>
      <w:r w:rsidRPr="004C4156">
        <w:rPr>
          <w:rFonts w:ascii="Arial" w:hAnsi="Arial" w:cs="Arial"/>
          <w:sz w:val="24"/>
          <w:szCs w:val="24"/>
        </w:rPr>
        <w:t xml:space="preserve">]he amount of the security required must be and remain </w:t>
      </w:r>
      <w:r w:rsidRPr="00524847">
        <w:rPr>
          <w:rFonts w:ascii="Arial" w:hAnsi="Arial" w:cs="Arial"/>
          <w:i/>
          <w:sz w:val="24"/>
          <w:szCs w:val="24"/>
        </w:rPr>
        <w:t>commensurate with the financial risks placed on the Company by that supplier, including recognition of that supplier’s performance</w:t>
      </w:r>
      <w:r w:rsidRPr="004C4156">
        <w:rPr>
          <w:rFonts w:ascii="Arial" w:hAnsi="Arial" w:cs="Arial"/>
          <w:sz w:val="24"/>
          <w:szCs w:val="24"/>
        </w:rPr>
        <w:t>.”</w:t>
      </w:r>
      <w:r w:rsidRPr="004C4156">
        <w:rPr>
          <w:rStyle w:val="FootnoteReference"/>
          <w:rFonts w:ascii="Arial" w:hAnsi="Arial" w:cs="Arial"/>
          <w:sz w:val="24"/>
          <w:szCs w:val="24"/>
        </w:rPr>
        <w:footnoteReference w:id="7"/>
      </w:r>
      <w:bookmarkEnd w:id="7"/>
      <w:r w:rsidR="003B35A0">
        <w:rPr>
          <w:rFonts w:ascii="Arial" w:hAnsi="Arial" w:cs="Arial"/>
          <w:sz w:val="24"/>
          <w:szCs w:val="24"/>
        </w:rPr>
        <w:t xml:space="preserve"> </w:t>
      </w:r>
    </w:p>
    <w:p w14:paraId="40AA5583" w14:textId="4FB0294C" w:rsidR="00A54439" w:rsidRDefault="004216F5" w:rsidP="00005A98">
      <w:pPr>
        <w:spacing w:after="120" w:line="480" w:lineRule="auto"/>
        <w:ind w:firstLine="720"/>
        <w:jc w:val="both"/>
        <w:rPr>
          <w:rFonts w:ascii="Arial" w:hAnsi="Arial" w:cs="Arial"/>
          <w:sz w:val="24"/>
          <w:szCs w:val="24"/>
        </w:rPr>
      </w:pPr>
      <w:r>
        <w:rPr>
          <w:rFonts w:ascii="Arial" w:eastAsia="Arial" w:hAnsi="Arial" w:cs="Arial"/>
          <w:bCs/>
          <w:sz w:val="24"/>
          <w:szCs w:val="24"/>
        </w:rPr>
        <w:t xml:space="preserve"> The proposed modification substantially and discriminatorily increased collateral requirements for privately held companies</w:t>
      </w:r>
      <w:r w:rsidR="00147CB9">
        <w:rPr>
          <w:rFonts w:ascii="Arial" w:eastAsia="Arial" w:hAnsi="Arial" w:cs="Arial"/>
          <w:bCs/>
          <w:sz w:val="24"/>
          <w:szCs w:val="24"/>
        </w:rPr>
        <w:t xml:space="preserve"> </w:t>
      </w:r>
      <w:r w:rsidR="009C4A37">
        <w:rPr>
          <w:rFonts w:ascii="Arial" w:eastAsia="Arial" w:hAnsi="Arial" w:cs="Arial"/>
          <w:bCs/>
          <w:sz w:val="24"/>
          <w:szCs w:val="24"/>
        </w:rPr>
        <w:t xml:space="preserve">like IGS </w:t>
      </w:r>
      <w:r w:rsidR="00147CB9">
        <w:rPr>
          <w:rFonts w:ascii="Arial" w:eastAsia="Arial" w:hAnsi="Arial" w:cs="Arial"/>
          <w:bCs/>
          <w:sz w:val="24"/>
          <w:szCs w:val="24"/>
        </w:rPr>
        <w:t>that present minimal risk of default</w:t>
      </w:r>
      <w:r>
        <w:rPr>
          <w:rFonts w:ascii="Arial" w:eastAsia="Arial" w:hAnsi="Arial" w:cs="Arial"/>
          <w:bCs/>
          <w:sz w:val="24"/>
          <w:szCs w:val="24"/>
        </w:rPr>
        <w:t>.  A</w:t>
      </w:r>
      <w:r w:rsidRPr="004C4156">
        <w:rPr>
          <w:rFonts w:ascii="Arial" w:hAnsi="Arial" w:cs="Arial"/>
          <w:sz w:val="24"/>
          <w:szCs w:val="24"/>
        </w:rPr>
        <w:t xml:space="preserve">lthough </w:t>
      </w:r>
      <w:r>
        <w:rPr>
          <w:rFonts w:ascii="Arial" w:hAnsi="Arial" w:cs="Arial"/>
          <w:sz w:val="24"/>
          <w:szCs w:val="24"/>
        </w:rPr>
        <w:t>the Stipulation recommended that the Commission authorize the revised collateral calculation</w:t>
      </w:r>
      <w:r w:rsidRPr="004C4156">
        <w:rPr>
          <w:rFonts w:ascii="Arial" w:hAnsi="Arial" w:cs="Arial"/>
          <w:sz w:val="24"/>
          <w:szCs w:val="24"/>
        </w:rPr>
        <w:t>,</w:t>
      </w:r>
      <w:r>
        <w:rPr>
          <w:rFonts w:ascii="Arial" w:hAnsi="Arial" w:cs="Arial"/>
          <w:sz w:val="24"/>
          <w:szCs w:val="24"/>
        </w:rPr>
        <w:t xml:space="preserve"> DP&amp;L failed to submit any testimony or record evidence to support the change.  The Commission authorized the modification on October 20, 2017 as part of a stipulation that was authorized at an earlier stage of this case</w:t>
      </w:r>
      <w:r w:rsidR="00007755">
        <w:rPr>
          <w:rFonts w:ascii="Arial" w:hAnsi="Arial" w:cs="Arial"/>
          <w:sz w:val="24"/>
          <w:szCs w:val="24"/>
        </w:rPr>
        <w:t xml:space="preserve">.  </w:t>
      </w:r>
      <w:r w:rsidR="00BD045A">
        <w:rPr>
          <w:rFonts w:ascii="Arial" w:hAnsi="Arial" w:cs="Arial"/>
          <w:sz w:val="24"/>
          <w:szCs w:val="24"/>
        </w:rPr>
        <w:t>Th</w:t>
      </w:r>
      <w:r w:rsidR="00007755">
        <w:rPr>
          <w:rFonts w:ascii="Arial" w:hAnsi="Arial" w:cs="Arial"/>
          <w:sz w:val="24"/>
          <w:szCs w:val="24"/>
        </w:rPr>
        <w:t xml:space="preserve">e </w:t>
      </w:r>
      <w:r w:rsidR="00BD045A">
        <w:rPr>
          <w:rFonts w:ascii="Arial" w:hAnsi="Arial" w:cs="Arial"/>
          <w:sz w:val="24"/>
          <w:szCs w:val="24"/>
        </w:rPr>
        <w:t xml:space="preserve">Opinion and Order </w:t>
      </w:r>
      <w:r w:rsidR="008D2AC6">
        <w:rPr>
          <w:rFonts w:ascii="Arial" w:hAnsi="Arial" w:cs="Arial"/>
          <w:sz w:val="24"/>
          <w:szCs w:val="24"/>
        </w:rPr>
        <w:t>contained no analysis or citations to the record to justify DP&amp;L’s proposed collateral requirements.</w:t>
      </w:r>
      <w:r w:rsidR="00A54439">
        <w:rPr>
          <w:rFonts w:ascii="Arial" w:hAnsi="Arial" w:cs="Arial"/>
          <w:sz w:val="24"/>
          <w:szCs w:val="24"/>
        </w:rPr>
        <w:t xml:space="preserve">  </w:t>
      </w:r>
    </w:p>
    <w:p w14:paraId="619F6545" w14:textId="793D88B5" w:rsidR="004216F5" w:rsidRDefault="004216F5" w:rsidP="00A748D6">
      <w:pPr>
        <w:spacing w:after="120" w:line="480" w:lineRule="auto"/>
        <w:ind w:firstLine="720"/>
        <w:jc w:val="both"/>
        <w:rPr>
          <w:rFonts w:ascii="Arial" w:hAnsi="Arial" w:cs="Arial"/>
          <w:sz w:val="24"/>
          <w:szCs w:val="24"/>
        </w:rPr>
      </w:pPr>
      <w:r>
        <w:rPr>
          <w:rFonts w:ascii="Arial" w:hAnsi="Arial" w:cs="Arial"/>
          <w:sz w:val="24"/>
          <w:szCs w:val="24"/>
        </w:rPr>
        <w:t>After IGS was given a supplemental hearing to oppose the Stipulation, IGS presented testimony and briefs in opposition to the proposed modifications to DP&amp;L’s collateral requirements.</w:t>
      </w:r>
      <w:r w:rsidR="000D794F">
        <w:rPr>
          <w:rFonts w:ascii="Arial" w:hAnsi="Arial" w:cs="Arial"/>
          <w:sz w:val="24"/>
          <w:szCs w:val="24"/>
        </w:rPr>
        <w:t xml:space="preserve">  Nevertheless, the Commission rejected IGS’ challenge to </w:t>
      </w:r>
      <w:r w:rsidR="00CC2985">
        <w:rPr>
          <w:rFonts w:ascii="Arial" w:hAnsi="Arial" w:cs="Arial"/>
          <w:sz w:val="24"/>
          <w:szCs w:val="24"/>
        </w:rPr>
        <w:t xml:space="preserve">DP&amp;L’s proposal to modify its Supplier Tariff </w:t>
      </w:r>
      <w:r w:rsidR="00A748D6">
        <w:rPr>
          <w:rFonts w:ascii="Arial" w:hAnsi="Arial" w:cs="Arial"/>
          <w:sz w:val="24"/>
          <w:szCs w:val="24"/>
        </w:rPr>
        <w:t xml:space="preserve">on a finding that </w:t>
      </w:r>
      <w:r w:rsidRPr="004C4156">
        <w:rPr>
          <w:rFonts w:ascii="Arial" w:hAnsi="Arial" w:cs="Arial"/>
          <w:sz w:val="24"/>
          <w:szCs w:val="24"/>
        </w:rPr>
        <w:t>“IGS is seeking to relitigate claims which were fully litigated and decided in DP&amp;L’s most recent distribution rate case.”</w:t>
      </w:r>
      <w:r w:rsidR="00005A98">
        <w:rPr>
          <w:rStyle w:val="FootnoteReference"/>
          <w:rFonts w:ascii="Arial" w:hAnsi="Arial" w:cs="Arial"/>
          <w:sz w:val="24"/>
          <w:szCs w:val="24"/>
        </w:rPr>
        <w:footnoteReference w:id="8"/>
      </w:r>
      <w:r w:rsidRPr="004C4156">
        <w:rPr>
          <w:rFonts w:ascii="Arial" w:hAnsi="Arial" w:cs="Arial"/>
          <w:sz w:val="24"/>
          <w:szCs w:val="24"/>
        </w:rPr>
        <w:t xml:space="preserve">  The modified Supplier Tariff, however, was never proposed or authorized in the distribution rate case—it was authorized here </w:t>
      </w:r>
      <w:r w:rsidR="00C136B2">
        <w:rPr>
          <w:rFonts w:ascii="Arial" w:hAnsi="Arial" w:cs="Arial"/>
          <w:sz w:val="24"/>
          <w:szCs w:val="24"/>
        </w:rPr>
        <w:t xml:space="preserve">in this case </w:t>
      </w:r>
      <w:r w:rsidRPr="004C4156">
        <w:rPr>
          <w:rFonts w:ascii="Arial" w:hAnsi="Arial" w:cs="Arial"/>
          <w:sz w:val="24"/>
          <w:szCs w:val="24"/>
        </w:rPr>
        <w:t xml:space="preserve">as part of a Stipulation. </w:t>
      </w:r>
    </w:p>
    <w:p w14:paraId="3AFCEA5F" w14:textId="18CF7D5A" w:rsidR="004216F5" w:rsidRPr="00022F93" w:rsidRDefault="004216F5" w:rsidP="00AB0422">
      <w:pPr>
        <w:spacing w:after="0" w:line="480" w:lineRule="auto"/>
        <w:ind w:firstLine="720"/>
        <w:jc w:val="both"/>
        <w:rPr>
          <w:rFonts w:ascii="Arial" w:hAnsi="Arial" w:cs="Arial"/>
          <w:sz w:val="24"/>
          <w:szCs w:val="24"/>
        </w:rPr>
      </w:pPr>
      <w:r>
        <w:rPr>
          <w:rFonts w:ascii="Arial" w:hAnsi="Arial" w:cs="Arial"/>
          <w:sz w:val="24"/>
          <w:szCs w:val="24"/>
        </w:rPr>
        <w:lastRenderedPageBreak/>
        <w:t xml:space="preserve">While </w:t>
      </w:r>
      <w:r>
        <w:rPr>
          <w:rFonts w:ascii="Arial" w:eastAsia="Arial" w:hAnsi="Arial" w:cs="Arial"/>
          <w:bCs/>
          <w:sz w:val="24"/>
          <w:szCs w:val="24"/>
        </w:rPr>
        <w:t xml:space="preserve">the Distribution Order rejected IGS’ proposal to modify DP&amp;L’s collateral terms, the Commission’s reasoning implied the burden rested on IGS to disprove the reasonableness of DP&amp;L’s </w:t>
      </w:r>
      <w:r w:rsidRPr="00022F93">
        <w:rPr>
          <w:rFonts w:ascii="Arial" w:eastAsia="Arial" w:hAnsi="Arial" w:cs="Arial"/>
          <w:bCs/>
          <w:i/>
          <w:sz w:val="24"/>
          <w:szCs w:val="24"/>
        </w:rPr>
        <w:t>already authorized Supplier Tariff and collateral calculation</w:t>
      </w:r>
      <w:r w:rsidR="00A76895">
        <w:rPr>
          <w:rFonts w:ascii="Arial" w:eastAsia="Arial" w:hAnsi="Arial" w:cs="Arial"/>
          <w:bCs/>
          <w:sz w:val="24"/>
          <w:szCs w:val="24"/>
        </w:rPr>
        <w:t xml:space="preserve">. </w:t>
      </w:r>
      <w:r w:rsidR="00D4233C">
        <w:rPr>
          <w:rFonts w:ascii="Arial" w:eastAsia="Arial" w:hAnsi="Arial" w:cs="Arial"/>
          <w:bCs/>
          <w:sz w:val="24"/>
          <w:szCs w:val="24"/>
        </w:rPr>
        <w:t>The Distribution Order concluded “</w:t>
      </w:r>
      <w:r w:rsidR="00D4233C" w:rsidRPr="00D4233C">
        <w:rPr>
          <w:rFonts w:ascii="Arial" w:eastAsia="Arial" w:hAnsi="Arial" w:cs="Arial"/>
          <w:bCs/>
          <w:sz w:val="24"/>
          <w:szCs w:val="24"/>
        </w:rPr>
        <w:t>Staffs decision to forgo review of the Supplier Tariff was not unreasonable</w:t>
      </w:r>
      <w:r w:rsidR="00AB1F4D">
        <w:rPr>
          <w:rFonts w:ascii="Arial" w:eastAsia="Arial" w:hAnsi="Arial" w:cs="Arial"/>
          <w:bCs/>
          <w:sz w:val="24"/>
          <w:szCs w:val="24"/>
        </w:rPr>
        <w:t>.</w:t>
      </w:r>
      <w:r w:rsidR="00D4233C">
        <w:rPr>
          <w:rFonts w:ascii="Arial" w:eastAsia="Arial" w:hAnsi="Arial" w:cs="Arial"/>
          <w:bCs/>
          <w:sz w:val="24"/>
          <w:szCs w:val="24"/>
        </w:rPr>
        <w:t>”</w:t>
      </w:r>
      <w:r w:rsidR="00D4233C">
        <w:rPr>
          <w:rStyle w:val="FootnoteReference"/>
          <w:rFonts w:ascii="Arial" w:eastAsia="Arial" w:hAnsi="Arial" w:cs="Arial"/>
          <w:bCs/>
          <w:sz w:val="24"/>
          <w:szCs w:val="24"/>
        </w:rPr>
        <w:footnoteReference w:id="9"/>
      </w:r>
      <w:r w:rsidR="009B4B2D">
        <w:rPr>
          <w:rFonts w:ascii="Arial" w:eastAsia="Arial" w:hAnsi="Arial" w:cs="Arial"/>
          <w:bCs/>
          <w:sz w:val="24"/>
          <w:szCs w:val="24"/>
        </w:rPr>
        <w:t xml:space="preserve">  And IGS had not presented </w:t>
      </w:r>
      <w:proofErr w:type="gramStart"/>
      <w:r w:rsidR="009B4B2D">
        <w:rPr>
          <w:rFonts w:ascii="Arial" w:eastAsia="Arial" w:hAnsi="Arial" w:cs="Arial"/>
          <w:bCs/>
          <w:sz w:val="24"/>
          <w:szCs w:val="24"/>
        </w:rPr>
        <w:t>sufficient</w:t>
      </w:r>
      <w:proofErr w:type="gramEnd"/>
      <w:r w:rsidR="009B4B2D">
        <w:rPr>
          <w:rFonts w:ascii="Arial" w:eastAsia="Arial" w:hAnsi="Arial" w:cs="Arial"/>
          <w:bCs/>
          <w:sz w:val="24"/>
          <w:szCs w:val="24"/>
        </w:rPr>
        <w:t xml:space="preserve"> evidence to modify provisions authorized in the ESP case:  </w:t>
      </w:r>
    </w:p>
    <w:p w14:paraId="36851640" w14:textId="2160E635" w:rsidR="00717CB9" w:rsidRDefault="004216F5" w:rsidP="00AB0422">
      <w:pPr>
        <w:spacing w:after="120" w:line="240" w:lineRule="auto"/>
        <w:ind w:left="720" w:right="720"/>
        <w:jc w:val="both"/>
        <w:rPr>
          <w:rFonts w:ascii="Arial" w:hAnsi="Arial" w:cs="Arial"/>
          <w:sz w:val="24"/>
          <w:szCs w:val="24"/>
        </w:rPr>
      </w:pPr>
      <w:r w:rsidRPr="00B06542">
        <w:rPr>
          <w:rFonts w:ascii="Arial" w:eastAsia="Arial" w:hAnsi="Arial" w:cs="Arial"/>
          <w:bCs/>
          <w:sz w:val="24"/>
          <w:szCs w:val="24"/>
        </w:rPr>
        <w:t>The Commission finds that the evidence in the record does not support</w:t>
      </w:r>
      <w:r>
        <w:rPr>
          <w:rFonts w:ascii="Arial" w:eastAsia="Arial" w:hAnsi="Arial" w:cs="Arial"/>
          <w:bCs/>
          <w:sz w:val="24"/>
          <w:szCs w:val="24"/>
        </w:rPr>
        <w:t xml:space="preserve"> </w:t>
      </w:r>
      <w:r w:rsidRPr="00022F93">
        <w:rPr>
          <w:rFonts w:ascii="Arial" w:eastAsia="Arial" w:hAnsi="Arial" w:cs="Arial"/>
          <w:bCs/>
          <w:i/>
          <w:sz w:val="24"/>
          <w:szCs w:val="24"/>
        </w:rPr>
        <w:t>modification</w:t>
      </w:r>
      <w:r w:rsidRPr="00B06542">
        <w:rPr>
          <w:rFonts w:ascii="Arial" w:eastAsia="Arial" w:hAnsi="Arial" w:cs="Arial"/>
          <w:bCs/>
          <w:sz w:val="24"/>
          <w:szCs w:val="24"/>
        </w:rPr>
        <w:t xml:space="preserve"> of the credit and collateral</w:t>
      </w:r>
      <w:r>
        <w:rPr>
          <w:rFonts w:ascii="Arial" w:eastAsia="Arial" w:hAnsi="Arial" w:cs="Arial"/>
          <w:bCs/>
          <w:sz w:val="24"/>
          <w:szCs w:val="24"/>
        </w:rPr>
        <w:t xml:space="preserve"> </w:t>
      </w:r>
      <w:r w:rsidRPr="00B06542">
        <w:rPr>
          <w:rFonts w:ascii="Arial" w:eastAsia="Arial" w:hAnsi="Arial" w:cs="Arial"/>
          <w:bCs/>
          <w:sz w:val="24"/>
          <w:szCs w:val="24"/>
        </w:rPr>
        <w:t>requirements</w:t>
      </w:r>
      <w:r>
        <w:rPr>
          <w:rFonts w:ascii="Arial" w:eastAsia="Arial" w:hAnsi="Arial" w:cs="Arial"/>
          <w:bCs/>
          <w:sz w:val="24"/>
          <w:szCs w:val="24"/>
        </w:rPr>
        <w:t xml:space="preserve"> </w:t>
      </w:r>
      <w:r w:rsidRPr="00B06542">
        <w:rPr>
          <w:rFonts w:ascii="Arial" w:eastAsia="Arial" w:hAnsi="Arial" w:cs="Arial"/>
          <w:bCs/>
          <w:sz w:val="24"/>
          <w:szCs w:val="24"/>
        </w:rPr>
        <w:t>in the Supplier Tariff. As DP&amp;L notes,</w:t>
      </w:r>
      <w:r>
        <w:rPr>
          <w:rFonts w:ascii="Arial" w:eastAsia="Arial" w:hAnsi="Arial" w:cs="Arial"/>
          <w:bCs/>
          <w:sz w:val="24"/>
          <w:szCs w:val="24"/>
        </w:rPr>
        <w:t xml:space="preserve"> </w:t>
      </w:r>
      <w:r w:rsidRPr="00B06542">
        <w:rPr>
          <w:rFonts w:ascii="Arial" w:eastAsia="Arial" w:hAnsi="Arial" w:cs="Arial"/>
          <w:bCs/>
          <w:sz w:val="24"/>
          <w:szCs w:val="24"/>
        </w:rPr>
        <w:t>the Supplier Tariff does not distinguish between public and private companies; the Supplier</w:t>
      </w:r>
      <w:r>
        <w:rPr>
          <w:rFonts w:ascii="Arial" w:eastAsia="Arial" w:hAnsi="Arial" w:cs="Arial"/>
          <w:bCs/>
          <w:sz w:val="24"/>
          <w:szCs w:val="24"/>
        </w:rPr>
        <w:t xml:space="preserve"> </w:t>
      </w:r>
      <w:r w:rsidRPr="00B06542">
        <w:rPr>
          <w:rFonts w:ascii="Arial" w:eastAsia="Arial" w:hAnsi="Arial" w:cs="Arial"/>
          <w:bCs/>
          <w:sz w:val="24"/>
          <w:szCs w:val="24"/>
        </w:rPr>
        <w:t>Tariff provides that companies, public or private, which have established their</w:t>
      </w:r>
      <w:r>
        <w:rPr>
          <w:rFonts w:ascii="Arial" w:eastAsia="Arial" w:hAnsi="Arial" w:cs="Arial"/>
          <w:bCs/>
          <w:sz w:val="24"/>
          <w:szCs w:val="24"/>
        </w:rPr>
        <w:t xml:space="preserve"> </w:t>
      </w:r>
      <w:r w:rsidRPr="00B06542">
        <w:rPr>
          <w:rFonts w:ascii="Arial" w:eastAsia="Arial" w:hAnsi="Arial" w:cs="Arial"/>
          <w:bCs/>
          <w:sz w:val="24"/>
          <w:szCs w:val="24"/>
        </w:rPr>
        <w:t>creditworthiness by obtaining an investment grade credit rating need not post collateral.</w:t>
      </w:r>
      <w:r>
        <w:rPr>
          <w:rFonts w:ascii="Arial" w:eastAsia="Arial" w:hAnsi="Arial" w:cs="Arial"/>
          <w:bCs/>
          <w:sz w:val="24"/>
          <w:szCs w:val="24"/>
        </w:rPr>
        <w:t xml:space="preserve"> </w:t>
      </w:r>
      <w:r w:rsidRPr="00B06542">
        <w:rPr>
          <w:rFonts w:ascii="Arial" w:eastAsia="Arial" w:hAnsi="Arial" w:cs="Arial"/>
          <w:bCs/>
          <w:sz w:val="24"/>
          <w:szCs w:val="24"/>
        </w:rPr>
        <w:t>The record demonstrates that there is nothing to stop private companies from obtaining</w:t>
      </w:r>
      <w:r>
        <w:rPr>
          <w:rFonts w:ascii="Arial" w:eastAsia="Arial" w:hAnsi="Arial" w:cs="Arial"/>
          <w:bCs/>
          <w:sz w:val="24"/>
          <w:szCs w:val="24"/>
        </w:rPr>
        <w:t xml:space="preserve"> </w:t>
      </w:r>
      <w:r w:rsidRPr="00B06542">
        <w:rPr>
          <w:rFonts w:ascii="Arial" w:eastAsia="Arial" w:hAnsi="Arial" w:cs="Arial"/>
          <w:bCs/>
          <w:sz w:val="24"/>
          <w:szCs w:val="24"/>
        </w:rPr>
        <w:t>credit ratings</w:t>
      </w:r>
      <w:r>
        <w:rPr>
          <w:rFonts w:ascii="Arial" w:eastAsia="Arial" w:hAnsi="Arial" w:cs="Arial"/>
          <w:bCs/>
          <w:sz w:val="24"/>
          <w:szCs w:val="24"/>
        </w:rPr>
        <w:t>.</w:t>
      </w:r>
      <w:r>
        <w:rPr>
          <w:rStyle w:val="FootnoteReference"/>
          <w:rFonts w:ascii="Arial" w:eastAsia="Arial" w:hAnsi="Arial" w:cs="Arial"/>
          <w:bCs/>
          <w:sz w:val="24"/>
          <w:szCs w:val="24"/>
        </w:rPr>
        <w:footnoteReference w:id="10"/>
      </w:r>
      <w:r w:rsidRPr="00B06542">
        <w:rPr>
          <w:rFonts w:ascii="Arial" w:eastAsia="Arial" w:hAnsi="Arial" w:cs="Arial"/>
          <w:bCs/>
          <w:sz w:val="24"/>
          <w:szCs w:val="24"/>
        </w:rPr>
        <w:t xml:space="preserve"> </w:t>
      </w:r>
      <w:r w:rsidR="00717CB9">
        <w:rPr>
          <w:rFonts w:ascii="Arial" w:hAnsi="Arial" w:cs="Arial"/>
          <w:sz w:val="24"/>
          <w:szCs w:val="24"/>
        </w:rPr>
        <w:t xml:space="preserve"> </w:t>
      </w:r>
    </w:p>
    <w:p w14:paraId="4363061C" w14:textId="3543F4CC" w:rsidR="002F721D" w:rsidRPr="009B4B2D" w:rsidRDefault="009B4B2D" w:rsidP="009B4B2D">
      <w:pPr>
        <w:spacing w:after="120" w:line="480" w:lineRule="auto"/>
        <w:jc w:val="both"/>
        <w:rPr>
          <w:rFonts w:ascii="Arial" w:eastAsia="Arial" w:hAnsi="Arial" w:cs="Arial"/>
          <w:bCs/>
          <w:sz w:val="24"/>
          <w:szCs w:val="24"/>
        </w:rPr>
      </w:pPr>
      <w:r>
        <w:rPr>
          <w:rFonts w:ascii="Arial" w:eastAsia="Arial" w:hAnsi="Arial" w:cs="Arial"/>
          <w:bCs/>
          <w:sz w:val="24"/>
          <w:szCs w:val="24"/>
        </w:rPr>
        <w:t>The Distribution Order, however, cited no evidence to support DP&amp;L’s collateral requirements.  Rather, it assumed that</w:t>
      </w:r>
      <w:r w:rsidR="00903CB6">
        <w:rPr>
          <w:rFonts w:ascii="Arial" w:eastAsia="Arial" w:hAnsi="Arial" w:cs="Arial"/>
          <w:bCs/>
          <w:sz w:val="24"/>
          <w:szCs w:val="24"/>
        </w:rPr>
        <w:t xml:space="preserve"> they</w:t>
      </w:r>
      <w:r>
        <w:rPr>
          <w:rFonts w:ascii="Arial" w:eastAsia="Arial" w:hAnsi="Arial" w:cs="Arial"/>
          <w:bCs/>
          <w:sz w:val="24"/>
          <w:szCs w:val="24"/>
        </w:rPr>
        <w:t xml:space="preserve"> were reasonable and indicated that IGS had failed to satisfy its evidentiary burden to modify them.</w:t>
      </w:r>
      <w:r w:rsidR="002F721D">
        <w:rPr>
          <w:rFonts w:ascii="Arial" w:eastAsia="Arial" w:hAnsi="Arial" w:cs="Arial"/>
          <w:bCs/>
          <w:sz w:val="24"/>
          <w:szCs w:val="24"/>
        </w:rPr>
        <w:t xml:space="preserve"> </w:t>
      </w:r>
    </w:p>
    <w:p w14:paraId="6FA19356" w14:textId="003AF2DB" w:rsidR="009D4A7F" w:rsidRPr="009D4A7F" w:rsidRDefault="004216F5" w:rsidP="00D87CCB">
      <w:pPr>
        <w:spacing w:after="0" w:line="480" w:lineRule="auto"/>
        <w:ind w:firstLine="720"/>
        <w:jc w:val="both"/>
        <w:rPr>
          <w:rFonts w:ascii="Arial" w:eastAsia="Arial" w:hAnsi="Arial" w:cs="Arial"/>
          <w:bCs/>
          <w:sz w:val="24"/>
          <w:szCs w:val="24"/>
        </w:rPr>
      </w:pPr>
      <w:r>
        <w:rPr>
          <w:rFonts w:ascii="Arial" w:eastAsia="Arial" w:hAnsi="Arial" w:cs="Arial"/>
          <w:bCs/>
          <w:sz w:val="24"/>
          <w:szCs w:val="24"/>
        </w:rPr>
        <w:t xml:space="preserve">As noted above, the tariff under review in the distribution rate case was authorized </w:t>
      </w:r>
      <w:r w:rsidRPr="00022F93">
        <w:rPr>
          <w:rFonts w:ascii="Arial" w:eastAsia="Arial" w:hAnsi="Arial" w:cs="Arial"/>
          <w:bCs/>
          <w:i/>
          <w:sz w:val="24"/>
          <w:szCs w:val="24"/>
        </w:rPr>
        <w:t xml:space="preserve">in </w:t>
      </w:r>
      <w:r w:rsidR="000D53EE">
        <w:rPr>
          <w:rFonts w:ascii="Arial" w:eastAsia="Arial" w:hAnsi="Arial" w:cs="Arial"/>
          <w:bCs/>
          <w:i/>
          <w:sz w:val="24"/>
          <w:szCs w:val="24"/>
        </w:rPr>
        <w:t>the ESP</w:t>
      </w:r>
      <w:r w:rsidR="000D53EE" w:rsidRPr="00022F93">
        <w:rPr>
          <w:rFonts w:ascii="Arial" w:eastAsia="Arial" w:hAnsi="Arial" w:cs="Arial"/>
          <w:bCs/>
          <w:i/>
          <w:sz w:val="24"/>
          <w:szCs w:val="24"/>
        </w:rPr>
        <w:t xml:space="preserve"> </w:t>
      </w:r>
      <w:r w:rsidRPr="00022F93">
        <w:rPr>
          <w:rFonts w:ascii="Arial" w:eastAsia="Arial" w:hAnsi="Arial" w:cs="Arial"/>
          <w:bCs/>
          <w:i/>
          <w:sz w:val="24"/>
          <w:szCs w:val="24"/>
        </w:rPr>
        <w:t>proceeding</w:t>
      </w:r>
      <w:r>
        <w:rPr>
          <w:rFonts w:ascii="Arial" w:eastAsia="Arial" w:hAnsi="Arial" w:cs="Arial"/>
          <w:bCs/>
          <w:sz w:val="24"/>
          <w:szCs w:val="24"/>
        </w:rPr>
        <w:t xml:space="preserve"> on October 20, 2017 as part of a stipulation.  </w:t>
      </w:r>
      <w:r w:rsidR="000D53EE">
        <w:rPr>
          <w:rFonts w:ascii="Arial" w:eastAsia="Arial" w:hAnsi="Arial" w:cs="Arial"/>
          <w:bCs/>
          <w:sz w:val="24"/>
          <w:szCs w:val="24"/>
        </w:rPr>
        <w:t xml:space="preserve">Since </w:t>
      </w:r>
      <w:r>
        <w:rPr>
          <w:rFonts w:ascii="Arial" w:eastAsia="Arial" w:hAnsi="Arial" w:cs="Arial"/>
          <w:bCs/>
          <w:sz w:val="24"/>
          <w:szCs w:val="24"/>
        </w:rPr>
        <w:t xml:space="preserve">IGS withdrew from that </w:t>
      </w:r>
      <w:r w:rsidR="000355AB">
        <w:rPr>
          <w:rFonts w:ascii="Arial" w:eastAsia="Arial" w:hAnsi="Arial" w:cs="Arial"/>
          <w:bCs/>
          <w:sz w:val="24"/>
          <w:szCs w:val="24"/>
        </w:rPr>
        <w:t>S</w:t>
      </w:r>
      <w:r>
        <w:rPr>
          <w:rFonts w:ascii="Arial" w:eastAsia="Arial" w:hAnsi="Arial" w:cs="Arial"/>
          <w:bCs/>
          <w:sz w:val="24"/>
          <w:szCs w:val="24"/>
        </w:rPr>
        <w:t xml:space="preserve">tipulation on October 19, 2018, IGS </w:t>
      </w:r>
      <w:r w:rsidR="000D53EE">
        <w:rPr>
          <w:rFonts w:ascii="Arial" w:eastAsia="Arial" w:hAnsi="Arial" w:cs="Arial"/>
          <w:bCs/>
          <w:sz w:val="24"/>
          <w:szCs w:val="24"/>
        </w:rPr>
        <w:t>now has</w:t>
      </w:r>
      <w:r>
        <w:rPr>
          <w:rFonts w:ascii="Arial" w:eastAsia="Arial" w:hAnsi="Arial" w:cs="Arial"/>
          <w:bCs/>
          <w:sz w:val="24"/>
          <w:szCs w:val="24"/>
        </w:rPr>
        <w:t xml:space="preserve"> a blank slate to challenge </w:t>
      </w:r>
      <w:proofErr w:type="gramStart"/>
      <w:r>
        <w:rPr>
          <w:rFonts w:ascii="Arial" w:eastAsia="Arial" w:hAnsi="Arial" w:cs="Arial"/>
          <w:bCs/>
          <w:sz w:val="24"/>
          <w:szCs w:val="24"/>
        </w:rPr>
        <w:t>each and every</w:t>
      </w:r>
      <w:proofErr w:type="gramEnd"/>
      <w:r>
        <w:rPr>
          <w:rFonts w:ascii="Arial" w:eastAsia="Arial" w:hAnsi="Arial" w:cs="Arial"/>
          <w:bCs/>
          <w:sz w:val="24"/>
          <w:szCs w:val="24"/>
        </w:rPr>
        <w:t xml:space="preserve"> element of the Stipulation</w:t>
      </w:r>
      <w:r w:rsidR="00B35632">
        <w:rPr>
          <w:rFonts w:ascii="Arial" w:eastAsia="Arial" w:hAnsi="Arial" w:cs="Arial"/>
          <w:bCs/>
          <w:sz w:val="24"/>
          <w:szCs w:val="24"/>
        </w:rPr>
        <w:t>—</w:t>
      </w:r>
      <w:r>
        <w:rPr>
          <w:rFonts w:ascii="Arial" w:eastAsia="Arial" w:hAnsi="Arial" w:cs="Arial"/>
          <w:bCs/>
          <w:sz w:val="24"/>
          <w:szCs w:val="24"/>
        </w:rPr>
        <w:t>including the proposed collateral requirements.</w:t>
      </w:r>
      <w:r w:rsidR="002F721D">
        <w:rPr>
          <w:rFonts w:ascii="Arial" w:eastAsia="Arial" w:hAnsi="Arial" w:cs="Arial"/>
          <w:bCs/>
          <w:sz w:val="24"/>
          <w:szCs w:val="24"/>
        </w:rPr>
        <w:t xml:space="preserve">  Even </w:t>
      </w:r>
      <w:proofErr w:type="gramStart"/>
      <w:r w:rsidR="002F721D">
        <w:rPr>
          <w:rFonts w:ascii="Arial" w:eastAsia="Arial" w:hAnsi="Arial" w:cs="Arial"/>
          <w:bCs/>
          <w:sz w:val="24"/>
          <w:szCs w:val="24"/>
        </w:rPr>
        <w:t>assuming that</w:t>
      </w:r>
      <w:proofErr w:type="gramEnd"/>
      <w:r w:rsidR="002F721D">
        <w:rPr>
          <w:rFonts w:ascii="Arial" w:eastAsia="Arial" w:hAnsi="Arial" w:cs="Arial"/>
          <w:bCs/>
          <w:sz w:val="24"/>
          <w:szCs w:val="24"/>
        </w:rPr>
        <w:t xml:space="preserve"> the standard </w:t>
      </w:r>
      <w:r w:rsidR="006F4606">
        <w:rPr>
          <w:rFonts w:ascii="Arial" w:eastAsia="Arial" w:hAnsi="Arial" w:cs="Arial"/>
          <w:bCs/>
          <w:sz w:val="24"/>
          <w:szCs w:val="24"/>
        </w:rPr>
        <w:t xml:space="preserve">of review </w:t>
      </w:r>
      <w:r w:rsidR="002F721D">
        <w:rPr>
          <w:rFonts w:ascii="Arial" w:eastAsia="Arial" w:hAnsi="Arial" w:cs="Arial"/>
          <w:bCs/>
          <w:sz w:val="24"/>
          <w:szCs w:val="24"/>
        </w:rPr>
        <w:t xml:space="preserve">applied by the Commission in the Distribution Order was lawful, such a </w:t>
      </w:r>
      <w:r w:rsidR="006F4606">
        <w:rPr>
          <w:rFonts w:ascii="Arial" w:eastAsia="Arial" w:hAnsi="Arial" w:cs="Arial"/>
          <w:bCs/>
          <w:sz w:val="24"/>
          <w:szCs w:val="24"/>
        </w:rPr>
        <w:t>deferential standard in this proceeding cannot withstand appellate review.</w:t>
      </w:r>
    </w:p>
    <w:p w14:paraId="38541A98" w14:textId="5C984BF7" w:rsidR="00046D5D" w:rsidRDefault="004216F5" w:rsidP="004216F5">
      <w:pPr>
        <w:spacing w:after="120" w:line="480" w:lineRule="auto"/>
        <w:ind w:firstLine="720"/>
        <w:jc w:val="both"/>
        <w:rPr>
          <w:rFonts w:ascii="Arial" w:hAnsi="Arial" w:cs="Arial"/>
          <w:sz w:val="24"/>
          <w:szCs w:val="24"/>
        </w:rPr>
      </w:pPr>
      <w:r>
        <w:rPr>
          <w:rFonts w:ascii="Arial" w:eastAsia="Arial" w:hAnsi="Arial" w:cs="Arial"/>
          <w:bCs/>
          <w:sz w:val="24"/>
          <w:szCs w:val="24"/>
        </w:rPr>
        <w:lastRenderedPageBreak/>
        <w:t>In this case, DP&amp;L was required to support each element of the Stipulation with record evidence</w:t>
      </w:r>
      <w:r w:rsidR="008A45F7">
        <w:rPr>
          <w:rFonts w:ascii="Arial" w:eastAsia="Arial" w:hAnsi="Arial" w:cs="Arial"/>
          <w:bCs/>
          <w:sz w:val="24"/>
          <w:szCs w:val="24"/>
        </w:rPr>
        <w:t>: “</w:t>
      </w:r>
      <w:r w:rsidR="002729C2">
        <w:rPr>
          <w:rFonts w:ascii="Arial" w:eastAsia="Arial" w:hAnsi="Arial" w:cs="Arial"/>
          <w:bCs/>
          <w:sz w:val="24"/>
          <w:szCs w:val="24"/>
        </w:rPr>
        <w:t>[t]h</w:t>
      </w:r>
      <w:r w:rsidR="008A45F7" w:rsidRPr="008A45F7">
        <w:rPr>
          <w:rFonts w:ascii="Arial" w:eastAsia="Arial" w:hAnsi="Arial" w:cs="Arial"/>
          <w:bCs/>
          <w:sz w:val="24"/>
          <w:szCs w:val="24"/>
        </w:rPr>
        <w:t xml:space="preserve">e </w:t>
      </w:r>
      <w:proofErr w:type="gramStart"/>
      <w:r w:rsidR="008A45F7" w:rsidRPr="008A45F7">
        <w:rPr>
          <w:rFonts w:ascii="Arial" w:eastAsia="Arial" w:hAnsi="Arial" w:cs="Arial"/>
          <w:bCs/>
          <w:sz w:val="24"/>
          <w:szCs w:val="24"/>
        </w:rPr>
        <w:t>burden</w:t>
      </w:r>
      <w:proofErr w:type="gramEnd"/>
      <w:r w:rsidR="008A45F7" w:rsidRPr="008A45F7">
        <w:rPr>
          <w:rFonts w:ascii="Arial" w:eastAsia="Arial" w:hAnsi="Arial" w:cs="Arial"/>
          <w:bCs/>
          <w:sz w:val="24"/>
          <w:szCs w:val="24"/>
        </w:rPr>
        <w:t xml:space="preserve"> of proof in the proceeding shall be on the electric distribution utility.</w:t>
      </w:r>
      <w:r w:rsidR="008A45F7">
        <w:rPr>
          <w:rFonts w:ascii="Arial" w:eastAsia="Arial" w:hAnsi="Arial" w:cs="Arial"/>
          <w:bCs/>
          <w:sz w:val="24"/>
          <w:szCs w:val="24"/>
        </w:rPr>
        <w:t>” R.C. 4928.143(C)(1).</w:t>
      </w:r>
      <w:r>
        <w:rPr>
          <w:rFonts w:ascii="Arial" w:eastAsia="Arial" w:hAnsi="Arial" w:cs="Arial"/>
          <w:bCs/>
          <w:sz w:val="24"/>
          <w:szCs w:val="24"/>
        </w:rPr>
        <w:t xml:space="preserve"> </w:t>
      </w:r>
      <w:r w:rsidR="008A45F7">
        <w:rPr>
          <w:rFonts w:ascii="Arial" w:eastAsia="Arial" w:hAnsi="Arial" w:cs="Arial"/>
          <w:bCs/>
          <w:sz w:val="24"/>
          <w:szCs w:val="24"/>
        </w:rPr>
        <w:t xml:space="preserve"> </w:t>
      </w:r>
      <w:r w:rsidRPr="004C4156">
        <w:rPr>
          <w:rFonts w:ascii="Arial" w:hAnsi="Arial" w:cs="Arial"/>
          <w:sz w:val="24"/>
          <w:szCs w:val="24"/>
        </w:rPr>
        <w:t>Stipulations</w:t>
      </w:r>
      <w:r>
        <w:rPr>
          <w:rFonts w:ascii="Arial" w:hAnsi="Arial" w:cs="Arial"/>
          <w:sz w:val="24"/>
          <w:szCs w:val="24"/>
        </w:rPr>
        <w:t xml:space="preserve"> </w:t>
      </w:r>
      <w:r w:rsidRPr="004C4156">
        <w:rPr>
          <w:rFonts w:ascii="Arial" w:hAnsi="Arial" w:cs="Arial"/>
          <w:sz w:val="24"/>
          <w:szCs w:val="24"/>
        </w:rPr>
        <w:t xml:space="preserve">are “considered merely as recommendations to the Commission and, while entitled to substantial weight, they must be supported by the evidence of record to withstand scrutiny.”  </w:t>
      </w:r>
      <w:r w:rsidRPr="004C4156">
        <w:rPr>
          <w:rFonts w:ascii="Arial" w:hAnsi="Arial" w:cs="Arial"/>
          <w:i/>
          <w:sz w:val="24"/>
          <w:szCs w:val="24"/>
        </w:rPr>
        <w:t>Indus. Energy Consumers of Ohio Power Co. v. Pub. Util. Comm.</w:t>
      </w:r>
      <w:r w:rsidRPr="004C4156">
        <w:rPr>
          <w:rFonts w:ascii="Arial" w:hAnsi="Arial" w:cs="Arial"/>
          <w:sz w:val="24"/>
          <w:szCs w:val="24"/>
        </w:rPr>
        <w:t>, 68 Ohio St.3d 559, 563</w:t>
      </w:r>
      <w:r w:rsidR="00B12651">
        <w:rPr>
          <w:rFonts w:ascii="Arial" w:hAnsi="Arial" w:cs="Arial"/>
          <w:sz w:val="24"/>
          <w:szCs w:val="24"/>
        </w:rPr>
        <w:t xml:space="preserve"> (</w:t>
      </w:r>
      <w:r w:rsidR="00A969D5">
        <w:rPr>
          <w:rFonts w:ascii="Arial" w:hAnsi="Arial" w:cs="Arial"/>
          <w:sz w:val="24"/>
          <w:szCs w:val="24"/>
        </w:rPr>
        <w:t>1994)</w:t>
      </w:r>
      <w:r w:rsidRPr="004C4156">
        <w:rPr>
          <w:rFonts w:ascii="Arial" w:hAnsi="Arial" w:cs="Arial"/>
          <w:sz w:val="24"/>
          <w:szCs w:val="24"/>
        </w:rPr>
        <w:t xml:space="preserve">.  </w:t>
      </w:r>
      <w:r w:rsidR="00603CCC">
        <w:rPr>
          <w:rFonts w:ascii="Arial" w:hAnsi="Arial" w:cs="Arial"/>
          <w:sz w:val="24"/>
          <w:szCs w:val="24"/>
        </w:rPr>
        <w:t xml:space="preserve">More importantly, </w:t>
      </w:r>
      <w:r w:rsidRPr="004C4156">
        <w:rPr>
          <w:rFonts w:ascii="Arial" w:hAnsi="Arial" w:cs="Arial"/>
          <w:sz w:val="24"/>
          <w:szCs w:val="24"/>
        </w:rPr>
        <w:t>“</w:t>
      </w:r>
      <w:r w:rsidR="00603CCC">
        <w:rPr>
          <w:rFonts w:ascii="Arial" w:hAnsi="Arial" w:cs="Arial"/>
          <w:sz w:val="24"/>
          <w:szCs w:val="24"/>
        </w:rPr>
        <w:t>[t]</w:t>
      </w:r>
      <w:r w:rsidRPr="004C4156">
        <w:rPr>
          <w:rFonts w:ascii="Arial" w:hAnsi="Arial" w:cs="Arial"/>
          <w:sz w:val="24"/>
          <w:szCs w:val="24"/>
        </w:rPr>
        <w:t xml:space="preserve">he agreement of some parties is no substitute for the many procedural protections reinforced by the evidentiary support requirement.” </w:t>
      </w:r>
      <w:r w:rsidRPr="004C4156">
        <w:rPr>
          <w:rFonts w:ascii="Arial" w:hAnsi="Arial" w:cs="Arial"/>
          <w:i/>
          <w:sz w:val="24"/>
          <w:szCs w:val="24"/>
        </w:rPr>
        <w:t>In re Application of Columbus S. Power Co.</w:t>
      </w:r>
      <w:r w:rsidRPr="004C4156">
        <w:rPr>
          <w:rFonts w:ascii="Arial" w:hAnsi="Arial" w:cs="Arial"/>
          <w:sz w:val="24"/>
          <w:szCs w:val="24"/>
        </w:rPr>
        <w:t>, 129 Ohio St.3d 46</w:t>
      </w:r>
      <w:r w:rsidR="00B05EAB">
        <w:rPr>
          <w:rFonts w:ascii="Arial" w:hAnsi="Arial" w:cs="Arial"/>
          <w:sz w:val="24"/>
          <w:szCs w:val="24"/>
        </w:rPr>
        <w:t>, 2011-Ohio-</w:t>
      </w:r>
      <w:r w:rsidR="005B1B85">
        <w:rPr>
          <w:rFonts w:ascii="Arial" w:hAnsi="Arial" w:cs="Arial"/>
          <w:sz w:val="24"/>
          <w:szCs w:val="24"/>
        </w:rPr>
        <w:t>2383</w:t>
      </w:r>
      <w:r w:rsidR="005B1B85" w:rsidRPr="00FA4B69">
        <w:rPr>
          <w:rFonts w:ascii="Arial" w:hAnsi="Arial" w:cs="Arial"/>
          <w:sz w:val="24"/>
          <w:szCs w:val="24"/>
        </w:rPr>
        <w:t xml:space="preserve">, </w:t>
      </w:r>
      <w:r w:rsidR="005B1B85" w:rsidRPr="001D06BF">
        <w:rPr>
          <w:rFonts w:ascii="Arial" w:hAnsi="Arial" w:cs="Arial"/>
          <w:sz w:val="24"/>
          <w:szCs w:val="24"/>
        </w:rPr>
        <w:t>¶</w:t>
      </w:r>
      <w:r w:rsidR="00FA4B69" w:rsidRPr="001D06BF">
        <w:rPr>
          <w:rFonts w:ascii="Arial" w:hAnsi="Arial" w:cs="Arial"/>
          <w:sz w:val="24"/>
          <w:szCs w:val="24"/>
        </w:rPr>
        <w:t xml:space="preserve"> 19.</w:t>
      </w:r>
    </w:p>
    <w:p w14:paraId="65AC25CC" w14:textId="523AF7B4" w:rsidR="004216F5" w:rsidRPr="00EF7940" w:rsidRDefault="004216F5" w:rsidP="004216F5">
      <w:pPr>
        <w:spacing w:after="120" w:line="480" w:lineRule="auto"/>
        <w:ind w:firstLine="720"/>
        <w:jc w:val="both"/>
        <w:rPr>
          <w:rFonts w:ascii="Arial" w:hAnsi="Arial" w:cs="Arial"/>
          <w:sz w:val="24"/>
          <w:szCs w:val="24"/>
        </w:rPr>
      </w:pPr>
      <w:r w:rsidRPr="004C4156">
        <w:rPr>
          <w:rFonts w:ascii="Arial" w:hAnsi="Arial" w:cs="Arial"/>
          <w:sz w:val="24"/>
          <w:szCs w:val="24"/>
        </w:rPr>
        <w:t xml:space="preserve">The Commission must issue orders based upon findings of fact derived from the record evidence.  R.C. 4903.09. DP&amp;L has not marked the application as an exhibit in this proceeding. DP&amp;L </w:t>
      </w:r>
      <w:r w:rsidR="00873405">
        <w:rPr>
          <w:rFonts w:ascii="Arial" w:hAnsi="Arial" w:cs="Arial"/>
          <w:sz w:val="24"/>
          <w:szCs w:val="24"/>
        </w:rPr>
        <w:t xml:space="preserve">also </w:t>
      </w:r>
      <w:r w:rsidRPr="004C4156">
        <w:rPr>
          <w:rFonts w:ascii="Arial" w:hAnsi="Arial" w:cs="Arial"/>
          <w:sz w:val="24"/>
          <w:szCs w:val="24"/>
        </w:rPr>
        <w:t xml:space="preserve">has </w:t>
      </w:r>
      <w:r w:rsidR="00873405">
        <w:rPr>
          <w:rFonts w:ascii="Arial" w:hAnsi="Arial" w:cs="Arial"/>
          <w:sz w:val="24"/>
          <w:szCs w:val="24"/>
        </w:rPr>
        <w:t xml:space="preserve">not </w:t>
      </w:r>
      <w:r w:rsidRPr="004C4156">
        <w:rPr>
          <w:rFonts w:ascii="Arial" w:hAnsi="Arial" w:cs="Arial"/>
          <w:sz w:val="24"/>
          <w:szCs w:val="24"/>
        </w:rPr>
        <w:t xml:space="preserve">provided </w:t>
      </w:r>
      <w:r w:rsidR="00873405">
        <w:rPr>
          <w:rFonts w:ascii="Arial" w:hAnsi="Arial" w:cs="Arial"/>
          <w:sz w:val="24"/>
          <w:szCs w:val="24"/>
        </w:rPr>
        <w:t>any</w:t>
      </w:r>
      <w:r w:rsidR="00873405" w:rsidRPr="004C4156">
        <w:rPr>
          <w:rFonts w:ascii="Arial" w:hAnsi="Arial" w:cs="Arial"/>
          <w:sz w:val="24"/>
          <w:szCs w:val="24"/>
        </w:rPr>
        <w:t xml:space="preserve"> </w:t>
      </w:r>
      <w:r w:rsidRPr="004C4156">
        <w:rPr>
          <w:rFonts w:ascii="Arial" w:hAnsi="Arial" w:cs="Arial"/>
          <w:sz w:val="24"/>
          <w:szCs w:val="24"/>
        </w:rPr>
        <w:t>testimony or evidence to support its proposed modification of the collateral requirements.</w:t>
      </w:r>
      <w:r w:rsidRPr="004C4156">
        <w:rPr>
          <w:rStyle w:val="FootnoteReference"/>
          <w:rFonts w:ascii="Arial" w:hAnsi="Arial" w:cs="Arial"/>
          <w:sz w:val="24"/>
          <w:szCs w:val="24"/>
        </w:rPr>
        <w:footnoteReference w:id="11"/>
      </w:r>
      <w:r w:rsidRPr="004C4156">
        <w:rPr>
          <w:rFonts w:ascii="Arial" w:hAnsi="Arial" w:cs="Arial"/>
          <w:sz w:val="24"/>
          <w:szCs w:val="24"/>
        </w:rPr>
        <w:t xml:space="preserve">  Given that DP&amp;L failed to provide evidence to support its proposed modification</w:t>
      </w:r>
      <w:r w:rsidR="002F721D">
        <w:rPr>
          <w:rFonts w:ascii="Arial" w:hAnsi="Arial" w:cs="Arial"/>
          <w:sz w:val="24"/>
          <w:szCs w:val="24"/>
        </w:rPr>
        <w:t>—</w:t>
      </w:r>
      <w:r w:rsidRPr="004C4156">
        <w:rPr>
          <w:rFonts w:ascii="Arial" w:hAnsi="Arial" w:cs="Arial"/>
          <w:sz w:val="24"/>
          <w:szCs w:val="24"/>
        </w:rPr>
        <w:t>and the</w:t>
      </w:r>
      <w:r w:rsidR="00BC46B1">
        <w:rPr>
          <w:rFonts w:ascii="Arial" w:hAnsi="Arial" w:cs="Arial"/>
          <w:sz w:val="24"/>
          <w:szCs w:val="24"/>
        </w:rPr>
        <w:t xml:space="preserve"> Supplemental</w:t>
      </w:r>
      <w:r w:rsidRPr="004C4156">
        <w:rPr>
          <w:rFonts w:ascii="Arial" w:hAnsi="Arial" w:cs="Arial"/>
          <w:sz w:val="24"/>
          <w:szCs w:val="24"/>
        </w:rPr>
        <w:t xml:space="preserve"> Order failed to identify any evidence</w:t>
      </w:r>
      <w:r w:rsidR="002F721D">
        <w:rPr>
          <w:rFonts w:ascii="Arial" w:hAnsi="Arial" w:cs="Arial"/>
          <w:sz w:val="24"/>
          <w:szCs w:val="24"/>
        </w:rPr>
        <w:t>—</w:t>
      </w:r>
      <w:r w:rsidRPr="001E71E5">
        <w:rPr>
          <w:rFonts w:ascii="Arial" w:hAnsi="Arial" w:cs="Arial"/>
          <w:sz w:val="24"/>
          <w:szCs w:val="24"/>
        </w:rPr>
        <w:t xml:space="preserve">the </w:t>
      </w:r>
      <w:r w:rsidR="00BC46B1">
        <w:rPr>
          <w:rFonts w:ascii="Arial" w:hAnsi="Arial" w:cs="Arial"/>
          <w:sz w:val="24"/>
          <w:szCs w:val="24"/>
        </w:rPr>
        <w:t xml:space="preserve">Supplemental </w:t>
      </w:r>
      <w:r w:rsidRPr="001E71E5">
        <w:rPr>
          <w:rFonts w:ascii="Arial" w:hAnsi="Arial" w:cs="Arial"/>
          <w:sz w:val="24"/>
          <w:szCs w:val="24"/>
        </w:rPr>
        <w:t>Order violated R.C. 4903.09</w:t>
      </w:r>
      <w:r w:rsidR="00B50CE4">
        <w:rPr>
          <w:rFonts w:ascii="Arial" w:hAnsi="Arial" w:cs="Arial"/>
          <w:sz w:val="24"/>
          <w:szCs w:val="24"/>
        </w:rPr>
        <w:t xml:space="preserve"> and R.C. 4928.143(C)(1)</w:t>
      </w:r>
      <w:r>
        <w:rPr>
          <w:rFonts w:ascii="Arial" w:hAnsi="Arial" w:cs="Arial"/>
          <w:sz w:val="24"/>
          <w:szCs w:val="24"/>
        </w:rPr>
        <w:t>.</w:t>
      </w:r>
      <w:r w:rsidR="002F721D">
        <w:rPr>
          <w:rFonts w:ascii="Arial" w:hAnsi="Arial" w:cs="Arial"/>
          <w:sz w:val="24"/>
          <w:szCs w:val="24"/>
        </w:rPr>
        <w:t xml:space="preserve">  </w:t>
      </w:r>
    </w:p>
    <w:p w14:paraId="18330137" w14:textId="390DEFE4" w:rsidR="004216F5" w:rsidRPr="001E71E5" w:rsidRDefault="004216F5" w:rsidP="004216F5">
      <w:pPr>
        <w:spacing w:after="0" w:line="480" w:lineRule="auto"/>
        <w:ind w:firstLine="720"/>
        <w:jc w:val="both"/>
        <w:rPr>
          <w:rFonts w:ascii="Arial" w:hAnsi="Arial" w:cs="Arial"/>
          <w:sz w:val="24"/>
          <w:szCs w:val="24"/>
        </w:rPr>
      </w:pPr>
      <w:r w:rsidRPr="001E71E5">
        <w:rPr>
          <w:rFonts w:ascii="Arial" w:hAnsi="Arial" w:cs="Arial"/>
          <w:sz w:val="24"/>
          <w:szCs w:val="24"/>
        </w:rPr>
        <w:t>Moreover, the</w:t>
      </w:r>
      <w:r w:rsidR="00197C2E">
        <w:rPr>
          <w:rFonts w:ascii="Arial" w:hAnsi="Arial" w:cs="Arial"/>
          <w:sz w:val="24"/>
          <w:szCs w:val="24"/>
        </w:rPr>
        <w:t xml:space="preserve"> </w:t>
      </w:r>
      <w:r w:rsidRPr="001E71E5">
        <w:rPr>
          <w:rFonts w:ascii="Arial" w:hAnsi="Arial" w:cs="Arial"/>
          <w:sz w:val="24"/>
          <w:szCs w:val="24"/>
        </w:rPr>
        <w:t>evidence that is in record demonstrates that DP&amp;L’s proposed collateral requirements are unreasonable</w:t>
      </w:r>
      <w:r w:rsidR="00C57EE9">
        <w:rPr>
          <w:rFonts w:ascii="Arial" w:hAnsi="Arial" w:cs="Arial"/>
          <w:sz w:val="24"/>
          <w:szCs w:val="24"/>
        </w:rPr>
        <w:t>,</w:t>
      </w:r>
      <w:r w:rsidRPr="001E71E5">
        <w:rPr>
          <w:rFonts w:ascii="Arial" w:hAnsi="Arial" w:cs="Arial"/>
          <w:sz w:val="24"/>
          <w:szCs w:val="24"/>
        </w:rPr>
        <w:t xml:space="preserve"> and any risk to DP&amp;L could be ameliorated through less burdensome means.</w:t>
      </w:r>
      <w:r w:rsidRPr="001E71E5">
        <w:rPr>
          <w:rStyle w:val="FootnoteReference"/>
          <w:rFonts w:ascii="Arial" w:hAnsi="Arial" w:cs="Arial"/>
          <w:sz w:val="24"/>
          <w:szCs w:val="24"/>
        </w:rPr>
        <w:footnoteReference w:id="12"/>
      </w:r>
      <w:r w:rsidRPr="001E71E5">
        <w:rPr>
          <w:rFonts w:ascii="Arial" w:hAnsi="Arial" w:cs="Arial"/>
          <w:sz w:val="24"/>
          <w:szCs w:val="24"/>
        </w:rPr>
        <w:t xml:space="preserve">  It simply does not make sense to increase the cost of doing business in the DP&amp;L service territory without compelling record evidence.</w:t>
      </w:r>
    </w:p>
    <w:p w14:paraId="77C2695A" w14:textId="0A74FE0E" w:rsidR="004216F5" w:rsidRPr="001E71E5" w:rsidRDefault="004216F5" w:rsidP="004216F5">
      <w:pPr>
        <w:spacing w:after="0" w:line="480" w:lineRule="auto"/>
        <w:ind w:firstLine="720"/>
        <w:jc w:val="both"/>
        <w:rPr>
          <w:rFonts w:ascii="Arial" w:hAnsi="Arial" w:cs="Arial"/>
          <w:sz w:val="24"/>
          <w:szCs w:val="24"/>
        </w:rPr>
      </w:pPr>
      <w:r w:rsidRPr="001E71E5">
        <w:rPr>
          <w:rFonts w:ascii="Arial" w:hAnsi="Arial" w:cs="Arial"/>
          <w:sz w:val="24"/>
          <w:szCs w:val="24"/>
        </w:rPr>
        <w:lastRenderedPageBreak/>
        <w:t xml:space="preserve">To that end, IGS recommended that the Commission direct DP&amp;L to consider specific metrics to apply as a reduction to the otherwise applicable collateral calculation.  Using these metrics, DP&amp;L may ensure that financially strong CRES providers are not required to post collateral </w:t>
      </w:r>
      <w:r w:rsidR="0096358E">
        <w:rPr>
          <w:rFonts w:ascii="Arial" w:hAnsi="Arial" w:cs="Arial"/>
          <w:sz w:val="24"/>
          <w:szCs w:val="24"/>
        </w:rPr>
        <w:t>that exceeds</w:t>
      </w:r>
      <w:r w:rsidRPr="001E71E5">
        <w:rPr>
          <w:rFonts w:ascii="Arial" w:hAnsi="Arial" w:cs="Arial"/>
          <w:sz w:val="24"/>
          <w:szCs w:val="24"/>
        </w:rPr>
        <w:t xml:space="preserve"> the risk they impose.  Mr. Crist recommended that DP&amp;L apply its proposed collateral calculation, and then reduce the total amount of collateral based upon three factors (1) Capital Structure; (2) Diversity of Portfolio; </w:t>
      </w:r>
      <w:r w:rsidR="00673A05">
        <w:rPr>
          <w:rFonts w:ascii="Arial" w:hAnsi="Arial" w:cs="Arial"/>
          <w:sz w:val="24"/>
          <w:szCs w:val="24"/>
        </w:rPr>
        <w:t xml:space="preserve">and </w:t>
      </w:r>
      <w:r w:rsidRPr="001E71E5">
        <w:rPr>
          <w:rFonts w:ascii="Arial" w:hAnsi="Arial" w:cs="Arial"/>
          <w:sz w:val="24"/>
          <w:szCs w:val="24"/>
        </w:rPr>
        <w:t>(3) Past Performance.</w:t>
      </w:r>
      <w:r w:rsidRPr="001E71E5">
        <w:rPr>
          <w:rStyle w:val="FootnoteReference"/>
          <w:rFonts w:ascii="Arial" w:hAnsi="Arial" w:cs="Arial"/>
          <w:sz w:val="24"/>
          <w:szCs w:val="24"/>
        </w:rPr>
        <w:footnoteReference w:id="13"/>
      </w:r>
      <w:r w:rsidRPr="001E71E5">
        <w:rPr>
          <w:rFonts w:ascii="Arial" w:hAnsi="Arial" w:cs="Arial"/>
          <w:sz w:val="24"/>
          <w:szCs w:val="24"/>
        </w:rPr>
        <w:t xml:space="preserve">  Specifically, Mr. Crist recommended that DP&amp;L consider the following factors to ensure that the posted credit is commensurate with the risk posed by the CRES provider:</w:t>
      </w:r>
    </w:p>
    <w:p w14:paraId="7850A1BF" w14:textId="77777777" w:rsidR="004216F5" w:rsidRPr="007A02F6" w:rsidRDefault="004216F5" w:rsidP="004216F5">
      <w:pPr>
        <w:pStyle w:val="ListParagraph"/>
        <w:numPr>
          <w:ilvl w:val="0"/>
          <w:numId w:val="24"/>
        </w:numPr>
        <w:spacing w:after="0" w:line="240" w:lineRule="auto"/>
        <w:ind w:left="720" w:right="720"/>
        <w:jc w:val="both"/>
        <w:rPr>
          <w:rFonts w:ascii="Arial" w:hAnsi="Arial" w:cs="Arial"/>
          <w:sz w:val="24"/>
          <w:szCs w:val="24"/>
        </w:rPr>
      </w:pPr>
      <w:r w:rsidRPr="007A02F6">
        <w:rPr>
          <w:rFonts w:ascii="Arial" w:hAnsi="Arial" w:cs="Arial"/>
          <w:b/>
          <w:sz w:val="24"/>
          <w:szCs w:val="24"/>
        </w:rPr>
        <w:t>Capital Structure</w:t>
      </w:r>
      <w:r w:rsidRPr="007A02F6">
        <w:rPr>
          <w:rFonts w:ascii="Arial" w:hAnsi="Arial" w:cs="Arial"/>
          <w:sz w:val="24"/>
          <w:szCs w:val="24"/>
        </w:rPr>
        <w:t>:  the lack of debt is an indication of financial strength; thus, for each percent of a supplier’s capital structure that is composed of equity over 50%, a 1% reduction in collateral.</w:t>
      </w:r>
    </w:p>
    <w:p w14:paraId="485A068F" w14:textId="77777777" w:rsidR="004216F5" w:rsidRPr="007A02F6" w:rsidRDefault="004216F5" w:rsidP="004216F5">
      <w:pPr>
        <w:pStyle w:val="ListParagraph"/>
        <w:spacing w:after="0" w:line="240" w:lineRule="auto"/>
        <w:ind w:right="720"/>
        <w:jc w:val="both"/>
        <w:rPr>
          <w:rFonts w:ascii="Arial" w:hAnsi="Arial" w:cs="Arial"/>
          <w:sz w:val="24"/>
          <w:szCs w:val="24"/>
        </w:rPr>
      </w:pPr>
    </w:p>
    <w:p w14:paraId="40BA84A0" w14:textId="77777777" w:rsidR="004216F5" w:rsidRPr="007A02F6" w:rsidRDefault="004216F5" w:rsidP="004216F5">
      <w:pPr>
        <w:pStyle w:val="ListParagraph"/>
        <w:numPr>
          <w:ilvl w:val="0"/>
          <w:numId w:val="24"/>
        </w:numPr>
        <w:spacing w:after="0" w:line="276" w:lineRule="auto"/>
        <w:ind w:left="720" w:right="720"/>
        <w:jc w:val="both"/>
        <w:rPr>
          <w:rFonts w:ascii="Arial" w:hAnsi="Arial" w:cs="Arial"/>
          <w:sz w:val="24"/>
          <w:szCs w:val="24"/>
        </w:rPr>
      </w:pPr>
      <w:r w:rsidRPr="007A02F6">
        <w:rPr>
          <w:rFonts w:ascii="Arial" w:hAnsi="Arial" w:cs="Arial"/>
          <w:b/>
          <w:sz w:val="24"/>
          <w:szCs w:val="24"/>
        </w:rPr>
        <w:t>Diversity of Portfolio</w:t>
      </w:r>
      <w:r w:rsidRPr="007A02F6">
        <w:rPr>
          <w:rFonts w:ascii="Arial" w:hAnsi="Arial" w:cs="Arial"/>
          <w:sz w:val="24"/>
          <w:szCs w:val="24"/>
        </w:rPr>
        <w:t>: diversity in business ensures that market dynamics are less likely to negatively impact cash flows; thus, for each percent of a supplier’s total business portfolio (revenues) that relates to nonelectric-related business, a corresponding 1% reduction in collateral.</w:t>
      </w:r>
    </w:p>
    <w:p w14:paraId="4E7EBE73" w14:textId="77777777" w:rsidR="004216F5" w:rsidRPr="007A02F6" w:rsidRDefault="004216F5" w:rsidP="004216F5">
      <w:pPr>
        <w:pStyle w:val="ListParagraph"/>
        <w:ind w:right="720"/>
        <w:rPr>
          <w:rFonts w:ascii="Arial" w:hAnsi="Arial" w:cs="Arial"/>
          <w:sz w:val="24"/>
          <w:szCs w:val="24"/>
        </w:rPr>
      </w:pPr>
    </w:p>
    <w:p w14:paraId="6F5D10D3" w14:textId="664C5FCF" w:rsidR="004216F5" w:rsidRPr="007A02F6" w:rsidRDefault="004216F5" w:rsidP="004216F5">
      <w:pPr>
        <w:pStyle w:val="ListParagraph"/>
        <w:numPr>
          <w:ilvl w:val="0"/>
          <w:numId w:val="24"/>
        </w:numPr>
        <w:spacing w:after="0" w:line="276" w:lineRule="auto"/>
        <w:ind w:left="720" w:right="720"/>
        <w:jc w:val="both"/>
        <w:rPr>
          <w:rFonts w:ascii="Arial" w:hAnsi="Arial" w:cs="Arial"/>
          <w:sz w:val="24"/>
          <w:szCs w:val="24"/>
        </w:rPr>
      </w:pPr>
      <w:r w:rsidRPr="007A02F6">
        <w:rPr>
          <w:rFonts w:ascii="Arial" w:hAnsi="Arial" w:cs="Arial"/>
          <w:b/>
          <w:sz w:val="24"/>
          <w:szCs w:val="24"/>
        </w:rPr>
        <w:t>Past Performance</w:t>
      </w:r>
      <w:r w:rsidRPr="007A02F6">
        <w:rPr>
          <w:rFonts w:ascii="Arial" w:hAnsi="Arial" w:cs="Arial"/>
          <w:sz w:val="24"/>
          <w:szCs w:val="24"/>
        </w:rPr>
        <w:t>:  an entit</w:t>
      </w:r>
      <w:r w:rsidR="00C45053">
        <w:rPr>
          <w:rFonts w:ascii="Arial" w:hAnsi="Arial" w:cs="Arial"/>
          <w:sz w:val="24"/>
          <w:szCs w:val="24"/>
        </w:rPr>
        <w:t>y’</w:t>
      </w:r>
      <w:r w:rsidRPr="007A02F6">
        <w:rPr>
          <w:rFonts w:ascii="Arial" w:hAnsi="Arial" w:cs="Arial"/>
          <w:sz w:val="24"/>
          <w:szCs w:val="24"/>
        </w:rPr>
        <w:t>s ability to meet its obligations over time is reflective of that entit</w:t>
      </w:r>
      <w:r w:rsidR="00C45053">
        <w:rPr>
          <w:rFonts w:ascii="Arial" w:hAnsi="Arial" w:cs="Arial"/>
          <w:sz w:val="24"/>
          <w:szCs w:val="24"/>
        </w:rPr>
        <w:t>y’</w:t>
      </w:r>
      <w:r w:rsidRPr="007A02F6">
        <w:rPr>
          <w:rFonts w:ascii="Arial" w:hAnsi="Arial" w:cs="Arial"/>
          <w:sz w:val="24"/>
          <w:szCs w:val="24"/>
        </w:rPr>
        <w:t>s ability to meet its ongoing obligations through different market dynamics; thus, a supplier should receive a 1% discount for each year that they have met their obligations in the DP&amp;L service territory.</w:t>
      </w:r>
      <w:r>
        <w:rPr>
          <w:rStyle w:val="FootnoteReference"/>
          <w:rFonts w:ascii="Arial" w:hAnsi="Arial" w:cs="Arial"/>
          <w:sz w:val="24"/>
          <w:szCs w:val="24"/>
        </w:rPr>
        <w:footnoteReference w:id="14"/>
      </w:r>
    </w:p>
    <w:p w14:paraId="605B60B1" w14:textId="77777777" w:rsidR="004216F5" w:rsidRPr="006374D9" w:rsidRDefault="004216F5" w:rsidP="004216F5">
      <w:pPr>
        <w:tabs>
          <w:tab w:val="left" w:pos="930"/>
        </w:tabs>
        <w:spacing w:after="0"/>
        <w:jc w:val="both"/>
        <w:rPr>
          <w:rFonts w:ascii="Arial" w:hAnsi="Arial" w:cs="Arial"/>
        </w:rPr>
      </w:pPr>
      <w:r w:rsidRPr="006374D9">
        <w:rPr>
          <w:rFonts w:ascii="Arial" w:hAnsi="Arial" w:cs="Arial"/>
        </w:rPr>
        <w:tab/>
      </w:r>
    </w:p>
    <w:p w14:paraId="6B5D1B86" w14:textId="6E4A3A3A" w:rsidR="00717CB9" w:rsidRDefault="004216F5" w:rsidP="00D50C40">
      <w:pPr>
        <w:spacing w:after="0" w:line="480" w:lineRule="auto"/>
        <w:jc w:val="both"/>
        <w:rPr>
          <w:rFonts w:ascii="Arial" w:hAnsi="Arial" w:cs="Arial"/>
          <w:sz w:val="24"/>
          <w:szCs w:val="24"/>
        </w:rPr>
      </w:pPr>
      <w:r w:rsidRPr="001E71E5">
        <w:rPr>
          <w:rFonts w:ascii="Arial" w:hAnsi="Arial" w:cs="Arial"/>
          <w:sz w:val="24"/>
          <w:szCs w:val="24"/>
        </w:rPr>
        <w:t>The adoption of these guidelines will ensure that DP&amp;L is consistent with the spirit of the tariff and the purpose behind collateral—to require CRES providers to post credit commensurate with the associated risk.</w:t>
      </w:r>
      <w:r w:rsidR="00BC46B1">
        <w:rPr>
          <w:rFonts w:ascii="Arial" w:hAnsi="Arial" w:cs="Arial"/>
          <w:sz w:val="24"/>
          <w:szCs w:val="24"/>
        </w:rPr>
        <w:t xml:space="preserve">  </w:t>
      </w:r>
      <w:r>
        <w:rPr>
          <w:rFonts w:ascii="Arial" w:hAnsi="Arial" w:cs="Arial"/>
          <w:sz w:val="24"/>
          <w:szCs w:val="24"/>
        </w:rPr>
        <w:t xml:space="preserve">Accordingly, the Supplemental Order unlawfully </w:t>
      </w:r>
      <w:r>
        <w:rPr>
          <w:rFonts w:ascii="Arial" w:hAnsi="Arial" w:cs="Arial"/>
          <w:sz w:val="24"/>
          <w:szCs w:val="24"/>
        </w:rPr>
        <w:lastRenderedPageBreak/>
        <w:t xml:space="preserve">and unreasonably authorized DP&amp;L to increase its collateral requirements without record support.  </w:t>
      </w:r>
    </w:p>
    <w:p w14:paraId="0CC6EBC4" w14:textId="6FA1CD17" w:rsidR="00717CB9" w:rsidRDefault="00717CB9" w:rsidP="00BC46B1">
      <w:pPr>
        <w:spacing w:after="120" w:line="480" w:lineRule="auto"/>
        <w:ind w:firstLine="720"/>
        <w:jc w:val="both"/>
        <w:rPr>
          <w:rFonts w:ascii="Arial" w:hAnsi="Arial" w:cs="Arial"/>
          <w:sz w:val="24"/>
          <w:szCs w:val="24"/>
        </w:rPr>
      </w:pPr>
      <w:r>
        <w:rPr>
          <w:rFonts w:ascii="Arial" w:hAnsi="Arial" w:cs="Arial"/>
          <w:sz w:val="24"/>
          <w:szCs w:val="24"/>
        </w:rPr>
        <w:t>The utter lack of a record</w:t>
      </w:r>
      <w:r w:rsidR="00BC46B1">
        <w:rPr>
          <w:rFonts w:ascii="Arial" w:hAnsi="Arial" w:cs="Arial"/>
          <w:sz w:val="24"/>
          <w:szCs w:val="24"/>
        </w:rPr>
        <w:t xml:space="preserve"> to support the change</w:t>
      </w:r>
      <w:r>
        <w:rPr>
          <w:rFonts w:ascii="Arial" w:hAnsi="Arial" w:cs="Arial"/>
          <w:sz w:val="24"/>
          <w:szCs w:val="24"/>
        </w:rPr>
        <w:t xml:space="preserve"> aside, on December 18, 2019, the Commission authorized DP&amp;L to withdraw its application in this proceeding in its entirety.  Given that fact, the terms and conditions proposed under the ESP—including DP&amp;L’s proposed collateral requirements—are similarly withdrawn.  On rehearing, the Commission should clarify that the collateral requirements proposed in the ESP case are no longer applicable.  DP&amp;L cannot withdraw its application and retain the benefits of proposals that are no longer before the Commission.  Should DP&amp;L wish to modify its collateral requirements in the future, it must justify the change in an appropriate filing before the Commission.  </w:t>
      </w:r>
    </w:p>
    <w:p w14:paraId="4E7EC3DB" w14:textId="6DF5E108" w:rsidR="004216F5" w:rsidRPr="00D50C40" w:rsidRDefault="00425AAD" w:rsidP="00717CB9">
      <w:pPr>
        <w:spacing w:after="0" w:line="480" w:lineRule="auto"/>
        <w:ind w:firstLine="720"/>
        <w:jc w:val="both"/>
        <w:rPr>
          <w:rFonts w:ascii="Arial" w:hAnsi="Arial" w:cs="Arial"/>
          <w:sz w:val="24"/>
          <w:szCs w:val="24"/>
        </w:rPr>
      </w:pPr>
      <w:r>
        <w:rPr>
          <w:rFonts w:ascii="Arial" w:hAnsi="Arial" w:cs="Arial"/>
          <w:sz w:val="24"/>
          <w:szCs w:val="24"/>
        </w:rPr>
        <w:t>To the extent that DP&amp;L’s proposed changes to the Supplier Tariff are not deemed withdrawn in their entirety,</w:t>
      </w:r>
      <w:r w:rsidR="004216F5">
        <w:rPr>
          <w:rFonts w:ascii="Arial" w:hAnsi="Arial" w:cs="Arial"/>
          <w:sz w:val="24"/>
          <w:szCs w:val="24"/>
        </w:rPr>
        <w:t xml:space="preserve"> the Commission should adopt more reasonable and less burdensome collateral requirements as proposed by IGS.</w:t>
      </w:r>
      <w:r>
        <w:rPr>
          <w:rFonts w:ascii="Arial" w:hAnsi="Arial" w:cs="Arial"/>
          <w:sz w:val="24"/>
          <w:szCs w:val="24"/>
        </w:rPr>
        <w:t xml:space="preserve">  </w:t>
      </w:r>
      <w:r w:rsidR="004216F5">
        <w:rPr>
          <w:rFonts w:ascii="Arial" w:hAnsi="Arial" w:cs="Arial"/>
          <w:sz w:val="24"/>
          <w:szCs w:val="24"/>
        </w:rPr>
        <w:t xml:space="preserve"> </w:t>
      </w:r>
    </w:p>
    <w:p w14:paraId="2EE06C75" w14:textId="11358B6F" w:rsidR="00594905" w:rsidRPr="00DE6735" w:rsidRDefault="00594905" w:rsidP="00DE6735">
      <w:pPr>
        <w:pStyle w:val="Heading2"/>
      </w:pPr>
      <w:bookmarkStart w:id="8" w:name="_Toc28008928"/>
      <w:r w:rsidRPr="00DE6735">
        <w:t>The Supplemental Order</w:t>
      </w:r>
      <w:r w:rsidR="00B45273" w:rsidRPr="00DE6735">
        <w:t xml:space="preserve"> </w:t>
      </w:r>
      <w:r w:rsidR="00FB4394" w:rsidRPr="00DE6735">
        <w:t xml:space="preserve">(¶ 84) </w:t>
      </w:r>
      <w:r w:rsidRPr="00DE6735">
        <w:t xml:space="preserve">unlawfully and unreasonably authorized DP&amp;L’s $5 switching fee.  The Supplemental Order impermissibly authorized the fee without rendering findings of fact and conclusions of law based upon the record in violation of R.C. 4903.09. </w:t>
      </w:r>
      <w:proofErr w:type="spellStart"/>
      <w:r w:rsidRPr="00DE6735">
        <w:rPr>
          <w:i/>
        </w:rPr>
        <w:t>Tongren</w:t>
      </w:r>
      <w:proofErr w:type="spellEnd"/>
      <w:r w:rsidRPr="00DE6735">
        <w:rPr>
          <w:i/>
        </w:rPr>
        <w:t xml:space="preserve"> v. Pub. Util. Comm.,</w:t>
      </w:r>
      <w:r w:rsidRPr="00DE6735">
        <w:t xml:space="preserve"> 85 Ohio St. 3d 87</w:t>
      </w:r>
      <w:r w:rsidR="00C9312A" w:rsidRPr="00DE6735">
        <w:t xml:space="preserve"> </w:t>
      </w:r>
      <w:r w:rsidR="00F85408" w:rsidRPr="00DE6735">
        <w:t>(1998)</w:t>
      </w:r>
      <w:r w:rsidR="00FE61D3" w:rsidRPr="00DE6735">
        <w:t xml:space="preserve">.  The fee is discriminatory, violates state policy, and precedent inasmuch as DP&amp;L assesses the fee to shopping customers while providing the same service for free to customers that take service under the SSO.  R.C. 4928.02(A); </w:t>
      </w:r>
      <w:r w:rsidR="00FE61D3" w:rsidRPr="00DE6735">
        <w:rPr>
          <w:i/>
        </w:rPr>
        <w:t xml:space="preserve">Ohio Consumers' Counsel v. </w:t>
      </w:r>
      <w:r w:rsidR="00E349EC" w:rsidRPr="00DE6735">
        <w:rPr>
          <w:i/>
        </w:rPr>
        <w:t xml:space="preserve">Pub. Util. Comm., </w:t>
      </w:r>
      <w:r w:rsidR="00FE61D3" w:rsidRPr="00DE6735">
        <w:t xml:space="preserve">109 Ohio St. 3d 328, 2006-Ohio-2110.  </w:t>
      </w:r>
      <w:r w:rsidR="006705FF" w:rsidRPr="00DE6735">
        <w:t>The Supplemental Order unlawfully and unreasonably determined that IGS’ is attempting to relitigate this matter; the issues decided DP&amp;L’s distribution rate case are not the same as the issues presented in this proceeding.</w:t>
      </w:r>
      <w:bookmarkEnd w:id="8"/>
    </w:p>
    <w:p w14:paraId="36E376B4" w14:textId="26BF0C94" w:rsidR="006E6473" w:rsidRDefault="006E6473" w:rsidP="006E6473">
      <w:pPr>
        <w:spacing w:after="120" w:line="480" w:lineRule="auto"/>
        <w:ind w:firstLine="720"/>
        <w:jc w:val="both"/>
        <w:rPr>
          <w:rFonts w:ascii="Arial" w:eastAsia="Arial" w:hAnsi="Arial" w:cs="Arial"/>
          <w:bCs/>
          <w:sz w:val="24"/>
          <w:szCs w:val="24"/>
        </w:rPr>
      </w:pPr>
      <w:r>
        <w:rPr>
          <w:rFonts w:ascii="Arial" w:eastAsia="Arial" w:hAnsi="Arial" w:cs="Arial"/>
          <w:bCs/>
          <w:sz w:val="24"/>
          <w:szCs w:val="24"/>
        </w:rPr>
        <w:lastRenderedPageBreak/>
        <w:t xml:space="preserve">DP&amp;L assesses </w:t>
      </w:r>
      <w:r w:rsidR="009247F2">
        <w:rPr>
          <w:rFonts w:ascii="Arial" w:eastAsia="Arial" w:hAnsi="Arial" w:cs="Arial"/>
          <w:bCs/>
          <w:sz w:val="24"/>
          <w:szCs w:val="24"/>
        </w:rPr>
        <w:t xml:space="preserve">customers </w:t>
      </w:r>
      <w:r>
        <w:rPr>
          <w:rFonts w:ascii="Arial" w:eastAsia="Arial" w:hAnsi="Arial" w:cs="Arial"/>
          <w:bCs/>
          <w:sz w:val="24"/>
          <w:szCs w:val="24"/>
        </w:rPr>
        <w:t xml:space="preserve">a $5 fee to switch from the SSO to a CRES provider or </w:t>
      </w:r>
      <w:r w:rsidR="00ED0348">
        <w:rPr>
          <w:rFonts w:ascii="Arial" w:eastAsia="Arial" w:hAnsi="Arial" w:cs="Arial"/>
          <w:bCs/>
          <w:sz w:val="24"/>
          <w:szCs w:val="24"/>
        </w:rPr>
        <w:t xml:space="preserve">to switch </w:t>
      </w:r>
      <w:r>
        <w:rPr>
          <w:rFonts w:ascii="Arial" w:eastAsia="Arial" w:hAnsi="Arial" w:cs="Arial"/>
          <w:bCs/>
          <w:sz w:val="24"/>
          <w:szCs w:val="24"/>
        </w:rPr>
        <w:t xml:space="preserve">from </w:t>
      </w:r>
      <w:r w:rsidR="00ED0348">
        <w:rPr>
          <w:rFonts w:ascii="Arial" w:eastAsia="Arial" w:hAnsi="Arial" w:cs="Arial"/>
          <w:bCs/>
          <w:sz w:val="24"/>
          <w:szCs w:val="24"/>
        </w:rPr>
        <w:t>one</w:t>
      </w:r>
      <w:r>
        <w:rPr>
          <w:rFonts w:ascii="Arial" w:eastAsia="Arial" w:hAnsi="Arial" w:cs="Arial"/>
          <w:bCs/>
          <w:sz w:val="24"/>
          <w:szCs w:val="24"/>
        </w:rPr>
        <w:t xml:space="preserve"> CRES provider to another.</w:t>
      </w:r>
      <w:r w:rsidRPr="006E6473">
        <w:rPr>
          <w:rStyle w:val="FootnoteReference"/>
          <w:rFonts w:ascii="Arial" w:hAnsi="Arial" w:cs="Arial"/>
          <w:sz w:val="24"/>
          <w:szCs w:val="24"/>
        </w:rPr>
        <w:t xml:space="preserve"> </w:t>
      </w:r>
      <w:r w:rsidRPr="006E6473">
        <w:rPr>
          <w:rStyle w:val="FootnoteReference"/>
          <w:rFonts w:ascii="Arial" w:hAnsi="Arial" w:cs="Arial"/>
          <w:sz w:val="24"/>
          <w:szCs w:val="24"/>
        </w:rPr>
        <w:footnoteReference w:id="15"/>
      </w:r>
      <w:r w:rsidRPr="006E6473">
        <w:rPr>
          <w:rFonts w:ascii="Arial" w:hAnsi="Arial" w:cs="Arial"/>
          <w:sz w:val="24"/>
          <w:szCs w:val="24"/>
        </w:rPr>
        <w:t xml:space="preserve"> </w:t>
      </w:r>
      <w:r>
        <w:rPr>
          <w:rFonts w:ascii="Arial" w:eastAsia="Arial" w:hAnsi="Arial" w:cs="Arial"/>
          <w:bCs/>
          <w:sz w:val="24"/>
          <w:szCs w:val="24"/>
        </w:rPr>
        <w:t xml:space="preserve">  The terms of the fee are discussed in two places: (1) the Supplier Tariff</w:t>
      </w:r>
      <w:r w:rsidR="00BC46B1">
        <w:rPr>
          <w:rFonts w:ascii="Arial" w:eastAsia="Arial" w:hAnsi="Arial" w:cs="Arial"/>
          <w:bCs/>
          <w:sz w:val="24"/>
          <w:szCs w:val="24"/>
        </w:rPr>
        <w:t xml:space="preserve"> (G8)</w:t>
      </w:r>
      <w:r>
        <w:rPr>
          <w:rFonts w:ascii="Arial" w:eastAsia="Arial" w:hAnsi="Arial" w:cs="Arial"/>
          <w:bCs/>
          <w:sz w:val="24"/>
          <w:szCs w:val="24"/>
        </w:rPr>
        <w:t>;</w:t>
      </w:r>
      <w:r w:rsidR="007969B2">
        <w:rPr>
          <w:rFonts w:ascii="Arial" w:eastAsia="Arial" w:hAnsi="Arial" w:cs="Arial"/>
          <w:bCs/>
          <w:sz w:val="24"/>
          <w:szCs w:val="24"/>
        </w:rPr>
        <w:t xml:space="preserve"> and</w:t>
      </w:r>
      <w:r>
        <w:rPr>
          <w:rFonts w:ascii="Arial" w:eastAsia="Arial" w:hAnsi="Arial" w:cs="Arial"/>
          <w:bCs/>
          <w:sz w:val="24"/>
          <w:szCs w:val="24"/>
        </w:rPr>
        <w:t xml:space="preserve"> (2) Tariff D34.  In this case, DP&amp;L proposed certain changes to the Supplier Tariff.  In the distribution rate case, DP&amp;L proposed to modify Tariff D34 </w:t>
      </w:r>
      <w:r w:rsidR="000C716C">
        <w:rPr>
          <w:rFonts w:ascii="Arial" w:eastAsia="Arial" w:hAnsi="Arial" w:cs="Arial"/>
          <w:bCs/>
          <w:sz w:val="24"/>
          <w:szCs w:val="24"/>
        </w:rPr>
        <w:t xml:space="preserve">so that </w:t>
      </w:r>
      <w:r>
        <w:rPr>
          <w:rFonts w:ascii="Arial" w:eastAsia="Arial" w:hAnsi="Arial" w:cs="Arial"/>
          <w:bCs/>
          <w:sz w:val="24"/>
          <w:szCs w:val="24"/>
        </w:rPr>
        <w:t>customers returning to the SSO do not pay a $5 fee.</w:t>
      </w:r>
    </w:p>
    <w:p w14:paraId="4F4DAC35" w14:textId="77B90F92" w:rsidR="006E6473" w:rsidRPr="004C4156" w:rsidRDefault="006E6473" w:rsidP="006E6473">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IGS challenged the switching fee in both cases, arguing that it should be eliminated</w:t>
      </w:r>
      <w:r w:rsidR="00B40253">
        <w:rPr>
          <w:rFonts w:ascii="Arial" w:eastAsia="Arial" w:hAnsi="Arial" w:cs="Arial"/>
          <w:bCs/>
          <w:sz w:val="24"/>
          <w:szCs w:val="24"/>
        </w:rPr>
        <w:t>,</w:t>
      </w:r>
      <w:r>
        <w:rPr>
          <w:rFonts w:ascii="Arial" w:eastAsia="Arial" w:hAnsi="Arial" w:cs="Arial"/>
          <w:bCs/>
          <w:sz w:val="24"/>
          <w:szCs w:val="24"/>
        </w:rPr>
        <w:t xml:space="preserve"> or, at a minimum, applied equally to all customers whether they switch to the SSO or a CRES provider.  </w:t>
      </w:r>
      <w:r w:rsidRPr="004C4156">
        <w:rPr>
          <w:rFonts w:ascii="Arial" w:eastAsia="Arial" w:hAnsi="Arial" w:cs="Arial"/>
          <w:bCs/>
          <w:sz w:val="24"/>
          <w:szCs w:val="24"/>
        </w:rPr>
        <w:t>Regarding IGS’ challeng</w:t>
      </w:r>
      <w:r>
        <w:rPr>
          <w:rFonts w:ascii="Arial" w:eastAsia="Arial" w:hAnsi="Arial" w:cs="Arial"/>
          <w:bCs/>
          <w:sz w:val="24"/>
          <w:szCs w:val="24"/>
        </w:rPr>
        <w:t>e</w:t>
      </w:r>
      <w:r w:rsidRPr="004C4156">
        <w:rPr>
          <w:rFonts w:ascii="Arial" w:eastAsia="Arial" w:hAnsi="Arial" w:cs="Arial"/>
          <w:bCs/>
          <w:sz w:val="24"/>
          <w:szCs w:val="24"/>
        </w:rPr>
        <w:t xml:space="preserve">, the </w:t>
      </w:r>
      <w:r>
        <w:rPr>
          <w:rFonts w:ascii="Arial" w:eastAsia="Arial" w:hAnsi="Arial" w:cs="Arial"/>
          <w:bCs/>
          <w:sz w:val="24"/>
          <w:szCs w:val="24"/>
        </w:rPr>
        <w:t xml:space="preserve">Distribution Order </w:t>
      </w:r>
      <w:r w:rsidRPr="004C4156">
        <w:rPr>
          <w:rFonts w:ascii="Arial" w:eastAsia="Arial" w:hAnsi="Arial" w:cs="Arial"/>
          <w:bCs/>
          <w:sz w:val="24"/>
          <w:szCs w:val="24"/>
        </w:rPr>
        <w:t xml:space="preserve">relied upon </w:t>
      </w:r>
      <w:r w:rsidRPr="004C4156">
        <w:rPr>
          <w:rFonts w:ascii="Arial" w:eastAsia="Arial" w:hAnsi="Arial" w:cs="Arial"/>
          <w:bCs/>
          <w:i/>
          <w:sz w:val="24"/>
          <w:szCs w:val="24"/>
        </w:rPr>
        <w:t xml:space="preserve">this case </w:t>
      </w:r>
      <w:r w:rsidRPr="004C4156">
        <w:rPr>
          <w:rFonts w:ascii="Arial" w:eastAsia="Arial" w:hAnsi="Arial" w:cs="Arial"/>
          <w:bCs/>
          <w:sz w:val="24"/>
          <w:szCs w:val="24"/>
        </w:rPr>
        <w:t xml:space="preserve">to disregard IGS’ argument: </w:t>
      </w:r>
    </w:p>
    <w:p w14:paraId="71D45EC4" w14:textId="24A4AD8C" w:rsidR="006E6473" w:rsidRPr="004C4156" w:rsidRDefault="006E6473" w:rsidP="006E6473">
      <w:pPr>
        <w:spacing w:after="0" w:line="240" w:lineRule="auto"/>
        <w:ind w:left="720" w:right="720" w:firstLine="720"/>
        <w:jc w:val="both"/>
        <w:rPr>
          <w:rFonts w:ascii="Arial" w:hAnsi="Arial" w:cs="Arial"/>
          <w:sz w:val="24"/>
          <w:szCs w:val="24"/>
        </w:rPr>
      </w:pPr>
      <w:r w:rsidRPr="004C4156">
        <w:rPr>
          <w:rFonts w:ascii="Arial" w:hAnsi="Arial" w:cs="Arial"/>
          <w:b/>
          <w:i/>
          <w:sz w:val="24"/>
          <w:szCs w:val="24"/>
        </w:rPr>
        <w:t>With respect to the switching fees, the Commission finds that the Supplier Tariff should not be modified as proposed by RESA.</w:t>
      </w:r>
      <w:r w:rsidRPr="004C4156">
        <w:rPr>
          <w:rFonts w:ascii="Arial" w:hAnsi="Arial" w:cs="Arial"/>
          <w:sz w:val="24"/>
          <w:szCs w:val="24"/>
        </w:rPr>
        <w:t xml:space="preserve"> </w:t>
      </w:r>
      <w:r w:rsidRPr="004C4156">
        <w:rPr>
          <w:rFonts w:ascii="Arial" w:hAnsi="Arial" w:cs="Arial"/>
          <w:b/>
          <w:i/>
          <w:sz w:val="24"/>
          <w:szCs w:val="24"/>
        </w:rPr>
        <w:t>DP&amp;L correctly notes that the Commission affirmed the switching fees in DP&amp;L</w:t>
      </w:r>
      <w:r w:rsidR="00656E89">
        <w:rPr>
          <w:rFonts w:ascii="Arial" w:hAnsi="Arial" w:cs="Arial"/>
          <w:b/>
          <w:i/>
          <w:sz w:val="24"/>
          <w:szCs w:val="24"/>
        </w:rPr>
        <w:t>’</w:t>
      </w:r>
      <w:r w:rsidRPr="004C4156">
        <w:rPr>
          <w:rFonts w:ascii="Arial" w:hAnsi="Arial" w:cs="Arial"/>
          <w:b/>
          <w:i/>
          <w:sz w:val="24"/>
          <w:szCs w:val="24"/>
        </w:rPr>
        <w:t>s SSO proceeding.</w:t>
      </w:r>
      <w:r w:rsidRPr="004C4156">
        <w:rPr>
          <w:rFonts w:ascii="Arial" w:hAnsi="Arial" w:cs="Arial"/>
          <w:sz w:val="24"/>
          <w:szCs w:val="24"/>
        </w:rPr>
        <w:t xml:space="preserve"> As stated above, the Commission has the authority to modify prior </w:t>
      </w:r>
      <w:proofErr w:type="gramStart"/>
      <w:r w:rsidRPr="004C4156">
        <w:rPr>
          <w:rFonts w:ascii="Arial" w:hAnsi="Arial" w:cs="Arial"/>
          <w:sz w:val="24"/>
          <w:szCs w:val="24"/>
        </w:rPr>
        <w:t>orders</w:t>
      </w:r>
      <w:proofErr w:type="gramEnd"/>
      <w:r w:rsidRPr="004C4156">
        <w:rPr>
          <w:rFonts w:ascii="Arial" w:hAnsi="Arial" w:cs="Arial"/>
          <w:sz w:val="24"/>
          <w:szCs w:val="24"/>
        </w:rPr>
        <w:t xml:space="preserve"> but such authority is not unlimited. The Supreme Court of Ohio has held that when the Commission has made a lawful order, the Commission is bound by certain institutional constraints to provide an explanation before such order may be changed or modified. </w:t>
      </w:r>
      <w:r w:rsidRPr="00173D24">
        <w:rPr>
          <w:rFonts w:ascii="Arial" w:hAnsi="Arial" w:cs="Arial"/>
          <w:i/>
          <w:sz w:val="24"/>
          <w:szCs w:val="24"/>
        </w:rPr>
        <w:t>Ohio Consumers' Counsel,</w:t>
      </w:r>
      <w:r w:rsidRPr="004C4156">
        <w:rPr>
          <w:rFonts w:ascii="Arial" w:hAnsi="Arial" w:cs="Arial"/>
          <w:sz w:val="24"/>
          <w:szCs w:val="24"/>
        </w:rPr>
        <w:t xml:space="preserve"> 10 Ohio St.3d at 50-51,</w:t>
      </w:r>
      <w:r w:rsidR="005A58BD">
        <w:rPr>
          <w:rFonts w:ascii="Arial" w:hAnsi="Arial" w:cs="Arial"/>
          <w:sz w:val="24"/>
          <w:szCs w:val="24"/>
        </w:rPr>
        <w:t xml:space="preserve"> </w:t>
      </w:r>
      <w:r w:rsidRPr="004C4156">
        <w:rPr>
          <w:rFonts w:ascii="Arial" w:hAnsi="Arial" w:cs="Arial"/>
          <w:sz w:val="24"/>
          <w:szCs w:val="24"/>
        </w:rPr>
        <w:t>461 N.E.2d 303 (1984</w:t>
      </w:r>
      <w:r w:rsidRPr="00173D24">
        <w:rPr>
          <w:rFonts w:ascii="Arial" w:hAnsi="Arial" w:cs="Arial"/>
          <w:sz w:val="24"/>
          <w:szCs w:val="24"/>
        </w:rPr>
        <w:t>).</w:t>
      </w:r>
      <w:r w:rsidRPr="004C4156">
        <w:rPr>
          <w:rFonts w:ascii="Arial" w:hAnsi="Arial" w:cs="Arial"/>
          <w:b/>
          <w:i/>
          <w:sz w:val="24"/>
          <w:szCs w:val="24"/>
        </w:rPr>
        <w:t xml:space="preserve"> However, RESA presented no evidence that the switching fees are unreasonable or that, since the approval of the switching fees in ESP III, circumstances in the retail market have sufficiently changed to justify a modification of the switching fees</w:t>
      </w:r>
      <w:r>
        <w:rPr>
          <w:rFonts w:ascii="Arial" w:hAnsi="Arial" w:cs="Arial"/>
          <w:b/>
          <w:i/>
          <w:sz w:val="24"/>
          <w:szCs w:val="24"/>
        </w:rPr>
        <w:t>.</w:t>
      </w:r>
      <w:r w:rsidRPr="004C4156">
        <w:rPr>
          <w:rStyle w:val="FootnoteReference"/>
          <w:rFonts w:ascii="Arial" w:hAnsi="Arial" w:cs="Arial"/>
          <w:sz w:val="24"/>
          <w:szCs w:val="24"/>
        </w:rPr>
        <w:footnoteReference w:id="16"/>
      </w:r>
    </w:p>
    <w:p w14:paraId="7B448C85" w14:textId="77777777" w:rsidR="006E6473" w:rsidRPr="004C4156" w:rsidRDefault="006E6473" w:rsidP="006E6473">
      <w:pPr>
        <w:spacing w:after="0" w:line="240" w:lineRule="auto"/>
        <w:ind w:left="720" w:right="720" w:firstLine="720"/>
        <w:jc w:val="both"/>
        <w:rPr>
          <w:rFonts w:ascii="Arial" w:hAnsi="Arial" w:cs="Arial"/>
          <w:sz w:val="24"/>
          <w:szCs w:val="24"/>
        </w:rPr>
      </w:pPr>
    </w:p>
    <w:p w14:paraId="22F1A29D" w14:textId="77777777" w:rsidR="00302631" w:rsidRDefault="006E6473" w:rsidP="006E6473">
      <w:pPr>
        <w:spacing w:after="0" w:line="480" w:lineRule="auto"/>
        <w:jc w:val="both"/>
        <w:rPr>
          <w:rFonts w:ascii="Arial" w:hAnsi="Arial" w:cs="Arial"/>
          <w:sz w:val="24"/>
          <w:szCs w:val="24"/>
        </w:rPr>
      </w:pPr>
      <w:r w:rsidRPr="006E6473">
        <w:rPr>
          <w:rFonts w:ascii="Arial" w:hAnsi="Arial" w:cs="Arial"/>
          <w:sz w:val="24"/>
          <w:szCs w:val="24"/>
        </w:rPr>
        <w:t xml:space="preserve">Although the Distribution Order pointed to this case for authority, the Supplemental Order disregarded IGS’ argument in this case on the basis that “IGS is seeking to relitigate claims which were fully litigated and decided in DP&amp;L’s most recent distribution rate </w:t>
      </w:r>
      <w:r w:rsidRPr="006E6473">
        <w:rPr>
          <w:rFonts w:ascii="Arial" w:hAnsi="Arial" w:cs="Arial"/>
          <w:sz w:val="24"/>
          <w:szCs w:val="24"/>
        </w:rPr>
        <w:lastRenderedPageBreak/>
        <w:t>case.”</w:t>
      </w:r>
      <w:r w:rsidR="00511447">
        <w:rPr>
          <w:rStyle w:val="FootnoteReference"/>
          <w:rFonts w:ascii="Arial" w:hAnsi="Arial" w:cs="Arial"/>
          <w:sz w:val="24"/>
          <w:szCs w:val="24"/>
        </w:rPr>
        <w:footnoteReference w:id="17"/>
      </w:r>
      <w:r w:rsidR="004D73C0">
        <w:rPr>
          <w:rFonts w:ascii="Arial" w:hAnsi="Arial" w:cs="Arial"/>
          <w:sz w:val="24"/>
          <w:szCs w:val="24"/>
        </w:rPr>
        <w:t xml:space="preserve">  </w:t>
      </w:r>
      <w:r w:rsidR="00302631">
        <w:rPr>
          <w:rFonts w:ascii="Arial" w:hAnsi="Arial" w:cs="Arial"/>
          <w:sz w:val="24"/>
          <w:szCs w:val="24"/>
        </w:rPr>
        <w:t xml:space="preserve">The issue, however, was clearly not litigated—or, even if it was, it was not substantively addressed—in the Distribution Order. </w:t>
      </w:r>
    </w:p>
    <w:p w14:paraId="31DE1EF6" w14:textId="111E083D" w:rsidR="006E6473" w:rsidRPr="004C4156" w:rsidRDefault="004D73C0" w:rsidP="00ED26EA">
      <w:pPr>
        <w:spacing w:after="0" w:line="480" w:lineRule="auto"/>
        <w:ind w:firstLine="720"/>
        <w:jc w:val="both"/>
        <w:rPr>
          <w:rFonts w:ascii="Arial" w:hAnsi="Arial" w:cs="Arial"/>
          <w:sz w:val="24"/>
          <w:szCs w:val="24"/>
        </w:rPr>
      </w:pPr>
      <w:proofErr w:type="gramStart"/>
      <w:r>
        <w:rPr>
          <w:rFonts w:ascii="Arial" w:hAnsi="Arial" w:cs="Arial"/>
          <w:sz w:val="24"/>
          <w:szCs w:val="24"/>
        </w:rPr>
        <w:t>In essence, each</w:t>
      </w:r>
      <w:proofErr w:type="gramEnd"/>
      <w:r>
        <w:rPr>
          <w:rFonts w:ascii="Arial" w:hAnsi="Arial" w:cs="Arial"/>
          <w:sz w:val="24"/>
          <w:szCs w:val="24"/>
        </w:rPr>
        <w:t xml:space="preserve"> order</w:t>
      </w:r>
      <w:r w:rsidR="007932E9">
        <w:rPr>
          <w:rFonts w:ascii="Arial" w:hAnsi="Arial" w:cs="Arial"/>
          <w:sz w:val="24"/>
          <w:szCs w:val="24"/>
        </w:rPr>
        <w:t xml:space="preserve"> imprudently </w:t>
      </w:r>
      <w:r w:rsidR="00E50020">
        <w:rPr>
          <w:rFonts w:ascii="Arial" w:hAnsi="Arial" w:cs="Arial"/>
          <w:sz w:val="24"/>
          <w:szCs w:val="24"/>
        </w:rPr>
        <w:t>attempts</w:t>
      </w:r>
      <w:r w:rsidR="00785164">
        <w:rPr>
          <w:rFonts w:ascii="Arial" w:hAnsi="Arial" w:cs="Arial"/>
          <w:sz w:val="24"/>
          <w:szCs w:val="24"/>
        </w:rPr>
        <w:t xml:space="preserve"> to rely on the other as the basis</w:t>
      </w:r>
      <w:r>
        <w:rPr>
          <w:rFonts w:ascii="Arial" w:hAnsi="Arial" w:cs="Arial"/>
          <w:sz w:val="24"/>
          <w:szCs w:val="24"/>
        </w:rPr>
        <w:t xml:space="preserve"> to avoid </w:t>
      </w:r>
      <w:r w:rsidR="004E2C19">
        <w:rPr>
          <w:rFonts w:ascii="Arial" w:hAnsi="Arial" w:cs="Arial"/>
          <w:sz w:val="24"/>
          <w:szCs w:val="24"/>
        </w:rPr>
        <w:t>addressing IGS’ arguments on the merits. Now that DP&amp;L has withdrawn its application in this proceeding, the error in the Distribution Order is further exacerbated</w:t>
      </w:r>
      <w:r w:rsidR="003F61A8">
        <w:rPr>
          <w:rFonts w:ascii="Arial" w:hAnsi="Arial" w:cs="Arial"/>
          <w:sz w:val="24"/>
          <w:szCs w:val="24"/>
        </w:rPr>
        <w:t>.</w:t>
      </w:r>
      <w:r w:rsidR="001222D4">
        <w:rPr>
          <w:rFonts w:ascii="Arial" w:hAnsi="Arial" w:cs="Arial"/>
          <w:sz w:val="24"/>
          <w:szCs w:val="24"/>
        </w:rPr>
        <w:t xml:space="preserve">  </w:t>
      </w:r>
      <w:r w:rsidR="006E6473" w:rsidRPr="004C4156">
        <w:rPr>
          <w:rFonts w:ascii="Arial" w:hAnsi="Arial" w:cs="Arial"/>
          <w:sz w:val="24"/>
          <w:szCs w:val="24"/>
        </w:rPr>
        <w:t xml:space="preserve"> </w:t>
      </w:r>
    </w:p>
    <w:p w14:paraId="2C73DE44" w14:textId="3EB0895E" w:rsidR="00D24B94" w:rsidRDefault="001554A3" w:rsidP="001554A3">
      <w:pPr>
        <w:spacing w:after="0" w:line="480" w:lineRule="auto"/>
        <w:ind w:firstLine="720"/>
        <w:jc w:val="both"/>
        <w:rPr>
          <w:rFonts w:ascii="Arial" w:hAnsi="Arial" w:cs="Arial"/>
          <w:sz w:val="24"/>
          <w:szCs w:val="24"/>
        </w:rPr>
      </w:pPr>
      <w:r w:rsidRPr="001554A3">
        <w:rPr>
          <w:rFonts w:ascii="Arial" w:hAnsi="Arial" w:cs="Arial"/>
          <w:sz w:val="24"/>
          <w:szCs w:val="24"/>
        </w:rPr>
        <w:t>The</w:t>
      </w:r>
      <w:r>
        <w:rPr>
          <w:rFonts w:ascii="Arial" w:hAnsi="Arial" w:cs="Arial"/>
          <w:sz w:val="24"/>
          <w:szCs w:val="24"/>
        </w:rPr>
        <w:t xml:space="preserve"> Supplemental</w:t>
      </w:r>
      <w:r w:rsidRPr="001554A3">
        <w:rPr>
          <w:rFonts w:ascii="Arial" w:hAnsi="Arial" w:cs="Arial"/>
          <w:sz w:val="24"/>
          <w:szCs w:val="24"/>
        </w:rPr>
        <w:t xml:space="preserve"> Order’s reasoning amounts to what can only be viewed as a shell game</w:t>
      </w:r>
      <w:r w:rsidR="00D24B94">
        <w:rPr>
          <w:rFonts w:ascii="Arial" w:hAnsi="Arial" w:cs="Arial"/>
          <w:sz w:val="24"/>
          <w:szCs w:val="24"/>
        </w:rPr>
        <w:t>—IGS has been forced to chase the proverbial pe</w:t>
      </w:r>
      <w:r w:rsidR="004E1793">
        <w:rPr>
          <w:rFonts w:ascii="Arial" w:hAnsi="Arial" w:cs="Arial"/>
          <w:sz w:val="24"/>
          <w:szCs w:val="24"/>
        </w:rPr>
        <w:t>a</w:t>
      </w:r>
      <w:r w:rsidR="00D24B94">
        <w:rPr>
          <w:rFonts w:ascii="Arial" w:hAnsi="Arial" w:cs="Arial"/>
          <w:sz w:val="24"/>
          <w:szCs w:val="24"/>
        </w:rPr>
        <w:t xml:space="preserve"> in multiple cases, yet </w:t>
      </w:r>
      <w:r w:rsidR="00575E1D">
        <w:rPr>
          <w:rFonts w:ascii="Arial" w:hAnsi="Arial" w:cs="Arial"/>
          <w:sz w:val="24"/>
          <w:szCs w:val="24"/>
        </w:rPr>
        <w:t xml:space="preserve">it appears that </w:t>
      </w:r>
      <w:r w:rsidR="00D24B94">
        <w:rPr>
          <w:rFonts w:ascii="Arial" w:hAnsi="Arial" w:cs="Arial"/>
          <w:sz w:val="24"/>
          <w:szCs w:val="24"/>
        </w:rPr>
        <w:t xml:space="preserve">IGS </w:t>
      </w:r>
      <w:r w:rsidR="0001021D">
        <w:rPr>
          <w:rFonts w:ascii="Arial" w:hAnsi="Arial" w:cs="Arial"/>
          <w:sz w:val="24"/>
          <w:szCs w:val="24"/>
        </w:rPr>
        <w:t>is deprived of an opportunity to</w:t>
      </w:r>
      <w:r w:rsidR="00D24B94">
        <w:rPr>
          <w:rFonts w:ascii="Arial" w:hAnsi="Arial" w:cs="Arial"/>
          <w:sz w:val="24"/>
          <w:szCs w:val="24"/>
        </w:rPr>
        <w:t xml:space="preserve"> </w:t>
      </w:r>
      <w:r w:rsidR="0001021D">
        <w:rPr>
          <w:rFonts w:ascii="Arial" w:hAnsi="Arial" w:cs="Arial"/>
          <w:sz w:val="24"/>
          <w:szCs w:val="24"/>
        </w:rPr>
        <w:t xml:space="preserve">resolve this issue </w:t>
      </w:r>
      <w:r w:rsidR="00D24B94">
        <w:rPr>
          <w:rFonts w:ascii="Arial" w:hAnsi="Arial" w:cs="Arial"/>
          <w:sz w:val="24"/>
          <w:szCs w:val="24"/>
        </w:rPr>
        <w:t xml:space="preserve">on the merits in </w:t>
      </w:r>
      <w:r w:rsidR="00D24B94" w:rsidRPr="00AA786C">
        <w:rPr>
          <w:rFonts w:ascii="Arial" w:hAnsi="Arial" w:cs="Arial"/>
          <w:i/>
          <w:sz w:val="24"/>
          <w:szCs w:val="24"/>
        </w:rPr>
        <w:t>any</w:t>
      </w:r>
      <w:r w:rsidR="00D24B94">
        <w:rPr>
          <w:rFonts w:ascii="Arial" w:hAnsi="Arial" w:cs="Arial"/>
          <w:sz w:val="24"/>
          <w:szCs w:val="24"/>
        </w:rPr>
        <w:t xml:space="preserve"> forum</w:t>
      </w:r>
      <w:r w:rsidRPr="001554A3">
        <w:rPr>
          <w:rFonts w:ascii="Arial" w:hAnsi="Arial" w:cs="Arial"/>
          <w:sz w:val="24"/>
          <w:szCs w:val="24"/>
        </w:rPr>
        <w:t xml:space="preserve">.  The </w:t>
      </w:r>
      <w:r>
        <w:rPr>
          <w:rFonts w:ascii="Arial" w:hAnsi="Arial" w:cs="Arial"/>
          <w:sz w:val="24"/>
          <w:szCs w:val="24"/>
        </w:rPr>
        <w:t>D</w:t>
      </w:r>
      <w:r w:rsidRPr="001554A3">
        <w:rPr>
          <w:rFonts w:ascii="Arial" w:hAnsi="Arial" w:cs="Arial"/>
          <w:sz w:val="24"/>
          <w:szCs w:val="24"/>
        </w:rPr>
        <w:t xml:space="preserve">istribution </w:t>
      </w:r>
      <w:r>
        <w:rPr>
          <w:rFonts w:ascii="Arial" w:hAnsi="Arial" w:cs="Arial"/>
          <w:sz w:val="24"/>
          <w:szCs w:val="24"/>
        </w:rPr>
        <w:t>Order</w:t>
      </w:r>
      <w:r w:rsidRPr="001554A3">
        <w:rPr>
          <w:rFonts w:ascii="Arial" w:hAnsi="Arial" w:cs="Arial"/>
          <w:sz w:val="24"/>
          <w:szCs w:val="24"/>
        </w:rPr>
        <w:t xml:space="preserve"> relied upon this case to avoid addressing switching fees.  Now this case relies upon the</w:t>
      </w:r>
      <w:r>
        <w:rPr>
          <w:rFonts w:ascii="Arial" w:hAnsi="Arial" w:cs="Arial"/>
          <w:sz w:val="24"/>
          <w:szCs w:val="24"/>
        </w:rPr>
        <w:t xml:space="preserve"> Distribution Order to avoid answering difficult questions here</w:t>
      </w:r>
      <w:r w:rsidRPr="001554A3">
        <w:rPr>
          <w:rFonts w:ascii="Arial" w:hAnsi="Arial" w:cs="Arial"/>
          <w:sz w:val="24"/>
          <w:szCs w:val="24"/>
        </w:rPr>
        <w:t>.  The combined effect of the orders is to prevent IGS from litigating the reasonableness of DP&amp;L’s switching fee</w:t>
      </w:r>
      <w:r>
        <w:rPr>
          <w:rFonts w:ascii="Arial" w:hAnsi="Arial" w:cs="Arial"/>
          <w:sz w:val="24"/>
          <w:szCs w:val="24"/>
        </w:rPr>
        <w:t xml:space="preserve"> amount and terms</w:t>
      </w:r>
      <w:r w:rsidRPr="001554A3">
        <w:rPr>
          <w:rFonts w:ascii="Arial" w:hAnsi="Arial" w:cs="Arial"/>
          <w:sz w:val="24"/>
          <w:szCs w:val="24"/>
        </w:rPr>
        <w:t xml:space="preserve"> </w:t>
      </w:r>
      <w:r w:rsidRPr="001554A3">
        <w:rPr>
          <w:rFonts w:ascii="Arial" w:hAnsi="Arial" w:cs="Arial"/>
          <w:b/>
          <w:i/>
          <w:sz w:val="24"/>
          <w:szCs w:val="24"/>
        </w:rPr>
        <w:t>in any proceeding</w:t>
      </w:r>
      <w:r w:rsidRPr="001554A3">
        <w:rPr>
          <w:rFonts w:ascii="Arial" w:hAnsi="Arial" w:cs="Arial"/>
          <w:b/>
          <w:sz w:val="24"/>
          <w:szCs w:val="24"/>
        </w:rPr>
        <w:t xml:space="preserve">, </w:t>
      </w:r>
      <w:r w:rsidRPr="001554A3">
        <w:rPr>
          <w:rFonts w:ascii="Arial" w:hAnsi="Arial" w:cs="Arial"/>
          <w:sz w:val="24"/>
          <w:szCs w:val="24"/>
        </w:rPr>
        <w:t>which is a violation of R.C. 4903.09</w:t>
      </w:r>
      <w:r>
        <w:rPr>
          <w:rFonts w:ascii="Arial" w:hAnsi="Arial" w:cs="Arial"/>
          <w:sz w:val="24"/>
          <w:szCs w:val="24"/>
        </w:rPr>
        <w:t xml:space="preserve"> and the precedent set forth in</w:t>
      </w:r>
      <w:r w:rsidRPr="001554A3">
        <w:rPr>
          <w:sz w:val="24"/>
          <w:szCs w:val="24"/>
        </w:rPr>
        <w:t xml:space="preserve"> </w:t>
      </w:r>
      <w:proofErr w:type="spellStart"/>
      <w:r w:rsidRPr="001554A3">
        <w:rPr>
          <w:rFonts w:ascii="Arial" w:hAnsi="Arial" w:cs="Arial"/>
          <w:i/>
          <w:sz w:val="24"/>
          <w:szCs w:val="24"/>
        </w:rPr>
        <w:t>Tongren</w:t>
      </w:r>
      <w:proofErr w:type="spellEnd"/>
      <w:r w:rsidRPr="001554A3">
        <w:rPr>
          <w:rFonts w:ascii="Arial" w:hAnsi="Arial" w:cs="Arial"/>
          <w:i/>
          <w:sz w:val="24"/>
          <w:szCs w:val="24"/>
        </w:rPr>
        <w:t xml:space="preserve"> v. Pub. Util. Comm., </w:t>
      </w:r>
      <w:r w:rsidRPr="00173D24">
        <w:rPr>
          <w:rFonts w:ascii="Arial" w:hAnsi="Arial" w:cs="Arial"/>
          <w:sz w:val="24"/>
          <w:szCs w:val="24"/>
        </w:rPr>
        <w:t xml:space="preserve">85 Ohio St. </w:t>
      </w:r>
      <w:r w:rsidR="00360628" w:rsidRPr="00173D24">
        <w:rPr>
          <w:rFonts w:ascii="Arial" w:hAnsi="Arial" w:cs="Arial"/>
          <w:sz w:val="24"/>
          <w:szCs w:val="24"/>
        </w:rPr>
        <w:t>3d 87</w:t>
      </w:r>
      <w:r w:rsidR="005E5716">
        <w:rPr>
          <w:rFonts w:ascii="Arial" w:hAnsi="Arial" w:cs="Arial"/>
          <w:sz w:val="24"/>
          <w:szCs w:val="24"/>
        </w:rPr>
        <w:t xml:space="preserve"> </w:t>
      </w:r>
      <w:r w:rsidR="00360628" w:rsidRPr="00173D24">
        <w:rPr>
          <w:rFonts w:ascii="Arial" w:hAnsi="Arial" w:cs="Arial"/>
          <w:sz w:val="24"/>
          <w:szCs w:val="24"/>
        </w:rPr>
        <w:t>(1998).</w:t>
      </w:r>
      <w:r w:rsidR="00360628" w:rsidRPr="00360628">
        <w:rPr>
          <w:rFonts w:ascii="Arial" w:hAnsi="Arial" w:cs="Arial"/>
          <w:b/>
          <w:i/>
          <w:sz w:val="24"/>
          <w:szCs w:val="24"/>
        </w:rPr>
        <w:t xml:space="preserve">  </w:t>
      </w:r>
    </w:p>
    <w:p w14:paraId="55CDE3C3" w14:textId="312F895F" w:rsidR="006E6473" w:rsidRDefault="00D24B94" w:rsidP="00FE61D3">
      <w:pPr>
        <w:spacing w:after="0" w:line="480" w:lineRule="auto"/>
        <w:ind w:firstLine="720"/>
        <w:jc w:val="both"/>
        <w:rPr>
          <w:rFonts w:ascii="Arial" w:hAnsi="Arial" w:cs="Arial"/>
          <w:sz w:val="24"/>
          <w:szCs w:val="24"/>
        </w:rPr>
      </w:pPr>
      <w:r>
        <w:rPr>
          <w:rFonts w:ascii="Arial" w:hAnsi="Arial" w:cs="Arial"/>
          <w:sz w:val="24"/>
          <w:szCs w:val="24"/>
        </w:rPr>
        <w:t xml:space="preserve">Under R.C. 4903.09, the Commission must issue findings of fact and conclusions of law based upon the record within the case.  In </w:t>
      </w:r>
      <w:proofErr w:type="spellStart"/>
      <w:r w:rsidRPr="00D24B94">
        <w:rPr>
          <w:rFonts w:ascii="Arial" w:hAnsi="Arial" w:cs="Arial"/>
          <w:i/>
          <w:sz w:val="24"/>
          <w:szCs w:val="24"/>
        </w:rPr>
        <w:t>Tongren</w:t>
      </w:r>
      <w:proofErr w:type="spellEnd"/>
      <w:r w:rsidRPr="00D24B94">
        <w:rPr>
          <w:rFonts w:ascii="Arial" w:hAnsi="Arial" w:cs="Arial"/>
          <w:sz w:val="24"/>
          <w:szCs w:val="24"/>
        </w:rPr>
        <w:t xml:space="preserve">, the Court </w:t>
      </w:r>
      <w:r>
        <w:rPr>
          <w:rFonts w:ascii="Arial" w:hAnsi="Arial" w:cs="Arial"/>
          <w:sz w:val="24"/>
          <w:szCs w:val="24"/>
        </w:rPr>
        <w:t xml:space="preserve">admonished the Commission for inappropriately relying upon matters that were allegedly resolved in a prior case.  The Court stated, </w:t>
      </w:r>
      <w:r w:rsidR="001554A3" w:rsidRPr="001554A3">
        <w:rPr>
          <w:rFonts w:ascii="Arial" w:hAnsi="Arial" w:cs="Arial"/>
          <w:sz w:val="24"/>
          <w:szCs w:val="24"/>
        </w:rPr>
        <w:t>“</w:t>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sidR="001554A3" w:rsidRPr="001554A3">
        <w:rPr>
          <w:rFonts w:ascii="Arial" w:hAnsi="Arial" w:cs="Arial"/>
          <w:sz w:val="24"/>
          <w:szCs w:val="24"/>
        </w:rPr>
        <w:t>n the second case, the commission relied on its consideration of these issues in the first case. Since its consideration of those issues in the first case constituted reversible error for lack of support in the record, the commission's reliance thereon likewise constituted reversible error in the second case</w:t>
      </w:r>
      <w:r>
        <w:rPr>
          <w:rFonts w:ascii="Arial" w:hAnsi="Arial" w:cs="Arial"/>
          <w:sz w:val="24"/>
          <w:szCs w:val="24"/>
        </w:rPr>
        <w:t>.</w:t>
      </w:r>
      <w:r w:rsidR="001554A3" w:rsidRPr="001554A3">
        <w:rPr>
          <w:rFonts w:ascii="Arial" w:hAnsi="Arial" w:cs="Arial"/>
          <w:sz w:val="24"/>
          <w:szCs w:val="24"/>
        </w:rPr>
        <w:t>”</w:t>
      </w:r>
      <w:r w:rsidR="008737FD">
        <w:rPr>
          <w:rFonts w:ascii="Arial" w:hAnsi="Arial" w:cs="Arial"/>
          <w:sz w:val="24"/>
          <w:szCs w:val="24"/>
        </w:rPr>
        <w:t xml:space="preserve"> </w:t>
      </w:r>
      <w:proofErr w:type="spellStart"/>
      <w:r w:rsidR="008737FD" w:rsidRPr="001D06BF">
        <w:rPr>
          <w:rFonts w:ascii="Arial" w:hAnsi="Arial" w:cs="Arial"/>
          <w:i/>
          <w:sz w:val="24"/>
          <w:szCs w:val="24"/>
        </w:rPr>
        <w:t>Tongren</w:t>
      </w:r>
      <w:proofErr w:type="spellEnd"/>
      <w:r w:rsidR="008737FD" w:rsidRPr="001D06BF">
        <w:rPr>
          <w:rFonts w:ascii="Arial" w:hAnsi="Arial" w:cs="Arial"/>
          <w:i/>
          <w:sz w:val="24"/>
          <w:szCs w:val="24"/>
        </w:rPr>
        <w:t xml:space="preserve"> </w:t>
      </w:r>
      <w:r w:rsidR="008737FD">
        <w:rPr>
          <w:rFonts w:ascii="Arial" w:hAnsi="Arial" w:cs="Arial"/>
          <w:sz w:val="24"/>
          <w:szCs w:val="24"/>
        </w:rPr>
        <w:t xml:space="preserve">at </w:t>
      </w:r>
      <w:r w:rsidR="00FA5FF1" w:rsidRPr="00D7744C">
        <w:rPr>
          <w:rFonts w:ascii="Arial" w:hAnsi="Arial" w:cs="Arial"/>
          <w:sz w:val="24"/>
          <w:szCs w:val="24"/>
        </w:rPr>
        <w:t xml:space="preserve">85 Ohio St. 3d </w:t>
      </w:r>
      <w:r w:rsidR="00FA5FF1">
        <w:rPr>
          <w:rFonts w:ascii="Arial" w:hAnsi="Arial" w:cs="Arial"/>
          <w:sz w:val="24"/>
          <w:szCs w:val="24"/>
        </w:rPr>
        <w:t>93.</w:t>
      </w:r>
      <w:r>
        <w:rPr>
          <w:rFonts w:ascii="Arial" w:hAnsi="Arial" w:cs="Arial"/>
          <w:sz w:val="24"/>
          <w:szCs w:val="24"/>
        </w:rPr>
        <w:t xml:space="preserve">  Given that the Distribution Order is not based upon record </w:t>
      </w:r>
      <w:r>
        <w:rPr>
          <w:rFonts w:ascii="Arial" w:hAnsi="Arial" w:cs="Arial"/>
          <w:sz w:val="24"/>
          <w:szCs w:val="24"/>
        </w:rPr>
        <w:lastRenderedPageBreak/>
        <w:t xml:space="preserve">evidence—since it relies upon this case, which also contains no findings of fact or conclusions of law—the Supplemental Order erred.  </w:t>
      </w:r>
    </w:p>
    <w:p w14:paraId="44A2E013" w14:textId="1EC0BB99" w:rsidR="00ED26EA" w:rsidRDefault="00ED26EA" w:rsidP="00ED26EA">
      <w:pPr>
        <w:spacing w:after="0" w:line="480" w:lineRule="auto"/>
        <w:ind w:firstLine="720"/>
        <w:jc w:val="both"/>
        <w:rPr>
          <w:rFonts w:ascii="Arial" w:hAnsi="Arial" w:cs="Arial"/>
          <w:sz w:val="24"/>
          <w:szCs w:val="24"/>
        </w:rPr>
      </w:pPr>
      <w:r w:rsidRPr="004C4156">
        <w:rPr>
          <w:rFonts w:ascii="Arial" w:hAnsi="Arial" w:cs="Arial"/>
          <w:sz w:val="24"/>
          <w:szCs w:val="24"/>
        </w:rPr>
        <w:t>Also, importantly, IGS filed a subsequent application for rehearing</w:t>
      </w:r>
      <w:r>
        <w:rPr>
          <w:rFonts w:ascii="Arial" w:hAnsi="Arial" w:cs="Arial"/>
          <w:sz w:val="24"/>
          <w:szCs w:val="24"/>
        </w:rPr>
        <w:t xml:space="preserve"> in the distribution rate case</w:t>
      </w:r>
      <w:r w:rsidRPr="004C4156">
        <w:rPr>
          <w:rFonts w:ascii="Arial" w:hAnsi="Arial" w:cs="Arial"/>
          <w:sz w:val="24"/>
          <w:szCs w:val="24"/>
        </w:rPr>
        <w:t xml:space="preserve"> noting that DP&amp;L proposed changes to the switching fees (in Tariff D34) in t</w:t>
      </w:r>
      <w:r>
        <w:rPr>
          <w:rFonts w:ascii="Arial" w:hAnsi="Arial" w:cs="Arial"/>
          <w:sz w:val="24"/>
          <w:szCs w:val="24"/>
        </w:rPr>
        <w:t xml:space="preserve">hat </w:t>
      </w:r>
      <w:r w:rsidRPr="004C4156">
        <w:rPr>
          <w:rFonts w:ascii="Arial" w:hAnsi="Arial" w:cs="Arial"/>
          <w:sz w:val="24"/>
          <w:szCs w:val="24"/>
        </w:rPr>
        <w:t xml:space="preserve">case (discriminatorily eliminating their application to customers returning to the SSO while leaving them in place for all other customers).  In other words, while the </w:t>
      </w:r>
      <w:r>
        <w:rPr>
          <w:rFonts w:ascii="Arial" w:hAnsi="Arial" w:cs="Arial"/>
          <w:sz w:val="24"/>
          <w:szCs w:val="24"/>
        </w:rPr>
        <w:t xml:space="preserve">Distribution Order </w:t>
      </w:r>
      <w:r w:rsidRPr="004C4156">
        <w:rPr>
          <w:rFonts w:ascii="Arial" w:hAnsi="Arial" w:cs="Arial"/>
          <w:sz w:val="24"/>
          <w:szCs w:val="24"/>
        </w:rPr>
        <w:t xml:space="preserve">relied upon </w:t>
      </w:r>
      <w:r w:rsidRPr="004C4156">
        <w:rPr>
          <w:rFonts w:ascii="Arial" w:hAnsi="Arial" w:cs="Arial"/>
          <w:i/>
          <w:sz w:val="24"/>
          <w:szCs w:val="24"/>
        </w:rPr>
        <w:t>this case</w:t>
      </w:r>
      <w:r w:rsidRPr="004C4156">
        <w:rPr>
          <w:rFonts w:ascii="Arial" w:hAnsi="Arial" w:cs="Arial"/>
          <w:sz w:val="24"/>
          <w:szCs w:val="24"/>
        </w:rPr>
        <w:t xml:space="preserve">, the changes that IGS objected to were </w:t>
      </w:r>
      <w:proofErr w:type="gramStart"/>
      <w:r w:rsidRPr="004C4156">
        <w:rPr>
          <w:rFonts w:ascii="Arial" w:hAnsi="Arial" w:cs="Arial"/>
          <w:sz w:val="24"/>
          <w:szCs w:val="24"/>
        </w:rPr>
        <w:t>actually specifically</w:t>
      </w:r>
      <w:proofErr w:type="gramEnd"/>
      <w:r w:rsidRPr="004C4156">
        <w:rPr>
          <w:rFonts w:ascii="Arial" w:hAnsi="Arial" w:cs="Arial"/>
          <w:sz w:val="24"/>
          <w:szCs w:val="24"/>
        </w:rPr>
        <w:t xml:space="preserve"> authorized in the distribution rate case.  Whereas the switching fees proposed in this case relate to the reference to such fees in the Supplier Tariff.  The combined impact of these orders is to modify the terms of DP&amp;L’s switching fee structure and to reject IGS’ argument for parity without record evidence.   </w:t>
      </w:r>
    </w:p>
    <w:p w14:paraId="03AAE622" w14:textId="46D96D3C" w:rsidR="006E6473" w:rsidRPr="006E6473" w:rsidRDefault="00D24B94" w:rsidP="006E6473">
      <w:pPr>
        <w:spacing w:after="0" w:line="480" w:lineRule="auto"/>
        <w:ind w:firstLine="720"/>
        <w:jc w:val="both"/>
        <w:rPr>
          <w:rFonts w:ascii="Arial" w:hAnsi="Arial" w:cs="Arial"/>
          <w:sz w:val="24"/>
          <w:szCs w:val="24"/>
        </w:rPr>
      </w:pPr>
      <w:r>
        <w:rPr>
          <w:rFonts w:ascii="Arial" w:hAnsi="Arial" w:cs="Arial"/>
          <w:sz w:val="24"/>
          <w:szCs w:val="24"/>
        </w:rPr>
        <w:t xml:space="preserve">IGS and shopping customers have been aggrieved by the Commission’s error. </w:t>
      </w:r>
      <w:r w:rsidR="006E6473" w:rsidRPr="006E6473">
        <w:rPr>
          <w:rFonts w:ascii="Arial" w:hAnsi="Arial" w:cs="Arial"/>
          <w:sz w:val="24"/>
          <w:szCs w:val="24"/>
        </w:rPr>
        <w:t xml:space="preserve">The fee, </w:t>
      </w:r>
      <w:r w:rsidR="00B323BE">
        <w:rPr>
          <w:rFonts w:ascii="Arial" w:hAnsi="Arial" w:cs="Arial"/>
          <w:sz w:val="24"/>
          <w:szCs w:val="24"/>
        </w:rPr>
        <w:t>which is</w:t>
      </w:r>
      <w:r w:rsidR="00B323BE" w:rsidRPr="006E6473">
        <w:rPr>
          <w:rFonts w:ascii="Arial" w:hAnsi="Arial" w:cs="Arial"/>
          <w:sz w:val="24"/>
          <w:szCs w:val="24"/>
        </w:rPr>
        <w:t xml:space="preserve"> </w:t>
      </w:r>
      <w:r w:rsidR="006E6473" w:rsidRPr="006E6473">
        <w:rPr>
          <w:rFonts w:ascii="Arial" w:hAnsi="Arial" w:cs="Arial"/>
          <w:sz w:val="24"/>
          <w:szCs w:val="24"/>
        </w:rPr>
        <w:t xml:space="preserve">only imposed on customers seeking to proactively choose a CRES provider, </w:t>
      </w:r>
      <w:r w:rsidR="00597762">
        <w:rPr>
          <w:rFonts w:ascii="Arial" w:hAnsi="Arial" w:cs="Arial"/>
          <w:sz w:val="24"/>
          <w:szCs w:val="24"/>
        </w:rPr>
        <w:t xml:space="preserve">enables DP&amp;L to </w:t>
      </w:r>
      <w:r w:rsidR="006E6473" w:rsidRPr="006E6473">
        <w:rPr>
          <w:rFonts w:ascii="Arial" w:hAnsi="Arial" w:cs="Arial"/>
          <w:sz w:val="24"/>
          <w:szCs w:val="24"/>
        </w:rPr>
        <w:t>create an uneven and discriminatory playing field that provides an indirect subsidy to SSO service in violation of Ohio law.</w:t>
      </w:r>
      <w:r w:rsidR="006E6473" w:rsidRPr="006E6473">
        <w:rPr>
          <w:rStyle w:val="FootnoteReference"/>
          <w:rFonts w:ascii="Arial" w:hAnsi="Arial" w:cs="Arial"/>
          <w:sz w:val="24"/>
          <w:szCs w:val="24"/>
        </w:rPr>
        <w:footnoteReference w:id="18"/>
      </w:r>
      <w:r w:rsidR="006E6473" w:rsidRPr="006E6473">
        <w:rPr>
          <w:rFonts w:ascii="Arial" w:hAnsi="Arial" w:cs="Arial"/>
          <w:sz w:val="24"/>
          <w:szCs w:val="24"/>
        </w:rPr>
        <w:t xml:space="preserve"> Ohio law does not require complete uniformity across all rates and fees but does require uniform rates and fees when a utility is performing “like and contemporaneous service under substantially the same circumstances and conditions.”</w:t>
      </w:r>
      <w:r w:rsidR="006E6473" w:rsidRPr="006E6473">
        <w:rPr>
          <w:rStyle w:val="FootnoteReference"/>
          <w:rFonts w:ascii="Arial" w:hAnsi="Arial" w:cs="Arial"/>
          <w:sz w:val="24"/>
          <w:szCs w:val="24"/>
        </w:rPr>
        <w:footnoteReference w:id="19"/>
      </w:r>
      <w:r w:rsidR="006E6473" w:rsidRPr="006E6473">
        <w:rPr>
          <w:rFonts w:ascii="Arial" w:hAnsi="Arial" w:cs="Arial"/>
          <w:sz w:val="24"/>
          <w:szCs w:val="24"/>
        </w:rPr>
        <w:t xml:space="preserve"> The customers that are switching, and thus incurring the fee, are similarly situated to the utility in that they need the utility to adjust their account to reflect their action</w:t>
      </w:r>
      <w:r w:rsidR="008A276C">
        <w:rPr>
          <w:rFonts w:ascii="Arial" w:hAnsi="Arial" w:cs="Arial"/>
          <w:sz w:val="24"/>
          <w:szCs w:val="24"/>
        </w:rPr>
        <w:t>—</w:t>
      </w:r>
      <w:r w:rsidR="006E6473" w:rsidRPr="006E6473">
        <w:rPr>
          <w:rFonts w:ascii="Arial" w:hAnsi="Arial" w:cs="Arial"/>
          <w:sz w:val="24"/>
          <w:szCs w:val="24"/>
        </w:rPr>
        <w:t xml:space="preserve">a power exclusively reserved by DP&amp;L. The fact that </w:t>
      </w:r>
      <w:r w:rsidR="006E6473" w:rsidRPr="006E6473">
        <w:rPr>
          <w:rFonts w:ascii="Arial" w:hAnsi="Arial" w:cs="Arial"/>
          <w:sz w:val="24"/>
          <w:szCs w:val="24"/>
        </w:rPr>
        <w:lastRenderedPageBreak/>
        <w:t xml:space="preserve">a customer is leaving or entering the SSO should not impact the administrative costs of effectuating a switch.  </w:t>
      </w:r>
      <w:r w:rsidR="007F601F">
        <w:rPr>
          <w:rFonts w:ascii="Arial" w:hAnsi="Arial" w:cs="Arial"/>
          <w:sz w:val="24"/>
          <w:szCs w:val="24"/>
        </w:rPr>
        <w:t>Indeed,</w:t>
      </w:r>
      <w:r w:rsidR="00D05D4E">
        <w:rPr>
          <w:rFonts w:ascii="Arial" w:hAnsi="Arial" w:cs="Arial"/>
          <w:sz w:val="24"/>
          <w:szCs w:val="24"/>
        </w:rPr>
        <w:t xml:space="preserve"> </w:t>
      </w:r>
      <w:r w:rsidR="006E6473" w:rsidRPr="006E6473">
        <w:rPr>
          <w:rFonts w:ascii="Arial" w:hAnsi="Arial" w:cs="Arial"/>
          <w:sz w:val="24"/>
          <w:szCs w:val="24"/>
        </w:rPr>
        <w:t>DP&amp;L could not identify any distinguishing differences</w:t>
      </w:r>
      <w:r w:rsidR="00D05D4E">
        <w:rPr>
          <w:rFonts w:ascii="Arial" w:hAnsi="Arial" w:cs="Arial"/>
          <w:sz w:val="24"/>
          <w:szCs w:val="24"/>
        </w:rPr>
        <w:t xml:space="preserve"> during cross-examination</w:t>
      </w:r>
      <w:r w:rsidR="006E6473" w:rsidRPr="006E6473">
        <w:rPr>
          <w:rFonts w:ascii="Arial" w:hAnsi="Arial" w:cs="Arial"/>
          <w:sz w:val="24"/>
          <w:szCs w:val="24"/>
        </w:rPr>
        <w:t>.</w:t>
      </w:r>
      <w:r w:rsidR="006E6473" w:rsidRPr="006E6473">
        <w:rPr>
          <w:rStyle w:val="FootnoteReference"/>
          <w:rFonts w:ascii="Arial" w:hAnsi="Arial" w:cs="Arial"/>
          <w:sz w:val="24"/>
          <w:szCs w:val="24"/>
        </w:rPr>
        <w:footnoteReference w:id="20"/>
      </w:r>
    </w:p>
    <w:p w14:paraId="4E4B5C99" w14:textId="15761996" w:rsidR="006E6473" w:rsidRPr="006E6473" w:rsidRDefault="006E6473" w:rsidP="006E6473">
      <w:pPr>
        <w:spacing w:after="0" w:line="480" w:lineRule="auto"/>
        <w:ind w:firstLine="720"/>
        <w:jc w:val="both"/>
        <w:rPr>
          <w:rFonts w:ascii="Arial" w:hAnsi="Arial" w:cs="Arial"/>
          <w:sz w:val="24"/>
          <w:szCs w:val="24"/>
        </w:rPr>
      </w:pPr>
      <w:r w:rsidRPr="006E6473">
        <w:rPr>
          <w:rFonts w:ascii="Arial" w:hAnsi="Arial" w:cs="Arial"/>
          <w:sz w:val="24"/>
          <w:szCs w:val="24"/>
        </w:rPr>
        <w:t xml:space="preserve">In the case of the switching fee, DP&amp;L is surely performing the “like and contemporaneous service” of administratively changing the appropriate sections of a customer’s account </w:t>
      </w:r>
      <w:r w:rsidR="00A67A75">
        <w:rPr>
          <w:rFonts w:ascii="Arial" w:hAnsi="Arial" w:cs="Arial"/>
          <w:sz w:val="24"/>
          <w:szCs w:val="24"/>
        </w:rPr>
        <w:t>to ensure</w:t>
      </w:r>
      <w:r w:rsidRPr="006E6473">
        <w:rPr>
          <w:rFonts w:ascii="Arial" w:hAnsi="Arial" w:cs="Arial"/>
          <w:sz w:val="24"/>
          <w:szCs w:val="24"/>
        </w:rPr>
        <w:t xml:space="preserve"> they receive the generation service </w:t>
      </w:r>
      <w:r w:rsidR="00662C88">
        <w:rPr>
          <w:rFonts w:ascii="Arial" w:hAnsi="Arial" w:cs="Arial"/>
          <w:sz w:val="24"/>
          <w:szCs w:val="24"/>
        </w:rPr>
        <w:t xml:space="preserve">provider </w:t>
      </w:r>
      <w:r w:rsidRPr="006E6473">
        <w:rPr>
          <w:rFonts w:ascii="Arial" w:hAnsi="Arial" w:cs="Arial"/>
          <w:sz w:val="24"/>
          <w:szCs w:val="24"/>
        </w:rPr>
        <w:t>they have selected</w:t>
      </w:r>
      <w:r w:rsidR="00561AD8">
        <w:rPr>
          <w:rFonts w:ascii="Arial" w:hAnsi="Arial" w:cs="Arial"/>
          <w:sz w:val="24"/>
          <w:szCs w:val="24"/>
        </w:rPr>
        <w:t xml:space="preserve">.  The fact that the change is made from the SSO to a CRES provider or </w:t>
      </w:r>
      <w:r w:rsidR="006932B0">
        <w:rPr>
          <w:rFonts w:ascii="Arial" w:hAnsi="Arial" w:cs="Arial"/>
          <w:sz w:val="24"/>
          <w:szCs w:val="24"/>
        </w:rPr>
        <w:t>from a CRES provider to another supplier is immaterial.</w:t>
      </w:r>
      <w:r w:rsidRPr="006E6473">
        <w:rPr>
          <w:rFonts w:ascii="Arial" w:hAnsi="Arial" w:cs="Arial"/>
          <w:sz w:val="24"/>
          <w:szCs w:val="24"/>
        </w:rPr>
        <w:t xml:space="preserve"> </w:t>
      </w:r>
      <w:r w:rsidR="006932B0">
        <w:rPr>
          <w:rFonts w:ascii="Arial" w:hAnsi="Arial" w:cs="Arial"/>
          <w:sz w:val="24"/>
          <w:szCs w:val="24"/>
        </w:rPr>
        <w:t>D</w:t>
      </w:r>
      <w:r w:rsidRPr="006E6473">
        <w:rPr>
          <w:rFonts w:ascii="Arial" w:hAnsi="Arial" w:cs="Arial"/>
          <w:sz w:val="24"/>
          <w:szCs w:val="24"/>
        </w:rPr>
        <w:t xml:space="preserve">espite direct interrogatories on the subject, </w:t>
      </w:r>
      <w:r w:rsidR="006932B0">
        <w:rPr>
          <w:rFonts w:ascii="Arial" w:hAnsi="Arial" w:cs="Arial"/>
          <w:sz w:val="24"/>
          <w:szCs w:val="24"/>
        </w:rPr>
        <w:t>DP&amp;L failed to provide any evidence</w:t>
      </w:r>
      <w:r w:rsidRPr="006E6473">
        <w:rPr>
          <w:rFonts w:ascii="Arial" w:hAnsi="Arial" w:cs="Arial"/>
          <w:sz w:val="24"/>
          <w:szCs w:val="24"/>
        </w:rPr>
        <w:t xml:space="preserve"> to prove that there are no costs incurred when a customer returns to the SSO pool from competitive service.</w:t>
      </w:r>
      <w:r w:rsidRPr="006E6473">
        <w:rPr>
          <w:rStyle w:val="FootnoteReference"/>
          <w:rFonts w:ascii="Arial" w:hAnsi="Arial" w:cs="Arial"/>
          <w:sz w:val="24"/>
          <w:szCs w:val="24"/>
        </w:rPr>
        <w:footnoteReference w:id="21"/>
      </w:r>
      <w:r w:rsidRPr="006E6473">
        <w:rPr>
          <w:rFonts w:ascii="Arial" w:hAnsi="Arial" w:cs="Arial"/>
          <w:sz w:val="24"/>
          <w:szCs w:val="24"/>
        </w:rPr>
        <w:t xml:space="preserve">  Additionally, DP&amp;L was unable to provide any evidence as to the actual costs incurred by DP&amp;L when switching a customer from the SSO pool to competitive service.</w:t>
      </w:r>
      <w:r w:rsidRPr="006E6473">
        <w:rPr>
          <w:rStyle w:val="FootnoteReference"/>
          <w:rFonts w:ascii="Arial" w:hAnsi="Arial" w:cs="Arial"/>
          <w:sz w:val="24"/>
          <w:szCs w:val="24"/>
        </w:rPr>
        <w:footnoteReference w:id="22"/>
      </w:r>
      <w:r w:rsidRPr="006E6473">
        <w:rPr>
          <w:rFonts w:ascii="Arial" w:hAnsi="Arial" w:cs="Arial"/>
          <w:sz w:val="24"/>
          <w:szCs w:val="24"/>
        </w:rPr>
        <w:t xml:space="preserve"> </w:t>
      </w:r>
    </w:p>
    <w:p w14:paraId="3C2C46E7" w14:textId="53D5D497" w:rsidR="006E6473" w:rsidRPr="006E6473" w:rsidRDefault="006E6473" w:rsidP="006E6473">
      <w:pPr>
        <w:spacing w:after="0" w:line="480" w:lineRule="auto"/>
        <w:ind w:firstLine="720"/>
        <w:jc w:val="both"/>
        <w:rPr>
          <w:rFonts w:ascii="Arial" w:hAnsi="Arial" w:cs="Arial"/>
          <w:sz w:val="24"/>
          <w:szCs w:val="24"/>
        </w:rPr>
      </w:pPr>
      <w:r w:rsidRPr="006E6473">
        <w:rPr>
          <w:rFonts w:ascii="Arial" w:hAnsi="Arial" w:cs="Arial"/>
          <w:sz w:val="24"/>
          <w:szCs w:val="24"/>
        </w:rPr>
        <w:t>The absence of any evidence to support the need for a switching fee should bolster the recommendation of witness White to eliminate the switching fee in its entirety. Under a cost-causation approach, the applicable fees should be recovered from the entity that caused the fee.</w:t>
      </w:r>
      <w:r w:rsidRPr="006E6473">
        <w:rPr>
          <w:rStyle w:val="FootnoteReference"/>
          <w:rFonts w:ascii="Arial" w:hAnsi="Arial" w:cs="Arial"/>
          <w:sz w:val="24"/>
          <w:szCs w:val="24"/>
        </w:rPr>
        <w:footnoteReference w:id="23"/>
      </w:r>
      <w:r w:rsidRPr="006E6473">
        <w:rPr>
          <w:rFonts w:ascii="Arial" w:hAnsi="Arial" w:cs="Arial"/>
          <w:sz w:val="24"/>
          <w:szCs w:val="24"/>
        </w:rPr>
        <w:t xml:space="preserve"> DP&amp;L was unable to provide any evidence as to the actual costs associated with the switching fee and furthermore unable to differentiate any cost </w:t>
      </w:r>
      <w:r w:rsidRPr="006E6473">
        <w:rPr>
          <w:rFonts w:ascii="Arial" w:hAnsi="Arial" w:cs="Arial"/>
          <w:sz w:val="24"/>
          <w:szCs w:val="24"/>
        </w:rPr>
        <w:lastRenderedPageBreak/>
        <w:t xml:space="preserve">differences between removing or adding a customer to the SSO pool. The customers, for whom the fee is incurred, are all similarly situated to the DP&amp;L </w:t>
      </w:r>
      <w:r w:rsidR="00A72ABF">
        <w:rPr>
          <w:rFonts w:ascii="Arial" w:hAnsi="Arial" w:cs="Arial"/>
          <w:sz w:val="24"/>
          <w:szCs w:val="24"/>
        </w:rPr>
        <w:t>insofar</w:t>
      </w:r>
      <w:r w:rsidR="00A72ABF" w:rsidRPr="006E6473">
        <w:rPr>
          <w:rFonts w:ascii="Arial" w:hAnsi="Arial" w:cs="Arial"/>
          <w:sz w:val="24"/>
          <w:szCs w:val="24"/>
        </w:rPr>
        <w:t xml:space="preserve"> </w:t>
      </w:r>
      <w:r w:rsidRPr="006E6473">
        <w:rPr>
          <w:rFonts w:ascii="Arial" w:hAnsi="Arial" w:cs="Arial"/>
          <w:sz w:val="24"/>
          <w:szCs w:val="24"/>
        </w:rPr>
        <w:t xml:space="preserve">as they only need DP&amp;L to adjust their accounts </w:t>
      </w:r>
      <w:r w:rsidR="00806B1E">
        <w:rPr>
          <w:rFonts w:ascii="Arial" w:hAnsi="Arial" w:cs="Arial"/>
          <w:sz w:val="24"/>
          <w:szCs w:val="24"/>
        </w:rPr>
        <w:t>to reflect their preferred commodity supplier</w:t>
      </w:r>
      <w:r w:rsidRPr="006E6473">
        <w:rPr>
          <w:rFonts w:ascii="Arial" w:hAnsi="Arial" w:cs="Arial"/>
          <w:sz w:val="24"/>
          <w:szCs w:val="24"/>
        </w:rPr>
        <w:t xml:space="preserve">. </w:t>
      </w:r>
    </w:p>
    <w:p w14:paraId="30BF1C00" w14:textId="50476726" w:rsidR="006E6473" w:rsidRPr="006E6473" w:rsidRDefault="006E6473" w:rsidP="00F0609A">
      <w:pPr>
        <w:spacing w:line="480" w:lineRule="auto"/>
        <w:ind w:firstLine="720"/>
        <w:jc w:val="both"/>
        <w:rPr>
          <w:rFonts w:ascii="Arial" w:eastAsia="Times New Roman" w:hAnsi="Arial" w:cs="Arial"/>
          <w:b/>
          <w:bCs/>
          <w:sz w:val="24"/>
          <w:szCs w:val="24"/>
        </w:rPr>
      </w:pPr>
      <w:r w:rsidRPr="006E6473">
        <w:rPr>
          <w:rFonts w:ascii="Arial" w:hAnsi="Arial" w:cs="Arial"/>
          <w:sz w:val="24"/>
          <w:szCs w:val="24"/>
        </w:rPr>
        <w:t>The Commission should continue to foster a nondiscriminatory and open electric market in accordance with state policy by either eliminating the switching fee in its entirety or</w:t>
      </w:r>
      <w:r w:rsidR="008101E4">
        <w:rPr>
          <w:rFonts w:ascii="Arial" w:hAnsi="Arial" w:cs="Arial"/>
          <w:sz w:val="24"/>
          <w:szCs w:val="24"/>
        </w:rPr>
        <w:t>,</w:t>
      </w:r>
      <w:r w:rsidRPr="006E6473">
        <w:rPr>
          <w:rFonts w:ascii="Arial" w:hAnsi="Arial" w:cs="Arial"/>
          <w:sz w:val="24"/>
          <w:szCs w:val="24"/>
        </w:rPr>
        <w:t xml:space="preserve"> in the alternative</w:t>
      </w:r>
      <w:r w:rsidR="008101E4">
        <w:rPr>
          <w:rFonts w:ascii="Arial" w:hAnsi="Arial" w:cs="Arial"/>
          <w:sz w:val="24"/>
          <w:szCs w:val="24"/>
        </w:rPr>
        <w:t>,</w:t>
      </w:r>
      <w:r w:rsidRPr="006E6473">
        <w:rPr>
          <w:rFonts w:ascii="Arial" w:hAnsi="Arial" w:cs="Arial"/>
          <w:sz w:val="24"/>
          <w:szCs w:val="24"/>
        </w:rPr>
        <w:t xml:space="preserve"> require DP&amp;L to apply the fee in a non-discriminatory manner. No evidence was provided by DP&amp;L to support the fee and furthermore no distinction was shown between customers leaving or entering the SSO</w:t>
      </w:r>
      <w:r w:rsidR="008101E4">
        <w:rPr>
          <w:rFonts w:ascii="Arial" w:hAnsi="Arial" w:cs="Arial"/>
          <w:sz w:val="24"/>
          <w:szCs w:val="24"/>
        </w:rPr>
        <w:t xml:space="preserve"> to justify the </w:t>
      </w:r>
      <w:r w:rsidR="009C2D3D">
        <w:rPr>
          <w:rFonts w:ascii="Arial" w:hAnsi="Arial" w:cs="Arial"/>
          <w:sz w:val="24"/>
          <w:szCs w:val="24"/>
        </w:rPr>
        <w:t xml:space="preserve">discriminatory manner </w:t>
      </w:r>
      <w:r w:rsidR="002448F1">
        <w:rPr>
          <w:rFonts w:ascii="Arial" w:hAnsi="Arial" w:cs="Arial"/>
          <w:sz w:val="24"/>
          <w:szCs w:val="24"/>
        </w:rPr>
        <w:t>by</w:t>
      </w:r>
      <w:r w:rsidR="009C2D3D">
        <w:rPr>
          <w:rFonts w:ascii="Arial" w:hAnsi="Arial" w:cs="Arial"/>
          <w:sz w:val="24"/>
          <w:szCs w:val="24"/>
        </w:rPr>
        <w:t xml:space="preserve"> which the switching fee is applied</w:t>
      </w:r>
      <w:r w:rsidR="00995124">
        <w:rPr>
          <w:rFonts w:ascii="Arial" w:hAnsi="Arial" w:cs="Arial"/>
          <w:sz w:val="24"/>
          <w:szCs w:val="24"/>
        </w:rPr>
        <w:t>.</w:t>
      </w:r>
    </w:p>
    <w:p w14:paraId="226E9030" w14:textId="139F283C" w:rsidR="006705FF" w:rsidRPr="00DE6735" w:rsidRDefault="006705FF" w:rsidP="00DE6735">
      <w:pPr>
        <w:pStyle w:val="Heading2"/>
      </w:pPr>
      <w:bookmarkStart w:id="9" w:name="_Toc28008929"/>
      <w:r w:rsidRPr="00DE6735">
        <w:t>The Supplemental Order (¶ 84) is unlawful and unreasonable inasmuch as it authorized the continuation of unsubstantiated and exorbitant historical usage fees despite evidence that they are harming the competitive market.  The Supplemental Order violated R.C. 4903.09 for failure to identify record evidence to support the fee. The Supplemental Order unlawfully and unreasonably determined that IGS’ is attempting to relitigate this matter; the issues decided DP&amp;L’s distribution rate case are not the same as the issues presented in this proceeding.</w:t>
      </w:r>
      <w:bookmarkEnd w:id="9"/>
    </w:p>
    <w:p w14:paraId="1E0E6D47" w14:textId="77777777" w:rsidR="00E23B52" w:rsidRPr="002D3D03" w:rsidRDefault="00E23B52" w:rsidP="00E23B52">
      <w:pPr>
        <w:spacing w:after="0"/>
        <w:jc w:val="both"/>
        <w:rPr>
          <w:rFonts w:ascii="Arial" w:hAnsi="Arial" w:cs="Arial"/>
        </w:rPr>
      </w:pPr>
    </w:p>
    <w:p w14:paraId="43A29040" w14:textId="21EB3FC9" w:rsidR="00EF7940" w:rsidRDefault="00EF7940" w:rsidP="00EF7940">
      <w:pPr>
        <w:spacing w:after="0" w:line="480" w:lineRule="auto"/>
        <w:ind w:firstLine="720"/>
        <w:jc w:val="both"/>
        <w:rPr>
          <w:rFonts w:ascii="Arial" w:hAnsi="Arial" w:cs="Arial"/>
          <w:sz w:val="24"/>
          <w:szCs w:val="24"/>
        </w:rPr>
      </w:pPr>
      <w:r w:rsidRPr="00EF7940">
        <w:rPr>
          <w:rFonts w:ascii="Arial" w:hAnsi="Arial" w:cs="Arial"/>
          <w:sz w:val="24"/>
          <w:szCs w:val="24"/>
        </w:rPr>
        <w:t>The Application propose</w:t>
      </w:r>
      <w:r>
        <w:rPr>
          <w:rFonts w:ascii="Arial" w:hAnsi="Arial" w:cs="Arial"/>
          <w:sz w:val="24"/>
          <w:szCs w:val="24"/>
        </w:rPr>
        <w:t>d</w:t>
      </w:r>
      <w:r w:rsidRPr="00EF7940">
        <w:rPr>
          <w:rFonts w:ascii="Arial" w:hAnsi="Arial" w:cs="Arial"/>
          <w:sz w:val="24"/>
          <w:szCs w:val="24"/>
        </w:rPr>
        <w:t xml:space="preserve"> to modify the Supplier Tariff</w:t>
      </w:r>
      <w:r w:rsidR="009C158D">
        <w:rPr>
          <w:rFonts w:ascii="Arial" w:hAnsi="Arial" w:cs="Arial"/>
          <w:sz w:val="24"/>
          <w:szCs w:val="24"/>
        </w:rPr>
        <w:t xml:space="preserve"> to authorize</w:t>
      </w:r>
      <w:r w:rsidR="00633CAF">
        <w:rPr>
          <w:rFonts w:ascii="Arial" w:hAnsi="Arial" w:cs="Arial"/>
          <w:sz w:val="24"/>
          <w:szCs w:val="24"/>
        </w:rPr>
        <w:t xml:space="preserve"> </w:t>
      </w:r>
      <w:r w:rsidRPr="00EF7940">
        <w:rPr>
          <w:rFonts w:ascii="Arial" w:hAnsi="Arial" w:cs="Arial"/>
          <w:sz w:val="24"/>
          <w:szCs w:val="24"/>
        </w:rPr>
        <w:t xml:space="preserve">DP&amp;L </w:t>
      </w:r>
      <w:r w:rsidR="009C158D">
        <w:rPr>
          <w:rFonts w:ascii="Arial" w:hAnsi="Arial" w:cs="Arial"/>
          <w:sz w:val="24"/>
          <w:szCs w:val="24"/>
        </w:rPr>
        <w:t xml:space="preserve">to </w:t>
      </w:r>
      <w:r w:rsidRPr="00EF7940">
        <w:rPr>
          <w:rFonts w:ascii="Arial" w:hAnsi="Arial" w:cs="Arial"/>
          <w:sz w:val="24"/>
          <w:szCs w:val="24"/>
        </w:rPr>
        <w:t xml:space="preserve">impose a </w:t>
      </w:r>
      <w:r w:rsidR="00EB53CC">
        <w:rPr>
          <w:rFonts w:ascii="Arial" w:hAnsi="Arial" w:cs="Arial"/>
          <w:sz w:val="24"/>
          <w:szCs w:val="24"/>
        </w:rPr>
        <w:t xml:space="preserve">$150 </w:t>
      </w:r>
      <w:r w:rsidRPr="00EF7940">
        <w:rPr>
          <w:rFonts w:ascii="Arial" w:hAnsi="Arial" w:cs="Arial"/>
          <w:sz w:val="24"/>
          <w:szCs w:val="24"/>
        </w:rPr>
        <w:t xml:space="preserve">fee </w:t>
      </w:r>
      <w:r w:rsidR="0086275A">
        <w:rPr>
          <w:rFonts w:ascii="Arial" w:hAnsi="Arial" w:cs="Arial"/>
          <w:sz w:val="24"/>
          <w:szCs w:val="24"/>
        </w:rPr>
        <w:t>on</w:t>
      </w:r>
      <w:r w:rsidR="00EB53CC">
        <w:rPr>
          <w:rFonts w:ascii="Arial" w:hAnsi="Arial" w:cs="Arial"/>
          <w:sz w:val="24"/>
          <w:szCs w:val="24"/>
        </w:rPr>
        <w:t xml:space="preserve"> suppliers seeking to</w:t>
      </w:r>
      <w:r w:rsidRPr="00EF7940">
        <w:rPr>
          <w:rFonts w:ascii="Arial" w:hAnsi="Arial" w:cs="Arial"/>
          <w:sz w:val="24"/>
          <w:szCs w:val="24"/>
        </w:rPr>
        <w:t xml:space="preserve"> access twelve months of hourly load date (historical usage information).  </w:t>
      </w:r>
      <w:r w:rsidR="00633CAF">
        <w:rPr>
          <w:rFonts w:ascii="Arial" w:hAnsi="Arial" w:cs="Arial"/>
          <w:sz w:val="24"/>
          <w:szCs w:val="24"/>
        </w:rPr>
        <w:t>DP&amp;L</w:t>
      </w:r>
      <w:r w:rsidR="00200C73" w:rsidRPr="00EF7940">
        <w:rPr>
          <w:rFonts w:ascii="Arial" w:hAnsi="Arial" w:cs="Arial"/>
          <w:sz w:val="24"/>
          <w:szCs w:val="24"/>
        </w:rPr>
        <w:t xml:space="preserve"> </w:t>
      </w:r>
      <w:r w:rsidRPr="00EF7940">
        <w:rPr>
          <w:rFonts w:ascii="Arial" w:hAnsi="Arial" w:cs="Arial"/>
          <w:sz w:val="24"/>
          <w:szCs w:val="24"/>
        </w:rPr>
        <w:t>attempted to justify this exorbitant fee</w:t>
      </w:r>
      <w:r w:rsidR="00200C73">
        <w:rPr>
          <w:rFonts w:ascii="Arial" w:hAnsi="Arial" w:cs="Arial"/>
          <w:sz w:val="24"/>
          <w:szCs w:val="24"/>
        </w:rPr>
        <w:t xml:space="preserve"> by </w:t>
      </w:r>
      <w:r w:rsidR="005C0B00">
        <w:rPr>
          <w:rFonts w:ascii="Arial" w:hAnsi="Arial" w:cs="Arial"/>
          <w:sz w:val="24"/>
          <w:szCs w:val="24"/>
        </w:rPr>
        <w:t>referring to its merger</w:t>
      </w:r>
      <w:r w:rsidRPr="00EF7940">
        <w:rPr>
          <w:rFonts w:ascii="Arial" w:hAnsi="Arial" w:cs="Arial"/>
          <w:sz w:val="24"/>
          <w:szCs w:val="24"/>
        </w:rPr>
        <w:t xml:space="preserve"> case that was settled nearly eight years ago.</w:t>
      </w:r>
      <w:r>
        <w:rPr>
          <w:rFonts w:ascii="Arial" w:hAnsi="Arial" w:cs="Arial"/>
          <w:sz w:val="24"/>
          <w:szCs w:val="24"/>
        </w:rPr>
        <w:t xml:space="preserve"> </w:t>
      </w:r>
    </w:p>
    <w:p w14:paraId="4955526A" w14:textId="46E98858" w:rsidR="00EF7940" w:rsidRPr="004C4156" w:rsidRDefault="00EF7940" w:rsidP="00EF7940">
      <w:pPr>
        <w:spacing w:after="0" w:line="480" w:lineRule="auto"/>
        <w:jc w:val="both"/>
        <w:rPr>
          <w:rFonts w:ascii="Arial" w:hAnsi="Arial" w:cs="Arial"/>
          <w:sz w:val="24"/>
          <w:szCs w:val="24"/>
        </w:rPr>
      </w:pPr>
      <w:r>
        <w:rPr>
          <w:rFonts w:ascii="Arial" w:hAnsi="Arial" w:cs="Arial"/>
          <w:sz w:val="24"/>
          <w:szCs w:val="24"/>
        </w:rPr>
        <w:tab/>
        <w:t>In the Supplement</w:t>
      </w:r>
      <w:r w:rsidR="00277F10">
        <w:rPr>
          <w:rFonts w:ascii="Arial" w:hAnsi="Arial" w:cs="Arial"/>
          <w:sz w:val="24"/>
          <w:szCs w:val="24"/>
        </w:rPr>
        <w:t>al</w:t>
      </w:r>
      <w:r>
        <w:rPr>
          <w:rFonts w:ascii="Arial" w:hAnsi="Arial" w:cs="Arial"/>
          <w:sz w:val="24"/>
          <w:szCs w:val="24"/>
        </w:rPr>
        <w:t xml:space="preserve"> Order, the Commission concluded that IGS is attempting to relitigate matters decided in the Distribution Order.  In that case, the Commission</w:t>
      </w:r>
      <w:r w:rsidRPr="004C4156">
        <w:rPr>
          <w:rFonts w:ascii="Arial" w:hAnsi="Arial" w:cs="Arial"/>
          <w:sz w:val="24"/>
          <w:szCs w:val="24"/>
        </w:rPr>
        <w:t xml:space="preserve"> concluded that the $150 fee was authorized as part of a settlement in DP&amp;L’s merger proceeding (Case No. 11-3002-EL-MER) and that “the Commission is bound by certain institutional constraints to provide an explanation before such order may be changed or </w:t>
      </w:r>
      <w:r w:rsidRPr="004C4156">
        <w:rPr>
          <w:rFonts w:ascii="Arial" w:hAnsi="Arial" w:cs="Arial"/>
          <w:sz w:val="24"/>
          <w:szCs w:val="24"/>
        </w:rPr>
        <w:lastRenderedPageBreak/>
        <w:t>modified.”</w:t>
      </w:r>
      <w:r w:rsidR="00633CAF">
        <w:rPr>
          <w:rStyle w:val="FootnoteReference"/>
          <w:rFonts w:ascii="Arial" w:hAnsi="Arial" w:cs="Arial"/>
          <w:sz w:val="24"/>
          <w:szCs w:val="24"/>
        </w:rPr>
        <w:footnoteReference w:id="24"/>
      </w:r>
      <w:r w:rsidR="00C34019">
        <w:rPr>
          <w:rFonts w:ascii="Arial" w:hAnsi="Arial" w:cs="Arial"/>
          <w:sz w:val="24"/>
          <w:szCs w:val="24"/>
        </w:rPr>
        <w:t xml:space="preserve"> </w:t>
      </w:r>
      <w:r w:rsidRPr="004C4156">
        <w:rPr>
          <w:rFonts w:ascii="Arial" w:hAnsi="Arial" w:cs="Arial"/>
          <w:sz w:val="24"/>
          <w:szCs w:val="24"/>
        </w:rPr>
        <w:t xml:space="preserve">The decision further stated that it had not been demonstrated that circumstances have changed to support modifying the fee.  The order concluded that “[t]he </w:t>
      </w:r>
      <w:proofErr w:type="gramStart"/>
      <w:r w:rsidRPr="004C4156">
        <w:rPr>
          <w:rFonts w:ascii="Arial" w:hAnsi="Arial" w:cs="Arial"/>
          <w:sz w:val="24"/>
          <w:szCs w:val="24"/>
        </w:rPr>
        <w:t>witness</w:t>
      </w:r>
      <w:proofErr w:type="gramEnd"/>
      <w:r w:rsidRPr="004C4156">
        <w:rPr>
          <w:rFonts w:ascii="Arial" w:hAnsi="Arial" w:cs="Arial"/>
          <w:sz w:val="24"/>
          <w:szCs w:val="24"/>
        </w:rPr>
        <w:t xml:space="preserve"> did not refer to any decline in competition in the CRES market in DP&amp;L's service territory nor to a failure to achieve any goals set by the Commission when we approved the current interval data fees in the Merger Case.”</w:t>
      </w:r>
      <w:r w:rsidR="00962F0A">
        <w:rPr>
          <w:rStyle w:val="FootnoteReference"/>
          <w:rFonts w:ascii="Arial" w:hAnsi="Arial" w:cs="Arial"/>
          <w:sz w:val="24"/>
          <w:szCs w:val="24"/>
        </w:rPr>
        <w:footnoteReference w:id="25"/>
      </w:r>
      <w:r w:rsidRPr="004C4156">
        <w:rPr>
          <w:rFonts w:ascii="Arial" w:hAnsi="Arial" w:cs="Arial"/>
          <w:sz w:val="24"/>
          <w:szCs w:val="24"/>
        </w:rPr>
        <w:t xml:space="preserve">  </w:t>
      </w:r>
    </w:p>
    <w:p w14:paraId="4DE74FF9" w14:textId="43C72245" w:rsidR="005A16BA" w:rsidRDefault="00EF7940" w:rsidP="00EF4DD5">
      <w:pPr>
        <w:spacing w:after="0" w:line="480" w:lineRule="auto"/>
        <w:ind w:firstLine="720"/>
        <w:jc w:val="both"/>
        <w:rPr>
          <w:rFonts w:ascii="Arial" w:hAnsi="Arial" w:cs="Arial"/>
          <w:sz w:val="24"/>
          <w:szCs w:val="24"/>
        </w:rPr>
      </w:pPr>
      <w:r w:rsidRPr="004C4156">
        <w:rPr>
          <w:rFonts w:ascii="Arial" w:hAnsi="Arial" w:cs="Arial"/>
          <w:sz w:val="24"/>
          <w:szCs w:val="24"/>
        </w:rPr>
        <w:t xml:space="preserve">While IGS took issue with the legal standard applied by the Commission in the distribution rate case, in this case—for the sake of trying to improve the competitive market—IGS provided evidence to demonstrate </w:t>
      </w:r>
      <w:r w:rsidR="009D3B0C">
        <w:rPr>
          <w:rFonts w:ascii="Arial" w:hAnsi="Arial" w:cs="Arial"/>
          <w:sz w:val="24"/>
          <w:szCs w:val="24"/>
        </w:rPr>
        <w:t>that</w:t>
      </w:r>
      <w:r w:rsidR="005A16BA">
        <w:rPr>
          <w:rFonts w:ascii="Arial" w:hAnsi="Arial" w:cs="Arial"/>
          <w:sz w:val="24"/>
          <w:szCs w:val="24"/>
        </w:rPr>
        <w:t xml:space="preserve"> </w:t>
      </w:r>
      <w:r w:rsidR="009D3B0C">
        <w:rPr>
          <w:rFonts w:ascii="Arial" w:hAnsi="Arial" w:cs="Arial"/>
          <w:sz w:val="24"/>
          <w:szCs w:val="24"/>
        </w:rPr>
        <w:t xml:space="preserve">the </w:t>
      </w:r>
      <w:r w:rsidRPr="004C4156">
        <w:rPr>
          <w:rFonts w:ascii="Arial" w:hAnsi="Arial" w:cs="Arial"/>
          <w:sz w:val="24"/>
          <w:szCs w:val="24"/>
        </w:rPr>
        <w:t>negative impact of the fee warrant</w:t>
      </w:r>
      <w:r w:rsidR="009D3B0C">
        <w:rPr>
          <w:rFonts w:ascii="Arial" w:hAnsi="Arial" w:cs="Arial"/>
          <w:sz w:val="24"/>
          <w:szCs w:val="24"/>
        </w:rPr>
        <w:t>ed</w:t>
      </w:r>
      <w:r w:rsidRPr="004C4156">
        <w:rPr>
          <w:rFonts w:ascii="Arial" w:hAnsi="Arial" w:cs="Arial"/>
          <w:sz w:val="24"/>
          <w:szCs w:val="24"/>
        </w:rPr>
        <w:t xml:space="preserve"> modification.</w:t>
      </w:r>
      <w:r w:rsidR="005A16BA">
        <w:rPr>
          <w:rFonts w:ascii="Arial" w:hAnsi="Arial" w:cs="Arial"/>
          <w:sz w:val="24"/>
          <w:szCs w:val="24"/>
        </w:rPr>
        <w:t xml:space="preserve">  </w:t>
      </w:r>
      <w:r>
        <w:rPr>
          <w:rFonts w:ascii="Arial" w:hAnsi="Arial" w:cs="Arial"/>
          <w:sz w:val="24"/>
          <w:szCs w:val="24"/>
        </w:rPr>
        <w:t>IGS did not seek to relitigate the same issues; rather, IGS sought to work within the legal standard for modification established by the Commission in the Distribution Order.</w:t>
      </w:r>
      <w:r w:rsidR="005A16BA">
        <w:rPr>
          <w:rFonts w:ascii="Arial" w:hAnsi="Arial" w:cs="Arial"/>
          <w:sz w:val="24"/>
          <w:szCs w:val="24"/>
        </w:rPr>
        <w:t xml:space="preserve"> </w:t>
      </w:r>
      <w:r w:rsidR="00062A2A">
        <w:rPr>
          <w:rFonts w:ascii="Arial" w:hAnsi="Arial" w:cs="Arial"/>
          <w:sz w:val="24"/>
          <w:szCs w:val="24"/>
        </w:rPr>
        <w:t xml:space="preserve"> </w:t>
      </w:r>
      <w:r w:rsidR="00EF4DD5">
        <w:rPr>
          <w:rFonts w:ascii="Arial" w:hAnsi="Arial" w:cs="Arial"/>
          <w:sz w:val="24"/>
          <w:szCs w:val="24"/>
        </w:rPr>
        <w:t>For example, in Case No. 11-3002-EL-MER, the Commission noted that the stipulation leading to the $150 fee was intended “to p</w:t>
      </w:r>
      <w:r w:rsidR="00EF4DD5" w:rsidRPr="005A16BA">
        <w:rPr>
          <w:rFonts w:ascii="Arial" w:hAnsi="Arial" w:cs="Arial"/>
          <w:sz w:val="24"/>
          <w:szCs w:val="24"/>
        </w:rPr>
        <w:t>rovide for a reduction in barriers to competition</w:t>
      </w:r>
      <w:r w:rsidR="00EF4DD5">
        <w:rPr>
          <w:rFonts w:ascii="Arial" w:hAnsi="Arial" w:cs="Arial"/>
          <w:sz w:val="24"/>
          <w:szCs w:val="24"/>
        </w:rPr>
        <w:t xml:space="preserve"> </w:t>
      </w:r>
      <w:r w:rsidR="00EF4DD5" w:rsidRPr="005A16BA">
        <w:rPr>
          <w:rFonts w:ascii="Arial" w:hAnsi="Arial" w:cs="Arial"/>
          <w:sz w:val="24"/>
          <w:szCs w:val="24"/>
        </w:rPr>
        <w:t>by CRES providers.</w:t>
      </w:r>
      <w:r w:rsidR="00EF4DD5">
        <w:rPr>
          <w:rFonts w:ascii="Arial" w:hAnsi="Arial" w:cs="Arial"/>
          <w:sz w:val="24"/>
          <w:szCs w:val="24"/>
        </w:rPr>
        <w:t>”</w:t>
      </w:r>
      <w:r w:rsidR="00EF4DD5">
        <w:rPr>
          <w:rStyle w:val="FootnoteReference"/>
          <w:rFonts w:ascii="Arial" w:hAnsi="Arial" w:cs="Arial"/>
          <w:sz w:val="24"/>
          <w:szCs w:val="24"/>
        </w:rPr>
        <w:footnoteReference w:id="26"/>
      </w:r>
      <w:r w:rsidR="00EF4DD5">
        <w:rPr>
          <w:rFonts w:ascii="Arial" w:hAnsi="Arial" w:cs="Arial"/>
          <w:sz w:val="24"/>
          <w:szCs w:val="24"/>
        </w:rPr>
        <w:t xml:space="preserve">  But, as IGS testimony demonstrates, the fee remains a significant barrier to competition in DP&amp;L’s service territory.</w:t>
      </w:r>
    </w:p>
    <w:p w14:paraId="26DD78AB" w14:textId="613C41FE" w:rsidR="00EF7940" w:rsidRDefault="008068A1" w:rsidP="009D3B0C">
      <w:pPr>
        <w:spacing w:after="0" w:line="480" w:lineRule="auto"/>
        <w:ind w:firstLine="720"/>
        <w:jc w:val="both"/>
        <w:rPr>
          <w:rFonts w:ascii="Arial" w:hAnsi="Arial" w:cs="Arial"/>
          <w:sz w:val="24"/>
          <w:szCs w:val="24"/>
        </w:rPr>
      </w:pPr>
      <w:r>
        <w:rPr>
          <w:rFonts w:ascii="Arial" w:hAnsi="Arial" w:cs="Arial"/>
          <w:sz w:val="24"/>
          <w:szCs w:val="24"/>
        </w:rPr>
        <w:t>Of course, i</w:t>
      </w:r>
      <w:r w:rsidR="00EF7940">
        <w:rPr>
          <w:rFonts w:ascii="Arial" w:hAnsi="Arial" w:cs="Arial"/>
          <w:sz w:val="24"/>
          <w:szCs w:val="24"/>
        </w:rPr>
        <w:t xml:space="preserve">n this case, </w:t>
      </w:r>
      <w:r w:rsidR="00EF7940" w:rsidRPr="004C4156">
        <w:rPr>
          <w:rFonts w:ascii="Arial" w:hAnsi="Arial" w:cs="Arial"/>
          <w:sz w:val="24"/>
          <w:szCs w:val="24"/>
        </w:rPr>
        <w:t xml:space="preserve">IGS identified that </w:t>
      </w:r>
      <w:r>
        <w:rPr>
          <w:rFonts w:ascii="Arial" w:hAnsi="Arial" w:cs="Arial"/>
          <w:sz w:val="24"/>
          <w:szCs w:val="24"/>
        </w:rPr>
        <w:t>DP&amp;L’s historical usage</w:t>
      </w:r>
      <w:r w:rsidR="00EF7940" w:rsidRPr="004C4156">
        <w:rPr>
          <w:rFonts w:ascii="Arial" w:hAnsi="Arial" w:cs="Arial"/>
          <w:sz w:val="24"/>
          <w:szCs w:val="24"/>
        </w:rPr>
        <w:t xml:space="preserve"> fees have added up to millions of dollars over the past several years, which “ultimately must be passed onto customers.”</w:t>
      </w:r>
      <w:r w:rsidR="00393E15">
        <w:rPr>
          <w:rStyle w:val="FootnoteReference"/>
          <w:rFonts w:ascii="Arial" w:hAnsi="Arial" w:cs="Arial"/>
          <w:sz w:val="24"/>
          <w:szCs w:val="24"/>
        </w:rPr>
        <w:footnoteReference w:id="27"/>
      </w:r>
      <w:r w:rsidR="00EF7940" w:rsidRPr="004C4156">
        <w:rPr>
          <w:rFonts w:ascii="Arial" w:hAnsi="Arial" w:cs="Arial"/>
          <w:sz w:val="24"/>
          <w:szCs w:val="24"/>
        </w:rPr>
        <w:t xml:space="preserve">  Indeed, “these costs have become so exorbitant that a CRES provider must provide potential contract pricing to a customer without incurring the $150 </w:t>
      </w:r>
      <w:r w:rsidR="00EF7940" w:rsidRPr="004C4156">
        <w:rPr>
          <w:rFonts w:ascii="Arial" w:hAnsi="Arial" w:cs="Arial"/>
          <w:sz w:val="24"/>
          <w:szCs w:val="24"/>
        </w:rPr>
        <w:lastRenderedPageBreak/>
        <w:t>price, which simply cannot be justified every time there a prospective customer request a price.”</w:t>
      </w:r>
      <w:r w:rsidR="00534334">
        <w:rPr>
          <w:rStyle w:val="FootnoteReference"/>
          <w:rFonts w:ascii="Arial" w:hAnsi="Arial" w:cs="Arial"/>
          <w:sz w:val="24"/>
          <w:szCs w:val="24"/>
        </w:rPr>
        <w:footnoteReference w:id="28"/>
      </w:r>
      <w:r w:rsidR="00EF7940" w:rsidRPr="004C4156">
        <w:rPr>
          <w:rFonts w:ascii="Arial" w:hAnsi="Arial" w:cs="Arial"/>
          <w:sz w:val="24"/>
          <w:szCs w:val="24"/>
        </w:rPr>
        <w:t xml:space="preserve">  When CRES providers price contracts without actual customer historical usage, “it is much more difficult to tailor a product to the specific customer’s needs.”</w:t>
      </w:r>
      <w:r w:rsidR="00534334">
        <w:rPr>
          <w:rStyle w:val="FootnoteReference"/>
          <w:rFonts w:ascii="Arial" w:hAnsi="Arial" w:cs="Arial"/>
          <w:sz w:val="24"/>
          <w:szCs w:val="24"/>
        </w:rPr>
        <w:footnoteReference w:id="29"/>
      </w:r>
      <w:r w:rsidR="00534334">
        <w:rPr>
          <w:rFonts w:ascii="Arial" w:hAnsi="Arial" w:cs="Arial"/>
          <w:sz w:val="24"/>
          <w:szCs w:val="24"/>
        </w:rPr>
        <w:t xml:space="preserve"> </w:t>
      </w:r>
      <w:r w:rsidR="00EF7940" w:rsidRPr="004C4156">
        <w:rPr>
          <w:rFonts w:ascii="Arial" w:hAnsi="Arial" w:cs="Arial"/>
          <w:sz w:val="24"/>
          <w:szCs w:val="24"/>
        </w:rPr>
        <w:t xml:space="preserve"> And it results in </w:t>
      </w:r>
      <w:r>
        <w:rPr>
          <w:rFonts w:ascii="Arial" w:hAnsi="Arial" w:cs="Arial"/>
          <w:sz w:val="24"/>
          <w:szCs w:val="24"/>
        </w:rPr>
        <w:t>a decline in competitive offer</w:t>
      </w:r>
      <w:r w:rsidR="008E6B5F">
        <w:rPr>
          <w:rFonts w:ascii="Arial" w:hAnsi="Arial" w:cs="Arial"/>
          <w:sz w:val="24"/>
          <w:szCs w:val="24"/>
        </w:rPr>
        <w:t xml:space="preserve">s </w:t>
      </w:r>
      <w:r w:rsidR="00EF7940" w:rsidRPr="004C4156">
        <w:rPr>
          <w:rFonts w:ascii="Arial" w:hAnsi="Arial" w:cs="Arial"/>
          <w:sz w:val="24"/>
          <w:szCs w:val="24"/>
        </w:rPr>
        <w:t>to customers, because “the non-customized offer must build in more risk.”</w:t>
      </w:r>
      <w:r w:rsidR="00240109">
        <w:rPr>
          <w:rStyle w:val="FootnoteReference"/>
          <w:rFonts w:ascii="Arial" w:hAnsi="Arial" w:cs="Arial"/>
          <w:sz w:val="24"/>
          <w:szCs w:val="24"/>
        </w:rPr>
        <w:footnoteReference w:id="30"/>
      </w:r>
      <w:r w:rsidR="00240109">
        <w:rPr>
          <w:rFonts w:ascii="Arial" w:hAnsi="Arial" w:cs="Arial"/>
          <w:sz w:val="24"/>
          <w:szCs w:val="24"/>
        </w:rPr>
        <w:t xml:space="preserve"> </w:t>
      </w:r>
      <w:r w:rsidR="00EF7940" w:rsidRPr="004C4156">
        <w:rPr>
          <w:rFonts w:ascii="Arial" w:hAnsi="Arial" w:cs="Arial"/>
          <w:sz w:val="24"/>
          <w:szCs w:val="24"/>
        </w:rPr>
        <w:t xml:space="preserve"> </w:t>
      </w:r>
      <w:r w:rsidR="009D3B0C" w:rsidRPr="00EF7940">
        <w:rPr>
          <w:rFonts w:ascii="Arial" w:hAnsi="Arial" w:cs="Arial"/>
          <w:sz w:val="24"/>
          <w:szCs w:val="24"/>
        </w:rPr>
        <w:t>DP&amp;L’s own witness conceded as much during the hearing.</w:t>
      </w:r>
      <w:r w:rsidR="009D3B0C" w:rsidRPr="00EF7940">
        <w:rPr>
          <w:rStyle w:val="FootnoteReference"/>
          <w:rFonts w:ascii="Arial" w:hAnsi="Arial" w:cs="Arial"/>
          <w:sz w:val="24"/>
          <w:szCs w:val="24"/>
        </w:rPr>
        <w:footnoteReference w:id="31"/>
      </w:r>
      <w:r w:rsidR="009D3B0C" w:rsidRPr="00EF7940">
        <w:rPr>
          <w:rFonts w:ascii="Arial" w:hAnsi="Arial" w:cs="Arial"/>
          <w:sz w:val="24"/>
          <w:szCs w:val="24"/>
        </w:rPr>
        <w:t xml:space="preserve"> </w:t>
      </w:r>
      <w:r w:rsidR="00EF7940" w:rsidRPr="004C4156">
        <w:rPr>
          <w:rFonts w:ascii="Arial" w:hAnsi="Arial" w:cs="Arial"/>
          <w:sz w:val="24"/>
          <w:szCs w:val="24"/>
        </w:rPr>
        <w:t xml:space="preserve"> Ultimately, customers and the retail market lose out.</w:t>
      </w:r>
      <w:r w:rsidR="00EF7940">
        <w:rPr>
          <w:rFonts w:ascii="Arial" w:hAnsi="Arial" w:cs="Arial"/>
          <w:sz w:val="24"/>
          <w:szCs w:val="24"/>
        </w:rPr>
        <w:t xml:space="preserve">  Therefore, evidence exists in the record to</w:t>
      </w:r>
      <w:r w:rsidR="003F4CCE">
        <w:rPr>
          <w:rFonts w:ascii="Arial" w:hAnsi="Arial" w:cs="Arial"/>
          <w:sz w:val="24"/>
          <w:szCs w:val="24"/>
        </w:rPr>
        <w:t xml:space="preserve"> demonstrate that </w:t>
      </w:r>
      <w:r w:rsidR="007C1058">
        <w:rPr>
          <w:rFonts w:ascii="Arial" w:hAnsi="Arial" w:cs="Arial"/>
          <w:sz w:val="24"/>
          <w:szCs w:val="24"/>
        </w:rPr>
        <w:t xml:space="preserve">DP&amp;L’s historic usage fee has negatively impacted competition </w:t>
      </w:r>
      <w:r w:rsidR="00BB30B2">
        <w:rPr>
          <w:rFonts w:ascii="Arial" w:hAnsi="Arial" w:cs="Arial"/>
          <w:sz w:val="24"/>
          <w:szCs w:val="24"/>
        </w:rPr>
        <w:t xml:space="preserve">in a manner </w:t>
      </w:r>
      <w:proofErr w:type="gramStart"/>
      <w:r w:rsidR="00BB30B2">
        <w:rPr>
          <w:rFonts w:ascii="Arial" w:hAnsi="Arial" w:cs="Arial"/>
          <w:sz w:val="24"/>
          <w:szCs w:val="24"/>
        </w:rPr>
        <w:t>sufficient</w:t>
      </w:r>
      <w:proofErr w:type="gramEnd"/>
      <w:r w:rsidR="00BB30B2">
        <w:rPr>
          <w:rFonts w:ascii="Arial" w:hAnsi="Arial" w:cs="Arial"/>
          <w:sz w:val="24"/>
          <w:szCs w:val="24"/>
        </w:rPr>
        <w:t xml:space="preserve"> to justify </w:t>
      </w:r>
      <w:r w:rsidR="00EF7940">
        <w:rPr>
          <w:rFonts w:ascii="Arial" w:hAnsi="Arial" w:cs="Arial"/>
          <w:sz w:val="24"/>
          <w:szCs w:val="24"/>
        </w:rPr>
        <w:t xml:space="preserve">modification of the </w:t>
      </w:r>
      <w:r w:rsidR="006E1E1E">
        <w:rPr>
          <w:rFonts w:ascii="Arial" w:hAnsi="Arial" w:cs="Arial"/>
          <w:sz w:val="24"/>
          <w:szCs w:val="24"/>
        </w:rPr>
        <w:t>charge</w:t>
      </w:r>
      <w:r w:rsidR="00EF7940">
        <w:rPr>
          <w:rFonts w:ascii="Arial" w:hAnsi="Arial" w:cs="Arial"/>
          <w:sz w:val="24"/>
          <w:szCs w:val="24"/>
        </w:rPr>
        <w:t>.</w:t>
      </w:r>
      <w:r w:rsidR="00EF7940" w:rsidRPr="004C4156">
        <w:rPr>
          <w:rFonts w:ascii="Arial" w:hAnsi="Arial" w:cs="Arial"/>
          <w:sz w:val="24"/>
          <w:szCs w:val="24"/>
        </w:rPr>
        <w:t xml:space="preserve"> </w:t>
      </w:r>
      <w:r w:rsidR="00EF7940">
        <w:rPr>
          <w:rFonts w:ascii="Arial" w:hAnsi="Arial" w:cs="Arial"/>
          <w:sz w:val="24"/>
          <w:szCs w:val="24"/>
        </w:rPr>
        <w:t xml:space="preserve">  </w:t>
      </w:r>
      <w:r w:rsidR="00EF7940" w:rsidRPr="004C4156">
        <w:rPr>
          <w:rFonts w:ascii="Arial" w:hAnsi="Arial" w:cs="Arial"/>
          <w:sz w:val="24"/>
          <w:szCs w:val="24"/>
        </w:rPr>
        <w:t>Despite IGS’ testimony, the Supplemental Order summarily concluded that IGS is simply seeking to relitigate the same issue.</w:t>
      </w:r>
      <w:r w:rsidR="00EF7940" w:rsidRPr="004C4156">
        <w:rPr>
          <w:rFonts w:ascii="Arial" w:hAnsi="Arial" w:cs="Arial"/>
          <w:sz w:val="24"/>
          <w:szCs w:val="24"/>
        </w:rPr>
        <w:tab/>
      </w:r>
    </w:p>
    <w:p w14:paraId="12FE67E6" w14:textId="5BA1C2DF" w:rsidR="00E23B52" w:rsidRDefault="00E23B52" w:rsidP="00E23B52">
      <w:pPr>
        <w:spacing w:after="0" w:line="480" w:lineRule="auto"/>
        <w:ind w:firstLine="720"/>
        <w:jc w:val="both"/>
        <w:rPr>
          <w:rFonts w:ascii="Arial" w:hAnsi="Arial" w:cs="Arial"/>
          <w:sz w:val="24"/>
          <w:szCs w:val="24"/>
        </w:rPr>
      </w:pPr>
      <w:r w:rsidRPr="00EF7940">
        <w:rPr>
          <w:rFonts w:ascii="Arial" w:hAnsi="Arial" w:cs="Arial"/>
          <w:sz w:val="24"/>
          <w:szCs w:val="24"/>
        </w:rPr>
        <w:t>The continued existence of such a burdensome fee continues to suppress the retail electric market in DP&amp;L’s service territory. DP&amp;L witness Schroder testified that the fee should be viewed as “helping and supporting improved systems so [the $150 historical usage fee] could be done cheaper,” yet the fee has remained unchanged since its inception 8 years ago in case no. 11-3002-EL-MER.</w:t>
      </w:r>
      <w:r w:rsidRPr="00EF7940">
        <w:rPr>
          <w:rStyle w:val="FootnoteReference"/>
          <w:rFonts w:ascii="Arial" w:hAnsi="Arial" w:cs="Arial"/>
          <w:sz w:val="24"/>
          <w:szCs w:val="24"/>
        </w:rPr>
        <w:footnoteReference w:id="32"/>
      </w:r>
      <w:r w:rsidRPr="00EF7940">
        <w:rPr>
          <w:rFonts w:ascii="Arial" w:hAnsi="Arial" w:cs="Arial"/>
          <w:sz w:val="24"/>
          <w:szCs w:val="24"/>
        </w:rPr>
        <w:t xml:space="preserve"> </w:t>
      </w:r>
      <w:r w:rsidR="00240109">
        <w:rPr>
          <w:rFonts w:ascii="Arial" w:hAnsi="Arial" w:cs="Arial"/>
          <w:sz w:val="24"/>
          <w:szCs w:val="24"/>
        </w:rPr>
        <w:t xml:space="preserve"> </w:t>
      </w:r>
      <w:r w:rsidRPr="00EF7940">
        <w:rPr>
          <w:rFonts w:ascii="Arial" w:hAnsi="Arial" w:cs="Arial"/>
          <w:sz w:val="24"/>
          <w:szCs w:val="24"/>
        </w:rPr>
        <w:t>DP&amp;L provided no justification for the exorbitantly unreasonable fee despite interrogatories on the matter.</w:t>
      </w:r>
      <w:r w:rsidRPr="00EF7940">
        <w:rPr>
          <w:rStyle w:val="FootnoteReference"/>
          <w:rFonts w:ascii="Arial" w:hAnsi="Arial" w:cs="Arial"/>
          <w:sz w:val="24"/>
          <w:szCs w:val="24"/>
        </w:rPr>
        <w:footnoteReference w:id="33"/>
      </w:r>
      <w:r w:rsidRPr="00EF7940">
        <w:rPr>
          <w:rFonts w:ascii="Arial" w:hAnsi="Arial" w:cs="Arial"/>
          <w:sz w:val="24"/>
          <w:szCs w:val="24"/>
        </w:rPr>
        <w:t xml:space="preserve">  </w:t>
      </w:r>
    </w:p>
    <w:p w14:paraId="5DE8B46E" w14:textId="00C957E8" w:rsidR="00B31DA1" w:rsidRPr="00EF7940" w:rsidRDefault="00B31DA1" w:rsidP="00B31DA1">
      <w:pPr>
        <w:spacing w:after="0" w:line="480" w:lineRule="auto"/>
        <w:ind w:firstLine="720"/>
        <w:jc w:val="both"/>
        <w:rPr>
          <w:rFonts w:ascii="Arial" w:hAnsi="Arial" w:cs="Arial"/>
          <w:sz w:val="24"/>
          <w:szCs w:val="24"/>
        </w:rPr>
      </w:pPr>
      <w:r>
        <w:rPr>
          <w:rFonts w:ascii="Arial" w:hAnsi="Arial" w:cs="Arial"/>
          <w:sz w:val="24"/>
          <w:szCs w:val="24"/>
        </w:rPr>
        <w:lastRenderedPageBreak/>
        <w:t xml:space="preserve">To the extent that IGS’ efforts undertaken (under the standard for modification the Commission established in the distribution case) are deemed to be estopped, </w:t>
      </w:r>
      <w:r>
        <w:rPr>
          <w:rFonts w:ascii="Arial" w:hAnsi="Arial" w:cs="Arial"/>
          <w:i/>
          <w:sz w:val="24"/>
          <w:szCs w:val="24"/>
        </w:rPr>
        <w:t>any future efforts to change the fee would likewise suffer the same fate.</w:t>
      </w:r>
      <w:r>
        <w:rPr>
          <w:rFonts w:ascii="Arial" w:hAnsi="Arial" w:cs="Arial"/>
          <w:sz w:val="24"/>
          <w:szCs w:val="24"/>
        </w:rPr>
        <w:t xml:space="preserve">  But such a conclusion would contradict the Distribution Order’s reasoning that the fee is subject to change to the extent a party can demonstrate a “decline in competition” or “failure to achieve goals set by the Commission.”</w:t>
      </w:r>
      <w:r>
        <w:rPr>
          <w:rStyle w:val="FootnoteReference"/>
          <w:rFonts w:ascii="Arial" w:hAnsi="Arial" w:cs="Arial"/>
          <w:sz w:val="24"/>
          <w:szCs w:val="24"/>
        </w:rPr>
        <w:footnoteReference w:id="34"/>
      </w:r>
      <w:r>
        <w:rPr>
          <w:rFonts w:ascii="Arial" w:hAnsi="Arial" w:cs="Arial"/>
          <w:sz w:val="24"/>
          <w:szCs w:val="24"/>
        </w:rPr>
        <w:t xml:space="preserve">  </w:t>
      </w:r>
    </w:p>
    <w:p w14:paraId="0A68E9D0" w14:textId="2702E597" w:rsidR="00E23B52" w:rsidRPr="009D3B0C" w:rsidRDefault="00E23B52" w:rsidP="00D0102E">
      <w:pPr>
        <w:spacing w:after="0" w:line="480" w:lineRule="auto"/>
        <w:ind w:firstLine="720"/>
        <w:jc w:val="both"/>
        <w:rPr>
          <w:rFonts w:ascii="Arial" w:hAnsi="Arial" w:cs="Arial"/>
          <w:sz w:val="24"/>
          <w:szCs w:val="24"/>
        </w:rPr>
      </w:pPr>
      <w:r w:rsidRPr="00EF7940">
        <w:rPr>
          <w:rFonts w:ascii="Arial" w:hAnsi="Arial" w:cs="Arial"/>
          <w:sz w:val="24"/>
          <w:szCs w:val="24"/>
        </w:rPr>
        <w:t>The Commission should eliminate the historical usage fee insomuch as the fee is unreasonable and has created a financial barrier for CRES seeking to tailor products for specific customers on a competitive basis. DP&amp;L provides no basis for the high cost to suppliers</w:t>
      </w:r>
      <w:r w:rsidR="008E6B5F">
        <w:rPr>
          <w:rFonts w:ascii="Arial" w:hAnsi="Arial" w:cs="Arial"/>
          <w:sz w:val="24"/>
          <w:szCs w:val="24"/>
        </w:rPr>
        <w:t xml:space="preserve"> and the Commission failed to address IGS’ argument based upon the record</w:t>
      </w:r>
      <w:r w:rsidRPr="00D0102E">
        <w:rPr>
          <w:rFonts w:ascii="Arial" w:hAnsi="Arial" w:cs="Arial"/>
          <w:sz w:val="24"/>
          <w:szCs w:val="24"/>
        </w:rPr>
        <w:t>.</w:t>
      </w:r>
      <w:r w:rsidR="004536EF" w:rsidRPr="00D0102E">
        <w:rPr>
          <w:rFonts w:ascii="Arial" w:hAnsi="Arial" w:cs="Arial"/>
          <w:sz w:val="24"/>
          <w:szCs w:val="24"/>
        </w:rPr>
        <w:t xml:space="preserve">  </w:t>
      </w:r>
      <w:r w:rsidR="00161BA6" w:rsidRPr="00D0102E">
        <w:rPr>
          <w:rFonts w:ascii="Arial" w:hAnsi="Arial" w:cs="Arial"/>
          <w:color w:val="222222"/>
          <w:sz w:val="24"/>
          <w:szCs w:val="24"/>
          <w:shd w:val="clear" w:color="auto" w:fill="FFFFFF"/>
        </w:rPr>
        <w:t xml:space="preserve"> “A legion of cases establish that the commission abuses its discretion if it renders an opinion on an issue without record support.”  </w:t>
      </w:r>
      <w:r w:rsidR="006B4BC4" w:rsidRPr="00D0102E">
        <w:rPr>
          <w:rFonts w:ascii="Arial" w:hAnsi="Arial" w:cs="Arial"/>
          <w:i/>
          <w:color w:val="222222"/>
          <w:sz w:val="24"/>
          <w:szCs w:val="24"/>
          <w:shd w:val="clear" w:color="auto" w:fill="FFFFFF"/>
        </w:rPr>
        <w:t>Cleveland Elec. Illum. Co. v. Pub. Util. Comm.</w:t>
      </w:r>
      <w:r w:rsidR="006B4BC4" w:rsidRPr="00D0102E">
        <w:rPr>
          <w:rFonts w:ascii="Arial" w:hAnsi="Arial" w:cs="Arial"/>
          <w:color w:val="222222"/>
          <w:sz w:val="24"/>
          <w:szCs w:val="24"/>
          <w:shd w:val="clear" w:color="auto" w:fill="FFFFFF"/>
        </w:rPr>
        <w:t xml:space="preserve">, 76 Ohio St. 3d 163, 166 (1976).  </w:t>
      </w:r>
      <w:r w:rsidR="004536EF" w:rsidRPr="00D0102E">
        <w:rPr>
          <w:rFonts w:ascii="Arial" w:hAnsi="Arial" w:cs="Arial"/>
          <w:sz w:val="24"/>
          <w:szCs w:val="24"/>
        </w:rPr>
        <w:t xml:space="preserve">Because the </w:t>
      </w:r>
      <w:r w:rsidR="006B4BC4" w:rsidRPr="00D0102E">
        <w:rPr>
          <w:rFonts w:ascii="Arial" w:hAnsi="Arial" w:cs="Arial"/>
          <w:sz w:val="24"/>
          <w:szCs w:val="24"/>
        </w:rPr>
        <w:t xml:space="preserve">Supplemental </w:t>
      </w:r>
      <w:r w:rsidR="004536EF" w:rsidRPr="00D0102E">
        <w:rPr>
          <w:rFonts w:ascii="Arial" w:hAnsi="Arial" w:cs="Arial"/>
          <w:sz w:val="24"/>
          <w:szCs w:val="24"/>
        </w:rPr>
        <w:t xml:space="preserve">Order failed to </w:t>
      </w:r>
      <w:r w:rsidR="001A4726" w:rsidRPr="00D0102E">
        <w:rPr>
          <w:rFonts w:ascii="Arial" w:hAnsi="Arial" w:cs="Arial"/>
          <w:sz w:val="24"/>
          <w:szCs w:val="24"/>
        </w:rPr>
        <w:t xml:space="preserve">identify evidence in the record to support the charge, </w:t>
      </w:r>
      <w:r w:rsidR="00D0102E" w:rsidRPr="00D0102E">
        <w:rPr>
          <w:rFonts w:ascii="Arial" w:hAnsi="Arial" w:cs="Arial"/>
          <w:sz w:val="24"/>
          <w:szCs w:val="24"/>
        </w:rPr>
        <w:t xml:space="preserve">the order </w:t>
      </w:r>
      <w:r w:rsidR="00DD025A" w:rsidRPr="00D0102E">
        <w:rPr>
          <w:rFonts w:ascii="Arial" w:hAnsi="Arial" w:cs="Arial"/>
          <w:sz w:val="24"/>
          <w:szCs w:val="24"/>
        </w:rPr>
        <w:t>erred,</w:t>
      </w:r>
      <w:r w:rsidR="00D0102E" w:rsidRPr="00D0102E">
        <w:rPr>
          <w:rFonts w:ascii="Arial" w:hAnsi="Arial" w:cs="Arial"/>
          <w:sz w:val="24"/>
          <w:szCs w:val="24"/>
        </w:rPr>
        <w:t xml:space="preserve"> and </w:t>
      </w:r>
      <w:r w:rsidR="00D0102E">
        <w:rPr>
          <w:rFonts w:ascii="Arial" w:hAnsi="Arial" w:cs="Arial"/>
          <w:sz w:val="24"/>
          <w:szCs w:val="24"/>
        </w:rPr>
        <w:t>the charge should</w:t>
      </w:r>
      <w:r w:rsidR="00D0102E" w:rsidRPr="00D0102E">
        <w:rPr>
          <w:rFonts w:ascii="Arial" w:hAnsi="Arial" w:cs="Arial"/>
          <w:sz w:val="24"/>
          <w:szCs w:val="24"/>
        </w:rPr>
        <w:t xml:space="preserve"> be </w:t>
      </w:r>
      <w:r w:rsidR="00D0102E">
        <w:rPr>
          <w:rFonts w:ascii="Arial" w:hAnsi="Arial" w:cs="Arial"/>
          <w:sz w:val="24"/>
          <w:szCs w:val="24"/>
        </w:rPr>
        <w:t xml:space="preserve">eliminated on rehearing. </w:t>
      </w:r>
    </w:p>
    <w:p w14:paraId="7CB69C43" w14:textId="5ACF9860" w:rsidR="009C4190" w:rsidRPr="00DE6735" w:rsidRDefault="00BD1BC4" w:rsidP="00DE6735">
      <w:pPr>
        <w:pStyle w:val="Heading2"/>
      </w:pPr>
      <w:bookmarkStart w:id="10" w:name="_Toc28008930"/>
      <w:r w:rsidRPr="00DE6735">
        <w:t xml:space="preserve">The Supplemental Order (¶ 84) is unlawful and unreasonable inasmuch as it rejected IGS’ proposal to establish an unbundling rider.  This matter was not addressed in the distribution rate case, given that the Commission has no statutory authority to establish rate adjustment clauses under R.C. 4909.18.  That authority exists only in an ESP case.  The Supplemental Order’s failure to address this matter was arbitrary and unreasonable. </w:t>
      </w:r>
      <w:r w:rsidRPr="00DE6735">
        <w:rPr>
          <w:rFonts w:eastAsia="Calibri"/>
          <w:i/>
        </w:rPr>
        <w:t>Forest Hills Utility Co. v. Pub. Util. Comm</w:t>
      </w:r>
      <w:r w:rsidRPr="00DE6735">
        <w:rPr>
          <w:rFonts w:eastAsia="Calibri"/>
        </w:rPr>
        <w:t>., 31 Ohio St. 2d 46 (1972).</w:t>
      </w:r>
      <w:bookmarkEnd w:id="10"/>
      <w:r w:rsidRPr="00DE6735">
        <w:rPr>
          <w:rFonts w:eastAsia="Calibri"/>
        </w:rPr>
        <w:t xml:space="preserve">  </w:t>
      </w:r>
    </w:p>
    <w:p w14:paraId="78BDB50B" w14:textId="402D6E8A" w:rsidR="009D3B0C" w:rsidRDefault="009D3B0C" w:rsidP="009D3B0C">
      <w:pPr>
        <w:spacing w:after="120" w:line="480" w:lineRule="auto"/>
        <w:ind w:firstLine="720"/>
        <w:jc w:val="both"/>
        <w:rPr>
          <w:rFonts w:ascii="Arial" w:hAnsi="Arial" w:cs="Arial"/>
          <w:sz w:val="24"/>
          <w:szCs w:val="24"/>
        </w:rPr>
      </w:pPr>
      <w:r>
        <w:rPr>
          <w:rFonts w:ascii="Arial" w:hAnsi="Arial" w:cs="Arial"/>
          <w:sz w:val="24"/>
          <w:szCs w:val="24"/>
        </w:rPr>
        <w:t xml:space="preserve">At an earlier stage of this proceeding, the Retail Energy Supply Association </w:t>
      </w:r>
      <w:proofErr w:type="gramStart"/>
      <w:r>
        <w:rPr>
          <w:rFonts w:ascii="Arial" w:hAnsi="Arial" w:cs="Arial"/>
          <w:sz w:val="24"/>
          <w:szCs w:val="24"/>
        </w:rPr>
        <w:t>entered into</w:t>
      </w:r>
      <w:proofErr w:type="gramEnd"/>
      <w:r>
        <w:rPr>
          <w:rFonts w:ascii="Arial" w:hAnsi="Arial" w:cs="Arial"/>
          <w:sz w:val="24"/>
          <w:szCs w:val="24"/>
        </w:rPr>
        <w:t xml:space="preserve"> a </w:t>
      </w:r>
      <w:r w:rsidR="008340B3">
        <w:rPr>
          <w:rFonts w:ascii="Arial" w:hAnsi="Arial" w:cs="Arial"/>
          <w:sz w:val="24"/>
          <w:szCs w:val="24"/>
        </w:rPr>
        <w:t>S</w:t>
      </w:r>
      <w:r>
        <w:rPr>
          <w:rFonts w:ascii="Arial" w:hAnsi="Arial" w:cs="Arial"/>
          <w:sz w:val="24"/>
          <w:szCs w:val="24"/>
        </w:rPr>
        <w:t>tipulation</w:t>
      </w:r>
      <w:r w:rsidR="00F12F95">
        <w:rPr>
          <w:rFonts w:ascii="Arial" w:hAnsi="Arial" w:cs="Arial"/>
          <w:sz w:val="24"/>
          <w:szCs w:val="24"/>
        </w:rPr>
        <w:t xml:space="preserve"> </w:t>
      </w:r>
      <w:r>
        <w:rPr>
          <w:rFonts w:ascii="Arial" w:hAnsi="Arial" w:cs="Arial"/>
          <w:sz w:val="24"/>
          <w:szCs w:val="24"/>
        </w:rPr>
        <w:t>that recommended:</w:t>
      </w:r>
    </w:p>
    <w:p w14:paraId="44D41ABB" w14:textId="20D769E6" w:rsidR="009D3B0C" w:rsidRPr="009D3B0C" w:rsidRDefault="009D3B0C" w:rsidP="00807E0B">
      <w:pPr>
        <w:spacing w:after="0" w:line="240" w:lineRule="auto"/>
        <w:ind w:left="720" w:right="720"/>
        <w:jc w:val="both"/>
        <w:rPr>
          <w:rFonts w:ascii="Arial" w:hAnsi="Arial" w:cs="Arial"/>
          <w:sz w:val="24"/>
          <w:szCs w:val="24"/>
        </w:rPr>
      </w:pPr>
      <w:r w:rsidRPr="009D3B0C">
        <w:rPr>
          <w:rFonts w:ascii="Arial" w:hAnsi="Arial" w:cs="Arial"/>
          <w:sz w:val="24"/>
          <w:szCs w:val="24"/>
        </w:rPr>
        <w:lastRenderedPageBreak/>
        <w:t>In DP&amp;L's filed distribution rate case (Case No. 15-1830-EL-AIR), there</w:t>
      </w:r>
    </w:p>
    <w:p w14:paraId="1812481C" w14:textId="77777777" w:rsidR="009D3B0C" w:rsidRPr="009D3B0C" w:rsidRDefault="009D3B0C" w:rsidP="00807E0B">
      <w:pPr>
        <w:spacing w:after="0" w:line="240" w:lineRule="auto"/>
        <w:ind w:left="720" w:right="720"/>
        <w:jc w:val="both"/>
        <w:rPr>
          <w:rFonts w:ascii="Arial" w:hAnsi="Arial" w:cs="Arial"/>
          <w:sz w:val="24"/>
          <w:szCs w:val="24"/>
        </w:rPr>
      </w:pPr>
      <w:r w:rsidRPr="009D3B0C">
        <w:rPr>
          <w:rFonts w:ascii="Arial" w:hAnsi="Arial" w:cs="Arial"/>
          <w:sz w:val="24"/>
          <w:szCs w:val="24"/>
        </w:rPr>
        <w:t>will be an evaluation of costs contained in distribution rates that may be</w:t>
      </w:r>
    </w:p>
    <w:p w14:paraId="10651B4A" w14:textId="77777777" w:rsidR="009D3B0C" w:rsidRPr="009D3B0C" w:rsidRDefault="009D3B0C" w:rsidP="00807E0B">
      <w:pPr>
        <w:spacing w:after="0" w:line="240" w:lineRule="auto"/>
        <w:ind w:left="720" w:right="720"/>
        <w:jc w:val="both"/>
        <w:rPr>
          <w:rFonts w:ascii="Arial" w:hAnsi="Arial" w:cs="Arial"/>
          <w:sz w:val="24"/>
          <w:szCs w:val="24"/>
        </w:rPr>
      </w:pPr>
      <w:r w:rsidRPr="009D3B0C">
        <w:rPr>
          <w:rFonts w:ascii="Arial" w:hAnsi="Arial" w:cs="Arial"/>
          <w:sz w:val="24"/>
          <w:szCs w:val="24"/>
        </w:rPr>
        <w:t>necessary to provide standard service offer service. Any reallocation of</w:t>
      </w:r>
    </w:p>
    <w:p w14:paraId="11D49371" w14:textId="77777777" w:rsidR="009D3B0C" w:rsidRPr="009D3B0C" w:rsidRDefault="009D3B0C" w:rsidP="00807E0B">
      <w:pPr>
        <w:spacing w:after="0" w:line="240" w:lineRule="auto"/>
        <w:ind w:left="720" w:right="720"/>
        <w:jc w:val="both"/>
        <w:rPr>
          <w:rFonts w:ascii="Arial" w:hAnsi="Arial" w:cs="Arial"/>
          <w:sz w:val="24"/>
          <w:szCs w:val="24"/>
        </w:rPr>
      </w:pPr>
      <w:r w:rsidRPr="009D3B0C">
        <w:rPr>
          <w:rFonts w:ascii="Arial" w:hAnsi="Arial" w:cs="Arial"/>
          <w:sz w:val="24"/>
          <w:szCs w:val="24"/>
        </w:rPr>
        <w:t>costs to the standard service offer as a result of this evaluation will be</w:t>
      </w:r>
    </w:p>
    <w:p w14:paraId="33A2C8EA" w14:textId="7DB59E8F" w:rsidR="009D3B0C" w:rsidRDefault="009D3B0C" w:rsidP="00807E0B">
      <w:pPr>
        <w:spacing w:after="0" w:line="240" w:lineRule="auto"/>
        <w:ind w:left="720" w:right="720"/>
        <w:jc w:val="both"/>
        <w:rPr>
          <w:rFonts w:ascii="Arial" w:hAnsi="Arial" w:cs="Arial"/>
          <w:sz w:val="24"/>
          <w:szCs w:val="24"/>
        </w:rPr>
      </w:pPr>
      <w:r w:rsidRPr="009D3B0C">
        <w:rPr>
          <w:rFonts w:ascii="Arial" w:hAnsi="Arial" w:cs="Arial"/>
          <w:sz w:val="24"/>
          <w:szCs w:val="24"/>
        </w:rPr>
        <w:t>revenue neutral to DP&amp;L.</w:t>
      </w:r>
      <w:r>
        <w:rPr>
          <w:rStyle w:val="FootnoteReference"/>
          <w:rFonts w:ascii="Arial" w:hAnsi="Arial" w:cs="Arial"/>
          <w:sz w:val="24"/>
          <w:szCs w:val="24"/>
        </w:rPr>
        <w:footnoteReference w:id="35"/>
      </w:r>
      <w:r w:rsidRPr="009D3B0C">
        <w:rPr>
          <w:rFonts w:ascii="Arial" w:hAnsi="Arial" w:cs="Arial"/>
          <w:sz w:val="24"/>
          <w:szCs w:val="24"/>
        </w:rPr>
        <w:cr/>
      </w:r>
    </w:p>
    <w:p w14:paraId="78E3EA80" w14:textId="1678CD09" w:rsidR="009D3B0C" w:rsidRDefault="00593AC2" w:rsidP="009D3B0C">
      <w:pPr>
        <w:spacing w:after="120" w:line="480" w:lineRule="auto"/>
        <w:jc w:val="both"/>
        <w:rPr>
          <w:rFonts w:ascii="Arial" w:eastAsia="Arial" w:hAnsi="Arial" w:cs="Arial"/>
          <w:bCs/>
          <w:sz w:val="24"/>
          <w:szCs w:val="24"/>
        </w:rPr>
      </w:pPr>
      <w:r>
        <w:rPr>
          <w:rFonts w:ascii="Arial" w:eastAsia="Arial" w:hAnsi="Arial" w:cs="Arial"/>
          <w:bCs/>
          <w:sz w:val="24"/>
          <w:szCs w:val="24"/>
        </w:rPr>
        <w:t xml:space="preserve">To this end, </w:t>
      </w:r>
      <w:r w:rsidR="00897590">
        <w:rPr>
          <w:rFonts w:ascii="Arial" w:eastAsia="Arial" w:hAnsi="Arial" w:cs="Arial"/>
          <w:bCs/>
          <w:sz w:val="24"/>
          <w:szCs w:val="24"/>
        </w:rPr>
        <w:t xml:space="preserve">in the distribution rate case, </w:t>
      </w:r>
      <w:r w:rsidR="009D3B0C">
        <w:rPr>
          <w:rFonts w:ascii="Arial" w:eastAsia="Arial" w:hAnsi="Arial" w:cs="Arial"/>
          <w:bCs/>
          <w:sz w:val="24"/>
          <w:szCs w:val="24"/>
        </w:rPr>
        <w:t>IGS raised concerns regarding DP&amp;L’s proposed recovery of default service-related costs in distribution rates.  IGS quantified this subsidy to exceed $11 million per year.  To level the playing field, IGS recommended:</w:t>
      </w:r>
    </w:p>
    <w:p w14:paraId="5AA828E9" w14:textId="77777777" w:rsidR="009D3B0C" w:rsidRPr="001B3160" w:rsidRDefault="009D3B0C" w:rsidP="009D3B0C">
      <w:pPr>
        <w:spacing w:after="120" w:line="240" w:lineRule="auto"/>
        <w:ind w:left="720" w:right="720"/>
        <w:jc w:val="both"/>
        <w:rPr>
          <w:rFonts w:ascii="Arial" w:eastAsia="Arial" w:hAnsi="Arial" w:cs="Arial"/>
          <w:bCs/>
          <w:sz w:val="24"/>
          <w:szCs w:val="24"/>
        </w:rPr>
      </w:pPr>
      <w:r w:rsidRPr="0058735A">
        <w:rPr>
          <w:rFonts w:ascii="Arial" w:eastAsia="Arial" w:hAnsi="Arial" w:cs="Arial"/>
          <w:bCs/>
          <w:sz w:val="24"/>
          <w:szCs w:val="24"/>
        </w:rPr>
        <w:t>unbundling costs incurred to process and administer SSO service from distribution rates</w:t>
      </w:r>
      <w:r>
        <w:rPr>
          <w:rFonts w:ascii="Arial" w:eastAsia="Arial" w:hAnsi="Arial" w:cs="Arial"/>
          <w:bCs/>
          <w:sz w:val="24"/>
          <w:szCs w:val="24"/>
        </w:rPr>
        <w:t xml:space="preserve"> </w:t>
      </w:r>
      <w:r w:rsidRPr="0058735A">
        <w:rPr>
          <w:rFonts w:ascii="Arial" w:eastAsia="Arial" w:hAnsi="Arial" w:cs="Arial"/>
          <w:bCs/>
          <w:sz w:val="24"/>
          <w:szCs w:val="24"/>
        </w:rPr>
        <w:t>and allocating those costs to SSO customers directly via the creation of two new riders: a</w:t>
      </w:r>
      <w:r>
        <w:rPr>
          <w:rFonts w:ascii="Arial" w:eastAsia="Arial" w:hAnsi="Arial" w:cs="Arial"/>
          <w:bCs/>
          <w:sz w:val="24"/>
          <w:szCs w:val="24"/>
        </w:rPr>
        <w:t xml:space="preserve"> </w:t>
      </w:r>
      <w:r w:rsidRPr="0058735A">
        <w:rPr>
          <w:rFonts w:ascii="Arial" w:eastAsia="Arial" w:hAnsi="Arial" w:cs="Arial"/>
          <w:bCs/>
          <w:sz w:val="24"/>
          <w:szCs w:val="24"/>
        </w:rPr>
        <w:t>credit rider for all customers allowing them to avoid distribution costs that</w:t>
      </w:r>
      <w:r>
        <w:rPr>
          <w:rFonts w:ascii="Arial" w:eastAsia="Arial" w:hAnsi="Arial" w:cs="Arial"/>
          <w:bCs/>
          <w:sz w:val="24"/>
          <w:szCs w:val="24"/>
        </w:rPr>
        <w:t xml:space="preserve"> </w:t>
      </w:r>
      <w:r w:rsidRPr="0058735A">
        <w:rPr>
          <w:rFonts w:ascii="Arial" w:eastAsia="Arial" w:hAnsi="Arial" w:cs="Arial"/>
          <w:bCs/>
          <w:sz w:val="24"/>
          <w:szCs w:val="24"/>
        </w:rPr>
        <w:t>support the SSO</w:t>
      </w:r>
      <w:r>
        <w:rPr>
          <w:rFonts w:ascii="Arial" w:eastAsia="Arial" w:hAnsi="Arial" w:cs="Arial"/>
          <w:bCs/>
          <w:sz w:val="24"/>
          <w:szCs w:val="24"/>
        </w:rPr>
        <w:t xml:space="preserve"> </w:t>
      </w:r>
      <w:r w:rsidRPr="0058735A">
        <w:rPr>
          <w:rFonts w:ascii="Arial" w:eastAsia="Arial" w:hAnsi="Arial" w:cs="Arial"/>
          <w:bCs/>
          <w:sz w:val="24"/>
          <w:szCs w:val="24"/>
        </w:rPr>
        <w:t>administrative processing costs and an avoidable rider that collect</w:t>
      </w:r>
      <w:r>
        <w:rPr>
          <w:rFonts w:ascii="Arial" w:eastAsia="Arial" w:hAnsi="Arial" w:cs="Arial"/>
          <w:bCs/>
          <w:sz w:val="24"/>
          <w:szCs w:val="24"/>
        </w:rPr>
        <w:t xml:space="preserve">s </w:t>
      </w:r>
      <w:r w:rsidRPr="0058735A">
        <w:rPr>
          <w:rFonts w:ascii="Arial" w:eastAsia="Arial" w:hAnsi="Arial" w:cs="Arial"/>
          <w:bCs/>
          <w:sz w:val="24"/>
          <w:szCs w:val="24"/>
        </w:rPr>
        <w:t>those costs directly from</w:t>
      </w:r>
      <w:r>
        <w:rPr>
          <w:rFonts w:ascii="Arial" w:eastAsia="Arial" w:hAnsi="Arial" w:cs="Arial"/>
          <w:bCs/>
          <w:sz w:val="24"/>
          <w:szCs w:val="24"/>
        </w:rPr>
        <w:t xml:space="preserve"> </w:t>
      </w:r>
      <w:r w:rsidRPr="0058735A">
        <w:rPr>
          <w:rFonts w:ascii="Arial" w:eastAsia="Arial" w:hAnsi="Arial" w:cs="Arial"/>
          <w:bCs/>
          <w:sz w:val="24"/>
          <w:szCs w:val="24"/>
        </w:rPr>
        <w:t xml:space="preserve">SSO </w:t>
      </w:r>
      <w:r w:rsidRPr="001B3160">
        <w:rPr>
          <w:rFonts w:ascii="Arial" w:eastAsia="Arial" w:hAnsi="Arial" w:cs="Arial"/>
          <w:bCs/>
          <w:sz w:val="24"/>
          <w:szCs w:val="24"/>
        </w:rPr>
        <w:t>customers.</w:t>
      </w:r>
      <w:r w:rsidRPr="001B3160">
        <w:rPr>
          <w:rStyle w:val="FootnoteReference"/>
          <w:rFonts w:ascii="Arial" w:eastAsia="Arial" w:hAnsi="Arial" w:cs="Arial"/>
          <w:bCs/>
          <w:sz w:val="24"/>
          <w:szCs w:val="24"/>
        </w:rPr>
        <w:footnoteReference w:id="36"/>
      </w:r>
    </w:p>
    <w:p w14:paraId="00364897" w14:textId="65A5A15F" w:rsidR="009D3B0C" w:rsidRDefault="009D3B0C" w:rsidP="00DE1BB8">
      <w:pPr>
        <w:spacing w:after="120" w:line="480" w:lineRule="auto"/>
        <w:jc w:val="both"/>
        <w:rPr>
          <w:rFonts w:ascii="Arial" w:hAnsi="Arial" w:cs="Arial"/>
          <w:sz w:val="24"/>
          <w:szCs w:val="24"/>
        </w:rPr>
      </w:pPr>
      <w:r w:rsidRPr="001B3160">
        <w:rPr>
          <w:rFonts w:ascii="Arial" w:eastAsia="Arial" w:hAnsi="Arial" w:cs="Arial"/>
          <w:bCs/>
          <w:sz w:val="24"/>
          <w:szCs w:val="24"/>
        </w:rPr>
        <w:t xml:space="preserve">The distribution rate case did not render a substantive decision on IGS’ unbundling arguments.  </w:t>
      </w:r>
      <w:r w:rsidR="003675C3">
        <w:rPr>
          <w:rFonts w:ascii="Arial" w:eastAsia="Arial" w:hAnsi="Arial" w:cs="Arial"/>
          <w:bCs/>
          <w:sz w:val="24"/>
          <w:szCs w:val="24"/>
        </w:rPr>
        <w:t>Instead, t</w:t>
      </w:r>
      <w:r>
        <w:rPr>
          <w:rFonts w:ascii="Arial" w:eastAsia="Arial" w:hAnsi="Arial" w:cs="Arial"/>
          <w:bCs/>
          <w:sz w:val="24"/>
          <w:szCs w:val="24"/>
        </w:rPr>
        <w:t xml:space="preserve">he </w:t>
      </w:r>
      <w:r w:rsidRPr="001B3160">
        <w:rPr>
          <w:rFonts w:ascii="Arial" w:hAnsi="Arial" w:cs="Arial"/>
          <w:sz w:val="24"/>
          <w:szCs w:val="24"/>
        </w:rPr>
        <w:t>Order determined that IGS’ proposal to reallocate these costs cannot be adopted because “R.C. 4909.18 does not authorize the creation of rate adjustment clauses.”</w:t>
      </w:r>
      <w:r w:rsidR="00DE1BB8">
        <w:rPr>
          <w:rStyle w:val="FootnoteReference"/>
          <w:rFonts w:ascii="Arial" w:hAnsi="Arial" w:cs="Arial"/>
          <w:sz w:val="24"/>
          <w:szCs w:val="24"/>
        </w:rPr>
        <w:footnoteReference w:id="37"/>
      </w:r>
      <w:r w:rsidR="00DE1BB8" w:rsidRPr="00DE1BB8">
        <w:t xml:space="preserve"> </w:t>
      </w:r>
    </w:p>
    <w:p w14:paraId="3D8B8972" w14:textId="08732246" w:rsidR="009D3B0C" w:rsidRPr="00C80D34" w:rsidRDefault="009D3B0C" w:rsidP="007607C1">
      <w:pPr>
        <w:spacing w:after="120" w:line="480" w:lineRule="auto"/>
        <w:jc w:val="both"/>
        <w:rPr>
          <w:rFonts w:ascii="Arial" w:hAnsi="Arial" w:cs="Arial"/>
          <w:sz w:val="24"/>
          <w:szCs w:val="24"/>
        </w:rPr>
      </w:pPr>
      <w:r>
        <w:rPr>
          <w:rFonts w:ascii="Arial" w:hAnsi="Arial" w:cs="Arial"/>
          <w:sz w:val="24"/>
          <w:szCs w:val="24"/>
        </w:rPr>
        <w:tab/>
      </w:r>
      <w:r w:rsidRPr="00C80D34">
        <w:rPr>
          <w:rFonts w:ascii="Arial" w:hAnsi="Arial" w:cs="Arial"/>
          <w:sz w:val="24"/>
          <w:szCs w:val="24"/>
        </w:rPr>
        <w:t>Interestingly, the</w:t>
      </w:r>
      <w:r w:rsidR="00041012">
        <w:rPr>
          <w:rFonts w:ascii="Arial" w:hAnsi="Arial" w:cs="Arial"/>
          <w:sz w:val="24"/>
          <w:szCs w:val="24"/>
        </w:rPr>
        <w:t xml:space="preserve"> Distribution</w:t>
      </w:r>
      <w:r w:rsidRPr="00C80D34">
        <w:rPr>
          <w:rFonts w:ascii="Arial" w:hAnsi="Arial" w:cs="Arial"/>
          <w:sz w:val="24"/>
          <w:szCs w:val="24"/>
        </w:rPr>
        <w:t xml:space="preserve"> Order acknowledged that the rider IGS proposed could be authorized in an ESP case:</w:t>
      </w:r>
    </w:p>
    <w:p w14:paraId="2D24A3EC" w14:textId="4080E53F" w:rsidR="009D3B0C" w:rsidRPr="00C80D34" w:rsidRDefault="009D3B0C" w:rsidP="007607C1">
      <w:pPr>
        <w:spacing w:after="120" w:line="240" w:lineRule="auto"/>
        <w:ind w:left="720" w:right="720"/>
        <w:jc w:val="both"/>
        <w:rPr>
          <w:rFonts w:ascii="Arial" w:hAnsi="Arial" w:cs="Arial"/>
          <w:sz w:val="24"/>
          <w:szCs w:val="24"/>
        </w:rPr>
      </w:pPr>
      <w:r w:rsidRPr="00C80D34">
        <w:rPr>
          <w:rFonts w:ascii="Arial" w:hAnsi="Arial" w:cs="Arial"/>
          <w:sz w:val="24"/>
          <w:szCs w:val="24"/>
        </w:rPr>
        <w:t xml:space="preserve">In Am. Sub. Senate Bill 221, the General Assembly explicitly authorized single issue ratemaking, for electric distribution service, in ESP proceedings "notwithstanding any provision of Title XLIX of the Revised Code to the contrary." R.C. 4928.143(B)(2)(h). </w:t>
      </w:r>
      <w:r w:rsidRPr="00C80D34">
        <w:rPr>
          <w:rFonts w:ascii="Arial" w:hAnsi="Arial" w:cs="Arial"/>
          <w:b/>
          <w:i/>
          <w:sz w:val="24"/>
          <w:szCs w:val="24"/>
        </w:rPr>
        <w:t xml:space="preserve">Rate adjustment clauses are a form of </w:t>
      </w:r>
      <w:proofErr w:type="gramStart"/>
      <w:r w:rsidRPr="00C80D34">
        <w:rPr>
          <w:rFonts w:ascii="Arial" w:hAnsi="Arial" w:cs="Arial"/>
          <w:b/>
          <w:i/>
          <w:sz w:val="24"/>
          <w:szCs w:val="24"/>
        </w:rPr>
        <w:t>single issue</w:t>
      </w:r>
      <w:proofErr w:type="gramEnd"/>
      <w:r w:rsidRPr="00C80D34">
        <w:rPr>
          <w:rFonts w:ascii="Arial" w:hAnsi="Arial" w:cs="Arial"/>
          <w:b/>
          <w:i/>
          <w:sz w:val="24"/>
          <w:szCs w:val="24"/>
        </w:rPr>
        <w:t xml:space="preserve"> ratemaking. However, this proceeding is a distribution rate case under R.C. 4909.18, rather than an ESP proceeding under 4928.143.</w:t>
      </w:r>
      <w:r w:rsidR="00243158">
        <w:rPr>
          <w:rStyle w:val="FootnoteReference"/>
          <w:rFonts w:ascii="Arial" w:hAnsi="Arial" w:cs="Arial"/>
          <w:b/>
          <w:i/>
          <w:sz w:val="24"/>
          <w:szCs w:val="24"/>
        </w:rPr>
        <w:footnoteReference w:id="38"/>
      </w:r>
      <w:r w:rsidRPr="00C80D34">
        <w:rPr>
          <w:rFonts w:ascii="Arial" w:hAnsi="Arial" w:cs="Arial"/>
          <w:sz w:val="24"/>
          <w:szCs w:val="24"/>
        </w:rPr>
        <w:t xml:space="preserve"> </w:t>
      </w:r>
    </w:p>
    <w:p w14:paraId="71B15DDD" w14:textId="36E276C9" w:rsidR="009D3B0C" w:rsidRPr="00C80D34" w:rsidRDefault="009D3B0C" w:rsidP="007607C1">
      <w:pPr>
        <w:spacing w:after="120" w:line="480" w:lineRule="auto"/>
        <w:jc w:val="both"/>
        <w:rPr>
          <w:rFonts w:ascii="Arial" w:hAnsi="Arial" w:cs="Arial"/>
          <w:sz w:val="24"/>
          <w:szCs w:val="24"/>
        </w:rPr>
      </w:pPr>
      <w:r>
        <w:rPr>
          <w:rFonts w:ascii="Arial" w:hAnsi="Arial" w:cs="Arial"/>
          <w:sz w:val="24"/>
          <w:szCs w:val="24"/>
        </w:rPr>
        <w:lastRenderedPageBreak/>
        <w:t xml:space="preserve">Naturally, given the Commission’s stated concern in the </w:t>
      </w:r>
      <w:r w:rsidR="004B358A">
        <w:rPr>
          <w:rFonts w:ascii="Arial" w:hAnsi="Arial" w:cs="Arial"/>
          <w:sz w:val="24"/>
          <w:szCs w:val="24"/>
        </w:rPr>
        <w:t>Distribution Order</w:t>
      </w:r>
      <w:r>
        <w:rPr>
          <w:rFonts w:ascii="Arial" w:hAnsi="Arial" w:cs="Arial"/>
          <w:sz w:val="24"/>
          <w:szCs w:val="24"/>
        </w:rPr>
        <w:t xml:space="preserve">, IGS suggested that the Commission simply follow its own legal advice and establish a rider in this case.  </w:t>
      </w:r>
      <w:r w:rsidR="00DA0EF7">
        <w:rPr>
          <w:rFonts w:ascii="Arial" w:hAnsi="Arial" w:cs="Arial"/>
          <w:sz w:val="24"/>
          <w:szCs w:val="24"/>
        </w:rPr>
        <w:t>IGS contends that by doing so</w:t>
      </w:r>
      <w:r>
        <w:rPr>
          <w:rFonts w:ascii="Arial" w:hAnsi="Arial" w:cs="Arial"/>
          <w:sz w:val="24"/>
          <w:szCs w:val="24"/>
        </w:rPr>
        <w:t>, any legal misgivings that may exist in the distribution rate case would be moot.</w:t>
      </w:r>
    </w:p>
    <w:p w14:paraId="46C31302" w14:textId="1E0733FA" w:rsidR="007F5F07" w:rsidRDefault="009D3B0C" w:rsidP="007607C1">
      <w:pPr>
        <w:spacing w:after="120" w:line="480" w:lineRule="auto"/>
        <w:jc w:val="both"/>
        <w:rPr>
          <w:rFonts w:ascii="Arial" w:eastAsia="Arial" w:hAnsi="Arial" w:cs="Arial"/>
          <w:bCs/>
          <w:sz w:val="24"/>
          <w:szCs w:val="24"/>
        </w:rPr>
      </w:pPr>
      <w:r>
        <w:rPr>
          <w:rFonts w:ascii="Arial" w:eastAsia="Arial" w:hAnsi="Arial" w:cs="Arial"/>
          <w:bCs/>
          <w:sz w:val="24"/>
          <w:szCs w:val="24"/>
        </w:rPr>
        <w:tab/>
        <w:t xml:space="preserve">Although the Distribution Order acknowledged that an ESP case is the appropriate place to establish an unbundling rider, the Supplemental Order concluded that IGS’ </w:t>
      </w:r>
      <w:r w:rsidR="00A75E47">
        <w:rPr>
          <w:rFonts w:ascii="Arial" w:eastAsia="Arial" w:hAnsi="Arial" w:cs="Arial"/>
          <w:bCs/>
          <w:sz w:val="24"/>
          <w:szCs w:val="24"/>
        </w:rPr>
        <w:t>recommendation for the establishment of</w:t>
      </w:r>
      <w:r>
        <w:rPr>
          <w:rFonts w:ascii="Arial" w:eastAsia="Arial" w:hAnsi="Arial" w:cs="Arial"/>
          <w:bCs/>
          <w:sz w:val="24"/>
          <w:szCs w:val="24"/>
        </w:rPr>
        <w:t xml:space="preserve"> such a rider is an attempt to relitigate the distribution rate case.</w:t>
      </w:r>
      <w:r w:rsidR="00511D6A">
        <w:rPr>
          <w:rStyle w:val="FootnoteReference"/>
          <w:rFonts w:ascii="Arial" w:eastAsia="Arial" w:hAnsi="Arial" w:cs="Arial"/>
          <w:bCs/>
          <w:sz w:val="24"/>
          <w:szCs w:val="24"/>
        </w:rPr>
        <w:footnoteReference w:id="39"/>
      </w:r>
      <w:r>
        <w:rPr>
          <w:rFonts w:ascii="Arial" w:eastAsia="Arial" w:hAnsi="Arial" w:cs="Arial"/>
          <w:bCs/>
          <w:sz w:val="24"/>
          <w:szCs w:val="24"/>
        </w:rPr>
        <w:t xml:space="preserve">  The Supplemental Order erred in that respect, given that the legal frameworks applicable to ESPs and distribution rate cases are completely different</w:t>
      </w:r>
      <w:r w:rsidR="004B358A">
        <w:rPr>
          <w:rFonts w:ascii="Arial" w:eastAsia="Arial" w:hAnsi="Arial" w:cs="Arial"/>
          <w:bCs/>
          <w:sz w:val="24"/>
          <w:szCs w:val="24"/>
        </w:rPr>
        <w:t xml:space="preserve"> and the matters decided in both cases were different</w:t>
      </w:r>
      <w:r>
        <w:rPr>
          <w:rFonts w:ascii="Arial" w:eastAsia="Arial" w:hAnsi="Arial" w:cs="Arial"/>
          <w:bCs/>
          <w:sz w:val="24"/>
          <w:szCs w:val="24"/>
        </w:rPr>
        <w:t xml:space="preserve">.  As the Commission noted, it lacks authority under R.C. 4909.18 to authorize rate adjustment clauses.  Therefore, IGS’ proposal could not be adopted in </w:t>
      </w:r>
      <w:r w:rsidR="007154FB">
        <w:rPr>
          <w:rFonts w:ascii="Arial" w:eastAsia="Arial" w:hAnsi="Arial" w:cs="Arial"/>
          <w:bCs/>
          <w:sz w:val="24"/>
          <w:szCs w:val="24"/>
        </w:rPr>
        <w:t xml:space="preserve">DP&amp;L’s distribution rate case as </w:t>
      </w:r>
      <w:r w:rsidR="0065414D">
        <w:rPr>
          <w:rFonts w:ascii="Arial" w:eastAsia="Arial" w:hAnsi="Arial" w:cs="Arial"/>
          <w:bCs/>
          <w:sz w:val="24"/>
          <w:szCs w:val="24"/>
        </w:rPr>
        <w:t>the Commission suggests.</w:t>
      </w:r>
      <w:r w:rsidR="007154FB">
        <w:rPr>
          <w:rFonts w:ascii="Arial" w:eastAsia="Arial" w:hAnsi="Arial" w:cs="Arial"/>
          <w:bCs/>
          <w:sz w:val="24"/>
          <w:szCs w:val="24"/>
        </w:rPr>
        <w:t xml:space="preserve"> </w:t>
      </w:r>
      <w:r w:rsidR="0065414D">
        <w:rPr>
          <w:rFonts w:ascii="Arial" w:eastAsia="Arial" w:hAnsi="Arial" w:cs="Arial"/>
          <w:bCs/>
          <w:sz w:val="24"/>
          <w:szCs w:val="24"/>
        </w:rPr>
        <w:t>Thankfully, n</w:t>
      </w:r>
      <w:r>
        <w:rPr>
          <w:rFonts w:ascii="Arial" w:eastAsia="Arial" w:hAnsi="Arial" w:cs="Arial"/>
          <w:bCs/>
          <w:sz w:val="24"/>
          <w:szCs w:val="24"/>
        </w:rPr>
        <w:t>o such limitation applies in this case.</w:t>
      </w:r>
      <w:r w:rsidR="007F5F07">
        <w:rPr>
          <w:rFonts w:ascii="Arial" w:eastAsia="Arial" w:hAnsi="Arial" w:cs="Arial"/>
          <w:bCs/>
          <w:sz w:val="24"/>
          <w:szCs w:val="24"/>
        </w:rPr>
        <w:t xml:space="preserve"> </w:t>
      </w:r>
    </w:p>
    <w:p w14:paraId="04513F18" w14:textId="2EDB0B34" w:rsidR="00E73B4B" w:rsidRDefault="007F5F07" w:rsidP="007607C1">
      <w:pPr>
        <w:spacing w:after="120" w:line="480" w:lineRule="auto"/>
        <w:jc w:val="both"/>
        <w:rPr>
          <w:rFonts w:ascii="Arial" w:eastAsia="Arial" w:hAnsi="Arial" w:cs="Arial"/>
          <w:bCs/>
          <w:sz w:val="24"/>
          <w:szCs w:val="24"/>
        </w:rPr>
      </w:pPr>
      <w:r>
        <w:rPr>
          <w:rFonts w:ascii="Arial" w:eastAsia="Arial" w:hAnsi="Arial" w:cs="Arial"/>
          <w:bCs/>
          <w:sz w:val="24"/>
          <w:szCs w:val="24"/>
        </w:rPr>
        <w:tab/>
        <w:t xml:space="preserve">Moreover, the </w:t>
      </w:r>
      <w:r w:rsidR="00C33159">
        <w:rPr>
          <w:rFonts w:ascii="Arial" w:hAnsi="Arial" w:cs="Arial"/>
          <w:sz w:val="24"/>
          <w:szCs w:val="24"/>
        </w:rPr>
        <w:t>Stipulation</w:t>
      </w:r>
      <w:r w:rsidR="008340B3">
        <w:rPr>
          <w:rFonts w:ascii="Arial" w:hAnsi="Arial" w:cs="Arial"/>
          <w:sz w:val="24"/>
          <w:szCs w:val="24"/>
        </w:rPr>
        <w:t xml:space="preserve"> in this proceeding</w:t>
      </w:r>
      <w:r>
        <w:rPr>
          <w:rFonts w:ascii="Arial" w:eastAsia="Arial" w:hAnsi="Arial" w:cs="Arial"/>
          <w:bCs/>
          <w:sz w:val="24"/>
          <w:szCs w:val="24"/>
        </w:rPr>
        <w:t xml:space="preserve"> specifically raises the possibility that SSO costs proposed for recovery in distribution rate</w:t>
      </w:r>
      <w:r w:rsidR="00D7551B">
        <w:rPr>
          <w:rFonts w:ascii="Arial" w:eastAsia="Arial" w:hAnsi="Arial" w:cs="Arial"/>
          <w:bCs/>
          <w:sz w:val="24"/>
          <w:szCs w:val="24"/>
        </w:rPr>
        <w:t>s</w:t>
      </w:r>
      <w:r>
        <w:rPr>
          <w:rFonts w:ascii="Arial" w:eastAsia="Arial" w:hAnsi="Arial" w:cs="Arial"/>
          <w:bCs/>
          <w:sz w:val="24"/>
          <w:szCs w:val="24"/>
        </w:rPr>
        <w:t xml:space="preserve"> may be reallocated to the SSO.  It would be wholly illogical and unreasonable to undertake that exercise without putting in place a structure to fairly and equitably reallocate any costs identified in the distribution case.  As such, IGS’ </w:t>
      </w:r>
      <w:r w:rsidR="00DC1B7C">
        <w:rPr>
          <w:rFonts w:ascii="Arial" w:eastAsia="Arial" w:hAnsi="Arial" w:cs="Arial"/>
          <w:bCs/>
          <w:sz w:val="24"/>
          <w:szCs w:val="24"/>
        </w:rPr>
        <w:t xml:space="preserve">current </w:t>
      </w:r>
      <w:r>
        <w:rPr>
          <w:rFonts w:ascii="Arial" w:eastAsia="Arial" w:hAnsi="Arial" w:cs="Arial"/>
          <w:bCs/>
          <w:sz w:val="24"/>
          <w:szCs w:val="24"/>
        </w:rPr>
        <w:t xml:space="preserve">proposal is relevant </w:t>
      </w:r>
      <w:r w:rsidR="00DC1B7C">
        <w:rPr>
          <w:rFonts w:ascii="Arial" w:eastAsia="Arial" w:hAnsi="Arial" w:cs="Arial"/>
          <w:bCs/>
          <w:sz w:val="24"/>
          <w:szCs w:val="24"/>
        </w:rPr>
        <w:t>in that it raises serious questions as to whether</w:t>
      </w:r>
      <w:r>
        <w:rPr>
          <w:rFonts w:ascii="Arial" w:eastAsia="Arial" w:hAnsi="Arial" w:cs="Arial"/>
          <w:bCs/>
          <w:sz w:val="24"/>
          <w:szCs w:val="24"/>
        </w:rPr>
        <w:t xml:space="preserve"> the Stipulation is in the public interest and</w:t>
      </w:r>
      <w:r w:rsidR="00C2650C">
        <w:rPr>
          <w:rFonts w:ascii="Arial" w:eastAsia="Arial" w:hAnsi="Arial" w:cs="Arial"/>
          <w:bCs/>
          <w:sz w:val="24"/>
          <w:szCs w:val="24"/>
        </w:rPr>
        <w:t>/or</w:t>
      </w:r>
      <w:r w:rsidR="00CD07F1">
        <w:rPr>
          <w:rFonts w:ascii="Arial" w:eastAsia="Arial" w:hAnsi="Arial" w:cs="Arial"/>
          <w:bCs/>
          <w:sz w:val="24"/>
          <w:szCs w:val="24"/>
        </w:rPr>
        <w:t xml:space="preserve"> </w:t>
      </w:r>
      <w:r>
        <w:rPr>
          <w:rFonts w:ascii="Arial" w:eastAsia="Arial" w:hAnsi="Arial" w:cs="Arial"/>
          <w:bCs/>
          <w:sz w:val="24"/>
          <w:szCs w:val="24"/>
        </w:rPr>
        <w:t>violate</w:t>
      </w:r>
      <w:r w:rsidR="00C2650C">
        <w:rPr>
          <w:rFonts w:ascii="Arial" w:eastAsia="Arial" w:hAnsi="Arial" w:cs="Arial"/>
          <w:bCs/>
          <w:sz w:val="24"/>
          <w:szCs w:val="24"/>
        </w:rPr>
        <w:t>s</w:t>
      </w:r>
      <w:r>
        <w:rPr>
          <w:rFonts w:ascii="Arial" w:eastAsia="Arial" w:hAnsi="Arial" w:cs="Arial"/>
          <w:bCs/>
          <w:sz w:val="24"/>
          <w:szCs w:val="24"/>
        </w:rPr>
        <w:t xml:space="preserve"> any regulatory practice or principle. </w:t>
      </w:r>
    </w:p>
    <w:p w14:paraId="4D73C25C" w14:textId="70731C4A" w:rsidR="00720FD3" w:rsidRPr="00720FD3" w:rsidRDefault="00E73B4B" w:rsidP="00720FD3">
      <w:pPr>
        <w:spacing w:after="120" w:line="480" w:lineRule="auto"/>
        <w:jc w:val="both"/>
        <w:rPr>
          <w:rFonts w:ascii="Arial" w:eastAsia="Arial" w:hAnsi="Arial" w:cs="Arial"/>
          <w:bCs/>
          <w:sz w:val="24"/>
          <w:szCs w:val="24"/>
        </w:rPr>
      </w:pPr>
      <w:r>
        <w:rPr>
          <w:rFonts w:ascii="Arial" w:eastAsia="Arial" w:hAnsi="Arial" w:cs="Arial"/>
          <w:bCs/>
          <w:sz w:val="24"/>
          <w:szCs w:val="24"/>
        </w:rPr>
        <w:lastRenderedPageBreak/>
        <w:tab/>
        <w:t xml:space="preserve">IGS recognizes that </w:t>
      </w:r>
      <w:r w:rsidR="00F94904">
        <w:rPr>
          <w:rFonts w:ascii="Arial" w:eastAsia="Arial" w:hAnsi="Arial" w:cs="Arial"/>
          <w:bCs/>
          <w:sz w:val="24"/>
          <w:szCs w:val="24"/>
        </w:rPr>
        <w:t>DP&amp;L has been permitted to withdraw its application in this proceeding.</w:t>
      </w:r>
      <w:r w:rsidR="00C539EB">
        <w:rPr>
          <w:rFonts w:ascii="Arial" w:eastAsia="Arial" w:hAnsi="Arial" w:cs="Arial"/>
          <w:bCs/>
          <w:sz w:val="24"/>
          <w:szCs w:val="24"/>
        </w:rPr>
        <w:t xml:space="preserve">  </w:t>
      </w:r>
      <w:r w:rsidR="00F94904">
        <w:rPr>
          <w:rFonts w:ascii="Arial" w:eastAsia="Arial" w:hAnsi="Arial" w:cs="Arial"/>
          <w:bCs/>
          <w:sz w:val="24"/>
          <w:szCs w:val="24"/>
        </w:rPr>
        <w:t xml:space="preserve">IGS anticipates that </w:t>
      </w:r>
      <w:r w:rsidR="00422D91">
        <w:rPr>
          <w:rFonts w:ascii="Arial" w:eastAsia="Arial" w:hAnsi="Arial" w:cs="Arial"/>
          <w:bCs/>
          <w:sz w:val="24"/>
          <w:szCs w:val="24"/>
        </w:rPr>
        <w:t>parties may contest the Commission’s</w:t>
      </w:r>
      <w:r w:rsidR="00F94904">
        <w:rPr>
          <w:rFonts w:ascii="Arial" w:eastAsia="Arial" w:hAnsi="Arial" w:cs="Arial"/>
          <w:bCs/>
          <w:sz w:val="24"/>
          <w:szCs w:val="24"/>
        </w:rPr>
        <w:t xml:space="preserve"> determination to permit DP&amp;L to withdraw </w:t>
      </w:r>
      <w:r w:rsidR="00333953">
        <w:rPr>
          <w:rFonts w:ascii="Arial" w:eastAsia="Arial" w:hAnsi="Arial" w:cs="Arial"/>
          <w:bCs/>
          <w:sz w:val="24"/>
          <w:szCs w:val="24"/>
        </w:rPr>
        <w:t>its application.</w:t>
      </w:r>
      <w:r w:rsidR="00422D91">
        <w:rPr>
          <w:rFonts w:ascii="Arial" w:eastAsia="Arial" w:hAnsi="Arial" w:cs="Arial"/>
          <w:bCs/>
          <w:sz w:val="24"/>
          <w:szCs w:val="24"/>
        </w:rPr>
        <w:t xml:space="preserve">  </w:t>
      </w:r>
      <w:r w:rsidR="00C539EB">
        <w:rPr>
          <w:rFonts w:ascii="Arial" w:eastAsia="Arial" w:hAnsi="Arial" w:cs="Arial"/>
          <w:bCs/>
          <w:sz w:val="24"/>
          <w:szCs w:val="24"/>
        </w:rPr>
        <w:t>Therefore, to the extent that DP&amp;L’s ESP remains in effect</w:t>
      </w:r>
      <w:r w:rsidR="00720FD3">
        <w:rPr>
          <w:rFonts w:ascii="Arial" w:eastAsia="Arial" w:hAnsi="Arial" w:cs="Arial"/>
          <w:bCs/>
          <w:sz w:val="24"/>
          <w:szCs w:val="24"/>
        </w:rPr>
        <w:t xml:space="preserve"> as a result of such a challenge, the Commission should establish a rider to facilitate the unbundling contemplated by the </w:t>
      </w:r>
      <w:r w:rsidR="008340B3">
        <w:rPr>
          <w:rFonts w:ascii="Arial" w:hAnsi="Arial" w:cs="Arial"/>
          <w:sz w:val="24"/>
          <w:szCs w:val="24"/>
        </w:rPr>
        <w:t>Stipulation in this proceeding</w:t>
      </w:r>
      <w:r w:rsidR="00720FD3">
        <w:rPr>
          <w:rFonts w:ascii="Arial" w:eastAsia="Arial" w:hAnsi="Arial" w:cs="Arial"/>
          <w:bCs/>
          <w:sz w:val="24"/>
          <w:szCs w:val="24"/>
        </w:rPr>
        <w:t>.</w:t>
      </w:r>
      <w:r w:rsidR="00333953">
        <w:rPr>
          <w:rFonts w:ascii="Arial" w:eastAsia="Arial" w:hAnsi="Arial" w:cs="Arial"/>
          <w:bCs/>
          <w:sz w:val="24"/>
          <w:szCs w:val="24"/>
        </w:rPr>
        <w:t xml:space="preserve"> </w:t>
      </w:r>
      <w:r w:rsidR="009D3B0C">
        <w:rPr>
          <w:rFonts w:ascii="Arial" w:eastAsia="Arial" w:hAnsi="Arial" w:cs="Arial"/>
          <w:bCs/>
          <w:sz w:val="24"/>
          <w:szCs w:val="24"/>
        </w:rPr>
        <w:tab/>
      </w:r>
    </w:p>
    <w:p w14:paraId="729B35A4" w14:textId="36625FF5" w:rsidR="00B45273" w:rsidRPr="00AD74B9" w:rsidRDefault="00B45273" w:rsidP="00AD74B9">
      <w:pPr>
        <w:pStyle w:val="Heading1"/>
      </w:pPr>
      <w:bookmarkStart w:id="11" w:name="_Toc28008931"/>
      <w:r>
        <w:t>CONCLUSION</w:t>
      </w:r>
      <w:bookmarkEnd w:id="11"/>
    </w:p>
    <w:p w14:paraId="6457042A" w14:textId="51D57C90" w:rsidR="00B45273" w:rsidRPr="00B45273" w:rsidRDefault="00B45273" w:rsidP="00B45273">
      <w:pPr>
        <w:spacing w:after="0" w:line="480" w:lineRule="auto"/>
        <w:ind w:firstLine="720"/>
        <w:jc w:val="both"/>
        <w:rPr>
          <w:rFonts w:ascii="Arial" w:hAnsi="Arial" w:cs="Arial"/>
          <w:sz w:val="24"/>
          <w:szCs w:val="24"/>
        </w:rPr>
      </w:pPr>
      <w:r>
        <w:rPr>
          <w:rFonts w:ascii="Arial" w:hAnsi="Arial" w:cs="Arial"/>
          <w:sz w:val="24"/>
          <w:szCs w:val="24"/>
        </w:rPr>
        <w:t xml:space="preserve">IGS urges the Commission to grant this </w:t>
      </w:r>
      <w:r w:rsidR="00385098">
        <w:rPr>
          <w:rFonts w:ascii="Arial" w:hAnsi="Arial" w:cs="Arial"/>
          <w:sz w:val="24"/>
          <w:szCs w:val="24"/>
        </w:rPr>
        <w:t>A</w:t>
      </w:r>
      <w:r>
        <w:rPr>
          <w:rFonts w:ascii="Arial" w:hAnsi="Arial" w:cs="Arial"/>
          <w:sz w:val="24"/>
          <w:szCs w:val="24"/>
        </w:rPr>
        <w:t xml:space="preserve">pplication for </w:t>
      </w:r>
      <w:r w:rsidR="00385098">
        <w:rPr>
          <w:rFonts w:ascii="Arial" w:hAnsi="Arial" w:cs="Arial"/>
          <w:sz w:val="24"/>
          <w:szCs w:val="24"/>
        </w:rPr>
        <w:t>R</w:t>
      </w:r>
      <w:r>
        <w:rPr>
          <w:rFonts w:ascii="Arial" w:hAnsi="Arial" w:cs="Arial"/>
          <w:sz w:val="24"/>
          <w:szCs w:val="24"/>
        </w:rPr>
        <w:t>ehearing and correct the errors identified herein.</w:t>
      </w:r>
    </w:p>
    <w:p w14:paraId="6953C7F6" w14:textId="77777777" w:rsidR="00B45273" w:rsidRDefault="00B45273" w:rsidP="005C0566">
      <w:pPr>
        <w:spacing w:after="0" w:line="240" w:lineRule="auto"/>
        <w:ind w:left="5040"/>
        <w:rPr>
          <w:rFonts w:ascii="Arial" w:hAnsi="Arial" w:cs="Arial"/>
          <w:sz w:val="24"/>
          <w:szCs w:val="24"/>
        </w:rPr>
      </w:pPr>
    </w:p>
    <w:p w14:paraId="08731B34" w14:textId="3D727AD5" w:rsidR="00B45273" w:rsidRDefault="00B45273" w:rsidP="005C0566">
      <w:pPr>
        <w:spacing w:after="0" w:line="240" w:lineRule="auto"/>
        <w:ind w:left="5040"/>
        <w:rPr>
          <w:rFonts w:ascii="Arial" w:hAnsi="Arial" w:cs="Arial"/>
          <w:sz w:val="24"/>
          <w:szCs w:val="24"/>
        </w:rPr>
      </w:pPr>
      <w:r>
        <w:rPr>
          <w:rFonts w:ascii="Arial" w:hAnsi="Arial" w:cs="Arial"/>
          <w:sz w:val="24"/>
          <w:szCs w:val="24"/>
        </w:rPr>
        <w:t>Respectfully submitted,</w:t>
      </w:r>
    </w:p>
    <w:p w14:paraId="63F62996" w14:textId="77777777" w:rsidR="00B45273" w:rsidRPr="00F67B86" w:rsidRDefault="00B45273" w:rsidP="005C0566">
      <w:pPr>
        <w:spacing w:after="0" w:line="240" w:lineRule="auto"/>
        <w:ind w:left="5040"/>
        <w:rPr>
          <w:rFonts w:ascii="Arial" w:hAnsi="Arial" w:cs="Arial"/>
          <w:sz w:val="24"/>
          <w:szCs w:val="24"/>
        </w:rPr>
      </w:pPr>
    </w:p>
    <w:p w14:paraId="15500A12" w14:textId="327041E8" w:rsidR="005C0566" w:rsidRPr="003849D3" w:rsidRDefault="005C0566" w:rsidP="005C0566">
      <w:pPr>
        <w:spacing w:after="0" w:line="240" w:lineRule="auto"/>
        <w:ind w:left="5040"/>
        <w:rPr>
          <w:rFonts w:ascii="Arial" w:hAnsi="Arial" w:cs="Arial"/>
          <w:b/>
          <w:i/>
          <w:sz w:val="24"/>
          <w:szCs w:val="24"/>
          <w:u w:val="single"/>
        </w:rPr>
      </w:pPr>
      <w:r w:rsidRPr="003849D3">
        <w:rPr>
          <w:rFonts w:ascii="Arial" w:hAnsi="Arial" w:cs="Arial"/>
          <w:b/>
          <w:i/>
          <w:sz w:val="24"/>
          <w:szCs w:val="24"/>
          <w:u w:val="single"/>
        </w:rPr>
        <w:t>/s/Joseph Oliker</w:t>
      </w:r>
    </w:p>
    <w:p w14:paraId="65C2F42E" w14:textId="22192069" w:rsidR="005C0566" w:rsidRPr="00F67B86" w:rsidRDefault="005C0566" w:rsidP="005C0566">
      <w:pPr>
        <w:spacing w:after="0" w:line="240" w:lineRule="auto"/>
        <w:ind w:left="5040"/>
        <w:rPr>
          <w:rFonts w:ascii="Arial" w:hAnsi="Arial" w:cs="Arial"/>
          <w:sz w:val="24"/>
          <w:szCs w:val="24"/>
        </w:rPr>
      </w:pPr>
      <w:r w:rsidRPr="00F67B86">
        <w:rPr>
          <w:rFonts w:ascii="Arial" w:hAnsi="Arial" w:cs="Arial"/>
          <w:sz w:val="24"/>
          <w:szCs w:val="24"/>
        </w:rPr>
        <w:t>Joseph Oliker (0086088)</w:t>
      </w:r>
    </w:p>
    <w:p w14:paraId="031E7F07" w14:textId="77777777" w:rsidR="005C0566" w:rsidRPr="00F67B86" w:rsidRDefault="005C0566" w:rsidP="005C0566">
      <w:pPr>
        <w:spacing w:after="0" w:line="240" w:lineRule="auto"/>
        <w:ind w:left="5040"/>
        <w:rPr>
          <w:rFonts w:ascii="Arial" w:hAnsi="Arial" w:cs="Arial"/>
          <w:sz w:val="24"/>
          <w:szCs w:val="24"/>
        </w:rPr>
      </w:pPr>
      <w:r w:rsidRPr="00F67B86">
        <w:rPr>
          <w:rFonts w:ascii="Arial" w:hAnsi="Arial" w:cs="Arial"/>
          <w:sz w:val="24"/>
          <w:szCs w:val="24"/>
        </w:rPr>
        <w:t xml:space="preserve">Counsel of Record </w:t>
      </w:r>
    </w:p>
    <w:p w14:paraId="43FBDBC0" w14:textId="60D243B5" w:rsidR="005C0566" w:rsidRDefault="005C0566" w:rsidP="005C0566">
      <w:pPr>
        <w:spacing w:after="0" w:line="240" w:lineRule="auto"/>
        <w:ind w:left="5040"/>
        <w:rPr>
          <w:rStyle w:val="Hyperlink"/>
          <w:rFonts w:ascii="Arial" w:hAnsi="Arial" w:cs="Arial"/>
          <w:color w:val="auto"/>
          <w:sz w:val="24"/>
          <w:szCs w:val="24"/>
          <w:u w:val="none"/>
        </w:rPr>
      </w:pPr>
      <w:r w:rsidRPr="00F67B86">
        <w:rPr>
          <w:rFonts w:ascii="Arial" w:hAnsi="Arial" w:cs="Arial"/>
          <w:sz w:val="24"/>
          <w:szCs w:val="24"/>
        </w:rPr>
        <w:t xml:space="preserve">Email: </w:t>
      </w:r>
      <w:hyperlink r:id="rId13" w:history="1">
        <w:r w:rsidRPr="00F67B86">
          <w:rPr>
            <w:rStyle w:val="Hyperlink"/>
            <w:rFonts w:ascii="Arial" w:hAnsi="Arial" w:cs="Arial"/>
            <w:color w:val="auto"/>
            <w:sz w:val="24"/>
            <w:szCs w:val="24"/>
            <w:u w:val="none"/>
          </w:rPr>
          <w:t>joliker@igsenergy.com</w:t>
        </w:r>
      </w:hyperlink>
    </w:p>
    <w:p w14:paraId="7D7C571C" w14:textId="4F0B677C" w:rsidR="00836EE1" w:rsidRDefault="00836EE1" w:rsidP="005C0566">
      <w:pPr>
        <w:spacing w:after="0" w:line="240" w:lineRule="auto"/>
        <w:ind w:left="5040"/>
        <w:rPr>
          <w:rStyle w:val="Hyperlink"/>
          <w:rFonts w:ascii="Arial" w:hAnsi="Arial" w:cs="Arial"/>
          <w:color w:val="auto"/>
          <w:sz w:val="24"/>
          <w:szCs w:val="24"/>
          <w:u w:val="none"/>
        </w:rPr>
      </w:pPr>
      <w:r>
        <w:rPr>
          <w:rStyle w:val="Hyperlink"/>
          <w:rFonts w:ascii="Arial" w:hAnsi="Arial" w:cs="Arial"/>
          <w:color w:val="auto"/>
          <w:sz w:val="24"/>
          <w:szCs w:val="24"/>
          <w:u w:val="none"/>
        </w:rPr>
        <w:t>Michael Nugent</w:t>
      </w:r>
    </w:p>
    <w:p w14:paraId="038DDD7D" w14:textId="0409C2C9" w:rsidR="00836EE1" w:rsidRPr="00C51B26" w:rsidRDefault="00836EE1" w:rsidP="005C0566">
      <w:pPr>
        <w:spacing w:after="0" w:line="240" w:lineRule="auto"/>
        <w:ind w:left="5040"/>
        <w:rPr>
          <w:rStyle w:val="Hyperlink"/>
          <w:rFonts w:ascii="Arial" w:hAnsi="Arial" w:cs="Arial"/>
          <w:sz w:val="24"/>
          <w:szCs w:val="24"/>
        </w:rPr>
      </w:pPr>
      <w:r>
        <w:rPr>
          <w:rStyle w:val="Hyperlink"/>
          <w:rFonts w:ascii="Arial" w:hAnsi="Arial" w:cs="Arial"/>
          <w:color w:val="auto"/>
          <w:sz w:val="24"/>
          <w:szCs w:val="24"/>
          <w:u w:val="none"/>
        </w:rPr>
        <w:t>Email: Mnugent@igsenergy.com</w:t>
      </w:r>
    </w:p>
    <w:p w14:paraId="302A3509" w14:textId="77777777" w:rsidR="005C0566" w:rsidRPr="00C51B26" w:rsidRDefault="005C0566" w:rsidP="005C0566">
      <w:pPr>
        <w:spacing w:after="0" w:line="240" w:lineRule="auto"/>
        <w:ind w:left="5040"/>
        <w:rPr>
          <w:rFonts w:ascii="Arial" w:hAnsi="Arial" w:cs="Arial"/>
          <w:sz w:val="24"/>
          <w:szCs w:val="24"/>
        </w:rPr>
      </w:pPr>
      <w:r w:rsidRPr="00C51B26">
        <w:rPr>
          <w:rFonts w:ascii="Arial" w:hAnsi="Arial" w:cs="Arial"/>
          <w:sz w:val="24"/>
          <w:szCs w:val="24"/>
        </w:rPr>
        <w:t>IGS Energy</w:t>
      </w:r>
    </w:p>
    <w:p w14:paraId="5E417468" w14:textId="77777777" w:rsidR="005C0566" w:rsidRPr="00C51B26" w:rsidRDefault="005C0566" w:rsidP="005C0566">
      <w:pPr>
        <w:spacing w:after="0" w:line="240" w:lineRule="auto"/>
        <w:ind w:left="5040"/>
        <w:rPr>
          <w:rFonts w:ascii="Arial" w:hAnsi="Arial" w:cs="Arial"/>
          <w:sz w:val="24"/>
          <w:szCs w:val="24"/>
        </w:rPr>
      </w:pPr>
      <w:r w:rsidRPr="00C51B26">
        <w:rPr>
          <w:rFonts w:ascii="Arial" w:hAnsi="Arial" w:cs="Arial"/>
          <w:sz w:val="24"/>
          <w:szCs w:val="24"/>
        </w:rPr>
        <w:t>6100 Emerald Parkway</w:t>
      </w:r>
    </w:p>
    <w:p w14:paraId="101BA754" w14:textId="77777777" w:rsidR="005C0566" w:rsidRPr="00C51B26" w:rsidRDefault="005C0566" w:rsidP="005C0566">
      <w:pPr>
        <w:spacing w:after="0" w:line="240" w:lineRule="auto"/>
        <w:ind w:left="5040"/>
        <w:rPr>
          <w:rFonts w:ascii="Arial" w:hAnsi="Arial" w:cs="Arial"/>
          <w:sz w:val="24"/>
          <w:szCs w:val="24"/>
        </w:rPr>
      </w:pPr>
      <w:r w:rsidRPr="00C51B26">
        <w:rPr>
          <w:rFonts w:ascii="Arial" w:hAnsi="Arial" w:cs="Arial"/>
          <w:sz w:val="24"/>
          <w:szCs w:val="24"/>
        </w:rPr>
        <w:t>Dublin, Ohio 43016</w:t>
      </w:r>
    </w:p>
    <w:p w14:paraId="0FEF0A6D" w14:textId="77777777" w:rsidR="005C0566" w:rsidRDefault="005C0566" w:rsidP="005C0566">
      <w:pPr>
        <w:spacing w:after="0" w:line="240" w:lineRule="auto"/>
        <w:ind w:left="5040"/>
        <w:rPr>
          <w:rFonts w:ascii="Arial" w:hAnsi="Arial" w:cs="Arial"/>
          <w:sz w:val="24"/>
          <w:szCs w:val="24"/>
        </w:rPr>
      </w:pPr>
      <w:r w:rsidRPr="00C51B26">
        <w:rPr>
          <w:rFonts w:ascii="Arial" w:hAnsi="Arial" w:cs="Arial"/>
          <w:sz w:val="24"/>
          <w:szCs w:val="24"/>
        </w:rPr>
        <w:t>Telephone:</w:t>
      </w:r>
      <w:r w:rsidRPr="00C51B26">
        <w:rPr>
          <w:rFonts w:ascii="Arial" w:hAnsi="Arial" w:cs="Arial"/>
          <w:sz w:val="24"/>
          <w:szCs w:val="24"/>
        </w:rPr>
        <w:tab/>
        <w:t>(614) 659</w:t>
      </w:r>
      <w:r>
        <w:rPr>
          <w:rFonts w:ascii="Arial" w:hAnsi="Arial" w:cs="Arial"/>
          <w:sz w:val="24"/>
          <w:szCs w:val="24"/>
        </w:rPr>
        <w:t>-5000</w:t>
      </w:r>
    </w:p>
    <w:p w14:paraId="606FA0F5" w14:textId="77777777" w:rsidR="005C0566" w:rsidRDefault="005C0566" w:rsidP="005C0566">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357EBB09" w14:textId="77777777" w:rsidR="005C0566" w:rsidRDefault="005C0566" w:rsidP="005C0566">
      <w:pPr>
        <w:spacing w:after="0" w:line="240" w:lineRule="auto"/>
        <w:ind w:left="5040"/>
        <w:rPr>
          <w:rFonts w:ascii="Arial" w:hAnsi="Arial" w:cs="Arial"/>
          <w:sz w:val="24"/>
          <w:szCs w:val="24"/>
        </w:rPr>
      </w:pPr>
    </w:p>
    <w:p w14:paraId="2B80FB0A" w14:textId="50E2152C" w:rsidR="005E5B59" w:rsidRDefault="005C0566" w:rsidP="005C0566">
      <w:pPr>
        <w:spacing w:after="0" w:line="240" w:lineRule="auto"/>
        <w:ind w:left="5040"/>
        <w:rPr>
          <w:rFonts w:ascii="Arial" w:hAnsi="Arial" w:cs="Arial"/>
          <w:b/>
          <w:i/>
          <w:sz w:val="24"/>
          <w:szCs w:val="24"/>
        </w:rPr>
      </w:pPr>
      <w:r>
        <w:rPr>
          <w:rFonts w:ascii="Arial" w:hAnsi="Arial" w:cs="Arial"/>
          <w:b/>
          <w:i/>
          <w:sz w:val="24"/>
          <w:szCs w:val="24"/>
        </w:rPr>
        <w:t>Attorney</w:t>
      </w:r>
      <w:r w:rsidR="00836EE1">
        <w:rPr>
          <w:rFonts w:ascii="Arial" w:hAnsi="Arial" w:cs="Arial"/>
          <w:b/>
          <w:i/>
          <w:sz w:val="24"/>
          <w:szCs w:val="24"/>
        </w:rPr>
        <w:t>s</w:t>
      </w:r>
      <w:r>
        <w:rPr>
          <w:rFonts w:ascii="Arial" w:hAnsi="Arial" w:cs="Arial"/>
          <w:b/>
          <w:i/>
          <w:sz w:val="24"/>
          <w:szCs w:val="24"/>
        </w:rPr>
        <w:t xml:space="preserve"> for IGS Energy</w:t>
      </w:r>
    </w:p>
    <w:p w14:paraId="064DF2E0" w14:textId="505DD63D" w:rsidR="005C0566" w:rsidRDefault="005C0566" w:rsidP="005C0566">
      <w:pPr>
        <w:spacing w:after="0" w:line="240" w:lineRule="auto"/>
        <w:ind w:left="5040"/>
        <w:rPr>
          <w:rFonts w:ascii="Arial" w:hAnsi="Arial" w:cs="Arial"/>
          <w:b/>
          <w:i/>
          <w:sz w:val="24"/>
          <w:szCs w:val="24"/>
        </w:rPr>
      </w:pPr>
    </w:p>
    <w:p w14:paraId="3AF0B40F" w14:textId="1548628F" w:rsidR="005C0566" w:rsidRDefault="005C0566" w:rsidP="005C0566">
      <w:pPr>
        <w:spacing w:after="0" w:line="240" w:lineRule="auto"/>
        <w:ind w:left="5040"/>
        <w:rPr>
          <w:rFonts w:ascii="Arial" w:hAnsi="Arial" w:cs="Arial"/>
          <w:b/>
          <w:i/>
          <w:sz w:val="24"/>
          <w:szCs w:val="24"/>
        </w:rPr>
      </w:pPr>
    </w:p>
    <w:p w14:paraId="14F9D4E7" w14:textId="11EC5AF7" w:rsidR="005C0566" w:rsidRDefault="005C0566" w:rsidP="005C0566">
      <w:pPr>
        <w:spacing w:after="0" w:line="240" w:lineRule="auto"/>
        <w:ind w:left="5040"/>
        <w:rPr>
          <w:rFonts w:ascii="Arial" w:hAnsi="Arial" w:cs="Arial"/>
          <w:b/>
          <w:i/>
          <w:sz w:val="24"/>
          <w:szCs w:val="24"/>
        </w:rPr>
      </w:pPr>
    </w:p>
    <w:p w14:paraId="336A7BB7" w14:textId="606E01E1" w:rsidR="003A536A" w:rsidRDefault="003A536A" w:rsidP="005C0566">
      <w:pPr>
        <w:spacing w:after="0" w:line="240" w:lineRule="auto"/>
        <w:ind w:left="5040"/>
        <w:rPr>
          <w:rFonts w:ascii="Arial" w:hAnsi="Arial" w:cs="Arial"/>
          <w:b/>
          <w:i/>
          <w:sz w:val="24"/>
          <w:szCs w:val="24"/>
        </w:rPr>
      </w:pPr>
    </w:p>
    <w:p w14:paraId="774AF34B" w14:textId="2CDFB1D2" w:rsidR="003A536A" w:rsidRDefault="003A536A" w:rsidP="005C0566">
      <w:pPr>
        <w:spacing w:after="0" w:line="240" w:lineRule="auto"/>
        <w:ind w:left="5040"/>
        <w:rPr>
          <w:rFonts w:ascii="Arial" w:hAnsi="Arial" w:cs="Arial"/>
          <w:b/>
          <w:i/>
          <w:sz w:val="24"/>
          <w:szCs w:val="24"/>
        </w:rPr>
      </w:pPr>
    </w:p>
    <w:p w14:paraId="1CB585B8" w14:textId="30700959" w:rsidR="003A536A" w:rsidRDefault="003A536A" w:rsidP="005C0566">
      <w:pPr>
        <w:spacing w:after="0" w:line="240" w:lineRule="auto"/>
        <w:ind w:left="5040"/>
        <w:rPr>
          <w:rFonts w:ascii="Arial" w:hAnsi="Arial" w:cs="Arial"/>
          <w:b/>
          <w:i/>
          <w:sz w:val="24"/>
          <w:szCs w:val="24"/>
        </w:rPr>
      </w:pPr>
    </w:p>
    <w:p w14:paraId="5523716C" w14:textId="14710BC9" w:rsidR="003A536A" w:rsidRDefault="003A536A" w:rsidP="005C0566">
      <w:pPr>
        <w:spacing w:after="0" w:line="240" w:lineRule="auto"/>
        <w:ind w:left="5040"/>
        <w:rPr>
          <w:rFonts w:ascii="Arial" w:hAnsi="Arial" w:cs="Arial"/>
          <w:b/>
          <w:i/>
          <w:sz w:val="24"/>
          <w:szCs w:val="24"/>
        </w:rPr>
      </w:pPr>
    </w:p>
    <w:p w14:paraId="4FDDE101" w14:textId="54820CD6" w:rsidR="003A536A" w:rsidRDefault="003A536A" w:rsidP="005C0566">
      <w:pPr>
        <w:spacing w:after="0" w:line="240" w:lineRule="auto"/>
        <w:ind w:left="5040"/>
        <w:rPr>
          <w:rFonts w:ascii="Arial" w:hAnsi="Arial" w:cs="Arial"/>
          <w:b/>
          <w:i/>
          <w:sz w:val="24"/>
          <w:szCs w:val="24"/>
        </w:rPr>
      </w:pPr>
    </w:p>
    <w:p w14:paraId="3F6CFB7C" w14:textId="532EFBF1" w:rsidR="0078490B" w:rsidRDefault="0078490B">
      <w:pPr>
        <w:rPr>
          <w:rFonts w:ascii="Arial" w:hAnsi="Arial" w:cs="Arial"/>
          <w:b/>
          <w:i/>
          <w:sz w:val="24"/>
          <w:szCs w:val="24"/>
        </w:rPr>
      </w:pPr>
      <w:r>
        <w:rPr>
          <w:rFonts w:ascii="Arial" w:hAnsi="Arial" w:cs="Arial"/>
          <w:b/>
          <w:i/>
          <w:sz w:val="24"/>
          <w:szCs w:val="24"/>
        </w:rPr>
        <w:br w:type="page"/>
      </w:r>
    </w:p>
    <w:p w14:paraId="4C843094" w14:textId="77777777" w:rsidR="00F0609A" w:rsidRDefault="00F0609A" w:rsidP="00F26F40">
      <w:pPr>
        <w:spacing w:after="0" w:line="240" w:lineRule="auto"/>
        <w:rPr>
          <w:rFonts w:ascii="Arial" w:hAnsi="Arial" w:cs="Arial"/>
          <w:b/>
          <w:i/>
          <w:sz w:val="24"/>
          <w:szCs w:val="24"/>
        </w:rPr>
      </w:pPr>
    </w:p>
    <w:p w14:paraId="2CFD9706" w14:textId="6F42131C" w:rsidR="005E5B59" w:rsidRPr="003849D3" w:rsidRDefault="005E5B59" w:rsidP="00CD07F1">
      <w:pPr>
        <w:spacing w:after="0"/>
        <w:jc w:val="center"/>
        <w:rPr>
          <w:rFonts w:ascii="Arial" w:eastAsia="Arial" w:hAnsi="Arial" w:cs="Arial"/>
          <w:b/>
          <w:sz w:val="24"/>
          <w:szCs w:val="24"/>
          <w:u w:val="single"/>
        </w:rPr>
      </w:pPr>
      <w:r w:rsidRPr="003849D3">
        <w:rPr>
          <w:rFonts w:ascii="Arial" w:eastAsia="Arial" w:hAnsi="Arial" w:cs="Arial"/>
          <w:b/>
          <w:sz w:val="24"/>
          <w:szCs w:val="24"/>
          <w:u w:val="single"/>
        </w:rPr>
        <w:t>CERTIFICATE OF SERVICE</w:t>
      </w:r>
    </w:p>
    <w:p w14:paraId="17979195" w14:textId="77777777" w:rsidR="005E5B59" w:rsidRPr="003849D3" w:rsidRDefault="005E5B59" w:rsidP="005E5B59">
      <w:pPr>
        <w:spacing w:after="0"/>
        <w:jc w:val="center"/>
        <w:rPr>
          <w:rFonts w:ascii="Arial" w:eastAsia="Arial" w:hAnsi="Arial" w:cs="Arial"/>
          <w:b/>
          <w:sz w:val="24"/>
          <w:szCs w:val="24"/>
          <w:u w:val="single"/>
        </w:rPr>
      </w:pPr>
    </w:p>
    <w:p w14:paraId="2CB8B0C9" w14:textId="2881CB7F" w:rsidR="005E5B59" w:rsidRPr="003849D3" w:rsidRDefault="005E5B59" w:rsidP="005E5B59">
      <w:pPr>
        <w:spacing w:after="0"/>
        <w:jc w:val="both"/>
        <w:rPr>
          <w:rFonts w:ascii="Arial" w:eastAsia="Calibri" w:hAnsi="Arial" w:cs="Arial"/>
          <w:sz w:val="24"/>
          <w:szCs w:val="24"/>
        </w:rPr>
      </w:pPr>
      <w:r w:rsidRPr="003849D3">
        <w:rPr>
          <w:rFonts w:ascii="Arial" w:eastAsia="Arial" w:hAnsi="Arial" w:cs="Arial"/>
          <w:sz w:val="24"/>
          <w:szCs w:val="24"/>
        </w:rPr>
        <w:tab/>
      </w:r>
      <w:r w:rsidRPr="003849D3">
        <w:rPr>
          <w:rFonts w:ascii="Arial" w:eastAsia="Calibri" w:hAnsi="Arial" w:cs="Arial"/>
          <w:sz w:val="24"/>
          <w:szCs w:val="24"/>
        </w:rPr>
        <w:t xml:space="preserve">The undersigned hereby certifies that a copy of the foregoing </w:t>
      </w:r>
      <w:r w:rsidR="00B7562C" w:rsidRPr="003849D3">
        <w:rPr>
          <w:rFonts w:ascii="Arial" w:eastAsia="Calibri" w:hAnsi="Arial" w:cs="Arial"/>
          <w:i/>
          <w:sz w:val="24"/>
          <w:szCs w:val="24"/>
        </w:rPr>
        <w:t>Application for Rehearing</w:t>
      </w:r>
      <w:r w:rsidR="0045390F">
        <w:rPr>
          <w:rFonts w:ascii="Arial" w:eastAsia="Calibri" w:hAnsi="Arial" w:cs="Arial"/>
          <w:i/>
          <w:sz w:val="24"/>
          <w:szCs w:val="24"/>
        </w:rPr>
        <w:t xml:space="preserve"> and Memorandum in Support</w:t>
      </w:r>
      <w:r w:rsidR="00B7562C" w:rsidRPr="003849D3">
        <w:rPr>
          <w:rFonts w:ascii="Arial" w:eastAsia="Calibri" w:hAnsi="Arial" w:cs="Arial"/>
          <w:i/>
          <w:sz w:val="24"/>
          <w:szCs w:val="24"/>
        </w:rPr>
        <w:t xml:space="preserve"> of</w:t>
      </w:r>
      <w:r w:rsidRPr="003849D3">
        <w:rPr>
          <w:rFonts w:ascii="Arial" w:eastAsia="Calibri" w:hAnsi="Arial" w:cs="Arial"/>
          <w:i/>
          <w:sz w:val="24"/>
          <w:szCs w:val="24"/>
        </w:rPr>
        <w:t xml:space="preserve"> Interstate Gas Supply, Inc. </w:t>
      </w:r>
      <w:r w:rsidR="00B7562C" w:rsidRPr="003849D3">
        <w:rPr>
          <w:rFonts w:ascii="Arial" w:eastAsia="Calibri" w:hAnsi="Arial" w:cs="Arial"/>
          <w:sz w:val="24"/>
          <w:szCs w:val="24"/>
        </w:rPr>
        <w:t xml:space="preserve">was served this </w:t>
      </w:r>
      <w:r w:rsidR="00191BF0">
        <w:rPr>
          <w:rFonts w:ascii="Arial" w:eastAsia="Calibri" w:hAnsi="Arial" w:cs="Arial"/>
          <w:sz w:val="24"/>
          <w:szCs w:val="24"/>
        </w:rPr>
        <w:t>23</w:t>
      </w:r>
      <w:r w:rsidR="00191BF0" w:rsidRPr="00191BF0">
        <w:rPr>
          <w:rFonts w:ascii="Arial" w:eastAsia="Calibri" w:hAnsi="Arial" w:cs="Arial"/>
          <w:sz w:val="24"/>
          <w:szCs w:val="24"/>
          <w:vertAlign w:val="superscript"/>
        </w:rPr>
        <w:t>rd</w:t>
      </w:r>
      <w:r w:rsidR="00191BF0">
        <w:rPr>
          <w:rFonts w:ascii="Arial" w:eastAsia="Calibri" w:hAnsi="Arial" w:cs="Arial"/>
          <w:sz w:val="24"/>
          <w:szCs w:val="24"/>
        </w:rPr>
        <w:t xml:space="preserve"> day of December</w:t>
      </w:r>
      <w:r w:rsidRPr="003849D3">
        <w:rPr>
          <w:rFonts w:ascii="Arial" w:eastAsia="Calibri" w:hAnsi="Arial" w:cs="Arial"/>
          <w:sz w:val="24"/>
          <w:szCs w:val="24"/>
        </w:rPr>
        <w:t xml:space="preserve"> via electronic mail upon the following:</w:t>
      </w:r>
    </w:p>
    <w:p w14:paraId="4462D693" w14:textId="77777777" w:rsidR="005E5B59" w:rsidRPr="003849D3" w:rsidRDefault="005E5B59" w:rsidP="005E5B59">
      <w:pPr>
        <w:spacing w:after="0"/>
        <w:jc w:val="both"/>
        <w:rPr>
          <w:rFonts w:ascii="Arial" w:eastAsia="Calibri" w:hAnsi="Arial" w:cs="Arial"/>
          <w:sz w:val="24"/>
          <w:szCs w:val="24"/>
        </w:rPr>
      </w:pPr>
    </w:p>
    <w:p w14:paraId="1ECEB127" w14:textId="77777777" w:rsidR="005E5B59" w:rsidRPr="003849D3" w:rsidRDefault="005E5B59" w:rsidP="005E5B59">
      <w:pPr>
        <w:spacing w:after="0"/>
        <w:jc w:val="both"/>
        <w:rPr>
          <w:rFonts w:ascii="Arial" w:eastAsia="Arial" w:hAnsi="Arial" w:cs="Arial"/>
          <w:sz w:val="24"/>
          <w:szCs w:val="24"/>
        </w:rPr>
      </w:pPr>
    </w:p>
    <w:p w14:paraId="7A6EE048" w14:textId="77777777" w:rsidR="005E5B59" w:rsidRPr="003849D3" w:rsidRDefault="005E5B59" w:rsidP="005E5B59">
      <w:pPr>
        <w:spacing w:after="0"/>
        <w:jc w:val="both"/>
        <w:rPr>
          <w:rFonts w:ascii="Arial" w:eastAsia="Arial" w:hAnsi="Arial" w:cs="Arial"/>
          <w:b/>
          <w:sz w:val="24"/>
          <w:szCs w:val="24"/>
        </w:rPr>
      </w:pPr>
    </w:p>
    <w:p w14:paraId="0A9F366D" w14:textId="77777777" w:rsidR="005E5B59" w:rsidRPr="003849D3" w:rsidRDefault="005E5B59" w:rsidP="005E5B59">
      <w:pPr>
        <w:spacing w:after="0"/>
        <w:ind w:left="5040" w:firstLine="720"/>
        <w:rPr>
          <w:rFonts w:ascii="Arial" w:eastAsia="Calibri" w:hAnsi="Arial" w:cs="Arial"/>
          <w:sz w:val="24"/>
          <w:szCs w:val="24"/>
          <w:u w:val="single"/>
        </w:rPr>
      </w:pPr>
      <w:r w:rsidRPr="003849D3">
        <w:rPr>
          <w:rFonts w:ascii="Arial" w:eastAsia="Arial" w:hAnsi="Arial" w:cs="Arial"/>
          <w:b/>
          <w:i/>
          <w:sz w:val="24"/>
          <w:szCs w:val="24"/>
          <w:u w:val="single"/>
        </w:rPr>
        <w:t>/s/ Joseph Oliker__</w:t>
      </w:r>
      <w:r w:rsidRPr="003849D3">
        <w:rPr>
          <w:rFonts w:ascii="Arial" w:eastAsia="Arial" w:hAnsi="Arial" w:cs="Arial"/>
          <w:i/>
          <w:sz w:val="24"/>
          <w:szCs w:val="24"/>
          <w:u w:val="single"/>
        </w:rPr>
        <w:t>_____</w:t>
      </w:r>
    </w:p>
    <w:p w14:paraId="18F7A846" w14:textId="3B785437" w:rsidR="005E5B59" w:rsidRDefault="005E5B59" w:rsidP="005E5B59">
      <w:pPr>
        <w:spacing w:after="0"/>
        <w:ind w:left="5040" w:firstLine="720"/>
        <w:rPr>
          <w:rFonts w:ascii="Arial" w:eastAsia="Times New Roman" w:hAnsi="Arial" w:cs="Arial"/>
          <w:sz w:val="24"/>
          <w:szCs w:val="24"/>
        </w:rPr>
      </w:pPr>
      <w:r w:rsidRPr="003849D3">
        <w:rPr>
          <w:rFonts w:ascii="Arial" w:eastAsia="Times New Roman" w:hAnsi="Arial" w:cs="Arial"/>
          <w:sz w:val="24"/>
          <w:szCs w:val="24"/>
        </w:rPr>
        <w:t>Joseph Oliker</w:t>
      </w:r>
    </w:p>
    <w:p w14:paraId="1243881E" w14:textId="43C99AF9" w:rsidR="00CD07F1" w:rsidRDefault="00CD07F1" w:rsidP="005E5B59">
      <w:pPr>
        <w:spacing w:after="0"/>
        <w:ind w:left="5040" w:firstLine="720"/>
        <w:rPr>
          <w:rFonts w:ascii="Arial" w:eastAsia="Times New Roman" w:hAnsi="Arial" w:cs="Arial"/>
          <w:sz w:val="24"/>
          <w:szCs w:val="24"/>
        </w:rPr>
      </w:pPr>
    </w:p>
    <w:p w14:paraId="284B2584" w14:textId="65EAF15F" w:rsidR="00CD07F1" w:rsidRDefault="00CD07F1" w:rsidP="005E5B59">
      <w:pPr>
        <w:spacing w:after="0"/>
        <w:ind w:left="5040" w:firstLine="720"/>
        <w:rPr>
          <w:rFonts w:ascii="Arial" w:eastAsia="Times New Roman" w:hAnsi="Arial" w:cs="Arial"/>
          <w:sz w:val="24"/>
          <w:szCs w:val="24"/>
        </w:rPr>
      </w:pPr>
    </w:p>
    <w:p w14:paraId="013AC11A" w14:textId="77777777" w:rsidR="00CD07F1" w:rsidRPr="003849D3" w:rsidRDefault="00CD07F1" w:rsidP="005E5B59">
      <w:pPr>
        <w:spacing w:after="0"/>
        <w:ind w:left="5040" w:firstLine="720"/>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4289"/>
      </w:tblGrid>
      <w:tr w:rsidR="00CD07F1" w14:paraId="2F6C6FD3" w14:textId="77777777" w:rsidTr="00BF5673">
        <w:tc>
          <w:tcPr>
            <w:tcW w:w="5490" w:type="dxa"/>
          </w:tcPr>
          <w:p w14:paraId="1846D68E"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michael.schuler@aes.com</w:t>
            </w:r>
          </w:p>
          <w:p w14:paraId="70A1B8C2"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jsharkey@ficlaw.com</w:t>
            </w:r>
          </w:p>
          <w:p w14:paraId="0739ED01"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djireland@ficlaw.com</w:t>
            </w:r>
          </w:p>
          <w:p w14:paraId="5446030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chollon@ficlaw.com</w:t>
            </w:r>
          </w:p>
          <w:p w14:paraId="1CEED7D8" w14:textId="77777777" w:rsidR="00CD07F1" w:rsidRPr="003849D3" w:rsidRDefault="00CD07F1" w:rsidP="00CD07F1">
            <w:pPr>
              <w:autoSpaceDE w:val="0"/>
              <w:autoSpaceDN w:val="0"/>
              <w:adjustRightInd w:val="0"/>
              <w:rPr>
                <w:rFonts w:ascii="Arial" w:hAnsi="Arial" w:cs="Arial"/>
                <w:color w:val="0000FF"/>
              </w:rPr>
            </w:pPr>
            <w:bookmarkStart w:id="12" w:name="_Hlk511210790"/>
            <w:r w:rsidRPr="003849D3">
              <w:rPr>
                <w:rFonts w:ascii="Arial" w:hAnsi="Arial" w:cs="Arial"/>
                <w:color w:val="0000FF"/>
              </w:rPr>
              <w:t>thomas.mcnamee@ohioattomeygeneral.gov</w:t>
            </w:r>
          </w:p>
          <w:bookmarkEnd w:id="12"/>
          <w:p w14:paraId="11DB4B12"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christopher.healey@occ.ohio.gov</w:t>
            </w:r>
          </w:p>
          <w:p w14:paraId="24DB9D99"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terry.etter@occ.ohio.gov</w:t>
            </w:r>
          </w:p>
          <w:p w14:paraId="1839C8EE"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fdarr@mwncmh.com</w:t>
            </w:r>
          </w:p>
          <w:p w14:paraId="7BDE1DD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mpritchard@mwncmh.com</w:t>
            </w:r>
          </w:p>
          <w:p w14:paraId="132B909C"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sechler@carpenterlipps.com</w:t>
            </w:r>
          </w:p>
          <w:p w14:paraId="09575983"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paul@carpenterlipps.com</w:t>
            </w:r>
          </w:p>
          <w:p w14:paraId="7711A9D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dboehm@BKLlawfirm.com</w:t>
            </w:r>
          </w:p>
          <w:p w14:paraId="7BAD803B"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mkurtz@BKLlawfirm.com</w:t>
            </w:r>
          </w:p>
          <w:p w14:paraId="4A1D63A0"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kboehm@BKLIawfirm.com</w:t>
            </w:r>
          </w:p>
          <w:p w14:paraId="6483C544"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jkylercohn@BKLlawfirm.com</w:t>
            </w:r>
          </w:p>
          <w:p w14:paraId="2E33C13C"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bojko@carpenterlipps.com</w:t>
            </w:r>
          </w:p>
          <w:p w14:paraId="1288D41F"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dressel@carpenterlipps.com</w:t>
            </w:r>
          </w:p>
          <w:p w14:paraId="263E5B04"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mfleisher@elpc.org</w:t>
            </w:r>
          </w:p>
          <w:p w14:paraId="4136734F"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kfield@elpc.org</w:t>
            </w:r>
          </w:p>
          <w:p w14:paraId="60F262C8"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thawrot@spilmanlaw.com</w:t>
            </w:r>
          </w:p>
          <w:p w14:paraId="4DC47EA1"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rkelter@elpc.org</w:t>
            </w:r>
          </w:p>
          <w:p w14:paraId="063AB684"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jvickers@elpc.org</w:t>
            </w:r>
          </w:p>
          <w:p w14:paraId="15789922"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slesser@calfee.com</w:t>
            </w:r>
          </w:p>
          <w:p w14:paraId="4E97632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jlang@calfee.com</w:t>
            </w:r>
          </w:p>
          <w:p w14:paraId="20C392AE"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talexander@calfee.com</w:t>
            </w:r>
          </w:p>
          <w:p w14:paraId="16B11628" w14:textId="77777777" w:rsidR="00CD07F1" w:rsidRDefault="00CD07F1" w:rsidP="005E5B59">
            <w:pPr>
              <w:autoSpaceDE w:val="0"/>
              <w:autoSpaceDN w:val="0"/>
              <w:adjustRightInd w:val="0"/>
              <w:rPr>
                <w:rFonts w:ascii="Arial" w:hAnsi="Arial" w:cs="Arial"/>
                <w:color w:val="0000FF"/>
              </w:rPr>
            </w:pPr>
          </w:p>
        </w:tc>
        <w:tc>
          <w:tcPr>
            <w:tcW w:w="3870" w:type="dxa"/>
          </w:tcPr>
          <w:p w14:paraId="547DB599"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stephanie.chmiel@thompsonhine.com</w:t>
            </w:r>
          </w:p>
          <w:p w14:paraId="75AC8AAA"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dwilliamson@spilmanlaw.com</w:t>
            </w:r>
          </w:p>
          <w:p w14:paraId="7750A50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charris@spilmanlaw.com</w:t>
            </w:r>
          </w:p>
          <w:p w14:paraId="6BD7CE63"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stephen.chriss@walmart.com</w:t>
            </w:r>
          </w:p>
          <w:p w14:paraId="5115ABDE"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greg.tillman@walmart.com</w:t>
            </w:r>
          </w:p>
          <w:p w14:paraId="476F3FE3" w14:textId="77777777" w:rsidR="00CD07F1" w:rsidRPr="003849D3" w:rsidRDefault="00CD07F1" w:rsidP="00CD07F1">
            <w:pPr>
              <w:autoSpaceDE w:val="0"/>
              <w:autoSpaceDN w:val="0"/>
              <w:adjustRightInd w:val="0"/>
              <w:rPr>
                <w:rFonts w:ascii="Arial" w:hAnsi="Arial" w:cs="Arial"/>
                <w:color w:val="0000FF"/>
              </w:rPr>
            </w:pPr>
            <w:proofErr w:type="spellStart"/>
            <w:r w:rsidRPr="003849D3">
              <w:rPr>
                <w:rFonts w:ascii="Arial" w:hAnsi="Arial" w:cs="Arial"/>
                <w:color w:val="0000FF"/>
              </w:rPr>
              <w:t>John.Degnan@us.afmil</w:t>
            </w:r>
            <w:proofErr w:type="spellEnd"/>
          </w:p>
          <w:p w14:paraId="11F2B1F2"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Thomas.Jernigan@us.af.mil</w:t>
            </w:r>
          </w:p>
          <w:p w14:paraId="26A15985"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Ebony.Payton.ctr@us.af.mil</w:t>
            </w:r>
          </w:p>
          <w:p w14:paraId="16F41D88"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ejacobs@ablelaw.org</w:t>
            </w:r>
          </w:p>
          <w:p w14:paraId="2E1DB88F"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jdoll@djflawfirm.com</w:t>
            </w:r>
          </w:p>
          <w:p w14:paraId="453E0ABC"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mcrawford@djflawfirm.com</w:t>
            </w:r>
          </w:p>
          <w:p w14:paraId="782E9E64"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mjsettineri@vorys.com</w:t>
            </w:r>
          </w:p>
          <w:p w14:paraId="2F7F6933"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glpetrucci@vorys.com</w:t>
            </w:r>
          </w:p>
          <w:p w14:paraId="45F3A191"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witt@whitt-sturtevanat.com</w:t>
            </w:r>
          </w:p>
          <w:p w14:paraId="2E8A21ED"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campbell@whitt-sturtevanat.com</w:t>
            </w:r>
          </w:p>
          <w:p w14:paraId="04444A4E"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glover@whitt-sturtevanat.com</w:t>
            </w:r>
          </w:p>
          <w:p w14:paraId="4AE35792"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tdougherty@theoec.org</w:t>
            </w:r>
          </w:p>
          <w:p w14:paraId="0EA34F9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mleppla@theoec.org</w:t>
            </w:r>
          </w:p>
          <w:p w14:paraId="2A30F54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jfinnigan@edf.com</w:t>
            </w:r>
          </w:p>
          <w:p w14:paraId="333E58B8"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rdove@attorneydove.com</w:t>
            </w:r>
          </w:p>
          <w:p w14:paraId="79DE5FF6" w14:textId="77777777" w:rsidR="00CD07F1" w:rsidRPr="003849D3" w:rsidRDefault="00CD07F1" w:rsidP="00CD07F1">
            <w:pPr>
              <w:autoSpaceDE w:val="0"/>
              <w:autoSpaceDN w:val="0"/>
              <w:adjustRightInd w:val="0"/>
              <w:rPr>
                <w:rFonts w:ascii="Arial" w:hAnsi="Arial" w:cs="Arial"/>
                <w:color w:val="0000FF"/>
              </w:rPr>
            </w:pPr>
            <w:r w:rsidRPr="003849D3">
              <w:rPr>
                <w:rFonts w:ascii="Arial" w:hAnsi="Arial" w:cs="Arial"/>
                <w:color w:val="0000FF"/>
              </w:rPr>
              <w:t>swilliams@nrdc.org</w:t>
            </w:r>
          </w:p>
          <w:p w14:paraId="63144764" w14:textId="77777777" w:rsidR="00CD07F1" w:rsidRPr="003849D3" w:rsidRDefault="005B3BDA" w:rsidP="00CD07F1">
            <w:pPr>
              <w:autoSpaceDE w:val="0"/>
              <w:autoSpaceDN w:val="0"/>
              <w:adjustRightInd w:val="0"/>
              <w:rPr>
                <w:rFonts w:ascii="Arial" w:hAnsi="Arial" w:cs="Arial"/>
                <w:color w:val="0000FF"/>
              </w:rPr>
            </w:pPr>
            <w:hyperlink r:id="rId14" w:history="1">
              <w:r w:rsidR="00CD07F1" w:rsidRPr="003849D3">
                <w:rPr>
                  <w:rFonts w:ascii="Arial" w:hAnsi="Arial" w:cs="Arial"/>
                  <w:color w:val="0000FF"/>
                </w:rPr>
                <w:t>cmooney@ohiopartners.org</w:t>
              </w:r>
            </w:hyperlink>
          </w:p>
          <w:p w14:paraId="1C03BE3E" w14:textId="77777777" w:rsidR="00CD07F1" w:rsidRPr="003849D3" w:rsidRDefault="005B3BDA" w:rsidP="00CD07F1">
            <w:pPr>
              <w:autoSpaceDE w:val="0"/>
              <w:autoSpaceDN w:val="0"/>
              <w:adjustRightInd w:val="0"/>
              <w:rPr>
                <w:rFonts w:ascii="Arial" w:hAnsi="Arial" w:cs="Arial"/>
                <w:color w:val="0000FF"/>
              </w:rPr>
            </w:pPr>
            <w:hyperlink r:id="rId15" w:history="1">
              <w:r w:rsidR="00CD07F1" w:rsidRPr="003849D3">
                <w:rPr>
                  <w:rFonts w:ascii="Arial" w:hAnsi="Arial" w:cs="Arial"/>
                  <w:color w:val="0000FF"/>
                </w:rPr>
                <w:t>Patricia.Schabo@puco.ohio.gov</w:t>
              </w:r>
            </w:hyperlink>
          </w:p>
          <w:p w14:paraId="56A60E1D" w14:textId="77777777" w:rsidR="00CD07F1" w:rsidRPr="003849D3" w:rsidRDefault="005B3BDA" w:rsidP="00CD07F1">
            <w:pPr>
              <w:autoSpaceDE w:val="0"/>
              <w:autoSpaceDN w:val="0"/>
              <w:adjustRightInd w:val="0"/>
              <w:rPr>
                <w:rFonts w:ascii="Arial" w:hAnsi="Arial" w:cs="Arial"/>
              </w:rPr>
            </w:pPr>
            <w:hyperlink r:id="rId16" w:history="1">
              <w:r w:rsidR="00CD07F1" w:rsidRPr="003849D3">
                <w:rPr>
                  <w:rFonts w:ascii="Arial" w:hAnsi="Arial" w:cs="Arial"/>
                  <w:color w:val="0000FF"/>
                </w:rPr>
                <w:t>Greg.Price@puco.ohio.gov</w:t>
              </w:r>
            </w:hyperlink>
          </w:p>
          <w:p w14:paraId="22ABAF2F" w14:textId="77777777" w:rsidR="00CD07F1" w:rsidRDefault="00CD07F1" w:rsidP="005E5B59">
            <w:pPr>
              <w:autoSpaceDE w:val="0"/>
              <w:autoSpaceDN w:val="0"/>
              <w:adjustRightInd w:val="0"/>
              <w:rPr>
                <w:rFonts w:ascii="Arial" w:hAnsi="Arial" w:cs="Arial"/>
                <w:color w:val="0000FF"/>
              </w:rPr>
            </w:pPr>
          </w:p>
        </w:tc>
      </w:tr>
    </w:tbl>
    <w:p w14:paraId="653A7873" w14:textId="77777777" w:rsidR="005E5B59" w:rsidRPr="003849D3" w:rsidRDefault="005E5B59" w:rsidP="009A21E7">
      <w:pPr>
        <w:spacing w:line="480" w:lineRule="auto"/>
        <w:jc w:val="both"/>
        <w:rPr>
          <w:rFonts w:ascii="Arial" w:hAnsi="Arial" w:cs="Arial"/>
          <w:sz w:val="24"/>
          <w:szCs w:val="24"/>
        </w:rPr>
      </w:pPr>
    </w:p>
    <w:sectPr w:rsidR="005E5B59" w:rsidRPr="003849D3" w:rsidSect="00A94B7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1E9F9" w14:textId="77777777" w:rsidR="00AD0946" w:rsidRDefault="00AD0946" w:rsidP="003E1F76">
      <w:pPr>
        <w:spacing w:after="0" w:line="240" w:lineRule="auto"/>
      </w:pPr>
      <w:r>
        <w:separator/>
      </w:r>
    </w:p>
  </w:endnote>
  <w:endnote w:type="continuationSeparator" w:id="0">
    <w:p w14:paraId="404FB3EC" w14:textId="77777777" w:rsidR="00AD0946" w:rsidRDefault="00AD0946" w:rsidP="003E1F76">
      <w:pPr>
        <w:spacing w:after="0" w:line="240" w:lineRule="auto"/>
      </w:pPr>
      <w:r>
        <w:continuationSeparator/>
      </w:r>
    </w:p>
  </w:endnote>
  <w:endnote w:type="continuationNotice" w:id="1">
    <w:p w14:paraId="049175D7" w14:textId="77777777" w:rsidR="00AD0946" w:rsidRDefault="00AD0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11235013"/>
      <w:docPartObj>
        <w:docPartGallery w:val="Page Numbers (Bottom of Page)"/>
        <w:docPartUnique/>
      </w:docPartObj>
    </w:sdtPr>
    <w:sdtEndPr>
      <w:rPr>
        <w:noProof/>
      </w:rPr>
    </w:sdtEndPr>
    <w:sdtContent>
      <w:p w14:paraId="4CC9D74C" w14:textId="23E7FD3D" w:rsidR="00D06E00" w:rsidRPr="009F1C01" w:rsidRDefault="00D06E00">
        <w:pPr>
          <w:pStyle w:val="Footer"/>
          <w:jc w:val="center"/>
          <w:rPr>
            <w:rFonts w:ascii="Arial" w:hAnsi="Arial" w:cs="Arial"/>
          </w:rPr>
        </w:pPr>
        <w:r w:rsidRPr="009F1C01">
          <w:rPr>
            <w:rFonts w:ascii="Arial" w:hAnsi="Arial" w:cs="Arial"/>
          </w:rPr>
          <w:fldChar w:fldCharType="begin"/>
        </w:r>
        <w:r w:rsidRPr="009F1C01">
          <w:rPr>
            <w:rFonts w:ascii="Arial" w:hAnsi="Arial" w:cs="Arial"/>
          </w:rPr>
          <w:instrText xml:space="preserve"> PAGE   \* MERGEFORMAT </w:instrText>
        </w:r>
        <w:r w:rsidRPr="009F1C01">
          <w:rPr>
            <w:rFonts w:ascii="Arial" w:hAnsi="Arial" w:cs="Arial"/>
          </w:rPr>
          <w:fldChar w:fldCharType="separate"/>
        </w:r>
        <w:r w:rsidRPr="009F1C01">
          <w:rPr>
            <w:rFonts w:ascii="Arial" w:hAnsi="Arial" w:cs="Arial"/>
            <w:noProof/>
          </w:rPr>
          <w:t>38</w:t>
        </w:r>
        <w:r w:rsidRPr="009F1C01">
          <w:rPr>
            <w:rFonts w:ascii="Arial" w:hAnsi="Arial" w:cs="Arial"/>
            <w:noProof/>
          </w:rPr>
          <w:fldChar w:fldCharType="end"/>
        </w:r>
      </w:p>
    </w:sdtContent>
  </w:sdt>
  <w:p w14:paraId="1E983FB7" w14:textId="77777777" w:rsidR="00D06E00" w:rsidRPr="009F1C01" w:rsidRDefault="00D06E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A396" w14:textId="77777777" w:rsidR="00AD0946" w:rsidRDefault="00AD0946" w:rsidP="003E1F76">
      <w:pPr>
        <w:spacing w:after="0" w:line="240" w:lineRule="auto"/>
      </w:pPr>
      <w:r>
        <w:separator/>
      </w:r>
    </w:p>
  </w:footnote>
  <w:footnote w:type="continuationSeparator" w:id="0">
    <w:p w14:paraId="5D1DFBF6" w14:textId="77777777" w:rsidR="00AD0946" w:rsidRDefault="00AD0946" w:rsidP="003E1F76">
      <w:pPr>
        <w:spacing w:after="0" w:line="240" w:lineRule="auto"/>
      </w:pPr>
      <w:r>
        <w:continuationSeparator/>
      </w:r>
    </w:p>
  </w:footnote>
  <w:footnote w:type="continuationNotice" w:id="1">
    <w:p w14:paraId="6354F7D6" w14:textId="77777777" w:rsidR="00AD0946" w:rsidRDefault="00AD0946">
      <w:pPr>
        <w:spacing w:after="0" w:line="240" w:lineRule="auto"/>
      </w:pPr>
    </w:p>
  </w:footnote>
  <w:footnote w:id="2">
    <w:p w14:paraId="75F685EA" w14:textId="26D32F5C" w:rsidR="00B32198" w:rsidRPr="008340B3" w:rsidRDefault="00B32198"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Supplemental Order at </w:t>
      </w:r>
      <w:r w:rsidR="00FF47C3">
        <w:rPr>
          <w:rFonts w:ascii="Arial" w:hAnsi="Arial" w:cs="Arial"/>
        </w:rPr>
        <w:t>¶ 84</w:t>
      </w:r>
      <w:r w:rsidRPr="008340B3">
        <w:rPr>
          <w:rFonts w:ascii="Arial" w:hAnsi="Arial" w:cs="Arial"/>
        </w:rPr>
        <w:t>.</w:t>
      </w:r>
    </w:p>
  </w:footnote>
  <w:footnote w:id="3">
    <w:p w14:paraId="051FA770" w14:textId="77777777" w:rsidR="00C96C1E" w:rsidRPr="008340B3" w:rsidRDefault="00C96C1E" w:rsidP="00C96C1E">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In the Matter of the Application of the Dayton Power and Light Company for an Increase in its Electric Distribution Rates</w:t>
      </w:r>
      <w:r w:rsidRPr="008340B3">
        <w:rPr>
          <w:rFonts w:ascii="Arial" w:hAnsi="Arial" w:cs="Arial"/>
        </w:rPr>
        <w:t xml:space="preserve">, Case Nos. 15-1830-EL-AIR, </w:t>
      </w:r>
      <w:r w:rsidRPr="008340B3">
        <w:rPr>
          <w:rFonts w:ascii="Arial" w:hAnsi="Arial" w:cs="Arial"/>
          <w:i/>
        </w:rPr>
        <w:t>et al.</w:t>
      </w:r>
      <w:r w:rsidRPr="008340B3">
        <w:rPr>
          <w:rFonts w:ascii="Arial" w:hAnsi="Arial" w:cs="Arial"/>
        </w:rPr>
        <w:t>, Opinion and Order (Sep. 26, 2018) (hereinafter “Distribution Order”).</w:t>
      </w:r>
    </w:p>
  </w:footnote>
  <w:footnote w:id="4">
    <w:p w14:paraId="074D8C29" w14:textId="2EC51949" w:rsidR="004216F5" w:rsidRPr="008340B3" w:rsidRDefault="004216F5"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IGS Ex. 1017 at 4.</w:t>
      </w:r>
    </w:p>
  </w:footnote>
  <w:footnote w:id="5">
    <w:p w14:paraId="2D147441" w14:textId="16539B76" w:rsidR="004216F5" w:rsidRPr="008340B3" w:rsidRDefault="004216F5"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C844F4" w:rsidRPr="001D06BF">
        <w:rPr>
          <w:rFonts w:ascii="Arial" w:hAnsi="Arial" w:cs="Arial"/>
          <w:i/>
        </w:rPr>
        <w:t xml:space="preserve">Id. </w:t>
      </w:r>
      <w:r w:rsidR="00C844F4">
        <w:rPr>
          <w:rFonts w:ascii="Arial" w:hAnsi="Arial" w:cs="Arial"/>
        </w:rPr>
        <w:t>at 4-5</w:t>
      </w:r>
      <w:r w:rsidR="003E68F5">
        <w:rPr>
          <w:rFonts w:ascii="Arial" w:hAnsi="Arial" w:cs="Arial"/>
        </w:rPr>
        <w:t xml:space="preserve">; </w:t>
      </w:r>
      <w:r w:rsidR="009E3577" w:rsidRPr="00436F7E">
        <w:rPr>
          <w:rFonts w:ascii="Arial" w:hAnsi="Arial" w:cs="Arial"/>
        </w:rPr>
        <w:t>App. Vol. I</w:t>
      </w:r>
      <w:r w:rsidR="00C05E0E">
        <w:rPr>
          <w:rFonts w:ascii="Arial" w:hAnsi="Arial" w:cs="Arial"/>
        </w:rPr>
        <w:t xml:space="preserve">, </w:t>
      </w:r>
      <w:r w:rsidRPr="008340B3">
        <w:rPr>
          <w:rFonts w:ascii="Arial" w:hAnsi="Arial" w:cs="Arial"/>
        </w:rPr>
        <w:t>DP&amp;</w:t>
      </w:r>
      <w:r w:rsidR="008340B3">
        <w:rPr>
          <w:rFonts w:ascii="Arial" w:hAnsi="Arial" w:cs="Arial"/>
        </w:rPr>
        <w:t>L</w:t>
      </w:r>
      <w:r w:rsidRPr="008340B3">
        <w:rPr>
          <w:rFonts w:ascii="Arial" w:hAnsi="Arial" w:cs="Arial"/>
        </w:rPr>
        <w:t xml:space="preserve"> Alternative Generation Supplier Coordination Tariff, </w:t>
      </w:r>
      <w:r w:rsidR="00C05E0E">
        <w:rPr>
          <w:rFonts w:ascii="Arial" w:hAnsi="Arial" w:cs="Arial"/>
        </w:rPr>
        <w:t>S</w:t>
      </w:r>
      <w:r w:rsidRPr="008340B3">
        <w:rPr>
          <w:rFonts w:ascii="Arial" w:hAnsi="Arial" w:cs="Arial"/>
        </w:rPr>
        <w:t xml:space="preserve">heet </w:t>
      </w:r>
      <w:r w:rsidR="00D871EF">
        <w:rPr>
          <w:rFonts w:ascii="Arial" w:hAnsi="Arial" w:cs="Arial"/>
        </w:rPr>
        <w:t xml:space="preserve">No. </w:t>
      </w:r>
      <w:r w:rsidRPr="008340B3">
        <w:rPr>
          <w:rFonts w:ascii="Arial" w:hAnsi="Arial" w:cs="Arial"/>
        </w:rPr>
        <w:t>G8</w:t>
      </w:r>
      <w:r w:rsidR="00C05E0E">
        <w:rPr>
          <w:rFonts w:ascii="Arial" w:hAnsi="Arial" w:cs="Arial"/>
        </w:rPr>
        <w:t xml:space="preserve"> (the “Supplier Tariff”)</w:t>
      </w:r>
      <w:r w:rsidRPr="008340B3">
        <w:rPr>
          <w:rFonts w:ascii="Arial" w:hAnsi="Arial" w:cs="Arial"/>
        </w:rPr>
        <w:t xml:space="preserve">, </w:t>
      </w:r>
      <w:r w:rsidR="009B026B">
        <w:rPr>
          <w:rFonts w:ascii="Arial" w:hAnsi="Arial" w:cs="Arial"/>
        </w:rPr>
        <w:t xml:space="preserve">at </w:t>
      </w:r>
      <w:r w:rsidR="004D7965">
        <w:rPr>
          <w:rFonts w:ascii="Arial" w:hAnsi="Arial" w:cs="Arial"/>
        </w:rPr>
        <w:t>26-27</w:t>
      </w:r>
      <w:r w:rsidRPr="008340B3">
        <w:rPr>
          <w:rFonts w:ascii="Arial" w:hAnsi="Arial" w:cs="Arial"/>
        </w:rPr>
        <w:t xml:space="preserve"> (</w:t>
      </w:r>
      <w:r w:rsidR="00105943">
        <w:rPr>
          <w:rFonts w:ascii="Arial" w:hAnsi="Arial" w:cs="Arial"/>
        </w:rPr>
        <w:t>PDF Pages 95-96).</w:t>
      </w:r>
      <w:r w:rsidRPr="008340B3">
        <w:rPr>
          <w:rFonts w:ascii="Arial" w:hAnsi="Arial" w:cs="Arial"/>
        </w:rPr>
        <w:t xml:space="preserve"> </w:t>
      </w:r>
    </w:p>
  </w:footnote>
  <w:footnote w:id="6">
    <w:p w14:paraId="55C0F636" w14:textId="06A3AE5D" w:rsidR="004216F5" w:rsidRPr="008340B3" w:rsidRDefault="004216F5"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741EA0" w:rsidRPr="00D7744C">
        <w:rPr>
          <w:rFonts w:ascii="Arial" w:hAnsi="Arial" w:cs="Arial"/>
          <w:i/>
        </w:rPr>
        <w:t>Id.</w:t>
      </w:r>
    </w:p>
  </w:footnote>
  <w:footnote w:id="7">
    <w:p w14:paraId="62348673" w14:textId="09733ACF" w:rsidR="004216F5" w:rsidRPr="008340B3" w:rsidRDefault="004216F5"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803B01" w:rsidRPr="008340B3">
        <w:rPr>
          <w:rFonts w:ascii="Arial" w:hAnsi="Arial" w:cs="Arial"/>
        </w:rPr>
        <w:t xml:space="preserve">IGS Ex. 1017 at </w:t>
      </w:r>
      <w:r w:rsidR="002F7541">
        <w:rPr>
          <w:rFonts w:ascii="Arial" w:hAnsi="Arial" w:cs="Arial"/>
        </w:rPr>
        <w:t>6</w:t>
      </w:r>
      <w:r w:rsidR="00C661D5">
        <w:rPr>
          <w:rFonts w:ascii="Arial" w:hAnsi="Arial" w:cs="Arial"/>
        </w:rPr>
        <w:t xml:space="preserve">; </w:t>
      </w:r>
      <w:r w:rsidR="00C661D5" w:rsidRPr="00436F7E">
        <w:rPr>
          <w:rFonts w:ascii="Arial" w:hAnsi="Arial" w:cs="Arial"/>
        </w:rPr>
        <w:t>App. Vol. I</w:t>
      </w:r>
      <w:r w:rsidR="00C661D5">
        <w:rPr>
          <w:rFonts w:ascii="Arial" w:hAnsi="Arial" w:cs="Arial"/>
        </w:rPr>
        <w:t xml:space="preserve">, </w:t>
      </w:r>
      <w:r w:rsidR="00C661D5" w:rsidRPr="008340B3">
        <w:rPr>
          <w:rFonts w:ascii="Arial" w:hAnsi="Arial" w:cs="Arial"/>
        </w:rPr>
        <w:t>DP&amp;</w:t>
      </w:r>
      <w:r w:rsidR="00C661D5">
        <w:rPr>
          <w:rFonts w:ascii="Arial" w:hAnsi="Arial" w:cs="Arial"/>
        </w:rPr>
        <w:t>L</w:t>
      </w:r>
      <w:r w:rsidR="00C661D5" w:rsidRPr="008340B3">
        <w:rPr>
          <w:rFonts w:ascii="Arial" w:hAnsi="Arial" w:cs="Arial"/>
        </w:rPr>
        <w:t xml:space="preserve"> Alternative Generation Supplier Coordination Tariff, </w:t>
      </w:r>
      <w:r w:rsidR="00C661D5">
        <w:rPr>
          <w:rFonts w:ascii="Arial" w:hAnsi="Arial" w:cs="Arial"/>
        </w:rPr>
        <w:t>S</w:t>
      </w:r>
      <w:r w:rsidR="00C661D5" w:rsidRPr="008340B3">
        <w:rPr>
          <w:rFonts w:ascii="Arial" w:hAnsi="Arial" w:cs="Arial"/>
        </w:rPr>
        <w:t xml:space="preserve">heet </w:t>
      </w:r>
      <w:r w:rsidR="00C661D5">
        <w:rPr>
          <w:rFonts w:ascii="Arial" w:hAnsi="Arial" w:cs="Arial"/>
        </w:rPr>
        <w:t xml:space="preserve">No. </w:t>
      </w:r>
      <w:r w:rsidR="00C661D5" w:rsidRPr="008340B3">
        <w:rPr>
          <w:rFonts w:ascii="Arial" w:hAnsi="Arial" w:cs="Arial"/>
        </w:rPr>
        <w:t>G8</w:t>
      </w:r>
      <w:r w:rsidR="00C661D5">
        <w:rPr>
          <w:rFonts w:ascii="Arial" w:hAnsi="Arial" w:cs="Arial"/>
        </w:rPr>
        <w:t xml:space="preserve"> (the “Supplier Tariff”)</w:t>
      </w:r>
      <w:r w:rsidR="00C661D5" w:rsidRPr="008340B3">
        <w:rPr>
          <w:rFonts w:ascii="Arial" w:hAnsi="Arial" w:cs="Arial"/>
        </w:rPr>
        <w:t xml:space="preserve">, </w:t>
      </w:r>
      <w:r w:rsidR="00C661D5">
        <w:rPr>
          <w:rFonts w:ascii="Arial" w:hAnsi="Arial" w:cs="Arial"/>
        </w:rPr>
        <w:t>at 27 (PDF Page 96).</w:t>
      </w:r>
      <w:r w:rsidR="00C661D5" w:rsidRPr="008340B3">
        <w:rPr>
          <w:rFonts w:ascii="Arial" w:hAnsi="Arial" w:cs="Arial"/>
        </w:rPr>
        <w:t xml:space="preserve"> </w:t>
      </w:r>
    </w:p>
  </w:footnote>
  <w:footnote w:id="8">
    <w:p w14:paraId="48B288A1" w14:textId="394FEFC8" w:rsidR="00005A98" w:rsidRPr="008340B3" w:rsidRDefault="00005A98"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Supplemental Order </w:t>
      </w:r>
      <w:r w:rsidR="00715883" w:rsidRPr="008340B3">
        <w:rPr>
          <w:rFonts w:ascii="Arial" w:hAnsi="Arial" w:cs="Arial"/>
        </w:rPr>
        <w:t>at ¶ 84</w:t>
      </w:r>
      <w:r w:rsidRPr="008340B3">
        <w:rPr>
          <w:rFonts w:ascii="Arial" w:hAnsi="Arial" w:cs="Arial"/>
        </w:rPr>
        <w:t>.</w:t>
      </w:r>
    </w:p>
  </w:footnote>
  <w:footnote w:id="9">
    <w:p w14:paraId="42841AF7" w14:textId="4E3EFEAC" w:rsidR="00D4233C" w:rsidRPr="008340B3" w:rsidRDefault="00D4233C"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AB1F4D" w:rsidRPr="008340B3">
        <w:rPr>
          <w:rFonts w:ascii="Arial" w:hAnsi="Arial" w:cs="Arial"/>
        </w:rPr>
        <w:t xml:space="preserve">Distribution Order at </w:t>
      </w:r>
      <w:r w:rsidR="007A2582" w:rsidRPr="008340B3">
        <w:rPr>
          <w:rFonts w:ascii="Arial" w:hAnsi="Arial" w:cs="Arial"/>
        </w:rPr>
        <w:t xml:space="preserve">¶ </w:t>
      </w:r>
      <w:r w:rsidR="00537A04">
        <w:rPr>
          <w:rFonts w:ascii="Arial" w:hAnsi="Arial" w:cs="Arial"/>
        </w:rPr>
        <w:t>36</w:t>
      </w:r>
      <w:r w:rsidR="00AB1F4D" w:rsidRPr="008340B3">
        <w:rPr>
          <w:rFonts w:ascii="Arial" w:hAnsi="Arial" w:cs="Arial"/>
        </w:rPr>
        <w:t>.</w:t>
      </w:r>
    </w:p>
  </w:footnote>
  <w:footnote w:id="10">
    <w:p w14:paraId="1416D30E" w14:textId="56795E34" w:rsidR="004216F5" w:rsidRPr="008340B3" w:rsidRDefault="004216F5"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65794E" w:rsidRPr="001D06BF">
        <w:rPr>
          <w:rFonts w:ascii="Arial" w:hAnsi="Arial" w:cs="Arial"/>
          <w:i/>
        </w:rPr>
        <w:t>Id.</w:t>
      </w:r>
      <w:r w:rsidRPr="008340B3">
        <w:rPr>
          <w:rFonts w:ascii="Arial" w:hAnsi="Arial" w:cs="Arial"/>
        </w:rPr>
        <w:t xml:space="preserve"> at</w:t>
      </w:r>
      <w:r w:rsidR="00385152">
        <w:rPr>
          <w:rFonts w:ascii="Arial" w:hAnsi="Arial" w:cs="Arial"/>
        </w:rPr>
        <w:t xml:space="preserve"> </w:t>
      </w:r>
      <w:r w:rsidR="00537A04" w:rsidRPr="008340B3">
        <w:rPr>
          <w:rFonts w:ascii="Arial" w:hAnsi="Arial" w:cs="Arial"/>
        </w:rPr>
        <w:t xml:space="preserve">¶ </w:t>
      </w:r>
      <w:r w:rsidR="00385152">
        <w:rPr>
          <w:rFonts w:ascii="Arial" w:hAnsi="Arial" w:cs="Arial"/>
        </w:rPr>
        <w:t>47</w:t>
      </w:r>
      <w:r w:rsidRPr="008340B3">
        <w:rPr>
          <w:rFonts w:ascii="Arial" w:hAnsi="Arial" w:cs="Arial"/>
        </w:rPr>
        <w:t>(</w:t>
      </w:r>
      <w:r w:rsidR="00A62F98">
        <w:rPr>
          <w:rFonts w:ascii="Arial" w:hAnsi="Arial" w:cs="Arial"/>
        </w:rPr>
        <w:t>e</w:t>
      </w:r>
      <w:r w:rsidRPr="008340B3">
        <w:rPr>
          <w:rFonts w:ascii="Arial" w:hAnsi="Arial" w:cs="Arial"/>
        </w:rPr>
        <w:t>mphasis added).</w:t>
      </w:r>
    </w:p>
  </w:footnote>
  <w:footnote w:id="11">
    <w:p w14:paraId="2FAAFF68" w14:textId="1AFD74C7" w:rsidR="004216F5" w:rsidRPr="008340B3" w:rsidRDefault="004216F5"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Tr. Vol. VII 1318-19.</w:t>
      </w:r>
    </w:p>
  </w:footnote>
  <w:footnote w:id="12">
    <w:p w14:paraId="4E150775" w14:textId="77777777" w:rsidR="004216F5" w:rsidRPr="008340B3" w:rsidRDefault="004216F5"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IGS Ex. 1017 at 9-10.</w:t>
      </w:r>
    </w:p>
    <w:p w14:paraId="17CBE2B5" w14:textId="77777777" w:rsidR="004216F5" w:rsidRPr="008340B3" w:rsidRDefault="004216F5" w:rsidP="008340B3">
      <w:pPr>
        <w:pStyle w:val="FootnoteText"/>
        <w:spacing w:after="240"/>
        <w:rPr>
          <w:rFonts w:ascii="Arial" w:hAnsi="Arial" w:cs="Arial"/>
        </w:rPr>
      </w:pPr>
    </w:p>
  </w:footnote>
  <w:footnote w:id="13">
    <w:p w14:paraId="65DC2E1F" w14:textId="2ADA0B83" w:rsidR="00CE7442" w:rsidRPr="008340B3" w:rsidRDefault="004216F5" w:rsidP="008340B3">
      <w:pPr>
        <w:pStyle w:val="FootnoteText"/>
        <w:spacing w:after="240"/>
        <w:rPr>
          <w:rFonts w:ascii="Arial" w:hAnsi="Arial" w:cs="Arial"/>
        </w:rPr>
      </w:pPr>
      <w:r w:rsidRPr="008340B3">
        <w:rPr>
          <w:rStyle w:val="FootnoteReference"/>
          <w:rFonts w:ascii="Arial" w:hAnsi="Arial" w:cs="Arial"/>
        </w:rPr>
        <w:footnoteRef/>
      </w:r>
      <w:r w:rsidR="00D211E6" w:rsidRPr="008340B3">
        <w:rPr>
          <w:rFonts w:ascii="Arial" w:hAnsi="Arial" w:cs="Arial"/>
          <w:i/>
        </w:rPr>
        <w:t xml:space="preserve"> </w:t>
      </w:r>
      <w:r w:rsidRPr="008340B3">
        <w:rPr>
          <w:rFonts w:ascii="Arial" w:hAnsi="Arial" w:cs="Arial"/>
          <w:i/>
        </w:rPr>
        <w:t xml:space="preserve">Id. </w:t>
      </w:r>
      <w:r w:rsidRPr="008340B3">
        <w:rPr>
          <w:rFonts w:ascii="Arial" w:hAnsi="Arial" w:cs="Arial"/>
        </w:rPr>
        <w:t>at 7-8.</w:t>
      </w:r>
    </w:p>
  </w:footnote>
  <w:footnote w:id="14">
    <w:p w14:paraId="34C5227F" w14:textId="77777777" w:rsidR="004216F5" w:rsidRPr="008340B3" w:rsidRDefault="004216F5" w:rsidP="008340B3">
      <w:pPr>
        <w:pStyle w:val="FootnoteText"/>
        <w:spacing w:after="240"/>
        <w:rPr>
          <w:rFonts w:ascii="Arial" w:hAnsi="Arial" w:cs="Arial"/>
          <w:i/>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 xml:space="preserve">Id. </w:t>
      </w:r>
    </w:p>
    <w:p w14:paraId="09C92188" w14:textId="77777777" w:rsidR="004216F5" w:rsidRPr="008340B3" w:rsidRDefault="004216F5" w:rsidP="008340B3">
      <w:pPr>
        <w:pStyle w:val="FootnoteText"/>
        <w:spacing w:after="240"/>
        <w:rPr>
          <w:rFonts w:ascii="Arial" w:hAnsi="Arial" w:cs="Arial"/>
          <w:i/>
        </w:rPr>
      </w:pPr>
    </w:p>
  </w:footnote>
  <w:footnote w:id="15">
    <w:p w14:paraId="7E178E59" w14:textId="26E6BAF6" w:rsidR="006E6473" w:rsidRPr="008340B3" w:rsidRDefault="006E6473"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IGS Ex. 1014 at 7.</w:t>
      </w:r>
    </w:p>
  </w:footnote>
  <w:footnote w:id="16">
    <w:p w14:paraId="1A24F439" w14:textId="091FD273" w:rsidR="00F26F40" w:rsidRPr="008340B3" w:rsidRDefault="006E6473"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Distribution Order at </w:t>
      </w:r>
      <w:r w:rsidR="007A4C8E" w:rsidRPr="008340B3">
        <w:rPr>
          <w:rFonts w:ascii="Arial" w:hAnsi="Arial" w:cs="Arial"/>
        </w:rPr>
        <w:t xml:space="preserve">¶ </w:t>
      </w:r>
      <w:r w:rsidR="007A4C8E">
        <w:rPr>
          <w:rFonts w:ascii="Arial" w:hAnsi="Arial" w:cs="Arial"/>
        </w:rPr>
        <w:t>43</w:t>
      </w:r>
      <w:r w:rsidR="00D211E6" w:rsidRPr="008340B3">
        <w:rPr>
          <w:rFonts w:ascii="Arial" w:hAnsi="Arial" w:cs="Arial"/>
        </w:rPr>
        <w:t>.</w:t>
      </w:r>
    </w:p>
  </w:footnote>
  <w:footnote w:id="17">
    <w:p w14:paraId="36551A53" w14:textId="3F506370" w:rsidR="00511447" w:rsidRPr="008340B3" w:rsidRDefault="00511447"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Supplemental Order </w:t>
      </w:r>
      <w:r w:rsidR="00B27F45" w:rsidRPr="008340B3">
        <w:rPr>
          <w:rFonts w:ascii="Arial" w:hAnsi="Arial" w:cs="Arial"/>
        </w:rPr>
        <w:t>at ¶ 84.</w:t>
      </w:r>
    </w:p>
  </w:footnote>
  <w:footnote w:id="18">
    <w:p w14:paraId="2B5A5959" w14:textId="4C1BA9DB" w:rsidR="006E6473" w:rsidRPr="008340B3" w:rsidRDefault="006E6473"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See R.C. 4928.02(A) (state policy is to ensure nondiscriminatory and reasonably priced retail electric service).</w:t>
      </w:r>
    </w:p>
  </w:footnote>
  <w:footnote w:id="19">
    <w:p w14:paraId="7A61A5E8" w14:textId="0E1EC918" w:rsidR="006E6473" w:rsidRPr="008340B3" w:rsidRDefault="006E6473" w:rsidP="005632F8">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 xml:space="preserve">Ohio Consumers' Counsel v. </w:t>
      </w:r>
      <w:r w:rsidR="00E349EC" w:rsidRPr="005632F8">
        <w:rPr>
          <w:rFonts w:ascii="Arial" w:hAnsi="Arial" w:cs="Arial"/>
          <w:i/>
        </w:rPr>
        <w:t>Pub. Util. Comm.</w:t>
      </w:r>
      <w:r w:rsidRPr="005632F8">
        <w:rPr>
          <w:rFonts w:ascii="Arial" w:hAnsi="Arial" w:cs="Arial"/>
          <w:i/>
        </w:rPr>
        <w:t>,</w:t>
      </w:r>
      <w:r w:rsidRPr="008340B3">
        <w:rPr>
          <w:rFonts w:ascii="Arial" w:hAnsi="Arial" w:cs="Arial"/>
        </w:rPr>
        <w:t xml:space="preserve"> 109 Ohio St. 3d 328, 2006-Ohio-2110, ¶ 23.</w:t>
      </w:r>
    </w:p>
  </w:footnote>
  <w:footnote w:id="20">
    <w:p w14:paraId="5738F3F8" w14:textId="4075D2B0" w:rsidR="006E6473" w:rsidRPr="008340B3" w:rsidRDefault="006E6473"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Tr. Vol. VII at 1322.</w:t>
      </w:r>
    </w:p>
  </w:footnote>
  <w:footnote w:id="21">
    <w:p w14:paraId="3CD1A5A9" w14:textId="626DA36B" w:rsidR="006E6473" w:rsidRPr="008340B3" w:rsidRDefault="006E6473"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IGS</w:t>
      </w:r>
      <w:r w:rsidR="008340B3">
        <w:rPr>
          <w:rFonts w:ascii="Arial" w:hAnsi="Arial" w:cs="Arial"/>
        </w:rPr>
        <w:t xml:space="preserve"> </w:t>
      </w:r>
      <w:r w:rsidRPr="008340B3">
        <w:rPr>
          <w:rFonts w:ascii="Arial" w:hAnsi="Arial" w:cs="Arial"/>
        </w:rPr>
        <w:t>Ex. 1014 at Ex. MW-1 (DP&amp;L Response to IGS-INT-9-11.)</w:t>
      </w:r>
    </w:p>
  </w:footnote>
  <w:footnote w:id="22">
    <w:p w14:paraId="44CB9871" w14:textId="51B93450" w:rsidR="006E6473" w:rsidRPr="008340B3" w:rsidRDefault="006E6473" w:rsidP="008340B3">
      <w:pPr>
        <w:pStyle w:val="FootnoteText"/>
        <w:tabs>
          <w:tab w:val="left" w:pos="1365"/>
        </w:tabs>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Id.</w:t>
      </w:r>
      <w:r w:rsidRPr="008340B3">
        <w:rPr>
          <w:rFonts w:ascii="Arial" w:hAnsi="Arial" w:cs="Arial"/>
        </w:rPr>
        <w:tab/>
      </w:r>
    </w:p>
  </w:footnote>
  <w:footnote w:id="23">
    <w:p w14:paraId="51A4127F" w14:textId="4749A1B4" w:rsidR="006E6473" w:rsidRPr="008340B3" w:rsidRDefault="006E6473"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In the Matter of the Application of Columbus Southern Power Company and Ohio Power Company for Authority to Establish a Standard Service Offer Pursuant to Section 4928.143, Revised Code, in the Form of an Electric Security Plan</w:t>
      </w:r>
      <w:r w:rsidRPr="008340B3">
        <w:rPr>
          <w:rFonts w:ascii="Arial" w:hAnsi="Arial" w:cs="Arial"/>
        </w:rPr>
        <w:t xml:space="preserve">, Case Nos. 11-346-EL-SSO, </w:t>
      </w:r>
      <w:r w:rsidRPr="005632F8">
        <w:rPr>
          <w:rFonts w:ascii="Arial" w:hAnsi="Arial" w:cs="Arial"/>
          <w:i/>
        </w:rPr>
        <w:t>et al.</w:t>
      </w:r>
      <w:r w:rsidR="005632F8">
        <w:rPr>
          <w:rFonts w:ascii="Arial" w:hAnsi="Arial" w:cs="Arial"/>
        </w:rPr>
        <w:t xml:space="preserve">, </w:t>
      </w:r>
      <w:r w:rsidRPr="008340B3">
        <w:rPr>
          <w:rFonts w:ascii="Arial" w:hAnsi="Arial" w:cs="Arial"/>
        </w:rPr>
        <w:t xml:space="preserve">Opinion and Order </w:t>
      </w:r>
      <w:r w:rsidR="00DC03A2" w:rsidRPr="008340B3">
        <w:rPr>
          <w:rFonts w:ascii="Arial" w:hAnsi="Arial" w:cs="Arial"/>
        </w:rPr>
        <w:t xml:space="preserve">(Aug. 8, 2012) </w:t>
      </w:r>
      <w:r w:rsidRPr="008340B3">
        <w:rPr>
          <w:rFonts w:ascii="Arial" w:hAnsi="Arial" w:cs="Arial"/>
        </w:rPr>
        <w:t>at 55 (holding that “[t]he PIRR balance was incurred primarily by OP customers, and according to cost causation principles, the recovery of the balance should be from OP customers.”).</w:t>
      </w:r>
    </w:p>
  </w:footnote>
  <w:footnote w:id="24">
    <w:p w14:paraId="3B84E8F6" w14:textId="0AD461B9" w:rsidR="00062A2A" w:rsidRPr="008340B3" w:rsidRDefault="00633CAF" w:rsidP="008340B3">
      <w:pPr>
        <w:pStyle w:val="FootnoteText"/>
        <w:spacing w:after="240"/>
        <w:rPr>
          <w:rFonts w:ascii="Arial" w:hAnsi="Arial" w:cs="Arial"/>
        </w:rPr>
      </w:pPr>
      <w:r w:rsidRPr="008340B3">
        <w:rPr>
          <w:rStyle w:val="FootnoteReference"/>
          <w:rFonts w:ascii="Arial" w:hAnsi="Arial" w:cs="Arial"/>
        </w:rPr>
        <w:footnoteRef/>
      </w:r>
      <w:r w:rsidR="00152F36" w:rsidRPr="008340B3">
        <w:rPr>
          <w:rFonts w:ascii="Arial" w:hAnsi="Arial" w:cs="Arial"/>
        </w:rPr>
        <w:t xml:space="preserve"> </w:t>
      </w:r>
      <w:r w:rsidR="00062A2A" w:rsidRPr="008340B3">
        <w:rPr>
          <w:rFonts w:ascii="Arial" w:hAnsi="Arial" w:cs="Arial"/>
        </w:rPr>
        <w:t>Distribution Order at</w:t>
      </w:r>
      <w:r w:rsidR="00FB3244" w:rsidRPr="008340B3">
        <w:rPr>
          <w:rFonts w:ascii="Arial" w:hAnsi="Arial" w:cs="Arial"/>
        </w:rPr>
        <w:t xml:space="preserve"> ¶ 42</w:t>
      </w:r>
      <w:r w:rsidRPr="008340B3">
        <w:rPr>
          <w:rFonts w:ascii="Arial" w:hAnsi="Arial" w:cs="Arial"/>
        </w:rPr>
        <w:t>.</w:t>
      </w:r>
    </w:p>
  </w:footnote>
  <w:footnote w:id="25">
    <w:p w14:paraId="08207748" w14:textId="43B4DC89" w:rsidR="00962F0A" w:rsidRPr="00603D09" w:rsidRDefault="00962F0A" w:rsidP="008340B3">
      <w:pPr>
        <w:pStyle w:val="FootnoteText"/>
        <w:spacing w:after="240"/>
        <w:rPr>
          <w:rFonts w:ascii="Arial" w:hAnsi="Arial" w:cs="Arial"/>
        </w:rPr>
      </w:pPr>
      <w:r w:rsidRPr="00603D09">
        <w:rPr>
          <w:rStyle w:val="FootnoteReference"/>
          <w:rFonts w:ascii="Arial" w:hAnsi="Arial" w:cs="Arial"/>
        </w:rPr>
        <w:footnoteRef/>
      </w:r>
      <w:r w:rsidRPr="00603D09">
        <w:rPr>
          <w:rFonts w:ascii="Arial" w:hAnsi="Arial" w:cs="Arial"/>
        </w:rPr>
        <w:t xml:space="preserve"> </w:t>
      </w:r>
      <w:r w:rsidR="00062A2A" w:rsidRPr="00603D09">
        <w:rPr>
          <w:rFonts w:ascii="Arial" w:hAnsi="Arial" w:cs="Arial"/>
          <w:i/>
        </w:rPr>
        <w:t>Id</w:t>
      </w:r>
      <w:r w:rsidRPr="00603D09">
        <w:rPr>
          <w:rFonts w:ascii="Arial" w:hAnsi="Arial" w:cs="Arial"/>
        </w:rPr>
        <w:t>.</w:t>
      </w:r>
    </w:p>
  </w:footnote>
  <w:footnote w:id="26">
    <w:p w14:paraId="497A7BFF" w14:textId="12A20644" w:rsidR="00EF4DD5" w:rsidRPr="00603D09" w:rsidRDefault="00EF4DD5" w:rsidP="009D730C">
      <w:pPr>
        <w:pStyle w:val="FootnoteText"/>
        <w:rPr>
          <w:rFonts w:ascii="Arial" w:hAnsi="Arial" w:cs="Arial"/>
        </w:rPr>
      </w:pPr>
      <w:r w:rsidRPr="00603D09">
        <w:rPr>
          <w:rStyle w:val="FootnoteReference"/>
          <w:rFonts w:ascii="Arial" w:hAnsi="Arial" w:cs="Arial"/>
        </w:rPr>
        <w:footnoteRef/>
      </w:r>
      <w:r w:rsidRPr="00603D09">
        <w:rPr>
          <w:rFonts w:ascii="Arial" w:hAnsi="Arial" w:cs="Arial"/>
        </w:rPr>
        <w:t xml:space="preserve"> </w:t>
      </w:r>
      <w:r w:rsidR="009D730C" w:rsidRPr="001434E7">
        <w:rPr>
          <w:rFonts w:ascii="Arial" w:hAnsi="Arial" w:cs="Arial"/>
          <w:i/>
        </w:rPr>
        <w:t>In the Matter of the Application of The AES Corporation, Dolphin Sub, Inc., DPL Inc. and The Dayton Power and Light for Consent and Approval for a Change of Control of The Dayton Power and Light Company</w:t>
      </w:r>
      <w:r w:rsidR="009D730C" w:rsidRPr="00603D09">
        <w:rPr>
          <w:rFonts w:ascii="Arial" w:hAnsi="Arial" w:cs="Arial"/>
        </w:rPr>
        <w:t xml:space="preserve">, Case No. 11-3002-EL-MER at </w:t>
      </w:r>
      <w:r w:rsidR="00603D09" w:rsidRPr="00603D09">
        <w:rPr>
          <w:rFonts w:ascii="Arial" w:hAnsi="Arial" w:cs="Arial"/>
        </w:rPr>
        <w:t>¶ 25</w:t>
      </w:r>
      <w:r w:rsidR="00D50358">
        <w:rPr>
          <w:rFonts w:ascii="Arial" w:hAnsi="Arial" w:cs="Arial"/>
        </w:rPr>
        <w:t xml:space="preserve"> (Nov. 22, 2011).</w:t>
      </w:r>
    </w:p>
    <w:p w14:paraId="1DD91CB8" w14:textId="77777777" w:rsidR="00603D09" w:rsidRDefault="00603D09" w:rsidP="009D730C">
      <w:pPr>
        <w:pStyle w:val="FootnoteText"/>
      </w:pPr>
    </w:p>
  </w:footnote>
  <w:footnote w:id="27">
    <w:p w14:paraId="7158577B" w14:textId="3BF05B2F" w:rsidR="00F84E54" w:rsidRPr="008340B3" w:rsidRDefault="00393E15"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IGS Ex. 1014</w:t>
      </w:r>
      <w:r w:rsidR="00CF1403" w:rsidRPr="008340B3">
        <w:rPr>
          <w:rFonts w:ascii="Arial" w:hAnsi="Arial" w:cs="Arial"/>
        </w:rPr>
        <w:t xml:space="preserve"> at 9.</w:t>
      </w:r>
    </w:p>
  </w:footnote>
  <w:footnote w:id="28">
    <w:p w14:paraId="3AFBCF76" w14:textId="4420C84A" w:rsidR="00F84E54" w:rsidRPr="008340B3" w:rsidRDefault="00534334" w:rsidP="008340B3">
      <w:pPr>
        <w:pStyle w:val="FootnoteText"/>
        <w:spacing w:after="240"/>
        <w:rPr>
          <w:rFonts w:ascii="Arial" w:hAnsi="Arial" w:cs="Arial"/>
          <w:i/>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Id.</w:t>
      </w:r>
    </w:p>
  </w:footnote>
  <w:footnote w:id="29">
    <w:p w14:paraId="6B857A85" w14:textId="5C22BF83" w:rsidR="00240109" w:rsidRPr="008340B3" w:rsidRDefault="00534334"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 xml:space="preserve">Id. </w:t>
      </w:r>
    </w:p>
  </w:footnote>
  <w:footnote w:id="30">
    <w:p w14:paraId="75919FE4" w14:textId="71CC6029" w:rsidR="00240109" w:rsidRPr="008340B3" w:rsidRDefault="00240109" w:rsidP="008340B3">
      <w:pPr>
        <w:pStyle w:val="FootnoteText"/>
        <w:spacing w:after="240"/>
        <w:rPr>
          <w:rFonts w:ascii="Arial" w:hAnsi="Arial" w:cs="Arial"/>
          <w:i/>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 xml:space="preserve">Id. </w:t>
      </w:r>
    </w:p>
  </w:footnote>
  <w:footnote w:id="31">
    <w:p w14:paraId="60F4251F" w14:textId="7F393213" w:rsidR="009D3B0C" w:rsidRPr="008340B3" w:rsidRDefault="009D3B0C"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Tr. Vol. VII </w:t>
      </w:r>
      <w:r w:rsidR="007E4B20" w:rsidRPr="008340B3">
        <w:rPr>
          <w:rFonts w:ascii="Arial" w:hAnsi="Arial" w:cs="Arial"/>
        </w:rPr>
        <w:t xml:space="preserve">at </w:t>
      </w:r>
      <w:r w:rsidRPr="008340B3">
        <w:rPr>
          <w:rFonts w:ascii="Arial" w:hAnsi="Arial" w:cs="Arial"/>
        </w:rPr>
        <w:t>1324-</w:t>
      </w:r>
      <w:r w:rsidR="00276A2F" w:rsidRPr="008340B3">
        <w:rPr>
          <w:rFonts w:ascii="Arial" w:hAnsi="Arial" w:cs="Arial"/>
        </w:rPr>
        <w:t>2</w:t>
      </w:r>
      <w:r w:rsidRPr="008340B3">
        <w:rPr>
          <w:rFonts w:ascii="Arial" w:hAnsi="Arial" w:cs="Arial"/>
        </w:rPr>
        <w:t>6</w:t>
      </w:r>
      <w:r w:rsidR="002750BD" w:rsidRPr="008340B3">
        <w:rPr>
          <w:rFonts w:ascii="Arial" w:hAnsi="Arial" w:cs="Arial"/>
        </w:rPr>
        <w:t>.</w:t>
      </w:r>
    </w:p>
  </w:footnote>
  <w:footnote w:id="32">
    <w:p w14:paraId="3CED8CE4" w14:textId="13CFC787" w:rsidR="00D06E00" w:rsidRPr="008340B3" w:rsidRDefault="00D06E00"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Pr="008340B3">
        <w:rPr>
          <w:rFonts w:ascii="Arial" w:hAnsi="Arial" w:cs="Arial"/>
          <w:i/>
        </w:rPr>
        <w:t>Id</w:t>
      </w:r>
      <w:r w:rsidRPr="008340B3">
        <w:rPr>
          <w:rFonts w:ascii="Arial" w:hAnsi="Arial" w:cs="Arial"/>
        </w:rPr>
        <w:t>. at 1326</w:t>
      </w:r>
      <w:r w:rsidR="00E4169E" w:rsidRPr="008340B3">
        <w:rPr>
          <w:rFonts w:ascii="Arial" w:hAnsi="Arial" w:cs="Arial"/>
        </w:rPr>
        <w:t xml:space="preserve">, </w:t>
      </w:r>
      <w:r w:rsidRPr="008340B3">
        <w:rPr>
          <w:rFonts w:ascii="Arial" w:hAnsi="Arial" w:cs="Arial"/>
        </w:rPr>
        <w:t>Ln. 2-5.</w:t>
      </w:r>
    </w:p>
  </w:footnote>
  <w:footnote w:id="33">
    <w:p w14:paraId="0042E385" w14:textId="77777777" w:rsidR="00D06E00" w:rsidRPr="008340B3" w:rsidRDefault="00D06E00"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See DP&amp;L Response to IGS-INT-9-7.</w:t>
      </w:r>
    </w:p>
  </w:footnote>
  <w:footnote w:id="34">
    <w:p w14:paraId="251BD2DC" w14:textId="77777777" w:rsidR="00B31DA1" w:rsidRDefault="00B31DA1" w:rsidP="00B31DA1">
      <w:pPr>
        <w:pStyle w:val="FootnoteText"/>
        <w:rPr>
          <w:rFonts w:ascii="Arial" w:hAnsi="Arial" w:cs="Arial"/>
        </w:rPr>
      </w:pPr>
      <w:r w:rsidRPr="00FF47C3">
        <w:rPr>
          <w:rStyle w:val="FootnoteReference"/>
          <w:rFonts w:ascii="Arial" w:hAnsi="Arial" w:cs="Arial"/>
        </w:rPr>
        <w:footnoteRef/>
      </w:r>
      <w:r w:rsidRPr="00FF47C3">
        <w:rPr>
          <w:rFonts w:ascii="Arial" w:hAnsi="Arial" w:cs="Arial"/>
        </w:rPr>
        <w:t xml:space="preserve"> Distribution Order at ¶ 42</w:t>
      </w:r>
      <w:r>
        <w:rPr>
          <w:rFonts w:ascii="Arial" w:hAnsi="Arial" w:cs="Arial"/>
        </w:rPr>
        <w:t>.</w:t>
      </w:r>
    </w:p>
    <w:p w14:paraId="37751372" w14:textId="77777777" w:rsidR="00B31DA1" w:rsidRPr="00FF47C3" w:rsidRDefault="00B31DA1" w:rsidP="00B31DA1">
      <w:pPr>
        <w:pStyle w:val="FootnoteText"/>
        <w:rPr>
          <w:rFonts w:ascii="Arial" w:hAnsi="Arial" w:cs="Arial"/>
        </w:rPr>
      </w:pPr>
    </w:p>
  </w:footnote>
  <w:footnote w:id="35">
    <w:p w14:paraId="6B9A8A85" w14:textId="5FBED94E" w:rsidR="00EE27B8" w:rsidRPr="008340B3" w:rsidRDefault="009D3B0C" w:rsidP="008340B3">
      <w:pPr>
        <w:pStyle w:val="FootnoteText"/>
        <w:spacing w:after="240"/>
        <w:rPr>
          <w:rFonts w:ascii="Arial" w:hAnsi="Arial" w:cs="Arial"/>
        </w:rPr>
      </w:pPr>
      <w:r w:rsidRPr="008340B3">
        <w:rPr>
          <w:rStyle w:val="FootnoteReference"/>
          <w:rFonts w:ascii="Arial" w:hAnsi="Arial" w:cs="Arial"/>
        </w:rPr>
        <w:footnoteRef/>
      </w:r>
      <w:r w:rsidRPr="008340B3">
        <w:rPr>
          <w:rFonts w:ascii="Arial" w:hAnsi="Arial" w:cs="Arial"/>
        </w:rPr>
        <w:t xml:space="preserve"> Joint Ex. 1 at 9.</w:t>
      </w:r>
    </w:p>
  </w:footnote>
  <w:footnote w:id="36">
    <w:p w14:paraId="5F6DA07C" w14:textId="64845528" w:rsidR="00EE27B8" w:rsidRPr="008340B3" w:rsidRDefault="009D3B0C" w:rsidP="008340B3">
      <w:pPr>
        <w:pStyle w:val="FootnoteText"/>
        <w:spacing w:after="240"/>
        <w:rPr>
          <w:rFonts w:ascii="Arial" w:hAnsi="Arial" w:cs="Arial"/>
        </w:rPr>
      </w:pPr>
      <w:r w:rsidRPr="008340B3">
        <w:rPr>
          <w:rStyle w:val="FootnoteReference"/>
          <w:rFonts w:ascii="Arial" w:hAnsi="Arial" w:cs="Arial"/>
        </w:rPr>
        <w:footnoteRef/>
      </w:r>
      <w:r w:rsidR="00593AC2" w:rsidRPr="008340B3">
        <w:rPr>
          <w:rFonts w:ascii="Arial" w:hAnsi="Arial" w:cs="Arial"/>
        </w:rPr>
        <w:t xml:space="preserve"> </w:t>
      </w:r>
      <w:r w:rsidR="00041012" w:rsidRPr="008340B3">
        <w:rPr>
          <w:rFonts w:ascii="Arial" w:hAnsi="Arial" w:cs="Arial"/>
        </w:rPr>
        <w:t>Distribution</w:t>
      </w:r>
      <w:r w:rsidRPr="008340B3">
        <w:rPr>
          <w:rFonts w:ascii="Arial" w:hAnsi="Arial" w:cs="Arial"/>
        </w:rPr>
        <w:t xml:space="preserve"> Order at </w:t>
      </w:r>
      <w:r w:rsidR="00D7230D" w:rsidRPr="008340B3">
        <w:rPr>
          <w:rFonts w:ascii="Arial" w:hAnsi="Arial" w:cs="Arial"/>
        </w:rPr>
        <w:t>¶ 22</w:t>
      </w:r>
      <w:r w:rsidRPr="008340B3">
        <w:rPr>
          <w:rFonts w:ascii="Arial" w:hAnsi="Arial" w:cs="Arial"/>
        </w:rPr>
        <w:t>.</w:t>
      </w:r>
    </w:p>
  </w:footnote>
  <w:footnote w:id="37">
    <w:p w14:paraId="11F6B665" w14:textId="1C09A636" w:rsidR="00511D6A" w:rsidRPr="008340B3" w:rsidRDefault="00DE1BB8"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041012" w:rsidRPr="008340B3">
        <w:rPr>
          <w:rFonts w:ascii="Arial" w:hAnsi="Arial" w:cs="Arial"/>
          <w:i/>
        </w:rPr>
        <w:t>Id.</w:t>
      </w:r>
      <w:r w:rsidRPr="008340B3">
        <w:rPr>
          <w:rFonts w:ascii="Arial" w:hAnsi="Arial" w:cs="Arial"/>
        </w:rPr>
        <w:t xml:space="preserve"> at </w:t>
      </w:r>
      <w:r w:rsidR="003C5F85" w:rsidRPr="008340B3">
        <w:rPr>
          <w:rFonts w:ascii="Arial" w:hAnsi="Arial" w:cs="Arial"/>
        </w:rPr>
        <w:t xml:space="preserve">¶ </w:t>
      </w:r>
      <w:r w:rsidR="0051458C" w:rsidRPr="008340B3">
        <w:rPr>
          <w:rFonts w:ascii="Arial" w:hAnsi="Arial" w:cs="Arial"/>
        </w:rPr>
        <w:t>30.</w:t>
      </w:r>
    </w:p>
  </w:footnote>
  <w:footnote w:id="38">
    <w:p w14:paraId="5B1988CC" w14:textId="544D0F31" w:rsidR="00B37D91" w:rsidRPr="008340B3" w:rsidRDefault="00243158"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511D6A" w:rsidRPr="008340B3">
        <w:rPr>
          <w:rFonts w:ascii="Arial" w:hAnsi="Arial" w:cs="Arial"/>
          <w:i/>
        </w:rPr>
        <w:t xml:space="preserve">Id. </w:t>
      </w:r>
      <w:r w:rsidR="00511D6A" w:rsidRPr="008340B3">
        <w:rPr>
          <w:rFonts w:ascii="Arial" w:hAnsi="Arial" w:cs="Arial"/>
        </w:rPr>
        <w:t xml:space="preserve">at </w:t>
      </w:r>
      <w:r w:rsidR="00E34A96" w:rsidRPr="008340B3">
        <w:rPr>
          <w:rFonts w:ascii="Arial" w:hAnsi="Arial" w:cs="Arial"/>
        </w:rPr>
        <w:t>¶ 31</w:t>
      </w:r>
      <w:r w:rsidR="00511D6A" w:rsidRPr="008340B3">
        <w:rPr>
          <w:rFonts w:ascii="Arial" w:hAnsi="Arial" w:cs="Arial"/>
        </w:rPr>
        <w:t>.</w:t>
      </w:r>
    </w:p>
  </w:footnote>
  <w:footnote w:id="39">
    <w:p w14:paraId="1F62E328" w14:textId="545AC173" w:rsidR="00511D6A" w:rsidRPr="008340B3" w:rsidRDefault="00511D6A" w:rsidP="008340B3">
      <w:pPr>
        <w:pStyle w:val="FootnoteText"/>
        <w:spacing w:after="240"/>
        <w:jc w:val="both"/>
        <w:rPr>
          <w:rFonts w:ascii="Arial" w:hAnsi="Arial" w:cs="Arial"/>
        </w:rPr>
      </w:pPr>
      <w:r w:rsidRPr="008340B3">
        <w:rPr>
          <w:rStyle w:val="FootnoteReference"/>
          <w:rFonts w:ascii="Arial" w:hAnsi="Arial" w:cs="Arial"/>
        </w:rPr>
        <w:footnoteRef/>
      </w:r>
      <w:r w:rsidRPr="008340B3">
        <w:rPr>
          <w:rFonts w:ascii="Arial" w:hAnsi="Arial" w:cs="Arial"/>
        </w:rPr>
        <w:t xml:space="preserve"> </w:t>
      </w:r>
      <w:r w:rsidR="00B37D91" w:rsidRPr="008340B3">
        <w:rPr>
          <w:rFonts w:ascii="Arial" w:hAnsi="Arial" w:cs="Arial"/>
        </w:rPr>
        <w:t xml:space="preserve">Supplemental Order at </w:t>
      </w:r>
      <w:r w:rsidR="0088003D" w:rsidRPr="008340B3">
        <w:rPr>
          <w:rFonts w:ascii="Arial" w:hAnsi="Arial" w:cs="Arial"/>
        </w:rPr>
        <w:t>¶ 84</w:t>
      </w:r>
      <w:r w:rsidR="00B37D91" w:rsidRPr="008340B3">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2B"/>
    <w:multiLevelType w:val="hybridMultilevel"/>
    <w:tmpl w:val="67BCF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1EDE"/>
    <w:multiLevelType w:val="hybridMultilevel"/>
    <w:tmpl w:val="F76204D4"/>
    <w:lvl w:ilvl="0" w:tplc="D70212BC">
      <w:start w:val="1"/>
      <w:numFmt w:val="upperLetter"/>
      <w:lvlText w:val="%1."/>
      <w:lvlJc w:val="left"/>
      <w:pPr>
        <w:ind w:left="1449" w:hanging="360"/>
      </w:pPr>
      <w:rPr>
        <w:rFonts w:hint="default"/>
      </w:rPr>
    </w:lvl>
    <w:lvl w:ilvl="1" w:tplc="04090019">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 w15:restartNumberingAfterBreak="0">
    <w:nsid w:val="03406B6D"/>
    <w:multiLevelType w:val="hybridMultilevel"/>
    <w:tmpl w:val="986CCDB6"/>
    <w:lvl w:ilvl="0" w:tplc="71AC6F3E">
      <w:start w:val="1"/>
      <w:numFmt w:val="upperLetter"/>
      <w:lvlText w:val="%1."/>
      <w:lvlJc w:val="left"/>
      <w:pPr>
        <w:ind w:left="1089" w:hanging="369"/>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D5D92"/>
    <w:multiLevelType w:val="hybridMultilevel"/>
    <w:tmpl w:val="6032C2D0"/>
    <w:lvl w:ilvl="0" w:tplc="36945EE2">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6D57"/>
    <w:multiLevelType w:val="hybridMultilevel"/>
    <w:tmpl w:val="8FD4573E"/>
    <w:lvl w:ilvl="0" w:tplc="7C76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14418"/>
    <w:multiLevelType w:val="hybridMultilevel"/>
    <w:tmpl w:val="A274DC18"/>
    <w:lvl w:ilvl="0" w:tplc="06647DEE">
      <w:start w:val="1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D7A7A"/>
    <w:multiLevelType w:val="hybridMultilevel"/>
    <w:tmpl w:val="DFE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9601D"/>
    <w:multiLevelType w:val="hybridMultilevel"/>
    <w:tmpl w:val="374856E6"/>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166D0"/>
    <w:multiLevelType w:val="hybridMultilevel"/>
    <w:tmpl w:val="A4A03E46"/>
    <w:lvl w:ilvl="0" w:tplc="B3D471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DD0F76"/>
    <w:multiLevelType w:val="hybridMultilevel"/>
    <w:tmpl w:val="7E2E4B2C"/>
    <w:lvl w:ilvl="0" w:tplc="57167B9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083953"/>
    <w:multiLevelType w:val="hybridMultilevel"/>
    <w:tmpl w:val="F0A6991E"/>
    <w:lvl w:ilvl="0" w:tplc="787A673C">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1" w15:restartNumberingAfterBreak="0">
    <w:nsid w:val="27703191"/>
    <w:multiLevelType w:val="hybridMultilevel"/>
    <w:tmpl w:val="088C1DD2"/>
    <w:lvl w:ilvl="0" w:tplc="79E259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A15076"/>
    <w:multiLevelType w:val="hybridMultilevel"/>
    <w:tmpl w:val="569279A2"/>
    <w:lvl w:ilvl="0" w:tplc="79E259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D30320"/>
    <w:multiLevelType w:val="hybridMultilevel"/>
    <w:tmpl w:val="03A2DE9E"/>
    <w:lvl w:ilvl="0" w:tplc="077C6E6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B9208F"/>
    <w:multiLevelType w:val="hybridMultilevel"/>
    <w:tmpl w:val="71B4A2F4"/>
    <w:lvl w:ilvl="0" w:tplc="11D45F6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D40AD"/>
    <w:multiLevelType w:val="hybridMultilevel"/>
    <w:tmpl w:val="23B05C70"/>
    <w:lvl w:ilvl="0" w:tplc="D70212BC">
      <w:start w:val="1"/>
      <w:numFmt w:val="upperLetter"/>
      <w:lvlText w:val="%1."/>
      <w:lvlJc w:val="left"/>
      <w:pPr>
        <w:ind w:left="1449" w:hanging="360"/>
      </w:pPr>
      <w:rPr>
        <w:rFonts w:hint="default"/>
      </w:rPr>
    </w:lvl>
    <w:lvl w:ilvl="1" w:tplc="04090019">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6" w15:restartNumberingAfterBreak="0">
    <w:nsid w:val="3B933476"/>
    <w:multiLevelType w:val="hybridMultilevel"/>
    <w:tmpl w:val="F10E3C04"/>
    <w:lvl w:ilvl="0" w:tplc="11D45F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496579"/>
    <w:multiLevelType w:val="hybridMultilevel"/>
    <w:tmpl w:val="BE6CBE5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C5D39"/>
    <w:multiLevelType w:val="hybridMultilevel"/>
    <w:tmpl w:val="76529BEA"/>
    <w:lvl w:ilvl="0" w:tplc="A74C8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C81FEC"/>
    <w:multiLevelType w:val="multilevel"/>
    <w:tmpl w:val="C25A84E2"/>
    <w:name w:val="Testimony"/>
    <w:lvl w:ilvl="0">
      <w:start w:val="1"/>
      <w:numFmt w:val="none"/>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1"/>
      <w:numFmt w:val="none"/>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lvlRestart w:val="0"/>
      <w:lvlText w:val="%3."/>
      <w:lvlJc w:val="left"/>
      <w:pPr>
        <w:tabs>
          <w:tab w:val="num" w:pos="720"/>
        </w:tabs>
        <w:ind w:left="720" w:hanging="720"/>
      </w:pPr>
      <w:rPr>
        <w:rFonts w:ascii="Arial" w:hAnsi="Arial" w:cs="Arial" w:hint="default"/>
        <w:b/>
        <w:i w:val="0"/>
        <w:caps w:val="0"/>
        <w:color w:val="000000"/>
        <w:u w:val="none"/>
      </w:rPr>
    </w:lvl>
    <w:lvl w:ilvl="3">
      <w:start w:val="1"/>
      <w:numFmt w:val="upperLetter"/>
      <w:lvlRestart w:val="0"/>
      <w:pStyle w:val="Heading4"/>
      <w:lvlText w:val="(%4)"/>
      <w:lvlJc w:val="left"/>
      <w:pPr>
        <w:tabs>
          <w:tab w:val="num" w:pos="1440"/>
        </w:tabs>
        <w:ind w:left="720" w:firstLine="0"/>
      </w:pPr>
      <w:rPr>
        <w:rFonts w:hint="default"/>
        <w:b/>
        <w:i/>
        <w:caps w:val="0"/>
        <w:color w:val="000000"/>
        <w:u w:val="none"/>
      </w:rPr>
    </w:lvl>
    <w:lvl w:ilvl="4">
      <w:start w:val="1"/>
      <w:numFmt w:val="none"/>
      <w:lvlText w:val=""/>
      <w:lvlJc w:val="left"/>
      <w:pPr>
        <w:tabs>
          <w:tab w:val="num" w:pos="1800"/>
        </w:tabs>
        <w:ind w:left="0" w:firstLine="0"/>
      </w:pPr>
      <w:rPr>
        <w:rFonts w:ascii="Courier New" w:hAnsi="Courier New" w:cs="Courier New" w:hint="default"/>
        <w:b w:val="0"/>
        <w:i w:val="0"/>
        <w:caps w:val="0"/>
        <w:color w:val="000000"/>
        <w:u w:val="none"/>
      </w:rPr>
    </w:lvl>
    <w:lvl w:ilvl="5">
      <w:start w:val="1"/>
      <w:numFmt w:val="none"/>
      <w:pStyle w:val="Heading6"/>
      <w:lvlText w:val=""/>
      <w:lvlJc w:val="left"/>
      <w:pPr>
        <w:tabs>
          <w:tab w:val="num" w:pos="2160"/>
        </w:tabs>
        <w:ind w:left="0" w:firstLine="0"/>
      </w:pPr>
      <w:rPr>
        <w:rFonts w:ascii="Times New Roman" w:hAnsi="Times New Roman" w:cs="Times New Roman" w:hint="default"/>
        <w:b w:val="0"/>
        <w:i w:val="0"/>
        <w:caps w:val="0"/>
        <w:color w:val="000000"/>
        <w:u w:val="none"/>
      </w:rPr>
    </w:lvl>
    <w:lvl w:ilvl="6">
      <w:start w:val="1"/>
      <w:numFmt w:val="none"/>
      <w:pStyle w:val="Heading7"/>
      <w:lvlText w:val=""/>
      <w:lvlJc w:val="left"/>
      <w:pPr>
        <w:tabs>
          <w:tab w:val="num" w:pos="2520"/>
        </w:tabs>
        <w:ind w:left="0" w:firstLine="0"/>
      </w:pPr>
      <w:rPr>
        <w:rFonts w:ascii="Times New Roman" w:hAnsi="Times New Roman" w:cs="Times New Roman" w:hint="default"/>
        <w:b w:val="0"/>
        <w:i w:val="0"/>
        <w:caps w:val="0"/>
        <w:color w:val="000000"/>
        <w:u w:val="none"/>
      </w:rPr>
    </w:lvl>
    <w:lvl w:ilvl="7">
      <w:start w:val="1"/>
      <w:numFmt w:val="none"/>
      <w:pStyle w:val="Heading8"/>
      <w:lvlText w:val=""/>
      <w:lvlJc w:val="left"/>
      <w:pPr>
        <w:tabs>
          <w:tab w:val="num" w:pos="2880"/>
        </w:tabs>
        <w:ind w:left="0" w:firstLine="0"/>
      </w:pPr>
      <w:rPr>
        <w:rFonts w:ascii="Courier New" w:hAnsi="Courier New" w:cs="Courier New" w:hint="default"/>
        <w:b w:val="0"/>
        <w:i w:val="0"/>
        <w:caps w:val="0"/>
        <w:color w:val="000000"/>
        <w:u w:val="none"/>
      </w:rPr>
    </w:lvl>
    <w:lvl w:ilvl="8">
      <w:start w:val="1"/>
      <w:numFmt w:val="none"/>
      <w:pStyle w:val="Heading9"/>
      <w:lvlText w:val=""/>
      <w:lvlJc w:val="left"/>
      <w:pPr>
        <w:tabs>
          <w:tab w:val="num" w:pos="3240"/>
        </w:tabs>
        <w:ind w:left="0" w:firstLine="0"/>
      </w:pPr>
      <w:rPr>
        <w:rFonts w:ascii="Times New Roman" w:hAnsi="Times New Roman" w:cs="Times New Roman" w:hint="default"/>
        <w:b w:val="0"/>
        <w:i w:val="0"/>
        <w:caps w:val="0"/>
        <w:color w:val="000000"/>
        <w:u w:val="none"/>
      </w:rPr>
    </w:lvl>
  </w:abstractNum>
  <w:abstractNum w:abstractNumId="20" w15:restartNumberingAfterBreak="0">
    <w:nsid w:val="4F9F39D4"/>
    <w:multiLevelType w:val="hybridMultilevel"/>
    <w:tmpl w:val="76925A92"/>
    <w:lvl w:ilvl="0" w:tplc="0276E6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15047C"/>
    <w:multiLevelType w:val="hybridMultilevel"/>
    <w:tmpl w:val="D6D6637A"/>
    <w:lvl w:ilvl="0" w:tplc="2B081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CB0F46"/>
    <w:multiLevelType w:val="hybridMultilevel"/>
    <w:tmpl w:val="25FA4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720B8B"/>
    <w:multiLevelType w:val="hybridMultilevel"/>
    <w:tmpl w:val="5FBAFF84"/>
    <w:lvl w:ilvl="0" w:tplc="0688D4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87216"/>
    <w:multiLevelType w:val="hybridMultilevel"/>
    <w:tmpl w:val="D6EEF6A8"/>
    <w:lvl w:ilvl="0" w:tplc="3CA01052">
      <w:start w:val="1"/>
      <w:numFmt w:val="upperLetter"/>
      <w:pStyle w:val="Heading2"/>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EF57A1"/>
    <w:multiLevelType w:val="hybridMultilevel"/>
    <w:tmpl w:val="F20E91F0"/>
    <w:lvl w:ilvl="0" w:tplc="4E0C97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740A14"/>
    <w:multiLevelType w:val="hybridMultilevel"/>
    <w:tmpl w:val="068C6B54"/>
    <w:lvl w:ilvl="0" w:tplc="54D02C9A">
      <w:start w:val="1"/>
      <w:numFmt w:val="upp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C35262"/>
    <w:multiLevelType w:val="hybridMultilevel"/>
    <w:tmpl w:val="F94ECFC2"/>
    <w:lvl w:ilvl="0" w:tplc="C8CCF67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04760F"/>
    <w:multiLevelType w:val="hybridMultilevel"/>
    <w:tmpl w:val="CE02C82E"/>
    <w:lvl w:ilvl="0" w:tplc="EA6279FC">
      <w:start w:val="1"/>
      <w:numFmt w:val="upperLetter"/>
      <w:lvlText w:val="%1."/>
      <w:lvlJc w:val="left"/>
      <w:pPr>
        <w:ind w:left="1440" w:hanging="360"/>
      </w:pPr>
      <w:rPr>
        <w:rFonts w:hint="default"/>
        <w:b/>
      </w:rPr>
    </w:lvl>
    <w:lvl w:ilvl="1" w:tplc="2AB03166">
      <w:start w:val="1"/>
      <w:numFmt w:val="lowerLetter"/>
      <w:lvlText w:val="%2."/>
      <w:lvlJc w:val="left"/>
      <w:pPr>
        <w:ind w:left="2160" w:hanging="360"/>
      </w:pPr>
      <w:rPr>
        <w:b/>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466635"/>
    <w:multiLevelType w:val="hybridMultilevel"/>
    <w:tmpl w:val="50B836B8"/>
    <w:lvl w:ilvl="0" w:tplc="43545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766ADE"/>
    <w:multiLevelType w:val="hybridMultilevel"/>
    <w:tmpl w:val="5F5E1FE0"/>
    <w:lvl w:ilvl="0" w:tplc="9EE2F130">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0D3106"/>
    <w:multiLevelType w:val="hybridMultilevel"/>
    <w:tmpl w:val="B5F4F370"/>
    <w:lvl w:ilvl="0" w:tplc="9300E8FC">
      <w:start w:val="1"/>
      <w:numFmt w:val="upperLetter"/>
      <w:lvlText w:val="%1."/>
      <w:lvlJc w:val="left"/>
      <w:pPr>
        <w:ind w:left="1800" w:hanging="360"/>
      </w:pPr>
      <w:rPr>
        <w:rFonts w:eastAsiaTheme="minorHAns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9"/>
  </w:num>
  <w:num w:numId="3">
    <w:abstractNumId w:val="4"/>
  </w:num>
  <w:num w:numId="4">
    <w:abstractNumId w:val="25"/>
  </w:num>
  <w:num w:numId="5">
    <w:abstractNumId w:val="19"/>
  </w:num>
  <w:num w:numId="6">
    <w:abstractNumId w:val="0"/>
  </w:num>
  <w:num w:numId="7">
    <w:abstractNumId w:val="2"/>
  </w:num>
  <w:num w:numId="8">
    <w:abstractNumId w:val="21"/>
  </w:num>
  <w:num w:numId="9">
    <w:abstractNumId w:val="29"/>
  </w:num>
  <w:num w:numId="10">
    <w:abstractNumId w:val="18"/>
  </w:num>
  <w:num w:numId="11">
    <w:abstractNumId w:val="7"/>
  </w:num>
  <w:num w:numId="12">
    <w:abstractNumId w:val="26"/>
  </w:num>
  <w:num w:numId="13">
    <w:abstractNumId w:val="1"/>
  </w:num>
  <w:num w:numId="14">
    <w:abstractNumId w:val="27"/>
  </w:num>
  <w:num w:numId="15">
    <w:abstractNumId w:val="20"/>
  </w:num>
  <w:num w:numId="16">
    <w:abstractNumId w:val="15"/>
  </w:num>
  <w:num w:numId="17">
    <w:abstractNumId w:val="13"/>
  </w:num>
  <w:num w:numId="18">
    <w:abstractNumId w:val="14"/>
  </w:num>
  <w:num w:numId="19">
    <w:abstractNumId w:val="16"/>
  </w:num>
  <w:num w:numId="20">
    <w:abstractNumId w:val="31"/>
  </w:num>
  <w:num w:numId="21">
    <w:abstractNumId w:val="10"/>
  </w:num>
  <w:num w:numId="22">
    <w:abstractNumId w:val="28"/>
  </w:num>
  <w:num w:numId="23">
    <w:abstractNumId w:val="30"/>
  </w:num>
  <w:num w:numId="24">
    <w:abstractNumId w:val="22"/>
  </w:num>
  <w:num w:numId="25">
    <w:abstractNumId w:val="6"/>
  </w:num>
  <w:num w:numId="26">
    <w:abstractNumId w:val="3"/>
  </w:num>
  <w:num w:numId="27">
    <w:abstractNumId w:val="8"/>
  </w:num>
  <w:num w:numId="28">
    <w:abstractNumId w:val="17"/>
  </w:num>
  <w:num w:numId="29">
    <w:abstractNumId w:val="5"/>
  </w:num>
  <w:num w:numId="30">
    <w:abstractNumId w:val="12"/>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B5"/>
    <w:rsid w:val="0000183E"/>
    <w:rsid w:val="00005A98"/>
    <w:rsid w:val="0000646C"/>
    <w:rsid w:val="00006B63"/>
    <w:rsid w:val="00007755"/>
    <w:rsid w:val="0001021D"/>
    <w:rsid w:val="00010B61"/>
    <w:rsid w:val="00010ED3"/>
    <w:rsid w:val="00017401"/>
    <w:rsid w:val="00021551"/>
    <w:rsid w:val="00021552"/>
    <w:rsid w:val="000226EA"/>
    <w:rsid w:val="00022D83"/>
    <w:rsid w:val="00022F93"/>
    <w:rsid w:val="00024BC4"/>
    <w:rsid w:val="0002566D"/>
    <w:rsid w:val="00026B92"/>
    <w:rsid w:val="0003335F"/>
    <w:rsid w:val="00033807"/>
    <w:rsid w:val="00034371"/>
    <w:rsid w:val="000353D5"/>
    <w:rsid w:val="000355AB"/>
    <w:rsid w:val="00037C1D"/>
    <w:rsid w:val="00041012"/>
    <w:rsid w:val="00041A36"/>
    <w:rsid w:val="0004285F"/>
    <w:rsid w:val="00043DE3"/>
    <w:rsid w:val="00045911"/>
    <w:rsid w:val="00045E20"/>
    <w:rsid w:val="00046D5D"/>
    <w:rsid w:val="00051A32"/>
    <w:rsid w:val="00053740"/>
    <w:rsid w:val="00057C1B"/>
    <w:rsid w:val="00060323"/>
    <w:rsid w:val="00061D66"/>
    <w:rsid w:val="00062367"/>
    <w:rsid w:val="00062A2A"/>
    <w:rsid w:val="00063C8F"/>
    <w:rsid w:val="00064B5C"/>
    <w:rsid w:val="00067D7E"/>
    <w:rsid w:val="00070055"/>
    <w:rsid w:val="00070868"/>
    <w:rsid w:val="000709B7"/>
    <w:rsid w:val="000717C0"/>
    <w:rsid w:val="0007206E"/>
    <w:rsid w:val="00072465"/>
    <w:rsid w:val="00073D4F"/>
    <w:rsid w:val="00076DE2"/>
    <w:rsid w:val="00084224"/>
    <w:rsid w:val="000845AB"/>
    <w:rsid w:val="00085080"/>
    <w:rsid w:val="0008714F"/>
    <w:rsid w:val="00090576"/>
    <w:rsid w:val="00091C81"/>
    <w:rsid w:val="000938BC"/>
    <w:rsid w:val="00093973"/>
    <w:rsid w:val="00097759"/>
    <w:rsid w:val="000A39F4"/>
    <w:rsid w:val="000A46AC"/>
    <w:rsid w:val="000A62F5"/>
    <w:rsid w:val="000B029D"/>
    <w:rsid w:val="000B1133"/>
    <w:rsid w:val="000B3C5F"/>
    <w:rsid w:val="000B401D"/>
    <w:rsid w:val="000B41A9"/>
    <w:rsid w:val="000B4BB0"/>
    <w:rsid w:val="000B5BC1"/>
    <w:rsid w:val="000C28C4"/>
    <w:rsid w:val="000C4150"/>
    <w:rsid w:val="000C673F"/>
    <w:rsid w:val="000C716C"/>
    <w:rsid w:val="000C76ED"/>
    <w:rsid w:val="000D0753"/>
    <w:rsid w:val="000D17CB"/>
    <w:rsid w:val="000D37C1"/>
    <w:rsid w:val="000D38F8"/>
    <w:rsid w:val="000D53EE"/>
    <w:rsid w:val="000D53FB"/>
    <w:rsid w:val="000D55CC"/>
    <w:rsid w:val="000D7232"/>
    <w:rsid w:val="000D794F"/>
    <w:rsid w:val="000E0596"/>
    <w:rsid w:val="000E2751"/>
    <w:rsid w:val="000E3B61"/>
    <w:rsid w:val="000E5F5A"/>
    <w:rsid w:val="000E79ED"/>
    <w:rsid w:val="000F4268"/>
    <w:rsid w:val="000F4484"/>
    <w:rsid w:val="000F57A6"/>
    <w:rsid w:val="00100375"/>
    <w:rsid w:val="00100658"/>
    <w:rsid w:val="00101A37"/>
    <w:rsid w:val="001057F5"/>
    <w:rsid w:val="00105943"/>
    <w:rsid w:val="001061F3"/>
    <w:rsid w:val="00106FD5"/>
    <w:rsid w:val="00107463"/>
    <w:rsid w:val="00107D2C"/>
    <w:rsid w:val="001106E5"/>
    <w:rsid w:val="001112EA"/>
    <w:rsid w:val="0011134E"/>
    <w:rsid w:val="00112740"/>
    <w:rsid w:val="001222D4"/>
    <w:rsid w:val="00123E00"/>
    <w:rsid w:val="001301F4"/>
    <w:rsid w:val="00130664"/>
    <w:rsid w:val="00130F7A"/>
    <w:rsid w:val="00134AA7"/>
    <w:rsid w:val="00136213"/>
    <w:rsid w:val="001375DD"/>
    <w:rsid w:val="001434E7"/>
    <w:rsid w:val="00147870"/>
    <w:rsid w:val="00147CB9"/>
    <w:rsid w:val="00150F49"/>
    <w:rsid w:val="00152F36"/>
    <w:rsid w:val="00154DE5"/>
    <w:rsid w:val="001554A3"/>
    <w:rsid w:val="00155664"/>
    <w:rsid w:val="001557C9"/>
    <w:rsid w:val="001572DB"/>
    <w:rsid w:val="00157C62"/>
    <w:rsid w:val="00157F53"/>
    <w:rsid w:val="001604B8"/>
    <w:rsid w:val="00161BA6"/>
    <w:rsid w:val="001634BA"/>
    <w:rsid w:val="00164F49"/>
    <w:rsid w:val="00166959"/>
    <w:rsid w:val="00167386"/>
    <w:rsid w:val="00167962"/>
    <w:rsid w:val="00167D0F"/>
    <w:rsid w:val="00171406"/>
    <w:rsid w:val="00173D24"/>
    <w:rsid w:val="001743A5"/>
    <w:rsid w:val="0017440E"/>
    <w:rsid w:val="00183490"/>
    <w:rsid w:val="00185192"/>
    <w:rsid w:val="0018524F"/>
    <w:rsid w:val="00187398"/>
    <w:rsid w:val="00187925"/>
    <w:rsid w:val="00190FDA"/>
    <w:rsid w:val="00191BF0"/>
    <w:rsid w:val="00193980"/>
    <w:rsid w:val="00193A38"/>
    <w:rsid w:val="0019438E"/>
    <w:rsid w:val="00194B51"/>
    <w:rsid w:val="00196394"/>
    <w:rsid w:val="00197323"/>
    <w:rsid w:val="001978E3"/>
    <w:rsid w:val="00197C2E"/>
    <w:rsid w:val="001A0146"/>
    <w:rsid w:val="001A0A2B"/>
    <w:rsid w:val="001A0BC2"/>
    <w:rsid w:val="001A23B9"/>
    <w:rsid w:val="001A4726"/>
    <w:rsid w:val="001A5803"/>
    <w:rsid w:val="001A6A9A"/>
    <w:rsid w:val="001B02E8"/>
    <w:rsid w:val="001B3160"/>
    <w:rsid w:val="001B7252"/>
    <w:rsid w:val="001B7744"/>
    <w:rsid w:val="001B7C7D"/>
    <w:rsid w:val="001C16AD"/>
    <w:rsid w:val="001C2DA2"/>
    <w:rsid w:val="001C2F67"/>
    <w:rsid w:val="001C30E5"/>
    <w:rsid w:val="001C53E0"/>
    <w:rsid w:val="001C5A68"/>
    <w:rsid w:val="001C5BA4"/>
    <w:rsid w:val="001D04B2"/>
    <w:rsid w:val="001D06BF"/>
    <w:rsid w:val="001D0EBD"/>
    <w:rsid w:val="001D19B8"/>
    <w:rsid w:val="001D2A5E"/>
    <w:rsid w:val="001D3A95"/>
    <w:rsid w:val="001D57F0"/>
    <w:rsid w:val="001E35AC"/>
    <w:rsid w:val="001E5119"/>
    <w:rsid w:val="001E52EA"/>
    <w:rsid w:val="001E5829"/>
    <w:rsid w:val="001E71E5"/>
    <w:rsid w:val="001F0289"/>
    <w:rsid w:val="001F246C"/>
    <w:rsid w:val="001F43B1"/>
    <w:rsid w:val="001F4E00"/>
    <w:rsid w:val="00200C73"/>
    <w:rsid w:val="0020169D"/>
    <w:rsid w:val="00202B63"/>
    <w:rsid w:val="00203DB9"/>
    <w:rsid w:val="002042D7"/>
    <w:rsid w:val="00206D38"/>
    <w:rsid w:val="00207CA7"/>
    <w:rsid w:val="00211AC1"/>
    <w:rsid w:val="00211E86"/>
    <w:rsid w:val="00212A0A"/>
    <w:rsid w:val="002133DB"/>
    <w:rsid w:val="002134FC"/>
    <w:rsid w:val="00213FE1"/>
    <w:rsid w:val="002146CD"/>
    <w:rsid w:val="002160C6"/>
    <w:rsid w:val="00216A5B"/>
    <w:rsid w:val="002171F9"/>
    <w:rsid w:val="00217536"/>
    <w:rsid w:val="00217B7F"/>
    <w:rsid w:val="002215BA"/>
    <w:rsid w:val="00222CBA"/>
    <w:rsid w:val="002238CE"/>
    <w:rsid w:val="00225120"/>
    <w:rsid w:val="00226875"/>
    <w:rsid w:val="00227897"/>
    <w:rsid w:val="00227AD4"/>
    <w:rsid w:val="002355F6"/>
    <w:rsid w:val="00240109"/>
    <w:rsid w:val="00240360"/>
    <w:rsid w:val="0024213A"/>
    <w:rsid w:val="00243158"/>
    <w:rsid w:val="00243577"/>
    <w:rsid w:val="002435CE"/>
    <w:rsid w:val="002441F9"/>
    <w:rsid w:val="002448F1"/>
    <w:rsid w:val="002454E4"/>
    <w:rsid w:val="0024580C"/>
    <w:rsid w:val="00245ECE"/>
    <w:rsid w:val="00246B43"/>
    <w:rsid w:val="00250807"/>
    <w:rsid w:val="0025223C"/>
    <w:rsid w:val="00252AD8"/>
    <w:rsid w:val="00255C07"/>
    <w:rsid w:val="0025606F"/>
    <w:rsid w:val="00256101"/>
    <w:rsid w:val="0025750F"/>
    <w:rsid w:val="00261520"/>
    <w:rsid w:val="00262048"/>
    <w:rsid w:val="00262C8D"/>
    <w:rsid w:val="00264710"/>
    <w:rsid w:val="002700E8"/>
    <w:rsid w:val="002716A0"/>
    <w:rsid w:val="002729C2"/>
    <w:rsid w:val="00273C5D"/>
    <w:rsid w:val="00274707"/>
    <w:rsid w:val="002750BD"/>
    <w:rsid w:val="00276A2F"/>
    <w:rsid w:val="00276D3C"/>
    <w:rsid w:val="00277CC9"/>
    <w:rsid w:val="00277F10"/>
    <w:rsid w:val="00280864"/>
    <w:rsid w:val="002834D5"/>
    <w:rsid w:val="00285F9B"/>
    <w:rsid w:val="0029019A"/>
    <w:rsid w:val="00290369"/>
    <w:rsid w:val="00290AFD"/>
    <w:rsid w:val="00290F27"/>
    <w:rsid w:val="0029240A"/>
    <w:rsid w:val="0029796D"/>
    <w:rsid w:val="002A50F2"/>
    <w:rsid w:val="002A5269"/>
    <w:rsid w:val="002A5379"/>
    <w:rsid w:val="002A7B57"/>
    <w:rsid w:val="002A7CA4"/>
    <w:rsid w:val="002B10A9"/>
    <w:rsid w:val="002B191C"/>
    <w:rsid w:val="002B1A03"/>
    <w:rsid w:val="002B3CEE"/>
    <w:rsid w:val="002B643A"/>
    <w:rsid w:val="002B680A"/>
    <w:rsid w:val="002B6BA4"/>
    <w:rsid w:val="002B7AF6"/>
    <w:rsid w:val="002C050B"/>
    <w:rsid w:val="002C1345"/>
    <w:rsid w:val="002C2197"/>
    <w:rsid w:val="002C51C6"/>
    <w:rsid w:val="002C5EB4"/>
    <w:rsid w:val="002C7179"/>
    <w:rsid w:val="002C72D3"/>
    <w:rsid w:val="002C73CC"/>
    <w:rsid w:val="002D17D1"/>
    <w:rsid w:val="002D27A0"/>
    <w:rsid w:val="002E09BA"/>
    <w:rsid w:val="002E1CA4"/>
    <w:rsid w:val="002E34D7"/>
    <w:rsid w:val="002E35BD"/>
    <w:rsid w:val="002F0A59"/>
    <w:rsid w:val="002F1299"/>
    <w:rsid w:val="002F1AA8"/>
    <w:rsid w:val="002F1C31"/>
    <w:rsid w:val="002F1F66"/>
    <w:rsid w:val="002F57BD"/>
    <w:rsid w:val="002F63FD"/>
    <w:rsid w:val="002F6489"/>
    <w:rsid w:val="002F721D"/>
    <w:rsid w:val="002F747C"/>
    <w:rsid w:val="002F7541"/>
    <w:rsid w:val="002F7704"/>
    <w:rsid w:val="002F7D0D"/>
    <w:rsid w:val="003001C7"/>
    <w:rsid w:val="00302631"/>
    <w:rsid w:val="00302AB3"/>
    <w:rsid w:val="00302C25"/>
    <w:rsid w:val="003035D0"/>
    <w:rsid w:val="00303660"/>
    <w:rsid w:val="00303F3F"/>
    <w:rsid w:val="00305A7A"/>
    <w:rsid w:val="0030787A"/>
    <w:rsid w:val="00313D2E"/>
    <w:rsid w:val="00314379"/>
    <w:rsid w:val="00317CF5"/>
    <w:rsid w:val="00321030"/>
    <w:rsid w:val="00322BD5"/>
    <w:rsid w:val="00325B4A"/>
    <w:rsid w:val="00330085"/>
    <w:rsid w:val="00330FE0"/>
    <w:rsid w:val="003326DC"/>
    <w:rsid w:val="003330E2"/>
    <w:rsid w:val="00333953"/>
    <w:rsid w:val="00333A18"/>
    <w:rsid w:val="00334564"/>
    <w:rsid w:val="0033476D"/>
    <w:rsid w:val="00335A3F"/>
    <w:rsid w:val="00340612"/>
    <w:rsid w:val="00341070"/>
    <w:rsid w:val="00341357"/>
    <w:rsid w:val="0034302C"/>
    <w:rsid w:val="003452E8"/>
    <w:rsid w:val="00345466"/>
    <w:rsid w:val="00345530"/>
    <w:rsid w:val="00345B4A"/>
    <w:rsid w:val="00347544"/>
    <w:rsid w:val="003522C9"/>
    <w:rsid w:val="0035756D"/>
    <w:rsid w:val="00357D69"/>
    <w:rsid w:val="00360628"/>
    <w:rsid w:val="00361640"/>
    <w:rsid w:val="00361E8C"/>
    <w:rsid w:val="003626C9"/>
    <w:rsid w:val="00363433"/>
    <w:rsid w:val="00363E39"/>
    <w:rsid w:val="003675C3"/>
    <w:rsid w:val="00373018"/>
    <w:rsid w:val="0037392A"/>
    <w:rsid w:val="003745D9"/>
    <w:rsid w:val="00374CBA"/>
    <w:rsid w:val="00376E07"/>
    <w:rsid w:val="0038079F"/>
    <w:rsid w:val="00381511"/>
    <w:rsid w:val="00381E66"/>
    <w:rsid w:val="0038313F"/>
    <w:rsid w:val="00383A51"/>
    <w:rsid w:val="003847E6"/>
    <w:rsid w:val="003849D3"/>
    <w:rsid w:val="00385098"/>
    <w:rsid w:val="00385152"/>
    <w:rsid w:val="00386F6F"/>
    <w:rsid w:val="00387BDE"/>
    <w:rsid w:val="00391302"/>
    <w:rsid w:val="003922C8"/>
    <w:rsid w:val="003929C5"/>
    <w:rsid w:val="00392A98"/>
    <w:rsid w:val="00393E15"/>
    <w:rsid w:val="00394489"/>
    <w:rsid w:val="003947D3"/>
    <w:rsid w:val="0039642E"/>
    <w:rsid w:val="003A0C90"/>
    <w:rsid w:val="003A13ED"/>
    <w:rsid w:val="003A15EB"/>
    <w:rsid w:val="003A3E34"/>
    <w:rsid w:val="003A5102"/>
    <w:rsid w:val="003A536A"/>
    <w:rsid w:val="003A5540"/>
    <w:rsid w:val="003A5642"/>
    <w:rsid w:val="003A66D0"/>
    <w:rsid w:val="003B2C8D"/>
    <w:rsid w:val="003B35A0"/>
    <w:rsid w:val="003B3704"/>
    <w:rsid w:val="003B5376"/>
    <w:rsid w:val="003B7634"/>
    <w:rsid w:val="003C1AF5"/>
    <w:rsid w:val="003C5EE2"/>
    <w:rsid w:val="003C5F85"/>
    <w:rsid w:val="003C5F97"/>
    <w:rsid w:val="003C66B9"/>
    <w:rsid w:val="003C74FC"/>
    <w:rsid w:val="003D1230"/>
    <w:rsid w:val="003D365C"/>
    <w:rsid w:val="003D3873"/>
    <w:rsid w:val="003E18D6"/>
    <w:rsid w:val="003E1B35"/>
    <w:rsid w:val="003E1F76"/>
    <w:rsid w:val="003E4781"/>
    <w:rsid w:val="003E488A"/>
    <w:rsid w:val="003E605C"/>
    <w:rsid w:val="003E6103"/>
    <w:rsid w:val="003E68F5"/>
    <w:rsid w:val="003E6FA1"/>
    <w:rsid w:val="003E759D"/>
    <w:rsid w:val="003E7D51"/>
    <w:rsid w:val="003F017A"/>
    <w:rsid w:val="003F300E"/>
    <w:rsid w:val="003F3318"/>
    <w:rsid w:val="003F4B41"/>
    <w:rsid w:val="003F4CCE"/>
    <w:rsid w:val="003F592C"/>
    <w:rsid w:val="003F61A8"/>
    <w:rsid w:val="003F69FA"/>
    <w:rsid w:val="003F6E11"/>
    <w:rsid w:val="003F7CA5"/>
    <w:rsid w:val="004006F7"/>
    <w:rsid w:val="0040085F"/>
    <w:rsid w:val="00400FCA"/>
    <w:rsid w:val="00403850"/>
    <w:rsid w:val="00404442"/>
    <w:rsid w:val="00404FC8"/>
    <w:rsid w:val="00405575"/>
    <w:rsid w:val="0040685E"/>
    <w:rsid w:val="004119E8"/>
    <w:rsid w:val="00412EE1"/>
    <w:rsid w:val="00413742"/>
    <w:rsid w:val="00414DA0"/>
    <w:rsid w:val="004161ED"/>
    <w:rsid w:val="0041775E"/>
    <w:rsid w:val="00420AAD"/>
    <w:rsid w:val="004216F5"/>
    <w:rsid w:val="004224A7"/>
    <w:rsid w:val="004227C0"/>
    <w:rsid w:val="00422D91"/>
    <w:rsid w:val="00424E8C"/>
    <w:rsid w:val="0042579A"/>
    <w:rsid w:val="00425AAD"/>
    <w:rsid w:val="00431CB2"/>
    <w:rsid w:val="00431CB8"/>
    <w:rsid w:val="00432135"/>
    <w:rsid w:val="004350D1"/>
    <w:rsid w:val="00436E21"/>
    <w:rsid w:val="0044111B"/>
    <w:rsid w:val="00441AA9"/>
    <w:rsid w:val="0044279B"/>
    <w:rsid w:val="00443666"/>
    <w:rsid w:val="00444414"/>
    <w:rsid w:val="00444A00"/>
    <w:rsid w:val="00444CC6"/>
    <w:rsid w:val="004459A6"/>
    <w:rsid w:val="00450FDB"/>
    <w:rsid w:val="004536EF"/>
    <w:rsid w:val="0045390F"/>
    <w:rsid w:val="00453F22"/>
    <w:rsid w:val="0045454D"/>
    <w:rsid w:val="00455DCE"/>
    <w:rsid w:val="00456C3A"/>
    <w:rsid w:val="00457B70"/>
    <w:rsid w:val="00457F95"/>
    <w:rsid w:val="004629B2"/>
    <w:rsid w:val="00462DCB"/>
    <w:rsid w:val="004668A6"/>
    <w:rsid w:val="00470AA5"/>
    <w:rsid w:val="00471A77"/>
    <w:rsid w:val="0047298A"/>
    <w:rsid w:val="0047333C"/>
    <w:rsid w:val="00474F44"/>
    <w:rsid w:val="00476CC5"/>
    <w:rsid w:val="0048028E"/>
    <w:rsid w:val="0048094B"/>
    <w:rsid w:val="00480BDB"/>
    <w:rsid w:val="00482574"/>
    <w:rsid w:val="00482C2D"/>
    <w:rsid w:val="00482F09"/>
    <w:rsid w:val="004844FF"/>
    <w:rsid w:val="00487360"/>
    <w:rsid w:val="00487C06"/>
    <w:rsid w:val="004900CE"/>
    <w:rsid w:val="00491D19"/>
    <w:rsid w:val="00491D30"/>
    <w:rsid w:val="0049223B"/>
    <w:rsid w:val="00495169"/>
    <w:rsid w:val="00495CED"/>
    <w:rsid w:val="0049613F"/>
    <w:rsid w:val="00496698"/>
    <w:rsid w:val="00497356"/>
    <w:rsid w:val="00497D2C"/>
    <w:rsid w:val="004A0C52"/>
    <w:rsid w:val="004A14FD"/>
    <w:rsid w:val="004A2CA0"/>
    <w:rsid w:val="004A2DFC"/>
    <w:rsid w:val="004A6A79"/>
    <w:rsid w:val="004B0D79"/>
    <w:rsid w:val="004B1883"/>
    <w:rsid w:val="004B358A"/>
    <w:rsid w:val="004B42B5"/>
    <w:rsid w:val="004B60C3"/>
    <w:rsid w:val="004B6870"/>
    <w:rsid w:val="004B6A44"/>
    <w:rsid w:val="004C01EF"/>
    <w:rsid w:val="004C1D4C"/>
    <w:rsid w:val="004C2BF5"/>
    <w:rsid w:val="004C2CCB"/>
    <w:rsid w:val="004C3390"/>
    <w:rsid w:val="004C4156"/>
    <w:rsid w:val="004C7593"/>
    <w:rsid w:val="004D27E2"/>
    <w:rsid w:val="004D2E8B"/>
    <w:rsid w:val="004D3726"/>
    <w:rsid w:val="004D3F6B"/>
    <w:rsid w:val="004D41C5"/>
    <w:rsid w:val="004D5BE5"/>
    <w:rsid w:val="004D61AB"/>
    <w:rsid w:val="004D73C0"/>
    <w:rsid w:val="004D7965"/>
    <w:rsid w:val="004D7AE2"/>
    <w:rsid w:val="004E01B7"/>
    <w:rsid w:val="004E1793"/>
    <w:rsid w:val="004E2A4D"/>
    <w:rsid w:val="004E2C19"/>
    <w:rsid w:val="004E51FE"/>
    <w:rsid w:val="004F0F8D"/>
    <w:rsid w:val="004F10C1"/>
    <w:rsid w:val="004F1D4B"/>
    <w:rsid w:val="004F2437"/>
    <w:rsid w:val="004F3538"/>
    <w:rsid w:val="004F3C64"/>
    <w:rsid w:val="004F4051"/>
    <w:rsid w:val="004F4316"/>
    <w:rsid w:val="004F479C"/>
    <w:rsid w:val="004F699C"/>
    <w:rsid w:val="004F6A86"/>
    <w:rsid w:val="00500C09"/>
    <w:rsid w:val="00500F07"/>
    <w:rsid w:val="00501E3D"/>
    <w:rsid w:val="00502BD0"/>
    <w:rsid w:val="00502CD8"/>
    <w:rsid w:val="00503603"/>
    <w:rsid w:val="00503D08"/>
    <w:rsid w:val="00506995"/>
    <w:rsid w:val="005103E8"/>
    <w:rsid w:val="00511447"/>
    <w:rsid w:val="00511D6A"/>
    <w:rsid w:val="0051264A"/>
    <w:rsid w:val="00513148"/>
    <w:rsid w:val="0051458C"/>
    <w:rsid w:val="00515067"/>
    <w:rsid w:val="00520AEB"/>
    <w:rsid w:val="00521A24"/>
    <w:rsid w:val="00522AD8"/>
    <w:rsid w:val="00523C99"/>
    <w:rsid w:val="00524847"/>
    <w:rsid w:val="00525D12"/>
    <w:rsid w:val="00527764"/>
    <w:rsid w:val="00530D04"/>
    <w:rsid w:val="00532C1D"/>
    <w:rsid w:val="005331A7"/>
    <w:rsid w:val="00533413"/>
    <w:rsid w:val="00534334"/>
    <w:rsid w:val="00535974"/>
    <w:rsid w:val="00536AAB"/>
    <w:rsid w:val="00537A04"/>
    <w:rsid w:val="00541EF1"/>
    <w:rsid w:val="005442AE"/>
    <w:rsid w:val="00545603"/>
    <w:rsid w:val="005462E8"/>
    <w:rsid w:val="005466AF"/>
    <w:rsid w:val="00550D1A"/>
    <w:rsid w:val="005511B3"/>
    <w:rsid w:val="005511C4"/>
    <w:rsid w:val="00552025"/>
    <w:rsid w:val="00552927"/>
    <w:rsid w:val="00555819"/>
    <w:rsid w:val="005617C9"/>
    <w:rsid w:val="00561AD8"/>
    <w:rsid w:val="005632F8"/>
    <w:rsid w:val="0056553D"/>
    <w:rsid w:val="00565BC2"/>
    <w:rsid w:val="00567A4C"/>
    <w:rsid w:val="00567C12"/>
    <w:rsid w:val="00570280"/>
    <w:rsid w:val="00570538"/>
    <w:rsid w:val="00571621"/>
    <w:rsid w:val="00572623"/>
    <w:rsid w:val="00573EA3"/>
    <w:rsid w:val="0057545E"/>
    <w:rsid w:val="00575E1D"/>
    <w:rsid w:val="00577114"/>
    <w:rsid w:val="00581191"/>
    <w:rsid w:val="0058270B"/>
    <w:rsid w:val="005832FA"/>
    <w:rsid w:val="00583857"/>
    <w:rsid w:val="0058390A"/>
    <w:rsid w:val="00583E4E"/>
    <w:rsid w:val="005848CF"/>
    <w:rsid w:val="00587276"/>
    <w:rsid w:val="0058735A"/>
    <w:rsid w:val="00587957"/>
    <w:rsid w:val="005900E6"/>
    <w:rsid w:val="00591F4D"/>
    <w:rsid w:val="00593AC2"/>
    <w:rsid w:val="00593E4B"/>
    <w:rsid w:val="00594905"/>
    <w:rsid w:val="00594C49"/>
    <w:rsid w:val="005955F9"/>
    <w:rsid w:val="00596FC0"/>
    <w:rsid w:val="00597762"/>
    <w:rsid w:val="005A074C"/>
    <w:rsid w:val="005A0E3A"/>
    <w:rsid w:val="005A0E7B"/>
    <w:rsid w:val="005A16BA"/>
    <w:rsid w:val="005A3B9E"/>
    <w:rsid w:val="005A58BD"/>
    <w:rsid w:val="005A6C48"/>
    <w:rsid w:val="005A789F"/>
    <w:rsid w:val="005B1B85"/>
    <w:rsid w:val="005B1C2D"/>
    <w:rsid w:val="005B2D63"/>
    <w:rsid w:val="005B3BDA"/>
    <w:rsid w:val="005B6669"/>
    <w:rsid w:val="005B6A27"/>
    <w:rsid w:val="005C0566"/>
    <w:rsid w:val="005C0B00"/>
    <w:rsid w:val="005C133F"/>
    <w:rsid w:val="005C1958"/>
    <w:rsid w:val="005C3521"/>
    <w:rsid w:val="005C385A"/>
    <w:rsid w:val="005C40D1"/>
    <w:rsid w:val="005C4967"/>
    <w:rsid w:val="005C5546"/>
    <w:rsid w:val="005C7176"/>
    <w:rsid w:val="005C71E1"/>
    <w:rsid w:val="005C75FD"/>
    <w:rsid w:val="005C7782"/>
    <w:rsid w:val="005C7BB3"/>
    <w:rsid w:val="005D18B6"/>
    <w:rsid w:val="005D2548"/>
    <w:rsid w:val="005D4D24"/>
    <w:rsid w:val="005D51F9"/>
    <w:rsid w:val="005E07E9"/>
    <w:rsid w:val="005E31A1"/>
    <w:rsid w:val="005E3667"/>
    <w:rsid w:val="005E4354"/>
    <w:rsid w:val="005E46C9"/>
    <w:rsid w:val="005E4A12"/>
    <w:rsid w:val="005E5716"/>
    <w:rsid w:val="005E5B59"/>
    <w:rsid w:val="005E5B74"/>
    <w:rsid w:val="005E64CC"/>
    <w:rsid w:val="005E6841"/>
    <w:rsid w:val="005E7B7E"/>
    <w:rsid w:val="005E7EA3"/>
    <w:rsid w:val="005F1205"/>
    <w:rsid w:val="005F15EC"/>
    <w:rsid w:val="005F218B"/>
    <w:rsid w:val="005F2FA0"/>
    <w:rsid w:val="005F4F27"/>
    <w:rsid w:val="005F5149"/>
    <w:rsid w:val="005F5B92"/>
    <w:rsid w:val="005F683E"/>
    <w:rsid w:val="005F777A"/>
    <w:rsid w:val="006035E9"/>
    <w:rsid w:val="00603C7C"/>
    <w:rsid w:val="00603CCC"/>
    <w:rsid w:val="00603D09"/>
    <w:rsid w:val="006047C3"/>
    <w:rsid w:val="00604CFF"/>
    <w:rsid w:val="006064E1"/>
    <w:rsid w:val="00607864"/>
    <w:rsid w:val="00607BCD"/>
    <w:rsid w:val="00612D0C"/>
    <w:rsid w:val="00613070"/>
    <w:rsid w:val="006145C0"/>
    <w:rsid w:val="00621D55"/>
    <w:rsid w:val="00622CCD"/>
    <w:rsid w:val="006235B1"/>
    <w:rsid w:val="006236F9"/>
    <w:rsid w:val="00625ACE"/>
    <w:rsid w:val="00626EED"/>
    <w:rsid w:val="0063047F"/>
    <w:rsid w:val="00631FBC"/>
    <w:rsid w:val="00632186"/>
    <w:rsid w:val="00633CAF"/>
    <w:rsid w:val="00635B99"/>
    <w:rsid w:val="0063758B"/>
    <w:rsid w:val="00641B16"/>
    <w:rsid w:val="0064254A"/>
    <w:rsid w:val="0064316A"/>
    <w:rsid w:val="00645FE1"/>
    <w:rsid w:val="0064725C"/>
    <w:rsid w:val="0064742E"/>
    <w:rsid w:val="006529FF"/>
    <w:rsid w:val="0065354E"/>
    <w:rsid w:val="0065414D"/>
    <w:rsid w:val="006543F9"/>
    <w:rsid w:val="00655B79"/>
    <w:rsid w:val="00656E4E"/>
    <w:rsid w:val="00656E89"/>
    <w:rsid w:val="0065794E"/>
    <w:rsid w:val="00662C88"/>
    <w:rsid w:val="00663D46"/>
    <w:rsid w:val="00665F90"/>
    <w:rsid w:val="006670F7"/>
    <w:rsid w:val="00670424"/>
    <w:rsid w:val="0067059D"/>
    <w:rsid w:val="006705FF"/>
    <w:rsid w:val="006708F1"/>
    <w:rsid w:val="00671552"/>
    <w:rsid w:val="006722ED"/>
    <w:rsid w:val="00673A05"/>
    <w:rsid w:val="00676915"/>
    <w:rsid w:val="006774F1"/>
    <w:rsid w:val="006806FF"/>
    <w:rsid w:val="00682A62"/>
    <w:rsid w:val="006865AE"/>
    <w:rsid w:val="00690086"/>
    <w:rsid w:val="0069141F"/>
    <w:rsid w:val="00691479"/>
    <w:rsid w:val="00692548"/>
    <w:rsid w:val="00692FCF"/>
    <w:rsid w:val="006932B0"/>
    <w:rsid w:val="0069402D"/>
    <w:rsid w:val="00696F4D"/>
    <w:rsid w:val="006A05D7"/>
    <w:rsid w:val="006A072F"/>
    <w:rsid w:val="006A2639"/>
    <w:rsid w:val="006A2690"/>
    <w:rsid w:val="006A373B"/>
    <w:rsid w:val="006A6495"/>
    <w:rsid w:val="006A7486"/>
    <w:rsid w:val="006A764C"/>
    <w:rsid w:val="006B4AB6"/>
    <w:rsid w:val="006B4BC4"/>
    <w:rsid w:val="006B4E53"/>
    <w:rsid w:val="006B586E"/>
    <w:rsid w:val="006B59A2"/>
    <w:rsid w:val="006B5A11"/>
    <w:rsid w:val="006B5BE6"/>
    <w:rsid w:val="006B70F8"/>
    <w:rsid w:val="006B7115"/>
    <w:rsid w:val="006C124A"/>
    <w:rsid w:val="006C1CDB"/>
    <w:rsid w:val="006C3BF2"/>
    <w:rsid w:val="006C4069"/>
    <w:rsid w:val="006C41A3"/>
    <w:rsid w:val="006C487C"/>
    <w:rsid w:val="006C5F19"/>
    <w:rsid w:val="006C760C"/>
    <w:rsid w:val="006C7C17"/>
    <w:rsid w:val="006D0F70"/>
    <w:rsid w:val="006D1BD7"/>
    <w:rsid w:val="006D3115"/>
    <w:rsid w:val="006D3FB3"/>
    <w:rsid w:val="006D5DF2"/>
    <w:rsid w:val="006E1E1E"/>
    <w:rsid w:val="006E29B6"/>
    <w:rsid w:val="006E3097"/>
    <w:rsid w:val="006E36D3"/>
    <w:rsid w:val="006E46DA"/>
    <w:rsid w:val="006E5B85"/>
    <w:rsid w:val="006E6473"/>
    <w:rsid w:val="006E6D0F"/>
    <w:rsid w:val="006E6FA0"/>
    <w:rsid w:val="006E72B4"/>
    <w:rsid w:val="006E782D"/>
    <w:rsid w:val="006E7B47"/>
    <w:rsid w:val="006F036C"/>
    <w:rsid w:val="006F0C16"/>
    <w:rsid w:val="006F20F0"/>
    <w:rsid w:val="006F2B07"/>
    <w:rsid w:val="006F320F"/>
    <w:rsid w:val="006F4606"/>
    <w:rsid w:val="006F4E67"/>
    <w:rsid w:val="006F6B63"/>
    <w:rsid w:val="006F716D"/>
    <w:rsid w:val="0070101F"/>
    <w:rsid w:val="00702267"/>
    <w:rsid w:val="00702D77"/>
    <w:rsid w:val="00702F0F"/>
    <w:rsid w:val="00704BAD"/>
    <w:rsid w:val="00704E40"/>
    <w:rsid w:val="00706D3D"/>
    <w:rsid w:val="00707D47"/>
    <w:rsid w:val="00710839"/>
    <w:rsid w:val="007108E5"/>
    <w:rsid w:val="0071181B"/>
    <w:rsid w:val="00711DF1"/>
    <w:rsid w:val="0071362B"/>
    <w:rsid w:val="00714609"/>
    <w:rsid w:val="007154FB"/>
    <w:rsid w:val="0071571B"/>
    <w:rsid w:val="00715883"/>
    <w:rsid w:val="00715C5D"/>
    <w:rsid w:val="00716131"/>
    <w:rsid w:val="00716BB8"/>
    <w:rsid w:val="00717CB9"/>
    <w:rsid w:val="00720745"/>
    <w:rsid w:val="00720E20"/>
    <w:rsid w:val="00720FD3"/>
    <w:rsid w:val="007243CE"/>
    <w:rsid w:val="0072443A"/>
    <w:rsid w:val="007248F5"/>
    <w:rsid w:val="0072495B"/>
    <w:rsid w:val="007252FF"/>
    <w:rsid w:val="00725AEA"/>
    <w:rsid w:val="0073429E"/>
    <w:rsid w:val="00736F8E"/>
    <w:rsid w:val="007370F8"/>
    <w:rsid w:val="007374FB"/>
    <w:rsid w:val="00741EA0"/>
    <w:rsid w:val="007432C1"/>
    <w:rsid w:val="007442D9"/>
    <w:rsid w:val="00744B94"/>
    <w:rsid w:val="00745137"/>
    <w:rsid w:val="00747104"/>
    <w:rsid w:val="0074795A"/>
    <w:rsid w:val="007515A3"/>
    <w:rsid w:val="00751FEB"/>
    <w:rsid w:val="00752D3F"/>
    <w:rsid w:val="0075382E"/>
    <w:rsid w:val="00755123"/>
    <w:rsid w:val="00755CD1"/>
    <w:rsid w:val="00755F2F"/>
    <w:rsid w:val="007571BF"/>
    <w:rsid w:val="007607C1"/>
    <w:rsid w:val="0076114C"/>
    <w:rsid w:val="00761984"/>
    <w:rsid w:val="00762871"/>
    <w:rsid w:val="00765461"/>
    <w:rsid w:val="007655CD"/>
    <w:rsid w:val="00765B2A"/>
    <w:rsid w:val="007665CA"/>
    <w:rsid w:val="007669AE"/>
    <w:rsid w:val="0076797D"/>
    <w:rsid w:val="00767C88"/>
    <w:rsid w:val="00770FE5"/>
    <w:rsid w:val="0077117F"/>
    <w:rsid w:val="00772CCE"/>
    <w:rsid w:val="00773084"/>
    <w:rsid w:val="0077344F"/>
    <w:rsid w:val="00774B5B"/>
    <w:rsid w:val="00777363"/>
    <w:rsid w:val="0077799B"/>
    <w:rsid w:val="00777F4F"/>
    <w:rsid w:val="007827E8"/>
    <w:rsid w:val="00782D5A"/>
    <w:rsid w:val="00782EAF"/>
    <w:rsid w:val="00783315"/>
    <w:rsid w:val="0078490B"/>
    <w:rsid w:val="00785164"/>
    <w:rsid w:val="007867DF"/>
    <w:rsid w:val="007876EF"/>
    <w:rsid w:val="00791134"/>
    <w:rsid w:val="00791F03"/>
    <w:rsid w:val="0079213B"/>
    <w:rsid w:val="00792BEE"/>
    <w:rsid w:val="00792CF4"/>
    <w:rsid w:val="007932E9"/>
    <w:rsid w:val="00793941"/>
    <w:rsid w:val="00794205"/>
    <w:rsid w:val="0079476F"/>
    <w:rsid w:val="00794A2E"/>
    <w:rsid w:val="007956C4"/>
    <w:rsid w:val="00796134"/>
    <w:rsid w:val="007969B2"/>
    <w:rsid w:val="00796C87"/>
    <w:rsid w:val="00797170"/>
    <w:rsid w:val="007A00B9"/>
    <w:rsid w:val="007A0F2F"/>
    <w:rsid w:val="007A2582"/>
    <w:rsid w:val="007A4C8E"/>
    <w:rsid w:val="007A5A37"/>
    <w:rsid w:val="007A64C5"/>
    <w:rsid w:val="007B168F"/>
    <w:rsid w:val="007B50E0"/>
    <w:rsid w:val="007B5AF4"/>
    <w:rsid w:val="007C1058"/>
    <w:rsid w:val="007D09B5"/>
    <w:rsid w:val="007D0A65"/>
    <w:rsid w:val="007D2BCC"/>
    <w:rsid w:val="007D3D82"/>
    <w:rsid w:val="007D45FD"/>
    <w:rsid w:val="007E36C7"/>
    <w:rsid w:val="007E3E3B"/>
    <w:rsid w:val="007E4B20"/>
    <w:rsid w:val="007E4DAD"/>
    <w:rsid w:val="007F1E19"/>
    <w:rsid w:val="007F36C6"/>
    <w:rsid w:val="007F485C"/>
    <w:rsid w:val="007F49D4"/>
    <w:rsid w:val="007F5697"/>
    <w:rsid w:val="007F5F07"/>
    <w:rsid w:val="007F601F"/>
    <w:rsid w:val="008000E7"/>
    <w:rsid w:val="00800E26"/>
    <w:rsid w:val="008022B4"/>
    <w:rsid w:val="00802C25"/>
    <w:rsid w:val="008033E2"/>
    <w:rsid w:val="00803B01"/>
    <w:rsid w:val="00805950"/>
    <w:rsid w:val="008068A1"/>
    <w:rsid w:val="00806B1E"/>
    <w:rsid w:val="00807E0B"/>
    <w:rsid w:val="0081001F"/>
    <w:rsid w:val="008101E4"/>
    <w:rsid w:val="0081077A"/>
    <w:rsid w:val="00813E66"/>
    <w:rsid w:val="008155DD"/>
    <w:rsid w:val="008207A2"/>
    <w:rsid w:val="00821DD6"/>
    <w:rsid w:val="00824DFD"/>
    <w:rsid w:val="00825DFE"/>
    <w:rsid w:val="00826BB3"/>
    <w:rsid w:val="00826F4A"/>
    <w:rsid w:val="00826F7E"/>
    <w:rsid w:val="00831FD2"/>
    <w:rsid w:val="00833FB4"/>
    <w:rsid w:val="008340B3"/>
    <w:rsid w:val="0083448D"/>
    <w:rsid w:val="00836ED3"/>
    <w:rsid w:val="00836EE1"/>
    <w:rsid w:val="00840559"/>
    <w:rsid w:val="00840DB2"/>
    <w:rsid w:val="0084121D"/>
    <w:rsid w:val="00841230"/>
    <w:rsid w:val="00841FDF"/>
    <w:rsid w:val="00842554"/>
    <w:rsid w:val="00842708"/>
    <w:rsid w:val="00844B7A"/>
    <w:rsid w:val="00847918"/>
    <w:rsid w:val="00847DA7"/>
    <w:rsid w:val="00847E15"/>
    <w:rsid w:val="008502DB"/>
    <w:rsid w:val="00850A9A"/>
    <w:rsid w:val="00850F1F"/>
    <w:rsid w:val="0085551B"/>
    <w:rsid w:val="00856032"/>
    <w:rsid w:val="00856DF0"/>
    <w:rsid w:val="0085722F"/>
    <w:rsid w:val="00857B81"/>
    <w:rsid w:val="00861F45"/>
    <w:rsid w:val="0086275A"/>
    <w:rsid w:val="00862BD5"/>
    <w:rsid w:val="00863019"/>
    <w:rsid w:val="00864BAB"/>
    <w:rsid w:val="00864C04"/>
    <w:rsid w:val="00864E62"/>
    <w:rsid w:val="008661F8"/>
    <w:rsid w:val="00867986"/>
    <w:rsid w:val="008711AC"/>
    <w:rsid w:val="00871619"/>
    <w:rsid w:val="00872146"/>
    <w:rsid w:val="00872D6B"/>
    <w:rsid w:val="00873405"/>
    <w:rsid w:val="008737FD"/>
    <w:rsid w:val="00874E77"/>
    <w:rsid w:val="008769EE"/>
    <w:rsid w:val="00877548"/>
    <w:rsid w:val="00877C64"/>
    <w:rsid w:val="0088003D"/>
    <w:rsid w:val="008801C4"/>
    <w:rsid w:val="00880FCE"/>
    <w:rsid w:val="00881DCE"/>
    <w:rsid w:val="00882B64"/>
    <w:rsid w:val="0088618F"/>
    <w:rsid w:val="00891C51"/>
    <w:rsid w:val="008926F9"/>
    <w:rsid w:val="0089579E"/>
    <w:rsid w:val="00897590"/>
    <w:rsid w:val="008977CD"/>
    <w:rsid w:val="008A0429"/>
    <w:rsid w:val="008A1878"/>
    <w:rsid w:val="008A276C"/>
    <w:rsid w:val="008A2DB0"/>
    <w:rsid w:val="008A3511"/>
    <w:rsid w:val="008A3577"/>
    <w:rsid w:val="008A45F7"/>
    <w:rsid w:val="008A4F74"/>
    <w:rsid w:val="008A5E3A"/>
    <w:rsid w:val="008A7B84"/>
    <w:rsid w:val="008A7D96"/>
    <w:rsid w:val="008B0876"/>
    <w:rsid w:val="008B1359"/>
    <w:rsid w:val="008B3127"/>
    <w:rsid w:val="008B3507"/>
    <w:rsid w:val="008B5F66"/>
    <w:rsid w:val="008B7539"/>
    <w:rsid w:val="008C12A9"/>
    <w:rsid w:val="008C1625"/>
    <w:rsid w:val="008C3268"/>
    <w:rsid w:val="008C551A"/>
    <w:rsid w:val="008C59C3"/>
    <w:rsid w:val="008C6BF5"/>
    <w:rsid w:val="008D082E"/>
    <w:rsid w:val="008D1CAD"/>
    <w:rsid w:val="008D20EC"/>
    <w:rsid w:val="008D2A24"/>
    <w:rsid w:val="008D2AC6"/>
    <w:rsid w:val="008D330E"/>
    <w:rsid w:val="008D338D"/>
    <w:rsid w:val="008D3734"/>
    <w:rsid w:val="008D551E"/>
    <w:rsid w:val="008D5E8C"/>
    <w:rsid w:val="008D6D50"/>
    <w:rsid w:val="008D723F"/>
    <w:rsid w:val="008E0B50"/>
    <w:rsid w:val="008E0F17"/>
    <w:rsid w:val="008E359A"/>
    <w:rsid w:val="008E4454"/>
    <w:rsid w:val="008E449F"/>
    <w:rsid w:val="008E584E"/>
    <w:rsid w:val="008E62E9"/>
    <w:rsid w:val="008E6B5F"/>
    <w:rsid w:val="008E70AF"/>
    <w:rsid w:val="008F07EC"/>
    <w:rsid w:val="008F0ED4"/>
    <w:rsid w:val="008F10FA"/>
    <w:rsid w:val="008F18C1"/>
    <w:rsid w:val="008F210B"/>
    <w:rsid w:val="008F33C6"/>
    <w:rsid w:val="008F3A4F"/>
    <w:rsid w:val="008F643D"/>
    <w:rsid w:val="008F703C"/>
    <w:rsid w:val="008F7191"/>
    <w:rsid w:val="0090135B"/>
    <w:rsid w:val="00902062"/>
    <w:rsid w:val="00902E41"/>
    <w:rsid w:val="00903CB6"/>
    <w:rsid w:val="00904C00"/>
    <w:rsid w:val="00910316"/>
    <w:rsid w:val="00911E3B"/>
    <w:rsid w:val="00913404"/>
    <w:rsid w:val="009139B2"/>
    <w:rsid w:val="00920266"/>
    <w:rsid w:val="00924528"/>
    <w:rsid w:val="009247F2"/>
    <w:rsid w:val="009325ED"/>
    <w:rsid w:val="009347B3"/>
    <w:rsid w:val="00935CE5"/>
    <w:rsid w:val="009371D8"/>
    <w:rsid w:val="00941D3E"/>
    <w:rsid w:val="00941D68"/>
    <w:rsid w:val="00942BB3"/>
    <w:rsid w:val="0094332A"/>
    <w:rsid w:val="00950969"/>
    <w:rsid w:val="00950E9E"/>
    <w:rsid w:val="00951C5D"/>
    <w:rsid w:val="0095228D"/>
    <w:rsid w:val="00952B54"/>
    <w:rsid w:val="009548DF"/>
    <w:rsid w:val="00954E82"/>
    <w:rsid w:val="009577E7"/>
    <w:rsid w:val="0096226C"/>
    <w:rsid w:val="00962F0A"/>
    <w:rsid w:val="0096358E"/>
    <w:rsid w:val="00965FC5"/>
    <w:rsid w:val="009661A9"/>
    <w:rsid w:val="009665E9"/>
    <w:rsid w:val="00966708"/>
    <w:rsid w:val="00971566"/>
    <w:rsid w:val="00973448"/>
    <w:rsid w:val="0097568C"/>
    <w:rsid w:val="00975D92"/>
    <w:rsid w:val="0097611C"/>
    <w:rsid w:val="00976497"/>
    <w:rsid w:val="00977FD7"/>
    <w:rsid w:val="00981F94"/>
    <w:rsid w:val="00982AE0"/>
    <w:rsid w:val="00983946"/>
    <w:rsid w:val="00983DDD"/>
    <w:rsid w:val="00984AB9"/>
    <w:rsid w:val="00985CA3"/>
    <w:rsid w:val="00985E79"/>
    <w:rsid w:val="009863C5"/>
    <w:rsid w:val="0098700E"/>
    <w:rsid w:val="00990501"/>
    <w:rsid w:val="00992462"/>
    <w:rsid w:val="00995124"/>
    <w:rsid w:val="00995902"/>
    <w:rsid w:val="009A0655"/>
    <w:rsid w:val="009A173B"/>
    <w:rsid w:val="009A1DC0"/>
    <w:rsid w:val="009A21E7"/>
    <w:rsid w:val="009A4863"/>
    <w:rsid w:val="009A6B6D"/>
    <w:rsid w:val="009A6EC5"/>
    <w:rsid w:val="009A7079"/>
    <w:rsid w:val="009B026B"/>
    <w:rsid w:val="009B1409"/>
    <w:rsid w:val="009B2F77"/>
    <w:rsid w:val="009B31D8"/>
    <w:rsid w:val="009B3DC6"/>
    <w:rsid w:val="009B4265"/>
    <w:rsid w:val="009B4993"/>
    <w:rsid w:val="009B4B2D"/>
    <w:rsid w:val="009B4D84"/>
    <w:rsid w:val="009B5706"/>
    <w:rsid w:val="009B592D"/>
    <w:rsid w:val="009B626F"/>
    <w:rsid w:val="009B6881"/>
    <w:rsid w:val="009B7678"/>
    <w:rsid w:val="009B79D8"/>
    <w:rsid w:val="009B7E47"/>
    <w:rsid w:val="009C0380"/>
    <w:rsid w:val="009C056C"/>
    <w:rsid w:val="009C1416"/>
    <w:rsid w:val="009C158D"/>
    <w:rsid w:val="009C2D3D"/>
    <w:rsid w:val="009C4190"/>
    <w:rsid w:val="009C4A37"/>
    <w:rsid w:val="009C5736"/>
    <w:rsid w:val="009C66B4"/>
    <w:rsid w:val="009C7267"/>
    <w:rsid w:val="009D01E0"/>
    <w:rsid w:val="009D0577"/>
    <w:rsid w:val="009D15C6"/>
    <w:rsid w:val="009D1916"/>
    <w:rsid w:val="009D24A5"/>
    <w:rsid w:val="009D3715"/>
    <w:rsid w:val="009D3B0C"/>
    <w:rsid w:val="009D4A7F"/>
    <w:rsid w:val="009D5332"/>
    <w:rsid w:val="009D730C"/>
    <w:rsid w:val="009D7FF2"/>
    <w:rsid w:val="009E0CDC"/>
    <w:rsid w:val="009E259B"/>
    <w:rsid w:val="009E280E"/>
    <w:rsid w:val="009E2CD4"/>
    <w:rsid w:val="009E3577"/>
    <w:rsid w:val="009E44F7"/>
    <w:rsid w:val="009F001A"/>
    <w:rsid w:val="009F1C01"/>
    <w:rsid w:val="009F1CFB"/>
    <w:rsid w:val="009F205D"/>
    <w:rsid w:val="009F21E4"/>
    <w:rsid w:val="009F36D3"/>
    <w:rsid w:val="009F5ABE"/>
    <w:rsid w:val="00A012DE"/>
    <w:rsid w:val="00A0415B"/>
    <w:rsid w:val="00A04F1E"/>
    <w:rsid w:val="00A06AF1"/>
    <w:rsid w:val="00A11DC5"/>
    <w:rsid w:val="00A13170"/>
    <w:rsid w:val="00A131E0"/>
    <w:rsid w:val="00A135BE"/>
    <w:rsid w:val="00A14BA6"/>
    <w:rsid w:val="00A14FBC"/>
    <w:rsid w:val="00A151DA"/>
    <w:rsid w:val="00A15EF1"/>
    <w:rsid w:val="00A15F8B"/>
    <w:rsid w:val="00A16FE6"/>
    <w:rsid w:val="00A22459"/>
    <w:rsid w:val="00A24A02"/>
    <w:rsid w:val="00A27FE2"/>
    <w:rsid w:val="00A3024D"/>
    <w:rsid w:val="00A31865"/>
    <w:rsid w:val="00A32FEF"/>
    <w:rsid w:val="00A3489A"/>
    <w:rsid w:val="00A34C44"/>
    <w:rsid w:val="00A3566C"/>
    <w:rsid w:val="00A3572C"/>
    <w:rsid w:val="00A37671"/>
    <w:rsid w:val="00A37A18"/>
    <w:rsid w:val="00A40D08"/>
    <w:rsid w:val="00A428A2"/>
    <w:rsid w:val="00A47CCF"/>
    <w:rsid w:val="00A503AD"/>
    <w:rsid w:val="00A51398"/>
    <w:rsid w:val="00A52A03"/>
    <w:rsid w:val="00A52E19"/>
    <w:rsid w:val="00A53B6E"/>
    <w:rsid w:val="00A54439"/>
    <w:rsid w:val="00A550CD"/>
    <w:rsid w:val="00A56168"/>
    <w:rsid w:val="00A569FB"/>
    <w:rsid w:val="00A572FB"/>
    <w:rsid w:val="00A6196A"/>
    <w:rsid w:val="00A62564"/>
    <w:rsid w:val="00A62F98"/>
    <w:rsid w:val="00A63155"/>
    <w:rsid w:val="00A636C5"/>
    <w:rsid w:val="00A64BFC"/>
    <w:rsid w:val="00A65310"/>
    <w:rsid w:val="00A654AE"/>
    <w:rsid w:val="00A65539"/>
    <w:rsid w:val="00A67A75"/>
    <w:rsid w:val="00A7053C"/>
    <w:rsid w:val="00A72007"/>
    <w:rsid w:val="00A721A9"/>
    <w:rsid w:val="00A7232B"/>
    <w:rsid w:val="00A72ABF"/>
    <w:rsid w:val="00A748D6"/>
    <w:rsid w:val="00A75E47"/>
    <w:rsid w:val="00A76849"/>
    <w:rsid w:val="00A76895"/>
    <w:rsid w:val="00A76A98"/>
    <w:rsid w:val="00A8037B"/>
    <w:rsid w:val="00A80671"/>
    <w:rsid w:val="00A808C5"/>
    <w:rsid w:val="00A80F43"/>
    <w:rsid w:val="00A81DB4"/>
    <w:rsid w:val="00A829B6"/>
    <w:rsid w:val="00A84CF8"/>
    <w:rsid w:val="00A85B3D"/>
    <w:rsid w:val="00A86EF2"/>
    <w:rsid w:val="00A9198F"/>
    <w:rsid w:val="00A92620"/>
    <w:rsid w:val="00A926A6"/>
    <w:rsid w:val="00A92873"/>
    <w:rsid w:val="00A928E4"/>
    <w:rsid w:val="00A9379A"/>
    <w:rsid w:val="00A946C6"/>
    <w:rsid w:val="00A94B72"/>
    <w:rsid w:val="00A961F1"/>
    <w:rsid w:val="00A969D5"/>
    <w:rsid w:val="00AA1C08"/>
    <w:rsid w:val="00AA37BF"/>
    <w:rsid w:val="00AA4419"/>
    <w:rsid w:val="00AA4576"/>
    <w:rsid w:val="00AA4D0C"/>
    <w:rsid w:val="00AA5D1D"/>
    <w:rsid w:val="00AA6537"/>
    <w:rsid w:val="00AA680E"/>
    <w:rsid w:val="00AA786C"/>
    <w:rsid w:val="00AA7F29"/>
    <w:rsid w:val="00AB0422"/>
    <w:rsid w:val="00AB1F4D"/>
    <w:rsid w:val="00AB286D"/>
    <w:rsid w:val="00AB28B7"/>
    <w:rsid w:val="00AB3229"/>
    <w:rsid w:val="00AB3602"/>
    <w:rsid w:val="00AB5950"/>
    <w:rsid w:val="00AB61E6"/>
    <w:rsid w:val="00AC2655"/>
    <w:rsid w:val="00AC2BA6"/>
    <w:rsid w:val="00AC55D6"/>
    <w:rsid w:val="00AC6E96"/>
    <w:rsid w:val="00AC7367"/>
    <w:rsid w:val="00AC779C"/>
    <w:rsid w:val="00AD01EA"/>
    <w:rsid w:val="00AD0627"/>
    <w:rsid w:val="00AD0946"/>
    <w:rsid w:val="00AD1111"/>
    <w:rsid w:val="00AD173C"/>
    <w:rsid w:val="00AD1BA0"/>
    <w:rsid w:val="00AD2670"/>
    <w:rsid w:val="00AD494C"/>
    <w:rsid w:val="00AD4FEC"/>
    <w:rsid w:val="00AD51C8"/>
    <w:rsid w:val="00AD560F"/>
    <w:rsid w:val="00AD593D"/>
    <w:rsid w:val="00AD6248"/>
    <w:rsid w:val="00AD74B9"/>
    <w:rsid w:val="00AE0D73"/>
    <w:rsid w:val="00AE3CAA"/>
    <w:rsid w:val="00AE40B4"/>
    <w:rsid w:val="00AE50ED"/>
    <w:rsid w:val="00AE5973"/>
    <w:rsid w:val="00AE7E7B"/>
    <w:rsid w:val="00AF3E28"/>
    <w:rsid w:val="00AF53A1"/>
    <w:rsid w:val="00AF5641"/>
    <w:rsid w:val="00AF5863"/>
    <w:rsid w:val="00AF7EA7"/>
    <w:rsid w:val="00B02DCA"/>
    <w:rsid w:val="00B03304"/>
    <w:rsid w:val="00B03B5C"/>
    <w:rsid w:val="00B05121"/>
    <w:rsid w:val="00B05E01"/>
    <w:rsid w:val="00B05EAB"/>
    <w:rsid w:val="00B06542"/>
    <w:rsid w:val="00B074FF"/>
    <w:rsid w:val="00B10EE9"/>
    <w:rsid w:val="00B115C6"/>
    <w:rsid w:val="00B12651"/>
    <w:rsid w:val="00B12B33"/>
    <w:rsid w:val="00B12BDB"/>
    <w:rsid w:val="00B15287"/>
    <w:rsid w:val="00B157EE"/>
    <w:rsid w:val="00B17234"/>
    <w:rsid w:val="00B2018D"/>
    <w:rsid w:val="00B2044E"/>
    <w:rsid w:val="00B23CDE"/>
    <w:rsid w:val="00B26216"/>
    <w:rsid w:val="00B26509"/>
    <w:rsid w:val="00B26982"/>
    <w:rsid w:val="00B27F45"/>
    <w:rsid w:val="00B31DA1"/>
    <w:rsid w:val="00B32198"/>
    <w:rsid w:val="00B323BE"/>
    <w:rsid w:val="00B325E4"/>
    <w:rsid w:val="00B34572"/>
    <w:rsid w:val="00B35632"/>
    <w:rsid w:val="00B36B23"/>
    <w:rsid w:val="00B37D4B"/>
    <w:rsid w:val="00B37D91"/>
    <w:rsid w:val="00B40253"/>
    <w:rsid w:val="00B40FDB"/>
    <w:rsid w:val="00B4258C"/>
    <w:rsid w:val="00B430AB"/>
    <w:rsid w:val="00B43923"/>
    <w:rsid w:val="00B45273"/>
    <w:rsid w:val="00B4554F"/>
    <w:rsid w:val="00B50CE4"/>
    <w:rsid w:val="00B51377"/>
    <w:rsid w:val="00B51953"/>
    <w:rsid w:val="00B52641"/>
    <w:rsid w:val="00B535AB"/>
    <w:rsid w:val="00B53E24"/>
    <w:rsid w:val="00B5605C"/>
    <w:rsid w:val="00B566A8"/>
    <w:rsid w:val="00B60FA3"/>
    <w:rsid w:val="00B61890"/>
    <w:rsid w:val="00B631B3"/>
    <w:rsid w:val="00B65FD4"/>
    <w:rsid w:val="00B70BAF"/>
    <w:rsid w:val="00B70EB5"/>
    <w:rsid w:val="00B70FF6"/>
    <w:rsid w:val="00B72962"/>
    <w:rsid w:val="00B72B03"/>
    <w:rsid w:val="00B72EBD"/>
    <w:rsid w:val="00B7489A"/>
    <w:rsid w:val="00B750D5"/>
    <w:rsid w:val="00B7562C"/>
    <w:rsid w:val="00B75EDF"/>
    <w:rsid w:val="00B76189"/>
    <w:rsid w:val="00B76F7A"/>
    <w:rsid w:val="00B82AB7"/>
    <w:rsid w:val="00B85C77"/>
    <w:rsid w:val="00B8610B"/>
    <w:rsid w:val="00B86230"/>
    <w:rsid w:val="00B86948"/>
    <w:rsid w:val="00B875D4"/>
    <w:rsid w:val="00B87974"/>
    <w:rsid w:val="00B90DEE"/>
    <w:rsid w:val="00B90F7B"/>
    <w:rsid w:val="00B926E8"/>
    <w:rsid w:val="00B93809"/>
    <w:rsid w:val="00B9410B"/>
    <w:rsid w:val="00B94457"/>
    <w:rsid w:val="00B945CC"/>
    <w:rsid w:val="00B94FDD"/>
    <w:rsid w:val="00B95089"/>
    <w:rsid w:val="00B974D0"/>
    <w:rsid w:val="00BA0D9A"/>
    <w:rsid w:val="00BA1A2F"/>
    <w:rsid w:val="00BA2C30"/>
    <w:rsid w:val="00BA39AD"/>
    <w:rsid w:val="00BA45D0"/>
    <w:rsid w:val="00BA58D6"/>
    <w:rsid w:val="00BB0CA7"/>
    <w:rsid w:val="00BB1D7B"/>
    <w:rsid w:val="00BB30B2"/>
    <w:rsid w:val="00BB4ACC"/>
    <w:rsid w:val="00BB5BCC"/>
    <w:rsid w:val="00BB7905"/>
    <w:rsid w:val="00BC145F"/>
    <w:rsid w:val="00BC27A4"/>
    <w:rsid w:val="00BC3E87"/>
    <w:rsid w:val="00BC46B1"/>
    <w:rsid w:val="00BC7111"/>
    <w:rsid w:val="00BC7F4B"/>
    <w:rsid w:val="00BD0297"/>
    <w:rsid w:val="00BD045A"/>
    <w:rsid w:val="00BD1452"/>
    <w:rsid w:val="00BD1BC4"/>
    <w:rsid w:val="00BD22A6"/>
    <w:rsid w:val="00BD2DEB"/>
    <w:rsid w:val="00BD561F"/>
    <w:rsid w:val="00BD7019"/>
    <w:rsid w:val="00BE0F97"/>
    <w:rsid w:val="00BE26E2"/>
    <w:rsid w:val="00BE28F7"/>
    <w:rsid w:val="00BE2A90"/>
    <w:rsid w:val="00BE3006"/>
    <w:rsid w:val="00BE36CF"/>
    <w:rsid w:val="00BE3D7F"/>
    <w:rsid w:val="00BE41D9"/>
    <w:rsid w:val="00BE49E3"/>
    <w:rsid w:val="00BE5E2B"/>
    <w:rsid w:val="00BE600D"/>
    <w:rsid w:val="00BE63F3"/>
    <w:rsid w:val="00BE6885"/>
    <w:rsid w:val="00BE6F46"/>
    <w:rsid w:val="00BF11EE"/>
    <w:rsid w:val="00BF18D6"/>
    <w:rsid w:val="00BF1E50"/>
    <w:rsid w:val="00BF5673"/>
    <w:rsid w:val="00C006F6"/>
    <w:rsid w:val="00C01942"/>
    <w:rsid w:val="00C038B5"/>
    <w:rsid w:val="00C0408E"/>
    <w:rsid w:val="00C045FB"/>
    <w:rsid w:val="00C04ABA"/>
    <w:rsid w:val="00C05E0E"/>
    <w:rsid w:val="00C07BEC"/>
    <w:rsid w:val="00C07C1E"/>
    <w:rsid w:val="00C136B2"/>
    <w:rsid w:val="00C15579"/>
    <w:rsid w:val="00C16080"/>
    <w:rsid w:val="00C1651C"/>
    <w:rsid w:val="00C16B32"/>
    <w:rsid w:val="00C16D5F"/>
    <w:rsid w:val="00C202F3"/>
    <w:rsid w:val="00C207B3"/>
    <w:rsid w:val="00C21FAC"/>
    <w:rsid w:val="00C22AB6"/>
    <w:rsid w:val="00C236BB"/>
    <w:rsid w:val="00C24A30"/>
    <w:rsid w:val="00C25156"/>
    <w:rsid w:val="00C254F9"/>
    <w:rsid w:val="00C2650C"/>
    <w:rsid w:val="00C271CF"/>
    <w:rsid w:val="00C27473"/>
    <w:rsid w:val="00C276E0"/>
    <w:rsid w:val="00C322BC"/>
    <w:rsid w:val="00C323A1"/>
    <w:rsid w:val="00C32934"/>
    <w:rsid w:val="00C32E1A"/>
    <w:rsid w:val="00C33159"/>
    <w:rsid w:val="00C33E80"/>
    <w:rsid w:val="00C34019"/>
    <w:rsid w:val="00C3443D"/>
    <w:rsid w:val="00C35566"/>
    <w:rsid w:val="00C3621E"/>
    <w:rsid w:val="00C40279"/>
    <w:rsid w:val="00C41935"/>
    <w:rsid w:val="00C42A26"/>
    <w:rsid w:val="00C44548"/>
    <w:rsid w:val="00C45053"/>
    <w:rsid w:val="00C4526C"/>
    <w:rsid w:val="00C46A08"/>
    <w:rsid w:val="00C47F68"/>
    <w:rsid w:val="00C50C25"/>
    <w:rsid w:val="00C52A5E"/>
    <w:rsid w:val="00C52AC8"/>
    <w:rsid w:val="00C539EB"/>
    <w:rsid w:val="00C541A0"/>
    <w:rsid w:val="00C54806"/>
    <w:rsid w:val="00C57EE9"/>
    <w:rsid w:val="00C65632"/>
    <w:rsid w:val="00C65A69"/>
    <w:rsid w:val="00C661D5"/>
    <w:rsid w:val="00C66B2C"/>
    <w:rsid w:val="00C67799"/>
    <w:rsid w:val="00C7047C"/>
    <w:rsid w:val="00C71B91"/>
    <w:rsid w:val="00C72A83"/>
    <w:rsid w:val="00C7454A"/>
    <w:rsid w:val="00C750AF"/>
    <w:rsid w:val="00C751B8"/>
    <w:rsid w:val="00C7692A"/>
    <w:rsid w:val="00C77046"/>
    <w:rsid w:val="00C7777C"/>
    <w:rsid w:val="00C80590"/>
    <w:rsid w:val="00C80D34"/>
    <w:rsid w:val="00C844F4"/>
    <w:rsid w:val="00C84A4F"/>
    <w:rsid w:val="00C87843"/>
    <w:rsid w:val="00C9312A"/>
    <w:rsid w:val="00C933C8"/>
    <w:rsid w:val="00C936F6"/>
    <w:rsid w:val="00C93832"/>
    <w:rsid w:val="00C948F9"/>
    <w:rsid w:val="00C94BF1"/>
    <w:rsid w:val="00C95F33"/>
    <w:rsid w:val="00C95FFA"/>
    <w:rsid w:val="00C96095"/>
    <w:rsid w:val="00C967B0"/>
    <w:rsid w:val="00C969E4"/>
    <w:rsid w:val="00C96C1E"/>
    <w:rsid w:val="00C97544"/>
    <w:rsid w:val="00C97797"/>
    <w:rsid w:val="00CA0DFE"/>
    <w:rsid w:val="00CA37C3"/>
    <w:rsid w:val="00CA3A9B"/>
    <w:rsid w:val="00CA4547"/>
    <w:rsid w:val="00CA4EEC"/>
    <w:rsid w:val="00CA619E"/>
    <w:rsid w:val="00CB0409"/>
    <w:rsid w:val="00CB0FE7"/>
    <w:rsid w:val="00CB6143"/>
    <w:rsid w:val="00CB7F8F"/>
    <w:rsid w:val="00CC2985"/>
    <w:rsid w:val="00CC4556"/>
    <w:rsid w:val="00CC46C6"/>
    <w:rsid w:val="00CC5656"/>
    <w:rsid w:val="00CC6D23"/>
    <w:rsid w:val="00CD07F1"/>
    <w:rsid w:val="00CD12C4"/>
    <w:rsid w:val="00CD1301"/>
    <w:rsid w:val="00CD4556"/>
    <w:rsid w:val="00CD50FD"/>
    <w:rsid w:val="00CD5770"/>
    <w:rsid w:val="00CD66DF"/>
    <w:rsid w:val="00CD68A9"/>
    <w:rsid w:val="00CE1B07"/>
    <w:rsid w:val="00CE5C73"/>
    <w:rsid w:val="00CE6E22"/>
    <w:rsid w:val="00CE7442"/>
    <w:rsid w:val="00CF0B76"/>
    <w:rsid w:val="00CF1403"/>
    <w:rsid w:val="00CF3459"/>
    <w:rsid w:val="00CF4822"/>
    <w:rsid w:val="00CF55F4"/>
    <w:rsid w:val="00CF6439"/>
    <w:rsid w:val="00CF7758"/>
    <w:rsid w:val="00D0102E"/>
    <w:rsid w:val="00D027A0"/>
    <w:rsid w:val="00D03543"/>
    <w:rsid w:val="00D05D4E"/>
    <w:rsid w:val="00D067C3"/>
    <w:rsid w:val="00D06E00"/>
    <w:rsid w:val="00D072B6"/>
    <w:rsid w:val="00D10503"/>
    <w:rsid w:val="00D112F5"/>
    <w:rsid w:val="00D1165A"/>
    <w:rsid w:val="00D12237"/>
    <w:rsid w:val="00D12CD5"/>
    <w:rsid w:val="00D13114"/>
    <w:rsid w:val="00D15D64"/>
    <w:rsid w:val="00D211E6"/>
    <w:rsid w:val="00D24093"/>
    <w:rsid w:val="00D24B94"/>
    <w:rsid w:val="00D26F0F"/>
    <w:rsid w:val="00D26F6B"/>
    <w:rsid w:val="00D32CA9"/>
    <w:rsid w:val="00D33D6C"/>
    <w:rsid w:val="00D4014A"/>
    <w:rsid w:val="00D4185A"/>
    <w:rsid w:val="00D4186A"/>
    <w:rsid w:val="00D41BB8"/>
    <w:rsid w:val="00D42319"/>
    <w:rsid w:val="00D4233C"/>
    <w:rsid w:val="00D42A52"/>
    <w:rsid w:val="00D4514A"/>
    <w:rsid w:val="00D468C9"/>
    <w:rsid w:val="00D46BDB"/>
    <w:rsid w:val="00D46D74"/>
    <w:rsid w:val="00D4725A"/>
    <w:rsid w:val="00D50358"/>
    <w:rsid w:val="00D50C40"/>
    <w:rsid w:val="00D50E29"/>
    <w:rsid w:val="00D541C3"/>
    <w:rsid w:val="00D54732"/>
    <w:rsid w:val="00D56A5A"/>
    <w:rsid w:val="00D57521"/>
    <w:rsid w:val="00D612FB"/>
    <w:rsid w:val="00D63FE5"/>
    <w:rsid w:val="00D65D5B"/>
    <w:rsid w:val="00D708A0"/>
    <w:rsid w:val="00D70E8C"/>
    <w:rsid w:val="00D7230D"/>
    <w:rsid w:val="00D72D18"/>
    <w:rsid w:val="00D74068"/>
    <w:rsid w:val="00D7551B"/>
    <w:rsid w:val="00D7597C"/>
    <w:rsid w:val="00D75BF0"/>
    <w:rsid w:val="00D77223"/>
    <w:rsid w:val="00D8340C"/>
    <w:rsid w:val="00D871EF"/>
    <w:rsid w:val="00D87CCB"/>
    <w:rsid w:val="00D87F26"/>
    <w:rsid w:val="00D90937"/>
    <w:rsid w:val="00D92168"/>
    <w:rsid w:val="00D93486"/>
    <w:rsid w:val="00D956CC"/>
    <w:rsid w:val="00D97EB2"/>
    <w:rsid w:val="00DA0A01"/>
    <w:rsid w:val="00DA0EF7"/>
    <w:rsid w:val="00DA1783"/>
    <w:rsid w:val="00DA2674"/>
    <w:rsid w:val="00DA47F7"/>
    <w:rsid w:val="00DA5C29"/>
    <w:rsid w:val="00DB0F73"/>
    <w:rsid w:val="00DB11DC"/>
    <w:rsid w:val="00DB2023"/>
    <w:rsid w:val="00DB4812"/>
    <w:rsid w:val="00DB5F56"/>
    <w:rsid w:val="00DB7AAB"/>
    <w:rsid w:val="00DC03A2"/>
    <w:rsid w:val="00DC04A6"/>
    <w:rsid w:val="00DC194D"/>
    <w:rsid w:val="00DC1B7C"/>
    <w:rsid w:val="00DC3354"/>
    <w:rsid w:val="00DC38EB"/>
    <w:rsid w:val="00DC42E1"/>
    <w:rsid w:val="00DC4558"/>
    <w:rsid w:val="00DD025A"/>
    <w:rsid w:val="00DD035C"/>
    <w:rsid w:val="00DD0CBC"/>
    <w:rsid w:val="00DD104C"/>
    <w:rsid w:val="00DD1479"/>
    <w:rsid w:val="00DD19C4"/>
    <w:rsid w:val="00DD1DC0"/>
    <w:rsid w:val="00DD305B"/>
    <w:rsid w:val="00DD44F7"/>
    <w:rsid w:val="00DD4F26"/>
    <w:rsid w:val="00DD688B"/>
    <w:rsid w:val="00DD692D"/>
    <w:rsid w:val="00DD7503"/>
    <w:rsid w:val="00DE0999"/>
    <w:rsid w:val="00DE0DF4"/>
    <w:rsid w:val="00DE1BB8"/>
    <w:rsid w:val="00DE2201"/>
    <w:rsid w:val="00DE60FD"/>
    <w:rsid w:val="00DE6735"/>
    <w:rsid w:val="00DE7A44"/>
    <w:rsid w:val="00DF2ED8"/>
    <w:rsid w:val="00DF37AB"/>
    <w:rsid w:val="00DF66F4"/>
    <w:rsid w:val="00E0075C"/>
    <w:rsid w:val="00E025EE"/>
    <w:rsid w:val="00E0286F"/>
    <w:rsid w:val="00E0417C"/>
    <w:rsid w:val="00E05019"/>
    <w:rsid w:val="00E056D2"/>
    <w:rsid w:val="00E12B1F"/>
    <w:rsid w:val="00E16492"/>
    <w:rsid w:val="00E169F7"/>
    <w:rsid w:val="00E217B5"/>
    <w:rsid w:val="00E22E1E"/>
    <w:rsid w:val="00E23B52"/>
    <w:rsid w:val="00E27EB7"/>
    <w:rsid w:val="00E27EF7"/>
    <w:rsid w:val="00E30827"/>
    <w:rsid w:val="00E321F7"/>
    <w:rsid w:val="00E33665"/>
    <w:rsid w:val="00E34308"/>
    <w:rsid w:val="00E34991"/>
    <w:rsid w:val="00E349EC"/>
    <w:rsid w:val="00E34A96"/>
    <w:rsid w:val="00E364A8"/>
    <w:rsid w:val="00E4169E"/>
    <w:rsid w:val="00E41C4B"/>
    <w:rsid w:val="00E41EC7"/>
    <w:rsid w:val="00E428BB"/>
    <w:rsid w:val="00E443E5"/>
    <w:rsid w:val="00E4448B"/>
    <w:rsid w:val="00E46044"/>
    <w:rsid w:val="00E47695"/>
    <w:rsid w:val="00E50020"/>
    <w:rsid w:val="00E5341B"/>
    <w:rsid w:val="00E544DB"/>
    <w:rsid w:val="00E609E7"/>
    <w:rsid w:val="00E61FB9"/>
    <w:rsid w:val="00E62CB3"/>
    <w:rsid w:val="00E63424"/>
    <w:rsid w:val="00E6351B"/>
    <w:rsid w:val="00E66435"/>
    <w:rsid w:val="00E716A5"/>
    <w:rsid w:val="00E73B4B"/>
    <w:rsid w:val="00E752AA"/>
    <w:rsid w:val="00E766FC"/>
    <w:rsid w:val="00E76A26"/>
    <w:rsid w:val="00E77257"/>
    <w:rsid w:val="00E77F44"/>
    <w:rsid w:val="00E8103D"/>
    <w:rsid w:val="00E813E2"/>
    <w:rsid w:val="00E829D3"/>
    <w:rsid w:val="00E839A7"/>
    <w:rsid w:val="00E83E03"/>
    <w:rsid w:val="00E84983"/>
    <w:rsid w:val="00E85101"/>
    <w:rsid w:val="00E866DB"/>
    <w:rsid w:val="00E87F70"/>
    <w:rsid w:val="00E91808"/>
    <w:rsid w:val="00E92575"/>
    <w:rsid w:val="00E92E13"/>
    <w:rsid w:val="00E92EF0"/>
    <w:rsid w:val="00E93831"/>
    <w:rsid w:val="00E95B6D"/>
    <w:rsid w:val="00EA0CC4"/>
    <w:rsid w:val="00EA1F4A"/>
    <w:rsid w:val="00EA3593"/>
    <w:rsid w:val="00EA3718"/>
    <w:rsid w:val="00EA3FB1"/>
    <w:rsid w:val="00EA41CB"/>
    <w:rsid w:val="00EA43F6"/>
    <w:rsid w:val="00EA4592"/>
    <w:rsid w:val="00EA5F9A"/>
    <w:rsid w:val="00EB4DF4"/>
    <w:rsid w:val="00EB53CC"/>
    <w:rsid w:val="00EB6438"/>
    <w:rsid w:val="00EC0441"/>
    <w:rsid w:val="00EC0D8B"/>
    <w:rsid w:val="00EC2F70"/>
    <w:rsid w:val="00EC4D24"/>
    <w:rsid w:val="00EC5F33"/>
    <w:rsid w:val="00ED0348"/>
    <w:rsid w:val="00ED1951"/>
    <w:rsid w:val="00ED26EA"/>
    <w:rsid w:val="00ED279D"/>
    <w:rsid w:val="00ED3FAB"/>
    <w:rsid w:val="00ED4024"/>
    <w:rsid w:val="00ED50FA"/>
    <w:rsid w:val="00ED679D"/>
    <w:rsid w:val="00ED7AAA"/>
    <w:rsid w:val="00EE029F"/>
    <w:rsid w:val="00EE0A29"/>
    <w:rsid w:val="00EE247F"/>
    <w:rsid w:val="00EE27B8"/>
    <w:rsid w:val="00EE3B39"/>
    <w:rsid w:val="00EE500A"/>
    <w:rsid w:val="00EE5DCB"/>
    <w:rsid w:val="00EE6875"/>
    <w:rsid w:val="00EF0353"/>
    <w:rsid w:val="00EF085D"/>
    <w:rsid w:val="00EF1199"/>
    <w:rsid w:val="00EF11CA"/>
    <w:rsid w:val="00EF22F3"/>
    <w:rsid w:val="00EF2AE6"/>
    <w:rsid w:val="00EF3259"/>
    <w:rsid w:val="00EF4DD5"/>
    <w:rsid w:val="00EF500F"/>
    <w:rsid w:val="00EF63CC"/>
    <w:rsid w:val="00EF77C2"/>
    <w:rsid w:val="00EF7940"/>
    <w:rsid w:val="00F033A4"/>
    <w:rsid w:val="00F04461"/>
    <w:rsid w:val="00F04589"/>
    <w:rsid w:val="00F04C80"/>
    <w:rsid w:val="00F0550B"/>
    <w:rsid w:val="00F05CA4"/>
    <w:rsid w:val="00F05F0A"/>
    <w:rsid w:val="00F0609A"/>
    <w:rsid w:val="00F06470"/>
    <w:rsid w:val="00F10C2E"/>
    <w:rsid w:val="00F11798"/>
    <w:rsid w:val="00F11FCD"/>
    <w:rsid w:val="00F12F95"/>
    <w:rsid w:val="00F15623"/>
    <w:rsid w:val="00F15871"/>
    <w:rsid w:val="00F160CC"/>
    <w:rsid w:val="00F164C7"/>
    <w:rsid w:val="00F2492F"/>
    <w:rsid w:val="00F24E6E"/>
    <w:rsid w:val="00F2576E"/>
    <w:rsid w:val="00F25E97"/>
    <w:rsid w:val="00F26D5A"/>
    <w:rsid w:val="00F26F40"/>
    <w:rsid w:val="00F31E3D"/>
    <w:rsid w:val="00F31E77"/>
    <w:rsid w:val="00F33D9E"/>
    <w:rsid w:val="00F3409D"/>
    <w:rsid w:val="00F34C0E"/>
    <w:rsid w:val="00F352AD"/>
    <w:rsid w:val="00F357A5"/>
    <w:rsid w:val="00F370D8"/>
    <w:rsid w:val="00F41CE9"/>
    <w:rsid w:val="00F44262"/>
    <w:rsid w:val="00F44DD4"/>
    <w:rsid w:val="00F47880"/>
    <w:rsid w:val="00F50053"/>
    <w:rsid w:val="00F511C8"/>
    <w:rsid w:val="00F54B11"/>
    <w:rsid w:val="00F57A7D"/>
    <w:rsid w:val="00F61A8B"/>
    <w:rsid w:val="00F676D5"/>
    <w:rsid w:val="00F67982"/>
    <w:rsid w:val="00F67A7C"/>
    <w:rsid w:val="00F67B86"/>
    <w:rsid w:val="00F70602"/>
    <w:rsid w:val="00F721D1"/>
    <w:rsid w:val="00F74C15"/>
    <w:rsid w:val="00F74E84"/>
    <w:rsid w:val="00F80E95"/>
    <w:rsid w:val="00F81085"/>
    <w:rsid w:val="00F8298B"/>
    <w:rsid w:val="00F84E54"/>
    <w:rsid w:val="00F85408"/>
    <w:rsid w:val="00F858E6"/>
    <w:rsid w:val="00F85B0A"/>
    <w:rsid w:val="00F85EFC"/>
    <w:rsid w:val="00F86EF8"/>
    <w:rsid w:val="00F87642"/>
    <w:rsid w:val="00F87DFB"/>
    <w:rsid w:val="00F92159"/>
    <w:rsid w:val="00F92409"/>
    <w:rsid w:val="00F94904"/>
    <w:rsid w:val="00F96015"/>
    <w:rsid w:val="00F969BB"/>
    <w:rsid w:val="00F9728E"/>
    <w:rsid w:val="00FA0D19"/>
    <w:rsid w:val="00FA1139"/>
    <w:rsid w:val="00FA18AE"/>
    <w:rsid w:val="00FA1C6C"/>
    <w:rsid w:val="00FA2BAE"/>
    <w:rsid w:val="00FA4AC0"/>
    <w:rsid w:val="00FA4B69"/>
    <w:rsid w:val="00FA599F"/>
    <w:rsid w:val="00FA5FF1"/>
    <w:rsid w:val="00FA6677"/>
    <w:rsid w:val="00FA7DED"/>
    <w:rsid w:val="00FA7E33"/>
    <w:rsid w:val="00FB092F"/>
    <w:rsid w:val="00FB1A73"/>
    <w:rsid w:val="00FB2E91"/>
    <w:rsid w:val="00FB3244"/>
    <w:rsid w:val="00FB4394"/>
    <w:rsid w:val="00FB44E0"/>
    <w:rsid w:val="00FB53DF"/>
    <w:rsid w:val="00FB5B07"/>
    <w:rsid w:val="00FB5EA1"/>
    <w:rsid w:val="00FB62CC"/>
    <w:rsid w:val="00FB6DDB"/>
    <w:rsid w:val="00FB70E2"/>
    <w:rsid w:val="00FB731A"/>
    <w:rsid w:val="00FC0234"/>
    <w:rsid w:val="00FC296C"/>
    <w:rsid w:val="00FC2C60"/>
    <w:rsid w:val="00FC5DA3"/>
    <w:rsid w:val="00FC68FD"/>
    <w:rsid w:val="00FD077B"/>
    <w:rsid w:val="00FD16B7"/>
    <w:rsid w:val="00FD214F"/>
    <w:rsid w:val="00FD29BA"/>
    <w:rsid w:val="00FD364E"/>
    <w:rsid w:val="00FD3AF3"/>
    <w:rsid w:val="00FD4D6F"/>
    <w:rsid w:val="00FD6AE6"/>
    <w:rsid w:val="00FD6E4D"/>
    <w:rsid w:val="00FE0187"/>
    <w:rsid w:val="00FE07F1"/>
    <w:rsid w:val="00FE226F"/>
    <w:rsid w:val="00FE32BA"/>
    <w:rsid w:val="00FE43FA"/>
    <w:rsid w:val="00FE61D3"/>
    <w:rsid w:val="00FF0353"/>
    <w:rsid w:val="00FF04E7"/>
    <w:rsid w:val="00FF14B8"/>
    <w:rsid w:val="00FF1F22"/>
    <w:rsid w:val="00FF2693"/>
    <w:rsid w:val="00FF47C3"/>
    <w:rsid w:val="00FF5196"/>
    <w:rsid w:val="00FF6992"/>
    <w:rsid w:val="00FF7415"/>
    <w:rsid w:val="1BB7B8B5"/>
    <w:rsid w:val="1D0DCA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6F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F7"/>
  </w:style>
  <w:style w:type="paragraph" w:styleId="Heading1">
    <w:name w:val="heading 1"/>
    <w:basedOn w:val="ListParagraph"/>
    <w:next w:val="BodyText"/>
    <w:link w:val="Heading1Char"/>
    <w:qFormat/>
    <w:rsid w:val="00792CF4"/>
    <w:pPr>
      <w:numPr>
        <w:numId w:val="26"/>
      </w:numPr>
      <w:spacing w:after="120" w:line="480" w:lineRule="auto"/>
      <w:jc w:val="both"/>
      <w:outlineLvl w:val="0"/>
    </w:pPr>
    <w:rPr>
      <w:rFonts w:ascii="Arial" w:eastAsia="Arial" w:hAnsi="Arial" w:cs="Arial"/>
      <w:b/>
      <w:bCs/>
      <w:sz w:val="24"/>
      <w:szCs w:val="24"/>
    </w:rPr>
  </w:style>
  <w:style w:type="paragraph" w:styleId="Heading2">
    <w:name w:val="heading 2"/>
    <w:basedOn w:val="ListParagraph"/>
    <w:next w:val="BodyText"/>
    <w:link w:val="Heading2Char"/>
    <w:unhideWhenUsed/>
    <w:qFormat/>
    <w:rsid w:val="00AD74B9"/>
    <w:pPr>
      <w:numPr>
        <w:numId w:val="31"/>
      </w:numPr>
      <w:jc w:val="both"/>
      <w:outlineLvl w:val="1"/>
    </w:pPr>
    <w:rPr>
      <w:rFonts w:ascii="Arial" w:eastAsia="Times New Roman" w:hAnsi="Arial" w:cs="Arial"/>
      <w:b/>
      <w:bCs/>
      <w:sz w:val="24"/>
      <w:szCs w:val="24"/>
    </w:rPr>
  </w:style>
  <w:style w:type="paragraph" w:styleId="Heading4">
    <w:name w:val="heading 4"/>
    <w:basedOn w:val="Normal"/>
    <w:next w:val="BodyText"/>
    <w:link w:val="Heading4Char"/>
    <w:unhideWhenUsed/>
    <w:qFormat/>
    <w:rsid w:val="000D7232"/>
    <w:pPr>
      <w:keepNext/>
      <w:numPr>
        <w:ilvl w:val="3"/>
        <w:numId w:val="5"/>
      </w:numPr>
      <w:spacing w:after="240" w:line="240" w:lineRule="auto"/>
      <w:outlineLvl w:val="3"/>
    </w:pPr>
    <w:rPr>
      <w:rFonts w:ascii="Times New Roman" w:eastAsiaTheme="majorEastAsia" w:hAnsi="Times New Roman" w:cs="Times New Roman"/>
      <w:b/>
      <w:bCs/>
      <w:i/>
      <w:iCs/>
      <w:sz w:val="24"/>
      <w:szCs w:val="24"/>
      <w:u w:val="single"/>
    </w:rPr>
  </w:style>
  <w:style w:type="paragraph" w:styleId="Heading6">
    <w:name w:val="heading 6"/>
    <w:basedOn w:val="Normal"/>
    <w:next w:val="BodyText"/>
    <w:link w:val="Heading6Char"/>
    <w:unhideWhenUsed/>
    <w:qFormat/>
    <w:rsid w:val="000D7232"/>
    <w:pPr>
      <w:numPr>
        <w:ilvl w:val="5"/>
        <w:numId w:val="5"/>
      </w:numPr>
      <w:spacing w:after="240" w:line="240" w:lineRule="auto"/>
      <w:outlineLvl w:val="5"/>
    </w:pPr>
    <w:rPr>
      <w:rFonts w:ascii="Times New Roman" w:eastAsiaTheme="majorEastAsia" w:hAnsi="Times New Roman" w:cs="Times New Roman"/>
      <w:iCs/>
      <w:sz w:val="24"/>
      <w:szCs w:val="24"/>
    </w:rPr>
  </w:style>
  <w:style w:type="paragraph" w:styleId="Heading7">
    <w:name w:val="heading 7"/>
    <w:basedOn w:val="Normal"/>
    <w:next w:val="BodyText"/>
    <w:link w:val="Heading7Char"/>
    <w:unhideWhenUsed/>
    <w:qFormat/>
    <w:rsid w:val="000D7232"/>
    <w:pPr>
      <w:numPr>
        <w:ilvl w:val="6"/>
        <w:numId w:val="5"/>
      </w:numPr>
      <w:spacing w:after="240" w:line="240" w:lineRule="auto"/>
      <w:outlineLvl w:val="6"/>
    </w:pPr>
    <w:rPr>
      <w:rFonts w:ascii="Times New Roman" w:eastAsiaTheme="majorEastAsia" w:hAnsi="Times New Roman" w:cs="Times New Roman"/>
      <w:iCs/>
      <w:sz w:val="24"/>
      <w:szCs w:val="24"/>
    </w:rPr>
  </w:style>
  <w:style w:type="paragraph" w:styleId="Heading8">
    <w:name w:val="heading 8"/>
    <w:basedOn w:val="Normal"/>
    <w:next w:val="BodyText"/>
    <w:link w:val="Heading8Char"/>
    <w:unhideWhenUsed/>
    <w:qFormat/>
    <w:rsid w:val="000D7232"/>
    <w:pPr>
      <w:numPr>
        <w:ilvl w:val="7"/>
        <w:numId w:val="5"/>
      </w:numPr>
      <w:spacing w:after="240" w:line="240" w:lineRule="auto"/>
      <w:outlineLvl w:val="7"/>
    </w:pPr>
    <w:rPr>
      <w:rFonts w:ascii="Times New Roman" w:eastAsiaTheme="majorEastAsia" w:hAnsi="Times New Roman" w:cs="Times New Roman"/>
      <w:sz w:val="24"/>
      <w:szCs w:val="20"/>
    </w:rPr>
  </w:style>
  <w:style w:type="paragraph" w:styleId="Heading9">
    <w:name w:val="heading 9"/>
    <w:basedOn w:val="Normal"/>
    <w:next w:val="BodyText"/>
    <w:link w:val="Heading9Char"/>
    <w:unhideWhenUsed/>
    <w:qFormat/>
    <w:rsid w:val="000D7232"/>
    <w:pPr>
      <w:numPr>
        <w:ilvl w:val="8"/>
        <w:numId w:val="5"/>
      </w:numPr>
      <w:spacing w:after="240" w:line="240" w:lineRule="auto"/>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1F76"/>
    <w:pPr>
      <w:spacing w:after="0" w:line="240" w:lineRule="auto"/>
    </w:pPr>
    <w:rPr>
      <w:sz w:val="20"/>
      <w:szCs w:val="20"/>
    </w:rPr>
  </w:style>
  <w:style w:type="character" w:customStyle="1" w:styleId="FootnoteTextChar">
    <w:name w:val="Footnote Text Char"/>
    <w:basedOn w:val="DefaultParagraphFont"/>
    <w:link w:val="FootnoteText"/>
    <w:uiPriority w:val="99"/>
    <w:rsid w:val="003E1F76"/>
    <w:rPr>
      <w:sz w:val="20"/>
      <w:szCs w:val="20"/>
    </w:rPr>
  </w:style>
  <w:style w:type="character" w:styleId="FootnoteReference">
    <w:name w:val="footnote reference"/>
    <w:aliases w:val="o,(NECG) Footnote Reference,Style 12,Style 13,Style 15,Style 17,Style 18,Style 19,Style 20,Style 28,Style 42,Style 7,Style 8,Style 9,fr,fr1,fr2,fr3,o1,o2,o3"/>
    <w:basedOn w:val="DefaultParagraphFont"/>
    <w:uiPriority w:val="99"/>
    <w:unhideWhenUsed/>
    <w:rsid w:val="003E1F76"/>
    <w:rPr>
      <w:vertAlign w:val="superscript"/>
    </w:rPr>
  </w:style>
  <w:style w:type="paragraph" w:styleId="ListParagraph">
    <w:name w:val="List Paragraph"/>
    <w:basedOn w:val="Normal"/>
    <w:uiPriority w:val="34"/>
    <w:qFormat/>
    <w:rsid w:val="001D19B8"/>
    <w:pPr>
      <w:ind w:left="720"/>
      <w:contextualSpacing/>
    </w:pPr>
  </w:style>
  <w:style w:type="paragraph" w:styleId="BodyText">
    <w:name w:val="Body Text"/>
    <w:basedOn w:val="Normal"/>
    <w:link w:val="BodyTextChar"/>
    <w:uiPriority w:val="99"/>
    <w:unhideWhenUsed/>
    <w:rsid w:val="00755F2F"/>
    <w:pPr>
      <w:spacing w:after="120"/>
    </w:pPr>
  </w:style>
  <w:style w:type="character" w:customStyle="1" w:styleId="BodyTextChar">
    <w:name w:val="Body Text Char"/>
    <w:basedOn w:val="DefaultParagraphFont"/>
    <w:link w:val="BodyText"/>
    <w:uiPriority w:val="99"/>
    <w:rsid w:val="00755F2F"/>
  </w:style>
  <w:style w:type="character" w:customStyle="1" w:styleId="Heading1Char">
    <w:name w:val="Heading 1 Char"/>
    <w:basedOn w:val="DefaultParagraphFont"/>
    <w:link w:val="Heading1"/>
    <w:rsid w:val="00792CF4"/>
    <w:rPr>
      <w:rFonts w:ascii="Arial" w:eastAsia="Arial" w:hAnsi="Arial" w:cs="Arial"/>
      <w:b/>
      <w:bCs/>
      <w:sz w:val="24"/>
      <w:szCs w:val="24"/>
    </w:rPr>
  </w:style>
  <w:style w:type="character" w:customStyle="1" w:styleId="Heading2Char">
    <w:name w:val="Heading 2 Char"/>
    <w:basedOn w:val="DefaultParagraphFont"/>
    <w:link w:val="Heading2"/>
    <w:rsid w:val="00AD74B9"/>
    <w:rPr>
      <w:rFonts w:ascii="Arial" w:eastAsia="Times New Roman" w:hAnsi="Arial" w:cs="Arial"/>
      <w:b/>
      <w:bCs/>
      <w:sz w:val="24"/>
      <w:szCs w:val="24"/>
    </w:rPr>
  </w:style>
  <w:style w:type="character" w:customStyle="1" w:styleId="Heading4Char">
    <w:name w:val="Heading 4 Char"/>
    <w:basedOn w:val="DefaultParagraphFont"/>
    <w:link w:val="Heading4"/>
    <w:rsid w:val="000D7232"/>
    <w:rPr>
      <w:rFonts w:ascii="Times New Roman" w:eastAsiaTheme="majorEastAsia" w:hAnsi="Times New Roman" w:cs="Times New Roman"/>
      <w:b/>
      <w:bCs/>
      <w:i/>
      <w:iCs/>
      <w:sz w:val="24"/>
      <w:szCs w:val="24"/>
      <w:u w:val="single"/>
    </w:rPr>
  </w:style>
  <w:style w:type="character" w:customStyle="1" w:styleId="Heading6Char">
    <w:name w:val="Heading 6 Char"/>
    <w:basedOn w:val="DefaultParagraphFont"/>
    <w:link w:val="Heading6"/>
    <w:rsid w:val="000D7232"/>
    <w:rPr>
      <w:rFonts w:ascii="Times New Roman" w:eastAsiaTheme="majorEastAsia" w:hAnsi="Times New Roman" w:cs="Times New Roman"/>
      <w:iCs/>
      <w:sz w:val="24"/>
      <w:szCs w:val="24"/>
    </w:rPr>
  </w:style>
  <w:style w:type="character" w:customStyle="1" w:styleId="Heading7Char">
    <w:name w:val="Heading 7 Char"/>
    <w:basedOn w:val="DefaultParagraphFont"/>
    <w:link w:val="Heading7"/>
    <w:rsid w:val="000D7232"/>
    <w:rPr>
      <w:rFonts w:ascii="Times New Roman" w:eastAsiaTheme="majorEastAsia" w:hAnsi="Times New Roman" w:cs="Times New Roman"/>
      <w:iCs/>
      <w:sz w:val="24"/>
      <w:szCs w:val="24"/>
    </w:rPr>
  </w:style>
  <w:style w:type="character" w:customStyle="1" w:styleId="Heading8Char">
    <w:name w:val="Heading 8 Char"/>
    <w:basedOn w:val="DefaultParagraphFont"/>
    <w:link w:val="Heading8"/>
    <w:rsid w:val="000D7232"/>
    <w:rPr>
      <w:rFonts w:ascii="Times New Roman" w:eastAsiaTheme="majorEastAsia" w:hAnsi="Times New Roman" w:cs="Times New Roman"/>
      <w:sz w:val="24"/>
      <w:szCs w:val="20"/>
    </w:rPr>
  </w:style>
  <w:style w:type="character" w:customStyle="1" w:styleId="Heading9Char">
    <w:name w:val="Heading 9 Char"/>
    <w:basedOn w:val="DefaultParagraphFont"/>
    <w:link w:val="Heading9"/>
    <w:rsid w:val="000D7232"/>
    <w:rPr>
      <w:rFonts w:ascii="Times New Roman" w:eastAsiaTheme="majorEastAsia" w:hAnsi="Times New Roman" w:cs="Times New Roman"/>
      <w:iCs/>
      <w:sz w:val="24"/>
      <w:szCs w:val="20"/>
    </w:rPr>
  </w:style>
  <w:style w:type="paragraph" w:styleId="BalloonText">
    <w:name w:val="Balloon Text"/>
    <w:basedOn w:val="Normal"/>
    <w:link w:val="BalloonTextChar"/>
    <w:uiPriority w:val="99"/>
    <w:semiHidden/>
    <w:unhideWhenUsed/>
    <w:rsid w:val="00C7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AF"/>
    <w:rPr>
      <w:rFonts w:ascii="Segoe UI" w:hAnsi="Segoe UI" w:cs="Segoe UI"/>
      <w:sz w:val="18"/>
      <w:szCs w:val="18"/>
    </w:rPr>
  </w:style>
  <w:style w:type="paragraph" w:styleId="Header">
    <w:name w:val="header"/>
    <w:basedOn w:val="Normal"/>
    <w:link w:val="HeaderChar"/>
    <w:uiPriority w:val="99"/>
    <w:unhideWhenUsed/>
    <w:rsid w:val="00BA2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30"/>
  </w:style>
  <w:style w:type="paragraph" w:styleId="Footer">
    <w:name w:val="footer"/>
    <w:basedOn w:val="Normal"/>
    <w:link w:val="FooterChar"/>
    <w:uiPriority w:val="99"/>
    <w:unhideWhenUsed/>
    <w:rsid w:val="00BA2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30"/>
  </w:style>
  <w:style w:type="paragraph" w:customStyle="1" w:styleId="Level1">
    <w:name w:val="Level 1"/>
    <w:basedOn w:val="TOC1"/>
    <w:link w:val="Level1Char"/>
    <w:qFormat/>
    <w:rsid w:val="00262C8D"/>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262C8D"/>
    <w:rPr>
      <w:rFonts w:asciiTheme="majorHAnsi" w:eastAsia="Times New Roman" w:hAnsiTheme="majorHAnsi" w:cs="Times New Roman"/>
      <w:b/>
      <w:bCs/>
      <w:caps/>
      <w:sz w:val="20"/>
      <w:szCs w:val="20"/>
    </w:rPr>
  </w:style>
  <w:style w:type="paragraph" w:styleId="TOC1">
    <w:name w:val="toc 1"/>
    <w:basedOn w:val="Normal"/>
    <w:next w:val="Normal"/>
    <w:autoRedefine/>
    <w:uiPriority w:val="39"/>
    <w:unhideWhenUsed/>
    <w:rsid w:val="00AD74B9"/>
    <w:pPr>
      <w:spacing w:after="100"/>
    </w:pPr>
    <w:rPr>
      <w:rFonts w:ascii="Arial" w:hAnsi="Arial"/>
      <w:sz w:val="24"/>
    </w:rPr>
  </w:style>
  <w:style w:type="character" w:styleId="Hyperlink">
    <w:name w:val="Hyperlink"/>
    <w:basedOn w:val="DefaultParagraphFont"/>
    <w:uiPriority w:val="99"/>
    <w:rsid w:val="003A5642"/>
    <w:rPr>
      <w:color w:val="0000FF"/>
      <w:u w:val="single"/>
    </w:rPr>
  </w:style>
  <w:style w:type="table" w:styleId="TableGrid">
    <w:name w:val="Table Grid"/>
    <w:basedOn w:val="TableNormal"/>
    <w:uiPriority w:val="59"/>
    <w:rsid w:val="003B76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76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76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06995"/>
    <w:pPr>
      <w:tabs>
        <w:tab w:val="left" w:pos="880"/>
        <w:tab w:val="right" w:leader="dot" w:pos="9350"/>
      </w:tabs>
      <w:spacing w:after="100"/>
      <w:ind w:left="720" w:right="720"/>
      <w:jc w:val="both"/>
    </w:pPr>
    <w:rPr>
      <w:rFonts w:ascii="Arial" w:hAnsi="Arial"/>
      <w:sz w:val="24"/>
    </w:rPr>
  </w:style>
  <w:style w:type="character" w:styleId="CommentReference">
    <w:name w:val="annotation reference"/>
    <w:basedOn w:val="DefaultParagraphFont"/>
    <w:uiPriority w:val="99"/>
    <w:semiHidden/>
    <w:unhideWhenUsed/>
    <w:rsid w:val="00841FDF"/>
    <w:rPr>
      <w:sz w:val="16"/>
      <w:szCs w:val="16"/>
    </w:rPr>
  </w:style>
  <w:style w:type="paragraph" w:styleId="CommentText">
    <w:name w:val="annotation text"/>
    <w:basedOn w:val="Normal"/>
    <w:link w:val="CommentTextChar"/>
    <w:uiPriority w:val="99"/>
    <w:semiHidden/>
    <w:unhideWhenUsed/>
    <w:rsid w:val="00841FDF"/>
    <w:pPr>
      <w:spacing w:line="240" w:lineRule="auto"/>
    </w:pPr>
    <w:rPr>
      <w:sz w:val="20"/>
      <w:szCs w:val="20"/>
    </w:rPr>
  </w:style>
  <w:style w:type="character" w:customStyle="1" w:styleId="CommentTextChar">
    <w:name w:val="Comment Text Char"/>
    <w:basedOn w:val="DefaultParagraphFont"/>
    <w:link w:val="CommentText"/>
    <w:uiPriority w:val="99"/>
    <w:semiHidden/>
    <w:rsid w:val="00841FDF"/>
    <w:rPr>
      <w:sz w:val="20"/>
      <w:szCs w:val="20"/>
    </w:rPr>
  </w:style>
  <w:style w:type="paragraph" w:styleId="CommentSubject">
    <w:name w:val="annotation subject"/>
    <w:basedOn w:val="CommentText"/>
    <w:next w:val="CommentText"/>
    <w:link w:val="CommentSubjectChar"/>
    <w:uiPriority w:val="99"/>
    <w:semiHidden/>
    <w:unhideWhenUsed/>
    <w:rsid w:val="00841FDF"/>
    <w:rPr>
      <w:b/>
      <w:bCs/>
    </w:rPr>
  </w:style>
  <w:style w:type="character" w:customStyle="1" w:styleId="CommentSubjectChar">
    <w:name w:val="Comment Subject Char"/>
    <w:basedOn w:val="CommentTextChar"/>
    <w:link w:val="CommentSubject"/>
    <w:uiPriority w:val="99"/>
    <w:semiHidden/>
    <w:rsid w:val="00841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6321">
      <w:bodyDiv w:val="1"/>
      <w:marLeft w:val="0"/>
      <w:marRight w:val="0"/>
      <w:marTop w:val="0"/>
      <w:marBottom w:val="0"/>
      <w:divBdr>
        <w:top w:val="none" w:sz="0" w:space="0" w:color="auto"/>
        <w:left w:val="none" w:sz="0" w:space="0" w:color="auto"/>
        <w:bottom w:val="none" w:sz="0" w:space="0" w:color="auto"/>
        <w:right w:val="none" w:sz="0" w:space="0" w:color="auto"/>
      </w:divBdr>
    </w:div>
    <w:div w:id="765343312">
      <w:bodyDiv w:val="1"/>
      <w:marLeft w:val="0"/>
      <w:marRight w:val="0"/>
      <w:marTop w:val="0"/>
      <w:marBottom w:val="0"/>
      <w:divBdr>
        <w:top w:val="none" w:sz="0" w:space="0" w:color="auto"/>
        <w:left w:val="none" w:sz="0" w:space="0" w:color="auto"/>
        <w:bottom w:val="none" w:sz="0" w:space="0" w:color="auto"/>
        <w:right w:val="none" w:sz="0" w:space="0" w:color="auto"/>
      </w:divBdr>
    </w:div>
    <w:div w:id="796487661">
      <w:bodyDiv w:val="1"/>
      <w:marLeft w:val="0"/>
      <w:marRight w:val="0"/>
      <w:marTop w:val="0"/>
      <w:marBottom w:val="0"/>
      <w:divBdr>
        <w:top w:val="none" w:sz="0" w:space="0" w:color="auto"/>
        <w:left w:val="none" w:sz="0" w:space="0" w:color="auto"/>
        <w:bottom w:val="none" w:sz="0" w:space="0" w:color="auto"/>
        <w:right w:val="none" w:sz="0" w:space="0" w:color="auto"/>
      </w:divBdr>
    </w:div>
    <w:div w:id="904022981">
      <w:bodyDiv w:val="1"/>
      <w:marLeft w:val="0"/>
      <w:marRight w:val="0"/>
      <w:marTop w:val="0"/>
      <w:marBottom w:val="0"/>
      <w:divBdr>
        <w:top w:val="none" w:sz="0" w:space="0" w:color="auto"/>
        <w:left w:val="none" w:sz="0" w:space="0" w:color="auto"/>
        <w:bottom w:val="none" w:sz="0" w:space="0" w:color="auto"/>
        <w:right w:val="none" w:sz="0" w:space="0" w:color="auto"/>
      </w:divBdr>
    </w:div>
    <w:div w:id="911693768">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
    <w:div w:id="17992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liker@igsenerg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liker@igsenerg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reg.Price@puco.ohi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iker@igsenergy.com" TargetMode="External"/><Relationship Id="rId5" Type="http://schemas.openxmlformats.org/officeDocument/2006/relationships/numbering" Target="numbering.xml"/><Relationship Id="rId15" Type="http://schemas.openxmlformats.org/officeDocument/2006/relationships/hyperlink" Target="mailto:Patricia.Schabo@puco.ohi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ooney@ohio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0B49-0BCF-4C07-A1E2-5DB0872ED1A0}">
  <ds:schemaRefs>
    <ds:schemaRef ds:uri="http://schemas.microsoft.com/sharepoint/v3/contenttype/forms"/>
  </ds:schemaRefs>
</ds:datastoreItem>
</file>

<file path=customXml/itemProps2.xml><?xml version="1.0" encoding="utf-8"?>
<ds:datastoreItem xmlns:ds="http://schemas.openxmlformats.org/officeDocument/2006/customXml" ds:itemID="{6F6806DE-18A1-4999-8BFC-D959ABD22143}">
  <ds:schemaRefs>
    <ds:schemaRef ds:uri="7b65a839-91ea-4ae8-a3e7-aa2e1fd1ecb0"/>
    <ds:schemaRef ds:uri="http://schemas.microsoft.com/office/2006/documentManagement/types"/>
    <ds:schemaRef ds:uri="http://schemas.microsoft.com/office/infopath/2007/PartnerControls"/>
    <ds:schemaRef ds:uri="http://purl.org/dc/elements/1.1/"/>
    <ds:schemaRef ds:uri="http://schemas.microsoft.com/office/2006/metadata/properties"/>
    <ds:schemaRef ds:uri="55d5c4c6-b9eb-4cda-b39a-7fef7100373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484A4C-0CD0-48F0-955F-FACC82FDD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F1F15-4204-4242-8BA9-C28B846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2019-12-23T21:17:00Z</dcterms:created>
  <dcterms:modified xsi:type="dcterms:W3CDTF">2019-12-23T21:17:00Z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