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B3F2C" w:rsidP="00CB3F2C" w14:paraId="49FB8F7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bookmarkStart w:id="0" w:name="_Hlk96610834"/>
      <w:r>
        <w:rPr>
          <w:rFonts w:ascii="Times New Roman" w:hAnsi="Times New Roman"/>
          <w:b/>
          <w:bCs/>
          <w:sz w:val="24"/>
        </w:rPr>
        <w:t>BEFORE</w:t>
      </w:r>
    </w:p>
    <w:p w:rsidR="00CB3F2C" w:rsidP="00CB3F2C" w14:paraId="52BB6321"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CB3F2C" w:rsidP="00CB3F2C" w14:paraId="79D6CAD7" w14:textId="77777777">
      <w:pPr>
        <w:pStyle w:val="HTMLPreformatted"/>
        <w:rPr>
          <w:rFonts w:ascii="Times New Roman" w:hAnsi="Times New Roman"/>
          <w:sz w:val="12"/>
          <w:szCs w:val="12"/>
        </w:rPr>
      </w:pPr>
    </w:p>
    <w:tbl>
      <w:tblPr>
        <w:tblW w:w="8640" w:type="dxa"/>
        <w:tblInd w:w="0" w:type="dxa"/>
        <w:tblCellMar>
          <w:top w:w="0" w:type="dxa"/>
          <w:left w:w="108" w:type="dxa"/>
          <w:bottom w:w="0" w:type="dxa"/>
          <w:right w:w="108" w:type="dxa"/>
        </w:tblCellMar>
        <w:tblLook w:val="01E0"/>
      </w:tblPr>
      <w:tblGrid>
        <w:gridCol w:w="4230"/>
        <w:gridCol w:w="360"/>
        <w:gridCol w:w="4050"/>
      </w:tblGrid>
      <w:tr w14:paraId="03AD016B" w14:textId="77777777" w:rsidTr="00C557F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CB3F2C" w:rsidP="00C557F4" w14:paraId="4030A2DA" w14:textId="77777777">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In the Matter of the Application of Aqua Ohio, Inc. to Increase its Rates and</w:t>
            </w:r>
          </w:p>
          <w:p w:rsidR="00CB3F2C" w:rsidP="00C557F4" w14:paraId="24E44BB4" w14:textId="77777777">
            <w:pPr>
              <w:autoSpaceDE w:val="0"/>
              <w:autoSpaceDN w:val="0"/>
              <w:adjustRightInd w:val="0"/>
              <w:spacing w:after="200" w:line="276"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Charges for Its Wastewater Service.</w:t>
            </w:r>
          </w:p>
        </w:tc>
        <w:tc>
          <w:tcPr>
            <w:tcW w:w="360" w:type="dxa"/>
            <w:shd w:val="clear" w:color="auto" w:fill="auto"/>
          </w:tcPr>
          <w:p w:rsidR="00CB3F2C" w:rsidP="00C557F4" w14:paraId="65390F4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CB3F2C" w:rsidP="00C557F4" w14:paraId="590D182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CB3F2C" w:rsidP="00C557F4" w14:paraId="66644A7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CB3F2C" w:rsidP="00C557F4" w14:paraId="308976D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tc>
        <w:tc>
          <w:tcPr>
            <w:tcW w:w="4050" w:type="dxa"/>
            <w:shd w:val="clear" w:color="auto" w:fill="auto"/>
          </w:tcPr>
          <w:p w:rsidR="00CB3F2C" w:rsidP="00C557F4" w14:paraId="24A11E7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p w:rsidR="00CB3F2C" w:rsidP="00C557F4" w14:paraId="541AF84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21-596-ST-AIR</w:t>
            </w:r>
          </w:p>
          <w:p w:rsidR="00CB3F2C" w:rsidP="00C557F4" w14:paraId="29B379F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p w:rsidR="00CB3F2C" w:rsidP="00C557F4" w14:paraId="655B893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tc>
      </w:tr>
    </w:tbl>
    <w:p w:rsidR="00CB3F2C" w:rsidRPr="00FD62BA" w:rsidP="00CB3F2C" w14:paraId="1F1C1CF2" w14:textId="77777777">
      <w:pPr>
        <w:pBdr>
          <w:top w:val="single" w:sz="12" w:space="0" w:color="auto"/>
        </w:pBdr>
        <w:tabs>
          <w:tab w:val="left" w:pos="-720"/>
        </w:tabs>
        <w:suppressAutoHyphens/>
        <w:spacing w:after="0"/>
        <w:jc w:val="center"/>
        <w:rPr>
          <w:b/>
          <w:bCs/>
          <w:spacing w:val="-3"/>
        </w:rPr>
      </w:pPr>
    </w:p>
    <w:p w:rsidR="00CB3F2C" w:rsidP="00CB3F2C" w14:paraId="148F36CD" w14:textId="77777777">
      <w:pPr>
        <w:tabs>
          <w:tab w:val="left" w:pos="4770"/>
          <w:tab w:val="left" w:pos="6480"/>
        </w:tabs>
        <w:spacing w:after="0"/>
        <w:jc w:val="center"/>
        <w:rPr>
          <w:b/>
          <w:bCs/>
          <w:szCs w:val="24"/>
        </w:rPr>
      </w:pPr>
      <w:r w:rsidRPr="00FD62BA">
        <w:rPr>
          <w:b/>
        </w:rPr>
        <w:t>OBJECTION</w:t>
      </w:r>
      <w:r>
        <w:rPr>
          <w:b/>
        </w:rPr>
        <w:t>S</w:t>
      </w:r>
      <w:r w:rsidRPr="00FD62BA">
        <w:rPr>
          <w:b/>
        </w:rPr>
        <w:t xml:space="preserve"> TO </w:t>
      </w:r>
      <w:r w:rsidRPr="002177A2">
        <w:rPr>
          <w:b/>
          <w:bCs/>
          <w:szCs w:val="24"/>
        </w:rPr>
        <w:t xml:space="preserve">THE PUCO STAFF REPORT </w:t>
      </w:r>
    </w:p>
    <w:p w:rsidR="00CB3F2C" w:rsidRPr="00FD62BA" w:rsidP="00CB3F2C" w14:paraId="55360381" w14:textId="77777777">
      <w:pPr>
        <w:tabs>
          <w:tab w:val="left" w:pos="4770"/>
          <w:tab w:val="left" w:pos="6480"/>
        </w:tabs>
        <w:spacing w:after="0"/>
        <w:jc w:val="center"/>
        <w:rPr>
          <w:b/>
        </w:rPr>
      </w:pPr>
      <w:r w:rsidRPr="00FD62BA">
        <w:rPr>
          <w:b/>
        </w:rPr>
        <w:t>BY</w:t>
      </w:r>
    </w:p>
    <w:p w:rsidR="00CB3F2C" w:rsidRPr="00FD62BA" w:rsidP="00CB3F2C" w14:paraId="14314C13" w14:textId="77777777">
      <w:pPr>
        <w:tabs>
          <w:tab w:val="left" w:pos="4770"/>
          <w:tab w:val="left" w:pos="6480"/>
        </w:tabs>
        <w:spacing w:after="0"/>
        <w:jc w:val="center"/>
        <w:rPr>
          <w:b/>
        </w:rPr>
      </w:pPr>
      <w:r w:rsidRPr="00FD62BA">
        <w:rPr>
          <w:b/>
        </w:rPr>
        <w:t>OFFICE OF THE OHIO CONSUMERS’ COUNSEL</w:t>
      </w:r>
    </w:p>
    <w:p w:rsidR="00CB3F2C" w:rsidRPr="00FD62BA" w:rsidP="00CB3F2C" w14:paraId="42403112" w14:textId="77777777">
      <w:pPr>
        <w:pBdr>
          <w:bottom w:val="single" w:sz="12" w:space="1" w:color="auto"/>
        </w:pBdr>
        <w:tabs>
          <w:tab w:val="left" w:pos="-720"/>
        </w:tabs>
        <w:suppressAutoHyphens/>
        <w:jc w:val="center"/>
        <w:rPr>
          <w:b/>
          <w:bCs/>
          <w:spacing w:val="-3"/>
        </w:rPr>
      </w:pPr>
    </w:p>
    <w:p w:rsidR="00CB3F2C" w:rsidP="007A45BB" w14:paraId="354AD95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p>
    <w:p w:rsidR="00CB3F2C" w:rsidP="007A45BB" w14:paraId="5C75E3B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p>
    <w:p w:rsidR="00D14796" w:rsidP="00620C6A" w14:paraId="0CD924E4" w14:textId="77777777">
      <w:pPr>
        <w:spacing w:after="0"/>
        <w:ind w:left="3600" w:hanging="720"/>
        <w:rPr>
          <w:szCs w:val="24"/>
        </w:rPr>
      </w:pPr>
      <w:r>
        <w:rPr>
          <w:szCs w:val="24"/>
        </w:rPr>
        <w:t>Bruce Weston (0016973)</w:t>
      </w:r>
    </w:p>
    <w:p w:rsidR="00D14796" w:rsidP="00620C6A" w14:paraId="0168FF6C" w14:textId="3CA0BE75">
      <w:pPr>
        <w:spacing w:after="0"/>
        <w:rPr>
          <w:szCs w:val="24"/>
        </w:rPr>
      </w:pPr>
      <w:r>
        <w:rPr>
          <w:szCs w:val="24"/>
        </w:rPr>
        <w:tab/>
      </w:r>
      <w:r w:rsidR="00620C6A">
        <w:rPr>
          <w:szCs w:val="24"/>
        </w:rPr>
        <w:tab/>
      </w:r>
      <w:r w:rsidR="00620C6A">
        <w:rPr>
          <w:szCs w:val="24"/>
        </w:rPr>
        <w:tab/>
      </w:r>
      <w:r w:rsidR="00620C6A">
        <w:rPr>
          <w:szCs w:val="24"/>
        </w:rPr>
        <w:tab/>
      </w:r>
      <w:r>
        <w:rPr>
          <w:szCs w:val="24"/>
        </w:rPr>
        <w:t xml:space="preserve">Ohio Consumers’ Counsel </w:t>
      </w:r>
    </w:p>
    <w:p w:rsidR="00D14796" w:rsidP="00D14796" w14:paraId="341B7560" w14:textId="77777777">
      <w:pPr>
        <w:tabs>
          <w:tab w:val="left" w:pos="4320"/>
        </w:tabs>
        <w:rPr>
          <w:sz w:val="16"/>
          <w:szCs w:val="24"/>
        </w:rPr>
      </w:pPr>
    </w:p>
    <w:p w:rsidR="00D14796" w:rsidP="00620C6A" w14:paraId="79FBC61B" w14:textId="77777777">
      <w:pPr>
        <w:spacing w:after="0"/>
        <w:ind w:left="2880"/>
        <w:rPr>
          <w:szCs w:val="24"/>
        </w:rPr>
      </w:pPr>
      <w:r>
        <w:rPr>
          <w:szCs w:val="24"/>
        </w:rPr>
        <w:t>Amy Botschner O’Brien (0074423)</w:t>
      </w:r>
    </w:p>
    <w:p w:rsidR="00620C6A" w:rsidP="00620C6A" w14:paraId="4C80698A" w14:textId="77777777">
      <w:pPr>
        <w:spacing w:after="0"/>
        <w:ind w:left="2880"/>
        <w:rPr>
          <w:szCs w:val="24"/>
        </w:rPr>
      </w:pPr>
      <w:r>
        <w:rPr>
          <w:szCs w:val="24"/>
        </w:rPr>
        <w:t>Counsel of Record</w:t>
      </w:r>
    </w:p>
    <w:p w:rsidR="00D14796" w:rsidP="00620C6A" w14:paraId="5999CA19" w14:textId="755DC266">
      <w:pPr>
        <w:spacing w:after="0"/>
        <w:ind w:left="2880"/>
        <w:rPr>
          <w:szCs w:val="24"/>
        </w:rPr>
      </w:pPr>
      <w:r>
        <w:rPr>
          <w:szCs w:val="24"/>
        </w:rPr>
        <w:t>Ambrosia E. Wilson (0096598)</w:t>
      </w:r>
    </w:p>
    <w:p w:rsidR="00D14796" w:rsidP="00620C6A" w14:paraId="7BEAF3F3" w14:textId="77777777">
      <w:pPr>
        <w:spacing w:after="0"/>
        <w:ind w:left="2880"/>
        <w:rPr>
          <w:szCs w:val="24"/>
        </w:rPr>
      </w:pPr>
      <w:r>
        <w:rPr>
          <w:szCs w:val="24"/>
        </w:rPr>
        <w:t>Assistant Consumers’ Counsel</w:t>
      </w:r>
    </w:p>
    <w:p w:rsidR="00D14796" w:rsidP="00620C6A" w14:paraId="7F9DAD6E" w14:textId="77777777">
      <w:pPr>
        <w:ind w:left="2880"/>
        <w:rPr>
          <w:sz w:val="16"/>
          <w:szCs w:val="24"/>
        </w:rPr>
      </w:pPr>
    </w:p>
    <w:p w:rsidR="00D14796" w:rsidP="00620C6A" w14:paraId="5F13546A" w14:textId="77777777">
      <w:pPr>
        <w:spacing w:after="0"/>
        <w:ind w:left="2880"/>
        <w:rPr>
          <w:b/>
          <w:szCs w:val="24"/>
        </w:rPr>
      </w:pPr>
      <w:r>
        <w:rPr>
          <w:b/>
          <w:szCs w:val="24"/>
        </w:rPr>
        <w:t>Office of the Ohio Consumers’ Counsel</w:t>
      </w:r>
    </w:p>
    <w:p w:rsidR="00D14796" w:rsidP="00620C6A" w14:paraId="039A3F4D" w14:textId="77777777">
      <w:pPr>
        <w:spacing w:after="0"/>
        <w:ind w:left="2880"/>
        <w:rPr>
          <w:szCs w:val="24"/>
        </w:rPr>
      </w:pPr>
      <w:r>
        <w:rPr>
          <w:szCs w:val="24"/>
        </w:rPr>
        <w:t>65 East State Street, Suite 700</w:t>
      </w:r>
    </w:p>
    <w:p w:rsidR="00D14796" w:rsidP="00620C6A" w14:paraId="4F7B29D0" w14:textId="21995E24">
      <w:pPr>
        <w:spacing w:after="0"/>
        <w:ind w:left="2880"/>
        <w:rPr>
          <w:szCs w:val="24"/>
        </w:rPr>
      </w:pPr>
      <w:r>
        <w:rPr>
          <w:szCs w:val="24"/>
        </w:rPr>
        <w:t>Columbus, Ohio 43215</w:t>
      </w:r>
    </w:p>
    <w:p w:rsidR="00D14796" w:rsidP="00620C6A" w14:paraId="42FFFD49" w14:textId="13BD5928">
      <w:pPr>
        <w:spacing w:after="0"/>
        <w:ind w:left="2880"/>
        <w:rPr>
          <w:szCs w:val="24"/>
        </w:rPr>
      </w:pPr>
      <w:r>
        <w:rPr>
          <w:szCs w:val="24"/>
        </w:rPr>
        <w:t>Telephone: [</w:t>
      </w:r>
      <w:r w:rsidR="00BC00DB">
        <w:rPr>
          <w:szCs w:val="24"/>
        </w:rPr>
        <w:t xml:space="preserve">Botschner </w:t>
      </w:r>
      <w:r>
        <w:rPr>
          <w:szCs w:val="24"/>
        </w:rPr>
        <w:t>O’Brien] (614) 466-95</w:t>
      </w:r>
      <w:r w:rsidR="00BC00DB">
        <w:rPr>
          <w:szCs w:val="24"/>
        </w:rPr>
        <w:t>75</w:t>
      </w:r>
    </w:p>
    <w:p w:rsidR="00D14796" w:rsidP="00620C6A" w14:paraId="71A4A27F" w14:textId="77777777">
      <w:pPr>
        <w:spacing w:after="0"/>
        <w:ind w:left="2880"/>
        <w:rPr>
          <w:szCs w:val="24"/>
        </w:rPr>
      </w:pPr>
      <w:r>
        <w:rPr>
          <w:szCs w:val="24"/>
        </w:rPr>
        <w:t>Telephone: [Wilson] (614) 466-1292</w:t>
      </w:r>
    </w:p>
    <w:p w:rsidR="00D14796" w:rsidP="00620C6A" w14:paraId="53FADF31" w14:textId="77777777">
      <w:pPr>
        <w:spacing w:after="0"/>
        <w:ind w:left="2880"/>
        <w:rPr>
          <w:szCs w:val="24"/>
        </w:rPr>
      </w:pPr>
      <w:hyperlink r:id="rId6" w:history="1">
        <w:r w:rsidR="00511709">
          <w:rPr>
            <w:rStyle w:val="Hyperlink"/>
            <w:szCs w:val="24"/>
          </w:rPr>
          <w:t>amy.botschner.obrien@occ.ohio.gov</w:t>
        </w:r>
      </w:hyperlink>
    </w:p>
    <w:p w:rsidR="00D14796" w:rsidRPr="004F2E45" w:rsidP="00620C6A" w14:paraId="5A513AC8" w14:textId="77777777">
      <w:pPr>
        <w:spacing w:after="0"/>
        <w:ind w:left="2880"/>
        <w:rPr>
          <w:color w:val="0000FF"/>
          <w:szCs w:val="24"/>
          <w:u w:val="single"/>
        </w:rPr>
      </w:pPr>
      <w:r w:rsidRPr="004F2E45">
        <w:rPr>
          <w:color w:val="0000FF"/>
          <w:szCs w:val="24"/>
          <w:u w:val="single"/>
        </w:rPr>
        <w:t>ambrosia.wilson@occ.ohio.gov</w:t>
      </w:r>
    </w:p>
    <w:p w:rsidR="00D14796" w:rsidP="00620C6A" w14:paraId="7948FEA4" w14:textId="04A06C63">
      <w:pPr>
        <w:spacing w:after="0"/>
        <w:ind w:left="2160" w:firstLine="720"/>
        <w:rPr>
          <w:szCs w:val="24"/>
        </w:rPr>
      </w:pPr>
      <w:r>
        <w:rPr>
          <w:szCs w:val="24"/>
        </w:rPr>
        <w:t>(willing to accept service by e-mail)</w:t>
      </w:r>
    </w:p>
    <w:p w:rsidR="00CB3F2C" w:rsidP="007A45BB" w14:paraId="50B1DBA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p>
    <w:p w:rsidR="00B87F81" w:rsidRPr="00A23474" w:rsidP="00620C6A" w14:paraId="01E1F753" w14:textId="77777777">
      <w:pPr>
        <w:spacing w:after="0" w:line="252" w:lineRule="auto"/>
        <w:ind w:left="2880"/>
        <w:rPr>
          <w:rFonts w:cs="Times New Roman"/>
          <w:sz w:val="22"/>
        </w:rPr>
      </w:pPr>
      <w:r w:rsidRPr="00A23474">
        <w:rPr>
          <w:rFonts w:cs="Times New Roman"/>
        </w:rPr>
        <w:t>Brian M. Zets (0066544)</w:t>
      </w:r>
      <w:r w:rsidRPr="00A23474">
        <w:rPr>
          <w:rFonts w:cs="Times New Roman"/>
          <w:b/>
          <w:bCs/>
        </w:rPr>
        <w:br/>
      </w:r>
      <w:r w:rsidRPr="00A23474">
        <w:rPr>
          <w:rFonts w:cs="Times New Roman"/>
        </w:rPr>
        <w:t>Two Miranova Place, Ste. 700</w:t>
      </w:r>
      <w:r w:rsidRPr="00A23474">
        <w:rPr>
          <w:rFonts w:cs="Times New Roman"/>
        </w:rPr>
        <w:br/>
        <w:t xml:space="preserve">Columbus, OH 43215-5098 </w:t>
      </w:r>
      <w:r w:rsidRPr="00A23474">
        <w:rPr>
          <w:rFonts w:cs="Times New Roman"/>
          <w:szCs w:val="24"/>
        </w:rPr>
        <w:br/>
      </w:r>
      <w:r w:rsidRPr="00A23474">
        <w:rPr>
          <w:rFonts w:cs="Times New Roman"/>
          <w:b/>
          <w:bCs/>
        </w:rPr>
        <w:t>t</w:t>
      </w:r>
      <w:r w:rsidRPr="00A23474">
        <w:rPr>
          <w:rFonts w:cs="Times New Roman"/>
        </w:rPr>
        <w:t xml:space="preserve"> 614.221.2121 • </w:t>
      </w:r>
      <w:r w:rsidRPr="00A23474">
        <w:rPr>
          <w:rFonts w:cs="Times New Roman"/>
          <w:b/>
          <w:bCs/>
        </w:rPr>
        <w:t>f</w:t>
      </w:r>
      <w:r w:rsidRPr="00A23474">
        <w:rPr>
          <w:rFonts w:cs="Times New Roman"/>
        </w:rPr>
        <w:t xml:space="preserve"> 614.365.9516 </w:t>
      </w:r>
      <w:r w:rsidRPr="00A23474">
        <w:rPr>
          <w:rFonts w:cs="Times New Roman"/>
          <w:szCs w:val="24"/>
        </w:rPr>
        <w:br/>
      </w:r>
      <w:r w:rsidRPr="00A23474">
        <w:rPr>
          <w:rFonts w:cs="Times New Roman"/>
          <w:b/>
          <w:bCs/>
        </w:rPr>
        <w:t>d</w:t>
      </w:r>
      <w:r w:rsidRPr="00A23474">
        <w:rPr>
          <w:rFonts w:cs="Times New Roman"/>
        </w:rPr>
        <w:t xml:space="preserve"> 614.857.1377</w:t>
      </w:r>
    </w:p>
    <w:p w:rsidR="00B87F81" w:rsidP="00620C6A" w14:paraId="54D9D197" w14:textId="77777777">
      <w:pPr>
        <w:spacing w:after="0"/>
        <w:ind w:left="2880"/>
        <w:rPr>
          <w:rFonts w:cs="Times New Roman"/>
          <w:color w:val="684F40"/>
          <w:szCs w:val="24"/>
        </w:rPr>
      </w:pPr>
      <w:hyperlink r:id="rId7" w:history="1">
        <w:r w:rsidRPr="00A23474" w:rsidR="00511709">
          <w:rPr>
            <w:rStyle w:val="Hyperlink"/>
            <w:rFonts w:cs="Times New Roman"/>
          </w:rPr>
          <w:t>Bzets@isaacwiles.com</w:t>
        </w:r>
      </w:hyperlink>
      <w:r w:rsidRPr="00A23474" w:rsidR="00511709">
        <w:rPr>
          <w:rFonts w:cs="Times New Roman"/>
        </w:rPr>
        <w:t xml:space="preserve"> </w:t>
      </w:r>
    </w:p>
    <w:p w:rsidR="00B87F81" w:rsidP="00620C6A" w14:paraId="434A6EAA" w14:textId="0350653B">
      <w:pPr>
        <w:spacing w:after="0"/>
        <w:ind w:left="2880" w:hanging="2880"/>
        <w:rPr>
          <w:rFonts w:cs="Times New Roman"/>
        </w:rPr>
      </w:pPr>
      <w:r>
        <w:rPr>
          <w:szCs w:val="24"/>
        </w:rPr>
        <w:t>March 14, 2022</w:t>
      </w:r>
      <w:r w:rsidR="00620C6A">
        <w:rPr>
          <w:szCs w:val="24"/>
        </w:rPr>
        <w:tab/>
      </w:r>
      <w:hyperlink r:id="rId8" w:history="1">
        <w:r w:rsidRPr="00FF184A" w:rsidR="00620C6A">
          <w:rPr>
            <w:rStyle w:val="Hyperlink"/>
            <w:rFonts w:cs="Times New Roman"/>
          </w:rPr>
          <w:t>www.isaacwiles.com</w:t>
        </w:r>
      </w:hyperlink>
    </w:p>
    <w:p w:rsidR="00B87F81" w:rsidRPr="00A4515D" w:rsidP="00620C6A" w14:paraId="19845450" w14:textId="77777777">
      <w:pPr>
        <w:spacing w:after="0" w:line="240" w:lineRule="auto"/>
        <w:ind w:left="2880" w:hanging="3600"/>
        <w:rPr>
          <w:rFonts w:eastAsia="Times New Roman" w:cs="Times New Roman"/>
          <w:szCs w:val="24"/>
        </w:rPr>
      </w:pPr>
      <w:r>
        <w:rPr>
          <w:szCs w:val="24"/>
        </w:rPr>
        <w:tab/>
      </w:r>
      <w:r>
        <w:rPr>
          <w:i/>
          <w:iCs/>
          <w:szCs w:val="24"/>
        </w:rPr>
        <w:t>Special Counsel for the Office of the Ohio Consumers’ Counsel</w:t>
      </w:r>
    </w:p>
    <w:p w:rsidR="00CB3F2C" w:rsidP="007A45BB" w14:paraId="0D4721F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p>
    <w:p w:rsidR="00CB3F2C" w:rsidP="007A45BB" w14:paraId="6094782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p>
    <w:p w:rsidR="00CB3F2C" w:rsidP="007A45BB" w14:paraId="53565F7A" w14:textId="517A6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sectPr w:rsidSect="00CB3F2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3E0000" w:rsidP="007A45BB" w14:paraId="467B8DA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u w:val="single"/>
        </w:rPr>
      </w:pPr>
      <w:r>
        <w:rPr>
          <w:rFonts w:ascii="Times New Roman" w:hAnsi="Times New Roman"/>
          <w:b/>
          <w:bCs/>
          <w:sz w:val="24"/>
          <w:u w:val="single"/>
        </w:rPr>
        <w:t>TABLE OF CONTENTS</w:t>
      </w:r>
    </w:p>
    <w:p w:rsidR="003E0000" w:rsidP="007A45BB" w14:paraId="4DFFD7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u w:val="single"/>
        </w:rPr>
      </w:pPr>
    </w:p>
    <w:p w:rsidR="003E0000" w:rsidP="003E0000" w14:paraId="0E7B879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rPr>
      </w:pPr>
      <w:r>
        <w:rPr>
          <w:rFonts w:ascii="Times New Roman" w:hAnsi="Times New Roman"/>
          <w:b/>
          <w:bCs/>
          <w:sz w:val="24"/>
        </w:rPr>
        <w:t>PAGE</w:t>
      </w:r>
    </w:p>
    <w:p w:rsidR="003E0000" w:rsidP="003E0000" w14:paraId="746757CA" w14:textId="3B9FCD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rPr>
      </w:pPr>
    </w:p>
    <w:p w:rsidR="00742F3F" w14:paraId="7BD401EF" w14:textId="066A25A9">
      <w:pPr>
        <w:pStyle w:val="TOC1"/>
        <w:rPr>
          <w:rFonts w:asciiTheme="minorHAnsi" w:eastAsiaTheme="minorEastAsia" w:hAnsiTheme="minorHAnsi"/>
          <w:noProof/>
          <w:sz w:val="22"/>
        </w:rPr>
      </w:pPr>
      <w:r>
        <w:rPr>
          <w:b/>
          <w:bCs/>
        </w:rPr>
        <w:fldChar w:fldCharType="begin"/>
      </w:r>
      <w:r>
        <w:rPr>
          <w:b/>
          <w:bCs/>
        </w:rPr>
        <w:instrText xml:space="preserve"> TOC \o "1-3" \h \z \u </w:instrText>
      </w:r>
      <w:r>
        <w:rPr>
          <w:b/>
          <w:bCs/>
        </w:rPr>
        <w:fldChar w:fldCharType="separate"/>
      </w:r>
      <w:hyperlink w:anchor="_Toc98156459" w:history="1">
        <w:r w:rsidRPr="00B505A3">
          <w:rPr>
            <w:rStyle w:val="Hyperlink"/>
            <w:noProof/>
          </w:rPr>
          <w:t>I.</w:t>
        </w:r>
        <w:r>
          <w:rPr>
            <w:rFonts w:asciiTheme="minorHAnsi" w:eastAsiaTheme="minorEastAsia" w:hAnsiTheme="minorHAnsi"/>
            <w:noProof/>
            <w:sz w:val="22"/>
          </w:rPr>
          <w:tab/>
        </w:r>
        <w:r w:rsidRPr="00B505A3">
          <w:rPr>
            <w:rStyle w:val="Hyperlink"/>
            <w:noProof/>
          </w:rPr>
          <w:t>INTRODUCTION</w:t>
        </w:r>
        <w:r>
          <w:rPr>
            <w:noProof/>
            <w:webHidden/>
          </w:rPr>
          <w:tab/>
        </w:r>
        <w:r>
          <w:rPr>
            <w:noProof/>
            <w:webHidden/>
          </w:rPr>
          <w:fldChar w:fldCharType="begin"/>
        </w:r>
        <w:r>
          <w:rPr>
            <w:noProof/>
            <w:webHidden/>
          </w:rPr>
          <w:instrText xml:space="preserve"> PAGEREF _Toc98156459 \h </w:instrText>
        </w:r>
        <w:r>
          <w:rPr>
            <w:noProof/>
            <w:webHidden/>
          </w:rPr>
          <w:fldChar w:fldCharType="separate"/>
        </w:r>
        <w:r>
          <w:rPr>
            <w:noProof/>
            <w:webHidden/>
          </w:rPr>
          <w:t>1</w:t>
        </w:r>
        <w:r>
          <w:rPr>
            <w:noProof/>
            <w:webHidden/>
          </w:rPr>
          <w:fldChar w:fldCharType="end"/>
        </w:r>
      </w:hyperlink>
    </w:p>
    <w:p w:rsidR="00742F3F" w14:paraId="0F5B3586" w14:textId="155AB7A5">
      <w:pPr>
        <w:pStyle w:val="TOC1"/>
        <w:rPr>
          <w:rFonts w:asciiTheme="minorHAnsi" w:eastAsiaTheme="minorEastAsia" w:hAnsiTheme="minorHAnsi"/>
          <w:noProof/>
          <w:sz w:val="22"/>
        </w:rPr>
      </w:pPr>
      <w:hyperlink w:anchor="_Toc98156460" w:history="1">
        <w:r w:rsidRPr="00B505A3" w:rsidR="003A28F9">
          <w:rPr>
            <w:rStyle w:val="Hyperlink"/>
            <w:noProof/>
          </w:rPr>
          <w:t>II.</w:t>
        </w:r>
        <w:r w:rsidR="003A28F9">
          <w:rPr>
            <w:rFonts w:asciiTheme="minorHAnsi" w:eastAsiaTheme="minorEastAsia" w:hAnsiTheme="minorHAnsi"/>
            <w:noProof/>
            <w:sz w:val="22"/>
          </w:rPr>
          <w:tab/>
        </w:r>
        <w:r w:rsidRPr="00B505A3" w:rsidR="003A28F9">
          <w:rPr>
            <w:rStyle w:val="Hyperlink"/>
            <w:noProof/>
          </w:rPr>
          <w:t>SUMMARY OF FINDINGS AND RECOMMENDATIONS SUPPORTED BY OCC</w:t>
        </w:r>
        <w:r w:rsidR="003A28F9">
          <w:rPr>
            <w:noProof/>
            <w:webHidden/>
          </w:rPr>
          <w:tab/>
        </w:r>
        <w:r w:rsidR="003A28F9">
          <w:rPr>
            <w:noProof/>
            <w:webHidden/>
          </w:rPr>
          <w:fldChar w:fldCharType="begin"/>
        </w:r>
        <w:r w:rsidR="003A28F9">
          <w:rPr>
            <w:noProof/>
            <w:webHidden/>
          </w:rPr>
          <w:instrText xml:space="preserve"> PAGEREF _Toc98156460 \h </w:instrText>
        </w:r>
        <w:r w:rsidR="003A28F9">
          <w:rPr>
            <w:noProof/>
            <w:webHidden/>
          </w:rPr>
          <w:fldChar w:fldCharType="separate"/>
        </w:r>
        <w:r w:rsidR="003A28F9">
          <w:rPr>
            <w:noProof/>
            <w:webHidden/>
          </w:rPr>
          <w:t>2</w:t>
        </w:r>
        <w:r w:rsidR="003A28F9">
          <w:rPr>
            <w:noProof/>
            <w:webHidden/>
          </w:rPr>
          <w:fldChar w:fldCharType="end"/>
        </w:r>
      </w:hyperlink>
    </w:p>
    <w:p w:rsidR="00742F3F" w14:paraId="3921075C" w14:textId="1F3E9A2C">
      <w:pPr>
        <w:pStyle w:val="TOC1"/>
        <w:rPr>
          <w:rFonts w:asciiTheme="minorHAnsi" w:eastAsiaTheme="minorEastAsia" w:hAnsiTheme="minorHAnsi"/>
          <w:noProof/>
          <w:sz w:val="22"/>
        </w:rPr>
      </w:pPr>
      <w:hyperlink w:anchor="_Toc98156461" w:history="1">
        <w:r w:rsidRPr="00B505A3" w:rsidR="003A28F9">
          <w:rPr>
            <w:rStyle w:val="Hyperlink"/>
            <w:noProof/>
          </w:rPr>
          <w:t>III.</w:t>
        </w:r>
        <w:r w:rsidR="003A28F9">
          <w:rPr>
            <w:rFonts w:asciiTheme="minorHAnsi" w:eastAsiaTheme="minorEastAsia" w:hAnsiTheme="minorHAnsi"/>
            <w:noProof/>
            <w:sz w:val="22"/>
          </w:rPr>
          <w:tab/>
        </w:r>
        <w:r w:rsidRPr="00B505A3" w:rsidR="003A28F9">
          <w:rPr>
            <w:rStyle w:val="Hyperlink"/>
            <w:noProof/>
          </w:rPr>
          <w:t>OBJECTIONS TO THE PUCO STAFF REPORT</w:t>
        </w:r>
        <w:r w:rsidR="003A28F9">
          <w:rPr>
            <w:noProof/>
            <w:webHidden/>
          </w:rPr>
          <w:tab/>
        </w:r>
        <w:r w:rsidR="003A28F9">
          <w:rPr>
            <w:noProof/>
            <w:webHidden/>
          </w:rPr>
          <w:fldChar w:fldCharType="begin"/>
        </w:r>
        <w:r w:rsidR="003A28F9">
          <w:rPr>
            <w:noProof/>
            <w:webHidden/>
          </w:rPr>
          <w:instrText xml:space="preserve"> PAGEREF _Toc98156461 \h </w:instrText>
        </w:r>
        <w:r w:rsidR="003A28F9">
          <w:rPr>
            <w:noProof/>
            <w:webHidden/>
          </w:rPr>
          <w:fldChar w:fldCharType="separate"/>
        </w:r>
        <w:r w:rsidR="003A28F9">
          <w:rPr>
            <w:noProof/>
            <w:webHidden/>
          </w:rPr>
          <w:t>5</w:t>
        </w:r>
        <w:r w:rsidR="003A28F9">
          <w:rPr>
            <w:noProof/>
            <w:webHidden/>
          </w:rPr>
          <w:fldChar w:fldCharType="end"/>
        </w:r>
      </w:hyperlink>
    </w:p>
    <w:p w:rsidR="00742F3F" w14:paraId="4324184F" w14:textId="4FB3402A">
      <w:pPr>
        <w:pStyle w:val="TOC3"/>
        <w:rPr>
          <w:rFonts w:asciiTheme="minorHAnsi" w:eastAsiaTheme="minorEastAsia" w:hAnsiTheme="minorHAnsi" w:cstheme="minorBidi"/>
          <w:sz w:val="22"/>
        </w:rPr>
      </w:pPr>
      <w:hyperlink w:anchor="_Toc98156462" w:history="1">
        <w:r w:rsidRPr="00B505A3" w:rsidR="003A28F9">
          <w:rPr>
            <w:rStyle w:val="Hyperlink"/>
          </w:rPr>
          <w:t>OBJECTION 1: As a result of OCC’s other objections below (including OCC’s proposed change to rate of return), the Staff Report’s recommended rate increase is too high for consumers and would result in consumers paying unjust and unreasonable rates under R.C. 4905.22, 4909.15, 4909.154 4909.17 and 4909.18.</w:t>
        </w:r>
        <w:r w:rsidR="003A28F9">
          <w:rPr>
            <w:webHidden/>
          </w:rPr>
          <w:tab/>
        </w:r>
        <w:r w:rsidR="003A28F9">
          <w:rPr>
            <w:webHidden/>
          </w:rPr>
          <w:fldChar w:fldCharType="begin"/>
        </w:r>
        <w:r w:rsidR="003A28F9">
          <w:rPr>
            <w:webHidden/>
          </w:rPr>
          <w:instrText xml:space="preserve"> PAGEREF _Toc98156462 \h </w:instrText>
        </w:r>
        <w:r w:rsidR="003A28F9">
          <w:rPr>
            <w:webHidden/>
          </w:rPr>
          <w:fldChar w:fldCharType="separate"/>
        </w:r>
        <w:r w:rsidR="003A28F9">
          <w:rPr>
            <w:webHidden/>
          </w:rPr>
          <w:t>5</w:t>
        </w:r>
        <w:r w:rsidR="003A28F9">
          <w:rPr>
            <w:webHidden/>
          </w:rPr>
          <w:fldChar w:fldCharType="end"/>
        </w:r>
      </w:hyperlink>
    </w:p>
    <w:p w:rsidR="00742F3F" w14:paraId="5AC557E7" w14:textId="750ACAC0">
      <w:pPr>
        <w:pStyle w:val="TOC2"/>
        <w:tabs>
          <w:tab w:val="left" w:pos="1440"/>
        </w:tabs>
        <w:rPr>
          <w:rFonts w:asciiTheme="minorHAnsi" w:eastAsiaTheme="minorEastAsia" w:hAnsiTheme="minorHAnsi"/>
          <w:noProof/>
          <w:sz w:val="22"/>
        </w:rPr>
      </w:pPr>
      <w:hyperlink w:anchor="_Toc98156463" w:history="1">
        <w:r w:rsidRPr="00B505A3" w:rsidR="003A28F9">
          <w:rPr>
            <w:rStyle w:val="Hyperlink"/>
            <w:noProof/>
          </w:rPr>
          <w:t>A.</w:t>
        </w:r>
        <w:r w:rsidR="003A28F9">
          <w:rPr>
            <w:rFonts w:asciiTheme="minorHAnsi" w:eastAsiaTheme="minorEastAsia" w:hAnsiTheme="minorHAnsi"/>
            <w:noProof/>
            <w:sz w:val="22"/>
          </w:rPr>
          <w:tab/>
        </w:r>
        <w:r w:rsidRPr="00B505A3" w:rsidR="003A28F9">
          <w:rPr>
            <w:rStyle w:val="Hyperlink"/>
            <w:noProof/>
          </w:rPr>
          <w:t>Revenue Requirement</w:t>
        </w:r>
        <w:r w:rsidR="003A28F9">
          <w:rPr>
            <w:noProof/>
            <w:webHidden/>
          </w:rPr>
          <w:tab/>
        </w:r>
        <w:r w:rsidR="003A28F9">
          <w:rPr>
            <w:noProof/>
            <w:webHidden/>
          </w:rPr>
          <w:fldChar w:fldCharType="begin"/>
        </w:r>
        <w:r w:rsidR="003A28F9">
          <w:rPr>
            <w:noProof/>
            <w:webHidden/>
          </w:rPr>
          <w:instrText xml:space="preserve"> PAGEREF _Toc98156463 \h </w:instrText>
        </w:r>
        <w:r w:rsidR="003A28F9">
          <w:rPr>
            <w:noProof/>
            <w:webHidden/>
          </w:rPr>
          <w:fldChar w:fldCharType="separate"/>
        </w:r>
        <w:r w:rsidR="003A28F9">
          <w:rPr>
            <w:noProof/>
            <w:webHidden/>
          </w:rPr>
          <w:t>5</w:t>
        </w:r>
        <w:r w:rsidR="003A28F9">
          <w:rPr>
            <w:noProof/>
            <w:webHidden/>
          </w:rPr>
          <w:fldChar w:fldCharType="end"/>
        </w:r>
      </w:hyperlink>
    </w:p>
    <w:p w:rsidR="00742F3F" w14:paraId="5FCA2483" w14:textId="1C3AC51A">
      <w:pPr>
        <w:pStyle w:val="TOC2"/>
        <w:tabs>
          <w:tab w:val="left" w:pos="1440"/>
        </w:tabs>
        <w:rPr>
          <w:rFonts w:asciiTheme="minorHAnsi" w:eastAsiaTheme="minorEastAsia" w:hAnsiTheme="minorHAnsi"/>
          <w:noProof/>
          <w:sz w:val="22"/>
        </w:rPr>
      </w:pPr>
      <w:hyperlink w:anchor="_Toc98156464" w:history="1">
        <w:r w:rsidRPr="00B505A3" w:rsidR="003A28F9">
          <w:rPr>
            <w:rStyle w:val="Hyperlink"/>
            <w:noProof/>
          </w:rPr>
          <w:t>B.</w:t>
        </w:r>
        <w:r w:rsidR="003A28F9">
          <w:rPr>
            <w:rFonts w:asciiTheme="minorHAnsi" w:eastAsiaTheme="minorEastAsia" w:hAnsiTheme="minorHAnsi"/>
            <w:noProof/>
            <w:sz w:val="22"/>
          </w:rPr>
          <w:tab/>
        </w:r>
        <w:r w:rsidRPr="00B505A3" w:rsidR="003A28F9">
          <w:rPr>
            <w:rStyle w:val="Hyperlink"/>
            <w:noProof/>
          </w:rPr>
          <w:t>Rate of Return</w:t>
        </w:r>
        <w:r w:rsidR="003A28F9">
          <w:rPr>
            <w:noProof/>
            <w:webHidden/>
          </w:rPr>
          <w:tab/>
        </w:r>
        <w:r w:rsidR="003A28F9">
          <w:rPr>
            <w:noProof/>
            <w:webHidden/>
          </w:rPr>
          <w:fldChar w:fldCharType="begin"/>
        </w:r>
        <w:r w:rsidR="003A28F9">
          <w:rPr>
            <w:noProof/>
            <w:webHidden/>
          </w:rPr>
          <w:instrText xml:space="preserve"> PAGEREF _Toc98156464 \h </w:instrText>
        </w:r>
        <w:r w:rsidR="003A28F9">
          <w:rPr>
            <w:noProof/>
            <w:webHidden/>
          </w:rPr>
          <w:fldChar w:fldCharType="separate"/>
        </w:r>
        <w:r w:rsidR="003A28F9">
          <w:rPr>
            <w:noProof/>
            <w:webHidden/>
          </w:rPr>
          <w:t>5</w:t>
        </w:r>
        <w:r w:rsidR="003A28F9">
          <w:rPr>
            <w:noProof/>
            <w:webHidden/>
          </w:rPr>
          <w:fldChar w:fldCharType="end"/>
        </w:r>
      </w:hyperlink>
    </w:p>
    <w:p w:rsidR="00742F3F" w:rsidRPr="00742F3F" w14:paraId="68E7AF7F" w14:textId="4C770B3D">
      <w:pPr>
        <w:pStyle w:val="TOC3"/>
        <w:rPr>
          <w:rFonts w:eastAsiaTheme="minorEastAsia" w:cstheme="minorBidi"/>
          <w:sz w:val="22"/>
        </w:rPr>
      </w:pPr>
      <w:hyperlink w:anchor="_Toc98156465" w:history="1">
        <w:r w:rsidRPr="00742F3F" w:rsidR="003A28F9">
          <w:rPr>
            <w:rStyle w:val="Hyperlink"/>
          </w:rPr>
          <w:t xml:space="preserve">OBJECTION 2: The Staff Report erred by using the average of the yields of the 20-year and 30-year U.S. Treasury Bonds as the risk-free rate used in the Capital Asset Pricing Model (“CAPM”). The inclusion of the yields of 20-year U.S. Treasury Bonds in calculating the risk-free rate overstates the estimated cost of equity of Aqua under the CAPM analysis causing a rate of return that results in unjust and unreasonable rates </w:t>
        </w:r>
        <w:r w:rsidR="003A28F9">
          <w:rPr>
            <w:rStyle w:val="Hyperlink"/>
          </w:rPr>
          <w:br/>
        </w:r>
        <w:r w:rsidRPr="00742F3F" w:rsidR="003A28F9">
          <w:rPr>
            <w:rStyle w:val="Hyperlink"/>
          </w:rPr>
          <w:t>for consumers to pay.</w:t>
        </w:r>
        <w:r w:rsidRPr="00742F3F" w:rsidR="003A28F9">
          <w:rPr>
            <w:webHidden/>
          </w:rPr>
          <w:tab/>
        </w:r>
        <w:r w:rsidRPr="00742F3F" w:rsidR="003A28F9">
          <w:rPr>
            <w:webHidden/>
          </w:rPr>
          <w:fldChar w:fldCharType="begin"/>
        </w:r>
        <w:r w:rsidRPr="00742F3F" w:rsidR="003A28F9">
          <w:rPr>
            <w:webHidden/>
          </w:rPr>
          <w:instrText xml:space="preserve"> PAGEREF _Toc98156465 \h </w:instrText>
        </w:r>
        <w:r w:rsidRPr="00742F3F" w:rsidR="003A28F9">
          <w:rPr>
            <w:webHidden/>
          </w:rPr>
          <w:fldChar w:fldCharType="separate"/>
        </w:r>
        <w:r w:rsidRPr="00742F3F" w:rsidR="003A28F9">
          <w:rPr>
            <w:webHidden/>
          </w:rPr>
          <w:t>6</w:t>
        </w:r>
        <w:r w:rsidRPr="00742F3F" w:rsidR="003A28F9">
          <w:rPr>
            <w:webHidden/>
          </w:rPr>
          <w:fldChar w:fldCharType="end"/>
        </w:r>
      </w:hyperlink>
    </w:p>
    <w:p w:rsidR="00742F3F" w:rsidRPr="00742F3F" w14:paraId="1B448949" w14:textId="6BD01CE8">
      <w:pPr>
        <w:pStyle w:val="TOC3"/>
        <w:rPr>
          <w:rFonts w:eastAsiaTheme="minorEastAsia" w:cstheme="minorBidi"/>
          <w:sz w:val="22"/>
        </w:rPr>
      </w:pPr>
      <w:hyperlink w:anchor="_Toc98156466" w:history="1">
        <w:r w:rsidRPr="00742F3F" w:rsidR="003A28F9">
          <w:rPr>
            <w:rStyle w:val="Hyperlink"/>
          </w:rPr>
          <w:t>OBJECTION 3: The Staff Report erred by including the results of Comparable</w:t>
        </w:r>
        <w:r w:rsidRPr="00742F3F" w:rsidR="003A28F9">
          <w:rPr>
            <w:rStyle w:val="Hyperlink"/>
            <w:rFonts w:eastAsia="Times New Roman" w:cs="Times New Roman"/>
            <w:bCs/>
          </w:rPr>
          <w:t xml:space="preserve"> </w:t>
        </w:r>
        <w:r w:rsidRPr="00742F3F" w:rsidR="003A28F9">
          <w:rPr>
            <w:rStyle w:val="Hyperlink"/>
          </w:rPr>
          <w:t>Earnings (“CE”) analysis, which included the estimated return on equity of 13.53% earned by companies from various industries with vastly different business and financial risks from a regulated utility in calculating the cost of equity. The inclusion of this unrelated and unreasonably high earned return on equity of 13.53% overstates the cost of equity of Aqua causing a rate of return that is too high.</w:t>
        </w:r>
        <w:r w:rsidRPr="00742F3F" w:rsidR="003A28F9">
          <w:rPr>
            <w:webHidden/>
          </w:rPr>
          <w:tab/>
        </w:r>
        <w:r w:rsidRPr="00742F3F" w:rsidR="003A28F9">
          <w:rPr>
            <w:webHidden/>
          </w:rPr>
          <w:fldChar w:fldCharType="begin"/>
        </w:r>
        <w:r w:rsidRPr="00742F3F" w:rsidR="003A28F9">
          <w:rPr>
            <w:webHidden/>
          </w:rPr>
          <w:instrText xml:space="preserve"> PAGEREF _Toc98156466 \h </w:instrText>
        </w:r>
        <w:r w:rsidRPr="00742F3F" w:rsidR="003A28F9">
          <w:rPr>
            <w:webHidden/>
          </w:rPr>
          <w:fldChar w:fldCharType="separate"/>
        </w:r>
        <w:r w:rsidRPr="00742F3F" w:rsidR="003A28F9">
          <w:rPr>
            <w:webHidden/>
          </w:rPr>
          <w:t>7</w:t>
        </w:r>
        <w:r w:rsidRPr="00742F3F" w:rsidR="003A28F9">
          <w:rPr>
            <w:webHidden/>
          </w:rPr>
          <w:fldChar w:fldCharType="end"/>
        </w:r>
      </w:hyperlink>
    </w:p>
    <w:p w:rsidR="00742F3F" w:rsidRPr="00742F3F" w14:paraId="2F536972" w14:textId="0DF70971">
      <w:pPr>
        <w:pStyle w:val="TOC3"/>
        <w:rPr>
          <w:rFonts w:eastAsiaTheme="minorEastAsia" w:cstheme="minorBidi"/>
          <w:sz w:val="22"/>
        </w:rPr>
      </w:pPr>
      <w:hyperlink w:anchor="_Toc98156467" w:history="1">
        <w:r w:rsidRPr="00742F3F" w:rsidR="003A28F9">
          <w:rPr>
            <w:rStyle w:val="Hyperlink"/>
          </w:rPr>
          <w:t xml:space="preserve">OBJECTION 4: The Staff Report inappropriately increased the return on equity by allowing an adjustment for equity issuance and other costs, causing a recommended return on equity range of 8.99% to 10.00% that is too high and thus results in unjust </w:t>
        </w:r>
        <w:r w:rsidR="003A28F9">
          <w:rPr>
            <w:rStyle w:val="Hyperlink"/>
          </w:rPr>
          <w:br/>
        </w:r>
        <w:r w:rsidRPr="00742F3F" w:rsidR="003A28F9">
          <w:rPr>
            <w:rStyle w:val="Hyperlink"/>
          </w:rPr>
          <w:t>and unreasonable rates for consumers to pay</w:t>
        </w:r>
        <w:r w:rsidRPr="00742F3F" w:rsidR="003A28F9">
          <w:rPr>
            <w:rStyle w:val="Hyperlink"/>
            <w:rFonts w:eastAsia="Times New Roman" w:cs="Times New Roman"/>
            <w:bCs/>
          </w:rPr>
          <w:t>.</w:t>
        </w:r>
        <w:r w:rsidRPr="00742F3F" w:rsidR="003A28F9">
          <w:rPr>
            <w:webHidden/>
          </w:rPr>
          <w:tab/>
        </w:r>
        <w:r w:rsidRPr="00742F3F" w:rsidR="003A28F9">
          <w:rPr>
            <w:webHidden/>
          </w:rPr>
          <w:fldChar w:fldCharType="begin"/>
        </w:r>
        <w:r w:rsidRPr="00742F3F" w:rsidR="003A28F9">
          <w:rPr>
            <w:webHidden/>
          </w:rPr>
          <w:instrText xml:space="preserve"> PAGEREF _Toc98156467 \h </w:instrText>
        </w:r>
        <w:r w:rsidRPr="00742F3F" w:rsidR="003A28F9">
          <w:rPr>
            <w:webHidden/>
          </w:rPr>
          <w:fldChar w:fldCharType="separate"/>
        </w:r>
        <w:r w:rsidRPr="00742F3F" w:rsidR="003A28F9">
          <w:rPr>
            <w:webHidden/>
          </w:rPr>
          <w:t>9</w:t>
        </w:r>
        <w:r w:rsidRPr="00742F3F" w:rsidR="003A28F9">
          <w:rPr>
            <w:webHidden/>
          </w:rPr>
          <w:fldChar w:fldCharType="end"/>
        </w:r>
      </w:hyperlink>
    </w:p>
    <w:p w:rsidR="00742F3F" w:rsidRPr="00742F3F" w14:paraId="2E010F89" w14:textId="5931E534">
      <w:pPr>
        <w:pStyle w:val="TOC3"/>
        <w:rPr>
          <w:rFonts w:eastAsiaTheme="minorEastAsia" w:cstheme="minorBidi"/>
          <w:sz w:val="22"/>
        </w:rPr>
      </w:pPr>
      <w:hyperlink w:anchor="_Toc98156468" w:history="1">
        <w:r w:rsidRPr="00742F3F" w:rsidR="003A28F9">
          <w:rPr>
            <w:rStyle w:val="Hyperlink"/>
          </w:rPr>
          <w:t xml:space="preserve">OBJECTION 5: The Staff Report’s recommended rate of return range of 6.51% to 7.04% is too high based on current market conditions and Aqua’s business and financial risks, resulting in unjust and unreasonable rates for consumers to pay. A more reasonable </w:t>
        </w:r>
        <w:r w:rsidR="003A28F9">
          <w:rPr>
            <w:rStyle w:val="Hyperlink"/>
          </w:rPr>
          <w:br/>
        </w:r>
        <w:r w:rsidRPr="00742F3F" w:rsidR="003A28F9">
          <w:rPr>
            <w:rStyle w:val="Hyperlink"/>
          </w:rPr>
          <w:t>rate of return would be 6.32% or lower.</w:t>
        </w:r>
        <w:r w:rsidRPr="00742F3F" w:rsidR="003A28F9">
          <w:rPr>
            <w:webHidden/>
          </w:rPr>
          <w:tab/>
        </w:r>
        <w:r w:rsidRPr="00742F3F" w:rsidR="003A28F9">
          <w:rPr>
            <w:webHidden/>
          </w:rPr>
          <w:fldChar w:fldCharType="begin"/>
        </w:r>
        <w:r w:rsidRPr="00742F3F" w:rsidR="003A28F9">
          <w:rPr>
            <w:webHidden/>
          </w:rPr>
          <w:instrText xml:space="preserve"> PAGEREF _Toc98156468 \h </w:instrText>
        </w:r>
        <w:r w:rsidRPr="00742F3F" w:rsidR="003A28F9">
          <w:rPr>
            <w:webHidden/>
          </w:rPr>
          <w:fldChar w:fldCharType="separate"/>
        </w:r>
        <w:r w:rsidRPr="00742F3F" w:rsidR="003A28F9">
          <w:rPr>
            <w:webHidden/>
          </w:rPr>
          <w:t>9</w:t>
        </w:r>
        <w:r w:rsidRPr="00742F3F" w:rsidR="003A28F9">
          <w:rPr>
            <w:webHidden/>
          </w:rPr>
          <w:fldChar w:fldCharType="end"/>
        </w:r>
      </w:hyperlink>
    </w:p>
    <w:p w:rsidR="00742F3F" w14:paraId="79BDBB6E" w14:textId="35E92682">
      <w:pPr>
        <w:pStyle w:val="TOC1"/>
        <w:rPr>
          <w:rFonts w:asciiTheme="minorHAnsi" w:eastAsiaTheme="minorEastAsia" w:hAnsiTheme="minorHAnsi"/>
          <w:noProof/>
          <w:sz w:val="22"/>
        </w:rPr>
      </w:pPr>
      <w:hyperlink w:anchor="_Toc98156469" w:history="1">
        <w:r w:rsidRPr="00B505A3" w:rsidR="003A28F9">
          <w:rPr>
            <w:rStyle w:val="Hyperlink"/>
            <w:noProof/>
          </w:rPr>
          <w:t>IV.</w:t>
        </w:r>
        <w:r w:rsidR="003A28F9">
          <w:rPr>
            <w:rFonts w:asciiTheme="minorHAnsi" w:eastAsiaTheme="minorEastAsia" w:hAnsiTheme="minorHAnsi"/>
            <w:noProof/>
            <w:sz w:val="22"/>
          </w:rPr>
          <w:tab/>
        </w:r>
        <w:r w:rsidRPr="00B505A3" w:rsidR="003A28F9">
          <w:rPr>
            <w:rStyle w:val="Hyperlink"/>
            <w:noProof/>
          </w:rPr>
          <w:t>CONCLUSION</w:t>
        </w:r>
        <w:r w:rsidR="003A28F9">
          <w:rPr>
            <w:noProof/>
            <w:webHidden/>
          </w:rPr>
          <w:tab/>
        </w:r>
        <w:r w:rsidR="003A28F9">
          <w:rPr>
            <w:noProof/>
            <w:webHidden/>
          </w:rPr>
          <w:fldChar w:fldCharType="begin"/>
        </w:r>
        <w:r w:rsidR="003A28F9">
          <w:rPr>
            <w:noProof/>
            <w:webHidden/>
          </w:rPr>
          <w:instrText xml:space="preserve"> PAGEREF _Toc98156469 \h </w:instrText>
        </w:r>
        <w:r w:rsidR="003A28F9">
          <w:rPr>
            <w:noProof/>
            <w:webHidden/>
          </w:rPr>
          <w:fldChar w:fldCharType="separate"/>
        </w:r>
        <w:r w:rsidR="003A28F9">
          <w:rPr>
            <w:noProof/>
            <w:webHidden/>
          </w:rPr>
          <w:t>11</w:t>
        </w:r>
        <w:r w:rsidR="003A28F9">
          <w:rPr>
            <w:noProof/>
            <w:webHidden/>
          </w:rPr>
          <w:fldChar w:fldCharType="end"/>
        </w:r>
      </w:hyperlink>
    </w:p>
    <w:p w:rsidR="003E0000" w:rsidP="003E0000" w14:paraId="7C8C4DDC" w14:textId="7ECC61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rPr>
      </w:pPr>
      <w:r>
        <w:rPr>
          <w:rFonts w:ascii="Times New Roman" w:hAnsi="Times New Roman"/>
          <w:b/>
          <w:bCs/>
          <w:sz w:val="24"/>
        </w:rPr>
        <w:fldChar w:fldCharType="end"/>
      </w:r>
    </w:p>
    <w:p w:rsidR="003E0000" w:rsidP="003E0000" w14:paraId="1092BF5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rPr>
      </w:pPr>
    </w:p>
    <w:p w:rsidR="003E0000" w:rsidRPr="003E0000" w:rsidP="003E0000" w14:paraId="5C4E51A7" w14:textId="340D11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rPr>
        <w:sectPr w:rsidSect="003E0000">
          <w:footerReference w:type="default" r:id="rId15"/>
          <w:pgSz w:w="12240" w:h="15840"/>
          <w:pgMar w:top="1440" w:right="1800" w:bottom="1440" w:left="1800" w:header="720" w:footer="720" w:gutter="0"/>
          <w:pgNumType w:fmt="lowerRoman" w:start="1"/>
          <w:cols w:space="720"/>
          <w:docGrid w:linePitch="360"/>
        </w:sectPr>
      </w:pPr>
    </w:p>
    <w:p w:rsidR="007A45BB" w:rsidP="007A45BB" w14:paraId="6E0BD564" w14:textId="1F3556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r>
        <w:rPr>
          <w:rFonts w:ascii="Times New Roman" w:hAnsi="Times New Roman"/>
          <w:b/>
          <w:bCs/>
          <w:sz w:val="24"/>
        </w:rPr>
        <w:t>BEFORE</w:t>
      </w:r>
    </w:p>
    <w:p w:rsidR="007A45BB" w:rsidP="007A45BB" w14:paraId="57064F5E"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7A45BB" w:rsidP="007A45BB" w14:paraId="281FB4AC" w14:textId="77777777">
      <w:pPr>
        <w:pStyle w:val="HTMLPreformatted"/>
        <w:rPr>
          <w:rFonts w:ascii="Times New Roman" w:hAnsi="Times New Roman"/>
          <w:sz w:val="12"/>
          <w:szCs w:val="12"/>
        </w:rPr>
      </w:pPr>
    </w:p>
    <w:tbl>
      <w:tblPr>
        <w:tblW w:w="8640" w:type="dxa"/>
        <w:tblInd w:w="0" w:type="dxa"/>
        <w:tblCellMar>
          <w:top w:w="0" w:type="dxa"/>
          <w:left w:w="108" w:type="dxa"/>
          <w:bottom w:w="0" w:type="dxa"/>
          <w:right w:w="108" w:type="dxa"/>
        </w:tblCellMar>
        <w:tblLook w:val="01E0"/>
      </w:tblPr>
      <w:tblGrid>
        <w:gridCol w:w="4230"/>
        <w:gridCol w:w="360"/>
        <w:gridCol w:w="4050"/>
      </w:tblGrid>
      <w:tr w14:paraId="395566E0" w14:textId="77777777" w:rsidTr="00CB3F2C">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7A45BB" w:rsidP="002804A5" w14:paraId="66ACECB6" w14:textId="61C0415E">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In the Matter of the Application of Aqua Ohio, Inc. to Increase its Rates and</w:t>
            </w:r>
          </w:p>
          <w:p w:rsidR="007A45BB" w:rsidP="002804A5" w14:paraId="01935327" w14:textId="52F2ACDC">
            <w:pPr>
              <w:autoSpaceDE w:val="0"/>
              <w:autoSpaceDN w:val="0"/>
              <w:adjustRightInd w:val="0"/>
              <w:spacing w:after="200" w:line="276"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Charges for Its Wa</w:t>
            </w:r>
            <w:r w:rsidR="00AE509F">
              <w:rPr>
                <w:rFonts w:ascii="Times New Roman" w:hAnsi="Times New Roman" w:eastAsiaTheme="minorHAnsi" w:cstheme="minorBidi"/>
                <w:sz w:val="24"/>
                <w:szCs w:val="24"/>
                <w:lang w:val="en-US" w:eastAsia="en-US" w:bidi="ar-SA"/>
              </w:rPr>
              <w:t>stewater</w:t>
            </w:r>
            <w:r>
              <w:rPr>
                <w:rFonts w:ascii="Times New Roman" w:hAnsi="Times New Roman" w:eastAsiaTheme="minorHAnsi" w:cstheme="minorBidi"/>
                <w:sz w:val="24"/>
                <w:szCs w:val="24"/>
                <w:lang w:val="en-US" w:eastAsia="en-US" w:bidi="ar-SA"/>
              </w:rPr>
              <w:t xml:space="preserve"> Service.</w:t>
            </w:r>
          </w:p>
        </w:tc>
        <w:tc>
          <w:tcPr>
            <w:tcW w:w="360" w:type="dxa"/>
            <w:shd w:val="clear" w:color="auto" w:fill="auto"/>
          </w:tcPr>
          <w:p w:rsidR="007A45BB" w:rsidP="006609BD" w14:paraId="0BE9A76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7A45BB" w:rsidP="006609BD" w14:paraId="1DC8090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7A45BB" w:rsidP="006609BD" w14:paraId="1E0EA15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7A45BB" w:rsidP="006609BD" w14:paraId="3D19D74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tc>
        <w:tc>
          <w:tcPr>
            <w:tcW w:w="4050" w:type="dxa"/>
            <w:shd w:val="clear" w:color="auto" w:fill="auto"/>
          </w:tcPr>
          <w:p w:rsidR="007A45BB" w:rsidP="006609BD" w14:paraId="236466E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p w:rsidR="007A45BB" w:rsidP="006609BD" w14:paraId="5DCD164B" w14:textId="20C88A9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21-59</w:t>
            </w:r>
            <w:r w:rsidR="00AE509F">
              <w:rPr>
                <w:rFonts w:ascii="Times New Roman" w:eastAsia="Courier New" w:hAnsi="Times New Roman" w:cs="Courier New"/>
                <w:sz w:val="24"/>
                <w:szCs w:val="24"/>
                <w:lang w:val="en-US" w:eastAsia="en-US" w:bidi="ar-SA"/>
              </w:rPr>
              <w:t>6</w:t>
            </w:r>
            <w:r>
              <w:rPr>
                <w:rFonts w:ascii="Times New Roman" w:eastAsia="Courier New" w:hAnsi="Times New Roman" w:cs="Courier New"/>
                <w:sz w:val="24"/>
                <w:szCs w:val="24"/>
                <w:lang w:val="en-US" w:eastAsia="en-US" w:bidi="ar-SA"/>
              </w:rPr>
              <w:t>-</w:t>
            </w:r>
            <w:r w:rsidR="00AE509F">
              <w:rPr>
                <w:rFonts w:ascii="Times New Roman" w:eastAsia="Courier New" w:hAnsi="Times New Roman" w:cs="Courier New"/>
                <w:sz w:val="24"/>
                <w:szCs w:val="24"/>
                <w:lang w:val="en-US" w:eastAsia="en-US" w:bidi="ar-SA"/>
              </w:rPr>
              <w:t>ST-AIR</w:t>
            </w:r>
          </w:p>
          <w:p w:rsidR="007A45BB" w:rsidP="006609BD" w14:paraId="1FDD1BA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p w:rsidR="007A45BB" w:rsidP="006609BD" w14:paraId="2499BF8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p>
        </w:tc>
      </w:tr>
    </w:tbl>
    <w:p w:rsidR="00B532DE" w:rsidRPr="00FD62BA" w:rsidP="00CB3F2C" w14:paraId="1B2B1903" w14:textId="77777777">
      <w:pPr>
        <w:pBdr>
          <w:top w:val="single" w:sz="12" w:space="0" w:color="auto"/>
        </w:pBdr>
        <w:tabs>
          <w:tab w:val="left" w:pos="-720"/>
        </w:tabs>
        <w:suppressAutoHyphens/>
        <w:spacing w:after="0"/>
        <w:jc w:val="center"/>
        <w:rPr>
          <w:b/>
          <w:bCs/>
          <w:spacing w:val="-3"/>
        </w:rPr>
      </w:pPr>
    </w:p>
    <w:p w:rsidR="00B532DE" w:rsidP="00B532DE" w14:paraId="12D69A0A" w14:textId="77777777">
      <w:pPr>
        <w:tabs>
          <w:tab w:val="left" w:pos="4770"/>
          <w:tab w:val="left" w:pos="6480"/>
        </w:tabs>
        <w:spacing w:after="0"/>
        <w:jc w:val="center"/>
        <w:rPr>
          <w:b/>
          <w:bCs/>
          <w:szCs w:val="24"/>
        </w:rPr>
      </w:pPr>
      <w:r w:rsidRPr="00FD62BA">
        <w:rPr>
          <w:b/>
        </w:rPr>
        <w:t>OBJECTION</w:t>
      </w:r>
      <w:r>
        <w:rPr>
          <w:b/>
        </w:rPr>
        <w:t>S</w:t>
      </w:r>
      <w:r w:rsidRPr="00FD62BA">
        <w:rPr>
          <w:b/>
        </w:rPr>
        <w:t xml:space="preserve"> TO </w:t>
      </w:r>
      <w:r w:rsidRPr="002177A2">
        <w:rPr>
          <w:b/>
          <w:bCs/>
          <w:szCs w:val="24"/>
        </w:rPr>
        <w:t xml:space="preserve">THE PUCO STAFF REPORT </w:t>
      </w:r>
    </w:p>
    <w:p w:rsidR="00B532DE" w:rsidRPr="00FD62BA" w:rsidP="00B532DE" w14:paraId="34036B5E" w14:textId="58E636F1">
      <w:pPr>
        <w:tabs>
          <w:tab w:val="left" w:pos="4770"/>
          <w:tab w:val="left" w:pos="6480"/>
        </w:tabs>
        <w:spacing w:after="0"/>
        <w:jc w:val="center"/>
        <w:rPr>
          <w:b/>
        </w:rPr>
      </w:pPr>
      <w:r w:rsidRPr="00FD62BA">
        <w:rPr>
          <w:b/>
        </w:rPr>
        <w:t>BY</w:t>
      </w:r>
    </w:p>
    <w:p w:rsidR="00B532DE" w:rsidRPr="00FD62BA" w:rsidP="00B532DE" w14:paraId="023AD429" w14:textId="77777777">
      <w:pPr>
        <w:tabs>
          <w:tab w:val="left" w:pos="4770"/>
          <w:tab w:val="left" w:pos="6480"/>
        </w:tabs>
        <w:spacing w:after="0"/>
        <w:jc w:val="center"/>
        <w:rPr>
          <w:b/>
        </w:rPr>
      </w:pPr>
      <w:r w:rsidRPr="00FD62BA">
        <w:rPr>
          <w:b/>
        </w:rPr>
        <w:t>OFFICE OF THE OHIO CONSUMERS’ COUNSEL</w:t>
      </w:r>
    </w:p>
    <w:p w:rsidR="00B532DE" w:rsidRPr="00FD62BA" w:rsidP="00B532DE" w14:paraId="25E9E8A9" w14:textId="77777777">
      <w:pPr>
        <w:pBdr>
          <w:bottom w:val="single" w:sz="12" w:space="1" w:color="auto"/>
        </w:pBdr>
        <w:tabs>
          <w:tab w:val="left" w:pos="-720"/>
        </w:tabs>
        <w:suppressAutoHyphens/>
        <w:jc w:val="center"/>
        <w:rPr>
          <w:b/>
          <w:bCs/>
          <w:spacing w:val="-3"/>
        </w:rPr>
      </w:pPr>
    </w:p>
    <w:p w:rsidR="0009490A" w:rsidP="00A9579E" w14:paraId="0022C90C" w14:textId="686EDFA1">
      <w:pPr>
        <w:pStyle w:val="Heading1"/>
      </w:pPr>
      <w:bookmarkStart w:id="1" w:name="_Toc98156459"/>
      <w:r>
        <w:t>INTRODUCTION</w:t>
      </w:r>
      <w:bookmarkEnd w:id="1"/>
    </w:p>
    <w:p w:rsidR="00B761E4" w:rsidP="00B761E4" w14:paraId="45AFB9E3" w14:textId="08794155">
      <w:pPr>
        <w:spacing w:after="0" w:line="480" w:lineRule="auto"/>
        <w:ind w:firstLine="720"/>
      </w:pPr>
      <w:r>
        <w:rPr>
          <w:rFonts w:cs="Times New Roman"/>
          <w:szCs w:val="24"/>
        </w:rPr>
        <w:t xml:space="preserve">Aqua </w:t>
      </w:r>
      <w:r w:rsidR="0009490A">
        <w:rPr>
          <w:rFonts w:cs="Times New Roman"/>
          <w:szCs w:val="24"/>
        </w:rPr>
        <w:t>Ohio</w:t>
      </w:r>
      <w:r>
        <w:rPr>
          <w:rFonts w:cs="Times New Roman"/>
          <w:szCs w:val="24"/>
        </w:rPr>
        <w:t>, Inc.</w:t>
      </w:r>
      <w:r w:rsidR="0009490A">
        <w:rPr>
          <w:rFonts w:cs="Times New Roman"/>
          <w:szCs w:val="24"/>
        </w:rPr>
        <w:t xml:space="preserve"> (“</w:t>
      </w:r>
      <w:r>
        <w:rPr>
          <w:rFonts w:cs="Times New Roman"/>
          <w:szCs w:val="24"/>
        </w:rPr>
        <w:t>Aqua”</w:t>
      </w:r>
      <w:r w:rsidR="0009490A">
        <w:rPr>
          <w:rFonts w:cs="Times New Roman"/>
          <w:szCs w:val="24"/>
        </w:rPr>
        <w:t xml:space="preserve">) seeks to increase the </w:t>
      </w:r>
      <w:r>
        <w:rPr>
          <w:rFonts w:cs="Times New Roman"/>
          <w:szCs w:val="24"/>
        </w:rPr>
        <w:t xml:space="preserve">annual </w:t>
      </w:r>
      <w:r w:rsidR="0009490A">
        <w:rPr>
          <w:rFonts w:cs="Times New Roman"/>
          <w:szCs w:val="24"/>
        </w:rPr>
        <w:t>amount that it charges c</w:t>
      </w:r>
      <w:r>
        <w:rPr>
          <w:rFonts w:cs="Times New Roman"/>
          <w:szCs w:val="24"/>
        </w:rPr>
        <w:t xml:space="preserve">onsumers by an additional $454,404 </w:t>
      </w:r>
      <w:r w:rsidR="0009490A">
        <w:rPr>
          <w:rFonts w:cs="Times New Roman"/>
          <w:szCs w:val="24"/>
        </w:rPr>
        <w:t xml:space="preserve">for </w:t>
      </w:r>
      <w:r>
        <w:rPr>
          <w:rFonts w:cs="Times New Roman"/>
          <w:szCs w:val="24"/>
        </w:rPr>
        <w:t>wa</w:t>
      </w:r>
      <w:r w:rsidR="00AE509F">
        <w:rPr>
          <w:rFonts w:cs="Times New Roman"/>
          <w:szCs w:val="24"/>
        </w:rPr>
        <w:t>stewater</w:t>
      </w:r>
      <w:r w:rsidR="0009490A">
        <w:rPr>
          <w:rFonts w:cs="Times New Roman"/>
          <w:szCs w:val="24"/>
        </w:rPr>
        <w:t xml:space="preserve"> service.</w:t>
      </w:r>
      <w:r>
        <w:rPr>
          <w:rStyle w:val="FootnoteReference"/>
        </w:rPr>
        <w:footnoteReference w:id="2"/>
      </w:r>
      <w:r w:rsidR="00FD658C">
        <w:rPr>
          <w:rFonts w:cs="Times New Roman"/>
          <w:szCs w:val="24"/>
        </w:rPr>
        <w:t xml:space="preserve"> </w:t>
      </w:r>
      <w:r>
        <w:rPr>
          <w:rFonts w:cs="Times New Roman"/>
          <w:szCs w:val="24"/>
        </w:rPr>
        <w:t>Aqua Ohio’s</w:t>
      </w:r>
      <w:r>
        <w:t xml:space="preserve"> requested increase represents an overall 12.8% increase to its existing base rates. </w:t>
      </w:r>
      <w:r w:rsidR="0009490A">
        <w:rPr>
          <w:rFonts w:cs="Times New Roman"/>
          <w:szCs w:val="24"/>
        </w:rPr>
        <w:t>The P</w:t>
      </w:r>
      <w:r w:rsidR="00F86E2E">
        <w:rPr>
          <w:rFonts w:cs="Times New Roman"/>
          <w:szCs w:val="24"/>
        </w:rPr>
        <w:t>ublic Utilities Commission of Ohio Staff</w:t>
      </w:r>
      <w:r w:rsidR="0035211B">
        <w:rPr>
          <w:rFonts w:cs="Times New Roman"/>
          <w:szCs w:val="24"/>
        </w:rPr>
        <w:t xml:space="preserve"> (“Staff Report”)</w:t>
      </w:r>
      <w:r>
        <w:rPr>
          <w:rStyle w:val="FootnoteReference"/>
          <w:rFonts w:cs="Times New Roman"/>
          <w:szCs w:val="24"/>
        </w:rPr>
        <w:footnoteReference w:id="3"/>
      </w:r>
      <w:r w:rsidR="00F86E2E">
        <w:rPr>
          <w:rFonts w:cs="Times New Roman"/>
          <w:szCs w:val="24"/>
        </w:rPr>
        <w:t xml:space="preserve"> </w:t>
      </w:r>
      <w:r w:rsidR="008E0AAF">
        <w:rPr>
          <w:rFonts w:cs="Times New Roman"/>
          <w:szCs w:val="24"/>
        </w:rPr>
        <w:t>and its auditor Larkin &amp; Associates, PLLC (“</w:t>
      </w:r>
      <w:r w:rsidR="0035211B">
        <w:rPr>
          <w:rFonts w:cs="Times New Roman"/>
          <w:szCs w:val="24"/>
        </w:rPr>
        <w:t>Audit Report”</w:t>
      </w:r>
      <w:r w:rsidR="008E0AAF">
        <w:rPr>
          <w:rFonts w:cs="Times New Roman"/>
          <w:szCs w:val="24"/>
        </w:rPr>
        <w:t xml:space="preserve">) </w:t>
      </w:r>
      <w:r w:rsidR="00F86E2E">
        <w:rPr>
          <w:rFonts w:cs="Times New Roman"/>
          <w:szCs w:val="24"/>
        </w:rPr>
        <w:t xml:space="preserve">recommend an increase to consumers </w:t>
      </w:r>
      <w:r w:rsidR="005079CE">
        <w:rPr>
          <w:rFonts w:cs="Times New Roman"/>
          <w:szCs w:val="24"/>
        </w:rPr>
        <w:t xml:space="preserve">in the range </w:t>
      </w:r>
      <w:r w:rsidR="00F86E2E">
        <w:rPr>
          <w:rFonts w:cs="Times New Roman"/>
          <w:szCs w:val="24"/>
        </w:rPr>
        <w:t>of $</w:t>
      </w:r>
      <w:r w:rsidR="00AE509F">
        <w:rPr>
          <w:rFonts w:cs="Times New Roman"/>
          <w:szCs w:val="24"/>
        </w:rPr>
        <w:t>167,839 to $256,662</w:t>
      </w:r>
      <w:r w:rsidR="00F86E2E">
        <w:rPr>
          <w:rFonts w:cs="Times New Roman"/>
          <w:szCs w:val="24"/>
        </w:rPr>
        <w:t>.</w:t>
      </w:r>
      <w:r>
        <w:rPr>
          <w:rStyle w:val="FootnoteReference"/>
          <w:rFonts w:cs="Times New Roman"/>
          <w:szCs w:val="24"/>
        </w:rPr>
        <w:footnoteReference w:id="4"/>
      </w:r>
      <w:r w:rsidR="00F86E2E">
        <w:rPr>
          <w:rFonts w:cs="Times New Roman"/>
          <w:szCs w:val="24"/>
        </w:rPr>
        <w:t xml:space="preserve"> </w:t>
      </w:r>
      <w:r>
        <w:t xml:space="preserve">OCC’s analysis has produced a lowered and more reasonable amount of $135,996 for Aqua wastewater </w:t>
      </w:r>
      <w:r w:rsidR="00775C0D">
        <w:t>charges t</w:t>
      </w:r>
      <w:r w:rsidR="005079CE">
        <w:t>o</w:t>
      </w:r>
      <w:r w:rsidR="00775C0D">
        <w:t xml:space="preserve"> consumers </w:t>
      </w:r>
      <w:r>
        <w:t>as a result of OCC’s lower rate of return recommendation.</w:t>
      </w:r>
      <w:r>
        <w:rPr>
          <w:rStyle w:val="FootnoteReference"/>
        </w:rPr>
        <w:footnoteReference w:id="5"/>
      </w:r>
    </w:p>
    <w:p w:rsidR="000E49A3" w:rsidP="00B35B2B" w14:paraId="4E5EE090" w14:textId="64448004">
      <w:pPr>
        <w:spacing w:after="0" w:line="480" w:lineRule="auto"/>
        <w:ind w:firstLine="720"/>
      </w:pPr>
      <w:r>
        <w:rPr>
          <w:rFonts w:cs="Times New Roman"/>
          <w:szCs w:val="24"/>
        </w:rPr>
        <w:t>Larkin &amp; Associates, PLLC (“Larkin”) conduct</w:t>
      </w:r>
      <w:r w:rsidR="003B0F02">
        <w:rPr>
          <w:rFonts w:cs="Times New Roman"/>
          <w:szCs w:val="24"/>
        </w:rPr>
        <w:t>ed</w:t>
      </w:r>
      <w:r>
        <w:rPr>
          <w:rFonts w:cs="Times New Roman"/>
          <w:szCs w:val="24"/>
        </w:rPr>
        <w:t xml:space="preserve"> </w:t>
      </w:r>
      <w:r w:rsidR="00A461C0">
        <w:rPr>
          <w:rFonts w:cs="Times New Roman"/>
          <w:szCs w:val="24"/>
        </w:rPr>
        <w:t>the</w:t>
      </w:r>
      <w:r w:rsidR="0009490A">
        <w:rPr>
          <w:rFonts w:cs="Times New Roman"/>
          <w:szCs w:val="24"/>
        </w:rPr>
        <w:t xml:space="preserve"> </w:t>
      </w:r>
      <w:r w:rsidR="009E3659">
        <w:rPr>
          <w:rFonts w:cs="Times New Roman"/>
          <w:szCs w:val="24"/>
        </w:rPr>
        <w:t xml:space="preserve">audit of the revenue requirement, rate base, and net operating income proposed by Aqua. </w:t>
      </w:r>
      <w:r w:rsidR="003B0F02">
        <w:rPr>
          <w:rFonts w:cs="Times New Roman"/>
          <w:szCs w:val="24"/>
        </w:rPr>
        <w:t xml:space="preserve">Larkin subcontracted with Acadian Consulting Group (“ACG”) to address the cost of service, revenue distribution and rate design issues. PUCO Staff performed a </w:t>
      </w:r>
      <w:r w:rsidR="009E3659">
        <w:rPr>
          <w:rFonts w:cs="Times New Roman"/>
          <w:szCs w:val="24"/>
        </w:rPr>
        <w:t xml:space="preserve">rate of return analysis </w:t>
      </w:r>
      <w:r w:rsidR="00A461C0">
        <w:rPr>
          <w:rFonts w:cs="Times New Roman"/>
          <w:szCs w:val="24"/>
        </w:rPr>
        <w:t>and service monitoring and enforcement investigation</w:t>
      </w:r>
      <w:r w:rsidR="009E3659">
        <w:rPr>
          <w:rFonts w:cs="Times New Roman"/>
          <w:szCs w:val="24"/>
        </w:rPr>
        <w:t xml:space="preserve">. </w:t>
      </w:r>
      <w:r>
        <w:rPr>
          <w:rFonts w:cs="Times New Roman"/>
          <w:szCs w:val="24"/>
        </w:rPr>
        <w:t>Larkin’s</w:t>
      </w:r>
      <w:r w:rsidR="004D768F">
        <w:rPr>
          <w:rFonts w:cs="Times New Roman"/>
          <w:szCs w:val="24"/>
        </w:rPr>
        <w:t xml:space="preserve"> audit report</w:t>
      </w:r>
      <w:r w:rsidR="0009490A">
        <w:rPr>
          <w:rFonts w:cs="Times New Roman"/>
          <w:szCs w:val="24"/>
        </w:rPr>
        <w:t xml:space="preserve"> </w:t>
      </w:r>
      <w:r w:rsidR="003B0F02">
        <w:rPr>
          <w:rFonts w:cs="Times New Roman"/>
          <w:szCs w:val="24"/>
        </w:rPr>
        <w:t>was filed</w:t>
      </w:r>
      <w:r w:rsidR="004D768F">
        <w:rPr>
          <w:rFonts w:cs="Times New Roman"/>
          <w:szCs w:val="24"/>
        </w:rPr>
        <w:t xml:space="preserve"> </w:t>
      </w:r>
      <w:r w:rsidR="0009490A">
        <w:rPr>
          <w:rFonts w:cs="Times New Roman"/>
          <w:szCs w:val="24"/>
        </w:rPr>
        <w:t xml:space="preserve">on </w:t>
      </w:r>
      <w:r w:rsidR="004D768F">
        <w:rPr>
          <w:rFonts w:cs="Times New Roman"/>
          <w:szCs w:val="24"/>
        </w:rPr>
        <w:t>February</w:t>
      </w:r>
      <w:r w:rsidR="0009490A">
        <w:rPr>
          <w:rFonts w:cs="Times New Roman"/>
          <w:szCs w:val="24"/>
        </w:rPr>
        <w:t xml:space="preserve"> 1</w:t>
      </w:r>
      <w:r w:rsidR="004D768F">
        <w:rPr>
          <w:rFonts w:cs="Times New Roman"/>
          <w:szCs w:val="24"/>
        </w:rPr>
        <w:t>1</w:t>
      </w:r>
      <w:r w:rsidR="0009490A">
        <w:rPr>
          <w:rFonts w:cs="Times New Roman"/>
          <w:szCs w:val="24"/>
        </w:rPr>
        <w:t>, 202</w:t>
      </w:r>
      <w:r w:rsidR="004D768F">
        <w:rPr>
          <w:rFonts w:cs="Times New Roman"/>
          <w:szCs w:val="24"/>
        </w:rPr>
        <w:t>2</w:t>
      </w:r>
      <w:r w:rsidR="0009490A">
        <w:rPr>
          <w:rFonts w:cs="Times New Roman"/>
          <w:szCs w:val="24"/>
        </w:rPr>
        <w:t>.</w:t>
      </w:r>
      <w:r w:rsidR="00CB3F2C">
        <w:rPr>
          <w:rFonts w:cs="Times New Roman"/>
          <w:szCs w:val="24"/>
        </w:rPr>
        <w:t xml:space="preserve"> </w:t>
      </w:r>
      <w:r w:rsidR="00A461C0">
        <w:rPr>
          <w:rFonts w:cs="Times New Roman"/>
          <w:szCs w:val="24"/>
        </w:rPr>
        <w:t>The combined efforts of Larkin</w:t>
      </w:r>
      <w:r w:rsidR="003B0F02">
        <w:rPr>
          <w:rFonts w:cs="Times New Roman"/>
          <w:szCs w:val="24"/>
        </w:rPr>
        <w:t>,</w:t>
      </w:r>
      <w:r>
        <w:rPr>
          <w:rFonts w:cs="Times New Roman"/>
          <w:szCs w:val="24"/>
        </w:rPr>
        <w:t xml:space="preserve"> ACG</w:t>
      </w:r>
      <w:r w:rsidR="00A461C0">
        <w:rPr>
          <w:rFonts w:cs="Times New Roman"/>
          <w:szCs w:val="24"/>
        </w:rPr>
        <w:t xml:space="preserve">, </w:t>
      </w:r>
      <w:r>
        <w:rPr>
          <w:rFonts w:cs="Times New Roman"/>
          <w:szCs w:val="24"/>
        </w:rPr>
        <w:t xml:space="preserve">and </w:t>
      </w:r>
      <w:r w:rsidR="00A461C0">
        <w:rPr>
          <w:rFonts w:cs="Times New Roman"/>
          <w:szCs w:val="24"/>
        </w:rPr>
        <w:t>the PUCO Staff form the PUCO Staff Repor</w:t>
      </w:r>
      <w:r w:rsidR="003B0F02">
        <w:rPr>
          <w:rFonts w:cs="Times New Roman"/>
          <w:szCs w:val="24"/>
        </w:rPr>
        <w:t xml:space="preserve">t, also filed on February </w:t>
      </w:r>
      <w:r w:rsidR="001730F4">
        <w:rPr>
          <w:rFonts w:cs="Times New Roman"/>
          <w:szCs w:val="24"/>
        </w:rPr>
        <w:t xml:space="preserve">11, </w:t>
      </w:r>
      <w:r w:rsidR="003B0F02">
        <w:rPr>
          <w:rFonts w:cs="Times New Roman"/>
          <w:szCs w:val="24"/>
        </w:rPr>
        <w:t>2022.</w:t>
      </w:r>
      <w:r w:rsidRPr="0094406C" w:rsidR="00A461C0">
        <w:t xml:space="preserve"> </w:t>
      </w:r>
    </w:p>
    <w:p w:rsidR="003C000C" w:rsidP="00B35B2B" w14:paraId="62961D70" w14:textId="17AFD6A1">
      <w:pPr>
        <w:spacing w:after="0" w:line="480" w:lineRule="auto"/>
        <w:ind w:firstLine="720"/>
      </w:pPr>
      <w:r w:rsidRPr="0094406C">
        <w:t>The Office of the Ohio Consumers’ Counsel (“OCC”) appreciate</w:t>
      </w:r>
      <w:r w:rsidR="00B761E4">
        <w:t>s</w:t>
      </w:r>
      <w:r w:rsidRPr="0094406C">
        <w:t xml:space="preserve"> the </w:t>
      </w:r>
      <w:r w:rsidR="003B0F02">
        <w:t xml:space="preserve">Audit Report analysis and the </w:t>
      </w:r>
      <w:r w:rsidR="00AA5501">
        <w:t>PUCO Staff</w:t>
      </w:r>
      <w:r w:rsidRPr="0094406C">
        <w:t xml:space="preserve"> Report recommendations that benefit consumers. However, the </w:t>
      </w:r>
      <w:r w:rsidR="00AA5501">
        <w:t>Staff</w:t>
      </w:r>
      <w:r w:rsidRPr="0094406C">
        <w:t xml:space="preserve"> Report falls short of </w:t>
      </w:r>
      <w:r w:rsidR="005079CE">
        <w:t>adequately</w:t>
      </w:r>
      <w:r w:rsidRPr="0094406C">
        <w:t xml:space="preserve"> protecting residential consumers in </w:t>
      </w:r>
      <w:r w:rsidR="00C6561E">
        <w:t>several</w:t>
      </w:r>
      <w:r w:rsidRPr="0094406C">
        <w:t xml:space="preserve"> ways, as explained in these </w:t>
      </w:r>
      <w:r w:rsidR="003B0F02">
        <w:t>O</w:t>
      </w:r>
      <w:r w:rsidRPr="0094406C">
        <w:t>bjection</w:t>
      </w:r>
      <w:r w:rsidR="000E49A3">
        <w:t>s. The PUCO should adopt OCC’s consumer protections recommendations</w:t>
      </w:r>
      <w:r w:rsidR="00F777DF">
        <w:t>.</w:t>
      </w:r>
      <w:r w:rsidR="00C6561E">
        <w:t xml:space="preserve"> </w:t>
      </w:r>
    </w:p>
    <w:p w:rsidR="00A9579E" w:rsidP="00A9579E" w14:paraId="25E0841E" w14:textId="77777777">
      <w:pPr>
        <w:spacing w:after="0" w:line="240" w:lineRule="auto"/>
        <w:ind w:firstLine="720"/>
      </w:pPr>
    </w:p>
    <w:p w:rsidR="002177A2" w:rsidRPr="00A34705" w:rsidP="00A9579E" w14:paraId="36FFD8E7" w14:textId="2D3783DF">
      <w:pPr>
        <w:pStyle w:val="Heading1"/>
      </w:pPr>
      <w:bookmarkStart w:id="2" w:name="_Toc98156460"/>
      <w:r w:rsidRPr="00A34705">
        <w:t>SUMMARY</w:t>
      </w:r>
      <w:r w:rsidR="007661F4">
        <w:t xml:space="preserve"> OF FINDINGS AND RECOMMENDATIONS SUPPORTED BY OCC</w:t>
      </w:r>
      <w:bookmarkEnd w:id="2"/>
      <w:r w:rsidR="007661F4">
        <w:t xml:space="preserve"> </w:t>
      </w:r>
    </w:p>
    <w:p w:rsidR="0009490A" w:rsidP="0009490A" w14:paraId="6FAB0F8C" w14:textId="5B5277AF">
      <w:pPr>
        <w:spacing w:after="0" w:line="480" w:lineRule="auto"/>
        <w:ind w:firstLine="720"/>
        <w:rPr>
          <w:rFonts w:cs="Times New Roman"/>
          <w:szCs w:val="24"/>
        </w:rPr>
      </w:pPr>
      <w:r>
        <w:rPr>
          <w:rFonts w:cs="Times New Roman"/>
          <w:szCs w:val="24"/>
        </w:rPr>
        <w:t xml:space="preserve">The Office of the Ohio Consumers' Counsel ("OCC") supports the following findings, conclusions, and recommendations </w:t>
      </w:r>
      <w:r w:rsidR="00216F2C">
        <w:rPr>
          <w:rFonts w:cs="Times New Roman"/>
          <w:szCs w:val="24"/>
        </w:rPr>
        <w:t xml:space="preserve">from the Audit Report (adopted by the </w:t>
      </w:r>
      <w:r>
        <w:rPr>
          <w:rFonts w:cs="Times New Roman"/>
          <w:szCs w:val="24"/>
        </w:rPr>
        <w:t>Staff Report</w:t>
      </w:r>
      <w:r w:rsidR="00216F2C">
        <w:rPr>
          <w:rFonts w:cs="Times New Roman"/>
          <w:szCs w:val="24"/>
        </w:rPr>
        <w:t>):</w:t>
      </w:r>
    </w:p>
    <w:p w:rsidR="004B5AC9" w:rsidP="00CE0C1A" w14:paraId="78B4871E" w14:textId="62188517">
      <w:pPr>
        <w:pStyle w:val="ListParagraph"/>
        <w:numPr>
          <w:ilvl w:val="0"/>
          <w:numId w:val="1"/>
        </w:numPr>
        <w:spacing w:after="0"/>
        <w:ind w:hanging="720"/>
        <w:rPr>
          <w:rFonts w:ascii="Times New Roman" w:hAnsi="Times New Roman" w:cs="Times New Roman"/>
          <w:sz w:val="24"/>
          <w:szCs w:val="24"/>
        </w:rPr>
      </w:pPr>
      <w:r>
        <w:rPr>
          <w:rFonts w:ascii="Times New Roman" w:hAnsi="Times New Roman" w:cs="Times New Roman"/>
          <w:sz w:val="24"/>
          <w:szCs w:val="24"/>
        </w:rPr>
        <w:t>Larkin correctly removed Aqua’s proposed utility division plant additions that have been determined to not be in service by December 31, 2021</w:t>
      </w:r>
      <w:r w:rsidR="00755E54">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9F49CE" w:rsidP="009F49CE" w14:paraId="61B6B8EB" w14:textId="77777777">
      <w:pPr>
        <w:pStyle w:val="ListParagraph"/>
        <w:ind w:left="1440"/>
        <w:rPr>
          <w:rFonts w:ascii="Times New Roman" w:hAnsi="Times New Roman" w:cs="Times New Roman"/>
          <w:sz w:val="24"/>
          <w:szCs w:val="24"/>
        </w:rPr>
      </w:pPr>
    </w:p>
    <w:p w:rsidR="0009490A" w:rsidP="00CE0C1A" w14:paraId="6E847FC5" w14:textId="56D7BABF">
      <w:pPr>
        <w:pStyle w:val="ListParagraph"/>
        <w:numPr>
          <w:ilvl w:val="0"/>
          <w:numId w:val="1"/>
        </w:numPr>
        <w:spacing w:after="0"/>
        <w:ind w:hanging="720"/>
        <w:rPr>
          <w:rFonts w:ascii="Times New Roman" w:hAnsi="Times New Roman" w:cs="Times New Roman"/>
          <w:sz w:val="24"/>
          <w:szCs w:val="24"/>
        </w:rPr>
      </w:pPr>
      <w:r>
        <w:rPr>
          <w:rFonts w:ascii="Times New Roman" w:hAnsi="Times New Roman" w:cs="Times New Roman"/>
          <w:sz w:val="24"/>
          <w:szCs w:val="24"/>
        </w:rPr>
        <w:t xml:space="preserve">Larkin correctly updated the costs for plant additions that are in service </w:t>
      </w:r>
      <w:r w:rsidR="00B07266">
        <w:rPr>
          <w:rFonts w:ascii="Times New Roman" w:hAnsi="Times New Roman" w:cs="Times New Roman"/>
          <w:sz w:val="24"/>
          <w:szCs w:val="24"/>
        </w:rPr>
        <w:t>by December 31, 2021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9F49CE" w:rsidP="009F49CE" w14:paraId="2D2405AF" w14:textId="77777777">
      <w:pPr>
        <w:pStyle w:val="ListParagraph"/>
        <w:ind w:left="1440"/>
        <w:rPr>
          <w:rFonts w:ascii="Times New Roman" w:hAnsi="Times New Roman" w:cs="Times New Roman"/>
          <w:sz w:val="24"/>
          <w:szCs w:val="24"/>
        </w:rPr>
      </w:pPr>
    </w:p>
    <w:p w:rsidR="0009490A" w:rsidP="00CE0C1A" w14:paraId="6C2694B0" w14:textId="61D402DA">
      <w:pPr>
        <w:pStyle w:val="ListParagraph"/>
        <w:numPr>
          <w:ilvl w:val="0"/>
          <w:numId w:val="1"/>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Larkin correctly removed the cost for the Service Center SAP System because it is not used and useful by date certain.</w:t>
      </w:r>
      <w:r>
        <w:rPr>
          <w:rStyle w:val="FootnoteReference"/>
          <w:rFonts w:ascii="Times New Roman" w:hAnsi="Times New Roman" w:cs="Times New Roman"/>
          <w:sz w:val="24"/>
          <w:szCs w:val="24"/>
        </w:rPr>
        <w:footnoteReference w:id="8"/>
      </w:r>
    </w:p>
    <w:p w:rsidR="009F49CE" w:rsidP="009F49CE" w14:paraId="1D7E56DD" w14:textId="77777777">
      <w:pPr>
        <w:pStyle w:val="ListParagraph"/>
        <w:spacing w:after="240" w:line="240" w:lineRule="auto"/>
        <w:ind w:left="1440"/>
        <w:rPr>
          <w:rFonts w:ascii="Times New Roman" w:hAnsi="Times New Roman" w:cs="Times New Roman"/>
          <w:sz w:val="24"/>
          <w:szCs w:val="24"/>
        </w:rPr>
      </w:pPr>
    </w:p>
    <w:p w:rsidR="0009490A" w:rsidP="0009490A" w14:paraId="1F2301FA" w14:textId="12D724D2">
      <w:pPr>
        <w:pStyle w:val="ListParagraph"/>
        <w:numPr>
          <w:ilvl w:val="0"/>
          <w:numId w:val="1"/>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Larkin correctly removed service center plant additions not in service by date certain.</w:t>
      </w:r>
      <w:r>
        <w:rPr>
          <w:rStyle w:val="FootnoteReference"/>
          <w:rFonts w:ascii="Times New Roman" w:hAnsi="Times New Roman" w:cs="Times New Roman"/>
          <w:sz w:val="24"/>
          <w:szCs w:val="24"/>
        </w:rPr>
        <w:footnoteReference w:id="9"/>
      </w:r>
    </w:p>
    <w:p w:rsidR="00755E54" w:rsidP="00CE0C1A" w14:paraId="38FBB4C0" w14:textId="00A4BD17">
      <w:pPr>
        <w:pStyle w:val="ListParagraph"/>
        <w:numPr>
          <w:ilvl w:val="0"/>
          <w:numId w:val="1"/>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Larkin correctly adjusted depreciation reserve </w:t>
      </w:r>
      <w:r w:rsidR="003B1A32">
        <w:rPr>
          <w:rFonts w:ascii="Times New Roman" w:hAnsi="Times New Roman" w:cs="Times New Roman"/>
          <w:sz w:val="24"/>
          <w:szCs w:val="24"/>
        </w:rPr>
        <w:t>resulting from the adjustments to the divisional and service center plant in service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9F49CE" w:rsidRPr="009F49CE" w:rsidP="009F49CE" w14:paraId="7B271F01" w14:textId="77777777">
      <w:pPr>
        <w:pStyle w:val="ListParagraph"/>
        <w:rPr>
          <w:rFonts w:ascii="Times New Roman" w:hAnsi="Times New Roman" w:cs="Times New Roman"/>
          <w:sz w:val="24"/>
          <w:szCs w:val="24"/>
        </w:rPr>
      </w:pPr>
    </w:p>
    <w:p w:rsidR="004D2A6C" w:rsidP="00CE0C1A" w14:paraId="6F436FC6" w14:textId="4B774F59">
      <w:pPr>
        <w:pStyle w:val="ListParagraph"/>
        <w:numPr>
          <w:ilvl w:val="0"/>
          <w:numId w:val="1"/>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Larkin correctly removed labor expenses that were overstated during the test year.</w:t>
      </w:r>
      <w:r>
        <w:rPr>
          <w:rStyle w:val="FootnoteReference"/>
          <w:rFonts w:ascii="Times New Roman" w:hAnsi="Times New Roman" w:cs="Times New Roman"/>
          <w:sz w:val="24"/>
          <w:szCs w:val="24"/>
        </w:rPr>
        <w:footnoteReference w:id="11"/>
      </w:r>
    </w:p>
    <w:p w:rsidR="009F49CE" w:rsidRPr="009F49CE" w:rsidP="009F49CE" w14:paraId="1F7D0C3A" w14:textId="77777777">
      <w:pPr>
        <w:pStyle w:val="ListParagraph"/>
        <w:rPr>
          <w:rFonts w:ascii="Times New Roman" w:hAnsi="Times New Roman" w:cs="Times New Roman"/>
          <w:sz w:val="24"/>
          <w:szCs w:val="24"/>
        </w:rPr>
      </w:pPr>
    </w:p>
    <w:p w:rsidR="00617664" w:rsidP="00CE0C1A" w14:paraId="705DADCE" w14:textId="593FD5A1">
      <w:pPr>
        <w:pStyle w:val="ListParagraph"/>
        <w:numPr>
          <w:ilvl w:val="0"/>
          <w:numId w:val="1"/>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Larkin correctly removed incentive compensation expense that is a shareholder responsibility</w:t>
      </w:r>
      <w:r w:rsidR="004D2A6C">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B761E4" w:rsidRPr="00B761E4" w:rsidP="00B761E4" w14:paraId="17814376" w14:textId="77777777">
      <w:pPr>
        <w:pStyle w:val="ListParagraph"/>
        <w:rPr>
          <w:rFonts w:ascii="Times New Roman" w:hAnsi="Times New Roman" w:cs="Times New Roman"/>
          <w:sz w:val="24"/>
          <w:szCs w:val="24"/>
        </w:rPr>
      </w:pPr>
    </w:p>
    <w:p w:rsidR="00CA25A8" w:rsidRPr="00FA5216" w:rsidP="003B1A32" w14:paraId="4A0644DA" w14:textId="0A23A552">
      <w:pPr>
        <w:pStyle w:val="ListParagraph"/>
        <w:numPr>
          <w:ilvl w:val="0"/>
          <w:numId w:val="1"/>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Larkin correctly removed stock-based compensation as it provides no benefit to consumers.</w:t>
      </w:r>
      <w:r>
        <w:rPr>
          <w:rStyle w:val="FootnoteReference"/>
          <w:rFonts w:ascii="Times New Roman" w:hAnsi="Times New Roman" w:cs="Times New Roman"/>
          <w:sz w:val="24"/>
          <w:szCs w:val="24"/>
        </w:rPr>
        <w:footnoteReference w:id="13"/>
      </w:r>
      <w:r w:rsidRPr="003B1A32" w:rsidR="009307D0">
        <w:rPr>
          <w:rFonts w:cs="Times New Roman"/>
          <w:szCs w:val="24"/>
        </w:rPr>
        <w:t xml:space="preserve"> </w:t>
      </w:r>
    </w:p>
    <w:p w:rsidR="00FA5216" w:rsidRPr="00CA25A8" w:rsidP="00FA5216" w14:paraId="1489E1FB" w14:textId="77777777">
      <w:pPr>
        <w:pStyle w:val="ListParagraph"/>
        <w:spacing w:after="240" w:line="240" w:lineRule="auto"/>
        <w:ind w:left="1440"/>
        <w:rPr>
          <w:rFonts w:ascii="Times New Roman" w:hAnsi="Times New Roman" w:cs="Times New Roman"/>
          <w:sz w:val="24"/>
          <w:szCs w:val="24"/>
        </w:rPr>
      </w:pPr>
    </w:p>
    <w:p w:rsidR="004D2A6C" w:rsidP="00CE0C1A" w14:paraId="47384321" w14:textId="742CA1AC">
      <w:pPr>
        <w:pStyle w:val="ListParagraph"/>
        <w:numPr>
          <w:ilvl w:val="0"/>
          <w:numId w:val="1"/>
        </w:numPr>
        <w:spacing w:after="0" w:line="240" w:lineRule="auto"/>
        <w:ind w:hanging="720"/>
        <w:rPr>
          <w:rFonts w:ascii="Times New Roman" w:hAnsi="Times New Roman" w:cs="Times New Roman"/>
          <w:sz w:val="24"/>
          <w:szCs w:val="24"/>
        </w:rPr>
      </w:pPr>
      <w:r w:rsidRPr="002177A2">
        <w:rPr>
          <w:rFonts w:ascii="Times New Roman" w:hAnsi="Times New Roman" w:cs="Times New Roman"/>
          <w:sz w:val="24"/>
          <w:szCs w:val="24"/>
        </w:rPr>
        <w:t>Larkin correctly reduced payroll tax associated with its adjustments to payroll, incentive compensation and stock-based compensation.</w:t>
      </w:r>
      <w:r>
        <w:rPr>
          <w:rStyle w:val="FootnoteReference"/>
          <w:rFonts w:ascii="Times New Roman" w:hAnsi="Times New Roman" w:cs="Times New Roman"/>
          <w:sz w:val="24"/>
          <w:szCs w:val="24"/>
        </w:rPr>
        <w:footnoteReference w:id="14"/>
      </w:r>
      <w:r w:rsidRPr="002177A2">
        <w:rPr>
          <w:rFonts w:ascii="Times New Roman" w:hAnsi="Times New Roman" w:cs="Times New Roman"/>
          <w:sz w:val="24"/>
          <w:szCs w:val="24"/>
        </w:rPr>
        <w:t xml:space="preserve"> </w:t>
      </w:r>
    </w:p>
    <w:p w:rsidR="00FA5216" w:rsidRPr="00FA5216" w:rsidP="00FA5216" w14:paraId="00BC9D61" w14:textId="77777777">
      <w:pPr>
        <w:pStyle w:val="ListParagraph"/>
        <w:rPr>
          <w:rFonts w:ascii="Times New Roman" w:hAnsi="Times New Roman" w:cs="Times New Roman"/>
          <w:sz w:val="24"/>
          <w:szCs w:val="24"/>
        </w:rPr>
      </w:pPr>
    </w:p>
    <w:p w:rsidR="001A29F3" w:rsidP="00CE0C1A" w14:paraId="2A072CC9" w14:textId="732FBD02">
      <w:pPr>
        <w:pStyle w:val="ListParagraph"/>
        <w:numPr>
          <w:ilvl w:val="0"/>
          <w:numId w:val="1"/>
        </w:numPr>
        <w:spacing w:after="0" w:line="240" w:lineRule="auto"/>
        <w:ind w:hanging="720"/>
        <w:rPr>
          <w:rFonts w:ascii="Times New Roman" w:hAnsi="Times New Roman" w:cs="Times New Roman"/>
          <w:sz w:val="24"/>
          <w:szCs w:val="24"/>
        </w:rPr>
      </w:pPr>
      <w:r w:rsidRPr="002177A2">
        <w:rPr>
          <w:rFonts w:ascii="Times New Roman" w:hAnsi="Times New Roman" w:cs="Times New Roman"/>
          <w:sz w:val="24"/>
          <w:szCs w:val="24"/>
        </w:rPr>
        <w:t>Larkin correctly excluded a supplemental executive retirement plan (SERP) as it is the responsibility of shareholders.</w:t>
      </w:r>
      <w:r>
        <w:rPr>
          <w:rStyle w:val="FootnoteReference"/>
          <w:rFonts w:ascii="Times New Roman" w:hAnsi="Times New Roman" w:cs="Times New Roman"/>
          <w:sz w:val="24"/>
          <w:szCs w:val="24"/>
        </w:rPr>
        <w:footnoteReference w:id="15"/>
      </w:r>
    </w:p>
    <w:p w:rsidR="00FA5216" w:rsidRPr="00FA5216" w:rsidP="00FA5216" w14:paraId="1B2353B2" w14:textId="77777777">
      <w:pPr>
        <w:pStyle w:val="ListParagraph"/>
        <w:rPr>
          <w:rFonts w:ascii="Times New Roman" w:hAnsi="Times New Roman" w:cs="Times New Roman"/>
          <w:sz w:val="24"/>
          <w:szCs w:val="24"/>
        </w:rPr>
      </w:pPr>
    </w:p>
    <w:p w:rsidR="00847615" w:rsidP="00CE0C1A" w14:paraId="7492D67D" w14:textId="16BB26C8">
      <w:pPr>
        <w:pStyle w:val="ListParagraph"/>
        <w:numPr>
          <w:ilvl w:val="0"/>
          <w:numId w:val="1"/>
        </w:numPr>
        <w:spacing w:after="0" w:line="240" w:lineRule="auto"/>
        <w:ind w:hanging="720"/>
        <w:rPr>
          <w:rFonts w:ascii="Times New Roman" w:hAnsi="Times New Roman" w:cs="Times New Roman"/>
          <w:sz w:val="24"/>
          <w:szCs w:val="24"/>
        </w:rPr>
      </w:pPr>
      <w:r w:rsidRPr="002177A2">
        <w:rPr>
          <w:rFonts w:ascii="Times New Roman" w:hAnsi="Times New Roman" w:cs="Times New Roman"/>
          <w:sz w:val="24"/>
          <w:szCs w:val="24"/>
        </w:rPr>
        <w:t>Larkin adjusted employee insurance expense related to vacant positions.</w:t>
      </w:r>
      <w:r>
        <w:rPr>
          <w:rStyle w:val="FootnoteReference"/>
          <w:rFonts w:ascii="Times New Roman" w:hAnsi="Times New Roman" w:cs="Times New Roman"/>
          <w:sz w:val="24"/>
          <w:szCs w:val="24"/>
        </w:rPr>
        <w:footnoteReference w:id="16"/>
      </w:r>
    </w:p>
    <w:p w:rsidR="00FA5216" w:rsidRPr="00FA5216" w:rsidP="00FA5216" w14:paraId="30C251DD" w14:textId="77777777">
      <w:pPr>
        <w:pStyle w:val="ListParagraph"/>
        <w:rPr>
          <w:rFonts w:ascii="Times New Roman" w:hAnsi="Times New Roman" w:cs="Times New Roman"/>
          <w:sz w:val="24"/>
          <w:szCs w:val="24"/>
        </w:rPr>
      </w:pPr>
    </w:p>
    <w:p w:rsidR="001A29F3" w:rsidP="00CE0C1A" w14:paraId="7712E69C" w14:textId="30912EE4">
      <w:pPr>
        <w:pStyle w:val="ListParagraph"/>
        <w:numPr>
          <w:ilvl w:val="0"/>
          <w:numId w:val="1"/>
        </w:numPr>
        <w:spacing w:after="0" w:line="240" w:lineRule="auto"/>
        <w:ind w:hanging="720"/>
        <w:rPr>
          <w:rFonts w:ascii="Times New Roman" w:hAnsi="Times New Roman" w:cs="Times New Roman"/>
          <w:sz w:val="24"/>
          <w:szCs w:val="24"/>
        </w:rPr>
      </w:pPr>
      <w:r w:rsidRPr="002177A2">
        <w:rPr>
          <w:rFonts w:ascii="Times New Roman" w:hAnsi="Times New Roman" w:cs="Times New Roman"/>
          <w:sz w:val="24"/>
          <w:szCs w:val="24"/>
        </w:rPr>
        <w:t xml:space="preserve">Larkin correctly adjusted rate case expense to reflect a </w:t>
      </w:r>
      <w:r w:rsidRPr="002177A2" w:rsidR="00847615">
        <w:rPr>
          <w:rFonts w:ascii="Times New Roman" w:hAnsi="Times New Roman" w:cs="Times New Roman"/>
          <w:sz w:val="24"/>
          <w:szCs w:val="24"/>
        </w:rPr>
        <w:t>five-year</w:t>
      </w:r>
      <w:r w:rsidRPr="002177A2">
        <w:rPr>
          <w:rFonts w:ascii="Times New Roman" w:hAnsi="Times New Roman" w:cs="Times New Roman"/>
          <w:sz w:val="24"/>
          <w:szCs w:val="24"/>
        </w:rPr>
        <w:t xml:space="preserve"> amortization rather than three.</w:t>
      </w:r>
      <w:r>
        <w:rPr>
          <w:rStyle w:val="FootnoteReference"/>
          <w:rFonts w:ascii="Times New Roman" w:hAnsi="Times New Roman" w:cs="Times New Roman"/>
          <w:sz w:val="24"/>
          <w:szCs w:val="24"/>
        </w:rPr>
        <w:footnoteReference w:id="17"/>
      </w:r>
    </w:p>
    <w:p w:rsidR="00FA5216" w:rsidRPr="00FA5216" w:rsidP="00FA5216" w14:paraId="14C6B1D6" w14:textId="77777777">
      <w:pPr>
        <w:pStyle w:val="ListParagraph"/>
        <w:rPr>
          <w:rFonts w:ascii="Times New Roman" w:hAnsi="Times New Roman" w:cs="Times New Roman"/>
          <w:sz w:val="24"/>
          <w:szCs w:val="24"/>
        </w:rPr>
      </w:pPr>
    </w:p>
    <w:p w:rsidR="00847615" w:rsidP="00CE0C1A" w14:paraId="38F018C0" w14:textId="760DC9CE">
      <w:pPr>
        <w:pStyle w:val="ListParagraph"/>
        <w:numPr>
          <w:ilvl w:val="0"/>
          <w:numId w:val="1"/>
        </w:numPr>
        <w:spacing w:after="0" w:line="240" w:lineRule="auto"/>
        <w:ind w:hanging="720"/>
        <w:rPr>
          <w:rFonts w:ascii="Times New Roman" w:hAnsi="Times New Roman" w:cs="Times New Roman"/>
          <w:sz w:val="24"/>
          <w:szCs w:val="24"/>
        </w:rPr>
      </w:pPr>
      <w:r w:rsidRPr="002177A2">
        <w:rPr>
          <w:rFonts w:ascii="Times New Roman" w:hAnsi="Times New Roman" w:cs="Times New Roman"/>
          <w:sz w:val="24"/>
          <w:szCs w:val="24"/>
        </w:rPr>
        <w:t>Larkin adjusted depreciation expense related to all the plant in service adjustments.</w:t>
      </w:r>
      <w:r>
        <w:rPr>
          <w:rStyle w:val="FootnoteReference"/>
          <w:rFonts w:ascii="Times New Roman" w:hAnsi="Times New Roman" w:cs="Times New Roman"/>
          <w:sz w:val="24"/>
          <w:szCs w:val="24"/>
        </w:rPr>
        <w:footnoteReference w:id="18"/>
      </w:r>
    </w:p>
    <w:p w:rsidR="00FA5216" w:rsidRPr="00FA5216" w:rsidP="00FA5216" w14:paraId="51FFA900" w14:textId="77777777">
      <w:pPr>
        <w:pStyle w:val="ListParagraph"/>
        <w:rPr>
          <w:rFonts w:ascii="Times New Roman" w:hAnsi="Times New Roman" w:cs="Times New Roman"/>
          <w:sz w:val="24"/>
          <w:szCs w:val="24"/>
        </w:rPr>
      </w:pPr>
    </w:p>
    <w:p w:rsidR="00FA5216" w:rsidP="00987927" w14:paraId="0809D150" w14:textId="70805E20">
      <w:pPr>
        <w:pStyle w:val="ListParagraph"/>
        <w:numPr>
          <w:ilvl w:val="0"/>
          <w:numId w:val="1"/>
        </w:numPr>
        <w:spacing w:after="240" w:line="240" w:lineRule="auto"/>
        <w:ind w:hanging="720"/>
        <w:rPr>
          <w:rFonts w:ascii="Times New Roman" w:hAnsi="Times New Roman" w:cs="Times New Roman"/>
          <w:sz w:val="24"/>
          <w:szCs w:val="24"/>
        </w:rPr>
      </w:pPr>
      <w:r w:rsidRPr="00620C6A">
        <w:rPr>
          <w:rFonts w:ascii="Times New Roman" w:hAnsi="Times New Roman" w:cs="Times New Roman"/>
          <w:sz w:val="24"/>
          <w:szCs w:val="24"/>
        </w:rPr>
        <w:t>OCC supports t</w:t>
      </w:r>
      <w:r w:rsidRPr="00620C6A" w:rsidR="008A676C">
        <w:rPr>
          <w:rFonts w:ascii="Times New Roman" w:hAnsi="Times New Roman" w:cs="Times New Roman"/>
          <w:sz w:val="24"/>
          <w:szCs w:val="24"/>
        </w:rPr>
        <w:t>he Capital Structure and the Cost of Long-Term Debt recommended in the Staff Report.</w:t>
      </w:r>
      <w:r>
        <w:rPr>
          <w:rStyle w:val="FootnoteReference"/>
          <w:rFonts w:ascii="Times New Roman" w:hAnsi="Times New Roman" w:cs="Times New Roman"/>
          <w:sz w:val="24"/>
          <w:szCs w:val="24"/>
        </w:rPr>
        <w:footnoteReference w:id="19"/>
      </w:r>
      <w:r w:rsidRPr="00620C6A" w:rsidR="00CB3F2C">
        <w:rPr>
          <w:rFonts w:ascii="Times New Roman" w:hAnsi="Times New Roman" w:cs="Times New Roman"/>
          <w:sz w:val="24"/>
          <w:szCs w:val="24"/>
        </w:rPr>
        <w:t xml:space="preserve"> </w:t>
      </w:r>
    </w:p>
    <w:p w:rsidR="00620C6A" w:rsidRPr="00620C6A" w:rsidP="00620C6A" w14:paraId="4EB63DA1" w14:textId="77777777">
      <w:pPr>
        <w:pStyle w:val="ListParagraph"/>
        <w:rPr>
          <w:rFonts w:ascii="Times New Roman" w:hAnsi="Times New Roman" w:cs="Times New Roman"/>
          <w:sz w:val="24"/>
          <w:szCs w:val="24"/>
        </w:rPr>
      </w:pPr>
    </w:p>
    <w:p w:rsidR="00FC2591" w:rsidP="00CE0C1A" w14:paraId="37D272F4" w14:textId="0768CAAD">
      <w:pPr>
        <w:pStyle w:val="ListParagraph"/>
        <w:numPr>
          <w:ilvl w:val="0"/>
          <w:numId w:val="1"/>
        </w:numPr>
        <w:spacing w:after="0"/>
        <w:ind w:hanging="720"/>
        <w:rPr>
          <w:rFonts w:ascii="Times New Roman" w:hAnsi="Times New Roman" w:cs="Times New Roman"/>
          <w:sz w:val="24"/>
          <w:szCs w:val="24"/>
        </w:rPr>
      </w:pPr>
      <w:r>
        <w:rPr>
          <w:rFonts w:ascii="Times New Roman" w:hAnsi="Times New Roman" w:cs="Times New Roman"/>
          <w:sz w:val="24"/>
          <w:szCs w:val="24"/>
        </w:rPr>
        <w:t>T</w:t>
      </w:r>
      <w:r w:rsidRPr="00673663">
        <w:rPr>
          <w:rFonts w:ascii="Times New Roman" w:hAnsi="Times New Roman" w:cs="Times New Roman"/>
          <w:sz w:val="24"/>
          <w:szCs w:val="24"/>
        </w:rPr>
        <w:t xml:space="preserve">he recommendations regarding the revenue recovery mechanisms, including revenue allocation and rate design, made in Section 5, Rate and Tariff Review of the </w:t>
      </w:r>
      <w:r w:rsidR="003E5332">
        <w:rPr>
          <w:rFonts w:ascii="Times New Roman" w:hAnsi="Times New Roman" w:cs="Times New Roman"/>
          <w:sz w:val="24"/>
          <w:szCs w:val="24"/>
        </w:rPr>
        <w:t xml:space="preserve">Larkin Audit </w:t>
      </w:r>
      <w:r w:rsidRPr="00673663">
        <w:rPr>
          <w:rFonts w:ascii="Times New Roman" w:hAnsi="Times New Roman" w:cs="Times New Roman"/>
          <w:sz w:val="24"/>
          <w:szCs w:val="24"/>
        </w:rPr>
        <w:t>Report and the Acadian Consulting Group (ACG)</w:t>
      </w:r>
      <w:r w:rsidR="00F9643B">
        <w:rPr>
          <w:rFonts w:ascii="Times New Roman" w:hAnsi="Times New Roman" w:cs="Times New Roman"/>
          <w:sz w:val="24"/>
          <w:szCs w:val="24"/>
        </w:rPr>
        <w:t>,</w:t>
      </w:r>
      <w:r>
        <w:rPr>
          <w:rFonts w:ascii="Times New Roman" w:hAnsi="Times New Roman" w:cs="Times New Roman"/>
          <w:sz w:val="24"/>
          <w:szCs w:val="24"/>
        </w:rPr>
        <w:t xml:space="preserve"> are </w:t>
      </w:r>
      <w:r w:rsidR="00FD658C">
        <w:rPr>
          <w:rFonts w:ascii="Times New Roman" w:hAnsi="Times New Roman" w:cs="Times New Roman"/>
          <w:sz w:val="24"/>
          <w:szCs w:val="24"/>
        </w:rPr>
        <w:t>reasonable. These</w:t>
      </w:r>
      <w:r>
        <w:rPr>
          <w:rFonts w:ascii="Times New Roman" w:hAnsi="Times New Roman" w:cs="Times New Roman"/>
          <w:sz w:val="24"/>
          <w:szCs w:val="24"/>
        </w:rPr>
        <w:t xml:space="preserve"> recommendations appear to be </w:t>
      </w:r>
      <w:r w:rsidRPr="002177A2">
        <w:rPr>
          <w:rFonts w:ascii="Times New Roman" w:hAnsi="Times New Roman" w:cs="Times New Roman"/>
          <w:sz w:val="24"/>
          <w:szCs w:val="24"/>
        </w:rPr>
        <w:t xml:space="preserve">adopted by Staff in its </w:t>
      </w:r>
      <w:r w:rsidR="003E5332">
        <w:rPr>
          <w:rFonts w:ascii="Times New Roman" w:hAnsi="Times New Roman" w:cs="Times New Roman"/>
          <w:sz w:val="24"/>
          <w:szCs w:val="24"/>
        </w:rPr>
        <w:t>R</w:t>
      </w:r>
      <w:r w:rsidRPr="002177A2">
        <w:rPr>
          <w:rFonts w:ascii="Times New Roman" w:hAnsi="Times New Roman" w:cs="Times New Roman"/>
          <w:sz w:val="24"/>
          <w:szCs w:val="24"/>
        </w:rPr>
        <w:t>epor</w:t>
      </w:r>
      <w:r w:rsidR="003E5332">
        <w:rPr>
          <w:rFonts w:ascii="Times New Roman" w:hAnsi="Times New Roman" w:cs="Times New Roman"/>
          <w:sz w:val="24"/>
          <w:szCs w:val="24"/>
        </w:rPr>
        <w:t>t given that</w:t>
      </w:r>
      <w:r w:rsidRPr="00673663">
        <w:rPr>
          <w:rFonts w:ascii="Times New Roman" w:hAnsi="Times New Roman" w:cs="Times New Roman"/>
          <w:sz w:val="24"/>
          <w:szCs w:val="24"/>
        </w:rPr>
        <w:t xml:space="preserve"> there are no additional recommendations by the PUCO </w:t>
      </w:r>
      <w:r>
        <w:rPr>
          <w:rFonts w:ascii="Times New Roman" w:hAnsi="Times New Roman" w:cs="Times New Roman"/>
          <w:sz w:val="24"/>
          <w:szCs w:val="24"/>
        </w:rPr>
        <w:t>S</w:t>
      </w:r>
      <w:r w:rsidRPr="00673663">
        <w:rPr>
          <w:rFonts w:ascii="Times New Roman" w:hAnsi="Times New Roman" w:cs="Times New Roman"/>
          <w:sz w:val="24"/>
          <w:szCs w:val="24"/>
        </w:rPr>
        <w:t xml:space="preserve">taff. OCC has no objections to </w:t>
      </w:r>
      <w:r w:rsidR="003E5332">
        <w:rPr>
          <w:rFonts w:ascii="Times New Roman" w:hAnsi="Times New Roman" w:cs="Times New Roman"/>
          <w:sz w:val="24"/>
          <w:szCs w:val="24"/>
        </w:rPr>
        <w:t>Larkin’s</w:t>
      </w:r>
      <w:r w:rsidRPr="00673663">
        <w:rPr>
          <w:rFonts w:ascii="Times New Roman" w:hAnsi="Times New Roman" w:cs="Times New Roman"/>
          <w:sz w:val="24"/>
          <w:szCs w:val="24"/>
        </w:rPr>
        <w:t xml:space="preserve"> recommendations.</w:t>
      </w:r>
      <w:r w:rsidR="00CB3F2C">
        <w:rPr>
          <w:rFonts w:ascii="Times New Roman" w:hAnsi="Times New Roman" w:cs="Times New Roman"/>
          <w:sz w:val="24"/>
          <w:szCs w:val="24"/>
        </w:rPr>
        <w:t xml:space="preserve"> </w:t>
      </w:r>
      <w:r w:rsidRPr="00673663">
        <w:rPr>
          <w:rFonts w:ascii="Times New Roman" w:hAnsi="Times New Roman" w:cs="Times New Roman"/>
          <w:sz w:val="24"/>
          <w:szCs w:val="24"/>
        </w:rPr>
        <w:t xml:space="preserve">However, OCC reserves the right to modify our position if the recommendations are altered. </w:t>
      </w:r>
    </w:p>
    <w:p w:rsidR="00FA5216" w:rsidRPr="00673663" w:rsidP="00FA5216" w14:paraId="6AB2C54D" w14:textId="77777777">
      <w:pPr>
        <w:pStyle w:val="ListParagraph"/>
        <w:ind w:left="1440"/>
        <w:rPr>
          <w:rFonts w:ascii="Times New Roman" w:hAnsi="Times New Roman" w:cs="Times New Roman"/>
          <w:sz w:val="24"/>
          <w:szCs w:val="24"/>
        </w:rPr>
      </w:pPr>
    </w:p>
    <w:p w:rsidR="003E5332" w:rsidP="00CE0C1A" w14:paraId="28E9D51D" w14:textId="674807EB">
      <w:pPr>
        <w:pStyle w:val="ListParagraph"/>
        <w:numPr>
          <w:ilvl w:val="0"/>
          <w:numId w:val="1"/>
        </w:numPr>
        <w:spacing w:after="0"/>
        <w:ind w:hanging="720"/>
        <w:rPr>
          <w:rFonts w:ascii="Times New Roman" w:hAnsi="Times New Roman" w:cs="Times New Roman"/>
          <w:sz w:val="24"/>
          <w:szCs w:val="24"/>
        </w:rPr>
      </w:pPr>
      <w:r w:rsidRPr="00A4292E">
        <w:rPr>
          <w:rFonts w:ascii="Times New Roman" w:hAnsi="Times New Roman" w:cs="Times New Roman"/>
          <w:sz w:val="24"/>
          <w:szCs w:val="24"/>
        </w:rPr>
        <w:t xml:space="preserve">ACG correctly recommends that the Commission apply any revenue requirement adjustment across residential and non-residential customer classes on an equal basis. </w:t>
      </w:r>
      <w:r>
        <w:rPr>
          <w:rStyle w:val="FootnoteReference"/>
          <w:rFonts w:ascii="Times New Roman" w:hAnsi="Times New Roman" w:cs="Times New Roman"/>
          <w:sz w:val="24"/>
          <w:szCs w:val="24"/>
        </w:rPr>
        <w:footnoteReference w:id="20"/>
      </w:r>
    </w:p>
    <w:p w:rsidR="00FA5216" w:rsidRPr="00FA5216" w:rsidP="00FA5216" w14:paraId="1C64CE4F" w14:textId="77777777">
      <w:pPr>
        <w:pStyle w:val="ListParagraph"/>
        <w:rPr>
          <w:rFonts w:ascii="Times New Roman" w:hAnsi="Times New Roman" w:cs="Times New Roman"/>
          <w:sz w:val="24"/>
          <w:szCs w:val="24"/>
        </w:rPr>
      </w:pPr>
    </w:p>
    <w:p w:rsidR="003E5332" w:rsidP="00CE0C1A" w14:paraId="2DA172A2" w14:textId="2D2699FB">
      <w:pPr>
        <w:pStyle w:val="ListParagraph"/>
        <w:numPr>
          <w:ilvl w:val="0"/>
          <w:numId w:val="1"/>
        </w:numPr>
        <w:spacing w:after="0"/>
        <w:ind w:hanging="720"/>
        <w:rPr>
          <w:rFonts w:ascii="Times New Roman" w:hAnsi="Times New Roman" w:cs="Times New Roman"/>
          <w:sz w:val="24"/>
          <w:szCs w:val="24"/>
        </w:rPr>
      </w:pPr>
      <w:r w:rsidRPr="00A4292E">
        <w:rPr>
          <w:rFonts w:ascii="Times New Roman" w:hAnsi="Times New Roman" w:cs="Times New Roman"/>
          <w:sz w:val="24"/>
          <w:szCs w:val="24"/>
        </w:rPr>
        <w:t>ACG correctly recommends that the Commission not only reject the Applicant’s proposed fixed customer charge increases but also eliminate all meter charges for all classes and territories.</w:t>
      </w:r>
      <w:r>
        <w:rPr>
          <w:rStyle w:val="FootnoteReference"/>
          <w:rFonts w:ascii="Times New Roman" w:hAnsi="Times New Roman" w:cs="Times New Roman"/>
          <w:sz w:val="24"/>
          <w:szCs w:val="24"/>
        </w:rPr>
        <w:footnoteReference w:id="21"/>
      </w:r>
    </w:p>
    <w:p w:rsidR="00FA5216" w:rsidRPr="00FA5216" w:rsidP="00FA5216" w14:paraId="12B1FAF8" w14:textId="77777777">
      <w:pPr>
        <w:pStyle w:val="ListParagraph"/>
        <w:rPr>
          <w:rFonts w:ascii="Times New Roman" w:hAnsi="Times New Roman" w:cs="Times New Roman"/>
          <w:sz w:val="24"/>
          <w:szCs w:val="24"/>
        </w:rPr>
      </w:pPr>
    </w:p>
    <w:p w:rsidR="003E5332" w:rsidRPr="00A4292E" w:rsidP="00FD0171" w14:paraId="25B77410" w14:textId="77777777">
      <w:pPr>
        <w:pStyle w:val="ListParagraph"/>
        <w:numPr>
          <w:ilvl w:val="0"/>
          <w:numId w:val="1"/>
        </w:numPr>
        <w:spacing w:after="0" w:line="240" w:lineRule="auto"/>
        <w:ind w:hanging="720"/>
        <w:rPr>
          <w:rFonts w:ascii="Times New Roman" w:hAnsi="Times New Roman" w:cs="Times New Roman"/>
          <w:sz w:val="24"/>
          <w:szCs w:val="24"/>
        </w:rPr>
      </w:pPr>
      <w:r w:rsidRPr="00A4292E">
        <w:rPr>
          <w:rFonts w:ascii="Times New Roman" w:hAnsi="Times New Roman" w:cs="Times New Roman"/>
          <w:sz w:val="24"/>
          <w:szCs w:val="24"/>
        </w:rPr>
        <w:t>ACG correctly supports the Applicant’s proposed transition from a three-step declining rate block structure to a two-step declining rate block structure in Franklin County.</w:t>
      </w:r>
      <w:r>
        <w:rPr>
          <w:rStyle w:val="FootnoteReference"/>
          <w:rFonts w:ascii="Times New Roman" w:hAnsi="Times New Roman" w:cs="Times New Roman"/>
          <w:sz w:val="24"/>
          <w:szCs w:val="24"/>
        </w:rPr>
        <w:footnoteReference w:id="22"/>
      </w:r>
    </w:p>
    <w:p w:rsidR="00FD0171" w:rsidP="00FD0171" w14:paraId="66BF1E4A" w14:textId="77777777">
      <w:pPr>
        <w:spacing w:after="0" w:line="240" w:lineRule="auto"/>
        <w:ind w:firstLine="720"/>
        <w:rPr>
          <w:rFonts w:cs="Times New Roman"/>
          <w:szCs w:val="24"/>
        </w:rPr>
      </w:pPr>
    </w:p>
    <w:p w:rsidR="0009490A" w:rsidP="0009490A" w14:paraId="1D0F85CD" w14:textId="2C2D097A">
      <w:pPr>
        <w:spacing w:after="0" w:line="480" w:lineRule="auto"/>
        <w:ind w:firstLine="720"/>
        <w:rPr>
          <w:rFonts w:cs="Times New Roman"/>
          <w:szCs w:val="24"/>
        </w:rPr>
      </w:pPr>
      <w:r>
        <w:rPr>
          <w:rFonts w:cs="Times New Roman"/>
          <w:szCs w:val="24"/>
        </w:rPr>
        <w:t xml:space="preserve">However, the Staff Report should have gone further and recommended additional </w:t>
      </w:r>
      <w:r w:rsidR="005079CE">
        <w:rPr>
          <w:rFonts w:cs="Times New Roman"/>
          <w:szCs w:val="24"/>
        </w:rPr>
        <w:t>adjustments</w:t>
      </w:r>
      <w:r>
        <w:rPr>
          <w:rFonts w:cs="Times New Roman"/>
          <w:szCs w:val="24"/>
        </w:rPr>
        <w:t xml:space="preserve"> for the benefit of consumers, including: </w:t>
      </w:r>
    </w:p>
    <w:p w:rsidR="0009490A" w:rsidRPr="00620C6A" w:rsidP="003A3B90" w14:paraId="43F5361C" w14:textId="68167C72">
      <w:pPr>
        <w:pStyle w:val="ListParagraph"/>
        <w:numPr>
          <w:ilvl w:val="0"/>
          <w:numId w:val="2"/>
        </w:numPr>
        <w:spacing w:after="0" w:line="240" w:lineRule="auto"/>
        <w:ind w:hanging="720"/>
        <w:rPr>
          <w:rFonts w:ascii="Times New Roman" w:hAnsi="Times New Roman" w:cs="Times New Roman"/>
          <w:sz w:val="24"/>
          <w:szCs w:val="24"/>
        </w:rPr>
      </w:pPr>
      <w:r w:rsidRPr="00D12CA1">
        <w:rPr>
          <w:rFonts w:ascii="Times New Roman" w:hAnsi="Times New Roman" w:cs="Times New Roman"/>
          <w:sz w:val="24"/>
          <w:szCs w:val="24"/>
        </w:rPr>
        <w:t xml:space="preserve">The PUCO Staff Report is in error because the revenue requirement </w:t>
      </w:r>
      <w:r w:rsidRPr="00D12CA1" w:rsidR="00526B4E">
        <w:rPr>
          <w:rFonts w:ascii="Times New Roman" w:hAnsi="Times New Roman" w:cs="Times New Roman"/>
          <w:sz w:val="24"/>
          <w:szCs w:val="24"/>
        </w:rPr>
        <w:t>is</w:t>
      </w:r>
      <w:r w:rsidR="003A3B90">
        <w:rPr>
          <w:rFonts w:ascii="Times New Roman" w:hAnsi="Times New Roman" w:cs="Times New Roman"/>
          <w:sz w:val="24"/>
          <w:szCs w:val="24"/>
        </w:rPr>
        <w:t xml:space="preserve"> overstated and unreasonable resulting from a rate of return that is too high based on a review of current market conditions and Aqua’s business and financial risk.</w:t>
      </w:r>
      <w:r w:rsidR="00620C6A">
        <w:rPr>
          <w:rFonts w:cs="Times New Roman"/>
          <w:szCs w:val="24"/>
        </w:rPr>
        <w:t xml:space="preserve"> </w:t>
      </w:r>
    </w:p>
    <w:p w:rsidR="00620C6A" w:rsidRPr="00D12CA1" w:rsidP="00620C6A" w14:paraId="41B11FE5" w14:textId="77777777">
      <w:pPr>
        <w:pStyle w:val="ListParagraph"/>
        <w:spacing w:after="0" w:line="240" w:lineRule="auto"/>
        <w:ind w:left="1440"/>
        <w:rPr>
          <w:rFonts w:ascii="Times New Roman" w:hAnsi="Times New Roman" w:cs="Times New Roman"/>
          <w:sz w:val="24"/>
          <w:szCs w:val="24"/>
        </w:rPr>
      </w:pPr>
    </w:p>
    <w:p w:rsidR="00FD0171" w:rsidP="00C455C2" w14:paraId="238C27DF" w14:textId="1D21ECAF">
      <w:pPr>
        <w:spacing w:after="0" w:line="480" w:lineRule="auto"/>
        <w:ind w:firstLine="720"/>
        <w:rPr>
          <w:rFonts w:cs="Times New Roman"/>
          <w:szCs w:val="24"/>
        </w:rPr>
      </w:pPr>
      <w:r>
        <w:rPr>
          <w:rFonts w:cs="Times New Roman"/>
          <w:szCs w:val="24"/>
        </w:rPr>
        <w:t xml:space="preserve">OCC reserves the right to supplement its testimony in this case should any of the Staff Report's findings, conclusions or recommendations noted above </w:t>
      </w:r>
      <w:r w:rsidR="00C455C2">
        <w:rPr>
          <w:rFonts w:cs="Times New Roman"/>
          <w:szCs w:val="24"/>
        </w:rPr>
        <w:t>that OCC supports are no longer supported by the PUCO Staff.</w:t>
      </w:r>
    </w:p>
    <w:p w:rsidR="00FD0171" w14:paraId="3981AEBF" w14:textId="77777777">
      <w:pPr>
        <w:spacing w:after="160" w:line="259" w:lineRule="auto"/>
        <w:rPr>
          <w:rFonts w:cs="Times New Roman"/>
          <w:szCs w:val="24"/>
        </w:rPr>
      </w:pPr>
      <w:r>
        <w:rPr>
          <w:rFonts w:cs="Times New Roman"/>
          <w:szCs w:val="24"/>
        </w:rPr>
        <w:br w:type="page"/>
      </w:r>
    </w:p>
    <w:p w:rsidR="00A0528D" w:rsidRPr="005216DF" w:rsidP="000D72AD" w14:paraId="1252D28C" w14:textId="0AD5E58D">
      <w:pPr>
        <w:pStyle w:val="Heading1"/>
      </w:pPr>
      <w:bookmarkStart w:id="3" w:name="_Toc98156461"/>
      <w:r w:rsidRPr="005216DF">
        <w:t xml:space="preserve">OBJECTIONS TO THE </w:t>
      </w:r>
      <w:r>
        <w:t xml:space="preserve">PUCO </w:t>
      </w:r>
      <w:r w:rsidRPr="005216DF">
        <w:t>STAFF REPORT</w:t>
      </w:r>
      <w:bookmarkEnd w:id="3"/>
    </w:p>
    <w:p w:rsidR="002177A2" w:rsidP="008E0AAF" w14:paraId="405633A2" w14:textId="39E6756C">
      <w:pPr>
        <w:autoSpaceDE w:val="0"/>
        <w:autoSpaceDN w:val="0"/>
        <w:spacing w:line="240" w:lineRule="auto"/>
        <w:rPr>
          <w:b/>
        </w:rPr>
      </w:pPr>
      <w:bookmarkStart w:id="4" w:name="_Toc98156462"/>
      <w:r w:rsidRPr="000D72AD">
        <w:rPr>
          <w:rStyle w:val="Heading3Char"/>
        </w:rPr>
        <w:t>OBJECTION 1:</w:t>
      </w:r>
      <w:r w:rsidRPr="000D72AD" w:rsidR="00CB3F2C">
        <w:rPr>
          <w:rStyle w:val="Heading3Char"/>
        </w:rPr>
        <w:t xml:space="preserve"> </w:t>
      </w:r>
      <w:r w:rsidRPr="000D72AD" w:rsidR="00C72944">
        <w:rPr>
          <w:rStyle w:val="Heading3Char"/>
        </w:rPr>
        <w:t xml:space="preserve">As a result of OCC’s other objections below (including OCC’s proposed change to rate of return), the Staff Report’s recommended rate increase </w:t>
      </w:r>
      <w:r w:rsidRPr="000D72AD" w:rsidR="008E0AAF">
        <w:rPr>
          <w:rStyle w:val="Heading3Char"/>
        </w:rPr>
        <w:t>is too high for consumers and would result in consumers paying unjust and unreasonable rates under R.C. 4905.22, 4909.15, 4909.154 4909.17 and 4909.18.</w:t>
      </w:r>
      <w:bookmarkEnd w:id="4"/>
      <w:r w:rsidR="003C000C">
        <w:rPr>
          <w:b/>
        </w:rPr>
        <w:t xml:space="preserve"> </w:t>
      </w:r>
    </w:p>
    <w:p w:rsidR="00511709" w:rsidP="00511709" w14:paraId="22B1785E" w14:textId="77777777">
      <w:pPr>
        <w:pStyle w:val="Heading2"/>
      </w:pPr>
      <w:bookmarkStart w:id="5" w:name="_Toc98156463"/>
      <w:r>
        <w:t>A.</w:t>
      </w:r>
      <w:r w:rsidRPr="0046658A">
        <w:tab/>
      </w:r>
      <w:r>
        <w:t>Revenue Requirement</w:t>
      </w:r>
      <w:bookmarkEnd w:id="5"/>
    </w:p>
    <w:p w:rsidR="00FA47FD" w:rsidP="000D72AD" w14:paraId="7D7588DB" w14:textId="06B88367">
      <w:pPr>
        <w:autoSpaceDE w:val="0"/>
        <w:autoSpaceDN w:val="0"/>
        <w:spacing w:after="0" w:line="480" w:lineRule="auto"/>
        <w:ind w:firstLine="720"/>
      </w:pPr>
      <w:r>
        <w:rPr>
          <w:rFonts w:cs="Times New Roman"/>
          <w:szCs w:val="24"/>
        </w:rPr>
        <w:t xml:space="preserve">The PUCO Staff’s recommended increase to consumers of $167,839 </w:t>
      </w:r>
      <w:r w:rsidR="007D0915">
        <w:rPr>
          <w:rFonts w:cs="Times New Roman"/>
          <w:szCs w:val="24"/>
        </w:rPr>
        <w:t>-</w:t>
      </w:r>
      <w:r>
        <w:rPr>
          <w:rFonts w:cs="Times New Roman"/>
          <w:szCs w:val="24"/>
        </w:rPr>
        <w:t xml:space="preserve"> $256,662 is too high for </w:t>
      </w:r>
      <w:r w:rsidR="00C72944">
        <w:rPr>
          <w:rFonts w:cs="Times New Roman"/>
          <w:szCs w:val="24"/>
        </w:rPr>
        <w:t>consumers and would result in unjust and unreasonable rates.</w:t>
      </w:r>
      <w:r>
        <w:rPr>
          <w:rStyle w:val="FootnoteReference"/>
          <w:rFonts w:cs="Times New Roman"/>
          <w:szCs w:val="24"/>
        </w:rPr>
        <w:footnoteReference w:id="23"/>
      </w:r>
      <w:r>
        <w:rPr>
          <w:rFonts w:cs="Times New Roman"/>
          <w:szCs w:val="24"/>
        </w:rPr>
        <w:t xml:space="preserve"> </w:t>
      </w:r>
      <w:r w:rsidR="00A0528D">
        <w:t>OCC objects to the PUCO Staff-recommended revenue requirement and resulting revenue and rate increase recommended for Aqua</w:t>
      </w:r>
      <w:r w:rsidR="00C85E1E">
        <w:t xml:space="preserve">. </w:t>
      </w:r>
      <w:r w:rsidR="00A0528D">
        <w:t>The PUCO Staff’s recommendations are unreasonable and unlawful, and the recommended revenue requirement for Aqua is excessive</w:t>
      </w:r>
      <w:r>
        <w:t>. The recommendations utilized a rate of return that is not just and reasonable. The specific objections from which these overall conclusions are drawn are detailed below in OCC’s objections to the PUCO Staff’s recommendations regarding these matters.</w:t>
      </w:r>
    </w:p>
    <w:p w:rsidR="00CB6CAC" w:rsidP="000D72AD" w14:paraId="6A07F452" w14:textId="4DDE0690">
      <w:pPr>
        <w:autoSpaceDE w:val="0"/>
        <w:autoSpaceDN w:val="0"/>
        <w:spacing w:after="0" w:line="480" w:lineRule="auto"/>
        <w:ind w:firstLine="720"/>
        <w:rPr>
          <w:b/>
        </w:rPr>
      </w:pPr>
      <w:r>
        <w:t xml:space="preserve">Additionally, OCC objects to each component of the PUCO Staff Report’s recommended revenue requirement and rate increase recommended for Aqua </w:t>
      </w:r>
      <w:r w:rsidR="005079CE">
        <w:t xml:space="preserve">Wastewater consumers </w:t>
      </w:r>
      <w:r>
        <w:t>to the extent that OCC objections have an impact on the calculation of the recommended revenue requirement (e.g., rate of return).</w:t>
      </w:r>
    </w:p>
    <w:p w:rsidR="0048543B" w:rsidP="000D72AD" w14:paraId="063FBCAC" w14:textId="54000827">
      <w:pPr>
        <w:pStyle w:val="Heading2"/>
      </w:pPr>
      <w:bookmarkStart w:id="6" w:name="_Toc98156464"/>
      <w:r>
        <w:t>B</w:t>
      </w:r>
      <w:r w:rsidRPr="0046658A" w:rsidR="00CB6CAC">
        <w:t>.</w:t>
      </w:r>
      <w:r w:rsidRPr="0046658A" w:rsidR="00CB6CAC">
        <w:tab/>
      </w:r>
      <w:r w:rsidR="00CB6CAC">
        <w:t>R</w:t>
      </w:r>
      <w:r w:rsidR="002A586C">
        <w:t xml:space="preserve">ate </w:t>
      </w:r>
      <w:r w:rsidR="00FA47FD">
        <w:t>of Return</w:t>
      </w:r>
      <w:bookmarkEnd w:id="6"/>
    </w:p>
    <w:p w:rsidR="00BC7850" w:rsidP="00C60991" w14:paraId="2D24444A" w14:textId="59AEAD02">
      <w:pPr>
        <w:spacing w:after="0" w:line="480" w:lineRule="auto"/>
        <w:ind w:firstLine="720"/>
      </w:pPr>
      <w:r w:rsidRPr="00C60991">
        <w:t xml:space="preserve">As </w:t>
      </w:r>
      <w:r w:rsidR="006B0390">
        <w:t xml:space="preserve">described in our </w:t>
      </w:r>
      <w:r w:rsidR="00F9643B">
        <w:t>Objections</w:t>
      </w:r>
      <w:r w:rsidR="00D12CA1">
        <w:t xml:space="preserve"> below</w:t>
      </w:r>
      <w:r w:rsidR="006B0390">
        <w:t>,</w:t>
      </w:r>
      <w:r w:rsidRPr="00C60991">
        <w:t xml:space="preserve"> the </w:t>
      </w:r>
      <w:r w:rsidR="006B0390">
        <w:t xml:space="preserve">PUCO </w:t>
      </w:r>
      <w:r w:rsidRPr="00C60991">
        <w:t>Staff Report’s recommended rate of return</w:t>
      </w:r>
      <w:r>
        <w:t xml:space="preserve"> range of 6.51% -7.04%</w:t>
      </w:r>
      <w:r>
        <w:rPr>
          <w:rStyle w:val="FootnoteReference"/>
          <w:rFonts w:eastAsia="Times New Roman" w:cs="Times New Roman"/>
          <w:szCs w:val="20"/>
        </w:rPr>
        <w:footnoteReference w:id="24"/>
      </w:r>
      <w:r>
        <w:t xml:space="preserve"> is too high based on current market conditions and Aqua’s business and financial risks, and it is too high for consumers to pay. It </w:t>
      </w:r>
      <w:r w:rsidR="006B0390">
        <w:t>is thus</w:t>
      </w:r>
      <w:r>
        <w:t xml:space="preserve"> unjust and unreasonable for consumers to pay Aqua a water distribution charge based on this range of rate of return. A more reasonable rate of return would be in the range of 6.10%- 6.32%. The Staff Report’s recommended return on equity range of 8.99% - 10.00%</w:t>
      </w:r>
      <w:r>
        <w:rPr>
          <w:rStyle w:val="FootnoteReference"/>
        </w:rPr>
        <w:footnoteReference w:id="25"/>
      </w:r>
      <w:r>
        <w:t xml:space="preserve"> is also too high and thus unjust and unreasonable for consumers to pay.</w:t>
      </w:r>
    </w:p>
    <w:p w:rsidR="000D72AD" w:rsidP="00044CF9" w14:paraId="0F5F39A7" w14:textId="2CD73B54">
      <w:pPr>
        <w:spacing w:after="0" w:line="480" w:lineRule="auto"/>
        <w:ind w:firstLine="720"/>
      </w:pPr>
      <w:r>
        <w:t>Specifically, t</w:t>
      </w:r>
      <w:r w:rsidRPr="00C60991" w:rsidR="00BC7850">
        <w:t xml:space="preserve">he cost of equity and the rate of return proposed in the </w:t>
      </w:r>
      <w:r>
        <w:t xml:space="preserve">PUCO </w:t>
      </w:r>
      <w:r w:rsidRPr="00C60991" w:rsidR="00BC7850">
        <w:t>Staff Report do not</w:t>
      </w:r>
      <w:r w:rsidR="00BC7850">
        <w:t xml:space="preserve"> reflect current market conditions or the business and financial risks facing a regulated water utility such as Aqua. Furthermore, Staff’s analysis is inconsistent with the analysis and approach used in the Staff Reports of many prior rate cases.</w:t>
      </w:r>
      <w:r>
        <w:rPr>
          <w:rStyle w:val="FootnoteReference"/>
          <w:rFonts w:eastAsia="Times New Roman"/>
        </w:rPr>
        <w:footnoteReference w:id="26"/>
      </w:r>
      <w:r w:rsidR="00BC7850">
        <w:t xml:space="preserve"> The PUCO Staff has not provided any explanation for why it changed its approach.</w:t>
      </w:r>
      <w:r w:rsidR="00CB3F2C">
        <w:t xml:space="preserve"> </w:t>
      </w:r>
    </w:p>
    <w:p w:rsidR="00436E2A" w:rsidRPr="00373345" w:rsidP="00436E2A" w14:paraId="42328177" w14:textId="40CD820E">
      <w:pPr>
        <w:keepNext/>
        <w:spacing w:after="240" w:line="240" w:lineRule="auto"/>
        <w:outlineLvl w:val="2"/>
        <w:rPr>
          <w:rFonts w:eastAsia="Times New Roman" w:cs="Times New Roman"/>
          <w:b/>
          <w:bCs/>
          <w:szCs w:val="20"/>
        </w:rPr>
      </w:pPr>
      <w:bookmarkStart w:id="7" w:name="_Toc98156465"/>
      <w:r w:rsidRPr="000D72AD">
        <w:rPr>
          <w:rStyle w:val="Heading3Char"/>
        </w:rPr>
        <w:t xml:space="preserve">OBJECTION </w:t>
      </w:r>
      <w:r w:rsidRPr="000D72AD" w:rsidR="00FA47FD">
        <w:rPr>
          <w:rStyle w:val="Heading3Char"/>
        </w:rPr>
        <w:t>2</w:t>
      </w:r>
      <w:r w:rsidRPr="000D72AD">
        <w:rPr>
          <w:rStyle w:val="Heading3Char"/>
        </w:rPr>
        <w:t>: The Staff Report erred by using the average of the yields of the 20-year and 30-year U.S. Treasury Bonds as the risk-free rate used in the Capital Asset Pricing Model (“CAPM”)</w:t>
      </w:r>
      <w:r w:rsidR="00C0645C">
        <w:rPr>
          <w:rStyle w:val="Heading3Char"/>
        </w:rPr>
        <w:t>.</w:t>
      </w:r>
      <w:r w:rsidRPr="000D72AD">
        <w:rPr>
          <w:rStyle w:val="Heading3Char"/>
        </w:rPr>
        <w:t xml:space="preserve"> The </w:t>
      </w:r>
      <w:r w:rsidR="00C85E1E">
        <w:rPr>
          <w:rStyle w:val="Heading3Char"/>
        </w:rPr>
        <w:t xml:space="preserve">inclusion </w:t>
      </w:r>
      <w:r w:rsidRPr="000D72AD">
        <w:rPr>
          <w:rStyle w:val="Heading3Char"/>
        </w:rPr>
        <w:t xml:space="preserve">of the yields of 20-year U.S. Treasury Bonds </w:t>
      </w:r>
      <w:r w:rsidR="00C85E1E">
        <w:rPr>
          <w:rStyle w:val="Heading3Char"/>
        </w:rPr>
        <w:t xml:space="preserve">in calculating </w:t>
      </w:r>
      <w:r w:rsidRPr="000D72AD">
        <w:rPr>
          <w:rStyle w:val="Heading3Char"/>
        </w:rPr>
        <w:t xml:space="preserve">the risk-free rate </w:t>
      </w:r>
      <w:r w:rsidRPr="000D72AD" w:rsidR="006E1AC2">
        <w:rPr>
          <w:rStyle w:val="Heading3Char"/>
        </w:rPr>
        <w:t>overstates</w:t>
      </w:r>
      <w:r w:rsidRPr="000D72AD">
        <w:rPr>
          <w:rStyle w:val="Heading3Char"/>
        </w:rPr>
        <w:t xml:space="preserve"> the estimated cost of equity of Aqua under the CAPM analysis</w:t>
      </w:r>
      <w:r w:rsidRPr="000D72AD" w:rsidR="005D7836">
        <w:rPr>
          <w:rStyle w:val="Heading3Char"/>
        </w:rPr>
        <w:t xml:space="preserve"> causing a rate of return that </w:t>
      </w:r>
      <w:r w:rsidR="0079770F">
        <w:rPr>
          <w:rStyle w:val="Heading3Char"/>
        </w:rPr>
        <w:t>results in</w:t>
      </w:r>
      <w:r w:rsidRPr="000D72AD" w:rsidR="005D7836">
        <w:rPr>
          <w:rStyle w:val="Heading3Char"/>
        </w:rPr>
        <w:t xml:space="preserve"> </w:t>
      </w:r>
      <w:r w:rsidR="0079770F">
        <w:rPr>
          <w:rStyle w:val="Heading3Char"/>
        </w:rPr>
        <w:t xml:space="preserve">unjust and unreasonable rates </w:t>
      </w:r>
      <w:r w:rsidRPr="000D72AD" w:rsidR="005D7836">
        <w:rPr>
          <w:rStyle w:val="Heading3Char"/>
        </w:rPr>
        <w:t>for consumers to pay</w:t>
      </w:r>
      <w:r w:rsidRPr="000D72AD">
        <w:rPr>
          <w:rStyle w:val="Heading3Char"/>
        </w:rPr>
        <w:t>.</w:t>
      </w:r>
      <w:bookmarkEnd w:id="7"/>
      <w:r w:rsidR="00FD658C">
        <w:rPr>
          <w:rFonts w:eastAsia="Times New Roman" w:cs="Times New Roman"/>
          <w:b/>
          <w:bCs/>
          <w:szCs w:val="20"/>
        </w:rPr>
        <w:t xml:space="preserve"> </w:t>
      </w:r>
    </w:p>
    <w:p w:rsidR="00373345" w:rsidP="000D72AD" w14:paraId="3B307C19" w14:textId="6330B166">
      <w:pPr>
        <w:spacing w:after="0" w:line="480" w:lineRule="auto"/>
        <w:ind w:firstLine="720"/>
        <w:jc w:val="both"/>
        <w:rPr>
          <w:rFonts w:eastAsia="Times New Roman"/>
        </w:rPr>
      </w:pPr>
      <w:r>
        <w:rPr>
          <w:rFonts w:eastAsia="Times New Roman"/>
        </w:rPr>
        <w:t xml:space="preserve">PUCO </w:t>
      </w:r>
      <w:r w:rsidR="005D7836">
        <w:rPr>
          <w:rFonts w:eastAsia="Times New Roman"/>
        </w:rPr>
        <w:t xml:space="preserve">Staff’s use of the yields of 20-year U.S. Treasury Bonds </w:t>
      </w:r>
      <w:r w:rsidR="009072D2">
        <w:rPr>
          <w:rFonts w:eastAsia="Times New Roman"/>
        </w:rPr>
        <w:t>as part of the calculation of</w:t>
      </w:r>
      <w:r w:rsidR="00C85E1E">
        <w:rPr>
          <w:rFonts w:eastAsia="Times New Roman"/>
        </w:rPr>
        <w:t xml:space="preserve"> </w:t>
      </w:r>
      <w:r w:rsidR="005D7836">
        <w:rPr>
          <w:rFonts w:eastAsia="Times New Roman"/>
        </w:rPr>
        <w:t>the risk-free rate overstates the estimated cost of equity of Aqua under the CAPM analysis.</w:t>
      </w:r>
      <w:r>
        <w:rPr>
          <w:rStyle w:val="FootnoteReference"/>
          <w:rFonts w:eastAsia="Times New Roman"/>
        </w:rPr>
        <w:footnoteReference w:id="27"/>
      </w:r>
      <w:r w:rsidR="00CB3F2C">
        <w:rPr>
          <w:rFonts w:eastAsia="Times New Roman"/>
        </w:rPr>
        <w:t xml:space="preserve"> </w:t>
      </w:r>
      <w:r w:rsidRPr="00607A2B">
        <w:rPr>
          <w:rFonts w:eastAsia="Times New Roman"/>
        </w:rPr>
        <w:t>In the CAPM analysis, a risk-free rate is typically based on the current actual yields of long-term US government bonds with ten years or longer maturity.</w:t>
      </w:r>
      <w:r>
        <w:rPr>
          <w:rStyle w:val="FootnoteReference"/>
          <w:rFonts w:eastAsia="Times New Roman"/>
        </w:rPr>
        <w:footnoteReference w:id="28"/>
      </w:r>
      <w:r w:rsidRPr="00607A2B">
        <w:rPr>
          <w:rFonts w:eastAsia="Times New Roman"/>
        </w:rPr>
        <w:t xml:space="preserve"> </w:t>
      </w:r>
      <w:r w:rsidR="005D7836">
        <w:rPr>
          <w:rFonts w:eastAsia="Times New Roman"/>
        </w:rPr>
        <w:t>A more reasonable risk-free rate would be the average of the 10-year and 30-year U.S. Treasury Bonds.</w:t>
      </w:r>
      <w:r w:rsidR="005D7836">
        <w:rPr>
          <w:rFonts w:eastAsia="Times New Roman"/>
          <w:szCs w:val="20"/>
        </w:rPr>
        <w:t xml:space="preserve"> </w:t>
      </w:r>
      <w:r>
        <w:rPr>
          <w:rFonts w:eastAsia="Times New Roman"/>
          <w:szCs w:val="20"/>
        </w:rPr>
        <w:t>The use of the yields of the 10-year and 30-year government bonds in calculating the risk-free rate is well-established and widely used by many analysts when applying the CAPM.</w:t>
      </w:r>
      <w:r>
        <w:rPr>
          <w:rStyle w:val="FootnoteReference"/>
          <w:rFonts w:eastAsia="Times New Roman"/>
          <w:szCs w:val="20"/>
        </w:rPr>
        <w:footnoteReference w:id="29"/>
      </w:r>
      <w:r w:rsidR="00CB3F2C">
        <w:rPr>
          <w:rFonts w:eastAsia="Times New Roman"/>
          <w:szCs w:val="20"/>
        </w:rPr>
        <w:t xml:space="preserve"> </w:t>
      </w:r>
    </w:p>
    <w:p w:rsidR="008A66B0" w:rsidP="000D72AD" w14:paraId="41930A4E" w14:textId="4BA569B2">
      <w:pPr>
        <w:autoSpaceDE w:val="0"/>
        <w:autoSpaceDN w:val="0"/>
        <w:adjustRightInd w:val="0"/>
        <w:spacing w:after="0" w:line="480" w:lineRule="auto"/>
        <w:ind w:firstLine="720"/>
        <w:rPr>
          <w:rFonts w:eastAsia="Times New Roman"/>
          <w:szCs w:val="20"/>
        </w:rPr>
      </w:pPr>
      <w:r>
        <w:rPr>
          <w:rFonts w:eastAsia="Times New Roman"/>
        </w:rPr>
        <w:t xml:space="preserve">There is no explanation why </w:t>
      </w:r>
      <w:r w:rsidR="00BC0226">
        <w:rPr>
          <w:rFonts w:eastAsia="Times New Roman"/>
        </w:rPr>
        <w:t xml:space="preserve">the PUCO Staff Report used </w:t>
      </w:r>
      <w:r>
        <w:rPr>
          <w:rFonts w:eastAsia="Times New Roman"/>
        </w:rPr>
        <w:t>the yields of the 20-year bonds, and not the yields of the 10-year bonds in this proceeding</w:t>
      </w:r>
      <w:r w:rsidR="00BC0226">
        <w:rPr>
          <w:rFonts w:eastAsia="Times New Roman"/>
        </w:rPr>
        <w:t xml:space="preserve"> as the risk-free rate for the CAPM analysis</w:t>
      </w:r>
      <w:r>
        <w:rPr>
          <w:rFonts w:eastAsia="Times New Roman"/>
        </w:rPr>
        <w:t>.</w:t>
      </w:r>
      <w:r>
        <w:rPr>
          <w:rStyle w:val="FootnoteReference"/>
          <w:rFonts w:eastAsia="Times New Roman"/>
        </w:rPr>
        <w:footnoteReference w:id="30"/>
      </w:r>
      <w:r>
        <w:rPr>
          <w:rFonts w:eastAsia="Times New Roman"/>
        </w:rPr>
        <w:t xml:space="preserve"> </w:t>
      </w:r>
      <w:r>
        <w:rPr>
          <w:rFonts w:eastAsia="Times New Roman"/>
          <w:szCs w:val="20"/>
        </w:rPr>
        <w:t xml:space="preserve">As the yields of the 20-year bonds (for example, 2.07% in 2021) tend to be much higher than the yields of the 10-year bonds (for example, 1.50% in 2021), </w:t>
      </w:r>
      <w:r w:rsidR="006B0390">
        <w:rPr>
          <w:rFonts w:eastAsia="Times New Roman"/>
          <w:szCs w:val="20"/>
        </w:rPr>
        <w:t>using the</w:t>
      </w:r>
      <w:r>
        <w:rPr>
          <w:rFonts w:eastAsia="Times New Roman"/>
          <w:szCs w:val="20"/>
        </w:rPr>
        <w:t xml:space="preserve"> yields of 20-year U.S. Treasury Bonds as the risk-free rate </w:t>
      </w:r>
      <w:r w:rsidR="006B0390">
        <w:rPr>
          <w:rFonts w:eastAsia="Times New Roman"/>
          <w:szCs w:val="20"/>
        </w:rPr>
        <w:t>overstates</w:t>
      </w:r>
      <w:r>
        <w:rPr>
          <w:rFonts w:eastAsia="Times New Roman"/>
          <w:szCs w:val="20"/>
        </w:rPr>
        <w:t xml:space="preserve"> the estimated cost of equity of Aqua under the CAPM analysis.</w:t>
      </w:r>
      <w:r w:rsidR="00CB3F2C">
        <w:rPr>
          <w:rFonts w:eastAsia="Times New Roman"/>
          <w:szCs w:val="20"/>
        </w:rPr>
        <w:t xml:space="preserve"> </w:t>
      </w:r>
      <w:r>
        <w:t xml:space="preserve">OCC objects to </w:t>
      </w:r>
      <w:r w:rsidR="00B47599">
        <w:t>Staff’s</w:t>
      </w:r>
      <w:r>
        <w:t xml:space="preserve"> </w:t>
      </w:r>
      <w:r>
        <w:rPr>
          <w:rFonts w:eastAsia="Times New Roman"/>
          <w:szCs w:val="20"/>
        </w:rPr>
        <w:t xml:space="preserve">use of </w:t>
      </w:r>
      <w:r w:rsidRPr="006218D2">
        <w:rPr>
          <w:rFonts w:eastAsia="Times New Roman"/>
          <w:szCs w:val="20"/>
        </w:rPr>
        <w:t xml:space="preserve">the average of the yields </w:t>
      </w:r>
      <w:r>
        <w:rPr>
          <w:rFonts w:eastAsia="Times New Roman"/>
          <w:szCs w:val="20"/>
        </w:rPr>
        <w:t xml:space="preserve">(interest rates) </w:t>
      </w:r>
      <w:r w:rsidRPr="006218D2">
        <w:rPr>
          <w:rFonts w:eastAsia="Times New Roman"/>
          <w:szCs w:val="20"/>
        </w:rPr>
        <w:t>of the 20-year and 30-year U.S. Treasury Bonds as the risk-free rate</w:t>
      </w:r>
      <w:r>
        <w:rPr>
          <w:rFonts w:eastAsia="Times New Roman"/>
          <w:szCs w:val="20"/>
        </w:rPr>
        <w:t xml:space="preserve"> for the CAPM analysis. </w:t>
      </w:r>
    </w:p>
    <w:p w:rsidR="00044CF9" w:rsidP="00FD658C" w14:paraId="07C2D9D8" w14:textId="195DEF69">
      <w:pPr>
        <w:autoSpaceDE w:val="0"/>
        <w:autoSpaceDN w:val="0"/>
        <w:adjustRightInd w:val="0"/>
        <w:spacing w:after="0" w:line="480" w:lineRule="auto"/>
        <w:ind w:firstLine="720"/>
        <w:rPr>
          <w:rFonts w:eastAsia="Times New Roman"/>
          <w:bCs/>
          <w:iCs/>
        </w:rPr>
      </w:pPr>
      <w:r>
        <w:rPr>
          <w:rFonts w:eastAsia="Times New Roman"/>
          <w:szCs w:val="20"/>
        </w:rPr>
        <w:t xml:space="preserve">Instead, </w:t>
      </w:r>
      <w:r w:rsidR="006B0390">
        <w:rPr>
          <w:rFonts w:eastAsia="Times New Roman"/>
          <w:szCs w:val="20"/>
        </w:rPr>
        <w:t>Staff should have used</w:t>
      </w:r>
      <w:r>
        <w:rPr>
          <w:rFonts w:eastAsia="Times New Roman"/>
          <w:szCs w:val="20"/>
        </w:rPr>
        <w:t xml:space="preserve"> the </w:t>
      </w:r>
      <w:r>
        <w:rPr>
          <w:rFonts w:eastAsia="Times New Roman"/>
          <w:bCs/>
          <w:iCs/>
        </w:rPr>
        <w:t>average of the 10-year U.S. Treasury Bonds (1.50%) and the 30-year U.S. Treasury Bonds (2.16%) for the six-month period of March 1 to August 31, 2021</w:t>
      </w:r>
      <w:r w:rsidR="00C0645C">
        <w:rPr>
          <w:rFonts w:eastAsia="Times New Roman"/>
          <w:bCs/>
          <w:iCs/>
        </w:rPr>
        <w:t>, which</w:t>
      </w:r>
      <w:r>
        <w:rPr>
          <w:rFonts w:eastAsia="Times New Roman"/>
          <w:bCs/>
          <w:iCs/>
        </w:rPr>
        <w:t xml:space="preserve"> leads to a risk-free rate of 1.83% for the CAPM.</w:t>
      </w:r>
      <w:r>
        <w:rPr>
          <w:rStyle w:val="FootnoteReference"/>
          <w:rFonts w:eastAsia="Times New Roman"/>
          <w:bCs/>
          <w:iCs/>
        </w:rPr>
        <w:footnoteReference w:id="31"/>
      </w:r>
      <w:r>
        <w:rPr>
          <w:rFonts w:eastAsia="Times New Roman"/>
          <w:bCs/>
          <w:iCs/>
        </w:rPr>
        <w:t xml:space="preserve"> The PUCO Staff Reports of prior rate cases have used the average of the yields of 10-year and 30-year U.S. Treasury bonds as the risk-free </w:t>
      </w:r>
      <w:r w:rsidR="00FD658C">
        <w:rPr>
          <w:rFonts w:eastAsia="Times New Roman"/>
          <w:bCs/>
          <w:iCs/>
        </w:rPr>
        <w:t>rate and</w:t>
      </w:r>
      <w:r>
        <w:rPr>
          <w:rFonts w:eastAsia="Times New Roman"/>
          <w:bCs/>
          <w:iCs/>
        </w:rPr>
        <w:t xml:space="preserve"> should do so here.</w:t>
      </w:r>
      <w:r>
        <w:rPr>
          <w:rStyle w:val="FootnoteReference"/>
          <w:rFonts w:eastAsia="Times New Roman"/>
          <w:bCs/>
          <w:iCs/>
        </w:rPr>
        <w:footnoteReference w:id="32"/>
      </w:r>
      <w:r>
        <w:rPr>
          <w:rFonts w:eastAsia="Times New Roman"/>
          <w:bCs/>
          <w:iCs/>
        </w:rPr>
        <w:t xml:space="preserve"> </w:t>
      </w:r>
    </w:p>
    <w:p w:rsidR="00BC7850" w:rsidP="00436E2A" w14:paraId="5C9865A2" w14:textId="062E33B6">
      <w:pPr>
        <w:keepNext/>
        <w:spacing w:after="240" w:line="240" w:lineRule="auto"/>
        <w:outlineLvl w:val="2"/>
        <w:rPr>
          <w:rFonts w:eastAsia="Times New Roman" w:cs="Times New Roman"/>
          <w:szCs w:val="20"/>
        </w:rPr>
      </w:pPr>
      <w:bookmarkStart w:id="8" w:name="_Toc98156466"/>
      <w:r w:rsidRPr="00471490">
        <w:rPr>
          <w:rStyle w:val="Heading3Char"/>
        </w:rPr>
        <w:t xml:space="preserve">OBJECTION </w:t>
      </w:r>
      <w:r w:rsidRPr="00471490" w:rsidR="00FA47FD">
        <w:rPr>
          <w:rStyle w:val="Heading3Char"/>
        </w:rPr>
        <w:t>3</w:t>
      </w:r>
      <w:r w:rsidRPr="00471490">
        <w:rPr>
          <w:rStyle w:val="Heading3Char"/>
        </w:rPr>
        <w:t>: The Staff Report erred by including the results of Comparable</w:t>
      </w:r>
      <w:r w:rsidRPr="00373345">
        <w:rPr>
          <w:rFonts w:eastAsia="Times New Roman" w:cs="Times New Roman"/>
          <w:b/>
          <w:bCs/>
          <w:szCs w:val="20"/>
        </w:rPr>
        <w:t xml:space="preserve"> </w:t>
      </w:r>
      <w:r w:rsidRPr="00471490">
        <w:rPr>
          <w:rStyle w:val="Heading3Char"/>
        </w:rPr>
        <w:t xml:space="preserve">Earnings (“CE”) analysis, </w:t>
      </w:r>
      <w:r w:rsidRPr="00471490" w:rsidR="00FA47FD">
        <w:rPr>
          <w:rStyle w:val="Heading3Char"/>
        </w:rPr>
        <w:t>which included</w:t>
      </w:r>
      <w:r w:rsidRPr="00471490">
        <w:rPr>
          <w:rStyle w:val="Heading3Char"/>
        </w:rPr>
        <w:t xml:space="preserve"> the estimated </w:t>
      </w:r>
      <w:r w:rsidRPr="00471490" w:rsidR="005D7836">
        <w:rPr>
          <w:rStyle w:val="Heading3Char"/>
        </w:rPr>
        <w:t xml:space="preserve">return on equity </w:t>
      </w:r>
      <w:r w:rsidRPr="00471490">
        <w:rPr>
          <w:rStyle w:val="Heading3Char"/>
        </w:rPr>
        <w:t>of 13.53% earned by companies from various industries with vastly different business and financial risks from a regulated utility in calculating the cost of equity.</w:t>
      </w:r>
      <w:r w:rsidRPr="00471490" w:rsidR="00CB3F2C">
        <w:rPr>
          <w:rStyle w:val="Heading3Char"/>
        </w:rPr>
        <w:t xml:space="preserve"> </w:t>
      </w:r>
      <w:r w:rsidRPr="00471490">
        <w:rPr>
          <w:rStyle w:val="Heading3Char"/>
        </w:rPr>
        <w:t xml:space="preserve">The inclusion of this unrelated and unreasonably high earned </w:t>
      </w:r>
      <w:r w:rsidRPr="00471490" w:rsidR="005D7836">
        <w:rPr>
          <w:rStyle w:val="Heading3Char"/>
        </w:rPr>
        <w:t xml:space="preserve">return on equity </w:t>
      </w:r>
      <w:r w:rsidRPr="00471490">
        <w:rPr>
          <w:rStyle w:val="Heading3Char"/>
        </w:rPr>
        <w:t>of 13.53% overstate</w:t>
      </w:r>
      <w:r w:rsidRPr="00471490" w:rsidR="005D7836">
        <w:rPr>
          <w:rStyle w:val="Heading3Char"/>
        </w:rPr>
        <w:t>s</w:t>
      </w:r>
      <w:r w:rsidRPr="00471490">
        <w:rPr>
          <w:rStyle w:val="Heading3Char"/>
        </w:rPr>
        <w:t xml:space="preserve"> the cost of equity of Aqua</w:t>
      </w:r>
      <w:r w:rsidRPr="00471490" w:rsidR="005D7836">
        <w:rPr>
          <w:rStyle w:val="Heading3Char"/>
        </w:rPr>
        <w:t xml:space="preserve"> causing a rate of return that is too high</w:t>
      </w:r>
      <w:r w:rsidR="009072D2">
        <w:rPr>
          <w:rStyle w:val="Heading3Char"/>
        </w:rPr>
        <w:t xml:space="preserve"> and results in unjust and unreasonable rates for consumers to pay</w:t>
      </w:r>
      <w:r w:rsidRPr="00471490">
        <w:rPr>
          <w:rStyle w:val="Heading3Char"/>
        </w:rPr>
        <w:t>.</w:t>
      </w:r>
      <w:bookmarkEnd w:id="8"/>
      <w:r w:rsidR="00CB3F2C">
        <w:rPr>
          <w:rFonts w:eastAsia="Times New Roman" w:cs="Times New Roman"/>
          <w:b/>
          <w:bCs/>
          <w:szCs w:val="20"/>
        </w:rPr>
        <w:t xml:space="preserve"> </w:t>
      </w:r>
    </w:p>
    <w:p w:rsidR="00BC7850" w:rsidP="00471490" w14:paraId="4969FA66" w14:textId="5793E18B">
      <w:pPr>
        <w:autoSpaceDE w:val="0"/>
        <w:autoSpaceDN w:val="0"/>
        <w:adjustRightInd w:val="0"/>
        <w:spacing w:after="0" w:line="480" w:lineRule="auto"/>
        <w:ind w:firstLine="720"/>
      </w:pPr>
      <w:r>
        <w:t xml:space="preserve">To protect Aqua’s consumers, OCC objects to </w:t>
      </w:r>
      <w:r w:rsidR="00C0645C">
        <w:t xml:space="preserve">the PUCO </w:t>
      </w:r>
      <w:r>
        <w:t xml:space="preserve">Staff’s use of the results of the Comparable Earnings Review (“CE Review”), such as the estimated </w:t>
      </w:r>
      <w:r w:rsidR="00C0645C">
        <w:t xml:space="preserve">return on equity </w:t>
      </w:r>
      <w:r>
        <w:t>of 13.53% earned by companies from various industries (Group 1), in calculating the cost of equity.</w:t>
      </w:r>
      <w:r>
        <w:rPr>
          <w:rStyle w:val="FootnoteReference"/>
        </w:rPr>
        <w:footnoteReference w:id="33"/>
      </w:r>
      <w:r w:rsidR="00CB3F2C">
        <w:t xml:space="preserve"> </w:t>
      </w:r>
      <w:r>
        <w:t>These companies are in various industries with vastly different business and financial risks from those associated with a regulated water utility such as Aqua.</w:t>
      </w:r>
      <w:r w:rsidR="00CB3F2C">
        <w:t xml:space="preserve"> </w:t>
      </w:r>
      <w:r>
        <w:t xml:space="preserve">The average earned </w:t>
      </w:r>
      <w:r w:rsidR="00C0645C">
        <w:t>return on equity</w:t>
      </w:r>
      <w:r>
        <w:t xml:space="preserve"> of these companies </w:t>
      </w:r>
      <w:r w:rsidRPr="006218D2">
        <w:rPr>
          <w:rFonts w:eastAsia="Times New Roman"/>
          <w:szCs w:val="20"/>
        </w:rPr>
        <w:t xml:space="preserve">should not be </w:t>
      </w:r>
      <w:r>
        <w:rPr>
          <w:rFonts w:eastAsia="Times New Roman"/>
          <w:szCs w:val="20"/>
        </w:rPr>
        <w:t xml:space="preserve">used </w:t>
      </w:r>
      <w:r w:rsidRPr="006218D2">
        <w:rPr>
          <w:rFonts w:eastAsia="Times New Roman"/>
          <w:szCs w:val="20"/>
        </w:rPr>
        <w:t>in setting the cost of equity of Aqua.</w:t>
      </w:r>
      <w:r>
        <w:rPr>
          <w:rFonts w:eastAsia="Times New Roman"/>
          <w:szCs w:val="20"/>
        </w:rPr>
        <w:t xml:space="preserve"> </w:t>
      </w:r>
      <w:r>
        <w:t xml:space="preserve">The inclusion of this unrelated earned </w:t>
      </w:r>
      <w:r w:rsidR="00C0645C">
        <w:t xml:space="preserve">return on equity </w:t>
      </w:r>
      <w:r>
        <w:t>of 13.53% from other industries</w:t>
      </w:r>
      <w:r w:rsidR="00CB3F2C">
        <w:t xml:space="preserve"> </w:t>
      </w:r>
      <w:r>
        <w:t>unreasonably overstate</w:t>
      </w:r>
      <w:r w:rsidR="006E1AC2">
        <w:t>s</w:t>
      </w:r>
      <w:r>
        <w:t xml:space="preserve"> the cost of equity of Aqua, a regulated water utility.</w:t>
      </w:r>
      <w:r w:rsidR="00CB3F2C">
        <w:t xml:space="preserve"> </w:t>
      </w:r>
    </w:p>
    <w:p w:rsidR="006E1AC2" w:rsidP="00471490" w14:paraId="1E333D19" w14:textId="45675A71">
      <w:pPr>
        <w:spacing w:after="0" w:line="480" w:lineRule="auto"/>
        <w:ind w:firstLine="720"/>
        <w:rPr>
          <w:rFonts w:eastAsia="Times New Roman"/>
          <w:szCs w:val="20"/>
        </w:rPr>
      </w:pPr>
      <w:r>
        <w:t xml:space="preserve">The problem with using the CE Review in the Staff Report is </w:t>
      </w:r>
      <w:r w:rsidRPr="006218D2">
        <w:rPr>
          <w:rFonts w:eastAsia="Times New Roman"/>
          <w:szCs w:val="20"/>
        </w:rPr>
        <w:t>th</w:t>
      </w:r>
      <w:r>
        <w:rPr>
          <w:rFonts w:eastAsia="Times New Roman"/>
          <w:szCs w:val="20"/>
        </w:rPr>
        <w:t xml:space="preserve">at it selected a peer group consisting of companies in unregulated industries with totally different business and financial risks than a regulated water utility like Aqua. The resulting return on equity of 13.53% </w:t>
      </w:r>
      <w:r w:rsidRPr="006218D2">
        <w:rPr>
          <w:rFonts w:eastAsia="Times New Roman"/>
          <w:szCs w:val="20"/>
        </w:rPr>
        <w:t xml:space="preserve">is clearly </w:t>
      </w:r>
      <w:r>
        <w:rPr>
          <w:rFonts w:eastAsia="Times New Roman"/>
          <w:szCs w:val="20"/>
        </w:rPr>
        <w:t xml:space="preserve">unreasonable and unreliable (much too high) as a proxy in estimating the cost of equity of Aqua when other accepted rate of return methodologies have generated a cost of equity of either </w:t>
      </w:r>
      <w:r w:rsidRPr="006218D2">
        <w:rPr>
          <w:rFonts w:eastAsia="Times New Roman"/>
          <w:szCs w:val="20"/>
        </w:rPr>
        <w:t xml:space="preserve">8.36% </w:t>
      </w:r>
      <w:r>
        <w:rPr>
          <w:rFonts w:eastAsia="Times New Roman"/>
          <w:szCs w:val="20"/>
        </w:rPr>
        <w:t xml:space="preserve">(from CAPM) or </w:t>
      </w:r>
      <w:r w:rsidRPr="006218D2">
        <w:rPr>
          <w:rFonts w:eastAsia="Times New Roman"/>
          <w:szCs w:val="20"/>
        </w:rPr>
        <w:t xml:space="preserve">8.30% </w:t>
      </w:r>
      <w:r>
        <w:rPr>
          <w:rFonts w:eastAsia="Times New Roman"/>
          <w:szCs w:val="20"/>
        </w:rPr>
        <w:t xml:space="preserve">(from </w:t>
      </w:r>
      <w:r w:rsidRPr="006218D2">
        <w:rPr>
          <w:rFonts w:eastAsia="Times New Roman"/>
          <w:szCs w:val="20"/>
        </w:rPr>
        <w:t>DCF</w:t>
      </w:r>
      <w:r>
        <w:rPr>
          <w:rFonts w:eastAsia="Times New Roman"/>
          <w:szCs w:val="20"/>
        </w:rPr>
        <w:t>)</w:t>
      </w:r>
      <w:r w:rsidRPr="006218D2">
        <w:rPr>
          <w:rFonts w:eastAsia="Times New Roman"/>
          <w:szCs w:val="20"/>
        </w:rPr>
        <w:t>.</w:t>
      </w:r>
      <w:r>
        <w:rPr>
          <w:rStyle w:val="FootnoteReference"/>
          <w:rFonts w:eastAsia="Times New Roman"/>
          <w:szCs w:val="20"/>
        </w:rPr>
        <w:footnoteReference w:id="34"/>
      </w:r>
      <w:r w:rsidRPr="006218D2">
        <w:rPr>
          <w:rFonts w:eastAsia="Times New Roman"/>
          <w:szCs w:val="20"/>
        </w:rPr>
        <w:t xml:space="preserve"> </w:t>
      </w:r>
    </w:p>
    <w:p w:rsidR="00CE0C1A" w:rsidP="00874F7B" w14:paraId="269D7D9C" w14:textId="5D5129E4">
      <w:pPr>
        <w:spacing w:after="0" w:line="480" w:lineRule="auto"/>
        <w:ind w:firstLine="720"/>
        <w:rPr>
          <w:rFonts w:eastAsia="Times New Roman"/>
        </w:rPr>
      </w:pPr>
      <w:r>
        <w:rPr>
          <w:rFonts w:eastAsia="Times New Roman"/>
        </w:rPr>
        <w:t>In recent PUCO rate case Staff Reports,</w:t>
      </w:r>
      <w:r>
        <w:rPr>
          <w:rStyle w:val="FootnoteReference"/>
          <w:rFonts w:eastAsia="Times New Roman"/>
        </w:rPr>
        <w:footnoteReference w:id="35"/>
      </w:r>
      <w:r w:rsidRPr="00607A2B">
        <w:rPr>
          <w:rFonts w:eastAsia="Times New Roman"/>
        </w:rPr>
        <w:t xml:space="preserve"> the cost of equity was calculated by the average of the </w:t>
      </w:r>
      <w:r>
        <w:rPr>
          <w:rFonts w:eastAsia="Times New Roman"/>
        </w:rPr>
        <w:t>Capital Asset Pricing Model (“</w:t>
      </w:r>
      <w:r w:rsidRPr="00607A2B">
        <w:rPr>
          <w:rFonts w:eastAsia="Times New Roman"/>
        </w:rPr>
        <w:t>CA</w:t>
      </w:r>
      <w:r>
        <w:rPr>
          <w:rFonts w:eastAsia="Times New Roman"/>
        </w:rPr>
        <w:t>PM”)</w:t>
      </w:r>
      <w:r w:rsidRPr="00607A2B">
        <w:rPr>
          <w:rFonts w:eastAsia="Times New Roman"/>
        </w:rPr>
        <w:t xml:space="preserve"> and </w:t>
      </w:r>
      <w:r>
        <w:rPr>
          <w:rFonts w:eastAsia="Times New Roman"/>
        </w:rPr>
        <w:t>Discounted Case Flow (“</w:t>
      </w:r>
      <w:r w:rsidRPr="00607A2B">
        <w:rPr>
          <w:rFonts w:eastAsia="Times New Roman"/>
        </w:rPr>
        <w:t>DCF</w:t>
      </w:r>
      <w:r>
        <w:rPr>
          <w:rFonts w:eastAsia="Times New Roman"/>
        </w:rPr>
        <w:t>”) analysis.</w:t>
      </w:r>
      <w:r w:rsidR="00CB3F2C">
        <w:rPr>
          <w:rFonts w:eastAsia="Times New Roman"/>
        </w:rPr>
        <w:t xml:space="preserve"> </w:t>
      </w:r>
      <w:r>
        <w:rPr>
          <w:rFonts w:eastAsia="Times New Roman"/>
        </w:rPr>
        <w:t>The results from the Comparative Earnings analysis were rarely used</w:t>
      </w:r>
      <w:r w:rsidR="006E1AC2">
        <w:rPr>
          <w:rFonts w:eastAsia="Times New Roman"/>
        </w:rPr>
        <w:t xml:space="preserve"> in prior rate cases.</w:t>
      </w:r>
      <w:r>
        <w:rPr>
          <w:rFonts w:eastAsia="Times New Roman"/>
        </w:rPr>
        <w:t xml:space="preserve"> </w:t>
      </w:r>
      <w:r w:rsidRPr="00607A2B" w:rsidR="006E1AC2">
        <w:rPr>
          <w:rFonts w:eastAsia="Times New Roman"/>
        </w:rPr>
        <w:t xml:space="preserve">The Staff Report has provided no explanation why </w:t>
      </w:r>
      <w:r w:rsidR="006E1AC2">
        <w:rPr>
          <w:rFonts w:eastAsia="Times New Roman"/>
        </w:rPr>
        <w:t xml:space="preserve">the CE Review should be added </w:t>
      </w:r>
      <w:r w:rsidRPr="00607A2B" w:rsidR="006E1AC2">
        <w:rPr>
          <w:rFonts w:eastAsia="Times New Roman"/>
        </w:rPr>
        <w:t xml:space="preserve">in estimating a reasonable cost of equity for </w:t>
      </w:r>
      <w:r w:rsidR="006E1AC2">
        <w:rPr>
          <w:rFonts w:eastAsia="Times New Roman"/>
        </w:rPr>
        <w:t xml:space="preserve">Aqua </w:t>
      </w:r>
      <w:r w:rsidRPr="00607A2B" w:rsidR="006E1AC2">
        <w:rPr>
          <w:rFonts w:eastAsia="Times New Roman"/>
        </w:rPr>
        <w:t>in this proceeding.</w:t>
      </w:r>
    </w:p>
    <w:p w:rsidR="00CE0C1A" w14:paraId="0DC109AA" w14:textId="77777777">
      <w:pPr>
        <w:spacing w:after="160" w:line="259" w:lineRule="auto"/>
        <w:rPr>
          <w:rFonts w:eastAsia="Times New Roman"/>
        </w:rPr>
      </w:pPr>
      <w:r>
        <w:rPr>
          <w:rFonts w:eastAsia="Times New Roman"/>
        </w:rPr>
        <w:br w:type="page"/>
      </w:r>
    </w:p>
    <w:p w:rsidR="00436E2A" w:rsidRPr="00373345" w:rsidP="00436E2A" w14:paraId="02E8992D" w14:textId="05AA264A">
      <w:pPr>
        <w:keepNext/>
        <w:spacing w:after="240" w:line="240" w:lineRule="auto"/>
        <w:outlineLvl w:val="2"/>
        <w:rPr>
          <w:rFonts w:eastAsia="Times New Roman" w:cs="Times New Roman"/>
          <w:b/>
          <w:bCs/>
          <w:szCs w:val="20"/>
        </w:rPr>
      </w:pPr>
      <w:bookmarkStart w:id="9" w:name="_Toc98156467"/>
      <w:r w:rsidRPr="00874F7B">
        <w:rPr>
          <w:rStyle w:val="Heading3Char"/>
        </w:rPr>
        <w:t xml:space="preserve">OBJECTION </w:t>
      </w:r>
      <w:r w:rsidRPr="00874F7B" w:rsidR="00FA47FD">
        <w:rPr>
          <w:rStyle w:val="Heading3Char"/>
        </w:rPr>
        <w:t>4</w:t>
      </w:r>
      <w:r w:rsidRPr="00874F7B">
        <w:rPr>
          <w:rStyle w:val="Heading3Char"/>
        </w:rPr>
        <w:t xml:space="preserve">: The Staff </w:t>
      </w:r>
      <w:r w:rsidRPr="009F49CE">
        <w:rPr>
          <w:rStyle w:val="Heading3Char"/>
        </w:rPr>
        <w:t xml:space="preserve">Report inappropriately increased the </w:t>
      </w:r>
      <w:r w:rsidR="009072D2">
        <w:rPr>
          <w:rStyle w:val="Heading3Char"/>
        </w:rPr>
        <w:t>cost of equity by</w:t>
      </w:r>
      <w:r w:rsidRPr="009F49CE">
        <w:rPr>
          <w:rStyle w:val="Heading3Char"/>
        </w:rPr>
        <w:t xml:space="preserve"> allowing an adjustment for equity issuance and other costs</w:t>
      </w:r>
      <w:r w:rsidRPr="009F49CE" w:rsidR="009041E2">
        <w:rPr>
          <w:rStyle w:val="Heading3Char"/>
        </w:rPr>
        <w:t xml:space="preserve">, causing a recommended </w:t>
      </w:r>
      <w:r w:rsidR="009072D2">
        <w:rPr>
          <w:rStyle w:val="Heading3Char"/>
        </w:rPr>
        <w:t xml:space="preserve">cost of equity (or </w:t>
      </w:r>
      <w:r w:rsidRPr="009F49CE" w:rsidR="009041E2">
        <w:rPr>
          <w:rStyle w:val="Heading3Char"/>
        </w:rPr>
        <w:t>return on equity</w:t>
      </w:r>
      <w:r w:rsidR="009072D2">
        <w:rPr>
          <w:rStyle w:val="Heading3Char"/>
        </w:rPr>
        <w:t>)</w:t>
      </w:r>
      <w:r w:rsidRPr="009F49CE" w:rsidR="009041E2">
        <w:rPr>
          <w:rStyle w:val="Heading3Char"/>
        </w:rPr>
        <w:t xml:space="preserve"> </w:t>
      </w:r>
      <w:r w:rsidRPr="009F49CE" w:rsidR="0086193A">
        <w:rPr>
          <w:rStyle w:val="Heading3Char"/>
        </w:rPr>
        <w:t>r</w:t>
      </w:r>
      <w:r w:rsidRPr="009F49CE" w:rsidR="009041E2">
        <w:rPr>
          <w:rStyle w:val="Heading3Char"/>
        </w:rPr>
        <w:t xml:space="preserve">ange of 8.99% to 10.00% that is too high and thus </w:t>
      </w:r>
      <w:r w:rsidR="0079770F">
        <w:rPr>
          <w:rStyle w:val="Heading3Char"/>
        </w:rPr>
        <w:t xml:space="preserve">results in </w:t>
      </w:r>
      <w:r w:rsidRPr="009F49CE" w:rsidR="009041E2">
        <w:rPr>
          <w:rStyle w:val="Heading3Char"/>
        </w:rPr>
        <w:t xml:space="preserve">unjust and unreasonable </w:t>
      </w:r>
      <w:r w:rsidR="0079770F">
        <w:rPr>
          <w:rStyle w:val="Heading3Char"/>
        </w:rPr>
        <w:t xml:space="preserve">rates </w:t>
      </w:r>
      <w:r w:rsidRPr="009F49CE" w:rsidR="009041E2">
        <w:rPr>
          <w:rStyle w:val="Heading3Char"/>
        </w:rPr>
        <w:t>for consumers to pay</w:t>
      </w:r>
      <w:r w:rsidRPr="00373345">
        <w:rPr>
          <w:rFonts w:eastAsia="Times New Roman" w:cs="Times New Roman"/>
          <w:b/>
          <w:bCs/>
          <w:szCs w:val="20"/>
        </w:rPr>
        <w:t>.</w:t>
      </w:r>
      <w:bookmarkEnd w:id="9"/>
      <w:r w:rsidR="009041E2">
        <w:rPr>
          <w:rFonts w:eastAsia="Times New Roman" w:cs="Times New Roman"/>
          <w:b/>
          <w:bCs/>
          <w:szCs w:val="20"/>
        </w:rPr>
        <w:t xml:space="preserve"> </w:t>
      </w:r>
    </w:p>
    <w:p w:rsidR="009F49CE" w:rsidP="00044CF9" w14:paraId="6FDEBEA0" w14:textId="4AF450C1">
      <w:pPr>
        <w:spacing w:after="0" w:line="480" w:lineRule="auto"/>
        <w:ind w:firstLine="720"/>
      </w:pPr>
      <w:r w:rsidRPr="009F49CE">
        <w:t>To protect Aqua’s consumers, OCC objects to the inclusion of an allowance for generic and hypothetical issuance and other costs proposed in the Staff Report.</w:t>
      </w:r>
      <w:r>
        <w:rPr>
          <w:rStyle w:val="FootnoteReference"/>
          <w:rFonts w:cs="Times New Roman"/>
          <w:bCs/>
          <w:szCs w:val="24"/>
        </w:rPr>
        <w:footnoteReference w:id="36"/>
      </w:r>
      <w:r w:rsidRPr="00FD0171">
        <w:rPr>
          <w:bCs/>
        </w:rPr>
        <w:t xml:space="preserve"> </w:t>
      </w:r>
      <w:r w:rsidRPr="009F49CE">
        <w:t xml:space="preserve">By including this additional allowance, the Staff Report increased the recommended cost of equity from a range of 8.89% to 9.89% to a range of 8.99% to 10.00%. </w:t>
      </w:r>
      <w:r w:rsidRPr="009F49CE" w:rsidR="006E1AC2">
        <w:t>This added allowance to the baseline cost of equity is unnecessary and unreasonable. There is no evidence in the Staff Report that Aqua is likely to incur the equity issuance and other costs recently or in the future or the magnitude of these costs.</w:t>
      </w:r>
      <w:r>
        <w:rPr>
          <w:rStyle w:val="FootnoteReference"/>
          <w:rFonts w:cs="Times New Roman"/>
          <w:bCs/>
          <w:szCs w:val="24"/>
        </w:rPr>
        <w:footnoteReference w:id="37"/>
      </w:r>
    </w:p>
    <w:p w:rsidR="009041E2" w:rsidRPr="009041E2" w:rsidP="009041E2" w14:paraId="35736BBB" w14:textId="58F5C790">
      <w:pPr>
        <w:keepNext/>
        <w:spacing w:after="240" w:line="240" w:lineRule="auto"/>
        <w:outlineLvl w:val="2"/>
        <w:rPr>
          <w:rFonts w:eastAsia="Times New Roman" w:cs="Times New Roman"/>
          <w:b/>
          <w:bCs/>
          <w:szCs w:val="20"/>
        </w:rPr>
      </w:pPr>
      <w:bookmarkStart w:id="10" w:name="_Toc98156468"/>
      <w:r w:rsidRPr="009F49CE">
        <w:rPr>
          <w:rStyle w:val="Heading3Char"/>
        </w:rPr>
        <w:t xml:space="preserve">OBJECTION </w:t>
      </w:r>
      <w:r w:rsidRPr="009F49CE" w:rsidR="00A30D7D">
        <w:rPr>
          <w:rStyle w:val="Heading3Char"/>
        </w:rPr>
        <w:t>5</w:t>
      </w:r>
      <w:r w:rsidRPr="009F49CE">
        <w:rPr>
          <w:rStyle w:val="Heading3Char"/>
        </w:rPr>
        <w:t xml:space="preserve">: The Staff Report’s recommended rate of return range of 6.51% to 7.04% is too high </w:t>
      </w:r>
      <w:r w:rsidRPr="009F49CE" w:rsidR="006E1AC2">
        <w:rPr>
          <w:rStyle w:val="Heading3Char"/>
        </w:rPr>
        <w:t xml:space="preserve">based on current </w:t>
      </w:r>
      <w:r w:rsidRPr="009F49CE">
        <w:rPr>
          <w:rStyle w:val="Heading3Char"/>
        </w:rPr>
        <w:t>market conditions and Aqua’s business and financial risks</w:t>
      </w:r>
      <w:r w:rsidRPr="009F49CE" w:rsidR="002A586C">
        <w:rPr>
          <w:rStyle w:val="Heading3Char"/>
        </w:rPr>
        <w:t xml:space="preserve">, resulting in </w:t>
      </w:r>
      <w:r w:rsidR="009072D2">
        <w:rPr>
          <w:rStyle w:val="Heading3Char"/>
        </w:rPr>
        <w:t xml:space="preserve">rates that are too high and are </w:t>
      </w:r>
      <w:r w:rsidRPr="009F49CE">
        <w:rPr>
          <w:rStyle w:val="Heading3Char"/>
        </w:rPr>
        <w:t>unjust and unreasonable for consumers</w:t>
      </w:r>
      <w:r w:rsidR="0079770F">
        <w:rPr>
          <w:rStyle w:val="Heading3Char"/>
        </w:rPr>
        <w:t xml:space="preserve"> to pay</w:t>
      </w:r>
      <w:r w:rsidRPr="009F49CE">
        <w:rPr>
          <w:rStyle w:val="Heading3Char"/>
        </w:rPr>
        <w:t>. A more reasonable rate of return would be 6.32% or lower.</w:t>
      </w:r>
      <w:bookmarkEnd w:id="10"/>
    </w:p>
    <w:p w:rsidR="005D7836" w:rsidP="00C60991" w14:paraId="78AE4B92" w14:textId="2A633155">
      <w:pPr>
        <w:spacing w:after="0" w:line="480" w:lineRule="auto"/>
        <w:ind w:firstLine="720"/>
      </w:pPr>
      <w:r w:rsidRPr="00482399">
        <w:rPr>
          <w:bCs/>
        </w:rPr>
        <w:t>To protect Aqua’s consumers,</w:t>
      </w:r>
      <w:r>
        <w:t xml:space="preserve"> OCC objects to the </w:t>
      </w:r>
      <w:r w:rsidRPr="00FD2108">
        <w:t xml:space="preserve">recommended rate of return range of 6.51% to 7.04% </w:t>
      </w:r>
      <w:r>
        <w:t>in the Staff Report.</w:t>
      </w:r>
      <w:r>
        <w:rPr>
          <w:rStyle w:val="FootnoteReference"/>
        </w:rPr>
        <w:footnoteReference w:id="38"/>
      </w:r>
      <w:r>
        <w:t xml:space="preserve"> T</w:t>
      </w:r>
      <w:r w:rsidRPr="00FD2108">
        <w:t xml:space="preserve">he Staff Report’s recommended rate of return range of 6.51% to 7.04% is too high </w:t>
      </w:r>
      <w:r>
        <w:t xml:space="preserve">based on </w:t>
      </w:r>
      <w:r w:rsidRPr="00FD2108">
        <w:t>current market conditions and Aqua’s business and financial risks.</w:t>
      </w:r>
      <w:r>
        <w:t xml:space="preserve"> </w:t>
      </w:r>
      <w:r w:rsidRPr="00FD2108">
        <w:t xml:space="preserve">It is </w:t>
      </w:r>
      <w:r w:rsidR="00B33547">
        <w:t xml:space="preserve">thus </w:t>
      </w:r>
      <w:r w:rsidRPr="00FD2108">
        <w:t xml:space="preserve">unjust and unreasonable for consumers to pay </w:t>
      </w:r>
      <w:r>
        <w:t xml:space="preserve">Aqua </w:t>
      </w:r>
      <w:r w:rsidRPr="00FD2108">
        <w:t>a water distribution charge based on this</w:t>
      </w:r>
      <w:r>
        <w:t xml:space="preserve"> range of rate of return.</w:t>
      </w:r>
    </w:p>
    <w:p w:rsidR="009041E2" w:rsidP="00C60991" w14:paraId="0F532C8B" w14:textId="378FF336">
      <w:pPr>
        <w:spacing w:after="0" w:line="480" w:lineRule="auto"/>
        <w:ind w:firstLine="720"/>
        <w:rPr>
          <w:rFonts w:cs="Times New Roman"/>
          <w:szCs w:val="20"/>
        </w:rPr>
      </w:pPr>
      <w:r>
        <w:t>Ohio consumers served by Aqua have faced frequent and significant rate increases in the last five years.</w:t>
      </w:r>
      <w:r w:rsidR="00CB3F2C">
        <w:t xml:space="preserve"> </w:t>
      </w:r>
      <w:r w:rsidR="00B33547">
        <w:t xml:space="preserve">This rate increase, </w:t>
      </w:r>
      <w:r>
        <w:t>if approved, would be the fifth increase in rates (including the three System Improvement Charges) granted by the PUCO since March 2017.</w:t>
      </w:r>
      <w:r>
        <w:rPr>
          <w:rStyle w:val="FootnoteReference"/>
          <w:rFonts w:eastAsia="Times New Roman"/>
          <w:bCs/>
          <w:iCs/>
        </w:rPr>
        <w:footnoteReference w:id="39"/>
      </w:r>
      <w:r w:rsidR="00CB3F2C">
        <w:t xml:space="preserve"> </w:t>
      </w:r>
    </w:p>
    <w:p w:rsidR="008524A8" w:rsidP="00044CF9" w14:paraId="128A9FE1" w14:textId="639D8C46">
      <w:pPr>
        <w:autoSpaceDE w:val="0"/>
        <w:autoSpaceDN w:val="0"/>
        <w:adjustRightInd w:val="0"/>
        <w:spacing w:after="0" w:line="480" w:lineRule="auto"/>
        <w:ind w:firstLine="720"/>
        <w:rPr>
          <w:rFonts w:eastAsia="Times New Roman"/>
          <w:bCs/>
          <w:iCs/>
        </w:rPr>
      </w:pPr>
      <w:r>
        <w:rPr>
          <w:rFonts w:eastAsia="Times New Roman"/>
          <w:bCs/>
          <w:iCs/>
        </w:rPr>
        <w:t xml:space="preserve">Aqua’s frequent and significant rate increases in recent years indicate the need to select a lower but reasonable rate of return to </w:t>
      </w:r>
      <w:r w:rsidR="00320115">
        <w:rPr>
          <w:rFonts w:eastAsia="Times New Roman"/>
          <w:bCs/>
          <w:iCs/>
        </w:rPr>
        <w:t xml:space="preserve">lessen the impact of </w:t>
      </w:r>
      <w:r>
        <w:rPr>
          <w:rFonts w:eastAsia="Times New Roman"/>
          <w:bCs/>
          <w:iCs/>
        </w:rPr>
        <w:t>any further rate increase to Aqua’s consumers.</w:t>
      </w:r>
      <w:r w:rsidR="00CB3F2C">
        <w:rPr>
          <w:rFonts w:eastAsia="Times New Roman"/>
          <w:bCs/>
          <w:iCs/>
        </w:rPr>
        <w:t xml:space="preserve"> </w:t>
      </w:r>
      <w:r>
        <w:rPr>
          <w:rFonts w:eastAsia="Times New Roman"/>
          <w:bCs/>
          <w:iCs/>
        </w:rPr>
        <w:t>At the same time, the frequent use of the System Improvement Charge (two in 2019 and one in 2020) by Aqua has reduced considerably the so-called regulatory lag and the business and financial risks of Aqua.</w:t>
      </w:r>
      <w:r w:rsidR="00CB3F2C">
        <w:rPr>
          <w:rFonts w:eastAsia="Times New Roman"/>
          <w:bCs/>
          <w:iCs/>
        </w:rPr>
        <w:t xml:space="preserve"> </w:t>
      </w:r>
      <w:r>
        <w:rPr>
          <w:rFonts w:eastAsia="Times New Roman"/>
          <w:bCs/>
          <w:iCs/>
        </w:rPr>
        <w:t>This in turn should lead to a low</w:t>
      </w:r>
      <w:r w:rsidR="00320115">
        <w:rPr>
          <w:rFonts w:eastAsia="Times New Roman"/>
          <w:bCs/>
          <w:iCs/>
        </w:rPr>
        <w:t>er</w:t>
      </w:r>
      <w:r>
        <w:rPr>
          <w:rFonts w:eastAsia="Times New Roman"/>
          <w:bCs/>
          <w:iCs/>
        </w:rPr>
        <w:t xml:space="preserve"> authorized rate of return for Aqua. </w:t>
      </w:r>
    </w:p>
    <w:p w:rsidR="008524A8" w:rsidP="009F49CE" w14:paraId="5C34C94B" w14:textId="47AE7F65">
      <w:pPr>
        <w:autoSpaceDE w:val="0"/>
        <w:autoSpaceDN w:val="0"/>
        <w:spacing w:after="0" w:line="480" w:lineRule="auto"/>
        <w:ind w:firstLine="720"/>
      </w:pPr>
      <w:r>
        <w:t xml:space="preserve">OCC’s </w:t>
      </w:r>
      <w:r w:rsidRPr="00482399">
        <w:t xml:space="preserve">recommended rate of return in the range of </w:t>
      </w:r>
      <w:r>
        <w:t>6.10</w:t>
      </w:r>
      <w:r w:rsidRPr="00482399">
        <w:t>% to 6.3</w:t>
      </w:r>
      <w:r>
        <w:t>2</w:t>
      </w:r>
      <w:r w:rsidRPr="00482399">
        <w:t>% with a midpoint of 6.</w:t>
      </w:r>
      <w:r>
        <w:t>2</w:t>
      </w:r>
      <w:r w:rsidRPr="00482399">
        <w:t>1% reflects proper and reasonable modifications to the rate of return analysis included in the Staff Report.</w:t>
      </w:r>
      <w:r>
        <w:rPr>
          <w:rStyle w:val="FootnoteReference"/>
        </w:rPr>
        <w:footnoteReference w:id="40"/>
      </w:r>
      <w:r w:rsidRPr="00482399">
        <w:t xml:space="preserve"> This range of rate of return is also consistent with the well-established regulatory principles that (1) a rate of return should not result in unjust and unreasonable rates</w:t>
      </w:r>
      <w:r w:rsidR="00B33547">
        <w:t>;</w:t>
      </w:r>
      <w:r w:rsidRPr="00482399">
        <w:t xml:space="preserve"> (2) a rate of return should be based on current market conditions and returns available from alternative investments</w:t>
      </w:r>
      <w:r w:rsidR="00B33547">
        <w:t>;</w:t>
      </w:r>
      <w:r w:rsidRPr="00482399">
        <w:t xml:space="preserve"> </w:t>
      </w:r>
      <w:r>
        <w:t>(3) a rate of return should be based on providing sufficient fund for a regulated utility to continue its normal course of business</w:t>
      </w:r>
      <w:r w:rsidR="00B33547">
        <w:t>;</w:t>
      </w:r>
      <w:r>
        <w:t xml:space="preserve"> a</w:t>
      </w:r>
      <w:r w:rsidRPr="00482399">
        <w:t>nd (</w:t>
      </w:r>
      <w:r>
        <w:t>4</w:t>
      </w:r>
      <w:r w:rsidRPr="00482399">
        <w:t>) a rate of return is not a guarantee for the regulated utility to receive excessive returns on its invested capital.</w:t>
      </w:r>
      <w:r>
        <w:rPr>
          <w:rStyle w:val="FootnoteReference"/>
        </w:rPr>
        <w:footnoteReference w:id="41"/>
      </w:r>
      <w:r w:rsidRPr="00482399">
        <w:t xml:space="preserve"> </w:t>
      </w:r>
    </w:p>
    <w:p w:rsidR="003A3B90" w:rsidP="009F49CE" w14:paraId="0C5A1AF7" w14:textId="419C7F92">
      <w:pPr>
        <w:autoSpaceDE w:val="0"/>
        <w:autoSpaceDN w:val="0"/>
        <w:spacing w:after="0" w:line="480" w:lineRule="auto"/>
        <w:ind w:firstLine="720"/>
      </w:pPr>
      <w:r>
        <w:t>If the upper bound rate of return recommended in the Staff Report (7.04%) were adopted, Aqua would collect approximately $120,665 annually in additional and unreasonable charges from its wastewater consumers.</w:t>
      </w:r>
      <w:r>
        <w:rPr>
          <w:rStyle w:val="FootnoteReference"/>
        </w:rPr>
        <w:footnoteReference w:id="42"/>
      </w:r>
    </w:p>
    <w:p w:rsidR="00CE0C1A" w:rsidP="00CE0C1A" w14:paraId="2BD6E273" w14:textId="77777777">
      <w:pPr>
        <w:autoSpaceDE w:val="0"/>
        <w:autoSpaceDN w:val="0"/>
        <w:spacing w:after="0" w:line="240" w:lineRule="auto"/>
        <w:ind w:firstLine="720"/>
      </w:pPr>
    </w:p>
    <w:p w:rsidR="00585329" w:rsidP="009F49CE" w14:paraId="1530F3DC" w14:textId="32BCE020">
      <w:pPr>
        <w:pStyle w:val="Heading1"/>
      </w:pPr>
      <w:bookmarkStart w:id="11" w:name="_Toc98156469"/>
      <w:r w:rsidRPr="002A586C">
        <w:t>CONCLUSION</w:t>
      </w:r>
      <w:bookmarkStart w:id="12" w:name="_Toc80200615"/>
      <w:bookmarkEnd w:id="11"/>
    </w:p>
    <w:p w:rsidR="006846AD" w:rsidP="00FD658C" w14:paraId="63D4B085" w14:textId="287679C7">
      <w:pPr>
        <w:tabs>
          <w:tab w:val="left" w:pos="720"/>
          <w:tab w:val="left" w:pos="1440"/>
          <w:tab w:val="left" w:leader="dot" w:pos="8640"/>
        </w:tabs>
        <w:spacing w:line="480" w:lineRule="auto"/>
        <w:ind w:firstLine="720"/>
        <w:rPr>
          <w:szCs w:val="24"/>
        </w:rPr>
      </w:pPr>
      <w:r w:rsidRPr="002A586C">
        <w:t>To protect consumers from paying rates that are unjust</w:t>
      </w:r>
      <w:r w:rsidR="00772D91">
        <w:t>, unreasonable and unlawful, the</w:t>
      </w:r>
      <w:r w:rsidRPr="002A586C">
        <w:t xml:space="preserve"> PUCO should adopt OCC’s recommendations set forth in these objections, which are further developed in OCC</w:t>
      </w:r>
      <w:r w:rsidR="00772D91">
        <w:t>’s</w:t>
      </w:r>
      <w:r w:rsidRPr="002A586C">
        <w:t xml:space="preserve"> testimony.</w:t>
      </w:r>
    </w:p>
    <w:p w:rsidR="00B62F00" w:rsidP="00CE0C1A" w14:paraId="353DC179" w14:textId="2C76C79E">
      <w:pPr>
        <w:spacing w:after="0"/>
        <w:ind w:left="3600"/>
        <w:rPr>
          <w:szCs w:val="24"/>
        </w:rPr>
      </w:pPr>
      <w:r>
        <w:rPr>
          <w:szCs w:val="24"/>
        </w:rPr>
        <w:t>Respectfully submitted,</w:t>
      </w:r>
    </w:p>
    <w:p w:rsidR="00B62F00" w:rsidP="00CE0C1A" w14:paraId="1D3421CA" w14:textId="77777777">
      <w:pPr>
        <w:spacing w:after="0"/>
        <w:ind w:left="3600"/>
        <w:rPr>
          <w:szCs w:val="24"/>
        </w:rPr>
      </w:pPr>
    </w:p>
    <w:p w:rsidR="00B62F00" w:rsidP="00CE0C1A" w14:paraId="74010C42" w14:textId="77777777">
      <w:pPr>
        <w:spacing w:after="0"/>
        <w:ind w:left="3600"/>
        <w:rPr>
          <w:szCs w:val="24"/>
        </w:rPr>
      </w:pPr>
      <w:r>
        <w:rPr>
          <w:szCs w:val="24"/>
        </w:rPr>
        <w:t>Bruce Weston (0016973)</w:t>
      </w:r>
    </w:p>
    <w:p w:rsidR="00B62F00" w:rsidP="00CE0C1A" w14:paraId="674043EC" w14:textId="3C9AD83C">
      <w:pPr>
        <w:spacing w:after="0"/>
        <w:rPr>
          <w:szCs w:val="24"/>
        </w:rPr>
      </w:pPr>
      <w:r>
        <w:rPr>
          <w:szCs w:val="24"/>
        </w:rPr>
        <w:tab/>
      </w:r>
      <w:r w:rsidR="00CE0C1A">
        <w:rPr>
          <w:szCs w:val="24"/>
        </w:rPr>
        <w:tab/>
      </w:r>
      <w:r w:rsidR="00CE0C1A">
        <w:rPr>
          <w:szCs w:val="24"/>
        </w:rPr>
        <w:tab/>
      </w:r>
      <w:r w:rsidR="00CE0C1A">
        <w:rPr>
          <w:szCs w:val="24"/>
        </w:rPr>
        <w:tab/>
      </w:r>
      <w:r w:rsidR="00CE0C1A">
        <w:rPr>
          <w:szCs w:val="24"/>
        </w:rPr>
        <w:tab/>
      </w:r>
      <w:r>
        <w:rPr>
          <w:szCs w:val="24"/>
        </w:rPr>
        <w:t xml:space="preserve">Ohio Consumers’ Counsel </w:t>
      </w:r>
    </w:p>
    <w:p w:rsidR="00B62F00" w:rsidP="00CE0C1A" w14:paraId="277AAFFE" w14:textId="77777777">
      <w:pPr>
        <w:tabs>
          <w:tab w:val="left" w:pos="4320"/>
        </w:tabs>
        <w:rPr>
          <w:sz w:val="16"/>
          <w:szCs w:val="24"/>
        </w:rPr>
      </w:pPr>
    </w:p>
    <w:p w:rsidR="00B62F00" w:rsidP="00CE0C1A" w14:paraId="28BE7566" w14:textId="77777777">
      <w:pPr>
        <w:pStyle w:val="EndnoteText"/>
        <w:ind w:left="3600"/>
        <w:rPr>
          <w:sz w:val="24"/>
          <w:szCs w:val="24"/>
        </w:rPr>
      </w:pPr>
      <w:r>
        <w:rPr>
          <w:i/>
          <w:sz w:val="24"/>
          <w:szCs w:val="24"/>
          <w:u w:val="single"/>
        </w:rPr>
        <w:t>/s/ Amy Botschner O’Brien</w:t>
      </w:r>
      <w:r>
        <w:rPr>
          <w:i/>
          <w:sz w:val="24"/>
          <w:szCs w:val="24"/>
          <w:u w:val="single"/>
        </w:rPr>
        <w:tab/>
      </w:r>
    </w:p>
    <w:p w:rsidR="00B62F00" w:rsidP="00CE0C1A" w14:paraId="2DAA8087" w14:textId="77777777">
      <w:pPr>
        <w:spacing w:after="0"/>
        <w:ind w:left="4320" w:hanging="720"/>
        <w:rPr>
          <w:szCs w:val="24"/>
        </w:rPr>
      </w:pPr>
      <w:r>
        <w:rPr>
          <w:szCs w:val="24"/>
        </w:rPr>
        <w:t>Amy Botschner O’Brien (0074423)</w:t>
      </w:r>
    </w:p>
    <w:p w:rsidR="00B62F00" w:rsidP="00CE0C1A" w14:paraId="011196E9" w14:textId="77777777">
      <w:pPr>
        <w:spacing w:after="0"/>
        <w:ind w:left="4320" w:hanging="720"/>
        <w:rPr>
          <w:szCs w:val="24"/>
        </w:rPr>
      </w:pPr>
      <w:r>
        <w:rPr>
          <w:szCs w:val="24"/>
        </w:rPr>
        <w:t>Counsel of Record</w:t>
      </w:r>
    </w:p>
    <w:p w:rsidR="00B62F00" w:rsidP="00CE0C1A" w14:paraId="1AD71049" w14:textId="17874FE0">
      <w:pPr>
        <w:spacing w:after="0"/>
        <w:ind w:hanging="720"/>
        <w:rPr>
          <w:szCs w:val="24"/>
        </w:rPr>
      </w:pPr>
      <w:r>
        <w:rPr>
          <w:szCs w:val="24"/>
        </w:rPr>
        <w:tab/>
      </w:r>
      <w:r w:rsidR="00CE0C1A">
        <w:rPr>
          <w:szCs w:val="24"/>
        </w:rPr>
        <w:tab/>
      </w:r>
      <w:r w:rsidR="00CE0C1A">
        <w:rPr>
          <w:szCs w:val="24"/>
        </w:rPr>
        <w:tab/>
      </w:r>
      <w:r w:rsidR="00CE0C1A">
        <w:rPr>
          <w:szCs w:val="24"/>
        </w:rPr>
        <w:tab/>
      </w:r>
      <w:r w:rsidR="00CE0C1A">
        <w:rPr>
          <w:szCs w:val="24"/>
        </w:rPr>
        <w:tab/>
      </w:r>
      <w:r w:rsidR="00CE0C1A">
        <w:rPr>
          <w:szCs w:val="24"/>
        </w:rPr>
        <w:tab/>
      </w:r>
      <w:r>
        <w:rPr>
          <w:szCs w:val="24"/>
        </w:rPr>
        <w:t>Ambrosia E. Wilson (0096598)</w:t>
      </w:r>
    </w:p>
    <w:p w:rsidR="00B62F00" w:rsidP="00CE0C1A" w14:paraId="4798775E" w14:textId="77777777">
      <w:pPr>
        <w:spacing w:after="0"/>
        <w:ind w:left="4320" w:hanging="720"/>
        <w:rPr>
          <w:szCs w:val="24"/>
        </w:rPr>
      </w:pPr>
      <w:r>
        <w:rPr>
          <w:szCs w:val="24"/>
        </w:rPr>
        <w:t>Assistant Consumers’ Counsel</w:t>
      </w:r>
    </w:p>
    <w:p w:rsidR="00B62F00" w:rsidP="00B62F00" w14:paraId="3F2834FE" w14:textId="77777777">
      <w:pPr>
        <w:ind w:left="4320"/>
        <w:rPr>
          <w:sz w:val="16"/>
          <w:szCs w:val="24"/>
        </w:rPr>
      </w:pPr>
    </w:p>
    <w:p w:rsidR="00B62F00" w:rsidP="00CE0C1A" w14:paraId="0485BC5C" w14:textId="77777777">
      <w:pPr>
        <w:spacing w:after="0"/>
        <w:ind w:left="3600"/>
        <w:rPr>
          <w:b/>
          <w:szCs w:val="24"/>
        </w:rPr>
      </w:pPr>
      <w:r>
        <w:rPr>
          <w:b/>
          <w:szCs w:val="24"/>
        </w:rPr>
        <w:t>Office of the Ohio Consumers’ Counsel</w:t>
      </w:r>
    </w:p>
    <w:p w:rsidR="00B62F00" w:rsidP="00CE0C1A" w14:paraId="1997BEDC" w14:textId="6344EE53">
      <w:pPr>
        <w:spacing w:after="0"/>
        <w:ind w:left="3600"/>
        <w:rPr>
          <w:szCs w:val="24"/>
        </w:rPr>
      </w:pPr>
      <w:r>
        <w:rPr>
          <w:szCs w:val="24"/>
        </w:rPr>
        <w:t>65 East State Street, Suite 700</w:t>
      </w:r>
    </w:p>
    <w:p w:rsidR="00900B69" w:rsidP="00CE0C1A" w14:paraId="360001E2" w14:textId="77777777">
      <w:pPr>
        <w:spacing w:after="0"/>
        <w:ind w:left="3600"/>
        <w:rPr>
          <w:szCs w:val="24"/>
        </w:rPr>
      </w:pPr>
      <w:r>
        <w:rPr>
          <w:szCs w:val="24"/>
        </w:rPr>
        <w:t>Columbus, Ohio 43215</w:t>
      </w:r>
    </w:p>
    <w:p w:rsidR="00B62F00" w:rsidP="00CE0C1A" w14:paraId="2611AA1D" w14:textId="1354C46B">
      <w:pPr>
        <w:spacing w:after="0"/>
        <w:ind w:left="3600"/>
        <w:rPr>
          <w:szCs w:val="24"/>
        </w:rPr>
      </w:pPr>
      <w:r>
        <w:rPr>
          <w:szCs w:val="24"/>
        </w:rPr>
        <w:t>Telephone: [</w:t>
      </w:r>
      <w:r w:rsidR="00900B69">
        <w:rPr>
          <w:szCs w:val="24"/>
        </w:rPr>
        <w:t xml:space="preserve">Botschner </w:t>
      </w:r>
      <w:r>
        <w:rPr>
          <w:szCs w:val="24"/>
        </w:rPr>
        <w:t>O’Brien] (614) 466-95</w:t>
      </w:r>
      <w:r w:rsidR="00900B69">
        <w:rPr>
          <w:szCs w:val="24"/>
        </w:rPr>
        <w:t>75</w:t>
      </w:r>
    </w:p>
    <w:p w:rsidR="00B62F00" w:rsidP="00CE0C1A" w14:paraId="0EB7DD00" w14:textId="77777777">
      <w:pPr>
        <w:spacing w:after="0"/>
        <w:ind w:left="3600"/>
        <w:rPr>
          <w:szCs w:val="24"/>
        </w:rPr>
      </w:pPr>
      <w:r>
        <w:rPr>
          <w:szCs w:val="24"/>
        </w:rPr>
        <w:t>Telephone: [Wilson] (614) 466-1292</w:t>
      </w:r>
    </w:p>
    <w:p w:rsidR="00B62F00" w:rsidP="00CE0C1A" w14:paraId="3EA600E6" w14:textId="77777777">
      <w:pPr>
        <w:spacing w:after="0"/>
        <w:ind w:left="3600"/>
        <w:rPr>
          <w:szCs w:val="24"/>
        </w:rPr>
      </w:pPr>
      <w:hyperlink r:id="rId6" w:history="1">
        <w:r w:rsidR="00511709">
          <w:rPr>
            <w:rStyle w:val="Hyperlink"/>
            <w:szCs w:val="24"/>
          </w:rPr>
          <w:t>amy.botschner.obrien@occ.ohio.gov</w:t>
        </w:r>
      </w:hyperlink>
    </w:p>
    <w:p w:rsidR="00B62F00" w:rsidRPr="004F2E45" w:rsidP="00CE0C1A" w14:paraId="017D3E5E" w14:textId="77777777">
      <w:pPr>
        <w:spacing w:after="0"/>
        <w:ind w:left="3600"/>
        <w:rPr>
          <w:color w:val="0000FF"/>
          <w:szCs w:val="24"/>
          <w:u w:val="single"/>
        </w:rPr>
      </w:pPr>
      <w:r w:rsidRPr="004F2E45">
        <w:rPr>
          <w:color w:val="0000FF"/>
          <w:szCs w:val="24"/>
          <w:u w:val="single"/>
        </w:rPr>
        <w:t>ambrosia.wilson@occ.ohio.gov</w:t>
      </w:r>
    </w:p>
    <w:p w:rsidR="00B62F00" w:rsidP="00CE0C1A" w14:paraId="3CCE4236" w14:textId="44597583">
      <w:pPr>
        <w:spacing w:after="0"/>
        <w:ind w:left="3600"/>
        <w:rPr>
          <w:szCs w:val="24"/>
        </w:rPr>
      </w:pPr>
      <w:r>
        <w:rPr>
          <w:szCs w:val="24"/>
        </w:rPr>
        <w:t>(willing to accept service by e-mail)</w:t>
      </w:r>
    </w:p>
    <w:p w:rsidR="00CE0C1A" w14:paraId="36FE0BA4" w14:textId="0E1B0F19">
      <w:pPr>
        <w:spacing w:after="160" w:line="259" w:lineRule="auto"/>
        <w:rPr>
          <w:szCs w:val="24"/>
        </w:rPr>
      </w:pPr>
      <w:r>
        <w:rPr>
          <w:szCs w:val="24"/>
        </w:rPr>
        <w:br w:type="page"/>
      </w:r>
    </w:p>
    <w:p w:rsidR="00B87F81" w:rsidRPr="00A23474" w:rsidP="00B87F81" w14:paraId="18C70B70" w14:textId="77777777">
      <w:pPr>
        <w:spacing w:after="0" w:line="252" w:lineRule="auto"/>
        <w:ind w:left="3600"/>
        <w:rPr>
          <w:rFonts w:cs="Times New Roman"/>
          <w:sz w:val="22"/>
        </w:rPr>
      </w:pPr>
      <w:r w:rsidRPr="00A23474">
        <w:rPr>
          <w:rFonts w:cs="Times New Roman"/>
        </w:rPr>
        <w:t>Brian M. Zets (0066544)</w:t>
      </w:r>
      <w:r w:rsidRPr="00A23474">
        <w:rPr>
          <w:rFonts w:cs="Times New Roman"/>
          <w:b/>
          <w:bCs/>
        </w:rPr>
        <w:br/>
      </w:r>
      <w:r w:rsidRPr="00A23474">
        <w:rPr>
          <w:rFonts w:cs="Times New Roman"/>
        </w:rPr>
        <w:t>Two Miranova Place, Ste. 700</w:t>
      </w:r>
      <w:r w:rsidRPr="00A23474">
        <w:rPr>
          <w:rFonts w:cs="Times New Roman"/>
        </w:rPr>
        <w:br/>
        <w:t xml:space="preserve">Columbus, OH 43215-5098 </w:t>
      </w:r>
      <w:r w:rsidRPr="00A23474">
        <w:rPr>
          <w:rFonts w:cs="Times New Roman"/>
          <w:szCs w:val="24"/>
        </w:rPr>
        <w:br/>
      </w:r>
      <w:r w:rsidRPr="00A23474">
        <w:rPr>
          <w:rFonts w:cs="Times New Roman"/>
          <w:b/>
          <w:bCs/>
        </w:rPr>
        <w:t>t</w:t>
      </w:r>
      <w:r w:rsidRPr="00A23474">
        <w:rPr>
          <w:rFonts w:cs="Times New Roman"/>
        </w:rPr>
        <w:t xml:space="preserve"> 614.221.2121 • </w:t>
      </w:r>
      <w:r w:rsidRPr="00A23474">
        <w:rPr>
          <w:rFonts w:cs="Times New Roman"/>
          <w:b/>
          <w:bCs/>
        </w:rPr>
        <w:t>f</w:t>
      </w:r>
      <w:r w:rsidRPr="00A23474">
        <w:rPr>
          <w:rFonts w:cs="Times New Roman"/>
        </w:rPr>
        <w:t xml:space="preserve"> 614.365.9516 </w:t>
      </w:r>
      <w:r w:rsidRPr="00A23474">
        <w:rPr>
          <w:rFonts w:cs="Times New Roman"/>
          <w:szCs w:val="24"/>
        </w:rPr>
        <w:br/>
      </w:r>
      <w:r w:rsidRPr="00A23474">
        <w:rPr>
          <w:rFonts w:cs="Times New Roman"/>
          <w:b/>
          <w:bCs/>
        </w:rPr>
        <w:t>d</w:t>
      </w:r>
      <w:r w:rsidRPr="00A23474">
        <w:rPr>
          <w:rFonts w:cs="Times New Roman"/>
        </w:rPr>
        <w:t xml:space="preserve"> 614.857.1377</w:t>
      </w:r>
    </w:p>
    <w:p w:rsidR="00B87F81" w:rsidP="00B87F81" w14:paraId="270E94A4" w14:textId="77777777">
      <w:pPr>
        <w:spacing w:after="0"/>
        <w:ind w:left="3600"/>
        <w:rPr>
          <w:rFonts w:cs="Times New Roman"/>
          <w:color w:val="684F40"/>
          <w:szCs w:val="24"/>
        </w:rPr>
      </w:pPr>
      <w:hyperlink r:id="rId7" w:history="1">
        <w:r w:rsidRPr="00A23474" w:rsidR="00511709">
          <w:rPr>
            <w:rStyle w:val="Hyperlink"/>
            <w:rFonts w:cs="Times New Roman"/>
          </w:rPr>
          <w:t>Bzets@isaacwiles.com</w:t>
        </w:r>
      </w:hyperlink>
      <w:r w:rsidRPr="00A23474" w:rsidR="00511709">
        <w:rPr>
          <w:rFonts w:cs="Times New Roman"/>
        </w:rPr>
        <w:t xml:space="preserve"> </w:t>
      </w:r>
    </w:p>
    <w:p w:rsidR="00B87F81" w:rsidP="00B87F81" w14:paraId="75691FF5" w14:textId="0C94BF14">
      <w:pPr>
        <w:spacing w:after="0"/>
        <w:ind w:left="3600" w:hanging="3600"/>
        <w:rPr>
          <w:rFonts w:cs="Times New Roman"/>
        </w:rPr>
      </w:pPr>
      <w:r>
        <w:rPr>
          <w:szCs w:val="24"/>
        </w:rPr>
        <w:tab/>
      </w:r>
      <w:hyperlink r:id="rId8" w:history="1">
        <w:r w:rsidRPr="00FF184A">
          <w:rPr>
            <w:rStyle w:val="Hyperlink"/>
            <w:rFonts w:cs="Times New Roman"/>
          </w:rPr>
          <w:t>www.isaacwiles.com</w:t>
        </w:r>
      </w:hyperlink>
    </w:p>
    <w:p w:rsidR="00B87F81" w:rsidRPr="00A4515D" w:rsidP="00B87F81" w14:paraId="5CFBE5AD" w14:textId="77777777">
      <w:pPr>
        <w:spacing w:after="0" w:line="240" w:lineRule="auto"/>
        <w:ind w:left="3600" w:hanging="3600"/>
        <w:rPr>
          <w:rFonts w:eastAsia="Times New Roman" w:cs="Times New Roman"/>
          <w:szCs w:val="24"/>
        </w:rPr>
      </w:pPr>
      <w:r>
        <w:rPr>
          <w:szCs w:val="24"/>
        </w:rPr>
        <w:tab/>
      </w:r>
      <w:r>
        <w:rPr>
          <w:i/>
          <w:iCs/>
          <w:szCs w:val="24"/>
        </w:rPr>
        <w:t>Special Counsel for the Office of the Ohio Consumers’ Counsel</w:t>
      </w:r>
    </w:p>
    <w:p w:rsidR="00B87F81" w:rsidP="00B62F00" w14:paraId="0E9EDE47" w14:textId="77777777">
      <w:pPr>
        <w:spacing w:after="0"/>
        <w:ind w:left="4320"/>
        <w:rPr>
          <w:szCs w:val="24"/>
        </w:rPr>
      </w:pPr>
    </w:p>
    <w:bookmarkEnd w:id="12"/>
    <w:p w:rsidR="00B62F00" w14:paraId="339A6EAC" w14:textId="38CCDDC6">
      <w:pPr>
        <w:spacing w:after="160" w:line="259" w:lineRule="auto"/>
        <w:rPr>
          <w:szCs w:val="24"/>
        </w:rPr>
      </w:pPr>
      <w:r>
        <w:rPr>
          <w:szCs w:val="24"/>
        </w:rPr>
        <w:br w:type="page"/>
      </w:r>
    </w:p>
    <w:bookmarkEnd w:id="0"/>
    <w:p w:rsidR="00B62F00" w:rsidP="00FD658C" w14:paraId="1463BB82" w14:textId="77777777">
      <w:pPr>
        <w:spacing w:after="0"/>
        <w:jc w:val="center"/>
        <w:rPr>
          <w:b/>
          <w:bCs/>
          <w:u w:val="single"/>
        </w:rPr>
      </w:pPr>
      <w:r>
        <w:rPr>
          <w:b/>
          <w:bCs/>
          <w:u w:val="single"/>
        </w:rPr>
        <w:t>CERTIFICATE OF SERVICE</w:t>
      </w:r>
    </w:p>
    <w:p w:rsidR="00B62F00" w:rsidP="00FD658C" w14:paraId="511D2B30" w14:textId="269233B7">
      <w:pPr>
        <w:spacing w:after="0" w:line="480" w:lineRule="atLeast"/>
        <w:ind w:firstLine="720"/>
      </w:pPr>
      <w:r>
        <w:t xml:space="preserve">I hereby certify that a copy of the Objections </w:t>
      </w:r>
      <w:r w:rsidR="000532BE">
        <w:t>was</w:t>
      </w:r>
      <w:r>
        <w:t xml:space="preserve"> served on the persons stated below via electronic transmission, this 14th day of March 2022.</w:t>
      </w:r>
    </w:p>
    <w:p w:rsidR="00B62F00" w:rsidP="00B62F00" w14:paraId="236D2D8E" w14:textId="77777777">
      <w:pPr>
        <w:tabs>
          <w:tab w:val="left" w:pos="4320"/>
        </w:tabs>
        <w:spacing w:before="240" w:after="0"/>
      </w:pPr>
      <w:r>
        <w:tab/>
      </w:r>
    </w:p>
    <w:p w:rsidR="00B62F00" w:rsidP="00FD658C" w14:paraId="3B6D3786" w14:textId="2E7960E0">
      <w:pPr>
        <w:tabs>
          <w:tab w:val="left" w:pos="4320"/>
        </w:tabs>
        <w:spacing w:after="0"/>
      </w:pPr>
      <w:r>
        <w:tab/>
      </w:r>
      <w:r>
        <w:rPr>
          <w:i/>
          <w:u w:val="single"/>
        </w:rPr>
        <w:t>/s/ Amy Botschner O’Brien</w:t>
      </w:r>
      <w:r>
        <w:rPr>
          <w:i/>
          <w:u w:val="single"/>
        </w:rPr>
        <w:tab/>
      </w:r>
    </w:p>
    <w:p w:rsidR="00B62F00" w:rsidP="00B62F00" w14:paraId="67F7D49D" w14:textId="77777777">
      <w:pPr>
        <w:tabs>
          <w:tab w:val="left" w:pos="4320"/>
        </w:tabs>
        <w:spacing w:after="0"/>
      </w:pPr>
      <w:r>
        <w:tab/>
        <w:t>Amy Botschner O’Brien</w:t>
      </w:r>
    </w:p>
    <w:p w:rsidR="00B62F00" w:rsidP="00B62F00" w14:paraId="29A46912" w14:textId="77777777">
      <w:pPr>
        <w:tabs>
          <w:tab w:val="left" w:pos="4320"/>
        </w:tabs>
        <w:spacing w:after="0"/>
      </w:pPr>
      <w:r>
        <w:tab/>
        <w:t>Assistant Consumers’ Counsel</w:t>
      </w:r>
    </w:p>
    <w:p w:rsidR="00B62F00" w:rsidP="00B62F00" w14:paraId="28E84AA1" w14:textId="77777777">
      <w:pPr>
        <w:pStyle w:val="CommentText"/>
      </w:pPr>
    </w:p>
    <w:p w:rsidR="00B62F00" w:rsidP="00B62F00" w14:paraId="7283BF54" w14:textId="77777777">
      <w:pPr>
        <w:pStyle w:val="CommentText"/>
      </w:pPr>
      <w:r>
        <w:t>The PUCO’s e-filing system will electronically serve notice of the filing of this document on the following parties:</w:t>
      </w:r>
    </w:p>
    <w:p w:rsidR="00B62F00" w:rsidP="00B62F00" w14:paraId="23C3CAA5" w14:textId="77777777">
      <w:pPr>
        <w:pStyle w:val="CommentText"/>
      </w:pPr>
    </w:p>
    <w:p w:rsidR="00B62F00" w:rsidP="00B62F00" w14:paraId="2941D184" w14:textId="77777777">
      <w:pPr>
        <w:pStyle w:val="CommentText"/>
        <w:jc w:val="center"/>
        <w:rPr>
          <w:b/>
          <w:u w:val="single"/>
        </w:rPr>
      </w:pPr>
      <w:r>
        <w:rPr>
          <w:b/>
          <w:u w:val="single"/>
        </w:rPr>
        <w:t>SERVICE LIST</w:t>
      </w:r>
    </w:p>
    <w:p w:rsidR="00B62F00" w:rsidP="00B62F00" w14:paraId="5D0F89EC" w14:textId="77777777">
      <w:pPr>
        <w:pStyle w:val="CommentText"/>
        <w:jc w:val="center"/>
        <w:rPr>
          <w:bCs/>
          <w:u w:val="single"/>
        </w:rPr>
      </w:pPr>
    </w:p>
    <w:tbl>
      <w:tblPr>
        <w:tblW w:w="0" w:type="auto"/>
        <w:tblInd w:w="0" w:type="dxa"/>
        <w:tblCellMar>
          <w:top w:w="0" w:type="dxa"/>
          <w:left w:w="108" w:type="dxa"/>
          <w:bottom w:w="0" w:type="dxa"/>
          <w:right w:w="108" w:type="dxa"/>
        </w:tblCellMar>
        <w:tblLook w:val="04A0"/>
      </w:tblPr>
      <w:tblGrid>
        <w:gridCol w:w="4317"/>
        <w:gridCol w:w="4323"/>
      </w:tblGrid>
      <w:tr w14:paraId="294A2095" w14:textId="77777777" w:rsidTr="00C557F4">
        <w:tblPrEx>
          <w:tblW w:w="0" w:type="auto"/>
          <w:tblInd w:w="0" w:type="dxa"/>
          <w:tblCellMar>
            <w:top w:w="0" w:type="dxa"/>
            <w:left w:w="108" w:type="dxa"/>
            <w:bottom w:w="0" w:type="dxa"/>
            <w:right w:w="108" w:type="dxa"/>
          </w:tblCellMar>
          <w:tblLook w:val="04A0"/>
        </w:tblPrEx>
        <w:tc>
          <w:tcPr>
            <w:tcW w:w="4428" w:type="dxa"/>
            <w:shd w:val="clear" w:color="auto" w:fill="auto"/>
          </w:tcPr>
          <w:p w:rsidR="00B62F00" w:rsidP="00B62F00" w14:paraId="382AFBD3" w14:textId="77777777">
            <w:pPr>
              <w:spacing w:after="0" w:line="240" w:lineRule="auto"/>
              <w:rPr>
                <w:rStyle w:val="DefaultParagraphFont"/>
                <w:rFonts w:ascii="Times New Roman" w:hAnsi="Times New Roman" w:eastAsiaTheme="minorHAnsi" w:cstheme="minorBidi"/>
                <w:color w:val="0000FF"/>
                <w:sz w:val="24"/>
                <w:szCs w:val="24"/>
                <w:u w:val="single"/>
                <w:lang w:val="en-US" w:eastAsia="en-US" w:bidi="ar-SA"/>
              </w:rPr>
            </w:pPr>
            <w:hyperlink r:id="rId16" w:history="1">
              <w:r w:rsidR="00511709">
                <w:rPr>
                  <w:rStyle w:val="Hyperlink"/>
                  <w:rFonts w:ascii="Times New Roman" w:hAnsi="Times New Roman" w:eastAsiaTheme="minorHAnsi" w:cstheme="minorBidi"/>
                  <w:color w:val="0000FF"/>
                  <w:sz w:val="24"/>
                  <w:szCs w:val="24"/>
                  <w:u w:val="single"/>
                  <w:lang w:val="en-US" w:eastAsia="en-US" w:bidi="ar-SA"/>
                </w:rPr>
                <w:t>Robert.eubanks@ohioAGO.gov</w:t>
              </w:r>
            </w:hyperlink>
          </w:p>
          <w:p w:rsidR="00B62F00" w:rsidP="00B62F00" w14:paraId="640BA65E" w14:textId="77777777">
            <w:pPr>
              <w:spacing w:after="0" w:line="240" w:lineRule="auto"/>
              <w:rPr>
                <w:rStyle w:val="DefaultParagraphFont"/>
                <w:rFonts w:ascii="Times New Roman" w:hAnsi="Times New Roman" w:eastAsiaTheme="minorHAnsi" w:cstheme="minorBidi"/>
                <w:color w:val="0000FF"/>
                <w:sz w:val="24"/>
                <w:szCs w:val="24"/>
                <w:u w:val="single"/>
                <w:lang w:val="en-US" w:eastAsia="en-US" w:bidi="ar-SA"/>
              </w:rPr>
            </w:pPr>
            <w:hyperlink r:id="rId17" w:history="1">
              <w:r w:rsidR="00511709">
                <w:rPr>
                  <w:rStyle w:val="Hyperlink"/>
                  <w:rFonts w:ascii="Times New Roman" w:hAnsi="Times New Roman" w:eastAsiaTheme="minorHAnsi" w:cstheme="minorBidi"/>
                  <w:color w:val="0000FF"/>
                  <w:sz w:val="24"/>
                  <w:szCs w:val="24"/>
                  <w:u w:val="single"/>
                  <w:lang w:val="en-US" w:eastAsia="en-US" w:bidi="ar-SA"/>
                </w:rPr>
                <w:t>Chelsea.Fletcher@ohioAGO.gov</w:t>
              </w:r>
            </w:hyperlink>
          </w:p>
          <w:p w:rsidR="00B62F00" w:rsidP="00C557F4" w14:paraId="2DFA4063" w14:textId="77777777">
            <w:pPr>
              <w:spacing w:after="200" w:line="276" w:lineRule="auto"/>
              <w:rPr>
                <w:rStyle w:val="DefaultParagraphFont"/>
                <w:rFonts w:ascii="Times New Roman" w:hAnsi="Times New Roman" w:eastAsiaTheme="minorHAnsi" w:cstheme="minorBidi"/>
                <w:color w:val="0000FF"/>
                <w:sz w:val="24"/>
                <w:szCs w:val="24"/>
                <w:u w:val="single"/>
                <w:lang w:val="en-US" w:eastAsia="en-US" w:bidi="ar-SA"/>
              </w:rPr>
            </w:pPr>
          </w:p>
          <w:p w:rsidR="00B62F00" w:rsidP="00C557F4" w14:paraId="7484E071" w14:textId="77777777">
            <w:pPr>
              <w:spacing w:after="200" w:line="276"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Attorney Examiners:</w:t>
            </w:r>
          </w:p>
          <w:p w:rsidR="00B62F00" w:rsidP="00B62F00" w14:paraId="198F201C" w14:textId="77777777">
            <w:pPr>
              <w:spacing w:after="0" w:line="276" w:lineRule="auto"/>
              <w:rPr>
                <w:rStyle w:val="DefaultParagraphFont"/>
                <w:rFonts w:ascii="Times New Roman" w:hAnsi="Times New Roman" w:eastAsiaTheme="minorHAnsi" w:cstheme="minorBidi"/>
                <w:color w:val="0000FF"/>
                <w:sz w:val="24"/>
                <w:szCs w:val="24"/>
                <w:u w:val="single"/>
                <w:lang w:val="en-US" w:eastAsia="en-US" w:bidi="ar-SA"/>
              </w:rPr>
            </w:pPr>
            <w:r>
              <w:rPr>
                <w:rFonts w:ascii="Times New Roman" w:hAnsi="Times New Roman" w:eastAsiaTheme="minorHAnsi" w:cstheme="minorBidi"/>
                <w:color w:val="0000FF"/>
                <w:sz w:val="24"/>
                <w:szCs w:val="24"/>
                <w:u w:val="single"/>
                <w:lang w:val="en-US" w:eastAsia="en-US" w:bidi="ar-SA"/>
              </w:rPr>
              <w:t>Michael.williams@puco.ohio.gov</w:t>
            </w:r>
          </w:p>
          <w:p w:rsidR="00B62F00" w:rsidP="00B62F00" w14:paraId="22CF80EE" w14:textId="77777777">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hyperlink r:id="rId18" w:history="1">
              <w:r w:rsidR="00511709">
                <w:rPr>
                  <w:rStyle w:val="Hyperlink"/>
                  <w:rFonts w:ascii="Times New Roman" w:eastAsia="Times New Roman" w:hAnsi="Times New Roman" w:cs="Times New Roman"/>
                  <w:bCs/>
                  <w:color w:val="0000FF"/>
                  <w:sz w:val="24"/>
                  <w:szCs w:val="24"/>
                  <w:u w:val="single"/>
                  <w:lang w:val="en-US" w:eastAsia="en-US" w:bidi="ar-SA"/>
                </w:rPr>
                <w:t>David.Hicks@puco.ohio.gov</w:t>
              </w:r>
            </w:hyperlink>
          </w:p>
          <w:p w:rsidR="00B62F00" w:rsidP="00C557F4" w14:paraId="0D91EB21" w14:textId="77777777">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p>
        </w:tc>
        <w:tc>
          <w:tcPr>
            <w:tcW w:w="4428" w:type="dxa"/>
            <w:shd w:val="clear" w:color="auto" w:fill="auto"/>
          </w:tcPr>
          <w:p w:rsidR="00B62F00" w:rsidP="00C557F4" w14:paraId="31F5FB19" w14:textId="77777777">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hyperlink r:id="rId19" w:history="1">
              <w:r w:rsidR="00511709">
                <w:rPr>
                  <w:rStyle w:val="Hyperlink"/>
                  <w:rFonts w:ascii="Times New Roman" w:eastAsia="Times New Roman" w:hAnsi="Times New Roman" w:cs="Times New Roman"/>
                  <w:bCs/>
                  <w:color w:val="0000FF"/>
                  <w:sz w:val="24"/>
                  <w:szCs w:val="24"/>
                  <w:u w:val="single"/>
                  <w:lang w:val="en-US" w:eastAsia="en-US" w:bidi="ar-SA"/>
                </w:rPr>
                <w:t>Christopher.miller@icemiller.com</w:t>
              </w:r>
            </w:hyperlink>
          </w:p>
          <w:p w:rsidR="00B62F00" w:rsidP="00C557F4" w14:paraId="44AECB11" w14:textId="77777777">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hyperlink r:id="rId20" w:history="1">
              <w:r w:rsidR="00511709">
                <w:rPr>
                  <w:rStyle w:val="Hyperlink"/>
                  <w:rFonts w:ascii="Times New Roman" w:eastAsia="Times New Roman" w:hAnsi="Times New Roman" w:cs="Times New Roman"/>
                  <w:bCs/>
                  <w:color w:val="0000FF"/>
                  <w:sz w:val="24"/>
                  <w:szCs w:val="24"/>
                  <w:u w:val="single"/>
                  <w:lang w:val="en-US" w:eastAsia="en-US" w:bidi="ar-SA"/>
                </w:rPr>
                <w:t>Nicole.woods@icemiller.com</w:t>
              </w:r>
            </w:hyperlink>
          </w:p>
          <w:p w:rsidR="00B87F81" w:rsidRPr="00027B59" w:rsidP="00B87F81" w14:paraId="1CE4F44B" w14:textId="77777777">
            <w:pPr>
              <w:suppressLineNumbers/>
              <w:spacing w:after="200" w:line="276" w:lineRule="auto"/>
              <w:rPr>
                <w:rStyle w:val="DefaultParagraphFont"/>
                <w:rFonts w:ascii="Times New Roman" w:hAnsi="Times New Roman" w:eastAsiaTheme="minorHAnsi" w:cstheme="minorBidi"/>
                <w:iCs/>
                <w:sz w:val="24"/>
                <w:szCs w:val="22"/>
                <w:lang w:val="en-US" w:eastAsia="en-US" w:bidi="ar-SA"/>
              </w:rPr>
            </w:pPr>
            <w:hyperlink r:id="rId21" w:history="1">
              <w:r w:rsidR="00511709">
                <w:rPr>
                  <w:rStyle w:val="Hyperlink"/>
                  <w:rFonts w:ascii="Times New Roman" w:eastAsia="PMingLiU" w:hAnsi="Times New Roman" w:cstheme="minorBidi"/>
                  <w:iCs/>
                  <w:color w:val="0000FF"/>
                  <w:sz w:val="24"/>
                  <w:szCs w:val="24"/>
                  <w:u w:val="single"/>
                  <w:lang w:val="en-US" w:eastAsia="en-US" w:bidi="ar-SA"/>
                </w:rPr>
                <w:t>lawdirectormarion@gmail.com</w:t>
              </w:r>
            </w:hyperlink>
          </w:p>
          <w:p w:rsidR="00B62F00" w:rsidP="00C557F4" w14:paraId="00B134FB" w14:textId="77777777">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p>
        </w:tc>
      </w:tr>
    </w:tbl>
    <w:p w:rsidR="00B62F00" w:rsidP="00B62F00" w14:paraId="1BD0ABBB" w14:textId="77777777">
      <w:pPr>
        <w:pStyle w:val="CommentText"/>
        <w:jc w:val="center"/>
        <w:rPr>
          <w:b/>
          <w:u w:val="single"/>
        </w:rPr>
      </w:pPr>
    </w:p>
    <w:p w:rsidR="00B62F00" w:rsidP="00B62F00" w14:paraId="2F58DB5F" w14:textId="77777777">
      <w:pPr>
        <w:pStyle w:val="CommentText"/>
        <w:jc w:val="center"/>
        <w:rPr>
          <w:b/>
          <w:u w:val="single"/>
        </w:rPr>
      </w:pPr>
    </w:p>
    <w:p w:rsidR="00B62F00" w:rsidP="00B62F00" w14:paraId="7EE490B4" w14:textId="77777777">
      <w:pPr>
        <w:pStyle w:val="CommentText"/>
        <w:rPr>
          <w:b/>
          <w:u w:val="single"/>
        </w:rPr>
      </w:pPr>
    </w:p>
    <w:p w:rsidR="00B62F00" w:rsidP="00B62F00" w14:paraId="21905300" w14:textId="77777777">
      <w:pPr>
        <w:pStyle w:val="BodyText"/>
        <w:rPr>
          <w:bCs/>
        </w:rPr>
      </w:pPr>
    </w:p>
    <w:p w:rsidR="00CB6CAC" w14:paraId="02A4A2D7" w14:textId="77777777"/>
    <w:sectPr w:rsidSect="003E0000">
      <w:footerReference w:type="default" r:id="rId2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614F72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0B679C7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4B025B6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2385097"/>
      <w:docPartObj>
        <w:docPartGallery w:val="Page Numbers (Bottom of Page)"/>
        <w:docPartUnique/>
      </w:docPartObj>
    </w:sdtPr>
    <w:sdtEndPr>
      <w:rPr>
        <w:noProof/>
      </w:rPr>
    </w:sdtEndPr>
    <w:sdtContent>
      <w:p w:rsidR="003E0000" w14:paraId="1E736C11" w14:textId="671D7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571049"/>
      <w:docPartObj>
        <w:docPartGallery w:val="Page Numbers (Bottom of Page)"/>
        <w:docPartUnique/>
      </w:docPartObj>
    </w:sdtPr>
    <w:sdtEndPr>
      <w:rPr>
        <w:noProof/>
      </w:rPr>
    </w:sdtEndPr>
    <w:sdtContent>
      <w:p w:rsidR="003E0000" w14:paraId="30FE9C7F" w14:textId="03BABE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29A0" w:rsidP="0009490A" w14:paraId="10797D47" w14:textId="77777777">
      <w:pPr>
        <w:spacing w:after="0" w:line="240" w:lineRule="auto"/>
      </w:pPr>
      <w:r>
        <w:separator/>
      </w:r>
    </w:p>
  </w:footnote>
  <w:footnote w:type="continuationSeparator" w:id="1">
    <w:p w:rsidR="000A29A0" w:rsidP="0009490A" w14:paraId="4E8978D5" w14:textId="77777777">
      <w:pPr>
        <w:spacing w:after="0" w:line="240" w:lineRule="auto"/>
      </w:pPr>
      <w:r>
        <w:continuationSeparator/>
      </w:r>
    </w:p>
  </w:footnote>
  <w:footnote w:id="2">
    <w:p w:rsidR="0009490A" w:rsidRPr="00620C6A" w:rsidP="00620C6A" w14:paraId="129B0696" w14:textId="465C66B4">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rPr>
        <w:t xml:space="preserve">See </w:t>
      </w:r>
      <w:r w:rsidRPr="00620C6A">
        <w:rPr>
          <w:rFonts w:ascii="Times New Roman" w:hAnsi="Times New Roman" w:cs="Times New Roman"/>
        </w:rPr>
        <w:t xml:space="preserve">Application of </w:t>
      </w:r>
      <w:r w:rsidRPr="00620C6A" w:rsidR="004D768F">
        <w:rPr>
          <w:rFonts w:ascii="Times New Roman" w:hAnsi="Times New Roman" w:cs="Times New Roman"/>
        </w:rPr>
        <w:t>Aqua</w:t>
      </w:r>
      <w:r w:rsidRPr="00620C6A">
        <w:rPr>
          <w:rFonts w:ascii="Times New Roman" w:hAnsi="Times New Roman" w:cs="Times New Roman"/>
        </w:rPr>
        <w:t xml:space="preserve"> </w:t>
      </w:r>
      <w:r w:rsidRPr="00620C6A" w:rsidR="00617664">
        <w:rPr>
          <w:rFonts w:ascii="Times New Roman" w:hAnsi="Times New Roman" w:cs="Times New Roman"/>
        </w:rPr>
        <w:t>Ohio</w:t>
      </w:r>
      <w:r w:rsidRPr="00620C6A" w:rsidR="004D768F">
        <w:rPr>
          <w:rFonts w:ascii="Times New Roman" w:hAnsi="Times New Roman" w:cs="Times New Roman"/>
        </w:rPr>
        <w:t>, Inc.</w:t>
      </w:r>
      <w:r w:rsidRPr="00620C6A">
        <w:rPr>
          <w:rFonts w:ascii="Times New Roman" w:hAnsi="Times New Roman" w:cs="Times New Roman"/>
        </w:rPr>
        <w:t xml:space="preserve"> to Increase its Rates </w:t>
      </w:r>
      <w:r w:rsidRPr="00620C6A" w:rsidR="004D768F">
        <w:rPr>
          <w:rFonts w:ascii="Times New Roman" w:hAnsi="Times New Roman" w:cs="Times New Roman"/>
        </w:rPr>
        <w:t xml:space="preserve">and Charges </w:t>
      </w:r>
      <w:r w:rsidRPr="00620C6A">
        <w:rPr>
          <w:rFonts w:ascii="Times New Roman" w:hAnsi="Times New Roman" w:cs="Times New Roman"/>
        </w:rPr>
        <w:t>for</w:t>
      </w:r>
      <w:r w:rsidRPr="00620C6A" w:rsidR="004D768F">
        <w:rPr>
          <w:rFonts w:ascii="Times New Roman" w:hAnsi="Times New Roman" w:cs="Times New Roman"/>
        </w:rPr>
        <w:t xml:space="preserve"> its</w:t>
      </w:r>
      <w:r w:rsidRPr="00620C6A">
        <w:rPr>
          <w:rFonts w:ascii="Times New Roman" w:hAnsi="Times New Roman" w:cs="Times New Roman"/>
        </w:rPr>
        <w:t xml:space="preserve"> </w:t>
      </w:r>
      <w:r w:rsidRPr="00620C6A" w:rsidR="00AE509F">
        <w:rPr>
          <w:rFonts w:ascii="Times New Roman" w:hAnsi="Times New Roman" w:cs="Times New Roman"/>
        </w:rPr>
        <w:t>Wastew</w:t>
      </w:r>
      <w:r w:rsidRPr="00620C6A" w:rsidR="004D768F">
        <w:rPr>
          <w:rFonts w:ascii="Times New Roman" w:hAnsi="Times New Roman" w:cs="Times New Roman"/>
        </w:rPr>
        <w:t>ater Service</w:t>
      </w:r>
      <w:r w:rsidRPr="00620C6A" w:rsidR="00B761E4">
        <w:rPr>
          <w:rFonts w:ascii="Times New Roman" w:hAnsi="Times New Roman" w:cs="Times New Roman"/>
        </w:rPr>
        <w:t xml:space="preserve"> (“Application”) Schedule A</w:t>
      </w:r>
      <w:r w:rsidRPr="00620C6A">
        <w:rPr>
          <w:rFonts w:ascii="Times New Roman" w:hAnsi="Times New Roman" w:cs="Times New Roman"/>
        </w:rPr>
        <w:t xml:space="preserve"> (</w:t>
      </w:r>
      <w:r w:rsidRPr="00620C6A" w:rsidR="00617664">
        <w:rPr>
          <w:rFonts w:ascii="Times New Roman" w:hAnsi="Times New Roman" w:cs="Times New Roman"/>
        </w:rPr>
        <w:t>June</w:t>
      </w:r>
      <w:r w:rsidRPr="00620C6A">
        <w:rPr>
          <w:rFonts w:ascii="Times New Roman" w:hAnsi="Times New Roman" w:cs="Times New Roman"/>
        </w:rPr>
        <w:t xml:space="preserve"> </w:t>
      </w:r>
      <w:r w:rsidRPr="00620C6A" w:rsidR="004D768F">
        <w:rPr>
          <w:rFonts w:ascii="Times New Roman" w:hAnsi="Times New Roman" w:cs="Times New Roman"/>
        </w:rPr>
        <w:t>28</w:t>
      </w:r>
      <w:r w:rsidRPr="00620C6A">
        <w:rPr>
          <w:rFonts w:ascii="Times New Roman" w:hAnsi="Times New Roman" w:cs="Times New Roman"/>
        </w:rPr>
        <w:t>, 20</w:t>
      </w:r>
      <w:r w:rsidRPr="00620C6A" w:rsidR="00617664">
        <w:rPr>
          <w:rFonts w:ascii="Times New Roman" w:hAnsi="Times New Roman" w:cs="Times New Roman"/>
        </w:rPr>
        <w:t>2</w:t>
      </w:r>
      <w:r w:rsidRPr="00620C6A" w:rsidR="004D768F">
        <w:rPr>
          <w:rFonts w:ascii="Times New Roman" w:hAnsi="Times New Roman" w:cs="Times New Roman"/>
        </w:rPr>
        <w:t>1</w:t>
      </w:r>
      <w:r w:rsidRPr="00620C6A">
        <w:rPr>
          <w:rFonts w:ascii="Times New Roman" w:hAnsi="Times New Roman" w:cs="Times New Roman"/>
        </w:rPr>
        <w:t>).</w:t>
      </w:r>
    </w:p>
  </w:footnote>
  <w:footnote w:id="3">
    <w:p w:rsidR="0035211B" w:rsidRPr="00620C6A" w:rsidP="00620C6A" w14:paraId="23B6ADCD" w14:textId="6D38548B">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A Report by the Staff of the Public Utilities Commission of Ohio, Case No. 51-59</w:t>
      </w:r>
      <w:r w:rsidRPr="00620C6A" w:rsidR="00AE509F">
        <w:rPr>
          <w:rFonts w:ascii="Times New Roman" w:hAnsi="Times New Roman" w:cs="Times New Roman"/>
        </w:rPr>
        <w:t>6</w:t>
      </w:r>
      <w:r w:rsidRPr="00620C6A">
        <w:rPr>
          <w:rFonts w:ascii="Times New Roman" w:hAnsi="Times New Roman" w:cs="Times New Roman"/>
        </w:rPr>
        <w:t>-</w:t>
      </w:r>
      <w:r w:rsidRPr="00620C6A" w:rsidR="00AE509F">
        <w:rPr>
          <w:rFonts w:ascii="Times New Roman" w:hAnsi="Times New Roman" w:cs="Times New Roman"/>
        </w:rPr>
        <w:t>ST</w:t>
      </w:r>
      <w:r w:rsidRPr="00620C6A">
        <w:rPr>
          <w:rFonts w:ascii="Times New Roman" w:hAnsi="Times New Roman" w:cs="Times New Roman"/>
        </w:rPr>
        <w:t>-AIR (Feb</w:t>
      </w:r>
      <w:r w:rsidRPr="00620C6A" w:rsidR="00876BC1">
        <w:rPr>
          <w:rFonts w:ascii="Times New Roman" w:hAnsi="Times New Roman" w:cs="Times New Roman"/>
        </w:rPr>
        <w:t>ruary</w:t>
      </w:r>
      <w:r w:rsidRPr="00620C6A">
        <w:rPr>
          <w:rFonts w:ascii="Times New Roman" w:hAnsi="Times New Roman" w:cs="Times New Roman"/>
        </w:rPr>
        <w:t xml:space="preserve"> 11, 2022).</w:t>
      </w:r>
    </w:p>
  </w:footnote>
  <w:footnote w:id="4">
    <w:p w:rsidR="00F86E2E" w:rsidRPr="00620C6A" w:rsidP="00620C6A" w14:paraId="6046C484" w14:textId="1797520B">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35211B">
        <w:rPr>
          <w:rFonts w:ascii="Times New Roman" w:hAnsi="Times New Roman" w:cs="Times New Roman"/>
        </w:rPr>
        <w:t>Audit of the Application to Increase Rates of Aqua Ohio Wastewater, Inc. for the Period January 1, 2021 through December 31, 2021 (“Audit Report”),</w:t>
      </w:r>
      <w:r w:rsidRPr="00620C6A" w:rsidR="008E0AAF">
        <w:rPr>
          <w:rFonts w:ascii="Times New Roman" w:hAnsi="Times New Roman" w:cs="Times New Roman"/>
        </w:rPr>
        <w:t xml:space="preserve"> Schedule A page 1 of 2</w:t>
      </w:r>
      <w:r w:rsidRPr="00620C6A" w:rsidR="0035211B">
        <w:rPr>
          <w:rFonts w:ascii="Times New Roman" w:hAnsi="Times New Roman" w:cs="Times New Roman"/>
        </w:rPr>
        <w:t>, Case No. 21-59</w:t>
      </w:r>
      <w:r w:rsidRPr="00620C6A" w:rsidR="00AE509F">
        <w:rPr>
          <w:rFonts w:ascii="Times New Roman" w:hAnsi="Times New Roman" w:cs="Times New Roman"/>
        </w:rPr>
        <w:t>6</w:t>
      </w:r>
      <w:r w:rsidRPr="00620C6A" w:rsidR="0035211B">
        <w:rPr>
          <w:rFonts w:ascii="Times New Roman" w:hAnsi="Times New Roman" w:cs="Times New Roman"/>
        </w:rPr>
        <w:t>-</w:t>
      </w:r>
      <w:r w:rsidRPr="00620C6A" w:rsidR="00AE509F">
        <w:rPr>
          <w:rFonts w:ascii="Times New Roman" w:hAnsi="Times New Roman" w:cs="Times New Roman"/>
        </w:rPr>
        <w:t>ST</w:t>
      </w:r>
      <w:r w:rsidRPr="00620C6A" w:rsidR="0035211B">
        <w:rPr>
          <w:rFonts w:ascii="Times New Roman" w:hAnsi="Times New Roman" w:cs="Times New Roman"/>
        </w:rPr>
        <w:t>-AIR</w:t>
      </w:r>
      <w:r w:rsidRPr="00620C6A" w:rsidR="002A67F1">
        <w:rPr>
          <w:rFonts w:ascii="Times New Roman" w:hAnsi="Times New Roman" w:cs="Times New Roman"/>
        </w:rPr>
        <w:t xml:space="preserve"> (Feb</w:t>
      </w:r>
      <w:r w:rsidRPr="00620C6A" w:rsidR="00876BC1">
        <w:rPr>
          <w:rFonts w:ascii="Times New Roman" w:hAnsi="Times New Roman" w:cs="Times New Roman"/>
        </w:rPr>
        <w:t>ruary</w:t>
      </w:r>
      <w:r w:rsidRPr="00620C6A" w:rsidR="002A67F1">
        <w:rPr>
          <w:rFonts w:ascii="Times New Roman" w:hAnsi="Times New Roman" w:cs="Times New Roman"/>
        </w:rPr>
        <w:t xml:space="preserve"> 11, 2022)</w:t>
      </w:r>
      <w:r w:rsidRPr="00620C6A" w:rsidR="008E0AAF">
        <w:rPr>
          <w:rFonts w:ascii="Times New Roman" w:hAnsi="Times New Roman" w:cs="Times New Roman"/>
        </w:rPr>
        <w:t>.</w:t>
      </w:r>
    </w:p>
  </w:footnote>
  <w:footnote w:id="5">
    <w:p w:rsidR="00B761E4" w:rsidRPr="00620C6A" w:rsidP="00620C6A" w14:paraId="6AB45C97" w14:textId="2E4060B5">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See</w:t>
      </w:r>
      <w:r w:rsidRPr="00620C6A">
        <w:rPr>
          <w:rFonts w:ascii="Times New Roman" w:hAnsi="Times New Roman" w:cs="Times New Roman"/>
        </w:rPr>
        <w:t>, Direct Testimony of William R. Willis, WRW Attachment 1 (March 14, 2022).</w:t>
      </w:r>
    </w:p>
  </w:footnote>
  <w:footnote w:id="6">
    <w:p w:rsidR="0032057E" w:rsidRPr="00620C6A" w:rsidP="00620C6A" w14:paraId="5E0296F9" w14:textId="2904281E">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Larkin Audit Report </w:t>
      </w:r>
      <w:r w:rsidRPr="00620C6A" w:rsidR="00216F2C">
        <w:rPr>
          <w:rFonts w:ascii="Times New Roman" w:hAnsi="Times New Roman" w:cs="Times New Roman"/>
        </w:rPr>
        <w:t xml:space="preserve">at </w:t>
      </w:r>
      <w:r w:rsidRPr="00620C6A">
        <w:rPr>
          <w:rFonts w:ascii="Times New Roman" w:hAnsi="Times New Roman" w:cs="Times New Roman"/>
        </w:rPr>
        <w:t>3-5.</w:t>
      </w:r>
    </w:p>
  </w:footnote>
  <w:footnote w:id="7">
    <w:p w:rsidR="00B07266" w:rsidRPr="00620C6A" w:rsidP="00620C6A" w14:paraId="443126B1" w14:textId="0E5051C3">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Id</w:t>
      </w:r>
      <w:r w:rsidRPr="00620C6A">
        <w:rPr>
          <w:rFonts w:ascii="Times New Roman" w:hAnsi="Times New Roman" w:cs="Times New Roman"/>
        </w:rPr>
        <w:t>.</w:t>
      </w:r>
    </w:p>
  </w:footnote>
  <w:footnote w:id="8">
    <w:p w:rsidR="00B07266" w:rsidRPr="00620C6A" w:rsidP="00620C6A" w14:paraId="014634B8" w14:textId="146247A7">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Id</w:t>
      </w:r>
      <w:r w:rsidRPr="00620C6A">
        <w:rPr>
          <w:rFonts w:ascii="Times New Roman" w:hAnsi="Times New Roman" w:cs="Times New Roman"/>
        </w:rPr>
        <w:t>.</w:t>
      </w:r>
    </w:p>
  </w:footnote>
  <w:footnote w:id="9">
    <w:p w:rsidR="00B07266" w:rsidRPr="00620C6A" w:rsidP="00620C6A" w14:paraId="55386836" w14:textId="759458D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Larkin Audit Report </w:t>
      </w:r>
      <w:r w:rsidRPr="00620C6A" w:rsidR="00216F2C">
        <w:rPr>
          <w:rFonts w:ascii="Times New Roman" w:hAnsi="Times New Roman" w:cs="Times New Roman"/>
        </w:rPr>
        <w:t xml:space="preserve">at </w:t>
      </w:r>
      <w:r w:rsidRPr="00620C6A">
        <w:rPr>
          <w:rFonts w:ascii="Times New Roman" w:hAnsi="Times New Roman" w:cs="Times New Roman"/>
        </w:rPr>
        <w:t>3-7.</w:t>
      </w:r>
    </w:p>
  </w:footnote>
  <w:footnote w:id="10">
    <w:p w:rsidR="003B1A32" w:rsidRPr="00620C6A" w:rsidP="00620C6A" w14:paraId="0B4F9063" w14:textId="717027EB">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at 3-8</w:t>
      </w:r>
      <w:r w:rsidRPr="00620C6A">
        <w:rPr>
          <w:rFonts w:ascii="Times New Roman" w:hAnsi="Times New Roman" w:cs="Times New Roman"/>
        </w:rPr>
        <w:t>.</w:t>
      </w:r>
    </w:p>
  </w:footnote>
  <w:footnote w:id="11">
    <w:p w:rsidR="00CA25A8" w:rsidRPr="00620C6A" w:rsidP="00620C6A" w14:paraId="01BE36B2" w14:textId="511D45B5">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xml:space="preserve">. at </w:t>
      </w:r>
      <w:r w:rsidRPr="00620C6A">
        <w:rPr>
          <w:rFonts w:ascii="Times New Roman" w:hAnsi="Times New Roman" w:cs="Times New Roman"/>
        </w:rPr>
        <w:t>3-</w:t>
      </w:r>
      <w:r w:rsidRPr="00620C6A" w:rsidR="003F401D">
        <w:rPr>
          <w:rFonts w:ascii="Times New Roman" w:hAnsi="Times New Roman" w:cs="Times New Roman"/>
        </w:rPr>
        <w:t>9, 10.</w:t>
      </w:r>
    </w:p>
  </w:footnote>
  <w:footnote w:id="12">
    <w:p w:rsidR="00CA25A8" w:rsidRPr="00620C6A" w:rsidP="00620C6A" w14:paraId="6B908270" w14:textId="6B08111C">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3F401D">
        <w:rPr>
          <w:rFonts w:ascii="Times New Roman" w:hAnsi="Times New Roman" w:cs="Times New Roman"/>
        </w:rPr>
        <w:t>Larkin Audit Report at 3-10, 11-12.</w:t>
      </w:r>
    </w:p>
  </w:footnote>
  <w:footnote w:id="13">
    <w:p w:rsidR="00CA25A8" w:rsidRPr="00620C6A" w:rsidP="00620C6A" w14:paraId="04FCCC30" w14:textId="284D12C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xml:space="preserve">. at </w:t>
      </w:r>
      <w:r w:rsidRPr="00620C6A">
        <w:rPr>
          <w:rFonts w:ascii="Times New Roman" w:hAnsi="Times New Roman" w:cs="Times New Roman"/>
        </w:rPr>
        <w:t>3-1</w:t>
      </w:r>
      <w:r w:rsidRPr="00620C6A" w:rsidR="003F401D">
        <w:rPr>
          <w:rFonts w:ascii="Times New Roman" w:hAnsi="Times New Roman" w:cs="Times New Roman"/>
        </w:rPr>
        <w:t xml:space="preserve">2, 13-15. </w:t>
      </w:r>
    </w:p>
  </w:footnote>
  <w:footnote w:id="14">
    <w:p w:rsidR="00CA25A8" w:rsidRPr="00620C6A" w:rsidP="00620C6A" w14:paraId="3545ED54" w14:textId="111D32CA">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sidR="00216F2C">
        <w:rPr>
          <w:rFonts w:ascii="Times New Roman" w:hAnsi="Times New Roman" w:cs="Times New Roman"/>
        </w:rPr>
        <w:t xml:space="preserve"> </w:t>
      </w:r>
      <w:r w:rsidRPr="00620C6A" w:rsidR="007D0915">
        <w:rPr>
          <w:rFonts w:ascii="Times New Roman" w:hAnsi="Times New Roman" w:cs="Times New Roman"/>
          <w:i/>
          <w:iCs/>
        </w:rPr>
        <w:t>Id</w:t>
      </w:r>
      <w:r w:rsidRPr="00620C6A" w:rsidR="007D0915">
        <w:rPr>
          <w:rFonts w:ascii="Times New Roman" w:hAnsi="Times New Roman" w:cs="Times New Roman"/>
        </w:rPr>
        <w:t>. at 3-15.</w:t>
      </w:r>
    </w:p>
  </w:footnote>
  <w:footnote w:id="15">
    <w:p w:rsidR="001A29F3" w:rsidRPr="00620C6A" w:rsidP="00620C6A" w14:paraId="1F7F8B5E" w14:textId="797EB432">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xml:space="preserve"> at </w:t>
      </w:r>
      <w:r w:rsidRPr="00620C6A" w:rsidR="00847615">
        <w:rPr>
          <w:rFonts w:ascii="Times New Roman" w:hAnsi="Times New Roman" w:cs="Times New Roman"/>
        </w:rPr>
        <w:t>3-1</w:t>
      </w:r>
      <w:r w:rsidRPr="00620C6A" w:rsidR="007D0915">
        <w:rPr>
          <w:rFonts w:ascii="Times New Roman" w:hAnsi="Times New Roman" w:cs="Times New Roman"/>
        </w:rPr>
        <w:t>5, 16</w:t>
      </w:r>
      <w:r w:rsidRPr="00620C6A" w:rsidR="00847615">
        <w:rPr>
          <w:rFonts w:ascii="Times New Roman" w:hAnsi="Times New Roman" w:cs="Times New Roman"/>
        </w:rPr>
        <w:t>.</w:t>
      </w:r>
    </w:p>
  </w:footnote>
  <w:footnote w:id="16">
    <w:p w:rsidR="00847615" w:rsidRPr="00620C6A" w:rsidP="00620C6A" w14:paraId="6910D4E0" w14:textId="3888D75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xml:space="preserve">. at </w:t>
      </w:r>
      <w:r w:rsidRPr="00620C6A">
        <w:rPr>
          <w:rFonts w:ascii="Times New Roman" w:hAnsi="Times New Roman" w:cs="Times New Roman"/>
        </w:rPr>
        <w:t>3-1</w:t>
      </w:r>
      <w:r w:rsidRPr="00620C6A" w:rsidR="007D0915">
        <w:rPr>
          <w:rFonts w:ascii="Times New Roman" w:hAnsi="Times New Roman" w:cs="Times New Roman"/>
        </w:rPr>
        <w:t>6</w:t>
      </w:r>
      <w:r w:rsidRPr="00620C6A">
        <w:rPr>
          <w:rFonts w:ascii="Times New Roman" w:hAnsi="Times New Roman" w:cs="Times New Roman"/>
        </w:rPr>
        <w:t>.</w:t>
      </w:r>
    </w:p>
  </w:footnote>
  <w:footnote w:id="17">
    <w:p w:rsidR="001A29F3" w:rsidRPr="00620C6A" w:rsidP="00620C6A" w14:paraId="237A679A" w14:textId="05C65396">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847615">
        <w:rPr>
          <w:rFonts w:ascii="Times New Roman" w:hAnsi="Times New Roman" w:cs="Times New Roman"/>
          <w:i/>
          <w:iCs/>
        </w:rPr>
        <w:t>Id</w:t>
      </w:r>
      <w:r w:rsidRPr="00620C6A" w:rsidR="00216F2C">
        <w:rPr>
          <w:rFonts w:ascii="Times New Roman" w:hAnsi="Times New Roman" w:cs="Times New Roman"/>
        </w:rPr>
        <w:t>.</w:t>
      </w:r>
    </w:p>
  </w:footnote>
  <w:footnote w:id="18">
    <w:p w:rsidR="00847615" w:rsidRPr="00620C6A" w:rsidP="00620C6A" w14:paraId="79C75A09" w14:textId="3DC0EBC0">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216F2C">
        <w:rPr>
          <w:rFonts w:ascii="Times New Roman" w:hAnsi="Times New Roman" w:cs="Times New Roman"/>
          <w:i/>
          <w:iCs/>
        </w:rPr>
        <w:t>Id</w:t>
      </w:r>
      <w:r w:rsidRPr="00620C6A" w:rsidR="00216F2C">
        <w:rPr>
          <w:rFonts w:ascii="Times New Roman" w:hAnsi="Times New Roman" w:cs="Times New Roman"/>
        </w:rPr>
        <w:t>. at</w:t>
      </w:r>
      <w:r w:rsidRPr="00620C6A">
        <w:rPr>
          <w:rFonts w:ascii="Times New Roman" w:hAnsi="Times New Roman" w:cs="Times New Roman"/>
        </w:rPr>
        <w:t xml:space="preserve"> 3-1</w:t>
      </w:r>
      <w:r w:rsidRPr="00620C6A" w:rsidR="007D0915">
        <w:rPr>
          <w:rFonts w:ascii="Times New Roman" w:hAnsi="Times New Roman" w:cs="Times New Roman"/>
        </w:rPr>
        <w:t>6, 17.</w:t>
      </w:r>
    </w:p>
  </w:footnote>
  <w:footnote w:id="19">
    <w:p w:rsidR="008A676C" w:rsidRPr="00620C6A" w:rsidP="00620C6A" w14:paraId="2002881A" w14:textId="2FD65215">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Staff Report at </w:t>
      </w:r>
      <w:r w:rsidRPr="00620C6A" w:rsidR="003F401D">
        <w:rPr>
          <w:rFonts w:ascii="Times New Roman" w:hAnsi="Times New Roman" w:cs="Times New Roman"/>
        </w:rPr>
        <w:t>8</w:t>
      </w:r>
      <w:r w:rsidRPr="00620C6A">
        <w:rPr>
          <w:rFonts w:ascii="Times New Roman" w:hAnsi="Times New Roman" w:cs="Times New Roman"/>
        </w:rPr>
        <w:t>.</w:t>
      </w:r>
    </w:p>
  </w:footnote>
  <w:footnote w:id="20">
    <w:p w:rsidR="003E5332" w:rsidRPr="00620C6A" w:rsidP="00620C6A" w14:paraId="09EC6108" w14:textId="60D49D2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Larkin Audit Report</w:t>
      </w:r>
      <w:r w:rsidRPr="00620C6A" w:rsidR="007D0915">
        <w:rPr>
          <w:rFonts w:ascii="Times New Roman" w:hAnsi="Times New Roman" w:cs="Times New Roman"/>
        </w:rPr>
        <w:t xml:space="preserve"> at </w:t>
      </w:r>
      <w:r w:rsidRPr="00620C6A">
        <w:rPr>
          <w:rFonts w:ascii="Times New Roman" w:hAnsi="Times New Roman" w:cs="Times New Roman"/>
        </w:rPr>
        <w:t>5-10.</w:t>
      </w:r>
    </w:p>
  </w:footnote>
  <w:footnote w:id="21">
    <w:p w:rsidR="003E5332" w:rsidRPr="00620C6A" w:rsidP="00620C6A" w14:paraId="4C5333DE" w14:textId="1CB3E72E">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Larkin Audit Report</w:t>
      </w:r>
      <w:r w:rsidRPr="00620C6A" w:rsidR="007D0915">
        <w:rPr>
          <w:rFonts w:ascii="Times New Roman" w:hAnsi="Times New Roman" w:cs="Times New Roman"/>
        </w:rPr>
        <w:t xml:space="preserve"> at </w:t>
      </w:r>
      <w:r w:rsidRPr="00620C6A">
        <w:rPr>
          <w:rFonts w:ascii="Times New Roman" w:hAnsi="Times New Roman" w:cs="Times New Roman"/>
        </w:rPr>
        <w:t>5-18.</w:t>
      </w:r>
    </w:p>
  </w:footnote>
  <w:footnote w:id="22">
    <w:p w:rsidR="003E5332" w:rsidRPr="00620C6A" w:rsidP="00620C6A" w14:paraId="2EF99BD3" w14:textId="623E826D">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Larkin Audi</w:t>
      </w:r>
      <w:r w:rsidRPr="00620C6A" w:rsidR="007D0915">
        <w:rPr>
          <w:rFonts w:ascii="Times New Roman" w:hAnsi="Times New Roman" w:cs="Times New Roman"/>
        </w:rPr>
        <w:t>t</w:t>
      </w:r>
      <w:r w:rsidRPr="00620C6A">
        <w:rPr>
          <w:rFonts w:ascii="Times New Roman" w:hAnsi="Times New Roman" w:cs="Times New Roman"/>
        </w:rPr>
        <w:t xml:space="preserve"> Report</w:t>
      </w:r>
      <w:r w:rsidRPr="00620C6A" w:rsidR="007D0915">
        <w:rPr>
          <w:rFonts w:ascii="Times New Roman" w:hAnsi="Times New Roman" w:cs="Times New Roman"/>
        </w:rPr>
        <w:t xml:space="preserve"> at</w:t>
      </w:r>
      <w:r w:rsidRPr="00620C6A">
        <w:rPr>
          <w:rFonts w:ascii="Times New Roman" w:hAnsi="Times New Roman" w:cs="Times New Roman"/>
        </w:rPr>
        <w:t xml:space="preserve"> 5-19.</w:t>
      </w:r>
    </w:p>
  </w:footnote>
  <w:footnote w:id="23">
    <w:p w:rsidR="002177A2" w:rsidRPr="00620C6A" w:rsidP="00620C6A" w14:paraId="2CA25B07" w14:textId="5F67F22A">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F9643B">
        <w:rPr>
          <w:rFonts w:ascii="Times New Roman" w:hAnsi="Times New Roman" w:cs="Times New Roman"/>
        </w:rPr>
        <w:t>Staff Report</w:t>
      </w:r>
      <w:r w:rsidRPr="00620C6A" w:rsidR="00C85E1E">
        <w:rPr>
          <w:rFonts w:ascii="Times New Roman" w:hAnsi="Times New Roman" w:cs="Times New Roman"/>
        </w:rPr>
        <w:t xml:space="preserve"> at 6 and it refers to the Larkin Audit Report</w:t>
      </w:r>
      <w:r w:rsidRPr="00620C6A" w:rsidR="00F9643B">
        <w:rPr>
          <w:rFonts w:ascii="Times New Roman" w:hAnsi="Times New Roman" w:cs="Times New Roman"/>
        </w:rPr>
        <w:t xml:space="preserve">, Schedule A </w:t>
      </w:r>
      <w:r w:rsidRPr="00620C6A">
        <w:rPr>
          <w:rFonts w:ascii="Times New Roman" w:hAnsi="Times New Roman" w:cs="Times New Roman"/>
        </w:rPr>
        <w:t>(Feb</w:t>
      </w:r>
      <w:r w:rsidRPr="00620C6A" w:rsidR="004305C0">
        <w:rPr>
          <w:rFonts w:ascii="Times New Roman" w:hAnsi="Times New Roman" w:cs="Times New Roman"/>
        </w:rPr>
        <w:t>ruary</w:t>
      </w:r>
      <w:r w:rsidRPr="00620C6A">
        <w:rPr>
          <w:rFonts w:ascii="Times New Roman" w:hAnsi="Times New Roman" w:cs="Times New Roman"/>
        </w:rPr>
        <w:t xml:space="preserve"> 11, 2022).</w:t>
      </w:r>
    </w:p>
  </w:footnote>
  <w:footnote w:id="24">
    <w:p w:rsidR="00BC7850" w:rsidRPr="00620C6A" w:rsidP="00620C6A" w14:paraId="725673D4" w14:textId="4C17B7C9">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Staff Report at </w:t>
      </w:r>
      <w:r w:rsidRPr="00620C6A" w:rsidR="00C85E1E">
        <w:rPr>
          <w:rFonts w:ascii="Times New Roman" w:hAnsi="Times New Roman" w:cs="Times New Roman"/>
        </w:rPr>
        <w:t>8</w:t>
      </w:r>
      <w:r w:rsidRPr="00620C6A">
        <w:rPr>
          <w:rFonts w:ascii="Times New Roman" w:hAnsi="Times New Roman" w:cs="Times New Roman"/>
        </w:rPr>
        <w:t>.</w:t>
      </w:r>
    </w:p>
  </w:footnote>
  <w:footnote w:id="25">
    <w:p w:rsidR="00C85E1E" w:rsidRPr="00620C6A" w:rsidP="00620C6A" w14:paraId="4DCCEA99" w14:textId="77A0178F">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Staff Report at 11.</w:t>
      </w:r>
    </w:p>
  </w:footnote>
  <w:footnote w:id="26">
    <w:p w:rsidR="00BC7850" w:rsidRPr="00620C6A" w:rsidP="00620C6A" w14:paraId="79A674D6" w14:textId="10383A35">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See</w:t>
      </w:r>
      <w:r w:rsidRPr="00620C6A">
        <w:rPr>
          <w:rFonts w:ascii="Times New Roman" w:hAnsi="Times New Roman" w:cs="Times New Roman"/>
        </w:rPr>
        <w:t xml:space="preserve">, Direct Testimony of Daniel J. Duann at </w:t>
      </w:r>
      <w:r w:rsidRPr="00620C6A" w:rsidR="00A30D7D">
        <w:rPr>
          <w:rFonts w:ascii="Times New Roman" w:hAnsi="Times New Roman" w:cs="Times New Roman"/>
        </w:rPr>
        <w:t>8-11, Case No. 21-596-ST-AIR</w:t>
      </w:r>
      <w:r w:rsidRPr="00620C6A">
        <w:rPr>
          <w:rFonts w:ascii="Times New Roman" w:hAnsi="Times New Roman" w:cs="Times New Roman"/>
        </w:rPr>
        <w:t xml:space="preserve"> (March 14, 2022). </w:t>
      </w:r>
    </w:p>
  </w:footnote>
  <w:footnote w:id="27">
    <w:p w:rsidR="00AB5C78" w:rsidRPr="00620C6A" w:rsidP="00620C6A" w14:paraId="73F8A5BB" w14:textId="0EB038F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Staff Report at 9.</w:t>
      </w:r>
    </w:p>
  </w:footnote>
  <w:footnote w:id="28">
    <w:p w:rsidR="00C0645C" w:rsidRPr="00620C6A" w:rsidP="00620C6A" w14:paraId="44C26FCF" w14:textId="41E6ED82">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D</w:t>
      </w:r>
      <w:r w:rsidRPr="00620C6A" w:rsidR="002F7518">
        <w:rPr>
          <w:rFonts w:ascii="Times New Roman" w:hAnsi="Times New Roman" w:cs="Times New Roman"/>
        </w:rPr>
        <w:t>uann D</w:t>
      </w:r>
      <w:r w:rsidRPr="00620C6A">
        <w:rPr>
          <w:rFonts w:ascii="Times New Roman" w:hAnsi="Times New Roman" w:cs="Times New Roman"/>
        </w:rPr>
        <w:t xml:space="preserve">irect Testimony at </w:t>
      </w:r>
      <w:r w:rsidRPr="00620C6A" w:rsidR="00AB5C78">
        <w:rPr>
          <w:rFonts w:ascii="Times New Roman" w:hAnsi="Times New Roman" w:cs="Times New Roman"/>
        </w:rPr>
        <w:t xml:space="preserve">8-9. </w:t>
      </w:r>
    </w:p>
  </w:footnote>
  <w:footnote w:id="29">
    <w:p w:rsidR="00373345" w:rsidRPr="00620C6A" w:rsidP="00620C6A" w14:paraId="6EEA3A84" w14:textId="2CCC8312">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Id</w:t>
      </w:r>
      <w:r w:rsidRPr="00620C6A">
        <w:rPr>
          <w:rFonts w:ascii="Times New Roman" w:hAnsi="Times New Roman" w:cs="Times New Roman"/>
        </w:rPr>
        <w:t>.</w:t>
      </w:r>
    </w:p>
  </w:footnote>
  <w:footnote w:id="30">
    <w:p w:rsidR="00BC0226" w:rsidRPr="00620C6A" w:rsidP="00620C6A" w14:paraId="7A7DC7D7" w14:textId="4DD4EE63">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Id</w:t>
      </w:r>
      <w:r w:rsidRPr="00620C6A">
        <w:rPr>
          <w:rFonts w:ascii="Times New Roman" w:hAnsi="Times New Roman" w:cs="Times New Roman"/>
        </w:rPr>
        <w:t>.</w:t>
      </w:r>
      <w:r w:rsidRPr="00620C6A" w:rsidR="004305C0">
        <w:rPr>
          <w:rFonts w:ascii="Times New Roman" w:hAnsi="Times New Roman" w:cs="Times New Roman"/>
        </w:rPr>
        <w:t xml:space="preserve"> </w:t>
      </w:r>
      <w:r w:rsidRPr="00620C6A" w:rsidR="00B47599">
        <w:rPr>
          <w:rFonts w:ascii="Times New Roman" w:hAnsi="Times New Roman" w:cs="Times New Roman"/>
        </w:rPr>
        <w:t xml:space="preserve">at </w:t>
      </w:r>
      <w:r w:rsidRPr="00620C6A" w:rsidR="00AB5C78">
        <w:rPr>
          <w:rFonts w:ascii="Times New Roman" w:hAnsi="Times New Roman" w:cs="Times New Roman"/>
        </w:rPr>
        <w:t>8-</w:t>
      </w:r>
      <w:r w:rsidRPr="00620C6A" w:rsidR="00B47599">
        <w:rPr>
          <w:rFonts w:ascii="Times New Roman" w:hAnsi="Times New Roman" w:cs="Times New Roman"/>
        </w:rPr>
        <w:t>9.</w:t>
      </w:r>
      <w:r w:rsidRPr="00620C6A">
        <w:rPr>
          <w:rFonts w:ascii="Times New Roman" w:hAnsi="Times New Roman" w:cs="Times New Roman"/>
        </w:rPr>
        <w:t xml:space="preserve"> </w:t>
      </w:r>
    </w:p>
  </w:footnote>
  <w:footnote w:id="31">
    <w:p w:rsidR="00BC0226" w:rsidRPr="00620C6A" w:rsidP="00620C6A" w14:paraId="7691749C" w14:textId="77777777">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See</w:t>
      </w:r>
      <w:r w:rsidRPr="00620C6A">
        <w:rPr>
          <w:rFonts w:ascii="Times New Roman" w:hAnsi="Times New Roman" w:cs="Times New Roman"/>
        </w:rPr>
        <w:t xml:space="preserve"> </w:t>
      </w:r>
      <w:hyperlink r:id="rId1" w:history="1">
        <w:r w:rsidRPr="00620C6A">
          <w:rPr>
            <w:rStyle w:val="Hyperlink"/>
            <w:rFonts w:ascii="Times New Roman" w:hAnsi="Times New Roman" w:cs="Times New Roman"/>
          </w:rPr>
          <w:t>https://home.treasury.gov/resource-center/data-chart-center/interest-rates/TextView?type=daily_treasury_yield_curve&amp;field_tdr_date_value=2021</w:t>
        </w:r>
      </w:hyperlink>
      <w:r w:rsidRPr="00620C6A">
        <w:rPr>
          <w:rFonts w:ascii="Times New Roman" w:hAnsi="Times New Roman" w:cs="Times New Roman"/>
        </w:rPr>
        <w:t xml:space="preserve">. </w:t>
      </w:r>
    </w:p>
  </w:footnote>
  <w:footnote w:id="32">
    <w:p w:rsidR="00BC0226" w:rsidRPr="00620C6A" w:rsidP="00620C6A" w14:paraId="050A8A7C" w14:textId="4B394EF2">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Duann Direct Testimony at </w:t>
      </w:r>
      <w:r w:rsidRPr="00620C6A" w:rsidR="00DC6E6C">
        <w:rPr>
          <w:rFonts w:ascii="Times New Roman" w:hAnsi="Times New Roman" w:cs="Times New Roman"/>
        </w:rPr>
        <w:t xml:space="preserve">9. </w:t>
      </w:r>
    </w:p>
  </w:footnote>
  <w:footnote w:id="33">
    <w:p w:rsidR="00BC7850" w:rsidRPr="00620C6A" w:rsidP="00620C6A" w14:paraId="6AEC9F65" w14:textId="2D13D8FF">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Pr>
          <w:rFonts w:ascii="Times New Roman" w:hAnsi="Times New Roman" w:cs="Times New Roman"/>
          <w:i/>
          <w:iCs/>
        </w:rPr>
        <w:t>See</w:t>
      </w:r>
      <w:r w:rsidRPr="00620C6A">
        <w:rPr>
          <w:rFonts w:ascii="Times New Roman" w:hAnsi="Times New Roman" w:cs="Times New Roman"/>
        </w:rPr>
        <w:t xml:space="preserve"> Staff Report at </w:t>
      </w:r>
      <w:r w:rsidRPr="00620C6A" w:rsidR="00C0645C">
        <w:rPr>
          <w:rFonts w:ascii="Times New Roman" w:hAnsi="Times New Roman" w:cs="Times New Roman"/>
        </w:rPr>
        <w:t>10</w:t>
      </w:r>
      <w:r w:rsidRPr="00620C6A">
        <w:rPr>
          <w:rFonts w:ascii="Times New Roman" w:hAnsi="Times New Roman" w:cs="Times New Roman"/>
        </w:rPr>
        <w:t>.</w:t>
      </w:r>
    </w:p>
  </w:footnote>
  <w:footnote w:id="34">
    <w:p w:rsidR="006E1AC2" w:rsidRPr="00620C6A" w:rsidP="00620C6A" w14:paraId="71A42814" w14:textId="1AF851D8">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B47599">
        <w:rPr>
          <w:rFonts w:ascii="Times New Roman" w:hAnsi="Times New Roman" w:cs="Times New Roman"/>
        </w:rPr>
        <w:t>Duann Direct Testimony at 11.</w:t>
      </w:r>
    </w:p>
  </w:footnote>
  <w:footnote w:id="35">
    <w:p w:rsidR="00BC7850" w:rsidRPr="00620C6A" w:rsidP="00620C6A" w14:paraId="12ABE227" w14:textId="23DDB5E6">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9D5136">
        <w:rPr>
          <w:rFonts w:ascii="Times New Roman" w:hAnsi="Times New Roman" w:cs="Times New Roman"/>
          <w:i/>
          <w:iCs/>
        </w:rPr>
        <w:t>See,</w:t>
      </w:r>
      <w:r w:rsidRPr="00620C6A" w:rsidR="009D5136">
        <w:rPr>
          <w:rFonts w:ascii="Times New Roman" w:hAnsi="Times New Roman" w:cs="Times New Roman"/>
        </w:rPr>
        <w:t xml:space="preserve"> for example, PUCO Case No. </w:t>
      </w:r>
      <w:r w:rsidRPr="00620C6A" w:rsidR="00491CE0">
        <w:rPr>
          <w:rFonts w:ascii="Times New Roman" w:hAnsi="Times New Roman" w:cs="Times New Roman"/>
        </w:rPr>
        <w:t xml:space="preserve">20-1651-EL-AIR et al., Staff Report at 21-22 (July 21, 2021), (AES Ohio Distribution Rate Case) and Case No. </w:t>
      </w:r>
      <w:r w:rsidRPr="00620C6A" w:rsidR="00660AA7">
        <w:rPr>
          <w:rFonts w:ascii="Times New Roman" w:hAnsi="Times New Roman" w:cs="Times New Roman"/>
        </w:rPr>
        <w:t xml:space="preserve">16-907-WW-AIR et al., Staff Report at 12-13 (November 17, 2016) (Aqua Ohio Rate Case). </w:t>
      </w:r>
    </w:p>
  </w:footnote>
  <w:footnote w:id="36">
    <w:p w:rsidR="006E1AC2" w:rsidRPr="00620C6A" w:rsidP="00620C6A" w14:paraId="38B9CE8F" w14:textId="504BDB37">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sidR="00B33547">
        <w:rPr>
          <w:rFonts w:ascii="Times New Roman" w:hAnsi="Times New Roman" w:cs="Times New Roman"/>
        </w:rPr>
        <w:t xml:space="preserve"> Staff Report at 10-11.</w:t>
      </w:r>
    </w:p>
  </w:footnote>
  <w:footnote w:id="37">
    <w:p w:rsidR="009041E2" w:rsidRPr="00620C6A" w:rsidP="00620C6A" w14:paraId="166423CE" w14:textId="70967FBD">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Duann Direct Testimony at 1</w:t>
      </w:r>
      <w:r w:rsidRPr="00620C6A" w:rsidR="00AB5C78">
        <w:rPr>
          <w:rFonts w:ascii="Times New Roman" w:hAnsi="Times New Roman" w:cs="Times New Roman"/>
        </w:rPr>
        <w:t>2</w:t>
      </w:r>
      <w:r w:rsidRPr="00620C6A">
        <w:rPr>
          <w:rFonts w:ascii="Times New Roman" w:hAnsi="Times New Roman" w:cs="Times New Roman"/>
        </w:rPr>
        <w:t>.</w:t>
      </w:r>
    </w:p>
  </w:footnote>
  <w:footnote w:id="38">
    <w:p w:rsidR="00B33547" w:rsidRPr="00620C6A" w:rsidP="00620C6A" w14:paraId="5A32A612" w14:textId="34FA8B6D">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Staff Report at 8.</w:t>
      </w:r>
    </w:p>
  </w:footnote>
  <w:footnote w:id="39">
    <w:p w:rsidR="009041E2" w:rsidRPr="00620C6A" w:rsidP="00620C6A" w14:paraId="3EF9FBE8" w14:textId="32714E51">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sidR="00876BC1">
        <w:rPr>
          <w:rFonts w:ascii="Times New Roman" w:hAnsi="Times New Roman" w:cs="Times New Roman"/>
          <w:i/>
          <w:iCs/>
        </w:rPr>
        <w:t xml:space="preserve"> </w:t>
      </w:r>
      <w:r w:rsidRPr="00620C6A" w:rsidR="00320115">
        <w:rPr>
          <w:rFonts w:ascii="Times New Roman" w:hAnsi="Times New Roman" w:cs="Times New Roman"/>
          <w:i/>
          <w:iCs/>
        </w:rPr>
        <w:t>See</w:t>
      </w:r>
      <w:r w:rsidRPr="00620C6A" w:rsidR="00320115">
        <w:rPr>
          <w:rFonts w:ascii="Times New Roman" w:hAnsi="Times New Roman" w:cs="Times New Roman"/>
        </w:rPr>
        <w:t>,</w:t>
      </w:r>
      <w:r w:rsidRPr="00620C6A">
        <w:rPr>
          <w:rFonts w:ascii="Times New Roman" w:hAnsi="Times New Roman" w:cs="Times New Roman"/>
        </w:rPr>
        <w:t xml:space="preserve"> </w:t>
      </w:r>
      <w:r w:rsidRPr="00620C6A" w:rsidR="00320115">
        <w:rPr>
          <w:rFonts w:ascii="Times New Roman" w:hAnsi="Times New Roman" w:cs="Times New Roman"/>
          <w:i/>
          <w:iCs/>
        </w:rPr>
        <w:t>In re Application of Aqua Ohio, Inc. for Authority to Assess a System Improvement Charge</w:t>
      </w:r>
      <w:r w:rsidRPr="00620C6A" w:rsidR="00320115">
        <w:rPr>
          <w:rFonts w:ascii="Times New Roman" w:hAnsi="Times New Roman" w:cs="Times New Roman"/>
        </w:rPr>
        <w:t>, Case No. 18-0337-WW-SIC, 3.66% increase approved (Feb</w:t>
      </w:r>
      <w:r w:rsidRPr="00620C6A" w:rsidR="00876BC1">
        <w:rPr>
          <w:rFonts w:ascii="Times New Roman" w:hAnsi="Times New Roman" w:cs="Times New Roman"/>
        </w:rPr>
        <w:t>ruary</w:t>
      </w:r>
      <w:r w:rsidRPr="00620C6A" w:rsidR="00320115">
        <w:rPr>
          <w:rFonts w:ascii="Times New Roman" w:hAnsi="Times New Roman" w:cs="Times New Roman"/>
        </w:rPr>
        <w:t xml:space="preserve"> 6, 2019); </w:t>
      </w:r>
      <w:r w:rsidRPr="00620C6A" w:rsidR="00320115">
        <w:rPr>
          <w:rFonts w:ascii="Times New Roman" w:hAnsi="Times New Roman" w:cs="Times New Roman"/>
          <w:i/>
          <w:iCs/>
        </w:rPr>
        <w:t>In re Application of Aqua Ohio, Inc. for Authority to Assess a System Improvement Charge</w:t>
      </w:r>
      <w:r w:rsidRPr="00620C6A" w:rsidR="00320115">
        <w:rPr>
          <w:rFonts w:ascii="Times New Roman" w:hAnsi="Times New Roman" w:cs="Times New Roman"/>
        </w:rPr>
        <w:t>, Case No. 19-0567-WW-SIC, 3.733% increase approved (Oct</w:t>
      </w:r>
      <w:r w:rsidRPr="00620C6A" w:rsidR="00876BC1">
        <w:rPr>
          <w:rFonts w:ascii="Times New Roman" w:hAnsi="Times New Roman" w:cs="Times New Roman"/>
        </w:rPr>
        <w:t>ober</w:t>
      </w:r>
      <w:r w:rsidRPr="00620C6A" w:rsidR="00320115">
        <w:rPr>
          <w:rFonts w:ascii="Times New Roman" w:hAnsi="Times New Roman" w:cs="Times New Roman"/>
        </w:rPr>
        <w:t xml:space="preserve"> 23, 2019); </w:t>
      </w:r>
      <w:r w:rsidRPr="00620C6A" w:rsidR="00320115">
        <w:rPr>
          <w:rFonts w:ascii="Times New Roman" w:hAnsi="Times New Roman" w:cs="Times New Roman"/>
          <w:i/>
          <w:iCs/>
        </w:rPr>
        <w:t>In re Application of Aqua Ohio, Inc. for Authority to Assess a System Improvement Charge</w:t>
      </w:r>
      <w:r w:rsidRPr="00620C6A" w:rsidR="00320115">
        <w:rPr>
          <w:rFonts w:ascii="Times New Roman" w:hAnsi="Times New Roman" w:cs="Times New Roman"/>
        </w:rPr>
        <w:t>, Case No. 20-0532-WW-SIC, 3.498% increase approved (Sept</w:t>
      </w:r>
      <w:r w:rsidRPr="00620C6A" w:rsidR="00876BC1">
        <w:rPr>
          <w:rFonts w:ascii="Times New Roman" w:hAnsi="Times New Roman" w:cs="Times New Roman"/>
        </w:rPr>
        <w:t>ember</w:t>
      </w:r>
      <w:r w:rsidRPr="00620C6A" w:rsidR="00320115">
        <w:rPr>
          <w:rFonts w:ascii="Times New Roman" w:hAnsi="Times New Roman" w:cs="Times New Roman"/>
        </w:rPr>
        <w:t xml:space="preserve"> 23, 2020); </w:t>
      </w:r>
      <w:r w:rsidRPr="00620C6A" w:rsidR="00320115">
        <w:rPr>
          <w:rFonts w:ascii="Times New Roman" w:hAnsi="Times New Roman" w:cs="Times New Roman"/>
          <w:i/>
          <w:iCs/>
        </w:rPr>
        <w:t>see</w:t>
      </w:r>
      <w:r w:rsidRPr="00620C6A" w:rsidR="00320115">
        <w:rPr>
          <w:rFonts w:ascii="Times New Roman" w:hAnsi="Times New Roman" w:cs="Times New Roman"/>
        </w:rPr>
        <w:t xml:space="preserve"> Staff Report at 1-3; Duann Direct Testimony at 1</w:t>
      </w:r>
      <w:r w:rsidRPr="00620C6A" w:rsidR="0086193A">
        <w:rPr>
          <w:rFonts w:ascii="Times New Roman" w:hAnsi="Times New Roman" w:cs="Times New Roman"/>
        </w:rPr>
        <w:t>2</w:t>
      </w:r>
      <w:r w:rsidRPr="00620C6A" w:rsidR="00320115">
        <w:rPr>
          <w:rFonts w:ascii="Times New Roman" w:hAnsi="Times New Roman" w:cs="Times New Roman"/>
        </w:rPr>
        <w:t>-</w:t>
      </w:r>
      <w:r w:rsidRPr="00620C6A" w:rsidR="0086193A">
        <w:rPr>
          <w:rFonts w:ascii="Times New Roman" w:hAnsi="Times New Roman" w:cs="Times New Roman"/>
        </w:rPr>
        <w:t>13</w:t>
      </w:r>
      <w:r w:rsidRPr="00620C6A" w:rsidR="00320115">
        <w:rPr>
          <w:rFonts w:ascii="Times New Roman" w:hAnsi="Times New Roman" w:cs="Times New Roman"/>
        </w:rPr>
        <w:t>.</w:t>
      </w:r>
    </w:p>
  </w:footnote>
  <w:footnote w:id="40">
    <w:p w:rsidR="008524A8" w:rsidRPr="00620C6A" w:rsidP="00620C6A" w14:paraId="2A51C69A" w14:textId="071E1310">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w:t>
      </w:r>
      <w:r w:rsidRPr="00620C6A" w:rsidR="00320115">
        <w:rPr>
          <w:rFonts w:ascii="Times New Roman" w:hAnsi="Times New Roman" w:cs="Times New Roman"/>
        </w:rPr>
        <w:t xml:space="preserve">Staff Report at </w:t>
      </w:r>
      <w:r w:rsidRPr="00620C6A" w:rsidR="0086193A">
        <w:rPr>
          <w:rFonts w:ascii="Times New Roman" w:hAnsi="Times New Roman" w:cs="Times New Roman"/>
        </w:rPr>
        <w:t>8-10</w:t>
      </w:r>
      <w:r w:rsidRPr="00620C6A" w:rsidR="00320115">
        <w:rPr>
          <w:rFonts w:ascii="Times New Roman" w:hAnsi="Times New Roman" w:cs="Times New Roman"/>
        </w:rPr>
        <w:t>.</w:t>
      </w:r>
    </w:p>
  </w:footnote>
  <w:footnote w:id="41">
    <w:p w:rsidR="00320115" w:rsidRPr="00620C6A" w:rsidP="00620C6A" w14:paraId="4ACF02E4" w14:textId="58AF7018">
      <w:pPr>
        <w:spacing w:after="120" w:line="240" w:lineRule="auto"/>
        <w:rPr>
          <w:rFonts w:cs="Times New Roman"/>
          <w:sz w:val="20"/>
          <w:szCs w:val="20"/>
        </w:rPr>
      </w:pPr>
      <w:r w:rsidRPr="00620C6A">
        <w:rPr>
          <w:rStyle w:val="FootnoteReference"/>
          <w:rFonts w:cs="Times New Roman"/>
          <w:sz w:val="20"/>
          <w:szCs w:val="20"/>
        </w:rPr>
        <w:footnoteRef/>
      </w:r>
      <w:r w:rsidRPr="00620C6A">
        <w:rPr>
          <w:rFonts w:cs="Times New Roman"/>
          <w:sz w:val="20"/>
          <w:szCs w:val="20"/>
        </w:rPr>
        <w:t xml:space="preserve"> D</w:t>
      </w:r>
      <w:r w:rsidRPr="00620C6A" w:rsidR="007661F4">
        <w:rPr>
          <w:rFonts w:cs="Times New Roman"/>
          <w:sz w:val="20"/>
          <w:szCs w:val="20"/>
        </w:rPr>
        <w:t>uann D</w:t>
      </w:r>
      <w:r w:rsidRPr="00620C6A">
        <w:rPr>
          <w:rFonts w:cs="Times New Roman"/>
          <w:sz w:val="20"/>
          <w:szCs w:val="20"/>
        </w:rPr>
        <w:t xml:space="preserve">irect Testimony </w:t>
      </w:r>
      <w:r w:rsidRPr="00620C6A" w:rsidR="00AB5C78">
        <w:rPr>
          <w:rFonts w:cs="Times New Roman"/>
          <w:sz w:val="20"/>
          <w:szCs w:val="20"/>
        </w:rPr>
        <w:t>5-6</w:t>
      </w:r>
      <w:r w:rsidRPr="00620C6A" w:rsidR="009D5136">
        <w:rPr>
          <w:rFonts w:cs="Times New Roman"/>
          <w:sz w:val="20"/>
          <w:szCs w:val="20"/>
        </w:rPr>
        <w:t>.</w:t>
      </w:r>
    </w:p>
  </w:footnote>
  <w:footnote w:id="42">
    <w:p w:rsidR="003A3B90" w:rsidRPr="00620C6A" w:rsidP="00620C6A" w14:paraId="579F671D" w14:textId="5D6C1B10">
      <w:pPr>
        <w:pStyle w:val="FootnoteText"/>
        <w:spacing w:after="120"/>
        <w:rPr>
          <w:rFonts w:ascii="Times New Roman" w:hAnsi="Times New Roman" w:cs="Times New Roman"/>
        </w:rPr>
      </w:pPr>
      <w:r w:rsidRPr="00620C6A">
        <w:rPr>
          <w:rStyle w:val="FootnoteReference"/>
          <w:rFonts w:ascii="Times New Roman" w:hAnsi="Times New Roman" w:cs="Times New Roman"/>
        </w:rPr>
        <w:footnoteRef/>
      </w:r>
      <w:r w:rsidRPr="00620C6A">
        <w:rPr>
          <w:rFonts w:ascii="Times New Roman" w:hAnsi="Times New Roman" w:cs="Times New Roman"/>
        </w:rPr>
        <w:t xml:space="preserve"> Duann Direct Testimony at </w:t>
      </w:r>
      <w:r w:rsidRPr="00620C6A" w:rsidR="00AB5C78">
        <w:rPr>
          <w:rFonts w:ascii="Times New Roman" w:hAnsi="Times New Roman" w:cs="Times New Roman"/>
        </w:rPr>
        <w:t xml:space="preserve">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79F6F6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5AB30F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C27" w14:paraId="693C00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632DA"/>
    <w:multiLevelType w:val="hybridMultilevel"/>
    <w:tmpl w:val="E41A527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852F47"/>
    <w:multiLevelType w:val="hybridMultilevel"/>
    <w:tmpl w:val="D86895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76522CC"/>
    <w:multiLevelType w:val="hybridMultilevel"/>
    <w:tmpl w:val="BB04178E"/>
    <w:lvl w:ilvl="0">
      <w:start w:val="4"/>
      <w:numFmt w:val="upperRoman"/>
      <w:lvlText w:val="%1."/>
      <w:lvlJc w:val="left"/>
      <w:pPr>
        <w:ind w:left="20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1C49C1"/>
    <w:multiLevelType w:val="hybridMultilevel"/>
    <w:tmpl w:val="80BC26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597A713B"/>
    <w:multiLevelType w:val="hybridMultilevel"/>
    <w:tmpl w:val="CB5073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DF403E"/>
    <w:multiLevelType w:val="hybridMultilevel"/>
    <w:tmpl w:val="FFF635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0A"/>
    <w:rsid w:val="00027B59"/>
    <w:rsid w:val="00027D7B"/>
    <w:rsid w:val="00044CF9"/>
    <w:rsid w:val="000532BE"/>
    <w:rsid w:val="0006317A"/>
    <w:rsid w:val="0009490A"/>
    <w:rsid w:val="000A29A0"/>
    <w:rsid w:val="000D1855"/>
    <w:rsid w:val="000D72AD"/>
    <w:rsid w:val="000E49A3"/>
    <w:rsid w:val="00152D9C"/>
    <w:rsid w:val="001703E0"/>
    <w:rsid w:val="001730F4"/>
    <w:rsid w:val="001753CA"/>
    <w:rsid w:val="00195AE5"/>
    <w:rsid w:val="001A29F3"/>
    <w:rsid w:val="00216F2C"/>
    <w:rsid w:val="002177A2"/>
    <w:rsid w:val="0023435C"/>
    <w:rsid w:val="00243602"/>
    <w:rsid w:val="002757DF"/>
    <w:rsid w:val="002804A5"/>
    <w:rsid w:val="00284044"/>
    <w:rsid w:val="0028784C"/>
    <w:rsid w:val="002A3843"/>
    <w:rsid w:val="002A586C"/>
    <w:rsid w:val="002A67F1"/>
    <w:rsid w:val="002A78D5"/>
    <w:rsid w:val="002B7847"/>
    <w:rsid w:val="002C34C3"/>
    <w:rsid w:val="002D45CB"/>
    <w:rsid w:val="002E4F3F"/>
    <w:rsid w:val="002F703F"/>
    <w:rsid w:val="002F7518"/>
    <w:rsid w:val="00320115"/>
    <w:rsid w:val="0032057E"/>
    <w:rsid w:val="003305A0"/>
    <w:rsid w:val="00336688"/>
    <w:rsid w:val="0035211B"/>
    <w:rsid w:val="003572D3"/>
    <w:rsid w:val="00373345"/>
    <w:rsid w:val="0039796F"/>
    <w:rsid w:val="003A28F9"/>
    <w:rsid w:val="003A3B90"/>
    <w:rsid w:val="003B0F02"/>
    <w:rsid w:val="003B1A32"/>
    <w:rsid w:val="003C000C"/>
    <w:rsid w:val="003E0000"/>
    <w:rsid w:val="003E5332"/>
    <w:rsid w:val="003F401D"/>
    <w:rsid w:val="003F6C27"/>
    <w:rsid w:val="004000AC"/>
    <w:rsid w:val="00412CF0"/>
    <w:rsid w:val="0042518D"/>
    <w:rsid w:val="004305C0"/>
    <w:rsid w:val="00436E2A"/>
    <w:rsid w:val="004548E8"/>
    <w:rsid w:val="004615B5"/>
    <w:rsid w:val="00464638"/>
    <w:rsid w:val="0046658A"/>
    <w:rsid w:val="00471490"/>
    <w:rsid w:val="00482399"/>
    <w:rsid w:val="0048543B"/>
    <w:rsid w:val="00491CE0"/>
    <w:rsid w:val="004B5AC9"/>
    <w:rsid w:val="004C0770"/>
    <w:rsid w:val="004D2A6C"/>
    <w:rsid w:val="004D768F"/>
    <w:rsid w:val="004F2E45"/>
    <w:rsid w:val="005079CE"/>
    <w:rsid w:val="00511709"/>
    <w:rsid w:val="005216DF"/>
    <w:rsid w:val="005247C4"/>
    <w:rsid w:val="00526B4E"/>
    <w:rsid w:val="005357A2"/>
    <w:rsid w:val="00585329"/>
    <w:rsid w:val="005D7836"/>
    <w:rsid w:val="005E39DC"/>
    <w:rsid w:val="005F5820"/>
    <w:rsid w:val="006062F7"/>
    <w:rsid w:val="00607A2B"/>
    <w:rsid w:val="00617664"/>
    <w:rsid w:val="00620C6A"/>
    <w:rsid w:val="006218D2"/>
    <w:rsid w:val="006609BD"/>
    <w:rsid w:val="00660AA7"/>
    <w:rsid w:val="00673663"/>
    <w:rsid w:val="00680E59"/>
    <w:rsid w:val="006846AD"/>
    <w:rsid w:val="00686065"/>
    <w:rsid w:val="00686760"/>
    <w:rsid w:val="00687E40"/>
    <w:rsid w:val="006A28E7"/>
    <w:rsid w:val="006B0390"/>
    <w:rsid w:val="006B05CD"/>
    <w:rsid w:val="006B4C96"/>
    <w:rsid w:val="006C2782"/>
    <w:rsid w:val="006E1AC2"/>
    <w:rsid w:val="007212C8"/>
    <w:rsid w:val="00740A89"/>
    <w:rsid w:val="00742F3F"/>
    <w:rsid w:val="00752611"/>
    <w:rsid w:val="00752936"/>
    <w:rsid w:val="007551AE"/>
    <w:rsid w:val="00755E54"/>
    <w:rsid w:val="00763E05"/>
    <w:rsid w:val="007661F4"/>
    <w:rsid w:val="00772D91"/>
    <w:rsid w:val="00773D72"/>
    <w:rsid w:val="00775C0D"/>
    <w:rsid w:val="0079770F"/>
    <w:rsid w:val="007A215C"/>
    <w:rsid w:val="007A45BB"/>
    <w:rsid w:val="007A6CB7"/>
    <w:rsid w:val="007D0915"/>
    <w:rsid w:val="007E4A3A"/>
    <w:rsid w:val="008031D4"/>
    <w:rsid w:val="00826BE3"/>
    <w:rsid w:val="0083261E"/>
    <w:rsid w:val="00847615"/>
    <w:rsid w:val="008524A8"/>
    <w:rsid w:val="0086193A"/>
    <w:rsid w:val="00874F7B"/>
    <w:rsid w:val="00876BC1"/>
    <w:rsid w:val="00886B32"/>
    <w:rsid w:val="00896225"/>
    <w:rsid w:val="008A344C"/>
    <w:rsid w:val="008A66B0"/>
    <w:rsid w:val="008A676C"/>
    <w:rsid w:val="008A73D5"/>
    <w:rsid w:val="008E0AAF"/>
    <w:rsid w:val="008E167C"/>
    <w:rsid w:val="008E2289"/>
    <w:rsid w:val="008F114C"/>
    <w:rsid w:val="00900B69"/>
    <w:rsid w:val="009041E2"/>
    <w:rsid w:val="009072D2"/>
    <w:rsid w:val="0091184E"/>
    <w:rsid w:val="009307D0"/>
    <w:rsid w:val="009341F8"/>
    <w:rsid w:val="009411F4"/>
    <w:rsid w:val="0094406C"/>
    <w:rsid w:val="0095156D"/>
    <w:rsid w:val="00987927"/>
    <w:rsid w:val="009A70CE"/>
    <w:rsid w:val="009D5136"/>
    <w:rsid w:val="009E3659"/>
    <w:rsid w:val="009E66C1"/>
    <w:rsid w:val="009F49CE"/>
    <w:rsid w:val="00A0528D"/>
    <w:rsid w:val="00A107F0"/>
    <w:rsid w:val="00A22AFA"/>
    <w:rsid w:val="00A23474"/>
    <w:rsid w:val="00A2544E"/>
    <w:rsid w:val="00A30D7D"/>
    <w:rsid w:val="00A34705"/>
    <w:rsid w:val="00A362BC"/>
    <w:rsid w:val="00A4292E"/>
    <w:rsid w:val="00A43F1B"/>
    <w:rsid w:val="00A4515D"/>
    <w:rsid w:val="00A461C0"/>
    <w:rsid w:val="00A61A67"/>
    <w:rsid w:val="00A63DDB"/>
    <w:rsid w:val="00A8026F"/>
    <w:rsid w:val="00A9579E"/>
    <w:rsid w:val="00AA5501"/>
    <w:rsid w:val="00AA779C"/>
    <w:rsid w:val="00AB0317"/>
    <w:rsid w:val="00AB5C78"/>
    <w:rsid w:val="00AC1872"/>
    <w:rsid w:val="00AD29E1"/>
    <w:rsid w:val="00AE509F"/>
    <w:rsid w:val="00B07266"/>
    <w:rsid w:val="00B2539A"/>
    <w:rsid w:val="00B33547"/>
    <w:rsid w:val="00B35B2B"/>
    <w:rsid w:val="00B47599"/>
    <w:rsid w:val="00B505A3"/>
    <w:rsid w:val="00B532DE"/>
    <w:rsid w:val="00B62F00"/>
    <w:rsid w:val="00B761E4"/>
    <w:rsid w:val="00B87F81"/>
    <w:rsid w:val="00B9109B"/>
    <w:rsid w:val="00BC00DB"/>
    <w:rsid w:val="00BC0226"/>
    <w:rsid w:val="00BC50B6"/>
    <w:rsid w:val="00BC5F47"/>
    <w:rsid w:val="00BC7850"/>
    <w:rsid w:val="00C02A15"/>
    <w:rsid w:val="00C0645C"/>
    <w:rsid w:val="00C314F3"/>
    <w:rsid w:val="00C40316"/>
    <w:rsid w:val="00C4384B"/>
    <w:rsid w:val="00C455C2"/>
    <w:rsid w:val="00C557F4"/>
    <w:rsid w:val="00C60991"/>
    <w:rsid w:val="00C6561E"/>
    <w:rsid w:val="00C72944"/>
    <w:rsid w:val="00C76D68"/>
    <w:rsid w:val="00C83270"/>
    <w:rsid w:val="00C85E1E"/>
    <w:rsid w:val="00C91497"/>
    <w:rsid w:val="00CA25A8"/>
    <w:rsid w:val="00CA3481"/>
    <w:rsid w:val="00CB2D0B"/>
    <w:rsid w:val="00CB3F2C"/>
    <w:rsid w:val="00CB42D0"/>
    <w:rsid w:val="00CB6CAC"/>
    <w:rsid w:val="00CC5B7A"/>
    <w:rsid w:val="00CE0C1A"/>
    <w:rsid w:val="00D12CA1"/>
    <w:rsid w:val="00D14796"/>
    <w:rsid w:val="00D4584F"/>
    <w:rsid w:val="00D552ED"/>
    <w:rsid w:val="00DB3C84"/>
    <w:rsid w:val="00DB6219"/>
    <w:rsid w:val="00DC6E6C"/>
    <w:rsid w:val="00DD2A70"/>
    <w:rsid w:val="00DF5E89"/>
    <w:rsid w:val="00E22556"/>
    <w:rsid w:val="00E373CE"/>
    <w:rsid w:val="00E61DAC"/>
    <w:rsid w:val="00E75FCB"/>
    <w:rsid w:val="00E77B30"/>
    <w:rsid w:val="00EB4222"/>
    <w:rsid w:val="00ED67BB"/>
    <w:rsid w:val="00F34420"/>
    <w:rsid w:val="00F777DF"/>
    <w:rsid w:val="00F86E2E"/>
    <w:rsid w:val="00F9643B"/>
    <w:rsid w:val="00F97C72"/>
    <w:rsid w:val="00FA47FD"/>
    <w:rsid w:val="00FA5216"/>
    <w:rsid w:val="00FC2591"/>
    <w:rsid w:val="00FD0171"/>
    <w:rsid w:val="00FD2108"/>
    <w:rsid w:val="00FD35D3"/>
    <w:rsid w:val="00FD62BA"/>
    <w:rsid w:val="00FD658C"/>
    <w:rsid w:val="00FD6A83"/>
    <w:rsid w:val="00FE1C08"/>
    <w:rsid w:val="00FF184A"/>
    <w:rsid w:val="00FF21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6"/>
    <w:pPr>
      <w:spacing w:after="200" w:line="276" w:lineRule="auto"/>
    </w:pPr>
    <w:rPr>
      <w:rFonts w:ascii="Times New Roman" w:hAnsi="Times New Roman"/>
      <w:sz w:val="24"/>
    </w:rPr>
  </w:style>
  <w:style w:type="paragraph" w:styleId="Heading1">
    <w:name w:val="heading 1"/>
    <w:basedOn w:val="Normal"/>
    <w:next w:val="Normal"/>
    <w:link w:val="Heading1Char"/>
    <w:autoRedefine/>
    <w:uiPriority w:val="9"/>
    <w:qFormat/>
    <w:rsid w:val="00A9579E"/>
    <w:pPr>
      <w:keepNext/>
      <w:keepLines/>
      <w:numPr>
        <w:numId w:val="6"/>
      </w:numPr>
      <w:spacing w:after="240" w:line="240" w:lineRule="auto"/>
      <w:ind w:left="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uiPriority w:val="9"/>
    <w:unhideWhenUsed/>
    <w:qFormat/>
    <w:rsid w:val="000D72AD"/>
    <w:pPr>
      <w:keepNext/>
      <w:keepLines/>
      <w:spacing w:after="240" w:line="240" w:lineRule="auto"/>
      <w:ind w:left="1440" w:hanging="72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uiPriority w:val="9"/>
    <w:unhideWhenUsed/>
    <w:qFormat/>
    <w:rsid w:val="000D72AD"/>
    <w:pPr>
      <w:keepNext/>
      <w:keepLines/>
      <w:spacing w:after="240" w:line="240" w:lineRule="auto"/>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9E"/>
    <w:rPr>
      <w:rFonts w:ascii="Times New Roman Bold" w:hAnsi="Times New Roman Bold" w:eastAsiaTheme="majorEastAsia" w:cstheme="majorBidi"/>
      <w:b/>
      <w:bCs/>
      <w:sz w:val="24"/>
      <w:szCs w:val="28"/>
    </w:rPr>
  </w:style>
  <w:style w:type="paragraph" w:styleId="FootnoteText">
    <w:name w:val="footnote text"/>
    <w:aliases w:val="ALTS FOOTNOTE,Footnote Text Cha,Footnote Text Char Char,Footnote Text Char Char Char Char,Footnote Text Char1,Footnote Text Char1 Char Char1,Footnote Text Char1 Char Char1 Char Char Char,Footnote Text Char2 Char Char Char Char1,fn,fn C,ft"/>
    <w:basedOn w:val="Normal"/>
    <w:link w:val="FootnoteTextChar"/>
    <w:unhideWhenUsed/>
    <w:rsid w:val="0009490A"/>
    <w:pPr>
      <w:spacing w:after="0" w:line="240" w:lineRule="auto"/>
    </w:pPr>
    <w:rPr>
      <w:rFonts w:asciiTheme="minorHAnsi" w:hAnsiTheme="minorHAnsi"/>
      <w:sz w:val="20"/>
      <w:szCs w:val="20"/>
    </w:rPr>
  </w:style>
  <w:style w:type="character" w:customStyle="1" w:styleId="FootnoteTextChar">
    <w:name w:val="Footnote Text Char"/>
    <w:aliases w:val="ALTS FOOTNOTE Char,Footnote Text Cha Char,Footnote Text Char Char Char,Footnote Text Char Char Char Char Char,Footnote Text Char1 Char,Footnote Text Char1 Char Char1 Char,Footnote Text Char1 Char Char1 Char Char Char Char,fn Char"/>
    <w:basedOn w:val="DefaultParagraphFont"/>
    <w:link w:val="FootnoteText"/>
    <w:rsid w:val="0009490A"/>
    <w:rPr>
      <w:sz w:val="20"/>
      <w:szCs w:val="20"/>
    </w:rPr>
  </w:style>
  <w:style w:type="paragraph" w:styleId="ListParagraph">
    <w:name w:val="List Paragraph"/>
    <w:basedOn w:val="Normal"/>
    <w:uiPriority w:val="34"/>
    <w:qFormat/>
    <w:rsid w:val="0009490A"/>
    <w:pPr>
      <w:ind w:left="720"/>
      <w:contextualSpacing/>
    </w:pPr>
    <w:rPr>
      <w:rFonts w:asciiTheme="minorHAnsi" w:hAnsiTheme="minorHAnsi"/>
      <w:sz w:val="22"/>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nhideWhenUsed/>
    <w:rsid w:val="0009490A"/>
    <w:rPr>
      <w:vertAlign w:val="superscript"/>
    </w:rPr>
  </w:style>
  <w:style w:type="paragraph" w:styleId="CommentText">
    <w:name w:val="annotation text"/>
    <w:basedOn w:val="Normal"/>
    <w:link w:val="CommentTextChar"/>
    <w:uiPriority w:val="99"/>
    <w:semiHidden/>
    <w:unhideWhenUsed/>
    <w:rsid w:val="0009490A"/>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semiHidden/>
    <w:rsid w:val="000949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490A"/>
    <w:rPr>
      <w:sz w:val="16"/>
      <w:szCs w:val="16"/>
    </w:rPr>
  </w:style>
  <w:style w:type="paragraph" w:styleId="BalloonText">
    <w:name w:val="Balloon Text"/>
    <w:basedOn w:val="Normal"/>
    <w:link w:val="BalloonTextChar"/>
    <w:uiPriority w:val="99"/>
    <w:semiHidden/>
    <w:unhideWhenUsed/>
    <w:rsid w:val="00094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90A"/>
    <w:rPr>
      <w:rFonts w:ascii="Segoe UI" w:hAnsi="Segoe UI" w:cs="Segoe UI"/>
      <w:sz w:val="18"/>
      <w:szCs w:val="18"/>
    </w:rPr>
  </w:style>
  <w:style w:type="character" w:customStyle="1" w:styleId="Heading2Char">
    <w:name w:val="Heading 2 Char"/>
    <w:basedOn w:val="DefaultParagraphFont"/>
    <w:link w:val="Heading2"/>
    <w:uiPriority w:val="9"/>
    <w:rsid w:val="000D72AD"/>
    <w:rPr>
      <w:rFonts w:ascii="Times New Roman Bold" w:hAnsi="Times New Roman Bold" w:eastAsiaTheme="majorEastAsia" w:cstheme="majorBidi"/>
      <w:b/>
      <w:sz w:val="24"/>
      <w:szCs w:val="26"/>
    </w:rPr>
  </w:style>
  <w:style w:type="paragraph" w:styleId="CommentSubject">
    <w:name w:val="annotation subject"/>
    <w:basedOn w:val="CommentText"/>
    <w:next w:val="CommentText"/>
    <w:link w:val="CommentSubjectChar"/>
    <w:semiHidden/>
    <w:unhideWhenUsed/>
    <w:rsid w:val="002A78D5"/>
    <w:pPr>
      <w:spacing w:after="200"/>
    </w:pPr>
    <w:rPr>
      <w:rFonts w:eastAsiaTheme="minorHAnsi" w:cstheme="minorBidi"/>
      <w:b/>
      <w:bCs/>
      <w:sz w:val="20"/>
      <w:szCs w:val="20"/>
    </w:rPr>
  </w:style>
  <w:style w:type="character" w:customStyle="1" w:styleId="CommentSubjectChar">
    <w:name w:val="Comment Subject Char"/>
    <w:basedOn w:val="CommentTextChar"/>
    <w:link w:val="CommentSubject"/>
    <w:semiHidden/>
    <w:rsid w:val="002A78D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D72AD"/>
    <w:rPr>
      <w:rFonts w:ascii="Times New Roman Bold" w:hAnsi="Times New Roman Bold" w:eastAsiaTheme="majorEastAsia" w:cstheme="majorBidi"/>
      <w:b/>
      <w:sz w:val="24"/>
      <w:szCs w:val="24"/>
    </w:rPr>
  </w:style>
  <w:style w:type="paragraph" w:styleId="Header">
    <w:name w:val="header"/>
    <w:basedOn w:val="Normal"/>
    <w:link w:val="HeaderChar"/>
    <w:uiPriority w:val="99"/>
    <w:unhideWhenUsed/>
    <w:rsid w:val="00DD2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70"/>
    <w:rPr>
      <w:rFonts w:ascii="Times New Roman" w:hAnsi="Times New Roman"/>
      <w:sz w:val="24"/>
    </w:rPr>
  </w:style>
  <w:style w:type="paragraph" w:styleId="Footer">
    <w:name w:val="footer"/>
    <w:basedOn w:val="Normal"/>
    <w:link w:val="FooterChar"/>
    <w:uiPriority w:val="99"/>
    <w:unhideWhenUsed/>
    <w:rsid w:val="00DD2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70"/>
    <w:rPr>
      <w:rFonts w:ascii="Times New Roman" w:hAnsi="Times New Roman"/>
      <w:sz w:val="24"/>
    </w:rPr>
  </w:style>
  <w:style w:type="paragraph" w:styleId="HTMLPreformatted">
    <w:name w:val="HTML Preformatted"/>
    <w:basedOn w:val="Normal"/>
    <w:link w:val="HTMLPreformattedChar"/>
    <w:rsid w:val="007A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7A45BB"/>
    <w:rPr>
      <w:rFonts w:ascii="Courier New" w:eastAsia="Courier New" w:hAnsi="Courier New" w:cs="Courier New"/>
      <w:sz w:val="20"/>
      <w:szCs w:val="20"/>
    </w:r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E22556"/>
  </w:style>
  <w:style w:type="table" w:styleId="TableGrid">
    <w:name w:val="Table Grid"/>
    <w:basedOn w:val="TableNormal"/>
    <w:uiPriority w:val="59"/>
    <w:rsid w:val="008524A8"/>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0226"/>
    <w:rPr>
      <w:color w:val="0000FF"/>
      <w:u w:val="single"/>
    </w:rPr>
  </w:style>
  <w:style w:type="paragraph" w:styleId="BodyText">
    <w:name w:val="Body Text"/>
    <w:basedOn w:val="Normal"/>
    <w:link w:val="BodyTextChar"/>
    <w:rsid w:val="00B62F00"/>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B62F00"/>
    <w:rPr>
      <w:rFonts w:ascii="Times New Roman" w:eastAsia="Times New Roman" w:hAnsi="Times New Roman" w:cs="Times New Roman"/>
      <w:sz w:val="24"/>
      <w:szCs w:val="20"/>
    </w:rPr>
  </w:style>
  <w:style w:type="paragraph" w:styleId="EndnoteText">
    <w:name w:val="endnote text"/>
    <w:basedOn w:val="Normal"/>
    <w:link w:val="EndnoteTextChar"/>
    <w:semiHidden/>
    <w:rsid w:val="00B62F00"/>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B62F00"/>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FA5216"/>
    <w:pPr>
      <w:tabs>
        <w:tab w:val="decimal" w:leader="dot" w:pos="9360"/>
      </w:tabs>
      <w:spacing w:after="240" w:line="240" w:lineRule="auto"/>
      <w:ind w:left="720" w:hanging="720"/>
    </w:pPr>
  </w:style>
  <w:style w:type="paragraph" w:styleId="TOC2">
    <w:name w:val="toc 2"/>
    <w:basedOn w:val="Normal"/>
    <w:next w:val="Normal"/>
    <w:autoRedefine/>
    <w:uiPriority w:val="39"/>
    <w:unhideWhenUsed/>
    <w:rsid w:val="00FA5216"/>
    <w:pPr>
      <w:tabs>
        <w:tab w:val="decimal" w:leader="dot" w:pos="9360"/>
      </w:tabs>
      <w:spacing w:after="240" w:line="240" w:lineRule="auto"/>
      <w:ind w:left="1440" w:hanging="720"/>
    </w:pPr>
  </w:style>
  <w:style w:type="paragraph" w:styleId="TOC3">
    <w:name w:val="toc 3"/>
    <w:basedOn w:val="Normal"/>
    <w:next w:val="Normal"/>
    <w:autoRedefine/>
    <w:uiPriority w:val="39"/>
    <w:unhideWhenUsed/>
    <w:rsid w:val="00044CF9"/>
    <w:pPr>
      <w:tabs>
        <w:tab w:val="decimal" w:leader="dot" w:pos="9360"/>
      </w:tabs>
      <w:spacing w:after="240" w:line="240" w:lineRule="auto"/>
    </w:pPr>
    <w:rPr>
      <w:rFonts w:eastAsiaTheme="majorEastAsia" w:cstheme="majorBidi"/>
      <w:noProof/>
    </w:rPr>
  </w:style>
  <w:style w:type="paragraph" w:styleId="Revision">
    <w:name w:val="Revision"/>
    <w:hidden/>
    <w:uiPriority w:val="99"/>
    <w:semiHidden/>
    <w:rsid w:val="00775C0D"/>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62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yperlink" Target="mailto:Robert.eubanks@ohioAGO.gov" TargetMode="External" /><Relationship Id="rId17" Type="http://schemas.openxmlformats.org/officeDocument/2006/relationships/hyperlink" Target="mailto:Chelsea.Fletcher@ohioAGO.gov" TargetMode="External" /><Relationship Id="rId18" Type="http://schemas.openxmlformats.org/officeDocument/2006/relationships/hyperlink" Target="mailto:David.Hicks@puco.ohio.gov" TargetMode="External" /><Relationship Id="rId19" Type="http://schemas.openxmlformats.org/officeDocument/2006/relationships/hyperlink" Target="mailto:Christopher.miller@icemiller.com" TargetMode="External" /><Relationship Id="rId2" Type="http://schemas.openxmlformats.org/officeDocument/2006/relationships/settings" Target="settings.xml" /><Relationship Id="rId20" Type="http://schemas.openxmlformats.org/officeDocument/2006/relationships/hyperlink" Target="mailto:Nicole.woods@icemiller.com" TargetMode="External" /><Relationship Id="rId21" Type="http://schemas.openxmlformats.org/officeDocument/2006/relationships/hyperlink" Target="mailto:lawdirectormarion@gmail.com" TargetMode="External" /><Relationship Id="rId22" Type="http://schemas.openxmlformats.org/officeDocument/2006/relationships/footer" Target="footer5.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Bzets@isaacwiles.com" TargetMode="External" /><Relationship Id="rId8" Type="http://schemas.openxmlformats.org/officeDocument/2006/relationships/hyperlink" Target="http://www.isaacwiles.com" TargetMode="Externa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home.treasury.gov/resource-center/data-chart-center/interest-rates/TextView?type=daily_treasury_yield_curve&amp;field_tdr_date_value=20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DF7C-52E6-4EFB-A3A6-8CD3756A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(21-596 OCC Objectionsc (003)).DOCX</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2022-03-14T19:04:01Z</dcterms:created>
  <dcterms:modified xsi:type="dcterms:W3CDTF">2022-03-14T19:04:01Z</dcterms:modified>
</cp:coreProperties>
</file>