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19" w:rsidRPr="00B54BC2" w:rsidRDefault="00F97219" w:rsidP="00F97219">
      <w:pPr>
        <w:suppressLineNumbers/>
        <w:tabs>
          <w:tab w:val="left" w:pos="450"/>
          <w:tab w:val="left" w:pos="4770"/>
        </w:tabs>
        <w:jc w:val="center"/>
        <w:rPr>
          <w:b/>
          <w:bCs/>
        </w:rPr>
      </w:pPr>
      <w:r w:rsidRPr="00B54BC2">
        <w:rPr>
          <w:b/>
          <w:bCs/>
        </w:rPr>
        <w:t xml:space="preserve">BEFORE </w:t>
      </w:r>
    </w:p>
    <w:p w:rsidR="00F97219" w:rsidRPr="00B54BC2" w:rsidRDefault="00F97219" w:rsidP="00F97219">
      <w:pPr>
        <w:suppressLineNumbers/>
        <w:tabs>
          <w:tab w:val="left" w:pos="4770"/>
        </w:tabs>
        <w:jc w:val="center"/>
        <w:rPr>
          <w:b/>
          <w:bCs/>
        </w:rPr>
      </w:pPr>
      <w:r w:rsidRPr="00B54BC2">
        <w:rPr>
          <w:b/>
          <w:bCs/>
        </w:rPr>
        <w:t>THE PUBLIC UTILITIES COMMISSION OF OHIO</w:t>
      </w:r>
    </w:p>
    <w:p w:rsidR="00F97219" w:rsidRPr="00B54BC2" w:rsidRDefault="00F97219" w:rsidP="00F97219">
      <w:pPr>
        <w:suppressLineNumbers/>
        <w:tabs>
          <w:tab w:val="left" w:pos="4770"/>
          <w:tab w:val="left" w:pos="6874"/>
          <w:tab w:val="left" w:pos="8302"/>
        </w:tabs>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296"/>
        <w:gridCol w:w="4684"/>
      </w:tblGrid>
      <w:tr w:rsidR="00F97219" w:rsidRPr="00B54BC2" w:rsidTr="0025702E">
        <w:tc>
          <w:tcPr>
            <w:tcW w:w="4608" w:type="dxa"/>
          </w:tcPr>
          <w:p w:rsidR="00F97219" w:rsidRPr="00B54BC2" w:rsidRDefault="00F97219" w:rsidP="0025702E">
            <w:pPr>
              <w:suppressLineNumbers/>
              <w:tabs>
                <w:tab w:val="left" w:pos="4770"/>
              </w:tabs>
              <w:jc w:val="both"/>
              <w:rPr>
                <w:bCs/>
              </w:rPr>
            </w:pPr>
            <w:r w:rsidRPr="00B54BC2">
              <w:rPr>
                <w:bCs/>
              </w:rPr>
              <w:t>In the Matter of the Application of Duke Energy Ohio, Inc., for an Increase in its Natural Gas Distribution Rates.</w:t>
            </w:r>
          </w:p>
          <w:p w:rsidR="00F97219" w:rsidRPr="00B54BC2" w:rsidRDefault="00F97219" w:rsidP="0025702E">
            <w:pPr>
              <w:suppressLineNumbers/>
              <w:tabs>
                <w:tab w:val="left" w:pos="4770"/>
              </w:tabs>
              <w:jc w:val="both"/>
              <w:rPr>
                <w:bCs/>
              </w:rPr>
            </w:pPr>
          </w:p>
          <w:p w:rsidR="00F97219" w:rsidRPr="00B54BC2" w:rsidRDefault="00F97219" w:rsidP="0025702E">
            <w:pPr>
              <w:suppressLineNumbers/>
              <w:tabs>
                <w:tab w:val="left" w:pos="4770"/>
              </w:tabs>
              <w:jc w:val="both"/>
              <w:rPr>
                <w:bCs/>
              </w:rPr>
            </w:pPr>
            <w:r w:rsidRPr="00B54BC2">
              <w:rPr>
                <w:bCs/>
              </w:rPr>
              <w:t>In the Matter of the Application of Duke Energy Ohio, Inc., for Tariff Approval.</w:t>
            </w:r>
          </w:p>
          <w:p w:rsidR="00F97219" w:rsidRPr="00B54BC2" w:rsidRDefault="00F97219" w:rsidP="0025702E">
            <w:pPr>
              <w:suppressLineNumbers/>
              <w:tabs>
                <w:tab w:val="left" w:pos="4770"/>
              </w:tabs>
              <w:jc w:val="both"/>
              <w:rPr>
                <w:bCs/>
              </w:rPr>
            </w:pPr>
          </w:p>
          <w:p w:rsidR="00F97219" w:rsidRPr="00B54BC2" w:rsidRDefault="00F97219" w:rsidP="0025702E">
            <w:pPr>
              <w:suppressLineNumbers/>
              <w:tabs>
                <w:tab w:val="left" w:pos="4770"/>
              </w:tabs>
              <w:jc w:val="both"/>
              <w:rPr>
                <w:bCs/>
              </w:rPr>
            </w:pPr>
            <w:r w:rsidRPr="00B54BC2">
              <w:rPr>
                <w:bCs/>
              </w:rPr>
              <w:t>In the Matter of the Application of Duke Energy Ohio, Inc. for Approval of an Alternative Rate Plan for Gas Distribution Service.</w:t>
            </w:r>
          </w:p>
          <w:p w:rsidR="00F97219" w:rsidRPr="00B54BC2" w:rsidRDefault="00F97219" w:rsidP="0025702E">
            <w:pPr>
              <w:suppressLineNumbers/>
              <w:tabs>
                <w:tab w:val="left" w:pos="4770"/>
              </w:tabs>
              <w:jc w:val="both"/>
              <w:rPr>
                <w:bCs/>
              </w:rPr>
            </w:pPr>
          </w:p>
          <w:p w:rsidR="00F97219" w:rsidRPr="00B54BC2" w:rsidRDefault="00F97219" w:rsidP="0025702E">
            <w:pPr>
              <w:suppressLineNumbers/>
              <w:tabs>
                <w:tab w:val="left" w:pos="4770"/>
              </w:tabs>
              <w:jc w:val="both"/>
              <w:rPr>
                <w:bCs/>
              </w:rPr>
            </w:pPr>
            <w:r w:rsidRPr="00B54BC2">
              <w:rPr>
                <w:bCs/>
              </w:rPr>
              <w:t xml:space="preserve">In the Matter of the Application of Duke Energy Ohio, Inc., for Approval to Change Accounting Methods.  </w:t>
            </w:r>
          </w:p>
        </w:tc>
        <w:tc>
          <w:tcPr>
            <w:tcW w:w="270" w:type="dxa"/>
          </w:tcPr>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r w:rsidRPr="00B54BC2">
              <w:rPr>
                <w:bCs/>
              </w:rPr>
              <w:t>)</w:t>
            </w:r>
          </w:p>
          <w:p w:rsidR="00F97219" w:rsidRPr="00B54BC2" w:rsidRDefault="00F97219" w:rsidP="0025702E">
            <w:pPr>
              <w:suppressLineNumbers/>
              <w:tabs>
                <w:tab w:val="left" w:pos="4770"/>
              </w:tabs>
              <w:rPr>
                <w:bCs/>
              </w:rPr>
            </w:pPr>
            <w:r w:rsidRPr="00B54BC2">
              <w:rPr>
                <w:bCs/>
              </w:rPr>
              <w:t>)</w:t>
            </w:r>
          </w:p>
        </w:tc>
        <w:tc>
          <w:tcPr>
            <w:tcW w:w="4698" w:type="dxa"/>
          </w:tcPr>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r w:rsidRPr="00B54BC2">
              <w:rPr>
                <w:bCs/>
              </w:rPr>
              <w:t>Case No. 12-1685-GA-AIR</w:t>
            </w: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r w:rsidRPr="00B54BC2">
              <w:rPr>
                <w:bCs/>
              </w:rPr>
              <w:t>Case No. 12-1686-GA-ATA</w:t>
            </w: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r w:rsidRPr="00B54BC2">
              <w:rPr>
                <w:bCs/>
              </w:rPr>
              <w:t>Case No. 12-1687-GA-ALT</w:t>
            </w: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p>
          <w:p w:rsidR="00F97219" w:rsidRPr="00B54BC2" w:rsidRDefault="00F97219" w:rsidP="0025702E">
            <w:pPr>
              <w:suppressLineNumbers/>
              <w:tabs>
                <w:tab w:val="left" w:pos="4770"/>
              </w:tabs>
              <w:rPr>
                <w:bCs/>
              </w:rPr>
            </w:pPr>
            <w:r w:rsidRPr="00B54BC2">
              <w:rPr>
                <w:bCs/>
              </w:rPr>
              <w:t>Case No. 12-1688-GA-AAM</w:t>
            </w:r>
          </w:p>
        </w:tc>
      </w:tr>
    </w:tbl>
    <w:p w:rsidR="00AD23C7" w:rsidRDefault="00AD23C7" w:rsidP="003F39CB">
      <w:pPr>
        <w:jc w:val="center"/>
        <w:rPr>
          <w:b/>
        </w:rPr>
      </w:pPr>
    </w:p>
    <w:p w:rsidR="0024365D" w:rsidRPr="003A2040" w:rsidRDefault="0024365D" w:rsidP="00CF319C">
      <w:pPr>
        <w:suppressLineNumbers/>
        <w:tabs>
          <w:tab w:val="left" w:pos="2411"/>
        </w:tabs>
      </w:pPr>
    </w:p>
    <w:p w:rsidR="0024365D" w:rsidRPr="00FF01B0" w:rsidRDefault="0024365D" w:rsidP="00CF319C">
      <w:pPr>
        <w:pStyle w:val="Heading1"/>
        <w:pBdr>
          <w:top w:val="single" w:sz="4" w:space="3" w:color="auto"/>
        </w:pBdr>
        <w:ind w:left="0" w:firstLine="0"/>
        <w:rPr>
          <w:rFonts w:ascii="Times New Roman" w:hAnsi="Times New Roman"/>
          <w:sz w:val="24"/>
          <w:szCs w:val="24"/>
        </w:rPr>
      </w:pPr>
    </w:p>
    <w:p w:rsidR="006C1CD0" w:rsidRDefault="0024365D" w:rsidP="00CF319C">
      <w:pPr>
        <w:pStyle w:val="Heading1"/>
        <w:pBdr>
          <w:top w:val="single" w:sz="4" w:space="3" w:color="auto"/>
        </w:pBdr>
        <w:ind w:left="0" w:firstLine="0"/>
        <w:rPr>
          <w:rFonts w:ascii="Times New Roman" w:hAnsi="Times New Roman"/>
          <w:sz w:val="24"/>
          <w:szCs w:val="24"/>
        </w:rPr>
      </w:pPr>
      <w:r w:rsidRPr="00FF01B0">
        <w:rPr>
          <w:rFonts w:ascii="Times New Roman" w:hAnsi="Times New Roman"/>
          <w:sz w:val="24"/>
          <w:szCs w:val="24"/>
        </w:rPr>
        <w:t>DUKE ENERGY OHIO</w:t>
      </w:r>
      <w:r w:rsidR="00CF319C">
        <w:rPr>
          <w:rFonts w:ascii="Times New Roman" w:hAnsi="Times New Roman"/>
          <w:sz w:val="24"/>
          <w:szCs w:val="24"/>
        </w:rPr>
        <w:t>, INC.</w:t>
      </w:r>
      <w:r w:rsidRPr="00FF01B0">
        <w:rPr>
          <w:rFonts w:ascii="Times New Roman" w:hAnsi="Times New Roman"/>
          <w:sz w:val="24"/>
          <w:szCs w:val="24"/>
        </w:rPr>
        <w:t xml:space="preserve">’S </w:t>
      </w:r>
      <w:r w:rsidR="006C1CD0">
        <w:rPr>
          <w:rFonts w:ascii="Times New Roman" w:hAnsi="Times New Roman"/>
          <w:sz w:val="24"/>
          <w:szCs w:val="24"/>
        </w:rPr>
        <w:t xml:space="preserve">MEMORANDUM </w:t>
      </w:r>
      <w:r w:rsidR="00F97219">
        <w:rPr>
          <w:rFonts w:ascii="Times New Roman" w:hAnsi="Times New Roman"/>
          <w:sz w:val="24"/>
          <w:szCs w:val="24"/>
        </w:rPr>
        <w:t>CONTRA</w:t>
      </w:r>
    </w:p>
    <w:p w:rsidR="0024365D" w:rsidRDefault="005036F9" w:rsidP="00CF319C">
      <w:pPr>
        <w:pStyle w:val="Heading1"/>
        <w:pBdr>
          <w:top w:val="single" w:sz="4" w:space="3" w:color="auto"/>
        </w:pBdr>
        <w:ind w:left="0" w:firstLine="0"/>
        <w:rPr>
          <w:rFonts w:ascii="Times New Roman" w:hAnsi="Times New Roman"/>
          <w:sz w:val="24"/>
          <w:szCs w:val="24"/>
        </w:rPr>
      </w:pPr>
      <w:r>
        <w:rPr>
          <w:rFonts w:ascii="Times New Roman" w:hAnsi="Times New Roman"/>
          <w:sz w:val="24"/>
          <w:szCs w:val="24"/>
        </w:rPr>
        <w:t>THE</w:t>
      </w:r>
      <w:r w:rsidR="00F97219">
        <w:rPr>
          <w:rFonts w:ascii="Times New Roman" w:hAnsi="Times New Roman"/>
          <w:sz w:val="24"/>
          <w:szCs w:val="24"/>
        </w:rPr>
        <w:t xml:space="preserve"> JOINT MOTION TO STRIKE</w:t>
      </w:r>
      <w:r w:rsidR="0024365D" w:rsidRPr="00FF01B0">
        <w:rPr>
          <w:rFonts w:ascii="Times New Roman" w:hAnsi="Times New Roman"/>
          <w:sz w:val="24"/>
          <w:szCs w:val="24"/>
        </w:rPr>
        <w:t xml:space="preserve"> </w:t>
      </w:r>
    </w:p>
    <w:p w:rsidR="0024365D" w:rsidRPr="00CF319C" w:rsidRDefault="00CF319C" w:rsidP="0024365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4365D" w:rsidRPr="00FF01B0" w:rsidRDefault="0024365D" w:rsidP="0024365D">
      <w:pPr>
        <w:ind w:left="5040" w:hanging="5040"/>
        <w:jc w:val="center"/>
      </w:pPr>
    </w:p>
    <w:p w:rsidR="004E14AC" w:rsidRDefault="004E14AC" w:rsidP="00F97219">
      <w:pPr>
        <w:spacing w:line="480" w:lineRule="auto"/>
        <w:jc w:val="both"/>
      </w:pPr>
      <w:r w:rsidRPr="004E14AC">
        <w:rPr>
          <w:b/>
        </w:rPr>
        <w:t>I.</w:t>
      </w:r>
      <w:r>
        <w:tab/>
      </w:r>
      <w:r>
        <w:rPr>
          <w:b/>
          <w:u w:val="single"/>
        </w:rPr>
        <w:t>INTRODUCTION</w:t>
      </w:r>
      <w:r w:rsidR="0024365D" w:rsidRPr="00FF01B0">
        <w:tab/>
        <w:t xml:space="preserve"> </w:t>
      </w:r>
    </w:p>
    <w:p w:rsidR="0024365D" w:rsidRDefault="002A797F" w:rsidP="004E14AC">
      <w:pPr>
        <w:spacing w:line="480" w:lineRule="auto"/>
        <w:ind w:firstLine="720"/>
        <w:jc w:val="both"/>
      </w:pPr>
      <w:r>
        <w:t>On April 8, 2014</w:t>
      </w:r>
      <w:bookmarkStart w:id="0" w:name="_GoBack"/>
      <w:bookmarkEnd w:id="0"/>
      <w:r>
        <w:t>, the Joint Movants</w:t>
      </w:r>
      <w:r>
        <w:rPr>
          <w:rStyle w:val="FootnoteReference"/>
        </w:rPr>
        <w:footnoteReference w:id="1"/>
      </w:r>
      <w:r>
        <w:t xml:space="preserve"> filed yet another motion to strike</w:t>
      </w:r>
      <w:r w:rsidR="00744C46">
        <w:t xml:space="preserve"> (Motion to Strike)</w:t>
      </w:r>
      <w:r>
        <w:t xml:space="preserve">, thereby adding further needless complexity to the already tortuous procedural history of these cases.  The </w:t>
      </w:r>
      <w:r w:rsidR="008141CB">
        <w:t xml:space="preserve">Public Utilities </w:t>
      </w:r>
      <w:r>
        <w:t xml:space="preserve">Commission </w:t>
      </w:r>
      <w:r w:rsidR="008141CB">
        <w:t xml:space="preserve">of Ohio (Commission) </w:t>
      </w:r>
      <w:r>
        <w:t>should deny the motion.</w:t>
      </w:r>
    </w:p>
    <w:p w:rsidR="002A797F" w:rsidRPr="00FF01B0" w:rsidRDefault="002A797F" w:rsidP="00F97219">
      <w:pPr>
        <w:spacing w:line="480" w:lineRule="auto"/>
        <w:jc w:val="both"/>
      </w:pPr>
      <w:r>
        <w:tab/>
        <w:t xml:space="preserve">The </w:t>
      </w:r>
      <w:r w:rsidR="008141CB">
        <w:t xml:space="preserve">Commission’s </w:t>
      </w:r>
      <w:r>
        <w:t>Opinion and Order</w:t>
      </w:r>
      <w:r w:rsidR="008141CB">
        <w:t xml:space="preserve"> </w:t>
      </w:r>
      <w:r w:rsidR="008A73D6">
        <w:t xml:space="preserve">(Order) </w:t>
      </w:r>
      <w:r w:rsidR="008141CB">
        <w:t>was issued</w:t>
      </w:r>
      <w:r w:rsidR="009C084B">
        <w:t xml:space="preserve"> last November.</w:t>
      </w:r>
      <w:r w:rsidR="004E14AC">
        <w:rPr>
          <w:rStyle w:val="FootnoteReference"/>
        </w:rPr>
        <w:footnoteReference w:id="2"/>
      </w:r>
      <w:r w:rsidR="009C084B">
        <w:t xml:space="preserve">  </w:t>
      </w:r>
      <w:r w:rsidR="00C670C9">
        <w:t>T</w:t>
      </w:r>
      <w:r w:rsidR="009C084B">
        <w:t>hree weeks later, the Joint Movants filed a motion for a stay,</w:t>
      </w:r>
      <w:r w:rsidR="004E14AC">
        <w:rPr>
          <w:rStyle w:val="FootnoteReference"/>
        </w:rPr>
        <w:footnoteReference w:id="3"/>
      </w:r>
      <w:r w:rsidR="009C084B">
        <w:t xml:space="preserve"> to which </w:t>
      </w:r>
      <w:r w:rsidR="008A73D6">
        <w:t>Duke Energy Ohio, Inc. (Duke Energy Ohio), responded</w:t>
      </w:r>
      <w:r w:rsidR="004E14AC">
        <w:rPr>
          <w:rStyle w:val="FootnoteReference"/>
        </w:rPr>
        <w:footnoteReference w:id="4"/>
      </w:r>
      <w:r w:rsidR="008A73D6">
        <w:t xml:space="preserve"> and on which the Commission had to rule</w:t>
      </w:r>
      <w:r w:rsidR="009C084B">
        <w:t>.</w:t>
      </w:r>
      <w:r w:rsidR="004E14AC">
        <w:rPr>
          <w:rStyle w:val="FootnoteReference"/>
        </w:rPr>
        <w:footnoteReference w:id="5"/>
      </w:r>
      <w:r w:rsidR="008A73D6">
        <w:t xml:space="preserve">  The Joint Movants then </w:t>
      </w:r>
      <w:r w:rsidR="008A73D6">
        <w:lastRenderedPageBreak/>
        <w:t>fil</w:t>
      </w:r>
      <w:r w:rsidR="008D27D3">
        <w:t xml:space="preserve">ed for rehearing of the </w:t>
      </w:r>
      <w:r w:rsidR="008A73D6">
        <w:t>Order.</w:t>
      </w:r>
      <w:r w:rsidR="004E14AC">
        <w:rPr>
          <w:rStyle w:val="FootnoteReference"/>
        </w:rPr>
        <w:footnoteReference w:id="6"/>
      </w:r>
      <w:r w:rsidR="008A73D6">
        <w:t xml:space="preserve">  The Commission denied that rehearing application.</w:t>
      </w:r>
      <w:r w:rsidR="004E14AC">
        <w:rPr>
          <w:rStyle w:val="FootnoteReference"/>
        </w:rPr>
        <w:footnoteReference w:id="7"/>
      </w:r>
      <w:r w:rsidR="008A73D6">
        <w:t xml:space="preserve">  The Joint Movants appealed to the Ohio Supreme Court,</w:t>
      </w:r>
      <w:r w:rsidR="004E14AC">
        <w:rPr>
          <w:rStyle w:val="FootnoteReference"/>
        </w:rPr>
        <w:footnoteReference w:id="8"/>
      </w:r>
      <w:r w:rsidR="008A73D6">
        <w:t xml:space="preserve"> also asking the Court to stay the Commission’s order – although refusing to follow all of the requirements for obtaining such a stay.  </w:t>
      </w:r>
      <w:r w:rsidR="004F4943">
        <w:t>After the Commission denied their motion to stay, t</w:t>
      </w:r>
      <w:r w:rsidR="008A73D6">
        <w:t>he Joint Movants’ next step was to file another application for rehearing, this time seeking rehearing of the Commission’s denial of their request for a stay and its approval of Duke Energy Ohio’s proposed tariffs to effectuate the Order.</w:t>
      </w:r>
      <w:r w:rsidR="004E14AC">
        <w:rPr>
          <w:rStyle w:val="FootnoteReference"/>
        </w:rPr>
        <w:footnoteReference w:id="9"/>
      </w:r>
      <w:r w:rsidR="008A73D6">
        <w:t xml:space="preserve">  After miscalculating the deadline for opposing that application for rehearing, Duke Energy Ohio </w:t>
      </w:r>
      <w:r w:rsidR="00F40225">
        <w:t>filed a motion asking for permission to file its memorandum contra</w:t>
      </w:r>
      <w:r w:rsidR="00744C46">
        <w:t xml:space="preserve">, </w:t>
      </w:r>
      <w:r w:rsidR="00744C46" w:rsidRPr="00744C46">
        <w:rPr>
          <w:i/>
        </w:rPr>
        <w:t>instanter</w:t>
      </w:r>
      <w:r w:rsidR="00744C46">
        <w:t>,</w:t>
      </w:r>
      <w:r w:rsidR="00F40225">
        <w:t xml:space="preserve"> two days late</w:t>
      </w:r>
      <w:r w:rsidR="00744C46">
        <w:t xml:space="preserve"> (Motion Instanter)</w:t>
      </w:r>
      <w:r w:rsidR="00F40225">
        <w:t xml:space="preserve">, together with the memorandum </w:t>
      </w:r>
      <w:r w:rsidR="00744C46">
        <w:t>contra</w:t>
      </w:r>
      <w:r w:rsidR="00261E40">
        <w:t xml:space="preserve"> rehearing</w:t>
      </w:r>
      <w:r w:rsidR="00744C46">
        <w:t xml:space="preserve"> (Memorandum</w:t>
      </w:r>
      <w:r w:rsidR="00261E40">
        <w:t xml:space="preserve"> Contra</w:t>
      </w:r>
      <w:r w:rsidR="00744C46">
        <w:t xml:space="preserve">), </w:t>
      </w:r>
      <w:r w:rsidR="00F40225">
        <w:t>itself.</w:t>
      </w:r>
      <w:r w:rsidR="004E14AC">
        <w:rPr>
          <w:rStyle w:val="FootnoteReference"/>
        </w:rPr>
        <w:footnoteReference w:id="10"/>
      </w:r>
      <w:r w:rsidR="00D10230">
        <w:t xml:space="preserve">  </w:t>
      </w:r>
      <w:r w:rsidR="004E14AC">
        <w:t xml:space="preserve">Rather than simply opposing Duke Energy Ohio’s </w:t>
      </w:r>
      <w:r w:rsidR="00744C46">
        <w:t>M</w:t>
      </w:r>
      <w:r w:rsidR="004E14AC">
        <w:t>otion</w:t>
      </w:r>
      <w:r w:rsidR="00744C46">
        <w:t xml:space="preserve"> Instanter</w:t>
      </w:r>
      <w:r w:rsidR="004E14AC">
        <w:t xml:space="preserve">, </w:t>
      </w:r>
      <w:r w:rsidR="00744C46">
        <w:t>t</w:t>
      </w:r>
      <w:r w:rsidR="00D10230">
        <w:t>he newest tactic being employed by the Joint Movants is to seek to strike it</w:t>
      </w:r>
      <w:r w:rsidR="00744C46">
        <w:t xml:space="preserve"> the Motion Instanter entirely, along with the underlying Memorandum</w:t>
      </w:r>
      <w:r w:rsidR="00261E40">
        <w:t xml:space="preserve"> Contra</w:t>
      </w:r>
      <w:r w:rsidR="00D10230">
        <w:t>.  The Joint Movants complain that Duke Energy Ohio’s mistake amounted to a failure to follow the Commission’s procedures;</w:t>
      </w:r>
      <w:r w:rsidR="003F6E4C">
        <w:t xml:space="preserve"> but</w:t>
      </w:r>
      <w:r w:rsidR="00D10230">
        <w:t xml:space="preserve"> in moving to strike the </w:t>
      </w:r>
      <w:r w:rsidR="00744C46">
        <w:t>M</w:t>
      </w:r>
      <w:r w:rsidR="00D10230">
        <w:t xml:space="preserve">otion </w:t>
      </w:r>
      <w:r w:rsidR="00261E40">
        <w:t xml:space="preserve">Instanter </w:t>
      </w:r>
      <w:r w:rsidR="00D10230">
        <w:t xml:space="preserve">that they disagree with, </w:t>
      </w:r>
      <w:r w:rsidR="003F6E4C">
        <w:t>it is the Joint Movants who</w:t>
      </w:r>
      <w:r w:rsidR="00D10230">
        <w:t xml:space="preserve"> are ignoring procedural </w:t>
      </w:r>
      <w:r w:rsidR="00744C46">
        <w:t>norms</w:t>
      </w:r>
      <w:r w:rsidR="00D10230">
        <w:t>.</w:t>
      </w:r>
    </w:p>
    <w:p w:rsidR="00110C50" w:rsidRPr="004E14AC" w:rsidRDefault="004E14AC" w:rsidP="004E14AC">
      <w:pPr>
        <w:pStyle w:val="BodyText"/>
        <w:rPr>
          <w:rFonts w:ascii="Times New Roman" w:hAnsi="Times New Roman"/>
        </w:rPr>
      </w:pPr>
      <w:r>
        <w:rPr>
          <w:rFonts w:ascii="Times New Roman" w:hAnsi="Times New Roman"/>
          <w:b/>
        </w:rPr>
        <w:t>I</w:t>
      </w:r>
      <w:r w:rsidRPr="004E14AC">
        <w:rPr>
          <w:rFonts w:ascii="Times New Roman" w:hAnsi="Times New Roman"/>
          <w:b/>
        </w:rPr>
        <w:t>I.</w:t>
      </w:r>
      <w:r w:rsidRPr="004E14AC">
        <w:rPr>
          <w:rFonts w:ascii="Times New Roman" w:hAnsi="Times New Roman"/>
        </w:rPr>
        <w:tab/>
      </w:r>
      <w:r>
        <w:rPr>
          <w:rFonts w:ascii="Times New Roman" w:hAnsi="Times New Roman"/>
          <w:b/>
          <w:u w:val="single"/>
        </w:rPr>
        <w:t>DISCUSSIO</w:t>
      </w:r>
      <w:r w:rsidRPr="004E14AC">
        <w:rPr>
          <w:rFonts w:ascii="Times New Roman" w:hAnsi="Times New Roman"/>
          <w:b/>
          <w:u w:val="single"/>
        </w:rPr>
        <w:t>N</w:t>
      </w:r>
    </w:p>
    <w:p w:rsidR="00110C50" w:rsidRDefault="00744C46" w:rsidP="00F44079">
      <w:pPr>
        <w:pStyle w:val="BodyText"/>
        <w:tabs>
          <w:tab w:val="left" w:pos="0"/>
        </w:tabs>
        <w:ind w:firstLine="720"/>
        <w:rPr>
          <w:rFonts w:ascii="Times New Roman" w:hAnsi="Times New Roman"/>
        </w:rPr>
      </w:pPr>
      <w:r>
        <w:rPr>
          <w:rFonts w:ascii="Times New Roman" w:hAnsi="Times New Roman"/>
        </w:rPr>
        <w:t xml:space="preserve">The Joint Movants’ request is for the Commission to strike Duke Energy Ohio’s Motion </w:t>
      </w:r>
      <w:r w:rsidR="00261E40">
        <w:rPr>
          <w:rFonts w:ascii="Times New Roman" w:hAnsi="Times New Roman"/>
        </w:rPr>
        <w:t xml:space="preserve">Instanter </w:t>
      </w:r>
      <w:r>
        <w:rPr>
          <w:rFonts w:ascii="Times New Roman" w:hAnsi="Times New Roman"/>
        </w:rPr>
        <w:t xml:space="preserve">because it is “misplaced” and to strike the Memorandum </w:t>
      </w:r>
      <w:r w:rsidR="00261E40">
        <w:rPr>
          <w:rFonts w:ascii="Times New Roman" w:hAnsi="Times New Roman"/>
        </w:rPr>
        <w:t xml:space="preserve">Contra </w:t>
      </w:r>
      <w:r>
        <w:rPr>
          <w:rFonts w:ascii="Times New Roman" w:hAnsi="Times New Roman"/>
        </w:rPr>
        <w:t>because it was filed two days late.</w:t>
      </w:r>
      <w:r>
        <w:rPr>
          <w:rStyle w:val="FootnoteReference"/>
          <w:rFonts w:ascii="Times New Roman" w:hAnsi="Times New Roman"/>
        </w:rPr>
        <w:footnoteReference w:id="11"/>
      </w:r>
      <w:r w:rsidR="00261E40">
        <w:rPr>
          <w:rFonts w:ascii="Times New Roman" w:hAnsi="Times New Roman"/>
        </w:rPr>
        <w:t xml:space="preserve">  Each of these requests must be considered separately.</w:t>
      </w:r>
    </w:p>
    <w:p w:rsidR="00085055" w:rsidRDefault="00085055" w:rsidP="00F44079">
      <w:pPr>
        <w:pStyle w:val="BodyText"/>
        <w:tabs>
          <w:tab w:val="left" w:pos="0"/>
        </w:tabs>
        <w:ind w:firstLine="720"/>
        <w:rPr>
          <w:rFonts w:ascii="Times New Roman" w:hAnsi="Times New Roman"/>
        </w:rPr>
      </w:pPr>
    </w:p>
    <w:p w:rsidR="00261E40" w:rsidRDefault="00261E40" w:rsidP="00261E40">
      <w:pPr>
        <w:pStyle w:val="BodyText"/>
        <w:numPr>
          <w:ilvl w:val="0"/>
          <w:numId w:val="3"/>
        </w:numPr>
        <w:tabs>
          <w:tab w:val="left" w:pos="0"/>
        </w:tabs>
        <w:ind w:left="1440" w:hanging="720"/>
        <w:rPr>
          <w:rFonts w:ascii="Times New Roman" w:hAnsi="Times New Roman"/>
          <w:b/>
          <w:u w:val="single"/>
        </w:rPr>
      </w:pPr>
      <w:r w:rsidRPr="00261E40">
        <w:rPr>
          <w:rFonts w:ascii="Times New Roman" w:hAnsi="Times New Roman"/>
          <w:b/>
          <w:u w:val="single"/>
        </w:rPr>
        <w:lastRenderedPageBreak/>
        <w:t>Motion Instanter</w:t>
      </w:r>
    </w:p>
    <w:p w:rsidR="00261E40" w:rsidRDefault="001E1B8C" w:rsidP="00261E40">
      <w:pPr>
        <w:pStyle w:val="BodyText"/>
        <w:ind w:firstLine="720"/>
        <w:rPr>
          <w:rFonts w:ascii="Times New Roman" w:hAnsi="Times New Roman"/>
        </w:rPr>
      </w:pPr>
      <w:r>
        <w:rPr>
          <w:rFonts w:ascii="Times New Roman" w:hAnsi="Times New Roman"/>
        </w:rPr>
        <w:t>The Joint Movants’ rationale for striking the Motion Instanter – and apparently also for continually referring to it as a “Motion” (in quotation marks) – is simply that it included an obvious typographical error.  The error appeared in the first sentence of the document, but nowhere els</w:t>
      </w:r>
      <w:r w:rsidR="00DF6155">
        <w:rPr>
          <w:rFonts w:ascii="Times New Roman" w:hAnsi="Times New Roman"/>
        </w:rPr>
        <w:t xml:space="preserve">e.  Nevertheless, the Joint Movants pretend to be confused and, indeed, even so far as to ignore the title of the document as it is clearly written and, instead, look only to the inadvertent typo.  The title actually appears as “Duke Energy Ohio, Inc.’s Motion to File Memorandum Contra Instanter.”  Other than the one sentence that was recognizably left over from another document, everything else in the Motion Instanter </w:t>
      </w:r>
      <w:r w:rsidR="00193FE8">
        <w:rPr>
          <w:rFonts w:ascii="Times New Roman" w:hAnsi="Times New Roman"/>
        </w:rPr>
        <w:t>and</w:t>
      </w:r>
      <w:r w:rsidR="00945B18">
        <w:rPr>
          <w:rFonts w:ascii="Times New Roman" w:hAnsi="Times New Roman"/>
        </w:rPr>
        <w:t xml:space="preserve"> its supporting memorandum is clear.  The Joint Movants are not actually confused and there is most certainly no basis to strike the document from the record of these proceedings because of a simple typographical error.  There is no legal principle on which to take such an action.  Even the Joint Movants cite no law or rule that would allow a document to be stricken on account of a typo.</w:t>
      </w:r>
    </w:p>
    <w:p w:rsidR="00945B18" w:rsidRPr="001E1B8C" w:rsidRDefault="00945B18" w:rsidP="00261E40">
      <w:pPr>
        <w:pStyle w:val="BodyText"/>
        <w:ind w:firstLine="720"/>
        <w:rPr>
          <w:rFonts w:ascii="Times New Roman" w:hAnsi="Times New Roman"/>
        </w:rPr>
      </w:pPr>
      <w:r>
        <w:rPr>
          <w:rFonts w:ascii="Times New Roman" w:hAnsi="Times New Roman"/>
        </w:rPr>
        <w:t>The motion to strike the Motion Instanter must be denied.</w:t>
      </w:r>
    </w:p>
    <w:p w:rsidR="00261E40" w:rsidRPr="00261E40" w:rsidRDefault="00261E40" w:rsidP="00261E40">
      <w:pPr>
        <w:pStyle w:val="BodyText"/>
        <w:numPr>
          <w:ilvl w:val="0"/>
          <w:numId w:val="3"/>
        </w:numPr>
        <w:tabs>
          <w:tab w:val="left" w:pos="0"/>
        </w:tabs>
        <w:ind w:left="1440" w:hanging="720"/>
        <w:rPr>
          <w:rFonts w:ascii="Times New Roman" w:hAnsi="Times New Roman"/>
          <w:b/>
          <w:u w:val="single"/>
        </w:rPr>
      </w:pPr>
      <w:r>
        <w:rPr>
          <w:rFonts w:ascii="Times New Roman" w:hAnsi="Times New Roman"/>
          <w:b/>
          <w:u w:val="single"/>
        </w:rPr>
        <w:t>Memorandum Contra</w:t>
      </w:r>
    </w:p>
    <w:p w:rsidR="00945B18" w:rsidRDefault="00193FE8" w:rsidP="004E14AC">
      <w:pPr>
        <w:pStyle w:val="BodyText"/>
        <w:tabs>
          <w:tab w:val="left" w:pos="0"/>
        </w:tabs>
        <w:rPr>
          <w:rFonts w:ascii="Times New Roman" w:hAnsi="Times New Roman"/>
        </w:rPr>
      </w:pPr>
      <w:r>
        <w:rPr>
          <w:rFonts w:ascii="Times New Roman" w:hAnsi="Times New Roman"/>
          <w:b/>
        </w:rPr>
        <w:tab/>
      </w:r>
      <w:r>
        <w:rPr>
          <w:rFonts w:ascii="Times New Roman" w:hAnsi="Times New Roman"/>
        </w:rPr>
        <w:t>The Joint Movants also seek to strike the Memorandum Contra, arguing that they and the Commission are prejudiced by the two-day delay</w:t>
      </w:r>
      <w:r w:rsidR="0082350C">
        <w:rPr>
          <w:rFonts w:ascii="Times New Roman" w:hAnsi="Times New Roman"/>
        </w:rPr>
        <w:t xml:space="preserve"> and that good cause has not been shown</w:t>
      </w:r>
      <w:r>
        <w:rPr>
          <w:rFonts w:ascii="Times New Roman" w:hAnsi="Times New Roman"/>
        </w:rPr>
        <w:t>.</w:t>
      </w:r>
      <w:r w:rsidR="0082350C">
        <w:rPr>
          <w:rFonts w:ascii="Times New Roman" w:hAnsi="Times New Roman"/>
        </w:rPr>
        <w:t xml:space="preserve">  Neither of these arguments are correct.</w:t>
      </w:r>
    </w:p>
    <w:p w:rsidR="0082350C" w:rsidRDefault="0082350C" w:rsidP="004E14AC">
      <w:pPr>
        <w:pStyle w:val="BodyText"/>
        <w:tabs>
          <w:tab w:val="left" w:pos="0"/>
        </w:tabs>
        <w:rPr>
          <w:rFonts w:ascii="Times New Roman" w:hAnsi="Times New Roman"/>
        </w:rPr>
      </w:pPr>
      <w:r>
        <w:rPr>
          <w:rFonts w:ascii="Times New Roman" w:hAnsi="Times New Roman"/>
        </w:rPr>
        <w:tab/>
        <w:t>As even the Joint Movants point out, Duke Energy Ohio state</w:t>
      </w:r>
      <w:r w:rsidR="003F6E4C">
        <w:rPr>
          <w:rFonts w:ascii="Times New Roman" w:hAnsi="Times New Roman"/>
        </w:rPr>
        <w:t>d</w:t>
      </w:r>
      <w:r>
        <w:rPr>
          <w:rFonts w:ascii="Times New Roman" w:hAnsi="Times New Roman"/>
        </w:rPr>
        <w:t xml:space="preserve"> in the Motion Instanter that there would be no prejudice to “</w:t>
      </w:r>
      <w:r>
        <w:rPr>
          <w:rFonts w:ascii="Times New Roman" w:hAnsi="Times New Roman"/>
          <w:b/>
        </w:rPr>
        <w:t>parties in this proceeding</w:t>
      </w:r>
      <w:r>
        <w:rPr>
          <w:rFonts w:ascii="Times New Roman" w:hAnsi="Times New Roman"/>
        </w:rPr>
        <w:t>.”  The Joint Movants first attack this statement by complaining that the Commission itself is prejudiced by the two-day delay.  But the Commission is not a party in the proceeding</w:t>
      </w:r>
      <w:r w:rsidR="00D265B6">
        <w:rPr>
          <w:rFonts w:ascii="Times New Roman" w:hAnsi="Times New Roman"/>
        </w:rPr>
        <w:t>s</w:t>
      </w:r>
      <w:r>
        <w:rPr>
          <w:rFonts w:ascii="Times New Roman" w:hAnsi="Times New Roman"/>
        </w:rPr>
        <w:t xml:space="preserve">.  While Duke Energy Ohio certainly regrets </w:t>
      </w:r>
      <w:r w:rsidR="00F13B9B">
        <w:rPr>
          <w:rFonts w:ascii="Times New Roman" w:hAnsi="Times New Roman"/>
        </w:rPr>
        <w:t>hardship to the Commission that may have been caused by the error, this is not an example of prejudice to parties.</w:t>
      </w:r>
    </w:p>
    <w:p w:rsidR="00D265B6" w:rsidRDefault="00F13B9B" w:rsidP="004E14AC">
      <w:pPr>
        <w:pStyle w:val="BodyText"/>
        <w:tabs>
          <w:tab w:val="left" w:pos="0"/>
        </w:tabs>
        <w:rPr>
          <w:rFonts w:ascii="Times New Roman" w:hAnsi="Times New Roman"/>
        </w:rPr>
      </w:pPr>
      <w:r>
        <w:rPr>
          <w:rFonts w:ascii="Times New Roman" w:hAnsi="Times New Roman"/>
        </w:rPr>
        <w:lastRenderedPageBreak/>
        <w:tab/>
        <w:t xml:space="preserve">The Joint Movants attempt to argue, next, that there would be prejudice to parties if Duke Energy Ohio suffered no adverse consequences from the error.  </w:t>
      </w:r>
      <w:r w:rsidR="00D265B6">
        <w:rPr>
          <w:rFonts w:ascii="Times New Roman" w:hAnsi="Times New Roman"/>
        </w:rPr>
        <w:t xml:space="preserve">In other words, the Joint Movants contend that they are unfairly prejudiced where another party is permitted to file a responsive pleading outside the established time period for doing so.  </w:t>
      </w:r>
      <w:r w:rsidR="000F38AE">
        <w:rPr>
          <w:rFonts w:ascii="Times New Roman" w:hAnsi="Times New Roman"/>
        </w:rPr>
        <w:t xml:space="preserve">This is an astonishing statement.  As the Joint Movants are fully aware, there are </w:t>
      </w:r>
      <w:r w:rsidR="00804C21">
        <w:rPr>
          <w:rFonts w:ascii="Times New Roman" w:hAnsi="Times New Roman"/>
        </w:rPr>
        <w:t>many</w:t>
      </w:r>
      <w:r w:rsidR="000F38AE">
        <w:rPr>
          <w:rFonts w:ascii="Times New Roman" w:hAnsi="Times New Roman"/>
        </w:rPr>
        <w:t xml:space="preserve"> instances of the Commission waiving a deadline that was missed due to oversight.</w:t>
      </w:r>
      <w:r w:rsidR="00AF1694">
        <w:rPr>
          <w:rFonts w:ascii="Times New Roman" w:hAnsi="Times New Roman"/>
        </w:rPr>
        <w:t xml:space="preserve">  For example, </w:t>
      </w:r>
      <w:r w:rsidR="00554C51">
        <w:rPr>
          <w:rFonts w:ascii="Times New Roman" w:hAnsi="Times New Roman"/>
        </w:rPr>
        <w:t>OCC, one of the Joint Movants, has filed a reply to a memorandum contra several days late, without a motion for permission, and yet the Commission considered the reply with only a comment that it was late.</w:t>
      </w:r>
      <w:r w:rsidR="00554C51">
        <w:rPr>
          <w:rStyle w:val="FootnoteReference"/>
          <w:rFonts w:ascii="Times New Roman" w:hAnsi="Times New Roman"/>
        </w:rPr>
        <w:footnoteReference w:id="12"/>
      </w:r>
      <w:r w:rsidR="00554C51">
        <w:rPr>
          <w:rFonts w:ascii="Times New Roman" w:hAnsi="Times New Roman"/>
        </w:rPr>
        <w:t xml:space="preserve">  T</w:t>
      </w:r>
      <w:r w:rsidR="00AF1694">
        <w:rPr>
          <w:rFonts w:ascii="Times New Roman" w:hAnsi="Times New Roman"/>
        </w:rPr>
        <w:t xml:space="preserve">he Commission </w:t>
      </w:r>
      <w:r w:rsidR="00554C51">
        <w:rPr>
          <w:rFonts w:ascii="Times New Roman" w:hAnsi="Times New Roman"/>
        </w:rPr>
        <w:t xml:space="preserve">has also </w:t>
      </w:r>
      <w:r w:rsidR="00AF1694">
        <w:rPr>
          <w:rFonts w:ascii="Times New Roman" w:hAnsi="Times New Roman"/>
        </w:rPr>
        <w:t xml:space="preserve">granted permission for OMA, </w:t>
      </w:r>
      <w:r w:rsidR="00554C51">
        <w:rPr>
          <w:rFonts w:ascii="Times New Roman" w:hAnsi="Times New Roman"/>
        </w:rPr>
        <w:t>another</w:t>
      </w:r>
      <w:r w:rsidR="00AF1694">
        <w:rPr>
          <w:rFonts w:ascii="Times New Roman" w:hAnsi="Times New Roman"/>
        </w:rPr>
        <w:t xml:space="preserve"> of the Joint Movants, to file intervenor testimony one day late.</w:t>
      </w:r>
      <w:r w:rsidR="00AF1694">
        <w:rPr>
          <w:rStyle w:val="FootnoteReference"/>
          <w:rFonts w:ascii="Times New Roman" w:hAnsi="Times New Roman"/>
        </w:rPr>
        <w:footnoteReference w:id="13"/>
      </w:r>
      <w:r w:rsidR="00804C21">
        <w:rPr>
          <w:rFonts w:ascii="Times New Roman" w:hAnsi="Times New Roman"/>
        </w:rPr>
        <w:t xml:space="preserve">  In another situation, OPAE, also a Joint Movant, filed its reply brief one day late.  Although OPAE failed even to move for permission to file late, the Commission merely noted the lateness but did not refuse to consider the document, thus effectively waiving the deadline</w:t>
      </w:r>
      <w:r w:rsidR="00B76EBD">
        <w:rPr>
          <w:rFonts w:ascii="Times New Roman" w:hAnsi="Times New Roman"/>
        </w:rPr>
        <w:t>.</w:t>
      </w:r>
      <w:r w:rsidR="00B76EBD">
        <w:rPr>
          <w:rStyle w:val="FootnoteReference"/>
          <w:rFonts w:ascii="Times New Roman" w:hAnsi="Times New Roman"/>
        </w:rPr>
        <w:footnoteReference w:id="14"/>
      </w:r>
      <w:r w:rsidR="00B76EBD">
        <w:rPr>
          <w:rFonts w:ascii="Times New Roman" w:hAnsi="Times New Roman"/>
        </w:rPr>
        <w:t xml:space="preserve">  </w:t>
      </w:r>
      <w:r w:rsidR="00665EFC">
        <w:rPr>
          <w:rFonts w:ascii="Times New Roman" w:hAnsi="Times New Roman"/>
        </w:rPr>
        <w:t xml:space="preserve">The Joint Movants, various of which have also missed filing deadlines and have not even sought permission for the late filings or attempted to explain the causes of those delays, are in no position to </w:t>
      </w:r>
      <w:r w:rsidR="00D265B6">
        <w:rPr>
          <w:rFonts w:ascii="Times New Roman" w:hAnsi="Times New Roman"/>
        </w:rPr>
        <w:t>complain about Duke Energy Ohio’s actions.  While the Joint Movants have high expectations, it is the Commission’s view of the two-day delay that matters.  In light of that fact, Duke Energy Ohio sought approval to file out of time.</w:t>
      </w:r>
    </w:p>
    <w:p w:rsidR="00945B18" w:rsidRDefault="00D265B6" w:rsidP="004E14AC">
      <w:pPr>
        <w:pStyle w:val="BodyText"/>
        <w:tabs>
          <w:tab w:val="left" w:pos="0"/>
        </w:tabs>
        <w:rPr>
          <w:rFonts w:ascii="Times New Roman" w:hAnsi="Times New Roman"/>
        </w:rPr>
      </w:pPr>
      <w:r>
        <w:rPr>
          <w:rFonts w:ascii="Times New Roman" w:hAnsi="Times New Roman"/>
        </w:rPr>
        <w:tab/>
        <w:t>Furthermore, the Joint Movants cannot assert</w:t>
      </w:r>
      <w:r w:rsidR="000A1BC9">
        <w:rPr>
          <w:rFonts w:ascii="Times New Roman" w:hAnsi="Times New Roman"/>
        </w:rPr>
        <w:t xml:space="preserve"> that they have been substantively prejudiced in any way; that they have suffered any identifiable harm.  The Joint Movants have already appealed to the Ohio Supreme Court.  The Commission’s granting Duke Energy Ohio’s </w:t>
      </w:r>
      <w:r w:rsidR="000A1BC9">
        <w:rPr>
          <w:rFonts w:ascii="Times New Roman" w:hAnsi="Times New Roman"/>
        </w:rPr>
        <w:lastRenderedPageBreak/>
        <w:t xml:space="preserve">motion to allow the filing two days late will not change any rights of the Joint Movants.  The Motion to Strike fails – for good reason – to identify any actual </w:t>
      </w:r>
      <w:r w:rsidR="00665EFC">
        <w:rPr>
          <w:rFonts w:ascii="Times New Roman" w:hAnsi="Times New Roman"/>
        </w:rPr>
        <w:t>prejudice whatsoever.</w:t>
      </w:r>
    </w:p>
    <w:p w:rsidR="00C95E66" w:rsidRPr="00C95E66" w:rsidRDefault="00C95E66" w:rsidP="004E14AC">
      <w:pPr>
        <w:pStyle w:val="BodyText"/>
        <w:tabs>
          <w:tab w:val="left" w:pos="0"/>
        </w:tabs>
        <w:rPr>
          <w:rFonts w:ascii="Times New Roman" w:hAnsi="Times New Roman"/>
        </w:rPr>
      </w:pPr>
      <w:r>
        <w:rPr>
          <w:rFonts w:ascii="Times New Roman" w:hAnsi="Times New Roman"/>
        </w:rPr>
        <w:tab/>
        <w:t xml:space="preserve">It is also important to recognize that the Joint Movants’ argument </w:t>
      </w:r>
      <w:r w:rsidR="000A1BC9">
        <w:rPr>
          <w:rFonts w:ascii="Times New Roman" w:hAnsi="Times New Roman"/>
        </w:rPr>
        <w:t>on this point</w:t>
      </w:r>
      <w:r>
        <w:rPr>
          <w:rFonts w:ascii="Times New Roman" w:hAnsi="Times New Roman"/>
        </w:rPr>
        <w:t xml:space="preserve"> would be a reason to deny the Motion Instanter, not a reason to strike either document.  This is a substantive opposition to the Motion Instanter.  Thus, the Motion to Strike should be deemed to be a memorandum contra the Motion Instanter, obviating the need for any further response.</w:t>
      </w:r>
      <w:r w:rsidR="000A1BC9">
        <w:rPr>
          <w:rFonts w:ascii="Times New Roman" w:hAnsi="Times New Roman"/>
        </w:rPr>
        <w:t xml:space="preserve">  The Commission should instruct the Joint Movants not to file additional memorandum contra the Motion Instanter.</w:t>
      </w:r>
    </w:p>
    <w:p w:rsidR="004E14AC" w:rsidRPr="004E14AC" w:rsidRDefault="004E14AC" w:rsidP="004E14AC">
      <w:pPr>
        <w:pStyle w:val="BodyText"/>
        <w:tabs>
          <w:tab w:val="left" w:pos="0"/>
        </w:tabs>
        <w:rPr>
          <w:rFonts w:ascii="Times New Roman" w:hAnsi="Times New Roman"/>
        </w:rPr>
      </w:pPr>
      <w:r>
        <w:rPr>
          <w:rFonts w:ascii="Times New Roman" w:hAnsi="Times New Roman"/>
          <w:b/>
        </w:rPr>
        <w:t>II</w:t>
      </w:r>
      <w:r w:rsidRPr="004E14AC">
        <w:rPr>
          <w:rFonts w:ascii="Times New Roman" w:hAnsi="Times New Roman"/>
          <w:b/>
        </w:rPr>
        <w:t>I.</w:t>
      </w:r>
      <w:r w:rsidRPr="004E14AC">
        <w:rPr>
          <w:rFonts w:ascii="Times New Roman" w:hAnsi="Times New Roman"/>
        </w:rPr>
        <w:tab/>
      </w:r>
      <w:r w:rsidRPr="004E14AC">
        <w:rPr>
          <w:rFonts w:ascii="Times New Roman" w:hAnsi="Times New Roman"/>
          <w:b/>
          <w:u w:val="single"/>
        </w:rPr>
        <w:t>CONCLUS</w:t>
      </w:r>
      <w:r>
        <w:rPr>
          <w:rFonts w:ascii="Times New Roman" w:hAnsi="Times New Roman"/>
          <w:b/>
          <w:u w:val="single"/>
        </w:rPr>
        <w:t>I</w:t>
      </w:r>
      <w:r w:rsidRPr="004E14AC">
        <w:rPr>
          <w:rFonts w:ascii="Times New Roman" w:hAnsi="Times New Roman"/>
          <w:b/>
          <w:u w:val="single"/>
        </w:rPr>
        <w:t>ON</w:t>
      </w:r>
    </w:p>
    <w:p w:rsidR="00F44079" w:rsidRDefault="0024365D" w:rsidP="00F44079">
      <w:pPr>
        <w:pStyle w:val="BodyText"/>
        <w:tabs>
          <w:tab w:val="left" w:pos="0"/>
        </w:tabs>
        <w:ind w:firstLine="720"/>
        <w:rPr>
          <w:rFonts w:ascii="Times New Roman" w:hAnsi="Times New Roman"/>
        </w:rPr>
      </w:pPr>
      <w:r w:rsidRPr="00EC600F">
        <w:rPr>
          <w:rFonts w:ascii="Times New Roman" w:hAnsi="Times New Roman"/>
        </w:rPr>
        <w:t>WHEREFORE, Duke Energy Ohio respectfully requests that the Commission</w:t>
      </w:r>
      <w:r w:rsidR="000E189E">
        <w:rPr>
          <w:rFonts w:ascii="Times New Roman" w:hAnsi="Times New Roman"/>
        </w:rPr>
        <w:t xml:space="preserve"> deny the </w:t>
      </w:r>
      <w:r w:rsidR="00F97219">
        <w:rPr>
          <w:rFonts w:ascii="Times New Roman" w:hAnsi="Times New Roman"/>
        </w:rPr>
        <w:t xml:space="preserve">joint </w:t>
      </w:r>
      <w:r w:rsidR="000E189E">
        <w:rPr>
          <w:rFonts w:ascii="Times New Roman" w:hAnsi="Times New Roman"/>
        </w:rPr>
        <w:t xml:space="preserve">motion </w:t>
      </w:r>
      <w:r w:rsidR="00F97219">
        <w:rPr>
          <w:rFonts w:ascii="Times New Roman" w:hAnsi="Times New Roman"/>
        </w:rPr>
        <w:t xml:space="preserve">to strike, filed by the </w:t>
      </w:r>
      <w:r w:rsidR="002A797F">
        <w:rPr>
          <w:rFonts w:ascii="Times New Roman" w:hAnsi="Times New Roman"/>
        </w:rPr>
        <w:t>Joint Movants</w:t>
      </w:r>
      <w:r w:rsidR="00F97219">
        <w:rPr>
          <w:rFonts w:ascii="Times New Roman" w:hAnsi="Times New Roman"/>
        </w:rPr>
        <w:t xml:space="preserve"> on April 8, 2014</w:t>
      </w:r>
      <w:r w:rsidRPr="00EC600F">
        <w:rPr>
          <w:rFonts w:ascii="Times New Roman" w:hAnsi="Times New Roman"/>
        </w:rPr>
        <w:t>.</w:t>
      </w:r>
      <w:r w:rsidR="00C95E66">
        <w:rPr>
          <w:rFonts w:ascii="Times New Roman" w:hAnsi="Times New Roman"/>
        </w:rPr>
        <w:t xml:space="preserve">  Furthermore, as the arguments made in the joint motion to strike are, in large part, substantive opposition to the Motion Instanter, no further memorandum contra should be allowed by the Joint Movants.</w:t>
      </w:r>
    </w:p>
    <w:p w:rsidR="000439C1" w:rsidRDefault="000439C1" w:rsidP="00110C50">
      <w:pPr>
        <w:pStyle w:val="BodyText"/>
        <w:tabs>
          <w:tab w:val="left" w:pos="0"/>
        </w:tabs>
        <w:spacing w:line="240" w:lineRule="auto"/>
        <w:rPr>
          <w:rFonts w:ascii="Times New Roman" w:hAnsi="Times New Roman"/>
          <w:spacing w:val="-3"/>
        </w:rPr>
      </w:pPr>
    </w:p>
    <w:p w:rsidR="003F39CB" w:rsidRPr="00F97219" w:rsidRDefault="00F44079" w:rsidP="00F97219">
      <w:pPr>
        <w:ind w:left="4320"/>
        <w:rPr>
          <w:spacing w:val="-3"/>
          <w:szCs w:val="20"/>
        </w:rPr>
      </w:pPr>
      <w:r w:rsidRPr="00F44079">
        <w:rPr>
          <w:spacing w:val="-3"/>
        </w:rPr>
        <w:t>Respectfully submitted,</w:t>
      </w:r>
    </w:p>
    <w:p w:rsidR="00F44079" w:rsidRDefault="00F44079" w:rsidP="00F97219">
      <w:pPr>
        <w:pStyle w:val="BodyText"/>
        <w:tabs>
          <w:tab w:val="left" w:pos="0"/>
        </w:tabs>
        <w:spacing w:line="240" w:lineRule="auto"/>
        <w:ind w:left="4320"/>
        <w:rPr>
          <w:rFonts w:ascii="Times New Roman" w:hAnsi="Times New Roman"/>
          <w:spacing w:val="-3"/>
        </w:rPr>
      </w:pPr>
      <w:r w:rsidRPr="00F44079">
        <w:rPr>
          <w:rFonts w:ascii="Times New Roman" w:hAnsi="Times New Roman"/>
          <w:spacing w:val="-3"/>
        </w:rPr>
        <w:t>DUKE ENERGY OHIO, INC.</w:t>
      </w:r>
    </w:p>
    <w:p w:rsidR="00F44079" w:rsidRDefault="00F44079" w:rsidP="00F97219">
      <w:pPr>
        <w:pStyle w:val="BodyText"/>
        <w:tabs>
          <w:tab w:val="left" w:pos="0"/>
        </w:tabs>
        <w:spacing w:line="240" w:lineRule="auto"/>
        <w:ind w:left="4320" w:firstLine="720"/>
        <w:rPr>
          <w:rFonts w:ascii="Times New Roman" w:hAnsi="Times New Roman"/>
          <w:spacing w:val="-3"/>
        </w:rPr>
      </w:pPr>
    </w:p>
    <w:p w:rsidR="000439C1" w:rsidRPr="00F44079" w:rsidRDefault="000439C1" w:rsidP="00F97219">
      <w:pPr>
        <w:pStyle w:val="BodyText"/>
        <w:tabs>
          <w:tab w:val="left" w:pos="0"/>
        </w:tabs>
        <w:spacing w:line="240" w:lineRule="auto"/>
        <w:ind w:left="4320" w:firstLine="720"/>
        <w:rPr>
          <w:rFonts w:ascii="Times New Roman" w:hAnsi="Times New Roman"/>
          <w:spacing w:val="-3"/>
        </w:rPr>
      </w:pPr>
    </w:p>
    <w:p w:rsidR="003F39CB" w:rsidRPr="00F44079" w:rsidRDefault="003F39CB" w:rsidP="00F97219">
      <w:pPr>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spacing w:val="-3"/>
        </w:rPr>
      </w:pPr>
      <w:r w:rsidRPr="00F44079">
        <w:rPr>
          <w:spacing w:val="-3"/>
        </w:rPr>
        <w:t>_________________________</w:t>
      </w:r>
    </w:p>
    <w:p w:rsidR="00F97219" w:rsidRDefault="00F97219" w:rsidP="00F97219">
      <w:pPr>
        <w:keepNext/>
        <w:keepLines/>
        <w:ind w:left="4320"/>
        <w:jc w:val="both"/>
        <w:rPr>
          <w:rFonts w:eastAsia="Calibri"/>
          <w:spacing w:val="-3"/>
        </w:rPr>
      </w:pPr>
      <w:r>
        <w:rPr>
          <w:rFonts w:eastAsia="Calibri"/>
          <w:spacing w:val="-3"/>
        </w:rPr>
        <w:t>Amy B. Spiller (0047277)</w:t>
      </w:r>
    </w:p>
    <w:p w:rsidR="00F97219" w:rsidRDefault="00F97219" w:rsidP="00F97219">
      <w:pPr>
        <w:keepNext/>
        <w:keepLines/>
        <w:ind w:left="4320"/>
        <w:jc w:val="both"/>
        <w:rPr>
          <w:rFonts w:eastAsia="Calibri"/>
          <w:spacing w:val="-3"/>
        </w:rPr>
      </w:pPr>
      <w:r>
        <w:rPr>
          <w:rFonts w:eastAsia="Calibri"/>
          <w:spacing w:val="-3"/>
        </w:rPr>
        <w:t>Deputy General Counsel</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jc w:val="both"/>
        <w:rPr>
          <w:rFonts w:eastAsia="Calibri"/>
          <w:spacing w:val="-3"/>
        </w:rPr>
      </w:pPr>
      <w:r>
        <w:rPr>
          <w:rFonts w:eastAsia="Calibri"/>
          <w:spacing w:val="-3"/>
        </w:rPr>
        <w:t>Rocco O. D’Ascenzo (0077651)</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jc w:val="both"/>
        <w:rPr>
          <w:rFonts w:eastAsia="Calibri"/>
          <w:spacing w:val="-3"/>
        </w:rPr>
      </w:pPr>
      <w:r>
        <w:rPr>
          <w:rFonts w:eastAsia="Calibri"/>
          <w:spacing w:val="-3"/>
        </w:rPr>
        <w:t>Associate General Counsel</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rFonts w:eastAsia="Calibri"/>
          <w:spacing w:val="-3"/>
        </w:rPr>
      </w:pPr>
      <w:r>
        <w:rPr>
          <w:rFonts w:eastAsia="Calibri"/>
          <w:spacing w:val="-3"/>
        </w:rPr>
        <w:t>Jeanne W. Kingery (0012172)</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rFonts w:eastAsia="Calibri"/>
          <w:spacing w:val="-3"/>
        </w:rPr>
      </w:pPr>
      <w:r>
        <w:rPr>
          <w:rFonts w:eastAsia="Calibri"/>
          <w:spacing w:val="-3"/>
        </w:rPr>
        <w:t>Associate General Counsel</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rFonts w:eastAsia="Calibri"/>
          <w:spacing w:val="-3"/>
        </w:rPr>
      </w:pPr>
      <w:r>
        <w:rPr>
          <w:rFonts w:eastAsia="Calibri"/>
          <w:spacing w:val="-3"/>
        </w:rPr>
        <w:t>Elizabeth H. Watts (0031092)</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rFonts w:eastAsia="Calibri"/>
          <w:spacing w:val="-3"/>
        </w:rPr>
      </w:pPr>
      <w:r>
        <w:rPr>
          <w:rFonts w:eastAsia="Calibri"/>
          <w:spacing w:val="-3"/>
        </w:rPr>
        <w:t>Associate General Counsel</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rFonts w:eastAsia="Calibri"/>
          <w:spacing w:val="-3"/>
        </w:rPr>
      </w:pPr>
      <w:r>
        <w:rPr>
          <w:rFonts w:eastAsia="Calibri"/>
          <w:spacing w:val="-3"/>
        </w:rPr>
        <w:t>Duke Energy Business Services LLC</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rFonts w:eastAsia="Calibri"/>
          <w:spacing w:val="-3"/>
        </w:rPr>
      </w:pPr>
      <w:r>
        <w:rPr>
          <w:rFonts w:eastAsia="Calibri"/>
          <w:spacing w:val="-3"/>
        </w:rPr>
        <w:t xml:space="preserve">139 East Fourth Street </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rFonts w:eastAsia="Calibri"/>
          <w:spacing w:val="-3"/>
        </w:rPr>
      </w:pPr>
      <w:r>
        <w:rPr>
          <w:rFonts w:eastAsia="Calibri"/>
          <w:spacing w:val="-3"/>
        </w:rPr>
        <w:t>Cincinnati, Ohio 45202</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rFonts w:eastAsia="Calibri"/>
          <w:spacing w:val="-3"/>
        </w:rPr>
      </w:pPr>
      <w:r>
        <w:rPr>
          <w:rFonts w:eastAsia="Calibri"/>
          <w:spacing w:val="-3"/>
        </w:rPr>
        <w:t>513-287-4359 (telephone)</w:t>
      </w:r>
    </w:p>
    <w:p w:rsidR="00F97219" w:rsidRDefault="00F97219" w:rsidP="00F97219">
      <w:pPr>
        <w:keepNext/>
        <w:keepLines/>
        <w:tabs>
          <w:tab w:val="left" w:pos="0"/>
          <w:tab w:val="left" w:pos="720"/>
          <w:tab w:val="left" w:pos="1440"/>
          <w:tab w:val="left" w:pos="2016"/>
          <w:tab w:val="left" w:pos="2880"/>
          <w:tab w:val="left" w:pos="3600"/>
          <w:tab w:val="left" w:pos="4320"/>
          <w:tab w:val="left" w:pos="5040"/>
          <w:tab w:val="left" w:pos="5760"/>
          <w:tab w:val="left" w:pos="7200"/>
        </w:tabs>
        <w:suppressAutoHyphens/>
        <w:ind w:left="4320" w:right="720"/>
        <w:jc w:val="both"/>
        <w:rPr>
          <w:rFonts w:eastAsia="Calibri"/>
          <w:spacing w:val="-3"/>
        </w:rPr>
      </w:pPr>
      <w:r>
        <w:rPr>
          <w:rFonts w:eastAsia="Calibri"/>
          <w:spacing w:val="-3"/>
        </w:rPr>
        <w:t>513-287-4385 (facsimile)</w:t>
      </w:r>
    </w:p>
    <w:p w:rsidR="003F39CB" w:rsidRDefault="003F39CB" w:rsidP="003F39CB">
      <w:pPr>
        <w:tabs>
          <w:tab w:val="left" w:pos="0"/>
          <w:tab w:val="left" w:pos="720"/>
          <w:tab w:val="left" w:pos="1440"/>
          <w:tab w:val="left" w:pos="2016"/>
          <w:tab w:val="left" w:pos="2880"/>
          <w:tab w:val="left" w:pos="3600"/>
          <w:tab w:val="left" w:pos="4320"/>
          <w:tab w:val="left" w:pos="5040"/>
          <w:tab w:val="left" w:pos="5760"/>
          <w:tab w:val="left" w:pos="7200"/>
        </w:tabs>
        <w:suppressAutoHyphens/>
        <w:ind w:right="720"/>
        <w:jc w:val="both"/>
        <w:rPr>
          <w:spacing w:val="-3"/>
        </w:rPr>
      </w:pPr>
    </w:p>
    <w:p w:rsidR="00047217" w:rsidRDefault="00047217">
      <w:pPr>
        <w:rPr>
          <w:snapToGrid w:val="0"/>
          <w:u w:val="single"/>
        </w:rPr>
      </w:pPr>
      <w:r>
        <w:rPr>
          <w:u w:val="single"/>
        </w:rPr>
        <w:br w:type="page"/>
      </w:r>
    </w:p>
    <w:p w:rsidR="0024365D" w:rsidRDefault="00300980" w:rsidP="00300980">
      <w:pPr>
        <w:pStyle w:val="Header"/>
        <w:tabs>
          <w:tab w:val="clear" w:pos="4320"/>
          <w:tab w:val="clear" w:pos="8640"/>
        </w:tabs>
        <w:spacing w:line="480" w:lineRule="auto"/>
        <w:jc w:val="center"/>
        <w:rPr>
          <w:rFonts w:ascii="Times New Roman" w:hAnsi="Times New Roman"/>
          <w:szCs w:val="24"/>
          <w:u w:val="single"/>
        </w:rPr>
      </w:pPr>
      <w:r>
        <w:rPr>
          <w:rFonts w:ascii="Times New Roman" w:hAnsi="Times New Roman"/>
          <w:szCs w:val="24"/>
          <w:u w:val="single"/>
        </w:rPr>
        <w:lastRenderedPageBreak/>
        <w:t>CERTIFICATE OF SERVICE</w:t>
      </w:r>
    </w:p>
    <w:p w:rsidR="00901087" w:rsidRDefault="00047217" w:rsidP="00047217">
      <w:pPr>
        <w:pStyle w:val="Header"/>
        <w:tabs>
          <w:tab w:val="clear" w:pos="4320"/>
          <w:tab w:val="clear" w:pos="8640"/>
        </w:tabs>
        <w:spacing w:line="480" w:lineRule="auto"/>
        <w:jc w:val="both"/>
        <w:rPr>
          <w:rFonts w:ascii="Times New Roman" w:hAnsi="Times New Roman"/>
          <w:szCs w:val="24"/>
        </w:rPr>
      </w:pPr>
      <w:r>
        <w:rPr>
          <w:rFonts w:ascii="Times New Roman" w:hAnsi="Times New Roman"/>
          <w:szCs w:val="24"/>
        </w:rPr>
        <w:t>I hereby certify that a true and accurate copy of the foregoing was delivered by U.S. mail (postage prepaid), personal</w:t>
      </w:r>
      <w:r w:rsidR="000439C1">
        <w:rPr>
          <w:rFonts w:ascii="Times New Roman" w:hAnsi="Times New Roman"/>
          <w:szCs w:val="24"/>
        </w:rPr>
        <w:t xml:space="preserve"> delivery</w:t>
      </w:r>
      <w:r>
        <w:rPr>
          <w:rFonts w:ascii="Times New Roman" w:hAnsi="Times New Roman"/>
          <w:szCs w:val="24"/>
        </w:rPr>
        <w:t>, or electronic mail</w:t>
      </w:r>
      <w:r w:rsidRPr="006C7D09">
        <w:rPr>
          <w:rFonts w:ascii="Times New Roman" w:hAnsi="Times New Roman"/>
          <w:szCs w:val="24"/>
        </w:rPr>
        <w:t xml:space="preserve">, on this </w:t>
      </w:r>
      <w:r w:rsidR="006C7D09" w:rsidRPr="006C7D09">
        <w:rPr>
          <w:rFonts w:ascii="Times New Roman" w:hAnsi="Times New Roman"/>
          <w:szCs w:val="24"/>
        </w:rPr>
        <w:t>11</w:t>
      </w:r>
      <w:r w:rsidR="000439C1" w:rsidRPr="006C7D09">
        <w:rPr>
          <w:rFonts w:ascii="Times New Roman" w:hAnsi="Times New Roman"/>
          <w:szCs w:val="24"/>
        </w:rPr>
        <w:t xml:space="preserve">th </w:t>
      </w:r>
      <w:r w:rsidRPr="006C7D09">
        <w:rPr>
          <w:rFonts w:ascii="Times New Roman" w:hAnsi="Times New Roman"/>
          <w:szCs w:val="24"/>
        </w:rPr>
        <w:t xml:space="preserve">day of </w:t>
      </w:r>
      <w:r w:rsidR="006C7D09" w:rsidRPr="006C7D09">
        <w:rPr>
          <w:rFonts w:ascii="Times New Roman" w:hAnsi="Times New Roman"/>
          <w:szCs w:val="24"/>
        </w:rPr>
        <w:t>April</w:t>
      </w:r>
      <w:r w:rsidRPr="006C7D09">
        <w:rPr>
          <w:rFonts w:ascii="Times New Roman" w:hAnsi="Times New Roman"/>
          <w:szCs w:val="24"/>
        </w:rPr>
        <w:t>, 201</w:t>
      </w:r>
      <w:r w:rsidR="006C7D09" w:rsidRPr="006C7D09">
        <w:rPr>
          <w:rFonts w:ascii="Times New Roman" w:hAnsi="Times New Roman"/>
          <w:szCs w:val="24"/>
        </w:rPr>
        <w:t>4</w:t>
      </w:r>
      <w:r>
        <w:rPr>
          <w:rFonts w:ascii="Times New Roman" w:hAnsi="Times New Roman"/>
          <w:szCs w:val="24"/>
        </w:rPr>
        <w:t>,</w:t>
      </w:r>
      <w:r w:rsidRPr="00047217">
        <w:rPr>
          <w:rFonts w:ascii="Times New Roman" w:hAnsi="Times New Roman"/>
          <w:szCs w:val="24"/>
        </w:rPr>
        <w:t xml:space="preserve"> </w:t>
      </w:r>
      <w:r>
        <w:rPr>
          <w:rFonts w:ascii="Times New Roman" w:hAnsi="Times New Roman"/>
          <w:szCs w:val="24"/>
        </w:rPr>
        <w:t>to the following parties.</w:t>
      </w:r>
    </w:p>
    <w:p w:rsidR="00901087" w:rsidRDefault="00901087" w:rsidP="00901087">
      <w:pPr>
        <w:pStyle w:val="Header"/>
        <w:tabs>
          <w:tab w:val="clear" w:pos="4320"/>
          <w:tab w:val="clear" w:pos="8640"/>
        </w:tabs>
        <w:ind w:left="4320"/>
        <w:jc w:val="both"/>
        <w:rPr>
          <w:rFonts w:ascii="Times New Roman" w:hAnsi="Times New Roman"/>
          <w:szCs w:val="24"/>
        </w:rPr>
      </w:pPr>
      <w:r>
        <w:rPr>
          <w:rFonts w:ascii="Times New Roman" w:hAnsi="Times New Roman"/>
          <w:szCs w:val="24"/>
        </w:rPr>
        <w:t>___________________________________</w:t>
      </w:r>
    </w:p>
    <w:p w:rsidR="00901087" w:rsidRDefault="00901087" w:rsidP="00901087">
      <w:pPr>
        <w:pStyle w:val="Header"/>
        <w:tabs>
          <w:tab w:val="clear" w:pos="4320"/>
          <w:tab w:val="clear" w:pos="8640"/>
        </w:tabs>
        <w:ind w:left="4320"/>
        <w:jc w:val="both"/>
        <w:rPr>
          <w:rFonts w:ascii="Times New Roman" w:hAnsi="Times New Roman"/>
          <w:szCs w:val="24"/>
        </w:rPr>
      </w:pPr>
      <w:r>
        <w:rPr>
          <w:rFonts w:ascii="Times New Roman" w:hAnsi="Times New Roman"/>
          <w:szCs w:val="24"/>
        </w:rPr>
        <w:t>Jeanne W. Kingery</w:t>
      </w:r>
    </w:p>
    <w:p w:rsidR="00901087" w:rsidRDefault="00901087" w:rsidP="00901087">
      <w:pPr>
        <w:pStyle w:val="Header"/>
        <w:tabs>
          <w:tab w:val="clear" w:pos="4320"/>
          <w:tab w:val="clear" w:pos="8640"/>
        </w:tabs>
        <w:ind w:left="4320"/>
        <w:jc w:val="both"/>
        <w:rPr>
          <w:rFonts w:ascii="Times New Roman" w:hAnsi="Times New Roman"/>
          <w:szCs w:val="24"/>
        </w:rPr>
      </w:pPr>
    </w:p>
    <w:p w:rsidR="00901087" w:rsidRDefault="00901087" w:rsidP="00901087">
      <w:pPr>
        <w:pStyle w:val="Header"/>
        <w:tabs>
          <w:tab w:val="clear" w:pos="4320"/>
          <w:tab w:val="clear" w:pos="8640"/>
        </w:tabs>
        <w:ind w:left="4320"/>
        <w:jc w:val="both"/>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261E40" w:rsidRPr="002B097F" w:rsidTr="0025702E">
        <w:tc>
          <w:tcPr>
            <w:tcW w:w="4428" w:type="dxa"/>
          </w:tcPr>
          <w:p w:rsidR="00261E40" w:rsidRDefault="00261E40" w:rsidP="0025702E">
            <w:pPr>
              <w:jc w:val="both"/>
            </w:pPr>
            <w:r>
              <w:t>Thomas J. O’Brien</w:t>
            </w:r>
          </w:p>
          <w:p w:rsidR="00261E40" w:rsidRDefault="00261E40" w:rsidP="0025702E">
            <w:pPr>
              <w:jc w:val="both"/>
            </w:pPr>
            <w:r>
              <w:t>Bricker &amp; Eckler LLP</w:t>
            </w:r>
          </w:p>
          <w:p w:rsidR="00261E40" w:rsidRDefault="00261E40" w:rsidP="0025702E">
            <w:pPr>
              <w:jc w:val="both"/>
            </w:pPr>
            <w:r>
              <w:t>100 South Third Street</w:t>
            </w:r>
          </w:p>
          <w:p w:rsidR="00261E40" w:rsidRDefault="00261E40" w:rsidP="0025702E">
            <w:pPr>
              <w:jc w:val="both"/>
            </w:pPr>
            <w:r>
              <w:t>Columbus, Ohio  43215</w:t>
            </w:r>
          </w:p>
          <w:p w:rsidR="00261E40" w:rsidRDefault="00261E40" w:rsidP="0025702E">
            <w:pPr>
              <w:jc w:val="both"/>
            </w:pPr>
            <w:r w:rsidRPr="00022877">
              <w:t>tobrien@bricker.com</w:t>
            </w:r>
          </w:p>
          <w:p w:rsidR="00261E40" w:rsidRDefault="00261E40" w:rsidP="0025702E">
            <w:pPr>
              <w:jc w:val="both"/>
            </w:pPr>
          </w:p>
          <w:p w:rsidR="00261E40" w:rsidRPr="002B097F" w:rsidRDefault="00261E40" w:rsidP="0025702E">
            <w:pPr>
              <w:jc w:val="both"/>
            </w:pPr>
            <w:r w:rsidRPr="003D2269">
              <w:rPr>
                <w:b/>
              </w:rPr>
              <w:t>Counsel for</w:t>
            </w:r>
            <w:r>
              <w:rPr>
                <w:b/>
              </w:rPr>
              <w:t xml:space="preserve"> the City of Cincinnati</w:t>
            </w:r>
          </w:p>
        </w:tc>
        <w:tc>
          <w:tcPr>
            <w:tcW w:w="4428" w:type="dxa"/>
          </w:tcPr>
          <w:p w:rsidR="00261E40" w:rsidRDefault="00261E40" w:rsidP="0025702E">
            <w:pPr>
              <w:jc w:val="both"/>
            </w:pPr>
            <w:r>
              <w:t>Vincent Parisi</w:t>
            </w:r>
          </w:p>
          <w:p w:rsidR="00261E40" w:rsidRDefault="00261E40" w:rsidP="0025702E">
            <w:pPr>
              <w:jc w:val="both"/>
            </w:pPr>
            <w:r>
              <w:t xml:space="preserve">Matthew White </w:t>
            </w:r>
          </w:p>
          <w:p w:rsidR="00261E40" w:rsidRDefault="00261E40" w:rsidP="0025702E">
            <w:pPr>
              <w:jc w:val="both"/>
            </w:pPr>
            <w:r>
              <w:t>Interstate Gas Supply, Inc.</w:t>
            </w:r>
          </w:p>
          <w:p w:rsidR="00261E40" w:rsidRDefault="00261E40" w:rsidP="0025702E">
            <w:pPr>
              <w:jc w:val="both"/>
            </w:pPr>
            <w:r>
              <w:t>6100 Emerald Parkway</w:t>
            </w:r>
          </w:p>
          <w:p w:rsidR="00261E40" w:rsidRDefault="00261E40" w:rsidP="0025702E">
            <w:pPr>
              <w:jc w:val="both"/>
            </w:pPr>
            <w:r>
              <w:t>Dublin, Ohio  43016</w:t>
            </w:r>
          </w:p>
          <w:p w:rsidR="00261E40" w:rsidRDefault="00261E40" w:rsidP="0025702E">
            <w:pPr>
              <w:jc w:val="both"/>
            </w:pPr>
            <w:r w:rsidRPr="00022877">
              <w:t>vparisi@igsenergy.com</w:t>
            </w:r>
          </w:p>
          <w:p w:rsidR="00261E40" w:rsidRDefault="00261E40" w:rsidP="0025702E">
            <w:pPr>
              <w:jc w:val="both"/>
            </w:pPr>
            <w:r w:rsidRPr="00022877">
              <w:t>mswhite@igsenergy.com</w:t>
            </w:r>
          </w:p>
          <w:p w:rsidR="00261E40" w:rsidRDefault="00261E40" w:rsidP="0025702E">
            <w:pPr>
              <w:jc w:val="both"/>
            </w:pPr>
          </w:p>
          <w:p w:rsidR="00261E40" w:rsidRPr="00811AB9" w:rsidRDefault="00261E40" w:rsidP="0025702E">
            <w:pPr>
              <w:jc w:val="both"/>
              <w:rPr>
                <w:b/>
              </w:rPr>
            </w:pPr>
            <w:r w:rsidRPr="00811AB9">
              <w:rPr>
                <w:b/>
              </w:rPr>
              <w:t xml:space="preserve">Attorneys for </w:t>
            </w:r>
            <w:r>
              <w:rPr>
                <w:b/>
              </w:rPr>
              <w:t>Interstate Gas Supply, Inc.</w:t>
            </w:r>
          </w:p>
          <w:p w:rsidR="00261E40" w:rsidRPr="002B097F" w:rsidRDefault="00261E40" w:rsidP="0025702E">
            <w:pPr>
              <w:jc w:val="both"/>
            </w:pPr>
          </w:p>
        </w:tc>
      </w:tr>
      <w:tr w:rsidR="00261E40" w:rsidRPr="002B097F" w:rsidTr="0025702E">
        <w:tc>
          <w:tcPr>
            <w:tcW w:w="4428" w:type="dxa"/>
          </w:tcPr>
          <w:p w:rsidR="00261E40" w:rsidRPr="00045D53" w:rsidRDefault="006C7D09" w:rsidP="00C56F62">
            <w:pPr>
              <w:widowControl w:val="0"/>
              <w:jc w:val="both"/>
            </w:pPr>
            <w:r>
              <w:t xml:space="preserve">A. </w:t>
            </w:r>
            <w:r w:rsidR="00261E40" w:rsidRPr="00045D53">
              <w:t>Brian McIntosh</w:t>
            </w:r>
          </w:p>
          <w:p w:rsidR="00261E40" w:rsidRPr="00045D53" w:rsidRDefault="00261E40" w:rsidP="0025702E">
            <w:pPr>
              <w:jc w:val="both"/>
            </w:pPr>
            <w:r w:rsidRPr="00045D53">
              <w:t>McIntosh &amp; McIntosh</w:t>
            </w:r>
          </w:p>
          <w:p w:rsidR="00261E40" w:rsidRDefault="00261E40" w:rsidP="0025702E">
            <w:pPr>
              <w:jc w:val="both"/>
            </w:pPr>
            <w:r w:rsidRPr="00045D53">
              <w:t>1136 Saint Gregory Stree</w:t>
            </w:r>
            <w:r>
              <w:t>t</w:t>
            </w:r>
          </w:p>
          <w:p w:rsidR="00261E40" w:rsidRDefault="00261E40" w:rsidP="0025702E">
            <w:pPr>
              <w:jc w:val="both"/>
            </w:pPr>
            <w:r>
              <w:t>Suite 100</w:t>
            </w:r>
          </w:p>
          <w:p w:rsidR="00261E40" w:rsidRDefault="00261E40" w:rsidP="0025702E">
            <w:pPr>
              <w:jc w:val="both"/>
            </w:pPr>
            <w:r>
              <w:t>Cincinnati, Ohio  45202</w:t>
            </w:r>
          </w:p>
          <w:p w:rsidR="00261E40" w:rsidRDefault="00261E40" w:rsidP="0025702E">
            <w:pPr>
              <w:jc w:val="both"/>
            </w:pPr>
            <w:r w:rsidRPr="00022877">
              <w:t>brian@mcintoshlaw.com</w:t>
            </w:r>
          </w:p>
          <w:p w:rsidR="00261E40" w:rsidRDefault="00261E40" w:rsidP="0025702E">
            <w:pPr>
              <w:jc w:val="both"/>
            </w:pPr>
          </w:p>
          <w:p w:rsidR="00261E40" w:rsidRPr="00C06074" w:rsidRDefault="00261E40" w:rsidP="0025702E">
            <w:pPr>
              <w:jc w:val="both"/>
              <w:rPr>
                <w:b/>
              </w:rPr>
            </w:pPr>
            <w:r w:rsidRPr="00C06074">
              <w:rPr>
                <w:b/>
              </w:rPr>
              <w:t>Counsel for Stand Energy Corporation</w:t>
            </w:r>
          </w:p>
          <w:p w:rsidR="00261E40" w:rsidRPr="002B097F" w:rsidRDefault="00261E40" w:rsidP="0025702E">
            <w:pPr>
              <w:jc w:val="both"/>
            </w:pPr>
          </w:p>
        </w:tc>
        <w:tc>
          <w:tcPr>
            <w:tcW w:w="4428" w:type="dxa"/>
          </w:tcPr>
          <w:p w:rsidR="00261E40" w:rsidRDefault="00261E40" w:rsidP="0025702E">
            <w:pPr>
              <w:ind w:right="162"/>
              <w:jc w:val="both"/>
            </w:pPr>
            <w:r>
              <w:t>Colleen L. Mooney</w:t>
            </w:r>
          </w:p>
          <w:p w:rsidR="00261E40" w:rsidRDefault="00261E40" w:rsidP="0025702E">
            <w:pPr>
              <w:ind w:right="162"/>
              <w:jc w:val="both"/>
            </w:pPr>
            <w:r>
              <w:t>Ohio Partners for Affordable Energy</w:t>
            </w:r>
          </w:p>
          <w:p w:rsidR="00261E40" w:rsidRDefault="00261E40" w:rsidP="0025702E">
            <w:pPr>
              <w:ind w:right="162"/>
              <w:jc w:val="both"/>
            </w:pPr>
            <w:r>
              <w:t>231 West Lima St.</w:t>
            </w:r>
          </w:p>
          <w:p w:rsidR="00261E40" w:rsidRDefault="00261E40" w:rsidP="0025702E">
            <w:pPr>
              <w:ind w:right="162"/>
              <w:jc w:val="both"/>
            </w:pPr>
            <w:r>
              <w:t>Findlay, OH  45839-1793</w:t>
            </w:r>
          </w:p>
          <w:p w:rsidR="00261E40" w:rsidRDefault="00261E40" w:rsidP="0025702E">
            <w:pPr>
              <w:ind w:right="162"/>
              <w:jc w:val="both"/>
            </w:pPr>
            <w:r w:rsidRPr="00022877">
              <w:t>Cmooney2@columbus.rr.com</w:t>
            </w:r>
          </w:p>
          <w:p w:rsidR="00261E40" w:rsidRPr="002D575B" w:rsidRDefault="00261E40" w:rsidP="0025702E">
            <w:pPr>
              <w:ind w:right="162"/>
              <w:jc w:val="both"/>
              <w:rPr>
                <w:b/>
              </w:rPr>
            </w:pPr>
          </w:p>
          <w:p w:rsidR="00261E40" w:rsidRPr="002B097F" w:rsidRDefault="00261E40" w:rsidP="00C56F62">
            <w:pPr>
              <w:jc w:val="both"/>
            </w:pPr>
            <w:r w:rsidRPr="002D575B">
              <w:rPr>
                <w:b/>
              </w:rPr>
              <w:t>Counsel for O</w:t>
            </w:r>
            <w:r w:rsidR="00C56F62">
              <w:rPr>
                <w:b/>
              </w:rPr>
              <w:t>hio Partners for Affordable Energy</w:t>
            </w:r>
          </w:p>
        </w:tc>
      </w:tr>
      <w:tr w:rsidR="00261E40" w:rsidRPr="002B097F" w:rsidTr="0025702E">
        <w:tc>
          <w:tcPr>
            <w:tcW w:w="4428" w:type="dxa"/>
          </w:tcPr>
          <w:p w:rsidR="00261E40" w:rsidRPr="002B3F8A" w:rsidRDefault="00261E40" w:rsidP="0025702E">
            <w:pPr>
              <w:rPr>
                <w:color w:val="000000"/>
              </w:rPr>
            </w:pPr>
            <w:r w:rsidRPr="002B3F8A">
              <w:rPr>
                <w:color w:val="000000"/>
              </w:rPr>
              <w:t>Joseph P. Serio</w:t>
            </w:r>
          </w:p>
          <w:p w:rsidR="00261E40" w:rsidRDefault="00261E40" w:rsidP="0025702E">
            <w:pPr>
              <w:rPr>
                <w:color w:val="000000"/>
              </w:rPr>
            </w:pPr>
            <w:r w:rsidRPr="002B3F8A">
              <w:rPr>
                <w:color w:val="000000"/>
              </w:rPr>
              <w:t>Larry S. Sauer</w:t>
            </w:r>
          </w:p>
          <w:p w:rsidR="0095361A" w:rsidRPr="002B3F8A" w:rsidRDefault="0095361A" w:rsidP="0025702E">
            <w:pPr>
              <w:rPr>
                <w:color w:val="000000"/>
              </w:rPr>
            </w:pPr>
            <w:r>
              <w:rPr>
                <w:color w:val="000000"/>
              </w:rPr>
              <w:t>Edmund J. Berger</w:t>
            </w:r>
          </w:p>
          <w:p w:rsidR="00261E40" w:rsidRPr="002B3F8A" w:rsidRDefault="00261E40" w:rsidP="0025702E">
            <w:pPr>
              <w:rPr>
                <w:color w:val="000000"/>
              </w:rPr>
            </w:pPr>
            <w:r w:rsidRPr="002B3F8A">
              <w:rPr>
                <w:color w:val="000000"/>
              </w:rPr>
              <w:t>Assistant Consumers’ Counsel</w:t>
            </w:r>
          </w:p>
          <w:p w:rsidR="00261E40" w:rsidRPr="00103920" w:rsidRDefault="00261E40" w:rsidP="0025702E">
            <w:pPr>
              <w:rPr>
                <w:bCs/>
                <w:color w:val="000000"/>
              </w:rPr>
            </w:pPr>
            <w:r w:rsidRPr="00103920">
              <w:rPr>
                <w:bCs/>
                <w:color w:val="000000"/>
              </w:rPr>
              <w:t>Office of the Ohio Consumers’ Counsel</w:t>
            </w:r>
          </w:p>
          <w:p w:rsidR="00261E40" w:rsidRPr="002B3F8A" w:rsidRDefault="00261E40" w:rsidP="0025702E">
            <w:pPr>
              <w:rPr>
                <w:color w:val="000000"/>
              </w:rPr>
            </w:pPr>
            <w:r w:rsidRPr="002B3F8A">
              <w:rPr>
                <w:color w:val="000000"/>
              </w:rPr>
              <w:t>10 West Broad Street, Suite 1800</w:t>
            </w:r>
          </w:p>
          <w:p w:rsidR="00261E40" w:rsidRPr="002B3F8A" w:rsidRDefault="00261E40" w:rsidP="0025702E">
            <w:pPr>
              <w:rPr>
                <w:color w:val="000000"/>
              </w:rPr>
            </w:pPr>
            <w:r w:rsidRPr="002B3F8A">
              <w:rPr>
                <w:color w:val="000000"/>
              </w:rPr>
              <w:t>Columbus, Ohio 43215-3485</w:t>
            </w:r>
          </w:p>
          <w:p w:rsidR="00261E40" w:rsidRDefault="00261E40" w:rsidP="0025702E">
            <w:pPr>
              <w:rPr>
                <w:color w:val="3680FF"/>
              </w:rPr>
            </w:pPr>
            <w:r w:rsidRPr="00022877">
              <w:t>serio@occ.state.oh.us</w:t>
            </w:r>
          </w:p>
          <w:p w:rsidR="00261E40" w:rsidRDefault="0095361A" w:rsidP="0025702E">
            <w:pPr>
              <w:jc w:val="both"/>
            </w:pPr>
            <w:r w:rsidRPr="0095361A">
              <w:t>sauer@occ.state.oh.us</w:t>
            </w:r>
          </w:p>
          <w:p w:rsidR="0095361A" w:rsidRDefault="0095361A" w:rsidP="0025702E">
            <w:pPr>
              <w:jc w:val="both"/>
              <w:rPr>
                <w:color w:val="3680FF"/>
              </w:rPr>
            </w:pPr>
            <w:r>
              <w:t>berger@occ.state.oh.us</w:t>
            </w:r>
          </w:p>
          <w:p w:rsidR="00261E40" w:rsidRDefault="00261E40" w:rsidP="0025702E">
            <w:pPr>
              <w:jc w:val="both"/>
              <w:rPr>
                <w:color w:val="3680FF"/>
              </w:rPr>
            </w:pPr>
          </w:p>
          <w:p w:rsidR="00261E40" w:rsidRPr="002B3F8A" w:rsidRDefault="00261E40" w:rsidP="0025702E">
            <w:pPr>
              <w:rPr>
                <w:b/>
                <w:bCs/>
                <w:color w:val="000000"/>
              </w:rPr>
            </w:pPr>
            <w:r>
              <w:rPr>
                <w:b/>
                <w:bCs/>
                <w:color w:val="000000"/>
              </w:rPr>
              <w:t>Attorneys for</w:t>
            </w:r>
            <w:r w:rsidRPr="002B3F8A">
              <w:rPr>
                <w:b/>
                <w:bCs/>
                <w:color w:val="000000"/>
              </w:rPr>
              <w:t xml:space="preserve"> the Ohio Consumers’ Counsel</w:t>
            </w:r>
          </w:p>
          <w:p w:rsidR="00261E40" w:rsidRPr="002B097F" w:rsidRDefault="00261E40" w:rsidP="0025702E">
            <w:pPr>
              <w:jc w:val="both"/>
            </w:pPr>
          </w:p>
        </w:tc>
        <w:tc>
          <w:tcPr>
            <w:tcW w:w="4428" w:type="dxa"/>
          </w:tcPr>
          <w:p w:rsidR="00261E40" w:rsidRDefault="00261E40" w:rsidP="0025702E">
            <w:pPr>
              <w:rPr>
                <w:color w:val="000000"/>
              </w:rPr>
            </w:pPr>
            <w:r>
              <w:rPr>
                <w:color w:val="000000"/>
              </w:rPr>
              <w:t xml:space="preserve">Douglas E. Hart </w:t>
            </w:r>
          </w:p>
          <w:p w:rsidR="00261E40" w:rsidRDefault="00261E40" w:rsidP="0025702E">
            <w:pPr>
              <w:rPr>
                <w:color w:val="000000"/>
              </w:rPr>
            </w:pPr>
            <w:r>
              <w:rPr>
                <w:color w:val="000000"/>
              </w:rPr>
              <w:t>441 Vine Street, Suite 4192</w:t>
            </w:r>
          </w:p>
          <w:p w:rsidR="00261E40" w:rsidRDefault="00261E40" w:rsidP="0025702E">
            <w:pPr>
              <w:rPr>
                <w:color w:val="000000"/>
              </w:rPr>
            </w:pPr>
            <w:r>
              <w:rPr>
                <w:color w:val="000000"/>
              </w:rPr>
              <w:t>Cincinnati, OH 45202</w:t>
            </w:r>
          </w:p>
          <w:p w:rsidR="00261E40" w:rsidRDefault="00261E40" w:rsidP="0025702E">
            <w:pPr>
              <w:rPr>
                <w:color w:val="0000FF"/>
              </w:rPr>
            </w:pPr>
            <w:r w:rsidRPr="00022877">
              <w:t>dhart@douglasehart.com</w:t>
            </w:r>
          </w:p>
          <w:p w:rsidR="00261E40" w:rsidRDefault="00261E40" w:rsidP="0025702E"/>
          <w:p w:rsidR="00261E40" w:rsidRPr="004F3E20" w:rsidRDefault="00261E40" w:rsidP="0025702E">
            <w:pPr>
              <w:rPr>
                <w:b/>
              </w:rPr>
            </w:pPr>
            <w:r w:rsidRPr="004F3E20">
              <w:rPr>
                <w:b/>
              </w:rPr>
              <w:t>Attorney for The Greater</w:t>
            </w:r>
          </w:p>
          <w:p w:rsidR="00261E40" w:rsidRDefault="00261E40" w:rsidP="0025702E">
            <w:pPr>
              <w:jc w:val="both"/>
              <w:rPr>
                <w:b/>
              </w:rPr>
            </w:pPr>
            <w:r w:rsidRPr="004F3E20">
              <w:rPr>
                <w:b/>
              </w:rPr>
              <w:t>Cincinnati Health Council</w:t>
            </w:r>
            <w:r>
              <w:rPr>
                <w:b/>
              </w:rPr>
              <w:t xml:space="preserve"> and the Cincinnati Bell Telephone Company</w:t>
            </w:r>
          </w:p>
          <w:p w:rsidR="00261E40" w:rsidRDefault="00261E40" w:rsidP="0025702E">
            <w:pPr>
              <w:jc w:val="both"/>
              <w:rPr>
                <w:b/>
              </w:rPr>
            </w:pPr>
          </w:p>
          <w:p w:rsidR="00261E40" w:rsidRDefault="00261E40" w:rsidP="0025702E">
            <w:pPr>
              <w:jc w:val="both"/>
              <w:rPr>
                <w:b/>
              </w:rPr>
            </w:pPr>
          </w:p>
          <w:p w:rsidR="00261E40" w:rsidRPr="002B097F" w:rsidRDefault="00261E40" w:rsidP="0025702E">
            <w:pPr>
              <w:jc w:val="both"/>
            </w:pPr>
          </w:p>
        </w:tc>
      </w:tr>
      <w:tr w:rsidR="00261E40" w:rsidRPr="002B3F8A" w:rsidTr="0025702E">
        <w:tc>
          <w:tcPr>
            <w:tcW w:w="4428" w:type="dxa"/>
          </w:tcPr>
          <w:p w:rsidR="00261E40" w:rsidRDefault="00261E40" w:rsidP="0025702E">
            <w:pPr>
              <w:keepNext/>
              <w:keepLines/>
              <w:ind w:right="162"/>
              <w:jc w:val="both"/>
            </w:pPr>
          </w:p>
          <w:p w:rsidR="00261E40" w:rsidRDefault="00261E40" w:rsidP="0025702E">
            <w:pPr>
              <w:keepNext/>
              <w:keepLines/>
              <w:ind w:right="162"/>
              <w:jc w:val="both"/>
            </w:pPr>
            <w:r>
              <w:t>Thomas McNamee</w:t>
            </w:r>
          </w:p>
          <w:p w:rsidR="00261E40" w:rsidRDefault="00261E40" w:rsidP="0025702E">
            <w:pPr>
              <w:keepNext/>
              <w:keepLines/>
              <w:ind w:right="162"/>
              <w:jc w:val="both"/>
            </w:pPr>
            <w:r>
              <w:t>Devin Parram</w:t>
            </w:r>
          </w:p>
          <w:p w:rsidR="00261E40" w:rsidRDefault="00261E40" w:rsidP="0025702E">
            <w:pPr>
              <w:keepNext/>
              <w:keepLines/>
              <w:ind w:right="162"/>
              <w:jc w:val="both"/>
            </w:pPr>
            <w:r>
              <w:t>Assistant Attorneys General</w:t>
            </w:r>
          </w:p>
          <w:p w:rsidR="00261E40" w:rsidRDefault="00261E40" w:rsidP="0025702E">
            <w:pPr>
              <w:keepNext/>
              <w:keepLines/>
              <w:ind w:right="162"/>
              <w:jc w:val="both"/>
            </w:pPr>
            <w:r>
              <w:t>Public Utilities Section</w:t>
            </w:r>
          </w:p>
          <w:p w:rsidR="00261E40" w:rsidRDefault="00261E40" w:rsidP="0025702E">
            <w:pPr>
              <w:keepNext/>
              <w:keepLines/>
              <w:ind w:right="162"/>
              <w:jc w:val="both"/>
            </w:pPr>
            <w:r>
              <w:t>180 East Broad St., 6</w:t>
            </w:r>
            <w:r>
              <w:rPr>
                <w:vertAlign w:val="superscript"/>
              </w:rPr>
              <w:t>th</w:t>
            </w:r>
            <w:r>
              <w:t xml:space="preserve"> Floor</w:t>
            </w:r>
          </w:p>
          <w:p w:rsidR="00261E40" w:rsidRDefault="00261E40" w:rsidP="0025702E">
            <w:pPr>
              <w:keepNext/>
              <w:keepLines/>
              <w:ind w:right="162"/>
              <w:jc w:val="both"/>
            </w:pPr>
            <w:r>
              <w:t>Columbus, Ohio 43215</w:t>
            </w:r>
          </w:p>
          <w:p w:rsidR="00261E40" w:rsidRDefault="00261E40" w:rsidP="0025702E">
            <w:pPr>
              <w:keepNext/>
              <w:keepLines/>
              <w:ind w:right="162"/>
              <w:jc w:val="both"/>
            </w:pPr>
            <w:r w:rsidRPr="00022877">
              <w:t>Thomas.mcnamee@puc.state.oh.us</w:t>
            </w:r>
          </w:p>
          <w:p w:rsidR="00261E40" w:rsidRDefault="00261E40" w:rsidP="0025702E">
            <w:pPr>
              <w:keepNext/>
              <w:keepLines/>
              <w:ind w:right="162"/>
              <w:jc w:val="both"/>
            </w:pPr>
            <w:r w:rsidRPr="00022877">
              <w:t>Devin.parram@puc.state.oh.us</w:t>
            </w:r>
          </w:p>
          <w:p w:rsidR="00261E40" w:rsidRDefault="00261E40" w:rsidP="0025702E">
            <w:pPr>
              <w:keepNext/>
              <w:keepLines/>
              <w:ind w:right="162"/>
              <w:jc w:val="both"/>
            </w:pPr>
          </w:p>
          <w:p w:rsidR="00261E40" w:rsidRDefault="00261E40" w:rsidP="0025702E">
            <w:pPr>
              <w:keepNext/>
              <w:keepLines/>
              <w:rPr>
                <w:b/>
              </w:rPr>
            </w:pPr>
            <w:r>
              <w:rPr>
                <w:b/>
              </w:rPr>
              <w:t>Counsel for Staff of the Commission</w:t>
            </w:r>
          </w:p>
          <w:p w:rsidR="00261E40" w:rsidRPr="002B3F8A" w:rsidRDefault="00261E40" w:rsidP="0025702E">
            <w:pPr>
              <w:keepNext/>
              <w:keepLines/>
              <w:jc w:val="both"/>
            </w:pPr>
          </w:p>
        </w:tc>
        <w:tc>
          <w:tcPr>
            <w:tcW w:w="4428" w:type="dxa"/>
          </w:tcPr>
          <w:p w:rsidR="00261E40" w:rsidRDefault="00261E40" w:rsidP="0025702E">
            <w:pPr>
              <w:jc w:val="both"/>
            </w:pPr>
          </w:p>
          <w:p w:rsidR="00261E40" w:rsidRDefault="00261E40" w:rsidP="0025702E">
            <w:pPr>
              <w:jc w:val="both"/>
            </w:pPr>
            <w:r>
              <w:t>Kimberly W. Bojko</w:t>
            </w:r>
          </w:p>
          <w:p w:rsidR="00261E40" w:rsidRDefault="00261E40" w:rsidP="0025702E">
            <w:pPr>
              <w:jc w:val="both"/>
            </w:pPr>
            <w:r>
              <w:t>Mallory M. Mohler</w:t>
            </w:r>
          </w:p>
          <w:p w:rsidR="00261E40" w:rsidRDefault="00261E40" w:rsidP="0025702E">
            <w:pPr>
              <w:jc w:val="both"/>
            </w:pPr>
            <w:r>
              <w:t>Carpenter Lipps &amp; Leland LLP</w:t>
            </w:r>
          </w:p>
          <w:p w:rsidR="00261E40" w:rsidRDefault="00261E40" w:rsidP="0025702E">
            <w:pPr>
              <w:jc w:val="both"/>
            </w:pPr>
            <w:r>
              <w:t>280 North High Street #1300</w:t>
            </w:r>
          </w:p>
          <w:p w:rsidR="00261E40" w:rsidRDefault="00261E40" w:rsidP="0025702E">
            <w:pPr>
              <w:jc w:val="both"/>
            </w:pPr>
            <w:r>
              <w:t>Columbus, OH  43215</w:t>
            </w:r>
          </w:p>
          <w:p w:rsidR="00261E40" w:rsidRDefault="00261E40" w:rsidP="0025702E">
            <w:pPr>
              <w:jc w:val="both"/>
            </w:pPr>
            <w:r w:rsidRPr="00022877">
              <w:t>Bojko@carpenterlipps.com</w:t>
            </w:r>
          </w:p>
          <w:p w:rsidR="00261E40" w:rsidRDefault="00261E40" w:rsidP="0025702E">
            <w:pPr>
              <w:jc w:val="both"/>
            </w:pPr>
            <w:r w:rsidRPr="00022877">
              <w:t>Mohler@carpenterlipps.com</w:t>
            </w:r>
          </w:p>
          <w:p w:rsidR="00261E40" w:rsidRDefault="00261E40" w:rsidP="0025702E">
            <w:pPr>
              <w:jc w:val="both"/>
            </w:pPr>
          </w:p>
          <w:p w:rsidR="00261E40" w:rsidRPr="00811AB9" w:rsidRDefault="00261E40" w:rsidP="0025702E">
            <w:pPr>
              <w:jc w:val="both"/>
              <w:rPr>
                <w:b/>
              </w:rPr>
            </w:pPr>
            <w:r w:rsidRPr="00811AB9">
              <w:rPr>
                <w:b/>
              </w:rPr>
              <w:t>Attorneys for Kroger Co</w:t>
            </w:r>
            <w:r w:rsidR="00C56F62">
              <w:rPr>
                <w:b/>
              </w:rPr>
              <w:t>mpany</w:t>
            </w:r>
          </w:p>
          <w:p w:rsidR="00261E40" w:rsidRPr="00C53C4A" w:rsidRDefault="00261E40" w:rsidP="0025702E"/>
        </w:tc>
      </w:tr>
      <w:tr w:rsidR="00261E40" w:rsidRPr="002B3F8A" w:rsidTr="0025702E">
        <w:tc>
          <w:tcPr>
            <w:tcW w:w="4428" w:type="dxa"/>
          </w:tcPr>
          <w:p w:rsidR="0095361A" w:rsidRDefault="0095361A" w:rsidP="0095361A">
            <w:pPr>
              <w:rPr>
                <w:color w:val="000000"/>
              </w:rPr>
            </w:pPr>
            <w:r>
              <w:rPr>
                <w:color w:val="000000"/>
              </w:rPr>
              <w:t>Andrew J. Sonderman</w:t>
            </w:r>
          </w:p>
          <w:p w:rsidR="0095361A" w:rsidRDefault="0095361A" w:rsidP="0095361A">
            <w:pPr>
              <w:rPr>
                <w:color w:val="000000"/>
              </w:rPr>
            </w:pPr>
            <w:r>
              <w:rPr>
                <w:color w:val="000000"/>
              </w:rPr>
              <w:t>Kegler, Brown, Hill &amp; Ritter LPA</w:t>
            </w:r>
          </w:p>
          <w:p w:rsidR="0095361A" w:rsidRDefault="0095361A" w:rsidP="0095361A">
            <w:pPr>
              <w:rPr>
                <w:color w:val="000000"/>
              </w:rPr>
            </w:pPr>
            <w:r>
              <w:rPr>
                <w:color w:val="000000"/>
              </w:rPr>
              <w:t>Capitol Square, Suite 1800</w:t>
            </w:r>
          </w:p>
          <w:p w:rsidR="0095361A" w:rsidRDefault="0095361A" w:rsidP="0095361A">
            <w:pPr>
              <w:rPr>
                <w:color w:val="000000"/>
              </w:rPr>
            </w:pPr>
            <w:r>
              <w:rPr>
                <w:color w:val="000000"/>
              </w:rPr>
              <w:t>65 East State Street</w:t>
            </w:r>
          </w:p>
          <w:p w:rsidR="0095361A" w:rsidRDefault="0095361A" w:rsidP="0095361A">
            <w:pPr>
              <w:rPr>
                <w:color w:val="000000"/>
              </w:rPr>
            </w:pPr>
            <w:r>
              <w:rPr>
                <w:color w:val="000000"/>
              </w:rPr>
              <w:t>Columbus, Ohio  43215</w:t>
            </w:r>
          </w:p>
          <w:p w:rsidR="0095361A" w:rsidRDefault="0095361A" w:rsidP="0095361A">
            <w:pPr>
              <w:rPr>
                <w:color w:val="000000"/>
              </w:rPr>
            </w:pPr>
            <w:r>
              <w:rPr>
                <w:color w:val="000000"/>
              </w:rPr>
              <w:t>asonderman@keglerbrown.com</w:t>
            </w:r>
          </w:p>
          <w:p w:rsidR="0095361A" w:rsidRDefault="0095361A" w:rsidP="0095361A">
            <w:pPr>
              <w:rPr>
                <w:color w:val="000000"/>
              </w:rPr>
            </w:pPr>
          </w:p>
          <w:p w:rsidR="00261E40" w:rsidRDefault="0095361A" w:rsidP="0095361A">
            <w:pPr>
              <w:ind w:right="162"/>
              <w:rPr>
                <w:b/>
                <w:color w:val="000000"/>
              </w:rPr>
            </w:pPr>
            <w:r w:rsidRPr="00CF3120">
              <w:rPr>
                <w:b/>
                <w:color w:val="000000"/>
              </w:rPr>
              <w:t>Attorney for People Working Cooperatively, I</w:t>
            </w:r>
            <w:r>
              <w:rPr>
                <w:b/>
                <w:color w:val="000000"/>
              </w:rPr>
              <w:t>nc</w:t>
            </w:r>
            <w:r w:rsidRPr="00CF3120">
              <w:rPr>
                <w:b/>
                <w:color w:val="000000"/>
              </w:rPr>
              <w:t>.</w:t>
            </w:r>
          </w:p>
          <w:p w:rsidR="00085055" w:rsidRPr="00C56F62" w:rsidRDefault="00085055" w:rsidP="0095361A">
            <w:pPr>
              <w:ind w:right="162"/>
              <w:rPr>
                <w:b/>
                <w:highlight w:val="yellow"/>
              </w:rPr>
            </w:pPr>
          </w:p>
        </w:tc>
        <w:tc>
          <w:tcPr>
            <w:tcW w:w="4428" w:type="dxa"/>
          </w:tcPr>
          <w:p w:rsidR="00261E40" w:rsidRPr="0095361A" w:rsidRDefault="0095361A" w:rsidP="0095361A">
            <w:pPr>
              <w:rPr>
                <w:color w:val="000000"/>
              </w:rPr>
            </w:pPr>
            <w:r w:rsidRPr="0095361A">
              <w:rPr>
                <w:color w:val="000000"/>
              </w:rPr>
              <w:t>Robert A. Brundrett</w:t>
            </w:r>
          </w:p>
          <w:p w:rsidR="0095361A" w:rsidRPr="0095361A" w:rsidRDefault="0095361A" w:rsidP="0095361A">
            <w:pPr>
              <w:rPr>
                <w:color w:val="000000"/>
              </w:rPr>
            </w:pPr>
            <w:r w:rsidRPr="0095361A">
              <w:rPr>
                <w:color w:val="000000"/>
              </w:rPr>
              <w:t>33 North High Street</w:t>
            </w:r>
          </w:p>
          <w:p w:rsidR="0095361A" w:rsidRPr="0095361A" w:rsidRDefault="0095361A" w:rsidP="0095361A">
            <w:pPr>
              <w:rPr>
                <w:color w:val="000000"/>
              </w:rPr>
            </w:pPr>
            <w:r w:rsidRPr="0095361A">
              <w:rPr>
                <w:color w:val="000000"/>
              </w:rPr>
              <w:t>Columbus, OH 43215</w:t>
            </w:r>
          </w:p>
          <w:p w:rsidR="00261E40" w:rsidRPr="0095361A" w:rsidRDefault="0095361A" w:rsidP="0025702E">
            <w:pPr>
              <w:jc w:val="both"/>
              <w:rPr>
                <w:color w:val="0000FF"/>
              </w:rPr>
            </w:pPr>
            <w:r w:rsidRPr="0095361A">
              <w:t>rbrundrett@ohiomfg.com</w:t>
            </w:r>
          </w:p>
          <w:p w:rsidR="00261E40" w:rsidRPr="0095361A" w:rsidRDefault="00261E40" w:rsidP="0025702E">
            <w:pPr>
              <w:jc w:val="both"/>
              <w:rPr>
                <w:color w:val="0000FF"/>
              </w:rPr>
            </w:pPr>
          </w:p>
          <w:p w:rsidR="00261E40" w:rsidRPr="0095361A" w:rsidRDefault="00261E40" w:rsidP="0025702E">
            <w:pPr>
              <w:rPr>
                <w:b/>
              </w:rPr>
            </w:pPr>
            <w:r w:rsidRPr="0095361A">
              <w:rPr>
                <w:b/>
              </w:rPr>
              <w:t>Attorney for Ohio Manufacturers’ Association</w:t>
            </w:r>
          </w:p>
          <w:p w:rsidR="00261E40" w:rsidRPr="0095361A" w:rsidRDefault="00261E40" w:rsidP="0025702E"/>
        </w:tc>
      </w:tr>
      <w:tr w:rsidR="00261E40" w:rsidRPr="002B3F8A" w:rsidTr="0025702E">
        <w:tc>
          <w:tcPr>
            <w:tcW w:w="4428" w:type="dxa"/>
          </w:tcPr>
          <w:p w:rsidR="00261E40" w:rsidRDefault="00261E40" w:rsidP="0025702E">
            <w:pPr>
              <w:rPr>
                <w:color w:val="000000"/>
              </w:rPr>
            </w:pPr>
            <w:r>
              <w:rPr>
                <w:color w:val="000000"/>
              </w:rPr>
              <w:t>Joseph M. Clark</w:t>
            </w:r>
          </w:p>
          <w:p w:rsidR="00261E40" w:rsidRDefault="00261E40" w:rsidP="0025702E">
            <w:r w:rsidRPr="00D1493D">
              <w:t>21 East State Street, Suite</w:t>
            </w:r>
            <w:r>
              <w:t xml:space="preserve"> </w:t>
            </w:r>
            <w:r w:rsidRPr="00D1493D">
              <w:t>1900</w:t>
            </w:r>
            <w:r>
              <w:t xml:space="preserve"> </w:t>
            </w:r>
          </w:p>
          <w:p w:rsidR="00261E40" w:rsidRDefault="00261E40" w:rsidP="0025702E">
            <w:pPr>
              <w:rPr>
                <w:color w:val="000000"/>
              </w:rPr>
            </w:pPr>
            <w:r w:rsidRPr="00D1493D">
              <w:t>Columbus, O</w:t>
            </w:r>
            <w:r>
              <w:t>H</w:t>
            </w:r>
            <w:r w:rsidRPr="00D1493D">
              <w:t xml:space="preserve"> 43215</w:t>
            </w:r>
          </w:p>
          <w:p w:rsidR="00261E40" w:rsidRDefault="00261E40" w:rsidP="0025702E">
            <w:pPr>
              <w:rPr>
                <w:color w:val="0000FF"/>
              </w:rPr>
            </w:pPr>
            <w:r w:rsidRPr="00022877">
              <w:t>joseph.clark@directenergy.com</w:t>
            </w:r>
          </w:p>
          <w:p w:rsidR="00261E40" w:rsidRDefault="00261E40" w:rsidP="0025702E">
            <w:pPr>
              <w:rPr>
                <w:color w:val="0000FF"/>
              </w:rPr>
            </w:pPr>
          </w:p>
          <w:p w:rsidR="00261E40" w:rsidRPr="00C53C4A" w:rsidRDefault="00261E40" w:rsidP="0025702E">
            <w:r w:rsidRPr="00CF3120">
              <w:rPr>
                <w:b/>
                <w:color w:val="000000"/>
              </w:rPr>
              <w:t>Attorney for Direct Energy Services, LLC</w:t>
            </w:r>
            <w:r>
              <w:rPr>
                <w:b/>
                <w:color w:val="000000"/>
              </w:rPr>
              <w:t>,</w:t>
            </w:r>
            <w:r w:rsidRPr="00CF3120">
              <w:rPr>
                <w:b/>
                <w:color w:val="000000"/>
              </w:rPr>
              <w:t xml:space="preserve"> and</w:t>
            </w:r>
            <w:r>
              <w:rPr>
                <w:b/>
                <w:color w:val="000000"/>
              </w:rPr>
              <w:t xml:space="preserve"> </w:t>
            </w:r>
            <w:r w:rsidRPr="00CF3120">
              <w:rPr>
                <w:b/>
                <w:color w:val="000000"/>
              </w:rPr>
              <w:t>Direct Energy Business, LLC</w:t>
            </w:r>
          </w:p>
        </w:tc>
        <w:tc>
          <w:tcPr>
            <w:tcW w:w="4428" w:type="dxa"/>
          </w:tcPr>
          <w:p w:rsidR="00261E40" w:rsidRPr="00CF3120" w:rsidRDefault="00261E40" w:rsidP="0025702E">
            <w:r w:rsidRPr="00CF3120">
              <w:t>M. Howard Petricoff, Trial Counsel</w:t>
            </w:r>
          </w:p>
          <w:p w:rsidR="00261E40" w:rsidRPr="00CF3120" w:rsidRDefault="00261E40" w:rsidP="0025702E">
            <w:r w:rsidRPr="00CF3120">
              <w:t>Stephen M. Howard</w:t>
            </w:r>
          </w:p>
          <w:p w:rsidR="00261E40" w:rsidRPr="00CF3120" w:rsidRDefault="00261E40" w:rsidP="0025702E">
            <w:r w:rsidRPr="003F5F18">
              <w:rPr>
                <w:iCs/>
              </w:rPr>
              <w:t>52</w:t>
            </w:r>
            <w:r w:rsidRPr="00CF3120">
              <w:rPr>
                <w:i/>
                <w:iCs/>
              </w:rPr>
              <w:t xml:space="preserve"> </w:t>
            </w:r>
            <w:r w:rsidRPr="00CF3120">
              <w:t>East Gay Street</w:t>
            </w:r>
          </w:p>
          <w:p w:rsidR="00261E40" w:rsidRPr="00CF3120" w:rsidRDefault="00261E40" w:rsidP="0025702E">
            <w:r w:rsidRPr="00CF3120">
              <w:t>P. 0. Box 1008</w:t>
            </w:r>
          </w:p>
          <w:p w:rsidR="00261E40" w:rsidRPr="00CF3120" w:rsidRDefault="00261E40" w:rsidP="0025702E">
            <w:r w:rsidRPr="00CF3120">
              <w:t>Columbus, Ohio 43216-1008</w:t>
            </w:r>
          </w:p>
          <w:p w:rsidR="00261E40" w:rsidRPr="00CF3120" w:rsidRDefault="00261E40" w:rsidP="0025702E">
            <w:r w:rsidRPr="00022877">
              <w:t>mhpetricoff@vorys.com</w:t>
            </w:r>
          </w:p>
          <w:p w:rsidR="00261E40" w:rsidRPr="00CF3120" w:rsidRDefault="00261E40" w:rsidP="0025702E">
            <w:r w:rsidRPr="00022877">
              <w:t>smhoward@vorys.com</w:t>
            </w:r>
          </w:p>
          <w:p w:rsidR="00261E40" w:rsidRPr="00CF3120" w:rsidRDefault="00261E40" w:rsidP="0025702E"/>
          <w:p w:rsidR="00261E40" w:rsidRDefault="00261E40" w:rsidP="0025702E">
            <w:r w:rsidRPr="00CF3120">
              <w:rPr>
                <w:b/>
              </w:rPr>
              <w:t>Attorneys for Interstate Gas Supply, Inc.</w:t>
            </w:r>
          </w:p>
        </w:tc>
      </w:tr>
      <w:tr w:rsidR="00261E40" w:rsidRPr="002B3F8A" w:rsidTr="0025702E">
        <w:tc>
          <w:tcPr>
            <w:tcW w:w="4428" w:type="dxa"/>
          </w:tcPr>
          <w:p w:rsidR="00261E40" w:rsidRDefault="00261E40" w:rsidP="0025702E">
            <w:pPr>
              <w:rPr>
                <w:color w:val="000000"/>
              </w:rPr>
            </w:pPr>
          </w:p>
          <w:p w:rsidR="00261E40" w:rsidRPr="00CF3120" w:rsidRDefault="00261E40" w:rsidP="0025702E">
            <w:pPr>
              <w:rPr>
                <w:b/>
                <w:color w:val="000000"/>
              </w:rPr>
            </w:pPr>
          </w:p>
        </w:tc>
        <w:tc>
          <w:tcPr>
            <w:tcW w:w="4428" w:type="dxa"/>
          </w:tcPr>
          <w:p w:rsidR="00261E40" w:rsidRDefault="00261E40" w:rsidP="0025702E">
            <w:pPr>
              <w:rPr>
                <w:sz w:val="23"/>
                <w:szCs w:val="23"/>
              </w:rPr>
            </w:pPr>
          </w:p>
          <w:p w:rsidR="00261E40" w:rsidRPr="00CF3120" w:rsidRDefault="00261E40" w:rsidP="0025702E">
            <w:pPr>
              <w:rPr>
                <w:b/>
                <w:color w:val="000000"/>
              </w:rPr>
            </w:pPr>
          </w:p>
        </w:tc>
      </w:tr>
    </w:tbl>
    <w:p w:rsidR="00047217" w:rsidRPr="00047217" w:rsidRDefault="00047217" w:rsidP="00047217">
      <w:pPr>
        <w:pStyle w:val="Header"/>
        <w:tabs>
          <w:tab w:val="clear" w:pos="4320"/>
          <w:tab w:val="clear" w:pos="8640"/>
        </w:tabs>
        <w:spacing w:line="480" w:lineRule="auto"/>
        <w:jc w:val="both"/>
        <w:rPr>
          <w:rFonts w:ascii="Times New Roman" w:hAnsi="Times New Roman"/>
          <w:szCs w:val="24"/>
        </w:rPr>
      </w:pPr>
    </w:p>
    <w:sectPr w:rsidR="00047217" w:rsidRPr="00047217" w:rsidSect="00516F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EF" w:rsidRDefault="005605EF">
      <w:r>
        <w:separator/>
      </w:r>
    </w:p>
  </w:endnote>
  <w:endnote w:type="continuationSeparator" w:id="0">
    <w:p w:rsidR="005605EF" w:rsidRDefault="0056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F8" w:rsidRDefault="00562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BE" w:rsidRDefault="007B03BE">
    <w:pPr>
      <w:pStyle w:val="Footer"/>
      <w:framePr w:wrap="around" w:vAnchor="text" w:hAnchor="margin" w:xAlign="center" w:y="1"/>
      <w:rPr>
        <w:rStyle w:val="PageNumber"/>
      </w:rPr>
    </w:pPr>
    <w:r>
      <w:rPr>
        <w:rStyle w:val="PageNumber"/>
      </w:rPr>
      <w:t>-</w:t>
    </w:r>
    <w:r w:rsidR="0053640F">
      <w:rPr>
        <w:rStyle w:val="PageNumber"/>
      </w:rPr>
      <w:fldChar w:fldCharType="begin"/>
    </w:r>
    <w:r>
      <w:rPr>
        <w:rStyle w:val="PageNumber"/>
      </w:rPr>
      <w:instrText xml:space="preserve">PAGE  </w:instrText>
    </w:r>
    <w:r w:rsidR="0053640F">
      <w:rPr>
        <w:rStyle w:val="PageNumber"/>
      </w:rPr>
      <w:fldChar w:fldCharType="separate"/>
    </w:r>
    <w:r w:rsidR="00DE7D3F">
      <w:rPr>
        <w:rStyle w:val="PageNumber"/>
        <w:noProof/>
      </w:rPr>
      <w:t>2</w:t>
    </w:r>
    <w:r w:rsidR="0053640F">
      <w:rPr>
        <w:rStyle w:val="PageNumber"/>
      </w:rPr>
      <w:fldChar w:fldCharType="end"/>
    </w:r>
    <w:r>
      <w:rPr>
        <w:rStyle w:val="PageNumber"/>
      </w:rPr>
      <w:t>-</w:t>
    </w:r>
  </w:p>
  <w:p w:rsidR="007B03BE" w:rsidRPr="00466641" w:rsidRDefault="007B03BE">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F8" w:rsidRDefault="00562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EF" w:rsidRDefault="005605EF">
      <w:r>
        <w:separator/>
      </w:r>
    </w:p>
  </w:footnote>
  <w:footnote w:type="continuationSeparator" w:id="0">
    <w:p w:rsidR="005605EF" w:rsidRDefault="005605EF">
      <w:r>
        <w:continuationSeparator/>
      </w:r>
    </w:p>
  </w:footnote>
  <w:footnote w:id="1">
    <w:p w:rsidR="002A797F" w:rsidRDefault="002A797F">
      <w:pPr>
        <w:pStyle w:val="FootnoteText"/>
      </w:pPr>
      <w:r>
        <w:rPr>
          <w:rStyle w:val="FootnoteReference"/>
        </w:rPr>
        <w:footnoteRef/>
      </w:r>
      <w:r>
        <w:t xml:space="preserve"> The term “Joint Movants” collectively refers to the group of intervenors that has filed several joint procedural pleadings in these dockets; namely, the Office of the Ohio Consumers’ Counsel (OCC), Kroger Company, Ohio Manufacturers’ Association</w:t>
      </w:r>
      <w:r w:rsidR="004F4943">
        <w:t xml:space="preserve"> (OMA)</w:t>
      </w:r>
      <w:r>
        <w:t>, and Ohio Partners for Affordable Energy</w:t>
      </w:r>
      <w:r w:rsidR="004F4943">
        <w:t xml:space="preserve"> (OPAE)</w:t>
      </w:r>
      <w:r>
        <w:t>.</w:t>
      </w:r>
    </w:p>
  </w:footnote>
  <w:footnote w:id="2">
    <w:p w:rsidR="004E14AC" w:rsidRPr="004F4943" w:rsidRDefault="004E14AC">
      <w:pPr>
        <w:pStyle w:val="FootnoteText"/>
      </w:pPr>
      <w:r>
        <w:rPr>
          <w:rStyle w:val="FootnoteReference"/>
        </w:rPr>
        <w:footnoteRef/>
      </w:r>
      <w:r>
        <w:t xml:space="preserve"> </w:t>
      </w:r>
      <w:r w:rsidR="004F4943" w:rsidRPr="004F4943">
        <w:rPr>
          <w:bCs/>
          <w:i/>
        </w:rPr>
        <w:t>In the Matter of the Application of Duke Energy Ohio, Inc., for an Increase in its Natural Gas Distribution Rates</w:t>
      </w:r>
      <w:r w:rsidR="004F4943">
        <w:rPr>
          <w:bCs/>
        </w:rPr>
        <w:t xml:space="preserve">, Case No. 12-1685-GA-AIR, </w:t>
      </w:r>
      <w:r w:rsidR="004F4943">
        <w:rPr>
          <w:bCs/>
          <w:i/>
        </w:rPr>
        <w:t>et al.</w:t>
      </w:r>
      <w:r w:rsidR="004F4943">
        <w:rPr>
          <w:bCs/>
        </w:rPr>
        <w:t xml:space="preserve"> (Gas Case), Opinion and Order (November 13, 2013).</w:t>
      </w:r>
    </w:p>
  </w:footnote>
  <w:footnote w:id="3">
    <w:p w:rsidR="004E14AC" w:rsidRDefault="004E14AC">
      <w:pPr>
        <w:pStyle w:val="FootnoteText"/>
      </w:pPr>
      <w:r>
        <w:rPr>
          <w:rStyle w:val="FootnoteReference"/>
        </w:rPr>
        <w:footnoteRef/>
      </w:r>
      <w:r>
        <w:t xml:space="preserve"> </w:t>
      </w:r>
      <w:r w:rsidR="004F4943">
        <w:t>Gas Case, Motion for a Stay (December 2, 2013).</w:t>
      </w:r>
    </w:p>
  </w:footnote>
  <w:footnote w:id="4">
    <w:p w:rsidR="004E14AC" w:rsidRDefault="004E14AC">
      <w:pPr>
        <w:pStyle w:val="FootnoteText"/>
      </w:pPr>
      <w:r>
        <w:rPr>
          <w:rStyle w:val="FootnoteReference"/>
        </w:rPr>
        <w:footnoteRef/>
      </w:r>
      <w:r>
        <w:t xml:space="preserve"> </w:t>
      </w:r>
      <w:r w:rsidR="004F4943">
        <w:t xml:space="preserve">Gas Case, </w:t>
      </w:r>
      <w:r w:rsidR="008D27D3">
        <w:t>Memorandum Contra Motion for Stay (December 13, 2013).</w:t>
      </w:r>
    </w:p>
  </w:footnote>
  <w:footnote w:id="5">
    <w:p w:rsidR="004E14AC" w:rsidRDefault="004E14AC">
      <w:pPr>
        <w:pStyle w:val="FootnoteText"/>
      </w:pPr>
      <w:r>
        <w:rPr>
          <w:rStyle w:val="FootnoteReference"/>
        </w:rPr>
        <w:footnoteRef/>
      </w:r>
      <w:r>
        <w:t xml:space="preserve"> </w:t>
      </w:r>
      <w:r w:rsidR="008D27D3">
        <w:t>Gas Case, Entry (February 19, 2014).</w:t>
      </w:r>
    </w:p>
  </w:footnote>
  <w:footnote w:id="6">
    <w:p w:rsidR="004E14AC" w:rsidRDefault="004E14AC">
      <w:pPr>
        <w:pStyle w:val="FootnoteText"/>
      </w:pPr>
      <w:r>
        <w:rPr>
          <w:rStyle w:val="FootnoteReference"/>
        </w:rPr>
        <w:footnoteRef/>
      </w:r>
      <w:r>
        <w:t xml:space="preserve"> </w:t>
      </w:r>
      <w:r w:rsidR="00836359">
        <w:t>Gas Case, Application for Rehearing (December 13, 2013).</w:t>
      </w:r>
    </w:p>
  </w:footnote>
  <w:footnote w:id="7">
    <w:p w:rsidR="004E14AC" w:rsidRDefault="004E14AC">
      <w:pPr>
        <w:pStyle w:val="FootnoteText"/>
      </w:pPr>
      <w:r>
        <w:rPr>
          <w:rStyle w:val="FootnoteReference"/>
        </w:rPr>
        <w:footnoteRef/>
      </w:r>
      <w:r>
        <w:t xml:space="preserve"> </w:t>
      </w:r>
      <w:r w:rsidR="00836359">
        <w:t>Gas Case, Entry on Rehearing (January 8, 2014)</w:t>
      </w:r>
    </w:p>
  </w:footnote>
  <w:footnote w:id="8">
    <w:p w:rsidR="004E14AC" w:rsidRDefault="004E14AC">
      <w:pPr>
        <w:pStyle w:val="FootnoteText"/>
      </w:pPr>
      <w:r>
        <w:rPr>
          <w:rStyle w:val="FootnoteReference"/>
        </w:rPr>
        <w:footnoteRef/>
      </w:r>
      <w:r>
        <w:t xml:space="preserve"> </w:t>
      </w:r>
      <w:r w:rsidR="00836359">
        <w:t>Gas Case, Notice of Appeal of OPAE (March 5, 2014); Gas Case, Notice of Appeal of OCC and OMA (March 10, 2014); Gas Case, Notice of Appeal of the Kroger Company (March 10, 2014).</w:t>
      </w:r>
    </w:p>
  </w:footnote>
  <w:footnote w:id="9">
    <w:p w:rsidR="004E14AC" w:rsidRDefault="004E14AC">
      <w:pPr>
        <w:pStyle w:val="FootnoteText"/>
      </w:pPr>
      <w:r>
        <w:rPr>
          <w:rStyle w:val="FootnoteReference"/>
        </w:rPr>
        <w:footnoteRef/>
      </w:r>
      <w:r>
        <w:t xml:space="preserve"> </w:t>
      </w:r>
      <w:r w:rsidR="00836359">
        <w:t>Gas Case, Second Joint Application for Rehearing (March 21, 2014).</w:t>
      </w:r>
    </w:p>
  </w:footnote>
  <w:footnote w:id="10">
    <w:p w:rsidR="004E14AC" w:rsidRDefault="004E14AC">
      <w:pPr>
        <w:pStyle w:val="FootnoteText"/>
      </w:pPr>
      <w:r>
        <w:rPr>
          <w:rStyle w:val="FootnoteReference"/>
        </w:rPr>
        <w:footnoteRef/>
      </w:r>
      <w:r>
        <w:t xml:space="preserve"> </w:t>
      </w:r>
      <w:r w:rsidR="00836359">
        <w:t>Gas Case, Motion to File Memorandum Contra Instanter (April 2, 2014); Gas Case, Memorandum Contra Second Joint Application for Rehearing (April 2, 2014).</w:t>
      </w:r>
    </w:p>
  </w:footnote>
  <w:footnote w:id="11">
    <w:p w:rsidR="00744C46" w:rsidRDefault="00744C46">
      <w:pPr>
        <w:pStyle w:val="FootnoteText"/>
      </w:pPr>
      <w:r>
        <w:rPr>
          <w:rStyle w:val="FootnoteReference"/>
        </w:rPr>
        <w:footnoteRef/>
      </w:r>
      <w:r>
        <w:t xml:space="preserve"> </w:t>
      </w:r>
      <w:r w:rsidR="003F6E4C">
        <w:t>Gas Case, Motion to Strike, at pp. 1-2.</w:t>
      </w:r>
    </w:p>
  </w:footnote>
  <w:footnote w:id="12">
    <w:p w:rsidR="00554C51" w:rsidRPr="00554C51" w:rsidRDefault="00554C51">
      <w:pPr>
        <w:pStyle w:val="FootnoteText"/>
      </w:pPr>
      <w:r>
        <w:rPr>
          <w:rStyle w:val="FootnoteReference"/>
        </w:rPr>
        <w:footnoteRef/>
      </w:r>
      <w:r>
        <w:t xml:space="preserve"> </w:t>
      </w:r>
      <w:r>
        <w:rPr>
          <w:i/>
        </w:rPr>
        <w:t>In the Matter of the Application of Ohio Edison Company for Authority to Amend its Residential Tariff Nos. 10, 12 and 17</w:t>
      </w:r>
      <w:r>
        <w:t>, Finding and Order, at finding 11 (August 30, 1990).</w:t>
      </w:r>
    </w:p>
  </w:footnote>
  <w:footnote w:id="13">
    <w:p w:rsidR="00AF1694" w:rsidRPr="00AF1694" w:rsidRDefault="00AF1694">
      <w:pPr>
        <w:pStyle w:val="FootnoteText"/>
      </w:pPr>
      <w:r>
        <w:rPr>
          <w:rStyle w:val="FootnoteReference"/>
        </w:rPr>
        <w:footnoteRef/>
      </w:r>
      <w:r>
        <w:t xml:space="preserve"> </w:t>
      </w:r>
      <w:r>
        <w:rPr>
          <w:i/>
        </w:rPr>
        <w:t>In the Matter of the Commission Review of the Capacity Charges of Ohio Power Company and Columbus Southern Power Company</w:t>
      </w:r>
      <w:r>
        <w:t>, Case No. 10-2929-EL-UNC, Entry (April 13, 2012).</w:t>
      </w:r>
    </w:p>
  </w:footnote>
  <w:footnote w:id="14">
    <w:p w:rsidR="00B76EBD" w:rsidRPr="00B76EBD" w:rsidRDefault="00B76EBD">
      <w:pPr>
        <w:pStyle w:val="FootnoteText"/>
      </w:pPr>
      <w:r>
        <w:rPr>
          <w:rStyle w:val="FootnoteReference"/>
        </w:rPr>
        <w:footnoteRef/>
      </w:r>
      <w:r>
        <w:t xml:space="preserve"> </w:t>
      </w:r>
      <w:r>
        <w:rPr>
          <w:i/>
        </w:rPr>
        <w:t>In the Matter of the Continuation of the Rate Freeze and Extension of the Market Development Period for The Dayton Power and Light Company</w:t>
      </w:r>
      <w:r>
        <w:t xml:space="preserve">, Case No. 02-2779-EL-ATA, </w:t>
      </w:r>
      <w:r>
        <w:rPr>
          <w:i/>
        </w:rPr>
        <w:t>et al.</w:t>
      </w:r>
      <w:r>
        <w:t>, Opinion and Order (September 2,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F8" w:rsidRDefault="00562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F8" w:rsidRDefault="00562B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F8" w:rsidRDefault="00562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B0781"/>
    <w:multiLevelType w:val="hybridMultilevel"/>
    <w:tmpl w:val="4732C13A"/>
    <w:lvl w:ilvl="0" w:tplc="F9888F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B1304D"/>
    <w:multiLevelType w:val="hybridMultilevel"/>
    <w:tmpl w:val="47526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6E1C61"/>
    <w:multiLevelType w:val="hybridMultilevel"/>
    <w:tmpl w:val="CC509CDE"/>
    <w:lvl w:ilvl="0" w:tplc="713C6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881DB7"/>
    <w:multiLevelType w:val="hybridMultilevel"/>
    <w:tmpl w:val="4DBA3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B9"/>
    <w:rsid w:val="00022F41"/>
    <w:rsid w:val="0003010C"/>
    <w:rsid w:val="00040126"/>
    <w:rsid w:val="000439C1"/>
    <w:rsid w:val="00046394"/>
    <w:rsid w:val="00047217"/>
    <w:rsid w:val="000644F5"/>
    <w:rsid w:val="00070AFC"/>
    <w:rsid w:val="000822B7"/>
    <w:rsid w:val="00083CC5"/>
    <w:rsid w:val="00084D27"/>
    <w:rsid w:val="00085055"/>
    <w:rsid w:val="00085B38"/>
    <w:rsid w:val="0009388F"/>
    <w:rsid w:val="000A1BC9"/>
    <w:rsid w:val="000B01B8"/>
    <w:rsid w:val="000B1463"/>
    <w:rsid w:val="000B3770"/>
    <w:rsid w:val="000C1008"/>
    <w:rsid w:val="000C5371"/>
    <w:rsid w:val="000C636A"/>
    <w:rsid w:val="000C67D5"/>
    <w:rsid w:val="000D3F0E"/>
    <w:rsid w:val="000E189E"/>
    <w:rsid w:val="000E76A1"/>
    <w:rsid w:val="000F38AE"/>
    <w:rsid w:val="00110C50"/>
    <w:rsid w:val="0011622E"/>
    <w:rsid w:val="00152313"/>
    <w:rsid w:val="00154F93"/>
    <w:rsid w:val="0016710F"/>
    <w:rsid w:val="00173BF5"/>
    <w:rsid w:val="001749AC"/>
    <w:rsid w:val="00192F6E"/>
    <w:rsid w:val="00193FE8"/>
    <w:rsid w:val="001A548B"/>
    <w:rsid w:val="001B6AAD"/>
    <w:rsid w:val="001B71EF"/>
    <w:rsid w:val="001C34DB"/>
    <w:rsid w:val="001C4ED5"/>
    <w:rsid w:val="001D1AEC"/>
    <w:rsid w:val="001D2D58"/>
    <w:rsid w:val="001E0CAF"/>
    <w:rsid w:val="001E1B8C"/>
    <w:rsid w:val="001E53CB"/>
    <w:rsid w:val="001F16EF"/>
    <w:rsid w:val="00201E8B"/>
    <w:rsid w:val="00220AAE"/>
    <w:rsid w:val="0023368E"/>
    <w:rsid w:val="002400E7"/>
    <w:rsid w:val="002403DE"/>
    <w:rsid w:val="0024365D"/>
    <w:rsid w:val="00253B56"/>
    <w:rsid w:val="00254705"/>
    <w:rsid w:val="00261E40"/>
    <w:rsid w:val="00274A94"/>
    <w:rsid w:val="00283715"/>
    <w:rsid w:val="00283EBD"/>
    <w:rsid w:val="00292986"/>
    <w:rsid w:val="00293DB3"/>
    <w:rsid w:val="002942CF"/>
    <w:rsid w:val="002A426A"/>
    <w:rsid w:val="002A5436"/>
    <w:rsid w:val="002A665E"/>
    <w:rsid w:val="002A797F"/>
    <w:rsid w:val="002B69A9"/>
    <w:rsid w:val="002B7104"/>
    <w:rsid w:val="002B7317"/>
    <w:rsid w:val="002C1D37"/>
    <w:rsid w:val="002C5815"/>
    <w:rsid w:val="002C5FA7"/>
    <w:rsid w:val="002D2996"/>
    <w:rsid w:val="002E1B38"/>
    <w:rsid w:val="00300980"/>
    <w:rsid w:val="00302BE2"/>
    <w:rsid w:val="00307AB9"/>
    <w:rsid w:val="00316B3F"/>
    <w:rsid w:val="00316FC6"/>
    <w:rsid w:val="003418BC"/>
    <w:rsid w:val="003457EE"/>
    <w:rsid w:val="00362EFB"/>
    <w:rsid w:val="003871BC"/>
    <w:rsid w:val="00387290"/>
    <w:rsid w:val="003960E4"/>
    <w:rsid w:val="003B6772"/>
    <w:rsid w:val="003C6996"/>
    <w:rsid w:val="003D0EA1"/>
    <w:rsid w:val="003D0F5F"/>
    <w:rsid w:val="003E4734"/>
    <w:rsid w:val="003F306D"/>
    <w:rsid w:val="003F39CB"/>
    <w:rsid w:val="003F6E4C"/>
    <w:rsid w:val="00401B1B"/>
    <w:rsid w:val="00401EA3"/>
    <w:rsid w:val="004122B8"/>
    <w:rsid w:val="00426760"/>
    <w:rsid w:val="0043402A"/>
    <w:rsid w:val="00440F0F"/>
    <w:rsid w:val="004516B2"/>
    <w:rsid w:val="00460F21"/>
    <w:rsid w:val="00466641"/>
    <w:rsid w:val="00486FBF"/>
    <w:rsid w:val="00493DC5"/>
    <w:rsid w:val="004956BD"/>
    <w:rsid w:val="00497559"/>
    <w:rsid w:val="004A16A0"/>
    <w:rsid w:val="004B202C"/>
    <w:rsid w:val="004B469F"/>
    <w:rsid w:val="004C685D"/>
    <w:rsid w:val="004D2F12"/>
    <w:rsid w:val="004E14AC"/>
    <w:rsid w:val="004E18D2"/>
    <w:rsid w:val="004E3A36"/>
    <w:rsid w:val="004F4943"/>
    <w:rsid w:val="004F754D"/>
    <w:rsid w:val="005036F9"/>
    <w:rsid w:val="005103EF"/>
    <w:rsid w:val="00514A06"/>
    <w:rsid w:val="00516FB0"/>
    <w:rsid w:val="005311E6"/>
    <w:rsid w:val="005344F2"/>
    <w:rsid w:val="0053640F"/>
    <w:rsid w:val="00554C51"/>
    <w:rsid w:val="005564AE"/>
    <w:rsid w:val="005605EF"/>
    <w:rsid w:val="00562BF8"/>
    <w:rsid w:val="00563AC1"/>
    <w:rsid w:val="00584DCC"/>
    <w:rsid w:val="00585086"/>
    <w:rsid w:val="005A5948"/>
    <w:rsid w:val="005D5442"/>
    <w:rsid w:val="005E1147"/>
    <w:rsid w:val="005E6C01"/>
    <w:rsid w:val="005F0A95"/>
    <w:rsid w:val="005F2137"/>
    <w:rsid w:val="00610979"/>
    <w:rsid w:val="00620A01"/>
    <w:rsid w:val="006221AE"/>
    <w:rsid w:val="0062470A"/>
    <w:rsid w:val="006361E3"/>
    <w:rsid w:val="00647533"/>
    <w:rsid w:val="006631F9"/>
    <w:rsid w:val="0066333D"/>
    <w:rsid w:val="00665EFC"/>
    <w:rsid w:val="006733F7"/>
    <w:rsid w:val="00683AB8"/>
    <w:rsid w:val="006939DD"/>
    <w:rsid w:val="0069441B"/>
    <w:rsid w:val="006A5D94"/>
    <w:rsid w:val="006C1CD0"/>
    <w:rsid w:val="006C7D09"/>
    <w:rsid w:val="006E0718"/>
    <w:rsid w:val="006E53A7"/>
    <w:rsid w:val="007009A9"/>
    <w:rsid w:val="00702011"/>
    <w:rsid w:val="007175F0"/>
    <w:rsid w:val="00721AC6"/>
    <w:rsid w:val="00744C46"/>
    <w:rsid w:val="00754956"/>
    <w:rsid w:val="007846F3"/>
    <w:rsid w:val="00793F19"/>
    <w:rsid w:val="007958B5"/>
    <w:rsid w:val="007A2FE2"/>
    <w:rsid w:val="007B03BE"/>
    <w:rsid w:val="007E6B56"/>
    <w:rsid w:val="007F2B8B"/>
    <w:rsid w:val="00804C21"/>
    <w:rsid w:val="008141CB"/>
    <w:rsid w:val="0081471D"/>
    <w:rsid w:val="0082350C"/>
    <w:rsid w:val="008235A6"/>
    <w:rsid w:val="0082556D"/>
    <w:rsid w:val="008260D5"/>
    <w:rsid w:val="0083435F"/>
    <w:rsid w:val="00836359"/>
    <w:rsid w:val="00840C37"/>
    <w:rsid w:val="00843C85"/>
    <w:rsid w:val="00850711"/>
    <w:rsid w:val="00862B95"/>
    <w:rsid w:val="00864E14"/>
    <w:rsid w:val="00872870"/>
    <w:rsid w:val="0088108A"/>
    <w:rsid w:val="00894099"/>
    <w:rsid w:val="0089438E"/>
    <w:rsid w:val="008A73D6"/>
    <w:rsid w:val="008B391F"/>
    <w:rsid w:val="008B7E3B"/>
    <w:rsid w:val="008C54ED"/>
    <w:rsid w:val="008C757A"/>
    <w:rsid w:val="008D27D3"/>
    <w:rsid w:val="008E5BCF"/>
    <w:rsid w:val="008F6231"/>
    <w:rsid w:val="00901087"/>
    <w:rsid w:val="009013F2"/>
    <w:rsid w:val="009029CE"/>
    <w:rsid w:val="00903179"/>
    <w:rsid w:val="009116E0"/>
    <w:rsid w:val="00937DDB"/>
    <w:rsid w:val="00945B18"/>
    <w:rsid w:val="0095361A"/>
    <w:rsid w:val="00961776"/>
    <w:rsid w:val="009626FF"/>
    <w:rsid w:val="0096353E"/>
    <w:rsid w:val="00965136"/>
    <w:rsid w:val="009A6A45"/>
    <w:rsid w:val="009C084B"/>
    <w:rsid w:val="009C4D1A"/>
    <w:rsid w:val="009D5340"/>
    <w:rsid w:val="009D6AEB"/>
    <w:rsid w:val="009F665D"/>
    <w:rsid w:val="00A02CA7"/>
    <w:rsid w:val="00A04AFD"/>
    <w:rsid w:val="00A16211"/>
    <w:rsid w:val="00A3189D"/>
    <w:rsid w:val="00A57F68"/>
    <w:rsid w:val="00A602BF"/>
    <w:rsid w:val="00A6169D"/>
    <w:rsid w:val="00A63C51"/>
    <w:rsid w:val="00A73FFA"/>
    <w:rsid w:val="00A80E1A"/>
    <w:rsid w:val="00A84C57"/>
    <w:rsid w:val="00AA26B3"/>
    <w:rsid w:val="00AD23C7"/>
    <w:rsid w:val="00AE026F"/>
    <w:rsid w:val="00AE1A7E"/>
    <w:rsid w:val="00AF1694"/>
    <w:rsid w:val="00B125B6"/>
    <w:rsid w:val="00B173DA"/>
    <w:rsid w:val="00B20683"/>
    <w:rsid w:val="00B26DF0"/>
    <w:rsid w:val="00B317D5"/>
    <w:rsid w:val="00B362AE"/>
    <w:rsid w:val="00B410D9"/>
    <w:rsid w:val="00B63B16"/>
    <w:rsid w:val="00B76EBD"/>
    <w:rsid w:val="00B8163F"/>
    <w:rsid w:val="00B82498"/>
    <w:rsid w:val="00B83C6A"/>
    <w:rsid w:val="00B86FB7"/>
    <w:rsid w:val="00B8733C"/>
    <w:rsid w:val="00B931DD"/>
    <w:rsid w:val="00B942D1"/>
    <w:rsid w:val="00B95AA8"/>
    <w:rsid w:val="00BA4C64"/>
    <w:rsid w:val="00BB343A"/>
    <w:rsid w:val="00BB5A01"/>
    <w:rsid w:val="00BB75F4"/>
    <w:rsid w:val="00BC5DDD"/>
    <w:rsid w:val="00BD7A19"/>
    <w:rsid w:val="00BE0A32"/>
    <w:rsid w:val="00BF2FB2"/>
    <w:rsid w:val="00BF63A8"/>
    <w:rsid w:val="00C15FDE"/>
    <w:rsid w:val="00C35437"/>
    <w:rsid w:val="00C400A0"/>
    <w:rsid w:val="00C4772B"/>
    <w:rsid w:val="00C50444"/>
    <w:rsid w:val="00C56F62"/>
    <w:rsid w:val="00C670C9"/>
    <w:rsid w:val="00C72089"/>
    <w:rsid w:val="00C90076"/>
    <w:rsid w:val="00C923C8"/>
    <w:rsid w:val="00C95E66"/>
    <w:rsid w:val="00CA69A7"/>
    <w:rsid w:val="00CC22D0"/>
    <w:rsid w:val="00CC4F2A"/>
    <w:rsid w:val="00CC6918"/>
    <w:rsid w:val="00CC7B9A"/>
    <w:rsid w:val="00CF0CBD"/>
    <w:rsid w:val="00CF1EFD"/>
    <w:rsid w:val="00CF319C"/>
    <w:rsid w:val="00CF4CBB"/>
    <w:rsid w:val="00D05664"/>
    <w:rsid w:val="00D10230"/>
    <w:rsid w:val="00D14DAC"/>
    <w:rsid w:val="00D1581E"/>
    <w:rsid w:val="00D23F67"/>
    <w:rsid w:val="00D244EB"/>
    <w:rsid w:val="00D265B6"/>
    <w:rsid w:val="00D33105"/>
    <w:rsid w:val="00D33C41"/>
    <w:rsid w:val="00D42EBD"/>
    <w:rsid w:val="00D53EF4"/>
    <w:rsid w:val="00D613D7"/>
    <w:rsid w:val="00D64087"/>
    <w:rsid w:val="00D83466"/>
    <w:rsid w:val="00D83627"/>
    <w:rsid w:val="00D86D06"/>
    <w:rsid w:val="00D876E4"/>
    <w:rsid w:val="00D90E42"/>
    <w:rsid w:val="00DA7A98"/>
    <w:rsid w:val="00DC6842"/>
    <w:rsid w:val="00DD3F84"/>
    <w:rsid w:val="00DD714A"/>
    <w:rsid w:val="00DE1C51"/>
    <w:rsid w:val="00DE46A0"/>
    <w:rsid w:val="00DE7D3F"/>
    <w:rsid w:val="00DF2A79"/>
    <w:rsid w:val="00DF6155"/>
    <w:rsid w:val="00DF7680"/>
    <w:rsid w:val="00E04645"/>
    <w:rsid w:val="00E061C1"/>
    <w:rsid w:val="00E12629"/>
    <w:rsid w:val="00E1773F"/>
    <w:rsid w:val="00E40A9A"/>
    <w:rsid w:val="00E431F4"/>
    <w:rsid w:val="00E4643D"/>
    <w:rsid w:val="00E61E1A"/>
    <w:rsid w:val="00E63AE1"/>
    <w:rsid w:val="00E80270"/>
    <w:rsid w:val="00EA209E"/>
    <w:rsid w:val="00EB4D4D"/>
    <w:rsid w:val="00EC4863"/>
    <w:rsid w:val="00EC600F"/>
    <w:rsid w:val="00EE11BE"/>
    <w:rsid w:val="00F04074"/>
    <w:rsid w:val="00F108E2"/>
    <w:rsid w:val="00F13B9B"/>
    <w:rsid w:val="00F32153"/>
    <w:rsid w:val="00F37A31"/>
    <w:rsid w:val="00F40225"/>
    <w:rsid w:val="00F40B7A"/>
    <w:rsid w:val="00F44079"/>
    <w:rsid w:val="00F5063C"/>
    <w:rsid w:val="00F5426B"/>
    <w:rsid w:val="00F73A3F"/>
    <w:rsid w:val="00F901A6"/>
    <w:rsid w:val="00F92AD3"/>
    <w:rsid w:val="00F97219"/>
    <w:rsid w:val="00FB2526"/>
    <w:rsid w:val="00FC0188"/>
    <w:rsid w:val="00FE4AD5"/>
    <w:rsid w:val="00FE684C"/>
    <w:rsid w:val="00FF01B0"/>
    <w:rsid w:val="00FF1417"/>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89"/>
    <w:rPr>
      <w:sz w:val="24"/>
      <w:szCs w:val="24"/>
    </w:rPr>
  </w:style>
  <w:style w:type="paragraph" w:styleId="Heading1">
    <w:name w:val="heading 1"/>
    <w:basedOn w:val="Normal"/>
    <w:next w:val="Normal"/>
    <w:qFormat/>
    <w:rsid w:val="00C72089"/>
    <w:pPr>
      <w:keepNext/>
      <w:ind w:left="5040" w:hanging="5040"/>
      <w:jc w:val="center"/>
      <w:outlineLvl w:val="0"/>
    </w:pPr>
    <w:rPr>
      <w:rFonts w:ascii="Bookman Old Style" w:hAnsi="Bookman Old Style"/>
      <w:b/>
      <w:sz w:val="28"/>
      <w:szCs w:val="20"/>
    </w:rPr>
  </w:style>
  <w:style w:type="paragraph" w:styleId="Heading2">
    <w:name w:val="heading 2"/>
    <w:basedOn w:val="Normal"/>
    <w:next w:val="Normal"/>
    <w:qFormat/>
    <w:rsid w:val="00C72089"/>
    <w:pPr>
      <w:keepNext/>
      <w:jc w:val="center"/>
      <w:outlineLvl w:val="1"/>
    </w:pPr>
    <w:rPr>
      <w:b/>
      <w:bCs/>
    </w:rPr>
  </w:style>
  <w:style w:type="paragraph" w:styleId="Heading4">
    <w:name w:val="heading 4"/>
    <w:basedOn w:val="Normal"/>
    <w:next w:val="Normal"/>
    <w:qFormat/>
    <w:rsid w:val="007F2B8B"/>
    <w:pPr>
      <w:keepNext/>
      <w:spacing w:before="240" w:after="60"/>
      <w:outlineLvl w:val="3"/>
    </w:pPr>
    <w:rPr>
      <w:b/>
      <w:bCs/>
      <w:sz w:val="28"/>
      <w:szCs w:val="28"/>
    </w:rPr>
  </w:style>
  <w:style w:type="paragraph" w:styleId="Heading6">
    <w:name w:val="heading 6"/>
    <w:basedOn w:val="Normal"/>
    <w:next w:val="Normal"/>
    <w:qFormat/>
    <w:rsid w:val="007F2B8B"/>
    <w:pPr>
      <w:spacing w:before="240" w:after="60"/>
      <w:outlineLvl w:val="5"/>
    </w:pPr>
    <w:rPr>
      <w:b/>
      <w:bCs/>
      <w:sz w:val="22"/>
      <w:szCs w:val="22"/>
    </w:rPr>
  </w:style>
  <w:style w:type="paragraph" w:styleId="Heading7">
    <w:name w:val="heading 7"/>
    <w:basedOn w:val="Normal"/>
    <w:next w:val="Normal"/>
    <w:qFormat/>
    <w:rsid w:val="007F2B8B"/>
    <w:pPr>
      <w:spacing w:before="240" w:after="60"/>
      <w:outlineLvl w:val="6"/>
    </w:pPr>
  </w:style>
  <w:style w:type="paragraph" w:styleId="Heading9">
    <w:name w:val="heading 9"/>
    <w:basedOn w:val="Normal"/>
    <w:next w:val="Normal"/>
    <w:qFormat/>
    <w:rsid w:val="004A16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2089"/>
    <w:pPr>
      <w:jc w:val="center"/>
    </w:pPr>
    <w:rPr>
      <w:rFonts w:ascii="Bookman Old Style" w:hAnsi="Bookman Old Style"/>
      <w:b/>
      <w:sz w:val="28"/>
      <w:szCs w:val="20"/>
    </w:rPr>
  </w:style>
  <w:style w:type="paragraph" w:styleId="BodyText">
    <w:name w:val="Body Text"/>
    <w:basedOn w:val="Normal"/>
    <w:rsid w:val="00C72089"/>
    <w:pPr>
      <w:spacing w:line="480" w:lineRule="auto"/>
      <w:jc w:val="both"/>
    </w:pPr>
    <w:rPr>
      <w:rFonts w:ascii="Bookman Old Style" w:hAnsi="Bookman Old Style"/>
      <w:szCs w:val="20"/>
    </w:rPr>
  </w:style>
  <w:style w:type="paragraph" w:styleId="Header">
    <w:name w:val="header"/>
    <w:basedOn w:val="Normal"/>
    <w:rsid w:val="00C72089"/>
    <w:pPr>
      <w:widowControl w:val="0"/>
      <w:tabs>
        <w:tab w:val="center" w:pos="4320"/>
        <w:tab w:val="right" w:pos="8640"/>
      </w:tabs>
    </w:pPr>
    <w:rPr>
      <w:rFonts w:ascii="Arial" w:hAnsi="Arial"/>
      <w:snapToGrid w:val="0"/>
      <w:szCs w:val="20"/>
    </w:rPr>
  </w:style>
  <w:style w:type="paragraph" w:styleId="BodyTextIndent">
    <w:name w:val="Body Text Indent"/>
    <w:basedOn w:val="Normal"/>
    <w:rsid w:val="00C72089"/>
    <w:pPr>
      <w:spacing w:line="480" w:lineRule="auto"/>
      <w:ind w:right="-180" w:firstLine="1440"/>
      <w:jc w:val="both"/>
    </w:pPr>
  </w:style>
  <w:style w:type="paragraph" w:styleId="Footer">
    <w:name w:val="footer"/>
    <w:basedOn w:val="Normal"/>
    <w:rsid w:val="00C72089"/>
    <w:pPr>
      <w:tabs>
        <w:tab w:val="center" w:pos="4320"/>
        <w:tab w:val="right" w:pos="8640"/>
      </w:tabs>
    </w:pPr>
  </w:style>
  <w:style w:type="character" w:styleId="PageNumber">
    <w:name w:val="page number"/>
    <w:basedOn w:val="DefaultParagraphFont"/>
    <w:rsid w:val="00C72089"/>
  </w:style>
  <w:style w:type="paragraph" w:styleId="BlockText">
    <w:name w:val="Block Text"/>
    <w:basedOn w:val="Normal"/>
    <w:rsid w:val="00C72089"/>
    <w:pPr>
      <w:ind w:left="3600" w:right="720"/>
    </w:pPr>
  </w:style>
  <w:style w:type="paragraph" w:styleId="BodyText2">
    <w:name w:val="Body Text 2"/>
    <w:basedOn w:val="Normal"/>
    <w:rsid w:val="00C72089"/>
    <w:pPr>
      <w:spacing w:line="480" w:lineRule="auto"/>
      <w:ind w:right="720"/>
    </w:pPr>
  </w:style>
  <w:style w:type="paragraph" w:styleId="FootnoteText">
    <w:name w:val="footnote text"/>
    <w:basedOn w:val="Normal"/>
    <w:semiHidden/>
    <w:rsid w:val="00C72089"/>
    <w:rPr>
      <w:sz w:val="20"/>
      <w:szCs w:val="20"/>
    </w:rPr>
  </w:style>
  <w:style w:type="character" w:styleId="FootnoteReference">
    <w:name w:val="footnote reference"/>
    <w:basedOn w:val="DefaultParagraphFont"/>
    <w:semiHidden/>
    <w:rsid w:val="00C72089"/>
    <w:rPr>
      <w:vertAlign w:val="superscript"/>
    </w:rPr>
  </w:style>
  <w:style w:type="paragraph" w:styleId="BodyTextIndent2">
    <w:name w:val="Body Text Indent 2"/>
    <w:basedOn w:val="Normal"/>
    <w:rsid w:val="00C72089"/>
    <w:pPr>
      <w:spacing w:line="480" w:lineRule="auto"/>
      <w:ind w:firstLine="720"/>
      <w:jc w:val="both"/>
    </w:pPr>
  </w:style>
  <w:style w:type="paragraph" w:styleId="BalloonText">
    <w:name w:val="Balloon Text"/>
    <w:basedOn w:val="Normal"/>
    <w:semiHidden/>
    <w:rsid w:val="0023368E"/>
    <w:rPr>
      <w:rFonts w:ascii="Tahoma" w:hAnsi="Tahoma" w:cs="Tahoma"/>
      <w:sz w:val="16"/>
      <w:szCs w:val="16"/>
    </w:rPr>
  </w:style>
  <w:style w:type="paragraph" w:customStyle="1" w:styleId="BodyTextSingle">
    <w:name w:val="Body Text Single"/>
    <w:aliases w:val="bs"/>
    <w:basedOn w:val="Normal"/>
    <w:rsid w:val="00A57F68"/>
    <w:pPr>
      <w:spacing w:after="240"/>
      <w:jc w:val="both"/>
    </w:pPr>
  </w:style>
  <w:style w:type="paragraph" w:styleId="BodyText3">
    <w:name w:val="Body Text 3"/>
    <w:basedOn w:val="Normal"/>
    <w:rsid w:val="004A16A0"/>
    <w:pPr>
      <w:spacing w:after="120"/>
    </w:pPr>
    <w:rPr>
      <w:rFonts w:ascii="Bookman Old Style" w:hAnsi="Bookman Old Style"/>
      <w:sz w:val="16"/>
      <w:szCs w:val="16"/>
    </w:rPr>
  </w:style>
  <w:style w:type="paragraph" w:styleId="EndnoteText">
    <w:name w:val="endnote text"/>
    <w:basedOn w:val="Normal"/>
    <w:link w:val="EndnoteTextChar"/>
    <w:rsid w:val="00040126"/>
    <w:pPr>
      <w:widowControl w:val="0"/>
    </w:pPr>
    <w:rPr>
      <w:rFonts w:ascii="Courier New" w:hAnsi="Courier New"/>
      <w:snapToGrid w:val="0"/>
      <w:szCs w:val="20"/>
    </w:rPr>
  </w:style>
  <w:style w:type="paragraph" w:styleId="HTMLPreformatted">
    <w:name w:val="HTML Preformatted"/>
    <w:basedOn w:val="Normal"/>
    <w:rsid w:val="0004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uiPriority w:val="59"/>
    <w:rsid w:val="0004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rsid w:val="006E53A7"/>
    <w:pPr>
      <w:widowControl w:val="0"/>
    </w:pPr>
    <w:rPr>
      <w:rFonts w:ascii="Courier New" w:eastAsia="ヒラギノ角ゴ Pro W3" w:hAnsi="Courier New"/>
      <w:color w:val="000000"/>
      <w:sz w:val="24"/>
    </w:rPr>
  </w:style>
  <w:style w:type="character" w:styleId="Hyperlink">
    <w:name w:val="Hyperlink"/>
    <w:basedOn w:val="DefaultParagraphFont"/>
    <w:rsid w:val="002E1B38"/>
    <w:rPr>
      <w:color w:val="0000FF"/>
      <w:u w:val="single"/>
    </w:rPr>
  </w:style>
  <w:style w:type="character" w:customStyle="1" w:styleId="TitleChar">
    <w:name w:val="Title Char"/>
    <w:basedOn w:val="DefaultParagraphFont"/>
    <w:link w:val="Title"/>
    <w:rsid w:val="00B317D5"/>
    <w:rPr>
      <w:rFonts w:ascii="Bookman Old Style" w:hAnsi="Bookman Old Style"/>
      <w:b/>
      <w:sz w:val="28"/>
    </w:rPr>
  </w:style>
  <w:style w:type="paragraph" w:customStyle="1" w:styleId="TitleA">
    <w:name w:val="Title A"/>
    <w:rsid w:val="00B317D5"/>
    <w:pPr>
      <w:jc w:val="center"/>
    </w:pPr>
    <w:rPr>
      <w:rFonts w:eastAsia="ヒラギノ角ゴ Pro W3"/>
      <w:b/>
      <w:color w:val="000000"/>
      <w:sz w:val="24"/>
    </w:rPr>
  </w:style>
  <w:style w:type="character" w:customStyle="1" w:styleId="LineNumber1">
    <w:name w:val="Line Number1"/>
    <w:autoRedefine/>
    <w:rsid w:val="00B317D5"/>
    <w:rPr>
      <w:rFonts w:ascii="Times New Roman" w:eastAsia="ヒラギノ角ゴ Pro W3" w:hAnsi="Times New Roman"/>
      <w:b w:val="0"/>
      <w:i w:val="0"/>
      <w:color w:val="000000"/>
      <w:sz w:val="24"/>
    </w:rPr>
  </w:style>
  <w:style w:type="character" w:customStyle="1" w:styleId="EndnoteTextChar">
    <w:name w:val="Endnote Text Char"/>
    <w:basedOn w:val="DefaultParagraphFont"/>
    <w:link w:val="EndnoteText"/>
    <w:rsid w:val="00B317D5"/>
    <w:rPr>
      <w:rFonts w:ascii="Courier New" w:hAnsi="Courier New"/>
      <w:snapToGrid w:val="0"/>
      <w:sz w:val="24"/>
    </w:rPr>
  </w:style>
  <w:style w:type="character" w:styleId="CommentReference">
    <w:name w:val="annotation reference"/>
    <w:basedOn w:val="DefaultParagraphFont"/>
    <w:rsid w:val="005A5948"/>
    <w:rPr>
      <w:sz w:val="16"/>
      <w:szCs w:val="16"/>
    </w:rPr>
  </w:style>
  <w:style w:type="paragraph" w:styleId="CommentText">
    <w:name w:val="annotation text"/>
    <w:basedOn w:val="Normal"/>
    <w:link w:val="CommentTextChar"/>
    <w:rsid w:val="005A5948"/>
    <w:rPr>
      <w:sz w:val="20"/>
      <w:szCs w:val="20"/>
    </w:rPr>
  </w:style>
  <w:style w:type="character" w:customStyle="1" w:styleId="CommentTextChar">
    <w:name w:val="Comment Text Char"/>
    <w:basedOn w:val="DefaultParagraphFont"/>
    <w:link w:val="CommentText"/>
    <w:rsid w:val="005A5948"/>
  </w:style>
  <w:style w:type="paragraph" w:styleId="CommentSubject">
    <w:name w:val="annotation subject"/>
    <w:basedOn w:val="CommentText"/>
    <w:next w:val="CommentText"/>
    <w:link w:val="CommentSubjectChar"/>
    <w:rsid w:val="005A5948"/>
    <w:rPr>
      <w:b/>
      <w:bCs/>
    </w:rPr>
  </w:style>
  <w:style w:type="character" w:customStyle="1" w:styleId="CommentSubjectChar">
    <w:name w:val="Comment Subject Char"/>
    <w:basedOn w:val="CommentTextChar"/>
    <w:link w:val="CommentSubject"/>
    <w:rsid w:val="005A5948"/>
    <w:rPr>
      <w:b/>
      <w:bCs/>
    </w:rPr>
  </w:style>
  <w:style w:type="character" w:styleId="FollowedHyperlink">
    <w:name w:val="FollowedHyperlink"/>
    <w:basedOn w:val="DefaultParagraphFont"/>
    <w:rsid w:val="003F39CB"/>
    <w:rPr>
      <w:color w:val="800080"/>
      <w:u w:val="single"/>
    </w:rPr>
  </w:style>
  <w:style w:type="paragraph" w:styleId="ListParagraph">
    <w:name w:val="List Paragraph"/>
    <w:basedOn w:val="Normal"/>
    <w:uiPriority w:val="34"/>
    <w:qFormat/>
    <w:rsid w:val="00C923C8"/>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89"/>
    <w:rPr>
      <w:sz w:val="24"/>
      <w:szCs w:val="24"/>
    </w:rPr>
  </w:style>
  <w:style w:type="paragraph" w:styleId="Heading1">
    <w:name w:val="heading 1"/>
    <w:basedOn w:val="Normal"/>
    <w:next w:val="Normal"/>
    <w:qFormat/>
    <w:rsid w:val="00C72089"/>
    <w:pPr>
      <w:keepNext/>
      <w:ind w:left="5040" w:hanging="5040"/>
      <w:jc w:val="center"/>
      <w:outlineLvl w:val="0"/>
    </w:pPr>
    <w:rPr>
      <w:rFonts w:ascii="Bookman Old Style" w:hAnsi="Bookman Old Style"/>
      <w:b/>
      <w:sz w:val="28"/>
      <w:szCs w:val="20"/>
    </w:rPr>
  </w:style>
  <w:style w:type="paragraph" w:styleId="Heading2">
    <w:name w:val="heading 2"/>
    <w:basedOn w:val="Normal"/>
    <w:next w:val="Normal"/>
    <w:qFormat/>
    <w:rsid w:val="00C72089"/>
    <w:pPr>
      <w:keepNext/>
      <w:jc w:val="center"/>
      <w:outlineLvl w:val="1"/>
    </w:pPr>
    <w:rPr>
      <w:b/>
      <w:bCs/>
    </w:rPr>
  </w:style>
  <w:style w:type="paragraph" w:styleId="Heading4">
    <w:name w:val="heading 4"/>
    <w:basedOn w:val="Normal"/>
    <w:next w:val="Normal"/>
    <w:qFormat/>
    <w:rsid w:val="007F2B8B"/>
    <w:pPr>
      <w:keepNext/>
      <w:spacing w:before="240" w:after="60"/>
      <w:outlineLvl w:val="3"/>
    </w:pPr>
    <w:rPr>
      <w:b/>
      <w:bCs/>
      <w:sz w:val="28"/>
      <w:szCs w:val="28"/>
    </w:rPr>
  </w:style>
  <w:style w:type="paragraph" w:styleId="Heading6">
    <w:name w:val="heading 6"/>
    <w:basedOn w:val="Normal"/>
    <w:next w:val="Normal"/>
    <w:qFormat/>
    <w:rsid w:val="007F2B8B"/>
    <w:pPr>
      <w:spacing w:before="240" w:after="60"/>
      <w:outlineLvl w:val="5"/>
    </w:pPr>
    <w:rPr>
      <w:b/>
      <w:bCs/>
      <w:sz w:val="22"/>
      <w:szCs w:val="22"/>
    </w:rPr>
  </w:style>
  <w:style w:type="paragraph" w:styleId="Heading7">
    <w:name w:val="heading 7"/>
    <w:basedOn w:val="Normal"/>
    <w:next w:val="Normal"/>
    <w:qFormat/>
    <w:rsid w:val="007F2B8B"/>
    <w:pPr>
      <w:spacing w:before="240" w:after="60"/>
      <w:outlineLvl w:val="6"/>
    </w:pPr>
  </w:style>
  <w:style w:type="paragraph" w:styleId="Heading9">
    <w:name w:val="heading 9"/>
    <w:basedOn w:val="Normal"/>
    <w:next w:val="Normal"/>
    <w:qFormat/>
    <w:rsid w:val="004A16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2089"/>
    <w:pPr>
      <w:jc w:val="center"/>
    </w:pPr>
    <w:rPr>
      <w:rFonts w:ascii="Bookman Old Style" w:hAnsi="Bookman Old Style"/>
      <w:b/>
      <w:sz w:val="28"/>
      <w:szCs w:val="20"/>
    </w:rPr>
  </w:style>
  <w:style w:type="paragraph" w:styleId="BodyText">
    <w:name w:val="Body Text"/>
    <w:basedOn w:val="Normal"/>
    <w:rsid w:val="00C72089"/>
    <w:pPr>
      <w:spacing w:line="480" w:lineRule="auto"/>
      <w:jc w:val="both"/>
    </w:pPr>
    <w:rPr>
      <w:rFonts w:ascii="Bookman Old Style" w:hAnsi="Bookman Old Style"/>
      <w:szCs w:val="20"/>
    </w:rPr>
  </w:style>
  <w:style w:type="paragraph" w:styleId="Header">
    <w:name w:val="header"/>
    <w:basedOn w:val="Normal"/>
    <w:rsid w:val="00C72089"/>
    <w:pPr>
      <w:widowControl w:val="0"/>
      <w:tabs>
        <w:tab w:val="center" w:pos="4320"/>
        <w:tab w:val="right" w:pos="8640"/>
      </w:tabs>
    </w:pPr>
    <w:rPr>
      <w:rFonts w:ascii="Arial" w:hAnsi="Arial"/>
      <w:snapToGrid w:val="0"/>
      <w:szCs w:val="20"/>
    </w:rPr>
  </w:style>
  <w:style w:type="paragraph" w:styleId="BodyTextIndent">
    <w:name w:val="Body Text Indent"/>
    <w:basedOn w:val="Normal"/>
    <w:rsid w:val="00C72089"/>
    <w:pPr>
      <w:spacing w:line="480" w:lineRule="auto"/>
      <w:ind w:right="-180" w:firstLine="1440"/>
      <w:jc w:val="both"/>
    </w:pPr>
  </w:style>
  <w:style w:type="paragraph" w:styleId="Footer">
    <w:name w:val="footer"/>
    <w:basedOn w:val="Normal"/>
    <w:rsid w:val="00C72089"/>
    <w:pPr>
      <w:tabs>
        <w:tab w:val="center" w:pos="4320"/>
        <w:tab w:val="right" w:pos="8640"/>
      </w:tabs>
    </w:pPr>
  </w:style>
  <w:style w:type="character" w:styleId="PageNumber">
    <w:name w:val="page number"/>
    <w:basedOn w:val="DefaultParagraphFont"/>
    <w:rsid w:val="00C72089"/>
  </w:style>
  <w:style w:type="paragraph" w:styleId="BlockText">
    <w:name w:val="Block Text"/>
    <w:basedOn w:val="Normal"/>
    <w:rsid w:val="00C72089"/>
    <w:pPr>
      <w:ind w:left="3600" w:right="720"/>
    </w:pPr>
  </w:style>
  <w:style w:type="paragraph" w:styleId="BodyText2">
    <w:name w:val="Body Text 2"/>
    <w:basedOn w:val="Normal"/>
    <w:rsid w:val="00C72089"/>
    <w:pPr>
      <w:spacing w:line="480" w:lineRule="auto"/>
      <w:ind w:right="720"/>
    </w:pPr>
  </w:style>
  <w:style w:type="paragraph" w:styleId="FootnoteText">
    <w:name w:val="footnote text"/>
    <w:basedOn w:val="Normal"/>
    <w:semiHidden/>
    <w:rsid w:val="00C72089"/>
    <w:rPr>
      <w:sz w:val="20"/>
      <w:szCs w:val="20"/>
    </w:rPr>
  </w:style>
  <w:style w:type="character" w:styleId="FootnoteReference">
    <w:name w:val="footnote reference"/>
    <w:basedOn w:val="DefaultParagraphFont"/>
    <w:semiHidden/>
    <w:rsid w:val="00C72089"/>
    <w:rPr>
      <w:vertAlign w:val="superscript"/>
    </w:rPr>
  </w:style>
  <w:style w:type="paragraph" w:styleId="BodyTextIndent2">
    <w:name w:val="Body Text Indent 2"/>
    <w:basedOn w:val="Normal"/>
    <w:rsid w:val="00C72089"/>
    <w:pPr>
      <w:spacing w:line="480" w:lineRule="auto"/>
      <w:ind w:firstLine="720"/>
      <w:jc w:val="both"/>
    </w:pPr>
  </w:style>
  <w:style w:type="paragraph" w:styleId="BalloonText">
    <w:name w:val="Balloon Text"/>
    <w:basedOn w:val="Normal"/>
    <w:semiHidden/>
    <w:rsid w:val="0023368E"/>
    <w:rPr>
      <w:rFonts w:ascii="Tahoma" w:hAnsi="Tahoma" w:cs="Tahoma"/>
      <w:sz w:val="16"/>
      <w:szCs w:val="16"/>
    </w:rPr>
  </w:style>
  <w:style w:type="paragraph" w:customStyle="1" w:styleId="BodyTextSingle">
    <w:name w:val="Body Text Single"/>
    <w:aliases w:val="bs"/>
    <w:basedOn w:val="Normal"/>
    <w:rsid w:val="00A57F68"/>
    <w:pPr>
      <w:spacing w:after="240"/>
      <w:jc w:val="both"/>
    </w:pPr>
  </w:style>
  <w:style w:type="paragraph" w:styleId="BodyText3">
    <w:name w:val="Body Text 3"/>
    <w:basedOn w:val="Normal"/>
    <w:rsid w:val="004A16A0"/>
    <w:pPr>
      <w:spacing w:after="120"/>
    </w:pPr>
    <w:rPr>
      <w:rFonts w:ascii="Bookman Old Style" w:hAnsi="Bookman Old Style"/>
      <w:sz w:val="16"/>
      <w:szCs w:val="16"/>
    </w:rPr>
  </w:style>
  <w:style w:type="paragraph" w:styleId="EndnoteText">
    <w:name w:val="endnote text"/>
    <w:basedOn w:val="Normal"/>
    <w:link w:val="EndnoteTextChar"/>
    <w:rsid w:val="00040126"/>
    <w:pPr>
      <w:widowControl w:val="0"/>
    </w:pPr>
    <w:rPr>
      <w:rFonts w:ascii="Courier New" w:hAnsi="Courier New"/>
      <w:snapToGrid w:val="0"/>
      <w:szCs w:val="20"/>
    </w:rPr>
  </w:style>
  <w:style w:type="paragraph" w:styleId="HTMLPreformatted">
    <w:name w:val="HTML Preformatted"/>
    <w:basedOn w:val="Normal"/>
    <w:rsid w:val="0004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uiPriority w:val="59"/>
    <w:rsid w:val="0004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rsid w:val="006E53A7"/>
    <w:pPr>
      <w:widowControl w:val="0"/>
    </w:pPr>
    <w:rPr>
      <w:rFonts w:ascii="Courier New" w:eastAsia="ヒラギノ角ゴ Pro W3" w:hAnsi="Courier New"/>
      <w:color w:val="000000"/>
      <w:sz w:val="24"/>
    </w:rPr>
  </w:style>
  <w:style w:type="character" w:styleId="Hyperlink">
    <w:name w:val="Hyperlink"/>
    <w:basedOn w:val="DefaultParagraphFont"/>
    <w:rsid w:val="002E1B38"/>
    <w:rPr>
      <w:color w:val="0000FF"/>
      <w:u w:val="single"/>
    </w:rPr>
  </w:style>
  <w:style w:type="character" w:customStyle="1" w:styleId="TitleChar">
    <w:name w:val="Title Char"/>
    <w:basedOn w:val="DefaultParagraphFont"/>
    <w:link w:val="Title"/>
    <w:rsid w:val="00B317D5"/>
    <w:rPr>
      <w:rFonts w:ascii="Bookman Old Style" w:hAnsi="Bookman Old Style"/>
      <w:b/>
      <w:sz w:val="28"/>
    </w:rPr>
  </w:style>
  <w:style w:type="paragraph" w:customStyle="1" w:styleId="TitleA">
    <w:name w:val="Title A"/>
    <w:rsid w:val="00B317D5"/>
    <w:pPr>
      <w:jc w:val="center"/>
    </w:pPr>
    <w:rPr>
      <w:rFonts w:eastAsia="ヒラギノ角ゴ Pro W3"/>
      <w:b/>
      <w:color w:val="000000"/>
      <w:sz w:val="24"/>
    </w:rPr>
  </w:style>
  <w:style w:type="character" w:customStyle="1" w:styleId="LineNumber1">
    <w:name w:val="Line Number1"/>
    <w:autoRedefine/>
    <w:rsid w:val="00B317D5"/>
    <w:rPr>
      <w:rFonts w:ascii="Times New Roman" w:eastAsia="ヒラギノ角ゴ Pro W3" w:hAnsi="Times New Roman"/>
      <w:b w:val="0"/>
      <w:i w:val="0"/>
      <w:color w:val="000000"/>
      <w:sz w:val="24"/>
    </w:rPr>
  </w:style>
  <w:style w:type="character" w:customStyle="1" w:styleId="EndnoteTextChar">
    <w:name w:val="Endnote Text Char"/>
    <w:basedOn w:val="DefaultParagraphFont"/>
    <w:link w:val="EndnoteText"/>
    <w:rsid w:val="00B317D5"/>
    <w:rPr>
      <w:rFonts w:ascii="Courier New" w:hAnsi="Courier New"/>
      <w:snapToGrid w:val="0"/>
      <w:sz w:val="24"/>
    </w:rPr>
  </w:style>
  <w:style w:type="character" w:styleId="CommentReference">
    <w:name w:val="annotation reference"/>
    <w:basedOn w:val="DefaultParagraphFont"/>
    <w:rsid w:val="005A5948"/>
    <w:rPr>
      <w:sz w:val="16"/>
      <w:szCs w:val="16"/>
    </w:rPr>
  </w:style>
  <w:style w:type="paragraph" w:styleId="CommentText">
    <w:name w:val="annotation text"/>
    <w:basedOn w:val="Normal"/>
    <w:link w:val="CommentTextChar"/>
    <w:rsid w:val="005A5948"/>
    <w:rPr>
      <w:sz w:val="20"/>
      <w:szCs w:val="20"/>
    </w:rPr>
  </w:style>
  <w:style w:type="character" w:customStyle="1" w:styleId="CommentTextChar">
    <w:name w:val="Comment Text Char"/>
    <w:basedOn w:val="DefaultParagraphFont"/>
    <w:link w:val="CommentText"/>
    <w:rsid w:val="005A5948"/>
  </w:style>
  <w:style w:type="paragraph" w:styleId="CommentSubject">
    <w:name w:val="annotation subject"/>
    <w:basedOn w:val="CommentText"/>
    <w:next w:val="CommentText"/>
    <w:link w:val="CommentSubjectChar"/>
    <w:rsid w:val="005A5948"/>
    <w:rPr>
      <w:b/>
      <w:bCs/>
    </w:rPr>
  </w:style>
  <w:style w:type="character" w:customStyle="1" w:styleId="CommentSubjectChar">
    <w:name w:val="Comment Subject Char"/>
    <w:basedOn w:val="CommentTextChar"/>
    <w:link w:val="CommentSubject"/>
    <w:rsid w:val="005A5948"/>
    <w:rPr>
      <w:b/>
      <w:bCs/>
    </w:rPr>
  </w:style>
  <w:style w:type="character" w:styleId="FollowedHyperlink">
    <w:name w:val="FollowedHyperlink"/>
    <w:basedOn w:val="DefaultParagraphFont"/>
    <w:rsid w:val="003F39CB"/>
    <w:rPr>
      <w:color w:val="800080"/>
      <w:u w:val="single"/>
    </w:rPr>
  </w:style>
  <w:style w:type="paragraph" w:styleId="ListParagraph">
    <w:name w:val="List Paragraph"/>
    <w:basedOn w:val="Normal"/>
    <w:uiPriority w:val="34"/>
    <w:qFormat/>
    <w:rsid w:val="00C923C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4610">
      <w:bodyDiv w:val="1"/>
      <w:marLeft w:val="0"/>
      <w:marRight w:val="0"/>
      <w:marTop w:val="0"/>
      <w:marBottom w:val="0"/>
      <w:divBdr>
        <w:top w:val="none" w:sz="0" w:space="0" w:color="auto"/>
        <w:left w:val="none" w:sz="0" w:space="0" w:color="auto"/>
        <w:bottom w:val="none" w:sz="0" w:space="0" w:color="auto"/>
        <w:right w:val="none" w:sz="0" w:space="0" w:color="auto"/>
      </w:divBdr>
    </w:div>
    <w:div w:id="819427368">
      <w:bodyDiv w:val="1"/>
      <w:marLeft w:val="0"/>
      <w:marRight w:val="0"/>
      <w:marTop w:val="0"/>
      <w:marBottom w:val="0"/>
      <w:divBdr>
        <w:top w:val="none" w:sz="0" w:space="0" w:color="auto"/>
        <w:left w:val="none" w:sz="0" w:space="0" w:color="auto"/>
        <w:bottom w:val="none" w:sz="0" w:space="0" w:color="auto"/>
        <w:right w:val="none" w:sz="0" w:space="0" w:color="auto"/>
      </w:divBdr>
    </w:div>
    <w:div w:id="1411468278">
      <w:bodyDiv w:val="1"/>
      <w:marLeft w:val="0"/>
      <w:marRight w:val="0"/>
      <w:marTop w:val="0"/>
      <w:marBottom w:val="0"/>
      <w:divBdr>
        <w:top w:val="none" w:sz="0" w:space="0" w:color="auto"/>
        <w:left w:val="none" w:sz="0" w:space="0" w:color="auto"/>
        <w:bottom w:val="none" w:sz="0" w:space="0" w:color="auto"/>
        <w:right w:val="none" w:sz="0" w:space="0" w:color="auto"/>
      </w:divBdr>
      <w:divsChild>
        <w:div w:id="768307243">
          <w:marLeft w:val="0"/>
          <w:marRight w:val="-5040"/>
          <w:marTop w:val="0"/>
          <w:marBottom w:val="0"/>
          <w:divBdr>
            <w:top w:val="none" w:sz="0" w:space="0" w:color="auto"/>
            <w:left w:val="none" w:sz="0" w:space="0" w:color="auto"/>
            <w:bottom w:val="none" w:sz="0" w:space="0" w:color="auto"/>
            <w:right w:val="none" w:sz="0" w:space="0" w:color="auto"/>
          </w:divBdr>
          <w:divsChild>
            <w:div w:id="1973752341">
              <w:marLeft w:val="0"/>
              <w:marRight w:val="5040"/>
              <w:marTop w:val="0"/>
              <w:marBottom w:val="0"/>
              <w:divBdr>
                <w:top w:val="none" w:sz="0" w:space="0" w:color="auto"/>
                <w:left w:val="none" w:sz="0" w:space="0" w:color="auto"/>
                <w:bottom w:val="none" w:sz="0" w:space="0" w:color="auto"/>
                <w:right w:val="none" w:sz="0" w:space="0" w:color="auto"/>
              </w:divBdr>
              <w:divsChild>
                <w:div w:id="4199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1618</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Links>
    <vt:vector size="12" baseType="variant">
      <vt:variant>
        <vt:i4>3604486</vt:i4>
      </vt:variant>
      <vt:variant>
        <vt:i4>3</vt:i4>
      </vt:variant>
      <vt:variant>
        <vt:i4>0</vt:i4>
      </vt:variant>
      <vt:variant>
        <vt:i4>5</vt:i4>
      </vt:variant>
      <vt:variant>
        <vt:lpwstr>mailto:amy.spiller@duke-energy.com</vt:lpwstr>
      </vt:variant>
      <vt:variant>
        <vt:lpwstr/>
      </vt:variant>
      <vt:variant>
        <vt:i4>3604486</vt:i4>
      </vt:variant>
      <vt:variant>
        <vt:i4>0</vt:i4>
      </vt:variant>
      <vt:variant>
        <vt:i4>0</vt:i4>
      </vt:variant>
      <vt:variant>
        <vt:i4>5</vt:i4>
      </vt:variant>
      <vt:variant>
        <vt:lpwstr>mailto:amy.spiller@duke-energy.com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Kuhnell, Dianne B</cp:lastModifiedBy>
  <cp:revision>2</cp:revision>
  <dcterms:created xsi:type="dcterms:W3CDTF">2014-04-11T16:39:00Z</dcterms:created>
  <dcterms:modified xsi:type="dcterms:W3CDTF">2014-04-11T16:40:00Z</dcterms:modified>
</cp:coreProperties>
</file>