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GoBack"/>
      <w:bookmarkEnd w:id="0"/>
      <w:r>
        <w:rPr>
          <w:rFonts w:ascii="Times New Roman" w:hAnsi="Times New Roman"/>
          <w:b/>
          <w:bCs/>
          <w:sz w:val="24"/>
        </w:rPr>
        <w:t>BEFORE</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THE PUBLIC UTILITIES COMMISSION OF OHIO</w:t>
      </w:r>
    </w:p>
    <w:tbl>
      <w:tblPr>
        <w:tblW w:w="26072" w:type="dxa"/>
        <w:tblInd w:w="0" w:type="dxa"/>
        <w:tblCellMar>
          <w:top w:w="0" w:type="dxa"/>
          <w:left w:w="108" w:type="dxa"/>
          <w:bottom w:w="0" w:type="dxa"/>
          <w:right w:w="108" w:type="dxa"/>
        </w:tblCellMar>
        <w:tblLook w:val="01E0"/>
      </w:tblPr>
      <w:tblGrid>
        <w:gridCol w:w="5238"/>
        <w:gridCol w:w="5238"/>
        <w:gridCol w:w="5238"/>
        <w:gridCol w:w="5238"/>
        <w:gridCol w:w="480"/>
        <w:gridCol w:w="4640"/>
      </w:tblGrid>
      <w:tr w:rsidTr="001A2D22">
        <w:tblPrEx>
          <w:tblW w:w="26072" w:type="dxa"/>
          <w:tblInd w:w="0" w:type="dxa"/>
          <w:tblCellMar>
            <w:top w:w="0" w:type="dxa"/>
            <w:left w:w="108" w:type="dxa"/>
            <w:bottom w:w="0" w:type="dxa"/>
            <w:right w:w="108" w:type="dxa"/>
          </w:tblCellMar>
          <w:tblLook w:val="01E0"/>
        </w:tblPrEx>
        <w:trPr>
          <w:trHeight w:val="807"/>
        </w:trPr>
        <w:tc>
          <w:tcPr>
            <w:tcW w:w="5238" w:type="dxa"/>
          </w:tcPr>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Times New Roman"/>
                <w:sz w:val="24"/>
                <w:szCs w:val="24"/>
                <w:lang w:val="en-US" w:eastAsia="en-US" w:bidi="ar-SA"/>
              </w:rPr>
            </w:pP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the Dayton Power and Light Company for a Limited Waiver of Ohio Adm. Code 4901:1-18-06(A)(2).</w:t>
            </w:r>
          </w:p>
        </w:tc>
        <w:tc>
          <w:tcPr>
            <w:tcW w:w="5238" w:type="dxa"/>
          </w:tcPr>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Courier New" w:eastAsia="Courier New" w:hAnsi="Courier New" w:cs="Courier New"/>
                <w:sz w:val="20"/>
                <w:lang w:val="en-US" w:eastAsia="en-US" w:bidi="ar-SA"/>
              </w:rPr>
              <w:t xml:space="preserve"> </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r w:rsidR="00D15368">
              <w:rPr>
                <w:rFonts w:ascii="Times New Roman" w:eastAsia="Courier New" w:hAnsi="Times New Roman" w:cs="Courier New"/>
                <w:sz w:val="24"/>
                <w:lang w:val="en-US" w:eastAsia="en-US" w:bidi="ar-SA"/>
              </w:rPr>
              <w:t xml:space="preserve"> </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r w:rsidR="00D15368">
              <w:rPr>
                <w:rFonts w:ascii="Times New Roman" w:eastAsia="Courier New" w:hAnsi="Times New Roman" w:cs="Courier New"/>
                <w:sz w:val="24"/>
                <w:lang w:val="en-US" w:eastAsia="en-US" w:bidi="ar-SA"/>
              </w:rPr>
              <w:t xml:space="preserve"> </w:t>
            </w:r>
            <w:r w:rsidR="00B23FB2">
              <w:rPr>
                <w:rFonts w:ascii="Times New Roman" w:eastAsia="Courier New" w:hAnsi="Times New Roman" w:cs="Courier New"/>
                <w:sz w:val="24"/>
                <w:lang w:val="en-US" w:eastAsia="en-US" w:bidi="ar-SA"/>
              </w:rPr>
              <w:t xml:space="preserve">  </w:t>
            </w:r>
            <w:r w:rsidR="00D15368">
              <w:rPr>
                <w:rFonts w:ascii="Times New Roman" w:eastAsia="Courier New" w:hAnsi="Times New Roman" w:cs="Courier New"/>
                <w:sz w:val="24"/>
                <w:lang w:val="en-US" w:eastAsia="en-US" w:bidi="ar-SA"/>
              </w:rPr>
              <w:t>Case No. 18-1257-EL-WVR</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5238" w:type="dxa"/>
          </w:tcPr>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 xml:space="preserve"> </w:t>
            </w:r>
          </w:p>
        </w:tc>
        <w:tc>
          <w:tcPr>
            <w:tcW w:w="5238" w:type="dxa"/>
          </w:tcPr>
          <w:p w:rsidR="001A2D22" w:rsidP="00FE08C2">
            <w:pPr>
              <w:autoSpaceDE w:val="0"/>
              <w:autoSpaceDN w:val="0"/>
              <w:adjustRightInd w:val="0"/>
              <w:spacing w:line="276" w:lineRule="auto"/>
              <w:rPr>
                <w:rStyle w:val="DefaultParagraphFont"/>
                <w:sz w:val="24"/>
                <w:lang w:val="en-US" w:eastAsia="en-US" w:bidi="ar-SA"/>
              </w:rPr>
            </w:pPr>
          </w:p>
        </w:tc>
        <w:tc>
          <w:tcPr>
            <w:tcW w:w="480" w:type="dxa"/>
            <w:hideMark/>
          </w:tcPr>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640" w:type="dxa"/>
          </w:tcPr>
          <w:p w:rsidR="001A2D22" w:rsidP="00FE08C2">
            <w:pPr>
              <w:autoSpaceDE w:val="0"/>
              <w:autoSpaceDN w:val="0"/>
              <w:adjustRightInd w:val="0"/>
              <w:spacing w:line="276" w:lineRule="auto"/>
              <w:rPr>
                <w:rStyle w:val="DefaultParagraphFont"/>
                <w:sz w:val="24"/>
                <w:szCs w:val="24"/>
                <w:lang w:val="en-US" w:eastAsia="en-US" w:bidi="ar-SA"/>
              </w:rPr>
            </w:pPr>
          </w:p>
          <w:p w:rsidR="001A2D22" w:rsidP="00FE08C2">
            <w:pPr>
              <w:autoSpaceDE w:val="0"/>
              <w:autoSpaceDN w:val="0"/>
              <w:adjustRightInd w:val="0"/>
              <w:spacing w:line="276" w:lineRule="auto"/>
              <w:rPr>
                <w:rStyle w:val="DefaultParagraphFont"/>
                <w:sz w:val="24"/>
                <w:lang w:val="en-US" w:eastAsia="en-US" w:bidi="ar-SA"/>
              </w:rPr>
            </w:pPr>
            <w:r>
              <w:rPr>
                <w:sz w:val="24"/>
                <w:lang w:val="en-US" w:eastAsia="en-US" w:bidi="ar-SA"/>
              </w:rPr>
              <w:t>Case No. 17-2132-EL-AEC</w:t>
            </w:r>
          </w:p>
          <w:p w:rsidR="001A2D22" w:rsidP="00FE08C2">
            <w:pPr>
              <w:autoSpaceDE w:val="0"/>
              <w:autoSpaceDN w:val="0"/>
              <w:adjustRightInd w:val="0"/>
              <w:spacing w:line="276" w:lineRule="auto"/>
              <w:rPr>
                <w:rStyle w:val="DefaultParagraphFont"/>
                <w:sz w:val="24"/>
                <w:lang w:val="en-US" w:eastAsia="en-US" w:bidi="ar-SA"/>
              </w:rPr>
            </w:pPr>
          </w:p>
          <w:p w:rsidR="001A2D22" w:rsidP="00FE08C2">
            <w:pPr>
              <w:spacing w:line="276" w:lineRule="auto"/>
              <w:rPr>
                <w:rStyle w:val="DefaultParagraphFont"/>
                <w:sz w:val="24"/>
                <w:lang w:val="en-US" w:eastAsia="en-US" w:bidi="ar-SA"/>
              </w:rPr>
            </w:pPr>
          </w:p>
        </w:tc>
      </w:tr>
    </w:tbl>
    <w:p w:rsidR="001A2D22" w:rsidP="00FE08C2">
      <w:pPr>
        <w:pStyle w:val="InsideAddress"/>
        <w:pBdr>
          <w:bottom w:val="single" w:sz="12" w:space="1" w:color="auto"/>
        </w:pBdr>
        <w:rPr>
          <w:rFonts w:ascii="Times New Roman" w:eastAsia="Times New Roman" w:hAnsi="Times New Roman"/>
          <w:szCs w:val="24"/>
        </w:rPr>
      </w:pPr>
    </w:p>
    <w:p w:rsidR="001A2D22" w:rsidP="00FE08C2">
      <w:pPr>
        <w:pStyle w:val="InsideAddress"/>
        <w:rPr>
          <w:rFonts w:ascii="Times New Roman" w:eastAsia="Times New Roman" w:hAnsi="Times New Roman"/>
          <w:szCs w:val="24"/>
        </w:rPr>
      </w:pPr>
    </w:p>
    <w:p w:rsidR="00A044B5" w:rsidRPr="00FE08C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sidRPr="00FE08C2">
        <w:rPr>
          <w:rFonts w:ascii="Times New Roman" w:hAnsi="Times New Roman" w:cs="Times New Roman"/>
          <w:b/>
          <w:sz w:val="24"/>
          <w:szCs w:val="24"/>
        </w:rPr>
        <w:t xml:space="preserve">COMMENTS ON </w:t>
      </w:r>
      <w:r w:rsidRPr="00FE08C2" w:rsidR="00327A01">
        <w:rPr>
          <w:rFonts w:ascii="Times New Roman" w:hAnsi="Times New Roman" w:cs="Times New Roman"/>
          <w:b/>
          <w:sz w:val="24"/>
          <w:szCs w:val="24"/>
        </w:rPr>
        <w:t>DP</w:t>
      </w:r>
      <w:r w:rsidRPr="00FE08C2" w:rsidR="00F155BE">
        <w:rPr>
          <w:rFonts w:ascii="Times New Roman" w:hAnsi="Times New Roman" w:cs="Times New Roman"/>
          <w:b/>
          <w:sz w:val="24"/>
          <w:szCs w:val="24"/>
        </w:rPr>
        <w:t>&amp;L</w:t>
      </w:r>
      <w:r w:rsidRPr="00FE08C2" w:rsidR="00327A01">
        <w:rPr>
          <w:rFonts w:ascii="Times New Roman" w:hAnsi="Times New Roman" w:cs="Times New Roman"/>
          <w:b/>
          <w:sz w:val="24"/>
          <w:szCs w:val="24"/>
        </w:rPr>
        <w:t>’s</w:t>
      </w:r>
      <w:r w:rsidRPr="00FE08C2" w:rsidR="00F40800">
        <w:rPr>
          <w:rFonts w:ascii="Times New Roman" w:hAnsi="Times New Roman" w:cs="Times New Roman"/>
          <w:b/>
          <w:sz w:val="24"/>
          <w:szCs w:val="24"/>
        </w:rPr>
        <w:t xml:space="preserve"> </w:t>
      </w:r>
      <w:r w:rsidRPr="00FE08C2" w:rsidR="00CE4023">
        <w:rPr>
          <w:rFonts w:ascii="Times New Roman" w:hAnsi="Times New Roman" w:cs="Times New Roman"/>
          <w:b/>
          <w:sz w:val="24"/>
          <w:szCs w:val="24"/>
        </w:rPr>
        <w:t>PROPOSAL</w:t>
      </w:r>
      <w:r w:rsidRPr="00FE08C2">
        <w:rPr>
          <w:rFonts w:ascii="Times New Roman" w:hAnsi="Times New Roman" w:cs="Times New Roman"/>
          <w:b/>
          <w:sz w:val="24"/>
          <w:szCs w:val="24"/>
        </w:rPr>
        <w:t xml:space="preserve"> TO </w:t>
      </w:r>
      <w:r w:rsidRPr="00FE08C2" w:rsidR="00327A01">
        <w:rPr>
          <w:rFonts w:ascii="Times New Roman" w:hAnsi="Times New Roman" w:cs="Times New Roman"/>
          <w:b/>
          <w:sz w:val="24"/>
          <w:szCs w:val="24"/>
        </w:rPr>
        <w:t>WAIVE PERSONAL NOTICE</w:t>
      </w:r>
      <w:r w:rsidRPr="00FE08C2" w:rsidR="005D1821">
        <w:rPr>
          <w:rFonts w:ascii="Times New Roman" w:hAnsi="Times New Roman" w:cs="Times New Roman"/>
          <w:b/>
          <w:sz w:val="24"/>
          <w:szCs w:val="24"/>
        </w:rPr>
        <w:t xml:space="preserve"> </w:t>
      </w:r>
      <w:r w:rsidRPr="00FE08C2" w:rsidR="00F155BE">
        <w:rPr>
          <w:rFonts w:ascii="Times New Roman" w:hAnsi="Times New Roman" w:cs="Times New Roman"/>
          <w:b/>
          <w:sz w:val="24"/>
          <w:szCs w:val="24"/>
        </w:rPr>
        <w:t xml:space="preserve">TO RESIDENTIAL CUSTOMERS </w:t>
      </w:r>
      <w:r w:rsidRPr="00FE08C2" w:rsidR="005D1821">
        <w:rPr>
          <w:rFonts w:ascii="Times New Roman" w:hAnsi="Times New Roman" w:cs="Times New Roman"/>
          <w:b/>
          <w:sz w:val="24"/>
          <w:szCs w:val="24"/>
        </w:rPr>
        <w:t>ON THE D</w:t>
      </w:r>
      <w:r w:rsidRPr="00FE08C2" w:rsidR="00F155BE">
        <w:rPr>
          <w:rFonts w:ascii="Times New Roman" w:hAnsi="Times New Roman" w:cs="Times New Roman"/>
          <w:b/>
          <w:sz w:val="24"/>
          <w:szCs w:val="24"/>
        </w:rPr>
        <w:t>AY OF DISCONNECTION</w:t>
      </w:r>
    </w:p>
    <w:p w:rsidR="00A044B5" w:rsidRPr="00FE08C2" w:rsidP="00FE08C2">
      <w:pPr>
        <w:jc w:val="center"/>
        <w:rPr>
          <w:b/>
          <w:bCs/>
          <w:szCs w:val="24"/>
        </w:rPr>
      </w:pPr>
      <w:r w:rsidRPr="00FE08C2">
        <w:rPr>
          <w:b/>
          <w:bCs/>
          <w:szCs w:val="24"/>
        </w:rPr>
        <w:t>BY</w:t>
      </w:r>
    </w:p>
    <w:p w:rsidR="00A044B5" w:rsidRPr="00FE08C2" w:rsidP="00FE08C2">
      <w:pPr>
        <w:jc w:val="center"/>
        <w:rPr>
          <w:b/>
          <w:bCs/>
          <w:szCs w:val="24"/>
        </w:rPr>
      </w:pPr>
      <w:r w:rsidRPr="00FE08C2">
        <w:rPr>
          <w:b/>
          <w:bCs/>
          <w:szCs w:val="24"/>
        </w:rPr>
        <w:t>THE OFFICE OF THE OHIO CONSUMERS’ COUNSEL</w:t>
      </w:r>
    </w:p>
    <w:p w:rsidR="00A044B5" w:rsidP="00FE08C2">
      <w:pPr>
        <w:pBdr>
          <w:bottom w:val="single" w:sz="12" w:space="1" w:color="auto"/>
        </w:pBdr>
      </w:pPr>
    </w:p>
    <w:p w:rsidR="00A044B5" w:rsidRPr="005B4E97" w:rsidP="00FE08C2">
      <w:pPr>
        <w:spacing w:before="240" w:line="480" w:lineRule="auto"/>
        <w:rPr>
          <w:b/>
        </w:rPr>
      </w:pPr>
      <w:r>
        <w:rPr>
          <w:b/>
        </w:rPr>
        <w:t>I.</w:t>
      </w:r>
      <w:r>
        <w:rPr>
          <w:b/>
        </w:rPr>
        <w:tab/>
        <w:t>INTRODUCTION</w:t>
      </w:r>
    </w:p>
    <w:p w:rsidR="002C1D3A" w:rsidP="00FE08C2">
      <w:pPr>
        <w:pStyle w:val="BodyTextIndent3"/>
        <w:spacing w:line="480" w:lineRule="auto"/>
        <w:ind w:right="-312"/>
      </w:pPr>
      <w:r>
        <w:t>Certain rules of the</w:t>
      </w:r>
      <w:r w:rsidR="00CE4023">
        <w:t xml:space="preserve"> Public Utilities Commission of Ohio (“PUCO”) </w:t>
      </w:r>
      <w:r w:rsidR="005B4E97">
        <w:t xml:space="preserve">protect consumers against unlawful </w:t>
      </w:r>
      <w:r w:rsidR="00F155BE">
        <w:t>disconnection procedures by</w:t>
      </w:r>
      <w:r w:rsidR="005B4E97">
        <w:t xml:space="preserve"> their utility service provider.</w:t>
      </w:r>
      <w:r w:rsidR="00D15368">
        <w:t xml:space="preserve"> </w:t>
      </w:r>
      <w:r w:rsidR="00F155BE">
        <w:t>Specifically, Ohio Adm. Code 4901:1-18-06)</w:t>
      </w:r>
      <w:r w:rsidR="0019655C">
        <w:t>(</w:t>
      </w:r>
      <w:r w:rsidR="00F155BE">
        <w:t>A)(2) require</w:t>
      </w:r>
      <w:r w:rsidR="007C39AF">
        <w:t>s</w:t>
      </w:r>
      <w:r w:rsidR="00F155BE">
        <w:t xml:space="preserve"> that on the day of disconnection of utility service</w:t>
      </w:r>
      <w:r w:rsidR="007C39AF">
        <w:t xml:space="preserve"> for nonpayment</w:t>
      </w:r>
      <w:r w:rsidR="00F155BE">
        <w:t xml:space="preserve">, the utility company </w:t>
      </w:r>
      <w:r w:rsidR="007C39AF">
        <w:t>must</w:t>
      </w:r>
      <w:r w:rsidR="00F155BE">
        <w:t xml:space="preserve"> provide the customers with personal notice.</w:t>
      </w:r>
      <w:r>
        <w:rPr>
          <w:rStyle w:val="FootnoteReference"/>
        </w:rPr>
        <w:footnoteReference w:id="3"/>
      </w:r>
      <w:r w:rsidR="005B4E97">
        <w:t xml:space="preserve"> </w:t>
      </w:r>
      <w:r>
        <w:rPr>
          <w:szCs w:val="24"/>
        </w:rPr>
        <w:t>The PUCO adopted</w:t>
      </w:r>
      <w:r w:rsidRPr="00C83A44">
        <w:rPr>
          <w:szCs w:val="24"/>
        </w:rPr>
        <w:t xml:space="preserve"> </w:t>
      </w:r>
      <w:r>
        <w:rPr>
          <w:szCs w:val="24"/>
        </w:rPr>
        <w:t>th</w:t>
      </w:r>
      <w:r w:rsidR="00F155BE">
        <w:rPr>
          <w:szCs w:val="24"/>
        </w:rPr>
        <w:t>is</w:t>
      </w:r>
      <w:r>
        <w:rPr>
          <w:szCs w:val="24"/>
        </w:rPr>
        <w:t xml:space="preserve"> consumer protection </w:t>
      </w:r>
      <w:r w:rsidR="00F155BE">
        <w:rPr>
          <w:szCs w:val="24"/>
        </w:rPr>
        <w:t>to pr</w:t>
      </w:r>
      <w:r w:rsidR="0099194C">
        <w:rPr>
          <w:szCs w:val="24"/>
        </w:rPr>
        <w:t xml:space="preserve">otect the </w:t>
      </w:r>
      <w:r w:rsidR="00F155BE">
        <w:rPr>
          <w:szCs w:val="24"/>
        </w:rPr>
        <w:t xml:space="preserve">health and safety </w:t>
      </w:r>
      <w:r w:rsidR="0099194C">
        <w:rPr>
          <w:szCs w:val="24"/>
        </w:rPr>
        <w:t xml:space="preserve">of </w:t>
      </w:r>
      <w:r w:rsidR="009869D9">
        <w:rPr>
          <w:szCs w:val="24"/>
        </w:rPr>
        <w:t>customers</w:t>
      </w:r>
      <w:r w:rsidR="0099194C">
        <w:rPr>
          <w:szCs w:val="24"/>
        </w:rPr>
        <w:t xml:space="preserve"> when their </w:t>
      </w:r>
      <w:r w:rsidR="00F155BE">
        <w:rPr>
          <w:szCs w:val="24"/>
        </w:rPr>
        <w:t>electric service is disconnected</w:t>
      </w:r>
      <w:r w:rsidR="00DF5B5D">
        <w:rPr>
          <w:szCs w:val="24"/>
        </w:rPr>
        <w:t xml:space="preserve">. </w:t>
      </w:r>
    </w:p>
    <w:p w:rsidR="0098445E" w:rsidP="00FE08C2">
      <w:pPr>
        <w:pStyle w:val="BodyTextIndent3"/>
        <w:spacing w:line="480" w:lineRule="auto"/>
        <w:ind w:right="-312"/>
        <w:rPr>
          <w:szCs w:val="24"/>
        </w:rPr>
      </w:pPr>
      <w:r>
        <w:rPr>
          <w:szCs w:val="24"/>
        </w:rPr>
        <w:t xml:space="preserve">The Dayton Power and Light Company (“DP&amp;L” or “the </w:t>
      </w:r>
      <w:r w:rsidR="004E0A24">
        <w:rPr>
          <w:szCs w:val="24"/>
        </w:rPr>
        <w:t>U</w:t>
      </w:r>
      <w:r>
        <w:rPr>
          <w:szCs w:val="24"/>
        </w:rPr>
        <w:t>tility”)</w:t>
      </w:r>
      <w:r w:rsidR="00B177FE">
        <w:rPr>
          <w:szCs w:val="24"/>
        </w:rPr>
        <w:t xml:space="preserve"> </w:t>
      </w:r>
      <w:r w:rsidR="005B4E97">
        <w:rPr>
          <w:szCs w:val="24"/>
        </w:rPr>
        <w:t xml:space="preserve">seeks </w:t>
      </w:r>
      <w:r>
        <w:rPr>
          <w:szCs w:val="24"/>
        </w:rPr>
        <w:t xml:space="preserve">permission to disconnect service without the personal notice required in Ohio Adm. Code 4901:1-18-06(A)(2). The waiver is requested for customers whom DP&amp;L has deemed as creating risks for its employees; </w:t>
      </w:r>
      <w:r w:rsidR="008B44B3">
        <w:rPr>
          <w:szCs w:val="24"/>
        </w:rPr>
        <w:t>designated as</w:t>
      </w:r>
      <w:r>
        <w:rPr>
          <w:szCs w:val="24"/>
        </w:rPr>
        <w:t xml:space="preserve"> “Code Red” customers</w:t>
      </w:r>
      <w:r w:rsidR="005B4E97">
        <w:rPr>
          <w:szCs w:val="24"/>
        </w:rPr>
        <w:t>.</w:t>
      </w:r>
      <w:r w:rsidR="00D15368">
        <w:rPr>
          <w:szCs w:val="24"/>
        </w:rPr>
        <w:t xml:space="preserve"> </w:t>
      </w:r>
      <w:r>
        <w:rPr>
          <w:szCs w:val="24"/>
        </w:rPr>
        <w:t>DP&amp;L wants to install meters</w:t>
      </w:r>
      <w:r w:rsidR="0086314C">
        <w:rPr>
          <w:szCs w:val="24"/>
        </w:rPr>
        <w:t xml:space="preserve"> equipped with cellular technology </w:t>
      </w:r>
      <w:r w:rsidR="006F690D">
        <w:rPr>
          <w:szCs w:val="24"/>
        </w:rPr>
        <w:t>that</w:t>
      </w:r>
      <w:r w:rsidR="0086314C">
        <w:rPr>
          <w:szCs w:val="24"/>
        </w:rPr>
        <w:t xml:space="preserve"> can be remotely disconnected and reconnected at any premises where a customer is designated as “Code Red.”</w:t>
      </w:r>
      <w:r>
        <w:rPr>
          <w:szCs w:val="24"/>
        </w:rPr>
        <w:t xml:space="preserve"> Once installed on customer </w:t>
      </w:r>
      <w:r>
        <w:rPr>
          <w:szCs w:val="24"/>
        </w:rPr>
        <w:t xml:space="preserve">premises, the new meters can be remotely disconnected by the </w:t>
      </w:r>
      <w:r w:rsidR="007C39AF">
        <w:rPr>
          <w:szCs w:val="24"/>
        </w:rPr>
        <w:t>utility without giving personal notice to the customer.</w:t>
      </w:r>
      <w:r>
        <w:rPr>
          <w:rStyle w:val="FootnoteReference"/>
          <w:szCs w:val="24"/>
        </w:rPr>
        <w:footnoteReference w:id="4"/>
      </w:r>
    </w:p>
    <w:p w:rsidR="003A2BC1" w:rsidP="00FE08C2">
      <w:pPr>
        <w:pStyle w:val="BodyTextIndent3"/>
        <w:spacing w:line="480" w:lineRule="auto"/>
        <w:ind w:right="-312"/>
        <w:rPr>
          <w:szCs w:val="24"/>
        </w:rPr>
      </w:pPr>
      <w:r>
        <w:t xml:space="preserve">The Office of the Ohio Consumers’ Counsel (“OCC”) </w:t>
      </w:r>
      <w:r w:rsidR="00B177FE">
        <w:t>recommends that</w:t>
      </w:r>
      <w:r w:rsidRPr="00C83A44" w:rsidR="00B177FE">
        <w:rPr>
          <w:szCs w:val="24"/>
        </w:rPr>
        <w:t xml:space="preserve"> </w:t>
      </w:r>
      <w:r w:rsidR="00B177FE">
        <w:rPr>
          <w:szCs w:val="24"/>
        </w:rPr>
        <w:t xml:space="preserve">the PUCO </w:t>
      </w:r>
      <w:r w:rsidR="007F1953">
        <w:rPr>
          <w:szCs w:val="24"/>
        </w:rPr>
        <w:t>defer consideration of</w:t>
      </w:r>
      <w:r w:rsidR="00B177FE">
        <w:rPr>
          <w:szCs w:val="24"/>
        </w:rPr>
        <w:t xml:space="preserve"> </w:t>
      </w:r>
      <w:r w:rsidR="007C39AF">
        <w:rPr>
          <w:szCs w:val="24"/>
        </w:rPr>
        <w:t xml:space="preserve">DP&amp;L’s waiver </w:t>
      </w:r>
      <w:r w:rsidR="007F1953">
        <w:rPr>
          <w:szCs w:val="24"/>
        </w:rPr>
        <w:t>request for</w:t>
      </w:r>
      <w:r w:rsidR="006F690D">
        <w:rPr>
          <w:szCs w:val="24"/>
        </w:rPr>
        <w:t>”</w:t>
      </w:r>
      <w:r w:rsidR="00A25E7C">
        <w:rPr>
          <w:szCs w:val="24"/>
        </w:rPr>
        <w:t xml:space="preserve"> </w:t>
      </w:r>
      <w:r w:rsidR="006F690D">
        <w:rPr>
          <w:szCs w:val="24"/>
        </w:rPr>
        <w:t>C</w:t>
      </w:r>
      <w:r w:rsidR="007F1953">
        <w:rPr>
          <w:szCs w:val="24"/>
        </w:rPr>
        <w:t xml:space="preserve">ode </w:t>
      </w:r>
      <w:r w:rsidR="006F690D">
        <w:rPr>
          <w:szCs w:val="24"/>
        </w:rPr>
        <w:t>R</w:t>
      </w:r>
      <w:r w:rsidR="007F1953">
        <w:rPr>
          <w:szCs w:val="24"/>
        </w:rPr>
        <w:t>ed</w:t>
      </w:r>
      <w:r w:rsidR="006F690D">
        <w:rPr>
          <w:szCs w:val="24"/>
        </w:rPr>
        <w:t>”</w:t>
      </w:r>
      <w:r w:rsidR="007F1953">
        <w:rPr>
          <w:szCs w:val="24"/>
        </w:rPr>
        <w:t xml:space="preserve"> customers and consolidate that request with DP&amp;L’s broader waiver request </w:t>
      </w:r>
      <w:r>
        <w:rPr>
          <w:szCs w:val="24"/>
        </w:rPr>
        <w:t>in Case No. 18-1876-EL-WVR</w:t>
      </w:r>
      <w:r w:rsidR="007F1953">
        <w:rPr>
          <w:szCs w:val="24"/>
        </w:rPr>
        <w:t>.</w:t>
      </w:r>
      <w:r w:rsidR="00D15368">
        <w:rPr>
          <w:szCs w:val="24"/>
        </w:rPr>
        <w:t xml:space="preserve"> </w:t>
      </w:r>
      <w:r>
        <w:rPr>
          <w:szCs w:val="24"/>
        </w:rPr>
        <w:t xml:space="preserve"> </w:t>
      </w:r>
      <w:r w:rsidR="007F1953">
        <w:rPr>
          <w:szCs w:val="24"/>
        </w:rPr>
        <w:t>I</w:t>
      </w:r>
      <w:r>
        <w:rPr>
          <w:szCs w:val="24"/>
        </w:rPr>
        <w:t>f</w:t>
      </w:r>
      <w:r w:rsidR="007F1953">
        <w:rPr>
          <w:szCs w:val="24"/>
        </w:rPr>
        <w:t xml:space="preserve"> DP&amp;L’s request in Case No. 18-1876-EL-WVR</w:t>
      </w:r>
      <w:r>
        <w:rPr>
          <w:szCs w:val="24"/>
        </w:rPr>
        <w:t xml:space="preserve"> </w:t>
      </w:r>
      <w:r w:rsidR="007F1953">
        <w:rPr>
          <w:szCs w:val="24"/>
        </w:rPr>
        <w:t xml:space="preserve">were </w:t>
      </w:r>
      <w:r>
        <w:rPr>
          <w:szCs w:val="24"/>
        </w:rPr>
        <w:t xml:space="preserve">approved, </w:t>
      </w:r>
      <w:r w:rsidR="007F1953">
        <w:rPr>
          <w:szCs w:val="24"/>
        </w:rPr>
        <w:t xml:space="preserve">the Utility </w:t>
      </w:r>
      <w:r>
        <w:rPr>
          <w:szCs w:val="24"/>
        </w:rPr>
        <w:t xml:space="preserve">would </w:t>
      </w:r>
      <w:r w:rsidR="007F1953">
        <w:rPr>
          <w:szCs w:val="24"/>
        </w:rPr>
        <w:t xml:space="preserve">be </w:t>
      </w:r>
      <w:r>
        <w:rPr>
          <w:szCs w:val="24"/>
        </w:rPr>
        <w:t>permit</w:t>
      </w:r>
      <w:r w:rsidR="007F1953">
        <w:rPr>
          <w:szCs w:val="24"/>
        </w:rPr>
        <w:t>ted</w:t>
      </w:r>
      <w:r>
        <w:rPr>
          <w:szCs w:val="24"/>
        </w:rPr>
        <w:t xml:space="preserve"> </w:t>
      </w:r>
      <w:r w:rsidR="007F1953">
        <w:rPr>
          <w:szCs w:val="24"/>
        </w:rPr>
        <w:t xml:space="preserve">to </w:t>
      </w:r>
      <w:r w:rsidR="00E5442F">
        <w:rPr>
          <w:szCs w:val="24"/>
        </w:rPr>
        <w:t xml:space="preserve">disconnect </w:t>
      </w:r>
      <w:r>
        <w:rPr>
          <w:szCs w:val="24"/>
        </w:rPr>
        <w:t>all residential customers</w:t>
      </w:r>
      <w:r w:rsidR="007F1953">
        <w:rPr>
          <w:szCs w:val="24"/>
        </w:rPr>
        <w:t xml:space="preserve"> without personal notice</w:t>
      </w:r>
      <w:r>
        <w:rPr>
          <w:szCs w:val="24"/>
        </w:rPr>
        <w:t>.</w:t>
      </w:r>
      <w:r>
        <w:rPr>
          <w:rStyle w:val="FootnoteReference"/>
          <w:szCs w:val="24"/>
        </w:rPr>
        <w:footnoteReference w:id="5"/>
      </w:r>
      <w:r>
        <w:rPr>
          <w:szCs w:val="24"/>
        </w:rPr>
        <w:t xml:space="preserve"> </w:t>
      </w:r>
      <w:r w:rsidR="0041749F">
        <w:rPr>
          <w:szCs w:val="24"/>
        </w:rPr>
        <w:t>If the PUCO decides not to consolidate these cases, then the PUCO should modify DP&amp;L’s waiver proposal to incorporate the consumer safeguards as discussed herein.</w:t>
      </w:r>
    </w:p>
    <w:p w:rsidR="00307E2B" w:rsidP="00307E2B">
      <w:pPr>
        <w:pStyle w:val="BodyTextIndent3"/>
        <w:spacing w:line="240" w:lineRule="auto"/>
        <w:ind w:right="-312"/>
        <w:rPr>
          <w:szCs w:val="24"/>
        </w:rPr>
      </w:pPr>
    </w:p>
    <w:p w:rsidR="00BE5B5D" w:rsidP="00D869B6">
      <w:pPr>
        <w:pStyle w:val="BodyTextIndent3"/>
        <w:widowControl w:val="0"/>
        <w:spacing w:line="480" w:lineRule="auto"/>
        <w:ind w:left="720" w:hanging="720"/>
        <w:rPr>
          <w:b/>
        </w:rPr>
      </w:pPr>
      <w:r>
        <w:rPr>
          <w:b/>
        </w:rPr>
        <w:t>II.</w:t>
      </w:r>
      <w:r>
        <w:rPr>
          <w:b/>
        </w:rPr>
        <w:tab/>
      </w:r>
      <w:r>
        <w:rPr>
          <w:b/>
        </w:rPr>
        <w:t>STANDARD OF REVIEW</w:t>
      </w:r>
    </w:p>
    <w:p w:rsidR="00BE5B5D" w:rsidRPr="00C20E46" w:rsidP="00D869B6">
      <w:pPr>
        <w:pStyle w:val="BodyTextIndent3"/>
        <w:widowControl w:val="0"/>
        <w:spacing w:line="480" w:lineRule="auto"/>
      </w:pPr>
      <w:r w:rsidRPr="00C20E46">
        <w:t xml:space="preserve">The PUCO may waive any non-statutory </w:t>
      </w:r>
      <w:r w:rsidRPr="00C20E46" w:rsidR="00E9146C">
        <w:t>requirement of the disconnection of residential service rules for good cause shown.</w:t>
      </w:r>
      <w:r>
        <w:rPr>
          <w:rStyle w:val="FootnoteReference"/>
        </w:rPr>
        <w:footnoteReference w:id="6"/>
      </w:r>
      <w:r w:rsidRPr="00C20E46" w:rsidR="00E9146C">
        <w:t xml:space="preserve"> DP&amp;L has the burden of proof in this case. </w:t>
      </w:r>
    </w:p>
    <w:p w:rsidR="00953F1F" w:rsidRPr="00591361" w:rsidP="00FE08C2">
      <w:pPr>
        <w:pStyle w:val="BodyTextIndent3"/>
        <w:widowControl w:val="0"/>
        <w:spacing w:before="240" w:line="480" w:lineRule="auto"/>
        <w:ind w:left="720" w:hanging="720"/>
        <w:rPr>
          <w:b/>
        </w:rPr>
      </w:pPr>
      <w:r>
        <w:rPr>
          <w:b/>
        </w:rPr>
        <w:t>III.</w:t>
      </w:r>
      <w:r w:rsidR="00D15368">
        <w:rPr>
          <w:b/>
        </w:rPr>
        <w:t xml:space="preserve"> </w:t>
      </w:r>
      <w:r w:rsidR="00FE08C2">
        <w:rPr>
          <w:b/>
        </w:rPr>
        <w:tab/>
      </w:r>
      <w:r w:rsidR="00591361">
        <w:rPr>
          <w:b/>
        </w:rPr>
        <w:t>RECOMMENDATIONS</w:t>
      </w:r>
    </w:p>
    <w:p w:rsidR="00ED5CE5" w:rsidRPr="00E979A8" w:rsidP="00D15368">
      <w:pPr>
        <w:spacing w:after="240"/>
        <w:ind w:left="1440" w:right="720" w:hanging="720"/>
        <w:rPr>
          <w:b/>
        </w:rPr>
      </w:pPr>
      <w:r>
        <w:rPr>
          <w:b/>
        </w:rPr>
        <w:t>A</w:t>
      </w:r>
      <w:r w:rsidRPr="00E979A8">
        <w:rPr>
          <w:b/>
        </w:rPr>
        <w:t>.</w:t>
      </w:r>
      <w:r w:rsidR="00D15368">
        <w:rPr>
          <w:b/>
        </w:rPr>
        <w:t xml:space="preserve"> </w:t>
      </w:r>
      <w:r>
        <w:rPr>
          <w:b/>
        </w:rPr>
        <w:tab/>
      </w:r>
      <w:r w:rsidRPr="00E979A8">
        <w:rPr>
          <w:b/>
        </w:rPr>
        <w:t xml:space="preserve">DP&amp;L’s waiver request is duplicative </w:t>
      </w:r>
      <w:r w:rsidR="0099194C">
        <w:rPr>
          <w:b/>
        </w:rPr>
        <w:t>of</w:t>
      </w:r>
      <w:r w:rsidRPr="00E979A8">
        <w:rPr>
          <w:b/>
        </w:rPr>
        <w:t xml:space="preserve"> the utility’s waiver request in Case No. 18-1876-EL-WVR, </w:t>
      </w:r>
      <w:r w:rsidR="0099194C">
        <w:rPr>
          <w:b/>
        </w:rPr>
        <w:t xml:space="preserve">potentially </w:t>
      </w:r>
      <w:r w:rsidRPr="00E979A8">
        <w:rPr>
          <w:b/>
        </w:rPr>
        <w:t xml:space="preserve">leading to </w:t>
      </w:r>
      <w:r w:rsidR="0099194C">
        <w:rPr>
          <w:b/>
        </w:rPr>
        <w:t>customers paying more than is just and reasonable for meters</w:t>
      </w:r>
      <w:r w:rsidRPr="00E979A8">
        <w:rPr>
          <w:b/>
        </w:rPr>
        <w:t>.</w:t>
      </w:r>
    </w:p>
    <w:p w:rsidR="00ED5CE5" w:rsidP="00ED5CE5">
      <w:pPr>
        <w:spacing w:line="480" w:lineRule="auto"/>
        <w:ind w:firstLine="720"/>
      </w:pPr>
      <w:r>
        <w:t>On December 21, 2018, DP&amp;L filed a waiver request from Ohio Adm. Code</w:t>
      </w:r>
      <w:r w:rsidR="00D15368">
        <w:t xml:space="preserve"> </w:t>
      </w:r>
      <w:r>
        <w:t>4901:1-18-06(A)(2) in Case No. 18-1876-EL-WVR, consolidated with 18-1875-EL-GDR.</w:t>
      </w:r>
      <w:r w:rsidR="00D15368">
        <w:t xml:space="preserve"> </w:t>
      </w:r>
      <w:r>
        <w:t xml:space="preserve">Part of DP&amp;L’s proposal includes system-wide Advanced Metering Infrastructure </w:t>
      </w:r>
      <w:r>
        <w:t xml:space="preserve">(AMI) with remote connected and disconnect features. As part of the case, DP&amp;L is also seeking a waiver of the PUCO rule which requires DP&amp;L to provide residential customers with personal notice on the day of disconnection. While the waiver request in the instant case specifically targets “Code Red” customers, the waiver request in Case No. 18-1876-EL-WVR pertains to </w:t>
      </w:r>
      <w:r w:rsidRPr="00A47137">
        <w:rPr>
          <w:i/>
        </w:rPr>
        <w:t>all</w:t>
      </w:r>
      <w:r>
        <w:t xml:space="preserve"> residential customers who have meters installed with remote shut-off capabilities.</w:t>
      </w:r>
      <w:r>
        <w:rPr>
          <w:rStyle w:val="FootnoteReference"/>
        </w:rPr>
        <w:footnoteReference w:id="7"/>
      </w:r>
      <w:r w:rsidR="00D15368">
        <w:t xml:space="preserve"> </w:t>
      </w:r>
    </w:p>
    <w:p w:rsidR="0013417E" w:rsidP="0013417E">
      <w:pPr>
        <w:spacing w:line="480" w:lineRule="auto"/>
        <w:ind w:firstLine="720"/>
      </w:pPr>
      <w:r w:rsidRPr="00307E2B">
        <w:t xml:space="preserve">The “Code Red” waiver should be considered part of the </w:t>
      </w:r>
      <w:r w:rsidRPr="00307E2B" w:rsidR="00357618">
        <w:t>broader</w:t>
      </w:r>
      <w:r w:rsidRPr="00307E2B">
        <w:t xml:space="preserve"> waiver </w:t>
      </w:r>
      <w:r w:rsidRPr="00307E2B" w:rsidR="00357618">
        <w:t xml:space="preserve">request </w:t>
      </w:r>
      <w:r w:rsidRPr="00307E2B">
        <w:t xml:space="preserve">and resolved </w:t>
      </w:r>
      <w:r w:rsidRPr="00307E2B" w:rsidR="00357618">
        <w:t xml:space="preserve">as part of </w:t>
      </w:r>
      <w:r w:rsidRPr="00307E2B">
        <w:t>that case with all the costing information provided.</w:t>
      </w:r>
      <w:r>
        <w:t xml:space="preserve"> </w:t>
      </w:r>
      <w:r w:rsidR="00BE48E1">
        <w:t xml:space="preserve"> </w:t>
      </w:r>
      <w:r>
        <w:t>DP&amp;L intends to spend money that will be eventually collected from customers for purchasing and installing a metering system that is capable of remotely disconnecting and reconnecting customers.</w:t>
      </w:r>
      <w:r w:rsidR="00D15368">
        <w:t xml:space="preserve"> </w:t>
      </w:r>
      <w:r w:rsidR="00BE48E1">
        <w:t xml:space="preserve">However, </w:t>
      </w:r>
      <w:r>
        <w:t>DP&amp;L has not selected a vendor or metering system with the functionality to accommodate the Code Red waiver request</w:t>
      </w:r>
      <w:r w:rsidR="0019655C">
        <w:t xml:space="preserve"> in this proceeding</w:t>
      </w:r>
      <w:r>
        <w:t>.</w:t>
      </w:r>
      <w:r>
        <w:rPr>
          <w:rStyle w:val="FootnoteReference"/>
        </w:rPr>
        <w:footnoteReference w:id="8"/>
      </w:r>
      <w:r w:rsidR="00D15368">
        <w:t xml:space="preserve"> </w:t>
      </w:r>
      <w:r>
        <w:t>DP&amp;L also claims that it does not know the total cost of the Code Red metering system</w:t>
      </w:r>
      <w:r>
        <w:rPr>
          <w:rStyle w:val="FootnoteReference"/>
        </w:rPr>
        <w:footnoteReference w:id="9"/>
      </w:r>
      <w:r>
        <w:t xml:space="preserve"> and is unwilling to disclose how the costs will ultimately be recovered.</w:t>
      </w:r>
      <w:r>
        <w:rPr>
          <w:rStyle w:val="FootnoteReference"/>
        </w:rPr>
        <w:footnoteReference w:id="10"/>
      </w:r>
      <w:r>
        <w:t xml:space="preserve"> </w:t>
      </w:r>
      <w:r>
        <w:t>In addition to remote shut-off capabilities, the metering system will apparently provid</w:t>
      </w:r>
      <w:r w:rsidR="0099194C">
        <w:t>e</w:t>
      </w:r>
      <w:r>
        <w:t xml:space="preserve"> usage information to the Utility.</w:t>
      </w:r>
      <w:r>
        <w:rPr>
          <w:rStyle w:val="FootnoteReference"/>
        </w:rPr>
        <w:footnoteReference w:id="11"/>
      </w:r>
      <w:r>
        <w:t xml:space="preserve"> </w:t>
      </w:r>
    </w:p>
    <w:p w:rsidR="00ED5CE5" w:rsidRPr="00977F60" w:rsidP="0013417E">
      <w:pPr>
        <w:spacing w:line="480" w:lineRule="auto"/>
        <w:ind w:firstLine="720"/>
      </w:pPr>
      <w:r>
        <w:t>The functionalities of this metering system are similar to capabilities that DP&amp;L has proposed to deploy in new advanced metering infrastructure (“AMI”) throughout its service territory.</w:t>
      </w:r>
      <w:r>
        <w:rPr>
          <w:rStyle w:val="FootnoteReference"/>
        </w:rPr>
        <w:footnoteReference w:id="12"/>
      </w:r>
      <w:r w:rsidR="00D15368">
        <w:t xml:space="preserve"> </w:t>
      </w:r>
      <w:r>
        <w:t>The new AMI metering system and other proposed grid upgrades come with a hefty price tag of over $600 million.</w:t>
      </w:r>
    </w:p>
    <w:p w:rsidR="00ED5CE5" w:rsidP="00ED5CE5">
      <w:pPr>
        <w:spacing w:line="480" w:lineRule="auto"/>
        <w:ind w:firstLine="720"/>
      </w:pPr>
      <w:r>
        <w:t>The metering capabilities and functionality that DP&amp;L plans to install for targeted “Code Red” customers appear to be duplicative of many of the AMI capabilities and functionality that DP&amp;L is proposing to install for all residential customers. In 2016, AEP Ohio filed a similar waiver request involving “Code Red” disconnections;</w:t>
      </w:r>
      <w:r>
        <w:rPr>
          <w:rStyle w:val="FootnoteReference"/>
        </w:rPr>
        <w:footnoteReference w:id="13"/>
      </w:r>
      <w:r>
        <w:t xml:space="preserve"> however, the functionality for remote shut-offs </w:t>
      </w:r>
      <w:r w:rsidR="00D905D7">
        <w:t xml:space="preserve">for all residential customers </w:t>
      </w:r>
      <w:r w:rsidR="00A02580">
        <w:t>can ultimately be</w:t>
      </w:r>
      <w:r>
        <w:t xml:space="preserve"> provided through the AMI meters </w:t>
      </w:r>
      <w:r w:rsidRPr="008B44B3">
        <w:rPr>
          <w:i/>
        </w:rPr>
        <w:t xml:space="preserve">as they </w:t>
      </w:r>
      <w:r w:rsidR="00C81CB6">
        <w:rPr>
          <w:i/>
        </w:rPr>
        <w:t>are</w:t>
      </w:r>
      <w:r w:rsidRPr="008B44B3">
        <w:rPr>
          <w:i/>
        </w:rPr>
        <w:t xml:space="preserve"> installed</w:t>
      </w:r>
      <w:r>
        <w:t>.</w:t>
      </w:r>
      <w:r w:rsidR="00D15368">
        <w:t xml:space="preserve"> </w:t>
      </w:r>
      <w:r>
        <w:t>DP&amp;L has not provided any assurance that the yet-to-be</w:t>
      </w:r>
      <w:r w:rsidR="00D905D7">
        <w:t>-</w:t>
      </w:r>
      <w:r>
        <w:t xml:space="preserve">defined metering system it plans to install as part of its proposed “Code Red” waiver is in any way compatible with the metering system capabilities it now proposes to deploy system-wide. Therefore, the new “Code Red” metering system could be replaced in a very short time with an even newer AMI metering system. And there is no assurance that the costs that will </w:t>
      </w:r>
      <w:r w:rsidR="0099194C">
        <w:t xml:space="preserve">likely </w:t>
      </w:r>
      <w:r>
        <w:t>be passed along to customers were prudently incurred or are just and reasonable.</w:t>
      </w:r>
      <w:r w:rsidR="00D15368">
        <w:t xml:space="preserve"> </w:t>
      </w:r>
    </w:p>
    <w:p w:rsidR="00ED5CE5" w:rsidP="00ED5CE5">
      <w:pPr>
        <w:spacing w:line="480" w:lineRule="auto"/>
        <w:ind w:firstLine="720"/>
      </w:pPr>
      <w:r>
        <w:t xml:space="preserve">The </w:t>
      </w:r>
      <w:r w:rsidR="00DB1D3E">
        <w:t>PUCO</w:t>
      </w:r>
      <w:r>
        <w:t xml:space="preserve"> should reject DP&amp;L’s “Code Red” waiver request and instead address the more comprehensive AMI remote disconnection and reconnection matters in Case </w:t>
      </w:r>
      <w:r w:rsidR="0013417E">
        <w:t xml:space="preserve">No. </w:t>
      </w:r>
      <w:r>
        <w:t>18-1876-EL-WVR when (and if) the PUCO approves DP&amp;L grid modernization proposal.</w:t>
      </w:r>
      <w:r w:rsidR="00D15368">
        <w:t xml:space="preserve"> </w:t>
      </w:r>
      <w:r>
        <w:t xml:space="preserve">This </w:t>
      </w:r>
      <w:r w:rsidR="00E5442F">
        <w:t>could</w:t>
      </w:r>
      <w:r>
        <w:t xml:space="preserve"> avoid DP&amp;L unnecessarily spending money on a “Code Red” metering system </w:t>
      </w:r>
      <w:r w:rsidR="00E5442F">
        <w:t xml:space="preserve">that could be duplicative and not needed if DP&amp;L’s $600 million metering system is installed. </w:t>
      </w:r>
    </w:p>
    <w:p w:rsidR="00ED5CE5" w:rsidRPr="00307E2B" w:rsidP="00307E2B">
      <w:pPr>
        <w:ind w:left="1440" w:right="720" w:hanging="720"/>
        <w:rPr>
          <w:b/>
          <w:szCs w:val="24"/>
        </w:rPr>
      </w:pPr>
      <w:r>
        <w:rPr>
          <w:b/>
          <w:szCs w:val="24"/>
        </w:rPr>
        <w:t>B.</w:t>
      </w:r>
      <w:r w:rsidR="00D15368">
        <w:rPr>
          <w:b/>
          <w:szCs w:val="24"/>
        </w:rPr>
        <w:tab/>
      </w:r>
      <w:r w:rsidRPr="00307E2B" w:rsidR="00357618">
        <w:rPr>
          <w:b/>
          <w:szCs w:val="24"/>
        </w:rPr>
        <w:t>If t</w:t>
      </w:r>
      <w:r w:rsidRPr="00307E2B">
        <w:rPr>
          <w:b/>
          <w:szCs w:val="24"/>
        </w:rPr>
        <w:t xml:space="preserve">he PUCO </w:t>
      </w:r>
      <w:r w:rsidRPr="00307E2B" w:rsidR="00357618">
        <w:rPr>
          <w:b/>
          <w:szCs w:val="24"/>
        </w:rPr>
        <w:t xml:space="preserve">won’t consolidate this case with DP&amp;L’s request in Case No. 18-1876-EL-WVR, then the PUCO </w:t>
      </w:r>
      <w:r w:rsidRPr="00307E2B">
        <w:rPr>
          <w:b/>
          <w:szCs w:val="24"/>
        </w:rPr>
        <w:t xml:space="preserve">should </w:t>
      </w:r>
      <w:r w:rsidRPr="00307E2B" w:rsidR="00357618">
        <w:rPr>
          <w:b/>
          <w:szCs w:val="24"/>
        </w:rPr>
        <w:t>modify</w:t>
      </w:r>
      <w:r w:rsidRPr="00307E2B">
        <w:rPr>
          <w:b/>
          <w:szCs w:val="24"/>
        </w:rPr>
        <w:t xml:space="preserve"> DP&amp;L’s waiver proposal </w:t>
      </w:r>
      <w:r w:rsidRPr="00307E2B" w:rsidR="00357618">
        <w:rPr>
          <w:b/>
          <w:szCs w:val="24"/>
        </w:rPr>
        <w:t>to incorporate</w:t>
      </w:r>
      <w:r w:rsidRPr="00307E2B">
        <w:rPr>
          <w:b/>
          <w:szCs w:val="24"/>
        </w:rPr>
        <w:t xml:space="preserve"> the consumer safeguards </w:t>
      </w:r>
      <w:r w:rsidR="0099194C">
        <w:rPr>
          <w:b/>
          <w:szCs w:val="24"/>
        </w:rPr>
        <w:t xml:space="preserve">applied to a similar request by AEP. </w:t>
      </w:r>
    </w:p>
    <w:p w:rsidR="00ED5CE5" w:rsidP="00ED5CE5">
      <w:pPr>
        <w:ind w:left="1440"/>
        <w:rPr>
          <w:b/>
          <w:szCs w:val="24"/>
        </w:rPr>
      </w:pPr>
    </w:p>
    <w:p w:rsidR="00D905D7" w:rsidP="00D905D7">
      <w:pPr>
        <w:pStyle w:val="BodyTextIndent3"/>
        <w:spacing w:line="480" w:lineRule="auto"/>
        <w:ind w:right="-312"/>
        <w:rPr>
          <w:szCs w:val="24"/>
        </w:rPr>
      </w:pPr>
      <w:r>
        <w:t>OCC</w:t>
      </w:r>
      <w:r w:rsidR="00F32DF0">
        <w:t>’s</w:t>
      </w:r>
      <w:r>
        <w:t xml:space="preserve"> recommendation is that the</w:t>
      </w:r>
      <w:r>
        <w:rPr>
          <w:szCs w:val="24"/>
        </w:rPr>
        <w:t xml:space="preserve"> PUCO defer consideration of DP&amp;L’s waiver request for</w:t>
      </w:r>
      <w:r w:rsidR="00307E2B">
        <w:rPr>
          <w:szCs w:val="24"/>
        </w:rPr>
        <w:t xml:space="preserve"> “</w:t>
      </w:r>
      <w:r>
        <w:rPr>
          <w:szCs w:val="24"/>
        </w:rPr>
        <w:t>Code Red</w:t>
      </w:r>
      <w:r w:rsidR="00307E2B">
        <w:rPr>
          <w:szCs w:val="24"/>
        </w:rPr>
        <w:t>”</w:t>
      </w:r>
      <w:r>
        <w:rPr>
          <w:szCs w:val="24"/>
        </w:rPr>
        <w:t xml:space="preserve"> customers and consolidate that request with DP&amp;L’s broader waiver request in Case No. 18-1876-EL-WVR.</w:t>
      </w:r>
      <w:r w:rsidR="00D15368">
        <w:rPr>
          <w:szCs w:val="24"/>
        </w:rPr>
        <w:t xml:space="preserve"> </w:t>
      </w:r>
      <w:r>
        <w:rPr>
          <w:szCs w:val="24"/>
        </w:rPr>
        <w:t xml:space="preserve"> </w:t>
      </w:r>
      <w:r w:rsidR="00397C55">
        <w:rPr>
          <w:szCs w:val="24"/>
        </w:rPr>
        <w:t>However, if the PUCO decides not to consolidate the</w:t>
      </w:r>
      <w:r w:rsidR="0041749F">
        <w:rPr>
          <w:szCs w:val="24"/>
        </w:rPr>
        <w:t>se</w:t>
      </w:r>
      <w:r w:rsidR="00397C55">
        <w:rPr>
          <w:szCs w:val="24"/>
        </w:rPr>
        <w:t xml:space="preserve"> cases, then the PUCO should modify DP&amp;L’s waiver proposal to incorporate the consumer safeguards </w:t>
      </w:r>
      <w:r w:rsidR="00D24CFC">
        <w:rPr>
          <w:szCs w:val="24"/>
        </w:rPr>
        <w:t>consistent with</w:t>
      </w:r>
      <w:r w:rsidR="00397C55">
        <w:rPr>
          <w:szCs w:val="24"/>
        </w:rPr>
        <w:t xml:space="preserve"> </w:t>
      </w:r>
      <w:r w:rsidR="00015085">
        <w:rPr>
          <w:szCs w:val="24"/>
        </w:rPr>
        <w:t>how it ruled on a similar application by AEP.</w:t>
      </w:r>
      <w:r>
        <w:rPr>
          <w:szCs w:val="24"/>
        </w:rPr>
        <w:t xml:space="preserve"> </w:t>
      </w:r>
    </w:p>
    <w:p w:rsidR="0086314C" w:rsidP="00307E2B">
      <w:pPr>
        <w:spacing w:line="480" w:lineRule="auto"/>
        <w:ind w:firstLine="720"/>
        <w:rPr>
          <w:szCs w:val="24"/>
        </w:rPr>
      </w:pPr>
      <w:r>
        <w:rPr>
          <w:szCs w:val="24"/>
        </w:rPr>
        <w:t>The PUCO’s rule</w:t>
      </w:r>
      <w:r w:rsidR="00D15368">
        <w:rPr>
          <w:szCs w:val="24"/>
        </w:rPr>
        <w:t xml:space="preserve"> </w:t>
      </w:r>
      <w:r>
        <w:rPr>
          <w:szCs w:val="24"/>
        </w:rPr>
        <w:t>with respect to disconnection of procedures for electric utilities</w:t>
      </w:r>
      <w:r w:rsidR="00DB1D3E">
        <w:rPr>
          <w:szCs w:val="24"/>
        </w:rPr>
        <w:t xml:space="preserve"> </w:t>
      </w:r>
      <w:r w:rsidRPr="00E5442F" w:rsidR="00DB1D3E">
        <w:rPr>
          <w:szCs w:val="24"/>
        </w:rPr>
        <w:t>states</w:t>
      </w:r>
      <w:r w:rsidRPr="00E5442F">
        <w:rPr>
          <w:szCs w:val="24"/>
        </w:rPr>
        <w:t>:</w:t>
      </w:r>
    </w:p>
    <w:p w:rsidR="0086314C" w:rsidP="00FE08C2">
      <w:pPr>
        <w:ind w:left="1440" w:right="720"/>
        <w:rPr>
          <w:szCs w:val="24"/>
        </w:rPr>
      </w:pPr>
      <w:r>
        <w:rPr>
          <w:szCs w:val="24"/>
        </w:rPr>
        <w:t>On the day of disconnection of service, the utility company shall provide the customers with personal notice. If the customer is not at home, the utility company shall provide personal notice to an adult consumer. If neither the customer nor an adult consumer is at home, the utility company shall attach written notice to the premises in a conspicuous location prior to disconnecting service.</w:t>
      </w:r>
      <w:r>
        <w:rPr>
          <w:rStyle w:val="FootnoteReference"/>
          <w:szCs w:val="24"/>
        </w:rPr>
        <w:footnoteReference w:id="14"/>
      </w:r>
    </w:p>
    <w:p w:rsidR="00FE08C2" w:rsidP="00307E2B">
      <w:pPr>
        <w:spacing w:line="480" w:lineRule="auto"/>
        <w:ind w:firstLine="720"/>
        <w:rPr>
          <w:szCs w:val="24"/>
        </w:rPr>
      </w:pPr>
    </w:p>
    <w:p w:rsidR="00055B4D" w:rsidRPr="00DB1D3E" w:rsidP="00FE08C2">
      <w:pPr>
        <w:spacing w:line="480" w:lineRule="auto"/>
        <w:ind w:firstLine="720"/>
        <w:rPr>
          <w:u w:val="single"/>
        </w:rPr>
      </w:pPr>
      <w:r>
        <w:rPr>
          <w:szCs w:val="24"/>
        </w:rPr>
        <w:t xml:space="preserve">DP&amp;L’s waiver would bypass the PUCO’s personal notice requirement for those customers who the </w:t>
      </w:r>
      <w:r w:rsidR="00F32DF0">
        <w:rPr>
          <w:szCs w:val="24"/>
        </w:rPr>
        <w:t>U</w:t>
      </w:r>
      <w:r>
        <w:rPr>
          <w:szCs w:val="24"/>
        </w:rPr>
        <w:t>tility claims have acted violently or aggressively towards DP&amp;L agents in the past deemed as “Code Red” customers. At the time of the application for waiver, the utility had approximately 50 active customer accounts designated as “Code Red.”</w:t>
      </w:r>
      <w:r>
        <w:rPr>
          <w:rStyle w:val="FootnoteReference"/>
          <w:szCs w:val="24"/>
        </w:rPr>
        <w:footnoteReference w:id="15"/>
      </w:r>
      <w:r>
        <w:rPr>
          <w:szCs w:val="24"/>
        </w:rPr>
        <w:t xml:space="preserve"> </w:t>
      </w:r>
      <w:r w:rsidRPr="00E56E6B">
        <w:t xml:space="preserve">DP&amp;L claims that accounts that are designated </w:t>
      </w:r>
      <w:r w:rsidR="00C20E46">
        <w:t>“</w:t>
      </w:r>
      <w:r w:rsidRPr="00E56E6B">
        <w:t>Code Red</w:t>
      </w:r>
      <w:r w:rsidR="00C20E46">
        <w:t>”</w:t>
      </w:r>
      <w:r w:rsidRPr="00E56E6B">
        <w:t xml:space="preserve"> require either “special handling or a police escort to disconnect or reconnect service.”</w:t>
      </w:r>
      <w:r>
        <w:rPr>
          <w:rStyle w:val="FootnoteReference"/>
        </w:rPr>
        <w:footnoteReference w:id="16"/>
      </w:r>
      <w:r w:rsidR="00D15368">
        <w:t xml:space="preserve"> </w:t>
      </w:r>
      <w:r w:rsidR="00E9146C">
        <w:t>Under DP&amp;L’s proposal, t</w:t>
      </w:r>
      <w:r w:rsidRPr="00E56E6B">
        <w:t xml:space="preserve">hose 50 customers who are currently on the </w:t>
      </w:r>
      <w:r w:rsidR="00C20E46">
        <w:t>“</w:t>
      </w:r>
      <w:r w:rsidRPr="00E56E6B">
        <w:t>Code Red</w:t>
      </w:r>
      <w:r w:rsidR="00C20E46">
        <w:t>”</w:t>
      </w:r>
      <w:r w:rsidRPr="00E56E6B">
        <w:t xml:space="preserve"> list as well as any newly designated </w:t>
      </w:r>
      <w:r w:rsidR="00C20E46">
        <w:t>“</w:t>
      </w:r>
      <w:r w:rsidRPr="00E56E6B">
        <w:t>Code Red</w:t>
      </w:r>
      <w:r w:rsidR="00C20E46">
        <w:t>”</w:t>
      </w:r>
      <w:r w:rsidRPr="00E56E6B">
        <w:t xml:space="preserve"> customer</w:t>
      </w:r>
      <w:r w:rsidR="00E9146C">
        <w:t>s</w:t>
      </w:r>
      <w:r w:rsidRPr="00E56E6B">
        <w:t xml:space="preserve"> will have</w:t>
      </w:r>
      <w:r w:rsidR="00D15368">
        <w:t xml:space="preserve"> </w:t>
      </w:r>
      <w:r w:rsidRPr="00E56E6B">
        <w:t>equipment installed at their home so that their electric service can be remotely shut-off.</w:t>
      </w:r>
      <w:r>
        <w:rPr>
          <w:rStyle w:val="FootnoteReference"/>
        </w:rPr>
        <w:footnoteReference w:id="17"/>
      </w:r>
      <w:r w:rsidR="00D15368">
        <w:t xml:space="preserve"> </w:t>
      </w:r>
    </w:p>
    <w:p w:rsidR="00273945" w:rsidP="00A3336F">
      <w:pPr>
        <w:spacing w:line="480" w:lineRule="auto"/>
        <w:ind w:firstLine="720"/>
      </w:pPr>
      <w:r w:rsidRPr="000B2853">
        <w:t>OCC recommends that</w:t>
      </w:r>
      <w:r w:rsidR="00307E2B">
        <w:t xml:space="preserve"> </w:t>
      </w:r>
      <w:r w:rsidR="00D24CFC">
        <w:t>if</w:t>
      </w:r>
      <w:r w:rsidRPr="000B2853" w:rsidR="00E61515">
        <w:t xml:space="preserve"> the</w:t>
      </w:r>
      <w:r w:rsidR="00E61515">
        <w:t xml:space="preserve"> PUCO approves DP&amp;L’s waiver request, the</w:t>
      </w:r>
      <w:r w:rsidR="00EC3C9A">
        <w:t xml:space="preserve"> PUCO should </w:t>
      </w:r>
      <w:r w:rsidR="00E120F7">
        <w:t>modify the waiver request</w:t>
      </w:r>
      <w:r w:rsidR="00EC3C9A">
        <w:t xml:space="preserve"> </w:t>
      </w:r>
      <w:r w:rsidR="00E120F7">
        <w:t xml:space="preserve">to include </w:t>
      </w:r>
      <w:r>
        <w:t>the</w:t>
      </w:r>
      <w:r w:rsidR="00EC3C9A">
        <w:t xml:space="preserve"> safeguards it ordered in AEP’s 4901:1-18-06(A)(2) waiver request.</w:t>
      </w:r>
      <w:r>
        <w:rPr>
          <w:rStyle w:val="FootnoteReference"/>
        </w:rPr>
        <w:footnoteReference w:id="18"/>
      </w:r>
      <w:r w:rsidR="00EC3C9A">
        <w:t xml:space="preserve"> </w:t>
      </w:r>
      <w:r w:rsidR="00193AFA">
        <w:t xml:space="preserve">The PUCO’s </w:t>
      </w:r>
      <w:r w:rsidR="006E0EDC">
        <w:t>order approving the waiver for AEP</w:t>
      </w:r>
      <w:r w:rsidR="00307E2B">
        <w:t xml:space="preserve"> </w:t>
      </w:r>
      <w:r w:rsidR="00580705">
        <w:t xml:space="preserve">includes specific directions regarding </w:t>
      </w:r>
      <w:r w:rsidR="00E61515">
        <w:t xml:space="preserve">the utility’s </w:t>
      </w:r>
      <w:r>
        <w:t>diligence towards its customers and reporting to the PUCO</w:t>
      </w:r>
      <w:r w:rsidR="00E61515">
        <w:t xml:space="preserve"> and </w:t>
      </w:r>
      <w:r>
        <w:t>w</w:t>
      </w:r>
      <w:r w:rsidR="00580705">
        <w:t>as</w:t>
      </w:r>
      <w:r>
        <w:t xml:space="preserve"> more detailed </w:t>
      </w:r>
      <w:r w:rsidR="00193AFA">
        <w:t xml:space="preserve">than the Staff report in this case. </w:t>
      </w:r>
      <w:r>
        <w:rPr>
          <w:rStyle w:val="FootnoteReference"/>
        </w:rPr>
        <w:footnoteReference w:id="19"/>
      </w:r>
      <w:r w:rsidR="00193AFA">
        <w:t xml:space="preserve"> </w:t>
      </w:r>
      <w:r w:rsidR="00F32DF0">
        <w:t xml:space="preserve"> </w:t>
      </w:r>
    </w:p>
    <w:p w:rsidR="00D52AD2" w:rsidRPr="00307E2B" w:rsidP="00307E2B">
      <w:pPr>
        <w:spacing w:line="480" w:lineRule="auto"/>
        <w:ind w:firstLine="720"/>
      </w:pPr>
      <w:r w:rsidRPr="00307E2B">
        <w:t xml:space="preserve">OCC </w:t>
      </w:r>
      <w:r w:rsidR="00E5442F">
        <w:t xml:space="preserve">further </w:t>
      </w:r>
      <w:r w:rsidRPr="00307E2B">
        <w:t xml:space="preserve">recommends that </w:t>
      </w:r>
      <w:r w:rsidRPr="00307E2B" w:rsidR="00DB265C">
        <w:t>DP&amp;L</w:t>
      </w:r>
      <w:r w:rsidRPr="00307E2B" w:rsidR="00EC405D">
        <w:t xml:space="preserve"> u</w:t>
      </w:r>
      <w:r w:rsidRPr="00307E2B" w:rsidR="00C91B07">
        <w:t xml:space="preserve">pdate the account notes for current </w:t>
      </w:r>
      <w:r w:rsidRPr="00307E2B" w:rsidR="00C20E46">
        <w:t>“</w:t>
      </w:r>
      <w:r w:rsidRPr="00307E2B" w:rsidR="00C91B07">
        <w:t>Code Red</w:t>
      </w:r>
      <w:r w:rsidRPr="00307E2B" w:rsidR="00C20E46">
        <w:t>”</w:t>
      </w:r>
      <w:r w:rsidRPr="00307E2B" w:rsidR="00C91B07">
        <w:t xml:space="preserve"> customers to include</w:t>
      </w:r>
      <w:r w:rsidRPr="00307E2B" w:rsidR="00D15368">
        <w:t xml:space="preserve"> </w:t>
      </w:r>
      <w:r w:rsidRPr="00E56E6B" w:rsidR="00E120F7">
        <w:t>notes that will include the date of the threat or aggressive action, the name of the person behaving aggressively or threatening, the type of threat made and the date the note was added to the account.</w:t>
      </w:r>
      <w:r>
        <w:rPr>
          <w:rStyle w:val="FootnoteReference"/>
        </w:rPr>
        <w:footnoteReference w:id="20"/>
      </w:r>
      <w:r w:rsidR="00D15368">
        <w:t xml:space="preserve"> </w:t>
      </w:r>
      <w:r w:rsidR="00E5442F">
        <w:t xml:space="preserve"> </w:t>
      </w:r>
      <w:r w:rsidRPr="00307E2B" w:rsidR="007315C7">
        <w:t xml:space="preserve">OCC recommends that the PUCO require </w:t>
      </w:r>
      <w:r w:rsidRPr="00307E2B" w:rsidR="00C91B07">
        <w:t xml:space="preserve">DP&amp;L </w:t>
      </w:r>
      <w:r w:rsidRPr="00307E2B" w:rsidR="007315C7">
        <w:t xml:space="preserve">to note on both current and new “Code Red” </w:t>
      </w:r>
      <w:r w:rsidRPr="00307E2B" w:rsidR="00EC405D">
        <w:t xml:space="preserve">customer </w:t>
      </w:r>
      <w:r w:rsidRPr="00307E2B" w:rsidR="007315C7">
        <w:t>account</w:t>
      </w:r>
      <w:r w:rsidRPr="00307E2B" w:rsidR="00DB265C">
        <w:t>s the reason for th</w:t>
      </w:r>
      <w:r w:rsidRPr="00307E2B" w:rsidR="00EC405D">
        <w:t>is</w:t>
      </w:r>
      <w:r w:rsidRPr="00307E2B" w:rsidR="00DB265C">
        <w:t xml:space="preserve"> designation</w:t>
      </w:r>
      <w:r w:rsidRPr="00307E2B" w:rsidR="00642475">
        <w:t>, including</w:t>
      </w:r>
      <w:r w:rsidRPr="00307E2B" w:rsidR="00DB265C">
        <w:t xml:space="preserve"> whether police escorts were </w:t>
      </w:r>
      <w:r w:rsidRPr="00307E2B" w:rsidR="00307E2B">
        <w:t>required,</w:t>
      </w:r>
      <w:r w:rsidRPr="00307E2B" w:rsidR="00EC405D">
        <w:t xml:space="preserve"> </w:t>
      </w:r>
      <w:r w:rsidRPr="00307E2B" w:rsidR="00DB265C">
        <w:t>or police reports were filed</w:t>
      </w:r>
      <w:r w:rsidRPr="00307E2B" w:rsidR="00EC405D">
        <w:t>.</w:t>
      </w:r>
      <w:r>
        <w:rPr>
          <w:rStyle w:val="FootnoteReference"/>
        </w:rPr>
        <w:footnoteReference w:id="21"/>
      </w:r>
      <w:r w:rsidR="00E5442F">
        <w:t xml:space="preserve">  </w:t>
      </w:r>
    </w:p>
    <w:p w:rsidR="00D70B4D" w:rsidRPr="00D70B4D" w:rsidP="00FE08C2">
      <w:pPr>
        <w:pStyle w:val="BodyTextIndent3"/>
        <w:widowControl w:val="0"/>
        <w:spacing w:before="240" w:line="480" w:lineRule="auto"/>
        <w:ind w:firstLine="0"/>
        <w:rPr>
          <w:b/>
        </w:rPr>
      </w:pPr>
      <w:r>
        <w:rPr>
          <w:b/>
        </w:rPr>
        <w:t>I</w:t>
      </w:r>
      <w:r w:rsidR="00370384">
        <w:rPr>
          <w:b/>
        </w:rPr>
        <w:t>II</w:t>
      </w:r>
      <w:r>
        <w:rPr>
          <w:b/>
        </w:rPr>
        <w:t>.</w:t>
      </w:r>
      <w:r>
        <w:rPr>
          <w:b/>
        </w:rPr>
        <w:tab/>
        <w:t>CONCLUSION</w:t>
      </w:r>
    </w:p>
    <w:p w:rsidR="00D70B4D" w:rsidP="00A3336F">
      <w:pPr>
        <w:pStyle w:val="BodyTextIndent3"/>
        <w:spacing w:line="480" w:lineRule="auto"/>
        <w:ind w:right="-312"/>
      </w:pPr>
      <w:r>
        <w:t>OCC recommends</w:t>
      </w:r>
      <w:r w:rsidR="00370384">
        <w:rPr>
          <w:szCs w:val="24"/>
        </w:rPr>
        <w:t xml:space="preserve"> that </w:t>
      </w:r>
      <w:r>
        <w:t>the</w:t>
      </w:r>
      <w:r>
        <w:rPr>
          <w:szCs w:val="24"/>
        </w:rPr>
        <w:t xml:space="preserve"> PUCO defer consideration of DP&amp;L’s </w:t>
      </w:r>
      <w:r w:rsidR="00370384">
        <w:rPr>
          <w:szCs w:val="24"/>
        </w:rPr>
        <w:t xml:space="preserve">waiver </w:t>
      </w:r>
      <w:r>
        <w:rPr>
          <w:szCs w:val="24"/>
        </w:rPr>
        <w:t xml:space="preserve">request of </w:t>
      </w:r>
      <w:r w:rsidR="00370384">
        <w:rPr>
          <w:szCs w:val="24"/>
        </w:rPr>
        <w:t xml:space="preserve">the personal notice </w:t>
      </w:r>
      <w:r>
        <w:rPr>
          <w:szCs w:val="24"/>
        </w:rPr>
        <w:t>requirement required under</w:t>
      </w:r>
      <w:r w:rsidR="00370384">
        <w:rPr>
          <w:szCs w:val="24"/>
        </w:rPr>
        <w:t xml:space="preserve"> the </w:t>
      </w:r>
      <w:r>
        <w:rPr>
          <w:szCs w:val="24"/>
        </w:rPr>
        <w:t>PUCO’s rules</w:t>
      </w:r>
      <w:r w:rsidR="00370384">
        <w:rPr>
          <w:szCs w:val="24"/>
        </w:rPr>
        <w:t xml:space="preserve"> for </w:t>
      </w:r>
      <w:r w:rsidR="00C20E46">
        <w:rPr>
          <w:szCs w:val="24"/>
        </w:rPr>
        <w:t>“</w:t>
      </w:r>
      <w:r w:rsidR="00370384">
        <w:rPr>
          <w:szCs w:val="24"/>
        </w:rPr>
        <w:t>Code Red</w:t>
      </w:r>
      <w:r w:rsidR="00C20E46">
        <w:rPr>
          <w:szCs w:val="24"/>
        </w:rPr>
        <w:t>”</w:t>
      </w:r>
      <w:r w:rsidR="00370384">
        <w:rPr>
          <w:szCs w:val="24"/>
        </w:rPr>
        <w:t xml:space="preserve"> customers</w:t>
      </w:r>
      <w:r>
        <w:rPr>
          <w:szCs w:val="24"/>
        </w:rPr>
        <w:t xml:space="preserve"> </w:t>
      </w:r>
      <w:r w:rsidR="00370384">
        <w:rPr>
          <w:szCs w:val="24"/>
        </w:rPr>
        <w:t xml:space="preserve">and </w:t>
      </w:r>
      <w:r>
        <w:rPr>
          <w:szCs w:val="24"/>
        </w:rPr>
        <w:t>consolidate that request with DP&amp;L’s broader waiver request</w:t>
      </w:r>
      <w:r w:rsidR="00370384">
        <w:rPr>
          <w:szCs w:val="24"/>
        </w:rPr>
        <w:t xml:space="preserve"> in </w:t>
      </w:r>
      <w:r>
        <w:rPr>
          <w:szCs w:val="24"/>
        </w:rPr>
        <w:t>Case No.</w:t>
      </w:r>
      <w:r w:rsidR="00370384">
        <w:rPr>
          <w:szCs w:val="24"/>
        </w:rPr>
        <w:t xml:space="preserve"> 18-1876-EL-WVR</w:t>
      </w:r>
      <w:r>
        <w:rPr>
          <w:szCs w:val="24"/>
        </w:rPr>
        <w:t>.</w:t>
      </w:r>
      <w:r w:rsidR="00D15368">
        <w:rPr>
          <w:szCs w:val="24"/>
        </w:rPr>
        <w:t xml:space="preserve"> </w:t>
      </w:r>
      <w:r w:rsidR="00BC37B6">
        <w:rPr>
          <w:szCs w:val="24"/>
        </w:rPr>
        <w:t>I</w:t>
      </w:r>
      <w:r>
        <w:rPr>
          <w:szCs w:val="24"/>
        </w:rPr>
        <w:t xml:space="preserve">f the PUCO decides not to consolidate the cases, then the PUCO should modify DP&amp;L’s waiver proposal to incorporate the consumer safeguards </w:t>
      </w:r>
      <w:r w:rsidR="0099194C">
        <w:rPr>
          <w:szCs w:val="24"/>
        </w:rPr>
        <w:t xml:space="preserve">discussed </w:t>
      </w:r>
      <w:r w:rsidR="008B44B3">
        <w:rPr>
          <w:szCs w:val="24"/>
        </w:rPr>
        <w:t>herein.</w:t>
      </w:r>
      <w:r>
        <w:rPr>
          <w:szCs w:val="24"/>
        </w:rPr>
        <w:t xml:space="preserve"> </w:t>
      </w:r>
    </w:p>
    <w:p w:rsidR="00B23FB2" w:rsidP="00FE08C2">
      <w:pPr>
        <w:pStyle w:val="BodyTextIndent3"/>
        <w:widowControl w:val="0"/>
        <w:spacing w:line="480" w:lineRule="auto"/>
        <w:ind w:left="3600" w:firstLine="0"/>
        <w:rPr>
          <w:szCs w:val="24"/>
        </w:rPr>
      </w:pPr>
    </w:p>
    <w:p w:rsidR="000F1186" w:rsidP="00FE08C2">
      <w:pPr>
        <w:pStyle w:val="BodyTextIndent3"/>
        <w:widowControl w:val="0"/>
        <w:spacing w:line="480" w:lineRule="auto"/>
        <w:ind w:left="3600" w:firstLine="0"/>
        <w:rPr>
          <w:szCs w:val="24"/>
        </w:rPr>
      </w:pPr>
      <w:r>
        <w:rPr>
          <w:szCs w:val="24"/>
        </w:rPr>
        <w:t>Respectfully submitted,</w:t>
      </w:r>
    </w:p>
    <w:p w:rsidR="000F1186" w:rsidP="00FE08C2">
      <w:pPr>
        <w:pStyle w:val="Footer"/>
        <w:tabs>
          <w:tab w:val="clear" w:pos="4320"/>
          <w:tab w:val="clear" w:pos="8640"/>
        </w:tabs>
        <w:ind w:left="3600"/>
        <w:rPr>
          <w:sz w:val="24"/>
          <w:szCs w:val="24"/>
        </w:rPr>
      </w:pPr>
      <w:r>
        <w:rPr>
          <w:sz w:val="24"/>
          <w:szCs w:val="24"/>
        </w:rPr>
        <w:t>B</w:t>
      </w:r>
      <w:r w:rsidR="008B44B3">
        <w:rPr>
          <w:sz w:val="24"/>
          <w:szCs w:val="24"/>
        </w:rPr>
        <w:t xml:space="preserve">ruce </w:t>
      </w:r>
      <w:r>
        <w:rPr>
          <w:sz w:val="24"/>
          <w:szCs w:val="24"/>
        </w:rPr>
        <w:t>W</w:t>
      </w:r>
      <w:r w:rsidR="008B44B3">
        <w:rPr>
          <w:sz w:val="24"/>
          <w:szCs w:val="24"/>
        </w:rPr>
        <w:t>eston</w:t>
      </w:r>
      <w:r>
        <w:rPr>
          <w:sz w:val="24"/>
          <w:szCs w:val="24"/>
        </w:rPr>
        <w:t xml:space="preserve"> (0016973)</w:t>
      </w:r>
    </w:p>
    <w:p w:rsidR="000F1186" w:rsidP="00FE08C2">
      <w:pPr>
        <w:ind w:left="3600"/>
        <w:rPr>
          <w:szCs w:val="24"/>
        </w:rPr>
      </w:pPr>
      <w:r>
        <w:rPr>
          <w:szCs w:val="24"/>
        </w:rPr>
        <w:t>O</w:t>
      </w:r>
      <w:r w:rsidR="008B44B3">
        <w:rPr>
          <w:szCs w:val="24"/>
        </w:rPr>
        <w:t>hio</w:t>
      </w:r>
      <w:r>
        <w:rPr>
          <w:szCs w:val="24"/>
        </w:rPr>
        <w:t xml:space="preserve"> C</w:t>
      </w:r>
      <w:r w:rsidR="008B44B3">
        <w:rPr>
          <w:szCs w:val="24"/>
        </w:rPr>
        <w:t>onsumers’</w:t>
      </w:r>
      <w:r>
        <w:rPr>
          <w:szCs w:val="24"/>
        </w:rPr>
        <w:t xml:space="preserve"> C</w:t>
      </w:r>
      <w:r w:rsidR="008B44B3">
        <w:rPr>
          <w:szCs w:val="24"/>
        </w:rPr>
        <w:t>ounsel</w:t>
      </w:r>
    </w:p>
    <w:p w:rsidR="00D869B6" w:rsidP="00FE08C2">
      <w:pPr>
        <w:ind w:left="3600"/>
        <w:rPr>
          <w:szCs w:val="24"/>
        </w:rPr>
      </w:pPr>
    </w:p>
    <w:p w:rsidR="000F1186" w:rsidRPr="0054119F" w:rsidP="00FE08C2">
      <w:pPr>
        <w:spacing w:before="120"/>
        <w:ind w:left="3600"/>
        <w:rPr>
          <w:szCs w:val="24"/>
        </w:rPr>
      </w:pPr>
      <w:r>
        <w:rPr>
          <w:i/>
          <w:iCs/>
          <w:szCs w:val="24"/>
          <w:u w:val="single"/>
        </w:rPr>
        <w:t>/s/ Amy Botschner-O’Brien</w:t>
      </w:r>
    </w:p>
    <w:p w:rsidR="000F1186" w:rsidP="00FE08C2">
      <w:pPr>
        <w:ind w:left="3600"/>
        <w:rPr>
          <w:szCs w:val="24"/>
        </w:rPr>
      </w:pPr>
      <w:r>
        <w:rPr>
          <w:szCs w:val="24"/>
        </w:rPr>
        <w:t>Amy Botschner O’Brien (</w:t>
      </w:r>
      <w:r>
        <w:rPr>
          <w:szCs w:val="24"/>
        </w:rPr>
        <w:t>0074423)</w:t>
      </w:r>
    </w:p>
    <w:p w:rsidR="00FE08C2" w:rsidP="00FE08C2">
      <w:pPr>
        <w:ind w:left="3600"/>
        <w:rPr>
          <w:szCs w:val="24"/>
        </w:rPr>
      </w:pPr>
      <w:r>
        <w:rPr>
          <w:szCs w:val="24"/>
        </w:rPr>
        <w:t>Counsel of Record</w:t>
      </w:r>
    </w:p>
    <w:p w:rsidR="00876804" w:rsidP="00FE08C2">
      <w:pPr>
        <w:ind w:left="3600"/>
        <w:rPr>
          <w:szCs w:val="24"/>
        </w:rPr>
      </w:pPr>
      <w:r>
        <w:rPr>
          <w:szCs w:val="24"/>
        </w:rPr>
        <w:t xml:space="preserve">Assistant Consumers’ Counsel </w:t>
      </w:r>
    </w:p>
    <w:p w:rsidR="000F1186" w:rsidP="00FE08C2">
      <w:pPr>
        <w:pStyle w:val="Heading1"/>
        <w:spacing w:before="120"/>
        <w:ind w:left="3600"/>
        <w:rPr>
          <w:u w:val="none"/>
        </w:rPr>
      </w:pPr>
      <w:r>
        <w:rPr>
          <w:u w:val="none"/>
        </w:rPr>
        <w:t>Office of the Ohio Consumers’ Counsel</w:t>
      </w:r>
    </w:p>
    <w:p w:rsidR="000F1186" w:rsidP="00FE08C2">
      <w:pPr>
        <w:pStyle w:val="Heading1"/>
        <w:ind w:left="3600"/>
        <w:rPr>
          <w:b w:val="0"/>
          <w:u w:val="none"/>
        </w:rPr>
      </w:pPr>
      <w:r>
        <w:rPr>
          <w:b w:val="0"/>
          <w:u w:val="none"/>
        </w:rPr>
        <w:t>65 East State Street, 7</w:t>
      </w:r>
      <w:r w:rsidRPr="00476981">
        <w:rPr>
          <w:b w:val="0"/>
          <w:u w:val="none"/>
          <w:vertAlign w:val="superscript"/>
        </w:rPr>
        <w:t>th</w:t>
      </w:r>
      <w:r>
        <w:rPr>
          <w:b w:val="0"/>
          <w:u w:val="none"/>
        </w:rPr>
        <w:t xml:space="preserve"> Floor</w:t>
      </w:r>
    </w:p>
    <w:p w:rsidR="000F1186" w:rsidP="00FE08C2">
      <w:pPr>
        <w:pStyle w:val="Heading1"/>
        <w:ind w:left="3600"/>
        <w:rPr>
          <w:b w:val="0"/>
          <w:u w:val="none"/>
        </w:rPr>
      </w:pPr>
      <w:r>
        <w:rPr>
          <w:b w:val="0"/>
          <w:u w:val="none"/>
        </w:rPr>
        <w:t>Columbus, Ohio 43215-4213</w:t>
      </w:r>
    </w:p>
    <w:p w:rsidR="000F1186" w:rsidP="00FE08C2">
      <w:pPr>
        <w:autoSpaceDE w:val="0"/>
        <w:autoSpaceDN w:val="0"/>
        <w:adjustRightInd w:val="0"/>
        <w:ind w:left="3600"/>
        <w:rPr>
          <w:szCs w:val="24"/>
        </w:rPr>
      </w:pPr>
      <w:r>
        <w:rPr>
          <w:szCs w:val="24"/>
        </w:rPr>
        <w:t>Telephone [Botschner O’Brien]: (614) 466-9575</w:t>
      </w:r>
    </w:p>
    <w:p w:rsidR="000F1186" w:rsidRPr="00307E2B" w:rsidP="00FE08C2">
      <w:pPr>
        <w:ind w:left="3600"/>
        <w:rPr>
          <w:szCs w:val="24"/>
        </w:rPr>
      </w:pPr>
      <w:r w:rsidRPr="00307E2B" w:rsidR="00A007AE">
        <w:rPr>
          <w:rStyle w:val="DefaultParagraphFont"/>
          <w:color w:val="auto"/>
          <w:szCs w:val="24"/>
          <w:u w:val="none"/>
        </w:rPr>
        <w:t>amy.botschner.obrien@occ.ohio.gov</w:t>
      </w:r>
      <w:r w:rsidRPr="00307E2B" w:rsidR="00D75B49">
        <w:rPr>
          <w:szCs w:val="24"/>
        </w:rPr>
        <w:t xml:space="preserve"> </w:t>
      </w:r>
    </w:p>
    <w:p w:rsidR="00A044B5" w:rsidP="00FE08C2">
      <w:pPr>
        <w:ind w:left="3600"/>
      </w:pPr>
      <w:r>
        <w:rPr>
          <w:szCs w:val="24"/>
        </w:rPr>
        <w:t>(Will accept service via email)</w:t>
      </w:r>
    </w:p>
    <w:p w:rsidR="00A044B5"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4"/>
        </w:rPr>
        <w:sectPr w:rsidSect="00434BA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26"/>
        </w:sectPr>
      </w:pPr>
    </w:p>
    <w:p w:rsidR="00A044B5" w:rsidP="00FE08C2">
      <w:pPr>
        <w:jc w:val="center"/>
        <w:rPr>
          <w:b/>
          <w:bCs/>
          <w:u w:val="single"/>
        </w:rPr>
      </w:pPr>
      <w:r>
        <w:rPr>
          <w:b/>
          <w:bCs/>
          <w:u w:val="single"/>
        </w:rPr>
        <w:t>CERTIFICATE OF SERVICE</w:t>
      </w:r>
    </w:p>
    <w:p w:rsidR="00A044B5" w:rsidP="00FE08C2">
      <w:pPr>
        <w:spacing w:line="480" w:lineRule="atLeast"/>
      </w:pPr>
      <w:r>
        <w:tab/>
        <w:t xml:space="preserve">I hereby certify that a copy of </w:t>
      </w:r>
      <w:r w:rsidR="00514112">
        <w:t>these Comments</w:t>
      </w:r>
      <w:r>
        <w:t xml:space="preserve"> was served on the persons stated below </w:t>
      </w:r>
      <w:r w:rsidRPr="00C5009C">
        <w:t>via</w:t>
      </w:r>
      <w:r w:rsidR="002A4912">
        <w:t xml:space="preserve"> electronic transmission</w:t>
      </w:r>
      <w:r>
        <w:t xml:space="preserve">, this </w:t>
      </w:r>
      <w:r w:rsidR="008B44B3">
        <w:t>10</w:t>
      </w:r>
      <w:r w:rsidRPr="007B615B" w:rsidR="007B615B">
        <w:rPr>
          <w:vertAlign w:val="superscript"/>
        </w:rPr>
        <w:t>th</w:t>
      </w:r>
      <w:r w:rsidR="007B615B">
        <w:t xml:space="preserve"> </w:t>
      </w:r>
      <w:r>
        <w:t xml:space="preserve">day of </w:t>
      </w:r>
      <w:r w:rsidR="007B615B">
        <w:t>April</w:t>
      </w:r>
      <w:r w:rsidR="00C5009C">
        <w:t xml:space="preserve"> </w:t>
      </w:r>
      <w:r>
        <w:t>201</w:t>
      </w:r>
      <w:r w:rsidR="007B615B">
        <w:t>9</w:t>
      </w:r>
      <w:r>
        <w:t>.</w:t>
      </w:r>
    </w:p>
    <w:p w:rsidR="00A044B5" w:rsidP="00FE08C2">
      <w:pPr>
        <w:spacing w:line="480" w:lineRule="atLeast"/>
      </w:pPr>
    </w:p>
    <w:p w:rsidR="00477A63" w:rsidRPr="0054119F" w:rsidP="00FE08C2">
      <w:pPr>
        <w:spacing w:before="120"/>
        <w:ind w:left="4320"/>
        <w:rPr>
          <w:szCs w:val="24"/>
        </w:rPr>
      </w:pPr>
      <w:r>
        <w:rPr>
          <w:i/>
          <w:iCs/>
          <w:szCs w:val="24"/>
          <w:u w:val="single"/>
        </w:rPr>
        <w:t>/s/ Amy Botschner-O’Brien</w:t>
      </w:r>
      <w:r w:rsidRPr="0054119F">
        <w:rPr>
          <w:i/>
          <w:iCs/>
          <w:szCs w:val="24"/>
          <w:u w:val="single"/>
        </w:rPr>
        <w:tab/>
      </w:r>
    </w:p>
    <w:p w:rsidR="00A044B5" w:rsidP="00FE08C2">
      <w:r>
        <w:tab/>
      </w:r>
      <w:r w:rsidR="00FE08C2">
        <w:tab/>
      </w:r>
      <w:r w:rsidR="00FE08C2">
        <w:tab/>
      </w:r>
      <w:r w:rsidR="00FE08C2">
        <w:tab/>
      </w:r>
      <w:r w:rsidR="00FE08C2">
        <w:tab/>
      </w:r>
      <w:r w:rsidR="00FE08C2">
        <w:tab/>
      </w:r>
      <w:r w:rsidR="008B44B3">
        <w:t>Amy Botschner O’Brien</w:t>
      </w:r>
    </w:p>
    <w:p w:rsidR="00A044B5" w:rsidP="00FE08C2">
      <w:r>
        <w:tab/>
      </w:r>
      <w:r w:rsidR="00FE08C2">
        <w:tab/>
      </w:r>
      <w:r w:rsidR="00FE08C2">
        <w:tab/>
      </w:r>
      <w:r w:rsidR="00FE08C2">
        <w:tab/>
      </w:r>
      <w:r w:rsidR="00FE08C2">
        <w:tab/>
      </w:r>
      <w:r w:rsidR="00FE08C2">
        <w:tab/>
      </w:r>
      <w:r>
        <w:t>Assistant Consumers’ Counsel</w:t>
      </w:r>
    </w:p>
    <w:p w:rsidR="00A044B5" w:rsidP="00FE08C2">
      <w:pPr>
        <w:pStyle w:val="CommentSubject"/>
      </w:pPr>
    </w:p>
    <w:p w:rsidR="00A044B5" w:rsidP="00FE08C2">
      <w:pPr>
        <w:pStyle w:val="CommentText"/>
      </w:pPr>
    </w:p>
    <w:p w:rsidR="00A044B5" w:rsidP="00FE08C2">
      <w:pPr>
        <w:pStyle w:val="CommentText"/>
        <w:jc w:val="center"/>
        <w:rPr>
          <w:b/>
          <w:u w:val="single"/>
        </w:rPr>
      </w:pPr>
      <w:r>
        <w:rPr>
          <w:b/>
          <w:u w:val="single"/>
        </w:rPr>
        <w:t>SERVICE LIST</w:t>
      </w:r>
    </w:p>
    <w:p w:rsidR="00D869B6" w:rsidP="00D869B6">
      <w:pPr>
        <w:pStyle w:val="CommentText"/>
      </w:pPr>
    </w:p>
    <w:p w:rsidR="00D869B6" w:rsidP="00D869B6">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5220"/>
        <w:gridCol w:w="3420"/>
      </w:tblGrid>
      <w:tr w:rsidTr="00D15368">
        <w:tblPrEx>
          <w:tblW w:w="0" w:type="auto"/>
          <w:tblInd w:w="0" w:type="dxa"/>
          <w:tblCellMar>
            <w:top w:w="0" w:type="dxa"/>
            <w:left w:w="108" w:type="dxa"/>
            <w:bottom w:w="0" w:type="dxa"/>
            <w:right w:w="108" w:type="dxa"/>
          </w:tblCellMar>
          <w:tblLook w:val="04A0"/>
        </w:tblPrEx>
        <w:tc>
          <w:tcPr>
            <w:tcW w:w="5220" w:type="dxa"/>
            <w:shd w:val="clear" w:color="auto" w:fill="auto"/>
          </w:tcPr>
          <w:p w:rsidR="00D15368" w:rsidRPr="00B23FB2" w:rsidP="008C5538">
            <w:pPr>
              <w:pStyle w:val="BodyText"/>
              <w:jc w:val="both"/>
              <w:rPr>
                <w:rStyle w:val="DefaultParagraphFont"/>
                <w:sz w:val="24"/>
                <w:lang w:val="en-US" w:eastAsia="en-US" w:bidi="ar-SA"/>
              </w:rPr>
            </w:pPr>
            <w:r w:rsidRPr="00B23FB2" w:rsidR="00D869B6">
              <w:rPr>
                <w:rStyle w:val="DefaultParagraphFont"/>
                <w:color w:val="auto"/>
                <w:sz w:val="24"/>
                <w:u w:val="none"/>
                <w:lang w:val="en-US" w:eastAsia="en-US" w:bidi="ar-SA"/>
              </w:rPr>
              <w:t>John.jones@ohioattorneygeneral.gov</w:t>
            </w:r>
          </w:p>
          <w:p w:rsidR="00D869B6" w:rsidRPr="00B23FB2" w:rsidP="008C5538">
            <w:pPr>
              <w:pStyle w:val="BodyText"/>
              <w:jc w:val="both"/>
              <w:rPr>
                <w:rStyle w:val="DefaultParagraphFont"/>
                <w:sz w:val="24"/>
                <w:lang w:val="en-US" w:eastAsia="en-US" w:bidi="ar-SA"/>
              </w:rPr>
            </w:pPr>
          </w:p>
          <w:p w:rsidR="00D869B6" w:rsidRPr="00B23FB2" w:rsidP="008C5538">
            <w:pPr>
              <w:pStyle w:val="BodyText"/>
              <w:jc w:val="both"/>
              <w:rPr>
                <w:rStyle w:val="DefaultParagraphFont"/>
                <w:sz w:val="24"/>
                <w:lang w:val="en-US" w:eastAsia="en-US" w:bidi="ar-SA"/>
              </w:rPr>
            </w:pPr>
            <w:r w:rsidRPr="00B23FB2">
              <w:rPr>
                <w:sz w:val="24"/>
                <w:lang w:val="en-US" w:eastAsia="en-US" w:bidi="ar-SA"/>
              </w:rPr>
              <w:t>Attorney Examiners:</w:t>
            </w:r>
          </w:p>
          <w:p w:rsidR="00D869B6" w:rsidRPr="00B23FB2" w:rsidP="008C5538">
            <w:pPr>
              <w:pStyle w:val="BodyText"/>
              <w:jc w:val="both"/>
              <w:rPr>
                <w:rStyle w:val="DefaultParagraphFont"/>
                <w:sz w:val="24"/>
                <w:lang w:val="en-US" w:eastAsia="en-US" w:bidi="ar-SA"/>
              </w:rPr>
            </w:pPr>
            <w:r w:rsidRPr="00B23FB2">
              <w:rPr>
                <w:rStyle w:val="DefaultParagraphFont"/>
                <w:color w:val="auto"/>
                <w:sz w:val="24"/>
                <w:u w:val="none"/>
                <w:lang w:val="en-US" w:eastAsia="en-US" w:bidi="ar-SA"/>
              </w:rPr>
              <w:t>Gregory.price@puco.ohio.gov</w:t>
            </w:r>
          </w:p>
          <w:p w:rsidR="00D15368" w:rsidRPr="00B23FB2" w:rsidP="008C5538">
            <w:pPr>
              <w:pStyle w:val="BodyText"/>
              <w:jc w:val="both"/>
              <w:rPr>
                <w:rStyle w:val="DefaultParagraphFont"/>
                <w:sz w:val="24"/>
                <w:lang w:val="en-US" w:eastAsia="en-US" w:bidi="ar-SA"/>
              </w:rPr>
            </w:pPr>
            <w:r w:rsidRPr="00B23FB2" w:rsidR="00D869B6">
              <w:rPr>
                <w:rStyle w:val="DefaultParagraphFont"/>
                <w:color w:val="auto"/>
                <w:sz w:val="24"/>
                <w:u w:val="none"/>
                <w:lang w:val="en-US" w:eastAsia="en-US" w:bidi="ar-SA"/>
              </w:rPr>
              <w:t>Patricia.schabo@puco.ohio.gov</w:t>
            </w:r>
          </w:p>
          <w:p w:rsidR="00D869B6" w:rsidRPr="00B23FB2" w:rsidP="008C5538">
            <w:pPr>
              <w:pStyle w:val="BodyText"/>
              <w:jc w:val="both"/>
              <w:rPr>
                <w:rStyle w:val="DefaultParagraphFont"/>
                <w:sz w:val="24"/>
                <w:lang w:val="en-US" w:eastAsia="en-US" w:bidi="ar-SA"/>
              </w:rPr>
            </w:pPr>
          </w:p>
          <w:p w:rsidR="00D869B6" w:rsidRPr="00B23FB2" w:rsidP="008C5538">
            <w:pPr>
              <w:pStyle w:val="BodyText"/>
              <w:jc w:val="both"/>
              <w:rPr>
                <w:rStyle w:val="DefaultParagraphFont"/>
                <w:sz w:val="24"/>
                <w:lang w:val="en-US" w:eastAsia="en-US" w:bidi="ar-SA"/>
              </w:rPr>
            </w:pPr>
          </w:p>
        </w:tc>
        <w:tc>
          <w:tcPr>
            <w:tcW w:w="3420" w:type="dxa"/>
            <w:shd w:val="clear" w:color="auto" w:fill="auto"/>
          </w:tcPr>
          <w:p w:rsidR="00D869B6" w:rsidRPr="00B23FB2" w:rsidP="008C5538">
            <w:pPr>
              <w:pStyle w:val="BodyText"/>
              <w:jc w:val="both"/>
              <w:rPr>
                <w:rStyle w:val="DefaultParagraphFont"/>
                <w:sz w:val="24"/>
                <w:lang w:val="en-US" w:eastAsia="en-US" w:bidi="ar-SA"/>
              </w:rPr>
            </w:pPr>
            <w:r w:rsidRPr="00B23FB2">
              <w:rPr>
                <w:rStyle w:val="DefaultParagraphFont"/>
                <w:color w:val="auto"/>
                <w:sz w:val="24"/>
                <w:u w:val="none"/>
                <w:lang w:val="en-US" w:eastAsia="en-US" w:bidi="ar-SA"/>
              </w:rPr>
              <w:t>Michael.schuler@aes.com</w:t>
            </w:r>
          </w:p>
          <w:p w:rsidR="00D869B6" w:rsidRPr="00B23FB2" w:rsidP="008C5538">
            <w:pPr>
              <w:pStyle w:val="BodyText"/>
              <w:jc w:val="both"/>
              <w:rPr>
                <w:rStyle w:val="DefaultParagraphFont"/>
                <w:sz w:val="24"/>
                <w:lang w:val="en-US" w:eastAsia="en-US" w:bidi="ar-SA"/>
              </w:rPr>
            </w:pPr>
            <w:r w:rsidRPr="00B23FB2">
              <w:rPr>
                <w:sz w:val="24"/>
                <w:lang w:val="en-US" w:eastAsia="en-US" w:bidi="ar-SA"/>
              </w:rPr>
              <w:t xml:space="preserve"> </w:t>
            </w:r>
          </w:p>
        </w:tc>
      </w:tr>
    </w:tbl>
    <w:p w:rsidR="00A044B5" w:rsidP="00FE08C2">
      <w:pPr>
        <w:pStyle w:val="BodyText"/>
        <w:rPr>
          <w:b/>
          <w:bCs/>
        </w:rPr>
      </w:pPr>
    </w:p>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7</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F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14112">
      <w:rPr>
        <w:rStyle w:val="PageNumber"/>
        <w:noProof/>
        <w:sz w:val="24"/>
        <w:szCs w:val="24"/>
      </w:rPr>
      <w:t>2</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30D4">
      <w:r>
        <w:separator/>
      </w:r>
    </w:p>
  </w:footnote>
  <w:footnote w:type="continuationSeparator" w:id="1">
    <w:p w:rsidR="00E630D4">
      <w:r>
        <w:continuationSeparator/>
      </w:r>
    </w:p>
  </w:footnote>
  <w:footnote w:type="continuationNotice" w:id="2">
    <w:p w:rsidR="00E630D4"/>
  </w:footnote>
  <w:footnote w:id="3">
    <w:p w:rsidR="00F155BE" w:rsidRPr="00FE08C2" w:rsidP="00FE08C2">
      <w:pPr>
        <w:pStyle w:val="FootnoteText"/>
      </w:pPr>
      <w:r w:rsidRPr="00FE08C2">
        <w:rPr>
          <w:rStyle w:val="FootnoteReference"/>
        </w:rPr>
        <w:footnoteRef/>
      </w:r>
      <w:r w:rsidRPr="00FE08C2">
        <w:t xml:space="preserve"> </w:t>
      </w:r>
      <w:r w:rsidRPr="00FE08C2">
        <w:rPr>
          <w:i/>
        </w:rPr>
        <w:t>See</w:t>
      </w:r>
      <w:r w:rsidRPr="00FE08C2">
        <w:t>, Ohio Adm.</w:t>
      </w:r>
      <w:r w:rsidRPr="00FE08C2" w:rsidR="004950D9">
        <w:t xml:space="preserve"> </w:t>
      </w:r>
      <w:r w:rsidRPr="00FE08C2">
        <w:t>Code 4901: 1-18-06.</w:t>
      </w:r>
    </w:p>
  </w:footnote>
  <w:footnote w:id="4">
    <w:p w:rsidR="007C39AF" w:rsidRPr="00FE08C2" w:rsidP="00FE08C2">
      <w:pPr>
        <w:pStyle w:val="FootnoteText"/>
      </w:pPr>
      <w:r w:rsidRPr="00FE08C2">
        <w:rPr>
          <w:rStyle w:val="FootnoteReference"/>
        </w:rPr>
        <w:footnoteRef/>
      </w:r>
      <w:r w:rsidRPr="00FE08C2">
        <w:t xml:space="preserve"> Application at 2.</w:t>
      </w:r>
    </w:p>
  </w:footnote>
  <w:footnote w:id="5">
    <w:p w:rsidR="003A2BC1" w:rsidRPr="00FE08C2" w:rsidP="00FE08C2">
      <w:pPr>
        <w:pStyle w:val="FootnoteText"/>
      </w:pPr>
      <w:r w:rsidRPr="00FE08C2">
        <w:rPr>
          <w:rStyle w:val="FootnoteReference"/>
        </w:rPr>
        <w:footnoteRef/>
      </w:r>
      <w:r w:rsidRPr="00FE08C2">
        <w:t xml:space="preserve"> </w:t>
      </w:r>
      <w:r w:rsidRPr="00FE08C2" w:rsidR="002A4266">
        <w:rPr>
          <w:i/>
        </w:rPr>
        <w:t>In the Matter of the Application of The Dayton Power and Light Company for Approval of a Limited Waiver of Ohio Administrative Code 4901:1-18-06(A)(2)</w:t>
      </w:r>
      <w:r w:rsidRPr="00FE08C2" w:rsidR="002A4266">
        <w:t xml:space="preserve">, </w:t>
      </w:r>
      <w:r w:rsidRPr="00FE08C2" w:rsidR="00BE5B5D">
        <w:t>Case No. 18-1876-EL-WVR</w:t>
      </w:r>
      <w:r w:rsidRPr="00FE08C2" w:rsidR="002A4266">
        <w:t xml:space="preserve"> (Dec</w:t>
      </w:r>
      <w:r w:rsidRPr="00FE08C2" w:rsidR="00BE5B5D">
        <w:t>.</w:t>
      </w:r>
      <w:r w:rsidRPr="00FE08C2" w:rsidR="002A4266">
        <w:t xml:space="preserve"> 21, 2018). </w:t>
      </w:r>
    </w:p>
  </w:footnote>
  <w:footnote w:id="6">
    <w:p w:rsidR="00E9146C" w:rsidRPr="00FE08C2" w:rsidP="00FE08C2">
      <w:pPr>
        <w:pStyle w:val="FootnoteText"/>
      </w:pPr>
      <w:r w:rsidRPr="00FE08C2">
        <w:rPr>
          <w:rStyle w:val="FootnoteReference"/>
        </w:rPr>
        <w:footnoteRef/>
      </w:r>
      <w:r w:rsidRPr="00FE08C2">
        <w:t xml:space="preserve"> Ohio Adm. Code 4901:1-18-02</w:t>
      </w:r>
      <w:r w:rsidR="00D15368">
        <w:t>.</w:t>
      </w:r>
    </w:p>
  </w:footnote>
  <w:footnote w:id="7">
    <w:p w:rsidR="00ED5CE5" w:rsidRPr="00FE08C2" w:rsidP="00ED5CE5">
      <w:pPr>
        <w:pStyle w:val="FootnoteText"/>
      </w:pPr>
      <w:r w:rsidRPr="00FE08C2">
        <w:rPr>
          <w:rStyle w:val="FootnoteReference"/>
        </w:rPr>
        <w:footnoteRef/>
      </w:r>
      <w:r w:rsidRPr="00FE08C2">
        <w:t xml:space="preserve"> </w:t>
      </w:r>
      <w:r w:rsidRPr="00FE08C2">
        <w:rPr>
          <w:i/>
        </w:rPr>
        <w:t>See, In the Matter of the Application of The Dayton Power and Light Company for Approval of Its Plan to Modernize Its Distribution Grid</w:t>
      </w:r>
      <w:r w:rsidRPr="00FE08C2">
        <w:t xml:space="preserve">, Case No. 18-1875-EL-GRD (Dec. 21, 2018); </w:t>
      </w:r>
      <w:r w:rsidRPr="00FE08C2">
        <w:rPr>
          <w:i/>
        </w:rPr>
        <w:t>In the Matter of the Application of The Dayton Power and Light Company for Approval of a Limited Waiver of Ohio Adm. Code 4901:1-18-06(A)(2)</w:t>
      </w:r>
      <w:r w:rsidRPr="00FE08C2">
        <w:t>, Case No. 18-1876-EL-WVR (Dec. 21, 2018).</w:t>
      </w:r>
    </w:p>
  </w:footnote>
  <w:footnote w:id="8">
    <w:p w:rsidR="00ED5CE5" w:rsidRPr="00FE08C2" w:rsidP="00ED5CE5">
      <w:pPr>
        <w:pStyle w:val="FootnoteText"/>
      </w:pPr>
      <w:r w:rsidRPr="00FE08C2">
        <w:rPr>
          <w:rStyle w:val="FootnoteReference"/>
        </w:rPr>
        <w:footnoteRef/>
      </w:r>
      <w:r w:rsidR="00D15368">
        <w:t xml:space="preserve"> </w:t>
      </w:r>
      <w:r w:rsidRPr="00FE08C2">
        <w:t>DP&amp;L response to OCC INT-1-011.</w:t>
      </w:r>
    </w:p>
  </w:footnote>
  <w:footnote w:id="9">
    <w:p w:rsidR="00ED5CE5" w:rsidRPr="00FE08C2" w:rsidP="00ED5CE5">
      <w:pPr>
        <w:pStyle w:val="FootnoteText"/>
      </w:pPr>
      <w:r w:rsidRPr="00FE08C2">
        <w:rPr>
          <w:rStyle w:val="FootnoteReference"/>
        </w:rPr>
        <w:footnoteRef/>
      </w:r>
      <w:r w:rsidRPr="00FE08C2">
        <w:t xml:space="preserve"> DP&amp;L response to OCC INT-1-013.</w:t>
      </w:r>
    </w:p>
  </w:footnote>
  <w:footnote w:id="10">
    <w:p w:rsidR="00ED5CE5" w:rsidRPr="00FE08C2" w:rsidP="00ED5CE5">
      <w:pPr>
        <w:pStyle w:val="FootnoteText"/>
      </w:pPr>
      <w:r w:rsidRPr="00FE08C2">
        <w:rPr>
          <w:rStyle w:val="FootnoteReference"/>
        </w:rPr>
        <w:footnoteRef/>
      </w:r>
      <w:r w:rsidR="00D15368">
        <w:t xml:space="preserve"> </w:t>
      </w:r>
      <w:r w:rsidRPr="00FE08C2">
        <w:t>DP&amp;L response to OCC INT-1-014.</w:t>
      </w:r>
    </w:p>
  </w:footnote>
  <w:footnote w:id="11">
    <w:p w:rsidR="00ED5CE5" w:rsidRPr="00FE08C2" w:rsidP="00ED5CE5">
      <w:pPr>
        <w:pStyle w:val="FootnoteText"/>
      </w:pPr>
      <w:r w:rsidRPr="00FE08C2">
        <w:rPr>
          <w:rStyle w:val="FootnoteReference"/>
        </w:rPr>
        <w:footnoteRef/>
      </w:r>
      <w:r w:rsidR="00D15368">
        <w:t xml:space="preserve"> </w:t>
      </w:r>
      <w:r w:rsidRPr="00FE08C2">
        <w:t>DP&amp;L response to OCC INT-1-012.</w:t>
      </w:r>
    </w:p>
  </w:footnote>
  <w:footnote w:id="12">
    <w:p w:rsidR="00ED5CE5" w:rsidRPr="00FE08C2" w:rsidP="00ED5CE5">
      <w:pPr>
        <w:pStyle w:val="FootnoteText"/>
      </w:pPr>
      <w:r w:rsidRPr="00FE08C2">
        <w:rPr>
          <w:rStyle w:val="FootnoteReference"/>
          <w:i/>
        </w:rPr>
        <w:footnoteRef/>
      </w:r>
      <w:r w:rsidRPr="00FE08C2">
        <w:rPr>
          <w:i/>
        </w:rPr>
        <w:t xml:space="preserve"> In the Matter of the Application of The Dayton Power and Light Company for Approval of Its Plan to Modernize Its Distribution Grid,</w:t>
      </w:r>
      <w:r w:rsidRPr="00FE08C2">
        <w:t xml:space="preserve"> Case No. 18-1875-EL-GRD (Dec. 21, 2018).</w:t>
      </w:r>
      <w:r w:rsidR="00D15368">
        <w:t xml:space="preserve"> </w:t>
      </w:r>
    </w:p>
  </w:footnote>
  <w:footnote w:id="13">
    <w:p w:rsidR="00ED5CE5" w:rsidRPr="00FE08C2" w:rsidP="00ED5CE5">
      <w:pPr>
        <w:pStyle w:val="FootnoteText"/>
      </w:pPr>
      <w:r w:rsidRPr="00FE08C2">
        <w:rPr>
          <w:rStyle w:val="FootnoteReference"/>
        </w:rPr>
        <w:footnoteRef/>
      </w:r>
      <w:r w:rsidRPr="00FE08C2">
        <w:t xml:space="preserve"> </w:t>
      </w:r>
      <w:r w:rsidRPr="00FE08C2">
        <w:rPr>
          <w:i/>
        </w:rPr>
        <w:t>In the Matter of the Application of Ohio Power Company for a Limited Waiver of Rule 4901:1-18-06(A)(2), Ohio Administrative Code,</w:t>
      </w:r>
      <w:r w:rsidRPr="00FE08C2">
        <w:t xml:space="preserve"> Case No. 16-1773-EL-WVR, Application (August 24, 2016).</w:t>
      </w:r>
    </w:p>
  </w:footnote>
  <w:footnote w:id="14">
    <w:p w:rsidR="00BE5B5D" w:rsidRPr="00FE08C2" w:rsidP="00FE08C2">
      <w:pPr>
        <w:pStyle w:val="FootnoteText"/>
      </w:pPr>
      <w:r w:rsidRPr="00FE08C2">
        <w:rPr>
          <w:rStyle w:val="FootnoteReference"/>
        </w:rPr>
        <w:footnoteRef/>
      </w:r>
      <w:r w:rsidRPr="00FE08C2">
        <w:t xml:space="preserve"> Ohio Adm. Code 4901:1-18-0</w:t>
      </w:r>
      <w:r w:rsidRPr="00FE08C2" w:rsidR="00E9146C">
        <w:t>6(A)(2)</w:t>
      </w:r>
      <w:r w:rsidRPr="00FE08C2">
        <w:t>.</w:t>
      </w:r>
    </w:p>
  </w:footnote>
  <w:footnote w:id="15">
    <w:p w:rsidR="00055B4D" w:rsidRPr="00FE08C2" w:rsidP="00FE08C2">
      <w:pPr>
        <w:pStyle w:val="FootnoteText"/>
      </w:pPr>
      <w:r w:rsidRPr="00FE08C2">
        <w:rPr>
          <w:rStyle w:val="FootnoteReference"/>
        </w:rPr>
        <w:footnoteRef/>
      </w:r>
      <w:r w:rsidRPr="00FE08C2">
        <w:t xml:space="preserve"> Application at 1-2.</w:t>
      </w:r>
    </w:p>
  </w:footnote>
  <w:footnote w:id="16">
    <w:p w:rsidR="00055B4D" w:rsidRPr="00FE08C2" w:rsidP="00FE08C2">
      <w:pPr>
        <w:pStyle w:val="FootnoteText"/>
      </w:pPr>
      <w:r w:rsidRPr="00FE08C2">
        <w:rPr>
          <w:rStyle w:val="FootnoteReference"/>
        </w:rPr>
        <w:footnoteRef/>
      </w:r>
      <w:r w:rsidRPr="00FE08C2">
        <w:t xml:space="preserve"> </w:t>
      </w:r>
      <w:r w:rsidRPr="00FE08C2">
        <w:rPr>
          <w:i/>
        </w:rPr>
        <w:t>Id</w:t>
      </w:r>
      <w:r w:rsidRPr="00FE08C2">
        <w:t>.</w:t>
      </w:r>
    </w:p>
  </w:footnote>
  <w:footnote w:id="17">
    <w:p w:rsidR="00055B4D" w:rsidRPr="00FE08C2" w:rsidP="00FE08C2">
      <w:pPr>
        <w:pStyle w:val="FootnoteText"/>
      </w:pPr>
      <w:r w:rsidRPr="00FE08C2">
        <w:rPr>
          <w:rStyle w:val="FootnoteReference"/>
        </w:rPr>
        <w:footnoteRef/>
      </w:r>
      <w:r w:rsidRPr="00FE08C2">
        <w:t xml:space="preserve"> </w:t>
      </w:r>
      <w:r w:rsidRPr="00FE08C2">
        <w:rPr>
          <w:i/>
        </w:rPr>
        <w:t>Id</w:t>
      </w:r>
      <w:r w:rsidRPr="00FE08C2">
        <w:t>.</w:t>
      </w:r>
    </w:p>
  </w:footnote>
  <w:footnote w:id="18">
    <w:p w:rsidR="00EC3C9A">
      <w:pPr>
        <w:pStyle w:val="FootnoteText"/>
      </w:pPr>
      <w:r>
        <w:rPr>
          <w:rStyle w:val="FootnoteReference"/>
        </w:rPr>
        <w:footnoteRef/>
      </w:r>
      <w:r w:rsidR="00D3577F">
        <w:t xml:space="preserve"> See,</w:t>
      </w:r>
      <w:r>
        <w:t xml:space="preserve"> </w:t>
      </w:r>
      <w:r w:rsidRPr="002E0B26">
        <w:rPr>
          <w:i/>
        </w:rPr>
        <w:t>In the Matter of the Application of Ohio Power Company for a Limited Waiver of Ohio Adm. Code 4901:1-18-06(A)(2)</w:t>
      </w:r>
      <w:r w:rsidR="00193AFA">
        <w:t xml:space="preserve">, </w:t>
      </w:r>
      <w:r w:rsidR="00580705">
        <w:t xml:space="preserve">Entry, </w:t>
      </w:r>
      <w:r w:rsidR="00193AFA">
        <w:t>Case No. 16-1773-EL-WVR (Feb. 8, 2017).</w:t>
      </w:r>
    </w:p>
  </w:footnote>
  <w:footnote w:id="19">
    <w:p w:rsidR="00193AFA">
      <w:pPr>
        <w:pStyle w:val="FootnoteText"/>
      </w:pPr>
      <w:r>
        <w:rPr>
          <w:rStyle w:val="FootnoteReference"/>
        </w:rPr>
        <w:footnoteRef/>
      </w:r>
      <w:r>
        <w:t xml:space="preserve"> </w:t>
      </w:r>
      <w:r w:rsidRPr="002E0B26">
        <w:rPr>
          <w:i/>
        </w:rPr>
        <w:t>Id.</w:t>
      </w:r>
      <w:r>
        <w:t xml:space="preserve"> at 5</w:t>
      </w:r>
      <w:r w:rsidR="00273945">
        <w:t>-6</w:t>
      </w:r>
      <w:r>
        <w:t>.</w:t>
      </w:r>
    </w:p>
  </w:footnote>
  <w:footnote w:id="20">
    <w:p w:rsidR="000B2853">
      <w:pPr>
        <w:pStyle w:val="FootnoteText"/>
      </w:pPr>
      <w:r>
        <w:rPr>
          <w:rStyle w:val="FootnoteReference"/>
        </w:rPr>
        <w:footnoteRef/>
      </w:r>
      <w:r>
        <w:t xml:space="preserve"> </w:t>
      </w:r>
      <w:r w:rsidR="00580705">
        <w:t>Case No. 16-1773-EL-WVR, Entry at 5.</w:t>
      </w:r>
    </w:p>
  </w:footnote>
  <w:footnote w:id="21">
    <w:p w:rsidR="0099194C">
      <w:pPr>
        <w:pStyle w:val="FootnoteText"/>
      </w:pPr>
      <w:r>
        <w:rPr>
          <w:rStyle w:val="FootnoteReference"/>
        </w:rPr>
        <w:footnoteRef/>
      </w:r>
      <w:r>
        <w:t xml:space="preserve"> See for example, DP&amp;L Response to OCC INT-1-009, 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p w:rsidR="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8F846B9"/>
    <w:multiLevelType w:val="hybridMultilevel"/>
    <w:tmpl w:val="F8D81FC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3CC514D8"/>
    <w:multiLevelType w:val="hybridMultilevel"/>
    <w:tmpl w:val="CCF0CD82"/>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CDC7DF2"/>
    <w:multiLevelType w:val="hybridMultilevel"/>
    <w:tmpl w:val="E794C98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CFF7BAD"/>
    <w:multiLevelType w:val="hybridMultilevel"/>
    <w:tmpl w:val="9B62AA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E327765"/>
    <w:multiLevelType w:val="hybridMultilevel"/>
    <w:tmpl w:val="BDE2360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6ED9599F"/>
    <w:multiLevelType w:val="hybridMultilevel"/>
    <w:tmpl w:val="C8A63E2E"/>
    <w:lvl w:ilvl="0">
      <w:start w:val="1"/>
      <w:numFmt w:val="bullet"/>
      <w:lvlText w:val=""/>
      <w:lvlJc w:val="left"/>
      <w:pPr>
        <w:ind w:left="1590" w:hanging="360"/>
      </w:pPr>
      <w:rPr>
        <w:rFonts w:ascii="Symbol" w:hAnsi="Symbol" w:hint="default"/>
      </w:rPr>
    </w:lvl>
    <w:lvl w:ilvl="1" w:tentative="1">
      <w:start w:val="1"/>
      <w:numFmt w:val="bullet"/>
      <w:lvlText w:val="o"/>
      <w:lvlJc w:val="left"/>
      <w:pPr>
        <w:ind w:left="2310" w:hanging="360"/>
      </w:pPr>
      <w:rPr>
        <w:rFonts w:ascii="Courier New" w:hAnsi="Courier New" w:cs="Courier New" w:hint="default"/>
      </w:rPr>
    </w:lvl>
    <w:lvl w:ilvl="2" w:tentative="1">
      <w:start w:val="1"/>
      <w:numFmt w:val="bullet"/>
      <w:lvlText w:val=""/>
      <w:lvlJc w:val="left"/>
      <w:pPr>
        <w:ind w:left="3030" w:hanging="360"/>
      </w:pPr>
      <w:rPr>
        <w:rFonts w:ascii="Wingdings" w:hAnsi="Wingdings" w:hint="default"/>
      </w:rPr>
    </w:lvl>
    <w:lvl w:ilvl="3" w:tentative="1">
      <w:start w:val="1"/>
      <w:numFmt w:val="bullet"/>
      <w:lvlText w:val=""/>
      <w:lvlJc w:val="left"/>
      <w:pPr>
        <w:ind w:left="3750" w:hanging="360"/>
      </w:pPr>
      <w:rPr>
        <w:rFonts w:ascii="Symbol" w:hAnsi="Symbol" w:hint="default"/>
      </w:rPr>
    </w:lvl>
    <w:lvl w:ilvl="4" w:tentative="1">
      <w:start w:val="1"/>
      <w:numFmt w:val="bullet"/>
      <w:lvlText w:val="o"/>
      <w:lvlJc w:val="left"/>
      <w:pPr>
        <w:ind w:left="4470" w:hanging="360"/>
      </w:pPr>
      <w:rPr>
        <w:rFonts w:ascii="Courier New" w:hAnsi="Courier New" w:cs="Courier New" w:hint="default"/>
      </w:rPr>
    </w:lvl>
    <w:lvl w:ilvl="5" w:tentative="1">
      <w:start w:val="1"/>
      <w:numFmt w:val="bullet"/>
      <w:lvlText w:val=""/>
      <w:lvlJc w:val="left"/>
      <w:pPr>
        <w:ind w:left="5190" w:hanging="360"/>
      </w:pPr>
      <w:rPr>
        <w:rFonts w:ascii="Wingdings" w:hAnsi="Wingdings" w:hint="default"/>
      </w:rPr>
    </w:lvl>
    <w:lvl w:ilvl="6" w:tentative="1">
      <w:start w:val="1"/>
      <w:numFmt w:val="bullet"/>
      <w:lvlText w:val=""/>
      <w:lvlJc w:val="left"/>
      <w:pPr>
        <w:ind w:left="5910" w:hanging="360"/>
      </w:pPr>
      <w:rPr>
        <w:rFonts w:ascii="Symbol" w:hAnsi="Symbol" w:hint="default"/>
      </w:rPr>
    </w:lvl>
    <w:lvl w:ilvl="7" w:tentative="1">
      <w:start w:val="1"/>
      <w:numFmt w:val="bullet"/>
      <w:lvlText w:val="o"/>
      <w:lvlJc w:val="left"/>
      <w:pPr>
        <w:ind w:left="6630" w:hanging="360"/>
      </w:pPr>
      <w:rPr>
        <w:rFonts w:ascii="Courier New" w:hAnsi="Courier New" w:cs="Courier New" w:hint="default"/>
      </w:rPr>
    </w:lvl>
    <w:lvl w:ilvl="8" w:tentative="1">
      <w:start w:val="1"/>
      <w:numFmt w:val="bullet"/>
      <w:lvlText w:val=""/>
      <w:lvlJc w:val="left"/>
      <w:pPr>
        <w:ind w:left="7350" w:hanging="360"/>
      </w:pPr>
      <w:rPr>
        <w:rFonts w:ascii="Wingdings" w:hAnsi="Wingdings" w:hint="default"/>
      </w:rPr>
    </w:lvl>
  </w:abstractNum>
  <w:abstractNum w:abstractNumId="11">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9"/>
  </w:num>
  <w:num w:numId="4">
    <w:abstractNumId w:val="8"/>
  </w:num>
  <w:num w:numId="5">
    <w:abstractNumId w:val="0"/>
  </w:num>
  <w:num w:numId="6">
    <w:abstractNumId w:val="11"/>
  </w:num>
  <w:num w:numId="7">
    <w:abstractNumId w:val="10"/>
  </w:num>
  <w:num w:numId="8">
    <w:abstractNumId w:val="1"/>
  </w:num>
  <w:num w:numId="9">
    <w:abstractNumId w:val="3"/>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63"/>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Char1"/>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sid w:val="00477A63"/>
    <w:pPr>
      <w:spacing w:after="120"/>
    </w:pPr>
    <w:rPr>
      <w:sz w:val="20"/>
    </w:rPr>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NormalWeb">
    <w:name w:val="Normal (Web)"/>
    <w:basedOn w:val="Normal"/>
    <w:uiPriority w:val="99"/>
    <w:unhideWhenUsed/>
    <w:rsid w:val="004F7E6B"/>
    <w:pPr>
      <w:spacing w:before="100" w:beforeAutospacing="1" w:after="100" w:afterAutospacing="1"/>
    </w:pPr>
    <w:rPr>
      <w:szCs w:val="24"/>
    </w:rPr>
  </w:style>
  <w:style w:type="character" w:customStyle="1" w:styleId="BodyTextChar">
    <w:name w:val="Body Text Char"/>
    <w:link w:val="BodyText"/>
    <w:rsid w:val="00477A63"/>
    <w:rPr>
      <w:sz w:val="24"/>
    </w:rPr>
  </w:style>
  <w:style w:type="character" w:customStyle="1" w:styleId="BodyTextIndentChar">
    <w:name w:val="Body Text Indent Char"/>
    <w:link w:val="BodyTextIndent"/>
    <w:rsid w:val="00477A63"/>
    <w:rPr>
      <w:sz w:val="24"/>
    </w:rPr>
  </w:style>
  <w:style w:type="character" w:customStyle="1" w:styleId="UnresolvedMention">
    <w:name w:val="Unresolved Mention"/>
    <w:uiPriority w:val="99"/>
    <w:semiHidden/>
    <w:unhideWhenUsed/>
    <w:rsid w:val="00D75B49"/>
    <w:rPr>
      <w:color w:val="605E5C"/>
      <w:shd w:val="clear" w:color="auto" w:fill="E1DFDD"/>
    </w:rPr>
  </w:style>
  <w:style w:type="paragraph" w:styleId="ListParagraph">
    <w:name w:val="List Paragraph"/>
    <w:basedOn w:val="Normal"/>
    <w:uiPriority w:val="34"/>
    <w:qFormat/>
    <w:rsid w:val="00907820"/>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uiPriority w:val="99"/>
    <w:semiHidden/>
    <w:rsid w:val="00907820"/>
  </w:style>
  <w:style w:type="character" w:customStyle="1" w:styleId="HTMLPreformattedChar">
    <w:name w:val="HTML Preformatted Char"/>
    <w:aliases w:val="Char Char"/>
    <w:link w:val="HTMLPreformatted"/>
    <w:locked/>
    <w:rsid w:val="001A2D22"/>
    <w:rPr>
      <w:rFonts w:ascii="Courier New" w:eastAsia="Courier New" w:hAnsi="Courier New" w:cs="Courier New"/>
    </w:rPr>
  </w:style>
  <w:style w:type="character" w:customStyle="1" w:styleId="FooterChar">
    <w:name w:val="Footer Char"/>
    <w:aliases w:val="Char1 Char"/>
    <w:link w:val="Footer"/>
    <w:uiPriority w:val="99"/>
    <w:locked/>
    <w:rsid w:val="001A2D22"/>
  </w:style>
  <w:style w:type="paragraph" w:customStyle="1" w:styleId="InsideAddress">
    <w:name w:val="Inside Address"/>
    <w:basedOn w:val="Normal"/>
    <w:rsid w:val="001A2D22"/>
    <w:rPr>
      <w:rFonts w:ascii="Times" w:eastAsia="Times" w:hAnsi="Times"/>
    </w:rPr>
  </w:style>
  <w:style w:type="character" w:customStyle="1" w:styleId="CommentTextChar">
    <w:name w:val="Comment Text Char"/>
    <w:link w:val="CommentText"/>
    <w:semiHidden/>
    <w:rsid w:val="00D869B6"/>
    <w:rPr>
      <w:sz w:val="24"/>
      <w:szCs w:val="24"/>
    </w:rPr>
  </w:style>
  <w:style w:type="character" w:customStyle="1" w:styleId="CommentSubjectChar">
    <w:name w:val="Comment Subject Char"/>
    <w:link w:val="CommentSubject"/>
    <w:semiHidden/>
    <w:rsid w:val="00D869B6"/>
    <w:rPr>
      <w:sz w:val="24"/>
    </w:rPr>
  </w:style>
  <w:style w:type="paragraph" w:styleId="Revision">
    <w:name w:val="Revision"/>
    <w:hidden/>
    <w:uiPriority w:val="99"/>
    <w:semiHidden/>
    <w:rsid w:val="000B28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DP&amp;L Code Red 18-1257--edits re: Maureen/Dan  (00133979.DOC;1)</vt:lpstr>
    </vt:vector>
  </TitlesOfParts>
  <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2019-04-10T20:53:34Z</dcterms:created>
  <dcterms:modified xsi:type="dcterms:W3CDTF">2019-04-10T20:53:34Z</dcterms:modified>
</cp:coreProperties>
</file>