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25" w:rsidRDefault="00C02225" w:rsidP="00C02225">
      <w:pPr>
        <w:autoSpaceDE w:val="0"/>
        <w:autoSpaceDN w:val="0"/>
        <w:adjustRightInd w:val="0"/>
        <w:snapToGrid w:val="0"/>
        <w:spacing w:line="240" w:lineRule="auto"/>
        <w:jc w:val="center"/>
        <w:rPr>
          <w:rFonts w:cs="Arial"/>
          <w:b/>
          <w:color w:val="000000"/>
        </w:rPr>
      </w:pPr>
      <w:r>
        <w:rPr>
          <w:rFonts w:cs="Arial"/>
          <w:b/>
          <w:color w:val="000000"/>
        </w:rPr>
        <w:t>BEFORE</w:t>
      </w:r>
    </w:p>
    <w:p w:rsidR="00C02225" w:rsidRDefault="00C02225" w:rsidP="00C02225">
      <w:pPr>
        <w:autoSpaceDE w:val="0"/>
        <w:autoSpaceDN w:val="0"/>
        <w:adjustRightInd w:val="0"/>
        <w:snapToGrid w:val="0"/>
        <w:spacing w:line="240" w:lineRule="auto"/>
        <w:jc w:val="center"/>
        <w:rPr>
          <w:rFonts w:cs="Arial"/>
          <w:b/>
          <w:color w:val="000000"/>
        </w:rPr>
      </w:pPr>
      <w:r>
        <w:rPr>
          <w:rFonts w:cs="Arial"/>
          <w:b/>
          <w:color w:val="000000"/>
        </w:rPr>
        <w:t>THE PUBLIC UTILITIES COMMISSION OF OHIO</w:t>
      </w:r>
    </w:p>
    <w:p w:rsidR="00C02225" w:rsidRDefault="00C02225" w:rsidP="00C02225">
      <w:pPr>
        <w:autoSpaceDE w:val="0"/>
        <w:autoSpaceDN w:val="0"/>
        <w:adjustRightInd w:val="0"/>
        <w:snapToGrid w:val="0"/>
        <w:spacing w:line="240" w:lineRule="auto"/>
        <w:rPr>
          <w:rFonts w:ascii="Times-Roman" w:hAnsi="Times-Roman" w:cs="Times-Roman"/>
          <w:color w:val="000000"/>
        </w:rPr>
      </w:pPr>
    </w:p>
    <w:p w:rsidR="00C02225" w:rsidRPr="00FD16D7" w:rsidRDefault="00C02225" w:rsidP="00C02225">
      <w:pPr>
        <w:tabs>
          <w:tab w:val="left" w:pos="4590"/>
          <w:tab w:val="left" w:pos="5040"/>
        </w:tabs>
        <w:autoSpaceDE w:val="0"/>
        <w:autoSpaceDN w:val="0"/>
        <w:adjustRightInd w:val="0"/>
        <w:snapToGrid w:val="0"/>
        <w:spacing w:line="240" w:lineRule="auto"/>
        <w:rPr>
          <w:rFonts w:ascii="Times-Roman" w:hAnsi="Times-Roman" w:cs="Times-Roman"/>
          <w:color w:val="000000"/>
        </w:rPr>
      </w:pPr>
      <w:r w:rsidRPr="00FD16D7">
        <w:rPr>
          <w:rFonts w:ascii="Times-Roman" w:hAnsi="Times-Roman" w:cs="Times-Roman"/>
          <w:color w:val="000000"/>
        </w:rPr>
        <w:t>In t</w:t>
      </w:r>
      <w:r>
        <w:rPr>
          <w:rFonts w:ascii="Times-Roman" w:hAnsi="Times-Roman" w:cs="Times-Roman"/>
          <w:color w:val="000000"/>
        </w:rPr>
        <w:t>he Matter of the Commission's</w:t>
      </w:r>
      <w:r>
        <w:rPr>
          <w:rFonts w:ascii="Times-Roman" w:hAnsi="Times-Roman" w:cs="Times-Roman"/>
          <w:color w:val="000000"/>
        </w:rPr>
        <w:tab/>
      </w:r>
      <w:r w:rsidRPr="00FD16D7">
        <w:rPr>
          <w:rFonts w:ascii="Times-Roman" w:hAnsi="Times-Roman" w:cs="Times-Roman"/>
          <w:color w:val="000000"/>
        </w:rPr>
        <w:t>)</w:t>
      </w:r>
    </w:p>
    <w:p w:rsidR="00C02225" w:rsidRPr="00FD16D7" w:rsidRDefault="00C02225" w:rsidP="00C02225">
      <w:pPr>
        <w:tabs>
          <w:tab w:val="left" w:pos="4590"/>
          <w:tab w:val="left" w:pos="5040"/>
        </w:tabs>
        <w:autoSpaceDE w:val="0"/>
        <w:autoSpaceDN w:val="0"/>
        <w:adjustRightInd w:val="0"/>
        <w:snapToGrid w:val="0"/>
        <w:spacing w:line="240" w:lineRule="auto"/>
        <w:rPr>
          <w:rFonts w:ascii="Times-Roman" w:hAnsi="Times-Roman" w:cs="Times-Roman"/>
          <w:color w:val="000000"/>
        </w:rPr>
      </w:pPr>
      <w:r w:rsidRPr="00FD16D7">
        <w:rPr>
          <w:rFonts w:ascii="Times-Roman" w:hAnsi="Times-Roman" w:cs="Times-Roman"/>
          <w:color w:val="000000"/>
        </w:rPr>
        <w:t xml:space="preserve">Review </w:t>
      </w:r>
      <w:r>
        <w:rPr>
          <w:rFonts w:ascii="Times-Roman" w:hAnsi="Times-Roman" w:cs="Times-Roman"/>
          <w:color w:val="000000"/>
        </w:rPr>
        <w:t>of Chapter 4901:1-6 of the Ohio</w:t>
      </w:r>
      <w:r w:rsidRPr="00FD16D7">
        <w:rPr>
          <w:rFonts w:ascii="Times-Roman" w:hAnsi="Times-Roman" w:cs="Times-Roman"/>
          <w:color w:val="000000"/>
        </w:rPr>
        <w:tab/>
        <w:t>)</w:t>
      </w:r>
    </w:p>
    <w:p w:rsidR="00C02225" w:rsidRPr="00FD16D7" w:rsidRDefault="00C02225" w:rsidP="00C02225">
      <w:pPr>
        <w:tabs>
          <w:tab w:val="left" w:pos="4590"/>
          <w:tab w:val="left" w:pos="5040"/>
        </w:tabs>
        <w:autoSpaceDE w:val="0"/>
        <w:autoSpaceDN w:val="0"/>
        <w:adjustRightInd w:val="0"/>
        <w:snapToGrid w:val="0"/>
        <w:spacing w:line="240" w:lineRule="auto"/>
        <w:rPr>
          <w:rFonts w:ascii="Times-Roman" w:hAnsi="Times-Roman" w:cs="Times-Roman"/>
          <w:color w:val="000000"/>
        </w:rPr>
      </w:pPr>
      <w:r w:rsidRPr="00FD16D7">
        <w:rPr>
          <w:rFonts w:ascii="Times-Roman" w:hAnsi="Times-Roman" w:cs="Times-Roman"/>
          <w:color w:val="000000"/>
        </w:rPr>
        <w:t xml:space="preserve">Administrative Code, Regarding </w:t>
      </w:r>
      <w:r w:rsidRPr="00FD16D7">
        <w:rPr>
          <w:rFonts w:ascii="Times-Roman" w:hAnsi="Times-Roman" w:cs="Times-Roman"/>
          <w:color w:val="000000"/>
        </w:rPr>
        <w:tab/>
        <w:t>)</w:t>
      </w:r>
      <w:r w:rsidRPr="00FD16D7">
        <w:rPr>
          <w:rFonts w:ascii="Times-Roman" w:hAnsi="Times-Roman" w:cs="Times-Roman"/>
          <w:color w:val="000000"/>
        </w:rPr>
        <w:tab/>
        <w:t>Case No. 14-1554-TP-ORD</w:t>
      </w:r>
    </w:p>
    <w:p w:rsidR="00C02225" w:rsidRPr="00FD16D7" w:rsidRDefault="00C02225" w:rsidP="00C02225">
      <w:pPr>
        <w:tabs>
          <w:tab w:val="left" w:pos="4590"/>
          <w:tab w:val="left" w:pos="5040"/>
        </w:tabs>
        <w:autoSpaceDE w:val="0"/>
        <w:autoSpaceDN w:val="0"/>
        <w:adjustRightInd w:val="0"/>
        <w:snapToGrid w:val="0"/>
        <w:spacing w:line="240" w:lineRule="auto"/>
        <w:rPr>
          <w:rFonts w:ascii="Times-Roman" w:hAnsi="Times-Roman" w:cs="Times-Roman"/>
          <w:color w:val="000000"/>
        </w:rPr>
      </w:pPr>
      <w:r w:rsidRPr="00FD16D7">
        <w:rPr>
          <w:rFonts w:ascii="Times-Roman" w:hAnsi="Times-Roman" w:cs="Times-Roman"/>
          <w:color w:val="000000"/>
        </w:rPr>
        <w:t xml:space="preserve">Telephone Company Procedures and </w:t>
      </w:r>
      <w:r w:rsidRPr="00FD16D7">
        <w:rPr>
          <w:rFonts w:ascii="Times-Roman" w:hAnsi="Times-Roman" w:cs="Times-Roman"/>
          <w:color w:val="000000"/>
        </w:rPr>
        <w:tab/>
        <w:t>)</w:t>
      </w:r>
    </w:p>
    <w:p w:rsidR="00C02225" w:rsidRPr="00FD16D7" w:rsidRDefault="00C02225" w:rsidP="00C02225">
      <w:pPr>
        <w:tabs>
          <w:tab w:val="left" w:pos="4590"/>
          <w:tab w:val="left" w:pos="5040"/>
        </w:tabs>
        <w:autoSpaceDE w:val="0"/>
        <w:autoSpaceDN w:val="0"/>
        <w:adjustRightInd w:val="0"/>
        <w:snapToGrid w:val="0"/>
        <w:spacing w:line="240" w:lineRule="auto"/>
        <w:rPr>
          <w:rFonts w:ascii="Times-Roman" w:hAnsi="Times-Roman" w:cs="Times-Roman"/>
          <w:color w:val="000000"/>
        </w:rPr>
      </w:pPr>
      <w:r w:rsidRPr="00FD16D7">
        <w:rPr>
          <w:rFonts w:ascii="Times-Roman" w:hAnsi="Times-Roman" w:cs="Times-Roman"/>
          <w:color w:val="000000"/>
        </w:rPr>
        <w:t>Standards.</w:t>
      </w:r>
      <w:r w:rsidRPr="00FD16D7">
        <w:rPr>
          <w:rFonts w:ascii="Times-Roman" w:hAnsi="Times-Roman" w:cs="Times-Roman"/>
          <w:color w:val="000000"/>
        </w:rPr>
        <w:tab/>
        <w:t>)</w:t>
      </w:r>
    </w:p>
    <w:p w:rsidR="00C02225" w:rsidRDefault="00C02225" w:rsidP="00C02225">
      <w:pPr>
        <w:jc w:val="center"/>
        <w:rPr>
          <w:b/>
        </w:rPr>
      </w:pPr>
    </w:p>
    <w:p w:rsidR="00C02225" w:rsidRDefault="00C02225" w:rsidP="00C02225">
      <w:pPr>
        <w:pBdr>
          <w:top w:val="single" w:sz="4" w:space="1" w:color="auto"/>
          <w:bottom w:val="single" w:sz="4" w:space="1" w:color="auto"/>
        </w:pBdr>
        <w:spacing w:line="240" w:lineRule="auto"/>
        <w:jc w:val="center"/>
        <w:rPr>
          <w:b/>
        </w:rPr>
      </w:pPr>
    </w:p>
    <w:p w:rsidR="00C02225" w:rsidRDefault="00C02225" w:rsidP="00C02225">
      <w:pPr>
        <w:pBdr>
          <w:top w:val="single" w:sz="4" w:space="1" w:color="auto"/>
          <w:bottom w:val="single" w:sz="4" w:space="1" w:color="auto"/>
        </w:pBdr>
        <w:jc w:val="center"/>
        <w:rPr>
          <w:b/>
        </w:rPr>
      </w:pPr>
      <w:r>
        <w:rPr>
          <w:b/>
        </w:rPr>
        <w:t>REPLY COMMENTS OF THE OHIO TELECOM ASSOCIATION</w:t>
      </w: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320"/>
        <w:rPr>
          <w:rFonts w:cs="Arial"/>
        </w:rPr>
      </w:pPr>
    </w:p>
    <w:p w:rsidR="00C02225" w:rsidRDefault="00C02225" w:rsidP="00C02225">
      <w:pPr>
        <w:tabs>
          <w:tab w:val="left" w:pos="4320"/>
        </w:tabs>
        <w:spacing w:line="240" w:lineRule="auto"/>
        <w:ind w:left="4140"/>
        <w:rPr>
          <w:rFonts w:cs="Arial"/>
        </w:rPr>
      </w:pPr>
      <w:r>
        <w:rPr>
          <w:rFonts w:cs="Arial"/>
        </w:rPr>
        <w:t>Scott E. Elisar (Reg. No. 0081877)</w:t>
      </w:r>
    </w:p>
    <w:p w:rsidR="00C02225" w:rsidRDefault="00C02225" w:rsidP="00C02225">
      <w:pPr>
        <w:tabs>
          <w:tab w:val="left" w:pos="4320"/>
        </w:tabs>
        <w:spacing w:line="240" w:lineRule="auto"/>
        <w:ind w:left="4140"/>
        <w:rPr>
          <w:rFonts w:cs="Arial"/>
        </w:rPr>
      </w:pPr>
      <w:r>
        <w:rPr>
          <w:rFonts w:cs="Arial"/>
        </w:rPr>
        <w:t xml:space="preserve">(Counsel of Record) </w:t>
      </w:r>
    </w:p>
    <w:p w:rsidR="00C02225" w:rsidRPr="00C02BD2" w:rsidRDefault="00C02225" w:rsidP="00C02225">
      <w:pPr>
        <w:widowControl w:val="0"/>
        <w:tabs>
          <w:tab w:val="left" w:pos="4320"/>
        </w:tabs>
        <w:spacing w:line="240" w:lineRule="auto"/>
        <w:ind w:left="4140"/>
        <w:rPr>
          <w:rFonts w:cs="Arial"/>
          <w:b/>
          <w:bCs/>
        </w:rPr>
      </w:pPr>
      <w:r>
        <w:rPr>
          <w:rFonts w:cs="Arial"/>
          <w:bCs/>
        </w:rPr>
        <w:t>Matthew R. Pritchard (Reg. No. 0088070)</w:t>
      </w:r>
    </w:p>
    <w:p w:rsidR="00C02225" w:rsidRDefault="00C02225" w:rsidP="00C02225">
      <w:pPr>
        <w:tabs>
          <w:tab w:val="left" w:pos="4320"/>
        </w:tabs>
        <w:spacing w:line="240" w:lineRule="auto"/>
        <w:ind w:left="4140"/>
        <w:rPr>
          <w:rFonts w:cs="Arial"/>
        </w:rPr>
      </w:pPr>
      <w:r>
        <w:rPr>
          <w:rFonts w:cs="Arial"/>
        </w:rPr>
        <w:t>McNees Wallace &amp; Nurick LLC</w:t>
      </w:r>
    </w:p>
    <w:p w:rsidR="00C02225" w:rsidRDefault="00C02225" w:rsidP="00C02225">
      <w:pPr>
        <w:tabs>
          <w:tab w:val="left" w:pos="4320"/>
        </w:tabs>
        <w:spacing w:line="240" w:lineRule="auto"/>
        <w:ind w:left="4140"/>
        <w:rPr>
          <w:rFonts w:cs="Arial"/>
        </w:rPr>
      </w:pPr>
      <w:r>
        <w:rPr>
          <w:rFonts w:cs="Arial"/>
        </w:rPr>
        <w:t>21 E. State Street, 17th Floor</w:t>
      </w:r>
    </w:p>
    <w:p w:rsidR="00C02225" w:rsidRDefault="00C02225" w:rsidP="00C02225">
      <w:pPr>
        <w:tabs>
          <w:tab w:val="left" w:pos="4320"/>
        </w:tabs>
        <w:spacing w:line="240" w:lineRule="auto"/>
        <w:ind w:left="4140"/>
        <w:rPr>
          <w:rFonts w:cs="Arial"/>
        </w:rPr>
      </w:pPr>
      <w:r>
        <w:rPr>
          <w:rFonts w:cs="Arial"/>
        </w:rPr>
        <w:t>Columbus, Ohio 43215</w:t>
      </w:r>
    </w:p>
    <w:p w:rsidR="00C02225" w:rsidRDefault="00C02225" w:rsidP="00C02225">
      <w:pPr>
        <w:tabs>
          <w:tab w:val="left" w:pos="4320"/>
        </w:tabs>
        <w:spacing w:line="240" w:lineRule="auto"/>
        <w:ind w:left="4140"/>
        <w:rPr>
          <w:rFonts w:cs="Arial"/>
        </w:rPr>
      </w:pPr>
      <w:r>
        <w:rPr>
          <w:rFonts w:cs="Arial"/>
        </w:rPr>
        <w:t>(614) 719-2850 (Direct Dial—Scott Elisar)</w:t>
      </w:r>
    </w:p>
    <w:p w:rsidR="00C02225" w:rsidRDefault="00C02225" w:rsidP="00C02225">
      <w:pPr>
        <w:tabs>
          <w:tab w:val="left" w:pos="4320"/>
        </w:tabs>
        <w:spacing w:line="240" w:lineRule="auto"/>
        <w:ind w:left="4140"/>
        <w:rPr>
          <w:rFonts w:cs="Arial"/>
        </w:rPr>
      </w:pPr>
      <w:r>
        <w:rPr>
          <w:rFonts w:cs="Arial"/>
        </w:rPr>
        <w:t>(614) 469-4653 (Fax)</w:t>
      </w:r>
    </w:p>
    <w:p w:rsidR="00C02225" w:rsidRDefault="00C02225" w:rsidP="00C02225">
      <w:pPr>
        <w:tabs>
          <w:tab w:val="left" w:pos="4320"/>
        </w:tabs>
        <w:spacing w:line="240" w:lineRule="auto"/>
        <w:ind w:left="4140"/>
        <w:rPr>
          <w:rFonts w:cs="Arial"/>
        </w:rPr>
      </w:pPr>
      <w:r>
        <w:rPr>
          <w:rFonts w:cs="Arial"/>
        </w:rPr>
        <w:t>selisar@mwncmh.com</w:t>
      </w:r>
    </w:p>
    <w:p w:rsidR="00C02225" w:rsidRDefault="00C02225" w:rsidP="00C02225">
      <w:pPr>
        <w:tabs>
          <w:tab w:val="left" w:pos="4320"/>
        </w:tabs>
        <w:spacing w:line="240" w:lineRule="auto"/>
        <w:ind w:left="4140"/>
        <w:rPr>
          <w:rFonts w:cs="Arial"/>
          <w:color w:val="000000" w:themeColor="text1"/>
        </w:rPr>
      </w:pPr>
      <w:r>
        <w:rPr>
          <w:rFonts w:cs="Arial"/>
          <w:color w:val="000000" w:themeColor="text1"/>
        </w:rPr>
        <w:t>(willing to accept service via email)</w:t>
      </w:r>
    </w:p>
    <w:p w:rsidR="00C02225" w:rsidRDefault="00C02225" w:rsidP="00C02225">
      <w:pPr>
        <w:tabs>
          <w:tab w:val="left" w:pos="4320"/>
        </w:tabs>
        <w:spacing w:line="240" w:lineRule="auto"/>
        <w:ind w:left="4140"/>
        <w:rPr>
          <w:rFonts w:cs="Arial"/>
          <w:color w:val="000000" w:themeColor="text1"/>
        </w:rPr>
      </w:pPr>
      <w:r>
        <w:rPr>
          <w:rFonts w:cs="Arial"/>
          <w:color w:val="000000" w:themeColor="text1"/>
        </w:rPr>
        <w:t>mpritchard@mwncmh.com</w:t>
      </w:r>
    </w:p>
    <w:p w:rsidR="00C02225" w:rsidRDefault="00C02225" w:rsidP="00C02225">
      <w:pPr>
        <w:tabs>
          <w:tab w:val="left" w:pos="4320"/>
        </w:tabs>
        <w:spacing w:line="240" w:lineRule="auto"/>
        <w:ind w:left="4140"/>
        <w:rPr>
          <w:rFonts w:cs="Arial"/>
          <w:color w:val="000000" w:themeColor="text1"/>
        </w:rPr>
      </w:pPr>
      <w:r>
        <w:rPr>
          <w:rFonts w:cs="Arial"/>
          <w:color w:val="000000" w:themeColor="text1"/>
        </w:rPr>
        <w:t>(willing to accept service via email)</w:t>
      </w:r>
    </w:p>
    <w:p w:rsidR="00C02225" w:rsidRDefault="00C02225" w:rsidP="00C02225">
      <w:pPr>
        <w:jc w:val="right"/>
        <w:rPr>
          <w:rFonts w:cs="Arial"/>
          <w:color w:val="000000" w:themeColor="text1"/>
        </w:rPr>
      </w:pPr>
    </w:p>
    <w:p w:rsidR="008E3BF4" w:rsidRDefault="00C02225" w:rsidP="00C02225">
      <w:pPr>
        <w:tabs>
          <w:tab w:val="left" w:pos="4140"/>
        </w:tabs>
        <w:rPr>
          <w:rFonts w:cs="Arial"/>
          <w:b/>
          <w:smallCaps/>
        </w:rPr>
      </w:pPr>
      <w:r>
        <w:rPr>
          <w:rFonts w:cs="Arial"/>
          <w:b/>
          <w:smallCaps/>
        </w:rPr>
        <w:t>November 9, 2015</w:t>
      </w:r>
      <w:r>
        <w:rPr>
          <w:rFonts w:cs="Arial"/>
        </w:rPr>
        <w:tab/>
      </w:r>
      <w:r>
        <w:rPr>
          <w:rFonts w:cs="Arial"/>
          <w:b/>
          <w:smallCaps/>
        </w:rPr>
        <w:t>Attorneys for the Ohio Telecom Association</w:t>
      </w:r>
    </w:p>
    <w:p w:rsidR="001B1AB5" w:rsidRPr="001B1AB5" w:rsidRDefault="001B1AB5" w:rsidP="001B1AB5">
      <w:pPr>
        <w:pStyle w:val="TOCHeading"/>
        <w:rPr>
          <w:rFonts w:ascii="Arial Bold" w:hAnsi="Arial Bold"/>
          <w:caps/>
        </w:rPr>
      </w:pPr>
      <w:bookmarkStart w:id="0" w:name="TOCHeading"/>
      <w:r w:rsidRPr="0031475F">
        <w:rPr>
          <w:rFonts w:ascii="Arial Bold" w:hAnsi="Arial Bold"/>
          <w:caps/>
          <w:color w:val="auto"/>
        </w:rPr>
        <w:lastRenderedPageBreak/>
        <w:t>Table of Contents</w:t>
      </w:r>
    </w:p>
    <w:p w:rsidR="001B1AB5" w:rsidRDefault="001B1AB5" w:rsidP="001B1AB5">
      <w:pPr>
        <w:pStyle w:val="TOCPage"/>
      </w:pPr>
      <w:bookmarkStart w:id="1" w:name="TOCPage"/>
      <w:bookmarkEnd w:id="0"/>
      <w:r>
        <w:t>Page</w:t>
      </w:r>
    </w:p>
    <w:bookmarkEnd w:id="1"/>
    <w:p w:rsidR="001B1AB5" w:rsidRDefault="001B1AB5" w:rsidP="0031475F">
      <w:pPr>
        <w:pStyle w:val="TOC1"/>
        <w:rPr>
          <w:rFonts w:asciiTheme="minorHAnsi" w:eastAsiaTheme="minorEastAsia" w:hAnsiTheme="minorHAnsi"/>
          <w:noProof/>
          <w:sz w:val="22"/>
          <w:szCs w:val="22"/>
        </w:rPr>
      </w:pPr>
      <w:r>
        <w:rPr>
          <w:rFonts w:cs="Arial"/>
          <w:b/>
          <w:smallCaps/>
        </w:rPr>
        <w:fldChar w:fldCharType="begin"/>
      </w:r>
      <w:r>
        <w:rPr>
          <w:rFonts w:cs="Arial"/>
          <w:b/>
          <w:smallCaps/>
        </w:rPr>
        <w:instrText xml:space="preserve"> TOC \t "Heading 1,1,Heading 2,2" </w:instrText>
      </w:r>
      <w:r>
        <w:rPr>
          <w:rFonts w:cs="Arial"/>
          <w:b/>
          <w:smallCaps/>
        </w:rPr>
        <w:fldChar w:fldCharType="separate"/>
      </w:r>
      <w:bookmarkStart w:id="2" w:name="TOCLocation"/>
      <w:r w:rsidRPr="0001299D">
        <w:rPr>
          <w:noProof/>
        </w:rPr>
        <w:t>I.</w:t>
      </w:r>
      <w:r>
        <w:rPr>
          <w:rFonts w:asciiTheme="minorHAnsi" w:eastAsiaTheme="minorEastAsia" w:hAnsiTheme="minorHAnsi"/>
          <w:noProof/>
          <w:sz w:val="22"/>
          <w:szCs w:val="22"/>
        </w:rPr>
        <w:tab/>
      </w:r>
      <w:r w:rsidR="0031475F">
        <w:rPr>
          <w:noProof/>
        </w:rPr>
        <w:t>ARGUMENT</w:t>
      </w:r>
      <w:r>
        <w:rPr>
          <w:noProof/>
        </w:rPr>
        <w:tab/>
      </w:r>
      <w:r>
        <w:rPr>
          <w:noProof/>
        </w:rPr>
        <w:fldChar w:fldCharType="begin"/>
      </w:r>
      <w:r>
        <w:rPr>
          <w:noProof/>
        </w:rPr>
        <w:instrText xml:space="preserve"> PAGEREF _Toc434478252 \h </w:instrText>
      </w:r>
      <w:r>
        <w:rPr>
          <w:noProof/>
        </w:rPr>
      </w:r>
      <w:r>
        <w:rPr>
          <w:noProof/>
        </w:rPr>
        <w:fldChar w:fldCharType="separate"/>
      </w:r>
      <w:r w:rsidR="00474AA3">
        <w:rPr>
          <w:noProof/>
        </w:rPr>
        <w:t>3</w:t>
      </w:r>
      <w:r>
        <w:rPr>
          <w:noProof/>
        </w:rPr>
        <w:fldChar w:fldCharType="end"/>
      </w:r>
    </w:p>
    <w:p w:rsidR="001B1AB5" w:rsidRDefault="001B1AB5" w:rsidP="003B43D0">
      <w:pPr>
        <w:pStyle w:val="TOC2"/>
        <w:jc w:val="both"/>
        <w:rPr>
          <w:rFonts w:asciiTheme="minorHAnsi" w:eastAsiaTheme="minorEastAsia" w:hAnsiTheme="minorHAnsi"/>
          <w:noProof/>
          <w:sz w:val="22"/>
          <w:szCs w:val="22"/>
        </w:rPr>
      </w:pPr>
      <w:r>
        <w:rPr>
          <w:noProof/>
        </w:rPr>
        <w:t>A.</w:t>
      </w:r>
      <w:r>
        <w:rPr>
          <w:rFonts w:asciiTheme="minorHAnsi" w:eastAsiaTheme="minorEastAsia" w:hAnsiTheme="minorHAnsi"/>
          <w:noProof/>
          <w:sz w:val="22"/>
          <w:szCs w:val="22"/>
        </w:rPr>
        <w:tab/>
      </w:r>
      <w:r>
        <w:rPr>
          <w:noProof/>
        </w:rPr>
        <w:t>The process to withdraw or abandon BLES in R.C. 4927.10 is not vague</w:t>
      </w:r>
      <w:r>
        <w:rPr>
          <w:noProof/>
        </w:rPr>
        <w:tab/>
      </w:r>
      <w:r>
        <w:rPr>
          <w:noProof/>
        </w:rPr>
        <w:fldChar w:fldCharType="begin"/>
      </w:r>
      <w:r>
        <w:rPr>
          <w:noProof/>
        </w:rPr>
        <w:instrText xml:space="preserve"> PAGEREF _Toc434478253 \h </w:instrText>
      </w:r>
      <w:r>
        <w:rPr>
          <w:noProof/>
        </w:rPr>
      </w:r>
      <w:r>
        <w:rPr>
          <w:noProof/>
        </w:rPr>
        <w:fldChar w:fldCharType="separate"/>
      </w:r>
      <w:r w:rsidR="00474AA3">
        <w:rPr>
          <w:noProof/>
        </w:rPr>
        <w:t>3</w:t>
      </w:r>
      <w:r>
        <w:rPr>
          <w:noProof/>
        </w:rPr>
        <w:fldChar w:fldCharType="end"/>
      </w:r>
    </w:p>
    <w:p w:rsidR="001B1AB5" w:rsidRDefault="001B1AB5" w:rsidP="003B43D0">
      <w:pPr>
        <w:pStyle w:val="TOC2"/>
        <w:jc w:val="both"/>
        <w:rPr>
          <w:rFonts w:asciiTheme="minorHAnsi" w:eastAsiaTheme="minorEastAsia" w:hAnsiTheme="minorHAnsi"/>
          <w:noProof/>
          <w:sz w:val="22"/>
          <w:szCs w:val="22"/>
        </w:rPr>
      </w:pPr>
      <w:r>
        <w:rPr>
          <w:noProof/>
        </w:rPr>
        <w:t>B.</w:t>
      </w:r>
      <w:r>
        <w:rPr>
          <w:rFonts w:asciiTheme="minorHAnsi" w:eastAsiaTheme="minorEastAsia" w:hAnsiTheme="minorHAnsi"/>
          <w:noProof/>
          <w:sz w:val="22"/>
          <w:szCs w:val="22"/>
        </w:rPr>
        <w:tab/>
      </w:r>
      <w:r>
        <w:rPr>
          <w:noProof/>
        </w:rPr>
        <w:t>The additional notice requirements recommended by OCC are unnecessary</w:t>
      </w:r>
      <w:r>
        <w:rPr>
          <w:noProof/>
        </w:rPr>
        <w:tab/>
      </w:r>
      <w:r>
        <w:rPr>
          <w:noProof/>
        </w:rPr>
        <w:fldChar w:fldCharType="begin"/>
      </w:r>
      <w:r>
        <w:rPr>
          <w:noProof/>
        </w:rPr>
        <w:instrText xml:space="preserve"> PAGEREF _Toc434478254 \h </w:instrText>
      </w:r>
      <w:r>
        <w:rPr>
          <w:noProof/>
        </w:rPr>
      </w:r>
      <w:r>
        <w:rPr>
          <w:noProof/>
        </w:rPr>
        <w:fldChar w:fldCharType="separate"/>
      </w:r>
      <w:r w:rsidR="00474AA3">
        <w:rPr>
          <w:noProof/>
        </w:rPr>
        <w:t>4</w:t>
      </w:r>
      <w:r>
        <w:rPr>
          <w:noProof/>
        </w:rPr>
        <w:fldChar w:fldCharType="end"/>
      </w:r>
    </w:p>
    <w:p w:rsidR="001B1AB5" w:rsidRDefault="001B1AB5" w:rsidP="003B43D0">
      <w:pPr>
        <w:pStyle w:val="TOC2"/>
        <w:jc w:val="both"/>
        <w:rPr>
          <w:rFonts w:asciiTheme="minorHAnsi" w:eastAsiaTheme="minorEastAsia" w:hAnsiTheme="minorHAnsi"/>
          <w:noProof/>
          <w:sz w:val="22"/>
          <w:szCs w:val="22"/>
        </w:rPr>
      </w:pPr>
      <w:r>
        <w:rPr>
          <w:noProof/>
        </w:rPr>
        <w:t>C.</w:t>
      </w:r>
      <w:r>
        <w:rPr>
          <w:rFonts w:asciiTheme="minorHAnsi" w:eastAsiaTheme="minorEastAsia" w:hAnsiTheme="minorHAnsi"/>
          <w:noProof/>
          <w:sz w:val="22"/>
          <w:szCs w:val="22"/>
        </w:rPr>
        <w:tab/>
      </w:r>
      <w:r>
        <w:rPr>
          <w:noProof/>
        </w:rPr>
        <w:t>There is no statutory basis for the Commission to waive the petition requirement in R.C. 4927.10(B)</w:t>
      </w:r>
      <w:r>
        <w:rPr>
          <w:noProof/>
        </w:rPr>
        <w:tab/>
      </w:r>
      <w:r>
        <w:rPr>
          <w:noProof/>
        </w:rPr>
        <w:fldChar w:fldCharType="begin"/>
      </w:r>
      <w:r>
        <w:rPr>
          <w:noProof/>
        </w:rPr>
        <w:instrText xml:space="preserve"> PAGEREF _Toc434478255 \h </w:instrText>
      </w:r>
      <w:r>
        <w:rPr>
          <w:noProof/>
        </w:rPr>
      </w:r>
      <w:r>
        <w:rPr>
          <w:noProof/>
        </w:rPr>
        <w:fldChar w:fldCharType="separate"/>
      </w:r>
      <w:r w:rsidR="00474AA3">
        <w:rPr>
          <w:noProof/>
        </w:rPr>
        <w:t>6</w:t>
      </w:r>
      <w:r>
        <w:rPr>
          <w:noProof/>
        </w:rPr>
        <w:fldChar w:fldCharType="end"/>
      </w:r>
    </w:p>
    <w:p w:rsidR="001B1AB5" w:rsidRDefault="001B1AB5" w:rsidP="003B43D0">
      <w:pPr>
        <w:pStyle w:val="TOC2"/>
        <w:jc w:val="both"/>
        <w:rPr>
          <w:rFonts w:asciiTheme="minorHAnsi" w:eastAsiaTheme="minorEastAsia" w:hAnsiTheme="minorHAnsi"/>
          <w:noProof/>
          <w:sz w:val="22"/>
          <w:szCs w:val="22"/>
        </w:rPr>
      </w:pPr>
      <w:r>
        <w:rPr>
          <w:noProof/>
        </w:rPr>
        <w:t>D.</w:t>
      </w:r>
      <w:r>
        <w:rPr>
          <w:rFonts w:asciiTheme="minorHAnsi" w:eastAsiaTheme="minorEastAsia" w:hAnsiTheme="minorHAnsi"/>
          <w:noProof/>
          <w:sz w:val="22"/>
          <w:szCs w:val="22"/>
        </w:rPr>
        <w:tab/>
      </w:r>
      <w:r>
        <w:rPr>
          <w:noProof/>
        </w:rPr>
        <w:t>OCC’s recommendation for a process to challenge the contents of an application is not necessary as R.C. 4927.10 does not require an ILEC to file any application</w:t>
      </w:r>
      <w:r>
        <w:rPr>
          <w:noProof/>
        </w:rPr>
        <w:tab/>
      </w:r>
      <w:r>
        <w:rPr>
          <w:noProof/>
        </w:rPr>
        <w:fldChar w:fldCharType="begin"/>
      </w:r>
      <w:r>
        <w:rPr>
          <w:noProof/>
        </w:rPr>
        <w:instrText xml:space="preserve"> PAGEREF _Toc434478256 \h </w:instrText>
      </w:r>
      <w:r>
        <w:rPr>
          <w:noProof/>
        </w:rPr>
      </w:r>
      <w:r>
        <w:rPr>
          <w:noProof/>
        </w:rPr>
        <w:fldChar w:fldCharType="separate"/>
      </w:r>
      <w:r w:rsidR="00474AA3">
        <w:rPr>
          <w:noProof/>
        </w:rPr>
        <w:t>7</w:t>
      </w:r>
      <w:r>
        <w:rPr>
          <w:noProof/>
        </w:rPr>
        <w:fldChar w:fldCharType="end"/>
      </w:r>
    </w:p>
    <w:p w:rsidR="001B1AB5" w:rsidRDefault="001B1AB5" w:rsidP="003B43D0">
      <w:pPr>
        <w:pStyle w:val="TOC2"/>
        <w:jc w:val="both"/>
        <w:rPr>
          <w:rFonts w:asciiTheme="minorHAnsi" w:eastAsiaTheme="minorEastAsia" w:hAnsiTheme="minorHAnsi"/>
          <w:noProof/>
          <w:sz w:val="22"/>
          <w:szCs w:val="22"/>
        </w:rPr>
      </w:pPr>
      <w:r>
        <w:rPr>
          <w:noProof/>
        </w:rPr>
        <w:t>E.</w:t>
      </w:r>
      <w:r>
        <w:rPr>
          <w:rFonts w:asciiTheme="minorHAnsi" w:eastAsiaTheme="minorEastAsia" w:hAnsiTheme="minorHAnsi"/>
          <w:noProof/>
          <w:sz w:val="22"/>
          <w:szCs w:val="22"/>
        </w:rPr>
        <w:tab/>
      </w:r>
      <w:r>
        <w:rPr>
          <w:noProof/>
        </w:rPr>
        <w:t>OCC’s request that others be able to petition the Commission on a</w:t>
      </w:r>
      <w:r w:rsidR="009F7A1E">
        <w:rPr>
          <w:noProof/>
        </w:rPr>
        <w:t>n</w:t>
      </w:r>
      <w:r>
        <w:rPr>
          <w:noProof/>
        </w:rPr>
        <w:t xml:space="preserve"> affected residential customer’s behalf is unnecessary, and could violate the Commission’s rule on practice before the Commission as well as the Court’s rules on the unauthorized practice of law</w:t>
      </w:r>
      <w:r>
        <w:rPr>
          <w:noProof/>
        </w:rPr>
        <w:tab/>
      </w:r>
      <w:r>
        <w:rPr>
          <w:noProof/>
        </w:rPr>
        <w:fldChar w:fldCharType="begin"/>
      </w:r>
      <w:r>
        <w:rPr>
          <w:noProof/>
        </w:rPr>
        <w:instrText xml:space="preserve"> PAGEREF _Toc434478257 \h </w:instrText>
      </w:r>
      <w:r>
        <w:rPr>
          <w:noProof/>
        </w:rPr>
      </w:r>
      <w:r>
        <w:rPr>
          <w:noProof/>
        </w:rPr>
        <w:fldChar w:fldCharType="separate"/>
      </w:r>
      <w:r w:rsidR="00474AA3">
        <w:rPr>
          <w:noProof/>
        </w:rPr>
        <w:t>7</w:t>
      </w:r>
      <w:r>
        <w:rPr>
          <w:noProof/>
        </w:rPr>
        <w:fldChar w:fldCharType="end"/>
      </w:r>
    </w:p>
    <w:p w:rsidR="001B1AB5" w:rsidRDefault="001B1AB5" w:rsidP="003B43D0">
      <w:pPr>
        <w:pStyle w:val="TOC2"/>
        <w:jc w:val="both"/>
        <w:rPr>
          <w:rFonts w:asciiTheme="minorHAnsi" w:eastAsiaTheme="minorEastAsia" w:hAnsiTheme="minorHAnsi"/>
          <w:noProof/>
          <w:sz w:val="22"/>
          <w:szCs w:val="22"/>
        </w:rPr>
      </w:pPr>
      <w:r>
        <w:rPr>
          <w:noProof/>
        </w:rPr>
        <w:t>F.</w:t>
      </w:r>
      <w:r>
        <w:rPr>
          <w:rFonts w:asciiTheme="minorHAnsi" w:eastAsiaTheme="minorEastAsia" w:hAnsiTheme="minorHAnsi"/>
          <w:noProof/>
          <w:sz w:val="22"/>
          <w:szCs w:val="22"/>
        </w:rPr>
        <w:tab/>
      </w:r>
      <w:r>
        <w:rPr>
          <w:noProof/>
        </w:rPr>
        <w:t>OCC’s proposed definition of a reasonable and comparatively priced alternative voice service has no basis in the statute and is otherwise without merit</w:t>
      </w:r>
      <w:r>
        <w:rPr>
          <w:noProof/>
        </w:rPr>
        <w:tab/>
      </w:r>
      <w:r>
        <w:rPr>
          <w:noProof/>
        </w:rPr>
        <w:fldChar w:fldCharType="begin"/>
      </w:r>
      <w:r>
        <w:rPr>
          <w:noProof/>
        </w:rPr>
        <w:instrText xml:space="preserve"> PAGEREF _Toc434478258 \h </w:instrText>
      </w:r>
      <w:r>
        <w:rPr>
          <w:noProof/>
        </w:rPr>
      </w:r>
      <w:r>
        <w:rPr>
          <w:noProof/>
        </w:rPr>
        <w:fldChar w:fldCharType="separate"/>
      </w:r>
      <w:r w:rsidR="00474AA3">
        <w:rPr>
          <w:noProof/>
        </w:rPr>
        <w:t>9</w:t>
      </w:r>
      <w:r>
        <w:rPr>
          <w:noProof/>
        </w:rPr>
        <w:fldChar w:fldCharType="end"/>
      </w:r>
    </w:p>
    <w:p w:rsidR="001B1AB5" w:rsidRDefault="001B1AB5" w:rsidP="003B43D0">
      <w:pPr>
        <w:pStyle w:val="TOC2"/>
        <w:jc w:val="both"/>
        <w:rPr>
          <w:rFonts w:asciiTheme="minorHAnsi" w:eastAsiaTheme="minorEastAsia" w:hAnsiTheme="minorHAnsi"/>
          <w:noProof/>
          <w:sz w:val="22"/>
          <w:szCs w:val="22"/>
        </w:rPr>
      </w:pPr>
      <w:r>
        <w:rPr>
          <w:noProof/>
        </w:rPr>
        <w:t>G.</w:t>
      </w:r>
      <w:r>
        <w:rPr>
          <w:rFonts w:asciiTheme="minorHAnsi" w:eastAsiaTheme="minorEastAsia" w:hAnsiTheme="minorHAnsi"/>
          <w:noProof/>
          <w:sz w:val="22"/>
          <w:szCs w:val="22"/>
        </w:rPr>
        <w:tab/>
      </w:r>
      <w:r>
        <w:rPr>
          <w:noProof/>
        </w:rPr>
        <w:t>There is no statutory basis, or need, to require ILECs to file with the Commission under seal customer information to support the collaborative process set forth in Section 749.10 of HB 64</w:t>
      </w:r>
      <w:r>
        <w:rPr>
          <w:noProof/>
        </w:rPr>
        <w:tab/>
      </w:r>
      <w:r>
        <w:rPr>
          <w:noProof/>
        </w:rPr>
        <w:fldChar w:fldCharType="begin"/>
      </w:r>
      <w:r>
        <w:rPr>
          <w:noProof/>
        </w:rPr>
        <w:instrText xml:space="preserve"> PAGEREF _Toc434478259 \h </w:instrText>
      </w:r>
      <w:r>
        <w:rPr>
          <w:noProof/>
        </w:rPr>
      </w:r>
      <w:r>
        <w:rPr>
          <w:noProof/>
        </w:rPr>
        <w:fldChar w:fldCharType="separate"/>
      </w:r>
      <w:r w:rsidR="00474AA3">
        <w:rPr>
          <w:noProof/>
        </w:rPr>
        <w:t>11</w:t>
      </w:r>
      <w:r>
        <w:rPr>
          <w:noProof/>
        </w:rPr>
        <w:fldChar w:fldCharType="end"/>
      </w:r>
    </w:p>
    <w:p w:rsidR="001B1AB5" w:rsidRDefault="001B1AB5" w:rsidP="003B43D0">
      <w:pPr>
        <w:pStyle w:val="TOC1"/>
        <w:jc w:val="both"/>
        <w:rPr>
          <w:rFonts w:asciiTheme="minorHAnsi" w:eastAsiaTheme="minorEastAsia" w:hAnsiTheme="minorHAnsi"/>
          <w:noProof/>
          <w:sz w:val="22"/>
          <w:szCs w:val="22"/>
        </w:rPr>
      </w:pPr>
      <w:r w:rsidRPr="0001299D">
        <w:rPr>
          <w:noProof/>
        </w:rPr>
        <w:t>II.</w:t>
      </w:r>
      <w:r>
        <w:rPr>
          <w:rFonts w:asciiTheme="minorHAnsi" w:eastAsiaTheme="minorEastAsia" w:hAnsiTheme="minorHAnsi"/>
          <w:noProof/>
          <w:sz w:val="22"/>
          <w:szCs w:val="22"/>
        </w:rPr>
        <w:tab/>
      </w:r>
      <w:r w:rsidR="0031475F">
        <w:rPr>
          <w:noProof/>
        </w:rPr>
        <w:t>CONCLUSION</w:t>
      </w:r>
      <w:r>
        <w:rPr>
          <w:noProof/>
        </w:rPr>
        <w:tab/>
      </w:r>
      <w:r>
        <w:rPr>
          <w:noProof/>
        </w:rPr>
        <w:fldChar w:fldCharType="begin"/>
      </w:r>
      <w:r>
        <w:rPr>
          <w:noProof/>
        </w:rPr>
        <w:instrText xml:space="preserve"> PAGEREF _Toc434478260 \h </w:instrText>
      </w:r>
      <w:r>
        <w:rPr>
          <w:noProof/>
        </w:rPr>
      </w:r>
      <w:r>
        <w:rPr>
          <w:noProof/>
        </w:rPr>
        <w:fldChar w:fldCharType="separate"/>
      </w:r>
      <w:r w:rsidR="00474AA3">
        <w:rPr>
          <w:noProof/>
        </w:rPr>
        <w:t>11</w:t>
      </w:r>
      <w:r>
        <w:rPr>
          <w:noProof/>
        </w:rPr>
        <w:fldChar w:fldCharType="end"/>
      </w:r>
    </w:p>
    <w:bookmarkEnd w:id="2"/>
    <w:p w:rsidR="00CE50E6" w:rsidRDefault="001B1AB5" w:rsidP="00C02225">
      <w:pPr>
        <w:tabs>
          <w:tab w:val="left" w:pos="4140"/>
        </w:tabs>
        <w:rPr>
          <w:rFonts w:cs="Arial"/>
          <w:b/>
          <w:smallCaps/>
        </w:rPr>
      </w:pPr>
      <w:r>
        <w:rPr>
          <w:rFonts w:cs="Arial"/>
          <w:b/>
          <w:smallCaps/>
        </w:rPr>
        <w:fldChar w:fldCharType="end"/>
      </w:r>
    </w:p>
    <w:p w:rsidR="001B1AB5" w:rsidRDefault="001B1AB5" w:rsidP="00C02225">
      <w:pPr>
        <w:tabs>
          <w:tab w:val="left" w:pos="4140"/>
        </w:tabs>
        <w:rPr>
          <w:rFonts w:cs="Arial"/>
          <w:b/>
          <w:smallCaps/>
        </w:rPr>
      </w:pPr>
    </w:p>
    <w:p w:rsidR="001B1AB5" w:rsidRDefault="001B1AB5" w:rsidP="00C02225">
      <w:pPr>
        <w:tabs>
          <w:tab w:val="left" w:pos="4140"/>
        </w:tabs>
        <w:rPr>
          <w:rFonts w:cs="Arial"/>
          <w:b/>
          <w:smallCaps/>
        </w:rPr>
      </w:pPr>
    </w:p>
    <w:p w:rsidR="001B1AB5" w:rsidRDefault="001B1AB5" w:rsidP="00C02225">
      <w:pPr>
        <w:tabs>
          <w:tab w:val="left" w:pos="4140"/>
        </w:tabs>
        <w:rPr>
          <w:rFonts w:cs="Arial"/>
          <w:b/>
          <w:smallCaps/>
        </w:rPr>
      </w:pPr>
    </w:p>
    <w:p w:rsidR="00CE50E6" w:rsidRDefault="00CE50E6" w:rsidP="00C02225">
      <w:pPr>
        <w:tabs>
          <w:tab w:val="left" w:pos="4140"/>
        </w:tabs>
        <w:sectPr w:rsidR="00CE50E6" w:rsidSect="00C02BD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00C02225" w:rsidRDefault="00C02225" w:rsidP="00C02225">
      <w:pPr>
        <w:autoSpaceDE w:val="0"/>
        <w:autoSpaceDN w:val="0"/>
        <w:adjustRightInd w:val="0"/>
        <w:snapToGrid w:val="0"/>
        <w:spacing w:line="240" w:lineRule="auto"/>
        <w:jc w:val="center"/>
        <w:rPr>
          <w:rFonts w:cs="Arial"/>
          <w:b/>
          <w:color w:val="000000"/>
        </w:rPr>
      </w:pPr>
      <w:r>
        <w:rPr>
          <w:rFonts w:cs="Arial"/>
          <w:b/>
          <w:color w:val="000000"/>
        </w:rPr>
        <w:lastRenderedPageBreak/>
        <w:t>BEFORE</w:t>
      </w:r>
    </w:p>
    <w:p w:rsidR="00C02225" w:rsidRDefault="00C02225" w:rsidP="00C02225">
      <w:pPr>
        <w:autoSpaceDE w:val="0"/>
        <w:autoSpaceDN w:val="0"/>
        <w:adjustRightInd w:val="0"/>
        <w:snapToGrid w:val="0"/>
        <w:spacing w:line="240" w:lineRule="auto"/>
        <w:jc w:val="center"/>
        <w:rPr>
          <w:rFonts w:cs="Arial"/>
          <w:b/>
          <w:color w:val="000000"/>
        </w:rPr>
      </w:pPr>
      <w:r>
        <w:rPr>
          <w:rFonts w:cs="Arial"/>
          <w:b/>
          <w:color w:val="000000"/>
        </w:rPr>
        <w:t>THE PUBLIC UTILITIES COMMISSION OF OHIO</w:t>
      </w:r>
    </w:p>
    <w:p w:rsidR="00C02225" w:rsidRDefault="00C02225" w:rsidP="00C02225">
      <w:pPr>
        <w:autoSpaceDE w:val="0"/>
        <w:autoSpaceDN w:val="0"/>
        <w:adjustRightInd w:val="0"/>
        <w:snapToGrid w:val="0"/>
        <w:spacing w:line="240" w:lineRule="auto"/>
        <w:rPr>
          <w:rFonts w:ascii="Times-Roman" w:hAnsi="Times-Roman" w:cs="Times-Roman"/>
          <w:color w:val="000000"/>
        </w:rPr>
      </w:pPr>
    </w:p>
    <w:p w:rsidR="00C02225" w:rsidRPr="00FD16D7" w:rsidRDefault="00C02225" w:rsidP="00C02225">
      <w:pPr>
        <w:tabs>
          <w:tab w:val="left" w:pos="4590"/>
          <w:tab w:val="left" w:pos="5040"/>
        </w:tabs>
        <w:autoSpaceDE w:val="0"/>
        <w:autoSpaceDN w:val="0"/>
        <w:adjustRightInd w:val="0"/>
        <w:snapToGrid w:val="0"/>
        <w:spacing w:line="240" w:lineRule="auto"/>
        <w:rPr>
          <w:rFonts w:ascii="Times-Roman" w:hAnsi="Times-Roman" w:cs="Times-Roman"/>
          <w:color w:val="000000"/>
        </w:rPr>
      </w:pPr>
      <w:r w:rsidRPr="00FD16D7">
        <w:rPr>
          <w:rFonts w:ascii="Times-Roman" w:hAnsi="Times-Roman" w:cs="Times-Roman"/>
          <w:color w:val="000000"/>
        </w:rPr>
        <w:t>In t</w:t>
      </w:r>
      <w:r>
        <w:rPr>
          <w:rFonts w:ascii="Times-Roman" w:hAnsi="Times-Roman" w:cs="Times-Roman"/>
          <w:color w:val="000000"/>
        </w:rPr>
        <w:t>he Matter of the Commission's</w:t>
      </w:r>
      <w:r>
        <w:rPr>
          <w:rFonts w:ascii="Times-Roman" w:hAnsi="Times-Roman" w:cs="Times-Roman"/>
          <w:color w:val="000000"/>
        </w:rPr>
        <w:tab/>
      </w:r>
      <w:r w:rsidRPr="00FD16D7">
        <w:rPr>
          <w:rFonts w:ascii="Times-Roman" w:hAnsi="Times-Roman" w:cs="Times-Roman"/>
          <w:color w:val="000000"/>
        </w:rPr>
        <w:t>)</w:t>
      </w:r>
    </w:p>
    <w:p w:rsidR="00C02225" w:rsidRPr="00FD16D7" w:rsidRDefault="00C02225" w:rsidP="00C02225">
      <w:pPr>
        <w:tabs>
          <w:tab w:val="left" w:pos="4590"/>
          <w:tab w:val="left" w:pos="5040"/>
        </w:tabs>
        <w:autoSpaceDE w:val="0"/>
        <w:autoSpaceDN w:val="0"/>
        <w:adjustRightInd w:val="0"/>
        <w:snapToGrid w:val="0"/>
        <w:spacing w:line="240" w:lineRule="auto"/>
        <w:rPr>
          <w:rFonts w:ascii="Times-Roman" w:hAnsi="Times-Roman" w:cs="Times-Roman"/>
          <w:color w:val="000000"/>
        </w:rPr>
      </w:pPr>
      <w:r w:rsidRPr="00FD16D7">
        <w:rPr>
          <w:rFonts w:ascii="Times-Roman" w:hAnsi="Times-Roman" w:cs="Times-Roman"/>
          <w:color w:val="000000"/>
        </w:rPr>
        <w:t xml:space="preserve">Review </w:t>
      </w:r>
      <w:r>
        <w:rPr>
          <w:rFonts w:ascii="Times-Roman" w:hAnsi="Times-Roman" w:cs="Times-Roman"/>
          <w:color w:val="000000"/>
        </w:rPr>
        <w:t>of Chapter 4901:1-6 of the Ohio</w:t>
      </w:r>
      <w:r w:rsidRPr="00FD16D7">
        <w:rPr>
          <w:rFonts w:ascii="Times-Roman" w:hAnsi="Times-Roman" w:cs="Times-Roman"/>
          <w:color w:val="000000"/>
        </w:rPr>
        <w:tab/>
        <w:t>)</w:t>
      </w:r>
    </w:p>
    <w:p w:rsidR="00C02225" w:rsidRPr="00FD16D7" w:rsidRDefault="00C02225" w:rsidP="00C02225">
      <w:pPr>
        <w:tabs>
          <w:tab w:val="left" w:pos="4590"/>
          <w:tab w:val="left" w:pos="5040"/>
        </w:tabs>
        <w:autoSpaceDE w:val="0"/>
        <w:autoSpaceDN w:val="0"/>
        <w:adjustRightInd w:val="0"/>
        <w:snapToGrid w:val="0"/>
        <w:spacing w:line="240" w:lineRule="auto"/>
        <w:rPr>
          <w:rFonts w:ascii="Times-Roman" w:hAnsi="Times-Roman" w:cs="Times-Roman"/>
          <w:color w:val="000000"/>
        </w:rPr>
      </w:pPr>
      <w:r w:rsidRPr="00FD16D7">
        <w:rPr>
          <w:rFonts w:ascii="Times-Roman" w:hAnsi="Times-Roman" w:cs="Times-Roman"/>
          <w:color w:val="000000"/>
        </w:rPr>
        <w:t xml:space="preserve">Administrative Code, Regarding </w:t>
      </w:r>
      <w:r w:rsidRPr="00FD16D7">
        <w:rPr>
          <w:rFonts w:ascii="Times-Roman" w:hAnsi="Times-Roman" w:cs="Times-Roman"/>
          <w:color w:val="000000"/>
        </w:rPr>
        <w:tab/>
        <w:t>)</w:t>
      </w:r>
      <w:r w:rsidRPr="00FD16D7">
        <w:rPr>
          <w:rFonts w:ascii="Times-Roman" w:hAnsi="Times-Roman" w:cs="Times-Roman"/>
          <w:color w:val="000000"/>
        </w:rPr>
        <w:tab/>
        <w:t>Case No. 14-1554-TP-ORD</w:t>
      </w:r>
    </w:p>
    <w:p w:rsidR="00C02225" w:rsidRPr="00FD16D7" w:rsidRDefault="00C02225" w:rsidP="00C02225">
      <w:pPr>
        <w:tabs>
          <w:tab w:val="left" w:pos="4590"/>
          <w:tab w:val="left" w:pos="5040"/>
        </w:tabs>
        <w:autoSpaceDE w:val="0"/>
        <w:autoSpaceDN w:val="0"/>
        <w:adjustRightInd w:val="0"/>
        <w:snapToGrid w:val="0"/>
        <w:spacing w:line="240" w:lineRule="auto"/>
        <w:rPr>
          <w:rFonts w:ascii="Times-Roman" w:hAnsi="Times-Roman" w:cs="Times-Roman"/>
          <w:color w:val="000000"/>
        </w:rPr>
      </w:pPr>
      <w:r w:rsidRPr="00FD16D7">
        <w:rPr>
          <w:rFonts w:ascii="Times-Roman" w:hAnsi="Times-Roman" w:cs="Times-Roman"/>
          <w:color w:val="000000"/>
        </w:rPr>
        <w:t xml:space="preserve">Telephone Company Procedures and </w:t>
      </w:r>
      <w:r w:rsidRPr="00FD16D7">
        <w:rPr>
          <w:rFonts w:ascii="Times-Roman" w:hAnsi="Times-Roman" w:cs="Times-Roman"/>
          <w:color w:val="000000"/>
        </w:rPr>
        <w:tab/>
        <w:t>)</w:t>
      </w:r>
    </w:p>
    <w:p w:rsidR="00C02225" w:rsidRPr="00FD16D7" w:rsidRDefault="00C02225" w:rsidP="00C02225">
      <w:pPr>
        <w:tabs>
          <w:tab w:val="left" w:pos="4590"/>
          <w:tab w:val="left" w:pos="5040"/>
        </w:tabs>
        <w:autoSpaceDE w:val="0"/>
        <w:autoSpaceDN w:val="0"/>
        <w:adjustRightInd w:val="0"/>
        <w:snapToGrid w:val="0"/>
        <w:spacing w:line="240" w:lineRule="auto"/>
        <w:rPr>
          <w:rFonts w:ascii="Times-Roman" w:hAnsi="Times-Roman" w:cs="Times-Roman"/>
          <w:color w:val="000000"/>
        </w:rPr>
      </w:pPr>
      <w:r w:rsidRPr="00FD16D7">
        <w:rPr>
          <w:rFonts w:ascii="Times-Roman" w:hAnsi="Times-Roman" w:cs="Times-Roman"/>
          <w:color w:val="000000"/>
        </w:rPr>
        <w:t>Standards.</w:t>
      </w:r>
      <w:r w:rsidRPr="00FD16D7">
        <w:rPr>
          <w:rFonts w:ascii="Times-Roman" w:hAnsi="Times-Roman" w:cs="Times-Roman"/>
          <w:color w:val="000000"/>
        </w:rPr>
        <w:tab/>
        <w:t>)</w:t>
      </w:r>
    </w:p>
    <w:p w:rsidR="00C02225" w:rsidRDefault="00C02225" w:rsidP="00C02225">
      <w:pPr>
        <w:jc w:val="center"/>
        <w:rPr>
          <w:b/>
        </w:rPr>
      </w:pPr>
    </w:p>
    <w:p w:rsidR="00C02225" w:rsidRDefault="00C02225" w:rsidP="00C02225">
      <w:pPr>
        <w:pBdr>
          <w:top w:val="single" w:sz="4" w:space="1" w:color="auto"/>
          <w:bottom w:val="single" w:sz="4" w:space="1" w:color="auto"/>
        </w:pBdr>
        <w:spacing w:line="240" w:lineRule="auto"/>
        <w:jc w:val="center"/>
        <w:rPr>
          <w:b/>
        </w:rPr>
      </w:pPr>
    </w:p>
    <w:p w:rsidR="00C02225" w:rsidRDefault="00C02225" w:rsidP="00C02225">
      <w:pPr>
        <w:pBdr>
          <w:top w:val="single" w:sz="4" w:space="1" w:color="auto"/>
          <w:bottom w:val="single" w:sz="4" w:space="1" w:color="auto"/>
        </w:pBdr>
        <w:jc w:val="center"/>
        <w:rPr>
          <w:b/>
        </w:rPr>
      </w:pPr>
      <w:r>
        <w:rPr>
          <w:b/>
        </w:rPr>
        <w:t>REPLY COMMENTS OF THE OHIO TELECOM ASSOCIATION</w:t>
      </w:r>
    </w:p>
    <w:p w:rsidR="00C02225" w:rsidRDefault="00C02225" w:rsidP="00C02225">
      <w:pPr>
        <w:tabs>
          <w:tab w:val="left" w:pos="4320"/>
        </w:tabs>
        <w:spacing w:line="240" w:lineRule="auto"/>
        <w:ind w:left="4320"/>
        <w:rPr>
          <w:rFonts w:cs="Arial"/>
        </w:rPr>
      </w:pPr>
    </w:p>
    <w:p w:rsidR="00D26E8A" w:rsidRDefault="001C6241" w:rsidP="001F6AF2">
      <w:pPr>
        <w:tabs>
          <w:tab w:val="left" w:pos="0"/>
          <w:tab w:val="left" w:pos="720"/>
          <w:tab w:val="center" w:pos="4680"/>
        </w:tabs>
        <w:spacing w:before="240"/>
        <w:jc w:val="both"/>
      </w:pPr>
      <w:r>
        <w:tab/>
      </w:r>
      <w:r w:rsidR="000779D9">
        <w:t xml:space="preserve">The Ohio Telecom Association (“OTA”) filed initial comments in this proceeding on </w:t>
      </w:r>
      <w:r w:rsidR="0085427C">
        <w:t>October 26, 2015,</w:t>
      </w:r>
      <w:r w:rsidR="000779D9">
        <w:t xml:space="preserve"> regarding the draft rules to implement </w:t>
      </w:r>
      <w:r w:rsidR="0085427C">
        <w:t xml:space="preserve">Amended Substitute </w:t>
      </w:r>
      <w:r w:rsidR="000779D9">
        <w:t>House Bill 64 (“HB 64</w:t>
      </w:r>
      <w:r w:rsidR="0085427C">
        <w:t>”</w:t>
      </w:r>
      <w:r w:rsidR="000779D9">
        <w:t>).  As identified in OTA’s initial comments, many</w:t>
      </w:r>
      <w:r w:rsidR="006945DF">
        <w:t xml:space="preserve"> of the</w:t>
      </w:r>
      <w:r w:rsidR="000779D9">
        <w:t xml:space="preserve"> </w:t>
      </w:r>
      <w:r w:rsidR="006945DF">
        <w:t>Staff’s</w:t>
      </w:r>
      <w:r w:rsidR="000779D9">
        <w:t xml:space="preserve"> </w:t>
      </w:r>
      <w:r w:rsidR="00BD5FFC">
        <w:t>proposed rules extend beyond</w:t>
      </w:r>
      <w:r w:rsidR="000779D9">
        <w:t xml:space="preserve"> the </w:t>
      </w:r>
      <w:r w:rsidR="0085427C">
        <w:t>Public Utilities Commission of Ohio's (“</w:t>
      </w:r>
      <w:r w:rsidR="000779D9">
        <w:t>Commission</w:t>
      </w:r>
      <w:r w:rsidR="0085427C">
        <w:t>”)</w:t>
      </w:r>
      <w:r w:rsidR="000779D9">
        <w:t xml:space="preserve"> statutory</w:t>
      </w:r>
      <w:r w:rsidR="00EE5B82">
        <w:t xml:space="preserve"> authority under R.C. </w:t>
      </w:r>
      <w:r w:rsidR="00567E11">
        <w:t xml:space="preserve">4927.10. </w:t>
      </w:r>
      <w:r w:rsidR="000779D9">
        <w:t>AT&amp;T Ohio (“AT&amp;T”), the Ohio Cable Telecommunications Association (“OCTA”), and Cincinnati Bell Telephone Co. LLC (“Cincinnati Bell”)</w:t>
      </w:r>
      <w:r w:rsidR="00567E11">
        <w:t xml:space="preserve"> filed comments raising the same concerns expressed by OTA</w:t>
      </w:r>
      <w:r w:rsidR="000779D9">
        <w:t xml:space="preserve">.  </w:t>
      </w:r>
      <w:r w:rsidR="00567E11">
        <w:t xml:space="preserve">In addition, several </w:t>
      </w:r>
      <w:r w:rsidR="000779D9">
        <w:t xml:space="preserve">Verizon </w:t>
      </w:r>
      <w:r w:rsidR="00567E11">
        <w:t>affiliates</w:t>
      </w:r>
      <w:r w:rsidR="000779D9">
        <w:t xml:space="preserve"> (</w:t>
      </w:r>
      <w:r w:rsidR="00567E11">
        <w:t xml:space="preserve">collectively, </w:t>
      </w:r>
      <w:r w:rsidR="000779D9">
        <w:t xml:space="preserve">“Verizon”) also filed a letter in support of OTA’s </w:t>
      </w:r>
      <w:r w:rsidR="0085427C">
        <w:t>i</w:t>
      </w:r>
      <w:r w:rsidR="000779D9">
        <w:t xml:space="preserve">nitial </w:t>
      </w:r>
      <w:r w:rsidR="0085427C">
        <w:t>c</w:t>
      </w:r>
      <w:r w:rsidR="000779D9">
        <w:t>omments.  Accordingly, the OTA respectfully requests that the Commission adopt the recommendations set forth in OTA’s initial comments.</w:t>
      </w:r>
    </w:p>
    <w:p w:rsidR="00933225" w:rsidRDefault="00D62858" w:rsidP="00D26E8A">
      <w:pPr>
        <w:ind w:firstLine="720"/>
        <w:jc w:val="both"/>
      </w:pPr>
      <w:r>
        <w:t>The Commission should also reject th</w:t>
      </w:r>
      <w:r w:rsidR="000A0D3F">
        <w:t>e recommendations contained in j</w:t>
      </w:r>
      <w:r w:rsidR="000779D9">
        <w:t>oint comments submitted by the Office of the Ohio Consumers’ Counsel and several other entities</w:t>
      </w:r>
      <w:r w:rsidR="000779D9">
        <w:rPr>
          <w:rStyle w:val="FootnoteReference"/>
        </w:rPr>
        <w:footnoteReference w:id="1"/>
      </w:r>
      <w:r w:rsidR="000779D9">
        <w:t xml:space="preserve"> (collectively, “OCC”) that request that the Commission modify the draft proposed rules and expand them well beyond the Commission’s statutory authority.</w:t>
      </w:r>
      <w:r w:rsidR="00D26E8A">
        <w:t xml:space="preserve">  </w:t>
      </w:r>
      <w:r w:rsidR="00933225">
        <w:lastRenderedPageBreak/>
        <w:t>OCC’s comments are largely premised on the</w:t>
      </w:r>
      <w:r w:rsidR="00EC0541">
        <w:t xml:space="preserve"> assumed</w:t>
      </w:r>
      <w:r w:rsidR="00933225">
        <w:t xml:space="preserve"> unavailability of a reasonable or comparatively priced alternative service following the withdrawal or abandonment of basic local exchange service (“BLES”) by the Incumbent Local Exchange Carrier (“ILEC”).  </w:t>
      </w:r>
      <w:r w:rsidR="00EC0541">
        <w:t>A</w:t>
      </w:r>
      <w:r w:rsidR="00A71A13">
        <w:t xml:space="preserve">s </w:t>
      </w:r>
      <w:r w:rsidR="00933225">
        <w:t>OCC’s comments acknowledge</w:t>
      </w:r>
      <w:r w:rsidR="00A71A13">
        <w:t>, however,</w:t>
      </w:r>
      <w:r w:rsidR="00933225">
        <w:t xml:space="preserve"> alternative services </w:t>
      </w:r>
      <w:r w:rsidR="00EA4EFE">
        <w:t xml:space="preserve">will be </w:t>
      </w:r>
      <w:r w:rsidR="00933225">
        <w:t>available for customers that would be affected by BLES withdrawal.</w:t>
      </w:r>
      <w:r w:rsidR="00933225">
        <w:rPr>
          <w:rStyle w:val="FootnoteReference"/>
        </w:rPr>
        <w:footnoteReference w:id="2"/>
      </w:r>
      <w:r w:rsidR="008204A0">
        <w:t xml:space="preserve">  </w:t>
      </w:r>
    </w:p>
    <w:p w:rsidR="00827CED" w:rsidRDefault="00A71A13" w:rsidP="00827CED">
      <w:pPr>
        <w:ind w:firstLine="720"/>
        <w:jc w:val="both"/>
      </w:pPr>
      <w:r>
        <w:t xml:space="preserve">Additionally, adoption of </w:t>
      </w:r>
      <w:r w:rsidR="00827CED">
        <w:t xml:space="preserve">OCC’s </w:t>
      </w:r>
      <w:r w:rsidR="008204A0">
        <w:t xml:space="preserve">recommendations would hinder Ohio’s ability to move beyond an outdated monopoly-era regulatory regime and into the twenty-first century with a modern and innovative telecommunications network.  </w:t>
      </w:r>
      <w:r w:rsidR="00827CED">
        <w:t>The presence of competitive choices obviates the need for the outdated monopoly regulatory model.  The relief provided by HB 64 further benefits both customers and telecommunications providers by enabling companies to invest and modernize the telecommunications network to provide customers with technology options that meet customers’ respective needs.</w:t>
      </w:r>
    </w:p>
    <w:p w:rsidR="008204A0" w:rsidRDefault="008204A0" w:rsidP="00D26E8A">
      <w:pPr>
        <w:ind w:firstLine="720"/>
        <w:jc w:val="both"/>
      </w:pPr>
      <w:r>
        <w:t>O</w:t>
      </w:r>
      <w:r w:rsidR="00EA4EFE">
        <w:t>C</w:t>
      </w:r>
      <w:r>
        <w:t>C’s comments would, if adopted, also create confusion between the applicable process for consumers, ILECs, the Commission</w:t>
      </w:r>
      <w:r w:rsidR="00567E11">
        <w:t xml:space="preserve"> </w:t>
      </w:r>
      <w:r>
        <w:t>and Staff</w:t>
      </w:r>
      <w:r w:rsidR="00567E11">
        <w:t>,</w:t>
      </w:r>
      <w:r>
        <w:t xml:space="preserve"> as the statute and </w:t>
      </w:r>
      <w:r w:rsidR="00567E11">
        <w:t xml:space="preserve">the </w:t>
      </w:r>
      <w:r>
        <w:t>rules</w:t>
      </w:r>
      <w:r w:rsidR="00567E11">
        <w:t xml:space="preserve"> would contain inconsistent (and sometimes conflicting) obligations</w:t>
      </w:r>
      <w:r>
        <w:t>.</w:t>
      </w:r>
    </w:p>
    <w:p w:rsidR="00D62858" w:rsidRDefault="005C5D65" w:rsidP="005C5D65">
      <w:pPr>
        <w:jc w:val="both"/>
      </w:pPr>
      <w:r>
        <w:tab/>
      </w:r>
      <w:r w:rsidR="00D62858">
        <w:t>Moreover, OCC’s comments ask the Commission to codify by rule what OCC presented to the General Assembly and which the General Assembly declined to adopt in HB</w:t>
      </w:r>
      <w:r w:rsidR="000A0D3F">
        <w:t xml:space="preserve"> </w:t>
      </w:r>
      <w:r w:rsidR="00D62858">
        <w:t xml:space="preserve">64. </w:t>
      </w:r>
      <w:r>
        <w:t xml:space="preserve">The General Assembly passed HB 64 after vigorous </w:t>
      </w:r>
      <w:r w:rsidRPr="005C5D65">
        <w:t>public debate</w:t>
      </w:r>
      <w:r>
        <w:t xml:space="preserve"> </w:t>
      </w:r>
      <w:r w:rsidR="00AD06EE">
        <w:t>(</w:t>
      </w:r>
      <w:r w:rsidR="00567E11">
        <w:t xml:space="preserve">which </w:t>
      </w:r>
      <w:r>
        <w:t>included input from OCC and the other entities that joined OCC’s comments</w:t>
      </w:r>
      <w:r>
        <w:rPr>
          <w:rStyle w:val="FootnoteReference"/>
        </w:rPr>
        <w:footnoteReference w:id="3"/>
      </w:r>
      <w:r w:rsidR="00AD06EE">
        <w:t>)</w:t>
      </w:r>
      <w:r w:rsidRPr="005C5D65">
        <w:t xml:space="preserve"> </w:t>
      </w:r>
      <w:r w:rsidR="00D62858">
        <w:t>concerning the best means of encouraging</w:t>
      </w:r>
      <w:r w:rsidRPr="005C5D65">
        <w:t xml:space="preserve"> the </w:t>
      </w:r>
      <w:r>
        <w:t xml:space="preserve">modernization of Ohio’s </w:t>
      </w:r>
      <w:r>
        <w:lastRenderedPageBreak/>
        <w:t xml:space="preserve">telecommunications industry and the deployment of new </w:t>
      </w:r>
      <w:r w:rsidRPr="005C5D65">
        <w:t>technologies while at the same time ensuring that existing customers continue to have</w:t>
      </w:r>
      <w:r>
        <w:t xml:space="preserve"> </w:t>
      </w:r>
      <w:r w:rsidRPr="005C5D65">
        <w:t>reas</w:t>
      </w:r>
      <w:r>
        <w:t>onable alternatives for service.</w:t>
      </w:r>
      <w:r w:rsidR="004E219D">
        <w:t xml:space="preserve">  </w:t>
      </w:r>
      <w:r w:rsidR="00D62858">
        <w:t>The Commission is not authorized to “rewrite” the requirements of HB 64 to meet the policy outcomes urged by OCC that the General Assembly rejected.</w:t>
      </w:r>
    </w:p>
    <w:p w:rsidR="004E219D" w:rsidRDefault="004E219D" w:rsidP="005C5D65">
      <w:pPr>
        <w:jc w:val="both"/>
      </w:pPr>
      <w:r>
        <w:tab/>
      </w:r>
      <w:r w:rsidR="00827CED">
        <w:t>T</w:t>
      </w:r>
      <w:r>
        <w:t xml:space="preserve">o prepare for and take advantage of Ohio’s </w:t>
      </w:r>
      <w:r w:rsidR="0064074A">
        <w:t>transition</w:t>
      </w:r>
      <w:r>
        <w:t xml:space="preserve"> away from </w:t>
      </w:r>
      <w:r w:rsidR="00827CED">
        <w:t>legacy networks and technologies</w:t>
      </w:r>
      <w:r>
        <w:t xml:space="preserve"> towards the modern and innovative telecommunications network</w:t>
      </w:r>
      <w:r w:rsidR="00AC1B62">
        <w:t xml:space="preserve"> and services</w:t>
      </w:r>
      <w:r w:rsidR="00D62858">
        <w:t xml:space="preserve"> and based on the broad industry support expressed in initial comments</w:t>
      </w:r>
      <w:r>
        <w:t>, the OTA respectfully requests that the Commission adopt the recommendations set forth in the OTA’s initial comments and reject the recommendations of OCC</w:t>
      </w:r>
      <w:r w:rsidR="00AC1B62">
        <w:t xml:space="preserve">, which exceed </w:t>
      </w:r>
      <w:r>
        <w:t>the Commission’s statutory authority</w:t>
      </w:r>
      <w:r w:rsidR="00AC1B62">
        <w:t xml:space="preserve"> and would impede that transition</w:t>
      </w:r>
      <w:r>
        <w:t xml:space="preserve">.  </w:t>
      </w:r>
    </w:p>
    <w:p w:rsidR="004E219D" w:rsidRPr="0064074A" w:rsidRDefault="001B1AB5" w:rsidP="001B1AB5">
      <w:pPr>
        <w:pStyle w:val="Heading1"/>
        <w:ind w:hanging="180"/>
      </w:pPr>
      <w:r w:rsidRPr="001B1AB5">
        <w:rPr>
          <w:u w:val="none"/>
        </w:rPr>
        <w:tab/>
      </w:r>
      <w:bookmarkStart w:id="3" w:name="_Toc434478252"/>
      <w:r w:rsidR="008204A0" w:rsidRPr="0064074A">
        <w:t>Argument</w:t>
      </w:r>
      <w:bookmarkEnd w:id="3"/>
    </w:p>
    <w:p w:rsidR="008204A0" w:rsidRDefault="008204A0" w:rsidP="001B1AB5">
      <w:pPr>
        <w:pStyle w:val="Heading2"/>
      </w:pPr>
      <w:bookmarkStart w:id="4" w:name="_Toc434478253"/>
      <w:r>
        <w:t>The process to withdraw or abandon BLES in R.C. 4927.10 is not vague</w:t>
      </w:r>
      <w:bookmarkEnd w:id="4"/>
    </w:p>
    <w:p w:rsidR="00693BE3" w:rsidRDefault="00AC1B62" w:rsidP="008204A0">
      <w:pPr>
        <w:ind w:firstLine="720"/>
        <w:jc w:val="both"/>
      </w:pPr>
      <w:r>
        <w:t xml:space="preserve">Although </w:t>
      </w:r>
      <w:r w:rsidR="008204A0">
        <w:t>OCC</w:t>
      </w:r>
      <w:r w:rsidR="00EA4EFE">
        <w:t xml:space="preserve"> </w:t>
      </w:r>
      <w:r w:rsidR="008204A0">
        <w:t>argue</w:t>
      </w:r>
      <w:r w:rsidR="00EA4EFE">
        <w:t>s</w:t>
      </w:r>
      <w:r w:rsidR="008204A0">
        <w:t xml:space="preserve"> that the statutory process to withdraw or abandon BLES pursuant to R.C. 4927.10 is vague and</w:t>
      </w:r>
      <w:r w:rsidR="0064074A">
        <w:t>,</w:t>
      </w:r>
      <w:r w:rsidR="008204A0">
        <w:t xml:space="preserve"> therefore</w:t>
      </w:r>
      <w:r w:rsidR="0064074A">
        <w:t>,</w:t>
      </w:r>
      <w:r w:rsidR="008204A0">
        <w:t xml:space="preserve"> the Commission should adopt OCC’s recommendations to create </w:t>
      </w:r>
      <w:r w:rsidR="00EA4EFE">
        <w:t>a</w:t>
      </w:r>
      <w:r w:rsidR="008204A0">
        <w:t xml:space="preserve"> </w:t>
      </w:r>
      <w:r>
        <w:t xml:space="preserve">more </w:t>
      </w:r>
      <w:r w:rsidR="008204A0">
        <w:t>specific process for the abandonment or withdrawal of BLES</w:t>
      </w:r>
      <w:r>
        <w:t>,</w:t>
      </w:r>
      <w:r w:rsidR="008204A0">
        <w:rPr>
          <w:rStyle w:val="FootnoteReference"/>
        </w:rPr>
        <w:footnoteReference w:id="4"/>
      </w:r>
      <w:r>
        <w:t xml:space="preserve"> </w:t>
      </w:r>
      <w:r w:rsidR="00F2381B">
        <w:t xml:space="preserve">the </w:t>
      </w:r>
      <w:r w:rsidR="000C7FE0">
        <w:t>statutory process enacted by the General Assembly</w:t>
      </w:r>
      <w:r>
        <w:t xml:space="preserve"> is sufficiently specific</w:t>
      </w:r>
      <w:r w:rsidR="000C7FE0">
        <w:t>.  R.C. 4927.10</w:t>
      </w:r>
      <w:r w:rsidR="00F2381B">
        <w:t xml:space="preserve"> places a condition precedent on the withdraw</w:t>
      </w:r>
      <w:r w:rsidR="00D51BF5">
        <w:t>al</w:t>
      </w:r>
      <w:r w:rsidR="009F7A1E">
        <w:t xml:space="preserve"> [</w:t>
      </w:r>
      <w:r w:rsidR="00EA4EFE">
        <w:t>F</w:t>
      </w:r>
      <w:r w:rsidR="00D51BF5">
        <w:t xml:space="preserve">ederal </w:t>
      </w:r>
      <w:r w:rsidR="00EA4EFE">
        <w:t>C</w:t>
      </w:r>
      <w:r w:rsidR="00D51BF5">
        <w:t xml:space="preserve">ommunications </w:t>
      </w:r>
      <w:r w:rsidR="00EA4EFE">
        <w:t>C</w:t>
      </w:r>
      <w:r w:rsidR="00D51BF5">
        <w:t xml:space="preserve">ommission </w:t>
      </w:r>
      <w:r w:rsidR="009F7A1E">
        <w:t>(</w:t>
      </w:r>
      <w:r w:rsidR="00D51BF5">
        <w:t>"FCC"</w:t>
      </w:r>
      <w:r w:rsidR="009F7A1E">
        <w:t>) action]</w:t>
      </w:r>
      <w:r w:rsidR="00F2381B">
        <w:t>, requires notice</w:t>
      </w:r>
      <w:r w:rsidR="00693BE3">
        <w:t>,</w:t>
      </w:r>
      <w:r w:rsidR="00F2381B">
        <w:t xml:space="preserve"> </w:t>
      </w:r>
      <w:r w:rsidR="00693BE3">
        <w:t>establishes a petition process</w:t>
      </w:r>
      <w:r w:rsidR="00C7652A">
        <w:t xml:space="preserve"> for customers</w:t>
      </w:r>
      <w:r w:rsidR="00693BE3">
        <w:t>, requires the Commission to intervene if petitioned and to take certain actions to determine the availability of reasonable and comparatively price</w:t>
      </w:r>
      <w:r w:rsidR="00D51BF5">
        <w:t xml:space="preserve">d </w:t>
      </w:r>
      <w:r w:rsidR="00693BE3">
        <w:t xml:space="preserve">alternative voice service and the availability of willing providers, and provides the </w:t>
      </w:r>
      <w:r w:rsidR="00693BE3">
        <w:lastRenderedPageBreak/>
        <w:t xml:space="preserve">Commission with the option to order the withdrawing ILEC to provide a reasonable and comparatively priced </w:t>
      </w:r>
      <w:r w:rsidR="00F8229A">
        <w:t xml:space="preserve">alternative </w:t>
      </w:r>
      <w:r w:rsidR="00693BE3">
        <w:t>voice service utilizing any technology or service arrangement to provide the voice service.</w:t>
      </w:r>
      <w:r w:rsidR="00693BE3">
        <w:rPr>
          <w:rStyle w:val="FootnoteReference"/>
        </w:rPr>
        <w:footnoteReference w:id="5"/>
      </w:r>
      <w:r w:rsidR="00693BE3">
        <w:t xml:space="preserve">  Th</w:t>
      </w:r>
      <w:r>
        <w:t>is process is not vague.</w:t>
      </w:r>
    </w:p>
    <w:p w:rsidR="008204A0" w:rsidRDefault="00693BE3" w:rsidP="008204A0">
      <w:pPr>
        <w:ind w:firstLine="720"/>
        <w:jc w:val="both"/>
      </w:pPr>
      <w:r>
        <w:t>OCC</w:t>
      </w:r>
      <w:r w:rsidR="00AC1B62">
        <w:t xml:space="preserve"> is asking </w:t>
      </w:r>
      <w:r>
        <w:t>the Commission</w:t>
      </w:r>
      <w:r w:rsidR="00AC1B62">
        <w:t xml:space="preserve"> to</w:t>
      </w:r>
      <w:r>
        <w:t xml:space="preserve"> insert into its rules provisions that OCC presented to the General Assembly and which the General Assembly </w:t>
      </w:r>
      <w:r w:rsidR="00AC1B62">
        <w:t xml:space="preserve">for good reason </w:t>
      </w:r>
      <w:r>
        <w:t>declined to adopt.</w:t>
      </w:r>
      <w:r w:rsidR="008204A0">
        <w:rPr>
          <w:rStyle w:val="FootnoteReference"/>
        </w:rPr>
        <w:footnoteReference w:id="6"/>
      </w:r>
      <w:r w:rsidR="00F2381B">
        <w:t xml:space="preserve">  </w:t>
      </w:r>
      <w:r>
        <w:t xml:space="preserve">The Commission should not </w:t>
      </w:r>
      <w:r w:rsidR="00D51BF5">
        <w:t>accept</w:t>
      </w:r>
      <w:r>
        <w:t xml:space="preserve"> OCC’s invitation to second</w:t>
      </w:r>
      <w:r w:rsidR="006945DF">
        <w:t>-</w:t>
      </w:r>
      <w:r>
        <w:t>guess the General Assembly</w:t>
      </w:r>
      <w:r w:rsidR="00D51BF5">
        <w:t>'s</w:t>
      </w:r>
      <w:r>
        <w:t xml:space="preserve"> </w:t>
      </w:r>
      <w:r w:rsidR="00AC1B62">
        <w:t>action</w:t>
      </w:r>
      <w:r>
        <w:t>.</w:t>
      </w:r>
    </w:p>
    <w:p w:rsidR="00693BE3" w:rsidRDefault="00693BE3" w:rsidP="001B1AB5">
      <w:pPr>
        <w:pStyle w:val="Heading2"/>
      </w:pPr>
      <w:bookmarkStart w:id="5" w:name="_Toc434478254"/>
      <w:r>
        <w:t xml:space="preserve">The </w:t>
      </w:r>
      <w:r w:rsidR="008866E2">
        <w:t>additional notice requirements recommended by OCC are unnecessary</w:t>
      </w:r>
      <w:bookmarkEnd w:id="5"/>
      <w:r w:rsidR="008866E2">
        <w:t xml:space="preserve"> </w:t>
      </w:r>
    </w:p>
    <w:p w:rsidR="00F31762" w:rsidRDefault="008866E2" w:rsidP="00827FA9">
      <w:pPr>
        <w:ind w:firstLine="720"/>
        <w:jc w:val="both"/>
      </w:pPr>
      <w:r>
        <w:t xml:space="preserve">OCC’s </w:t>
      </w:r>
      <w:r w:rsidR="00F07AD2">
        <w:t>c</w:t>
      </w:r>
      <w:r>
        <w:t xml:space="preserve">omments request that the Commission adopt expansive, redundant, and unnecessary notice requirements.  Among these, OCC requests </w:t>
      </w:r>
      <w:r w:rsidR="00693F34">
        <w:t xml:space="preserve">that the statutory process contained in R.C. 4927.10 be extended by up to </w:t>
      </w:r>
      <w:r w:rsidR="000C7FE0">
        <w:t>4</w:t>
      </w:r>
      <w:r w:rsidR="00693F34">
        <w:t xml:space="preserve"> days,</w:t>
      </w:r>
      <w:r w:rsidR="00022451">
        <w:rPr>
          <w:rStyle w:val="FootnoteReference"/>
        </w:rPr>
        <w:footnoteReference w:id="7"/>
      </w:r>
      <w:r w:rsidR="00693F34">
        <w:t xml:space="preserve"> or i</w:t>
      </w:r>
      <w:r w:rsidR="000C7FE0">
        <w:t>n some cases suspended entirely.</w:t>
      </w:r>
      <w:r w:rsidR="00022451">
        <w:rPr>
          <w:rStyle w:val="FootnoteReference"/>
        </w:rPr>
        <w:footnoteReference w:id="8"/>
      </w:r>
      <w:r w:rsidR="00693F34">
        <w:t xml:space="preserve"> </w:t>
      </w:r>
      <w:r w:rsidR="00482A8F">
        <w:t xml:space="preserve"> </w:t>
      </w:r>
      <w:r w:rsidR="000C7FE0">
        <w:t xml:space="preserve">OCC also </w:t>
      </w:r>
      <w:r w:rsidR="00693F34">
        <w:t>requests</w:t>
      </w:r>
      <w:r w:rsidR="0027419F">
        <w:t>, contrary to the statute,</w:t>
      </w:r>
      <w:r w:rsidR="00693F34">
        <w:t xml:space="preserve"> </w:t>
      </w:r>
      <w:r w:rsidR="009F7A1E">
        <w:t xml:space="preserve">that </w:t>
      </w:r>
      <w:r w:rsidR="00693F34">
        <w:t xml:space="preserve">notice be provided directly </w:t>
      </w:r>
      <w:r w:rsidR="00F31762">
        <w:t>with specific language</w:t>
      </w:r>
      <w:r w:rsidR="00F32CD2">
        <w:t>,</w:t>
      </w:r>
      <w:r w:rsidR="00F31762">
        <w:t xml:space="preserve"> </w:t>
      </w:r>
      <w:r w:rsidR="00693F34">
        <w:t>but only directly through electronic means if additio</w:t>
      </w:r>
      <w:r w:rsidR="000C7FE0">
        <w:t>nal authorizations are obtained.</w:t>
      </w:r>
      <w:r w:rsidR="00F31762">
        <w:rPr>
          <w:rStyle w:val="FootnoteReference"/>
        </w:rPr>
        <w:footnoteReference w:id="9"/>
      </w:r>
      <w:r w:rsidR="00693F34">
        <w:t xml:space="preserve"> </w:t>
      </w:r>
      <w:r w:rsidR="000C7FE0">
        <w:t xml:space="preserve"> A</w:t>
      </w:r>
      <w:r w:rsidR="00F31762">
        <w:t>fter direct notice is provided</w:t>
      </w:r>
      <w:r w:rsidR="000C7FE0">
        <w:t>, OCC further requests that the Commission</w:t>
      </w:r>
      <w:r w:rsidR="00693F34">
        <w:t xml:space="preserve"> require duplicative notice through newspapers, radio, and </w:t>
      </w:r>
      <w:r w:rsidR="00D51BF5">
        <w:t>television</w:t>
      </w:r>
      <w:r w:rsidR="00693F34">
        <w:t xml:space="preserve"> advertisements.</w:t>
      </w:r>
      <w:r w:rsidR="00022451">
        <w:rPr>
          <w:rStyle w:val="FootnoteReference"/>
        </w:rPr>
        <w:footnoteReference w:id="10"/>
      </w:r>
      <w:r w:rsidR="00693F34">
        <w:t xml:space="preserve">  </w:t>
      </w:r>
      <w:r w:rsidR="00022451">
        <w:t>The Commission should not adopt OCC’</w:t>
      </w:r>
      <w:r w:rsidR="00F31762">
        <w:t>s recommendations</w:t>
      </w:r>
      <w:r w:rsidR="001511B1">
        <w:t xml:space="preserve"> as the</w:t>
      </w:r>
      <w:r w:rsidR="00F31762">
        <w:t xml:space="preserve"> </w:t>
      </w:r>
      <w:r w:rsidR="00693F34">
        <w:t xml:space="preserve">recommendations </w:t>
      </w:r>
      <w:r w:rsidR="000C7FE0">
        <w:t xml:space="preserve">are unnecessary, unduly burdensome, and have no basis under R.C. 4927.10.  </w:t>
      </w:r>
      <w:r w:rsidR="00F31762">
        <w:t xml:space="preserve">  </w:t>
      </w:r>
    </w:p>
    <w:p w:rsidR="00F31762" w:rsidRDefault="00022451" w:rsidP="00827FA9">
      <w:pPr>
        <w:ind w:firstLine="720"/>
        <w:jc w:val="both"/>
      </w:pPr>
      <w:r>
        <w:lastRenderedPageBreak/>
        <w:t>Direct notice is the best means to provide notice</w:t>
      </w:r>
      <w:r w:rsidR="00F31762">
        <w:t xml:space="preserve"> to </w:t>
      </w:r>
      <w:r w:rsidR="001511B1">
        <w:t xml:space="preserve">the </w:t>
      </w:r>
      <w:r w:rsidR="00F31762">
        <w:t>affected residential customers</w:t>
      </w:r>
      <w:r>
        <w:t xml:space="preserve">, and the Commission should allow each ILEC flexibility in providing that </w:t>
      </w:r>
      <w:r w:rsidRPr="00022451">
        <w:rPr>
          <w:i/>
          <w:u w:val="single"/>
        </w:rPr>
        <w:t>direct</w:t>
      </w:r>
      <w:r>
        <w:t xml:space="preserve"> notice (</w:t>
      </w:r>
      <w:r w:rsidRPr="00F31762">
        <w:rPr>
          <w:i/>
        </w:rPr>
        <w:t>e.g.</w:t>
      </w:r>
      <w:r w:rsidR="004E0310">
        <w:t>, through a bill insert, mail</w:t>
      </w:r>
      <w:r>
        <w:t xml:space="preserve"> and</w:t>
      </w:r>
      <w:r w:rsidR="004E0310">
        <w:t>,</w:t>
      </w:r>
      <w:r>
        <w:t xml:space="preserve"> where the residential customer</w:t>
      </w:r>
      <w:r w:rsidR="00C7652A">
        <w:t xml:space="preserve"> has previously consented</w:t>
      </w:r>
      <w:r>
        <w:t xml:space="preserve">, </w:t>
      </w:r>
      <w:r w:rsidR="00C96A7D">
        <w:t>electronically</w:t>
      </w:r>
      <w:r>
        <w:t xml:space="preserve">).  </w:t>
      </w:r>
      <w:r w:rsidR="00D61597">
        <w:t xml:space="preserve">Additionally, OCC’s request to </w:t>
      </w:r>
      <w:r w:rsidR="001511B1">
        <w:t>require language in the</w:t>
      </w:r>
      <w:r w:rsidR="00D61597">
        <w:t xml:space="preserve"> notice differing from the statutory language and </w:t>
      </w:r>
      <w:r w:rsidR="000C7FE0">
        <w:t xml:space="preserve">request to </w:t>
      </w:r>
      <w:r w:rsidR="00D61597">
        <w:t>requir</w:t>
      </w:r>
      <w:r w:rsidR="000C7FE0">
        <w:t>e</w:t>
      </w:r>
      <w:r w:rsidR="00D61597">
        <w:t xml:space="preserve"> that language be included on the outside of </w:t>
      </w:r>
      <w:r w:rsidR="000779D9">
        <w:t xml:space="preserve">envelopes </w:t>
      </w:r>
      <w:r w:rsidR="00D61597">
        <w:t xml:space="preserve">and in email subject lines </w:t>
      </w:r>
      <w:r w:rsidR="000C7FE0">
        <w:t>will</w:t>
      </w:r>
      <w:r w:rsidR="00D61597">
        <w:t xml:space="preserve"> likely cause additional confusion for the </w:t>
      </w:r>
      <w:r w:rsidR="000C7FE0">
        <w:t xml:space="preserve">affected residential </w:t>
      </w:r>
      <w:r w:rsidR="00D61597">
        <w:t>customer.</w:t>
      </w:r>
      <w:r w:rsidR="001511B1">
        <w:t xml:space="preserve"> </w:t>
      </w:r>
      <w:r w:rsidR="00D61597">
        <w:t xml:space="preserve"> Furthermore, the FCC may specify</w:t>
      </w:r>
      <w:r w:rsidR="004E0310">
        <w:t>,</w:t>
      </w:r>
      <w:r w:rsidR="00D61597">
        <w:t xml:space="preserve"> as part of an order authorizing an ILEC to withdraw the interstate component of BLES</w:t>
      </w:r>
      <w:r w:rsidR="00F8229A">
        <w:t>,</w:t>
      </w:r>
      <w:r w:rsidR="00D61597">
        <w:t xml:space="preserve"> the specific language to include in customer notices.  Accordingly, OCC’s recommended language should not be adopted and the adoption of any specific language to include in notices is at this time premature.</w:t>
      </w:r>
    </w:p>
    <w:p w:rsidR="00F31762" w:rsidRDefault="00F31762" w:rsidP="00827FA9">
      <w:pPr>
        <w:ind w:firstLine="720"/>
        <w:jc w:val="both"/>
      </w:pPr>
      <w:r>
        <w:t xml:space="preserve">OCC </w:t>
      </w:r>
      <w:r w:rsidR="00F7139F">
        <w:t xml:space="preserve">also </w:t>
      </w:r>
      <w:r>
        <w:t>requests t</w:t>
      </w:r>
      <w:r w:rsidR="00F7139F">
        <w:t>hat the Commission adopt rules that would allow for a modification to</w:t>
      </w:r>
      <w:r>
        <w:t xml:space="preserve"> the 120-day statutory timeframe</w:t>
      </w:r>
      <w:r w:rsidR="00F7139F">
        <w:t>.  T</w:t>
      </w:r>
      <w:r>
        <w:t>he statute</w:t>
      </w:r>
      <w:r w:rsidR="00F7139F">
        <w:t xml:space="preserve"> does not permit any modification to the 120</w:t>
      </w:r>
      <w:r w:rsidR="00F8229A">
        <w:t>-day</w:t>
      </w:r>
      <w:r w:rsidR="00F7139F">
        <w:t xml:space="preserve"> time</w:t>
      </w:r>
      <w:r w:rsidR="000A0D3F">
        <w:t>frame</w:t>
      </w:r>
      <w:r w:rsidR="00F7139F">
        <w:t xml:space="preserve"> and</w:t>
      </w:r>
      <w:r w:rsidR="00F8229A">
        <w:t>,</w:t>
      </w:r>
      <w:r w:rsidR="00F7139F">
        <w:t xml:space="preserve"> therefore</w:t>
      </w:r>
      <w:r w:rsidR="00F8229A">
        <w:t>,</w:t>
      </w:r>
      <w:r w:rsidR="00F7139F">
        <w:t xml:space="preserve"> OCC’s recommendation should be rejected.</w:t>
      </w:r>
      <w:r>
        <w:t xml:space="preserve"> </w:t>
      </w:r>
      <w:r w:rsidR="00F7139F">
        <w:t xml:space="preserve"> E</w:t>
      </w:r>
      <w:r>
        <w:t>ven if the Commission could modify the statutory timeframe</w:t>
      </w:r>
      <w:r w:rsidR="00F7139F">
        <w:t>,</w:t>
      </w:r>
      <w:r>
        <w:t xml:space="preserve"> OCC does not demonstrate an</w:t>
      </w:r>
      <w:r w:rsidR="00F7139F">
        <w:t>y</w:t>
      </w:r>
      <w:r>
        <w:t xml:space="preserve"> measurable benefit to extending the 120-day timeline by an additional 1-4 days to ac</w:t>
      </w:r>
      <w:r w:rsidR="00B92B7C">
        <w:t xml:space="preserve">count for notices sent through </w:t>
      </w:r>
      <w:r w:rsidR="000779D9">
        <w:t xml:space="preserve">U.S. mail or electronic mail received </w:t>
      </w:r>
      <w:r>
        <w:t>after 5:30 p.m.</w:t>
      </w:r>
      <w:r w:rsidR="009856D4">
        <w:t xml:space="preserve"> on any given day. </w:t>
      </w:r>
      <w:r w:rsidR="00F32CD2">
        <w:t xml:space="preserve"> </w:t>
      </w:r>
      <w:r w:rsidR="009856D4">
        <w:t>A</w:t>
      </w:r>
      <w:r>
        <w:t xml:space="preserve">llowing alterations </w:t>
      </w:r>
      <w:r w:rsidR="0060537D">
        <w:t xml:space="preserve">or exceptions </w:t>
      </w:r>
      <w:r>
        <w:t xml:space="preserve">to the 120-day timeline will only create confusion </w:t>
      </w:r>
      <w:r w:rsidR="000C7FE0">
        <w:t xml:space="preserve">for affected residential customers </w:t>
      </w:r>
      <w:r>
        <w:t>as to when BLES may be withdrawn or abandoned and the due date for any affected customer petitions.</w:t>
      </w:r>
    </w:p>
    <w:p w:rsidR="00693F34" w:rsidRDefault="00F31762" w:rsidP="00827FA9">
      <w:pPr>
        <w:ind w:firstLine="720"/>
        <w:jc w:val="both"/>
      </w:pPr>
      <w:r>
        <w:lastRenderedPageBreak/>
        <w:t xml:space="preserve">Finally, OCC’s recommendation to require </w:t>
      </w:r>
      <w:r w:rsidR="00F32CD2">
        <w:t xml:space="preserve">a </w:t>
      </w:r>
      <w:r>
        <w:t xml:space="preserve">duplicative notice through mass media advertising after direct notice is provided would also create unnecessary regulations and costs, contrary to the </w:t>
      </w:r>
      <w:r w:rsidR="00693F34">
        <w:t>Governor’s Common Sense Initiative.</w:t>
      </w:r>
      <w:r w:rsidR="000C7FE0">
        <w:rPr>
          <w:rStyle w:val="FootnoteReference"/>
        </w:rPr>
        <w:footnoteReference w:id="11"/>
      </w:r>
      <w:r w:rsidR="00F7139F">
        <w:t xml:space="preserve">  </w:t>
      </w:r>
    </w:p>
    <w:p w:rsidR="00F7139F" w:rsidRDefault="00F31762" w:rsidP="00381189">
      <w:pPr>
        <w:ind w:firstLine="720"/>
        <w:jc w:val="both"/>
      </w:pPr>
      <w:r>
        <w:t>Accordingly, the Commission should not adopt these recommendations by OCC.</w:t>
      </w:r>
    </w:p>
    <w:p w:rsidR="00827FA9" w:rsidRDefault="00827FA9" w:rsidP="001B1AB5">
      <w:pPr>
        <w:pStyle w:val="Heading2"/>
      </w:pPr>
      <w:bookmarkStart w:id="6" w:name="_Toc434478255"/>
      <w:r>
        <w:t>There is no statutory basis for the Commission to waive the petition requirement in R.C. 4927.10(B)</w:t>
      </w:r>
      <w:bookmarkEnd w:id="6"/>
    </w:p>
    <w:p w:rsidR="00F31762" w:rsidRDefault="00E77385" w:rsidP="00381189">
      <w:pPr>
        <w:ind w:firstLine="720"/>
        <w:jc w:val="both"/>
      </w:pPr>
      <w:r>
        <w:t xml:space="preserve">OCC requests that the Commission waive the petition requirement in R.C. 4927.10(B) if a customer cannot find a reasonable </w:t>
      </w:r>
      <w:r w:rsidR="007B137B">
        <w:t>and</w:t>
      </w:r>
      <w:r w:rsidR="0027419F">
        <w:t xml:space="preserve"> </w:t>
      </w:r>
      <w:r w:rsidR="007B137B">
        <w:t xml:space="preserve">comparatively </w:t>
      </w:r>
      <w:r>
        <w:t>priced alternative voice service.</w:t>
      </w:r>
      <w:r>
        <w:rPr>
          <w:rStyle w:val="FootnoteReference"/>
        </w:rPr>
        <w:footnoteReference w:id="12"/>
      </w:r>
      <w:r>
        <w:t xml:space="preserve">  The Commission may not waive statutory requirements in its rules.</w:t>
      </w:r>
      <w:r>
        <w:rPr>
          <w:rStyle w:val="FootnoteReference"/>
        </w:rPr>
        <w:footnoteReference w:id="13"/>
      </w:r>
      <w:r>
        <w:t xml:space="preserve">  </w:t>
      </w:r>
      <w:r w:rsidR="004C5521">
        <w:t>Under</w:t>
      </w:r>
      <w:r>
        <w:t xml:space="preserve"> R.C. 4927.10(B), if </w:t>
      </w:r>
      <w:r w:rsidR="00A71A13">
        <w:t xml:space="preserve">a customer, </w:t>
      </w:r>
      <w:r>
        <w:t>after receiving notice of the withdrawal or abandonment of BLES</w:t>
      </w:r>
      <w:r w:rsidR="00A71A13">
        <w:t>,</w:t>
      </w:r>
      <w:r>
        <w:t xml:space="preserve"> believes it will not be able to obtain a reasonable or comparatively priced alternative voice service, the customer “may” petition the Commission.  Alternatively, the petition requirement may be satisfied through the collaborative process.</w:t>
      </w:r>
      <w:r>
        <w:rPr>
          <w:rStyle w:val="FootnoteReference"/>
        </w:rPr>
        <w:footnoteReference w:id="14"/>
      </w:r>
      <w:r>
        <w:t xml:space="preserve">  However, if the Commission has not been </w:t>
      </w:r>
      <w:r w:rsidR="00D61597">
        <w:t>timely petitioned, no action by the Commission is permitted</w:t>
      </w:r>
      <w:r w:rsidR="0027419F">
        <w:t>,</w:t>
      </w:r>
      <w:r w:rsidR="001511B1">
        <w:t xml:space="preserve"> and the ILEC may withdraw or abandon BLES.</w:t>
      </w:r>
      <w:r w:rsidR="001511B1">
        <w:rPr>
          <w:rStyle w:val="FootnoteReference"/>
        </w:rPr>
        <w:footnoteReference w:id="15"/>
      </w:r>
      <w:r w:rsidR="004C5521">
        <w:t xml:space="preserve"> Because the Commission cannot waive statutory requirements, there is no basis for the Commission to waive the petition requirement in this statutorily defined process.</w:t>
      </w:r>
    </w:p>
    <w:p w:rsidR="00A71A13" w:rsidRDefault="00A71A13" w:rsidP="00381189">
      <w:pPr>
        <w:ind w:firstLine="720"/>
        <w:jc w:val="both"/>
      </w:pPr>
    </w:p>
    <w:p w:rsidR="00A71A13" w:rsidRDefault="00A71A13" w:rsidP="00381189">
      <w:pPr>
        <w:ind w:firstLine="720"/>
        <w:jc w:val="both"/>
      </w:pPr>
    </w:p>
    <w:p w:rsidR="00F7139F" w:rsidRDefault="00733175" w:rsidP="001B1AB5">
      <w:pPr>
        <w:pStyle w:val="Heading2"/>
      </w:pPr>
      <w:bookmarkStart w:id="7" w:name="_Toc434478256"/>
      <w:r>
        <w:t>OCC’s recommendation for a process to challenge the contents of an application is not necessary as R.C. 4927.10 does</w:t>
      </w:r>
      <w:r w:rsidR="000A0D3F">
        <w:t xml:space="preserve"> not require an ILEC to file an</w:t>
      </w:r>
      <w:r>
        <w:t xml:space="preserve"> application</w:t>
      </w:r>
      <w:bookmarkEnd w:id="7"/>
    </w:p>
    <w:p w:rsidR="00FD27C0" w:rsidRDefault="00FD27C0" w:rsidP="00381189">
      <w:pPr>
        <w:ind w:firstLine="720"/>
        <w:jc w:val="both"/>
      </w:pPr>
      <w:r>
        <w:t xml:space="preserve">OCC requests that the Commission </w:t>
      </w:r>
      <w:r w:rsidR="00733175">
        <w:t xml:space="preserve">modify the draft rules to include a process for challenging </w:t>
      </w:r>
      <w:r w:rsidR="001511B1">
        <w:t>the assertions made by an</w:t>
      </w:r>
      <w:r w:rsidR="00733175">
        <w:t xml:space="preserve"> </w:t>
      </w:r>
      <w:r w:rsidR="001511B1">
        <w:t>ILEC in its application to withdraw or abandon BLES</w:t>
      </w:r>
      <w:r w:rsidR="00733175">
        <w:t>.</w:t>
      </w:r>
      <w:r w:rsidR="00733175">
        <w:rPr>
          <w:rStyle w:val="FootnoteReference"/>
        </w:rPr>
        <w:footnoteReference w:id="16"/>
      </w:r>
      <w:r w:rsidR="00733175">
        <w:t xml:space="preserve">  As discussed in OTA’s comments</w:t>
      </w:r>
      <w:r w:rsidR="000C7FE0">
        <w:t>,</w:t>
      </w:r>
      <w:r w:rsidR="00733175">
        <w:t xml:space="preserve"> HB 64 and R.C. 4927.10 do</w:t>
      </w:r>
      <w:r w:rsidR="000A0D3F">
        <w:t xml:space="preserve"> not require an ILEC to file an</w:t>
      </w:r>
      <w:r w:rsidR="00733175">
        <w:t xml:space="preserve"> application with the Commission to withd</w:t>
      </w:r>
      <w:r w:rsidR="004E0310">
        <w:t>raw or abandon BLES.</w:t>
      </w:r>
      <w:r w:rsidR="004C7133">
        <w:rPr>
          <w:rStyle w:val="FootnoteReference"/>
        </w:rPr>
        <w:footnoteReference w:id="17"/>
      </w:r>
      <w:r w:rsidR="00733175">
        <w:t xml:space="preserve"> Accordingly, OCC’s recommended rule is unnecessary and should not be adopted.</w:t>
      </w:r>
    </w:p>
    <w:p w:rsidR="00733175" w:rsidRDefault="00733175" w:rsidP="001B1AB5">
      <w:pPr>
        <w:pStyle w:val="Heading2"/>
      </w:pPr>
      <w:bookmarkStart w:id="8" w:name="_Toc434478257"/>
      <w:r>
        <w:t>OCC’s request that others be able to petition the Commission on a</w:t>
      </w:r>
      <w:r w:rsidR="004E0310">
        <w:t>n</w:t>
      </w:r>
      <w:r>
        <w:t xml:space="preserve"> </w:t>
      </w:r>
      <w:r w:rsidR="00973F6E">
        <w:t xml:space="preserve">affected </w:t>
      </w:r>
      <w:r>
        <w:t xml:space="preserve">residential customer’s behalf is </w:t>
      </w:r>
      <w:r w:rsidR="00973F6E">
        <w:t>unnecessary</w:t>
      </w:r>
      <w:r w:rsidR="00596735">
        <w:t>,</w:t>
      </w:r>
      <w:r>
        <w:t xml:space="preserve"> </w:t>
      </w:r>
      <w:r w:rsidR="00973F6E">
        <w:t xml:space="preserve">and could </w:t>
      </w:r>
      <w:r w:rsidR="00596735">
        <w:t>violate the Commission’s rule on practice before the Commission</w:t>
      </w:r>
      <w:r w:rsidR="00973F6E">
        <w:t xml:space="preserve"> as well as the Court’s rules on the unauthorized practice of law</w:t>
      </w:r>
      <w:bookmarkEnd w:id="8"/>
    </w:p>
    <w:p w:rsidR="0027419F" w:rsidRDefault="00733175" w:rsidP="00381189">
      <w:pPr>
        <w:ind w:firstLine="720"/>
        <w:jc w:val="both"/>
      </w:pPr>
      <w:r>
        <w:t xml:space="preserve">OCC requests that “a relative, a </w:t>
      </w:r>
      <w:r w:rsidR="004E0310">
        <w:t>friend, a social service agency</w:t>
      </w:r>
      <w:r>
        <w:t xml:space="preserve"> or anyone else who files with the customer’s permission and without charge to the customer</w:t>
      </w:r>
      <w:r w:rsidR="00C7652A">
        <w:t xml:space="preserve"> be permitted to file a petition under R.C. 4927.10(B).</w:t>
      </w:r>
      <w:r w:rsidR="00D86E8B">
        <w:t>”</w:t>
      </w:r>
      <w:r w:rsidR="00F8229A">
        <w:rPr>
          <w:rStyle w:val="FootnoteReference"/>
        </w:rPr>
        <w:footnoteReference w:id="18"/>
      </w:r>
      <w:r>
        <w:t xml:space="preserve">  </w:t>
      </w:r>
      <w:r w:rsidR="00973F6E">
        <w:t>In support, OCC argues that an affected residential customer may “be infirm or otherwise impaired, or might not understand the process.”</w:t>
      </w:r>
      <w:r w:rsidR="00973F6E">
        <w:rPr>
          <w:rStyle w:val="FootnoteReference"/>
        </w:rPr>
        <w:footnoteReference w:id="19"/>
      </w:r>
      <w:r w:rsidR="00973F6E">
        <w:t xml:space="preserve">  OCC’s argument in support of its recommendation appears to suggest that this third person might be authorized to do more than just file a petition.</w:t>
      </w:r>
      <w:r w:rsidR="00973F6E">
        <w:rPr>
          <w:rStyle w:val="FootnoteReference"/>
        </w:rPr>
        <w:footnoteReference w:id="20"/>
      </w:r>
      <w:r w:rsidR="00973F6E">
        <w:t xml:space="preserve">  OCC’s recommendations </w:t>
      </w:r>
      <w:r w:rsidR="001F108C">
        <w:t xml:space="preserve">are unnecessary </w:t>
      </w:r>
      <w:r w:rsidR="00973F6E">
        <w:t xml:space="preserve">as </w:t>
      </w:r>
      <w:r w:rsidR="001F108C">
        <w:t>t</w:t>
      </w:r>
      <w:r w:rsidR="00973F6E">
        <w:t xml:space="preserve">he General Assembly has already provided an alternative petition process under the collaborative process established under Section </w:t>
      </w:r>
      <w:r w:rsidR="00973F6E" w:rsidRPr="0036241A">
        <w:t>749.10</w:t>
      </w:r>
      <w:r w:rsidR="00973F6E">
        <w:t xml:space="preserve"> of HB 64.</w:t>
      </w:r>
    </w:p>
    <w:p w:rsidR="00973F6E" w:rsidRDefault="00B9662B" w:rsidP="00381189">
      <w:pPr>
        <w:ind w:firstLine="720"/>
        <w:jc w:val="both"/>
      </w:pPr>
      <w:r>
        <w:lastRenderedPageBreak/>
        <w:t xml:space="preserve">Additionally, </w:t>
      </w:r>
      <w:r w:rsidR="00FA681E">
        <w:t>a</w:t>
      </w:r>
      <w:r>
        <w:t xml:space="preserve">n alternative </w:t>
      </w:r>
      <w:r w:rsidR="00FA681E">
        <w:t xml:space="preserve">course of action </w:t>
      </w:r>
      <w:r>
        <w:t>could</w:t>
      </w:r>
      <w:r w:rsidR="00FA681E">
        <w:t xml:space="preserve"> be for the OCC itself to provide assistance to those consumers who may be unable to represent themselves. </w:t>
      </w:r>
      <w:r w:rsidR="00FD5229">
        <w:t xml:space="preserve"> </w:t>
      </w:r>
      <w:r w:rsidR="00FA681E">
        <w:t xml:space="preserve">The OCC holds the statutory authority to </w:t>
      </w:r>
      <w:r w:rsidR="00AB589C">
        <w:t xml:space="preserve">represent consumers in these matters before the Commission. </w:t>
      </w:r>
      <w:r w:rsidR="0027419F">
        <w:t xml:space="preserve"> </w:t>
      </w:r>
      <w:r w:rsidR="00AB589C">
        <w:rPr>
          <w:rFonts w:cs="Arial"/>
          <w:color w:val="373739"/>
        </w:rPr>
        <w:t>As su</w:t>
      </w:r>
      <w:r w:rsidR="00FA681E">
        <w:rPr>
          <w:rFonts w:cs="Arial"/>
          <w:color w:val="373739"/>
        </w:rPr>
        <w:t xml:space="preserve">ch, the OCC is </w:t>
      </w:r>
      <w:r w:rsidR="001229EE">
        <w:rPr>
          <w:rFonts w:cs="Arial"/>
          <w:color w:val="373739"/>
        </w:rPr>
        <w:t xml:space="preserve">appropriately subsidized and </w:t>
      </w:r>
      <w:r w:rsidR="00FA681E">
        <w:rPr>
          <w:rFonts w:cs="Arial"/>
          <w:color w:val="373739"/>
        </w:rPr>
        <w:t xml:space="preserve">well positioned </w:t>
      </w:r>
      <w:r w:rsidR="00AB589C">
        <w:rPr>
          <w:rFonts w:cs="Arial"/>
          <w:color w:val="373739"/>
        </w:rPr>
        <w:t>to represent these aforementioned interests.</w:t>
      </w:r>
    </w:p>
    <w:p w:rsidR="002F0627" w:rsidRDefault="00973F6E" w:rsidP="00381189">
      <w:pPr>
        <w:ind w:firstLine="720"/>
        <w:jc w:val="both"/>
      </w:pPr>
      <w:r>
        <w:t xml:space="preserve">OCC’s recommendation might </w:t>
      </w:r>
      <w:r w:rsidR="0027419F">
        <w:t xml:space="preserve">also </w:t>
      </w:r>
      <w:r>
        <w:t xml:space="preserve">run afoul of the Commission’s and </w:t>
      </w:r>
      <w:r w:rsidR="00FD5229">
        <w:t xml:space="preserve">Supreme </w:t>
      </w:r>
      <w:r>
        <w:t xml:space="preserve">Court’s rules regarding the practice of law before the Commission.  </w:t>
      </w:r>
      <w:r w:rsidR="004E0310">
        <w:t>The Commission’s r</w:t>
      </w:r>
      <w:r w:rsidR="00596735">
        <w:t>ule on practice before the Com</w:t>
      </w:r>
      <w:r w:rsidR="001F108C">
        <w:t xml:space="preserve">mission, Rule 4901-1-8, O.A.C., </w:t>
      </w:r>
      <w:r w:rsidR="00596735">
        <w:t xml:space="preserve">requires that “each party not appearing in propria persona shall be represented by an attorney-at-law authorized to practice before the courts of this state.”  </w:t>
      </w:r>
      <w:r>
        <w:t xml:space="preserve">The </w:t>
      </w:r>
      <w:r w:rsidR="00FD5229">
        <w:t xml:space="preserve">Supreme </w:t>
      </w:r>
      <w:r>
        <w:t>Court has held that preparing and filing legal pleadings and other papers before administrative</w:t>
      </w:r>
      <w:r w:rsidR="00FD5229">
        <w:t xml:space="preserve"> agencies</w:t>
      </w:r>
      <w:r>
        <w:t xml:space="preserve"> may constitute the practice of law.</w:t>
      </w:r>
      <w:r w:rsidR="00D86E8B">
        <w:rPr>
          <w:rStyle w:val="FootnoteReference"/>
        </w:rPr>
        <w:footnoteReference w:id="21"/>
      </w:r>
      <w:r w:rsidR="0036241A">
        <w:t xml:space="preserve">  </w:t>
      </w:r>
      <w:r w:rsidR="002F0627">
        <w:t xml:space="preserve">Thus, to the extent that the third party assisting the affected residential customer is not an attorney authorized to practice law in Ohio, the third party may be violating the Commission’s and </w:t>
      </w:r>
      <w:r w:rsidR="005443D0">
        <w:t xml:space="preserve">Supreme </w:t>
      </w:r>
      <w:r w:rsidR="002F0627">
        <w:t>Court’s rules.</w:t>
      </w:r>
    </w:p>
    <w:p w:rsidR="00733175" w:rsidRDefault="0036241A" w:rsidP="00381189">
      <w:pPr>
        <w:ind w:firstLine="720"/>
        <w:jc w:val="both"/>
      </w:pPr>
      <w:r>
        <w:lastRenderedPageBreak/>
        <w:t>Accordingly, OCC’s proposal is at the lea</w:t>
      </w:r>
      <w:r w:rsidR="00D86E8B">
        <w:t>st unnecessary, if not unlawful, and should therefore be rejected.</w:t>
      </w:r>
    </w:p>
    <w:p w:rsidR="00743A29" w:rsidRDefault="00743A29" w:rsidP="001B1AB5">
      <w:pPr>
        <w:pStyle w:val="Heading2"/>
      </w:pPr>
      <w:bookmarkStart w:id="9" w:name="_Toc434478258"/>
      <w:r>
        <w:t xml:space="preserve">OCC’s proposed definition of a reasonable and comparatively priced alternative </w:t>
      </w:r>
      <w:r w:rsidR="00283778">
        <w:t xml:space="preserve">voice service </w:t>
      </w:r>
      <w:r>
        <w:t>has no basis in the statute and is otherwise without merit</w:t>
      </w:r>
      <w:bookmarkEnd w:id="9"/>
    </w:p>
    <w:p w:rsidR="00E40674" w:rsidRDefault="00E40674" w:rsidP="00E77385">
      <w:pPr>
        <w:ind w:firstLine="720"/>
        <w:jc w:val="both"/>
      </w:pPr>
      <w:r>
        <w:t xml:space="preserve">OCC requests that the Commission define reasonable and comparatively priced alternative voice service to be capped at no more than 10 percent above the existing BLES rates while ignoring any additional functionalities of those alternative services.  </w:t>
      </w:r>
      <w:r w:rsidR="00CB3CD8">
        <w:t>OCC also requests that the Commission remove the costs of voice grade access and access to 9-1-1 from its definition</w:t>
      </w:r>
      <w:r w:rsidR="001511B1">
        <w:t xml:space="preserve"> and any future comparison</w:t>
      </w:r>
      <w:r w:rsidR="00CB3CD8">
        <w:t xml:space="preserve">. </w:t>
      </w:r>
      <w:r w:rsidR="001511B1">
        <w:t xml:space="preserve"> </w:t>
      </w:r>
      <w:r w:rsidR="00CB3CD8">
        <w:t xml:space="preserve">OCC further requests that the Commission place no value on additional features that are not a component of the consumer’s current service, </w:t>
      </w:r>
      <w:r w:rsidR="00F67F92">
        <w:t>but place additional value on the fact that basic service does not rely on back-up power, due to line-powering</w:t>
      </w:r>
      <w:r w:rsidR="00CB3CD8">
        <w:t>.</w:t>
      </w:r>
      <w:r w:rsidR="00CB3CD8">
        <w:rPr>
          <w:rStyle w:val="FootnoteReference"/>
        </w:rPr>
        <w:footnoteReference w:id="22"/>
      </w:r>
      <w:r w:rsidR="00CB3CD8">
        <w:t xml:space="preserve">  </w:t>
      </w:r>
      <w:r>
        <w:t xml:space="preserve">OCC’s </w:t>
      </w:r>
      <w:r w:rsidR="00F67F92">
        <w:t>recommendations are contrary to the statute and presuppose</w:t>
      </w:r>
      <w:r>
        <w:t xml:space="preserve"> that the Commission is unable to determine whether an alternative voice service is a reasonable and comparatively priced alternative following its investigation.</w:t>
      </w:r>
    </w:p>
    <w:p w:rsidR="00CB3CD8" w:rsidRDefault="00014C41" w:rsidP="00E77385">
      <w:pPr>
        <w:ind w:firstLine="720"/>
        <w:jc w:val="both"/>
      </w:pPr>
      <w:r>
        <w:t xml:space="preserve">R.C. 4927.10(B)(3) provides that the Commission shall define the term "‘reasonable and comparatively priced voice service’ to include service that provides voice grade access to the public switched network or its functional equivalent, access to 9-1-1, and that is competitively priced, when considering all the alternatives in the marketplace and their functionalities.”  </w:t>
      </w:r>
      <w:r w:rsidR="00CB3CD8">
        <w:t xml:space="preserve">There is no basis in the statute for an arbitrary limitation of reasonable and comparatively priced alternatives to </w:t>
      </w:r>
      <w:r w:rsidR="00F67F92">
        <w:t xml:space="preserve">only </w:t>
      </w:r>
      <w:r w:rsidR="00CB3CD8">
        <w:t xml:space="preserve">those services that cost less than 10 percent more than BLES, regardless of what additional functionality is </w:t>
      </w:r>
      <w:r w:rsidR="00CB3CD8">
        <w:lastRenderedPageBreak/>
        <w:t xml:space="preserve">offered in the yet-to-be-identified alternative service.  In fact, the statutory language compels the Commission to consider the additional functionalities contained in the yet-to-be-identified alternative service and the competitive price of the yet-to-be-identified alternative service.  </w:t>
      </w:r>
    </w:p>
    <w:p w:rsidR="004C5521" w:rsidRDefault="00CB3CD8" w:rsidP="00E77385">
      <w:pPr>
        <w:ind w:firstLine="720"/>
        <w:jc w:val="both"/>
      </w:pPr>
      <w:r>
        <w:t>Furthermore, OCC’s recommendations are premature</w:t>
      </w:r>
      <w:r w:rsidR="004C5521">
        <w:t xml:space="preserve">. </w:t>
      </w:r>
      <w:r>
        <w:t xml:space="preserve">The </w:t>
      </w:r>
      <w:r w:rsidR="00E40674">
        <w:t xml:space="preserve">Commission will only need to consider </w:t>
      </w:r>
      <w:r>
        <w:t xml:space="preserve">whether an </w:t>
      </w:r>
      <w:r w:rsidR="00E40674">
        <w:t>alt</w:t>
      </w:r>
      <w:r>
        <w:t>ernative service is reasonable and comparatively priced</w:t>
      </w:r>
      <w:r w:rsidR="00E40674">
        <w:t xml:space="preserve"> if petitioned.  If </w:t>
      </w:r>
      <w:r>
        <w:t xml:space="preserve">it is </w:t>
      </w:r>
      <w:r w:rsidR="00E40674">
        <w:t>petitioned, the Commission is well equipped to conduct the investigation required by statute to determine whether the price</w:t>
      </w:r>
      <w:r>
        <w:t xml:space="preserve"> of an alternative service that is </w:t>
      </w:r>
      <w:r w:rsidR="00E40674">
        <w:t>yet-to-be-identified</w:t>
      </w:r>
      <w:r w:rsidR="001A5ED3">
        <w:t xml:space="preserve"> </w:t>
      </w:r>
      <w:r w:rsidR="00E40674">
        <w:t xml:space="preserve">is reasonable and comparatively priced.  </w:t>
      </w:r>
    </w:p>
    <w:p w:rsidR="00F67F92" w:rsidRDefault="0086382A" w:rsidP="00E77385">
      <w:pPr>
        <w:ind w:firstLine="720"/>
        <w:jc w:val="both"/>
      </w:pPr>
      <w:r>
        <w:t xml:space="preserve">OCC’s recommended definition is also premature given the potential for the FCC to prescribe parameters around </w:t>
      </w:r>
      <w:r w:rsidR="0027419F">
        <w:t xml:space="preserve">what constitutes </w:t>
      </w:r>
      <w:r>
        <w:t xml:space="preserve">reasonable </w:t>
      </w:r>
      <w:r w:rsidR="0027419F">
        <w:t xml:space="preserve">and comparative </w:t>
      </w:r>
      <w:r>
        <w:t>alternative services</w:t>
      </w:r>
      <w:r w:rsidR="0027419F">
        <w:t xml:space="preserve"> as part of</w:t>
      </w:r>
      <w:r>
        <w:t xml:space="preserve"> an</w:t>
      </w:r>
      <w:r w:rsidR="0027419F">
        <w:t xml:space="preserve"> order authorizing an</w:t>
      </w:r>
      <w:r>
        <w:t xml:space="preserve"> ILEC to withdraw the interstate</w:t>
      </w:r>
      <w:r w:rsidR="001A5ED3">
        <w:t xml:space="preserve"> </w:t>
      </w:r>
      <w:r w:rsidR="0027419F">
        <w:t>access</w:t>
      </w:r>
      <w:r>
        <w:t xml:space="preserve"> component of BLES. </w:t>
      </w:r>
    </w:p>
    <w:p w:rsidR="00D61597" w:rsidRDefault="00F67F92" w:rsidP="00E77385">
      <w:pPr>
        <w:ind w:firstLine="720"/>
        <w:jc w:val="both"/>
      </w:pPr>
      <w:r>
        <w:t>Finally, OCC’s recommendations suggest that the Commission is not equipped to measure the “subjective value” of functionality such as mobility.</w:t>
      </w:r>
      <w:r>
        <w:rPr>
          <w:rStyle w:val="FootnoteReference"/>
        </w:rPr>
        <w:footnoteReference w:id="23"/>
      </w:r>
      <w:r>
        <w:t xml:space="preserve">  Contrary to the implications in OCC’s comments, the OTA is confident that the Commission can carry out its statutory duty to determine if a “reasonable and comparatively priced voice service will be available to the affected customer at the customer's residence</w:t>
      </w:r>
      <w:r w:rsidR="004C7133">
        <w:t xml:space="preserve"> if petitioned to do so</w:t>
      </w:r>
      <w:r>
        <w:t>.”</w:t>
      </w:r>
      <w:r>
        <w:rPr>
          <w:rStyle w:val="FootnoteReference"/>
        </w:rPr>
        <w:footnoteReference w:id="24"/>
      </w:r>
    </w:p>
    <w:p w:rsidR="00CB3CD8" w:rsidRDefault="00CB3CD8" w:rsidP="00E77385">
      <w:pPr>
        <w:ind w:firstLine="720"/>
        <w:jc w:val="both"/>
      </w:pPr>
      <w:r>
        <w:t xml:space="preserve">Accordingly, the Commission should not adopt OCC’s recommended changes to the definition of </w:t>
      </w:r>
      <w:r w:rsidR="00F07AD2">
        <w:t xml:space="preserve">a </w:t>
      </w:r>
      <w:r>
        <w:t>reasonable and comparatively priced alternative</w:t>
      </w:r>
      <w:r w:rsidR="00F07AD2">
        <w:t xml:space="preserve"> voice </w:t>
      </w:r>
      <w:r w:rsidR="00D86E8B">
        <w:t>service</w:t>
      </w:r>
      <w:r>
        <w:t>.</w:t>
      </w:r>
      <w:r w:rsidR="00F67F92">
        <w:t xml:space="preserve">  As </w:t>
      </w:r>
      <w:r w:rsidR="00F67F92">
        <w:lastRenderedPageBreak/>
        <w:t xml:space="preserve">discussed in the OTA’s </w:t>
      </w:r>
      <w:r w:rsidR="005443D0">
        <w:t>i</w:t>
      </w:r>
      <w:r w:rsidR="00F67F92">
        <w:t xml:space="preserve">nitial </w:t>
      </w:r>
      <w:r w:rsidR="005443D0">
        <w:t>c</w:t>
      </w:r>
      <w:r w:rsidR="00F67F92">
        <w:t>omments, the Commission should also revise the proposed definition to mirror the statutory guidance contained in R.C. 4927.10(B)(3).</w:t>
      </w:r>
    </w:p>
    <w:p w:rsidR="00BE3228" w:rsidRDefault="00BE3228" w:rsidP="001B1AB5">
      <w:pPr>
        <w:pStyle w:val="Heading2"/>
      </w:pPr>
      <w:bookmarkStart w:id="10" w:name="_Toc434478259"/>
      <w:r>
        <w:t xml:space="preserve">There is no statutory basis, or need, to require ILECs to file with the Commission under seal customer information to support the collaborative process </w:t>
      </w:r>
      <w:r w:rsidR="00F07AD2">
        <w:t>set</w:t>
      </w:r>
      <w:r>
        <w:t xml:space="preserve"> forth in Section 749.10 of HB 64</w:t>
      </w:r>
      <w:bookmarkEnd w:id="10"/>
    </w:p>
    <w:p w:rsidR="00BE3228" w:rsidRDefault="00BE3228" w:rsidP="00B15167">
      <w:pPr>
        <w:ind w:firstLine="720"/>
        <w:jc w:val="both"/>
      </w:pPr>
      <w:r>
        <w:t xml:space="preserve">OCC requests that the Commission impose a requirement </w:t>
      </w:r>
      <w:r w:rsidR="00567E11">
        <w:t xml:space="preserve">that </w:t>
      </w:r>
      <w:r>
        <w:t>ILECs file under seal the name, address, and telephone number of each affected basic service customer and requests that the Commission provide access to this information to all members of the collaborative process set forth under Section 749.10 of HB 64.</w:t>
      </w:r>
      <w:r>
        <w:rPr>
          <w:rStyle w:val="FootnoteReference"/>
        </w:rPr>
        <w:footnoteReference w:id="25"/>
      </w:r>
      <w:r>
        <w:t xml:space="preserve">  </w:t>
      </w:r>
      <w:r w:rsidR="00B15167">
        <w:t>OCC’s request is beyond the statutory authority contained in HB 64, unnecessary, serves no public purpose</w:t>
      </w:r>
      <w:r w:rsidR="00C7652A">
        <w:t>,</w:t>
      </w:r>
      <w:r w:rsidR="00B15167">
        <w:t xml:space="preserve"> </w:t>
      </w:r>
      <w:r w:rsidR="00567E11">
        <w:t xml:space="preserve">raises significant privacy concerns relating to the treatment of customer proprietary network information, </w:t>
      </w:r>
      <w:r w:rsidR="00B15167">
        <w:t>and should not be adopted.</w:t>
      </w:r>
    </w:p>
    <w:p w:rsidR="001511B1" w:rsidRPr="00F07AD2" w:rsidRDefault="001511B1" w:rsidP="001B1AB5">
      <w:pPr>
        <w:pStyle w:val="Heading1"/>
        <w:ind w:left="720" w:hanging="540"/>
      </w:pPr>
      <w:bookmarkStart w:id="11" w:name="_Toc434478260"/>
      <w:r w:rsidRPr="00F07AD2">
        <w:t>conclusion</w:t>
      </w:r>
      <w:bookmarkEnd w:id="11"/>
    </w:p>
    <w:p w:rsidR="001511B1" w:rsidRPr="001511B1" w:rsidRDefault="001511B1" w:rsidP="001511B1">
      <w:pPr>
        <w:ind w:firstLine="720"/>
        <w:jc w:val="both"/>
      </w:pPr>
      <w:r>
        <w:t>For the reasons discussed above, the OTA requests that the Commission adopt the recommendations set forth in OTA</w:t>
      </w:r>
      <w:r w:rsidR="00F07AD2">
        <w:t xml:space="preserve">'s </w:t>
      </w:r>
      <w:r w:rsidR="00037FA4">
        <w:t>i</w:t>
      </w:r>
      <w:r w:rsidR="00F07AD2">
        <w:t>nitial</w:t>
      </w:r>
      <w:r>
        <w:t xml:space="preserve"> </w:t>
      </w:r>
      <w:r w:rsidR="00037FA4">
        <w:t>c</w:t>
      </w:r>
      <w:r>
        <w:t>omments, which are supported by the comments and letters filed in this docket by AT&amp;T, OCTA, Cincinnati Bell, and Verizon, and reject the recommendation</w:t>
      </w:r>
      <w:r w:rsidR="00037FA4">
        <w:t>s</w:t>
      </w:r>
      <w:r>
        <w:t xml:space="preserve"> set forth in the comments filed by OCC.</w:t>
      </w:r>
    </w:p>
    <w:p w:rsidR="00FB181C" w:rsidRDefault="00FB181C" w:rsidP="00FB181C">
      <w:pPr>
        <w:tabs>
          <w:tab w:val="left" w:pos="4320"/>
        </w:tabs>
        <w:spacing w:line="360" w:lineRule="auto"/>
        <w:ind w:firstLine="4140"/>
        <w:rPr>
          <w:rFonts w:cs="Arial"/>
        </w:rPr>
      </w:pPr>
      <w:r w:rsidRPr="00711095">
        <w:rPr>
          <w:rFonts w:cs="Arial"/>
        </w:rPr>
        <w:t>Respectfully submitted,</w:t>
      </w:r>
    </w:p>
    <w:p w:rsidR="00FB181C" w:rsidRPr="00711095" w:rsidRDefault="00FB181C" w:rsidP="00FB181C">
      <w:pPr>
        <w:tabs>
          <w:tab w:val="left" w:pos="4320"/>
        </w:tabs>
        <w:spacing w:line="360" w:lineRule="auto"/>
        <w:ind w:firstLine="4140"/>
        <w:rPr>
          <w:rFonts w:cs="Arial"/>
        </w:rPr>
      </w:pPr>
    </w:p>
    <w:p w:rsidR="00FB181C" w:rsidRPr="00711095" w:rsidRDefault="00FB181C" w:rsidP="00FB181C">
      <w:pPr>
        <w:tabs>
          <w:tab w:val="left" w:pos="4140"/>
        </w:tabs>
        <w:spacing w:line="240" w:lineRule="auto"/>
        <w:ind w:left="4140"/>
        <w:rPr>
          <w:rFonts w:cs="Arial"/>
          <w:u w:val="single"/>
        </w:rPr>
      </w:pPr>
      <w:r w:rsidRPr="00711095">
        <w:rPr>
          <w:rFonts w:cs="Arial"/>
          <w:u w:val="single"/>
        </w:rPr>
        <w:t xml:space="preserve">/s/ </w:t>
      </w:r>
      <w:r w:rsidRPr="00711095">
        <w:rPr>
          <w:rFonts w:cs="Arial"/>
          <w:i/>
          <w:u w:val="single"/>
        </w:rPr>
        <w:t>Scott E. Elisar</w:t>
      </w:r>
      <w:r w:rsidRPr="00711095">
        <w:rPr>
          <w:rFonts w:cs="Arial"/>
          <w:u w:val="single"/>
        </w:rPr>
        <w:tab/>
      </w:r>
      <w:r w:rsidRPr="00711095">
        <w:rPr>
          <w:rFonts w:cs="Arial"/>
          <w:u w:val="single"/>
        </w:rPr>
        <w:tab/>
      </w:r>
      <w:r w:rsidRPr="00711095">
        <w:rPr>
          <w:rFonts w:cs="Arial"/>
          <w:u w:val="single"/>
        </w:rPr>
        <w:tab/>
      </w:r>
      <w:r w:rsidRPr="00711095">
        <w:rPr>
          <w:rFonts w:cs="Arial"/>
          <w:u w:val="single"/>
        </w:rPr>
        <w:tab/>
      </w:r>
      <w:r w:rsidRPr="00711095">
        <w:rPr>
          <w:rFonts w:cs="Arial"/>
          <w:u w:val="single"/>
        </w:rPr>
        <w:tab/>
      </w:r>
    </w:p>
    <w:p w:rsidR="00FB181C" w:rsidRPr="00711095" w:rsidRDefault="00FB181C" w:rsidP="00FB181C">
      <w:pPr>
        <w:spacing w:line="240" w:lineRule="auto"/>
        <w:ind w:left="4140"/>
        <w:rPr>
          <w:rFonts w:cs="Arial"/>
        </w:rPr>
      </w:pPr>
      <w:r w:rsidRPr="00711095">
        <w:rPr>
          <w:rFonts w:cs="Arial"/>
        </w:rPr>
        <w:t>Scott E. Elisar (Reg. No. 0081877)</w:t>
      </w:r>
    </w:p>
    <w:p w:rsidR="00FB181C" w:rsidRPr="00711095" w:rsidRDefault="00FB181C" w:rsidP="00FB181C">
      <w:pPr>
        <w:tabs>
          <w:tab w:val="left" w:pos="-2070"/>
        </w:tabs>
        <w:spacing w:line="240" w:lineRule="auto"/>
        <w:ind w:left="4140"/>
        <w:rPr>
          <w:rFonts w:cs="Arial"/>
        </w:rPr>
      </w:pPr>
      <w:r w:rsidRPr="00711095">
        <w:rPr>
          <w:rFonts w:cs="Arial"/>
        </w:rPr>
        <w:t>(Counsel of Record)</w:t>
      </w:r>
    </w:p>
    <w:p w:rsidR="00FB181C" w:rsidRDefault="00FB181C" w:rsidP="00FB181C">
      <w:pPr>
        <w:widowControl w:val="0"/>
        <w:spacing w:line="240" w:lineRule="auto"/>
        <w:ind w:left="4140"/>
        <w:rPr>
          <w:rFonts w:cs="Arial"/>
          <w:bCs/>
        </w:rPr>
      </w:pPr>
      <w:r>
        <w:rPr>
          <w:rFonts w:cs="Arial"/>
          <w:bCs/>
        </w:rPr>
        <w:t>Matthew R. Pritchard (Reg. No. 0088070)</w:t>
      </w:r>
    </w:p>
    <w:p w:rsidR="00FB181C" w:rsidRPr="00711095" w:rsidRDefault="00FB181C" w:rsidP="00FB181C">
      <w:pPr>
        <w:widowControl w:val="0"/>
        <w:spacing w:line="240" w:lineRule="auto"/>
        <w:ind w:left="4140"/>
        <w:rPr>
          <w:rFonts w:cs="Arial"/>
          <w:color w:val="000000" w:themeColor="text1"/>
        </w:rPr>
      </w:pPr>
      <w:r w:rsidRPr="00711095">
        <w:rPr>
          <w:rFonts w:cs="Arial"/>
          <w:color w:val="000000" w:themeColor="text1"/>
        </w:rPr>
        <w:t>McNees Wallace &amp; Nurick LLC</w:t>
      </w:r>
    </w:p>
    <w:p w:rsidR="00FB181C" w:rsidRPr="00711095" w:rsidRDefault="00FB181C" w:rsidP="00FB181C">
      <w:pPr>
        <w:tabs>
          <w:tab w:val="left" w:pos="-2070"/>
        </w:tabs>
        <w:spacing w:line="240" w:lineRule="auto"/>
        <w:ind w:left="4140"/>
        <w:rPr>
          <w:rFonts w:cs="Arial"/>
          <w:color w:val="000000" w:themeColor="text1"/>
        </w:rPr>
      </w:pPr>
      <w:r w:rsidRPr="00711095">
        <w:rPr>
          <w:rFonts w:cs="Arial"/>
          <w:color w:val="000000" w:themeColor="text1"/>
        </w:rPr>
        <w:t>21 E. State Street, 17th Floor</w:t>
      </w:r>
    </w:p>
    <w:p w:rsidR="00FB181C" w:rsidRPr="00711095" w:rsidRDefault="00FB181C" w:rsidP="00FB181C">
      <w:pPr>
        <w:spacing w:line="240" w:lineRule="auto"/>
        <w:ind w:left="4140"/>
        <w:rPr>
          <w:rFonts w:cs="Arial"/>
          <w:color w:val="000000" w:themeColor="text1"/>
        </w:rPr>
      </w:pPr>
      <w:r w:rsidRPr="00711095">
        <w:rPr>
          <w:rFonts w:cs="Arial"/>
          <w:color w:val="000000" w:themeColor="text1"/>
        </w:rPr>
        <w:t>Columbus, Ohio 43215</w:t>
      </w:r>
    </w:p>
    <w:p w:rsidR="00FB181C" w:rsidRPr="00711095" w:rsidRDefault="00FB181C" w:rsidP="00FB181C">
      <w:pPr>
        <w:spacing w:line="240" w:lineRule="auto"/>
        <w:ind w:left="4140"/>
        <w:rPr>
          <w:rFonts w:cs="Arial"/>
          <w:color w:val="000000" w:themeColor="text1"/>
        </w:rPr>
      </w:pPr>
      <w:r w:rsidRPr="00711095">
        <w:rPr>
          <w:rFonts w:cs="Arial"/>
          <w:color w:val="000000" w:themeColor="text1"/>
        </w:rPr>
        <w:t>(614) 719-2850 (Direct Dial</w:t>
      </w:r>
      <w:r>
        <w:rPr>
          <w:rFonts w:cs="Arial"/>
          <w:color w:val="000000" w:themeColor="text1"/>
        </w:rPr>
        <w:t>—Scott Elisar</w:t>
      </w:r>
      <w:r w:rsidRPr="00711095">
        <w:rPr>
          <w:rFonts w:cs="Arial"/>
          <w:color w:val="000000" w:themeColor="text1"/>
        </w:rPr>
        <w:t>)</w:t>
      </w:r>
    </w:p>
    <w:p w:rsidR="00FB181C" w:rsidRPr="00711095" w:rsidRDefault="00FB181C" w:rsidP="00FB181C">
      <w:pPr>
        <w:spacing w:line="240" w:lineRule="auto"/>
        <w:ind w:left="4140"/>
        <w:rPr>
          <w:rFonts w:cs="Arial"/>
          <w:color w:val="000000" w:themeColor="text1"/>
        </w:rPr>
      </w:pPr>
      <w:r w:rsidRPr="00711095">
        <w:rPr>
          <w:rFonts w:cs="Arial"/>
          <w:color w:val="000000" w:themeColor="text1"/>
        </w:rPr>
        <w:lastRenderedPageBreak/>
        <w:t>(614) 469-4653 (Fax)</w:t>
      </w:r>
    </w:p>
    <w:p w:rsidR="00FB181C" w:rsidRPr="00711095" w:rsidRDefault="00FB181C" w:rsidP="00FB181C">
      <w:pPr>
        <w:spacing w:line="240" w:lineRule="auto"/>
        <w:ind w:left="4140"/>
        <w:rPr>
          <w:rFonts w:cs="Arial"/>
          <w:color w:val="000000" w:themeColor="text1"/>
        </w:rPr>
      </w:pPr>
      <w:r w:rsidRPr="00711095">
        <w:rPr>
          <w:rFonts w:cs="Arial"/>
        </w:rPr>
        <w:t>selisar@mwncmh.com</w:t>
      </w:r>
    </w:p>
    <w:p w:rsidR="00FB181C" w:rsidRDefault="00FB181C" w:rsidP="00FB181C">
      <w:pPr>
        <w:spacing w:line="240" w:lineRule="auto"/>
        <w:ind w:left="4140"/>
        <w:rPr>
          <w:rFonts w:cs="Arial"/>
          <w:color w:val="000000" w:themeColor="text1"/>
        </w:rPr>
      </w:pPr>
      <w:r w:rsidRPr="00711095">
        <w:rPr>
          <w:rFonts w:cs="Arial"/>
          <w:color w:val="000000" w:themeColor="text1"/>
        </w:rPr>
        <w:t>(willing to accept service via email)</w:t>
      </w:r>
    </w:p>
    <w:p w:rsidR="00FB181C" w:rsidRDefault="00FB181C" w:rsidP="00FB181C">
      <w:pPr>
        <w:spacing w:line="240" w:lineRule="auto"/>
        <w:ind w:left="4140"/>
        <w:rPr>
          <w:rFonts w:cs="Arial"/>
          <w:color w:val="000000" w:themeColor="text1"/>
        </w:rPr>
      </w:pPr>
      <w:r>
        <w:rPr>
          <w:rFonts w:cs="Arial"/>
          <w:color w:val="000000" w:themeColor="text1"/>
        </w:rPr>
        <w:t>mpritchard@mwncmh.com</w:t>
      </w:r>
    </w:p>
    <w:p w:rsidR="00FB181C" w:rsidRPr="00711095" w:rsidRDefault="00FB181C" w:rsidP="00FB181C">
      <w:pPr>
        <w:tabs>
          <w:tab w:val="left" w:pos="2520"/>
        </w:tabs>
        <w:spacing w:line="240" w:lineRule="auto"/>
        <w:ind w:left="4140"/>
        <w:rPr>
          <w:rFonts w:cs="Arial"/>
          <w:color w:val="000000" w:themeColor="text1"/>
        </w:rPr>
      </w:pPr>
      <w:r>
        <w:rPr>
          <w:rFonts w:cs="Arial"/>
          <w:color w:val="000000" w:themeColor="text1"/>
        </w:rPr>
        <w:t>(willing to accept service via email)</w:t>
      </w:r>
    </w:p>
    <w:p w:rsidR="00FB181C" w:rsidRDefault="00FB181C" w:rsidP="00FB181C">
      <w:pPr>
        <w:tabs>
          <w:tab w:val="left" w:pos="4140"/>
        </w:tabs>
        <w:spacing w:line="240" w:lineRule="auto"/>
        <w:rPr>
          <w:rFonts w:cs="Arial"/>
          <w:b/>
          <w:smallCaps/>
        </w:rPr>
      </w:pPr>
      <w:r w:rsidRPr="00711095">
        <w:rPr>
          <w:rFonts w:cs="Arial"/>
          <w:b/>
          <w:smallCaps/>
        </w:rPr>
        <w:tab/>
      </w:r>
    </w:p>
    <w:p w:rsidR="00FB181C" w:rsidRDefault="00FB181C" w:rsidP="00FB181C">
      <w:pPr>
        <w:tabs>
          <w:tab w:val="left" w:pos="4140"/>
        </w:tabs>
        <w:spacing w:line="240" w:lineRule="auto"/>
        <w:rPr>
          <w:rFonts w:cs="Arial"/>
          <w:b/>
          <w:smallCaps/>
        </w:rPr>
        <w:sectPr w:rsidR="00FB181C" w:rsidSect="00CE50E6">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r>
        <w:rPr>
          <w:rFonts w:cs="Arial"/>
          <w:b/>
          <w:smallCaps/>
        </w:rPr>
        <w:tab/>
      </w:r>
      <w:r w:rsidRPr="00711095">
        <w:rPr>
          <w:rFonts w:cs="Arial"/>
          <w:b/>
          <w:smallCaps/>
        </w:rPr>
        <w:t>Attorney</w:t>
      </w:r>
      <w:r>
        <w:rPr>
          <w:rFonts w:cs="Arial"/>
          <w:b/>
          <w:smallCaps/>
        </w:rPr>
        <w:t>s</w:t>
      </w:r>
      <w:r w:rsidRPr="00711095">
        <w:rPr>
          <w:rFonts w:cs="Arial"/>
          <w:b/>
          <w:smallCaps/>
        </w:rPr>
        <w:t xml:space="preserve"> for the Ohio Telecom Association</w:t>
      </w:r>
    </w:p>
    <w:p w:rsidR="00FB181C" w:rsidRPr="00EE2F48" w:rsidRDefault="00FB181C" w:rsidP="00FB181C">
      <w:pPr>
        <w:tabs>
          <w:tab w:val="left" w:pos="4140"/>
        </w:tabs>
        <w:spacing w:line="240" w:lineRule="auto"/>
        <w:jc w:val="center"/>
        <w:rPr>
          <w:rFonts w:ascii="Arial Bold" w:hAnsi="Arial Bold" w:cs="Arial"/>
          <w:b/>
          <w:bCs/>
          <w:iCs/>
          <w:caps/>
          <w:u w:val="single"/>
        </w:rPr>
      </w:pPr>
      <w:r w:rsidRPr="00EE2F48">
        <w:rPr>
          <w:rFonts w:ascii="Arial Bold" w:hAnsi="Arial Bold" w:cs="Arial"/>
          <w:b/>
          <w:bCs/>
          <w:iCs/>
          <w:caps/>
          <w:u w:val="single"/>
        </w:rPr>
        <w:lastRenderedPageBreak/>
        <w:t>Certificate of Service</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720"/>
          <w:tab w:val="left" w:pos="4140"/>
        </w:tabs>
        <w:jc w:val="both"/>
        <w:rPr>
          <w:rFonts w:cs="Arial"/>
        </w:rPr>
      </w:pPr>
      <w:r>
        <w:rPr>
          <w:rFonts w:cs="Arial"/>
        </w:rPr>
        <w:tab/>
      </w:r>
      <w:r w:rsidRPr="003E1154">
        <w:rPr>
          <w:rFonts w:cs="Arial"/>
        </w:rPr>
        <w:t>In accordance with Rule 4901-1-05, Ohio Ad</w:t>
      </w:r>
      <w:r>
        <w:rPr>
          <w:rFonts w:cs="Arial"/>
        </w:rPr>
        <w:t>ministrative Code, the PUCO's e-</w:t>
      </w:r>
      <w:r w:rsidRPr="003E1154">
        <w:rPr>
          <w:rFonts w:cs="Arial"/>
        </w:rPr>
        <w:t xml:space="preserve">filing system will electronically serve notice of the filing of this document upon the following parties.  In addition, I hereby certify that a service copy of the foregoing </w:t>
      </w:r>
      <w:r>
        <w:rPr>
          <w:rFonts w:cs="Arial"/>
          <w:i/>
        </w:rPr>
        <w:t>Reply Comments of the Ohio Telecom Association</w:t>
      </w:r>
      <w:r w:rsidRPr="003E1154">
        <w:rPr>
          <w:rFonts w:cs="Arial"/>
          <w:i/>
          <w:iCs/>
        </w:rPr>
        <w:t xml:space="preserve"> </w:t>
      </w:r>
      <w:r w:rsidRPr="003E1154">
        <w:rPr>
          <w:rFonts w:cs="Arial"/>
        </w:rPr>
        <w:t>was sent by, or on behalf of, the undersigned counsel for Ohio Telecom Association to the fol</w:t>
      </w:r>
      <w:r>
        <w:rPr>
          <w:rFonts w:cs="Arial"/>
        </w:rPr>
        <w:t>lowing parties of record this 9th</w:t>
      </w:r>
      <w:r w:rsidRPr="003E1154">
        <w:rPr>
          <w:rFonts w:cs="Arial"/>
        </w:rPr>
        <w:t xml:space="preserve"> day </w:t>
      </w:r>
      <w:r>
        <w:rPr>
          <w:rFonts w:cs="Arial"/>
        </w:rPr>
        <w:t>of November 2015</w:t>
      </w:r>
      <w:r w:rsidRPr="003E1154">
        <w:rPr>
          <w:rFonts w:cs="Arial"/>
        </w:rPr>
        <w:t xml:space="preserve">, </w:t>
      </w:r>
      <w:r w:rsidRPr="003E1154">
        <w:rPr>
          <w:rFonts w:cs="Arial"/>
          <w:i/>
        </w:rPr>
        <w:t>via</w:t>
      </w:r>
      <w:r w:rsidRPr="003E1154">
        <w:rPr>
          <w:rFonts w:cs="Arial"/>
        </w:rPr>
        <w:t xml:space="preserve"> electronic transmission.</w:t>
      </w:r>
    </w:p>
    <w:p w:rsidR="00FB181C" w:rsidRPr="003E1154" w:rsidRDefault="00FB181C" w:rsidP="00FB181C">
      <w:pPr>
        <w:tabs>
          <w:tab w:val="left" w:pos="4140"/>
        </w:tabs>
        <w:spacing w:line="240" w:lineRule="auto"/>
        <w:rPr>
          <w:rFonts w:cs="Arial"/>
          <w:u w:val="single"/>
        </w:rPr>
      </w:pPr>
      <w:r>
        <w:rPr>
          <w:rFonts w:cs="Arial"/>
        </w:rPr>
        <w:tab/>
      </w:r>
      <w:r>
        <w:rPr>
          <w:rFonts w:cs="Arial"/>
        </w:rPr>
        <w:tab/>
      </w:r>
      <w:r>
        <w:rPr>
          <w:rFonts w:cs="Arial"/>
        </w:rPr>
        <w:tab/>
      </w:r>
      <w:r>
        <w:rPr>
          <w:rFonts w:cs="Arial"/>
        </w:rPr>
        <w:tab/>
      </w:r>
      <w:r w:rsidRPr="003E1154">
        <w:rPr>
          <w:rFonts w:cs="Arial"/>
          <w:u w:val="single"/>
        </w:rPr>
        <w:t>/s/ Scott E. Elisar</w:t>
      </w:r>
      <w:r w:rsidRPr="003E1154">
        <w:rPr>
          <w:rFonts w:cs="Arial"/>
          <w:u w:val="single"/>
        </w:rPr>
        <w:tab/>
      </w:r>
      <w:r w:rsidRPr="003E1154">
        <w:rPr>
          <w:rFonts w:cs="Arial"/>
          <w:u w:val="single"/>
        </w:rPr>
        <w:tab/>
      </w:r>
      <w:r w:rsidRPr="003E1154">
        <w:rPr>
          <w:rFonts w:cs="Arial"/>
          <w:u w:val="single"/>
        </w:rPr>
        <w:tab/>
      </w:r>
    </w:p>
    <w:p w:rsidR="00FB181C" w:rsidRDefault="00FB181C" w:rsidP="00FB181C">
      <w:pPr>
        <w:tabs>
          <w:tab w:val="left" w:pos="4140"/>
        </w:tabs>
        <w:spacing w:line="240" w:lineRule="auto"/>
        <w:rPr>
          <w:rFonts w:cs="Arial"/>
        </w:rPr>
        <w:sectPr w:rsidR="00FB181C" w:rsidSect="00C0405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titlePg/>
          <w:docGrid w:linePitch="360"/>
        </w:sectPr>
      </w:pPr>
      <w:r>
        <w:rPr>
          <w:rFonts w:cs="Arial"/>
        </w:rPr>
        <w:tab/>
      </w:r>
      <w:r>
        <w:rPr>
          <w:rFonts w:cs="Arial"/>
        </w:rPr>
        <w:tab/>
      </w:r>
      <w:r>
        <w:rPr>
          <w:rFonts w:cs="Arial"/>
        </w:rPr>
        <w:tab/>
      </w:r>
      <w:r>
        <w:rPr>
          <w:rFonts w:cs="Arial"/>
        </w:rPr>
        <w:tab/>
      </w:r>
      <w:r w:rsidRPr="003E1154">
        <w:rPr>
          <w:rFonts w:cs="Arial"/>
        </w:rPr>
        <w:t>Scott E. Elisar</w:t>
      </w:r>
    </w:p>
    <w:p w:rsidR="00FB181C" w:rsidRDefault="00FB181C" w:rsidP="00FB181C">
      <w:pPr>
        <w:tabs>
          <w:tab w:val="left" w:pos="4140"/>
        </w:tabs>
        <w:spacing w:line="240" w:lineRule="auto"/>
        <w:rPr>
          <w:rFonts w:cs="Arial"/>
        </w:rPr>
      </w:pPr>
    </w:p>
    <w:p w:rsidR="00FB181C" w:rsidRDefault="00FB181C" w:rsidP="00FB181C">
      <w:pPr>
        <w:tabs>
          <w:tab w:val="left" w:pos="4140"/>
        </w:tabs>
        <w:spacing w:line="240" w:lineRule="auto"/>
        <w:rPr>
          <w:rFonts w:cs="Arial"/>
        </w:rPr>
      </w:pPr>
      <w:r>
        <w:rPr>
          <w:rFonts w:cs="Arial"/>
        </w:rPr>
        <w:t>Douglas W. Trabaris</w:t>
      </w:r>
    </w:p>
    <w:p w:rsidR="00FB181C" w:rsidRDefault="00FB181C" w:rsidP="00FB181C">
      <w:pPr>
        <w:tabs>
          <w:tab w:val="left" w:pos="4140"/>
        </w:tabs>
        <w:spacing w:line="240" w:lineRule="auto"/>
        <w:rPr>
          <w:rFonts w:cs="Arial"/>
        </w:rPr>
      </w:pPr>
      <w:r>
        <w:rPr>
          <w:rFonts w:cs="Arial"/>
        </w:rPr>
        <w:t>AT&amp;T Ohio</w:t>
      </w:r>
    </w:p>
    <w:p w:rsidR="00FB181C" w:rsidRDefault="00FB181C" w:rsidP="00FB181C">
      <w:pPr>
        <w:tabs>
          <w:tab w:val="left" w:pos="4140"/>
        </w:tabs>
        <w:spacing w:line="240" w:lineRule="auto"/>
        <w:rPr>
          <w:rFonts w:cs="Arial"/>
        </w:rPr>
      </w:pPr>
      <w:r>
        <w:rPr>
          <w:rFonts w:cs="Arial"/>
        </w:rPr>
        <w:t>225 West Randolph Street, Floor 25D</w:t>
      </w:r>
    </w:p>
    <w:p w:rsidR="00FB181C" w:rsidRDefault="00FB181C" w:rsidP="00FB181C">
      <w:pPr>
        <w:tabs>
          <w:tab w:val="left" w:pos="4140"/>
        </w:tabs>
        <w:spacing w:line="240" w:lineRule="auto"/>
        <w:rPr>
          <w:rFonts w:cs="Arial"/>
        </w:rPr>
      </w:pPr>
      <w:r>
        <w:rPr>
          <w:rFonts w:cs="Arial"/>
        </w:rPr>
        <w:t>Chicago, Illinois  60606</w:t>
      </w:r>
    </w:p>
    <w:p w:rsidR="00FB181C" w:rsidRPr="003E1154" w:rsidRDefault="00FB181C" w:rsidP="00FB181C">
      <w:pPr>
        <w:tabs>
          <w:tab w:val="left" w:pos="4140"/>
        </w:tabs>
        <w:spacing w:line="240" w:lineRule="auto"/>
        <w:rPr>
          <w:rFonts w:cs="Arial"/>
        </w:rPr>
      </w:pPr>
      <w:r>
        <w:rPr>
          <w:rFonts w:cs="Arial"/>
        </w:rPr>
        <w:t>Dt1329@att.com</w:t>
      </w:r>
    </w:p>
    <w:p w:rsidR="00FB181C" w:rsidRDefault="00FB181C" w:rsidP="00FB181C">
      <w:pPr>
        <w:tabs>
          <w:tab w:val="left" w:pos="4140"/>
        </w:tabs>
        <w:spacing w:line="240" w:lineRule="auto"/>
        <w:rPr>
          <w:rFonts w:cs="Arial"/>
        </w:rPr>
      </w:pPr>
    </w:p>
    <w:p w:rsidR="00FB181C" w:rsidRPr="00D2489F" w:rsidRDefault="00FB181C" w:rsidP="00FB181C">
      <w:pPr>
        <w:spacing w:line="240" w:lineRule="auto"/>
        <w:rPr>
          <w:rFonts w:eastAsia="Calibri" w:cs="Arial"/>
        </w:rPr>
      </w:pPr>
      <w:r w:rsidRPr="00D2489F">
        <w:rPr>
          <w:rFonts w:eastAsia="Calibri" w:cs="Arial"/>
        </w:rPr>
        <w:t>Mark Ortlieb</w:t>
      </w:r>
    </w:p>
    <w:p w:rsidR="00FB181C" w:rsidRPr="00D2489F" w:rsidRDefault="00FB181C" w:rsidP="00FB181C">
      <w:pPr>
        <w:spacing w:line="240" w:lineRule="auto"/>
        <w:rPr>
          <w:rFonts w:eastAsia="Calibri" w:cs="Arial"/>
        </w:rPr>
      </w:pPr>
      <w:r w:rsidRPr="00D2489F">
        <w:rPr>
          <w:rFonts w:eastAsia="Calibri" w:cs="Arial"/>
        </w:rPr>
        <w:t>General Attorney</w:t>
      </w:r>
    </w:p>
    <w:p w:rsidR="00FB181C" w:rsidRPr="00D2489F" w:rsidRDefault="00FB181C" w:rsidP="00FB181C">
      <w:pPr>
        <w:spacing w:line="240" w:lineRule="auto"/>
        <w:rPr>
          <w:rFonts w:eastAsia="Calibri" w:cs="Arial"/>
        </w:rPr>
      </w:pPr>
      <w:r w:rsidRPr="00D2489F">
        <w:rPr>
          <w:rFonts w:eastAsia="Calibri" w:cs="Arial"/>
        </w:rPr>
        <w:t>AT&amp;T Services</w:t>
      </w:r>
    </w:p>
    <w:p w:rsidR="00FB181C" w:rsidRPr="00D2489F" w:rsidRDefault="00FB181C" w:rsidP="00FB181C">
      <w:pPr>
        <w:spacing w:line="240" w:lineRule="auto"/>
        <w:rPr>
          <w:rFonts w:eastAsia="Calibri" w:cs="Arial"/>
        </w:rPr>
      </w:pPr>
      <w:r w:rsidRPr="00D2489F">
        <w:rPr>
          <w:rFonts w:eastAsia="Calibri" w:cs="Arial"/>
        </w:rPr>
        <w:t>225 West Randolph, Suite 2500</w:t>
      </w:r>
    </w:p>
    <w:p w:rsidR="00FB181C" w:rsidRPr="00D2489F" w:rsidRDefault="00FB181C" w:rsidP="00FB181C">
      <w:pPr>
        <w:spacing w:line="240" w:lineRule="auto"/>
        <w:rPr>
          <w:rFonts w:eastAsia="Calibri" w:cs="Arial"/>
        </w:rPr>
      </w:pPr>
      <w:r w:rsidRPr="00D2489F">
        <w:rPr>
          <w:rFonts w:eastAsia="Calibri" w:cs="Arial"/>
        </w:rPr>
        <w:t>Chicago, Illinois 60606</w:t>
      </w:r>
    </w:p>
    <w:p w:rsidR="00FB181C" w:rsidRPr="00D2489F" w:rsidRDefault="00EB6564" w:rsidP="00FB181C">
      <w:pPr>
        <w:spacing w:line="240" w:lineRule="auto"/>
        <w:rPr>
          <w:rFonts w:eastAsia="Calibri" w:cs="Arial"/>
        </w:rPr>
      </w:pPr>
      <w:hyperlink r:id="rId25" w:history="1">
        <w:r w:rsidR="00FB181C" w:rsidRPr="00D2489F">
          <w:rPr>
            <w:rFonts w:eastAsia="Calibri" w:cs="Arial"/>
          </w:rPr>
          <w:t>mark.ortlieb@att.com</w:t>
        </w:r>
      </w:hyperlink>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rPr>
      </w:pPr>
      <w:r w:rsidRPr="003E1154">
        <w:rPr>
          <w:rFonts w:cs="Arial"/>
          <w:b/>
        </w:rPr>
        <w:t>On Behalf of AT&amp;T Services, Inc</w:t>
      </w:r>
      <w:r w:rsidRPr="003E1154">
        <w:rPr>
          <w:rFonts w:cs="Arial"/>
        </w:rPr>
        <w:t>.</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rPr>
      </w:pPr>
      <w:r w:rsidRPr="003E1154">
        <w:rPr>
          <w:rFonts w:cs="Arial"/>
        </w:rPr>
        <w:t>Benita Kahn</w:t>
      </w:r>
    </w:p>
    <w:p w:rsidR="00FB181C" w:rsidRPr="003E1154" w:rsidRDefault="00FB181C" w:rsidP="00FB181C">
      <w:pPr>
        <w:tabs>
          <w:tab w:val="left" w:pos="4140"/>
        </w:tabs>
        <w:spacing w:line="240" w:lineRule="auto"/>
        <w:rPr>
          <w:rFonts w:cs="Arial"/>
        </w:rPr>
      </w:pPr>
      <w:r w:rsidRPr="003E1154">
        <w:rPr>
          <w:rFonts w:cs="Arial"/>
        </w:rPr>
        <w:t>Stephen M. Howard</w:t>
      </w:r>
    </w:p>
    <w:p w:rsidR="00FB181C" w:rsidRPr="003E1154" w:rsidRDefault="00FB181C" w:rsidP="00FB181C">
      <w:pPr>
        <w:tabs>
          <w:tab w:val="left" w:pos="4140"/>
        </w:tabs>
        <w:spacing w:line="240" w:lineRule="auto"/>
        <w:rPr>
          <w:rFonts w:cs="Arial"/>
        </w:rPr>
      </w:pPr>
      <w:r w:rsidRPr="003E1154">
        <w:rPr>
          <w:rFonts w:cs="Arial"/>
        </w:rPr>
        <w:t>Vorys, Sater, Seymour and Pease LLP</w:t>
      </w:r>
    </w:p>
    <w:p w:rsidR="00FB181C" w:rsidRPr="003E1154" w:rsidRDefault="00FB181C" w:rsidP="00FB181C">
      <w:pPr>
        <w:tabs>
          <w:tab w:val="left" w:pos="4140"/>
        </w:tabs>
        <w:spacing w:line="240" w:lineRule="auto"/>
        <w:rPr>
          <w:rFonts w:cs="Arial"/>
        </w:rPr>
      </w:pPr>
      <w:r w:rsidRPr="003E1154">
        <w:rPr>
          <w:rFonts w:cs="Arial"/>
        </w:rPr>
        <w:t>52 East Gay Street</w:t>
      </w:r>
    </w:p>
    <w:p w:rsidR="00FB181C" w:rsidRPr="003E1154" w:rsidRDefault="00FB181C" w:rsidP="00FB181C">
      <w:pPr>
        <w:tabs>
          <w:tab w:val="left" w:pos="4140"/>
        </w:tabs>
        <w:spacing w:line="240" w:lineRule="auto"/>
        <w:rPr>
          <w:rFonts w:cs="Arial"/>
        </w:rPr>
      </w:pPr>
      <w:r w:rsidRPr="003E1154">
        <w:rPr>
          <w:rFonts w:cs="Arial"/>
        </w:rPr>
        <w:t>Columbus, Ohio 43216</w:t>
      </w:r>
    </w:p>
    <w:p w:rsidR="00FB181C" w:rsidRPr="003E1154" w:rsidRDefault="00FB181C" w:rsidP="00FB181C">
      <w:pPr>
        <w:tabs>
          <w:tab w:val="left" w:pos="4140"/>
        </w:tabs>
        <w:spacing w:line="240" w:lineRule="auto"/>
        <w:rPr>
          <w:rFonts w:cs="Arial"/>
        </w:rPr>
      </w:pPr>
      <w:r w:rsidRPr="003E1154">
        <w:rPr>
          <w:rFonts w:cs="Arial"/>
        </w:rPr>
        <w:t>bakahn@vorys.com</w:t>
      </w:r>
    </w:p>
    <w:p w:rsidR="00FB181C" w:rsidRDefault="00FB181C" w:rsidP="00FB181C">
      <w:pPr>
        <w:tabs>
          <w:tab w:val="left" w:pos="4140"/>
        </w:tabs>
        <w:spacing w:line="240" w:lineRule="auto"/>
        <w:rPr>
          <w:rFonts w:cs="Arial"/>
        </w:rPr>
      </w:pPr>
      <w:r w:rsidRPr="00FB181C">
        <w:rPr>
          <w:rFonts w:cs="Arial"/>
        </w:rPr>
        <w:t>smhoward@vorys.com</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b/>
        </w:rPr>
      </w:pPr>
      <w:r w:rsidRPr="003E1154">
        <w:rPr>
          <w:rFonts w:cs="Arial"/>
          <w:b/>
        </w:rPr>
        <w:t>On Behalf of the Ohio Cable Telecommunications Association</w:t>
      </w:r>
    </w:p>
    <w:p w:rsidR="00FB181C" w:rsidRDefault="00FB181C" w:rsidP="00FB181C">
      <w:pPr>
        <w:tabs>
          <w:tab w:val="left" w:pos="4140"/>
        </w:tabs>
        <w:spacing w:line="240" w:lineRule="auto"/>
        <w:rPr>
          <w:rFonts w:cs="Arial"/>
          <w:b/>
        </w:rPr>
      </w:pPr>
    </w:p>
    <w:p w:rsidR="00FB181C" w:rsidRPr="003E1154" w:rsidRDefault="00FB181C" w:rsidP="00FB181C">
      <w:pPr>
        <w:tabs>
          <w:tab w:val="left" w:pos="4140"/>
        </w:tabs>
        <w:spacing w:line="240" w:lineRule="auto"/>
        <w:rPr>
          <w:rFonts w:cs="Arial"/>
          <w:b/>
        </w:rPr>
      </w:pPr>
    </w:p>
    <w:p w:rsidR="00FB181C" w:rsidRDefault="00FB181C" w:rsidP="00FB181C">
      <w:pPr>
        <w:tabs>
          <w:tab w:val="left" w:pos="4140"/>
        </w:tabs>
        <w:spacing w:line="240" w:lineRule="auto"/>
        <w:rPr>
          <w:rFonts w:cs="Arial"/>
        </w:rPr>
      </w:pPr>
    </w:p>
    <w:p w:rsidR="00FB181C" w:rsidRDefault="00FB181C" w:rsidP="00FB181C">
      <w:pPr>
        <w:tabs>
          <w:tab w:val="left" w:pos="4140"/>
        </w:tabs>
        <w:spacing w:line="240" w:lineRule="auto"/>
        <w:rPr>
          <w:rFonts w:cs="Arial"/>
        </w:rPr>
      </w:pPr>
    </w:p>
    <w:p w:rsidR="00FB181C"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rPr>
      </w:pPr>
      <w:r w:rsidRPr="003E1154">
        <w:rPr>
          <w:rFonts w:cs="Arial"/>
        </w:rPr>
        <w:t>Patrick M. Crotty</w:t>
      </w:r>
    </w:p>
    <w:p w:rsidR="00FB181C" w:rsidRPr="003E1154" w:rsidRDefault="00FB181C" w:rsidP="00FB181C">
      <w:pPr>
        <w:tabs>
          <w:tab w:val="left" w:pos="4140"/>
        </w:tabs>
        <w:spacing w:line="240" w:lineRule="auto"/>
        <w:rPr>
          <w:rFonts w:cs="Arial"/>
        </w:rPr>
      </w:pPr>
      <w:r w:rsidRPr="003E1154">
        <w:rPr>
          <w:rFonts w:cs="Arial"/>
        </w:rPr>
        <w:t>Cincinnati Bell Telephone Co. LLC</w:t>
      </w:r>
    </w:p>
    <w:p w:rsidR="00FB181C" w:rsidRPr="003E1154" w:rsidRDefault="00FB181C" w:rsidP="00FB181C">
      <w:pPr>
        <w:tabs>
          <w:tab w:val="left" w:pos="4140"/>
        </w:tabs>
        <w:spacing w:line="240" w:lineRule="auto"/>
        <w:rPr>
          <w:rFonts w:cs="Arial"/>
        </w:rPr>
      </w:pPr>
      <w:r w:rsidRPr="003E1154">
        <w:rPr>
          <w:rFonts w:cs="Arial"/>
        </w:rPr>
        <w:t>221 East Fourth Street, Suite 1090</w:t>
      </w:r>
    </w:p>
    <w:p w:rsidR="00FB181C" w:rsidRPr="003E1154" w:rsidRDefault="00FB181C" w:rsidP="00FB181C">
      <w:pPr>
        <w:tabs>
          <w:tab w:val="left" w:pos="4140"/>
        </w:tabs>
        <w:spacing w:line="240" w:lineRule="auto"/>
        <w:rPr>
          <w:rFonts w:cs="Arial"/>
        </w:rPr>
      </w:pPr>
      <w:r w:rsidRPr="003E1154">
        <w:rPr>
          <w:rFonts w:cs="Arial"/>
        </w:rPr>
        <w:t>Cincinnati, Ohio  45202</w:t>
      </w:r>
    </w:p>
    <w:p w:rsidR="00FB181C" w:rsidRDefault="00FB181C" w:rsidP="00FB181C">
      <w:pPr>
        <w:tabs>
          <w:tab w:val="left" w:pos="4140"/>
        </w:tabs>
        <w:spacing w:line="240" w:lineRule="auto"/>
        <w:rPr>
          <w:rFonts w:cs="Arial"/>
        </w:rPr>
      </w:pPr>
      <w:r w:rsidRPr="00FB181C">
        <w:rPr>
          <w:rFonts w:cs="Arial"/>
        </w:rPr>
        <w:t>Patrick.crotty@cinbell.com</w:t>
      </w:r>
    </w:p>
    <w:p w:rsidR="0085765B" w:rsidRDefault="0085765B" w:rsidP="00FB181C">
      <w:pPr>
        <w:tabs>
          <w:tab w:val="left" w:pos="4140"/>
        </w:tabs>
        <w:spacing w:line="240" w:lineRule="auto"/>
        <w:rPr>
          <w:rFonts w:cs="Arial"/>
        </w:rPr>
      </w:pPr>
    </w:p>
    <w:p w:rsidR="0085765B" w:rsidRDefault="0085765B" w:rsidP="00FB181C">
      <w:pPr>
        <w:tabs>
          <w:tab w:val="left" w:pos="4140"/>
        </w:tabs>
        <w:spacing w:line="240" w:lineRule="auto"/>
        <w:rPr>
          <w:rFonts w:cs="Arial"/>
        </w:rPr>
      </w:pPr>
      <w:r>
        <w:rPr>
          <w:rFonts w:cs="Arial"/>
        </w:rPr>
        <w:t>Douglas E. Hart</w:t>
      </w:r>
    </w:p>
    <w:p w:rsidR="0085765B" w:rsidRPr="003E1154" w:rsidRDefault="0085765B" w:rsidP="0085765B">
      <w:pPr>
        <w:tabs>
          <w:tab w:val="left" w:pos="4140"/>
        </w:tabs>
        <w:spacing w:line="240" w:lineRule="auto"/>
        <w:rPr>
          <w:rFonts w:cs="Arial"/>
        </w:rPr>
      </w:pPr>
      <w:r w:rsidRPr="003E1154">
        <w:rPr>
          <w:rFonts w:cs="Arial"/>
        </w:rPr>
        <w:t>Cincinnati Bell Telephone Co. LLC</w:t>
      </w:r>
    </w:p>
    <w:p w:rsidR="0085765B" w:rsidRDefault="0085765B" w:rsidP="00FB181C">
      <w:pPr>
        <w:tabs>
          <w:tab w:val="left" w:pos="4140"/>
        </w:tabs>
        <w:spacing w:line="240" w:lineRule="auto"/>
        <w:rPr>
          <w:rFonts w:cs="Arial"/>
        </w:rPr>
      </w:pPr>
      <w:r>
        <w:rPr>
          <w:rFonts w:cs="Arial"/>
        </w:rPr>
        <w:t>441 Vine Street, Suite 4192</w:t>
      </w:r>
    </w:p>
    <w:p w:rsidR="0085765B" w:rsidRDefault="0085765B" w:rsidP="00FB181C">
      <w:pPr>
        <w:tabs>
          <w:tab w:val="left" w:pos="4140"/>
        </w:tabs>
        <w:spacing w:line="240" w:lineRule="auto"/>
        <w:rPr>
          <w:rFonts w:cs="Arial"/>
        </w:rPr>
      </w:pPr>
      <w:r>
        <w:rPr>
          <w:rFonts w:cs="Arial"/>
        </w:rPr>
        <w:t>Cincinnati, Ohio  45202</w:t>
      </w:r>
    </w:p>
    <w:p w:rsidR="0085765B" w:rsidRDefault="0085765B" w:rsidP="00FB181C">
      <w:pPr>
        <w:tabs>
          <w:tab w:val="left" w:pos="4140"/>
        </w:tabs>
        <w:spacing w:line="240" w:lineRule="auto"/>
        <w:rPr>
          <w:rFonts w:cs="Arial"/>
        </w:rPr>
      </w:pPr>
      <w:r>
        <w:rPr>
          <w:rFonts w:cs="Arial"/>
        </w:rPr>
        <w:t>dhart@dougleshart.com</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b/>
        </w:rPr>
      </w:pPr>
      <w:r w:rsidRPr="003E1154">
        <w:rPr>
          <w:rFonts w:cs="Arial"/>
          <w:b/>
        </w:rPr>
        <w:t>On Behalf of Cincinnati Bell Telephone Co. LLC</w:t>
      </w:r>
    </w:p>
    <w:p w:rsidR="00FB181C" w:rsidRPr="003E1154" w:rsidRDefault="00FB181C" w:rsidP="00FB181C">
      <w:pPr>
        <w:tabs>
          <w:tab w:val="left" w:pos="4140"/>
        </w:tabs>
        <w:spacing w:line="240" w:lineRule="auto"/>
        <w:rPr>
          <w:rFonts w:cs="Arial"/>
          <w:b/>
        </w:rPr>
      </w:pPr>
    </w:p>
    <w:p w:rsidR="00FB181C" w:rsidRPr="003E1154" w:rsidRDefault="00FB181C" w:rsidP="00FB181C">
      <w:pPr>
        <w:tabs>
          <w:tab w:val="left" w:pos="4140"/>
        </w:tabs>
        <w:spacing w:line="240" w:lineRule="auto"/>
        <w:rPr>
          <w:rFonts w:cs="Arial"/>
        </w:rPr>
      </w:pPr>
      <w:r w:rsidRPr="003E1154">
        <w:rPr>
          <w:rFonts w:cs="Arial"/>
        </w:rPr>
        <w:t>Ellis Jacobs</w:t>
      </w:r>
    </w:p>
    <w:p w:rsidR="00FB181C" w:rsidRPr="003E1154" w:rsidRDefault="00FB181C" w:rsidP="00FB181C">
      <w:pPr>
        <w:tabs>
          <w:tab w:val="left" w:pos="4140"/>
        </w:tabs>
        <w:spacing w:line="240" w:lineRule="auto"/>
        <w:rPr>
          <w:rFonts w:cs="Arial"/>
        </w:rPr>
      </w:pPr>
      <w:r w:rsidRPr="003E1154">
        <w:rPr>
          <w:rFonts w:cs="Arial"/>
        </w:rPr>
        <w:t>Advocates for Basic Legal Equality Inc.</w:t>
      </w:r>
    </w:p>
    <w:p w:rsidR="00FB181C" w:rsidRPr="003E1154" w:rsidRDefault="00FB181C" w:rsidP="00FB181C">
      <w:pPr>
        <w:tabs>
          <w:tab w:val="left" w:pos="4140"/>
        </w:tabs>
        <w:spacing w:line="240" w:lineRule="auto"/>
        <w:rPr>
          <w:rFonts w:cs="Arial"/>
        </w:rPr>
      </w:pPr>
      <w:r w:rsidRPr="003E1154">
        <w:rPr>
          <w:rFonts w:cs="Arial"/>
        </w:rPr>
        <w:t>130 West Second St., Suite 700 East</w:t>
      </w:r>
    </w:p>
    <w:p w:rsidR="00FB181C" w:rsidRPr="003E1154" w:rsidRDefault="00FB181C" w:rsidP="00FB181C">
      <w:pPr>
        <w:tabs>
          <w:tab w:val="left" w:pos="4140"/>
        </w:tabs>
        <w:spacing w:line="240" w:lineRule="auto"/>
        <w:rPr>
          <w:rFonts w:cs="Arial"/>
        </w:rPr>
      </w:pPr>
      <w:r w:rsidRPr="003E1154">
        <w:rPr>
          <w:rFonts w:cs="Arial"/>
        </w:rPr>
        <w:t>Dayton, Ohio 45402</w:t>
      </w:r>
    </w:p>
    <w:p w:rsidR="00FB181C" w:rsidRPr="003E1154" w:rsidRDefault="00FB181C" w:rsidP="00FB181C">
      <w:pPr>
        <w:tabs>
          <w:tab w:val="left" w:pos="4140"/>
        </w:tabs>
        <w:spacing w:line="240" w:lineRule="auto"/>
        <w:rPr>
          <w:rFonts w:cs="Arial"/>
        </w:rPr>
      </w:pPr>
      <w:r w:rsidRPr="003E1154">
        <w:rPr>
          <w:rFonts w:cs="Arial"/>
        </w:rPr>
        <w:t>ejacobs@ablelaw.org</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b/>
        </w:rPr>
      </w:pPr>
      <w:r w:rsidRPr="003E1154">
        <w:rPr>
          <w:rFonts w:cs="Arial"/>
          <w:b/>
        </w:rPr>
        <w:t>On Behalf of Edgemont Neighborhood Coalition</w:t>
      </w:r>
    </w:p>
    <w:p w:rsidR="00FB181C" w:rsidRDefault="00FB181C" w:rsidP="00FB181C">
      <w:pPr>
        <w:tabs>
          <w:tab w:val="left" w:pos="4140"/>
        </w:tabs>
        <w:spacing w:line="240" w:lineRule="auto"/>
        <w:rPr>
          <w:rFonts w:cs="Arial"/>
          <w:b/>
        </w:rPr>
      </w:pPr>
    </w:p>
    <w:p w:rsidR="002B1EF7" w:rsidRDefault="002B1EF7" w:rsidP="00FB181C">
      <w:pPr>
        <w:tabs>
          <w:tab w:val="left" w:pos="4140"/>
        </w:tabs>
        <w:spacing w:line="240" w:lineRule="auto"/>
        <w:rPr>
          <w:rFonts w:cs="Arial"/>
          <w:b/>
        </w:rPr>
      </w:pPr>
    </w:p>
    <w:p w:rsidR="002B1EF7" w:rsidRDefault="002B1EF7" w:rsidP="00FB181C">
      <w:pPr>
        <w:tabs>
          <w:tab w:val="left" w:pos="4140"/>
        </w:tabs>
        <w:spacing w:line="240" w:lineRule="auto"/>
        <w:rPr>
          <w:rFonts w:cs="Arial"/>
          <w:b/>
        </w:rPr>
      </w:pPr>
    </w:p>
    <w:p w:rsidR="002B1EF7" w:rsidRDefault="002B1EF7" w:rsidP="00FB181C">
      <w:pPr>
        <w:tabs>
          <w:tab w:val="left" w:pos="4140"/>
        </w:tabs>
        <w:spacing w:line="240" w:lineRule="auto"/>
        <w:rPr>
          <w:rFonts w:cs="Arial"/>
          <w:b/>
        </w:rPr>
      </w:pPr>
    </w:p>
    <w:p w:rsidR="002B1EF7" w:rsidRDefault="002B1EF7" w:rsidP="00FB181C">
      <w:pPr>
        <w:tabs>
          <w:tab w:val="left" w:pos="4140"/>
        </w:tabs>
        <w:spacing w:line="240" w:lineRule="auto"/>
        <w:rPr>
          <w:rFonts w:cs="Arial"/>
          <w:b/>
        </w:rPr>
      </w:pPr>
    </w:p>
    <w:p w:rsidR="002B1EF7" w:rsidRPr="003E1154" w:rsidRDefault="002B1EF7" w:rsidP="00FB181C">
      <w:pPr>
        <w:tabs>
          <w:tab w:val="left" w:pos="4140"/>
        </w:tabs>
        <w:spacing w:line="240" w:lineRule="auto"/>
        <w:rPr>
          <w:rFonts w:cs="Arial"/>
          <w:b/>
        </w:rPr>
      </w:pPr>
    </w:p>
    <w:p w:rsidR="00FB181C" w:rsidRPr="003E1154" w:rsidRDefault="00FB181C" w:rsidP="00FB181C">
      <w:pPr>
        <w:tabs>
          <w:tab w:val="left" w:pos="4140"/>
        </w:tabs>
        <w:spacing w:line="240" w:lineRule="auto"/>
        <w:rPr>
          <w:rFonts w:cs="Arial"/>
        </w:rPr>
      </w:pPr>
      <w:r w:rsidRPr="003E1154">
        <w:rPr>
          <w:rFonts w:cs="Arial"/>
        </w:rPr>
        <w:lastRenderedPageBreak/>
        <w:t>Noel M. Morgan</w:t>
      </w:r>
    </w:p>
    <w:p w:rsidR="00FB181C" w:rsidRPr="003E1154" w:rsidRDefault="00FB181C" w:rsidP="00FB181C">
      <w:pPr>
        <w:tabs>
          <w:tab w:val="left" w:pos="4140"/>
        </w:tabs>
        <w:spacing w:line="240" w:lineRule="auto"/>
        <w:rPr>
          <w:rFonts w:cs="Arial"/>
        </w:rPr>
      </w:pPr>
      <w:r w:rsidRPr="003E1154">
        <w:rPr>
          <w:rFonts w:cs="Arial"/>
        </w:rPr>
        <w:t xml:space="preserve">Legal Aid Society of Southwest Ohio </w:t>
      </w:r>
      <w:bookmarkStart w:id="12" w:name="_GoBack"/>
      <w:bookmarkEnd w:id="12"/>
      <w:r w:rsidRPr="003E1154">
        <w:rPr>
          <w:rFonts w:cs="Arial"/>
        </w:rPr>
        <w:t>LLC</w:t>
      </w:r>
    </w:p>
    <w:p w:rsidR="00FB181C" w:rsidRPr="003E1154" w:rsidRDefault="00FB181C" w:rsidP="00FB181C">
      <w:pPr>
        <w:tabs>
          <w:tab w:val="left" w:pos="4140"/>
        </w:tabs>
        <w:spacing w:line="240" w:lineRule="auto"/>
        <w:rPr>
          <w:rFonts w:cs="Arial"/>
        </w:rPr>
      </w:pPr>
      <w:r w:rsidRPr="003E1154">
        <w:rPr>
          <w:rFonts w:cs="Arial"/>
        </w:rPr>
        <w:t>215 E. Ninth St.</w:t>
      </w:r>
    </w:p>
    <w:p w:rsidR="00FB181C" w:rsidRPr="003E1154" w:rsidRDefault="00FB181C" w:rsidP="00FB181C">
      <w:pPr>
        <w:tabs>
          <w:tab w:val="left" w:pos="4140"/>
        </w:tabs>
        <w:spacing w:line="240" w:lineRule="auto"/>
        <w:rPr>
          <w:rFonts w:cs="Arial"/>
        </w:rPr>
      </w:pPr>
      <w:r w:rsidRPr="003E1154">
        <w:rPr>
          <w:rFonts w:cs="Arial"/>
        </w:rPr>
        <w:t>Cincinnati, Ohio 45202</w:t>
      </w:r>
    </w:p>
    <w:p w:rsidR="00FB181C" w:rsidRPr="003E1154" w:rsidRDefault="00FB181C" w:rsidP="00FB181C">
      <w:pPr>
        <w:tabs>
          <w:tab w:val="left" w:pos="4140"/>
        </w:tabs>
        <w:spacing w:line="240" w:lineRule="auto"/>
        <w:rPr>
          <w:rFonts w:cs="Arial"/>
        </w:rPr>
      </w:pPr>
      <w:r w:rsidRPr="003E1154">
        <w:rPr>
          <w:rFonts w:cs="Arial"/>
        </w:rPr>
        <w:t>nmorgan@lascinti.org</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b/>
        </w:rPr>
      </w:pPr>
      <w:r w:rsidRPr="003E1154">
        <w:rPr>
          <w:rFonts w:cs="Arial"/>
          <w:b/>
        </w:rPr>
        <w:t>On Behalf of the Legal Aid Society of Southwest Ohio LLC</w:t>
      </w:r>
    </w:p>
    <w:p w:rsidR="00FB181C" w:rsidRDefault="00FB181C" w:rsidP="00FB181C">
      <w:pPr>
        <w:spacing w:line="240" w:lineRule="auto"/>
        <w:rPr>
          <w:rFonts w:cs="Arial"/>
          <w:b/>
        </w:rPr>
      </w:pPr>
      <w:r>
        <w:rPr>
          <w:rFonts w:cs="Arial"/>
          <w:b/>
        </w:rPr>
        <w:br w:type="page"/>
      </w:r>
    </w:p>
    <w:p w:rsidR="00FB181C" w:rsidRDefault="00FB181C" w:rsidP="00FB181C">
      <w:pPr>
        <w:autoSpaceDE w:val="0"/>
        <w:autoSpaceDN w:val="0"/>
        <w:adjustRightInd w:val="0"/>
        <w:snapToGrid w:val="0"/>
        <w:spacing w:line="240" w:lineRule="auto"/>
        <w:rPr>
          <w:rFonts w:cs="Arial"/>
          <w:color w:val="000000"/>
        </w:rPr>
      </w:pPr>
      <w:r w:rsidRPr="0035370D">
        <w:rPr>
          <w:rFonts w:cs="Arial"/>
          <w:color w:val="000000"/>
          <w:lang w:val="x-none"/>
        </w:rPr>
        <w:lastRenderedPageBreak/>
        <w:t xml:space="preserve">Christen M. Blend </w:t>
      </w:r>
    </w:p>
    <w:p w:rsidR="00FB181C" w:rsidRPr="0035370D" w:rsidRDefault="00FB181C" w:rsidP="00FB181C">
      <w:pPr>
        <w:autoSpaceDE w:val="0"/>
        <w:autoSpaceDN w:val="0"/>
        <w:adjustRightInd w:val="0"/>
        <w:snapToGrid w:val="0"/>
        <w:spacing w:line="240" w:lineRule="auto"/>
        <w:rPr>
          <w:rFonts w:cs="Arial"/>
          <w:color w:val="000000"/>
          <w:lang w:val="x-none"/>
        </w:rPr>
      </w:pPr>
      <w:r w:rsidRPr="0035370D">
        <w:rPr>
          <w:rFonts w:cs="Arial"/>
          <w:color w:val="000000"/>
          <w:lang w:val="x-none"/>
        </w:rPr>
        <w:t>Porter Wright Morris &amp; Arthur, LLP</w:t>
      </w:r>
    </w:p>
    <w:p w:rsidR="00FB181C" w:rsidRPr="0035370D" w:rsidRDefault="00FB181C" w:rsidP="00FB181C">
      <w:pPr>
        <w:autoSpaceDE w:val="0"/>
        <w:autoSpaceDN w:val="0"/>
        <w:adjustRightInd w:val="0"/>
        <w:snapToGrid w:val="0"/>
        <w:spacing w:line="240" w:lineRule="auto"/>
        <w:rPr>
          <w:rFonts w:cs="Arial"/>
          <w:color w:val="000000"/>
          <w:lang w:val="x-none"/>
        </w:rPr>
      </w:pPr>
      <w:r w:rsidRPr="0035370D">
        <w:rPr>
          <w:rFonts w:cs="Arial"/>
          <w:color w:val="000000"/>
          <w:lang w:val="x-none"/>
        </w:rPr>
        <w:t>41 South High Street, 29th Floor</w:t>
      </w:r>
    </w:p>
    <w:p w:rsidR="00FB181C" w:rsidRPr="0035370D" w:rsidRDefault="00FB181C" w:rsidP="00FB181C">
      <w:pPr>
        <w:autoSpaceDE w:val="0"/>
        <w:autoSpaceDN w:val="0"/>
        <w:adjustRightInd w:val="0"/>
        <w:snapToGrid w:val="0"/>
        <w:spacing w:line="240" w:lineRule="auto"/>
        <w:rPr>
          <w:rFonts w:cs="Arial"/>
          <w:color w:val="000000"/>
          <w:lang w:val="x-none"/>
        </w:rPr>
      </w:pPr>
      <w:r w:rsidRPr="0035370D">
        <w:rPr>
          <w:rFonts w:cs="Arial"/>
          <w:color w:val="000000"/>
          <w:lang w:val="x-none"/>
        </w:rPr>
        <w:t>Columbus, Ohio 43215</w:t>
      </w:r>
    </w:p>
    <w:p w:rsidR="00FB181C" w:rsidRPr="0035370D" w:rsidRDefault="00FB181C" w:rsidP="00FB181C">
      <w:pPr>
        <w:autoSpaceDE w:val="0"/>
        <w:autoSpaceDN w:val="0"/>
        <w:adjustRightInd w:val="0"/>
        <w:snapToGrid w:val="0"/>
        <w:spacing w:line="240" w:lineRule="auto"/>
        <w:rPr>
          <w:rFonts w:cs="Arial"/>
          <w:color w:val="000000"/>
          <w:lang w:val="x-none"/>
        </w:rPr>
      </w:pPr>
      <w:r w:rsidRPr="0035370D">
        <w:rPr>
          <w:rFonts w:cs="Arial"/>
          <w:color w:val="000000"/>
          <w:lang w:val="x-none"/>
        </w:rPr>
        <w:t>cblend@porterwright.com</w:t>
      </w:r>
    </w:p>
    <w:p w:rsidR="00FB181C" w:rsidRDefault="00FB181C" w:rsidP="00FB181C">
      <w:pPr>
        <w:autoSpaceDE w:val="0"/>
        <w:autoSpaceDN w:val="0"/>
        <w:adjustRightInd w:val="0"/>
        <w:snapToGrid w:val="0"/>
        <w:spacing w:line="240" w:lineRule="auto"/>
        <w:rPr>
          <w:rFonts w:cs="Arial"/>
          <w:i/>
          <w:color w:val="000000"/>
        </w:rPr>
      </w:pPr>
    </w:p>
    <w:p w:rsidR="00FB181C" w:rsidRPr="0035370D" w:rsidRDefault="00FB181C" w:rsidP="00FB181C">
      <w:pPr>
        <w:autoSpaceDE w:val="0"/>
        <w:autoSpaceDN w:val="0"/>
        <w:adjustRightInd w:val="0"/>
        <w:snapToGrid w:val="0"/>
        <w:spacing w:line="240" w:lineRule="auto"/>
        <w:rPr>
          <w:rFonts w:cs="Arial"/>
          <w:b/>
          <w:color w:val="000000"/>
          <w:lang w:val="x-none"/>
        </w:rPr>
      </w:pPr>
      <w:r w:rsidRPr="0035370D">
        <w:rPr>
          <w:rFonts w:cs="Arial"/>
          <w:b/>
          <w:color w:val="000000"/>
        </w:rPr>
        <w:t xml:space="preserve">On Behalf of </w:t>
      </w:r>
      <w:r w:rsidRPr="0035370D">
        <w:rPr>
          <w:rFonts w:cs="Arial"/>
          <w:b/>
          <w:color w:val="000000"/>
          <w:lang w:val="x-none"/>
        </w:rPr>
        <w:t>United Telephone Company of</w:t>
      </w:r>
      <w:r w:rsidRPr="0035370D">
        <w:rPr>
          <w:rFonts w:cs="Arial"/>
          <w:b/>
          <w:color w:val="000000"/>
        </w:rPr>
        <w:t xml:space="preserve"> </w:t>
      </w:r>
      <w:r w:rsidRPr="0035370D">
        <w:rPr>
          <w:rFonts w:cs="Arial"/>
          <w:b/>
          <w:color w:val="000000"/>
          <w:lang w:val="x-none"/>
        </w:rPr>
        <w:t>Ohio d/b/a CenturyLink and CenturyTel of</w:t>
      </w:r>
      <w:r w:rsidRPr="0035370D">
        <w:rPr>
          <w:rFonts w:cs="Arial"/>
          <w:b/>
          <w:color w:val="000000"/>
        </w:rPr>
        <w:t xml:space="preserve"> </w:t>
      </w:r>
      <w:r w:rsidRPr="0035370D">
        <w:rPr>
          <w:rFonts w:cs="Arial"/>
          <w:b/>
          <w:color w:val="000000"/>
          <w:lang w:val="x-none"/>
        </w:rPr>
        <w:t>Ohio, Inc. d/b/a CenturyLink</w:t>
      </w:r>
    </w:p>
    <w:p w:rsidR="00FB181C"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rPr>
      </w:pPr>
      <w:r w:rsidRPr="003E1154">
        <w:rPr>
          <w:rFonts w:cs="Arial"/>
        </w:rPr>
        <w:t>Bruce J. Weston</w:t>
      </w:r>
    </w:p>
    <w:p w:rsidR="00FB181C" w:rsidRPr="003E1154" w:rsidRDefault="00FB181C" w:rsidP="00FB181C">
      <w:pPr>
        <w:tabs>
          <w:tab w:val="left" w:pos="4140"/>
        </w:tabs>
        <w:spacing w:line="240" w:lineRule="auto"/>
        <w:rPr>
          <w:rFonts w:cs="Arial"/>
        </w:rPr>
      </w:pPr>
      <w:r w:rsidRPr="003E1154">
        <w:rPr>
          <w:rFonts w:cs="Arial"/>
        </w:rPr>
        <w:t>Ohio Consumers' Counsel</w:t>
      </w:r>
    </w:p>
    <w:p w:rsidR="00FB181C" w:rsidRPr="003E1154" w:rsidRDefault="00FB181C" w:rsidP="00FB181C">
      <w:pPr>
        <w:tabs>
          <w:tab w:val="left" w:pos="4140"/>
        </w:tabs>
        <w:spacing w:line="240" w:lineRule="auto"/>
        <w:rPr>
          <w:rFonts w:cs="Arial"/>
        </w:rPr>
      </w:pPr>
      <w:r w:rsidRPr="003E1154">
        <w:rPr>
          <w:rFonts w:cs="Arial"/>
        </w:rPr>
        <w:t>Terry L. Etter</w:t>
      </w:r>
    </w:p>
    <w:p w:rsidR="00FB181C" w:rsidRPr="003E1154" w:rsidRDefault="00FB181C" w:rsidP="00FB181C">
      <w:pPr>
        <w:tabs>
          <w:tab w:val="left" w:pos="4140"/>
        </w:tabs>
        <w:spacing w:line="240" w:lineRule="auto"/>
        <w:rPr>
          <w:rFonts w:cs="Arial"/>
        </w:rPr>
      </w:pPr>
      <w:r w:rsidRPr="003E1154">
        <w:rPr>
          <w:rFonts w:cs="Arial"/>
        </w:rPr>
        <w:t>Office of the Ohio Consumers' Counsel</w:t>
      </w:r>
    </w:p>
    <w:p w:rsidR="00FB181C" w:rsidRPr="003E1154" w:rsidRDefault="00FB181C" w:rsidP="00FB181C">
      <w:pPr>
        <w:tabs>
          <w:tab w:val="left" w:pos="4140"/>
        </w:tabs>
        <w:spacing w:line="240" w:lineRule="auto"/>
        <w:rPr>
          <w:rFonts w:cs="Arial"/>
        </w:rPr>
      </w:pPr>
      <w:r w:rsidRPr="003E1154">
        <w:rPr>
          <w:rFonts w:cs="Arial"/>
        </w:rPr>
        <w:t>10 W. Broad Street, Suite 1800</w:t>
      </w:r>
    </w:p>
    <w:p w:rsidR="00FB181C" w:rsidRPr="003E1154" w:rsidRDefault="00FB181C" w:rsidP="00FB181C">
      <w:pPr>
        <w:tabs>
          <w:tab w:val="left" w:pos="4140"/>
        </w:tabs>
        <w:spacing w:line="240" w:lineRule="auto"/>
        <w:rPr>
          <w:rFonts w:cs="Arial"/>
        </w:rPr>
      </w:pPr>
      <w:r w:rsidRPr="003E1154">
        <w:rPr>
          <w:rFonts w:cs="Arial"/>
        </w:rPr>
        <w:t>Columbus, Ohio 43215</w:t>
      </w:r>
    </w:p>
    <w:p w:rsidR="00FB181C" w:rsidRPr="003E1154" w:rsidRDefault="00FB181C" w:rsidP="00FB181C">
      <w:pPr>
        <w:tabs>
          <w:tab w:val="left" w:pos="4140"/>
        </w:tabs>
        <w:spacing w:line="240" w:lineRule="auto"/>
        <w:rPr>
          <w:rFonts w:cs="Arial"/>
        </w:rPr>
      </w:pPr>
      <w:r w:rsidRPr="003E1154">
        <w:rPr>
          <w:rFonts w:cs="Arial"/>
        </w:rPr>
        <w:t>Terry.etter@occ.ohio.gov</w:t>
      </w:r>
    </w:p>
    <w:p w:rsidR="00FB181C" w:rsidRPr="003E1154" w:rsidRDefault="00FB181C" w:rsidP="00FB181C">
      <w:pPr>
        <w:tabs>
          <w:tab w:val="left" w:pos="4140"/>
        </w:tabs>
        <w:spacing w:line="240" w:lineRule="auto"/>
        <w:rPr>
          <w:rFonts w:cs="Arial"/>
        </w:rPr>
      </w:pPr>
    </w:p>
    <w:p w:rsidR="00FB181C" w:rsidRDefault="00FB181C" w:rsidP="00FB181C">
      <w:pPr>
        <w:tabs>
          <w:tab w:val="left" w:pos="4140"/>
        </w:tabs>
        <w:spacing w:line="240" w:lineRule="auto"/>
        <w:rPr>
          <w:rFonts w:cs="Arial"/>
          <w:b/>
        </w:rPr>
      </w:pPr>
      <w:r w:rsidRPr="003E1154">
        <w:rPr>
          <w:rFonts w:cs="Arial"/>
          <w:b/>
        </w:rPr>
        <w:t>On Behalf of the Office of the Ohio Consumers' Counsel</w:t>
      </w:r>
    </w:p>
    <w:p w:rsidR="00FB181C" w:rsidRPr="003E1154" w:rsidRDefault="00FB181C" w:rsidP="00FB181C">
      <w:pPr>
        <w:tabs>
          <w:tab w:val="left" w:pos="4140"/>
        </w:tabs>
        <w:spacing w:line="240" w:lineRule="auto"/>
        <w:rPr>
          <w:rFonts w:cs="Arial"/>
          <w:b/>
        </w:rPr>
      </w:pPr>
    </w:p>
    <w:p w:rsidR="00FB181C" w:rsidRPr="003E1154" w:rsidRDefault="00FB181C" w:rsidP="00FB181C">
      <w:pPr>
        <w:tabs>
          <w:tab w:val="left" w:pos="4140"/>
        </w:tabs>
        <w:spacing w:line="240" w:lineRule="auto"/>
        <w:rPr>
          <w:rFonts w:cs="Arial"/>
        </w:rPr>
      </w:pPr>
      <w:r w:rsidRPr="003E1154">
        <w:rPr>
          <w:rFonts w:cs="Arial"/>
        </w:rPr>
        <w:t>Michael R. Smalz</w:t>
      </w:r>
    </w:p>
    <w:p w:rsidR="00FB181C" w:rsidRPr="003E1154" w:rsidRDefault="00FB181C" w:rsidP="00FB181C">
      <w:pPr>
        <w:tabs>
          <w:tab w:val="left" w:pos="4140"/>
        </w:tabs>
        <w:spacing w:line="240" w:lineRule="auto"/>
        <w:rPr>
          <w:rFonts w:cs="Arial"/>
        </w:rPr>
      </w:pPr>
      <w:r w:rsidRPr="003E1154">
        <w:rPr>
          <w:rFonts w:cs="Arial"/>
        </w:rPr>
        <w:t>Ohio Poverty Law Center</w:t>
      </w:r>
    </w:p>
    <w:p w:rsidR="00FB181C" w:rsidRPr="003E1154" w:rsidRDefault="00FB181C" w:rsidP="00FB181C">
      <w:pPr>
        <w:tabs>
          <w:tab w:val="left" w:pos="4140"/>
        </w:tabs>
        <w:spacing w:line="240" w:lineRule="auto"/>
        <w:rPr>
          <w:rFonts w:cs="Arial"/>
        </w:rPr>
      </w:pPr>
      <w:r w:rsidRPr="003E1154">
        <w:rPr>
          <w:rFonts w:cs="Arial"/>
        </w:rPr>
        <w:t>555 Buttles Avenue</w:t>
      </w:r>
    </w:p>
    <w:p w:rsidR="00FB181C" w:rsidRPr="003E1154" w:rsidRDefault="00FB181C" w:rsidP="00FB181C">
      <w:pPr>
        <w:tabs>
          <w:tab w:val="left" w:pos="4140"/>
        </w:tabs>
        <w:spacing w:line="240" w:lineRule="auto"/>
        <w:rPr>
          <w:rFonts w:cs="Arial"/>
        </w:rPr>
      </w:pPr>
      <w:r w:rsidRPr="003E1154">
        <w:rPr>
          <w:rFonts w:cs="Arial"/>
        </w:rPr>
        <w:t>Columbus, Ohio 43215</w:t>
      </w:r>
    </w:p>
    <w:p w:rsidR="00FB181C" w:rsidRPr="003E1154" w:rsidRDefault="00FB181C" w:rsidP="00FB181C">
      <w:pPr>
        <w:tabs>
          <w:tab w:val="left" w:pos="4140"/>
        </w:tabs>
        <w:spacing w:line="240" w:lineRule="auto"/>
        <w:rPr>
          <w:rFonts w:cs="Arial"/>
        </w:rPr>
      </w:pPr>
      <w:r w:rsidRPr="003E1154">
        <w:rPr>
          <w:rFonts w:cs="Arial"/>
        </w:rPr>
        <w:t>msmalz@ohiopovertylaw.org</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b/>
        </w:rPr>
      </w:pPr>
      <w:r w:rsidRPr="003E1154">
        <w:rPr>
          <w:rFonts w:cs="Arial"/>
          <w:b/>
        </w:rPr>
        <w:t>On Behalf of the Ohio Poverty Law Center</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rPr>
      </w:pPr>
      <w:r w:rsidRPr="003E1154">
        <w:rPr>
          <w:rFonts w:cs="Arial"/>
        </w:rPr>
        <w:t>Michael Walters</w:t>
      </w:r>
    </w:p>
    <w:p w:rsidR="00FB181C" w:rsidRPr="003E1154" w:rsidRDefault="00FB181C" w:rsidP="00FB181C">
      <w:pPr>
        <w:tabs>
          <w:tab w:val="left" w:pos="4140"/>
        </w:tabs>
        <w:spacing w:line="240" w:lineRule="auto"/>
        <w:rPr>
          <w:rFonts w:cs="Arial"/>
        </w:rPr>
      </w:pPr>
      <w:r w:rsidRPr="003E1154">
        <w:rPr>
          <w:rFonts w:cs="Arial"/>
        </w:rPr>
        <w:t>Legal Hotline Managing Attorney</w:t>
      </w:r>
    </w:p>
    <w:p w:rsidR="00FB181C" w:rsidRPr="003E1154" w:rsidRDefault="00FB181C" w:rsidP="00FB181C">
      <w:pPr>
        <w:tabs>
          <w:tab w:val="left" w:pos="4140"/>
        </w:tabs>
        <w:spacing w:line="240" w:lineRule="auto"/>
        <w:rPr>
          <w:rFonts w:cs="Arial"/>
        </w:rPr>
      </w:pPr>
      <w:r w:rsidRPr="003E1154">
        <w:rPr>
          <w:rFonts w:cs="Arial"/>
        </w:rPr>
        <w:t>Pro Seniors, Inc.</w:t>
      </w:r>
    </w:p>
    <w:p w:rsidR="00FB181C" w:rsidRPr="003E1154" w:rsidRDefault="00FB181C" w:rsidP="00FB181C">
      <w:pPr>
        <w:tabs>
          <w:tab w:val="left" w:pos="4140"/>
        </w:tabs>
        <w:spacing w:line="240" w:lineRule="auto"/>
        <w:rPr>
          <w:rFonts w:cs="Arial"/>
        </w:rPr>
      </w:pPr>
      <w:r w:rsidRPr="003E1154">
        <w:rPr>
          <w:rFonts w:cs="Arial"/>
        </w:rPr>
        <w:t>7162 Reading Road, Suite 1150</w:t>
      </w:r>
    </w:p>
    <w:p w:rsidR="00FB181C" w:rsidRPr="003E1154" w:rsidRDefault="00FB181C" w:rsidP="00FB181C">
      <w:pPr>
        <w:tabs>
          <w:tab w:val="left" w:pos="4140"/>
        </w:tabs>
        <w:spacing w:line="240" w:lineRule="auto"/>
        <w:rPr>
          <w:rFonts w:cs="Arial"/>
        </w:rPr>
      </w:pPr>
      <w:r w:rsidRPr="003E1154">
        <w:rPr>
          <w:rFonts w:cs="Arial"/>
        </w:rPr>
        <w:t>Cincinnati, Ohio 45237</w:t>
      </w:r>
    </w:p>
    <w:p w:rsidR="00FB181C" w:rsidRPr="003E1154" w:rsidRDefault="00FB181C" w:rsidP="00FB181C">
      <w:pPr>
        <w:tabs>
          <w:tab w:val="left" w:pos="4140"/>
        </w:tabs>
        <w:spacing w:line="240" w:lineRule="auto"/>
        <w:rPr>
          <w:rFonts w:cs="Arial"/>
        </w:rPr>
      </w:pPr>
      <w:r w:rsidRPr="003E1154">
        <w:rPr>
          <w:rFonts w:cs="Arial"/>
        </w:rPr>
        <w:t>mwalters@proseniors.org</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b/>
        </w:rPr>
      </w:pPr>
      <w:r w:rsidRPr="003E1154">
        <w:rPr>
          <w:rFonts w:cs="Arial"/>
          <w:b/>
        </w:rPr>
        <w:t>On Behalf of Pro Seniors, Inc.</w:t>
      </w:r>
    </w:p>
    <w:p w:rsidR="00FB181C" w:rsidRPr="003E1154" w:rsidRDefault="00FB181C" w:rsidP="00FB181C">
      <w:pPr>
        <w:tabs>
          <w:tab w:val="left" w:pos="4140"/>
        </w:tabs>
        <w:spacing w:line="240" w:lineRule="auto"/>
        <w:rPr>
          <w:rFonts w:cs="Arial"/>
        </w:rPr>
      </w:pPr>
      <w:r>
        <w:rPr>
          <w:rFonts w:cs="Arial"/>
          <w:b/>
        </w:rPr>
        <w:br w:type="column"/>
      </w:r>
      <w:r w:rsidRPr="003E1154">
        <w:rPr>
          <w:rFonts w:cs="Arial"/>
        </w:rPr>
        <w:lastRenderedPageBreak/>
        <w:t>Peggy Lee</w:t>
      </w:r>
    </w:p>
    <w:p w:rsidR="00FB181C" w:rsidRPr="003E1154" w:rsidRDefault="00FB181C" w:rsidP="00FB181C">
      <w:pPr>
        <w:tabs>
          <w:tab w:val="left" w:pos="4140"/>
        </w:tabs>
        <w:spacing w:line="240" w:lineRule="auto"/>
        <w:rPr>
          <w:rFonts w:cs="Arial"/>
        </w:rPr>
      </w:pPr>
      <w:r w:rsidRPr="003E1154">
        <w:rPr>
          <w:rFonts w:cs="Arial"/>
        </w:rPr>
        <w:t>Southeastern Ohio Legal Services</w:t>
      </w:r>
    </w:p>
    <w:p w:rsidR="00FB181C" w:rsidRPr="003E1154" w:rsidRDefault="00FB181C" w:rsidP="00FB181C">
      <w:pPr>
        <w:tabs>
          <w:tab w:val="left" w:pos="4140"/>
        </w:tabs>
        <w:spacing w:line="240" w:lineRule="auto"/>
        <w:rPr>
          <w:rFonts w:cs="Arial"/>
        </w:rPr>
      </w:pPr>
      <w:r w:rsidRPr="003E1154">
        <w:rPr>
          <w:rFonts w:cs="Arial"/>
        </w:rPr>
        <w:t>964 East State Street</w:t>
      </w:r>
    </w:p>
    <w:p w:rsidR="00FB181C" w:rsidRPr="003E1154" w:rsidRDefault="00FB181C" w:rsidP="00FB181C">
      <w:pPr>
        <w:tabs>
          <w:tab w:val="left" w:pos="4140"/>
        </w:tabs>
        <w:spacing w:line="240" w:lineRule="auto"/>
        <w:rPr>
          <w:rFonts w:cs="Arial"/>
        </w:rPr>
      </w:pPr>
      <w:r w:rsidRPr="003E1154">
        <w:rPr>
          <w:rFonts w:cs="Arial"/>
        </w:rPr>
        <w:t>Athens, Ohio 45701</w:t>
      </w:r>
    </w:p>
    <w:p w:rsidR="00FB181C" w:rsidRPr="003E1154" w:rsidRDefault="00FB181C" w:rsidP="00FB181C">
      <w:pPr>
        <w:tabs>
          <w:tab w:val="left" w:pos="4140"/>
        </w:tabs>
        <w:spacing w:line="240" w:lineRule="auto"/>
        <w:rPr>
          <w:rFonts w:cs="Arial"/>
        </w:rPr>
      </w:pPr>
      <w:r w:rsidRPr="003E1154">
        <w:rPr>
          <w:rFonts w:cs="Arial"/>
        </w:rPr>
        <w:t>plee@oslsa.org</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rPr>
      </w:pPr>
      <w:r w:rsidRPr="003E1154">
        <w:rPr>
          <w:rFonts w:cs="Arial"/>
          <w:b/>
        </w:rPr>
        <w:t>On Behalf of Southeastern Ohio Legal Services</w:t>
      </w:r>
    </w:p>
    <w:p w:rsidR="00FB181C" w:rsidRPr="003E1154" w:rsidRDefault="00FB181C" w:rsidP="00FB181C">
      <w:pPr>
        <w:tabs>
          <w:tab w:val="left" w:pos="4140"/>
        </w:tabs>
        <w:spacing w:line="240" w:lineRule="auto"/>
        <w:rPr>
          <w:rFonts w:cs="Arial"/>
        </w:rPr>
      </w:pPr>
    </w:p>
    <w:p w:rsidR="00FB181C" w:rsidRPr="003E1154" w:rsidRDefault="00FB181C" w:rsidP="00FB181C">
      <w:pPr>
        <w:tabs>
          <w:tab w:val="left" w:pos="4140"/>
        </w:tabs>
        <w:spacing w:line="240" w:lineRule="auto"/>
        <w:rPr>
          <w:rFonts w:cs="Arial"/>
        </w:rPr>
      </w:pPr>
      <w:r w:rsidRPr="003E1154">
        <w:rPr>
          <w:rFonts w:cs="Arial"/>
        </w:rPr>
        <w:t>Jeff Jones</w:t>
      </w:r>
    </w:p>
    <w:p w:rsidR="00FB181C" w:rsidRPr="003E1154" w:rsidRDefault="00FB181C" w:rsidP="00FB181C">
      <w:pPr>
        <w:tabs>
          <w:tab w:val="left" w:pos="4140"/>
        </w:tabs>
        <w:spacing w:line="240" w:lineRule="auto"/>
        <w:rPr>
          <w:rFonts w:cs="Arial"/>
        </w:rPr>
      </w:pPr>
      <w:r w:rsidRPr="003E1154">
        <w:rPr>
          <w:rFonts w:cs="Arial"/>
        </w:rPr>
        <w:t>Jay Agranoff</w:t>
      </w:r>
    </w:p>
    <w:p w:rsidR="00FB181C" w:rsidRPr="003E1154" w:rsidRDefault="00FB181C" w:rsidP="00FB181C">
      <w:pPr>
        <w:tabs>
          <w:tab w:val="left" w:pos="4140"/>
        </w:tabs>
        <w:spacing w:line="240" w:lineRule="auto"/>
        <w:rPr>
          <w:rFonts w:cs="Arial"/>
        </w:rPr>
      </w:pPr>
      <w:r w:rsidRPr="003E1154">
        <w:rPr>
          <w:rFonts w:cs="Arial"/>
        </w:rPr>
        <w:t>Attorney Examiners</w:t>
      </w:r>
    </w:p>
    <w:p w:rsidR="00FB181C" w:rsidRPr="003E1154" w:rsidRDefault="00FB181C" w:rsidP="00FB181C">
      <w:pPr>
        <w:tabs>
          <w:tab w:val="left" w:pos="4140"/>
        </w:tabs>
        <w:spacing w:line="240" w:lineRule="auto"/>
        <w:rPr>
          <w:rFonts w:cs="Arial"/>
        </w:rPr>
      </w:pPr>
      <w:r w:rsidRPr="003E1154">
        <w:rPr>
          <w:rFonts w:cs="Arial"/>
        </w:rPr>
        <w:t>Public Utilities Commission of Ohio</w:t>
      </w:r>
    </w:p>
    <w:p w:rsidR="00FB181C" w:rsidRPr="003E1154" w:rsidRDefault="00FB181C" w:rsidP="00FB181C">
      <w:pPr>
        <w:tabs>
          <w:tab w:val="left" w:pos="4140"/>
        </w:tabs>
        <w:spacing w:line="240" w:lineRule="auto"/>
        <w:rPr>
          <w:rFonts w:cs="Arial"/>
        </w:rPr>
      </w:pPr>
      <w:r w:rsidRPr="003E1154">
        <w:rPr>
          <w:rFonts w:cs="Arial"/>
        </w:rPr>
        <w:t>180 E. Broad Street</w:t>
      </w:r>
    </w:p>
    <w:p w:rsidR="00FB181C" w:rsidRPr="003E1154" w:rsidRDefault="00FB181C" w:rsidP="00FB181C">
      <w:pPr>
        <w:tabs>
          <w:tab w:val="left" w:pos="4140"/>
        </w:tabs>
        <w:spacing w:line="240" w:lineRule="auto"/>
        <w:rPr>
          <w:rFonts w:cs="Arial"/>
        </w:rPr>
      </w:pPr>
      <w:r w:rsidRPr="003E1154">
        <w:rPr>
          <w:rFonts w:cs="Arial"/>
        </w:rPr>
        <w:t>Columbus, Ohio 43215</w:t>
      </w:r>
    </w:p>
    <w:p w:rsidR="00FB181C" w:rsidRPr="003E1154" w:rsidRDefault="00FB181C" w:rsidP="00FB181C">
      <w:pPr>
        <w:tabs>
          <w:tab w:val="left" w:pos="4140"/>
        </w:tabs>
        <w:spacing w:line="240" w:lineRule="auto"/>
        <w:rPr>
          <w:rFonts w:cs="Arial"/>
        </w:rPr>
      </w:pPr>
      <w:r w:rsidRPr="003E1154">
        <w:rPr>
          <w:rFonts w:cs="Arial"/>
        </w:rPr>
        <w:t>Jeffrey.jones@puc.state.oh.us</w:t>
      </w:r>
    </w:p>
    <w:p w:rsidR="00FB181C" w:rsidRPr="003E1154" w:rsidRDefault="00FB181C" w:rsidP="00FB181C">
      <w:pPr>
        <w:tabs>
          <w:tab w:val="left" w:pos="4140"/>
        </w:tabs>
        <w:spacing w:line="240" w:lineRule="auto"/>
        <w:rPr>
          <w:rFonts w:cs="Arial"/>
        </w:rPr>
      </w:pPr>
      <w:r w:rsidRPr="003E1154">
        <w:rPr>
          <w:rFonts w:cs="Arial"/>
        </w:rPr>
        <w:t>Jay.agranoff@puc.state.oh.us</w:t>
      </w:r>
    </w:p>
    <w:p w:rsidR="00FB181C" w:rsidRPr="00711095" w:rsidRDefault="00FB181C" w:rsidP="00FB181C">
      <w:pPr>
        <w:tabs>
          <w:tab w:val="left" w:pos="4140"/>
        </w:tabs>
        <w:spacing w:line="240" w:lineRule="auto"/>
        <w:rPr>
          <w:rFonts w:cs="Arial"/>
        </w:rPr>
      </w:pPr>
    </w:p>
    <w:p w:rsidR="00F67F92" w:rsidRPr="00E77385" w:rsidRDefault="00F67F92" w:rsidP="00FB181C">
      <w:pPr>
        <w:jc w:val="both"/>
      </w:pPr>
    </w:p>
    <w:sectPr w:rsidR="00F67F92" w:rsidRPr="00E77385" w:rsidSect="00FB181C">
      <w:headerReference w:type="default" r:id="rId26"/>
      <w:footerReference w:type="default" r:id="rId27"/>
      <w:headerReference w:type="first" r:id="rId28"/>
      <w:footerReference w:type="first" r:id="rId29"/>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FE4" w:rsidRDefault="00AA2FE4" w:rsidP="00AA2FE4">
      <w:pPr>
        <w:spacing w:line="240" w:lineRule="auto"/>
      </w:pPr>
      <w:r>
        <w:separator/>
      </w:r>
    </w:p>
  </w:endnote>
  <w:endnote w:type="continuationSeparator" w:id="0">
    <w:p w:rsidR="00AA2FE4" w:rsidRDefault="00AA2FE4" w:rsidP="00AA2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5F" w:rsidRDefault="0031475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E6" w:rsidRPr="00AA2FE4" w:rsidRDefault="002B1EF7">
    <w:pPr>
      <w:pStyle w:val="Footer"/>
    </w:pPr>
    <w:r w:rsidRPr="002B1EF7">
      <w:rPr>
        <w:noProof/>
        <w:sz w:val="16"/>
      </w:rPr>
      <w:t>{C48553:4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1C" w:rsidRPr="00762F54" w:rsidRDefault="002B1EF7" w:rsidP="00625FA4">
    <w:pPr>
      <w:pStyle w:val="Footer"/>
    </w:pPr>
    <w:r w:rsidRPr="002B1EF7">
      <w:rPr>
        <w:noProof/>
        <w:sz w:val="16"/>
      </w:rPr>
      <w:t>{C48553:4 }</w:t>
    </w:r>
    <w:sdt>
      <w:sdtPr>
        <w:id w:val="333274252"/>
        <w:docPartObj>
          <w:docPartGallery w:val="Page Numbers (Bottom of Page)"/>
          <w:docPartUnique/>
        </w:docPartObj>
      </w:sdtPr>
      <w:sdtEndPr>
        <w:rPr>
          <w:noProof/>
        </w:rPr>
      </w:sdtEndPr>
      <w:sdtContent>
        <w:r w:rsidR="00CE50E6">
          <w:rPr>
            <w:noProof/>
          </w:rPr>
          <w:tab/>
        </w:r>
      </w:sdtContent>
    </w:sdt>
    <w:r w:rsidR="00CE50E6">
      <w:rPr>
        <w:noProof/>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1C" w:rsidRPr="00762F54" w:rsidRDefault="002B1EF7" w:rsidP="008F37B2">
    <w:pPr>
      <w:pStyle w:val="Footer"/>
    </w:pPr>
    <w:r w:rsidRPr="002B1EF7">
      <w:rPr>
        <w:noProof/>
        <w:sz w:val="16"/>
      </w:rPr>
      <w:t>{C48553:4 }</w:t>
    </w:r>
    <w:r w:rsidR="00FB181C">
      <w:rPr>
        <w:noProof/>
        <w:sz w:val="16"/>
      </w:rPr>
      <w:tab/>
    </w:r>
  </w:p>
  <w:p w:rsidR="00FB181C" w:rsidRPr="00762F54" w:rsidRDefault="00FB18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E6" w:rsidRPr="00CE50E6" w:rsidRDefault="002B1EF7" w:rsidP="001B1AB5">
    <w:pPr>
      <w:pStyle w:val="Footer"/>
    </w:pPr>
    <w:r w:rsidRPr="002B1EF7">
      <w:rPr>
        <w:noProof/>
        <w:sz w:val="16"/>
      </w:rPr>
      <w:t>{C48553:4 }</w:t>
    </w:r>
    <w:sdt>
      <w:sdtPr>
        <w:id w:val="915367631"/>
        <w:docPartObj>
          <w:docPartGallery w:val="Page Numbers (Bottom of Page)"/>
          <w:docPartUnique/>
        </w:docPartObj>
      </w:sdtPr>
      <w:sdtEndPr>
        <w:rPr>
          <w:noProof/>
        </w:rPr>
      </w:sdtEndPr>
      <w:sdtContent>
        <w:r w:rsidR="001B1AB5">
          <w:tab/>
        </w:r>
        <w:r w:rsidR="00CE50E6" w:rsidRPr="00CE50E6">
          <w:fldChar w:fldCharType="begin"/>
        </w:r>
        <w:r w:rsidR="00CE50E6" w:rsidRPr="00CE50E6">
          <w:instrText xml:space="preserve"> PAGE   \* MERGEFORMAT </w:instrText>
        </w:r>
        <w:r w:rsidR="00CE50E6" w:rsidRPr="00CE50E6">
          <w:fldChar w:fldCharType="separate"/>
        </w:r>
        <w:r w:rsidR="00474AA3">
          <w:rPr>
            <w:noProof/>
          </w:rPr>
          <w:t>12</w:t>
        </w:r>
        <w:r w:rsidR="00CE50E6" w:rsidRPr="00CE50E6">
          <w:rPr>
            <w:noProof/>
          </w:rPr>
          <w:fldChar w:fldCharType="end"/>
        </w:r>
      </w:sdtContent>
    </w:sdt>
  </w:p>
  <w:p w:rsidR="00CE50E6" w:rsidRPr="00CE50E6" w:rsidRDefault="00CE50E6" w:rsidP="00625F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E6" w:rsidRPr="00CE50E6" w:rsidRDefault="002B1EF7" w:rsidP="001B1AB5">
    <w:pPr>
      <w:pStyle w:val="Footer"/>
    </w:pPr>
    <w:r w:rsidRPr="002B1EF7">
      <w:rPr>
        <w:noProof/>
        <w:sz w:val="16"/>
      </w:rPr>
      <w:t>{C48553:4 }</w:t>
    </w:r>
    <w:r w:rsidR="001B1AB5">
      <w:rPr>
        <w:noProof/>
        <w:sz w:val="16"/>
      </w:rPr>
      <w:tab/>
    </w:r>
  </w:p>
  <w:p w:rsidR="00CE50E6" w:rsidRPr="00CE50E6" w:rsidRDefault="00CE50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AD2" w:rsidRDefault="00F07AD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4" w:rsidRPr="00AA2FE4" w:rsidRDefault="002B1EF7">
    <w:pPr>
      <w:pStyle w:val="Footer"/>
    </w:pPr>
    <w:r w:rsidRPr="002B1EF7">
      <w:rPr>
        <w:noProof/>
        <w:sz w:val="16"/>
      </w:rPr>
      <w:t>{C48553:4 }</w:t>
    </w:r>
    <w:r w:rsidR="008866E2">
      <w:rPr>
        <w:noProof/>
        <w:sz w:val="16"/>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4" w:rsidRPr="00AA2FE4" w:rsidRDefault="002B1EF7">
    <w:pPr>
      <w:pStyle w:val="Footer"/>
    </w:pPr>
    <w:r w:rsidRPr="002B1EF7">
      <w:rPr>
        <w:noProof/>
        <w:sz w:val="16"/>
      </w:rPr>
      <w:t>{C48553:4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E6" w:rsidRPr="00AA2FE4" w:rsidRDefault="002B1EF7">
    <w:pPr>
      <w:pStyle w:val="Footer"/>
    </w:pPr>
    <w:r w:rsidRPr="002B1EF7">
      <w:rPr>
        <w:noProof/>
        <w:sz w:val="16"/>
      </w:rPr>
      <w:t>{C48553:4 }</w:t>
    </w:r>
    <w:r w:rsidR="00CE50E6">
      <w:rPr>
        <w:noProof/>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FE4" w:rsidRDefault="00AA2FE4" w:rsidP="00AA2FE4">
      <w:pPr>
        <w:spacing w:line="240" w:lineRule="auto"/>
        <w:rPr>
          <w:noProof/>
        </w:rPr>
      </w:pPr>
      <w:r>
        <w:rPr>
          <w:noProof/>
        </w:rPr>
        <w:separator/>
      </w:r>
    </w:p>
  </w:footnote>
  <w:footnote w:type="continuationSeparator" w:id="0">
    <w:p w:rsidR="00AA2FE4" w:rsidRDefault="00AA2FE4" w:rsidP="00AA2FE4">
      <w:pPr>
        <w:spacing w:line="240" w:lineRule="auto"/>
      </w:pPr>
      <w:r>
        <w:continuationSeparator/>
      </w:r>
    </w:p>
  </w:footnote>
  <w:footnote w:id="1">
    <w:p w:rsidR="000779D9" w:rsidRDefault="000779D9" w:rsidP="000779D9">
      <w:pPr>
        <w:pStyle w:val="FootnoteText"/>
      </w:pPr>
      <w:r>
        <w:rPr>
          <w:rStyle w:val="FootnoteReference"/>
        </w:rPr>
        <w:footnoteRef/>
      </w:r>
      <w:r>
        <w:t xml:space="preserve"> The other entities joining OCC’s comments include:  Edgemont Neighborhood Coalition, Legal Aid Society of Southwest Ohio LLC, Ohio Poverty Law Center, Pro Seniors, Inc., and Southeastern Ohio Legal Services.</w:t>
      </w:r>
    </w:p>
  </w:footnote>
  <w:footnote w:id="2">
    <w:p w:rsidR="00933225" w:rsidRDefault="00933225">
      <w:pPr>
        <w:pStyle w:val="FootnoteText"/>
      </w:pPr>
      <w:r>
        <w:rPr>
          <w:rStyle w:val="FootnoteReference"/>
        </w:rPr>
        <w:footnoteRef/>
      </w:r>
      <w:r>
        <w:t xml:space="preserve"> OCC Comments at 3</w:t>
      </w:r>
      <w:r w:rsidR="008204A0">
        <w:t>, n. 10.</w:t>
      </w:r>
    </w:p>
  </w:footnote>
  <w:footnote w:id="3">
    <w:p w:rsidR="005C5D65" w:rsidRPr="005C5D65" w:rsidRDefault="005C5D65">
      <w:pPr>
        <w:pStyle w:val="FootnoteText"/>
      </w:pPr>
      <w:r>
        <w:rPr>
          <w:rStyle w:val="FootnoteReference"/>
        </w:rPr>
        <w:footnoteRef/>
      </w:r>
      <w:r>
        <w:t xml:space="preserve"> </w:t>
      </w:r>
      <w:r>
        <w:rPr>
          <w:i/>
        </w:rPr>
        <w:t>See, e.g.</w:t>
      </w:r>
      <w:r>
        <w:t>, OCC Comments at 18, n. 24.</w:t>
      </w:r>
    </w:p>
  </w:footnote>
  <w:footnote w:id="4">
    <w:p w:rsidR="008204A0" w:rsidRDefault="008204A0">
      <w:pPr>
        <w:pStyle w:val="FootnoteText"/>
      </w:pPr>
      <w:r>
        <w:rPr>
          <w:rStyle w:val="FootnoteReference"/>
        </w:rPr>
        <w:footnoteRef/>
      </w:r>
      <w:r>
        <w:t xml:space="preserve"> OCC Comments at 3-4.</w:t>
      </w:r>
    </w:p>
  </w:footnote>
  <w:footnote w:id="5">
    <w:p w:rsidR="00693BE3" w:rsidRDefault="00693BE3">
      <w:pPr>
        <w:pStyle w:val="FootnoteText"/>
      </w:pPr>
      <w:r>
        <w:rPr>
          <w:rStyle w:val="FootnoteReference"/>
        </w:rPr>
        <w:footnoteRef/>
      </w:r>
      <w:r>
        <w:t xml:space="preserve"> R.C. 4927.10.</w:t>
      </w:r>
    </w:p>
  </w:footnote>
  <w:footnote w:id="6">
    <w:p w:rsidR="008204A0" w:rsidRDefault="008204A0">
      <w:pPr>
        <w:pStyle w:val="FootnoteText"/>
      </w:pPr>
      <w:r>
        <w:rPr>
          <w:rStyle w:val="FootnoteReference"/>
        </w:rPr>
        <w:footnoteRef/>
      </w:r>
      <w:r>
        <w:t xml:space="preserve"> OCC Comments at </w:t>
      </w:r>
      <w:r w:rsidR="00F2381B">
        <w:t>18, n. 24.</w:t>
      </w:r>
    </w:p>
  </w:footnote>
  <w:footnote w:id="7">
    <w:p w:rsidR="00022451" w:rsidRDefault="00022451">
      <w:pPr>
        <w:pStyle w:val="FootnoteText"/>
      </w:pPr>
      <w:r>
        <w:rPr>
          <w:rStyle w:val="FootnoteReference"/>
        </w:rPr>
        <w:footnoteRef/>
      </w:r>
      <w:r>
        <w:t xml:space="preserve"> </w:t>
      </w:r>
      <w:r w:rsidR="00F31762">
        <w:t>OCC Comments at 9.</w:t>
      </w:r>
    </w:p>
  </w:footnote>
  <w:footnote w:id="8">
    <w:p w:rsidR="00022451" w:rsidRDefault="00022451">
      <w:pPr>
        <w:pStyle w:val="FootnoteText"/>
      </w:pPr>
      <w:r>
        <w:rPr>
          <w:rStyle w:val="FootnoteReference"/>
        </w:rPr>
        <w:footnoteRef/>
      </w:r>
      <w:r>
        <w:t xml:space="preserve"> </w:t>
      </w:r>
      <w:r w:rsidR="00F31762">
        <w:t>OCC Comments at 18-29.</w:t>
      </w:r>
    </w:p>
  </w:footnote>
  <w:footnote w:id="9">
    <w:p w:rsidR="00F31762" w:rsidRDefault="00F31762">
      <w:pPr>
        <w:pStyle w:val="FootnoteText"/>
      </w:pPr>
      <w:r>
        <w:rPr>
          <w:rStyle w:val="FootnoteReference"/>
        </w:rPr>
        <w:footnoteRef/>
      </w:r>
      <w:r>
        <w:t xml:space="preserve"> OCC Comments at 5-6, 24.</w:t>
      </w:r>
    </w:p>
  </w:footnote>
  <w:footnote w:id="10">
    <w:p w:rsidR="00022451" w:rsidRDefault="00022451">
      <w:pPr>
        <w:pStyle w:val="FootnoteText"/>
      </w:pPr>
      <w:r>
        <w:rPr>
          <w:rStyle w:val="FootnoteReference"/>
        </w:rPr>
        <w:footnoteRef/>
      </w:r>
      <w:r>
        <w:t xml:space="preserve"> </w:t>
      </w:r>
      <w:r w:rsidR="00F31762">
        <w:t>OCC Comments at 9-12.</w:t>
      </w:r>
    </w:p>
  </w:footnote>
  <w:footnote w:id="11">
    <w:p w:rsidR="000C7FE0" w:rsidRDefault="000C7FE0">
      <w:pPr>
        <w:pStyle w:val="FootnoteText"/>
      </w:pPr>
      <w:r>
        <w:rPr>
          <w:rStyle w:val="FootnoteReference"/>
        </w:rPr>
        <w:footnoteRef/>
      </w:r>
      <w:r>
        <w:t xml:space="preserve"> Entry at Attachment B (Sep. 23, 2015). </w:t>
      </w:r>
    </w:p>
  </w:footnote>
  <w:footnote w:id="12">
    <w:p w:rsidR="00E77385" w:rsidRDefault="00E77385">
      <w:pPr>
        <w:pStyle w:val="FootnoteText"/>
      </w:pPr>
      <w:r>
        <w:rPr>
          <w:rStyle w:val="FootnoteReference"/>
        </w:rPr>
        <w:footnoteRef/>
      </w:r>
      <w:r>
        <w:t xml:space="preserve"> OCC Comments at 4.</w:t>
      </w:r>
    </w:p>
  </w:footnote>
  <w:footnote w:id="13">
    <w:p w:rsidR="00E77385" w:rsidRDefault="00E77385">
      <w:pPr>
        <w:pStyle w:val="FootnoteText"/>
      </w:pPr>
      <w:r>
        <w:rPr>
          <w:rStyle w:val="FootnoteReference"/>
        </w:rPr>
        <w:footnoteRef/>
      </w:r>
      <w:r>
        <w:t xml:space="preserve"> </w:t>
      </w:r>
      <w:r w:rsidR="00AD06EE">
        <w:rPr>
          <w:i/>
        </w:rPr>
        <w:t>See, e.g.</w:t>
      </w:r>
      <w:r w:rsidR="00AD06EE">
        <w:t>, Rule 4901:1-6-02(E)</w:t>
      </w:r>
      <w:r w:rsidR="004E0310">
        <w:t xml:space="preserve"> Ohio Administrative Code (“O.A.C.”)</w:t>
      </w:r>
      <w:r w:rsidR="00AD06EE">
        <w:t xml:space="preserve"> (the Commission may waive any requirement of the chapter, except requirements imposed by statute).</w:t>
      </w:r>
    </w:p>
  </w:footnote>
  <w:footnote w:id="14">
    <w:p w:rsidR="00E77385" w:rsidRDefault="00E77385">
      <w:pPr>
        <w:pStyle w:val="FootnoteText"/>
      </w:pPr>
      <w:r>
        <w:rPr>
          <w:rStyle w:val="FootnoteReference"/>
        </w:rPr>
        <w:footnoteRef/>
      </w:r>
      <w:r>
        <w:t xml:space="preserve"> R.C. 4927.10(B).</w:t>
      </w:r>
    </w:p>
  </w:footnote>
  <w:footnote w:id="15">
    <w:p w:rsidR="001511B1" w:rsidRDefault="001511B1">
      <w:pPr>
        <w:pStyle w:val="FootnoteText"/>
      </w:pPr>
      <w:r>
        <w:rPr>
          <w:rStyle w:val="FootnoteReference"/>
        </w:rPr>
        <w:footnoteRef/>
      </w:r>
      <w:r>
        <w:t xml:space="preserve"> If the Commission was timely petitioned, BLES would still end; however, the Commission could require the ILEC to provide a reasonable and comparatively priced alternative </w:t>
      </w:r>
      <w:r w:rsidR="00283778">
        <w:t xml:space="preserve">voice service </w:t>
      </w:r>
      <w:r>
        <w:t>through any technology or service arrangement to provide the voice service.  R.C. 4927.10.</w:t>
      </w:r>
    </w:p>
  </w:footnote>
  <w:footnote w:id="16">
    <w:p w:rsidR="00733175" w:rsidRDefault="00733175">
      <w:pPr>
        <w:pStyle w:val="FootnoteText"/>
      </w:pPr>
      <w:r>
        <w:rPr>
          <w:rStyle w:val="FootnoteReference"/>
        </w:rPr>
        <w:footnoteRef/>
      </w:r>
      <w:r>
        <w:t xml:space="preserve"> OCC Comments at 15-16.</w:t>
      </w:r>
    </w:p>
  </w:footnote>
  <w:footnote w:id="17">
    <w:p w:rsidR="004C7133" w:rsidRDefault="004C7133">
      <w:pPr>
        <w:pStyle w:val="FootnoteText"/>
      </w:pPr>
      <w:r>
        <w:rPr>
          <w:rStyle w:val="FootnoteReference"/>
        </w:rPr>
        <w:footnoteRef/>
      </w:r>
      <w:r>
        <w:t xml:space="preserve"> R.C. 4927.10</w:t>
      </w:r>
      <w:r w:rsidR="000A0D3F">
        <w:t>.</w:t>
      </w:r>
    </w:p>
  </w:footnote>
  <w:footnote w:id="18">
    <w:p w:rsidR="00F8229A" w:rsidRDefault="00F8229A">
      <w:pPr>
        <w:pStyle w:val="FootnoteText"/>
      </w:pPr>
      <w:r>
        <w:rPr>
          <w:rStyle w:val="FootnoteReference"/>
        </w:rPr>
        <w:footnoteRef/>
      </w:r>
      <w:r>
        <w:t xml:space="preserve"> </w:t>
      </w:r>
      <w:r w:rsidR="00283778">
        <w:t>OCC Comments at 17.</w:t>
      </w:r>
    </w:p>
  </w:footnote>
  <w:footnote w:id="19">
    <w:p w:rsidR="00973F6E" w:rsidRPr="00973F6E" w:rsidRDefault="00973F6E">
      <w:pPr>
        <w:pStyle w:val="FootnoteText"/>
        <w:rPr>
          <w:i/>
        </w:rPr>
      </w:pPr>
      <w:r>
        <w:rPr>
          <w:rStyle w:val="FootnoteReference"/>
        </w:rPr>
        <w:footnoteRef/>
      </w:r>
      <w:r>
        <w:t xml:space="preserve"> </w:t>
      </w:r>
      <w:r>
        <w:rPr>
          <w:i/>
        </w:rPr>
        <w:t>Id.</w:t>
      </w:r>
    </w:p>
  </w:footnote>
  <w:footnote w:id="20">
    <w:p w:rsidR="00973F6E" w:rsidRPr="00973F6E" w:rsidRDefault="00973F6E" w:rsidP="00973F6E">
      <w:pPr>
        <w:pStyle w:val="FootnoteText"/>
        <w:rPr>
          <w:i/>
        </w:rPr>
      </w:pPr>
      <w:r>
        <w:rPr>
          <w:rStyle w:val="FootnoteReference"/>
        </w:rPr>
        <w:footnoteRef/>
      </w:r>
      <w:r>
        <w:t xml:space="preserve"> </w:t>
      </w:r>
      <w:r w:rsidR="00FD5229">
        <w:rPr>
          <w:i/>
        </w:rPr>
        <w:t>I</w:t>
      </w:r>
      <w:r>
        <w:rPr>
          <w:i/>
        </w:rPr>
        <w:t>d.</w:t>
      </w:r>
    </w:p>
  </w:footnote>
  <w:footnote w:id="21">
    <w:p w:rsidR="00D86E8B" w:rsidRDefault="00D86E8B">
      <w:pPr>
        <w:pStyle w:val="FootnoteText"/>
      </w:pPr>
      <w:r>
        <w:rPr>
          <w:rStyle w:val="FootnoteReference"/>
        </w:rPr>
        <w:footnoteRef/>
      </w:r>
      <w:r>
        <w:t xml:space="preserve"> </w:t>
      </w:r>
      <w:r w:rsidR="00CC18CC">
        <w:t xml:space="preserve">In </w:t>
      </w:r>
      <w:r w:rsidRPr="00D86E8B">
        <w:rPr>
          <w:i/>
        </w:rPr>
        <w:t>Cleveland Metro. Bar Ass'n</w:t>
      </w:r>
      <w:r w:rsidR="004E0310">
        <w:rPr>
          <w:i/>
        </w:rPr>
        <w:t>.</w:t>
      </w:r>
      <w:r w:rsidRPr="00D86E8B">
        <w:rPr>
          <w:i/>
        </w:rPr>
        <w:t xml:space="preserve"> v. Davie</w:t>
      </w:r>
      <w:r w:rsidR="004E0310">
        <w:t>, 133 Ohio St.</w:t>
      </w:r>
      <w:r w:rsidRPr="00D86E8B">
        <w:t>3d 202</w:t>
      </w:r>
      <w:r>
        <w:t xml:space="preserve">, 2012-Ohio-4328, </w:t>
      </w:r>
      <w:r>
        <w:rPr>
          <w:rFonts w:cs="Arial"/>
        </w:rPr>
        <w:t>¶</w:t>
      </w:r>
      <w:r>
        <w:t xml:space="preserve"> 18-19</w:t>
      </w:r>
      <w:r w:rsidR="004C7133">
        <w:t>, the Court held</w:t>
      </w:r>
      <w:r w:rsidR="004E0310">
        <w:t>:</w:t>
      </w:r>
      <w:r>
        <w:t xml:space="preserve"> </w:t>
      </w:r>
    </w:p>
    <w:p w:rsidR="00CC18CC" w:rsidRDefault="00D86E8B" w:rsidP="00D86E8B">
      <w:pPr>
        <w:pStyle w:val="FootnoteText"/>
        <w:ind w:left="720" w:right="720"/>
        <w:rPr>
          <w:rStyle w:val="ssrfcpassagedeactivated"/>
        </w:rPr>
      </w:pPr>
      <w:r>
        <w:rPr>
          <w:rStyle w:val="ssrfcpassagedeactivated"/>
        </w:rPr>
        <w:t xml:space="preserve">The </w:t>
      </w:r>
      <w:r w:rsidRPr="00D86E8B">
        <w:rPr>
          <w:rStyle w:val="ssrfcpassagedeactivated"/>
        </w:rPr>
        <w:t>Ohio Constitution, Article IV, Section 2(B)(1)(g)</w:t>
      </w:r>
      <w:r>
        <w:rPr>
          <w:rStyle w:val="ssrfcpassagedeactivated"/>
        </w:rPr>
        <w:t xml:space="preserve"> gives this court original jurisdiction over all matters relating to the </w:t>
      </w:r>
      <w:r>
        <w:rPr>
          <w:rStyle w:val="sssh"/>
        </w:rPr>
        <w:t>practice</w:t>
      </w:r>
      <w:r>
        <w:rPr>
          <w:rStyle w:val="ssrfcpassagedeactivated"/>
        </w:rPr>
        <w:t xml:space="preserve"> of </w:t>
      </w:r>
      <w:r>
        <w:rPr>
          <w:rStyle w:val="sssh"/>
        </w:rPr>
        <w:t>law</w:t>
      </w:r>
      <w:r>
        <w:rPr>
          <w:rStyle w:val="ssrfcpassagedeactivated"/>
        </w:rPr>
        <w:t xml:space="preserve">, including the </w:t>
      </w:r>
      <w:r>
        <w:rPr>
          <w:rStyle w:val="sssh"/>
        </w:rPr>
        <w:t>unauthorized practice of law</w:t>
      </w:r>
      <w:r>
        <w:rPr>
          <w:rStyle w:val="ssrfcpassagedeactivated"/>
        </w:rPr>
        <w:t xml:space="preserve">.  Pursuant to this authority, we have defined the </w:t>
      </w:r>
      <w:r>
        <w:rPr>
          <w:rStyle w:val="sssh"/>
        </w:rPr>
        <w:t>unauthorized practice of law</w:t>
      </w:r>
      <w:r>
        <w:rPr>
          <w:rStyle w:val="ssrfcpassagedeactivated"/>
        </w:rPr>
        <w:t xml:space="preserve"> as </w:t>
      </w:r>
      <w:r w:rsidR="004E0310">
        <w:rPr>
          <w:rStyle w:val="ssrfcpassagedeactivated"/>
        </w:rPr>
        <w:t>“</w:t>
      </w:r>
      <w:r>
        <w:rPr>
          <w:rStyle w:val="ssrfcpassagedeactivated"/>
        </w:rPr>
        <w:t xml:space="preserve">the rendering of legal services for another by any person not admitted to </w:t>
      </w:r>
      <w:r>
        <w:rPr>
          <w:rStyle w:val="sssh"/>
        </w:rPr>
        <w:t>practice</w:t>
      </w:r>
      <w:r>
        <w:rPr>
          <w:rStyle w:val="ssrfcpassagedeactivated"/>
        </w:rPr>
        <w:t xml:space="preserve"> in Ohio.</w:t>
      </w:r>
      <w:r w:rsidR="004E0310">
        <w:rPr>
          <w:rStyle w:val="ssrfcpassagedeactivated"/>
        </w:rPr>
        <w:t>”</w:t>
      </w:r>
      <w:r>
        <w:rPr>
          <w:rStyle w:val="ssrfcpassagedeactivated"/>
        </w:rPr>
        <w:t xml:space="preserve">  The rendering of legal services includes more than the handling of cases in court. We have held that it encompasses </w:t>
      </w:r>
      <w:r w:rsidR="004E0310">
        <w:rPr>
          <w:rStyle w:val="ssrfcpassagedeactivated"/>
        </w:rPr>
        <w:t>“</w:t>
      </w:r>
      <w:r>
        <w:rPr>
          <w:rStyle w:val="ssrfcpassagedeactivated"/>
        </w:rPr>
        <w:t xml:space="preserve">preparing and </w:t>
      </w:r>
      <w:r>
        <w:rPr>
          <w:rStyle w:val="sssh"/>
        </w:rPr>
        <w:t>filing</w:t>
      </w:r>
      <w:r>
        <w:rPr>
          <w:rStyle w:val="ssrfcpassagedeactivated"/>
        </w:rPr>
        <w:t xml:space="preserve"> legal pleadings and other papers, appearing in court cases, and managing actions and proceedings on behalf of clients before judges, whether before courts or </w:t>
      </w:r>
      <w:r>
        <w:rPr>
          <w:rStyle w:val="sssh"/>
        </w:rPr>
        <w:t>administrative agencies</w:t>
      </w:r>
      <w:r>
        <w:rPr>
          <w:rStyle w:val="ssrfcpassagedeactivated"/>
        </w:rPr>
        <w:t>.</w:t>
      </w:r>
      <w:r w:rsidR="004E0310">
        <w:rPr>
          <w:rStyle w:val="ssrfcpassagedeactivated"/>
        </w:rPr>
        <w:t>”</w:t>
      </w:r>
      <w:r w:rsidR="00CC18CC">
        <w:rPr>
          <w:rStyle w:val="ssrfcpassagedeactivated"/>
        </w:rPr>
        <w:t xml:space="preserve"> </w:t>
      </w:r>
    </w:p>
    <w:p w:rsidR="00CC18CC" w:rsidRPr="006945DF" w:rsidRDefault="00CC18CC" w:rsidP="006945DF">
      <w:pPr>
        <w:pStyle w:val="FootnoteText"/>
        <w:ind w:right="720"/>
        <w:rPr>
          <w:rStyle w:val="ssrfcpassagedeactivated"/>
        </w:rPr>
      </w:pPr>
      <w:r>
        <w:rPr>
          <w:rStyle w:val="ssrfcpassagedeactivated"/>
        </w:rPr>
        <w:t xml:space="preserve">(internal cites and quotes omitted).  </w:t>
      </w:r>
      <w:r w:rsidR="004C7133" w:rsidRPr="006945DF">
        <w:rPr>
          <w:rStyle w:val="ssrfcpassagedeactivated"/>
        </w:rPr>
        <w:t xml:space="preserve">The Court continued, </w:t>
      </w:r>
    </w:p>
    <w:p w:rsidR="00D86E8B" w:rsidRDefault="000A0D3F" w:rsidP="00D86E8B">
      <w:pPr>
        <w:pStyle w:val="FootnoteText"/>
        <w:ind w:left="720" w:right="720"/>
        <w:rPr>
          <w:rStyle w:val="ssrfcpassagedeactivated"/>
        </w:rPr>
      </w:pPr>
      <w:r>
        <w:rPr>
          <w:rStyle w:val="ssrfcpassagedeactivated"/>
        </w:rPr>
        <w:t>“</w:t>
      </w:r>
      <w:r w:rsidR="00D86E8B">
        <w:rPr>
          <w:rStyle w:val="ssrfcpassagedeactivated"/>
        </w:rPr>
        <w:t xml:space="preserve">Because this court has exclusive power to regulate, control, and define the </w:t>
      </w:r>
      <w:r w:rsidR="00D86E8B">
        <w:rPr>
          <w:rStyle w:val="sssh"/>
        </w:rPr>
        <w:t>practice</w:t>
      </w:r>
      <w:r w:rsidR="00D86E8B">
        <w:rPr>
          <w:rStyle w:val="ssrfcpassagedeactivated"/>
        </w:rPr>
        <w:t xml:space="preserve"> of </w:t>
      </w:r>
      <w:r w:rsidR="00D86E8B">
        <w:rPr>
          <w:rStyle w:val="sssh"/>
        </w:rPr>
        <w:t>law</w:t>
      </w:r>
      <w:r w:rsidR="00D86E8B">
        <w:rPr>
          <w:rStyle w:val="ssrfcpassagedeactivated"/>
        </w:rPr>
        <w:t xml:space="preserve"> in Ohio, we also have the ultimate authority to determine the qualifications of persons engaged in the </w:t>
      </w:r>
      <w:r w:rsidR="00D86E8B">
        <w:rPr>
          <w:rStyle w:val="sssh"/>
        </w:rPr>
        <w:t>practice</w:t>
      </w:r>
      <w:r w:rsidR="00D86E8B">
        <w:rPr>
          <w:rStyle w:val="ssrfcpassagedeactivated"/>
        </w:rPr>
        <w:t xml:space="preserve"> of </w:t>
      </w:r>
      <w:r w:rsidR="00D86E8B">
        <w:rPr>
          <w:rStyle w:val="sssh"/>
        </w:rPr>
        <w:t>law</w:t>
      </w:r>
      <w:r w:rsidR="00D86E8B">
        <w:rPr>
          <w:rStyle w:val="ssrfcpassagedeactivated"/>
        </w:rPr>
        <w:t xml:space="preserve"> before </w:t>
      </w:r>
      <w:r w:rsidR="00D86E8B">
        <w:rPr>
          <w:rStyle w:val="sssh"/>
        </w:rPr>
        <w:t>an</w:t>
      </w:r>
      <w:r w:rsidR="00D86E8B">
        <w:rPr>
          <w:rStyle w:val="ssrfcpassagedeactivated"/>
        </w:rPr>
        <w:t xml:space="preserve"> </w:t>
      </w:r>
      <w:r w:rsidR="00D86E8B">
        <w:rPr>
          <w:rStyle w:val="sssh"/>
        </w:rPr>
        <w:t>administrative agency</w:t>
      </w:r>
      <w:r w:rsidR="00D86E8B">
        <w:rPr>
          <w:rStyle w:val="ssrfcpassagedeactivated"/>
        </w:rPr>
        <w:t xml:space="preserve">.  Even if </w:t>
      </w:r>
      <w:r w:rsidR="00D86E8B">
        <w:rPr>
          <w:rStyle w:val="sssh"/>
        </w:rPr>
        <w:t>a</w:t>
      </w:r>
      <w:r w:rsidR="00D86E8B">
        <w:rPr>
          <w:rStyle w:val="ssrfcpassagedeactivated"/>
        </w:rPr>
        <w:t xml:space="preserve"> statute or administrative rule purports to permit laypersons to </w:t>
      </w:r>
      <w:r w:rsidR="00D86E8B">
        <w:rPr>
          <w:rStyle w:val="sssh"/>
        </w:rPr>
        <w:t>practice</w:t>
      </w:r>
      <w:r w:rsidR="00D86E8B">
        <w:rPr>
          <w:rStyle w:val="ssrfcpassagedeactivated"/>
        </w:rPr>
        <w:t xml:space="preserve"> </w:t>
      </w:r>
      <w:r w:rsidR="00D86E8B">
        <w:rPr>
          <w:rStyle w:val="sssh"/>
        </w:rPr>
        <w:t>law</w:t>
      </w:r>
      <w:r w:rsidR="00D86E8B">
        <w:rPr>
          <w:rStyle w:val="ssrfcpassagedeactivated"/>
        </w:rPr>
        <w:t xml:space="preserve"> before </w:t>
      </w:r>
      <w:r w:rsidR="00D86E8B">
        <w:rPr>
          <w:rStyle w:val="sssh"/>
        </w:rPr>
        <w:t>a</w:t>
      </w:r>
      <w:r w:rsidR="00D86E8B">
        <w:rPr>
          <w:rStyle w:val="ssrfcpassagedeactivated"/>
        </w:rPr>
        <w:t xml:space="preserve"> board or </w:t>
      </w:r>
      <w:r w:rsidR="00D86E8B">
        <w:rPr>
          <w:rStyle w:val="sssh"/>
        </w:rPr>
        <w:t>an</w:t>
      </w:r>
      <w:r w:rsidR="00D86E8B">
        <w:rPr>
          <w:rStyle w:val="ssrfcpassagedeactivated"/>
        </w:rPr>
        <w:t xml:space="preserve"> </w:t>
      </w:r>
      <w:r w:rsidR="00D86E8B">
        <w:rPr>
          <w:rStyle w:val="sssh"/>
        </w:rPr>
        <w:t>administrative agency</w:t>
      </w:r>
      <w:r w:rsidR="00D86E8B">
        <w:rPr>
          <w:rStyle w:val="ssrfcpassagedeactivated"/>
        </w:rPr>
        <w:t xml:space="preserve">, this court retains the ultimate authority to determine what activities </w:t>
      </w:r>
      <w:r w:rsidR="00D86E8B">
        <w:rPr>
          <w:rStyle w:val="sssh"/>
        </w:rPr>
        <w:t>a</w:t>
      </w:r>
      <w:r w:rsidR="00D86E8B">
        <w:rPr>
          <w:rStyle w:val="ssrfcpassagedeactivated"/>
        </w:rPr>
        <w:t xml:space="preserve"> layperson may engage in without crossing the line into the </w:t>
      </w:r>
      <w:r w:rsidR="00D86E8B">
        <w:rPr>
          <w:rStyle w:val="sssh"/>
        </w:rPr>
        <w:t>unauthorized practice of law</w:t>
      </w:r>
      <w:r w:rsidR="00D86E8B">
        <w:rPr>
          <w:rStyle w:val="ssrfcpassagedeactivated"/>
        </w:rPr>
        <w:t>.</w:t>
      </w:r>
      <w:r>
        <w:rPr>
          <w:rStyle w:val="ssrfcpassagedeactivated"/>
        </w:rPr>
        <w:t>”</w:t>
      </w:r>
    </w:p>
    <w:p w:rsidR="00D86E8B" w:rsidRPr="00D86E8B" w:rsidRDefault="00D86E8B" w:rsidP="00D86E8B">
      <w:pPr>
        <w:pStyle w:val="FootnoteText"/>
        <w:ind w:right="720"/>
      </w:pPr>
      <w:r>
        <w:rPr>
          <w:rStyle w:val="ssrfcpassagedeactivated"/>
          <w:i/>
        </w:rPr>
        <w:t>Id.</w:t>
      </w:r>
      <w:r>
        <w:rPr>
          <w:rStyle w:val="ssrfcpassagedeactivated"/>
        </w:rPr>
        <w:t xml:space="preserve"> at </w:t>
      </w:r>
      <w:r>
        <w:rPr>
          <w:rStyle w:val="ssrfcpassagedeactivated"/>
          <w:rFonts w:cs="Arial"/>
        </w:rPr>
        <w:t>¶</w:t>
      </w:r>
      <w:r>
        <w:rPr>
          <w:rStyle w:val="ssrfcpassagedeactivated"/>
        </w:rPr>
        <w:t xml:space="preserve"> 40 (internal cites and quotes omitted).</w:t>
      </w:r>
    </w:p>
  </w:footnote>
  <w:footnote w:id="22">
    <w:p w:rsidR="00CB3CD8" w:rsidRDefault="00CB3CD8" w:rsidP="00CB3CD8">
      <w:pPr>
        <w:pStyle w:val="FootnoteText"/>
      </w:pPr>
      <w:r>
        <w:rPr>
          <w:rStyle w:val="FootnoteReference"/>
        </w:rPr>
        <w:footnoteRef/>
      </w:r>
      <w:r>
        <w:t xml:space="preserve"> OCC comments at 22-23.</w:t>
      </w:r>
    </w:p>
  </w:footnote>
  <w:footnote w:id="23">
    <w:p w:rsidR="00F67F92" w:rsidRDefault="00F67F92">
      <w:pPr>
        <w:pStyle w:val="FootnoteText"/>
      </w:pPr>
      <w:r>
        <w:rPr>
          <w:rStyle w:val="FootnoteReference"/>
        </w:rPr>
        <w:footnoteRef/>
      </w:r>
      <w:r>
        <w:t xml:space="preserve"> OCC Comments at 22.</w:t>
      </w:r>
    </w:p>
  </w:footnote>
  <w:footnote w:id="24">
    <w:p w:rsidR="00F67F92" w:rsidRDefault="00F67F92">
      <w:pPr>
        <w:pStyle w:val="FootnoteText"/>
      </w:pPr>
      <w:r>
        <w:rPr>
          <w:rStyle w:val="FootnoteReference"/>
        </w:rPr>
        <w:footnoteRef/>
      </w:r>
      <w:r>
        <w:t xml:space="preserve"> R.C. 4927.10(B)(1).</w:t>
      </w:r>
    </w:p>
  </w:footnote>
  <w:footnote w:id="25">
    <w:p w:rsidR="00BE3228" w:rsidRDefault="00BE3228">
      <w:pPr>
        <w:pStyle w:val="FootnoteText"/>
      </w:pPr>
      <w:r>
        <w:rPr>
          <w:rStyle w:val="FootnoteReference"/>
        </w:rPr>
        <w:footnoteRef/>
      </w:r>
      <w:r>
        <w:t xml:space="preserve"> OCC Comments at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5F" w:rsidRDefault="0031475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E6" w:rsidRDefault="00CE5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5F" w:rsidRDefault="003147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5F" w:rsidRDefault="003147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E6" w:rsidRDefault="00CE50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E6" w:rsidRDefault="00CE50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AD2" w:rsidRDefault="00F07AD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AD2" w:rsidRDefault="00F07AD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AD2" w:rsidRDefault="00F07AD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E6" w:rsidRDefault="00CE5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6495"/>
    <w:multiLevelType w:val="hybridMultilevel"/>
    <w:tmpl w:val="0D1AFC3C"/>
    <w:lvl w:ilvl="0" w:tplc="1DACB17A">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EF5501"/>
    <w:multiLevelType w:val="hybridMultilevel"/>
    <w:tmpl w:val="7E445526"/>
    <w:lvl w:ilvl="0" w:tplc="60AC036A">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46B8D"/>
    <w:multiLevelType w:val="hybridMultilevel"/>
    <w:tmpl w:val="0CC05C64"/>
    <w:lvl w:ilvl="0" w:tplc="ED14E14A">
      <w:start w:val="1"/>
      <w:numFmt w:val="decimal"/>
      <w:pStyle w:val="Heading3"/>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3">
    <w:nsid w:val="57D96743"/>
    <w:multiLevelType w:val="hybridMultilevel"/>
    <w:tmpl w:val="9C32D4A6"/>
    <w:lvl w:ilvl="0" w:tplc="709228B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E577C3"/>
    <w:multiLevelType w:val="hybridMultilevel"/>
    <w:tmpl w:val="3E163B6E"/>
    <w:name w:val="(Unnamed Numbering Scheme)"/>
    <w:lvl w:ilvl="0" w:tplc="65086DE0">
      <w:start w:val="1"/>
      <w:numFmt w:val="upperRoman"/>
      <w:pStyle w:val="Heading1"/>
      <w:lvlText w:val="%1."/>
      <w:lvlJc w:val="right"/>
      <w:pPr>
        <w:ind w:left="360" w:hanging="360"/>
      </w:pPr>
      <w:rPr>
        <w:vanish w:val="0"/>
      </w:rPr>
    </w:lvl>
    <w:lvl w:ilvl="1" w:tplc="56A6857C" w:tentative="1">
      <w:start w:val="1"/>
      <w:numFmt w:val="lowerLetter"/>
      <w:lvlText w:val="%2."/>
      <w:lvlJc w:val="left"/>
      <w:pPr>
        <w:ind w:left="1440" w:hanging="360"/>
      </w:pPr>
      <w:rPr>
        <w:vanish w:val="0"/>
      </w:rPr>
    </w:lvl>
    <w:lvl w:ilvl="2" w:tplc="4CAA655E" w:tentative="1">
      <w:start w:val="1"/>
      <w:numFmt w:val="lowerRoman"/>
      <w:lvlText w:val="%3."/>
      <w:lvlJc w:val="right"/>
      <w:pPr>
        <w:ind w:left="2160" w:hanging="180"/>
      </w:pPr>
      <w:rPr>
        <w:vanish w:val="0"/>
      </w:rPr>
    </w:lvl>
    <w:lvl w:ilvl="3" w:tplc="3E5A50AA" w:tentative="1">
      <w:start w:val="1"/>
      <w:numFmt w:val="decimal"/>
      <w:lvlText w:val="%4."/>
      <w:lvlJc w:val="left"/>
      <w:pPr>
        <w:ind w:left="2880" w:hanging="360"/>
      </w:pPr>
      <w:rPr>
        <w:vanish w:val="0"/>
      </w:rPr>
    </w:lvl>
    <w:lvl w:ilvl="4" w:tplc="5150B9D6" w:tentative="1">
      <w:start w:val="1"/>
      <w:numFmt w:val="lowerLetter"/>
      <w:lvlText w:val="%5."/>
      <w:lvlJc w:val="left"/>
      <w:pPr>
        <w:ind w:left="3600" w:hanging="360"/>
      </w:pPr>
      <w:rPr>
        <w:vanish w:val="0"/>
      </w:rPr>
    </w:lvl>
    <w:lvl w:ilvl="5" w:tplc="500089A2" w:tentative="1">
      <w:start w:val="1"/>
      <w:numFmt w:val="lowerRoman"/>
      <w:lvlText w:val="%6."/>
      <w:lvlJc w:val="right"/>
      <w:pPr>
        <w:ind w:left="4320" w:hanging="180"/>
      </w:pPr>
      <w:rPr>
        <w:vanish w:val="0"/>
      </w:rPr>
    </w:lvl>
    <w:lvl w:ilvl="6" w:tplc="69DC8A34" w:tentative="1">
      <w:start w:val="1"/>
      <w:numFmt w:val="decimal"/>
      <w:lvlText w:val="%7."/>
      <w:lvlJc w:val="left"/>
      <w:pPr>
        <w:ind w:left="5040" w:hanging="360"/>
      </w:pPr>
      <w:rPr>
        <w:vanish w:val="0"/>
      </w:rPr>
    </w:lvl>
    <w:lvl w:ilvl="7" w:tplc="9D1499FE" w:tentative="1">
      <w:start w:val="1"/>
      <w:numFmt w:val="lowerLetter"/>
      <w:lvlText w:val="%8."/>
      <w:lvlJc w:val="left"/>
      <w:pPr>
        <w:ind w:left="5760" w:hanging="360"/>
      </w:pPr>
      <w:rPr>
        <w:vanish w:val="0"/>
      </w:rPr>
    </w:lvl>
    <w:lvl w:ilvl="8" w:tplc="64BC08E4" w:tentative="1">
      <w:start w:val="1"/>
      <w:numFmt w:val="lowerRoman"/>
      <w:lvlText w:val="%9."/>
      <w:lvlJc w:val="right"/>
      <w:pPr>
        <w:ind w:left="6480" w:hanging="180"/>
      </w:pPr>
      <w:rPr>
        <w:vanish w:val="0"/>
      </w:rPr>
    </w:lvl>
  </w:abstractNum>
  <w:abstractNum w:abstractNumId="5">
    <w:nsid w:val="61315EC1"/>
    <w:multiLevelType w:val="hybridMultilevel"/>
    <w:tmpl w:val="9E1AD30C"/>
    <w:lvl w:ilvl="0" w:tplc="93D013FA">
      <w:start w:val="1"/>
      <w:numFmt w:val="lowerRoman"/>
      <w:pStyle w:val="Heading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8567E"/>
    <w:multiLevelType w:val="hybridMultilevel"/>
    <w:tmpl w:val="BBC0505E"/>
    <w:lvl w:ilvl="0" w:tplc="80F24E1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4"/>
  </w:num>
  <w:num w:numId="5">
    <w:abstractNumId w:val="4"/>
  </w:num>
  <w:num w:numId="6">
    <w:abstractNumId w:val="4"/>
  </w:num>
  <w:num w:numId="7">
    <w:abstractNumId w:val="4"/>
  </w:num>
  <w:num w:numId="8">
    <w:abstractNumId w:val="2"/>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ExcludeDirectFormattingInTOC" w:val="False"/>
    <w:docVar w:name="HyperlinkTOC" w:val="False"/>
    <w:docVar w:name="IncludeTOCAndPageHeadings" w:val="True"/>
    <w:docVar w:name="NoNumberLevel1TOC"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Position" w:val="Current cursor position"/>
    <w:docVar w:name="TOCRun" w:val="True"/>
    <w:docVar w:name="TOCSpecialLevels" w:val="False"/>
    <w:docVar w:name="UnderlineTOCLevel1" w:val="False"/>
    <w:docVar w:name="UpperLevelTOC" w:val="2"/>
  </w:docVars>
  <w:rsids>
    <w:rsidRoot w:val="00AA2FE4"/>
    <w:rsid w:val="00014C41"/>
    <w:rsid w:val="00022451"/>
    <w:rsid w:val="00037FA4"/>
    <w:rsid w:val="00057071"/>
    <w:rsid w:val="000779D9"/>
    <w:rsid w:val="000A0D3F"/>
    <w:rsid w:val="000A386D"/>
    <w:rsid w:val="000B3426"/>
    <w:rsid w:val="000C7FE0"/>
    <w:rsid w:val="001229EE"/>
    <w:rsid w:val="001511B1"/>
    <w:rsid w:val="00154257"/>
    <w:rsid w:val="001A5ED3"/>
    <w:rsid w:val="001B1AB5"/>
    <w:rsid w:val="001C6241"/>
    <w:rsid w:val="001F108C"/>
    <w:rsid w:val="001F6AF2"/>
    <w:rsid w:val="002319FF"/>
    <w:rsid w:val="0027419F"/>
    <w:rsid w:val="00283778"/>
    <w:rsid w:val="00294FB5"/>
    <w:rsid w:val="002B1EF7"/>
    <w:rsid w:val="002B4F53"/>
    <w:rsid w:val="002F0627"/>
    <w:rsid w:val="0031475F"/>
    <w:rsid w:val="00324E68"/>
    <w:rsid w:val="0036241A"/>
    <w:rsid w:val="00381189"/>
    <w:rsid w:val="003B43D0"/>
    <w:rsid w:val="00474AA3"/>
    <w:rsid w:val="00482A8F"/>
    <w:rsid w:val="004C5521"/>
    <w:rsid w:val="004C7133"/>
    <w:rsid w:val="004E0310"/>
    <w:rsid w:val="004E219D"/>
    <w:rsid w:val="00500935"/>
    <w:rsid w:val="005443D0"/>
    <w:rsid w:val="00567E11"/>
    <w:rsid w:val="00596735"/>
    <w:rsid w:val="005C5D65"/>
    <w:rsid w:val="0060537D"/>
    <w:rsid w:val="0064074A"/>
    <w:rsid w:val="00693470"/>
    <w:rsid w:val="00693BE3"/>
    <w:rsid w:val="00693F34"/>
    <w:rsid w:val="006945DF"/>
    <w:rsid w:val="00733175"/>
    <w:rsid w:val="00743A29"/>
    <w:rsid w:val="00755BD8"/>
    <w:rsid w:val="0077295D"/>
    <w:rsid w:val="00781464"/>
    <w:rsid w:val="007B137B"/>
    <w:rsid w:val="007B2A28"/>
    <w:rsid w:val="008204A0"/>
    <w:rsid w:val="00827CED"/>
    <w:rsid w:val="00827FA9"/>
    <w:rsid w:val="008454C5"/>
    <w:rsid w:val="0085427C"/>
    <w:rsid w:val="0085765B"/>
    <w:rsid w:val="0086382A"/>
    <w:rsid w:val="008866E2"/>
    <w:rsid w:val="00886FCC"/>
    <w:rsid w:val="008E3BF4"/>
    <w:rsid w:val="00933225"/>
    <w:rsid w:val="00973F6E"/>
    <w:rsid w:val="009856D4"/>
    <w:rsid w:val="009C035E"/>
    <w:rsid w:val="009C7F62"/>
    <w:rsid w:val="009D76F7"/>
    <w:rsid w:val="009F7A1E"/>
    <w:rsid w:val="00A30E89"/>
    <w:rsid w:val="00A71447"/>
    <w:rsid w:val="00A71A13"/>
    <w:rsid w:val="00A75028"/>
    <w:rsid w:val="00AA2FE4"/>
    <w:rsid w:val="00AB589C"/>
    <w:rsid w:val="00AC1B62"/>
    <w:rsid w:val="00AD06EE"/>
    <w:rsid w:val="00AE3F29"/>
    <w:rsid w:val="00B15167"/>
    <w:rsid w:val="00B15881"/>
    <w:rsid w:val="00B66877"/>
    <w:rsid w:val="00B92B7C"/>
    <w:rsid w:val="00B9662B"/>
    <w:rsid w:val="00BD5FFC"/>
    <w:rsid w:val="00BE3228"/>
    <w:rsid w:val="00C02225"/>
    <w:rsid w:val="00C0405A"/>
    <w:rsid w:val="00C15C7F"/>
    <w:rsid w:val="00C7652A"/>
    <w:rsid w:val="00C96A7D"/>
    <w:rsid w:val="00CB092C"/>
    <w:rsid w:val="00CB3CD8"/>
    <w:rsid w:val="00CC18CC"/>
    <w:rsid w:val="00CC7597"/>
    <w:rsid w:val="00CE50E6"/>
    <w:rsid w:val="00D01653"/>
    <w:rsid w:val="00D07F3C"/>
    <w:rsid w:val="00D26E8A"/>
    <w:rsid w:val="00D51BF5"/>
    <w:rsid w:val="00D61597"/>
    <w:rsid w:val="00D62858"/>
    <w:rsid w:val="00D86E8B"/>
    <w:rsid w:val="00E2604C"/>
    <w:rsid w:val="00E40674"/>
    <w:rsid w:val="00E77385"/>
    <w:rsid w:val="00EA4EFE"/>
    <w:rsid w:val="00EC0541"/>
    <w:rsid w:val="00EE2F48"/>
    <w:rsid w:val="00EE5B82"/>
    <w:rsid w:val="00F07AD2"/>
    <w:rsid w:val="00F2381B"/>
    <w:rsid w:val="00F31762"/>
    <w:rsid w:val="00F32CD2"/>
    <w:rsid w:val="00F67F92"/>
    <w:rsid w:val="00F7139F"/>
    <w:rsid w:val="00F8229A"/>
    <w:rsid w:val="00FA681E"/>
    <w:rsid w:val="00FB181C"/>
    <w:rsid w:val="00FD27C0"/>
    <w:rsid w:val="00FD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41"/>
    <w:pPr>
      <w:spacing w:line="480" w:lineRule="auto"/>
    </w:pPr>
  </w:style>
  <w:style w:type="paragraph" w:styleId="Heading1">
    <w:name w:val="heading 1"/>
    <w:basedOn w:val="Normal"/>
    <w:next w:val="Normal"/>
    <w:link w:val="Heading1Char"/>
    <w:uiPriority w:val="9"/>
    <w:qFormat/>
    <w:rsid w:val="00933225"/>
    <w:pPr>
      <w:numPr>
        <w:numId w:val="7"/>
      </w:numPr>
      <w:spacing w:after="240" w:line="240" w:lineRule="auto"/>
      <w:jc w:val="both"/>
      <w:outlineLvl w:val="0"/>
    </w:pPr>
    <w:rPr>
      <w:rFonts w:eastAsia="Times New Roman" w:cs="Times New Roman"/>
      <w:b/>
      <w:caps/>
      <w:szCs w:val="20"/>
      <w:u w:val="single"/>
    </w:rPr>
  </w:style>
  <w:style w:type="paragraph" w:styleId="Heading2">
    <w:name w:val="heading 2"/>
    <w:basedOn w:val="ListParagraph"/>
    <w:next w:val="Normal"/>
    <w:link w:val="Heading2Char"/>
    <w:uiPriority w:val="9"/>
    <w:unhideWhenUsed/>
    <w:qFormat/>
    <w:rsid w:val="008204A0"/>
    <w:pPr>
      <w:numPr>
        <w:numId w:val="11"/>
      </w:numPr>
      <w:spacing w:after="240" w:line="240" w:lineRule="auto"/>
      <w:ind w:left="1080"/>
      <w:contextualSpacing w:val="0"/>
      <w:jc w:val="both"/>
      <w:outlineLvl w:val="1"/>
    </w:pPr>
    <w:rPr>
      <w:rFonts w:eastAsia="Times New Roman" w:cs="Times New Roman"/>
      <w:b/>
      <w:szCs w:val="22"/>
    </w:rPr>
  </w:style>
  <w:style w:type="paragraph" w:styleId="Heading3">
    <w:name w:val="heading 3"/>
    <w:basedOn w:val="ListParagraph"/>
    <w:next w:val="Normal"/>
    <w:link w:val="Heading3Char"/>
    <w:uiPriority w:val="9"/>
    <w:unhideWhenUsed/>
    <w:qFormat/>
    <w:rsid w:val="00693F34"/>
    <w:pPr>
      <w:numPr>
        <w:numId w:val="8"/>
      </w:numPr>
      <w:spacing w:after="240" w:line="240" w:lineRule="auto"/>
      <w:contextualSpacing w:val="0"/>
      <w:jc w:val="both"/>
      <w:outlineLvl w:val="2"/>
    </w:pPr>
    <w:rPr>
      <w:rFonts w:cs="Arial"/>
      <w:b/>
      <w:szCs w:val="22"/>
    </w:rPr>
  </w:style>
  <w:style w:type="paragraph" w:styleId="Heading4">
    <w:name w:val="heading 4"/>
    <w:basedOn w:val="Normal"/>
    <w:next w:val="Normal"/>
    <w:link w:val="Heading4Char"/>
    <w:uiPriority w:val="9"/>
    <w:unhideWhenUsed/>
    <w:qFormat/>
    <w:rsid w:val="009C7F62"/>
    <w:pPr>
      <w:keepNext/>
      <w:keepLines/>
      <w:numPr>
        <w:numId w:val="9"/>
      </w:numPr>
      <w:spacing w:after="240"/>
      <w:jc w:val="both"/>
      <w:outlineLvl w:val="3"/>
    </w:pPr>
    <w:rPr>
      <w:rFonts w:eastAsiaTheme="majorEastAsia" w:cstheme="majorBidi"/>
      <w:b/>
      <w:bCs/>
      <w:i/>
      <w:iCs/>
      <w:szCs w:val="22"/>
    </w:rPr>
  </w:style>
  <w:style w:type="paragraph" w:styleId="Heading5">
    <w:name w:val="heading 5"/>
    <w:basedOn w:val="Normal"/>
    <w:next w:val="Normal"/>
    <w:link w:val="Heading5Char"/>
    <w:uiPriority w:val="9"/>
    <w:semiHidden/>
    <w:unhideWhenUsed/>
    <w:qFormat/>
    <w:rsid w:val="001B1A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7F62"/>
    <w:pPr>
      <w:keepNext/>
      <w:keepLines/>
      <w:numPr>
        <w:numId w:val="10"/>
      </w:numPr>
      <w:spacing w:after="240"/>
      <w:jc w:val="both"/>
      <w:outlineLvl w:val="5"/>
    </w:pPr>
    <w:rPr>
      <w:rFonts w:eastAsiaTheme="majorEastAsia" w:cstheme="majorBidi"/>
      <w:i/>
      <w:iCs/>
      <w:szCs w:val="22"/>
    </w:rPr>
  </w:style>
  <w:style w:type="paragraph" w:styleId="Heading7">
    <w:name w:val="heading 7"/>
    <w:basedOn w:val="Normal"/>
    <w:next w:val="Normal"/>
    <w:link w:val="Heading7Char"/>
    <w:uiPriority w:val="9"/>
    <w:semiHidden/>
    <w:unhideWhenUsed/>
    <w:qFormat/>
    <w:rsid w:val="001B1A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1A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B1A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225"/>
    <w:rPr>
      <w:rFonts w:eastAsia="Times New Roman" w:cs="Times New Roman"/>
      <w:b/>
      <w:caps/>
      <w:szCs w:val="20"/>
      <w:u w:val="single"/>
    </w:rPr>
  </w:style>
  <w:style w:type="character" w:customStyle="1" w:styleId="Heading2Char">
    <w:name w:val="Heading 2 Char"/>
    <w:basedOn w:val="DefaultParagraphFont"/>
    <w:link w:val="Heading2"/>
    <w:uiPriority w:val="9"/>
    <w:rsid w:val="008204A0"/>
    <w:rPr>
      <w:rFonts w:eastAsia="Times New Roman" w:cs="Times New Roman"/>
      <w:b/>
      <w:szCs w:val="22"/>
    </w:rPr>
  </w:style>
  <w:style w:type="paragraph" w:styleId="ListParagraph">
    <w:name w:val="List Paragraph"/>
    <w:basedOn w:val="Normal"/>
    <w:uiPriority w:val="34"/>
    <w:qFormat/>
    <w:rsid w:val="009C035E"/>
    <w:pPr>
      <w:ind w:left="720"/>
      <w:contextualSpacing/>
    </w:p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sid w:val="00D26E8A"/>
    <w:pPr>
      <w:spacing w:after="120" w:line="240" w:lineRule="auto"/>
      <w:jc w:val="both"/>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D26E8A"/>
    <w:rPr>
      <w:sz w:val="20"/>
      <w:szCs w:val="20"/>
    </w:rPr>
  </w:style>
  <w:style w:type="character" w:customStyle="1" w:styleId="Heading3Char">
    <w:name w:val="Heading 3 Char"/>
    <w:basedOn w:val="DefaultParagraphFont"/>
    <w:link w:val="Heading3"/>
    <w:uiPriority w:val="9"/>
    <w:rsid w:val="00693F34"/>
    <w:rPr>
      <w:rFonts w:cs="Arial"/>
      <w:b/>
      <w:szCs w:val="22"/>
    </w:rPr>
  </w:style>
  <w:style w:type="character" w:customStyle="1" w:styleId="Heading4Char">
    <w:name w:val="Heading 4 Char"/>
    <w:basedOn w:val="DefaultParagraphFont"/>
    <w:link w:val="Heading4"/>
    <w:uiPriority w:val="9"/>
    <w:rsid w:val="009C7F62"/>
    <w:rPr>
      <w:rFonts w:eastAsiaTheme="majorEastAsia" w:cstheme="majorBidi"/>
      <w:b/>
      <w:bCs/>
      <w:i/>
      <w:iCs/>
      <w:szCs w:val="22"/>
    </w:rPr>
  </w:style>
  <w:style w:type="character" w:customStyle="1" w:styleId="Heading6Char">
    <w:name w:val="Heading 6 Char"/>
    <w:basedOn w:val="DefaultParagraphFont"/>
    <w:link w:val="Heading6"/>
    <w:uiPriority w:val="9"/>
    <w:rsid w:val="009C7F62"/>
    <w:rPr>
      <w:rFonts w:eastAsiaTheme="majorEastAsia" w:cstheme="majorBidi"/>
      <w:i/>
      <w:iCs/>
      <w:szCs w:val="22"/>
    </w:rPr>
  </w:style>
  <w:style w:type="paragraph" w:styleId="Header">
    <w:name w:val="header"/>
    <w:basedOn w:val="Normal"/>
    <w:link w:val="HeaderChar"/>
    <w:uiPriority w:val="99"/>
    <w:unhideWhenUsed/>
    <w:rsid w:val="00AA2FE4"/>
    <w:pPr>
      <w:tabs>
        <w:tab w:val="center" w:pos="4680"/>
        <w:tab w:val="right" w:pos="9360"/>
      </w:tabs>
    </w:pPr>
  </w:style>
  <w:style w:type="character" w:customStyle="1" w:styleId="HeaderChar">
    <w:name w:val="Header Char"/>
    <w:basedOn w:val="DefaultParagraphFont"/>
    <w:link w:val="Header"/>
    <w:uiPriority w:val="99"/>
    <w:rsid w:val="00AA2FE4"/>
  </w:style>
  <w:style w:type="paragraph" w:styleId="Footer">
    <w:name w:val="footer"/>
    <w:basedOn w:val="Normal"/>
    <w:link w:val="FooterChar"/>
    <w:uiPriority w:val="99"/>
    <w:unhideWhenUsed/>
    <w:rsid w:val="00AA2FE4"/>
    <w:pPr>
      <w:tabs>
        <w:tab w:val="center" w:pos="4680"/>
        <w:tab w:val="right" w:pos="9360"/>
      </w:tabs>
    </w:pPr>
  </w:style>
  <w:style w:type="character" w:customStyle="1" w:styleId="FooterChar">
    <w:name w:val="Footer Char"/>
    <w:basedOn w:val="DefaultParagraphFont"/>
    <w:link w:val="Footer"/>
    <w:uiPriority w:val="99"/>
    <w:rsid w:val="00AA2FE4"/>
  </w:style>
  <w:style w:type="character" w:styleId="FootnoteReference">
    <w:name w:val="footnote reference"/>
    <w:basedOn w:val="DefaultParagraphFont"/>
    <w:uiPriority w:val="99"/>
    <w:semiHidden/>
    <w:unhideWhenUsed/>
    <w:rsid w:val="00D26E8A"/>
    <w:rPr>
      <w:vertAlign w:val="superscript"/>
    </w:rPr>
  </w:style>
  <w:style w:type="character" w:styleId="Hyperlink">
    <w:name w:val="Hyperlink"/>
    <w:basedOn w:val="DefaultParagraphFont"/>
    <w:uiPriority w:val="99"/>
    <w:unhideWhenUsed/>
    <w:rsid w:val="00F2381B"/>
    <w:rPr>
      <w:color w:val="0000FF"/>
      <w:u w:val="single"/>
    </w:rPr>
  </w:style>
  <w:style w:type="paragraph" w:styleId="BalloonText">
    <w:name w:val="Balloon Text"/>
    <w:basedOn w:val="Normal"/>
    <w:link w:val="BalloonTextChar"/>
    <w:uiPriority w:val="99"/>
    <w:semiHidden/>
    <w:unhideWhenUsed/>
    <w:rsid w:val="00B158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881"/>
    <w:rPr>
      <w:rFonts w:ascii="Tahoma" w:hAnsi="Tahoma" w:cs="Tahoma"/>
      <w:sz w:val="16"/>
      <w:szCs w:val="16"/>
    </w:rPr>
  </w:style>
  <w:style w:type="character" w:styleId="CommentReference">
    <w:name w:val="annotation reference"/>
    <w:basedOn w:val="DefaultParagraphFont"/>
    <w:uiPriority w:val="99"/>
    <w:semiHidden/>
    <w:unhideWhenUsed/>
    <w:rsid w:val="00D51BF5"/>
    <w:rPr>
      <w:sz w:val="16"/>
      <w:szCs w:val="16"/>
    </w:rPr>
  </w:style>
  <w:style w:type="paragraph" w:styleId="CommentText">
    <w:name w:val="annotation text"/>
    <w:basedOn w:val="Normal"/>
    <w:link w:val="CommentTextChar"/>
    <w:uiPriority w:val="99"/>
    <w:semiHidden/>
    <w:unhideWhenUsed/>
    <w:rsid w:val="00D51BF5"/>
    <w:pPr>
      <w:spacing w:line="240" w:lineRule="auto"/>
    </w:pPr>
    <w:rPr>
      <w:sz w:val="20"/>
      <w:szCs w:val="20"/>
    </w:rPr>
  </w:style>
  <w:style w:type="character" w:customStyle="1" w:styleId="CommentTextChar">
    <w:name w:val="Comment Text Char"/>
    <w:basedOn w:val="DefaultParagraphFont"/>
    <w:link w:val="CommentText"/>
    <w:uiPriority w:val="99"/>
    <w:semiHidden/>
    <w:rsid w:val="00D51BF5"/>
    <w:rPr>
      <w:sz w:val="20"/>
      <w:szCs w:val="20"/>
    </w:rPr>
  </w:style>
  <w:style w:type="paragraph" w:styleId="CommentSubject">
    <w:name w:val="annotation subject"/>
    <w:basedOn w:val="CommentText"/>
    <w:next w:val="CommentText"/>
    <w:link w:val="CommentSubjectChar"/>
    <w:uiPriority w:val="99"/>
    <w:semiHidden/>
    <w:unhideWhenUsed/>
    <w:rsid w:val="00D51BF5"/>
    <w:rPr>
      <w:b/>
      <w:bCs/>
    </w:rPr>
  </w:style>
  <w:style w:type="character" w:customStyle="1" w:styleId="CommentSubjectChar">
    <w:name w:val="Comment Subject Char"/>
    <w:basedOn w:val="CommentTextChar"/>
    <w:link w:val="CommentSubject"/>
    <w:uiPriority w:val="99"/>
    <w:semiHidden/>
    <w:rsid w:val="00D51BF5"/>
    <w:rPr>
      <w:b/>
      <w:bCs/>
      <w:sz w:val="20"/>
      <w:szCs w:val="20"/>
    </w:rPr>
  </w:style>
  <w:style w:type="character" w:customStyle="1" w:styleId="ssrfcpassagedeactivated">
    <w:name w:val="ss_rfcpassage_deactivated"/>
    <w:basedOn w:val="DefaultParagraphFont"/>
    <w:rsid w:val="00D86E8B"/>
  </w:style>
  <w:style w:type="character" w:customStyle="1" w:styleId="sssh">
    <w:name w:val="ss_sh"/>
    <w:basedOn w:val="DefaultParagraphFont"/>
    <w:rsid w:val="00D86E8B"/>
  </w:style>
  <w:style w:type="paragraph" w:styleId="TOC2">
    <w:name w:val="toc 2"/>
    <w:basedOn w:val="Normal"/>
    <w:next w:val="Normal"/>
    <w:autoRedefine/>
    <w:uiPriority w:val="39"/>
    <w:unhideWhenUsed/>
    <w:rsid w:val="0031475F"/>
    <w:pPr>
      <w:tabs>
        <w:tab w:val="right" w:leader="dot" w:pos="9360"/>
      </w:tabs>
      <w:spacing w:after="240" w:line="240" w:lineRule="auto"/>
      <w:ind w:left="1440" w:right="360" w:hanging="720"/>
    </w:pPr>
  </w:style>
  <w:style w:type="paragraph" w:styleId="TOCHeading">
    <w:name w:val="TOC Heading"/>
    <w:basedOn w:val="Normal"/>
    <w:next w:val="TOC1"/>
    <w:uiPriority w:val="39"/>
    <w:unhideWhenUsed/>
    <w:qFormat/>
    <w:rsid w:val="001B1AB5"/>
    <w:pPr>
      <w:keepNext/>
      <w:keepLines/>
      <w:spacing w:before="480" w:after="240" w:line="240" w:lineRule="auto"/>
      <w:jc w:val="center"/>
    </w:pPr>
    <w:rPr>
      <w:rFonts w:eastAsiaTheme="majorEastAsia" w:cs="Arial"/>
      <w:b/>
      <w:bCs/>
      <w:color w:val="365F91" w:themeColor="accent1" w:themeShade="BF"/>
      <w:szCs w:val="28"/>
    </w:rPr>
  </w:style>
  <w:style w:type="paragraph" w:styleId="TOC1">
    <w:name w:val="toc 1"/>
    <w:basedOn w:val="Normal"/>
    <w:next w:val="Normal"/>
    <w:autoRedefine/>
    <w:uiPriority w:val="39"/>
    <w:unhideWhenUsed/>
    <w:rsid w:val="0031475F"/>
    <w:pPr>
      <w:tabs>
        <w:tab w:val="right" w:leader="dot" w:pos="9350"/>
      </w:tabs>
      <w:spacing w:after="100"/>
      <w:ind w:left="720" w:hanging="720"/>
    </w:pPr>
  </w:style>
  <w:style w:type="paragraph" w:styleId="TOC3">
    <w:name w:val="toc 3"/>
    <w:basedOn w:val="Normal"/>
    <w:next w:val="Normal"/>
    <w:autoRedefine/>
    <w:uiPriority w:val="39"/>
    <w:semiHidden/>
    <w:unhideWhenUsed/>
    <w:rsid w:val="001B1AB5"/>
    <w:pPr>
      <w:spacing w:after="100"/>
      <w:ind w:left="480"/>
    </w:pPr>
  </w:style>
  <w:style w:type="paragraph" w:styleId="TOC4">
    <w:name w:val="toc 4"/>
    <w:basedOn w:val="Normal"/>
    <w:next w:val="Normal"/>
    <w:autoRedefine/>
    <w:uiPriority w:val="39"/>
    <w:semiHidden/>
    <w:unhideWhenUsed/>
    <w:rsid w:val="001B1AB5"/>
    <w:pPr>
      <w:spacing w:after="100"/>
      <w:ind w:left="720"/>
    </w:pPr>
  </w:style>
  <w:style w:type="paragraph" w:styleId="TOC5">
    <w:name w:val="toc 5"/>
    <w:basedOn w:val="Normal"/>
    <w:next w:val="Normal"/>
    <w:autoRedefine/>
    <w:uiPriority w:val="39"/>
    <w:semiHidden/>
    <w:unhideWhenUsed/>
    <w:rsid w:val="001B1AB5"/>
    <w:pPr>
      <w:spacing w:after="100"/>
      <w:ind w:left="960"/>
    </w:pPr>
  </w:style>
  <w:style w:type="paragraph" w:styleId="TOC6">
    <w:name w:val="toc 6"/>
    <w:basedOn w:val="Normal"/>
    <w:next w:val="Normal"/>
    <w:autoRedefine/>
    <w:uiPriority w:val="39"/>
    <w:semiHidden/>
    <w:unhideWhenUsed/>
    <w:rsid w:val="001B1AB5"/>
    <w:pPr>
      <w:spacing w:after="100"/>
      <w:ind w:left="1200"/>
    </w:pPr>
  </w:style>
  <w:style w:type="paragraph" w:styleId="TOC7">
    <w:name w:val="toc 7"/>
    <w:basedOn w:val="Normal"/>
    <w:next w:val="Normal"/>
    <w:autoRedefine/>
    <w:uiPriority w:val="39"/>
    <w:semiHidden/>
    <w:unhideWhenUsed/>
    <w:rsid w:val="001B1AB5"/>
    <w:pPr>
      <w:spacing w:after="100"/>
      <w:ind w:left="1440"/>
    </w:pPr>
  </w:style>
  <w:style w:type="paragraph" w:styleId="TOC8">
    <w:name w:val="toc 8"/>
    <w:basedOn w:val="Normal"/>
    <w:next w:val="Normal"/>
    <w:autoRedefine/>
    <w:uiPriority w:val="39"/>
    <w:semiHidden/>
    <w:unhideWhenUsed/>
    <w:rsid w:val="001B1AB5"/>
    <w:pPr>
      <w:spacing w:after="100"/>
      <w:ind w:left="1680"/>
    </w:pPr>
  </w:style>
  <w:style w:type="paragraph" w:styleId="TOC9">
    <w:name w:val="toc 9"/>
    <w:basedOn w:val="Normal"/>
    <w:next w:val="Normal"/>
    <w:autoRedefine/>
    <w:uiPriority w:val="39"/>
    <w:semiHidden/>
    <w:unhideWhenUsed/>
    <w:rsid w:val="001B1AB5"/>
    <w:pPr>
      <w:spacing w:after="100"/>
      <w:ind w:left="1920"/>
    </w:pPr>
  </w:style>
  <w:style w:type="paragraph" w:customStyle="1" w:styleId="TOCPage">
    <w:name w:val="TOC Page"/>
    <w:basedOn w:val="Normal"/>
    <w:next w:val="Normal"/>
    <w:link w:val="TOCPageChar"/>
    <w:rsid w:val="001B1AB5"/>
    <w:pPr>
      <w:tabs>
        <w:tab w:val="left" w:pos="4140"/>
      </w:tabs>
      <w:spacing w:after="240" w:line="240" w:lineRule="auto"/>
      <w:jc w:val="right"/>
    </w:pPr>
    <w:rPr>
      <w:rFonts w:cs="Arial"/>
      <w:b/>
      <w:smallCaps/>
    </w:rPr>
  </w:style>
  <w:style w:type="character" w:customStyle="1" w:styleId="TOCPageChar">
    <w:name w:val="TOC Page Char"/>
    <w:basedOn w:val="DefaultParagraphFont"/>
    <w:link w:val="TOCPage"/>
    <w:rsid w:val="001B1AB5"/>
    <w:rPr>
      <w:rFonts w:cs="Arial"/>
      <w:b/>
      <w:smallCaps/>
    </w:rPr>
  </w:style>
  <w:style w:type="character" w:customStyle="1" w:styleId="Heading5Char">
    <w:name w:val="Heading 5 Char"/>
    <w:basedOn w:val="DefaultParagraphFont"/>
    <w:link w:val="Heading5"/>
    <w:uiPriority w:val="9"/>
    <w:semiHidden/>
    <w:rsid w:val="001B1AB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B1A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1A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1AB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41"/>
    <w:pPr>
      <w:spacing w:line="480" w:lineRule="auto"/>
    </w:pPr>
  </w:style>
  <w:style w:type="paragraph" w:styleId="Heading1">
    <w:name w:val="heading 1"/>
    <w:basedOn w:val="Normal"/>
    <w:next w:val="Normal"/>
    <w:link w:val="Heading1Char"/>
    <w:uiPriority w:val="9"/>
    <w:qFormat/>
    <w:rsid w:val="00933225"/>
    <w:pPr>
      <w:numPr>
        <w:numId w:val="7"/>
      </w:numPr>
      <w:spacing w:after="240" w:line="240" w:lineRule="auto"/>
      <w:jc w:val="both"/>
      <w:outlineLvl w:val="0"/>
    </w:pPr>
    <w:rPr>
      <w:rFonts w:eastAsia="Times New Roman" w:cs="Times New Roman"/>
      <w:b/>
      <w:caps/>
      <w:szCs w:val="20"/>
      <w:u w:val="single"/>
    </w:rPr>
  </w:style>
  <w:style w:type="paragraph" w:styleId="Heading2">
    <w:name w:val="heading 2"/>
    <w:basedOn w:val="ListParagraph"/>
    <w:next w:val="Normal"/>
    <w:link w:val="Heading2Char"/>
    <w:uiPriority w:val="9"/>
    <w:unhideWhenUsed/>
    <w:qFormat/>
    <w:rsid w:val="008204A0"/>
    <w:pPr>
      <w:numPr>
        <w:numId w:val="11"/>
      </w:numPr>
      <w:spacing w:after="240" w:line="240" w:lineRule="auto"/>
      <w:ind w:left="1080"/>
      <w:contextualSpacing w:val="0"/>
      <w:jc w:val="both"/>
      <w:outlineLvl w:val="1"/>
    </w:pPr>
    <w:rPr>
      <w:rFonts w:eastAsia="Times New Roman" w:cs="Times New Roman"/>
      <w:b/>
      <w:szCs w:val="22"/>
    </w:rPr>
  </w:style>
  <w:style w:type="paragraph" w:styleId="Heading3">
    <w:name w:val="heading 3"/>
    <w:basedOn w:val="ListParagraph"/>
    <w:next w:val="Normal"/>
    <w:link w:val="Heading3Char"/>
    <w:uiPriority w:val="9"/>
    <w:unhideWhenUsed/>
    <w:qFormat/>
    <w:rsid w:val="00693F34"/>
    <w:pPr>
      <w:numPr>
        <w:numId w:val="8"/>
      </w:numPr>
      <w:spacing w:after="240" w:line="240" w:lineRule="auto"/>
      <w:contextualSpacing w:val="0"/>
      <w:jc w:val="both"/>
      <w:outlineLvl w:val="2"/>
    </w:pPr>
    <w:rPr>
      <w:rFonts w:cs="Arial"/>
      <w:b/>
      <w:szCs w:val="22"/>
    </w:rPr>
  </w:style>
  <w:style w:type="paragraph" w:styleId="Heading4">
    <w:name w:val="heading 4"/>
    <w:basedOn w:val="Normal"/>
    <w:next w:val="Normal"/>
    <w:link w:val="Heading4Char"/>
    <w:uiPriority w:val="9"/>
    <w:unhideWhenUsed/>
    <w:qFormat/>
    <w:rsid w:val="009C7F62"/>
    <w:pPr>
      <w:keepNext/>
      <w:keepLines/>
      <w:numPr>
        <w:numId w:val="9"/>
      </w:numPr>
      <w:spacing w:after="240"/>
      <w:jc w:val="both"/>
      <w:outlineLvl w:val="3"/>
    </w:pPr>
    <w:rPr>
      <w:rFonts w:eastAsiaTheme="majorEastAsia" w:cstheme="majorBidi"/>
      <w:b/>
      <w:bCs/>
      <w:i/>
      <w:iCs/>
      <w:szCs w:val="22"/>
    </w:rPr>
  </w:style>
  <w:style w:type="paragraph" w:styleId="Heading5">
    <w:name w:val="heading 5"/>
    <w:basedOn w:val="Normal"/>
    <w:next w:val="Normal"/>
    <w:link w:val="Heading5Char"/>
    <w:uiPriority w:val="9"/>
    <w:semiHidden/>
    <w:unhideWhenUsed/>
    <w:qFormat/>
    <w:rsid w:val="001B1A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7F62"/>
    <w:pPr>
      <w:keepNext/>
      <w:keepLines/>
      <w:numPr>
        <w:numId w:val="10"/>
      </w:numPr>
      <w:spacing w:after="240"/>
      <w:jc w:val="both"/>
      <w:outlineLvl w:val="5"/>
    </w:pPr>
    <w:rPr>
      <w:rFonts w:eastAsiaTheme="majorEastAsia" w:cstheme="majorBidi"/>
      <w:i/>
      <w:iCs/>
      <w:szCs w:val="22"/>
    </w:rPr>
  </w:style>
  <w:style w:type="paragraph" w:styleId="Heading7">
    <w:name w:val="heading 7"/>
    <w:basedOn w:val="Normal"/>
    <w:next w:val="Normal"/>
    <w:link w:val="Heading7Char"/>
    <w:uiPriority w:val="9"/>
    <w:semiHidden/>
    <w:unhideWhenUsed/>
    <w:qFormat/>
    <w:rsid w:val="001B1A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1A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B1A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225"/>
    <w:rPr>
      <w:rFonts w:eastAsia="Times New Roman" w:cs="Times New Roman"/>
      <w:b/>
      <w:caps/>
      <w:szCs w:val="20"/>
      <w:u w:val="single"/>
    </w:rPr>
  </w:style>
  <w:style w:type="character" w:customStyle="1" w:styleId="Heading2Char">
    <w:name w:val="Heading 2 Char"/>
    <w:basedOn w:val="DefaultParagraphFont"/>
    <w:link w:val="Heading2"/>
    <w:uiPriority w:val="9"/>
    <w:rsid w:val="008204A0"/>
    <w:rPr>
      <w:rFonts w:eastAsia="Times New Roman" w:cs="Times New Roman"/>
      <w:b/>
      <w:szCs w:val="22"/>
    </w:rPr>
  </w:style>
  <w:style w:type="paragraph" w:styleId="ListParagraph">
    <w:name w:val="List Paragraph"/>
    <w:basedOn w:val="Normal"/>
    <w:uiPriority w:val="34"/>
    <w:qFormat/>
    <w:rsid w:val="009C035E"/>
    <w:pPr>
      <w:ind w:left="720"/>
      <w:contextualSpacing/>
    </w:p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sid w:val="00D26E8A"/>
    <w:pPr>
      <w:spacing w:after="120" w:line="240" w:lineRule="auto"/>
      <w:jc w:val="both"/>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D26E8A"/>
    <w:rPr>
      <w:sz w:val="20"/>
      <w:szCs w:val="20"/>
    </w:rPr>
  </w:style>
  <w:style w:type="character" w:customStyle="1" w:styleId="Heading3Char">
    <w:name w:val="Heading 3 Char"/>
    <w:basedOn w:val="DefaultParagraphFont"/>
    <w:link w:val="Heading3"/>
    <w:uiPriority w:val="9"/>
    <w:rsid w:val="00693F34"/>
    <w:rPr>
      <w:rFonts w:cs="Arial"/>
      <w:b/>
      <w:szCs w:val="22"/>
    </w:rPr>
  </w:style>
  <w:style w:type="character" w:customStyle="1" w:styleId="Heading4Char">
    <w:name w:val="Heading 4 Char"/>
    <w:basedOn w:val="DefaultParagraphFont"/>
    <w:link w:val="Heading4"/>
    <w:uiPriority w:val="9"/>
    <w:rsid w:val="009C7F62"/>
    <w:rPr>
      <w:rFonts w:eastAsiaTheme="majorEastAsia" w:cstheme="majorBidi"/>
      <w:b/>
      <w:bCs/>
      <w:i/>
      <w:iCs/>
      <w:szCs w:val="22"/>
    </w:rPr>
  </w:style>
  <w:style w:type="character" w:customStyle="1" w:styleId="Heading6Char">
    <w:name w:val="Heading 6 Char"/>
    <w:basedOn w:val="DefaultParagraphFont"/>
    <w:link w:val="Heading6"/>
    <w:uiPriority w:val="9"/>
    <w:rsid w:val="009C7F62"/>
    <w:rPr>
      <w:rFonts w:eastAsiaTheme="majorEastAsia" w:cstheme="majorBidi"/>
      <w:i/>
      <w:iCs/>
      <w:szCs w:val="22"/>
    </w:rPr>
  </w:style>
  <w:style w:type="paragraph" w:styleId="Header">
    <w:name w:val="header"/>
    <w:basedOn w:val="Normal"/>
    <w:link w:val="HeaderChar"/>
    <w:uiPriority w:val="99"/>
    <w:unhideWhenUsed/>
    <w:rsid w:val="00AA2FE4"/>
    <w:pPr>
      <w:tabs>
        <w:tab w:val="center" w:pos="4680"/>
        <w:tab w:val="right" w:pos="9360"/>
      </w:tabs>
    </w:pPr>
  </w:style>
  <w:style w:type="character" w:customStyle="1" w:styleId="HeaderChar">
    <w:name w:val="Header Char"/>
    <w:basedOn w:val="DefaultParagraphFont"/>
    <w:link w:val="Header"/>
    <w:uiPriority w:val="99"/>
    <w:rsid w:val="00AA2FE4"/>
  </w:style>
  <w:style w:type="paragraph" w:styleId="Footer">
    <w:name w:val="footer"/>
    <w:basedOn w:val="Normal"/>
    <w:link w:val="FooterChar"/>
    <w:uiPriority w:val="99"/>
    <w:unhideWhenUsed/>
    <w:rsid w:val="00AA2FE4"/>
    <w:pPr>
      <w:tabs>
        <w:tab w:val="center" w:pos="4680"/>
        <w:tab w:val="right" w:pos="9360"/>
      </w:tabs>
    </w:pPr>
  </w:style>
  <w:style w:type="character" w:customStyle="1" w:styleId="FooterChar">
    <w:name w:val="Footer Char"/>
    <w:basedOn w:val="DefaultParagraphFont"/>
    <w:link w:val="Footer"/>
    <w:uiPriority w:val="99"/>
    <w:rsid w:val="00AA2FE4"/>
  </w:style>
  <w:style w:type="character" w:styleId="FootnoteReference">
    <w:name w:val="footnote reference"/>
    <w:basedOn w:val="DefaultParagraphFont"/>
    <w:uiPriority w:val="99"/>
    <w:semiHidden/>
    <w:unhideWhenUsed/>
    <w:rsid w:val="00D26E8A"/>
    <w:rPr>
      <w:vertAlign w:val="superscript"/>
    </w:rPr>
  </w:style>
  <w:style w:type="character" w:styleId="Hyperlink">
    <w:name w:val="Hyperlink"/>
    <w:basedOn w:val="DefaultParagraphFont"/>
    <w:uiPriority w:val="99"/>
    <w:unhideWhenUsed/>
    <w:rsid w:val="00F2381B"/>
    <w:rPr>
      <w:color w:val="0000FF"/>
      <w:u w:val="single"/>
    </w:rPr>
  </w:style>
  <w:style w:type="paragraph" w:styleId="BalloonText">
    <w:name w:val="Balloon Text"/>
    <w:basedOn w:val="Normal"/>
    <w:link w:val="BalloonTextChar"/>
    <w:uiPriority w:val="99"/>
    <w:semiHidden/>
    <w:unhideWhenUsed/>
    <w:rsid w:val="00B158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881"/>
    <w:rPr>
      <w:rFonts w:ascii="Tahoma" w:hAnsi="Tahoma" w:cs="Tahoma"/>
      <w:sz w:val="16"/>
      <w:szCs w:val="16"/>
    </w:rPr>
  </w:style>
  <w:style w:type="character" w:styleId="CommentReference">
    <w:name w:val="annotation reference"/>
    <w:basedOn w:val="DefaultParagraphFont"/>
    <w:uiPriority w:val="99"/>
    <w:semiHidden/>
    <w:unhideWhenUsed/>
    <w:rsid w:val="00D51BF5"/>
    <w:rPr>
      <w:sz w:val="16"/>
      <w:szCs w:val="16"/>
    </w:rPr>
  </w:style>
  <w:style w:type="paragraph" w:styleId="CommentText">
    <w:name w:val="annotation text"/>
    <w:basedOn w:val="Normal"/>
    <w:link w:val="CommentTextChar"/>
    <w:uiPriority w:val="99"/>
    <w:semiHidden/>
    <w:unhideWhenUsed/>
    <w:rsid w:val="00D51BF5"/>
    <w:pPr>
      <w:spacing w:line="240" w:lineRule="auto"/>
    </w:pPr>
    <w:rPr>
      <w:sz w:val="20"/>
      <w:szCs w:val="20"/>
    </w:rPr>
  </w:style>
  <w:style w:type="character" w:customStyle="1" w:styleId="CommentTextChar">
    <w:name w:val="Comment Text Char"/>
    <w:basedOn w:val="DefaultParagraphFont"/>
    <w:link w:val="CommentText"/>
    <w:uiPriority w:val="99"/>
    <w:semiHidden/>
    <w:rsid w:val="00D51BF5"/>
    <w:rPr>
      <w:sz w:val="20"/>
      <w:szCs w:val="20"/>
    </w:rPr>
  </w:style>
  <w:style w:type="paragraph" w:styleId="CommentSubject">
    <w:name w:val="annotation subject"/>
    <w:basedOn w:val="CommentText"/>
    <w:next w:val="CommentText"/>
    <w:link w:val="CommentSubjectChar"/>
    <w:uiPriority w:val="99"/>
    <w:semiHidden/>
    <w:unhideWhenUsed/>
    <w:rsid w:val="00D51BF5"/>
    <w:rPr>
      <w:b/>
      <w:bCs/>
    </w:rPr>
  </w:style>
  <w:style w:type="character" w:customStyle="1" w:styleId="CommentSubjectChar">
    <w:name w:val="Comment Subject Char"/>
    <w:basedOn w:val="CommentTextChar"/>
    <w:link w:val="CommentSubject"/>
    <w:uiPriority w:val="99"/>
    <w:semiHidden/>
    <w:rsid w:val="00D51BF5"/>
    <w:rPr>
      <w:b/>
      <w:bCs/>
      <w:sz w:val="20"/>
      <w:szCs w:val="20"/>
    </w:rPr>
  </w:style>
  <w:style w:type="character" w:customStyle="1" w:styleId="ssrfcpassagedeactivated">
    <w:name w:val="ss_rfcpassage_deactivated"/>
    <w:basedOn w:val="DefaultParagraphFont"/>
    <w:rsid w:val="00D86E8B"/>
  </w:style>
  <w:style w:type="character" w:customStyle="1" w:styleId="sssh">
    <w:name w:val="ss_sh"/>
    <w:basedOn w:val="DefaultParagraphFont"/>
    <w:rsid w:val="00D86E8B"/>
  </w:style>
  <w:style w:type="paragraph" w:styleId="TOC2">
    <w:name w:val="toc 2"/>
    <w:basedOn w:val="Normal"/>
    <w:next w:val="Normal"/>
    <w:autoRedefine/>
    <w:uiPriority w:val="39"/>
    <w:unhideWhenUsed/>
    <w:rsid w:val="0031475F"/>
    <w:pPr>
      <w:tabs>
        <w:tab w:val="right" w:leader="dot" w:pos="9360"/>
      </w:tabs>
      <w:spacing w:after="240" w:line="240" w:lineRule="auto"/>
      <w:ind w:left="1440" w:right="360" w:hanging="720"/>
    </w:pPr>
  </w:style>
  <w:style w:type="paragraph" w:styleId="TOCHeading">
    <w:name w:val="TOC Heading"/>
    <w:basedOn w:val="Normal"/>
    <w:next w:val="TOC1"/>
    <w:uiPriority w:val="39"/>
    <w:unhideWhenUsed/>
    <w:qFormat/>
    <w:rsid w:val="001B1AB5"/>
    <w:pPr>
      <w:keepNext/>
      <w:keepLines/>
      <w:spacing w:before="480" w:after="240" w:line="240" w:lineRule="auto"/>
      <w:jc w:val="center"/>
    </w:pPr>
    <w:rPr>
      <w:rFonts w:eastAsiaTheme="majorEastAsia" w:cs="Arial"/>
      <w:b/>
      <w:bCs/>
      <w:color w:val="365F91" w:themeColor="accent1" w:themeShade="BF"/>
      <w:szCs w:val="28"/>
    </w:rPr>
  </w:style>
  <w:style w:type="paragraph" w:styleId="TOC1">
    <w:name w:val="toc 1"/>
    <w:basedOn w:val="Normal"/>
    <w:next w:val="Normal"/>
    <w:autoRedefine/>
    <w:uiPriority w:val="39"/>
    <w:unhideWhenUsed/>
    <w:rsid w:val="0031475F"/>
    <w:pPr>
      <w:tabs>
        <w:tab w:val="right" w:leader="dot" w:pos="9350"/>
      </w:tabs>
      <w:spacing w:after="100"/>
      <w:ind w:left="720" w:hanging="720"/>
    </w:pPr>
  </w:style>
  <w:style w:type="paragraph" w:styleId="TOC3">
    <w:name w:val="toc 3"/>
    <w:basedOn w:val="Normal"/>
    <w:next w:val="Normal"/>
    <w:autoRedefine/>
    <w:uiPriority w:val="39"/>
    <w:semiHidden/>
    <w:unhideWhenUsed/>
    <w:rsid w:val="001B1AB5"/>
    <w:pPr>
      <w:spacing w:after="100"/>
      <w:ind w:left="480"/>
    </w:pPr>
  </w:style>
  <w:style w:type="paragraph" w:styleId="TOC4">
    <w:name w:val="toc 4"/>
    <w:basedOn w:val="Normal"/>
    <w:next w:val="Normal"/>
    <w:autoRedefine/>
    <w:uiPriority w:val="39"/>
    <w:semiHidden/>
    <w:unhideWhenUsed/>
    <w:rsid w:val="001B1AB5"/>
    <w:pPr>
      <w:spacing w:after="100"/>
      <w:ind w:left="720"/>
    </w:pPr>
  </w:style>
  <w:style w:type="paragraph" w:styleId="TOC5">
    <w:name w:val="toc 5"/>
    <w:basedOn w:val="Normal"/>
    <w:next w:val="Normal"/>
    <w:autoRedefine/>
    <w:uiPriority w:val="39"/>
    <w:semiHidden/>
    <w:unhideWhenUsed/>
    <w:rsid w:val="001B1AB5"/>
    <w:pPr>
      <w:spacing w:after="100"/>
      <w:ind w:left="960"/>
    </w:pPr>
  </w:style>
  <w:style w:type="paragraph" w:styleId="TOC6">
    <w:name w:val="toc 6"/>
    <w:basedOn w:val="Normal"/>
    <w:next w:val="Normal"/>
    <w:autoRedefine/>
    <w:uiPriority w:val="39"/>
    <w:semiHidden/>
    <w:unhideWhenUsed/>
    <w:rsid w:val="001B1AB5"/>
    <w:pPr>
      <w:spacing w:after="100"/>
      <w:ind w:left="1200"/>
    </w:pPr>
  </w:style>
  <w:style w:type="paragraph" w:styleId="TOC7">
    <w:name w:val="toc 7"/>
    <w:basedOn w:val="Normal"/>
    <w:next w:val="Normal"/>
    <w:autoRedefine/>
    <w:uiPriority w:val="39"/>
    <w:semiHidden/>
    <w:unhideWhenUsed/>
    <w:rsid w:val="001B1AB5"/>
    <w:pPr>
      <w:spacing w:after="100"/>
      <w:ind w:left="1440"/>
    </w:pPr>
  </w:style>
  <w:style w:type="paragraph" w:styleId="TOC8">
    <w:name w:val="toc 8"/>
    <w:basedOn w:val="Normal"/>
    <w:next w:val="Normal"/>
    <w:autoRedefine/>
    <w:uiPriority w:val="39"/>
    <w:semiHidden/>
    <w:unhideWhenUsed/>
    <w:rsid w:val="001B1AB5"/>
    <w:pPr>
      <w:spacing w:after="100"/>
      <w:ind w:left="1680"/>
    </w:pPr>
  </w:style>
  <w:style w:type="paragraph" w:styleId="TOC9">
    <w:name w:val="toc 9"/>
    <w:basedOn w:val="Normal"/>
    <w:next w:val="Normal"/>
    <w:autoRedefine/>
    <w:uiPriority w:val="39"/>
    <w:semiHidden/>
    <w:unhideWhenUsed/>
    <w:rsid w:val="001B1AB5"/>
    <w:pPr>
      <w:spacing w:after="100"/>
      <w:ind w:left="1920"/>
    </w:pPr>
  </w:style>
  <w:style w:type="paragraph" w:customStyle="1" w:styleId="TOCPage">
    <w:name w:val="TOC Page"/>
    <w:basedOn w:val="Normal"/>
    <w:next w:val="Normal"/>
    <w:link w:val="TOCPageChar"/>
    <w:rsid w:val="001B1AB5"/>
    <w:pPr>
      <w:tabs>
        <w:tab w:val="left" w:pos="4140"/>
      </w:tabs>
      <w:spacing w:after="240" w:line="240" w:lineRule="auto"/>
      <w:jc w:val="right"/>
    </w:pPr>
    <w:rPr>
      <w:rFonts w:cs="Arial"/>
      <w:b/>
      <w:smallCaps/>
    </w:rPr>
  </w:style>
  <w:style w:type="character" w:customStyle="1" w:styleId="TOCPageChar">
    <w:name w:val="TOC Page Char"/>
    <w:basedOn w:val="DefaultParagraphFont"/>
    <w:link w:val="TOCPage"/>
    <w:rsid w:val="001B1AB5"/>
    <w:rPr>
      <w:rFonts w:cs="Arial"/>
      <w:b/>
      <w:smallCaps/>
    </w:rPr>
  </w:style>
  <w:style w:type="character" w:customStyle="1" w:styleId="Heading5Char">
    <w:name w:val="Heading 5 Char"/>
    <w:basedOn w:val="DefaultParagraphFont"/>
    <w:link w:val="Heading5"/>
    <w:uiPriority w:val="9"/>
    <w:semiHidden/>
    <w:rsid w:val="001B1AB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B1A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1A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1AB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8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mark.ortlieb@att.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6901-A9D0-43F1-B4B5-F59763B9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Pages>
  <Words>3139</Words>
  <Characters>17934</Characters>
  <Application>Microsoft Office Word</Application>
  <DocSecurity>0</DocSecurity>
  <PresentationFormat>14|.DOCX</PresentationFormat>
  <Lines>451</Lines>
  <Paragraphs>179</Paragraphs>
  <ScaleCrop>false</ScaleCrop>
  <HeadingPairs>
    <vt:vector size="2" baseType="variant">
      <vt:variant>
        <vt:lpstr>Title</vt:lpstr>
      </vt:variant>
      <vt:variant>
        <vt:i4>1</vt:i4>
      </vt:variant>
    </vt:vector>
  </HeadingPairs>
  <TitlesOfParts>
    <vt:vector size="1" baseType="lpstr">
      <vt:lpstr>OTA Reply Comments re: COLR Relief (14-1554) (C48553-4).DOCX</vt:lpstr>
    </vt:vector>
  </TitlesOfParts>
  <Company>Some Company, Inc.</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 Reply Comments re: COLR Relief (14-1554) (C48667).PDF</dc:title>
  <dc:subject>C48667: /font=8</dc:subject>
  <dc:creator>Matthew Pritchard</dc:creator>
  <cp:keywords/>
  <dc:description/>
  <cp:lastModifiedBy>Renee Gannon</cp:lastModifiedBy>
  <cp:revision>66</cp:revision>
  <cp:lastPrinted>2015-11-09T20:59:00Z</cp:lastPrinted>
  <dcterms:created xsi:type="dcterms:W3CDTF">2015-10-28T13:56:00Z</dcterms:created>
  <dcterms:modified xsi:type="dcterms:W3CDTF">2015-11-09T20:59:00Z</dcterms:modified>
</cp:coreProperties>
</file>