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015657" w:rsidRPr="00F126CD" w:rsidP="00015657" w14:paraId="6FA2445D" w14:textId="77777777">
      <w:pPr>
        <w:jc w:val="center"/>
        <w:rPr>
          <w:b/>
        </w:rPr>
      </w:pPr>
      <w:r w:rsidRPr="00F126CD">
        <w:rPr>
          <w:b/>
        </w:rPr>
        <w:t xml:space="preserve">BEFORE </w:t>
      </w:r>
    </w:p>
    <w:p w:rsidR="00015657" w:rsidRPr="00F126CD" w:rsidP="00015657" w14:paraId="3F259A79" w14:textId="77777777">
      <w:pPr>
        <w:jc w:val="center"/>
        <w:rPr>
          <w:b/>
        </w:rPr>
      </w:pPr>
      <w:r w:rsidRPr="00F126CD">
        <w:rPr>
          <w:b/>
        </w:rPr>
        <w:t>THE PUBLIC UTILITIES COMMISSION OF OHIO</w:t>
      </w:r>
    </w:p>
    <w:p w:rsidR="00A17668" w:rsidRPr="00F126CD" w:rsidP="00015657" w14:paraId="20A3E302" w14:textId="77777777">
      <w:pPr>
        <w:jc w:val="center"/>
        <w:rPr>
          <w:b/>
        </w:rPr>
      </w:pPr>
    </w:p>
    <w:tbl>
      <w:tblPr>
        <w:tblW w:w="8820" w:type="dxa"/>
        <w:tblLayout w:type="fixed"/>
        <w:tblLook w:val="01E0"/>
      </w:tblPr>
      <w:tblGrid>
        <w:gridCol w:w="4500"/>
        <w:gridCol w:w="450"/>
        <w:gridCol w:w="3870"/>
      </w:tblGrid>
      <w:tr w14:paraId="0419C3AF" w14:textId="77777777" w:rsidTr="00E82D55">
        <w:tblPrEx>
          <w:tblW w:w="8820" w:type="dxa"/>
          <w:tblLayout w:type="fixed"/>
          <w:tblLook w:val="01E0"/>
        </w:tblPrEx>
        <w:trPr>
          <w:trHeight w:val="154"/>
        </w:trPr>
        <w:tc>
          <w:tcPr>
            <w:tcW w:w="4500" w:type="dxa"/>
            <w:shd w:val="clear" w:color="auto" w:fill="auto"/>
          </w:tcPr>
          <w:p w:rsidR="00135CA8" w:rsidRPr="00F126CD" w:rsidP="000C24C4" w14:paraId="26C2E6CB" w14:textId="77777777">
            <w:pPr>
              <w:suppressLineNumbers/>
              <w:ind w:right="342"/>
            </w:pPr>
            <w:r w:rsidRPr="00F126CD">
              <w:t>In the Matter of the Application of Duke Energy Ohio, Inc., for an Increase in Natural Gas Rates.</w:t>
            </w:r>
          </w:p>
          <w:p w:rsidR="00135CA8" w:rsidRPr="00F126CD" w:rsidP="000C24C4" w14:paraId="1E1CC520" w14:textId="77777777">
            <w:pPr>
              <w:suppressLineNumbers/>
              <w:ind w:right="342"/>
            </w:pPr>
          </w:p>
          <w:p w:rsidR="00135CA8" w:rsidRPr="00F126CD" w:rsidP="000C24C4" w14:paraId="50C32C20" w14:textId="77777777">
            <w:pPr>
              <w:suppressLineNumbers/>
              <w:ind w:right="342"/>
            </w:pPr>
            <w:r w:rsidRPr="00F126CD">
              <w:t>In the Matter of the Application of Duke Energy Ohio, Inc., for Approval of an Alternative Form of Regulation.</w:t>
            </w:r>
          </w:p>
          <w:p w:rsidR="00135CA8" w:rsidRPr="00F126CD" w:rsidP="000C24C4" w14:paraId="6A8096BF" w14:textId="77777777">
            <w:pPr>
              <w:suppressLineNumbers/>
              <w:ind w:right="342"/>
            </w:pPr>
          </w:p>
          <w:p w:rsidR="00135CA8" w:rsidRPr="00F126CD" w:rsidP="000C24C4" w14:paraId="62241665" w14:textId="77777777">
            <w:pPr>
              <w:suppressLineNumbers/>
              <w:ind w:right="342"/>
            </w:pPr>
            <w:r w:rsidRPr="00F126CD">
              <w:t>In the Matter of the Application of Duke Energy Ohio, Inc., for Tariff Approval.</w:t>
            </w:r>
          </w:p>
          <w:p w:rsidR="00135CA8" w:rsidRPr="00F126CD" w:rsidP="000C24C4" w14:paraId="1D7C07F2" w14:textId="77777777">
            <w:pPr>
              <w:suppressLineNumbers/>
              <w:ind w:right="342"/>
            </w:pPr>
          </w:p>
          <w:p w:rsidR="00135CA8" w:rsidRPr="00F126CD" w:rsidP="000C24C4" w14:paraId="3A498DEE" w14:textId="77777777">
            <w:pPr>
              <w:suppressLineNumbers/>
              <w:ind w:right="342"/>
            </w:pPr>
            <w:r w:rsidRPr="00F126CD">
              <w:t>In the Matter of the Application of Duke Energy Ohio, Inc., for Approval to Change Accounting Methods.</w:t>
            </w:r>
          </w:p>
        </w:tc>
        <w:tc>
          <w:tcPr>
            <w:tcW w:w="450" w:type="dxa"/>
            <w:shd w:val="clear" w:color="auto" w:fill="auto"/>
          </w:tcPr>
          <w:p w:rsidR="00135CA8" w:rsidRPr="00F126CD" w:rsidP="00E82D55" w14:paraId="32D6B4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E82D55" w14:paraId="71C7748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E82D55" w14:paraId="0BCF26C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E82D55" w14:paraId="250F8D5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135CA8" w:rsidRPr="00F126CD" w:rsidP="00E82D55" w14:paraId="60AD1AE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E82D55" w14:paraId="6BEE6F9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E82D55" w14:paraId="353B622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E82D55" w14:paraId="423210E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135CA8" w:rsidRPr="00F126CD" w:rsidP="00E82D55" w14:paraId="15BFE6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E82D55" w14:paraId="7DFBBD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E82D55" w14:paraId="3D929C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E82D55" w14:paraId="3C8B10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135CA8" w:rsidRPr="00F126CD" w:rsidP="00E82D55" w14:paraId="3DF3A0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E82D55" w14:paraId="4673AA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E82D55" w14:paraId="5E5B317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tc>
        <w:tc>
          <w:tcPr>
            <w:tcW w:w="3870" w:type="dxa"/>
            <w:shd w:val="clear" w:color="auto" w:fill="auto"/>
          </w:tcPr>
          <w:p w:rsidR="00135CA8" w:rsidRPr="00F126CD" w:rsidP="00E82D55" w14:paraId="6B864660" w14:textId="77777777">
            <w:pPr>
              <w:autoSpaceDE w:val="0"/>
              <w:autoSpaceDN w:val="0"/>
              <w:adjustRightInd w:val="0"/>
            </w:pPr>
          </w:p>
          <w:p w:rsidR="00135CA8" w:rsidRPr="00F126CD" w:rsidP="00E82D55" w14:paraId="1946B309" w14:textId="77777777">
            <w:pPr>
              <w:autoSpaceDE w:val="0"/>
              <w:autoSpaceDN w:val="0"/>
              <w:adjustRightInd w:val="0"/>
            </w:pPr>
            <w:r w:rsidRPr="00F126CD">
              <w:t>Case No. 22-507-GA-AIR</w:t>
            </w:r>
          </w:p>
          <w:p w:rsidR="00135CA8" w:rsidRPr="00F126CD" w:rsidP="00E82D55" w14:paraId="484F11F2" w14:textId="77777777">
            <w:pPr>
              <w:autoSpaceDE w:val="0"/>
              <w:autoSpaceDN w:val="0"/>
              <w:adjustRightInd w:val="0"/>
            </w:pPr>
          </w:p>
          <w:p w:rsidR="00135CA8" w:rsidRPr="00F126CD" w:rsidP="00E82D55" w14:paraId="1C705B2A" w14:textId="77777777">
            <w:pPr>
              <w:autoSpaceDE w:val="0"/>
              <w:autoSpaceDN w:val="0"/>
              <w:adjustRightInd w:val="0"/>
            </w:pPr>
          </w:p>
          <w:p w:rsidR="00135CA8" w:rsidRPr="00F126CD" w:rsidP="00E82D55" w14:paraId="1D662377" w14:textId="77777777">
            <w:pPr>
              <w:autoSpaceDE w:val="0"/>
              <w:autoSpaceDN w:val="0"/>
              <w:adjustRightInd w:val="0"/>
            </w:pPr>
          </w:p>
          <w:p w:rsidR="00135CA8" w:rsidRPr="00F126CD" w:rsidP="00E82D55" w14:paraId="726B5176" w14:textId="77777777">
            <w:pPr>
              <w:autoSpaceDE w:val="0"/>
              <w:autoSpaceDN w:val="0"/>
              <w:adjustRightInd w:val="0"/>
            </w:pPr>
            <w:r w:rsidRPr="00F126CD">
              <w:t>Case No. 22-508-GA-ALT</w:t>
            </w:r>
          </w:p>
          <w:p w:rsidR="00135CA8" w:rsidRPr="00F126CD" w:rsidP="00E82D55" w14:paraId="1A2115C7" w14:textId="77777777">
            <w:pPr>
              <w:autoSpaceDE w:val="0"/>
              <w:autoSpaceDN w:val="0"/>
              <w:adjustRightInd w:val="0"/>
            </w:pPr>
          </w:p>
          <w:p w:rsidR="00135CA8" w:rsidRPr="00F126CD" w:rsidP="00E82D55" w14:paraId="024D3B27" w14:textId="77777777">
            <w:pPr>
              <w:autoSpaceDE w:val="0"/>
              <w:autoSpaceDN w:val="0"/>
              <w:adjustRightInd w:val="0"/>
            </w:pPr>
          </w:p>
          <w:p w:rsidR="00135CA8" w:rsidRPr="00F126CD" w:rsidP="00E82D55" w14:paraId="67E3020F" w14:textId="77777777">
            <w:pPr>
              <w:autoSpaceDE w:val="0"/>
              <w:autoSpaceDN w:val="0"/>
              <w:adjustRightInd w:val="0"/>
            </w:pPr>
          </w:p>
          <w:p w:rsidR="00135CA8" w:rsidRPr="00F126CD" w:rsidP="00E82D55" w14:paraId="0AD2F0D1" w14:textId="77777777">
            <w:pPr>
              <w:autoSpaceDE w:val="0"/>
              <w:autoSpaceDN w:val="0"/>
              <w:adjustRightInd w:val="0"/>
            </w:pPr>
            <w:r w:rsidRPr="00F126CD">
              <w:t>Case No. 22-509-GA-ATA</w:t>
            </w:r>
          </w:p>
          <w:p w:rsidR="00135CA8" w:rsidRPr="00F126CD" w:rsidP="00E82D55" w14:paraId="596D339A" w14:textId="77777777">
            <w:pPr>
              <w:autoSpaceDE w:val="0"/>
              <w:autoSpaceDN w:val="0"/>
              <w:adjustRightInd w:val="0"/>
            </w:pPr>
          </w:p>
          <w:p w:rsidR="00135CA8" w:rsidRPr="00F126CD" w:rsidP="00E82D55" w14:paraId="4D618531" w14:textId="77777777">
            <w:pPr>
              <w:autoSpaceDE w:val="0"/>
              <w:autoSpaceDN w:val="0"/>
              <w:adjustRightInd w:val="0"/>
            </w:pPr>
          </w:p>
          <w:p w:rsidR="00135CA8" w:rsidRPr="00F126CD" w:rsidP="00E82D55" w14:paraId="313F985F" w14:textId="77777777">
            <w:pPr>
              <w:autoSpaceDE w:val="0"/>
              <w:autoSpaceDN w:val="0"/>
              <w:adjustRightInd w:val="0"/>
            </w:pPr>
          </w:p>
          <w:p w:rsidR="00135CA8" w:rsidRPr="00F126CD" w:rsidP="00E82D55" w14:paraId="6FC539BE" w14:textId="77777777">
            <w:pPr>
              <w:autoSpaceDE w:val="0"/>
              <w:autoSpaceDN w:val="0"/>
              <w:adjustRightInd w:val="0"/>
            </w:pPr>
            <w:r w:rsidRPr="00F126CD">
              <w:t>Case No. 22-510-GA-AAM</w:t>
            </w:r>
          </w:p>
          <w:p w:rsidR="00135CA8" w:rsidRPr="00F126CD" w:rsidP="00E82D55" w14:paraId="7C4527EE" w14:textId="77777777">
            <w:pPr>
              <w:autoSpaceDE w:val="0"/>
              <w:autoSpaceDN w:val="0"/>
              <w:adjustRightInd w:val="0"/>
            </w:pPr>
          </w:p>
        </w:tc>
      </w:tr>
    </w:tbl>
    <w:p w:rsidR="00015657" w:rsidRPr="00F126CD" w:rsidP="00015657" w14:paraId="01AC1466" w14:textId="77777777">
      <w:pPr>
        <w:rPr>
          <w:b/>
        </w:rPr>
      </w:pPr>
    </w:p>
    <w:p w:rsidR="00015657" w:rsidRPr="00F126CD" w:rsidP="00015657" w14:paraId="4197385D" w14:textId="77777777">
      <w:pPr>
        <w:pBdr>
          <w:top w:val="single" w:sz="12" w:space="0" w:color="auto"/>
        </w:pBdr>
        <w:tabs>
          <w:tab w:val="left" w:pos="-720"/>
        </w:tabs>
        <w:suppressAutoHyphens/>
        <w:jc w:val="center"/>
        <w:rPr>
          <w:b/>
          <w:bCs/>
        </w:rPr>
      </w:pPr>
    </w:p>
    <w:p w:rsidR="00015657" w:rsidRPr="00F126CD" w:rsidP="00015657" w14:paraId="615A212D" w14:textId="77777777">
      <w:pPr>
        <w:tabs>
          <w:tab w:val="left" w:pos="4770"/>
          <w:tab w:val="left" w:pos="6480"/>
        </w:tabs>
        <w:jc w:val="center"/>
        <w:rPr>
          <w:b/>
        </w:rPr>
      </w:pPr>
      <w:r w:rsidRPr="00F126CD">
        <w:rPr>
          <w:b/>
        </w:rPr>
        <w:t>INITIAL BRIEF FOR CONSUMER PROTECTION</w:t>
      </w:r>
    </w:p>
    <w:p w:rsidR="00015657" w:rsidRPr="00F126CD" w:rsidP="00015657" w14:paraId="59B7A093" w14:textId="77777777">
      <w:pPr>
        <w:tabs>
          <w:tab w:val="left" w:pos="4770"/>
          <w:tab w:val="left" w:pos="6480"/>
        </w:tabs>
        <w:jc w:val="center"/>
        <w:rPr>
          <w:b/>
        </w:rPr>
      </w:pPr>
      <w:r w:rsidRPr="00F126CD">
        <w:rPr>
          <w:b/>
        </w:rPr>
        <w:t>BY</w:t>
      </w:r>
    </w:p>
    <w:p w:rsidR="00015657" w:rsidRPr="00F126CD" w:rsidP="00015657" w14:paraId="74981073" w14:textId="77777777">
      <w:pPr>
        <w:tabs>
          <w:tab w:val="left" w:pos="4770"/>
          <w:tab w:val="left" w:pos="6480"/>
        </w:tabs>
        <w:jc w:val="center"/>
        <w:rPr>
          <w:b/>
        </w:rPr>
      </w:pPr>
      <w:r w:rsidRPr="00F126CD">
        <w:rPr>
          <w:b/>
        </w:rPr>
        <w:t>OFFICE OF THE OHIO CONSUMERS’ COUNSEL</w:t>
      </w:r>
    </w:p>
    <w:p w:rsidR="00015657" w:rsidRPr="00F126CD" w:rsidP="00015657" w14:paraId="08BBFEF2" w14:textId="77777777">
      <w:pPr>
        <w:pBdr>
          <w:bottom w:val="single" w:sz="12" w:space="1" w:color="auto"/>
        </w:pBdr>
        <w:tabs>
          <w:tab w:val="left" w:pos="-720"/>
        </w:tabs>
        <w:suppressAutoHyphens/>
        <w:jc w:val="center"/>
        <w:rPr>
          <w:b/>
          <w:bCs/>
        </w:rPr>
      </w:pPr>
    </w:p>
    <w:p w:rsidR="00015657" w:rsidRPr="00F126CD" w:rsidP="00015657" w14:paraId="2F30446F" w14:textId="77777777">
      <w:pPr>
        <w:tabs>
          <w:tab w:val="left" w:pos="4770"/>
          <w:tab w:val="left" w:pos="6480"/>
        </w:tabs>
        <w:rPr>
          <w:b/>
          <w:u w:val="single"/>
        </w:rPr>
      </w:pPr>
    </w:p>
    <w:p w:rsidR="00015657" w:rsidRPr="00F126CD" w:rsidP="00015657" w14:paraId="69BE2AD7" w14:textId="77777777">
      <w:pPr>
        <w:jc w:val="center"/>
        <w:rPr>
          <w:b/>
        </w:rPr>
      </w:pPr>
    </w:p>
    <w:p w:rsidR="00135CA8" w:rsidRPr="00F126CD" w:rsidP="00135CA8" w14:paraId="27509CAC" w14:textId="77777777">
      <w:pPr>
        <w:tabs>
          <w:tab w:val="right" w:pos="8640"/>
        </w:tabs>
        <w:ind w:left="4320"/>
      </w:pPr>
      <w:r w:rsidRPr="00F126CD">
        <w:t>Bruce Weston (0016973)</w:t>
      </w:r>
    </w:p>
    <w:p w:rsidR="00135CA8" w:rsidRPr="00F126CD" w:rsidP="00135CA8" w14:paraId="5A973159" w14:textId="77777777">
      <w:pPr>
        <w:ind w:left="4320"/>
        <w:contextualSpacing/>
        <w:rPr>
          <w:rFonts w:eastAsia="Calibri"/>
        </w:rPr>
      </w:pPr>
      <w:r w:rsidRPr="00F126CD">
        <w:rPr>
          <w:rFonts w:eastAsia="Calibri"/>
        </w:rPr>
        <w:t>Ohio Consumers’ Counsel</w:t>
      </w:r>
    </w:p>
    <w:p w:rsidR="00135CA8" w:rsidRPr="00F126CD" w:rsidP="00135CA8" w14:paraId="754D0C61" w14:textId="77777777">
      <w:pPr>
        <w:ind w:left="4320"/>
        <w:contextualSpacing/>
        <w:rPr>
          <w:rFonts w:eastAsia="Calibri"/>
        </w:rPr>
      </w:pPr>
      <w:r w:rsidRPr="00F126CD">
        <w:rPr>
          <w:rFonts w:eastAsia="Calibri"/>
        </w:rPr>
        <w:tab/>
      </w:r>
    </w:p>
    <w:p w:rsidR="00135CA8" w:rsidRPr="00F126CD" w:rsidP="00135CA8" w14:paraId="77DAC84C" w14:textId="77777777">
      <w:pPr>
        <w:tabs>
          <w:tab w:val="left" w:pos="4320"/>
        </w:tabs>
        <w:ind w:left="4320"/>
        <w:rPr>
          <w:color w:val="000000"/>
        </w:rPr>
      </w:pPr>
      <w:r w:rsidRPr="00F126CD">
        <w:rPr>
          <w:color w:val="000000"/>
        </w:rPr>
        <w:t>William J. Michael (0070921)</w:t>
      </w:r>
    </w:p>
    <w:p w:rsidR="00135CA8" w:rsidRPr="00F126CD" w:rsidP="00135CA8" w14:paraId="1F43067E" w14:textId="77777777">
      <w:pPr>
        <w:ind w:left="4320"/>
        <w:rPr>
          <w:color w:val="000000"/>
        </w:rPr>
      </w:pPr>
      <w:r w:rsidRPr="00F126CD">
        <w:rPr>
          <w:color w:val="000000"/>
        </w:rPr>
        <w:t xml:space="preserve">Counsel of Record </w:t>
      </w:r>
    </w:p>
    <w:p w:rsidR="00135CA8" w:rsidRPr="00F126CD" w:rsidP="00135CA8" w14:paraId="58BDAD88" w14:textId="77777777">
      <w:pPr>
        <w:ind w:left="4320"/>
      </w:pPr>
      <w:r w:rsidRPr="00F126CD">
        <w:t>John Finnigan (0018689)</w:t>
      </w:r>
    </w:p>
    <w:p w:rsidR="00135CA8" w:rsidRPr="00F126CD" w:rsidP="00135CA8" w14:paraId="2BDA04F3" w14:textId="62E72685">
      <w:pPr>
        <w:ind w:left="4320"/>
        <w:rPr>
          <w:color w:val="000000"/>
        </w:rPr>
      </w:pPr>
      <w:r w:rsidRPr="00F126CD">
        <w:rPr>
          <w:color w:val="000000"/>
        </w:rPr>
        <w:t>Connor D. Semple (0101102)</w:t>
      </w:r>
    </w:p>
    <w:p w:rsidR="00135CA8" w:rsidRPr="00F126CD" w:rsidP="00135CA8" w14:paraId="65FCB844" w14:textId="77777777">
      <w:pPr>
        <w:ind w:left="4320"/>
        <w:rPr>
          <w:color w:val="000000"/>
        </w:rPr>
      </w:pPr>
      <w:r w:rsidRPr="00F126CD">
        <w:rPr>
          <w:color w:val="000000"/>
        </w:rPr>
        <w:t>Assistant Consumers’ Counsel</w:t>
      </w:r>
    </w:p>
    <w:p w:rsidR="00135CA8" w:rsidRPr="00F126CD" w:rsidP="00135CA8" w14:paraId="2B35E850" w14:textId="77777777">
      <w:pPr>
        <w:ind w:left="4320"/>
        <w:rPr>
          <w:b/>
          <w:color w:val="000000"/>
        </w:rPr>
      </w:pPr>
    </w:p>
    <w:p w:rsidR="00135CA8" w:rsidRPr="00F126CD" w:rsidP="00135CA8" w14:paraId="4E1E1636" w14:textId="77777777">
      <w:pPr>
        <w:ind w:left="4320"/>
        <w:rPr>
          <w:b/>
          <w:color w:val="000000"/>
        </w:rPr>
      </w:pPr>
      <w:r w:rsidRPr="00F126CD">
        <w:rPr>
          <w:b/>
          <w:color w:val="000000"/>
        </w:rPr>
        <w:t>Office of the Ohio Consumers’ Counsel</w:t>
      </w:r>
    </w:p>
    <w:p w:rsidR="00135CA8" w:rsidRPr="00F126CD" w:rsidP="00135CA8" w14:paraId="7346E497" w14:textId="77777777">
      <w:pPr>
        <w:ind w:left="4320"/>
        <w:rPr>
          <w:color w:val="000000"/>
        </w:rPr>
      </w:pPr>
      <w:r w:rsidRPr="00F126CD">
        <w:rPr>
          <w:color w:val="000000"/>
        </w:rPr>
        <w:t>65 East State Street, Suite 700</w:t>
      </w:r>
    </w:p>
    <w:p w:rsidR="00135CA8" w:rsidRPr="00F126CD" w:rsidP="00135CA8" w14:paraId="01BC5FEF" w14:textId="77777777">
      <w:pPr>
        <w:ind w:left="4320"/>
        <w:rPr>
          <w:color w:val="000000"/>
        </w:rPr>
      </w:pPr>
      <w:r w:rsidRPr="00F126CD">
        <w:rPr>
          <w:color w:val="000000"/>
        </w:rPr>
        <w:t>Columbus, Ohio 43215</w:t>
      </w:r>
      <w:r w:rsidRPr="00F126CD">
        <w:rPr>
          <w:color w:val="000000"/>
        </w:rPr>
        <w:tab/>
      </w:r>
    </w:p>
    <w:p w:rsidR="00135CA8" w:rsidRPr="00F126CD" w:rsidP="00135CA8" w14:paraId="32B8F6AB" w14:textId="77777777">
      <w:pPr>
        <w:ind w:left="4320"/>
        <w:rPr>
          <w:color w:val="000000"/>
        </w:rPr>
      </w:pPr>
      <w:r w:rsidRPr="00F126CD">
        <w:rPr>
          <w:color w:val="000000"/>
        </w:rPr>
        <w:t>Telephone [Michael]: (614) 466-1291</w:t>
      </w:r>
    </w:p>
    <w:p w:rsidR="00135CA8" w:rsidRPr="00F126CD" w:rsidP="00135CA8" w14:paraId="74BA611A" w14:textId="243A0B39">
      <w:pPr>
        <w:ind w:left="3600" w:firstLine="720"/>
      </w:pPr>
      <w:r w:rsidRPr="00F126CD">
        <w:t xml:space="preserve">Telephone: </w:t>
      </w:r>
      <w:r w:rsidRPr="00F126CD" w:rsidR="00526DD3">
        <w:t>[</w:t>
      </w:r>
      <w:r w:rsidRPr="00F126CD">
        <w:t>Finnigan</w:t>
      </w:r>
      <w:r w:rsidRPr="00F126CD" w:rsidR="00526DD3">
        <w:t>]</w:t>
      </w:r>
      <w:r w:rsidRPr="00F126CD" w:rsidR="0011317F">
        <w:t>:</w:t>
      </w:r>
      <w:r w:rsidRPr="00F126CD">
        <w:t xml:space="preserve"> (614) 466-9585</w:t>
      </w:r>
    </w:p>
    <w:p w:rsidR="00135CA8" w:rsidRPr="00F126CD" w:rsidP="00135CA8" w14:paraId="15E2649C" w14:textId="5A4719EC">
      <w:pPr>
        <w:ind w:left="3600" w:firstLine="720"/>
        <w:rPr>
          <w:color w:val="000000"/>
        </w:rPr>
      </w:pPr>
      <w:r w:rsidRPr="00F126CD">
        <w:rPr>
          <w:color w:val="000000"/>
        </w:rPr>
        <w:t>Telephone: [Semple]: (614) 266-9565</w:t>
      </w:r>
    </w:p>
    <w:p w:rsidR="00135CA8" w:rsidRPr="00F126CD" w:rsidP="00135CA8" w14:paraId="293A738A" w14:textId="77777777">
      <w:pPr>
        <w:ind w:left="4320"/>
        <w:rPr>
          <w:rFonts w:eastAsia="Courier New"/>
          <w:color w:val="FF0000"/>
        </w:rPr>
      </w:pPr>
      <w:hyperlink r:id="rId6" w:history="1">
        <w:r w:rsidRPr="00F126CD" w:rsidR="00502E6D">
          <w:rPr>
            <w:rFonts w:eastAsia="Courier New"/>
            <w:color w:val="0000FF"/>
            <w:u w:val="single"/>
          </w:rPr>
          <w:t>william.michael@occ.ohio.gov</w:t>
        </w:r>
      </w:hyperlink>
    </w:p>
    <w:p w:rsidR="00135CA8" w:rsidRPr="00F126CD" w:rsidP="00135CA8" w14:paraId="426F37D2" w14:textId="030F9F94">
      <w:pPr>
        <w:ind w:left="4320"/>
        <w:rPr>
          <w:rFonts w:eastAsia="Courier New"/>
          <w:color w:val="FF0000"/>
        </w:rPr>
      </w:pPr>
      <w:hyperlink r:id="rId7" w:history="1">
        <w:r w:rsidRPr="00F126CD" w:rsidR="00502E6D">
          <w:rPr>
            <w:rStyle w:val="Hyperlink"/>
            <w:rFonts w:eastAsia="Courier New"/>
          </w:rPr>
          <w:t>john.finnigan@occ.ohio.gov</w:t>
        </w:r>
      </w:hyperlink>
    </w:p>
    <w:p w:rsidR="00135CA8" w:rsidRPr="00F126CD" w:rsidP="00135CA8" w14:paraId="3FBD4017" w14:textId="77777777">
      <w:pPr>
        <w:ind w:left="4320"/>
        <w:rPr>
          <w:rFonts w:eastAsia="Courier New"/>
          <w:color w:val="000000"/>
        </w:rPr>
      </w:pPr>
      <w:hyperlink r:id="rId8" w:history="1">
        <w:r w:rsidRPr="00F126CD" w:rsidR="00502E6D">
          <w:rPr>
            <w:rFonts w:eastAsia="Courier New"/>
            <w:color w:val="0000FF"/>
            <w:u w:val="single"/>
          </w:rPr>
          <w:t>connor.semple@occ.ohio.gov</w:t>
        </w:r>
      </w:hyperlink>
    </w:p>
    <w:p w:rsidR="00135CA8" w:rsidRPr="00F126CD" w:rsidP="000C24C4" w14:paraId="7B698345" w14:textId="12C5C800">
      <w:r>
        <w:t xml:space="preserve">June </w:t>
      </w:r>
      <w:r w:rsidR="00D5524F">
        <w:t>16</w:t>
      </w:r>
      <w:r>
        <w:t>, 2023</w:t>
      </w:r>
      <w:r>
        <w:tab/>
      </w:r>
      <w:r>
        <w:tab/>
      </w:r>
      <w:r>
        <w:tab/>
      </w:r>
      <w:r>
        <w:tab/>
      </w:r>
      <w:r w:rsidR="00F6067A">
        <w:tab/>
      </w:r>
      <w:r w:rsidRPr="00F126CD">
        <w:t>(willing to accept service by e-mail)</w:t>
      </w:r>
    </w:p>
    <w:p w:rsidR="00135CA8" w:rsidRPr="00F126CD" w:rsidP="004C207A" w14:paraId="6F6FBCD0" w14:textId="77777777">
      <w:pPr>
        <w:ind w:left="3780" w:hanging="3780"/>
      </w:pPr>
    </w:p>
    <w:p w:rsidR="00135CA8" w:rsidRPr="00F126CD" w:rsidP="00135CA8" w14:paraId="4E1B4E73" w14:textId="33F43A07">
      <w:pPr>
        <w:sectPr w:rsidSect="0001565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start="1"/>
          <w:cols w:space="720"/>
          <w:titlePg/>
          <w:docGrid w:linePitch="360"/>
        </w:sectPr>
      </w:pPr>
    </w:p>
    <w:p w:rsidR="00A93A38" w:rsidRPr="00F126CD" w:rsidP="00A93A38" w14:paraId="089D5FA2" w14:textId="77777777">
      <w:pPr>
        <w:jc w:val="center"/>
        <w:rPr>
          <w:b/>
          <w:caps/>
          <w:u w:val="single"/>
          <w:lang w:eastAsia="ja-JP"/>
        </w:rPr>
      </w:pPr>
      <w:r w:rsidRPr="003E42C3">
        <w:rPr>
          <w:b/>
          <w:caps/>
          <w:u w:val="single"/>
          <w:lang w:eastAsia="ja-JP"/>
        </w:rPr>
        <w:t>TABLE OF CONTENTS</w:t>
      </w:r>
    </w:p>
    <w:p w:rsidR="008C1899" w:rsidRPr="00F126CD" w:rsidP="00A93A38" w14:paraId="186A72C4" w14:textId="77777777">
      <w:pPr>
        <w:jc w:val="center"/>
        <w:rPr>
          <w:b/>
          <w:caps/>
          <w:u w:val="single"/>
          <w:lang w:eastAsia="ja-JP"/>
        </w:rPr>
      </w:pPr>
    </w:p>
    <w:p w:rsidR="00A93A38" w:rsidP="00A93A38" w14:paraId="46C1836C" w14:textId="77777777">
      <w:pPr>
        <w:jc w:val="right"/>
        <w:rPr>
          <w:b/>
          <w:caps/>
          <w:lang w:eastAsia="ja-JP"/>
        </w:rPr>
      </w:pPr>
      <w:r w:rsidRPr="00F126CD">
        <w:rPr>
          <w:b/>
          <w:caps/>
          <w:lang w:eastAsia="ja-JP"/>
        </w:rPr>
        <w:t>PAGE</w:t>
      </w:r>
    </w:p>
    <w:p w:rsidR="003E42C3" w:rsidRPr="00F126CD" w:rsidP="00A93A38" w14:paraId="33CF3FFF" w14:textId="77777777">
      <w:pPr>
        <w:jc w:val="right"/>
        <w:rPr>
          <w:b/>
          <w:caps/>
          <w:lang w:eastAsia="ja-JP"/>
        </w:rPr>
      </w:pPr>
    </w:p>
    <w:p w:rsidR="00CF520E" w14:paraId="34800750" w14:textId="52A29DD0">
      <w:pPr>
        <w:pStyle w:val="TOC1"/>
        <w:rPr>
          <w:rFonts w:asciiTheme="minorHAnsi" w:eastAsiaTheme="minorEastAsia" w:hAnsiTheme="minorHAnsi" w:cstheme="minorBidi"/>
          <w:noProof/>
          <w:kern w:val="2"/>
          <w:sz w:val="22"/>
          <w:szCs w:val="22"/>
          <w:lang w:bidi="ar-SA"/>
          <w14:ligatures w14:val="standardContextual"/>
        </w:rPr>
      </w:pPr>
      <w:r>
        <w:rPr>
          <w:b/>
          <w:caps/>
          <w:lang w:eastAsia="ja-JP"/>
        </w:rPr>
        <w:fldChar w:fldCharType="begin"/>
      </w:r>
      <w:r>
        <w:rPr>
          <w:b/>
          <w:caps/>
          <w:lang w:eastAsia="ja-JP"/>
        </w:rPr>
        <w:instrText xml:space="preserve"> TOC \o "1-5" \h \z \u </w:instrText>
      </w:r>
      <w:r>
        <w:rPr>
          <w:b/>
          <w:caps/>
          <w:lang w:eastAsia="ja-JP"/>
        </w:rPr>
        <w:fldChar w:fldCharType="separate"/>
      </w:r>
      <w:hyperlink w:anchor="_Toc137825428" w:history="1">
        <w:r w:rsidRPr="00754FB2">
          <w:rPr>
            <w:rStyle w:val="Hyperlink"/>
            <w:noProof/>
          </w:rPr>
          <w:t>I.</w:t>
        </w:r>
        <w:r>
          <w:rPr>
            <w:rFonts w:asciiTheme="minorHAnsi" w:eastAsiaTheme="minorEastAsia" w:hAnsiTheme="minorHAnsi" w:cstheme="minorBidi"/>
            <w:noProof/>
            <w:kern w:val="2"/>
            <w:sz w:val="22"/>
            <w:szCs w:val="22"/>
            <w:lang w:bidi="ar-SA"/>
            <w14:ligatures w14:val="standardContextual"/>
          </w:rPr>
          <w:tab/>
        </w:r>
        <w:r w:rsidRPr="00754FB2">
          <w:rPr>
            <w:rStyle w:val="Hyperlink"/>
            <w:noProof/>
          </w:rPr>
          <w:t>INTRODUCTION</w:t>
        </w:r>
        <w:r>
          <w:rPr>
            <w:noProof/>
            <w:webHidden/>
          </w:rPr>
          <w:tab/>
        </w:r>
        <w:r>
          <w:rPr>
            <w:noProof/>
            <w:webHidden/>
          </w:rPr>
          <w:fldChar w:fldCharType="begin"/>
        </w:r>
        <w:r>
          <w:rPr>
            <w:noProof/>
            <w:webHidden/>
          </w:rPr>
          <w:instrText xml:space="preserve"> PAGEREF _Toc137825428 \h </w:instrText>
        </w:r>
        <w:r>
          <w:rPr>
            <w:noProof/>
            <w:webHidden/>
          </w:rPr>
          <w:fldChar w:fldCharType="separate"/>
        </w:r>
        <w:r>
          <w:rPr>
            <w:noProof/>
            <w:webHidden/>
          </w:rPr>
          <w:t>1</w:t>
        </w:r>
        <w:r>
          <w:rPr>
            <w:noProof/>
            <w:webHidden/>
          </w:rPr>
          <w:fldChar w:fldCharType="end"/>
        </w:r>
      </w:hyperlink>
    </w:p>
    <w:p w:rsidR="00CF520E" w14:paraId="2EA5619A" w14:textId="36E5DE8D">
      <w:pPr>
        <w:pStyle w:val="TOC1"/>
        <w:rPr>
          <w:rFonts w:asciiTheme="minorHAnsi" w:eastAsiaTheme="minorEastAsia" w:hAnsiTheme="minorHAnsi" w:cstheme="minorBidi"/>
          <w:noProof/>
          <w:kern w:val="2"/>
          <w:sz w:val="22"/>
          <w:szCs w:val="22"/>
          <w:lang w:bidi="ar-SA"/>
          <w14:ligatures w14:val="standardContextual"/>
        </w:rPr>
      </w:pPr>
      <w:hyperlink w:anchor="_Toc137825429" w:history="1">
        <w:r w:rsidRPr="00754FB2" w:rsidR="00C625AE">
          <w:rPr>
            <w:rStyle w:val="Hyperlink"/>
            <w:noProof/>
          </w:rPr>
          <w:t>II.</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SETTLEMENT VIOLATES THE PUCO’S THREE-PART TEST FOR CONSIDERING SETTLEMENTS</w:t>
        </w:r>
        <w:r w:rsidR="00C625AE">
          <w:rPr>
            <w:noProof/>
            <w:webHidden/>
          </w:rPr>
          <w:tab/>
        </w:r>
        <w:r w:rsidR="00C625AE">
          <w:rPr>
            <w:noProof/>
            <w:webHidden/>
          </w:rPr>
          <w:fldChar w:fldCharType="begin"/>
        </w:r>
        <w:r w:rsidR="00C625AE">
          <w:rPr>
            <w:noProof/>
            <w:webHidden/>
          </w:rPr>
          <w:instrText xml:space="preserve"> PAGEREF _Toc137825429 \h </w:instrText>
        </w:r>
        <w:r w:rsidR="00C625AE">
          <w:rPr>
            <w:noProof/>
            <w:webHidden/>
          </w:rPr>
          <w:fldChar w:fldCharType="separate"/>
        </w:r>
        <w:r w:rsidR="00C625AE">
          <w:rPr>
            <w:noProof/>
            <w:webHidden/>
          </w:rPr>
          <w:t>3</w:t>
        </w:r>
        <w:r w:rsidR="00C625AE">
          <w:rPr>
            <w:noProof/>
            <w:webHidden/>
          </w:rPr>
          <w:fldChar w:fldCharType="end"/>
        </w:r>
      </w:hyperlink>
    </w:p>
    <w:p w:rsidR="00CF520E" w14:paraId="199E2D1C" w14:textId="579EFC5E">
      <w:pPr>
        <w:pStyle w:val="TOC2"/>
        <w:tabs>
          <w:tab w:val="left" w:pos="1440"/>
        </w:tabs>
        <w:rPr>
          <w:rFonts w:asciiTheme="minorHAnsi" w:eastAsiaTheme="minorEastAsia" w:hAnsiTheme="minorHAnsi" w:cstheme="minorBidi"/>
          <w:noProof/>
          <w:kern w:val="2"/>
          <w:sz w:val="22"/>
          <w:szCs w:val="22"/>
          <w:lang w:bidi="ar-SA"/>
          <w14:ligatures w14:val="standardContextual"/>
        </w:rPr>
      </w:pPr>
      <w:hyperlink w:anchor="_Toc137825430" w:history="1">
        <w:r w:rsidRPr="00754FB2" w:rsidR="00C625AE">
          <w:rPr>
            <w:rStyle w:val="Hyperlink"/>
            <w:noProof/>
          </w:rPr>
          <w:t>A.</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PUCO should reject the Settlement because it is not the product of serious bargaining.</w:t>
        </w:r>
        <w:r w:rsidR="00C625AE">
          <w:rPr>
            <w:noProof/>
            <w:webHidden/>
          </w:rPr>
          <w:tab/>
        </w:r>
        <w:r w:rsidR="00C625AE">
          <w:rPr>
            <w:noProof/>
            <w:webHidden/>
          </w:rPr>
          <w:fldChar w:fldCharType="begin"/>
        </w:r>
        <w:r w:rsidR="00C625AE">
          <w:rPr>
            <w:noProof/>
            <w:webHidden/>
          </w:rPr>
          <w:instrText xml:space="preserve"> PAGEREF _Toc137825430 \h </w:instrText>
        </w:r>
        <w:r w:rsidR="00C625AE">
          <w:rPr>
            <w:noProof/>
            <w:webHidden/>
          </w:rPr>
          <w:fldChar w:fldCharType="separate"/>
        </w:r>
        <w:r w:rsidR="00C625AE">
          <w:rPr>
            <w:noProof/>
            <w:webHidden/>
          </w:rPr>
          <w:t>4</w:t>
        </w:r>
        <w:r w:rsidR="00C625AE">
          <w:rPr>
            <w:noProof/>
            <w:webHidden/>
          </w:rPr>
          <w:fldChar w:fldCharType="end"/>
        </w:r>
      </w:hyperlink>
    </w:p>
    <w:p w:rsidR="00CF520E" w14:paraId="64354EAE" w14:textId="28A75E0E">
      <w:pPr>
        <w:pStyle w:val="TOC2"/>
        <w:tabs>
          <w:tab w:val="left" w:pos="1440"/>
        </w:tabs>
        <w:rPr>
          <w:rFonts w:asciiTheme="minorHAnsi" w:eastAsiaTheme="minorEastAsia" w:hAnsiTheme="minorHAnsi" w:cstheme="minorBidi"/>
          <w:noProof/>
          <w:kern w:val="2"/>
          <w:sz w:val="22"/>
          <w:szCs w:val="22"/>
          <w:lang w:bidi="ar-SA"/>
          <w14:ligatures w14:val="standardContextual"/>
        </w:rPr>
      </w:pPr>
      <w:hyperlink w:anchor="_Toc137825431" w:history="1">
        <w:r w:rsidRPr="00754FB2" w:rsidR="00C625AE">
          <w:rPr>
            <w:rStyle w:val="Hyperlink"/>
            <w:noProof/>
          </w:rPr>
          <w:t>B.</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PUCO should reject the Settlement because the benefits to consumers and the public interest do not outweigh the harm to consumers and the public interest.</w:t>
        </w:r>
        <w:r w:rsidR="00C625AE">
          <w:rPr>
            <w:noProof/>
            <w:webHidden/>
          </w:rPr>
          <w:tab/>
        </w:r>
        <w:r w:rsidR="00C625AE">
          <w:rPr>
            <w:noProof/>
            <w:webHidden/>
          </w:rPr>
          <w:fldChar w:fldCharType="begin"/>
        </w:r>
        <w:r w:rsidR="00C625AE">
          <w:rPr>
            <w:noProof/>
            <w:webHidden/>
          </w:rPr>
          <w:instrText xml:space="preserve"> PAGEREF _Toc137825431 \h </w:instrText>
        </w:r>
        <w:r w:rsidR="00C625AE">
          <w:rPr>
            <w:noProof/>
            <w:webHidden/>
          </w:rPr>
          <w:fldChar w:fldCharType="separate"/>
        </w:r>
        <w:r w:rsidR="00C625AE">
          <w:rPr>
            <w:noProof/>
            <w:webHidden/>
          </w:rPr>
          <w:t>6</w:t>
        </w:r>
        <w:r w:rsidR="00C625AE">
          <w:rPr>
            <w:noProof/>
            <w:webHidden/>
          </w:rPr>
          <w:fldChar w:fldCharType="end"/>
        </w:r>
      </w:hyperlink>
    </w:p>
    <w:p w:rsidR="00CF520E" w:rsidP="00CF520E" w14:paraId="6C185C4C" w14:textId="63BF9B8C">
      <w:pPr>
        <w:pStyle w:val="TOC3"/>
        <w:rPr>
          <w:rFonts w:asciiTheme="minorHAnsi" w:eastAsiaTheme="minorEastAsia" w:hAnsiTheme="minorHAnsi" w:cstheme="minorBidi"/>
          <w:noProof/>
          <w:kern w:val="2"/>
          <w:sz w:val="22"/>
          <w:szCs w:val="22"/>
          <w:lang w:bidi="ar-SA"/>
          <w14:ligatures w14:val="standardContextual"/>
        </w:rPr>
      </w:pPr>
      <w:hyperlink w:anchor="_Toc137825432" w:history="1">
        <w:r w:rsidRPr="00754FB2" w:rsidR="00C625AE">
          <w:rPr>
            <w:rStyle w:val="Hyperlink"/>
            <w:noProof/>
          </w:rPr>
          <w:t>1.</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Duke’s attempt to charge consumers for deferred costs related to propane caverns harms consumers and the public interest because the caverns were not used and useful at the March 31, 2022 date certain in this case.</w:t>
        </w:r>
        <w:r w:rsidR="00C625AE">
          <w:rPr>
            <w:noProof/>
            <w:webHidden/>
          </w:rPr>
          <w:tab/>
        </w:r>
        <w:r w:rsidR="00C625AE">
          <w:rPr>
            <w:noProof/>
            <w:webHidden/>
          </w:rPr>
          <w:fldChar w:fldCharType="begin"/>
        </w:r>
        <w:r w:rsidR="00C625AE">
          <w:rPr>
            <w:noProof/>
            <w:webHidden/>
          </w:rPr>
          <w:instrText xml:space="preserve"> PAGEREF _Toc137825432 \h </w:instrText>
        </w:r>
        <w:r w:rsidR="00C625AE">
          <w:rPr>
            <w:noProof/>
            <w:webHidden/>
          </w:rPr>
          <w:fldChar w:fldCharType="separate"/>
        </w:r>
        <w:r w:rsidR="00C625AE">
          <w:rPr>
            <w:noProof/>
            <w:webHidden/>
          </w:rPr>
          <w:t>6</w:t>
        </w:r>
        <w:r w:rsidR="00C625AE">
          <w:rPr>
            <w:noProof/>
            <w:webHidden/>
          </w:rPr>
          <w:fldChar w:fldCharType="end"/>
        </w:r>
      </w:hyperlink>
    </w:p>
    <w:p w:rsidR="00CF520E" w14:paraId="7D99CFCF" w14:textId="0AD4186F">
      <w:pPr>
        <w:pStyle w:val="TOC4"/>
        <w:tabs>
          <w:tab w:val="left" w:pos="2880"/>
        </w:tabs>
        <w:rPr>
          <w:rFonts w:asciiTheme="minorHAnsi" w:eastAsiaTheme="minorEastAsia" w:hAnsiTheme="minorHAnsi" w:cstheme="minorBidi"/>
          <w:noProof/>
          <w:kern w:val="2"/>
          <w:sz w:val="22"/>
          <w:szCs w:val="22"/>
          <w:lang w:bidi="ar-SA"/>
          <w14:ligatures w14:val="standardContextual"/>
        </w:rPr>
      </w:pPr>
      <w:hyperlink w:anchor="_Toc137825433" w:history="1">
        <w:r w:rsidRPr="00754FB2" w:rsidR="00C625AE">
          <w:rPr>
            <w:rStyle w:val="Hyperlink"/>
            <w:noProof/>
          </w:rPr>
          <w:t>a.</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Duke’s own public representations demonstrate that when the Central Corridor Pipeline went into service, the propane caverns were not used and useful.</w:t>
        </w:r>
        <w:r w:rsidR="00C625AE">
          <w:rPr>
            <w:noProof/>
            <w:webHidden/>
          </w:rPr>
          <w:tab/>
        </w:r>
        <w:r w:rsidR="00C625AE">
          <w:rPr>
            <w:noProof/>
            <w:webHidden/>
          </w:rPr>
          <w:fldChar w:fldCharType="begin"/>
        </w:r>
        <w:r w:rsidR="00C625AE">
          <w:rPr>
            <w:noProof/>
            <w:webHidden/>
          </w:rPr>
          <w:instrText xml:space="preserve"> PAGEREF _Toc137825433 \h </w:instrText>
        </w:r>
        <w:r w:rsidR="00C625AE">
          <w:rPr>
            <w:noProof/>
            <w:webHidden/>
          </w:rPr>
          <w:fldChar w:fldCharType="separate"/>
        </w:r>
        <w:r w:rsidR="00C625AE">
          <w:rPr>
            <w:noProof/>
            <w:webHidden/>
          </w:rPr>
          <w:t>8</w:t>
        </w:r>
        <w:r w:rsidR="00C625AE">
          <w:rPr>
            <w:noProof/>
            <w:webHidden/>
          </w:rPr>
          <w:fldChar w:fldCharType="end"/>
        </w:r>
      </w:hyperlink>
    </w:p>
    <w:p w:rsidR="00CF520E" w14:paraId="10C63050" w14:textId="394B81AC">
      <w:pPr>
        <w:pStyle w:val="TOC5"/>
        <w:tabs>
          <w:tab w:val="left" w:pos="3600"/>
        </w:tabs>
        <w:rPr>
          <w:rFonts w:asciiTheme="minorHAnsi" w:eastAsiaTheme="minorEastAsia" w:hAnsiTheme="minorHAnsi" w:cstheme="minorBidi"/>
          <w:noProof/>
          <w:kern w:val="2"/>
          <w:sz w:val="22"/>
          <w:szCs w:val="22"/>
          <w:lang w:bidi="ar-SA"/>
          <w14:ligatures w14:val="standardContextual"/>
        </w:rPr>
      </w:pPr>
      <w:hyperlink w:anchor="_Toc137825434" w:history="1">
        <w:r w:rsidRPr="00754FB2" w:rsidR="00C625AE">
          <w:rPr>
            <w:rStyle w:val="Hyperlink"/>
            <w:noProof/>
          </w:rPr>
          <w:t>i.</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Duke represents to the OPSB that the Central Corridor</w:t>
        </w:r>
        <w:r w:rsidR="00C625AE">
          <w:rPr>
            <w:noProof/>
            <w:webHidden/>
          </w:rPr>
          <w:tab/>
        </w:r>
        <w:r w:rsidR="00C625AE">
          <w:rPr>
            <w:noProof/>
            <w:webHidden/>
          </w:rPr>
          <w:fldChar w:fldCharType="begin"/>
        </w:r>
        <w:r w:rsidR="00C625AE">
          <w:rPr>
            <w:noProof/>
            <w:webHidden/>
          </w:rPr>
          <w:instrText xml:space="preserve"> PAGEREF _Toc137825434 \h </w:instrText>
        </w:r>
        <w:r w:rsidR="00C625AE">
          <w:rPr>
            <w:noProof/>
            <w:webHidden/>
          </w:rPr>
          <w:fldChar w:fldCharType="separate"/>
        </w:r>
        <w:r w:rsidR="00C625AE">
          <w:rPr>
            <w:noProof/>
            <w:webHidden/>
          </w:rPr>
          <w:t>9</w:t>
        </w:r>
        <w:r w:rsidR="00C625AE">
          <w:rPr>
            <w:noProof/>
            <w:webHidden/>
          </w:rPr>
          <w:fldChar w:fldCharType="end"/>
        </w:r>
      </w:hyperlink>
    </w:p>
    <w:p w:rsidR="00CF520E" w14:paraId="1E382722" w14:textId="471FC236">
      <w:pPr>
        <w:pStyle w:val="TOC5"/>
        <w:tabs>
          <w:tab w:val="left" w:pos="3600"/>
        </w:tabs>
        <w:rPr>
          <w:rFonts w:asciiTheme="minorHAnsi" w:eastAsiaTheme="minorEastAsia" w:hAnsiTheme="minorHAnsi" w:cstheme="minorBidi"/>
          <w:noProof/>
          <w:kern w:val="2"/>
          <w:sz w:val="22"/>
          <w:szCs w:val="22"/>
          <w:lang w:bidi="ar-SA"/>
          <w14:ligatures w14:val="standardContextual"/>
        </w:rPr>
      </w:pPr>
      <w:hyperlink w:anchor="_Toc137825435" w:history="1">
        <w:r w:rsidRPr="00754FB2" w:rsidR="00C625AE">
          <w:rPr>
            <w:rStyle w:val="Hyperlink"/>
            <w:noProof/>
          </w:rPr>
          <w:t>ii.</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Duke represents to the PUCO in its deferral case that the propane</w:t>
        </w:r>
        <w:r w:rsidR="00C625AE">
          <w:rPr>
            <w:noProof/>
            <w:webHidden/>
          </w:rPr>
          <w:tab/>
        </w:r>
        <w:r w:rsidR="00C625AE">
          <w:rPr>
            <w:noProof/>
            <w:webHidden/>
          </w:rPr>
          <w:fldChar w:fldCharType="begin"/>
        </w:r>
        <w:r w:rsidR="00C625AE">
          <w:rPr>
            <w:noProof/>
            <w:webHidden/>
          </w:rPr>
          <w:instrText xml:space="preserve"> PAGEREF _Toc137825435 \h </w:instrText>
        </w:r>
        <w:r w:rsidR="00C625AE">
          <w:rPr>
            <w:noProof/>
            <w:webHidden/>
          </w:rPr>
          <w:fldChar w:fldCharType="separate"/>
        </w:r>
        <w:r w:rsidR="00C625AE">
          <w:rPr>
            <w:noProof/>
            <w:webHidden/>
          </w:rPr>
          <w:t>9</w:t>
        </w:r>
        <w:r w:rsidR="00C625AE">
          <w:rPr>
            <w:noProof/>
            <w:webHidden/>
          </w:rPr>
          <w:fldChar w:fldCharType="end"/>
        </w:r>
      </w:hyperlink>
    </w:p>
    <w:p w:rsidR="00CF520E" w14:paraId="6B42146C" w14:textId="124EA08C">
      <w:pPr>
        <w:pStyle w:val="TOC5"/>
        <w:tabs>
          <w:tab w:val="left" w:pos="3600"/>
        </w:tabs>
        <w:rPr>
          <w:rFonts w:asciiTheme="minorHAnsi" w:eastAsiaTheme="minorEastAsia" w:hAnsiTheme="minorHAnsi" w:cstheme="minorBidi"/>
          <w:noProof/>
          <w:kern w:val="2"/>
          <w:sz w:val="22"/>
          <w:szCs w:val="22"/>
          <w:lang w:bidi="ar-SA"/>
          <w14:ligatures w14:val="standardContextual"/>
        </w:rPr>
      </w:pPr>
      <w:hyperlink w:anchor="_Toc137825436" w:history="1">
        <w:r w:rsidRPr="00754FB2" w:rsidR="00C625AE">
          <w:rPr>
            <w:rStyle w:val="Hyperlink"/>
            <w:noProof/>
          </w:rPr>
          <w:t>iii.</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Duke represents (conceded) to the public and the Securities</w:t>
        </w:r>
        <w:r w:rsidR="00C625AE">
          <w:rPr>
            <w:noProof/>
            <w:webHidden/>
          </w:rPr>
          <w:tab/>
        </w:r>
        <w:r w:rsidR="00C625AE">
          <w:rPr>
            <w:noProof/>
            <w:webHidden/>
          </w:rPr>
          <w:fldChar w:fldCharType="begin"/>
        </w:r>
        <w:r w:rsidR="00C625AE">
          <w:rPr>
            <w:noProof/>
            <w:webHidden/>
          </w:rPr>
          <w:instrText xml:space="preserve"> PAGEREF _Toc137825436 \h </w:instrText>
        </w:r>
        <w:r w:rsidR="00C625AE">
          <w:rPr>
            <w:noProof/>
            <w:webHidden/>
          </w:rPr>
          <w:fldChar w:fldCharType="separate"/>
        </w:r>
        <w:r w:rsidR="00C625AE">
          <w:rPr>
            <w:noProof/>
            <w:webHidden/>
          </w:rPr>
          <w:t>11</w:t>
        </w:r>
        <w:r w:rsidR="00C625AE">
          <w:rPr>
            <w:noProof/>
            <w:webHidden/>
          </w:rPr>
          <w:fldChar w:fldCharType="end"/>
        </w:r>
      </w:hyperlink>
    </w:p>
    <w:p w:rsidR="00CF520E" w14:paraId="6116619A" w14:textId="222D2281">
      <w:pPr>
        <w:pStyle w:val="TOC5"/>
        <w:tabs>
          <w:tab w:val="left" w:pos="3600"/>
        </w:tabs>
        <w:rPr>
          <w:rFonts w:asciiTheme="minorHAnsi" w:eastAsiaTheme="minorEastAsia" w:hAnsiTheme="minorHAnsi" w:cstheme="minorBidi"/>
          <w:noProof/>
          <w:kern w:val="2"/>
          <w:sz w:val="22"/>
          <w:szCs w:val="22"/>
          <w:lang w:bidi="ar-SA"/>
          <w14:ligatures w14:val="standardContextual"/>
        </w:rPr>
      </w:pPr>
      <w:hyperlink w:anchor="_Toc137825437" w:history="1">
        <w:r w:rsidRPr="00754FB2" w:rsidR="00C625AE">
          <w:rPr>
            <w:rStyle w:val="Hyperlink"/>
            <w:noProof/>
          </w:rPr>
          <w:t>iv.</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Duke represented (conceded) to the PUCO in this case that the propane caverns were not used and useful due to the Central Corridor Pipeline.</w:t>
        </w:r>
        <w:r w:rsidR="00C625AE">
          <w:rPr>
            <w:noProof/>
            <w:webHidden/>
          </w:rPr>
          <w:tab/>
        </w:r>
        <w:r w:rsidR="00C625AE">
          <w:rPr>
            <w:noProof/>
            <w:webHidden/>
          </w:rPr>
          <w:fldChar w:fldCharType="begin"/>
        </w:r>
        <w:r w:rsidR="00C625AE">
          <w:rPr>
            <w:noProof/>
            <w:webHidden/>
          </w:rPr>
          <w:instrText xml:space="preserve"> PAGEREF _Toc137825437 \h </w:instrText>
        </w:r>
        <w:r w:rsidR="00C625AE">
          <w:rPr>
            <w:noProof/>
            <w:webHidden/>
          </w:rPr>
          <w:fldChar w:fldCharType="separate"/>
        </w:r>
        <w:r w:rsidR="00C625AE">
          <w:rPr>
            <w:noProof/>
            <w:webHidden/>
          </w:rPr>
          <w:t>12</w:t>
        </w:r>
        <w:r w:rsidR="00C625AE">
          <w:rPr>
            <w:noProof/>
            <w:webHidden/>
          </w:rPr>
          <w:fldChar w:fldCharType="end"/>
        </w:r>
      </w:hyperlink>
    </w:p>
    <w:p w:rsidR="00CF520E" w14:paraId="32AB4037" w14:textId="666B6F0B">
      <w:pPr>
        <w:pStyle w:val="TOC5"/>
        <w:tabs>
          <w:tab w:val="left" w:pos="3600"/>
        </w:tabs>
        <w:rPr>
          <w:rFonts w:asciiTheme="minorHAnsi" w:eastAsiaTheme="minorEastAsia" w:hAnsiTheme="minorHAnsi" w:cstheme="minorBidi"/>
          <w:noProof/>
          <w:kern w:val="2"/>
          <w:sz w:val="22"/>
          <w:szCs w:val="22"/>
          <w:lang w:bidi="ar-SA"/>
          <w14:ligatures w14:val="standardContextual"/>
        </w:rPr>
      </w:pPr>
      <w:hyperlink w:anchor="_Toc137825438" w:history="1">
        <w:r w:rsidRPr="00754FB2" w:rsidR="00C625AE">
          <w:rPr>
            <w:rStyle w:val="Hyperlink"/>
            <w:noProof/>
          </w:rPr>
          <w:t>v.</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Duke represented to the public and the OPSB that the Central Corridor Pipeline went into commercial operation before the date certain in this case, confirming that the propane caverns were not used and useful.</w:t>
        </w:r>
        <w:r w:rsidR="00C625AE">
          <w:rPr>
            <w:noProof/>
            <w:webHidden/>
          </w:rPr>
          <w:tab/>
        </w:r>
        <w:r w:rsidR="00C625AE">
          <w:rPr>
            <w:noProof/>
            <w:webHidden/>
          </w:rPr>
          <w:fldChar w:fldCharType="begin"/>
        </w:r>
        <w:r w:rsidR="00C625AE">
          <w:rPr>
            <w:noProof/>
            <w:webHidden/>
          </w:rPr>
          <w:instrText xml:space="preserve"> PAGEREF _Toc137825438 \h </w:instrText>
        </w:r>
        <w:r w:rsidR="00C625AE">
          <w:rPr>
            <w:noProof/>
            <w:webHidden/>
          </w:rPr>
          <w:fldChar w:fldCharType="separate"/>
        </w:r>
        <w:r w:rsidR="00C625AE">
          <w:rPr>
            <w:noProof/>
            <w:webHidden/>
          </w:rPr>
          <w:t>13</w:t>
        </w:r>
        <w:r w:rsidR="00C625AE">
          <w:rPr>
            <w:noProof/>
            <w:webHidden/>
          </w:rPr>
          <w:fldChar w:fldCharType="end"/>
        </w:r>
      </w:hyperlink>
    </w:p>
    <w:p w:rsidR="00CF520E" w14:paraId="6ECB4DB4" w14:textId="39142C27">
      <w:pPr>
        <w:pStyle w:val="TOC4"/>
        <w:tabs>
          <w:tab w:val="left" w:pos="2880"/>
        </w:tabs>
        <w:rPr>
          <w:rFonts w:asciiTheme="minorHAnsi" w:eastAsiaTheme="minorEastAsia" w:hAnsiTheme="minorHAnsi" w:cstheme="minorBidi"/>
          <w:noProof/>
          <w:kern w:val="2"/>
          <w:sz w:val="22"/>
          <w:szCs w:val="22"/>
          <w:lang w:bidi="ar-SA"/>
          <w14:ligatures w14:val="standardContextual"/>
        </w:rPr>
      </w:pPr>
      <w:hyperlink w:anchor="_Toc137825439" w:history="1">
        <w:r w:rsidRPr="00754FB2" w:rsidR="00C625AE">
          <w:rPr>
            <w:rStyle w:val="Hyperlink"/>
            <w:noProof/>
          </w:rPr>
          <w:t>b.</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Duke’s deferral of propane cavern expenses does not guarantee it can collect those costs from consumers.</w:t>
        </w:r>
        <w:r w:rsidR="00C625AE">
          <w:rPr>
            <w:noProof/>
            <w:webHidden/>
          </w:rPr>
          <w:tab/>
        </w:r>
        <w:r w:rsidR="00C625AE">
          <w:rPr>
            <w:noProof/>
            <w:webHidden/>
          </w:rPr>
          <w:fldChar w:fldCharType="begin"/>
        </w:r>
        <w:r w:rsidR="00C625AE">
          <w:rPr>
            <w:noProof/>
            <w:webHidden/>
          </w:rPr>
          <w:instrText xml:space="preserve"> PAGEREF _Toc137825439 \h </w:instrText>
        </w:r>
        <w:r w:rsidR="00C625AE">
          <w:rPr>
            <w:noProof/>
            <w:webHidden/>
          </w:rPr>
          <w:fldChar w:fldCharType="separate"/>
        </w:r>
        <w:r w:rsidR="00C625AE">
          <w:rPr>
            <w:noProof/>
            <w:webHidden/>
          </w:rPr>
          <w:t>14</w:t>
        </w:r>
        <w:r w:rsidR="00C625AE">
          <w:rPr>
            <w:noProof/>
            <w:webHidden/>
          </w:rPr>
          <w:fldChar w:fldCharType="end"/>
        </w:r>
      </w:hyperlink>
    </w:p>
    <w:p w:rsidR="00CF520E" w:rsidP="00CF520E" w14:paraId="0870D66C" w14:textId="5EC035A3">
      <w:pPr>
        <w:pStyle w:val="TOC3"/>
        <w:rPr>
          <w:rFonts w:asciiTheme="minorHAnsi" w:eastAsiaTheme="minorEastAsia" w:hAnsiTheme="minorHAnsi" w:cstheme="minorBidi"/>
          <w:noProof/>
          <w:kern w:val="2"/>
          <w:sz w:val="22"/>
          <w:szCs w:val="22"/>
          <w:lang w:bidi="ar-SA"/>
          <w14:ligatures w14:val="standardContextual"/>
        </w:rPr>
      </w:pPr>
      <w:hyperlink w:anchor="_Toc137825440" w:history="1">
        <w:r w:rsidRPr="00754FB2" w:rsidR="00C625AE">
          <w:rPr>
            <w:rStyle w:val="Hyperlink"/>
            <w:noProof/>
          </w:rPr>
          <w:t>2.</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Duke’s proposal to calculate property tax by using the plant in service balance at date certain harms consumers, the public interest, and should be rejected.</w:t>
        </w:r>
        <w:r w:rsidR="00C625AE">
          <w:rPr>
            <w:noProof/>
            <w:webHidden/>
          </w:rPr>
          <w:tab/>
        </w:r>
        <w:r w:rsidR="00C625AE">
          <w:rPr>
            <w:noProof/>
            <w:webHidden/>
          </w:rPr>
          <w:fldChar w:fldCharType="begin"/>
        </w:r>
        <w:r w:rsidR="00C625AE">
          <w:rPr>
            <w:noProof/>
            <w:webHidden/>
          </w:rPr>
          <w:instrText xml:space="preserve"> PAGEREF _Toc137825440 \h </w:instrText>
        </w:r>
        <w:r w:rsidR="00C625AE">
          <w:rPr>
            <w:noProof/>
            <w:webHidden/>
          </w:rPr>
          <w:fldChar w:fldCharType="separate"/>
        </w:r>
        <w:r w:rsidR="00C625AE">
          <w:rPr>
            <w:noProof/>
            <w:webHidden/>
          </w:rPr>
          <w:t>15</w:t>
        </w:r>
        <w:r w:rsidR="00C625AE">
          <w:rPr>
            <w:noProof/>
            <w:webHidden/>
          </w:rPr>
          <w:fldChar w:fldCharType="end"/>
        </w:r>
      </w:hyperlink>
    </w:p>
    <w:p w:rsidR="00CF520E" w:rsidP="00CF520E" w14:paraId="6BDEB397" w14:textId="77D0BCD5">
      <w:pPr>
        <w:pStyle w:val="TOC3"/>
        <w:ind w:left="2880"/>
        <w:rPr>
          <w:rFonts w:asciiTheme="minorHAnsi" w:eastAsiaTheme="minorEastAsia" w:hAnsiTheme="minorHAnsi" w:cstheme="minorBidi"/>
          <w:noProof/>
          <w:kern w:val="2"/>
          <w:sz w:val="22"/>
          <w:szCs w:val="22"/>
          <w:lang w:bidi="ar-SA"/>
          <w14:ligatures w14:val="standardContextual"/>
        </w:rPr>
      </w:pPr>
      <w:hyperlink w:anchor="_Toc137825441" w:history="1">
        <w:r w:rsidRPr="00754FB2" w:rsidR="00C625AE">
          <w:rPr>
            <w:rStyle w:val="Hyperlink"/>
            <w:rFonts w:ascii="Times New Roman Bold" w:hAnsi="Times New Roman Bold"/>
            <w:noProof/>
          </w:rPr>
          <w:t>a.</w:t>
        </w:r>
        <w:r w:rsidR="00C625AE">
          <w:rPr>
            <w:rFonts w:asciiTheme="minorHAnsi" w:eastAsiaTheme="minorEastAsia" w:hAnsiTheme="minorHAnsi" w:cstheme="minorBidi"/>
            <w:noProof/>
            <w:kern w:val="2"/>
            <w:sz w:val="22"/>
            <w:szCs w:val="22"/>
            <w:lang w:bidi="ar-SA"/>
            <w14:ligatures w14:val="standardContextual"/>
          </w:rPr>
          <w:tab/>
        </w:r>
        <w:r w:rsidRPr="00CF520E" w:rsidR="00C625AE">
          <w:rPr>
            <w:rStyle w:val="Hyperlink"/>
            <w:noProof/>
          </w:rPr>
          <w:t>Duke’s proposal overstates property taxes actually payable during the test year and overcharges consumers.</w:t>
        </w:r>
        <w:r w:rsidR="00C625AE">
          <w:rPr>
            <w:noProof/>
            <w:webHidden/>
          </w:rPr>
          <w:tab/>
        </w:r>
        <w:r w:rsidR="00C625AE">
          <w:rPr>
            <w:noProof/>
            <w:webHidden/>
          </w:rPr>
          <w:fldChar w:fldCharType="begin"/>
        </w:r>
        <w:r w:rsidR="00C625AE">
          <w:rPr>
            <w:noProof/>
            <w:webHidden/>
          </w:rPr>
          <w:instrText xml:space="preserve"> PAGEREF _Toc137825441 \h </w:instrText>
        </w:r>
        <w:r w:rsidR="00C625AE">
          <w:rPr>
            <w:noProof/>
            <w:webHidden/>
          </w:rPr>
          <w:fldChar w:fldCharType="separate"/>
        </w:r>
        <w:r w:rsidR="00C625AE">
          <w:rPr>
            <w:noProof/>
            <w:webHidden/>
          </w:rPr>
          <w:t>15</w:t>
        </w:r>
        <w:r w:rsidR="00C625AE">
          <w:rPr>
            <w:noProof/>
            <w:webHidden/>
          </w:rPr>
          <w:fldChar w:fldCharType="end"/>
        </w:r>
      </w:hyperlink>
    </w:p>
    <w:p w:rsidR="00CF520E" w14:paraId="599C9733" w14:textId="2FCBF768">
      <w:pPr>
        <w:pStyle w:val="TOC4"/>
        <w:tabs>
          <w:tab w:val="left" w:pos="2880"/>
        </w:tabs>
        <w:rPr>
          <w:rFonts w:asciiTheme="minorHAnsi" w:eastAsiaTheme="minorEastAsia" w:hAnsiTheme="minorHAnsi" w:cstheme="minorBidi"/>
          <w:noProof/>
          <w:kern w:val="2"/>
          <w:sz w:val="22"/>
          <w:szCs w:val="22"/>
          <w:lang w:bidi="ar-SA"/>
          <w14:ligatures w14:val="standardContextual"/>
        </w:rPr>
      </w:pPr>
      <w:hyperlink w:anchor="_Toc137825442" w:history="1">
        <w:r w:rsidRPr="00754FB2" w:rsidR="00C625AE">
          <w:rPr>
            <w:rStyle w:val="Hyperlink"/>
            <w:noProof/>
          </w:rPr>
          <w:t>b.</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Settlement allows for a post-test year adjustment that allows Duke to charge consumers for property taxes that are not known and measurable.</w:t>
        </w:r>
        <w:r w:rsidR="00C625AE">
          <w:rPr>
            <w:noProof/>
            <w:webHidden/>
          </w:rPr>
          <w:tab/>
        </w:r>
        <w:r w:rsidR="00C625AE">
          <w:rPr>
            <w:noProof/>
            <w:webHidden/>
          </w:rPr>
          <w:fldChar w:fldCharType="begin"/>
        </w:r>
        <w:r w:rsidR="00C625AE">
          <w:rPr>
            <w:noProof/>
            <w:webHidden/>
          </w:rPr>
          <w:instrText xml:space="preserve"> PAGEREF _Toc137825442 \h </w:instrText>
        </w:r>
        <w:r w:rsidR="00C625AE">
          <w:rPr>
            <w:noProof/>
            <w:webHidden/>
          </w:rPr>
          <w:fldChar w:fldCharType="separate"/>
        </w:r>
        <w:r w:rsidR="00C625AE">
          <w:rPr>
            <w:noProof/>
            <w:webHidden/>
          </w:rPr>
          <w:t>16</w:t>
        </w:r>
        <w:r w:rsidR="00C625AE">
          <w:rPr>
            <w:noProof/>
            <w:webHidden/>
          </w:rPr>
          <w:fldChar w:fldCharType="end"/>
        </w:r>
      </w:hyperlink>
    </w:p>
    <w:p w:rsidR="00CF520E" w14:paraId="6761565E" w14:textId="32931EAB">
      <w:pPr>
        <w:pStyle w:val="TOC4"/>
        <w:tabs>
          <w:tab w:val="left" w:pos="2880"/>
        </w:tabs>
        <w:rPr>
          <w:rFonts w:asciiTheme="minorHAnsi" w:eastAsiaTheme="minorEastAsia" w:hAnsiTheme="minorHAnsi" w:cstheme="minorBidi"/>
          <w:noProof/>
          <w:kern w:val="2"/>
          <w:sz w:val="22"/>
          <w:szCs w:val="22"/>
          <w:lang w:bidi="ar-SA"/>
          <w14:ligatures w14:val="standardContextual"/>
        </w:rPr>
      </w:pPr>
      <w:hyperlink w:anchor="_Toc137825443" w:history="1">
        <w:r w:rsidRPr="00754FB2" w:rsidR="00C625AE">
          <w:rPr>
            <w:rStyle w:val="Hyperlink"/>
            <w:noProof/>
          </w:rPr>
          <w:t>c.</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PUCO should adopt OCC’s recommendation for only collection of Duke’s actual 2022 property taxes.</w:t>
        </w:r>
        <w:r w:rsidR="00C625AE">
          <w:rPr>
            <w:noProof/>
            <w:webHidden/>
          </w:rPr>
          <w:tab/>
        </w:r>
        <w:r w:rsidR="00C625AE">
          <w:rPr>
            <w:noProof/>
            <w:webHidden/>
          </w:rPr>
          <w:fldChar w:fldCharType="begin"/>
        </w:r>
        <w:r w:rsidR="00C625AE">
          <w:rPr>
            <w:noProof/>
            <w:webHidden/>
          </w:rPr>
          <w:instrText xml:space="preserve"> PAGEREF _Toc137825443 \h </w:instrText>
        </w:r>
        <w:r w:rsidR="00C625AE">
          <w:rPr>
            <w:noProof/>
            <w:webHidden/>
          </w:rPr>
          <w:fldChar w:fldCharType="separate"/>
        </w:r>
        <w:r w:rsidR="00C625AE">
          <w:rPr>
            <w:noProof/>
            <w:webHidden/>
          </w:rPr>
          <w:t>18</w:t>
        </w:r>
        <w:r w:rsidR="00C625AE">
          <w:rPr>
            <w:noProof/>
            <w:webHidden/>
          </w:rPr>
          <w:fldChar w:fldCharType="end"/>
        </w:r>
      </w:hyperlink>
    </w:p>
    <w:p w:rsidR="00CF520E" w:rsidP="00CF520E" w14:paraId="1C3B41FF" w14:textId="1BC01DD1">
      <w:pPr>
        <w:pStyle w:val="TOC3"/>
        <w:rPr>
          <w:rFonts w:asciiTheme="minorHAnsi" w:eastAsiaTheme="minorEastAsia" w:hAnsiTheme="minorHAnsi" w:cstheme="minorBidi"/>
          <w:noProof/>
          <w:kern w:val="2"/>
          <w:sz w:val="22"/>
          <w:szCs w:val="22"/>
          <w:lang w:bidi="ar-SA"/>
          <w14:ligatures w14:val="standardContextual"/>
        </w:rPr>
      </w:pPr>
      <w:hyperlink w:anchor="_Toc137825444" w:history="1">
        <w:r w:rsidRPr="00754FB2" w:rsidR="00C625AE">
          <w:rPr>
            <w:rStyle w:val="Hyperlink"/>
            <w:noProof/>
          </w:rPr>
          <w:t>3.</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Settlement’s provisions regarding Rider CEP harms consumers and the public interest.</w:t>
        </w:r>
        <w:r w:rsidR="00C625AE">
          <w:rPr>
            <w:noProof/>
            <w:webHidden/>
          </w:rPr>
          <w:tab/>
        </w:r>
        <w:r w:rsidR="00C625AE">
          <w:rPr>
            <w:noProof/>
            <w:webHidden/>
          </w:rPr>
          <w:fldChar w:fldCharType="begin"/>
        </w:r>
        <w:r w:rsidR="00C625AE">
          <w:rPr>
            <w:noProof/>
            <w:webHidden/>
          </w:rPr>
          <w:instrText xml:space="preserve"> PAGEREF _Toc137825444 \h </w:instrText>
        </w:r>
        <w:r w:rsidR="00C625AE">
          <w:rPr>
            <w:noProof/>
            <w:webHidden/>
          </w:rPr>
          <w:fldChar w:fldCharType="separate"/>
        </w:r>
        <w:r w:rsidR="00C625AE">
          <w:rPr>
            <w:noProof/>
            <w:webHidden/>
          </w:rPr>
          <w:t>19</w:t>
        </w:r>
        <w:r w:rsidR="00C625AE">
          <w:rPr>
            <w:noProof/>
            <w:webHidden/>
          </w:rPr>
          <w:fldChar w:fldCharType="end"/>
        </w:r>
      </w:hyperlink>
    </w:p>
    <w:p w:rsidR="00CF520E" w:rsidP="00CF520E" w14:paraId="285F920E" w14:textId="14C0DFB2">
      <w:pPr>
        <w:pStyle w:val="TOC3"/>
        <w:ind w:left="2880"/>
        <w:rPr>
          <w:rFonts w:asciiTheme="minorHAnsi" w:eastAsiaTheme="minorEastAsia" w:hAnsiTheme="minorHAnsi" w:cstheme="minorBidi"/>
          <w:noProof/>
          <w:kern w:val="2"/>
          <w:sz w:val="22"/>
          <w:szCs w:val="22"/>
          <w:lang w:bidi="ar-SA"/>
          <w14:ligatures w14:val="standardContextual"/>
        </w:rPr>
      </w:pPr>
      <w:hyperlink w:anchor="_Toc137825445" w:history="1">
        <w:r w:rsidRPr="00754FB2" w:rsidR="00C625AE">
          <w:rPr>
            <w:rStyle w:val="Hyperlink"/>
            <w:rFonts w:ascii="Times New Roman Bold" w:hAnsi="Times New Roman Bold"/>
            <w:noProof/>
          </w:rPr>
          <w:t>a.</w:t>
        </w:r>
        <w:r w:rsidR="00C625AE">
          <w:rPr>
            <w:rFonts w:asciiTheme="minorHAnsi" w:eastAsiaTheme="minorEastAsia" w:hAnsiTheme="minorHAnsi" w:cstheme="minorBidi"/>
            <w:noProof/>
            <w:kern w:val="2"/>
            <w:sz w:val="22"/>
            <w:szCs w:val="22"/>
            <w:lang w:bidi="ar-SA"/>
            <w14:ligatures w14:val="standardContextual"/>
          </w:rPr>
          <w:tab/>
        </w:r>
        <w:r w:rsidRPr="00CF520E" w:rsidR="00C625AE">
          <w:rPr>
            <w:rStyle w:val="Hyperlink"/>
            <w:noProof/>
          </w:rPr>
          <w:t>The Settlement provides for caps on Rider CEP that are inconsistent with the lower rate caps set and approved by the PUCO. Using higher rate caps does not limit capital expenditure, harming consumers and the public interest.</w:t>
        </w:r>
        <w:r w:rsidR="00C625AE">
          <w:rPr>
            <w:noProof/>
            <w:webHidden/>
          </w:rPr>
          <w:tab/>
        </w:r>
        <w:r w:rsidR="00C625AE">
          <w:rPr>
            <w:noProof/>
            <w:webHidden/>
          </w:rPr>
          <w:fldChar w:fldCharType="begin"/>
        </w:r>
        <w:r w:rsidR="00C625AE">
          <w:rPr>
            <w:noProof/>
            <w:webHidden/>
          </w:rPr>
          <w:instrText xml:space="preserve"> PAGEREF _Toc137825445 \h </w:instrText>
        </w:r>
        <w:r w:rsidR="00C625AE">
          <w:rPr>
            <w:noProof/>
            <w:webHidden/>
          </w:rPr>
          <w:fldChar w:fldCharType="separate"/>
        </w:r>
        <w:r w:rsidR="00C625AE">
          <w:rPr>
            <w:noProof/>
            <w:webHidden/>
          </w:rPr>
          <w:t>19</w:t>
        </w:r>
        <w:r w:rsidR="00C625AE">
          <w:rPr>
            <w:noProof/>
            <w:webHidden/>
          </w:rPr>
          <w:fldChar w:fldCharType="end"/>
        </w:r>
      </w:hyperlink>
    </w:p>
    <w:p w:rsidR="00CF520E" w:rsidP="00CF520E" w14:paraId="7572E253" w14:textId="5BDBA7CA">
      <w:pPr>
        <w:pStyle w:val="TOC3"/>
        <w:ind w:left="2880"/>
        <w:rPr>
          <w:rFonts w:asciiTheme="minorHAnsi" w:eastAsiaTheme="minorEastAsia" w:hAnsiTheme="minorHAnsi" w:cstheme="minorBidi"/>
          <w:noProof/>
          <w:kern w:val="2"/>
          <w:sz w:val="22"/>
          <w:szCs w:val="22"/>
          <w:lang w:bidi="ar-SA"/>
          <w14:ligatures w14:val="standardContextual"/>
        </w:rPr>
      </w:pPr>
      <w:hyperlink w:anchor="_Toc137825446" w:history="1">
        <w:r w:rsidRPr="00754FB2" w:rsidR="00C625AE">
          <w:rPr>
            <w:rStyle w:val="Hyperlink"/>
            <w:rFonts w:ascii="Times New Roman Bold" w:hAnsi="Times New Roman Bold"/>
            <w:noProof/>
          </w:rPr>
          <w:t>b.</w:t>
        </w:r>
        <w:r w:rsidR="00C625AE">
          <w:rPr>
            <w:rFonts w:asciiTheme="minorHAnsi" w:eastAsiaTheme="minorEastAsia" w:hAnsiTheme="minorHAnsi" w:cstheme="minorBidi"/>
            <w:noProof/>
            <w:kern w:val="2"/>
            <w:sz w:val="22"/>
            <w:szCs w:val="22"/>
            <w:lang w:bidi="ar-SA"/>
            <w14:ligatures w14:val="standardContextual"/>
          </w:rPr>
          <w:tab/>
        </w:r>
        <w:r w:rsidRPr="00CF520E" w:rsidR="00C625AE">
          <w:rPr>
            <w:rStyle w:val="Hyperlink"/>
            <w:noProof/>
          </w:rPr>
          <w:t>The CEP Rider should include a savings offset to return operation and maintenance costs to consumers.</w:t>
        </w:r>
        <w:r w:rsidR="00C625AE">
          <w:rPr>
            <w:noProof/>
            <w:webHidden/>
          </w:rPr>
          <w:tab/>
        </w:r>
        <w:r w:rsidR="00C625AE">
          <w:rPr>
            <w:noProof/>
            <w:webHidden/>
          </w:rPr>
          <w:fldChar w:fldCharType="begin"/>
        </w:r>
        <w:r w:rsidR="00C625AE">
          <w:rPr>
            <w:noProof/>
            <w:webHidden/>
          </w:rPr>
          <w:instrText xml:space="preserve"> PAGEREF _Toc137825446 \h </w:instrText>
        </w:r>
        <w:r w:rsidR="00C625AE">
          <w:rPr>
            <w:noProof/>
            <w:webHidden/>
          </w:rPr>
          <w:fldChar w:fldCharType="separate"/>
        </w:r>
        <w:r w:rsidR="00C625AE">
          <w:rPr>
            <w:noProof/>
            <w:webHidden/>
          </w:rPr>
          <w:t>22</w:t>
        </w:r>
        <w:r w:rsidR="00C625AE">
          <w:rPr>
            <w:noProof/>
            <w:webHidden/>
          </w:rPr>
          <w:fldChar w:fldCharType="end"/>
        </w:r>
      </w:hyperlink>
    </w:p>
    <w:p w:rsidR="00CF520E" w:rsidP="00CF520E" w14:paraId="53616FAE" w14:textId="272D29C9">
      <w:pPr>
        <w:pStyle w:val="TOC3"/>
        <w:ind w:left="2880"/>
        <w:rPr>
          <w:rFonts w:asciiTheme="minorHAnsi" w:eastAsiaTheme="minorEastAsia" w:hAnsiTheme="minorHAnsi" w:cstheme="minorBidi"/>
          <w:noProof/>
          <w:kern w:val="2"/>
          <w:sz w:val="22"/>
          <w:szCs w:val="22"/>
          <w:lang w:bidi="ar-SA"/>
          <w14:ligatures w14:val="standardContextual"/>
        </w:rPr>
      </w:pPr>
      <w:hyperlink w:anchor="_Toc137825447" w:history="1">
        <w:r w:rsidRPr="00754FB2" w:rsidR="00C625AE">
          <w:rPr>
            <w:rStyle w:val="Hyperlink"/>
            <w:rFonts w:ascii="Times New Roman Bold" w:hAnsi="Times New Roman Bold"/>
            <w:noProof/>
          </w:rPr>
          <w:t>c.</w:t>
        </w:r>
        <w:r w:rsidR="00C625AE">
          <w:rPr>
            <w:rFonts w:asciiTheme="minorHAnsi" w:eastAsiaTheme="minorEastAsia" w:hAnsiTheme="minorHAnsi" w:cstheme="minorBidi"/>
            <w:noProof/>
            <w:kern w:val="2"/>
            <w:sz w:val="22"/>
            <w:szCs w:val="22"/>
            <w:lang w:bidi="ar-SA"/>
            <w14:ligatures w14:val="standardContextual"/>
          </w:rPr>
          <w:tab/>
        </w:r>
        <w:r w:rsidRPr="00CF520E" w:rsidR="00C625AE">
          <w:rPr>
            <w:rStyle w:val="Hyperlink"/>
            <w:noProof/>
          </w:rPr>
          <w:t>Removing the depreciation offset from Rider CEP allows Duke to overcharge consumers for new investment between rate cases without reducing charges to account for simultaneous depreciation.</w:t>
        </w:r>
        <w:r w:rsidR="00C625AE">
          <w:rPr>
            <w:noProof/>
            <w:webHidden/>
          </w:rPr>
          <w:tab/>
        </w:r>
        <w:r w:rsidR="00C625AE">
          <w:rPr>
            <w:noProof/>
            <w:webHidden/>
          </w:rPr>
          <w:fldChar w:fldCharType="begin"/>
        </w:r>
        <w:r w:rsidR="00C625AE">
          <w:rPr>
            <w:noProof/>
            <w:webHidden/>
          </w:rPr>
          <w:instrText xml:space="preserve"> PAGEREF _Toc137825447 \h </w:instrText>
        </w:r>
        <w:r w:rsidR="00C625AE">
          <w:rPr>
            <w:noProof/>
            <w:webHidden/>
          </w:rPr>
          <w:fldChar w:fldCharType="separate"/>
        </w:r>
        <w:r w:rsidR="00C625AE">
          <w:rPr>
            <w:noProof/>
            <w:webHidden/>
          </w:rPr>
          <w:t>24</w:t>
        </w:r>
        <w:r w:rsidR="00C625AE">
          <w:rPr>
            <w:noProof/>
            <w:webHidden/>
          </w:rPr>
          <w:fldChar w:fldCharType="end"/>
        </w:r>
      </w:hyperlink>
    </w:p>
    <w:p w:rsidR="00CF520E" w:rsidP="00CF520E" w14:paraId="5C0644D8" w14:textId="6E79D357">
      <w:pPr>
        <w:pStyle w:val="TOC3"/>
        <w:rPr>
          <w:rFonts w:asciiTheme="minorHAnsi" w:eastAsiaTheme="minorEastAsia" w:hAnsiTheme="minorHAnsi" w:cstheme="minorBidi"/>
          <w:noProof/>
          <w:kern w:val="2"/>
          <w:sz w:val="22"/>
          <w:szCs w:val="22"/>
          <w:lang w:bidi="ar-SA"/>
          <w14:ligatures w14:val="standardContextual"/>
        </w:rPr>
      </w:pPr>
      <w:hyperlink w:anchor="_Toc137825448" w:history="1">
        <w:r w:rsidRPr="00754FB2" w:rsidR="00C625AE">
          <w:rPr>
            <w:rStyle w:val="Hyperlink"/>
            <w:noProof/>
          </w:rPr>
          <w:t>4.</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PUCO should reject the Settlement because it harms consumers and the public interest by allowing Duke to charge consumers for an inflated profit (return on equity) and a capital structure with excessive equity.</w:t>
        </w:r>
        <w:r w:rsidR="00C625AE">
          <w:rPr>
            <w:noProof/>
            <w:webHidden/>
          </w:rPr>
          <w:tab/>
        </w:r>
        <w:r w:rsidR="00C625AE">
          <w:rPr>
            <w:noProof/>
            <w:webHidden/>
          </w:rPr>
          <w:fldChar w:fldCharType="begin"/>
        </w:r>
        <w:r w:rsidR="00C625AE">
          <w:rPr>
            <w:noProof/>
            <w:webHidden/>
          </w:rPr>
          <w:instrText xml:space="preserve"> PAGEREF _Toc137825448 \h </w:instrText>
        </w:r>
        <w:r w:rsidR="00C625AE">
          <w:rPr>
            <w:noProof/>
            <w:webHidden/>
          </w:rPr>
          <w:fldChar w:fldCharType="separate"/>
        </w:r>
        <w:r w:rsidR="00C625AE">
          <w:rPr>
            <w:noProof/>
            <w:webHidden/>
          </w:rPr>
          <w:t>25</w:t>
        </w:r>
        <w:r w:rsidR="00C625AE">
          <w:rPr>
            <w:noProof/>
            <w:webHidden/>
          </w:rPr>
          <w:fldChar w:fldCharType="end"/>
        </w:r>
      </w:hyperlink>
    </w:p>
    <w:p w:rsidR="00CF520E" w:rsidP="00CF520E" w14:paraId="778BFC1D" w14:textId="542D40E3">
      <w:pPr>
        <w:pStyle w:val="TOC3"/>
        <w:rPr>
          <w:rFonts w:asciiTheme="minorHAnsi" w:eastAsiaTheme="minorEastAsia" w:hAnsiTheme="minorHAnsi" w:cstheme="minorBidi"/>
          <w:noProof/>
          <w:kern w:val="2"/>
          <w:sz w:val="22"/>
          <w:szCs w:val="22"/>
          <w:lang w:bidi="ar-SA"/>
          <w14:ligatures w14:val="standardContextual"/>
        </w:rPr>
      </w:pPr>
      <w:hyperlink w:anchor="_Toc137825449" w:history="1">
        <w:r w:rsidRPr="00754FB2" w:rsidR="00C625AE">
          <w:rPr>
            <w:rStyle w:val="Hyperlink"/>
            <w:noProof/>
          </w:rPr>
          <w:t>5.</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Settlement’s proposal to allow Duke to allocate 67.83% of base distribution revenue charges to residential consumers and collect from consumers an additional $21.7 million annually does not benefit consumers, nor is it in the public interest.</w:t>
        </w:r>
        <w:r w:rsidR="00C625AE">
          <w:rPr>
            <w:noProof/>
            <w:webHidden/>
          </w:rPr>
          <w:tab/>
        </w:r>
        <w:r w:rsidR="00C625AE">
          <w:rPr>
            <w:noProof/>
            <w:webHidden/>
          </w:rPr>
          <w:fldChar w:fldCharType="begin"/>
        </w:r>
        <w:r w:rsidR="00C625AE">
          <w:rPr>
            <w:noProof/>
            <w:webHidden/>
          </w:rPr>
          <w:instrText xml:space="preserve"> PAGEREF _Toc137825449 \h </w:instrText>
        </w:r>
        <w:r w:rsidR="00C625AE">
          <w:rPr>
            <w:noProof/>
            <w:webHidden/>
          </w:rPr>
          <w:fldChar w:fldCharType="separate"/>
        </w:r>
        <w:r w:rsidR="00C625AE">
          <w:rPr>
            <w:noProof/>
            <w:webHidden/>
          </w:rPr>
          <w:t>29</w:t>
        </w:r>
        <w:r w:rsidR="00C625AE">
          <w:rPr>
            <w:noProof/>
            <w:webHidden/>
          </w:rPr>
          <w:fldChar w:fldCharType="end"/>
        </w:r>
      </w:hyperlink>
    </w:p>
    <w:p w:rsidR="00CF520E" w:rsidP="00CF520E" w14:paraId="5053E915" w14:textId="087A5236">
      <w:pPr>
        <w:pStyle w:val="TOC3"/>
        <w:rPr>
          <w:rFonts w:asciiTheme="minorHAnsi" w:eastAsiaTheme="minorEastAsia" w:hAnsiTheme="minorHAnsi" w:cstheme="minorBidi"/>
          <w:noProof/>
          <w:kern w:val="2"/>
          <w:sz w:val="22"/>
          <w:szCs w:val="22"/>
          <w:lang w:bidi="ar-SA"/>
          <w14:ligatures w14:val="standardContextual"/>
        </w:rPr>
      </w:pPr>
      <w:hyperlink w:anchor="_Toc137825450" w:history="1">
        <w:r w:rsidRPr="00754FB2" w:rsidR="00C625AE">
          <w:rPr>
            <w:rStyle w:val="Hyperlink"/>
            <w:noProof/>
          </w:rPr>
          <w:t>6.</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Settlement’s proposed fixed delivery charge for the residential class does not benefit consumers and is not in the public interest.</w:t>
        </w:r>
        <w:r w:rsidR="00C625AE">
          <w:rPr>
            <w:noProof/>
            <w:webHidden/>
          </w:rPr>
          <w:tab/>
        </w:r>
        <w:r w:rsidR="00C625AE">
          <w:rPr>
            <w:noProof/>
            <w:webHidden/>
          </w:rPr>
          <w:fldChar w:fldCharType="begin"/>
        </w:r>
        <w:r w:rsidR="00C625AE">
          <w:rPr>
            <w:noProof/>
            <w:webHidden/>
          </w:rPr>
          <w:instrText xml:space="preserve"> PAGEREF _Toc137825450 \h </w:instrText>
        </w:r>
        <w:r w:rsidR="00C625AE">
          <w:rPr>
            <w:noProof/>
            <w:webHidden/>
          </w:rPr>
          <w:fldChar w:fldCharType="separate"/>
        </w:r>
        <w:r w:rsidR="00C625AE">
          <w:rPr>
            <w:noProof/>
            <w:webHidden/>
          </w:rPr>
          <w:t>32</w:t>
        </w:r>
        <w:r w:rsidR="00C625AE">
          <w:rPr>
            <w:noProof/>
            <w:webHidden/>
          </w:rPr>
          <w:fldChar w:fldCharType="end"/>
        </w:r>
      </w:hyperlink>
    </w:p>
    <w:p w:rsidR="00CF520E" w:rsidP="00CF520E" w14:paraId="3E21B0E8" w14:textId="28E0F424">
      <w:pPr>
        <w:pStyle w:val="TOC3"/>
        <w:rPr>
          <w:rFonts w:asciiTheme="minorHAnsi" w:eastAsiaTheme="minorEastAsia" w:hAnsiTheme="minorHAnsi" w:cstheme="minorBidi"/>
          <w:noProof/>
          <w:kern w:val="2"/>
          <w:sz w:val="22"/>
          <w:szCs w:val="22"/>
          <w:lang w:bidi="ar-SA"/>
          <w14:ligatures w14:val="standardContextual"/>
        </w:rPr>
      </w:pPr>
      <w:hyperlink w:anchor="_Toc137825451" w:history="1">
        <w:r w:rsidRPr="00754FB2" w:rsidR="00C625AE">
          <w:rPr>
            <w:rStyle w:val="Hyperlink"/>
            <w:noProof/>
          </w:rPr>
          <w:t>7.</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Settlement harms consumers and the public interest because it reduces shareholder funding for Duke’s low-income weatherization program and does not provide adequate PUCO oversight.</w:t>
        </w:r>
        <w:r w:rsidR="00C625AE">
          <w:rPr>
            <w:noProof/>
            <w:webHidden/>
          </w:rPr>
          <w:tab/>
        </w:r>
        <w:r w:rsidR="00C625AE">
          <w:rPr>
            <w:noProof/>
            <w:webHidden/>
          </w:rPr>
          <w:fldChar w:fldCharType="begin"/>
        </w:r>
        <w:r w:rsidR="00C625AE">
          <w:rPr>
            <w:noProof/>
            <w:webHidden/>
          </w:rPr>
          <w:instrText xml:space="preserve"> PAGEREF _Toc137825451 \h </w:instrText>
        </w:r>
        <w:r w:rsidR="00C625AE">
          <w:rPr>
            <w:noProof/>
            <w:webHidden/>
          </w:rPr>
          <w:fldChar w:fldCharType="separate"/>
        </w:r>
        <w:r w:rsidR="00C625AE">
          <w:rPr>
            <w:noProof/>
            <w:webHidden/>
          </w:rPr>
          <w:t>33</w:t>
        </w:r>
        <w:r w:rsidR="00C625AE">
          <w:rPr>
            <w:noProof/>
            <w:webHidden/>
          </w:rPr>
          <w:fldChar w:fldCharType="end"/>
        </w:r>
      </w:hyperlink>
    </w:p>
    <w:p w:rsidR="00CF520E" w:rsidP="00CF520E" w14:paraId="2D8C8BCD" w14:textId="7A723670">
      <w:pPr>
        <w:pStyle w:val="TOC3"/>
        <w:rPr>
          <w:rFonts w:asciiTheme="minorHAnsi" w:eastAsiaTheme="minorEastAsia" w:hAnsiTheme="minorHAnsi" w:cstheme="minorBidi"/>
          <w:noProof/>
          <w:kern w:val="2"/>
          <w:sz w:val="22"/>
          <w:szCs w:val="22"/>
          <w:lang w:bidi="ar-SA"/>
          <w14:ligatures w14:val="standardContextual"/>
        </w:rPr>
      </w:pPr>
      <w:hyperlink w:anchor="_Toc137825452" w:history="1">
        <w:r w:rsidRPr="00754FB2" w:rsidR="00C625AE">
          <w:rPr>
            <w:rStyle w:val="Hyperlink"/>
            <w:rFonts w:eastAsia="Arial Unicode MS"/>
            <w:iCs/>
            <w:noProof/>
            <w:bdr w:val="nil"/>
          </w:rPr>
          <w:t>8.</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rFonts w:eastAsia="Arial Unicode MS"/>
            <w:iCs/>
            <w:noProof/>
            <w:bdr w:val="nil"/>
          </w:rPr>
          <w:t>The Settlement does not benefit consumers and the public interest because it charges them for financial performance incentives which do not benefit them.</w:t>
        </w:r>
        <w:r w:rsidR="00C625AE">
          <w:rPr>
            <w:noProof/>
            <w:webHidden/>
          </w:rPr>
          <w:tab/>
        </w:r>
        <w:r w:rsidR="00C625AE">
          <w:rPr>
            <w:noProof/>
            <w:webHidden/>
          </w:rPr>
          <w:fldChar w:fldCharType="begin"/>
        </w:r>
        <w:r w:rsidR="00C625AE">
          <w:rPr>
            <w:noProof/>
            <w:webHidden/>
          </w:rPr>
          <w:instrText xml:space="preserve"> PAGEREF _Toc137825452 \h </w:instrText>
        </w:r>
        <w:r w:rsidR="00C625AE">
          <w:rPr>
            <w:noProof/>
            <w:webHidden/>
          </w:rPr>
          <w:fldChar w:fldCharType="separate"/>
        </w:r>
        <w:r w:rsidR="00C625AE">
          <w:rPr>
            <w:noProof/>
            <w:webHidden/>
          </w:rPr>
          <w:t>36</w:t>
        </w:r>
        <w:r w:rsidR="00C625AE">
          <w:rPr>
            <w:noProof/>
            <w:webHidden/>
          </w:rPr>
          <w:fldChar w:fldCharType="end"/>
        </w:r>
      </w:hyperlink>
    </w:p>
    <w:p w:rsidR="00CF520E" w14:paraId="03DBF0F2" w14:textId="12851D26">
      <w:pPr>
        <w:pStyle w:val="TOC2"/>
        <w:tabs>
          <w:tab w:val="left" w:pos="1440"/>
        </w:tabs>
        <w:rPr>
          <w:rFonts w:asciiTheme="minorHAnsi" w:eastAsiaTheme="minorEastAsia" w:hAnsiTheme="minorHAnsi" w:cstheme="minorBidi"/>
          <w:noProof/>
          <w:kern w:val="2"/>
          <w:sz w:val="22"/>
          <w:szCs w:val="22"/>
          <w:lang w:bidi="ar-SA"/>
          <w14:ligatures w14:val="standardContextual"/>
        </w:rPr>
      </w:pPr>
      <w:hyperlink w:anchor="_Toc137825453" w:history="1">
        <w:r w:rsidRPr="00754FB2" w:rsidR="00C625AE">
          <w:rPr>
            <w:rStyle w:val="Hyperlink"/>
            <w:noProof/>
          </w:rPr>
          <w:t>C.</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Settlement violates Ohio law and numerous important regulatory principles and practices.</w:t>
        </w:r>
        <w:r w:rsidR="00C625AE">
          <w:rPr>
            <w:noProof/>
            <w:webHidden/>
          </w:rPr>
          <w:tab/>
        </w:r>
        <w:r w:rsidR="00C625AE">
          <w:rPr>
            <w:noProof/>
            <w:webHidden/>
          </w:rPr>
          <w:fldChar w:fldCharType="begin"/>
        </w:r>
        <w:r w:rsidR="00C625AE">
          <w:rPr>
            <w:noProof/>
            <w:webHidden/>
          </w:rPr>
          <w:instrText xml:space="preserve"> PAGEREF _Toc137825453 \h </w:instrText>
        </w:r>
        <w:r w:rsidR="00C625AE">
          <w:rPr>
            <w:noProof/>
            <w:webHidden/>
          </w:rPr>
          <w:fldChar w:fldCharType="separate"/>
        </w:r>
        <w:r w:rsidR="00C625AE">
          <w:rPr>
            <w:noProof/>
            <w:webHidden/>
          </w:rPr>
          <w:t>38</w:t>
        </w:r>
        <w:r w:rsidR="00C625AE">
          <w:rPr>
            <w:noProof/>
            <w:webHidden/>
          </w:rPr>
          <w:fldChar w:fldCharType="end"/>
        </w:r>
      </w:hyperlink>
    </w:p>
    <w:p w:rsidR="00CF520E" w:rsidP="00CF520E" w14:paraId="27B7339B" w14:textId="412F46B2">
      <w:pPr>
        <w:pStyle w:val="TOC3"/>
        <w:rPr>
          <w:rFonts w:asciiTheme="minorHAnsi" w:eastAsiaTheme="minorEastAsia" w:hAnsiTheme="minorHAnsi" w:cstheme="minorBidi"/>
          <w:noProof/>
          <w:kern w:val="2"/>
          <w:sz w:val="22"/>
          <w:szCs w:val="22"/>
          <w:lang w:bidi="ar-SA"/>
          <w14:ligatures w14:val="standardContextual"/>
        </w:rPr>
      </w:pPr>
      <w:hyperlink w:anchor="_Toc137825454" w:history="1">
        <w:r w:rsidRPr="00754FB2" w:rsidR="00C625AE">
          <w:rPr>
            <w:rStyle w:val="Hyperlink"/>
            <w:noProof/>
          </w:rPr>
          <w:t>1.</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Allowing Duke to treat the propane caverns as a “cost” of “rendering the public utility service for the test period,” under R.C. 4909.15(A)(4), would violate the important regulatory principle and practice that utility assets must be used and useful at date certain. The PUCO is barred by Supreme Court precedent from using an accounting device to circumvent Ohio ratemaking law, as the Settlement does.</w:t>
        </w:r>
        <w:r w:rsidR="00C625AE">
          <w:rPr>
            <w:noProof/>
            <w:webHidden/>
          </w:rPr>
          <w:tab/>
        </w:r>
        <w:r w:rsidR="00C625AE">
          <w:rPr>
            <w:noProof/>
            <w:webHidden/>
          </w:rPr>
          <w:fldChar w:fldCharType="begin"/>
        </w:r>
        <w:r w:rsidR="00C625AE">
          <w:rPr>
            <w:noProof/>
            <w:webHidden/>
          </w:rPr>
          <w:instrText xml:space="preserve"> PAGEREF _Toc137825454 \h </w:instrText>
        </w:r>
        <w:r w:rsidR="00C625AE">
          <w:rPr>
            <w:noProof/>
            <w:webHidden/>
          </w:rPr>
          <w:fldChar w:fldCharType="separate"/>
        </w:r>
        <w:r w:rsidR="00C625AE">
          <w:rPr>
            <w:noProof/>
            <w:webHidden/>
          </w:rPr>
          <w:t>38</w:t>
        </w:r>
        <w:r w:rsidR="00C625AE">
          <w:rPr>
            <w:noProof/>
            <w:webHidden/>
          </w:rPr>
          <w:fldChar w:fldCharType="end"/>
        </w:r>
      </w:hyperlink>
    </w:p>
    <w:p w:rsidR="00CF520E" w:rsidP="00CF520E" w14:paraId="3A4383EC" w14:textId="008B7E85">
      <w:pPr>
        <w:pStyle w:val="TOC3"/>
        <w:rPr>
          <w:rFonts w:asciiTheme="minorHAnsi" w:eastAsiaTheme="minorEastAsia" w:hAnsiTheme="minorHAnsi" w:cstheme="minorBidi"/>
          <w:noProof/>
          <w:kern w:val="2"/>
          <w:sz w:val="22"/>
          <w:szCs w:val="22"/>
          <w:lang w:bidi="ar-SA"/>
          <w14:ligatures w14:val="standardContextual"/>
        </w:rPr>
      </w:pPr>
      <w:hyperlink w:anchor="_Toc137825455" w:history="1">
        <w:r w:rsidRPr="00754FB2" w:rsidR="00C625AE">
          <w:rPr>
            <w:rStyle w:val="Hyperlink"/>
            <w:noProof/>
          </w:rPr>
          <w:t>2.</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PUCO should reject the Settlement because it violates the important regulatory principle that utilities must charge just and reasonable rates.</w:t>
        </w:r>
        <w:r w:rsidR="00C625AE">
          <w:rPr>
            <w:noProof/>
            <w:webHidden/>
          </w:rPr>
          <w:tab/>
        </w:r>
        <w:r w:rsidR="00C625AE">
          <w:rPr>
            <w:noProof/>
            <w:webHidden/>
          </w:rPr>
          <w:fldChar w:fldCharType="begin"/>
        </w:r>
        <w:r w:rsidR="00C625AE">
          <w:rPr>
            <w:noProof/>
            <w:webHidden/>
          </w:rPr>
          <w:instrText xml:space="preserve"> PAGEREF _Toc137825455 \h </w:instrText>
        </w:r>
        <w:r w:rsidR="00C625AE">
          <w:rPr>
            <w:noProof/>
            <w:webHidden/>
          </w:rPr>
          <w:fldChar w:fldCharType="separate"/>
        </w:r>
        <w:r w:rsidR="00C625AE">
          <w:rPr>
            <w:noProof/>
            <w:webHidden/>
          </w:rPr>
          <w:t>40</w:t>
        </w:r>
        <w:r w:rsidR="00C625AE">
          <w:rPr>
            <w:noProof/>
            <w:webHidden/>
          </w:rPr>
          <w:fldChar w:fldCharType="end"/>
        </w:r>
      </w:hyperlink>
    </w:p>
    <w:p w:rsidR="00CF520E" w:rsidP="00CF520E" w14:paraId="4B28BA91" w14:textId="7D534983">
      <w:pPr>
        <w:pStyle w:val="TOC3"/>
        <w:rPr>
          <w:rFonts w:asciiTheme="minorHAnsi" w:eastAsiaTheme="minorEastAsia" w:hAnsiTheme="minorHAnsi" w:cstheme="minorBidi"/>
          <w:noProof/>
          <w:kern w:val="2"/>
          <w:sz w:val="22"/>
          <w:szCs w:val="22"/>
          <w:lang w:bidi="ar-SA"/>
          <w14:ligatures w14:val="standardContextual"/>
        </w:rPr>
      </w:pPr>
      <w:hyperlink w:anchor="_Toc137825456" w:history="1">
        <w:r w:rsidRPr="00754FB2" w:rsidR="00C625AE">
          <w:rPr>
            <w:rStyle w:val="Hyperlink"/>
            <w:noProof/>
          </w:rPr>
          <w:t>3.</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PUCO should reject the Settlement because it violates the important regulatory principles of gradualism.</w:t>
        </w:r>
        <w:r w:rsidR="00C625AE">
          <w:rPr>
            <w:noProof/>
            <w:webHidden/>
          </w:rPr>
          <w:tab/>
        </w:r>
        <w:r w:rsidR="00C625AE">
          <w:rPr>
            <w:noProof/>
            <w:webHidden/>
          </w:rPr>
          <w:fldChar w:fldCharType="begin"/>
        </w:r>
        <w:r w:rsidR="00C625AE">
          <w:rPr>
            <w:noProof/>
            <w:webHidden/>
          </w:rPr>
          <w:instrText xml:space="preserve"> PAGEREF _Toc137825456 \h </w:instrText>
        </w:r>
        <w:r w:rsidR="00C625AE">
          <w:rPr>
            <w:noProof/>
            <w:webHidden/>
          </w:rPr>
          <w:fldChar w:fldCharType="separate"/>
        </w:r>
        <w:r w:rsidR="00C625AE">
          <w:rPr>
            <w:noProof/>
            <w:webHidden/>
          </w:rPr>
          <w:t>42</w:t>
        </w:r>
        <w:r w:rsidR="00C625AE">
          <w:rPr>
            <w:noProof/>
            <w:webHidden/>
          </w:rPr>
          <w:fldChar w:fldCharType="end"/>
        </w:r>
      </w:hyperlink>
    </w:p>
    <w:p w:rsidR="00CF520E" w:rsidP="00CF520E" w14:paraId="748A319A" w14:textId="2E10950B">
      <w:pPr>
        <w:pStyle w:val="TOC3"/>
        <w:rPr>
          <w:rFonts w:asciiTheme="minorHAnsi" w:eastAsiaTheme="minorEastAsia" w:hAnsiTheme="minorHAnsi" w:cstheme="minorBidi"/>
          <w:noProof/>
          <w:kern w:val="2"/>
          <w:sz w:val="22"/>
          <w:szCs w:val="22"/>
          <w:lang w:bidi="ar-SA"/>
          <w14:ligatures w14:val="standardContextual"/>
        </w:rPr>
      </w:pPr>
      <w:hyperlink w:anchor="_Toc137825457" w:history="1">
        <w:r w:rsidRPr="00754FB2" w:rsidR="00C625AE">
          <w:rPr>
            <w:rStyle w:val="Hyperlink"/>
            <w:noProof/>
          </w:rPr>
          <w:t xml:space="preserve">4. </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fixed delivery charge of $43.29 for residential consumers ($39.29 for low-income consumers) violates the important regulatory principle of cost causation.</w:t>
        </w:r>
        <w:r w:rsidR="00C625AE">
          <w:rPr>
            <w:noProof/>
            <w:webHidden/>
          </w:rPr>
          <w:tab/>
        </w:r>
        <w:r w:rsidR="00C625AE">
          <w:rPr>
            <w:noProof/>
            <w:webHidden/>
          </w:rPr>
          <w:fldChar w:fldCharType="begin"/>
        </w:r>
        <w:r w:rsidR="00C625AE">
          <w:rPr>
            <w:noProof/>
            <w:webHidden/>
          </w:rPr>
          <w:instrText xml:space="preserve"> PAGEREF _Toc137825457 \h </w:instrText>
        </w:r>
        <w:r w:rsidR="00C625AE">
          <w:rPr>
            <w:noProof/>
            <w:webHidden/>
          </w:rPr>
          <w:fldChar w:fldCharType="separate"/>
        </w:r>
        <w:r w:rsidR="00C625AE">
          <w:rPr>
            <w:noProof/>
            <w:webHidden/>
          </w:rPr>
          <w:t>43</w:t>
        </w:r>
        <w:r w:rsidR="00C625AE">
          <w:rPr>
            <w:noProof/>
            <w:webHidden/>
          </w:rPr>
          <w:fldChar w:fldCharType="end"/>
        </w:r>
      </w:hyperlink>
    </w:p>
    <w:p w:rsidR="00CF520E" w:rsidP="00CF520E" w14:paraId="749DD47B" w14:textId="2CA720E8">
      <w:pPr>
        <w:pStyle w:val="TOC3"/>
        <w:rPr>
          <w:rFonts w:asciiTheme="minorHAnsi" w:eastAsiaTheme="minorEastAsia" w:hAnsiTheme="minorHAnsi" w:cstheme="minorBidi"/>
          <w:noProof/>
          <w:kern w:val="2"/>
          <w:sz w:val="22"/>
          <w:szCs w:val="22"/>
          <w:lang w:bidi="ar-SA"/>
          <w14:ligatures w14:val="standardContextual"/>
        </w:rPr>
      </w:pPr>
      <w:hyperlink w:anchor="_Toc137825458" w:history="1">
        <w:r w:rsidRPr="00754FB2" w:rsidR="00C625AE">
          <w:rPr>
            <w:rStyle w:val="Hyperlink"/>
            <w:noProof/>
          </w:rPr>
          <w:t>5.</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The Settlement includes financial performance incentives that violate PUCO precedent and the important regulatory principle and practice of cost causation.</w:t>
        </w:r>
        <w:r w:rsidR="00C625AE">
          <w:rPr>
            <w:noProof/>
            <w:webHidden/>
          </w:rPr>
          <w:tab/>
        </w:r>
        <w:r w:rsidR="00C625AE">
          <w:rPr>
            <w:noProof/>
            <w:webHidden/>
          </w:rPr>
          <w:fldChar w:fldCharType="begin"/>
        </w:r>
        <w:r w:rsidR="00C625AE">
          <w:rPr>
            <w:noProof/>
            <w:webHidden/>
          </w:rPr>
          <w:instrText xml:space="preserve"> PAGEREF _Toc137825458 \h </w:instrText>
        </w:r>
        <w:r w:rsidR="00C625AE">
          <w:rPr>
            <w:noProof/>
            <w:webHidden/>
          </w:rPr>
          <w:fldChar w:fldCharType="separate"/>
        </w:r>
        <w:r w:rsidR="00C625AE">
          <w:rPr>
            <w:noProof/>
            <w:webHidden/>
          </w:rPr>
          <w:t>45</w:t>
        </w:r>
        <w:r w:rsidR="00C625AE">
          <w:rPr>
            <w:noProof/>
            <w:webHidden/>
          </w:rPr>
          <w:fldChar w:fldCharType="end"/>
        </w:r>
      </w:hyperlink>
    </w:p>
    <w:p w:rsidR="00CF520E" w14:paraId="65ED767B" w14:textId="69B22F3E">
      <w:pPr>
        <w:pStyle w:val="TOC1"/>
        <w:rPr>
          <w:rFonts w:asciiTheme="minorHAnsi" w:eastAsiaTheme="minorEastAsia" w:hAnsiTheme="minorHAnsi" w:cstheme="minorBidi"/>
          <w:noProof/>
          <w:kern w:val="2"/>
          <w:sz w:val="22"/>
          <w:szCs w:val="22"/>
          <w:lang w:bidi="ar-SA"/>
          <w14:ligatures w14:val="standardContextual"/>
        </w:rPr>
      </w:pPr>
      <w:hyperlink w:anchor="_Toc137825459" w:history="1">
        <w:r w:rsidRPr="00754FB2" w:rsidR="00C625AE">
          <w:rPr>
            <w:rStyle w:val="Hyperlink"/>
            <w:noProof/>
          </w:rPr>
          <w:t>III.</w:t>
        </w:r>
        <w:r w:rsidR="00C625AE">
          <w:rPr>
            <w:rFonts w:asciiTheme="minorHAnsi" w:eastAsiaTheme="minorEastAsia" w:hAnsiTheme="minorHAnsi" w:cstheme="minorBidi"/>
            <w:noProof/>
            <w:kern w:val="2"/>
            <w:sz w:val="22"/>
            <w:szCs w:val="22"/>
            <w:lang w:bidi="ar-SA"/>
            <w14:ligatures w14:val="standardContextual"/>
          </w:rPr>
          <w:tab/>
        </w:r>
        <w:r w:rsidRPr="00754FB2" w:rsidR="00C625AE">
          <w:rPr>
            <w:rStyle w:val="Hyperlink"/>
            <w:noProof/>
          </w:rPr>
          <w:t>CONCLUSION</w:t>
        </w:r>
        <w:r w:rsidR="00C625AE">
          <w:rPr>
            <w:noProof/>
            <w:webHidden/>
          </w:rPr>
          <w:tab/>
        </w:r>
        <w:r w:rsidR="00C625AE">
          <w:rPr>
            <w:noProof/>
            <w:webHidden/>
          </w:rPr>
          <w:fldChar w:fldCharType="begin"/>
        </w:r>
        <w:r w:rsidR="00C625AE">
          <w:rPr>
            <w:noProof/>
            <w:webHidden/>
          </w:rPr>
          <w:instrText xml:space="preserve"> PAGEREF _Toc137825459 \h </w:instrText>
        </w:r>
        <w:r w:rsidR="00C625AE">
          <w:rPr>
            <w:noProof/>
            <w:webHidden/>
          </w:rPr>
          <w:fldChar w:fldCharType="separate"/>
        </w:r>
        <w:r w:rsidR="00C625AE">
          <w:rPr>
            <w:noProof/>
            <w:webHidden/>
          </w:rPr>
          <w:t>45</w:t>
        </w:r>
        <w:r w:rsidR="00C625AE">
          <w:rPr>
            <w:noProof/>
            <w:webHidden/>
          </w:rPr>
          <w:fldChar w:fldCharType="end"/>
        </w:r>
      </w:hyperlink>
    </w:p>
    <w:p w:rsidR="008C1899" w:rsidRPr="00F126CD" w:rsidP="00A93A38" w14:paraId="08DBA53F" w14:textId="61E73A01">
      <w:pPr>
        <w:jc w:val="right"/>
        <w:rPr>
          <w:b/>
          <w:caps/>
          <w:lang w:eastAsia="ja-JP"/>
        </w:rPr>
      </w:pPr>
      <w:r>
        <w:rPr>
          <w:b/>
          <w:caps/>
          <w:lang w:eastAsia="ja-JP"/>
        </w:rPr>
        <w:fldChar w:fldCharType="end"/>
      </w:r>
    </w:p>
    <w:p w:rsidR="00A93A38" w:rsidRPr="00F126CD" w:rsidP="00A93A38" w14:paraId="727386F0" w14:textId="409BA056">
      <w:pPr>
        <w:jc w:val="center"/>
        <w:sectPr w:rsidSect="00A068F3">
          <w:headerReference w:type="even" r:id="rId15"/>
          <w:headerReference w:type="default" r:id="rId16"/>
          <w:headerReference w:type="first" r:id="rId17"/>
          <w:footerReference w:type="first" r:id="rId18"/>
          <w:pgSz w:w="12240" w:h="15840"/>
          <w:pgMar w:top="1440" w:right="1800" w:bottom="1440" w:left="1800" w:header="720" w:footer="720" w:gutter="0"/>
          <w:pgNumType w:fmt="lowerRoman" w:start="1"/>
          <w:cols w:space="720"/>
          <w:titlePg/>
          <w:docGrid w:linePitch="360"/>
        </w:sectPr>
      </w:pPr>
    </w:p>
    <w:p w:rsidR="00015657" w:rsidRPr="00F126CD" w:rsidP="00A93A38" w14:paraId="550CA384" w14:textId="77777777">
      <w:pPr>
        <w:jc w:val="center"/>
        <w:rPr>
          <w:b/>
        </w:rPr>
      </w:pPr>
      <w:r w:rsidRPr="00F126CD">
        <w:rPr>
          <w:b/>
        </w:rPr>
        <w:t xml:space="preserve">BEFORE </w:t>
      </w:r>
    </w:p>
    <w:p w:rsidR="00015657" w:rsidRPr="00F126CD" w:rsidP="00015657" w14:paraId="60E9E262" w14:textId="77777777">
      <w:pPr>
        <w:jc w:val="center"/>
        <w:rPr>
          <w:b/>
        </w:rPr>
      </w:pPr>
      <w:r w:rsidRPr="00F126CD">
        <w:rPr>
          <w:b/>
        </w:rPr>
        <w:t>THE PUBLIC UTILITIES COMMISSION OF OHIO</w:t>
      </w:r>
    </w:p>
    <w:p w:rsidR="00382E7B" w:rsidRPr="00F126CD" w:rsidP="00015657" w14:paraId="079EA4DE" w14:textId="77777777">
      <w:pPr>
        <w:jc w:val="center"/>
        <w:rPr>
          <w:b/>
        </w:rPr>
      </w:pPr>
    </w:p>
    <w:tbl>
      <w:tblPr>
        <w:tblW w:w="8640" w:type="dxa"/>
        <w:tblLook w:val="01E0"/>
      </w:tblPr>
      <w:tblGrid>
        <w:gridCol w:w="4332"/>
        <w:gridCol w:w="360"/>
        <w:gridCol w:w="3948"/>
      </w:tblGrid>
      <w:tr w14:paraId="7FFF10C0" w14:textId="77777777" w:rsidTr="00D26E0D">
        <w:tblPrEx>
          <w:tblW w:w="8640" w:type="dxa"/>
          <w:tblLook w:val="01E0"/>
        </w:tblPrEx>
        <w:trPr>
          <w:trHeight w:val="807"/>
        </w:trPr>
        <w:tc>
          <w:tcPr>
            <w:tcW w:w="4332" w:type="dxa"/>
            <w:shd w:val="clear" w:color="auto" w:fill="auto"/>
          </w:tcPr>
          <w:p w:rsidR="00135CA8" w:rsidRPr="00F126CD" w:rsidP="000C24C4" w14:paraId="6F4BC958" w14:textId="77777777">
            <w:pPr>
              <w:suppressLineNumbers/>
              <w:ind w:right="342"/>
            </w:pPr>
            <w:r w:rsidRPr="00F126CD">
              <w:t>In the Matter of the Application of Duke Energy Ohio, Inc., for an Increase in Natural Gas Rates.</w:t>
            </w:r>
          </w:p>
          <w:p w:rsidR="00135CA8" w:rsidRPr="00F126CD" w:rsidP="000C24C4" w14:paraId="49781ED8" w14:textId="77777777">
            <w:pPr>
              <w:suppressLineNumbers/>
              <w:ind w:right="342"/>
            </w:pPr>
          </w:p>
          <w:p w:rsidR="00135CA8" w:rsidRPr="00F126CD" w:rsidP="000C24C4" w14:paraId="20441146" w14:textId="77777777">
            <w:pPr>
              <w:suppressLineNumbers/>
              <w:ind w:right="342"/>
            </w:pPr>
            <w:r w:rsidRPr="00F126CD">
              <w:t>In the Matter of the Application of Duke Energy Ohio, Inc., for Approval of an Alternative Form of Regulation.</w:t>
            </w:r>
          </w:p>
          <w:p w:rsidR="00135CA8" w:rsidRPr="00F126CD" w:rsidP="000C24C4" w14:paraId="6E5764DF" w14:textId="77777777">
            <w:pPr>
              <w:suppressLineNumbers/>
              <w:ind w:right="342"/>
            </w:pPr>
          </w:p>
          <w:p w:rsidR="00135CA8" w:rsidRPr="00F126CD" w:rsidP="000C24C4" w14:paraId="29C5B2ED" w14:textId="77777777">
            <w:pPr>
              <w:suppressLineNumbers/>
              <w:ind w:right="342"/>
            </w:pPr>
            <w:r w:rsidRPr="00F126CD">
              <w:t>In the Matter of the Application of Duke Energy Ohio, Inc., for Tariff Approval.</w:t>
            </w:r>
          </w:p>
          <w:p w:rsidR="00135CA8" w:rsidRPr="00F126CD" w:rsidP="000C24C4" w14:paraId="206E07F0" w14:textId="77777777">
            <w:pPr>
              <w:suppressLineNumbers/>
              <w:ind w:right="342"/>
            </w:pPr>
          </w:p>
          <w:p w:rsidR="00135CA8" w:rsidRPr="00F126CD" w:rsidP="000C24C4" w14:paraId="12A537D8" w14:textId="383353DC">
            <w:pPr>
              <w:pStyle w:val="HTMLPreformatted"/>
              <w:rPr>
                <w:rFonts w:ascii="Times New Roman" w:hAnsi="Times New Roman" w:cs="Times New Roman"/>
                <w:sz w:val="24"/>
                <w:szCs w:val="24"/>
              </w:rPr>
            </w:pPr>
            <w:r w:rsidRPr="00F126CD">
              <w:rPr>
                <w:rFonts w:ascii="Times New Roman" w:hAnsi="Times New Roman" w:cs="Times New Roman"/>
                <w:sz w:val="24"/>
                <w:szCs w:val="24"/>
              </w:rPr>
              <w:t>In the Matter of the Application of Duke Energy Ohio, Inc., for Approval to Change Accounting Methods.</w:t>
            </w:r>
          </w:p>
        </w:tc>
        <w:tc>
          <w:tcPr>
            <w:tcW w:w="360" w:type="dxa"/>
            <w:shd w:val="clear" w:color="auto" w:fill="auto"/>
          </w:tcPr>
          <w:p w:rsidR="00135CA8" w:rsidRPr="00F126CD" w:rsidP="00135CA8" w14:paraId="3956E34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135CA8" w14:paraId="555A59A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135CA8" w14:paraId="062D8E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135CA8" w14:paraId="1CB4CE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135CA8" w:rsidRPr="00F126CD" w:rsidP="00135CA8" w14:paraId="5F69E4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135CA8" w14:paraId="7C6042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135CA8" w14:paraId="13DEB4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135CA8" w14:paraId="61CD5C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135CA8" w:rsidRPr="00F126CD" w:rsidP="00135CA8" w14:paraId="1E5F88C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135CA8" w14:paraId="520F29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135CA8" w14:paraId="2ABA49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135CA8" w14:paraId="4790C2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135CA8" w:rsidRPr="00F126CD" w:rsidP="00135CA8" w14:paraId="177ACA4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135CA8" w14:paraId="5CAE07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F126CD">
              <w:rPr>
                <w:rFonts w:eastAsia="Courier New"/>
              </w:rPr>
              <w:t>)</w:t>
            </w:r>
          </w:p>
          <w:p w:rsidR="00135CA8" w:rsidRPr="00F126CD" w:rsidP="00135CA8" w14:paraId="6F96DDF0" w14:textId="1B754FBA">
            <w:pPr>
              <w:pStyle w:val="HTMLPreformatted"/>
              <w:rPr>
                <w:rFonts w:ascii="Times New Roman" w:hAnsi="Times New Roman" w:cs="Times New Roman"/>
                <w:sz w:val="24"/>
                <w:szCs w:val="24"/>
              </w:rPr>
            </w:pPr>
            <w:r w:rsidRPr="00F126CD">
              <w:rPr>
                <w:rFonts w:ascii="Times New Roman" w:hAnsi="Times New Roman" w:cs="Times New Roman"/>
                <w:sz w:val="24"/>
                <w:szCs w:val="24"/>
              </w:rPr>
              <w:t>)</w:t>
            </w:r>
          </w:p>
        </w:tc>
        <w:tc>
          <w:tcPr>
            <w:tcW w:w="3948" w:type="dxa"/>
            <w:shd w:val="clear" w:color="auto" w:fill="auto"/>
          </w:tcPr>
          <w:p w:rsidR="00135CA8" w:rsidRPr="00F126CD" w:rsidP="00135CA8" w14:paraId="1AE68234" w14:textId="77777777">
            <w:pPr>
              <w:autoSpaceDE w:val="0"/>
              <w:autoSpaceDN w:val="0"/>
              <w:adjustRightInd w:val="0"/>
            </w:pPr>
          </w:p>
          <w:p w:rsidR="00135CA8" w:rsidRPr="00F126CD" w:rsidP="00135CA8" w14:paraId="181DD824" w14:textId="77777777">
            <w:pPr>
              <w:autoSpaceDE w:val="0"/>
              <w:autoSpaceDN w:val="0"/>
              <w:adjustRightInd w:val="0"/>
            </w:pPr>
            <w:r w:rsidRPr="00F126CD">
              <w:t>Case No. 22-507-GA-AIR</w:t>
            </w:r>
          </w:p>
          <w:p w:rsidR="00135CA8" w:rsidRPr="00F126CD" w:rsidP="00135CA8" w14:paraId="4BF988FC" w14:textId="77777777">
            <w:pPr>
              <w:autoSpaceDE w:val="0"/>
              <w:autoSpaceDN w:val="0"/>
              <w:adjustRightInd w:val="0"/>
            </w:pPr>
          </w:p>
          <w:p w:rsidR="00135CA8" w:rsidRPr="00F126CD" w:rsidP="00135CA8" w14:paraId="3F091652" w14:textId="77777777">
            <w:pPr>
              <w:autoSpaceDE w:val="0"/>
              <w:autoSpaceDN w:val="0"/>
              <w:adjustRightInd w:val="0"/>
            </w:pPr>
          </w:p>
          <w:p w:rsidR="00135CA8" w:rsidRPr="00F126CD" w:rsidP="00135CA8" w14:paraId="5AAA1B68" w14:textId="77777777">
            <w:pPr>
              <w:autoSpaceDE w:val="0"/>
              <w:autoSpaceDN w:val="0"/>
              <w:adjustRightInd w:val="0"/>
            </w:pPr>
          </w:p>
          <w:p w:rsidR="00135CA8" w:rsidRPr="00F126CD" w:rsidP="00135CA8" w14:paraId="4AEA59E5" w14:textId="77777777">
            <w:pPr>
              <w:autoSpaceDE w:val="0"/>
              <w:autoSpaceDN w:val="0"/>
              <w:adjustRightInd w:val="0"/>
            </w:pPr>
            <w:r w:rsidRPr="00F126CD">
              <w:t>Case No. 22-508-GA-ALT</w:t>
            </w:r>
          </w:p>
          <w:p w:rsidR="00135CA8" w:rsidRPr="00F126CD" w:rsidP="00135CA8" w14:paraId="1B877C5D" w14:textId="77777777">
            <w:pPr>
              <w:autoSpaceDE w:val="0"/>
              <w:autoSpaceDN w:val="0"/>
              <w:adjustRightInd w:val="0"/>
            </w:pPr>
          </w:p>
          <w:p w:rsidR="00135CA8" w:rsidRPr="00F126CD" w:rsidP="00135CA8" w14:paraId="37BAAAEA" w14:textId="77777777">
            <w:pPr>
              <w:autoSpaceDE w:val="0"/>
              <w:autoSpaceDN w:val="0"/>
              <w:adjustRightInd w:val="0"/>
            </w:pPr>
          </w:p>
          <w:p w:rsidR="00135CA8" w:rsidRPr="00F126CD" w:rsidP="00135CA8" w14:paraId="0F3BB684" w14:textId="77777777">
            <w:pPr>
              <w:autoSpaceDE w:val="0"/>
              <w:autoSpaceDN w:val="0"/>
              <w:adjustRightInd w:val="0"/>
            </w:pPr>
          </w:p>
          <w:p w:rsidR="00135CA8" w:rsidRPr="00F126CD" w:rsidP="00135CA8" w14:paraId="00D5A1D3" w14:textId="77777777">
            <w:pPr>
              <w:autoSpaceDE w:val="0"/>
              <w:autoSpaceDN w:val="0"/>
              <w:adjustRightInd w:val="0"/>
            </w:pPr>
            <w:r w:rsidRPr="00F126CD">
              <w:t>Case No. 22-509-GA-ATA</w:t>
            </w:r>
          </w:p>
          <w:p w:rsidR="00135CA8" w:rsidRPr="00F126CD" w:rsidP="00135CA8" w14:paraId="1EADD427" w14:textId="77777777">
            <w:pPr>
              <w:autoSpaceDE w:val="0"/>
              <w:autoSpaceDN w:val="0"/>
              <w:adjustRightInd w:val="0"/>
            </w:pPr>
          </w:p>
          <w:p w:rsidR="00135CA8" w:rsidRPr="00F126CD" w:rsidP="00135CA8" w14:paraId="0DB08E00" w14:textId="77777777">
            <w:pPr>
              <w:autoSpaceDE w:val="0"/>
              <w:autoSpaceDN w:val="0"/>
              <w:adjustRightInd w:val="0"/>
            </w:pPr>
          </w:p>
          <w:p w:rsidR="00135CA8" w:rsidRPr="00F126CD" w:rsidP="00135CA8" w14:paraId="49444CF6" w14:textId="77777777">
            <w:pPr>
              <w:autoSpaceDE w:val="0"/>
              <w:autoSpaceDN w:val="0"/>
              <w:adjustRightInd w:val="0"/>
            </w:pPr>
          </w:p>
          <w:p w:rsidR="00135CA8" w:rsidRPr="00F126CD" w:rsidP="00135CA8" w14:paraId="5C4948FA" w14:textId="77777777">
            <w:pPr>
              <w:autoSpaceDE w:val="0"/>
              <w:autoSpaceDN w:val="0"/>
              <w:adjustRightInd w:val="0"/>
            </w:pPr>
            <w:r w:rsidRPr="00F126CD">
              <w:t>Case No. 22-510-GA-AAM</w:t>
            </w:r>
          </w:p>
          <w:p w:rsidR="00135CA8" w:rsidRPr="00F126CD" w:rsidP="00135CA8" w14:paraId="0D7942A9" w14:textId="7E804BBD">
            <w:pPr>
              <w:pStyle w:val="HTMLPreformatted"/>
              <w:rPr>
                <w:rFonts w:ascii="Times New Roman" w:hAnsi="Times New Roman" w:cs="Times New Roman"/>
                <w:sz w:val="24"/>
                <w:szCs w:val="24"/>
              </w:rPr>
            </w:pPr>
          </w:p>
        </w:tc>
      </w:tr>
    </w:tbl>
    <w:p w:rsidR="00015657" w:rsidRPr="00F126CD" w:rsidP="00015657" w14:paraId="7732A143" w14:textId="77777777">
      <w:pPr>
        <w:rPr>
          <w:b/>
        </w:rPr>
      </w:pPr>
    </w:p>
    <w:p w:rsidR="00015657" w:rsidRPr="00F126CD" w:rsidP="00015657" w14:paraId="6C618FEF" w14:textId="77777777">
      <w:pPr>
        <w:pBdr>
          <w:top w:val="single" w:sz="12" w:space="0" w:color="auto"/>
        </w:pBdr>
        <w:tabs>
          <w:tab w:val="left" w:pos="-720"/>
        </w:tabs>
        <w:suppressAutoHyphens/>
        <w:jc w:val="center"/>
        <w:rPr>
          <w:b/>
          <w:bCs/>
        </w:rPr>
      </w:pPr>
    </w:p>
    <w:p w:rsidR="00D7291B" w:rsidRPr="00F126CD" w:rsidP="00D7291B" w14:paraId="75DBA2C1" w14:textId="77777777">
      <w:pPr>
        <w:tabs>
          <w:tab w:val="left" w:pos="4770"/>
          <w:tab w:val="left" w:pos="6480"/>
        </w:tabs>
        <w:jc w:val="center"/>
        <w:rPr>
          <w:b/>
        </w:rPr>
      </w:pPr>
      <w:r w:rsidRPr="00F126CD">
        <w:rPr>
          <w:b/>
        </w:rPr>
        <w:t>INITIAL BRIEF FOR CONSUMER PROTECTION</w:t>
      </w:r>
    </w:p>
    <w:p w:rsidR="00D7291B" w:rsidRPr="00F126CD" w:rsidP="00D7291B" w14:paraId="05FFCBB7" w14:textId="77777777">
      <w:pPr>
        <w:tabs>
          <w:tab w:val="left" w:pos="4770"/>
          <w:tab w:val="left" w:pos="6480"/>
        </w:tabs>
        <w:jc w:val="center"/>
        <w:rPr>
          <w:b/>
        </w:rPr>
      </w:pPr>
      <w:r w:rsidRPr="00F126CD">
        <w:rPr>
          <w:b/>
        </w:rPr>
        <w:t>BY</w:t>
      </w:r>
    </w:p>
    <w:p w:rsidR="00D7291B" w:rsidRPr="00F126CD" w:rsidP="00D7291B" w14:paraId="4136D9DD" w14:textId="77777777">
      <w:pPr>
        <w:tabs>
          <w:tab w:val="left" w:pos="4770"/>
          <w:tab w:val="left" w:pos="6480"/>
        </w:tabs>
        <w:jc w:val="center"/>
        <w:rPr>
          <w:b/>
        </w:rPr>
      </w:pPr>
      <w:r w:rsidRPr="00F126CD">
        <w:rPr>
          <w:b/>
        </w:rPr>
        <w:t>OFFICE OF THE OHIO CONSUMERS’ COUNSEL</w:t>
      </w:r>
    </w:p>
    <w:p w:rsidR="00015657" w:rsidRPr="00F126CD" w:rsidP="00015657" w14:paraId="7050B778" w14:textId="77777777">
      <w:pPr>
        <w:pBdr>
          <w:bottom w:val="single" w:sz="12" w:space="1" w:color="auto"/>
        </w:pBdr>
        <w:tabs>
          <w:tab w:val="left" w:pos="-720"/>
        </w:tabs>
        <w:suppressAutoHyphens/>
        <w:jc w:val="center"/>
        <w:rPr>
          <w:b/>
          <w:bCs/>
        </w:rPr>
      </w:pPr>
    </w:p>
    <w:p w:rsidR="00525001" w:rsidRPr="00F126CD" w:rsidP="00525001" w14:paraId="639B5BAC" w14:textId="77777777">
      <w:pPr>
        <w:tabs>
          <w:tab w:val="left" w:pos="4770"/>
          <w:tab w:val="left" w:pos="6480"/>
        </w:tabs>
        <w:rPr>
          <w:b/>
          <w:u w:val="single"/>
        </w:rPr>
      </w:pPr>
    </w:p>
    <w:p w:rsidR="00525001" w:rsidRPr="00F126CD" w:rsidP="00525001" w14:paraId="5A18B0AC" w14:textId="77777777">
      <w:pPr>
        <w:pStyle w:val="Heading1"/>
      </w:pPr>
      <w:bookmarkStart w:id="0" w:name="_Toc2936384"/>
      <w:bookmarkStart w:id="1" w:name="_Toc102143385"/>
      <w:bookmarkStart w:id="2" w:name="_Toc102143556"/>
      <w:bookmarkStart w:id="3" w:name="_Toc106717605"/>
      <w:bookmarkStart w:id="4" w:name="_Toc137825428"/>
      <w:r w:rsidRPr="00F126CD">
        <w:t>I.</w:t>
      </w:r>
      <w:r w:rsidRPr="00F126CD">
        <w:tab/>
        <w:t>INTRODUCTION</w:t>
      </w:r>
      <w:bookmarkEnd w:id="0"/>
      <w:bookmarkEnd w:id="1"/>
      <w:bookmarkEnd w:id="2"/>
      <w:bookmarkEnd w:id="3"/>
      <w:bookmarkEnd w:id="4"/>
    </w:p>
    <w:p w:rsidR="00525001" w:rsidRPr="00F126CD" w:rsidP="00525001" w14:paraId="003E9280" w14:textId="6245827C">
      <w:pPr>
        <w:spacing w:line="480" w:lineRule="auto"/>
        <w:ind w:firstLine="720"/>
      </w:pPr>
      <w:r w:rsidRPr="00F126CD">
        <w:t xml:space="preserve">At </w:t>
      </w:r>
      <w:r w:rsidRPr="00F126CD" w:rsidR="004038B3">
        <w:t>a</w:t>
      </w:r>
      <w:r w:rsidRPr="00F126CD">
        <w:t xml:space="preserve"> time of soaring energy prices, inflation and a potential recession, Duke, the Staff of the Public Utilities Commission of Ohio (“PUCO”), and others have signed a settlement</w:t>
      </w:r>
      <w:r>
        <w:rPr>
          <w:rStyle w:val="FootnoteReference"/>
        </w:rPr>
        <w:footnoteReference w:id="3"/>
      </w:r>
      <w:r w:rsidRPr="00F126CD">
        <w:t xml:space="preserve"> to increase consumers’ </w:t>
      </w:r>
      <w:r w:rsidRPr="00F126CD" w:rsidR="00526DD3">
        <w:t>natural gas</w:t>
      </w:r>
      <w:r w:rsidRPr="00F126CD">
        <w:t xml:space="preserve"> rates. The </w:t>
      </w:r>
      <w:r w:rsidR="001075FB">
        <w:t>S</w:t>
      </w:r>
      <w:r w:rsidRPr="00F126CD">
        <w:t xml:space="preserve">ettlement provides Duke with a </w:t>
      </w:r>
      <w:r w:rsidRPr="00F126CD" w:rsidR="00F75FA8">
        <w:t xml:space="preserve">$31.7 million </w:t>
      </w:r>
      <w:r w:rsidRPr="00F126CD" w:rsidR="00F84A2D">
        <w:t xml:space="preserve">base distribution </w:t>
      </w:r>
      <w:r w:rsidRPr="00F126CD" w:rsidR="00F75FA8">
        <w:t>revenue</w:t>
      </w:r>
      <w:r w:rsidRPr="00F126CD">
        <w:t xml:space="preserve"> increase,</w:t>
      </w:r>
      <w:r>
        <w:rPr>
          <w:rStyle w:val="FootnoteReference"/>
        </w:rPr>
        <w:footnoteReference w:id="4"/>
      </w:r>
      <w:r w:rsidRPr="00F126CD">
        <w:t xml:space="preserve"> costly add-on charges (riders), a</w:t>
      </w:r>
      <w:r w:rsidR="00CF3672">
        <w:t xml:space="preserve">nd </w:t>
      </w:r>
      <w:r w:rsidR="00A16FF2">
        <w:t xml:space="preserve">a </w:t>
      </w:r>
      <w:r w:rsidRPr="00F126CD" w:rsidR="00A16FF2">
        <w:t>generous</w:t>
      </w:r>
      <w:r w:rsidRPr="00F126CD">
        <w:t xml:space="preserve"> profit</w:t>
      </w:r>
      <w:r w:rsidR="00CF3672">
        <w:t>.</w:t>
      </w:r>
      <w:r w:rsidR="00A16FF2">
        <w:t xml:space="preserve"> </w:t>
      </w:r>
      <w:r w:rsidR="00CF3672">
        <w:t xml:space="preserve">All without </w:t>
      </w:r>
      <w:r w:rsidR="008C6C84">
        <w:t>important consumer protections</w:t>
      </w:r>
      <w:r w:rsidR="00CF3672">
        <w:t xml:space="preserve"> for Duke’s </w:t>
      </w:r>
      <w:r w:rsidR="00A16FF2">
        <w:t>411,000</w:t>
      </w:r>
      <w:r w:rsidR="00F6067A">
        <w:t xml:space="preserve">      </w:t>
      </w:r>
      <w:r w:rsidR="00CF3672">
        <w:t>Cincinnati-area consumers</w:t>
      </w:r>
      <w:r w:rsidRPr="00F126CD">
        <w:t xml:space="preserve">. </w:t>
      </w:r>
    </w:p>
    <w:p w:rsidR="00147544" w:rsidP="003D77DA" w14:paraId="0E031EC5" w14:textId="4DC790BD">
      <w:pPr>
        <w:spacing w:line="480" w:lineRule="auto"/>
        <w:ind w:firstLine="720"/>
      </w:pPr>
      <w:r>
        <w:t xml:space="preserve">The Settlement permits Duke to charge </w:t>
      </w:r>
      <w:r w:rsidR="00793504">
        <w:t xml:space="preserve">consumers $29 million </w:t>
      </w:r>
      <w:r>
        <w:t>for deferred costs related to propane caverns that were replaced by the Central Corridor Pipeline, which began commercial operation on March 14, 2022.</w:t>
      </w:r>
      <w:r>
        <w:rPr>
          <w:rStyle w:val="FootnoteReference"/>
        </w:rPr>
        <w:footnoteReference w:id="5"/>
      </w:r>
      <w:r>
        <w:t xml:space="preserve"> This </w:t>
      </w:r>
      <w:r w:rsidR="00616278">
        <w:t xml:space="preserve">circumvents and </w:t>
      </w:r>
      <w:r>
        <w:t>violates R.C. 4909.15, which provides that property may only be included in rate base if it is “used and useful” at date certain. The date certain in this case is March 31, 2022.</w:t>
      </w:r>
      <w:r>
        <w:rPr>
          <w:rStyle w:val="FootnoteReference"/>
        </w:rPr>
        <w:footnoteReference w:id="6"/>
      </w:r>
      <w:r w:rsidR="006D0F13">
        <w:t xml:space="preserve"> The Ohio Supreme Court just recently affirmed the importance of the “used and useful” standard, and that there is no substitute for it. It </w:t>
      </w:r>
      <w:r w:rsidR="006D0F13">
        <w:rPr>
          <w:i/>
          <w:iCs/>
        </w:rPr>
        <w:t xml:space="preserve">must </w:t>
      </w:r>
      <w:r w:rsidR="006D0F13">
        <w:t>be followed.</w:t>
      </w:r>
      <w:r>
        <w:rPr>
          <w:rStyle w:val="FootnoteReference"/>
        </w:rPr>
        <w:footnoteReference w:id="7"/>
      </w:r>
      <w:r>
        <w:t xml:space="preserve"> </w:t>
      </w:r>
    </w:p>
    <w:p w:rsidR="00147544" w:rsidP="003D77DA" w14:paraId="43560B0D" w14:textId="7A8445BF">
      <w:pPr>
        <w:spacing w:line="480" w:lineRule="auto"/>
        <w:ind w:firstLine="720"/>
      </w:pPr>
      <w:r>
        <w:t xml:space="preserve">Further, the Settlement </w:t>
      </w:r>
      <w:r w:rsidR="008C6C84">
        <w:t>increases the amount Duke can charge consumers under the</w:t>
      </w:r>
      <w:r>
        <w:t xml:space="preserve"> </w:t>
      </w:r>
      <w:r w:rsidR="00E93574">
        <w:t>Capital Expenditure Program (“</w:t>
      </w:r>
      <w:r>
        <w:t>CEP</w:t>
      </w:r>
      <w:r w:rsidR="00E93574">
        <w:t>”)</w:t>
      </w:r>
      <w:r>
        <w:t xml:space="preserve"> Rider </w:t>
      </w:r>
      <w:r w:rsidR="00EB103F">
        <w:t xml:space="preserve">beyond the $1.00 limit </w:t>
      </w:r>
      <w:r w:rsidR="00E93574">
        <w:t>established in</w:t>
      </w:r>
      <w:r w:rsidR="00EB103F">
        <w:t xml:space="preserve"> the Settlement in Case No. 19-791-GA-ALT.</w:t>
      </w:r>
      <w:r>
        <w:rPr>
          <w:rStyle w:val="FootnoteReference"/>
        </w:rPr>
        <w:footnoteReference w:id="8"/>
      </w:r>
      <w:r w:rsidR="00EB103F">
        <w:t xml:space="preserve"> This despite Duke’s history of massive capital investment, which CEP Rider caps are designed to limit.</w:t>
      </w:r>
      <w:r>
        <w:rPr>
          <w:rStyle w:val="FootnoteReference"/>
        </w:rPr>
        <w:footnoteReference w:id="9"/>
      </w:r>
      <w:r w:rsidR="000C24C4">
        <w:t xml:space="preserve"> </w:t>
      </w:r>
      <w:r w:rsidR="002D6A1B">
        <w:t>Further,</w:t>
      </w:r>
      <w:r w:rsidR="00E93574">
        <w:t xml:space="preserve"> the CEP </w:t>
      </w:r>
      <w:r w:rsidR="002D6A1B">
        <w:t>does not</w:t>
      </w:r>
      <w:r w:rsidR="00E93574">
        <w:t xml:space="preserve"> include an operations and maintenance (“O&amp;M”) savings offset</w:t>
      </w:r>
      <w:r w:rsidR="00CF3672">
        <w:t xml:space="preserve"> for consumers</w:t>
      </w:r>
      <w:r w:rsidR="002D6A1B">
        <w:t>.</w:t>
      </w:r>
      <w:r w:rsidR="000C24C4">
        <w:t xml:space="preserve"> </w:t>
      </w:r>
    </w:p>
    <w:p w:rsidR="00EB103F" w:rsidP="00EB103F" w14:paraId="677DC11D" w14:textId="5BD83108">
      <w:pPr>
        <w:spacing w:line="480" w:lineRule="auto"/>
        <w:ind w:firstLine="720"/>
      </w:pPr>
      <w:r>
        <w:t>The Settlement allows Duke to charge consumers for an additional $2.3 million in property taxes.</w:t>
      </w:r>
      <w:r>
        <w:rPr>
          <w:rStyle w:val="FootnoteReference"/>
        </w:rPr>
        <w:footnoteReference w:id="10"/>
      </w:r>
      <w:r>
        <w:t xml:space="preserve"> This </w:t>
      </w:r>
      <w:r w:rsidR="00E67547">
        <w:t xml:space="preserve">lets </w:t>
      </w:r>
      <w:r>
        <w:t>Duke overcharge consumers for property taxes not payable during the test year.</w:t>
      </w:r>
      <w:r>
        <w:rPr>
          <w:rStyle w:val="FootnoteReference"/>
        </w:rPr>
        <w:footnoteReference w:id="11"/>
      </w:r>
    </w:p>
    <w:p w:rsidR="00525001" w:rsidP="003D77DA" w14:paraId="0FA9A74F" w14:textId="18E01E81">
      <w:pPr>
        <w:spacing w:line="480" w:lineRule="auto"/>
        <w:ind w:firstLine="720"/>
      </w:pPr>
      <w:r>
        <w:t>The</w:t>
      </w:r>
      <w:r w:rsidRPr="00F126CD" w:rsidR="00AE54A8">
        <w:t xml:space="preserve"> </w:t>
      </w:r>
      <w:r w:rsidR="001075FB">
        <w:t>S</w:t>
      </w:r>
      <w:r w:rsidRPr="00F126CD" w:rsidR="00AE54A8">
        <w:t xml:space="preserve">ettlement also lacks OCC’s </w:t>
      </w:r>
      <w:r w:rsidR="00AC3B25">
        <w:t>recommendation</w:t>
      </w:r>
      <w:r w:rsidR="001075FB">
        <w:t>s</w:t>
      </w:r>
      <w:r>
        <w:rPr>
          <w:rStyle w:val="FootnoteReference"/>
        </w:rPr>
        <w:footnoteReference w:id="12"/>
      </w:r>
      <w:r w:rsidRPr="00F126CD" w:rsidR="00AE54A8">
        <w:t xml:space="preserve"> </w:t>
      </w:r>
      <w:r>
        <w:t>regarding</w:t>
      </w:r>
      <w:r w:rsidRPr="00F126CD">
        <w:t xml:space="preserve"> </w:t>
      </w:r>
      <w:r w:rsidRPr="00F126CD" w:rsidR="00035BB1">
        <w:t>Duke’s low-income weatherization program</w:t>
      </w:r>
      <w:r>
        <w:t>. The program should</w:t>
      </w:r>
      <w:r w:rsidRPr="00F126CD" w:rsidR="00035BB1">
        <w:t xml:space="preserve"> be addressed in a stand-alone rider proceeding, </w:t>
      </w:r>
      <w:r>
        <w:t>with</w:t>
      </w:r>
      <w:r w:rsidRPr="00F126CD">
        <w:t xml:space="preserve"> </w:t>
      </w:r>
      <w:r w:rsidRPr="00F126CD" w:rsidR="00035BB1">
        <w:t xml:space="preserve">an independent, annual audit, and </w:t>
      </w:r>
      <w:r>
        <w:t>include</w:t>
      </w:r>
      <w:r w:rsidRPr="00F126CD">
        <w:t xml:space="preserve"> </w:t>
      </w:r>
      <w:r w:rsidRPr="00F126CD" w:rsidR="00035BB1">
        <w:t>shareholder funding.</w:t>
      </w:r>
      <w:r>
        <w:rPr>
          <w:rStyle w:val="FootnoteReference"/>
        </w:rPr>
        <w:footnoteReference w:id="13"/>
      </w:r>
      <w:r w:rsidRPr="00F126CD" w:rsidR="00035BB1">
        <w:t xml:space="preserve"> </w:t>
      </w:r>
    </w:p>
    <w:p w:rsidR="00EB103F" w:rsidRPr="00F126CD" w:rsidP="00EB103F" w14:paraId="65468210" w14:textId="71051E23">
      <w:pPr>
        <w:spacing w:line="480" w:lineRule="auto"/>
        <w:ind w:firstLine="720"/>
      </w:pPr>
      <w:r w:rsidRPr="00F126CD">
        <w:t xml:space="preserve">The Ohio Consumers’ Counsel (“OCC”) also recommended permitting Duke to collect $3,069,120 less in revenue from residential consumers than what the </w:t>
      </w:r>
      <w:r w:rsidR="002D6A1B">
        <w:t>S</w:t>
      </w:r>
      <w:r w:rsidRPr="00F126CD">
        <w:t>ettlement provides.</w:t>
      </w:r>
      <w:r>
        <w:rPr>
          <w:rStyle w:val="FootnoteReference"/>
        </w:rPr>
        <w:footnoteReference w:id="14"/>
      </w:r>
      <w:r w:rsidR="000C24C4">
        <w:t xml:space="preserve"> </w:t>
      </w:r>
      <w:r w:rsidRPr="00F126CD">
        <w:t>The settling parties are allowing Duke a sizeable profit (return on equity</w:t>
      </w:r>
      <w:r w:rsidR="00E67547">
        <w:t xml:space="preserve"> or “ROE”</w:t>
      </w:r>
      <w:r w:rsidRPr="00F126CD">
        <w:t>) of 9.6%.</w:t>
      </w:r>
      <w:r>
        <w:rPr>
          <w:rStyle w:val="FootnoteReference"/>
        </w:rPr>
        <w:footnoteReference w:id="15"/>
      </w:r>
      <w:r w:rsidRPr="00F126CD">
        <w:t xml:space="preserve"> OCC is proposing to limit Duke’s profit to a more reasonable 9.5</w:t>
      </w:r>
      <w:r>
        <w:t>2</w:t>
      </w:r>
      <w:r w:rsidRPr="00F126CD">
        <w:t>%.</w:t>
      </w:r>
      <w:r>
        <w:rPr>
          <w:rStyle w:val="FootnoteReference"/>
        </w:rPr>
        <w:footnoteReference w:id="16"/>
      </w:r>
      <w:r w:rsidRPr="00F126CD">
        <w:t xml:space="preserve"> </w:t>
      </w:r>
    </w:p>
    <w:p w:rsidR="003D77DA" w:rsidRPr="00F126CD" w:rsidP="00525001" w14:paraId="228C09D7" w14:textId="6A635CE8">
      <w:pPr>
        <w:pStyle w:val="BodyTextIndent3"/>
        <w:widowControl w:val="0"/>
        <w:spacing w:after="0" w:line="480" w:lineRule="auto"/>
        <w:ind w:left="0" w:right="-24" w:firstLine="720"/>
        <w:rPr>
          <w:sz w:val="24"/>
          <w:szCs w:val="24"/>
        </w:rPr>
      </w:pPr>
      <w:r w:rsidRPr="00F126CD">
        <w:rPr>
          <w:sz w:val="24"/>
          <w:szCs w:val="24"/>
        </w:rPr>
        <w:t>Lastly, as</w:t>
      </w:r>
      <w:r w:rsidRPr="00F126CD" w:rsidR="00AE54A8">
        <w:rPr>
          <w:sz w:val="24"/>
          <w:szCs w:val="24"/>
        </w:rPr>
        <w:t xml:space="preserve"> is unfortunately typical </w:t>
      </w:r>
      <w:r w:rsidRPr="00F126CD">
        <w:rPr>
          <w:sz w:val="24"/>
          <w:szCs w:val="24"/>
        </w:rPr>
        <w:t>of</w:t>
      </w:r>
      <w:r w:rsidRPr="00F126CD" w:rsidR="00AE54A8">
        <w:rPr>
          <w:sz w:val="24"/>
          <w:szCs w:val="24"/>
        </w:rPr>
        <w:t xml:space="preserve"> settlements at the PUCO, some </w:t>
      </w:r>
      <w:r w:rsidR="002D6A1B">
        <w:rPr>
          <w:sz w:val="24"/>
          <w:szCs w:val="24"/>
        </w:rPr>
        <w:t>signatory parties</w:t>
      </w:r>
      <w:r w:rsidRPr="00F126CD" w:rsidR="002D6A1B">
        <w:rPr>
          <w:sz w:val="24"/>
          <w:szCs w:val="24"/>
        </w:rPr>
        <w:t xml:space="preserve"> </w:t>
      </w:r>
      <w:r w:rsidRPr="00F126CD" w:rsidR="00AE54A8">
        <w:rPr>
          <w:sz w:val="24"/>
          <w:szCs w:val="24"/>
        </w:rPr>
        <w:t xml:space="preserve">have narrow interests and receive benefits </w:t>
      </w:r>
      <w:r w:rsidRPr="00F126CD" w:rsidR="003940CF">
        <w:rPr>
          <w:sz w:val="24"/>
          <w:szCs w:val="24"/>
        </w:rPr>
        <w:t xml:space="preserve">under the </w:t>
      </w:r>
      <w:r w:rsidR="002D6A1B">
        <w:rPr>
          <w:sz w:val="24"/>
          <w:szCs w:val="24"/>
        </w:rPr>
        <w:t>S</w:t>
      </w:r>
      <w:r w:rsidRPr="00F126CD" w:rsidR="003940CF">
        <w:rPr>
          <w:sz w:val="24"/>
          <w:szCs w:val="24"/>
        </w:rPr>
        <w:t>ettlement</w:t>
      </w:r>
      <w:r w:rsidRPr="00F126CD" w:rsidR="00AE54A8">
        <w:rPr>
          <w:sz w:val="24"/>
          <w:szCs w:val="24"/>
        </w:rPr>
        <w:t>.</w:t>
      </w:r>
      <w:r w:rsidRPr="00F126CD" w:rsidR="00EF18D4">
        <w:rPr>
          <w:sz w:val="24"/>
          <w:szCs w:val="24"/>
        </w:rPr>
        <w:t xml:space="preserve"> </w:t>
      </w:r>
      <w:r w:rsidRPr="00F126CD">
        <w:rPr>
          <w:sz w:val="24"/>
          <w:szCs w:val="24"/>
        </w:rPr>
        <w:t xml:space="preserve">OCC, the only exclusive representative of all </w:t>
      </w:r>
      <w:r w:rsidR="002A1604">
        <w:rPr>
          <w:sz w:val="24"/>
          <w:szCs w:val="24"/>
        </w:rPr>
        <w:t>411,000</w:t>
      </w:r>
      <w:r w:rsidRPr="00F126CD">
        <w:rPr>
          <w:sz w:val="24"/>
          <w:szCs w:val="24"/>
        </w:rPr>
        <w:t xml:space="preserve"> residential natural gas consumers of Duke, did not sign the </w:t>
      </w:r>
      <w:r w:rsidR="002D6A1B">
        <w:rPr>
          <w:sz w:val="24"/>
          <w:szCs w:val="24"/>
        </w:rPr>
        <w:t>S</w:t>
      </w:r>
      <w:r w:rsidRPr="00F126CD">
        <w:rPr>
          <w:sz w:val="24"/>
          <w:szCs w:val="24"/>
        </w:rPr>
        <w:t xml:space="preserve">ettlement. </w:t>
      </w:r>
      <w:r w:rsidRPr="00F126CD" w:rsidR="00EF18D4">
        <w:rPr>
          <w:sz w:val="24"/>
          <w:szCs w:val="24"/>
        </w:rPr>
        <w:t xml:space="preserve">OCC advocated for various settlement terms that represent the broad interests of residential consumers in moderating or eliminating rate increases and in other consumer protections. Many of these terms are not present in the </w:t>
      </w:r>
      <w:r w:rsidR="002D6A1B">
        <w:rPr>
          <w:sz w:val="24"/>
          <w:szCs w:val="24"/>
        </w:rPr>
        <w:t>S</w:t>
      </w:r>
      <w:r w:rsidRPr="00F126CD" w:rsidR="00EF18D4">
        <w:rPr>
          <w:sz w:val="24"/>
          <w:szCs w:val="24"/>
        </w:rPr>
        <w:t xml:space="preserve">ettlement, which fails to represent the interests of residential consumers </w:t>
      </w:r>
      <w:r w:rsidR="00EB56F9">
        <w:rPr>
          <w:sz w:val="24"/>
          <w:szCs w:val="24"/>
        </w:rPr>
        <w:t>as a whole</w:t>
      </w:r>
      <w:r w:rsidRPr="00F126CD" w:rsidR="00EF18D4">
        <w:rPr>
          <w:sz w:val="24"/>
          <w:szCs w:val="24"/>
        </w:rPr>
        <w:t xml:space="preserve">. </w:t>
      </w:r>
    </w:p>
    <w:p w:rsidR="005F113F" w:rsidP="003940CF" w14:paraId="5AD03C4C" w14:textId="4F69C631">
      <w:pPr>
        <w:pStyle w:val="BodyTextIndent3"/>
        <w:widowControl w:val="0"/>
        <w:spacing w:after="0" w:line="480" w:lineRule="auto"/>
        <w:ind w:left="0" w:right="-24" w:firstLine="720"/>
        <w:rPr>
          <w:sz w:val="24"/>
          <w:szCs w:val="24"/>
          <w:lang w:bidi="ar-SA"/>
        </w:rPr>
      </w:pPr>
      <w:r w:rsidRPr="00F126CD">
        <w:rPr>
          <w:sz w:val="24"/>
          <w:szCs w:val="24"/>
        </w:rPr>
        <w:t>OCC recommends that the PUCO adopt a fair, just</w:t>
      </w:r>
      <w:r w:rsidR="002D6A1B">
        <w:rPr>
          <w:sz w:val="24"/>
          <w:szCs w:val="24"/>
        </w:rPr>
        <w:t>,</w:t>
      </w:r>
      <w:r w:rsidRPr="00F126CD">
        <w:rPr>
          <w:sz w:val="24"/>
          <w:szCs w:val="24"/>
        </w:rPr>
        <w:t xml:space="preserve"> and reasonable resolution of Duke’s application </w:t>
      </w:r>
      <w:r w:rsidRPr="00F126CD">
        <w:rPr>
          <w:i/>
          <w:sz w:val="24"/>
          <w:szCs w:val="24"/>
        </w:rPr>
        <w:t xml:space="preserve">instead of the </w:t>
      </w:r>
      <w:r w:rsidR="002D6A1B">
        <w:rPr>
          <w:i/>
          <w:sz w:val="24"/>
          <w:szCs w:val="24"/>
        </w:rPr>
        <w:t>S</w:t>
      </w:r>
      <w:r w:rsidRPr="00F126CD">
        <w:rPr>
          <w:i/>
          <w:sz w:val="24"/>
          <w:szCs w:val="24"/>
        </w:rPr>
        <w:t>ettlement</w:t>
      </w:r>
      <w:r w:rsidRPr="00F126CD">
        <w:rPr>
          <w:sz w:val="24"/>
          <w:szCs w:val="24"/>
        </w:rPr>
        <w:t>.</w:t>
      </w:r>
      <w:r w:rsidRPr="00F126CD">
        <w:t xml:space="preserve"> </w:t>
      </w:r>
      <w:r w:rsidRPr="00F126CD" w:rsidR="00AE54A8">
        <w:rPr>
          <w:sz w:val="24"/>
          <w:szCs w:val="24"/>
          <w:lang w:bidi="ar-SA"/>
        </w:rPr>
        <w:t xml:space="preserve">The PUCO should reject the </w:t>
      </w:r>
      <w:r w:rsidR="002D6A1B">
        <w:rPr>
          <w:sz w:val="24"/>
          <w:szCs w:val="24"/>
          <w:lang w:bidi="ar-SA"/>
        </w:rPr>
        <w:t>S</w:t>
      </w:r>
      <w:r w:rsidRPr="00F126CD" w:rsidR="00AE54A8">
        <w:rPr>
          <w:sz w:val="24"/>
          <w:szCs w:val="24"/>
          <w:lang w:bidi="ar-SA"/>
        </w:rPr>
        <w:t>ettlement</w:t>
      </w:r>
      <w:r w:rsidRPr="00F126CD">
        <w:rPr>
          <w:sz w:val="24"/>
          <w:szCs w:val="24"/>
          <w:lang w:bidi="ar-SA"/>
        </w:rPr>
        <w:t xml:space="preserve">, for reasons </w:t>
      </w:r>
      <w:r w:rsidRPr="00F126CD" w:rsidR="00AE54A8">
        <w:rPr>
          <w:sz w:val="24"/>
          <w:szCs w:val="24"/>
          <w:lang w:bidi="ar-SA"/>
        </w:rPr>
        <w:t>OCC describes in this brief.</w:t>
      </w:r>
    </w:p>
    <w:p w:rsidR="006461C1" w:rsidRPr="00F126CD" w:rsidP="006461C1" w14:paraId="1F0FDE1A" w14:textId="77777777">
      <w:pPr>
        <w:pStyle w:val="BodyTextIndent3"/>
        <w:widowControl w:val="0"/>
        <w:spacing w:after="0"/>
        <w:ind w:left="0" w:right="-24" w:firstLine="720"/>
        <w:rPr>
          <w:sz w:val="24"/>
          <w:szCs w:val="24"/>
          <w:lang w:bidi="ar-SA"/>
        </w:rPr>
      </w:pPr>
    </w:p>
    <w:p w:rsidR="001E0562" w:rsidRPr="00F126CD" w:rsidP="001C38CB" w14:paraId="01A61C56" w14:textId="77777777">
      <w:pPr>
        <w:pStyle w:val="Heading1"/>
        <w:rPr>
          <w:lang w:bidi="ar-SA"/>
        </w:rPr>
      </w:pPr>
      <w:bookmarkStart w:id="5" w:name="_Toc137825429"/>
      <w:r w:rsidRPr="00F126CD">
        <w:rPr>
          <w:lang w:bidi="ar-SA"/>
        </w:rPr>
        <w:t>II.</w:t>
      </w:r>
      <w:r w:rsidRPr="00F126CD">
        <w:rPr>
          <w:lang w:bidi="ar-SA"/>
        </w:rPr>
        <w:tab/>
        <w:t>THE SETTLEMENT VIOLATES THE PUCO’S THREE-PART TEST FOR CONSIDERING SETTLEMENTS</w:t>
      </w:r>
      <w:bookmarkEnd w:id="5"/>
    </w:p>
    <w:p w:rsidR="00055635" w:rsidRPr="00F126CD" w:rsidP="008D6A4B" w14:paraId="5C99B1DC" w14:textId="00F01597">
      <w:pPr>
        <w:pStyle w:val="BodyTextIndent3"/>
        <w:widowControl w:val="0"/>
        <w:spacing w:after="0" w:line="480" w:lineRule="auto"/>
        <w:ind w:left="0" w:right="-24" w:firstLine="720"/>
        <w:rPr>
          <w:sz w:val="24"/>
          <w:szCs w:val="24"/>
        </w:rPr>
      </w:pPr>
      <w:r w:rsidRPr="00F126CD">
        <w:rPr>
          <w:sz w:val="24"/>
          <w:szCs w:val="24"/>
        </w:rPr>
        <w:t>Settlements are evaluated by the PUCO under a three-part test. The PUCO will adopt a settlement only if it meets the following three criteria:</w:t>
      </w:r>
      <w:r w:rsidRPr="00F126CD" w:rsidR="00C83B25">
        <w:rPr>
          <w:sz w:val="24"/>
          <w:szCs w:val="24"/>
        </w:rPr>
        <w:t xml:space="preserve"> </w:t>
      </w:r>
      <w:r w:rsidRPr="00F126CD">
        <w:rPr>
          <w:sz w:val="24"/>
          <w:szCs w:val="24"/>
        </w:rPr>
        <w:t>1. whether the settlement</w:t>
      </w:r>
      <w:r w:rsidRPr="00F126CD" w:rsidR="0037462A">
        <w:rPr>
          <w:sz w:val="24"/>
          <w:szCs w:val="24"/>
        </w:rPr>
        <w:t xml:space="preserve"> is</w:t>
      </w:r>
      <w:r w:rsidRPr="00F126CD">
        <w:rPr>
          <w:sz w:val="24"/>
          <w:szCs w:val="24"/>
        </w:rPr>
        <w:t xml:space="preserve"> a product of serious bargaining among capable, knowledgeable parties; 2. whether the settlement, as a package, benefit</w:t>
      </w:r>
      <w:r w:rsidRPr="00F126CD" w:rsidR="0037462A">
        <w:rPr>
          <w:sz w:val="24"/>
          <w:szCs w:val="24"/>
        </w:rPr>
        <w:t>s</w:t>
      </w:r>
      <w:r w:rsidRPr="00F126CD">
        <w:rPr>
          <w:sz w:val="24"/>
          <w:szCs w:val="24"/>
        </w:rPr>
        <w:t xml:space="preserve"> customers and the public interest; and 3. whether the settlement package violate</w:t>
      </w:r>
      <w:r w:rsidRPr="00F126CD" w:rsidR="0037462A">
        <w:rPr>
          <w:sz w:val="24"/>
          <w:szCs w:val="24"/>
        </w:rPr>
        <w:t>s</w:t>
      </w:r>
      <w:r w:rsidRPr="00F126CD">
        <w:rPr>
          <w:sz w:val="24"/>
          <w:szCs w:val="24"/>
        </w:rPr>
        <w:t xml:space="preserve"> any important regulatory principle or practice.</w:t>
      </w:r>
      <w:r>
        <w:rPr>
          <w:sz w:val="24"/>
          <w:szCs w:val="24"/>
          <w:vertAlign w:val="superscript"/>
        </w:rPr>
        <w:footnoteReference w:id="17"/>
      </w:r>
      <w:r w:rsidRPr="00F126CD" w:rsidR="0037462A">
        <w:rPr>
          <w:sz w:val="24"/>
          <w:szCs w:val="24"/>
        </w:rPr>
        <w:t xml:space="preserve"> In addition, the PUCO routinely considers whether the parties to the settlement represent diverse interests.</w:t>
      </w:r>
      <w:r>
        <w:rPr>
          <w:rStyle w:val="FootnoteReference"/>
          <w:sz w:val="24"/>
          <w:szCs w:val="24"/>
        </w:rPr>
        <w:footnoteReference w:id="18"/>
      </w:r>
      <w:r w:rsidRPr="00F126CD" w:rsidR="0037462A">
        <w:rPr>
          <w:sz w:val="24"/>
          <w:szCs w:val="24"/>
        </w:rPr>
        <w:t xml:space="preserve"> </w:t>
      </w:r>
    </w:p>
    <w:p w:rsidR="0037462A" w:rsidRPr="00F126CD" w:rsidP="008D6A4B" w14:paraId="0F491B9E" w14:textId="1F87FF63">
      <w:pPr>
        <w:pStyle w:val="BodyTextIndent3"/>
        <w:widowControl w:val="0"/>
        <w:spacing w:after="0" w:line="480" w:lineRule="auto"/>
        <w:ind w:left="0" w:right="-24" w:firstLine="720"/>
        <w:rPr>
          <w:sz w:val="24"/>
          <w:szCs w:val="24"/>
        </w:rPr>
      </w:pPr>
      <w:r w:rsidRPr="00F126CD">
        <w:rPr>
          <w:sz w:val="24"/>
          <w:szCs w:val="24"/>
        </w:rPr>
        <w:t xml:space="preserve">OCC presented evidence demonstrating that the </w:t>
      </w:r>
      <w:r w:rsidR="002D6A1B">
        <w:rPr>
          <w:sz w:val="24"/>
          <w:szCs w:val="24"/>
        </w:rPr>
        <w:t>S</w:t>
      </w:r>
      <w:r w:rsidRPr="00F126CD">
        <w:rPr>
          <w:sz w:val="24"/>
          <w:szCs w:val="24"/>
        </w:rPr>
        <w:t xml:space="preserve">ettlement violates all three parts of the PUCO’s test. The </w:t>
      </w:r>
      <w:r w:rsidR="002D6A1B">
        <w:rPr>
          <w:sz w:val="24"/>
          <w:szCs w:val="24"/>
        </w:rPr>
        <w:t>S</w:t>
      </w:r>
      <w:r w:rsidRPr="00F126CD">
        <w:rPr>
          <w:sz w:val="24"/>
          <w:szCs w:val="24"/>
        </w:rPr>
        <w:t>ettlement should be rejected.</w:t>
      </w:r>
    </w:p>
    <w:p w:rsidR="00015657" w:rsidRPr="00F126CD" w:rsidP="00193233" w14:paraId="02B54169" w14:textId="1917D0A9">
      <w:pPr>
        <w:pStyle w:val="Heading2"/>
      </w:pPr>
      <w:bookmarkStart w:id="6" w:name="_Toc137825430"/>
      <w:r w:rsidRPr="00F126CD">
        <w:t xml:space="preserve">The PUCO should reject the </w:t>
      </w:r>
      <w:r w:rsidR="002D6A1B">
        <w:t>S</w:t>
      </w:r>
      <w:r w:rsidRPr="00F126CD">
        <w:t>ettlement because it is not the product of serious bargaining.</w:t>
      </w:r>
      <w:bookmarkEnd w:id="6"/>
    </w:p>
    <w:p w:rsidR="00783DE3" w:rsidRPr="00F126CD" w:rsidP="00DE68F4" w14:paraId="7E9B17C8" w14:textId="3F6E9FE9">
      <w:pPr>
        <w:spacing w:line="480" w:lineRule="auto"/>
        <w:ind w:firstLine="720"/>
      </w:pPr>
      <w:r w:rsidRPr="00F126CD">
        <w:rPr>
          <w:color w:val="000000" w:themeColor="text1"/>
        </w:rPr>
        <w:t>To satisfy the first prong of the PUCO’s test to consider settlements,</w:t>
      </w:r>
      <w:r w:rsidRPr="00F126CD" w:rsidR="002576C5">
        <w:rPr>
          <w:color w:val="000000" w:themeColor="text1"/>
        </w:rPr>
        <w:t xml:space="preserve"> </w:t>
      </w:r>
      <w:r w:rsidRPr="00F126CD" w:rsidR="002576C5">
        <w:rPr>
          <w:i/>
          <w:iCs/>
          <w:color w:val="000000" w:themeColor="text1"/>
        </w:rPr>
        <w:t xml:space="preserve">serious </w:t>
      </w:r>
      <w:r w:rsidRPr="00F126CD" w:rsidR="002576C5">
        <w:rPr>
          <w:color w:val="000000" w:themeColor="text1"/>
        </w:rPr>
        <w:t>bargaining must take place.</w:t>
      </w:r>
      <w:r w:rsidRPr="00F126CD">
        <w:rPr>
          <w:color w:val="000000" w:themeColor="text1"/>
        </w:rPr>
        <w:t xml:space="preserve"> </w:t>
      </w:r>
      <w:r w:rsidRPr="00F126CD" w:rsidR="002576C5">
        <w:rPr>
          <w:color w:val="000000" w:themeColor="text1"/>
        </w:rPr>
        <w:t xml:space="preserve">It is not enough to </w:t>
      </w:r>
      <w:r w:rsidRPr="00F126CD">
        <w:rPr>
          <w:color w:val="000000" w:themeColor="text1"/>
        </w:rPr>
        <w:t>hold a series of meetings and invit</w:t>
      </w:r>
      <w:r w:rsidRPr="00F126CD" w:rsidR="002576C5">
        <w:rPr>
          <w:color w:val="000000" w:themeColor="text1"/>
        </w:rPr>
        <w:t>e</w:t>
      </w:r>
      <w:r w:rsidRPr="00F126CD">
        <w:rPr>
          <w:color w:val="000000" w:themeColor="text1"/>
        </w:rPr>
        <w:t xml:space="preserve"> parties to </w:t>
      </w:r>
      <w:r w:rsidRPr="00F126CD" w:rsidR="002576C5">
        <w:rPr>
          <w:color w:val="000000" w:themeColor="text1"/>
        </w:rPr>
        <w:t>attend</w:t>
      </w:r>
      <w:r w:rsidRPr="00F126CD">
        <w:rPr>
          <w:color w:val="000000" w:themeColor="text1"/>
        </w:rPr>
        <w:t xml:space="preserve">. Duke held settlement meetings where </w:t>
      </w:r>
      <w:r w:rsidRPr="00F126CD" w:rsidR="00F230C0">
        <w:rPr>
          <w:color w:val="000000" w:themeColor="text1"/>
        </w:rPr>
        <w:t>OCC</w:t>
      </w:r>
      <w:r w:rsidRPr="00F126CD" w:rsidR="002576C5">
        <w:rPr>
          <w:color w:val="000000" w:themeColor="text1"/>
        </w:rPr>
        <w:t xml:space="preserve"> participated</w:t>
      </w:r>
      <w:r w:rsidRPr="00F126CD" w:rsidR="00F230C0">
        <w:rPr>
          <w:color w:val="000000" w:themeColor="text1"/>
        </w:rPr>
        <w:t>,</w:t>
      </w:r>
      <w:r w:rsidRPr="00F126CD" w:rsidR="00160BCA">
        <w:rPr>
          <w:color w:val="000000" w:themeColor="text1"/>
        </w:rPr>
        <w:t xml:space="preserve"> but that does not mean </w:t>
      </w:r>
      <w:r w:rsidRPr="00F126CD" w:rsidR="00F230C0">
        <w:rPr>
          <w:color w:val="000000" w:themeColor="text1"/>
        </w:rPr>
        <w:t>serious</w:t>
      </w:r>
      <w:r w:rsidRPr="00F126CD" w:rsidR="00F923A4">
        <w:rPr>
          <w:color w:val="000000" w:themeColor="text1"/>
        </w:rPr>
        <w:t xml:space="preserve"> bargaining</w:t>
      </w:r>
      <w:r w:rsidRPr="00F126CD" w:rsidR="00160BCA">
        <w:rPr>
          <w:color w:val="000000" w:themeColor="text1"/>
        </w:rPr>
        <w:t xml:space="preserve"> </w:t>
      </w:r>
      <w:r w:rsidRPr="00F126CD" w:rsidR="002576C5">
        <w:rPr>
          <w:color w:val="000000" w:themeColor="text1"/>
        </w:rPr>
        <w:t xml:space="preserve">in fact </w:t>
      </w:r>
      <w:r w:rsidRPr="00F126CD" w:rsidR="00160BCA">
        <w:rPr>
          <w:color w:val="000000" w:themeColor="text1"/>
        </w:rPr>
        <w:t>occurred</w:t>
      </w:r>
      <w:r w:rsidRPr="00F126CD" w:rsidR="00F230C0">
        <w:rPr>
          <w:color w:val="000000" w:themeColor="text1"/>
        </w:rPr>
        <w:t xml:space="preserve">. </w:t>
      </w:r>
    </w:p>
    <w:p w:rsidR="00385991" w:rsidRPr="00F126CD" w:rsidP="00385991" w14:paraId="1EEC4E2B" w14:textId="01A89714">
      <w:pPr>
        <w:spacing w:line="480" w:lineRule="auto"/>
        <w:ind w:firstLine="720"/>
      </w:pPr>
      <w:r w:rsidRPr="00F126CD">
        <w:t xml:space="preserve">In a </w:t>
      </w:r>
      <w:r w:rsidRPr="00F126CD" w:rsidR="005508FD">
        <w:t>proceeding</w:t>
      </w:r>
      <w:r w:rsidRPr="00F126CD">
        <w:t xml:space="preserve"> about an electric security plan</w:t>
      </w:r>
      <w:r w:rsidRPr="00F126CD" w:rsidR="005508FD">
        <w:t xml:space="preserve"> (“ESP”)</w:t>
      </w:r>
      <w:r w:rsidRPr="00F126CD">
        <w:t>, Commissioner Cheryl Roberto wrote that “</w:t>
      </w:r>
      <w:r w:rsidR="002D6A1B">
        <w:t>[i]</w:t>
      </w:r>
      <w:r w:rsidRPr="00F126CD">
        <w:t>n the case of an ESP the balance of power created by an electric utility’s authority to withdraw a Commission-modified and approved plan creates a dynamic that is impossible to ignore.”</w:t>
      </w:r>
      <w:r>
        <w:rPr>
          <w:rStyle w:val="FootnoteReference"/>
        </w:rPr>
        <w:footnoteReference w:id="19"/>
      </w:r>
      <w:r w:rsidRPr="00F126CD">
        <w:t xml:space="preserve"> This rate case does not give Duke the formal veto power over PUCO orders in R.C. 4928.143 that Commissioner Roberto described as unequal bargaining power.</w:t>
      </w:r>
      <w:r w:rsidR="000C24C4">
        <w:t xml:space="preserve"> </w:t>
      </w:r>
      <w:r w:rsidRPr="00F126CD">
        <w:t>But Duke has similar unequal and unfair bargaining power here that is an obstacle to serious bargaining.</w:t>
      </w:r>
    </w:p>
    <w:p w:rsidR="00EB4091" w:rsidRPr="00F126CD" w:rsidP="00E70C2B" w14:paraId="446BEBEC" w14:textId="182CA032">
      <w:pPr>
        <w:spacing w:line="480" w:lineRule="auto"/>
        <w:ind w:firstLine="720"/>
      </w:pPr>
      <w:r w:rsidRPr="00F126CD">
        <w:t>One reason for the utility’s outsized role in the</w:t>
      </w:r>
      <w:r w:rsidRPr="00F126CD" w:rsidR="00AE54A8">
        <w:t xml:space="preserve"> </w:t>
      </w:r>
      <w:r w:rsidRPr="00F126CD">
        <w:t>unfair PUCO</w:t>
      </w:r>
      <w:r w:rsidRPr="00F126CD" w:rsidR="00AE54A8">
        <w:t xml:space="preserve"> settlement process, </w:t>
      </w:r>
      <w:r w:rsidR="00EB56F9">
        <w:t>(</w:t>
      </w:r>
      <w:r w:rsidRPr="00F126CD" w:rsidR="00AE54A8">
        <w:t xml:space="preserve">as described by OCC witness </w:t>
      </w:r>
      <w:r w:rsidRPr="00F126CD" w:rsidR="003D77DA">
        <w:t>Colleen Shutrump</w:t>
      </w:r>
      <w:r w:rsidR="006D0F13">
        <w:t>)</w:t>
      </w:r>
      <w:r w:rsidR="002D6A1B">
        <w:t>,</w:t>
      </w:r>
      <w:r>
        <w:rPr>
          <w:rStyle w:val="FootnoteReference"/>
        </w:rPr>
        <w:footnoteReference w:id="20"/>
      </w:r>
      <w:r w:rsidR="00EB56F9">
        <w:t xml:space="preserve"> </w:t>
      </w:r>
      <w:r w:rsidRPr="00F126CD" w:rsidR="00AE54A8">
        <w:t xml:space="preserve">is money and </w:t>
      </w:r>
      <w:r w:rsidRPr="00F126CD" w:rsidR="003940CF">
        <w:t>how a</w:t>
      </w:r>
      <w:r w:rsidRPr="00F126CD">
        <w:t xml:space="preserve"> utility can use it</w:t>
      </w:r>
      <w:r w:rsidRPr="00F126CD" w:rsidR="00AE54A8">
        <w:t xml:space="preserve">. </w:t>
      </w:r>
      <w:r w:rsidRPr="00F126CD" w:rsidR="007B1FF9">
        <w:t>OCC w</w:t>
      </w:r>
      <w:r w:rsidRPr="00F126CD" w:rsidR="00C30E59">
        <w:t xml:space="preserve">itness </w:t>
      </w:r>
      <w:r w:rsidRPr="00F126CD">
        <w:t>Shutrump</w:t>
      </w:r>
      <w:r w:rsidRPr="00F126CD" w:rsidR="00C30E59">
        <w:t xml:space="preserve">, with </w:t>
      </w:r>
      <w:r w:rsidRPr="00F126CD">
        <w:t>years</w:t>
      </w:r>
      <w:r w:rsidRPr="00F126CD" w:rsidR="00C30E59">
        <w:t xml:space="preserve"> of experience in utility regulation, </w:t>
      </w:r>
      <w:r w:rsidRPr="00F126CD">
        <w:t>warned that “low-income programs should not be made utility bargaining chips to garner support for utility rate increase settlements.”</w:t>
      </w:r>
      <w:r>
        <w:rPr>
          <w:rStyle w:val="FootnoteReference"/>
        </w:rPr>
        <w:footnoteReference w:id="21"/>
      </w:r>
      <w:r w:rsidRPr="00F126CD">
        <w:t xml:space="preserve"> When this happens, the utility, here Duke, uses the outcome </w:t>
      </w:r>
      <w:r w:rsidR="00E568D0">
        <w:t>of outsized negotiating leverage, rather than serious bargaining,</w:t>
      </w:r>
      <w:r w:rsidRPr="00F126CD">
        <w:t xml:space="preserve"> to convince the PUCO that the settlement meets the three standards</w:t>
      </w:r>
      <w:r w:rsidRPr="00F126CD" w:rsidR="00AE54A8">
        <w:t>.</w:t>
      </w:r>
      <w:r w:rsidRPr="00F126CD" w:rsidR="007A00A8">
        <w:t xml:space="preserve"> </w:t>
      </w:r>
    </w:p>
    <w:p w:rsidR="00B07489" w:rsidRPr="00F126CD" w:rsidP="003B1B00" w14:paraId="6CC961D3" w14:textId="4A29767F">
      <w:pPr>
        <w:spacing w:line="480" w:lineRule="auto"/>
        <w:ind w:firstLine="720"/>
      </w:pPr>
      <w:r>
        <w:t xml:space="preserve">The PUCO is right to allow reasonable funding to organizations that </w:t>
      </w:r>
      <w:r w:rsidRPr="00F126CD" w:rsidR="00D83831">
        <w:t xml:space="preserve">aid Ohioans in need. </w:t>
      </w:r>
      <w:r w:rsidRPr="00F126CD" w:rsidR="007F178F">
        <w:t xml:space="preserve">But </w:t>
      </w:r>
      <w:r w:rsidRPr="00F126CD" w:rsidR="00E70C2B">
        <w:t>these parties</w:t>
      </w:r>
      <w:r w:rsidRPr="00F126CD" w:rsidR="007F178F">
        <w:t xml:space="preserve"> should not </w:t>
      </w:r>
      <w:r w:rsidRPr="00F126CD" w:rsidR="00BA77DA">
        <w:t xml:space="preserve">depend </w:t>
      </w:r>
      <w:r w:rsidRPr="00F126CD" w:rsidR="007F178F">
        <w:t xml:space="preserve">on utilities </w:t>
      </w:r>
      <w:r w:rsidRPr="00F126CD" w:rsidR="00BA77DA">
        <w:t>to bestow funds</w:t>
      </w:r>
      <w:r w:rsidRPr="00F126CD" w:rsidR="007F178F">
        <w:t xml:space="preserve"> in exchange for settlement signatures when utilities like Duke happen to have rate-increase cases pending. </w:t>
      </w:r>
      <w:r w:rsidRPr="00F126CD" w:rsidR="00885F0E">
        <w:t>The</w:t>
      </w:r>
      <w:r w:rsidRPr="00F126CD" w:rsidR="005508FD">
        <w:t xml:space="preserve"> current</w:t>
      </w:r>
      <w:r w:rsidRPr="00F126CD" w:rsidR="00885F0E">
        <w:t xml:space="preserve"> process </w:t>
      </w:r>
      <w:r w:rsidRPr="00F126CD" w:rsidR="00AE54A8">
        <w:t>advantage</w:t>
      </w:r>
      <w:r w:rsidR="00EB56F9">
        <w:t>s</w:t>
      </w:r>
      <w:r w:rsidRPr="00F126CD" w:rsidR="00AE54A8">
        <w:t xml:space="preserve"> utilities and</w:t>
      </w:r>
      <w:r w:rsidRPr="00F126CD" w:rsidR="00567F70">
        <w:t xml:space="preserve"> </w:t>
      </w:r>
      <w:r w:rsidRPr="00F126CD" w:rsidR="00AE54A8">
        <w:t>disadvantage</w:t>
      </w:r>
      <w:r w:rsidR="00EB56F9">
        <w:t>s</w:t>
      </w:r>
      <w:r w:rsidRPr="00F126CD" w:rsidR="00AE54A8">
        <w:t xml:space="preserve"> at-risk Ohioans and organizations serving them</w:t>
      </w:r>
      <w:r w:rsidRPr="00F126CD" w:rsidR="00A344FB">
        <w:t>.</w:t>
      </w:r>
      <w:r w:rsidRPr="00F126CD" w:rsidR="00885F0E">
        <w:t xml:space="preserve"> The </w:t>
      </w:r>
      <w:r w:rsidR="003B1B00">
        <w:t xml:space="preserve">PUCO’s </w:t>
      </w:r>
      <w:r w:rsidR="00EB56F9">
        <w:t xml:space="preserve">settlement </w:t>
      </w:r>
      <w:r w:rsidRPr="00F126CD" w:rsidR="00885F0E">
        <w:t>process needs to be reformed</w:t>
      </w:r>
      <w:r w:rsidR="003B1B00">
        <w:t xml:space="preserve"> for the public interest.</w:t>
      </w:r>
    </w:p>
    <w:p w:rsidR="005508FD" w:rsidRPr="00F126CD" w:rsidP="005508FD" w14:paraId="551BDA12" w14:textId="7C2ECB5A">
      <w:pPr>
        <w:spacing w:line="480" w:lineRule="auto"/>
        <w:ind w:firstLine="720"/>
      </w:pPr>
      <w:r w:rsidRPr="00F126CD">
        <w:t>In addition, the</w:t>
      </w:r>
      <w:r w:rsidRPr="00F126CD" w:rsidR="00427EFB">
        <w:t xml:space="preserve"> PUCO </w:t>
      </w:r>
      <w:r w:rsidR="00125775">
        <w:t xml:space="preserve">sometimes </w:t>
      </w:r>
      <w:r w:rsidRPr="00F126CD" w:rsidR="00751CF1">
        <w:t>considers</w:t>
      </w:r>
      <w:r w:rsidRPr="00F126CD" w:rsidR="00427EFB">
        <w:t xml:space="preserve"> “diversity of interests” as part of the first part of the </w:t>
      </w:r>
      <w:r w:rsidR="00C70187">
        <w:t>settlement</w:t>
      </w:r>
      <w:r w:rsidRPr="00F126CD" w:rsidR="00C70187">
        <w:t xml:space="preserve"> </w:t>
      </w:r>
      <w:r w:rsidRPr="00F126CD" w:rsidR="00427EFB">
        <w:t>assessment.</w:t>
      </w:r>
      <w:r>
        <w:rPr>
          <w:rStyle w:val="FootnoteReference"/>
        </w:rPr>
        <w:footnoteReference w:id="22"/>
      </w:r>
      <w:r w:rsidRPr="00F126CD" w:rsidR="00427EFB">
        <w:t xml:space="preserve"> </w:t>
      </w:r>
      <w:r w:rsidR="00E568D0">
        <w:t>The</w:t>
      </w:r>
      <w:r w:rsidRPr="00F126CD">
        <w:t xml:space="preserve"> broad interests of all residential </w:t>
      </w:r>
      <w:r w:rsidRPr="00F126CD" w:rsidR="003940CF">
        <w:t>consumers</w:t>
      </w:r>
      <w:r w:rsidRPr="00F126CD">
        <w:t xml:space="preserve"> (including </w:t>
      </w:r>
      <w:r w:rsidR="00E568D0">
        <w:rPr>
          <w:i/>
          <w:iCs/>
        </w:rPr>
        <w:t xml:space="preserve">both </w:t>
      </w:r>
      <w:r w:rsidRPr="00F126CD">
        <w:t xml:space="preserve">non-low-income and low-income) </w:t>
      </w:r>
      <w:r w:rsidR="00DF2E8C">
        <w:t xml:space="preserve">are </w:t>
      </w:r>
      <w:r w:rsidRPr="00F126CD">
        <w:t>not represented in the settlement</w:t>
      </w:r>
      <w:r w:rsidRPr="00F126CD" w:rsidR="003940CF">
        <w:t xml:space="preserve">. OCC, the only exclusive representative of all </w:t>
      </w:r>
      <w:r w:rsidRPr="00F126CD" w:rsidR="009616C4">
        <w:t>4</w:t>
      </w:r>
      <w:r w:rsidR="009616C4">
        <w:t>11</w:t>
      </w:r>
      <w:r w:rsidRPr="00F126CD" w:rsidR="003940CF">
        <w:t xml:space="preserve">,000 Duke natural gas consumers, advocated for various settlement terms that </w:t>
      </w:r>
      <w:r w:rsidR="00EB56F9">
        <w:t>moderat</w:t>
      </w:r>
      <w:r w:rsidR="00DF2E8C">
        <w:t xml:space="preserve">ed </w:t>
      </w:r>
      <w:r w:rsidR="00EB56F9">
        <w:t xml:space="preserve">the rate increase and </w:t>
      </w:r>
      <w:r w:rsidR="00E67547">
        <w:t xml:space="preserve">protected consumers. </w:t>
      </w:r>
      <w:r w:rsidR="00DF2E8C">
        <w:t xml:space="preserve">The </w:t>
      </w:r>
      <w:r w:rsidR="00820624">
        <w:t>Settlement</w:t>
      </w:r>
      <w:r w:rsidR="00DF2E8C">
        <w:t xml:space="preserve"> does not include </w:t>
      </w:r>
      <w:r w:rsidR="00E67547">
        <w:t>those</w:t>
      </w:r>
      <w:r w:rsidR="00DF2E8C">
        <w:t xml:space="preserve"> terms. </w:t>
      </w:r>
      <w:r w:rsidR="00E568D0">
        <w:t xml:space="preserve">The PUCO must consider how </w:t>
      </w:r>
      <w:r w:rsidR="00E568D0">
        <w:rPr>
          <w:i/>
          <w:iCs/>
        </w:rPr>
        <w:t>all</w:t>
      </w:r>
      <w:r w:rsidR="00E568D0">
        <w:t xml:space="preserve"> consumers </w:t>
      </w:r>
      <w:r w:rsidRPr="00F126CD" w:rsidR="00E568D0">
        <w:t xml:space="preserve">are impacted by a settlement as a </w:t>
      </w:r>
      <w:r w:rsidRPr="00E568D0" w:rsidR="00E568D0">
        <w:rPr>
          <w:i/>
          <w:iCs/>
        </w:rPr>
        <w:t>whole</w:t>
      </w:r>
      <w:r w:rsidR="00E568D0">
        <w:t xml:space="preserve">. This includes </w:t>
      </w:r>
      <w:r w:rsidRPr="00F126CD" w:rsidR="00E568D0">
        <w:t>the many non-low-income consumers of the utility, here Duke</w:t>
      </w:r>
      <w:r w:rsidR="00E568D0">
        <w:t>, who no signatory party represents</w:t>
      </w:r>
      <w:r w:rsidRPr="00F126CD" w:rsidR="00E568D0">
        <w:t xml:space="preserve">. </w:t>
      </w:r>
    </w:p>
    <w:p w:rsidR="00427EFB" w:rsidRPr="00F126CD" w:rsidP="005508FD" w14:paraId="7DA70C04" w14:textId="7D18B32A">
      <w:pPr>
        <w:spacing w:line="480" w:lineRule="auto"/>
        <w:ind w:firstLine="720"/>
      </w:pPr>
      <w:r w:rsidRPr="00F126CD">
        <w:t xml:space="preserve">Consistent with Commissioner Roberto’s analysis, the PUCO should give little weight, if any, to the fact that numerous parties (all but OCC) signed the Settlement. The PUCO should carefully review all terms and conditions of the Settlement and place greater emphasis on whether the Settlement can be shown to be in the public interest and not violate regulatory practices and principles. After doing </w:t>
      </w:r>
      <w:r w:rsidRPr="00F126CD" w:rsidR="008D162F">
        <w:t>this</w:t>
      </w:r>
      <w:r w:rsidRPr="00F126CD">
        <w:t xml:space="preserve"> analysis, the PUCO should conclude that the Settlement should be rejected.</w:t>
      </w:r>
    </w:p>
    <w:p w:rsidR="0057334C" w:rsidRPr="00F126CD" w:rsidP="00193233" w14:paraId="5446C928" w14:textId="173F2B63">
      <w:pPr>
        <w:pStyle w:val="Heading2"/>
      </w:pPr>
      <w:bookmarkStart w:id="7" w:name="_Toc137825431"/>
      <w:r w:rsidRPr="00F126CD">
        <w:t xml:space="preserve">The PUCO should reject the </w:t>
      </w:r>
      <w:r w:rsidR="00C70187">
        <w:t>S</w:t>
      </w:r>
      <w:r w:rsidRPr="00F126CD">
        <w:t xml:space="preserve">ettlement because the benefits to </w:t>
      </w:r>
      <w:r w:rsidR="00C70187">
        <w:t>consumers</w:t>
      </w:r>
      <w:r w:rsidRPr="00F126CD" w:rsidR="00C70187">
        <w:t xml:space="preserve"> </w:t>
      </w:r>
      <w:r w:rsidRPr="00F126CD">
        <w:t xml:space="preserve">and the public interest </w:t>
      </w:r>
      <w:r w:rsidR="002A1604">
        <w:t>do not outweigh the harm</w:t>
      </w:r>
      <w:r w:rsidRPr="00F126CD">
        <w:t xml:space="preserve"> to consumers and the public interest</w:t>
      </w:r>
      <w:r w:rsidRPr="00F126CD" w:rsidR="00654218">
        <w:t>.</w:t>
      </w:r>
      <w:bookmarkEnd w:id="7"/>
    </w:p>
    <w:p w:rsidR="008D7D07" w:rsidP="008D7D07" w14:paraId="3A9FEADC" w14:textId="77777777">
      <w:pPr>
        <w:spacing w:line="480" w:lineRule="auto"/>
        <w:ind w:firstLine="720"/>
      </w:pPr>
      <w:r w:rsidRPr="00F126CD">
        <w:t>The PUCO should reject the settlement for failing the second prong of the settlement standard. Reasons include the following.</w:t>
      </w:r>
    </w:p>
    <w:p w:rsidR="0097697F" w:rsidP="00193233" w14:paraId="270E547F" w14:textId="7A78B0B8">
      <w:pPr>
        <w:pStyle w:val="Heading3"/>
      </w:pPr>
      <w:bookmarkStart w:id="8" w:name="_Toc137825432"/>
      <w:r w:rsidRPr="006461C1">
        <w:rPr>
          <w:rStyle w:val="Heading3Char"/>
          <w:b/>
          <w:bCs/>
        </w:rPr>
        <w:t>Duke’s attempt to charge consumers for deferred costs related to</w:t>
      </w:r>
      <w:r>
        <w:t xml:space="preserve"> propane caverns harms consumers and the public interest because the caverns were not used and useful at the March 31, 2022 date certain in this case</w:t>
      </w:r>
      <w:r w:rsidR="008678EA">
        <w:t>.</w:t>
      </w:r>
      <w:bookmarkEnd w:id="8"/>
      <w:r>
        <w:t xml:space="preserve"> </w:t>
      </w:r>
    </w:p>
    <w:p w:rsidR="00D03B4B" w:rsidP="00851A35" w14:paraId="4957350A" w14:textId="1A28B2A0">
      <w:pPr>
        <w:tabs>
          <w:tab w:val="left" w:pos="720"/>
          <w:tab w:val="left" w:pos="1440"/>
          <w:tab w:val="left" w:leader="dot" w:pos="8640"/>
        </w:tabs>
        <w:spacing w:line="480" w:lineRule="auto"/>
        <w:rPr>
          <w:bCs/>
        </w:rPr>
      </w:pPr>
      <w:r w:rsidRPr="00851A35">
        <w:rPr>
          <w:bCs/>
          <w:iCs/>
        </w:rPr>
        <w:tab/>
        <w:t>T</w:t>
      </w:r>
      <w:r w:rsidRPr="00851A35">
        <w:rPr>
          <w:bCs/>
        </w:rPr>
        <w:t xml:space="preserve">he PUCO should </w:t>
      </w:r>
      <w:r w:rsidR="00851A35">
        <w:rPr>
          <w:bCs/>
        </w:rPr>
        <w:t>find the Settlement harms</w:t>
      </w:r>
      <w:r w:rsidRPr="00851A35">
        <w:rPr>
          <w:bCs/>
        </w:rPr>
        <w:t xml:space="preserve"> consumers and the public interest</w:t>
      </w:r>
      <w:r>
        <w:rPr>
          <w:bCs/>
        </w:rPr>
        <w:t>. That’s</w:t>
      </w:r>
      <w:r w:rsidRPr="00851A35">
        <w:rPr>
          <w:bCs/>
        </w:rPr>
        <w:t xml:space="preserve"> because it </w:t>
      </w:r>
      <w:r w:rsidR="002C06F6">
        <w:rPr>
          <w:bCs/>
        </w:rPr>
        <w:t xml:space="preserve">would require </w:t>
      </w:r>
      <w:r w:rsidRPr="00851A35">
        <w:rPr>
          <w:bCs/>
        </w:rPr>
        <w:t>charge</w:t>
      </w:r>
      <w:r w:rsidR="002C06F6">
        <w:rPr>
          <w:bCs/>
        </w:rPr>
        <w:t>s to</w:t>
      </w:r>
      <w:r w:rsidRPr="00851A35">
        <w:rPr>
          <w:bCs/>
        </w:rPr>
        <w:t xml:space="preserve"> consumers </w:t>
      </w:r>
      <w:r w:rsidR="00293804">
        <w:rPr>
          <w:bCs/>
        </w:rPr>
        <w:t xml:space="preserve">of </w:t>
      </w:r>
      <w:r w:rsidRPr="00851A35">
        <w:rPr>
          <w:bCs/>
        </w:rPr>
        <w:t>approximately $2.9 million per year for amortization of approximately $29 million in deferred costs for propane inventory, the net book value of the remaining propane assets (“propane facilities” or “propane caverns”), and decommissioning costs.</w:t>
      </w:r>
      <w:r>
        <w:rPr>
          <w:rStyle w:val="FootnoteReference"/>
          <w:bCs/>
        </w:rPr>
        <w:footnoteReference w:id="23"/>
      </w:r>
      <w:r w:rsidR="00F6067A">
        <w:rPr>
          <w:bCs/>
        </w:rPr>
        <w:t xml:space="preserve"> </w:t>
      </w:r>
    </w:p>
    <w:p w:rsidR="002C06F6" w:rsidP="00851A35" w14:paraId="265770C2" w14:textId="460C0586">
      <w:pPr>
        <w:tabs>
          <w:tab w:val="left" w:pos="720"/>
          <w:tab w:val="left" w:pos="1440"/>
          <w:tab w:val="left" w:leader="dot" w:pos="8640"/>
        </w:tabs>
        <w:spacing w:line="480" w:lineRule="auto"/>
        <w:rPr>
          <w:bCs/>
        </w:rPr>
      </w:pPr>
      <w:r>
        <w:rPr>
          <w:bCs/>
        </w:rPr>
        <w:tab/>
        <w:t>OCC witness Kerry Adkins testified against allowing charges to consumers. He testified that under the second and third settlement standards the charges recommended in the Settlement should be denied.</w:t>
      </w:r>
      <w:r>
        <w:rPr>
          <w:rStyle w:val="FootnoteReference"/>
          <w:bCs/>
        </w:rPr>
        <w:footnoteReference w:id="24"/>
      </w:r>
      <w:r w:rsidR="00F6067A">
        <w:rPr>
          <w:bCs/>
        </w:rPr>
        <w:t xml:space="preserve"> </w:t>
      </w:r>
    </w:p>
    <w:p w:rsidR="0034732E" w:rsidP="00851A35" w14:paraId="233AFBA1" w14:textId="137E83F4">
      <w:pPr>
        <w:tabs>
          <w:tab w:val="left" w:pos="720"/>
          <w:tab w:val="left" w:pos="1440"/>
          <w:tab w:val="left" w:leader="dot" w:pos="8640"/>
        </w:tabs>
        <w:spacing w:line="480" w:lineRule="auto"/>
        <w:rPr>
          <w:bCs/>
        </w:rPr>
      </w:pPr>
      <w:r>
        <w:rPr>
          <w:bCs/>
        </w:rPr>
        <w:tab/>
      </w:r>
      <w:r w:rsidR="000A52C0">
        <w:rPr>
          <w:bCs/>
        </w:rPr>
        <w:t>T</w:t>
      </w:r>
      <w:r w:rsidR="00DC3654">
        <w:rPr>
          <w:bCs/>
        </w:rPr>
        <w:t xml:space="preserve">he Supreme Court of Ohio has </w:t>
      </w:r>
      <w:r>
        <w:rPr>
          <w:bCs/>
        </w:rPr>
        <w:t>prohibited</w:t>
      </w:r>
      <w:r w:rsidR="00DC3654">
        <w:rPr>
          <w:bCs/>
        </w:rPr>
        <w:t xml:space="preserve"> the PUCO</w:t>
      </w:r>
      <w:r>
        <w:rPr>
          <w:bCs/>
        </w:rPr>
        <w:t xml:space="preserve"> from using an accounting mechanism to circumvent the law’s “used and useful” standard for consumer protection.</w:t>
      </w:r>
      <w:r w:rsidR="00F6067A">
        <w:rPr>
          <w:bCs/>
        </w:rPr>
        <w:t xml:space="preserve"> </w:t>
      </w:r>
      <w:r>
        <w:rPr>
          <w:bCs/>
        </w:rPr>
        <w:t xml:space="preserve">The Court ruled </w:t>
      </w:r>
      <w:r w:rsidR="00DC3654">
        <w:rPr>
          <w:bCs/>
        </w:rPr>
        <w:t xml:space="preserve">that an accounting mechanism (such as </w:t>
      </w:r>
      <w:r>
        <w:rPr>
          <w:bCs/>
        </w:rPr>
        <w:t xml:space="preserve">the </w:t>
      </w:r>
      <w:r w:rsidR="00DC3654">
        <w:rPr>
          <w:bCs/>
        </w:rPr>
        <w:t>deferral</w:t>
      </w:r>
      <w:r>
        <w:rPr>
          <w:bCs/>
        </w:rPr>
        <w:t xml:space="preserve"> in the Settlement</w:t>
      </w:r>
      <w:r w:rsidR="00DC3654">
        <w:rPr>
          <w:bCs/>
        </w:rPr>
        <w:t xml:space="preserve">) </w:t>
      </w:r>
      <w:r>
        <w:rPr>
          <w:bCs/>
        </w:rPr>
        <w:t xml:space="preserve">cannot be used by “by commission fiat” </w:t>
      </w:r>
      <w:r w:rsidR="00DC3654">
        <w:rPr>
          <w:bCs/>
        </w:rPr>
        <w:t>to avoid scrutin</w:t>
      </w:r>
      <w:r w:rsidR="00BD66D5">
        <w:rPr>
          <w:bCs/>
        </w:rPr>
        <w:t xml:space="preserve">y of </w:t>
      </w:r>
      <w:r w:rsidR="00DC3654">
        <w:rPr>
          <w:bCs/>
        </w:rPr>
        <w:t xml:space="preserve">a utility asset under the used and useful </w:t>
      </w:r>
      <w:r>
        <w:rPr>
          <w:bCs/>
        </w:rPr>
        <w:t>standard</w:t>
      </w:r>
      <w:r w:rsidR="00DC3654">
        <w:rPr>
          <w:bCs/>
        </w:rPr>
        <w:t xml:space="preserve"> in R.C. 4909.15(A)(1)</w:t>
      </w:r>
      <w:r w:rsidR="00293804">
        <w:rPr>
          <w:bCs/>
        </w:rPr>
        <w:t>.</w:t>
      </w:r>
      <w:r>
        <w:rPr>
          <w:rStyle w:val="FootnoteReference"/>
          <w:bCs/>
        </w:rPr>
        <w:footnoteReference w:id="25"/>
      </w:r>
      <w:r w:rsidR="00F6067A">
        <w:rPr>
          <w:bCs/>
        </w:rPr>
        <w:t xml:space="preserve"> </w:t>
      </w:r>
    </w:p>
    <w:p w:rsidR="00DC3654" w:rsidP="00851A35" w14:paraId="095B0D0B" w14:textId="7BE7455F">
      <w:pPr>
        <w:tabs>
          <w:tab w:val="left" w:pos="720"/>
          <w:tab w:val="left" w:pos="1440"/>
          <w:tab w:val="left" w:leader="dot" w:pos="8640"/>
        </w:tabs>
        <w:spacing w:line="480" w:lineRule="auto"/>
        <w:rPr>
          <w:bCs/>
        </w:rPr>
      </w:pPr>
      <w:r>
        <w:rPr>
          <w:bCs/>
        </w:rPr>
        <w:tab/>
        <w:t>Yet that is just what Duke and the PUCO Staff have done, as an illegal work-around, to wrongly give Duke more of Ohioans</w:t>
      </w:r>
      <w:r w:rsidR="000033E4">
        <w:rPr>
          <w:bCs/>
        </w:rPr>
        <w:t>’</w:t>
      </w:r>
      <w:r>
        <w:rPr>
          <w:bCs/>
        </w:rPr>
        <w:t xml:space="preserve"> hard-earned money.</w:t>
      </w:r>
      <w:r w:rsidR="00F6067A">
        <w:rPr>
          <w:bCs/>
        </w:rPr>
        <w:t xml:space="preserve"> </w:t>
      </w:r>
      <w:r w:rsidR="000A52C0">
        <w:rPr>
          <w:bCs/>
        </w:rPr>
        <w:t>They have used a ratemaking gimmick of cost deferrals to circumvent Ohio ratemaking law. Even the PUCO, that unfortunately allowed Duke to defer costs associated with the propane caverns, wrote into its deferral order that Duke’s use of deferral accounting was not approval to charge consumers through ratemaking.</w:t>
      </w:r>
      <w:r>
        <w:rPr>
          <w:rStyle w:val="FootnoteReference"/>
          <w:bCs/>
        </w:rPr>
        <w:footnoteReference w:id="26"/>
      </w:r>
      <w:r w:rsidR="000A52C0">
        <w:rPr>
          <w:bCs/>
        </w:rPr>
        <w:t xml:space="preserve"> </w:t>
      </w:r>
    </w:p>
    <w:p w:rsidR="00C72C88" w:rsidP="00851A35" w14:paraId="5A3AC1CF" w14:textId="03B4C805">
      <w:pPr>
        <w:tabs>
          <w:tab w:val="left" w:pos="720"/>
          <w:tab w:val="left" w:pos="1440"/>
          <w:tab w:val="left" w:leader="dot" w:pos="8640"/>
        </w:tabs>
        <w:spacing w:line="480" w:lineRule="auto"/>
        <w:rPr>
          <w:bCs/>
        </w:rPr>
      </w:pPr>
      <w:r>
        <w:rPr>
          <w:bCs/>
        </w:rPr>
        <w:tab/>
      </w:r>
      <w:r w:rsidRPr="00851A35" w:rsidR="00851A35">
        <w:rPr>
          <w:bCs/>
        </w:rPr>
        <w:t>R.C. 4905.15</w:t>
      </w:r>
      <w:r w:rsidR="004320A6">
        <w:rPr>
          <w:bCs/>
        </w:rPr>
        <w:t>(A)(1)</w:t>
      </w:r>
      <w:r w:rsidRPr="00851A35" w:rsidR="00851A35">
        <w:rPr>
          <w:bCs/>
        </w:rPr>
        <w:t xml:space="preserve"> requires the utility to show that at date certain all property</w:t>
      </w:r>
      <w:r w:rsidR="00ED19B9">
        <w:rPr>
          <w:bCs/>
        </w:rPr>
        <w:t xml:space="preserve"> included in rate base</w:t>
      </w:r>
      <w:r w:rsidRPr="00851A35" w:rsidR="00851A35">
        <w:rPr>
          <w:bCs/>
        </w:rPr>
        <w:t xml:space="preserve"> is used and useful. </w:t>
      </w:r>
      <w:r>
        <w:rPr>
          <w:bCs/>
        </w:rPr>
        <w:t xml:space="preserve">Recently, the Ohio Supreme Court reemphasized </w:t>
      </w:r>
      <w:r w:rsidR="00D7227A">
        <w:rPr>
          <w:bCs/>
        </w:rPr>
        <w:t xml:space="preserve">in </w:t>
      </w:r>
      <w:r w:rsidR="00D7227A">
        <w:rPr>
          <w:bCs/>
          <w:i/>
          <w:iCs/>
        </w:rPr>
        <w:t xml:space="preserve">In re Suburban Nat. Gas Co. </w:t>
      </w:r>
      <w:r>
        <w:rPr>
          <w:bCs/>
        </w:rPr>
        <w:t>the importance of the used and useful test</w:t>
      </w:r>
      <w:r w:rsidR="00D7227A">
        <w:rPr>
          <w:bCs/>
        </w:rPr>
        <w:t>. The Court</w:t>
      </w:r>
      <w:r>
        <w:rPr>
          <w:bCs/>
        </w:rPr>
        <w:t xml:space="preserve"> explained it succinctly:</w:t>
      </w:r>
    </w:p>
    <w:p w:rsidR="00C72C88" w:rsidP="00F6067A" w14:paraId="2CC89736" w14:textId="7C0A4B3E">
      <w:pPr>
        <w:tabs>
          <w:tab w:val="left" w:pos="720"/>
          <w:tab w:val="left" w:pos="1440"/>
          <w:tab w:val="left" w:leader="dot" w:pos="8640"/>
        </w:tabs>
        <w:ind w:left="720" w:right="810"/>
        <w:rPr>
          <w:color w:val="212121"/>
          <w:shd w:val="clear" w:color="auto" w:fill="FFFFFF"/>
        </w:rPr>
      </w:pPr>
      <w:r w:rsidRPr="00F6067A">
        <w:rPr>
          <w:color w:val="212121"/>
          <w:shd w:val="clear" w:color="auto" w:fill="FFFFFF"/>
        </w:rPr>
        <w:t>The used-and-useful test allows a public utility to recover through rates the value of that portion of its property that is actually used and useful for the convenience of the public.</w:t>
      </w:r>
      <w:r>
        <w:rPr>
          <w:color w:val="212121"/>
          <w:shd w:val="clear" w:color="auto" w:fill="FFFFFF"/>
        </w:rPr>
        <w:t xml:space="preserve"> </w:t>
      </w:r>
      <w:r w:rsidRPr="00F6067A">
        <w:rPr>
          <w:color w:val="212121"/>
          <w:shd w:val="clear" w:color="auto" w:fill="FFFFFF"/>
        </w:rPr>
        <w:t>Whether something is used and useful must be measured as of the date certain, not at some speculative unspecified point in time.</w:t>
      </w:r>
      <w:r w:rsidR="00F6067A">
        <w:rPr>
          <w:color w:val="212121"/>
          <w:shd w:val="clear" w:color="auto" w:fill="FFFFFF"/>
        </w:rPr>
        <w:t xml:space="preserve"> </w:t>
      </w:r>
      <w:r w:rsidRPr="00F6067A">
        <w:rPr>
          <w:color w:val="212121"/>
          <w:shd w:val="clear" w:color="auto" w:fill="FFFFFF"/>
        </w:rPr>
        <w:t>Thus, a public utility is not entitled to include in the rate-base valuation property not actually used or useful in providing its public service, no matter how useful the property may have been in the past or may yet be in the future.</w:t>
      </w:r>
      <w:r>
        <w:rPr>
          <w:rStyle w:val="FootnoteReference"/>
          <w:color w:val="212121"/>
          <w:shd w:val="clear" w:color="auto" w:fill="FFFFFF"/>
        </w:rPr>
        <w:footnoteReference w:id="27"/>
      </w:r>
    </w:p>
    <w:p w:rsidR="00C72C88" w:rsidP="00C72C88" w14:paraId="102ADD09" w14:textId="77777777">
      <w:pPr>
        <w:tabs>
          <w:tab w:val="left" w:pos="720"/>
          <w:tab w:val="left" w:pos="1440"/>
          <w:tab w:val="left" w:leader="dot" w:pos="8640"/>
        </w:tabs>
        <w:rPr>
          <w:color w:val="212121"/>
          <w:shd w:val="clear" w:color="auto" w:fill="FFFFFF"/>
        </w:rPr>
      </w:pPr>
    </w:p>
    <w:p w:rsidR="00C72C88" w:rsidP="00F6067A" w14:paraId="4F9D4A97" w14:textId="26202D41">
      <w:pPr>
        <w:tabs>
          <w:tab w:val="left" w:pos="720"/>
          <w:tab w:val="left" w:pos="1440"/>
          <w:tab w:val="left" w:leader="dot" w:pos="8640"/>
        </w:tabs>
        <w:spacing w:line="480" w:lineRule="auto"/>
        <w:rPr>
          <w:color w:val="212121"/>
          <w:shd w:val="clear" w:color="auto" w:fill="FFFFFF"/>
        </w:rPr>
      </w:pPr>
      <w:r>
        <w:rPr>
          <w:color w:val="212121"/>
          <w:shd w:val="clear" w:color="auto" w:fill="FFFFFF"/>
        </w:rPr>
        <w:t>Based on the PUCO’s misapplication of the used and useful test, the Court reversed and remanded the PUCO’s decision to allow a utility to include in rate base extra pipeline justified on the grounds of “reserve capacity.”</w:t>
      </w:r>
      <w:r w:rsidRPr="00C72C88">
        <w:rPr>
          <w:rFonts w:ascii="Lato" w:hAnsi="Lato"/>
          <w:color w:val="212121"/>
          <w:sz w:val="27"/>
          <w:szCs w:val="27"/>
          <w:shd w:val="clear" w:color="auto" w:fill="FFFFFF"/>
        </w:rPr>
        <w:t xml:space="preserve"> </w:t>
      </w:r>
      <w:r w:rsidRPr="00F6067A">
        <w:rPr>
          <w:color w:val="212121"/>
          <w:shd w:val="clear" w:color="auto" w:fill="FFFFFF"/>
        </w:rPr>
        <w:t>“In evaluating such circumstances,</w:t>
      </w:r>
      <w:r>
        <w:rPr>
          <w:color w:val="212121"/>
          <w:shd w:val="clear" w:color="auto" w:fill="FFFFFF"/>
        </w:rPr>
        <w:t>” the Court explained, “</w:t>
      </w:r>
      <w:r w:rsidRPr="00F6067A">
        <w:rPr>
          <w:color w:val="212121"/>
          <w:shd w:val="clear" w:color="auto" w:fill="FFFFFF"/>
        </w:rPr>
        <w:t>the question always must be whether the property is used and useful, not whether it was a prudent investment.</w:t>
      </w:r>
      <w:r>
        <w:rPr>
          <w:color w:val="212121"/>
          <w:shd w:val="clear" w:color="auto" w:fill="FFFFFF"/>
        </w:rPr>
        <w:t>”</w:t>
      </w:r>
      <w:r>
        <w:rPr>
          <w:rStyle w:val="FootnoteReference"/>
          <w:color w:val="212121"/>
          <w:shd w:val="clear" w:color="auto" w:fill="FFFFFF"/>
        </w:rPr>
        <w:footnoteReference w:id="28"/>
      </w:r>
    </w:p>
    <w:p w:rsidR="00A301EF" w:rsidP="00851A35" w14:paraId="7CB5A1CC" w14:textId="559FC145">
      <w:pPr>
        <w:tabs>
          <w:tab w:val="left" w:pos="720"/>
          <w:tab w:val="left" w:pos="1440"/>
          <w:tab w:val="left" w:leader="dot" w:pos="8640"/>
        </w:tabs>
        <w:spacing w:line="480" w:lineRule="auto"/>
        <w:rPr>
          <w:bCs/>
        </w:rPr>
      </w:pPr>
      <w:r>
        <w:rPr>
          <w:bCs/>
        </w:rPr>
        <w:tab/>
      </w:r>
      <w:r w:rsidRPr="00851A35" w:rsidR="0097697F">
        <w:rPr>
          <w:bCs/>
        </w:rPr>
        <w:t xml:space="preserve">Upon commercial operation of Duke’s Central Corridor Pipeline Extension project (March 14, 2022), the propane facilities were not useful </w:t>
      </w:r>
      <w:r w:rsidR="004645F1">
        <w:rPr>
          <w:bCs/>
        </w:rPr>
        <w:t xml:space="preserve">or used </w:t>
      </w:r>
      <w:r w:rsidR="00527DBF">
        <w:rPr>
          <w:bCs/>
        </w:rPr>
        <w:t xml:space="preserve">to provide utility service to consumers </w:t>
      </w:r>
      <w:r w:rsidRPr="00851A35" w:rsidR="0097697F">
        <w:rPr>
          <w:bCs/>
        </w:rPr>
        <w:t xml:space="preserve">on the date certain in this case (March 31, 2022). </w:t>
      </w:r>
    </w:p>
    <w:p w:rsidR="00065787" w:rsidP="00851A35" w14:paraId="42A13085" w14:textId="6CC64E21">
      <w:pPr>
        <w:tabs>
          <w:tab w:val="left" w:pos="720"/>
          <w:tab w:val="left" w:pos="1440"/>
          <w:tab w:val="left" w:leader="dot" w:pos="8640"/>
        </w:tabs>
        <w:spacing w:line="480" w:lineRule="auto"/>
        <w:rPr>
          <w:bCs/>
        </w:rPr>
      </w:pPr>
      <w:r w:rsidRPr="00851A35">
        <w:rPr>
          <w:bCs/>
        </w:rPr>
        <w:t>It is</w:t>
      </w:r>
      <w:r w:rsidRPr="00851A35" w:rsidR="0097697F">
        <w:rPr>
          <w:bCs/>
        </w:rPr>
        <w:t xml:space="preserve"> not in the public interest to charge consumers approximately $1.6 million per year for propane facilities that are not </w:t>
      </w:r>
      <w:r w:rsidR="00A301EF">
        <w:rPr>
          <w:bCs/>
        </w:rPr>
        <w:t xml:space="preserve">used and useful in </w:t>
      </w:r>
      <w:r w:rsidRPr="00851A35" w:rsidR="0097697F">
        <w:rPr>
          <w:bCs/>
        </w:rPr>
        <w:t>providing them utility service.</w:t>
      </w:r>
      <w:r>
        <w:rPr>
          <w:rStyle w:val="FootnoteReference"/>
          <w:bCs/>
        </w:rPr>
        <w:footnoteReference w:id="29"/>
      </w:r>
      <w:r w:rsidRPr="00851A35" w:rsidR="0097697F">
        <w:rPr>
          <w:bCs/>
        </w:rPr>
        <w:t xml:space="preserve"> </w:t>
      </w:r>
    </w:p>
    <w:p w:rsidR="00851A35" w:rsidP="00851A35" w14:paraId="3617B898" w14:textId="4146EB69">
      <w:pPr>
        <w:tabs>
          <w:tab w:val="left" w:pos="720"/>
          <w:tab w:val="left" w:pos="1440"/>
          <w:tab w:val="left" w:leader="dot" w:pos="8640"/>
        </w:tabs>
        <w:spacing w:line="480" w:lineRule="auto"/>
        <w:rPr>
          <w:bCs/>
        </w:rPr>
      </w:pPr>
      <w:r>
        <w:rPr>
          <w:bCs/>
        </w:rPr>
        <w:tab/>
        <w:t xml:space="preserve">Further, the Settlement </w:t>
      </w:r>
      <w:r w:rsidR="0062027F">
        <w:rPr>
          <w:bCs/>
        </w:rPr>
        <w:t xml:space="preserve">effectively </w:t>
      </w:r>
      <w:r>
        <w:rPr>
          <w:bCs/>
        </w:rPr>
        <w:t xml:space="preserve">charges consumers </w:t>
      </w:r>
      <w:r w:rsidRPr="00F6067A">
        <w:rPr>
          <w:bCs/>
          <w:i/>
          <w:iCs/>
        </w:rPr>
        <w:t>twice</w:t>
      </w:r>
      <w:r>
        <w:rPr>
          <w:bCs/>
        </w:rPr>
        <w:t xml:space="preserve"> for the same </w:t>
      </w:r>
      <w:r w:rsidR="0062027F">
        <w:rPr>
          <w:bCs/>
        </w:rPr>
        <w:t>thing</w:t>
      </w:r>
      <w:r>
        <w:rPr>
          <w:bCs/>
        </w:rPr>
        <w:t xml:space="preserve"> – once </w:t>
      </w:r>
      <w:r w:rsidRPr="00851A35" w:rsidR="0097697F">
        <w:rPr>
          <w:bCs/>
        </w:rPr>
        <w:t>for the propane facilities that were no longer useful on date certain</w:t>
      </w:r>
      <w:r w:rsidR="00E82D55">
        <w:rPr>
          <w:bCs/>
        </w:rPr>
        <w:t xml:space="preserve">. And the Settlement would charge consumers </w:t>
      </w:r>
      <w:r w:rsidRPr="00F6067A" w:rsidR="0097697F">
        <w:rPr>
          <w:bCs/>
          <w:i/>
          <w:iCs/>
        </w:rPr>
        <w:t>again</w:t>
      </w:r>
      <w:r w:rsidRPr="00851A35" w:rsidR="0097697F">
        <w:rPr>
          <w:bCs/>
        </w:rPr>
        <w:t xml:space="preserve"> for the Central Corridor Pipeline that replaced </w:t>
      </w:r>
      <w:r w:rsidR="00E82D55">
        <w:rPr>
          <w:bCs/>
        </w:rPr>
        <w:t xml:space="preserve">the caverns, as the </w:t>
      </w:r>
      <w:r w:rsidR="00A119A7">
        <w:rPr>
          <w:bCs/>
        </w:rPr>
        <w:t>Settlement treats t</w:t>
      </w:r>
      <w:r w:rsidR="00376D0D">
        <w:rPr>
          <w:bCs/>
        </w:rPr>
        <w:t xml:space="preserve">he new pipeline </w:t>
      </w:r>
      <w:r w:rsidRPr="00851A35" w:rsidR="0097697F">
        <w:rPr>
          <w:bCs/>
        </w:rPr>
        <w:t>as used and useful at date certain.</w:t>
      </w:r>
      <w:r>
        <w:rPr>
          <w:bCs/>
        </w:rPr>
        <w:t xml:space="preserve"> For this reason, the PUCO should reject the Settlement. </w:t>
      </w:r>
    </w:p>
    <w:p w:rsidR="008678EA" w:rsidRPr="00D7227A" w:rsidP="00E860D2" w14:paraId="2E59CC05" w14:textId="4FD3D0F3">
      <w:pPr>
        <w:pStyle w:val="Heading4"/>
      </w:pPr>
      <w:bookmarkStart w:id="9" w:name="_Toc137825433"/>
      <w:r>
        <w:rPr>
          <w:rStyle w:val="Heading4Char"/>
        </w:rPr>
        <w:t>a.</w:t>
      </w:r>
      <w:r>
        <w:rPr>
          <w:rStyle w:val="Heading4Char"/>
        </w:rPr>
        <w:tab/>
      </w:r>
      <w:r w:rsidRPr="00AF1541" w:rsidR="009E6724">
        <w:rPr>
          <w:rStyle w:val="Heading4Char"/>
        </w:rPr>
        <w:t>Duke’s own public representations demonstrate that when</w:t>
      </w:r>
      <w:r w:rsidRPr="00AF1541">
        <w:rPr>
          <w:rStyle w:val="Heading4Char"/>
        </w:rPr>
        <w:t xml:space="preserve"> the</w:t>
      </w:r>
      <w:r w:rsidRPr="00D7227A">
        <w:t xml:space="preserve"> Central Corridor Pipeline went into service, the propane caverns were </w:t>
      </w:r>
      <w:r w:rsidRPr="00D7227A" w:rsidR="009E6724">
        <w:t>not used and useful.</w:t>
      </w:r>
      <w:bookmarkEnd w:id="9"/>
    </w:p>
    <w:p w:rsidR="00ED19B9" w:rsidP="00ED19B9" w14:paraId="3E539805" w14:textId="01EC5977">
      <w:pPr>
        <w:tabs>
          <w:tab w:val="left" w:pos="720"/>
          <w:tab w:val="left" w:pos="1440"/>
          <w:tab w:val="left" w:leader="dot" w:pos="8640"/>
        </w:tabs>
        <w:spacing w:line="480" w:lineRule="auto"/>
        <w:rPr>
          <w:bCs/>
        </w:rPr>
      </w:pPr>
      <w:r>
        <w:tab/>
      </w:r>
      <w:r w:rsidRPr="005202AB">
        <w:t>In the present case, on the date certain (March 31, 2022),</w:t>
      </w:r>
      <w:r>
        <w:rPr>
          <w:vertAlign w:val="superscript"/>
        </w:rPr>
        <w:footnoteReference w:id="30"/>
      </w:r>
      <w:r w:rsidRPr="005202AB">
        <w:t xml:space="preserve"> the propane caverns were not used and useful</w:t>
      </w:r>
      <w:r w:rsidR="00D7227A">
        <w:t>.</w:t>
      </w:r>
      <w:r w:rsidRPr="005202AB">
        <w:t xml:space="preserve"> </w:t>
      </w:r>
      <w:r w:rsidR="00D7227A">
        <w:t>T</w:t>
      </w:r>
      <w:r w:rsidRPr="005202AB">
        <w:t>he Central Corridor Pipeline went into commercial operation on March 14, 2022.</w:t>
      </w:r>
      <w:r w:rsidRPr="005202AB">
        <w:rPr>
          <w:rStyle w:val="FootnoteReference"/>
        </w:rPr>
        <w:t xml:space="preserve"> </w:t>
      </w:r>
      <w:r>
        <w:rPr>
          <w:rStyle w:val="FootnoteReference"/>
        </w:rPr>
        <w:footnoteReference w:id="31"/>
      </w:r>
      <w:r w:rsidRPr="00ED19B9">
        <w:t xml:space="preserve"> </w:t>
      </w:r>
      <w:r>
        <w:t>At this date</w:t>
      </w:r>
      <w:r w:rsidRPr="00A843DE">
        <w:rPr>
          <w:bCs/>
        </w:rPr>
        <w:t xml:space="preserve">, Duke was able to provide </w:t>
      </w:r>
      <w:r w:rsidR="00252206">
        <w:rPr>
          <w:bCs/>
        </w:rPr>
        <w:t>“adequate”</w:t>
      </w:r>
      <w:r>
        <w:rPr>
          <w:rStyle w:val="FootnoteReference"/>
          <w:bCs/>
        </w:rPr>
        <w:footnoteReference w:id="32"/>
      </w:r>
      <w:r w:rsidR="00252206">
        <w:rPr>
          <w:bCs/>
        </w:rPr>
        <w:t xml:space="preserve"> </w:t>
      </w:r>
      <w:r w:rsidRPr="00A843DE">
        <w:rPr>
          <w:bCs/>
        </w:rPr>
        <w:t>service to consumers without the propane caverns.</w:t>
      </w:r>
      <w:r>
        <w:rPr>
          <w:bCs/>
        </w:rPr>
        <w:t xml:space="preserve"> Duke’s own </w:t>
      </w:r>
      <w:r w:rsidR="00F16801">
        <w:rPr>
          <w:bCs/>
        </w:rPr>
        <w:t>public representations, including</w:t>
      </w:r>
      <w:r>
        <w:rPr>
          <w:bCs/>
        </w:rPr>
        <w:t xml:space="preserve"> </w:t>
      </w:r>
      <w:r w:rsidR="002A35D4">
        <w:rPr>
          <w:bCs/>
        </w:rPr>
        <w:t xml:space="preserve">in multiple regulatory cases before </w:t>
      </w:r>
      <w:r>
        <w:rPr>
          <w:bCs/>
        </w:rPr>
        <w:t>the PUCO</w:t>
      </w:r>
      <w:r w:rsidR="00A301EF">
        <w:rPr>
          <w:bCs/>
        </w:rPr>
        <w:t>,</w:t>
      </w:r>
      <w:r w:rsidR="002A35D4">
        <w:rPr>
          <w:bCs/>
        </w:rPr>
        <w:t xml:space="preserve"> </w:t>
      </w:r>
      <w:r>
        <w:rPr>
          <w:bCs/>
        </w:rPr>
        <w:t>Ohio Power Siting Board (</w:t>
      </w:r>
      <w:r w:rsidR="001F2510">
        <w:rPr>
          <w:bCs/>
        </w:rPr>
        <w:t>“</w:t>
      </w:r>
      <w:r>
        <w:rPr>
          <w:bCs/>
        </w:rPr>
        <w:t>OPSB</w:t>
      </w:r>
      <w:r w:rsidR="001F2510">
        <w:rPr>
          <w:bCs/>
        </w:rPr>
        <w:t>”</w:t>
      </w:r>
      <w:r>
        <w:rPr>
          <w:bCs/>
        </w:rPr>
        <w:t>)</w:t>
      </w:r>
      <w:r w:rsidR="002A35D4">
        <w:rPr>
          <w:bCs/>
        </w:rPr>
        <w:t xml:space="preserve">, </w:t>
      </w:r>
      <w:r w:rsidR="00A301EF">
        <w:rPr>
          <w:bCs/>
        </w:rPr>
        <w:t>and</w:t>
      </w:r>
      <w:r w:rsidR="002A35D4">
        <w:rPr>
          <w:bCs/>
        </w:rPr>
        <w:t xml:space="preserve"> the Securities and Exchange Commission (</w:t>
      </w:r>
      <w:r w:rsidR="001F2510">
        <w:rPr>
          <w:bCs/>
        </w:rPr>
        <w:t>“</w:t>
      </w:r>
      <w:r w:rsidR="002A35D4">
        <w:rPr>
          <w:bCs/>
        </w:rPr>
        <w:t>SEC</w:t>
      </w:r>
      <w:r w:rsidR="001F2510">
        <w:rPr>
          <w:bCs/>
        </w:rPr>
        <w:t>”</w:t>
      </w:r>
      <w:r w:rsidR="002A35D4">
        <w:rPr>
          <w:bCs/>
        </w:rPr>
        <w:t>)</w:t>
      </w:r>
      <w:r w:rsidR="00D7227A">
        <w:rPr>
          <w:bCs/>
        </w:rPr>
        <w:t>,</w:t>
      </w:r>
      <w:r>
        <w:rPr>
          <w:bCs/>
        </w:rPr>
        <w:t xml:space="preserve"> </w:t>
      </w:r>
      <w:r w:rsidR="00AE11A2">
        <w:rPr>
          <w:bCs/>
        </w:rPr>
        <w:t xml:space="preserve">plus Duke’s own internal documents and actions </w:t>
      </w:r>
      <w:r w:rsidR="001F2510">
        <w:rPr>
          <w:bCs/>
        </w:rPr>
        <w:t>before</w:t>
      </w:r>
      <w:r w:rsidR="00AE11A2">
        <w:rPr>
          <w:bCs/>
        </w:rPr>
        <w:t xml:space="preserve"> and after the Central Corridor Pipeline </w:t>
      </w:r>
      <w:r w:rsidR="00952A3E">
        <w:rPr>
          <w:bCs/>
        </w:rPr>
        <w:t>went into service</w:t>
      </w:r>
      <w:r w:rsidR="00A301EF">
        <w:rPr>
          <w:bCs/>
        </w:rPr>
        <w:t>,</w:t>
      </w:r>
      <w:r w:rsidR="00952A3E">
        <w:rPr>
          <w:bCs/>
        </w:rPr>
        <w:t xml:space="preserve"> </w:t>
      </w:r>
      <w:r>
        <w:rPr>
          <w:bCs/>
        </w:rPr>
        <w:t>demonstrate this.</w:t>
      </w:r>
    </w:p>
    <w:p w:rsidR="002400E0" w:rsidRPr="00193233" w:rsidP="00452952" w14:paraId="1A4BEE23" w14:textId="4FF3EFB1">
      <w:pPr>
        <w:tabs>
          <w:tab w:val="left" w:pos="720"/>
          <w:tab w:val="left" w:pos="1440"/>
          <w:tab w:val="left" w:leader="dot" w:pos="8640"/>
        </w:tabs>
        <w:ind w:left="3600" w:hanging="720"/>
        <w:rPr>
          <w:b/>
        </w:rPr>
      </w:pPr>
      <w:bookmarkStart w:id="10" w:name="_Toc137825434"/>
      <w:r w:rsidRPr="00452952">
        <w:rPr>
          <w:rStyle w:val="Heading5Char"/>
        </w:rPr>
        <w:t>i</w:t>
      </w:r>
      <w:r w:rsidRPr="00452952" w:rsidR="00193233">
        <w:rPr>
          <w:rStyle w:val="Heading5Char"/>
        </w:rPr>
        <w:t>.</w:t>
      </w:r>
      <w:r w:rsidRPr="00452952" w:rsidR="00193233">
        <w:rPr>
          <w:rStyle w:val="Heading5Char"/>
        </w:rPr>
        <w:tab/>
      </w:r>
      <w:r w:rsidRPr="00452952">
        <w:rPr>
          <w:rStyle w:val="Heading5Char"/>
        </w:rPr>
        <w:t>Duke represents to the OPSB that the Central Corridor</w:t>
      </w:r>
      <w:bookmarkEnd w:id="10"/>
      <w:r w:rsidRPr="00193233">
        <w:rPr>
          <w:rStyle w:val="Heading4Char"/>
        </w:rPr>
        <w:t xml:space="preserve"> Pipeline’s purpose was to replace the propane caverns while maintaining safe and reliable service.</w:t>
      </w:r>
    </w:p>
    <w:p w:rsidR="002400E0" w:rsidRPr="002400E0" w:rsidP="00F6067A" w14:paraId="66DA6711" w14:textId="77777777">
      <w:pPr>
        <w:pStyle w:val="ListParagraph"/>
        <w:tabs>
          <w:tab w:val="left" w:pos="720"/>
          <w:tab w:val="left" w:pos="1440"/>
          <w:tab w:val="left" w:leader="dot" w:pos="8640"/>
        </w:tabs>
        <w:ind w:left="2160"/>
        <w:rPr>
          <w:bCs/>
        </w:rPr>
      </w:pPr>
    </w:p>
    <w:p w:rsidR="00ED19B9" w:rsidRPr="00A843DE" w:rsidP="00ED19B9" w14:paraId="38F65995" w14:textId="67114129">
      <w:pPr>
        <w:tabs>
          <w:tab w:val="left" w:pos="720"/>
          <w:tab w:val="left" w:pos="1440"/>
          <w:tab w:val="left" w:leader="dot" w:pos="8640"/>
        </w:tabs>
        <w:spacing w:line="480" w:lineRule="auto"/>
        <w:rPr>
          <w:bCs/>
        </w:rPr>
      </w:pPr>
      <w:r>
        <w:rPr>
          <w:bCs/>
        </w:rPr>
        <w:tab/>
      </w:r>
      <w:r w:rsidR="00A301EF">
        <w:rPr>
          <w:bCs/>
        </w:rPr>
        <w:t>W</w:t>
      </w:r>
      <w:r>
        <w:rPr>
          <w:bCs/>
        </w:rPr>
        <w:t>hen</w:t>
      </w:r>
      <w:r w:rsidRPr="00ED19B9">
        <w:rPr>
          <w:bCs/>
        </w:rPr>
        <w:t xml:space="preserve"> </w:t>
      </w:r>
      <w:r w:rsidRPr="00A843DE">
        <w:rPr>
          <w:bCs/>
        </w:rPr>
        <w:t xml:space="preserve">Duke sought authority to build the Central Corridor Pipeline </w:t>
      </w:r>
      <w:r>
        <w:rPr>
          <w:bCs/>
        </w:rPr>
        <w:t xml:space="preserve">in </w:t>
      </w:r>
      <w:r w:rsidRPr="00A843DE">
        <w:rPr>
          <w:bCs/>
        </w:rPr>
        <w:t>Case No. 16-0253-GA-BTX</w:t>
      </w:r>
      <w:r>
        <w:rPr>
          <w:bCs/>
        </w:rPr>
        <w:t xml:space="preserve">, it made clear the purpose of the project was to replace the propane caverns. </w:t>
      </w:r>
      <w:r w:rsidRPr="00A843DE">
        <w:rPr>
          <w:bCs/>
        </w:rPr>
        <w:t xml:space="preserve">Duke </w:t>
      </w:r>
      <w:r>
        <w:rPr>
          <w:bCs/>
        </w:rPr>
        <w:t>stated:</w:t>
      </w:r>
    </w:p>
    <w:p w:rsidR="00ED19B9" w:rsidP="00ED19B9" w14:paraId="5DD7898F" w14:textId="54AB34F3">
      <w:pPr>
        <w:tabs>
          <w:tab w:val="left" w:pos="1440"/>
          <w:tab w:val="left" w:leader="dot" w:pos="8640"/>
        </w:tabs>
        <w:ind w:left="720"/>
        <w:rPr>
          <w:bCs/>
        </w:rPr>
      </w:pPr>
      <w:r w:rsidRPr="00A843DE">
        <w:rPr>
          <w:bCs/>
        </w:rPr>
        <w:t>The Project is intended to allow for the retirement of the propane-air facilities that are based on old technology that is expensive to maintain and impractical to repair in a permanent fashion. It will also contribute to the improvement of the north/south balance of gas in the central Hamilton County area and will support the replacement of aging infrastructure.</w:t>
      </w:r>
      <w:r>
        <w:rPr>
          <w:bCs/>
          <w:vertAlign w:val="superscript"/>
        </w:rPr>
        <w:footnoteReference w:id="33"/>
      </w:r>
    </w:p>
    <w:p w:rsidR="00ED19B9" w:rsidP="00ED19B9" w14:paraId="30C52A63" w14:textId="77777777">
      <w:pPr>
        <w:tabs>
          <w:tab w:val="left" w:pos="1440"/>
          <w:tab w:val="left" w:leader="dot" w:pos="8640"/>
        </w:tabs>
        <w:rPr>
          <w:bCs/>
        </w:rPr>
      </w:pPr>
    </w:p>
    <w:p w:rsidR="00544C9F" w:rsidP="00ED19B9" w14:paraId="41117338" w14:textId="296483F3">
      <w:pPr>
        <w:tabs>
          <w:tab w:val="left" w:pos="1440"/>
          <w:tab w:val="left" w:leader="dot" w:pos="8640"/>
        </w:tabs>
        <w:spacing w:line="480" w:lineRule="auto"/>
        <w:ind w:firstLine="720"/>
        <w:rPr>
          <w:bCs/>
        </w:rPr>
      </w:pPr>
      <w:r>
        <w:rPr>
          <w:bCs/>
        </w:rPr>
        <w:t xml:space="preserve">The </w:t>
      </w:r>
      <w:r w:rsidRPr="00A843DE">
        <w:rPr>
          <w:bCs/>
        </w:rPr>
        <w:t xml:space="preserve">OPSB </w:t>
      </w:r>
      <w:r w:rsidR="00037630">
        <w:rPr>
          <w:bCs/>
        </w:rPr>
        <w:t>agreed</w:t>
      </w:r>
      <w:r w:rsidRPr="00A843DE" w:rsidR="00037630">
        <w:rPr>
          <w:bCs/>
        </w:rPr>
        <w:t xml:space="preserve"> </w:t>
      </w:r>
      <w:r w:rsidR="00037630">
        <w:rPr>
          <w:bCs/>
        </w:rPr>
        <w:t>with Duke’s representation</w:t>
      </w:r>
      <w:r w:rsidR="00722394">
        <w:rPr>
          <w:bCs/>
        </w:rPr>
        <w:t>. It</w:t>
      </w:r>
      <w:r w:rsidR="00037630">
        <w:rPr>
          <w:bCs/>
        </w:rPr>
        <w:t xml:space="preserve"> stat</w:t>
      </w:r>
      <w:r w:rsidR="00722394">
        <w:rPr>
          <w:bCs/>
        </w:rPr>
        <w:t>ed</w:t>
      </w:r>
      <w:r w:rsidR="00037630">
        <w:rPr>
          <w:bCs/>
        </w:rPr>
        <w:t xml:space="preserve"> </w:t>
      </w:r>
      <w:r w:rsidR="00293804">
        <w:rPr>
          <w:bCs/>
        </w:rPr>
        <w:t xml:space="preserve">that </w:t>
      </w:r>
      <w:r w:rsidRPr="00A843DE">
        <w:rPr>
          <w:bCs/>
        </w:rPr>
        <w:t xml:space="preserve">“the need for the Project [Central Corridor Pipeline] has been demonstrated </w:t>
      </w:r>
      <w:r w:rsidRPr="00F6067A">
        <w:rPr>
          <w:bCs/>
          <w:i/>
          <w:iCs/>
        </w:rPr>
        <w:t>based on the need to retire the aged and outdated propane-air facilities.</w:t>
      </w:r>
      <w:r w:rsidRPr="00A843DE">
        <w:rPr>
          <w:bCs/>
        </w:rPr>
        <w:t>”</w:t>
      </w:r>
      <w:r>
        <w:rPr>
          <w:bCs/>
          <w:vertAlign w:val="superscript"/>
        </w:rPr>
        <w:footnoteReference w:id="34"/>
      </w:r>
      <w:r w:rsidRPr="00A843DE">
        <w:rPr>
          <w:bCs/>
        </w:rPr>
        <w:t xml:space="preserve"> </w:t>
      </w:r>
    </w:p>
    <w:p w:rsidR="00ED19B9" w:rsidP="00ED19B9" w14:paraId="6C9A76B5" w14:textId="2CE0A472">
      <w:pPr>
        <w:tabs>
          <w:tab w:val="left" w:pos="1440"/>
          <w:tab w:val="left" w:leader="dot" w:pos="8640"/>
        </w:tabs>
        <w:spacing w:line="480" w:lineRule="auto"/>
        <w:ind w:firstLine="720"/>
        <w:rPr>
          <w:bCs/>
        </w:rPr>
      </w:pPr>
      <w:r>
        <w:rPr>
          <w:bCs/>
        </w:rPr>
        <w:t>The</w:t>
      </w:r>
      <w:r w:rsidRPr="00A843DE">
        <w:rPr>
          <w:bCs/>
        </w:rPr>
        <w:t xml:space="preserve"> OPSB noted “that the additional gas supply from the north and added pressure from the central corridor facilities will enable Duke to maintain service to customers on peak days and more effectively balance the overall system at all times, </w:t>
      </w:r>
      <w:r w:rsidRPr="00A843DE">
        <w:rPr>
          <w:bCs/>
          <w:i/>
          <w:iCs/>
        </w:rPr>
        <w:t>while obviating the need for the continued operation of the propane storage caverns.</w:t>
      </w:r>
      <w:r w:rsidRPr="00A843DE">
        <w:rPr>
          <w:bCs/>
        </w:rPr>
        <w:t>”</w:t>
      </w:r>
      <w:r>
        <w:rPr>
          <w:bCs/>
          <w:vertAlign w:val="superscript"/>
        </w:rPr>
        <w:footnoteReference w:id="35"/>
      </w:r>
      <w:r w:rsidRPr="00A843DE">
        <w:rPr>
          <w:bCs/>
        </w:rPr>
        <w:t xml:space="preserve"> </w:t>
      </w:r>
      <w:r>
        <w:rPr>
          <w:bCs/>
        </w:rPr>
        <w:t>Clearly, the</w:t>
      </w:r>
      <w:r w:rsidRPr="00A843DE">
        <w:rPr>
          <w:bCs/>
        </w:rPr>
        <w:t xml:space="preserve"> purpose of the Central Corridor Pipeline was to replace the propane caverns while maintaining safe and reliable service to consumers.</w:t>
      </w:r>
    </w:p>
    <w:p w:rsidR="002400E0" w:rsidRPr="00452952" w:rsidP="00452952" w14:paraId="229857BB" w14:textId="25CFDEAF">
      <w:pPr>
        <w:tabs>
          <w:tab w:val="left" w:pos="1440"/>
          <w:tab w:val="left" w:leader="dot" w:pos="8640"/>
        </w:tabs>
        <w:ind w:left="3600" w:hanging="720"/>
        <w:rPr>
          <w:b/>
        </w:rPr>
      </w:pPr>
      <w:bookmarkStart w:id="11" w:name="_Toc137825435"/>
      <w:r w:rsidRPr="00452952">
        <w:rPr>
          <w:rStyle w:val="Heading5Char"/>
        </w:rPr>
        <w:t>i</w:t>
      </w:r>
      <w:r>
        <w:rPr>
          <w:rStyle w:val="Heading5Char"/>
        </w:rPr>
        <w:t>i.</w:t>
      </w:r>
      <w:r>
        <w:rPr>
          <w:rStyle w:val="Heading5Char"/>
        </w:rPr>
        <w:tab/>
      </w:r>
      <w:r w:rsidRPr="00452952">
        <w:rPr>
          <w:rStyle w:val="Heading5Char"/>
        </w:rPr>
        <w:t>Duke represents to the PUCO in its deferral case that the propane</w:t>
      </w:r>
      <w:bookmarkEnd w:id="11"/>
      <w:r w:rsidRPr="00452952">
        <w:rPr>
          <w:b/>
        </w:rPr>
        <w:t xml:space="preserve"> caverns were not used and useful due to the Central Corridor Pipeline.</w:t>
      </w:r>
    </w:p>
    <w:p w:rsidR="00ED19B9" w:rsidP="00ED19B9" w14:paraId="6E43AB19" w14:textId="6F0568C7">
      <w:pPr>
        <w:tabs>
          <w:tab w:val="left" w:pos="1440"/>
          <w:tab w:val="left" w:leader="dot" w:pos="8640"/>
        </w:tabs>
        <w:spacing w:line="480" w:lineRule="auto"/>
        <w:ind w:firstLine="720"/>
        <w:rPr>
          <w:bCs/>
        </w:rPr>
      </w:pPr>
      <w:r>
        <w:rPr>
          <w:bCs/>
        </w:rPr>
        <w:t>Duke publicly represented that the Central Corridor Pipeline would make the propane caverns obsolete i</w:t>
      </w:r>
      <w:r w:rsidRPr="00A843DE">
        <w:rPr>
          <w:bCs/>
        </w:rPr>
        <w:t>n its application</w:t>
      </w:r>
      <w:r>
        <w:rPr>
          <w:bCs/>
        </w:rPr>
        <w:t xml:space="preserve"> </w:t>
      </w:r>
      <w:r w:rsidR="002A35D4">
        <w:rPr>
          <w:bCs/>
        </w:rPr>
        <w:t>to defer costs related to the caverns</w:t>
      </w:r>
      <w:r>
        <w:rPr>
          <w:bCs/>
        </w:rPr>
        <w:t>.</w:t>
      </w:r>
      <w:r>
        <w:rPr>
          <w:rStyle w:val="FootnoteReference"/>
          <w:bCs/>
        </w:rPr>
        <w:footnoteReference w:id="36"/>
      </w:r>
      <w:r w:rsidRPr="00A843DE">
        <w:rPr>
          <w:bCs/>
        </w:rPr>
        <w:t xml:space="preserve"> Duke affirmed that “[o]ne of the major purposes of the Central Corridor Pipeline is to enable the Company to retire the caverns and related propane-air peaking facilities, while maintaining safe and reliable service to customers.”</w:t>
      </w:r>
      <w:r>
        <w:rPr>
          <w:bCs/>
          <w:vertAlign w:val="superscript"/>
        </w:rPr>
        <w:footnoteReference w:id="37"/>
      </w:r>
      <w:r w:rsidRPr="00A843DE">
        <w:rPr>
          <w:bCs/>
        </w:rPr>
        <w:t xml:space="preserve"> In fact, Duke said that “[n]o customer of Duke Energy Ohio will be negatively impacted by the abandonment of the propane caverns and related propane-air facilities, as </w:t>
      </w:r>
      <w:r w:rsidRPr="00A843DE">
        <w:rPr>
          <w:bCs/>
          <w:i/>
          <w:iCs/>
        </w:rPr>
        <w:t>service during peak usage will be maintainable without such caverns and facilities as a result of the construction of the Central Corridor Pipeline</w:t>
      </w:r>
      <w:r w:rsidRPr="00A843DE">
        <w:rPr>
          <w:bCs/>
        </w:rPr>
        <w:t>.”</w:t>
      </w:r>
      <w:r>
        <w:rPr>
          <w:bCs/>
          <w:vertAlign w:val="superscript"/>
        </w:rPr>
        <w:footnoteReference w:id="38"/>
      </w:r>
      <w:r w:rsidRPr="00A843DE">
        <w:rPr>
          <w:bCs/>
        </w:rPr>
        <w:t xml:space="preserve"> </w:t>
      </w:r>
      <w:r w:rsidR="00675B00">
        <w:rPr>
          <w:bCs/>
        </w:rPr>
        <w:t xml:space="preserve">This demonstrates that the Central Corridor Pipeline eliminated the need for the propane caverns, rendering them not used and useful after the Pipeline began commercial operation. </w:t>
      </w:r>
    </w:p>
    <w:p w:rsidR="008A1A71" w:rsidP="00ED19B9" w14:paraId="2F77E6E2" w14:textId="307B5B4E">
      <w:pPr>
        <w:tabs>
          <w:tab w:val="left" w:pos="1440"/>
          <w:tab w:val="left" w:leader="dot" w:pos="8640"/>
        </w:tabs>
        <w:spacing w:line="480" w:lineRule="auto"/>
        <w:ind w:firstLine="720"/>
        <w:rPr>
          <w:bCs/>
        </w:rPr>
      </w:pPr>
      <w:r>
        <w:rPr>
          <w:bCs/>
        </w:rPr>
        <w:t>Indeed, the PUCO Staff earlier got it right for giving Cincinnati-area consumers the benefit of regulation that is supposed to serve the public interest.</w:t>
      </w:r>
      <w:r w:rsidR="00F6067A">
        <w:rPr>
          <w:bCs/>
        </w:rPr>
        <w:t xml:space="preserve"> </w:t>
      </w:r>
      <w:r>
        <w:rPr>
          <w:bCs/>
        </w:rPr>
        <w:t xml:space="preserve">In contrast with the Settlement in this rate case, </w:t>
      </w:r>
      <w:r w:rsidRPr="00A843DE" w:rsidR="00ED19B9">
        <w:rPr>
          <w:bCs/>
        </w:rPr>
        <w:t xml:space="preserve">the PUCO Staff </w:t>
      </w:r>
      <w:r>
        <w:rPr>
          <w:bCs/>
        </w:rPr>
        <w:t xml:space="preserve">initially </w:t>
      </w:r>
      <w:r w:rsidRPr="00A843DE" w:rsidR="00ED19B9">
        <w:rPr>
          <w:bCs/>
        </w:rPr>
        <w:t>recommended</w:t>
      </w:r>
      <w:r>
        <w:rPr>
          <w:bCs/>
        </w:rPr>
        <w:t xml:space="preserve"> (in Duke’s deferral case) </w:t>
      </w:r>
      <w:r w:rsidRPr="00A843DE" w:rsidR="00ED19B9">
        <w:rPr>
          <w:bCs/>
        </w:rPr>
        <w:t>“</w:t>
      </w:r>
      <w:r w:rsidRPr="00F6067A" w:rsidR="00ED19B9">
        <w:rPr>
          <w:bCs/>
          <w:i/>
          <w:iCs/>
        </w:rPr>
        <w:t>denial</w:t>
      </w:r>
      <w:r w:rsidRPr="00A843DE" w:rsidR="00ED19B9">
        <w:rPr>
          <w:bCs/>
        </w:rPr>
        <w:t xml:space="preserve"> of deferral authority for the NBV [net book value] of the remaining assets, which is primarily based on the fact this would amount to deferral of assets which are no longer used and useful.”</w:t>
      </w:r>
      <w:r>
        <w:rPr>
          <w:bCs/>
          <w:vertAlign w:val="superscript"/>
        </w:rPr>
        <w:footnoteReference w:id="39"/>
      </w:r>
      <w:r w:rsidRPr="00A843DE" w:rsidR="00ED19B9">
        <w:rPr>
          <w:bCs/>
        </w:rPr>
        <w:t xml:space="preserve"> </w:t>
      </w:r>
    </w:p>
    <w:p w:rsidR="00675B00" w:rsidP="00ED19B9" w14:paraId="2B68576C" w14:textId="433EB30D">
      <w:pPr>
        <w:tabs>
          <w:tab w:val="left" w:pos="1440"/>
          <w:tab w:val="left" w:leader="dot" w:pos="8640"/>
        </w:tabs>
        <w:spacing w:line="480" w:lineRule="auto"/>
        <w:ind w:firstLine="720"/>
        <w:rPr>
          <w:bCs/>
        </w:rPr>
      </w:pPr>
    </w:p>
    <w:p w:rsidR="00675B00" w:rsidP="00F16801" w14:paraId="130EA455" w14:textId="79238712">
      <w:pPr>
        <w:tabs>
          <w:tab w:val="left" w:pos="1440"/>
          <w:tab w:val="left" w:leader="dot" w:pos="8640"/>
        </w:tabs>
        <w:spacing w:line="480" w:lineRule="auto"/>
        <w:ind w:firstLine="720"/>
        <w:rPr>
          <w:bCs/>
        </w:rPr>
      </w:pPr>
      <w:r>
        <w:rPr>
          <w:bCs/>
        </w:rPr>
        <w:t>In support of the settlement in the deferral case</w:t>
      </w:r>
      <w:r w:rsidRPr="00A843DE">
        <w:rPr>
          <w:bCs/>
        </w:rPr>
        <w:t>, Duke filed the testimony of Ms. Sarah Lawler</w:t>
      </w:r>
      <w:r w:rsidR="008A1A71">
        <w:rPr>
          <w:bCs/>
        </w:rPr>
        <w:t>. She</w:t>
      </w:r>
      <w:r>
        <w:rPr>
          <w:bCs/>
        </w:rPr>
        <w:t xml:space="preserve"> reiterated </w:t>
      </w:r>
      <w:r w:rsidR="008A1A71">
        <w:rPr>
          <w:bCs/>
        </w:rPr>
        <w:t xml:space="preserve">and made clear </w:t>
      </w:r>
      <w:r>
        <w:rPr>
          <w:bCs/>
        </w:rPr>
        <w:t xml:space="preserve">Duke’s above points </w:t>
      </w:r>
      <w:r w:rsidR="008A1A71">
        <w:rPr>
          <w:bCs/>
        </w:rPr>
        <w:t xml:space="preserve">about replacing the caverns with the pipeline. </w:t>
      </w:r>
      <w:r>
        <w:rPr>
          <w:bCs/>
        </w:rPr>
        <w:t>Ms. Lawler</w:t>
      </w:r>
      <w:r w:rsidRPr="00A843DE">
        <w:rPr>
          <w:bCs/>
        </w:rPr>
        <w:t xml:space="preserve"> </w:t>
      </w:r>
      <w:r>
        <w:rPr>
          <w:bCs/>
        </w:rPr>
        <w:t>testified</w:t>
      </w:r>
      <w:r w:rsidRPr="00A843DE">
        <w:rPr>
          <w:bCs/>
        </w:rPr>
        <w:t xml:space="preserve"> that “[o]ne of the major purposes of the Central Corridor Pipeline is to enable the Company to </w:t>
      </w:r>
      <w:r w:rsidRPr="00F6067A">
        <w:rPr>
          <w:bCs/>
          <w:i/>
          <w:iCs/>
        </w:rPr>
        <w:t>retire</w:t>
      </w:r>
      <w:r w:rsidRPr="00A843DE">
        <w:rPr>
          <w:bCs/>
        </w:rPr>
        <w:t xml:space="preserve"> the caverns and propane-air peaking facilities, while maintaining safe and reliable service to customers. The Company has now completed construction of the CCP, officially placing it into service on March 14, 2022.”</w:t>
      </w:r>
      <w:r>
        <w:rPr>
          <w:bCs/>
          <w:vertAlign w:val="superscript"/>
        </w:rPr>
        <w:footnoteReference w:id="40"/>
      </w:r>
      <w:r w:rsidR="00F16801">
        <w:rPr>
          <w:bCs/>
        </w:rPr>
        <w:t xml:space="preserve"> This makes clear that the operation of the Pipeline, which in Duke’s own words obviated the need for the propane caverns, began </w:t>
      </w:r>
      <w:r w:rsidR="00A301EF">
        <w:rPr>
          <w:bCs/>
        </w:rPr>
        <w:t>before</w:t>
      </w:r>
      <w:r w:rsidR="00F16801">
        <w:rPr>
          <w:bCs/>
        </w:rPr>
        <w:t xml:space="preserve"> the March 31, 2022 date certain in this case.</w:t>
      </w:r>
      <w:r w:rsidR="000C24C4">
        <w:rPr>
          <w:bCs/>
        </w:rPr>
        <w:t xml:space="preserve"> </w:t>
      </w:r>
    </w:p>
    <w:p w:rsidR="002400E0" w:rsidRPr="00452952" w:rsidP="00452952" w14:paraId="596E461F" w14:textId="5E3B1C95">
      <w:pPr>
        <w:tabs>
          <w:tab w:val="left" w:pos="1440"/>
          <w:tab w:val="left" w:leader="dot" w:pos="8640"/>
        </w:tabs>
        <w:ind w:left="3600" w:hanging="720"/>
        <w:rPr>
          <w:b/>
        </w:rPr>
      </w:pPr>
      <w:bookmarkStart w:id="12" w:name="_Toc137825436"/>
      <w:r>
        <w:rPr>
          <w:rStyle w:val="Heading5Char"/>
        </w:rPr>
        <w:t>iii.</w:t>
      </w:r>
      <w:r>
        <w:rPr>
          <w:rStyle w:val="Heading5Char"/>
        </w:rPr>
        <w:tab/>
      </w:r>
      <w:r w:rsidRPr="00452952">
        <w:rPr>
          <w:rStyle w:val="Heading5Char"/>
        </w:rPr>
        <w:t>Duke represents</w:t>
      </w:r>
      <w:r w:rsidRPr="00452952" w:rsidR="000B2B13">
        <w:rPr>
          <w:rStyle w:val="Heading5Char"/>
        </w:rPr>
        <w:t xml:space="preserve"> (conceded)</w:t>
      </w:r>
      <w:r w:rsidRPr="00452952">
        <w:rPr>
          <w:rStyle w:val="Heading5Char"/>
        </w:rPr>
        <w:t xml:space="preserve"> to the public and the Securities</w:t>
      </w:r>
      <w:bookmarkEnd w:id="12"/>
      <w:r w:rsidRPr="00452952">
        <w:rPr>
          <w:b/>
        </w:rPr>
        <w:t xml:space="preserve"> and Exchange Commission that the propane caverns were not used and useful due to the Central Corridor Pipeline.</w:t>
      </w:r>
    </w:p>
    <w:p w:rsidR="00AF1541" w:rsidP="00AF1541" w14:paraId="4B938283" w14:textId="77777777">
      <w:pPr>
        <w:tabs>
          <w:tab w:val="left" w:pos="1440"/>
          <w:tab w:val="left" w:leader="dot" w:pos="8640"/>
        </w:tabs>
        <w:ind w:firstLine="720"/>
        <w:rPr>
          <w:bCs/>
        </w:rPr>
      </w:pPr>
    </w:p>
    <w:p w:rsidR="00CF520E" w:rsidP="00C2505C" w14:paraId="0D897A42" w14:textId="1C1CE10B">
      <w:pPr>
        <w:tabs>
          <w:tab w:val="left" w:pos="1440"/>
          <w:tab w:val="left" w:leader="dot" w:pos="8640"/>
        </w:tabs>
        <w:spacing w:line="480" w:lineRule="auto"/>
        <w:ind w:firstLine="720"/>
        <w:rPr>
          <w:bCs/>
        </w:rPr>
      </w:pPr>
      <w:r>
        <w:rPr>
          <w:bCs/>
        </w:rPr>
        <w:t>Duke</w:t>
      </w:r>
      <w:r w:rsidRPr="00A843DE" w:rsidR="00ED19B9">
        <w:rPr>
          <w:bCs/>
        </w:rPr>
        <w:t xml:space="preserve"> represented to the public and the Securities and Exchange Commission </w:t>
      </w:r>
      <w:r w:rsidRPr="00A843DE" w:rsidR="000C24C4">
        <w:rPr>
          <w:bCs/>
        </w:rPr>
        <w:t>that</w:t>
      </w:r>
      <w:r w:rsidR="000C24C4">
        <w:rPr>
          <w:bCs/>
        </w:rPr>
        <w:t xml:space="preserve"> it</w:t>
      </w:r>
      <w:r w:rsidRPr="00A843DE" w:rsidR="00ED19B9">
        <w:rPr>
          <w:bCs/>
        </w:rPr>
        <w:t xml:space="preserve"> </w:t>
      </w:r>
      <w:r w:rsidR="00A301EF">
        <w:rPr>
          <w:bCs/>
        </w:rPr>
        <w:t>“</w:t>
      </w:r>
      <w:r w:rsidRPr="00A843DE" w:rsidR="00ED19B9">
        <w:rPr>
          <w:bCs/>
        </w:rPr>
        <w:t xml:space="preserve">uses propane stored in caverns to meet peak demand during winter. </w:t>
      </w:r>
      <w:r w:rsidRPr="00A843DE" w:rsidR="00ED19B9">
        <w:rPr>
          <w:bCs/>
          <w:i/>
          <w:iCs/>
        </w:rPr>
        <w:t>Once the Central Corridor Project is complete, the propane peaking facilities will no longer be necessary</w:t>
      </w:r>
      <w:r w:rsidRPr="00A843DE" w:rsidR="00ED19B9">
        <w:rPr>
          <w:bCs/>
        </w:rPr>
        <w:t xml:space="preserve"> and will be retired.</w:t>
      </w:r>
      <w:r>
        <w:rPr>
          <w:bCs/>
        </w:rPr>
        <w:t>”</w:t>
      </w:r>
      <w:r>
        <w:rPr>
          <w:bCs/>
          <w:vertAlign w:val="superscript"/>
        </w:rPr>
        <w:footnoteReference w:id="41"/>
      </w:r>
      <w:r w:rsidRPr="00A843DE" w:rsidR="00ED19B9">
        <w:rPr>
          <w:bCs/>
        </w:rPr>
        <w:t xml:space="preserve"> </w:t>
      </w:r>
      <w:r>
        <w:rPr>
          <w:bCs/>
        </w:rPr>
        <w:t>In Duke’s own words, when the Central Corridor Pipeline began commercial operation, the propane caverns would no longer be necessary.</w:t>
      </w:r>
      <w:r w:rsidRPr="00A301EF" w:rsidR="00A301EF">
        <w:rPr>
          <w:bCs/>
        </w:rPr>
        <w:t xml:space="preserve"> </w:t>
      </w:r>
      <w:r w:rsidR="00A301EF">
        <w:rPr>
          <w:bCs/>
        </w:rPr>
        <w:t>As simply put by OCC witness Adkins during cross examination at the evidentiary hearing, “no longer necessary means no longer useful.”</w:t>
      </w:r>
      <w:r>
        <w:rPr>
          <w:rStyle w:val="FootnoteReference"/>
          <w:bCs/>
        </w:rPr>
        <w:footnoteReference w:id="42"/>
      </w:r>
    </w:p>
    <w:p w:rsidR="00CF520E" w14:paraId="1AF21580" w14:textId="77777777">
      <w:pPr>
        <w:rPr>
          <w:bCs/>
        </w:rPr>
      </w:pPr>
      <w:r>
        <w:rPr>
          <w:bCs/>
        </w:rPr>
        <w:br w:type="page"/>
      </w:r>
    </w:p>
    <w:p w:rsidR="002400E0" w:rsidRPr="00452952" w:rsidP="00452952" w14:paraId="5928BD2C" w14:textId="658FFCE5">
      <w:pPr>
        <w:tabs>
          <w:tab w:val="left" w:pos="1440"/>
          <w:tab w:val="left" w:leader="dot" w:pos="8640"/>
        </w:tabs>
        <w:ind w:left="3600" w:hanging="720"/>
        <w:rPr>
          <w:b/>
        </w:rPr>
      </w:pPr>
      <w:bookmarkStart w:id="13" w:name="_Toc137825437"/>
      <w:r>
        <w:rPr>
          <w:rStyle w:val="Heading5Char"/>
        </w:rPr>
        <w:t>iv.</w:t>
      </w:r>
      <w:r>
        <w:rPr>
          <w:rStyle w:val="Heading5Char"/>
        </w:rPr>
        <w:tab/>
      </w:r>
      <w:r w:rsidRPr="00452952">
        <w:rPr>
          <w:rStyle w:val="Heading5Char"/>
        </w:rPr>
        <w:t xml:space="preserve">Duke </w:t>
      </w:r>
      <w:r w:rsidRPr="00BD20D9">
        <w:rPr>
          <w:rStyle w:val="Heading5Char"/>
        </w:rPr>
        <w:t>represented</w:t>
      </w:r>
      <w:r w:rsidRPr="00BD20D9" w:rsidR="00E82E07">
        <w:rPr>
          <w:rStyle w:val="Heading5Char"/>
        </w:rPr>
        <w:t xml:space="preserve"> (conceded)</w:t>
      </w:r>
      <w:r w:rsidRPr="00BD20D9">
        <w:rPr>
          <w:rStyle w:val="Heading5Char"/>
        </w:rPr>
        <w:t xml:space="preserve"> to the PUCO in this case that the propane caverns were not used and useful due to the Central Corridor Pipeline.</w:t>
      </w:r>
      <w:bookmarkEnd w:id="13"/>
    </w:p>
    <w:p w:rsidR="001F75E6" w:rsidRPr="002400E0" w:rsidP="00F6067A" w14:paraId="54B8608B" w14:textId="77777777">
      <w:pPr>
        <w:pStyle w:val="ListParagraph"/>
        <w:tabs>
          <w:tab w:val="left" w:pos="1440"/>
          <w:tab w:val="left" w:leader="dot" w:pos="8640"/>
        </w:tabs>
        <w:ind w:left="2160"/>
        <w:rPr>
          <w:bCs/>
        </w:rPr>
      </w:pPr>
    </w:p>
    <w:p w:rsidR="00851A35" w:rsidP="00F16801" w14:paraId="13B41340" w14:textId="15122D0A">
      <w:pPr>
        <w:tabs>
          <w:tab w:val="left" w:pos="1440"/>
          <w:tab w:val="left" w:leader="dot" w:pos="8640"/>
        </w:tabs>
        <w:spacing w:line="480" w:lineRule="auto"/>
        <w:ind w:firstLine="720"/>
        <w:rPr>
          <w:bCs/>
        </w:rPr>
      </w:pPr>
      <w:r>
        <w:rPr>
          <w:bCs/>
        </w:rPr>
        <w:t>In</w:t>
      </w:r>
      <w:r w:rsidRPr="00A843DE" w:rsidR="00ED19B9">
        <w:rPr>
          <w:bCs/>
        </w:rPr>
        <w:t xml:space="preserve"> support of its application</w:t>
      </w:r>
      <w:r w:rsidR="00F16801">
        <w:rPr>
          <w:bCs/>
        </w:rPr>
        <w:t xml:space="preserve"> in this case</w:t>
      </w:r>
      <w:r w:rsidRPr="00A843DE" w:rsidR="00ED19B9">
        <w:rPr>
          <w:bCs/>
        </w:rPr>
        <w:t>, Duke filed the direct testimony of Brian R. Weisker.</w:t>
      </w:r>
      <w:r>
        <w:rPr>
          <w:bCs/>
          <w:vertAlign w:val="superscript"/>
        </w:rPr>
        <w:footnoteReference w:id="43"/>
      </w:r>
      <w:r w:rsidRPr="00A843DE" w:rsidR="00ED19B9">
        <w:rPr>
          <w:bCs/>
        </w:rPr>
        <w:t xml:space="preserve"> Mr. Weisker </w:t>
      </w:r>
      <w:r w:rsidR="00F16801">
        <w:rPr>
          <w:bCs/>
        </w:rPr>
        <w:t>reiterated Duke’s above points about the Central Corridor Pipeline.</w:t>
      </w:r>
      <w:r w:rsidRPr="00A843DE" w:rsidR="00ED19B9">
        <w:rPr>
          <w:bCs/>
        </w:rPr>
        <w:t xml:space="preserve"> </w:t>
      </w:r>
      <w:r w:rsidR="00F16801">
        <w:rPr>
          <w:bCs/>
        </w:rPr>
        <w:t xml:space="preserve">Mr. Weisker’s testimony further demonstrates that completion of the </w:t>
      </w:r>
      <w:r w:rsidR="00D51634">
        <w:rPr>
          <w:bCs/>
        </w:rPr>
        <w:t>P</w:t>
      </w:r>
      <w:r w:rsidR="00F16801">
        <w:rPr>
          <w:bCs/>
        </w:rPr>
        <w:t>ipeline eliminated the need for the propane caverns, testifying</w:t>
      </w:r>
      <w:r w:rsidRPr="00A843DE" w:rsidR="00ED19B9">
        <w:rPr>
          <w:bCs/>
        </w:rPr>
        <w:t xml:space="preserve"> </w:t>
      </w:r>
      <w:r w:rsidR="00F16801">
        <w:rPr>
          <w:bCs/>
        </w:rPr>
        <w:t>that</w:t>
      </w:r>
      <w:r w:rsidRPr="00A843DE" w:rsidR="00ED19B9">
        <w:rPr>
          <w:bCs/>
        </w:rPr>
        <w:t xml:space="preserve"> “one of the major drivers of the Central Corridor Pipeline was to enable the Company to retire the East Works caverns and propane-air peaking facilities, while maintaining safe and reliable service to customers.</w:t>
      </w:r>
      <w:r w:rsidR="00F16801">
        <w:rPr>
          <w:bCs/>
        </w:rPr>
        <w:t>”</w:t>
      </w:r>
      <w:r>
        <w:rPr>
          <w:rStyle w:val="FootnoteReference"/>
          <w:bCs/>
        </w:rPr>
        <w:footnoteReference w:id="44"/>
      </w:r>
      <w:r w:rsidR="00F16801">
        <w:rPr>
          <w:bCs/>
        </w:rPr>
        <w:t xml:space="preserve"> Mr. Weisker also clarified the timing regarding operation of Central Corridor Pipeline, stating “</w:t>
      </w:r>
      <w:r w:rsidR="00D51634">
        <w:rPr>
          <w:bCs/>
        </w:rPr>
        <w:t>[t]</w:t>
      </w:r>
      <w:r w:rsidRPr="00A843DE" w:rsidR="00ED19B9">
        <w:rPr>
          <w:bCs/>
        </w:rPr>
        <w:t>he Company has now completed construction of the Central Corridor Pipeline, officially placing it into service on March 14, 2022.”</w:t>
      </w:r>
      <w:r>
        <w:rPr>
          <w:bCs/>
          <w:vertAlign w:val="superscript"/>
        </w:rPr>
        <w:footnoteReference w:id="45"/>
      </w:r>
      <w:r w:rsidRPr="00A843DE" w:rsidR="00ED19B9">
        <w:rPr>
          <w:bCs/>
        </w:rPr>
        <w:t xml:space="preserve"> Mr. Weisker </w:t>
      </w:r>
      <w:r w:rsidR="00F16801">
        <w:rPr>
          <w:bCs/>
        </w:rPr>
        <w:t xml:space="preserve">then </w:t>
      </w:r>
      <w:r w:rsidRPr="00A843DE" w:rsidR="00ED19B9">
        <w:rPr>
          <w:bCs/>
        </w:rPr>
        <w:t>confirmed that the propane caverns “remained in service until the completion of the Central Corridor Pipeline[]”</w:t>
      </w:r>
      <w:r>
        <w:rPr>
          <w:bCs/>
          <w:vertAlign w:val="superscript"/>
        </w:rPr>
        <w:footnoteReference w:id="46"/>
      </w:r>
      <w:r w:rsidRPr="00A843DE" w:rsidR="00F16801">
        <w:rPr>
          <w:bCs/>
        </w:rPr>
        <w:t>– March 14, 2022</w:t>
      </w:r>
      <w:r w:rsidR="00D51634">
        <w:rPr>
          <w:bCs/>
        </w:rPr>
        <w:t>. The propane caverns were</w:t>
      </w:r>
      <w:r w:rsidRPr="00A843DE" w:rsidR="00F16801">
        <w:rPr>
          <w:bCs/>
        </w:rPr>
        <w:t xml:space="preserve"> </w:t>
      </w:r>
      <w:r w:rsidR="0014343B">
        <w:rPr>
          <w:bCs/>
        </w:rPr>
        <w:t xml:space="preserve">not used and useful </w:t>
      </w:r>
      <w:r w:rsidRPr="00A843DE" w:rsidR="00F16801">
        <w:rPr>
          <w:bCs/>
        </w:rPr>
        <w:t>two weeks before the date certain in this case</w:t>
      </w:r>
      <w:r w:rsidR="00F16801">
        <w:rPr>
          <w:bCs/>
        </w:rPr>
        <w:t>.</w:t>
      </w:r>
    </w:p>
    <w:p w:rsidR="00CF520E" w:rsidP="00F16801" w14:paraId="36B08A3E" w14:textId="05512155">
      <w:pPr>
        <w:tabs>
          <w:tab w:val="left" w:pos="1440"/>
          <w:tab w:val="left" w:leader="dot" w:pos="8640"/>
        </w:tabs>
        <w:spacing w:line="480" w:lineRule="auto"/>
        <w:ind w:firstLine="720"/>
      </w:pPr>
      <w:r>
        <w:t xml:space="preserve">Significantly, </w:t>
      </w:r>
      <w:r w:rsidRPr="005202AB">
        <w:t>Duke did not</w:t>
      </w:r>
      <w:r>
        <w:t xml:space="preserve"> </w:t>
      </w:r>
      <w:r w:rsidRPr="005202AB">
        <w:t>include the propane facilities in the proposed rate base in this case</w:t>
      </w:r>
      <w:r>
        <w:t xml:space="preserve"> (when it previously had been)</w:t>
      </w:r>
      <w:r w:rsidRPr="005202AB">
        <w:t>.</w:t>
      </w:r>
      <w:r>
        <w:rPr>
          <w:rStyle w:val="FootnoteReference"/>
        </w:rPr>
        <w:footnoteReference w:id="47"/>
      </w:r>
      <w:r>
        <w:t xml:space="preserve"> This confirms that Duke itself did not consider the propane facilities a “used and useful” asset when it filed its application in this case. </w:t>
      </w:r>
    </w:p>
    <w:p w:rsidR="00CF520E" w14:paraId="147866B0" w14:textId="77777777">
      <w:r>
        <w:br w:type="page"/>
      </w:r>
    </w:p>
    <w:p w:rsidR="001F75E6" w:rsidRPr="00D41818" w:rsidP="00D41818" w14:paraId="6D6E0BC3" w14:textId="1D2EB63C">
      <w:pPr>
        <w:tabs>
          <w:tab w:val="left" w:pos="1440"/>
          <w:tab w:val="left" w:leader="dot" w:pos="8640"/>
        </w:tabs>
        <w:ind w:left="3600" w:hanging="720"/>
        <w:rPr>
          <w:b/>
        </w:rPr>
      </w:pPr>
      <w:bookmarkStart w:id="14" w:name="_Toc137825438"/>
      <w:r w:rsidRPr="00BD20D9">
        <w:rPr>
          <w:rStyle w:val="Heading5Char"/>
        </w:rPr>
        <w:t>v.</w:t>
      </w:r>
      <w:r w:rsidRPr="00BD20D9">
        <w:rPr>
          <w:rStyle w:val="Heading5Char"/>
        </w:rPr>
        <w:tab/>
        <w:t>Duke represented to the public and the OPSB that the Central Corridor Pipeline went into commercial operation before the date certain in this case, confirming that the propane caverns were not used and useful.</w:t>
      </w:r>
      <w:bookmarkEnd w:id="14"/>
    </w:p>
    <w:p w:rsidR="001F75E6" w:rsidRPr="001F75E6" w:rsidP="00F6067A" w14:paraId="6A7248E5" w14:textId="77777777">
      <w:pPr>
        <w:pStyle w:val="ListParagraph"/>
        <w:tabs>
          <w:tab w:val="left" w:pos="1440"/>
          <w:tab w:val="left" w:leader="dot" w:pos="8640"/>
        </w:tabs>
        <w:ind w:left="2160"/>
        <w:rPr>
          <w:bCs/>
        </w:rPr>
      </w:pPr>
    </w:p>
    <w:p w:rsidR="00D51634" w:rsidP="0014343B" w14:paraId="63EC1FAF" w14:textId="262A09B5">
      <w:pPr>
        <w:tabs>
          <w:tab w:val="left" w:pos="1440"/>
          <w:tab w:val="left" w:leader="dot" w:pos="8640"/>
        </w:tabs>
        <w:spacing w:line="480" w:lineRule="auto"/>
        <w:ind w:firstLine="720"/>
        <w:rPr>
          <w:color w:val="333333"/>
          <w:shd w:val="clear" w:color="auto" w:fill="FFFFFF"/>
        </w:rPr>
      </w:pPr>
      <w:r>
        <w:t>A</w:t>
      </w:r>
      <w:r w:rsidR="0014343B">
        <w:t xml:space="preserve"> letter</w:t>
      </w:r>
      <w:r w:rsidRPr="00A843DE" w:rsidR="0014343B">
        <w:t xml:space="preserve"> Duke filed in </w:t>
      </w:r>
      <w:r w:rsidR="0014343B">
        <w:t xml:space="preserve">16-253-GA-BTX, </w:t>
      </w:r>
      <w:r w:rsidRPr="00A843DE" w:rsidR="0014343B">
        <w:t>the case where the Central Corridor Pipeline was approved</w:t>
      </w:r>
      <w:r w:rsidR="0014343B">
        <w:t xml:space="preserve">, </w:t>
      </w:r>
      <w:r w:rsidR="002A35D4">
        <w:t xml:space="preserve">demonstrates the propane caverns were no longer used and useful </w:t>
      </w:r>
      <w:r>
        <w:t>before</w:t>
      </w:r>
      <w:r w:rsidR="002A35D4">
        <w:t xml:space="preserve"> this case’s date certain.</w:t>
      </w:r>
      <w:r w:rsidRPr="00A843DE" w:rsidR="0014343B">
        <w:t xml:space="preserve"> </w:t>
      </w:r>
      <w:r w:rsidR="002A35D4">
        <w:t xml:space="preserve">The letter </w:t>
      </w:r>
      <w:r>
        <w:t>gives public notice</w:t>
      </w:r>
      <w:r w:rsidRPr="00A843DE">
        <w:t xml:space="preserve"> </w:t>
      </w:r>
      <w:r w:rsidRPr="00A843DE" w:rsidR="0014343B">
        <w:t>that the Central Corridor Pipeline “began commercial operation on March 14, 2022.”</w:t>
      </w:r>
      <w:r>
        <w:rPr>
          <w:vertAlign w:val="superscript"/>
        </w:rPr>
        <w:footnoteReference w:id="48"/>
      </w:r>
      <w:r w:rsidRPr="00A843DE" w:rsidR="0014343B">
        <w:rPr>
          <w:b/>
          <w:bCs/>
        </w:rPr>
        <w:t xml:space="preserve"> </w:t>
      </w:r>
      <w:r w:rsidR="0014343B">
        <w:t xml:space="preserve">“Commercial operation” occurs when </w:t>
      </w:r>
      <w:r w:rsidRPr="00A843DE" w:rsidR="0014343B">
        <w:t>“</w:t>
      </w:r>
      <w:r w:rsidRPr="00A843DE" w:rsidR="0014343B">
        <w:rPr>
          <w:color w:val="333333"/>
          <w:shd w:val="clear" w:color="auto" w:fill="FFFFFF"/>
        </w:rPr>
        <w:t>gas is being transported through the pipeline in an attempt or offer to exchange the gas for money, barter, or anything of value.”</w:t>
      </w:r>
      <w:r>
        <w:rPr>
          <w:rStyle w:val="FootnoteReference"/>
          <w:color w:val="333333"/>
          <w:shd w:val="clear" w:color="auto" w:fill="FFFFFF"/>
        </w:rPr>
        <w:footnoteReference w:id="49"/>
      </w:r>
      <w:r w:rsidRPr="00A843DE" w:rsidR="0014343B">
        <w:rPr>
          <w:color w:val="333333"/>
          <w:shd w:val="clear" w:color="auto" w:fill="FFFFFF"/>
        </w:rPr>
        <w:t xml:space="preserve"> </w:t>
      </w:r>
    </w:p>
    <w:p w:rsidR="0014343B" w:rsidP="0014343B" w14:paraId="378A3732" w14:textId="680015A9">
      <w:pPr>
        <w:tabs>
          <w:tab w:val="left" w:pos="1440"/>
          <w:tab w:val="left" w:leader="dot" w:pos="8640"/>
        </w:tabs>
        <w:spacing w:line="480" w:lineRule="auto"/>
        <w:ind w:firstLine="720"/>
      </w:pPr>
      <w:r>
        <w:t xml:space="preserve">OCC witness Kerry Adkins summarized </w:t>
      </w:r>
      <w:r w:rsidR="002A35D4">
        <w:t>“commercial operation” as meaning “</w:t>
      </w:r>
      <w:r w:rsidRPr="00A843DE">
        <w:t>the facility at issue is ready to serve consumers for its intended use.</w:t>
      </w:r>
      <w:r w:rsidR="002A35D4">
        <w:t>”</w:t>
      </w:r>
      <w:r>
        <w:rPr>
          <w:rStyle w:val="FootnoteReference"/>
        </w:rPr>
        <w:footnoteReference w:id="50"/>
      </w:r>
      <w:r>
        <w:t xml:space="preserve"> Mr. </w:t>
      </w:r>
      <w:r w:rsidR="000C24C4">
        <w:t>Adkins explained</w:t>
      </w:r>
      <w:r w:rsidR="002A35D4">
        <w:t xml:space="preserve"> that </w:t>
      </w:r>
      <w:r>
        <w:t>“</w:t>
      </w:r>
      <w:r w:rsidR="00D51634">
        <w:t>[i]</w:t>
      </w:r>
      <w:r w:rsidRPr="00A843DE">
        <w:t>f Duke had any doubt about the Central Corridor Pipeline’s ability to serve consumers for its intended use, it could have (and no doubt would have) not filed the notification and instead have held off until any such doubts were resolved.</w:t>
      </w:r>
      <w:r>
        <w:t>”</w:t>
      </w:r>
      <w:r>
        <w:rPr>
          <w:rStyle w:val="FootnoteReference"/>
        </w:rPr>
        <w:footnoteReference w:id="51"/>
      </w:r>
      <w:r w:rsidR="002A35D4">
        <w:t xml:space="preserve"> This is because “</w:t>
      </w:r>
      <w:r w:rsidRPr="00A843DE" w:rsidR="002A35D4">
        <w:t>Duke had discretion when to notify the public and the PUCO that the Central Corridor Pipeline was in commercial operation.</w:t>
      </w:r>
      <w:r w:rsidR="002A35D4">
        <w:t>”</w:t>
      </w:r>
      <w:r>
        <w:rPr>
          <w:rStyle w:val="FootnoteReference"/>
        </w:rPr>
        <w:footnoteReference w:id="52"/>
      </w:r>
      <w:r w:rsidR="002A35D4">
        <w:t xml:space="preserve"> The letter demonstrates that the Central Corridor Pipeline was ready to serve its intended purpose on March 14, 2022. Thus, the propane caverns were not used and useful as of the March 31, 2022 date certain. </w:t>
      </w:r>
    </w:p>
    <w:p w:rsidR="002A35D4" w:rsidP="0014343B" w14:paraId="6E971B3A" w14:textId="18174AC1">
      <w:pPr>
        <w:tabs>
          <w:tab w:val="left" w:pos="1440"/>
          <w:tab w:val="left" w:leader="dot" w:pos="8640"/>
        </w:tabs>
        <w:spacing w:line="480" w:lineRule="auto"/>
        <w:ind w:firstLine="720"/>
      </w:pPr>
      <w:r>
        <w:t>All of Duke’s public representations – over a period of years – regarding the propane caverns demonstrate that the Central Corridor Pipeline would render them obsolete</w:t>
      </w:r>
      <w:r w:rsidR="00FF5F69">
        <w:t xml:space="preserve"> and no longer </w:t>
      </w:r>
      <w:r w:rsidR="00D51634">
        <w:t>used and useful</w:t>
      </w:r>
      <w:r w:rsidR="00FF5F69">
        <w:t xml:space="preserve"> for utility service</w:t>
      </w:r>
      <w:r>
        <w:t xml:space="preserve">. </w:t>
      </w:r>
      <w:r w:rsidR="007929D0">
        <w:t>This happened when the Pipeline</w:t>
      </w:r>
      <w:r>
        <w:t xml:space="preserve"> began commercial operation on March 14, 2022, meaning the propane caverns were no longer used and useful at the March 31, 2022 date certain in this case. For this reason, the PUCO should not permit Duke to charge consumers for deferred costs related to the propane caverns. </w:t>
      </w:r>
    </w:p>
    <w:p w:rsidR="00152A49" w:rsidRPr="00F32A1D" w:rsidP="00D41818" w14:paraId="09496565" w14:textId="170B5D00">
      <w:pPr>
        <w:pStyle w:val="Heading4"/>
      </w:pPr>
      <w:bookmarkStart w:id="15" w:name="_Toc137825439"/>
      <w:r>
        <w:rPr>
          <w:rStyle w:val="Heading4Char"/>
        </w:rPr>
        <w:t>b.</w:t>
      </w:r>
      <w:r>
        <w:rPr>
          <w:rStyle w:val="Heading4Char"/>
        </w:rPr>
        <w:tab/>
      </w:r>
      <w:r w:rsidRPr="00AF1541">
        <w:rPr>
          <w:rStyle w:val="Heading4Char"/>
        </w:rPr>
        <w:t>Duke’s deferral of propane cavern expenses does not guarantee it can collect those costs from consumers.</w:t>
      </w:r>
      <w:bookmarkEnd w:id="15"/>
    </w:p>
    <w:p w:rsidR="00E82E07" w:rsidP="00CF56F1" w14:paraId="6ECD2295" w14:textId="77777777">
      <w:pPr>
        <w:tabs>
          <w:tab w:val="left" w:pos="720"/>
          <w:tab w:val="left" w:pos="1440"/>
          <w:tab w:val="left" w:leader="dot" w:pos="8640"/>
        </w:tabs>
        <w:spacing w:line="480" w:lineRule="auto"/>
      </w:pPr>
      <w:r w:rsidRPr="003B2B02">
        <w:tab/>
      </w:r>
      <w:r w:rsidR="00F32A1D">
        <w:t xml:space="preserve">As just explained, Duke </w:t>
      </w:r>
      <w:r w:rsidR="00F32A1D">
        <w:rPr>
          <w:i/>
          <w:iCs/>
        </w:rPr>
        <w:t xml:space="preserve">must </w:t>
      </w:r>
      <w:r w:rsidR="00F32A1D">
        <w:t xml:space="preserve">show that the propane caverns were used and useful on the date certain. It has not and cannot do so. </w:t>
      </w:r>
    </w:p>
    <w:p w:rsidR="00E82E07" w:rsidP="00CF56F1" w14:paraId="1D585205" w14:textId="5BBCC89A">
      <w:pPr>
        <w:tabs>
          <w:tab w:val="left" w:pos="720"/>
          <w:tab w:val="left" w:pos="1440"/>
          <w:tab w:val="left" w:leader="dot" w:pos="8640"/>
        </w:tabs>
        <w:spacing w:line="480" w:lineRule="auto"/>
      </w:pPr>
      <w:r>
        <w:tab/>
      </w:r>
      <w:r w:rsidR="00F32A1D">
        <w:t xml:space="preserve">That </w:t>
      </w:r>
      <w:r>
        <w:t>Duke</w:t>
      </w:r>
      <w:r w:rsidR="00F32A1D">
        <w:t xml:space="preserve"> obtained a deferral of costs associated with the propane caverns is of no moment. </w:t>
      </w:r>
      <w:r w:rsidRPr="003B2B02" w:rsidR="0060078C">
        <w:t>Duke is</w:t>
      </w:r>
      <w:r w:rsidR="00F6067A">
        <w:t xml:space="preserve"> </w:t>
      </w:r>
      <w:r w:rsidRPr="003B2B02" w:rsidR="0060078C">
        <w:t xml:space="preserve">not entitled to charge consumers for costs related to the propane caverns just because it booked a deferral for these costs. </w:t>
      </w:r>
      <w:r w:rsidRPr="003B2B02" w:rsidR="00C233F5">
        <w:t>B</w:t>
      </w:r>
      <w:r w:rsidRPr="003B2B02" w:rsidR="00851A35">
        <w:t xml:space="preserve">ooking </w:t>
      </w:r>
      <w:r w:rsidRPr="003B2B02" w:rsidR="00CF56F1">
        <w:t>a deferral</w:t>
      </w:r>
      <w:r w:rsidRPr="003B2B02" w:rsidR="00851A35">
        <w:t xml:space="preserve"> </w:t>
      </w:r>
      <w:r w:rsidRPr="003B2B02" w:rsidR="00C233F5">
        <w:t>does not</w:t>
      </w:r>
      <w:r w:rsidRPr="003B2B02" w:rsidR="00851A35">
        <w:t xml:space="preserve"> </w:t>
      </w:r>
      <w:r w:rsidRPr="003B2B02" w:rsidR="00C233F5">
        <w:t>authorize</w:t>
      </w:r>
      <w:r w:rsidRPr="003B2B02" w:rsidR="00851A35">
        <w:t xml:space="preserve"> </w:t>
      </w:r>
      <w:r w:rsidRPr="003B2B02" w:rsidR="00CF56F1">
        <w:t xml:space="preserve">collecting </w:t>
      </w:r>
      <w:r w:rsidRPr="003B2B02" w:rsidR="008259C4">
        <w:t>costs</w:t>
      </w:r>
      <w:r w:rsidRPr="003B2B02" w:rsidR="00851A35">
        <w:t xml:space="preserve"> from consumers.</w:t>
      </w:r>
      <w:r>
        <w:rPr>
          <w:vertAlign w:val="superscript"/>
        </w:rPr>
        <w:footnoteReference w:id="53"/>
      </w:r>
      <w:r w:rsidRPr="003B2B02" w:rsidR="00851A35">
        <w:t xml:space="preserve"> </w:t>
      </w:r>
      <w:r>
        <w:t>Note the PUCO’s deferral ruling does not guarantee collection from consumers.</w:t>
      </w:r>
      <w:r>
        <w:rPr>
          <w:rStyle w:val="FootnoteReference"/>
        </w:rPr>
        <w:footnoteReference w:id="54"/>
      </w:r>
    </w:p>
    <w:p w:rsidR="00F32A1D" w:rsidP="00CF56F1" w14:paraId="21E71926" w14:textId="40A1FB2D">
      <w:pPr>
        <w:tabs>
          <w:tab w:val="left" w:pos="720"/>
          <w:tab w:val="left" w:pos="1440"/>
          <w:tab w:val="left" w:leader="dot" w:pos="8640"/>
        </w:tabs>
        <w:spacing w:line="480" w:lineRule="auto"/>
      </w:pPr>
      <w:r>
        <w:tab/>
      </w:r>
      <w:r w:rsidRPr="003B2B02" w:rsidR="00C233F5">
        <w:t>Rather,</w:t>
      </w:r>
      <w:r w:rsidRPr="003B2B02" w:rsidR="00851A35">
        <w:t xml:space="preserve"> “recovery of deferred amounts is not guaranteed” and “will be addressed in the subsequent proceeding.”</w:t>
      </w:r>
      <w:r>
        <w:rPr>
          <w:vertAlign w:val="superscript"/>
        </w:rPr>
        <w:footnoteReference w:id="55"/>
      </w:r>
      <w:r w:rsidRPr="003B2B02" w:rsidR="00851A35">
        <w:t xml:space="preserve"> </w:t>
      </w:r>
      <w:r w:rsidRPr="003B2B02" w:rsidR="00C233F5">
        <w:t xml:space="preserve">This means that a </w:t>
      </w:r>
      <w:r w:rsidRPr="003B2B02" w:rsidR="00851A35">
        <w:t xml:space="preserve">regulatory asset (such as the </w:t>
      </w:r>
      <w:r w:rsidRPr="003B2B02" w:rsidR="008259C4">
        <w:t xml:space="preserve">asset </w:t>
      </w:r>
      <w:r w:rsidRPr="003B2B02" w:rsidR="00851A35">
        <w:t>created in Duke’s Deferral Case</w:t>
      </w:r>
      <w:r w:rsidRPr="003B2B02" w:rsidR="00C233F5">
        <w:t xml:space="preserve">) </w:t>
      </w:r>
      <w:r w:rsidRPr="003B2B02" w:rsidR="00851A35">
        <w:t xml:space="preserve">is not </w:t>
      </w:r>
      <w:r w:rsidRPr="003B2B02" w:rsidR="008259C4">
        <w:t xml:space="preserve">automatically </w:t>
      </w:r>
      <w:r w:rsidRPr="003B2B02" w:rsidR="00851A35">
        <w:t>chargeable to consumers in a rate case</w:t>
      </w:r>
      <w:r w:rsidRPr="003B2B02" w:rsidR="002A35D4">
        <w:t>.</w:t>
      </w:r>
      <w:r>
        <w:rPr>
          <w:vertAlign w:val="superscript"/>
        </w:rPr>
        <w:footnoteReference w:id="56"/>
      </w:r>
      <w:r w:rsidRPr="003B2B02" w:rsidR="00572C99">
        <w:t xml:space="preserve"> </w:t>
      </w:r>
    </w:p>
    <w:p w:rsidR="00CF56F1" w:rsidP="00851A35" w14:paraId="60A0071F" w14:textId="106B4033">
      <w:pPr>
        <w:tabs>
          <w:tab w:val="left" w:pos="720"/>
          <w:tab w:val="left" w:pos="1440"/>
          <w:tab w:val="left" w:leader="dot" w:pos="8640"/>
        </w:tabs>
        <w:spacing w:line="480" w:lineRule="auto"/>
      </w:pPr>
      <w:r>
        <w:tab/>
      </w:r>
      <w:r w:rsidRPr="003B2B02" w:rsidR="005C7582">
        <w:t>The</w:t>
      </w:r>
      <w:r w:rsidRPr="003B2B02" w:rsidR="00572C99">
        <w:t xml:space="preserve"> Ohio Supreme Court </w:t>
      </w:r>
      <w:r w:rsidRPr="003B2B02" w:rsidR="00572C99">
        <w:rPr>
          <w:bCs/>
        </w:rPr>
        <w:t xml:space="preserve">has instructed the PUCO that a utility may not use an accounting mechanism </w:t>
      </w:r>
      <w:r w:rsidRPr="003B2B02" w:rsidR="008259C4">
        <w:rPr>
          <w:bCs/>
        </w:rPr>
        <w:t xml:space="preserve">to </w:t>
      </w:r>
      <w:r w:rsidRPr="003B2B02" w:rsidR="00572C99">
        <w:rPr>
          <w:bCs/>
        </w:rPr>
        <w:t xml:space="preserve">evade the statutory used and useful test for determining if a utility asset is eligible for inclusion for </w:t>
      </w:r>
      <w:r w:rsidRPr="003B2B02" w:rsidR="005C7582">
        <w:rPr>
          <w:bCs/>
        </w:rPr>
        <w:t>collection</w:t>
      </w:r>
      <w:r w:rsidRPr="003B2B02" w:rsidR="00572C99">
        <w:rPr>
          <w:bCs/>
        </w:rPr>
        <w:t xml:space="preserve"> in consumer rates.</w:t>
      </w:r>
      <w:r>
        <w:rPr>
          <w:rStyle w:val="FootnoteReference"/>
          <w:bCs/>
        </w:rPr>
        <w:footnoteReference w:id="57"/>
      </w:r>
      <w:r w:rsidRPr="003B2B02" w:rsidR="008259C4">
        <w:rPr>
          <w:bCs/>
        </w:rPr>
        <w:t xml:space="preserve"> Booking a deferral is an accounting mechanism, not ratemaking.</w:t>
      </w:r>
      <w:r>
        <w:rPr>
          <w:rStyle w:val="FootnoteReference"/>
          <w:bCs/>
        </w:rPr>
        <w:footnoteReference w:id="58"/>
      </w:r>
      <w:r w:rsidRPr="003B2B02" w:rsidR="008259C4">
        <w:rPr>
          <w:bCs/>
        </w:rPr>
        <w:t xml:space="preserve"> Duke’s deferral of propane cavern costs </w:t>
      </w:r>
      <w:r>
        <w:rPr>
          <w:bCs/>
        </w:rPr>
        <w:t>does not entitle it to</w:t>
      </w:r>
      <w:r w:rsidRPr="003B2B02" w:rsidR="008259C4">
        <w:rPr>
          <w:bCs/>
        </w:rPr>
        <w:t xml:space="preserve"> collect those costs from consumers.</w:t>
      </w:r>
      <w:r w:rsidR="008259C4">
        <w:rPr>
          <w:bCs/>
        </w:rPr>
        <w:t xml:space="preserve"> </w:t>
      </w:r>
      <w:r w:rsidR="000C24C4">
        <w:t xml:space="preserve"> </w:t>
      </w:r>
    </w:p>
    <w:p w:rsidR="00045AEE" w:rsidP="00193233" w14:paraId="11B0072D" w14:textId="6BAB50B8">
      <w:pPr>
        <w:pStyle w:val="Heading3"/>
      </w:pPr>
      <w:bookmarkStart w:id="16" w:name="_Toc137825440"/>
      <w:r w:rsidRPr="00E72E67">
        <w:t xml:space="preserve">Duke’s proposal to calculate property tax by using the plant in service balance at date certain </w:t>
      </w:r>
      <w:r>
        <w:t>harms consumers, the public interest, and should be rejected.</w:t>
      </w:r>
      <w:bookmarkEnd w:id="16"/>
    </w:p>
    <w:p w:rsidR="00D41818" w:rsidRPr="00D41818" w:rsidP="00D41818" w14:paraId="23F8227F" w14:textId="77777777">
      <w:pPr>
        <w:pStyle w:val="Heading3"/>
        <w:numPr>
          <w:ilvl w:val="0"/>
          <w:numId w:val="0"/>
        </w:numPr>
        <w:ind w:left="3240"/>
        <w:rPr>
          <w:rStyle w:val="Heading4Char"/>
          <w:rFonts w:ascii="Times New Roman" w:hAnsi="Times New Roman"/>
          <w:b/>
          <w:bCs/>
          <w:szCs w:val="24"/>
        </w:rPr>
      </w:pPr>
    </w:p>
    <w:p w:rsidR="00522D14" w:rsidRPr="00E72E67" w:rsidP="00D41818" w14:paraId="29755B12" w14:textId="209C3709">
      <w:pPr>
        <w:pStyle w:val="Heading3"/>
        <w:numPr>
          <w:ilvl w:val="0"/>
          <w:numId w:val="42"/>
        </w:numPr>
        <w:ind w:left="2880" w:hanging="720"/>
      </w:pPr>
      <w:bookmarkStart w:id="17" w:name="_Toc137825441"/>
      <w:r w:rsidRPr="004E79D9">
        <w:rPr>
          <w:rStyle w:val="Heading4Char"/>
        </w:rPr>
        <w:t>Duke’s proposal overstates property taxes actually payable during the test year and overcharges consumers.</w:t>
      </w:r>
      <w:bookmarkEnd w:id="17"/>
      <w:r w:rsidRPr="00E72E67">
        <w:t xml:space="preserve"> </w:t>
      </w:r>
    </w:p>
    <w:p w:rsidR="00046175" w:rsidP="005747DC" w14:paraId="359903A1" w14:textId="380F7039">
      <w:pPr>
        <w:spacing w:line="480" w:lineRule="auto"/>
        <w:ind w:firstLine="720"/>
      </w:pPr>
      <w:r>
        <w:t xml:space="preserve">The Settlement proposes </w:t>
      </w:r>
      <w:r w:rsidRPr="005A3BF3">
        <w:t>to increase property taxes by approximately $2.3 million</w:t>
      </w:r>
      <w:r w:rsidR="00430636">
        <w:t xml:space="preserve"> annually.</w:t>
      </w:r>
      <w:r>
        <w:rPr>
          <w:rStyle w:val="FootnoteReference"/>
        </w:rPr>
        <w:footnoteReference w:id="59"/>
      </w:r>
      <w:r w:rsidR="002B37E7">
        <w:t xml:space="preserve"> </w:t>
      </w:r>
      <w:r>
        <w:t xml:space="preserve">OCC witness Greg Meyer concluded this figure was calculated by a </w:t>
      </w:r>
      <w:r w:rsidR="00CB7896">
        <w:t>“</w:t>
      </w:r>
      <w:r>
        <w:t>flawed</w:t>
      </w:r>
      <w:r w:rsidR="00CB7896">
        <w:t>”</w:t>
      </w:r>
      <w:r>
        <w:t xml:space="preserve"> methodology that </w:t>
      </w:r>
      <w:r w:rsidRPr="005A3BF3">
        <w:t xml:space="preserve">will </w:t>
      </w:r>
      <w:r w:rsidR="00CB7896">
        <w:t>“</w:t>
      </w:r>
      <w:r w:rsidRPr="005A3BF3">
        <w:t xml:space="preserve">consistently </w:t>
      </w:r>
      <w:r>
        <w:t>inflate</w:t>
      </w:r>
      <w:r w:rsidRPr="005A3BF3">
        <w:t xml:space="preserve"> property taxes when a utility is experiencing a growth in plant in service.</w:t>
      </w:r>
      <w:r>
        <w:t>”</w:t>
      </w:r>
      <w:r>
        <w:rPr>
          <w:rStyle w:val="FootnoteReference"/>
        </w:rPr>
        <w:footnoteReference w:id="60"/>
      </w:r>
      <w:r>
        <w:t xml:space="preserve"> </w:t>
      </w:r>
      <w:r w:rsidR="00E07969">
        <w:t xml:space="preserve">This allows Duke to overcharge consumers for property taxes </w:t>
      </w:r>
      <w:r w:rsidR="001032AF">
        <w:t>not payable</w:t>
      </w:r>
      <w:r w:rsidR="00E07969">
        <w:t xml:space="preserve"> during the test year. </w:t>
      </w:r>
    </w:p>
    <w:p w:rsidR="00CA4DB3" w:rsidP="00CA4DB3" w14:paraId="4E652B82" w14:textId="6EE568DE">
      <w:pPr>
        <w:spacing w:line="480" w:lineRule="auto"/>
        <w:ind w:firstLine="720"/>
      </w:pPr>
      <w:r>
        <w:t>P</w:t>
      </w:r>
      <w:r w:rsidRPr="005A3BF3">
        <w:t>roperty taxes are calculated based on a property valuation at December 31 of a year</w:t>
      </w:r>
      <w:r w:rsidR="00E07969">
        <w:t>,</w:t>
      </w:r>
      <w:r w:rsidRPr="005A3BF3">
        <w:t xml:space="preserve"> for payment of those property taxes at December 31 and June 30 of the following years.</w:t>
      </w:r>
      <w:r>
        <w:rPr>
          <w:rStyle w:val="FootnoteReference"/>
        </w:rPr>
        <w:footnoteReference w:id="61"/>
      </w:r>
      <w:r w:rsidRPr="005A3BF3">
        <w:t xml:space="preserve"> </w:t>
      </w:r>
      <w:r>
        <w:rPr>
          <w:bCs/>
          <w:iCs/>
        </w:rPr>
        <w:t xml:space="preserve">This means </w:t>
      </w:r>
      <w:r w:rsidR="0057155D">
        <w:rPr>
          <w:bCs/>
          <w:iCs/>
        </w:rPr>
        <w:t xml:space="preserve">that property taxes on </w:t>
      </w:r>
      <w:r w:rsidR="00E07969">
        <w:rPr>
          <w:bCs/>
          <w:iCs/>
        </w:rPr>
        <w:t>a</w:t>
      </w:r>
      <w:r w:rsidRPr="00486423">
        <w:rPr>
          <w:bCs/>
          <w:iCs/>
        </w:rPr>
        <w:t xml:space="preserve"> plant placed in service from January 1, 2022 until March 31, 2022 will not be payable until December 31, 2023 and June 30, 2024, a full 12-18 months beyond the test year in this rate case.</w:t>
      </w:r>
      <w:r>
        <w:rPr>
          <w:rStyle w:val="FootnoteReference"/>
          <w:bCs/>
          <w:iCs/>
        </w:rPr>
        <w:footnoteReference w:id="62"/>
      </w:r>
      <w:r w:rsidRPr="00046175" w:rsidR="00046175">
        <w:t xml:space="preserve"> </w:t>
      </w:r>
      <w:r w:rsidR="00E07969">
        <w:rPr>
          <w:bCs/>
          <w:iCs/>
        </w:rPr>
        <w:t>But the</w:t>
      </w:r>
      <w:r w:rsidRPr="00486423" w:rsidR="00E07969">
        <w:rPr>
          <w:bCs/>
          <w:iCs/>
        </w:rPr>
        <w:t xml:space="preserve"> Settlement calculates property tax expense using the plant in service balance </w:t>
      </w:r>
      <w:r w:rsidR="00E07969">
        <w:rPr>
          <w:bCs/>
          <w:iCs/>
        </w:rPr>
        <w:t xml:space="preserve">on the date certain, </w:t>
      </w:r>
      <w:r w:rsidRPr="00486423" w:rsidR="00E07969">
        <w:rPr>
          <w:bCs/>
          <w:iCs/>
        </w:rPr>
        <w:t xml:space="preserve">March 31, 2022. </w:t>
      </w:r>
      <w:r w:rsidR="00E07969">
        <w:rPr>
          <w:bCs/>
          <w:iCs/>
        </w:rPr>
        <w:t xml:space="preserve">For this reason, </w:t>
      </w:r>
      <w:r w:rsidR="00E07969">
        <w:t xml:space="preserve">Mr. Meyer concludes that, </w:t>
      </w:r>
      <w:r w:rsidR="00046175">
        <w:t>under the Settlement, “</w:t>
      </w:r>
      <w:r w:rsidRPr="005A3BF3" w:rsidR="00046175">
        <w:t>Duke will collect property tax expenses that will not be paid for several months beyond the test year.</w:t>
      </w:r>
      <w:r w:rsidR="00046175">
        <w:t>”</w:t>
      </w:r>
      <w:r>
        <w:rPr>
          <w:rStyle w:val="FootnoteReference"/>
        </w:rPr>
        <w:footnoteReference w:id="63"/>
      </w:r>
    </w:p>
    <w:p w:rsidR="005747DC" w:rsidP="00046175" w14:paraId="5AC825C3" w14:textId="699F2653">
      <w:pPr>
        <w:spacing w:line="480" w:lineRule="auto"/>
        <w:ind w:firstLine="720"/>
      </w:pPr>
      <w:r>
        <w:t>Duke’s proposed methodology for calculating property tax includes expenses outside the test year. This raises consumers’ rates, harming consumers and the public interest.</w:t>
      </w:r>
      <w:r w:rsidR="00F6067A">
        <w:t xml:space="preserve"> </w:t>
      </w:r>
    </w:p>
    <w:p w:rsidR="00B42C9B" w:rsidRPr="004E79D9" w:rsidP="00D41818" w14:paraId="6D63DFCE" w14:textId="2D9DB770">
      <w:pPr>
        <w:pStyle w:val="ListParagraph"/>
        <w:numPr>
          <w:ilvl w:val="0"/>
          <w:numId w:val="42"/>
        </w:numPr>
        <w:ind w:left="2880" w:hanging="720"/>
        <w:rPr>
          <w:rStyle w:val="Heading4Char"/>
        </w:rPr>
      </w:pPr>
      <w:bookmarkStart w:id="18" w:name="_Toc137825442"/>
      <w:r w:rsidRPr="004E79D9">
        <w:rPr>
          <w:rStyle w:val="Heading4Char"/>
        </w:rPr>
        <w:t>The Settlement allows for a post-test year adjustment that allows Duke to charge consumers for property taxes that are not known and measurable.</w:t>
      </w:r>
      <w:bookmarkEnd w:id="18"/>
      <w:r w:rsidRPr="004E79D9">
        <w:rPr>
          <w:rStyle w:val="Heading4Char"/>
        </w:rPr>
        <w:t xml:space="preserve"> </w:t>
      </w:r>
    </w:p>
    <w:p w:rsidR="00B42C9B" w:rsidRPr="00F6067A" w:rsidP="00F6067A" w14:paraId="20F36B34" w14:textId="77777777">
      <w:pPr>
        <w:ind w:left="1440"/>
        <w:rPr>
          <w:b/>
          <w:bCs/>
        </w:rPr>
      </w:pPr>
    </w:p>
    <w:p w:rsidR="00B42C9B" w:rsidRPr="00C11A90" w:rsidP="00B42C9B" w14:paraId="63C89C31" w14:textId="25ABDCFB">
      <w:pPr>
        <w:spacing w:line="480" w:lineRule="auto"/>
        <w:ind w:firstLine="720"/>
        <w:rPr>
          <w:b/>
          <w:bCs/>
          <w:i/>
          <w:iCs/>
        </w:rPr>
      </w:pPr>
      <w:r>
        <w:t xml:space="preserve">The PUCO should reject Duke’s method for calculating property tax because it includes amounts that are not known and measurable. R.C. 4909.15(D) allows for just and reasonable post-test period adjustments to a utility’s expenses. </w:t>
      </w:r>
      <w:r w:rsidRPr="00CA08FC">
        <w:t>Adjustments are authorized “when necessary to smooth out anomalies which would make the test year unrepresentative or misleading for ratemaking purposes.”</w:t>
      </w:r>
      <w:r>
        <w:rPr>
          <w:rStyle w:val="FootnoteReference"/>
        </w:rPr>
        <w:footnoteReference w:id="64"/>
      </w:r>
      <w:r>
        <w:rPr>
          <w:b/>
          <w:bCs/>
          <w:i/>
          <w:iCs/>
        </w:rPr>
        <w:t xml:space="preserve"> </w:t>
      </w:r>
      <w:r>
        <w:t>The PUCO has interpreted R.C. 4909.15(D) to require that the amount of any post-test year expense adjustment be “known and measurable.” A cost is “known and measurable” when it is “a</w:t>
      </w:r>
      <w:r w:rsidRPr="00B54E19">
        <w:t>ble to be calculated with certainty</w:t>
      </w:r>
      <w:r>
        <w:t>” and is “</w:t>
      </w:r>
      <w:r w:rsidRPr="00B54E19">
        <w:t>beyond the control of the Company.</w:t>
      </w:r>
      <w:r w:rsidRPr="00C11A90">
        <w:rPr>
          <w:rStyle w:val="FootnoteReference"/>
        </w:rPr>
        <w:t xml:space="preserve"> </w:t>
      </w:r>
      <w:r>
        <w:rPr>
          <w:rStyle w:val="FootnoteReference"/>
        </w:rPr>
        <w:footnoteReference w:id="65"/>
      </w:r>
      <w:r>
        <w:t xml:space="preserve"> Lastly,</w:t>
      </w:r>
      <w:r w:rsidRPr="00B54E19">
        <w:t xml:space="preserve"> </w:t>
      </w:r>
      <w:r>
        <w:t>the cost “</w:t>
      </w:r>
      <w:r w:rsidRPr="00B54E19">
        <w:t>must not be so remote as to violate the test year concept.</w:t>
      </w:r>
      <w:r>
        <w:t>”</w:t>
      </w:r>
      <w:r>
        <w:rPr>
          <w:rStyle w:val="FootnoteReference"/>
        </w:rPr>
        <w:footnoteReference w:id="66"/>
      </w:r>
    </w:p>
    <w:p w:rsidR="00B42C9B" w:rsidP="00B42C9B" w14:paraId="01C641C1" w14:textId="7F266FCF">
      <w:pPr>
        <w:spacing w:line="480" w:lineRule="auto"/>
        <w:ind w:firstLine="720"/>
      </w:pPr>
      <w:r w:rsidRPr="00E47745">
        <w:t>Real property is assessed by county auditors for the current tax year</w:t>
      </w:r>
      <w:r>
        <w:t xml:space="preserve"> under </w:t>
      </w:r>
      <w:r w:rsidRPr="00E47745">
        <w:t>R.C. 5713.01</w:t>
      </w:r>
      <w:r>
        <w:t xml:space="preserve"> and in accordance “</w:t>
      </w:r>
      <w:r w:rsidRPr="00CC4BC7">
        <w:t>with the rules and methods applicable to the auditor's county adopted, prescribed, and promulgated by the tax commissioner</w:t>
      </w:r>
      <w:r>
        <w:t>.”</w:t>
      </w:r>
      <w:r>
        <w:rPr>
          <w:rStyle w:val="FootnoteReference"/>
        </w:rPr>
        <w:footnoteReference w:id="67"/>
      </w:r>
      <w:r>
        <w:t xml:space="preserve"> P</w:t>
      </w:r>
      <w:r w:rsidRPr="00E47745">
        <w:t xml:space="preserve">ersonal property owned or leased by public utilities on December 31 of the previous year is </w:t>
      </w:r>
      <w:r>
        <w:t xml:space="preserve">assessed by the tax commissioner for the current tax year </w:t>
      </w:r>
      <w:r w:rsidRPr="00E47745">
        <w:t>under R.C. 5727.06.</w:t>
      </w:r>
      <w:r w:rsidR="00F6067A">
        <w:t xml:space="preserve"> </w:t>
      </w:r>
      <w:r>
        <w:t xml:space="preserve">The </w:t>
      </w:r>
      <w:r w:rsidRPr="00E47745">
        <w:t xml:space="preserve">tax commissioner certifies preliminary assessments </w:t>
      </w:r>
      <w:r>
        <w:t xml:space="preserve">of public utility personal property </w:t>
      </w:r>
      <w:r w:rsidRPr="00E47745">
        <w:t xml:space="preserve">by the first Monday in October </w:t>
      </w:r>
      <w:r w:rsidRPr="002B0F23">
        <w:t xml:space="preserve">and </w:t>
      </w:r>
      <w:r>
        <w:t>public utility</w:t>
      </w:r>
      <w:r w:rsidRPr="002B0F23">
        <w:t xml:space="preserve"> personal property is then taxed in the same manner and at the same rates as real property </w:t>
      </w:r>
      <w:r w:rsidRPr="00E47745">
        <w:t>pursuant to R.C. 5727.</w:t>
      </w:r>
      <w:r>
        <w:t>23</w:t>
      </w:r>
      <w:r w:rsidRPr="00506881">
        <w:t>.</w:t>
      </w:r>
      <w:r>
        <w:t xml:space="preserve"> </w:t>
      </w:r>
      <w:r w:rsidRPr="00E47745">
        <w:t xml:space="preserve">Thus, a utility’s annual property tax bill includes a blend of charges for real property owned during the calendar year and personal property owned or leased </w:t>
      </w:r>
      <w:r>
        <w:t>on</w:t>
      </w:r>
      <w:r w:rsidRPr="00E47745">
        <w:t xml:space="preserve"> December 31 of the previous year.</w:t>
      </w:r>
    </w:p>
    <w:p w:rsidR="00B42C9B" w:rsidRPr="00C71F27" w:rsidP="00B42C9B" w14:paraId="72CF0B20" w14:textId="77777777">
      <w:pPr>
        <w:spacing w:line="480" w:lineRule="auto"/>
        <w:ind w:firstLine="720"/>
      </w:pPr>
      <w:r w:rsidRPr="00FE16B7">
        <w:t>Variables used in calculating property tax bills change from year to year. Variables that change annually include the tax rate imposed by the local taxing authority</w:t>
      </w:r>
      <w:r>
        <w:t>,</w:t>
      </w:r>
      <w:r w:rsidRPr="00FE16B7">
        <w:t xml:space="preserve"> the assessed value of property, </w:t>
      </w:r>
      <w:r>
        <w:t xml:space="preserve">and </w:t>
      </w:r>
      <w:r w:rsidRPr="00FE16B7">
        <w:t>the application of reduction factors.</w:t>
      </w:r>
      <w:r>
        <w:t xml:space="preserve"> Assessed values change dependent upon market conditions and the rules and methods of local auditors and the tax commissioner. Property taxes are imposed by local taxing authorities or a vote of the people pursuant to R.C. 5705; subject to the ten-mil limitation of R.C. 5705.02 and the reduction factors of </w:t>
      </w:r>
      <w:r w:rsidRPr="001C735A">
        <w:t>R.C. 319.301 and R.C. 319.302</w:t>
      </w:r>
      <w:r>
        <w:t>. Changes to locally imposed tax rates are not known and measurable prior to authorization because they are authorized by the legislative process or local elections, and even these changes are subject to statutory limitations on effective tax rates that are intertwined with the property assessment process.</w:t>
      </w:r>
    </w:p>
    <w:p w:rsidR="00B42C9B" w:rsidP="00B42C9B" w14:paraId="0BEAB1A8" w14:textId="77777777">
      <w:pPr>
        <w:spacing w:line="480" w:lineRule="auto"/>
        <w:ind w:firstLine="720"/>
      </w:pPr>
      <w:r>
        <w:t>Because of the lag in collection of real and personal property taxes “Duke is attempting to collect property taxes that will not be due to be paid until December 31, 2023, and June 30, 2024.”</w:t>
      </w:r>
      <w:r>
        <w:rPr>
          <w:rStyle w:val="FootnoteReference"/>
        </w:rPr>
        <w:footnoteReference w:id="68"/>
      </w:r>
      <w:r>
        <w:t xml:space="preserve"> Changes in local tax rates and assessed values during calendar year 2022 and any additional changes in local tax rates during calendar year 2023 mean that the amount of additional property tax expense is not known and measurable.</w:t>
      </w:r>
    </w:p>
    <w:p w:rsidR="00045AEE" w:rsidP="00D41818" w14:paraId="1D672890" w14:textId="0A73148D">
      <w:pPr>
        <w:pStyle w:val="Heading4"/>
        <w:numPr>
          <w:ilvl w:val="0"/>
          <w:numId w:val="42"/>
        </w:numPr>
        <w:ind w:left="2880" w:hanging="720"/>
      </w:pPr>
      <w:bookmarkStart w:id="19" w:name="_Toc137825443"/>
      <w:r w:rsidRPr="004E79D9">
        <w:rPr>
          <w:rStyle w:val="Heading4Char"/>
        </w:rPr>
        <w:t>The PUCO should adopt OCC’s recommendation for only collection of Duke’s actual 2022 property taxes.</w:t>
      </w:r>
      <w:bookmarkEnd w:id="19"/>
    </w:p>
    <w:p w:rsidR="00B42C9B" w:rsidRPr="00F6067A" w:rsidP="0026223F" w14:paraId="22BDA05F" w14:textId="618FC5C7">
      <w:pPr>
        <w:spacing w:line="480" w:lineRule="auto"/>
        <w:ind w:firstLine="720"/>
        <w:rPr>
          <w:highlight w:val="yellow"/>
        </w:rPr>
      </w:pPr>
      <w:r>
        <w:t xml:space="preserve">To protect consumers from </w:t>
      </w:r>
      <w:r w:rsidR="0026223F">
        <w:t>being charged for expenses that are not known and measurable,</w:t>
      </w:r>
      <w:r>
        <w:t xml:space="preserve"> the PUCO should adopt the </w:t>
      </w:r>
      <w:r w:rsidR="0026223F">
        <w:t>proposal</w:t>
      </w:r>
      <w:r>
        <w:t xml:space="preserve"> of OCC witness Meyer, which reflects Duke’s actual 2022 property taxes</w:t>
      </w:r>
      <w:r w:rsidRPr="0026223F">
        <w:t>.</w:t>
      </w:r>
      <w:r>
        <w:rPr>
          <w:rStyle w:val="FootnoteReference"/>
        </w:rPr>
        <w:footnoteReference w:id="69"/>
      </w:r>
      <w:r w:rsidRPr="0026223F" w:rsidR="0026223F">
        <w:t xml:space="preserve"> </w:t>
      </w:r>
      <w:r w:rsidRPr="00F6067A" w:rsidR="0026223F">
        <w:t>Meyer’s approach uses Duke’s actual tax bill for 2022</w:t>
      </w:r>
      <w:r>
        <w:rPr>
          <w:rStyle w:val="FootnoteReference"/>
        </w:rPr>
        <w:footnoteReference w:id="70"/>
      </w:r>
      <w:r w:rsidRPr="00F6067A" w:rsidR="0026223F">
        <w:t xml:space="preserve"> as the property tax expense, which may be obtained from the company’s accounting records. Meyer’s approach estimates the property tax bill that would be payable during the test year by replicating PUCO Staff’s calculation while using plant-in-service balances on December 31, 2021.</w:t>
      </w:r>
      <w:r>
        <w:rPr>
          <w:rStyle w:val="FootnoteReference"/>
        </w:rPr>
        <w:footnoteReference w:id="71"/>
      </w:r>
      <w:r w:rsidRPr="00F6067A" w:rsidR="0026223F">
        <w:t xml:space="preserve"> OCC’s proposal “results in an annualized level of 2022 property taxes of approximately $39.0 million” that decreases the adjustment contained in the Settlement by approximately $2.5 million.</w:t>
      </w:r>
      <w:r>
        <w:rPr>
          <w:rStyle w:val="FootnoteReference"/>
        </w:rPr>
        <w:footnoteReference w:id="72"/>
      </w:r>
      <w:r w:rsidRPr="00F6067A" w:rsidR="0026223F">
        <w:t xml:space="preserve"> This is consistent with the Supreme Court’s holding in </w:t>
      </w:r>
      <w:r w:rsidRPr="00F6067A">
        <w:rPr>
          <w:color w:val="000000" w:themeColor="text1"/>
        </w:rPr>
        <w:t xml:space="preserve">the </w:t>
      </w:r>
      <w:r w:rsidRPr="00F6067A">
        <w:rPr>
          <w:i/>
          <w:iCs/>
          <w:color w:val="000000" w:themeColor="text1"/>
        </w:rPr>
        <w:t>Cleveland Elec. Illuminating Co. v. Pub. Utilities Comm'n of Ohio</w:t>
      </w:r>
      <w:r w:rsidRPr="00F6067A">
        <w:rPr>
          <w:color w:val="000000" w:themeColor="text1"/>
        </w:rPr>
        <w:t xml:space="preserve"> (1986)</w:t>
      </w:r>
      <w:r w:rsidRPr="00F6067A" w:rsidR="0026223F">
        <w:rPr>
          <w:color w:val="000000" w:themeColor="text1"/>
        </w:rPr>
        <w:t xml:space="preserve"> </w:t>
      </w:r>
      <w:r w:rsidRPr="00F6067A">
        <w:rPr>
          <w:color w:val="000000" w:themeColor="text1"/>
        </w:rPr>
        <w:t>that “the commission should use the actual calendar year-end property tax expense as the federal income tax deduction for ratemaking purposes.”</w:t>
      </w:r>
      <w:r>
        <w:rPr>
          <w:rStyle w:val="FootnoteReference"/>
          <w:color w:val="000000" w:themeColor="text1"/>
        </w:rPr>
        <w:footnoteReference w:id="73"/>
      </w:r>
      <w:r w:rsidRPr="00F6067A">
        <w:rPr>
          <w:i/>
          <w:iCs/>
          <w:color w:val="000000" w:themeColor="text1"/>
        </w:rPr>
        <w:t xml:space="preserve"> </w:t>
      </w:r>
      <w:r w:rsidRPr="00F6067A">
        <w:t xml:space="preserve">Unlike the Settlement adjustment, OCC Witness Meyer’s approach </w:t>
      </w:r>
      <w:r w:rsidRPr="00F6067A" w:rsidR="0026223F">
        <w:t>reflects</w:t>
      </w:r>
      <w:r w:rsidRPr="00F6067A">
        <w:t xml:space="preserve"> </w:t>
      </w:r>
      <w:r w:rsidRPr="00F6067A" w:rsidR="0026223F">
        <w:t xml:space="preserve">Duke’s </w:t>
      </w:r>
      <w:r w:rsidRPr="00F6067A">
        <w:t xml:space="preserve">actual property tax expense during the test year: a known and measurable amount as required by Ohio Supreme Court ruling in </w:t>
      </w:r>
      <w:r w:rsidRPr="00F6067A">
        <w:rPr>
          <w:i/>
          <w:iCs/>
        </w:rPr>
        <w:t>Cleveland</w:t>
      </w:r>
      <w:r w:rsidRPr="00F6067A">
        <w:t xml:space="preserve"> and consistent with the test year concept.</w:t>
      </w:r>
    </w:p>
    <w:p w:rsidR="00C84D35" w:rsidP="00C84D35" w14:paraId="4C8C105E" w14:textId="60A204E4">
      <w:pPr>
        <w:spacing w:line="480" w:lineRule="auto"/>
        <w:ind w:firstLine="720"/>
      </w:pPr>
      <w:r>
        <w:rPr>
          <w:bCs/>
          <w:iCs/>
        </w:rPr>
        <w:t xml:space="preserve">Adopting Greg Meyer’s methodology for calculating property tax </w:t>
      </w:r>
      <w:r w:rsidR="00046175">
        <w:rPr>
          <w:bCs/>
          <w:iCs/>
        </w:rPr>
        <w:t xml:space="preserve">will protect consumers </w:t>
      </w:r>
      <w:r w:rsidR="002A1604">
        <w:rPr>
          <w:bCs/>
          <w:iCs/>
        </w:rPr>
        <w:t xml:space="preserve">from </w:t>
      </w:r>
      <w:r w:rsidR="00046175">
        <w:rPr>
          <w:bCs/>
          <w:iCs/>
        </w:rPr>
        <w:t>being charged for expenses that are not paid during the test year</w:t>
      </w:r>
      <w:r w:rsidR="00B42C9B">
        <w:rPr>
          <w:bCs/>
          <w:iCs/>
        </w:rPr>
        <w:t xml:space="preserve"> </w:t>
      </w:r>
      <w:r w:rsidR="00045AEE">
        <w:rPr>
          <w:bCs/>
          <w:iCs/>
        </w:rPr>
        <w:t>and are not</w:t>
      </w:r>
      <w:r w:rsidR="00B42C9B">
        <w:rPr>
          <w:bCs/>
          <w:iCs/>
        </w:rPr>
        <w:t xml:space="preserve"> known and </w:t>
      </w:r>
      <w:r>
        <w:rPr>
          <w:bCs/>
          <w:iCs/>
        </w:rPr>
        <w:t>measurable</w:t>
      </w:r>
      <w:r w:rsidR="00046175">
        <w:rPr>
          <w:bCs/>
          <w:iCs/>
        </w:rPr>
        <w:t xml:space="preserve">. </w:t>
      </w:r>
      <w:r w:rsidR="00821BCB">
        <w:t xml:space="preserve">OCC’s </w:t>
      </w:r>
      <w:r w:rsidR="00E07969">
        <w:t>propos</w:t>
      </w:r>
      <w:r>
        <w:t xml:space="preserve">al </w:t>
      </w:r>
      <w:r w:rsidR="00E07969">
        <w:t xml:space="preserve">“reduce the </w:t>
      </w:r>
      <w:r w:rsidR="005747DC">
        <w:t>rates for</w:t>
      </w:r>
      <w:r w:rsidRPr="005A3BF3" w:rsidR="005747DC">
        <w:t xml:space="preserve"> Duke</w:t>
      </w:r>
      <w:r w:rsidR="005747DC">
        <w:t>’s</w:t>
      </w:r>
      <w:r w:rsidRPr="005A3BF3" w:rsidR="005747DC">
        <w:t xml:space="preserve"> </w:t>
      </w:r>
      <w:r w:rsidR="005747DC">
        <w:t>consumers</w:t>
      </w:r>
      <w:r w:rsidR="00E07969">
        <w:t>,”</w:t>
      </w:r>
      <w:r>
        <w:rPr>
          <w:rStyle w:val="FootnoteReference"/>
        </w:rPr>
        <w:footnoteReference w:id="74"/>
      </w:r>
      <w:r w:rsidR="00E07969">
        <w:t xml:space="preserve"> </w:t>
      </w:r>
      <w:r w:rsidR="005747DC">
        <w:t>benefiting consumers and the public interest</w:t>
      </w:r>
      <w:r w:rsidRPr="005A3BF3" w:rsidR="005747DC">
        <w:t>.</w:t>
      </w:r>
    </w:p>
    <w:p w:rsidR="00DB40C5" w:rsidP="00193233" w14:paraId="3D69B675" w14:textId="132AE6F2">
      <w:pPr>
        <w:pStyle w:val="Heading3"/>
      </w:pPr>
      <w:bookmarkStart w:id="21" w:name="_Toc137825444"/>
      <w:r w:rsidRPr="00522D14">
        <w:t>The Settlement</w:t>
      </w:r>
      <w:r>
        <w:t>’s provisions regarding Rider CEP harms consumers and the public interest.</w:t>
      </w:r>
      <w:bookmarkEnd w:id="21"/>
    </w:p>
    <w:p w:rsidR="00DB40C5" w:rsidP="00D41818" w14:paraId="5571E500" w14:textId="77777777">
      <w:pPr>
        <w:pStyle w:val="Heading3"/>
        <w:numPr>
          <w:ilvl w:val="0"/>
          <w:numId w:val="0"/>
        </w:numPr>
        <w:ind w:left="2160"/>
      </w:pPr>
    </w:p>
    <w:p w:rsidR="00C84D35" w:rsidP="00D41818" w14:paraId="2FE960E4" w14:textId="74203380">
      <w:pPr>
        <w:pStyle w:val="Heading3"/>
        <w:numPr>
          <w:ilvl w:val="0"/>
          <w:numId w:val="43"/>
        </w:numPr>
        <w:ind w:left="2880" w:hanging="720"/>
      </w:pPr>
      <w:bookmarkStart w:id="22" w:name="_Toc137825445"/>
      <w:r w:rsidRPr="004E79D9">
        <w:rPr>
          <w:rStyle w:val="Heading4Char"/>
        </w:rPr>
        <w:t>The Settlement provides for caps on Rider CEP that are</w:t>
      </w:r>
      <w:r w:rsidRPr="004E79D9" w:rsidR="009E1B20">
        <w:rPr>
          <w:rStyle w:val="Heading4Char"/>
        </w:rPr>
        <w:t xml:space="preserve"> inconsistent with the lower rate caps set and approved by the PUCO. Using higher rate</w:t>
      </w:r>
      <w:r w:rsidRPr="004E79D9" w:rsidR="002A1604">
        <w:rPr>
          <w:rStyle w:val="Heading4Char"/>
        </w:rPr>
        <w:t xml:space="preserve"> caps</w:t>
      </w:r>
      <w:r w:rsidRPr="004E79D9" w:rsidR="009E1B20">
        <w:rPr>
          <w:rStyle w:val="Heading4Char"/>
        </w:rPr>
        <w:t xml:space="preserve"> </w:t>
      </w:r>
      <w:r w:rsidRPr="004E79D9">
        <w:rPr>
          <w:rStyle w:val="Heading4Char"/>
        </w:rPr>
        <w:t>do</w:t>
      </w:r>
      <w:r w:rsidRPr="004E79D9" w:rsidR="002A1604">
        <w:rPr>
          <w:rStyle w:val="Heading4Char"/>
        </w:rPr>
        <w:t>es</w:t>
      </w:r>
      <w:r w:rsidRPr="004E79D9">
        <w:rPr>
          <w:rStyle w:val="Heading4Char"/>
        </w:rPr>
        <w:t xml:space="preserve"> not </w:t>
      </w:r>
      <w:r w:rsidRPr="004E79D9" w:rsidR="002D1C52">
        <w:rPr>
          <w:rStyle w:val="Heading4Char"/>
        </w:rPr>
        <w:t xml:space="preserve">limit capital expenditure, harming </w:t>
      </w:r>
      <w:r w:rsidRPr="004E79D9">
        <w:rPr>
          <w:rStyle w:val="Heading4Char"/>
        </w:rPr>
        <w:t>consumers and the public interest.</w:t>
      </w:r>
      <w:bookmarkEnd w:id="22"/>
      <w:r w:rsidRPr="00522D14">
        <w:t xml:space="preserve"> </w:t>
      </w:r>
    </w:p>
    <w:p w:rsidR="00C84D35" w:rsidP="00C84D35" w14:paraId="111712F4" w14:textId="69C06C95">
      <w:pPr>
        <w:spacing w:line="480" w:lineRule="auto"/>
        <w:ind w:firstLine="720"/>
      </w:pPr>
      <w:r w:rsidRPr="00C84D35">
        <w:t>The Settlement provides for the CEP Rider rate caps</w:t>
      </w:r>
      <w:r>
        <w:rPr>
          <w:rStyle w:val="FootnoteReference"/>
        </w:rPr>
        <w:footnoteReference w:id="75"/>
      </w:r>
      <w:r w:rsidRPr="00C84D35">
        <w:t xml:space="preserve"> for collections of annual CEP investments:</w:t>
      </w:r>
    </w:p>
    <w:tbl>
      <w:tblPr>
        <w:tblStyle w:val="TableGrid"/>
        <w:tblW w:w="0" w:type="auto"/>
        <w:tblInd w:w="720" w:type="dxa"/>
        <w:tblLook w:val="04A0"/>
      </w:tblPr>
      <w:tblGrid>
        <w:gridCol w:w="1318"/>
        <w:gridCol w:w="1318"/>
        <w:gridCol w:w="1318"/>
        <w:gridCol w:w="1318"/>
        <w:gridCol w:w="1319"/>
        <w:gridCol w:w="1319"/>
      </w:tblGrid>
      <w:tr w14:paraId="5D476F0D" w14:textId="77777777" w:rsidTr="00E82D55">
        <w:tblPrEx>
          <w:tblW w:w="0" w:type="auto"/>
          <w:tblInd w:w="720" w:type="dxa"/>
          <w:tblLook w:val="04A0"/>
        </w:tblPrEx>
        <w:tc>
          <w:tcPr>
            <w:tcW w:w="1318" w:type="dxa"/>
          </w:tcPr>
          <w:p w:rsidR="00D13B25" w:rsidRPr="00910509" w:rsidP="00E82D55" w14:paraId="1A45A427" w14:textId="77777777">
            <w:pPr>
              <w:tabs>
                <w:tab w:val="left" w:pos="1440"/>
                <w:tab w:val="left" w:leader="dot" w:pos="8640"/>
              </w:tabs>
              <w:jc w:val="center"/>
              <w:rPr>
                <w:b/>
                <w:bCs/>
                <w:sz w:val="22"/>
                <w:szCs w:val="22"/>
              </w:rPr>
            </w:pPr>
            <w:r w:rsidRPr="00910509">
              <w:rPr>
                <w:b/>
                <w:bCs/>
                <w:sz w:val="22"/>
                <w:szCs w:val="22"/>
              </w:rPr>
              <w:t>CEP</w:t>
            </w:r>
          </w:p>
          <w:p w:rsidR="00D13B25" w:rsidRPr="00910509" w:rsidP="00E82D55" w14:paraId="7CB73B83" w14:textId="77777777">
            <w:pPr>
              <w:tabs>
                <w:tab w:val="left" w:pos="1440"/>
                <w:tab w:val="left" w:leader="dot" w:pos="8640"/>
              </w:tabs>
              <w:jc w:val="center"/>
              <w:rPr>
                <w:b/>
                <w:bCs/>
                <w:sz w:val="22"/>
                <w:szCs w:val="22"/>
              </w:rPr>
            </w:pPr>
            <w:r w:rsidRPr="00910509">
              <w:rPr>
                <w:b/>
                <w:bCs/>
                <w:sz w:val="22"/>
                <w:szCs w:val="22"/>
              </w:rPr>
              <w:t>Investment Year</w:t>
            </w:r>
          </w:p>
          <w:p w:rsidR="00D13B25" w:rsidRPr="00910509" w:rsidP="00E82D55" w14:paraId="1C731E82" w14:textId="77777777">
            <w:pPr>
              <w:tabs>
                <w:tab w:val="left" w:pos="1440"/>
                <w:tab w:val="left" w:leader="dot" w:pos="8640"/>
              </w:tabs>
              <w:jc w:val="center"/>
              <w:rPr>
                <w:b/>
                <w:bCs/>
                <w:sz w:val="22"/>
                <w:szCs w:val="22"/>
              </w:rPr>
            </w:pPr>
            <w:r w:rsidRPr="00910509">
              <w:rPr>
                <w:b/>
                <w:bCs/>
                <w:sz w:val="22"/>
                <w:szCs w:val="22"/>
              </w:rPr>
              <w:t>2022</w:t>
            </w:r>
          </w:p>
        </w:tc>
        <w:tc>
          <w:tcPr>
            <w:tcW w:w="1318" w:type="dxa"/>
          </w:tcPr>
          <w:p w:rsidR="00D13B25" w:rsidRPr="00910509" w:rsidP="00E82D55" w14:paraId="076615E8" w14:textId="77777777">
            <w:pPr>
              <w:tabs>
                <w:tab w:val="left" w:pos="1440"/>
                <w:tab w:val="left" w:leader="dot" w:pos="8640"/>
              </w:tabs>
              <w:jc w:val="center"/>
              <w:rPr>
                <w:b/>
                <w:bCs/>
                <w:sz w:val="22"/>
                <w:szCs w:val="22"/>
              </w:rPr>
            </w:pPr>
            <w:r w:rsidRPr="00910509">
              <w:rPr>
                <w:b/>
                <w:bCs/>
                <w:sz w:val="22"/>
                <w:szCs w:val="22"/>
              </w:rPr>
              <w:t>CEP</w:t>
            </w:r>
          </w:p>
          <w:p w:rsidR="00D13B25" w:rsidRPr="00910509" w:rsidP="00E82D55" w14:paraId="72630CFE" w14:textId="77777777">
            <w:pPr>
              <w:tabs>
                <w:tab w:val="left" w:pos="1440"/>
                <w:tab w:val="left" w:leader="dot" w:pos="8640"/>
              </w:tabs>
              <w:jc w:val="center"/>
              <w:rPr>
                <w:b/>
                <w:bCs/>
                <w:sz w:val="22"/>
                <w:szCs w:val="22"/>
              </w:rPr>
            </w:pPr>
            <w:r w:rsidRPr="00910509">
              <w:rPr>
                <w:b/>
                <w:bCs/>
                <w:sz w:val="22"/>
                <w:szCs w:val="22"/>
              </w:rPr>
              <w:t>Investment Year</w:t>
            </w:r>
          </w:p>
          <w:p w:rsidR="00D13B25" w:rsidRPr="00910509" w:rsidP="00E82D55" w14:paraId="5CF65073" w14:textId="77777777">
            <w:pPr>
              <w:tabs>
                <w:tab w:val="left" w:pos="1440"/>
                <w:tab w:val="left" w:leader="dot" w:pos="8640"/>
              </w:tabs>
              <w:jc w:val="center"/>
              <w:rPr>
                <w:b/>
                <w:bCs/>
                <w:sz w:val="22"/>
                <w:szCs w:val="22"/>
              </w:rPr>
            </w:pPr>
            <w:r w:rsidRPr="00910509">
              <w:rPr>
                <w:b/>
                <w:bCs/>
                <w:sz w:val="22"/>
                <w:szCs w:val="22"/>
              </w:rPr>
              <w:t>2023</w:t>
            </w:r>
          </w:p>
        </w:tc>
        <w:tc>
          <w:tcPr>
            <w:tcW w:w="1318" w:type="dxa"/>
          </w:tcPr>
          <w:p w:rsidR="00D13B25" w:rsidRPr="00910509" w:rsidP="00E82D55" w14:paraId="7079466F" w14:textId="77777777">
            <w:pPr>
              <w:tabs>
                <w:tab w:val="left" w:pos="1440"/>
                <w:tab w:val="left" w:leader="dot" w:pos="8640"/>
              </w:tabs>
              <w:jc w:val="center"/>
              <w:rPr>
                <w:b/>
                <w:bCs/>
                <w:sz w:val="22"/>
                <w:szCs w:val="22"/>
              </w:rPr>
            </w:pPr>
            <w:r w:rsidRPr="00910509">
              <w:rPr>
                <w:b/>
                <w:bCs/>
                <w:sz w:val="22"/>
                <w:szCs w:val="22"/>
              </w:rPr>
              <w:t>CEP</w:t>
            </w:r>
          </w:p>
          <w:p w:rsidR="00D13B25" w:rsidRPr="00910509" w:rsidP="00E82D55" w14:paraId="778FF76C" w14:textId="77777777">
            <w:pPr>
              <w:tabs>
                <w:tab w:val="left" w:pos="1440"/>
                <w:tab w:val="left" w:leader="dot" w:pos="8640"/>
              </w:tabs>
              <w:jc w:val="center"/>
              <w:rPr>
                <w:b/>
                <w:bCs/>
                <w:sz w:val="22"/>
                <w:szCs w:val="22"/>
              </w:rPr>
            </w:pPr>
            <w:r w:rsidRPr="00910509">
              <w:rPr>
                <w:b/>
                <w:bCs/>
                <w:sz w:val="22"/>
                <w:szCs w:val="22"/>
              </w:rPr>
              <w:t>Investment Year</w:t>
            </w:r>
          </w:p>
          <w:p w:rsidR="00D13B25" w:rsidRPr="00910509" w:rsidP="00E82D55" w14:paraId="6913E809" w14:textId="77777777">
            <w:pPr>
              <w:tabs>
                <w:tab w:val="left" w:pos="1440"/>
                <w:tab w:val="left" w:leader="dot" w:pos="8640"/>
              </w:tabs>
              <w:jc w:val="center"/>
              <w:rPr>
                <w:b/>
                <w:bCs/>
                <w:sz w:val="22"/>
                <w:szCs w:val="22"/>
              </w:rPr>
            </w:pPr>
            <w:r w:rsidRPr="00910509">
              <w:rPr>
                <w:b/>
                <w:bCs/>
                <w:sz w:val="22"/>
                <w:szCs w:val="22"/>
              </w:rPr>
              <w:t>2024</w:t>
            </w:r>
          </w:p>
        </w:tc>
        <w:tc>
          <w:tcPr>
            <w:tcW w:w="1318" w:type="dxa"/>
          </w:tcPr>
          <w:p w:rsidR="00D13B25" w:rsidRPr="00910509" w:rsidP="00E82D55" w14:paraId="3BB9A093" w14:textId="77777777">
            <w:pPr>
              <w:tabs>
                <w:tab w:val="left" w:pos="1440"/>
                <w:tab w:val="left" w:leader="dot" w:pos="8640"/>
              </w:tabs>
              <w:jc w:val="center"/>
              <w:rPr>
                <w:b/>
                <w:bCs/>
                <w:sz w:val="22"/>
                <w:szCs w:val="22"/>
              </w:rPr>
            </w:pPr>
            <w:r w:rsidRPr="00910509">
              <w:rPr>
                <w:b/>
                <w:bCs/>
                <w:sz w:val="22"/>
                <w:szCs w:val="22"/>
              </w:rPr>
              <w:t>CEP</w:t>
            </w:r>
          </w:p>
          <w:p w:rsidR="00D13B25" w:rsidRPr="00910509" w:rsidP="00E82D55" w14:paraId="5B51F22E" w14:textId="77777777">
            <w:pPr>
              <w:tabs>
                <w:tab w:val="left" w:pos="1440"/>
                <w:tab w:val="left" w:leader="dot" w:pos="8640"/>
              </w:tabs>
              <w:jc w:val="center"/>
              <w:rPr>
                <w:b/>
                <w:bCs/>
                <w:sz w:val="22"/>
                <w:szCs w:val="22"/>
              </w:rPr>
            </w:pPr>
            <w:r w:rsidRPr="00910509">
              <w:rPr>
                <w:b/>
                <w:bCs/>
                <w:sz w:val="22"/>
                <w:szCs w:val="22"/>
              </w:rPr>
              <w:t>Investment Year</w:t>
            </w:r>
          </w:p>
          <w:p w:rsidR="00D13B25" w:rsidRPr="00910509" w:rsidP="00E82D55" w14:paraId="71C4B330" w14:textId="77777777">
            <w:pPr>
              <w:tabs>
                <w:tab w:val="left" w:pos="1440"/>
                <w:tab w:val="left" w:leader="dot" w:pos="8640"/>
              </w:tabs>
              <w:jc w:val="center"/>
              <w:rPr>
                <w:b/>
                <w:bCs/>
                <w:sz w:val="22"/>
                <w:szCs w:val="22"/>
              </w:rPr>
            </w:pPr>
            <w:r w:rsidRPr="00910509">
              <w:rPr>
                <w:b/>
                <w:bCs/>
                <w:sz w:val="22"/>
                <w:szCs w:val="22"/>
              </w:rPr>
              <w:t>2025</w:t>
            </w:r>
          </w:p>
        </w:tc>
        <w:tc>
          <w:tcPr>
            <w:tcW w:w="1319" w:type="dxa"/>
          </w:tcPr>
          <w:p w:rsidR="00D13B25" w:rsidRPr="00910509" w:rsidP="00E82D55" w14:paraId="221B2888" w14:textId="77777777">
            <w:pPr>
              <w:tabs>
                <w:tab w:val="left" w:pos="1440"/>
                <w:tab w:val="left" w:leader="dot" w:pos="8640"/>
              </w:tabs>
              <w:jc w:val="center"/>
              <w:rPr>
                <w:b/>
                <w:bCs/>
                <w:sz w:val="22"/>
                <w:szCs w:val="22"/>
              </w:rPr>
            </w:pPr>
            <w:r w:rsidRPr="00910509">
              <w:rPr>
                <w:b/>
                <w:bCs/>
                <w:sz w:val="22"/>
                <w:szCs w:val="22"/>
              </w:rPr>
              <w:t>CEP</w:t>
            </w:r>
          </w:p>
          <w:p w:rsidR="00D13B25" w:rsidRPr="00910509" w:rsidP="00E82D55" w14:paraId="06EEB90F" w14:textId="77777777">
            <w:pPr>
              <w:tabs>
                <w:tab w:val="left" w:pos="1440"/>
                <w:tab w:val="left" w:leader="dot" w:pos="8640"/>
              </w:tabs>
              <w:jc w:val="center"/>
              <w:rPr>
                <w:b/>
                <w:bCs/>
                <w:sz w:val="22"/>
                <w:szCs w:val="22"/>
              </w:rPr>
            </w:pPr>
            <w:r w:rsidRPr="00910509">
              <w:rPr>
                <w:b/>
                <w:bCs/>
                <w:sz w:val="22"/>
                <w:szCs w:val="22"/>
              </w:rPr>
              <w:t>Investment Year</w:t>
            </w:r>
          </w:p>
          <w:p w:rsidR="00D13B25" w:rsidRPr="00910509" w:rsidP="00E82D55" w14:paraId="0F3E2B26" w14:textId="77777777">
            <w:pPr>
              <w:tabs>
                <w:tab w:val="left" w:pos="1440"/>
                <w:tab w:val="left" w:leader="dot" w:pos="8640"/>
              </w:tabs>
              <w:jc w:val="center"/>
              <w:rPr>
                <w:b/>
                <w:bCs/>
                <w:sz w:val="22"/>
                <w:szCs w:val="22"/>
              </w:rPr>
            </w:pPr>
            <w:r w:rsidRPr="00910509">
              <w:rPr>
                <w:b/>
                <w:bCs/>
                <w:sz w:val="22"/>
                <w:szCs w:val="22"/>
              </w:rPr>
              <w:t>2026</w:t>
            </w:r>
          </w:p>
        </w:tc>
        <w:tc>
          <w:tcPr>
            <w:tcW w:w="1319" w:type="dxa"/>
          </w:tcPr>
          <w:p w:rsidR="00D13B25" w:rsidRPr="00910509" w:rsidP="00E82D55" w14:paraId="5F0A1B35" w14:textId="77777777">
            <w:pPr>
              <w:tabs>
                <w:tab w:val="left" w:pos="1440"/>
                <w:tab w:val="left" w:leader="dot" w:pos="8640"/>
              </w:tabs>
              <w:jc w:val="center"/>
              <w:rPr>
                <w:b/>
                <w:bCs/>
                <w:sz w:val="22"/>
                <w:szCs w:val="22"/>
              </w:rPr>
            </w:pPr>
            <w:r w:rsidRPr="00910509">
              <w:rPr>
                <w:b/>
                <w:bCs/>
                <w:sz w:val="22"/>
                <w:szCs w:val="22"/>
              </w:rPr>
              <w:t>CEP</w:t>
            </w:r>
          </w:p>
          <w:p w:rsidR="00D13B25" w:rsidRPr="00910509" w:rsidP="00E82D55" w14:paraId="21C2A842" w14:textId="77777777">
            <w:pPr>
              <w:tabs>
                <w:tab w:val="left" w:pos="1440"/>
                <w:tab w:val="left" w:leader="dot" w:pos="8640"/>
              </w:tabs>
              <w:jc w:val="center"/>
              <w:rPr>
                <w:b/>
                <w:bCs/>
                <w:sz w:val="22"/>
                <w:szCs w:val="22"/>
              </w:rPr>
            </w:pPr>
            <w:r w:rsidRPr="00910509">
              <w:rPr>
                <w:b/>
                <w:bCs/>
                <w:sz w:val="22"/>
                <w:szCs w:val="22"/>
              </w:rPr>
              <w:t>Investment Year</w:t>
            </w:r>
          </w:p>
          <w:p w:rsidR="00D13B25" w:rsidRPr="00910509" w:rsidP="00E82D55" w14:paraId="43BDA3F3" w14:textId="77777777">
            <w:pPr>
              <w:tabs>
                <w:tab w:val="left" w:pos="1440"/>
                <w:tab w:val="left" w:leader="dot" w:pos="8640"/>
              </w:tabs>
              <w:jc w:val="center"/>
              <w:rPr>
                <w:b/>
                <w:bCs/>
                <w:sz w:val="22"/>
                <w:szCs w:val="22"/>
              </w:rPr>
            </w:pPr>
            <w:r w:rsidRPr="00910509">
              <w:rPr>
                <w:b/>
                <w:bCs/>
                <w:sz w:val="22"/>
                <w:szCs w:val="22"/>
              </w:rPr>
              <w:t>2027</w:t>
            </w:r>
          </w:p>
        </w:tc>
      </w:tr>
      <w:tr w14:paraId="3B3C1887" w14:textId="77777777" w:rsidTr="00E82D55">
        <w:tblPrEx>
          <w:tblW w:w="0" w:type="auto"/>
          <w:tblInd w:w="720" w:type="dxa"/>
          <w:tblLook w:val="04A0"/>
        </w:tblPrEx>
        <w:tc>
          <w:tcPr>
            <w:tcW w:w="1318" w:type="dxa"/>
          </w:tcPr>
          <w:p w:rsidR="00D13B25" w:rsidRPr="00910509" w:rsidP="00E82D55" w14:paraId="187C3465" w14:textId="77777777">
            <w:pPr>
              <w:tabs>
                <w:tab w:val="left" w:pos="1440"/>
                <w:tab w:val="left" w:leader="dot" w:pos="8640"/>
              </w:tabs>
              <w:jc w:val="center"/>
              <w:rPr>
                <w:b/>
                <w:bCs/>
                <w:sz w:val="22"/>
                <w:szCs w:val="22"/>
              </w:rPr>
            </w:pPr>
            <w:r w:rsidRPr="00910509">
              <w:rPr>
                <w:b/>
                <w:bCs/>
                <w:sz w:val="22"/>
                <w:szCs w:val="22"/>
              </w:rPr>
              <w:t>$2.25</w:t>
            </w:r>
          </w:p>
        </w:tc>
        <w:tc>
          <w:tcPr>
            <w:tcW w:w="1318" w:type="dxa"/>
          </w:tcPr>
          <w:p w:rsidR="00D13B25" w:rsidRPr="00910509" w:rsidP="00E82D55" w14:paraId="6FF2C507" w14:textId="77777777">
            <w:pPr>
              <w:tabs>
                <w:tab w:val="left" w:pos="1440"/>
                <w:tab w:val="left" w:leader="dot" w:pos="8640"/>
              </w:tabs>
              <w:jc w:val="center"/>
              <w:rPr>
                <w:b/>
                <w:bCs/>
                <w:sz w:val="22"/>
                <w:szCs w:val="22"/>
              </w:rPr>
            </w:pPr>
            <w:r w:rsidRPr="00910509">
              <w:rPr>
                <w:b/>
                <w:bCs/>
                <w:sz w:val="22"/>
                <w:szCs w:val="22"/>
              </w:rPr>
              <w:t>$2.25</w:t>
            </w:r>
          </w:p>
        </w:tc>
        <w:tc>
          <w:tcPr>
            <w:tcW w:w="1318" w:type="dxa"/>
          </w:tcPr>
          <w:p w:rsidR="00D13B25" w:rsidRPr="00910509" w:rsidP="00E82D55" w14:paraId="4F7DA28A" w14:textId="77777777">
            <w:pPr>
              <w:tabs>
                <w:tab w:val="left" w:pos="1440"/>
                <w:tab w:val="left" w:leader="dot" w:pos="8640"/>
              </w:tabs>
              <w:jc w:val="center"/>
              <w:rPr>
                <w:b/>
                <w:bCs/>
                <w:sz w:val="22"/>
                <w:szCs w:val="22"/>
              </w:rPr>
            </w:pPr>
            <w:r w:rsidRPr="00910509">
              <w:rPr>
                <w:b/>
                <w:bCs/>
                <w:sz w:val="22"/>
                <w:szCs w:val="22"/>
              </w:rPr>
              <w:t>$1.53</w:t>
            </w:r>
          </w:p>
        </w:tc>
        <w:tc>
          <w:tcPr>
            <w:tcW w:w="1318" w:type="dxa"/>
          </w:tcPr>
          <w:p w:rsidR="00D13B25" w:rsidRPr="00910509" w:rsidP="00E82D55" w14:paraId="21D171DC" w14:textId="77777777">
            <w:pPr>
              <w:tabs>
                <w:tab w:val="left" w:pos="1440"/>
                <w:tab w:val="left" w:leader="dot" w:pos="8640"/>
              </w:tabs>
              <w:jc w:val="center"/>
              <w:rPr>
                <w:b/>
                <w:bCs/>
                <w:sz w:val="22"/>
                <w:szCs w:val="22"/>
              </w:rPr>
            </w:pPr>
            <w:r w:rsidRPr="00910509">
              <w:rPr>
                <w:b/>
                <w:bCs/>
                <w:sz w:val="22"/>
                <w:szCs w:val="22"/>
              </w:rPr>
              <w:t>$1.00</w:t>
            </w:r>
          </w:p>
        </w:tc>
        <w:tc>
          <w:tcPr>
            <w:tcW w:w="1319" w:type="dxa"/>
          </w:tcPr>
          <w:p w:rsidR="00D13B25" w:rsidRPr="00910509" w:rsidP="00E82D55" w14:paraId="7B09C3B5" w14:textId="77777777">
            <w:pPr>
              <w:tabs>
                <w:tab w:val="left" w:pos="1440"/>
                <w:tab w:val="left" w:leader="dot" w:pos="8640"/>
              </w:tabs>
              <w:jc w:val="center"/>
              <w:rPr>
                <w:b/>
                <w:bCs/>
                <w:sz w:val="22"/>
                <w:szCs w:val="22"/>
              </w:rPr>
            </w:pPr>
            <w:r w:rsidRPr="00910509">
              <w:rPr>
                <w:b/>
                <w:bCs/>
                <w:sz w:val="22"/>
                <w:szCs w:val="22"/>
              </w:rPr>
              <w:t>$1.00</w:t>
            </w:r>
          </w:p>
        </w:tc>
        <w:tc>
          <w:tcPr>
            <w:tcW w:w="1319" w:type="dxa"/>
          </w:tcPr>
          <w:p w:rsidR="00D13B25" w:rsidRPr="00910509" w:rsidP="00E82D55" w14:paraId="40A5FF33" w14:textId="77777777">
            <w:pPr>
              <w:tabs>
                <w:tab w:val="left" w:pos="1440"/>
                <w:tab w:val="left" w:leader="dot" w:pos="8640"/>
              </w:tabs>
              <w:jc w:val="center"/>
              <w:rPr>
                <w:b/>
                <w:bCs/>
                <w:sz w:val="22"/>
                <w:szCs w:val="22"/>
              </w:rPr>
            </w:pPr>
            <w:r w:rsidRPr="00910509">
              <w:rPr>
                <w:b/>
                <w:bCs/>
                <w:sz w:val="22"/>
                <w:szCs w:val="22"/>
              </w:rPr>
              <w:t>$1.53</w:t>
            </w:r>
          </w:p>
        </w:tc>
      </w:tr>
    </w:tbl>
    <w:p w:rsidR="00D13B25" w:rsidP="0078787D" w14:paraId="2A842F7A" w14:textId="77777777">
      <w:pPr>
        <w:rPr>
          <w:b/>
          <w:bCs/>
        </w:rPr>
      </w:pPr>
    </w:p>
    <w:p w:rsidR="00E55774" w:rsidP="00E752A2" w14:paraId="115DE3A3" w14:textId="16127DAD">
      <w:pPr>
        <w:spacing w:line="480" w:lineRule="auto"/>
        <w:ind w:firstLine="720"/>
        <w:rPr>
          <w:b/>
          <w:bCs/>
          <w:i/>
          <w:iCs/>
        </w:rPr>
      </w:pPr>
      <w:r w:rsidRPr="00D13B25">
        <w:t>These proposed rate caps on annual CEP Rider increases are too high for consumers. The PUCO approved Duke’s CEP Rider in Case No. 19-791-GA-ALT</w:t>
      </w:r>
      <w:r w:rsidR="00BC4E0B">
        <w:t xml:space="preserve"> and set </w:t>
      </w:r>
      <w:r w:rsidRPr="00D13B25">
        <w:t>lower limits on CEP Rider increases to consumers.</w:t>
      </w:r>
      <w:r>
        <w:rPr>
          <w:rStyle w:val="FootnoteReference"/>
        </w:rPr>
        <w:footnoteReference w:id="76"/>
      </w:r>
      <w:r w:rsidRPr="00D13B25">
        <w:t xml:space="preserve"> The Case No. 19-791 Settlement state</w:t>
      </w:r>
      <w:r w:rsidR="00BC4E0B">
        <w:t>s</w:t>
      </w:r>
      <w:r w:rsidRPr="00D13B25">
        <w:t xml:space="preserve"> in its entirety that:</w:t>
      </w:r>
      <w:r>
        <w:t xml:space="preserve"> </w:t>
      </w:r>
      <w:r w:rsidRPr="00D13B25">
        <w:t>“</w:t>
      </w:r>
      <w:r w:rsidRPr="00D13B25" w:rsidR="00C84D35">
        <w:t>For Rider CEP update filings made by the Company [Duke] to recover the revenue requirement associated with investments and associated CEP regulatory assets beginning January 1, 2021 and forward, the monthly residential Rider CEP rate will be allowed to increase no more than $1.00 per year over the prior year’s residential Rider CEP rate.</w:t>
      </w:r>
      <w:bookmarkStart w:id="23" w:name="_Hlk124495569"/>
      <w:r w:rsidRPr="00D13B25">
        <w:t>”</w:t>
      </w:r>
      <w:r>
        <w:rPr>
          <w:rStyle w:val="FootnoteReference"/>
        </w:rPr>
        <w:footnoteReference w:id="77"/>
      </w:r>
      <w:r w:rsidRPr="00D13B25">
        <w:t xml:space="preserve"> The Settlement goes on to state that “</w:t>
      </w:r>
      <w:r>
        <w:t>[t]</w:t>
      </w:r>
      <w:r w:rsidRPr="00D13B25" w:rsidR="00C84D35">
        <w:t>he annual residential rate caps agreed to in this Stipulation shall apply until the effective date of the Company’s next natural gas base rate case</w:t>
      </w:r>
      <w:bookmarkEnd w:id="23"/>
      <w:r w:rsidRPr="00D13B25" w:rsidR="00C84D35">
        <w:t>.</w:t>
      </w:r>
      <w:r>
        <w:rPr>
          <w:rStyle w:val="FootnoteReference"/>
        </w:rPr>
        <w:footnoteReference w:id="78"/>
      </w:r>
      <w:r w:rsidRPr="00C62275" w:rsidR="00C84D35">
        <w:rPr>
          <w:b/>
          <w:bCs/>
          <w:i/>
          <w:iCs/>
        </w:rPr>
        <w:t xml:space="preserve"> </w:t>
      </w:r>
    </w:p>
    <w:p w:rsidR="00C84D35" w:rsidP="00E752A2" w14:paraId="61BAC972" w14:textId="274807BF">
      <w:pPr>
        <w:spacing w:line="480" w:lineRule="auto"/>
        <w:ind w:firstLine="720"/>
      </w:pPr>
      <w:r w:rsidRPr="00D13B25">
        <w:t>The effective date for Duke’s “next natural gas base rate case” is the date of a PUCO opinion and order in this case (and is yet to be issued). Therefore, the PUCO should enforce the provisions of the Case No. 19-791 Settlement and reject the Settlement’s proposed $2.25 CEP Rider caps for CEP assets placed in service in 2022 and thereafter, until the date of the PUCO’s Order that decides and sets the effective date for this rate case. The PUCO should state directly that the $1.00 CEP rate caps adopted in Case No. 19-791-GA-ALT will apply to CEP assets placed in service in 2022 up to the date of its opinion and order in this rate case. Otherwise, the new Settlement violates the PUCO Order that approved the Settlement in Case No. 19-791-GA-ALT.</w:t>
      </w:r>
    </w:p>
    <w:p w:rsidR="009E1B20" w:rsidP="00E752A2" w14:paraId="467943B7" w14:textId="5A3BA892">
      <w:pPr>
        <w:spacing w:line="480" w:lineRule="auto"/>
        <w:ind w:firstLine="720"/>
      </w:pPr>
      <w:r>
        <w:t xml:space="preserve">Further, </w:t>
      </w:r>
      <w:r w:rsidR="00E55774">
        <w:t xml:space="preserve">the proposed </w:t>
      </w:r>
      <w:r>
        <w:t xml:space="preserve">Settlement </w:t>
      </w:r>
      <w:r w:rsidR="00E55774">
        <w:t xml:space="preserve">in this case </w:t>
      </w:r>
      <w:r>
        <w:t>sets CEP Rider caps at a level that circumvents their purpose.</w:t>
      </w:r>
      <w:r w:rsidR="00BC4E0B">
        <w:t xml:space="preserve"> The PUCO found in Case No. </w:t>
      </w:r>
      <w:r w:rsidRPr="00631E6F" w:rsidR="00BC4E0B">
        <w:t>19-468-GA-ALT</w:t>
      </w:r>
      <w:r w:rsidR="00BC4E0B">
        <w:t xml:space="preserve"> that rate caps are meant to limit CEP capital investments</w:t>
      </w:r>
      <w:r w:rsidRPr="00631E6F" w:rsidR="00BC4E0B">
        <w:t>.</w:t>
      </w:r>
      <w:r w:rsidR="00BC4E0B">
        <w:t xml:space="preserve"> In the Case No. 19-468-GA-ALT Opinion and Order, the PUCO stated: “</w:t>
      </w:r>
      <w:r w:rsidRPr="00BC4E0B" w:rsidR="00BC4E0B">
        <w:t>The fundamental purpose of either of the caps is</w:t>
      </w:r>
      <w:r w:rsidR="00BC4E0B">
        <w:t>…</w:t>
      </w:r>
      <w:r w:rsidRPr="00BC4E0B" w:rsidR="00BC4E0B">
        <w:t>to limit the amount of the capital investments</w:t>
      </w:r>
      <w:r w:rsidRPr="00631E6F" w:rsidR="00BC4E0B">
        <w:t xml:space="preserve"> made by Dominion.</w:t>
      </w:r>
      <w:r w:rsidR="00BC4E0B">
        <w:t>”</w:t>
      </w:r>
      <w:r w:rsidRPr="00DB40C5" w:rsidR="00DB40C5">
        <w:rPr>
          <w:rStyle w:val="FootnoteReference"/>
        </w:rPr>
        <w:t xml:space="preserve"> </w:t>
      </w:r>
      <w:r>
        <w:rPr>
          <w:rStyle w:val="FootnoteReference"/>
        </w:rPr>
        <w:footnoteReference w:id="79"/>
      </w:r>
    </w:p>
    <w:p w:rsidR="00E752A2" w:rsidP="00E752A2" w14:paraId="5AAB1796" w14:textId="12D7C521">
      <w:pPr>
        <w:spacing w:line="480" w:lineRule="auto"/>
        <w:ind w:firstLine="720"/>
      </w:pPr>
      <w:r>
        <w:t xml:space="preserve">OCC witness Kerry Adkins testified that the proposed rate caps are too high to serve as limits on </w:t>
      </w:r>
      <w:r w:rsidRPr="00411669">
        <w:t>capital investment.</w:t>
      </w:r>
      <w:r>
        <w:rPr>
          <w:rStyle w:val="FootnoteReference"/>
        </w:rPr>
        <w:footnoteReference w:id="80"/>
      </w:r>
      <w:r w:rsidRPr="00411669">
        <w:t xml:space="preserve"> </w:t>
      </w:r>
      <w:r w:rsidRPr="00411669" w:rsidR="00411669">
        <w:t xml:space="preserve">This is because, even with the cap at </w:t>
      </w:r>
      <w:r w:rsidR="00411669">
        <w:t xml:space="preserve">its </w:t>
      </w:r>
      <w:r w:rsidRPr="00411669" w:rsidR="00411669">
        <w:t>current level of $1.00, Duke has a history of massive annual CEP spending increases.</w:t>
      </w:r>
      <w:r>
        <w:rPr>
          <w:rStyle w:val="FootnoteReference"/>
        </w:rPr>
        <w:footnoteReference w:id="81"/>
      </w:r>
      <w:r w:rsidR="002658DB">
        <w:t xml:space="preserve"> </w:t>
      </w:r>
      <w:r w:rsidRPr="00411669">
        <w:t>Mr. Adkins</w:t>
      </w:r>
      <w:r>
        <w:t xml:space="preserve"> testified that </w:t>
      </w:r>
      <w:r w:rsidR="002658DB">
        <w:t>“</w:t>
      </w:r>
      <w:r w:rsidRPr="00C62275" w:rsidR="00C84D35">
        <w:t>Duke’s CEP gross capital investments increased from $21,877,330 in 2013 (the first year of the CEP Program) to $95,136,703 in 2018 (the final year covered under the 19-791-GA-ALT case) – a</w:t>
      </w:r>
      <w:r>
        <w:t xml:space="preserve"> </w:t>
      </w:r>
      <w:r w:rsidRPr="00C62275" w:rsidR="00C84D35">
        <w:t xml:space="preserve">335% increase. In 2019, Duke’s CEP expenditures grew even more to $141,494,735, a 547% increase over the first year of the CEP. And in 2020, the CEP expenditures grew further still. 2020’s total CEP expenditures were $167,271,891 – </w:t>
      </w:r>
      <w:r>
        <w:t>a</w:t>
      </w:r>
      <w:r w:rsidRPr="00C62275" w:rsidR="00C84D35">
        <w:t xml:space="preserve"> 665% increase over the first year of the </w:t>
      </w:r>
      <w:r w:rsidR="00EE5955">
        <w:t>P</w:t>
      </w:r>
      <w:r w:rsidRPr="00C62275" w:rsidR="00C84D35">
        <w:t>rogram.</w:t>
      </w:r>
      <w:r w:rsidR="002658DB">
        <w:t>”</w:t>
      </w:r>
      <w:r>
        <w:rPr>
          <w:rStyle w:val="FootnoteReference"/>
        </w:rPr>
        <w:footnoteReference w:id="82"/>
      </w:r>
      <w:r w:rsidRPr="00C62275" w:rsidR="00C84D35">
        <w:t xml:space="preserve"> </w:t>
      </w:r>
      <w:r>
        <w:t xml:space="preserve">Duke’s high level of capital investment </w:t>
      </w:r>
      <w:r w:rsidR="00EE5955">
        <w:t>necessitates</w:t>
      </w:r>
      <w:r>
        <w:t xml:space="preserve"> a </w:t>
      </w:r>
      <w:r w:rsidR="00EE5955">
        <w:t>lower CEP Rider cap</w:t>
      </w:r>
      <w:r w:rsidR="00411669">
        <w:t xml:space="preserve"> than the Settlement provides. </w:t>
      </w:r>
    </w:p>
    <w:p w:rsidR="00C84D35" w:rsidP="00EE5955" w14:paraId="02805A5B" w14:textId="26701A31">
      <w:pPr>
        <w:spacing w:line="480" w:lineRule="auto"/>
        <w:ind w:firstLine="720"/>
      </w:pPr>
      <w:r>
        <w:t>In addition</w:t>
      </w:r>
      <w:r w:rsidRPr="00C62275">
        <w:t xml:space="preserve">, </w:t>
      </w:r>
      <w:r w:rsidR="00411669">
        <w:t>Mr. Adkins testified that “</w:t>
      </w:r>
      <w:r w:rsidRPr="00C62275">
        <w:t>growth is often cited as another reason for increased CEP expenditures and higher CEP caps.</w:t>
      </w:r>
      <w:r w:rsidR="00411669">
        <w:t>”</w:t>
      </w:r>
      <w:r>
        <w:rPr>
          <w:rStyle w:val="FootnoteReference"/>
        </w:rPr>
        <w:footnoteReference w:id="83"/>
      </w:r>
      <w:r w:rsidRPr="00C62275">
        <w:t xml:space="preserve"> </w:t>
      </w:r>
      <w:r w:rsidR="00411669">
        <w:t>But</w:t>
      </w:r>
      <w:r w:rsidRPr="00C62275">
        <w:t xml:space="preserve"> population in Duke’s service area is expected to increase only modestly -- by 0.89% in 2025 and by 1.91% from 2025 to 2030.</w:t>
      </w:r>
      <w:r>
        <w:rPr>
          <w:rStyle w:val="FootnoteReference"/>
        </w:rPr>
        <w:footnoteReference w:id="84"/>
      </w:r>
      <w:r>
        <w:t xml:space="preserve"> </w:t>
      </w:r>
      <w:r w:rsidRPr="00C62275">
        <w:t>In the four counties where Duke is the only natural gas service provider, ODSA projects a slight population contraction in 2030.</w:t>
      </w:r>
      <w:r>
        <w:rPr>
          <w:rStyle w:val="FootnoteReference"/>
        </w:rPr>
        <w:footnoteReference w:id="85"/>
      </w:r>
      <w:r>
        <w:t xml:space="preserve"> </w:t>
      </w:r>
      <w:r w:rsidRPr="00C62275">
        <w:t xml:space="preserve">Very modest anticipated growth in the population of Duke’s service area over the next seven to ten years is another reason to set the annual cap in CEP Rider increases at a low level. </w:t>
      </w:r>
    </w:p>
    <w:p w:rsidR="00411669" w:rsidRPr="003B2B02" w:rsidP="00EE5955" w14:paraId="1655B14A" w14:textId="35A99268">
      <w:pPr>
        <w:spacing w:line="480" w:lineRule="auto"/>
        <w:ind w:firstLine="720"/>
      </w:pPr>
      <w:r>
        <w:t xml:space="preserve">Allowing Duke to impose greater CEP Rider charges harms consumers and the public interest. </w:t>
      </w:r>
      <w:r w:rsidR="002658DB">
        <w:t xml:space="preserve">It is not justified by Duke’s runaway capital investment history or population growth in its service territory. </w:t>
      </w:r>
      <w:r>
        <w:t xml:space="preserve">The PUCO should instead enforce the </w:t>
      </w:r>
      <w:r w:rsidRPr="003B2B02">
        <w:t>settlement in Case No. 19-468-GA-ALT and limit rate caps to $1.00.</w:t>
      </w:r>
    </w:p>
    <w:p w:rsidR="005F533B" w:rsidRPr="004E79D9" w:rsidP="00D41818" w14:paraId="6073BE96" w14:textId="0AD96272">
      <w:pPr>
        <w:pStyle w:val="Heading3"/>
        <w:numPr>
          <w:ilvl w:val="0"/>
          <w:numId w:val="43"/>
        </w:numPr>
        <w:ind w:left="2880" w:hanging="720"/>
        <w:rPr>
          <w:rStyle w:val="Heading4Char"/>
        </w:rPr>
      </w:pPr>
      <w:bookmarkStart w:id="24" w:name="_Toc137825446"/>
      <w:r w:rsidRPr="004E79D9">
        <w:rPr>
          <w:rStyle w:val="Heading4Char"/>
        </w:rPr>
        <w:t xml:space="preserve">The </w:t>
      </w:r>
      <w:r w:rsidRPr="004E79D9" w:rsidR="006712D8">
        <w:rPr>
          <w:rStyle w:val="Heading4Char"/>
        </w:rPr>
        <w:t>CEP</w:t>
      </w:r>
      <w:r w:rsidRPr="004E79D9" w:rsidR="00D95879">
        <w:rPr>
          <w:rStyle w:val="Heading4Char"/>
        </w:rPr>
        <w:t xml:space="preserve"> Rider</w:t>
      </w:r>
      <w:r w:rsidRPr="004E79D9">
        <w:rPr>
          <w:rStyle w:val="Heading4Char"/>
        </w:rPr>
        <w:t xml:space="preserve"> should include a</w:t>
      </w:r>
      <w:r w:rsidRPr="004E79D9" w:rsidR="00AB5B0A">
        <w:rPr>
          <w:rStyle w:val="Heading4Char"/>
        </w:rPr>
        <w:t xml:space="preserve"> </w:t>
      </w:r>
      <w:r w:rsidRPr="004E79D9">
        <w:rPr>
          <w:rStyle w:val="Heading4Char"/>
        </w:rPr>
        <w:t xml:space="preserve">savings offset to </w:t>
      </w:r>
      <w:r w:rsidRPr="004E79D9" w:rsidR="004776C9">
        <w:rPr>
          <w:rStyle w:val="Heading4Char"/>
        </w:rPr>
        <w:t xml:space="preserve">return </w:t>
      </w:r>
      <w:r w:rsidRPr="004E79D9" w:rsidR="00AB5B0A">
        <w:rPr>
          <w:rStyle w:val="Heading4Char"/>
        </w:rPr>
        <w:t xml:space="preserve">operation and maintenance costs to </w:t>
      </w:r>
      <w:r w:rsidRPr="004E79D9" w:rsidR="004776C9">
        <w:rPr>
          <w:rStyle w:val="Heading4Char"/>
        </w:rPr>
        <w:t>consumers</w:t>
      </w:r>
      <w:r w:rsidRPr="004E79D9" w:rsidR="00AB5B0A">
        <w:rPr>
          <w:rStyle w:val="Heading4Char"/>
        </w:rPr>
        <w:t>.</w:t>
      </w:r>
      <w:bookmarkEnd w:id="24"/>
      <w:r w:rsidRPr="004E79D9" w:rsidR="004776C9">
        <w:rPr>
          <w:rStyle w:val="Heading4Char"/>
        </w:rPr>
        <w:t xml:space="preserve"> </w:t>
      </w:r>
    </w:p>
    <w:p w:rsidR="0044423F" w:rsidP="007E32ED" w14:paraId="4AFCF8BF" w14:textId="77777777">
      <w:pPr>
        <w:spacing w:line="480" w:lineRule="auto"/>
        <w:ind w:firstLine="720"/>
      </w:pPr>
      <w:r w:rsidRPr="004D58FF">
        <w:t xml:space="preserve">The CEP Rider does not benefit consumers or the public interest because it does not include a savings offset that returns to consumers O&amp;M costs </w:t>
      </w:r>
      <w:r w:rsidRPr="004D58FF" w:rsidR="00E55774">
        <w:t xml:space="preserve">currently </w:t>
      </w:r>
      <w:r w:rsidRPr="004D58FF">
        <w:t>included in their rates</w:t>
      </w:r>
      <w:r w:rsidRPr="004D58FF" w:rsidR="00D95879">
        <w:t xml:space="preserve">. All expenditure categories </w:t>
      </w:r>
      <w:r w:rsidRPr="004D58FF" w:rsidR="007E32ED">
        <w:t>in Duke’s CEP include “at least some replacement or upgrade of existing infrastructure and facilities.”</w:t>
      </w:r>
      <w:r>
        <w:rPr>
          <w:rStyle w:val="FootnoteReference"/>
        </w:rPr>
        <w:footnoteReference w:id="86"/>
      </w:r>
      <w:r w:rsidRPr="004D58FF" w:rsidR="007E32ED">
        <w:t xml:space="preserve"> </w:t>
      </w:r>
      <w:r w:rsidRPr="004D58FF" w:rsidR="00D95879">
        <w:t>As</w:t>
      </w:r>
      <w:r w:rsidRPr="004D58FF">
        <w:t xml:space="preserve"> Duke builds ne</w:t>
      </w:r>
      <w:r w:rsidRPr="004D58FF" w:rsidR="00D95879">
        <w:t>w facilities that are less expensive to maintain than older infrastructure, “monitoring, maintenance, and repair costs built into the base rates that consumers pay” are “avoided.”</w:t>
      </w:r>
      <w:r>
        <w:rPr>
          <w:rStyle w:val="FootnoteReference"/>
        </w:rPr>
        <w:footnoteReference w:id="87"/>
      </w:r>
      <w:r w:rsidRPr="004D58FF" w:rsidR="00D95879">
        <w:t xml:space="preserve"> Costs avoided by new facilities should be returned to consumers through an O&amp;M offset. </w:t>
      </w:r>
    </w:p>
    <w:p w:rsidR="007E32ED" w:rsidRPr="004D58FF" w:rsidP="007E32ED" w14:paraId="552201BE" w14:textId="305F16DD">
      <w:pPr>
        <w:spacing w:line="480" w:lineRule="auto"/>
        <w:ind w:firstLine="720"/>
      </w:pPr>
      <w:r w:rsidRPr="004D58FF">
        <w:t>OCC witness Kerry Adkins testified that, without an O&amp;M offset, “consumers ended up paying for both the new and upgraded infrastructure and facilities, while continuing to pay for maintenance of the old infrastructure and facilities that were replaced or upgraded in their base gas distribution rates.”</w:t>
      </w:r>
      <w:r>
        <w:rPr>
          <w:rStyle w:val="FootnoteReference"/>
        </w:rPr>
        <w:footnoteReference w:id="88"/>
      </w:r>
      <w:r w:rsidRPr="004D58FF">
        <w:t xml:space="preserve"> This is unjust and unreasonable. </w:t>
      </w:r>
    </w:p>
    <w:p w:rsidR="00D63352" w:rsidP="00DB40C5" w14:paraId="7BCB3060" w14:textId="06BA888E">
      <w:pPr>
        <w:spacing w:line="480" w:lineRule="auto"/>
        <w:ind w:firstLine="720"/>
      </w:pPr>
      <w:r w:rsidRPr="004D58FF">
        <w:t xml:space="preserve">Duke </w:t>
      </w:r>
      <w:r w:rsidRPr="004D58FF" w:rsidR="00E55774">
        <w:t xml:space="preserve">has </w:t>
      </w:r>
      <w:r w:rsidRPr="004D58FF">
        <w:t xml:space="preserve">already acknowledged </w:t>
      </w:r>
      <w:r w:rsidRPr="004D58FF" w:rsidR="00E55774">
        <w:t xml:space="preserve">that </w:t>
      </w:r>
      <w:r w:rsidRPr="004D58FF" w:rsidR="00593696">
        <w:t>capital expenditure</w:t>
      </w:r>
      <w:r w:rsidRPr="004D58FF" w:rsidR="00E55774">
        <w:t>s</w:t>
      </w:r>
      <w:r w:rsidRPr="004D58FF" w:rsidR="00593696">
        <w:t xml:space="preserve"> reduce O&amp;M costs</w:t>
      </w:r>
      <w:r w:rsidRPr="004D58FF">
        <w:t xml:space="preserve"> by including an O&amp;M savings offset in its </w:t>
      </w:r>
      <w:r w:rsidRPr="0044423F" w:rsidR="006712D8">
        <w:t>Accelerated Main Repair Project (</w:t>
      </w:r>
      <w:r w:rsidRPr="0044423F">
        <w:t>AMRP</w:t>
      </w:r>
      <w:r w:rsidRPr="0044423F" w:rsidR="006712D8">
        <w:t>)</w:t>
      </w:r>
      <w:r w:rsidRPr="0044423F">
        <w:t xml:space="preserve"> Rider</w:t>
      </w:r>
      <w:r w:rsidRPr="0044423F" w:rsidR="003A4B29">
        <w:t>.</w:t>
      </w:r>
      <w:r>
        <w:rPr>
          <w:rStyle w:val="FootnoteReference"/>
        </w:rPr>
        <w:footnoteReference w:id="89"/>
      </w:r>
      <w:r w:rsidRPr="004D58FF" w:rsidR="006712D8">
        <w:t xml:space="preserve"> </w:t>
      </w:r>
      <w:r w:rsidRPr="004D58FF" w:rsidR="003A4B29">
        <w:t xml:space="preserve">The CEP Rider should have an O&amp;M offset, as the AMRP Rider does, because the programs serve similar functions: replacing aging pipelines with new infrastructure. </w:t>
      </w:r>
      <w:r w:rsidRPr="004D58FF">
        <w:t xml:space="preserve">Ms. Lawler </w:t>
      </w:r>
      <w:r>
        <w:t>stated</w:t>
      </w:r>
      <w:r w:rsidRPr="004D58FF">
        <w:t xml:space="preserve"> that “the primary purpose of </w:t>
      </w:r>
      <w:r>
        <w:t>[the AMRP]</w:t>
      </w:r>
      <w:r w:rsidRPr="004D58FF">
        <w:t xml:space="preserve"> rider was to replace old mains that were prone to leaks</w:t>
      </w:r>
      <w:r w:rsidRPr="004D58FF" w:rsidR="002C743B">
        <w:t>.</w:t>
      </w:r>
      <w:r w:rsidRPr="004D58FF">
        <w:t>”</w:t>
      </w:r>
      <w:r>
        <w:rPr>
          <w:rStyle w:val="FootnoteReference"/>
        </w:rPr>
        <w:footnoteReference w:id="90"/>
      </w:r>
      <w:r w:rsidRPr="004D58FF" w:rsidR="002C743B">
        <w:t xml:space="preserve"> Ms. Lawler also agreed on cross that, through the AMRP program, Duke “replaced a great deal of cast iron and bare steel pipe…which was many years old and in need of repair.”</w:t>
      </w:r>
      <w:r>
        <w:rPr>
          <w:rStyle w:val="FootnoteReference"/>
        </w:rPr>
        <w:footnoteReference w:id="91"/>
      </w:r>
      <w:r w:rsidRPr="004D58FF">
        <w:t xml:space="preserve"> </w:t>
      </w:r>
    </w:p>
    <w:p w:rsidR="0044423F" w:rsidP="00F6067A" w14:paraId="521D7BD0" w14:textId="508446FD">
      <w:pPr>
        <w:spacing w:line="480" w:lineRule="auto"/>
        <w:ind w:firstLine="720"/>
      </w:pPr>
      <w:r w:rsidRPr="004D58FF">
        <w:t xml:space="preserve">Like Duke’s AMRP Rider – which includes an O&amp;M savings offset – Duke’s CEP Rider </w:t>
      </w:r>
      <w:r w:rsidR="00D63352">
        <w:t>funds</w:t>
      </w:r>
      <w:r w:rsidRPr="004D58FF">
        <w:t xml:space="preserve"> replacement of aging </w:t>
      </w:r>
      <w:r w:rsidRPr="004D58FF" w:rsidR="002C743B">
        <w:t>pipelines</w:t>
      </w:r>
      <w:r w:rsidRPr="004D58FF">
        <w:t xml:space="preserve">. </w:t>
      </w:r>
      <w:r w:rsidR="007A022B">
        <w:t xml:space="preserve">Mr. Weisker testified that </w:t>
      </w:r>
      <w:r w:rsidRPr="004D58FF" w:rsidR="002C743B">
        <w:t>the CEP project fund</w:t>
      </w:r>
      <w:r w:rsidR="007A022B">
        <w:t>ed</w:t>
      </w:r>
      <w:r w:rsidRPr="004D58FF" w:rsidR="002C743B">
        <w:t xml:space="preserve">, for example, the CG04 MAOP Project, the purpose of which </w:t>
      </w:r>
      <w:r w:rsidR="007A022B">
        <w:t>was</w:t>
      </w:r>
      <w:r w:rsidRPr="004D58FF" w:rsidR="007A022B">
        <w:t xml:space="preserve"> </w:t>
      </w:r>
      <w:r w:rsidRPr="004D58FF" w:rsidR="002C743B">
        <w:t>“removing the existing 4 miles of 20’ high pressure pipeline from service” and “recommissioning the pipeline to service.”</w:t>
      </w:r>
      <w:r>
        <w:rPr>
          <w:rStyle w:val="FootnoteReference"/>
        </w:rPr>
        <w:footnoteReference w:id="92"/>
      </w:r>
      <w:r w:rsidRPr="004D58FF" w:rsidR="002C743B">
        <w:t xml:space="preserve"> The CEP Rider will also fund the D000B Pipeline Replacement project, which “was needed to replace” an “aging 20- and 24- inch dual diameter natural gas pipeline that was constructed in 1948, which supplies various distribution pipelines” and “end users…”</w:t>
      </w:r>
      <w:r>
        <w:rPr>
          <w:rStyle w:val="FootnoteReference"/>
        </w:rPr>
        <w:footnoteReference w:id="93"/>
      </w:r>
      <w:r w:rsidRPr="004D58FF" w:rsidR="002C743B">
        <w:t xml:space="preserve"> </w:t>
      </w:r>
    </w:p>
    <w:p w:rsidR="00D63352" w:rsidP="0044423F" w14:paraId="0B14D022" w14:textId="08A03617">
      <w:pPr>
        <w:spacing w:line="480" w:lineRule="auto"/>
        <w:ind w:firstLine="720"/>
      </w:pPr>
      <w:r>
        <w:t xml:space="preserve">Under the CEP, pipe-replacement projects have reduced leaks in Duke’s system. </w:t>
      </w:r>
      <w:r w:rsidRPr="004D58FF">
        <w:t>Duke witness Weisker testified that</w:t>
      </w:r>
      <w:r>
        <w:t>,</w:t>
      </w:r>
      <w:r w:rsidRPr="004D58FF">
        <w:t xml:space="preserve"> </w:t>
      </w:r>
      <w:r>
        <w:t>under the CEP from 2020 to 2022, Duke reduced the number of open leaks from 609 to 18.</w:t>
      </w:r>
      <w:r>
        <w:rPr>
          <w:rStyle w:val="FootnoteReference"/>
        </w:rPr>
        <w:footnoteReference w:id="94"/>
      </w:r>
      <w:r>
        <w:t xml:space="preserve"> This means that Duke had 591 fewer open leaks to monitor. Reducing leaks should generate O&amp;M savings, as did the AMRP program, which was also intended to reduce leaks.</w:t>
      </w:r>
    </w:p>
    <w:p w:rsidR="00F549F4" w:rsidRPr="004D58FF" w:rsidP="0044423F" w14:paraId="342D0FD5" w14:textId="691CA5E2">
      <w:pPr>
        <w:spacing w:line="480" w:lineRule="auto"/>
        <w:ind w:firstLine="720"/>
      </w:pPr>
      <w:r w:rsidRPr="004D58FF">
        <w:t>And the CEP Rider is much broader than the AMRP</w:t>
      </w:r>
      <w:r w:rsidRPr="004D58FF" w:rsidR="00593696">
        <w:t xml:space="preserve">; </w:t>
      </w:r>
      <w:r w:rsidRPr="004D58FF">
        <w:t xml:space="preserve">it covers “the vast majority of the capital investment” </w:t>
      </w:r>
      <w:r w:rsidRPr="004D58FF" w:rsidR="009E1CC1">
        <w:t>for Duke</w:t>
      </w:r>
      <w:r w:rsidRPr="004D58FF">
        <w:t>.</w:t>
      </w:r>
      <w:r>
        <w:rPr>
          <w:rStyle w:val="FootnoteReference"/>
        </w:rPr>
        <w:footnoteReference w:id="95"/>
      </w:r>
      <w:r w:rsidRPr="004D58FF">
        <w:t xml:space="preserve"> The </w:t>
      </w:r>
      <w:r w:rsidRPr="004D58FF" w:rsidR="009E1CC1">
        <w:t xml:space="preserve">comparatively greater </w:t>
      </w:r>
      <w:r w:rsidRPr="004D58FF" w:rsidR="00593696">
        <w:t xml:space="preserve">capital investment </w:t>
      </w:r>
      <w:r w:rsidRPr="004D58FF" w:rsidR="009E1CC1">
        <w:t xml:space="preserve">funded by the CEP Rider </w:t>
      </w:r>
      <w:r w:rsidRPr="004D58FF" w:rsidR="003A4B29">
        <w:t xml:space="preserve">for pipeline replacement </w:t>
      </w:r>
      <w:r w:rsidRPr="004D58FF">
        <w:t>should allow</w:t>
      </w:r>
      <w:r w:rsidRPr="004D58FF" w:rsidR="00593696">
        <w:t xml:space="preserve"> Duke to avoid </w:t>
      </w:r>
      <w:r w:rsidRPr="004D58FF" w:rsidR="009E1CC1">
        <w:t xml:space="preserve">even </w:t>
      </w:r>
      <w:r w:rsidRPr="004D58FF" w:rsidR="00593696">
        <w:t>more O&amp;M costs than the AMRP Rider</w:t>
      </w:r>
      <w:r w:rsidRPr="004D58FF" w:rsidR="009E1CC1">
        <w:t xml:space="preserve"> does</w:t>
      </w:r>
      <w:r w:rsidRPr="004D58FF">
        <w:t xml:space="preserve">. So, </w:t>
      </w:r>
      <w:r w:rsidRPr="004D58FF" w:rsidR="009E1CC1">
        <w:t xml:space="preserve">the </w:t>
      </w:r>
      <w:r w:rsidRPr="004D58FF">
        <w:t>CEP Rider</w:t>
      </w:r>
      <w:r w:rsidRPr="004D58FF" w:rsidR="006712D8">
        <w:t xml:space="preserve"> – like the AMRP Rider – should </w:t>
      </w:r>
      <w:r w:rsidRPr="004D58FF">
        <w:t xml:space="preserve">include an O&amp;M savings offset that allows these avoided costs to be returned to consumers. </w:t>
      </w:r>
      <w:r w:rsidRPr="004D58FF" w:rsidR="006712D8">
        <w:t xml:space="preserve">The Settlement does not provide for one, which does not benefit consumers or the public interest. </w:t>
      </w:r>
    </w:p>
    <w:p w:rsidR="005747DC" w:rsidRPr="00522D14" w:rsidP="00D41818" w14:paraId="71C16418" w14:textId="7D6241C3">
      <w:pPr>
        <w:pStyle w:val="Heading3"/>
        <w:numPr>
          <w:ilvl w:val="0"/>
          <w:numId w:val="43"/>
        </w:numPr>
        <w:ind w:left="2880" w:hanging="720"/>
      </w:pPr>
      <w:bookmarkStart w:id="27" w:name="_Toc137825447"/>
      <w:bookmarkStart w:id="28" w:name="_Hlk137050222"/>
      <w:r w:rsidRPr="004E79D9">
        <w:rPr>
          <w:rStyle w:val="Heading4Char"/>
        </w:rPr>
        <w:t>Removing the depreciation offset from Rider CEP allows Duke to overcharge consumers for new investment between rate cases without reducing charges to account for simultaneous depreciation.</w:t>
      </w:r>
      <w:bookmarkEnd w:id="27"/>
      <w:r w:rsidRPr="00522D14">
        <w:t xml:space="preserve"> </w:t>
      </w:r>
    </w:p>
    <w:bookmarkEnd w:id="28"/>
    <w:p w:rsidR="0044423F" w:rsidP="001C057C" w14:paraId="1EC080EB" w14:textId="77777777">
      <w:pPr>
        <w:spacing w:line="480" w:lineRule="auto"/>
        <w:ind w:firstLine="720"/>
      </w:pPr>
      <w:r>
        <w:t>Without the depreciation offset</w:t>
      </w:r>
      <w:r w:rsidR="00AF50B9">
        <w:t xml:space="preserve"> to Rider CEP</w:t>
      </w:r>
      <w:r>
        <w:t>, the Settlement does not benefit consumers and the public interest</w:t>
      </w:r>
      <w:r w:rsidR="00AF50B9">
        <w:t xml:space="preserve"> and will charge consumers unjust and unreasonable rates. </w:t>
      </w:r>
      <w:r w:rsidRPr="005A3BF3">
        <w:t xml:space="preserve">Rider CEP allows for rates </w:t>
      </w:r>
      <w:r w:rsidR="001032AF">
        <w:t xml:space="preserve">to be increased </w:t>
      </w:r>
      <w:r w:rsidRPr="005A3BF3">
        <w:t xml:space="preserve">in between rate cases for additional </w:t>
      </w:r>
      <w:r w:rsidR="001C057C">
        <w:t>plant investment.</w:t>
      </w:r>
      <w:r>
        <w:rPr>
          <w:rStyle w:val="FootnoteReference"/>
        </w:rPr>
        <w:footnoteReference w:id="96"/>
      </w:r>
      <w:r>
        <w:t xml:space="preserve"> </w:t>
      </w:r>
    </w:p>
    <w:p w:rsidR="005747DC" w:rsidP="001C057C" w14:paraId="4E410D8C" w14:textId="06157A7B">
      <w:pPr>
        <w:spacing w:line="480" w:lineRule="auto"/>
        <w:ind w:firstLine="720"/>
      </w:pPr>
      <w:r>
        <w:t>OCC witness Greg Meyer testified that the</w:t>
      </w:r>
      <w:r w:rsidRPr="005A3BF3" w:rsidR="00AF50B9">
        <w:t xml:space="preserve"> depreciation offset </w:t>
      </w:r>
      <w:r w:rsidR="001C057C">
        <w:t xml:space="preserve">to Rider CEP </w:t>
      </w:r>
      <w:r>
        <w:t>“</w:t>
      </w:r>
      <w:r w:rsidRPr="005A3BF3" w:rsidR="00AF50B9">
        <w:t xml:space="preserve">is necessary to recognize the </w:t>
      </w:r>
      <w:r>
        <w:t xml:space="preserve">undisputed </w:t>
      </w:r>
      <w:r w:rsidRPr="005A3BF3" w:rsidR="00AF50B9">
        <w:t>reduction in the rate base in between rate cases</w:t>
      </w:r>
      <w:r>
        <w:t>”</w:t>
      </w:r>
      <w:r w:rsidRPr="005A3BF3" w:rsidR="00AF50B9">
        <w:t xml:space="preserve"> </w:t>
      </w:r>
      <w:r>
        <w:t>caused by “accumulated</w:t>
      </w:r>
      <w:r w:rsidRPr="005A3BF3" w:rsidR="00AF50B9">
        <w:t xml:space="preserve"> depreciation.</w:t>
      </w:r>
      <w:r>
        <w:t>”</w:t>
      </w:r>
      <w:r>
        <w:rPr>
          <w:rStyle w:val="FootnoteReference"/>
        </w:rPr>
        <w:footnoteReference w:id="97"/>
      </w:r>
      <w:r w:rsidR="00AF50B9">
        <w:t xml:space="preserve"> </w:t>
      </w:r>
      <w:r w:rsidRPr="005A3BF3">
        <w:t xml:space="preserve">The depreciation offset reduces the return on the new Rider CEP investments that correspond to the decline in rate base </w:t>
      </w:r>
      <w:r>
        <w:t xml:space="preserve">caused by depreciation </w:t>
      </w:r>
      <w:r w:rsidRPr="005A3BF3">
        <w:t>that occurs in between rate cases.</w:t>
      </w:r>
      <w:r>
        <w:rPr>
          <w:rStyle w:val="FootnoteReference"/>
        </w:rPr>
        <w:footnoteReference w:id="98"/>
      </w:r>
      <w:r w:rsidRPr="005A3BF3">
        <w:t xml:space="preserve"> If the depreciation offset is not recognized, Duke will be allowed to charge </w:t>
      </w:r>
      <w:r w:rsidR="00E62138">
        <w:t>consumers</w:t>
      </w:r>
      <w:r w:rsidRPr="005A3BF3" w:rsidR="00E62138">
        <w:t xml:space="preserve"> </w:t>
      </w:r>
      <w:r w:rsidRPr="005A3BF3">
        <w:t>for</w:t>
      </w:r>
      <w:r w:rsidR="001C057C">
        <w:t xml:space="preserve"> new</w:t>
      </w:r>
      <w:r w:rsidRPr="005A3BF3">
        <w:t xml:space="preserve"> investments </w:t>
      </w:r>
      <w:r w:rsidR="001C057C">
        <w:t xml:space="preserve">that add to rate base without reducing CEP charges to account for depreciation that reduces rate base. This </w:t>
      </w:r>
      <w:r w:rsidR="00F8329F">
        <w:t>harms consumers and the public interest by allowing Duke to overcharge for new investment. The PUCO should reject this proposal and require Duke to maintain the depreciation offset to Rider CEP.</w:t>
      </w:r>
      <w:r w:rsidR="00F6067A">
        <w:t xml:space="preserve"> </w:t>
      </w:r>
    </w:p>
    <w:p w:rsidR="00D562B7" w:rsidRPr="00522D14" w:rsidP="00193233" w14:paraId="4715BCE9" w14:textId="01E32114">
      <w:pPr>
        <w:pStyle w:val="Heading3"/>
      </w:pPr>
      <w:bookmarkStart w:id="29" w:name="_Toc137825448"/>
      <w:r w:rsidRPr="00522D14">
        <w:t xml:space="preserve">The </w:t>
      </w:r>
      <w:r w:rsidRPr="00522D14" w:rsidR="002E5699">
        <w:t xml:space="preserve">PUCO should reject the </w:t>
      </w:r>
      <w:r w:rsidR="00E62138">
        <w:t>S</w:t>
      </w:r>
      <w:r w:rsidRPr="00522D14">
        <w:t>ettlement</w:t>
      </w:r>
      <w:r w:rsidRPr="00522D14" w:rsidR="002E5699">
        <w:t xml:space="preserve"> because it</w:t>
      </w:r>
      <w:r w:rsidRPr="00522D14">
        <w:t xml:space="preserve"> harms consumers and the public interest by </w:t>
      </w:r>
      <w:r w:rsidRPr="00522D14" w:rsidR="00DC53CD">
        <w:t xml:space="preserve">allowing Duke to charge consumers for </w:t>
      </w:r>
      <w:r w:rsidRPr="00522D14">
        <w:t xml:space="preserve">an inflated </w:t>
      </w:r>
      <w:r w:rsidRPr="00522D14" w:rsidR="00DC53CD">
        <w:t>profit (</w:t>
      </w:r>
      <w:r w:rsidRPr="00522D14">
        <w:t>return on equity</w:t>
      </w:r>
      <w:r w:rsidRPr="00522D14" w:rsidR="00DC53CD">
        <w:t>)</w:t>
      </w:r>
      <w:r w:rsidRPr="00522D14">
        <w:t xml:space="preserve"> and a capital structure with excessive equity.</w:t>
      </w:r>
      <w:bookmarkEnd w:id="29"/>
      <w:r w:rsidRPr="00522D14">
        <w:rPr>
          <w:i/>
          <w:iCs/>
        </w:rPr>
        <w:t xml:space="preserve"> </w:t>
      </w:r>
    </w:p>
    <w:p w:rsidR="00D562B7" w:rsidRPr="00F126CD" w:rsidP="00D562B7" w14:paraId="27FD06F8" w14:textId="05B17B16">
      <w:pPr>
        <w:pStyle w:val="Body"/>
        <w:spacing w:line="480" w:lineRule="auto"/>
        <w:ind w:left="0" w:firstLine="0"/>
        <w:rPr>
          <w:rFonts w:cs="Times New Roman"/>
          <w:lang w:val="en-US"/>
        </w:rPr>
      </w:pPr>
      <w:r w:rsidRPr="00F126CD">
        <w:rPr>
          <w:rFonts w:cs="Times New Roman"/>
          <w:lang w:val="en-US"/>
        </w:rPr>
        <w:tab/>
        <w:t>The capital structure and overall cost of capital agreed to in the Settlement are excessive compared to national averages among similar entities. The PUCO should use OCC</w:t>
      </w:r>
      <w:r w:rsidRPr="00F126CD">
        <w:rPr>
          <w:rFonts w:cs="Times New Roman"/>
          <w:rtl/>
          <w:lang w:val="en-US"/>
        </w:rPr>
        <w:t>’</w:t>
      </w:r>
      <w:r w:rsidRPr="00F126CD">
        <w:rPr>
          <w:rFonts w:cs="Times New Roman"/>
          <w:lang w:val="en-US"/>
        </w:rPr>
        <w:t>s capital structure and resulting rate of return. OCC recommends that the PUCO accept the Staff</w:t>
      </w:r>
      <w:r w:rsidRPr="00F126CD">
        <w:rPr>
          <w:rFonts w:cs="Times New Roman"/>
          <w:rtl/>
          <w:lang w:val="en-US"/>
        </w:rPr>
        <w:t>’</w:t>
      </w:r>
      <w:r w:rsidRPr="00F126CD">
        <w:rPr>
          <w:rFonts w:cs="Times New Roman"/>
          <w:lang w:val="en-US"/>
        </w:rPr>
        <w:t xml:space="preserve">s original Return on Equity (ROE) in this case but modify the capital structure and resulting rate of return. </w:t>
      </w:r>
    </w:p>
    <w:p w:rsidR="00D562B7" w:rsidRPr="00F126CD" w:rsidP="00D562B7" w14:paraId="31012725" w14:textId="136FD499">
      <w:pPr>
        <w:pStyle w:val="Body"/>
        <w:spacing w:line="480" w:lineRule="auto"/>
        <w:ind w:left="0" w:firstLine="0"/>
        <w:rPr>
          <w:rFonts w:cs="Times New Roman"/>
          <w:color w:val="1A1A1A"/>
          <w:kern w:val="36"/>
          <w:u w:color="1A1A1A"/>
          <w:lang w:val="en-US"/>
        </w:rPr>
      </w:pPr>
      <w:r w:rsidRPr="00F126CD">
        <w:rPr>
          <w:rFonts w:cs="Times New Roman"/>
          <w:lang w:val="en-US"/>
        </w:rPr>
        <w:tab/>
        <w:t xml:space="preserve">PUCO precedent for calculating rate of return comes from </w:t>
      </w:r>
      <w:r w:rsidRPr="00F126CD">
        <w:rPr>
          <w:rFonts w:cs="Times New Roman"/>
          <w:i/>
          <w:iCs/>
          <w:kern w:val="36"/>
          <w:lang w:val="en-US"/>
        </w:rPr>
        <w:t>Bluefield Water Works v. Public Service Comm'n</w:t>
      </w:r>
      <w:r w:rsidRPr="00F126CD">
        <w:rPr>
          <w:rFonts w:cs="Times New Roman"/>
          <w:kern w:val="36"/>
          <w:lang w:val="en-US"/>
        </w:rPr>
        <w:t>, 262 U.S. 679 (1923</w:t>
      </w:r>
      <w:r w:rsidRPr="00F126CD">
        <w:rPr>
          <w:rFonts w:cs="Times New Roman"/>
          <w:color w:val="1A1A1A"/>
          <w:kern w:val="36"/>
          <w:u w:color="1A1A1A"/>
          <w:lang w:val="en-US"/>
        </w:rPr>
        <w:t>) (</w:t>
      </w:r>
      <w:r w:rsidRPr="00F126CD">
        <w:rPr>
          <w:rFonts w:cs="Times New Roman"/>
          <w:color w:val="1A1A1A"/>
          <w:kern w:val="36"/>
          <w:u w:color="1A1A1A"/>
          <w:rtl/>
          <w:lang w:val="en-US"/>
        </w:rPr>
        <w:t>“</w:t>
      </w:r>
      <w:r w:rsidRPr="00F126CD">
        <w:rPr>
          <w:rFonts w:cs="Times New Roman"/>
          <w:color w:val="1A1A1A"/>
          <w:kern w:val="36"/>
          <w:u w:color="1A1A1A"/>
          <w:lang w:val="en-US"/>
        </w:rPr>
        <w:t xml:space="preserve">Bluefield”) and </w:t>
      </w:r>
      <w:r w:rsidRPr="00F126CD">
        <w:rPr>
          <w:rFonts w:cs="Times New Roman"/>
          <w:i/>
          <w:iCs/>
          <w:color w:val="1A1A1A"/>
          <w:kern w:val="36"/>
          <w:u w:color="1A1A1A"/>
          <w:lang w:val="en-US"/>
        </w:rPr>
        <w:t>FPC v. Hope Nat. Gas Co</w:t>
      </w:r>
      <w:r w:rsidRPr="00F126CD">
        <w:rPr>
          <w:rFonts w:cs="Times New Roman"/>
          <w:color w:val="1A1A1A"/>
          <w:kern w:val="36"/>
          <w:u w:color="1A1A1A"/>
          <w:lang w:val="en-US"/>
        </w:rPr>
        <w:t>., 320 U.S. 591 (1944) (</w:t>
      </w:r>
      <w:r w:rsidRPr="00F126CD">
        <w:rPr>
          <w:rFonts w:cs="Times New Roman"/>
          <w:color w:val="1A1A1A"/>
          <w:kern w:val="36"/>
          <w:u w:color="1A1A1A"/>
          <w:rtl/>
          <w:lang w:val="en-US"/>
        </w:rPr>
        <w:t>“</w:t>
      </w:r>
      <w:r w:rsidRPr="00F126CD">
        <w:rPr>
          <w:rFonts w:cs="Times New Roman"/>
          <w:color w:val="1A1A1A"/>
          <w:kern w:val="36"/>
          <w:u w:color="1A1A1A"/>
          <w:lang w:val="en-US"/>
        </w:rPr>
        <w:t xml:space="preserve">Hope”). The </w:t>
      </w:r>
      <w:r w:rsidRPr="00F126CD">
        <w:rPr>
          <w:rFonts w:cs="Times New Roman"/>
          <w:i/>
          <w:iCs/>
          <w:color w:val="1A1A1A"/>
          <w:kern w:val="36"/>
          <w:u w:color="1A1A1A"/>
          <w:lang w:val="en-US"/>
        </w:rPr>
        <w:t>Bluefield</w:t>
      </w:r>
      <w:r w:rsidRPr="00F126CD">
        <w:rPr>
          <w:rFonts w:cs="Times New Roman"/>
          <w:color w:val="1A1A1A"/>
          <w:kern w:val="36"/>
          <w:u w:color="1A1A1A"/>
          <w:lang w:val="en-US"/>
        </w:rPr>
        <w:t xml:space="preserve"> decision can be </w:t>
      </w:r>
      <w:r w:rsidR="00E62138">
        <w:rPr>
          <w:rFonts w:cs="Times New Roman"/>
          <w:color w:val="1A1A1A"/>
          <w:kern w:val="36"/>
          <w:u w:color="1A1A1A"/>
          <w:lang w:val="en-US"/>
        </w:rPr>
        <w:t>sum</w:t>
      </w:r>
      <w:r w:rsidRPr="00F126CD" w:rsidR="00E62138">
        <w:rPr>
          <w:rFonts w:cs="Times New Roman"/>
          <w:color w:val="1A1A1A"/>
          <w:kern w:val="36"/>
          <w:u w:color="1A1A1A"/>
          <w:lang w:val="en-US"/>
        </w:rPr>
        <w:t>marized</w:t>
      </w:r>
      <w:r w:rsidRPr="00F126CD">
        <w:rPr>
          <w:rFonts w:cs="Times New Roman"/>
          <w:color w:val="1A1A1A"/>
          <w:kern w:val="36"/>
          <w:u w:color="1A1A1A"/>
          <w:lang w:val="en-US"/>
        </w:rPr>
        <w:t xml:space="preserve"> as follows: </w:t>
      </w:r>
      <w:r w:rsidRPr="00F126CD">
        <w:rPr>
          <w:rFonts w:cs="Times New Roman"/>
          <w:color w:val="1A1A1A"/>
          <w:kern w:val="36"/>
          <w:u w:color="1A1A1A"/>
          <w:rtl/>
          <w:lang w:val="en-US"/>
        </w:rPr>
        <w:t>“</w:t>
      </w:r>
      <w:r w:rsidRPr="00F126CD">
        <w:rPr>
          <w:rFonts w:cs="Times New Roman"/>
          <w:color w:val="1A1A1A"/>
          <w:kern w:val="36"/>
          <w:u w:color="1A1A1A"/>
          <w:lang w:val="en-US"/>
        </w:rPr>
        <w:t>The return should be reasonably sufficient to assure confidence in the financial soundness of the utility and should be adequate, under efficient and economical management to maintain and support its credit to enable the utility to raise necessary capital.”</w:t>
      </w:r>
      <w:r>
        <w:rPr>
          <w:rStyle w:val="FootnoteReference"/>
          <w:rFonts w:cs="Times New Roman"/>
          <w:color w:val="1A1A1A"/>
          <w:kern w:val="36"/>
          <w:u w:color="1A1A1A"/>
          <w:lang w:val="en-US"/>
        </w:rPr>
        <w:footnoteReference w:id="99"/>
      </w:r>
      <w:r w:rsidRPr="00F126CD">
        <w:rPr>
          <w:rFonts w:cs="Times New Roman"/>
          <w:color w:val="1A1A1A"/>
          <w:kern w:val="36"/>
          <w:u w:color="1A1A1A"/>
          <w:lang w:val="en-US"/>
        </w:rPr>
        <w:t xml:space="preserve"> </w:t>
      </w:r>
      <w:r w:rsidRPr="00F126CD">
        <w:rPr>
          <w:rFonts w:cs="Times New Roman"/>
          <w:lang w:val="en-US"/>
        </w:rPr>
        <w:t xml:space="preserve">The </w:t>
      </w:r>
      <w:r w:rsidRPr="00F126CD">
        <w:rPr>
          <w:rFonts w:cs="Times New Roman"/>
          <w:i/>
          <w:iCs/>
          <w:lang w:val="en-US"/>
        </w:rPr>
        <w:t>Hope</w:t>
      </w:r>
      <w:r w:rsidRPr="00F126CD">
        <w:rPr>
          <w:rFonts w:cs="Times New Roman"/>
          <w:lang w:val="en-US"/>
        </w:rPr>
        <w:t xml:space="preserve"> decision can be summarized as follows: </w:t>
      </w:r>
      <w:r w:rsidRPr="00F126CD">
        <w:rPr>
          <w:rFonts w:cs="Times New Roman"/>
          <w:rtl/>
          <w:lang w:val="en-US"/>
        </w:rPr>
        <w:t>“</w:t>
      </w:r>
      <w:r w:rsidRPr="00F126CD">
        <w:rPr>
          <w:rFonts w:cs="Times New Roman"/>
          <w:lang w:val="en-US"/>
        </w:rPr>
        <w:t xml:space="preserve">The return to the equity owner should be commensurate with returns on investments in other enterprises having corresponding risks. That return, moreover, should be sufficient to assure confidence in the financial integrity of the enterprise, so as to maintain its credit and attract capital. </w:t>
      </w:r>
      <w:r w:rsidRPr="00F126CD">
        <w:rPr>
          <w:rFonts w:cs="Times New Roman"/>
          <w:b/>
          <w:bCs/>
          <w:lang w:val="en-US"/>
        </w:rPr>
        <w:t>In addition, it is the end result that is important and not the methods used to arrive at the rates.</w:t>
      </w:r>
      <w:r w:rsidRPr="00F126CD">
        <w:rPr>
          <w:rFonts w:cs="Times New Roman"/>
          <w:lang w:val="en-US"/>
        </w:rPr>
        <w:t>”</w:t>
      </w:r>
      <w:r>
        <w:rPr>
          <w:rFonts w:cs="Times New Roman"/>
          <w:vertAlign w:val="superscript"/>
          <w:lang w:val="en-US"/>
        </w:rPr>
        <w:footnoteReference w:id="100"/>
      </w:r>
      <w:r w:rsidRPr="00F126CD">
        <w:rPr>
          <w:rFonts w:cs="Times New Roman"/>
          <w:lang w:val="en-US"/>
        </w:rPr>
        <w:t xml:space="preserve"> (Emphasis added.)</w:t>
      </w:r>
    </w:p>
    <w:p w:rsidR="0068104B" w:rsidP="00D85C1C" w14:paraId="67004EE9" w14:textId="509F4B38">
      <w:pPr>
        <w:pStyle w:val="Body"/>
        <w:spacing w:line="480" w:lineRule="auto"/>
        <w:ind w:left="0" w:firstLine="0"/>
        <w:rPr>
          <w:rFonts w:cs="Times New Roman"/>
          <w:lang w:val="en-US"/>
        </w:rPr>
      </w:pPr>
      <w:r w:rsidRPr="00F126CD">
        <w:rPr>
          <w:rFonts w:cs="Times New Roman"/>
          <w:lang w:val="en-US"/>
        </w:rPr>
        <w:tab/>
        <w:t>To ensure an “end result” that benefits consumers and the public interest, OCC witness Joe Buckley recommended that the PUCO modify Duke’s capital structure.</w:t>
      </w:r>
      <w:r>
        <w:rPr>
          <w:rStyle w:val="FootnoteReference"/>
          <w:rFonts w:cs="Times New Roman"/>
          <w:lang w:val="en-US"/>
        </w:rPr>
        <w:footnoteReference w:id="101"/>
      </w:r>
      <w:r w:rsidRPr="00F126CD">
        <w:rPr>
          <w:rFonts w:cs="Times New Roman"/>
          <w:lang w:val="en-US"/>
        </w:rPr>
        <w:t xml:space="preserve"> </w:t>
      </w:r>
      <w:r>
        <w:rPr>
          <w:rFonts w:cs="Times New Roman"/>
          <w:lang w:val="en-US"/>
        </w:rPr>
        <w:t xml:space="preserve">The </w:t>
      </w:r>
      <w:r w:rsidRPr="00F126CD">
        <w:rPr>
          <w:rFonts w:cs="Times New Roman"/>
          <w:lang w:val="en-US"/>
        </w:rPr>
        <w:t>PUCO Staff has used a capital structure different than a utility-applicant requests as recently as 15-1830-EL-AIR (Dayton Power and Light). In t</w:t>
      </w:r>
      <w:r>
        <w:rPr>
          <w:rFonts w:cs="Times New Roman"/>
          <w:lang w:val="en-US"/>
        </w:rPr>
        <w:t>hat case</w:t>
      </w:r>
      <w:r w:rsidRPr="00F126CD">
        <w:rPr>
          <w:rFonts w:cs="Times New Roman"/>
          <w:lang w:val="en-US"/>
        </w:rPr>
        <w:t>, the PUCO Staff used a hypothetical capital structure that was comprised of averages of other companies’</w:t>
      </w:r>
      <w:r w:rsidRPr="00F126CD">
        <w:rPr>
          <w:rFonts w:cs="Times New Roman"/>
          <w:rtl/>
          <w:lang w:val="en-US"/>
        </w:rPr>
        <w:t xml:space="preserve"> </w:t>
      </w:r>
      <w:r w:rsidRPr="00F126CD">
        <w:rPr>
          <w:rFonts w:cs="Times New Roman"/>
          <w:lang w:val="en-US"/>
        </w:rPr>
        <w:t>capital structures.</w:t>
      </w:r>
      <w:r>
        <w:rPr>
          <w:rStyle w:val="FootnoteReference"/>
          <w:rFonts w:cs="Times New Roman"/>
          <w:lang w:val="en-US"/>
        </w:rPr>
        <w:footnoteReference w:id="102"/>
      </w:r>
      <w:r w:rsidRPr="00F126CD">
        <w:rPr>
          <w:rFonts w:cs="Times New Roman"/>
          <w:lang w:val="en-US"/>
        </w:rPr>
        <w:t xml:space="preserve"> Mr. Buckley recommend</w:t>
      </w:r>
      <w:r w:rsidRPr="00F126CD" w:rsidR="00F126CD">
        <w:rPr>
          <w:rFonts w:cs="Times New Roman"/>
          <w:lang w:val="en-US"/>
        </w:rPr>
        <w:t>ed</w:t>
      </w:r>
      <w:r w:rsidRPr="00F126CD">
        <w:rPr>
          <w:rFonts w:cs="Times New Roman"/>
          <w:lang w:val="en-US"/>
        </w:rPr>
        <w:t xml:space="preserve"> </w:t>
      </w:r>
      <w:r w:rsidR="00E62138">
        <w:rPr>
          <w:rFonts w:cs="Times New Roman"/>
          <w:lang w:val="en-US"/>
        </w:rPr>
        <w:t xml:space="preserve">that </w:t>
      </w:r>
      <w:r w:rsidRPr="00F126CD">
        <w:rPr>
          <w:rFonts w:cs="Times New Roman"/>
          <w:lang w:val="en-US"/>
        </w:rPr>
        <w:t>the PUCO do so again in this case because</w:t>
      </w:r>
      <w:r w:rsidRPr="00F126CD" w:rsidR="00D62B29">
        <w:rPr>
          <w:rFonts w:cs="Times New Roman"/>
          <w:lang w:val="en-US"/>
        </w:rPr>
        <w:t xml:space="preserve"> Duke’s capital structure under the settlement</w:t>
      </w:r>
      <w:r w:rsidRPr="00F126CD">
        <w:rPr>
          <w:rFonts w:cs="Times New Roman"/>
          <w:lang w:val="en-US"/>
        </w:rPr>
        <w:t xml:space="preserve"> it is </w:t>
      </w:r>
      <w:r w:rsidRPr="00F126CD" w:rsidR="00D62B29">
        <w:rPr>
          <w:rFonts w:cs="Times New Roman"/>
          <w:color w:val="1A1A1A"/>
          <w:kern w:val="36"/>
          <w:u w:color="1A1A1A"/>
          <w:rtl/>
          <w:lang w:val="en-US"/>
        </w:rPr>
        <w:t>“</w:t>
      </w:r>
      <w:r w:rsidRPr="00F126CD">
        <w:rPr>
          <w:rFonts w:cs="Times New Roman"/>
          <w:lang w:val="en-US"/>
        </w:rPr>
        <w:t>equity heavy.</w:t>
      </w:r>
      <w:r w:rsidRPr="00F126CD" w:rsidR="00D62B29">
        <w:rPr>
          <w:lang w:val="en-US"/>
        </w:rPr>
        <w:t>”</w:t>
      </w:r>
      <w:r>
        <w:rPr>
          <w:rStyle w:val="FootnoteReference"/>
          <w:rFonts w:cs="Times New Roman"/>
          <w:lang w:val="en-US"/>
        </w:rPr>
        <w:footnoteReference w:id="103"/>
      </w:r>
      <w:r w:rsidRPr="00F126CD">
        <w:rPr>
          <w:rFonts w:cs="Times New Roman"/>
          <w:lang w:val="en-US"/>
        </w:rPr>
        <w:t xml:space="preserve"> </w:t>
      </w:r>
      <w:r w:rsidRPr="0068104B" w:rsidR="00AD3212">
        <w:rPr>
          <w:rFonts w:cs="Times New Roman"/>
          <w:lang w:val="en-US"/>
        </w:rPr>
        <w:t xml:space="preserve">The Settlement includes a capital structure </w:t>
      </w:r>
      <w:r w:rsidR="00AD3212">
        <w:rPr>
          <w:rFonts w:cs="Times New Roman"/>
          <w:lang w:val="en-US"/>
        </w:rPr>
        <w:t>of</w:t>
      </w:r>
      <w:r w:rsidRPr="0068104B" w:rsidR="00AD3212">
        <w:rPr>
          <w:rFonts w:cs="Times New Roman"/>
          <w:lang w:val="en-US"/>
        </w:rPr>
        <w:t xml:space="preserve"> 47.68 percent long-term debt and 52.32 percent common equity.</w:t>
      </w:r>
      <w:r>
        <w:rPr>
          <w:rStyle w:val="FootnoteReference"/>
          <w:rFonts w:cs="Times New Roman"/>
          <w:lang w:val="en-US"/>
        </w:rPr>
        <w:footnoteReference w:id="104"/>
      </w:r>
      <w:r w:rsidRPr="0068104B" w:rsidR="00AD3212">
        <w:rPr>
          <w:rFonts w:cs="Times New Roman"/>
          <w:lang w:val="en-US"/>
        </w:rPr>
        <w:t xml:space="preserve"> </w:t>
      </w:r>
      <w:r>
        <w:rPr>
          <w:rFonts w:cs="Times New Roman"/>
          <w:lang w:val="en-US"/>
        </w:rPr>
        <w:t xml:space="preserve">Mr. Buckley </w:t>
      </w:r>
      <w:r w:rsidR="00AD3212">
        <w:rPr>
          <w:rFonts w:cs="Times New Roman"/>
          <w:lang w:val="en-US"/>
        </w:rPr>
        <w:t>found that Duke’s proposed</w:t>
      </w:r>
      <w:r w:rsidRPr="0068104B">
        <w:rPr>
          <w:rFonts w:cs="Times New Roman"/>
          <w:lang w:val="en-US"/>
        </w:rPr>
        <w:t xml:space="preserve"> capital structure exposes </w:t>
      </w:r>
      <w:r w:rsidR="00AD3212">
        <w:rPr>
          <w:rFonts w:cs="Times New Roman"/>
          <w:lang w:val="en-US"/>
        </w:rPr>
        <w:t>the Company</w:t>
      </w:r>
      <w:r w:rsidRPr="0068104B">
        <w:rPr>
          <w:rFonts w:cs="Times New Roman"/>
          <w:lang w:val="en-US"/>
        </w:rPr>
        <w:t xml:space="preserve"> to “less financial risk than the capital structures of other gas utility companies”</w:t>
      </w:r>
      <w:r w:rsidR="00AD3212">
        <w:rPr>
          <w:rFonts w:cs="Times New Roman"/>
          <w:lang w:val="en-US"/>
        </w:rPr>
        <w:t xml:space="preserve"> and should be rejected.</w:t>
      </w:r>
      <w:r>
        <w:rPr>
          <w:rStyle w:val="FootnoteReference"/>
          <w:rFonts w:cs="Times New Roman"/>
          <w:lang w:val="en-US"/>
        </w:rPr>
        <w:footnoteReference w:id="105"/>
      </w:r>
      <w:r>
        <w:rPr>
          <w:rFonts w:cs="Times New Roman"/>
          <w:lang w:val="en-US"/>
        </w:rPr>
        <w:tab/>
      </w:r>
    </w:p>
    <w:p w:rsidR="00FC3A01" w:rsidP="00D85C1C" w14:paraId="13DC9712" w14:textId="77777777">
      <w:pPr>
        <w:pStyle w:val="Body"/>
        <w:spacing w:line="480" w:lineRule="auto"/>
        <w:ind w:left="0" w:firstLine="0"/>
        <w:rPr>
          <w:rFonts w:cs="Times New Roman"/>
          <w:lang w:val="en-US"/>
        </w:rPr>
      </w:pPr>
      <w:r>
        <w:rPr>
          <w:rFonts w:cs="Times New Roman"/>
          <w:lang w:val="en-US"/>
        </w:rPr>
        <w:tab/>
      </w:r>
      <w:r w:rsidR="00AD3212">
        <w:rPr>
          <w:rFonts w:cs="Times New Roman"/>
          <w:lang w:val="en-US"/>
        </w:rPr>
        <w:t>To reach his conclusion that Duke’s proposed common equity ratio is higher than average compared to</w:t>
      </w:r>
      <w:r w:rsidRPr="0068104B" w:rsidR="00AD3212">
        <w:rPr>
          <w:rFonts w:cs="Times New Roman"/>
          <w:lang w:val="en-US"/>
        </w:rPr>
        <w:t xml:space="preserve"> </w:t>
      </w:r>
      <w:r w:rsidR="00AD3212">
        <w:rPr>
          <w:rFonts w:cs="Times New Roman"/>
          <w:lang w:val="en-US"/>
        </w:rPr>
        <w:t xml:space="preserve">similar utilities, </w:t>
      </w:r>
      <w:r w:rsidR="00D70711">
        <w:rPr>
          <w:rFonts w:cs="Times New Roman"/>
          <w:lang w:val="en-US"/>
        </w:rPr>
        <w:t xml:space="preserve">Mr. Buckley analyzed </w:t>
      </w:r>
      <w:r w:rsidRPr="00AE0936" w:rsidR="00D562B7">
        <w:rPr>
          <w:rFonts w:cs="Times New Roman"/>
          <w:lang w:val="en-US"/>
        </w:rPr>
        <w:t xml:space="preserve">The National Average of Capital Structure for Gas Companies (National Average) </w:t>
      </w:r>
      <w:r w:rsidR="00AE0936">
        <w:rPr>
          <w:rFonts w:cs="Times New Roman"/>
          <w:lang w:val="en-US"/>
        </w:rPr>
        <w:t>review of</w:t>
      </w:r>
      <w:r w:rsidRPr="00AE0936" w:rsidR="00D562B7">
        <w:rPr>
          <w:rFonts w:cs="Times New Roman"/>
          <w:lang w:val="en-US"/>
        </w:rPr>
        <w:t xml:space="preserve"> rate decisions from January 1, 2022, to September 30, 2022, Duke Energy</w:t>
      </w:r>
      <w:r w:rsidRPr="00AE0936" w:rsidR="00D562B7">
        <w:rPr>
          <w:rFonts w:cs="Times New Roman"/>
          <w:rtl/>
          <w:lang w:val="en-US"/>
        </w:rPr>
        <w:t>’</w:t>
      </w:r>
      <w:r w:rsidRPr="00AE0936" w:rsidR="00D562B7">
        <w:rPr>
          <w:rFonts w:cs="Times New Roman"/>
          <w:lang w:val="en-US"/>
        </w:rPr>
        <w:t>s Capital Structure, and the average Capital Structures of the Comparable Companies selected by Staff (Staff Comparable)</w:t>
      </w:r>
      <w:r w:rsidR="00AE0936">
        <w:rPr>
          <w:rFonts w:cs="Times New Roman"/>
          <w:lang w:val="en-US"/>
        </w:rPr>
        <w:t>.</w:t>
      </w:r>
      <w:r>
        <w:rPr>
          <w:rStyle w:val="FootnoteReference"/>
          <w:rFonts w:cs="Times New Roman"/>
          <w:lang w:val="en-US"/>
        </w:rPr>
        <w:footnoteReference w:id="106"/>
      </w:r>
      <w:r w:rsidR="00AE0936">
        <w:rPr>
          <w:rFonts w:cs="Times New Roman"/>
          <w:lang w:val="en-US"/>
        </w:rPr>
        <w:t xml:space="preserve"> </w:t>
      </w:r>
      <w:r w:rsidRPr="00AE0936" w:rsidR="00D562B7">
        <w:rPr>
          <w:rFonts w:cs="Times New Roman"/>
          <w:lang w:val="en-US"/>
        </w:rPr>
        <w:t>The National Average capital structure for gas utilities in the first half of 2022 according to S&amp;P Market Intelligence Focus is 49.00% debt and 51.00% equity.</w:t>
      </w:r>
      <w:r>
        <w:rPr>
          <w:rStyle w:val="FootnoteReference"/>
          <w:rFonts w:cs="Times New Roman"/>
          <w:lang w:val="en-US"/>
        </w:rPr>
        <w:footnoteReference w:id="107"/>
      </w:r>
      <w:r w:rsidRPr="00AE0936" w:rsidR="00D562B7">
        <w:rPr>
          <w:rFonts w:cs="Times New Roman"/>
          <w:lang w:val="en-US"/>
        </w:rPr>
        <w:t xml:space="preserve"> The average capital structure of Staff Comparable companies is 57.02% debt and 42.95% equity</w:t>
      </w:r>
      <w:r w:rsidRPr="00AE0936" w:rsidR="00D85C1C">
        <w:rPr>
          <w:rFonts w:cs="Times New Roman"/>
          <w:lang w:val="en-US"/>
        </w:rPr>
        <w:t>.</w:t>
      </w:r>
      <w:r>
        <w:rPr>
          <w:rStyle w:val="FootnoteReference"/>
          <w:rFonts w:cs="Times New Roman"/>
          <w:lang w:val="en-US"/>
        </w:rPr>
        <w:footnoteReference w:id="108"/>
      </w:r>
      <w:r w:rsidR="00A836E7">
        <w:rPr>
          <w:rFonts w:cs="Times New Roman"/>
          <w:lang w:val="en-US"/>
        </w:rPr>
        <w:t xml:space="preserve"> </w:t>
      </w:r>
    </w:p>
    <w:p w:rsidR="00D562B7" w:rsidRPr="00A836E7" w:rsidP="00D85C1C" w14:paraId="72459070" w14:textId="469B77D0">
      <w:pPr>
        <w:pStyle w:val="Body"/>
        <w:spacing w:line="480" w:lineRule="auto"/>
        <w:ind w:left="0" w:firstLine="0"/>
        <w:rPr>
          <w:rFonts w:cs="Times New Roman"/>
          <w:color w:val="1A1A1A"/>
          <w:kern w:val="36"/>
          <w:highlight w:val="yellow"/>
          <w:u w:color="1A1A1A"/>
          <w:lang w:val="en-US"/>
        </w:rPr>
      </w:pPr>
      <w:r>
        <w:rPr>
          <w:rFonts w:cs="Times New Roman"/>
          <w:lang w:val="en-US"/>
        </w:rPr>
        <w:tab/>
        <w:t xml:space="preserve">Mr. Buckley proposed instead that the PUCO adopt a capital structure of 52.39% long-term debt and 47.61% common equity ratio. </w:t>
      </w:r>
      <w:r w:rsidR="00A836E7">
        <w:rPr>
          <w:rFonts w:cs="Times New Roman"/>
          <w:lang w:val="en-US"/>
        </w:rPr>
        <w:t xml:space="preserve">To develop </w:t>
      </w:r>
      <w:r w:rsidR="00AD3212">
        <w:rPr>
          <w:rFonts w:cs="Times New Roman"/>
          <w:lang w:val="en-US"/>
        </w:rPr>
        <w:t>his recommend</w:t>
      </w:r>
      <w:r>
        <w:rPr>
          <w:rFonts w:cs="Times New Roman"/>
          <w:lang w:val="en-US"/>
        </w:rPr>
        <w:t xml:space="preserve">ation, </w:t>
      </w:r>
      <w:r w:rsidR="00A836E7">
        <w:rPr>
          <w:rFonts w:cs="Times New Roman"/>
          <w:lang w:val="en-US"/>
        </w:rPr>
        <w:t xml:space="preserve">Mr. Buckley averaged </w:t>
      </w:r>
      <w:r w:rsidRPr="00AE0936">
        <w:rPr>
          <w:rFonts w:cs="Times New Roman"/>
          <w:lang w:val="en-US"/>
        </w:rPr>
        <w:t>the National Average, Staff Comparable, Duke-Ohio and Duke Energy</w:t>
      </w:r>
      <w:r w:rsidRPr="00AE0936">
        <w:rPr>
          <w:rFonts w:cs="Times New Roman"/>
          <w:rtl/>
          <w:lang w:val="en-US"/>
        </w:rPr>
        <w:t>’</w:t>
      </w:r>
      <w:r w:rsidRPr="00AE0936">
        <w:rPr>
          <w:rFonts w:cs="Times New Roman"/>
          <w:lang w:val="en-US"/>
        </w:rPr>
        <w:t>s capital structures.</w:t>
      </w:r>
      <w:r>
        <w:rPr>
          <w:rStyle w:val="FootnoteReference"/>
          <w:rFonts w:cs="Times New Roman"/>
          <w:lang w:val="en-US"/>
        </w:rPr>
        <w:footnoteReference w:id="109"/>
      </w:r>
      <w:r w:rsidRPr="00AE0936">
        <w:rPr>
          <w:rFonts w:cs="Times New Roman"/>
          <w:lang w:val="en-US"/>
        </w:rPr>
        <w:t xml:space="preserve"> </w:t>
      </w:r>
    </w:p>
    <w:tbl>
      <w:tblPr>
        <w:tblW w:w="4740" w:type="dxa"/>
        <w:tblInd w:w="2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20"/>
        <w:gridCol w:w="960"/>
        <w:gridCol w:w="960"/>
      </w:tblGrid>
      <w:tr w14:paraId="25E8DA84" w14:textId="77777777" w:rsidTr="00E82D55">
        <w:tblPrEx>
          <w:tblW w:w="4740" w:type="dxa"/>
          <w:tblInd w:w="2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310"/>
        </w:trPr>
        <w:tc>
          <w:tcPr>
            <w:tcW w:w="282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71C31631" w14:textId="77777777"/>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6437393B" w14:textId="77777777">
            <w:pPr>
              <w:pStyle w:val="Body"/>
              <w:rPr>
                <w:rFonts w:cs="Times New Roman"/>
                <w:lang w:val="en-US"/>
              </w:rPr>
            </w:pPr>
            <w:r w:rsidRPr="00AE0936">
              <w:rPr>
                <w:rFonts w:cs="Times New Roman"/>
                <w:lang w:val="en-US"/>
              </w:rPr>
              <w:t>Debt</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359B67C6" w14:textId="77777777">
            <w:pPr>
              <w:pStyle w:val="Body"/>
              <w:rPr>
                <w:rFonts w:cs="Times New Roman"/>
                <w:lang w:val="en-US"/>
              </w:rPr>
            </w:pPr>
            <w:r w:rsidRPr="00AE0936">
              <w:rPr>
                <w:rFonts w:cs="Times New Roman"/>
                <w:lang w:val="en-US"/>
              </w:rPr>
              <w:t>Equity</w:t>
            </w:r>
          </w:p>
        </w:tc>
      </w:tr>
      <w:tr w14:paraId="0EE645F1" w14:textId="77777777" w:rsidTr="00E82D55">
        <w:tblPrEx>
          <w:tblW w:w="4740" w:type="dxa"/>
          <w:tblInd w:w="2065" w:type="dxa"/>
          <w:shd w:val="clear" w:color="auto" w:fill="CED7E7"/>
          <w:tblLayout w:type="fixed"/>
          <w:tblLook w:val="04A0"/>
        </w:tblPrEx>
        <w:trPr>
          <w:trHeight w:val="310"/>
        </w:trPr>
        <w:tc>
          <w:tcPr>
            <w:tcW w:w="282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7113CDA5" w14:textId="77777777">
            <w:pPr>
              <w:pStyle w:val="Body"/>
              <w:rPr>
                <w:rFonts w:cs="Times New Roman"/>
                <w:lang w:val="en-US"/>
              </w:rPr>
            </w:pPr>
            <w:r w:rsidRPr="00AE0936">
              <w:rPr>
                <w:rFonts w:cs="Times New Roman"/>
                <w:lang w:val="en-US"/>
              </w:rPr>
              <w:t>National Average</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1FC52F06" w14:textId="77777777">
            <w:pPr>
              <w:pStyle w:val="Body"/>
              <w:jc w:val="right"/>
              <w:rPr>
                <w:rFonts w:cs="Times New Roman"/>
                <w:lang w:val="en-US"/>
              </w:rPr>
            </w:pPr>
            <w:r w:rsidRPr="00AE0936">
              <w:rPr>
                <w:rFonts w:cs="Times New Roman"/>
                <w:lang w:val="en-US"/>
              </w:rPr>
              <w:t>49.00%</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6AA9CB39" w14:textId="77777777">
            <w:pPr>
              <w:pStyle w:val="Body"/>
              <w:jc w:val="right"/>
              <w:rPr>
                <w:rFonts w:cs="Times New Roman"/>
                <w:lang w:val="en-US"/>
              </w:rPr>
            </w:pPr>
            <w:r w:rsidRPr="00AE0936">
              <w:rPr>
                <w:rFonts w:cs="Times New Roman"/>
                <w:lang w:val="en-US"/>
              </w:rPr>
              <w:t>51.00%</w:t>
            </w:r>
          </w:p>
        </w:tc>
      </w:tr>
      <w:tr w14:paraId="1C66CE5E" w14:textId="77777777" w:rsidTr="00E82D55">
        <w:tblPrEx>
          <w:tblW w:w="4740" w:type="dxa"/>
          <w:tblInd w:w="2065" w:type="dxa"/>
          <w:shd w:val="clear" w:color="auto" w:fill="CED7E7"/>
          <w:tblLayout w:type="fixed"/>
          <w:tblLook w:val="04A0"/>
        </w:tblPrEx>
        <w:trPr>
          <w:trHeight w:val="610"/>
        </w:trPr>
        <w:tc>
          <w:tcPr>
            <w:tcW w:w="282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3315E82C" w14:textId="77777777">
            <w:pPr>
              <w:pStyle w:val="Body"/>
              <w:rPr>
                <w:rFonts w:cs="Times New Roman"/>
                <w:lang w:val="en-US"/>
              </w:rPr>
            </w:pPr>
            <w:r w:rsidRPr="00AE0936">
              <w:rPr>
                <w:rFonts w:cs="Times New Roman"/>
                <w:lang w:val="en-US"/>
              </w:rPr>
              <w:t>Average of Staff Comparable</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6A78AD9C" w14:textId="77777777">
            <w:pPr>
              <w:pStyle w:val="Body"/>
              <w:jc w:val="right"/>
              <w:rPr>
                <w:rFonts w:cs="Times New Roman"/>
                <w:lang w:val="en-US"/>
              </w:rPr>
            </w:pPr>
            <w:r w:rsidRPr="00AE0936">
              <w:rPr>
                <w:rFonts w:cs="Times New Roman"/>
                <w:lang w:val="en-US"/>
              </w:rPr>
              <w:t>57.02%</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32A91A68" w14:textId="77777777">
            <w:pPr>
              <w:pStyle w:val="Body"/>
              <w:jc w:val="right"/>
              <w:rPr>
                <w:rFonts w:cs="Times New Roman"/>
                <w:lang w:val="en-US"/>
              </w:rPr>
            </w:pPr>
            <w:r w:rsidRPr="00AE0936">
              <w:rPr>
                <w:rFonts w:cs="Times New Roman"/>
                <w:lang w:val="en-US"/>
              </w:rPr>
              <w:t>42.95%</w:t>
            </w:r>
          </w:p>
        </w:tc>
      </w:tr>
      <w:tr w14:paraId="790144AC" w14:textId="77777777" w:rsidTr="00E82D55">
        <w:tblPrEx>
          <w:tblW w:w="4740" w:type="dxa"/>
          <w:tblInd w:w="2065" w:type="dxa"/>
          <w:shd w:val="clear" w:color="auto" w:fill="CED7E7"/>
          <w:tblLayout w:type="fixed"/>
          <w:tblLook w:val="04A0"/>
        </w:tblPrEx>
        <w:trPr>
          <w:trHeight w:val="310"/>
        </w:trPr>
        <w:tc>
          <w:tcPr>
            <w:tcW w:w="282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2F07A3AC" w14:textId="77777777">
            <w:pPr>
              <w:pStyle w:val="Body"/>
              <w:rPr>
                <w:rFonts w:cs="Times New Roman"/>
                <w:lang w:val="en-US"/>
              </w:rPr>
            </w:pPr>
            <w:r w:rsidRPr="00AE0936">
              <w:rPr>
                <w:rFonts w:cs="Times New Roman"/>
                <w:lang w:val="en-US"/>
              </w:rPr>
              <w:t>Duke-Ohio</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531EC7D0" w14:textId="77777777">
            <w:pPr>
              <w:pStyle w:val="Body"/>
              <w:jc w:val="right"/>
              <w:rPr>
                <w:rFonts w:cs="Times New Roman"/>
                <w:lang w:val="en-US"/>
              </w:rPr>
            </w:pPr>
            <w:r w:rsidRPr="00AE0936">
              <w:rPr>
                <w:rFonts w:cs="Times New Roman"/>
                <w:lang w:val="en-US"/>
              </w:rPr>
              <w:t>47.66%</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5EE45798" w14:textId="77777777">
            <w:pPr>
              <w:pStyle w:val="Body"/>
              <w:jc w:val="right"/>
              <w:rPr>
                <w:rFonts w:cs="Times New Roman"/>
                <w:lang w:val="en-US"/>
              </w:rPr>
            </w:pPr>
            <w:r w:rsidRPr="00AE0936">
              <w:rPr>
                <w:rFonts w:cs="Times New Roman"/>
                <w:lang w:val="en-US"/>
              </w:rPr>
              <w:t>52.34%</w:t>
            </w:r>
          </w:p>
        </w:tc>
      </w:tr>
      <w:tr w14:paraId="43678945" w14:textId="77777777" w:rsidTr="00E82D55">
        <w:tblPrEx>
          <w:tblW w:w="4740" w:type="dxa"/>
          <w:tblInd w:w="2065" w:type="dxa"/>
          <w:shd w:val="clear" w:color="auto" w:fill="CED7E7"/>
          <w:tblLayout w:type="fixed"/>
          <w:tblLook w:val="04A0"/>
        </w:tblPrEx>
        <w:trPr>
          <w:trHeight w:val="310"/>
        </w:trPr>
        <w:tc>
          <w:tcPr>
            <w:tcW w:w="282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E82D55" w14:paraId="40B46E40" w14:textId="77777777">
            <w:pPr>
              <w:pStyle w:val="Body"/>
              <w:rPr>
                <w:rFonts w:cs="Times New Roman"/>
                <w:lang w:val="en-US"/>
              </w:rPr>
            </w:pPr>
            <w:r w:rsidRPr="00AE0936">
              <w:rPr>
                <w:rFonts w:cs="Times New Roman"/>
                <w:lang w:val="en-US"/>
              </w:rPr>
              <w:t>Duke Energy</w:t>
            </w:r>
          </w:p>
        </w:tc>
        <w:tc>
          <w:tcPr>
            <w:tcW w:w="9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D562B7" w:rsidRPr="00AE0936" w:rsidP="00E82D55" w14:paraId="64F65927" w14:textId="77777777">
            <w:pPr>
              <w:pStyle w:val="Body"/>
              <w:jc w:val="right"/>
              <w:rPr>
                <w:rFonts w:cs="Times New Roman"/>
                <w:lang w:val="en-US"/>
              </w:rPr>
            </w:pPr>
            <w:r w:rsidRPr="00AE0936">
              <w:rPr>
                <w:rFonts w:cs="Times New Roman"/>
                <w:lang w:val="en-US"/>
              </w:rPr>
              <w:t>55.87%</w:t>
            </w:r>
          </w:p>
        </w:tc>
        <w:tc>
          <w:tcPr>
            <w:tcW w:w="9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D562B7" w:rsidRPr="00AE0936" w:rsidP="00E82D55" w14:paraId="59C70715" w14:textId="77777777">
            <w:pPr>
              <w:pStyle w:val="Body"/>
              <w:jc w:val="right"/>
              <w:rPr>
                <w:rFonts w:cs="Times New Roman"/>
                <w:lang w:val="en-US"/>
              </w:rPr>
            </w:pPr>
            <w:r w:rsidRPr="00AE0936">
              <w:rPr>
                <w:rFonts w:cs="Times New Roman"/>
                <w:lang w:val="en-US"/>
              </w:rPr>
              <w:t>44.13%</w:t>
            </w:r>
          </w:p>
        </w:tc>
      </w:tr>
      <w:tr w14:paraId="31880CB6" w14:textId="77777777" w:rsidTr="00E82D55">
        <w:tblPrEx>
          <w:tblW w:w="4740" w:type="dxa"/>
          <w:tblInd w:w="2065" w:type="dxa"/>
          <w:shd w:val="clear" w:color="auto" w:fill="CED7E7"/>
          <w:tblLayout w:type="fixed"/>
          <w:tblLook w:val="04A0"/>
        </w:tblPrEx>
        <w:trPr>
          <w:trHeight w:val="310"/>
        </w:trPr>
        <w:tc>
          <w:tcPr>
            <w:tcW w:w="2820" w:type="dxa"/>
            <w:tcBorders>
              <w:top w:val="nil"/>
              <w:left w:val="nil"/>
              <w:bottom w:val="nil"/>
              <w:right w:val="nil"/>
            </w:tcBorders>
            <w:shd w:val="clear" w:color="auto" w:fill="auto"/>
            <w:tcMar>
              <w:top w:w="80" w:type="dxa"/>
              <w:left w:w="80" w:type="dxa"/>
              <w:bottom w:w="80" w:type="dxa"/>
              <w:right w:w="80" w:type="dxa"/>
            </w:tcMar>
            <w:vAlign w:val="bottom"/>
          </w:tcPr>
          <w:p w:rsidR="00D562B7" w:rsidRPr="00AE0936" w:rsidP="00FA0767" w14:paraId="7609F155" w14:textId="77777777">
            <w:pPr>
              <w:pStyle w:val="Body"/>
              <w:spacing w:after="240"/>
              <w:rPr>
                <w:rFonts w:cs="Times New Roman"/>
                <w:lang w:val="en-US"/>
              </w:rPr>
            </w:pPr>
            <w:r w:rsidRPr="00AE0936">
              <w:rPr>
                <w:rFonts w:cs="Times New Roman"/>
                <w:lang w:val="en-US"/>
              </w:rPr>
              <w:t>Average Capital Structure</w:t>
            </w:r>
          </w:p>
        </w:tc>
        <w:tc>
          <w:tcPr>
            <w:tcW w:w="96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D562B7" w:rsidRPr="00AE0936" w:rsidP="00FA0767" w14:paraId="767C3ED7" w14:textId="77777777">
            <w:pPr>
              <w:pStyle w:val="Body"/>
              <w:spacing w:after="240"/>
              <w:jc w:val="right"/>
              <w:rPr>
                <w:rFonts w:cs="Times New Roman"/>
                <w:lang w:val="en-US"/>
              </w:rPr>
            </w:pPr>
            <w:r w:rsidRPr="00AE0936">
              <w:rPr>
                <w:rFonts w:cs="Times New Roman"/>
                <w:lang w:val="en-US"/>
              </w:rPr>
              <w:t>52.39%</w:t>
            </w:r>
          </w:p>
        </w:tc>
        <w:tc>
          <w:tcPr>
            <w:tcW w:w="96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D562B7" w:rsidRPr="00AE0936" w:rsidP="00FA0767" w14:paraId="1783ACC7" w14:textId="77777777">
            <w:pPr>
              <w:pStyle w:val="Body"/>
              <w:spacing w:after="240"/>
              <w:jc w:val="right"/>
              <w:rPr>
                <w:rFonts w:cs="Times New Roman"/>
                <w:lang w:val="en-US"/>
              </w:rPr>
            </w:pPr>
            <w:r w:rsidRPr="00AE0936">
              <w:rPr>
                <w:rFonts w:cs="Times New Roman"/>
                <w:lang w:val="en-US"/>
              </w:rPr>
              <w:t>47.61%</w:t>
            </w:r>
          </w:p>
        </w:tc>
      </w:tr>
    </w:tbl>
    <w:p w:rsidR="009D56D5" w14:paraId="1175D0A0" w14:textId="3EDD570A">
      <w:pPr>
        <w:rPr>
          <w:rFonts w:eastAsia="PMingLiU"/>
          <w:color w:val="000000"/>
          <w:u w:color="000000"/>
          <w:bdr w:val="nil"/>
          <w:lang w:bidi="ar-SA"/>
          <w14:textOutline w14:w="0">
            <w14:noFill/>
            <w14:prstDash w14:val="solid"/>
            <w14:bevel/>
          </w14:textOutline>
        </w:rPr>
      </w:pPr>
    </w:p>
    <w:p w:rsidR="00750307" w:rsidP="00FA0767" w14:paraId="39B543C1" w14:textId="7DEBC3D8">
      <w:pPr>
        <w:pStyle w:val="Body"/>
        <w:spacing w:line="480" w:lineRule="auto"/>
        <w:ind w:left="0" w:firstLine="0"/>
        <w:rPr>
          <w:rFonts w:cs="Times New Roman"/>
          <w:lang w:val="en-US"/>
        </w:rPr>
      </w:pPr>
      <w:r w:rsidRPr="00AE0936">
        <w:rPr>
          <w:rFonts w:cs="Times New Roman"/>
          <w:lang w:val="en-US"/>
        </w:rPr>
        <w:t xml:space="preserve">This structure aligns Duke’s common equity and financial risk more appropriately to the </w:t>
      </w:r>
      <w:r w:rsidR="00512222">
        <w:rPr>
          <w:rFonts w:cs="Times New Roman"/>
          <w:lang w:val="en-US"/>
        </w:rPr>
        <w:t xml:space="preserve">average </w:t>
      </w:r>
      <w:r w:rsidRPr="00AE0936">
        <w:rPr>
          <w:rFonts w:cs="Times New Roman"/>
          <w:lang w:val="en-US"/>
        </w:rPr>
        <w:t>capital structures of similar gas utility companies.</w:t>
      </w:r>
      <w:r w:rsidR="00AD3212">
        <w:rPr>
          <w:rFonts w:cs="Times New Roman"/>
          <w:lang w:val="en-US"/>
        </w:rPr>
        <w:tab/>
      </w:r>
    </w:p>
    <w:p w:rsidR="006534AA" w:rsidRPr="00AD3212" w:rsidP="00FA0767" w14:paraId="6C5945ED" w14:textId="0F1E7AB0">
      <w:pPr>
        <w:pStyle w:val="Body"/>
        <w:spacing w:line="480" w:lineRule="auto"/>
        <w:ind w:left="0" w:firstLine="0"/>
        <w:rPr>
          <w:rFonts w:cs="Times New Roman"/>
          <w:lang w:val="en-US"/>
        </w:rPr>
      </w:pPr>
      <w:r>
        <w:rPr>
          <w:rFonts w:cs="Times New Roman"/>
          <w:lang w:val="en-US"/>
        </w:rPr>
        <w:tab/>
      </w:r>
      <w:r w:rsidRPr="006534AA" w:rsidR="00A836E7">
        <w:rPr>
          <w:rFonts w:cs="Times New Roman"/>
          <w:lang w:val="en-US"/>
        </w:rPr>
        <w:t xml:space="preserve">Next, Mr. Buckley recommended </w:t>
      </w:r>
      <w:r w:rsidR="00E62138">
        <w:rPr>
          <w:rFonts w:cs="Times New Roman"/>
          <w:lang w:val="en-US"/>
        </w:rPr>
        <w:t xml:space="preserve">that </w:t>
      </w:r>
      <w:r w:rsidRPr="006534AA" w:rsidR="00A836E7">
        <w:rPr>
          <w:rFonts w:cs="Times New Roman"/>
          <w:lang w:val="en-US"/>
        </w:rPr>
        <w:t>the PUCO</w:t>
      </w:r>
      <w:r w:rsidRPr="006534AA" w:rsidR="00D562B7">
        <w:rPr>
          <w:rFonts w:cs="Times New Roman"/>
          <w:lang w:val="en-US"/>
        </w:rPr>
        <w:t xml:space="preserve"> adopt the PUCO Staff’s original proposed return on equity, rather than the figure in the Settlement.</w:t>
      </w:r>
      <w:r>
        <w:rPr>
          <w:rStyle w:val="FootnoteReference"/>
          <w:rFonts w:cs="Times New Roman"/>
          <w:lang w:val="en-US"/>
        </w:rPr>
        <w:footnoteReference w:id="110"/>
      </w:r>
      <w:r w:rsidRPr="006534AA" w:rsidR="00D562B7">
        <w:rPr>
          <w:rFonts w:cs="Times New Roman"/>
          <w:lang w:val="en-US"/>
        </w:rPr>
        <w:t xml:space="preserve"> </w:t>
      </w:r>
      <w:r w:rsidRPr="006534AA" w:rsidR="00A836E7">
        <w:rPr>
          <w:rFonts w:cs="Times New Roman"/>
          <w:lang w:val="en-US"/>
        </w:rPr>
        <w:t xml:space="preserve">Mr. Buckley testified that the PUCO Staff’s methodologies for calculating ROE – averaging the DCF model and the CAPM – </w:t>
      </w:r>
      <w:r w:rsidR="00FC3A01">
        <w:rPr>
          <w:rFonts w:cs="Times New Roman"/>
          <w:lang w:val="en-US"/>
        </w:rPr>
        <w:t>are “reasonable in this case.”</w:t>
      </w:r>
      <w:r>
        <w:rPr>
          <w:rStyle w:val="FootnoteReference"/>
          <w:rFonts w:cs="Times New Roman"/>
          <w:lang w:val="en-US"/>
        </w:rPr>
        <w:footnoteReference w:id="111"/>
      </w:r>
      <w:r w:rsidRPr="006534AA" w:rsidR="00A836E7">
        <w:rPr>
          <w:rFonts w:cs="Times New Roman"/>
          <w:lang w:val="en-US"/>
        </w:rPr>
        <w:t xml:space="preserve"> </w:t>
      </w:r>
      <w:r w:rsidRPr="006534AA" w:rsidR="00AD3212">
        <w:rPr>
          <w:rFonts w:cs="Times New Roman"/>
          <w:lang w:val="en-US"/>
        </w:rPr>
        <w:t>The average ROE granted nationwide to a BBB+ S&amp;P rated company during the period of January 1, 2022 to September 30, 2022 was 9.42%.</w:t>
      </w:r>
      <w:r>
        <w:rPr>
          <w:rFonts w:cs="Times New Roman"/>
          <w:vertAlign w:val="superscript"/>
          <w:lang w:val="en-US"/>
        </w:rPr>
        <w:footnoteReference w:id="112"/>
      </w:r>
      <w:r w:rsidRPr="006534AA" w:rsidR="00AD3212">
        <w:rPr>
          <w:rFonts w:cs="Times New Roman"/>
          <w:lang w:val="en-US"/>
        </w:rPr>
        <w:t xml:space="preserve"> </w:t>
      </w:r>
      <w:r w:rsidRPr="006534AA" w:rsidR="00D562B7">
        <w:rPr>
          <w:rFonts w:cs="Times New Roman"/>
          <w:lang w:val="en-US"/>
        </w:rPr>
        <w:t>PUCO Staff</w:t>
      </w:r>
      <w:r w:rsidRPr="006534AA" w:rsidR="00A836E7">
        <w:rPr>
          <w:rFonts w:cs="Times New Roman"/>
          <w:lang w:val="en-US"/>
        </w:rPr>
        <w:t xml:space="preserve"> recommended a return on equity of </w:t>
      </w:r>
      <w:r w:rsidRPr="006534AA" w:rsidR="00D562B7">
        <w:rPr>
          <w:rFonts w:cs="Times New Roman"/>
          <w:lang w:val="en-US"/>
        </w:rPr>
        <w:t>9.52% (after issuance costs were added)</w:t>
      </w:r>
      <w:r w:rsidRPr="006534AA" w:rsidR="00A836E7">
        <w:rPr>
          <w:rFonts w:cs="Times New Roman"/>
          <w:lang w:val="en-US"/>
        </w:rPr>
        <w:t>.</w:t>
      </w:r>
      <w:r>
        <w:rPr>
          <w:rStyle w:val="FootnoteReference"/>
          <w:rFonts w:cs="Times New Roman"/>
          <w:lang w:val="en-US"/>
        </w:rPr>
        <w:footnoteReference w:id="113"/>
      </w:r>
      <w:r w:rsidRPr="006534AA" w:rsidR="00A836E7">
        <w:rPr>
          <w:rFonts w:cs="Times New Roman"/>
          <w:lang w:val="en-US"/>
        </w:rPr>
        <w:t xml:space="preserve"> </w:t>
      </w:r>
      <w:r w:rsidRPr="006534AA">
        <w:rPr>
          <w:rFonts w:cs="Times New Roman"/>
          <w:lang w:val="en-US"/>
        </w:rPr>
        <w:t>D</w:t>
      </w:r>
      <w:r w:rsidRPr="006534AA" w:rsidR="00D562B7">
        <w:rPr>
          <w:rFonts w:cs="Times New Roman"/>
          <w:lang w:val="en-US"/>
        </w:rPr>
        <w:t xml:space="preserve">uke, on the other hand, proposes an </w:t>
      </w:r>
      <w:r w:rsidR="00FA0767">
        <w:rPr>
          <w:rFonts w:cs="Times New Roman"/>
          <w:lang w:val="en-US"/>
        </w:rPr>
        <w:t xml:space="preserve">inflated </w:t>
      </w:r>
      <w:r w:rsidRPr="006534AA" w:rsidR="00D562B7">
        <w:rPr>
          <w:rFonts w:cs="Times New Roman"/>
          <w:lang w:val="en-US"/>
        </w:rPr>
        <w:t>ROE</w:t>
      </w:r>
      <w:r w:rsidRPr="006534AA">
        <w:rPr>
          <w:rFonts w:cs="Times New Roman"/>
          <w:lang w:val="en-US"/>
        </w:rPr>
        <w:t xml:space="preserve"> </w:t>
      </w:r>
      <w:r w:rsidRPr="006534AA" w:rsidR="00D562B7">
        <w:rPr>
          <w:rFonts w:cs="Times New Roman"/>
          <w:lang w:val="en-US"/>
        </w:rPr>
        <w:t xml:space="preserve">of </w:t>
      </w:r>
      <w:r>
        <w:rPr>
          <w:rFonts w:cs="Times New Roman"/>
          <w:lang w:val="en-US"/>
        </w:rPr>
        <w:t>9.6</w:t>
      </w:r>
      <w:r w:rsidRPr="006534AA" w:rsidR="00D562B7">
        <w:rPr>
          <w:rFonts w:cs="Times New Roman"/>
          <w:lang w:val="en-US"/>
        </w:rPr>
        <w:t>%.</w:t>
      </w:r>
      <w:r>
        <w:rPr>
          <w:rStyle w:val="FootnoteReference"/>
          <w:rFonts w:cs="Times New Roman"/>
          <w:lang w:val="en-US"/>
        </w:rPr>
        <w:footnoteReference w:id="114"/>
      </w:r>
      <w:r w:rsidR="00FA0767">
        <w:rPr>
          <w:rFonts w:cs="Times New Roman"/>
          <w:lang w:val="en-US"/>
        </w:rPr>
        <w:t xml:space="preserve"> PUCO Staff’s</w:t>
      </w:r>
      <w:r w:rsidR="00AA4D8D">
        <w:rPr>
          <w:rFonts w:cs="Times New Roman"/>
          <w:lang w:val="en-US"/>
        </w:rPr>
        <w:t xml:space="preserve"> proposal is closer to </w:t>
      </w:r>
      <w:r w:rsidR="00FA0767">
        <w:rPr>
          <w:rFonts w:cs="Times New Roman"/>
          <w:lang w:val="en-US"/>
        </w:rPr>
        <w:t xml:space="preserve">investment returns with corresponding risk, as </w:t>
      </w:r>
      <w:r w:rsidR="00FA0767">
        <w:rPr>
          <w:rFonts w:cs="Times New Roman"/>
          <w:i/>
          <w:iCs/>
          <w:lang w:val="en-US"/>
        </w:rPr>
        <w:t>Hope</w:t>
      </w:r>
      <w:r w:rsidR="00FA0767">
        <w:rPr>
          <w:rFonts w:cs="Times New Roman"/>
          <w:lang w:val="en-US"/>
        </w:rPr>
        <w:t xml:space="preserve"> requires, and should be adopted. </w:t>
      </w:r>
    </w:p>
    <w:p w:rsidR="009D56D5" w:rsidP="00F6067A" w14:paraId="1F8D6D07" w14:textId="3F478F5A">
      <w:pPr>
        <w:pStyle w:val="Body"/>
        <w:spacing w:line="480" w:lineRule="auto"/>
        <w:ind w:left="0" w:firstLine="0"/>
      </w:pPr>
      <w:r w:rsidRPr="00AD3212">
        <w:rPr>
          <w:rFonts w:cs="Times New Roman"/>
          <w:lang w:val="en-US"/>
        </w:rPr>
        <w:tab/>
      </w:r>
      <w:r w:rsidRPr="00AD3212" w:rsidR="00AD3212">
        <w:rPr>
          <w:rFonts w:cs="Times New Roman"/>
          <w:lang w:val="en-US"/>
        </w:rPr>
        <w:t>Duke’s propos</w:t>
      </w:r>
      <w:r w:rsidR="00AD3212">
        <w:rPr>
          <w:rFonts w:cs="Times New Roman"/>
          <w:lang w:val="en-US"/>
        </w:rPr>
        <w:t>ed capital structure and return on equity</w:t>
      </w:r>
      <w:r w:rsidRPr="00AD3212" w:rsidR="00AD3212">
        <w:rPr>
          <w:rFonts w:cs="Times New Roman"/>
          <w:lang w:val="en-US"/>
        </w:rPr>
        <w:t xml:space="preserve"> results in an overall rate of return of 6.96 percent.</w:t>
      </w:r>
      <w:r>
        <w:rPr>
          <w:rStyle w:val="FootnoteReference"/>
          <w:rFonts w:cs="Times New Roman"/>
          <w:lang w:val="en-US"/>
        </w:rPr>
        <w:footnoteReference w:id="115"/>
      </w:r>
      <w:r w:rsidRPr="00AD3212" w:rsidR="00AD3212">
        <w:rPr>
          <w:rFonts w:cs="Times New Roman"/>
          <w:lang w:val="en-US"/>
        </w:rPr>
        <w:t xml:space="preserve"> The national average of rates of return for gas companies granted in the first nine months of 2022 is 6.83%.</w:t>
      </w:r>
      <w:r>
        <w:rPr>
          <w:rFonts w:cs="Times New Roman"/>
          <w:vertAlign w:val="superscript"/>
          <w:lang w:val="en-US"/>
        </w:rPr>
        <w:footnoteReference w:id="116"/>
      </w:r>
      <w:r w:rsidRPr="00AD3212" w:rsidR="00AD3212">
        <w:rPr>
          <w:rFonts w:cs="Times New Roman"/>
          <w:lang w:val="en-US"/>
        </w:rPr>
        <w:t xml:space="preserve"> </w:t>
      </w:r>
      <w:r w:rsidRPr="00AD3212" w:rsidR="00D562B7">
        <w:rPr>
          <w:rFonts w:cs="Times New Roman"/>
          <w:lang w:val="en-US"/>
        </w:rPr>
        <w:t xml:space="preserve">Adopting OCC’s proposed capital </w:t>
      </w:r>
    </w:p>
    <w:p w:rsidR="00D562B7" w:rsidRPr="00AD3212" w:rsidP="00D85C1C" w14:paraId="1CCA6CBA" w14:textId="7B08E6DC">
      <w:pPr>
        <w:pStyle w:val="Body"/>
        <w:spacing w:line="480" w:lineRule="auto"/>
        <w:ind w:left="0" w:firstLine="0"/>
        <w:rPr>
          <w:rFonts w:cs="Times New Roman"/>
          <w:lang w:val="en-US"/>
        </w:rPr>
      </w:pPr>
      <w:r w:rsidRPr="00AD3212">
        <w:rPr>
          <w:rFonts w:cs="Times New Roman"/>
          <w:lang w:val="en-US"/>
        </w:rPr>
        <w:t>structure and endorsement of the PUCO Staff’s original return on equity would result in the following overall rate of return:</w:t>
      </w:r>
    </w:p>
    <w:tbl>
      <w:tblPr>
        <w:tblW w:w="7540" w:type="dxa"/>
        <w:tblInd w:w="12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20"/>
        <w:gridCol w:w="1600"/>
        <w:gridCol w:w="1300"/>
        <w:gridCol w:w="1780"/>
        <w:gridCol w:w="1740"/>
      </w:tblGrid>
      <w:tr w14:paraId="6F7F4424" w14:textId="77777777" w:rsidTr="00E82D55">
        <w:tblPrEx>
          <w:tblW w:w="7540" w:type="dxa"/>
          <w:tblInd w:w="12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610"/>
        </w:trPr>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D562B7" w:rsidRPr="00AD3212" w:rsidP="00E82D55" w14:paraId="1CB9DB09" w14:textId="77777777">
            <w:pPr>
              <w:pStyle w:val="Body"/>
              <w:rPr>
                <w:rFonts w:cs="Times New Roman"/>
                <w:lang w:val="en-US"/>
              </w:rPr>
            </w:pPr>
            <w:r w:rsidRPr="00AD3212">
              <w:rPr>
                <w:rFonts w:cs="Times New Roman"/>
                <w:lang w:val="en-US"/>
              </w:rPr>
              <w:tab/>
            </w:r>
          </w:p>
        </w:tc>
        <w:tc>
          <w:tcPr>
            <w:tcW w:w="1600" w:type="dxa"/>
            <w:tcBorders>
              <w:top w:val="nil"/>
              <w:left w:val="nil"/>
              <w:bottom w:val="nil"/>
              <w:right w:val="nil"/>
            </w:tcBorders>
            <w:shd w:val="clear" w:color="auto" w:fill="auto"/>
            <w:tcMar>
              <w:top w:w="80" w:type="dxa"/>
              <w:left w:w="80" w:type="dxa"/>
              <w:bottom w:w="80" w:type="dxa"/>
              <w:right w:w="80" w:type="dxa"/>
            </w:tcMar>
            <w:vAlign w:val="center"/>
          </w:tcPr>
          <w:p w:rsidR="00D562B7" w:rsidRPr="00AD3212" w:rsidP="00E82D55" w14:paraId="2114BC57" w14:textId="65757F75">
            <w:pPr>
              <w:pStyle w:val="Body"/>
              <w:rPr>
                <w:rFonts w:cs="Times New Roman"/>
                <w:lang w:val="en-US"/>
              </w:rPr>
            </w:pPr>
            <w:r w:rsidRPr="00AD3212">
              <w:rPr>
                <w:rFonts w:cs="Times New Roman"/>
                <w:lang w:val="en-US"/>
              </w:rPr>
              <w:t>Cap. Structure</w:t>
            </w:r>
          </w:p>
        </w:tc>
        <w:tc>
          <w:tcPr>
            <w:tcW w:w="1300" w:type="dxa"/>
            <w:tcBorders>
              <w:top w:val="nil"/>
              <w:left w:val="nil"/>
              <w:bottom w:val="nil"/>
              <w:right w:val="nil"/>
            </w:tcBorders>
            <w:shd w:val="clear" w:color="auto" w:fill="auto"/>
            <w:tcMar>
              <w:top w:w="80" w:type="dxa"/>
              <w:left w:w="80" w:type="dxa"/>
              <w:bottom w:w="80" w:type="dxa"/>
              <w:right w:w="80" w:type="dxa"/>
            </w:tcMar>
            <w:vAlign w:val="center"/>
          </w:tcPr>
          <w:p w:rsidR="00D562B7" w:rsidRPr="00AD3212" w:rsidP="00E82D55" w14:paraId="338A27CE" w14:textId="77777777">
            <w:pPr>
              <w:pStyle w:val="Body"/>
              <w:rPr>
                <w:rFonts w:cs="Times New Roman"/>
                <w:lang w:val="en-US"/>
              </w:rPr>
            </w:pPr>
            <w:r w:rsidRPr="00AD3212">
              <w:rPr>
                <w:rFonts w:cs="Times New Roman"/>
                <w:lang w:val="en-US"/>
              </w:rPr>
              <w:t>ROE</w:t>
            </w:r>
          </w:p>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D562B7" w:rsidRPr="00AD3212" w:rsidP="00E82D55" w14:paraId="5625C747" w14:textId="77777777">
            <w:pPr>
              <w:pStyle w:val="Body"/>
              <w:rPr>
                <w:rFonts w:cs="Times New Roman"/>
                <w:lang w:val="en-US"/>
              </w:rPr>
            </w:pPr>
            <w:r w:rsidRPr="00AD3212">
              <w:rPr>
                <w:rFonts w:cs="Times New Roman"/>
                <w:lang w:val="en-US"/>
              </w:rPr>
              <w:t>Cost of Debt</w:t>
            </w:r>
          </w:p>
        </w:tc>
        <w:tc>
          <w:tcPr>
            <w:tcW w:w="1740" w:type="dxa"/>
            <w:tcBorders>
              <w:top w:val="nil"/>
              <w:left w:val="nil"/>
              <w:bottom w:val="nil"/>
              <w:right w:val="nil"/>
            </w:tcBorders>
            <w:shd w:val="clear" w:color="auto" w:fill="auto"/>
            <w:tcMar>
              <w:top w:w="80" w:type="dxa"/>
              <w:left w:w="80" w:type="dxa"/>
              <w:bottom w:w="80" w:type="dxa"/>
              <w:right w:w="80" w:type="dxa"/>
            </w:tcMar>
            <w:vAlign w:val="center"/>
          </w:tcPr>
          <w:p w:rsidR="00D562B7" w:rsidRPr="00AD3212" w:rsidP="00E82D55" w14:paraId="025AC68A" w14:textId="77777777">
            <w:pPr>
              <w:pStyle w:val="Body"/>
              <w:rPr>
                <w:rFonts w:cs="Times New Roman"/>
                <w:lang w:val="en-US"/>
              </w:rPr>
            </w:pPr>
            <w:r w:rsidRPr="00AD3212">
              <w:rPr>
                <w:rFonts w:cs="Times New Roman"/>
                <w:lang w:val="en-US"/>
              </w:rPr>
              <w:t>Rate of Return</w:t>
            </w:r>
          </w:p>
        </w:tc>
      </w:tr>
      <w:tr w14:paraId="444A4802" w14:textId="77777777" w:rsidTr="00E82D55">
        <w:tblPrEx>
          <w:tblW w:w="7540" w:type="dxa"/>
          <w:tblInd w:w="1217" w:type="dxa"/>
          <w:shd w:val="clear" w:color="auto" w:fill="CED7E7"/>
          <w:tblLayout w:type="fixed"/>
          <w:tblLook w:val="04A0"/>
        </w:tblPrEx>
        <w:trPr>
          <w:trHeight w:val="310"/>
        </w:trPr>
        <w:tc>
          <w:tcPr>
            <w:tcW w:w="1120" w:type="dxa"/>
            <w:tcBorders>
              <w:top w:val="nil"/>
              <w:left w:val="nil"/>
              <w:bottom w:val="nil"/>
              <w:right w:val="nil"/>
            </w:tcBorders>
            <w:shd w:val="clear" w:color="auto" w:fill="auto"/>
            <w:tcMar>
              <w:top w:w="80" w:type="dxa"/>
              <w:left w:w="80" w:type="dxa"/>
              <w:bottom w:w="80" w:type="dxa"/>
              <w:right w:w="80" w:type="dxa"/>
            </w:tcMar>
            <w:vAlign w:val="center"/>
          </w:tcPr>
          <w:p w:rsidR="00D562B7" w:rsidRPr="00AD3212" w:rsidP="00E82D55" w14:paraId="00661923" w14:textId="77777777">
            <w:pPr>
              <w:pStyle w:val="Body"/>
              <w:rPr>
                <w:rFonts w:cs="Times New Roman"/>
                <w:lang w:val="en-US"/>
              </w:rPr>
            </w:pPr>
            <w:r w:rsidRPr="00AD3212">
              <w:rPr>
                <w:rFonts w:cs="Times New Roman"/>
                <w:lang w:val="en-US"/>
              </w:rPr>
              <w:t xml:space="preserve">Debt </w:t>
            </w:r>
          </w:p>
        </w:tc>
        <w:tc>
          <w:tcPr>
            <w:tcW w:w="1600" w:type="dxa"/>
            <w:tcBorders>
              <w:top w:val="nil"/>
              <w:left w:val="nil"/>
              <w:bottom w:val="nil"/>
              <w:right w:val="nil"/>
            </w:tcBorders>
            <w:shd w:val="clear" w:color="auto" w:fill="auto"/>
            <w:tcMar>
              <w:top w:w="80" w:type="dxa"/>
              <w:left w:w="80" w:type="dxa"/>
              <w:bottom w:w="80" w:type="dxa"/>
              <w:right w:w="80" w:type="dxa"/>
            </w:tcMar>
            <w:vAlign w:val="center"/>
          </w:tcPr>
          <w:p w:rsidR="00D562B7" w:rsidRPr="00AD3212" w:rsidP="00E82D55" w14:paraId="67DF0816" w14:textId="77777777">
            <w:pPr>
              <w:pStyle w:val="Body"/>
              <w:rPr>
                <w:rFonts w:cs="Times New Roman"/>
                <w:lang w:val="en-US"/>
              </w:rPr>
            </w:pPr>
            <w:r w:rsidRPr="00AD3212">
              <w:rPr>
                <w:rFonts w:cs="Times New Roman"/>
                <w:lang w:val="en-US"/>
              </w:rPr>
              <w:t>52.39%</w:t>
            </w:r>
          </w:p>
        </w:tc>
        <w:tc>
          <w:tcPr>
            <w:tcW w:w="1300" w:type="dxa"/>
            <w:tcBorders>
              <w:top w:val="nil"/>
              <w:left w:val="nil"/>
              <w:bottom w:val="nil"/>
              <w:right w:val="nil"/>
            </w:tcBorders>
            <w:shd w:val="clear" w:color="auto" w:fill="auto"/>
            <w:tcMar>
              <w:top w:w="80" w:type="dxa"/>
              <w:left w:w="80" w:type="dxa"/>
              <w:bottom w:w="80" w:type="dxa"/>
              <w:right w:w="80" w:type="dxa"/>
            </w:tcMar>
            <w:vAlign w:val="center"/>
          </w:tcPr>
          <w:p w:rsidR="00D562B7" w:rsidRPr="00AD3212" w:rsidP="00E82D55" w14:paraId="724632EB" w14:textId="38F5D6F2">
            <w:pPr>
              <w:pStyle w:val="Body"/>
              <w:rPr>
                <w:rFonts w:cs="Times New Roman"/>
                <w:lang w:val="en-US"/>
              </w:rPr>
            </w:pPr>
            <w:r w:rsidRPr="00AD3212">
              <w:rPr>
                <w:rFonts w:cs="Times New Roman"/>
                <w:lang w:val="en-US"/>
              </w:rPr>
              <w:t>9.5</w:t>
            </w:r>
            <w:r w:rsidR="0045603E">
              <w:rPr>
                <w:rFonts w:cs="Times New Roman"/>
                <w:lang w:val="en-US"/>
              </w:rPr>
              <w:t>2</w:t>
            </w:r>
          </w:p>
        </w:tc>
        <w:tc>
          <w:tcPr>
            <w:tcW w:w="1780" w:type="dxa"/>
            <w:tcBorders>
              <w:top w:val="nil"/>
              <w:left w:val="nil"/>
              <w:bottom w:val="nil"/>
              <w:right w:val="nil"/>
            </w:tcBorders>
            <w:shd w:val="clear" w:color="auto" w:fill="auto"/>
            <w:tcMar>
              <w:top w:w="80" w:type="dxa"/>
              <w:left w:w="80" w:type="dxa"/>
              <w:bottom w:w="80" w:type="dxa"/>
              <w:right w:w="80" w:type="dxa"/>
            </w:tcMar>
            <w:vAlign w:val="bottom"/>
          </w:tcPr>
          <w:p w:rsidR="00D562B7" w:rsidRPr="00AD3212" w:rsidP="00E82D55" w14:paraId="0A1C646D" w14:textId="77777777"/>
        </w:tc>
        <w:tc>
          <w:tcPr>
            <w:tcW w:w="1740" w:type="dxa"/>
            <w:tcBorders>
              <w:top w:val="nil"/>
              <w:left w:val="nil"/>
              <w:bottom w:val="nil"/>
              <w:right w:val="nil"/>
            </w:tcBorders>
            <w:shd w:val="clear" w:color="auto" w:fill="auto"/>
            <w:tcMar>
              <w:top w:w="80" w:type="dxa"/>
              <w:left w:w="80" w:type="dxa"/>
              <w:bottom w:w="80" w:type="dxa"/>
              <w:right w:w="80" w:type="dxa"/>
            </w:tcMar>
            <w:vAlign w:val="center"/>
          </w:tcPr>
          <w:p w:rsidR="00D562B7" w:rsidRPr="00AD3212" w:rsidP="00E82D55" w14:paraId="7E45513B" w14:textId="77777777">
            <w:pPr>
              <w:pStyle w:val="Body"/>
              <w:rPr>
                <w:rFonts w:cs="Times New Roman"/>
                <w:lang w:val="en-US"/>
              </w:rPr>
            </w:pPr>
            <w:r w:rsidRPr="00AD3212">
              <w:rPr>
                <w:rFonts w:cs="Times New Roman"/>
                <w:lang w:val="en-US"/>
              </w:rPr>
              <w:t>2.13</w:t>
            </w:r>
          </w:p>
        </w:tc>
      </w:tr>
      <w:tr w14:paraId="64CB5342" w14:textId="77777777" w:rsidTr="00E82D55">
        <w:tblPrEx>
          <w:tblW w:w="7540" w:type="dxa"/>
          <w:tblInd w:w="1217" w:type="dxa"/>
          <w:shd w:val="clear" w:color="auto" w:fill="CED7E7"/>
          <w:tblLayout w:type="fixed"/>
          <w:tblLook w:val="04A0"/>
        </w:tblPrEx>
        <w:trPr>
          <w:trHeight w:val="310"/>
        </w:trPr>
        <w:tc>
          <w:tcPr>
            <w:tcW w:w="1120" w:type="dxa"/>
            <w:tcBorders>
              <w:top w:val="nil"/>
              <w:left w:val="nil"/>
              <w:bottom w:val="nil"/>
              <w:right w:val="nil"/>
            </w:tcBorders>
            <w:shd w:val="clear" w:color="auto" w:fill="auto"/>
            <w:tcMar>
              <w:top w:w="80" w:type="dxa"/>
              <w:left w:w="80" w:type="dxa"/>
              <w:bottom w:w="80" w:type="dxa"/>
              <w:right w:w="80" w:type="dxa"/>
            </w:tcMar>
            <w:vAlign w:val="center"/>
          </w:tcPr>
          <w:p w:rsidR="00D562B7" w:rsidRPr="00AD3212" w:rsidP="00E82D55" w14:paraId="70B94D10" w14:textId="77777777">
            <w:pPr>
              <w:pStyle w:val="Body"/>
              <w:rPr>
                <w:rFonts w:cs="Times New Roman"/>
                <w:lang w:val="en-US"/>
              </w:rPr>
            </w:pPr>
            <w:r w:rsidRPr="00AD3212">
              <w:rPr>
                <w:rFonts w:cs="Times New Roman"/>
                <w:lang w:val="en-US"/>
              </w:rPr>
              <w:t>Equity</w:t>
            </w:r>
          </w:p>
        </w:tc>
        <w:tc>
          <w:tcPr>
            <w:tcW w:w="1600"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D562B7" w:rsidRPr="00AD3212" w:rsidP="00E82D55" w14:paraId="0FCE64F0" w14:textId="77777777">
            <w:pPr>
              <w:pStyle w:val="Body"/>
              <w:rPr>
                <w:rFonts w:cs="Times New Roman"/>
                <w:lang w:val="en-US"/>
              </w:rPr>
            </w:pPr>
            <w:r w:rsidRPr="00AD3212">
              <w:rPr>
                <w:rFonts w:cs="Times New Roman"/>
                <w:lang w:val="en-US"/>
              </w:rPr>
              <w:t>47.61%</w:t>
            </w:r>
          </w:p>
        </w:tc>
        <w:tc>
          <w:tcPr>
            <w:tcW w:w="1300" w:type="dxa"/>
            <w:tcBorders>
              <w:top w:val="nil"/>
              <w:left w:val="nil"/>
              <w:bottom w:val="nil"/>
              <w:right w:val="nil"/>
            </w:tcBorders>
            <w:shd w:val="clear" w:color="auto" w:fill="auto"/>
            <w:tcMar>
              <w:top w:w="80" w:type="dxa"/>
              <w:left w:w="80" w:type="dxa"/>
              <w:bottom w:w="80" w:type="dxa"/>
              <w:right w:w="80" w:type="dxa"/>
            </w:tcMar>
            <w:vAlign w:val="bottom"/>
          </w:tcPr>
          <w:p w:rsidR="00D562B7" w:rsidRPr="00AD3212" w:rsidP="00E82D55" w14:paraId="7C03040E" w14:textId="77777777"/>
        </w:tc>
        <w:tc>
          <w:tcPr>
            <w:tcW w:w="1780" w:type="dxa"/>
            <w:tcBorders>
              <w:top w:val="nil"/>
              <w:left w:val="nil"/>
              <w:bottom w:val="nil"/>
              <w:right w:val="nil"/>
            </w:tcBorders>
            <w:shd w:val="clear" w:color="auto" w:fill="auto"/>
            <w:tcMar>
              <w:top w:w="80" w:type="dxa"/>
              <w:left w:w="80" w:type="dxa"/>
              <w:bottom w:w="80" w:type="dxa"/>
              <w:right w:w="80" w:type="dxa"/>
            </w:tcMar>
            <w:vAlign w:val="center"/>
          </w:tcPr>
          <w:p w:rsidR="00D562B7" w:rsidRPr="00AD3212" w:rsidP="00E82D55" w14:paraId="1ABF881F" w14:textId="77777777">
            <w:pPr>
              <w:pStyle w:val="Body"/>
              <w:rPr>
                <w:rFonts w:cs="Times New Roman"/>
                <w:lang w:val="en-US"/>
              </w:rPr>
            </w:pPr>
            <w:r w:rsidRPr="00AD3212">
              <w:rPr>
                <w:rFonts w:cs="Times New Roman"/>
                <w:lang w:val="en-US"/>
              </w:rPr>
              <w:t>4.07</w:t>
            </w:r>
          </w:p>
        </w:tc>
        <w:tc>
          <w:tcPr>
            <w:tcW w:w="1740"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D562B7" w:rsidRPr="00AD3212" w:rsidP="00E82D55" w14:paraId="40D5CAA1" w14:textId="77777777">
            <w:pPr>
              <w:pStyle w:val="Body"/>
              <w:rPr>
                <w:rFonts w:cs="Times New Roman"/>
                <w:lang w:val="en-US"/>
              </w:rPr>
            </w:pPr>
            <w:r w:rsidRPr="00AD3212">
              <w:rPr>
                <w:rFonts w:cs="Times New Roman"/>
                <w:lang w:val="en-US"/>
              </w:rPr>
              <w:t>4.54</w:t>
            </w:r>
          </w:p>
        </w:tc>
      </w:tr>
      <w:tr w14:paraId="798879C2" w14:textId="77777777" w:rsidTr="00E82D55">
        <w:tblPrEx>
          <w:tblW w:w="7540" w:type="dxa"/>
          <w:tblInd w:w="1217" w:type="dxa"/>
          <w:shd w:val="clear" w:color="auto" w:fill="CED7E7"/>
          <w:tblLayout w:type="fixed"/>
          <w:tblLook w:val="04A0"/>
        </w:tblPrEx>
        <w:trPr>
          <w:trHeight w:val="310"/>
        </w:trPr>
        <w:tc>
          <w:tcPr>
            <w:tcW w:w="1120" w:type="dxa"/>
            <w:tcBorders>
              <w:top w:val="nil"/>
              <w:left w:val="nil"/>
              <w:bottom w:val="nil"/>
              <w:right w:val="nil"/>
            </w:tcBorders>
            <w:shd w:val="clear" w:color="auto" w:fill="auto"/>
            <w:tcMar>
              <w:top w:w="80" w:type="dxa"/>
              <w:left w:w="80" w:type="dxa"/>
              <w:bottom w:w="80" w:type="dxa"/>
              <w:right w:w="80" w:type="dxa"/>
            </w:tcMar>
            <w:vAlign w:val="center"/>
          </w:tcPr>
          <w:p w:rsidR="00D562B7" w:rsidRPr="00AD3212" w:rsidP="00E82D55" w14:paraId="674603D5" w14:textId="77777777">
            <w:pPr>
              <w:pStyle w:val="Body"/>
              <w:rPr>
                <w:rFonts w:cs="Times New Roman"/>
                <w:lang w:val="en-US"/>
              </w:rPr>
            </w:pPr>
            <w:r w:rsidRPr="00AD3212">
              <w:rPr>
                <w:rFonts w:cs="Times New Roman"/>
                <w:lang w:val="en-US"/>
              </w:rPr>
              <w:t>Total</w:t>
            </w:r>
          </w:p>
        </w:tc>
        <w:tc>
          <w:tcPr>
            <w:tcW w:w="160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562B7" w:rsidRPr="00AD3212" w:rsidP="00E82D55" w14:paraId="040E0210" w14:textId="77777777">
            <w:pPr>
              <w:pStyle w:val="Body"/>
              <w:rPr>
                <w:rFonts w:cs="Times New Roman"/>
                <w:lang w:val="en-US"/>
              </w:rPr>
            </w:pPr>
            <w:r w:rsidRPr="00AD3212">
              <w:rPr>
                <w:rFonts w:cs="Times New Roman"/>
                <w:lang w:val="en-US"/>
              </w:rPr>
              <w:t>100</w:t>
            </w:r>
          </w:p>
        </w:tc>
        <w:tc>
          <w:tcPr>
            <w:tcW w:w="1300" w:type="dxa"/>
            <w:tcBorders>
              <w:top w:val="nil"/>
              <w:left w:val="nil"/>
              <w:bottom w:val="nil"/>
              <w:right w:val="nil"/>
            </w:tcBorders>
            <w:shd w:val="clear" w:color="auto" w:fill="auto"/>
            <w:tcMar>
              <w:top w:w="80" w:type="dxa"/>
              <w:left w:w="80" w:type="dxa"/>
              <w:bottom w:w="80" w:type="dxa"/>
              <w:right w:w="80" w:type="dxa"/>
            </w:tcMar>
            <w:vAlign w:val="bottom"/>
          </w:tcPr>
          <w:p w:rsidR="00D562B7" w:rsidRPr="00AD3212" w:rsidP="00E82D55" w14:paraId="2871C0B5" w14:textId="77777777"/>
        </w:tc>
        <w:tc>
          <w:tcPr>
            <w:tcW w:w="1780" w:type="dxa"/>
            <w:tcBorders>
              <w:top w:val="nil"/>
              <w:left w:val="nil"/>
              <w:bottom w:val="nil"/>
              <w:right w:val="nil"/>
            </w:tcBorders>
            <w:shd w:val="clear" w:color="auto" w:fill="auto"/>
            <w:tcMar>
              <w:top w:w="80" w:type="dxa"/>
              <w:left w:w="80" w:type="dxa"/>
              <w:bottom w:w="80" w:type="dxa"/>
              <w:right w:w="80" w:type="dxa"/>
            </w:tcMar>
            <w:vAlign w:val="bottom"/>
          </w:tcPr>
          <w:p w:rsidR="00D562B7" w:rsidRPr="00AD3212" w:rsidP="00E82D55" w14:paraId="2EFAAFA1" w14:textId="77777777"/>
        </w:tc>
        <w:tc>
          <w:tcPr>
            <w:tcW w:w="174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562B7" w:rsidRPr="00AD3212" w:rsidP="00E82D55" w14:paraId="62307F17" w14:textId="77777777">
            <w:pPr>
              <w:pStyle w:val="Body"/>
              <w:rPr>
                <w:rFonts w:cs="Times New Roman"/>
                <w:lang w:val="en-US"/>
              </w:rPr>
            </w:pPr>
            <w:r w:rsidRPr="00AD3212">
              <w:rPr>
                <w:rFonts w:cs="Times New Roman"/>
                <w:lang w:val="en-US"/>
              </w:rPr>
              <w:t>6.67</w:t>
            </w:r>
          </w:p>
        </w:tc>
      </w:tr>
    </w:tbl>
    <w:p w:rsidR="004D58FF" w:rsidP="004D58FF" w14:paraId="204FC49F" w14:textId="77777777">
      <w:pPr>
        <w:pStyle w:val="Body"/>
        <w:ind w:left="0" w:firstLine="0"/>
        <w:rPr>
          <w:rFonts w:cs="Times New Roman"/>
          <w:lang w:val="en-US"/>
        </w:rPr>
      </w:pPr>
    </w:p>
    <w:p w:rsidR="00E62138" w:rsidP="00AD3212" w14:paraId="349EBA16" w14:textId="054AC40C">
      <w:pPr>
        <w:pStyle w:val="Body"/>
        <w:spacing w:line="480" w:lineRule="auto"/>
        <w:ind w:left="0" w:firstLine="0"/>
        <w:rPr>
          <w:rFonts w:cs="Times New Roman"/>
          <w:lang w:val="en-US"/>
        </w:rPr>
      </w:pPr>
      <w:r w:rsidRPr="00AD3212">
        <w:rPr>
          <w:rFonts w:cs="Times New Roman"/>
          <w:lang w:val="en-US"/>
        </w:rPr>
        <w:tab/>
      </w:r>
      <w:r w:rsidRPr="00AD3212" w:rsidR="00D70711">
        <w:rPr>
          <w:rFonts w:cs="Times New Roman"/>
          <w:lang w:val="en-US"/>
        </w:rPr>
        <w:t>OCC’s proposed 6.67% rate of return is more appropriate</w:t>
      </w:r>
      <w:r w:rsidRPr="00AD3212">
        <w:rPr>
          <w:rFonts w:cs="Times New Roman"/>
          <w:lang w:val="en-US"/>
        </w:rPr>
        <w:t xml:space="preserve"> than Duke’s proposal. Mr. Buckley concluded that</w:t>
      </w:r>
      <w:r w:rsidRPr="00AD3212" w:rsidR="00D70711">
        <w:rPr>
          <w:rFonts w:cs="Times New Roman"/>
          <w:lang w:val="en-US"/>
        </w:rPr>
        <w:t xml:space="preserve"> </w:t>
      </w:r>
      <w:r w:rsidRPr="00AD3212" w:rsidR="00D562B7">
        <w:rPr>
          <w:rFonts w:cs="Times New Roman"/>
          <w:lang w:val="en-US"/>
        </w:rPr>
        <w:t>Duke’s risk profile does not warrant a higher rate of return than the national average.</w:t>
      </w:r>
      <w:r>
        <w:rPr>
          <w:rStyle w:val="FootnoteReference"/>
          <w:rFonts w:cs="Times New Roman"/>
          <w:lang w:val="en-US"/>
        </w:rPr>
        <w:footnoteReference w:id="117"/>
      </w:r>
      <w:r w:rsidRPr="00AD3212" w:rsidR="00D562B7">
        <w:rPr>
          <w:rFonts w:cs="Times New Roman"/>
          <w:lang w:val="en-US"/>
        </w:rPr>
        <w:t xml:space="preserve"> </w:t>
      </w:r>
      <w:r w:rsidRPr="00AD3212">
        <w:rPr>
          <w:rFonts w:cs="Times New Roman"/>
          <w:lang w:val="en-US"/>
        </w:rPr>
        <w:t>Even at a lower rate of return, “Duke will still be able to attract capital.”</w:t>
      </w:r>
      <w:r>
        <w:rPr>
          <w:rStyle w:val="FootnoteReference"/>
          <w:rFonts w:cs="Times New Roman"/>
          <w:lang w:val="en-US"/>
        </w:rPr>
        <w:footnoteReference w:id="118"/>
      </w:r>
      <w:r w:rsidRPr="00AD3212">
        <w:rPr>
          <w:rFonts w:cs="Times New Roman"/>
          <w:lang w:val="en-US"/>
        </w:rPr>
        <w:t xml:space="preserve"> This is because Duke Energy Ohio’s natural gas operation presents low financial risk to investors. </w:t>
      </w:r>
    </w:p>
    <w:p w:rsidR="00BF144B" w:rsidRPr="00AD3212" w:rsidP="00AD3212" w14:paraId="1E2D8CCE" w14:textId="34DF1C02">
      <w:pPr>
        <w:pStyle w:val="Body"/>
        <w:spacing w:line="480" w:lineRule="auto"/>
        <w:ind w:left="0" w:firstLine="0"/>
        <w:rPr>
          <w:rFonts w:cs="Times New Roman"/>
          <w:lang w:val="en-US"/>
        </w:rPr>
      </w:pPr>
      <w:r>
        <w:rPr>
          <w:rFonts w:cs="Times New Roman"/>
          <w:lang w:val="en-US"/>
        </w:rPr>
        <w:tab/>
      </w:r>
      <w:r w:rsidRPr="00AD3212" w:rsidR="00D562B7">
        <w:rPr>
          <w:rFonts w:cs="Times New Roman"/>
          <w:lang w:val="en-US"/>
        </w:rPr>
        <w:t>Duke Energy has stated in its Retail Investor Update</w:t>
      </w:r>
      <w:r>
        <w:rPr>
          <w:rFonts w:cs="Times New Roman"/>
          <w:vertAlign w:val="superscript"/>
          <w:lang w:val="en-US"/>
        </w:rPr>
        <w:footnoteReference w:id="119"/>
      </w:r>
      <w:r w:rsidRPr="00AD3212" w:rsidR="00D562B7">
        <w:rPr>
          <w:rFonts w:cs="Times New Roman"/>
          <w:lang w:val="en-US"/>
        </w:rPr>
        <w:t xml:space="preserve"> that it provides “[t]op tier dividend yields compared to S&amp;P 500 Utility Companies, with a proven track record of dividend growth by increasing quarterly dividend payments for 16 consecutive years.” Additionally, Duke Energy claims it will be able to provide ~10% in risk adjusted shareholder returns through 2027.</w:t>
      </w:r>
      <w:r>
        <w:rPr>
          <w:rFonts w:cs="Times New Roman"/>
          <w:vertAlign w:val="superscript"/>
          <w:lang w:val="en-US"/>
        </w:rPr>
        <w:footnoteReference w:id="120"/>
      </w:r>
      <w:r w:rsidRPr="00AD3212" w:rsidR="00D562B7">
        <w:rPr>
          <w:rFonts w:cs="Times New Roman"/>
          <w:lang w:val="en-US"/>
        </w:rPr>
        <w:t xml:space="preserve"> Also, Duke Energy</w:t>
      </w:r>
      <w:r>
        <w:rPr>
          <w:rFonts w:cs="Times New Roman"/>
          <w:vertAlign w:val="superscript"/>
          <w:lang w:val="en-US"/>
        </w:rPr>
        <w:footnoteReference w:id="121"/>
      </w:r>
      <w:r w:rsidRPr="00AD3212" w:rsidR="00D562B7">
        <w:rPr>
          <w:rFonts w:cs="Times New Roman"/>
          <w:lang w:val="en-US"/>
        </w:rPr>
        <w:t xml:space="preserve"> and Duke-Ohio</w:t>
      </w:r>
      <w:r>
        <w:rPr>
          <w:rFonts w:cs="Times New Roman"/>
          <w:vertAlign w:val="superscript"/>
          <w:lang w:val="en-US"/>
        </w:rPr>
        <w:footnoteReference w:id="122"/>
      </w:r>
      <w:r w:rsidRPr="00AD3212" w:rsidR="00D562B7">
        <w:rPr>
          <w:rFonts w:cs="Times New Roman"/>
          <w:lang w:val="en-US"/>
        </w:rPr>
        <w:t xml:space="preserve"> are both stable BBB+ rated by S&amp;P.</w:t>
      </w:r>
      <w:r w:rsidRPr="00AD3212" w:rsidR="006534AA">
        <w:rPr>
          <w:rFonts w:cs="Times New Roman"/>
          <w:lang w:val="en-US"/>
        </w:rPr>
        <w:t xml:space="preserve"> </w:t>
      </w:r>
      <w:r w:rsidR="00AA4D8D">
        <w:rPr>
          <w:rFonts w:cs="Times New Roman"/>
          <w:lang w:val="en-US"/>
        </w:rPr>
        <w:t xml:space="preserve">Thus, OCC’s proposed rate of return is “adequate” “to enable the utility to raise necessary capital,” as </w:t>
      </w:r>
      <w:r w:rsidR="00AA4D8D">
        <w:rPr>
          <w:rFonts w:cs="Times New Roman"/>
          <w:i/>
          <w:iCs/>
          <w:lang w:val="en-US"/>
        </w:rPr>
        <w:t xml:space="preserve">Bluefield </w:t>
      </w:r>
      <w:r w:rsidR="00AA4D8D">
        <w:rPr>
          <w:rFonts w:cs="Times New Roman"/>
          <w:lang w:val="en-US"/>
        </w:rPr>
        <w:t xml:space="preserve">requires. Duke’s proposal goes beyond what is necessary. </w:t>
      </w:r>
      <w:r w:rsidRPr="00AD3212" w:rsidR="001F1262">
        <w:rPr>
          <w:rFonts w:cs="Times New Roman"/>
          <w:lang w:val="en-US"/>
        </w:rPr>
        <w:t xml:space="preserve">Given </w:t>
      </w:r>
      <w:r w:rsidRPr="00AD3212" w:rsidR="00AD3212">
        <w:rPr>
          <w:rFonts w:cs="Times New Roman"/>
          <w:lang w:val="en-US"/>
        </w:rPr>
        <w:t>Duke’s comparatively low financial risk to investors</w:t>
      </w:r>
      <w:r w:rsidRPr="00AD3212" w:rsidR="001F1262">
        <w:rPr>
          <w:rFonts w:cs="Times New Roman"/>
          <w:lang w:val="en-US"/>
        </w:rPr>
        <w:t xml:space="preserve">, the PUCO should not grant Duke’s request for a rate of return above the national average. </w:t>
      </w:r>
      <w:r w:rsidRPr="00AD3212" w:rsidR="006534AA">
        <w:rPr>
          <w:rFonts w:cs="Times New Roman"/>
          <w:lang w:val="en-US"/>
        </w:rPr>
        <w:t xml:space="preserve">The PUCO </w:t>
      </w:r>
      <w:r w:rsidRPr="00AD3212" w:rsidR="00D562B7">
        <w:rPr>
          <w:rFonts w:cs="Times New Roman"/>
          <w:lang w:val="en-US"/>
        </w:rPr>
        <w:t xml:space="preserve">should adopt OCC’s modified capital structure, ROE and resulting </w:t>
      </w:r>
      <w:r w:rsidR="00AD3212">
        <w:rPr>
          <w:rFonts w:cs="Times New Roman"/>
          <w:lang w:val="en-US"/>
        </w:rPr>
        <w:t xml:space="preserve">lower-than-average </w:t>
      </w:r>
      <w:r w:rsidRPr="00AD3212" w:rsidR="00D562B7">
        <w:rPr>
          <w:rFonts w:cs="Times New Roman"/>
          <w:lang w:val="en-US"/>
        </w:rPr>
        <w:t>rate of return.</w:t>
      </w:r>
    </w:p>
    <w:p w:rsidR="008D162F" w:rsidRPr="00F126CD" w:rsidP="00193233" w14:paraId="00760FAC" w14:textId="253D585D">
      <w:pPr>
        <w:pStyle w:val="Heading3"/>
      </w:pPr>
      <w:bookmarkStart w:id="30" w:name="_Toc137825449"/>
      <w:r w:rsidRPr="00EC345A">
        <w:t xml:space="preserve">The </w:t>
      </w:r>
      <w:r w:rsidR="00E62138">
        <w:t>S</w:t>
      </w:r>
      <w:r w:rsidRPr="00EC345A">
        <w:t xml:space="preserve">ettlement’s proposal </w:t>
      </w:r>
      <w:r w:rsidRPr="00EC345A" w:rsidR="007E2E91">
        <w:t>to allow</w:t>
      </w:r>
      <w:r w:rsidRPr="00EC345A">
        <w:t xml:space="preserve"> Duke to</w:t>
      </w:r>
      <w:r w:rsidRPr="00EC345A" w:rsidR="007E2E91">
        <w:t xml:space="preserve"> allocate 67.8</w:t>
      </w:r>
      <w:r w:rsidRPr="00EC345A" w:rsidR="009257EC">
        <w:t>3</w:t>
      </w:r>
      <w:r w:rsidRPr="00EC345A" w:rsidR="007E2E91">
        <w:t xml:space="preserve">% of base distribution revenue charges to </w:t>
      </w:r>
      <w:r w:rsidRPr="00EC345A" w:rsidR="00513580">
        <w:t xml:space="preserve">residential </w:t>
      </w:r>
      <w:r w:rsidRPr="00EC345A">
        <w:t>consumers</w:t>
      </w:r>
      <w:r w:rsidRPr="00EC345A" w:rsidR="007E2E91">
        <w:t xml:space="preserve"> and collect from consumers an </w:t>
      </w:r>
      <w:r w:rsidRPr="00EC345A">
        <w:t>additional $</w:t>
      </w:r>
      <w:r w:rsidRPr="00EC345A" w:rsidR="0090512E">
        <w:t>2</w:t>
      </w:r>
      <w:r w:rsidRPr="00EC345A">
        <w:t>1.7 million annually does not benefit consumers, nor is it in the public interest.</w:t>
      </w:r>
      <w:bookmarkEnd w:id="30"/>
      <w:r w:rsidRPr="00EC345A" w:rsidR="00EC345A">
        <w:tab/>
      </w:r>
    </w:p>
    <w:p w:rsidR="00CB4B3B" w:rsidRPr="00F126CD" w:rsidP="008D162F" w14:paraId="2D7C4CBA" w14:textId="71EC1C98">
      <w:pPr>
        <w:spacing w:line="480" w:lineRule="auto"/>
        <w:ind w:firstLine="720"/>
      </w:pPr>
      <w:r w:rsidRPr="00F126CD">
        <w:t xml:space="preserve">Residential consumers should not be </w:t>
      </w:r>
      <w:r w:rsidRPr="00F126CD" w:rsidR="009257EC">
        <w:t>“</w:t>
      </w:r>
      <w:r w:rsidRPr="00F126CD" w:rsidR="0068159E">
        <w:t>over</w:t>
      </w:r>
      <w:r w:rsidRPr="00F126CD" w:rsidR="009257EC">
        <w:t>-</w:t>
      </w:r>
      <w:r w:rsidRPr="00F126CD" w:rsidR="0068159E">
        <w:t>burdened</w:t>
      </w:r>
      <w:r w:rsidRPr="00F126CD">
        <w:t xml:space="preserve"> with large utility price increases after nearly three </w:t>
      </w:r>
      <w:r w:rsidRPr="00F126CD" w:rsidR="0068159E">
        <w:t>years of</w:t>
      </w:r>
      <w:r w:rsidRPr="00F126CD">
        <w:t xml:space="preserve"> economic hardships caused by </w:t>
      </w:r>
      <w:r w:rsidRPr="00F126CD" w:rsidR="0090512E">
        <w:t>COVID</w:t>
      </w:r>
      <w:r w:rsidRPr="00F126CD">
        <w:t xml:space="preserve"> and ongoing inflation.</w:t>
      </w:r>
      <w:r w:rsidRPr="00F126CD" w:rsidR="009257EC">
        <w:t>”</w:t>
      </w:r>
      <w:r>
        <w:rPr>
          <w:rStyle w:val="FootnoteReference"/>
        </w:rPr>
        <w:footnoteReference w:id="123"/>
      </w:r>
      <w:r w:rsidRPr="00F126CD">
        <w:t xml:space="preserve"> </w:t>
      </w:r>
      <w:r w:rsidRPr="00F126CD" w:rsidR="0090512E">
        <w:t>As Mr. Fortney, who has decades of utility regulation experience, testified, COVID and inflation have</w:t>
      </w:r>
      <w:r w:rsidRPr="00F126CD">
        <w:t xml:space="preserve"> already caused </w:t>
      </w:r>
      <w:r w:rsidRPr="00F126CD" w:rsidR="0090512E">
        <w:t>“</w:t>
      </w:r>
      <w:r w:rsidRPr="00F126CD">
        <w:t xml:space="preserve">almost everything in </w:t>
      </w:r>
      <w:r w:rsidRPr="00F126CD" w:rsidR="0090512E">
        <w:t xml:space="preserve">[consumers’] lives </w:t>
      </w:r>
      <w:r w:rsidRPr="00F126CD">
        <w:t>to cost more.</w:t>
      </w:r>
      <w:r w:rsidRPr="00F126CD" w:rsidR="0090512E">
        <w:t>”</w:t>
      </w:r>
      <w:r>
        <w:rPr>
          <w:rStyle w:val="FootnoteReference"/>
        </w:rPr>
        <w:footnoteReference w:id="124"/>
      </w:r>
      <w:r w:rsidRPr="00F126CD">
        <w:t xml:space="preserve"> </w:t>
      </w:r>
    </w:p>
    <w:p w:rsidR="008D162F" w:rsidRPr="00F126CD" w:rsidP="00CB4B3B" w14:paraId="5787E843" w14:textId="4348018E">
      <w:pPr>
        <w:spacing w:line="480" w:lineRule="auto"/>
        <w:ind w:firstLine="720"/>
      </w:pPr>
      <w:r w:rsidRPr="00F126CD">
        <w:t xml:space="preserve">The PUCO should not approve a </w:t>
      </w:r>
      <w:r w:rsidRPr="00F126CD" w:rsidR="00C80CD6">
        <w:t>67</w:t>
      </w:r>
      <w:r w:rsidR="00C80CD6">
        <w:t>.8</w:t>
      </w:r>
      <w:r w:rsidRPr="00F126CD" w:rsidR="00C80CD6">
        <w:t>%</w:t>
      </w:r>
      <w:r w:rsidR="00C80CD6">
        <w:t xml:space="preserve"> </w:t>
      </w:r>
      <w:r w:rsidRPr="00F126CD">
        <w:t>allocation of base distribution revenues to residential consumers</w:t>
      </w:r>
      <w:r w:rsidR="00C80CD6">
        <w:t xml:space="preserve">, as the </w:t>
      </w:r>
      <w:r w:rsidR="00E62138">
        <w:t>S</w:t>
      </w:r>
      <w:r w:rsidR="00C80CD6">
        <w:t>ettlement provides</w:t>
      </w:r>
      <w:r w:rsidRPr="00F126CD">
        <w:t>.</w:t>
      </w:r>
      <w:r>
        <w:rPr>
          <w:rStyle w:val="FootnoteReference"/>
        </w:rPr>
        <w:footnoteReference w:id="125"/>
      </w:r>
      <w:r w:rsidRPr="00F126CD">
        <w:t xml:space="preserve"> </w:t>
      </w:r>
      <w:r w:rsidRPr="00F126CD" w:rsidR="0090512E">
        <w:t>I</w:t>
      </w:r>
      <w:r w:rsidR="00C80CD6">
        <w:t>nstead</w:t>
      </w:r>
      <w:r w:rsidRPr="00F126CD" w:rsidR="0090512E">
        <w:t>, n</w:t>
      </w:r>
      <w:r w:rsidRPr="00F126CD">
        <w:t xml:space="preserve">on-residential consumers should receive </w:t>
      </w:r>
      <w:r w:rsidRPr="00F126CD" w:rsidR="007E2E91">
        <w:t xml:space="preserve">a </w:t>
      </w:r>
      <w:r w:rsidRPr="00F126CD">
        <w:t xml:space="preserve">greater allocation. </w:t>
      </w:r>
      <w:r w:rsidR="00512222">
        <w:t>As Mr. Fortney testified, if</w:t>
      </w:r>
      <w:r w:rsidRPr="00F126CD">
        <w:t xml:space="preserve"> commercial/industrial</w:t>
      </w:r>
      <w:r w:rsidRPr="00F126CD" w:rsidR="0090512E">
        <w:t xml:space="preserve"> consumers</w:t>
      </w:r>
      <w:r w:rsidR="00E62138">
        <w:t>’</w:t>
      </w:r>
      <w:r w:rsidRPr="00F126CD" w:rsidR="0090512E">
        <w:t xml:space="preserve"> rates are increased</w:t>
      </w:r>
      <w:r w:rsidRPr="00F126CD">
        <w:t>, they can compensate by increasing their prices.</w:t>
      </w:r>
      <w:r>
        <w:rPr>
          <w:rStyle w:val="FootnoteReference"/>
        </w:rPr>
        <w:footnoteReference w:id="126"/>
      </w:r>
      <w:r w:rsidRPr="00F126CD">
        <w:t xml:space="preserve"> Residential consumers, on the other hand, have no similar solution. Residential consumers, in fact, may have to give up other goods and services to continue paying for utility services, which they cannot go without.</w:t>
      </w:r>
      <w:r>
        <w:rPr>
          <w:rStyle w:val="FootnoteReference"/>
        </w:rPr>
        <w:footnoteReference w:id="127"/>
      </w:r>
      <w:r w:rsidRPr="00F126CD">
        <w:t xml:space="preserve"> For this reason, non-residential consumers should pay a greater allocation</w:t>
      </w:r>
      <w:r w:rsidRPr="00F126CD" w:rsidR="007E2E91">
        <w:t xml:space="preserve"> than they would under the </w:t>
      </w:r>
      <w:r w:rsidR="00E62138">
        <w:t>S</w:t>
      </w:r>
      <w:r w:rsidRPr="00F126CD" w:rsidR="007E2E91">
        <w:t>ettlement, if approved</w:t>
      </w:r>
      <w:r w:rsidRPr="00F126CD">
        <w:t xml:space="preserve">. </w:t>
      </w:r>
    </w:p>
    <w:p w:rsidR="007711BA" w:rsidP="00507B46" w14:paraId="54F6E755" w14:textId="77777777">
      <w:pPr>
        <w:spacing w:line="480" w:lineRule="auto"/>
        <w:ind w:firstLine="720"/>
      </w:pPr>
      <w:r>
        <w:t>The PUCO should also reject the</w:t>
      </w:r>
      <w:r w:rsidRPr="00F126CD" w:rsidR="0090512E">
        <w:t xml:space="preserve"> </w:t>
      </w:r>
      <w:r>
        <w:t xml:space="preserve">additional </w:t>
      </w:r>
      <w:r w:rsidRPr="00F126CD" w:rsidR="00AE54A8">
        <w:t>$</w:t>
      </w:r>
      <w:r w:rsidRPr="00F126CD" w:rsidR="0090512E">
        <w:t>2</w:t>
      </w:r>
      <w:r w:rsidRPr="00F126CD" w:rsidR="004038B3">
        <w:t>1.7 million</w:t>
      </w:r>
      <w:r>
        <w:rPr>
          <w:rStyle w:val="FootnoteReference"/>
        </w:rPr>
        <w:footnoteReference w:id="128"/>
      </w:r>
      <w:r w:rsidR="000C24C4">
        <w:t xml:space="preserve"> </w:t>
      </w:r>
      <w:r>
        <w:t>in</w:t>
      </w:r>
      <w:r w:rsidRPr="00F126CD" w:rsidR="004038B3">
        <w:t xml:space="preserve"> </w:t>
      </w:r>
      <w:r>
        <w:t xml:space="preserve">base distribution revenue the </w:t>
      </w:r>
      <w:r w:rsidR="00E62138">
        <w:t>S</w:t>
      </w:r>
      <w:r>
        <w:t>ettlement permits Duke to collect from residential consumers</w:t>
      </w:r>
      <w:r w:rsidRPr="00C80CD6">
        <w:t xml:space="preserve"> </w:t>
      </w:r>
      <w:r>
        <w:t>each year</w:t>
      </w:r>
      <w:r w:rsidRPr="00F126CD" w:rsidR="00AE54A8">
        <w:t xml:space="preserve">. </w:t>
      </w:r>
      <w:r w:rsidRPr="00F126CD" w:rsidR="007E2E91">
        <w:t xml:space="preserve">Under the </w:t>
      </w:r>
      <w:r w:rsidR="00E62138">
        <w:t>S</w:t>
      </w:r>
      <w:r w:rsidRPr="00F126CD" w:rsidR="007E2E91">
        <w:t>ettlement, the overall base distribution revenues are $</w:t>
      </w:r>
      <w:r w:rsidRPr="00F126CD" w:rsidR="00507B46">
        <w:t>368,233,177, of which res</w:t>
      </w:r>
      <w:r w:rsidRPr="00F126CD" w:rsidR="007E2E91">
        <w:t xml:space="preserve">idential consumers are allocated </w:t>
      </w:r>
      <w:r w:rsidRPr="00F126CD" w:rsidR="00537336">
        <w:t>67.8</w:t>
      </w:r>
      <w:r w:rsidRPr="00F126CD" w:rsidR="0090512E">
        <w:t>3</w:t>
      </w:r>
      <w:r w:rsidRPr="00F126CD" w:rsidR="007E2E91">
        <w:t>%.</w:t>
      </w:r>
      <w:r>
        <w:rPr>
          <w:rStyle w:val="FootnoteReference"/>
        </w:rPr>
        <w:footnoteReference w:id="129"/>
      </w:r>
      <w:r w:rsidRPr="00F126CD" w:rsidR="007E2E91">
        <w:t xml:space="preserve"> </w:t>
      </w:r>
    </w:p>
    <w:p w:rsidR="00B1742D" w:rsidRPr="00F126CD" w:rsidP="00507B46" w14:paraId="35A51E21" w14:textId="4AF5DB9D">
      <w:pPr>
        <w:spacing w:line="480" w:lineRule="auto"/>
        <w:ind w:firstLine="720"/>
      </w:pPr>
      <w:r w:rsidRPr="00F126CD">
        <w:t xml:space="preserve">Duke (and the other signatory parties to the </w:t>
      </w:r>
      <w:r w:rsidR="00E62138">
        <w:t>S</w:t>
      </w:r>
      <w:r w:rsidRPr="00F126CD">
        <w:t xml:space="preserve">ettlement) failed to demonstrate that </w:t>
      </w:r>
      <w:r w:rsidRPr="00F126CD" w:rsidR="009257EC">
        <w:t xml:space="preserve">the </w:t>
      </w:r>
      <w:r w:rsidRPr="00F126CD">
        <w:t xml:space="preserve">alleged benefits </w:t>
      </w:r>
      <w:r w:rsidRPr="00F126CD" w:rsidR="009257EC">
        <w:t>of</w:t>
      </w:r>
      <w:r w:rsidRPr="00F126CD">
        <w:t xml:space="preserve"> the </w:t>
      </w:r>
      <w:r w:rsidR="00E62138">
        <w:t>S</w:t>
      </w:r>
      <w:r w:rsidRPr="00F126CD">
        <w:t>ettlement justify the charges that residential consumers will be forced to pay</w:t>
      </w:r>
      <w:r w:rsidRPr="00F126CD" w:rsidR="00784550">
        <w:t xml:space="preserve"> during a period of economic hardship</w:t>
      </w:r>
      <w:r w:rsidRPr="00F126CD">
        <w:t xml:space="preserve">. </w:t>
      </w:r>
      <w:r w:rsidRPr="00F126CD" w:rsidR="00784550">
        <w:t>Again, r</w:t>
      </w:r>
      <w:r w:rsidRPr="00F126CD">
        <w:t xml:space="preserve">esidential consumers have been </w:t>
      </w:r>
      <w:r w:rsidRPr="00F126CD" w:rsidR="008D162F">
        <w:t>ravaged</w:t>
      </w:r>
      <w:r w:rsidRPr="00F126CD">
        <w:t xml:space="preserve"> by COVID</w:t>
      </w:r>
      <w:r w:rsidRPr="00F126CD" w:rsidR="009257EC">
        <w:t xml:space="preserve"> and</w:t>
      </w:r>
      <w:r w:rsidRPr="00F126CD">
        <w:t xml:space="preserve"> high inflation.</w:t>
      </w:r>
      <w:r>
        <w:rPr>
          <w:rStyle w:val="FootnoteReference"/>
        </w:rPr>
        <w:footnoteReference w:id="130"/>
      </w:r>
      <w:r w:rsidRPr="00F126CD">
        <w:t xml:space="preserve"> </w:t>
      </w:r>
      <w:r w:rsidRPr="00F126CD" w:rsidR="00507B46">
        <w:t>Public policy should recognize those</w:t>
      </w:r>
      <w:r w:rsidRPr="00F126CD" w:rsidR="00507B46">
        <w:rPr>
          <w:b/>
          <w:bCs/>
        </w:rPr>
        <w:t xml:space="preserve"> </w:t>
      </w:r>
      <w:r w:rsidRPr="00F126CD" w:rsidR="00507B46">
        <w:t xml:space="preserve">hardships </w:t>
      </w:r>
      <w:r w:rsidR="00E62138">
        <w:t>when evaluating a utility’s proposed rates</w:t>
      </w:r>
      <w:r w:rsidRPr="00F126CD" w:rsidR="00507B46">
        <w:t xml:space="preserve">. </w:t>
      </w:r>
      <w:r w:rsidR="00E62138">
        <w:t>T</w:t>
      </w:r>
      <w:r w:rsidR="00C80CD6">
        <w:t xml:space="preserve">he </w:t>
      </w:r>
      <w:r w:rsidR="00E62138">
        <w:t>S</w:t>
      </w:r>
      <w:r w:rsidR="00C80CD6">
        <w:t>ettlement heaps</w:t>
      </w:r>
      <w:r w:rsidRPr="00F126CD" w:rsidR="00513580">
        <w:t xml:space="preserve"> more costs on residential consumers</w:t>
      </w:r>
      <w:r w:rsidRPr="00F126CD" w:rsidR="00507B46">
        <w:t xml:space="preserve">. </w:t>
      </w:r>
      <w:r w:rsidRPr="00F126CD">
        <w:t xml:space="preserve">The revenue </w:t>
      </w:r>
      <w:r w:rsidRPr="00F126CD" w:rsidR="004038B3">
        <w:t>increase</w:t>
      </w:r>
      <w:r w:rsidRPr="00F126CD">
        <w:t xml:space="preserve"> proposed in the </w:t>
      </w:r>
      <w:r w:rsidR="00E62138">
        <w:t>S</w:t>
      </w:r>
      <w:r w:rsidRPr="00F126CD" w:rsidR="00217ED0">
        <w:t>ettlement violates the second prong of the PUCO’s three-part test</w:t>
      </w:r>
      <w:r w:rsidRPr="00F126CD">
        <w:t>.</w:t>
      </w:r>
    </w:p>
    <w:p w:rsidR="008D162F" w:rsidRPr="00F126CD" w:rsidP="008D162F" w14:paraId="1026A648" w14:textId="0ECD76BA">
      <w:pPr>
        <w:pStyle w:val="Body"/>
        <w:tabs>
          <w:tab w:val="clear" w:pos="720"/>
        </w:tabs>
        <w:spacing w:line="480" w:lineRule="auto"/>
        <w:ind w:left="0" w:firstLine="720"/>
        <w:rPr>
          <w:rFonts w:cs="Times New Roman"/>
          <w:lang w:val="en-US"/>
        </w:rPr>
      </w:pPr>
      <w:r w:rsidRPr="00F126CD">
        <w:rPr>
          <w:rFonts w:cs="Times New Roman"/>
          <w:lang w:val="en-US"/>
        </w:rPr>
        <w:t xml:space="preserve">In light of the economic </w:t>
      </w:r>
      <w:r w:rsidRPr="00F126CD" w:rsidR="00784550">
        <w:rPr>
          <w:rFonts w:cs="Times New Roman"/>
          <w:lang w:val="en-US"/>
        </w:rPr>
        <w:t>difficulty</w:t>
      </w:r>
      <w:r w:rsidRPr="00F126CD">
        <w:rPr>
          <w:rFonts w:cs="Times New Roman"/>
          <w:lang w:val="en-US"/>
        </w:rPr>
        <w:t xml:space="preserve"> residential consumers are currently facing, </w:t>
      </w:r>
      <w:r w:rsidRPr="00F126CD" w:rsidR="00AE54A8">
        <w:rPr>
          <w:rFonts w:cs="Times New Roman"/>
          <w:lang w:val="en-US"/>
        </w:rPr>
        <w:t>OCC witness Fortney recommended that the PUCO should u</w:t>
      </w:r>
      <w:r w:rsidRPr="00F126CD" w:rsidR="00507B46">
        <w:rPr>
          <w:rFonts w:cs="Times New Roman"/>
          <w:lang w:val="en-US"/>
        </w:rPr>
        <w:t xml:space="preserve">se </w:t>
      </w:r>
      <w:r w:rsidRPr="00F126CD">
        <w:rPr>
          <w:rFonts w:cs="Times New Roman"/>
          <w:lang w:val="en-US"/>
        </w:rPr>
        <w:t xml:space="preserve">a </w:t>
      </w:r>
      <w:r w:rsidRPr="00F126CD" w:rsidR="00507B46">
        <w:rPr>
          <w:rFonts w:cs="Times New Roman"/>
          <w:lang w:val="en-US"/>
        </w:rPr>
        <w:t>residential allocation of 67.00%</w:t>
      </w:r>
      <w:r w:rsidRPr="00F126CD" w:rsidR="00CB4B3B">
        <w:rPr>
          <w:rFonts w:cs="Times New Roman"/>
          <w:lang w:val="en-US"/>
        </w:rPr>
        <w:t>.</w:t>
      </w:r>
      <w:r>
        <w:rPr>
          <w:rStyle w:val="FootnoteReference"/>
          <w:rFonts w:cs="Times New Roman"/>
          <w:lang w:val="en-US"/>
        </w:rPr>
        <w:footnoteReference w:id="131"/>
      </w:r>
      <w:r w:rsidRPr="00F126CD" w:rsidR="00CB4B3B">
        <w:rPr>
          <w:rFonts w:cs="Times New Roman"/>
          <w:lang w:val="en-US"/>
        </w:rPr>
        <w:t xml:space="preserve"> </w:t>
      </w:r>
      <w:r w:rsidRPr="00F126CD" w:rsidR="00507B46">
        <w:rPr>
          <w:rFonts w:cs="Times New Roman"/>
          <w:lang w:val="en-US"/>
        </w:rPr>
        <w:t>The revenue increase to the residential class under Mr. Fortney’s proposal would be</w:t>
      </w:r>
      <w:r w:rsidRPr="00F126CD" w:rsidR="00AE54A8">
        <w:rPr>
          <w:rFonts w:cs="Times New Roman"/>
          <w:lang w:val="en-US"/>
        </w:rPr>
        <w:t xml:space="preserve"> no more than $</w:t>
      </w:r>
      <w:r w:rsidRPr="00F126CD" w:rsidR="00507B46">
        <w:rPr>
          <w:rFonts w:cs="Times New Roman"/>
          <w:lang w:val="en-US"/>
        </w:rPr>
        <w:t>18,575,793</w:t>
      </w:r>
      <w:r w:rsidRPr="00F126CD" w:rsidR="00AE54A8">
        <w:rPr>
          <w:rFonts w:cs="Times New Roman"/>
          <w:lang w:val="en-US"/>
        </w:rPr>
        <w:t xml:space="preserve"> million.</w:t>
      </w:r>
      <w:r>
        <w:rPr>
          <w:rStyle w:val="FootnoteReference"/>
          <w:rFonts w:cs="Times New Roman"/>
          <w:lang w:val="en-US"/>
        </w:rPr>
        <w:footnoteReference w:id="132"/>
      </w:r>
      <w:r w:rsidRPr="00F126CD" w:rsidR="00AE54A8">
        <w:rPr>
          <w:rFonts w:cs="Times New Roman"/>
          <w:lang w:val="en-US"/>
        </w:rPr>
        <w:t xml:space="preserve"> This increase would gradually move the Residential Class closer to the cost of service while adhering to a public policy of recognizing the economic hardships of the class. OCC’s recommendation benefits consumers and is in the public interest.</w:t>
      </w:r>
    </w:p>
    <w:p w:rsidR="00CF520E" w:rsidP="00784550" w14:paraId="2262E490" w14:textId="0474C395">
      <w:pPr>
        <w:spacing w:line="480" w:lineRule="auto"/>
        <w:ind w:firstLine="720"/>
      </w:pPr>
      <w:r w:rsidRPr="00F126CD">
        <w:t>The disparity between rate classes does not benefit residential consumers, nor is it in the public interest. It should be rejected. Alternatively, the PUCO should modify the Settlement to adopt OCC’s recommendation</w:t>
      </w:r>
      <w:r>
        <w:rPr>
          <w:rStyle w:val="FootnoteReference"/>
        </w:rPr>
        <w:footnoteReference w:id="133"/>
      </w:r>
      <w:r w:rsidRPr="00F126CD">
        <w:t xml:space="preserve"> to gradually</w:t>
      </w:r>
      <w:r>
        <w:rPr>
          <w:rStyle w:val="FootnoteReference"/>
        </w:rPr>
        <w:footnoteReference w:id="134"/>
      </w:r>
      <w:r w:rsidRPr="00F126CD">
        <w:rPr>
          <w:i/>
          <w:iCs/>
        </w:rPr>
        <w:t xml:space="preserve"> </w:t>
      </w:r>
      <w:r w:rsidRPr="00F126CD">
        <w:t>move the Residential Class closer to the cost of service.</w:t>
      </w:r>
    </w:p>
    <w:p w:rsidR="00CF520E" w14:paraId="0E7FD864" w14:textId="77777777">
      <w:r>
        <w:br w:type="page"/>
      </w:r>
    </w:p>
    <w:p w:rsidR="00B1742D" w:rsidRPr="00F126CD" w:rsidP="00193233" w14:paraId="46E71B7D" w14:textId="72EE87B4">
      <w:pPr>
        <w:pStyle w:val="Heading3"/>
      </w:pPr>
      <w:bookmarkStart w:id="31" w:name="_Toc137825450"/>
      <w:r w:rsidRPr="00F126CD">
        <w:t xml:space="preserve">The </w:t>
      </w:r>
      <w:r w:rsidR="00E62138">
        <w:t>S</w:t>
      </w:r>
      <w:r w:rsidRPr="00F126CD">
        <w:t xml:space="preserve">ettlement’s proposed fixed </w:t>
      </w:r>
      <w:r w:rsidRPr="00F126CD" w:rsidR="000A230B">
        <w:t>delivery</w:t>
      </w:r>
      <w:r w:rsidRPr="00F126CD">
        <w:t xml:space="preserve"> charge for the residential class does not benefit consumers</w:t>
      </w:r>
      <w:r w:rsidRPr="00F126CD" w:rsidR="00BF144B">
        <w:t xml:space="preserve"> </w:t>
      </w:r>
      <w:r w:rsidRPr="00F126CD">
        <w:t>and is not in the public interest.</w:t>
      </w:r>
      <w:bookmarkEnd w:id="31"/>
    </w:p>
    <w:p w:rsidR="00B1742D" w:rsidRPr="00F126CD" w:rsidP="000A230B" w14:paraId="2B166693" w14:textId="748CE910">
      <w:pPr>
        <w:pStyle w:val="Body"/>
        <w:tabs>
          <w:tab w:val="clear" w:pos="720"/>
        </w:tabs>
        <w:spacing w:line="480" w:lineRule="auto"/>
        <w:ind w:left="0" w:firstLine="720"/>
        <w:rPr>
          <w:rFonts w:cs="Times New Roman"/>
          <w:lang w:val="en-US"/>
        </w:rPr>
      </w:pPr>
      <w:r w:rsidRPr="00F126CD">
        <w:rPr>
          <w:rFonts w:cs="Times New Roman"/>
          <w:lang w:val="en-US"/>
        </w:rPr>
        <w:t xml:space="preserve">The </w:t>
      </w:r>
      <w:r w:rsidR="00E62138">
        <w:rPr>
          <w:rFonts w:cs="Times New Roman"/>
          <w:lang w:val="en-US"/>
        </w:rPr>
        <w:t>S</w:t>
      </w:r>
      <w:r w:rsidRPr="00F126CD">
        <w:rPr>
          <w:rFonts w:cs="Times New Roman"/>
          <w:lang w:val="en-US"/>
        </w:rPr>
        <w:t xml:space="preserve">ettlement calls for a </w:t>
      </w:r>
      <w:r w:rsidRPr="00F126CD" w:rsidR="000A230B">
        <w:rPr>
          <w:rFonts w:cs="Times New Roman"/>
          <w:lang w:val="en-US"/>
        </w:rPr>
        <w:t>fixed delivery charge</w:t>
      </w:r>
      <w:r w:rsidRPr="00F126CD">
        <w:rPr>
          <w:rFonts w:cs="Times New Roman"/>
          <w:lang w:val="en-US"/>
        </w:rPr>
        <w:t xml:space="preserve"> </w:t>
      </w:r>
      <w:r w:rsidRPr="00F126CD" w:rsidR="000A230B">
        <w:rPr>
          <w:rFonts w:cs="Times New Roman"/>
          <w:lang w:val="en-US"/>
        </w:rPr>
        <w:t xml:space="preserve">of </w:t>
      </w:r>
      <w:r w:rsidRPr="00F126CD">
        <w:rPr>
          <w:rFonts w:cs="Times New Roman"/>
          <w:lang w:val="en-US"/>
        </w:rPr>
        <w:t>$</w:t>
      </w:r>
      <w:r w:rsidRPr="00F126CD" w:rsidR="000A230B">
        <w:rPr>
          <w:rFonts w:cs="Times New Roman"/>
          <w:lang w:val="en-US"/>
        </w:rPr>
        <w:t xml:space="preserve">43.29 </w:t>
      </w:r>
      <w:r w:rsidRPr="00F126CD" w:rsidR="00BF144B">
        <w:rPr>
          <w:rFonts w:cs="Times New Roman"/>
          <w:lang w:val="en-US"/>
        </w:rPr>
        <w:t xml:space="preserve">for the residential consumer class </w:t>
      </w:r>
      <w:r w:rsidRPr="00F126CD" w:rsidR="000A230B">
        <w:rPr>
          <w:rFonts w:cs="Times New Roman"/>
          <w:lang w:val="en-US"/>
        </w:rPr>
        <w:t>and $39.29 for low-income consumers.</w:t>
      </w:r>
      <w:r>
        <w:rPr>
          <w:rStyle w:val="FootnoteReference"/>
          <w:rFonts w:cs="Times New Roman"/>
          <w:lang w:val="en-US"/>
        </w:rPr>
        <w:footnoteReference w:id="135"/>
      </w:r>
      <w:r w:rsidRPr="00F126CD" w:rsidR="000A230B">
        <w:rPr>
          <w:rFonts w:cs="Times New Roman"/>
          <w:lang w:val="en-US"/>
        </w:rPr>
        <w:t xml:space="preserve"> Duke’s current fixed delivery charge is $31.26.</w:t>
      </w:r>
      <w:r>
        <w:rPr>
          <w:rStyle w:val="FootnoteReference"/>
          <w:rFonts w:cs="Times New Roman"/>
          <w:lang w:val="en-US"/>
        </w:rPr>
        <w:footnoteReference w:id="136"/>
      </w:r>
      <w:r w:rsidR="000C24C4">
        <w:rPr>
          <w:rFonts w:cs="Times New Roman"/>
          <w:lang w:val="en-US"/>
        </w:rPr>
        <w:t xml:space="preserve"> </w:t>
      </w:r>
      <w:r w:rsidRPr="00F126CD">
        <w:rPr>
          <w:rFonts w:cs="Times New Roman"/>
          <w:lang w:val="en-US"/>
        </w:rPr>
        <w:t xml:space="preserve">This </w:t>
      </w:r>
      <w:r w:rsidR="009F1B0B">
        <w:rPr>
          <w:rFonts w:cs="Times New Roman"/>
          <w:lang w:val="en-US"/>
        </w:rPr>
        <w:t xml:space="preserve">38.48% </w:t>
      </w:r>
      <w:r w:rsidRPr="00F126CD">
        <w:rPr>
          <w:rFonts w:cs="Times New Roman"/>
          <w:lang w:val="en-US"/>
        </w:rPr>
        <w:t xml:space="preserve">increased consumer charge </w:t>
      </w:r>
      <w:r w:rsidRPr="00F126CD" w:rsidR="000A230B">
        <w:rPr>
          <w:rFonts w:cs="Times New Roman"/>
          <w:lang w:val="en-US"/>
        </w:rPr>
        <w:t>does not benefit consumers or the public interest</w:t>
      </w:r>
      <w:r w:rsidRPr="00F126CD">
        <w:rPr>
          <w:rFonts w:cs="Times New Roman"/>
          <w:lang w:val="en-US"/>
        </w:rPr>
        <w:t xml:space="preserve">. </w:t>
      </w:r>
      <w:r w:rsidRPr="00F126CD" w:rsidR="000A230B">
        <w:rPr>
          <w:lang w:val="en-US"/>
        </w:rPr>
        <w:t>Heavy fixed charges are “inferior from a conservation and energy efficiency standpoint than pricing structures that require consumers to incur more costs with additiona</w:t>
      </w:r>
      <w:r w:rsidRPr="00F126CD" w:rsidR="00BF144B">
        <w:rPr>
          <w:lang w:val="en-US"/>
        </w:rPr>
        <w:t>l consumption.”</w:t>
      </w:r>
      <w:r>
        <w:rPr>
          <w:rStyle w:val="FootnoteReference"/>
          <w:lang w:val="en-US"/>
        </w:rPr>
        <w:footnoteReference w:id="137"/>
      </w:r>
      <w:r w:rsidRPr="00F126CD" w:rsidR="00BF144B">
        <w:rPr>
          <w:lang w:val="en-US"/>
        </w:rPr>
        <w:t xml:space="preserve"> That is because</w:t>
      </w:r>
      <w:r w:rsidRPr="00F126CD" w:rsidR="000A230B">
        <w:rPr>
          <w:lang w:val="en-US"/>
        </w:rPr>
        <w:t xml:space="preserve"> charges do not provide consumers direct financial incentive to reduce usage.</w:t>
      </w:r>
    </w:p>
    <w:p w:rsidR="00B1742D" w:rsidRPr="00F126CD" w:rsidP="00DD1EDD" w14:paraId="1569D8EA" w14:textId="48C62DE6">
      <w:pPr>
        <w:pStyle w:val="Body"/>
        <w:tabs>
          <w:tab w:val="clear" w:pos="720"/>
        </w:tabs>
        <w:spacing w:line="480" w:lineRule="auto"/>
        <w:ind w:left="0" w:firstLine="720"/>
        <w:rPr>
          <w:rFonts w:cs="Times New Roman"/>
          <w:lang w:val="en-US"/>
        </w:rPr>
      </w:pPr>
      <w:r w:rsidRPr="00F126CD">
        <w:rPr>
          <w:rFonts w:cs="Times New Roman"/>
          <w:lang w:val="en-US"/>
        </w:rPr>
        <w:t>OCC</w:t>
      </w:r>
      <w:r w:rsidRPr="00F126CD" w:rsidR="00AE54A8">
        <w:rPr>
          <w:rFonts w:cs="Times New Roman"/>
          <w:lang w:val="en-US"/>
        </w:rPr>
        <w:t xml:space="preserve"> recommended a residential </w:t>
      </w:r>
      <w:r w:rsidRPr="00F126CD">
        <w:rPr>
          <w:rFonts w:cs="Times New Roman"/>
          <w:lang w:val="en-US"/>
        </w:rPr>
        <w:t>fixed</w:t>
      </w:r>
      <w:r w:rsidRPr="00F126CD" w:rsidR="00AE54A8">
        <w:rPr>
          <w:rFonts w:cs="Times New Roman"/>
          <w:lang w:val="en-US"/>
        </w:rPr>
        <w:t xml:space="preserve"> charge of $</w:t>
      </w:r>
      <w:r w:rsidRPr="00F126CD">
        <w:rPr>
          <w:rFonts w:cs="Times New Roman"/>
          <w:lang w:val="en-US"/>
        </w:rPr>
        <w:t>34.23</w:t>
      </w:r>
      <w:r w:rsidRPr="00F126CD" w:rsidR="00AE54A8">
        <w:rPr>
          <w:rFonts w:cs="Times New Roman"/>
          <w:lang w:val="en-US"/>
        </w:rPr>
        <w:t>.</w:t>
      </w:r>
      <w:r>
        <w:rPr>
          <w:rStyle w:val="FootnoteReference"/>
          <w:rFonts w:cs="Times New Roman"/>
          <w:lang w:val="en-US"/>
        </w:rPr>
        <w:footnoteReference w:id="138"/>
      </w:r>
      <w:r w:rsidRPr="00F126CD" w:rsidR="00AE54A8">
        <w:rPr>
          <w:rFonts w:cs="Times New Roman"/>
          <w:lang w:val="en-US"/>
        </w:rPr>
        <w:t xml:space="preserve"> This reflects </w:t>
      </w:r>
      <w:r w:rsidRPr="00F126CD">
        <w:rPr>
          <w:rFonts w:cs="Times New Roman"/>
          <w:lang w:val="en-US"/>
        </w:rPr>
        <w:t>Mr. Fortney’s recommendation that any increase to residential fixed charge be “no more than the overall increase to the Residential classes’ base distribution revenues,</w:t>
      </w:r>
      <w:r w:rsidR="00E62138">
        <w:rPr>
          <w:rFonts w:cs="Times New Roman"/>
          <w:lang w:val="en-US"/>
        </w:rPr>
        <w:t>”</w:t>
      </w:r>
      <w:r w:rsidRPr="00F126CD">
        <w:rPr>
          <w:rFonts w:cs="Times New Roman"/>
          <w:lang w:val="en-US"/>
        </w:rPr>
        <w:t xml:space="preserve"> or 9.49% under the Settlement.</w:t>
      </w:r>
      <w:r>
        <w:rPr>
          <w:rStyle w:val="FootnoteReference"/>
          <w:rFonts w:cs="Times New Roman"/>
          <w:lang w:val="en-US"/>
        </w:rPr>
        <w:footnoteReference w:id="139"/>
      </w:r>
      <w:r w:rsidRPr="00F126CD">
        <w:rPr>
          <w:rFonts w:cs="Times New Roman"/>
          <w:lang w:val="en-US"/>
        </w:rPr>
        <w:t xml:space="preserve"> This was the basis for Mr. Fortney’s calculation that the fixed delivery char</w:t>
      </w:r>
      <w:r w:rsidR="00726654">
        <w:rPr>
          <w:rFonts w:cs="Times New Roman"/>
          <w:lang w:val="en-US"/>
        </w:rPr>
        <w:t>g</w:t>
      </w:r>
      <w:r w:rsidRPr="00F126CD">
        <w:rPr>
          <w:rFonts w:cs="Times New Roman"/>
          <w:lang w:val="en-US"/>
        </w:rPr>
        <w:t>e should increase no more than $2.97.</w:t>
      </w:r>
      <w:r>
        <w:rPr>
          <w:rStyle w:val="FootnoteReference"/>
          <w:rFonts w:cs="Times New Roman"/>
          <w:lang w:val="en-US"/>
        </w:rPr>
        <w:footnoteReference w:id="140"/>
      </w:r>
      <w:r w:rsidRPr="00F126CD" w:rsidR="00AE54A8">
        <w:rPr>
          <w:rFonts w:cs="Times New Roman"/>
          <w:lang w:val="en-US"/>
        </w:rPr>
        <w:t xml:space="preserve"> </w:t>
      </w:r>
    </w:p>
    <w:p w:rsidR="00CF520E" w:rsidP="00FA572D" w14:paraId="0F3A1749" w14:textId="606C0D23">
      <w:pPr>
        <w:pStyle w:val="Body"/>
        <w:tabs>
          <w:tab w:val="clear" w:pos="720"/>
        </w:tabs>
        <w:spacing w:line="480" w:lineRule="auto"/>
        <w:ind w:left="0" w:firstLine="720"/>
        <w:rPr>
          <w:color w:val="000000" w:themeColor="text1"/>
          <w:lang w:val="en-US"/>
        </w:rPr>
      </w:pPr>
      <w:r w:rsidRPr="00F126CD">
        <w:rPr>
          <w:rFonts w:cs="Times New Roman"/>
          <w:lang w:val="en-US"/>
        </w:rPr>
        <w:t xml:space="preserve">The PUCO should reject or modify the Settlement because the </w:t>
      </w:r>
      <w:r w:rsidRPr="00F126CD" w:rsidR="000A230B">
        <w:rPr>
          <w:rFonts w:cs="Times New Roman"/>
          <w:lang w:val="en-US"/>
        </w:rPr>
        <w:t>fixed</w:t>
      </w:r>
      <w:r w:rsidRPr="00F126CD">
        <w:rPr>
          <w:rFonts w:cs="Times New Roman"/>
          <w:lang w:val="en-US"/>
        </w:rPr>
        <w:t xml:space="preserve"> charge in the Settlement does not benefit consumers and is not in the public interest. If the PUCO does not reject the Settlement, it should modify the Settlement to adopt OCC’s </w:t>
      </w:r>
      <w:r w:rsidRPr="00F126CD" w:rsidR="000A230B">
        <w:rPr>
          <w:rFonts w:cs="Times New Roman"/>
          <w:lang w:val="en-US"/>
        </w:rPr>
        <w:t>recommended</w:t>
      </w:r>
      <w:r w:rsidRPr="00F126CD">
        <w:rPr>
          <w:rFonts w:cs="Times New Roman"/>
          <w:lang w:val="en-US"/>
        </w:rPr>
        <w:t xml:space="preserve"> charge of $</w:t>
      </w:r>
      <w:r w:rsidRPr="00F126CD" w:rsidR="000A230B">
        <w:rPr>
          <w:rFonts w:cs="Times New Roman"/>
          <w:lang w:val="en-US"/>
        </w:rPr>
        <w:t>34.23</w:t>
      </w:r>
      <w:r w:rsidRPr="00F126CD">
        <w:rPr>
          <w:rFonts w:cs="Times New Roman"/>
          <w:lang w:val="en-US"/>
        </w:rPr>
        <w:t>.</w:t>
      </w:r>
      <w:r w:rsidRPr="00F126CD" w:rsidR="00C83B25">
        <w:rPr>
          <w:color w:val="000000" w:themeColor="text1"/>
          <w:lang w:val="en-US"/>
        </w:rPr>
        <w:t xml:space="preserve"> </w:t>
      </w:r>
    </w:p>
    <w:p w:rsidR="00CF520E" w14:paraId="2C40D274" w14:textId="77777777">
      <w:pPr>
        <w:rPr>
          <w:rFonts w:eastAsia="PMingLiU" w:cs="Arial Unicode MS"/>
          <w:color w:val="000000" w:themeColor="text1"/>
          <w:u w:color="000000"/>
          <w:bdr w:val="nil"/>
          <w:lang w:bidi="ar-SA"/>
          <w14:textOutline w14:w="0">
            <w14:noFill/>
            <w14:prstDash w14:val="solid"/>
            <w14:bevel/>
          </w14:textOutline>
        </w:rPr>
      </w:pPr>
      <w:r>
        <w:rPr>
          <w:color w:val="000000" w:themeColor="text1"/>
        </w:rPr>
        <w:br w:type="page"/>
      </w:r>
    </w:p>
    <w:p w:rsidR="00DB0BFB" w:rsidRPr="00F126CD" w:rsidP="00193233" w14:paraId="718C8975" w14:textId="70DABE46">
      <w:pPr>
        <w:pStyle w:val="Heading3"/>
      </w:pPr>
      <w:bookmarkStart w:id="32" w:name="_Toc137825451"/>
      <w:r w:rsidRPr="00EC345A">
        <w:t xml:space="preserve">The </w:t>
      </w:r>
      <w:r w:rsidR="00E62138">
        <w:t>S</w:t>
      </w:r>
      <w:r w:rsidRPr="00EC345A">
        <w:t xml:space="preserve">ettlement harms consumers and the public interest because </w:t>
      </w:r>
      <w:r w:rsidRPr="00EC345A" w:rsidR="00C026E7">
        <w:t xml:space="preserve">it reduces shareholder funding </w:t>
      </w:r>
      <w:r w:rsidR="00B96755">
        <w:t xml:space="preserve">for Duke’s low-income weatherization program </w:t>
      </w:r>
      <w:r w:rsidRPr="00EC345A" w:rsidR="00C026E7">
        <w:t>and does not provide adequate PUCO oversight.</w:t>
      </w:r>
      <w:bookmarkEnd w:id="32"/>
      <w:r w:rsidRPr="00F126CD" w:rsidR="00C026E7">
        <w:t xml:space="preserve"> </w:t>
      </w:r>
    </w:p>
    <w:p w:rsidR="00C026E7" w:rsidRPr="00F126CD" w:rsidP="00C026E7" w14:paraId="06F56BE6" w14:textId="77BBD15F">
      <w:pPr>
        <w:pStyle w:val="Body"/>
        <w:spacing w:line="480" w:lineRule="auto"/>
        <w:ind w:left="0" w:firstLine="0"/>
        <w:rPr>
          <w:highlight w:val="red"/>
          <w:lang w:val="en-US"/>
        </w:rPr>
      </w:pPr>
      <w:r w:rsidRPr="00F126CD">
        <w:rPr>
          <w:lang w:val="en-US"/>
        </w:rPr>
        <w:tab/>
        <w:t xml:space="preserve">As structured, the low-income weatherization </w:t>
      </w:r>
      <w:r w:rsidRPr="00F126CD" w:rsidR="00917999">
        <w:rPr>
          <w:lang w:val="en-US"/>
        </w:rPr>
        <w:t>cuts annual shareholder funding for low-income weatherization by $150,000. As OCC witness Colleen Shutrump testified, “</w:t>
      </w:r>
      <w:r w:rsidRPr="00F126CD" w:rsidR="00917999">
        <w:rPr>
          <w:rStyle w:val="xcontentpasted0"/>
          <w:bdr w:val="none" w:sz="0" w:space="0" w:color="auto" w:frame="1"/>
          <w:shd w:val="clear" w:color="auto" w:fill="FFFFFF"/>
          <w:lang w:val="en-US"/>
        </w:rPr>
        <w:t>w</w:t>
      </w:r>
      <w:r w:rsidRPr="00F126CD">
        <w:rPr>
          <w:rStyle w:val="xcontentpasted0"/>
          <w:bdr w:val="none" w:sz="0" w:space="0" w:color="auto" w:frame="1"/>
          <w:shd w:val="clear" w:color="auto" w:fill="FFFFFF"/>
          <w:lang w:val="en-US"/>
        </w:rPr>
        <w:t xml:space="preserve">eatherization programs are not strictly necessary for the provision of utility service, so </w:t>
      </w:r>
      <w:r w:rsidRPr="00F126CD" w:rsidR="00917999">
        <w:rPr>
          <w:rStyle w:val="xcontentpasted0"/>
          <w:bdr w:val="none" w:sz="0" w:space="0" w:color="auto" w:frame="1"/>
          <w:shd w:val="clear" w:color="auto" w:fill="FFFFFF"/>
          <w:lang w:val="en-US"/>
        </w:rPr>
        <w:t>D</w:t>
      </w:r>
      <w:r w:rsidRPr="00F126CD">
        <w:rPr>
          <w:rStyle w:val="xcontentpasted0"/>
          <w:bdr w:val="none" w:sz="0" w:space="0" w:color="auto" w:frame="1"/>
          <w:shd w:val="clear" w:color="auto" w:fill="FFFFFF"/>
          <w:lang w:val="en-US"/>
        </w:rPr>
        <w:t>uke shareholders should pay at least some of the program costs.</w:t>
      </w:r>
      <w:r w:rsidRPr="00F126CD" w:rsidR="00917999">
        <w:rPr>
          <w:lang w:val="en-US"/>
        </w:rPr>
        <w:t>”</w:t>
      </w:r>
      <w:r>
        <w:rPr>
          <w:rStyle w:val="FootnoteReference"/>
          <w:lang w:val="en-US"/>
        </w:rPr>
        <w:footnoteReference w:id="141"/>
      </w:r>
      <w:r w:rsidRPr="00F126CD">
        <w:rPr>
          <w:rStyle w:val="xcontentpasted0"/>
          <w:bdr w:val="none" w:sz="0" w:space="0" w:color="auto" w:frame="1"/>
          <w:shd w:val="clear" w:color="auto" w:fill="FFFFFF"/>
          <w:lang w:val="en-US"/>
        </w:rPr>
        <w:t xml:space="preserve"> But under the proposed Settlement, annual </w:t>
      </w:r>
      <w:r w:rsidRPr="00F126CD">
        <w:rPr>
          <w:lang w:val="en-US"/>
        </w:rPr>
        <w:t xml:space="preserve">shareholder contributions for low-income weatherization programs </w:t>
      </w:r>
      <w:r w:rsidRPr="00F126CD" w:rsidR="00917999">
        <w:rPr>
          <w:lang w:val="en-US"/>
        </w:rPr>
        <w:t>fall from</w:t>
      </w:r>
      <w:r w:rsidRPr="00F126CD">
        <w:rPr>
          <w:lang w:val="en-US"/>
        </w:rPr>
        <w:t xml:space="preserve"> $350,000</w:t>
      </w:r>
      <w:r>
        <w:rPr>
          <w:rStyle w:val="FootnoteReference"/>
          <w:lang w:val="en-US"/>
        </w:rPr>
        <w:footnoteReference w:id="142"/>
      </w:r>
      <w:r w:rsidRPr="00F126CD">
        <w:rPr>
          <w:lang w:val="en-US"/>
        </w:rPr>
        <w:t xml:space="preserve"> to $200,000</w:t>
      </w:r>
      <w:r w:rsidRPr="00F126CD" w:rsidR="00917999">
        <w:rPr>
          <w:lang w:val="en-US"/>
        </w:rPr>
        <w:t xml:space="preserve">, while consumer charges for the program remain at </w:t>
      </w:r>
      <w:r w:rsidRPr="00F126CD">
        <w:rPr>
          <w:lang w:val="en-US"/>
        </w:rPr>
        <w:t>$1,795,000 annually.</w:t>
      </w:r>
      <w:r>
        <w:rPr>
          <w:rStyle w:val="FootnoteReference"/>
          <w:lang w:val="en-US"/>
        </w:rPr>
        <w:footnoteReference w:id="143"/>
      </w:r>
      <w:r w:rsidRPr="00F126CD">
        <w:rPr>
          <w:rStyle w:val="xcontentpasted0"/>
          <w:bdr w:val="none" w:sz="0" w:space="0" w:color="auto" w:frame="1"/>
          <w:shd w:val="clear" w:color="auto" w:fill="FFFFFF"/>
          <w:lang w:val="en-US"/>
        </w:rPr>
        <w:t xml:space="preserve"> </w:t>
      </w:r>
      <w:r w:rsidRPr="00F126CD" w:rsidR="00917999">
        <w:rPr>
          <w:rStyle w:val="xcontentpasted0"/>
          <w:bdr w:val="none" w:sz="0" w:space="0" w:color="auto" w:frame="1"/>
          <w:shd w:val="clear" w:color="auto" w:fill="FFFFFF"/>
          <w:lang w:val="en-US"/>
        </w:rPr>
        <w:t xml:space="preserve">This means the </w:t>
      </w:r>
      <w:r w:rsidRPr="00F126CD">
        <w:rPr>
          <w:rStyle w:val="xcontentpasted0"/>
          <w:bdr w:val="none" w:sz="0" w:space="0" w:color="auto" w:frame="1"/>
          <w:shd w:val="clear" w:color="auto" w:fill="FFFFFF"/>
          <w:lang w:val="en-US"/>
        </w:rPr>
        <w:t>Settlement</w:t>
      </w:r>
      <w:r w:rsidRPr="00F126CD" w:rsidR="006A4AAB">
        <w:rPr>
          <w:rStyle w:val="xcontentpasted0"/>
          <w:bdr w:val="none" w:sz="0" w:space="0" w:color="auto" w:frame="1"/>
          <w:shd w:val="clear" w:color="auto" w:fill="FFFFFF"/>
          <w:lang w:val="en-US"/>
        </w:rPr>
        <w:t xml:space="preserve"> effectively</w:t>
      </w:r>
      <w:r w:rsidRPr="00F126CD">
        <w:rPr>
          <w:rStyle w:val="xcontentpasted0"/>
          <w:bdr w:val="none" w:sz="0" w:space="0" w:color="auto" w:frame="1"/>
          <w:shd w:val="clear" w:color="auto" w:fill="FFFFFF"/>
          <w:lang w:val="en-US"/>
        </w:rPr>
        <w:t xml:space="preserve"> gives money back to shareholders</w:t>
      </w:r>
      <w:r w:rsidRPr="00F126CD" w:rsidR="00917999">
        <w:rPr>
          <w:rStyle w:val="xcontentpasted0"/>
          <w:bdr w:val="none" w:sz="0" w:space="0" w:color="auto" w:frame="1"/>
          <w:shd w:val="clear" w:color="auto" w:fill="FFFFFF"/>
          <w:lang w:val="en-US"/>
        </w:rPr>
        <w:t xml:space="preserve">, who also </w:t>
      </w:r>
      <w:r w:rsidR="007711BA">
        <w:rPr>
          <w:rStyle w:val="xcontentpasted0"/>
          <w:bdr w:val="none" w:sz="0" w:space="0" w:color="auto" w:frame="1"/>
          <w:shd w:val="clear" w:color="auto" w:fill="FFFFFF"/>
          <w:lang w:val="en-US"/>
        </w:rPr>
        <w:t xml:space="preserve">stand to </w:t>
      </w:r>
      <w:r w:rsidRPr="00F126CD">
        <w:rPr>
          <w:lang w:val="en-US"/>
        </w:rPr>
        <w:t>benefit from an annual revenue increase of $31.7 million proposed by the Settlement.</w:t>
      </w:r>
      <w:r>
        <w:rPr>
          <w:rStyle w:val="FootnoteReference"/>
          <w:lang w:val="en-US"/>
        </w:rPr>
        <w:footnoteReference w:id="144"/>
      </w:r>
      <w:r w:rsidRPr="00F126CD">
        <w:rPr>
          <w:lang w:val="en-US"/>
        </w:rPr>
        <w:t>.</w:t>
      </w:r>
    </w:p>
    <w:p w:rsidR="00DB0BFB" w:rsidRPr="00F126CD" w:rsidP="00C026E7" w14:paraId="1D730480" w14:textId="1DEF0BC1">
      <w:pPr>
        <w:pStyle w:val="Body"/>
        <w:spacing w:line="480" w:lineRule="auto"/>
        <w:ind w:left="0" w:firstLine="0"/>
        <w:rPr>
          <w:rStyle w:val="xcontentpasted0"/>
          <w:lang w:val="en-US"/>
        </w:rPr>
      </w:pPr>
      <w:r w:rsidRPr="00F126CD">
        <w:rPr>
          <w:lang w:val="en-US"/>
        </w:rPr>
        <w:tab/>
        <w:t>Second,</w:t>
      </w:r>
      <w:r w:rsidRPr="00F126CD" w:rsidR="00917999">
        <w:rPr>
          <w:lang w:val="en-US"/>
        </w:rPr>
        <w:t xml:space="preserve"> Ms. Shutrump recommended that</w:t>
      </w:r>
      <w:r w:rsidRPr="00F126CD">
        <w:rPr>
          <w:lang w:val="en-US"/>
        </w:rPr>
        <w:t xml:space="preserve"> funding for low-income weatherization be considered in its own case.</w:t>
      </w:r>
      <w:r>
        <w:rPr>
          <w:rStyle w:val="FootnoteReference"/>
          <w:lang w:val="en-US"/>
        </w:rPr>
        <w:footnoteReference w:id="145"/>
      </w:r>
      <w:r w:rsidRPr="00F126CD">
        <w:rPr>
          <w:lang w:val="en-US"/>
        </w:rPr>
        <w:t xml:space="preserve"> </w:t>
      </w:r>
      <w:r w:rsidRPr="00F126CD" w:rsidR="006A4AAB">
        <w:rPr>
          <w:lang w:val="en-US"/>
        </w:rPr>
        <w:t>In Ms. Shutrump’s expert opinion, addressing low-income programs in a</w:t>
      </w:r>
      <w:r w:rsidRPr="00F126CD">
        <w:rPr>
          <w:lang w:val="en-US"/>
        </w:rPr>
        <w:t xml:space="preserve"> ratemaking proceeding risks that </w:t>
      </w:r>
      <w:r w:rsidRPr="00F126CD" w:rsidR="006A4AAB">
        <w:rPr>
          <w:lang w:val="en-US"/>
        </w:rPr>
        <w:t>they</w:t>
      </w:r>
      <w:r w:rsidRPr="00F126CD">
        <w:rPr>
          <w:lang w:val="en-US"/>
        </w:rPr>
        <w:t xml:space="preserve"> will be </w:t>
      </w:r>
      <w:r w:rsidRPr="00F126CD" w:rsidR="006A4AAB">
        <w:rPr>
          <w:lang w:val="en-US"/>
        </w:rPr>
        <w:t>“</w:t>
      </w:r>
      <w:r w:rsidRPr="00F126CD">
        <w:rPr>
          <w:lang w:val="en-US"/>
        </w:rPr>
        <w:t>used as a bargaining chip</w:t>
      </w:r>
      <w:r w:rsidRPr="00F126CD" w:rsidR="006A4AAB">
        <w:rPr>
          <w:lang w:val="en-US"/>
        </w:rPr>
        <w:t>”</w:t>
      </w:r>
      <w:r w:rsidRPr="00F126CD">
        <w:rPr>
          <w:lang w:val="en-US"/>
        </w:rPr>
        <w:t xml:space="preserve"> to obtain both concessions on unrelated issues and signatures on a Settlement.</w:t>
      </w:r>
      <w:r>
        <w:rPr>
          <w:rStyle w:val="FootnoteReference"/>
          <w:lang w:val="en-US"/>
        </w:rPr>
        <w:footnoteReference w:id="146"/>
      </w:r>
      <w:r w:rsidRPr="00F126CD">
        <w:rPr>
          <w:lang w:val="en-US"/>
        </w:rPr>
        <w:t xml:space="preserve"> Further, because many people rely on low-income weatherization programs, they </w:t>
      </w:r>
      <w:r w:rsidRPr="00F126CD">
        <w:rPr>
          <w:rStyle w:val="xcontentpasted0"/>
          <w:bdr w:val="none" w:sz="0" w:space="0" w:color="auto" w:frame="1"/>
          <w:shd w:val="clear" w:color="auto" w:fill="FFFFFF"/>
          <w:lang w:val="en-US"/>
        </w:rPr>
        <w:t xml:space="preserve">should have a predictable funding mechanism. </w:t>
      </w:r>
      <w:r w:rsidRPr="00F126CD" w:rsidR="006A4AAB">
        <w:rPr>
          <w:rStyle w:val="xcontentpasted0"/>
          <w:bdr w:val="none" w:sz="0" w:space="0" w:color="auto" w:frame="1"/>
          <w:shd w:val="clear" w:color="auto" w:fill="FFFFFF"/>
          <w:lang w:val="en-US"/>
        </w:rPr>
        <w:t>Ms. Shutrump concluded that</w:t>
      </w:r>
      <w:r w:rsidRPr="00F126CD" w:rsidR="00917999">
        <w:rPr>
          <w:rStyle w:val="xcontentpasted0"/>
          <w:bdr w:val="none" w:sz="0" w:space="0" w:color="auto" w:frame="1"/>
          <w:shd w:val="clear" w:color="auto" w:fill="FFFFFF"/>
          <w:lang w:val="en-US"/>
        </w:rPr>
        <w:t xml:space="preserve"> a</w:t>
      </w:r>
      <w:r w:rsidRPr="00F126CD">
        <w:rPr>
          <w:rStyle w:val="xcontentpasted0"/>
          <w:bdr w:val="none" w:sz="0" w:space="0" w:color="auto" w:frame="1"/>
          <w:shd w:val="clear" w:color="auto" w:fill="FFFFFF"/>
          <w:lang w:val="en-US"/>
        </w:rPr>
        <w:t xml:space="preserve"> rider case achieves this, </w:t>
      </w:r>
      <w:r w:rsidRPr="00F126CD" w:rsidR="00917999">
        <w:rPr>
          <w:rStyle w:val="xcontentpasted0"/>
          <w:bdr w:val="none" w:sz="0" w:space="0" w:color="auto" w:frame="1"/>
          <w:shd w:val="clear" w:color="auto" w:fill="FFFFFF"/>
          <w:lang w:val="en-US"/>
        </w:rPr>
        <w:t xml:space="preserve">while Duke’s current low-income weatherization program is </w:t>
      </w:r>
      <w:r w:rsidRPr="00F126CD" w:rsidR="00917999">
        <w:rPr>
          <w:lang w:val="en-US"/>
        </w:rPr>
        <w:t>“</w:t>
      </w:r>
      <w:r w:rsidRPr="00F126CD" w:rsidR="00917999">
        <w:rPr>
          <w:rStyle w:val="xcontentpasted0"/>
          <w:bdr w:val="none" w:sz="0" w:space="0" w:color="auto" w:frame="1"/>
          <w:shd w:val="clear" w:color="auto" w:fill="FFFFFF"/>
          <w:lang w:val="en-US"/>
        </w:rPr>
        <w:t>dependent on sometimes infrequent timing of rate cases.</w:t>
      </w:r>
      <w:r w:rsidRPr="00F126CD" w:rsidR="00917999">
        <w:rPr>
          <w:lang w:val="en-US"/>
        </w:rPr>
        <w:t>”</w:t>
      </w:r>
      <w:r>
        <w:rPr>
          <w:rStyle w:val="FootnoteReference"/>
          <w:lang w:val="en-US"/>
        </w:rPr>
        <w:footnoteReference w:id="147"/>
      </w:r>
      <w:r w:rsidRPr="00F126CD" w:rsidR="00917999">
        <w:rPr>
          <w:rStyle w:val="xcontentpasted0"/>
          <w:bdr w:val="none" w:sz="0" w:space="0" w:color="auto" w:frame="1"/>
          <w:shd w:val="clear" w:color="auto" w:fill="FFFFFF"/>
          <w:lang w:val="en-US"/>
        </w:rPr>
        <w:t xml:space="preserve"> </w:t>
      </w:r>
    </w:p>
    <w:p w:rsidR="00637979" w:rsidRPr="00F126CD" w:rsidP="00C026E7" w14:paraId="6CE1F4AC" w14:textId="3D136BA9">
      <w:pPr>
        <w:pStyle w:val="Body"/>
        <w:spacing w:line="480" w:lineRule="auto"/>
        <w:ind w:left="0" w:firstLine="0"/>
        <w:rPr>
          <w:rStyle w:val="xcontentpasted0"/>
          <w:bdr w:val="none" w:sz="0" w:space="0" w:color="auto" w:frame="1"/>
          <w:shd w:val="clear" w:color="auto" w:fill="FFFFFF"/>
          <w:lang w:val="en-US"/>
        </w:rPr>
      </w:pPr>
      <w:r w:rsidRPr="00F126CD">
        <w:rPr>
          <w:rStyle w:val="xcontentpasted0"/>
          <w:bdr w:val="none" w:sz="0" w:space="0" w:color="auto" w:frame="1"/>
          <w:shd w:val="clear" w:color="auto" w:fill="FFFFFF"/>
          <w:lang w:val="en-US"/>
        </w:rPr>
        <w:tab/>
      </w:r>
      <w:r w:rsidRPr="00F126CD" w:rsidR="00DB0BFB">
        <w:rPr>
          <w:rStyle w:val="xcontentpasted0"/>
          <w:bdr w:val="none" w:sz="0" w:space="0" w:color="auto" w:frame="1"/>
          <w:shd w:val="clear" w:color="auto" w:fill="FFFFFF"/>
          <w:lang w:val="en-US"/>
        </w:rPr>
        <w:t>Generic rider cases also allow for more oversight</w:t>
      </w:r>
      <w:r w:rsidRPr="00F126CD" w:rsidR="00477047">
        <w:rPr>
          <w:rStyle w:val="xcontentpasted0"/>
          <w:bdr w:val="none" w:sz="0" w:space="0" w:color="auto" w:frame="1"/>
          <w:shd w:val="clear" w:color="auto" w:fill="FFFFFF"/>
          <w:lang w:val="en-US"/>
        </w:rPr>
        <w:t xml:space="preserve">, which protects consumers. </w:t>
      </w:r>
      <w:r w:rsidRPr="00F126CD">
        <w:rPr>
          <w:rStyle w:val="xcontentpasted0"/>
          <w:bdr w:val="none" w:sz="0" w:space="0" w:color="auto" w:frame="1"/>
          <w:shd w:val="clear" w:color="auto" w:fill="FFFFFF"/>
          <w:lang w:val="en-US"/>
        </w:rPr>
        <w:t>The need for oversight of low-income programs is demonstrated by Case No. 19-1456-GA-RDR, in which a PUCO Staff audit of Pike Natural Gas Company’s weatherization program revealed that more than half of weatherized homes experienced no reductions in natural gas usage.</w:t>
      </w:r>
      <w:r>
        <w:rPr>
          <w:rStyle w:val="FootnoteReference"/>
          <w:bdr w:val="none" w:sz="0" w:space="0" w:color="auto" w:frame="1"/>
          <w:shd w:val="clear" w:color="auto" w:fill="FFFFFF"/>
          <w:lang w:val="en-US"/>
        </w:rPr>
        <w:footnoteReference w:id="148"/>
      </w:r>
      <w:r w:rsidRPr="00F126CD">
        <w:rPr>
          <w:rStyle w:val="xcontentpasted0"/>
          <w:bdr w:val="none" w:sz="0" w:space="0" w:color="auto" w:frame="1"/>
          <w:shd w:val="clear" w:color="auto" w:fill="FFFFFF"/>
          <w:lang w:val="en-US"/>
        </w:rPr>
        <w:t xml:space="preserve"> </w:t>
      </w:r>
      <w:r w:rsidRPr="00F126CD" w:rsidR="00477047">
        <w:rPr>
          <w:rStyle w:val="xcontentpasted0"/>
          <w:bdr w:val="none" w:sz="0" w:space="0" w:color="auto" w:frame="1"/>
          <w:shd w:val="clear" w:color="auto" w:fill="FFFFFF"/>
          <w:lang w:val="en-US"/>
        </w:rPr>
        <w:t>Ms. Shutrump testified that</w:t>
      </w:r>
      <w:r w:rsidRPr="00F126CD">
        <w:rPr>
          <w:rStyle w:val="xcontentpasted0"/>
          <w:bdr w:val="none" w:sz="0" w:space="0" w:color="auto" w:frame="1"/>
          <w:shd w:val="clear" w:color="auto" w:fill="FFFFFF"/>
          <w:lang w:val="en-US"/>
        </w:rPr>
        <w:t xml:space="preserve"> necessary</w:t>
      </w:r>
      <w:r w:rsidRPr="00F126CD" w:rsidR="00477047">
        <w:rPr>
          <w:rStyle w:val="xcontentpasted0"/>
          <w:bdr w:val="none" w:sz="0" w:space="0" w:color="auto" w:frame="1"/>
          <w:shd w:val="clear" w:color="auto" w:fill="FFFFFF"/>
          <w:lang w:val="en-US"/>
        </w:rPr>
        <w:t xml:space="preserve"> </w:t>
      </w:r>
      <w:r w:rsidRPr="00F126CD" w:rsidR="00477047">
        <w:rPr>
          <w:lang w:val="en-US"/>
        </w:rPr>
        <w:t>“</w:t>
      </w:r>
      <w:r w:rsidRPr="00F126CD" w:rsidR="00DB0BFB">
        <w:rPr>
          <w:lang w:val="en-US"/>
        </w:rPr>
        <w:t>oversight includes (but is not limited to) annual review and reconciliation of actual program expense for accuracy and reasonableness.</w:t>
      </w:r>
      <w:r w:rsidRPr="00F126CD" w:rsidR="00477047">
        <w:rPr>
          <w:lang w:val="en-US"/>
        </w:rPr>
        <w:t>”</w:t>
      </w:r>
      <w:r>
        <w:rPr>
          <w:rStyle w:val="FootnoteReference"/>
          <w:lang w:val="en-US"/>
        </w:rPr>
        <w:footnoteReference w:id="149"/>
      </w:r>
      <w:r w:rsidRPr="00F126CD" w:rsidR="00DB0BFB">
        <w:rPr>
          <w:lang w:val="en-US"/>
        </w:rPr>
        <w:t xml:space="preserve"> </w:t>
      </w:r>
      <w:r w:rsidRPr="00F126CD" w:rsidR="00477047">
        <w:rPr>
          <w:rStyle w:val="xcontentpasted0"/>
          <w:bdr w:val="none" w:sz="0" w:space="0" w:color="auto" w:frame="1"/>
          <w:shd w:val="clear" w:color="auto" w:fill="FFFFFF"/>
          <w:lang w:val="en-US"/>
        </w:rPr>
        <w:t>Ms. Shutrump also recommended that an audit of Duke’s low-income weatherization program</w:t>
      </w:r>
      <w:r w:rsidRPr="00F126CD" w:rsidR="00DB0BFB">
        <w:rPr>
          <w:lang w:val="en-US"/>
        </w:rPr>
        <w:t xml:space="preserve"> </w:t>
      </w:r>
      <w:r w:rsidRPr="00F126CD" w:rsidR="00477047">
        <w:rPr>
          <w:lang w:val="en-US"/>
        </w:rPr>
        <w:t>“</w:t>
      </w:r>
      <w:r w:rsidRPr="00F126CD" w:rsidR="00DB0BFB">
        <w:rPr>
          <w:lang w:val="en-US"/>
        </w:rPr>
        <w:t>provide recommendations to improve programs, such as lowering administrative costs while maximizing the number of consumers that would benefit from weatherization services through lower bills.</w:t>
      </w:r>
      <w:r w:rsidRPr="00F126CD" w:rsidR="00477047">
        <w:rPr>
          <w:lang w:val="en-US"/>
        </w:rPr>
        <w:t>”</w:t>
      </w:r>
      <w:r>
        <w:rPr>
          <w:rStyle w:val="FootnoteReference"/>
          <w:lang w:val="en-US"/>
        </w:rPr>
        <w:footnoteReference w:id="150"/>
      </w:r>
      <w:r w:rsidRPr="00F126CD" w:rsidR="00477047">
        <w:rPr>
          <w:lang w:val="en-US"/>
        </w:rPr>
        <w:t xml:space="preserve"> This would </w:t>
      </w:r>
      <w:r w:rsidRPr="00F126CD">
        <w:rPr>
          <w:lang w:val="en-US"/>
        </w:rPr>
        <w:t>ensure funding collected from consumers is not wasted. It would also ensure that program funds actually benefit at-risk consumers, as intended.</w:t>
      </w:r>
      <w:r w:rsidR="000C24C4">
        <w:rPr>
          <w:lang w:val="en-US"/>
        </w:rPr>
        <w:t xml:space="preserve"> </w:t>
      </w:r>
    </w:p>
    <w:p w:rsidR="00DB0BFB" w:rsidRPr="00F126CD" w:rsidP="00C026E7" w14:paraId="2639BD38" w14:textId="5256B498">
      <w:pPr>
        <w:pStyle w:val="Body"/>
        <w:spacing w:line="480" w:lineRule="auto"/>
        <w:ind w:left="0" w:firstLine="0"/>
        <w:rPr>
          <w:bdr w:val="none" w:sz="0" w:space="0" w:color="auto" w:frame="1"/>
          <w:shd w:val="clear" w:color="auto" w:fill="FFFFFF"/>
          <w:lang w:val="en-US"/>
        </w:rPr>
      </w:pPr>
      <w:r w:rsidRPr="00F126CD">
        <w:rPr>
          <w:bdr w:val="none" w:sz="0" w:space="0" w:color="auto" w:frame="1"/>
          <w:shd w:val="clear" w:color="auto" w:fill="FFFFFF"/>
          <w:lang w:val="en-US"/>
        </w:rPr>
        <w:tab/>
      </w:r>
      <w:r w:rsidRPr="00F126CD">
        <w:rPr>
          <w:lang w:val="en-US"/>
        </w:rPr>
        <w:t>Ms. Shutrump recommend</w:t>
      </w:r>
      <w:r w:rsidR="0059643A">
        <w:rPr>
          <w:lang w:val="en-US"/>
        </w:rPr>
        <w:t>ed</w:t>
      </w:r>
      <w:r>
        <w:rPr>
          <w:rStyle w:val="FootnoteReference"/>
          <w:lang w:val="en-US"/>
        </w:rPr>
        <w:footnoteReference w:id="151"/>
      </w:r>
      <w:r w:rsidRPr="00F126CD">
        <w:rPr>
          <w:lang w:val="en-US"/>
        </w:rPr>
        <w:t xml:space="preserve"> the PUCO adopt an audit</w:t>
      </w:r>
      <w:r w:rsidRPr="00F126CD" w:rsidR="00917999">
        <w:rPr>
          <w:lang w:val="en-US"/>
        </w:rPr>
        <w:t xml:space="preserve"> of the low-income weatherization program</w:t>
      </w:r>
      <w:r w:rsidRPr="00F126CD">
        <w:rPr>
          <w:lang w:val="en-US"/>
        </w:rPr>
        <w:t xml:space="preserve"> that includes the following: </w:t>
      </w:r>
    </w:p>
    <w:p w:rsidR="00DB0BFB" w:rsidRPr="00F126CD" w:rsidP="00DB0BFB" w14:paraId="101CC8EA" w14:textId="77777777">
      <w:pPr>
        <w:pStyle w:val="Answer0"/>
        <w:numPr>
          <w:ilvl w:val="1"/>
          <w:numId w:val="13"/>
        </w:numPr>
        <w:ind w:left="2160" w:hanging="720"/>
      </w:pPr>
      <w:r w:rsidRPr="00F126CD">
        <w:t xml:space="preserve">The program expenditures, including average and mean dollars expended per household and per property; </w:t>
      </w:r>
    </w:p>
    <w:p w:rsidR="00DB0BFB" w:rsidRPr="00F126CD" w:rsidP="00DB0BFB" w14:paraId="3B547BFF" w14:textId="77777777">
      <w:pPr>
        <w:pStyle w:val="Answer0"/>
        <w:numPr>
          <w:ilvl w:val="1"/>
          <w:numId w:val="13"/>
        </w:numPr>
        <w:ind w:left="2160" w:hanging="720"/>
      </w:pPr>
      <w:r w:rsidRPr="00F126CD">
        <w:t>Any administrative fees collected by Duke and the weatherization providers;</w:t>
      </w:r>
    </w:p>
    <w:p w:rsidR="00DB0BFB" w:rsidRPr="00F126CD" w:rsidP="00DB0BFB" w14:paraId="3325A7F3" w14:textId="77777777">
      <w:pPr>
        <w:pStyle w:val="Answer0"/>
        <w:numPr>
          <w:ilvl w:val="1"/>
          <w:numId w:val="13"/>
        </w:numPr>
        <w:ind w:left="2160" w:hanging="720"/>
      </w:pPr>
      <w:r w:rsidRPr="00F126CD">
        <w:t>Eligibility documentation for program applicants;</w:t>
      </w:r>
    </w:p>
    <w:p w:rsidR="00DB0BFB" w:rsidRPr="00F126CD" w:rsidP="00DB0BFB" w14:paraId="587D13FE" w14:textId="77777777">
      <w:pPr>
        <w:pStyle w:val="Answer0"/>
        <w:numPr>
          <w:ilvl w:val="1"/>
          <w:numId w:val="13"/>
        </w:numPr>
        <w:ind w:left="2160" w:hanging="720"/>
      </w:pPr>
      <w:r w:rsidRPr="00F126CD">
        <w:t>Spending of the program budget or failure to spend the program budget;</w:t>
      </w:r>
    </w:p>
    <w:p w:rsidR="00DB0BFB" w:rsidRPr="00F126CD" w:rsidP="00DB0BFB" w14:paraId="5174E950" w14:textId="77777777">
      <w:pPr>
        <w:pStyle w:val="Answer0"/>
        <w:numPr>
          <w:ilvl w:val="1"/>
          <w:numId w:val="13"/>
        </w:numPr>
        <w:ind w:left="2160" w:hanging="720"/>
      </w:pPr>
      <w:r w:rsidRPr="00F126CD">
        <w:t>Prioritization, if appliable, of weatherization services;</w:t>
      </w:r>
    </w:p>
    <w:p w:rsidR="00DB0BFB" w:rsidRPr="00F126CD" w:rsidP="00DB0BFB" w14:paraId="0D278D70" w14:textId="77777777">
      <w:pPr>
        <w:pStyle w:val="Answer0"/>
        <w:numPr>
          <w:ilvl w:val="1"/>
          <w:numId w:val="13"/>
        </w:numPr>
        <w:ind w:left="2160" w:hanging="720"/>
      </w:pPr>
      <w:r w:rsidRPr="00F126CD">
        <w:t>Accounting of expenses that relate directly to reducing gas usage by low-income consumers;</w:t>
      </w:r>
    </w:p>
    <w:p w:rsidR="00DB0BFB" w:rsidRPr="00F126CD" w:rsidP="00DB0BFB" w14:paraId="4169C054" w14:textId="77777777">
      <w:pPr>
        <w:pStyle w:val="Answer0"/>
        <w:numPr>
          <w:ilvl w:val="1"/>
          <w:numId w:val="13"/>
        </w:numPr>
        <w:ind w:left="2160" w:hanging="720"/>
      </w:pPr>
      <w:r w:rsidRPr="00F126CD">
        <w:t>The timeline of providing weatherization services;</w:t>
      </w:r>
    </w:p>
    <w:p w:rsidR="00DB0BFB" w:rsidRPr="00F126CD" w:rsidP="00DB0BFB" w14:paraId="11042AAA" w14:textId="77777777">
      <w:pPr>
        <w:pStyle w:val="Answer0"/>
        <w:numPr>
          <w:ilvl w:val="1"/>
          <w:numId w:val="13"/>
        </w:numPr>
        <w:ind w:left="2160" w:hanging="720"/>
      </w:pPr>
      <w:r w:rsidRPr="00F126CD">
        <w:t>The impact of health and safety expenditures on the low-income weatherization program;</w:t>
      </w:r>
    </w:p>
    <w:p w:rsidR="00DB0BFB" w:rsidRPr="00F126CD" w:rsidP="00DB0BFB" w14:paraId="67E56E8F" w14:textId="77777777">
      <w:pPr>
        <w:pStyle w:val="Answer0"/>
        <w:numPr>
          <w:ilvl w:val="1"/>
          <w:numId w:val="13"/>
        </w:numPr>
        <w:ind w:left="2160" w:hanging="720"/>
      </w:pPr>
      <w:r w:rsidRPr="00F126CD">
        <w:t>The number and types of properties (</w:t>
      </w:r>
      <w:r w:rsidRPr="00F126CD">
        <w:rPr>
          <w:i/>
          <w:iCs w:val="0"/>
        </w:rPr>
        <w:t>e.g.,</w:t>
      </w:r>
      <w:r w:rsidRPr="00F126CD">
        <w:t xml:space="preserve"> owner-occupied, rental, etc.) that receive weatherization funding;</w:t>
      </w:r>
    </w:p>
    <w:p w:rsidR="00DB0BFB" w:rsidRPr="00F126CD" w:rsidP="00DB0BFB" w14:paraId="67CF43A1" w14:textId="77777777">
      <w:pPr>
        <w:pStyle w:val="Answer0"/>
        <w:numPr>
          <w:ilvl w:val="1"/>
          <w:numId w:val="13"/>
        </w:numPr>
        <w:ind w:left="2160" w:hanging="720"/>
      </w:pPr>
      <w:r w:rsidRPr="00F126CD">
        <w:t>Compliance with program guidelines, include determining eligibility of program recipients and, if applicable, limitations on funding; and</w:t>
      </w:r>
    </w:p>
    <w:p w:rsidR="00DB0BFB" w:rsidRPr="00F126CD" w:rsidP="00DB0BFB" w14:paraId="156275F8" w14:textId="77777777">
      <w:pPr>
        <w:pStyle w:val="Answer0"/>
        <w:numPr>
          <w:ilvl w:val="1"/>
          <w:numId w:val="13"/>
        </w:numPr>
        <w:ind w:left="2160" w:hanging="720"/>
      </w:pPr>
      <w:r w:rsidRPr="00F126CD">
        <w:t>To the extent Duke knows, identifying any rental properties sold or converted by the property owner to non-low-income properties within two years of receiving weatherization program services to that property.</w:t>
      </w:r>
    </w:p>
    <w:p w:rsidR="00BF144B" w:rsidP="00DB0BFB" w14:paraId="6FB06F5C" w14:textId="32CAAAE4">
      <w:pPr>
        <w:pStyle w:val="Answer0"/>
        <w:ind w:left="0" w:firstLine="720"/>
      </w:pPr>
      <w:r w:rsidRPr="00F126CD">
        <w:t>Funds for weatherization programs should be used for services that will reduce natural gas usage and at-risk consumers’ natural gas bills. OCC’s proposed audit will ensure consumer dollars are being spent to deliver these benefits for at-risk consumers.</w:t>
      </w:r>
      <w:r w:rsidRPr="00F126CD" w:rsidR="00637979">
        <w:t xml:space="preserve"> However, as structured, Duke’s low-income weatherization lacks these important consumer protections and does not benefit consumers or the public interest. </w:t>
      </w:r>
    </w:p>
    <w:p w:rsidR="00EC345A" w:rsidRPr="00EC345A" w:rsidP="00D41818" w14:paraId="5A413E27" w14:textId="0E723857">
      <w:pPr>
        <w:pStyle w:val="Answer0"/>
        <w:numPr>
          <w:ilvl w:val="0"/>
          <w:numId w:val="37"/>
        </w:numPr>
        <w:spacing w:line="240" w:lineRule="auto"/>
        <w:ind w:left="2160" w:hanging="720"/>
        <w:rPr>
          <w:b/>
          <w:bCs w:val="0"/>
        </w:rPr>
      </w:pPr>
      <w:bookmarkStart w:id="33" w:name="_Toc137825452"/>
      <w:r w:rsidRPr="006116F9">
        <w:rPr>
          <w:rStyle w:val="Heading3Char"/>
        </w:rPr>
        <w:t xml:space="preserve">The </w:t>
      </w:r>
      <w:r w:rsidRPr="006116F9" w:rsidR="00A66338">
        <w:rPr>
          <w:rStyle w:val="Heading3Char"/>
        </w:rPr>
        <w:t>S</w:t>
      </w:r>
      <w:r w:rsidRPr="006116F9">
        <w:rPr>
          <w:rStyle w:val="Heading3Char"/>
        </w:rPr>
        <w:t>ettlement does not benefit consumers and the public interest because it charges them for financial performance incentives which do not benefit them.</w:t>
      </w:r>
      <w:bookmarkEnd w:id="33"/>
    </w:p>
    <w:p w:rsidR="00EC345A" w:rsidP="00EC345A" w14:paraId="0FA9395B" w14:textId="77777777">
      <w:pPr>
        <w:pStyle w:val="Answer0"/>
        <w:spacing w:line="240" w:lineRule="auto"/>
        <w:ind w:left="0" w:firstLine="0"/>
      </w:pPr>
    </w:p>
    <w:p w:rsidR="00EC345A" w:rsidP="00EC345A" w14:paraId="552E52E2" w14:textId="77030F10">
      <w:pPr>
        <w:pStyle w:val="Answer0"/>
        <w:ind w:left="0" w:firstLine="0"/>
      </w:pPr>
      <w:r>
        <w:tab/>
      </w:r>
      <w:r w:rsidR="0059643A">
        <w:t xml:space="preserve">The Settlement allows Duke to charge consumers for financial performance incentives. </w:t>
      </w:r>
      <w:r>
        <w:t>Financial performance incentives are compensation to utility employees for achieving performance goals set by the utility management.</w:t>
      </w:r>
      <w:r>
        <w:rPr>
          <w:rStyle w:val="FootnoteReference"/>
        </w:rPr>
        <w:footnoteReference w:id="152"/>
      </w:r>
      <w:r>
        <w:t xml:space="preserve"> Th</w:t>
      </w:r>
      <w:r w:rsidR="00A66338">
        <w:t>e</w:t>
      </w:r>
      <w:r>
        <w:t xml:space="preserve"> Settlement states that the “Stipulated Schedules include an addition to rate base as compared to the Staff Report of $2,132,937 associated with financial incentives that were capitalized within net-plant in-service.”</w:t>
      </w:r>
      <w:r>
        <w:rPr>
          <w:rStyle w:val="FootnoteReference"/>
        </w:rPr>
        <w:footnoteReference w:id="153"/>
      </w:r>
      <w:r>
        <w:t xml:space="preserve"> And the Settlement provides that Duke will retain its corporate parent’s program for capitalizing employee “bonus expense,” which is defined as “</w:t>
      </w:r>
      <w:r w:rsidRPr="008215B7">
        <w:t xml:space="preserve">the portion of the Company’s </w:t>
      </w:r>
      <w:r>
        <w:t>i</w:t>
      </w:r>
      <w:r w:rsidRPr="008215B7">
        <w:t>ncentive compensation attributable to the achievement of financial goals and that which is issued to the employee in the form of Company stock.</w:t>
      </w:r>
      <w:r>
        <w:t>”</w:t>
      </w:r>
      <w:r>
        <w:rPr>
          <w:rStyle w:val="FootnoteReference"/>
        </w:rPr>
        <w:footnoteReference w:id="154"/>
      </w:r>
      <w:r>
        <w:t xml:space="preserve"> The PUCO should fin</w:t>
      </w:r>
      <w:r w:rsidR="0059643A">
        <w:t>d that this harms consumers, who receive no benefit for these charges.</w:t>
      </w:r>
    </w:p>
    <w:p w:rsidR="00EC345A" w:rsidRPr="00C62275" w:rsidP="00EC345A" w14:paraId="50E8564A" w14:textId="2BF8E37F">
      <w:pPr>
        <w:pStyle w:val="Answer0"/>
        <w:ind w:left="0" w:firstLine="720"/>
      </w:pPr>
      <w:r>
        <w:t>The financial performance incentives</w:t>
      </w:r>
      <w:r w:rsidR="009F1B0B">
        <w:t>,</w:t>
      </w:r>
      <w:r>
        <w:t xml:space="preserve"> </w:t>
      </w:r>
      <w:r w:rsidR="00683FE2">
        <w:t xml:space="preserve">which consumers fund </w:t>
      </w:r>
      <w:r w:rsidR="00F6067A">
        <w:t>under the</w:t>
      </w:r>
      <w:r>
        <w:t xml:space="preserve"> Settlement</w:t>
      </w:r>
      <w:r w:rsidR="009F1B0B">
        <w:t>,</w:t>
      </w:r>
      <w:r>
        <w:t xml:space="preserve"> are unjust and unreasonable. OCC witness Kerry Adkins testified that “Duke’s performance incentive awards benefit only the utility and its shareholders and do not provide any benefit to consumers. They are not necessary for the provision of utility service.”</w:t>
      </w:r>
      <w:r>
        <w:rPr>
          <w:rStyle w:val="FootnoteReference"/>
        </w:rPr>
        <w:footnoteReference w:id="155"/>
      </w:r>
      <w:r>
        <w:t xml:space="preserve"> </w:t>
      </w:r>
      <w:r w:rsidR="0059643A">
        <w:t>The PUCO has</w:t>
      </w:r>
      <w:r w:rsidRPr="00C62275">
        <w:t xml:space="preserve"> retained independent auditors </w:t>
      </w:r>
      <w:r w:rsidR="0059643A">
        <w:t>in prior cases that</w:t>
      </w:r>
      <w:r w:rsidRPr="00C62275">
        <w:t xml:space="preserve"> have described the consumer harm from including financial performance incentives in charges on </w:t>
      </w:r>
      <w:r w:rsidR="0059643A">
        <w:t>consumers</w:t>
      </w:r>
      <w:r w:rsidRPr="00C62275">
        <w:t>. For example, in its audit report in Case No. 19-791-GA-ALT recommending removing financial performance incentives from Duke’s CEP, Larkin &amp; Associates stated:</w:t>
      </w:r>
    </w:p>
    <w:p w:rsidR="00EC345A" w:rsidP="00EC345A" w14:paraId="7C433C0E" w14:textId="1B8B7410">
      <w:pPr>
        <w:tabs>
          <w:tab w:val="left" w:pos="720"/>
          <w:tab w:val="left" w:pos="1440"/>
        </w:tabs>
        <w:ind w:left="1440" w:right="720" w:hanging="720"/>
      </w:pPr>
      <w:r w:rsidRPr="00C62275">
        <w:tab/>
        <w:t>the basis for our recommendation is that incentive compensation expense that is tied to a utility's financial performance should not be borne by ratepayers. Specifically, the portion of incentive compensation expense that is directly attributable to meeting financial performance goals, such as net income or earnings per share, is not properly recoverable from ratepayers for several reasons. First, if the financial goals are set properly, achieving the necessary performance should be self-supporting. That is, measures that achieve additional cost savings, improves sales, or otherwise improves financial results of the Company should provide the income necessary to fund the awards. Second, the payouts for financial goal achievement can be distinguished from incentive compensation that is measured for improving the quality of service, efficiency, or safety goals. Finally, the incentive to improve financial performance is not necessarily consistent with ratepayers’ interests.</w:t>
      </w:r>
      <w:r>
        <w:rPr>
          <w:rStyle w:val="FootnoteReference"/>
        </w:rPr>
        <w:footnoteReference w:id="156"/>
      </w:r>
    </w:p>
    <w:p w:rsidR="00466CB5" w:rsidP="00EC345A" w14:paraId="37B1817C" w14:textId="77777777">
      <w:pPr>
        <w:tabs>
          <w:tab w:val="left" w:pos="720"/>
          <w:tab w:val="left" w:pos="1440"/>
        </w:tabs>
        <w:ind w:left="1440" w:right="720" w:hanging="720"/>
      </w:pPr>
    </w:p>
    <w:p w:rsidR="00CF520E" w:rsidP="00781DF4" w14:paraId="3DA84D15" w14:textId="50916058">
      <w:pPr>
        <w:tabs>
          <w:tab w:val="left" w:pos="720"/>
          <w:tab w:val="left" w:pos="1440"/>
        </w:tabs>
        <w:spacing w:line="480" w:lineRule="auto"/>
        <w:ind w:right="720"/>
      </w:pPr>
      <w:r>
        <w:tab/>
        <w:t>Further, Mr. Adkins testified that i</w:t>
      </w:r>
      <w:r w:rsidRPr="00C62275">
        <w:t xml:space="preserve">ncluding financial performance incentives in </w:t>
      </w:r>
      <w:r>
        <w:t xml:space="preserve">the rate base </w:t>
      </w:r>
      <w:r w:rsidRPr="00C62275">
        <w:t xml:space="preserve">harms consumers because it causes them to pay more </w:t>
      </w:r>
      <w:r>
        <w:t xml:space="preserve">in rates </w:t>
      </w:r>
      <w:r w:rsidRPr="00C62275">
        <w:t>than they would otherwise pay.</w:t>
      </w:r>
      <w:r>
        <w:rPr>
          <w:rStyle w:val="FootnoteReference"/>
        </w:rPr>
        <w:footnoteReference w:id="157"/>
      </w:r>
      <w:r>
        <w:t xml:space="preserve"> Consequently, the financial performance incentives in the Settlement charge consumers unjust and unreasonable rates for a benefit they do not receive. For this reason, the PUCO should find the Settlement harms consumers and the public interest. </w:t>
      </w:r>
    </w:p>
    <w:p w:rsidR="00CF520E" w14:paraId="7429E11D" w14:textId="77777777">
      <w:r>
        <w:br w:type="page"/>
      </w:r>
    </w:p>
    <w:p w:rsidR="00781DF4" w:rsidP="00193233" w14:paraId="510C4844" w14:textId="1851C665">
      <w:pPr>
        <w:pStyle w:val="Heading2"/>
      </w:pPr>
      <w:bookmarkStart w:id="35" w:name="_Toc137825453"/>
      <w:r w:rsidRPr="00F126CD">
        <w:t xml:space="preserve">The </w:t>
      </w:r>
      <w:r w:rsidR="00CF520E">
        <w:t>S</w:t>
      </w:r>
      <w:r w:rsidRPr="00F126CD" w:rsidR="00491050">
        <w:t>ettlement viola</w:t>
      </w:r>
      <w:r w:rsidRPr="00F126CD" w:rsidR="00AE54A8">
        <w:t>tes</w:t>
      </w:r>
      <w:r w:rsidRPr="00F126CD" w:rsidR="00A343E3">
        <w:t xml:space="preserve"> Ohio law and</w:t>
      </w:r>
      <w:r w:rsidRPr="00F126CD" w:rsidR="00AE54A8">
        <w:t xml:space="preserve"> numerous</w:t>
      </w:r>
      <w:r w:rsidRPr="00F126CD" w:rsidR="00491050">
        <w:t xml:space="preserve"> important regulatory principles and practices.</w:t>
      </w:r>
      <w:bookmarkEnd w:id="35"/>
    </w:p>
    <w:p w:rsidR="006D64EC" w:rsidRPr="006D64EC" w:rsidP="006116F9" w14:paraId="66A0880D" w14:textId="79710123">
      <w:pPr>
        <w:ind w:left="2160" w:hanging="720"/>
        <w:rPr>
          <w:b/>
          <w:bCs/>
          <w:lang w:bidi="ar-SA"/>
        </w:rPr>
      </w:pPr>
      <w:bookmarkStart w:id="36" w:name="_Toc137825454"/>
      <w:r w:rsidRPr="00CF520E">
        <w:rPr>
          <w:rStyle w:val="Heading3Char"/>
        </w:rPr>
        <w:t>1.</w:t>
      </w:r>
      <w:r w:rsidRPr="00CF520E">
        <w:rPr>
          <w:rStyle w:val="Heading3Char"/>
        </w:rPr>
        <w:tab/>
        <w:t xml:space="preserve">Allowing Duke to </w:t>
      </w:r>
      <w:r w:rsidRPr="00CF520E" w:rsidR="00C73E96">
        <w:rPr>
          <w:rStyle w:val="Heading3Char"/>
        </w:rPr>
        <w:t>treat the</w:t>
      </w:r>
      <w:r w:rsidRPr="00CF520E">
        <w:rPr>
          <w:rStyle w:val="Heading3Char"/>
        </w:rPr>
        <w:t xml:space="preserve"> propane caverns </w:t>
      </w:r>
      <w:r w:rsidRPr="00CF520E" w:rsidR="00C73E96">
        <w:rPr>
          <w:rStyle w:val="Heading3Char"/>
        </w:rPr>
        <w:t xml:space="preserve">as a “cost” of “rendering the public utility service for the test period,” under R.C. 4909.15(A)(4), </w:t>
      </w:r>
      <w:r w:rsidRPr="00CF520E">
        <w:rPr>
          <w:rStyle w:val="Heading3Char"/>
        </w:rPr>
        <w:t xml:space="preserve">would violate the important regulatory principle and practice that </w:t>
      </w:r>
      <w:r w:rsidRPr="00CF520E" w:rsidR="00F74A8E">
        <w:rPr>
          <w:rStyle w:val="Heading3Char"/>
        </w:rPr>
        <w:t>utility assets</w:t>
      </w:r>
      <w:r w:rsidRPr="00CF520E">
        <w:rPr>
          <w:rStyle w:val="Heading3Char"/>
        </w:rPr>
        <w:t xml:space="preserve"> must be used and useful at date certain. </w:t>
      </w:r>
      <w:r w:rsidRPr="00CF520E" w:rsidR="00CC5E86">
        <w:rPr>
          <w:rStyle w:val="Heading3Char"/>
        </w:rPr>
        <w:t>The PUCO is barred</w:t>
      </w:r>
      <w:r w:rsidRPr="00CF520E" w:rsidR="004B45BA">
        <w:rPr>
          <w:rStyle w:val="Heading3Char"/>
        </w:rPr>
        <w:t xml:space="preserve"> by Supreme Court precedent</w:t>
      </w:r>
      <w:r w:rsidRPr="00CF520E" w:rsidR="00CC5E86">
        <w:rPr>
          <w:rStyle w:val="Heading3Char"/>
        </w:rPr>
        <w:t xml:space="preserve"> from</w:t>
      </w:r>
      <w:r w:rsidRPr="00CF520E" w:rsidR="00193D3A">
        <w:rPr>
          <w:rStyle w:val="Heading3Char"/>
        </w:rPr>
        <w:t xml:space="preserve"> using </w:t>
      </w:r>
      <w:r w:rsidRPr="00CF520E" w:rsidR="00774558">
        <w:rPr>
          <w:rStyle w:val="Heading3Char"/>
        </w:rPr>
        <w:t xml:space="preserve">an </w:t>
      </w:r>
      <w:r w:rsidRPr="00CF520E" w:rsidR="00193D3A">
        <w:rPr>
          <w:rStyle w:val="Heading3Char"/>
        </w:rPr>
        <w:t>accounting device</w:t>
      </w:r>
      <w:r w:rsidRPr="00CF520E" w:rsidR="00774558">
        <w:rPr>
          <w:rStyle w:val="Heading3Char"/>
        </w:rPr>
        <w:t xml:space="preserve"> to</w:t>
      </w:r>
      <w:r w:rsidRPr="00CF520E" w:rsidR="00CC5E86">
        <w:rPr>
          <w:rStyle w:val="Heading3Char"/>
        </w:rPr>
        <w:t xml:space="preserve"> circumvent Ohio ratemaking law, as the Settlement does</w:t>
      </w:r>
      <w:r w:rsidRPr="00CF520E" w:rsidR="004B45BA">
        <w:rPr>
          <w:rStyle w:val="Heading3Char"/>
        </w:rPr>
        <w:t>.</w:t>
      </w:r>
      <w:bookmarkEnd w:id="36"/>
      <w:r w:rsidR="00F6067A">
        <w:rPr>
          <w:b/>
          <w:bCs/>
          <w:lang w:bidi="ar-SA"/>
        </w:rPr>
        <w:t xml:space="preserve"> </w:t>
      </w:r>
    </w:p>
    <w:p w:rsidR="006D64EC" w:rsidP="006D64EC" w14:paraId="7F84C4DB" w14:textId="77777777">
      <w:pPr>
        <w:ind w:left="1440"/>
        <w:rPr>
          <w:lang w:bidi="ar-SA"/>
        </w:rPr>
      </w:pPr>
    </w:p>
    <w:p w:rsidR="00AD7B95" w:rsidP="00F74A8E" w14:paraId="0AFD37DF" w14:textId="3EF9722F">
      <w:pPr>
        <w:spacing w:line="480" w:lineRule="auto"/>
        <w:ind w:firstLine="720"/>
      </w:pPr>
      <w:bookmarkStart w:id="37" w:name="_Toc136972196"/>
      <w:r>
        <w:t xml:space="preserve">At the outset, OCC incorporates </w:t>
      </w:r>
      <w:r w:rsidR="0079796E">
        <w:t>the ratemaking law cited in its</w:t>
      </w:r>
      <w:r>
        <w:t xml:space="preserve"> related argument (about including Duke’s caverns in rates) under the PUCO’s second settlement prong into this argument against charges</w:t>
      </w:r>
      <w:r w:rsidR="0079796E">
        <w:t xml:space="preserve"> to consumers</w:t>
      </w:r>
      <w:r>
        <w:t xml:space="preserve"> for the caverns under the PUCO’s third settlement prong. </w:t>
      </w:r>
      <w:r w:rsidR="00A065DD">
        <w:t>Allowing Duke to collect deferred costs related to the propane caverns</w:t>
      </w:r>
      <w:r w:rsidR="00683FE2">
        <w:t xml:space="preserve"> </w:t>
      </w:r>
      <w:r w:rsidRPr="00CA3463" w:rsidR="006D64EC">
        <w:t xml:space="preserve">violates the important regulatory principle </w:t>
      </w:r>
      <w:r w:rsidR="000E537E">
        <w:t>in R.C. 4909.15(A)(1) that “property of the public utility” must be “used and useful” at date certain</w:t>
      </w:r>
      <w:r w:rsidRPr="00CA3463" w:rsidR="006D64EC">
        <w:t>.</w:t>
      </w:r>
      <w:r>
        <w:rPr>
          <w:rStyle w:val="FootnoteReference"/>
        </w:rPr>
        <w:footnoteReference w:id="158"/>
      </w:r>
      <w:r w:rsidR="00C73E96">
        <w:t xml:space="preserve"> </w:t>
      </w:r>
      <w:r w:rsidR="006D64EC">
        <w:t>As demonstrated above, Duke repeatedly represented publicly, over a period of years, before multiple regulatory bodies, that the purpose of the Central Corridor Pipeline was to retire the propane caverns, rendering them no longer used and useful.</w:t>
      </w:r>
      <w:bookmarkEnd w:id="37"/>
      <w:r w:rsidR="00F74A8E">
        <w:rPr>
          <w:bCs/>
        </w:rPr>
        <w:t xml:space="preserve"> </w:t>
      </w:r>
      <w:r w:rsidR="00CA3463">
        <w:t xml:space="preserve">Duke’s public representations also demonstrate that the Central Corridor Pipeline began commercial operation – rendering the propane caverns not used and useful – </w:t>
      </w:r>
      <w:r w:rsidR="00A66338">
        <w:t>before</w:t>
      </w:r>
      <w:r w:rsidR="00CA3463">
        <w:t xml:space="preserve"> the date certain in this case. </w:t>
      </w:r>
    </w:p>
    <w:p w:rsidR="009C64EF" w:rsidP="00F74A8E" w14:paraId="3CF4DFF3" w14:textId="77777777">
      <w:pPr>
        <w:spacing w:line="480" w:lineRule="auto"/>
        <w:ind w:firstLine="720"/>
      </w:pPr>
      <w:r>
        <w:t xml:space="preserve">The PUCO should not treat the propane caverns as a </w:t>
      </w:r>
      <w:r w:rsidR="00C73E96">
        <w:t xml:space="preserve">“cost to the utility of rendering the public utility service for the test period…,” under R.C. 4909.15(A)(4). </w:t>
      </w:r>
      <w:r w:rsidR="000E537E">
        <w:t xml:space="preserve">This would allow Duke to charge consumers for the propane caverns even though they were no longer used and useful. </w:t>
      </w:r>
    </w:p>
    <w:p w:rsidR="00A50C98" w:rsidP="00F74A8E" w14:paraId="1C856B89" w14:textId="2017313C">
      <w:pPr>
        <w:spacing w:line="480" w:lineRule="auto"/>
        <w:ind w:firstLine="720"/>
      </w:pPr>
      <w:r>
        <w:t>While R.C. 4909.15(A)(1) requires utility property to be used and useful, R.C. 4909.15(A)(4</w:t>
      </w:r>
      <w:r w:rsidR="002E2D74">
        <w:t>) includes no such requirement for costs</w:t>
      </w:r>
      <w:r>
        <w:t xml:space="preserve">. Treating the propane caverns as a cost of service under R.C. 4909.15(A)(4) would be contrary to law. </w:t>
      </w:r>
      <w:r w:rsidR="009C64EF">
        <w:t xml:space="preserve">The </w:t>
      </w:r>
      <w:r>
        <w:t xml:space="preserve">Ohio Supreme </w:t>
      </w:r>
      <w:r w:rsidR="009C64EF">
        <w:t>Court</w:t>
      </w:r>
      <w:r>
        <w:t xml:space="preserve"> has</w:t>
      </w:r>
      <w:r w:rsidR="009C64EF">
        <w:t xml:space="preserve"> “</w:t>
      </w:r>
      <w:r w:rsidRPr="00F6067A" w:rsidR="009C64EF">
        <w:rPr>
          <w:color w:val="212121"/>
          <w:shd w:val="clear" w:color="auto" w:fill="FFFFFF"/>
        </w:rPr>
        <w:t>seriously question[ed] whether the General Assembly contemplated that the commission would treat the type of expenditures controverted herein [major capital investments] as costs under </w:t>
      </w:r>
      <w:hyperlink r:id="rId19" w:history="1">
        <w:r w:rsidRPr="00F6067A" w:rsidR="009C64EF">
          <w:rPr>
            <w:rStyle w:val="Hyperlink"/>
            <w:rFonts w:eastAsiaTheme="minorHAnsi"/>
            <w:color w:val="006EBB"/>
            <w:bdr w:val="none" w:sz="0" w:space="0" w:color="auto" w:frame="1"/>
            <w:shd w:val="clear" w:color="auto" w:fill="FFFFFF"/>
          </w:rPr>
          <w:t>R. C. 4909.15(A)(4)</w:t>
        </w:r>
      </w:hyperlink>
      <w:r w:rsidRPr="00F6067A" w:rsidR="009C64EF">
        <w:rPr>
          <w:color w:val="212121"/>
          <w:shd w:val="clear" w:color="auto" w:fill="FFFFFF"/>
        </w:rPr>
        <w:t>.”</w:t>
      </w:r>
      <w:r>
        <w:rPr>
          <w:rStyle w:val="FootnoteReference"/>
          <w:color w:val="212121"/>
          <w:shd w:val="clear" w:color="auto" w:fill="FFFFFF"/>
        </w:rPr>
        <w:footnoteReference w:id="159"/>
      </w:r>
      <w:r w:rsidR="009C64EF">
        <w:rPr>
          <w:rFonts w:ascii="Lato" w:hAnsi="Lato"/>
          <w:color w:val="212121"/>
          <w:sz w:val="27"/>
          <w:szCs w:val="27"/>
          <w:shd w:val="clear" w:color="auto" w:fill="FFFFFF"/>
        </w:rPr>
        <w:t> </w:t>
      </w:r>
      <w:r>
        <w:rPr>
          <w:color w:val="212121"/>
          <w:shd w:val="clear" w:color="auto" w:fill="FFFFFF"/>
        </w:rPr>
        <w:t>It has explained that a major capital investment cannot be transformed into an operating expense by “commission fiat.”</w:t>
      </w:r>
      <w:r>
        <w:rPr>
          <w:rStyle w:val="FootnoteReference"/>
          <w:color w:val="212121"/>
          <w:shd w:val="clear" w:color="auto" w:fill="FFFFFF"/>
        </w:rPr>
        <w:footnoteReference w:id="160"/>
      </w:r>
      <w:r>
        <w:rPr>
          <w:color w:val="212121"/>
          <w:shd w:val="clear" w:color="auto" w:fill="FFFFFF"/>
        </w:rPr>
        <w:t xml:space="preserve"> The propane caverns were major capital investments that must be analyzed under R.C. 4909.15(A)(1), not costs under R.C. 4909.15(A)(4).</w:t>
      </w:r>
      <w:r w:rsidR="002E2D74">
        <w:t>A</w:t>
      </w:r>
      <w:r>
        <w:t>s OCC expert</w:t>
      </w:r>
      <w:r w:rsidR="0053192B">
        <w:t xml:space="preserve"> Kerry Adkins </w:t>
      </w:r>
      <w:r>
        <w:t>concluded,</w:t>
      </w:r>
      <w:r w:rsidR="0053192B">
        <w:t xml:space="preserve"> “the propane facilities and the propane inventory were a utility asset,” not a cost of rendering service. </w:t>
      </w:r>
    </w:p>
    <w:p w:rsidR="0053192B" w:rsidRPr="00AD7B95" w:rsidP="00F74A8E" w14:paraId="452D3DAA" w14:textId="0EFE4D2A">
      <w:pPr>
        <w:spacing w:line="480" w:lineRule="auto"/>
        <w:ind w:firstLine="720"/>
      </w:pPr>
      <w:r>
        <w:t>In fact</w:t>
      </w:r>
      <w:r w:rsidR="002E2D74">
        <w:t>,</w:t>
      </w:r>
      <w:r>
        <w:t xml:space="preserve"> Duke has never treated the propane caverns as a cost of rendering utility service before. As Mr. Adkins testified, “[p]reviously, they have always been in rate base.” </w:t>
      </w:r>
      <w:r w:rsidR="00C73E96">
        <w:t xml:space="preserve">Only when the propane caverns ceased to be used and useful, as R.C. 4909.15(A)(1) requires property to be, did Duke </w:t>
      </w:r>
      <w:r w:rsidR="002E2D74">
        <w:t>attempt to treat</w:t>
      </w:r>
      <w:r w:rsidR="00C73E96">
        <w:t xml:space="preserve"> the propane caverns as a cost of rendering utility service. The PUCO should not allow this</w:t>
      </w:r>
      <w:r w:rsidR="000E537E">
        <w:t xml:space="preserve"> bait and switch</w:t>
      </w:r>
      <w:r w:rsidR="00C73E96">
        <w:t xml:space="preserve">. The propane caverns are property, not costs of rendering service, meaning they must be used and useful at the date certain. </w:t>
      </w:r>
    </w:p>
    <w:p w:rsidR="0097697F" w:rsidRPr="00781DF4" w:rsidP="00781DF4" w14:paraId="24F2A4DA" w14:textId="2C5AB08F">
      <w:pPr>
        <w:tabs>
          <w:tab w:val="left" w:pos="720"/>
          <w:tab w:val="left" w:pos="1440"/>
          <w:tab w:val="left" w:leader="dot" w:pos="8640"/>
        </w:tabs>
        <w:spacing w:line="480" w:lineRule="auto"/>
        <w:rPr>
          <w:bCs/>
        </w:rPr>
      </w:pPr>
      <w:r>
        <w:tab/>
      </w:r>
      <w:r w:rsidRPr="00A843DE">
        <w:t>The PUCO should and must apply the used and useful standard embodied in the statutory ratemaking formula in R.C. 4909.15. The propane facilities were not useful for providing utility service on the date certain</w:t>
      </w:r>
      <w:r w:rsidR="00781DF4">
        <w:t xml:space="preserve">, so charging consumers for them </w:t>
      </w:r>
      <w:r w:rsidR="00A66338">
        <w:t xml:space="preserve">(as permitted under the </w:t>
      </w:r>
      <w:r w:rsidR="000C24C4">
        <w:t>Settlement</w:t>
      </w:r>
      <w:r w:rsidR="00A66338">
        <w:t>)</w:t>
      </w:r>
      <w:r w:rsidR="00100BEB">
        <w:t xml:space="preserve"> </w:t>
      </w:r>
      <w:r w:rsidR="00A66338">
        <w:t xml:space="preserve">would violate </w:t>
      </w:r>
      <w:r w:rsidR="00781DF4">
        <w:t>important regulatory practices and principles.</w:t>
      </w:r>
      <w:r w:rsidR="000C24C4">
        <w:t xml:space="preserve"> </w:t>
      </w:r>
    </w:p>
    <w:p w:rsidR="00491050" w:rsidRPr="00781DF4" w:rsidP="00D41818" w14:paraId="4480BEB5" w14:textId="1A2F686E">
      <w:pPr>
        <w:pStyle w:val="Heading3"/>
        <w:numPr>
          <w:ilvl w:val="0"/>
          <w:numId w:val="13"/>
        </w:numPr>
        <w:ind w:left="2160" w:hanging="720"/>
      </w:pPr>
      <w:bookmarkStart w:id="38" w:name="_Toc137825455"/>
      <w:r w:rsidRPr="00781DF4">
        <w:t>The</w:t>
      </w:r>
      <w:r w:rsidRPr="00781DF4" w:rsidR="00055B57">
        <w:t xml:space="preserve"> PUCO should reject the</w:t>
      </w:r>
      <w:r w:rsidRPr="00781DF4">
        <w:t xml:space="preserve"> </w:t>
      </w:r>
      <w:r w:rsidR="00A66338">
        <w:t>S</w:t>
      </w:r>
      <w:r w:rsidRPr="00781DF4">
        <w:t>ettlement</w:t>
      </w:r>
      <w:r w:rsidRPr="00781DF4" w:rsidR="00055B57">
        <w:t xml:space="preserve"> because it</w:t>
      </w:r>
      <w:r w:rsidRPr="00781DF4">
        <w:t xml:space="preserve"> violates the</w:t>
      </w:r>
      <w:r w:rsidRPr="00781DF4" w:rsidR="00055B57">
        <w:t xml:space="preserve"> </w:t>
      </w:r>
      <w:r w:rsidRPr="00781DF4" w:rsidR="0068692B">
        <w:t>important</w:t>
      </w:r>
      <w:r w:rsidRPr="00781DF4">
        <w:t xml:space="preserve"> regulatory principle that utilities must charge just and reasonable rates.</w:t>
      </w:r>
      <w:bookmarkEnd w:id="38"/>
      <w:r w:rsidRPr="00781DF4">
        <w:t xml:space="preserve"> </w:t>
      </w:r>
    </w:p>
    <w:p w:rsidR="002C4F72" w:rsidP="00325A7F" w14:paraId="63416F25" w14:textId="236DA86C">
      <w:pPr>
        <w:spacing w:line="480" w:lineRule="auto"/>
        <w:ind w:firstLine="720"/>
        <w:rPr>
          <w:color w:val="000000" w:themeColor="text1"/>
        </w:rPr>
      </w:pPr>
      <w:r w:rsidRPr="00F126CD">
        <w:rPr>
          <w:color w:val="000000" w:themeColor="text1"/>
        </w:rPr>
        <w:t xml:space="preserve">The </w:t>
      </w:r>
      <w:r w:rsidR="00A66338">
        <w:rPr>
          <w:color w:val="000000" w:themeColor="text1"/>
        </w:rPr>
        <w:t>S</w:t>
      </w:r>
      <w:r w:rsidRPr="00F126CD" w:rsidR="007B74DC">
        <w:rPr>
          <w:color w:val="000000" w:themeColor="text1"/>
        </w:rPr>
        <w:t xml:space="preserve">ettlement should be rejected because it is inconsistent with </w:t>
      </w:r>
      <w:r w:rsidRPr="00F126CD">
        <w:rPr>
          <w:color w:val="000000" w:themeColor="text1"/>
        </w:rPr>
        <w:t xml:space="preserve">important regulatory </w:t>
      </w:r>
      <w:r w:rsidRPr="00F126CD" w:rsidR="00AD5594">
        <w:rPr>
          <w:color w:val="000000" w:themeColor="text1"/>
        </w:rPr>
        <w:t>practices and principles</w:t>
      </w:r>
      <w:r w:rsidRPr="00F126CD">
        <w:rPr>
          <w:color w:val="000000" w:themeColor="text1"/>
        </w:rPr>
        <w:t xml:space="preserve">. </w:t>
      </w:r>
      <w:r w:rsidRPr="00F126CD" w:rsidR="008E5987">
        <w:rPr>
          <w:color w:val="000000" w:themeColor="text1"/>
        </w:rPr>
        <w:t xml:space="preserve">R.C. 4905.22 provides that </w:t>
      </w:r>
      <w:r w:rsidRPr="00F126CD">
        <w:rPr>
          <w:color w:val="000000" w:themeColor="text1"/>
        </w:rPr>
        <w:t xml:space="preserve">every public utility must charge ‘just, reasonable’ rates and furnish ‘necessary and adequate facilities and services’ in exchange. </w:t>
      </w:r>
      <w:r w:rsidRPr="00F126CD" w:rsidR="008E5987">
        <w:rPr>
          <w:color w:val="000000" w:themeColor="text1"/>
        </w:rPr>
        <w:t xml:space="preserve">OCC witness Joe Buckley testified that the Settlement </w:t>
      </w:r>
      <w:r w:rsidRPr="00F126CD" w:rsidR="00AD5594">
        <w:rPr>
          <w:color w:val="000000" w:themeColor="text1"/>
        </w:rPr>
        <w:t>violates</w:t>
      </w:r>
      <w:r w:rsidRPr="00F126CD" w:rsidR="008E5987">
        <w:rPr>
          <w:color w:val="000000" w:themeColor="text1"/>
        </w:rPr>
        <w:t xml:space="preserve"> important regulatory </w:t>
      </w:r>
      <w:r w:rsidRPr="00F126CD" w:rsidR="00AD5594">
        <w:rPr>
          <w:color w:val="000000" w:themeColor="text1"/>
        </w:rPr>
        <w:t xml:space="preserve">practices and </w:t>
      </w:r>
      <w:r w:rsidRPr="00F126CD" w:rsidR="008E5987">
        <w:rPr>
          <w:color w:val="000000" w:themeColor="text1"/>
        </w:rPr>
        <w:t>principle</w:t>
      </w:r>
      <w:r w:rsidRPr="00F126CD" w:rsidR="00AD5594">
        <w:rPr>
          <w:color w:val="000000" w:themeColor="text1"/>
        </w:rPr>
        <w:t>s because it “results in rates to consumers that are not just and reasonable</w:t>
      </w:r>
      <w:r w:rsidRPr="00F126CD" w:rsidR="008E5987">
        <w:rPr>
          <w:color w:val="000000" w:themeColor="text1"/>
        </w:rPr>
        <w:t>.</w:t>
      </w:r>
      <w:r w:rsidRPr="00F126CD" w:rsidR="00AD5594">
        <w:rPr>
          <w:color w:val="000000" w:themeColor="text1"/>
        </w:rPr>
        <w:t>”</w:t>
      </w:r>
      <w:r>
        <w:rPr>
          <w:rStyle w:val="FootnoteReference"/>
          <w:color w:val="000000" w:themeColor="text1"/>
        </w:rPr>
        <w:footnoteReference w:id="161"/>
      </w:r>
      <w:r w:rsidR="00325A7F">
        <w:rPr>
          <w:color w:val="000000" w:themeColor="text1"/>
        </w:rPr>
        <w:t xml:space="preserve"> </w:t>
      </w:r>
    </w:p>
    <w:p w:rsidR="004B43AE" w:rsidP="00325A7F" w14:paraId="47D44564" w14:textId="3CFA8EA5">
      <w:pPr>
        <w:spacing w:line="480" w:lineRule="auto"/>
        <w:ind w:firstLine="720"/>
      </w:pPr>
      <w:bookmarkStart w:id="39" w:name="_Hlk107465740"/>
      <w:r>
        <w:t>Again, the</w:t>
      </w:r>
      <w:r w:rsidR="002C4F72">
        <w:t xml:space="preserve"> </w:t>
      </w:r>
      <w:r w:rsidRPr="00325A7F" w:rsidR="00AE54A8">
        <w:t xml:space="preserve">United States Supreme Court </w:t>
      </w:r>
      <w:r w:rsidR="002C4F72">
        <w:t xml:space="preserve">provided further guidance for setting the </w:t>
      </w:r>
      <w:r w:rsidRPr="00325A7F" w:rsidR="002C4F72">
        <w:t xml:space="preserve">appropriate level of profitability for regulated public utilities </w:t>
      </w:r>
      <w:r w:rsidRPr="00325A7F" w:rsidR="00AE54A8">
        <w:t xml:space="preserve">in the </w:t>
      </w:r>
      <w:r w:rsidRPr="00325A7F" w:rsidR="00AE54A8">
        <w:rPr>
          <w:i/>
          <w:iCs/>
        </w:rPr>
        <w:t xml:space="preserve">Hope </w:t>
      </w:r>
      <w:r w:rsidRPr="00325A7F" w:rsidR="00AE54A8">
        <w:t xml:space="preserve">and </w:t>
      </w:r>
      <w:r w:rsidRPr="00325A7F" w:rsidR="00AE54A8">
        <w:rPr>
          <w:i/>
          <w:iCs/>
        </w:rPr>
        <w:t xml:space="preserve">Bluefield </w:t>
      </w:r>
      <w:r w:rsidRPr="00325A7F" w:rsidR="00AE54A8">
        <w:t>cases.</w:t>
      </w:r>
      <w:r>
        <w:rPr>
          <w:rStyle w:val="FootnoteReference"/>
        </w:rPr>
        <w:footnoteReference w:id="162"/>
      </w:r>
      <w:r w:rsidRPr="00325A7F" w:rsidR="00AE54A8">
        <w:t xml:space="preserve"> </w:t>
      </w:r>
      <w:r w:rsidR="00E568D0">
        <w:t xml:space="preserve">The </w:t>
      </w:r>
      <w:r w:rsidR="00E568D0">
        <w:rPr>
          <w:i/>
          <w:iCs/>
        </w:rPr>
        <w:t xml:space="preserve">Hope </w:t>
      </w:r>
      <w:r w:rsidR="00E568D0">
        <w:t xml:space="preserve">decision, in summary, states </w:t>
      </w:r>
      <w:r w:rsidR="002C4F72">
        <w:t>that the</w:t>
      </w:r>
      <w:r w:rsidR="00325A7F">
        <w:t xml:space="preserve"> “end result,” “not the methods,” is paramount in setting rate of return.</w:t>
      </w:r>
      <w:r>
        <w:rPr>
          <w:rStyle w:val="FootnoteReference"/>
        </w:rPr>
        <w:footnoteReference w:id="163"/>
      </w:r>
      <w:r w:rsidR="00325A7F">
        <w:t xml:space="preserve"> </w:t>
      </w:r>
      <w:r w:rsidR="00E568D0">
        <w:t>And the</w:t>
      </w:r>
      <w:r w:rsidR="00325A7F">
        <w:t xml:space="preserve"> “end result” </w:t>
      </w:r>
      <w:r w:rsidR="002C4F72">
        <w:t>“should be commensurate with returns on investments in other enterprises having corresponding risks.”</w:t>
      </w:r>
      <w:r>
        <w:rPr>
          <w:rStyle w:val="FootnoteReference"/>
        </w:rPr>
        <w:footnoteReference w:id="164"/>
      </w:r>
      <w:r w:rsidR="002C4F72">
        <w:t xml:space="preserve"> </w:t>
      </w:r>
      <w:r w:rsidR="00E568D0">
        <w:t xml:space="preserve">In summary, the </w:t>
      </w:r>
      <w:r w:rsidR="00E568D0">
        <w:rPr>
          <w:i/>
          <w:iCs/>
        </w:rPr>
        <w:t xml:space="preserve">Bluefield </w:t>
      </w:r>
      <w:r w:rsidR="002C4F72">
        <w:t xml:space="preserve">decision provides that a utility’s return on equity </w:t>
      </w:r>
      <w:r w:rsidR="00325A7F">
        <w:t>“should be adequate” “to enable the utility to raise necessary capital.”</w:t>
      </w:r>
      <w:r>
        <w:rPr>
          <w:rStyle w:val="FootnoteReference"/>
        </w:rPr>
        <w:footnoteReference w:id="165"/>
      </w:r>
      <w:r w:rsidR="00325A7F">
        <w:t xml:space="preserve"> </w:t>
      </w:r>
    </w:p>
    <w:p w:rsidR="002C4F72" w:rsidRPr="002C4F72" w:rsidP="002C4F72" w14:paraId="1C1EA543" w14:textId="40E2FE1E">
      <w:pPr>
        <w:spacing w:line="480" w:lineRule="auto"/>
        <w:ind w:firstLine="720"/>
        <w:rPr>
          <w:color w:val="000000" w:themeColor="text1"/>
        </w:rPr>
      </w:pPr>
      <w:r>
        <w:rPr>
          <w:color w:val="000000" w:themeColor="text1"/>
        </w:rPr>
        <w:t xml:space="preserve">Mr. Buckley concluded that the Settlement violates the </w:t>
      </w:r>
      <w:r>
        <w:rPr>
          <w:i/>
          <w:iCs/>
          <w:color w:val="000000" w:themeColor="text1"/>
        </w:rPr>
        <w:t xml:space="preserve">Hope </w:t>
      </w:r>
      <w:r>
        <w:rPr>
          <w:color w:val="000000" w:themeColor="text1"/>
        </w:rPr>
        <w:t xml:space="preserve">and </w:t>
      </w:r>
      <w:r>
        <w:rPr>
          <w:i/>
          <w:iCs/>
          <w:color w:val="000000" w:themeColor="text1"/>
        </w:rPr>
        <w:t>Bluefield</w:t>
      </w:r>
      <w:r>
        <w:rPr>
          <w:color w:val="000000" w:themeColor="text1"/>
        </w:rPr>
        <w:t xml:space="preserve"> decisions. </w:t>
      </w:r>
      <w:bookmarkEnd w:id="39"/>
      <w:r w:rsidRPr="006534AA">
        <w:t>Duke</w:t>
      </w:r>
      <w:r>
        <w:t xml:space="preserve"> </w:t>
      </w:r>
      <w:r w:rsidRPr="006534AA">
        <w:t xml:space="preserve">proposes an </w:t>
      </w:r>
      <w:r>
        <w:t xml:space="preserve">inflated </w:t>
      </w:r>
      <w:r w:rsidRPr="006534AA">
        <w:t xml:space="preserve">ROE of </w:t>
      </w:r>
      <w:r>
        <w:t>9.6</w:t>
      </w:r>
      <w:r w:rsidRPr="006534AA">
        <w:t>%.</w:t>
      </w:r>
      <w:r>
        <w:rPr>
          <w:rStyle w:val="FootnoteReference"/>
        </w:rPr>
        <w:footnoteReference w:id="166"/>
      </w:r>
      <w:r w:rsidRPr="006534AA">
        <w:t xml:space="preserve"> </w:t>
      </w:r>
      <w:r w:rsidR="00DE1F92">
        <w:t>But the</w:t>
      </w:r>
      <w:r w:rsidRPr="006534AA" w:rsidR="00DE1F92">
        <w:t xml:space="preserve"> average ROE granted nationwide to a BBB+ S&amp;P rated company during the period of January 1, 2022 to September 30, 2022 was 9.42%.</w:t>
      </w:r>
      <w:r>
        <w:rPr>
          <w:vertAlign w:val="superscript"/>
        </w:rPr>
        <w:footnoteReference w:id="167"/>
      </w:r>
      <w:r w:rsidRPr="006534AA" w:rsidR="00DE1F92">
        <w:t xml:space="preserve"> </w:t>
      </w:r>
      <w:r>
        <w:t xml:space="preserve">OCC endorses </w:t>
      </w:r>
      <w:r w:rsidR="00DE1F92">
        <w:t xml:space="preserve">instead </w:t>
      </w:r>
      <w:r>
        <w:t xml:space="preserve">PUCO Staff’s </w:t>
      </w:r>
      <w:r w:rsidRPr="006534AA">
        <w:t xml:space="preserve">return on equity of 9.52% (after issuance costs </w:t>
      </w:r>
      <w:r>
        <w:t>are</w:t>
      </w:r>
      <w:r w:rsidRPr="006534AA">
        <w:t xml:space="preserve"> added).</w:t>
      </w:r>
      <w:r>
        <w:rPr>
          <w:rStyle w:val="FootnoteReference"/>
        </w:rPr>
        <w:footnoteReference w:id="168"/>
      </w:r>
      <w:r w:rsidRPr="006534AA">
        <w:t xml:space="preserve"> </w:t>
      </w:r>
      <w:r w:rsidR="00DE1F92">
        <w:t xml:space="preserve">This </w:t>
      </w:r>
      <w:r>
        <w:t>ROE aligns more closely with national average</w:t>
      </w:r>
      <w:r w:rsidR="0045603E">
        <w:t xml:space="preserve"> than Duke’s,</w:t>
      </w:r>
      <w:r>
        <w:t xml:space="preserve"> allowing for a return commensurate to similarly risky investments, as </w:t>
      </w:r>
      <w:r>
        <w:rPr>
          <w:i/>
          <w:iCs/>
        </w:rPr>
        <w:t xml:space="preserve">Hope </w:t>
      </w:r>
      <w:r>
        <w:t xml:space="preserve">requires. </w:t>
      </w:r>
    </w:p>
    <w:p w:rsidR="00A66338" w:rsidP="002C4F72" w14:paraId="67837A47" w14:textId="77777777">
      <w:pPr>
        <w:pStyle w:val="Body"/>
        <w:spacing w:line="480" w:lineRule="auto"/>
        <w:ind w:left="0" w:firstLine="0"/>
        <w:rPr>
          <w:rFonts w:cs="Times New Roman"/>
          <w:lang w:val="en-US"/>
        </w:rPr>
      </w:pPr>
      <w:r w:rsidRPr="00AD3212">
        <w:rPr>
          <w:rFonts w:cs="Times New Roman"/>
          <w:lang w:val="en-US"/>
        </w:rPr>
        <w:tab/>
        <w:t xml:space="preserve">OCC’s proposed 6.67% rate of return is </w:t>
      </w:r>
      <w:r w:rsidR="0045603E">
        <w:rPr>
          <w:rFonts w:cs="Times New Roman"/>
          <w:lang w:val="en-US"/>
        </w:rPr>
        <w:t xml:space="preserve">also </w:t>
      </w:r>
      <w:r w:rsidRPr="00AD3212">
        <w:rPr>
          <w:rFonts w:cs="Times New Roman"/>
          <w:lang w:val="en-US"/>
        </w:rPr>
        <w:t>more appropriate than Duke’s proposal</w:t>
      </w:r>
      <w:r>
        <w:rPr>
          <w:rFonts w:cs="Times New Roman"/>
          <w:lang w:val="en-US"/>
        </w:rPr>
        <w:t xml:space="preserve"> of </w:t>
      </w:r>
      <w:r w:rsidRPr="00AD3212">
        <w:rPr>
          <w:rFonts w:cs="Times New Roman"/>
          <w:lang w:val="en-US"/>
        </w:rPr>
        <w:t>6.96 percent. The national average of rates of return for gas companies granted in the first nine months of 2022 is 6.83%.</w:t>
      </w:r>
      <w:r>
        <w:rPr>
          <w:rFonts w:cs="Times New Roman"/>
          <w:vertAlign w:val="superscript"/>
          <w:lang w:val="en-US"/>
        </w:rPr>
        <w:footnoteReference w:id="169"/>
      </w:r>
      <w:r w:rsidRPr="00AD3212">
        <w:rPr>
          <w:rFonts w:cs="Times New Roman"/>
          <w:lang w:val="en-US"/>
        </w:rPr>
        <w:t xml:space="preserve"> Mr. Buckley concluded that Duke’s risk profile does not warrant a higher rate of return than the national average.</w:t>
      </w:r>
      <w:r>
        <w:rPr>
          <w:rStyle w:val="FootnoteReference"/>
          <w:rFonts w:cs="Times New Roman"/>
          <w:lang w:val="en-US"/>
        </w:rPr>
        <w:footnoteReference w:id="170"/>
      </w:r>
      <w:r w:rsidRPr="00AD3212">
        <w:rPr>
          <w:rFonts w:cs="Times New Roman"/>
          <w:lang w:val="en-US"/>
        </w:rPr>
        <w:t xml:space="preserve"> “Duke will still be able to attract capital”</w:t>
      </w:r>
      <w:r>
        <w:rPr>
          <w:rStyle w:val="FootnoteReference"/>
          <w:rFonts w:cs="Times New Roman"/>
          <w:lang w:val="en-US"/>
        </w:rPr>
        <w:footnoteReference w:id="171"/>
      </w:r>
      <w:r>
        <w:rPr>
          <w:rFonts w:cs="Times New Roman"/>
          <w:lang w:val="en-US"/>
        </w:rPr>
        <w:t xml:space="preserve"> </w:t>
      </w:r>
      <w:r w:rsidR="0045603E">
        <w:rPr>
          <w:rFonts w:cs="Times New Roman"/>
          <w:lang w:val="en-US"/>
        </w:rPr>
        <w:t xml:space="preserve">with a below-average rate of return </w:t>
      </w:r>
      <w:r>
        <w:rPr>
          <w:rFonts w:cs="Times New Roman"/>
          <w:lang w:val="en-US"/>
        </w:rPr>
        <w:t xml:space="preserve">because its operation </w:t>
      </w:r>
      <w:r w:rsidRPr="00AD3212">
        <w:rPr>
          <w:rFonts w:cs="Times New Roman"/>
          <w:lang w:val="en-US"/>
        </w:rPr>
        <w:t>presents low financial risk to investors.</w:t>
      </w:r>
    </w:p>
    <w:p w:rsidR="004B43AE" w:rsidRPr="0045603E" w:rsidP="002C4F72" w14:paraId="3576E9CA" w14:textId="0C4E5575">
      <w:pPr>
        <w:pStyle w:val="Body"/>
        <w:spacing w:line="480" w:lineRule="auto"/>
        <w:ind w:left="0" w:firstLine="0"/>
      </w:pPr>
      <w:r>
        <w:rPr>
          <w:rFonts w:cs="Times New Roman"/>
          <w:lang w:val="en-US"/>
        </w:rPr>
        <w:tab/>
      </w:r>
      <w:r w:rsidRPr="00AD3212" w:rsidR="002C4F72">
        <w:rPr>
          <w:rFonts w:cs="Times New Roman"/>
          <w:lang w:val="en-US"/>
        </w:rPr>
        <w:t>Duke Energy has stated in its Retail Investor Update</w:t>
      </w:r>
      <w:r>
        <w:rPr>
          <w:rFonts w:cs="Times New Roman"/>
          <w:vertAlign w:val="superscript"/>
          <w:lang w:val="en-US"/>
        </w:rPr>
        <w:footnoteReference w:id="172"/>
      </w:r>
      <w:r w:rsidRPr="00AD3212" w:rsidR="002C4F72">
        <w:rPr>
          <w:rFonts w:cs="Times New Roman"/>
          <w:lang w:val="en-US"/>
        </w:rPr>
        <w:t xml:space="preserve"> that it provides “[t]op tier dividend yields compared to S&amp;P 500 Utility Companies, with a proven track record of dividend growth by increasing quarterly dividend payments for 16 consecutive years.” </w:t>
      </w:r>
      <w:r w:rsidR="002C4F72">
        <w:rPr>
          <w:rFonts w:cs="Times New Roman"/>
          <w:lang w:val="en-US"/>
        </w:rPr>
        <w:t>Duke has further claimed</w:t>
      </w:r>
      <w:r w:rsidRPr="00AD3212" w:rsidR="002C4F72">
        <w:rPr>
          <w:rFonts w:cs="Times New Roman"/>
          <w:lang w:val="en-US"/>
        </w:rPr>
        <w:t xml:space="preserve"> it will be able to provide ~10% in risk adjusted shareholder returns through 2027.</w:t>
      </w:r>
      <w:r>
        <w:rPr>
          <w:rFonts w:cs="Times New Roman"/>
          <w:vertAlign w:val="superscript"/>
          <w:lang w:val="en-US"/>
        </w:rPr>
        <w:footnoteReference w:id="173"/>
      </w:r>
      <w:r w:rsidRPr="00AD3212" w:rsidR="002C4F72">
        <w:rPr>
          <w:rFonts w:cs="Times New Roman"/>
          <w:lang w:val="en-US"/>
        </w:rPr>
        <w:t xml:space="preserve"> Duke Energy</w:t>
      </w:r>
      <w:r>
        <w:rPr>
          <w:rFonts w:cs="Times New Roman"/>
          <w:vertAlign w:val="superscript"/>
          <w:lang w:val="en-US"/>
        </w:rPr>
        <w:footnoteReference w:id="174"/>
      </w:r>
      <w:r w:rsidRPr="00AD3212" w:rsidR="002C4F72">
        <w:rPr>
          <w:rFonts w:cs="Times New Roman"/>
          <w:lang w:val="en-US"/>
        </w:rPr>
        <w:t xml:space="preserve"> and Duke-Ohio</w:t>
      </w:r>
      <w:r>
        <w:rPr>
          <w:rFonts w:cs="Times New Roman"/>
          <w:vertAlign w:val="superscript"/>
          <w:lang w:val="en-US"/>
        </w:rPr>
        <w:footnoteReference w:id="175"/>
      </w:r>
      <w:r w:rsidRPr="00AD3212" w:rsidR="002C4F72">
        <w:rPr>
          <w:rFonts w:cs="Times New Roman"/>
          <w:lang w:val="en-US"/>
        </w:rPr>
        <w:t xml:space="preserve"> are </w:t>
      </w:r>
      <w:r w:rsidR="002C4F72">
        <w:rPr>
          <w:rFonts w:cs="Times New Roman"/>
          <w:lang w:val="en-US"/>
        </w:rPr>
        <w:t xml:space="preserve">also </w:t>
      </w:r>
      <w:r w:rsidRPr="00AD3212" w:rsidR="002C4F72">
        <w:rPr>
          <w:rFonts w:cs="Times New Roman"/>
          <w:lang w:val="en-US"/>
        </w:rPr>
        <w:t xml:space="preserve">both stable BBB+ rated by S&amp;P. </w:t>
      </w:r>
      <w:r w:rsidR="00DE1F92">
        <w:rPr>
          <w:rFonts w:cs="Times New Roman"/>
          <w:lang w:val="en-US"/>
        </w:rPr>
        <w:t xml:space="preserve">So, </w:t>
      </w:r>
      <w:r w:rsidR="0045603E">
        <w:rPr>
          <w:rFonts w:cs="Times New Roman"/>
          <w:lang w:val="en-US"/>
        </w:rPr>
        <w:t xml:space="preserve">OCC’s proposed rate of return is “adequate” to ensure Duke can </w:t>
      </w:r>
      <w:r w:rsidR="00DE1F92">
        <w:rPr>
          <w:rFonts w:cs="Times New Roman"/>
          <w:lang w:val="en-US"/>
        </w:rPr>
        <w:t>raise</w:t>
      </w:r>
      <w:r w:rsidR="0045603E">
        <w:rPr>
          <w:rFonts w:cs="Times New Roman"/>
          <w:lang w:val="en-US"/>
        </w:rPr>
        <w:t xml:space="preserve"> capital, as </w:t>
      </w:r>
      <w:r w:rsidR="0045603E">
        <w:rPr>
          <w:rFonts w:cs="Times New Roman"/>
          <w:i/>
          <w:iCs/>
          <w:lang w:val="en-US"/>
        </w:rPr>
        <w:t>Bluefield</w:t>
      </w:r>
      <w:r w:rsidR="0045603E">
        <w:rPr>
          <w:rFonts w:cs="Times New Roman"/>
          <w:lang w:val="en-US"/>
        </w:rPr>
        <w:t xml:space="preserve"> requires. The </w:t>
      </w:r>
      <w:r w:rsidR="00DE1F92">
        <w:rPr>
          <w:rFonts w:cs="Times New Roman"/>
          <w:lang w:val="en-US"/>
        </w:rPr>
        <w:t xml:space="preserve">above-average </w:t>
      </w:r>
      <w:r w:rsidR="0045603E">
        <w:rPr>
          <w:rFonts w:cs="Times New Roman"/>
          <w:lang w:val="en-US"/>
        </w:rPr>
        <w:t xml:space="preserve">rate of return in the settlement is inflated beyond what is necessary for Duke Energy, Ohio to attract capital investment. For this reason, the PUCO should reject it. </w:t>
      </w:r>
    </w:p>
    <w:p w:rsidR="002179CB" w:rsidRPr="00F126CD" w:rsidP="008E5987" w14:paraId="43DD2413" w14:textId="343125AC">
      <w:pPr>
        <w:spacing w:line="480" w:lineRule="auto"/>
        <w:ind w:firstLine="720"/>
      </w:pPr>
      <w:r w:rsidRPr="00325A7F">
        <w:rPr>
          <w:color w:val="000000" w:themeColor="text1"/>
        </w:rPr>
        <w:t xml:space="preserve">Because the </w:t>
      </w:r>
      <w:r w:rsidR="00A66338">
        <w:rPr>
          <w:color w:val="000000" w:themeColor="text1"/>
        </w:rPr>
        <w:t>S</w:t>
      </w:r>
      <w:r w:rsidRPr="00325A7F" w:rsidR="004B43AE">
        <w:rPr>
          <w:color w:val="000000" w:themeColor="text1"/>
        </w:rPr>
        <w:t>ettlement</w:t>
      </w:r>
      <w:r w:rsidRPr="00325A7F">
        <w:rPr>
          <w:color w:val="000000" w:themeColor="text1"/>
        </w:rPr>
        <w:t xml:space="preserve"> violates important regulatory principle</w:t>
      </w:r>
      <w:r w:rsidR="00B0406D">
        <w:rPr>
          <w:color w:val="000000" w:themeColor="text1"/>
        </w:rPr>
        <w:t xml:space="preserve">s articulated in </w:t>
      </w:r>
      <w:r w:rsidR="00B0406D">
        <w:rPr>
          <w:i/>
          <w:iCs/>
          <w:color w:val="000000" w:themeColor="text1"/>
        </w:rPr>
        <w:t xml:space="preserve">Hope </w:t>
      </w:r>
      <w:r w:rsidR="00B0406D">
        <w:rPr>
          <w:color w:val="000000" w:themeColor="text1"/>
        </w:rPr>
        <w:t xml:space="preserve">and </w:t>
      </w:r>
      <w:r w:rsidR="00B0406D">
        <w:rPr>
          <w:i/>
          <w:iCs/>
          <w:color w:val="000000" w:themeColor="text1"/>
        </w:rPr>
        <w:t>Bluefield</w:t>
      </w:r>
      <w:r w:rsidRPr="00325A7F">
        <w:rPr>
          <w:color w:val="000000" w:themeColor="text1"/>
        </w:rPr>
        <w:t>, it does not meet the PUCO’s three-part standard for approval.</w:t>
      </w:r>
      <w:r w:rsidRPr="00325A7F" w:rsidR="004B43AE">
        <w:rPr>
          <w:color w:val="000000" w:themeColor="text1"/>
        </w:rPr>
        <w:t xml:space="preserve"> The PUCO should reject the settlement.</w:t>
      </w:r>
    </w:p>
    <w:p w:rsidR="0028517E" w:rsidRPr="00F126CD" w:rsidP="005404A0" w14:paraId="53D6A4AE" w14:textId="1C3D0204">
      <w:pPr>
        <w:pStyle w:val="Heading3"/>
        <w:numPr>
          <w:ilvl w:val="0"/>
          <w:numId w:val="13"/>
        </w:numPr>
        <w:ind w:left="1440" w:hanging="720"/>
      </w:pPr>
      <w:bookmarkStart w:id="40" w:name="_Toc137825456"/>
      <w:r w:rsidRPr="00EC345A">
        <w:t>The</w:t>
      </w:r>
      <w:r w:rsidRPr="00EC345A" w:rsidR="000542B0">
        <w:t xml:space="preserve"> PUCO should reject the</w:t>
      </w:r>
      <w:r w:rsidRPr="00EC345A">
        <w:t xml:space="preserve"> </w:t>
      </w:r>
      <w:r w:rsidR="00A66338">
        <w:t>S</w:t>
      </w:r>
      <w:r w:rsidRPr="00EC345A">
        <w:t xml:space="preserve">ettlement </w:t>
      </w:r>
      <w:r w:rsidRPr="00EC345A" w:rsidR="000542B0">
        <w:t xml:space="preserve">because it </w:t>
      </w:r>
      <w:r w:rsidRPr="00EC345A">
        <w:t xml:space="preserve">violates the </w:t>
      </w:r>
      <w:r w:rsidRPr="00EC345A" w:rsidR="0068692B">
        <w:t xml:space="preserve">important </w:t>
      </w:r>
      <w:r w:rsidRPr="00EC345A">
        <w:t>regulatory</w:t>
      </w:r>
      <w:r w:rsidRPr="00EC345A" w:rsidR="002175B9">
        <w:t xml:space="preserve"> principle</w:t>
      </w:r>
      <w:r w:rsidRPr="00EC345A" w:rsidR="00055B57">
        <w:t>s</w:t>
      </w:r>
      <w:r w:rsidRPr="00EC345A" w:rsidR="002175B9">
        <w:t xml:space="preserve"> </w:t>
      </w:r>
      <w:r w:rsidRPr="00EC345A">
        <w:t>of gradualism.</w:t>
      </w:r>
      <w:bookmarkEnd w:id="40"/>
    </w:p>
    <w:p w:rsidR="007F2F5E" w:rsidRPr="00F126CD" w:rsidP="0028517E" w14:paraId="04A54AF7" w14:textId="37BD2178">
      <w:pPr>
        <w:pStyle w:val="Body"/>
        <w:tabs>
          <w:tab w:val="clear" w:pos="720"/>
        </w:tabs>
        <w:spacing w:line="480" w:lineRule="auto"/>
        <w:ind w:left="0" w:firstLine="720"/>
        <w:rPr>
          <w:rFonts w:cs="Times New Roman"/>
          <w:lang w:val="en-US"/>
        </w:rPr>
      </w:pPr>
      <w:r w:rsidRPr="00F126CD">
        <w:rPr>
          <w:rFonts w:cs="Times New Roman"/>
          <w:lang w:val="en-US"/>
        </w:rPr>
        <w:t>Gradualism refers to the</w:t>
      </w:r>
      <w:r w:rsidRPr="00F126CD" w:rsidR="007D77D6">
        <w:rPr>
          <w:rFonts w:cs="Times New Roman"/>
          <w:lang w:val="en-US"/>
        </w:rPr>
        <w:t xml:space="preserve"> regulatory</w:t>
      </w:r>
      <w:r w:rsidRPr="00F126CD">
        <w:rPr>
          <w:rFonts w:cs="Times New Roman"/>
          <w:lang w:val="en-US"/>
        </w:rPr>
        <w:t xml:space="preserve"> principle and practice that rates should increase gradually over time, so they </w:t>
      </w:r>
      <w:r w:rsidRPr="00F126CD" w:rsidR="005858B2">
        <w:rPr>
          <w:rFonts w:cs="Times New Roman"/>
          <w:lang w:val="en-US"/>
        </w:rPr>
        <w:t>do not</w:t>
      </w:r>
      <w:r w:rsidRPr="00F126CD">
        <w:rPr>
          <w:rFonts w:cs="Times New Roman"/>
          <w:lang w:val="en-US"/>
        </w:rPr>
        <w:t xml:space="preserve"> cause “rate-shock” to consumers.</w:t>
      </w:r>
      <w:r>
        <w:rPr>
          <w:rStyle w:val="FootnoteReference"/>
          <w:rFonts w:cs="Times New Roman"/>
          <w:lang w:val="en-US"/>
        </w:rPr>
        <w:footnoteReference w:id="176"/>
      </w:r>
      <w:r w:rsidRPr="00F126CD" w:rsidR="005858B2">
        <w:rPr>
          <w:rFonts w:cs="Times New Roman"/>
          <w:lang w:val="en-US"/>
        </w:rPr>
        <w:t xml:space="preserve"> This promotes “continuity” between “current and proposed pricing structures.”</w:t>
      </w:r>
      <w:r>
        <w:rPr>
          <w:rStyle w:val="FootnoteReference"/>
          <w:rFonts w:cs="Times New Roman"/>
          <w:lang w:val="en-US"/>
        </w:rPr>
        <w:footnoteReference w:id="177"/>
      </w:r>
      <w:r w:rsidRPr="00F126CD" w:rsidR="005858B2">
        <w:rPr>
          <w:rFonts w:cs="Times New Roman"/>
          <w:lang w:val="en-US"/>
        </w:rPr>
        <w:t xml:space="preserve"> </w:t>
      </w:r>
      <w:r w:rsidRPr="00F126CD">
        <w:rPr>
          <w:rFonts w:cs="Times New Roman"/>
          <w:lang w:val="en-US"/>
        </w:rPr>
        <w:t xml:space="preserve">A gradual increase to rates protects consumers from sudden high bills that are unaffordable. </w:t>
      </w:r>
    </w:p>
    <w:p w:rsidR="00565A81" w:rsidRPr="00F126CD" w:rsidP="005858B2" w14:paraId="41698FE8" w14:textId="5F3C3C06">
      <w:pPr>
        <w:pStyle w:val="Body"/>
        <w:tabs>
          <w:tab w:val="clear" w:pos="720"/>
        </w:tabs>
        <w:spacing w:line="480" w:lineRule="auto"/>
        <w:ind w:left="0" w:firstLine="720"/>
        <w:rPr>
          <w:rFonts w:cs="Times New Roman"/>
          <w:lang w:val="en-US"/>
        </w:rPr>
      </w:pPr>
      <w:r w:rsidRPr="00F126CD">
        <w:rPr>
          <w:rFonts w:cs="Times New Roman"/>
          <w:lang w:val="en-US"/>
        </w:rPr>
        <w:t>Mr. Fortney testified that</w:t>
      </w:r>
      <w:r w:rsidRPr="00F126CD" w:rsidR="005858B2">
        <w:rPr>
          <w:rFonts w:cs="Times New Roman"/>
          <w:lang w:val="en-US"/>
        </w:rPr>
        <w:t xml:space="preserve"> he concluded, based on decades of utility regulation experience, that this Settlement </w:t>
      </w:r>
      <w:r w:rsidRPr="00F126CD">
        <w:rPr>
          <w:rFonts w:cs="Times New Roman"/>
          <w:lang w:val="en-US"/>
        </w:rPr>
        <w:t>violates the regulatory principle of gradualism.</w:t>
      </w:r>
      <w:r>
        <w:rPr>
          <w:rStyle w:val="FootnoteReference"/>
          <w:rFonts w:cs="Times New Roman"/>
          <w:lang w:val="en-US"/>
        </w:rPr>
        <w:footnoteReference w:id="178"/>
      </w:r>
      <w:r w:rsidRPr="00F126CD">
        <w:rPr>
          <w:rFonts w:cs="Times New Roman"/>
          <w:lang w:val="en-US"/>
        </w:rPr>
        <w:t xml:space="preserve"> </w:t>
      </w:r>
      <w:r w:rsidRPr="00F126CD" w:rsidR="005858B2">
        <w:rPr>
          <w:rFonts w:cs="Times New Roman"/>
          <w:color w:val="000000" w:themeColor="text1"/>
          <w:lang w:val="en-US"/>
        </w:rPr>
        <w:t xml:space="preserve">The </w:t>
      </w:r>
      <w:r w:rsidR="00A66338">
        <w:rPr>
          <w:rFonts w:cs="Times New Roman"/>
          <w:color w:val="000000" w:themeColor="text1"/>
          <w:lang w:val="en-US"/>
        </w:rPr>
        <w:t>S</w:t>
      </w:r>
      <w:r w:rsidRPr="00F126CD" w:rsidR="005858B2">
        <w:rPr>
          <w:rFonts w:cs="Times New Roman"/>
          <w:color w:val="000000" w:themeColor="text1"/>
          <w:lang w:val="en-US"/>
        </w:rPr>
        <w:t>ettlement fails to moderate the level and change of Duke’s base rates, which will prevent undue financial burden on residential consumers.</w:t>
      </w:r>
      <w:r w:rsidRPr="00F126CD" w:rsidR="005858B2">
        <w:rPr>
          <w:rFonts w:cs="Times New Roman"/>
          <w:lang w:val="en-US"/>
        </w:rPr>
        <w:t xml:space="preserve"> Residential consumers are uniquely unable to handle these burdens at present because of COVID and high inflation.</w:t>
      </w:r>
      <w:r>
        <w:rPr>
          <w:rStyle w:val="FootnoteReference"/>
          <w:rFonts w:cs="Times New Roman"/>
          <w:lang w:val="en-US"/>
        </w:rPr>
        <w:footnoteReference w:id="179"/>
      </w:r>
      <w:r w:rsidRPr="00F126CD">
        <w:rPr>
          <w:rFonts w:cs="Times New Roman"/>
          <w:lang w:val="en-US"/>
        </w:rPr>
        <w:t xml:space="preserve"> </w:t>
      </w:r>
      <w:r w:rsidRPr="00F126CD">
        <w:rPr>
          <w:rFonts w:cs="Times New Roman"/>
          <w:color w:val="000000" w:themeColor="text1"/>
          <w:lang w:val="en-US"/>
        </w:rPr>
        <w:t xml:space="preserve">For this reason, </w:t>
      </w:r>
      <w:r w:rsidRPr="00F126CD" w:rsidR="000B31CC">
        <w:rPr>
          <w:rFonts w:cs="Times New Roman"/>
          <w:color w:val="000000" w:themeColor="text1"/>
          <w:lang w:val="en-US"/>
        </w:rPr>
        <w:t xml:space="preserve">the </w:t>
      </w:r>
      <w:r w:rsidR="00A66338">
        <w:rPr>
          <w:rFonts w:cs="Times New Roman"/>
          <w:color w:val="000000" w:themeColor="text1"/>
          <w:lang w:val="en-US"/>
        </w:rPr>
        <w:t>S</w:t>
      </w:r>
      <w:r w:rsidRPr="00F126CD" w:rsidR="000B31CC">
        <w:rPr>
          <w:rFonts w:cs="Times New Roman"/>
          <w:color w:val="000000" w:themeColor="text1"/>
          <w:lang w:val="en-US"/>
        </w:rPr>
        <w:t xml:space="preserve">ettlement violates the third prong of the PUCO’s </w:t>
      </w:r>
      <w:r w:rsidRPr="00F126CD" w:rsidR="005858B2">
        <w:rPr>
          <w:rFonts w:cs="Times New Roman"/>
          <w:color w:val="000000" w:themeColor="text1"/>
          <w:lang w:val="en-US"/>
        </w:rPr>
        <w:t>three-part</w:t>
      </w:r>
      <w:r w:rsidRPr="00F126CD" w:rsidR="000B31CC">
        <w:rPr>
          <w:rFonts w:cs="Times New Roman"/>
          <w:color w:val="000000" w:themeColor="text1"/>
          <w:lang w:val="en-US"/>
        </w:rPr>
        <w:t xml:space="preserve"> test for evaluating settlements</w:t>
      </w:r>
      <w:r w:rsidRPr="00F126CD">
        <w:rPr>
          <w:rFonts w:cs="Times New Roman"/>
          <w:lang w:val="en-US"/>
        </w:rPr>
        <w:t>.</w:t>
      </w:r>
    </w:p>
    <w:p w:rsidR="0028517E" w:rsidRPr="00F126CD" w:rsidP="008C63C9" w14:paraId="6FB3FB5A" w14:textId="3B3D0F3B">
      <w:pPr>
        <w:pStyle w:val="Body"/>
        <w:tabs>
          <w:tab w:val="clear" w:pos="720"/>
        </w:tabs>
        <w:spacing w:line="480" w:lineRule="auto"/>
        <w:ind w:left="0" w:firstLine="0"/>
        <w:rPr>
          <w:rFonts w:cs="Times New Roman"/>
          <w:lang w:val="en-US"/>
        </w:rPr>
      </w:pPr>
      <w:r w:rsidRPr="00F126CD">
        <w:rPr>
          <w:rFonts w:cs="Times New Roman"/>
          <w:lang w:val="en-US"/>
        </w:rPr>
        <w:tab/>
        <w:t>OCC witness Fortney proposed a more gradual move of the rates of return for each consumer class towards the cost of servic</w:t>
      </w:r>
      <w:r w:rsidRPr="00F126CD" w:rsidR="005858B2">
        <w:rPr>
          <w:rFonts w:cs="Times New Roman"/>
          <w:lang w:val="en-US"/>
        </w:rPr>
        <w:t>e.</w:t>
      </w:r>
      <w:r w:rsidRPr="00F126CD">
        <w:rPr>
          <w:rFonts w:cs="Times New Roman"/>
          <w:lang w:val="en-US"/>
        </w:rPr>
        <w:t xml:space="preserve"> Mr. Fortney recommended using </w:t>
      </w:r>
      <w:r w:rsidRPr="00F126CD" w:rsidR="005858B2">
        <w:rPr>
          <w:rFonts w:cs="Times New Roman"/>
          <w:lang w:val="en-US"/>
        </w:rPr>
        <w:t>a</w:t>
      </w:r>
      <w:r w:rsidRPr="00F126CD">
        <w:rPr>
          <w:rFonts w:cs="Times New Roman"/>
          <w:lang w:val="en-US"/>
        </w:rPr>
        <w:t xml:space="preserve"> proposed </w:t>
      </w:r>
      <w:r w:rsidRPr="00F126CD" w:rsidR="005858B2">
        <w:rPr>
          <w:rFonts w:cs="Times New Roman"/>
          <w:lang w:val="en-US"/>
        </w:rPr>
        <w:t>allocation</w:t>
      </w:r>
      <w:r w:rsidRPr="00F126CD">
        <w:rPr>
          <w:rFonts w:cs="Times New Roman"/>
          <w:lang w:val="en-US"/>
        </w:rPr>
        <w:t xml:space="preserve"> of revenue, </w:t>
      </w:r>
      <w:r w:rsidRPr="00F126CD" w:rsidR="005858B2">
        <w:rPr>
          <w:rFonts w:cs="Times New Roman"/>
          <w:lang w:val="en-US"/>
        </w:rPr>
        <w:t>67</w:t>
      </w:r>
      <w:r w:rsidRPr="00F126CD">
        <w:rPr>
          <w:rFonts w:cs="Times New Roman"/>
          <w:lang w:val="en-US"/>
        </w:rPr>
        <w:t>%, which gradually moves the rates of return of each class towards the cost of service.</w:t>
      </w:r>
      <w:r>
        <w:rPr>
          <w:rStyle w:val="FootnoteReference"/>
          <w:rFonts w:cs="Times New Roman"/>
          <w:lang w:val="en-US"/>
        </w:rPr>
        <w:footnoteReference w:id="180"/>
      </w:r>
      <w:r w:rsidRPr="00F126CD">
        <w:rPr>
          <w:rFonts w:cs="Times New Roman"/>
          <w:lang w:val="en-US"/>
        </w:rPr>
        <w:t xml:space="preserve"> The </w:t>
      </w:r>
      <w:r w:rsidRPr="00F126CD" w:rsidR="005858B2">
        <w:rPr>
          <w:rFonts w:cs="Times New Roman"/>
          <w:lang w:val="en-US"/>
        </w:rPr>
        <w:t>distribution revenue increase</w:t>
      </w:r>
      <w:r w:rsidRPr="00F126CD">
        <w:rPr>
          <w:rFonts w:cs="Times New Roman"/>
          <w:lang w:val="en-US"/>
        </w:rPr>
        <w:t xml:space="preserve"> to the Residential Class under that proposal </w:t>
      </w:r>
      <w:r w:rsidRPr="00F126CD" w:rsidR="005858B2">
        <w:rPr>
          <w:rFonts w:cs="Times New Roman"/>
          <w:lang w:val="en-US"/>
        </w:rPr>
        <w:t>is</w:t>
      </w:r>
      <w:r w:rsidRPr="00F126CD">
        <w:rPr>
          <w:rFonts w:cs="Times New Roman"/>
          <w:lang w:val="en-US"/>
        </w:rPr>
        <w:t xml:space="preserve"> $</w:t>
      </w:r>
      <w:r w:rsidRPr="00F126CD" w:rsidR="005858B2">
        <w:rPr>
          <w:rFonts w:cs="Times New Roman"/>
          <w:lang w:val="en-US"/>
        </w:rPr>
        <w:t>18,575,793</w:t>
      </w:r>
      <w:r w:rsidRPr="00F126CD">
        <w:rPr>
          <w:rFonts w:cs="Times New Roman"/>
          <w:lang w:val="en-US"/>
        </w:rPr>
        <w:t xml:space="preserve"> million</w:t>
      </w:r>
      <w:r w:rsidRPr="00F126CD" w:rsidR="005858B2">
        <w:rPr>
          <w:rFonts w:cs="Times New Roman"/>
          <w:lang w:val="en-US"/>
        </w:rPr>
        <w:t>, out of a total increase of approximately $31.7 million</w:t>
      </w:r>
      <w:r w:rsidRPr="00F126CD">
        <w:rPr>
          <w:rFonts w:cs="Times New Roman"/>
          <w:lang w:val="en-US"/>
        </w:rPr>
        <w:t>.</w:t>
      </w:r>
      <w:r>
        <w:rPr>
          <w:rStyle w:val="FootnoteReference"/>
          <w:rFonts w:cs="Times New Roman"/>
          <w:lang w:val="en-US"/>
        </w:rPr>
        <w:footnoteReference w:id="181"/>
      </w:r>
      <w:r w:rsidRPr="00F126CD">
        <w:rPr>
          <w:rFonts w:cs="Times New Roman"/>
          <w:lang w:val="en-US"/>
        </w:rPr>
        <w:t xml:space="preserve"> This increase would gradually move the Residential Class closer to the cost of service while adhering to the public policy of gradualism.</w:t>
      </w:r>
      <w:r>
        <w:rPr>
          <w:rStyle w:val="FootnoteReference"/>
          <w:rFonts w:cs="Times New Roman"/>
          <w:lang w:val="en-US"/>
        </w:rPr>
        <w:footnoteReference w:id="182"/>
      </w:r>
      <w:r w:rsidRPr="00F126CD">
        <w:rPr>
          <w:rFonts w:cs="Times New Roman"/>
          <w:lang w:val="en-US"/>
        </w:rPr>
        <w:tab/>
      </w:r>
    </w:p>
    <w:p w:rsidR="0028517E" w:rsidRPr="00F126CD" w:rsidP="00125723" w14:paraId="72848020" w14:textId="5A081745">
      <w:pPr>
        <w:ind w:left="1440" w:hanging="720"/>
        <w:rPr>
          <w:i/>
          <w:iCs/>
        </w:rPr>
      </w:pPr>
      <w:bookmarkStart w:id="41" w:name="_Toc137825457"/>
      <w:r>
        <w:rPr>
          <w:rStyle w:val="Heading3Char"/>
        </w:rPr>
        <w:t>4</w:t>
      </w:r>
      <w:r w:rsidRPr="006116F9" w:rsidR="006D64EC">
        <w:rPr>
          <w:rStyle w:val="Heading3Char"/>
        </w:rPr>
        <w:t xml:space="preserve">. </w:t>
      </w:r>
      <w:r w:rsidRPr="006116F9" w:rsidR="006D64EC">
        <w:rPr>
          <w:rStyle w:val="Heading3Char"/>
        </w:rPr>
        <w:tab/>
      </w:r>
      <w:r w:rsidRPr="006116F9">
        <w:rPr>
          <w:rStyle w:val="Heading3Char"/>
        </w:rPr>
        <w:t>The fixed delivery charge of $43.29 for residential consumers ($39.29 for low-income</w:t>
      </w:r>
      <w:r w:rsidRPr="006116F9" w:rsidR="00C40ECE">
        <w:rPr>
          <w:rStyle w:val="Heading3Char"/>
        </w:rPr>
        <w:t xml:space="preserve"> consumers</w:t>
      </w:r>
      <w:r w:rsidRPr="006116F9">
        <w:rPr>
          <w:rStyle w:val="Heading3Char"/>
        </w:rPr>
        <w:t>) violates the important regulatory principle of cost causation.</w:t>
      </w:r>
      <w:bookmarkEnd w:id="41"/>
      <w:r w:rsidR="000C24C4">
        <w:rPr>
          <w:i/>
          <w:iCs/>
        </w:rPr>
        <w:t xml:space="preserve"> </w:t>
      </w:r>
    </w:p>
    <w:p w:rsidR="0028517E" w:rsidRPr="00F126CD" w:rsidP="0028517E" w14:paraId="755830FE" w14:textId="77777777">
      <w:pPr>
        <w:rPr>
          <w:i/>
          <w:iCs/>
        </w:rPr>
      </w:pPr>
    </w:p>
    <w:p w:rsidR="0028517E" w:rsidRPr="00F126CD" w:rsidP="0028517E" w14:paraId="1AB05B9F" w14:textId="0ECBF6D4">
      <w:pPr>
        <w:spacing w:line="480" w:lineRule="auto"/>
        <w:ind w:firstLine="720"/>
      </w:pPr>
      <w:r w:rsidRPr="00F126CD">
        <w:t xml:space="preserve">The important regulatory principle of “cost causation </w:t>
      </w:r>
      <w:r w:rsidRPr="00F126CD">
        <w:rPr>
          <w:color w:val="000000" w:themeColor="text1"/>
        </w:rPr>
        <w:t>dictates that assets used individually should be </w:t>
      </w:r>
      <w:r w:rsidRPr="00F126CD">
        <w:rPr>
          <w:color w:val="000000" w:themeColor="text1"/>
          <w:bdr w:val="none" w:sz="0" w:space="0" w:color="auto" w:frame="1"/>
        </w:rPr>
        <w:t>charged individually</w:t>
      </w:r>
      <w:r w:rsidRPr="00F126CD">
        <w:rPr>
          <w:color w:val="000000" w:themeColor="text1"/>
        </w:rPr>
        <w:t>.”</w:t>
      </w:r>
      <w:r>
        <w:rPr>
          <w:rStyle w:val="FootnoteReference"/>
          <w:color w:val="000000" w:themeColor="text1"/>
        </w:rPr>
        <w:footnoteReference w:id="183"/>
      </w:r>
      <w:r w:rsidRPr="00F126CD">
        <w:rPr>
          <w:color w:val="000000" w:themeColor="text1"/>
        </w:rPr>
        <w:t xml:space="preserve"> </w:t>
      </w:r>
      <w:r w:rsidRPr="00F126CD">
        <w:t>The Settlement adopts a $43.29 fixed delivery charge for residential consumers and $39.29 for low-income consumers.</w:t>
      </w:r>
      <w:r>
        <w:rPr>
          <w:rStyle w:val="FootnoteReference"/>
        </w:rPr>
        <w:footnoteReference w:id="184"/>
      </w:r>
      <w:r w:rsidRPr="00F126CD">
        <w:t xml:space="preserve"> Consumers pay this cost regardless of how much natural gas they use. That violates the important regulatory principle of cost causation. </w:t>
      </w:r>
    </w:p>
    <w:p w:rsidR="0028517E" w:rsidRPr="00F126CD" w:rsidP="0028517E" w14:paraId="7AB79855" w14:textId="7D64E87F">
      <w:pPr>
        <w:spacing w:line="480" w:lineRule="auto"/>
        <w:ind w:firstLine="720"/>
      </w:pPr>
      <w:r w:rsidRPr="00F126CD">
        <w:t>On page 34 of the Staff Report</w:t>
      </w:r>
      <w:r w:rsidRPr="00F126CD" w:rsidR="00DB0BFB">
        <w:t>,</w:t>
      </w:r>
      <w:r>
        <w:rPr>
          <w:rStyle w:val="FootnoteReference"/>
        </w:rPr>
        <w:footnoteReference w:id="185"/>
      </w:r>
      <w:r w:rsidRPr="00F126CD">
        <w:t xml:space="preserve"> Staff finds</w:t>
      </w:r>
      <w:r w:rsidRPr="00F126CD">
        <w:rPr>
          <w:b/>
          <w:bCs/>
        </w:rPr>
        <w:t xml:space="preserve"> “</w:t>
      </w:r>
      <w:r w:rsidRPr="00F126CD">
        <w:t xml:space="preserve">[b]ased on this review, Staff finds that the cost to serve consumers within each of the current GS/FT -Small and GS/FT- Large rate classes are not the same. The rate structure should be analyzed and general service consumers should be separated into rate classes with similar cost causation characteristics to achieve fair and equitable rates under the Modified Straight Fixed Variable (MSFV) rate design. Consumers within a non-homogenous rate class should not be billed such that consumers who place a small cost on the system may be subsidizing the larger cost causers within their own rate class.” </w:t>
      </w:r>
    </w:p>
    <w:p w:rsidR="000478C0" w:rsidP="000478C0" w14:paraId="649F25FE" w14:textId="77777777">
      <w:pPr>
        <w:spacing w:line="480" w:lineRule="auto"/>
      </w:pPr>
      <w:r w:rsidRPr="00F126CD">
        <w:tab/>
        <w:t>This is true of residential consumers as well. Residential consumers are not homogenous, and those residential consumers who place a small cost on the system may be subsidizing the larger cost causers within their own class.</w:t>
      </w:r>
      <w:r>
        <w:rPr>
          <w:rStyle w:val="FootnoteReference"/>
        </w:rPr>
        <w:footnoteReference w:id="186"/>
      </w:r>
      <w:r w:rsidRPr="00F126CD">
        <w:t xml:space="preserve"> </w:t>
      </w:r>
      <w:r w:rsidRPr="00F126CD" w:rsidR="00DB0BFB">
        <w:t>As Mr. Fortney testified,</w:t>
      </w:r>
      <w:r w:rsidRPr="00F126CD">
        <w:t xml:space="preserve"> costs are allocated to the fixed charge, </w:t>
      </w:r>
      <w:r w:rsidRPr="00F126CD" w:rsidR="00C40ECE">
        <w:t>“</w:t>
      </w:r>
      <w:r w:rsidRPr="00F126CD">
        <w:t>the signal is that all residential consumers require the same amount of system capacity, regardless of the size of the residence (or, the size of the connected load).</w:t>
      </w:r>
      <w:r w:rsidRPr="00F126CD" w:rsidR="00C40ECE">
        <w:t xml:space="preserve"> </w:t>
      </w:r>
      <w:r w:rsidRPr="00F126CD">
        <w:t>As the PUCO Staff has recognized for the non-residential classes, and should have recognized for the Residential classes, this is simply not true.</w:t>
      </w:r>
      <w:r w:rsidRPr="00F126CD" w:rsidR="00C40ECE">
        <w:t>”</w:t>
      </w:r>
      <w:r>
        <w:rPr>
          <w:rStyle w:val="FootnoteReference"/>
        </w:rPr>
        <w:footnoteReference w:id="187"/>
      </w:r>
      <w:r w:rsidRPr="00F126CD">
        <w:t xml:space="preserve"> </w:t>
      </w:r>
    </w:p>
    <w:p w:rsidR="006116F9" w:rsidP="00F6067A" w14:paraId="21CDF6D4" w14:textId="77C7ED73">
      <w:pPr>
        <w:spacing w:line="480" w:lineRule="auto"/>
      </w:pPr>
      <w:r>
        <w:t xml:space="preserve">Further, the fixed cost in the </w:t>
      </w:r>
      <w:r w:rsidR="00A66338">
        <w:t>S</w:t>
      </w:r>
      <w:r>
        <w:t>ettlement violates the important regulatory principle of cost causation because “r</w:t>
      </w:r>
      <w:r w:rsidRPr="00F126CD" w:rsidR="0028517E">
        <w:t xml:space="preserve">esidential consumers who use </w:t>
      </w:r>
      <w:r w:rsidRPr="000478C0" w:rsidR="0028517E">
        <w:rPr>
          <w:i/>
          <w:iCs/>
        </w:rPr>
        <w:t>less</w:t>
      </w:r>
      <w:r w:rsidRPr="00F126CD" w:rsidR="0028517E">
        <w:t xml:space="preserve"> energy will experience the </w:t>
      </w:r>
      <w:r w:rsidRPr="000478C0" w:rsidR="0028517E">
        <w:rPr>
          <w:i/>
          <w:iCs/>
        </w:rPr>
        <w:t>greatest</w:t>
      </w:r>
      <w:r w:rsidRPr="00F126CD" w:rsidR="0028517E">
        <w:t xml:space="preserve"> percentage jumps in their gas bills if the fixed charge is raised</w:t>
      </w:r>
      <w:r>
        <w:t>.”</w:t>
      </w:r>
      <w:r>
        <w:rPr>
          <w:rStyle w:val="FootnoteReference"/>
        </w:rPr>
        <w:footnoteReference w:id="188"/>
      </w:r>
      <w:r w:rsidR="000C24C4">
        <w:t xml:space="preserve"> </w:t>
      </w:r>
      <w:r w:rsidRPr="00F126CD" w:rsidR="0028517E">
        <w:t xml:space="preserve">For this reason, the PUCO should reject the fixed delivery charge proposal for Residential consumers in the Settlement. </w:t>
      </w:r>
      <w:r w:rsidRPr="00F126CD" w:rsidR="00C40ECE">
        <w:t>As Mr. Fortney recommended, any</w:t>
      </w:r>
      <w:r w:rsidRPr="00F126CD" w:rsidR="0028517E">
        <w:t xml:space="preserve"> increase to the fixed delivery charge </w:t>
      </w:r>
      <w:r w:rsidRPr="00F126CD" w:rsidR="00C40ECE">
        <w:t xml:space="preserve">should </w:t>
      </w:r>
      <w:r w:rsidRPr="00F126CD" w:rsidR="0028517E">
        <w:t>be no more than the overall increase to the Residential classes’ base distribution revenues (i.e., if the increase to the Residential classes is 9.5%, then the fixed delivery charge increase should be no more than $31.26 * 9.5%, or $2.97).</w:t>
      </w:r>
      <w:r>
        <w:rPr>
          <w:rStyle w:val="FootnoteReference"/>
        </w:rPr>
        <w:footnoteReference w:id="189"/>
      </w:r>
      <w:r w:rsidRPr="00F126CD" w:rsidR="0028517E">
        <w:t xml:space="preserve"> The fixed delivery charge should be $34.23.</w:t>
      </w:r>
      <w:r>
        <w:rPr>
          <w:rStyle w:val="FootnoteReference"/>
        </w:rPr>
        <w:footnoteReference w:id="190"/>
      </w:r>
      <w:r w:rsidRPr="00F126CD" w:rsidR="0028517E">
        <w:t xml:space="preserve"> Any remaining revenue requirement should be recovered through a volumetric charge.</w:t>
      </w:r>
      <w:bookmarkStart w:id="42" w:name="_Toc2936405"/>
      <w:bookmarkStart w:id="43" w:name="_Toc102143397"/>
      <w:bookmarkStart w:id="44" w:name="_Toc102143606"/>
      <w:bookmarkStart w:id="45" w:name="_Toc106717647"/>
      <w:r w:rsidR="003F3022">
        <w:t xml:space="preserve"> Because this settlement includes a significant fixed charge that violates the important regulatory principle of cost causation, the PUCO should reject it.</w:t>
      </w:r>
    </w:p>
    <w:p w:rsidR="00C945E6" w:rsidP="00125723" w14:paraId="121069AC" w14:textId="6DC16206">
      <w:pPr>
        <w:ind w:left="1440" w:hanging="720"/>
      </w:pPr>
      <w:bookmarkStart w:id="46" w:name="_Toc137825458"/>
      <w:r>
        <w:rPr>
          <w:rStyle w:val="Heading3Char"/>
        </w:rPr>
        <w:t>5.</w:t>
      </w:r>
      <w:r w:rsidRPr="006116F9">
        <w:rPr>
          <w:rStyle w:val="Heading3Char"/>
        </w:rPr>
        <w:tab/>
        <w:t>The Settlement includes financial performance incentives that violate</w:t>
      </w:r>
      <w:r w:rsidR="00B42C9B">
        <w:rPr>
          <w:rStyle w:val="Heading3Char"/>
        </w:rPr>
        <w:t xml:space="preserve"> PUCO precedent and</w:t>
      </w:r>
      <w:r w:rsidRPr="006116F9">
        <w:rPr>
          <w:rStyle w:val="Heading3Char"/>
        </w:rPr>
        <w:t xml:space="preserve"> the important regulatory principle and practice of cost causation.</w:t>
      </w:r>
      <w:bookmarkEnd w:id="46"/>
      <w:r>
        <w:t xml:space="preserve"> </w:t>
      </w:r>
    </w:p>
    <w:p w:rsidR="00C945E6" w:rsidP="00C945E6" w14:paraId="0B07F4E3" w14:textId="77777777">
      <w:pPr>
        <w:ind w:left="2160" w:hanging="720"/>
      </w:pPr>
    </w:p>
    <w:p w:rsidR="00C945E6" w:rsidRPr="00F126CD" w:rsidP="00C945E6" w14:paraId="1525137B" w14:textId="2C13C655">
      <w:pPr>
        <w:tabs>
          <w:tab w:val="left" w:pos="720"/>
          <w:tab w:val="left" w:pos="1440"/>
          <w:tab w:val="left" w:leader="dot" w:pos="8640"/>
        </w:tabs>
        <w:spacing w:line="480" w:lineRule="auto"/>
      </w:pPr>
      <w:r>
        <w:rPr>
          <w:b/>
          <w:bCs/>
        </w:rPr>
        <w:tab/>
      </w:r>
      <w:r>
        <w:t xml:space="preserve">Financial performance incentives included in the </w:t>
      </w:r>
      <w:r w:rsidR="00324EC3">
        <w:t xml:space="preserve">settlement </w:t>
      </w:r>
      <w:r>
        <w:t xml:space="preserve">also violate </w:t>
      </w:r>
      <w:r w:rsidR="00BE0774">
        <w:t xml:space="preserve">PUCO precedent and </w:t>
      </w:r>
      <w:r>
        <w:t xml:space="preserve">the important regulatory principle and practice of cost causation. </w:t>
      </w:r>
      <w:r w:rsidR="00BE0774">
        <w:t>The PUCO has disallowed Duke’s attempts to charge consumers for utility employee incentive pay.</w:t>
      </w:r>
      <w:r>
        <w:rPr>
          <w:rStyle w:val="FootnoteReference"/>
        </w:rPr>
        <w:footnoteReference w:id="191"/>
      </w:r>
      <w:r w:rsidR="00BE0774">
        <w:t xml:space="preserve"> </w:t>
      </w:r>
      <w:r>
        <w:t xml:space="preserve">OCC witness Kerry Adkins described </w:t>
      </w:r>
      <w:r w:rsidR="00EC345A">
        <w:t>this principle as</w:t>
      </w:r>
      <w:r>
        <w:t xml:space="preserve"> meaning “utility costs should be charged to those who benefit from the services that led to the utility costs.”</w:t>
      </w:r>
      <w:r>
        <w:rPr>
          <w:rStyle w:val="FootnoteReference"/>
        </w:rPr>
        <w:footnoteReference w:id="192"/>
      </w:r>
      <w:r>
        <w:t xml:space="preserve"> </w:t>
      </w:r>
      <w:r w:rsidR="00EC345A">
        <w:t xml:space="preserve">Again, </w:t>
      </w:r>
      <w:r>
        <w:t xml:space="preserve">Duke and Duke’s shareholders, not consumers, are the beneficiary if Duke achieves financial targets. </w:t>
      </w:r>
      <w:r w:rsidR="00EC345A">
        <w:t xml:space="preserve">Since consumers do not benefit from these incentives, charging consumers for them violates cost causation principles. </w:t>
      </w:r>
      <w:r>
        <w:t>The PUCO should eliminate financial performance incentives from the Settlement.</w:t>
      </w:r>
      <w:r w:rsidR="000C24C4">
        <w:t xml:space="preserve"> </w:t>
      </w:r>
    </w:p>
    <w:p w:rsidR="00C026E7" w:rsidRPr="00F126CD" w:rsidP="00C026E7" w14:paraId="7A366459" w14:textId="77777777">
      <w:pPr>
        <w:ind w:left="1440"/>
        <w:rPr>
          <w:b/>
          <w:bCs/>
        </w:rPr>
      </w:pPr>
    </w:p>
    <w:p w:rsidR="00015657" w:rsidRPr="00F126CD" w:rsidP="001C38CB" w14:paraId="4B1E38E5" w14:textId="57A874D5">
      <w:pPr>
        <w:pStyle w:val="Heading1"/>
      </w:pPr>
      <w:bookmarkStart w:id="47" w:name="_Toc137825459"/>
      <w:r w:rsidRPr="00F126CD">
        <w:t>I</w:t>
      </w:r>
      <w:r w:rsidR="003E42C3">
        <w:t>II</w:t>
      </w:r>
      <w:r w:rsidRPr="00F126CD" w:rsidR="001378A5">
        <w:t>.</w:t>
      </w:r>
      <w:r w:rsidRPr="00F126CD" w:rsidR="001378A5">
        <w:tab/>
        <w:t>CONCLUSION</w:t>
      </w:r>
      <w:bookmarkEnd w:id="42"/>
      <w:bookmarkEnd w:id="43"/>
      <w:bookmarkEnd w:id="44"/>
      <w:bookmarkEnd w:id="45"/>
      <w:bookmarkEnd w:id="47"/>
    </w:p>
    <w:p w:rsidR="00015657" w:rsidRPr="00F126CD" w:rsidP="00015657" w14:paraId="61798C9F" w14:textId="2D380A28">
      <w:pPr>
        <w:spacing w:line="480" w:lineRule="auto"/>
        <w:ind w:right="254" w:firstLine="720"/>
      </w:pPr>
      <w:r w:rsidRPr="00F126CD">
        <w:t xml:space="preserve">For the reasons explained above, the settlement filed by Duke, the PUCO Staff, and others fails the PUCO’s three-part test for evaluating settlements. </w:t>
      </w:r>
      <w:r w:rsidRPr="00F126CD" w:rsidR="001378A5">
        <w:t>To protect consumers,</w:t>
      </w:r>
      <w:r w:rsidRPr="00F126CD">
        <w:t xml:space="preserve"> the PUCO should reject the </w:t>
      </w:r>
      <w:r w:rsidR="00A66338">
        <w:t>S</w:t>
      </w:r>
      <w:r w:rsidRPr="00F126CD">
        <w:t xml:space="preserve">ettlement and adopt OCC’s recommendations </w:t>
      </w:r>
      <w:r w:rsidRPr="00F126CD" w:rsidR="00FA2FDF">
        <w:t>set forth in its witnesses’ testimony</w:t>
      </w:r>
      <w:r w:rsidRPr="00F126CD" w:rsidR="001378A5">
        <w:t>.</w:t>
      </w:r>
    </w:p>
    <w:p w:rsidR="00135CA8" w:rsidRPr="00F126CD" w:rsidP="00CF520E" w14:paraId="12E31194" w14:textId="38A9B6AC">
      <w:pPr>
        <w:ind w:left="3600" w:firstLine="720"/>
      </w:pPr>
      <w:r w:rsidRPr="00F126CD">
        <w:t>Respectfully submitted,</w:t>
      </w:r>
    </w:p>
    <w:p w:rsidR="00135CA8" w:rsidRPr="00F126CD" w:rsidP="00135CA8" w14:paraId="2C2624E0" w14:textId="77777777">
      <w:pPr>
        <w:tabs>
          <w:tab w:val="left" w:pos="4500"/>
        </w:tabs>
        <w:ind w:left="3600" w:firstLine="720"/>
      </w:pPr>
    </w:p>
    <w:p w:rsidR="00135CA8" w:rsidRPr="00F126CD" w:rsidP="00135CA8" w14:paraId="4E616224" w14:textId="77777777">
      <w:pPr>
        <w:tabs>
          <w:tab w:val="right" w:pos="8640"/>
        </w:tabs>
        <w:ind w:left="4320"/>
      </w:pPr>
      <w:r w:rsidRPr="00F126CD">
        <w:t>Bruce Weston (0016973)</w:t>
      </w:r>
    </w:p>
    <w:p w:rsidR="00135CA8" w:rsidRPr="00F126CD" w:rsidP="00135CA8" w14:paraId="08FEE4D6" w14:textId="77777777">
      <w:pPr>
        <w:ind w:left="4320"/>
        <w:contextualSpacing/>
        <w:rPr>
          <w:rFonts w:eastAsia="Calibri"/>
        </w:rPr>
      </w:pPr>
      <w:r w:rsidRPr="00F126CD">
        <w:rPr>
          <w:rFonts w:eastAsia="Calibri"/>
        </w:rPr>
        <w:t>Ohio Consumers’ Counsel</w:t>
      </w:r>
    </w:p>
    <w:p w:rsidR="00135CA8" w:rsidRPr="00F126CD" w:rsidP="00135CA8" w14:paraId="359D8C7B" w14:textId="77777777">
      <w:pPr>
        <w:ind w:left="4320"/>
        <w:contextualSpacing/>
        <w:rPr>
          <w:rFonts w:eastAsia="Calibri"/>
        </w:rPr>
      </w:pPr>
      <w:r w:rsidRPr="00F126CD">
        <w:rPr>
          <w:rFonts w:eastAsia="Calibri"/>
        </w:rPr>
        <w:tab/>
      </w:r>
    </w:p>
    <w:p w:rsidR="00135CA8" w:rsidRPr="00F126CD" w:rsidP="00135CA8" w14:paraId="782320FF" w14:textId="77777777">
      <w:pPr>
        <w:tabs>
          <w:tab w:val="left" w:pos="4320"/>
        </w:tabs>
        <w:ind w:left="4320"/>
        <w:rPr>
          <w:i/>
          <w:iCs/>
          <w:color w:val="000000"/>
          <w:u w:val="single"/>
        </w:rPr>
      </w:pPr>
      <w:r w:rsidRPr="00F126CD">
        <w:rPr>
          <w:i/>
          <w:iCs/>
          <w:color w:val="000000"/>
          <w:u w:val="single"/>
        </w:rPr>
        <w:t>/s/ William J. Michael</w:t>
      </w:r>
    </w:p>
    <w:p w:rsidR="00135CA8" w:rsidRPr="00F126CD" w:rsidP="00135CA8" w14:paraId="76B5E06D" w14:textId="77777777">
      <w:pPr>
        <w:tabs>
          <w:tab w:val="left" w:pos="4320"/>
        </w:tabs>
        <w:ind w:left="4320"/>
        <w:rPr>
          <w:color w:val="000000"/>
        </w:rPr>
      </w:pPr>
      <w:r w:rsidRPr="00F126CD">
        <w:rPr>
          <w:color w:val="000000"/>
        </w:rPr>
        <w:t>William J. Michael (0070921)</w:t>
      </w:r>
    </w:p>
    <w:p w:rsidR="00135CA8" w:rsidRPr="00F126CD" w:rsidP="00135CA8" w14:paraId="3A6FB74D" w14:textId="77777777">
      <w:pPr>
        <w:ind w:left="4320"/>
        <w:rPr>
          <w:color w:val="000000"/>
        </w:rPr>
      </w:pPr>
      <w:r w:rsidRPr="00F126CD">
        <w:rPr>
          <w:color w:val="000000"/>
        </w:rPr>
        <w:t xml:space="preserve">Counsel of Record </w:t>
      </w:r>
    </w:p>
    <w:p w:rsidR="00135CA8" w:rsidRPr="00F126CD" w:rsidP="00135CA8" w14:paraId="6AD7C8A1" w14:textId="77777777">
      <w:pPr>
        <w:ind w:left="4320"/>
      </w:pPr>
      <w:r w:rsidRPr="00F126CD">
        <w:t>John Finnigan (0018689)</w:t>
      </w:r>
    </w:p>
    <w:p w:rsidR="00135CA8" w:rsidRPr="00F126CD" w:rsidP="00135CA8" w14:paraId="7338C983" w14:textId="77777777">
      <w:pPr>
        <w:ind w:left="4320"/>
        <w:rPr>
          <w:color w:val="000000"/>
        </w:rPr>
      </w:pPr>
      <w:r w:rsidRPr="00F126CD">
        <w:rPr>
          <w:color w:val="000000"/>
        </w:rPr>
        <w:t>Connor D. Semple (0101102)</w:t>
      </w:r>
    </w:p>
    <w:p w:rsidR="00135CA8" w:rsidRPr="00F126CD" w:rsidP="00135CA8" w14:paraId="64979EB3" w14:textId="77777777">
      <w:pPr>
        <w:ind w:left="4320"/>
        <w:rPr>
          <w:color w:val="000000"/>
        </w:rPr>
      </w:pPr>
      <w:r w:rsidRPr="00F126CD">
        <w:rPr>
          <w:color w:val="000000"/>
        </w:rPr>
        <w:t>Assistant Consumers’ Counsel</w:t>
      </w:r>
    </w:p>
    <w:p w:rsidR="00135CA8" w:rsidRPr="00F126CD" w:rsidP="00135CA8" w14:paraId="27B01976" w14:textId="77777777">
      <w:pPr>
        <w:ind w:left="4320"/>
        <w:rPr>
          <w:b/>
          <w:color w:val="000000"/>
        </w:rPr>
      </w:pPr>
    </w:p>
    <w:p w:rsidR="00135CA8" w:rsidRPr="00F126CD" w:rsidP="00135CA8" w14:paraId="29CD94F1" w14:textId="77777777">
      <w:pPr>
        <w:ind w:left="4320"/>
        <w:rPr>
          <w:b/>
          <w:color w:val="000000"/>
        </w:rPr>
      </w:pPr>
      <w:r w:rsidRPr="00F126CD">
        <w:rPr>
          <w:b/>
          <w:color w:val="000000"/>
        </w:rPr>
        <w:t>Office of the Ohio Consumers’ Counsel</w:t>
      </w:r>
    </w:p>
    <w:p w:rsidR="00135CA8" w:rsidRPr="00F126CD" w:rsidP="00135CA8" w14:paraId="4ED7A98E" w14:textId="77777777">
      <w:pPr>
        <w:ind w:left="4320"/>
        <w:rPr>
          <w:color w:val="000000"/>
        </w:rPr>
      </w:pPr>
      <w:r w:rsidRPr="00F126CD">
        <w:rPr>
          <w:color w:val="000000"/>
        </w:rPr>
        <w:t>65 East State Street, Suite 700</w:t>
      </w:r>
    </w:p>
    <w:p w:rsidR="00135CA8" w:rsidRPr="00F126CD" w:rsidP="00135CA8" w14:paraId="42909BC8" w14:textId="77777777">
      <w:pPr>
        <w:ind w:left="4320"/>
        <w:rPr>
          <w:color w:val="000000"/>
        </w:rPr>
      </w:pPr>
      <w:r w:rsidRPr="00F126CD">
        <w:rPr>
          <w:color w:val="000000"/>
        </w:rPr>
        <w:t>Columbus, Ohio 43215</w:t>
      </w:r>
      <w:r w:rsidRPr="00F126CD">
        <w:rPr>
          <w:color w:val="000000"/>
        </w:rPr>
        <w:tab/>
      </w:r>
    </w:p>
    <w:p w:rsidR="00135CA8" w:rsidRPr="00F126CD" w:rsidP="00135CA8" w14:paraId="40B51069" w14:textId="77777777">
      <w:pPr>
        <w:ind w:left="4320"/>
        <w:rPr>
          <w:color w:val="000000"/>
        </w:rPr>
      </w:pPr>
      <w:r w:rsidRPr="00F126CD">
        <w:rPr>
          <w:color w:val="000000"/>
        </w:rPr>
        <w:t>Telephone [Michael]: (614) 466-1291</w:t>
      </w:r>
    </w:p>
    <w:p w:rsidR="00135CA8" w:rsidRPr="00F126CD" w:rsidP="00135CA8" w14:paraId="7D43744B" w14:textId="6AE9BE65">
      <w:pPr>
        <w:ind w:left="3600" w:firstLine="720"/>
      </w:pPr>
      <w:r w:rsidRPr="00F126CD">
        <w:t xml:space="preserve">Telephone: </w:t>
      </w:r>
      <w:r w:rsidRPr="00F126CD" w:rsidR="0011317F">
        <w:t>[</w:t>
      </w:r>
      <w:r w:rsidRPr="00F126CD">
        <w:t>Finnigan</w:t>
      </w:r>
      <w:r w:rsidRPr="00F126CD" w:rsidR="0011317F">
        <w:t>]:</w:t>
      </w:r>
      <w:r w:rsidRPr="00F126CD">
        <w:t xml:space="preserve"> (614) 466-9585</w:t>
      </w:r>
    </w:p>
    <w:p w:rsidR="00135CA8" w:rsidRPr="00F126CD" w:rsidP="00135CA8" w14:paraId="1FD14D85" w14:textId="77777777">
      <w:pPr>
        <w:ind w:left="3600" w:firstLine="720"/>
        <w:rPr>
          <w:color w:val="000000"/>
        </w:rPr>
      </w:pPr>
      <w:r w:rsidRPr="00F126CD">
        <w:rPr>
          <w:color w:val="000000"/>
        </w:rPr>
        <w:t>Telephone: [Semple]: (614) 266-9565</w:t>
      </w:r>
    </w:p>
    <w:p w:rsidR="00135CA8" w:rsidRPr="00F126CD" w:rsidP="00135CA8" w14:paraId="3B97ACED" w14:textId="77777777">
      <w:pPr>
        <w:ind w:left="4320"/>
        <w:rPr>
          <w:rFonts w:eastAsia="Courier New"/>
          <w:color w:val="FF0000"/>
        </w:rPr>
      </w:pPr>
      <w:hyperlink r:id="rId6" w:history="1">
        <w:r w:rsidRPr="00F126CD" w:rsidR="00502E6D">
          <w:rPr>
            <w:rFonts w:eastAsia="Courier New"/>
            <w:color w:val="0000FF"/>
            <w:u w:val="single"/>
          </w:rPr>
          <w:t>william.michael@occ.ohio.gov</w:t>
        </w:r>
      </w:hyperlink>
    </w:p>
    <w:p w:rsidR="00135CA8" w:rsidRPr="00F126CD" w:rsidP="00135CA8" w14:paraId="44D1D01F" w14:textId="77777777">
      <w:pPr>
        <w:ind w:left="4320"/>
        <w:rPr>
          <w:rFonts w:eastAsia="Courier New"/>
          <w:color w:val="FF0000"/>
        </w:rPr>
      </w:pPr>
      <w:hyperlink r:id="rId7" w:history="1">
        <w:r w:rsidRPr="00F126CD" w:rsidR="00502E6D">
          <w:rPr>
            <w:rStyle w:val="Hyperlink"/>
            <w:rFonts w:eastAsia="Courier New"/>
          </w:rPr>
          <w:t>john.finnigan@occ.ohio.gov</w:t>
        </w:r>
      </w:hyperlink>
    </w:p>
    <w:p w:rsidR="00135CA8" w:rsidRPr="00F126CD" w:rsidP="00135CA8" w14:paraId="402A0ECD" w14:textId="77777777">
      <w:pPr>
        <w:ind w:left="4320"/>
        <w:rPr>
          <w:rFonts w:eastAsia="Courier New"/>
          <w:color w:val="000000"/>
        </w:rPr>
      </w:pPr>
      <w:hyperlink r:id="rId8" w:history="1">
        <w:r w:rsidRPr="00F126CD" w:rsidR="00502E6D">
          <w:rPr>
            <w:rFonts w:eastAsia="Courier New"/>
            <w:color w:val="0000FF"/>
            <w:u w:val="single"/>
          </w:rPr>
          <w:t>connor.semple@occ.ohio.gov</w:t>
        </w:r>
      </w:hyperlink>
    </w:p>
    <w:p w:rsidR="00135CA8" w:rsidRPr="00F126CD" w:rsidP="00135CA8" w14:paraId="2886AAA3" w14:textId="77777777">
      <w:pPr>
        <w:ind w:left="4320"/>
      </w:pPr>
      <w:r w:rsidRPr="00F126CD">
        <w:t>(willing to accept service by e-mail)</w:t>
      </w:r>
    </w:p>
    <w:p w:rsidR="00135CA8" w:rsidRPr="00F126CD" w:rsidP="00135CA8" w14:paraId="514CF2B9" w14:textId="77777777">
      <w:pPr>
        <w:ind w:left="3780" w:hanging="3780"/>
      </w:pPr>
    </w:p>
    <w:p w:rsidR="00135CA8" w:rsidRPr="00F126CD" w:rsidP="00135CA8" w14:paraId="1008964D" w14:textId="77777777">
      <w:pPr>
        <w:ind w:left="3780" w:hanging="3780"/>
      </w:pPr>
    </w:p>
    <w:p w:rsidR="00135CA8" w:rsidRPr="00F126CD" w:rsidP="00135CA8" w14:paraId="347ABB73" w14:textId="77777777">
      <w:pPr>
        <w:ind w:left="3780" w:hanging="3780"/>
      </w:pPr>
    </w:p>
    <w:p w:rsidR="007A481F" w:rsidRPr="00F126CD" w:rsidP="003E7B74" w14:paraId="3BC269DC" w14:textId="02B27299">
      <w:pPr>
        <w:autoSpaceDE w:val="0"/>
        <w:autoSpaceDN w:val="0"/>
        <w:adjustRightInd w:val="0"/>
        <w:ind w:left="3780"/>
        <w:rPr>
          <w:rFonts w:eastAsiaTheme="minorHAnsi"/>
          <w:lang w:bidi="ar-SA"/>
        </w:rPr>
      </w:pPr>
      <w:r w:rsidRPr="00F126CD">
        <w:rPr>
          <w:rFonts w:eastAsiaTheme="minorHAnsi"/>
          <w:lang w:bidi="ar-SA"/>
        </w:rPr>
        <w:br w:type="page"/>
      </w:r>
    </w:p>
    <w:p w:rsidR="00015657" w:rsidRPr="00F126CD" w:rsidP="007A481F" w14:paraId="2C63F530" w14:textId="77777777">
      <w:pPr>
        <w:autoSpaceDE w:val="0"/>
        <w:autoSpaceDN w:val="0"/>
        <w:adjustRightInd w:val="0"/>
        <w:jc w:val="center"/>
        <w:rPr>
          <w:b/>
          <w:u w:val="single"/>
        </w:rPr>
      </w:pPr>
      <w:r w:rsidRPr="00F126CD">
        <w:rPr>
          <w:b/>
          <w:u w:val="single"/>
        </w:rPr>
        <w:t>CERTIFICATE OF SERVICE</w:t>
      </w:r>
    </w:p>
    <w:p w:rsidR="00015657" w:rsidRPr="00F126CD" w:rsidP="00015657" w14:paraId="11C20B3B" w14:textId="77777777">
      <w:pPr>
        <w:jc w:val="center"/>
      </w:pPr>
    </w:p>
    <w:p w:rsidR="00015657" w:rsidRPr="00F126CD" w:rsidP="007A481F" w14:paraId="5C359346" w14:textId="3984C4A7">
      <w:pPr>
        <w:suppressAutoHyphens/>
        <w:spacing w:line="480" w:lineRule="auto"/>
        <w:ind w:firstLine="720"/>
      </w:pPr>
      <w:r w:rsidRPr="00F126CD">
        <w:t>It is hereby certified that a true copy of the foregoing</w:t>
      </w:r>
      <w:r w:rsidRPr="00F126CD" w:rsidR="00FA2FDF">
        <w:t xml:space="preserve"> Initial Brief</w:t>
      </w:r>
      <w:r w:rsidRPr="00F126CD" w:rsidR="0042638F">
        <w:t xml:space="preserve"> for Consumer Protection</w:t>
      </w:r>
      <w:r w:rsidRPr="00F126CD">
        <w:rPr>
          <w:iCs/>
        </w:rPr>
        <w:t xml:space="preserve"> </w:t>
      </w:r>
      <w:r w:rsidRPr="00F126CD">
        <w:t xml:space="preserve">was served by electronic transmission upon the parties below this </w:t>
      </w:r>
      <w:r w:rsidRPr="00F126CD" w:rsidR="00135CA8">
        <w:t>16</w:t>
      </w:r>
      <w:r w:rsidRPr="00F126CD" w:rsidR="00135CA8">
        <w:rPr>
          <w:vertAlign w:val="superscript"/>
        </w:rPr>
        <w:t>th</w:t>
      </w:r>
      <w:r w:rsidRPr="00F126CD" w:rsidR="00135CA8">
        <w:t xml:space="preserve"> day of June</w:t>
      </w:r>
      <w:r>
        <w:t>, 2023</w:t>
      </w:r>
      <w:r w:rsidRPr="00F126CD">
        <w:t>.</w:t>
      </w:r>
    </w:p>
    <w:p w:rsidR="00F36163" w:rsidRPr="00F126CD" w:rsidP="00015657" w14:paraId="0E5FD127" w14:textId="671744AC">
      <w:pPr>
        <w:pStyle w:val="EndnoteText"/>
        <w:widowControl/>
        <w:rPr>
          <w:rFonts w:ascii="Times New Roman" w:hAnsi="Times New Roman"/>
          <w:szCs w:val="24"/>
        </w:rPr>
      </w:pP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i/>
          <w:szCs w:val="24"/>
          <w:u w:val="single"/>
        </w:rPr>
        <w:t xml:space="preserve">/s/ </w:t>
      </w:r>
      <w:r w:rsidRPr="00F126CD" w:rsidR="00135CA8">
        <w:rPr>
          <w:rFonts w:ascii="Times New Roman" w:hAnsi="Times New Roman"/>
          <w:i/>
          <w:szCs w:val="24"/>
          <w:u w:val="single"/>
        </w:rPr>
        <w:t>William J. Michael</w:t>
      </w:r>
      <w:r w:rsidRPr="00F126CD" w:rsidR="00FA3E4B">
        <w:rPr>
          <w:rFonts w:ascii="Times New Roman" w:hAnsi="Times New Roman"/>
          <w:i/>
          <w:szCs w:val="24"/>
          <w:u w:val="single"/>
        </w:rPr>
        <w:tab/>
      </w:r>
      <w:r w:rsidRPr="00F126CD">
        <w:rPr>
          <w:rFonts w:ascii="Times New Roman" w:hAnsi="Times New Roman"/>
          <w:i/>
          <w:szCs w:val="24"/>
          <w:u w:val="single"/>
        </w:rPr>
        <w:tab/>
      </w: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szCs w:val="24"/>
        </w:rPr>
        <w:tab/>
      </w:r>
      <w:r w:rsidRPr="00F126CD">
        <w:rPr>
          <w:rFonts w:ascii="Times New Roman" w:hAnsi="Times New Roman"/>
          <w:szCs w:val="24"/>
        </w:rPr>
        <w:tab/>
      </w:r>
      <w:r w:rsidRPr="00F126CD" w:rsidR="00135CA8">
        <w:rPr>
          <w:rFonts w:ascii="Times New Roman" w:hAnsi="Times New Roman"/>
          <w:szCs w:val="24"/>
        </w:rPr>
        <w:t>William Michael</w:t>
      </w:r>
    </w:p>
    <w:p w:rsidR="0042638F" w:rsidRPr="00F126CD" w:rsidP="0042638F" w14:paraId="0CE78E27" w14:textId="77777777">
      <w:pPr>
        <w:suppressLineNumbers/>
        <w:ind w:left="5040"/>
      </w:pPr>
      <w:r w:rsidRPr="00F126CD">
        <w:t>Assistant Consumers’ Counsel</w:t>
      </w:r>
    </w:p>
    <w:p w:rsidR="00F36163" w:rsidRPr="00F126CD" w:rsidP="00015657" w14:paraId="2A451E80" w14:textId="77777777">
      <w:pPr>
        <w:pStyle w:val="EndnoteText"/>
        <w:widowControl/>
        <w:rPr>
          <w:rFonts w:ascii="Times New Roman" w:hAnsi="Times New Roman"/>
          <w:szCs w:val="24"/>
        </w:rPr>
      </w:pPr>
    </w:p>
    <w:p w:rsidR="00F36163" w:rsidRPr="00F126CD" w:rsidP="00F36163" w14:paraId="38AFCE0C" w14:textId="77777777">
      <w:pPr>
        <w:pStyle w:val="CommentText"/>
        <w:rPr>
          <w:sz w:val="24"/>
          <w:szCs w:val="24"/>
        </w:rPr>
      </w:pPr>
      <w:r w:rsidRPr="00F126CD">
        <w:rPr>
          <w:sz w:val="24"/>
          <w:szCs w:val="24"/>
        </w:rPr>
        <w:t>The PUCO’s e-filing system will electronically serve notice of the filing of this document on the following parties:</w:t>
      </w:r>
    </w:p>
    <w:p w:rsidR="00015657" w:rsidRPr="00F126CD" w:rsidP="00015657" w14:paraId="4B806904" w14:textId="77777777">
      <w:pPr>
        <w:pStyle w:val="EndnoteText"/>
        <w:widowControl/>
        <w:rPr>
          <w:rFonts w:ascii="Times New Roman" w:hAnsi="Times New Roman"/>
          <w:szCs w:val="24"/>
        </w:rPr>
      </w:pPr>
    </w:p>
    <w:p w:rsidR="00F36163" w:rsidRPr="00F126CD" w:rsidP="00F36163" w14:paraId="1849A34F" w14:textId="77777777">
      <w:pPr>
        <w:pStyle w:val="CommentText"/>
        <w:jc w:val="center"/>
        <w:rPr>
          <w:b/>
          <w:sz w:val="24"/>
          <w:szCs w:val="24"/>
          <w:u w:val="single"/>
        </w:rPr>
      </w:pPr>
      <w:r w:rsidRPr="00F126CD">
        <w:rPr>
          <w:b/>
          <w:sz w:val="24"/>
          <w:szCs w:val="24"/>
          <w:u w:val="single"/>
        </w:rPr>
        <w:t>SERVICE LIST</w:t>
      </w:r>
    </w:p>
    <w:p w:rsidR="00F36163" w:rsidRPr="00F126CD" w:rsidP="00F36163" w14:paraId="5C0AD3E8" w14:textId="77777777">
      <w:pPr>
        <w:pStyle w:val="CommentText"/>
        <w:jc w:val="center"/>
        <w:rPr>
          <w:bCs/>
          <w:sz w:val="24"/>
          <w:szCs w:val="24"/>
          <w:u w:val="single"/>
        </w:rPr>
      </w:pPr>
    </w:p>
    <w:tbl>
      <w:tblPr>
        <w:tblW w:w="0" w:type="auto"/>
        <w:tblInd w:w="108" w:type="dxa"/>
        <w:tblLook w:val="01E0"/>
      </w:tblPr>
      <w:tblGrid>
        <w:gridCol w:w="4247"/>
        <w:gridCol w:w="4285"/>
      </w:tblGrid>
      <w:tr w14:paraId="1B0534A1" w14:textId="77777777" w:rsidTr="00E82D55">
        <w:tblPrEx>
          <w:tblW w:w="0" w:type="auto"/>
          <w:tblInd w:w="108" w:type="dxa"/>
          <w:tblLook w:val="01E0"/>
        </w:tblPrEx>
        <w:tc>
          <w:tcPr>
            <w:tcW w:w="4307" w:type="dxa"/>
            <w:shd w:val="clear" w:color="auto" w:fill="auto"/>
          </w:tcPr>
          <w:p w:rsidR="00B11FE5" w:rsidRPr="000454CE" w:rsidP="00E82D55" w14:paraId="040C27B9" w14:textId="77777777">
            <w:pPr>
              <w:autoSpaceDE w:val="0"/>
              <w:autoSpaceDN w:val="0"/>
              <w:adjustRightInd w:val="0"/>
              <w:rPr>
                <w:color w:val="0000FF"/>
                <w:u w:val="single"/>
              </w:rPr>
            </w:pPr>
            <w:hyperlink r:id="rId20" w:history="1">
              <w:r w:rsidRPr="000454CE" w:rsidR="00502E6D">
                <w:rPr>
                  <w:color w:val="0000FF"/>
                  <w:u w:val="single"/>
                </w:rPr>
                <w:t>thomas.lindgren@ohioago.gov</w:t>
              </w:r>
            </w:hyperlink>
          </w:p>
          <w:p w:rsidR="00B11FE5" w:rsidRPr="000454CE" w:rsidP="00E82D55" w14:paraId="615C9762" w14:textId="77777777">
            <w:pPr>
              <w:autoSpaceDE w:val="0"/>
              <w:autoSpaceDN w:val="0"/>
              <w:adjustRightInd w:val="0"/>
              <w:rPr>
                <w:color w:val="0000FF"/>
                <w:u w:val="single"/>
              </w:rPr>
            </w:pPr>
            <w:hyperlink r:id="rId21" w:history="1">
              <w:r w:rsidRPr="000454CE" w:rsidR="00502E6D">
                <w:rPr>
                  <w:color w:val="0000FF"/>
                  <w:u w:val="single"/>
                </w:rPr>
                <w:t>robert.eubanks@ohioago.gov</w:t>
              </w:r>
            </w:hyperlink>
          </w:p>
          <w:p w:rsidR="00B11FE5" w:rsidRPr="000454CE" w:rsidP="00E82D55" w14:paraId="382866C4" w14:textId="77777777">
            <w:pPr>
              <w:autoSpaceDE w:val="0"/>
              <w:autoSpaceDN w:val="0"/>
              <w:adjustRightInd w:val="0"/>
            </w:pPr>
            <w:hyperlink r:id="rId22" w:history="1">
              <w:r w:rsidRPr="000454CE" w:rsidR="00502E6D">
                <w:rPr>
                  <w:color w:val="0000FF"/>
                  <w:u w:val="single"/>
                </w:rPr>
                <w:t>Janet.Gregory@OhioAGO.gov</w:t>
              </w:r>
            </w:hyperlink>
          </w:p>
          <w:p w:rsidR="00B11FE5" w:rsidRPr="000454CE" w:rsidP="00E82D55" w14:paraId="00FB30B8" w14:textId="77777777">
            <w:pPr>
              <w:autoSpaceDE w:val="0"/>
              <w:autoSpaceDN w:val="0"/>
              <w:adjustRightInd w:val="0"/>
            </w:pPr>
            <w:hyperlink r:id="rId23" w:history="1">
              <w:r w:rsidRPr="000454CE" w:rsidR="00502E6D">
                <w:rPr>
                  <w:color w:val="0000FF"/>
                  <w:u w:val="single"/>
                </w:rPr>
                <w:t>mkurtz@BKLlawfirm.com</w:t>
              </w:r>
            </w:hyperlink>
          </w:p>
          <w:p w:rsidR="00B11FE5" w:rsidRPr="000454CE" w:rsidP="00E82D55" w14:paraId="3F88A935" w14:textId="77777777">
            <w:pPr>
              <w:autoSpaceDE w:val="0"/>
              <w:autoSpaceDN w:val="0"/>
              <w:adjustRightInd w:val="0"/>
            </w:pPr>
            <w:hyperlink r:id="rId24" w:history="1">
              <w:r w:rsidRPr="000454CE" w:rsidR="00502E6D">
                <w:rPr>
                  <w:color w:val="0000FF"/>
                  <w:u w:val="single"/>
                </w:rPr>
                <w:t>kboehm@BKLlawfirm.com</w:t>
              </w:r>
            </w:hyperlink>
          </w:p>
          <w:p w:rsidR="00B11FE5" w:rsidRPr="000454CE" w:rsidP="00E82D55" w14:paraId="78D03017" w14:textId="77777777">
            <w:pPr>
              <w:autoSpaceDE w:val="0"/>
              <w:autoSpaceDN w:val="0"/>
              <w:adjustRightInd w:val="0"/>
            </w:pPr>
            <w:hyperlink r:id="rId25" w:history="1">
              <w:r w:rsidRPr="000454CE" w:rsidR="00502E6D">
                <w:rPr>
                  <w:color w:val="0000FF"/>
                  <w:u w:val="single"/>
                </w:rPr>
                <w:t>jkylercohn@BKLlawfirm.com</w:t>
              </w:r>
            </w:hyperlink>
          </w:p>
          <w:p w:rsidR="00B11FE5" w:rsidRPr="000454CE" w:rsidP="00E82D55" w14:paraId="65D1E5DA" w14:textId="77777777">
            <w:pPr>
              <w:autoSpaceDE w:val="0"/>
              <w:autoSpaceDN w:val="0"/>
              <w:adjustRightInd w:val="0"/>
              <w:rPr>
                <w:bCs/>
              </w:rPr>
            </w:pPr>
          </w:p>
          <w:p w:rsidR="00B11FE5" w:rsidRPr="000454CE" w:rsidP="00E82D55" w14:paraId="406BD402" w14:textId="77777777">
            <w:pPr>
              <w:autoSpaceDE w:val="0"/>
              <w:autoSpaceDN w:val="0"/>
              <w:adjustRightInd w:val="0"/>
              <w:rPr>
                <w:bCs/>
              </w:rPr>
            </w:pPr>
            <w:r w:rsidRPr="000454CE">
              <w:rPr>
                <w:bCs/>
              </w:rPr>
              <w:t>Attorney Examiners:</w:t>
            </w:r>
          </w:p>
          <w:p w:rsidR="00B11FE5" w:rsidRPr="000454CE" w:rsidP="00E82D55" w14:paraId="03B11537" w14:textId="77777777">
            <w:pPr>
              <w:rPr>
                <w:color w:val="0000FF"/>
                <w:u w:val="single"/>
              </w:rPr>
            </w:pPr>
            <w:hyperlink r:id="rId26" w:history="1">
              <w:r w:rsidRPr="000454CE" w:rsidR="00502E6D">
                <w:rPr>
                  <w:color w:val="0000FF"/>
                  <w:u w:val="single"/>
                </w:rPr>
                <w:t>Nicholas.Walstra@puco.ohio.gov</w:t>
              </w:r>
            </w:hyperlink>
          </w:p>
          <w:p w:rsidR="00B11FE5" w:rsidRPr="000454CE" w:rsidP="00E82D55" w14:paraId="3B879335" w14:textId="77777777">
            <w:pPr>
              <w:rPr>
                <w:color w:val="0000FF"/>
                <w:u w:val="single"/>
              </w:rPr>
            </w:pPr>
            <w:hyperlink r:id="rId27" w:history="1">
              <w:r w:rsidRPr="000454CE" w:rsidR="00502E6D">
                <w:rPr>
                  <w:color w:val="0000FF"/>
                  <w:u w:val="single"/>
                </w:rPr>
                <w:t>Matthew.sandor@puco.ohio.gov</w:t>
              </w:r>
            </w:hyperlink>
          </w:p>
          <w:p w:rsidR="00B11FE5" w:rsidRPr="000454CE" w:rsidP="00E82D55" w14:paraId="5B2722E2" w14:textId="77777777">
            <w:pPr>
              <w:autoSpaceDE w:val="0"/>
              <w:autoSpaceDN w:val="0"/>
              <w:adjustRightInd w:val="0"/>
              <w:rPr>
                <w:bCs/>
              </w:rPr>
            </w:pPr>
          </w:p>
          <w:p w:rsidR="00B11FE5" w:rsidRPr="000454CE" w:rsidP="00E82D55" w14:paraId="07720EA6" w14:textId="77777777">
            <w:pPr>
              <w:autoSpaceDE w:val="0"/>
              <w:autoSpaceDN w:val="0"/>
              <w:adjustRightInd w:val="0"/>
              <w:rPr>
                <w:bCs/>
              </w:rPr>
            </w:pPr>
          </w:p>
        </w:tc>
        <w:tc>
          <w:tcPr>
            <w:tcW w:w="4333" w:type="dxa"/>
            <w:shd w:val="clear" w:color="auto" w:fill="auto"/>
          </w:tcPr>
          <w:p w:rsidR="00B11FE5" w:rsidRPr="000454CE" w:rsidP="00E82D55" w14:paraId="3DA8A1EA" w14:textId="77777777">
            <w:pPr>
              <w:autoSpaceDE w:val="0"/>
              <w:autoSpaceDN w:val="0"/>
              <w:adjustRightInd w:val="0"/>
              <w:rPr>
                <w:color w:val="0000FF"/>
                <w:u w:val="single"/>
              </w:rPr>
            </w:pPr>
            <w:hyperlink r:id="rId28" w:history="1">
              <w:r w:rsidRPr="000454CE" w:rsidR="00502E6D">
                <w:rPr>
                  <w:color w:val="0000FF"/>
                  <w:u w:val="single"/>
                </w:rPr>
                <w:t>Rocco.dascenzo@duke-energy.com</w:t>
              </w:r>
            </w:hyperlink>
          </w:p>
          <w:p w:rsidR="00B11FE5" w:rsidRPr="000454CE" w:rsidP="00E82D55" w14:paraId="09585CE9" w14:textId="77777777">
            <w:pPr>
              <w:autoSpaceDE w:val="0"/>
              <w:autoSpaceDN w:val="0"/>
              <w:adjustRightInd w:val="0"/>
              <w:rPr>
                <w:color w:val="0000FF"/>
                <w:u w:val="single"/>
              </w:rPr>
            </w:pPr>
            <w:hyperlink r:id="rId29" w:history="1">
              <w:r w:rsidRPr="000454CE" w:rsidR="00502E6D">
                <w:rPr>
                  <w:color w:val="0000FF"/>
                  <w:u w:val="single"/>
                </w:rPr>
                <w:t>Jeanne.kingery@duke-energy.com</w:t>
              </w:r>
            </w:hyperlink>
          </w:p>
          <w:p w:rsidR="00B11FE5" w:rsidRPr="000454CE" w:rsidP="00E82D55" w14:paraId="1DF11463" w14:textId="77777777">
            <w:pPr>
              <w:rPr>
                <w:color w:val="0000FF"/>
                <w:u w:val="single"/>
              </w:rPr>
            </w:pPr>
            <w:hyperlink r:id="rId30" w:history="1">
              <w:r w:rsidRPr="000454CE" w:rsidR="00502E6D">
                <w:rPr>
                  <w:color w:val="0000FF"/>
                  <w:u w:val="single"/>
                </w:rPr>
                <w:t>Larisa.vaysman@duke-energy.com</w:t>
              </w:r>
            </w:hyperlink>
          </w:p>
          <w:p w:rsidR="00B11FE5" w:rsidRPr="000454CE" w:rsidP="00E82D55" w14:paraId="44A7E737" w14:textId="77777777">
            <w:pPr>
              <w:rPr>
                <w:color w:val="0000FF"/>
                <w:u w:val="single"/>
              </w:rPr>
            </w:pPr>
            <w:hyperlink r:id="rId31" w:history="1">
              <w:r w:rsidRPr="000454CE" w:rsidR="00502E6D">
                <w:rPr>
                  <w:color w:val="0000FF"/>
                  <w:u w:val="single"/>
                </w:rPr>
                <w:t>Elyse.akhbari@duke-energy.com</w:t>
              </w:r>
            </w:hyperlink>
          </w:p>
          <w:p w:rsidR="00B11FE5" w:rsidRPr="000454CE" w:rsidP="00E82D55" w14:paraId="785E0D3B" w14:textId="77777777">
            <w:pPr>
              <w:rPr>
                <w:color w:val="0000FF"/>
                <w:u w:val="single"/>
              </w:rPr>
            </w:pPr>
            <w:hyperlink r:id="rId32" w:history="1">
              <w:r w:rsidRPr="000454CE" w:rsidR="00502E6D">
                <w:rPr>
                  <w:color w:val="0000FF"/>
                  <w:u w:val="single"/>
                </w:rPr>
                <w:t>Ebrama@taftlaw.com</w:t>
              </w:r>
            </w:hyperlink>
          </w:p>
          <w:p w:rsidR="00B11FE5" w:rsidRPr="000454CE" w:rsidP="00E82D55" w14:paraId="4B2E91FC" w14:textId="77777777">
            <w:pPr>
              <w:rPr>
                <w:color w:val="0000FF"/>
                <w:u w:val="single"/>
              </w:rPr>
            </w:pPr>
            <w:r w:rsidRPr="000454CE">
              <w:rPr>
                <w:color w:val="0000FF"/>
                <w:u w:val="single"/>
              </w:rPr>
              <w:t>kverhalen@taftlaw.com</w:t>
            </w:r>
          </w:p>
          <w:p w:rsidR="00B11FE5" w:rsidRPr="000454CE" w:rsidP="00E82D55" w14:paraId="54A34CA2" w14:textId="77777777">
            <w:pPr>
              <w:rPr>
                <w:color w:val="0000FF"/>
                <w:u w:val="single"/>
              </w:rPr>
            </w:pPr>
            <w:hyperlink r:id="rId33" w:history="1">
              <w:r w:rsidRPr="000454CE" w:rsidR="00502E6D">
                <w:rPr>
                  <w:color w:val="0000FF"/>
                  <w:u w:val="single"/>
                </w:rPr>
                <w:t>michael.nugent@igs.com</w:t>
              </w:r>
            </w:hyperlink>
          </w:p>
          <w:p w:rsidR="00B11FE5" w:rsidRPr="000454CE" w:rsidP="00E82D55" w14:paraId="17BFC5C2" w14:textId="77777777">
            <w:pPr>
              <w:rPr>
                <w:color w:val="0000FF"/>
                <w:u w:val="single"/>
              </w:rPr>
            </w:pPr>
            <w:hyperlink r:id="rId34" w:history="1">
              <w:r w:rsidRPr="000454CE" w:rsidR="00502E6D">
                <w:rPr>
                  <w:color w:val="0000FF"/>
                  <w:u w:val="single"/>
                </w:rPr>
                <w:t>evan.betterton@igs.com</w:t>
              </w:r>
            </w:hyperlink>
          </w:p>
          <w:p w:rsidR="00B11FE5" w:rsidRPr="000454CE" w:rsidP="00E82D55" w14:paraId="33127453" w14:textId="77777777">
            <w:pPr>
              <w:rPr>
                <w:color w:val="0000FF"/>
                <w:u w:val="single"/>
              </w:rPr>
            </w:pPr>
            <w:hyperlink r:id="rId35" w:history="1">
              <w:r w:rsidRPr="000454CE" w:rsidR="00502E6D">
                <w:rPr>
                  <w:color w:val="0000FF"/>
                  <w:u w:val="single"/>
                </w:rPr>
                <w:t>Stacie.cathcart@igs.com</w:t>
              </w:r>
            </w:hyperlink>
          </w:p>
          <w:p w:rsidR="00B11FE5" w:rsidRPr="000454CE" w:rsidP="00E82D55" w14:paraId="66056D9D" w14:textId="77777777">
            <w:hyperlink r:id="rId36" w:history="1">
              <w:r w:rsidRPr="000454CE" w:rsidR="00502E6D">
                <w:rPr>
                  <w:color w:val="0000FF"/>
                  <w:u w:val="single"/>
                </w:rPr>
                <w:t>mjsettineri@vorys.com</w:t>
              </w:r>
            </w:hyperlink>
          </w:p>
          <w:p w:rsidR="00B11FE5" w:rsidRPr="000454CE" w:rsidP="00E82D55" w14:paraId="794B1B97" w14:textId="77777777">
            <w:hyperlink r:id="rId37" w:history="1">
              <w:r w:rsidRPr="000454CE" w:rsidR="00502E6D">
                <w:rPr>
                  <w:color w:val="0000FF"/>
                  <w:u w:val="single"/>
                </w:rPr>
                <w:t>glpetrucci@vorys.com</w:t>
              </w:r>
            </w:hyperlink>
          </w:p>
          <w:p w:rsidR="00B11FE5" w:rsidRPr="000454CE" w:rsidP="00E82D55" w14:paraId="516E5DD9" w14:textId="77777777">
            <w:hyperlink r:id="rId38" w:history="1">
              <w:r w:rsidRPr="000454CE" w:rsidR="00502E6D">
                <w:rPr>
                  <w:color w:val="0000FF"/>
                  <w:u w:val="single"/>
                </w:rPr>
                <w:t>cpirik@dickinsonwright.com</w:t>
              </w:r>
            </w:hyperlink>
          </w:p>
          <w:p w:rsidR="00B11FE5" w:rsidRPr="000454CE" w:rsidP="00E82D55" w14:paraId="1213408D" w14:textId="77777777">
            <w:hyperlink r:id="rId39" w:history="1">
              <w:r w:rsidRPr="000454CE" w:rsidR="00502E6D">
                <w:rPr>
                  <w:color w:val="0000FF"/>
                  <w:u w:val="single"/>
                </w:rPr>
                <w:t>todonnell@dickinsonwright.com</w:t>
              </w:r>
            </w:hyperlink>
          </w:p>
          <w:p w:rsidR="00B11FE5" w:rsidRPr="000454CE" w:rsidP="00E82D55" w14:paraId="07A01839" w14:textId="77777777">
            <w:hyperlink r:id="rId40" w:history="1">
              <w:r w:rsidRPr="000454CE" w:rsidR="00502E6D">
                <w:rPr>
                  <w:color w:val="0000FF"/>
                  <w:u w:val="single"/>
                </w:rPr>
                <w:t>mmcdonnell@dickinsonwright.com</w:t>
              </w:r>
            </w:hyperlink>
          </w:p>
          <w:p w:rsidR="00B11FE5" w:rsidRPr="000454CE" w:rsidP="00E82D55" w14:paraId="23CE029F" w14:textId="77777777">
            <w:pPr>
              <w:rPr>
                <w:color w:val="0000FF"/>
                <w:u w:val="single"/>
              </w:rPr>
            </w:pPr>
          </w:p>
          <w:p w:rsidR="00B11FE5" w:rsidRPr="000454CE" w:rsidP="00E82D55" w14:paraId="31476547" w14:textId="77777777"/>
        </w:tc>
      </w:tr>
    </w:tbl>
    <w:p w:rsidR="00015657" w:rsidRPr="00F126CD" w:rsidP="00F36163" w14:paraId="38B6BD86" w14:textId="77777777">
      <w:pPr>
        <w:jc w:val="center"/>
        <w:rPr>
          <w:b/>
          <w:u w:val="single"/>
        </w:rPr>
      </w:pPr>
    </w:p>
    <w:sectPr w:rsidSect="00CF5CA0">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4B" w14:paraId="467901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D55" w14:paraId="35477D15" w14:textId="77777777">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4B" w14:paraId="472AFA9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D55" w14:paraId="5644E1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0C66" w14:paraId="5E5A2388" w14:textId="77777777">
      <w:r>
        <w:separator/>
      </w:r>
    </w:p>
  </w:footnote>
  <w:footnote w:type="continuationSeparator" w:id="1">
    <w:p w:rsidR="00A40C66" w14:paraId="2444B884" w14:textId="77777777">
      <w:r>
        <w:continuationSeparator/>
      </w:r>
    </w:p>
  </w:footnote>
  <w:footnote w:type="continuationNotice" w:id="2">
    <w:p w:rsidR="00A40C66" w14:paraId="47E9BE42" w14:textId="77777777"/>
  </w:footnote>
  <w:footnote w:id="3">
    <w:p w:rsidR="00E82D55" w:rsidRPr="00D901F8" w:rsidP="00D901F8" w14:paraId="7248956D" w14:textId="3A693481">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Stipulation and Recommendation (April 28, 2023) referred to in OCC’s Initial Brief as the “Settlement.”</w:t>
      </w:r>
    </w:p>
  </w:footnote>
  <w:footnote w:id="4">
    <w:p w:rsidR="00E82D55" w:rsidRPr="00D901F8" w:rsidP="00D901F8" w14:paraId="42BDF23F" w14:textId="7A398F4E">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Settlement at 3.</w:t>
      </w:r>
    </w:p>
  </w:footnote>
  <w:footnote w:id="5">
    <w:p w:rsidR="00E82D55" w:rsidRPr="00D901F8" w:rsidP="00D901F8" w14:paraId="20E8DBE0" w14:textId="53FDA4EA">
      <w:pPr>
        <w:pStyle w:val="FootnoteText"/>
        <w:spacing w:after="120"/>
        <w:rPr>
          <w:rFonts w:ascii="Times New Roman" w:hAnsi="Times New Roman"/>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9 (Adkins) at 5.</w:t>
      </w:r>
    </w:p>
  </w:footnote>
  <w:footnote w:id="6">
    <w:p w:rsidR="00E82D55" w:rsidRPr="00D901F8" w:rsidP="00D901F8" w14:paraId="0146F6E1" w14:textId="5ACF79E9">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Entry (June 29, 2022) at 1.</w:t>
      </w:r>
    </w:p>
  </w:footnote>
  <w:footnote w:id="7">
    <w:p w:rsidR="00E82D55" w:rsidRPr="00D901F8" w:rsidP="00D901F8" w14:paraId="197327CC" w14:textId="2A9F8F6F">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In re Suburban Nat. Gas Co.</w:t>
      </w:r>
      <w:r w:rsidRPr="00D901F8">
        <w:rPr>
          <w:rFonts w:ascii="Times New Roman" w:hAnsi="Times New Roman"/>
        </w:rPr>
        <w:t>, 166 Ohio St.3d 176 (2021).</w:t>
      </w:r>
    </w:p>
  </w:footnote>
  <w:footnote w:id="8">
    <w:p w:rsidR="00E82D55" w:rsidRPr="00D901F8" w:rsidP="00D901F8" w14:paraId="160A6791" w14:textId="74D6ABA6">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Case No. 19-791-GA-ALT, Opinion and Order (April 21, 2021). </w:t>
      </w:r>
    </w:p>
  </w:footnote>
  <w:footnote w:id="9">
    <w:p w:rsidR="00E82D55" w:rsidRPr="00D901F8" w:rsidP="00D901F8" w14:paraId="7466B441" w14:textId="2169A4C0">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9 at 42-43.</w:t>
      </w:r>
    </w:p>
  </w:footnote>
  <w:footnote w:id="10">
    <w:p w:rsidR="00E82D55" w:rsidRPr="00D901F8" w:rsidP="00D901F8" w14:paraId="03199096" w14:textId="24F96262">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color w:val="000000" w:themeColor="text1"/>
        </w:rPr>
        <w:t>See</w:t>
      </w:r>
      <w:r w:rsidRPr="00D901F8">
        <w:rPr>
          <w:rFonts w:ascii="Times New Roman" w:hAnsi="Times New Roman"/>
          <w:color w:val="000000" w:themeColor="text1"/>
        </w:rPr>
        <w:t xml:space="preserve"> Item 5a in the Settlement, which adds $2,124 to the amount shown in the PUCO Staff Report, on page 17, for adjustment C-38 in the amount of $2,291,571. All together this represents a total addition to expense of $2,293,695 for property tax.</w:t>
      </w:r>
    </w:p>
  </w:footnote>
  <w:footnote w:id="11">
    <w:p w:rsidR="00E82D55" w:rsidRPr="00D901F8" w:rsidP="00D901F8" w14:paraId="1E1E36E8" w14:textId="1E1C4F64">
      <w:pPr>
        <w:pStyle w:val="FootnoteText"/>
        <w:spacing w:after="120"/>
        <w:rPr>
          <w:rFonts w:ascii="Times New Roman" w:hAnsi="Times New Roman"/>
          <w:i/>
          <w:iCs/>
        </w:rPr>
      </w:pPr>
      <w:r w:rsidRPr="00D901F8">
        <w:rPr>
          <w:rStyle w:val="FootnoteReference"/>
          <w:rFonts w:ascii="Times New Roman" w:hAnsi="Times New Roman"/>
        </w:rPr>
        <w:footnoteRef/>
      </w:r>
      <w:r w:rsidRPr="00D901F8">
        <w:rPr>
          <w:rFonts w:ascii="Times New Roman" w:hAnsi="Times New Roman"/>
        </w:rPr>
        <w:t xml:space="preserve"> OCC Ex. 11 (Meyer) at 3.</w:t>
      </w:r>
    </w:p>
  </w:footnote>
  <w:footnote w:id="12">
    <w:p w:rsidR="00E82D55" w:rsidRPr="00D901F8" w:rsidP="00D901F8" w14:paraId="1EBD0D3F" w14:textId="33E699F8">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3 (Shutrump) at 4.</w:t>
      </w:r>
    </w:p>
  </w:footnote>
  <w:footnote w:id="13">
    <w:p w:rsidR="00E82D55" w:rsidRPr="00D901F8" w:rsidP="00D901F8" w14:paraId="68FF087D" w14:textId="09A474E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p>
  </w:footnote>
  <w:footnote w:id="14">
    <w:p w:rsidR="00E82D55" w:rsidRPr="00D901F8" w:rsidP="00D901F8" w14:paraId="438AEB66" w14:textId="7777777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5 (Fortney) at Exhibit RBF-1. </w:t>
      </w:r>
    </w:p>
  </w:footnote>
  <w:footnote w:id="15">
    <w:p w:rsidR="00E82D55" w:rsidRPr="00D901F8" w:rsidP="00D901F8" w14:paraId="65A8C77E" w14:textId="252DA4C8">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Settlement at 4.</w:t>
      </w:r>
    </w:p>
  </w:footnote>
  <w:footnote w:id="16">
    <w:p w:rsidR="00E82D55" w:rsidRPr="00D901F8" w:rsidP="00D901F8" w14:paraId="4375905B" w14:textId="7777777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7 (Buckley) at JPB-02, </w:t>
      </w:r>
      <w:r w:rsidRPr="00D901F8">
        <w:rPr>
          <w:rFonts w:ascii="Times New Roman" w:hAnsi="Times New Roman"/>
          <w:i/>
          <w:iCs/>
          <w:color w:val="000000" w:themeColor="text1"/>
        </w:rPr>
        <w:t>see also</w:t>
      </w:r>
      <w:r w:rsidRPr="00D901F8">
        <w:rPr>
          <w:rFonts w:ascii="Times New Roman" w:hAnsi="Times New Roman"/>
          <w:color w:val="000000" w:themeColor="text1"/>
        </w:rPr>
        <w:t xml:space="preserve"> Tr. I at 130 (correcting placement of ROE value in JPB-02).</w:t>
      </w:r>
    </w:p>
  </w:footnote>
  <w:footnote w:id="17">
    <w:p w:rsidR="00E82D55" w:rsidRPr="00D901F8" w:rsidP="00D901F8" w14:paraId="1430F325" w14:textId="7777777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Consumers’ Counsel v. Pub. Util. Comm’n</w:t>
      </w:r>
      <w:r w:rsidRPr="00D901F8">
        <w:rPr>
          <w:rFonts w:ascii="Times New Roman" w:hAnsi="Times New Roman"/>
          <w:color w:val="000000" w:themeColor="text1"/>
        </w:rPr>
        <w:t>. (1992), 64 Ohio St.3d 123, 126.</w:t>
      </w:r>
    </w:p>
  </w:footnote>
  <w:footnote w:id="18">
    <w:p w:rsidR="00E82D55" w:rsidRPr="00D901F8" w:rsidP="00D901F8" w14:paraId="34EC8518" w14:textId="7777777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3 (Williams Supplemental) at 5.</w:t>
      </w:r>
    </w:p>
  </w:footnote>
  <w:footnote w:id="19">
    <w:p w:rsidR="00E82D55" w:rsidRPr="00D901F8" w:rsidP="00D901F8" w14:paraId="70BABB76" w14:textId="49001BF5">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Case No. 08-935-EL-SS</w:t>
      </w:r>
      <w:r w:rsidR="00D901F8">
        <w:rPr>
          <w:rFonts w:ascii="Times New Roman" w:hAnsi="Times New Roman"/>
          <w:color w:val="000000" w:themeColor="text1"/>
        </w:rPr>
        <w:t>O</w:t>
      </w:r>
      <w:r w:rsidRPr="00D901F8">
        <w:rPr>
          <w:rFonts w:ascii="Times New Roman" w:hAnsi="Times New Roman"/>
          <w:color w:val="000000" w:themeColor="text1"/>
        </w:rPr>
        <w:t>, et al., Concurring and Dissenting Opinion of Cheryl Roberto, at 2.</w:t>
      </w:r>
    </w:p>
  </w:footnote>
  <w:footnote w:id="20">
    <w:p w:rsidR="00E82D55" w:rsidRPr="00D901F8" w:rsidP="00D901F8" w14:paraId="25AC863A" w14:textId="09967D05">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3 at 6.</w:t>
      </w:r>
    </w:p>
  </w:footnote>
  <w:footnote w:id="21">
    <w:p w:rsidR="00E82D55" w:rsidRPr="00D901F8" w:rsidP="00D901F8" w14:paraId="11EE3569" w14:textId="6A15502A">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22">
    <w:p w:rsidR="00E82D55" w:rsidRPr="00D901F8" w:rsidP="00D901F8" w14:paraId="0C84DE48" w14:textId="4452A5D8">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Case No. 10-388-EL-SSO, Opinion and Order at 48 (August 25, 2010).</w:t>
      </w:r>
    </w:p>
  </w:footnote>
  <w:footnote w:id="23">
    <w:p w:rsidR="00E82D55" w:rsidRPr="00D901F8" w:rsidP="00D901F8" w14:paraId="39F3082E" w14:textId="522588A6">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9 at 5.</w:t>
      </w:r>
    </w:p>
  </w:footnote>
  <w:footnote w:id="24">
    <w:p w:rsidR="00293804" w:rsidRPr="00293804" w14:paraId="563CD1E0" w14:textId="31FC6B22">
      <w:pPr>
        <w:pStyle w:val="FootnoteText"/>
      </w:pPr>
      <w:r>
        <w:rPr>
          <w:rStyle w:val="FootnoteReference"/>
        </w:rPr>
        <w:footnoteRef/>
      </w:r>
      <w:r>
        <w:t xml:space="preserve"> </w:t>
      </w:r>
      <w:r>
        <w:rPr>
          <w:i/>
          <w:iCs/>
        </w:rPr>
        <w:t xml:space="preserve">Id. </w:t>
      </w:r>
      <w:r>
        <w:t>at 6-26.</w:t>
      </w:r>
    </w:p>
  </w:footnote>
  <w:footnote w:id="25">
    <w:p w:rsidR="00E82D55" w:rsidRPr="00D901F8" w:rsidP="00D901F8" w14:paraId="08C6F2C9"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See Office of Consumers’ Counsel v. Public Utilities Com.</w:t>
      </w:r>
      <w:r w:rsidRPr="00D901F8">
        <w:rPr>
          <w:rFonts w:ascii="Times New Roman" w:hAnsi="Times New Roman"/>
        </w:rPr>
        <w:t xml:space="preserve">, </w:t>
      </w:r>
      <w:r w:rsidRPr="00D901F8">
        <w:rPr>
          <w:rFonts w:ascii="Times New Roman" w:hAnsi="Times New Roman"/>
          <w:lang w:bidi="en-US"/>
        </w:rPr>
        <w:t>67 Ohio St.2d 153, 164 (1981).</w:t>
      </w:r>
    </w:p>
  </w:footnote>
  <w:footnote w:id="26">
    <w:p w:rsidR="00293804" w:rsidRPr="00293804" w14:paraId="725D45C5" w14:textId="7EFA0003">
      <w:pPr>
        <w:pStyle w:val="FootnoteText"/>
      </w:pPr>
      <w:r>
        <w:rPr>
          <w:rStyle w:val="FootnoteReference"/>
        </w:rPr>
        <w:footnoteRef/>
      </w:r>
      <w:r>
        <w:t xml:space="preserve"> </w:t>
      </w:r>
      <w:r>
        <w:rPr>
          <w:i/>
          <w:iCs/>
        </w:rPr>
        <w:t>In the Matter of the Application of Duke Energy Ohio, Inc. for Authority to Abandon Certain Propane-Air Facilities</w:t>
      </w:r>
      <w:r>
        <w:t>, Case Nos. 21-1035-GA-ABN and 21-1035-GA-AAM, Opinion and Order (October 5, 2022) at para. 37.</w:t>
      </w:r>
    </w:p>
  </w:footnote>
  <w:footnote w:id="27">
    <w:p w:rsidR="00E82D55" w:rsidRPr="00D901F8" w:rsidP="00D901F8" w14:paraId="02463B9B" w14:textId="243D5F05">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Suburban</w:t>
      </w:r>
      <w:r w:rsidRPr="00D901F8">
        <w:rPr>
          <w:rFonts w:ascii="Times New Roman" w:hAnsi="Times New Roman"/>
        </w:rPr>
        <w:t>, 166 Ohio St.3d at 180 (internal quotations and citations omitted).</w:t>
      </w:r>
    </w:p>
  </w:footnote>
  <w:footnote w:id="28">
    <w:p w:rsidR="00E82D55" w:rsidRPr="00D901F8" w:rsidP="00D901F8" w14:paraId="71E16D68" w14:textId="0C6F759D">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at 183.</w:t>
      </w:r>
    </w:p>
  </w:footnote>
  <w:footnote w:id="29">
    <w:p w:rsidR="00E82D55" w:rsidRPr="00D901F8" w:rsidP="00D901F8" w14:paraId="3F2B8CA3" w14:textId="144CFC16">
      <w:pPr>
        <w:pStyle w:val="FootnoteText"/>
        <w:spacing w:after="120"/>
        <w:rPr>
          <w:rFonts w:ascii="Times New Roman" w:hAnsi="Times New Roman"/>
          <w:i/>
          <w:iCs/>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p>
  </w:footnote>
  <w:footnote w:id="30">
    <w:p w:rsidR="00E82D55" w:rsidRPr="00D901F8" w:rsidP="00D901F8" w14:paraId="43060734" w14:textId="307FD00E">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Entry (June 29, 2022) at 1. </w:t>
      </w:r>
    </w:p>
  </w:footnote>
  <w:footnote w:id="31">
    <w:p w:rsidR="00E82D55" w:rsidRPr="00D901F8" w:rsidP="00D901F8" w14:paraId="594F20AB" w14:textId="71D6FAAE">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In re the Application of Duke Energy Ohio, Inc</w:t>
      </w:r>
      <w:r w:rsidRPr="00D901F8">
        <w:rPr>
          <w:rFonts w:ascii="Times New Roman" w:hAnsi="Times New Roman"/>
        </w:rPr>
        <w:t>., Case No. 16-253-GA-BTX, Correspondence (March 15, 2022) (attached to OCC Ex. 9).</w:t>
      </w:r>
    </w:p>
  </w:footnote>
  <w:footnote w:id="32">
    <w:p w:rsidR="00252206" w:rsidRPr="00D901F8" w:rsidP="00D901F8" w14:paraId="32F1681F" w14:textId="3F80B055">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R.C. 4905.22.</w:t>
      </w:r>
    </w:p>
  </w:footnote>
  <w:footnote w:id="33">
    <w:p w:rsidR="00E82D55" w:rsidRPr="00D901F8" w:rsidP="00D901F8" w14:paraId="056F42DF" w14:textId="032FEA7F">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9 at 7.</w:t>
      </w:r>
    </w:p>
  </w:footnote>
  <w:footnote w:id="34">
    <w:p w:rsidR="00E82D55" w:rsidRPr="00D901F8" w:rsidP="00D901F8" w14:paraId="1865169E" w14:textId="6043BA8A">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Id.</w:t>
      </w:r>
      <w:r w:rsidRPr="00D901F8">
        <w:rPr>
          <w:rFonts w:ascii="Times New Roman" w:hAnsi="Times New Roman"/>
        </w:rPr>
        <w:t>,</w:t>
      </w:r>
      <w:r w:rsidRPr="00D901F8">
        <w:rPr>
          <w:rFonts w:ascii="Times New Roman" w:hAnsi="Times New Roman"/>
          <w:i/>
          <w:iCs/>
        </w:rPr>
        <w:t xml:space="preserve"> </w:t>
      </w:r>
      <w:r w:rsidRPr="00D901F8">
        <w:rPr>
          <w:rFonts w:ascii="Times New Roman" w:hAnsi="Times New Roman"/>
        </w:rPr>
        <w:t>Opinion &amp; Order (November 21, 2019) at para. 58</w:t>
      </w:r>
      <w:r w:rsidRPr="00D901F8" w:rsidR="00722394">
        <w:rPr>
          <w:rFonts w:ascii="Times New Roman" w:hAnsi="Times New Roman"/>
        </w:rPr>
        <w:t xml:space="preserve"> (emphasis added).</w:t>
      </w:r>
    </w:p>
  </w:footnote>
  <w:footnote w:id="35">
    <w:p w:rsidR="00E82D55" w:rsidRPr="00D901F8" w:rsidP="00D901F8" w14:paraId="79216850" w14:textId="21582704">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Id.</w:t>
      </w:r>
      <w:r w:rsidRPr="00D901F8">
        <w:rPr>
          <w:rFonts w:ascii="Times New Roman" w:hAnsi="Times New Roman"/>
        </w:rPr>
        <w:t xml:space="preserve"> (</w:t>
      </w:r>
      <w:r w:rsidRPr="00D901F8" w:rsidR="00544C9F">
        <w:rPr>
          <w:rFonts w:ascii="Times New Roman" w:hAnsi="Times New Roman"/>
        </w:rPr>
        <w:t xml:space="preserve">emphasis </w:t>
      </w:r>
      <w:r w:rsidRPr="00D901F8">
        <w:rPr>
          <w:rFonts w:ascii="Times New Roman" w:hAnsi="Times New Roman"/>
        </w:rPr>
        <w:t>added).</w:t>
      </w:r>
    </w:p>
  </w:footnote>
  <w:footnote w:id="36">
    <w:p w:rsidR="00E82D55" w:rsidRPr="00D901F8" w:rsidP="00D901F8" w14:paraId="7748B33F" w14:textId="2F89EEEB">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Case No. 21-1035-GA-AAM, Application (October 7, 2021).</w:t>
      </w:r>
    </w:p>
  </w:footnote>
  <w:footnote w:id="37">
    <w:p w:rsidR="00E82D55" w:rsidRPr="00D901F8" w:rsidP="00D901F8" w14:paraId="11ABB8C1" w14:textId="49C1694D">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Id.</w:t>
      </w:r>
      <w:r w:rsidRPr="00D901F8">
        <w:rPr>
          <w:rFonts w:ascii="Times New Roman" w:hAnsi="Times New Roman"/>
        </w:rPr>
        <w:t xml:space="preserve"> at para. 4.</w:t>
      </w:r>
    </w:p>
  </w:footnote>
  <w:footnote w:id="38">
    <w:p w:rsidR="00E82D55" w:rsidRPr="00D901F8" w:rsidP="00D901F8" w14:paraId="03DB88FA"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at para. 7 (italics added).</w:t>
      </w:r>
    </w:p>
  </w:footnote>
  <w:footnote w:id="39">
    <w:p w:rsidR="00E82D55" w:rsidRPr="00D901F8" w:rsidP="00D901F8" w14:paraId="18228F87" w14:textId="4DDD77A1">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In the Matter of the Application of Duke Energy Ohio, Inc. for Authority to Abandon Certain Propane-Air Facilities, </w:t>
      </w:r>
      <w:r w:rsidRPr="00D901F8">
        <w:rPr>
          <w:rFonts w:ascii="Times New Roman" w:hAnsi="Times New Roman"/>
        </w:rPr>
        <w:t>Case No. 21-1035-GA-AAM, Staff Review and Recommendation (January 6, 2022) (attached) at 5</w:t>
      </w:r>
      <w:r w:rsidRPr="00D901F8" w:rsidR="00AE1599">
        <w:rPr>
          <w:rFonts w:ascii="Times New Roman" w:hAnsi="Times New Roman"/>
        </w:rPr>
        <w:t xml:space="preserve"> (emphasis added).</w:t>
      </w:r>
    </w:p>
  </w:footnote>
  <w:footnote w:id="40">
    <w:p w:rsidR="00E82D55" w:rsidRPr="00D901F8" w:rsidP="00D901F8" w14:paraId="5F0BC061" w14:textId="59259A0A">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Id.</w:t>
      </w:r>
      <w:r w:rsidRPr="00D901F8">
        <w:rPr>
          <w:rFonts w:ascii="Times New Roman" w:hAnsi="Times New Roman"/>
        </w:rPr>
        <w:t>, Direct Testimony of Sarah Lawler (April 27, 2022) (attached to OCC Ex. 9) at 3-4</w:t>
      </w:r>
      <w:r w:rsidRPr="00D901F8" w:rsidR="003F590D">
        <w:rPr>
          <w:rFonts w:ascii="Times New Roman" w:hAnsi="Times New Roman"/>
        </w:rPr>
        <w:t xml:space="preserve"> (emphasis added)</w:t>
      </w:r>
      <w:r w:rsidRPr="00D901F8">
        <w:rPr>
          <w:rFonts w:ascii="Times New Roman" w:hAnsi="Times New Roman"/>
        </w:rPr>
        <w:t>.</w:t>
      </w:r>
    </w:p>
  </w:footnote>
  <w:footnote w:id="41">
    <w:p w:rsidR="00E82D55" w:rsidRPr="00D901F8" w:rsidP="00D901F8" w14:paraId="7BC1DF94"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 xml:space="preserve">at 6 (italics added); </w:t>
      </w:r>
      <w:r w:rsidRPr="00D901F8">
        <w:rPr>
          <w:rFonts w:ascii="Times New Roman" w:hAnsi="Times New Roman"/>
          <w:i/>
          <w:iCs/>
        </w:rPr>
        <w:t xml:space="preserve">see also </w:t>
      </w:r>
      <w:r w:rsidRPr="00D901F8">
        <w:rPr>
          <w:rFonts w:ascii="Times New Roman" w:hAnsi="Times New Roman"/>
        </w:rPr>
        <w:t>Duke Energy Corporation Form 10-K for Fiscal Year Ended December 31, 2022 (attached) at 147.</w:t>
      </w:r>
    </w:p>
  </w:footnote>
  <w:footnote w:id="42">
    <w:p w:rsidR="00E82D55" w:rsidRPr="00D901F8" w:rsidP="00D901F8" w14:paraId="6B3DFB42"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Tr. I at 169.</w:t>
      </w:r>
    </w:p>
  </w:footnote>
  <w:footnote w:id="43">
    <w:p w:rsidR="00E82D55" w:rsidRPr="00D901F8" w:rsidP="00D901F8" w14:paraId="5F66AF15" w14:textId="200978C2">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Direct Testimony of Brian R. Weisker (July 14, 2022).</w:t>
      </w:r>
    </w:p>
  </w:footnote>
  <w:footnote w:id="44">
    <w:p w:rsidR="00E82D55" w:rsidRPr="00D901F8" w:rsidP="00D901F8" w14:paraId="1C843381" w14:textId="182CB51C">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Id.</w:t>
      </w:r>
      <w:r w:rsidRPr="00D901F8">
        <w:rPr>
          <w:rFonts w:ascii="Times New Roman" w:hAnsi="Times New Roman"/>
        </w:rPr>
        <w:t xml:space="preserve"> at 27.</w:t>
      </w:r>
    </w:p>
  </w:footnote>
  <w:footnote w:id="45">
    <w:p w:rsidR="00E82D55" w:rsidRPr="00D901F8" w:rsidP="00D901F8" w14:paraId="0157A1AF" w14:textId="7236C682">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p>
  </w:footnote>
  <w:footnote w:id="46">
    <w:p w:rsidR="00E82D55" w:rsidRPr="00D901F8" w:rsidP="00D901F8" w14:paraId="19E25D04"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at 28.</w:t>
      </w:r>
    </w:p>
  </w:footnote>
  <w:footnote w:id="47">
    <w:p w:rsidR="00E82D55" w:rsidRPr="00D901F8" w:rsidP="00D901F8" w14:paraId="33D65292"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9 at 14.</w:t>
      </w:r>
    </w:p>
  </w:footnote>
  <w:footnote w:id="48">
    <w:p w:rsidR="00E82D55" w:rsidRPr="00D901F8" w:rsidP="00D901F8" w14:paraId="2F90AAA9" w14:textId="0069B0D5">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Case No. 16-253-GA-BTX, Correspondence (March 15, 2022) (attached to OCC Ex. 9).</w:t>
      </w:r>
    </w:p>
  </w:footnote>
  <w:footnote w:id="49">
    <w:p w:rsidR="00E82D55" w:rsidRPr="00D901F8" w:rsidP="00D901F8" w14:paraId="5BEFE68A"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O.A.C. 4906-1-01(M)(3).</w:t>
      </w:r>
    </w:p>
  </w:footnote>
  <w:footnote w:id="50">
    <w:p w:rsidR="00E82D55" w:rsidRPr="00D901F8" w:rsidP="00D901F8" w14:paraId="6CFC954F" w14:textId="7BDD0A32">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9 at 19.</w:t>
      </w:r>
    </w:p>
  </w:footnote>
  <w:footnote w:id="51">
    <w:p w:rsidR="00E82D55" w:rsidRPr="00D901F8" w:rsidP="00D901F8" w14:paraId="6E17E559" w14:textId="63FBD653">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at 19.</w:t>
      </w:r>
    </w:p>
  </w:footnote>
  <w:footnote w:id="52">
    <w:p w:rsidR="00E82D55" w:rsidRPr="00D901F8" w:rsidP="00D901F8" w14:paraId="548F95DF" w14:textId="04A26FC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 xml:space="preserve">at 20. </w:t>
      </w:r>
    </w:p>
  </w:footnote>
  <w:footnote w:id="53">
    <w:p w:rsidR="00E82D55" w:rsidRPr="00D901F8" w:rsidP="00D901F8" w14:paraId="6E3D1652" w14:textId="2F1108C9">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Elyria Foundry Co., v. Pub. Util Comm., </w:t>
      </w:r>
      <w:r w:rsidRPr="00D901F8">
        <w:rPr>
          <w:rFonts w:ascii="Times New Roman" w:hAnsi="Times New Roman"/>
        </w:rPr>
        <w:t xml:space="preserve">114 Ohio St.3d 305 (2007). </w:t>
      </w:r>
    </w:p>
  </w:footnote>
  <w:footnote w:id="54">
    <w:p w:rsidR="00E860D2" w14:paraId="7468A2F8" w14:textId="5E777D6E">
      <w:pPr>
        <w:pStyle w:val="FootnoteText"/>
      </w:pPr>
      <w:r>
        <w:rPr>
          <w:rStyle w:val="FootnoteReference"/>
        </w:rPr>
        <w:footnoteRef/>
      </w:r>
      <w:r>
        <w:t xml:space="preserve"> </w:t>
      </w:r>
      <w:r>
        <w:rPr>
          <w:i/>
          <w:iCs/>
        </w:rPr>
        <w:t>In the Matter of the Application of Duke Energy Ohio, Inc. for Authority to Abandon Certain Propane-Air Facilities</w:t>
      </w:r>
      <w:r>
        <w:t>, Case Nos. 21-1035-GA-ABN and 21-1035-GA-AAM, Opinion and Order (October 5, 2022) at para. 37.</w:t>
      </w:r>
    </w:p>
  </w:footnote>
  <w:footnote w:id="55">
    <w:p w:rsidR="00E82D55" w:rsidRPr="00D901F8" w:rsidP="00D901F8" w14:paraId="388E3B67" w14:textId="2E37B03F">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Case No. 15-222-GA-AAM, Finding &amp; Order (July 29, 2015) at </w:t>
      </w:r>
      <w:r w:rsidRPr="00D901F8">
        <w:rPr>
          <w:rFonts w:ascii="Times New Roman" w:hAnsi="Times New Roman"/>
          <w:shd w:val="clear" w:color="auto" w:fill="FFFFFF"/>
        </w:rPr>
        <w:t>⁋18.</w:t>
      </w:r>
    </w:p>
  </w:footnote>
  <w:footnote w:id="56">
    <w:p w:rsidR="00E82D55" w:rsidRPr="00D901F8" w:rsidP="00D901F8" w14:paraId="4389C2BF" w14:textId="29713CFA">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In re Duke</w:t>
      </w:r>
      <w:r w:rsidRPr="00D901F8">
        <w:rPr>
          <w:rFonts w:ascii="Times New Roman" w:hAnsi="Times New Roman"/>
        </w:rPr>
        <w:t>, 150 Ohio St.3d at 441.</w:t>
      </w:r>
    </w:p>
  </w:footnote>
  <w:footnote w:id="57">
    <w:p w:rsidR="00E82D55" w:rsidRPr="00D901F8" w:rsidP="00D901F8" w14:paraId="226ABF4F" w14:textId="61BAC52D">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See </w:t>
      </w:r>
      <w:r w:rsidRPr="00D901F8" w:rsidR="000033E4">
        <w:rPr>
          <w:rFonts w:ascii="Times New Roman" w:hAnsi="Times New Roman"/>
          <w:i/>
          <w:iCs/>
        </w:rPr>
        <w:t>Office of Consumers’ Counsel v. Public Utilities Com.</w:t>
      </w:r>
      <w:r w:rsidRPr="00D901F8" w:rsidR="000033E4">
        <w:rPr>
          <w:rFonts w:ascii="Times New Roman" w:hAnsi="Times New Roman"/>
        </w:rPr>
        <w:t xml:space="preserve">, </w:t>
      </w:r>
      <w:r w:rsidRPr="00D901F8" w:rsidR="000033E4">
        <w:rPr>
          <w:rFonts w:ascii="Times New Roman" w:hAnsi="Times New Roman"/>
          <w:lang w:bidi="en-US"/>
        </w:rPr>
        <w:t>67 Ohio St.2d 153, 164 (1981)</w:t>
      </w:r>
      <w:r w:rsidRPr="00D901F8">
        <w:rPr>
          <w:rFonts w:ascii="Times New Roman" w:hAnsi="Times New Roman"/>
        </w:rPr>
        <w:t>.</w:t>
      </w:r>
    </w:p>
  </w:footnote>
  <w:footnote w:id="58">
    <w:p w:rsidR="00E82D55" w:rsidRPr="00D901F8" w:rsidP="00D901F8" w14:paraId="0D47423A" w14:textId="689A6988">
      <w:pPr>
        <w:pStyle w:val="FootnoteText"/>
        <w:spacing w:after="120"/>
        <w:rPr>
          <w:rFonts w:ascii="Times New Roman" w:hAnsi="Times New Roman"/>
          <w:i/>
          <w:iCs/>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Elyria Foundry Co.</w:t>
      </w:r>
    </w:p>
  </w:footnote>
  <w:footnote w:id="59">
    <w:p w:rsidR="00E82D55" w:rsidRPr="00D901F8" w:rsidP="00D901F8" w14:paraId="744BAAF9" w14:textId="4D6B99EC">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See</w:t>
      </w:r>
      <w:r w:rsidRPr="00D901F8">
        <w:rPr>
          <w:rFonts w:ascii="Times New Roman" w:hAnsi="Times New Roman"/>
          <w:color w:val="000000" w:themeColor="text1"/>
        </w:rPr>
        <w:t xml:space="preserve"> Item 5a in the Settlement, which adds $2,124 to the amount shown in the PUCO Staff Report, on page 17, for adjustment C-38 in the amount of $2,291,571. All together this represents a total addition to expense of $2,293,695 for property tax.</w:t>
      </w:r>
    </w:p>
  </w:footnote>
  <w:footnote w:id="60">
    <w:p w:rsidR="00E82D55" w:rsidRPr="00D901F8" w:rsidP="00D901F8" w14:paraId="444E0A3B" w14:textId="21AF9C2C">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11 at 3. </w:t>
      </w:r>
    </w:p>
  </w:footnote>
  <w:footnote w:id="61">
    <w:p w:rsidR="00E82D55" w:rsidRPr="00D901F8" w:rsidP="00D901F8" w14:paraId="3C9AA681" w14:textId="2C1429DA">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62">
    <w:p w:rsidR="00E82D55" w:rsidRPr="00D901F8" w:rsidP="00D901F8" w14:paraId="4F4C8583" w14:textId="5CDD4FC1">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63">
    <w:p w:rsidR="00E82D55" w:rsidRPr="00D901F8" w:rsidP="00D901F8" w14:paraId="132A2477" w14:textId="6AF5DA7A">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11 at 5.</w:t>
      </w:r>
    </w:p>
  </w:footnote>
  <w:footnote w:id="64">
    <w:p w:rsidR="00E82D55" w:rsidRPr="00D901F8" w:rsidP="00D901F8" w14:paraId="221CFC36" w14:textId="0DE043F9">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Off. of Consumers' Couns. v. Pub. Utilities Comm'n of Ohio</w:t>
      </w:r>
      <w:r w:rsidRPr="00D901F8">
        <w:rPr>
          <w:rFonts w:ascii="Times New Roman" w:hAnsi="Times New Roman"/>
        </w:rPr>
        <w:t>, 67 Ohio St.2d 372, 376, 424 N.E.2d 300, 302–03 (1981).</w:t>
      </w:r>
    </w:p>
  </w:footnote>
  <w:footnote w:id="65">
    <w:p w:rsidR="00E82D55" w:rsidRPr="00D901F8" w:rsidP="00D901F8" w14:paraId="4D04797C" w14:textId="6AC1D812">
      <w:pPr>
        <w:spacing w:after="120"/>
        <w:rPr>
          <w:sz w:val="20"/>
          <w:szCs w:val="20"/>
        </w:rPr>
      </w:pPr>
      <w:r w:rsidRPr="00D901F8">
        <w:rPr>
          <w:rStyle w:val="FootnoteReference"/>
          <w:sz w:val="20"/>
          <w:szCs w:val="20"/>
        </w:rPr>
        <w:footnoteRef/>
      </w:r>
      <w:r w:rsidRPr="00D901F8">
        <w:rPr>
          <w:sz w:val="20"/>
          <w:szCs w:val="20"/>
        </w:rPr>
        <w:t xml:space="preserve"> Case No. 80-376-EL-AIR, 1981 WL 703433, Opinion &amp; Order (May 1, 1981), at 30.</w:t>
      </w:r>
    </w:p>
  </w:footnote>
  <w:footnote w:id="66">
    <w:p w:rsidR="00E82D55" w:rsidRPr="00D901F8" w:rsidP="00D901F8" w14:paraId="3FB56A08" w14:textId="77777777">
      <w:pPr>
        <w:pStyle w:val="FootnoteText"/>
        <w:spacing w:after="120"/>
        <w:rPr>
          <w:rFonts w:ascii="Times New Roman" w:hAnsi="Times New Roman"/>
          <w:i/>
          <w:iCs/>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p>
  </w:footnote>
  <w:footnote w:id="67">
    <w:p w:rsidR="00E82D55" w:rsidRPr="00D901F8" w:rsidP="00D901F8" w14:paraId="2DD546A1" w14:textId="6F9C6B7D">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R.C. 5713.01</w:t>
      </w:r>
      <w:r w:rsidR="00FA3504">
        <w:rPr>
          <w:rFonts w:ascii="Times New Roman" w:hAnsi="Times New Roman"/>
        </w:rPr>
        <w:t>.</w:t>
      </w:r>
    </w:p>
  </w:footnote>
  <w:footnote w:id="68">
    <w:p w:rsidR="00E82D55" w:rsidRPr="00D901F8" w:rsidP="00D901F8" w14:paraId="4750D5FF" w14:textId="38B4B338">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Ex. 11 at 19.</w:t>
      </w:r>
    </w:p>
  </w:footnote>
  <w:footnote w:id="69">
    <w:p w:rsidR="00E82D55" w:rsidRPr="00D901F8" w:rsidP="00D901F8" w14:paraId="5F2CA239"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Id.</w:t>
      </w:r>
      <w:r w:rsidRPr="00D901F8">
        <w:rPr>
          <w:rFonts w:ascii="Times New Roman" w:hAnsi="Times New Roman"/>
        </w:rPr>
        <w:t xml:space="preserve"> at p 19.</w:t>
      </w:r>
    </w:p>
  </w:footnote>
  <w:footnote w:id="70">
    <w:p w:rsidR="00E82D55" w:rsidRPr="00D901F8" w:rsidP="00D901F8" w14:paraId="61065D3D"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Id.</w:t>
      </w:r>
    </w:p>
  </w:footnote>
  <w:footnote w:id="71">
    <w:p w:rsidR="00E82D55" w:rsidRPr="00D901F8" w:rsidP="00D901F8" w14:paraId="4C33DAB4"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bookmarkStart w:id="20" w:name="_Hlk137204348"/>
      <w:r w:rsidRPr="00D901F8">
        <w:rPr>
          <w:rFonts w:ascii="Times New Roman" w:hAnsi="Times New Roman"/>
          <w:i/>
          <w:iCs/>
        </w:rPr>
        <w:t>Id</w:t>
      </w:r>
      <w:r w:rsidRPr="00D901F8">
        <w:rPr>
          <w:rFonts w:ascii="Times New Roman" w:hAnsi="Times New Roman"/>
        </w:rPr>
        <w:t xml:space="preserve">. </w:t>
      </w:r>
      <w:bookmarkEnd w:id="20"/>
      <w:r w:rsidRPr="00D901F8">
        <w:rPr>
          <w:rFonts w:ascii="Times New Roman" w:hAnsi="Times New Roman"/>
        </w:rPr>
        <w:t>at 20.</w:t>
      </w:r>
    </w:p>
  </w:footnote>
  <w:footnote w:id="72">
    <w:p w:rsidR="00E82D55" w:rsidRPr="00D901F8" w:rsidP="00D901F8" w14:paraId="7C5A1AA8"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Id</w:t>
      </w:r>
      <w:r w:rsidRPr="00D901F8">
        <w:rPr>
          <w:rFonts w:ascii="Times New Roman" w:hAnsi="Times New Roman"/>
        </w:rPr>
        <w:t>.</w:t>
      </w:r>
    </w:p>
  </w:footnote>
  <w:footnote w:id="73">
    <w:p w:rsidR="00E82D55" w:rsidRPr="00D901F8" w:rsidP="00D901F8" w14:paraId="2EB420DF"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Id.</w:t>
      </w:r>
    </w:p>
  </w:footnote>
  <w:footnote w:id="74">
    <w:p w:rsidR="00E82D55" w:rsidRPr="00D901F8" w:rsidP="00D901F8" w14:paraId="07EC2E8D" w14:textId="4845EA9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at 6.</w:t>
      </w:r>
    </w:p>
  </w:footnote>
  <w:footnote w:id="75">
    <w:p w:rsidR="00E82D55" w:rsidRPr="00D901F8" w:rsidP="00D901F8" w14:paraId="2C94386F" w14:textId="58BB19DF">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9 at 34.</w:t>
      </w:r>
    </w:p>
  </w:footnote>
  <w:footnote w:id="76">
    <w:p w:rsidR="00E82D55" w:rsidRPr="00D901F8" w:rsidP="00D901F8" w14:paraId="448A162B" w14:textId="288783A1">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Case No. 19-791-GA-ALT, Opinion and Order (April 21, 2021).</w:t>
      </w:r>
    </w:p>
  </w:footnote>
  <w:footnote w:id="77">
    <w:p w:rsidR="00E82D55" w:rsidRPr="00D901F8" w:rsidP="00D901F8" w14:paraId="70FB1461" w14:textId="7121A9F4">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Case No. 19-791-GA-ALT, Stipulation and Recommendation (November 16, 2020) at ¶ 6, pp. 5-6.</w:t>
      </w:r>
    </w:p>
  </w:footnote>
  <w:footnote w:id="78">
    <w:p w:rsidR="00E82D55" w:rsidRPr="00D901F8" w:rsidP="00D901F8" w14:paraId="31AEFB8F" w14:textId="474BE9A4">
      <w:pPr>
        <w:pStyle w:val="FootnoteText"/>
        <w:spacing w:after="120"/>
        <w:rPr>
          <w:rFonts w:ascii="Times New Roman" w:hAnsi="Times New Roman"/>
          <w:i/>
          <w:iCs/>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p>
  </w:footnote>
  <w:footnote w:id="79">
    <w:p w:rsidR="00E82D55" w:rsidRPr="00D901F8" w:rsidP="00D901F8" w14:paraId="335836D0"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at 40.</w:t>
      </w:r>
    </w:p>
  </w:footnote>
  <w:footnote w:id="80">
    <w:p w:rsidR="00E82D55" w:rsidRPr="00D901F8" w:rsidP="00D901F8" w14:paraId="39BDFC70" w14:textId="5B816366">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9 at 42.</w:t>
      </w:r>
    </w:p>
  </w:footnote>
  <w:footnote w:id="81">
    <w:p w:rsidR="00E82D55" w:rsidRPr="00D901F8" w:rsidP="00D901F8" w14:paraId="2EAF33E8" w14:textId="032FE15D">
      <w:pPr>
        <w:pStyle w:val="FootnoteText"/>
        <w:spacing w:after="120"/>
        <w:rPr>
          <w:rFonts w:ascii="Times New Roman" w:hAnsi="Times New Roman"/>
          <w:i/>
          <w:iCs/>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p>
  </w:footnote>
  <w:footnote w:id="82">
    <w:p w:rsidR="00E82D55" w:rsidRPr="00D901F8" w:rsidP="00D901F8" w14:paraId="507A5E42" w14:textId="7C2465C4">
      <w:pPr>
        <w:pStyle w:val="FootnoteText"/>
        <w:spacing w:after="120"/>
        <w:rPr>
          <w:rFonts w:ascii="Times New Roman" w:hAnsi="Times New Roman"/>
          <w:iCs/>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rPr>
        <w:t>Id.</w:t>
      </w:r>
    </w:p>
  </w:footnote>
  <w:footnote w:id="83">
    <w:p w:rsidR="00E82D55" w:rsidRPr="00D901F8" w:rsidP="00D901F8" w14:paraId="663DFA53" w14:textId="5DEE72D3">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 xml:space="preserve">at 43; </w:t>
      </w:r>
      <w:r w:rsidRPr="00D901F8">
        <w:rPr>
          <w:rFonts w:ascii="Times New Roman" w:hAnsi="Times New Roman"/>
          <w:i/>
          <w:iCs/>
        </w:rPr>
        <w:t>See e.g.,</w:t>
      </w:r>
      <w:r w:rsidRPr="00D901F8">
        <w:rPr>
          <w:rFonts w:ascii="Times New Roman" w:hAnsi="Times New Roman"/>
        </w:rPr>
        <w:t xml:space="preserve"> Case No. 19-771-GA-ALT Post Hearing Brief of Duke Energy Ohio, Inc. (February 24, 2021) at 16-17 where Duke states “As discussed above, Company witness Petchul supports the </w:t>
      </w:r>
      <w:r w:rsidRPr="00D901F8">
        <w:rPr>
          <w:rFonts w:ascii="Times New Roman" w:hAnsi="Times New Roman"/>
          <w:b/>
          <w:bCs/>
          <w:i/>
          <w:iCs/>
        </w:rPr>
        <w:t>drivers of the Company’s [CEP] investments</w:t>
      </w:r>
      <w:r w:rsidRPr="00D901F8">
        <w:rPr>
          <w:rFonts w:ascii="Times New Roman" w:hAnsi="Times New Roman"/>
        </w:rPr>
        <w:t xml:space="preserve">, both during the audit review period and going forward. These drivers include </w:t>
      </w:r>
      <w:r w:rsidRPr="00D901F8">
        <w:rPr>
          <w:rFonts w:ascii="Times New Roman" w:hAnsi="Times New Roman"/>
          <w:b/>
          <w:bCs/>
          <w:i/>
          <w:iCs/>
        </w:rPr>
        <w:t>customer growth</w:t>
      </w:r>
      <w:r w:rsidRPr="00D901F8">
        <w:rPr>
          <w:rFonts w:ascii="Times New Roman" w:hAnsi="Times New Roman"/>
        </w:rPr>
        <w:t>, government-driven relocations, replacement of aging infrastructure, infrastructure improvements, and investments required to meet existing and emerging state and federal integrity management requirements.” (Emphasis supplied.)</w:t>
      </w:r>
    </w:p>
  </w:footnote>
  <w:footnote w:id="84">
    <w:p w:rsidR="00E82D55" w:rsidRPr="00D901F8" w:rsidP="00D901F8" w14:paraId="5971C966" w14:textId="555AC498">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Id</w:t>
      </w:r>
      <w:r w:rsidRPr="00D901F8">
        <w:rPr>
          <w:rFonts w:ascii="Times New Roman" w:hAnsi="Times New Roman"/>
        </w:rPr>
        <w:t xml:space="preserve">. at 43; </w:t>
      </w:r>
      <w:r w:rsidRPr="00D901F8">
        <w:rPr>
          <w:rFonts w:ascii="Times New Roman" w:hAnsi="Times New Roman"/>
          <w:i/>
          <w:iCs/>
        </w:rPr>
        <w:t>see also</w:t>
      </w:r>
      <w:r w:rsidRPr="00D901F8">
        <w:rPr>
          <w:rFonts w:ascii="Times New Roman" w:hAnsi="Times New Roman"/>
        </w:rPr>
        <w:t xml:space="preserve"> Attachment KJA-1, 2, and 3.</w:t>
      </w:r>
    </w:p>
  </w:footnote>
  <w:footnote w:id="85">
    <w:p w:rsidR="00E82D55" w:rsidRPr="00D901F8" w:rsidP="00D901F8" w14:paraId="4F67BB8D" w14:textId="6C9518C2">
      <w:pPr>
        <w:pStyle w:val="FootnoteText"/>
        <w:spacing w:after="120"/>
        <w:rPr>
          <w:rFonts w:ascii="Times New Roman" w:hAnsi="Times New Roman"/>
          <w:i/>
          <w:iCs/>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p>
  </w:footnote>
  <w:footnote w:id="86">
    <w:p w:rsidR="00E82D55" w:rsidRPr="00D901F8" w:rsidP="00D901F8" w14:paraId="6E7BC520" w14:textId="081EA203">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at 46.</w:t>
      </w:r>
    </w:p>
  </w:footnote>
  <w:footnote w:id="87">
    <w:p w:rsidR="00E82D55" w:rsidRPr="00D901F8" w:rsidP="00D901F8" w14:paraId="2BDFCEA5" w14:textId="5DE7145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p>
  </w:footnote>
  <w:footnote w:id="88">
    <w:p w:rsidR="00E82D55" w:rsidRPr="00D901F8" w:rsidP="00D901F8" w14:paraId="4A478EF7" w14:textId="29439630">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Id.</w:t>
      </w:r>
    </w:p>
  </w:footnote>
  <w:footnote w:id="89">
    <w:p w:rsidR="00E82D55" w:rsidRPr="00D901F8" w:rsidP="00D901F8" w14:paraId="51D9A26D" w14:textId="4946FDEB">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at 70.</w:t>
      </w:r>
    </w:p>
  </w:footnote>
  <w:footnote w:id="90">
    <w:p w:rsidR="00E82D55" w:rsidRPr="00D901F8" w:rsidP="00D901F8" w14:paraId="1F53F9DE" w14:textId="31798E9D">
      <w:pPr>
        <w:pStyle w:val="FootnoteText"/>
        <w:spacing w:after="120"/>
        <w:rPr>
          <w:rFonts w:ascii="Times New Roman" w:hAnsi="Times New Roman"/>
          <w:i/>
          <w:iCs/>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p>
  </w:footnote>
  <w:footnote w:id="91">
    <w:p w:rsidR="00E82D55" w:rsidRPr="00D901F8" w:rsidP="00D901F8" w14:paraId="2DB61E4B" w14:textId="0A7DE34C">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at 68.</w:t>
      </w:r>
    </w:p>
  </w:footnote>
  <w:footnote w:id="92">
    <w:p w:rsidR="00E82D55" w:rsidRPr="00D901F8" w:rsidP="00D901F8" w14:paraId="1435EBC9" w14:textId="7E8BF920">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Direct </w:t>
      </w:r>
      <w:bookmarkStart w:id="25" w:name="_Hlk137461468"/>
      <w:r w:rsidRPr="00D901F8">
        <w:rPr>
          <w:rFonts w:ascii="Times New Roman" w:hAnsi="Times New Roman"/>
        </w:rPr>
        <w:t xml:space="preserve">Testimony of Brian R. Weisker at </w:t>
      </w:r>
      <w:bookmarkEnd w:id="25"/>
      <w:r w:rsidRPr="00D901F8">
        <w:rPr>
          <w:rFonts w:ascii="Times New Roman" w:hAnsi="Times New Roman"/>
        </w:rPr>
        <w:t>29.</w:t>
      </w:r>
    </w:p>
  </w:footnote>
  <w:footnote w:id="93">
    <w:p w:rsidR="00E82D55" w:rsidRPr="00D901F8" w:rsidP="00D901F8" w14:paraId="07398EBB" w14:textId="0389D98B">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 xml:space="preserve">Id. </w:t>
      </w:r>
      <w:r w:rsidRPr="00D901F8">
        <w:rPr>
          <w:rFonts w:ascii="Times New Roman" w:hAnsi="Times New Roman"/>
        </w:rPr>
        <w:t>at 30.</w:t>
      </w:r>
    </w:p>
  </w:footnote>
  <w:footnote w:id="94">
    <w:p w:rsidR="00E82D55" w:rsidRPr="00D901F8" w:rsidP="00D901F8" w14:paraId="189FA0BE"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Supplemental Testimony of Brian R. Weisker (May 4, 2023) at 4.</w:t>
      </w:r>
    </w:p>
  </w:footnote>
  <w:footnote w:id="95">
    <w:p w:rsidR="00E82D55" w:rsidRPr="00D901F8" w:rsidP="00D901F8" w14:paraId="49D7822F" w14:textId="1A5AA1CA">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bookmarkStart w:id="26" w:name="_Hlk137463576"/>
      <w:r w:rsidRPr="00D901F8">
        <w:rPr>
          <w:rFonts w:ascii="Times New Roman" w:hAnsi="Times New Roman"/>
          <w:i/>
          <w:iCs/>
        </w:rPr>
        <w:t xml:space="preserve">Tr. </w:t>
      </w:r>
      <w:r w:rsidRPr="00D901F8">
        <w:rPr>
          <w:rFonts w:ascii="Times New Roman" w:hAnsi="Times New Roman"/>
        </w:rPr>
        <w:t>I</w:t>
      </w:r>
      <w:r w:rsidRPr="00D901F8">
        <w:rPr>
          <w:rFonts w:ascii="Times New Roman" w:hAnsi="Times New Roman"/>
          <w:i/>
          <w:iCs/>
        </w:rPr>
        <w:t xml:space="preserve"> </w:t>
      </w:r>
      <w:r w:rsidRPr="00D901F8">
        <w:rPr>
          <w:rFonts w:ascii="Times New Roman" w:hAnsi="Times New Roman"/>
        </w:rPr>
        <w:t>at 75-76.</w:t>
      </w:r>
      <w:bookmarkEnd w:id="26"/>
    </w:p>
  </w:footnote>
  <w:footnote w:id="96">
    <w:p w:rsidR="00E82D55" w:rsidRPr="00D901F8" w:rsidP="00D901F8" w14:paraId="4434720F" w14:textId="78E73F04">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Settlement at 7.</w:t>
      </w:r>
    </w:p>
  </w:footnote>
  <w:footnote w:id="97">
    <w:p w:rsidR="00E82D55" w:rsidRPr="00D901F8" w:rsidP="00D901F8" w14:paraId="0549286D" w14:textId="7BC63DF4">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11 at 7.</w:t>
      </w:r>
    </w:p>
  </w:footnote>
  <w:footnote w:id="98">
    <w:p w:rsidR="00E82D55" w:rsidRPr="00D901F8" w:rsidP="00D901F8" w14:paraId="622C7D02" w14:textId="050ECD57">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99">
    <w:p w:rsidR="00E82D55" w:rsidRPr="00D901F8" w:rsidP="00D901F8" w14:paraId="0B28E565" w14:textId="7119FE24">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eastAsia="Arial Unicode MS" w:hAnsi="Times New Roman"/>
          <w:color w:val="000000" w:themeColor="text1"/>
        </w:rPr>
        <w:t>OCC Ex. 7 at JPB-01.</w:t>
      </w:r>
    </w:p>
  </w:footnote>
  <w:footnote w:id="100">
    <w:p w:rsidR="00E82D55" w:rsidRPr="00D901F8" w:rsidP="00D901F8" w14:paraId="3BEEC84E" w14:textId="79B84A86">
      <w:pPr>
        <w:pStyle w:val="FootnoteText"/>
        <w:spacing w:after="120"/>
        <w:rPr>
          <w:rFonts w:ascii="Times New Roman" w:hAnsi="Times New Roman"/>
          <w:i/>
          <w:iCs/>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w:t>
      </w:r>
      <w:r w:rsidRPr="00D901F8">
        <w:rPr>
          <w:rFonts w:ascii="Times New Roman" w:eastAsia="Arial Unicode MS" w:hAnsi="Times New Roman"/>
          <w:i/>
          <w:iCs/>
          <w:color w:val="000000" w:themeColor="text1"/>
        </w:rPr>
        <w:t xml:space="preserve">Id. </w:t>
      </w:r>
    </w:p>
  </w:footnote>
  <w:footnote w:id="101">
    <w:p w:rsidR="00E82D55" w:rsidRPr="00D901F8" w:rsidP="00D901F8" w14:paraId="651E763F" w14:textId="3E2233C3">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7 at 5.</w:t>
      </w:r>
    </w:p>
  </w:footnote>
  <w:footnote w:id="102">
    <w:p w:rsidR="00E82D55" w:rsidRPr="00D901F8" w:rsidP="00D901F8" w14:paraId="4CC203B6" w14:textId="0792396E">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15-1830-EL-AIR, PUCO Staff Report (March 12, 2018) at 18.</w:t>
      </w:r>
    </w:p>
  </w:footnote>
  <w:footnote w:id="103">
    <w:p w:rsidR="00E82D55" w:rsidRPr="00D901F8" w:rsidP="00D901F8" w14:paraId="5A3D44B0" w14:textId="5ED497EA">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7 at 11</w:t>
      </w:r>
      <w:r w:rsidR="00FA3504">
        <w:rPr>
          <w:rFonts w:ascii="Times New Roman" w:hAnsi="Times New Roman"/>
          <w:color w:val="000000" w:themeColor="text1"/>
        </w:rPr>
        <w:t>.</w:t>
      </w:r>
    </w:p>
  </w:footnote>
  <w:footnote w:id="104">
    <w:p w:rsidR="00E82D55" w:rsidRPr="00D901F8" w:rsidP="00D901F8" w14:paraId="30BA92F1" w14:textId="7777777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Settlement at 4. </w:t>
      </w:r>
    </w:p>
  </w:footnote>
  <w:footnote w:id="105">
    <w:p w:rsidR="00E82D55" w:rsidRPr="00D901F8" w:rsidP="00D901F8" w14:paraId="70D30862" w14:textId="2590948F">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7 at 5.</w:t>
      </w:r>
    </w:p>
  </w:footnote>
  <w:footnote w:id="106">
    <w:p w:rsidR="00E82D55" w:rsidRPr="00D901F8" w:rsidP="00D901F8" w14:paraId="36D15CD7" w14:textId="53473426">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7 at 7-8.</w:t>
      </w:r>
    </w:p>
  </w:footnote>
  <w:footnote w:id="107">
    <w:p w:rsidR="00E82D55" w:rsidRPr="00D901F8" w:rsidP="00D901F8" w14:paraId="22873112" w14:textId="2A5D6AC8">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r w:rsidRPr="00D901F8">
        <w:rPr>
          <w:rFonts w:ascii="Times New Roman" w:hAnsi="Times New Roman"/>
          <w:color w:val="000000" w:themeColor="text1"/>
        </w:rPr>
        <w:t>at 8.</w:t>
      </w:r>
    </w:p>
  </w:footnote>
  <w:footnote w:id="108">
    <w:p w:rsidR="00E82D55" w:rsidRPr="00D901F8" w:rsidP="00D901F8" w14:paraId="2A1B7AD8" w14:textId="7DB3BF50">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109">
    <w:p w:rsidR="00E82D55" w:rsidRPr="00D901F8" w:rsidP="00D901F8" w14:paraId="5F1C7F1D" w14:textId="0141866D">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r w:rsidRPr="00D901F8">
        <w:rPr>
          <w:rFonts w:ascii="Times New Roman" w:hAnsi="Times New Roman"/>
          <w:color w:val="000000" w:themeColor="text1"/>
        </w:rPr>
        <w:t>at 9.</w:t>
      </w:r>
    </w:p>
  </w:footnote>
  <w:footnote w:id="110">
    <w:p w:rsidR="00E82D55" w:rsidRPr="00D901F8" w:rsidP="00D901F8" w14:paraId="559AB823" w14:textId="21C74F3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r w:rsidRPr="00D901F8">
        <w:rPr>
          <w:rFonts w:ascii="Times New Roman" w:hAnsi="Times New Roman"/>
          <w:color w:val="000000" w:themeColor="text1"/>
        </w:rPr>
        <w:t>at 5.</w:t>
      </w:r>
    </w:p>
  </w:footnote>
  <w:footnote w:id="111">
    <w:p w:rsidR="00E82D55" w:rsidRPr="00D901F8" w:rsidP="00D901F8" w14:paraId="1C1B3104" w14:textId="4B117723">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r w:rsidRPr="00D901F8">
        <w:rPr>
          <w:rFonts w:ascii="Times New Roman" w:hAnsi="Times New Roman"/>
          <w:color w:val="000000" w:themeColor="text1"/>
        </w:rPr>
        <w:t>at 7.</w:t>
      </w:r>
    </w:p>
  </w:footnote>
  <w:footnote w:id="112">
    <w:p w:rsidR="00E82D55" w:rsidRPr="00D901F8" w:rsidP="00D901F8" w14:paraId="58FD8836" w14:textId="77777777">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S&amp;P Global Market Intelligence.</w:t>
      </w:r>
    </w:p>
  </w:footnote>
  <w:footnote w:id="113">
    <w:p w:rsidR="00E82D55" w:rsidRPr="00D901F8" w:rsidP="00D901F8" w14:paraId="672B6A34" w14:textId="77E079FA">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7 at 7.</w:t>
      </w:r>
    </w:p>
  </w:footnote>
  <w:footnote w:id="114">
    <w:p w:rsidR="00E82D55" w:rsidRPr="00D901F8" w:rsidP="00D901F8" w14:paraId="312C1123" w14:textId="4090A2E9">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Settlement at 4.</w:t>
      </w:r>
    </w:p>
  </w:footnote>
  <w:footnote w:id="115">
    <w:p w:rsidR="00E82D55" w:rsidRPr="00D901F8" w:rsidP="00D901F8" w14:paraId="1739CF9B" w14:textId="1CAB2FE6">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116">
    <w:p w:rsidR="00E82D55" w:rsidRPr="00D901F8" w:rsidP="00D901F8" w14:paraId="0999A463" w14:textId="28553BC6">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OCC Ex. 7 at Attachment JBP-02.</w:t>
      </w:r>
    </w:p>
  </w:footnote>
  <w:footnote w:id="117">
    <w:p w:rsidR="00E82D55" w:rsidRPr="00D901F8" w:rsidP="00D901F8" w14:paraId="668DF718" w14:textId="7797E42E">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7 at 10.</w:t>
      </w:r>
    </w:p>
  </w:footnote>
  <w:footnote w:id="118">
    <w:p w:rsidR="00E82D55" w:rsidRPr="00D901F8" w:rsidP="00D901F8" w14:paraId="686D388B" w14:textId="080A7F3D">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119">
    <w:p w:rsidR="00E82D55" w:rsidRPr="00D901F8" w:rsidP="00D901F8" w14:paraId="23163709" w14:textId="1FFAAABD">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OCC Ex. 7 at Attachment JPB-03.</w:t>
      </w:r>
    </w:p>
  </w:footnote>
  <w:footnote w:id="120">
    <w:p w:rsidR="00E82D55" w:rsidRPr="00D901F8" w:rsidP="00D901F8" w14:paraId="264A093F" w14:textId="0A7501A7">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w:t>
      </w:r>
      <w:r w:rsidRPr="00D901F8">
        <w:rPr>
          <w:rFonts w:ascii="Times New Roman" w:eastAsia="Arial Unicode MS" w:hAnsi="Times New Roman"/>
          <w:i/>
          <w:iCs/>
          <w:color w:val="000000" w:themeColor="text1"/>
        </w:rPr>
        <w:t>Id.</w:t>
      </w:r>
    </w:p>
  </w:footnote>
  <w:footnote w:id="121">
    <w:p w:rsidR="00E82D55" w:rsidRPr="00D901F8" w:rsidP="00D901F8" w14:paraId="0151797A" w14:textId="4681435A">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w:t>
      </w:r>
      <w:r w:rsidRPr="00D901F8">
        <w:rPr>
          <w:rFonts w:ascii="Times New Roman" w:eastAsia="Arial Unicode MS" w:hAnsi="Times New Roman"/>
          <w:i/>
          <w:iCs/>
          <w:color w:val="000000" w:themeColor="text1"/>
        </w:rPr>
        <w:t xml:space="preserve">Id. </w:t>
      </w:r>
    </w:p>
  </w:footnote>
  <w:footnote w:id="122">
    <w:p w:rsidR="00E82D55" w:rsidRPr="00D901F8" w:rsidP="00D901F8" w14:paraId="2DADEAA7" w14:textId="77777777">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S&amp;P Global Ratings Duke Energy Ohio February 24, 2022.</w:t>
      </w:r>
    </w:p>
  </w:footnote>
  <w:footnote w:id="123">
    <w:p w:rsidR="00E82D55" w:rsidRPr="00D901F8" w:rsidP="00D901F8" w14:paraId="67FCE8AB" w14:textId="02E0EBA2">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5 (Fortney) at 5.</w:t>
      </w:r>
    </w:p>
  </w:footnote>
  <w:footnote w:id="124">
    <w:p w:rsidR="00E82D55" w:rsidRPr="00D901F8" w:rsidP="00D901F8" w14:paraId="10E894C6" w14:textId="033384B5">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125">
    <w:p w:rsidR="00E82D55" w:rsidRPr="00D901F8" w:rsidP="00D901F8" w14:paraId="55083229" w14:textId="5773616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Settlement at 6.</w:t>
      </w:r>
    </w:p>
  </w:footnote>
  <w:footnote w:id="126">
    <w:p w:rsidR="00E82D55" w:rsidRPr="00D901F8" w:rsidP="00D901F8" w14:paraId="0D5559E6" w14:textId="79547445">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5 at 5. </w:t>
      </w:r>
    </w:p>
  </w:footnote>
  <w:footnote w:id="127">
    <w:p w:rsidR="00E82D55" w:rsidRPr="00D901F8" w:rsidP="00D901F8" w14:paraId="08FBAD37" w14:textId="52CFA606">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128">
    <w:p w:rsidR="00E82D55" w:rsidRPr="00D901F8" w:rsidP="00D901F8" w14:paraId="05B6194A" w14:textId="7777777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r w:rsidRPr="00D901F8">
        <w:rPr>
          <w:rFonts w:ascii="Times New Roman" w:hAnsi="Times New Roman"/>
          <w:color w:val="000000" w:themeColor="text1"/>
        </w:rPr>
        <w:t>at RBF-1.</w:t>
      </w:r>
    </w:p>
  </w:footnote>
  <w:footnote w:id="129">
    <w:p w:rsidR="00E82D55" w:rsidRPr="00D901F8" w:rsidP="00D901F8" w14:paraId="67149523" w14:textId="77777777">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p>
  </w:footnote>
  <w:footnote w:id="130">
    <w:p w:rsidR="00E82D55" w:rsidRPr="00D901F8" w:rsidP="00D901F8" w14:paraId="106D5434" w14:textId="375C207A">
      <w:pPr>
        <w:pStyle w:val="FootnoteText"/>
        <w:spacing w:after="120"/>
        <w:rPr>
          <w:rFonts w:ascii="Times New Roman" w:hAnsi="Times New Roman"/>
          <w:i/>
          <w:iCs/>
          <w:color w:val="000000" w:themeColor="text1"/>
          <w:highlight w:val="yellow"/>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r w:rsidRPr="00D901F8">
        <w:rPr>
          <w:rFonts w:ascii="Times New Roman" w:hAnsi="Times New Roman"/>
          <w:color w:val="000000" w:themeColor="text1"/>
        </w:rPr>
        <w:t>at 5.</w:t>
      </w:r>
    </w:p>
  </w:footnote>
  <w:footnote w:id="131">
    <w:p w:rsidR="00E82D55" w:rsidRPr="00D901F8" w:rsidP="00D901F8" w14:paraId="26F59A87" w14:textId="36263EE6">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r w:rsidRPr="00D901F8">
        <w:rPr>
          <w:rFonts w:ascii="Times New Roman" w:hAnsi="Times New Roman"/>
          <w:color w:val="000000" w:themeColor="text1"/>
        </w:rPr>
        <w:t>at RBF-1.</w:t>
      </w:r>
    </w:p>
  </w:footnote>
  <w:footnote w:id="132">
    <w:p w:rsidR="00E82D55" w:rsidRPr="00D901F8" w:rsidP="00D901F8" w14:paraId="356BC498" w14:textId="71DF6FAD">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p>
  </w:footnote>
  <w:footnote w:id="133">
    <w:p w:rsidR="00E82D55" w:rsidRPr="00D901F8" w:rsidP="00D901F8" w14:paraId="28BE51C5" w14:textId="77777777">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p>
  </w:footnote>
  <w:footnote w:id="134">
    <w:p w:rsidR="00E82D55" w:rsidRPr="00D901F8" w:rsidP="00FA3504" w14:paraId="23EF1383" w14:textId="1CD4CF71">
      <w:pPr>
        <w:pStyle w:val="NormalWeb"/>
        <w:spacing w:before="0" w:beforeAutospacing="0" w:after="120" w:afterAutospacing="0"/>
        <w:textAlignment w:val="baseline"/>
        <w:rPr>
          <w:sz w:val="20"/>
          <w:szCs w:val="20"/>
        </w:rPr>
      </w:pPr>
      <w:r w:rsidRPr="00D901F8">
        <w:rPr>
          <w:rStyle w:val="FootnoteReference"/>
          <w:sz w:val="20"/>
          <w:szCs w:val="20"/>
        </w:rPr>
        <w:footnoteRef/>
      </w:r>
      <w:r w:rsidRPr="00D901F8">
        <w:rPr>
          <w:sz w:val="20"/>
          <w:szCs w:val="20"/>
        </w:rPr>
        <w:t xml:space="preserve"> The </w:t>
      </w:r>
      <w:r w:rsidRPr="00D901F8">
        <w:rPr>
          <w:color w:val="000000" w:themeColor="text1"/>
          <w:sz w:val="20"/>
          <w:szCs w:val="20"/>
        </w:rPr>
        <w:t>“…regulatory principle of</w:t>
      </w:r>
      <w:r w:rsidRPr="00D901F8">
        <w:rPr>
          <w:rStyle w:val="apple-converted-space"/>
          <w:color w:val="000000" w:themeColor="text1"/>
          <w:sz w:val="20"/>
          <w:szCs w:val="20"/>
        </w:rPr>
        <w:t> </w:t>
      </w:r>
      <w:r w:rsidRPr="00D901F8">
        <w:rPr>
          <w:rStyle w:val="sssh"/>
          <w:color w:val="000000" w:themeColor="text1"/>
          <w:sz w:val="20"/>
          <w:szCs w:val="20"/>
          <w:bdr w:val="none" w:sz="0" w:space="0" w:color="auto" w:frame="1"/>
        </w:rPr>
        <w:t>gradualism</w:t>
      </w:r>
      <w:r w:rsidRPr="00D901F8">
        <w:rPr>
          <w:color w:val="000000" w:themeColor="text1"/>
          <w:sz w:val="20"/>
          <w:szCs w:val="20"/>
        </w:rPr>
        <w:t>, which seeks to minimize the impact of</w:t>
      </w:r>
      <w:r w:rsidRPr="00D901F8">
        <w:rPr>
          <w:rStyle w:val="apple-converted-space"/>
          <w:color w:val="000000" w:themeColor="text1"/>
          <w:sz w:val="20"/>
          <w:szCs w:val="20"/>
        </w:rPr>
        <w:t> </w:t>
      </w:r>
      <w:r w:rsidRPr="00D901F8">
        <w:rPr>
          <w:rStyle w:val="sssh"/>
          <w:color w:val="000000" w:themeColor="text1"/>
          <w:sz w:val="20"/>
          <w:szCs w:val="20"/>
          <w:bdr w:val="none" w:sz="0" w:space="0" w:color="auto" w:frame="1"/>
        </w:rPr>
        <w:t xml:space="preserve">rate </w:t>
      </w:r>
      <w:r w:rsidRPr="00D901F8">
        <w:rPr>
          <w:color w:val="000000" w:themeColor="text1"/>
          <w:sz w:val="20"/>
          <w:szCs w:val="20"/>
        </w:rPr>
        <w:t xml:space="preserve">changes on customers…” </w:t>
      </w:r>
      <w:r w:rsidRPr="00D901F8">
        <w:rPr>
          <w:i/>
          <w:iCs/>
          <w:color w:val="000000" w:themeColor="text1"/>
          <w:sz w:val="20"/>
          <w:szCs w:val="20"/>
          <w:u w:val="single"/>
          <w:bdr w:val="none" w:sz="0" w:space="0" w:color="auto" w:frame="1"/>
        </w:rPr>
        <w:t>Ohio Consumers' Counsel v. PUC of Ohio</w:t>
      </w:r>
      <w:r w:rsidRPr="00D901F8">
        <w:rPr>
          <w:color w:val="000000" w:themeColor="text1"/>
          <w:sz w:val="20"/>
          <w:szCs w:val="20"/>
          <w:u w:val="single"/>
          <w:bdr w:val="none" w:sz="0" w:space="0" w:color="auto" w:frame="1"/>
        </w:rPr>
        <w:t xml:space="preserve">, </w:t>
      </w:r>
      <w:r w:rsidRPr="00D901F8">
        <w:rPr>
          <w:color w:val="000000" w:themeColor="text1"/>
          <w:sz w:val="20"/>
          <w:szCs w:val="20"/>
          <w:bdr w:val="none" w:sz="0" w:space="0" w:color="auto" w:frame="1"/>
        </w:rPr>
        <w:t xml:space="preserve">125 Ohio St.3d 57, 2010-Ohio-134, 926 N.E.2d 261, ¶ 19. </w:t>
      </w:r>
    </w:p>
  </w:footnote>
  <w:footnote w:id="135">
    <w:p w:rsidR="00E82D55" w:rsidRPr="00D901F8" w:rsidP="00D901F8" w14:paraId="3C3CE174" w14:textId="457C3062">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Settlement at 8.</w:t>
      </w:r>
    </w:p>
  </w:footnote>
  <w:footnote w:id="136">
    <w:p w:rsidR="00E82D55" w:rsidRPr="00D901F8" w:rsidP="00D901F8" w14:paraId="2D6972F9" w14:textId="715E150E">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5 at 6.</w:t>
      </w:r>
      <w:r w:rsidRPr="00D901F8">
        <w:rPr>
          <w:rFonts w:ascii="Times New Roman" w:hAnsi="Times New Roman"/>
          <w:i/>
          <w:iCs/>
          <w:color w:val="000000" w:themeColor="text1"/>
        </w:rPr>
        <w:t xml:space="preserve"> </w:t>
      </w:r>
    </w:p>
  </w:footnote>
  <w:footnote w:id="137">
    <w:p w:rsidR="00E82D55" w:rsidRPr="00D901F8" w:rsidP="00D901F8" w14:paraId="55DBC936" w14:textId="03254D63">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r w:rsidRPr="00D901F8">
        <w:rPr>
          <w:rFonts w:ascii="Times New Roman" w:hAnsi="Times New Roman"/>
          <w:color w:val="000000" w:themeColor="text1"/>
        </w:rPr>
        <w:t>. at 7.</w:t>
      </w:r>
    </w:p>
  </w:footnote>
  <w:footnote w:id="138">
    <w:p w:rsidR="00E82D55" w:rsidRPr="00D901F8" w:rsidP="00D901F8" w14:paraId="255BFDD7" w14:textId="40B72033">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r w:rsidRPr="00D901F8">
        <w:rPr>
          <w:rFonts w:ascii="Times New Roman" w:hAnsi="Times New Roman"/>
          <w:color w:val="000000" w:themeColor="text1"/>
        </w:rPr>
        <w:t>.</w:t>
      </w:r>
    </w:p>
  </w:footnote>
  <w:footnote w:id="139">
    <w:p w:rsidR="00E82D55" w:rsidRPr="00D901F8" w:rsidP="00D901F8" w14:paraId="5FB9E188" w14:textId="56E62903">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140">
    <w:p w:rsidR="00E82D55" w:rsidRPr="00D901F8" w:rsidP="00D901F8" w14:paraId="2A251CA5" w14:textId="27737F85">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141">
    <w:p w:rsidR="00E82D55" w:rsidRPr="00D901F8" w:rsidP="00D901F8" w14:paraId="50F80C8F" w14:textId="13C62AD6">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3 at 5.</w:t>
      </w:r>
    </w:p>
  </w:footnote>
  <w:footnote w:id="142">
    <w:p w:rsidR="00E82D55" w:rsidRPr="00D901F8" w:rsidP="00D901F8" w14:paraId="2C3DB05D" w14:textId="7D3DFDBB">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Opinion and Order, Case No. 12-1685-GA-AIR at 16 (November 13, 2013).</w:t>
      </w:r>
    </w:p>
  </w:footnote>
  <w:footnote w:id="143">
    <w:p w:rsidR="00E82D55" w:rsidRPr="00D901F8" w:rsidP="00D901F8" w14:paraId="55A3A58B" w14:textId="7777777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Settlement at 13.</w:t>
      </w:r>
    </w:p>
  </w:footnote>
  <w:footnote w:id="144">
    <w:p w:rsidR="00E82D55" w:rsidRPr="00D901F8" w:rsidP="00D901F8" w14:paraId="0212A376" w14:textId="7777777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Settlement at 3.</w:t>
      </w:r>
    </w:p>
  </w:footnote>
  <w:footnote w:id="145">
    <w:p w:rsidR="00E82D55" w:rsidRPr="00D901F8" w:rsidP="00D901F8" w14:paraId="29812C2D" w14:textId="26259BA8">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3 at 4. </w:t>
      </w:r>
    </w:p>
  </w:footnote>
  <w:footnote w:id="146">
    <w:p w:rsidR="00E82D55" w:rsidRPr="00D901F8" w:rsidP="00D901F8" w14:paraId="46F97429" w14:textId="54344F69">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147">
    <w:p w:rsidR="00E82D55" w:rsidRPr="00D901F8" w:rsidP="00D901F8" w14:paraId="5F7F7DDA" w14:textId="3651031E">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r w:rsidRPr="00D901F8">
        <w:rPr>
          <w:rFonts w:ascii="Times New Roman" w:hAnsi="Times New Roman"/>
          <w:color w:val="000000" w:themeColor="text1"/>
        </w:rPr>
        <w:t>at 6.</w:t>
      </w:r>
      <w:r w:rsidRPr="00D901F8">
        <w:rPr>
          <w:rFonts w:ascii="Times New Roman" w:hAnsi="Times New Roman"/>
          <w:i/>
          <w:iCs/>
          <w:color w:val="000000" w:themeColor="text1"/>
        </w:rPr>
        <w:t xml:space="preserve"> </w:t>
      </w:r>
    </w:p>
  </w:footnote>
  <w:footnote w:id="148">
    <w:p w:rsidR="00E82D55" w:rsidRPr="00D901F8" w:rsidP="00D901F8" w14:paraId="1A6FD1BF" w14:textId="31DFE460">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Entry (September 26, 2019). </w:t>
      </w:r>
    </w:p>
  </w:footnote>
  <w:footnote w:id="149">
    <w:p w:rsidR="00E82D55" w:rsidRPr="00D901F8" w:rsidP="00D901F8" w14:paraId="224A3EBC" w14:textId="11CAA03D">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150">
    <w:p w:rsidR="00E82D55" w:rsidRPr="00D901F8" w:rsidP="00D901F8" w14:paraId="368E6754" w14:textId="7777777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r w:rsidRPr="00D901F8">
        <w:rPr>
          <w:rFonts w:ascii="Times New Roman" w:hAnsi="Times New Roman"/>
          <w:color w:val="000000" w:themeColor="text1"/>
        </w:rPr>
        <w:t xml:space="preserve">at 7. </w:t>
      </w:r>
    </w:p>
  </w:footnote>
  <w:footnote w:id="151">
    <w:p w:rsidR="00E82D55" w:rsidRPr="00D901F8" w:rsidP="00D901F8" w14:paraId="29A93272" w14:textId="47037DA0">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3 at 8-9.</w:t>
      </w:r>
    </w:p>
  </w:footnote>
  <w:footnote w:id="152">
    <w:p w:rsidR="00E82D55" w:rsidRPr="00D901F8" w:rsidP="00D901F8" w14:paraId="70C453FD" w14:textId="486AD111">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9 at 52. </w:t>
      </w:r>
    </w:p>
  </w:footnote>
  <w:footnote w:id="153">
    <w:p w:rsidR="00E82D55" w:rsidRPr="00D901F8" w:rsidP="00D901F8" w14:paraId="36D704E6"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Settlement at 4.</w:t>
      </w:r>
    </w:p>
  </w:footnote>
  <w:footnote w:id="154">
    <w:p w:rsidR="00E82D55" w:rsidRPr="00D901F8" w:rsidP="00D901F8" w14:paraId="71E3CC49"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bookmarkStart w:id="34" w:name="_Hlk134439473"/>
      <w:r w:rsidRPr="00D901F8">
        <w:rPr>
          <w:rFonts w:ascii="Times New Roman" w:hAnsi="Times New Roman"/>
          <w:i/>
          <w:iCs/>
        </w:rPr>
        <w:t>Id</w:t>
      </w:r>
      <w:bookmarkEnd w:id="34"/>
      <w:r w:rsidRPr="00D901F8">
        <w:rPr>
          <w:rFonts w:ascii="Times New Roman" w:hAnsi="Times New Roman"/>
          <w:i/>
          <w:iCs/>
        </w:rPr>
        <w:t>.</w:t>
      </w:r>
      <w:r w:rsidRPr="00D901F8">
        <w:rPr>
          <w:rFonts w:ascii="Times New Roman" w:hAnsi="Times New Roman"/>
        </w:rPr>
        <w:t xml:space="preserve"> at 7.</w:t>
      </w:r>
    </w:p>
  </w:footnote>
  <w:footnote w:id="155">
    <w:p w:rsidR="00E82D55" w:rsidRPr="00D901F8" w:rsidP="00D901F8" w14:paraId="4A9261F3" w14:textId="5C1E6F04">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9 at 53.</w:t>
      </w:r>
    </w:p>
  </w:footnote>
  <w:footnote w:id="156">
    <w:p w:rsidR="00E82D55" w:rsidRPr="00D901F8" w:rsidP="00D901F8" w14:paraId="3A63E9DC" w14:textId="77777777">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See</w:t>
      </w:r>
      <w:r w:rsidRPr="00D901F8">
        <w:rPr>
          <w:rFonts w:ascii="Times New Roman" w:hAnsi="Times New Roman"/>
        </w:rPr>
        <w:t xml:space="preserve"> Case No. 19-791-GA-ALT ‘Plant in Service and Capital Spending Prudence Audit of Duke Energy Ohio, Inc. (Natural Gas) Covering the Period April 1, 2012 through December 31, 2018’ by Larkin &amp; Associates (“Case No. 19-791 Larkin Audit Report” (May 11, 2020)) at 9-9.</w:t>
      </w:r>
    </w:p>
  </w:footnote>
  <w:footnote w:id="157">
    <w:p w:rsidR="00E82D55" w:rsidRPr="00D901F8" w:rsidP="00D901F8" w14:paraId="6997D3BE" w14:textId="7B109761">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OCC Ex. 9 at 6.</w:t>
      </w:r>
    </w:p>
  </w:footnote>
  <w:footnote w:id="158">
    <w:p w:rsidR="00E82D55" w:rsidRPr="00D901F8" w:rsidP="00D901F8" w14:paraId="1D305923" w14:textId="707F010D">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R.C. 4909.15(A)(1). </w:t>
      </w:r>
    </w:p>
  </w:footnote>
  <w:footnote w:id="159">
    <w:p w:rsidR="00E82D55" w:rsidRPr="00D901F8" w:rsidP="00D901F8" w14:paraId="06FADAC6" w14:textId="2B26D6F4">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Consumers’ Counsel</w:t>
      </w:r>
      <w:r w:rsidRPr="00D901F8">
        <w:rPr>
          <w:rFonts w:ascii="Times New Roman" w:hAnsi="Times New Roman"/>
        </w:rPr>
        <w:t>, 67 Ohio St.2d at 164.</w:t>
      </w:r>
    </w:p>
  </w:footnote>
  <w:footnote w:id="160">
    <w:p w:rsidR="00E82D55" w:rsidRPr="00D901F8" w:rsidP="00D901F8" w14:paraId="21CC4A5A" w14:textId="105F30C5">
      <w:pPr>
        <w:pStyle w:val="FootnoteText"/>
        <w:spacing w:after="120"/>
        <w:rPr>
          <w:rFonts w:ascii="Times New Roman" w:hAnsi="Times New Roman"/>
          <w:i/>
          <w:iCs/>
        </w:rPr>
      </w:pPr>
      <w:r w:rsidRPr="00D901F8">
        <w:rPr>
          <w:rStyle w:val="FootnoteReference"/>
          <w:rFonts w:ascii="Times New Roman" w:hAnsi="Times New Roman"/>
        </w:rPr>
        <w:footnoteRef/>
      </w:r>
      <w:r w:rsidRPr="00D901F8">
        <w:rPr>
          <w:rFonts w:ascii="Times New Roman" w:hAnsi="Times New Roman"/>
        </w:rPr>
        <w:t xml:space="preserve"> </w:t>
      </w:r>
      <w:r w:rsidRPr="00D901F8">
        <w:rPr>
          <w:rFonts w:ascii="Times New Roman" w:hAnsi="Times New Roman"/>
          <w:i/>
          <w:iCs/>
        </w:rPr>
        <w:t>See id.</w:t>
      </w:r>
    </w:p>
  </w:footnote>
  <w:footnote w:id="161">
    <w:p w:rsidR="00E82D55" w:rsidRPr="00D901F8" w:rsidP="00D901F8" w14:paraId="6F52DF35" w14:textId="066B6548">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7 at 4. </w:t>
      </w:r>
    </w:p>
  </w:footnote>
  <w:footnote w:id="162">
    <w:p w:rsidR="00E82D55" w:rsidRPr="00D901F8" w:rsidP="00D901F8" w14:paraId="21B6699A" w14:textId="46BE6D96">
      <w:pPr>
        <w:autoSpaceDE w:val="0"/>
        <w:autoSpaceDN w:val="0"/>
        <w:adjustRightInd w:val="0"/>
        <w:spacing w:after="120"/>
        <w:rPr>
          <w:color w:val="000000" w:themeColor="text1"/>
          <w:sz w:val="20"/>
          <w:szCs w:val="20"/>
        </w:rPr>
      </w:pPr>
      <w:r w:rsidRPr="00D901F8">
        <w:rPr>
          <w:rStyle w:val="FootnoteReference"/>
          <w:color w:val="000000" w:themeColor="text1"/>
          <w:sz w:val="20"/>
          <w:szCs w:val="20"/>
        </w:rPr>
        <w:footnoteRef/>
      </w:r>
      <w:r w:rsidRPr="00D901F8">
        <w:rPr>
          <w:color w:val="000000" w:themeColor="text1"/>
          <w:sz w:val="20"/>
          <w:szCs w:val="20"/>
        </w:rPr>
        <w:t xml:space="preserve"> OCC Ex. 7 at 7, </w:t>
      </w:r>
      <w:r w:rsidRPr="00D901F8">
        <w:rPr>
          <w:i/>
          <w:iCs/>
          <w:color w:val="000000" w:themeColor="text1"/>
          <w:sz w:val="20"/>
          <w:szCs w:val="20"/>
        </w:rPr>
        <w:t>see also</w:t>
      </w:r>
      <w:r w:rsidRPr="00D901F8">
        <w:rPr>
          <w:color w:val="000000" w:themeColor="text1"/>
          <w:sz w:val="20"/>
          <w:szCs w:val="20"/>
        </w:rPr>
        <w:t xml:space="preserve"> </w:t>
      </w:r>
      <w:r w:rsidRPr="00D901F8">
        <w:rPr>
          <w:i/>
          <w:iCs/>
          <w:color w:val="000000" w:themeColor="text1"/>
          <w:sz w:val="20"/>
          <w:szCs w:val="20"/>
        </w:rPr>
        <w:t>Federal Power Commission v. Hope Natural Gas Co</w:t>
      </w:r>
      <w:r w:rsidRPr="00D901F8">
        <w:rPr>
          <w:color w:val="000000" w:themeColor="text1"/>
          <w:sz w:val="20"/>
          <w:szCs w:val="20"/>
        </w:rPr>
        <w:t>., 320 U.S. 591 (1944) (“</w:t>
      </w:r>
      <w:r w:rsidRPr="00D901F8">
        <w:rPr>
          <w:i/>
          <w:iCs/>
          <w:color w:val="000000" w:themeColor="text1"/>
          <w:sz w:val="20"/>
          <w:szCs w:val="20"/>
        </w:rPr>
        <w:t>Hope</w:t>
      </w:r>
      <w:r w:rsidRPr="00D901F8">
        <w:rPr>
          <w:color w:val="000000" w:themeColor="text1"/>
          <w:sz w:val="20"/>
          <w:szCs w:val="20"/>
        </w:rPr>
        <w:t xml:space="preserve">”) and </w:t>
      </w:r>
      <w:r w:rsidRPr="00D901F8">
        <w:rPr>
          <w:i/>
          <w:iCs/>
          <w:color w:val="000000" w:themeColor="text1"/>
          <w:sz w:val="20"/>
          <w:szCs w:val="20"/>
        </w:rPr>
        <w:t>Bluefield WaterWorks and Improvement Co. v. Public Service Commission of West Virginia</w:t>
      </w:r>
      <w:r w:rsidRPr="00D901F8">
        <w:rPr>
          <w:color w:val="000000" w:themeColor="text1"/>
          <w:sz w:val="20"/>
          <w:szCs w:val="20"/>
        </w:rPr>
        <w:t>, 262 U.S. 679 (1923) (“</w:t>
      </w:r>
      <w:r w:rsidRPr="00D901F8">
        <w:rPr>
          <w:i/>
          <w:iCs/>
          <w:color w:val="000000" w:themeColor="text1"/>
          <w:sz w:val="20"/>
          <w:szCs w:val="20"/>
        </w:rPr>
        <w:t>Bluefield</w:t>
      </w:r>
      <w:r w:rsidRPr="00D901F8">
        <w:rPr>
          <w:color w:val="000000" w:themeColor="text1"/>
          <w:sz w:val="20"/>
          <w:szCs w:val="20"/>
        </w:rPr>
        <w:t>”).</w:t>
      </w:r>
    </w:p>
  </w:footnote>
  <w:footnote w:id="163">
    <w:p w:rsidR="00E82D55" w:rsidRPr="00D901F8" w:rsidP="00D901F8" w14:paraId="00BB3180" w14:textId="73053163">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eastAsia="Arial Unicode MS" w:hAnsi="Times New Roman"/>
          <w:color w:val="000000" w:themeColor="text1"/>
        </w:rPr>
        <w:t>OCC Ex. 7 at JPB-01.</w:t>
      </w:r>
    </w:p>
  </w:footnote>
  <w:footnote w:id="164">
    <w:p w:rsidR="00E82D55" w:rsidRPr="00D901F8" w:rsidP="00D901F8" w14:paraId="2BD7B303" w14:textId="5F3FAAF9">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p>
  </w:footnote>
  <w:footnote w:id="165">
    <w:p w:rsidR="00E82D55" w:rsidRPr="00D901F8" w:rsidP="00D901F8" w14:paraId="433133C5" w14:textId="41010593">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p>
  </w:footnote>
  <w:footnote w:id="166">
    <w:p w:rsidR="00E82D55" w:rsidRPr="00D901F8" w:rsidP="00D901F8" w14:paraId="3090A9D1" w14:textId="7777777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Settlement at 4.</w:t>
      </w:r>
    </w:p>
  </w:footnote>
  <w:footnote w:id="167">
    <w:p w:rsidR="00E82D55" w:rsidRPr="00D901F8" w:rsidP="00D901F8" w14:paraId="61600AEE" w14:textId="264F76B8">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OCC Ex. 7 at JPB-02.</w:t>
      </w:r>
    </w:p>
  </w:footnote>
  <w:footnote w:id="168">
    <w:p w:rsidR="00E82D55" w:rsidRPr="00D901F8" w:rsidP="00D901F8" w14:paraId="25F56257" w14:textId="77777777">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7 at 7.</w:t>
      </w:r>
    </w:p>
  </w:footnote>
  <w:footnote w:id="169">
    <w:p w:rsidR="00E82D55" w:rsidRPr="00D901F8" w:rsidP="00D901F8" w14:paraId="2F425976" w14:textId="1408E4B0">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OCC Ex. 7 at JPB-02.</w:t>
      </w:r>
    </w:p>
  </w:footnote>
  <w:footnote w:id="170">
    <w:p w:rsidR="00E82D55" w:rsidRPr="00D901F8" w:rsidP="00D901F8" w14:paraId="1F6ECAFA" w14:textId="7777777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r w:rsidRPr="00D901F8">
        <w:rPr>
          <w:rFonts w:ascii="Times New Roman" w:hAnsi="Times New Roman"/>
          <w:color w:val="000000" w:themeColor="text1"/>
        </w:rPr>
        <w:t>. at 10.</w:t>
      </w:r>
    </w:p>
  </w:footnote>
  <w:footnote w:id="171">
    <w:p w:rsidR="00E82D55" w:rsidRPr="00D901F8" w:rsidP="00D901F8" w14:paraId="786D9AC1" w14:textId="77777777">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172">
    <w:p w:rsidR="00E82D55" w:rsidRPr="00D901F8" w:rsidP="00D901F8" w14:paraId="588BB065" w14:textId="6FE0BECC">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OCC Ex. 7 at JPB-03.</w:t>
      </w:r>
    </w:p>
  </w:footnote>
  <w:footnote w:id="173">
    <w:p w:rsidR="00E82D55" w:rsidRPr="00D901F8" w:rsidP="00D901F8" w14:paraId="01FAFFB7" w14:textId="3D1DD7F7">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w:t>
      </w:r>
      <w:r w:rsidRPr="00D901F8">
        <w:rPr>
          <w:rFonts w:ascii="Times New Roman" w:eastAsia="Arial Unicode MS" w:hAnsi="Times New Roman"/>
          <w:i/>
          <w:iCs/>
          <w:color w:val="000000" w:themeColor="text1"/>
        </w:rPr>
        <w:t xml:space="preserve">Id. </w:t>
      </w:r>
    </w:p>
  </w:footnote>
  <w:footnote w:id="174">
    <w:p w:rsidR="00E82D55" w:rsidRPr="00D901F8" w:rsidP="00D901F8" w14:paraId="1530CDF9" w14:textId="36EF4908">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OCC Ex. 7 at JPB-04.</w:t>
      </w:r>
    </w:p>
  </w:footnote>
  <w:footnote w:id="175">
    <w:p w:rsidR="00E82D55" w:rsidRPr="00D901F8" w:rsidP="00D901F8" w14:paraId="0C5A8FAC" w14:textId="68C07AD2">
      <w:pPr>
        <w:pStyle w:val="FootnoteText"/>
        <w:spacing w:after="120"/>
        <w:rPr>
          <w:rFonts w:ascii="Times New Roman" w:hAnsi="Times New Roman"/>
          <w:color w:val="000000" w:themeColor="text1"/>
        </w:rPr>
      </w:pPr>
      <w:r w:rsidRPr="00D901F8">
        <w:rPr>
          <w:rFonts w:ascii="Times New Roman" w:hAnsi="Times New Roman"/>
          <w:color w:val="000000" w:themeColor="text1"/>
          <w:vertAlign w:val="superscript"/>
        </w:rPr>
        <w:footnoteRef/>
      </w:r>
      <w:r w:rsidRPr="00D901F8">
        <w:rPr>
          <w:rFonts w:ascii="Times New Roman" w:eastAsia="Arial Unicode MS" w:hAnsi="Times New Roman"/>
          <w:color w:val="000000" w:themeColor="text1"/>
        </w:rPr>
        <w:t xml:space="preserve"> </w:t>
      </w:r>
      <w:r w:rsidRPr="00D901F8">
        <w:rPr>
          <w:rFonts w:ascii="Times New Roman" w:eastAsia="Arial Unicode MS" w:hAnsi="Times New Roman"/>
          <w:i/>
          <w:iCs/>
          <w:color w:val="000000" w:themeColor="text1"/>
        </w:rPr>
        <w:t xml:space="preserve">Id. </w:t>
      </w:r>
    </w:p>
  </w:footnote>
  <w:footnote w:id="176">
    <w:p w:rsidR="00E82D55" w:rsidRPr="00D901F8" w:rsidP="00D901F8" w14:paraId="6DB9C2D8" w14:textId="7DBB8E97">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5 at 9-10.</w:t>
      </w:r>
    </w:p>
  </w:footnote>
  <w:footnote w:id="177">
    <w:p w:rsidR="00E82D55" w:rsidRPr="00D901F8" w:rsidP="00D901F8" w14:paraId="1C6A6CE8" w14:textId="757F8E2C">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p>
  </w:footnote>
  <w:footnote w:id="178">
    <w:p w:rsidR="00E82D55" w:rsidRPr="00D901F8" w:rsidP="00D901F8" w14:paraId="45FEC9FF" w14:textId="0394659B">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r w:rsidRPr="00D901F8">
        <w:rPr>
          <w:rFonts w:ascii="Times New Roman" w:hAnsi="Times New Roman"/>
          <w:color w:val="000000" w:themeColor="text1"/>
        </w:rPr>
        <w:t xml:space="preserve"> at 10.</w:t>
      </w:r>
    </w:p>
  </w:footnote>
  <w:footnote w:id="179">
    <w:p w:rsidR="00E82D55" w:rsidRPr="00D901F8" w:rsidP="00D901F8" w14:paraId="5A98177F" w14:textId="44CB45C5">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 xml:space="preserve">Id. </w:t>
      </w:r>
      <w:r w:rsidRPr="00D901F8">
        <w:rPr>
          <w:rFonts w:ascii="Times New Roman" w:hAnsi="Times New Roman"/>
          <w:color w:val="000000" w:themeColor="text1"/>
        </w:rPr>
        <w:t>at 5.</w:t>
      </w:r>
    </w:p>
  </w:footnote>
  <w:footnote w:id="180">
    <w:p w:rsidR="00E82D55" w:rsidRPr="00D901F8" w:rsidP="00D901F8" w14:paraId="30876C75" w14:textId="4B4C0FDF">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r w:rsidRPr="00D901F8">
        <w:rPr>
          <w:rFonts w:ascii="Times New Roman" w:hAnsi="Times New Roman"/>
          <w:color w:val="000000" w:themeColor="text1"/>
        </w:rPr>
        <w:t xml:space="preserve"> at RBF-1.</w:t>
      </w:r>
    </w:p>
  </w:footnote>
  <w:footnote w:id="181">
    <w:p w:rsidR="00E82D55" w:rsidRPr="00D901F8" w:rsidP="00D901F8" w14:paraId="5658A443" w14:textId="504C32F4">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p>
  </w:footnote>
  <w:footnote w:id="182">
    <w:p w:rsidR="00E82D55" w:rsidRPr="00D901F8" w:rsidP="00D901F8" w14:paraId="21A27D6D" w14:textId="77777777">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p>
  </w:footnote>
  <w:footnote w:id="183">
    <w:p w:rsidR="00E82D55" w:rsidRPr="00D901F8" w:rsidP="00D901F8" w14:paraId="61EFC37B" w14:textId="51691A04">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color w:val="000000" w:themeColor="text1"/>
          <w:shd w:val="clear" w:color="auto" w:fill="FFFFFF"/>
        </w:rPr>
        <w:t>Case No. 17-32-EL-AIR, Opinion &amp; Order (December 19, 2018) at 87.</w:t>
      </w:r>
    </w:p>
  </w:footnote>
  <w:footnote w:id="184">
    <w:p w:rsidR="00E82D55" w:rsidRPr="00D901F8" w:rsidP="00D901F8" w14:paraId="41C8DB96" w14:textId="7F8FAE2E">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Stipulation at 8. </w:t>
      </w:r>
    </w:p>
  </w:footnote>
  <w:footnote w:id="185">
    <w:p w:rsidR="00E82D55" w:rsidRPr="00D901F8" w:rsidP="00D901F8" w14:paraId="462B3327" w14:textId="5AAFC65B">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Staff Report of Investigation (December 21, 2022).</w:t>
      </w:r>
    </w:p>
  </w:footnote>
  <w:footnote w:id="186">
    <w:p w:rsidR="00E82D55" w:rsidRPr="00D901F8" w:rsidP="00D901F8" w14:paraId="3654B4EA" w14:textId="11AF64B8">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5 at 7-8.</w:t>
      </w:r>
    </w:p>
  </w:footnote>
  <w:footnote w:id="187">
    <w:p w:rsidR="00E82D55" w:rsidRPr="00D901F8" w:rsidP="00D901F8" w14:paraId="131782EA" w14:textId="3ACA3DE6">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iCs/>
          <w:color w:val="000000" w:themeColor="text1"/>
        </w:rPr>
        <w:t>Id</w:t>
      </w:r>
      <w:r w:rsidRPr="00D901F8">
        <w:rPr>
          <w:rFonts w:ascii="Times New Roman" w:hAnsi="Times New Roman"/>
          <w:color w:val="000000" w:themeColor="text1"/>
        </w:rPr>
        <w:t>.</w:t>
      </w:r>
    </w:p>
  </w:footnote>
  <w:footnote w:id="188">
    <w:p w:rsidR="00E82D55" w:rsidRPr="00D901F8" w:rsidP="00D901F8" w14:paraId="36A7BDBC" w14:textId="6E51464A">
      <w:pPr>
        <w:pStyle w:val="FootnoteText"/>
        <w:spacing w:after="120"/>
        <w:rPr>
          <w:rFonts w:ascii="Times New Roman" w:hAnsi="Times New Roman"/>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w:t>
      </w:r>
      <w:r w:rsidRPr="00D901F8">
        <w:rPr>
          <w:rFonts w:ascii="Times New Roman" w:hAnsi="Times New Roman"/>
          <w:i/>
          <w:color w:val="000000" w:themeColor="text1"/>
        </w:rPr>
        <w:t xml:space="preserve">Id. </w:t>
      </w:r>
      <w:r w:rsidRPr="00D901F8">
        <w:rPr>
          <w:rFonts w:ascii="Times New Roman" w:hAnsi="Times New Roman"/>
          <w:iCs/>
          <w:color w:val="000000" w:themeColor="text1"/>
        </w:rPr>
        <w:t>(emphasis added).</w:t>
      </w:r>
    </w:p>
  </w:footnote>
  <w:footnote w:id="189">
    <w:p w:rsidR="00E82D55" w:rsidRPr="00D901F8" w:rsidP="00D901F8" w14:paraId="24CE817B" w14:textId="39CC3C9B">
      <w:pPr>
        <w:pStyle w:val="FootnoteText"/>
        <w:spacing w:after="120"/>
        <w:rPr>
          <w:rFonts w:ascii="Times New Roman" w:hAnsi="Times New Roman"/>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5 at 8. </w:t>
      </w:r>
    </w:p>
  </w:footnote>
  <w:footnote w:id="190">
    <w:p w:rsidR="00E82D55" w:rsidRPr="00D901F8" w:rsidP="00D901F8" w14:paraId="415F515F" w14:textId="4CBA6BED">
      <w:pPr>
        <w:pStyle w:val="FootnoteText"/>
        <w:spacing w:after="120"/>
        <w:rPr>
          <w:rFonts w:ascii="Times New Roman" w:hAnsi="Times New Roman"/>
          <w:i/>
          <w:iCs/>
          <w:color w:val="000000" w:themeColor="text1"/>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9 at 54.</w:t>
      </w:r>
    </w:p>
  </w:footnote>
  <w:footnote w:id="191">
    <w:p w:rsidR="00E82D55" w:rsidRPr="00D901F8" w:rsidP="00D901F8" w14:paraId="3A663FC6" w14:textId="3DBE1F6D">
      <w:pPr>
        <w:pStyle w:val="FootnoteText"/>
        <w:spacing w:after="120"/>
        <w:rPr>
          <w:rFonts w:ascii="Times New Roman" w:hAnsi="Times New Roman"/>
        </w:rPr>
      </w:pPr>
      <w:r w:rsidRPr="00D901F8">
        <w:rPr>
          <w:rStyle w:val="FootnoteReference"/>
          <w:rFonts w:ascii="Times New Roman" w:hAnsi="Times New Roman"/>
        </w:rPr>
        <w:footnoteRef/>
      </w:r>
      <w:r w:rsidRPr="00D901F8">
        <w:rPr>
          <w:rFonts w:ascii="Times New Roman" w:hAnsi="Times New Roman"/>
        </w:rPr>
        <w:t xml:space="preserve"> Case No. 17-781-EL-RDR, Finding &amp; Order (May 15, 2019) at </w:t>
      </w:r>
      <w:r w:rsidRPr="00D901F8">
        <w:rPr>
          <w:rFonts w:ascii="Times New Roman" w:hAnsi="Times New Roman"/>
          <w:color w:val="202124"/>
          <w:shd w:val="clear" w:color="auto" w:fill="FFFFFF"/>
        </w:rPr>
        <w:t>¶</w:t>
      </w:r>
      <w:r w:rsidRPr="00D901F8">
        <w:rPr>
          <w:rFonts w:ascii="Times New Roman" w:hAnsi="Times New Roman"/>
        </w:rPr>
        <w:t>13, 16-17.</w:t>
      </w:r>
    </w:p>
  </w:footnote>
  <w:footnote w:id="192">
    <w:p w:rsidR="00E82D55" w:rsidRPr="00D901F8" w:rsidP="00D901F8" w14:paraId="675E9CF8" w14:textId="3CEA5139">
      <w:pPr>
        <w:pStyle w:val="FootnoteText"/>
        <w:spacing w:after="120"/>
        <w:rPr>
          <w:rFonts w:ascii="Times New Roman" w:hAnsi="Times New Roman"/>
          <w:color w:val="FFFF00"/>
        </w:rPr>
      </w:pPr>
      <w:r w:rsidRPr="00D901F8">
        <w:rPr>
          <w:rStyle w:val="FootnoteReference"/>
          <w:rFonts w:ascii="Times New Roman" w:hAnsi="Times New Roman"/>
          <w:color w:val="000000" w:themeColor="text1"/>
        </w:rPr>
        <w:footnoteRef/>
      </w:r>
      <w:r w:rsidRPr="00D901F8">
        <w:rPr>
          <w:rFonts w:ascii="Times New Roman" w:hAnsi="Times New Roman"/>
          <w:color w:val="000000" w:themeColor="text1"/>
        </w:rPr>
        <w:t xml:space="preserve"> OCC Ex. 9 at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4B" w14:paraId="5DC2C8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4B" w14:paraId="7E6ABB5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64B" w14:paraId="4661478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D55" w14:paraId="2E0D627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D55" w14:paraId="1F3B114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D55" w14:paraId="282423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77D46"/>
    <w:multiLevelType w:val="hybridMultilevel"/>
    <w:tmpl w:val="172A0188"/>
    <w:lvl w:ilvl="0">
      <w:start w:val="6"/>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94F4A09"/>
    <w:multiLevelType w:val="hybridMultilevel"/>
    <w:tmpl w:val="24C88C8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0A3C52D6"/>
    <w:multiLevelType w:val="hybridMultilevel"/>
    <w:tmpl w:val="A9F831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A87C4A"/>
    <w:multiLevelType w:val="hybridMultilevel"/>
    <w:tmpl w:val="EA0EE19C"/>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0E712E9F"/>
    <w:multiLevelType w:val="hybridMultilevel"/>
    <w:tmpl w:val="26CE2EA8"/>
    <w:lvl w:ilvl="0">
      <w:start w:val="1"/>
      <w:numFmt w:val="lowerRoman"/>
      <w:lvlText w:val="%1."/>
      <w:lvlJc w:val="left"/>
      <w:pPr>
        <w:ind w:left="2880" w:hanging="720"/>
      </w:pPr>
      <w:rPr>
        <w:rFonts w:hint="default"/>
        <w:b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5">
    <w:nsid w:val="164E5940"/>
    <w:multiLevelType w:val="hybridMultilevel"/>
    <w:tmpl w:val="89CCC9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876813"/>
    <w:multiLevelType w:val="hybridMultilevel"/>
    <w:tmpl w:val="E4D2FD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D8D5AF4"/>
    <w:multiLevelType w:val="hybridMultilevel"/>
    <w:tmpl w:val="1076E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F72620"/>
    <w:multiLevelType w:val="hybridMultilevel"/>
    <w:tmpl w:val="1E1EC1B8"/>
    <w:lvl w:ilvl="0">
      <w:start w:val="1"/>
      <w:numFmt w:val="lowerLetter"/>
      <w:lvlText w:val="%1."/>
      <w:lvlJc w:val="left"/>
      <w:pPr>
        <w:ind w:left="3240" w:hanging="360"/>
      </w:pPr>
      <w:rPr>
        <w:rFonts w:ascii="Times New Roman Bold" w:hAnsi="Times New Roman Bold" w:hint="default"/>
        <w:b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9">
    <w:nsid w:val="2132410C"/>
    <w:multiLevelType w:val="hybridMultilevel"/>
    <w:tmpl w:val="AF5497C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23EB2706"/>
    <w:multiLevelType w:val="hybridMultilevel"/>
    <w:tmpl w:val="A4FE14E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24520AE2"/>
    <w:multiLevelType w:val="hybridMultilevel"/>
    <w:tmpl w:val="E98EAD54"/>
    <w:lvl w:ilvl="0">
      <w:start w:val="1"/>
      <w:numFmt w:val="upperLetter"/>
      <w:lvlText w:val="%1."/>
      <w:lvlJc w:val="left"/>
      <w:pPr>
        <w:ind w:left="2880" w:hanging="360"/>
      </w:pPr>
      <w:rPr>
        <w:rFonts w:hint="default"/>
        <w:b w:val="0"/>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2">
    <w:nsid w:val="2737290E"/>
    <w:multiLevelType w:val="hybridMultilevel"/>
    <w:tmpl w:val="0450D9FC"/>
    <w:lvl w:ilvl="0">
      <w:start w:val="1"/>
      <w:numFmt w:val="decimal"/>
      <w:lvlText w:val="%1."/>
      <w:lvlJc w:val="left"/>
      <w:pPr>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A5702E1"/>
    <w:multiLevelType w:val="hybridMultilevel"/>
    <w:tmpl w:val="2182C7A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2AFF3573"/>
    <w:multiLevelType w:val="hybridMultilevel"/>
    <w:tmpl w:val="513E2D4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DE85BA5"/>
    <w:multiLevelType w:val="hybridMultilevel"/>
    <w:tmpl w:val="A9B4073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2F3E13E2"/>
    <w:multiLevelType w:val="hybridMultilevel"/>
    <w:tmpl w:val="C1AA1C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D10FAA"/>
    <w:multiLevelType w:val="hybridMultilevel"/>
    <w:tmpl w:val="D5CECA60"/>
    <w:lvl w:ilvl="0">
      <w:start w:val="1"/>
      <w:numFmt w:val="lowerRoman"/>
      <w:lvlText w:val="%1."/>
      <w:lvlJc w:val="lef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316E743A"/>
    <w:multiLevelType w:val="hybridMultilevel"/>
    <w:tmpl w:val="9040635E"/>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20B177F"/>
    <w:multiLevelType w:val="hybridMultilevel"/>
    <w:tmpl w:val="5F188870"/>
    <w:lvl w:ilvl="0">
      <w:start w:val="1"/>
      <w:numFmt w:val="decimal"/>
      <w:lvlText w:val="%1."/>
      <w:lvlJc w:val="left"/>
      <w:pPr>
        <w:ind w:left="1440" w:hanging="36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46950F6"/>
    <w:multiLevelType w:val="hybridMultilevel"/>
    <w:tmpl w:val="F8986560"/>
    <w:lvl w:ilvl="0">
      <w:start w:val="1"/>
      <w:numFmt w:val="lowerRoman"/>
      <w:lvlText w:val="%1."/>
      <w:lvlJc w:val="left"/>
      <w:pPr>
        <w:ind w:left="2880" w:hanging="720"/>
      </w:pPr>
      <w:rPr>
        <w:rFonts w:hint="default"/>
        <w:b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1">
    <w:nsid w:val="36EF3AB6"/>
    <w:multiLevelType w:val="hybridMultilevel"/>
    <w:tmpl w:val="AB06A304"/>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E0049D7"/>
    <w:multiLevelType w:val="hybridMultilevel"/>
    <w:tmpl w:val="786AFD20"/>
    <w:lvl w:ilvl="0">
      <w:start w:val="1"/>
      <w:numFmt w:val="decimal"/>
      <w:lvlText w:val="%1."/>
      <w:lvlJc w:val="left"/>
      <w:pPr>
        <w:ind w:left="1800" w:hanging="360"/>
      </w:pPr>
      <w:rPr>
        <w:rFonts w:hint="default"/>
        <w:b/>
        <w:b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3E1601AD"/>
    <w:multiLevelType w:val="hybridMultilevel"/>
    <w:tmpl w:val="E3A6D71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3FE27C1D"/>
    <w:multiLevelType w:val="hybridMultilevel"/>
    <w:tmpl w:val="734EE9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27A0855"/>
    <w:multiLevelType w:val="hybridMultilevel"/>
    <w:tmpl w:val="786AFD20"/>
    <w:lvl w:ilvl="0">
      <w:start w:val="1"/>
      <w:numFmt w:val="decimal"/>
      <w:lvlText w:val="%1."/>
      <w:lvlJc w:val="left"/>
      <w:pPr>
        <w:ind w:left="1800" w:hanging="360"/>
      </w:pPr>
      <w:rPr>
        <w:rFonts w:hint="default"/>
        <w:b/>
        <w:b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437C2EC1"/>
    <w:multiLevelType w:val="hybridMultilevel"/>
    <w:tmpl w:val="5A469FC8"/>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47EC7EC6"/>
    <w:multiLevelType w:val="hybridMultilevel"/>
    <w:tmpl w:val="6728E828"/>
    <w:lvl w:ilvl="0">
      <w:start w:val="1"/>
      <w:numFmt w:val="lowerRoman"/>
      <w:lvlText w:val="%1."/>
      <w:lvlJc w:val="lef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8">
    <w:nsid w:val="4AF3031C"/>
    <w:multiLevelType w:val="hybridMultilevel"/>
    <w:tmpl w:val="B8FC2FC0"/>
    <w:lvl w:ilvl="0">
      <w:start w:val="3"/>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9">
    <w:nsid w:val="4B1A657D"/>
    <w:multiLevelType w:val="hybridMultilevel"/>
    <w:tmpl w:val="55B6787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D3D5D31"/>
    <w:multiLevelType w:val="hybridMultilevel"/>
    <w:tmpl w:val="A36CF39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4E96037B"/>
    <w:multiLevelType w:val="hybridMultilevel"/>
    <w:tmpl w:val="8586C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560B365C"/>
    <w:multiLevelType w:val="hybridMultilevel"/>
    <w:tmpl w:val="F4AE4BD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6144291E"/>
    <w:multiLevelType w:val="hybridMultilevel"/>
    <w:tmpl w:val="0CD8182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63922086"/>
    <w:multiLevelType w:val="hybridMultilevel"/>
    <w:tmpl w:val="6658B8F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64BE1C75"/>
    <w:multiLevelType w:val="hybridMultilevel"/>
    <w:tmpl w:val="BE2050A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6">
    <w:nsid w:val="65732E22"/>
    <w:multiLevelType w:val="hybridMultilevel"/>
    <w:tmpl w:val="723E457C"/>
    <w:lvl w:ilvl="0">
      <w:start w:val="1"/>
      <w:numFmt w:val="decimal"/>
      <w:lvlText w:val="%1."/>
      <w:lvlJc w:val="left"/>
      <w:pPr>
        <w:ind w:left="1440" w:hanging="36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65861AE9"/>
    <w:multiLevelType w:val="hybridMultilevel"/>
    <w:tmpl w:val="CEFC0F82"/>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70A39BE"/>
    <w:multiLevelType w:val="hybridMultilevel"/>
    <w:tmpl w:val="91DE6A8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9">
    <w:nsid w:val="67B316C3"/>
    <w:multiLevelType w:val="hybridMultilevel"/>
    <w:tmpl w:val="AA10DBC0"/>
    <w:lvl w:ilvl="0">
      <w:start w:val="1"/>
      <w:numFmt w:val="decimal"/>
      <w:lvlText w:val="%1."/>
      <w:lvlJc w:val="left"/>
      <w:pPr>
        <w:ind w:left="1800" w:hanging="360"/>
      </w:pPr>
      <w:rPr>
        <w:rFonts w:hint="default"/>
        <w:b/>
        <w:b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0">
    <w:nsid w:val="67C37E5F"/>
    <w:multiLevelType w:val="hybridMultilevel"/>
    <w:tmpl w:val="16287014"/>
    <w:lvl w:ilvl="0">
      <w:start w:val="1"/>
      <w:numFmt w:val="lowerLetter"/>
      <w:lvlText w:val="%1."/>
      <w:lvlJc w:val="left"/>
      <w:pPr>
        <w:ind w:left="3240" w:hanging="360"/>
      </w:pPr>
      <w:rPr>
        <w:rFonts w:ascii="Times New Roman Bold" w:hAnsi="Times New Roman Bold" w:hint="default"/>
        <w:b w:val="0"/>
        <w:bCs/>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1">
    <w:nsid w:val="6D6210ED"/>
    <w:multiLevelType w:val="hybridMultilevel"/>
    <w:tmpl w:val="088676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6DBE51A1"/>
    <w:multiLevelType w:val="hybridMultilevel"/>
    <w:tmpl w:val="6972D80E"/>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E1123E2"/>
    <w:multiLevelType w:val="hybridMultilevel"/>
    <w:tmpl w:val="6E3C54D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3"/>
  </w:num>
  <w:num w:numId="2">
    <w:abstractNumId w:val="19"/>
  </w:num>
  <w:num w:numId="3">
    <w:abstractNumId w:val="41"/>
  </w:num>
  <w:num w:numId="4">
    <w:abstractNumId w:val="24"/>
  </w:num>
  <w:num w:numId="5">
    <w:abstractNumId w:val="7"/>
  </w:num>
  <w:num w:numId="6">
    <w:abstractNumId w:val="36"/>
  </w:num>
  <w:num w:numId="7">
    <w:abstractNumId w:val="12"/>
  </w:num>
  <w:num w:numId="8">
    <w:abstractNumId w:val="6"/>
  </w:num>
  <w:num w:numId="9">
    <w:abstractNumId w:val="16"/>
  </w:num>
  <w:num w:numId="10">
    <w:abstractNumId w:val="37"/>
  </w:num>
  <w:num w:numId="11">
    <w:abstractNumId w:val="21"/>
  </w:num>
  <w:num w:numId="12">
    <w:abstractNumId w:val="18"/>
  </w:num>
  <w:num w:numId="13">
    <w:abstractNumId w:val="31"/>
  </w:num>
  <w:num w:numId="14">
    <w:abstractNumId w:val="35"/>
  </w:num>
  <w:num w:numId="15">
    <w:abstractNumId w:val="39"/>
  </w:num>
  <w:num w:numId="16">
    <w:abstractNumId w:val="26"/>
  </w:num>
  <w:num w:numId="17">
    <w:abstractNumId w:val="22"/>
  </w:num>
  <w:num w:numId="18">
    <w:abstractNumId w:val="0"/>
  </w:num>
  <w:num w:numId="19">
    <w:abstractNumId w:val="28"/>
  </w:num>
  <w:num w:numId="20">
    <w:abstractNumId w:val="14"/>
  </w:num>
  <w:num w:numId="21">
    <w:abstractNumId w:val="25"/>
  </w:num>
  <w:num w:numId="22">
    <w:abstractNumId w:val="2"/>
  </w:num>
  <w:num w:numId="23">
    <w:abstractNumId w:val="30"/>
  </w:num>
  <w:num w:numId="24">
    <w:abstractNumId w:val="34"/>
  </w:num>
  <w:num w:numId="25">
    <w:abstractNumId w:val="5"/>
  </w:num>
  <w:num w:numId="26">
    <w:abstractNumId w:val="38"/>
  </w:num>
  <w:num w:numId="27">
    <w:abstractNumId w:val="33"/>
  </w:num>
  <w:num w:numId="28">
    <w:abstractNumId w:val="10"/>
  </w:num>
  <w:num w:numId="29">
    <w:abstractNumId w:val="13"/>
  </w:num>
  <w:num w:numId="30">
    <w:abstractNumId w:val="1"/>
  </w:num>
  <w:num w:numId="31">
    <w:abstractNumId w:val="9"/>
  </w:num>
  <w:num w:numId="32">
    <w:abstractNumId w:val="32"/>
  </w:num>
  <w:num w:numId="33">
    <w:abstractNumId w:val="27"/>
  </w:num>
  <w:num w:numId="34">
    <w:abstractNumId w:val="20"/>
  </w:num>
  <w:num w:numId="35">
    <w:abstractNumId w:val="4"/>
  </w:num>
  <w:num w:numId="36">
    <w:abstractNumId w:val="29"/>
  </w:num>
  <w:num w:numId="37">
    <w:abstractNumId w:val="3"/>
  </w:num>
  <w:num w:numId="38">
    <w:abstractNumId w:val="15"/>
  </w:num>
  <w:num w:numId="39">
    <w:abstractNumId w:val="23"/>
  </w:num>
  <w:num w:numId="40">
    <w:abstractNumId w:val="11"/>
  </w:num>
  <w:num w:numId="41">
    <w:abstractNumId w:val="17"/>
  </w:num>
  <w:num w:numId="42">
    <w:abstractNumId w:val="40"/>
  </w:num>
  <w:num w:numId="43">
    <w:abstractNumId w:val="8"/>
  </w:num>
  <w:num w:numId="44">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A"/>
    <w:rsid w:val="0000006E"/>
    <w:rsid w:val="00000F52"/>
    <w:rsid w:val="00001221"/>
    <w:rsid w:val="00002B96"/>
    <w:rsid w:val="00002B97"/>
    <w:rsid w:val="00002F66"/>
    <w:rsid w:val="000033E4"/>
    <w:rsid w:val="00003BDE"/>
    <w:rsid w:val="000043C4"/>
    <w:rsid w:val="00004563"/>
    <w:rsid w:val="00005206"/>
    <w:rsid w:val="00005FC3"/>
    <w:rsid w:val="000066B8"/>
    <w:rsid w:val="000108EF"/>
    <w:rsid w:val="00011FD6"/>
    <w:rsid w:val="0001316E"/>
    <w:rsid w:val="00013C56"/>
    <w:rsid w:val="000143E1"/>
    <w:rsid w:val="00015236"/>
    <w:rsid w:val="00015657"/>
    <w:rsid w:val="00017A50"/>
    <w:rsid w:val="00017AFB"/>
    <w:rsid w:val="00020305"/>
    <w:rsid w:val="00020E12"/>
    <w:rsid w:val="00020E32"/>
    <w:rsid w:val="000212B1"/>
    <w:rsid w:val="00021AD9"/>
    <w:rsid w:val="00021B7A"/>
    <w:rsid w:val="0002208C"/>
    <w:rsid w:val="00022513"/>
    <w:rsid w:val="00022573"/>
    <w:rsid w:val="00022632"/>
    <w:rsid w:val="000229D5"/>
    <w:rsid w:val="00022D7E"/>
    <w:rsid w:val="00022E4D"/>
    <w:rsid w:val="0002325C"/>
    <w:rsid w:val="00023B75"/>
    <w:rsid w:val="00023D99"/>
    <w:rsid w:val="00023DB2"/>
    <w:rsid w:val="00024E10"/>
    <w:rsid w:val="000254B3"/>
    <w:rsid w:val="000263E6"/>
    <w:rsid w:val="0002714B"/>
    <w:rsid w:val="0002720C"/>
    <w:rsid w:val="00027842"/>
    <w:rsid w:val="000300DD"/>
    <w:rsid w:val="00031E64"/>
    <w:rsid w:val="0003300D"/>
    <w:rsid w:val="00033CDD"/>
    <w:rsid w:val="00033E6B"/>
    <w:rsid w:val="0003412B"/>
    <w:rsid w:val="000350F7"/>
    <w:rsid w:val="0003576D"/>
    <w:rsid w:val="00035BA8"/>
    <w:rsid w:val="00035BB1"/>
    <w:rsid w:val="00036114"/>
    <w:rsid w:val="00036A46"/>
    <w:rsid w:val="00036E65"/>
    <w:rsid w:val="00037630"/>
    <w:rsid w:val="00037ECA"/>
    <w:rsid w:val="000416EA"/>
    <w:rsid w:val="00041F41"/>
    <w:rsid w:val="000427E9"/>
    <w:rsid w:val="00042F38"/>
    <w:rsid w:val="00043D4E"/>
    <w:rsid w:val="000440AF"/>
    <w:rsid w:val="00044D6A"/>
    <w:rsid w:val="000453DD"/>
    <w:rsid w:val="000454CE"/>
    <w:rsid w:val="000457B3"/>
    <w:rsid w:val="00045AEE"/>
    <w:rsid w:val="00046175"/>
    <w:rsid w:val="00046894"/>
    <w:rsid w:val="000478C0"/>
    <w:rsid w:val="00047E47"/>
    <w:rsid w:val="00050597"/>
    <w:rsid w:val="000525E6"/>
    <w:rsid w:val="00052C17"/>
    <w:rsid w:val="00052E77"/>
    <w:rsid w:val="000542B0"/>
    <w:rsid w:val="000546A5"/>
    <w:rsid w:val="00055635"/>
    <w:rsid w:val="000557F9"/>
    <w:rsid w:val="00055B57"/>
    <w:rsid w:val="0005722F"/>
    <w:rsid w:val="00057DB2"/>
    <w:rsid w:val="00060347"/>
    <w:rsid w:val="00060581"/>
    <w:rsid w:val="00060A91"/>
    <w:rsid w:val="00060E8C"/>
    <w:rsid w:val="00060EC6"/>
    <w:rsid w:val="00063E38"/>
    <w:rsid w:val="0006511F"/>
    <w:rsid w:val="0006518B"/>
    <w:rsid w:val="00065787"/>
    <w:rsid w:val="00065809"/>
    <w:rsid w:val="00065B6F"/>
    <w:rsid w:val="00071A49"/>
    <w:rsid w:val="00072943"/>
    <w:rsid w:val="00072B17"/>
    <w:rsid w:val="0007402E"/>
    <w:rsid w:val="00074367"/>
    <w:rsid w:val="00074DAE"/>
    <w:rsid w:val="00075DA7"/>
    <w:rsid w:val="00077BE1"/>
    <w:rsid w:val="00077C77"/>
    <w:rsid w:val="000809E7"/>
    <w:rsid w:val="00080EC3"/>
    <w:rsid w:val="00081AA3"/>
    <w:rsid w:val="00082025"/>
    <w:rsid w:val="00082248"/>
    <w:rsid w:val="000823E4"/>
    <w:rsid w:val="00082ACD"/>
    <w:rsid w:val="00082B0F"/>
    <w:rsid w:val="00083D09"/>
    <w:rsid w:val="00086676"/>
    <w:rsid w:val="0008690E"/>
    <w:rsid w:val="000876C0"/>
    <w:rsid w:val="00090383"/>
    <w:rsid w:val="000904E0"/>
    <w:rsid w:val="000905DA"/>
    <w:rsid w:val="000907A1"/>
    <w:rsid w:val="000909C4"/>
    <w:rsid w:val="00092889"/>
    <w:rsid w:val="00094150"/>
    <w:rsid w:val="00094583"/>
    <w:rsid w:val="00096835"/>
    <w:rsid w:val="00097924"/>
    <w:rsid w:val="0009799A"/>
    <w:rsid w:val="000979AB"/>
    <w:rsid w:val="000A0293"/>
    <w:rsid w:val="000A0E33"/>
    <w:rsid w:val="000A1A41"/>
    <w:rsid w:val="000A230B"/>
    <w:rsid w:val="000A2A0A"/>
    <w:rsid w:val="000A2C67"/>
    <w:rsid w:val="000A3259"/>
    <w:rsid w:val="000A4B57"/>
    <w:rsid w:val="000A52C0"/>
    <w:rsid w:val="000A6F32"/>
    <w:rsid w:val="000A7705"/>
    <w:rsid w:val="000B081B"/>
    <w:rsid w:val="000B2723"/>
    <w:rsid w:val="000B2810"/>
    <w:rsid w:val="000B2B13"/>
    <w:rsid w:val="000B30BA"/>
    <w:rsid w:val="000B31CC"/>
    <w:rsid w:val="000B498E"/>
    <w:rsid w:val="000B4D0B"/>
    <w:rsid w:val="000B5183"/>
    <w:rsid w:val="000B5E0A"/>
    <w:rsid w:val="000B6067"/>
    <w:rsid w:val="000B644C"/>
    <w:rsid w:val="000B7ACA"/>
    <w:rsid w:val="000C0E41"/>
    <w:rsid w:val="000C0E93"/>
    <w:rsid w:val="000C2001"/>
    <w:rsid w:val="000C24C4"/>
    <w:rsid w:val="000C26B9"/>
    <w:rsid w:val="000C2F8C"/>
    <w:rsid w:val="000C35F4"/>
    <w:rsid w:val="000C5153"/>
    <w:rsid w:val="000C5A28"/>
    <w:rsid w:val="000D0804"/>
    <w:rsid w:val="000D0945"/>
    <w:rsid w:val="000D18EB"/>
    <w:rsid w:val="000D2BD8"/>
    <w:rsid w:val="000D3A0B"/>
    <w:rsid w:val="000D6A57"/>
    <w:rsid w:val="000D6F6D"/>
    <w:rsid w:val="000D7A08"/>
    <w:rsid w:val="000E16E0"/>
    <w:rsid w:val="000E1A3D"/>
    <w:rsid w:val="000E22D5"/>
    <w:rsid w:val="000E284D"/>
    <w:rsid w:val="000E2A2D"/>
    <w:rsid w:val="000E3022"/>
    <w:rsid w:val="000E3501"/>
    <w:rsid w:val="000E4EEF"/>
    <w:rsid w:val="000E537E"/>
    <w:rsid w:val="000E5EB6"/>
    <w:rsid w:val="000E6767"/>
    <w:rsid w:val="000E67CD"/>
    <w:rsid w:val="000E69CF"/>
    <w:rsid w:val="000F0B4E"/>
    <w:rsid w:val="000F1A6D"/>
    <w:rsid w:val="000F1B0F"/>
    <w:rsid w:val="000F2188"/>
    <w:rsid w:val="000F37A3"/>
    <w:rsid w:val="000F3E84"/>
    <w:rsid w:val="000F448E"/>
    <w:rsid w:val="000F4DC7"/>
    <w:rsid w:val="000F71FC"/>
    <w:rsid w:val="001001EC"/>
    <w:rsid w:val="0010052F"/>
    <w:rsid w:val="00100BEB"/>
    <w:rsid w:val="001010B5"/>
    <w:rsid w:val="00101758"/>
    <w:rsid w:val="00101BDD"/>
    <w:rsid w:val="001024CE"/>
    <w:rsid w:val="001032AF"/>
    <w:rsid w:val="001035CE"/>
    <w:rsid w:val="00103B65"/>
    <w:rsid w:val="00103E2E"/>
    <w:rsid w:val="00104A93"/>
    <w:rsid w:val="00105296"/>
    <w:rsid w:val="0010637E"/>
    <w:rsid w:val="00106D7C"/>
    <w:rsid w:val="00106FE9"/>
    <w:rsid w:val="001075FB"/>
    <w:rsid w:val="00107BA3"/>
    <w:rsid w:val="00107D25"/>
    <w:rsid w:val="00110631"/>
    <w:rsid w:val="00110BB5"/>
    <w:rsid w:val="001124C2"/>
    <w:rsid w:val="0011317F"/>
    <w:rsid w:val="00113E42"/>
    <w:rsid w:val="00114EB1"/>
    <w:rsid w:val="001169AF"/>
    <w:rsid w:val="0011742E"/>
    <w:rsid w:val="0011769D"/>
    <w:rsid w:val="001179CF"/>
    <w:rsid w:val="00117E8E"/>
    <w:rsid w:val="00120D0E"/>
    <w:rsid w:val="00121322"/>
    <w:rsid w:val="00121AFE"/>
    <w:rsid w:val="0012269F"/>
    <w:rsid w:val="0012518C"/>
    <w:rsid w:val="00125706"/>
    <w:rsid w:val="00125723"/>
    <w:rsid w:val="00125775"/>
    <w:rsid w:val="00125D64"/>
    <w:rsid w:val="0012618B"/>
    <w:rsid w:val="001268A0"/>
    <w:rsid w:val="0012699E"/>
    <w:rsid w:val="00126A12"/>
    <w:rsid w:val="00127DF8"/>
    <w:rsid w:val="00130AD4"/>
    <w:rsid w:val="00130B4A"/>
    <w:rsid w:val="00130B78"/>
    <w:rsid w:val="00132816"/>
    <w:rsid w:val="001353F4"/>
    <w:rsid w:val="00135437"/>
    <w:rsid w:val="0013546B"/>
    <w:rsid w:val="00135CA8"/>
    <w:rsid w:val="001362B6"/>
    <w:rsid w:val="00136C65"/>
    <w:rsid w:val="0013780C"/>
    <w:rsid w:val="001378A5"/>
    <w:rsid w:val="00142C9C"/>
    <w:rsid w:val="0014343B"/>
    <w:rsid w:val="001436AB"/>
    <w:rsid w:val="00144419"/>
    <w:rsid w:val="001446CC"/>
    <w:rsid w:val="0014546D"/>
    <w:rsid w:val="001468E7"/>
    <w:rsid w:val="001471FF"/>
    <w:rsid w:val="00147544"/>
    <w:rsid w:val="0015151B"/>
    <w:rsid w:val="00151F0C"/>
    <w:rsid w:val="00152871"/>
    <w:rsid w:val="0015298E"/>
    <w:rsid w:val="00152A49"/>
    <w:rsid w:val="001534D3"/>
    <w:rsid w:val="001537F1"/>
    <w:rsid w:val="00154771"/>
    <w:rsid w:val="00154E73"/>
    <w:rsid w:val="00155688"/>
    <w:rsid w:val="00156090"/>
    <w:rsid w:val="00156261"/>
    <w:rsid w:val="0015694C"/>
    <w:rsid w:val="00156A84"/>
    <w:rsid w:val="00156C0A"/>
    <w:rsid w:val="0015721D"/>
    <w:rsid w:val="00157322"/>
    <w:rsid w:val="0015742F"/>
    <w:rsid w:val="0015797D"/>
    <w:rsid w:val="0016041E"/>
    <w:rsid w:val="00160BCA"/>
    <w:rsid w:val="0016355F"/>
    <w:rsid w:val="0016371B"/>
    <w:rsid w:val="00164E61"/>
    <w:rsid w:val="00166782"/>
    <w:rsid w:val="00166907"/>
    <w:rsid w:val="001670FB"/>
    <w:rsid w:val="00167B6A"/>
    <w:rsid w:val="00170168"/>
    <w:rsid w:val="00175160"/>
    <w:rsid w:val="001751FF"/>
    <w:rsid w:val="0017543B"/>
    <w:rsid w:val="001759F1"/>
    <w:rsid w:val="00176297"/>
    <w:rsid w:val="001779C0"/>
    <w:rsid w:val="00177BF6"/>
    <w:rsid w:val="00181E5B"/>
    <w:rsid w:val="00182F77"/>
    <w:rsid w:val="00183C39"/>
    <w:rsid w:val="00184B2E"/>
    <w:rsid w:val="001857D4"/>
    <w:rsid w:val="00185F28"/>
    <w:rsid w:val="00185F6D"/>
    <w:rsid w:val="001871BE"/>
    <w:rsid w:val="001874C7"/>
    <w:rsid w:val="00187732"/>
    <w:rsid w:val="001916A0"/>
    <w:rsid w:val="00191954"/>
    <w:rsid w:val="00193233"/>
    <w:rsid w:val="00193D3A"/>
    <w:rsid w:val="00193FC7"/>
    <w:rsid w:val="0019460B"/>
    <w:rsid w:val="001958FA"/>
    <w:rsid w:val="00196081"/>
    <w:rsid w:val="001A0761"/>
    <w:rsid w:val="001A0FA0"/>
    <w:rsid w:val="001A12F4"/>
    <w:rsid w:val="001A16B4"/>
    <w:rsid w:val="001A2713"/>
    <w:rsid w:val="001A33BC"/>
    <w:rsid w:val="001A39C7"/>
    <w:rsid w:val="001A4D56"/>
    <w:rsid w:val="001A5803"/>
    <w:rsid w:val="001A582D"/>
    <w:rsid w:val="001A5CF1"/>
    <w:rsid w:val="001A6044"/>
    <w:rsid w:val="001A614F"/>
    <w:rsid w:val="001A65D3"/>
    <w:rsid w:val="001A669E"/>
    <w:rsid w:val="001A6742"/>
    <w:rsid w:val="001A6997"/>
    <w:rsid w:val="001A7BE7"/>
    <w:rsid w:val="001B0582"/>
    <w:rsid w:val="001B0681"/>
    <w:rsid w:val="001B6D08"/>
    <w:rsid w:val="001B77CC"/>
    <w:rsid w:val="001B7E3B"/>
    <w:rsid w:val="001C057C"/>
    <w:rsid w:val="001C13C6"/>
    <w:rsid w:val="001C1B21"/>
    <w:rsid w:val="001C26F5"/>
    <w:rsid w:val="001C2C67"/>
    <w:rsid w:val="001C38CB"/>
    <w:rsid w:val="001C414F"/>
    <w:rsid w:val="001C5134"/>
    <w:rsid w:val="001C54C8"/>
    <w:rsid w:val="001C5737"/>
    <w:rsid w:val="001C59B6"/>
    <w:rsid w:val="001C5C33"/>
    <w:rsid w:val="001C668A"/>
    <w:rsid w:val="001C7049"/>
    <w:rsid w:val="001C735A"/>
    <w:rsid w:val="001C76EC"/>
    <w:rsid w:val="001D0548"/>
    <w:rsid w:val="001D09CE"/>
    <w:rsid w:val="001D0E0E"/>
    <w:rsid w:val="001D119C"/>
    <w:rsid w:val="001D179F"/>
    <w:rsid w:val="001D1BA8"/>
    <w:rsid w:val="001D25F4"/>
    <w:rsid w:val="001D3863"/>
    <w:rsid w:val="001D4BD6"/>
    <w:rsid w:val="001D5FFA"/>
    <w:rsid w:val="001D66D1"/>
    <w:rsid w:val="001D68FA"/>
    <w:rsid w:val="001D69FF"/>
    <w:rsid w:val="001D6B31"/>
    <w:rsid w:val="001D724A"/>
    <w:rsid w:val="001D784F"/>
    <w:rsid w:val="001D7D45"/>
    <w:rsid w:val="001E0077"/>
    <w:rsid w:val="001E0562"/>
    <w:rsid w:val="001E11E2"/>
    <w:rsid w:val="001E1364"/>
    <w:rsid w:val="001E1C70"/>
    <w:rsid w:val="001E268F"/>
    <w:rsid w:val="001E53D6"/>
    <w:rsid w:val="001E5741"/>
    <w:rsid w:val="001E59F8"/>
    <w:rsid w:val="001E68FE"/>
    <w:rsid w:val="001E7057"/>
    <w:rsid w:val="001E79B2"/>
    <w:rsid w:val="001F0739"/>
    <w:rsid w:val="001F1262"/>
    <w:rsid w:val="001F1357"/>
    <w:rsid w:val="001F1C05"/>
    <w:rsid w:val="001F1C7E"/>
    <w:rsid w:val="001F1D61"/>
    <w:rsid w:val="001F2129"/>
    <w:rsid w:val="001F2510"/>
    <w:rsid w:val="001F2C4C"/>
    <w:rsid w:val="001F3D07"/>
    <w:rsid w:val="001F3F71"/>
    <w:rsid w:val="001F4443"/>
    <w:rsid w:val="001F4734"/>
    <w:rsid w:val="001F49B8"/>
    <w:rsid w:val="001F4AA5"/>
    <w:rsid w:val="001F5BC1"/>
    <w:rsid w:val="001F5CEB"/>
    <w:rsid w:val="001F67A5"/>
    <w:rsid w:val="001F6860"/>
    <w:rsid w:val="001F72AC"/>
    <w:rsid w:val="001F738E"/>
    <w:rsid w:val="001F742D"/>
    <w:rsid w:val="001F75E6"/>
    <w:rsid w:val="001F775C"/>
    <w:rsid w:val="001F79C6"/>
    <w:rsid w:val="002002FD"/>
    <w:rsid w:val="00200354"/>
    <w:rsid w:val="00200B0F"/>
    <w:rsid w:val="00200CAF"/>
    <w:rsid w:val="0020180D"/>
    <w:rsid w:val="0020294B"/>
    <w:rsid w:val="00202C05"/>
    <w:rsid w:val="00202C21"/>
    <w:rsid w:val="00202C71"/>
    <w:rsid w:val="00203B69"/>
    <w:rsid w:val="00203FD8"/>
    <w:rsid w:val="00204523"/>
    <w:rsid w:val="0020577C"/>
    <w:rsid w:val="0020587E"/>
    <w:rsid w:val="0020646E"/>
    <w:rsid w:val="00206E6F"/>
    <w:rsid w:val="0020734B"/>
    <w:rsid w:val="00210199"/>
    <w:rsid w:val="00211F9A"/>
    <w:rsid w:val="00212FA7"/>
    <w:rsid w:val="00213A42"/>
    <w:rsid w:val="00213B65"/>
    <w:rsid w:val="0021410F"/>
    <w:rsid w:val="00214222"/>
    <w:rsid w:val="00215281"/>
    <w:rsid w:val="00216F7D"/>
    <w:rsid w:val="002175B9"/>
    <w:rsid w:val="002179CB"/>
    <w:rsid w:val="00217ED0"/>
    <w:rsid w:val="002200FE"/>
    <w:rsid w:val="002206DB"/>
    <w:rsid w:val="00220B78"/>
    <w:rsid w:val="00221618"/>
    <w:rsid w:val="002219F5"/>
    <w:rsid w:val="00223D95"/>
    <w:rsid w:val="00223E17"/>
    <w:rsid w:val="00224055"/>
    <w:rsid w:val="0022420F"/>
    <w:rsid w:val="00224226"/>
    <w:rsid w:val="00225398"/>
    <w:rsid w:val="00226BE4"/>
    <w:rsid w:val="00226C5F"/>
    <w:rsid w:val="0023071E"/>
    <w:rsid w:val="002307E5"/>
    <w:rsid w:val="00230ABD"/>
    <w:rsid w:val="00230CD1"/>
    <w:rsid w:val="0023285C"/>
    <w:rsid w:val="00232E84"/>
    <w:rsid w:val="002346CF"/>
    <w:rsid w:val="00234FBB"/>
    <w:rsid w:val="00235781"/>
    <w:rsid w:val="00235A01"/>
    <w:rsid w:val="00236164"/>
    <w:rsid w:val="002361EE"/>
    <w:rsid w:val="002370D5"/>
    <w:rsid w:val="00237241"/>
    <w:rsid w:val="002372CE"/>
    <w:rsid w:val="002400BD"/>
    <w:rsid w:val="002400E0"/>
    <w:rsid w:val="00241CD0"/>
    <w:rsid w:val="00243DFB"/>
    <w:rsid w:val="002458B6"/>
    <w:rsid w:val="0024604A"/>
    <w:rsid w:val="00246342"/>
    <w:rsid w:val="00246A84"/>
    <w:rsid w:val="00250072"/>
    <w:rsid w:val="0025063D"/>
    <w:rsid w:val="00250874"/>
    <w:rsid w:val="00250F57"/>
    <w:rsid w:val="002514DA"/>
    <w:rsid w:val="00252206"/>
    <w:rsid w:val="002523DA"/>
    <w:rsid w:val="0025246D"/>
    <w:rsid w:val="00252E4F"/>
    <w:rsid w:val="002538FC"/>
    <w:rsid w:val="00255142"/>
    <w:rsid w:val="002551B5"/>
    <w:rsid w:val="002551E3"/>
    <w:rsid w:val="00256B06"/>
    <w:rsid w:val="002576C5"/>
    <w:rsid w:val="0025792A"/>
    <w:rsid w:val="002611D9"/>
    <w:rsid w:val="00261583"/>
    <w:rsid w:val="00261957"/>
    <w:rsid w:val="00261D20"/>
    <w:rsid w:val="0026223F"/>
    <w:rsid w:val="0026241E"/>
    <w:rsid w:val="002626E0"/>
    <w:rsid w:val="00263F99"/>
    <w:rsid w:val="002641CB"/>
    <w:rsid w:val="00264EC5"/>
    <w:rsid w:val="0026559E"/>
    <w:rsid w:val="002658DB"/>
    <w:rsid w:val="00267293"/>
    <w:rsid w:val="0026748F"/>
    <w:rsid w:val="002678E0"/>
    <w:rsid w:val="0026796B"/>
    <w:rsid w:val="00270D8C"/>
    <w:rsid w:val="00271D97"/>
    <w:rsid w:val="00271F0B"/>
    <w:rsid w:val="00272405"/>
    <w:rsid w:val="00272536"/>
    <w:rsid w:val="002727B5"/>
    <w:rsid w:val="00272898"/>
    <w:rsid w:val="0027368E"/>
    <w:rsid w:val="002741D0"/>
    <w:rsid w:val="0027446C"/>
    <w:rsid w:val="00274963"/>
    <w:rsid w:val="00275257"/>
    <w:rsid w:val="002758CE"/>
    <w:rsid w:val="00276686"/>
    <w:rsid w:val="002769EB"/>
    <w:rsid w:val="0027716F"/>
    <w:rsid w:val="0027734B"/>
    <w:rsid w:val="002779A7"/>
    <w:rsid w:val="0028070D"/>
    <w:rsid w:val="00280BEF"/>
    <w:rsid w:val="00282D48"/>
    <w:rsid w:val="0028385D"/>
    <w:rsid w:val="00284A87"/>
    <w:rsid w:val="00284DDC"/>
    <w:rsid w:val="0028517E"/>
    <w:rsid w:val="002857D7"/>
    <w:rsid w:val="002865CD"/>
    <w:rsid w:val="00287852"/>
    <w:rsid w:val="002905F0"/>
    <w:rsid w:val="00290AB4"/>
    <w:rsid w:val="00291109"/>
    <w:rsid w:val="002917ED"/>
    <w:rsid w:val="00291AC3"/>
    <w:rsid w:val="002921FA"/>
    <w:rsid w:val="00292C3A"/>
    <w:rsid w:val="002935E3"/>
    <w:rsid w:val="00293804"/>
    <w:rsid w:val="0029482B"/>
    <w:rsid w:val="0029502F"/>
    <w:rsid w:val="00295ED2"/>
    <w:rsid w:val="002960B1"/>
    <w:rsid w:val="00296725"/>
    <w:rsid w:val="00296DF8"/>
    <w:rsid w:val="0029716F"/>
    <w:rsid w:val="002978EC"/>
    <w:rsid w:val="00297FD1"/>
    <w:rsid w:val="002A00C6"/>
    <w:rsid w:val="002A08EF"/>
    <w:rsid w:val="002A1604"/>
    <w:rsid w:val="002A16BF"/>
    <w:rsid w:val="002A2067"/>
    <w:rsid w:val="002A231D"/>
    <w:rsid w:val="002A23CF"/>
    <w:rsid w:val="002A35D4"/>
    <w:rsid w:val="002A447E"/>
    <w:rsid w:val="002A44FB"/>
    <w:rsid w:val="002A4CFB"/>
    <w:rsid w:val="002A5F36"/>
    <w:rsid w:val="002A6DAF"/>
    <w:rsid w:val="002B0CFB"/>
    <w:rsid w:val="002B0DAE"/>
    <w:rsid w:val="002B0F23"/>
    <w:rsid w:val="002B2248"/>
    <w:rsid w:val="002B263E"/>
    <w:rsid w:val="002B37E7"/>
    <w:rsid w:val="002B663A"/>
    <w:rsid w:val="002B6812"/>
    <w:rsid w:val="002B6C5E"/>
    <w:rsid w:val="002C06F6"/>
    <w:rsid w:val="002C07FC"/>
    <w:rsid w:val="002C0D83"/>
    <w:rsid w:val="002C115F"/>
    <w:rsid w:val="002C1F37"/>
    <w:rsid w:val="002C2E92"/>
    <w:rsid w:val="002C3188"/>
    <w:rsid w:val="002C3382"/>
    <w:rsid w:val="002C35D2"/>
    <w:rsid w:val="002C3931"/>
    <w:rsid w:val="002C3E6D"/>
    <w:rsid w:val="002C45F2"/>
    <w:rsid w:val="002C4F72"/>
    <w:rsid w:val="002C61C1"/>
    <w:rsid w:val="002C6F6F"/>
    <w:rsid w:val="002C743B"/>
    <w:rsid w:val="002C7F76"/>
    <w:rsid w:val="002D062B"/>
    <w:rsid w:val="002D1C52"/>
    <w:rsid w:val="002D1E8A"/>
    <w:rsid w:val="002D2246"/>
    <w:rsid w:val="002D2475"/>
    <w:rsid w:val="002D28FD"/>
    <w:rsid w:val="002D3773"/>
    <w:rsid w:val="002D46FD"/>
    <w:rsid w:val="002D49D2"/>
    <w:rsid w:val="002D4A6B"/>
    <w:rsid w:val="002D4C08"/>
    <w:rsid w:val="002D50E5"/>
    <w:rsid w:val="002D5761"/>
    <w:rsid w:val="002D5844"/>
    <w:rsid w:val="002D65A5"/>
    <w:rsid w:val="002D67A0"/>
    <w:rsid w:val="002D6A1B"/>
    <w:rsid w:val="002D73A5"/>
    <w:rsid w:val="002D7DE2"/>
    <w:rsid w:val="002E0D9F"/>
    <w:rsid w:val="002E136D"/>
    <w:rsid w:val="002E1434"/>
    <w:rsid w:val="002E17FC"/>
    <w:rsid w:val="002E1D19"/>
    <w:rsid w:val="002E2AC5"/>
    <w:rsid w:val="002E2D74"/>
    <w:rsid w:val="002E3475"/>
    <w:rsid w:val="002E4046"/>
    <w:rsid w:val="002E4B77"/>
    <w:rsid w:val="002E5699"/>
    <w:rsid w:val="002E57C2"/>
    <w:rsid w:val="002E7047"/>
    <w:rsid w:val="002F0AE1"/>
    <w:rsid w:val="002F0B10"/>
    <w:rsid w:val="002F0E59"/>
    <w:rsid w:val="002F163D"/>
    <w:rsid w:val="002F1E79"/>
    <w:rsid w:val="002F27C3"/>
    <w:rsid w:val="002F33FC"/>
    <w:rsid w:val="002F419B"/>
    <w:rsid w:val="002F4A48"/>
    <w:rsid w:val="002F669B"/>
    <w:rsid w:val="002F683E"/>
    <w:rsid w:val="002F780F"/>
    <w:rsid w:val="002F7E0E"/>
    <w:rsid w:val="0030063A"/>
    <w:rsid w:val="00301FFB"/>
    <w:rsid w:val="0030239A"/>
    <w:rsid w:val="00302CA6"/>
    <w:rsid w:val="00303026"/>
    <w:rsid w:val="00304825"/>
    <w:rsid w:val="00304837"/>
    <w:rsid w:val="003049DD"/>
    <w:rsid w:val="00304A17"/>
    <w:rsid w:val="003055B0"/>
    <w:rsid w:val="00307776"/>
    <w:rsid w:val="003121B5"/>
    <w:rsid w:val="00312248"/>
    <w:rsid w:val="00312480"/>
    <w:rsid w:val="00313AF6"/>
    <w:rsid w:val="0031468C"/>
    <w:rsid w:val="00314CF8"/>
    <w:rsid w:val="003151D5"/>
    <w:rsid w:val="00315AD6"/>
    <w:rsid w:val="00316952"/>
    <w:rsid w:val="00316E05"/>
    <w:rsid w:val="00317886"/>
    <w:rsid w:val="00320541"/>
    <w:rsid w:val="0032290E"/>
    <w:rsid w:val="00322FFB"/>
    <w:rsid w:val="003236FA"/>
    <w:rsid w:val="003238C1"/>
    <w:rsid w:val="00323952"/>
    <w:rsid w:val="00324D9E"/>
    <w:rsid w:val="00324EC3"/>
    <w:rsid w:val="00325A7F"/>
    <w:rsid w:val="003265EF"/>
    <w:rsid w:val="00326CEF"/>
    <w:rsid w:val="00327833"/>
    <w:rsid w:val="00327C4B"/>
    <w:rsid w:val="00331DA8"/>
    <w:rsid w:val="003357BA"/>
    <w:rsid w:val="003358CB"/>
    <w:rsid w:val="00337E9B"/>
    <w:rsid w:val="00340730"/>
    <w:rsid w:val="00340813"/>
    <w:rsid w:val="00340C22"/>
    <w:rsid w:val="00341D07"/>
    <w:rsid w:val="003437AD"/>
    <w:rsid w:val="003439C9"/>
    <w:rsid w:val="00343F64"/>
    <w:rsid w:val="003441B4"/>
    <w:rsid w:val="0034478D"/>
    <w:rsid w:val="00344D4E"/>
    <w:rsid w:val="003452C1"/>
    <w:rsid w:val="00346490"/>
    <w:rsid w:val="00346ABC"/>
    <w:rsid w:val="00346F48"/>
    <w:rsid w:val="0034732E"/>
    <w:rsid w:val="00347937"/>
    <w:rsid w:val="00347DA9"/>
    <w:rsid w:val="00353D83"/>
    <w:rsid w:val="00354FB1"/>
    <w:rsid w:val="00355FD2"/>
    <w:rsid w:val="003566FA"/>
    <w:rsid w:val="00356FFF"/>
    <w:rsid w:val="00360412"/>
    <w:rsid w:val="00360693"/>
    <w:rsid w:val="00360AC3"/>
    <w:rsid w:val="003620F5"/>
    <w:rsid w:val="003632B6"/>
    <w:rsid w:val="00365282"/>
    <w:rsid w:val="0036530D"/>
    <w:rsid w:val="00365A1D"/>
    <w:rsid w:val="00365FF0"/>
    <w:rsid w:val="00366C62"/>
    <w:rsid w:val="00367456"/>
    <w:rsid w:val="00370B43"/>
    <w:rsid w:val="0037200C"/>
    <w:rsid w:val="003724F2"/>
    <w:rsid w:val="00372D6C"/>
    <w:rsid w:val="00372FBF"/>
    <w:rsid w:val="0037462A"/>
    <w:rsid w:val="00374D82"/>
    <w:rsid w:val="00375E00"/>
    <w:rsid w:val="00375F8D"/>
    <w:rsid w:val="00376B0D"/>
    <w:rsid w:val="00376D0D"/>
    <w:rsid w:val="00376DC9"/>
    <w:rsid w:val="00377D1E"/>
    <w:rsid w:val="003801EF"/>
    <w:rsid w:val="003813E1"/>
    <w:rsid w:val="003821FA"/>
    <w:rsid w:val="00382E7B"/>
    <w:rsid w:val="0038305B"/>
    <w:rsid w:val="003831D7"/>
    <w:rsid w:val="00384059"/>
    <w:rsid w:val="0038442B"/>
    <w:rsid w:val="003850D1"/>
    <w:rsid w:val="003856ED"/>
    <w:rsid w:val="00385991"/>
    <w:rsid w:val="003863B0"/>
    <w:rsid w:val="00386990"/>
    <w:rsid w:val="00386AA7"/>
    <w:rsid w:val="00386B92"/>
    <w:rsid w:val="00387F2C"/>
    <w:rsid w:val="003900F2"/>
    <w:rsid w:val="003905D3"/>
    <w:rsid w:val="003922F2"/>
    <w:rsid w:val="00393111"/>
    <w:rsid w:val="003940CF"/>
    <w:rsid w:val="003943E8"/>
    <w:rsid w:val="00394D32"/>
    <w:rsid w:val="00395548"/>
    <w:rsid w:val="00395897"/>
    <w:rsid w:val="00397ECF"/>
    <w:rsid w:val="003A01B7"/>
    <w:rsid w:val="003A125A"/>
    <w:rsid w:val="003A192D"/>
    <w:rsid w:val="003A2183"/>
    <w:rsid w:val="003A2231"/>
    <w:rsid w:val="003A38AB"/>
    <w:rsid w:val="003A407E"/>
    <w:rsid w:val="003A4B29"/>
    <w:rsid w:val="003A4E51"/>
    <w:rsid w:val="003A4F49"/>
    <w:rsid w:val="003A5E07"/>
    <w:rsid w:val="003A6087"/>
    <w:rsid w:val="003A63DF"/>
    <w:rsid w:val="003A7C92"/>
    <w:rsid w:val="003B1413"/>
    <w:rsid w:val="003B1B00"/>
    <w:rsid w:val="003B217A"/>
    <w:rsid w:val="003B2B02"/>
    <w:rsid w:val="003B2EFE"/>
    <w:rsid w:val="003B444C"/>
    <w:rsid w:val="003B57BF"/>
    <w:rsid w:val="003B589F"/>
    <w:rsid w:val="003B591C"/>
    <w:rsid w:val="003B5934"/>
    <w:rsid w:val="003B620B"/>
    <w:rsid w:val="003C4B7F"/>
    <w:rsid w:val="003C62E5"/>
    <w:rsid w:val="003C7357"/>
    <w:rsid w:val="003C7B07"/>
    <w:rsid w:val="003D0584"/>
    <w:rsid w:val="003D277E"/>
    <w:rsid w:val="003D528F"/>
    <w:rsid w:val="003D6580"/>
    <w:rsid w:val="003D6C27"/>
    <w:rsid w:val="003D702A"/>
    <w:rsid w:val="003D73D9"/>
    <w:rsid w:val="003D76A2"/>
    <w:rsid w:val="003D77DA"/>
    <w:rsid w:val="003D7C7E"/>
    <w:rsid w:val="003E0868"/>
    <w:rsid w:val="003E21B4"/>
    <w:rsid w:val="003E2AB9"/>
    <w:rsid w:val="003E31D2"/>
    <w:rsid w:val="003E37EA"/>
    <w:rsid w:val="003E42C3"/>
    <w:rsid w:val="003E4751"/>
    <w:rsid w:val="003E4D58"/>
    <w:rsid w:val="003E5F5F"/>
    <w:rsid w:val="003E64B9"/>
    <w:rsid w:val="003E69BC"/>
    <w:rsid w:val="003E7B74"/>
    <w:rsid w:val="003F09CC"/>
    <w:rsid w:val="003F0A85"/>
    <w:rsid w:val="003F117E"/>
    <w:rsid w:val="003F3022"/>
    <w:rsid w:val="003F3828"/>
    <w:rsid w:val="003F3882"/>
    <w:rsid w:val="003F5659"/>
    <w:rsid w:val="003F590D"/>
    <w:rsid w:val="003F73CA"/>
    <w:rsid w:val="003F747A"/>
    <w:rsid w:val="003F7907"/>
    <w:rsid w:val="00400CA0"/>
    <w:rsid w:val="00400FBE"/>
    <w:rsid w:val="00401092"/>
    <w:rsid w:val="004014BC"/>
    <w:rsid w:val="0040173A"/>
    <w:rsid w:val="004022CD"/>
    <w:rsid w:val="0040345B"/>
    <w:rsid w:val="004038B3"/>
    <w:rsid w:val="00403DA8"/>
    <w:rsid w:val="0040673A"/>
    <w:rsid w:val="00407327"/>
    <w:rsid w:val="004075D7"/>
    <w:rsid w:val="00407721"/>
    <w:rsid w:val="00407AB6"/>
    <w:rsid w:val="00407F24"/>
    <w:rsid w:val="004109DE"/>
    <w:rsid w:val="00411669"/>
    <w:rsid w:val="00411713"/>
    <w:rsid w:val="00411AB5"/>
    <w:rsid w:val="00411CCF"/>
    <w:rsid w:val="0041214B"/>
    <w:rsid w:val="004126DA"/>
    <w:rsid w:val="004136BA"/>
    <w:rsid w:val="004141F0"/>
    <w:rsid w:val="004148C9"/>
    <w:rsid w:val="004150EA"/>
    <w:rsid w:val="00415278"/>
    <w:rsid w:val="00415A94"/>
    <w:rsid w:val="00415C32"/>
    <w:rsid w:val="0041632A"/>
    <w:rsid w:val="004215FD"/>
    <w:rsid w:val="00421C8E"/>
    <w:rsid w:val="00421DA5"/>
    <w:rsid w:val="004237A8"/>
    <w:rsid w:val="004242FE"/>
    <w:rsid w:val="0042592F"/>
    <w:rsid w:val="00425AD9"/>
    <w:rsid w:val="0042638F"/>
    <w:rsid w:val="00426A4E"/>
    <w:rsid w:val="0042772F"/>
    <w:rsid w:val="00427ECB"/>
    <w:rsid w:val="00427EFB"/>
    <w:rsid w:val="00430636"/>
    <w:rsid w:val="0043115F"/>
    <w:rsid w:val="004311A7"/>
    <w:rsid w:val="004319AE"/>
    <w:rsid w:val="00431F06"/>
    <w:rsid w:val="004320A6"/>
    <w:rsid w:val="00432F48"/>
    <w:rsid w:val="0043314D"/>
    <w:rsid w:val="0043411A"/>
    <w:rsid w:val="004349C3"/>
    <w:rsid w:val="0043639F"/>
    <w:rsid w:val="004368CA"/>
    <w:rsid w:val="004369D4"/>
    <w:rsid w:val="00436D6A"/>
    <w:rsid w:val="004377A5"/>
    <w:rsid w:val="00437A6F"/>
    <w:rsid w:val="00440FB1"/>
    <w:rsid w:val="004410E2"/>
    <w:rsid w:val="0044131A"/>
    <w:rsid w:val="00441CFA"/>
    <w:rsid w:val="00442F0C"/>
    <w:rsid w:val="0044307D"/>
    <w:rsid w:val="0044423F"/>
    <w:rsid w:val="00444875"/>
    <w:rsid w:val="004456D4"/>
    <w:rsid w:val="00446B29"/>
    <w:rsid w:val="00450BA3"/>
    <w:rsid w:val="0045101F"/>
    <w:rsid w:val="004523BB"/>
    <w:rsid w:val="00452952"/>
    <w:rsid w:val="00453B41"/>
    <w:rsid w:val="00454296"/>
    <w:rsid w:val="00454A88"/>
    <w:rsid w:val="004551F8"/>
    <w:rsid w:val="0045603E"/>
    <w:rsid w:val="004566A7"/>
    <w:rsid w:val="00456E19"/>
    <w:rsid w:val="004578A7"/>
    <w:rsid w:val="00457B91"/>
    <w:rsid w:val="00460496"/>
    <w:rsid w:val="00460A57"/>
    <w:rsid w:val="00460BA0"/>
    <w:rsid w:val="00461705"/>
    <w:rsid w:val="00461AD3"/>
    <w:rsid w:val="00461E66"/>
    <w:rsid w:val="00462DBB"/>
    <w:rsid w:val="00462F93"/>
    <w:rsid w:val="00463AFC"/>
    <w:rsid w:val="004645F1"/>
    <w:rsid w:val="00465059"/>
    <w:rsid w:val="0046613A"/>
    <w:rsid w:val="0046621E"/>
    <w:rsid w:val="00466CB5"/>
    <w:rsid w:val="004673A7"/>
    <w:rsid w:val="00467D0C"/>
    <w:rsid w:val="00470E45"/>
    <w:rsid w:val="00471244"/>
    <w:rsid w:val="00471977"/>
    <w:rsid w:val="0047274A"/>
    <w:rsid w:val="004728A2"/>
    <w:rsid w:val="0047375F"/>
    <w:rsid w:val="00473AFD"/>
    <w:rsid w:val="00474382"/>
    <w:rsid w:val="004746C8"/>
    <w:rsid w:val="004762F2"/>
    <w:rsid w:val="00476AB0"/>
    <w:rsid w:val="00476CD9"/>
    <w:rsid w:val="00477047"/>
    <w:rsid w:val="00477261"/>
    <w:rsid w:val="00477328"/>
    <w:rsid w:val="004776C9"/>
    <w:rsid w:val="004776EF"/>
    <w:rsid w:val="00477EE1"/>
    <w:rsid w:val="00477F78"/>
    <w:rsid w:val="004801A3"/>
    <w:rsid w:val="00480B49"/>
    <w:rsid w:val="00481A01"/>
    <w:rsid w:val="00481C4E"/>
    <w:rsid w:val="004825DD"/>
    <w:rsid w:val="0048284D"/>
    <w:rsid w:val="00484C03"/>
    <w:rsid w:val="00485071"/>
    <w:rsid w:val="00485C47"/>
    <w:rsid w:val="00485DD9"/>
    <w:rsid w:val="00486423"/>
    <w:rsid w:val="004869E5"/>
    <w:rsid w:val="0048743C"/>
    <w:rsid w:val="00490400"/>
    <w:rsid w:val="00490421"/>
    <w:rsid w:val="00490D3E"/>
    <w:rsid w:val="00491050"/>
    <w:rsid w:val="0049137E"/>
    <w:rsid w:val="00492212"/>
    <w:rsid w:val="0049277B"/>
    <w:rsid w:val="00492855"/>
    <w:rsid w:val="00492AD7"/>
    <w:rsid w:val="004933E6"/>
    <w:rsid w:val="0049388A"/>
    <w:rsid w:val="004938FB"/>
    <w:rsid w:val="00493C10"/>
    <w:rsid w:val="00494262"/>
    <w:rsid w:val="00494915"/>
    <w:rsid w:val="00495DD4"/>
    <w:rsid w:val="004969C8"/>
    <w:rsid w:val="004972AD"/>
    <w:rsid w:val="00497455"/>
    <w:rsid w:val="00497622"/>
    <w:rsid w:val="004A078A"/>
    <w:rsid w:val="004A08F8"/>
    <w:rsid w:val="004A1405"/>
    <w:rsid w:val="004A2B27"/>
    <w:rsid w:val="004A2C90"/>
    <w:rsid w:val="004A2CA0"/>
    <w:rsid w:val="004A44C7"/>
    <w:rsid w:val="004A4EFF"/>
    <w:rsid w:val="004A63DF"/>
    <w:rsid w:val="004A65D4"/>
    <w:rsid w:val="004A668B"/>
    <w:rsid w:val="004A6BC1"/>
    <w:rsid w:val="004A6D6E"/>
    <w:rsid w:val="004B01AD"/>
    <w:rsid w:val="004B02F5"/>
    <w:rsid w:val="004B08F0"/>
    <w:rsid w:val="004B098D"/>
    <w:rsid w:val="004B1411"/>
    <w:rsid w:val="004B14B0"/>
    <w:rsid w:val="004B1685"/>
    <w:rsid w:val="004B1AD6"/>
    <w:rsid w:val="004B1E6A"/>
    <w:rsid w:val="004B2B86"/>
    <w:rsid w:val="004B2F84"/>
    <w:rsid w:val="004B37F6"/>
    <w:rsid w:val="004B43AE"/>
    <w:rsid w:val="004B45BA"/>
    <w:rsid w:val="004B5C21"/>
    <w:rsid w:val="004B5D4F"/>
    <w:rsid w:val="004C04AD"/>
    <w:rsid w:val="004C0CEF"/>
    <w:rsid w:val="004C183F"/>
    <w:rsid w:val="004C207A"/>
    <w:rsid w:val="004C2789"/>
    <w:rsid w:val="004C39FB"/>
    <w:rsid w:val="004C45B3"/>
    <w:rsid w:val="004C48A7"/>
    <w:rsid w:val="004C58CD"/>
    <w:rsid w:val="004C5C33"/>
    <w:rsid w:val="004C5E24"/>
    <w:rsid w:val="004C67B6"/>
    <w:rsid w:val="004C6A63"/>
    <w:rsid w:val="004C6B3F"/>
    <w:rsid w:val="004C6BB2"/>
    <w:rsid w:val="004C7E6D"/>
    <w:rsid w:val="004D1396"/>
    <w:rsid w:val="004D2434"/>
    <w:rsid w:val="004D292A"/>
    <w:rsid w:val="004D39DE"/>
    <w:rsid w:val="004D3D0D"/>
    <w:rsid w:val="004D42D1"/>
    <w:rsid w:val="004D4EF9"/>
    <w:rsid w:val="004D58FF"/>
    <w:rsid w:val="004D5F7D"/>
    <w:rsid w:val="004D62CA"/>
    <w:rsid w:val="004D6945"/>
    <w:rsid w:val="004D6F0B"/>
    <w:rsid w:val="004D7A8F"/>
    <w:rsid w:val="004E1108"/>
    <w:rsid w:val="004E212A"/>
    <w:rsid w:val="004E222E"/>
    <w:rsid w:val="004E2272"/>
    <w:rsid w:val="004E3F46"/>
    <w:rsid w:val="004E4CC8"/>
    <w:rsid w:val="004E5BCA"/>
    <w:rsid w:val="004E69BE"/>
    <w:rsid w:val="004E69C0"/>
    <w:rsid w:val="004E6BB0"/>
    <w:rsid w:val="004E757B"/>
    <w:rsid w:val="004E7767"/>
    <w:rsid w:val="004E79D9"/>
    <w:rsid w:val="004F004B"/>
    <w:rsid w:val="004F08A0"/>
    <w:rsid w:val="004F0A67"/>
    <w:rsid w:val="004F0D6B"/>
    <w:rsid w:val="004F2718"/>
    <w:rsid w:val="004F2BD4"/>
    <w:rsid w:val="004F2C63"/>
    <w:rsid w:val="004F3507"/>
    <w:rsid w:val="004F3C81"/>
    <w:rsid w:val="004F3D38"/>
    <w:rsid w:val="004F457C"/>
    <w:rsid w:val="004F5C55"/>
    <w:rsid w:val="004F6920"/>
    <w:rsid w:val="004F7339"/>
    <w:rsid w:val="00500A01"/>
    <w:rsid w:val="00501934"/>
    <w:rsid w:val="00501FCB"/>
    <w:rsid w:val="0050289F"/>
    <w:rsid w:val="00502E6D"/>
    <w:rsid w:val="00502F02"/>
    <w:rsid w:val="005036F4"/>
    <w:rsid w:val="00503903"/>
    <w:rsid w:val="00504041"/>
    <w:rsid w:val="00504417"/>
    <w:rsid w:val="00504541"/>
    <w:rsid w:val="005050DB"/>
    <w:rsid w:val="00506520"/>
    <w:rsid w:val="005067DD"/>
    <w:rsid w:val="00506881"/>
    <w:rsid w:val="005074B4"/>
    <w:rsid w:val="00507B46"/>
    <w:rsid w:val="00507FEC"/>
    <w:rsid w:val="0051009F"/>
    <w:rsid w:val="00510A77"/>
    <w:rsid w:val="00511A22"/>
    <w:rsid w:val="00511EB8"/>
    <w:rsid w:val="005121F1"/>
    <w:rsid w:val="00512222"/>
    <w:rsid w:val="00512C5D"/>
    <w:rsid w:val="00513580"/>
    <w:rsid w:val="005136FD"/>
    <w:rsid w:val="005139DB"/>
    <w:rsid w:val="00514282"/>
    <w:rsid w:val="0051448D"/>
    <w:rsid w:val="005145F7"/>
    <w:rsid w:val="00514DA3"/>
    <w:rsid w:val="0051553F"/>
    <w:rsid w:val="00516EAD"/>
    <w:rsid w:val="005170F5"/>
    <w:rsid w:val="00517D51"/>
    <w:rsid w:val="005202AB"/>
    <w:rsid w:val="0052037D"/>
    <w:rsid w:val="00521176"/>
    <w:rsid w:val="00521E16"/>
    <w:rsid w:val="00522D14"/>
    <w:rsid w:val="005237C0"/>
    <w:rsid w:val="00525001"/>
    <w:rsid w:val="00525E6C"/>
    <w:rsid w:val="005261F9"/>
    <w:rsid w:val="00526359"/>
    <w:rsid w:val="00526793"/>
    <w:rsid w:val="00526A6C"/>
    <w:rsid w:val="00526DD3"/>
    <w:rsid w:val="005277EB"/>
    <w:rsid w:val="00527D1C"/>
    <w:rsid w:val="00527D79"/>
    <w:rsid w:val="00527DBF"/>
    <w:rsid w:val="0053045F"/>
    <w:rsid w:val="0053192B"/>
    <w:rsid w:val="00532B28"/>
    <w:rsid w:val="0053320D"/>
    <w:rsid w:val="00533DF7"/>
    <w:rsid w:val="00534E39"/>
    <w:rsid w:val="005350E8"/>
    <w:rsid w:val="005358E8"/>
    <w:rsid w:val="005361D1"/>
    <w:rsid w:val="005366F3"/>
    <w:rsid w:val="00536D81"/>
    <w:rsid w:val="00537336"/>
    <w:rsid w:val="005404A0"/>
    <w:rsid w:val="00541890"/>
    <w:rsid w:val="00541953"/>
    <w:rsid w:val="00541E37"/>
    <w:rsid w:val="00542BB7"/>
    <w:rsid w:val="00543C56"/>
    <w:rsid w:val="00544C9F"/>
    <w:rsid w:val="00544E1F"/>
    <w:rsid w:val="005452B1"/>
    <w:rsid w:val="0054630F"/>
    <w:rsid w:val="00546D5E"/>
    <w:rsid w:val="00546DE2"/>
    <w:rsid w:val="00546E58"/>
    <w:rsid w:val="00547100"/>
    <w:rsid w:val="005477A2"/>
    <w:rsid w:val="005508FD"/>
    <w:rsid w:val="00551545"/>
    <w:rsid w:val="00551622"/>
    <w:rsid w:val="005518D8"/>
    <w:rsid w:val="005518F2"/>
    <w:rsid w:val="0055505E"/>
    <w:rsid w:val="00555B9D"/>
    <w:rsid w:val="00555EC2"/>
    <w:rsid w:val="00556511"/>
    <w:rsid w:val="005574AF"/>
    <w:rsid w:val="00557A53"/>
    <w:rsid w:val="00560170"/>
    <w:rsid w:val="00560224"/>
    <w:rsid w:val="00560809"/>
    <w:rsid w:val="00560EC7"/>
    <w:rsid w:val="00561122"/>
    <w:rsid w:val="00561702"/>
    <w:rsid w:val="0056407B"/>
    <w:rsid w:val="005642B5"/>
    <w:rsid w:val="00565954"/>
    <w:rsid w:val="00565A81"/>
    <w:rsid w:val="00565BBC"/>
    <w:rsid w:val="00566124"/>
    <w:rsid w:val="00566F09"/>
    <w:rsid w:val="0056739C"/>
    <w:rsid w:val="00567486"/>
    <w:rsid w:val="00567504"/>
    <w:rsid w:val="005678C7"/>
    <w:rsid w:val="00567F70"/>
    <w:rsid w:val="00570BD4"/>
    <w:rsid w:val="00570BF6"/>
    <w:rsid w:val="005714EF"/>
    <w:rsid w:val="0057155D"/>
    <w:rsid w:val="00571934"/>
    <w:rsid w:val="00572C99"/>
    <w:rsid w:val="0057334C"/>
    <w:rsid w:val="005737A4"/>
    <w:rsid w:val="00573A95"/>
    <w:rsid w:val="00574656"/>
    <w:rsid w:val="005747DC"/>
    <w:rsid w:val="0057493D"/>
    <w:rsid w:val="0057520A"/>
    <w:rsid w:val="005759DC"/>
    <w:rsid w:val="00575C40"/>
    <w:rsid w:val="005768F2"/>
    <w:rsid w:val="00576AD3"/>
    <w:rsid w:val="0057701B"/>
    <w:rsid w:val="0057707B"/>
    <w:rsid w:val="0057715F"/>
    <w:rsid w:val="00582305"/>
    <w:rsid w:val="005826A5"/>
    <w:rsid w:val="00582AB7"/>
    <w:rsid w:val="0058433D"/>
    <w:rsid w:val="005843A8"/>
    <w:rsid w:val="005858B2"/>
    <w:rsid w:val="005859CB"/>
    <w:rsid w:val="00585FF3"/>
    <w:rsid w:val="00586243"/>
    <w:rsid w:val="00586D3B"/>
    <w:rsid w:val="0059032E"/>
    <w:rsid w:val="00590764"/>
    <w:rsid w:val="00590BB3"/>
    <w:rsid w:val="00591FF0"/>
    <w:rsid w:val="00592C63"/>
    <w:rsid w:val="00592FF2"/>
    <w:rsid w:val="00593696"/>
    <w:rsid w:val="00594003"/>
    <w:rsid w:val="0059643A"/>
    <w:rsid w:val="005A034F"/>
    <w:rsid w:val="005A0793"/>
    <w:rsid w:val="005A0F39"/>
    <w:rsid w:val="005A0FB1"/>
    <w:rsid w:val="005A132B"/>
    <w:rsid w:val="005A18D4"/>
    <w:rsid w:val="005A1999"/>
    <w:rsid w:val="005A21C3"/>
    <w:rsid w:val="005A2623"/>
    <w:rsid w:val="005A2E20"/>
    <w:rsid w:val="005A3936"/>
    <w:rsid w:val="005A3BF3"/>
    <w:rsid w:val="005A3CC5"/>
    <w:rsid w:val="005A469E"/>
    <w:rsid w:val="005A587B"/>
    <w:rsid w:val="005A5F66"/>
    <w:rsid w:val="005A6B6E"/>
    <w:rsid w:val="005A6F36"/>
    <w:rsid w:val="005A7640"/>
    <w:rsid w:val="005B03B0"/>
    <w:rsid w:val="005B104E"/>
    <w:rsid w:val="005B1697"/>
    <w:rsid w:val="005B1B9D"/>
    <w:rsid w:val="005B26CD"/>
    <w:rsid w:val="005B27FA"/>
    <w:rsid w:val="005B2BA5"/>
    <w:rsid w:val="005B32C3"/>
    <w:rsid w:val="005B3339"/>
    <w:rsid w:val="005B3C6C"/>
    <w:rsid w:val="005B4C20"/>
    <w:rsid w:val="005B51C2"/>
    <w:rsid w:val="005B5506"/>
    <w:rsid w:val="005B5774"/>
    <w:rsid w:val="005B7280"/>
    <w:rsid w:val="005B769C"/>
    <w:rsid w:val="005B7A9C"/>
    <w:rsid w:val="005B7E05"/>
    <w:rsid w:val="005B7FBD"/>
    <w:rsid w:val="005C04A6"/>
    <w:rsid w:val="005C0781"/>
    <w:rsid w:val="005C129C"/>
    <w:rsid w:val="005C272C"/>
    <w:rsid w:val="005C2A9B"/>
    <w:rsid w:val="005C39A1"/>
    <w:rsid w:val="005C4816"/>
    <w:rsid w:val="005C522A"/>
    <w:rsid w:val="005C5EB1"/>
    <w:rsid w:val="005C7582"/>
    <w:rsid w:val="005C7A01"/>
    <w:rsid w:val="005D02D3"/>
    <w:rsid w:val="005D0AD6"/>
    <w:rsid w:val="005D1951"/>
    <w:rsid w:val="005D245B"/>
    <w:rsid w:val="005D2541"/>
    <w:rsid w:val="005D2689"/>
    <w:rsid w:val="005D2C5C"/>
    <w:rsid w:val="005D2DA5"/>
    <w:rsid w:val="005D3761"/>
    <w:rsid w:val="005D3B33"/>
    <w:rsid w:val="005D5462"/>
    <w:rsid w:val="005D558A"/>
    <w:rsid w:val="005D60DE"/>
    <w:rsid w:val="005D6358"/>
    <w:rsid w:val="005D7669"/>
    <w:rsid w:val="005D793B"/>
    <w:rsid w:val="005D7F2A"/>
    <w:rsid w:val="005E194A"/>
    <w:rsid w:val="005E1F61"/>
    <w:rsid w:val="005E20DC"/>
    <w:rsid w:val="005E3460"/>
    <w:rsid w:val="005E34F1"/>
    <w:rsid w:val="005E36BD"/>
    <w:rsid w:val="005E37D9"/>
    <w:rsid w:val="005E422B"/>
    <w:rsid w:val="005E4669"/>
    <w:rsid w:val="005E6E31"/>
    <w:rsid w:val="005E706C"/>
    <w:rsid w:val="005F113F"/>
    <w:rsid w:val="005F1CB3"/>
    <w:rsid w:val="005F27CE"/>
    <w:rsid w:val="005F2E68"/>
    <w:rsid w:val="005F307C"/>
    <w:rsid w:val="005F4345"/>
    <w:rsid w:val="005F533B"/>
    <w:rsid w:val="005F5E06"/>
    <w:rsid w:val="005F6CC5"/>
    <w:rsid w:val="005F6F1A"/>
    <w:rsid w:val="005F71A0"/>
    <w:rsid w:val="005F7295"/>
    <w:rsid w:val="0060078C"/>
    <w:rsid w:val="00601268"/>
    <w:rsid w:val="00602C64"/>
    <w:rsid w:val="00603995"/>
    <w:rsid w:val="00605456"/>
    <w:rsid w:val="00606AE9"/>
    <w:rsid w:val="00610B5B"/>
    <w:rsid w:val="00610F97"/>
    <w:rsid w:val="006116F9"/>
    <w:rsid w:val="006120B3"/>
    <w:rsid w:val="00612A73"/>
    <w:rsid w:val="00612B11"/>
    <w:rsid w:val="00613079"/>
    <w:rsid w:val="00613701"/>
    <w:rsid w:val="006138AB"/>
    <w:rsid w:val="0061391D"/>
    <w:rsid w:val="006152A4"/>
    <w:rsid w:val="00616278"/>
    <w:rsid w:val="00616372"/>
    <w:rsid w:val="00616736"/>
    <w:rsid w:val="006175BB"/>
    <w:rsid w:val="006176E7"/>
    <w:rsid w:val="0062027F"/>
    <w:rsid w:val="00620B18"/>
    <w:rsid w:val="00620C50"/>
    <w:rsid w:val="006216DB"/>
    <w:rsid w:val="00621897"/>
    <w:rsid w:val="006221C3"/>
    <w:rsid w:val="00622B3B"/>
    <w:rsid w:val="00623210"/>
    <w:rsid w:val="00623D2E"/>
    <w:rsid w:val="00624344"/>
    <w:rsid w:val="006243ED"/>
    <w:rsid w:val="00624C08"/>
    <w:rsid w:val="0062651E"/>
    <w:rsid w:val="00626835"/>
    <w:rsid w:val="00626E5C"/>
    <w:rsid w:val="00626F38"/>
    <w:rsid w:val="0063006B"/>
    <w:rsid w:val="006312B5"/>
    <w:rsid w:val="0063143A"/>
    <w:rsid w:val="00631B81"/>
    <w:rsid w:val="00631B86"/>
    <w:rsid w:val="00631E6F"/>
    <w:rsid w:val="00632774"/>
    <w:rsid w:val="00632961"/>
    <w:rsid w:val="006329CC"/>
    <w:rsid w:val="00632B3C"/>
    <w:rsid w:val="00633DD1"/>
    <w:rsid w:val="0063453D"/>
    <w:rsid w:val="00634AC6"/>
    <w:rsid w:val="00634FC0"/>
    <w:rsid w:val="0063550C"/>
    <w:rsid w:val="006359E9"/>
    <w:rsid w:val="00636DF3"/>
    <w:rsid w:val="00636E3E"/>
    <w:rsid w:val="00637979"/>
    <w:rsid w:val="00640527"/>
    <w:rsid w:val="00642E84"/>
    <w:rsid w:val="00643C4D"/>
    <w:rsid w:val="00643D40"/>
    <w:rsid w:val="00644458"/>
    <w:rsid w:val="006449F3"/>
    <w:rsid w:val="00644DE5"/>
    <w:rsid w:val="0064520A"/>
    <w:rsid w:val="006454F8"/>
    <w:rsid w:val="00645D8E"/>
    <w:rsid w:val="006461C1"/>
    <w:rsid w:val="00646D39"/>
    <w:rsid w:val="00647808"/>
    <w:rsid w:val="006478D2"/>
    <w:rsid w:val="0065173A"/>
    <w:rsid w:val="006521C5"/>
    <w:rsid w:val="006522AE"/>
    <w:rsid w:val="00652F98"/>
    <w:rsid w:val="006534AA"/>
    <w:rsid w:val="00654218"/>
    <w:rsid w:val="00654A45"/>
    <w:rsid w:val="00654C0C"/>
    <w:rsid w:val="0065652E"/>
    <w:rsid w:val="00660F88"/>
    <w:rsid w:val="006615EA"/>
    <w:rsid w:val="00661D7A"/>
    <w:rsid w:val="00662E60"/>
    <w:rsid w:val="006633DC"/>
    <w:rsid w:val="006638F9"/>
    <w:rsid w:val="00663A08"/>
    <w:rsid w:val="00663F70"/>
    <w:rsid w:val="00664377"/>
    <w:rsid w:val="00665157"/>
    <w:rsid w:val="00666259"/>
    <w:rsid w:val="006665C5"/>
    <w:rsid w:val="006666F9"/>
    <w:rsid w:val="00666BF8"/>
    <w:rsid w:val="00667A38"/>
    <w:rsid w:val="00670944"/>
    <w:rsid w:val="00670B74"/>
    <w:rsid w:val="006712D8"/>
    <w:rsid w:val="0067152C"/>
    <w:rsid w:val="00672C06"/>
    <w:rsid w:val="0067335C"/>
    <w:rsid w:val="00675174"/>
    <w:rsid w:val="00675789"/>
    <w:rsid w:val="00675A6D"/>
    <w:rsid w:val="00675B00"/>
    <w:rsid w:val="006771BA"/>
    <w:rsid w:val="00677409"/>
    <w:rsid w:val="00677F08"/>
    <w:rsid w:val="00680E7E"/>
    <w:rsid w:val="0068104B"/>
    <w:rsid w:val="00681177"/>
    <w:rsid w:val="0068159E"/>
    <w:rsid w:val="00681900"/>
    <w:rsid w:val="00683224"/>
    <w:rsid w:val="00683FE2"/>
    <w:rsid w:val="006845E8"/>
    <w:rsid w:val="00685D7E"/>
    <w:rsid w:val="0068633A"/>
    <w:rsid w:val="0068692B"/>
    <w:rsid w:val="00686F13"/>
    <w:rsid w:val="00687548"/>
    <w:rsid w:val="006900EB"/>
    <w:rsid w:val="00690535"/>
    <w:rsid w:val="006917AC"/>
    <w:rsid w:val="00691CFB"/>
    <w:rsid w:val="00691FC6"/>
    <w:rsid w:val="00692D9D"/>
    <w:rsid w:val="006935E0"/>
    <w:rsid w:val="00693ED6"/>
    <w:rsid w:val="0069429C"/>
    <w:rsid w:val="006946B0"/>
    <w:rsid w:val="00694834"/>
    <w:rsid w:val="0069595A"/>
    <w:rsid w:val="00695F57"/>
    <w:rsid w:val="00696DFC"/>
    <w:rsid w:val="00697BFC"/>
    <w:rsid w:val="006A0094"/>
    <w:rsid w:val="006A00DF"/>
    <w:rsid w:val="006A0D08"/>
    <w:rsid w:val="006A0FCE"/>
    <w:rsid w:val="006A195E"/>
    <w:rsid w:val="006A303C"/>
    <w:rsid w:val="006A3A59"/>
    <w:rsid w:val="006A3F1D"/>
    <w:rsid w:val="006A402E"/>
    <w:rsid w:val="006A4AAB"/>
    <w:rsid w:val="006A59A0"/>
    <w:rsid w:val="006A6606"/>
    <w:rsid w:val="006B1405"/>
    <w:rsid w:val="006B1CB6"/>
    <w:rsid w:val="006B243B"/>
    <w:rsid w:val="006B247A"/>
    <w:rsid w:val="006B2D64"/>
    <w:rsid w:val="006B2F59"/>
    <w:rsid w:val="006B479A"/>
    <w:rsid w:val="006B4B47"/>
    <w:rsid w:val="006B6310"/>
    <w:rsid w:val="006B6602"/>
    <w:rsid w:val="006B6696"/>
    <w:rsid w:val="006B6B4F"/>
    <w:rsid w:val="006B6C77"/>
    <w:rsid w:val="006B6EAC"/>
    <w:rsid w:val="006B6F66"/>
    <w:rsid w:val="006B76BB"/>
    <w:rsid w:val="006B7E6D"/>
    <w:rsid w:val="006C0758"/>
    <w:rsid w:val="006C09A4"/>
    <w:rsid w:val="006C1416"/>
    <w:rsid w:val="006C17A0"/>
    <w:rsid w:val="006C1A8B"/>
    <w:rsid w:val="006C1D79"/>
    <w:rsid w:val="006C1E72"/>
    <w:rsid w:val="006C2BAD"/>
    <w:rsid w:val="006C3F9F"/>
    <w:rsid w:val="006C43C5"/>
    <w:rsid w:val="006C4481"/>
    <w:rsid w:val="006C512C"/>
    <w:rsid w:val="006C51C1"/>
    <w:rsid w:val="006C6219"/>
    <w:rsid w:val="006C68C3"/>
    <w:rsid w:val="006D0F13"/>
    <w:rsid w:val="006D0F98"/>
    <w:rsid w:val="006D10A6"/>
    <w:rsid w:val="006D130D"/>
    <w:rsid w:val="006D21BA"/>
    <w:rsid w:val="006D2DF3"/>
    <w:rsid w:val="006D2E19"/>
    <w:rsid w:val="006D4FCD"/>
    <w:rsid w:val="006D57A4"/>
    <w:rsid w:val="006D5B5B"/>
    <w:rsid w:val="006D64EC"/>
    <w:rsid w:val="006D6EDF"/>
    <w:rsid w:val="006D6FCD"/>
    <w:rsid w:val="006D73B6"/>
    <w:rsid w:val="006D784F"/>
    <w:rsid w:val="006D7B1B"/>
    <w:rsid w:val="006E0006"/>
    <w:rsid w:val="006E007B"/>
    <w:rsid w:val="006E0E35"/>
    <w:rsid w:val="006E19F9"/>
    <w:rsid w:val="006E248C"/>
    <w:rsid w:val="006E3DA1"/>
    <w:rsid w:val="006E5623"/>
    <w:rsid w:val="006E67A0"/>
    <w:rsid w:val="006E7148"/>
    <w:rsid w:val="006E73DC"/>
    <w:rsid w:val="006E753C"/>
    <w:rsid w:val="006E753E"/>
    <w:rsid w:val="006E7E9F"/>
    <w:rsid w:val="006F0941"/>
    <w:rsid w:val="006F0BA1"/>
    <w:rsid w:val="006F17CF"/>
    <w:rsid w:val="006F2344"/>
    <w:rsid w:val="006F2B15"/>
    <w:rsid w:val="006F35A8"/>
    <w:rsid w:val="006F35D4"/>
    <w:rsid w:val="006F38B2"/>
    <w:rsid w:val="006F4AE4"/>
    <w:rsid w:val="006F5CBA"/>
    <w:rsid w:val="006F611A"/>
    <w:rsid w:val="006F6C89"/>
    <w:rsid w:val="006F73FD"/>
    <w:rsid w:val="006F7AE3"/>
    <w:rsid w:val="00700415"/>
    <w:rsid w:val="007019FE"/>
    <w:rsid w:val="00701B1C"/>
    <w:rsid w:val="007024C0"/>
    <w:rsid w:val="007024E1"/>
    <w:rsid w:val="00704F4E"/>
    <w:rsid w:val="007060D7"/>
    <w:rsid w:val="007067E8"/>
    <w:rsid w:val="007068E7"/>
    <w:rsid w:val="0070747A"/>
    <w:rsid w:val="00707A4F"/>
    <w:rsid w:val="007101FD"/>
    <w:rsid w:val="00710AA1"/>
    <w:rsid w:val="00712AC1"/>
    <w:rsid w:val="0071315D"/>
    <w:rsid w:val="00713BE7"/>
    <w:rsid w:val="00715529"/>
    <w:rsid w:val="0071605B"/>
    <w:rsid w:val="00716068"/>
    <w:rsid w:val="00716236"/>
    <w:rsid w:val="007168FC"/>
    <w:rsid w:val="00716F95"/>
    <w:rsid w:val="00717584"/>
    <w:rsid w:val="0072020B"/>
    <w:rsid w:val="00721280"/>
    <w:rsid w:val="00722394"/>
    <w:rsid w:val="007239DB"/>
    <w:rsid w:val="007258FE"/>
    <w:rsid w:val="00725C5F"/>
    <w:rsid w:val="00725F86"/>
    <w:rsid w:val="007262FA"/>
    <w:rsid w:val="00726654"/>
    <w:rsid w:val="00727471"/>
    <w:rsid w:val="00731981"/>
    <w:rsid w:val="00733049"/>
    <w:rsid w:val="0073335C"/>
    <w:rsid w:val="007341E4"/>
    <w:rsid w:val="0073556C"/>
    <w:rsid w:val="007355E0"/>
    <w:rsid w:val="0073594A"/>
    <w:rsid w:val="0073617A"/>
    <w:rsid w:val="007374E0"/>
    <w:rsid w:val="007379F5"/>
    <w:rsid w:val="00737A7A"/>
    <w:rsid w:val="00737B2C"/>
    <w:rsid w:val="007404A4"/>
    <w:rsid w:val="00741955"/>
    <w:rsid w:val="00741FA2"/>
    <w:rsid w:val="00741FA7"/>
    <w:rsid w:val="00742718"/>
    <w:rsid w:val="0074297B"/>
    <w:rsid w:val="00742FA7"/>
    <w:rsid w:val="00744F57"/>
    <w:rsid w:val="00745F7F"/>
    <w:rsid w:val="00747067"/>
    <w:rsid w:val="00747A11"/>
    <w:rsid w:val="00747B50"/>
    <w:rsid w:val="00747EB7"/>
    <w:rsid w:val="00750307"/>
    <w:rsid w:val="007504BC"/>
    <w:rsid w:val="007508CE"/>
    <w:rsid w:val="00751453"/>
    <w:rsid w:val="00751CF1"/>
    <w:rsid w:val="00753AB6"/>
    <w:rsid w:val="00753BA1"/>
    <w:rsid w:val="0075491D"/>
    <w:rsid w:val="00754CA4"/>
    <w:rsid w:val="00754FB2"/>
    <w:rsid w:val="007551A1"/>
    <w:rsid w:val="00756774"/>
    <w:rsid w:val="00757389"/>
    <w:rsid w:val="00757401"/>
    <w:rsid w:val="007575FD"/>
    <w:rsid w:val="00757627"/>
    <w:rsid w:val="00757DCC"/>
    <w:rsid w:val="00757F04"/>
    <w:rsid w:val="00762233"/>
    <w:rsid w:val="00762F15"/>
    <w:rsid w:val="0076322D"/>
    <w:rsid w:val="00763B23"/>
    <w:rsid w:val="0076458C"/>
    <w:rsid w:val="00764A2A"/>
    <w:rsid w:val="00766476"/>
    <w:rsid w:val="007701D3"/>
    <w:rsid w:val="007711BA"/>
    <w:rsid w:val="00771383"/>
    <w:rsid w:val="00773C49"/>
    <w:rsid w:val="00774558"/>
    <w:rsid w:val="007746C0"/>
    <w:rsid w:val="00776388"/>
    <w:rsid w:val="00776587"/>
    <w:rsid w:val="00776AD7"/>
    <w:rsid w:val="007772EB"/>
    <w:rsid w:val="007776A8"/>
    <w:rsid w:val="00780494"/>
    <w:rsid w:val="0078067D"/>
    <w:rsid w:val="00781447"/>
    <w:rsid w:val="00781B2F"/>
    <w:rsid w:val="00781DA0"/>
    <w:rsid w:val="00781DF4"/>
    <w:rsid w:val="0078224A"/>
    <w:rsid w:val="0078262B"/>
    <w:rsid w:val="007828F7"/>
    <w:rsid w:val="00783B60"/>
    <w:rsid w:val="00783DE3"/>
    <w:rsid w:val="00784482"/>
    <w:rsid w:val="00784550"/>
    <w:rsid w:val="00784A23"/>
    <w:rsid w:val="00784C1B"/>
    <w:rsid w:val="00784C55"/>
    <w:rsid w:val="007859B0"/>
    <w:rsid w:val="00786B29"/>
    <w:rsid w:val="0078710B"/>
    <w:rsid w:val="0078787D"/>
    <w:rsid w:val="00792903"/>
    <w:rsid w:val="007929D0"/>
    <w:rsid w:val="00792E8F"/>
    <w:rsid w:val="00793504"/>
    <w:rsid w:val="007936AB"/>
    <w:rsid w:val="00793C44"/>
    <w:rsid w:val="00795B8E"/>
    <w:rsid w:val="00796376"/>
    <w:rsid w:val="00796D13"/>
    <w:rsid w:val="00796D4F"/>
    <w:rsid w:val="00796F27"/>
    <w:rsid w:val="0079796E"/>
    <w:rsid w:val="007A00A8"/>
    <w:rsid w:val="007A022B"/>
    <w:rsid w:val="007A0463"/>
    <w:rsid w:val="007A087D"/>
    <w:rsid w:val="007A0F3C"/>
    <w:rsid w:val="007A2882"/>
    <w:rsid w:val="007A2D24"/>
    <w:rsid w:val="007A46AA"/>
    <w:rsid w:val="007A481F"/>
    <w:rsid w:val="007A4D52"/>
    <w:rsid w:val="007A521A"/>
    <w:rsid w:val="007A79B7"/>
    <w:rsid w:val="007A7C1E"/>
    <w:rsid w:val="007B027F"/>
    <w:rsid w:val="007B0751"/>
    <w:rsid w:val="007B0A59"/>
    <w:rsid w:val="007B1FF9"/>
    <w:rsid w:val="007B2578"/>
    <w:rsid w:val="007B2FDD"/>
    <w:rsid w:val="007B4370"/>
    <w:rsid w:val="007B479F"/>
    <w:rsid w:val="007B4BE1"/>
    <w:rsid w:val="007B51C0"/>
    <w:rsid w:val="007B5B6F"/>
    <w:rsid w:val="007B5F9B"/>
    <w:rsid w:val="007B65C8"/>
    <w:rsid w:val="007B6852"/>
    <w:rsid w:val="007B7008"/>
    <w:rsid w:val="007B72EC"/>
    <w:rsid w:val="007B739D"/>
    <w:rsid w:val="007B74DC"/>
    <w:rsid w:val="007B792A"/>
    <w:rsid w:val="007B7B10"/>
    <w:rsid w:val="007B7B7B"/>
    <w:rsid w:val="007C03C7"/>
    <w:rsid w:val="007C0D4D"/>
    <w:rsid w:val="007C14D1"/>
    <w:rsid w:val="007C1A7C"/>
    <w:rsid w:val="007C2251"/>
    <w:rsid w:val="007C232A"/>
    <w:rsid w:val="007C236A"/>
    <w:rsid w:val="007C35EF"/>
    <w:rsid w:val="007C6CC3"/>
    <w:rsid w:val="007D1915"/>
    <w:rsid w:val="007D3BF7"/>
    <w:rsid w:val="007D5450"/>
    <w:rsid w:val="007D62EC"/>
    <w:rsid w:val="007D68C6"/>
    <w:rsid w:val="007D6BB1"/>
    <w:rsid w:val="007D75FB"/>
    <w:rsid w:val="007D7631"/>
    <w:rsid w:val="007D77D6"/>
    <w:rsid w:val="007D783E"/>
    <w:rsid w:val="007E27A3"/>
    <w:rsid w:val="007E2E91"/>
    <w:rsid w:val="007E2FAD"/>
    <w:rsid w:val="007E32ED"/>
    <w:rsid w:val="007E384C"/>
    <w:rsid w:val="007E404F"/>
    <w:rsid w:val="007E45B3"/>
    <w:rsid w:val="007E487F"/>
    <w:rsid w:val="007E4DF3"/>
    <w:rsid w:val="007E53F6"/>
    <w:rsid w:val="007E61B4"/>
    <w:rsid w:val="007E6519"/>
    <w:rsid w:val="007E6794"/>
    <w:rsid w:val="007E67ED"/>
    <w:rsid w:val="007E73A3"/>
    <w:rsid w:val="007F0585"/>
    <w:rsid w:val="007F0591"/>
    <w:rsid w:val="007F10A5"/>
    <w:rsid w:val="007F141B"/>
    <w:rsid w:val="007F15B5"/>
    <w:rsid w:val="007F178F"/>
    <w:rsid w:val="007F1AAD"/>
    <w:rsid w:val="007F22F9"/>
    <w:rsid w:val="007F2513"/>
    <w:rsid w:val="007F2744"/>
    <w:rsid w:val="007F2F5E"/>
    <w:rsid w:val="007F33E6"/>
    <w:rsid w:val="007F3C1A"/>
    <w:rsid w:val="007F3E60"/>
    <w:rsid w:val="007F4263"/>
    <w:rsid w:val="007F5F1D"/>
    <w:rsid w:val="007F60EF"/>
    <w:rsid w:val="007F7011"/>
    <w:rsid w:val="007F7327"/>
    <w:rsid w:val="007F7B3F"/>
    <w:rsid w:val="007F7EED"/>
    <w:rsid w:val="0080145F"/>
    <w:rsid w:val="008018EB"/>
    <w:rsid w:val="00802041"/>
    <w:rsid w:val="00802C52"/>
    <w:rsid w:val="00802CCB"/>
    <w:rsid w:val="008031B8"/>
    <w:rsid w:val="008034E9"/>
    <w:rsid w:val="008036FB"/>
    <w:rsid w:val="008037C2"/>
    <w:rsid w:val="008040C9"/>
    <w:rsid w:val="00804272"/>
    <w:rsid w:val="00804B9C"/>
    <w:rsid w:val="00805075"/>
    <w:rsid w:val="00805633"/>
    <w:rsid w:val="00805AA8"/>
    <w:rsid w:val="00805DF9"/>
    <w:rsid w:val="00806A8A"/>
    <w:rsid w:val="00806DA7"/>
    <w:rsid w:val="0080709B"/>
    <w:rsid w:val="00807343"/>
    <w:rsid w:val="00810302"/>
    <w:rsid w:val="00811AE4"/>
    <w:rsid w:val="00812B1C"/>
    <w:rsid w:val="00812ECC"/>
    <w:rsid w:val="00814615"/>
    <w:rsid w:val="008149FC"/>
    <w:rsid w:val="00814B4E"/>
    <w:rsid w:val="00814EB8"/>
    <w:rsid w:val="00815A89"/>
    <w:rsid w:val="008174D9"/>
    <w:rsid w:val="00817612"/>
    <w:rsid w:val="008179BA"/>
    <w:rsid w:val="00820624"/>
    <w:rsid w:val="00820C20"/>
    <w:rsid w:val="00820D1A"/>
    <w:rsid w:val="0082144F"/>
    <w:rsid w:val="008215B7"/>
    <w:rsid w:val="008219F9"/>
    <w:rsid w:val="00821BCB"/>
    <w:rsid w:val="00823026"/>
    <w:rsid w:val="00824054"/>
    <w:rsid w:val="0082414C"/>
    <w:rsid w:val="008241D2"/>
    <w:rsid w:val="00824E4B"/>
    <w:rsid w:val="00825307"/>
    <w:rsid w:val="008259C4"/>
    <w:rsid w:val="00827BC2"/>
    <w:rsid w:val="00827E64"/>
    <w:rsid w:val="00830087"/>
    <w:rsid w:val="00830C29"/>
    <w:rsid w:val="00830C9D"/>
    <w:rsid w:val="00832BA9"/>
    <w:rsid w:val="00832E85"/>
    <w:rsid w:val="00833834"/>
    <w:rsid w:val="00833E58"/>
    <w:rsid w:val="008341E8"/>
    <w:rsid w:val="00834946"/>
    <w:rsid w:val="008354BE"/>
    <w:rsid w:val="00835A48"/>
    <w:rsid w:val="008367BF"/>
    <w:rsid w:val="00837572"/>
    <w:rsid w:val="00837C6D"/>
    <w:rsid w:val="0084068C"/>
    <w:rsid w:val="00840F03"/>
    <w:rsid w:val="00840F6B"/>
    <w:rsid w:val="00841278"/>
    <w:rsid w:val="0084212E"/>
    <w:rsid w:val="00842EAC"/>
    <w:rsid w:val="008437B5"/>
    <w:rsid w:val="00843929"/>
    <w:rsid w:val="008442BE"/>
    <w:rsid w:val="00844ADD"/>
    <w:rsid w:val="00844DFD"/>
    <w:rsid w:val="00845600"/>
    <w:rsid w:val="0084612F"/>
    <w:rsid w:val="0084623E"/>
    <w:rsid w:val="008463FF"/>
    <w:rsid w:val="008468EA"/>
    <w:rsid w:val="00846E75"/>
    <w:rsid w:val="008471F8"/>
    <w:rsid w:val="008473F7"/>
    <w:rsid w:val="00847891"/>
    <w:rsid w:val="008479F0"/>
    <w:rsid w:val="00847AB0"/>
    <w:rsid w:val="00847C3C"/>
    <w:rsid w:val="008501B8"/>
    <w:rsid w:val="00850CD0"/>
    <w:rsid w:val="00850DA9"/>
    <w:rsid w:val="008513D9"/>
    <w:rsid w:val="00851A35"/>
    <w:rsid w:val="00851CE8"/>
    <w:rsid w:val="00853251"/>
    <w:rsid w:val="0085510F"/>
    <w:rsid w:val="008561F2"/>
    <w:rsid w:val="00856738"/>
    <w:rsid w:val="008576C2"/>
    <w:rsid w:val="00857D0D"/>
    <w:rsid w:val="00860A7C"/>
    <w:rsid w:val="00860C0B"/>
    <w:rsid w:val="00861A91"/>
    <w:rsid w:val="00861D20"/>
    <w:rsid w:val="0086238A"/>
    <w:rsid w:val="0086263D"/>
    <w:rsid w:val="00862AE8"/>
    <w:rsid w:val="00863102"/>
    <w:rsid w:val="0086386E"/>
    <w:rsid w:val="00864711"/>
    <w:rsid w:val="00865634"/>
    <w:rsid w:val="00866B44"/>
    <w:rsid w:val="0086707F"/>
    <w:rsid w:val="008678EA"/>
    <w:rsid w:val="00867F4B"/>
    <w:rsid w:val="00870330"/>
    <w:rsid w:val="00870536"/>
    <w:rsid w:val="0087160C"/>
    <w:rsid w:val="00871900"/>
    <w:rsid w:val="00871A79"/>
    <w:rsid w:val="00872340"/>
    <w:rsid w:val="00872732"/>
    <w:rsid w:val="008738C7"/>
    <w:rsid w:val="00873DB3"/>
    <w:rsid w:val="00874C91"/>
    <w:rsid w:val="00875A45"/>
    <w:rsid w:val="00875FB1"/>
    <w:rsid w:val="00876855"/>
    <w:rsid w:val="00876BF1"/>
    <w:rsid w:val="008773D1"/>
    <w:rsid w:val="008774C2"/>
    <w:rsid w:val="00877AA6"/>
    <w:rsid w:val="00877B54"/>
    <w:rsid w:val="00880924"/>
    <w:rsid w:val="0088166E"/>
    <w:rsid w:val="00881D42"/>
    <w:rsid w:val="0088212F"/>
    <w:rsid w:val="00882307"/>
    <w:rsid w:val="00882E05"/>
    <w:rsid w:val="00884159"/>
    <w:rsid w:val="00884EC7"/>
    <w:rsid w:val="008852A0"/>
    <w:rsid w:val="00885658"/>
    <w:rsid w:val="00885F0E"/>
    <w:rsid w:val="008863C2"/>
    <w:rsid w:val="00887CEB"/>
    <w:rsid w:val="00890855"/>
    <w:rsid w:val="00892EF4"/>
    <w:rsid w:val="0089352C"/>
    <w:rsid w:val="00893D00"/>
    <w:rsid w:val="00894CCA"/>
    <w:rsid w:val="00894FA1"/>
    <w:rsid w:val="008A16FF"/>
    <w:rsid w:val="008A1A71"/>
    <w:rsid w:val="008A20BC"/>
    <w:rsid w:val="008A230E"/>
    <w:rsid w:val="008A2ECC"/>
    <w:rsid w:val="008A32D4"/>
    <w:rsid w:val="008A3C88"/>
    <w:rsid w:val="008A3E84"/>
    <w:rsid w:val="008A41E0"/>
    <w:rsid w:val="008A4F83"/>
    <w:rsid w:val="008A5A4F"/>
    <w:rsid w:val="008A643B"/>
    <w:rsid w:val="008A6C03"/>
    <w:rsid w:val="008A7367"/>
    <w:rsid w:val="008B0B2C"/>
    <w:rsid w:val="008B0D91"/>
    <w:rsid w:val="008B1359"/>
    <w:rsid w:val="008B1C84"/>
    <w:rsid w:val="008B2243"/>
    <w:rsid w:val="008B23EF"/>
    <w:rsid w:val="008B3EA4"/>
    <w:rsid w:val="008B4B19"/>
    <w:rsid w:val="008B4E18"/>
    <w:rsid w:val="008B6A9A"/>
    <w:rsid w:val="008B6EEA"/>
    <w:rsid w:val="008C086E"/>
    <w:rsid w:val="008C0DDF"/>
    <w:rsid w:val="008C1899"/>
    <w:rsid w:val="008C1AAA"/>
    <w:rsid w:val="008C2AF1"/>
    <w:rsid w:val="008C3051"/>
    <w:rsid w:val="008C3691"/>
    <w:rsid w:val="008C5191"/>
    <w:rsid w:val="008C5575"/>
    <w:rsid w:val="008C633D"/>
    <w:rsid w:val="008C63C9"/>
    <w:rsid w:val="008C6C84"/>
    <w:rsid w:val="008D05C8"/>
    <w:rsid w:val="008D09D2"/>
    <w:rsid w:val="008D0C29"/>
    <w:rsid w:val="008D162F"/>
    <w:rsid w:val="008D1ECD"/>
    <w:rsid w:val="008D26C8"/>
    <w:rsid w:val="008D2738"/>
    <w:rsid w:val="008D3511"/>
    <w:rsid w:val="008D377B"/>
    <w:rsid w:val="008D4207"/>
    <w:rsid w:val="008D4FB3"/>
    <w:rsid w:val="008D5D7E"/>
    <w:rsid w:val="008D6A4B"/>
    <w:rsid w:val="008D6AB6"/>
    <w:rsid w:val="008D7797"/>
    <w:rsid w:val="008D7CD6"/>
    <w:rsid w:val="008D7D07"/>
    <w:rsid w:val="008D7EF7"/>
    <w:rsid w:val="008E1B5D"/>
    <w:rsid w:val="008E26E5"/>
    <w:rsid w:val="008E2EA2"/>
    <w:rsid w:val="008E35DE"/>
    <w:rsid w:val="008E3832"/>
    <w:rsid w:val="008E4205"/>
    <w:rsid w:val="008E5987"/>
    <w:rsid w:val="008E5B96"/>
    <w:rsid w:val="008E5CC4"/>
    <w:rsid w:val="008E638E"/>
    <w:rsid w:val="008E64D7"/>
    <w:rsid w:val="008E6F4E"/>
    <w:rsid w:val="008E7712"/>
    <w:rsid w:val="008F0418"/>
    <w:rsid w:val="008F116F"/>
    <w:rsid w:val="008F23B6"/>
    <w:rsid w:val="008F62AB"/>
    <w:rsid w:val="008F7C2A"/>
    <w:rsid w:val="008F7D3E"/>
    <w:rsid w:val="0090064B"/>
    <w:rsid w:val="00900C36"/>
    <w:rsid w:val="00901514"/>
    <w:rsid w:val="00902A7C"/>
    <w:rsid w:val="00902B17"/>
    <w:rsid w:val="00902C74"/>
    <w:rsid w:val="00903275"/>
    <w:rsid w:val="0090339A"/>
    <w:rsid w:val="0090422C"/>
    <w:rsid w:val="00904513"/>
    <w:rsid w:val="00904ACF"/>
    <w:rsid w:val="0090512E"/>
    <w:rsid w:val="00905790"/>
    <w:rsid w:val="00905A8D"/>
    <w:rsid w:val="00906EFB"/>
    <w:rsid w:val="00907A69"/>
    <w:rsid w:val="00910509"/>
    <w:rsid w:val="00911489"/>
    <w:rsid w:val="00911D07"/>
    <w:rsid w:val="0091243C"/>
    <w:rsid w:val="009124D0"/>
    <w:rsid w:val="00912FC1"/>
    <w:rsid w:val="00913BEB"/>
    <w:rsid w:val="009145A0"/>
    <w:rsid w:val="00914802"/>
    <w:rsid w:val="00914C4B"/>
    <w:rsid w:val="009172FB"/>
    <w:rsid w:val="00917999"/>
    <w:rsid w:val="00920BDF"/>
    <w:rsid w:val="009212DE"/>
    <w:rsid w:val="00922751"/>
    <w:rsid w:val="00922C20"/>
    <w:rsid w:val="00925787"/>
    <w:rsid w:val="009257EC"/>
    <w:rsid w:val="0092662B"/>
    <w:rsid w:val="00926BF4"/>
    <w:rsid w:val="00926FB1"/>
    <w:rsid w:val="00927AF5"/>
    <w:rsid w:val="00927D8B"/>
    <w:rsid w:val="00927F68"/>
    <w:rsid w:val="009302D8"/>
    <w:rsid w:val="0093226F"/>
    <w:rsid w:val="00932C79"/>
    <w:rsid w:val="00934274"/>
    <w:rsid w:val="00934E63"/>
    <w:rsid w:val="00934FB3"/>
    <w:rsid w:val="0093526B"/>
    <w:rsid w:val="00935B7F"/>
    <w:rsid w:val="00937825"/>
    <w:rsid w:val="009403E7"/>
    <w:rsid w:val="00940647"/>
    <w:rsid w:val="0094070E"/>
    <w:rsid w:val="00942C7C"/>
    <w:rsid w:val="00943FD3"/>
    <w:rsid w:val="0094406C"/>
    <w:rsid w:val="009440D0"/>
    <w:rsid w:val="009452CD"/>
    <w:rsid w:val="00945932"/>
    <w:rsid w:val="00947418"/>
    <w:rsid w:val="0095039A"/>
    <w:rsid w:val="0095111A"/>
    <w:rsid w:val="009513B9"/>
    <w:rsid w:val="00951CA3"/>
    <w:rsid w:val="00952A3E"/>
    <w:rsid w:val="00953311"/>
    <w:rsid w:val="00953FF7"/>
    <w:rsid w:val="00954322"/>
    <w:rsid w:val="00954AC5"/>
    <w:rsid w:val="00954AE9"/>
    <w:rsid w:val="00954EBA"/>
    <w:rsid w:val="00954F1B"/>
    <w:rsid w:val="009550C4"/>
    <w:rsid w:val="009552BC"/>
    <w:rsid w:val="00955FED"/>
    <w:rsid w:val="00956964"/>
    <w:rsid w:val="0095733F"/>
    <w:rsid w:val="0095752F"/>
    <w:rsid w:val="00957601"/>
    <w:rsid w:val="009616C4"/>
    <w:rsid w:val="009618BE"/>
    <w:rsid w:val="009628A8"/>
    <w:rsid w:val="00962DAA"/>
    <w:rsid w:val="00963FFE"/>
    <w:rsid w:val="009645D0"/>
    <w:rsid w:val="00964A7D"/>
    <w:rsid w:val="00964ECA"/>
    <w:rsid w:val="00965223"/>
    <w:rsid w:val="009654B5"/>
    <w:rsid w:val="00967DC9"/>
    <w:rsid w:val="009703CE"/>
    <w:rsid w:val="00970773"/>
    <w:rsid w:val="00970B2F"/>
    <w:rsid w:val="00972007"/>
    <w:rsid w:val="00972B44"/>
    <w:rsid w:val="00974D8F"/>
    <w:rsid w:val="009754BA"/>
    <w:rsid w:val="00976804"/>
    <w:rsid w:val="0097689D"/>
    <w:rsid w:val="0097697F"/>
    <w:rsid w:val="009769B9"/>
    <w:rsid w:val="00976A12"/>
    <w:rsid w:val="00977F5C"/>
    <w:rsid w:val="0098047A"/>
    <w:rsid w:val="00980D3A"/>
    <w:rsid w:val="0098203D"/>
    <w:rsid w:val="00982B84"/>
    <w:rsid w:val="00982F69"/>
    <w:rsid w:val="009838C1"/>
    <w:rsid w:val="0098427D"/>
    <w:rsid w:val="00985130"/>
    <w:rsid w:val="00986670"/>
    <w:rsid w:val="00986F7E"/>
    <w:rsid w:val="009876FD"/>
    <w:rsid w:val="00990184"/>
    <w:rsid w:val="009901B8"/>
    <w:rsid w:val="00991A53"/>
    <w:rsid w:val="0099364F"/>
    <w:rsid w:val="00993754"/>
    <w:rsid w:val="00993B5B"/>
    <w:rsid w:val="00993E37"/>
    <w:rsid w:val="00995292"/>
    <w:rsid w:val="009A04EC"/>
    <w:rsid w:val="009A207D"/>
    <w:rsid w:val="009A3476"/>
    <w:rsid w:val="009A4BEE"/>
    <w:rsid w:val="009A4ECB"/>
    <w:rsid w:val="009A5022"/>
    <w:rsid w:val="009A571D"/>
    <w:rsid w:val="009A5BAA"/>
    <w:rsid w:val="009A6ED7"/>
    <w:rsid w:val="009A7501"/>
    <w:rsid w:val="009B0FDE"/>
    <w:rsid w:val="009B1190"/>
    <w:rsid w:val="009B1890"/>
    <w:rsid w:val="009B2808"/>
    <w:rsid w:val="009B34B4"/>
    <w:rsid w:val="009B3C77"/>
    <w:rsid w:val="009B3EDB"/>
    <w:rsid w:val="009B4030"/>
    <w:rsid w:val="009B4B49"/>
    <w:rsid w:val="009B4C1B"/>
    <w:rsid w:val="009B4C56"/>
    <w:rsid w:val="009B660D"/>
    <w:rsid w:val="009B6A79"/>
    <w:rsid w:val="009B774B"/>
    <w:rsid w:val="009C02BB"/>
    <w:rsid w:val="009C0365"/>
    <w:rsid w:val="009C14D7"/>
    <w:rsid w:val="009C20CD"/>
    <w:rsid w:val="009C2F43"/>
    <w:rsid w:val="009C49D3"/>
    <w:rsid w:val="009C5393"/>
    <w:rsid w:val="009C5625"/>
    <w:rsid w:val="009C5F8F"/>
    <w:rsid w:val="009C64EF"/>
    <w:rsid w:val="009C7523"/>
    <w:rsid w:val="009C77C5"/>
    <w:rsid w:val="009D1C75"/>
    <w:rsid w:val="009D31B1"/>
    <w:rsid w:val="009D31F0"/>
    <w:rsid w:val="009D3F4C"/>
    <w:rsid w:val="009D3F9B"/>
    <w:rsid w:val="009D4609"/>
    <w:rsid w:val="009D56D5"/>
    <w:rsid w:val="009D5CBE"/>
    <w:rsid w:val="009D5F98"/>
    <w:rsid w:val="009D688C"/>
    <w:rsid w:val="009D7991"/>
    <w:rsid w:val="009E0715"/>
    <w:rsid w:val="009E1B20"/>
    <w:rsid w:val="009E1CC1"/>
    <w:rsid w:val="009E1CE2"/>
    <w:rsid w:val="009E2811"/>
    <w:rsid w:val="009E28EF"/>
    <w:rsid w:val="009E2B4D"/>
    <w:rsid w:val="009E41BF"/>
    <w:rsid w:val="009E42A4"/>
    <w:rsid w:val="009E58E4"/>
    <w:rsid w:val="009E5D5B"/>
    <w:rsid w:val="009E6306"/>
    <w:rsid w:val="009E6724"/>
    <w:rsid w:val="009E7D6C"/>
    <w:rsid w:val="009F0813"/>
    <w:rsid w:val="009F08E8"/>
    <w:rsid w:val="009F0CDE"/>
    <w:rsid w:val="009F0ED8"/>
    <w:rsid w:val="009F1584"/>
    <w:rsid w:val="009F170D"/>
    <w:rsid w:val="009F1B0B"/>
    <w:rsid w:val="009F1C1A"/>
    <w:rsid w:val="009F1C99"/>
    <w:rsid w:val="009F34D2"/>
    <w:rsid w:val="009F4CBD"/>
    <w:rsid w:val="009F4CF7"/>
    <w:rsid w:val="009F4F7B"/>
    <w:rsid w:val="009F53A9"/>
    <w:rsid w:val="009F5610"/>
    <w:rsid w:val="009F5DB6"/>
    <w:rsid w:val="009F63E6"/>
    <w:rsid w:val="009F67A4"/>
    <w:rsid w:val="009F6A02"/>
    <w:rsid w:val="009F6E5F"/>
    <w:rsid w:val="00A0002F"/>
    <w:rsid w:val="00A01445"/>
    <w:rsid w:val="00A0155A"/>
    <w:rsid w:val="00A0162B"/>
    <w:rsid w:val="00A027B0"/>
    <w:rsid w:val="00A035F6"/>
    <w:rsid w:val="00A03611"/>
    <w:rsid w:val="00A038E7"/>
    <w:rsid w:val="00A04125"/>
    <w:rsid w:val="00A041C4"/>
    <w:rsid w:val="00A04393"/>
    <w:rsid w:val="00A0575F"/>
    <w:rsid w:val="00A05C0D"/>
    <w:rsid w:val="00A05C8D"/>
    <w:rsid w:val="00A05EBE"/>
    <w:rsid w:val="00A0649E"/>
    <w:rsid w:val="00A065DD"/>
    <w:rsid w:val="00A068F3"/>
    <w:rsid w:val="00A07DA8"/>
    <w:rsid w:val="00A1030B"/>
    <w:rsid w:val="00A104BA"/>
    <w:rsid w:val="00A114BD"/>
    <w:rsid w:val="00A119A7"/>
    <w:rsid w:val="00A13B2F"/>
    <w:rsid w:val="00A144B7"/>
    <w:rsid w:val="00A14D1F"/>
    <w:rsid w:val="00A14E5D"/>
    <w:rsid w:val="00A16FF2"/>
    <w:rsid w:val="00A17668"/>
    <w:rsid w:val="00A20D52"/>
    <w:rsid w:val="00A20F7A"/>
    <w:rsid w:val="00A21142"/>
    <w:rsid w:val="00A21A0F"/>
    <w:rsid w:val="00A21D55"/>
    <w:rsid w:val="00A22BD1"/>
    <w:rsid w:val="00A24300"/>
    <w:rsid w:val="00A245D2"/>
    <w:rsid w:val="00A24D57"/>
    <w:rsid w:val="00A2612E"/>
    <w:rsid w:val="00A269DF"/>
    <w:rsid w:val="00A26CDA"/>
    <w:rsid w:val="00A26D46"/>
    <w:rsid w:val="00A27E45"/>
    <w:rsid w:val="00A301EF"/>
    <w:rsid w:val="00A3024D"/>
    <w:rsid w:val="00A3133E"/>
    <w:rsid w:val="00A313F4"/>
    <w:rsid w:val="00A31E42"/>
    <w:rsid w:val="00A326AE"/>
    <w:rsid w:val="00A335DA"/>
    <w:rsid w:val="00A343E3"/>
    <w:rsid w:val="00A344FB"/>
    <w:rsid w:val="00A34965"/>
    <w:rsid w:val="00A34A94"/>
    <w:rsid w:val="00A35C70"/>
    <w:rsid w:val="00A35DAE"/>
    <w:rsid w:val="00A364A4"/>
    <w:rsid w:val="00A36EC6"/>
    <w:rsid w:val="00A37187"/>
    <w:rsid w:val="00A37DAC"/>
    <w:rsid w:val="00A37E88"/>
    <w:rsid w:val="00A40357"/>
    <w:rsid w:val="00A40681"/>
    <w:rsid w:val="00A406F0"/>
    <w:rsid w:val="00A40823"/>
    <w:rsid w:val="00A40863"/>
    <w:rsid w:val="00A40C66"/>
    <w:rsid w:val="00A419C0"/>
    <w:rsid w:val="00A41A47"/>
    <w:rsid w:val="00A431FB"/>
    <w:rsid w:val="00A443C7"/>
    <w:rsid w:val="00A46147"/>
    <w:rsid w:val="00A46401"/>
    <w:rsid w:val="00A46C1F"/>
    <w:rsid w:val="00A46EAD"/>
    <w:rsid w:val="00A5096F"/>
    <w:rsid w:val="00A50A49"/>
    <w:rsid w:val="00A50C98"/>
    <w:rsid w:val="00A5251A"/>
    <w:rsid w:val="00A52BFF"/>
    <w:rsid w:val="00A53797"/>
    <w:rsid w:val="00A53A5A"/>
    <w:rsid w:val="00A53AC3"/>
    <w:rsid w:val="00A53F7D"/>
    <w:rsid w:val="00A53FD4"/>
    <w:rsid w:val="00A5458C"/>
    <w:rsid w:val="00A55C1B"/>
    <w:rsid w:val="00A56728"/>
    <w:rsid w:val="00A5688F"/>
    <w:rsid w:val="00A5690D"/>
    <w:rsid w:val="00A56D1C"/>
    <w:rsid w:val="00A56E05"/>
    <w:rsid w:val="00A576B4"/>
    <w:rsid w:val="00A57CB1"/>
    <w:rsid w:val="00A602AA"/>
    <w:rsid w:val="00A61480"/>
    <w:rsid w:val="00A61866"/>
    <w:rsid w:val="00A61E3F"/>
    <w:rsid w:val="00A63026"/>
    <w:rsid w:val="00A6329A"/>
    <w:rsid w:val="00A634BB"/>
    <w:rsid w:val="00A64FC3"/>
    <w:rsid w:val="00A656C9"/>
    <w:rsid w:val="00A656DD"/>
    <w:rsid w:val="00A65834"/>
    <w:rsid w:val="00A6600B"/>
    <w:rsid w:val="00A66338"/>
    <w:rsid w:val="00A665F8"/>
    <w:rsid w:val="00A67C76"/>
    <w:rsid w:val="00A7042A"/>
    <w:rsid w:val="00A70A33"/>
    <w:rsid w:val="00A714D5"/>
    <w:rsid w:val="00A71509"/>
    <w:rsid w:val="00A71B8C"/>
    <w:rsid w:val="00A72B41"/>
    <w:rsid w:val="00A734C5"/>
    <w:rsid w:val="00A737D9"/>
    <w:rsid w:val="00A753C8"/>
    <w:rsid w:val="00A762C7"/>
    <w:rsid w:val="00A77A8C"/>
    <w:rsid w:val="00A77CCA"/>
    <w:rsid w:val="00A80D4D"/>
    <w:rsid w:val="00A81574"/>
    <w:rsid w:val="00A82504"/>
    <w:rsid w:val="00A83405"/>
    <w:rsid w:val="00A836CA"/>
    <w:rsid w:val="00A836E7"/>
    <w:rsid w:val="00A83744"/>
    <w:rsid w:val="00A83871"/>
    <w:rsid w:val="00A83AB5"/>
    <w:rsid w:val="00A843CD"/>
    <w:rsid w:val="00A843DE"/>
    <w:rsid w:val="00A85420"/>
    <w:rsid w:val="00A85820"/>
    <w:rsid w:val="00A85874"/>
    <w:rsid w:val="00A85AA8"/>
    <w:rsid w:val="00A8614F"/>
    <w:rsid w:val="00A86E79"/>
    <w:rsid w:val="00A875B3"/>
    <w:rsid w:val="00A87A82"/>
    <w:rsid w:val="00A87B21"/>
    <w:rsid w:val="00A90436"/>
    <w:rsid w:val="00A91EBB"/>
    <w:rsid w:val="00A92C89"/>
    <w:rsid w:val="00A93A38"/>
    <w:rsid w:val="00A93F2A"/>
    <w:rsid w:val="00A947DC"/>
    <w:rsid w:val="00A95343"/>
    <w:rsid w:val="00A96182"/>
    <w:rsid w:val="00A97112"/>
    <w:rsid w:val="00A971CC"/>
    <w:rsid w:val="00A9747A"/>
    <w:rsid w:val="00AA1749"/>
    <w:rsid w:val="00AA1BB5"/>
    <w:rsid w:val="00AA4D8D"/>
    <w:rsid w:val="00AA6589"/>
    <w:rsid w:val="00AA65CB"/>
    <w:rsid w:val="00AA6C3C"/>
    <w:rsid w:val="00AA6ECE"/>
    <w:rsid w:val="00AA7A53"/>
    <w:rsid w:val="00AB0C92"/>
    <w:rsid w:val="00AB2169"/>
    <w:rsid w:val="00AB3ECF"/>
    <w:rsid w:val="00AB3EF2"/>
    <w:rsid w:val="00AB3FF6"/>
    <w:rsid w:val="00AB5B0A"/>
    <w:rsid w:val="00AB76D1"/>
    <w:rsid w:val="00AB7E92"/>
    <w:rsid w:val="00AC0098"/>
    <w:rsid w:val="00AC050C"/>
    <w:rsid w:val="00AC0617"/>
    <w:rsid w:val="00AC080C"/>
    <w:rsid w:val="00AC0D57"/>
    <w:rsid w:val="00AC0ECA"/>
    <w:rsid w:val="00AC0EF5"/>
    <w:rsid w:val="00AC1FA5"/>
    <w:rsid w:val="00AC3B25"/>
    <w:rsid w:val="00AC3B30"/>
    <w:rsid w:val="00AC3BAD"/>
    <w:rsid w:val="00AC4254"/>
    <w:rsid w:val="00AC44FB"/>
    <w:rsid w:val="00AD03D2"/>
    <w:rsid w:val="00AD08EB"/>
    <w:rsid w:val="00AD0F4A"/>
    <w:rsid w:val="00AD10D2"/>
    <w:rsid w:val="00AD2724"/>
    <w:rsid w:val="00AD3212"/>
    <w:rsid w:val="00AD35BA"/>
    <w:rsid w:val="00AD37A1"/>
    <w:rsid w:val="00AD4C85"/>
    <w:rsid w:val="00AD4E67"/>
    <w:rsid w:val="00AD52EB"/>
    <w:rsid w:val="00AD553A"/>
    <w:rsid w:val="00AD5594"/>
    <w:rsid w:val="00AD5A11"/>
    <w:rsid w:val="00AD5A6D"/>
    <w:rsid w:val="00AD62AD"/>
    <w:rsid w:val="00AD798E"/>
    <w:rsid w:val="00AD7B95"/>
    <w:rsid w:val="00AE0936"/>
    <w:rsid w:val="00AE0C05"/>
    <w:rsid w:val="00AE0E1E"/>
    <w:rsid w:val="00AE10AB"/>
    <w:rsid w:val="00AE11A2"/>
    <w:rsid w:val="00AE13F8"/>
    <w:rsid w:val="00AE1599"/>
    <w:rsid w:val="00AE2A3A"/>
    <w:rsid w:val="00AE416A"/>
    <w:rsid w:val="00AE41A9"/>
    <w:rsid w:val="00AE46EF"/>
    <w:rsid w:val="00AE4A79"/>
    <w:rsid w:val="00AE4E18"/>
    <w:rsid w:val="00AE54A8"/>
    <w:rsid w:val="00AE5825"/>
    <w:rsid w:val="00AE5BE0"/>
    <w:rsid w:val="00AE711A"/>
    <w:rsid w:val="00AE7566"/>
    <w:rsid w:val="00AE75F4"/>
    <w:rsid w:val="00AF0809"/>
    <w:rsid w:val="00AF1457"/>
    <w:rsid w:val="00AF1541"/>
    <w:rsid w:val="00AF2124"/>
    <w:rsid w:val="00AF281F"/>
    <w:rsid w:val="00AF2FF8"/>
    <w:rsid w:val="00AF351C"/>
    <w:rsid w:val="00AF4BBD"/>
    <w:rsid w:val="00AF50B9"/>
    <w:rsid w:val="00AF59E5"/>
    <w:rsid w:val="00AF5B41"/>
    <w:rsid w:val="00AF5CA1"/>
    <w:rsid w:val="00AF64E0"/>
    <w:rsid w:val="00AF7E4A"/>
    <w:rsid w:val="00B0025E"/>
    <w:rsid w:val="00B008EE"/>
    <w:rsid w:val="00B01369"/>
    <w:rsid w:val="00B02CF4"/>
    <w:rsid w:val="00B0406D"/>
    <w:rsid w:val="00B04084"/>
    <w:rsid w:val="00B05933"/>
    <w:rsid w:val="00B05BCF"/>
    <w:rsid w:val="00B06832"/>
    <w:rsid w:val="00B072B7"/>
    <w:rsid w:val="00B07489"/>
    <w:rsid w:val="00B10DDC"/>
    <w:rsid w:val="00B11FE5"/>
    <w:rsid w:val="00B13F85"/>
    <w:rsid w:val="00B1468F"/>
    <w:rsid w:val="00B149A5"/>
    <w:rsid w:val="00B152A0"/>
    <w:rsid w:val="00B15B5E"/>
    <w:rsid w:val="00B15B73"/>
    <w:rsid w:val="00B16D7E"/>
    <w:rsid w:val="00B16FB4"/>
    <w:rsid w:val="00B17061"/>
    <w:rsid w:val="00B17183"/>
    <w:rsid w:val="00B1742D"/>
    <w:rsid w:val="00B17E94"/>
    <w:rsid w:val="00B205FA"/>
    <w:rsid w:val="00B2064F"/>
    <w:rsid w:val="00B20BC9"/>
    <w:rsid w:val="00B21FE7"/>
    <w:rsid w:val="00B2207B"/>
    <w:rsid w:val="00B226CA"/>
    <w:rsid w:val="00B23759"/>
    <w:rsid w:val="00B23ECF"/>
    <w:rsid w:val="00B24333"/>
    <w:rsid w:val="00B254DD"/>
    <w:rsid w:val="00B25A6A"/>
    <w:rsid w:val="00B262C8"/>
    <w:rsid w:val="00B26377"/>
    <w:rsid w:val="00B2649E"/>
    <w:rsid w:val="00B26D80"/>
    <w:rsid w:val="00B275B4"/>
    <w:rsid w:val="00B30375"/>
    <w:rsid w:val="00B3057F"/>
    <w:rsid w:val="00B307F1"/>
    <w:rsid w:val="00B3111B"/>
    <w:rsid w:val="00B31626"/>
    <w:rsid w:val="00B31D48"/>
    <w:rsid w:val="00B32489"/>
    <w:rsid w:val="00B32EA0"/>
    <w:rsid w:val="00B335E4"/>
    <w:rsid w:val="00B34004"/>
    <w:rsid w:val="00B34770"/>
    <w:rsid w:val="00B34C51"/>
    <w:rsid w:val="00B3588F"/>
    <w:rsid w:val="00B36198"/>
    <w:rsid w:val="00B3662B"/>
    <w:rsid w:val="00B36962"/>
    <w:rsid w:val="00B36C09"/>
    <w:rsid w:val="00B36F86"/>
    <w:rsid w:val="00B37903"/>
    <w:rsid w:val="00B37D6F"/>
    <w:rsid w:val="00B37EE0"/>
    <w:rsid w:val="00B40198"/>
    <w:rsid w:val="00B40AB8"/>
    <w:rsid w:val="00B41759"/>
    <w:rsid w:val="00B41D44"/>
    <w:rsid w:val="00B42C9B"/>
    <w:rsid w:val="00B42F51"/>
    <w:rsid w:val="00B43AF1"/>
    <w:rsid w:val="00B462EA"/>
    <w:rsid w:val="00B50ACC"/>
    <w:rsid w:val="00B51804"/>
    <w:rsid w:val="00B5181D"/>
    <w:rsid w:val="00B52785"/>
    <w:rsid w:val="00B52D65"/>
    <w:rsid w:val="00B53663"/>
    <w:rsid w:val="00B54271"/>
    <w:rsid w:val="00B5457B"/>
    <w:rsid w:val="00B5458A"/>
    <w:rsid w:val="00B548AE"/>
    <w:rsid w:val="00B549BE"/>
    <w:rsid w:val="00B54E19"/>
    <w:rsid w:val="00B559EF"/>
    <w:rsid w:val="00B56065"/>
    <w:rsid w:val="00B5613D"/>
    <w:rsid w:val="00B56305"/>
    <w:rsid w:val="00B56D38"/>
    <w:rsid w:val="00B57274"/>
    <w:rsid w:val="00B57923"/>
    <w:rsid w:val="00B57949"/>
    <w:rsid w:val="00B6042F"/>
    <w:rsid w:val="00B61149"/>
    <w:rsid w:val="00B61AB4"/>
    <w:rsid w:val="00B61D7F"/>
    <w:rsid w:val="00B61D85"/>
    <w:rsid w:val="00B62025"/>
    <w:rsid w:val="00B63A29"/>
    <w:rsid w:val="00B64136"/>
    <w:rsid w:val="00B647ED"/>
    <w:rsid w:val="00B66D3F"/>
    <w:rsid w:val="00B70535"/>
    <w:rsid w:val="00B7065E"/>
    <w:rsid w:val="00B70A5C"/>
    <w:rsid w:val="00B711BE"/>
    <w:rsid w:val="00B7263A"/>
    <w:rsid w:val="00B72787"/>
    <w:rsid w:val="00B7475A"/>
    <w:rsid w:val="00B7549E"/>
    <w:rsid w:val="00B77476"/>
    <w:rsid w:val="00B77AF5"/>
    <w:rsid w:val="00B77CAE"/>
    <w:rsid w:val="00B80349"/>
    <w:rsid w:val="00B812C1"/>
    <w:rsid w:val="00B81D68"/>
    <w:rsid w:val="00B835E1"/>
    <w:rsid w:val="00B836C8"/>
    <w:rsid w:val="00B83F26"/>
    <w:rsid w:val="00B8425F"/>
    <w:rsid w:val="00B843E8"/>
    <w:rsid w:val="00B84F0C"/>
    <w:rsid w:val="00B8593A"/>
    <w:rsid w:val="00B85C99"/>
    <w:rsid w:val="00B85E71"/>
    <w:rsid w:val="00B85EEC"/>
    <w:rsid w:val="00B8665F"/>
    <w:rsid w:val="00B866AC"/>
    <w:rsid w:val="00B869E6"/>
    <w:rsid w:val="00B87A69"/>
    <w:rsid w:val="00B87B59"/>
    <w:rsid w:val="00B90914"/>
    <w:rsid w:val="00B93194"/>
    <w:rsid w:val="00B938E3"/>
    <w:rsid w:val="00B94EF6"/>
    <w:rsid w:val="00B95EF4"/>
    <w:rsid w:val="00B95F7D"/>
    <w:rsid w:val="00B95FBC"/>
    <w:rsid w:val="00B96755"/>
    <w:rsid w:val="00B96D62"/>
    <w:rsid w:val="00B975DE"/>
    <w:rsid w:val="00B97E31"/>
    <w:rsid w:val="00BA09A2"/>
    <w:rsid w:val="00BA0DEC"/>
    <w:rsid w:val="00BA1118"/>
    <w:rsid w:val="00BA1823"/>
    <w:rsid w:val="00BA187D"/>
    <w:rsid w:val="00BA3899"/>
    <w:rsid w:val="00BA417E"/>
    <w:rsid w:val="00BA41D6"/>
    <w:rsid w:val="00BA6B30"/>
    <w:rsid w:val="00BA7267"/>
    <w:rsid w:val="00BA7763"/>
    <w:rsid w:val="00BA77DA"/>
    <w:rsid w:val="00BB03AA"/>
    <w:rsid w:val="00BB0AB0"/>
    <w:rsid w:val="00BB0B0D"/>
    <w:rsid w:val="00BB2257"/>
    <w:rsid w:val="00BB2412"/>
    <w:rsid w:val="00BB24BC"/>
    <w:rsid w:val="00BB3590"/>
    <w:rsid w:val="00BB44CA"/>
    <w:rsid w:val="00BB4537"/>
    <w:rsid w:val="00BB52F1"/>
    <w:rsid w:val="00BB5562"/>
    <w:rsid w:val="00BB5A9C"/>
    <w:rsid w:val="00BB5EE2"/>
    <w:rsid w:val="00BB6477"/>
    <w:rsid w:val="00BB7E8E"/>
    <w:rsid w:val="00BB7F90"/>
    <w:rsid w:val="00BC035A"/>
    <w:rsid w:val="00BC0DC5"/>
    <w:rsid w:val="00BC13E0"/>
    <w:rsid w:val="00BC17FA"/>
    <w:rsid w:val="00BC2023"/>
    <w:rsid w:val="00BC39A3"/>
    <w:rsid w:val="00BC3D0B"/>
    <w:rsid w:val="00BC41EC"/>
    <w:rsid w:val="00BC4571"/>
    <w:rsid w:val="00BC4E0B"/>
    <w:rsid w:val="00BC5601"/>
    <w:rsid w:val="00BC59C2"/>
    <w:rsid w:val="00BC5C44"/>
    <w:rsid w:val="00BC5E5A"/>
    <w:rsid w:val="00BC62C7"/>
    <w:rsid w:val="00BC6819"/>
    <w:rsid w:val="00BC6D37"/>
    <w:rsid w:val="00BC7C6A"/>
    <w:rsid w:val="00BD0040"/>
    <w:rsid w:val="00BD0B62"/>
    <w:rsid w:val="00BD0C68"/>
    <w:rsid w:val="00BD10E2"/>
    <w:rsid w:val="00BD135F"/>
    <w:rsid w:val="00BD1734"/>
    <w:rsid w:val="00BD1769"/>
    <w:rsid w:val="00BD1FB1"/>
    <w:rsid w:val="00BD20D9"/>
    <w:rsid w:val="00BD322F"/>
    <w:rsid w:val="00BD3B1E"/>
    <w:rsid w:val="00BD3DC3"/>
    <w:rsid w:val="00BD4CAD"/>
    <w:rsid w:val="00BD51AD"/>
    <w:rsid w:val="00BD5234"/>
    <w:rsid w:val="00BD571C"/>
    <w:rsid w:val="00BD664E"/>
    <w:rsid w:val="00BD66D5"/>
    <w:rsid w:val="00BD7858"/>
    <w:rsid w:val="00BD7D5E"/>
    <w:rsid w:val="00BE01DB"/>
    <w:rsid w:val="00BE0774"/>
    <w:rsid w:val="00BE0ABC"/>
    <w:rsid w:val="00BE1AC0"/>
    <w:rsid w:val="00BE1D83"/>
    <w:rsid w:val="00BE1F31"/>
    <w:rsid w:val="00BE2AE8"/>
    <w:rsid w:val="00BE332C"/>
    <w:rsid w:val="00BE3628"/>
    <w:rsid w:val="00BE3996"/>
    <w:rsid w:val="00BE3E99"/>
    <w:rsid w:val="00BE427C"/>
    <w:rsid w:val="00BE5048"/>
    <w:rsid w:val="00BE5899"/>
    <w:rsid w:val="00BE5CDD"/>
    <w:rsid w:val="00BE61C2"/>
    <w:rsid w:val="00BE6331"/>
    <w:rsid w:val="00BE682F"/>
    <w:rsid w:val="00BE69E4"/>
    <w:rsid w:val="00BE6FCC"/>
    <w:rsid w:val="00BF141F"/>
    <w:rsid w:val="00BF144B"/>
    <w:rsid w:val="00BF474F"/>
    <w:rsid w:val="00BF4876"/>
    <w:rsid w:val="00BF5002"/>
    <w:rsid w:val="00BF50ED"/>
    <w:rsid w:val="00BF540F"/>
    <w:rsid w:val="00BF584B"/>
    <w:rsid w:val="00BF5C36"/>
    <w:rsid w:val="00BF5D87"/>
    <w:rsid w:val="00BF5FCA"/>
    <w:rsid w:val="00BF7780"/>
    <w:rsid w:val="00C00CC3"/>
    <w:rsid w:val="00C01491"/>
    <w:rsid w:val="00C015EF"/>
    <w:rsid w:val="00C026E7"/>
    <w:rsid w:val="00C02759"/>
    <w:rsid w:val="00C02769"/>
    <w:rsid w:val="00C02B71"/>
    <w:rsid w:val="00C03695"/>
    <w:rsid w:val="00C03A7B"/>
    <w:rsid w:val="00C04181"/>
    <w:rsid w:val="00C04D92"/>
    <w:rsid w:val="00C05413"/>
    <w:rsid w:val="00C057B7"/>
    <w:rsid w:val="00C06678"/>
    <w:rsid w:val="00C06938"/>
    <w:rsid w:val="00C07761"/>
    <w:rsid w:val="00C07FEA"/>
    <w:rsid w:val="00C1062F"/>
    <w:rsid w:val="00C11A90"/>
    <w:rsid w:val="00C12194"/>
    <w:rsid w:val="00C1279F"/>
    <w:rsid w:val="00C1291B"/>
    <w:rsid w:val="00C13D45"/>
    <w:rsid w:val="00C16770"/>
    <w:rsid w:val="00C172F2"/>
    <w:rsid w:val="00C17F5D"/>
    <w:rsid w:val="00C210BF"/>
    <w:rsid w:val="00C226B3"/>
    <w:rsid w:val="00C233F5"/>
    <w:rsid w:val="00C234EE"/>
    <w:rsid w:val="00C23535"/>
    <w:rsid w:val="00C23846"/>
    <w:rsid w:val="00C23F18"/>
    <w:rsid w:val="00C24254"/>
    <w:rsid w:val="00C2505C"/>
    <w:rsid w:val="00C25423"/>
    <w:rsid w:val="00C25CFA"/>
    <w:rsid w:val="00C261A2"/>
    <w:rsid w:val="00C268D9"/>
    <w:rsid w:val="00C270FB"/>
    <w:rsid w:val="00C30AA0"/>
    <w:rsid w:val="00C30E59"/>
    <w:rsid w:val="00C31870"/>
    <w:rsid w:val="00C31AD6"/>
    <w:rsid w:val="00C31AE1"/>
    <w:rsid w:val="00C31BA3"/>
    <w:rsid w:val="00C31D5B"/>
    <w:rsid w:val="00C31FA8"/>
    <w:rsid w:val="00C325EF"/>
    <w:rsid w:val="00C33C04"/>
    <w:rsid w:val="00C33DC9"/>
    <w:rsid w:val="00C34C15"/>
    <w:rsid w:val="00C34E1D"/>
    <w:rsid w:val="00C355F4"/>
    <w:rsid w:val="00C36B49"/>
    <w:rsid w:val="00C3798A"/>
    <w:rsid w:val="00C37FBD"/>
    <w:rsid w:val="00C40DF9"/>
    <w:rsid w:val="00C40ECE"/>
    <w:rsid w:val="00C424E8"/>
    <w:rsid w:val="00C434B5"/>
    <w:rsid w:val="00C43C09"/>
    <w:rsid w:val="00C43F77"/>
    <w:rsid w:val="00C440E8"/>
    <w:rsid w:val="00C44335"/>
    <w:rsid w:val="00C44367"/>
    <w:rsid w:val="00C444AC"/>
    <w:rsid w:val="00C4519B"/>
    <w:rsid w:val="00C46917"/>
    <w:rsid w:val="00C46981"/>
    <w:rsid w:val="00C47EB4"/>
    <w:rsid w:val="00C50030"/>
    <w:rsid w:val="00C503F2"/>
    <w:rsid w:val="00C514A6"/>
    <w:rsid w:val="00C5162D"/>
    <w:rsid w:val="00C520DC"/>
    <w:rsid w:val="00C53D5A"/>
    <w:rsid w:val="00C53E10"/>
    <w:rsid w:val="00C54112"/>
    <w:rsid w:val="00C55860"/>
    <w:rsid w:val="00C5622D"/>
    <w:rsid w:val="00C564DB"/>
    <w:rsid w:val="00C56993"/>
    <w:rsid w:val="00C56DF6"/>
    <w:rsid w:val="00C57AF3"/>
    <w:rsid w:val="00C60AB8"/>
    <w:rsid w:val="00C60CCF"/>
    <w:rsid w:val="00C612EA"/>
    <w:rsid w:val="00C62275"/>
    <w:rsid w:val="00C625AE"/>
    <w:rsid w:val="00C63CD1"/>
    <w:rsid w:val="00C644E1"/>
    <w:rsid w:val="00C66DBA"/>
    <w:rsid w:val="00C67040"/>
    <w:rsid w:val="00C67E86"/>
    <w:rsid w:val="00C70187"/>
    <w:rsid w:val="00C707BA"/>
    <w:rsid w:val="00C7188C"/>
    <w:rsid w:val="00C71BFB"/>
    <w:rsid w:val="00C71F27"/>
    <w:rsid w:val="00C72C88"/>
    <w:rsid w:val="00C73085"/>
    <w:rsid w:val="00C736ED"/>
    <w:rsid w:val="00C73E96"/>
    <w:rsid w:val="00C74263"/>
    <w:rsid w:val="00C74D33"/>
    <w:rsid w:val="00C758C2"/>
    <w:rsid w:val="00C76003"/>
    <w:rsid w:val="00C76671"/>
    <w:rsid w:val="00C76B9F"/>
    <w:rsid w:val="00C8015F"/>
    <w:rsid w:val="00C80CD6"/>
    <w:rsid w:val="00C81184"/>
    <w:rsid w:val="00C824FA"/>
    <w:rsid w:val="00C8252F"/>
    <w:rsid w:val="00C82BB8"/>
    <w:rsid w:val="00C82C42"/>
    <w:rsid w:val="00C83B25"/>
    <w:rsid w:val="00C83EC0"/>
    <w:rsid w:val="00C849D5"/>
    <w:rsid w:val="00C84D35"/>
    <w:rsid w:val="00C85C49"/>
    <w:rsid w:val="00C86A86"/>
    <w:rsid w:val="00C87015"/>
    <w:rsid w:val="00C909B0"/>
    <w:rsid w:val="00C90DA9"/>
    <w:rsid w:val="00C90DD5"/>
    <w:rsid w:val="00C915CF"/>
    <w:rsid w:val="00C9183A"/>
    <w:rsid w:val="00C91B42"/>
    <w:rsid w:val="00C92219"/>
    <w:rsid w:val="00C93509"/>
    <w:rsid w:val="00C93613"/>
    <w:rsid w:val="00C939FF"/>
    <w:rsid w:val="00C943F7"/>
    <w:rsid w:val="00C945E6"/>
    <w:rsid w:val="00C94927"/>
    <w:rsid w:val="00C96189"/>
    <w:rsid w:val="00C96A6D"/>
    <w:rsid w:val="00C97D7A"/>
    <w:rsid w:val="00CA026D"/>
    <w:rsid w:val="00CA08FC"/>
    <w:rsid w:val="00CA114E"/>
    <w:rsid w:val="00CA12DA"/>
    <w:rsid w:val="00CA1840"/>
    <w:rsid w:val="00CA1B3D"/>
    <w:rsid w:val="00CA1B78"/>
    <w:rsid w:val="00CA3463"/>
    <w:rsid w:val="00CA3702"/>
    <w:rsid w:val="00CA3880"/>
    <w:rsid w:val="00CA4CAF"/>
    <w:rsid w:val="00CA4D65"/>
    <w:rsid w:val="00CA4DB3"/>
    <w:rsid w:val="00CA5494"/>
    <w:rsid w:val="00CA5578"/>
    <w:rsid w:val="00CA5913"/>
    <w:rsid w:val="00CA68EA"/>
    <w:rsid w:val="00CA6C50"/>
    <w:rsid w:val="00CB024A"/>
    <w:rsid w:val="00CB10D4"/>
    <w:rsid w:val="00CB30A7"/>
    <w:rsid w:val="00CB448C"/>
    <w:rsid w:val="00CB468F"/>
    <w:rsid w:val="00CB4B3B"/>
    <w:rsid w:val="00CB4FF0"/>
    <w:rsid w:val="00CB5E8E"/>
    <w:rsid w:val="00CB7896"/>
    <w:rsid w:val="00CC080F"/>
    <w:rsid w:val="00CC1530"/>
    <w:rsid w:val="00CC1EB4"/>
    <w:rsid w:val="00CC3BFF"/>
    <w:rsid w:val="00CC4BC7"/>
    <w:rsid w:val="00CC4F4F"/>
    <w:rsid w:val="00CC5080"/>
    <w:rsid w:val="00CC50FA"/>
    <w:rsid w:val="00CC5560"/>
    <w:rsid w:val="00CC5E86"/>
    <w:rsid w:val="00CC6D47"/>
    <w:rsid w:val="00CD060E"/>
    <w:rsid w:val="00CD0E22"/>
    <w:rsid w:val="00CD1302"/>
    <w:rsid w:val="00CD4802"/>
    <w:rsid w:val="00CD59C7"/>
    <w:rsid w:val="00CD61D6"/>
    <w:rsid w:val="00CD6D9D"/>
    <w:rsid w:val="00CD6F00"/>
    <w:rsid w:val="00CD731C"/>
    <w:rsid w:val="00CD7591"/>
    <w:rsid w:val="00CD76F2"/>
    <w:rsid w:val="00CD7B04"/>
    <w:rsid w:val="00CE0264"/>
    <w:rsid w:val="00CE17B0"/>
    <w:rsid w:val="00CE2DB6"/>
    <w:rsid w:val="00CE6C38"/>
    <w:rsid w:val="00CE6F2E"/>
    <w:rsid w:val="00CE6FDB"/>
    <w:rsid w:val="00CE7CAF"/>
    <w:rsid w:val="00CF0C12"/>
    <w:rsid w:val="00CF28E5"/>
    <w:rsid w:val="00CF2936"/>
    <w:rsid w:val="00CF2A73"/>
    <w:rsid w:val="00CF3672"/>
    <w:rsid w:val="00CF3DBC"/>
    <w:rsid w:val="00CF47BB"/>
    <w:rsid w:val="00CF520E"/>
    <w:rsid w:val="00CF56F1"/>
    <w:rsid w:val="00CF5CA0"/>
    <w:rsid w:val="00CF704E"/>
    <w:rsid w:val="00CF7DAB"/>
    <w:rsid w:val="00D00155"/>
    <w:rsid w:val="00D0019C"/>
    <w:rsid w:val="00D01C99"/>
    <w:rsid w:val="00D021A8"/>
    <w:rsid w:val="00D03241"/>
    <w:rsid w:val="00D032B3"/>
    <w:rsid w:val="00D03932"/>
    <w:rsid w:val="00D03B4B"/>
    <w:rsid w:val="00D03E5B"/>
    <w:rsid w:val="00D054BF"/>
    <w:rsid w:val="00D0641B"/>
    <w:rsid w:val="00D066C0"/>
    <w:rsid w:val="00D11003"/>
    <w:rsid w:val="00D118E0"/>
    <w:rsid w:val="00D11C85"/>
    <w:rsid w:val="00D11D42"/>
    <w:rsid w:val="00D11D87"/>
    <w:rsid w:val="00D11E31"/>
    <w:rsid w:val="00D1263C"/>
    <w:rsid w:val="00D13B25"/>
    <w:rsid w:val="00D14842"/>
    <w:rsid w:val="00D15790"/>
    <w:rsid w:val="00D15D0F"/>
    <w:rsid w:val="00D1662C"/>
    <w:rsid w:val="00D16E2D"/>
    <w:rsid w:val="00D17FAC"/>
    <w:rsid w:val="00D2023B"/>
    <w:rsid w:val="00D223B1"/>
    <w:rsid w:val="00D2316A"/>
    <w:rsid w:val="00D24248"/>
    <w:rsid w:val="00D25474"/>
    <w:rsid w:val="00D25D90"/>
    <w:rsid w:val="00D26157"/>
    <w:rsid w:val="00D26E0D"/>
    <w:rsid w:val="00D2716E"/>
    <w:rsid w:val="00D27314"/>
    <w:rsid w:val="00D30950"/>
    <w:rsid w:val="00D320FD"/>
    <w:rsid w:val="00D326EF"/>
    <w:rsid w:val="00D32A67"/>
    <w:rsid w:val="00D333D1"/>
    <w:rsid w:val="00D33432"/>
    <w:rsid w:val="00D33C2E"/>
    <w:rsid w:val="00D33E7F"/>
    <w:rsid w:val="00D3416E"/>
    <w:rsid w:val="00D34A79"/>
    <w:rsid w:val="00D351A8"/>
    <w:rsid w:val="00D35DB3"/>
    <w:rsid w:val="00D36403"/>
    <w:rsid w:val="00D36616"/>
    <w:rsid w:val="00D36B23"/>
    <w:rsid w:val="00D37589"/>
    <w:rsid w:val="00D401A7"/>
    <w:rsid w:val="00D40953"/>
    <w:rsid w:val="00D41784"/>
    <w:rsid w:val="00D41818"/>
    <w:rsid w:val="00D41960"/>
    <w:rsid w:val="00D4202C"/>
    <w:rsid w:val="00D422F2"/>
    <w:rsid w:val="00D424D0"/>
    <w:rsid w:val="00D43095"/>
    <w:rsid w:val="00D431E1"/>
    <w:rsid w:val="00D43545"/>
    <w:rsid w:val="00D43890"/>
    <w:rsid w:val="00D45737"/>
    <w:rsid w:val="00D4714D"/>
    <w:rsid w:val="00D47687"/>
    <w:rsid w:val="00D5018A"/>
    <w:rsid w:val="00D5072E"/>
    <w:rsid w:val="00D50810"/>
    <w:rsid w:val="00D50F50"/>
    <w:rsid w:val="00D51098"/>
    <w:rsid w:val="00D51634"/>
    <w:rsid w:val="00D51D58"/>
    <w:rsid w:val="00D53983"/>
    <w:rsid w:val="00D54017"/>
    <w:rsid w:val="00D541B5"/>
    <w:rsid w:val="00D541F8"/>
    <w:rsid w:val="00D543EF"/>
    <w:rsid w:val="00D548AB"/>
    <w:rsid w:val="00D5524F"/>
    <w:rsid w:val="00D553E4"/>
    <w:rsid w:val="00D559DD"/>
    <w:rsid w:val="00D562B7"/>
    <w:rsid w:val="00D56DFB"/>
    <w:rsid w:val="00D56FE4"/>
    <w:rsid w:val="00D5714F"/>
    <w:rsid w:val="00D57671"/>
    <w:rsid w:val="00D60017"/>
    <w:rsid w:val="00D60EE8"/>
    <w:rsid w:val="00D61090"/>
    <w:rsid w:val="00D611EE"/>
    <w:rsid w:val="00D62B29"/>
    <w:rsid w:val="00D63352"/>
    <w:rsid w:val="00D64106"/>
    <w:rsid w:val="00D64C2D"/>
    <w:rsid w:val="00D65F6E"/>
    <w:rsid w:val="00D66636"/>
    <w:rsid w:val="00D67F5F"/>
    <w:rsid w:val="00D7041F"/>
    <w:rsid w:val="00D705B6"/>
    <w:rsid w:val="00D70711"/>
    <w:rsid w:val="00D70E01"/>
    <w:rsid w:val="00D72216"/>
    <w:rsid w:val="00D7227A"/>
    <w:rsid w:val="00D722A0"/>
    <w:rsid w:val="00D722E9"/>
    <w:rsid w:val="00D7291B"/>
    <w:rsid w:val="00D72CC2"/>
    <w:rsid w:val="00D72D13"/>
    <w:rsid w:val="00D72D31"/>
    <w:rsid w:val="00D73D7F"/>
    <w:rsid w:val="00D74D17"/>
    <w:rsid w:val="00D75250"/>
    <w:rsid w:val="00D75D4A"/>
    <w:rsid w:val="00D75F86"/>
    <w:rsid w:val="00D760E9"/>
    <w:rsid w:val="00D76778"/>
    <w:rsid w:val="00D7751E"/>
    <w:rsid w:val="00D77CD2"/>
    <w:rsid w:val="00D808C5"/>
    <w:rsid w:val="00D80E0E"/>
    <w:rsid w:val="00D8138D"/>
    <w:rsid w:val="00D81C12"/>
    <w:rsid w:val="00D83831"/>
    <w:rsid w:val="00D84E39"/>
    <w:rsid w:val="00D85A9C"/>
    <w:rsid w:val="00D85C1C"/>
    <w:rsid w:val="00D85CEE"/>
    <w:rsid w:val="00D85F11"/>
    <w:rsid w:val="00D860B7"/>
    <w:rsid w:val="00D86318"/>
    <w:rsid w:val="00D86750"/>
    <w:rsid w:val="00D86782"/>
    <w:rsid w:val="00D86A50"/>
    <w:rsid w:val="00D87333"/>
    <w:rsid w:val="00D87BBE"/>
    <w:rsid w:val="00D901F8"/>
    <w:rsid w:val="00D90643"/>
    <w:rsid w:val="00D91261"/>
    <w:rsid w:val="00D91D23"/>
    <w:rsid w:val="00D92261"/>
    <w:rsid w:val="00D93CEC"/>
    <w:rsid w:val="00D94AD3"/>
    <w:rsid w:val="00D956D9"/>
    <w:rsid w:val="00D95879"/>
    <w:rsid w:val="00D96465"/>
    <w:rsid w:val="00D96AA1"/>
    <w:rsid w:val="00D96EAA"/>
    <w:rsid w:val="00DA04D7"/>
    <w:rsid w:val="00DA0B16"/>
    <w:rsid w:val="00DA1283"/>
    <w:rsid w:val="00DA155E"/>
    <w:rsid w:val="00DA2149"/>
    <w:rsid w:val="00DA29E1"/>
    <w:rsid w:val="00DA2F34"/>
    <w:rsid w:val="00DA3294"/>
    <w:rsid w:val="00DA4269"/>
    <w:rsid w:val="00DA4B6A"/>
    <w:rsid w:val="00DA675F"/>
    <w:rsid w:val="00DA746D"/>
    <w:rsid w:val="00DA7697"/>
    <w:rsid w:val="00DA7EBB"/>
    <w:rsid w:val="00DA7FEF"/>
    <w:rsid w:val="00DB01BC"/>
    <w:rsid w:val="00DB0BFB"/>
    <w:rsid w:val="00DB18CD"/>
    <w:rsid w:val="00DB1E16"/>
    <w:rsid w:val="00DB259A"/>
    <w:rsid w:val="00DB2CC4"/>
    <w:rsid w:val="00DB33E1"/>
    <w:rsid w:val="00DB3F13"/>
    <w:rsid w:val="00DB40C5"/>
    <w:rsid w:val="00DB4FF5"/>
    <w:rsid w:val="00DB6034"/>
    <w:rsid w:val="00DB6F94"/>
    <w:rsid w:val="00DB747C"/>
    <w:rsid w:val="00DC042F"/>
    <w:rsid w:val="00DC1B9F"/>
    <w:rsid w:val="00DC2236"/>
    <w:rsid w:val="00DC2F8A"/>
    <w:rsid w:val="00DC3654"/>
    <w:rsid w:val="00DC486A"/>
    <w:rsid w:val="00DC53CD"/>
    <w:rsid w:val="00DC5C31"/>
    <w:rsid w:val="00DC5C63"/>
    <w:rsid w:val="00DC6A7E"/>
    <w:rsid w:val="00DC70A1"/>
    <w:rsid w:val="00DC7761"/>
    <w:rsid w:val="00DD019D"/>
    <w:rsid w:val="00DD1EDD"/>
    <w:rsid w:val="00DD2FC7"/>
    <w:rsid w:val="00DD45DA"/>
    <w:rsid w:val="00DD478B"/>
    <w:rsid w:val="00DD478D"/>
    <w:rsid w:val="00DD5B7A"/>
    <w:rsid w:val="00DD5D52"/>
    <w:rsid w:val="00DD7922"/>
    <w:rsid w:val="00DE09AC"/>
    <w:rsid w:val="00DE138E"/>
    <w:rsid w:val="00DE1F92"/>
    <w:rsid w:val="00DE2BB9"/>
    <w:rsid w:val="00DE2DCE"/>
    <w:rsid w:val="00DE3DFD"/>
    <w:rsid w:val="00DE41EA"/>
    <w:rsid w:val="00DE53D4"/>
    <w:rsid w:val="00DE68F4"/>
    <w:rsid w:val="00DE6934"/>
    <w:rsid w:val="00DE6F5A"/>
    <w:rsid w:val="00DE7196"/>
    <w:rsid w:val="00DE7F4E"/>
    <w:rsid w:val="00DF002F"/>
    <w:rsid w:val="00DF07A4"/>
    <w:rsid w:val="00DF0D11"/>
    <w:rsid w:val="00DF0F0F"/>
    <w:rsid w:val="00DF286C"/>
    <w:rsid w:val="00DF2E8C"/>
    <w:rsid w:val="00DF30BC"/>
    <w:rsid w:val="00DF33B4"/>
    <w:rsid w:val="00DF383D"/>
    <w:rsid w:val="00DF44E2"/>
    <w:rsid w:val="00DF450D"/>
    <w:rsid w:val="00DF4A04"/>
    <w:rsid w:val="00DF51D0"/>
    <w:rsid w:val="00DF58AE"/>
    <w:rsid w:val="00DF5EF4"/>
    <w:rsid w:val="00DF6BE6"/>
    <w:rsid w:val="00DF7579"/>
    <w:rsid w:val="00DF766C"/>
    <w:rsid w:val="00DF7BA2"/>
    <w:rsid w:val="00E00384"/>
    <w:rsid w:val="00E006E6"/>
    <w:rsid w:val="00E01488"/>
    <w:rsid w:val="00E01DE2"/>
    <w:rsid w:val="00E01E03"/>
    <w:rsid w:val="00E020A9"/>
    <w:rsid w:val="00E0271A"/>
    <w:rsid w:val="00E03ECC"/>
    <w:rsid w:val="00E0554B"/>
    <w:rsid w:val="00E05940"/>
    <w:rsid w:val="00E064FD"/>
    <w:rsid w:val="00E06529"/>
    <w:rsid w:val="00E06FB1"/>
    <w:rsid w:val="00E07969"/>
    <w:rsid w:val="00E10CFF"/>
    <w:rsid w:val="00E112B7"/>
    <w:rsid w:val="00E11723"/>
    <w:rsid w:val="00E12498"/>
    <w:rsid w:val="00E127C1"/>
    <w:rsid w:val="00E1294B"/>
    <w:rsid w:val="00E12F25"/>
    <w:rsid w:val="00E13060"/>
    <w:rsid w:val="00E138E7"/>
    <w:rsid w:val="00E148D6"/>
    <w:rsid w:val="00E14A9C"/>
    <w:rsid w:val="00E14C62"/>
    <w:rsid w:val="00E154AD"/>
    <w:rsid w:val="00E17114"/>
    <w:rsid w:val="00E17309"/>
    <w:rsid w:val="00E17AFD"/>
    <w:rsid w:val="00E214AE"/>
    <w:rsid w:val="00E214F5"/>
    <w:rsid w:val="00E2257E"/>
    <w:rsid w:val="00E2276B"/>
    <w:rsid w:val="00E22D50"/>
    <w:rsid w:val="00E23EB7"/>
    <w:rsid w:val="00E259AD"/>
    <w:rsid w:val="00E26F6B"/>
    <w:rsid w:val="00E276BD"/>
    <w:rsid w:val="00E3075D"/>
    <w:rsid w:val="00E30990"/>
    <w:rsid w:val="00E3239C"/>
    <w:rsid w:val="00E324C3"/>
    <w:rsid w:val="00E328DC"/>
    <w:rsid w:val="00E33B5D"/>
    <w:rsid w:val="00E35A33"/>
    <w:rsid w:val="00E363E9"/>
    <w:rsid w:val="00E366FB"/>
    <w:rsid w:val="00E36AC1"/>
    <w:rsid w:val="00E374BD"/>
    <w:rsid w:val="00E375C8"/>
    <w:rsid w:val="00E37805"/>
    <w:rsid w:val="00E4031B"/>
    <w:rsid w:val="00E40844"/>
    <w:rsid w:val="00E40A7D"/>
    <w:rsid w:val="00E419B3"/>
    <w:rsid w:val="00E41DB2"/>
    <w:rsid w:val="00E433AC"/>
    <w:rsid w:val="00E44CE2"/>
    <w:rsid w:val="00E44FC6"/>
    <w:rsid w:val="00E456ED"/>
    <w:rsid w:val="00E45C94"/>
    <w:rsid w:val="00E46447"/>
    <w:rsid w:val="00E46709"/>
    <w:rsid w:val="00E47266"/>
    <w:rsid w:val="00E47569"/>
    <w:rsid w:val="00E47745"/>
    <w:rsid w:val="00E5035A"/>
    <w:rsid w:val="00E50EF7"/>
    <w:rsid w:val="00E51A5E"/>
    <w:rsid w:val="00E522C5"/>
    <w:rsid w:val="00E5257A"/>
    <w:rsid w:val="00E5298B"/>
    <w:rsid w:val="00E54DE1"/>
    <w:rsid w:val="00E54E39"/>
    <w:rsid w:val="00E55774"/>
    <w:rsid w:val="00E568D0"/>
    <w:rsid w:val="00E569E5"/>
    <w:rsid w:val="00E56A73"/>
    <w:rsid w:val="00E56D5F"/>
    <w:rsid w:val="00E56F94"/>
    <w:rsid w:val="00E57991"/>
    <w:rsid w:val="00E57BA5"/>
    <w:rsid w:val="00E57F78"/>
    <w:rsid w:val="00E608F7"/>
    <w:rsid w:val="00E6120F"/>
    <w:rsid w:val="00E62138"/>
    <w:rsid w:val="00E635A3"/>
    <w:rsid w:val="00E6390C"/>
    <w:rsid w:val="00E64788"/>
    <w:rsid w:val="00E64D74"/>
    <w:rsid w:val="00E65047"/>
    <w:rsid w:val="00E65631"/>
    <w:rsid w:val="00E6632B"/>
    <w:rsid w:val="00E66D76"/>
    <w:rsid w:val="00E66FE4"/>
    <w:rsid w:val="00E67547"/>
    <w:rsid w:val="00E70462"/>
    <w:rsid w:val="00E70C2B"/>
    <w:rsid w:val="00E7180F"/>
    <w:rsid w:val="00E71D73"/>
    <w:rsid w:val="00E728E8"/>
    <w:rsid w:val="00E72BF6"/>
    <w:rsid w:val="00E72E67"/>
    <w:rsid w:val="00E747F8"/>
    <w:rsid w:val="00E7520D"/>
    <w:rsid w:val="00E752A2"/>
    <w:rsid w:val="00E77B2B"/>
    <w:rsid w:val="00E801FB"/>
    <w:rsid w:val="00E81790"/>
    <w:rsid w:val="00E82446"/>
    <w:rsid w:val="00E82630"/>
    <w:rsid w:val="00E82AC0"/>
    <w:rsid w:val="00E82D55"/>
    <w:rsid w:val="00E82E07"/>
    <w:rsid w:val="00E830A7"/>
    <w:rsid w:val="00E83801"/>
    <w:rsid w:val="00E839F5"/>
    <w:rsid w:val="00E83DA9"/>
    <w:rsid w:val="00E8409D"/>
    <w:rsid w:val="00E848DC"/>
    <w:rsid w:val="00E853AB"/>
    <w:rsid w:val="00E860D2"/>
    <w:rsid w:val="00E869FF"/>
    <w:rsid w:val="00E87696"/>
    <w:rsid w:val="00E87F6F"/>
    <w:rsid w:val="00E900EC"/>
    <w:rsid w:val="00E9085B"/>
    <w:rsid w:val="00E908C8"/>
    <w:rsid w:val="00E9104D"/>
    <w:rsid w:val="00E910A1"/>
    <w:rsid w:val="00E912B0"/>
    <w:rsid w:val="00E91A99"/>
    <w:rsid w:val="00E9277B"/>
    <w:rsid w:val="00E929A6"/>
    <w:rsid w:val="00E92C29"/>
    <w:rsid w:val="00E93574"/>
    <w:rsid w:val="00E9477D"/>
    <w:rsid w:val="00E94929"/>
    <w:rsid w:val="00E94A74"/>
    <w:rsid w:val="00E94C32"/>
    <w:rsid w:val="00E95638"/>
    <w:rsid w:val="00E95ABF"/>
    <w:rsid w:val="00E965C6"/>
    <w:rsid w:val="00E9687C"/>
    <w:rsid w:val="00E97818"/>
    <w:rsid w:val="00E97DC9"/>
    <w:rsid w:val="00E97F5A"/>
    <w:rsid w:val="00EA03B4"/>
    <w:rsid w:val="00EA0D5D"/>
    <w:rsid w:val="00EA0F03"/>
    <w:rsid w:val="00EA1025"/>
    <w:rsid w:val="00EA133B"/>
    <w:rsid w:val="00EA1A81"/>
    <w:rsid w:val="00EA1D74"/>
    <w:rsid w:val="00EA2A60"/>
    <w:rsid w:val="00EA382E"/>
    <w:rsid w:val="00EA47F9"/>
    <w:rsid w:val="00EA4FF7"/>
    <w:rsid w:val="00EA5C8D"/>
    <w:rsid w:val="00EA641F"/>
    <w:rsid w:val="00EA74C9"/>
    <w:rsid w:val="00EA7857"/>
    <w:rsid w:val="00EB0DEC"/>
    <w:rsid w:val="00EB103F"/>
    <w:rsid w:val="00EB19FE"/>
    <w:rsid w:val="00EB3AB1"/>
    <w:rsid w:val="00EB3C09"/>
    <w:rsid w:val="00EB4091"/>
    <w:rsid w:val="00EB46DE"/>
    <w:rsid w:val="00EB51D0"/>
    <w:rsid w:val="00EB52B5"/>
    <w:rsid w:val="00EB56F9"/>
    <w:rsid w:val="00EB5D5C"/>
    <w:rsid w:val="00EB66AD"/>
    <w:rsid w:val="00EB6B14"/>
    <w:rsid w:val="00EB6C7F"/>
    <w:rsid w:val="00EB6D6E"/>
    <w:rsid w:val="00EB7DA2"/>
    <w:rsid w:val="00EC1155"/>
    <w:rsid w:val="00EC126F"/>
    <w:rsid w:val="00EC15BC"/>
    <w:rsid w:val="00EC20D6"/>
    <w:rsid w:val="00EC2E82"/>
    <w:rsid w:val="00EC334D"/>
    <w:rsid w:val="00EC345A"/>
    <w:rsid w:val="00EC4C35"/>
    <w:rsid w:val="00EC522F"/>
    <w:rsid w:val="00EC6584"/>
    <w:rsid w:val="00EC72B1"/>
    <w:rsid w:val="00EC7711"/>
    <w:rsid w:val="00EC796D"/>
    <w:rsid w:val="00EC7C65"/>
    <w:rsid w:val="00EC7FBB"/>
    <w:rsid w:val="00ED031C"/>
    <w:rsid w:val="00ED119B"/>
    <w:rsid w:val="00ED11E1"/>
    <w:rsid w:val="00ED12A5"/>
    <w:rsid w:val="00ED19B9"/>
    <w:rsid w:val="00ED1C10"/>
    <w:rsid w:val="00ED3B11"/>
    <w:rsid w:val="00ED422C"/>
    <w:rsid w:val="00ED49CB"/>
    <w:rsid w:val="00ED7BCF"/>
    <w:rsid w:val="00ED7CBE"/>
    <w:rsid w:val="00EE003B"/>
    <w:rsid w:val="00EE0F10"/>
    <w:rsid w:val="00EE11FE"/>
    <w:rsid w:val="00EE15E2"/>
    <w:rsid w:val="00EE2745"/>
    <w:rsid w:val="00EE3874"/>
    <w:rsid w:val="00EE3A9C"/>
    <w:rsid w:val="00EE4246"/>
    <w:rsid w:val="00EE5098"/>
    <w:rsid w:val="00EE511E"/>
    <w:rsid w:val="00EE515C"/>
    <w:rsid w:val="00EE5955"/>
    <w:rsid w:val="00EE5A21"/>
    <w:rsid w:val="00EE6CDF"/>
    <w:rsid w:val="00EF0852"/>
    <w:rsid w:val="00EF097F"/>
    <w:rsid w:val="00EF18D4"/>
    <w:rsid w:val="00EF1F93"/>
    <w:rsid w:val="00EF2DC4"/>
    <w:rsid w:val="00EF3B2F"/>
    <w:rsid w:val="00EF3D84"/>
    <w:rsid w:val="00EF600A"/>
    <w:rsid w:val="00EF6578"/>
    <w:rsid w:val="00EF78C6"/>
    <w:rsid w:val="00F0040E"/>
    <w:rsid w:val="00F03AB7"/>
    <w:rsid w:val="00F0437C"/>
    <w:rsid w:val="00F04BA6"/>
    <w:rsid w:val="00F06ED0"/>
    <w:rsid w:val="00F07948"/>
    <w:rsid w:val="00F07A8B"/>
    <w:rsid w:val="00F07FD7"/>
    <w:rsid w:val="00F104AB"/>
    <w:rsid w:val="00F112AA"/>
    <w:rsid w:val="00F1157E"/>
    <w:rsid w:val="00F11851"/>
    <w:rsid w:val="00F1223F"/>
    <w:rsid w:val="00F126CD"/>
    <w:rsid w:val="00F12E17"/>
    <w:rsid w:val="00F13092"/>
    <w:rsid w:val="00F14CBC"/>
    <w:rsid w:val="00F15DB3"/>
    <w:rsid w:val="00F1619E"/>
    <w:rsid w:val="00F16801"/>
    <w:rsid w:val="00F1779A"/>
    <w:rsid w:val="00F179DC"/>
    <w:rsid w:val="00F20713"/>
    <w:rsid w:val="00F20F24"/>
    <w:rsid w:val="00F21469"/>
    <w:rsid w:val="00F228B3"/>
    <w:rsid w:val="00F22AB4"/>
    <w:rsid w:val="00F230C0"/>
    <w:rsid w:val="00F232B9"/>
    <w:rsid w:val="00F23758"/>
    <w:rsid w:val="00F2408B"/>
    <w:rsid w:val="00F241B3"/>
    <w:rsid w:val="00F24B76"/>
    <w:rsid w:val="00F256FE"/>
    <w:rsid w:val="00F25D27"/>
    <w:rsid w:val="00F26612"/>
    <w:rsid w:val="00F26736"/>
    <w:rsid w:val="00F26ACC"/>
    <w:rsid w:val="00F3112B"/>
    <w:rsid w:val="00F320A3"/>
    <w:rsid w:val="00F32A1D"/>
    <w:rsid w:val="00F32BB7"/>
    <w:rsid w:val="00F3311C"/>
    <w:rsid w:val="00F33B4A"/>
    <w:rsid w:val="00F3426B"/>
    <w:rsid w:val="00F346DC"/>
    <w:rsid w:val="00F35193"/>
    <w:rsid w:val="00F35F4C"/>
    <w:rsid w:val="00F3615B"/>
    <w:rsid w:val="00F36163"/>
    <w:rsid w:val="00F3629C"/>
    <w:rsid w:val="00F36FC5"/>
    <w:rsid w:val="00F36FCE"/>
    <w:rsid w:val="00F40D5C"/>
    <w:rsid w:val="00F40F04"/>
    <w:rsid w:val="00F41B0E"/>
    <w:rsid w:val="00F42105"/>
    <w:rsid w:val="00F42659"/>
    <w:rsid w:val="00F42772"/>
    <w:rsid w:val="00F42985"/>
    <w:rsid w:val="00F42AD3"/>
    <w:rsid w:val="00F433A1"/>
    <w:rsid w:val="00F43A49"/>
    <w:rsid w:val="00F44BF6"/>
    <w:rsid w:val="00F4501D"/>
    <w:rsid w:val="00F45E32"/>
    <w:rsid w:val="00F46603"/>
    <w:rsid w:val="00F47FD4"/>
    <w:rsid w:val="00F5018E"/>
    <w:rsid w:val="00F50344"/>
    <w:rsid w:val="00F50B6C"/>
    <w:rsid w:val="00F52AC4"/>
    <w:rsid w:val="00F53ECD"/>
    <w:rsid w:val="00F546BF"/>
    <w:rsid w:val="00F547B2"/>
    <w:rsid w:val="00F549F4"/>
    <w:rsid w:val="00F55C9A"/>
    <w:rsid w:val="00F56815"/>
    <w:rsid w:val="00F57242"/>
    <w:rsid w:val="00F5793A"/>
    <w:rsid w:val="00F57CCA"/>
    <w:rsid w:val="00F6067A"/>
    <w:rsid w:val="00F61687"/>
    <w:rsid w:val="00F62945"/>
    <w:rsid w:val="00F62E39"/>
    <w:rsid w:val="00F63972"/>
    <w:rsid w:val="00F64C67"/>
    <w:rsid w:val="00F6510C"/>
    <w:rsid w:val="00F66393"/>
    <w:rsid w:val="00F67FB3"/>
    <w:rsid w:val="00F707D1"/>
    <w:rsid w:val="00F70A3E"/>
    <w:rsid w:val="00F70DE1"/>
    <w:rsid w:val="00F71428"/>
    <w:rsid w:val="00F7185B"/>
    <w:rsid w:val="00F721FA"/>
    <w:rsid w:val="00F72CF7"/>
    <w:rsid w:val="00F743FE"/>
    <w:rsid w:val="00F74A8E"/>
    <w:rsid w:val="00F754BE"/>
    <w:rsid w:val="00F7578E"/>
    <w:rsid w:val="00F75F28"/>
    <w:rsid w:val="00F75FA8"/>
    <w:rsid w:val="00F7707E"/>
    <w:rsid w:val="00F77F18"/>
    <w:rsid w:val="00F8080B"/>
    <w:rsid w:val="00F80C43"/>
    <w:rsid w:val="00F813F5"/>
    <w:rsid w:val="00F81567"/>
    <w:rsid w:val="00F81FE9"/>
    <w:rsid w:val="00F82079"/>
    <w:rsid w:val="00F82223"/>
    <w:rsid w:val="00F8261A"/>
    <w:rsid w:val="00F82664"/>
    <w:rsid w:val="00F8267D"/>
    <w:rsid w:val="00F8329F"/>
    <w:rsid w:val="00F83DA7"/>
    <w:rsid w:val="00F8457D"/>
    <w:rsid w:val="00F84A2D"/>
    <w:rsid w:val="00F85133"/>
    <w:rsid w:val="00F85952"/>
    <w:rsid w:val="00F85DFA"/>
    <w:rsid w:val="00F860F7"/>
    <w:rsid w:val="00F87044"/>
    <w:rsid w:val="00F87305"/>
    <w:rsid w:val="00F87E57"/>
    <w:rsid w:val="00F900A4"/>
    <w:rsid w:val="00F900C6"/>
    <w:rsid w:val="00F903A5"/>
    <w:rsid w:val="00F9150D"/>
    <w:rsid w:val="00F92118"/>
    <w:rsid w:val="00F923A4"/>
    <w:rsid w:val="00F92941"/>
    <w:rsid w:val="00F941BB"/>
    <w:rsid w:val="00F94EE1"/>
    <w:rsid w:val="00F954AC"/>
    <w:rsid w:val="00F95931"/>
    <w:rsid w:val="00F95996"/>
    <w:rsid w:val="00F96864"/>
    <w:rsid w:val="00F96A8B"/>
    <w:rsid w:val="00F97AA9"/>
    <w:rsid w:val="00FA0767"/>
    <w:rsid w:val="00FA0B2E"/>
    <w:rsid w:val="00FA13F6"/>
    <w:rsid w:val="00FA2D12"/>
    <w:rsid w:val="00FA2FDF"/>
    <w:rsid w:val="00FA329A"/>
    <w:rsid w:val="00FA3504"/>
    <w:rsid w:val="00FA37F1"/>
    <w:rsid w:val="00FA3C88"/>
    <w:rsid w:val="00FA3E4B"/>
    <w:rsid w:val="00FA4555"/>
    <w:rsid w:val="00FA50ED"/>
    <w:rsid w:val="00FA572D"/>
    <w:rsid w:val="00FA6F3B"/>
    <w:rsid w:val="00FA7053"/>
    <w:rsid w:val="00FB091D"/>
    <w:rsid w:val="00FB1BDC"/>
    <w:rsid w:val="00FB281B"/>
    <w:rsid w:val="00FB372D"/>
    <w:rsid w:val="00FB46FC"/>
    <w:rsid w:val="00FB52C9"/>
    <w:rsid w:val="00FB5758"/>
    <w:rsid w:val="00FB582B"/>
    <w:rsid w:val="00FB754A"/>
    <w:rsid w:val="00FB7CB6"/>
    <w:rsid w:val="00FC112E"/>
    <w:rsid w:val="00FC17B3"/>
    <w:rsid w:val="00FC1B89"/>
    <w:rsid w:val="00FC3A01"/>
    <w:rsid w:val="00FC4106"/>
    <w:rsid w:val="00FC439A"/>
    <w:rsid w:val="00FC4733"/>
    <w:rsid w:val="00FC4D8B"/>
    <w:rsid w:val="00FC4E7F"/>
    <w:rsid w:val="00FC5453"/>
    <w:rsid w:val="00FC563A"/>
    <w:rsid w:val="00FC5DA1"/>
    <w:rsid w:val="00FC5DB9"/>
    <w:rsid w:val="00FC612D"/>
    <w:rsid w:val="00FC620C"/>
    <w:rsid w:val="00FC6459"/>
    <w:rsid w:val="00FC6664"/>
    <w:rsid w:val="00FC700C"/>
    <w:rsid w:val="00FC72F6"/>
    <w:rsid w:val="00FC7431"/>
    <w:rsid w:val="00FC798D"/>
    <w:rsid w:val="00FC7FF3"/>
    <w:rsid w:val="00FD0E60"/>
    <w:rsid w:val="00FD1B32"/>
    <w:rsid w:val="00FD2A89"/>
    <w:rsid w:val="00FD32D7"/>
    <w:rsid w:val="00FD3790"/>
    <w:rsid w:val="00FD499B"/>
    <w:rsid w:val="00FD49F2"/>
    <w:rsid w:val="00FD4CF4"/>
    <w:rsid w:val="00FD4FA8"/>
    <w:rsid w:val="00FD5C05"/>
    <w:rsid w:val="00FD5CE2"/>
    <w:rsid w:val="00FE081E"/>
    <w:rsid w:val="00FE0894"/>
    <w:rsid w:val="00FE0BD1"/>
    <w:rsid w:val="00FE0C87"/>
    <w:rsid w:val="00FE16B7"/>
    <w:rsid w:val="00FE1F3A"/>
    <w:rsid w:val="00FE3A41"/>
    <w:rsid w:val="00FE3DA4"/>
    <w:rsid w:val="00FE4D70"/>
    <w:rsid w:val="00FE4D97"/>
    <w:rsid w:val="00FE50A7"/>
    <w:rsid w:val="00FE5DD6"/>
    <w:rsid w:val="00FF1DB3"/>
    <w:rsid w:val="00FF2518"/>
    <w:rsid w:val="00FF2655"/>
    <w:rsid w:val="00FF2667"/>
    <w:rsid w:val="00FF292C"/>
    <w:rsid w:val="00FF30E9"/>
    <w:rsid w:val="00FF3302"/>
    <w:rsid w:val="00FF3947"/>
    <w:rsid w:val="00FF5F69"/>
    <w:rsid w:val="00FF6267"/>
    <w:rsid w:val="00FF6E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3E07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1B"/>
    <w:rPr>
      <w:sz w:val="24"/>
      <w:szCs w:val="24"/>
      <w:lang w:bidi="en-US"/>
    </w:rPr>
  </w:style>
  <w:style w:type="paragraph" w:styleId="Heading1">
    <w:name w:val="heading 1"/>
    <w:basedOn w:val="Normal"/>
    <w:next w:val="Normal"/>
    <w:link w:val="Heading1Char"/>
    <w:autoRedefine/>
    <w:uiPriority w:val="9"/>
    <w:qFormat/>
    <w:rsid w:val="001C38CB"/>
    <w:pPr>
      <w:keepNext/>
      <w:spacing w:after="240"/>
      <w:ind w:left="720" w:hanging="720"/>
      <w:outlineLvl w:val="0"/>
    </w:pPr>
    <w:rPr>
      <w:b/>
      <w:bCs/>
      <w:kern w:val="32"/>
    </w:rPr>
  </w:style>
  <w:style w:type="paragraph" w:styleId="Heading2">
    <w:name w:val="heading 2"/>
    <w:basedOn w:val="Normal"/>
    <w:next w:val="Normal"/>
    <w:link w:val="Heading2Char"/>
    <w:autoRedefine/>
    <w:uiPriority w:val="9"/>
    <w:qFormat/>
    <w:rsid w:val="00193233"/>
    <w:pPr>
      <w:keepNext/>
      <w:numPr>
        <w:numId w:val="36"/>
      </w:numPr>
      <w:spacing w:after="240"/>
      <w:ind w:left="1440" w:hanging="720"/>
      <w:outlineLvl w:val="1"/>
    </w:pPr>
    <w:rPr>
      <w:rFonts w:ascii="Times New Roman Bold" w:hAnsi="Times New Roman Bold" w:eastAsiaTheme="minorHAnsi"/>
      <w:b/>
      <w:iCs/>
      <w:lang w:bidi="ar-SA"/>
    </w:rPr>
  </w:style>
  <w:style w:type="paragraph" w:styleId="Heading3">
    <w:name w:val="heading 3"/>
    <w:basedOn w:val="ListParagraph"/>
    <w:next w:val="Normal"/>
    <w:link w:val="Heading3Char"/>
    <w:autoRedefine/>
    <w:uiPriority w:val="9"/>
    <w:qFormat/>
    <w:rsid w:val="00193233"/>
    <w:pPr>
      <w:numPr>
        <w:numId w:val="37"/>
      </w:numPr>
      <w:spacing w:after="240"/>
      <w:ind w:left="2160" w:hanging="720"/>
      <w:outlineLvl w:val="2"/>
    </w:pPr>
    <w:rPr>
      <w:b/>
      <w:bCs/>
    </w:rPr>
  </w:style>
  <w:style w:type="paragraph" w:styleId="Heading4">
    <w:name w:val="heading 4"/>
    <w:basedOn w:val="Normal"/>
    <w:next w:val="Normal"/>
    <w:link w:val="Heading4Char"/>
    <w:uiPriority w:val="9"/>
    <w:qFormat/>
    <w:rsid w:val="00AF1541"/>
    <w:pPr>
      <w:keepNext/>
      <w:spacing w:after="240"/>
      <w:ind w:left="2880" w:hanging="720"/>
      <w:outlineLvl w:val="3"/>
    </w:pPr>
    <w:rPr>
      <w:rFonts w:ascii="Times New Roman Bold" w:hAnsi="Times New Roman Bold"/>
      <w:b/>
      <w:bCs/>
      <w:szCs w:val="28"/>
    </w:rPr>
  </w:style>
  <w:style w:type="paragraph" w:styleId="Heading5">
    <w:name w:val="heading 5"/>
    <w:basedOn w:val="Normal"/>
    <w:next w:val="Normal"/>
    <w:link w:val="Heading5Char"/>
    <w:uiPriority w:val="9"/>
    <w:qFormat/>
    <w:rsid w:val="00452952"/>
    <w:pPr>
      <w:spacing w:after="240"/>
      <w:ind w:left="3600" w:hanging="720"/>
      <w:outlineLvl w:val="4"/>
    </w:pPr>
    <w:rPr>
      <w:rFonts w:ascii="Times New Roman Bold" w:hAnsi="Times New Roman Bold"/>
      <w:b/>
      <w:bCs/>
      <w:iCs/>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38CB"/>
    <w:rPr>
      <w:b/>
      <w:bCs/>
      <w:kern w:val="32"/>
      <w:sz w:val="24"/>
      <w:szCs w:val="24"/>
      <w:lang w:bidi="en-US"/>
    </w:rPr>
  </w:style>
  <w:style w:type="character" w:customStyle="1" w:styleId="Heading2Char">
    <w:name w:val="Heading 2 Char"/>
    <w:link w:val="Heading2"/>
    <w:uiPriority w:val="9"/>
    <w:rsid w:val="00193233"/>
    <w:rPr>
      <w:rFonts w:ascii="Times New Roman Bold" w:hAnsi="Times New Roman Bold" w:eastAsiaTheme="minorHAnsi"/>
      <w:b/>
      <w:iCs/>
      <w:sz w:val="24"/>
      <w:szCs w:val="24"/>
    </w:rPr>
  </w:style>
  <w:style w:type="character" w:customStyle="1" w:styleId="Heading3Char">
    <w:name w:val="Heading 3 Char"/>
    <w:link w:val="Heading3"/>
    <w:uiPriority w:val="9"/>
    <w:rsid w:val="00193233"/>
    <w:rPr>
      <w:b/>
      <w:bCs/>
      <w:sz w:val="24"/>
      <w:szCs w:val="24"/>
      <w:lang w:bidi="en-US"/>
    </w:rPr>
  </w:style>
  <w:style w:type="character" w:customStyle="1" w:styleId="Heading4Char">
    <w:name w:val="Heading 4 Char"/>
    <w:link w:val="Heading4"/>
    <w:uiPriority w:val="9"/>
    <w:rsid w:val="00AF1541"/>
    <w:rPr>
      <w:rFonts w:ascii="Times New Roman Bold" w:hAnsi="Times New Roman Bold"/>
      <w:b/>
      <w:bCs/>
      <w:sz w:val="24"/>
      <w:szCs w:val="28"/>
      <w:lang w:bidi="en-US"/>
    </w:rPr>
  </w:style>
  <w:style w:type="character" w:customStyle="1" w:styleId="Heading5Char">
    <w:name w:val="Heading 5 Char"/>
    <w:link w:val="Heading5"/>
    <w:uiPriority w:val="9"/>
    <w:rsid w:val="00452952"/>
    <w:rPr>
      <w:rFonts w:ascii="Times New Roman Bold" w:hAnsi="Times New Roman Bold"/>
      <w:b/>
      <w:bCs/>
      <w:iCs/>
      <w:sz w:val="24"/>
      <w:szCs w:val="26"/>
      <w:lang w:bidi="en-US"/>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 Char1,Char1"/>
    <w:basedOn w:val="Normal"/>
    <w:link w:val="FooterChar"/>
    <w:uiPriority w:val="99"/>
    <w:unhideWhenUsed/>
    <w:pPr>
      <w:tabs>
        <w:tab w:val="center" w:pos="4680"/>
        <w:tab w:val="right" w:pos="9360"/>
      </w:tabs>
    </w:pPr>
  </w:style>
  <w:style w:type="character" w:customStyle="1" w:styleId="FooterChar">
    <w:name w:val="Footer Char"/>
    <w:aliases w:val=" Char1 Char,Char1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link w:val="FootnoteText"/>
    <w:uiPriority w:val="99"/>
    <w:rsid w:val="00635194"/>
    <w:rPr>
      <w:rFonts w:ascii="Calibri" w:eastAsia="Calibri" w:hAnsi="Calibri"/>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1">
    <w:name w:val="toc 1"/>
    <w:basedOn w:val="Normal"/>
    <w:next w:val="Normal"/>
    <w:autoRedefine/>
    <w:uiPriority w:val="39"/>
    <w:unhideWhenUsed/>
    <w:rsid w:val="0025063D"/>
    <w:pPr>
      <w:tabs>
        <w:tab w:val="decimal" w:leader="dot" w:pos="9360"/>
      </w:tabs>
      <w:spacing w:after="240"/>
      <w:ind w:left="720" w:hanging="720"/>
      <w:outlineLvl w:val="0"/>
    </w:pPr>
  </w:style>
  <w:style w:type="paragraph" w:styleId="TOC2">
    <w:name w:val="toc 2"/>
    <w:basedOn w:val="Normal"/>
    <w:next w:val="Normal"/>
    <w:autoRedefine/>
    <w:uiPriority w:val="39"/>
    <w:unhideWhenUsed/>
    <w:qFormat/>
    <w:rsid w:val="00FA7053"/>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CF520E"/>
    <w:pPr>
      <w:tabs>
        <w:tab w:val="decimal" w:leader="dot" w:pos="9360"/>
      </w:tabs>
      <w:spacing w:after="240"/>
      <w:ind w:left="2160" w:hanging="720"/>
      <w:outlineLvl w:val="2"/>
    </w:pPr>
  </w:style>
  <w:style w:type="paragraph" w:styleId="BodyTextIndent3">
    <w:name w:val="Body Text Indent 3"/>
    <w:basedOn w:val="Normal"/>
    <w:link w:val="BodyTextIndent3Char"/>
    <w:uiPriority w:val="99"/>
    <w:unhideWhenUsed/>
    <w:rsid w:val="00A6600B"/>
    <w:pPr>
      <w:spacing w:after="120"/>
      <w:ind w:left="360"/>
    </w:pPr>
    <w:rPr>
      <w:sz w:val="16"/>
      <w:szCs w:val="16"/>
    </w:rPr>
  </w:style>
  <w:style w:type="character" w:customStyle="1" w:styleId="BodyTextIndent3Char">
    <w:name w:val="Body Text Indent 3 Char"/>
    <w:basedOn w:val="DefaultParagraphFont"/>
    <w:link w:val="BodyTextIndent3"/>
    <w:uiPriority w:val="99"/>
    <w:rsid w:val="00A6600B"/>
    <w:rPr>
      <w:sz w:val="16"/>
      <w:szCs w:val="16"/>
      <w:lang w:bidi="en-US"/>
    </w:rPr>
  </w:style>
  <w:style w:type="paragraph" w:styleId="List">
    <w:name w:val="List"/>
    <w:basedOn w:val="Normal"/>
    <w:rsid w:val="008C5191"/>
    <w:pPr>
      <w:ind w:left="360" w:hanging="360"/>
    </w:pPr>
    <w:rPr>
      <w:szCs w:val="20"/>
      <w:lang w:bidi="ar-SA"/>
    </w:rPr>
  </w:style>
  <w:style w:type="paragraph" w:styleId="TOC4">
    <w:name w:val="toc 4"/>
    <w:basedOn w:val="Normal"/>
    <w:next w:val="Normal"/>
    <w:autoRedefine/>
    <w:uiPriority w:val="39"/>
    <w:unhideWhenUsed/>
    <w:rsid w:val="0002714B"/>
    <w:pPr>
      <w:tabs>
        <w:tab w:val="left" w:pos="720"/>
        <w:tab w:val="decimal" w:leader="dot" w:pos="8640"/>
      </w:tabs>
      <w:spacing w:after="240"/>
      <w:ind w:left="2880" w:hanging="720"/>
    </w:pPr>
  </w:style>
  <w:style w:type="character" w:customStyle="1" w:styleId="UnresolvedMention2">
    <w:name w:val="Unresolved Mention2"/>
    <w:basedOn w:val="DefaultParagraphFont"/>
    <w:uiPriority w:val="99"/>
    <w:rsid w:val="00E8409D"/>
    <w:rPr>
      <w:color w:val="605E5C"/>
      <w:shd w:val="clear" w:color="auto" w:fill="E1DFDD"/>
    </w:rPr>
  </w:style>
  <w:style w:type="character" w:styleId="FollowedHyperlink">
    <w:name w:val="FollowedHyperlink"/>
    <w:basedOn w:val="DefaultParagraphFont"/>
    <w:uiPriority w:val="99"/>
    <w:semiHidden/>
    <w:unhideWhenUsed/>
    <w:rsid w:val="00D5018A"/>
    <w:rPr>
      <w:color w:val="954F72" w:themeColor="followedHyperlink"/>
      <w:u w:val="single"/>
    </w:rPr>
  </w:style>
  <w:style w:type="paragraph" w:styleId="NormalWeb">
    <w:name w:val="Normal (Web)"/>
    <w:basedOn w:val="Normal"/>
    <w:uiPriority w:val="99"/>
    <w:unhideWhenUsed/>
    <w:rsid w:val="00725F86"/>
    <w:pPr>
      <w:spacing w:before="100" w:beforeAutospacing="1" w:after="100" w:afterAutospacing="1"/>
    </w:pPr>
    <w:rPr>
      <w:lang w:bidi="ar-SA"/>
    </w:rPr>
  </w:style>
  <w:style w:type="paragraph" w:customStyle="1" w:styleId="answer">
    <w:name w:val="answer"/>
    <w:basedOn w:val="Normal"/>
    <w:link w:val="answerChar"/>
    <w:rsid w:val="005136FD"/>
    <w:pPr>
      <w:suppressAutoHyphens/>
      <w:spacing w:line="480" w:lineRule="auto"/>
      <w:ind w:left="720" w:hanging="720"/>
      <w:jc w:val="both"/>
    </w:pPr>
    <w:rPr>
      <w:snapToGrid w:val="0"/>
      <w:lang w:bidi="ar-SA"/>
    </w:rPr>
  </w:style>
  <w:style w:type="character" w:customStyle="1" w:styleId="answerChar">
    <w:name w:val="answer Char"/>
    <w:link w:val="answer"/>
    <w:rsid w:val="005136FD"/>
    <w:rPr>
      <w:snapToGrid w:val="0"/>
      <w:sz w:val="24"/>
      <w:szCs w:val="24"/>
    </w:rPr>
  </w:style>
  <w:style w:type="paragraph" w:customStyle="1" w:styleId="Body">
    <w:name w:val="Body"/>
    <w:rsid w:val="00B1742D"/>
    <w:pPr>
      <w:pBdr>
        <w:top w:val="nil"/>
        <w:left w:val="nil"/>
        <w:bottom w:val="nil"/>
        <w:right w:val="nil"/>
        <w:between w:val="nil"/>
        <w:bar w:val="nil"/>
      </w:pBdr>
      <w:tabs>
        <w:tab w:val="left" w:pos="720"/>
      </w:tabs>
      <w:ind w:left="720" w:hanging="720"/>
    </w:pPr>
    <w:rPr>
      <w:rFonts w:eastAsia="PMingLiU" w:cs="Arial Unicode MS"/>
      <w:color w:val="000000"/>
      <w:sz w:val="24"/>
      <w:szCs w:val="24"/>
      <w:u w:color="000000"/>
      <w:bdr w:val="nil"/>
      <w:lang w:val="de-DE"/>
      <w14:textOutline w14:w="0">
        <w14:noFill/>
        <w14:prstDash w14:val="solid"/>
        <w14:bevel/>
      </w14:textOutline>
    </w:rPr>
  </w:style>
  <w:style w:type="paragraph" w:customStyle="1" w:styleId="answer2">
    <w:name w:val="answer2"/>
    <w:basedOn w:val="BodyTextIndent2"/>
    <w:rsid w:val="001C26F5"/>
    <w:pPr>
      <w:spacing w:after="0"/>
      <w:ind w:left="720" w:firstLine="720"/>
      <w:jc w:val="both"/>
    </w:pPr>
    <w:rPr>
      <w:snapToGrid w:val="0"/>
      <w:lang w:bidi="ar-SA"/>
    </w:rPr>
  </w:style>
  <w:style w:type="paragraph" w:styleId="BodyTextIndent2">
    <w:name w:val="Body Text Indent 2"/>
    <w:basedOn w:val="Normal"/>
    <w:link w:val="BodyTextIndent2Char"/>
    <w:uiPriority w:val="99"/>
    <w:semiHidden/>
    <w:unhideWhenUsed/>
    <w:rsid w:val="001C26F5"/>
    <w:pPr>
      <w:spacing w:after="120" w:line="480" w:lineRule="auto"/>
      <w:ind w:left="360"/>
    </w:pPr>
  </w:style>
  <w:style w:type="character" w:customStyle="1" w:styleId="BodyTextIndent2Char">
    <w:name w:val="Body Text Indent 2 Char"/>
    <w:basedOn w:val="DefaultParagraphFont"/>
    <w:link w:val="BodyTextIndent2"/>
    <w:uiPriority w:val="99"/>
    <w:semiHidden/>
    <w:rsid w:val="001C26F5"/>
    <w:rPr>
      <w:sz w:val="24"/>
      <w:szCs w:val="24"/>
      <w:lang w:bidi="en-US"/>
    </w:rPr>
  </w:style>
  <w:style w:type="paragraph" w:customStyle="1" w:styleId="1Answer">
    <w:name w:val="1. Answer"/>
    <w:basedOn w:val="Normal"/>
    <w:next w:val="Normal"/>
    <w:link w:val="1AnswerChar"/>
    <w:qFormat/>
    <w:rsid w:val="00E2257E"/>
    <w:pPr>
      <w:tabs>
        <w:tab w:val="left" w:pos="720"/>
      </w:tabs>
      <w:spacing w:after="240" w:line="360" w:lineRule="auto"/>
      <w:ind w:left="720" w:hanging="720"/>
      <w:jc w:val="both"/>
    </w:pPr>
    <w:rPr>
      <w:lang w:bidi="ar-SA"/>
    </w:rPr>
  </w:style>
  <w:style w:type="character" w:customStyle="1" w:styleId="1AnswerChar">
    <w:name w:val="1. Answer Char"/>
    <w:link w:val="1Answer"/>
    <w:rsid w:val="00E2257E"/>
    <w:rPr>
      <w:sz w:val="24"/>
      <w:szCs w:val="24"/>
    </w:rPr>
  </w:style>
  <w:style w:type="paragraph" w:customStyle="1" w:styleId="Answer0">
    <w:name w:val="Answer"/>
    <w:basedOn w:val="List2"/>
    <w:link w:val="AnswerChar0"/>
    <w:qFormat/>
    <w:rsid w:val="00DB0BFB"/>
    <w:pPr>
      <w:pBdr>
        <w:top w:val="nil"/>
        <w:left w:val="nil"/>
        <w:bottom w:val="nil"/>
        <w:right w:val="nil"/>
        <w:between w:val="nil"/>
        <w:bar w:val="nil"/>
      </w:pBdr>
      <w:spacing w:line="480" w:lineRule="auto"/>
    </w:pPr>
    <w:rPr>
      <w:rFonts w:eastAsia="Arial Unicode MS"/>
      <w:bCs/>
      <w:iCs/>
      <w:bdr w:val="nil"/>
      <w:lang w:bidi="ar-SA"/>
    </w:rPr>
  </w:style>
  <w:style w:type="character" w:customStyle="1" w:styleId="AnswerChar0">
    <w:name w:val="Answer Char"/>
    <w:basedOn w:val="DefaultParagraphFont"/>
    <w:link w:val="Answer0"/>
    <w:rsid w:val="00DB0BFB"/>
    <w:rPr>
      <w:rFonts w:eastAsia="Arial Unicode MS"/>
      <w:bCs/>
      <w:iCs/>
      <w:sz w:val="24"/>
      <w:szCs w:val="24"/>
      <w:bdr w:val="nil"/>
    </w:rPr>
  </w:style>
  <w:style w:type="character" w:customStyle="1" w:styleId="xcontentpasted0">
    <w:name w:val="x_contentpasted0"/>
    <w:basedOn w:val="DefaultParagraphFont"/>
    <w:rsid w:val="00DB0BFB"/>
  </w:style>
  <w:style w:type="paragraph" w:styleId="List2">
    <w:name w:val="List 2"/>
    <w:basedOn w:val="Normal"/>
    <w:uiPriority w:val="99"/>
    <w:semiHidden/>
    <w:unhideWhenUsed/>
    <w:rsid w:val="00DB0BFB"/>
    <w:pPr>
      <w:ind w:left="720" w:hanging="360"/>
      <w:contextualSpacing/>
    </w:pPr>
  </w:style>
  <w:style w:type="character" w:customStyle="1" w:styleId="sssh">
    <w:name w:val="ss_sh"/>
    <w:basedOn w:val="DefaultParagraphFont"/>
    <w:rsid w:val="009F1B0B"/>
  </w:style>
  <w:style w:type="character" w:customStyle="1" w:styleId="apple-converted-space">
    <w:name w:val="apple-converted-space"/>
    <w:basedOn w:val="DefaultParagraphFont"/>
    <w:rsid w:val="009F1B0B"/>
  </w:style>
  <w:style w:type="character" w:customStyle="1" w:styleId="ssit">
    <w:name w:val="ss_it"/>
    <w:basedOn w:val="DefaultParagraphFont"/>
    <w:rsid w:val="00C72C88"/>
  </w:style>
  <w:style w:type="paragraph" w:styleId="TOC5">
    <w:name w:val="toc 5"/>
    <w:basedOn w:val="Normal"/>
    <w:next w:val="Normal"/>
    <w:autoRedefine/>
    <w:uiPriority w:val="39"/>
    <w:unhideWhenUsed/>
    <w:rsid w:val="0002714B"/>
    <w:pPr>
      <w:tabs>
        <w:tab w:val="decimal" w:leader="dot" w:pos="9360"/>
      </w:tabs>
      <w:spacing w:after="240"/>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oter" Target="footer4.xml" /><Relationship Id="rId19" Type="http://schemas.openxmlformats.org/officeDocument/2006/relationships/hyperlink" Target="https://plus.lexis.com/document/documentlink/?pdmfid=1530671&amp;crid=9f4b31cd-89cb-4751-a5ec-9b188d56dfc1&amp;pddocfullpath=%2Fshared%2Fdocument%2Fcases%2Furn%3AcontentItem%3A3RRS-PP40-0054-C1C9-00000-00&amp;pdcontentcomponentid=9249&amp;pdproductcontenttypeid=urn%3Apct%3A30&amp;pdiskwicview=false&amp;pdpinpoint=&amp;ecomp=2gntk" TargetMode="External" /><Relationship Id="rId2" Type="http://schemas.openxmlformats.org/officeDocument/2006/relationships/settings" Target="settings.xml" /><Relationship Id="rId20" Type="http://schemas.openxmlformats.org/officeDocument/2006/relationships/hyperlink" Target="mailto:thomas.lindgren@ohioago.gov" TargetMode="External" /><Relationship Id="rId21" Type="http://schemas.openxmlformats.org/officeDocument/2006/relationships/hyperlink" Target="mailto:robert.eubanks@ohioago.gov" TargetMode="External" /><Relationship Id="rId22" Type="http://schemas.openxmlformats.org/officeDocument/2006/relationships/hyperlink" Target="mailto:Janet.Gregory@OhioAGO.gov" TargetMode="External" /><Relationship Id="rId23" Type="http://schemas.openxmlformats.org/officeDocument/2006/relationships/hyperlink" Target="mailto:mkurtz@BKLlawfirm.com" TargetMode="External" /><Relationship Id="rId24" Type="http://schemas.openxmlformats.org/officeDocument/2006/relationships/hyperlink" Target="mailto:kboehm@BKLlawfirm.com" TargetMode="External" /><Relationship Id="rId25" Type="http://schemas.openxmlformats.org/officeDocument/2006/relationships/hyperlink" Target="mailto:jkylercohn@BKLlawfirm.com" TargetMode="External" /><Relationship Id="rId26" Type="http://schemas.openxmlformats.org/officeDocument/2006/relationships/hyperlink" Target="mailto:Nicholas.Walstra@puco.ohio.gov" TargetMode="External" /><Relationship Id="rId27" Type="http://schemas.openxmlformats.org/officeDocument/2006/relationships/hyperlink" Target="mailto:Matthew.sandor@puco.ohio.gov" TargetMode="External" /><Relationship Id="rId28" Type="http://schemas.openxmlformats.org/officeDocument/2006/relationships/hyperlink" Target="mailto:Rocco.dascenzo@duke-energy.com" TargetMode="External" /><Relationship Id="rId29" Type="http://schemas.openxmlformats.org/officeDocument/2006/relationships/hyperlink" Target="mailto:Jeanne.kingery@duke-energy.com" TargetMode="External" /><Relationship Id="rId3" Type="http://schemas.openxmlformats.org/officeDocument/2006/relationships/webSettings" Target="webSettings.xml" /><Relationship Id="rId30" Type="http://schemas.openxmlformats.org/officeDocument/2006/relationships/hyperlink" Target="mailto:Larisa.vaysman@duke-energy.com" TargetMode="External" /><Relationship Id="rId31" Type="http://schemas.openxmlformats.org/officeDocument/2006/relationships/hyperlink" Target="mailto:Elyse.akhbari@duke-energy.com" TargetMode="External" /><Relationship Id="rId32" Type="http://schemas.openxmlformats.org/officeDocument/2006/relationships/hyperlink" Target="mailto:Ebrama@taftlaw.com" TargetMode="External" /><Relationship Id="rId33" Type="http://schemas.openxmlformats.org/officeDocument/2006/relationships/hyperlink" Target="mailto:michael.nugent@igs.com" TargetMode="External" /><Relationship Id="rId34" Type="http://schemas.openxmlformats.org/officeDocument/2006/relationships/hyperlink" Target="mailto:evan.betterton@igs.com" TargetMode="External" /><Relationship Id="rId35" Type="http://schemas.openxmlformats.org/officeDocument/2006/relationships/hyperlink" Target="mailto:Stacie.cathcart@igs.com" TargetMode="External" /><Relationship Id="rId36" Type="http://schemas.openxmlformats.org/officeDocument/2006/relationships/hyperlink" Target="mailto:mjsettineri@vorys.com" TargetMode="External" /><Relationship Id="rId37" Type="http://schemas.openxmlformats.org/officeDocument/2006/relationships/hyperlink" Target="mailto:glpetrucci@vorys.com" TargetMode="External" /><Relationship Id="rId38" Type="http://schemas.openxmlformats.org/officeDocument/2006/relationships/hyperlink" Target="mailto:cpirik@dickinsonwright.com" TargetMode="External" /><Relationship Id="rId39" Type="http://schemas.openxmlformats.org/officeDocument/2006/relationships/hyperlink" Target="mailto:todonnell@dickinsonwright.com" TargetMode="External" /><Relationship Id="rId4" Type="http://schemas.openxmlformats.org/officeDocument/2006/relationships/fontTable" Target="fontTable.xml" /><Relationship Id="rId40" Type="http://schemas.openxmlformats.org/officeDocument/2006/relationships/hyperlink" Target="mailto:mmcdonnell@dickinsonwright.com" TargetMode="Externa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keith.layton@occ.ohio.gov" TargetMode="External" /><Relationship Id="rId8" Type="http://schemas.openxmlformats.org/officeDocument/2006/relationships/hyperlink" Target="mailto:connor.semple@occ.ohi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1011-7065-4BB5-AD35-592BDD3B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11500</Words>
  <Characters>65550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2023-06-16T20:59:57Z</dcterms:created>
  <dcterms:modified xsi:type="dcterms:W3CDTF">2023-06-16T20:59:57Z</dcterms:modified>
</cp:coreProperties>
</file>