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E55A74" w:rsidRPr="003D0923" w:rsidP="00E55A74" w14:paraId="2BAB001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 w:val="24"/>
        </w:rPr>
      </w:pPr>
      <w:bookmarkStart w:id="0" w:name="_GoBack"/>
      <w:bookmarkEnd w:id="0"/>
      <w:r>
        <w:rPr>
          <w:rFonts w:eastAsia="Courier New" w:cs="Courier New"/>
          <w:b/>
          <w:bCs/>
          <w:sz w:val="24"/>
        </w:rPr>
        <w:t>B</w:t>
      </w:r>
      <w:r w:rsidRPr="003D0923">
        <w:rPr>
          <w:rFonts w:eastAsia="Courier New" w:cs="Courier New"/>
          <w:b/>
          <w:bCs/>
          <w:sz w:val="24"/>
        </w:rPr>
        <w:t>EFORE</w:t>
      </w:r>
    </w:p>
    <w:p w:rsidR="00E55A74" w:rsidP="00E55A74" w14:paraId="5A2F99E5"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 w:val="24"/>
        </w:rPr>
      </w:pPr>
      <w:r w:rsidRPr="003D0923">
        <w:rPr>
          <w:rFonts w:eastAsia="Courier New" w:cs="Courier New"/>
          <w:b/>
          <w:bCs/>
          <w:sz w:val="24"/>
        </w:rPr>
        <w:t>THE PUBLIC UTILITIES COMMISSION OF OHIO</w:t>
      </w:r>
    </w:p>
    <w:p w:rsidR="00CF216A" w:rsidP="00E55A74" w14:paraId="6F2FC5B9"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 w:val="24"/>
        </w:rPr>
      </w:pPr>
    </w:p>
    <w:tbl>
      <w:tblPr>
        <w:tblW w:w="9092" w:type="dxa"/>
        <w:tblLook w:val="01E0"/>
      </w:tblPr>
      <w:tblGrid>
        <w:gridCol w:w="4332"/>
        <w:gridCol w:w="360"/>
        <w:gridCol w:w="4400"/>
      </w:tblGrid>
      <w:tr w14:paraId="22CCBDEE" w14:textId="77777777" w:rsidTr="00CD200D">
        <w:tblPrEx>
          <w:tblW w:w="9092" w:type="dxa"/>
          <w:tblLook w:val="01E0"/>
        </w:tblPrEx>
        <w:trPr>
          <w:trHeight w:val="807"/>
        </w:trPr>
        <w:tc>
          <w:tcPr>
            <w:tcW w:w="4332" w:type="dxa"/>
            <w:shd w:val="clear" w:color="auto" w:fill="auto"/>
          </w:tcPr>
          <w:p w:rsidR="00CF216A" w:rsidRPr="00BA2EFC" w:rsidP="00BA2EFC" w14:paraId="0DF7AB00" w14:textId="64D0D238">
            <w:pPr>
              <w:pStyle w:val="InsideAddress"/>
              <w:rPr>
                <w:rFonts w:ascii="Times New Roman" w:eastAsia="Times New Roman" w:hAnsi="Times New Roman"/>
                <w:szCs w:val="24"/>
              </w:rPr>
            </w:pPr>
            <w:r w:rsidRPr="0077703E">
              <w:rPr>
                <w:rFonts w:ascii="Times New Roman" w:eastAsia="Times New Roman" w:hAnsi="Times New Roman"/>
                <w:szCs w:val="24"/>
              </w:rPr>
              <w:t>In the Matter of the Application of Duke Energy Ohio, Inc. for Tariff Approval Regarding Customer Energy Usage Data.</w:t>
            </w:r>
          </w:p>
        </w:tc>
        <w:tc>
          <w:tcPr>
            <w:tcW w:w="360" w:type="dxa"/>
            <w:shd w:val="clear" w:color="auto" w:fill="auto"/>
          </w:tcPr>
          <w:p w:rsidR="00CF216A" w:rsidRPr="0077703E" w:rsidP="00CD200D" w14:paraId="7167CAE8" w14:textId="77777777">
            <w:pPr>
              <w:pStyle w:val="HTMLPreformatted"/>
              <w:rPr>
                <w:rFonts w:ascii="Times New Roman" w:hAnsi="Times New Roman" w:cs="Times New Roman"/>
                <w:sz w:val="24"/>
                <w:szCs w:val="24"/>
              </w:rPr>
            </w:pPr>
            <w:r w:rsidRPr="0077703E">
              <w:rPr>
                <w:rFonts w:ascii="Times New Roman" w:hAnsi="Times New Roman" w:cs="Times New Roman"/>
                <w:sz w:val="24"/>
                <w:szCs w:val="24"/>
              </w:rPr>
              <w:t>)</w:t>
            </w:r>
          </w:p>
          <w:p w:rsidR="00CF216A" w:rsidRPr="0077703E" w:rsidP="00CD200D" w14:paraId="35E0110E" w14:textId="77777777">
            <w:pPr>
              <w:pStyle w:val="HTMLPreformatted"/>
              <w:rPr>
                <w:rFonts w:ascii="Times New Roman" w:hAnsi="Times New Roman" w:cs="Times New Roman"/>
                <w:sz w:val="24"/>
                <w:szCs w:val="24"/>
              </w:rPr>
            </w:pPr>
            <w:r w:rsidRPr="0077703E">
              <w:rPr>
                <w:rFonts w:ascii="Times New Roman" w:hAnsi="Times New Roman" w:cs="Times New Roman"/>
                <w:sz w:val="24"/>
                <w:szCs w:val="24"/>
              </w:rPr>
              <w:t>)</w:t>
            </w:r>
          </w:p>
          <w:p w:rsidR="00CF216A" w:rsidRPr="0077703E" w:rsidP="00CD200D" w14:paraId="0F18E361" w14:textId="3A1D94EC">
            <w:pPr>
              <w:pStyle w:val="HTMLPreformatted"/>
              <w:rPr>
                <w:rFonts w:ascii="Times New Roman" w:hAnsi="Times New Roman" w:cs="Times New Roman"/>
                <w:sz w:val="24"/>
                <w:szCs w:val="24"/>
              </w:rPr>
            </w:pPr>
            <w:r w:rsidRPr="0077703E">
              <w:rPr>
                <w:rFonts w:ascii="Times New Roman" w:hAnsi="Times New Roman" w:cs="Times New Roman"/>
                <w:sz w:val="24"/>
                <w:szCs w:val="24"/>
              </w:rPr>
              <w:t>)</w:t>
            </w:r>
          </w:p>
        </w:tc>
        <w:tc>
          <w:tcPr>
            <w:tcW w:w="4400" w:type="dxa"/>
            <w:shd w:val="clear" w:color="auto" w:fill="auto"/>
          </w:tcPr>
          <w:p w:rsidR="00CF216A" w:rsidRPr="0077703E" w:rsidP="00CD200D" w14:paraId="48D7ABEC" w14:textId="77777777">
            <w:pPr>
              <w:pStyle w:val="HTMLPreformatted"/>
              <w:rPr>
                <w:rFonts w:ascii="Times New Roman" w:hAnsi="Times New Roman" w:cs="Times New Roman"/>
                <w:sz w:val="24"/>
                <w:szCs w:val="24"/>
              </w:rPr>
            </w:pPr>
          </w:p>
          <w:p w:rsidR="00CF216A" w:rsidRPr="0077703E" w:rsidP="00CD200D" w14:paraId="14EB529B" w14:textId="77777777">
            <w:pPr>
              <w:pStyle w:val="HTMLPreformatted"/>
              <w:rPr>
                <w:rFonts w:ascii="Times New Roman" w:hAnsi="Times New Roman" w:cs="Times New Roman"/>
                <w:sz w:val="24"/>
                <w:szCs w:val="24"/>
              </w:rPr>
            </w:pPr>
            <w:r w:rsidRPr="0077703E">
              <w:rPr>
                <w:rFonts w:ascii="Times New Roman" w:hAnsi="Times New Roman" w:cs="Times New Roman"/>
                <w:sz w:val="24"/>
                <w:szCs w:val="24"/>
              </w:rPr>
              <w:t xml:space="preserve">Case No. 14-2209-EL-ATA </w:t>
            </w:r>
          </w:p>
        </w:tc>
      </w:tr>
    </w:tbl>
    <w:p w:rsidR="00E55A74" w:rsidRPr="00E35B5D" w:rsidP="00E55A74" w14:paraId="239F2117" w14:textId="77777777">
      <w:pPr>
        <w:autoSpaceDE w:val="0"/>
        <w:autoSpaceDN w:val="0"/>
        <w:adjustRightInd w:val="0"/>
        <w:rPr>
          <w:sz w:val="24"/>
          <w:szCs w:val="24"/>
        </w:rPr>
      </w:pPr>
      <w:r w:rsidRPr="00E35B5D">
        <w:rPr>
          <w:sz w:val="24"/>
          <w:szCs w:val="24"/>
        </w:rPr>
        <w:t>______________________________________________________________________</w:t>
      </w:r>
    </w:p>
    <w:p w:rsidR="00E55A74" w:rsidRPr="00E35B5D" w:rsidP="00E55A74" w14:paraId="2AC529BA" w14:textId="77777777">
      <w:pPr>
        <w:autoSpaceDE w:val="0"/>
        <w:autoSpaceDN w:val="0"/>
        <w:adjustRightInd w:val="0"/>
        <w:rPr>
          <w:sz w:val="24"/>
          <w:szCs w:val="24"/>
        </w:rPr>
      </w:pPr>
    </w:p>
    <w:p w:rsidR="00E55A74" w:rsidRPr="00E35B5D" w:rsidP="00E55A74" w14:paraId="1039246B" w14:textId="2E33C24E">
      <w:pPr>
        <w:autoSpaceDE w:val="0"/>
        <w:autoSpaceDN w:val="0"/>
        <w:adjustRightInd w:val="0"/>
        <w:jc w:val="center"/>
        <w:rPr>
          <w:b/>
          <w:sz w:val="24"/>
          <w:szCs w:val="24"/>
        </w:rPr>
      </w:pPr>
      <w:r>
        <w:rPr>
          <w:b/>
          <w:sz w:val="24"/>
          <w:szCs w:val="24"/>
        </w:rPr>
        <w:t>COMMENTS</w:t>
      </w:r>
    </w:p>
    <w:p w:rsidR="00E55A74" w:rsidRPr="00E35B5D" w:rsidP="00E55A74" w14:paraId="7B36D789" w14:textId="77777777">
      <w:pPr>
        <w:autoSpaceDE w:val="0"/>
        <w:autoSpaceDN w:val="0"/>
        <w:adjustRightInd w:val="0"/>
        <w:jc w:val="center"/>
        <w:rPr>
          <w:b/>
          <w:sz w:val="24"/>
          <w:szCs w:val="24"/>
        </w:rPr>
      </w:pPr>
      <w:r w:rsidRPr="00E35B5D">
        <w:rPr>
          <w:b/>
          <w:sz w:val="24"/>
          <w:szCs w:val="24"/>
        </w:rPr>
        <w:t xml:space="preserve">BY </w:t>
      </w:r>
    </w:p>
    <w:p w:rsidR="00E55A74" w:rsidRPr="00E35B5D" w:rsidP="00E55A74" w14:paraId="01F7AB98" w14:textId="77777777">
      <w:pPr>
        <w:autoSpaceDE w:val="0"/>
        <w:autoSpaceDN w:val="0"/>
        <w:adjustRightInd w:val="0"/>
        <w:jc w:val="center"/>
        <w:rPr>
          <w:b/>
          <w:sz w:val="24"/>
          <w:szCs w:val="24"/>
        </w:rPr>
      </w:pPr>
      <w:r w:rsidRPr="00E35B5D">
        <w:rPr>
          <w:b/>
          <w:sz w:val="24"/>
          <w:szCs w:val="24"/>
        </w:rPr>
        <w:t xml:space="preserve">THE </w:t>
      </w:r>
      <w:r>
        <w:rPr>
          <w:b/>
          <w:sz w:val="24"/>
          <w:szCs w:val="24"/>
        </w:rPr>
        <w:t xml:space="preserve">OFFICE OF THE </w:t>
      </w:r>
      <w:r w:rsidRPr="00E35B5D">
        <w:rPr>
          <w:b/>
          <w:sz w:val="24"/>
          <w:szCs w:val="24"/>
        </w:rPr>
        <w:t>OHIO CONSUMERS’ COUNSEL</w:t>
      </w:r>
    </w:p>
    <w:p w:rsidR="00E55A74" w:rsidRPr="00E35B5D" w:rsidP="00E55A74" w14:paraId="157E8D69" w14:textId="77777777">
      <w:pPr>
        <w:autoSpaceDE w:val="0"/>
        <w:autoSpaceDN w:val="0"/>
        <w:adjustRightInd w:val="0"/>
        <w:rPr>
          <w:sz w:val="24"/>
          <w:szCs w:val="24"/>
        </w:rPr>
      </w:pPr>
      <w:r w:rsidRPr="00E35B5D">
        <w:rPr>
          <w:sz w:val="24"/>
          <w:szCs w:val="24"/>
        </w:rPr>
        <w:t>_______________________________________________________________________</w:t>
      </w:r>
    </w:p>
    <w:p w:rsidR="00E55A74" w:rsidRPr="00E35B5D" w:rsidP="00E55A74" w14:paraId="3303A88C" w14:textId="77777777">
      <w:pPr>
        <w:widowControl w:val="0"/>
        <w:rPr>
          <w:sz w:val="24"/>
          <w:szCs w:val="24"/>
        </w:rPr>
      </w:pPr>
    </w:p>
    <w:p w:rsidR="009D74E8" w:rsidP="00E55A74" w14:paraId="35394CE2" w14:textId="4F1FFA25">
      <w:pPr>
        <w:autoSpaceDE w:val="0"/>
        <w:autoSpaceDN w:val="0"/>
        <w:adjustRightInd w:val="0"/>
        <w:spacing w:line="480" w:lineRule="auto"/>
        <w:ind w:firstLine="720"/>
        <w:rPr>
          <w:sz w:val="24"/>
          <w:szCs w:val="24"/>
        </w:rPr>
      </w:pPr>
      <w:r>
        <w:rPr>
          <w:sz w:val="24"/>
          <w:szCs w:val="24"/>
        </w:rPr>
        <w:t xml:space="preserve">The Public Utilities Commission of Ohio (“PUCO”) held this case in abeyance because the issue raised in this case (sharing customer energy usage data with </w:t>
      </w:r>
      <w:r w:rsidR="001A0359">
        <w:rPr>
          <w:sz w:val="24"/>
          <w:szCs w:val="24"/>
        </w:rPr>
        <w:t>marketers)</w:t>
      </w:r>
      <w:r>
        <w:rPr>
          <w:sz w:val="24"/>
          <w:szCs w:val="24"/>
        </w:rPr>
        <w:t xml:space="preserve"> </w:t>
      </w:r>
      <w:r>
        <w:rPr>
          <w:sz w:val="24"/>
          <w:szCs w:val="24"/>
        </w:rPr>
        <w:t>was</w:t>
      </w:r>
      <w:r>
        <w:rPr>
          <w:sz w:val="24"/>
          <w:szCs w:val="24"/>
        </w:rPr>
        <w:t xml:space="preserve"> also being addressed in Duke’s </w:t>
      </w:r>
      <w:r w:rsidR="001A0359">
        <w:rPr>
          <w:sz w:val="24"/>
          <w:szCs w:val="24"/>
        </w:rPr>
        <w:t xml:space="preserve">distribution </w:t>
      </w:r>
      <w:r>
        <w:rPr>
          <w:sz w:val="24"/>
          <w:szCs w:val="24"/>
        </w:rPr>
        <w:t>rate case, Case No. 17-32-EL-AIR.</w:t>
      </w:r>
      <w:r>
        <w:rPr>
          <w:rStyle w:val="FootnoteReference"/>
          <w:sz w:val="24"/>
          <w:szCs w:val="24"/>
        </w:rPr>
        <w:footnoteReference w:id="2"/>
      </w:r>
      <w:r>
        <w:rPr>
          <w:sz w:val="24"/>
          <w:szCs w:val="24"/>
        </w:rPr>
        <w:t xml:space="preserve"> </w:t>
      </w:r>
      <w:r w:rsidRPr="009D74E8">
        <w:rPr>
          <w:sz w:val="24"/>
          <w:szCs w:val="24"/>
        </w:rPr>
        <w:t>That rate case was ultimately combined with several other cases, including Duke’s electric security plan case and its Ohio Valley Electric Corporation subsidy case (collectively, the “Combined Cases”). The current case (Case No. 14-2209-EL-ATA) was not part of that consolidation.</w:t>
      </w:r>
    </w:p>
    <w:p w:rsidR="00D72533" w:rsidP="00E55A74" w14:paraId="69CCF5FD" w14:textId="69CB3EE8">
      <w:pPr>
        <w:autoSpaceDE w:val="0"/>
        <w:autoSpaceDN w:val="0"/>
        <w:adjustRightInd w:val="0"/>
        <w:spacing w:line="480" w:lineRule="auto"/>
        <w:ind w:firstLine="720"/>
        <w:rPr>
          <w:sz w:val="24"/>
          <w:szCs w:val="24"/>
        </w:rPr>
      </w:pPr>
      <w:r>
        <w:rPr>
          <w:sz w:val="24"/>
          <w:szCs w:val="24"/>
        </w:rPr>
        <w:t xml:space="preserve">The PUCO has now asked parties to provide comments on whether the </w:t>
      </w:r>
      <w:r w:rsidR="009D74E8">
        <w:rPr>
          <w:sz w:val="24"/>
          <w:szCs w:val="24"/>
        </w:rPr>
        <w:t>above-captioned</w:t>
      </w:r>
      <w:r>
        <w:rPr>
          <w:sz w:val="24"/>
          <w:szCs w:val="24"/>
        </w:rPr>
        <w:t xml:space="preserve"> case is moot.</w:t>
      </w:r>
      <w:r>
        <w:rPr>
          <w:rStyle w:val="FootnoteReference"/>
          <w:sz w:val="24"/>
          <w:szCs w:val="24"/>
        </w:rPr>
        <w:footnoteReference w:id="3"/>
      </w:r>
      <w:r>
        <w:rPr>
          <w:sz w:val="24"/>
          <w:szCs w:val="24"/>
        </w:rPr>
        <w:t xml:space="preserve"> The Office of the Ohio Consumers’ Counsel (“OCC”) respectfully submits that this case is moot in light of the resolution of the Combined Cases and Duke’s recently-filed grid modernization case.</w:t>
      </w:r>
    </w:p>
    <w:p w:rsidR="00D72533" w:rsidP="00E55A74" w14:paraId="0088CCEB" w14:textId="6C7D41D2">
      <w:pPr>
        <w:autoSpaceDE w:val="0"/>
        <w:autoSpaceDN w:val="0"/>
        <w:adjustRightInd w:val="0"/>
        <w:spacing w:line="480" w:lineRule="auto"/>
        <w:ind w:firstLine="720"/>
        <w:rPr>
          <w:sz w:val="24"/>
          <w:szCs w:val="24"/>
        </w:rPr>
      </w:pPr>
      <w:r>
        <w:rPr>
          <w:sz w:val="24"/>
          <w:szCs w:val="24"/>
        </w:rPr>
        <w:t>First, the approved settlement in the Combined Cases provides for the creation of a PowerForward rider (“Rider PF”). One part of Rider P</w:t>
      </w:r>
      <w:r w:rsidR="003351CB">
        <w:rPr>
          <w:sz w:val="24"/>
          <w:szCs w:val="24"/>
        </w:rPr>
        <w:t>F</w:t>
      </w:r>
      <w:r>
        <w:rPr>
          <w:sz w:val="24"/>
          <w:szCs w:val="24"/>
        </w:rPr>
        <w:t xml:space="preserve"> is </w:t>
      </w:r>
      <w:r w:rsidR="003351CB">
        <w:rPr>
          <w:sz w:val="24"/>
          <w:szCs w:val="24"/>
        </w:rPr>
        <w:t xml:space="preserve">for “the recovery of costs associated with advanced metering infrastructure (AMI) and data access, including the provision of internal customer energy usage data (CEUD) to customers, </w:t>
      </w:r>
      <w:r w:rsidR="00545C23">
        <w:rPr>
          <w:sz w:val="24"/>
          <w:szCs w:val="24"/>
        </w:rPr>
        <w:t xml:space="preserve">[electric </w:t>
      </w:r>
      <w:r w:rsidR="00545C23">
        <w:rPr>
          <w:sz w:val="24"/>
          <w:szCs w:val="24"/>
        </w:rPr>
        <w:t>Marketers]</w:t>
      </w:r>
      <w:r w:rsidR="003351CB">
        <w:rPr>
          <w:sz w:val="24"/>
          <w:szCs w:val="24"/>
        </w:rPr>
        <w:t>, and third parties; [and] the enablement of PJM settlement data transfer enhancements.”</w:t>
      </w:r>
      <w:r>
        <w:rPr>
          <w:rStyle w:val="FootnoteReference"/>
          <w:sz w:val="24"/>
          <w:szCs w:val="24"/>
        </w:rPr>
        <w:footnoteReference w:id="4"/>
      </w:r>
      <w:r w:rsidR="003351CB">
        <w:rPr>
          <w:sz w:val="24"/>
          <w:szCs w:val="24"/>
        </w:rPr>
        <w:t xml:space="preserve"> This is the same issue that would otherwise have been addressed in the above-captioned case.</w:t>
      </w:r>
    </w:p>
    <w:p w:rsidR="003351CB" w:rsidP="00E55A74" w14:paraId="1569F9DC" w14:textId="278B83DA">
      <w:pPr>
        <w:autoSpaceDE w:val="0"/>
        <w:autoSpaceDN w:val="0"/>
        <w:adjustRightInd w:val="0"/>
        <w:spacing w:line="480" w:lineRule="auto"/>
        <w:ind w:firstLine="720"/>
        <w:rPr>
          <w:sz w:val="24"/>
          <w:szCs w:val="24"/>
        </w:rPr>
      </w:pPr>
      <w:r>
        <w:rPr>
          <w:sz w:val="24"/>
          <w:szCs w:val="24"/>
        </w:rPr>
        <w:t>Second, Duke recently filed an application for a new “infrastructure modernization plan.”</w:t>
      </w:r>
      <w:r>
        <w:rPr>
          <w:rStyle w:val="FootnoteReference"/>
          <w:sz w:val="24"/>
          <w:szCs w:val="24"/>
        </w:rPr>
        <w:footnoteReference w:id="5"/>
      </w:r>
      <w:r>
        <w:rPr>
          <w:sz w:val="24"/>
          <w:szCs w:val="24"/>
        </w:rPr>
        <w:t xml:space="preserve"> Under this plan, Duke states that it will “provide the platform for the Company to better engage with its customers and enable customers and </w:t>
      </w:r>
      <w:r w:rsidR="00545C23">
        <w:rPr>
          <w:sz w:val="24"/>
          <w:szCs w:val="24"/>
        </w:rPr>
        <w:t>[electric</w:t>
      </w:r>
      <w:r>
        <w:rPr>
          <w:sz w:val="24"/>
          <w:szCs w:val="24"/>
        </w:rPr>
        <w:t xml:space="preserve"> </w:t>
      </w:r>
      <w:r w:rsidR="00545C23">
        <w:rPr>
          <w:sz w:val="24"/>
          <w:szCs w:val="24"/>
        </w:rPr>
        <w:t>Marketers]</w:t>
      </w:r>
      <w:r>
        <w:rPr>
          <w:sz w:val="24"/>
          <w:szCs w:val="24"/>
        </w:rPr>
        <w:t xml:space="preserve"> to receive and use the granular data that is capable of collection through advanced metering infrastructure.”</w:t>
      </w:r>
      <w:r>
        <w:rPr>
          <w:rStyle w:val="FootnoteReference"/>
          <w:sz w:val="24"/>
          <w:szCs w:val="24"/>
        </w:rPr>
        <w:footnoteReference w:id="6"/>
      </w:r>
      <w:r>
        <w:rPr>
          <w:sz w:val="24"/>
          <w:szCs w:val="24"/>
        </w:rPr>
        <w:t xml:space="preserve"> Again, these are the same issues that would otherwise have been addressed in the above-captioned case.</w:t>
      </w:r>
    </w:p>
    <w:p w:rsidR="003351CB" w:rsidP="00E55A74" w14:paraId="1A28FFE5" w14:textId="1F312844">
      <w:pPr>
        <w:autoSpaceDE w:val="0"/>
        <w:autoSpaceDN w:val="0"/>
        <w:adjustRightInd w:val="0"/>
        <w:spacing w:line="480" w:lineRule="auto"/>
        <w:ind w:firstLine="720"/>
        <w:rPr>
          <w:sz w:val="24"/>
          <w:szCs w:val="24"/>
        </w:rPr>
      </w:pPr>
      <w:r>
        <w:rPr>
          <w:sz w:val="24"/>
          <w:szCs w:val="24"/>
        </w:rPr>
        <w:t xml:space="preserve">Any and all issues that might be addressed in the above-captioned case have either (i) already been </w:t>
      </w:r>
      <w:r w:rsidR="009D74E8">
        <w:rPr>
          <w:sz w:val="24"/>
          <w:szCs w:val="24"/>
        </w:rPr>
        <w:t>addressed</w:t>
      </w:r>
      <w:r>
        <w:rPr>
          <w:sz w:val="24"/>
          <w:szCs w:val="24"/>
        </w:rPr>
        <w:t xml:space="preserve"> in the Combined Cases or (ii) can be </w:t>
      </w:r>
      <w:r w:rsidR="009D74E8">
        <w:rPr>
          <w:sz w:val="24"/>
          <w:szCs w:val="24"/>
        </w:rPr>
        <w:t>addressed</w:t>
      </w:r>
      <w:r>
        <w:rPr>
          <w:sz w:val="24"/>
          <w:szCs w:val="24"/>
        </w:rPr>
        <w:t xml:space="preserve"> in Duke’s pending infrastructure modernization case</w:t>
      </w:r>
      <w:r w:rsidR="009D74E8">
        <w:rPr>
          <w:sz w:val="24"/>
          <w:szCs w:val="24"/>
        </w:rPr>
        <w:t>, where the costs and benefits of Duke’s proposed Customer Information System and other smart grid investments will be fully explored</w:t>
      </w:r>
      <w:r>
        <w:rPr>
          <w:sz w:val="24"/>
          <w:szCs w:val="24"/>
        </w:rPr>
        <w:t>. Thus, the above-captioned case is moot and should be closed.</w:t>
      </w:r>
    </w:p>
    <w:p w:rsidR="00BA2EFC" w14:paraId="2D528FCC" w14:textId="77777777">
      <w:pPr>
        <w:rPr>
          <w:sz w:val="24"/>
          <w:szCs w:val="24"/>
        </w:rPr>
      </w:pPr>
      <w:r>
        <w:rPr>
          <w:sz w:val="24"/>
          <w:szCs w:val="24"/>
        </w:rPr>
        <w:br w:type="page"/>
      </w:r>
    </w:p>
    <w:p w:rsidR="00E55A74" w:rsidRPr="0010475C" w:rsidP="00E55A74" w14:paraId="15FE631F" w14:textId="26949631">
      <w:pPr>
        <w:widowControl w:val="0"/>
        <w:ind w:left="3600" w:right="-672" w:firstLine="720"/>
        <w:rPr>
          <w:sz w:val="24"/>
          <w:szCs w:val="24"/>
        </w:rPr>
      </w:pPr>
      <w:r w:rsidRPr="0010475C">
        <w:rPr>
          <w:sz w:val="24"/>
          <w:szCs w:val="24"/>
        </w:rPr>
        <w:t>Respectfully submitted,</w:t>
      </w:r>
    </w:p>
    <w:p w:rsidR="00E55A74" w:rsidRPr="0010475C" w:rsidP="00E55A74" w14:paraId="5B2D6AEF" w14:textId="77777777">
      <w:pPr>
        <w:widowControl w:val="0"/>
        <w:ind w:left="3600" w:right="-672" w:firstLine="720"/>
        <w:rPr>
          <w:sz w:val="24"/>
          <w:szCs w:val="24"/>
        </w:rPr>
      </w:pPr>
    </w:p>
    <w:p w:rsidR="00E55A74" w:rsidRPr="0010475C" w:rsidP="00E55A74" w14:paraId="786C4862" w14:textId="26C0CD28">
      <w:pPr>
        <w:ind w:left="3600" w:firstLine="720"/>
        <w:rPr>
          <w:sz w:val="24"/>
          <w:szCs w:val="24"/>
        </w:rPr>
      </w:pPr>
      <w:r w:rsidRPr="0010475C">
        <w:rPr>
          <w:sz w:val="24"/>
          <w:szCs w:val="24"/>
        </w:rPr>
        <w:t>Bruce Weston (0016973)</w:t>
      </w:r>
    </w:p>
    <w:p w:rsidR="00E55A74" w:rsidRPr="0010475C" w:rsidP="00E55A74" w14:paraId="6D21D794" w14:textId="700ED11C">
      <w:pPr>
        <w:ind w:firstLine="4320"/>
        <w:rPr>
          <w:sz w:val="24"/>
          <w:szCs w:val="24"/>
        </w:rPr>
      </w:pPr>
      <w:r w:rsidRPr="0010475C">
        <w:rPr>
          <w:sz w:val="24"/>
          <w:szCs w:val="24"/>
        </w:rPr>
        <w:t>Ohio Consumers’ Counsel</w:t>
      </w:r>
    </w:p>
    <w:p w:rsidR="00E55A74" w:rsidRPr="0010475C" w:rsidP="00E55A74" w14:paraId="46582BE5" w14:textId="77777777">
      <w:pPr>
        <w:ind w:firstLine="4320"/>
        <w:rPr>
          <w:sz w:val="24"/>
          <w:szCs w:val="24"/>
        </w:rPr>
      </w:pPr>
    </w:p>
    <w:p w:rsidR="00E55A74" w:rsidRPr="0010475C" w:rsidP="00E55A74" w14:paraId="3F98D605" w14:textId="1A048409">
      <w:pPr>
        <w:ind w:firstLine="4320"/>
        <w:rPr>
          <w:i/>
          <w:sz w:val="24"/>
          <w:szCs w:val="24"/>
          <w:u w:val="single"/>
        </w:rPr>
      </w:pPr>
      <w:r w:rsidRPr="0010475C">
        <w:rPr>
          <w:i/>
          <w:sz w:val="24"/>
          <w:szCs w:val="24"/>
          <w:u w:val="single"/>
        </w:rPr>
        <w:t xml:space="preserve">/s/ </w:t>
      </w:r>
      <w:r>
        <w:rPr>
          <w:i/>
          <w:sz w:val="24"/>
          <w:szCs w:val="24"/>
          <w:u w:val="single"/>
        </w:rPr>
        <w:t>Christopher Healey</w:t>
      </w:r>
      <w:r w:rsidR="003351CB">
        <w:rPr>
          <w:i/>
          <w:sz w:val="24"/>
          <w:szCs w:val="24"/>
          <w:u w:val="single"/>
        </w:rPr>
        <w:tab/>
      </w:r>
      <w:r w:rsidR="003351CB">
        <w:rPr>
          <w:i/>
          <w:sz w:val="24"/>
          <w:szCs w:val="24"/>
          <w:u w:val="single"/>
        </w:rPr>
        <w:tab/>
      </w:r>
      <w:r w:rsidR="003351CB">
        <w:rPr>
          <w:i/>
          <w:sz w:val="24"/>
          <w:szCs w:val="24"/>
          <w:u w:val="single"/>
        </w:rPr>
        <w:tab/>
      </w:r>
    </w:p>
    <w:p w:rsidR="00E55A74" w:rsidP="00E55A74" w14:paraId="655751E2" w14:textId="77777777">
      <w:pPr>
        <w:ind w:firstLine="4320"/>
        <w:rPr>
          <w:sz w:val="24"/>
          <w:szCs w:val="24"/>
        </w:rPr>
      </w:pPr>
      <w:r>
        <w:rPr>
          <w:sz w:val="24"/>
          <w:szCs w:val="24"/>
        </w:rPr>
        <w:t>Christopher Healey (0086027)</w:t>
      </w:r>
    </w:p>
    <w:p w:rsidR="00E55A74" w:rsidP="00E55A74" w14:paraId="61ED43A9" w14:textId="77777777">
      <w:pPr>
        <w:ind w:firstLine="4320"/>
        <w:rPr>
          <w:sz w:val="24"/>
          <w:szCs w:val="24"/>
        </w:rPr>
      </w:pPr>
      <w:r>
        <w:rPr>
          <w:sz w:val="24"/>
          <w:szCs w:val="24"/>
        </w:rPr>
        <w:t>Counsel of Record</w:t>
      </w:r>
    </w:p>
    <w:p w:rsidR="00E55A74" w:rsidRPr="0010475C" w:rsidP="00E55A74" w14:paraId="2EE11245" w14:textId="77777777">
      <w:pPr>
        <w:ind w:firstLine="4320"/>
        <w:rPr>
          <w:sz w:val="24"/>
          <w:szCs w:val="24"/>
        </w:rPr>
      </w:pPr>
    </w:p>
    <w:p w:rsidR="00E55A74" w:rsidRPr="0010475C" w:rsidP="00E55A74" w14:paraId="0B86AF72" w14:textId="77777777">
      <w:pPr>
        <w:ind w:firstLine="4320"/>
        <w:rPr>
          <w:b/>
          <w:sz w:val="24"/>
          <w:szCs w:val="24"/>
        </w:rPr>
      </w:pPr>
      <w:r w:rsidRPr="0010475C">
        <w:rPr>
          <w:b/>
          <w:sz w:val="24"/>
          <w:szCs w:val="24"/>
        </w:rPr>
        <w:t>Office of the Ohio Consumers’ Counsel</w:t>
      </w:r>
    </w:p>
    <w:p w:rsidR="00E55A74" w:rsidRPr="0010475C" w:rsidP="00E55A74" w14:paraId="49055BBD" w14:textId="72F41EBF">
      <w:pPr>
        <w:ind w:firstLine="4320"/>
        <w:rPr>
          <w:sz w:val="24"/>
          <w:szCs w:val="24"/>
        </w:rPr>
      </w:pPr>
      <w:r>
        <w:rPr>
          <w:sz w:val="24"/>
          <w:szCs w:val="24"/>
        </w:rPr>
        <w:t>65 E. State St., 7th Floor</w:t>
      </w:r>
    </w:p>
    <w:p w:rsidR="00E55A74" w:rsidP="00E55A74" w14:paraId="6D9D4BC2" w14:textId="395AD0A9">
      <w:pPr>
        <w:ind w:firstLine="4320"/>
        <w:rPr>
          <w:sz w:val="24"/>
          <w:szCs w:val="24"/>
        </w:rPr>
      </w:pPr>
      <w:r w:rsidRPr="0010475C">
        <w:rPr>
          <w:sz w:val="24"/>
          <w:szCs w:val="24"/>
        </w:rPr>
        <w:t>Columbus, Ohio 43215</w:t>
      </w:r>
    </w:p>
    <w:p w:rsidR="00E55A74" w:rsidP="00E55A74" w14:paraId="4670331C" w14:textId="4E92C94B">
      <w:pPr>
        <w:ind w:firstLine="4320"/>
        <w:rPr>
          <w:sz w:val="24"/>
          <w:szCs w:val="24"/>
        </w:rPr>
      </w:pPr>
      <w:r>
        <w:rPr>
          <w:sz w:val="24"/>
          <w:szCs w:val="24"/>
        </w:rPr>
        <w:t>Telephone: 614-466-9571</w:t>
      </w:r>
    </w:p>
    <w:p w:rsidR="00AB4D5F" w:rsidP="00E55A74" w14:paraId="596586B9" w14:textId="68CF2FA0">
      <w:pPr>
        <w:ind w:firstLine="4320"/>
        <w:rPr>
          <w:sz w:val="24"/>
          <w:szCs w:val="24"/>
        </w:rPr>
      </w:pPr>
      <w:hyperlink r:id="rId6" w:history="1">
        <w:r w:rsidRPr="009B4AF6" w:rsidR="003351CB">
          <w:rPr>
            <w:rStyle w:val="Hyperlink"/>
            <w:sz w:val="24"/>
            <w:szCs w:val="24"/>
          </w:rPr>
          <w:t>christopher.healey@occ.ohio.gov</w:t>
        </w:r>
      </w:hyperlink>
    </w:p>
    <w:p w:rsidR="00E55A74" w:rsidRPr="0010475C" w:rsidP="00E55A74" w14:paraId="26EE40F9" w14:textId="6FF78897">
      <w:pPr>
        <w:ind w:firstLine="4320"/>
        <w:rPr>
          <w:sz w:val="24"/>
          <w:szCs w:val="24"/>
        </w:rPr>
        <w:sectPr>
          <w:footerReference w:type="default" r:id="rId7"/>
          <w:pgSz w:w="12240" w:h="15840"/>
          <w:pgMar w:top="1440" w:right="1800" w:bottom="1440" w:left="1800" w:header="720" w:footer="720" w:gutter="0"/>
          <w:pgNumType w:start="1"/>
          <w:cols w:space="720"/>
          <w:titlePg/>
          <w:docGrid w:linePitch="65"/>
        </w:sectPr>
      </w:pPr>
      <w:r w:rsidRPr="0010475C">
        <w:rPr>
          <w:sz w:val="24"/>
          <w:szCs w:val="24"/>
        </w:rPr>
        <w:t>(</w:t>
      </w:r>
      <w:r w:rsidR="003351CB">
        <w:rPr>
          <w:sz w:val="24"/>
          <w:szCs w:val="24"/>
        </w:rPr>
        <w:t>w</w:t>
      </w:r>
      <w:r>
        <w:rPr>
          <w:sz w:val="24"/>
          <w:szCs w:val="24"/>
        </w:rPr>
        <w:t>ill</w:t>
      </w:r>
      <w:r w:rsidR="003351CB">
        <w:rPr>
          <w:sz w:val="24"/>
          <w:szCs w:val="24"/>
        </w:rPr>
        <w:t xml:space="preserve">ing to </w:t>
      </w:r>
      <w:r w:rsidRPr="0010475C">
        <w:rPr>
          <w:sz w:val="24"/>
          <w:szCs w:val="24"/>
        </w:rPr>
        <w:t xml:space="preserve">accept service </w:t>
      </w:r>
      <w:r w:rsidR="003351CB">
        <w:rPr>
          <w:sz w:val="24"/>
          <w:szCs w:val="24"/>
        </w:rPr>
        <w:t>by</w:t>
      </w:r>
      <w:r w:rsidRPr="0010475C">
        <w:rPr>
          <w:sz w:val="24"/>
          <w:szCs w:val="24"/>
        </w:rPr>
        <w:t xml:space="preserve"> e</w:t>
      </w:r>
      <w:r w:rsidR="003351CB">
        <w:rPr>
          <w:sz w:val="24"/>
          <w:szCs w:val="24"/>
        </w:rPr>
        <w:t>-</w:t>
      </w:r>
      <w:r w:rsidRPr="0010475C">
        <w:rPr>
          <w:sz w:val="24"/>
          <w:szCs w:val="24"/>
        </w:rPr>
        <w:t>mail)</w:t>
      </w:r>
    </w:p>
    <w:p w:rsidR="00E55A74" w14:paraId="1D3F5B2A" w14:textId="77777777">
      <w:pPr>
        <w:ind w:left="4320" w:firstLine="48"/>
        <w:jc w:val="both"/>
        <w:rPr>
          <w:sz w:val="24"/>
          <w:szCs w:val="24"/>
        </w:rPr>
      </w:pPr>
    </w:p>
    <w:p w:rsidR="00E55A74" w14:paraId="22991168" w14:textId="77777777">
      <w:pPr>
        <w:autoSpaceDE w:val="0"/>
        <w:autoSpaceDN w:val="0"/>
        <w:adjustRightInd w:val="0"/>
        <w:jc w:val="center"/>
        <w:rPr>
          <w:sz w:val="24"/>
          <w:szCs w:val="24"/>
        </w:rPr>
      </w:pPr>
      <w:r>
        <w:rPr>
          <w:b/>
          <w:sz w:val="24"/>
          <w:szCs w:val="24"/>
          <w:u w:val="single"/>
        </w:rPr>
        <w:t>CERTIFICATE OF SERVICE</w:t>
      </w:r>
    </w:p>
    <w:p w:rsidR="00E55A74" w14:paraId="653D90A1" w14:textId="77777777">
      <w:pPr>
        <w:autoSpaceDE w:val="0"/>
        <w:autoSpaceDN w:val="0"/>
        <w:adjustRightInd w:val="0"/>
        <w:ind w:firstLine="4320"/>
        <w:jc w:val="center"/>
        <w:rPr>
          <w:sz w:val="24"/>
          <w:szCs w:val="24"/>
          <w:u w:val="single"/>
        </w:rPr>
      </w:pPr>
    </w:p>
    <w:p w:rsidR="00E55A74" w14:paraId="05E26621" w14:textId="3ABDEB88">
      <w:pPr>
        <w:pStyle w:val="Heading3"/>
        <w:spacing w:before="0" w:after="0" w:line="480" w:lineRule="auto"/>
        <w:ind w:firstLine="720"/>
        <w:rPr>
          <w:rFonts w:ascii="Times New Roman" w:hAnsi="Times New Roman" w:cs="Times New Roman"/>
          <w:b w:val="0"/>
          <w:sz w:val="24"/>
          <w:szCs w:val="24"/>
        </w:rPr>
      </w:pPr>
      <w:r>
        <w:rPr>
          <w:rFonts w:ascii="Times New Roman" w:hAnsi="Times New Roman" w:cs="Times New Roman"/>
          <w:b w:val="0"/>
          <w:sz w:val="24"/>
          <w:szCs w:val="24"/>
        </w:rPr>
        <w:t xml:space="preserve">I hereby certify that a copy of the foregoing </w:t>
      </w:r>
      <w:r w:rsidR="003351CB">
        <w:rPr>
          <w:rFonts w:ascii="Times New Roman" w:hAnsi="Times New Roman" w:cs="Times New Roman"/>
          <w:b w:val="0"/>
          <w:sz w:val="24"/>
          <w:szCs w:val="24"/>
        </w:rPr>
        <w:t>Comments</w:t>
      </w:r>
      <w:r>
        <w:rPr>
          <w:rFonts w:ascii="Times New Roman" w:hAnsi="Times New Roman" w:cs="Times New Roman"/>
          <w:b w:val="0"/>
          <w:sz w:val="24"/>
          <w:szCs w:val="24"/>
        </w:rPr>
        <w:t xml:space="preserve"> was served via electronic transmission upon the parties this </w:t>
      </w:r>
      <w:r w:rsidR="009D74E8">
        <w:rPr>
          <w:rFonts w:ascii="Times New Roman" w:hAnsi="Times New Roman" w:cs="Times New Roman"/>
          <w:b w:val="0"/>
          <w:sz w:val="24"/>
          <w:szCs w:val="24"/>
        </w:rPr>
        <w:t>6th</w:t>
      </w:r>
      <w:r>
        <w:rPr>
          <w:rFonts w:ascii="Times New Roman" w:hAnsi="Times New Roman" w:cs="Times New Roman"/>
          <w:b w:val="0"/>
          <w:sz w:val="24"/>
          <w:szCs w:val="24"/>
        </w:rPr>
        <w:t xml:space="preserve"> day of </w:t>
      </w:r>
      <w:r w:rsidR="003351CB">
        <w:rPr>
          <w:rFonts w:ascii="Times New Roman" w:hAnsi="Times New Roman" w:cs="Times New Roman"/>
          <w:b w:val="0"/>
          <w:sz w:val="24"/>
          <w:szCs w:val="24"/>
        </w:rPr>
        <w:t>December 2019</w:t>
      </w:r>
      <w:r>
        <w:rPr>
          <w:rFonts w:ascii="Times New Roman" w:hAnsi="Times New Roman" w:cs="Times New Roman"/>
          <w:b w:val="0"/>
          <w:sz w:val="24"/>
          <w:szCs w:val="24"/>
        </w:rPr>
        <w:t xml:space="preserve">. </w:t>
      </w:r>
    </w:p>
    <w:p w:rsidR="00E55A74" w14:paraId="5974BA35" w14:textId="77777777">
      <w:pPr>
        <w:rPr>
          <w:sz w:val="24"/>
          <w:szCs w:val="24"/>
        </w:rPr>
      </w:pPr>
    </w:p>
    <w:p w:rsidR="00E55A74" w14:paraId="6E186243" w14:textId="77777777">
      <w:pPr>
        <w:rPr>
          <w:sz w:val="24"/>
          <w:szCs w:val="24"/>
        </w:rPr>
      </w:pPr>
    </w:p>
    <w:p w:rsidR="004A6C6C" w14:paraId="387E8A78" w14:textId="1B435FC9">
      <w:pPr>
        <w:tabs>
          <w:tab w:val="left" w:pos="4320"/>
        </w:tabs>
        <w:rPr>
          <w:i/>
          <w:sz w:val="24"/>
          <w:szCs w:val="24"/>
          <w:u w:val="single"/>
        </w:rPr>
      </w:pPr>
      <w:r>
        <w:rPr>
          <w:sz w:val="24"/>
          <w:szCs w:val="24"/>
        </w:rPr>
        <w:tab/>
      </w:r>
      <w:r>
        <w:rPr>
          <w:i/>
          <w:sz w:val="24"/>
          <w:szCs w:val="24"/>
          <w:u w:val="single"/>
        </w:rPr>
        <w:t>/s/ Christopher Healey</w:t>
      </w:r>
      <w:r w:rsidR="003351CB">
        <w:rPr>
          <w:i/>
          <w:sz w:val="24"/>
          <w:szCs w:val="24"/>
          <w:u w:val="single"/>
        </w:rPr>
        <w:tab/>
      </w:r>
      <w:r w:rsidR="003351CB">
        <w:rPr>
          <w:i/>
          <w:sz w:val="24"/>
          <w:szCs w:val="24"/>
          <w:u w:val="single"/>
        </w:rPr>
        <w:tab/>
      </w:r>
    </w:p>
    <w:p w:rsidR="00E55A74" w14:paraId="6992E73F" w14:textId="77777777">
      <w:pPr>
        <w:tabs>
          <w:tab w:val="left" w:pos="4320"/>
        </w:tabs>
        <w:rPr>
          <w:sz w:val="24"/>
          <w:szCs w:val="24"/>
        </w:rPr>
      </w:pPr>
      <w:r>
        <w:rPr>
          <w:sz w:val="24"/>
          <w:szCs w:val="24"/>
        </w:rPr>
        <w:tab/>
        <w:t>Christopher Healey</w:t>
      </w:r>
    </w:p>
    <w:p w:rsidR="00E55A74" w14:paraId="43BE4AEE" w14:textId="43D488AE">
      <w:pPr>
        <w:tabs>
          <w:tab w:val="left" w:pos="4320"/>
        </w:tabs>
        <w:rPr>
          <w:sz w:val="24"/>
          <w:szCs w:val="24"/>
        </w:rPr>
      </w:pPr>
      <w:r>
        <w:rPr>
          <w:sz w:val="24"/>
          <w:szCs w:val="24"/>
        </w:rPr>
        <w:tab/>
        <w:t>Assistant Consumers’ Counsel</w:t>
      </w:r>
    </w:p>
    <w:p w:rsidR="00546DC3" w14:paraId="4B8C6708" w14:textId="6459865B">
      <w:pPr>
        <w:tabs>
          <w:tab w:val="left" w:pos="4320"/>
        </w:tabs>
        <w:rPr>
          <w:sz w:val="24"/>
          <w:szCs w:val="24"/>
        </w:rPr>
      </w:pPr>
    </w:p>
    <w:p w:rsidR="00546DC3" w:rsidRPr="00DC09DE" w:rsidP="00546DC3" w14:paraId="3F9F3D85" w14:textId="77777777">
      <w:pPr>
        <w:pStyle w:val="CommentText"/>
        <w:rPr>
          <w:sz w:val="24"/>
          <w:szCs w:val="24"/>
        </w:rPr>
      </w:pPr>
      <w:r w:rsidRPr="00DC09DE">
        <w:rPr>
          <w:sz w:val="24"/>
          <w:szCs w:val="24"/>
        </w:rPr>
        <w:t>The PUCO’s e-filing system will electronically serve notice of the filing of this document on the following parties:</w:t>
      </w:r>
    </w:p>
    <w:p w:rsidR="00546DC3" w14:paraId="598432D7" w14:textId="77777777">
      <w:pPr>
        <w:tabs>
          <w:tab w:val="left" w:pos="4320"/>
        </w:tabs>
        <w:rPr>
          <w:sz w:val="24"/>
          <w:szCs w:val="24"/>
        </w:rPr>
      </w:pPr>
    </w:p>
    <w:p w:rsidR="00311019" w14:paraId="764D6DA4" w14:textId="77777777">
      <w:pPr>
        <w:tabs>
          <w:tab w:val="left" w:pos="4320"/>
        </w:tabs>
        <w:rPr>
          <w:sz w:val="24"/>
          <w:szCs w:val="24"/>
        </w:rPr>
      </w:pPr>
    </w:p>
    <w:p w:rsidR="00546DC3" w:rsidRPr="00546DC3" w:rsidP="00546DC3" w14:paraId="168897F4" w14:textId="77777777">
      <w:pPr>
        <w:pStyle w:val="CommentText"/>
        <w:jc w:val="center"/>
        <w:rPr>
          <w:b/>
          <w:sz w:val="24"/>
          <w:szCs w:val="24"/>
          <w:u w:val="single"/>
        </w:rPr>
      </w:pPr>
      <w:r w:rsidRPr="00546DC3">
        <w:rPr>
          <w:b/>
          <w:sz w:val="24"/>
          <w:szCs w:val="24"/>
          <w:u w:val="single"/>
        </w:rPr>
        <w:t>SERVICE LIST</w:t>
      </w:r>
    </w:p>
    <w:p w:rsidR="00546DC3" w:rsidRPr="00546DC3" w:rsidP="00546DC3" w14:paraId="113A317A" w14:textId="77777777">
      <w:pPr>
        <w:pStyle w:val="CommentText"/>
        <w:jc w:val="center"/>
        <w:rPr>
          <w:b/>
          <w:sz w:val="24"/>
          <w:szCs w:val="24"/>
          <w:u w:val="single"/>
        </w:rPr>
      </w:pPr>
    </w:p>
    <w:p w:rsidR="00546DC3" w:rsidRPr="00546DC3" w:rsidP="00546DC3" w14:paraId="0088D3E4" w14:textId="77777777">
      <w:pPr>
        <w:pStyle w:val="CommentText"/>
        <w:jc w:val="center"/>
        <w:rPr>
          <w:b/>
          <w:sz w:val="24"/>
          <w:szCs w:val="24"/>
          <w:u w:val="single"/>
        </w:rPr>
      </w:pPr>
    </w:p>
    <w:tbl>
      <w:tblPr>
        <w:tblW w:w="0" w:type="auto"/>
        <w:tblLook w:val="04A0"/>
      </w:tblPr>
      <w:tblGrid>
        <w:gridCol w:w="4389"/>
        <w:gridCol w:w="4251"/>
      </w:tblGrid>
      <w:tr w14:paraId="1EE86CDF" w14:textId="77777777" w:rsidTr="00636FFD">
        <w:tblPrEx>
          <w:tblW w:w="0" w:type="auto"/>
          <w:tblLook w:val="04A0"/>
        </w:tblPrEx>
        <w:tc>
          <w:tcPr>
            <w:tcW w:w="4428" w:type="dxa"/>
            <w:shd w:val="clear" w:color="auto" w:fill="auto"/>
          </w:tcPr>
          <w:p w:rsidR="00546DC3" w:rsidRPr="00546DC3" w:rsidP="00636FFD" w14:paraId="1C3578A5" w14:textId="77777777">
            <w:pPr>
              <w:autoSpaceDE w:val="0"/>
              <w:autoSpaceDN w:val="0"/>
              <w:adjustRightInd w:val="0"/>
              <w:rPr>
                <w:color w:val="0000FF"/>
                <w:sz w:val="24"/>
                <w:szCs w:val="24"/>
              </w:rPr>
            </w:pPr>
            <w:hyperlink r:id="rId8" w:history="1">
              <w:r w:rsidRPr="00546DC3">
                <w:rPr>
                  <w:rStyle w:val="Hyperlink"/>
                  <w:sz w:val="24"/>
                  <w:szCs w:val="24"/>
                </w:rPr>
                <w:t>cmooney@ohiopartners.org</w:t>
              </w:r>
            </w:hyperlink>
          </w:p>
          <w:p w:rsidR="00546DC3" w:rsidRPr="00546DC3" w:rsidP="00636FFD" w14:paraId="4A6208DD" w14:textId="77777777">
            <w:pPr>
              <w:autoSpaceDE w:val="0"/>
              <w:autoSpaceDN w:val="0"/>
              <w:adjustRightInd w:val="0"/>
              <w:rPr>
                <w:color w:val="0000FF"/>
                <w:sz w:val="24"/>
                <w:szCs w:val="24"/>
              </w:rPr>
            </w:pPr>
            <w:hyperlink r:id="rId9" w:history="1">
              <w:r w:rsidRPr="00546DC3">
                <w:rPr>
                  <w:rStyle w:val="Hyperlink"/>
                  <w:sz w:val="24"/>
                  <w:szCs w:val="24"/>
                </w:rPr>
                <w:t>joliker@igsenergy.com</w:t>
              </w:r>
            </w:hyperlink>
          </w:p>
          <w:p w:rsidR="00546DC3" w:rsidRPr="00546DC3" w:rsidP="00636FFD" w14:paraId="2DFAF119" w14:textId="77777777">
            <w:pPr>
              <w:pStyle w:val="BodyText"/>
              <w:spacing w:after="0"/>
              <w:rPr>
                <w:bCs/>
                <w:iCs/>
                <w:sz w:val="24"/>
                <w:szCs w:val="24"/>
              </w:rPr>
            </w:pPr>
            <w:hyperlink r:id="rId10" w:history="1">
              <w:r w:rsidRPr="00546DC3">
                <w:rPr>
                  <w:rStyle w:val="Hyperlink"/>
                  <w:iCs/>
                  <w:sz w:val="24"/>
                  <w:szCs w:val="24"/>
                </w:rPr>
                <w:t>mswhite@igsenergy.com</w:t>
              </w:r>
            </w:hyperlink>
          </w:p>
          <w:p w:rsidR="00546DC3" w:rsidRPr="00546DC3" w:rsidP="00636FFD" w14:paraId="0F000FF8" w14:textId="77777777">
            <w:pPr>
              <w:pStyle w:val="CommentText"/>
              <w:rPr>
                <w:sz w:val="24"/>
                <w:szCs w:val="24"/>
              </w:rPr>
            </w:pPr>
            <w:hyperlink r:id="rId11" w:history="1">
              <w:r w:rsidRPr="00546DC3">
                <w:rPr>
                  <w:rStyle w:val="Hyperlink"/>
                  <w:iCs/>
                  <w:sz w:val="24"/>
                  <w:szCs w:val="24"/>
                </w:rPr>
                <w:t>trent@theoec.org</w:t>
              </w:r>
            </w:hyperlink>
          </w:p>
          <w:p w:rsidR="00546DC3" w:rsidRPr="00546DC3" w:rsidP="00636FFD" w14:paraId="1071664D" w14:textId="47D8A590">
            <w:pPr>
              <w:pStyle w:val="CommentText"/>
              <w:rPr>
                <w:sz w:val="24"/>
                <w:szCs w:val="24"/>
              </w:rPr>
            </w:pPr>
            <w:hyperlink r:id="rId12" w:history="1">
              <w:r w:rsidRPr="00546DC3">
                <w:rPr>
                  <w:rStyle w:val="Hyperlink"/>
                  <w:sz w:val="24"/>
                  <w:szCs w:val="24"/>
                </w:rPr>
                <w:t>steven.beeler@ohioattorneygeneral.gov</w:t>
              </w:r>
            </w:hyperlink>
          </w:p>
          <w:p w:rsidR="00546DC3" w:rsidRPr="00546DC3" w:rsidP="00636FFD" w14:paraId="766EBD63" w14:textId="59EFCBDD">
            <w:pPr>
              <w:pStyle w:val="CommentText"/>
              <w:rPr>
                <w:sz w:val="24"/>
                <w:szCs w:val="24"/>
              </w:rPr>
            </w:pPr>
            <w:hyperlink r:id="rId13" w:history="1">
              <w:r w:rsidRPr="00546DC3">
                <w:rPr>
                  <w:rStyle w:val="Hyperlink"/>
                  <w:sz w:val="24"/>
                  <w:szCs w:val="24"/>
                </w:rPr>
                <w:t>steven.darnell@ohioattorneygeneral.gov</w:t>
              </w:r>
            </w:hyperlink>
          </w:p>
          <w:p w:rsidR="00546DC3" w:rsidRPr="00546DC3" w:rsidP="00636FFD" w14:paraId="79808CF0" w14:textId="77777777">
            <w:pPr>
              <w:pStyle w:val="CommentText"/>
              <w:rPr>
                <w:sz w:val="24"/>
                <w:szCs w:val="24"/>
              </w:rPr>
            </w:pPr>
          </w:p>
          <w:p w:rsidR="00546DC3" w:rsidRPr="00546DC3" w:rsidP="00636FFD" w14:paraId="696E5D34" w14:textId="77777777">
            <w:pPr>
              <w:pStyle w:val="CommentText"/>
              <w:rPr>
                <w:sz w:val="24"/>
                <w:szCs w:val="24"/>
              </w:rPr>
            </w:pPr>
          </w:p>
          <w:p w:rsidR="00546DC3" w:rsidRPr="00546DC3" w:rsidP="00636FFD" w14:paraId="49FA8DCC" w14:textId="77777777">
            <w:pPr>
              <w:pStyle w:val="CommentText"/>
              <w:rPr>
                <w:sz w:val="24"/>
                <w:szCs w:val="24"/>
              </w:rPr>
            </w:pPr>
            <w:r w:rsidRPr="00546DC3">
              <w:rPr>
                <w:sz w:val="24"/>
                <w:szCs w:val="24"/>
              </w:rPr>
              <w:t>Attorney Examiner:</w:t>
            </w:r>
          </w:p>
          <w:p w:rsidR="00546DC3" w:rsidRPr="00546DC3" w:rsidP="00636FFD" w14:paraId="2C1EB941" w14:textId="77777777">
            <w:pPr>
              <w:pStyle w:val="CommentText"/>
              <w:rPr>
                <w:sz w:val="24"/>
                <w:szCs w:val="24"/>
              </w:rPr>
            </w:pPr>
          </w:p>
          <w:p w:rsidR="00546DC3" w:rsidRPr="00546DC3" w:rsidP="00636FFD" w14:paraId="104A9FF8" w14:textId="0908C5E3">
            <w:pPr>
              <w:pStyle w:val="CommentText"/>
              <w:rPr>
                <w:sz w:val="24"/>
                <w:szCs w:val="24"/>
              </w:rPr>
            </w:pPr>
            <w:hyperlink r:id="rId14" w:history="1">
              <w:r w:rsidRPr="00546DC3">
                <w:rPr>
                  <w:rStyle w:val="Hyperlink"/>
                  <w:sz w:val="24"/>
                  <w:szCs w:val="24"/>
                </w:rPr>
                <w:t>Lauren.augostini@puco.ohio.gov</w:t>
              </w:r>
            </w:hyperlink>
          </w:p>
          <w:p w:rsidR="00546DC3" w:rsidRPr="00546DC3" w:rsidP="00636FFD" w14:paraId="781706AA" w14:textId="2BD82013">
            <w:pPr>
              <w:pStyle w:val="CommentText"/>
              <w:rPr>
                <w:sz w:val="24"/>
                <w:szCs w:val="24"/>
              </w:rPr>
            </w:pPr>
            <w:hyperlink r:id="rId15" w:history="1">
              <w:r w:rsidRPr="00546DC3">
                <w:rPr>
                  <w:rStyle w:val="Hyperlink"/>
                  <w:sz w:val="24"/>
                  <w:szCs w:val="24"/>
                </w:rPr>
                <w:t>Nicholas.walstra@puco.ohio.gov</w:t>
              </w:r>
            </w:hyperlink>
          </w:p>
          <w:p w:rsidR="00546DC3" w:rsidRPr="00546DC3" w:rsidP="00636FFD" w14:paraId="55FDBD96" w14:textId="77777777">
            <w:pPr>
              <w:pStyle w:val="CommentText"/>
              <w:rPr>
                <w:sz w:val="24"/>
                <w:szCs w:val="24"/>
              </w:rPr>
            </w:pPr>
          </w:p>
          <w:p w:rsidR="00546DC3" w:rsidRPr="00546DC3" w:rsidP="00636FFD" w14:paraId="31B5CCE7" w14:textId="30CB8034">
            <w:pPr>
              <w:pStyle w:val="CommentText"/>
              <w:rPr>
                <w:sz w:val="24"/>
                <w:szCs w:val="24"/>
              </w:rPr>
            </w:pPr>
            <w:r w:rsidRPr="00546DC3">
              <w:rPr>
                <w:sz w:val="24"/>
                <w:szCs w:val="24"/>
              </w:rPr>
              <w:t xml:space="preserve"> </w:t>
            </w:r>
          </w:p>
          <w:p w:rsidR="00546DC3" w:rsidRPr="00546DC3" w:rsidP="00636FFD" w14:paraId="26828F0A" w14:textId="77777777">
            <w:pPr>
              <w:pStyle w:val="CommentText"/>
              <w:rPr>
                <w:b/>
                <w:sz w:val="24"/>
                <w:szCs w:val="24"/>
                <w:u w:val="single"/>
              </w:rPr>
            </w:pPr>
          </w:p>
        </w:tc>
        <w:tc>
          <w:tcPr>
            <w:tcW w:w="4428" w:type="dxa"/>
            <w:shd w:val="clear" w:color="auto" w:fill="auto"/>
          </w:tcPr>
          <w:p w:rsidR="00546DC3" w:rsidRPr="00546DC3" w:rsidP="00636FFD" w14:paraId="5DDABB15" w14:textId="443AEE7F">
            <w:pPr>
              <w:autoSpaceDE w:val="0"/>
              <w:autoSpaceDN w:val="0"/>
              <w:adjustRightInd w:val="0"/>
              <w:ind w:left="486"/>
              <w:rPr>
                <w:rStyle w:val="Hyperlink"/>
                <w:sz w:val="24"/>
                <w:szCs w:val="24"/>
              </w:rPr>
            </w:pPr>
            <w:hyperlink r:id="rId16" w:history="1">
              <w:r w:rsidRPr="00546DC3">
                <w:rPr>
                  <w:rStyle w:val="Hyperlink"/>
                  <w:sz w:val="24"/>
                  <w:szCs w:val="24"/>
                </w:rPr>
                <w:t>Elizabeth.Watts@duke-energy.com</w:t>
              </w:r>
            </w:hyperlink>
          </w:p>
          <w:p w:rsidR="00546DC3" w:rsidRPr="00546DC3" w:rsidP="00546DC3" w14:paraId="2B47F1C4" w14:textId="77777777">
            <w:pPr>
              <w:autoSpaceDE w:val="0"/>
              <w:autoSpaceDN w:val="0"/>
              <w:adjustRightInd w:val="0"/>
              <w:ind w:left="486"/>
              <w:rPr>
                <w:rStyle w:val="Hyperlink"/>
                <w:sz w:val="24"/>
                <w:szCs w:val="24"/>
              </w:rPr>
            </w:pPr>
            <w:hyperlink r:id="rId17" w:history="1">
              <w:r w:rsidRPr="00546DC3">
                <w:rPr>
                  <w:rStyle w:val="Hyperlink"/>
                  <w:sz w:val="24"/>
                  <w:szCs w:val="24"/>
                </w:rPr>
                <w:t>whitt@whitt-sturtevant.com</w:t>
              </w:r>
            </w:hyperlink>
          </w:p>
          <w:p w:rsidR="00546DC3" w:rsidRPr="00546DC3" w:rsidP="00546DC3" w14:paraId="0212BD94" w14:textId="77777777">
            <w:pPr>
              <w:autoSpaceDE w:val="0"/>
              <w:autoSpaceDN w:val="0"/>
              <w:adjustRightInd w:val="0"/>
              <w:ind w:left="486"/>
              <w:rPr>
                <w:rStyle w:val="Hyperlink"/>
                <w:sz w:val="24"/>
                <w:szCs w:val="24"/>
              </w:rPr>
            </w:pPr>
            <w:hyperlink r:id="rId18" w:history="1">
              <w:r w:rsidRPr="00546DC3">
                <w:rPr>
                  <w:rStyle w:val="Hyperlink"/>
                  <w:sz w:val="24"/>
                  <w:szCs w:val="24"/>
                </w:rPr>
                <w:t>Campbell@whitt-sturtevant.com</w:t>
              </w:r>
            </w:hyperlink>
          </w:p>
          <w:p w:rsidR="00546DC3" w:rsidRPr="00546DC3" w:rsidP="00546DC3" w14:paraId="23FF9449" w14:textId="28E254BC">
            <w:pPr>
              <w:pStyle w:val="CommentText"/>
              <w:ind w:left="486"/>
              <w:rPr>
                <w:b/>
                <w:sz w:val="24"/>
                <w:szCs w:val="24"/>
                <w:u w:val="single"/>
              </w:rPr>
            </w:pPr>
            <w:hyperlink r:id="rId19" w:history="1">
              <w:r w:rsidRPr="00546DC3">
                <w:rPr>
                  <w:rStyle w:val="Hyperlink"/>
                  <w:sz w:val="24"/>
                  <w:szCs w:val="24"/>
                </w:rPr>
                <w:t>glover@whitt-sturtevant.com</w:t>
              </w:r>
            </w:hyperlink>
          </w:p>
        </w:tc>
      </w:tr>
    </w:tbl>
    <w:p w:rsidR="00311019" w:rsidRPr="00311019" w:rsidP="004A6C6C" w14:paraId="4E4A16F9" w14:textId="77777777">
      <w:pPr>
        <w:pStyle w:val="CommentText"/>
        <w:jc w:val="center"/>
        <w:rPr>
          <w:b/>
          <w:sz w:val="24"/>
          <w:szCs w:val="24"/>
          <w:u w:val="single"/>
        </w:rPr>
      </w:pPr>
    </w:p>
    <w:p w:rsidR="00311019" w:rsidP="004A6C6C" w14:paraId="1BBB004A" w14:textId="77777777">
      <w:pPr>
        <w:pStyle w:val="CommentText"/>
        <w:jc w:val="center"/>
        <w:rPr>
          <w:b/>
          <w:u w:val="single"/>
        </w:rPr>
      </w:pPr>
    </w:p>
    <w:p w:rsidR="00CF216A" w:rsidP="00CF216A" w14:paraId="7006D7B1" w14:textId="77777777">
      <w:pPr>
        <w:pStyle w:val="CommentText"/>
        <w:jc w:val="center"/>
        <w:rPr>
          <w:b/>
          <w:u w:val="single"/>
        </w:rPr>
      </w:pPr>
    </w:p>
    <w:tbl>
      <w:tblPr>
        <w:tblW w:w="9253" w:type="dxa"/>
        <w:tblLook w:val="04A0"/>
      </w:tblPr>
      <w:tblGrid>
        <w:gridCol w:w="9031"/>
        <w:gridCol w:w="222"/>
      </w:tblGrid>
      <w:tr w14:paraId="06A0477E" w14:textId="77777777" w:rsidTr="00CD200D">
        <w:tblPrEx>
          <w:tblW w:w="9253" w:type="dxa"/>
          <w:tblLook w:val="04A0"/>
        </w:tblPrEx>
        <w:tc>
          <w:tcPr>
            <w:tcW w:w="9031" w:type="dxa"/>
            <w:shd w:val="clear" w:color="auto" w:fill="auto"/>
          </w:tcPr>
          <w:p w:rsidR="00CF216A" w:rsidP="00CD200D" w14:paraId="518DA613" w14:textId="77777777">
            <w:pPr>
              <w:pStyle w:val="BodyText"/>
              <w:spacing w:after="240"/>
              <w:rPr>
                <w:b/>
                <w:bCs/>
                <w:i/>
                <w:iCs/>
              </w:rPr>
            </w:pPr>
          </w:p>
          <w:p w:rsidR="00CF216A" w:rsidRPr="007470FB" w:rsidP="00CD200D" w14:paraId="4228FBA5" w14:textId="77777777">
            <w:pPr>
              <w:autoSpaceDE w:val="0"/>
              <w:autoSpaceDN w:val="0"/>
              <w:adjustRightInd w:val="0"/>
            </w:pPr>
          </w:p>
        </w:tc>
        <w:tc>
          <w:tcPr>
            <w:tcW w:w="222" w:type="dxa"/>
            <w:shd w:val="clear" w:color="auto" w:fill="auto"/>
          </w:tcPr>
          <w:p w:rsidR="00CF216A" w:rsidRPr="007470FB" w:rsidP="00CD200D" w14:paraId="394AD37D" w14:textId="77777777">
            <w:pPr>
              <w:pStyle w:val="CommentText"/>
              <w:jc w:val="center"/>
              <w:rPr>
                <w:b/>
                <w:u w:val="single"/>
              </w:rPr>
            </w:pPr>
          </w:p>
        </w:tc>
      </w:tr>
    </w:tbl>
    <w:p w:rsidR="00E55A74" w14:paraId="4DE36186" w14:textId="77777777">
      <w:pPr>
        <w:rPr>
          <w:sz w:val="24"/>
          <w:szCs w:val="24"/>
        </w:rPr>
      </w:pPr>
    </w:p>
    <w:sectPr w:rsidSect="00546DC3">
      <w:headerReference w:type="even" r:id="rId20"/>
      <w:headerReference w:type="default" r:id="rId21"/>
      <w:footerReference w:type="even" r:id="rId22"/>
      <w:footerReference w:type="default" r:id="rId23"/>
      <w:headerReference w:type="first" r:id="rId24"/>
      <w:footerReference w:type="first" r:id="rId2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74" w14:paraId="4F0B7C95" w14:textId="77777777">
    <w:pPr>
      <w:pStyle w:val="Footer"/>
      <w:framePr w:wrap="around" w:vAnchor="text" w:hAnchor="margin" w:xAlign="center" w:y="1"/>
      <w:jc w:val="center"/>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2</w:t>
    </w:r>
    <w:r>
      <w:rPr>
        <w:rStyle w:val="PageNumber"/>
        <w:sz w:val="24"/>
        <w:szCs w:val="24"/>
      </w:rPr>
      <w:fldChar w:fldCharType="end"/>
    </w:r>
  </w:p>
  <w:p w:rsidR="00E55A74" w14:paraId="06B74FB3" w14:textId="77777777">
    <w:pPr>
      <w:pStyle w:val="Footer"/>
      <w:framePr w:wrap="around" w:vAnchor="text" w:hAnchor="margin" w:xAlign="center" w:y="1"/>
      <w:rPr>
        <w:rStyle w:val="PageNumber"/>
      </w:rPr>
    </w:pPr>
  </w:p>
  <w:p w:rsidR="00E55A74" w14:paraId="41794B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74" w14:paraId="6F12BA3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74" w14:paraId="4FBEC46C"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82249995"/>
      <w:docPartObj>
        <w:docPartGallery w:val="Page Numbers (Bottom of Page)"/>
        <w:docPartUnique/>
      </w:docPartObj>
    </w:sdtPr>
    <w:sdtEndPr>
      <w:rPr>
        <w:noProof/>
        <w:sz w:val="24"/>
        <w:szCs w:val="24"/>
      </w:rPr>
    </w:sdtEndPr>
    <w:sdtContent>
      <w:p w:rsidR="00546DC3" w:rsidRPr="00546DC3" w14:paraId="207613BB" w14:textId="59BDB1F4">
        <w:pPr>
          <w:pStyle w:val="Footer"/>
          <w:jc w:val="center"/>
          <w:rPr>
            <w:sz w:val="24"/>
            <w:szCs w:val="24"/>
          </w:rPr>
        </w:pPr>
        <w:r w:rsidRPr="00546DC3">
          <w:rPr>
            <w:sz w:val="24"/>
            <w:szCs w:val="24"/>
          </w:rPr>
          <w:fldChar w:fldCharType="begin"/>
        </w:r>
        <w:r w:rsidRPr="00546DC3">
          <w:rPr>
            <w:sz w:val="24"/>
            <w:szCs w:val="24"/>
          </w:rPr>
          <w:instrText xml:space="preserve"> PAGE   \* MERGEFORMAT </w:instrText>
        </w:r>
        <w:r w:rsidRPr="00546DC3">
          <w:rPr>
            <w:sz w:val="24"/>
            <w:szCs w:val="24"/>
          </w:rPr>
          <w:fldChar w:fldCharType="separate"/>
        </w:r>
        <w:r w:rsidRPr="00546DC3">
          <w:rPr>
            <w:noProof/>
            <w:sz w:val="24"/>
            <w:szCs w:val="24"/>
          </w:rPr>
          <w:t>2</w:t>
        </w:r>
        <w:r w:rsidRPr="00546DC3">
          <w:rPr>
            <w:noProof/>
            <w:sz w:val="24"/>
            <w:szCs w:val="24"/>
          </w:rPr>
          <w:fldChar w:fldCharType="end"/>
        </w:r>
      </w:p>
    </w:sdtContent>
  </w:sdt>
  <w:p w:rsidR="00E55A74" w14:paraId="0CF3C18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B2959" w14:paraId="3DD76744" w14:textId="77777777">
      <w:r>
        <w:separator/>
      </w:r>
    </w:p>
  </w:footnote>
  <w:footnote w:type="continuationSeparator" w:id="1">
    <w:p w:rsidR="008B2959" w14:paraId="4B5DF038" w14:textId="77777777">
      <w:r>
        <w:continuationSeparator/>
      </w:r>
    </w:p>
  </w:footnote>
  <w:footnote w:id="2">
    <w:p w:rsidR="00D72533" w:rsidRPr="009D74E8" w:rsidP="009D74E8" w14:paraId="6CCEBF5A" w14:textId="403A9696">
      <w:pPr>
        <w:pStyle w:val="FootnoteText"/>
        <w:spacing w:after="120"/>
      </w:pPr>
      <w:r w:rsidRPr="009D74E8">
        <w:rPr>
          <w:rStyle w:val="FootnoteReference"/>
        </w:rPr>
        <w:footnoteRef/>
      </w:r>
      <w:r w:rsidRPr="009D74E8">
        <w:t xml:space="preserve"> </w:t>
      </w:r>
      <w:r w:rsidRPr="009D74E8">
        <w:rPr>
          <w:i/>
          <w:iCs/>
        </w:rPr>
        <w:t>See</w:t>
      </w:r>
      <w:r w:rsidRPr="009D74E8">
        <w:t xml:space="preserve"> Entry (Nov. 1, 2019).</w:t>
      </w:r>
      <w:r w:rsidRPr="009D74E8" w:rsidR="009D74E8">
        <w:t xml:space="preserve"> </w:t>
      </w:r>
    </w:p>
  </w:footnote>
  <w:footnote w:id="3">
    <w:p w:rsidR="00D72533" w:rsidRPr="009D74E8" w:rsidP="009D74E8" w14:paraId="2675A1D4" w14:textId="5462C210">
      <w:pPr>
        <w:pStyle w:val="FootnoteText"/>
        <w:spacing w:after="120"/>
      </w:pPr>
      <w:r w:rsidRPr="009D74E8">
        <w:rPr>
          <w:rStyle w:val="FootnoteReference"/>
        </w:rPr>
        <w:footnoteRef/>
      </w:r>
      <w:r w:rsidRPr="009D74E8">
        <w:t xml:space="preserve"> </w:t>
      </w:r>
      <w:r w:rsidRPr="009D74E8">
        <w:rPr>
          <w:i/>
          <w:iCs/>
        </w:rPr>
        <w:t>Id.</w:t>
      </w:r>
    </w:p>
  </w:footnote>
  <w:footnote w:id="4">
    <w:p w:rsidR="003351CB" w:rsidRPr="009D74E8" w:rsidP="009D74E8" w14:paraId="25410F07" w14:textId="1DCC1C22">
      <w:pPr>
        <w:pStyle w:val="FootnoteText"/>
        <w:spacing w:after="120"/>
      </w:pPr>
      <w:r w:rsidRPr="009D74E8">
        <w:rPr>
          <w:rStyle w:val="FootnoteReference"/>
        </w:rPr>
        <w:footnoteRef/>
      </w:r>
      <w:r w:rsidRPr="009D74E8">
        <w:t xml:space="preserve"> Case No. 17-32-EL-AIR, Stipulation and Recommendation at 16-17 (Apr. 13, 2018).</w:t>
      </w:r>
    </w:p>
  </w:footnote>
  <w:footnote w:id="5">
    <w:p w:rsidR="003351CB" w:rsidRPr="009D74E8" w:rsidP="009D74E8" w14:paraId="55457533" w14:textId="3D70A183">
      <w:pPr>
        <w:pStyle w:val="FootnoteText"/>
        <w:spacing w:after="120"/>
      </w:pPr>
      <w:r w:rsidRPr="009D74E8">
        <w:rPr>
          <w:rStyle w:val="FootnoteReference"/>
        </w:rPr>
        <w:footnoteRef/>
      </w:r>
      <w:r w:rsidRPr="009D74E8">
        <w:t xml:space="preserve"> Case No. 19-1750-EL-UNC.</w:t>
      </w:r>
    </w:p>
  </w:footnote>
  <w:footnote w:id="6">
    <w:p w:rsidR="003351CB" w:rsidRPr="009D74E8" w:rsidP="009D74E8" w14:paraId="2F305FB5" w14:textId="696F46C9">
      <w:pPr>
        <w:pStyle w:val="FootnoteText"/>
        <w:spacing w:after="120"/>
      </w:pPr>
      <w:r w:rsidRPr="009D74E8">
        <w:rPr>
          <w:rStyle w:val="FootnoteReference"/>
        </w:rPr>
        <w:footnoteRef/>
      </w:r>
      <w:r w:rsidRPr="009D74E8">
        <w:t xml:space="preserve"> Case No. 19-1750-EL-UNC, Application at 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74" w14:paraId="2D9D5A73"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width:431.9pt;height:39.25pt;margin-top:0;margin-left:0;mso-position-horizontal:center;mso-position-horizontal-relative:margin;mso-position-vertical:center;mso-position-vertical-relative:margin;position:absolute;z-index:-251658240" o:allowincell="f" fillcolor="#999" stroked="f">
          <v:fill opacity="0.5"/>
          <v:textpath style="font-family:'Times New Roman';font-size:1pt" string="CONFIDENTIAL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74" w14:paraId="0EA684A4"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width:431.9pt;height:39.25pt;margin-top:0;margin-left:0;mso-position-horizontal:center;mso-position-horizontal-relative:margin;mso-position-vertical:center;mso-position-vertical-relative:margin;position:absolute;z-index:-251657216" o:allowincell="f" fillcolor="#999" stroked="f">
          <v:fill opacity="0.5"/>
          <v:textpath style="font-family:'Times New Roman';font-size:1pt" string="CONFIDENTIAL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A74" w:rsidRPr="00706D0E" w:rsidP="00E55A74" w14:paraId="75D21806"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B9"/>
    <w:rsid w:val="00061F20"/>
    <w:rsid w:val="000831EB"/>
    <w:rsid w:val="0010475C"/>
    <w:rsid w:val="001A0359"/>
    <w:rsid w:val="00311019"/>
    <w:rsid w:val="003351CB"/>
    <w:rsid w:val="003D0923"/>
    <w:rsid w:val="004A6C6C"/>
    <w:rsid w:val="004E285E"/>
    <w:rsid w:val="00545C23"/>
    <w:rsid w:val="00546DC3"/>
    <w:rsid w:val="005820B0"/>
    <w:rsid w:val="00636FFD"/>
    <w:rsid w:val="006865B9"/>
    <w:rsid w:val="006912BC"/>
    <w:rsid w:val="00706D0E"/>
    <w:rsid w:val="00710778"/>
    <w:rsid w:val="007470FB"/>
    <w:rsid w:val="0077703E"/>
    <w:rsid w:val="0088664F"/>
    <w:rsid w:val="008E4C03"/>
    <w:rsid w:val="009B4AF6"/>
    <w:rsid w:val="009D74E8"/>
    <w:rsid w:val="00AB4D5F"/>
    <w:rsid w:val="00BA2EFC"/>
    <w:rsid w:val="00BC75BB"/>
    <w:rsid w:val="00CD200D"/>
    <w:rsid w:val="00CF216A"/>
    <w:rsid w:val="00D72533"/>
    <w:rsid w:val="00DC09DE"/>
    <w:rsid w:val="00E35B5D"/>
    <w:rsid w:val="00E55A74"/>
    <w:rsid w:val="00F253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top w:val="single" w:sz="6" w:space="1" w:color="auto"/>
        <w:bottom w:val="single" w:sz="6" w:space="1" w:color="auto"/>
      </w:pBdr>
      <w:jc w:val="center"/>
      <w:outlineLvl w:val="0"/>
    </w:pPr>
    <w:rPr>
      <w:b/>
      <w:sz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rPr>
      <w:sz w:val="24"/>
    </w:rPr>
  </w:style>
  <w:style w:type="paragraph" w:styleId="Date">
    <w:name w:val="Date"/>
    <w:basedOn w:val="Normal"/>
    <w:next w:val="Normal"/>
    <w:rPr>
      <w:sz w:val="24"/>
    </w:rPr>
  </w:style>
  <w:style w:type="paragraph" w:customStyle="1" w:styleId="ShortReturnAddress">
    <w:name w:val="Short Return Address"/>
    <w:basedOn w:val="Normal"/>
    <w:rPr>
      <w:sz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3">
    <w:name w:val="Body Text Indent 3"/>
    <w:basedOn w:val="Normal"/>
    <w:pPr>
      <w:spacing w:line="480" w:lineRule="atLeast"/>
      <w:ind w:firstLine="720"/>
    </w:pPr>
    <w:rPr>
      <w:sz w:val="24"/>
    </w:rPr>
  </w:style>
  <w:style w:type="paragraph" w:styleId="BodyText">
    <w:name w:val="Body Text"/>
    <w:basedOn w:val="Normal"/>
    <w:link w:val="BodyTextChar"/>
    <w:pPr>
      <w:spacing w:after="120"/>
    </w:pPr>
  </w:style>
  <w:style w:type="character" w:styleId="Hyperlink">
    <w:name w:val="Hyperlink"/>
    <w:rPr>
      <w:color w:val="0000FF"/>
      <w:u w:val="single"/>
    </w:rPr>
  </w:style>
  <w:style w:type="paragraph" w:styleId="EndnoteText">
    <w:name w:val="endnote text"/>
    <w:basedOn w:val="Normal"/>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HTMLPreformattedChar">
    <w:name w:val="HTML Preformatted Char"/>
    <w:link w:val="HTMLPreformatted"/>
    <w:locked/>
    <w:rPr>
      <w:rFonts w:ascii="Courier New" w:eastAsia="Courier New" w:hAnsi="Courier New" w:cs="Courier New"/>
      <w:lang w:val="en-US" w:eastAsia="en-US" w:bidi="ar-SA"/>
    </w:rPr>
  </w:style>
  <w:style w:type="paragraph" w:styleId="CommentText">
    <w:name w:val="annotation text"/>
    <w:basedOn w:val="Normal"/>
    <w:link w:val="CommentTextChar"/>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CharChar">
    <w:name w:val="Char Char"/>
    <w:semiHidden/>
    <w:locked/>
    <w:rPr>
      <w:rFonts w:ascii="Courier New" w:eastAsia="Courier New" w:hAnsi="Courier New" w:cs="Courier New"/>
      <w:lang w:val="en-US" w:eastAsia="en-US" w:bidi="ar-SA"/>
    </w:rPr>
  </w:style>
  <w:style w:type="character" w:styleId="Strong">
    <w:name w:val="Strong"/>
    <w:qFormat/>
    <w:rPr>
      <w:b/>
      <w:bCs/>
    </w:rPr>
  </w:style>
  <w:style w:type="character" w:customStyle="1" w:styleId="CharChar1">
    <w:name w:val="Char Char1"/>
    <w:rPr>
      <w:rFonts w:ascii="Courier New" w:hAnsi="Courier New" w:cs="Courier New"/>
      <w:lang w:val="en-US" w:eastAsia="en-US" w:bidi="ar-SA"/>
    </w:rPr>
  </w:style>
  <w:style w:type="character" w:customStyle="1" w:styleId="FooterChar">
    <w:name w:val="Footer Char"/>
    <w:link w:val="Footer"/>
    <w:uiPriority w:val="99"/>
    <w:rsid w:val="0010475C"/>
  </w:style>
  <w:style w:type="character" w:customStyle="1" w:styleId="CommentTextChar">
    <w:name w:val="Comment Text Char"/>
    <w:link w:val="CommentText"/>
    <w:semiHidden/>
    <w:rsid w:val="00706D0E"/>
  </w:style>
  <w:style w:type="paragraph" w:customStyle="1" w:styleId="InsideAddress">
    <w:name w:val="Inside Address"/>
    <w:basedOn w:val="Normal"/>
    <w:rsid w:val="00CF216A"/>
    <w:rPr>
      <w:rFonts w:ascii="Times" w:eastAsia="Times" w:hAnsi="Times"/>
      <w:sz w:val="24"/>
    </w:rPr>
  </w:style>
  <w:style w:type="character" w:styleId="FootnoteReference">
    <w:name w:val="footnote reference"/>
    <w:basedOn w:val="DefaultParagraphFont"/>
    <w:rsid w:val="00BA2EFC"/>
    <w:rPr>
      <w:vertAlign w:val="superscript"/>
    </w:rPr>
  </w:style>
  <w:style w:type="character" w:customStyle="1" w:styleId="UnresolvedMention">
    <w:name w:val="Unresolved Mention"/>
    <w:basedOn w:val="DefaultParagraphFont"/>
    <w:uiPriority w:val="99"/>
    <w:semiHidden/>
    <w:unhideWhenUsed/>
    <w:rsid w:val="003351CB"/>
    <w:rPr>
      <w:color w:val="605E5C"/>
      <w:shd w:val="clear" w:color="auto" w:fill="E1DFDD"/>
    </w:rPr>
  </w:style>
  <w:style w:type="character" w:customStyle="1" w:styleId="BodyTextChar">
    <w:name w:val="Body Text Char"/>
    <w:basedOn w:val="DefaultParagraphFont"/>
    <w:link w:val="BodyText"/>
    <w:rsid w:val="00546DC3"/>
  </w:style>
  <w:style w:type="character" w:styleId="FollowedHyperlink">
    <w:name w:val="FollowedHyperlink"/>
    <w:basedOn w:val="DefaultParagraphFont"/>
    <w:rsid w:val="00546D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mswhite@igsenergy.com" TargetMode="External" /><Relationship Id="rId11" Type="http://schemas.openxmlformats.org/officeDocument/2006/relationships/hyperlink" Target="mailto:trent@theoec.org" TargetMode="External" /><Relationship Id="rId12" Type="http://schemas.openxmlformats.org/officeDocument/2006/relationships/hyperlink" Target="mailto:steven.beeler@ohioattorneygeneral.gov" TargetMode="External" /><Relationship Id="rId13" Type="http://schemas.openxmlformats.org/officeDocument/2006/relationships/hyperlink" Target="mailto:steven.darnell@ohioattorneygeneral.gov" TargetMode="External" /><Relationship Id="rId14" Type="http://schemas.openxmlformats.org/officeDocument/2006/relationships/hyperlink" Target="mailto:Lauren.augostini@puco.ohio.gov" TargetMode="External" /><Relationship Id="rId15" Type="http://schemas.openxmlformats.org/officeDocument/2006/relationships/hyperlink" Target="mailto:Nicholas.walstra@puco.ohio.gov" TargetMode="External" /><Relationship Id="rId16" Type="http://schemas.openxmlformats.org/officeDocument/2006/relationships/hyperlink" Target="mailto:Elizabeth.Watts@duke-energy.com" TargetMode="External" /><Relationship Id="rId17" Type="http://schemas.openxmlformats.org/officeDocument/2006/relationships/hyperlink" Target="mailto:whitt@whitt-sturtevant.com" TargetMode="External" /><Relationship Id="rId18" Type="http://schemas.openxmlformats.org/officeDocument/2006/relationships/hyperlink" Target="mailto:Campbell@whitt-sturtevant.com" TargetMode="External" /><Relationship Id="rId19" Type="http://schemas.openxmlformats.org/officeDocument/2006/relationships/hyperlink" Target="mailto:glover@whitt-sturtevant.com"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2.xml" /><Relationship Id="rId23" Type="http://schemas.openxmlformats.org/officeDocument/2006/relationships/footer" Target="footer3.xml" /><Relationship Id="rId24" Type="http://schemas.openxmlformats.org/officeDocument/2006/relationships/header" Target="header3.xml" /><Relationship Id="rId25" Type="http://schemas.openxmlformats.org/officeDocument/2006/relationships/footer" Target="footer4.xm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christopher.healey@occ.ohio.gov" TargetMode="External" /><Relationship Id="rId7" Type="http://schemas.openxmlformats.org/officeDocument/2006/relationships/footer" Target="footer1.xml" /><Relationship Id="rId8" Type="http://schemas.openxmlformats.org/officeDocument/2006/relationships/hyperlink" Target="mailto:cmooney@ohiopartners.org" TargetMode="External" /><Relationship Id="rId9" Type="http://schemas.openxmlformats.org/officeDocument/2006/relationships/hyperlink" Target="mailto:joliker@igsenerg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5E88-3028-4E8D-8A76-BFE33350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Duke 14-2209 - OCC Comments  (00140336.DOCX;1)</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2019-12-03T18:16:39Z</dcterms:created>
  <dcterms:modified xsi:type="dcterms:W3CDTF">2019-12-03T18:16:39Z</dcterms:modified>
</cp:coreProperties>
</file>