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5F2E0C" w:rsidRPr="00FA14E0" w:rsidP="005F2E0C" w14:paraId="5FF88773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E0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5F2E0C" w:rsidRPr="00FA14E0" w:rsidP="005F2E0C" w14:paraId="5C712F60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FA14E0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5F2E0C" w:rsidRPr="00FA14E0" w:rsidP="005F2E0C" w14:paraId="7D33659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561"/>
        <w:gridCol w:w="299"/>
        <w:gridCol w:w="4232"/>
      </w:tblGrid>
      <w:tr w14:paraId="39727DB3" w14:textId="77777777" w:rsidTr="00021A8A">
        <w:tblPrEx>
          <w:tblW w:w="9092" w:type="dxa"/>
          <w:tblLook w:val="01E0"/>
        </w:tblPrEx>
        <w:trPr>
          <w:trHeight w:val="807"/>
        </w:trPr>
        <w:tc>
          <w:tcPr>
            <w:tcW w:w="4561" w:type="dxa"/>
            <w:shd w:val="clear" w:color="auto" w:fill="auto"/>
          </w:tcPr>
          <w:p w:rsidR="005F2E0C" w:rsidRPr="00FA14E0" w:rsidP="005F2E0C" w14:paraId="59D206C8" w14:textId="2CE20AA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2E0C">
              <w:rPr>
                <w:rFonts w:ascii="Times New Roman" w:hAnsi="Times New Roman" w:cs="Times New Roman"/>
                <w:sz w:val="24"/>
                <w:szCs w:val="24"/>
              </w:rPr>
              <w:t>In the Matter of Establishing the Solar Generation Fund Rider Pursuant to R.C. 3706.46.</w:t>
            </w:r>
          </w:p>
        </w:tc>
        <w:tc>
          <w:tcPr>
            <w:tcW w:w="299" w:type="dxa"/>
            <w:shd w:val="clear" w:color="auto" w:fill="auto"/>
          </w:tcPr>
          <w:p w:rsidR="005F2E0C" w:rsidRPr="00FA14E0" w:rsidP="00050007" w14:paraId="695AFD1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A1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E0C" w:rsidRPr="00FA14E0" w:rsidP="00050007" w14:paraId="62AD7FA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A1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E0C" w:rsidRPr="00FA14E0" w:rsidP="00050007" w14:paraId="3506168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A1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2" w:type="dxa"/>
            <w:shd w:val="clear" w:color="auto" w:fill="auto"/>
          </w:tcPr>
          <w:p w:rsidR="005F2E0C" w:rsidRPr="00FA14E0" w:rsidP="00050007" w14:paraId="459A5C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0C" w:rsidRPr="00FA14E0" w:rsidP="00050007" w14:paraId="4DECF3C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A14E0">
              <w:rPr>
                <w:rFonts w:ascii="Times New Roman" w:hAnsi="Times New Roman" w:cs="Times New Roman"/>
                <w:sz w:val="24"/>
                <w:szCs w:val="24"/>
              </w:rPr>
              <w:t>Case No. 21-447-EL-UNC</w:t>
            </w:r>
          </w:p>
          <w:p w:rsidR="005F2E0C" w:rsidRPr="00FA14E0" w:rsidP="00050007" w14:paraId="1650EBCB" w14:textId="77777777">
            <w:pPr>
              <w:rPr>
                <w:szCs w:val="24"/>
              </w:rPr>
            </w:pPr>
          </w:p>
        </w:tc>
      </w:tr>
    </w:tbl>
    <w:p w:rsidR="005F2E0C" w:rsidRPr="00FA14E0" w:rsidP="005F2E0C" w14:paraId="784D034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F2E0C" w:rsidRPr="00FA14E0" w:rsidP="005F2E0C" w14:paraId="3D83D765" w14:textId="77777777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F2E0C" w:rsidRPr="005F2E0C" w:rsidP="005F2E0C" w14:paraId="05EB0973" w14:textId="102C2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REPLY COMMENTS FOR CONSUMER PROTECTION</w:t>
      </w:r>
    </w:p>
    <w:p w:rsidR="005F2E0C" w:rsidRPr="005F2E0C" w:rsidP="005F2E0C" w14:paraId="24D6266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0C"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:rsidR="005F2E0C" w:rsidRPr="005F2E0C" w:rsidP="009D38B3" w14:paraId="468BAB36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0C">
        <w:rPr>
          <w:rFonts w:ascii="Times New Roman" w:hAnsi="Times New Roman" w:cs="Times New Roman"/>
          <w:b/>
          <w:bCs/>
          <w:sz w:val="24"/>
          <w:szCs w:val="24"/>
        </w:rPr>
        <w:t>OFFICE OF THE OHIO CONSUMERS' COUNSEL</w:t>
      </w:r>
    </w:p>
    <w:p w:rsidR="005F2E0C" w:rsidRPr="00FA14E0" w:rsidP="005F2E0C" w14:paraId="77340B22" w14:textId="77777777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:rsidR="000F451A" w:rsidRPr="005F2E0C" w:rsidP="005F2E0C" w14:paraId="1407F381" w14:textId="4EB7459E">
      <w:pPr>
        <w:pStyle w:val="Heading1"/>
        <w:numPr>
          <w:ilvl w:val="0"/>
          <w:numId w:val="3"/>
        </w:numPr>
        <w:ind w:left="720"/>
        <w:rPr>
          <w:b w:val="0"/>
          <w:bCs/>
        </w:rPr>
      </w:pPr>
      <w:r w:rsidRPr="005F2E0C">
        <w:rPr>
          <w:b w:val="0"/>
          <w:bCs/>
        </w:rPr>
        <w:t>I</w:t>
      </w:r>
      <w:r w:rsidRPr="005F2E0C" w:rsidR="005F2E0C">
        <w:rPr>
          <w:b w:val="0"/>
          <w:bCs/>
        </w:rPr>
        <w:t>NTRODUCTION</w:t>
      </w:r>
    </w:p>
    <w:p w:rsidR="000F451A" w:rsidRPr="005F2E0C" w:rsidP="00021A8A" w14:paraId="7960515D" w14:textId="0A959F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ab/>
        <w:t>Tainted House Bill 6 created subsidies for qualifying solar resources and in-state nuclear resources.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Recently enacted House Bill 128 repealed the subsidy for the in-state nuclear </w:t>
      </w:r>
      <w:r w:rsidRPr="005F2E0C" w:rsidR="00DA321C">
        <w:rPr>
          <w:rFonts w:ascii="Times New Roman" w:hAnsi="Times New Roman" w:cs="Times New Roman"/>
          <w:sz w:val="24"/>
          <w:szCs w:val="24"/>
        </w:rPr>
        <w:t>resources</w:t>
      </w:r>
      <w:r w:rsidRPr="005F2E0C">
        <w:rPr>
          <w:rFonts w:ascii="Times New Roman" w:hAnsi="Times New Roman" w:cs="Times New Roman"/>
          <w:sz w:val="24"/>
          <w:szCs w:val="24"/>
        </w:rPr>
        <w:t xml:space="preserve"> but kept the subsidy for qualifying solar facilities.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Consumers could be charged up to $20 million </w:t>
      </w:r>
      <w:r w:rsidR="001D798D">
        <w:rPr>
          <w:rFonts w:ascii="Times New Roman" w:hAnsi="Times New Roman" w:cs="Times New Roman"/>
          <w:sz w:val="24"/>
          <w:szCs w:val="24"/>
        </w:rPr>
        <w:t xml:space="preserve">per year </w:t>
      </w:r>
      <w:r w:rsidRPr="005F2E0C">
        <w:rPr>
          <w:rFonts w:ascii="Times New Roman" w:hAnsi="Times New Roman" w:cs="Times New Roman"/>
          <w:sz w:val="24"/>
          <w:szCs w:val="24"/>
        </w:rPr>
        <w:t>for the solar subsidy.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On April 19, 2021, the Staff of the Public Utilities Commission of Ohio (“Staff”) filed comments recommending proposed methodologies to collect </w:t>
      </w:r>
      <w:r w:rsidR="005F37F2">
        <w:rPr>
          <w:rFonts w:ascii="Times New Roman" w:hAnsi="Times New Roman" w:cs="Times New Roman"/>
          <w:sz w:val="24"/>
          <w:szCs w:val="24"/>
        </w:rPr>
        <w:t xml:space="preserve">from customers </w:t>
      </w:r>
      <w:r w:rsidRPr="005F2E0C" w:rsidR="00DA321C">
        <w:rPr>
          <w:rFonts w:ascii="Times New Roman" w:hAnsi="Times New Roman" w:cs="Times New Roman"/>
          <w:sz w:val="24"/>
          <w:szCs w:val="24"/>
        </w:rPr>
        <w:t xml:space="preserve">the solar subsidy </w:t>
      </w:r>
      <w:r w:rsidRPr="005F2E0C">
        <w:rPr>
          <w:rFonts w:ascii="Times New Roman" w:hAnsi="Times New Roman" w:cs="Times New Roman"/>
          <w:sz w:val="24"/>
          <w:szCs w:val="24"/>
        </w:rPr>
        <w:t xml:space="preserve">through the </w:t>
      </w:r>
      <w:r w:rsidRPr="005F2E0C" w:rsidR="00DA321C">
        <w:rPr>
          <w:rFonts w:ascii="Times New Roman" w:hAnsi="Times New Roman" w:cs="Times New Roman"/>
          <w:sz w:val="24"/>
          <w:szCs w:val="24"/>
        </w:rPr>
        <w:t>Solar Generation Fund Rider (“Solar Subsidy”).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2D4C19">
        <w:rPr>
          <w:rFonts w:ascii="Times New Roman" w:hAnsi="Times New Roman" w:cs="Times New Roman"/>
          <w:sz w:val="24"/>
          <w:szCs w:val="24"/>
        </w:rPr>
        <w:t>Stakeholders filed comments on</w:t>
      </w:r>
      <w:r w:rsidR="001D798D">
        <w:rPr>
          <w:rFonts w:ascii="Times New Roman" w:hAnsi="Times New Roman" w:cs="Times New Roman"/>
          <w:sz w:val="24"/>
          <w:szCs w:val="24"/>
        </w:rPr>
        <w:t xml:space="preserve"> the PUCO</w:t>
      </w:r>
      <w:r w:rsidRPr="005F2E0C" w:rsidR="002D4C19">
        <w:rPr>
          <w:rFonts w:ascii="Times New Roman" w:hAnsi="Times New Roman" w:cs="Times New Roman"/>
          <w:sz w:val="24"/>
          <w:szCs w:val="24"/>
        </w:rPr>
        <w:t xml:space="preserve"> Staff’s proposal on May 18, 2021.</w:t>
      </w:r>
    </w:p>
    <w:p w:rsidR="00281274" w:rsidP="005F2E0C" w14:paraId="5E018423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Sect="000641B4">
          <w:footerReference w:type="default" r:id="rId6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 w:rsidRPr="005F2E0C">
        <w:rPr>
          <w:rFonts w:ascii="Times New Roman" w:hAnsi="Times New Roman" w:cs="Times New Roman"/>
          <w:sz w:val="24"/>
          <w:szCs w:val="24"/>
        </w:rPr>
        <w:tab/>
        <w:t>The Office of the Ohio Consumers’ Counsel (“OCC”) largely supports Staff’s proposal.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But there are consumer protections that the </w:t>
      </w:r>
      <w:r w:rsidR="008838AD">
        <w:rPr>
          <w:rFonts w:ascii="Times New Roman" w:hAnsi="Times New Roman" w:cs="Times New Roman"/>
          <w:sz w:val="24"/>
          <w:szCs w:val="24"/>
        </w:rPr>
        <w:t>Public Utilities Commission of Ohio (“PUCO”)</w:t>
      </w:r>
      <w:r w:rsidRPr="005F2E0C" w:rsidR="008838AD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should adopt beyond </w:t>
      </w:r>
      <w:r w:rsidR="001D798D">
        <w:rPr>
          <w:rFonts w:ascii="Times New Roman" w:hAnsi="Times New Roman" w:cs="Times New Roman"/>
          <w:sz w:val="24"/>
          <w:szCs w:val="24"/>
        </w:rPr>
        <w:t xml:space="preserve">what the PUCO </w:t>
      </w:r>
      <w:r w:rsidRPr="005F2E0C">
        <w:rPr>
          <w:rFonts w:ascii="Times New Roman" w:hAnsi="Times New Roman" w:cs="Times New Roman"/>
          <w:sz w:val="24"/>
          <w:szCs w:val="24"/>
        </w:rPr>
        <w:t>Staff</w:t>
      </w:r>
      <w:r w:rsidR="001D798D">
        <w:rPr>
          <w:rFonts w:ascii="Times New Roman" w:hAnsi="Times New Roman" w:cs="Times New Roman"/>
          <w:sz w:val="24"/>
          <w:szCs w:val="24"/>
        </w:rPr>
        <w:t xml:space="preserve"> is proposing. 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OCC appreciates this opportunity to file reply comments in support of those consumer protections.</w:t>
      </w:r>
    </w:p>
    <w:p w:rsidR="00DA321C" w:rsidRPr="005F2E0C" w:rsidP="005F2E0C" w14:paraId="707327D9" w14:textId="3906B389">
      <w:pPr>
        <w:pStyle w:val="Heading1"/>
        <w:numPr>
          <w:ilvl w:val="0"/>
          <w:numId w:val="3"/>
        </w:numPr>
        <w:ind w:left="720"/>
      </w:pPr>
      <w:r w:rsidRPr="005F2E0C">
        <w:t>RECOMMENDATIONS</w:t>
      </w:r>
    </w:p>
    <w:p w:rsidR="000641B4" w:rsidP="008537EC" w14:paraId="4025C394" w14:textId="77777777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F2E0C">
        <w:rPr>
          <w:rFonts w:ascii="Times New Roman" w:hAnsi="Times New Roman" w:cs="Times New Roman"/>
          <w:b/>
          <w:bCs/>
          <w:sz w:val="24"/>
          <w:szCs w:val="24"/>
        </w:rPr>
        <w:t>To protect consumers, the PUCO should not establish a $20 million revenue requirement for the Solar Subsidy for periods when no solar generation occurred</w:t>
      </w:r>
      <w:r w:rsidRPr="005F2E0C" w:rsidR="005A6CF3">
        <w:rPr>
          <w:rFonts w:ascii="Times New Roman" w:hAnsi="Times New Roman" w:cs="Times New Roman"/>
          <w:b/>
          <w:bCs/>
          <w:sz w:val="24"/>
          <w:szCs w:val="24"/>
        </w:rPr>
        <w:t xml:space="preserve"> or did not occur at a level justifying a $20 million revenue requirement</w:t>
      </w:r>
      <w:r w:rsidRPr="005F2E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4BB4" w:rsidP="00021A8A" w14:paraId="31F686C1" w14:textId="38AF827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In its comments, the Ohio Manufacturers Association Energy Group (“OMAEG”) explains how the statutes governing the Solar Subsidy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F2E0C">
        <w:rPr>
          <w:rFonts w:ascii="Times New Roman" w:hAnsi="Times New Roman" w:cs="Times New Roman"/>
          <w:sz w:val="24"/>
          <w:szCs w:val="24"/>
        </w:rPr>
        <w:t xml:space="preserve"> direct the PUCO to “to establish a revenue requirement of </w:t>
      </w:r>
      <w:r w:rsidRPr="005618F8">
        <w:rPr>
          <w:rFonts w:ascii="Times New Roman" w:hAnsi="Times New Roman" w:cs="Times New Roman"/>
          <w:i/>
          <w:iCs/>
          <w:sz w:val="24"/>
          <w:szCs w:val="24"/>
        </w:rPr>
        <w:t>up to $20 million</w:t>
      </w:r>
      <w:r w:rsidRPr="005F2E0C">
        <w:rPr>
          <w:rFonts w:ascii="Times New Roman" w:hAnsi="Times New Roman" w:cs="Times New Roman"/>
          <w:sz w:val="24"/>
          <w:szCs w:val="24"/>
        </w:rPr>
        <w:t xml:space="preserve"> that is sufficient to produce the amount necessary to pay the required disbursements from the Solar Generation Fund that a qualifying facility has earned based on the facilities’ generation output for the prior twelve-month period.”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561A0A">
        <w:rPr>
          <w:rFonts w:ascii="Times New Roman" w:hAnsi="Times New Roman" w:cs="Times New Roman"/>
          <w:sz w:val="24"/>
          <w:szCs w:val="24"/>
        </w:rPr>
        <w:t>As a result, OMAEG recommends that the PUCO “should not establish a revenue requirement of $20 million for periods where no generation was produced or will be produced by qualifying solar resources and, therefore, no credits have been earned or will be earned.”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561A0A">
        <w:rPr>
          <w:rFonts w:ascii="Times New Roman" w:hAnsi="Times New Roman" w:cs="Times New Roman"/>
          <w:sz w:val="24"/>
          <w:szCs w:val="24"/>
        </w:rPr>
        <w:t xml:space="preserve">OMAEG </w:t>
      </w:r>
      <w:r w:rsidR="002A422A">
        <w:rPr>
          <w:rFonts w:ascii="Times New Roman" w:hAnsi="Times New Roman" w:cs="Times New Roman"/>
          <w:sz w:val="24"/>
          <w:szCs w:val="24"/>
        </w:rPr>
        <w:t xml:space="preserve">further </w:t>
      </w:r>
      <w:r w:rsidRPr="005F2E0C" w:rsidR="00561A0A">
        <w:rPr>
          <w:rFonts w:ascii="Times New Roman" w:hAnsi="Times New Roman" w:cs="Times New Roman"/>
          <w:sz w:val="24"/>
          <w:szCs w:val="24"/>
        </w:rPr>
        <w:t xml:space="preserve">recommends that the PUCO </w:t>
      </w:r>
      <w:r w:rsidR="008838AD">
        <w:rPr>
          <w:rFonts w:ascii="Times New Roman" w:hAnsi="Times New Roman" w:cs="Times New Roman"/>
          <w:sz w:val="24"/>
          <w:szCs w:val="24"/>
        </w:rPr>
        <w:t xml:space="preserve">“should also not </w:t>
      </w:r>
      <w:r w:rsidRPr="005F2E0C" w:rsidR="00561A0A">
        <w:rPr>
          <w:rFonts w:ascii="Times New Roman" w:hAnsi="Times New Roman" w:cs="Times New Roman"/>
          <w:sz w:val="24"/>
          <w:szCs w:val="24"/>
        </w:rPr>
        <w:t>establish a revenue requirement of $20 million for periods where no generation was produced or will be produced at the level of which would result in a requirement of $20 million in payments to qualified solar resources for credits earned.”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561A0A" w:rsidP="00021A8A" w14:paraId="17C116FE" w14:textId="08B641D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OCC supports OMAEG’s comments and recommends that the PUCO adopt OMAEG’s recommendations</w:t>
      </w:r>
      <w:r w:rsidRPr="005F2E0C" w:rsidR="00D37284">
        <w:rPr>
          <w:rFonts w:ascii="Times New Roman" w:hAnsi="Times New Roman" w:cs="Times New Roman"/>
          <w:sz w:val="24"/>
          <w:szCs w:val="24"/>
        </w:rPr>
        <w:t xml:space="preserve"> for consumer protection</w:t>
      </w:r>
      <w:r w:rsidRPr="005F2E0C">
        <w:rPr>
          <w:rFonts w:ascii="Times New Roman" w:hAnsi="Times New Roman" w:cs="Times New Roman"/>
          <w:sz w:val="24"/>
          <w:szCs w:val="24"/>
        </w:rPr>
        <w:t>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5A6CF3">
        <w:rPr>
          <w:rFonts w:ascii="Times New Roman" w:hAnsi="Times New Roman" w:cs="Times New Roman"/>
          <w:sz w:val="24"/>
          <w:szCs w:val="24"/>
        </w:rPr>
        <w:t xml:space="preserve">Consistent with the statutes governing the Solar Subsidy, consumers should not be charged to subsidize solar generation that does not occur or does not occur at a level justifying a $20 million </w:t>
      </w:r>
      <w:r w:rsidR="008838AD">
        <w:rPr>
          <w:rFonts w:ascii="Times New Roman" w:hAnsi="Times New Roman" w:cs="Times New Roman"/>
          <w:sz w:val="24"/>
          <w:szCs w:val="24"/>
        </w:rPr>
        <w:t>solar subsidy</w:t>
      </w:r>
      <w:r w:rsidR="00F4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029" w:rsidP="00021A8A" w14:paraId="5307BF06" w14:textId="7777777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A6CF3" w:rsidRPr="005F2E0C" w:rsidP="008537EC" w14:paraId="0E4B558D" w14:textId="3E1CBBC2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F2E0C">
        <w:rPr>
          <w:rFonts w:ascii="Times New Roman" w:hAnsi="Times New Roman" w:cs="Times New Roman"/>
          <w:b/>
          <w:bCs/>
          <w:sz w:val="24"/>
          <w:szCs w:val="24"/>
        </w:rPr>
        <w:t>To protect consumers, the commercial activity tax should not be collected from consumers through the Solar Subsidy.</w:t>
      </w:r>
    </w:p>
    <w:p w:rsidR="003609B3" w:rsidRPr="005618F8" w:rsidP="005618F8" w14:paraId="4BE7131F" w14:textId="2EBDA7D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In its comments, OMAEG recommends that the commercial activity tax should not be collected from consumers through the Solar Subsidy.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D37284">
        <w:rPr>
          <w:rFonts w:ascii="Times New Roman" w:hAnsi="Times New Roman" w:cs="Times New Roman"/>
          <w:sz w:val="24"/>
          <w:szCs w:val="24"/>
        </w:rPr>
        <w:t>The Solar Subsidy “is a pass-through to private electric generating companies. These businesses should be responsible for paying the [commercial activity tax] on revenues they receive, as is the case with any other private business.”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 w:rsidR="00D37284">
        <w:rPr>
          <w:rFonts w:ascii="Times New Roman" w:hAnsi="Times New Roman" w:cs="Times New Roman"/>
          <w:sz w:val="24"/>
          <w:szCs w:val="24"/>
        </w:rPr>
        <w:t>House Bill 128 does not authorize collecting the commercial activity tax through the Solar Subsidy.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29" w:rsidP="005618F8" w14:paraId="64A41CFA" w14:textId="7777777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OCC supports OMAEG’s comments and recommends that the PUCO adopt OMAEG’s recommendations for consumer protection.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The PUCO “is a creature of the General Assembly and may exercise no jurisdiction beyond that conferred by statute.”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H.B. 128 does not authorize collecting the commercial activity tax through the Solar Subsidy, so the PUCO should not (and cannot) allow it.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284" w:rsidP="00D45B79" w14:paraId="7EEF9860" w14:textId="3169233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C6029">
        <w:rPr>
          <w:rFonts w:ascii="Times New Roman" w:hAnsi="Times New Roman" w:cs="Times New Roman"/>
          <w:b/>
          <w:bCs/>
          <w:sz w:val="24"/>
          <w:szCs w:val="24"/>
        </w:rPr>
        <w:t xml:space="preserve">To protect consumers, the PUCO should direct that Solar Subsidy tariffs provide that Solar Subsidy charges are subject to refund. </w:t>
      </w:r>
    </w:p>
    <w:p w:rsidR="005C6029" w:rsidRPr="005C6029" w:rsidP="005C6029" w14:paraId="2978AE4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056" w:rsidRPr="005F2E0C" w:rsidP="00021A8A" w14:paraId="4B44D6AF" w14:textId="07517F5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OMAEG recommends in its comments that “[b]ecause Rider SGF is a nonbypassable mechanism that will be implemented throughout the state, [the PUCO should] protect all Ohio customers by requiring utilities to include refund language in the tariffs of Rider SGF so that any charges later deemed unlawful could be refunded to customers.”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OCC recommends that the PUCO adopt OMAEG’s recommendation.</w:t>
      </w:r>
    </w:p>
    <w:p w:rsidR="00BD4056" w:rsidRPr="005F2E0C" w:rsidP="00BD4056" w14:paraId="21FB5521" w14:textId="36A1B13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 xml:space="preserve">Without subject to refund language, any successful appeal of the legality of the Solar Subsidy </w:t>
      </w:r>
      <w:r w:rsidR="005E0CCA">
        <w:rPr>
          <w:rFonts w:ascii="Times New Roman" w:hAnsi="Times New Roman" w:cs="Times New Roman"/>
          <w:sz w:val="24"/>
          <w:szCs w:val="24"/>
        </w:rPr>
        <w:t>w</w:t>
      </w:r>
      <w:r w:rsidRPr="005F2E0C">
        <w:rPr>
          <w:rFonts w:ascii="Times New Roman" w:hAnsi="Times New Roman" w:cs="Times New Roman"/>
          <w:sz w:val="24"/>
          <w:szCs w:val="24"/>
        </w:rPr>
        <w:t xml:space="preserve">ould not cure the injury suffered by consumers </w:t>
      </w:r>
      <w:r w:rsidR="00533588">
        <w:rPr>
          <w:rFonts w:ascii="Times New Roman" w:hAnsi="Times New Roman" w:cs="Times New Roman"/>
          <w:sz w:val="24"/>
          <w:szCs w:val="24"/>
        </w:rPr>
        <w:t>caused by</w:t>
      </w:r>
      <w:r w:rsidRPr="005F2E0C">
        <w:rPr>
          <w:rFonts w:ascii="Times New Roman" w:hAnsi="Times New Roman" w:cs="Times New Roman"/>
          <w:sz w:val="24"/>
          <w:szCs w:val="24"/>
        </w:rPr>
        <w:t xml:space="preserve"> paying </w:t>
      </w:r>
      <w:r w:rsidR="00533588">
        <w:rPr>
          <w:rFonts w:ascii="Times New Roman" w:hAnsi="Times New Roman" w:cs="Times New Roman"/>
          <w:sz w:val="24"/>
          <w:szCs w:val="24"/>
        </w:rPr>
        <w:t xml:space="preserve">the </w:t>
      </w:r>
      <w:r w:rsidRPr="005F2E0C">
        <w:rPr>
          <w:rFonts w:ascii="Times New Roman" w:hAnsi="Times New Roman" w:cs="Times New Roman"/>
          <w:sz w:val="24"/>
          <w:szCs w:val="24"/>
        </w:rPr>
        <w:t>unlawful charges.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5F2E0C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i/>
          <w:sz w:val="24"/>
          <w:szCs w:val="24"/>
        </w:rPr>
        <w:t>Keco Industries Inc. v. Cincinnati &amp; Suburban Bell Tel. Co.</w:t>
      </w:r>
      <w:r w:rsidRPr="005F2E0C">
        <w:rPr>
          <w:rFonts w:ascii="Times New Roman" w:hAnsi="Times New Roman" w:cs="Times New Roman"/>
          <w:sz w:val="24"/>
          <w:szCs w:val="24"/>
        </w:rPr>
        <w:t>, 166 Ohio St. 254, 141 N.E.2d 465 (1957)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D38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11B0" w:rsidRPr="005F2E0C" w:rsidP="00BD4056" w14:paraId="35504B5B" w14:textId="6C90555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Justice Pfeifer called this situation “unconscionable.”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In re Columbus Southern Power Co</w:t>
      </w:r>
      <w:r w:rsidRPr="005F2E0C">
        <w:rPr>
          <w:rFonts w:ascii="Times New Roman" w:hAnsi="Times New Roman" w:cs="Times New Roman"/>
          <w:sz w:val="24"/>
          <w:szCs w:val="24"/>
        </w:rPr>
        <w:t>., 138 Ohio St.3d 488, 2014-Ohio-462, ¶62 (dissent).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In discussing the lack of refund to AEP consumers for $368 million in unlawful charges, he wrote that “it boggles the mind that this court would ever countenance such a proposition: that a </w:t>
      </w:r>
      <w:r w:rsidRPr="005F2E0C">
        <w:rPr>
          <w:rStyle w:val="sssh"/>
          <w:sz w:val="24"/>
          <w:szCs w:val="24"/>
        </w:rPr>
        <w:t>public</w:t>
      </w:r>
      <w:r w:rsidRPr="005F2E0C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Style w:val="sssh"/>
          <w:sz w:val="24"/>
          <w:szCs w:val="24"/>
        </w:rPr>
        <w:t>utility</w:t>
      </w:r>
      <w:r w:rsidRPr="005F2E0C">
        <w:rPr>
          <w:rFonts w:ascii="Times New Roman" w:hAnsi="Times New Roman" w:cs="Times New Roman"/>
          <w:sz w:val="24"/>
          <w:szCs w:val="24"/>
        </w:rPr>
        <w:t xml:space="preserve"> should be allowed to fatten itself on the backs of Ohio residents by collecting unjustified charges.”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Id.</w:t>
      </w:r>
      <w:r w:rsidRPr="005F2E0C">
        <w:rPr>
          <w:rFonts w:ascii="Times New Roman" w:hAnsi="Times New Roman" w:cs="Times New Roman"/>
          <w:sz w:val="24"/>
          <w:szCs w:val="24"/>
        </w:rPr>
        <w:t xml:space="preserve"> at ¶63.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He went on to further advocate against using the 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Keco</w:t>
      </w:r>
      <w:r w:rsidRPr="005F2E0C">
        <w:rPr>
          <w:rFonts w:ascii="Times New Roman" w:hAnsi="Times New Roman" w:cs="Times New Roman"/>
          <w:sz w:val="24"/>
          <w:szCs w:val="24"/>
        </w:rPr>
        <w:t xml:space="preserve"> precedent to deny refunds to consumers: “Doing so because of a 50-year-old case that is not supported by the statute on which it is based is ridiculous. The ratepayers of Ohio deserve better. I </w:t>
      </w:r>
      <w:r w:rsidRPr="005F2E0C">
        <w:rPr>
          <w:rStyle w:val="sssh"/>
          <w:sz w:val="24"/>
          <w:szCs w:val="24"/>
        </w:rPr>
        <w:t>dissent</w:t>
      </w:r>
      <w:r w:rsidRPr="005F2E0C">
        <w:rPr>
          <w:rFonts w:ascii="Times New Roman" w:hAnsi="Times New Roman" w:cs="Times New Roman"/>
          <w:sz w:val="24"/>
          <w:szCs w:val="24"/>
        </w:rPr>
        <w:t xml:space="preserve">.” </w:t>
      </w:r>
      <w:r w:rsidRPr="005F2E0C">
        <w:rPr>
          <w:rFonts w:ascii="Times New Roman" w:hAnsi="Times New Roman" w:cs="Times New Roman"/>
          <w:i/>
          <w:iCs/>
          <w:sz w:val="24"/>
          <w:szCs w:val="24"/>
        </w:rPr>
        <w:t>Id.</w:t>
      </w:r>
      <w:r w:rsidRPr="005F2E0C">
        <w:rPr>
          <w:rFonts w:ascii="Times New Roman" w:hAnsi="Times New Roman" w:cs="Times New Roman"/>
          <w:sz w:val="24"/>
          <w:szCs w:val="24"/>
        </w:rPr>
        <w:t xml:space="preserve"> at ¶64. </w:t>
      </w:r>
    </w:p>
    <w:p w:rsidR="004E11B0" w:rsidP="00BD4056" w14:paraId="08C76835" w14:textId="20CD71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But as OMAEG points out, “the Supreme Court of Ohio has also explained that the [PUCO] can avoid a situation where customers are barred from refunds by requiring utilities to include refund language in the tariffs.”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="00B635F9">
        <w:rPr>
          <w:rFonts w:ascii="Times New Roman" w:hAnsi="Times New Roman" w:cs="Times New Roman"/>
          <w:sz w:val="24"/>
          <w:szCs w:val="24"/>
        </w:rPr>
        <w:t>And “</w:t>
      </w:r>
      <w:r w:rsidRPr="005618F8" w:rsidR="00B635F9">
        <w:rPr>
          <w:rFonts w:ascii="Times New Roman" w:hAnsi="Times New Roman" w:cs="Times New Roman"/>
          <w:sz w:val="24"/>
          <w:szCs w:val="24"/>
        </w:rPr>
        <w:t>[a]dding refund language to the tariffs is also consistent with the reconciliation language contained in the new version of the law, R.C. 3706.55(B).”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B635F9">
        <w:rPr>
          <w:rFonts w:ascii="Times New Roman" w:hAnsi="Times New Roman" w:cs="Times New Roman"/>
          <w:sz w:val="24"/>
          <w:szCs w:val="24"/>
        </w:rPr>
        <w:t xml:space="preserve"> </w:t>
      </w:r>
      <w:r w:rsidR="00B635F9"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To protect consumers, the PUCO require that Solar Subsidy tariffs include </w:t>
      </w:r>
      <w:r w:rsidR="00EB5C2D">
        <w:rPr>
          <w:rFonts w:ascii="Times New Roman" w:hAnsi="Times New Roman" w:cs="Times New Roman"/>
          <w:sz w:val="24"/>
          <w:szCs w:val="24"/>
        </w:rPr>
        <w:t>“</w:t>
      </w:r>
      <w:r w:rsidRPr="005F2E0C">
        <w:rPr>
          <w:rFonts w:ascii="Times New Roman" w:hAnsi="Times New Roman" w:cs="Times New Roman"/>
          <w:sz w:val="24"/>
          <w:szCs w:val="24"/>
        </w:rPr>
        <w:t>subject to refund</w:t>
      </w:r>
      <w:r w:rsidR="00EB5C2D">
        <w:rPr>
          <w:rFonts w:ascii="Times New Roman" w:hAnsi="Times New Roman" w:cs="Times New Roman"/>
          <w:sz w:val="24"/>
          <w:szCs w:val="24"/>
        </w:rPr>
        <w:t>”</w:t>
      </w:r>
      <w:r w:rsidRPr="005F2E0C">
        <w:rPr>
          <w:rFonts w:ascii="Times New Roman" w:hAnsi="Times New Roman" w:cs="Times New Roman"/>
          <w:sz w:val="24"/>
          <w:szCs w:val="24"/>
        </w:rPr>
        <w:t xml:space="preserve"> language.</w:t>
      </w:r>
    </w:p>
    <w:p w:rsidR="008537EC" w:rsidRPr="005F2E0C" w:rsidP="008537EC" w14:paraId="03848469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E11B0" w:rsidRPr="005F2E0C" w:rsidP="008537EC" w14:paraId="51258139" w14:textId="5FFDF8CE">
      <w:pPr>
        <w:pStyle w:val="Heading1"/>
        <w:spacing w:before="0"/>
      </w:pPr>
      <w:r w:rsidRPr="005F2E0C">
        <w:t>I</w:t>
      </w:r>
      <w:r w:rsidR="008537EC">
        <w:t>II</w:t>
      </w:r>
      <w:r w:rsidRPr="005F2E0C">
        <w:t>.</w:t>
      </w:r>
      <w:r w:rsidRPr="005F2E0C">
        <w:tab/>
        <w:t>CONCLUSION</w:t>
      </w:r>
    </w:p>
    <w:p w:rsidR="00722866" w:rsidP="005C6029" w14:paraId="351489F7" w14:textId="7B1993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2E0C">
        <w:rPr>
          <w:rFonts w:ascii="Times New Roman" w:hAnsi="Times New Roman" w:cs="Times New Roman"/>
          <w:sz w:val="24"/>
          <w:szCs w:val="24"/>
        </w:rPr>
        <w:t>The Staff’s proposal regarding the Solar Subsidy is not without merit.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But it could be improved with additional consumer protections.</w:t>
      </w:r>
      <w:r w:rsidR="009D38B3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>It should be, as recommended by OMAEG and OCC.</w:t>
      </w:r>
    </w:p>
    <w:p w:rsidR="00722866" w:rsidP="00722866" w14:paraId="62A3A0BB" w14:textId="4399514A">
      <w:pPr>
        <w:pStyle w:val="BodyTextIndent3"/>
        <w:widowControl w:val="0"/>
        <w:spacing w:line="240" w:lineRule="auto"/>
        <w:ind w:left="3960" w:firstLine="0"/>
        <w:rPr>
          <w:szCs w:val="24"/>
        </w:rPr>
      </w:pPr>
      <w:r w:rsidRPr="00722866">
        <w:rPr>
          <w:szCs w:val="24"/>
        </w:rPr>
        <w:t>Respectfully submitted,</w:t>
      </w:r>
    </w:p>
    <w:p w:rsidR="00722866" w:rsidRPr="00722866" w:rsidP="00722866" w14:paraId="6BD06596" w14:textId="77777777">
      <w:pPr>
        <w:pStyle w:val="BodyTextIndent3"/>
        <w:widowControl w:val="0"/>
        <w:spacing w:line="240" w:lineRule="auto"/>
        <w:ind w:left="3960" w:firstLine="0"/>
        <w:rPr>
          <w:szCs w:val="24"/>
        </w:rPr>
      </w:pPr>
    </w:p>
    <w:p w:rsidR="00722866" w:rsidRPr="00722866" w:rsidP="00722866" w14:paraId="3A5A2011" w14:textId="77777777">
      <w:pPr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Bruce Weston (0016973)</w:t>
      </w:r>
    </w:p>
    <w:p w:rsidR="00722866" w:rsidRPr="00722866" w:rsidP="00722866" w14:paraId="2E8D08DD" w14:textId="77777777">
      <w:pPr>
        <w:tabs>
          <w:tab w:val="left" w:pos="432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Ohio Consumers’ Counsel</w:t>
      </w:r>
    </w:p>
    <w:p w:rsidR="00722866" w:rsidRPr="00722866" w:rsidP="00722866" w14:paraId="7399D435" w14:textId="77777777">
      <w:pPr>
        <w:tabs>
          <w:tab w:val="left" w:pos="4320"/>
        </w:tabs>
        <w:spacing w:line="240" w:lineRule="auto"/>
        <w:ind w:left="3960"/>
        <w:rPr>
          <w:rFonts w:ascii="Times New Roman" w:hAnsi="Times New Roman" w:cs="Times New Roman"/>
          <w:sz w:val="24"/>
          <w:szCs w:val="24"/>
        </w:rPr>
      </w:pPr>
    </w:p>
    <w:p w:rsidR="00722866" w:rsidRPr="00722866" w:rsidP="009D38B3" w14:paraId="6F6EF1DB" w14:textId="77777777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i/>
          <w:sz w:val="24"/>
          <w:szCs w:val="24"/>
        </w:rPr>
      </w:pP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>/s/ William J. Michael</w:t>
      </w: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722866" w:rsidRPr="00722866" w:rsidP="00722866" w14:paraId="0E416176" w14:textId="77777777">
      <w:pPr>
        <w:tabs>
          <w:tab w:val="left" w:pos="432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William J. Michael (0070921)</w:t>
      </w:r>
    </w:p>
    <w:p w:rsidR="00722866" w:rsidRPr="00722866" w:rsidP="00722866" w14:paraId="7D44ABED" w14:textId="77777777">
      <w:pPr>
        <w:tabs>
          <w:tab w:val="left" w:pos="432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Counsel of Record</w:t>
      </w:r>
    </w:p>
    <w:p w:rsidR="00722866" w:rsidRPr="00722866" w:rsidP="00722866" w14:paraId="4E84AEEA" w14:textId="77777777">
      <w:pPr>
        <w:tabs>
          <w:tab w:val="left" w:pos="432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Ambrosia E. Wilson (0096598)</w:t>
      </w:r>
    </w:p>
    <w:p w:rsidR="00722866" w:rsidRPr="00722866" w:rsidP="009D38B3" w14:paraId="53371EBF" w14:textId="77777777">
      <w:pPr>
        <w:tabs>
          <w:tab w:val="left" w:pos="4320"/>
        </w:tabs>
        <w:spacing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Assistant Consumers' Counsel</w:t>
      </w:r>
    </w:p>
    <w:p w:rsidR="00722866" w:rsidRPr="00722866" w:rsidP="009D38B3" w14:paraId="04A37A21" w14:textId="2A8E9C51">
      <w:pPr>
        <w:pStyle w:val="Heading1"/>
        <w:spacing w:before="120" w:after="0"/>
        <w:ind w:left="3960" w:firstLine="0"/>
        <w:rPr>
          <w:rFonts w:ascii="Times New Roman" w:hAnsi="Times New Roman" w:cs="Times New Roman"/>
          <w:szCs w:val="24"/>
        </w:rPr>
      </w:pPr>
      <w:r w:rsidRPr="00722866">
        <w:rPr>
          <w:rFonts w:ascii="Times New Roman" w:hAnsi="Times New Roman" w:cs="Times New Roman"/>
          <w:caps w:val="0"/>
          <w:szCs w:val="24"/>
        </w:rPr>
        <w:t>Office Of The Ohio Consumers' Counsel</w:t>
      </w:r>
    </w:p>
    <w:p w:rsidR="00722866" w:rsidRPr="00722866" w:rsidP="00722866" w14:paraId="0E90F751" w14:textId="3B4B7C03">
      <w:pPr>
        <w:pStyle w:val="Heading1"/>
        <w:spacing w:before="0" w:after="0"/>
        <w:ind w:left="3960" w:firstLine="0"/>
        <w:rPr>
          <w:rFonts w:ascii="Times New Roman" w:hAnsi="Times New Roman" w:cs="Times New Roman"/>
          <w:b w:val="0"/>
          <w:szCs w:val="24"/>
        </w:rPr>
      </w:pPr>
      <w:r w:rsidRPr="00722866">
        <w:rPr>
          <w:rFonts w:ascii="Times New Roman" w:hAnsi="Times New Roman" w:cs="Times New Roman"/>
          <w:b w:val="0"/>
          <w:caps w:val="0"/>
          <w:szCs w:val="24"/>
        </w:rPr>
        <w:t>65 East State Street, 7th Floor</w:t>
      </w:r>
    </w:p>
    <w:p w:rsidR="00722866" w:rsidRPr="00722866" w:rsidP="00722866" w14:paraId="6A6CA229" w14:textId="33712767">
      <w:pPr>
        <w:pStyle w:val="Heading1"/>
        <w:spacing w:before="0" w:after="0"/>
        <w:ind w:left="3960" w:firstLine="0"/>
        <w:rPr>
          <w:rFonts w:ascii="Times New Roman" w:hAnsi="Times New Roman" w:cs="Times New Roman"/>
          <w:b w:val="0"/>
          <w:szCs w:val="24"/>
        </w:rPr>
      </w:pPr>
      <w:r w:rsidRPr="00722866">
        <w:rPr>
          <w:rFonts w:ascii="Times New Roman" w:hAnsi="Times New Roman" w:cs="Times New Roman"/>
          <w:b w:val="0"/>
          <w:caps w:val="0"/>
          <w:szCs w:val="24"/>
        </w:rPr>
        <w:t>Columbus, Ohio 43215</w:t>
      </w:r>
    </w:p>
    <w:p w:rsidR="00722866" w:rsidRPr="00722866" w:rsidP="00722866" w14:paraId="6495E086" w14:textId="77777777">
      <w:pPr>
        <w:autoSpaceDE w:val="0"/>
        <w:autoSpaceDN w:val="0"/>
        <w:adjustRightInd w:val="0"/>
        <w:spacing w:after="0" w:line="240" w:lineRule="auto"/>
        <w:ind w:left="3240" w:firstLine="72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Telephone [Michael]: (614) 466-1291</w:t>
      </w:r>
    </w:p>
    <w:p w:rsidR="00722866" w:rsidRPr="00722866" w:rsidP="00722866" w14:paraId="64D36884" w14:textId="77777777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Telephone [Wilson]: (614) 466-1292</w:t>
      </w:r>
    </w:p>
    <w:p w:rsidR="00722866" w:rsidRPr="00722866" w:rsidP="00722866" w14:paraId="1D5D891D" w14:textId="77777777">
      <w:pPr>
        <w:spacing w:after="0" w:line="240" w:lineRule="auto"/>
        <w:ind w:left="39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22866">
        <w:rPr>
          <w:rFonts w:ascii="Times New Roman" w:hAnsi="Times New Roman" w:cs="Times New Roman"/>
          <w:color w:val="0000FF"/>
          <w:sz w:val="24"/>
          <w:szCs w:val="24"/>
          <w:u w:val="single"/>
        </w:rPr>
        <w:t>william.michael@occ.ohio.gov</w:t>
      </w:r>
    </w:p>
    <w:p w:rsidR="00722866" w:rsidRPr="00722866" w:rsidP="00722866" w14:paraId="2861EC5D" w14:textId="77777777">
      <w:pPr>
        <w:spacing w:after="0" w:line="240" w:lineRule="auto"/>
        <w:ind w:left="39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Pr="00722866" w:rsidR="00D12C96">
          <w:rPr>
            <w:rStyle w:val="Hyperlink"/>
            <w:rFonts w:ascii="Times New Roman" w:hAnsi="Times New Roman" w:cs="Times New Roman"/>
            <w:sz w:val="24"/>
            <w:szCs w:val="24"/>
          </w:rPr>
          <w:t>ambrosia.wilson@occ.ohio.gov</w:t>
        </w:r>
      </w:hyperlink>
    </w:p>
    <w:p w:rsidR="00722866" w:rsidRPr="00722866" w:rsidP="00722866" w14:paraId="4FB5628F" w14:textId="77777777">
      <w:pPr>
        <w:spacing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(willing to accept service by e-mail)</w:t>
      </w:r>
    </w:p>
    <w:p w:rsidR="00722866" w14:paraId="13DB644D" w14:textId="5889A1F1">
      <w:pPr>
        <w:rPr>
          <w:b/>
          <w:bCs/>
        </w:rPr>
      </w:pPr>
      <w:r>
        <w:rPr>
          <w:b/>
          <w:bCs/>
        </w:rPr>
        <w:br w:type="page"/>
      </w:r>
    </w:p>
    <w:p w:rsidR="00722866" w:rsidRPr="00722866" w:rsidP="00722866" w14:paraId="7F1A366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66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:rsidR="00722866" w:rsidRPr="00722866" w:rsidP="00722866" w14:paraId="2BA5B31C" w14:textId="7B9D27EB">
      <w:pPr>
        <w:spacing w:line="48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I hereby certify that a copy of th</w:t>
      </w:r>
      <w:r w:rsidR="000641B4">
        <w:rPr>
          <w:rFonts w:ascii="Times New Roman" w:hAnsi="Times New Roman" w:cs="Times New Roman"/>
          <w:sz w:val="24"/>
          <w:szCs w:val="24"/>
        </w:rPr>
        <w:t>e</w:t>
      </w:r>
      <w:r w:rsidRPr="00722866">
        <w:rPr>
          <w:rFonts w:ascii="Times New Roman" w:hAnsi="Times New Roman" w:cs="Times New Roman"/>
          <w:sz w:val="24"/>
          <w:szCs w:val="24"/>
        </w:rPr>
        <w:t xml:space="preserve"> </w:t>
      </w:r>
      <w:r w:rsidR="000641B4">
        <w:rPr>
          <w:rFonts w:ascii="Times New Roman" w:hAnsi="Times New Roman" w:cs="Times New Roman"/>
          <w:sz w:val="24"/>
          <w:szCs w:val="24"/>
        </w:rPr>
        <w:t>Reply Comments</w:t>
      </w:r>
      <w:r w:rsidRPr="00722866">
        <w:rPr>
          <w:rFonts w:ascii="Times New Roman" w:hAnsi="Times New Roman" w:cs="Times New Roman"/>
          <w:sz w:val="24"/>
          <w:szCs w:val="24"/>
        </w:rPr>
        <w:t xml:space="preserve"> </w:t>
      </w:r>
      <w:r w:rsidRPr="00722866" w:rsidR="009D38B3">
        <w:rPr>
          <w:rFonts w:ascii="Times New Roman" w:hAnsi="Times New Roman" w:cs="Times New Roman"/>
          <w:sz w:val="24"/>
          <w:szCs w:val="24"/>
        </w:rPr>
        <w:t>w</w:t>
      </w:r>
      <w:r w:rsidR="009D38B3">
        <w:rPr>
          <w:rFonts w:ascii="Times New Roman" w:hAnsi="Times New Roman" w:cs="Times New Roman"/>
          <w:sz w:val="24"/>
          <w:szCs w:val="24"/>
        </w:rPr>
        <w:t>as</w:t>
      </w:r>
      <w:r w:rsidRPr="00722866">
        <w:rPr>
          <w:rFonts w:ascii="Times New Roman" w:hAnsi="Times New Roman" w:cs="Times New Roman"/>
          <w:sz w:val="24"/>
          <w:szCs w:val="24"/>
        </w:rPr>
        <w:t xml:space="preserve"> served on the persons stated below via</w:t>
      </w:r>
      <w:r w:rsidRPr="00722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2866">
        <w:rPr>
          <w:rFonts w:ascii="Times New Roman" w:hAnsi="Times New Roman" w:cs="Times New Roman"/>
          <w:sz w:val="24"/>
          <w:szCs w:val="24"/>
        </w:rPr>
        <w:t xml:space="preserve">electric transmission this </w:t>
      </w:r>
      <w:r w:rsidR="00021A8A">
        <w:rPr>
          <w:rFonts w:ascii="Times New Roman" w:hAnsi="Times New Roman" w:cs="Times New Roman"/>
          <w:sz w:val="24"/>
          <w:szCs w:val="24"/>
        </w:rPr>
        <w:t>28th</w:t>
      </w:r>
      <w:r w:rsidRPr="00722866">
        <w:rPr>
          <w:rFonts w:ascii="Times New Roman" w:hAnsi="Times New Roman" w:cs="Times New Roman"/>
          <w:sz w:val="24"/>
          <w:szCs w:val="24"/>
        </w:rPr>
        <w:t xml:space="preserve"> day of May 2021.</w:t>
      </w:r>
    </w:p>
    <w:p w:rsidR="00722866" w:rsidRPr="00722866" w:rsidP="00722866" w14:paraId="1BA3D5AA" w14:textId="77777777">
      <w:pPr>
        <w:autoSpaceDE w:val="0"/>
        <w:autoSpaceDN w:val="0"/>
        <w:adjustRightInd w:val="0"/>
        <w:spacing w:after="0"/>
        <w:ind w:left="4320"/>
        <w:rPr>
          <w:rFonts w:ascii="Times New Roman" w:hAnsi="Times New Roman" w:cs="Times New Roman"/>
          <w:i/>
          <w:sz w:val="24"/>
          <w:szCs w:val="24"/>
        </w:rPr>
      </w:pP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>/s/ William J. Michael</w:t>
      </w: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72286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722866" w:rsidRPr="00722866" w:rsidP="00722866" w14:paraId="7748ACA7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William J. Michael</w:t>
      </w:r>
      <w:r w:rsidRPr="00722866">
        <w:rPr>
          <w:rFonts w:ascii="Times New Roman" w:hAnsi="Times New Roman" w:cs="Times New Roman"/>
          <w:sz w:val="24"/>
          <w:szCs w:val="24"/>
        </w:rPr>
        <w:br/>
        <w:t>Counsel of Record</w:t>
      </w:r>
    </w:p>
    <w:p w:rsidR="00722866" w:rsidRPr="00722866" w:rsidP="00722866" w14:paraId="3A1470F7" w14:textId="77777777">
      <w:pPr>
        <w:pStyle w:val="CommentSubject"/>
        <w:rPr>
          <w:szCs w:val="24"/>
        </w:rPr>
      </w:pPr>
    </w:p>
    <w:p w:rsidR="00722866" w:rsidRPr="00722866" w:rsidP="00722866" w14:paraId="3D3E7598" w14:textId="77777777">
      <w:pPr>
        <w:rPr>
          <w:rFonts w:ascii="Times New Roman" w:hAnsi="Times New Roman" w:cs="Times New Roman"/>
          <w:sz w:val="24"/>
          <w:szCs w:val="24"/>
        </w:rPr>
      </w:pPr>
      <w:r w:rsidRPr="00722866">
        <w:rPr>
          <w:rFonts w:ascii="Times New Roman" w:hAnsi="Times New Roman" w:cs="Times New Roman"/>
          <w:sz w:val="24"/>
          <w:szCs w:val="24"/>
        </w:rPr>
        <w:t>The PUCO’s e-filing system will electronically serve notice of the filing of this document on the following parties:</w:t>
      </w:r>
    </w:p>
    <w:p w:rsidR="00722866" w:rsidRPr="00021A8A" w:rsidP="00722866" w14:paraId="4EF1CE91" w14:textId="7777777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8A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4315"/>
      </w:tblGrid>
      <w:tr w14:paraId="1A18D9C8" w14:textId="77777777" w:rsidTr="00050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722866" w:rsidRPr="00021A8A" w:rsidP="00722866" w14:paraId="0529B0FE" w14:textId="6FBCD49D">
            <w:pPr>
              <w:pStyle w:val="BodyText"/>
              <w:spacing w:after="0"/>
              <w:rPr>
                <w:sz w:val="24"/>
                <w:szCs w:val="24"/>
              </w:rPr>
            </w:pPr>
            <w:hyperlink r:id="rId8" w:history="1">
              <w:r w:rsidRPr="00021A8A" w:rsidR="00D12C96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722866" w:rsidRPr="00021A8A" w:rsidP="00050007" w14:paraId="6601E907" w14:textId="77777777">
            <w:pPr>
              <w:pStyle w:val="CommentText"/>
              <w:rPr>
                <w:bCs/>
                <w:sz w:val="24"/>
                <w:szCs w:val="24"/>
              </w:rPr>
            </w:pPr>
          </w:p>
          <w:p w:rsidR="00722866" w:rsidRPr="00021A8A" w:rsidP="00050007" w14:paraId="7255AB00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:rsidR="00722866" w:rsidRPr="00021A8A" w:rsidP="00050007" w14:paraId="5B8E09B2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9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mpritchard@mcneeslaw.com</w:t>
              </w:r>
            </w:hyperlink>
          </w:p>
          <w:p w:rsidR="00722866" w:rsidRPr="00021A8A" w:rsidP="00050007" w14:paraId="7316E4AD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10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rglover@mcneeslaw.com</w:t>
              </w:r>
            </w:hyperlink>
          </w:p>
          <w:p w:rsidR="00722866" w:rsidRPr="00021A8A" w:rsidP="00050007" w14:paraId="504FBA15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11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bmckenney@mcneeslaw.com</w:t>
              </w:r>
            </w:hyperlink>
          </w:p>
          <w:p w:rsidR="00722866" w:rsidRPr="00021A8A" w:rsidP="00050007" w14:paraId="1DA28D93" w14:textId="27115B54">
            <w:pPr>
              <w:pStyle w:val="CommentText"/>
              <w:rPr>
                <w:bCs/>
                <w:sz w:val="24"/>
                <w:szCs w:val="24"/>
              </w:rPr>
            </w:pPr>
            <w:hyperlink r:id="rId12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kbangston@invenergy.com</w:t>
              </w:r>
            </w:hyperlink>
          </w:p>
          <w:p w:rsidR="00722866" w:rsidRPr="00021A8A" w:rsidP="00050007" w14:paraId="7E0BE33F" w14:textId="2E96D9E7">
            <w:pPr>
              <w:pStyle w:val="CommentText"/>
              <w:rPr>
                <w:bCs/>
                <w:sz w:val="24"/>
                <w:szCs w:val="24"/>
              </w:rPr>
            </w:pPr>
            <w:hyperlink r:id="rId13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bojko@carpenterlipps.com</w:t>
              </w:r>
            </w:hyperlink>
          </w:p>
          <w:p w:rsidR="00722866" w:rsidRPr="00021A8A" w:rsidP="00050007" w14:paraId="0641249D" w14:textId="7DD62CE3">
            <w:pPr>
              <w:pStyle w:val="CommentText"/>
              <w:rPr>
                <w:bCs/>
                <w:sz w:val="24"/>
                <w:szCs w:val="24"/>
              </w:rPr>
            </w:pPr>
            <w:hyperlink r:id="rId14" w:history="1">
              <w:r w:rsidRPr="00021A8A" w:rsidR="00D12C96">
                <w:rPr>
                  <w:rStyle w:val="Hyperlink"/>
                  <w:bCs/>
                  <w:sz w:val="24"/>
                  <w:szCs w:val="24"/>
                </w:rPr>
                <w:t>donadio@carpenterlipps.com</w:t>
              </w:r>
            </w:hyperlink>
          </w:p>
          <w:p w:rsidR="00722866" w:rsidRPr="00021A8A" w:rsidP="00050007" w14:paraId="001E00FF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</w:tbl>
    <w:p w:rsidR="00D37284" w:rsidRPr="005A6CF3" w:rsidP="008537EC" w14:paraId="331671D8" w14:textId="77777777">
      <w:pPr>
        <w:spacing w:after="0" w:line="480" w:lineRule="auto"/>
        <w:ind w:firstLine="720"/>
        <w:rPr>
          <w:b/>
          <w:bCs/>
        </w:rPr>
      </w:pPr>
    </w:p>
    <w:sectPr w:rsidSect="000641B4">
      <w:footerReference w:type="default" r:id="rId15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41B4" w:rsidRPr="000641B4" w14:paraId="51EB01CC" w14:textId="42044E2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2204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1274" w:rsidRPr="00281274" w14:paraId="39E0BD9C" w14:textId="36649B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12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12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12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12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12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12C96" w:rsidP="002D4C19" w14:paraId="2D778EEC" w14:textId="77777777">
      <w:pPr>
        <w:spacing w:after="0" w:line="240" w:lineRule="auto"/>
      </w:pPr>
      <w:r>
        <w:separator/>
      </w:r>
    </w:p>
  </w:footnote>
  <w:footnote w:type="continuationSeparator" w:id="1">
    <w:p w:rsidR="00D12C96" w:rsidP="002D4C19" w14:paraId="09E79036" w14:textId="77777777">
      <w:pPr>
        <w:spacing w:after="0" w:line="240" w:lineRule="auto"/>
      </w:pPr>
      <w:r>
        <w:continuationSeparator/>
      </w:r>
    </w:p>
  </w:footnote>
  <w:footnote w:id="2">
    <w:p w:rsidR="002D4C19" w:rsidRPr="00281274" w:rsidP="00281274" w14:paraId="5BE7C5C9" w14:textId="62FA9AD0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R.C. 3706.46, 3706.55</w:t>
      </w:r>
      <w:r w:rsidRPr="00281274" w:rsidR="00D8757A">
        <w:rPr>
          <w:rFonts w:ascii="Times New Roman" w:hAnsi="Times New Roman"/>
        </w:rPr>
        <w:t>.</w:t>
      </w:r>
    </w:p>
  </w:footnote>
  <w:footnote w:id="3">
    <w:p w:rsidR="002D4C19" w:rsidRPr="00281274" w:rsidP="00281274" w14:paraId="708F013E" w14:textId="2590B656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 xml:space="preserve">See </w:t>
      </w:r>
      <w:r w:rsidRPr="00281274">
        <w:rPr>
          <w:rFonts w:ascii="Times New Roman" w:hAnsi="Times New Roman"/>
        </w:rPr>
        <w:t>OMAEG’s Comments at 6-9.</w:t>
      </w:r>
    </w:p>
  </w:footnote>
  <w:footnote w:id="4">
    <w:p w:rsidR="00561A0A" w:rsidRPr="00281274" w:rsidP="00281274" w14:paraId="711D79F7" w14:textId="4FE1E973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 xml:space="preserve">Id. </w:t>
      </w:r>
      <w:r w:rsidRPr="00281274">
        <w:rPr>
          <w:rFonts w:ascii="Times New Roman" w:hAnsi="Times New Roman"/>
        </w:rPr>
        <w:t>at 8.</w:t>
      </w:r>
    </w:p>
  </w:footnote>
  <w:footnote w:id="5">
    <w:p w:rsidR="00281274" w:rsidRPr="00281274" w:rsidP="00281274" w14:paraId="25621405" w14:textId="46ED3958">
      <w:pPr>
        <w:pStyle w:val="FootnoteText"/>
        <w:spacing w:after="120"/>
        <w:rPr>
          <w:rFonts w:ascii="Times New Roman" w:hAnsi="Times New Roman" w:cs="Times New Roman"/>
          <w:i/>
          <w:iCs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 w:cs="Times New Roman"/>
          <w:i/>
          <w:iCs/>
        </w:rPr>
        <w:t>Id.</w:t>
      </w:r>
    </w:p>
  </w:footnote>
  <w:footnote w:id="6">
    <w:p w:rsidR="00281274" w:rsidRPr="00281274" w:rsidP="00281274" w14:paraId="3CDC18B4" w14:textId="4DBE8800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 w:cs="Times New Roman"/>
          <w:i/>
          <w:iCs/>
        </w:rPr>
        <w:t xml:space="preserve"> Id</w:t>
      </w:r>
      <w:r w:rsidRPr="00281274">
        <w:rPr>
          <w:rFonts w:ascii="Times New Roman" w:hAnsi="Times New Roman" w:cs="Times New Roman"/>
        </w:rPr>
        <w:t>.</w:t>
      </w:r>
      <w:r w:rsidR="005C6029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</w:t>
      </w:r>
      <w:r w:rsidRPr="00281274">
        <w:rPr>
          <w:rFonts w:ascii="Times New Roman" w:hAnsi="Times New Roman" w:cs="Times New Roman"/>
        </w:rPr>
        <w:t>9-11</w:t>
      </w:r>
      <w:r w:rsidRPr="00281274">
        <w:rPr>
          <w:rFonts w:ascii="Times New Roman" w:hAnsi="Times New Roman" w:cs="Times New Roman"/>
          <w:i/>
          <w:iCs/>
        </w:rPr>
        <w:t>.</w:t>
      </w:r>
    </w:p>
  </w:footnote>
  <w:footnote w:id="7">
    <w:p w:rsidR="00D37284" w:rsidRPr="00281274" w:rsidP="00281274" w14:paraId="523433FA" w14:textId="31223A14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 xml:space="preserve">Id. </w:t>
      </w:r>
      <w:r w:rsidRPr="00281274">
        <w:rPr>
          <w:rFonts w:ascii="Times New Roman" w:hAnsi="Times New Roman"/>
        </w:rPr>
        <w:t>at 10.</w:t>
      </w:r>
    </w:p>
  </w:footnote>
  <w:footnote w:id="8">
    <w:p w:rsidR="00D37284" w:rsidRPr="00281274" w:rsidP="00281274" w14:paraId="1D1713FA" w14:textId="67241F2D">
      <w:pPr>
        <w:pStyle w:val="FootnoteText"/>
        <w:spacing w:after="120"/>
        <w:rPr>
          <w:rFonts w:ascii="Times New Roman" w:hAnsi="Times New Roman"/>
          <w:i/>
          <w:iCs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>Id.</w:t>
      </w:r>
    </w:p>
  </w:footnote>
  <w:footnote w:id="9">
    <w:p w:rsidR="00D37284" w:rsidRPr="00281274" w:rsidP="00281274" w14:paraId="1E0FF93C" w14:textId="6D1DA0F2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>Tongren v. Pub. Util. Comm</w:t>
      </w:r>
      <w:r w:rsidRPr="00281274">
        <w:rPr>
          <w:rFonts w:ascii="Times New Roman" w:hAnsi="Times New Roman"/>
        </w:rPr>
        <w:t>., 85 Ohio St.3d 87, 88, 706 N.E.2d 1255 (1999).</w:t>
      </w:r>
    </w:p>
  </w:footnote>
  <w:footnote w:id="10">
    <w:p w:rsidR="00BD4056" w:rsidRPr="00281274" w:rsidP="00281274" w14:paraId="3CBA5D83" w14:textId="1026C870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OMAEG’s Comments at 15.</w:t>
      </w:r>
    </w:p>
  </w:footnote>
  <w:footnote w:id="11">
    <w:p w:rsidR="004E11B0" w:rsidRPr="00281274" w:rsidP="00281274" w14:paraId="72572051" w14:textId="7B9EB3A9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</w:t>
      </w:r>
      <w:r w:rsidRPr="00281274">
        <w:rPr>
          <w:rFonts w:ascii="Times New Roman" w:hAnsi="Times New Roman"/>
          <w:i/>
          <w:iCs/>
        </w:rPr>
        <w:t xml:space="preserve">Id. </w:t>
      </w:r>
      <w:r w:rsidRPr="00281274">
        <w:rPr>
          <w:rFonts w:ascii="Times New Roman" w:hAnsi="Times New Roman"/>
        </w:rPr>
        <w:t>at 14</w:t>
      </w:r>
      <w:r w:rsidRPr="00281274" w:rsidR="00B635F9">
        <w:rPr>
          <w:rFonts w:ascii="Times New Roman" w:hAnsi="Times New Roman"/>
        </w:rPr>
        <w:t xml:space="preserve">; </w:t>
      </w:r>
      <w:r w:rsidRPr="00281274" w:rsidR="00B635F9">
        <w:rPr>
          <w:rFonts w:ascii="Times New Roman" w:hAnsi="Times New Roman"/>
          <w:i/>
          <w:iCs/>
        </w:rPr>
        <w:t>see In re Ohio Edison</w:t>
      </w:r>
      <w:r w:rsidRPr="00281274" w:rsidR="00B635F9">
        <w:rPr>
          <w:rFonts w:ascii="Times New Roman" w:hAnsi="Times New Roman"/>
        </w:rPr>
        <w:t>, 157 Ohio St.3d 73, 2019-Ohio-2401, 131 N.E.3d 906, ¶ 23, citing R.C. 4905.32</w:t>
      </w:r>
      <w:r w:rsidRPr="00281274">
        <w:rPr>
          <w:rFonts w:ascii="Times New Roman" w:hAnsi="Times New Roman"/>
        </w:rPr>
        <w:t>.</w:t>
      </w:r>
    </w:p>
  </w:footnote>
  <w:footnote w:id="12">
    <w:p w:rsidR="00B635F9" w:rsidRPr="00281274" w:rsidP="00281274" w14:paraId="7FEB082E" w14:textId="1E734A3D">
      <w:pPr>
        <w:pStyle w:val="FootnoteText"/>
        <w:spacing w:after="120"/>
        <w:rPr>
          <w:rFonts w:ascii="Times New Roman" w:hAnsi="Times New Roman"/>
        </w:rPr>
      </w:pPr>
      <w:r w:rsidRPr="00281274">
        <w:rPr>
          <w:rStyle w:val="FootnoteReference"/>
          <w:rFonts w:ascii="Times New Roman" w:hAnsi="Times New Roman"/>
        </w:rPr>
        <w:footnoteRef/>
      </w:r>
      <w:r w:rsidRPr="00281274">
        <w:rPr>
          <w:rFonts w:ascii="Times New Roman" w:hAnsi="Times New Roman"/>
        </w:rPr>
        <w:t xml:space="preserve"> OMAEG’s Comments at 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413267"/>
    <w:multiLevelType w:val="hybridMultilevel"/>
    <w:tmpl w:val="7E62DB6C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B6A11"/>
    <w:multiLevelType w:val="hybridMultilevel"/>
    <w:tmpl w:val="C5E4525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46E5"/>
    <w:multiLevelType w:val="hybridMultilevel"/>
    <w:tmpl w:val="3FF60D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1A"/>
    <w:rsid w:val="00021A8A"/>
    <w:rsid w:val="00050007"/>
    <w:rsid w:val="000641B4"/>
    <w:rsid w:val="000F451A"/>
    <w:rsid w:val="00111065"/>
    <w:rsid w:val="00126BC9"/>
    <w:rsid w:val="001C46DC"/>
    <w:rsid w:val="001C6E6D"/>
    <w:rsid w:val="001D798D"/>
    <w:rsid w:val="00281274"/>
    <w:rsid w:val="002A422A"/>
    <w:rsid w:val="002D4C19"/>
    <w:rsid w:val="002D6D99"/>
    <w:rsid w:val="002E1098"/>
    <w:rsid w:val="003609B3"/>
    <w:rsid w:val="004A2519"/>
    <w:rsid w:val="004E11B0"/>
    <w:rsid w:val="00533588"/>
    <w:rsid w:val="005618F8"/>
    <w:rsid w:val="00561A0A"/>
    <w:rsid w:val="005A6CF3"/>
    <w:rsid w:val="005C6029"/>
    <w:rsid w:val="005E0CCA"/>
    <w:rsid w:val="005F2E0C"/>
    <w:rsid w:val="005F37F2"/>
    <w:rsid w:val="00605F37"/>
    <w:rsid w:val="006267AD"/>
    <w:rsid w:val="00641043"/>
    <w:rsid w:val="00722866"/>
    <w:rsid w:val="00734C78"/>
    <w:rsid w:val="007C4BB4"/>
    <w:rsid w:val="00830226"/>
    <w:rsid w:val="00831C38"/>
    <w:rsid w:val="008537EC"/>
    <w:rsid w:val="008838AD"/>
    <w:rsid w:val="009C77EB"/>
    <w:rsid w:val="009D38B3"/>
    <w:rsid w:val="009E5579"/>
    <w:rsid w:val="009E73B1"/>
    <w:rsid w:val="00A24824"/>
    <w:rsid w:val="00B635F9"/>
    <w:rsid w:val="00BD4056"/>
    <w:rsid w:val="00BF30D9"/>
    <w:rsid w:val="00C2081E"/>
    <w:rsid w:val="00C33486"/>
    <w:rsid w:val="00D011A7"/>
    <w:rsid w:val="00D12C96"/>
    <w:rsid w:val="00D37284"/>
    <w:rsid w:val="00D45B79"/>
    <w:rsid w:val="00D8757A"/>
    <w:rsid w:val="00DA321C"/>
    <w:rsid w:val="00DD5160"/>
    <w:rsid w:val="00E01A85"/>
    <w:rsid w:val="00EB5C2D"/>
    <w:rsid w:val="00F42EE9"/>
    <w:rsid w:val="00FA14E0"/>
    <w:rsid w:val="00FA55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E0C"/>
    <w:pPr>
      <w:keepNext/>
      <w:keepLines/>
      <w:spacing w:before="240" w:after="240" w:line="240" w:lineRule="auto"/>
      <w:ind w:left="720" w:hanging="720"/>
      <w:outlineLvl w:val="0"/>
    </w:pPr>
    <w:rPr>
      <w:rFonts w:ascii="Times New Roman Bold" w:hAnsi="Times New Roman Bold" w:eastAsiaTheme="majorEastAsia" w:cstheme="majorBidi"/>
      <w:b/>
      <w:caps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C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56"/>
    <w:rPr>
      <w:rFonts w:ascii="Segoe UI" w:hAnsi="Segoe UI" w:cs="Segoe UI"/>
      <w:sz w:val="18"/>
      <w:szCs w:val="18"/>
    </w:rPr>
  </w:style>
  <w:style w:type="character" w:customStyle="1" w:styleId="sssh">
    <w:name w:val="ss_sh"/>
    <w:rsid w:val="00BD4056"/>
    <w:rPr>
      <w:rFonts w:ascii="Times New Roman" w:hAnsi="Times New Roman" w:cs="Times New Roman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BD40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056"/>
    <w:rPr>
      <w:sz w:val="20"/>
      <w:szCs w:val="20"/>
    </w:rPr>
  </w:style>
  <w:style w:type="paragraph" w:styleId="HTMLPreformatted">
    <w:name w:val="HTML Preformatted"/>
    <w:basedOn w:val="Normal"/>
    <w:link w:val="HTMLPreformattedChar"/>
    <w:rsid w:val="005F2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F2E0C"/>
    <w:rPr>
      <w:rFonts w:ascii="Courier New" w:eastAsia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2E0C"/>
    <w:rPr>
      <w:rFonts w:ascii="Times New Roman Bold" w:hAnsi="Times New Roman Bold" w:eastAsiaTheme="majorEastAsia" w:cstheme="majorBidi"/>
      <w:b/>
      <w:caps/>
      <w:color w:val="000000" w:themeColor="text1"/>
      <w:sz w:val="24"/>
      <w:szCs w:val="32"/>
    </w:rPr>
  </w:style>
  <w:style w:type="character" w:styleId="Hyperlink">
    <w:name w:val="Hyperlink"/>
    <w:rsid w:val="0072286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722866"/>
    <w:pPr>
      <w:spacing w:after="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2286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2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866"/>
  </w:style>
  <w:style w:type="paragraph" w:styleId="CommentSubject">
    <w:name w:val="annotation subject"/>
    <w:basedOn w:val="CommentText"/>
    <w:next w:val="CommentText"/>
    <w:link w:val="CommentSubjectChar"/>
    <w:semiHidden/>
    <w:rsid w:val="00722866"/>
    <w:pPr>
      <w:spacing w:after="0"/>
    </w:pPr>
    <w:rPr>
      <w:rFonts w:ascii="Times New Roman" w:eastAsia="Times New Roman" w:hAnsi="Times New Roman" w:cs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2286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72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1B4"/>
  </w:style>
  <w:style w:type="paragraph" w:styleId="Footer">
    <w:name w:val="footer"/>
    <w:basedOn w:val="Normal"/>
    <w:link w:val="FooterChar"/>
    <w:uiPriority w:val="99"/>
    <w:unhideWhenUsed/>
    <w:rsid w:val="0006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rglover@mcneeslaw.com" TargetMode="External" /><Relationship Id="rId11" Type="http://schemas.openxmlformats.org/officeDocument/2006/relationships/hyperlink" Target="mailto:bmckenney@mcneeslaw.com" TargetMode="External" /><Relationship Id="rId12" Type="http://schemas.openxmlformats.org/officeDocument/2006/relationships/hyperlink" Target="mailto:kbangston@invenergy.com" TargetMode="External" /><Relationship Id="rId13" Type="http://schemas.openxmlformats.org/officeDocument/2006/relationships/hyperlink" Target="mailto:bojko@carpenterlipps.com" TargetMode="External" /><Relationship Id="rId14" Type="http://schemas.openxmlformats.org/officeDocument/2006/relationships/hyperlink" Target="mailto:donadio@carpenterlipps.com" TargetMode="Externa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yperlink" Target="mailto:ambrosia.wilson@occ.ohio.gov" TargetMode="External" /><Relationship Id="rId8" Type="http://schemas.openxmlformats.org/officeDocument/2006/relationships/hyperlink" Target="mailto:John.jones@OhioAGO.gov" TargetMode="External" /><Relationship Id="rId9" Type="http://schemas.openxmlformats.org/officeDocument/2006/relationships/hyperlink" Target="mailto:mpritchard@mcneeslaw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B473-4A0D-4F74-8B14-A36FBA70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21-447 Reply Comments w/dfs  (00152583.DOCX;1)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2021-05-28T20:02:02Z</dcterms:created>
  <dcterms:modified xsi:type="dcterms:W3CDTF">2021-05-28T20:02:02Z</dcterms:modified>
</cp:coreProperties>
</file>