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DD" w:rsidRDefault="005813DD" w:rsidP="005813DD">
      <w:pPr>
        <w:pStyle w:val="Title"/>
        <w:rPr>
          <w:sz w:val="28"/>
        </w:rPr>
      </w:pPr>
      <w:bookmarkStart w:id="0" w:name="OLE_LINK1"/>
      <w:bookmarkStart w:id="1" w:name="OLE_LINK2"/>
      <w:r>
        <w:rPr>
          <w:sz w:val="28"/>
        </w:rPr>
        <w:t>Before</w:t>
      </w:r>
    </w:p>
    <w:p w:rsidR="005813DD" w:rsidRDefault="005813DD" w:rsidP="005813DD">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the Application of Duke Energy</w:t>
      </w:r>
      <w:r>
        <w:rPr>
          <w:rFonts w:cs="Arial"/>
        </w:rPr>
        <w:tab/>
        <w:t>)</w:t>
      </w:r>
    </w:p>
    <w:p w:rsidR="005813DD" w:rsidRDefault="005813DD" w:rsidP="005813DD">
      <w:pPr>
        <w:autoSpaceDE w:val="0"/>
        <w:autoSpaceDN w:val="0"/>
        <w:adjustRightInd w:val="0"/>
        <w:rPr>
          <w:rFonts w:cs="Arial"/>
        </w:rPr>
      </w:pPr>
      <w:r>
        <w:rPr>
          <w:rFonts w:cs="Arial"/>
        </w:rPr>
        <w:t xml:space="preserve">Ohio, Inc., for the Establishment of a Charge </w:t>
      </w:r>
      <w:r>
        <w:rPr>
          <w:rFonts w:cs="Arial"/>
        </w:rPr>
        <w:tab/>
        <w:t>)</w:t>
      </w:r>
      <w:r>
        <w:rPr>
          <w:rFonts w:cs="Arial"/>
        </w:rPr>
        <w:tab/>
        <w:t>Case No. 12-2400-EL-UNC</w:t>
      </w:r>
    </w:p>
    <w:p w:rsidR="005813DD" w:rsidRDefault="005813DD" w:rsidP="005813DD">
      <w:pPr>
        <w:autoSpaceDE w:val="0"/>
        <w:autoSpaceDN w:val="0"/>
        <w:adjustRightInd w:val="0"/>
        <w:rPr>
          <w:rFonts w:cs="Arial"/>
        </w:rPr>
      </w:pPr>
      <w:r>
        <w:rPr>
          <w:rFonts w:cs="Arial"/>
        </w:rPr>
        <w:t>Pursuant to Revised Code Section 4909.18</w:t>
      </w:r>
      <w:r>
        <w:rPr>
          <w:rFonts w:cs="Arial"/>
        </w:rPr>
        <w:tab/>
        <w:t>)</w:t>
      </w:r>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of the Application of Duke Energy</w:t>
      </w:r>
      <w:r>
        <w:rPr>
          <w:rFonts w:cs="Arial"/>
        </w:rPr>
        <w:tab/>
        <w:t>)</w:t>
      </w:r>
    </w:p>
    <w:p w:rsidR="005813DD" w:rsidRDefault="005813DD" w:rsidP="005813DD">
      <w:pPr>
        <w:autoSpaceDE w:val="0"/>
        <w:autoSpaceDN w:val="0"/>
        <w:adjustRightInd w:val="0"/>
        <w:rPr>
          <w:rFonts w:cs="Arial"/>
        </w:rPr>
      </w:pPr>
      <w:r>
        <w:rPr>
          <w:rFonts w:cs="Arial"/>
        </w:rPr>
        <w:t>Ohio, Inc., for Approval to Change Accounting</w:t>
      </w:r>
      <w:r>
        <w:rPr>
          <w:rFonts w:cs="Arial"/>
        </w:rPr>
        <w:tab/>
        <w:t>)</w:t>
      </w:r>
      <w:r>
        <w:rPr>
          <w:rFonts w:cs="Arial"/>
        </w:rPr>
        <w:tab/>
        <w:t>Case No. 12-2401-EL-AAM</w:t>
      </w:r>
    </w:p>
    <w:p w:rsidR="005813DD" w:rsidRDefault="005813DD" w:rsidP="005813DD">
      <w:pPr>
        <w:autoSpaceDE w:val="0"/>
        <w:autoSpaceDN w:val="0"/>
        <w:adjustRightInd w:val="0"/>
        <w:rPr>
          <w:rFonts w:cs="Arial"/>
        </w:rPr>
      </w:pPr>
      <w:r>
        <w:rPr>
          <w:rFonts w:cs="Arial"/>
        </w:rPr>
        <w:t>Methods</w:t>
      </w:r>
      <w:r>
        <w:rPr>
          <w:rFonts w:cs="Arial"/>
        </w:rPr>
        <w:tab/>
      </w:r>
      <w:r>
        <w:rPr>
          <w:rFonts w:cs="Arial"/>
        </w:rPr>
        <w:tab/>
      </w:r>
      <w:r>
        <w:rPr>
          <w:rFonts w:cs="Arial"/>
        </w:rPr>
        <w:tab/>
      </w:r>
      <w:r>
        <w:rPr>
          <w:rFonts w:cs="Arial"/>
        </w:rPr>
        <w:tab/>
      </w:r>
      <w:r>
        <w:rPr>
          <w:rFonts w:cs="Arial"/>
        </w:rPr>
        <w:tab/>
      </w:r>
      <w:r>
        <w:rPr>
          <w:rFonts w:cs="Arial"/>
        </w:rPr>
        <w:tab/>
        <w:t>)</w:t>
      </w:r>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of the Application of Duke Energy</w:t>
      </w:r>
      <w:r>
        <w:rPr>
          <w:rFonts w:cs="Arial"/>
        </w:rPr>
        <w:tab/>
        <w:t>)</w:t>
      </w:r>
    </w:p>
    <w:p w:rsidR="005813DD" w:rsidRDefault="005813DD" w:rsidP="005813DD">
      <w:pPr>
        <w:autoSpaceDE w:val="0"/>
        <w:autoSpaceDN w:val="0"/>
        <w:adjustRightInd w:val="0"/>
        <w:rPr>
          <w:rFonts w:cs="Arial"/>
        </w:rPr>
      </w:pPr>
      <w:r>
        <w:rPr>
          <w:rFonts w:cs="Arial"/>
        </w:rPr>
        <w:t xml:space="preserve">Ohio, Inc., for the Approval of a Tariff for a </w:t>
      </w:r>
      <w:r>
        <w:rPr>
          <w:rFonts w:cs="Arial"/>
        </w:rPr>
        <w:tab/>
        <w:t>)</w:t>
      </w:r>
      <w:r>
        <w:rPr>
          <w:rFonts w:cs="Arial"/>
        </w:rPr>
        <w:tab/>
        <w:t>Case No. 12-2402-EL-ATA</w:t>
      </w:r>
    </w:p>
    <w:p w:rsidR="005813DD" w:rsidRDefault="005813DD" w:rsidP="005813DD">
      <w:pPr>
        <w:autoSpaceDE w:val="0"/>
        <w:autoSpaceDN w:val="0"/>
        <w:adjustRightInd w:val="0"/>
        <w:rPr>
          <w:rFonts w:cs="Arial"/>
        </w:rPr>
      </w:pPr>
      <w:r>
        <w:rPr>
          <w:rFonts w:cs="Arial"/>
        </w:rPr>
        <w:t>New Service</w:t>
      </w:r>
      <w:r>
        <w:rPr>
          <w:rFonts w:cs="Arial"/>
        </w:rPr>
        <w:tab/>
      </w:r>
      <w:r>
        <w:rPr>
          <w:rFonts w:cs="Arial"/>
        </w:rPr>
        <w:tab/>
      </w:r>
      <w:r>
        <w:rPr>
          <w:rFonts w:cs="Arial"/>
        </w:rPr>
        <w:tab/>
      </w:r>
      <w:r>
        <w:rPr>
          <w:rFonts w:cs="Arial"/>
        </w:rPr>
        <w:tab/>
      </w:r>
      <w:r>
        <w:rPr>
          <w:rFonts w:cs="Arial"/>
        </w:rPr>
        <w:tab/>
      </w:r>
      <w:r>
        <w:rPr>
          <w:rFonts w:cs="Arial"/>
        </w:rPr>
        <w:tab/>
        <w:t>)</w:t>
      </w:r>
    </w:p>
    <w:p w:rsidR="005813DD" w:rsidRDefault="005813DD" w:rsidP="005813DD">
      <w:pPr>
        <w:pStyle w:val="BodyText"/>
        <w:tabs>
          <w:tab w:val="left" w:pos="5040"/>
        </w:tabs>
      </w:pPr>
    </w:p>
    <w:p w:rsidR="005813DD" w:rsidRPr="00CD4D1E" w:rsidRDefault="005813DD" w:rsidP="005813DD">
      <w:pPr>
        <w:pStyle w:val="BodyText"/>
        <w:tabs>
          <w:tab w:val="left" w:pos="5040"/>
        </w:tabs>
      </w:pPr>
    </w:p>
    <w:p w:rsidR="005813DD" w:rsidRPr="00CD4D1E" w:rsidRDefault="005813DD" w:rsidP="005813DD">
      <w:pPr>
        <w:pBdr>
          <w:top w:val="single" w:sz="12" w:space="1" w:color="auto"/>
        </w:pBdr>
        <w:tabs>
          <w:tab w:val="left" w:pos="7320"/>
        </w:tabs>
        <w:jc w:val="both"/>
        <w:rPr>
          <w:rFonts w:cs="Arial"/>
          <w:sz w:val="28"/>
        </w:rPr>
      </w:pPr>
    </w:p>
    <w:p w:rsidR="005813DD" w:rsidRPr="00324110" w:rsidRDefault="005813DD" w:rsidP="005813DD">
      <w:pPr>
        <w:jc w:val="center"/>
        <w:rPr>
          <w:b/>
          <w:sz w:val="28"/>
          <w:szCs w:val="28"/>
        </w:rPr>
      </w:pPr>
      <w:r w:rsidRPr="00324110">
        <w:rPr>
          <w:b/>
          <w:sz w:val="28"/>
          <w:szCs w:val="28"/>
        </w:rPr>
        <w:t>REPLY COMMENTS OF INDUSTRIAL ENERGY USERS-OHIO</w:t>
      </w:r>
    </w:p>
    <w:p w:rsidR="005813DD" w:rsidRPr="00CD4D1E" w:rsidRDefault="005813DD" w:rsidP="005813DD">
      <w:pPr>
        <w:pStyle w:val="Title"/>
        <w:rPr>
          <w:sz w:val="28"/>
          <w:u w:val="single"/>
        </w:rPr>
      </w:pP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p>
    <w:bookmarkEnd w:id="0"/>
    <w:bookmarkEnd w:id="1"/>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pStyle w:val="Title"/>
        <w:rPr>
          <w:sz w:val="28"/>
          <w:u w:val="single"/>
        </w:rPr>
      </w:pPr>
    </w:p>
    <w:p w:rsidR="005813DD" w:rsidRDefault="005813DD" w:rsidP="005813DD">
      <w:pPr>
        <w:tabs>
          <w:tab w:val="left" w:pos="4320"/>
          <w:tab w:val="right" w:pos="8640"/>
        </w:tabs>
        <w:ind w:left="4320"/>
        <w:jc w:val="both"/>
        <w:rPr>
          <w:rFonts w:cs="Arial"/>
        </w:rPr>
      </w:pPr>
      <w:r>
        <w:rPr>
          <w:rFonts w:cs="Arial"/>
        </w:rPr>
        <w:t>Samuel C. Randazzo (Counsel of Record)</w:t>
      </w:r>
    </w:p>
    <w:p w:rsidR="005813DD" w:rsidRDefault="005813DD" w:rsidP="005813DD">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5813DD" w:rsidRDefault="005813DD" w:rsidP="005813DD">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5813DD" w:rsidRDefault="005813DD" w:rsidP="005813DD">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5813DD" w:rsidRDefault="005813DD" w:rsidP="005813DD">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5813DD" w:rsidRDefault="005813DD" w:rsidP="005813DD">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5813DD" w:rsidRDefault="005813DD" w:rsidP="005813DD">
      <w:pPr>
        <w:pStyle w:val="BodyText"/>
        <w:tabs>
          <w:tab w:val="left" w:pos="4320"/>
        </w:tabs>
        <w:ind w:left="4320"/>
      </w:pPr>
      <w:r>
        <w:t>Columbus, OH  43215</w:t>
      </w:r>
    </w:p>
    <w:p w:rsidR="005813DD" w:rsidRDefault="005813DD" w:rsidP="005813DD">
      <w:pPr>
        <w:pStyle w:val="BodyText"/>
        <w:tabs>
          <w:tab w:val="left" w:pos="4320"/>
        </w:tabs>
        <w:ind w:left="4320"/>
      </w:pPr>
      <w:r>
        <w:t>Telephone:  (614) 469-8000</w:t>
      </w:r>
    </w:p>
    <w:p w:rsidR="005813DD" w:rsidRDefault="005813DD" w:rsidP="005813DD">
      <w:pPr>
        <w:pStyle w:val="BodyText"/>
        <w:tabs>
          <w:tab w:val="left" w:pos="4320"/>
        </w:tabs>
        <w:ind w:left="4320"/>
      </w:pPr>
      <w:r>
        <w:t>Telecopier:  (614) 469-4653</w:t>
      </w:r>
    </w:p>
    <w:p w:rsidR="005813DD" w:rsidRDefault="005813DD" w:rsidP="005813DD">
      <w:pPr>
        <w:pStyle w:val="BodyText"/>
        <w:ind w:left="4320"/>
      </w:pPr>
      <w:r>
        <w:t>sam@mwncmh.com</w:t>
      </w:r>
    </w:p>
    <w:p w:rsidR="005813DD" w:rsidRDefault="005813DD" w:rsidP="005813DD">
      <w:pPr>
        <w:pStyle w:val="BodyText"/>
        <w:ind w:left="4320"/>
      </w:pPr>
      <w:r>
        <w:t>fdarr@mwncmh.com</w:t>
      </w:r>
    </w:p>
    <w:p w:rsidR="005813DD" w:rsidRDefault="005813DD" w:rsidP="005813DD">
      <w:pPr>
        <w:pStyle w:val="BodyText"/>
        <w:ind w:left="4320"/>
      </w:pPr>
      <w:r>
        <w:t>joliker@mwncmh.com</w:t>
      </w:r>
    </w:p>
    <w:p w:rsidR="005813DD" w:rsidRDefault="005813DD" w:rsidP="005813DD">
      <w:pPr>
        <w:pStyle w:val="BodyText"/>
        <w:ind w:left="4320"/>
      </w:pPr>
      <w:r>
        <w:t>mpritchard@mwncmh.com</w:t>
      </w:r>
    </w:p>
    <w:p w:rsidR="005813DD" w:rsidRDefault="005813DD" w:rsidP="005813DD">
      <w:pPr>
        <w:pStyle w:val="BodyText"/>
      </w:pPr>
    </w:p>
    <w:p w:rsidR="005813DD" w:rsidRDefault="005A7D32" w:rsidP="005813DD">
      <w:pPr>
        <w:pStyle w:val="Title"/>
        <w:jc w:val="left"/>
        <w:rPr>
          <w:smallCaps w:val="0"/>
          <w:sz w:val="24"/>
        </w:rPr>
      </w:pPr>
      <w:r>
        <w:rPr>
          <w:smallCaps w:val="0"/>
          <w:sz w:val="24"/>
        </w:rPr>
        <w:t>February 1</w:t>
      </w:r>
      <w:r w:rsidR="005813DD">
        <w:rPr>
          <w:smallCaps w:val="0"/>
          <w:sz w:val="24"/>
        </w:rPr>
        <w:t>, 201</w:t>
      </w:r>
      <w:r>
        <w:rPr>
          <w:smallCaps w:val="0"/>
          <w:sz w:val="24"/>
        </w:rPr>
        <w:t>3</w:t>
      </w:r>
      <w:r w:rsidR="005813DD">
        <w:rPr>
          <w:smallCaps w:val="0"/>
          <w:sz w:val="24"/>
        </w:rPr>
        <w:tab/>
      </w:r>
      <w:r w:rsidR="005813DD">
        <w:rPr>
          <w:smallCaps w:val="0"/>
          <w:sz w:val="24"/>
        </w:rPr>
        <w:tab/>
      </w:r>
      <w:r w:rsidR="005813DD">
        <w:rPr>
          <w:smallCaps w:val="0"/>
          <w:sz w:val="24"/>
        </w:rPr>
        <w:tab/>
      </w:r>
      <w:r w:rsidR="005813DD">
        <w:rPr>
          <w:smallCaps w:val="0"/>
          <w:sz w:val="24"/>
        </w:rPr>
        <w:tab/>
        <w:t>Attorneys for Industrial Energy Users-Ohio</w:t>
      </w:r>
    </w:p>
    <w:p w:rsidR="005813DD" w:rsidRDefault="005813DD" w:rsidP="005813DD">
      <w:pPr>
        <w:pStyle w:val="Title"/>
        <w:rPr>
          <w:sz w:val="28"/>
        </w:rPr>
        <w:sectPr w:rsidR="005813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5813DD" w:rsidRDefault="005813DD" w:rsidP="005813DD">
      <w:pPr>
        <w:pStyle w:val="Title"/>
        <w:rPr>
          <w:sz w:val="28"/>
        </w:rPr>
      </w:pPr>
      <w:r>
        <w:rPr>
          <w:sz w:val="28"/>
        </w:rPr>
        <w:lastRenderedPageBreak/>
        <w:t>Before</w:t>
      </w:r>
    </w:p>
    <w:p w:rsidR="005813DD" w:rsidRDefault="005813DD" w:rsidP="005813DD">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the Application of Duke Energy</w:t>
      </w:r>
      <w:r>
        <w:rPr>
          <w:rFonts w:cs="Arial"/>
        </w:rPr>
        <w:tab/>
        <w:t>)</w:t>
      </w:r>
    </w:p>
    <w:p w:rsidR="005813DD" w:rsidRDefault="005813DD" w:rsidP="005813DD">
      <w:pPr>
        <w:autoSpaceDE w:val="0"/>
        <w:autoSpaceDN w:val="0"/>
        <w:adjustRightInd w:val="0"/>
        <w:rPr>
          <w:rFonts w:cs="Arial"/>
        </w:rPr>
      </w:pPr>
      <w:r>
        <w:rPr>
          <w:rFonts w:cs="Arial"/>
        </w:rPr>
        <w:t xml:space="preserve">Ohio, Inc., for the Establishment of a Charge </w:t>
      </w:r>
      <w:r>
        <w:rPr>
          <w:rFonts w:cs="Arial"/>
        </w:rPr>
        <w:tab/>
        <w:t>)</w:t>
      </w:r>
      <w:r>
        <w:rPr>
          <w:rFonts w:cs="Arial"/>
        </w:rPr>
        <w:tab/>
        <w:t>Case No. 12-2400-EL-UNC</w:t>
      </w:r>
    </w:p>
    <w:p w:rsidR="005813DD" w:rsidRDefault="005813DD" w:rsidP="005813DD">
      <w:pPr>
        <w:autoSpaceDE w:val="0"/>
        <w:autoSpaceDN w:val="0"/>
        <w:adjustRightInd w:val="0"/>
        <w:rPr>
          <w:rFonts w:cs="Arial"/>
        </w:rPr>
      </w:pPr>
      <w:r>
        <w:rPr>
          <w:rFonts w:cs="Arial"/>
        </w:rPr>
        <w:t>Pursuant to Revised Code Section 4909.18</w:t>
      </w:r>
      <w:r>
        <w:rPr>
          <w:rFonts w:cs="Arial"/>
        </w:rPr>
        <w:tab/>
        <w:t>)</w:t>
      </w:r>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of the Application of Duke Energy</w:t>
      </w:r>
      <w:r>
        <w:rPr>
          <w:rFonts w:cs="Arial"/>
        </w:rPr>
        <w:tab/>
        <w:t>)</w:t>
      </w:r>
    </w:p>
    <w:p w:rsidR="005813DD" w:rsidRDefault="005813DD" w:rsidP="005813DD">
      <w:pPr>
        <w:autoSpaceDE w:val="0"/>
        <w:autoSpaceDN w:val="0"/>
        <w:adjustRightInd w:val="0"/>
        <w:rPr>
          <w:rFonts w:cs="Arial"/>
        </w:rPr>
      </w:pPr>
      <w:r>
        <w:rPr>
          <w:rFonts w:cs="Arial"/>
        </w:rPr>
        <w:t>Ohio, Inc., for Approval to Change Accounting</w:t>
      </w:r>
      <w:r>
        <w:rPr>
          <w:rFonts w:cs="Arial"/>
        </w:rPr>
        <w:tab/>
        <w:t>)</w:t>
      </w:r>
      <w:r>
        <w:rPr>
          <w:rFonts w:cs="Arial"/>
        </w:rPr>
        <w:tab/>
        <w:t>Case No. 12-2401-EL-AAM</w:t>
      </w:r>
    </w:p>
    <w:p w:rsidR="005813DD" w:rsidRDefault="005813DD" w:rsidP="005813DD">
      <w:pPr>
        <w:autoSpaceDE w:val="0"/>
        <w:autoSpaceDN w:val="0"/>
        <w:adjustRightInd w:val="0"/>
        <w:rPr>
          <w:rFonts w:cs="Arial"/>
        </w:rPr>
      </w:pPr>
      <w:r>
        <w:rPr>
          <w:rFonts w:cs="Arial"/>
        </w:rPr>
        <w:t>Methods</w:t>
      </w:r>
      <w:r>
        <w:rPr>
          <w:rFonts w:cs="Arial"/>
        </w:rPr>
        <w:tab/>
      </w:r>
      <w:r>
        <w:rPr>
          <w:rFonts w:cs="Arial"/>
        </w:rPr>
        <w:tab/>
      </w:r>
      <w:r>
        <w:rPr>
          <w:rFonts w:cs="Arial"/>
        </w:rPr>
        <w:tab/>
      </w:r>
      <w:r>
        <w:rPr>
          <w:rFonts w:cs="Arial"/>
        </w:rPr>
        <w:tab/>
      </w:r>
      <w:r>
        <w:rPr>
          <w:rFonts w:cs="Arial"/>
        </w:rPr>
        <w:tab/>
      </w:r>
      <w:r>
        <w:rPr>
          <w:rFonts w:cs="Arial"/>
        </w:rPr>
        <w:tab/>
        <w:t>)</w:t>
      </w:r>
    </w:p>
    <w:p w:rsidR="005813DD" w:rsidRDefault="005813DD" w:rsidP="005813DD">
      <w:pPr>
        <w:autoSpaceDE w:val="0"/>
        <w:autoSpaceDN w:val="0"/>
        <w:adjustRightInd w:val="0"/>
        <w:rPr>
          <w:rFonts w:cs="Arial"/>
        </w:rPr>
      </w:pPr>
    </w:p>
    <w:p w:rsidR="005813DD" w:rsidRDefault="005813DD" w:rsidP="005813DD">
      <w:pPr>
        <w:autoSpaceDE w:val="0"/>
        <w:autoSpaceDN w:val="0"/>
        <w:adjustRightInd w:val="0"/>
        <w:rPr>
          <w:rFonts w:cs="Arial"/>
        </w:rPr>
      </w:pPr>
      <w:r>
        <w:rPr>
          <w:rFonts w:cs="Arial"/>
        </w:rPr>
        <w:t>In the Matter of the Application of Duke Energy</w:t>
      </w:r>
      <w:r>
        <w:rPr>
          <w:rFonts w:cs="Arial"/>
        </w:rPr>
        <w:tab/>
        <w:t>)</w:t>
      </w:r>
    </w:p>
    <w:p w:rsidR="005813DD" w:rsidRDefault="005813DD" w:rsidP="005813DD">
      <w:pPr>
        <w:autoSpaceDE w:val="0"/>
        <w:autoSpaceDN w:val="0"/>
        <w:adjustRightInd w:val="0"/>
        <w:rPr>
          <w:rFonts w:cs="Arial"/>
        </w:rPr>
      </w:pPr>
      <w:r>
        <w:rPr>
          <w:rFonts w:cs="Arial"/>
        </w:rPr>
        <w:t xml:space="preserve">Ohio, Inc., for the Approval of a Tariff for a </w:t>
      </w:r>
      <w:r>
        <w:rPr>
          <w:rFonts w:cs="Arial"/>
        </w:rPr>
        <w:tab/>
        <w:t>)</w:t>
      </w:r>
      <w:r>
        <w:rPr>
          <w:rFonts w:cs="Arial"/>
        </w:rPr>
        <w:tab/>
        <w:t>Case No. 12-2402-EL-ATA</w:t>
      </w:r>
    </w:p>
    <w:p w:rsidR="005813DD" w:rsidRDefault="005813DD" w:rsidP="005813DD">
      <w:pPr>
        <w:autoSpaceDE w:val="0"/>
        <w:autoSpaceDN w:val="0"/>
        <w:adjustRightInd w:val="0"/>
        <w:rPr>
          <w:rFonts w:cs="Arial"/>
        </w:rPr>
      </w:pPr>
      <w:r>
        <w:rPr>
          <w:rFonts w:cs="Arial"/>
        </w:rPr>
        <w:t>New Service</w:t>
      </w:r>
      <w:r>
        <w:rPr>
          <w:rFonts w:cs="Arial"/>
        </w:rPr>
        <w:tab/>
      </w:r>
      <w:r>
        <w:rPr>
          <w:rFonts w:cs="Arial"/>
        </w:rPr>
        <w:tab/>
      </w:r>
      <w:r>
        <w:rPr>
          <w:rFonts w:cs="Arial"/>
        </w:rPr>
        <w:tab/>
      </w:r>
      <w:r>
        <w:rPr>
          <w:rFonts w:cs="Arial"/>
        </w:rPr>
        <w:tab/>
      </w:r>
      <w:r>
        <w:rPr>
          <w:rFonts w:cs="Arial"/>
        </w:rPr>
        <w:tab/>
      </w:r>
      <w:r>
        <w:rPr>
          <w:rFonts w:cs="Arial"/>
        </w:rPr>
        <w:tab/>
        <w:t>)</w:t>
      </w:r>
    </w:p>
    <w:p w:rsidR="005813DD" w:rsidRDefault="005813DD" w:rsidP="005813DD">
      <w:pPr>
        <w:autoSpaceDE w:val="0"/>
        <w:autoSpaceDN w:val="0"/>
        <w:adjustRightInd w:val="0"/>
        <w:rPr>
          <w:rFonts w:cs="Arial"/>
        </w:rPr>
      </w:pPr>
    </w:p>
    <w:p w:rsidR="005813DD" w:rsidRDefault="005813DD" w:rsidP="005813DD">
      <w:pPr>
        <w:pBdr>
          <w:top w:val="single" w:sz="12" w:space="1" w:color="auto"/>
        </w:pBdr>
        <w:tabs>
          <w:tab w:val="left" w:pos="7320"/>
        </w:tabs>
        <w:jc w:val="both"/>
        <w:rPr>
          <w:rFonts w:cs="Arial"/>
          <w:sz w:val="28"/>
        </w:rPr>
      </w:pPr>
    </w:p>
    <w:p w:rsidR="005813DD" w:rsidRPr="00324110" w:rsidRDefault="005813DD" w:rsidP="005813DD">
      <w:pPr>
        <w:jc w:val="center"/>
        <w:rPr>
          <w:b/>
          <w:sz w:val="28"/>
          <w:szCs w:val="28"/>
        </w:rPr>
      </w:pPr>
      <w:r w:rsidRPr="00324110">
        <w:rPr>
          <w:b/>
          <w:sz w:val="28"/>
          <w:szCs w:val="28"/>
        </w:rPr>
        <w:t>REPLY COMMENTS OF INDUSTRIAL ENERGY USERS-OHIO</w:t>
      </w:r>
    </w:p>
    <w:p w:rsidR="005813DD" w:rsidRPr="00CD4D1E" w:rsidRDefault="005813DD" w:rsidP="005813DD">
      <w:pPr>
        <w:pStyle w:val="Title"/>
        <w:rPr>
          <w:sz w:val="28"/>
          <w:u w:val="single"/>
        </w:rPr>
      </w:pP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r w:rsidRPr="00CD4D1E">
        <w:rPr>
          <w:sz w:val="28"/>
          <w:u w:val="single"/>
        </w:rPr>
        <w:tab/>
      </w:r>
    </w:p>
    <w:p w:rsidR="005813DD" w:rsidRPr="00CD4D1E" w:rsidRDefault="005813DD" w:rsidP="00DB22E9">
      <w:pPr>
        <w:spacing w:line="480" w:lineRule="auto"/>
        <w:jc w:val="both"/>
        <w:rPr>
          <w:b/>
        </w:rPr>
      </w:pPr>
    </w:p>
    <w:p w:rsidR="009415CF" w:rsidRDefault="009415CF" w:rsidP="0058242B">
      <w:pPr>
        <w:pStyle w:val="Heading1"/>
      </w:pPr>
      <w:bookmarkStart w:id="2" w:name="_GoBack"/>
      <w:bookmarkEnd w:id="2"/>
      <w:r>
        <w:t>Introduction</w:t>
      </w:r>
    </w:p>
    <w:p w:rsidR="00022F87" w:rsidRDefault="00022F87" w:rsidP="00DB22E9">
      <w:pPr>
        <w:spacing w:line="480" w:lineRule="auto"/>
        <w:jc w:val="both"/>
      </w:pPr>
      <w:r>
        <w:tab/>
        <w:t xml:space="preserve">On January 2, 2013, Commission Staff </w:t>
      </w:r>
      <w:r w:rsidR="00F65799">
        <w:t xml:space="preserve">(“Staff”) </w:t>
      </w:r>
      <w:r>
        <w:t>and intervenors filed Initial Comments concerning the Application of Duke Energy</w:t>
      </w:r>
      <w:r w:rsidR="006647F3">
        <w:t xml:space="preserve"> </w:t>
      </w:r>
      <w:r>
        <w:t>Ohio</w:t>
      </w:r>
      <w:r w:rsidR="006647F3">
        <w:t>, Inc.</w:t>
      </w:r>
      <w:r>
        <w:t xml:space="preserve"> (“Duke”)</w:t>
      </w:r>
      <w:r w:rsidR="006647F3">
        <w:t xml:space="preserve"> for the Establishment of a Charge Pursuant to Revised Code Section 4909.18</w:t>
      </w:r>
      <w:r w:rsidR="00E35ABD">
        <w:t xml:space="preserve"> (“Application”)</w:t>
      </w:r>
      <w:r>
        <w:t xml:space="preserve">.  The Initial Comments uniformly urge the Public Utilities Commission of Ohio (“Commission”) to </w:t>
      </w:r>
      <w:r w:rsidR="00C75C48">
        <w:t xml:space="preserve">dismiss </w:t>
      </w:r>
      <w:r>
        <w:t xml:space="preserve">the Application.  The reasons supporting dismissal are clear: </w:t>
      </w:r>
      <w:r w:rsidR="005B2009">
        <w:t xml:space="preserve"> </w:t>
      </w:r>
      <w:r w:rsidR="006E20B0">
        <w:t xml:space="preserve">the Commission lacks the authority to grant any of the relief Duke seeks in the Application; </w:t>
      </w:r>
      <w:r>
        <w:t xml:space="preserve">the Application violates Duke’s </w:t>
      </w:r>
      <w:r w:rsidR="000D185B">
        <w:t>Electric Security Plan (“</w:t>
      </w:r>
      <w:r>
        <w:t>ESP</w:t>
      </w:r>
      <w:r w:rsidR="000D185B">
        <w:t>”)</w:t>
      </w:r>
      <w:r>
        <w:t xml:space="preserve"> </w:t>
      </w:r>
      <w:r w:rsidR="007B6A4C">
        <w:t>Stipulation</w:t>
      </w:r>
      <w:r>
        <w:t xml:space="preserve">; </w:t>
      </w:r>
      <w:r w:rsidR="00DB22E9">
        <w:t>Duke currently</w:t>
      </w:r>
      <w:r>
        <w:t xml:space="preserve"> is charging the </w:t>
      </w:r>
      <w:r w:rsidR="00DB22E9">
        <w:t>lawful and reasonable</w:t>
      </w:r>
      <w:r>
        <w:t xml:space="preserve"> price for generation-related capacity service and cannot lawfully secure additional compensation for that service through a non-bypassable charge; and any reduction in total company earnings </w:t>
      </w:r>
      <w:r w:rsidR="00E35ABD">
        <w:t xml:space="preserve">Duke is anticipating </w:t>
      </w:r>
      <w:r>
        <w:t xml:space="preserve">is caused by </w:t>
      </w:r>
      <w:r w:rsidR="00DB22E9">
        <w:t>Duke’s</w:t>
      </w:r>
      <w:r>
        <w:t xml:space="preserve"> decision to retain generation assets when it may divest those assets under existing authorizations from this Commission and the Federal </w:t>
      </w:r>
      <w:r>
        <w:lastRenderedPageBreak/>
        <w:t>Energy Regulatory Commission (“FERC”).  The Initial Comments</w:t>
      </w:r>
      <w:r w:rsidR="007F3105">
        <w:t>,</w:t>
      </w:r>
      <w:r>
        <w:t xml:space="preserve"> thus</w:t>
      </w:r>
      <w:r w:rsidR="007F3105">
        <w:t>,</w:t>
      </w:r>
      <w:r>
        <w:t xml:space="preserve"> demonstrate that </w:t>
      </w:r>
      <w:r w:rsidR="0034115B">
        <w:t>the relief Duke seeks is unlawful and unreasonable</w:t>
      </w:r>
      <w:r>
        <w:t>.  As a result, the Commission should dismiss the Application</w:t>
      </w:r>
      <w:r w:rsidR="000D555C">
        <w:t xml:space="preserve"> as requested in the Joint Motion to Dismiss</w:t>
      </w:r>
      <w:r w:rsidR="007B6A4C">
        <w:rPr>
          <w:rStyle w:val="FootnoteReference"/>
        </w:rPr>
        <w:footnoteReference w:id="1"/>
      </w:r>
      <w:r w:rsidR="000D555C">
        <w:t xml:space="preserve"> filed on October 4, 2012 and as supported by the Initial Comments.</w:t>
      </w:r>
    </w:p>
    <w:p w:rsidR="009D52A6" w:rsidRDefault="009D52A6" w:rsidP="005B2009">
      <w:pPr>
        <w:pStyle w:val="Heading1"/>
        <w:spacing w:before="240"/>
      </w:pPr>
      <w:r>
        <w:t>The Commission Lacks Jurisdiction to Approve an Increase in Duke’s Compensation for the Provision of Generation</w:t>
      </w:r>
      <w:r w:rsidR="00E35ABD">
        <w:t xml:space="preserve">-Related </w:t>
      </w:r>
      <w:r>
        <w:t>Capacity Service</w:t>
      </w:r>
    </w:p>
    <w:p w:rsidR="00DF7428" w:rsidRPr="005B2009" w:rsidRDefault="009D52A6" w:rsidP="009D52A6">
      <w:pPr>
        <w:spacing w:line="480" w:lineRule="auto"/>
        <w:jc w:val="both"/>
        <w:rPr>
          <w:rFonts w:cs="Arial"/>
        </w:rPr>
      </w:pPr>
      <w:r w:rsidRPr="005B2009">
        <w:rPr>
          <w:rFonts w:cs="Arial"/>
        </w:rPr>
        <w:tab/>
      </w:r>
      <w:r w:rsidR="001E555C" w:rsidRPr="005B2009">
        <w:rPr>
          <w:rFonts w:cs="Arial"/>
        </w:rPr>
        <w:t>In its Application, Duke seeks three forms of relief:</w:t>
      </w:r>
      <w:r w:rsidR="005B2009">
        <w:rPr>
          <w:rFonts w:cs="Arial"/>
        </w:rPr>
        <w:t xml:space="preserve"> </w:t>
      </w:r>
      <w:r w:rsidR="001E555C" w:rsidRPr="005B2009">
        <w:rPr>
          <w:rFonts w:cs="Arial"/>
        </w:rPr>
        <w:t xml:space="preserve"> </w:t>
      </w:r>
      <w:r w:rsidR="0034115B" w:rsidRPr="005B2009">
        <w:rPr>
          <w:rFonts w:cs="Arial"/>
        </w:rPr>
        <w:t xml:space="preserve">authorization to </w:t>
      </w:r>
      <w:r w:rsidR="001E555C" w:rsidRPr="005B2009">
        <w:rPr>
          <w:rFonts w:cs="Arial"/>
        </w:rPr>
        <w:t xml:space="preserve">increase </w:t>
      </w:r>
      <w:r w:rsidR="0034115B" w:rsidRPr="005B2009">
        <w:rPr>
          <w:rFonts w:cs="Arial"/>
        </w:rPr>
        <w:t>its</w:t>
      </w:r>
      <w:r w:rsidR="001E555C" w:rsidRPr="005B2009">
        <w:rPr>
          <w:rFonts w:cs="Arial"/>
        </w:rPr>
        <w:t xml:space="preserve"> total compensation for providing generation</w:t>
      </w:r>
      <w:r w:rsidR="00CD4D1E">
        <w:rPr>
          <w:rFonts w:cs="Arial"/>
        </w:rPr>
        <w:t>-</w:t>
      </w:r>
      <w:r w:rsidR="001E555C" w:rsidRPr="005B2009">
        <w:rPr>
          <w:rFonts w:cs="Arial"/>
        </w:rPr>
        <w:t xml:space="preserve">related capacity service; authorization to modify its accounting </w:t>
      </w:r>
      <w:r w:rsidR="0034115B" w:rsidRPr="005B2009">
        <w:rPr>
          <w:rFonts w:cs="Arial"/>
        </w:rPr>
        <w:t>practices so as</w:t>
      </w:r>
      <w:r w:rsidR="001E555C" w:rsidRPr="005B2009">
        <w:rPr>
          <w:rFonts w:cs="Arial"/>
        </w:rPr>
        <w:t xml:space="preserve"> to </w:t>
      </w:r>
      <w:r w:rsidR="0034115B" w:rsidRPr="005B2009">
        <w:rPr>
          <w:rFonts w:cs="Arial"/>
        </w:rPr>
        <w:t xml:space="preserve">defer for future collection and financial reporting </w:t>
      </w:r>
      <w:r w:rsidR="001E555C" w:rsidRPr="005B2009">
        <w:rPr>
          <w:rFonts w:cs="Arial"/>
        </w:rPr>
        <w:t xml:space="preserve">the increase in compensation; and </w:t>
      </w:r>
      <w:r w:rsidR="00D9083E" w:rsidRPr="005B2009">
        <w:rPr>
          <w:rFonts w:cs="Arial"/>
        </w:rPr>
        <w:t xml:space="preserve">authorization </w:t>
      </w:r>
      <w:r w:rsidR="001E555C" w:rsidRPr="005B2009">
        <w:rPr>
          <w:rFonts w:cs="Arial"/>
        </w:rPr>
        <w:t xml:space="preserve">of a </w:t>
      </w:r>
      <w:r w:rsidR="0034115B" w:rsidRPr="005B2009">
        <w:rPr>
          <w:rFonts w:cs="Arial"/>
        </w:rPr>
        <w:t xml:space="preserve">non-bypassable </w:t>
      </w:r>
      <w:r w:rsidR="00D9083E" w:rsidRPr="005B2009">
        <w:rPr>
          <w:rFonts w:cs="Arial"/>
        </w:rPr>
        <w:t>rider</w:t>
      </w:r>
      <w:r w:rsidR="001E555C" w:rsidRPr="005B2009">
        <w:rPr>
          <w:rFonts w:cs="Arial"/>
        </w:rPr>
        <w:t xml:space="preserve"> to recover the deferred amount</w:t>
      </w:r>
      <w:r w:rsidR="00D9083E" w:rsidRPr="005B2009">
        <w:rPr>
          <w:rFonts w:cs="Arial"/>
        </w:rPr>
        <w:t xml:space="preserve"> with the amount of the rider to be determined in a separate proceeding</w:t>
      </w:r>
      <w:r w:rsidR="001E555C" w:rsidRPr="005B2009">
        <w:rPr>
          <w:rFonts w:cs="Arial"/>
        </w:rPr>
        <w:t xml:space="preserve">.  </w:t>
      </w:r>
      <w:r w:rsidR="00DF7428" w:rsidRPr="005B2009">
        <w:rPr>
          <w:rFonts w:cs="Arial"/>
        </w:rPr>
        <w:t>Although it claims it is seeking additional compensation for a wholesale service, the provision of generation-related capacity service, it invokes the Commission’s jurisdiction under the general supervisory provisions of Chapter 4905, Revised Code, and the cost-based ratemaking provisions of Chapter 4909, Revised Code</w:t>
      </w:r>
      <w:r w:rsidR="007C6212">
        <w:rPr>
          <w:rFonts w:cs="Arial"/>
        </w:rPr>
        <w:t>, that apply to retail electric services</w:t>
      </w:r>
      <w:r w:rsidR="00DF7428" w:rsidRPr="005B2009">
        <w:rPr>
          <w:rFonts w:cs="Arial"/>
        </w:rPr>
        <w:t>.</w:t>
      </w:r>
    </w:p>
    <w:p w:rsidR="001E555C" w:rsidRPr="005B2009" w:rsidRDefault="009D52A6" w:rsidP="00DF7428">
      <w:pPr>
        <w:spacing w:line="480" w:lineRule="auto"/>
        <w:ind w:firstLine="720"/>
        <w:jc w:val="both"/>
        <w:rPr>
          <w:rFonts w:cs="Arial"/>
        </w:rPr>
      </w:pPr>
      <w:r w:rsidRPr="005B2009">
        <w:rPr>
          <w:rFonts w:cs="Arial"/>
        </w:rPr>
        <w:t xml:space="preserve">As </w:t>
      </w:r>
      <w:r w:rsidR="006647F3" w:rsidRPr="005B2009">
        <w:rPr>
          <w:rFonts w:cs="Arial"/>
        </w:rPr>
        <w:t>Industrial Energy Users-Ohio (“</w:t>
      </w:r>
      <w:r w:rsidRPr="005B2009">
        <w:rPr>
          <w:rFonts w:cs="Arial"/>
        </w:rPr>
        <w:t>IEU-Ohio</w:t>
      </w:r>
      <w:r w:rsidR="006647F3" w:rsidRPr="005B2009">
        <w:rPr>
          <w:rFonts w:cs="Arial"/>
        </w:rPr>
        <w:t>”)</w:t>
      </w:r>
      <w:r w:rsidRPr="005B2009">
        <w:rPr>
          <w:rFonts w:cs="Arial"/>
        </w:rPr>
        <w:t xml:space="preserve"> demonstrated in its Initial Comments, </w:t>
      </w:r>
      <w:r w:rsidR="00D9083E" w:rsidRPr="005B2009">
        <w:rPr>
          <w:rFonts w:cs="Arial"/>
        </w:rPr>
        <w:t xml:space="preserve">the Commission lacks the authority to </w:t>
      </w:r>
      <w:r w:rsidR="00DF7428" w:rsidRPr="005B2009">
        <w:rPr>
          <w:rFonts w:cs="Arial"/>
        </w:rPr>
        <w:t>increase Duke’s compensation for generation-related capacity service</w:t>
      </w:r>
      <w:r w:rsidRPr="005B2009">
        <w:rPr>
          <w:rFonts w:cs="Arial"/>
        </w:rPr>
        <w:t xml:space="preserve">.  </w:t>
      </w:r>
      <w:r w:rsidR="00816576" w:rsidRPr="005B2009">
        <w:rPr>
          <w:rFonts w:cs="Arial"/>
        </w:rPr>
        <w:t>If,</w:t>
      </w:r>
      <w:r w:rsidR="0034115B" w:rsidRPr="005B2009">
        <w:rPr>
          <w:rFonts w:cs="Arial"/>
        </w:rPr>
        <w:t xml:space="preserve"> as </w:t>
      </w:r>
      <w:r w:rsidR="00816576" w:rsidRPr="005B2009">
        <w:rPr>
          <w:rFonts w:cs="Arial"/>
        </w:rPr>
        <w:t>Duke asserts,</w:t>
      </w:r>
      <w:r w:rsidR="0034115B" w:rsidRPr="005B2009">
        <w:rPr>
          <w:rFonts w:cs="Arial"/>
        </w:rPr>
        <w:t xml:space="preserve"> generation</w:t>
      </w:r>
      <w:r w:rsidR="00DF7428" w:rsidRPr="005B2009">
        <w:rPr>
          <w:rFonts w:cs="Arial"/>
        </w:rPr>
        <w:t>-related</w:t>
      </w:r>
      <w:r w:rsidR="0034115B" w:rsidRPr="005B2009">
        <w:rPr>
          <w:rFonts w:cs="Arial"/>
        </w:rPr>
        <w:t xml:space="preserve"> capacity service is “wholesale,”</w:t>
      </w:r>
      <w:r w:rsidR="00C75C48" w:rsidRPr="005B2009">
        <w:rPr>
          <w:rFonts w:cs="Arial"/>
        </w:rPr>
        <w:t xml:space="preserve"> </w:t>
      </w:r>
      <w:r w:rsidR="00816576" w:rsidRPr="005B2009">
        <w:rPr>
          <w:rFonts w:cs="Arial"/>
        </w:rPr>
        <w:t>then</w:t>
      </w:r>
      <w:r w:rsidR="00C75C48" w:rsidRPr="005B2009">
        <w:rPr>
          <w:rFonts w:cs="Arial"/>
        </w:rPr>
        <w:t xml:space="preserve"> the Commission </w:t>
      </w:r>
      <w:r w:rsidR="00816576" w:rsidRPr="005B2009">
        <w:rPr>
          <w:rFonts w:cs="Arial"/>
        </w:rPr>
        <w:t xml:space="preserve">does not have </w:t>
      </w:r>
      <w:r w:rsidR="00C75C48" w:rsidRPr="005B2009">
        <w:rPr>
          <w:rFonts w:cs="Arial"/>
        </w:rPr>
        <w:t>general supervisory jurisdiction</w:t>
      </w:r>
      <w:r w:rsidR="001365A2" w:rsidRPr="005B2009">
        <w:rPr>
          <w:rFonts w:cs="Arial"/>
        </w:rPr>
        <w:t xml:space="preserve"> over the service </w:t>
      </w:r>
      <w:r w:rsidR="00C47A7E">
        <w:rPr>
          <w:rFonts w:cs="Arial"/>
        </w:rPr>
        <w:t>and</w:t>
      </w:r>
      <w:r w:rsidR="00C47A7E" w:rsidRPr="005B2009">
        <w:rPr>
          <w:rFonts w:cs="Arial"/>
        </w:rPr>
        <w:t xml:space="preserve"> </w:t>
      </w:r>
      <w:r w:rsidR="005533AE">
        <w:rPr>
          <w:rFonts w:cs="Arial"/>
        </w:rPr>
        <w:t>cannot</w:t>
      </w:r>
      <w:r w:rsidR="005B2009">
        <w:rPr>
          <w:rFonts w:cs="Arial"/>
        </w:rPr>
        <w:t xml:space="preserve"> </w:t>
      </w:r>
      <w:r w:rsidR="00816576" w:rsidRPr="005B2009">
        <w:rPr>
          <w:rFonts w:cs="Arial"/>
        </w:rPr>
        <w:t xml:space="preserve">apply its cost-based ratemaking authority to set </w:t>
      </w:r>
      <w:r w:rsidR="00816576" w:rsidRPr="005B2009">
        <w:rPr>
          <w:rFonts w:cs="Arial"/>
        </w:rPr>
        <w:lastRenderedPageBreak/>
        <w:t>the price of that service</w:t>
      </w:r>
      <w:r w:rsidR="00C75C48" w:rsidRPr="005B2009">
        <w:rPr>
          <w:rFonts w:cs="Arial"/>
        </w:rPr>
        <w:t>.</w:t>
      </w:r>
      <w:r w:rsidR="0034115B" w:rsidRPr="005B2009">
        <w:rPr>
          <w:rStyle w:val="FootnoteReference"/>
          <w:rFonts w:cs="Arial"/>
        </w:rPr>
        <w:footnoteReference w:id="2"/>
      </w:r>
      <w:r w:rsidR="00C75C48" w:rsidRPr="005B2009">
        <w:rPr>
          <w:rFonts w:cs="Arial"/>
        </w:rPr>
        <w:t xml:space="preserve">  </w:t>
      </w:r>
      <w:r w:rsidR="00816576">
        <w:rPr>
          <w:rFonts w:eastAsia="Times New Roman" w:cs="Times New Roman"/>
          <w:szCs w:val="20"/>
        </w:rPr>
        <w:t>I</w:t>
      </w:r>
      <w:r w:rsidR="00816576" w:rsidRPr="00816576">
        <w:rPr>
          <w:rFonts w:eastAsia="Times New Roman" w:cs="Times New Roman"/>
          <w:szCs w:val="20"/>
        </w:rPr>
        <w:t xml:space="preserve">f Duke’s Application is seeking increased compensation for a competitive </w:t>
      </w:r>
      <w:r w:rsidR="005533AE">
        <w:rPr>
          <w:rFonts w:eastAsia="Times New Roman" w:cs="Times New Roman"/>
          <w:szCs w:val="20"/>
        </w:rPr>
        <w:t xml:space="preserve">retail </w:t>
      </w:r>
      <w:r w:rsidR="00816576" w:rsidRPr="00816576">
        <w:rPr>
          <w:rFonts w:eastAsia="Times New Roman" w:cs="Times New Roman"/>
          <w:szCs w:val="20"/>
        </w:rPr>
        <w:t>electric service, the Commission does not have authority to increase Duke’s total compensation under Chapter 4905</w:t>
      </w:r>
      <w:r w:rsidR="009739DB">
        <w:rPr>
          <w:rStyle w:val="FootnoteReference"/>
          <w:rFonts w:eastAsia="Times New Roman" w:cs="Times New Roman"/>
          <w:szCs w:val="20"/>
        </w:rPr>
        <w:footnoteReference w:id="3"/>
      </w:r>
      <w:r w:rsidR="00816576" w:rsidRPr="00816576">
        <w:rPr>
          <w:rFonts w:eastAsia="Times New Roman" w:cs="Times New Roman"/>
          <w:szCs w:val="20"/>
        </w:rPr>
        <w:t xml:space="preserve"> or Section 4909.18, Revised Code, and Duke’s Application fails to satisfy the statutory procedural and substantive requirements that must be satisfied before the Commission can authorize an </w:t>
      </w:r>
      <w:r w:rsidR="005B2009">
        <w:rPr>
          <w:rFonts w:eastAsia="Times New Roman" w:cs="Times New Roman"/>
          <w:szCs w:val="20"/>
        </w:rPr>
        <w:t>electric distribution utility (“</w:t>
      </w:r>
      <w:r w:rsidR="00816576" w:rsidRPr="00816576">
        <w:rPr>
          <w:rFonts w:eastAsia="Times New Roman" w:cs="Times New Roman"/>
          <w:szCs w:val="20"/>
        </w:rPr>
        <w:t>EDU</w:t>
      </w:r>
      <w:r w:rsidR="005B2009">
        <w:rPr>
          <w:rFonts w:eastAsia="Times New Roman" w:cs="Times New Roman"/>
          <w:szCs w:val="20"/>
        </w:rPr>
        <w:t>”)</w:t>
      </w:r>
      <w:r w:rsidR="00816576" w:rsidRPr="00816576">
        <w:rPr>
          <w:rFonts w:eastAsia="Times New Roman" w:cs="Times New Roman"/>
          <w:szCs w:val="20"/>
        </w:rPr>
        <w:t xml:space="preserve"> to collect compensation for </w:t>
      </w:r>
      <w:r w:rsidR="007C6212" w:rsidRPr="00816576">
        <w:rPr>
          <w:rFonts w:eastAsia="Times New Roman" w:cs="Times New Roman"/>
          <w:szCs w:val="20"/>
        </w:rPr>
        <w:t xml:space="preserve">competitive </w:t>
      </w:r>
      <w:r w:rsidR="005533AE">
        <w:rPr>
          <w:rFonts w:eastAsia="Times New Roman" w:cs="Times New Roman"/>
          <w:szCs w:val="20"/>
        </w:rPr>
        <w:t xml:space="preserve">retail </w:t>
      </w:r>
      <w:r w:rsidR="00816576" w:rsidRPr="00816576">
        <w:rPr>
          <w:rFonts w:eastAsia="Times New Roman" w:cs="Times New Roman"/>
          <w:szCs w:val="20"/>
        </w:rPr>
        <w:t>services</w:t>
      </w:r>
      <w:r w:rsidR="00816576" w:rsidRPr="005B2009">
        <w:rPr>
          <w:rFonts w:eastAsia="Times New Roman" w:cs="Times New Roman"/>
          <w:szCs w:val="20"/>
        </w:rPr>
        <w:t>.</w:t>
      </w:r>
      <w:r w:rsidR="00816576" w:rsidRPr="005B2009">
        <w:rPr>
          <w:rStyle w:val="FootnoteReference"/>
          <w:rFonts w:eastAsia="Times New Roman" w:cs="Times New Roman"/>
          <w:szCs w:val="20"/>
        </w:rPr>
        <w:footnoteReference w:id="4"/>
      </w:r>
      <w:r w:rsidR="00816576" w:rsidRPr="005B2009">
        <w:rPr>
          <w:rFonts w:eastAsia="Times New Roman" w:cs="Times New Roman"/>
          <w:szCs w:val="20"/>
        </w:rPr>
        <w:t xml:space="preserve">  </w:t>
      </w:r>
      <w:r w:rsidR="001E555C" w:rsidRPr="005B2009">
        <w:rPr>
          <w:rFonts w:cs="Arial"/>
        </w:rPr>
        <w:t xml:space="preserve">Finally, </w:t>
      </w:r>
      <w:r w:rsidR="001365A2" w:rsidRPr="005B2009">
        <w:rPr>
          <w:rFonts w:cs="Arial"/>
        </w:rPr>
        <w:t>if generation-related capacity service is a non-competitive</w:t>
      </w:r>
      <w:r w:rsidR="00E35ABD">
        <w:rPr>
          <w:rFonts w:cs="Arial"/>
        </w:rPr>
        <w:t xml:space="preserve"> retail</w:t>
      </w:r>
      <w:r w:rsidR="001365A2" w:rsidRPr="005B2009">
        <w:rPr>
          <w:rFonts w:cs="Arial"/>
        </w:rPr>
        <w:t xml:space="preserve"> electric service, </w:t>
      </w:r>
      <w:r w:rsidR="001E555C" w:rsidRPr="005B2009">
        <w:rPr>
          <w:rFonts w:cs="Arial"/>
        </w:rPr>
        <w:t>Duke has failed to comply with the statutory requirements that apply to an application to increase rates for non-competitive services.</w:t>
      </w:r>
      <w:r w:rsidR="001E555C" w:rsidRPr="005B2009">
        <w:rPr>
          <w:rStyle w:val="FootnoteReference"/>
          <w:rFonts w:cs="Arial"/>
        </w:rPr>
        <w:footnoteReference w:id="5"/>
      </w:r>
    </w:p>
    <w:p w:rsidR="006E20B0" w:rsidRPr="005B2009" w:rsidRDefault="001E555C" w:rsidP="005B2009">
      <w:pPr>
        <w:spacing w:line="480" w:lineRule="auto"/>
        <w:ind w:firstLine="720"/>
        <w:jc w:val="both"/>
        <w:rPr>
          <w:rFonts w:cs="Arial"/>
        </w:rPr>
      </w:pPr>
      <w:r w:rsidRPr="005B2009">
        <w:rPr>
          <w:rFonts w:cs="Arial"/>
        </w:rPr>
        <w:lastRenderedPageBreak/>
        <w:t xml:space="preserve">Second, </w:t>
      </w:r>
      <w:r w:rsidR="001365A2" w:rsidRPr="005B2009">
        <w:rPr>
          <w:rFonts w:cs="Arial"/>
        </w:rPr>
        <w:t xml:space="preserve">the Commission cannot approve </w:t>
      </w:r>
      <w:r w:rsidR="006E20B0" w:rsidRPr="005B2009">
        <w:rPr>
          <w:rFonts w:cs="Arial"/>
        </w:rPr>
        <w:t>Duke’s request to modify its accounting to defer the difference between what it claims to be the cost-based revenue requirement and the revenue it is currently authorized to recover under Section</w:t>
      </w:r>
      <w:r w:rsidR="00F65799" w:rsidRPr="005B2009">
        <w:rPr>
          <w:rFonts w:cs="Arial"/>
        </w:rPr>
        <w:t>s</w:t>
      </w:r>
      <w:r w:rsidR="006E20B0" w:rsidRPr="005B2009">
        <w:rPr>
          <w:rFonts w:cs="Arial"/>
        </w:rPr>
        <w:t xml:space="preserve"> 4909.13 or 4928.144, Revised Code.</w:t>
      </w:r>
      <w:r w:rsidR="001F4579">
        <w:rPr>
          <w:rFonts w:cs="Arial"/>
        </w:rPr>
        <w:t xml:space="preserve">  The Commission has no authority to approve accounting changes to defer revenue</w:t>
      </w:r>
      <w:r w:rsidR="00D14F66">
        <w:rPr>
          <w:rFonts w:cs="Arial"/>
        </w:rPr>
        <w:t>,</w:t>
      </w:r>
      <w:r w:rsidR="001F4579">
        <w:rPr>
          <w:rFonts w:cs="Arial"/>
        </w:rPr>
        <w:t xml:space="preserve"> to authorize accounting changes for a competitive service except as specifically set out in Section 4928.144, Revised Code, or to authorize accounting changes to permit the deferred recovery of generation-related transition revenue.  Additionally, the modifications that Duke is seeking do not comply with generally accepted accounting principles.</w:t>
      </w:r>
      <w:r w:rsidR="006E20B0" w:rsidRPr="005B2009">
        <w:rPr>
          <w:rStyle w:val="FootnoteReference"/>
          <w:rFonts w:cs="Arial"/>
        </w:rPr>
        <w:footnoteReference w:id="6"/>
      </w:r>
    </w:p>
    <w:p w:rsidR="00E13DF4" w:rsidRDefault="001E555C" w:rsidP="005B2009">
      <w:pPr>
        <w:spacing w:line="480" w:lineRule="auto"/>
        <w:ind w:firstLine="720"/>
        <w:jc w:val="both"/>
        <w:rPr>
          <w:rFonts w:cs="Arial"/>
        </w:rPr>
      </w:pPr>
      <w:r w:rsidRPr="005B2009">
        <w:rPr>
          <w:rFonts w:cs="Arial"/>
        </w:rPr>
        <w:t>Third, t</w:t>
      </w:r>
      <w:r w:rsidR="009D52A6" w:rsidRPr="005B2009">
        <w:rPr>
          <w:rFonts w:cs="Arial"/>
        </w:rPr>
        <w:t>he Commission lacks the authority to approve Duke’s</w:t>
      </w:r>
      <w:r w:rsidR="00DF7428" w:rsidRPr="005B2009">
        <w:rPr>
          <w:rFonts w:cs="Arial"/>
        </w:rPr>
        <w:t xml:space="preserve"> Application because it seeks</w:t>
      </w:r>
      <w:r w:rsidR="009D52A6" w:rsidRPr="005B2009">
        <w:rPr>
          <w:rFonts w:cs="Arial"/>
        </w:rPr>
        <w:t xml:space="preserve"> </w:t>
      </w:r>
      <w:r w:rsidR="00B1467B" w:rsidRPr="005B2009">
        <w:rPr>
          <w:rFonts w:cs="Arial"/>
        </w:rPr>
        <w:t xml:space="preserve">to </w:t>
      </w:r>
      <w:r w:rsidR="009D52A6" w:rsidRPr="005B2009">
        <w:rPr>
          <w:rFonts w:cs="Arial"/>
        </w:rPr>
        <w:t xml:space="preserve">bill and collect </w:t>
      </w:r>
      <w:r w:rsidR="00DF7428" w:rsidRPr="005B2009">
        <w:rPr>
          <w:rFonts w:cs="Arial"/>
        </w:rPr>
        <w:t xml:space="preserve">from retail customers </w:t>
      </w:r>
      <w:r w:rsidR="009D52A6" w:rsidRPr="005B2009">
        <w:rPr>
          <w:rFonts w:cs="Arial"/>
        </w:rPr>
        <w:t xml:space="preserve">additional </w:t>
      </w:r>
      <w:r w:rsidR="005533AE">
        <w:rPr>
          <w:rFonts w:cs="Arial"/>
        </w:rPr>
        <w:t xml:space="preserve">generation-related </w:t>
      </w:r>
      <w:r w:rsidR="009D52A6" w:rsidRPr="005B2009">
        <w:rPr>
          <w:rFonts w:cs="Arial"/>
        </w:rPr>
        <w:t>transition revenue</w:t>
      </w:r>
      <w:r w:rsidR="00B1467B" w:rsidRPr="005B2009">
        <w:rPr>
          <w:rFonts w:cs="Arial"/>
        </w:rPr>
        <w:t xml:space="preserve"> or its equivalent</w:t>
      </w:r>
      <w:r w:rsidR="009D52A6" w:rsidRPr="005B2009">
        <w:rPr>
          <w:rFonts w:cs="Arial"/>
        </w:rPr>
        <w:t xml:space="preserve">.  </w:t>
      </w:r>
      <w:r w:rsidR="006E20B0" w:rsidRPr="005B2009">
        <w:rPr>
          <w:rFonts w:cs="Arial"/>
        </w:rPr>
        <w:t>Duke’s claim</w:t>
      </w:r>
      <w:r w:rsidR="009D52A6" w:rsidRPr="005B2009">
        <w:rPr>
          <w:rFonts w:cs="Arial"/>
        </w:rPr>
        <w:t xml:space="preserve"> for </w:t>
      </w:r>
      <w:r w:rsidR="006E20B0" w:rsidRPr="005B2009">
        <w:rPr>
          <w:rFonts w:cs="Arial"/>
        </w:rPr>
        <w:t>generation</w:t>
      </w:r>
      <w:r w:rsidR="00CD4D1E">
        <w:rPr>
          <w:rFonts w:cs="Arial"/>
        </w:rPr>
        <w:t>-related</w:t>
      </w:r>
      <w:r w:rsidR="006E20B0" w:rsidRPr="005B2009">
        <w:rPr>
          <w:rFonts w:cs="Arial"/>
        </w:rPr>
        <w:t xml:space="preserve"> </w:t>
      </w:r>
      <w:r w:rsidR="009D52A6" w:rsidRPr="005B2009">
        <w:rPr>
          <w:rFonts w:cs="Arial"/>
        </w:rPr>
        <w:t xml:space="preserve">transition revenue </w:t>
      </w:r>
      <w:r w:rsidR="006E20B0" w:rsidRPr="005B2009">
        <w:rPr>
          <w:rFonts w:cs="Arial"/>
        </w:rPr>
        <w:t>is</w:t>
      </w:r>
      <w:r w:rsidR="009D52A6" w:rsidRPr="005B2009">
        <w:rPr>
          <w:rFonts w:cs="Arial"/>
        </w:rPr>
        <w:t xml:space="preserve"> barred by statute and its settlement in its Electric Transition Plan </w:t>
      </w:r>
      <w:r w:rsidR="000D185B" w:rsidRPr="005B2009">
        <w:rPr>
          <w:rFonts w:cs="Arial"/>
        </w:rPr>
        <w:t xml:space="preserve">(“ETP”) </w:t>
      </w:r>
      <w:r w:rsidR="00DF7428" w:rsidRPr="005B2009">
        <w:rPr>
          <w:rFonts w:cs="Arial"/>
        </w:rPr>
        <w:t>case</w:t>
      </w:r>
      <w:r w:rsidR="001365A2" w:rsidRPr="005B2009">
        <w:rPr>
          <w:rFonts w:cs="Arial"/>
        </w:rPr>
        <w:t>.</w:t>
      </w:r>
      <w:r w:rsidR="009D52A6" w:rsidRPr="005B2009">
        <w:rPr>
          <w:rStyle w:val="FootnoteReference"/>
          <w:rFonts w:cs="Arial"/>
        </w:rPr>
        <w:footnoteReference w:id="7"/>
      </w:r>
      <w:r w:rsidR="00DF7428" w:rsidRPr="005B2009">
        <w:rPr>
          <w:rFonts w:cs="Arial"/>
        </w:rPr>
        <w:t xml:space="preserve"> </w:t>
      </w:r>
      <w:r w:rsidR="001365A2" w:rsidRPr="005B2009">
        <w:rPr>
          <w:rFonts w:cs="Arial"/>
        </w:rPr>
        <w:t xml:space="preserve"> Under Ohio law, Duke’s generation-related capacity service</w:t>
      </w:r>
      <w:r w:rsidR="006E20B0" w:rsidRPr="005B2009">
        <w:rPr>
          <w:rFonts w:cs="Arial"/>
        </w:rPr>
        <w:t xml:space="preserve"> </w:t>
      </w:r>
      <w:r w:rsidR="00DF7428" w:rsidRPr="005B2009">
        <w:rPr>
          <w:rFonts w:cs="Arial"/>
        </w:rPr>
        <w:t>is “fully on its own in the competitive market.”</w:t>
      </w:r>
      <w:r w:rsidR="00DF7428" w:rsidRPr="005B2009">
        <w:rPr>
          <w:rStyle w:val="FootnoteReference"/>
          <w:rFonts w:cs="Arial"/>
        </w:rPr>
        <w:footnoteReference w:id="8"/>
      </w:r>
    </w:p>
    <w:p w:rsidR="00DB0397" w:rsidRDefault="00DB0397" w:rsidP="005B2009">
      <w:pPr>
        <w:spacing w:line="480" w:lineRule="auto"/>
        <w:ind w:firstLine="720"/>
        <w:jc w:val="both"/>
        <w:rPr>
          <w:rFonts w:cs="Arial"/>
        </w:rPr>
      </w:pPr>
    </w:p>
    <w:p w:rsidR="00DB0397" w:rsidRPr="005B2009" w:rsidRDefault="00DB0397" w:rsidP="005B2009">
      <w:pPr>
        <w:spacing w:line="480" w:lineRule="auto"/>
        <w:ind w:firstLine="720"/>
        <w:jc w:val="both"/>
        <w:rPr>
          <w:rFonts w:cs="Arial"/>
        </w:rPr>
      </w:pPr>
    </w:p>
    <w:p w:rsidR="00DB22E9" w:rsidRPr="005B2009" w:rsidRDefault="009415CF" w:rsidP="005B2009">
      <w:pPr>
        <w:pStyle w:val="Heading1"/>
        <w:spacing w:before="240"/>
      </w:pPr>
      <w:r w:rsidRPr="005B2009">
        <w:lastRenderedPageBreak/>
        <w:t xml:space="preserve">The Commission Should </w:t>
      </w:r>
      <w:r w:rsidR="00F9317B" w:rsidRPr="005B2009">
        <w:t xml:space="preserve">dismiss the application because it violates the terms of duke’s </w:t>
      </w:r>
      <w:r w:rsidRPr="005B2009">
        <w:t>ESP Settlement</w:t>
      </w:r>
    </w:p>
    <w:p w:rsidR="002209DD" w:rsidRDefault="00F9317B" w:rsidP="00E13DF4">
      <w:pPr>
        <w:spacing w:line="480" w:lineRule="auto"/>
        <w:ind w:firstLine="720"/>
        <w:jc w:val="both"/>
      </w:pPr>
      <w:r w:rsidRPr="005B2009">
        <w:rPr>
          <w:rFonts w:cs="Arial"/>
        </w:rPr>
        <w:t xml:space="preserve">As </w:t>
      </w:r>
      <w:r w:rsidR="00B1467B" w:rsidRPr="005B2009">
        <w:rPr>
          <w:rFonts w:cs="Arial"/>
        </w:rPr>
        <w:t xml:space="preserve">IEU-Ohio </w:t>
      </w:r>
      <w:r w:rsidRPr="005B2009">
        <w:rPr>
          <w:rFonts w:cs="Arial"/>
        </w:rPr>
        <w:t xml:space="preserve">demonstrated in </w:t>
      </w:r>
      <w:r w:rsidR="00B1467B" w:rsidRPr="005B2009">
        <w:rPr>
          <w:rFonts w:cs="Arial"/>
        </w:rPr>
        <w:t xml:space="preserve">its </w:t>
      </w:r>
      <w:r w:rsidRPr="005B2009">
        <w:rPr>
          <w:rFonts w:cs="Arial"/>
        </w:rPr>
        <w:t xml:space="preserve">Initial Comments, the Commission lacks legal authority to approve Duke’s Application.  </w:t>
      </w:r>
      <w:r w:rsidR="001365A2" w:rsidRPr="005B2009">
        <w:rPr>
          <w:rFonts w:cs="Arial"/>
        </w:rPr>
        <w:t>Approval of the A</w:t>
      </w:r>
      <w:r w:rsidR="00E13DF4" w:rsidRPr="005B2009">
        <w:rPr>
          <w:rFonts w:cs="Arial"/>
        </w:rPr>
        <w:t xml:space="preserve">pplication would also upset the careful balancing of interests contained in Duke’s ESP </w:t>
      </w:r>
      <w:r w:rsidR="00B1467B" w:rsidRPr="005B2009">
        <w:rPr>
          <w:rFonts w:cs="Arial"/>
        </w:rPr>
        <w:t>Stipulation</w:t>
      </w:r>
      <w:r w:rsidR="00B1467B" w:rsidRPr="005B2009">
        <w:t xml:space="preserve"> </w:t>
      </w:r>
      <w:r w:rsidR="00B1467B">
        <w:t>that</w:t>
      </w:r>
      <w:r w:rsidR="001365A2">
        <w:t xml:space="preserve"> the Commission approved on November 22, 2011</w:t>
      </w:r>
      <w:r w:rsidR="00E13DF4">
        <w:rPr>
          <w:rFonts w:cs="Arial"/>
          <w:color w:val="262626"/>
        </w:rPr>
        <w:t>.</w:t>
      </w:r>
      <w:r w:rsidR="007B6A4C">
        <w:rPr>
          <w:rStyle w:val="FootnoteReference"/>
        </w:rPr>
        <w:footnoteReference w:id="9"/>
      </w:r>
      <w:r w:rsidR="00E13DF4">
        <w:rPr>
          <w:rFonts w:cs="Arial"/>
          <w:color w:val="262626"/>
        </w:rPr>
        <w:t xml:space="preserve">  </w:t>
      </w:r>
      <w:r w:rsidR="009415CF">
        <w:t xml:space="preserve">As part of its </w:t>
      </w:r>
      <w:r w:rsidR="000D185B">
        <w:t>ESP</w:t>
      </w:r>
      <w:r w:rsidR="009415CF">
        <w:t xml:space="preserve"> Stipulation, Duke agreed to charge </w:t>
      </w:r>
      <w:r w:rsidR="00BA2C84">
        <w:t>Reliability Pricing Model (“</w:t>
      </w:r>
      <w:r w:rsidR="00E13DF4">
        <w:t>RPM</w:t>
      </w:r>
      <w:r w:rsidR="00BA2C84">
        <w:t>”)</w:t>
      </w:r>
      <w:r w:rsidR="00E13DF4">
        <w:t>-Based Prices</w:t>
      </w:r>
      <w:r w:rsidR="00CF5768">
        <w:rPr>
          <w:rStyle w:val="FootnoteReference"/>
        </w:rPr>
        <w:footnoteReference w:id="10"/>
      </w:r>
      <w:r w:rsidR="00E13DF4">
        <w:t xml:space="preserve"> </w:t>
      </w:r>
      <w:r w:rsidR="001365A2">
        <w:t xml:space="preserve">for generation-related </w:t>
      </w:r>
      <w:r w:rsidR="009415CF">
        <w:t xml:space="preserve">capacity </w:t>
      </w:r>
      <w:r w:rsidR="001365A2">
        <w:t xml:space="preserve">service </w:t>
      </w:r>
      <w:r w:rsidR="009415CF">
        <w:t xml:space="preserve">supplied to </w:t>
      </w:r>
      <w:r w:rsidR="009415CF" w:rsidRPr="00A47024">
        <w:t>CRES</w:t>
      </w:r>
      <w:r w:rsidR="009415CF">
        <w:t xml:space="preserve"> providers </w:t>
      </w:r>
      <w:r w:rsidR="00E13DF4">
        <w:t>and winning bidders of its SSO auction</w:t>
      </w:r>
      <w:r w:rsidR="00B1467B">
        <w:t>.  Duke also received authorization to bill and collect</w:t>
      </w:r>
      <w:r w:rsidR="009415CF">
        <w:t xml:space="preserve"> </w:t>
      </w:r>
      <w:r w:rsidR="00B1467B">
        <w:t xml:space="preserve">$110 million annually under </w:t>
      </w:r>
      <w:r w:rsidR="009415CF">
        <w:t xml:space="preserve">a non-bypassable </w:t>
      </w:r>
      <w:r w:rsidR="002209DD">
        <w:t xml:space="preserve">rider, the Electric </w:t>
      </w:r>
      <w:r w:rsidR="00576156">
        <w:t>Service</w:t>
      </w:r>
      <w:r w:rsidR="002209DD">
        <w:t xml:space="preserve"> Stability Charge Rider (</w:t>
      </w:r>
      <w:r w:rsidR="00E35ABD">
        <w:t>“</w:t>
      </w:r>
      <w:r w:rsidR="002209DD">
        <w:t>ESSC</w:t>
      </w:r>
      <w:r w:rsidR="00E35ABD">
        <w:t>”</w:t>
      </w:r>
      <w:r w:rsidR="002209DD">
        <w:t xml:space="preserve">).  </w:t>
      </w:r>
      <w:r w:rsidR="00B1467B">
        <w:t>Despite the fact that it resolved its compensation for generation-related capacity pricing in the ESP Stipulation</w:t>
      </w:r>
      <w:r w:rsidR="001365A2">
        <w:t xml:space="preserve">, </w:t>
      </w:r>
      <w:r w:rsidR="009415CF">
        <w:t xml:space="preserve">Duke seeks authorization to increase its compensation for </w:t>
      </w:r>
      <w:r w:rsidR="00B1467B">
        <w:t>this service</w:t>
      </w:r>
      <w:r>
        <w:t xml:space="preserve"> </w:t>
      </w:r>
      <w:r w:rsidR="009415CF">
        <w:t xml:space="preserve">by $776 million over the term of its current ESP.  As demonstrated in the Joint Motion to Dismiss filed on October 4, 2012, Duke’s Application violates the terms of the </w:t>
      </w:r>
      <w:r w:rsidR="00D15B2A">
        <w:t xml:space="preserve">ESP </w:t>
      </w:r>
      <w:r w:rsidR="009415CF">
        <w:t>Stipulation approved by the Commission</w:t>
      </w:r>
      <w:r w:rsidR="009032BB">
        <w:t>.</w:t>
      </w:r>
      <w:r w:rsidR="002209DD">
        <w:rPr>
          <w:rStyle w:val="FootnoteReference"/>
        </w:rPr>
        <w:footnoteReference w:id="11"/>
      </w:r>
    </w:p>
    <w:p w:rsidR="009415CF" w:rsidRDefault="002209DD" w:rsidP="002209DD">
      <w:pPr>
        <w:spacing w:line="480" w:lineRule="auto"/>
        <w:ind w:firstLine="720"/>
        <w:jc w:val="both"/>
      </w:pPr>
      <w:r>
        <w:t>Staff agrees that “</w:t>
      </w:r>
      <w:r w:rsidR="001365A2">
        <w:t xml:space="preserve">Duke’s new proposal </w:t>
      </w:r>
      <w:r>
        <w:t xml:space="preserve">ignores prior settlement agreements, defies state policies supporting settlements, and undermines the finality of the </w:t>
      </w:r>
      <w:r>
        <w:lastRenderedPageBreak/>
        <w:t>[Commission’s] orders.”</w:t>
      </w:r>
      <w:r>
        <w:rPr>
          <w:rStyle w:val="FootnoteReference"/>
        </w:rPr>
        <w:footnoteReference w:id="12"/>
      </w:r>
      <w:r w:rsidR="00E645DE">
        <w:t xml:space="preserve">  Pointing to Duke</w:t>
      </w:r>
      <w:r w:rsidR="00B571C1">
        <w:t>’s</w:t>
      </w:r>
      <w:r w:rsidR="00E645DE">
        <w:t xml:space="preserve"> ESP Stipulation </w:t>
      </w:r>
      <w:r w:rsidR="001365A2">
        <w:t>(</w:t>
      </w:r>
      <w:r w:rsidR="00E645DE">
        <w:t xml:space="preserve">and the </w:t>
      </w:r>
      <w:r w:rsidR="00B571C1">
        <w:t xml:space="preserve">stipulation settling </w:t>
      </w:r>
      <w:r w:rsidR="00E645DE">
        <w:t xml:space="preserve">Duke’s application to establish a base transmission rider </w:t>
      </w:r>
      <w:r w:rsidR="000D185B">
        <w:t xml:space="preserve">(“BTR”) </w:t>
      </w:r>
      <w:r w:rsidR="00E645DE">
        <w:t xml:space="preserve">in which Duke agreed to refrain from seeking approval of a wholesale capacity charge based on its costs as a Fixed Resource Requirements </w:t>
      </w:r>
      <w:r w:rsidR="000D185B">
        <w:t xml:space="preserve">(“FRR”) </w:t>
      </w:r>
      <w:r w:rsidR="00E645DE">
        <w:t>entity at FERC</w:t>
      </w:r>
      <w:r w:rsidR="001365A2">
        <w:t>)</w:t>
      </w:r>
      <w:r w:rsidR="00E645DE">
        <w:t>,</w:t>
      </w:r>
      <w:r w:rsidR="00E645DE">
        <w:rPr>
          <w:rStyle w:val="FootnoteReference"/>
        </w:rPr>
        <w:footnoteReference w:id="13"/>
      </w:r>
      <w:r w:rsidR="00E645DE">
        <w:t xml:space="preserve"> the Staff </w:t>
      </w:r>
      <w:r w:rsidR="00576156">
        <w:t>correctly concludes</w:t>
      </w:r>
      <w:r w:rsidR="00E645DE">
        <w:t xml:space="preserve"> that Duke “chose to resolve the wholesale </w:t>
      </w:r>
      <w:r w:rsidR="00576156">
        <w:t>capacity</w:t>
      </w:r>
      <w:r w:rsidR="00E645DE">
        <w:t xml:space="preserve"> pricing issue by accepting RPM priced </w:t>
      </w:r>
      <w:r w:rsidR="00576156">
        <w:t>capacity plus the $</w:t>
      </w:r>
      <w:r w:rsidR="00E645DE">
        <w:t>330 million ESSC, foregoing any challenges to the wholesale capacity pricing at the state and federal level.”</w:t>
      </w:r>
      <w:r w:rsidR="00E645DE">
        <w:rPr>
          <w:rStyle w:val="FootnoteReference"/>
        </w:rPr>
        <w:footnoteReference w:id="14"/>
      </w:r>
      <w:r w:rsidR="008257FF">
        <w:t xml:space="preserve">  As FirstEnergy Solutions</w:t>
      </w:r>
      <w:r w:rsidR="00E95F32">
        <w:t xml:space="preserve"> Corp.</w:t>
      </w:r>
      <w:r w:rsidR="00F65799">
        <w:t xml:space="preserve"> (“FES”)</w:t>
      </w:r>
      <w:r w:rsidR="008257FF">
        <w:t xml:space="preserve"> and Kroger </w:t>
      </w:r>
      <w:r w:rsidR="00E95F32">
        <w:t xml:space="preserve">Co. </w:t>
      </w:r>
      <w:r w:rsidR="007F3105">
        <w:t xml:space="preserve">(“Kroger”) </w:t>
      </w:r>
      <w:r w:rsidR="005B2009">
        <w:t xml:space="preserve">state, </w:t>
      </w:r>
      <w:r w:rsidR="00CF5768">
        <w:t>Duke has not offered any legitimate basis for reopening the ESP Stipulation that specifically and comprehensively addressed Duke’s compensation for generation-related capacity service</w:t>
      </w:r>
      <w:r w:rsidR="008257FF">
        <w:t>.</w:t>
      </w:r>
      <w:r w:rsidR="008257FF">
        <w:rPr>
          <w:rStyle w:val="FootnoteReference"/>
        </w:rPr>
        <w:footnoteReference w:id="15"/>
      </w:r>
      <w:r w:rsidR="002743D3">
        <w:t xml:space="preserve">  </w:t>
      </w:r>
      <w:r w:rsidR="00E83301">
        <w:t>To prevent Duke from undermining</w:t>
      </w:r>
      <w:r w:rsidR="002743D3">
        <w:t xml:space="preserve"> the integrity of the </w:t>
      </w:r>
      <w:r w:rsidR="00CF5768">
        <w:t xml:space="preserve">ESP (and BTR) </w:t>
      </w:r>
      <w:r w:rsidR="007B6A4C">
        <w:t>Stipulation</w:t>
      </w:r>
      <w:r w:rsidR="002743D3">
        <w:t xml:space="preserve">, the Commission </w:t>
      </w:r>
      <w:r w:rsidR="00977348">
        <w:t xml:space="preserve">must </w:t>
      </w:r>
      <w:r w:rsidR="00E83301">
        <w:t>dismiss</w:t>
      </w:r>
      <w:r w:rsidR="002743D3">
        <w:t xml:space="preserve"> Duke’s </w:t>
      </w:r>
      <w:r w:rsidR="00E83301">
        <w:t>Application</w:t>
      </w:r>
      <w:r w:rsidR="002743D3">
        <w:t>.</w:t>
      </w:r>
      <w:r w:rsidR="00B571C1">
        <w:rPr>
          <w:rStyle w:val="FootnoteReference"/>
        </w:rPr>
        <w:footnoteReference w:id="16"/>
      </w:r>
    </w:p>
    <w:p w:rsidR="00DB0397" w:rsidRDefault="00DB0397" w:rsidP="002209DD">
      <w:pPr>
        <w:spacing w:line="480" w:lineRule="auto"/>
        <w:ind w:firstLine="720"/>
        <w:jc w:val="both"/>
      </w:pPr>
    </w:p>
    <w:p w:rsidR="002743D3" w:rsidRDefault="002743D3" w:rsidP="00D15B2A">
      <w:pPr>
        <w:pStyle w:val="Heading1"/>
        <w:spacing w:before="240"/>
      </w:pPr>
      <w:r>
        <w:lastRenderedPageBreak/>
        <w:t>Duke’s Application Would Unreasonably Increase its Compensation for Generation</w:t>
      </w:r>
      <w:r w:rsidR="00CD4D1E">
        <w:t>-related</w:t>
      </w:r>
      <w:r>
        <w:t xml:space="preserve"> Capacity Service</w:t>
      </w:r>
    </w:p>
    <w:p w:rsidR="002743D3" w:rsidRDefault="002743D3" w:rsidP="00D15B2A">
      <w:pPr>
        <w:spacing w:line="480" w:lineRule="auto"/>
        <w:ind w:firstLine="720"/>
        <w:jc w:val="both"/>
      </w:pPr>
      <w:r>
        <w:t>In addition to violati</w:t>
      </w:r>
      <w:r w:rsidR="00D15B2A">
        <w:t xml:space="preserve">ng the terms of its </w:t>
      </w:r>
      <w:r w:rsidR="007B6A4C">
        <w:t xml:space="preserve">ESP </w:t>
      </w:r>
      <w:r w:rsidR="00D15B2A">
        <w:t>Stipulation</w:t>
      </w:r>
      <w:r>
        <w:t xml:space="preserve">, Duke is also seeking an increase in capacity compensation that is unreasonable.  </w:t>
      </w:r>
      <w:r w:rsidR="00DA29AA">
        <w:t xml:space="preserve">As FES points out, FERC </w:t>
      </w:r>
      <w:r w:rsidR="00DD52E8">
        <w:t>has</w:t>
      </w:r>
      <w:r w:rsidR="00DA29AA">
        <w:t xml:space="preserve"> concluded </w:t>
      </w:r>
      <w:r w:rsidR="00E76BFF">
        <w:t>RPM establishes a just and reasonable rate in order to ensure that PJM is able to meet resource requirements</w:t>
      </w:r>
      <w:r w:rsidR="00DA29AA">
        <w:t>.</w:t>
      </w:r>
      <w:r w:rsidR="00DA29AA">
        <w:rPr>
          <w:rStyle w:val="FootnoteReference"/>
        </w:rPr>
        <w:footnoteReference w:id="17"/>
      </w:r>
      <w:r w:rsidR="00DA29AA">
        <w:t xml:space="preserve">  </w:t>
      </w:r>
      <w:r w:rsidR="00E83301">
        <w:t>This</w:t>
      </w:r>
      <w:r w:rsidR="00DA29AA">
        <w:t xml:space="preserve"> C</w:t>
      </w:r>
      <w:r w:rsidR="00E35ABD">
        <w:t xml:space="preserve">ommission repeatedly has approved </w:t>
      </w:r>
      <w:r w:rsidR="00E83301">
        <w:t>the use of RPM to set the compensation of an EDU</w:t>
      </w:r>
      <w:r w:rsidR="00E35ABD">
        <w:t xml:space="preserve"> for the provision of generation</w:t>
      </w:r>
      <w:r w:rsidR="00CD4D1E">
        <w:t>-related</w:t>
      </w:r>
      <w:r w:rsidR="00E35ABD">
        <w:t xml:space="preserve"> capacity service to winning bidders of auctions and CRES providers</w:t>
      </w:r>
      <w:r w:rsidR="00DA29AA">
        <w:t>.</w:t>
      </w:r>
      <w:r w:rsidR="00DA29AA">
        <w:rPr>
          <w:rStyle w:val="FootnoteReference"/>
        </w:rPr>
        <w:footnoteReference w:id="18"/>
      </w:r>
      <w:r w:rsidR="00DD52E8">
        <w:t xml:space="preserve">  </w:t>
      </w:r>
    </w:p>
    <w:p w:rsidR="00BA2C84" w:rsidRPr="00302C4E" w:rsidRDefault="00741A18" w:rsidP="00D15B2A">
      <w:pPr>
        <w:spacing w:line="480" w:lineRule="auto"/>
        <w:ind w:firstLine="720"/>
        <w:jc w:val="both"/>
        <w:rPr>
          <w:rFonts w:cs="Arial"/>
        </w:rPr>
      </w:pPr>
      <w:r w:rsidRPr="00A47024">
        <w:t xml:space="preserve">The determination that </w:t>
      </w:r>
      <w:r w:rsidR="00E76BFF" w:rsidRPr="00A47024">
        <w:t xml:space="preserve">RPM establishes a just and reasonable rate </w:t>
      </w:r>
      <w:r w:rsidR="00BA2C84" w:rsidRPr="00A47024">
        <w:t>provides</w:t>
      </w:r>
      <w:r w:rsidRPr="00A47024">
        <w:t xml:space="preserve"> another ground for dismissing the Application.  </w:t>
      </w:r>
      <w:r w:rsidR="00E83301" w:rsidRPr="00A47024">
        <w:rPr>
          <w:rFonts w:cs="Arial"/>
        </w:rPr>
        <w:t>RPM</w:t>
      </w:r>
      <w:r w:rsidR="00BA2C84" w:rsidRPr="00A47024">
        <w:rPr>
          <w:rFonts w:cs="Arial"/>
        </w:rPr>
        <w:t>-Based Pricing</w:t>
      </w:r>
      <w:r w:rsidRPr="00A47024">
        <w:rPr>
          <w:rFonts w:cs="Arial"/>
        </w:rPr>
        <w:t xml:space="preserve"> is </w:t>
      </w:r>
      <w:r w:rsidR="00515693" w:rsidRPr="00A47024">
        <w:rPr>
          <w:rFonts w:cs="Arial"/>
        </w:rPr>
        <w:t xml:space="preserve">based on </w:t>
      </w:r>
      <w:r w:rsidRPr="00A47024">
        <w:rPr>
          <w:rFonts w:cs="Arial"/>
        </w:rPr>
        <w:t xml:space="preserve">a </w:t>
      </w:r>
      <w:r w:rsidR="00515693" w:rsidRPr="00A47024">
        <w:rPr>
          <w:rFonts w:cs="Arial"/>
        </w:rPr>
        <w:t xml:space="preserve">FERC-approved </w:t>
      </w:r>
      <w:r w:rsidRPr="00A47024">
        <w:rPr>
          <w:rFonts w:cs="Arial"/>
        </w:rPr>
        <w:t>contract binding on Duke</w:t>
      </w:r>
      <w:r w:rsidR="00CF1C38" w:rsidRPr="00A47024">
        <w:rPr>
          <w:rFonts w:cs="Arial"/>
        </w:rPr>
        <w:t xml:space="preserve">.  Additionally, Duke has entered into an ESP Stipulation </w:t>
      </w:r>
      <w:r w:rsidR="00B571C1" w:rsidRPr="00A47024">
        <w:rPr>
          <w:rFonts w:cs="Arial"/>
        </w:rPr>
        <w:t>that</w:t>
      </w:r>
      <w:r w:rsidR="00CF1C38" w:rsidRPr="00A47024">
        <w:rPr>
          <w:rFonts w:cs="Arial"/>
        </w:rPr>
        <w:t xml:space="preserve"> contractually sets Duke’s compensation for generation-related capacity service supplied to CRES providers and </w:t>
      </w:r>
      <w:r w:rsidR="00B571C1" w:rsidRPr="00A47024">
        <w:rPr>
          <w:rFonts w:cs="Arial"/>
        </w:rPr>
        <w:t>winning</w:t>
      </w:r>
      <w:r w:rsidR="00CF1C38" w:rsidRPr="00A47024">
        <w:rPr>
          <w:rFonts w:cs="Arial"/>
        </w:rPr>
        <w:t xml:space="preserve"> SSO auction bidders at the RPM-Based Price.  </w:t>
      </w:r>
      <w:r w:rsidR="00B211CE" w:rsidRPr="00A47024">
        <w:rPr>
          <w:rFonts w:cs="Arial"/>
        </w:rPr>
        <w:t xml:space="preserve">Under applicable federal and state law, Duke would be required to demonstrate that its current compensation under these agreements is not in the public interest if it sought to </w:t>
      </w:r>
      <w:r w:rsidR="00547DDB" w:rsidRPr="00A47024">
        <w:rPr>
          <w:rFonts w:cs="Arial"/>
        </w:rPr>
        <w:t>increase</w:t>
      </w:r>
      <w:r w:rsidR="00B211CE" w:rsidRPr="00A47024">
        <w:rPr>
          <w:rFonts w:cs="Arial"/>
        </w:rPr>
        <w:t xml:space="preserve"> its compensation for providing generation-related capacity service</w:t>
      </w:r>
      <w:r w:rsidR="00150597">
        <w:rPr>
          <w:rFonts w:cs="Arial"/>
        </w:rPr>
        <w:t xml:space="preserve"> under those agreements</w:t>
      </w:r>
      <w:r w:rsidR="00B211CE" w:rsidRPr="00A47024">
        <w:rPr>
          <w:rFonts w:cs="Arial"/>
        </w:rPr>
        <w:t>.</w:t>
      </w:r>
      <w:r w:rsidR="00B211CE" w:rsidRPr="00302C4E">
        <w:rPr>
          <w:rFonts w:cs="Arial"/>
          <w:vertAlign w:val="superscript"/>
        </w:rPr>
        <w:footnoteReference w:id="19"/>
      </w:r>
      <w:r w:rsidR="00B211CE" w:rsidRPr="00302C4E">
        <w:rPr>
          <w:rFonts w:cs="Arial"/>
        </w:rPr>
        <w:t xml:space="preserve">  Even though </w:t>
      </w:r>
      <w:r w:rsidR="00B211CE" w:rsidRPr="00A47024">
        <w:rPr>
          <w:rFonts w:cs="Arial"/>
        </w:rPr>
        <w:t xml:space="preserve">Duke is not attempting to directly </w:t>
      </w:r>
      <w:r w:rsidR="00547DDB" w:rsidRPr="00A47024">
        <w:rPr>
          <w:rFonts w:cs="Arial"/>
        </w:rPr>
        <w:t>increase</w:t>
      </w:r>
      <w:r w:rsidR="00B211CE" w:rsidRPr="00A47024">
        <w:rPr>
          <w:rFonts w:cs="Arial"/>
        </w:rPr>
        <w:t xml:space="preserve"> its compensation by altering the RAA or the ESP Stipulation, it is </w:t>
      </w:r>
      <w:r w:rsidR="00B211CE" w:rsidRPr="00A47024">
        <w:rPr>
          <w:rFonts w:cs="Arial"/>
        </w:rPr>
        <w:lastRenderedPageBreak/>
        <w:t>proposing to increase</w:t>
      </w:r>
      <w:r w:rsidR="009331C7" w:rsidRPr="00A47024">
        <w:rPr>
          <w:rFonts w:cs="Arial"/>
        </w:rPr>
        <w:t xml:space="preserve"> indirectly</w:t>
      </w:r>
      <w:r w:rsidR="00B211CE" w:rsidRPr="00A47024">
        <w:rPr>
          <w:rFonts w:cs="Arial"/>
        </w:rPr>
        <w:t xml:space="preserve"> its compensation for generation-related capacity service through non-bypassable retail charges.  Duke should not be permitted to do indirectly what it could not do directly.  </w:t>
      </w:r>
      <w:r w:rsidR="009331C7" w:rsidRPr="00A47024">
        <w:rPr>
          <w:rFonts w:cs="Arial"/>
        </w:rPr>
        <w:t xml:space="preserve">Thus, </w:t>
      </w:r>
      <w:r w:rsidR="00B211CE" w:rsidRPr="00302C4E">
        <w:rPr>
          <w:rFonts w:cs="Arial"/>
        </w:rPr>
        <w:t xml:space="preserve">Duke should be held to the standard </w:t>
      </w:r>
      <w:r w:rsidR="009331C7" w:rsidRPr="00302C4E">
        <w:rPr>
          <w:rFonts w:cs="Arial"/>
        </w:rPr>
        <w:t xml:space="preserve">of demonstrating that its compensation based on RPM-Based Prices is not in the public interest </w:t>
      </w:r>
      <w:r w:rsidR="00B211CE" w:rsidRPr="00302C4E">
        <w:rPr>
          <w:rFonts w:cs="Arial"/>
        </w:rPr>
        <w:t xml:space="preserve">before it may proceed on its Application to increase its </w:t>
      </w:r>
      <w:r w:rsidR="009331C7" w:rsidRPr="00302C4E">
        <w:rPr>
          <w:rFonts w:cs="Arial"/>
        </w:rPr>
        <w:t xml:space="preserve">total </w:t>
      </w:r>
      <w:r w:rsidR="00B211CE" w:rsidRPr="00302C4E">
        <w:rPr>
          <w:rFonts w:cs="Arial"/>
        </w:rPr>
        <w:t>compensation for generation-related capacity service.</w:t>
      </w:r>
    </w:p>
    <w:p w:rsidR="00515693" w:rsidRPr="00D15B2A" w:rsidRDefault="00E35ABD" w:rsidP="00BA2C84">
      <w:pPr>
        <w:spacing w:line="480" w:lineRule="auto"/>
        <w:ind w:firstLine="720"/>
        <w:jc w:val="both"/>
        <w:rPr>
          <w:rFonts w:cs="Arial"/>
        </w:rPr>
      </w:pPr>
      <w:r>
        <w:rPr>
          <w:rFonts w:cs="Arial"/>
        </w:rPr>
        <w:t>Duke’s Application</w:t>
      </w:r>
      <w:r w:rsidR="00B211CE">
        <w:rPr>
          <w:rFonts w:cs="Arial"/>
        </w:rPr>
        <w:t>, however,</w:t>
      </w:r>
      <w:r>
        <w:rPr>
          <w:rFonts w:cs="Arial"/>
        </w:rPr>
        <w:t xml:space="preserve"> does not demonstrate that RPM-Based Prices are not in the public interest.  </w:t>
      </w:r>
      <w:r w:rsidR="00A40BA5" w:rsidRPr="00D15B2A">
        <w:rPr>
          <w:rFonts w:cs="Arial"/>
        </w:rPr>
        <w:t>Instead</w:t>
      </w:r>
      <w:r w:rsidR="007D38F2" w:rsidRPr="00D15B2A">
        <w:rPr>
          <w:rFonts w:cs="Arial"/>
        </w:rPr>
        <w:t>,</w:t>
      </w:r>
      <w:r w:rsidR="00741A18" w:rsidRPr="00D15B2A">
        <w:rPr>
          <w:rFonts w:cs="Arial"/>
        </w:rPr>
        <w:t xml:space="preserve"> Duke’s Application </w:t>
      </w:r>
      <w:r w:rsidR="007D38F2" w:rsidRPr="00D15B2A">
        <w:rPr>
          <w:rFonts w:cs="Arial"/>
        </w:rPr>
        <w:t xml:space="preserve">states </w:t>
      </w:r>
      <w:r w:rsidR="00741A18" w:rsidRPr="00D15B2A">
        <w:rPr>
          <w:rFonts w:cs="Arial"/>
        </w:rPr>
        <w:t xml:space="preserve">that Duke </w:t>
      </w:r>
      <w:r w:rsidR="007D38F2" w:rsidRPr="00D15B2A">
        <w:rPr>
          <w:rFonts w:cs="Arial"/>
        </w:rPr>
        <w:t xml:space="preserve">is entitled </w:t>
      </w:r>
      <w:r w:rsidR="00BA2C84" w:rsidRPr="00D15B2A">
        <w:rPr>
          <w:rFonts w:cs="Arial"/>
        </w:rPr>
        <w:t xml:space="preserve">to </w:t>
      </w:r>
      <w:r w:rsidR="00F62D69" w:rsidRPr="00D15B2A">
        <w:rPr>
          <w:rFonts w:cs="Arial"/>
        </w:rPr>
        <w:t>a “cost-based charge”</w:t>
      </w:r>
      <w:r w:rsidR="007D38F2" w:rsidRPr="00D15B2A">
        <w:rPr>
          <w:rStyle w:val="FootnoteReference"/>
          <w:rFonts w:cs="Arial"/>
        </w:rPr>
        <w:footnoteReference w:id="20"/>
      </w:r>
      <w:r w:rsidR="00446CDC" w:rsidRPr="00D15B2A">
        <w:rPr>
          <w:rFonts w:cs="Arial"/>
        </w:rPr>
        <w:t xml:space="preserve"> and that it will be operating at a loss </w:t>
      </w:r>
      <w:r w:rsidR="007B6A4C">
        <w:rPr>
          <w:rFonts w:cs="Arial"/>
        </w:rPr>
        <w:t>unless</w:t>
      </w:r>
      <w:r w:rsidR="00446CDC" w:rsidRPr="00D15B2A">
        <w:rPr>
          <w:rFonts w:cs="Arial"/>
        </w:rPr>
        <w:t xml:space="preserve"> the Commission approves an increase in compensation.</w:t>
      </w:r>
      <w:r w:rsidR="00446CDC" w:rsidRPr="00D15B2A">
        <w:rPr>
          <w:rStyle w:val="FootnoteReference"/>
          <w:rFonts w:cs="Arial"/>
        </w:rPr>
        <w:footnoteReference w:id="21"/>
      </w:r>
      <w:r w:rsidR="00446CDC" w:rsidRPr="00D15B2A">
        <w:rPr>
          <w:rFonts w:cs="Arial"/>
        </w:rPr>
        <w:t xml:space="preserve"> </w:t>
      </w:r>
      <w:r w:rsidR="00CF1C38">
        <w:rPr>
          <w:rFonts w:cs="Arial"/>
        </w:rPr>
        <w:t xml:space="preserve"> These </w:t>
      </w:r>
      <w:r w:rsidR="00321ECE">
        <w:rPr>
          <w:rFonts w:cs="Arial"/>
        </w:rPr>
        <w:t>allegations</w:t>
      </w:r>
      <w:r w:rsidR="00CF1C38">
        <w:rPr>
          <w:rFonts w:cs="Arial"/>
        </w:rPr>
        <w:t xml:space="preserve"> fall short of the demonstration that RPM-Based Prices adversely affect the public interest that Duke must make </w:t>
      </w:r>
      <w:r w:rsidR="00150597">
        <w:rPr>
          <w:rFonts w:cs="Arial"/>
        </w:rPr>
        <w:t>to increase its compensation for the provision of generation-related capacity service that is governed by the RAA and its ESP Stipulation</w:t>
      </w:r>
      <w:r w:rsidR="00515693" w:rsidRPr="00D15B2A">
        <w:rPr>
          <w:rFonts w:cs="Arial"/>
        </w:rPr>
        <w:t>.</w:t>
      </w:r>
      <w:r w:rsidR="00515693" w:rsidRPr="00D15B2A">
        <w:rPr>
          <w:rStyle w:val="FootnoteReference"/>
          <w:rFonts w:cs="Arial"/>
        </w:rPr>
        <w:footnoteReference w:id="22"/>
      </w:r>
      <w:r w:rsidR="00515693" w:rsidRPr="00D15B2A">
        <w:rPr>
          <w:rFonts w:cs="Arial"/>
        </w:rPr>
        <w:t xml:space="preserve">  </w:t>
      </w:r>
    </w:p>
    <w:p w:rsidR="00CD4D1E" w:rsidRDefault="004D7EBA" w:rsidP="00941A83">
      <w:pPr>
        <w:spacing w:line="480" w:lineRule="auto"/>
        <w:ind w:firstLine="720"/>
        <w:jc w:val="both"/>
        <w:rPr>
          <w:rFonts w:eastAsiaTheme="majorEastAsia" w:cs="Arial"/>
          <w:b/>
          <w:bCs/>
          <w:caps/>
          <w:szCs w:val="28"/>
          <w:u w:val="single"/>
        </w:rPr>
      </w:pPr>
      <w:r w:rsidRPr="00D15B2A">
        <w:rPr>
          <w:rFonts w:cs="Arial"/>
        </w:rPr>
        <w:t xml:space="preserve">Duke’s </w:t>
      </w:r>
      <w:r w:rsidR="00321ECE">
        <w:rPr>
          <w:rFonts w:cs="Arial"/>
        </w:rPr>
        <w:t>demand</w:t>
      </w:r>
      <w:r w:rsidR="00321ECE" w:rsidRPr="00D15B2A">
        <w:rPr>
          <w:rFonts w:cs="Arial"/>
        </w:rPr>
        <w:t xml:space="preserve"> </w:t>
      </w:r>
      <w:r w:rsidR="00321ECE">
        <w:rPr>
          <w:rFonts w:cs="Arial"/>
        </w:rPr>
        <w:t>for</w:t>
      </w:r>
      <w:r w:rsidR="00217043" w:rsidRPr="00D15B2A">
        <w:rPr>
          <w:rFonts w:cs="Arial"/>
        </w:rPr>
        <w:t xml:space="preserve"> additional generation-related compensation </w:t>
      </w:r>
      <w:r w:rsidR="00515693" w:rsidRPr="00D15B2A">
        <w:rPr>
          <w:rFonts w:cs="Arial"/>
        </w:rPr>
        <w:t>also i</w:t>
      </w:r>
      <w:r w:rsidRPr="00D15B2A">
        <w:rPr>
          <w:rFonts w:cs="Arial"/>
        </w:rPr>
        <w:t xml:space="preserve">s undermined by </w:t>
      </w:r>
      <w:r w:rsidR="00515693" w:rsidRPr="00D15B2A">
        <w:rPr>
          <w:rFonts w:cs="Arial"/>
        </w:rPr>
        <w:t xml:space="preserve">the fact </w:t>
      </w:r>
      <w:r w:rsidR="00030DCE">
        <w:rPr>
          <w:rFonts w:cs="Arial"/>
        </w:rPr>
        <w:t xml:space="preserve">that the </w:t>
      </w:r>
      <w:r w:rsidR="00321ECE">
        <w:rPr>
          <w:rFonts w:cs="Arial"/>
        </w:rPr>
        <w:t xml:space="preserve">reduced </w:t>
      </w:r>
      <w:r w:rsidR="00030DCE">
        <w:rPr>
          <w:rFonts w:cs="Arial"/>
        </w:rPr>
        <w:t xml:space="preserve">return on investment </w:t>
      </w:r>
      <w:r w:rsidR="00446CDC" w:rsidRPr="00D15B2A">
        <w:rPr>
          <w:rFonts w:cs="Arial"/>
        </w:rPr>
        <w:t xml:space="preserve">it </w:t>
      </w:r>
      <w:r w:rsidR="00030DCE">
        <w:rPr>
          <w:rFonts w:cs="Arial"/>
        </w:rPr>
        <w:t>alleges it will incur</w:t>
      </w:r>
      <w:r w:rsidR="00030DCE" w:rsidRPr="00D15B2A">
        <w:rPr>
          <w:rFonts w:cs="Arial"/>
        </w:rPr>
        <w:t xml:space="preserve"> </w:t>
      </w:r>
      <w:r w:rsidR="00515693" w:rsidRPr="00D15B2A">
        <w:rPr>
          <w:rFonts w:cs="Arial"/>
        </w:rPr>
        <w:t xml:space="preserve">is </w:t>
      </w:r>
      <w:r w:rsidR="00030DCE">
        <w:rPr>
          <w:rFonts w:cs="Arial"/>
        </w:rPr>
        <w:t>temporary</w:t>
      </w:r>
      <w:r w:rsidR="00030DCE">
        <w:rPr>
          <w:rStyle w:val="FootnoteReference"/>
          <w:rFonts w:cs="Arial"/>
        </w:rPr>
        <w:footnoteReference w:id="23"/>
      </w:r>
      <w:r w:rsidR="00030DCE">
        <w:rPr>
          <w:rFonts w:cs="Arial"/>
        </w:rPr>
        <w:t xml:space="preserve"> and </w:t>
      </w:r>
      <w:r w:rsidR="00515693" w:rsidRPr="00D15B2A">
        <w:rPr>
          <w:rFonts w:cs="Arial"/>
        </w:rPr>
        <w:t xml:space="preserve">the result </w:t>
      </w:r>
      <w:r w:rsidR="00134C33" w:rsidRPr="00D15B2A">
        <w:rPr>
          <w:rFonts w:cs="Arial"/>
        </w:rPr>
        <w:t xml:space="preserve">of its own failure to use existing authority to improve the EDU’s financial </w:t>
      </w:r>
      <w:r w:rsidR="00E76BFF" w:rsidRPr="00D15B2A">
        <w:rPr>
          <w:rFonts w:cs="Arial"/>
        </w:rPr>
        <w:t>condition</w:t>
      </w:r>
      <w:r w:rsidR="00515693" w:rsidRPr="00D15B2A">
        <w:rPr>
          <w:rFonts w:cs="Arial"/>
        </w:rPr>
        <w:t>.</w:t>
      </w:r>
      <w:r w:rsidR="00402CC4" w:rsidRPr="00D15B2A">
        <w:rPr>
          <w:rFonts w:cs="Arial"/>
        </w:rPr>
        <w:t xml:space="preserve">  </w:t>
      </w:r>
      <w:r w:rsidR="00515693" w:rsidRPr="00D15B2A">
        <w:rPr>
          <w:rFonts w:cs="Arial"/>
        </w:rPr>
        <w:t xml:space="preserve">As </w:t>
      </w:r>
      <w:r w:rsidR="00F65799" w:rsidRPr="00D15B2A">
        <w:rPr>
          <w:rFonts w:cs="Arial"/>
        </w:rPr>
        <w:t>the Ohio Consumers’ Counsel (“</w:t>
      </w:r>
      <w:r w:rsidR="00515693" w:rsidRPr="00D15B2A">
        <w:rPr>
          <w:rFonts w:cs="Arial"/>
        </w:rPr>
        <w:t>OCC</w:t>
      </w:r>
      <w:r w:rsidR="00F65799" w:rsidRPr="00D15B2A">
        <w:rPr>
          <w:rFonts w:cs="Arial"/>
        </w:rPr>
        <w:t>”)</w:t>
      </w:r>
      <w:r w:rsidR="00515693" w:rsidRPr="00D15B2A">
        <w:rPr>
          <w:rFonts w:cs="Arial"/>
        </w:rPr>
        <w:t xml:space="preserve"> and </w:t>
      </w:r>
      <w:r w:rsidR="00F65799" w:rsidRPr="00D15B2A">
        <w:rPr>
          <w:rFonts w:cs="Arial"/>
        </w:rPr>
        <w:t>the Ohio Energy Group (“</w:t>
      </w:r>
      <w:r w:rsidR="00515693" w:rsidRPr="00D15B2A">
        <w:rPr>
          <w:rFonts w:cs="Arial"/>
        </w:rPr>
        <w:t>OEG</w:t>
      </w:r>
      <w:r w:rsidR="00F65799" w:rsidRPr="00D15B2A">
        <w:rPr>
          <w:rFonts w:cs="Arial"/>
        </w:rPr>
        <w:t>”)</w:t>
      </w:r>
      <w:r w:rsidR="00515693" w:rsidRPr="00D15B2A">
        <w:rPr>
          <w:rFonts w:cs="Arial"/>
        </w:rPr>
        <w:t xml:space="preserve"> correctly explain</w:t>
      </w:r>
      <w:r w:rsidR="00A40BA5" w:rsidRPr="00D15B2A">
        <w:rPr>
          <w:rFonts w:cs="Arial"/>
        </w:rPr>
        <w:t xml:space="preserve">, </w:t>
      </w:r>
      <w:r w:rsidRPr="00D15B2A">
        <w:rPr>
          <w:rFonts w:cs="Arial"/>
        </w:rPr>
        <w:t xml:space="preserve">“any temporary reduction in generation </w:t>
      </w:r>
      <w:r w:rsidR="00A40BA5" w:rsidRPr="00D15B2A">
        <w:rPr>
          <w:rFonts w:cs="Arial"/>
        </w:rPr>
        <w:lastRenderedPageBreak/>
        <w:t>earnings</w:t>
      </w:r>
      <w:r w:rsidRPr="00D15B2A">
        <w:rPr>
          <w:rFonts w:cs="Arial"/>
        </w:rPr>
        <w:t xml:space="preserve"> as a result of it retaining </w:t>
      </w:r>
      <w:r w:rsidR="00E83301" w:rsidRPr="00D15B2A">
        <w:rPr>
          <w:rFonts w:cs="Arial"/>
        </w:rPr>
        <w:t xml:space="preserve">its </w:t>
      </w:r>
      <w:r w:rsidRPr="00D15B2A">
        <w:rPr>
          <w:rFonts w:cs="Arial"/>
        </w:rPr>
        <w:t>legacy generation assets is self-inflicted since the regulated utility’s earnings problem can be cured by simply transferring the assets to it</w:t>
      </w:r>
      <w:r w:rsidR="000D185B" w:rsidRPr="00D15B2A">
        <w:rPr>
          <w:rFonts w:cs="Arial"/>
        </w:rPr>
        <w:t>s</w:t>
      </w:r>
      <w:r w:rsidRPr="00D15B2A">
        <w:rPr>
          <w:rFonts w:cs="Arial"/>
        </w:rPr>
        <w:t xml:space="preserve"> unregulated affiliate.”</w:t>
      </w:r>
      <w:r w:rsidRPr="00D15B2A">
        <w:rPr>
          <w:rStyle w:val="FootnoteReference"/>
          <w:rFonts w:cs="Arial"/>
        </w:rPr>
        <w:footnoteReference w:id="24"/>
      </w:r>
      <w:r w:rsidR="00A40BA5" w:rsidRPr="00D15B2A">
        <w:rPr>
          <w:rFonts w:cs="Arial"/>
        </w:rPr>
        <w:t xml:space="preserve">  Duke already possesses the necessary authority to transfer the generation assets.</w:t>
      </w:r>
      <w:r w:rsidR="00A40BA5" w:rsidRPr="00D15B2A">
        <w:rPr>
          <w:rStyle w:val="FootnoteReference"/>
          <w:rFonts w:cs="Arial"/>
        </w:rPr>
        <w:footnoteReference w:id="25"/>
      </w:r>
      <w:r w:rsidR="00A40BA5" w:rsidRPr="00D15B2A">
        <w:rPr>
          <w:rFonts w:cs="Arial"/>
        </w:rPr>
        <w:t xml:space="preserve">  Because Duke </w:t>
      </w:r>
      <w:r w:rsidR="00446CDC" w:rsidRPr="00D15B2A">
        <w:rPr>
          <w:rFonts w:cs="Arial"/>
        </w:rPr>
        <w:t xml:space="preserve">has not taken </w:t>
      </w:r>
      <w:r w:rsidR="00B571C1">
        <w:rPr>
          <w:rFonts w:cs="Arial"/>
        </w:rPr>
        <w:t xml:space="preserve">available steps </w:t>
      </w:r>
      <w:r w:rsidR="00446CDC" w:rsidRPr="00D15B2A">
        <w:rPr>
          <w:rFonts w:cs="Arial"/>
        </w:rPr>
        <w:t xml:space="preserve">that would reduce its </w:t>
      </w:r>
      <w:r w:rsidR="00C47A7E">
        <w:rPr>
          <w:rFonts w:cs="Arial"/>
        </w:rPr>
        <w:t>alleged financial concerns</w:t>
      </w:r>
      <w:r w:rsidR="00446CDC" w:rsidRPr="00D15B2A">
        <w:rPr>
          <w:rFonts w:cs="Arial"/>
        </w:rPr>
        <w:t>,</w:t>
      </w:r>
      <w:r w:rsidR="00A40BA5" w:rsidRPr="00D15B2A">
        <w:rPr>
          <w:rFonts w:cs="Arial"/>
        </w:rPr>
        <w:t xml:space="preserve"> Duke’s self-inflicted injury to earnings cannot be the basis for a finding that the increase in compensation </w:t>
      </w:r>
      <w:r w:rsidR="00576156" w:rsidRPr="00D15B2A">
        <w:rPr>
          <w:rFonts w:cs="Arial"/>
        </w:rPr>
        <w:t>it</w:t>
      </w:r>
      <w:r w:rsidR="00A40BA5" w:rsidRPr="00D15B2A">
        <w:rPr>
          <w:rFonts w:cs="Arial"/>
        </w:rPr>
        <w:t xml:space="preserve"> is seeking is in the public interest.</w:t>
      </w:r>
      <w:r w:rsidR="00A40BA5" w:rsidRPr="00D15B2A">
        <w:rPr>
          <w:rStyle w:val="FootnoteReference"/>
          <w:rFonts w:cs="Arial"/>
        </w:rPr>
        <w:footnoteReference w:id="26"/>
      </w:r>
    </w:p>
    <w:p w:rsidR="00373A62" w:rsidRDefault="003F308D" w:rsidP="00C41C6E">
      <w:pPr>
        <w:pStyle w:val="Heading1"/>
        <w:spacing w:before="240"/>
      </w:pPr>
      <w:r>
        <w:t>Conclusion</w:t>
      </w:r>
    </w:p>
    <w:p w:rsidR="00693B17" w:rsidRDefault="00217043" w:rsidP="00DB0397">
      <w:pPr>
        <w:spacing w:line="480" w:lineRule="auto"/>
        <w:ind w:firstLine="720"/>
        <w:jc w:val="both"/>
      </w:pPr>
      <w:r>
        <w:t>Duke</w:t>
      </w:r>
      <w:r w:rsidR="00E35ABD">
        <w:t>’s Application does not demonstrate</w:t>
      </w:r>
      <w:r>
        <w:t xml:space="preserve"> </w:t>
      </w:r>
      <w:r w:rsidR="00150597">
        <w:t>a</w:t>
      </w:r>
      <w:r>
        <w:t xml:space="preserve"> lawful basis on which the Commission can grant the relief that Duke is requesting.  Furthermore, </w:t>
      </w:r>
      <w:r w:rsidR="00E83301">
        <w:t xml:space="preserve">the </w:t>
      </w:r>
      <w:r w:rsidR="008E4F3D">
        <w:t>Commission</w:t>
      </w:r>
      <w:r w:rsidR="00E83301">
        <w:t xml:space="preserve"> should not permit </w:t>
      </w:r>
      <w:r>
        <w:t xml:space="preserve">Duke to </w:t>
      </w:r>
      <w:r w:rsidR="008E4F3D">
        <w:t>violate</w:t>
      </w:r>
      <w:r>
        <w:t xml:space="preserve"> its ETP, ESP and BTR </w:t>
      </w:r>
      <w:r w:rsidR="00E83301">
        <w:t>Stipulations</w:t>
      </w:r>
      <w:r>
        <w:t>.  Finally</w:t>
      </w:r>
      <w:r w:rsidR="00DD0250">
        <w:t xml:space="preserve">, </w:t>
      </w:r>
      <w:r w:rsidR="00E76BFF">
        <w:t xml:space="preserve">increasing </w:t>
      </w:r>
      <w:r w:rsidR="00DD0250">
        <w:t>Duke’s</w:t>
      </w:r>
      <w:r w:rsidR="00E76BFF">
        <w:t xml:space="preserve"> compensation from</w:t>
      </w:r>
      <w:r w:rsidR="00DD0250">
        <w:t xml:space="preserve"> </w:t>
      </w:r>
      <w:r w:rsidR="00E76BFF">
        <w:t xml:space="preserve">retail </w:t>
      </w:r>
      <w:r w:rsidR="00DD0250">
        <w:t xml:space="preserve">customers </w:t>
      </w:r>
      <w:r w:rsidR="00E76BFF">
        <w:t xml:space="preserve">is not a </w:t>
      </w:r>
      <w:r w:rsidR="00125559">
        <w:t xml:space="preserve">reasonable </w:t>
      </w:r>
      <w:r w:rsidR="00E76BFF">
        <w:t xml:space="preserve">solution for </w:t>
      </w:r>
      <w:r w:rsidR="00DD0250">
        <w:t xml:space="preserve">Duke’s </w:t>
      </w:r>
      <w:r>
        <w:t xml:space="preserve">self-inflicted financial </w:t>
      </w:r>
      <w:r w:rsidR="00DD0250">
        <w:t>problem</w:t>
      </w:r>
      <w:r w:rsidR="00C47A7E">
        <w:t xml:space="preserve"> (if it exists)</w:t>
      </w:r>
      <w:r w:rsidR="00DD0250">
        <w:t>.  Because Duke cannot demonstrate any lawful basis for approving the relief it seeks</w:t>
      </w:r>
      <w:r w:rsidR="00693B17">
        <w:t>, the Commission should summarily dismiss Duke’s Application.</w:t>
      </w:r>
    </w:p>
    <w:p w:rsidR="005A7D32" w:rsidRDefault="005A7D32" w:rsidP="005A7D32">
      <w:pPr>
        <w:tabs>
          <w:tab w:val="left" w:pos="4320"/>
          <w:tab w:val="right" w:pos="8640"/>
        </w:tabs>
        <w:jc w:val="both"/>
        <w:rPr>
          <w:rFonts w:cs="Arial"/>
        </w:rPr>
      </w:pPr>
      <w:r>
        <w:rPr>
          <w:rFonts w:cs="Arial"/>
        </w:rPr>
        <w:tab/>
        <w:t>Respectfully submitted,</w:t>
      </w:r>
    </w:p>
    <w:p w:rsidR="005A7D32" w:rsidRDefault="005A7D32" w:rsidP="005A7D32">
      <w:pPr>
        <w:tabs>
          <w:tab w:val="left" w:pos="4320"/>
          <w:tab w:val="right" w:pos="8640"/>
        </w:tabs>
        <w:jc w:val="both"/>
        <w:rPr>
          <w:rFonts w:cs="Arial"/>
        </w:rPr>
      </w:pPr>
    </w:p>
    <w:p w:rsidR="005A7D32" w:rsidRDefault="005A7D32" w:rsidP="005A7D32">
      <w:pPr>
        <w:tabs>
          <w:tab w:val="left" w:pos="4320"/>
          <w:tab w:val="right" w:pos="8640"/>
        </w:tabs>
        <w:jc w:val="both"/>
        <w:rPr>
          <w:rFonts w:cs="Arial"/>
        </w:rPr>
      </w:pPr>
    </w:p>
    <w:p w:rsidR="005A7D32" w:rsidRDefault="005A7D32" w:rsidP="005A7D32">
      <w:pPr>
        <w:tabs>
          <w:tab w:val="left" w:pos="4320"/>
          <w:tab w:val="right" w:pos="8640"/>
        </w:tabs>
        <w:jc w:val="both"/>
        <w:rPr>
          <w:rFonts w:cs="Arial"/>
          <w:u w:val="single"/>
        </w:rPr>
      </w:pPr>
      <w:r>
        <w:rPr>
          <w:rFonts w:cs="Arial"/>
        </w:rPr>
        <w:tab/>
      </w:r>
      <w:r w:rsidR="00DB0397">
        <w:rPr>
          <w:rFonts w:cs="Arial"/>
          <w:u w:val="single"/>
        </w:rPr>
        <w:t>/s/ Frank P. Darr</w:t>
      </w:r>
      <w:r>
        <w:rPr>
          <w:rFonts w:cs="Arial"/>
          <w:u w:val="single"/>
        </w:rPr>
        <w:tab/>
      </w:r>
      <w:r>
        <w:rPr>
          <w:rFonts w:cs="Arial"/>
          <w:u w:val="single"/>
        </w:rPr>
        <w:tab/>
      </w:r>
    </w:p>
    <w:p w:rsidR="005A7D32" w:rsidRDefault="005A7D32" w:rsidP="005A7D32">
      <w:pPr>
        <w:tabs>
          <w:tab w:val="left" w:pos="4320"/>
          <w:tab w:val="right" w:pos="8640"/>
        </w:tabs>
        <w:ind w:left="4320"/>
        <w:jc w:val="both"/>
        <w:rPr>
          <w:rFonts w:cs="Arial"/>
        </w:rPr>
      </w:pPr>
      <w:r>
        <w:rPr>
          <w:rFonts w:cs="Arial"/>
        </w:rPr>
        <w:tab/>
        <w:t>Samuel C. Randazzo (Counsel of Record)</w:t>
      </w:r>
    </w:p>
    <w:p w:rsidR="005A7D32" w:rsidRDefault="005A7D32" w:rsidP="005A7D32">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5A7D32" w:rsidRDefault="005A7D32" w:rsidP="005A7D32">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5A7D32" w:rsidRDefault="005A7D32" w:rsidP="005A7D32">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5A7D32" w:rsidRDefault="005A7D32" w:rsidP="005A7D32">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5A7D32" w:rsidRDefault="005A7D32" w:rsidP="005A7D32">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5A7D32" w:rsidRDefault="005A7D32" w:rsidP="005A7D32">
      <w:pPr>
        <w:pStyle w:val="BodyText"/>
        <w:tabs>
          <w:tab w:val="left" w:pos="4320"/>
        </w:tabs>
        <w:ind w:left="4320"/>
      </w:pPr>
      <w:r>
        <w:lastRenderedPageBreak/>
        <w:t>Columbus, OH  43215</w:t>
      </w:r>
    </w:p>
    <w:p w:rsidR="005A7D32" w:rsidRDefault="005A7D32" w:rsidP="005A7D32">
      <w:pPr>
        <w:pStyle w:val="BodyText"/>
        <w:tabs>
          <w:tab w:val="left" w:pos="4320"/>
        </w:tabs>
        <w:ind w:left="4320"/>
      </w:pPr>
      <w:r>
        <w:t>Telephone:  (614) 469-8000</w:t>
      </w:r>
    </w:p>
    <w:p w:rsidR="005A7D32" w:rsidRDefault="005A7D32" w:rsidP="005A7D32">
      <w:pPr>
        <w:pStyle w:val="BodyText"/>
        <w:tabs>
          <w:tab w:val="left" w:pos="4320"/>
        </w:tabs>
        <w:ind w:left="4320"/>
      </w:pPr>
      <w:r>
        <w:t>Telecopier:  (614) 469-4653</w:t>
      </w:r>
    </w:p>
    <w:p w:rsidR="005A7D32" w:rsidRDefault="005A7D32" w:rsidP="005A7D32">
      <w:pPr>
        <w:pStyle w:val="BodyText"/>
        <w:ind w:left="4320"/>
      </w:pPr>
      <w:r>
        <w:t>sam@mwncmh.com</w:t>
      </w:r>
    </w:p>
    <w:p w:rsidR="005A7D32" w:rsidRDefault="005A7D32" w:rsidP="005A7D32">
      <w:pPr>
        <w:pStyle w:val="BodyText"/>
        <w:ind w:left="4320"/>
      </w:pPr>
      <w:r>
        <w:t>fdarr@mwncmh.com</w:t>
      </w:r>
    </w:p>
    <w:p w:rsidR="005A7D32" w:rsidRDefault="005A7D32" w:rsidP="005A7D32">
      <w:pPr>
        <w:pStyle w:val="BodyText"/>
        <w:ind w:left="4320"/>
      </w:pPr>
      <w:r>
        <w:t>joliker@mwncmh.com</w:t>
      </w:r>
    </w:p>
    <w:p w:rsidR="005A7D32" w:rsidRDefault="005A7D32" w:rsidP="005A7D32">
      <w:pPr>
        <w:pStyle w:val="BodyText"/>
        <w:ind w:left="4320"/>
      </w:pPr>
      <w:r>
        <w:t>mpritchard@mwncmh.com</w:t>
      </w:r>
    </w:p>
    <w:p w:rsidR="005A7D32" w:rsidRDefault="005A7D32" w:rsidP="005A7D32">
      <w:pPr>
        <w:pStyle w:val="BodyText"/>
      </w:pPr>
    </w:p>
    <w:p w:rsidR="005A7D32" w:rsidRPr="00C41C6E" w:rsidRDefault="005A7D32" w:rsidP="005A7D32">
      <w:pPr>
        <w:tabs>
          <w:tab w:val="left" w:pos="4320"/>
          <w:tab w:val="right" w:pos="8640"/>
        </w:tabs>
        <w:jc w:val="both"/>
        <w:rPr>
          <w:b/>
        </w:rPr>
      </w:pPr>
      <w:r>
        <w:tab/>
      </w:r>
      <w:r>
        <w:tab/>
      </w:r>
      <w:r w:rsidRPr="00C41C6E">
        <w:rPr>
          <w:b/>
        </w:rPr>
        <w:t>Attorneys for Industrial Energy Users-Ohio</w:t>
      </w:r>
    </w:p>
    <w:p w:rsidR="005A7D32" w:rsidRDefault="005A7D32" w:rsidP="005A7D32">
      <w:pPr>
        <w:tabs>
          <w:tab w:val="left" w:pos="4320"/>
          <w:tab w:val="right" w:pos="8640"/>
        </w:tabs>
        <w:jc w:val="both"/>
        <w:sectPr w:rsidR="005A7D32" w:rsidSect="0032411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rsidR="00324110" w:rsidRDefault="00324110" w:rsidP="00324110">
      <w:pPr>
        <w:tabs>
          <w:tab w:val="left" w:pos="2160"/>
          <w:tab w:val="left" w:pos="2280"/>
        </w:tabs>
        <w:jc w:val="center"/>
        <w:rPr>
          <w:rFonts w:eastAsia="Calibri" w:cs="Arial"/>
          <w:b/>
          <w:smallCaps/>
          <w:u w:val="single"/>
        </w:rPr>
      </w:pPr>
      <w:r>
        <w:rPr>
          <w:rFonts w:eastAsia="Calibri" w:cs="Arial"/>
          <w:b/>
          <w:smallCaps/>
          <w:u w:val="single"/>
        </w:rPr>
        <w:lastRenderedPageBreak/>
        <w:t>Certificate Of Service</w:t>
      </w:r>
    </w:p>
    <w:p w:rsidR="00324110" w:rsidRDefault="00324110" w:rsidP="00324110">
      <w:pPr>
        <w:tabs>
          <w:tab w:val="left" w:pos="2160"/>
          <w:tab w:val="left" w:pos="2280"/>
        </w:tabs>
        <w:jc w:val="center"/>
        <w:rPr>
          <w:rFonts w:eastAsia="Calibri" w:cs="Arial"/>
          <w:b/>
          <w:smallCaps/>
          <w:u w:val="single"/>
        </w:rPr>
      </w:pPr>
    </w:p>
    <w:p w:rsidR="00324110" w:rsidRDefault="00324110" w:rsidP="00324110">
      <w:pPr>
        <w:rPr>
          <w:rFonts w:eastAsia="Calibri" w:cs="Arial"/>
          <w:sz w:val="20"/>
        </w:rPr>
      </w:pPr>
    </w:p>
    <w:p w:rsidR="00324110" w:rsidRPr="002C105E" w:rsidRDefault="00324110" w:rsidP="00C41C6E">
      <w:pPr>
        <w:spacing w:line="480" w:lineRule="auto"/>
        <w:ind w:firstLine="720"/>
        <w:jc w:val="both"/>
        <w:rPr>
          <w:rFonts w:eastAsia="Calibri"/>
        </w:rPr>
      </w:pPr>
      <w:r>
        <w:rPr>
          <w:rFonts w:eastAsia="Calibri"/>
        </w:rPr>
        <w:t xml:space="preserve">I hereby certify that a copy of the foregoing </w:t>
      </w:r>
      <w:r w:rsidRPr="00324110">
        <w:rPr>
          <w:rFonts w:eastAsia="Calibri"/>
          <w:i/>
        </w:rPr>
        <w:t>Reply</w:t>
      </w:r>
      <w:r>
        <w:rPr>
          <w:rFonts w:eastAsia="Calibri"/>
        </w:rPr>
        <w:t xml:space="preserve"> </w:t>
      </w:r>
      <w:r>
        <w:rPr>
          <w:rFonts w:eastAsia="Calibri"/>
          <w:i/>
        </w:rPr>
        <w:t>Comments of Industrial Energy Users-Ohio</w:t>
      </w:r>
      <w:r>
        <w:rPr>
          <w:rFonts w:eastAsia="Calibri"/>
        </w:rPr>
        <w:t xml:space="preserve"> was served upon the following parties of record this 1</w:t>
      </w:r>
      <w:r w:rsidRPr="00324110">
        <w:rPr>
          <w:rFonts w:eastAsia="Calibri"/>
          <w:vertAlign w:val="superscript"/>
        </w:rPr>
        <w:t>st</w:t>
      </w:r>
      <w:r>
        <w:rPr>
          <w:rFonts w:eastAsia="Calibri"/>
        </w:rPr>
        <w:t xml:space="preserve"> day of February 2013, </w:t>
      </w:r>
      <w:r>
        <w:rPr>
          <w:rFonts w:eastAsia="Calibri"/>
          <w:i/>
        </w:rPr>
        <w:t>via</w:t>
      </w:r>
      <w:r>
        <w:rPr>
          <w:rFonts w:eastAsia="Calibri"/>
        </w:rPr>
        <w:t xml:space="preserve"> hand-delivery, electronic transmission, or first class mail, U.S. postage prepaid.</w:t>
      </w:r>
    </w:p>
    <w:p w:rsidR="00324110" w:rsidRDefault="00C41C6E" w:rsidP="00324110">
      <w:pPr>
        <w:tabs>
          <w:tab w:val="center" w:pos="7200"/>
          <w:tab w:val="right" w:pos="9270"/>
        </w:tabs>
        <w:ind w:left="5040"/>
        <w:rPr>
          <w:rFonts w:eastAsia="Calibri" w:cs="Arial"/>
          <w:u w:val="single"/>
        </w:rPr>
      </w:pPr>
      <w:r>
        <w:rPr>
          <w:rFonts w:eastAsia="Calibri" w:cs="Arial"/>
          <w:u w:val="single"/>
        </w:rPr>
        <w:t>/</w:t>
      </w:r>
      <w:r w:rsidR="00324110" w:rsidRPr="00D02717">
        <w:rPr>
          <w:rFonts w:eastAsia="Calibri" w:cs="Arial"/>
          <w:u w:val="single"/>
        </w:rPr>
        <w:t>s/ Frank P. Darr</w:t>
      </w:r>
      <w:r w:rsidR="00324110" w:rsidRPr="00D02717">
        <w:rPr>
          <w:rFonts w:eastAsia="Calibri" w:cs="Arial"/>
          <w:u w:val="single"/>
        </w:rPr>
        <w:tab/>
      </w:r>
      <w:r w:rsidR="00324110">
        <w:rPr>
          <w:rFonts w:eastAsia="Calibri" w:cs="Arial"/>
          <w:u w:val="single"/>
        </w:rPr>
        <w:tab/>
      </w:r>
    </w:p>
    <w:p w:rsidR="00324110" w:rsidRDefault="00324110" w:rsidP="00324110">
      <w:pPr>
        <w:tabs>
          <w:tab w:val="center" w:pos="7200"/>
        </w:tabs>
        <w:overflowPunct w:val="0"/>
        <w:autoSpaceDE w:val="0"/>
        <w:autoSpaceDN w:val="0"/>
        <w:adjustRightInd w:val="0"/>
        <w:jc w:val="both"/>
        <w:textAlignment w:val="baseline"/>
        <w:rPr>
          <w:rFonts w:cs="Arial"/>
          <w:bCs/>
          <w:smallCaps/>
        </w:rPr>
      </w:pPr>
      <w:r>
        <w:rPr>
          <w:rFonts w:cs="Arial"/>
          <w:bCs/>
          <w:smallCaps/>
        </w:rPr>
        <w:tab/>
        <w:t>Frank P. Darr</w:t>
      </w:r>
    </w:p>
    <w:p w:rsidR="00324110" w:rsidRDefault="00324110" w:rsidP="00324110">
      <w:pPr>
        <w:tabs>
          <w:tab w:val="center" w:pos="7200"/>
        </w:tabs>
        <w:overflowPunct w:val="0"/>
        <w:autoSpaceDE w:val="0"/>
        <w:autoSpaceDN w:val="0"/>
        <w:adjustRightInd w:val="0"/>
        <w:spacing w:after="240"/>
        <w:jc w:val="both"/>
        <w:textAlignment w:val="baseline"/>
        <w:rPr>
          <w:rFonts w:cs="Arial"/>
          <w:bCs/>
          <w:smallCaps/>
        </w:rPr>
        <w:sectPr w:rsidR="00324110">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p>
    <w:p w:rsidR="00324110" w:rsidRPr="002737EA" w:rsidRDefault="00324110" w:rsidP="00324110">
      <w:pPr>
        <w:tabs>
          <w:tab w:val="left" w:pos="2160"/>
          <w:tab w:val="left" w:pos="2280"/>
        </w:tabs>
        <w:rPr>
          <w:rFonts w:eastAsia="Calibri" w:cs="Arial"/>
        </w:rPr>
      </w:pPr>
    </w:p>
    <w:p w:rsidR="002737EA" w:rsidRPr="002737EA" w:rsidRDefault="002737EA" w:rsidP="002737EA">
      <w:pPr>
        <w:tabs>
          <w:tab w:val="left" w:pos="2160"/>
          <w:tab w:val="left" w:pos="2280"/>
        </w:tabs>
        <w:rPr>
          <w:rFonts w:cs="Arial"/>
        </w:rPr>
      </w:pPr>
      <w:r w:rsidRPr="002737EA">
        <w:rPr>
          <w:rFonts w:cs="Arial"/>
        </w:rPr>
        <w:t>Amy B. Spiller</w:t>
      </w:r>
    </w:p>
    <w:p w:rsidR="002737EA" w:rsidRPr="002737EA" w:rsidRDefault="002737EA" w:rsidP="002737EA">
      <w:pPr>
        <w:tabs>
          <w:tab w:val="left" w:pos="2160"/>
          <w:tab w:val="left" w:pos="2280"/>
        </w:tabs>
        <w:rPr>
          <w:rFonts w:cs="Arial"/>
        </w:rPr>
      </w:pPr>
      <w:r w:rsidRPr="002737EA">
        <w:rPr>
          <w:rFonts w:cs="Arial"/>
        </w:rPr>
        <w:t>Rocco D’Ascenzo</w:t>
      </w:r>
    </w:p>
    <w:p w:rsidR="002737EA" w:rsidRPr="002737EA" w:rsidRDefault="002737EA" w:rsidP="002737EA">
      <w:pPr>
        <w:tabs>
          <w:tab w:val="left" w:pos="2160"/>
          <w:tab w:val="left" w:pos="2280"/>
        </w:tabs>
        <w:rPr>
          <w:rFonts w:cs="Arial"/>
        </w:rPr>
      </w:pPr>
      <w:r w:rsidRPr="002737EA">
        <w:rPr>
          <w:rFonts w:cs="Arial"/>
        </w:rPr>
        <w:t>Jeanne Kingery</w:t>
      </w:r>
    </w:p>
    <w:p w:rsidR="002737EA" w:rsidRPr="002737EA" w:rsidRDefault="002737EA" w:rsidP="002737EA">
      <w:pPr>
        <w:tabs>
          <w:tab w:val="left" w:pos="2160"/>
          <w:tab w:val="left" w:pos="2280"/>
        </w:tabs>
        <w:rPr>
          <w:rFonts w:cs="Arial"/>
        </w:rPr>
      </w:pPr>
      <w:r w:rsidRPr="002737EA">
        <w:rPr>
          <w:rFonts w:cs="Arial"/>
        </w:rPr>
        <w:t>Elizabeth Watts</w:t>
      </w:r>
    </w:p>
    <w:p w:rsidR="002737EA" w:rsidRPr="002737EA" w:rsidRDefault="002737EA" w:rsidP="002737EA">
      <w:pPr>
        <w:tabs>
          <w:tab w:val="left" w:pos="2160"/>
          <w:tab w:val="left" w:pos="2280"/>
        </w:tabs>
        <w:rPr>
          <w:rFonts w:cs="Arial"/>
        </w:rPr>
      </w:pPr>
      <w:r w:rsidRPr="002737EA">
        <w:rPr>
          <w:rFonts w:cs="Arial"/>
        </w:rPr>
        <w:t>Duke Energy Business Services LLC</w:t>
      </w:r>
    </w:p>
    <w:p w:rsidR="002737EA" w:rsidRPr="002737EA" w:rsidRDefault="002737EA" w:rsidP="002737EA">
      <w:pPr>
        <w:tabs>
          <w:tab w:val="left" w:pos="2160"/>
          <w:tab w:val="left" w:pos="2280"/>
        </w:tabs>
        <w:rPr>
          <w:rFonts w:cs="Arial"/>
        </w:rPr>
      </w:pPr>
      <w:r w:rsidRPr="002737EA">
        <w:rPr>
          <w:rFonts w:cs="Arial"/>
        </w:rPr>
        <w:t>139 East Fourth Street</w:t>
      </w:r>
    </w:p>
    <w:p w:rsidR="002737EA" w:rsidRPr="002737EA" w:rsidRDefault="002737EA" w:rsidP="002737EA">
      <w:pPr>
        <w:tabs>
          <w:tab w:val="left" w:pos="2160"/>
          <w:tab w:val="left" w:pos="2280"/>
        </w:tabs>
        <w:rPr>
          <w:rFonts w:cs="Arial"/>
        </w:rPr>
      </w:pPr>
      <w:r w:rsidRPr="002737EA">
        <w:rPr>
          <w:rFonts w:cs="Arial"/>
        </w:rPr>
        <w:t>1303 Main</w:t>
      </w:r>
    </w:p>
    <w:p w:rsidR="002737EA" w:rsidRPr="002737EA" w:rsidRDefault="002737EA" w:rsidP="002737EA">
      <w:pPr>
        <w:tabs>
          <w:tab w:val="left" w:pos="2160"/>
          <w:tab w:val="left" w:pos="2280"/>
        </w:tabs>
        <w:rPr>
          <w:rFonts w:cs="Arial"/>
        </w:rPr>
      </w:pPr>
      <w:r w:rsidRPr="002737EA">
        <w:rPr>
          <w:rFonts w:cs="Arial"/>
        </w:rPr>
        <w:t>Cincinnati, Ohio  45202</w:t>
      </w:r>
    </w:p>
    <w:p w:rsidR="002737EA" w:rsidRPr="002737EA" w:rsidRDefault="002737EA" w:rsidP="002737EA">
      <w:pPr>
        <w:tabs>
          <w:tab w:val="left" w:pos="2160"/>
          <w:tab w:val="left" w:pos="2280"/>
        </w:tabs>
        <w:rPr>
          <w:rFonts w:cs="Arial"/>
        </w:rPr>
      </w:pPr>
      <w:r w:rsidRPr="002737EA">
        <w:rPr>
          <w:rFonts w:cs="Arial"/>
        </w:rPr>
        <w:t>amy.spiller@duke-energy.com</w:t>
      </w:r>
    </w:p>
    <w:p w:rsidR="002737EA" w:rsidRPr="002737EA" w:rsidRDefault="002737EA" w:rsidP="002737EA">
      <w:pPr>
        <w:tabs>
          <w:tab w:val="left" w:pos="2160"/>
          <w:tab w:val="left" w:pos="2280"/>
        </w:tabs>
        <w:rPr>
          <w:rFonts w:cs="Arial"/>
        </w:rPr>
      </w:pPr>
      <w:r w:rsidRPr="002737EA">
        <w:rPr>
          <w:rFonts w:cs="Arial"/>
        </w:rPr>
        <w:t>rocco.dascenzo@duke-energy.com</w:t>
      </w:r>
    </w:p>
    <w:p w:rsidR="002737EA" w:rsidRPr="002737EA" w:rsidRDefault="002737EA" w:rsidP="002737EA">
      <w:pPr>
        <w:tabs>
          <w:tab w:val="left" w:pos="2160"/>
          <w:tab w:val="left" w:pos="2280"/>
        </w:tabs>
        <w:rPr>
          <w:rFonts w:cs="Arial"/>
        </w:rPr>
      </w:pPr>
      <w:r w:rsidRPr="002737EA">
        <w:rPr>
          <w:rFonts w:cs="Arial"/>
        </w:rPr>
        <w:t>jeanne.kingery@duke-energy.com</w:t>
      </w:r>
    </w:p>
    <w:p w:rsidR="002737EA" w:rsidRPr="002737EA" w:rsidRDefault="002737EA" w:rsidP="002737EA">
      <w:pPr>
        <w:tabs>
          <w:tab w:val="left" w:pos="2160"/>
          <w:tab w:val="left" w:pos="2280"/>
        </w:tabs>
        <w:rPr>
          <w:rFonts w:cs="Arial"/>
        </w:rPr>
      </w:pPr>
      <w:r w:rsidRPr="002737EA">
        <w:rPr>
          <w:rFonts w:cs="Arial"/>
        </w:rPr>
        <w:t>elizabeth.watts@duke-energy.com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Duke Energy Ohio, Inc.</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rPr>
      </w:pPr>
      <w:r w:rsidRPr="002737EA">
        <w:rPr>
          <w:rFonts w:cs="Arial"/>
        </w:rPr>
        <w:t>Bruce J. Weston</w:t>
      </w:r>
    </w:p>
    <w:p w:rsidR="002737EA" w:rsidRPr="002737EA" w:rsidRDefault="002737EA" w:rsidP="002737EA">
      <w:pPr>
        <w:tabs>
          <w:tab w:val="left" w:pos="2160"/>
          <w:tab w:val="left" w:pos="2280"/>
        </w:tabs>
        <w:rPr>
          <w:rFonts w:cs="Arial"/>
        </w:rPr>
      </w:pPr>
      <w:r w:rsidRPr="002737EA">
        <w:rPr>
          <w:rFonts w:cs="Arial"/>
        </w:rPr>
        <w:t>Consumers’ Counsel</w:t>
      </w:r>
    </w:p>
    <w:p w:rsidR="002737EA" w:rsidRPr="002737EA" w:rsidRDefault="002737EA" w:rsidP="002737EA">
      <w:pPr>
        <w:tabs>
          <w:tab w:val="left" w:pos="2160"/>
          <w:tab w:val="left" w:pos="2280"/>
        </w:tabs>
        <w:rPr>
          <w:rFonts w:cs="Arial"/>
        </w:rPr>
      </w:pPr>
      <w:r w:rsidRPr="002737EA">
        <w:rPr>
          <w:rFonts w:cs="Arial"/>
        </w:rPr>
        <w:t>Maureen R. Grady (Counsel of Record)</w:t>
      </w:r>
    </w:p>
    <w:p w:rsidR="002737EA" w:rsidRPr="002737EA" w:rsidRDefault="002737EA" w:rsidP="002737EA">
      <w:pPr>
        <w:tabs>
          <w:tab w:val="left" w:pos="2160"/>
          <w:tab w:val="left" w:pos="2280"/>
        </w:tabs>
        <w:rPr>
          <w:rFonts w:cs="Arial"/>
        </w:rPr>
      </w:pPr>
      <w:r w:rsidRPr="002737EA">
        <w:rPr>
          <w:rFonts w:cs="Arial"/>
        </w:rPr>
        <w:t>Kyle L. Kern</w:t>
      </w:r>
    </w:p>
    <w:p w:rsidR="002737EA" w:rsidRPr="002737EA" w:rsidRDefault="002737EA" w:rsidP="002737EA">
      <w:pPr>
        <w:tabs>
          <w:tab w:val="left" w:pos="2160"/>
          <w:tab w:val="left" w:pos="2280"/>
        </w:tabs>
        <w:rPr>
          <w:rFonts w:cs="Arial"/>
        </w:rPr>
      </w:pPr>
      <w:r w:rsidRPr="002737EA">
        <w:rPr>
          <w:rFonts w:cs="Arial"/>
        </w:rPr>
        <w:t>Office of the Ohio Consumers’ Counsel</w:t>
      </w:r>
    </w:p>
    <w:p w:rsidR="002737EA" w:rsidRPr="002737EA" w:rsidRDefault="002737EA" w:rsidP="002737EA">
      <w:pPr>
        <w:tabs>
          <w:tab w:val="left" w:pos="2160"/>
          <w:tab w:val="left" w:pos="2280"/>
        </w:tabs>
        <w:rPr>
          <w:rFonts w:cs="Arial"/>
        </w:rPr>
      </w:pPr>
      <w:r w:rsidRPr="002737EA">
        <w:rPr>
          <w:rFonts w:cs="Arial"/>
        </w:rPr>
        <w:t>10 West Broad Street, Suite 1800</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grady@occ.state.oh.us</w:t>
      </w:r>
    </w:p>
    <w:p w:rsidR="002737EA" w:rsidRPr="002737EA" w:rsidRDefault="002737EA" w:rsidP="002737EA">
      <w:pPr>
        <w:tabs>
          <w:tab w:val="left" w:pos="2160"/>
          <w:tab w:val="left" w:pos="2280"/>
        </w:tabs>
        <w:rPr>
          <w:rFonts w:cs="Arial"/>
        </w:rPr>
      </w:pPr>
      <w:r w:rsidRPr="002737EA">
        <w:rPr>
          <w:rFonts w:cs="Arial"/>
        </w:rPr>
        <w:t>kern@occ.state.oh.us</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Office of the Ohio Consumers’ Counsel</w:t>
      </w:r>
    </w:p>
    <w:p w:rsidR="002737EA" w:rsidRDefault="002737EA" w:rsidP="002737EA">
      <w:pPr>
        <w:tabs>
          <w:tab w:val="left" w:pos="2160"/>
          <w:tab w:val="left" w:pos="2280"/>
        </w:tabs>
        <w:rPr>
          <w:rFonts w:cs="Arial"/>
        </w:rPr>
      </w:pPr>
    </w:p>
    <w:p w:rsidR="002737EA" w:rsidRDefault="002737EA" w:rsidP="002737EA">
      <w:pPr>
        <w:tabs>
          <w:tab w:val="left" w:pos="2160"/>
          <w:tab w:val="left" w:pos="2280"/>
        </w:tabs>
        <w:rPr>
          <w:rFonts w:cs="Arial"/>
        </w:rPr>
      </w:pPr>
      <w:r>
        <w:rPr>
          <w:rFonts w:cs="Arial"/>
        </w:rPr>
        <w:br w:type="column"/>
      </w:r>
    </w:p>
    <w:p w:rsidR="002737EA" w:rsidRPr="002737EA" w:rsidRDefault="002737EA" w:rsidP="002737EA">
      <w:pPr>
        <w:tabs>
          <w:tab w:val="left" w:pos="2160"/>
          <w:tab w:val="left" w:pos="2280"/>
        </w:tabs>
        <w:rPr>
          <w:rFonts w:cs="Arial"/>
        </w:rPr>
      </w:pPr>
      <w:r w:rsidRPr="002737EA">
        <w:rPr>
          <w:rFonts w:cs="Arial"/>
        </w:rPr>
        <w:t>David F. Boehm</w:t>
      </w:r>
    </w:p>
    <w:p w:rsidR="002737EA" w:rsidRPr="002737EA" w:rsidRDefault="002737EA" w:rsidP="002737EA">
      <w:pPr>
        <w:tabs>
          <w:tab w:val="left" w:pos="2160"/>
          <w:tab w:val="left" w:pos="2280"/>
        </w:tabs>
        <w:rPr>
          <w:rFonts w:cs="Arial"/>
        </w:rPr>
      </w:pPr>
      <w:r w:rsidRPr="002737EA">
        <w:rPr>
          <w:rFonts w:cs="Arial"/>
        </w:rPr>
        <w:t>Michael L. Kurtz</w:t>
      </w:r>
    </w:p>
    <w:p w:rsidR="002737EA" w:rsidRPr="002737EA" w:rsidRDefault="002737EA" w:rsidP="002737EA">
      <w:pPr>
        <w:tabs>
          <w:tab w:val="left" w:pos="2160"/>
          <w:tab w:val="left" w:pos="2280"/>
        </w:tabs>
        <w:rPr>
          <w:rFonts w:cs="Arial"/>
        </w:rPr>
      </w:pPr>
      <w:r w:rsidRPr="002737EA">
        <w:rPr>
          <w:rFonts w:cs="Arial"/>
        </w:rPr>
        <w:t>Jody M. Kyler</w:t>
      </w:r>
    </w:p>
    <w:p w:rsidR="002737EA" w:rsidRPr="002737EA" w:rsidRDefault="002737EA" w:rsidP="002737EA">
      <w:pPr>
        <w:tabs>
          <w:tab w:val="left" w:pos="2160"/>
          <w:tab w:val="left" w:pos="2280"/>
        </w:tabs>
        <w:rPr>
          <w:rFonts w:cs="Arial"/>
        </w:rPr>
      </w:pPr>
      <w:r w:rsidRPr="002737EA">
        <w:rPr>
          <w:rFonts w:cs="Arial"/>
        </w:rPr>
        <w:t>Boehm, Kurtz &amp; Lowry</w:t>
      </w:r>
    </w:p>
    <w:p w:rsidR="002737EA" w:rsidRPr="002737EA" w:rsidRDefault="002737EA" w:rsidP="002737EA">
      <w:pPr>
        <w:tabs>
          <w:tab w:val="left" w:pos="2160"/>
          <w:tab w:val="left" w:pos="2280"/>
        </w:tabs>
        <w:rPr>
          <w:rFonts w:cs="Arial"/>
        </w:rPr>
      </w:pPr>
      <w:r w:rsidRPr="002737EA">
        <w:rPr>
          <w:rFonts w:cs="Arial"/>
        </w:rPr>
        <w:t>36 East Seventh Street, Suite 1510</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Cincinnati, Ohio  45202</w:t>
      </w:r>
    </w:p>
    <w:p w:rsidR="002737EA" w:rsidRPr="002737EA" w:rsidRDefault="002737EA" w:rsidP="002737EA">
      <w:pPr>
        <w:tabs>
          <w:tab w:val="left" w:pos="2160"/>
          <w:tab w:val="left" w:pos="2280"/>
        </w:tabs>
        <w:rPr>
          <w:rFonts w:cs="Arial"/>
        </w:rPr>
      </w:pPr>
      <w:r w:rsidRPr="002737EA">
        <w:rPr>
          <w:rFonts w:cs="Arial"/>
        </w:rPr>
        <w:t>dboehm@bkllawfirm.com</w:t>
      </w:r>
    </w:p>
    <w:p w:rsidR="002737EA" w:rsidRPr="002737EA" w:rsidRDefault="002737EA" w:rsidP="002737EA">
      <w:pPr>
        <w:tabs>
          <w:tab w:val="left" w:pos="2160"/>
          <w:tab w:val="left" w:pos="2280"/>
        </w:tabs>
        <w:rPr>
          <w:rFonts w:cs="Arial"/>
        </w:rPr>
      </w:pPr>
      <w:r w:rsidRPr="002737EA">
        <w:rPr>
          <w:rFonts w:cs="Arial"/>
        </w:rPr>
        <w:t>mkurtz@bkllawfirm.com</w:t>
      </w:r>
    </w:p>
    <w:p w:rsidR="002737EA" w:rsidRPr="002737EA" w:rsidRDefault="002737EA" w:rsidP="002737EA">
      <w:pPr>
        <w:tabs>
          <w:tab w:val="left" w:pos="2160"/>
          <w:tab w:val="left" w:pos="2280"/>
        </w:tabs>
        <w:rPr>
          <w:rFonts w:cs="Arial"/>
        </w:rPr>
      </w:pPr>
      <w:r w:rsidRPr="002737EA">
        <w:rPr>
          <w:rFonts w:cs="Arial"/>
        </w:rPr>
        <w:t>jkyler@bkllawfirm.com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Ohio Energy Group</w:t>
      </w:r>
    </w:p>
    <w:p w:rsidR="00FD15FC" w:rsidRDefault="00FD15FC"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Colleen L. Mooney</w:t>
      </w:r>
    </w:p>
    <w:p w:rsidR="002737EA" w:rsidRPr="002737EA" w:rsidRDefault="002737EA" w:rsidP="002737EA">
      <w:pPr>
        <w:tabs>
          <w:tab w:val="left" w:pos="2160"/>
          <w:tab w:val="left" w:pos="2280"/>
        </w:tabs>
        <w:rPr>
          <w:rFonts w:cs="Arial"/>
        </w:rPr>
      </w:pPr>
      <w:r w:rsidRPr="002737EA">
        <w:rPr>
          <w:rFonts w:cs="Arial"/>
        </w:rPr>
        <w:t>Ohio Partners for Affordable Energy</w:t>
      </w:r>
    </w:p>
    <w:p w:rsidR="002737EA" w:rsidRPr="002737EA" w:rsidRDefault="002737EA" w:rsidP="002737EA">
      <w:pPr>
        <w:tabs>
          <w:tab w:val="left" w:pos="2160"/>
          <w:tab w:val="left" w:pos="2280"/>
        </w:tabs>
        <w:rPr>
          <w:rFonts w:cs="Arial"/>
        </w:rPr>
      </w:pPr>
      <w:r w:rsidRPr="002737EA">
        <w:rPr>
          <w:rFonts w:cs="Arial"/>
        </w:rPr>
        <w:t>231 West Lima Street</w:t>
      </w:r>
    </w:p>
    <w:p w:rsidR="002737EA" w:rsidRPr="002737EA" w:rsidRDefault="002737EA" w:rsidP="002737EA">
      <w:pPr>
        <w:tabs>
          <w:tab w:val="left" w:pos="2160"/>
          <w:tab w:val="left" w:pos="2280"/>
        </w:tabs>
        <w:rPr>
          <w:rFonts w:cs="Arial"/>
        </w:rPr>
      </w:pPr>
      <w:r w:rsidRPr="002737EA">
        <w:rPr>
          <w:rFonts w:cs="Arial"/>
        </w:rPr>
        <w:t>Findlay, Ohio 45839-1793</w:t>
      </w:r>
    </w:p>
    <w:p w:rsidR="002737EA" w:rsidRPr="002737EA" w:rsidRDefault="002737EA" w:rsidP="002737EA">
      <w:pPr>
        <w:tabs>
          <w:tab w:val="left" w:pos="2160"/>
          <w:tab w:val="left" w:pos="2280"/>
        </w:tabs>
        <w:rPr>
          <w:rFonts w:cs="Arial"/>
        </w:rPr>
      </w:pPr>
      <w:r w:rsidRPr="002737EA">
        <w:rPr>
          <w:rFonts w:cs="Arial"/>
        </w:rPr>
        <w:t>Cmooney2@columbus.rr.com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Ohio Partners for Affordable Energy</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rPr>
      </w:pPr>
      <w:r w:rsidRPr="002737EA">
        <w:rPr>
          <w:rFonts w:cs="Arial"/>
        </w:rPr>
        <w:t>Douglas E. Hart</w:t>
      </w:r>
    </w:p>
    <w:p w:rsidR="002737EA" w:rsidRPr="002737EA" w:rsidRDefault="002737EA" w:rsidP="002737EA">
      <w:pPr>
        <w:tabs>
          <w:tab w:val="left" w:pos="2160"/>
          <w:tab w:val="left" w:pos="2280"/>
        </w:tabs>
        <w:rPr>
          <w:rFonts w:cs="Arial"/>
        </w:rPr>
      </w:pPr>
      <w:r w:rsidRPr="002737EA">
        <w:rPr>
          <w:rFonts w:cs="Arial"/>
        </w:rPr>
        <w:t>411 Vine Street, Suite 4192</w:t>
      </w:r>
    </w:p>
    <w:p w:rsidR="002737EA" w:rsidRPr="002737EA" w:rsidRDefault="002737EA" w:rsidP="002737EA">
      <w:pPr>
        <w:tabs>
          <w:tab w:val="left" w:pos="2160"/>
          <w:tab w:val="left" w:pos="2280"/>
        </w:tabs>
        <w:rPr>
          <w:rFonts w:cs="Arial"/>
        </w:rPr>
      </w:pPr>
      <w:r w:rsidRPr="002737EA">
        <w:rPr>
          <w:rFonts w:cs="Arial"/>
        </w:rPr>
        <w:t>Cincinnati, Ohio 45202</w:t>
      </w:r>
    </w:p>
    <w:p w:rsidR="002737EA" w:rsidRPr="002737EA" w:rsidRDefault="002737EA" w:rsidP="002737EA">
      <w:pPr>
        <w:tabs>
          <w:tab w:val="left" w:pos="2160"/>
          <w:tab w:val="left" w:pos="2280"/>
        </w:tabs>
        <w:rPr>
          <w:rFonts w:cs="Arial"/>
        </w:rPr>
      </w:pPr>
      <w:r w:rsidRPr="002737EA">
        <w:rPr>
          <w:rFonts w:cs="Arial"/>
        </w:rPr>
        <w:t>dhart@douglasehart.com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Greater Cincinnati Health Council and Cincinnati Bell Inc.</w:t>
      </w:r>
    </w:p>
    <w:p w:rsidR="002737EA" w:rsidRDefault="002737EA" w:rsidP="002737EA">
      <w:pPr>
        <w:tabs>
          <w:tab w:val="left" w:pos="2160"/>
          <w:tab w:val="left" w:pos="2280"/>
          <w:tab w:val="left" w:pos="4230"/>
        </w:tabs>
        <w:rPr>
          <w:rFonts w:cs="Arial"/>
        </w:rPr>
      </w:pPr>
    </w:p>
    <w:p w:rsidR="002737EA" w:rsidRDefault="002737EA" w:rsidP="002737EA">
      <w:pPr>
        <w:tabs>
          <w:tab w:val="left" w:pos="2160"/>
          <w:tab w:val="left" w:pos="2280"/>
          <w:tab w:val="left" w:pos="4230"/>
        </w:tabs>
        <w:rPr>
          <w:rFonts w:cs="Arial"/>
        </w:rPr>
        <w:sectPr w:rsidR="002737EA" w:rsidSect="002737EA">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num="2" w:space="720"/>
          <w:titlePg/>
          <w:docGrid w:linePitch="360"/>
        </w:sectPr>
      </w:pPr>
    </w:p>
    <w:p w:rsidR="002737EA" w:rsidRPr="002737EA" w:rsidRDefault="002737EA" w:rsidP="002737EA">
      <w:pPr>
        <w:tabs>
          <w:tab w:val="left" w:pos="2160"/>
          <w:tab w:val="left" w:pos="2280"/>
          <w:tab w:val="left" w:pos="4230"/>
        </w:tabs>
        <w:rPr>
          <w:rFonts w:cs="Arial"/>
        </w:rPr>
      </w:pPr>
      <w:r w:rsidRPr="002737EA">
        <w:rPr>
          <w:rFonts w:cs="Arial"/>
        </w:rPr>
        <w:lastRenderedPageBreak/>
        <w:t>Kimberly W. Bojko (Counsel of Record)</w:t>
      </w:r>
    </w:p>
    <w:p w:rsidR="002737EA" w:rsidRPr="002737EA" w:rsidRDefault="002737EA" w:rsidP="002737EA">
      <w:pPr>
        <w:tabs>
          <w:tab w:val="left" w:pos="2160"/>
          <w:tab w:val="left" w:pos="2280"/>
        </w:tabs>
        <w:rPr>
          <w:rFonts w:cs="Arial"/>
        </w:rPr>
      </w:pPr>
      <w:r w:rsidRPr="002737EA">
        <w:rPr>
          <w:rFonts w:cs="Arial"/>
        </w:rPr>
        <w:t>Mallory M. Mohler</w:t>
      </w:r>
    </w:p>
    <w:p w:rsidR="002737EA" w:rsidRPr="002737EA" w:rsidRDefault="002737EA" w:rsidP="002737EA">
      <w:pPr>
        <w:tabs>
          <w:tab w:val="left" w:pos="2160"/>
          <w:tab w:val="left" w:pos="2280"/>
        </w:tabs>
        <w:rPr>
          <w:rFonts w:cs="Arial"/>
        </w:rPr>
      </w:pPr>
      <w:r w:rsidRPr="002737EA">
        <w:rPr>
          <w:rFonts w:cs="Arial"/>
        </w:rPr>
        <w:t>Carpenter Lipps &amp; Leland LLP</w:t>
      </w:r>
    </w:p>
    <w:p w:rsidR="002737EA" w:rsidRPr="002737EA" w:rsidRDefault="002737EA" w:rsidP="002737EA">
      <w:pPr>
        <w:tabs>
          <w:tab w:val="left" w:pos="2160"/>
          <w:tab w:val="left" w:pos="2280"/>
        </w:tabs>
        <w:rPr>
          <w:rFonts w:cs="Arial"/>
        </w:rPr>
      </w:pPr>
      <w:r w:rsidRPr="002737EA">
        <w:rPr>
          <w:rFonts w:cs="Arial"/>
        </w:rPr>
        <w:t>280 North High Street</w:t>
      </w:r>
    </w:p>
    <w:p w:rsidR="002737EA" w:rsidRPr="002737EA" w:rsidRDefault="002737EA" w:rsidP="002737EA">
      <w:pPr>
        <w:tabs>
          <w:tab w:val="left" w:pos="2160"/>
          <w:tab w:val="left" w:pos="2280"/>
        </w:tabs>
        <w:rPr>
          <w:rFonts w:cs="Arial"/>
        </w:rPr>
      </w:pPr>
      <w:r w:rsidRPr="002737EA">
        <w:rPr>
          <w:rFonts w:cs="Arial"/>
        </w:rPr>
        <w:t>Suite 1300</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bojko@carpenterlipps.com</w:t>
      </w:r>
    </w:p>
    <w:p w:rsidR="002737EA" w:rsidRPr="002737EA" w:rsidRDefault="002737EA" w:rsidP="002737EA">
      <w:pPr>
        <w:tabs>
          <w:tab w:val="left" w:pos="2160"/>
          <w:tab w:val="left" w:pos="2280"/>
        </w:tabs>
        <w:rPr>
          <w:rFonts w:cs="Arial"/>
        </w:rPr>
      </w:pPr>
      <w:r w:rsidRPr="002737EA">
        <w:rPr>
          <w:rFonts w:cs="Arial"/>
        </w:rPr>
        <w:t>mohler@carpenterlipps.com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Kroger Co.</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rPr>
      </w:pPr>
      <w:r w:rsidRPr="002737EA">
        <w:rPr>
          <w:rFonts w:cs="Arial"/>
        </w:rPr>
        <w:t>Jay E. Jadwin</w:t>
      </w:r>
    </w:p>
    <w:p w:rsidR="002737EA" w:rsidRPr="002737EA" w:rsidRDefault="002737EA" w:rsidP="002737EA">
      <w:pPr>
        <w:tabs>
          <w:tab w:val="left" w:pos="2160"/>
          <w:tab w:val="left" w:pos="2280"/>
        </w:tabs>
        <w:rPr>
          <w:rFonts w:cs="Arial"/>
        </w:rPr>
      </w:pPr>
      <w:r w:rsidRPr="002737EA">
        <w:rPr>
          <w:rFonts w:cs="Arial"/>
        </w:rPr>
        <w:t>Yazen Alami</w:t>
      </w:r>
    </w:p>
    <w:p w:rsidR="002737EA" w:rsidRPr="002737EA" w:rsidRDefault="002737EA" w:rsidP="002737EA">
      <w:pPr>
        <w:tabs>
          <w:tab w:val="left" w:pos="2160"/>
          <w:tab w:val="left" w:pos="2280"/>
        </w:tabs>
        <w:rPr>
          <w:rFonts w:cs="Arial"/>
        </w:rPr>
      </w:pPr>
      <w:r w:rsidRPr="002737EA">
        <w:rPr>
          <w:rFonts w:cs="Arial"/>
        </w:rPr>
        <w:t>American Electric Power Service Corporation</w:t>
      </w:r>
    </w:p>
    <w:p w:rsidR="002737EA" w:rsidRPr="002737EA" w:rsidRDefault="002737EA" w:rsidP="002737EA">
      <w:pPr>
        <w:tabs>
          <w:tab w:val="left" w:pos="2160"/>
          <w:tab w:val="left" w:pos="2280"/>
        </w:tabs>
        <w:rPr>
          <w:rFonts w:cs="Arial"/>
        </w:rPr>
      </w:pPr>
      <w:r w:rsidRPr="002737EA">
        <w:rPr>
          <w:rFonts w:cs="Arial"/>
        </w:rPr>
        <w:t>155 Nationwide Ave.</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jejadwin@aep.com</w:t>
      </w:r>
    </w:p>
    <w:p w:rsidR="002737EA" w:rsidRPr="002737EA" w:rsidRDefault="002737EA" w:rsidP="002737EA">
      <w:pPr>
        <w:tabs>
          <w:tab w:val="left" w:pos="2160"/>
          <w:tab w:val="left" w:pos="2280"/>
        </w:tabs>
        <w:rPr>
          <w:rFonts w:cs="Arial"/>
        </w:rPr>
      </w:pPr>
      <w:r w:rsidRPr="002737EA">
        <w:rPr>
          <w:rFonts w:cs="Arial"/>
        </w:rPr>
        <w:t>yalami@aep.com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AEP Energy</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rPr>
      </w:pPr>
      <w:r w:rsidRPr="002737EA">
        <w:rPr>
          <w:rFonts w:cs="Arial"/>
        </w:rPr>
        <w:t>Thomas J. O’Brien</w:t>
      </w:r>
    </w:p>
    <w:p w:rsidR="002737EA" w:rsidRPr="002737EA" w:rsidRDefault="002737EA" w:rsidP="002737EA">
      <w:pPr>
        <w:tabs>
          <w:tab w:val="left" w:pos="2160"/>
          <w:tab w:val="left" w:pos="2280"/>
        </w:tabs>
        <w:rPr>
          <w:rFonts w:cs="Arial"/>
        </w:rPr>
      </w:pPr>
      <w:r w:rsidRPr="002737EA">
        <w:rPr>
          <w:rFonts w:cs="Arial"/>
        </w:rPr>
        <w:t>J. Thomas Siwo</w:t>
      </w:r>
    </w:p>
    <w:p w:rsidR="002737EA" w:rsidRPr="002737EA" w:rsidRDefault="002737EA" w:rsidP="002737EA">
      <w:pPr>
        <w:tabs>
          <w:tab w:val="left" w:pos="2160"/>
          <w:tab w:val="left" w:pos="2280"/>
        </w:tabs>
        <w:rPr>
          <w:rFonts w:cs="Arial"/>
        </w:rPr>
      </w:pPr>
      <w:r w:rsidRPr="002737EA">
        <w:rPr>
          <w:rFonts w:cs="Arial"/>
        </w:rPr>
        <w:t>Matthew W. Warnock</w:t>
      </w:r>
    </w:p>
    <w:p w:rsidR="002737EA" w:rsidRPr="002737EA" w:rsidRDefault="002737EA" w:rsidP="002737EA">
      <w:pPr>
        <w:tabs>
          <w:tab w:val="left" w:pos="2160"/>
          <w:tab w:val="left" w:pos="2280"/>
        </w:tabs>
        <w:rPr>
          <w:rFonts w:cs="Arial"/>
        </w:rPr>
      </w:pPr>
      <w:r w:rsidRPr="002737EA">
        <w:rPr>
          <w:rFonts w:cs="Arial"/>
        </w:rPr>
        <w:t>Bricker &amp; Eckler, LLP</w:t>
      </w:r>
    </w:p>
    <w:p w:rsidR="002737EA" w:rsidRPr="002737EA" w:rsidRDefault="002737EA" w:rsidP="002737EA">
      <w:pPr>
        <w:tabs>
          <w:tab w:val="left" w:pos="2160"/>
          <w:tab w:val="left" w:pos="2280"/>
        </w:tabs>
        <w:rPr>
          <w:rFonts w:cs="Arial"/>
        </w:rPr>
      </w:pPr>
      <w:r w:rsidRPr="002737EA">
        <w:rPr>
          <w:rFonts w:cs="Arial"/>
        </w:rPr>
        <w:t>100 South Third Street</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tobrien@bricker.com</w:t>
      </w:r>
    </w:p>
    <w:p w:rsidR="002737EA" w:rsidRPr="002737EA" w:rsidRDefault="002737EA" w:rsidP="002737EA">
      <w:pPr>
        <w:tabs>
          <w:tab w:val="left" w:pos="2160"/>
          <w:tab w:val="left" w:pos="2280"/>
        </w:tabs>
        <w:rPr>
          <w:rFonts w:cs="Arial"/>
        </w:rPr>
      </w:pPr>
      <w:r w:rsidRPr="002737EA">
        <w:rPr>
          <w:rFonts w:cs="Arial"/>
        </w:rPr>
        <w:t>tsiwo@bricker.com</w:t>
      </w:r>
    </w:p>
    <w:p w:rsidR="002737EA" w:rsidRPr="002737EA" w:rsidRDefault="002737EA" w:rsidP="002737EA">
      <w:pPr>
        <w:tabs>
          <w:tab w:val="left" w:pos="2160"/>
          <w:tab w:val="left" w:pos="2280"/>
        </w:tabs>
        <w:rPr>
          <w:rFonts w:cs="Arial"/>
        </w:rPr>
      </w:pPr>
      <w:r w:rsidRPr="002737EA">
        <w:rPr>
          <w:rFonts w:cs="Arial"/>
        </w:rPr>
        <w:t>mwarnock@bricker.com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Ohio Manufacturers’ Association and the City of Cincinnati</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Pr>
          <w:rFonts w:cs="Arial"/>
        </w:rPr>
        <w:br w:type="column"/>
      </w:r>
      <w:r w:rsidRPr="002737EA">
        <w:rPr>
          <w:rFonts w:cs="Arial"/>
        </w:rPr>
        <w:lastRenderedPageBreak/>
        <w:t>Mark A. Hayden</w:t>
      </w:r>
    </w:p>
    <w:p w:rsidR="002737EA" w:rsidRPr="002737EA" w:rsidRDefault="002737EA" w:rsidP="002737EA">
      <w:pPr>
        <w:tabs>
          <w:tab w:val="left" w:pos="2160"/>
          <w:tab w:val="left" w:pos="2280"/>
        </w:tabs>
        <w:rPr>
          <w:rFonts w:cs="Arial"/>
        </w:rPr>
      </w:pPr>
      <w:r w:rsidRPr="002737EA">
        <w:rPr>
          <w:rFonts w:cs="Arial"/>
        </w:rPr>
        <w:t>FirstEnergy Service Company</w:t>
      </w:r>
    </w:p>
    <w:p w:rsidR="002737EA" w:rsidRPr="002737EA" w:rsidRDefault="002737EA" w:rsidP="002737EA">
      <w:pPr>
        <w:tabs>
          <w:tab w:val="left" w:pos="2160"/>
          <w:tab w:val="left" w:pos="2280"/>
        </w:tabs>
        <w:rPr>
          <w:rFonts w:cs="Arial"/>
        </w:rPr>
      </w:pPr>
      <w:r w:rsidRPr="002737EA">
        <w:rPr>
          <w:rFonts w:cs="Arial"/>
        </w:rPr>
        <w:t>76 South Main Street</w:t>
      </w:r>
    </w:p>
    <w:p w:rsidR="002737EA" w:rsidRPr="002737EA" w:rsidRDefault="002737EA" w:rsidP="002737EA">
      <w:pPr>
        <w:tabs>
          <w:tab w:val="left" w:pos="2160"/>
          <w:tab w:val="left" w:pos="2280"/>
        </w:tabs>
        <w:rPr>
          <w:rFonts w:cs="Arial"/>
        </w:rPr>
      </w:pPr>
      <w:r w:rsidRPr="002737EA">
        <w:rPr>
          <w:rFonts w:cs="Arial"/>
        </w:rPr>
        <w:t>Akron, Ohio  44308</w:t>
      </w:r>
    </w:p>
    <w:p w:rsidR="002737EA" w:rsidRPr="002737EA" w:rsidRDefault="002737EA" w:rsidP="002737EA">
      <w:pPr>
        <w:tabs>
          <w:tab w:val="left" w:pos="2160"/>
          <w:tab w:val="left" w:pos="2280"/>
        </w:tabs>
        <w:rPr>
          <w:rFonts w:cs="Arial"/>
        </w:rPr>
      </w:pPr>
      <w:r w:rsidRPr="002737EA">
        <w:rPr>
          <w:rFonts w:cs="Arial"/>
        </w:rPr>
        <w:t>haydenm@firstenergycorp.com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James F. Lang</w:t>
      </w:r>
    </w:p>
    <w:p w:rsidR="002737EA" w:rsidRPr="002737EA" w:rsidRDefault="002737EA" w:rsidP="002737EA">
      <w:pPr>
        <w:tabs>
          <w:tab w:val="left" w:pos="2160"/>
          <w:tab w:val="left" w:pos="2280"/>
        </w:tabs>
        <w:rPr>
          <w:rFonts w:cs="Arial"/>
        </w:rPr>
      </w:pPr>
      <w:r w:rsidRPr="002737EA">
        <w:rPr>
          <w:rFonts w:cs="Arial"/>
        </w:rPr>
        <w:t>Laura C. McBride</w:t>
      </w:r>
    </w:p>
    <w:p w:rsidR="002737EA" w:rsidRPr="002737EA" w:rsidRDefault="002737EA" w:rsidP="002737EA">
      <w:pPr>
        <w:tabs>
          <w:tab w:val="left" w:pos="2160"/>
          <w:tab w:val="left" w:pos="2280"/>
        </w:tabs>
        <w:rPr>
          <w:rFonts w:cs="Arial"/>
        </w:rPr>
      </w:pPr>
      <w:r w:rsidRPr="002737EA">
        <w:rPr>
          <w:rFonts w:cs="Arial"/>
        </w:rPr>
        <w:t>N. Trevor Alexander</w:t>
      </w:r>
    </w:p>
    <w:p w:rsidR="002737EA" w:rsidRPr="002737EA" w:rsidRDefault="002737EA" w:rsidP="002737EA">
      <w:pPr>
        <w:tabs>
          <w:tab w:val="left" w:pos="2160"/>
          <w:tab w:val="left" w:pos="2280"/>
        </w:tabs>
        <w:rPr>
          <w:rFonts w:cs="Arial"/>
        </w:rPr>
      </w:pPr>
      <w:r w:rsidRPr="002737EA">
        <w:rPr>
          <w:rFonts w:cs="Arial"/>
        </w:rPr>
        <w:t>Calfee, Halter &amp; Griswold LLP</w:t>
      </w:r>
    </w:p>
    <w:p w:rsidR="002737EA" w:rsidRPr="002737EA" w:rsidRDefault="002737EA" w:rsidP="002737EA">
      <w:pPr>
        <w:tabs>
          <w:tab w:val="left" w:pos="2160"/>
          <w:tab w:val="left" w:pos="2280"/>
        </w:tabs>
        <w:rPr>
          <w:rFonts w:cs="Arial"/>
        </w:rPr>
      </w:pPr>
      <w:r w:rsidRPr="002737EA">
        <w:rPr>
          <w:rFonts w:cs="Arial"/>
        </w:rPr>
        <w:t>1405 East Sixth Street</w:t>
      </w:r>
    </w:p>
    <w:p w:rsidR="002737EA" w:rsidRPr="002737EA" w:rsidRDefault="002737EA" w:rsidP="002737EA">
      <w:pPr>
        <w:tabs>
          <w:tab w:val="left" w:pos="2160"/>
          <w:tab w:val="left" w:pos="2280"/>
        </w:tabs>
        <w:rPr>
          <w:rFonts w:cs="Arial"/>
        </w:rPr>
      </w:pPr>
      <w:r w:rsidRPr="002737EA">
        <w:rPr>
          <w:rFonts w:cs="Arial"/>
        </w:rPr>
        <w:t>Cleveland, Ohio 44114</w:t>
      </w:r>
    </w:p>
    <w:p w:rsidR="002737EA" w:rsidRPr="002737EA" w:rsidRDefault="002737EA" w:rsidP="002737EA">
      <w:pPr>
        <w:tabs>
          <w:tab w:val="left" w:pos="2160"/>
          <w:tab w:val="left" w:pos="2280"/>
        </w:tabs>
        <w:rPr>
          <w:rFonts w:cs="Arial"/>
        </w:rPr>
      </w:pPr>
      <w:r w:rsidRPr="002737EA">
        <w:rPr>
          <w:rFonts w:cs="Arial"/>
        </w:rPr>
        <w:t>jlang@calfee.com</w:t>
      </w:r>
    </w:p>
    <w:p w:rsidR="002737EA" w:rsidRPr="002737EA" w:rsidRDefault="002737EA" w:rsidP="002737EA">
      <w:pPr>
        <w:tabs>
          <w:tab w:val="left" w:pos="2160"/>
          <w:tab w:val="left" w:pos="2280"/>
        </w:tabs>
        <w:rPr>
          <w:rFonts w:cs="Arial"/>
        </w:rPr>
      </w:pPr>
      <w:r w:rsidRPr="002737EA">
        <w:rPr>
          <w:rFonts w:cs="Arial"/>
        </w:rPr>
        <w:t>lmcbride@calfee.com</w:t>
      </w:r>
    </w:p>
    <w:p w:rsidR="002737EA" w:rsidRPr="002737EA" w:rsidRDefault="002737EA" w:rsidP="002737EA">
      <w:pPr>
        <w:tabs>
          <w:tab w:val="left" w:pos="2160"/>
          <w:tab w:val="left" w:pos="2280"/>
        </w:tabs>
        <w:rPr>
          <w:rFonts w:cs="Arial"/>
        </w:rPr>
      </w:pPr>
      <w:r w:rsidRPr="002737EA">
        <w:rPr>
          <w:rFonts w:cs="Arial"/>
        </w:rPr>
        <w:t>talexander@calfee.com</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b/>
        </w:rPr>
      </w:pPr>
      <w:r w:rsidRPr="002737EA">
        <w:rPr>
          <w:rFonts w:cs="Arial"/>
          <w:b/>
        </w:rPr>
        <w:t>On Behalf of FirstEnergy Solutions Corp.</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M. Howard Petricoff</w:t>
      </w:r>
    </w:p>
    <w:p w:rsidR="002737EA" w:rsidRPr="002737EA" w:rsidRDefault="002737EA" w:rsidP="002737EA">
      <w:pPr>
        <w:tabs>
          <w:tab w:val="left" w:pos="2160"/>
          <w:tab w:val="left" w:pos="2280"/>
        </w:tabs>
        <w:rPr>
          <w:rFonts w:cs="Arial"/>
        </w:rPr>
      </w:pPr>
      <w:r w:rsidRPr="002737EA">
        <w:rPr>
          <w:rFonts w:cs="Arial"/>
        </w:rPr>
        <w:t>Stephen M. Howard</w:t>
      </w:r>
    </w:p>
    <w:p w:rsidR="002737EA" w:rsidRPr="002737EA" w:rsidRDefault="002737EA" w:rsidP="002737EA">
      <w:pPr>
        <w:tabs>
          <w:tab w:val="left" w:pos="2160"/>
          <w:tab w:val="left" w:pos="2280"/>
        </w:tabs>
        <w:rPr>
          <w:rFonts w:cs="Arial"/>
        </w:rPr>
      </w:pPr>
      <w:r w:rsidRPr="002737EA">
        <w:rPr>
          <w:rFonts w:cs="Arial"/>
        </w:rPr>
        <w:t>Lija Kaleps-Clark</w:t>
      </w:r>
    </w:p>
    <w:p w:rsidR="002737EA" w:rsidRPr="002737EA" w:rsidRDefault="002737EA" w:rsidP="002737EA">
      <w:pPr>
        <w:tabs>
          <w:tab w:val="left" w:pos="2160"/>
          <w:tab w:val="left" w:pos="2280"/>
        </w:tabs>
        <w:rPr>
          <w:rFonts w:cs="Arial"/>
        </w:rPr>
      </w:pPr>
      <w:r w:rsidRPr="002737EA">
        <w:rPr>
          <w:rFonts w:cs="Arial"/>
        </w:rPr>
        <w:t>Vorys, Sater, Seymour and Pease LLP</w:t>
      </w:r>
    </w:p>
    <w:p w:rsidR="002737EA" w:rsidRPr="002737EA" w:rsidRDefault="002737EA" w:rsidP="002737EA">
      <w:pPr>
        <w:tabs>
          <w:tab w:val="left" w:pos="2160"/>
          <w:tab w:val="left" w:pos="2280"/>
        </w:tabs>
        <w:rPr>
          <w:rFonts w:cs="Arial"/>
        </w:rPr>
      </w:pPr>
      <w:r w:rsidRPr="002737EA">
        <w:rPr>
          <w:rFonts w:cs="Arial"/>
        </w:rPr>
        <w:t>52 East Gay Street, P.O. Box 1008</w:t>
      </w:r>
    </w:p>
    <w:p w:rsidR="002737EA" w:rsidRPr="002737EA" w:rsidRDefault="002737EA" w:rsidP="002737EA">
      <w:pPr>
        <w:tabs>
          <w:tab w:val="left" w:pos="2160"/>
          <w:tab w:val="left" w:pos="2280"/>
        </w:tabs>
        <w:rPr>
          <w:rFonts w:cs="Arial"/>
        </w:rPr>
      </w:pPr>
      <w:r w:rsidRPr="002737EA">
        <w:rPr>
          <w:rFonts w:cs="Arial"/>
        </w:rPr>
        <w:t>Columbus, Ohio  43216-1008</w:t>
      </w:r>
    </w:p>
    <w:p w:rsidR="002737EA" w:rsidRPr="002737EA" w:rsidRDefault="002737EA" w:rsidP="002737EA">
      <w:pPr>
        <w:tabs>
          <w:tab w:val="left" w:pos="2160"/>
          <w:tab w:val="left" w:pos="2280"/>
        </w:tabs>
        <w:rPr>
          <w:rFonts w:cs="Arial"/>
        </w:rPr>
      </w:pPr>
      <w:r w:rsidRPr="002737EA">
        <w:rPr>
          <w:rFonts w:cs="Arial"/>
        </w:rPr>
        <w:t>mhpetricoff@vorys.com</w:t>
      </w:r>
    </w:p>
    <w:p w:rsidR="002737EA" w:rsidRPr="002737EA" w:rsidRDefault="002737EA" w:rsidP="002737EA">
      <w:pPr>
        <w:tabs>
          <w:tab w:val="left" w:pos="2160"/>
          <w:tab w:val="left" w:pos="2280"/>
        </w:tabs>
        <w:rPr>
          <w:rFonts w:cs="Arial"/>
        </w:rPr>
      </w:pPr>
      <w:r w:rsidRPr="002737EA">
        <w:rPr>
          <w:rFonts w:cs="Arial"/>
        </w:rPr>
        <w:t>smhoward@vorys.com</w:t>
      </w:r>
    </w:p>
    <w:p w:rsidR="002737EA" w:rsidRPr="002737EA" w:rsidRDefault="002737EA" w:rsidP="002737EA">
      <w:pPr>
        <w:tabs>
          <w:tab w:val="left" w:pos="2160"/>
          <w:tab w:val="left" w:pos="2280"/>
        </w:tabs>
        <w:rPr>
          <w:rFonts w:cs="Arial"/>
        </w:rPr>
      </w:pPr>
      <w:r w:rsidRPr="002737EA">
        <w:rPr>
          <w:rFonts w:cs="Arial"/>
        </w:rPr>
        <w:t>lkalepsclark@vorys.com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b/>
        </w:rPr>
        <w:t>On Behalf of Constellation NewEnergy, Inc., Exelon Generation Company, LLC, Interstate Gas Supply, Inc., Retail Energy Supply Association, Miami University and the University of Cincinnati</w:t>
      </w:r>
    </w:p>
    <w:p w:rsidR="002737EA" w:rsidRPr="002737EA" w:rsidRDefault="002737EA" w:rsidP="002737EA">
      <w:pPr>
        <w:tabs>
          <w:tab w:val="left" w:pos="2160"/>
          <w:tab w:val="left" w:pos="2280"/>
        </w:tabs>
        <w:rPr>
          <w:rFonts w:cs="Arial"/>
        </w:rPr>
      </w:pPr>
    </w:p>
    <w:p w:rsidR="002737EA" w:rsidRDefault="002737EA" w:rsidP="002737EA">
      <w:pPr>
        <w:tabs>
          <w:tab w:val="left" w:pos="2160"/>
          <w:tab w:val="left" w:pos="2280"/>
        </w:tabs>
        <w:rPr>
          <w:rFonts w:cs="Arial"/>
        </w:rPr>
        <w:sectPr w:rsidR="002737EA" w:rsidSect="002737EA">
          <w:pgSz w:w="12240" w:h="15840" w:code="1"/>
          <w:pgMar w:top="1440" w:right="1440" w:bottom="1440" w:left="1440" w:header="720" w:footer="720" w:gutter="0"/>
          <w:cols w:num="2" w:space="720"/>
          <w:titlePg/>
          <w:docGrid w:linePitch="360"/>
        </w:sectPr>
      </w:pPr>
    </w:p>
    <w:p w:rsidR="002737EA" w:rsidRPr="002737EA" w:rsidRDefault="002737EA" w:rsidP="002737EA">
      <w:pPr>
        <w:tabs>
          <w:tab w:val="left" w:pos="2160"/>
          <w:tab w:val="left" w:pos="2280"/>
        </w:tabs>
        <w:rPr>
          <w:rFonts w:cs="Arial"/>
          <w:b/>
        </w:rPr>
      </w:pPr>
      <w:r w:rsidRPr="002737EA">
        <w:rPr>
          <w:rFonts w:cs="Arial"/>
        </w:rPr>
        <w:lastRenderedPageBreak/>
        <w:t>Samuel C. Randazzo (Counsel of Record)</w:t>
      </w:r>
    </w:p>
    <w:p w:rsidR="002737EA" w:rsidRPr="002737EA" w:rsidRDefault="002737EA" w:rsidP="002737EA">
      <w:pPr>
        <w:rPr>
          <w:rFonts w:cs="Arial"/>
          <w:b/>
          <w:bCs/>
        </w:rPr>
      </w:pPr>
      <w:r w:rsidRPr="002737EA">
        <w:rPr>
          <w:rFonts w:cs="Arial"/>
          <w:bCs/>
        </w:rPr>
        <w:t>Frank P. Darr</w:t>
      </w:r>
    </w:p>
    <w:p w:rsidR="002737EA" w:rsidRPr="002737EA" w:rsidRDefault="002737EA" w:rsidP="002737EA">
      <w:pPr>
        <w:rPr>
          <w:rFonts w:cs="Arial"/>
          <w:b/>
          <w:bCs/>
        </w:rPr>
      </w:pPr>
      <w:r w:rsidRPr="002737EA">
        <w:rPr>
          <w:rFonts w:cs="Arial"/>
          <w:bCs/>
        </w:rPr>
        <w:t>Joseph E. Oliker</w:t>
      </w:r>
    </w:p>
    <w:p w:rsidR="002737EA" w:rsidRPr="002737EA" w:rsidRDefault="002737EA" w:rsidP="002737EA">
      <w:pPr>
        <w:rPr>
          <w:rFonts w:cs="Arial"/>
          <w:b/>
          <w:bCs/>
        </w:rPr>
      </w:pPr>
      <w:r w:rsidRPr="002737EA">
        <w:rPr>
          <w:rFonts w:cs="Arial"/>
          <w:bCs/>
        </w:rPr>
        <w:t>Matthew R. Pritchard</w:t>
      </w:r>
    </w:p>
    <w:p w:rsidR="002737EA" w:rsidRPr="002737EA" w:rsidRDefault="002737EA" w:rsidP="002737EA">
      <w:pPr>
        <w:rPr>
          <w:rFonts w:cs="Arial"/>
          <w:b/>
          <w:bCs/>
          <w:smallCaps/>
        </w:rPr>
      </w:pPr>
      <w:r w:rsidRPr="002737EA">
        <w:rPr>
          <w:rFonts w:cs="Arial"/>
          <w:bCs/>
          <w:smallCaps/>
        </w:rPr>
        <w:t>McNees Wallace &amp; Nurick LLC</w:t>
      </w:r>
    </w:p>
    <w:p w:rsidR="002737EA" w:rsidRPr="002737EA" w:rsidRDefault="002737EA" w:rsidP="002737EA">
      <w:pPr>
        <w:rPr>
          <w:rFonts w:cs="Arial"/>
          <w:b/>
          <w:bCs/>
        </w:rPr>
      </w:pPr>
      <w:r w:rsidRPr="002737EA">
        <w:rPr>
          <w:rFonts w:cs="Arial"/>
          <w:bCs/>
        </w:rPr>
        <w:t>21 East State Street, 17</w:t>
      </w:r>
      <w:r w:rsidRPr="002737EA">
        <w:rPr>
          <w:rFonts w:cs="Arial"/>
          <w:bCs/>
          <w:vertAlign w:val="superscript"/>
        </w:rPr>
        <w:t>TH</w:t>
      </w:r>
      <w:r w:rsidRPr="002737EA">
        <w:rPr>
          <w:rFonts w:cs="Arial"/>
          <w:bCs/>
        </w:rPr>
        <w:t xml:space="preserve"> Floor</w:t>
      </w:r>
    </w:p>
    <w:p w:rsidR="002737EA" w:rsidRPr="002737EA" w:rsidRDefault="002737EA" w:rsidP="002737EA">
      <w:pPr>
        <w:rPr>
          <w:rFonts w:cs="Arial"/>
        </w:rPr>
      </w:pPr>
      <w:r w:rsidRPr="002737EA">
        <w:rPr>
          <w:rFonts w:cs="Arial"/>
        </w:rPr>
        <w:t>Columbus, OH  43215</w:t>
      </w:r>
    </w:p>
    <w:p w:rsidR="002737EA" w:rsidRPr="002737EA" w:rsidRDefault="002737EA" w:rsidP="002737EA">
      <w:pPr>
        <w:rPr>
          <w:rFonts w:cs="Arial"/>
        </w:rPr>
      </w:pPr>
      <w:r w:rsidRPr="002737EA">
        <w:rPr>
          <w:rFonts w:cs="Arial"/>
        </w:rPr>
        <w:t>Telephone:  (614) 469-8000</w:t>
      </w:r>
    </w:p>
    <w:p w:rsidR="002737EA" w:rsidRPr="002737EA" w:rsidRDefault="002737EA" w:rsidP="002737EA">
      <w:pPr>
        <w:rPr>
          <w:rFonts w:cs="Arial"/>
        </w:rPr>
      </w:pPr>
      <w:r w:rsidRPr="002737EA">
        <w:rPr>
          <w:rFonts w:cs="Arial"/>
        </w:rPr>
        <w:t>Telecopier:  (614) 469-4653</w:t>
      </w:r>
    </w:p>
    <w:p w:rsidR="002737EA" w:rsidRPr="002737EA" w:rsidRDefault="002737EA" w:rsidP="002737EA">
      <w:pPr>
        <w:rPr>
          <w:rFonts w:cs="Arial"/>
        </w:rPr>
      </w:pPr>
      <w:r w:rsidRPr="002737EA">
        <w:rPr>
          <w:rFonts w:cs="Arial"/>
        </w:rPr>
        <w:t>sam@mwncmh.com</w:t>
      </w:r>
    </w:p>
    <w:p w:rsidR="002737EA" w:rsidRPr="002737EA" w:rsidRDefault="002737EA" w:rsidP="002737EA">
      <w:pPr>
        <w:rPr>
          <w:rFonts w:cs="Arial"/>
        </w:rPr>
      </w:pPr>
      <w:r w:rsidRPr="002737EA">
        <w:rPr>
          <w:rFonts w:cs="Arial"/>
        </w:rPr>
        <w:t>fdarr@mwncmh.com</w:t>
      </w:r>
    </w:p>
    <w:p w:rsidR="002737EA" w:rsidRPr="002737EA" w:rsidRDefault="002737EA" w:rsidP="002737EA">
      <w:pPr>
        <w:rPr>
          <w:rFonts w:cs="Arial"/>
          <w:color w:val="000000" w:themeColor="text1"/>
        </w:rPr>
      </w:pPr>
      <w:r w:rsidRPr="002737EA">
        <w:rPr>
          <w:rFonts w:cs="Arial"/>
        </w:rPr>
        <w:t>joliker@mwncmh.com</w:t>
      </w:r>
    </w:p>
    <w:p w:rsidR="002737EA" w:rsidRPr="002737EA" w:rsidRDefault="002737EA" w:rsidP="002737EA">
      <w:pPr>
        <w:rPr>
          <w:rFonts w:cs="Arial"/>
        </w:rPr>
      </w:pPr>
      <w:r w:rsidRPr="002737EA">
        <w:rPr>
          <w:rFonts w:cs="Arial"/>
        </w:rPr>
        <w:t>mpritchard@mwncmh.com</w:t>
      </w:r>
    </w:p>
    <w:p w:rsidR="002737EA" w:rsidRPr="002737EA" w:rsidRDefault="002737EA" w:rsidP="002737EA">
      <w:pPr>
        <w:rPr>
          <w:rFonts w:cs="Arial"/>
          <w:smallCaps/>
        </w:rPr>
      </w:pPr>
    </w:p>
    <w:p w:rsidR="002737EA" w:rsidRPr="002737EA" w:rsidRDefault="002737EA" w:rsidP="002737EA">
      <w:pPr>
        <w:rPr>
          <w:rFonts w:cs="Arial"/>
          <w:color w:val="000000"/>
        </w:rPr>
      </w:pPr>
      <w:r w:rsidRPr="002737EA">
        <w:rPr>
          <w:rFonts w:cs="Arial"/>
          <w:color w:val="000000"/>
        </w:rPr>
        <w:t>Mr. Thomas W. Craven</w:t>
      </w:r>
    </w:p>
    <w:p w:rsidR="002737EA" w:rsidRPr="002737EA" w:rsidRDefault="002737EA" w:rsidP="002737EA">
      <w:pPr>
        <w:rPr>
          <w:rFonts w:cs="Arial"/>
          <w:color w:val="000000"/>
        </w:rPr>
      </w:pPr>
      <w:r w:rsidRPr="002737EA">
        <w:rPr>
          <w:rFonts w:cs="Arial"/>
          <w:color w:val="000000"/>
        </w:rPr>
        <w:t>Vice President – Supply Chain Management</w:t>
      </w:r>
    </w:p>
    <w:p w:rsidR="002737EA" w:rsidRPr="002737EA" w:rsidRDefault="002737EA" w:rsidP="002737EA">
      <w:pPr>
        <w:rPr>
          <w:rFonts w:cs="Arial"/>
          <w:color w:val="000000"/>
        </w:rPr>
      </w:pPr>
      <w:r w:rsidRPr="002737EA">
        <w:rPr>
          <w:rFonts w:cs="Arial"/>
          <w:color w:val="000000"/>
        </w:rPr>
        <w:t>Wausau Paper Corp.</w:t>
      </w:r>
    </w:p>
    <w:p w:rsidR="002737EA" w:rsidRPr="002737EA" w:rsidRDefault="002737EA" w:rsidP="002737EA">
      <w:pPr>
        <w:rPr>
          <w:rFonts w:cs="Arial"/>
          <w:color w:val="000000"/>
        </w:rPr>
      </w:pPr>
      <w:r w:rsidRPr="002737EA">
        <w:rPr>
          <w:rFonts w:cs="Arial"/>
          <w:color w:val="000000"/>
        </w:rPr>
        <w:t>200 Paper Place</w:t>
      </w:r>
    </w:p>
    <w:p w:rsidR="002737EA" w:rsidRPr="002737EA" w:rsidRDefault="002737EA" w:rsidP="002737EA">
      <w:pPr>
        <w:rPr>
          <w:rFonts w:cs="Arial"/>
          <w:color w:val="000000"/>
        </w:rPr>
      </w:pPr>
      <w:r w:rsidRPr="002737EA">
        <w:rPr>
          <w:rFonts w:cs="Arial"/>
          <w:color w:val="000000"/>
        </w:rPr>
        <w:t>Mosinee, Wisconsin 54455-9099</w:t>
      </w:r>
    </w:p>
    <w:p w:rsidR="002737EA" w:rsidRPr="002737EA" w:rsidRDefault="002737EA" w:rsidP="002737EA">
      <w:pPr>
        <w:rPr>
          <w:rFonts w:cs="Arial"/>
          <w:color w:val="000000"/>
        </w:rPr>
      </w:pPr>
      <w:r w:rsidRPr="002737EA">
        <w:rPr>
          <w:rFonts w:cs="Arial"/>
          <w:color w:val="000000"/>
        </w:rPr>
        <w:t>tcraven@wausaupaper.com</w:t>
      </w:r>
    </w:p>
    <w:p w:rsidR="002737EA" w:rsidRPr="002737EA" w:rsidRDefault="002737EA" w:rsidP="002737EA">
      <w:pPr>
        <w:rPr>
          <w:rFonts w:cs="Arial"/>
        </w:rPr>
      </w:pPr>
    </w:p>
    <w:p w:rsidR="002737EA" w:rsidRPr="002737EA" w:rsidRDefault="002737EA" w:rsidP="002737EA">
      <w:pPr>
        <w:rPr>
          <w:rFonts w:cs="Arial"/>
          <w:color w:val="000000"/>
        </w:rPr>
      </w:pPr>
      <w:r w:rsidRPr="002737EA">
        <w:rPr>
          <w:rFonts w:cs="Arial"/>
          <w:color w:val="000000"/>
        </w:rPr>
        <w:t>Mr. Lawrence W. Thompson</w:t>
      </w:r>
    </w:p>
    <w:p w:rsidR="002737EA" w:rsidRPr="002737EA" w:rsidRDefault="002737EA" w:rsidP="002737EA">
      <w:pPr>
        <w:rPr>
          <w:rFonts w:cs="Arial"/>
          <w:color w:val="000000"/>
        </w:rPr>
      </w:pPr>
      <w:r w:rsidRPr="002737EA">
        <w:rPr>
          <w:rFonts w:cs="Arial"/>
          <w:color w:val="000000"/>
        </w:rPr>
        <w:t>Energy Consultant</w:t>
      </w:r>
    </w:p>
    <w:p w:rsidR="002737EA" w:rsidRPr="002737EA" w:rsidRDefault="002737EA" w:rsidP="002737EA">
      <w:pPr>
        <w:rPr>
          <w:rFonts w:cs="Arial"/>
          <w:color w:val="000000"/>
        </w:rPr>
      </w:pPr>
      <w:r w:rsidRPr="002737EA">
        <w:rPr>
          <w:rFonts w:cs="Arial"/>
          <w:color w:val="000000"/>
        </w:rPr>
        <w:t>Energy Strategies, Inc.</w:t>
      </w:r>
    </w:p>
    <w:p w:rsidR="002737EA" w:rsidRPr="002737EA" w:rsidRDefault="002737EA" w:rsidP="002737EA">
      <w:pPr>
        <w:rPr>
          <w:rFonts w:cs="Arial"/>
          <w:color w:val="000000"/>
        </w:rPr>
      </w:pPr>
      <w:r w:rsidRPr="002737EA">
        <w:rPr>
          <w:rFonts w:cs="Arial"/>
          <w:color w:val="000000"/>
        </w:rPr>
        <w:t>525 South Main Street, Suite 900</w:t>
      </w:r>
    </w:p>
    <w:p w:rsidR="002737EA" w:rsidRPr="002737EA" w:rsidRDefault="002737EA" w:rsidP="002737EA">
      <w:pPr>
        <w:rPr>
          <w:rFonts w:cs="Arial"/>
          <w:color w:val="000000"/>
        </w:rPr>
      </w:pPr>
      <w:r w:rsidRPr="002737EA">
        <w:rPr>
          <w:rFonts w:cs="Arial"/>
          <w:color w:val="000000"/>
        </w:rPr>
        <w:t>Tulsa, Oklahoma 74103-4510</w:t>
      </w:r>
    </w:p>
    <w:p w:rsidR="002737EA" w:rsidRPr="002737EA" w:rsidRDefault="002737EA" w:rsidP="002737EA">
      <w:pPr>
        <w:rPr>
          <w:rFonts w:cs="Arial"/>
        </w:rPr>
      </w:pPr>
      <w:r w:rsidRPr="002737EA">
        <w:rPr>
          <w:rFonts w:cs="Arial"/>
        </w:rPr>
        <w:t>lthompson@energy-strategies.com</w:t>
      </w:r>
    </w:p>
    <w:p w:rsidR="002737EA" w:rsidRPr="002737EA" w:rsidRDefault="002737EA" w:rsidP="002737EA">
      <w:pPr>
        <w:rPr>
          <w:rFonts w:cs="Arial"/>
          <w:color w:val="000000"/>
        </w:rPr>
      </w:pPr>
    </w:p>
    <w:p w:rsidR="002737EA" w:rsidRPr="002737EA" w:rsidRDefault="002737EA" w:rsidP="002737EA">
      <w:pPr>
        <w:rPr>
          <w:rFonts w:cs="Arial"/>
          <w:color w:val="000000"/>
        </w:rPr>
      </w:pPr>
      <w:r w:rsidRPr="002737EA">
        <w:rPr>
          <w:rFonts w:cs="Arial"/>
          <w:color w:val="000000"/>
        </w:rPr>
        <w:t>Ms. Karen Campbell</w:t>
      </w:r>
    </w:p>
    <w:p w:rsidR="002737EA" w:rsidRPr="002737EA" w:rsidRDefault="002737EA" w:rsidP="002737EA">
      <w:pPr>
        <w:rPr>
          <w:rFonts w:cs="Arial"/>
          <w:color w:val="000000"/>
        </w:rPr>
      </w:pPr>
      <w:r w:rsidRPr="002737EA">
        <w:rPr>
          <w:rFonts w:cs="Arial"/>
          <w:color w:val="000000"/>
        </w:rPr>
        <w:t>Energy Consultant</w:t>
      </w:r>
    </w:p>
    <w:p w:rsidR="002737EA" w:rsidRPr="002737EA" w:rsidRDefault="002737EA" w:rsidP="002737EA">
      <w:pPr>
        <w:rPr>
          <w:rFonts w:cs="Arial"/>
          <w:color w:val="000000"/>
        </w:rPr>
      </w:pPr>
      <w:r w:rsidRPr="002737EA">
        <w:rPr>
          <w:rFonts w:cs="Arial"/>
          <w:color w:val="000000"/>
        </w:rPr>
        <w:t>Energy Strategies, Inc.</w:t>
      </w:r>
    </w:p>
    <w:p w:rsidR="002737EA" w:rsidRPr="002737EA" w:rsidRDefault="002737EA" w:rsidP="002737EA">
      <w:pPr>
        <w:rPr>
          <w:rFonts w:cs="Arial"/>
          <w:color w:val="000000"/>
        </w:rPr>
      </w:pPr>
      <w:r w:rsidRPr="002737EA">
        <w:rPr>
          <w:rFonts w:cs="Arial"/>
          <w:color w:val="000000"/>
        </w:rPr>
        <w:t>525 South Main Street, Suite 900</w:t>
      </w:r>
    </w:p>
    <w:p w:rsidR="002737EA" w:rsidRPr="002737EA" w:rsidRDefault="002737EA" w:rsidP="002737EA">
      <w:pPr>
        <w:rPr>
          <w:rFonts w:cs="Arial"/>
          <w:color w:val="000000"/>
        </w:rPr>
      </w:pPr>
      <w:r w:rsidRPr="002737EA">
        <w:rPr>
          <w:rFonts w:cs="Arial"/>
          <w:color w:val="000000"/>
        </w:rPr>
        <w:t>Tulsa, Oklahoma 74103-4510</w:t>
      </w:r>
    </w:p>
    <w:p w:rsidR="002737EA" w:rsidRPr="002737EA" w:rsidRDefault="002737EA" w:rsidP="002737EA">
      <w:pPr>
        <w:rPr>
          <w:rFonts w:cs="Arial"/>
          <w:color w:val="000000"/>
        </w:rPr>
      </w:pPr>
      <w:r w:rsidRPr="002737EA">
        <w:rPr>
          <w:rFonts w:cs="Arial"/>
          <w:color w:val="000000"/>
        </w:rPr>
        <w:t>kcampbell@energy-strategies.com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Wausau Paper Towel &amp; Tissue, LLC</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Pr>
          <w:rFonts w:cs="Arial"/>
        </w:rPr>
        <w:br w:type="column"/>
      </w:r>
      <w:r w:rsidRPr="002737EA">
        <w:rPr>
          <w:rFonts w:cs="Arial"/>
        </w:rPr>
        <w:lastRenderedPageBreak/>
        <w:t>Steven T. Nourse</w:t>
      </w:r>
    </w:p>
    <w:p w:rsidR="002737EA" w:rsidRPr="002737EA" w:rsidRDefault="002737EA" w:rsidP="002737EA">
      <w:pPr>
        <w:tabs>
          <w:tab w:val="left" w:pos="2160"/>
          <w:tab w:val="left" w:pos="2280"/>
        </w:tabs>
        <w:rPr>
          <w:rFonts w:cs="Arial"/>
        </w:rPr>
      </w:pPr>
      <w:r w:rsidRPr="002737EA">
        <w:rPr>
          <w:rFonts w:cs="Arial"/>
        </w:rPr>
        <w:t>Matthew J. Satterwhite</w:t>
      </w:r>
    </w:p>
    <w:p w:rsidR="002737EA" w:rsidRPr="002737EA" w:rsidRDefault="002737EA" w:rsidP="002737EA">
      <w:pPr>
        <w:tabs>
          <w:tab w:val="left" w:pos="2160"/>
          <w:tab w:val="left" w:pos="2280"/>
        </w:tabs>
        <w:rPr>
          <w:rFonts w:cs="Arial"/>
        </w:rPr>
      </w:pPr>
      <w:r w:rsidRPr="002737EA">
        <w:rPr>
          <w:rFonts w:cs="Arial"/>
        </w:rPr>
        <w:t>American Electric Power Service Corp.</w:t>
      </w:r>
    </w:p>
    <w:p w:rsidR="002737EA" w:rsidRPr="002737EA" w:rsidRDefault="002737EA" w:rsidP="002737EA">
      <w:pPr>
        <w:tabs>
          <w:tab w:val="left" w:pos="2160"/>
          <w:tab w:val="left" w:pos="2280"/>
        </w:tabs>
        <w:rPr>
          <w:rFonts w:cs="Arial"/>
        </w:rPr>
      </w:pPr>
      <w:r w:rsidRPr="002737EA">
        <w:rPr>
          <w:rFonts w:cs="Arial"/>
        </w:rPr>
        <w:t>1 Riverside Plaza 29</w:t>
      </w:r>
      <w:r w:rsidRPr="002737EA">
        <w:rPr>
          <w:rFonts w:cs="Arial"/>
          <w:vertAlign w:val="superscript"/>
        </w:rPr>
        <w:t>th</w:t>
      </w:r>
      <w:r w:rsidRPr="002737EA">
        <w:rPr>
          <w:rFonts w:cs="Arial"/>
        </w:rPr>
        <w:t xml:space="preserve"> Floor</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stnourse@aep.com</w:t>
      </w:r>
    </w:p>
    <w:p w:rsidR="002737EA" w:rsidRPr="002737EA" w:rsidRDefault="002737EA" w:rsidP="002737EA">
      <w:pPr>
        <w:tabs>
          <w:tab w:val="left" w:pos="2160"/>
          <w:tab w:val="left" w:pos="2280"/>
        </w:tabs>
        <w:rPr>
          <w:rFonts w:cs="Arial"/>
        </w:rPr>
      </w:pPr>
      <w:r w:rsidRPr="002737EA">
        <w:rPr>
          <w:rFonts w:cs="Arial"/>
        </w:rPr>
        <w:t>mjsatterwhite@aep.com</w:t>
      </w:r>
    </w:p>
    <w:p w:rsidR="002737EA" w:rsidRPr="002737EA" w:rsidRDefault="002737EA" w:rsidP="002737EA">
      <w:pPr>
        <w:tabs>
          <w:tab w:val="left" w:pos="2160"/>
          <w:tab w:val="left" w:pos="2280"/>
        </w:tabs>
        <w:rPr>
          <w:rFonts w:cs="Arial"/>
          <w:b/>
        </w:rPr>
      </w:pPr>
    </w:p>
    <w:p w:rsidR="002737EA" w:rsidRPr="002737EA" w:rsidRDefault="002737EA" w:rsidP="002737EA">
      <w:pPr>
        <w:tabs>
          <w:tab w:val="left" w:pos="2160"/>
          <w:tab w:val="left" w:pos="2280"/>
        </w:tabs>
        <w:rPr>
          <w:rFonts w:cs="Arial"/>
        </w:rPr>
      </w:pPr>
      <w:r w:rsidRPr="002737EA">
        <w:rPr>
          <w:rFonts w:cs="Arial"/>
          <w:b/>
        </w:rPr>
        <w:t>On Behalf of Ohio Power Company</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Joseph G. Strines</w:t>
      </w:r>
    </w:p>
    <w:p w:rsidR="002737EA" w:rsidRPr="002737EA" w:rsidRDefault="002737EA" w:rsidP="002737EA">
      <w:pPr>
        <w:tabs>
          <w:tab w:val="left" w:pos="2160"/>
          <w:tab w:val="left" w:pos="2280"/>
        </w:tabs>
        <w:rPr>
          <w:rFonts w:cs="Arial"/>
        </w:rPr>
      </w:pPr>
      <w:r w:rsidRPr="002737EA">
        <w:rPr>
          <w:rFonts w:cs="Arial"/>
        </w:rPr>
        <w:t>DPL Energy Resources Inc.</w:t>
      </w:r>
    </w:p>
    <w:p w:rsidR="002737EA" w:rsidRPr="002737EA" w:rsidRDefault="002737EA" w:rsidP="002737EA">
      <w:pPr>
        <w:tabs>
          <w:tab w:val="left" w:pos="2160"/>
          <w:tab w:val="left" w:pos="2280"/>
        </w:tabs>
        <w:rPr>
          <w:rFonts w:cs="Arial"/>
        </w:rPr>
      </w:pPr>
      <w:r w:rsidRPr="002737EA">
        <w:rPr>
          <w:rFonts w:cs="Arial"/>
        </w:rPr>
        <w:t>1065 Woodman Drive</w:t>
      </w:r>
    </w:p>
    <w:p w:rsidR="002737EA" w:rsidRPr="002737EA" w:rsidRDefault="002737EA" w:rsidP="002737EA">
      <w:pPr>
        <w:tabs>
          <w:tab w:val="left" w:pos="2160"/>
          <w:tab w:val="left" w:pos="2280"/>
        </w:tabs>
        <w:rPr>
          <w:rFonts w:cs="Arial"/>
        </w:rPr>
      </w:pPr>
      <w:r w:rsidRPr="002737EA">
        <w:rPr>
          <w:rFonts w:cs="Arial"/>
        </w:rPr>
        <w:t>Dayton, Ohio  45432</w:t>
      </w:r>
    </w:p>
    <w:p w:rsidR="002737EA" w:rsidRPr="002737EA" w:rsidRDefault="002737EA" w:rsidP="002737EA">
      <w:pPr>
        <w:tabs>
          <w:tab w:val="left" w:pos="2160"/>
          <w:tab w:val="left" w:pos="2280"/>
        </w:tabs>
        <w:rPr>
          <w:rFonts w:cs="Arial"/>
        </w:rPr>
      </w:pPr>
      <w:r w:rsidRPr="002737EA">
        <w:rPr>
          <w:rFonts w:cs="Arial"/>
        </w:rPr>
        <w:t>Jospeh.strines@DPLINC.com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DPL Energy Resources Inc.</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Judi L. Sobecki</w:t>
      </w:r>
    </w:p>
    <w:p w:rsidR="002737EA" w:rsidRPr="002737EA" w:rsidRDefault="002737EA" w:rsidP="002737EA">
      <w:pPr>
        <w:tabs>
          <w:tab w:val="left" w:pos="2160"/>
          <w:tab w:val="left" w:pos="2280"/>
        </w:tabs>
        <w:rPr>
          <w:rFonts w:cs="Arial"/>
        </w:rPr>
      </w:pPr>
      <w:r w:rsidRPr="002737EA">
        <w:rPr>
          <w:rFonts w:cs="Arial"/>
        </w:rPr>
        <w:t>Randall V. Griffin</w:t>
      </w:r>
    </w:p>
    <w:p w:rsidR="002737EA" w:rsidRPr="002737EA" w:rsidRDefault="002737EA" w:rsidP="002737EA">
      <w:pPr>
        <w:tabs>
          <w:tab w:val="left" w:pos="2160"/>
          <w:tab w:val="left" w:pos="2280"/>
        </w:tabs>
        <w:rPr>
          <w:rFonts w:cs="Arial"/>
        </w:rPr>
      </w:pPr>
      <w:r w:rsidRPr="002737EA">
        <w:rPr>
          <w:rFonts w:cs="Arial"/>
        </w:rPr>
        <w:t>The Dayton Power and Light Company</w:t>
      </w:r>
    </w:p>
    <w:p w:rsidR="002737EA" w:rsidRPr="002737EA" w:rsidRDefault="002737EA" w:rsidP="002737EA">
      <w:pPr>
        <w:tabs>
          <w:tab w:val="left" w:pos="2160"/>
          <w:tab w:val="left" w:pos="2280"/>
        </w:tabs>
        <w:rPr>
          <w:rFonts w:cs="Arial"/>
        </w:rPr>
      </w:pPr>
      <w:r w:rsidRPr="002737EA">
        <w:rPr>
          <w:rFonts w:cs="Arial"/>
        </w:rPr>
        <w:t>1065 Woodman Drive</w:t>
      </w:r>
    </w:p>
    <w:p w:rsidR="002737EA" w:rsidRPr="002737EA" w:rsidRDefault="002737EA" w:rsidP="002737EA">
      <w:pPr>
        <w:tabs>
          <w:tab w:val="left" w:pos="2160"/>
          <w:tab w:val="left" w:pos="2280"/>
        </w:tabs>
        <w:rPr>
          <w:rFonts w:cs="Arial"/>
        </w:rPr>
      </w:pPr>
      <w:r w:rsidRPr="002737EA">
        <w:rPr>
          <w:rFonts w:cs="Arial"/>
        </w:rPr>
        <w:t>Dayton, Ohio  45432</w:t>
      </w:r>
    </w:p>
    <w:p w:rsidR="002737EA" w:rsidRPr="002737EA" w:rsidRDefault="002737EA" w:rsidP="002737EA">
      <w:pPr>
        <w:tabs>
          <w:tab w:val="left" w:pos="2160"/>
          <w:tab w:val="left" w:pos="2280"/>
        </w:tabs>
        <w:rPr>
          <w:rFonts w:cs="Arial"/>
        </w:rPr>
      </w:pPr>
      <w:r w:rsidRPr="002737EA">
        <w:rPr>
          <w:rFonts w:cs="Arial"/>
        </w:rPr>
        <w:t>judi.sobecki@DPLINC.com</w:t>
      </w:r>
    </w:p>
    <w:p w:rsidR="002737EA" w:rsidRPr="002737EA" w:rsidRDefault="002737EA" w:rsidP="002737EA">
      <w:pPr>
        <w:tabs>
          <w:tab w:val="left" w:pos="2160"/>
          <w:tab w:val="left" w:pos="2280"/>
        </w:tabs>
        <w:rPr>
          <w:rFonts w:cs="Arial"/>
        </w:rPr>
      </w:pPr>
      <w:r w:rsidRPr="002737EA">
        <w:rPr>
          <w:rFonts w:cs="Arial"/>
        </w:rPr>
        <w:t>randall.griffin@DPLINC.com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Dayton Power and Light Company</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Kevin J. Osterkamp</w:t>
      </w:r>
    </w:p>
    <w:p w:rsidR="002737EA" w:rsidRPr="002737EA" w:rsidRDefault="002737EA" w:rsidP="002737EA">
      <w:pPr>
        <w:tabs>
          <w:tab w:val="left" w:pos="2160"/>
          <w:tab w:val="left" w:pos="2280"/>
        </w:tabs>
        <w:rPr>
          <w:rFonts w:cs="Arial"/>
        </w:rPr>
      </w:pPr>
      <w:r w:rsidRPr="002737EA">
        <w:rPr>
          <w:rFonts w:cs="Arial"/>
        </w:rPr>
        <w:t>Roetzel &amp; Andress LPA</w:t>
      </w:r>
    </w:p>
    <w:p w:rsidR="002737EA" w:rsidRPr="002737EA" w:rsidRDefault="002737EA" w:rsidP="002737EA">
      <w:pPr>
        <w:tabs>
          <w:tab w:val="left" w:pos="2160"/>
          <w:tab w:val="left" w:pos="2280"/>
        </w:tabs>
        <w:rPr>
          <w:rFonts w:cs="Arial"/>
        </w:rPr>
      </w:pPr>
      <w:r w:rsidRPr="002737EA">
        <w:rPr>
          <w:rFonts w:cs="Arial"/>
        </w:rPr>
        <w:t>PNC Plaza</w:t>
      </w:r>
    </w:p>
    <w:p w:rsidR="002737EA" w:rsidRPr="002737EA" w:rsidRDefault="002737EA" w:rsidP="002737EA">
      <w:pPr>
        <w:tabs>
          <w:tab w:val="left" w:pos="2160"/>
          <w:tab w:val="left" w:pos="2280"/>
        </w:tabs>
        <w:rPr>
          <w:rFonts w:cs="Arial"/>
        </w:rPr>
      </w:pPr>
      <w:r w:rsidRPr="002737EA">
        <w:rPr>
          <w:rFonts w:cs="Arial"/>
        </w:rPr>
        <w:t>Twelfth Floor</w:t>
      </w:r>
    </w:p>
    <w:p w:rsidR="002737EA" w:rsidRPr="002737EA" w:rsidRDefault="002737EA" w:rsidP="002737EA">
      <w:pPr>
        <w:tabs>
          <w:tab w:val="left" w:pos="2160"/>
          <w:tab w:val="left" w:pos="2280"/>
        </w:tabs>
        <w:rPr>
          <w:rFonts w:cs="Arial"/>
        </w:rPr>
      </w:pPr>
      <w:r w:rsidRPr="002737EA">
        <w:rPr>
          <w:rFonts w:cs="Arial"/>
        </w:rPr>
        <w:t>155 East Br</w:t>
      </w:r>
      <w:r w:rsidR="00783E62">
        <w:rPr>
          <w:rFonts w:cs="Arial"/>
        </w:rPr>
        <w:t>oa</w:t>
      </w:r>
      <w:r w:rsidRPr="002737EA">
        <w:rPr>
          <w:rFonts w:cs="Arial"/>
        </w:rPr>
        <w:t>d Street</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kosterkamp@ralaw.com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Rick D. Chamberlain</w:t>
      </w:r>
    </w:p>
    <w:p w:rsidR="002737EA" w:rsidRPr="002737EA" w:rsidRDefault="002737EA" w:rsidP="002737EA">
      <w:pPr>
        <w:tabs>
          <w:tab w:val="left" w:pos="2160"/>
          <w:tab w:val="left" w:pos="2280"/>
        </w:tabs>
        <w:rPr>
          <w:rFonts w:cs="Arial"/>
        </w:rPr>
      </w:pPr>
      <w:r w:rsidRPr="002737EA">
        <w:rPr>
          <w:rFonts w:cs="Arial"/>
        </w:rPr>
        <w:t>Behrens, Wheeler &amp; Chamberlain</w:t>
      </w:r>
    </w:p>
    <w:p w:rsidR="002737EA" w:rsidRPr="002737EA" w:rsidRDefault="002737EA" w:rsidP="002737EA">
      <w:pPr>
        <w:tabs>
          <w:tab w:val="left" w:pos="2160"/>
          <w:tab w:val="left" w:pos="2280"/>
        </w:tabs>
        <w:rPr>
          <w:rFonts w:cs="Arial"/>
        </w:rPr>
      </w:pPr>
      <w:r w:rsidRPr="002737EA">
        <w:rPr>
          <w:rFonts w:cs="Arial"/>
        </w:rPr>
        <w:t>6 N.E. 63</w:t>
      </w:r>
      <w:r w:rsidRPr="002737EA">
        <w:rPr>
          <w:rFonts w:cs="Arial"/>
          <w:vertAlign w:val="superscript"/>
        </w:rPr>
        <w:t>rd</w:t>
      </w:r>
      <w:r w:rsidRPr="002737EA">
        <w:rPr>
          <w:rFonts w:cs="Arial"/>
        </w:rPr>
        <w:t xml:space="preserve"> Street, Suite 400</w:t>
      </w:r>
    </w:p>
    <w:p w:rsidR="002737EA" w:rsidRPr="002737EA" w:rsidRDefault="002737EA" w:rsidP="002737EA">
      <w:pPr>
        <w:tabs>
          <w:tab w:val="left" w:pos="2160"/>
          <w:tab w:val="left" w:pos="2280"/>
        </w:tabs>
        <w:rPr>
          <w:rFonts w:cs="Arial"/>
        </w:rPr>
      </w:pPr>
      <w:r w:rsidRPr="002737EA">
        <w:rPr>
          <w:rFonts w:cs="Arial"/>
        </w:rPr>
        <w:t>Oklahoma City, Oklahoma  73105</w:t>
      </w:r>
    </w:p>
    <w:p w:rsidR="002737EA" w:rsidRPr="002737EA" w:rsidRDefault="002737EA" w:rsidP="002737EA">
      <w:pPr>
        <w:tabs>
          <w:tab w:val="left" w:pos="2160"/>
          <w:tab w:val="left" w:pos="2280"/>
        </w:tabs>
        <w:rPr>
          <w:rFonts w:cs="Arial"/>
        </w:rPr>
      </w:pPr>
      <w:r w:rsidRPr="002737EA">
        <w:rPr>
          <w:rFonts w:cs="Arial"/>
        </w:rPr>
        <w:t>Rdc_law@swbell.net</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Wal-Mart Stores East, LP, and Sam’s East, Inc.</w:t>
      </w:r>
    </w:p>
    <w:p w:rsidR="002737EA" w:rsidRPr="002737EA" w:rsidRDefault="002737EA" w:rsidP="002737EA">
      <w:pPr>
        <w:tabs>
          <w:tab w:val="left" w:pos="2160"/>
          <w:tab w:val="left" w:pos="2280"/>
        </w:tabs>
        <w:rPr>
          <w:rFonts w:cs="Arial"/>
        </w:rPr>
      </w:pPr>
      <w:r w:rsidRPr="002737EA">
        <w:rPr>
          <w:rFonts w:cs="Arial"/>
        </w:rPr>
        <w:lastRenderedPageBreak/>
        <w:t>Barth E. Royer</w:t>
      </w:r>
    </w:p>
    <w:p w:rsidR="002737EA" w:rsidRPr="002737EA" w:rsidRDefault="002737EA" w:rsidP="002737EA">
      <w:pPr>
        <w:tabs>
          <w:tab w:val="left" w:pos="2160"/>
          <w:tab w:val="left" w:pos="2280"/>
        </w:tabs>
        <w:rPr>
          <w:rFonts w:cs="Arial"/>
        </w:rPr>
      </w:pPr>
      <w:r w:rsidRPr="002737EA">
        <w:rPr>
          <w:rFonts w:cs="Arial"/>
        </w:rPr>
        <w:t>Bell &amp; Royer Co., LPA</w:t>
      </w:r>
    </w:p>
    <w:p w:rsidR="002737EA" w:rsidRPr="002737EA" w:rsidRDefault="002737EA" w:rsidP="002737EA">
      <w:pPr>
        <w:tabs>
          <w:tab w:val="left" w:pos="2160"/>
          <w:tab w:val="left" w:pos="2280"/>
        </w:tabs>
        <w:rPr>
          <w:rFonts w:cs="Arial"/>
        </w:rPr>
      </w:pPr>
      <w:r w:rsidRPr="002737EA">
        <w:rPr>
          <w:rFonts w:cs="Arial"/>
        </w:rPr>
        <w:t>33 South Grant Ave.</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barthroyer@aol.com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Gary A. Jeffries</w:t>
      </w:r>
    </w:p>
    <w:p w:rsidR="002737EA" w:rsidRPr="002737EA" w:rsidRDefault="002737EA" w:rsidP="002737EA">
      <w:pPr>
        <w:tabs>
          <w:tab w:val="left" w:pos="2160"/>
          <w:tab w:val="left" w:pos="2280"/>
        </w:tabs>
        <w:rPr>
          <w:rFonts w:cs="Arial"/>
        </w:rPr>
      </w:pPr>
      <w:r w:rsidRPr="002737EA">
        <w:rPr>
          <w:rFonts w:cs="Arial"/>
        </w:rPr>
        <w:t>Dominion Resources Services, Inc.</w:t>
      </w:r>
    </w:p>
    <w:p w:rsidR="002737EA" w:rsidRPr="002737EA" w:rsidRDefault="002737EA" w:rsidP="002737EA">
      <w:pPr>
        <w:tabs>
          <w:tab w:val="left" w:pos="2160"/>
          <w:tab w:val="left" w:pos="2280"/>
        </w:tabs>
        <w:rPr>
          <w:rFonts w:cs="Arial"/>
        </w:rPr>
      </w:pPr>
      <w:r w:rsidRPr="002737EA">
        <w:rPr>
          <w:rFonts w:cs="Arial"/>
        </w:rPr>
        <w:t>501 Martindale Street, Suite 400</w:t>
      </w:r>
    </w:p>
    <w:p w:rsidR="002737EA" w:rsidRPr="002737EA" w:rsidRDefault="002737EA" w:rsidP="002737EA">
      <w:pPr>
        <w:tabs>
          <w:tab w:val="left" w:pos="2160"/>
          <w:tab w:val="left" w:pos="2280"/>
        </w:tabs>
        <w:rPr>
          <w:rFonts w:cs="Arial"/>
        </w:rPr>
      </w:pPr>
      <w:r w:rsidRPr="002737EA">
        <w:rPr>
          <w:rFonts w:cs="Arial"/>
        </w:rPr>
        <w:t>Pittsburgh, Pennsylvania  15212-5817</w:t>
      </w:r>
    </w:p>
    <w:p w:rsidR="002737EA" w:rsidRPr="002737EA" w:rsidRDefault="002737EA" w:rsidP="002737EA">
      <w:pPr>
        <w:tabs>
          <w:tab w:val="left" w:pos="2160"/>
          <w:tab w:val="left" w:pos="2280"/>
        </w:tabs>
        <w:rPr>
          <w:rFonts w:cs="Arial"/>
        </w:rPr>
      </w:pPr>
      <w:r w:rsidRPr="002737EA">
        <w:rPr>
          <w:rFonts w:cs="Arial"/>
        </w:rPr>
        <w:t>Gary.a.jeffries@dom.com</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Dominion Retail, Inc.</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Steven Beeler</w:t>
      </w:r>
    </w:p>
    <w:p w:rsidR="002737EA" w:rsidRPr="002737EA" w:rsidRDefault="002737EA" w:rsidP="002737EA">
      <w:pPr>
        <w:tabs>
          <w:tab w:val="left" w:pos="2160"/>
          <w:tab w:val="left" w:pos="2280"/>
        </w:tabs>
        <w:rPr>
          <w:rFonts w:cs="Arial"/>
        </w:rPr>
      </w:pPr>
      <w:r w:rsidRPr="002737EA">
        <w:rPr>
          <w:rFonts w:cs="Arial"/>
        </w:rPr>
        <w:t>John Jones</w:t>
      </w:r>
    </w:p>
    <w:p w:rsidR="002737EA" w:rsidRPr="002737EA" w:rsidRDefault="002737EA" w:rsidP="002737EA">
      <w:pPr>
        <w:tabs>
          <w:tab w:val="left" w:pos="2160"/>
          <w:tab w:val="left" w:pos="2280"/>
        </w:tabs>
        <w:rPr>
          <w:rFonts w:cs="Arial"/>
        </w:rPr>
      </w:pPr>
      <w:r w:rsidRPr="002737EA">
        <w:rPr>
          <w:rFonts w:cs="Arial"/>
        </w:rPr>
        <w:t>Assistant Attorneys General</w:t>
      </w:r>
    </w:p>
    <w:p w:rsidR="002737EA" w:rsidRPr="002737EA" w:rsidRDefault="002737EA" w:rsidP="002737EA">
      <w:pPr>
        <w:tabs>
          <w:tab w:val="left" w:pos="2160"/>
          <w:tab w:val="left" w:pos="2280"/>
        </w:tabs>
        <w:rPr>
          <w:rFonts w:cs="Arial"/>
        </w:rPr>
      </w:pPr>
      <w:r w:rsidRPr="002737EA">
        <w:rPr>
          <w:rFonts w:cs="Arial"/>
        </w:rPr>
        <w:t>Public Utilities Section</w:t>
      </w:r>
    </w:p>
    <w:p w:rsidR="002737EA" w:rsidRPr="002737EA" w:rsidRDefault="002737EA" w:rsidP="002737EA">
      <w:pPr>
        <w:tabs>
          <w:tab w:val="left" w:pos="2160"/>
          <w:tab w:val="left" w:pos="2280"/>
        </w:tabs>
        <w:rPr>
          <w:rFonts w:cs="Arial"/>
        </w:rPr>
      </w:pPr>
      <w:r w:rsidRPr="002737EA">
        <w:rPr>
          <w:rFonts w:cs="Arial"/>
        </w:rPr>
        <w:t>180 East Broad Street</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FD53CD" w:rsidP="002737EA">
      <w:pPr>
        <w:rPr>
          <w:rFonts w:cs="Arial"/>
        </w:rPr>
      </w:pPr>
      <w:hyperlink r:id="rId30" w:history="1">
        <w:r w:rsidR="002737EA" w:rsidRPr="002737EA">
          <w:rPr>
            <w:rStyle w:val="Hyperlink"/>
            <w:rFonts w:cs="Arial"/>
          </w:rPr>
          <w:t>steven.beeler@puc.state.oh.us</w:t>
        </w:r>
      </w:hyperlink>
    </w:p>
    <w:p w:rsidR="002737EA" w:rsidRPr="002737EA" w:rsidRDefault="002737EA" w:rsidP="002737EA">
      <w:pPr>
        <w:tabs>
          <w:tab w:val="left" w:pos="2160"/>
          <w:tab w:val="left" w:pos="2280"/>
        </w:tabs>
        <w:rPr>
          <w:rFonts w:cs="Arial"/>
        </w:rPr>
      </w:pPr>
      <w:r w:rsidRPr="002737EA">
        <w:rPr>
          <w:rFonts w:cs="Arial"/>
        </w:rPr>
        <w:t>john.jones@puc.state.oh.us</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On Behalf of the Staff of the Public Utilities Commission of Ohio</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rPr>
      </w:pPr>
      <w:r w:rsidRPr="002737EA">
        <w:rPr>
          <w:rFonts w:cs="Arial"/>
        </w:rPr>
        <w:t>Christine Pirik</w:t>
      </w:r>
    </w:p>
    <w:p w:rsidR="002737EA" w:rsidRPr="002737EA" w:rsidRDefault="002737EA" w:rsidP="002737EA">
      <w:pPr>
        <w:tabs>
          <w:tab w:val="left" w:pos="2160"/>
          <w:tab w:val="left" w:pos="2280"/>
        </w:tabs>
        <w:rPr>
          <w:rFonts w:cs="Arial"/>
        </w:rPr>
      </w:pPr>
      <w:r w:rsidRPr="002737EA">
        <w:rPr>
          <w:rFonts w:cs="Arial"/>
        </w:rPr>
        <w:t>Katie Stenman</w:t>
      </w:r>
    </w:p>
    <w:p w:rsidR="002737EA" w:rsidRPr="002737EA" w:rsidRDefault="002737EA" w:rsidP="002737EA">
      <w:pPr>
        <w:tabs>
          <w:tab w:val="left" w:pos="2160"/>
          <w:tab w:val="left" w:pos="2280"/>
        </w:tabs>
        <w:rPr>
          <w:rFonts w:cs="Arial"/>
        </w:rPr>
      </w:pPr>
      <w:r w:rsidRPr="002737EA">
        <w:rPr>
          <w:rFonts w:cs="Arial"/>
        </w:rPr>
        <w:t>Attorney Examiners</w:t>
      </w:r>
    </w:p>
    <w:p w:rsidR="002737EA" w:rsidRPr="002737EA" w:rsidRDefault="002737EA" w:rsidP="002737EA">
      <w:pPr>
        <w:tabs>
          <w:tab w:val="left" w:pos="2160"/>
          <w:tab w:val="left" w:pos="2280"/>
        </w:tabs>
        <w:rPr>
          <w:rFonts w:cs="Arial"/>
        </w:rPr>
      </w:pPr>
      <w:r w:rsidRPr="002737EA">
        <w:rPr>
          <w:rFonts w:cs="Arial"/>
        </w:rPr>
        <w:t>Public Utilities Commission of Ohio</w:t>
      </w:r>
    </w:p>
    <w:p w:rsidR="002737EA" w:rsidRPr="002737EA" w:rsidRDefault="002737EA" w:rsidP="002737EA">
      <w:pPr>
        <w:tabs>
          <w:tab w:val="left" w:pos="2160"/>
          <w:tab w:val="left" w:pos="2280"/>
        </w:tabs>
        <w:rPr>
          <w:rFonts w:cs="Arial"/>
        </w:rPr>
      </w:pPr>
      <w:r w:rsidRPr="002737EA">
        <w:rPr>
          <w:rFonts w:cs="Arial"/>
        </w:rPr>
        <w:t>180 East Broad Street</w:t>
      </w:r>
    </w:p>
    <w:p w:rsidR="002737EA" w:rsidRPr="002737EA" w:rsidRDefault="002737EA" w:rsidP="002737EA">
      <w:pPr>
        <w:tabs>
          <w:tab w:val="left" w:pos="2160"/>
          <w:tab w:val="left" w:pos="2280"/>
        </w:tabs>
        <w:rPr>
          <w:rFonts w:cs="Arial"/>
        </w:rPr>
      </w:pPr>
      <w:r w:rsidRPr="002737EA">
        <w:rPr>
          <w:rFonts w:cs="Arial"/>
        </w:rPr>
        <w:t>Columbus, Ohio 43215</w:t>
      </w:r>
    </w:p>
    <w:p w:rsidR="002737EA" w:rsidRPr="002737EA" w:rsidRDefault="002737EA" w:rsidP="002737EA">
      <w:pPr>
        <w:tabs>
          <w:tab w:val="left" w:pos="2160"/>
          <w:tab w:val="left" w:pos="2280"/>
        </w:tabs>
        <w:rPr>
          <w:rFonts w:cs="Arial"/>
        </w:rPr>
      </w:pPr>
      <w:r w:rsidRPr="002737EA">
        <w:rPr>
          <w:rFonts w:cs="Arial"/>
        </w:rPr>
        <w:t>Christine.pirik@puc.state.oh.us</w:t>
      </w:r>
    </w:p>
    <w:p w:rsidR="002737EA" w:rsidRPr="002737EA" w:rsidRDefault="002737EA" w:rsidP="002737EA">
      <w:pPr>
        <w:tabs>
          <w:tab w:val="left" w:pos="2160"/>
          <w:tab w:val="left" w:pos="2280"/>
        </w:tabs>
        <w:rPr>
          <w:rFonts w:cs="Arial"/>
        </w:rPr>
      </w:pPr>
      <w:r w:rsidRPr="002737EA">
        <w:rPr>
          <w:rFonts w:cs="Arial"/>
        </w:rPr>
        <w:t>Katie.stenman@puc.state.oh.us</w:t>
      </w:r>
    </w:p>
    <w:p w:rsidR="002737EA" w:rsidRPr="002737EA" w:rsidRDefault="002737EA" w:rsidP="002737EA">
      <w:pPr>
        <w:tabs>
          <w:tab w:val="left" w:pos="2160"/>
          <w:tab w:val="left" w:pos="2280"/>
        </w:tabs>
        <w:rPr>
          <w:rFonts w:cs="Arial"/>
        </w:rPr>
      </w:pPr>
    </w:p>
    <w:p w:rsidR="002737EA" w:rsidRPr="002737EA" w:rsidRDefault="002737EA" w:rsidP="002737EA">
      <w:pPr>
        <w:tabs>
          <w:tab w:val="left" w:pos="2160"/>
          <w:tab w:val="left" w:pos="2280"/>
        </w:tabs>
        <w:rPr>
          <w:rFonts w:cs="Arial"/>
          <w:b/>
        </w:rPr>
      </w:pPr>
      <w:r w:rsidRPr="002737EA">
        <w:rPr>
          <w:rFonts w:cs="Arial"/>
          <w:b/>
        </w:rPr>
        <w:t>Attorney Examiners</w:t>
      </w:r>
    </w:p>
    <w:p w:rsidR="002737EA" w:rsidRPr="00E02B2C" w:rsidRDefault="002737EA" w:rsidP="002737EA">
      <w:pPr>
        <w:rPr>
          <w:rFonts w:cs="Arial"/>
        </w:rPr>
      </w:pPr>
    </w:p>
    <w:p w:rsidR="002737EA" w:rsidRPr="00D11927" w:rsidRDefault="002737EA" w:rsidP="002737EA">
      <w:pPr>
        <w:tabs>
          <w:tab w:val="left" w:pos="2160"/>
          <w:tab w:val="left" w:pos="2280"/>
        </w:tabs>
        <w:rPr>
          <w:rFonts w:cs="Arial"/>
          <w:b/>
        </w:rPr>
      </w:pPr>
    </w:p>
    <w:p w:rsidR="003F308D" w:rsidRDefault="003F308D" w:rsidP="002737EA">
      <w:pPr>
        <w:tabs>
          <w:tab w:val="left" w:pos="2160"/>
          <w:tab w:val="left" w:pos="2280"/>
        </w:tabs>
      </w:pPr>
    </w:p>
    <w:sectPr w:rsidR="003F308D" w:rsidSect="002737EA">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01" w:rsidRDefault="00E83301" w:rsidP="000D555C">
      <w:r>
        <w:separator/>
      </w:r>
    </w:p>
  </w:endnote>
  <w:endnote w:type="continuationSeparator" w:id="0">
    <w:p w:rsidR="00E83301" w:rsidRDefault="00E83301" w:rsidP="000D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3301" w:rsidRDefault="00E8330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Pr="009D7F76" w:rsidRDefault="00FD53CD">
    <w:pPr>
      <w:pStyle w:val="Footer"/>
    </w:pPr>
    <w:r w:rsidRPr="00FD53CD">
      <w:rPr>
        <w:noProof/>
        <w:sz w:val="16"/>
      </w:rPr>
      <w:t>{C39615:4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Pr="009D7F76" w:rsidRDefault="00FD53CD">
    <w:pPr>
      <w:pStyle w:val="Footer"/>
    </w:pPr>
    <w:r w:rsidRPr="00FD53CD">
      <w:rPr>
        <w:noProof/>
        <w:sz w:val="16"/>
      </w:rPr>
      <w:t>{C39615:4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Footer"/>
      <w:framePr w:wrap="around"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separate"/>
    </w:r>
    <w:r>
      <w:rPr>
        <w:rStyle w:val="PageNumber"/>
        <w:noProof/>
      </w:rPr>
      <w:t>2</w:t>
    </w:r>
    <w:r>
      <w:rPr>
        <w:rStyle w:val="PageNumber"/>
        <w:noProof/>
      </w:rPr>
      <w:fldChar w:fldCharType="end"/>
    </w:r>
  </w:p>
  <w:p w:rsidR="00E83301" w:rsidRDefault="00FD53CD">
    <w:pPr>
      <w:pStyle w:val="Footer"/>
    </w:pPr>
    <w:r w:rsidRPr="00FD53CD">
      <w:rPr>
        <w:sz w:val="16"/>
      </w:rPr>
      <w:t>{C39615:4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FD53CD">
    <w:pPr>
      <w:pStyle w:val="Footer"/>
    </w:pPr>
    <w:r w:rsidRPr="00FD53CD">
      <w:rPr>
        <w:noProof/>
        <w:sz w:val="16"/>
      </w:rPr>
      <w:t>{C39615:4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Pr="00324110" w:rsidRDefault="00FD53CD" w:rsidP="009B1C5B">
    <w:pPr>
      <w:pStyle w:val="Footer"/>
    </w:pPr>
    <w:r w:rsidRPr="00FD53CD">
      <w:rPr>
        <w:noProof/>
        <w:sz w:val="16"/>
      </w:rPr>
      <w:t>{C39615:4 }</w:t>
    </w:r>
    <w:sdt>
      <w:sdtPr>
        <w:id w:val="1542628914"/>
        <w:docPartObj>
          <w:docPartGallery w:val="Page Numbers (Bottom of Page)"/>
          <w:docPartUnique/>
        </w:docPartObj>
      </w:sdtPr>
      <w:sdtEndPr>
        <w:rPr>
          <w:noProof/>
        </w:rPr>
      </w:sdtEndPr>
      <w:sdtContent>
        <w:r w:rsidR="00E83301">
          <w:tab/>
        </w:r>
        <w:r w:rsidR="00E83301" w:rsidRPr="00324110">
          <w:fldChar w:fldCharType="begin"/>
        </w:r>
        <w:r w:rsidR="00E83301" w:rsidRPr="00324110">
          <w:instrText xml:space="preserve"> PAGE   \* MERGEFORMAT </w:instrText>
        </w:r>
        <w:r w:rsidR="00E83301" w:rsidRPr="00324110">
          <w:fldChar w:fldCharType="separate"/>
        </w:r>
        <w:r>
          <w:rPr>
            <w:noProof/>
          </w:rPr>
          <w:t>10</w:t>
        </w:r>
        <w:r w:rsidR="00E83301" w:rsidRPr="00324110">
          <w:rPr>
            <w:noProof/>
          </w:rPr>
          <w:fldChar w:fldCharType="end"/>
        </w:r>
      </w:sdtContent>
    </w:sdt>
  </w:p>
  <w:p w:rsidR="00E83301" w:rsidRPr="00324110" w:rsidRDefault="00E833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Pr="000D555C" w:rsidRDefault="00FD53CD">
    <w:pPr>
      <w:pStyle w:val="Footer"/>
    </w:pPr>
    <w:r w:rsidRPr="00FD53CD">
      <w:rPr>
        <w:noProof/>
        <w:sz w:val="16"/>
      </w:rPr>
      <w:t>{C39615:4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Footer"/>
    </w:pPr>
  </w:p>
  <w:p w:rsidR="00E83301" w:rsidRDefault="00E83301"/>
  <w:p w:rsidR="00E83301" w:rsidRDefault="00E83301"/>
  <w:p w:rsidR="00E83301" w:rsidRDefault="00E8330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FD53CD" w:rsidP="000D185B">
    <w:pPr>
      <w:pStyle w:val="Footer"/>
    </w:pPr>
    <w:r w:rsidRPr="00FD53CD">
      <w:rPr>
        <w:noProof/>
        <w:sz w:val="16"/>
      </w:rPr>
      <w:t>{C39615:4 }</w:t>
    </w:r>
    <w:r w:rsidR="00E83301">
      <w:rPr>
        <w:noProof/>
        <w:sz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FD53CD">
    <w:pPr>
      <w:pStyle w:val="Footer"/>
    </w:pPr>
    <w:r w:rsidRPr="00FD53CD">
      <w:rPr>
        <w:noProof/>
        <w:sz w:val="16"/>
      </w:rPr>
      <w:t>{C39615:4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01" w:rsidRDefault="00E83301" w:rsidP="000D555C">
      <w:pPr>
        <w:rPr>
          <w:noProof/>
        </w:rPr>
      </w:pPr>
      <w:r>
        <w:rPr>
          <w:noProof/>
        </w:rPr>
        <w:separator/>
      </w:r>
    </w:p>
  </w:footnote>
  <w:footnote w:type="continuationSeparator" w:id="0">
    <w:p w:rsidR="00E83301" w:rsidRDefault="00E83301" w:rsidP="000D555C">
      <w:r>
        <w:continuationSeparator/>
      </w:r>
    </w:p>
  </w:footnote>
  <w:footnote w:id="1">
    <w:p w:rsidR="007B6A4C" w:rsidRDefault="007B6A4C">
      <w:pPr>
        <w:pStyle w:val="FootnoteText"/>
      </w:pPr>
      <w:r>
        <w:rPr>
          <w:rStyle w:val="FootnoteReference"/>
        </w:rPr>
        <w:footnoteRef/>
      </w:r>
      <w:r>
        <w:t xml:space="preserve"> </w:t>
      </w:r>
      <w:r w:rsidRPr="007B6A4C">
        <w:t xml:space="preserve">Joint Motion to Dismiss by Signatory Parties (Oct. 4, 2012) (“Joint Motion”).  </w:t>
      </w:r>
    </w:p>
  </w:footnote>
  <w:footnote w:id="2">
    <w:p w:rsidR="00E83301" w:rsidRDefault="00E83301" w:rsidP="00280AC1">
      <w:pPr>
        <w:pStyle w:val="FootnoteText"/>
        <w:spacing w:after="120"/>
      </w:pPr>
      <w:r>
        <w:rPr>
          <w:rStyle w:val="FootnoteReference"/>
        </w:rPr>
        <w:footnoteRef/>
      </w:r>
      <w:r>
        <w:t xml:space="preserve"> </w:t>
      </w:r>
      <w:r w:rsidR="0033382E">
        <w:t>Initial Comments of Industrial Energy Users-Ohio at 9-11 (Jan. 2, 2013) (“IEU-Ohio Initial Comments”).</w:t>
      </w:r>
    </w:p>
  </w:footnote>
  <w:footnote w:id="3">
    <w:p w:rsidR="009739DB" w:rsidRDefault="009739DB" w:rsidP="00C1252B">
      <w:pPr>
        <w:pStyle w:val="FootnoteText"/>
        <w:spacing w:after="120"/>
        <w:jc w:val="both"/>
      </w:pPr>
      <w:r>
        <w:rPr>
          <w:rStyle w:val="FootnoteReference"/>
        </w:rPr>
        <w:footnoteRef/>
      </w:r>
      <w:r>
        <w:t xml:space="preserve"> </w:t>
      </w:r>
      <w:r w:rsidR="00DD12BE">
        <w:t>In regard to competitive retail generation service, t</w:t>
      </w:r>
      <w:r>
        <w:t xml:space="preserve">he Commission </w:t>
      </w:r>
      <w:r w:rsidR="00DD12BE">
        <w:t>recently</w:t>
      </w:r>
      <w:r>
        <w:t xml:space="preserve"> confirmed </w:t>
      </w:r>
      <w:r w:rsidR="00DD12BE">
        <w:t xml:space="preserve">that </w:t>
      </w:r>
      <w:r w:rsidR="00C1252B">
        <w:t>Section 4928.05(A)(1</w:t>
      </w:r>
      <w:r>
        <w:t xml:space="preserve">), Revised Code, </w:t>
      </w:r>
      <w:r w:rsidR="00C1252B">
        <w:t xml:space="preserve">limits the Commission’s supervision and regulation of a competitive retail electric service, such as retail generation service declared competitive by Section 4928.03, Revised Code, </w:t>
      </w:r>
      <w:r w:rsidR="00DD12BE">
        <w:t xml:space="preserve">to </w:t>
      </w:r>
      <w:r w:rsidR="00C1252B">
        <w:t xml:space="preserve">the authority provided by </w:t>
      </w:r>
      <w:r w:rsidR="00DD12BE">
        <w:t xml:space="preserve">the </w:t>
      </w:r>
      <w:r w:rsidR="00AD0452">
        <w:t>Revised Code S</w:t>
      </w:r>
      <w:r w:rsidR="00DD12BE">
        <w:t>ections</w:t>
      </w:r>
      <w:r w:rsidR="00AD0452" w:rsidRPr="00AD0452">
        <w:t xml:space="preserve"> </w:t>
      </w:r>
      <w:r w:rsidR="00AD0452">
        <w:t>enumerated</w:t>
      </w:r>
      <w:r w:rsidR="001A6347">
        <w:t xml:space="preserve"> in Section 4928.05</w:t>
      </w:r>
      <w:r w:rsidR="00AD0452">
        <w:t>(A)(1), Revised Code</w:t>
      </w:r>
      <w:r w:rsidR="00DD12BE">
        <w:t xml:space="preserve">.  </w:t>
      </w:r>
      <w:r w:rsidR="00AD0452" w:rsidRPr="00C1252B">
        <w:rPr>
          <w:i/>
        </w:rPr>
        <w:t>In the Matter of the Ohio Edison Company, The Cleveland Electric Illuminating Company, and The Toledo Edison Company for Authority to Provide a Standard Service Offer Pursuant to Section 4928.143, Revised Code, in the Form of an Electric Security Plan</w:t>
      </w:r>
      <w:r w:rsidR="00AD0452">
        <w:t xml:space="preserve">, Case No. 12-1230-EL-SSO, Second Entry on Rehearing at 26 (Jan. 30, 2013).  </w:t>
      </w:r>
      <w:r w:rsidR="00DD12BE">
        <w:t xml:space="preserve">The only section relied upon by Duke </w:t>
      </w:r>
      <w:r w:rsidR="00B302CD">
        <w:t>that is</w:t>
      </w:r>
      <w:r w:rsidR="00DD12BE">
        <w:t xml:space="preserve"> enumerated in Section 4928.05(A)(1), Revised Code, is Section 4905.06, Revised Code</w:t>
      </w:r>
      <w:r w:rsidR="001A6347">
        <w:t xml:space="preserve">. </w:t>
      </w:r>
      <w:r w:rsidR="00DD12BE">
        <w:t xml:space="preserve"> </w:t>
      </w:r>
      <w:r w:rsidR="00B302CD">
        <w:t xml:space="preserve">Application at 2.  Section 4905.06, </w:t>
      </w:r>
      <w:r w:rsidR="001A6347">
        <w:t xml:space="preserve">Revised Code, </w:t>
      </w:r>
      <w:r w:rsidR="00B302CD">
        <w:t xml:space="preserve">however, authorizes </w:t>
      </w:r>
      <w:r w:rsidR="001A6347">
        <w:t xml:space="preserve">the </w:t>
      </w:r>
      <w:r w:rsidR="00B302CD">
        <w:t xml:space="preserve">Commission </w:t>
      </w:r>
      <w:r w:rsidR="001A6347">
        <w:t>to act</w:t>
      </w:r>
      <w:r w:rsidR="00B302CD">
        <w:t xml:space="preserve"> on matters </w:t>
      </w:r>
      <w:r w:rsidR="00DD12BE">
        <w:t xml:space="preserve">“only to the extent related to service reliability and public safety.”  Duke’s Application does not seek Commission relief </w:t>
      </w:r>
      <w:r w:rsidR="00AD0452">
        <w:t>related to either service reliability or public safety.</w:t>
      </w:r>
    </w:p>
  </w:footnote>
  <w:footnote w:id="4">
    <w:p w:rsidR="00E83301" w:rsidRDefault="00E83301" w:rsidP="00C1252B">
      <w:pPr>
        <w:pStyle w:val="FootnoteText"/>
        <w:spacing w:after="120"/>
        <w:jc w:val="both"/>
      </w:pPr>
      <w:r>
        <w:rPr>
          <w:rStyle w:val="FootnoteReference"/>
        </w:rPr>
        <w:footnoteRef/>
      </w:r>
      <w:r>
        <w:t xml:space="preserve"> </w:t>
      </w:r>
      <w:r w:rsidR="001B167C">
        <w:t xml:space="preserve">Duke has not filed an application for a standard service offer (“SSO”), its application does not meet the filing requirements of an SSO in the form of an ESP, and the ESP could not meet the requirements applicable to an ESP, its current form of SSO.  </w:t>
      </w:r>
      <w:r w:rsidR="00AD0452" w:rsidRPr="00C1252B">
        <w:t>IEU-Ohio Initial Comments</w:t>
      </w:r>
      <w:r w:rsidR="0033382E">
        <w:t xml:space="preserve"> at </w:t>
      </w:r>
      <w:r w:rsidR="001A6347">
        <w:t>9</w:t>
      </w:r>
      <w:r w:rsidR="0033382E">
        <w:t>-16</w:t>
      </w:r>
      <w:r w:rsidR="00AD0452">
        <w:t xml:space="preserve"> </w:t>
      </w:r>
      <w:r w:rsidR="00C1252B">
        <w:t xml:space="preserve">and </w:t>
      </w:r>
      <w:r w:rsidR="00C1252B" w:rsidRPr="00C1252B">
        <w:t xml:space="preserve">FirstEnergy Solutions Corp.’s Initial Comments </w:t>
      </w:r>
      <w:r w:rsidR="00C1252B">
        <w:t xml:space="preserve">at </w:t>
      </w:r>
      <w:r w:rsidR="00CF6336">
        <w:t>5-6</w:t>
      </w:r>
      <w:r w:rsidR="00C1252B" w:rsidRPr="00C1252B">
        <w:t xml:space="preserve"> (Jan. 2, 2013) (“FES Initial Comments”)</w:t>
      </w:r>
      <w:r w:rsidR="001B167C">
        <w:t xml:space="preserve">. </w:t>
      </w:r>
      <w:r w:rsidR="00C1252B" w:rsidRPr="00C1252B">
        <w:t xml:space="preserve"> </w:t>
      </w:r>
    </w:p>
  </w:footnote>
  <w:footnote w:id="5">
    <w:p w:rsidR="00B1467B" w:rsidRDefault="00E83301" w:rsidP="00A2393E">
      <w:pPr>
        <w:pStyle w:val="FootnoteText"/>
        <w:spacing w:after="120"/>
        <w:jc w:val="both"/>
      </w:pPr>
      <w:r>
        <w:rPr>
          <w:rStyle w:val="FootnoteReference"/>
        </w:rPr>
        <w:footnoteRef/>
      </w:r>
      <w:r w:rsidR="00C1252B">
        <w:t xml:space="preserve"> </w:t>
      </w:r>
      <w:r w:rsidR="00C1252B" w:rsidRPr="00C1252B">
        <w:t xml:space="preserve">IEU-Ohio Initial Comments </w:t>
      </w:r>
      <w:r w:rsidR="0033382E">
        <w:t>at 16-22.</w:t>
      </w:r>
      <w:r>
        <w:t xml:space="preserve">  </w:t>
      </w:r>
      <w:r w:rsidRPr="00816576">
        <w:t xml:space="preserve">Other commenters also noted that Duke has not complied with the statutes applicable to a request for an increase in compensation under the Commission’s cost-based ratemaking authority.  Although it claims that the Commission can approve its Application under Section 4909.18, Revised Code, Duke has not complied with the statutory and administrative filing requirements that would be applicable to a filing under that Section. </w:t>
      </w:r>
      <w:r>
        <w:t xml:space="preserve"> </w:t>
      </w:r>
      <w:r w:rsidR="00CF6336">
        <w:t>FES</w:t>
      </w:r>
      <w:r w:rsidR="0033382E">
        <w:t xml:space="preserve"> Initial Comments </w:t>
      </w:r>
      <w:r>
        <w:t xml:space="preserve">at 3; </w:t>
      </w:r>
      <w:r w:rsidRPr="001D1B80">
        <w:t>Comments of the Office of the Ohio Consumers' Counsel and the Ohio Energy Group</w:t>
      </w:r>
      <w:r>
        <w:t xml:space="preserve"> at 4 (Jan. 2, 2013) (“OCC/OEG Initial Comments”).  </w:t>
      </w:r>
    </w:p>
    <w:p w:rsidR="00E83301" w:rsidRDefault="00E83301" w:rsidP="00302C4E">
      <w:pPr>
        <w:pStyle w:val="FootnoteText"/>
        <w:spacing w:after="120"/>
        <w:jc w:val="both"/>
      </w:pPr>
      <w:r w:rsidRPr="00816576">
        <w:t>Duke also is seeking to circumvent a hearing that is mandatory if Section 4909.18, Revised Code, did apply.  Duke claims that its Application may be approved without a hearing because it is seeking authorization for a new charge for a new service.  As IEU-Ohio and others demonstrated,</w:t>
      </w:r>
      <w:r>
        <w:t xml:space="preserve"> </w:t>
      </w:r>
      <w:r w:rsidRPr="00816576">
        <w:t>however, Duke’s Application seeks increased compensation for the provision of generation</w:t>
      </w:r>
      <w:r w:rsidR="0033382E">
        <w:t>-related</w:t>
      </w:r>
      <w:r w:rsidRPr="00816576">
        <w:t xml:space="preserve"> capacity service</w:t>
      </w:r>
      <w:r w:rsidR="0033382E">
        <w:t xml:space="preserve">, an existing service it provides to </w:t>
      </w:r>
      <w:r w:rsidR="00CD4D1E">
        <w:t>competitive retail electric servi</w:t>
      </w:r>
      <w:r w:rsidR="00783E62">
        <w:t>c</w:t>
      </w:r>
      <w:r w:rsidR="00CD4D1E">
        <w:t>e (“</w:t>
      </w:r>
      <w:r w:rsidR="0033382E">
        <w:t>CRES</w:t>
      </w:r>
      <w:r w:rsidR="00CD4D1E">
        <w:t>”)</w:t>
      </w:r>
      <w:r w:rsidR="0033382E">
        <w:t xml:space="preserve"> </w:t>
      </w:r>
      <w:r w:rsidR="00A2393E">
        <w:t xml:space="preserve">providers </w:t>
      </w:r>
      <w:r w:rsidR="0033382E">
        <w:t>and winning bidders of the SSO auctions</w:t>
      </w:r>
      <w:r w:rsidRPr="00816576">
        <w:t>.</w:t>
      </w:r>
      <w:r>
        <w:t xml:space="preserve">  </w:t>
      </w:r>
      <w:r w:rsidRPr="00816576">
        <w:t xml:space="preserve">Because Duke is seeking an increase in compensation for an existing service, a hearing is required if the Commission has jurisdiction under Sections 4909.18 and 4909.19, Revised Code (which it does not).  </w:t>
      </w:r>
      <w:r w:rsidRPr="0033382E">
        <w:t xml:space="preserve">IEU-Ohio Initial Comments at </w:t>
      </w:r>
      <w:r w:rsidR="0033382E" w:rsidRPr="0033382E">
        <w:t>22</w:t>
      </w:r>
      <w:r w:rsidR="0033382E">
        <w:t>; Comments on Duke Energy Ohio, Inc.’s Application by The Kroger Co. at 4</w:t>
      </w:r>
      <w:r w:rsidR="00B1467B">
        <w:t xml:space="preserve"> (Jan. 2, 2013) (“Kroger Initial Comments”)</w:t>
      </w:r>
      <w:r>
        <w:t>.</w:t>
      </w:r>
    </w:p>
  </w:footnote>
  <w:footnote w:id="6">
    <w:p w:rsidR="00E83301" w:rsidRDefault="00E83301" w:rsidP="00967065">
      <w:pPr>
        <w:pStyle w:val="FootnoteText"/>
        <w:spacing w:after="120"/>
        <w:jc w:val="both"/>
      </w:pPr>
      <w:r>
        <w:rPr>
          <w:rStyle w:val="FootnoteReference"/>
        </w:rPr>
        <w:footnoteRef/>
      </w:r>
      <w:r>
        <w:t xml:space="preserve"> </w:t>
      </w:r>
      <w:r>
        <w:rPr>
          <w:rFonts w:cs="Arial"/>
        </w:rPr>
        <w:t xml:space="preserve">IEU-Ohio Initial Comments at 24 and 34-38. </w:t>
      </w:r>
    </w:p>
  </w:footnote>
  <w:footnote w:id="7">
    <w:p w:rsidR="00E83301" w:rsidRDefault="00E83301" w:rsidP="00967065">
      <w:pPr>
        <w:pStyle w:val="FootnoteText"/>
        <w:spacing w:after="120"/>
        <w:jc w:val="both"/>
      </w:pPr>
      <w:r>
        <w:rPr>
          <w:rStyle w:val="FootnoteReference"/>
        </w:rPr>
        <w:footnoteRef/>
      </w:r>
      <w:r>
        <w:t xml:space="preserve"> Section 4928.38, Revised Code; </w:t>
      </w:r>
      <w:r w:rsidRPr="006E20B0">
        <w:rPr>
          <w:i/>
        </w:rPr>
        <w:t>In the Matter of the Application of The Cincinnati Gas &amp; Electric Company for Approval of its Electric Transition Plan, Approval of Tariff Changes and New Tariffs, Authority to Modify Current Accounting Procedures, and Approval to Transfer its Generating Assets to an Exempt Wholesale Generator</w:t>
      </w:r>
      <w:r w:rsidRPr="006E20B0">
        <w:t xml:space="preserve">, Case Nos. 99-1658-EL-ETP, </w:t>
      </w:r>
      <w:r w:rsidRPr="006E20B0">
        <w:rPr>
          <w:i/>
        </w:rPr>
        <w:t>et al</w:t>
      </w:r>
      <w:r w:rsidRPr="006E20B0">
        <w:t>., Opinion and Order at 23 (Aug. 31, 2000) (hereinafter “</w:t>
      </w:r>
      <w:r w:rsidRPr="006E20B0">
        <w:rPr>
          <w:i/>
        </w:rPr>
        <w:t>Duke ETP Case</w:t>
      </w:r>
      <w:r>
        <w:t xml:space="preserve">”); </w:t>
      </w:r>
      <w:r>
        <w:rPr>
          <w:rFonts w:cs="Arial"/>
        </w:rPr>
        <w:t>IEU-Ohio Initial Comments at 28-34.</w:t>
      </w:r>
    </w:p>
  </w:footnote>
  <w:footnote w:id="8">
    <w:p w:rsidR="00E83301" w:rsidRDefault="00E83301" w:rsidP="00DF7428">
      <w:pPr>
        <w:pStyle w:val="FootnoteText"/>
        <w:spacing w:after="120"/>
        <w:jc w:val="both"/>
      </w:pPr>
      <w:r>
        <w:rPr>
          <w:rStyle w:val="FootnoteReference"/>
        </w:rPr>
        <w:footnoteRef/>
      </w:r>
      <w:r>
        <w:t xml:space="preserve"> Section 4928.38, Revised Code.</w:t>
      </w:r>
    </w:p>
  </w:footnote>
  <w:footnote w:id="9">
    <w:p w:rsidR="007B6A4C" w:rsidRPr="00367F9A" w:rsidRDefault="007B6A4C" w:rsidP="007B6A4C">
      <w:pPr>
        <w:pStyle w:val="FootnoteText"/>
        <w:spacing w:after="120"/>
        <w:jc w:val="both"/>
        <w:rPr>
          <w:rFonts w:cs="Arial"/>
        </w:rPr>
      </w:pPr>
      <w:r w:rsidRPr="00367F9A">
        <w:rPr>
          <w:rStyle w:val="FootnoteReference"/>
          <w:rFonts w:cs="Arial"/>
        </w:rPr>
        <w:footnoteRef/>
      </w:r>
      <w:r w:rsidRPr="00367F9A">
        <w:rPr>
          <w:rFonts w:cs="Arial"/>
        </w:rPr>
        <w:t xml:space="preserve"> </w:t>
      </w:r>
      <w:r w:rsidRPr="00367F9A">
        <w:rPr>
          <w:rFonts w:cs="Arial"/>
          <w:i/>
        </w:rPr>
        <w:t>In the Matter of the Application of Duke Energy Ohio</w:t>
      </w:r>
      <w:r>
        <w:rPr>
          <w:rFonts w:cs="Arial"/>
          <w:i/>
        </w:rPr>
        <w:t>, Inc.</w:t>
      </w:r>
      <w:r w:rsidRPr="00367F9A">
        <w:rPr>
          <w:rFonts w:cs="Arial"/>
          <w:i/>
        </w:rPr>
        <w:t xml:space="preserve"> for Authority to Establish a Standard Service Offer Pursuant to Section 4928.143, Revised Code, in the Form of an Electric Security Plan</w:t>
      </w:r>
      <w:r w:rsidRPr="00367F9A">
        <w:rPr>
          <w:rFonts w:cs="Arial"/>
        </w:rPr>
        <w:t xml:space="preserve">, </w:t>
      </w:r>
      <w:r w:rsidRPr="00A2393E">
        <w:rPr>
          <w:rFonts w:cs="Arial"/>
          <w:i/>
        </w:rPr>
        <w:t>Accounting Modifications, and Tariffs for Generation Service</w:t>
      </w:r>
      <w:r>
        <w:rPr>
          <w:rFonts w:cs="Arial"/>
        </w:rPr>
        <w:t xml:space="preserve">, </w:t>
      </w:r>
      <w:r w:rsidRPr="00367F9A">
        <w:rPr>
          <w:rFonts w:cs="Arial"/>
        </w:rPr>
        <w:t>Case No</w:t>
      </w:r>
      <w:r w:rsidR="00CD4D1E">
        <w:rPr>
          <w:rFonts w:cs="Arial"/>
        </w:rPr>
        <w:t>s</w:t>
      </w:r>
      <w:r w:rsidRPr="00367F9A">
        <w:rPr>
          <w:rFonts w:cs="Arial"/>
        </w:rPr>
        <w:t xml:space="preserve">. 11-3549-EL-SSO, </w:t>
      </w:r>
      <w:r w:rsidRPr="00367F9A">
        <w:rPr>
          <w:rFonts w:cs="Arial"/>
          <w:i/>
        </w:rPr>
        <w:t>et al</w:t>
      </w:r>
      <w:r w:rsidRPr="00367F9A">
        <w:rPr>
          <w:rFonts w:cs="Arial"/>
        </w:rPr>
        <w:t>., Stipulation and Recommendation (Oct. 24, 2011) (“</w:t>
      </w:r>
      <w:r w:rsidRPr="00367F9A">
        <w:rPr>
          <w:rFonts w:cs="Arial"/>
          <w:i/>
        </w:rPr>
        <w:t>Duke ESP Proceeding</w:t>
      </w:r>
      <w:r w:rsidRPr="00367F9A">
        <w:rPr>
          <w:rFonts w:cs="Arial"/>
        </w:rPr>
        <w:t>”)</w:t>
      </w:r>
      <w:r>
        <w:rPr>
          <w:rFonts w:cs="Arial"/>
        </w:rPr>
        <w:t>, approved, Opinion and Order (Nov. 22, 2011)</w:t>
      </w:r>
      <w:r w:rsidRPr="00367F9A">
        <w:rPr>
          <w:rFonts w:cs="Arial"/>
        </w:rPr>
        <w:t>.</w:t>
      </w:r>
    </w:p>
  </w:footnote>
  <w:footnote w:id="10">
    <w:p w:rsidR="00CF5768" w:rsidRDefault="00CF5768" w:rsidP="00A2393E">
      <w:pPr>
        <w:pStyle w:val="FootnoteText"/>
        <w:spacing w:after="120"/>
        <w:jc w:val="both"/>
      </w:pPr>
      <w:r>
        <w:rPr>
          <w:rStyle w:val="FootnoteReference"/>
        </w:rPr>
        <w:footnoteRef/>
      </w:r>
      <w:r>
        <w:t xml:space="preserve"> </w:t>
      </w:r>
      <w:r w:rsidR="00BA2C84">
        <w:t>RPM-Based Price refers to the price of capacity resulting from the auction processes established by PJM Interconnection LLC (“PJM”) pursuant to the Reliability Assurance Agreement (“RAA”).</w:t>
      </w:r>
    </w:p>
  </w:footnote>
  <w:footnote w:id="11">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Joint Motion</w:t>
      </w:r>
      <w:r w:rsidR="007B6A4C">
        <w:rPr>
          <w:rFonts w:cs="Arial"/>
        </w:rPr>
        <w:t xml:space="preserve">, </w:t>
      </w:r>
      <w:r w:rsidR="007B6A4C" w:rsidRPr="007B6A4C">
        <w:rPr>
          <w:rFonts w:cs="Arial"/>
          <w:i/>
        </w:rPr>
        <w:t>passim</w:t>
      </w:r>
      <w:r w:rsidRPr="00367F9A">
        <w:rPr>
          <w:rFonts w:cs="Arial"/>
        </w:rPr>
        <w:t>.</w:t>
      </w:r>
      <w:r>
        <w:rPr>
          <w:rFonts w:cs="Arial"/>
        </w:rPr>
        <w:t xml:space="preserve">  </w:t>
      </w:r>
      <w:r w:rsidRPr="00F9317B">
        <w:rPr>
          <w:rFonts w:cs="Arial"/>
        </w:rPr>
        <w:t xml:space="preserve">In their initial comments, IEU-Ohio and most of the commenters again urged the Commission to grant the </w:t>
      </w:r>
      <w:r w:rsidR="00E35ABD">
        <w:rPr>
          <w:rFonts w:cs="Arial"/>
        </w:rPr>
        <w:t>Joint Motion</w:t>
      </w:r>
      <w:r w:rsidRPr="00F9317B">
        <w:rPr>
          <w:rFonts w:cs="Arial"/>
        </w:rPr>
        <w:t>.</w:t>
      </w:r>
      <w:r w:rsidRPr="00F9317B">
        <w:rPr>
          <w:rFonts w:cs="Arial"/>
          <w:i/>
        </w:rPr>
        <w:t xml:space="preserve"> </w:t>
      </w:r>
      <w:r>
        <w:rPr>
          <w:rFonts w:cs="Arial"/>
          <w:i/>
        </w:rPr>
        <w:t xml:space="preserve"> </w:t>
      </w:r>
      <w:r w:rsidRPr="002C64A4">
        <w:rPr>
          <w:rFonts w:cs="Arial"/>
          <w:i/>
        </w:rPr>
        <w:t>See, e.g</w:t>
      </w:r>
      <w:r w:rsidRPr="00367F9A">
        <w:rPr>
          <w:rFonts w:cs="Arial"/>
        </w:rPr>
        <w:t xml:space="preserve">., </w:t>
      </w:r>
      <w:r>
        <w:rPr>
          <w:rFonts w:cs="Arial"/>
        </w:rPr>
        <w:t xml:space="preserve">IEU-Ohio </w:t>
      </w:r>
      <w:r w:rsidRPr="00367F9A">
        <w:rPr>
          <w:rFonts w:cs="Arial"/>
        </w:rPr>
        <w:t>Initial Comments at</w:t>
      </w:r>
      <w:r>
        <w:rPr>
          <w:rFonts w:cs="Arial"/>
        </w:rPr>
        <w:t xml:space="preserve"> 6-7</w:t>
      </w:r>
      <w:r w:rsidRPr="00367F9A">
        <w:rPr>
          <w:rFonts w:cs="Arial"/>
        </w:rPr>
        <w:t>; Comments of the Ohio Manufacturers’ Association (Jan. 2, 2013) (“OMA Initial Comments”); Ohio Partners for Affordable Energy’s Comments (Jan. 2, 2013) (“OPAE Initial Comments”).</w:t>
      </w:r>
      <w:r>
        <w:rPr>
          <w:rFonts w:cs="Arial"/>
        </w:rPr>
        <w:t xml:space="preserve">  </w:t>
      </w:r>
    </w:p>
  </w:footnote>
  <w:footnote w:id="12">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Initial Comments on Behalf of the Staff of the Public U</w:t>
      </w:r>
      <w:r>
        <w:rPr>
          <w:rFonts w:cs="Arial"/>
        </w:rPr>
        <w:t>tilities Commission of Ohio at 3</w:t>
      </w:r>
      <w:r w:rsidRPr="00367F9A">
        <w:rPr>
          <w:rFonts w:cs="Arial"/>
        </w:rPr>
        <w:t xml:space="preserve"> (Jan. 2</w:t>
      </w:r>
      <w:r w:rsidR="00D15B2A">
        <w:rPr>
          <w:rFonts w:cs="Arial"/>
        </w:rPr>
        <w:t>,</w:t>
      </w:r>
      <w:r w:rsidRPr="00367F9A">
        <w:rPr>
          <w:rFonts w:cs="Arial"/>
        </w:rPr>
        <w:t xml:space="preserve"> 201</w:t>
      </w:r>
      <w:r>
        <w:rPr>
          <w:rFonts w:cs="Arial"/>
        </w:rPr>
        <w:t>3</w:t>
      </w:r>
      <w:r w:rsidRPr="00367F9A">
        <w:rPr>
          <w:rFonts w:cs="Arial"/>
        </w:rPr>
        <w:t>) (“Staff Initial Comments”).</w:t>
      </w:r>
    </w:p>
  </w:footnote>
  <w:footnote w:id="13">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sidRPr="00367F9A">
        <w:rPr>
          <w:rFonts w:cs="Arial"/>
          <w:i/>
        </w:rPr>
        <w:t>In the Matter of the Application of Duke Energy Ohio, Inc. for Approval of the Establishment of Rider BTR and Associated Tariff Approval</w:t>
      </w:r>
      <w:r w:rsidRPr="00367F9A">
        <w:rPr>
          <w:rFonts w:cs="Arial"/>
        </w:rPr>
        <w:t>, Case No</w:t>
      </w:r>
      <w:r>
        <w:rPr>
          <w:rFonts w:cs="Arial"/>
        </w:rPr>
        <w:t>s</w:t>
      </w:r>
      <w:r w:rsidRPr="00367F9A">
        <w:rPr>
          <w:rFonts w:cs="Arial"/>
        </w:rPr>
        <w:t>. 11-2641-EL-R</w:t>
      </w:r>
      <w:r>
        <w:rPr>
          <w:rFonts w:cs="Arial"/>
        </w:rPr>
        <w:t>D</w:t>
      </w:r>
      <w:r w:rsidRPr="00367F9A">
        <w:rPr>
          <w:rFonts w:cs="Arial"/>
        </w:rPr>
        <w:t xml:space="preserve">R, </w:t>
      </w:r>
      <w:r w:rsidRPr="00367F9A">
        <w:rPr>
          <w:rFonts w:cs="Arial"/>
          <w:i/>
        </w:rPr>
        <w:t>et al</w:t>
      </w:r>
      <w:r w:rsidRPr="00367F9A">
        <w:rPr>
          <w:rFonts w:cs="Arial"/>
        </w:rPr>
        <w:t>., Stipulation (Apr. 26, 2011).</w:t>
      </w:r>
    </w:p>
  </w:footnote>
  <w:footnote w:id="14">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sidRPr="001365A2">
        <w:rPr>
          <w:rFonts w:cs="Arial"/>
        </w:rPr>
        <w:t>Staff Initial Comments</w:t>
      </w:r>
      <w:r>
        <w:rPr>
          <w:rFonts w:cs="Arial"/>
          <w:i/>
        </w:rPr>
        <w:t xml:space="preserve"> </w:t>
      </w:r>
      <w:r w:rsidRPr="00367F9A">
        <w:rPr>
          <w:rFonts w:cs="Arial"/>
        </w:rPr>
        <w:t>at 9.</w:t>
      </w:r>
    </w:p>
  </w:footnote>
  <w:footnote w:id="15">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Pr>
          <w:rFonts w:cs="Arial"/>
        </w:rPr>
        <w:t>FES</w:t>
      </w:r>
      <w:r w:rsidRPr="00367F9A">
        <w:rPr>
          <w:rFonts w:cs="Arial"/>
        </w:rPr>
        <w:t xml:space="preserve"> Initial Comments at 1</w:t>
      </w:r>
      <w:r w:rsidR="00CF5768">
        <w:rPr>
          <w:rFonts w:cs="Arial"/>
        </w:rPr>
        <w:t>, 3-5</w:t>
      </w:r>
      <w:r>
        <w:rPr>
          <w:rFonts w:cs="Arial"/>
        </w:rPr>
        <w:t>; Kroger Initial Comments</w:t>
      </w:r>
      <w:r w:rsidRPr="00367F9A">
        <w:rPr>
          <w:rFonts w:cs="Arial"/>
        </w:rPr>
        <w:t xml:space="preserve"> at 2</w:t>
      </w:r>
      <w:r w:rsidR="00CF5768">
        <w:rPr>
          <w:rFonts w:cs="Arial"/>
        </w:rPr>
        <w:t>-3</w:t>
      </w:r>
      <w:r w:rsidRPr="00367F9A">
        <w:rPr>
          <w:rFonts w:cs="Arial"/>
        </w:rPr>
        <w:t>.</w:t>
      </w:r>
    </w:p>
  </w:footnote>
  <w:footnote w:id="16">
    <w:p w:rsidR="00B571C1" w:rsidRDefault="00B571C1" w:rsidP="00941A83">
      <w:pPr>
        <w:pStyle w:val="FootnoteText"/>
        <w:spacing w:after="120"/>
        <w:jc w:val="both"/>
      </w:pPr>
      <w:r>
        <w:rPr>
          <w:rStyle w:val="FootnoteReference"/>
        </w:rPr>
        <w:footnoteRef/>
      </w:r>
      <w:r>
        <w:t xml:space="preserve"> In several recent cases, the Commission has either ignored or refused to enforce settlements that would prevent an increase in compensation of an EDU.  For e</w:t>
      </w:r>
      <w:r w:rsidR="00D14F66">
        <w:t>xample, the Commission did not</w:t>
      </w:r>
      <w:r>
        <w:t xml:space="preserve"> address the effect of AEP-Ohio’s ETP Stipulation</w:t>
      </w:r>
      <w:r w:rsidR="00FA7AC2">
        <w:t xml:space="preserve"> and the Commission’s approval of the ETP Stipulation in its decision authorizing AEP-Ohio to increase its compensation for generation-related capacity service supplied to CRES providers.  </w:t>
      </w:r>
      <w:r w:rsidR="00FA7AC2" w:rsidRPr="00941A83">
        <w:rPr>
          <w:i/>
        </w:rPr>
        <w:t>See</w:t>
      </w:r>
      <w:r w:rsidR="00165D48">
        <w:rPr>
          <w:i/>
        </w:rPr>
        <w:t xml:space="preserve"> </w:t>
      </w:r>
      <w:r w:rsidR="00FA7AC2" w:rsidRPr="00941A83">
        <w:rPr>
          <w:i/>
        </w:rPr>
        <w:t>In the Matter of the Commission Review of the Capacity Charges of Ohio Power Company and Columbus Southern Power Company</w:t>
      </w:r>
      <w:r w:rsidR="00FA7AC2">
        <w:t>, Case No. 10-2929-EL-UNC, Industrial Energy Users-Ohio’s Application for Rehearing of the July 2, 2012 Opinion and Order a</w:t>
      </w:r>
      <w:r w:rsidR="00502C3B">
        <w:t>nd Memorandum in Support, Memor</w:t>
      </w:r>
      <w:r w:rsidR="00FA7AC2">
        <w:t>andum in Support at 59-60 (Aug. 1, 2012</w:t>
      </w:r>
      <w:r w:rsidR="00502C3B">
        <w:t>).</w:t>
      </w:r>
      <w:r w:rsidR="00FA7AC2">
        <w:t xml:space="preserve">  </w:t>
      </w:r>
      <w:r w:rsidR="00502C3B">
        <w:t xml:space="preserve">The Commission has also permitted parties to </w:t>
      </w:r>
      <w:r w:rsidR="00165D48">
        <w:t xml:space="preserve">rely on terms of </w:t>
      </w:r>
      <w:r w:rsidR="009B1352">
        <w:t>s</w:t>
      </w:r>
      <w:r w:rsidR="00165D48">
        <w:t xml:space="preserve">tipulations as precedent in direct violation of the terms of those same </w:t>
      </w:r>
      <w:r w:rsidR="009B1352">
        <w:t>s</w:t>
      </w:r>
      <w:r w:rsidR="00165D48">
        <w:t>tipulations</w:t>
      </w:r>
      <w:r w:rsidR="00502C3B">
        <w:t xml:space="preserve">.  </w:t>
      </w:r>
      <w:r w:rsidR="00502C3B" w:rsidRPr="00941A83">
        <w:rPr>
          <w:i/>
        </w:rPr>
        <w:t>See, e.g., In the Matter of the Application of Columbus Southern Power Company and Ohio Power Company for Authority to Establish a Standard Service Offer Pursuant to Section 4928.143, Ohio Rev. Code, in the Form of an Electric Security Plan</w:t>
      </w:r>
      <w:r w:rsidR="00502C3B">
        <w:t>, Case No</w:t>
      </w:r>
      <w:r w:rsidR="008857C6">
        <w:t>s</w:t>
      </w:r>
      <w:r w:rsidR="00502C3B">
        <w:t xml:space="preserve">. 11-346-EL-SSO, </w:t>
      </w:r>
      <w:r w:rsidR="00502C3B" w:rsidRPr="00941A83">
        <w:rPr>
          <w:i/>
        </w:rPr>
        <w:t>et al</w:t>
      </w:r>
      <w:r w:rsidR="00502C3B">
        <w:t>., Opinion and Order at 10 (Aug. 2, 2012).  In this proceeding, the Commission has an opportunity to re-establish the integrity of stipulations</w:t>
      </w:r>
      <w:r w:rsidR="00165D48">
        <w:t xml:space="preserve"> it has approved by dismissing this patent violation of Duke’s ETP, BTR, and ESP Stipulations</w:t>
      </w:r>
      <w:r w:rsidR="00502C3B">
        <w:t>.</w:t>
      </w:r>
    </w:p>
  </w:footnote>
  <w:footnote w:id="17">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FES Initial Comments at 9</w:t>
      </w:r>
      <w:r>
        <w:rPr>
          <w:rFonts w:cs="Arial"/>
        </w:rPr>
        <w:t xml:space="preserve">, </w:t>
      </w:r>
      <w:r w:rsidRPr="00E76BFF">
        <w:rPr>
          <w:rFonts w:cs="Arial"/>
          <w:i/>
        </w:rPr>
        <w:t>citing</w:t>
      </w:r>
      <w:r>
        <w:rPr>
          <w:rFonts w:cs="Arial"/>
        </w:rPr>
        <w:t xml:space="preserve"> 121 FERC ¶ 61,173 (2007).</w:t>
      </w:r>
    </w:p>
  </w:footnote>
  <w:footnote w:id="18">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The Commission approved RPM-Based Pricing for generation</w:t>
      </w:r>
      <w:r w:rsidR="00CD4D1E">
        <w:rPr>
          <w:rFonts w:cs="Arial"/>
        </w:rPr>
        <w:t>-related</w:t>
      </w:r>
      <w:r w:rsidRPr="00367F9A">
        <w:rPr>
          <w:rFonts w:cs="Arial"/>
        </w:rPr>
        <w:t xml:space="preserve"> capacity service when it approved Duke’s ESP Stipulation.  The Commission also approved the use of RPM-Based Prices in AEP-Ohio’s </w:t>
      </w:r>
      <w:r>
        <w:rPr>
          <w:rFonts w:cs="Arial"/>
        </w:rPr>
        <w:t>C</w:t>
      </w:r>
      <w:r w:rsidRPr="00367F9A">
        <w:rPr>
          <w:rFonts w:cs="Arial"/>
        </w:rPr>
        <w:t xml:space="preserve">apacity </w:t>
      </w:r>
      <w:r>
        <w:rPr>
          <w:rFonts w:cs="Arial"/>
        </w:rPr>
        <w:t>C</w:t>
      </w:r>
      <w:r w:rsidRPr="00367F9A">
        <w:rPr>
          <w:rFonts w:cs="Arial"/>
        </w:rPr>
        <w:t xml:space="preserve">ase. </w:t>
      </w:r>
      <w:r>
        <w:rPr>
          <w:rFonts w:cs="Arial"/>
        </w:rPr>
        <w:t xml:space="preserve"> </w:t>
      </w:r>
      <w:r>
        <w:rPr>
          <w:i/>
        </w:rPr>
        <w:t>In the Matter of the Commission Review of the Capacity Charges of Ohio Power Company and Columbus Southern Power Company</w:t>
      </w:r>
      <w:r>
        <w:t xml:space="preserve">, Case No. 10-2929-EL-UNC, </w:t>
      </w:r>
      <w:r w:rsidR="00E35ABD">
        <w:rPr>
          <w:rFonts w:cs="Arial"/>
        </w:rPr>
        <w:t>Entry at 2 (Dec. 8, 2010) (“</w:t>
      </w:r>
      <w:r w:rsidR="00E35ABD" w:rsidRPr="00E35ABD">
        <w:rPr>
          <w:rFonts w:cs="Arial"/>
          <w:i/>
        </w:rPr>
        <w:t>AEP-Ohio Capacity Case</w:t>
      </w:r>
      <w:r w:rsidR="00E35ABD">
        <w:rPr>
          <w:rFonts w:cs="Arial"/>
        </w:rPr>
        <w:t>”)</w:t>
      </w:r>
      <w:r w:rsidRPr="00367F9A">
        <w:rPr>
          <w:rFonts w:cs="Arial"/>
        </w:rPr>
        <w:t xml:space="preserve">.  </w:t>
      </w:r>
      <w:r w:rsidR="00E35ABD">
        <w:rPr>
          <w:rFonts w:cs="Arial"/>
        </w:rPr>
        <w:t xml:space="preserve">In its Opinion and Order, the Commission concluded that AEP-Ohio could charge CRES providers only the RPM-Based Price for the capacity service AEP-Ohio supplied to those providers.  </w:t>
      </w:r>
      <w:r w:rsidR="00E35ABD" w:rsidRPr="00E35ABD">
        <w:rPr>
          <w:rFonts w:cs="Arial"/>
          <w:i/>
        </w:rPr>
        <w:t>Id</w:t>
      </w:r>
      <w:r w:rsidR="00E35ABD">
        <w:rPr>
          <w:rFonts w:cs="Arial"/>
        </w:rPr>
        <w:t>., Opinion and Order at 23 (July 2, 2012).</w:t>
      </w:r>
    </w:p>
  </w:footnote>
  <w:footnote w:id="19">
    <w:p w:rsidR="00B211CE" w:rsidRPr="00367F9A" w:rsidRDefault="00B211CE" w:rsidP="00B211CE">
      <w:pPr>
        <w:pStyle w:val="FootnoteText"/>
        <w:spacing w:after="120"/>
        <w:jc w:val="both"/>
        <w:rPr>
          <w:rFonts w:cs="Arial"/>
        </w:rPr>
      </w:pPr>
      <w:r w:rsidRPr="00367F9A">
        <w:rPr>
          <w:rStyle w:val="FootnoteReference"/>
          <w:rFonts w:cs="Arial"/>
        </w:rPr>
        <w:footnoteRef/>
      </w:r>
      <w:r w:rsidRPr="00367F9A">
        <w:rPr>
          <w:rFonts w:cs="Arial"/>
        </w:rPr>
        <w:t xml:space="preserve"> </w:t>
      </w:r>
      <w:r w:rsidRPr="009C71DF">
        <w:rPr>
          <w:rFonts w:cs="Arial"/>
          <w:i/>
        </w:rPr>
        <w:t>FPC v. Sierra Pacific Power Co</w:t>
      </w:r>
      <w:r w:rsidRPr="009C71DF">
        <w:rPr>
          <w:rFonts w:cs="Arial"/>
        </w:rPr>
        <w:t xml:space="preserve">., 350 U.S. 348 (1956); </w:t>
      </w:r>
      <w:r w:rsidRPr="009C71DF">
        <w:rPr>
          <w:rFonts w:cs="Arial"/>
          <w:i/>
        </w:rPr>
        <w:t>United Gas Co. v. Mobile Gas Corp</w:t>
      </w:r>
      <w:r w:rsidRPr="009C71DF">
        <w:rPr>
          <w:rFonts w:cs="Arial"/>
        </w:rPr>
        <w:t>., 350 U.S. 332 (1956).</w:t>
      </w:r>
      <w:r>
        <w:rPr>
          <w:rFonts w:cs="Arial"/>
        </w:rPr>
        <w:t xml:space="preserve"> </w:t>
      </w:r>
      <w:r w:rsidRPr="00B211CE">
        <w:rPr>
          <w:i/>
        </w:rPr>
        <w:t xml:space="preserve"> </w:t>
      </w:r>
      <w:r w:rsidRPr="00AD28B9">
        <w:rPr>
          <w:i/>
        </w:rPr>
        <w:t xml:space="preserve">In the Matter of the Application of Ohio Power Company to </w:t>
      </w:r>
      <w:r>
        <w:rPr>
          <w:i/>
        </w:rPr>
        <w:t>c</w:t>
      </w:r>
      <w:r w:rsidRPr="00AD28B9">
        <w:rPr>
          <w:i/>
        </w:rPr>
        <w:t xml:space="preserve">ancel </w:t>
      </w:r>
      <w:r>
        <w:rPr>
          <w:i/>
        </w:rPr>
        <w:t>c</w:t>
      </w:r>
      <w:r w:rsidRPr="00AD28B9">
        <w:rPr>
          <w:i/>
        </w:rPr>
        <w:t xml:space="preserve">ertain </w:t>
      </w:r>
      <w:r>
        <w:rPr>
          <w:i/>
        </w:rPr>
        <w:t>s</w:t>
      </w:r>
      <w:r w:rsidRPr="00AD28B9">
        <w:rPr>
          <w:i/>
        </w:rPr>
        <w:t xml:space="preserve">pecial </w:t>
      </w:r>
      <w:r>
        <w:rPr>
          <w:i/>
        </w:rPr>
        <w:t>p</w:t>
      </w:r>
      <w:r w:rsidRPr="00AD28B9">
        <w:rPr>
          <w:i/>
        </w:rPr>
        <w:t xml:space="preserve">ower </w:t>
      </w:r>
      <w:r>
        <w:rPr>
          <w:i/>
        </w:rPr>
        <w:t xml:space="preserve">agreements </w:t>
      </w:r>
      <w:r w:rsidRPr="00AD28B9">
        <w:rPr>
          <w:i/>
        </w:rPr>
        <w:t xml:space="preserve">and </w:t>
      </w:r>
      <w:r>
        <w:rPr>
          <w:i/>
        </w:rPr>
        <w:t>for o</w:t>
      </w:r>
      <w:r w:rsidRPr="00AD28B9">
        <w:rPr>
          <w:i/>
        </w:rPr>
        <w:t xml:space="preserve">ther </w:t>
      </w:r>
      <w:r>
        <w:rPr>
          <w:i/>
        </w:rPr>
        <w:t>r</w:t>
      </w:r>
      <w:r w:rsidRPr="00AD28B9">
        <w:rPr>
          <w:i/>
        </w:rPr>
        <w:t>elief</w:t>
      </w:r>
      <w:r>
        <w:t>, Case No. 75-161-EL-SLF, Opinion and Order at 6 (Aug. 4, 1976).</w:t>
      </w:r>
    </w:p>
  </w:footnote>
  <w:footnote w:id="20">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sidR="00F62D69">
        <w:rPr>
          <w:rFonts w:cs="Arial"/>
        </w:rPr>
        <w:t xml:space="preserve">Application at </w:t>
      </w:r>
      <w:r w:rsidR="00446CDC">
        <w:rPr>
          <w:rFonts w:cs="Arial"/>
        </w:rPr>
        <w:t>2</w:t>
      </w:r>
      <w:r w:rsidR="00F62D69">
        <w:rPr>
          <w:rFonts w:cs="Arial"/>
        </w:rPr>
        <w:t xml:space="preserve">.  </w:t>
      </w:r>
      <w:r w:rsidR="00BA2C84">
        <w:rPr>
          <w:rFonts w:cs="Arial"/>
        </w:rPr>
        <w:t xml:space="preserve">Duke relies extensively </w:t>
      </w:r>
      <w:r w:rsidR="008857C6">
        <w:rPr>
          <w:rFonts w:cs="Arial"/>
        </w:rPr>
        <w:t xml:space="preserve">on </w:t>
      </w:r>
      <w:r w:rsidR="00BA2C84">
        <w:rPr>
          <w:rFonts w:cs="Arial"/>
        </w:rPr>
        <w:t>the Commission’s decisions affording AEP-Ohio increased compensation for the provision of generation</w:t>
      </w:r>
      <w:r w:rsidR="00CD4D1E">
        <w:rPr>
          <w:rFonts w:cs="Arial"/>
        </w:rPr>
        <w:t>-</w:t>
      </w:r>
      <w:r w:rsidR="00BA2C84">
        <w:rPr>
          <w:rFonts w:cs="Arial"/>
        </w:rPr>
        <w:t xml:space="preserve">related capacity service to CRES providers.  </w:t>
      </w:r>
      <w:r w:rsidR="00BA2C84" w:rsidRPr="00F62D69">
        <w:rPr>
          <w:rFonts w:cs="Arial"/>
          <w:i/>
        </w:rPr>
        <w:t>See, e.g</w:t>
      </w:r>
      <w:r w:rsidR="00BA2C84">
        <w:rPr>
          <w:rFonts w:cs="Arial"/>
        </w:rPr>
        <w:t xml:space="preserve">. </w:t>
      </w:r>
      <w:r w:rsidR="00F62D69" w:rsidRPr="00F62D69">
        <w:rPr>
          <w:rFonts w:cs="Arial"/>
          <w:i/>
        </w:rPr>
        <w:t>id</w:t>
      </w:r>
      <w:r w:rsidR="00F62D69">
        <w:rPr>
          <w:rFonts w:cs="Arial"/>
        </w:rPr>
        <w:t>.</w:t>
      </w:r>
      <w:r w:rsidR="00BA2C84">
        <w:rPr>
          <w:rFonts w:cs="Arial"/>
        </w:rPr>
        <w:t xml:space="preserve"> at 2</w:t>
      </w:r>
      <w:r w:rsidR="00446CDC">
        <w:rPr>
          <w:rFonts w:cs="Arial"/>
        </w:rPr>
        <w:t xml:space="preserve"> n.1. </w:t>
      </w:r>
      <w:r w:rsidR="00F62D69">
        <w:rPr>
          <w:rFonts w:cs="Arial"/>
        </w:rPr>
        <w:t xml:space="preserve"> </w:t>
      </w:r>
      <w:r w:rsidRPr="00C41C6E">
        <w:rPr>
          <w:rFonts w:cs="Arial"/>
        </w:rPr>
        <w:t>AEP-Ohio</w:t>
      </w:r>
      <w:r w:rsidR="00F62D69" w:rsidRPr="00C41C6E">
        <w:rPr>
          <w:rFonts w:cs="Arial"/>
        </w:rPr>
        <w:t>, however,</w:t>
      </w:r>
      <w:r w:rsidRPr="00C41C6E">
        <w:rPr>
          <w:rFonts w:cs="Arial"/>
        </w:rPr>
        <w:t xml:space="preserve"> disagrees </w:t>
      </w:r>
      <w:r w:rsidR="00F62D69" w:rsidRPr="00C41C6E">
        <w:rPr>
          <w:rFonts w:cs="Arial"/>
        </w:rPr>
        <w:t>that the relief it received from the Commission is also available to</w:t>
      </w:r>
      <w:r w:rsidRPr="00C41C6E">
        <w:rPr>
          <w:rFonts w:cs="Arial"/>
        </w:rPr>
        <w:t xml:space="preserve"> Duke</w:t>
      </w:r>
      <w:r w:rsidRPr="00367F9A">
        <w:rPr>
          <w:rFonts w:cs="Arial"/>
          <w:color w:val="262626"/>
        </w:rPr>
        <w:t xml:space="preserve">.  </w:t>
      </w:r>
      <w:r w:rsidRPr="00367F9A">
        <w:rPr>
          <w:rFonts w:cs="Arial"/>
        </w:rPr>
        <w:t>Initial Comments of Ohio Power Company (Jan. 2, 2013).</w:t>
      </w:r>
    </w:p>
  </w:footnote>
  <w:footnote w:id="21">
    <w:p w:rsidR="00446CDC" w:rsidRDefault="00446CDC" w:rsidP="00280AC1">
      <w:pPr>
        <w:pStyle w:val="FootnoteText"/>
        <w:spacing w:after="120"/>
      </w:pPr>
      <w:r>
        <w:rPr>
          <w:rStyle w:val="FootnoteReference"/>
        </w:rPr>
        <w:footnoteRef/>
      </w:r>
      <w:r>
        <w:t xml:space="preserve"> Application at 8-9.</w:t>
      </w:r>
    </w:p>
  </w:footnote>
  <w:footnote w:id="22">
    <w:p w:rsidR="00E83301" w:rsidRDefault="00E83301" w:rsidP="00967065">
      <w:pPr>
        <w:pStyle w:val="FootnoteText"/>
        <w:spacing w:after="120"/>
        <w:jc w:val="both"/>
      </w:pPr>
      <w:r>
        <w:rPr>
          <w:rStyle w:val="FootnoteReference"/>
        </w:rPr>
        <w:footnoteRef/>
      </w:r>
      <w:r>
        <w:t xml:space="preserve"> </w:t>
      </w:r>
      <w:r w:rsidR="00321ECE">
        <w:t xml:space="preserve">Besides failing to demonstrate that its contractual arrangements should be revised, Duke has not sought to invoke the Commission’s authority to increase rates based on Section 4909.16, Revised Code, and an emergency claim based on the allegations contained in the Application would fail.  </w:t>
      </w:r>
      <w:r>
        <w:rPr>
          <w:rFonts w:cs="Arial"/>
        </w:rPr>
        <w:t>IEU-Ohio Initial Comments at 38-40.</w:t>
      </w:r>
    </w:p>
  </w:footnote>
  <w:footnote w:id="23">
    <w:p w:rsidR="00030DCE" w:rsidRDefault="00030DCE" w:rsidP="00941A83">
      <w:pPr>
        <w:pStyle w:val="FootnoteText"/>
        <w:spacing w:after="120"/>
      </w:pPr>
      <w:r>
        <w:rPr>
          <w:rStyle w:val="FootnoteReference"/>
        </w:rPr>
        <w:footnoteRef/>
      </w:r>
      <w:r>
        <w:t xml:space="preserve"> </w:t>
      </w:r>
      <w:r w:rsidR="00A732F0">
        <w:rPr>
          <w:rFonts w:cs="Arial"/>
        </w:rPr>
        <w:t>OCC/OEG Initial Comments</w:t>
      </w:r>
      <w:r w:rsidR="00A732F0" w:rsidRPr="00367F9A">
        <w:rPr>
          <w:rFonts w:cs="Arial"/>
        </w:rPr>
        <w:t xml:space="preserve"> at</w:t>
      </w:r>
      <w:r w:rsidR="00A732F0">
        <w:rPr>
          <w:rFonts w:cs="Arial"/>
        </w:rPr>
        <w:t xml:space="preserve"> 16.</w:t>
      </w:r>
    </w:p>
  </w:footnote>
  <w:footnote w:id="24">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sidR="00B571C1" w:rsidRPr="00941A83">
        <w:rPr>
          <w:rFonts w:cs="Arial"/>
          <w:i/>
        </w:rPr>
        <w:t>Id</w:t>
      </w:r>
      <w:r w:rsidR="00B571C1">
        <w:rPr>
          <w:rFonts w:cs="Arial"/>
        </w:rPr>
        <w:t>.</w:t>
      </w:r>
      <w:r w:rsidRPr="00367F9A">
        <w:rPr>
          <w:rFonts w:cs="Arial"/>
        </w:rPr>
        <w:t xml:space="preserve"> at 9</w:t>
      </w:r>
      <w:r>
        <w:rPr>
          <w:rFonts w:cs="Arial"/>
        </w:rPr>
        <w:t>.</w:t>
      </w:r>
    </w:p>
  </w:footnote>
  <w:footnote w:id="25">
    <w:p w:rsidR="00E83301" w:rsidRPr="00367F9A" w:rsidRDefault="00E83301" w:rsidP="00967065">
      <w:pPr>
        <w:pStyle w:val="FootnoteText"/>
        <w:spacing w:after="120"/>
        <w:jc w:val="both"/>
        <w:rPr>
          <w:rFonts w:cs="Arial"/>
        </w:rPr>
      </w:pPr>
      <w:r w:rsidRPr="00367F9A">
        <w:rPr>
          <w:rStyle w:val="FootnoteReference"/>
          <w:rFonts w:cs="Arial"/>
        </w:rPr>
        <w:footnoteRef/>
      </w:r>
      <w:r w:rsidRPr="00367F9A">
        <w:rPr>
          <w:rFonts w:cs="Arial"/>
        </w:rPr>
        <w:t xml:space="preserve"> </w:t>
      </w:r>
      <w:r w:rsidRPr="002C64A4">
        <w:rPr>
          <w:rFonts w:cs="Arial"/>
          <w:i/>
        </w:rPr>
        <w:t>Id</w:t>
      </w:r>
      <w:r w:rsidRPr="00367F9A">
        <w:rPr>
          <w:rFonts w:cs="Arial"/>
        </w:rPr>
        <w:t>. (citing relevant FERC decision and ESP Stipulation).</w:t>
      </w:r>
    </w:p>
  </w:footnote>
  <w:footnote w:id="26">
    <w:p w:rsidR="00E83301" w:rsidRPr="00E35ABD" w:rsidRDefault="00E83301" w:rsidP="00C41C6E">
      <w:pPr>
        <w:pStyle w:val="NormalWeb"/>
        <w:shd w:val="clear" w:color="auto" w:fill="FFFFFF"/>
        <w:spacing w:before="0" w:beforeAutospacing="0" w:after="120" w:afterAutospacing="0"/>
        <w:jc w:val="both"/>
        <w:rPr>
          <w:rFonts w:ascii="Arial" w:hAnsi="Arial" w:cs="Arial"/>
          <w:color w:val="222222"/>
          <w:sz w:val="20"/>
          <w:szCs w:val="20"/>
        </w:rPr>
      </w:pPr>
      <w:r w:rsidRPr="00367F9A">
        <w:rPr>
          <w:rStyle w:val="FootnoteReference"/>
          <w:rFonts w:ascii="Arial" w:hAnsi="Arial" w:cs="Arial"/>
          <w:sz w:val="20"/>
          <w:szCs w:val="20"/>
        </w:rPr>
        <w:footnoteRef/>
      </w:r>
      <w:r w:rsidRPr="00367F9A">
        <w:rPr>
          <w:rFonts w:ascii="Arial" w:hAnsi="Arial" w:cs="Arial"/>
          <w:sz w:val="20"/>
          <w:szCs w:val="20"/>
        </w:rPr>
        <w:t xml:space="preserve"> </w:t>
      </w:r>
      <w:r w:rsidRPr="00C2497D">
        <w:rPr>
          <w:rFonts w:ascii="Arial" w:hAnsi="Arial" w:cs="Arial"/>
          <w:i/>
          <w:sz w:val="20"/>
          <w:szCs w:val="20"/>
        </w:rPr>
        <w:t>In the Matter of the Application of The Cleveland Electric Illuminating Company for Authority to Amend and to Increase Certain of its Filed Schedules Fixing Rates and Charges for Electric Service</w:t>
      </w:r>
      <w:r>
        <w:rPr>
          <w:rFonts w:ascii="Arial" w:hAnsi="Arial" w:cs="Arial"/>
          <w:sz w:val="20"/>
          <w:szCs w:val="20"/>
        </w:rPr>
        <w:t xml:space="preserve">, Case No. 88-170-EL-AIR, Opinion and Order at 15-16 (Aug. 23, 1988).  </w:t>
      </w:r>
      <w:r w:rsidR="00446CDC" w:rsidRPr="00446CDC">
        <w:rPr>
          <w:rFonts w:ascii="Arial" w:hAnsi="Arial" w:cs="Arial"/>
          <w:i/>
          <w:sz w:val="20"/>
          <w:szCs w:val="20"/>
        </w:rPr>
        <w:t>See</w:t>
      </w:r>
      <w:r w:rsidR="00B571C1">
        <w:rPr>
          <w:rFonts w:ascii="Arial" w:hAnsi="Arial" w:cs="Arial"/>
          <w:i/>
          <w:sz w:val="20"/>
          <w:szCs w:val="20"/>
        </w:rPr>
        <w:t>, also,</w:t>
      </w:r>
      <w:r w:rsidR="00446CDC">
        <w:rPr>
          <w:rFonts w:ascii="Arial" w:hAnsi="Arial" w:cs="Arial"/>
          <w:sz w:val="20"/>
          <w:szCs w:val="20"/>
        </w:rPr>
        <w:t xml:space="preserve"> </w:t>
      </w:r>
      <w:r w:rsidRPr="00134C33">
        <w:rPr>
          <w:rFonts w:ascii="Arial" w:hAnsi="Arial" w:cs="Arial"/>
          <w:i/>
          <w:sz w:val="20"/>
          <w:szCs w:val="20"/>
        </w:rPr>
        <w:t>FPC v. Sierra Pacific Power Co</w:t>
      </w:r>
      <w:r w:rsidRPr="00367F9A">
        <w:rPr>
          <w:rFonts w:ascii="Arial" w:hAnsi="Arial" w:cs="Arial"/>
          <w:sz w:val="20"/>
          <w:szCs w:val="20"/>
        </w:rPr>
        <w:t>., 350 U.S. at 355</w:t>
      </w:r>
      <w:r w:rsidR="00E35ABD">
        <w:rPr>
          <w:rFonts w:ascii="Arial" w:hAnsi="Arial" w:cs="Arial"/>
          <w:sz w:val="20"/>
          <w:szCs w:val="20"/>
        </w:rPr>
        <w:t xml:space="preserve"> </w:t>
      </w:r>
      <w:r w:rsidR="00E35ABD" w:rsidRPr="00E35ABD">
        <w:rPr>
          <w:rFonts w:ascii="Arial" w:hAnsi="Arial" w:cs="Arial"/>
          <w:sz w:val="20"/>
          <w:szCs w:val="20"/>
        </w:rPr>
        <w:t>(“</w:t>
      </w:r>
      <w:r w:rsidR="00E35ABD" w:rsidRPr="00E35ABD">
        <w:rPr>
          <w:rFonts w:ascii="Arial" w:hAnsi="Arial" w:cs="Arial"/>
          <w:color w:val="222222"/>
          <w:sz w:val="20"/>
          <w:szCs w:val="20"/>
        </w:rPr>
        <w:t>it is clear that a contract may not be said to be either "unjust" or "unreasonable" simply because it is unprofitable to the public utility”)</w:t>
      </w:r>
      <w:r w:rsidRPr="00E35ABD">
        <w:rPr>
          <w:rFonts w:ascii="Arial" w:hAnsi="Arial" w:cs="Arial"/>
          <w:color w:val="222222"/>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C6" w:rsidRDefault="008857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C6" w:rsidRDefault="00885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C6" w:rsidRDefault="00885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p w:rsidR="00E83301" w:rsidRDefault="00E83301"/>
  <w:p w:rsidR="00E83301" w:rsidRDefault="00E83301"/>
  <w:p w:rsidR="00E83301" w:rsidRDefault="00E8330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01" w:rsidRDefault="00E83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62223"/>
    <w:multiLevelType w:val="multilevel"/>
    <w:tmpl w:val="1EBEB71C"/>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nd. Energy Users Group"/>
    <w:docVar w:name="LastSchemeUniqueID" w:val="1"/>
    <w:docVar w:name="Option0True" w:val="False"/>
    <w:docVar w:name="Option1True" w:val="False"/>
    <w:docVar w:name="Option2True" w:val="False"/>
  </w:docVars>
  <w:rsids>
    <w:rsidRoot w:val="00022F87"/>
    <w:rsid w:val="00022F87"/>
    <w:rsid w:val="00030DCE"/>
    <w:rsid w:val="000D185B"/>
    <w:rsid w:val="000D555C"/>
    <w:rsid w:val="00125559"/>
    <w:rsid w:val="00134C33"/>
    <w:rsid w:val="001365A2"/>
    <w:rsid w:val="00150597"/>
    <w:rsid w:val="00165D48"/>
    <w:rsid w:val="001A6347"/>
    <w:rsid w:val="001B167C"/>
    <w:rsid w:val="001C4736"/>
    <w:rsid w:val="001D1B80"/>
    <w:rsid w:val="001E555C"/>
    <w:rsid w:val="001F4579"/>
    <w:rsid w:val="00217043"/>
    <w:rsid w:val="002209DD"/>
    <w:rsid w:val="002737EA"/>
    <w:rsid w:val="002743D3"/>
    <w:rsid w:val="00280AC1"/>
    <w:rsid w:val="002C64A4"/>
    <w:rsid w:val="00302C4E"/>
    <w:rsid w:val="00321ECE"/>
    <w:rsid w:val="00324110"/>
    <w:rsid w:val="0033382E"/>
    <w:rsid w:val="0034115B"/>
    <w:rsid w:val="00361F84"/>
    <w:rsid w:val="00367F9A"/>
    <w:rsid w:val="00373A62"/>
    <w:rsid w:val="003C2CD7"/>
    <w:rsid w:val="003F308D"/>
    <w:rsid w:val="00402CC4"/>
    <w:rsid w:val="00446CDC"/>
    <w:rsid w:val="004D7EBA"/>
    <w:rsid w:val="00502C3B"/>
    <w:rsid w:val="00515693"/>
    <w:rsid w:val="00547DDB"/>
    <w:rsid w:val="005533AE"/>
    <w:rsid w:val="00576156"/>
    <w:rsid w:val="005813DD"/>
    <w:rsid w:val="0058242B"/>
    <w:rsid w:val="005A7D32"/>
    <w:rsid w:val="005B2009"/>
    <w:rsid w:val="00660ABC"/>
    <w:rsid w:val="006647F3"/>
    <w:rsid w:val="00693B17"/>
    <w:rsid w:val="006E20B0"/>
    <w:rsid w:val="00741A18"/>
    <w:rsid w:val="00783E62"/>
    <w:rsid w:val="007B6A4C"/>
    <w:rsid w:val="007C6212"/>
    <w:rsid w:val="007D38F2"/>
    <w:rsid w:val="007F3105"/>
    <w:rsid w:val="00816576"/>
    <w:rsid w:val="008257FF"/>
    <w:rsid w:val="008857C6"/>
    <w:rsid w:val="008A38EA"/>
    <w:rsid w:val="008E3BF4"/>
    <w:rsid w:val="008E4F3D"/>
    <w:rsid w:val="009032BB"/>
    <w:rsid w:val="009331C7"/>
    <w:rsid w:val="009415CF"/>
    <w:rsid w:val="00941A83"/>
    <w:rsid w:val="00967065"/>
    <w:rsid w:val="009739DB"/>
    <w:rsid w:val="00976497"/>
    <w:rsid w:val="00977348"/>
    <w:rsid w:val="009B1352"/>
    <w:rsid w:val="009B1C5B"/>
    <w:rsid w:val="009D52A6"/>
    <w:rsid w:val="009D7464"/>
    <w:rsid w:val="00A2393E"/>
    <w:rsid w:val="00A40BA5"/>
    <w:rsid w:val="00A47024"/>
    <w:rsid w:val="00A732F0"/>
    <w:rsid w:val="00AD0452"/>
    <w:rsid w:val="00AD362D"/>
    <w:rsid w:val="00B1467B"/>
    <w:rsid w:val="00B211CE"/>
    <w:rsid w:val="00B302CD"/>
    <w:rsid w:val="00B571C1"/>
    <w:rsid w:val="00B91B74"/>
    <w:rsid w:val="00BA2C84"/>
    <w:rsid w:val="00BB16C0"/>
    <w:rsid w:val="00C0405A"/>
    <w:rsid w:val="00C1252B"/>
    <w:rsid w:val="00C2497D"/>
    <w:rsid w:val="00C41C6E"/>
    <w:rsid w:val="00C47A7E"/>
    <w:rsid w:val="00C75C48"/>
    <w:rsid w:val="00CC2178"/>
    <w:rsid w:val="00CD4D1E"/>
    <w:rsid w:val="00CF1C38"/>
    <w:rsid w:val="00CF5768"/>
    <w:rsid w:val="00CF6336"/>
    <w:rsid w:val="00D14F66"/>
    <w:rsid w:val="00D15B2A"/>
    <w:rsid w:val="00D9083E"/>
    <w:rsid w:val="00DA29AA"/>
    <w:rsid w:val="00DB0397"/>
    <w:rsid w:val="00DB22E9"/>
    <w:rsid w:val="00DD0250"/>
    <w:rsid w:val="00DD12BE"/>
    <w:rsid w:val="00DD52E8"/>
    <w:rsid w:val="00DF7428"/>
    <w:rsid w:val="00E0663B"/>
    <w:rsid w:val="00E13DF4"/>
    <w:rsid w:val="00E35ABD"/>
    <w:rsid w:val="00E645DE"/>
    <w:rsid w:val="00E76BFF"/>
    <w:rsid w:val="00E83301"/>
    <w:rsid w:val="00E95F32"/>
    <w:rsid w:val="00F46142"/>
    <w:rsid w:val="00F62D69"/>
    <w:rsid w:val="00F65799"/>
    <w:rsid w:val="00F9317B"/>
    <w:rsid w:val="00FA7AC2"/>
    <w:rsid w:val="00FB6184"/>
    <w:rsid w:val="00FD15FC"/>
    <w:rsid w:val="00FD53CD"/>
    <w:rsid w:val="00FE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42B"/>
    <w:pPr>
      <w:numPr>
        <w:numId w:val="1"/>
      </w:numPr>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58242B"/>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58242B"/>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58242B"/>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58242B"/>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58242B"/>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58242B"/>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58242B"/>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58242B"/>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5C"/>
    <w:pPr>
      <w:tabs>
        <w:tab w:val="center" w:pos="4680"/>
        <w:tab w:val="right" w:pos="9360"/>
      </w:tabs>
    </w:pPr>
  </w:style>
  <w:style w:type="character" w:customStyle="1" w:styleId="HeaderChar">
    <w:name w:val="Header Char"/>
    <w:basedOn w:val="DefaultParagraphFont"/>
    <w:link w:val="Header"/>
    <w:uiPriority w:val="99"/>
    <w:rsid w:val="000D555C"/>
  </w:style>
  <w:style w:type="paragraph" w:styleId="Footer">
    <w:name w:val="footer"/>
    <w:basedOn w:val="Normal"/>
    <w:link w:val="FooterChar"/>
    <w:uiPriority w:val="99"/>
    <w:unhideWhenUsed/>
    <w:rsid w:val="000D555C"/>
    <w:pPr>
      <w:tabs>
        <w:tab w:val="center" w:pos="4680"/>
        <w:tab w:val="right" w:pos="9360"/>
      </w:tabs>
    </w:pPr>
  </w:style>
  <w:style w:type="character" w:customStyle="1" w:styleId="FooterChar">
    <w:name w:val="Footer Char"/>
    <w:basedOn w:val="DefaultParagraphFont"/>
    <w:link w:val="Footer"/>
    <w:uiPriority w:val="99"/>
    <w:rsid w:val="000D555C"/>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2209D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209DD"/>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2209DD"/>
    <w:rPr>
      <w:vertAlign w:val="superscript"/>
    </w:rPr>
  </w:style>
  <w:style w:type="paragraph" w:styleId="NormalWeb">
    <w:name w:val="Normal (Web)"/>
    <w:basedOn w:val="Normal"/>
    <w:uiPriority w:val="99"/>
    <w:unhideWhenUsed/>
    <w:rsid w:val="00B91B7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242B"/>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58242B"/>
    <w:rPr>
      <w:rFonts w:eastAsiaTheme="majorEastAsia" w:cs="Arial"/>
      <w:b/>
      <w:bCs/>
      <w:szCs w:val="26"/>
    </w:rPr>
  </w:style>
  <w:style w:type="character" w:customStyle="1" w:styleId="Heading3Char">
    <w:name w:val="Heading 3 Char"/>
    <w:basedOn w:val="DefaultParagraphFont"/>
    <w:link w:val="Heading3"/>
    <w:uiPriority w:val="9"/>
    <w:semiHidden/>
    <w:rsid w:val="0058242B"/>
    <w:rPr>
      <w:rFonts w:eastAsiaTheme="majorEastAsia" w:cs="Arial"/>
      <w:b/>
      <w:bCs/>
    </w:rPr>
  </w:style>
  <w:style w:type="character" w:customStyle="1" w:styleId="Heading4Char">
    <w:name w:val="Heading 4 Char"/>
    <w:basedOn w:val="DefaultParagraphFont"/>
    <w:link w:val="Heading4"/>
    <w:uiPriority w:val="9"/>
    <w:semiHidden/>
    <w:rsid w:val="0058242B"/>
    <w:rPr>
      <w:rFonts w:eastAsiaTheme="majorEastAsia" w:cs="Arial"/>
      <w:b/>
      <w:bCs/>
      <w:i/>
      <w:iCs/>
    </w:rPr>
  </w:style>
  <w:style w:type="character" w:customStyle="1" w:styleId="Heading5Char">
    <w:name w:val="Heading 5 Char"/>
    <w:basedOn w:val="DefaultParagraphFont"/>
    <w:link w:val="Heading5"/>
    <w:uiPriority w:val="9"/>
    <w:semiHidden/>
    <w:rsid w:val="0058242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58242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58242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58242B"/>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58242B"/>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5813DD"/>
    <w:rPr>
      <w:rFonts w:ascii="Tahoma" w:hAnsi="Tahoma" w:cs="Tahoma"/>
      <w:sz w:val="16"/>
      <w:szCs w:val="16"/>
    </w:rPr>
  </w:style>
  <w:style w:type="character" w:customStyle="1" w:styleId="BalloonTextChar">
    <w:name w:val="Balloon Text Char"/>
    <w:basedOn w:val="DefaultParagraphFont"/>
    <w:link w:val="BalloonText"/>
    <w:uiPriority w:val="99"/>
    <w:semiHidden/>
    <w:rsid w:val="005813DD"/>
    <w:rPr>
      <w:rFonts w:ascii="Tahoma" w:hAnsi="Tahoma" w:cs="Tahoma"/>
      <w:sz w:val="16"/>
      <w:szCs w:val="16"/>
    </w:rPr>
  </w:style>
  <w:style w:type="paragraph" w:styleId="BodyText">
    <w:name w:val="Body Text"/>
    <w:basedOn w:val="Normal"/>
    <w:link w:val="BodyTextChar"/>
    <w:rsid w:val="005813DD"/>
    <w:pPr>
      <w:jc w:val="both"/>
    </w:pPr>
    <w:rPr>
      <w:rFonts w:eastAsia="Times New Roman" w:cs="Arial"/>
    </w:rPr>
  </w:style>
  <w:style w:type="character" w:customStyle="1" w:styleId="BodyTextChar">
    <w:name w:val="Body Text Char"/>
    <w:basedOn w:val="DefaultParagraphFont"/>
    <w:link w:val="BodyText"/>
    <w:rsid w:val="005813DD"/>
    <w:rPr>
      <w:rFonts w:eastAsia="Times New Roman" w:cs="Arial"/>
    </w:rPr>
  </w:style>
  <w:style w:type="paragraph" w:styleId="BodyTextIndent">
    <w:name w:val="Body Text Indent"/>
    <w:basedOn w:val="Normal"/>
    <w:link w:val="BodyTextIndentChar"/>
    <w:rsid w:val="005813DD"/>
    <w:pPr>
      <w:ind w:firstLine="720"/>
      <w:jc w:val="both"/>
    </w:pPr>
    <w:rPr>
      <w:rFonts w:eastAsia="Times New Roman" w:cs="Arial"/>
    </w:rPr>
  </w:style>
  <w:style w:type="character" w:customStyle="1" w:styleId="BodyTextIndentChar">
    <w:name w:val="Body Text Indent Char"/>
    <w:basedOn w:val="DefaultParagraphFont"/>
    <w:link w:val="BodyTextIndent"/>
    <w:rsid w:val="005813DD"/>
    <w:rPr>
      <w:rFonts w:eastAsia="Times New Roman" w:cs="Arial"/>
    </w:rPr>
  </w:style>
  <w:style w:type="character" w:styleId="PageNumber">
    <w:name w:val="page number"/>
    <w:basedOn w:val="DefaultParagraphFont"/>
    <w:rsid w:val="005813DD"/>
  </w:style>
  <w:style w:type="paragraph" w:styleId="BodyText3">
    <w:name w:val="Body Text 3"/>
    <w:basedOn w:val="Normal"/>
    <w:link w:val="BodyText3Char"/>
    <w:rsid w:val="005813DD"/>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5813DD"/>
    <w:rPr>
      <w:rFonts w:ascii="Times New Roman" w:eastAsia="Times New Roman" w:hAnsi="Times New Roman" w:cs="Times New Roman"/>
      <w:b/>
      <w:szCs w:val="20"/>
    </w:rPr>
  </w:style>
  <w:style w:type="paragraph" w:styleId="Title">
    <w:name w:val="Title"/>
    <w:basedOn w:val="Normal"/>
    <w:link w:val="TitleChar"/>
    <w:qFormat/>
    <w:rsid w:val="005813DD"/>
    <w:pPr>
      <w:jc w:val="center"/>
    </w:pPr>
    <w:rPr>
      <w:rFonts w:eastAsia="Times New Roman" w:cs="Arial"/>
      <w:b/>
      <w:smallCaps/>
      <w:sz w:val="32"/>
    </w:rPr>
  </w:style>
  <w:style w:type="character" w:customStyle="1" w:styleId="TitleChar">
    <w:name w:val="Title Char"/>
    <w:basedOn w:val="DefaultParagraphFont"/>
    <w:link w:val="Title"/>
    <w:rsid w:val="005813DD"/>
    <w:rPr>
      <w:rFonts w:eastAsia="Times New Roman" w:cs="Arial"/>
      <w:b/>
      <w:smallCaps/>
      <w:sz w:val="32"/>
    </w:rPr>
  </w:style>
  <w:style w:type="paragraph" w:styleId="BodyText2">
    <w:name w:val="Body Text 2"/>
    <w:basedOn w:val="Normal"/>
    <w:link w:val="BodyText2Char"/>
    <w:uiPriority w:val="99"/>
    <w:semiHidden/>
    <w:unhideWhenUsed/>
    <w:rsid w:val="005A7D32"/>
    <w:pPr>
      <w:spacing w:after="120" w:line="480" w:lineRule="auto"/>
    </w:pPr>
  </w:style>
  <w:style w:type="character" w:customStyle="1" w:styleId="BodyText2Char">
    <w:name w:val="Body Text 2 Char"/>
    <w:basedOn w:val="DefaultParagraphFont"/>
    <w:link w:val="BodyText2"/>
    <w:uiPriority w:val="99"/>
    <w:semiHidden/>
    <w:rsid w:val="005A7D32"/>
  </w:style>
  <w:style w:type="character" w:styleId="Hyperlink">
    <w:name w:val="Hyperlink"/>
    <w:basedOn w:val="DefaultParagraphFont"/>
    <w:uiPriority w:val="99"/>
    <w:unhideWhenUsed/>
    <w:rsid w:val="002737EA"/>
    <w:rPr>
      <w:color w:val="0000FF" w:themeColor="hyperlink"/>
      <w:u w:val="single"/>
    </w:rPr>
  </w:style>
  <w:style w:type="character" w:styleId="CommentReference">
    <w:name w:val="annotation reference"/>
    <w:basedOn w:val="DefaultParagraphFont"/>
    <w:uiPriority w:val="99"/>
    <w:semiHidden/>
    <w:unhideWhenUsed/>
    <w:rsid w:val="00F65799"/>
    <w:rPr>
      <w:sz w:val="16"/>
      <w:szCs w:val="16"/>
    </w:rPr>
  </w:style>
  <w:style w:type="paragraph" w:styleId="CommentText">
    <w:name w:val="annotation text"/>
    <w:basedOn w:val="Normal"/>
    <w:link w:val="CommentTextChar"/>
    <w:uiPriority w:val="99"/>
    <w:semiHidden/>
    <w:unhideWhenUsed/>
    <w:rsid w:val="00F65799"/>
    <w:rPr>
      <w:sz w:val="20"/>
      <w:szCs w:val="20"/>
    </w:rPr>
  </w:style>
  <w:style w:type="character" w:customStyle="1" w:styleId="CommentTextChar">
    <w:name w:val="Comment Text Char"/>
    <w:basedOn w:val="DefaultParagraphFont"/>
    <w:link w:val="CommentText"/>
    <w:uiPriority w:val="99"/>
    <w:semiHidden/>
    <w:rsid w:val="00F65799"/>
    <w:rPr>
      <w:sz w:val="20"/>
      <w:szCs w:val="20"/>
    </w:rPr>
  </w:style>
  <w:style w:type="paragraph" w:styleId="CommentSubject">
    <w:name w:val="annotation subject"/>
    <w:basedOn w:val="CommentText"/>
    <w:next w:val="CommentText"/>
    <w:link w:val="CommentSubjectChar"/>
    <w:uiPriority w:val="99"/>
    <w:semiHidden/>
    <w:unhideWhenUsed/>
    <w:rsid w:val="00F65799"/>
    <w:rPr>
      <w:b/>
      <w:bCs/>
    </w:rPr>
  </w:style>
  <w:style w:type="character" w:customStyle="1" w:styleId="CommentSubjectChar">
    <w:name w:val="Comment Subject Char"/>
    <w:basedOn w:val="CommentTextChar"/>
    <w:link w:val="CommentSubject"/>
    <w:uiPriority w:val="99"/>
    <w:semiHidden/>
    <w:rsid w:val="00F657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42B"/>
    <w:pPr>
      <w:numPr>
        <w:numId w:val="1"/>
      </w:numPr>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58242B"/>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58242B"/>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58242B"/>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58242B"/>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58242B"/>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58242B"/>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58242B"/>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58242B"/>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5C"/>
    <w:pPr>
      <w:tabs>
        <w:tab w:val="center" w:pos="4680"/>
        <w:tab w:val="right" w:pos="9360"/>
      </w:tabs>
    </w:pPr>
  </w:style>
  <w:style w:type="character" w:customStyle="1" w:styleId="HeaderChar">
    <w:name w:val="Header Char"/>
    <w:basedOn w:val="DefaultParagraphFont"/>
    <w:link w:val="Header"/>
    <w:uiPriority w:val="99"/>
    <w:rsid w:val="000D555C"/>
  </w:style>
  <w:style w:type="paragraph" w:styleId="Footer">
    <w:name w:val="footer"/>
    <w:basedOn w:val="Normal"/>
    <w:link w:val="FooterChar"/>
    <w:uiPriority w:val="99"/>
    <w:unhideWhenUsed/>
    <w:rsid w:val="000D555C"/>
    <w:pPr>
      <w:tabs>
        <w:tab w:val="center" w:pos="4680"/>
        <w:tab w:val="right" w:pos="9360"/>
      </w:tabs>
    </w:pPr>
  </w:style>
  <w:style w:type="character" w:customStyle="1" w:styleId="FooterChar">
    <w:name w:val="Footer Char"/>
    <w:basedOn w:val="DefaultParagraphFont"/>
    <w:link w:val="Footer"/>
    <w:uiPriority w:val="99"/>
    <w:rsid w:val="000D555C"/>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2209D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209DD"/>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2209DD"/>
    <w:rPr>
      <w:vertAlign w:val="superscript"/>
    </w:rPr>
  </w:style>
  <w:style w:type="paragraph" w:styleId="NormalWeb">
    <w:name w:val="Normal (Web)"/>
    <w:basedOn w:val="Normal"/>
    <w:uiPriority w:val="99"/>
    <w:unhideWhenUsed/>
    <w:rsid w:val="00B91B7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242B"/>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58242B"/>
    <w:rPr>
      <w:rFonts w:eastAsiaTheme="majorEastAsia" w:cs="Arial"/>
      <w:b/>
      <w:bCs/>
      <w:szCs w:val="26"/>
    </w:rPr>
  </w:style>
  <w:style w:type="character" w:customStyle="1" w:styleId="Heading3Char">
    <w:name w:val="Heading 3 Char"/>
    <w:basedOn w:val="DefaultParagraphFont"/>
    <w:link w:val="Heading3"/>
    <w:uiPriority w:val="9"/>
    <w:semiHidden/>
    <w:rsid w:val="0058242B"/>
    <w:rPr>
      <w:rFonts w:eastAsiaTheme="majorEastAsia" w:cs="Arial"/>
      <w:b/>
      <w:bCs/>
    </w:rPr>
  </w:style>
  <w:style w:type="character" w:customStyle="1" w:styleId="Heading4Char">
    <w:name w:val="Heading 4 Char"/>
    <w:basedOn w:val="DefaultParagraphFont"/>
    <w:link w:val="Heading4"/>
    <w:uiPriority w:val="9"/>
    <w:semiHidden/>
    <w:rsid w:val="0058242B"/>
    <w:rPr>
      <w:rFonts w:eastAsiaTheme="majorEastAsia" w:cs="Arial"/>
      <w:b/>
      <w:bCs/>
      <w:i/>
      <w:iCs/>
    </w:rPr>
  </w:style>
  <w:style w:type="character" w:customStyle="1" w:styleId="Heading5Char">
    <w:name w:val="Heading 5 Char"/>
    <w:basedOn w:val="DefaultParagraphFont"/>
    <w:link w:val="Heading5"/>
    <w:uiPriority w:val="9"/>
    <w:semiHidden/>
    <w:rsid w:val="0058242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58242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58242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58242B"/>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58242B"/>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5813DD"/>
    <w:rPr>
      <w:rFonts w:ascii="Tahoma" w:hAnsi="Tahoma" w:cs="Tahoma"/>
      <w:sz w:val="16"/>
      <w:szCs w:val="16"/>
    </w:rPr>
  </w:style>
  <w:style w:type="character" w:customStyle="1" w:styleId="BalloonTextChar">
    <w:name w:val="Balloon Text Char"/>
    <w:basedOn w:val="DefaultParagraphFont"/>
    <w:link w:val="BalloonText"/>
    <w:uiPriority w:val="99"/>
    <w:semiHidden/>
    <w:rsid w:val="005813DD"/>
    <w:rPr>
      <w:rFonts w:ascii="Tahoma" w:hAnsi="Tahoma" w:cs="Tahoma"/>
      <w:sz w:val="16"/>
      <w:szCs w:val="16"/>
    </w:rPr>
  </w:style>
  <w:style w:type="paragraph" w:styleId="BodyText">
    <w:name w:val="Body Text"/>
    <w:basedOn w:val="Normal"/>
    <w:link w:val="BodyTextChar"/>
    <w:rsid w:val="005813DD"/>
    <w:pPr>
      <w:jc w:val="both"/>
    </w:pPr>
    <w:rPr>
      <w:rFonts w:eastAsia="Times New Roman" w:cs="Arial"/>
    </w:rPr>
  </w:style>
  <w:style w:type="character" w:customStyle="1" w:styleId="BodyTextChar">
    <w:name w:val="Body Text Char"/>
    <w:basedOn w:val="DefaultParagraphFont"/>
    <w:link w:val="BodyText"/>
    <w:rsid w:val="005813DD"/>
    <w:rPr>
      <w:rFonts w:eastAsia="Times New Roman" w:cs="Arial"/>
    </w:rPr>
  </w:style>
  <w:style w:type="paragraph" w:styleId="BodyTextIndent">
    <w:name w:val="Body Text Indent"/>
    <w:basedOn w:val="Normal"/>
    <w:link w:val="BodyTextIndentChar"/>
    <w:rsid w:val="005813DD"/>
    <w:pPr>
      <w:ind w:firstLine="720"/>
      <w:jc w:val="both"/>
    </w:pPr>
    <w:rPr>
      <w:rFonts w:eastAsia="Times New Roman" w:cs="Arial"/>
    </w:rPr>
  </w:style>
  <w:style w:type="character" w:customStyle="1" w:styleId="BodyTextIndentChar">
    <w:name w:val="Body Text Indent Char"/>
    <w:basedOn w:val="DefaultParagraphFont"/>
    <w:link w:val="BodyTextIndent"/>
    <w:rsid w:val="005813DD"/>
    <w:rPr>
      <w:rFonts w:eastAsia="Times New Roman" w:cs="Arial"/>
    </w:rPr>
  </w:style>
  <w:style w:type="character" w:styleId="PageNumber">
    <w:name w:val="page number"/>
    <w:basedOn w:val="DefaultParagraphFont"/>
    <w:rsid w:val="005813DD"/>
  </w:style>
  <w:style w:type="paragraph" w:styleId="BodyText3">
    <w:name w:val="Body Text 3"/>
    <w:basedOn w:val="Normal"/>
    <w:link w:val="BodyText3Char"/>
    <w:rsid w:val="005813DD"/>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5813DD"/>
    <w:rPr>
      <w:rFonts w:ascii="Times New Roman" w:eastAsia="Times New Roman" w:hAnsi="Times New Roman" w:cs="Times New Roman"/>
      <w:b/>
      <w:szCs w:val="20"/>
    </w:rPr>
  </w:style>
  <w:style w:type="paragraph" w:styleId="Title">
    <w:name w:val="Title"/>
    <w:basedOn w:val="Normal"/>
    <w:link w:val="TitleChar"/>
    <w:qFormat/>
    <w:rsid w:val="005813DD"/>
    <w:pPr>
      <w:jc w:val="center"/>
    </w:pPr>
    <w:rPr>
      <w:rFonts w:eastAsia="Times New Roman" w:cs="Arial"/>
      <w:b/>
      <w:smallCaps/>
      <w:sz w:val="32"/>
    </w:rPr>
  </w:style>
  <w:style w:type="character" w:customStyle="1" w:styleId="TitleChar">
    <w:name w:val="Title Char"/>
    <w:basedOn w:val="DefaultParagraphFont"/>
    <w:link w:val="Title"/>
    <w:rsid w:val="005813DD"/>
    <w:rPr>
      <w:rFonts w:eastAsia="Times New Roman" w:cs="Arial"/>
      <w:b/>
      <w:smallCaps/>
      <w:sz w:val="32"/>
    </w:rPr>
  </w:style>
  <w:style w:type="paragraph" w:styleId="BodyText2">
    <w:name w:val="Body Text 2"/>
    <w:basedOn w:val="Normal"/>
    <w:link w:val="BodyText2Char"/>
    <w:uiPriority w:val="99"/>
    <w:semiHidden/>
    <w:unhideWhenUsed/>
    <w:rsid w:val="005A7D32"/>
    <w:pPr>
      <w:spacing w:after="120" w:line="480" w:lineRule="auto"/>
    </w:pPr>
  </w:style>
  <w:style w:type="character" w:customStyle="1" w:styleId="BodyText2Char">
    <w:name w:val="Body Text 2 Char"/>
    <w:basedOn w:val="DefaultParagraphFont"/>
    <w:link w:val="BodyText2"/>
    <w:uiPriority w:val="99"/>
    <w:semiHidden/>
    <w:rsid w:val="005A7D32"/>
  </w:style>
  <w:style w:type="character" w:styleId="Hyperlink">
    <w:name w:val="Hyperlink"/>
    <w:basedOn w:val="DefaultParagraphFont"/>
    <w:uiPriority w:val="99"/>
    <w:unhideWhenUsed/>
    <w:rsid w:val="002737EA"/>
    <w:rPr>
      <w:color w:val="0000FF" w:themeColor="hyperlink"/>
      <w:u w:val="single"/>
    </w:rPr>
  </w:style>
  <w:style w:type="character" w:styleId="CommentReference">
    <w:name w:val="annotation reference"/>
    <w:basedOn w:val="DefaultParagraphFont"/>
    <w:uiPriority w:val="99"/>
    <w:semiHidden/>
    <w:unhideWhenUsed/>
    <w:rsid w:val="00F65799"/>
    <w:rPr>
      <w:sz w:val="16"/>
      <w:szCs w:val="16"/>
    </w:rPr>
  </w:style>
  <w:style w:type="paragraph" w:styleId="CommentText">
    <w:name w:val="annotation text"/>
    <w:basedOn w:val="Normal"/>
    <w:link w:val="CommentTextChar"/>
    <w:uiPriority w:val="99"/>
    <w:semiHidden/>
    <w:unhideWhenUsed/>
    <w:rsid w:val="00F65799"/>
    <w:rPr>
      <w:sz w:val="20"/>
      <w:szCs w:val="20"/>
    </w:rPr>
  </w:style>
  <w:style w:type="character" w:customStyle="1" w:styleId="CommentTextChar">
    <w:name w:val="Comment Text Char"/>
    <w:basedOn w:val="DefaultParagraphFont"/>
    <w:link w:val="CommentText"/>
    <w:uiPriority w:val="99"/>
    <w:semiHidden/>
    <w:rsid w:val="00F65799"/>
    <w:rPr>
      <w:sz w:val="20"/>
      <w:szCs w:val="20"/>
    </w:rPr>
  </w:style>
  <w:style w:type="paragraph" w:styleId="CommentSubject">
    <w:name w:val="annotation subject"/>
    <w:basedOn w:val="CommentText"/>
    <w:next w:val="CommentText"/>
    <w:link w:val="CommentSubjectChar"/>
    <w:uiPriority w:val="99"/>
    <w:semiHidden/>
    <w:unhideWhenUsed/>
    <w:rsid w:val="00F65799"/>
    <w:rPr>
      <w:b/>
      <w:bCs/>
    </w:rPr>
  </w:style>
  <w:style w:type="character" w:customStyle="1" w:styleId="CommentSubjectChar">
    <w:name w:val="Comment Subject Char"/>
    <w:basedOn w:val="CommentTextChar"/>
    <w:link w:val="CommentSubject"/>
    <w:uiPriority w:val="99"/>
    <w:semiHidden/>
    <w:rsid w:val="00F65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7562">
      <w:bodyDiv w:val="1"/>
      <w:marLeft w:val="0"/>
      <w:marRight w:val="0"/>
      <w:marTop w:val="0"/>
      <w:marBottom w:val="0"/>
      <w:divBdr>
        <w:top w:val="none" w:sz="0" w:space="0" w:color="auto"/>
        <w:left w:val="none" w:sz="0" w:space="0" w:color="auto"/>
        <w:bottom w:val="none" w:sz="0" w:space="0" w:color="auto"/>
        <w:right w:val="none" w:sz="0" w:space="0" w:color="auto"/>
      </w:divBdr>
    </w:div>
    <w:div w:id="1199929937">
      <w:bodyDiv w:val="1"/>
      <w:marLeft w:val="0"/>
      <w:marRight w:val="0"/>
      <w:marTop w:val="0"/>
      <w:marBottom w:val="0"/>
      <w:divBdr>
        <w:top w:val="none" w:sz="0" w:space="0" w:color="auto"/>
        <w:left w:val="none" w:sz="0" w:space="0" w:color="auto"/>
        <w:bottom w:val="none" w:sz="0" w:space="0" w:color="auto"/>
        <w:right w:val="none" w:sz="0" w:space="0" w:color="auto"/>
      </w:divBdr>
    </w:div>
    <w:div w:id="144908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5582">
          <w:marLeft w:val="0"/>
          <w:marRight w:val="0"/>
          <w:marTop w:val="0"/>
          <w:marBottom w:val="0"/>
          <w:divBdr>
            <w:top w:val="none" w:sz="0" w:space="0" w:color="auto"/>
            <w:left w:val="none" w:sz="0" w:space="0" w:color="auto"/>
            <w:bottom w:val="none" w:sz="0" w:space="0" w:color="auto"/>
            <w:right w:val="none" w:sz="0" w:space="0" w:color="auto"/>
          </w:divBdr>
          <w:divsChild>
            <w:div w:id="506480225">
              <w:marLeft w:val="0"/>
              <w:marRight w:val="0"/>
              <w:marTop w:val="0"/>
              <w:marBottom w:val="0"/>
              <w:divBdr>
                <w:top w:val="none" w:sz="0" w:space="0" w:color="auto"/>
                <w:left w:val="none" w:sz="0" w:space="0" w:color="auto"/>
                <w:bottom w:val="none" w:sz="0" w:space="0" w:color="auto"/>
                <w:right w:val="none" w:sz="0" w:space="0" w:color="auto"/>
              </w:divBdr>
              <w:divsChild>
                <w:div w:id="1033963144">
                  <w:marLeft w:val="0"/>
                  <w:marRight w:val="0"/>
                  <w:marTop w:val="0"/>
                  <w:marBottom w:val="0"/>
                  <w:divBdr>
                    <w:top w:val="single" w:sz="6" w:space="10" w:color="CACACA"/>
                    <w:left w:val="single" w:sz="6" w:space="31" w:color="CACACA"/>
                    <w:bottom w:val="single" w:sz="6" w:space="10" w:color="CACACA"/>
                    <w:right w:val="single" w:sz="6" w:space="31" w:color="CACACA"/>
                  </w:divBdr>
                  <w:divsChild>
                    <w:div w:id="1723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mailto:steven.beeler@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15</Pages>
  <Words>2536</Words>
  <Characters>15224</Characters>
  <Application>Microsoft Office Word</Application>
  <DocSecurity>0</DocSecurity>
  <PresentationFormat/>
  <Lines>497</Lines>
  <Paragraphs>267</Paragraphs>
  <ScaleCrop>false</ScaleCrop>
  <HeadingPairs>
    <vt:vector size="2" baseType="variant">
      <vt:variant>
        <vt:lpstr>Title</vt:lpstr>
      </vt:variant>
      <vt:variant>
        <vt:i4>1</vt:i4>
      </vt:variant>
    </vt:vector>
  </HeadingPairs>
  <TitlesOfParts>
    <vt:vector size="1" baseType="lpstr">
      <vt:lpstr>Duke Capacity case; Reply Comments of Industrial Energy Users-Ohio (C39615-4).DOCX</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Capacity case; Reply Comments of Industrial Energy Users-Ohio (C39615-4).DOCX</dc:title>
  <dc:subject>C39615:4 /font=8</dc:subject>
  <dc:creator>Frank Darr</dc:creator>
  <cp:keywords/>
  <dc:description/>
  <cp:lastModifiedBy>Karen Bowman</cp:lastModifiedBy>
  <cp:revision>20</cp:revision>
  <cp:lastPrinted>2013-01-31T20:55:00Z</cp:lastPrinted>
  <dcterms:created xsi:type="dcterms:W3CDTF">2013-01-24T18:18:00Z</dcterms:created>
  <dcterms:modified xsi:type="dcterms:W3CDTF">2013-02-01T15:56:00Z</dcterms:modified>
</cp:coreProperties>
</file>