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841E5F" w:rsidP="00C2213A" w14:paraId="55D46DCB"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rPr>
      </w:pPr>
      <w:r>
        <w:rPr>
          <w:rFonts w:ascii="Times New Roman" w:hAnsi="Times New Roman"/>
          <w:b/>
          <w:bCs/>
          <w:sz w:val="24"/>
        </w:rPr>
        <w:t>BEFORE</w:t>
      </w:r>
    </w:p>
    <w:p w:rsidR="00841E5F" w:rsidP="00C2213A" w14:paraId="5184E4E1"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rPr>
      </w:pPr>
      <w:r>
        <w:rPr>
          <w:rFonts w:ascii="Times New Roman" w:hAnsi="Times New Roman"/>
          <w:b/>
          <w:bCs/>
          <w:sz w:val="24"/>
        </w:rPr>
        <w:t>THE PUBLIC UTILITIES COMMISSION OF OHIO</w:t>
      </w:r>
    </w:p>
    <w:p w:rsidR="00841E5F" w:rsidP="00C2213A" w14:paraId="724D674C"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tbl>
      <w:tblPr>
        <w:tblW w:w="8640" w:type="dxa"/>
        <w:tblLook w:val="01E0"/>
      </w:tblPr>
      <w:tblGrid>
        <w:gridCol w:w="4230"/>
        <w:gridCol w:w="360"/>
        <w:gridCol w:w="4050"/>
      </w:tblGrid>
      <w:tr w14:paraId="77E0A61A" w14:textId="77777777" w:rsidTr="00F24CBE">
        <w:tblPrEx>
          <w:tblW w:w="8640" w:type="dxa"/>
          <w:tblLook w:val="01E0"/>
        </w:tblPrEx>
        <w:trPr>
          <w:trHeight w:val="807"/>
        </w:trPr>
        <w:tc>
          <w:tcPr>
            <w:tcW w:w="4230" w:type="dxa"/>
            <w:shd w:val="clear" w:color="auto" w:fill="auto"/>
          </w:tcPr>
          <w:p w:rsidR="00841E5F" w:rsidRPr="00A044B5" w:rsidP="00C2213A" w14:paraId="1E80CD77" w14:textId="4FB07F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194E09">
              <w:rPr>
                <w:rFonts w:ascii="Times New Roman" w:hAnsi="Times New Roman" w:cs="Times New Roman"/>
                <w:sz w:val="24"/>
                <w:szCs w:val="24"/>
              </w:rPr>
              <w:t xml:space="preserve">In the Matter of the Application of Duke Energy Ohio, Inc. for </w:t>
            </w:r>
            <w:r w:rsidR="0025377E">
              <w:rPr>
                <w:rFonts w:ascii="Times New Roman" w:hAnsi="Times New Roman" w:cs="Times New Roman"/>
                <w:sz w:val="24"/>
                <w:szCs w:val="24"/>
              </w:rPr>
              <w:t xml:space="preserve">an Adjustment to the Capital Expenditure Program Rider Rate. </w:t>
            </w:r>
          </w:p>
        </w:tc>
        <w:tc>
          <w:tcPr>
            <w:tcW w:w="360" w:type="dxa"/>
            <w:shd w:val="clear" w:color="auto" w:fill="auto"/>
          </w:tcPr>
          <w:p w:rsidR="00841E5F" w:rsidRPr="00A044B5" w:rsidP="00C2213A" w14:paraId="4E5715A3"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sidRPr="00A044B5">
              <w:rPr>
                <w:rFonts w:ascii="Times New Roman" w:hAnsi="Times New Roman"/>
                <w:sz w:val="24"/>
              </w:rPr>
              <w:t>)</w:t>
            </w:r>
          </w:p>
          <w:p w:rsidR="00841E5F" w:rsidRPr="00A044B5" w:rsidP="00C2213A" w14:paraId="7DE5EC06"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sidRPr="00A044B5">
              <w:rPr>
                <w:rFonts w:ascii="Times New Roman" w:hAnsi="Times New Roman"/>
                <w:sz w:val="24"/>
              </w:rPr>
              <w:t>)</w:t>
            </w:r>
          </w:p>
          <w:p w:rsidR="00841E5F" w:rsidP="00C2213A" w14:paraId="38F8AD09" w14:textId="341599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sidRPr="00A044B5">
              <w:rPr>
                <w:rFonts w:ascii="Times New Roman" w:hAnsi="Times New Roman"/>
                <w:sz w:val="24"/>
              </w:rPr>
              <w:t>)</w:t>
            </w:r>
          </w:p>
          <w:p w:rsidR="005D1BF5" w:rsidRPr="00A044B5" w:rsidP="00F24CBE" w14:paraId="789C8BE6" w14:textId="7F8E9A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w:t>
            </w:r>
          </w:p>
        </w:tc>
        <w:tc>
          <w:tcPr>
            <w:tcW w:w="4050" w:type="dxa"/>
            <w:shd w:val="clear" w:color="auto" w:fill="auto"/>
          </w:tcPr>
          <w:p w:rsidR="00841E5F" w:rsidRPr="00A044B5" w:rsidP="00C2213A" w14:paraId="28B00226"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5D1BF5" w:rsidP="00C2213A" w14:paraId="6B883BB7" w14:textId="33A74A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Case No. 21-618-GA-RDR</w:t>
            </w:r>
          </w:p>
          <w:p w:rsidR="00841E5F" w:rsidRPr="00A044B5" w:rsidP="00C2213A" w14:paraId="034F2E92" w14:textId="3289F7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841E5F" w:rsidRPr="00A044B5" w:rsidP="00C2213A" w14:paraId="0FBA4473"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tc>
      </w:tr>
    </w:tbl>
    <w:p w:rsidR="00841E5F" w:rsidP="00C2213A" w14:paraId="00511861"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841E5F" w:rsidP="00C2213A" w14:paraId="4220E820" w14:textId="77777777">
      <w:pPr>
        <w:pStyle w:val="HTMLPreformatted"/>
        <w:pBdr>
          <w:top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841E5F" w:rsidP="00C2213A" w14:paraId="0375F7E2" w14:textId="1A4AFA42">
      <w:pPr>
        <w:jc w:val="center"/>
        <w:rPr>
          <w:b/>
          <w:bCs/>
        </w:rPr>
      </w:pPr>
      <w:r>
        <w:rPr>
          <w:b/>
          <w:bCs/>
        </w:rPr>
        <w:t>REPLY</w:t>
      </w:r>
      <w:r w:rsidR="00B5034C">
        <w:rPr>
          <w:b/>
          <w:bCs/>
        </w:rPr>
        <w:t xml:space="preserve"> BRIEF</w:t>
      </w:r>
      <w:r w:rsidR="0025377E">
        <w:rPr>
          <w:b/>
          <w:bCs/>
        </w:rPr>
        <w:t xml:space="preserve"> FOR CONSUMER PROTECTION</w:t>
      </w:r>
    </w:p>
    <w:p w:rsidR="00841E5F" w:rsidP="00C2213A" w14:paraId="5FB35C50" w14:textId="77777777">
      <w:pPr>
        <w:jc w:val="center"/>
        <w:rPr>
          <w:b/>
          <w:bCs/>
        </w:rPr>
      </w:pPr>
      <w:r>
        <w:rPr>
          <w:b/>
          <w:bCs/>
        </w:rPr>
        <w:t>BY</w:t>
      </w:r>
    </w:p>
    <w:p w:rsidR="00841E5F" w:rsidP="00C2213A" w14:paraId="7EE94047" w14:textId="77777777">
      <w:pPr>
        <w:jc w:val="center"/>
        <w:rPr>
          <w:b/>
          <w:bCs/>
        </w:rPr>
      </w:pPr>
      <w:r>
        <w:rPr>
          <w:b/>
          <w:bCs/>
        </w:rPr>
        <w:t>OFFICE OF THE OHIO CONSUMERS’ COUNSEL</w:t>
      </w:r>
    </w:p>
    <w:p w:rsidR="00841E5F" w:rsidP="00C2213A" w14:paraId="5553CE1E" w14:textId="77777777">
      <w:pPr>
        <w:pBdr>
          <w:bottom w:val="single" w:sz="12" w:space="1" w:color="auto"/>
        </w:pBdr>
      </w:pPr>
    </w:p>
    <w:p w:rsidR="00841E5F" w:rsidP="00C2213A" w14:paraId="0B172526" w14:textId="77777777"/>
    <w:p w:rsidR="00841E5F" w:rsidRPr="00957CA4" w:rsidP="00C2213A" w14:paraId="11F8EAE4"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rPr>
      </w:pPr>
    </w:p>
    <w:p w:rsidR="00841E5F" w:rsidP="00C2213A" w14:paraId="1557D644"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rPr>
      </w:pPr>
    </w:p>
    <w:p w:rsidR="005D1BF5" w:rsidP="00427E9D" w14:paraId="65EED3DD" w14:textId="77777777">
      <w:pPr>
        <w:pStyle w:val="Footer"/>
        <w:tabs>
          <w:tab w:val="clear" w:pos="4320"/>
          <w:tab w:val="clear" w:pos="8640"/>
        </w:tabs>
        <w:spacing w:before="240"/>
        <w:ind w:firstLine="3600"/>
        <w:rPr>
          <w:sz w:val="24"/>
          <w:szCs w:val="24"/>
        </w:rPr>
      </w:pPr>
      <w:r>
        <w:rPr>
          <w:sz w:val="24"/>
          <w:szCs w:val="24"/>
        </w:rPr>
        <w:t>Bruce Weston (0016973)</w:t>
      </w:r>
    </w:p>
    <w:p w:rsidR="005D1BF5" w:rsidP="00427E9D" w14:paraId="1642A92B" w14:textId="3716911C">
      <w:pPr>
        <w:ind w:firstLine="3600"/>
        <w:rPr>
          <w:szCs w:val="24"/>
        </w:rPr>
      </w:pPr>
      <w:r>
        <w:rPr>
          <w:szCs w:val="24"/>
        </w:rPr>
        <w:t>Ohio Consumers’ Counsel</w:t>
      </w:r>
    </w:p>
    <w:p w:rsidR="005D1BF5" w:rsidP="00427E9D" w14:paraId="16608EF8" w14:textId="77777777">
      <w:pPr>
        <w:ind w:firstLine="3600"/>
        <w:rPr>
          <w:szCs w:val="24"/>
        </w:rPr>
      </w:pPr>
      <w:r>
        <w:rPr>
          <w:szCs w:val="24"/>
        </w:rPr>
        <w:tab/>
      </w:r>
    </w:p>
    <w:p w:rsidR="005D1BF5" w:rsidP="00427E9D" w14:paraId="11598A5A" w14:textId="1568CAEC">
      <w:pPr>
        <w:ind w:firstLine="3600"/>
        <w:rPr>
          <w:szCs w:val="24"/>
        </w:rPr>
      </w:pPr>
      <w:r>
        <w:rPr>
          <w:szCs w:val="24"/>
        </w:rPr>
        <w:t>William J. Michael (0070921)</w:t>
      </w:r>
    </w:p>
    <w:p w:rsidR="005D1BF5" w:rsidP="00427E9D" w14:paraId="331D5266" w14:textId="77777777">
      <w:pPr>
        <w:ind w:firstLine="3600"/>
        <w:rPr>
          <w:szCs w:val="24"/>
        </w:rPr>
      </w:pPr>
      <w:r>
        <w:rPr>
          <w:szCs w:val="24"/>
        </w:rPr>
        <w:t>Counsel of Record</w:t>
      </w:r>
    </w:p>
    <w:p w:rsidR="005D1BF5" w:rsidP="00427E9D" w14:paraId="132BCB19" w14:textId="723CFF70">
      <w:pPr>
        <w:ind w:firstLine="3600"/>
        <w:rPr>
          <w:szCs w:val="24"/>
        </w:rPr>
      </w:pPr>
      <w:r>
        <w:rPr>
          <w:szCs w:val="24"/>
        </w:rPr>
        <w:t>Amy Botschner O’Brien (0074423)</w:t>
      </w:r>
    </w:p>
    <w:p w:rsidR="005D1BF5" w:rsidP="00427E9D" w14:paraId="121B2712" w14:textId="77777777">
      <w:pPr>
        <w:ind w:firstLine="3600"/>
        <w:rPr>
          <w:szCs w:val="24"/>
        </w:rPr>
      </w:pPr>
      <w:r>
        <w:rPr>
          <w:szCs w:val="24"/>
        </w:rPr>
        <w:t>Assistant Consumers’ Counsel</w:t>
      </w:r>
    </w:p>
    <w:p w:rsidR="005D1BF5" w:rsidP="00427E9D" w14:paraId="36B69EBA" w14:textId="77777777">
      <w:pPr>
        <w:ind w:firstLine="3600"/>
      </w:pPr>
      <w:r>
        <w:tab/>
      </w:r>
    </w:p>
    <w:p w:rsidR="005D1BF5" w:rsidRPr="00DF6691" w:rsidP="00427E9D" w14:paraId="16F42076" w14:textId="2239D5CB">
      <w:pPr>
        <w:ind w:firstLine="3600"/>
        <w:rPr>
          <w:b/>
          <w:bCs/>
        </w:rPr>
      </w:pPr>
      <w:r w:rsidRPr="00DF6691">
        <w:rPr>
          <w:b/>
          <w:bCs/>
        </w:rPr>
        <w:t>Office of the Ohio Consumers’ Counsel</w:t>
      </w:r>
    </w:p>
    <w:p w:rsidR="005D1BF5" w:rsidP="00427E9D" w14:paraId="2E8E0F02" w14:textId="0CF7DEA2">
      <w:pPr>
        <w:ind w:firstLine="3600"/>
        <w:rPr>
          <w:b/>
        </w:rPr>
      </w:pPr>
      <w:r>
        <w:t xml:space="preserve">65 East State Street, </w:t>
      </w:r>
      <w:r w:rsidR="0025377E">
        <w:t>Suite 700</w:t>
      </w:r>
    </w:p>
    <w:p w:rsidR="005D1BF5" w:rsidP="00427E9D" w14:paraId="1AE285C9" w14:textId="70E8ACFC">
      <w:pPr>
        <w:ind w:firstLine="3600"/>
        <w:rPr>
          <w:b/>
        </w:rPr>
      </w:pPr>
      <w:r>
        <w:t>Columbus, Ohio 43215</w:t>
      </w:r>
    </w:p>
    <w:p w:rsidR="005D1BF5" w:rsidP="00427E9D" w14:paraId="6CB0F996" w14:textId="34D6CDE2">
      <w:pPr>
        <w:autoSpaceDE w:val="0"/>
        <w:autoSpaceDN w:val="0"/>
        <w:adjustRightInd w:val="0"/>
        <w:ind w:left="3600"/>
        <w:rPr>
          <w:szCs w:val="24"/>
        </w:rPr>
      </w:pPr>
      <w:r>
        <w:rPr>
          <w:szCs w:val="24"/>
        </w:rPr>
        <w:t>Telephone [Michael]: (614) 466-1291</w:t>
      </w:r>
      <w:r>
        <w:rPr>
          <w:szCs w:val="24"/>
        </w:rPr>
        <w:br/>
        <w:t>Telephone [Botschner O’Brien] (614) 466-9575</w:t>
      </w:r>
    </w:p>
    <w:p w:rsidR="005D1BF5" w:rsidP="00427E9D" w14:paraId="7BE1CB9B" w14:textId="060B43D0">
      <w:pPr>
        <w:ind w:firstLine="3600"/>
        <w:rPr>
          <w:szCs w:val="24"/>
        </w:rPr>
      </w:pPr>
      <w:hyperlink r:id="rId6" w:history="1">
        <w:r w:rsidRPr="00A700C4" w:rsidR="00723CA4">
          <w:rPr>
            <w:rStyle w:val="Hyperlink"/>
            <w:szCs w:val="24"/>
          </w:rPr>
          <w:t>william.michael@occ.ohio.gov</w:t>
        </w:r>
      </w:hyperlink>
      <w:r w:rsidR="00723CA4">
        <w:rPr>
          <w:szCs w:val="24"/>
        </w:rPr>
        <w:br/>
      </w:r>
      <w:r w:rsidR="00723CA4">
        <w:rPr>
          <w:szCs w:val="24"/>
        </w:rPr>
        <w:tab/>
      </w:r>
      <w:r w:rsidR="00723CA4">
        <w:rPr>
          <w:szCs w:val="24"/>
        </w:rPr>
        <w:tab/>
      </w:r>
      <w:r w:rsidR="00723CA4">
        <w:rPr>
          <w:szCs w:val="24"/>
        </w:rPr>
        <w:tab/>
      </w:r>
      <w:r w:rsidR="00723CA4">
        <w:rPr>
          <w:szCs w:val="24"/>
        </w:rPr>
        <w:tab/>
      </w:r>
      <w:r w:rsidR="00723CA4">
        <w:rPr>
          <w:szCs w:val="24"/>
        </w:rPr>
        <w:tab/>
      </w:r>
      <w:hyperlink r:id="rId7" w:history="1">
        <w:r w:rsidRPr="009E4608" w:rsidR="0025377E">
          <w:rPr>
            <w:rStyle w:val="Hyperlink"/>
            <w:szCs w:val="24"/>
          </w:rPr>
          <w:t>amy.botschner.obrien@occ.ohio.gov</w:t>
        </w:r>
      </w:hyperlink>
      <w:r w:rsidR="00723CA4">
        <w:rPr>
          <w:szCs w:val="24"/>
        </w:rPr>
        <w:t xml:space="preserve"> </w:t>
      </w:r>
    </w:p>
    <w:p w:rsidR="005D1BF5" w:rsidP="00427E9D" w14:paraId="204CE6B5" w14:textId="1AB02ECD">
      <w:pPr>
        <w:ind w:firstLine="3600"/>
        <w:rPr>
          <w:szCs w:val="24"/>
        </w:rPr>
      </w:pPr>
      <w:r>
        <w:rPr>
          <w:szCs w:val="24"/>
        </w:rPr>
        <w:t>(willing to accept service by email)</w:t>
      </w:r>
    </w:p>
    <w:p w:rsidR="005D1BF5" w:rsidP="00C2213A" w14:paraId="413B68B9" w14:textId="77777777">
      <w:pPr>
        <w:rPr>
          <w:szCs w:val="24"/>
        </w:rPr>
      </w:pPr>
    </w:p>
    <w:p w:rsidR="005D1BF5" w:rsidP="00C2213A" w14:paraId="1F2D592D" w14:textId="77777777">
      <w:pPr>
        <w:ind w:left="4320"/>
      </w:pPr>
    </w:p>
    <w:p w:rsidR="005D1BF5" w:rsidP="00C2213A" w14:paraId="29C2D044" w14:textId="77777777">
      <w:pPr>
        <w:ind w:left="3600" w:firstLine="720"/>
        <w:rPr>
          <w:i/>
        </w:rPr>
      </w:pPr>
    </w:p>
    <w:p w:rsidR="005D1BF5" w:rsidP="00C2213A" w14:paraId="31BC8E08" w14:textId="052CD04E">
      <w:pPr>
        <w:rPr>
          <w:szCs w:val="24"/>
        </w:rPr>
      </w:pPr>
      <w:r>
        <w:rPr>
          <w:iCs/>
        </w:rPr>
        <w:t>March</w:t>
      </w:r>
      <w:r w:rsidRPr="00F10C1E">
        <w:rPr>
          <w:iCs/>
        </w:rPr>
        <w:t xml:space="preserve"> </w:t>
      </w:r>
      <w:r w:rsidR="0025377E">
        <w:rPr>
          <w:iCs/>
        </w:rPr>
        <w:t>31, 2022</w:t>
      </w:r>
      <w:r>
        <w:rPr>
          <w:i/>
        </w:rPr>
        <w:tab/>
      </w:r>
      <w:r>
        <w:rPr>
          <w:i/>
        </w:rPr>
        <w:tab/>
      </w:r>
      <w:r>
        <w:rPr>
          <w:i/>
        </w:rPr>
        <w:tab/>
      </w:r>
    </w:p>
    <w:p w:rsidR="009C6B0D" w:rsidP="00C2213A" w14:paraId="4588C775"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rPr>
        <w:sectPr w:rsidSect="00427E9D">
          <w:footerReference w:type="default" r:id="rId8"/>
          <w:footerReference w:type="first" r:id="rId9"/>
          <w:pgSz w:w="12240" w:h="15840"/>
          <w:pgMar w:top="1440" w:right="1800" w:bottom="1440" w:left="1800" w:header="720" w:footer="720" w:gutter="0"/>
          <w:pgNumType w:start="1"/>
          <w:cols w:space="720"/>
          <w:titlePg/>
          <w:docGrid w:linePitch="326"/>
        </w:sectPr>
      </w:pPr>
    </w:p>
    <w:p w:rsidR="00841E5F" w:rsidRPr="00841E5F" w:rsidP="00C2213A" w14:paraId="2B58B8CF"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u w:val="single"/>
        </w:rPr>
      </w:pPr>
      <w:r w:rsidRPr="00841E5F">
        <w:rPr>
          <w:rFonts w:ascii="Times New Roman" w:hAnsi="Times New Roman"/>
          <w:b/>
          <w:bCs/>
          <w:sz w:val="24"/>
          <w:u w:val="single"/>
        </w:rPr>
        <w:t>TABLE OF CONTENTS</w:t>
      </w:r>
    </w:p>
    <w:p w:rsidR="00841E5F" w:rsidP="00C2213A" w14:paraId="05B6A6DC"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rPr>
      </w:pPr>
    </w:p>
    <w:p w:rsidR="00E53E1E" w:rsidP="00C2213A" w14:paraId="4B2BE83D" w14:textId="3282A01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bCs/>
          <w:sz w:val="24"/>
        </w:rPr>
      </w:pPr>
      <w:r>
        <w:rPr>
          <w:rFonts w:ascii="Times New Roman" w:hAnsi="Times New Roman"/>
          <w:b/>
          <w:bCs/>
          <w:sz w:val="24"/>
        </w:rPr>
        <w:t>P</w:t>
      </w:r>
      <w:r w:rsidR="00FB0C99">
        <w:rPr>
          <w:rFonts w:ascii="Times New Roman" w:hAnsi="Times New Roman"/>
          <w:b/>
          <w:bCs/>
          <w:sz w:val="24"/>
        </w:rPr>
        <w:t>AGE</w:t>
      </w:r>
    </w:p>
    <w:p w:rsidR="00FB0C99" w:rsidP="00C2213A" w14:paraId="50A627F5"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bCs/>
          <w:sz w:val="24"/>
        </w:rPr>
      </w:pPr>
    </w:p>
    <w:p w:rsidR="000E67DD" w14:paraId="1F289FEE" w14:textId="24B44C3D">
      <w:pPr>
        <w:pStyle w:val="TOC1"/>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99629308" w:history="1">
        <w:r w:rsidRPr="00AB47D8">
          <w:rPr>
            <w:rStyle w:val="Hyperlink"/>
            <w:noProof/>
          </w:rPr>
          <w:t>I.</w:t>
        </w:r>
        <w:r>
          <w:rPr>
            <w:rFonts w:asciiTheme="minorHAnsi" w:eastAsiaTheme="minorEastAsia" w:hAnsiTheme="minorHAnsi" w:cstheme="minorBidi"/>
            <w:noProof/>
            <w:sz w:val="22"/>
            <w:szCs w:val="22"/>
          </w:rPr>
          <w:tab/>
        </w:r>
        <w:r w:rsidRPr="00AB47D8">
          <w:rPr>
            <w:rStyle w:val="Hyperlink"/>
            <w:noProof/>
          </w:rPr>
          <w:t>INTRODUCTION</w:t>
        </w:r>
        <w:r>
          <w:rPr>
            <w:noProof/>
            <w:webHidden/>
          </w:rPr>
          <w:tab/>
        </w:r>
        <w:r>
          <w:rPr>
            <w:noProof/>
            <w:webHidden/>
          </w:rPr>
          <w:fldChar w:fldCharType="begin"/>
        </w:r>
        <w:r>
          <w:rPr>
            <w:noProof/>
            <w:webHidden/>
          </w:rPr>
          <w:instrText xml:space="preserve"> PAGEREF _Toc99629308 \h </w:instrText>
        </w:r>
        <w:r>
          <w:rPr>
            <w:noProof/>
            <w:webHidden/>
          </w:rPr>
          <w:fldChar w:fldCharType="separate"/>
        </w:r>
        <w:r>
          <w:rPr>
            <w:noProof/>
            <w:webHidden/>
          </w:rPr>
          <w:t>1</w:t>
        </w:r>
        <w:r>
          <w:rPr>
            <w:noProof/>
            <w:webHidden/>
          </w:rPr>
          <w:fldChar w:fldCharType="end"/>
        </w:r>
      </w:hyperlink>
    </w:p>
    <w:p w:rsidR="000E67DD" w14:paraId="748C2940" w14:textId="665F88FD">
      <w:pPr>
        <w:pStyle w:val="TOC1"/>
        <w:rPr>
          <w:rFonts w:asciiTheme="minorHAnsi" w:eastAsiaTheme="minorEastAsia" w:hAnsiTheme="minorHAnsi" w:cstheme="minorBidi"/>
          <w:noProof/>
          <w:sz w:val="22"/>
          <w:szCs w:val="22"/>
        </w:rPr>
      </w:pPr>
      <w:hyperlink w:anchor="_Toc99629309" w:history="1">
        <w:r w:rsidRPr="00AB47D8" w:rsidR="008B0895">
          <w:rPr>
            <w:rStyle w:val="Hyperlink"/>
            <w:noProof/>
          </w:rPr>
          <w:t>II.</w:t>
        </w:r>
        <w:r w:rsidR="008B0895">
          <w:rPr>
            <w:rFonts w:asciiTheme="minorHAnsi" w:eastAsiaTheme="minorEastAsia" w:hAnsiTheme="minorHAnsi" w:cstheme="minorBidi"/>
            <w:noProof/>
            <w:sz w:val="22"/>
            <w:szCs w:val="22"/>
          </w:rPr>
          <w:tab/>
        </w:r>
        <w:r w:rsidRPr="00AB47D8" w:rsidR="008B0895">
          <w:rPr>
            <w:rStyle w:val="Hyperlink"/>
            <w:noProof/>
          </w:rPr>
          <w:t>REPLY</w:t>
        </w:r>
        <w:r w:rsidR="008B0895">
          <w:rPr>
            <w:noProof/>
            <w:webHidden/>
          </w:rPr>
          <w:tab/>
        </w:r>
        <w:r w:rsidR="008B0895">
          <w:rPr>
            <w:noProof/>
            <w:webHidden/>
          </w:rPr>
          <w:fldChar w:fldCharType="begin"/>
        </w:r>
        <w:r w:rsidR="008B0895">
          <w:rPr>
            <w:noProof/>
            <w:webHidden/>
          </w:rPr>
          <w:instrText xml:space="preserve"> PAGEREF _Toc99629309 \h </w:instrText>
        </w:r>
        <w:r w:rsidR="008B0895">
          <w:rPr>
            <w:noProof/>
            <w:webHidden/>
          </w:rPr>
          <w:fldChar w:fldCharType="separate"/>
        </w:r>
        <w:r w:rsidR="008B0895">
          <w:rPr>
            <w:noProof/>
            <w:webHidden/>
          </w:rPr>
          <w:t>3</w:t>
        </w:r>
        <w:r w:rsidR="008B0895">
          <w:rPr>
            <w:noProof/>
            <w:webHidden/>
          </w:rPr>
          <w:fldChar w:fldCharType="end"/>
        </w:r>
      </w:hyperlink>
    </w:p>
    <w:p w:rsidR="000E67DD" w14:paraId="40177A81" w14:textId="4845F9A6">
      <w:pPr>
        <w:pStyle w:val="TOC2"/>
        <w:tabs>
          <w:tab w:val="left" w:pos="1440"/>
        </w:tabs>
        <w:rPr>
          <w:rFonts w:asciiTheme="minorHAnsi" w:eastAsiaTheme="minorEastAsia" w:hAnsiTheme="minorHAnsi" w:cstheme="minorBidi"/>
          <w:noProof/>
          <w:sz w:val="22"/>
          <w:szCs w:val="22"/>
        </w:rPr>
      </w:pPr>
      <w:hyperlink w:anchor="_Toc99629310" w:history="1">
        <w:r w:rsidRPr="00AB47D8" w:rsidR="008B0895">
          <w:rPr>
            <w:rStyle w:val="Hyperlink"/>
            <w:noProof/>
          </w:rPr>
          <w:t>A.</w:t>
        </w:r>
        <w:r w:rsidR="008B0895">
          <w:rPr>
            <w:rFonts w:asciiTheme="minorHAnsi" w:eastAsiaTheme="minorEastAsia" w:hAnsiTheme="minorHAnsi" w:cstheme="minorBidi"/>
            <w:noProof/>
            <w:sz w:val="22"/>
            <w:szCs w:val="22"/>
          </w:rPr>
          <w:tab/>
        </w:r>
        <w:r w:rsidRPr="00AB47D8" w:rsidR="008B0895">
          <w:rPr>
            <w:rStyle w:val="Hyperlink"/>
            <w:noProof/>
          </w:rPr>
          <w:t xml:space="preserve">The PUCO should reject Staff’s conclusion that Duke has not significantly over-earned or under-earned because that is irrelevant as Duke and </w:t>
        </w:r>
        <w:r w:rsidR="008B0895">
          <w:rPr>
            <w:rStyle w:val="Hyperlink"/>
            <w:noProof/>
          </w:rPr>
          <w:br/>
        </w:r>
        <w:r w:rsidRPr="00AB47D8" w:rsidR="008B0895">
          <w:rPr>
            <w:rStyle w:val="Hyperlink"/>
            <w:noProof/>
          </w:rPr>
          <w:t>Staff failed to demonstrate the proposed rate of return is just and reasonable.</w:t>
        </w:r>
        <w:r w:rsidR="008B0895">
          <w:rPr>
            <w:noProof/>
            <w:webHidden/>
          </w:rPr>
          <w:tab/>
        </w:r>
        <w:r w:rsidR="008B0895">
          <w:rPr>
            <w:noProof/>
            <w:webHidden/>
          </w:rPr>
          <w:fldChar w:fldCharType="begin"/>
        </w:r>
        <w:r w:rsidR="008B0895">
          <w:rPr>
            <w:noProof/>
            <w:webHidden/>
          </w:rPr>
          <w:instrText xml:space="preserve"> PAGEREF _Toc99629310 \h </w:instrText>
        </w:r>
        <w:r w:rsidR="008B0895">
          <w:rPr>
            <w:noProof/>
            <w:webHidden/>
          </w:rPr>
          <w:fldChar w:fldCharType="separate"/>
        </w:r>
        <w:r w:rsidR="008B0895">
          <w:rPr>
            <w:noProof/>
            <w:webHidden/>
          </w:rPr>
          <w:t>3</w:t>
        </w:r>
        <w:r w:rsidR="008B0895">
          <w:rPr>
            <w:noProof/>
            <w:webHidden/>
          </w:rPr>
          <w:fldChar w:fldCharType="end"/>
        </w:r>
      </w:hyperlink>
    </w:p>
    <w:p w:rsidR="000E67DD" w14:paraId="5FC38340" w14:textId="00786AB1">
      <w:pPr>
        <w:pStyle w:val="TOC2"/>
        <w:tabs>
          <w:tab w:val="left" w:pos="1440"/>
        </w:tabs>
        <w:rPr>
          <w:rFonts w:asciiTheme="minorHAnsi" w:eastAsiaTheme="minorEastAsia" w:hAnsiTheme="minorHAnsi" w:cstheme="minorBidi"/>
          <w:noProof/>
          <w:sz w:val="22"/>
          <w:szCs w:val="22"/>
        </w:rPr>
      </w:pPr>
      <w:hyperlink w:anchor="_Toc99629311" w:history="1">
        <w:r w:rsidRPr="00AB47D8" w:rsidR="008B0895">
          <w:rPr>
            <w:rStyle w:val="Hyperlink"/>
            <w:noProof/>
          </w:rPr>
          <w:t xml:space="preserve">B. </w:t>
        </w:r>
        <w:r w:rsidR="008B0895">
          <w:rPr>
            <w:rFonts w:asciiTheme="minorHAnsi" w:eastAsiaTheme="minorEastAsia" w:hAnsiTheme="minorHAnsi" w:cstheme="minorBidi"/>
            <w:noProof/>
            <w:sz w:val="22"/>
            <w:szCs w:val="22"/>
          </w:rPr>
          <w:tab/>
        </w:r>
        <w:r w:rsidRPr="00AB47D8" w:rsidR="008B0895">
          <w:rPr>
            <w:rStyle w:val="Hyperlink"/>
            <w:noProof/>
          </w:rPr>
          <w:t>Duke’s financial performance incentives currently included in Duke’s CEP Rider should be removed and not charged to consumers, and Recommendation 6 allowing for “monitoring” of incentives and compensation should be rejected.</w:t>
        </w:r>
        <w:r w:rsidR="008B0895">
          <w:rPr>
            <w:noProof/>
            <w:webHidden/>
          </w:rPr>
          <w:tab/>
        </w:r>
        <w:r w:rsidR="008B0895">
          <w:rPr>
            <w:noProof/>
            <w:webHidden/>
          </w:rPr>
          <w:fldChar w:fldCharType="begin"/>
        </w:r>
        <w:r w:rsidR="008B0895">
          <w:rPr>
            <w:noProof/>
            <w:webHidden/>
          </w:rPr>
          <w:instrText xml:space="preserve"> PAGEREF _Toc99629311 \h </w:instrText>
        </w:r>
        <w:r w:rsidR="008B0895">
          <w:rPr>
            <w:noProof/>
            <w:webHidden/>
          </w:rPr>
          <w:fldChar w:fldCharType="separate"/>
        </w:r>
        <w:r w:rsidR="008B0895">
          <w:rPr>
            <w:noProof/>
            <w:webHidden/>
          </w:rPr>
          <w:t>5</w:t>
        </w:r>
        <w:r w:rsidR="008B0895">
          <w:rPr>
            <w:noProof/>
            <w:webHidden/>
          </w:rPr>
          <w:fldChar w:fldCharType="end"/>
        </w:r>
      </w:hyperlink>
    </w:p>
    <w:p w:rsidR="000E67DD" w14:paraId="6A8F06AA" w14:textId="3F8740A4">
      <w:pPr>
        <w:pStyle w:val="TOC2"/>
        <w:tabs>
          <w:tab w:val="left" w:pos="1440"/>
        </w:tabs>
        <w:rPr>
          <w:rFonts w:asciiTheme="minorHAnsi" w:eastAsiaTheme="minorEastAsia" w:hAnsiTheme="minorHAnsi" w:cstheme="minorBidi"/>
          <w:noProof/>
          <w:sz w:val="22"/>
          <w:szCs w:val="22"/>
        </w:rPr>
      </w:pPr>
      <w:hyperlink w:anchor="_Toc99629312" w:history="1">
        <w:r w:rsidRPr="00AB47D8" w:rsidR="008B0895">
          <w:rPr>
            <w:rStyle w:val="Hyperlink"/>
            <w:noProof/>
          </w:rPr>
          <w:t xml:space="preserve">C. </w:t>
        </w:r>
        <w:r w:rsidR="008B0895">
          <w:rPr>
            <w:rFonts w:asciiTheme="minorHAnsi" w:eastAsiaTheme="minorEastAsia" w:hAnsiTheme="minorHAnsi" w:cstheme="minorBidi"/>
            <w:noProof/>
            <w:sz w:val="22"/>
            <w:szCs w:val="22"/>
          </w:rPr>
          <w:tab/>
        </w:r>
        <w:r w:rsidRPr="00AB47D8" w:rsidR="008B0895">
          <w:rPr>
            <w:rStyle w:val="Hyperlink"/>
            <w:noProof/>
          </w:rPr>
          <w:t xml:space="preserve">The Auditor’s new rate for 2020 for residential consumers, accepted by PUCO Staff and Duke, is incorrect because it doesn’t take into account </w:t>
        </w:r>
        <w:r w:rsidR="008B0895">
          <w:rPr>
            <w:rStyle w:val="Hyperlink"/>
            <w:noProof/>
          </w:rPr>
          <w:br/>
        </w:r>
        <w:r w:rsidRPr="00AB47D8" w:rsidR="008B0895">
          <w:rPr>
            <w:rStyle w:val="Hyperlink"/>
            <w:noProof/>
          </w:rPr>
          <w:t>the residential rate cap; therefore, Adjustment 11 should be rejected.</w:t>
        </w:r>
        <w:r w:rsidR="008B0895">
          <w:rPr>
            <w:noProof/>
            <w:webHidden/>
          </w:rPr>
          <w:tab/>
        </w:r>
        <w:r w:rsidR="008B0895">
          <w:rPr>
            <w:noProof/>
            <w:webHidden/>
          </w:rPr>
          <w:fldChar w:fldCharType="begin"/>
        </w:r>
        <w:r w:rsidR="008B0895">
          <w:rPr>
            <w:noProof/>
            <w:webHidden/>
          </w:rPr>
          <w:instrText xml:space="preserve"> PAGEREF _Toc99629312 \h </w:instrText>
        </w:r>
        <w:r w:rsidR="008B0895">
          <w:rPr>
            <w:noProof/>
            <w:webHidden/>
          </w:rPr>
          <w:fldChar w:fldCharType="separate"/>
        </w:r>
        <w:r w:rsidR="008B0895">
          <w:rPr>
            <w:noProof/>
            <w:webHidden/>
          </w:rPr>
          <w:t>9</w:t>
        </w:r>
        <w:r w:rsidR="008B0895">
          <w:rPr>
            <w:noProof/>
            <w:webHidden/>
          </w:rPr>
          <w:fldChar w:fldCharType="end"/>
        </w:r>
      </w:hyperlink>
    </w:p>
    <w:p w:rsidR="000E67DD" w14:paraId="0BFF8E7D" w14:textId="42C7A1F4">
      <w:pPr>
        <w:pStyle w:val="TOC2"/>
        <w:tabs>
          <w:tab w:val="left" w:pos="1440"/>
        </w:tabs>
        <w:rPr>
          <w:rFonts w:asciiTheme="minorHAnsi" w:eastAsiaTheme="minorEastAsia" w:hAnsiTheme="minorHAnsi" w:cstheme="minorBidi"/>
          <w:noProof/>
          <w:sz w:val="22"/>
          <w:szCs w:val="22"/>
        </w:rPr>
      </w:pPr>
      <w:hyperlink w:anchor="_Toc99629313" w:history="1">
        <w:r w:rsidRPr="00AB47D8" w:rsidR="008B0895">
          <w:rPr>
            <w:rStyle w:val="Hyperlink"/>
            <w:noProof/>
          </w:rPr>
          <w:t>D.</w:t>
        </w:r>
        <w:r w:rsidR="008B0895">
          <w:rPr>
            <w:rFonts w:asciiTheme="minorHAnsi" w:eastAsiaTheme="minorEastAsia" w:hAnsiTheme="minorHAnsi" w:cstheme="minorBidi"/>
            <w:noProof/>
            <w:sz w:val="22"/>
            <w:szCs w:val="22"/>
          </w:rPr>
          <w:tab/>
        </w:r>
        <w:r w:rsidRPr="00AB47D8" w:rsidR="008B0895">
          <w:rPr>
            <w:rStyle w:val="Hyperlink"/>
            <w:noProof/>
          </w:rPr>
          <w:t xml:space="preserve">To protect consumers, the PUCO should adopt the Auditor’s </w:t>
        </w:r>
        <w:r w:rsidR="008B0895">
          <w:rPr>
            <w:rStyle w:val="Hyperlink"/>
            <w:noProof/>
          </w:rPr>
          <w:br/>
        </w:r>
        <w:r w:rsidRPr="00AB47D8" w:rsidR="008B0895">
          <w:rPr>
            <w:rStyle w:val="Hyperlink"/>
            <w:noProof/>
          </w:rPr>
          <w:t>adjustments to rate case depreciation offset (Adjustment 3), CEP plant balances (Adjustments 6, 8, and 9), estimated in-service dates (Recommendation 5), unitization backlog (Recommendation 7).</w:t>
        </w:r>
        <w:r w:rsidR="008B0895">
          <w:rPr>
            <w:noProof/>
            <w:webHidden/>
          </w:rPr>
          <w:tab/>
        </w:r>
        <w:r w:rsidR="008B0895">
          <w:rPr>
            <w:noProof/>
            <w:webHidden/>
          </w:rPr>
          <w:fldChar w:fldCharType="begin"/>
        </w:r>
        <w:r w:rsidR="008B0895">
          <w:rPr>
            <w:noProof/>
            <w:webHidden/>
          </w:rPr>
          <w:instrText xml:space="preserve"> PAGEREF _Toc99629313 \h </w:instrText>
        </w:r>
        <w:r w:rsidR="008B0895">
          <w:rPr>
            <w:noProof/>
            <w:webHidden/>
          </w:rPr>
          <w:fldChar w:fldCharType="separate"/>
        </w:r>
        <w:r w:rsidR="008B0895">
          <w:rPr>
            <w:noProof/>
            <w:webHidden/>
          </w:rPr>
          <w:t>10</w:t>
        </w:r>
        <w:r w:rsidR="008B0895">
          <w:rPr>
            <w:noProof/>
            <w:webHidden/>
          </w:rPr>
          <w:fldChar w:fldCharType="end"/>
        </w:r>
      </w:hyperlink>
    </w:p>
    <w:p w:rsidR="000E67DD" w14:paraId="660A0602" w14:textId="7952D880">
      <w:pPr>
        <w:pStyle w:val="TOC3"/>
        <w:tabs>
          <w:tab w:val="left" w:pos="2160"/>
        </w:tabs>
        <w:rPr>
          <w:rFonts w:asciiTheme="minorHAnsi" w:eastAsiaTheme="minorEastAsia" w:hAnsiTheme="minorHAnsi" w:cstheme="minorBidi"/>
          <w:noProof/>
          <w:sz w:val="22"/>
          <w:szCs w:val="22"/>
        </w:rPr>
      </w:pPr>
      <w:hyperlink w:anchor="_Toc99629314" w:history="1">
        <w:r w:rsidRPr="00AB47D8" w:rsidR="008B0895">
          <w:rPr>
            <w:rStyle w:val="Hyperlink"/>
            <w:noProof/>
          </w:rPr>
          <w:t xml:space="preserve">1. </w:t>
        </w:r>
        <w:r w:rsidR="008B0895">
          <w:rPr>
            <w:rFonts w:asciiTheme="minorHAnsi" w:eastAsiaTheme="minorEastAsia" w:hAnsiTheme="minorHAnsi" w:cstheme="minorBidi"/>
            <w:noProof/>
            <w:sz w:val="22"/>
            <w:szCs w:val="22"/>
          </w:rPr>
          <w:tab/>
        </w:r>
        <w:r w:rsidRPr="00AB47D8" w:rsidR="008B0895">
          <w:rPr>
            <w:rStyle w:val="Hyperlink"/>
            <w:noProof/>
          </w:rPr>
          <w:t>Despite Duke’s claims to the contrary, the Auditor correctly used the depreciation offset methodology from Case No. 19-791 in Adjustment 3.</w:t>
        </w:r>
        <w:r w:rsidR="008B0895">
          <w:rPr>
            <w:noProof/>
            <w:webHidden/>
          </w:rPr>
          <w:tab/>
        </w:r>
        <w:r w:rsidR="008B0895">
          <w:rPr>
            <w:noProof/>
            <w:webHidden/>
          </w:rPr>
          <w:fldChar w:fldCharType="begin"/>
        </w:r>
        <w:r w:rsidR="008B0895">
          <w:rPr>
            <w:noProof/>
            <w:webHidden/>
          </w:rPr>
          <w:instrText xml:space="preserve"> PAGEREF _Toc99629314 \h </w:instrText>
        </w:r>
        <w:r w:rsidR="008B0895">
          <w:rPr>
            <w:noProof/>
            <w:webHidden/>
          </w:rPr>
          <w:fldChar w:fldCharType="separate"/>
        </w:r>
        <w:r w:rsidR="008B0895">
          <w:rPr>
            <w:noProof/>
            <w:webHidden/>
          </w:rPr>
          <w:t>10</w:t>
        </w:r>
        <w:r w:rsidR="008B0895">
          <w:rPr>
            <w:noProof/>
            <w:webHidden/>
          </w:rPr>
          <w:fldChar w:fldCharType="end"/>
        </w:r>
      </w:hyperlink>
    </w:p>
    <w:p w:rsidR="000E67DD" w14:paraId="29956833" w14:textId="7F9CE754">
      <w:pPr>
        <w:pStyle w:val="TOC3"/>
        <w:tabs>
          <w:tab w:val="left" w:pos="2160"/>
        </w:tabs>
        <w:rPr>
          <w:rFonts w:asciiTheme="minorHAnsi" w:eastAsiaTheme="minorEastAsia" w:hAnsiTheme="minorHAnsi" w:cstheme="minorBidi"/>
          <w:noProof/>
          <w:sz w:val="22"/>
          <w:szCs w:val="22"/>
        </w:rPr>
      </w:pPr>
      <w:hyperlink w:anchor="_Toc99629315" w:history="1">
        <w:r w:rsidRPr="00AB47D8" w:rsidR="008B0895">
          <w:rPr>
            <w:rStyle w:val="Hyperlink"/>
            <w:noProof/>
          </w:rPr>
          <w:t xml:space="preserve">2. </w:t>
        </w:r>
        <w:r w:rsidR="008B0895">
          <w:rPr>
            <w:rFonts w:asciiTheme="minorHAnsi" w:eastAsiaTheme="minorEastAsia" w:hAnsiTheme="minorHAnsi" w:cstheme="minorBidi"/>
            <w:noProof/>
            <w:sz w:val="22"/>
            <w:szCs w:val="22"/>
          </w:rPr>
          <w:tab/>
        </w:r>
        <w:r w:rsidRPr="00AB47D8" w:rsidR="008B0895">
          <w:rPr>
            <w:rStyle w:val="Hyperlink"/>
            <w:noProof/>
          </w:rPr>
          <w:t xml:space="preserve">Duke has not shown that gross plant and cost of removal costs </w:t>
        </w:r>
        <w:r w:rsidR="008B0895">
          <w:rPr>
            <w:rStyle w:val="Hyperlink"/>
            <w:noProof/>
          </w:rPr>
          <w:br/>
        </w:r>
        <w:r w:rsidRPr="00AB47D8" w:rsidR="008B0895">
          <w:rPr>
            <w:rStyle w:val="Hyperlink"/>
            <w:noProof/>
          </w:rPr>
          <w:t>are not part of the CEP and therefore the Auditor was correct in removing them from the Rider (Adjustment 6).</w:t>
        </w:r>
        <w:r w:rsidR="008B0895">
          <w:rPr>
            <w:noProof/>
            <w:webHidden/>
          </w:rPr>
          <w:tab/>
        </w:r>
        <w:r w:rsidR="008B0895">
          <w:rPr>
            <w:noProof/>
            <w:webHidden/>
          </w:rPr>
          <w:fldChar w:fldCharType="begin"/>
        </w:r>
        <w:r w:rsidR="008B0895">
          <w:rPr>
            <w:noProof/>
            <w:webHidden/>
          </w:rPr>
          <w:instrText xml:space="preserve"> PAGEREF _Toc99629315 \h </w:instrText>
        </w:r>
        <w:r w:rsidR="008B0895">
          <w:rPr>
            <w:noProof/>
            <w:webHidden/>
          </w:rPr>
          <w:fldChar w:fldCharType="separate"/>
        </w:r>
        <w:r w:rsidR="008B0895">
          <w:rPr>
            <w:noProof/>
            <w:webHidden/>
          </w:rPr>
          <w:t>12</w:t>
        </w:r>
        <w:r w:rsidR="008B0895">
          <w:rPr>
            <w:noProof/>
            <w:webHidden/>
          </w:rPr>
          <w:fldChar w:fldCharType="end"/>
        </w:r>
      </w:hyperlink>
    </w:p>
    <w:p w:rsidR="000E67DD" w14:paraId="63CB2E76" w14:textId="154A6A4D">
      <w:pPr>
        <w:pStyle w:val="TOC3"/>
        <w:tabs>
          <w:tab w:val="left" w:pos="2160"/>
        </w:tabs>
        <w:rPr>
          <w:rFonts w:asciiTheme="minorHAnsi" w:eastAsiaTheme="minorEastAsia" w:hAnsiTheme="minorHAnsi" w:cstheme="minorBidi"/>
          <w:noProof/>
          <w:sz w:val="22"/>
          <w:szCs w:val="22"/>
        </w:rPr>
      </w:pPr>
      <w:hyperlink w:anchor="_Toc99629316" w:history="1">
        <w:r w:rsidRPr="00AB47D8" w:rsidR="008B0895">
          <w:rPr>
            <w:rStyle w:val="Hyperlink"/>
            <w:noProof/>
          </w:rPr>
          <w:t>3.</w:t>
        </w:r>
        <w:r w:rsidR="008B0895">
          <w:rPr>
            <w:rFonts w:asciiTheme="minorHAnsi" w:eastAsiaTheme="minorEastAsia" w:hAnsiTheme="minorHAnsi" w:cstheme="minorBidi"/>
            <w:noProof/>
            <w:sz w:val="22"/>
            <w:szCs w:val="22"/>
          </w:rPr>
          <w:tab/>
        </w:r>
        <w:r w:rsidRPr="00AB47D8" w:rsidR="008B0895">
          <w:rPr>
            <w:rStyle w:val="Hyperlink"/>
            <w:noProof/>
          </w:rPr>
          <w:t>Despite Duke’s claims to the contrary, the Auditor correctly removed an acquisition premium for land paid above fair market value (Adjustment 8).</w:t>
        </w:r>
        <w:r w:rsidR="008B0895">
          <w:rPr>
            <w:noProof/>
            <w:webHidden/>
          </w:rPr>
          <w:tab/>
        </w:r>
        <w:r w:rsidR="008B0895">
          <w:rPr>
            <w:noProof/>
            <w:webHidden/>
          </w:rPr>
          <w:fldChar w:fldCharType="begin"/>
        </w:r>
        <w:r w:rsidR="008B0895">
          <w:rPr>
            <w:noProof/>
            <w:webHidden/>
          </w:rPr>
          <w:instrText xml:space="preserve"> PAGEREF _Toc99629316 \h </w:instrText>
        </w:r>
        <w:r w:rsidR="008B0895">
          <w:rPr>
            <w:noProof/>
            <w:webHidden/>
          </w:rPr>
          <w:fldChar w:fldCharType="separate"/>
        </w:r>
        <w:r w:rsidR="008B0895">
          <w:rPr>
            <w:noProof/>
            <w:webHidden/>
          </w:rPr>
          <w:t>13</w:t>
        </w:r>
        <w:r w:rsidR="008B0895">
          <w:rPr>
            <w:noProof/>
            <w:webHidden/>
          </w:rPr>
          <w:fldChar w:fldCharType="end"/>
        </w:r>
      </w:hyperlink>
    </w:p>
    <w:p w:rsidR="000E67DD" w14:paraId="04C25F14" w14:textId="676EC46A">
      <w:pPr>
        <w:pStyle w:val="TOC3"/>
        <w:tabs>
          <w:tab w:val="left" w:pos="2160"/>
        </w:tabs>
        <w:rPr>
          <w:rFonts w:asciiTheme="minorHAnsi" w:eastAsiaTheme="minorEastAsia" w:hAnsiTheme="minorHAnsi" w:cstheme="minorBidi"/>
          <w:noProof/>
          <w:sz w:val="22"/>
          <w:szCs w:val="22"/>
        </w:rPr>
      </w:pPr>
      <w:hyperlink w:anchor="_Toc99629317" w:history="1">
        <w:r w:rsidRPr="00AB47D8" w:rsidR="008B0895">
          <w:rPr>
            <w:rStyle w:val="Hyperlink"/>
            <w:noProof/>
          </w:rPr>
          <w:t xml:space="preserve">4. </w:t>
        </w:r>
        <w:r w:rsidR="008B0895">
          <w:rPr>
            <w:rFonts w:asciiTheme="minorHAnsi" w:eastAsiaTheme="minorEastAsia" w:hAnsiTheme="minorHAnsi" w:cstheme="minorBidi"/>
            <w:noProof/>
            <w:sz w:val="22"/>
            <w:szCs w:val="22"/>
          </w:rPr>
          <w:tab/>
        </w:r>
        <w:r w:rsidRPr="00AB47D8" w:rsidR="008B0895">
          <w:rPr>
            <w:rStyle w:val="Hyperlink"/>
            <w:noProof/>
          </w:rPr>
          <w:t>Despite Duke’s claims to the contrary, the Auditor properly removed over 10 months of AFUDC when little to no work was performed (Adjustment 9).</w:t>
        </w:r>
        <w:r w:rsidR="008B0895">
          <w:rPr>
            <w:noProof/>
            <w:webHidden/>
          </w:rPr>
          <w:tab/>
        </w:r>
        <w:r w:rsidR="008B0895">
          <w:rPr>
            <w:noProof/>
            <w:webHidden/>
          </w:rPr>
          <w:fldChar w:fldCharType="begin"/>
        </w:r>
        <w:r w:rsidR="008B0895">
          <w:rPr>
            <w:noProof/>
            <w:webHidden/>
          </w:rPr>
          <w:instrText xml:space="preserve"> PAGEREF _Toc99629317 \h </w:instrText>
        </w:r>
        <w:r w:rsidR="008B0895">
          <w:rPr>
            <w:noProof/>
            <w:webHidden/>
          </w:rPr>
          <w:fldChar w:fldCharType="separate"/>
        </w:r>
        <w:r w:rsidR="008B0895">
          <w:rPr>
            <w:noProof/>
            <w:webHidden/>
          </w:rPr>
          <w:t>14</w:t>
        </w:r>
        <w:r w:rsidR="008B0895">
          <w:rPr>
            <w:noProof/>
            <w:webHidden/>
          </w:rPr>
          <w:fldChar w:fldCharType="end"/>
        </w:r>
      </w:hyperlink>
    </w:p>
    <w:p w:rsidR="000E67DD" w14:paraId="2FC63F8F" w14:textId="3EE4C0D9">
      <w:pPr>
        <w:pStyle w:val="TOC3"/>
        <w:tabs>
          <w:tab w:val="left" w:pos="2160"/>
        </w:tabs>
        <w:rPr>
          <w:rFonts w:asciiTheme="minorHAnsi" w:eastAsiaTheme="minorEastAsia" w:hAnsiTheme="minorHAnsi" w:cstheme="minorBidi"/>
          <w:noProof/>
          <w:sz w:val="22"/>
          <w:szCs w:val="22"/>
        </w:rPr>
      </w:pPr>
      <w:hyperlink w:anchor="_Toc99629318" w:history="1">
        <w:r w:rsidRPr="00AB47D8" w:rsidR="008B0895">
          <w:rPr>
            <w:rStyle w:val="Hyperlink"/>
            <w:noProof/>
          </w:rPr>
          <w:t xml:space="preserve">5. </w:t>
        </w:r>
        <w:r w:rsidR="008B0895">
          <w:rPr>
            <w:rFonts w:asciiTheme="minorHAnsi" w:eastAsiaTheme="minorEastAsia" w:hAnsiTheme="minorHAnsi" w:cstheme="minorBidi"/>
            <w:noProof/>
            <w:sz w:val="22"/>
            <w:szCs w:val="22"/>
          </w:rPr>
          <w:tab/>
        </w:r>
        <w:r w:rsidRPr="00AB47D8" w:rsidR="008B0895">
          <w:rPr>
            <w:rStyle w:val="Hyperlink"/>
            <w:noProof/>
          </w:rPr>
          <w:t>The Auditor’s recommendation that major non-blanket project changes in estimated in-service dates should be documented as modified by PUCO Staff (Recommendation 5).</w:t>
        </w:r>
        <w:r w:rsidR="008B0895">
          <w:rPr>
            <w:noProof/>
            <w:webHidden/>
          </w:rPr>
          <w:tab/>
        </w:r>
        <w:r w:rsidR="008B0895">
          <w:rPr>
            <w:noProof/>
            <w:webHidden/>
          </w:rPr>
          <w:fldChar w:fldCharType="begin"/>
        </w:r>
        <w:r w:rsidR="008B0895">
          <w:rPr>
            <w:noProof/>
            <w:webHidden/>
          </w:rPr>
          <w:instrText xml:space="preserve"> PAGEREF _Toc99629318 \h </w:instrText>
        </w:r>
        <w:r w:rsidR="008B0895">
          <w:rPr>
            <w:noProof/>
            <w:webHidden/>
          </w:rPr>
          <w:fldChar w:fldCharType="separate"/>
        </w:r>
        <w:r w:rsidR="008B0895">
          <w:rPr>
            <w:noProof/>
            <w:webHidden/>
          </w:rPr>
          <w:t>14</w:t>
        </w:r>
        <w:r w:rsidR="008B0895">
          <w:rPr>
            <w:noProof/>
            <w:webHidden/>
          </w:rPr>
          <w:fldChar w:fldCharType="end"/>
        </w:r>
      </w:hyperlink>
    </w:p>
    <w:p w:rsidR="000E67DD" w14:paraId="63811AC0" w14:textId="72BDFCAC">
      <w:pPr>
        <w:pStyle w:val="TOC3"/>
        <w:tabs>
          <w:tab w:val="left" w:pos="2160"/>
        </w:tabs>
        <w:rPr>
          <w:rFonts w:asciiTheme="minorHAnsi" w:eastAsiaTheme="minorEastAsia" w:hAnsiTheme="minorHAnsi" w:cstheme="minorBidi"/>
          <w:noProof/>
          <w:sz w:val="22"/>
          <w:szCs w:val="22"/>
        </w:rPr>
      </w:pPr>
      <w:hyperlink w:anchor="_Toc99629319" w:history="1">
        <w:r w:rsidRPr="00AB47D8" w:rsidR="008B0895">
          <w:rPr>
            <w:rStyle w:val="Hyperlink"/>
            <w:noProof/>
          </w:rPr>
          <w:t xml:space="preserve">6. </w:t>
        </w:r>
        <w:r w:rsidR="008B0895">
          <w:rPr>
            <w:rFonts w:asciiTheme="minorHAnsi" w:eastAsiaTheme="minorEastAsia" w:hAnsiTheme="minorHAnsi" w:cstheme="minorBidi"/>
            <w:noProof/>
            <w:sz w:val="22"/>
            <w:szCs w:val="22"/>
          </w:rPr>
          <w:tab/>
        </w:r>
        <w:r w:rsidRPr="00AB47D8" w:rsidR="008B0895">
          <w:rPr>
            <w:rStyle w:val="Hyperlink"/>
            <w:noProof/>
          </w:rPr>
          <w:t>The Auditor’s recommendation that the over-12-month work orders be unitized should be modified as recommended by the PUCO Staff (Recommendation 7).</w:t>
        </w:r>
        <w:r w:rsidR="008B0895">
          <w:rPr>
            <w:noProof/>
            <w:webHidden/>
          </w:rPr>
          <w:tab/>
        </w:r>
        <w:r w:rsidR="008B0895">
          <w:rPr>
            <w:noProof/>
            <w:webHidden/>
          </w:rPr>
          <w:fldChar w:fldCharType="begin"/>
        </w:r>
        <w:r w:rsidR="008B0895">
          <w:rPr>
            <w:noProof/>
            <w:webHidden/>
          </w:rPr>
          <w:instrText xml:space="preserve"> PAGEREF _Toc99629319 \h </w:instrText>
        </w:r>
        <w:r w:rsidR="008B0895">
          <w:rPr>
            <w:noProof/>
            <w:webHidden/>
          </w:rPr>
          <w:fldChar w:fldCharType="separate"/>
        </w:r>
        <w:r w:rsidR="008B0895">
          <w:rPr>
            <w:noProof/>
            <w:webHidden/>
          </w:rPr>
          <w:t>15</w:t>
        </w:r>
        <w:r w:rsidR="008B0895">
          <w:rPr>
            <w:noProof/>
            <w:webHidden/>
          </w:rPr>
          <w:fldChar w:fldCharType="end"/>
        </w:r>
      </w:hyperlink>
    </w:p>
    <w:p w:rsidR="000E67DD" w14:paraId="6AEC34BA" w14:textId="3675D7DE">
      <w:pPr>
        <w:pStyle w:val="TOC1"/>
        <w:rPr>
          <w:rFonts w:asciiTheme="minorHAnsi" w:eastAsiaTheme="minorEastAsia" w:hAnsiTheme="minorHAnsi" w:cstheme="minorBidi"/>
          <w:noProof/>
          <w:sz w:val="22"/>
          <w:szCs w:val="22"/>
        </w:rPr>
      </w:pPr>
      <w:hyperlink w:anchor="_Toc99629320" w:history="1">
        <w:r w:rsidRPr="00AB47D8" w:rsidR="008B0895">
          <w:rPr>
            <w:rStyle w:val="Hyperlink"/>
            <w:noProof/>
          </w:rPr>
          <w:t>III.</w:t>
        </w:r>
        <w:r w:rsidR="008B0895">
          <w:rPr>
            <w:rFonts w:asciiTheme="minorHAnsi" w:eastAsiaTheme="minorEastAsia" w:hAnsiTheme="minorHAnsi" w:cstheme="minorBidi"/>
            <w:noProof/>
            <w:sz w:val="22"/>
            <w:szCs w:val="22"/>
          </w:rPr>
          <w:tab/>
        </w:r>
        <w:r w:rsidRPr="00AB47D8" w:rsidR="008B0895">
          <w:rPr>
            <w:rStyle w:val="Hyperlink"/>
            <w:noProof/>
          </w:rPr>
          <w:t>CONCLUSION</w:t>
        </w:r>
        <w:r w:rsidR="008B0895">
          <w:rPr>
            <w:noProof/>
            <w:webHidden/>
          </w:rPr>
          <w:tab/>
        </w:r>
        <w:r w:rsidR="008B0895">
          <w:rPr>
            <w:noProof/>
            <w:webHidden/>
          </w:rPr>
          <w:fldChar w:fldCharType="begin"/>
        </w:r>
        <w:r w:rsidR="008B0895">
          <w:rPr>
            <w:noProof/>
            <w:webHidden/>
          </w:rPr>
          <w:instrText xml:space="preserve"> PAGEREF _Toc99629320 \h </w:instrText>
        </w:r>
        <w:r w:rsidR="008B0895">
          <w:rPr>
            <w:noProof/>
            <w:webHidden/>
          </w:rPr>
          <w:fldChar w:fldCharType="separate"/>
        </w:r>
        <w:r w:rsidR="008B0895">
          <w:rPr>
            <w:noProof/>
            <w:webHidden/>
          </w:rPr>
          <w:t>16</w:t>
        </w:r>
        <w:r w:rsidR="008B0895">
          <w:rPr>
            <w:noProof/>
            <w:webHidden/>
          </w:rPr>
          <w:fldChar w:fldCharType="end"/>
        </w:r>
      </w:hyperlink>
    </w:p>
    <w:p w:rsidR="00CB581C" w:rsidP="00C2213A" w14:paraId="6E794D57" w14:textId="02AFC2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bCs/>
          <w:sz w:val="24"/>
        </w:rPr>
      </w:pPr>
      <w:r>
        <w:rPr>
          <w:rFonts w:ascii="Times New Roman" w:hAnsi="Times New Roman"/>
          <w:b/>
          <w:bCs/>
          <w:sz w:val="24"/>
        </w:rPr>
        <w:fldChar w:fldCharType="end"/>
      </w:r>
    </w:p>
    <w:p w:rsidR="00E53E1E" w:rsidP="00C2213A" w14:paraId="7ECF6AA6" w14:textId="60FDF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bCs/>
          <w:sz w:val="24"/>
        </w:rPr>
      </w:pPr>
    </w:p>
    <w:p w:rsidR="005F5405" w:rsidP="00C2213A" w14:paraId="763B667A"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rPr>
      </w:pPr>
    </w:p>
    <w:p w:rsidR="005F5405" w:rsidP="00C2213A" w14:paraId="5FD7400B"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rPr>
        <w:sectPr w:rsidSect="00427E9D">
          <w:footerReference w:type="first" r:id="rId10"/>
          <w:pgSz w:w="12240" w:h="15840"/>
          <w:pgMar w:top="1440" w:right="1800" w:bottom="1440" w:left="1800" w:header="720" w:footer="720" w:gutter="0"/>
          <w:pgNumType w:fmt="lowerRoman" w:start="1"/>
          <w:cols w:space="720"/>
          <w:titlePg/>
          <w:docGrid w:linePitch="326"/>
        </w:sectPr>
      </w:pPr>
    </w:p>
    <w:p w:rsidR="00836BDA" w:rsidP="00C2213A" w14:paraId="5FC0CB39"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rPr>
      </w:pPr>
      <w:r>
        <w:rPr>
          <w:rFonts w:ascii="Times New Roman" w:hAnsi="Times New Roman"/>
          <w:b/>
          <w:bCs/>
          <w:sz w:val="24"/>
        </w:rPr>
        <w:t>BEFORE</w:t>
      </w:r>
    </w:p>
    <w:p w:rsidR="00836BDA" w:rsidP="00C2213A" w14:paraId="024132C3"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rPr>
      </w:pPr>
      <w:r>
        <w:rPr>
          <w:rFonts w:ascii="Times New Roman" w:hAnsi="Times New Roman"/>
          <w:b/>
          <w:bCs/>
          <w:sz w:val="24"/>
        </w:rPr>
        <w:t>THE PUBLIC UTILITIES COMMISSION OF OHIO</w:t>
      </w:r>
    </w:p>
    <w:p w:rsidR="00836BDA" w:rsidP="00C2213A" w14:paraId="1A450948"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tbl>
      <w:tblPr>
        <w:tblW w:w="8640" w:type="dxa"/>
        <w:tblLook w:val="01E0"/>
      </w:tblPr>
      <w:tblGrid>
        <w:gridCol w:w="4140"/>
        <w:gridCol w:w="360"/>
        <w:gridCol w:w="4140"/>
      </w:tblGrid>
      <w:tr w14:paraId="54D628D4" w14:textId="77777777" w:rsidTr="00F24CBE">
        <w:tblPrEx>
          <w:tblW w:w="8640" w:type="dxa"/>
          <w:tblLook w:val="01E0"/>
        </w:tblPrEx>
        <w:trPr>
          <w:trHeight w:val="807"/>
        </w:trPr>
        <w:tc>
          <w:tcPr>
            <w:tcW w:w="4140" w:type="dxa"/>
            <w:shd w:val="clear" w:color="auto" w:fill="auto"/>
          </w:tcPr>
          <w:p w:rsidR="005D1BF5" w:rsidRPr="00A044B5" w:rsidP="00C2213A" w14:paraId="138AFF94" w14:textId="52FC2E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194E09">
              <w:rPr>
                <w:rFonts w:ascii="Times New Roman" w:hAnsi="Times New Roman" w:cs="Times New Roman"/>
                <w:sz w:val="24"/>
                <w:szCs w:val="24"/>
              </w:rPr>
              <w:t xml:space="preserve">In the Matter of the Application of Duke Energy Ohio, Inc. for </w:t>
            </w:r>
            <w:r w:rsidR="0025377E">
              <w:rPr>
                <w:rFonts w:ascii="Times New Roman" w:hAnsi="Times New Roman" w:cs="Times New Roman"/>
                <w:sz w:val="24"/>
                <w:szCs w:val="24"/>
              </w:rPr>
              <w:t>an Adjustment to the Capital Expenditure Program Rider Rate.</w:t>
            </w:r>
          </w:p>
        </w:tc>
        <w:tc>
          <w:tcPr>
            <w:tcW w:w="360" w:type="dxa"/>
            <w:shd w:val="clear" w:color="auto" w:fill="auto"/>
          </w:tcPr>
          <w:p w:rsidR="005D1BF5" w:rsidRPr="00A044B5" w:rsidP="00C2213A" w14:paraId="567B7D46"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sidRPr="00A044B5">
              <w:rPr>
                <w:rFonts w:ascii="Times New Roman" w:hAnsi="Times New Roman"/>
                <w:sz w:val="24"/>
              </w:rPr>
              <w:t>)</w:t>
            </w:r>
          </w:p>
          <w:p w:rsidR="005D1BF5" w:rsidRPr="00A044B5" w:rsidP="00C2213A" w14:paraId="5A81BC39"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sidRPr="00A044B5">
              <w:rPr>
                <w:rFonts w:ascii="Times New Roman" w:hAnsi="Times New Roman"/>
                <w:sz w:val="24"/>
              </w:rPr>
              <w:t>)</w:t>
            </w:r>
          </w:p>
          <w:p w:rsidR="005D1BF5" w:rsidP="00427E9D" w14:paraId="5229427B"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sidRPr="00A044B5">
              <w:rPr>
                <w:rFonts w:ascii="Times New Roman" w:hAnsi="Times New Roman"/>
                <w:sz w:val="24"/>
              </w:rPr>
              <w:t>)</w:t>
            </w:r>
          </w:p>
          <w:p w:rsidR="00F24CBE" w:rsidRPr="00A044B5" w:rsidP="00427E9D" w14:paraId="7BB1F9FF" w14:textId="13E85B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w:t>
            </w:r>
          </w:p>
        </w:tc>
        <w:tc>
          <w:tcPr>
            <w:tcW w:w="4140" w:type="dxa"/>
            <w:shd w:val="clear" w:color="auto" w:fill="auto"/>
          </w:tcPr>
          <w:p w:rsidR="005D1BF5" w:rsidRPr="00A044B5" w:rsidP="00C2213A" w14:paraId="75D09C1A"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5D1BF5" w:rsidRPr="00A044B5" w:rsidP="00C2213A" w14:paraId="58323696" w14:textId="7EBBB3D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sidRPr="00A044B5">
              <w:rPr>
                <w:rFonts w:ascii="Times New Roman" w:hAnsi="Times New Roman"/>
                <w:sz w:val="24"/>
              </w:rPr>
              <w:t xml:space="preserve">Case No. </w:t>
            </w:r>
            <w:r w:rsidR="0025377E">
              <w:rPr>
                <w:rFonts w:ascii="Times New Roman" w:hAnsi="Times New Roman"/>
                <w:sz w:val="24"/>
              </w:rPr>
              <w:t>21-618-GA-RDR</w:t>
            </w:r>
          </w:p>
          <w:p w:rsidR="005D1BF5" w:rsidRPr="00A044B5" w:rsidP="00C2213A" w14:paraId="19650DFC"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tc>
      </w:tr>
    </w:tbl>
    <w:p w:rsidR="00836BDA" w:rsidP="00C2213A" w14:paraId="66BCB6E5"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836BDA" w:rsidP="00C2213A" w14:paraId="70C169EC" w14:textId="77777777">
      <w:pPr>
        <w:pStyle w:val="HTMLPreformatted"/>
        <w:pBdr>
          <w:top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836BDA" w:rsidP="00C2213A" w14:paraId="470970CE" w14:textId="26FDB564">
      <w:pPr>
        <w:jc w:val="center"/>
        <w:rPr>
          <w:b/>
          <w:bCs/>
        </w:rPr>
      </w:pPr>
      <w:r>
        <w:rPr>
          <w:b/>
          <w:bCs/>
        </w:rPr>
        <w:t>REPLY</w:t>
      </w:r>
      <w:r w:rsidR="00B5034C">
        <w:rPr>
          <w:b/>
          <w:bCs/>
        </w:rPr>
        <w:t xml:space="preserve"> BRIEF</w:t>
      </w:r>
      <w:r w:rsidR="0025377E">
        <w:rPr>
          <w:b/>
          <w:bCs/>
        </w:rPr>
        <w:t xml:space="preserve"> FOR CONSUMER PROTECTION</w:t>
      </w:r>
    </w:p>
    <w:p w:rsidR="00836BDA" w:rsidP="00C2213A" w14:paraId="5039623B" w14:textId="77777777">
      <w:pPr>
        <w:jc w:val="center"/>
        <w:rPr>
          <w:b/>
          <w:bCs/>
        </w:rPr>
      </w:pPr>
      <w:r>
        <w:rPr>
          <w:b/>
          <w:bCs/>
        </w:rPr>
        <w:t>BY</w:t>
      </w:r>
    </w:p>
    <w:p w:rsidR="00836BDA" w:rsidP="00C2213A" w14:paraId="447A51A4" w14:textId="3E5AA3E8">
      <w:pPr>
        <w:jc w:val="center"/>
        <w:rPr>
          <w:b/>
          <w:bCs/>
        </w:rPr>
      </w:pPr>
      <w:r>
        <w:rPr>
          <w:b/>
          <w:bCs/>
        </w:rPr>
        <w:t>OFFICE OF THE OHIO CONSUMERS’ COUNSEL</w:t>
      </w:r>
    </w:p>
    <w:p w:rsidR="00836BDA" w:rsidP="00C2213A" w14:paraId="239AE31C" w14:textId="77777777">
      <w:pPr>
        <w:pBdr>
          <w:bottom w:val="single" w:sz="12" w:space="1" w:color="auto"/>
        </w:pBdr>
      </w:pPr>
    </w:p>
    <w:p w:rsidR="00836BDA" w:rsidP="00C2213A" w14:paraId="08077D8B" w14:textId="77777777"/>
    <w:p w:rsidR="0069402D" w:rsidRPr="00B9194E" w:rsidP="00C2213A" w14:paraId="22680534" w14:textId="77777777">
      <w:pPr>
        <w:pStyle w:val="Heading1"/>
      </w:pPr>
      <w:bookmarkStart w:id="0" w:name="_Toc52353749"/>
      <w:bookmarkStart w:id="1" w:name="_Toc66459245"/>
      <w:bookmarkStart w:id="2" w:name="_Toc99629308"/>
      <w:r>
        <w:t>I.</w:t>
      </w:r>
      <w:r>
        <w:tab/>
        <w:t>INTRODUCTION</w:t>
      </w:r>
      <w:bookmarkEnd w:id="0"/>
      <w:bookmarkEnd w:id="1"/>
      <w:bookmarkEnd w:id="2"/>
    </w:p>
    <w:p w:rsidR="007457E6" w:rsidP="0065500B" w14:paraId="0D3A1865" w14:textId="5DF00FDD">
      <w:pPr>
        <w:pStyle w:val="BodyTextIndent3"/>
        <w:spacing w:line="480" w:lineRule="auto"/>
      </w:pPr>
      <w:r>
        <w:t xml:space="preserve">To protect consumers, the Public Utilities Commission of Ohio (“PUCO”) should adopt Office of the Ohio Consumers’ Counsel’s (“OCC”) recommendations </w:t>
      </w:r>
      <w:r w:rsidR="00280363">
        <w:t>regarding Duke’s capital expenditure program (</w:t>
      </w:r>
      <w:r w:rsidR="00AD2378">
        <w:t>“</w:t>
      </w:r>
      <w:r w:rsidR="00280363">
        <w:t>CEP</w:t>
      </w:r>
      <w:r w:rsidR="00AD2378">
        <w:t>”</w:t>
      </w:r>
      <w:r w:rsidR="00280363">
        <w:t xml:space="preserve">) Rider </w:t>
      </w:r>
      <w:r>
        <w:t>as described in OCC’s initial brief.</w:t>
      </w:r>
      <w:r>
        <w:rPr>
          <w:rStyle w:val="FootnoteReference"/>
        </w:rPr>
        <w:footnoteReference w:id="2"/>
      </w:r>
      <w:r>
        <w:t xml:space="preserve"> </w:t>
      </w:r>
    </w:p>
    <w:p w:rsidR="00957CA4" w:rsidP="0065500B" w14:paraId="3BA77654" w14:textId="5D9D8593">
      <w:pPr>
        <w:pStyle w:val="BodyTextIndent3"/>
        <w:spacing w:line="480" w:lineRule="auto"/>
      </w:pPr>
      <w:r>
        <w:t>T</w:t>
      </w:r>
      <w:r w:rsidR="0065500B">
        <w:t>he PUCO should adjust Duke’s rate of return based on current market conditions</w:t>
      </w:r>
      <w:r w:rsidR="00245192">
        <w:t xml:space="preserve"> and </w:t>
      </w:r>
      <w:r w:rsidR="001A0812">
        <w:t xml:space="preserve">not </w:t>
      </w:r>
      <w:r w:rsidR="00245192">
        <w:t xml:space="preserve">based on </w:t>
      </w:r>
      <w:r w:rsidR="001A0812">
        <w:t>a rate of return set 13 years ago</w:t>
      </w:r>
      <w:r w:rsidR="0065500B">
        <w:t>.</w:t>
      </w:r>
      <w:r>
        <w:rPr>
          <w:rStyle w:val="FootnoteReference"/>
        </w:rPr>
        <w:footnoteReference w:id="3"/>
      </w:r>
      <w:r w:rsidR="0065500B">
        <w:t xml:space="preserve"> The PUCO should implement $1.00 residential rate caps that were adopted for </w:t>
      </w:r>
      <w:r w:rsidR="007E6AC2">
        <w:t xml:space="preserve">Duke’s </w:t>
      </w:r>
      <w:r w:rsidR="0065500B">
        <w:t>2021 and going</w:t>
      </w:r>
      <w:r w:rsidR="007E6AC2">
        <w:t xml:space="preserve"> </w:t>
      </w:r>
      <w:r w:rsidR="0065500B">
        <w:t>forward</w:t>
      </w:r>
      <w:r w:rsidR="007E6AC2">
        <w:t xml:space="preserve"> CEP investments</w:t>
      </w:r>
      <w:r w:rsidR="00AD2378">
        <w:t>,</w:t>
      </w:r>
      <w:r>
        <w:rPr>
          <w:rStyle w:val="FootnoteReference"/>
        </w:rPr>
        <w:footnoteReference w:id="4"/>
      </w:r>
      <w:r w:rsidR="007E6AC2">
        <w:t xml:space="preserve"> and apply the</w:t>
      </w:r>
      <w:r>
        <w:t>se</w:t>
      </w:r>
      <w:r w:rsidR="007E6AC2">
        <w:t xml:space="preserve"> caps to</w:t>
      </w:r>
      <w:r w:rsidR="0065500B">
        <w:t xml:space="preserve"> </w:t>
      </w:r>
      <w:r w:rsidR="007E6AC2">
        <w:t>the</w:t>
      </w:r>
      <w:r w:rsidR="0065500B">
        <w:t xml:space="preserve"> 2019 and 2020 investments </w:t>
      </w:r>
      <w:r w:rsidR="007E6AC2">
        <w:t xml:space="preserve">that are </w:t>
      </w:r>
      <w:r w:rsidR="0065500B">
        <w:t>being considered in this case.</w:t>
      </w:r>
      <w:r>
        <w:rPr>
          <w:rStyle w:val="FootnoteReference"/>
        </w:rPr>
        <w:footnoteReference w:id="5"/>
      </w:r>
      <w:r w:rsidR="0065500B">
        <w:t xml:space="preserve"> </w:t>
      </w:r>
    </w:p>
    <w:p w:rsidR="0024049B" w:rsidP="00D06EA7" w14:paraId="47266A0D" w14:textId="5CD3A0E1">
      <w:pPr>
        <w:pStyle w:val="BodyTextIndent3"/>
        <w:spacing w:line="480" w:lineRule="auto"/>
      </w:pPr>
      <w:r>
        <w:t xml:space="preserve">The PUCO should not allow Duke to charge consumers for the utility’s financial performance incentives benefitting </w:t>
      </w:r>
      <w:r w:rsidR="00D71836">
        <w:t xml:space="preserve">only Duke’s </w:t>
      </w:r>
      <w:r>
        <w:t>stockholders</w:t>
      </w:r>
      <w:r w:rsidR="00D71836">
        <w:t xml:space="preserve"> while providing nothing of value for consumers</w:t>
      </w:r>
      <w:r>
        <w:t>.</w:t>
      </w:r>
      <w:r>
        <w:rPr>
          <w:rStyle w:val="FootnoteReference"/>
        </w:rPr>
        <w:footnoteReference w:id="6"/>
      </w:r>
      <w:r>
        <w:t xml:space="preserve"> The PUCO should identify the O&amp;M savings that are generated as a result of Duke’s CEP spending as reductions to the amount that </w:t>
      </w:r>
      <w:r w:rsidR="00811A5C">
        <w:t>consumers</w:t>
      </w:r>
      <w:r>
        <w:t xml:space="preserve"> pay to Duke for its CEP Rider.</w:t>
      </w:r>
      <w:r>
        <w:rPr>
          <w:rStyle w:val="FootnoteReference"/>
        </w:rPr>
        <w:footnoteReference w:id="7"/>
      </w:r>
      <w:r>
        <w:t xml:space="preserve"> </w:t>
      </w:r>
      <w:r w:rsidR="00F9745C">
        <w:t>T</w:t>
      </w:r>
      <w:r>
        <w:t>he PUCO should enforce a maximum cap of $8.</w:t>
      </w:r>
      <w:r w:rsidR="001A0812">
        <w:t>9</w:t>
      </w:r>
      <w:r>
        <w:t>3 per month for Duke’s 2020 CEP Rider to comply with the Settlement and PUCO</w:t>
      </w:r>
      <w:r w:rsidR="007457E6">
        <w:t>’s</w:t>
      </w:r>
      <w:r>
        <w:t xml:space="preserve"> Order in Case No. 19-791-GA-ALT.</w:t>
      </w:r>
      <w:r>
        <w:rPr>
          <w:rStyle w:val="FootnoteReference"/>
        </w:rPr>
        <w:footnoteReference w:id="8"/>
      </w:r>
      <w:r>
        <w:t xml:space="preserve"> </w:t>
      </w:r>
    </w:p>
    <w:p w:rsidR="00124E0B" w:rsidP="00D06EA7" w14:paraId="5FAE1D9C" w14:textId="2DC6DF77">
      <w:pPr>
        <w:pStyle w:val="BodyTextIndent3"/>
        <w:spacing w:line="480" w:lineRule="auto"/>
      </w:pPr>
      <w:r>
        <w:t>OCC disagrees with the Staff of the Public Utilities Commission (“PUCO Staff”) that Duke has not significantly over-earned or under-earned.</w:t>
      </w:r>
      <w:r>
        <w:rPr>
          <w:rStyle w:val="FootnoteReference"/>
        </w:rPr>
        <w:footnoteReference w:id="9"/>
      </w:r>
      <w:r>
        <w:t xml:space="preserve"> OCC disagrees with the PUCO Staff</w:t>
      </w:r>
      <w:r>
        <w:rPr>
          <w:rStyle w:val="FootnoteReference"/>
        </w:rPr>
        <w:footnoteReference w:id="10"/>
      </w:r>
      <w:r>
        <w:t xml:space="preserve"> and Duke Energy Ohio (“Duke”)</w:t>
      </w:r>
      <w:r>
        <w:rPr>
          <w:rStyle w:val="FootnoteReference"/>
        </w:rPr>
        <w:footnoteReference w:id="11"/>
      </w:r>
      <w:r>
        <w:t xml:space="preserve"> regarding inclusion of financial performance incentives in the CEP Rider, for reasons explained in OCC’s initial brief.</w:t>
      </w:r>
      <w:r>
        <w:rPr>
          <w:rStyle w:val="FootnoteReference"/>
        </w:rPr>
        <w:footnoteReference w:id="12"/>
      </w:r>
      <w:r w:rsidR="000B7834">
        <w:t xml:space="preserve"> </w:t>
      </w:r>
      <w:r>
        <w:t>OCC agrees with the position of Interstate Gas Supply, Inc. (“IGS”) in its brief</w:t>
      </w:r>
      <w:r>
        <w:rPr>
          <w:rStyle w:val="FootnoteReference"/>
        </w:rPr>
        <w:footnoteReference w:id="13"/>
      </w:r>
      <w:r>
        <w:t xml:space="preserve"> on this issue.</w:t>
      </w:r>
      <w:r w:rsidR="00E50CEE">
        <w:t xml:space="preserve"> </w:t>
      </w:r>
    </w:p>
    <w:p w:rsidR="00124E0B" w:rsidP="00D06EA7" w14:paraId="296E3191" w14:textId="3F93D439">
      <w:pPr>
        <w:pStyle w:val="BodyTextIndent3"/>
        <w:spacing w:line="480" w:lineRule="auto"/>
      </w:pPr>
      <w:r>
        <w:t xml:space="preserve">OCC disagrees with the PUCO Staff position supporting the Blue Ridge Audit Report’s (“Auditor”) supplemental report recommendation </w:t>
      </w:r>
      <w:r w:rsidR="007457E6">
        <w:t>regarding the monthly charge for</w:t>
      </w:r>
      <w:r>
        <w:t xml:space="preserve"> 2019 </w:t>
      </w:r>
      <w:r w:rsidR="007457E6">
        <w:t xml:space="preserve">and 2020 </w:t>
      </w:r>
      <w:r>
        <w:t>CEP investments.</w:t>
      </w:r>
      <w:r>
        <w:rPr>
          <w:rStyle w:val="FootnoteReference"/>
        </w:rPr>
        <w:footnoteReference w:id="14"/>
      </w:r>
      <w:r>
        <w:t xml:space="preserve"> </w:t>
      </w:r>
    </w:p>
    <w:p w:rsidR="00957CA4" w:rsidP="006E4995" w14:paraId="299FD181" w14:textId="512B717B">
      <w:pPr>
        <w:spacing w:line="480" w:lineRule="auto"/>
        <w:ind w:firstLine="720"/>
      </w:pPr>
      <w:r>
        <w:t xml:space="preserve">Consistent with OCC's brief generally supporting </w:t>
      </w:r>
      <w:r w:rsidR="00AC233F">
        <w:t>the Auditor’s</w:t>
      </w:r>
      <w:r>
        <w:t xml:space="preserve"> proposed adjustments (except where noted), OCC agrees with the </w:t>
      </w:r>
      <w:r w:rsidR="00124E0B">
        <w:t xml:space="preserve">PUCO </w:t>
      </w:r>
      <w:r>
        <w:t>Staff in its initial brief</w:t>
      </w:r>
      <w:r>
        <w:rPr>
          <w:rStyle w:val="FootnoteReference"/>
        </w:rPr>
        <w:footnoteReference w:id="15"/>
      </w:r>
      <w:r w:rsidR="00E37241">
        <w:t xml:space="preserve"> that the PUCO should adopt the adjustments and recommendations in the Blue Ridge Audit Report. </w:t>
      </w:r>
    </w:p>
    <w:p w:rsidR="006414FA" w:rsidRPr="0051014C" w:rsidP="006E4995" w14:paraId="3536C833" w14:textId="3A6EF26A">
      <w:pPr>
        <w:spacing w:line="480" w:lineRule="auto"/>
        <w:ind w:firstLine="720"/>
      </w:pPr>
      <w:r>
        <w:t>OCC, the statutory consumer advocate for Duke’s more than 4</w:t>
      </w:r>
      <w:r w:rsidR="002B05AC">
        <w:t>10</w:t>
      </w:r>
      <w:r>
        <w:t>,000 residential gas utility customers, asks the PUCO to adopt OCC’s consumer protection recommendations.</w:t>
      </w:r>
    </w:p>
    <w:p w:rsidR="006E4995" w:rsidP="006E4995" w14:paraId="624A3CE9" w14:textId="550F97C0"/>
    <w:p w:rsidR="006E4995" w:rsidRPr="006E4995" w:rsidP="00F24CBE" w14:paraId="523D8A2C" w14:textId="2BA10861">
      <w:pPr>
        <w:pStyle w:val="Heading1"/>
      </w:pPr>
      <w:bookmarkStart w:id="3" w:name="_Toc99629309"/>
      <w:r w:rsidRPr="006E4995">
        <w:t>II.</w:t>
      </w:r>
      <w:r w:rsidR="00F24CBE">
        <w:tab/>
      </w:r>
      <w:r w:rsidRPr="006E4995">
        <w:t>REPLY</w:t>
      </w:r>
      <w:bookmarkEnd w:id="3"/>
    </w:p>
    <w:p w:rsidR="00AC233F" w:rsidRPr="00D23A18" w:rsidP="00F24CBE" w14:paraId="24459284" w14:textId="46ADB0AB">
      <w:pPr>
        <w:pStyle w:val="Heading2"/>
      </w:pPr>
      <w:bookmarkStart w:id="4" w:name="_Toc99629310"/>
      <w:r>
        <w:t>A</w:t>
      </w:r>
      <w:r w:rsidRPr="00D23A18">
        <w:t>.</w:t>
      </w:r>
      <w:r w:rsidR="00F24CBE">
        <w:tab/>
      </w:r>
      <w:r>
        <w:t xml:space="preserve">The PUCO should reject </w:t>
      </w:r>
      <w:r w:rsidRPr="00D23A18">
        <w:t>Staff’s conclusion that Duke has not significantly over-earned or under-earned</w:t>
      </w:r>
      <w:r w:rsidR="00245192">
        <w:t xml:space="preserve"> </w:t>
      </w:r>
      <w:r w:rsidR="006C15C7">
        <w:t xml:space="preserve">because </w:t>
      </w:r>
      <w:r w:rsidR="002238A8">
        <w:t xml:space="preserve">that is </w:t>
      </w:r>
      <w:r w:rsidR="00245192">
        <w:t xml:space="preserve">irrelevant </w:t>
      </w:r>
      <w:r w:rsidR="006C15C7">
        <w:t>a</w:t>
      </w:r>
      <w:r w:rsidR="002238A8">
        <w:t>s</w:t>
      </w:r>
      <w:r w:rsidR="006C15C7">
        <w:t xml:space="preserve"> Duke and Staff failed to demonstrate the proposed rate of return is just and reasonable.</w:t>
      </w:r>
      <w:bookmarkEnd w:id="4"/>
    </w:p>
    <w:p w:rsidR="006C15C7" w:rsidP="00AC233F" w14:paraId="43CAF2C7" w14:textId="31234C2E">
      <w:pPr>
        <w:spacing w:line="480" w:lineRule="auto"/>
        <w:ind w:firstLine="720"/>
      </w:pPr>
      <w:r>
        <w:t>D</w:t>
      </w:r>
      <w:r w:rsidR="00D06EA7">
        <w:t>uke has the burden to demonstrate the proposed CEP Rider rate</w:t>
      </w:r>
      <w:r w:rsidR="00A15DF2">
        <w:t>s</w:t>
      </w:r>
      <w:r w:rsidR="00D06EA7">
        <w:t>, includ</w:t>
      </w:r>
      <w:r w:rsidR="00A15DF2">
        <w:t>ing the pre-tax rate of return used in setting the CEP Rider rates, are just and reasonable.</w:t>
      </w:r>
      <w:r w:rsidR="000B7834">
        <w:t xml:space="preserve"> </w:t>
      </w:r>
      <w:r w:rsidR="00A15DF2">
        <w:t xml:space="preserve">But </w:t>
      </w:r>
      <w:r>
        <w:t xml:space="preserve">both Duke and the </w:t>
      </w:r>
      <w:r w:rsidR="00D308D8">
        <w:t xml:space="preserve">PUCO </w:t>
      </w:r>
      <w:r w:rsidR="00AC233F">
        <w:t xml:space="preserve">Staff </w:t>
      </w:r>
      <w:r>
        <w:t xml:space="preserve">have made no effort to demonstrate the proposed rate of return is </w:t>
      </w:r>
      <w:r w:rsidR="00A15DF2">
        <w:t>just and reasonable</w:t>
      </w:r>
      <w:r>
        <w:t>.</w:t>
      </w:r>
      <w:r w:rsidR="000B7834">
        <w:t xml:space="preserve"> </w:t>
      </w:r>
      <w:r>
        <w:t xml:space="preserve">Duke and Staff provided no witness or testimony to </w:t>
      </w:r>
      <w:r w:rsidR="00A15DF2">
        <w:t xml:space="preserve">support its current actual cost of debt. </w:t>
      </w:r>
    </w:p>
    <w:p w:rsidR="00AC233F" w:rsidP="00AC233F" w14:paraId="1069FE0C" w14:textId="7CEAC38F">
      <w:pPr>
        <w:spacing w:line="480" w:lineRule="auto"/>
        <w:ind w:firstLine="720"/>
      </w:pPr>
      <w:r>
        <w:t>The Staff’s conclusion in its brief that its review of Duke’s profitability as part of Duke’s annual filing verifies that Duke has not significantly over-earned or under-earned is irrelevant in this proceeding</w:t>
      </w:r>
      <w:r w:rsidR="00A15DF2">
        <w:t xml:space="preserve"> and should not be considered by the PUCO</w:t>
      </w:r>
      <w:r>
        <w:t>.</w:t>
      </w:r>
      <w:r>
        <w:rPr>
          <w:rStyle w:val="FootnoteReference"/>
        </w:rPr>
        <w:footnoteReference w:id="16"/>
      </w:r>
      <w:r w:rsidR="000B7834">
        <w:t xml:space="preserve"> </w:t>
      </w:r>
      <w:r>
        <w:t>As OCC pointed out in our brief,</w:t>
      </w:r>
      <w:r>
        <w:rPr>
          <w:rStyle w:val="FootnoteReference"/>
        </w:rPr>
        <w:footnoteReference w:id="17"/>
      </w:r>
      <w:r>
        <w:t xml:space="preserve"> t</w:t>
      </w:r>
      <w:r w:rsidRPr="0058102B">
        <w:t xml:space="preserve">he Staff Report’s Financial Earnings Review is a review of the </w:t>
      </w:r>
      <w:r w:rsidRPr="0058102B">
        <w:rPr>
          <w:i/>
          <w:iCs/>
        </w:rPr>
        <w:t xml:space="preserve">overall </w:t>
      </w:r>
      <w:r w:rsidRPr="0058102B">
        <w:t>profitability of D</w:t>
      </w:r>
      <w:r>
        <w:t xml:space="preserve">uke </w:t>
      </w:r>
      <w:r w:rsidRPr="0058102B">
        <w:t>and other local distribution companies (locally and nationwide).</w:t>
      </w:r>
      <w:r>
        <w:rPr>
          <w:rStyle w:val="FootnoteReference"/>
        </w:rPr>
        <w:footnoteReference w:id="18"/>
      </w:r>
      <w:r w:rsidRPr="0058102B">
        <w:t xml:space="preserve"> The Financial Earnings Review is not a review of the earnings contributed by the Capital Expenditure Program to </w:t>
      </w:r>
      <w:r>
        <w:t xml:space="preserve">Duke’s </w:t>
      </w:r>
      <w:r w:rsidRPr="0058102B">
        <w:t>overall earnings.</w:t>
      </w:r>
      <w:r>
        <w:rPr>
          <w:rStyle w:val="FootnoteReference"/>
        </w:rPr>
        <w:footnoteReference w:id="19"/>
      </w:r>
      <w:r w:rsidRPr="0058102B">
        <w:t xml:space="preserve"> </w:t>
      </w:r>
    </w:p>
    <w:p w:rsidR="00AC233F" w:rsidP="00AC233F" w14:paraId="4D43C2B0" w14:textId="77777777">
      <w:pPr>
        <w:spacing w:line="480" w:lineRule="auto"/>
        <w:ind w:firstLine="720"/>
      </w:pPr>
      <w:r w:rsidRPr="0058102B">
        <w:t>Even if D</w:t>
      </w:r>
      <w:r>
        <w:t xml:space="preserve">uke </w:t>
      </w:r>
      <w:r w:rsidRPr="0058102B">
        <w:t xml:space="preserve">did not significantly over-earn or under-earn </w:t>
      </w:r>
      <w:r>
        <w:t>o</w:t>
      </w:r>
      <w:r w:rsidRPr="0058102B">
        <w:t>ver the last three years, as PUCO Staff asserts</w:t>
      </w:r>
      <w:r>
        <w:rPr>
          <w:rStyle w:val="FootnoteReference"/>
        </w:rPr>
        <w:footnoteReference w:id="20"/>
      </w:r>
      <w:r w:rsidRPr="0058102B">
        <w:t xml:space="preserve"> (an assertion with which we do not agree), this does not mean the pre-tax rate of return of 9.</w:t>
      </w:r>
      <w:r>
        <w:t>16</w:t>
      </w:r>
      <w:r w:rsidRPr="0058102B">
        <w:t xml:space="preserve">% used in calculating the CEP </w:t>
      </w:r>
      <w:r>
        <w:t>c</w:t>
      </w:r>
      <w:r w:rsidRPr="0058102B">
        <w:t xml:space="preserve">harge is just and reasonable. </w:t>
      </w:r>
      <w:r>
        <w:t>T</w:t>
      </w:r>
      <w:r w:rsidRPr="0058102B">
        <w:t xml:space="preserve">he 3-year average median </w:t>
      </w:r>
      <w:r>
        <w:t>allowed profit (</w:t>
      </w:r>
      <w:r w:rsidRPr="0058102B">
        <w:t>return on equity</w:t>
      </w:r>
      <w:r>
        <w:t>)</w:t>
      </w:r>
      <w:r w:rsidRPr="0058102B">
        <w:t xml:space="preserve"> of 7.94% nationwide and the</w:t>
      </w:r>
      <w:r>
        <w:t xml:space="preserve"> profits (</w:t>
      </w:r>
      <w:r w:rsidRPr="0058102B">
        <w:t>return on equity</w:t>
      </w:r>
      <w:r>
        <w:t xml:space="preserve">) </w:t>
      </w:r>
      <w:r w:rsidRPr="0058102B">
        <w:t>earned by Ohio local distribution companies</w:t>
      </w:r>
      <w:r>
        <w:t xml:space="preserve"> shown </w:t>
      </w:r>
      <w:r w:rsidRPr="0058102B">
        <w:t xml:space="preserve">in the Staff Report </w:t>
      </w:r>
      <w:r>
        <w:t xml:space="preserve">further </w:t>
      </w:r>
      <w:r w:rsidRPr="0058102B">
        <w:t>demonstrates that the</w:t>
      </w:r>
      <w:r>
        <w:t xml:space="preserve"> 9.84% profits (</w:t>
      </w:r>
      <w:r w:rsidRPr="0058102B">
        <w:t>return on equity</w:t>
      </w:r>
      <w:r>
        <w:t>)</w:t>
      </w:r>
      <w:r w:rsidRPr="0058102B">
        <w:t xml:space="preserve"> proposed by </w:t>
      </w:r>
      <w:r>
        <w:t xml:space="preserve">Duke </w:t>
      </w:r>
      <w:r w:rsidRPr="0058102B">
        <w:t>for its CEP Charge is</w:t>
      </w:r>
      <w:r>
        <w:t xml:space="preserve"> </w:t>
      </w:r>
      <w:r w:rsidRPr="0058102B">
        <w:t>unjust and unreasonable</w:t>
      </w:r>
      <w:r>
        <w:t xml:space="preserve">. </w:t>
      </w:r>
    </w:p>
    <w:p w:rsidR="00AC233F" w:rsidP="00AC233F" w14:paraId="3B90B9D9" w14:textId="033F3088">
      <w:pPr>
        <w:spacing w:line="480" w:lineRule="auto"/>
        <w:ind w:firstLine="720"/>
      </w:pPr>
      <w:r>
        <w:rPr>
          <w:bCs/>
          <w:iCs/>
        </w:rPr>
        <w:t>T</w:t>
      </w:r>
      <w:r w:rsidRPr="00D006AD">
        <w:rPr>
          <w:bCs/>
          <w:iCs/>
        </w:rPr>
        <w:t xml:space="preserve">he PUCO can and should re-set the pre-tax rate of return for CEP investments based on consideration of public interest </w:t>
      </w:r>
      <w:r>
        <w:rPr>
          <w:bCs/>
          <w:iCs/>
        </w:rPr>
        <w:t xml:space="preserve">(such as protecting consumers from unjust and unreasonable rates charged by a regulated utility) </w:t>
      </w:r>
      <w:r w:rsidRPr="00D006AD">
        <w:rPr>
          <w:bCs/>
          <w:iCs/>
        </w:rPr>
        <w:t>and sound regulatory principles.</w:t>
      </w:r>
      <w:r>
        <w:rPr>
          <w:rStyle w:val="FootnoteReference"/>
          <w:bCs/>
          <w:iCs/>
        </w:rPr>
        <w:footnoteReference w:id="21"/>
      </w:r>
      <w:r>
        <w:rPr>
          <w:bCs/>
          <w:iCs/>
        </w:rPr>
        <w:t xml:space="preserve"> </w:t>
      </w:r>
    </w:p>
    <w:p w:rsidR="000E67DD" w:rsidP="00AC233F" w14:paraId="3A36807D" w14:textId="1DA12E0D">
      <w:pPr>
        <w:spacing w:line="480" w:lineRule="auto"/>
        <w:ind w:firstLine="720"/>
      </w:pPr>
      <w:r w:rsidRPr="0058102B">
        <w:t>D</w:t>
      </w:r>
      <w:r>
        <w:t>uke</w:t>
      </w:r>
      <w:r w:rsidRPr="0058102B">
        <w:t xml:space="preserve">’s last rate case was resolved more than </w:t>
      </w:r>
      <w:r>
        <w:t>nine</w:t>
      </w:r>
      <w:r w:rsidRPr="0058102B">
        <w:t xml:space="preserve"> years ago (in 20</w:t>
      </w:r>
      <w:r>
        <w:t>13</w:t>
      </w:r>
      <w:r w:rsidRPr="0058102B">
        <w:t>). Market conditions have</w:t>
      </w:r>
      <w:r>
        <w:t xml:space="preserve"> changed. </w:t>
      </w:r>
      <w:r w:rsidRPr="00D006AD">
        <w:t>The PUCO should protect Duke’s 4</w:t>
      </w:r>
      <w:r w:rsidR="002B05AC">
        <w:t>10</w:t>
      </w:r>
      <w:r w:rsidRPr="00D006AD">
        <w:t xml:space="preserve">,000 residential gas consumers against charges for inflated profits and debt costs that do not </w:t>
      </w:r>
      <w:r>
        <w:t>reflect</w:t>
      </w:r>
      <w:r w:rsidRPr="00D006AD">
        <w:t xml:space="preserve"> the actual market conditions for return on equity </w:t>
      </w:r>
      <w:r>
        <w:t>or</w:t>
      </w:r>
      <w:r w:rsidRPr="00D006AD">
        <w:t xml:space="preserve"> Duke’s true cost of debt.</w:t>
      </w:r>
      <w:r>
        <w:t xml:space="preserve"> </w:t>
      </w:r>
      <w:r w:rsidRPr="00D006AD">
        <w:t>The PUCO should adopt a pre-tax rate of return, as recommended by OCC</w:t>
      </w:r>
      <w:r>
        <w:t xml:space="preserve"> witness Dr. Daniel J. Duann and explained in OCC’s brief, </w:t>
      </w:r>
      <w:r w:rsidRPr="00D006AD">
        <w:t>of no higher than 8.29%.</w:t>
      </w:r>
      <w:r>
        <w:rPr>
          <w:rStyle w:val="FootnoteReference"/>
        </w:rPr>
        <w:footnoteReference w:id="22"/>
      </w:r>
      <w:r w:rsidRPr="00D006AD">
        <w:t xml:space="preserve"> </w:t>
      </w:r>
    </w:p>
    <w:p w:rsidR="000E67DD" w14:paraId="4B706650" w14:textId="77777777">
      <w:r>
        <w:br w:type="page"/>
      </w:r>
    </w:p>
    <w:p w:rsidR="00AC233F" w:rsidRPr="00DB0999" w:rsidP="00F24CBE" w14:paraId="17A9E2FE" w14:textId="38D689CB">
      <w:pPr>
        <w:pStyle w:val="Heading2"/>
      </w:pPr>
      <w:bookmarkStart w:id="5" w:name="_Toc99629311"/>
      <w:r w:rsidRPr="00DB0999">
        <w:t xml:space="preserve">B. </w:t>
      </w:r>
      <w:r w:rsidR="00F24CBE">
        <w:tab/>
      </w:r>
      <w:r w:rsidRPr="00DB0999">
        <w:t>Duke’s financial performance incentives currently included in Duke’s CEP Rider should be removed and not charged to consumers</w:t>
      </w:r>
      <w:r>
        <w:t>, and Recommendation 6 allowing for “monitoring” of incentives and compensation should be rejected</w:t>
      </w:r>
      <w:r w:rsidRPr="00DB0999">
        <w:t>.</w:t>
      </w:r>
      <w:bookmarkEnd w:id="5"/>
    </w:p>
    <w:p w:rsidR="00AC233F" w:rsidP="00AC233F" w14:paraId="265E02AE" w14:textId="555D3ABC">
      <w:pPr>
        <w:pStyle w:val="NoSpacing"/>
        <w:spacing w:line="480" w:lineRule="auto"/>
        <w:ind w:firstLine="720"/>
        <w:rPr>
          <w:rFonts w:ascii="Times New Roman" w:hAnsi="Times New Roman" w:cs="Times New Roman"/>
          <w:sz w:val="24"/>
          <w:szCs w:val="24"/>
        </w:rPr>
      </w:pPr>
      <w:r w:rsidRPr="00DB0999">
        <w:rPr>
          <w:rFonts w:ascii="Times New Roman" w:hAnsi="Times New Roman" w:cs="Times New Roman"/>
          <w:sz w:val="24"/>
          <w:szCs w:val="24"/>
        </w:rPr>
        <w:t>OCC agrees with the arguments in the initial brief of IGS regarding financial performance incentives</w:t>
      </w:r>
      <w:r>
        <w:rPr>
          <w:rStyle w:val="FootnoteReference"/>
          <w:rFonts w:ascii="Times New Roman" w:hAnsi="Times New Roman" w:cs="Times New Roman"/>
          <w:sz w:val="24"/>
          <w:szCs w:val="24"/>
        </w:rPr>
        <w:footnoteReference w:id="23"/>
      </w:r>
      <w:r w:rsidRPr="00DB0999">
        <w:rPr>
          <w:rFonts w:ascii="Times New Roman" w:hAnsi="Times New Roman" w:cs="Times New Roman"/>
          <w:sz w:val="24"/>
          <w:szCs w:val="24"/>
        </w:rPr>
        <w:t xml:space="preserve"> and also explained in OCC’s initial brief.</w:t>
      </w:r>
      <w:r>
        <w:rPr>
          <w:rStyle w:val="FootnoteReference"/>
          <w:rFonts w:ascii="Times New Roman" w:hAnsi="Times New Roman" w:cs="Times New Roman"/>
          <w:sz w:val="24"/>
          <w:szCs w:val="24"/>
        </w:rPr>
        <w:footnoteReference w:id="24"/>
      </w:r>
      <w:r w:rsidRPr="00DB0999">
        <w:rPr>
          <w:rFonts w:ascii="Times New Roman" w:hAnsi="Times New Roman" w:cs="Times New Roman"/>
          <w:sz w:val="24"/>
          <w:szCs w:val="24"/>
        </w:rPr>
        <w:t xml:space="preserve"> The PUCO has found in previous cases that a utility’s financial performance incentives should not be c</w:t>
      </w:r>
      <w:r>
        <w:rPr>
          <w:rFonts w:ascii="Times New Roman" w:hAnsi="Times New Roman" w:cs="Times New Roman"/>
          <w:sz w:val="24"/>
          <w:szCs w:val="24"/>
        </w:rPr>
        <w:t>ollected from a utility’s customers because they benefit the utility and shareholders only.</w:t>
      </w:r>
      <w:r>
        <w:rPr>
          <w:rStyle w:val="FootnoteReference"/>
          <w:rFonts w:ascii="Times New Roman" w:hAnsi="Times New Roman" w:cs="Times New Roman"/>
          <w:sz w:val="24"/>
          <w:szCs w:val="24"/>
        </w:rPr>
        <w:footnoteReference w:id="25"/>
      </w:r>
      <w:r w:rsidR="000B7834">
        <w:t xml:space="preserve"> </w:t>
      </w:r>
      <w:r>
        <w:rPr>
          <w:rFonts w:ascii="Times New Roman" w:hAnsi="Times New Roman" w:cs="Times New Roman"/>
          <w:sz w:val="24"/>
          <w:szCs w:val="24"/>
        </w:rPr>
        <w:t>There is thus ample precedent for removing financial performance incentives currently included in Duke’s CEP Rider so that they will not be charged to consumers, and the PUCO should do so here.</w:t>
      </w:r>
    </w:p>
    <w:p w:rsidR="00AC233F" w:rsidP="00AC233F" w14:paraId="7F998B79" w14:textId="2CED90D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Auditor’s Recommendation 6 is that the “capitalization and recovery of stock-based and earnings-based incentive compensation should be monitored to ensure the amount recovered does not significantly increase.”</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Duke accepts the Auditor’s recommendation if </w:t>
      </w:r>
      <w:r w:rsidR="00D308D8">
        <w:rPr>
          <w:rFonts w:ascii="Times New Roman" w:hAnsi="Times New Roman" w:cs="Times New Roman"/>
          <w:sz w:val="24"/>
          <w:szCs w:val="24"/>
        </w:rPr>
        <w:t xml:space="preserve">PUCO </w:t>
      </w:r>
      <w:r>
        <w:rPr>
          <w:rFonts w:ascii="Times New Roman" w:hAnsi="Times New Roman" w:cs="Times New Roman"/>
          <w:sz w:val="24"/>
          <w:szCs w:val="24"/>
        </w:rPr>
        <w:t>Staff will monitor the incentive compensation as part of the annual audit scope.</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But as Staff observes, the amount of stock-based and earning-related incentive compensation that is capitalized and included in the CEP appears to be increasing.</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Unfortunately, “m</w:t>
      </w:r>
      <w:r w:rsidRPr="00A20676">
        <w:rPr>
          <w:rFonts w:ascii="Times New Roman" w:hAnsi="Times New Roman" w:cs="Times New Roman"/>
          <w:sz w:val="24"/>
          <w:szCs w:val="24"/>
        </w:rPr>
        <w:t>onitoring</w:t>
      </w:r>
      <w:r>
        <w:rPr>
          <w:rFonts w:ascii="Times New Roman" w:hAnsi="Times New Roman" w:cs="Times New Roman"/>
          <w:sz w:val="24"/>
          <w:szCs w:val="24"/>
        </w:rPr>
        <w:t>”</w:t>
      </w:r>
      <w:r w:rsidRPr="00A20676">
        <w:rPr>
          <w:rFonts w:ascii="Times New Roman" w:hAnsi="Times New Roman" w:cs="Times New Roman"/>
          <w:sz w:val="24"/>
          <w:szCs w:val="24"/>
        </w:rPr>
        <w:t xml:space="preserve"> stock-based and earnings-related compensation included in the CEP is </w:t>
      </w:r>
      <w:r>
        <w:rPr>
          <w:rFonts w:ascii="Times New Roman" w:hAnsi="Times New Roman" w:cs="Times New Roman"/>
          <w:sz w:val="24"/>
          <w:szCs w:val="24"/>
        </w:rPr>
        <w:t>an insufficient solution.</w:t>
      </w:r>
      <w:r w:rsidRPr="00A20676">
        <w:rPr>
          <w:rFonts w:ascii="Times New Roman" w:hAnsi="Times New Roman" w:cs="Times New Roman"/>
          <w:sz w:val="24"/>
          <w:szCs w:val="24"/>
        </w:rPr>
        <w:t xml:space="preserve"> Stock-based and earnings-related compensation provides no benefit to consumers who will pick up the tab and should not be included in the CEP for all of the reasons identified by OCC in its </w:t>
      </w:r>
      <w:r>
        <w:rPr>
          <w:rFonts w:ascii="Times New Roman" w:hAnsi="Times New Roman" w:cs="Times New Roman"/>
          <w:sz w:val="24"/>
          <w:szCs w:val="24"/>
        </w:rPr>
        <w:t>c</w:t>
      </w:r>
      <w:r w:rsidRPr="00A20676">
        <w:rPr>
          <w:rFonts w:ascii="Times New Roman" w:hAnsi="Times New Roman" w:cs="Times New Roman"/>
          <w:sz w:val="24"/>
          <w:szCs w:val="24"/>
        </w:rPr>
        <w:t xml:space="preserve">omments, testimony, and </w:t>
      </w:r>
      <w:r>
        <w:rPr>
          <w:rFonts w:ascii="Times New Roman" w:hAnsi="Times New Roman" w:cs="Times New Roman"/>
          <w:sz w:val="24"/>
          <w:szCs w:val="24"/>
        </w:rPr>
        <w:t>b</w:t>
      </w:r>
      <w:r w:rsidRPr="00A20676">
        <w:rPr>
          <w:rFonts w:ascii="Times New Roman" w:hAnsi="Times New Roman" w:cs="Times New Roman"/>
          <w:sz w:val="24"/>
          <w:szCs w:val="24"/>
        </w:rPr>
        <w:t>rief</w:t>
      </w:r>
      <w:r>
        <w:rPr>
          <w:rFonts w:ascii="Times New Roman" w:hAnsi="Times New Roman" w:cs="Times New Roman"/>
          <w:sz w:val="24"/>
          <w:szCs w:val="24"/>
        </w:rPr>
        <w:t>, and further explained by IGS in its brief.</w:t>
      </w:r>
      <w:r w:rsidRPr="00A20676">
        <w:rPr>
          <w:rFonts w:ascii="Times New Roman" w:hAnsi="Times New Roman" w:cs="Times New Roman"/>
          <w:sz w:val="24"/>
          <w:szCs w:val="24"/>
        </w:rPr>
        <w:t xml:space="preserve"> </w:t>
      </w:r>
    </w:p>
    <w:p w:rsidR="00AC233F" w:rsidP="00AC233F" w14:paraId="40889EFD" w14:textId="1616AA8F">
      <w:pPr>
        <w:pStyle w:val="NoSpacing"/>
        <w:spacing w:line="480" w:lineRule="auto"/>
        <w:ind w:firstLine="720"/>
        <w:rPr>
          <w:rFonts w:ascii="Times New Roman" w:hAnsi="Times New Roman" w:cs="Times New Roman"/>
          <w:bCs/>
          <w:iCs/>
          <w:sz w:val="24"/>
          <w:szCs w:val="24"/>
        </w:rPr>
      </w:pPr>
      <w:r>
        <w:rPr>
          <w:rFonts w:ascii="Times New Roman" w:hAnsi="Times New Roman" w:cs="Times New Roman"/>
          <w:sz w:val="24"/>
          <w:szCs w:val="24"/>
        </w:rPr>
        <w:t>OCC agrees with IGS that the auditor in Case No. 19-791 concluded that the cost of Duke’s stock-based compensation program is unrecoverable because those costs are “incurred to improve the Duke Energy financial performance for the benefit of shareholders, not to improve customer service or meet other regulated utility service requirements.”</w:t>
      </w:r>
      <w:r>
        <w:rPr>
          <w:rStyle w:val="FootnoteReference"/>
          <w:rFonts w:ascii="Times New Roman" w:hAnsi="Times New Roman" w:cs="Times New Roman"/>
          <w:sz w:val="24"/>
          <w:szCs w:val="24"/>
        </w:rPr>
        <w:footnoteReference w:id="29"/>
      </w:r>
      <w:r w:rsidR="000B7834">
        <w:rPr>
          <w:rFonts w:ascii="Times New Roman" w:hAnsi="Times New Roman" w:cs="Times New Roman"/>
          <w:sz w:val="24"/>
          <w:szCs w:val="24"/>
        </w:rPr>
        <w:t xml:space="preserve"> </w:t>
      </w:r>
      <w:r>
        <w:rPr>
          <w:rFonts w:ascii="Times New Roman" w:hAnsi="Times New Roman" w:cs="Times New Roman"/>
          <w:bCs/>
          <w:iCs/>
          <w:sz w:val="24"/>
          <w:szCs w:val="24"/>
        </w:rPr>
        <w:t xml:space="preserve">In fact, the independent audit company retained by </w:t>
      </w:r>
      <w:r w:rsidR="002B05AC">
        <w:rPr>
          <w:rFonts w:ascii="Times New Roman" w:hAnsi="Times New Roman" w:cs="Times New Roman"/>
          <w:bCs/>
          <w:iCs/>
          <w:sz w:val="24"/>
          <w:szCs w:val="24"/>
        </w:rPr>
        <w:t xml:space="preserve">the </w:t>
      </w:r>
      <w:r>
        <w:rPr>
          <w:rFonts w:ascii="Times New Roman" w:hAnsi="Times New Roman" w:cs="Times New Roman"/>
          <w:bCs/>
          <w:iCs/>
          <w:sz w:val="24"/>
          <w:szCs w:val="24"/>
        </w:rPr>
        <w:t>PUCO to audit Duke’s previous CEP application specifically recommended removing financial performance incentives from the CEP Rider for the 2013 through 2018 period.</w:t>
      </w:r>
      <w:r>
        <w:rPr>
          <w:rStyle w:val="FootnoteReference"/>
          <w:rFonts w:ascii="Times New Roman" w:hAnsi="Times New Roman" w:cs="Times New Roman"/>
          <w:bCs/>
          <w:iCs/>
          <w:sz w:val="24"/>
          <w:szCs w:val="24"/>
        </w:rPr>
        <w:footnoteReference w:id="30"/>
      </w:r>
      <w:r>
        <w:rPr>
          <w:rFonts w:ascii="Times New Roman" w:hAnsi="Times New Roman" w:cs="Times New Roman"/>
          <w:bCs/>
          <w:iCs/>
          <w:sz w:val="24"/>
          <w:szCs w:val="24"/>
        </w:rPr>
        <w:t xml:space="preserve"> </w:t>
      </w:r>
    </w:p>
    <w:p w:rsidR="00AC233F" w:rsidP="00AC233F" w14:paraId="54481777" w14:textId="518996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In this current case, the Auditor offered no opinion as to whether Duke’s earnings-based and stock-based incentives in its CEP application in this case are properly recoverable. OCC agrees with IGS that there is no evidence in the record to distinguish the financial performance incentives in the 19-791 case from those at issue here.</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w:t>
      </w:r>
      <w:r w:rsidR="007457E6">
        <w:rPr>
          <w:rFonts w:ascii="Times New Roman" w:hAnsi="Times New Roman" w:cs="Times New Roman"/>
          <w:sz w:val="24"/>
          <w:szCs w:val="24"/>
        </w:rPr>
        <w:t>I</w:t>
      </w:r>
      <w:r>
        <w:rPr>
          <w:rFonts w:ascii="Times New Roman" w:hAnsi="Times New Roman" w:cs="Times New Roman"/>
          <w:sz w:val="24"/>
          <w:szCs w:val="24"/>
        </w:rPr>
        <w:t xml:space="preserve">f the Auditor in this case had reviewed Duke’s application on the financial performance incentives independently, instead of looking at them solely in the context of the Settlement, the Auditor likely would have arrived at the same conclusion as the Auditor in </w:t>
      </w:r>
      <w:r w:rsidR="002B05AC">
        <w:rPr>
          <w:rFonts w:ascii="Times New Roman" w:hAnsi="Times New Roman" w:cs="Times New Roman"/>
          <w:sz w:val="24"/>
          <w:szCs w:val="24"/>
        </w:rPr>
        <w:t xml:space="preserve">Case No. </w:t>
      </w:r>
      <w:r>
        <w:rPr>
          <w:rFonts w:ascii="Times New Roman" w:hAnsi="Times New Roman" w:cs="Times New Roman"/>
          <w:sz w:val="24"/>
          <w:szCs w:val="24"/>
        </w:rPr>
        <w:t>19-791 did. (That is, that Duke’s financial performance incentives are tied to its bottom line and therefore should not be recovered from ratepayers.)</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w:t>
      </w:r>
    </w:p>
    <w:p w:rsidR="00AC233F" w:rsidP="00AC233F" w14:paraId="6CB91BFA" w14:textId="662892C1">
      <w:pPr>
        <w:pStyle w:val="NoSpacing"/>
        <w:spacing w:line="480" w:lineRule="auto"/>
        <w:ind w:firstLine="720"/>
        <w:rPr>
          <w:rFonts w:ascii="Times New Roman" w:hAnsi="Times New Roman" w:cs="Times New Roman"/>
          <w:bCs/>
          <w:sz w:val="24"/>
          <w:szCs w:val="24"/>
        </w:rPr>
      </w:pPr>
      <w:r>
        <w:rPr>
          <w:rFonts w:ascii="Times New Roman" w:hAnsi="Times New Roman" w:cs="Times New Roman"/>
          <w:sz w:val="24"/>
          <w:szCs w:val="24"/>
        </w:rPr>
        <w:t>OCC also agrees with IGS</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(and also raised in OCC’s Brief)</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that Duke’s argument</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that it is authorized to recover the financial performance incentives at issue in </w:t>
      </w:r>
      <w:r w:rsidRPr="00C37974">
        <w:rPr>
          <w:rFonts w:ascii="Times New Roman" w:hAnsi="Times New Roman" w:cs="Times New Roman"/>
          <w:i/>
          <w:iCs/>
          <w:sz w:val="24"/>
          <w:szCs w:val="24"/>
        </w:rPr>
        <w:t>this</w:t>
      </w:r>
      <w:r>
        <w:rPr>
          <w:rFonts w:ascii="Times New Roman" w:hAnsi="Times New Roman" w:cs="Times New Roman"/>
          <w:sz w:val="24"/>
          <w:szCs w:val="24"/>
        </w:rPr>
        <w:t xml:space="preserve"> case due to the Settlement approved by the PUCO in Case No. 19-791 fails. That Settlement was submitted for the sole purpose of resolving that case, which placed an emphasis on the CEP expenditures and related assets for the five-year period described in Duke’s application. This case, however, is a fully litigated case. </w:t>
      </w:r>
      <w:r>
        <w:rPr>
          <w:rFonts w:ascii="Times New Roman" w:hAnsi="Times New Roman" w:cs="Times New Roman"/>
          <w:bCs/>
          <w:sz w:val="24"/>
          <w:szCs w:val="24"/>
        </w:rPr>
        <w:t>And the PUCO has found in previous cases that a utility’s financial performance incentives should not be charged to a utility’s customers.</w:t>
      </w:r>
      <w:r>
        <w:rPr>
          <w:rStyle w:val="FootnoteReference"/>
          <w:rFonts w:ascii="Times New Roman" w:hAnsi="Times New Roman" w:cs="Times New Roman"/>
          <w:bCs/>
          <w:sz w:val="24"/>
          <w:szCs w:val="24"/>
        </w:rPr>
        <w:footnoteReference w:id="36"/>
      </w:r>
    </w:p>
    <w:p w:rsidR="00E4600D" w:rsidP="00E4600D" w14:paraId="3CFF02C3" w14:textId="1FA5496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propriety of </w:t>
      </w:r>
      <w:r w:rsidRPr="00EE2222">
        <w:rPr>
          <w:rFonts w:ascii="Times New Roman" w:hAnsi="Times New Roman" w:cs="Times New Roman"/>
          <w:sz w:val="24"/>
          <w:szCs w:val="24"/>
        </w:rPr>
        <w:t xml:space="preserve">removing financial performance incentives </w:t>
      </w:r>
      <w:r>
        <w:rPr>
          <w:rFonts w:ascii="Times New Roman" w:hAnsi="Times New Roman" w:cs="Times New Roman"/>
          <w:sz w:val="24"/>
          <w:szCs w:val="24"/>
        </w:rPr>
        <w:t>from capital investment programs has been recognized in other cases and should be recognized in this case as well.</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w:t>
      </w:r>
    </w:p>
    <w:p w:rsidR="00AC233F" w:rsidP="00AC233F" w14:paraId="1473274E" w14:textId="6FD142AA">
      <w:pPr>
        <w:pStyle w:val="NoSpacing"/>
        <w:spacing w:line="480" w:lineRule="auto"/>
        <w:ind w:firstLine="720"/>
        <w:rPr>
          <w:rFonts w:ascii="Times New Roman" w:hAnsi="Times New Roman" w:cs="Times New Roman"/>
          <w:sz w:val="24"/>
          <w:szCs w:val="24"/>
        </w:rPr>
      </w:pPr>
      <w:r w:rsidRPr="00A81E27">
        <w:rPr>
          <w:rFonts w:ascii="Times New Roman" w:hAnsi="Times New Roman" w:cs="Times New Roman"/>
          <w:bCs/>
          <w:sz w:val="24"/>
          <w:szCs w:val="24"/>
        </w:rPr>
        <w:t xml:space="preserve">The amount of financial performance incentives included in </w:t>
      </w:r>
      <w:r w:rsidR="00E4600D">
        <w:rPr>
          <w:rFonts w:ascii="Times New Roman" w:hAnsi="Times New Roman" w:cs="Times New Roman"/>
          <w:bCs/>
          <w:sz w:val="24"/>
          <w:szCs w:val="24"/>
        </w:rPr>
        <w:t>Duke’s</w:t>
      </w:r>
      <w:r w:rsidRPr="00A81E27">
        <w:rPr>
          <w:rFonts w:ascii="Times New Roman" w:hAnsi="Times New Roman" w:cs="Times New Roman"/>
          <w:bCs/>
          <w:sz w:val="24"/>
          <w:szCs w:val="24"/>
        </w:rPr>
        <w:t xml:space="preserve"> 2019 and 2020 CEP revenue requirement is a knowable value that should be removed.</w:t>
      </w:r>
      <w:r>
        <w:rPr>
          <w:rFonts w:ascii="Times New Roman" w:hAnsi="Times New Roman" w:cs="Times New Roman"/>
          <w:bCs/>
          <w:sz w:val="24"/>
          <w:szCs w:val="24"/>
        </w:rPr>
        <w:t xml:space="preserve"> </w:t>
      </w:r>
      <w:r>
        <w:rPr>
          <w:rFonts w:ascii="Times New Roman" w:hAnsi="Times New Roman" w:cs="Times New Roman"/>
          <w:sz w:val="24"/>
          <w:szCs w:val="24"/>
        </w:rPr>
        <w:t>C</w:t>
      </w:r>
      <w:r w:rsidRPr="00E865BE">
        <w:rPr>
          <w:rFonts w:ascii="Times New Roman" w:hAnsi="Times New Roman" w:cs="Times New Roman"/>
          <w:sz w:val="24"/>
          <w:szCs w:val="24"/>
        </w:rPr>
        <w:t>onsistent with its practice in numerous cases</w:t>
      </w:r>
      <w:r>
        <w:rPr>
          <w:rFonts w:ascii="Times New Roman" w:hAnsi="Times New Roman" w:cs="Times New Roman"/>
          <w:sz w:val="24"/>
          <w:szCs w:val="24"/>
        </w:rPr>
        <w:t xml:space="preserve">, </w:t>
      </w:r>
      <w:r w:rsidRPr="00E865BE">
        <w:rPr>
          <w:rFonts w:ascii="Times New Roman" w:hAnsi="Times New Roman" w:cs="Times New Roman"/>
          <w:sz w:val="24"/>
          <w:szCs w:val="24"/>
        </w:rPr>
        <w:t xml:space="preserve">the PUCO should </w:t>
      </w:r>
      <w:r>
        <w:rPr>
          <w:rFonts w:ascii="Times New Roman" w:hAnsi="Times New Roman" w:cs="Times New Roman"/>
          <w:sz w:val="24"/>
          <w:szCs w:val="24"/>
        </w:rPr>
        <w:t xml:space="preserve">require Duke to remove the financial performance incentives from its CEP so that they cannot be charged to consumers. </w:t>
      </w:r>
    </w:p>
    <w:p w:rsidR="007C0C77" w:rsidP="007C0C77" w14:paraId="35A130AF" w14:textId="77777777">
      <w:pPr>
        <w:spacing w:line="480" w:lineRule="auto"/>
        <w:ind w:firstLine="720"/>
      </w:pPr>
      <w:r>
        <w:t xml:space="preserve">Duke’s CEP was developed as an alternative rate plan under Revised Code 4929.05. Revised Code 4929.05(A)(3) provides that alternative rate plans can only be approved after a natural gas utility has made a showing (and the PUCO finds) that the alternative rate plan is just and reasonable. Similarly, Revised Code 4929.111(C), governing implementation of capital expenditure programs, provides that the PUCO shall approve a capital expenditure program only if it finds the program to be just and reasonable. </w:t>
      </w:r>
    </w:p>
    <w:p w:rsidR="007C0C77" w:rsidP="007C0C77" w14:paraId="03D5764E" w14:textId="77777777">
      <w:pPr>
        <w:spacing w:line="480" w:lineRule="auto"/>
        <w:ind w:firstLine="720"/>
      </w:pPr>
      <w:r>
        <w:t>Here, the PUCO should find that Duke’s massive CEP capital spending increases in 2019 and 2020 were not just and reasonable. Not providing for an O&amp;M savings offset in the CEP Rider is not just and reasonable. Charging consumers for utility employee financial performance incentives is not just and reasonable. Adopting an outdated and inflated rate of return is not just and reasonable. Duke’s capital expenditure program is not just and reasonable and should not be allowed under Revised Code 4929.05(A)(3) and Revised Code 4929.111(C).</w:t>
      </w:r>
    </w:p>
    <w:p w:rsidR="000E67DD" w:rsidP="00AC233F" w14:paraId="20B79AF4" w14:textId="36AE2BF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PUCO should reject Recommendation 6 </w:t>
      </w:r>
      <w:r w:rsidR="002238A8">
        <w:rPr>
          <w:rFonts w:ascii="Times New Roman" w:hAnsi="Times New Roman" w:cs="Times New Roman"/>
          <w:sz w:val="24"/>
          <w:szCs w:val="24"/>
        </w:rPr>
        <w:t xml:space="preserve">(that Duke’s financial performance incentives be “monitored” to ensure the amount doesn’t significantly increase) </w:t>
      </w:r>
      <w:r>
        <w:rPr>
          <w:rFonts w:ascii="Times New Roman" w:hAnsi="Times New Roman" w:cs="Times New Roman"/>
          <w:sz w:val="24"/>
          <w:szCs w:val="24"/>
        </w:rPr>
        <w:t>and instead direct Duke to remove all stock-based and earnings-related performance incentives from its CEP Rider.</w:t>
      </w:r>
      <w:r>
        <w:rPr>
          <w:rStyle w:val="FootnoteReference"/>
          <w:rFonts w:ascii="Times New Roman" w:hAnsi="Times New Roman" w:cs="Times New Roman"/>
          <w:sz w:val="24"/>
          <w:szCs w:val="24"/>
        </w:rPr>
        <w:footnoteReference w:id="38"/>
      </w:r>
    </w:p>
    <w:p w:rsidR="000E67DD" w14:paraId="52D9AC39" w14:textId="77777777">
      <w:pPr>
        <w:rPr>
          <w:rFonts w:eastAsiaTheme="minorHAnsi"/>
          <w:szCs w:val="24"/>
        </w:rPr>
      </w:pPr>
      <w:r>
        <w:rPr>
          <w:szCs w:val="24"/>
        </w:rPr>
        <w:br w:type="page"/>
      </w:r>
    </w:p>
    <w:p w:rsidR="00AC233F" w:rsidP="00F24CBE" w14:paraId="486B6B74" w14:textId="4C8156D4">
      <w:pPr>
        <w:pStyle w:val="Heading2"/>
      </w:pPr>
      <w:bookmarkStart w:id="6" w:name="_Toc99629312"/>
      <w:r w:rsidRPr="006645AD">
        <w:t xml:space="preserve">C. </w:t>
      </w:r>
      <w:r w:rsidR="00F24CBE">
        <w:tab/>
      </w:r>
      <w:r w:rsidRPr="006645AD">
        <w:t xml:space="preserve">The Auditor’s new rate for 2020 for </w:t>
      </w:r>
      <w:r>
        <w:t>r</w:t>
      </w:r>
      <w:r w:rsidRPr="006645AD">
        <w:t>esidential consumers, accepted by PUCO Staff and Duke, is incorrect because it doesn’t take into account the residential rate cap</w:t>
      </w:r>
      <w:r w:rsidR="00F07018">
        <w:t xml:space="preserve">; </w:t>
      </w:r>
      <w:r w:rsidR="00826CCE">
        <w:t>therefore</w:t>
      </w:r>
      <w:r w:rsidR="00F07018">
        <w:t>,</w:t>
      </w:r>
      <w:r>
        <w:t xml:space="preserve"> Adjustment 11 should be rejected.</w:t>
      </w:r>
      <w:bookmarkEnd w:id="6"/>
    </w:p>
    <w:p w:rsidR="00AC233F" w:rsidP="00AC233F" w14:paraId="73A46591" w14:textId="13CD168E">
      <w:pPr>
        <w:spacing w:line="480" w:lineRule="auto"/>
        <w:ind w:firstLine="720"/>
      </w:pPr>
      <w:r>
        <w:t>The PUCO Staff supports an incorrect residential rate cap for CEP investments for 2020 that is above the cap established in the Settlement.</w:t>
      </w:r>
      <w:r>
        <w:rPr>
          <w:rStyle w:val="FootnoteReference"/>
        </w:rPr>
        <w:footnoteReference w:id="39"/>
      </w:r>
      <w:r>
        <w:t xml:space="preserve"> In its supplemental report, the Auditor recommends a monthly charge to residential consumers of $6.23 for 2019 and $9.31 for 2020 CEP investments.</w:t>
      </w:r>
      <w:r>
        <w:rPr>
          <w:rStyle w:val="FootnoteReference"/>
        </w:rPr>
        <w:footnoteReference w:id="40"/>
      </w:r>
      <w:r>
        <w:t xml:space="preserve"> The 2020 number is an incorrect amount. The Auditor’s adjustments to the 2019 cap means that the 2020 cap cannot be $9.31. In the Settlement allowing Duke’s charges, the PUCO set a cap on what Duke could charge residential consumers.</w:t>
      </w:r>
      <w:r>
        <w:rPr>
          <w:rStyle w:val="FootnoteReference"/>
        </w:rPr>
        <w:footnoteReference w:id="41"/>
      </w:r>
      <w:r>
        <w:t xml:space="preserve"> Duke’s residential charges for these expenditures were capped at increases of $2.92 (for 2019) and $2.70 (for 2020).</w:t>
      </w:r>
      <w:r>
        <w:rPr>
          <w:rStyle w:val="FootnoteReference"/>
        </w:rPr>
        <w:footnoteReference w:id="42"/>
      </w:r>
      <w:r>
        <w:t xml:space="preserve"> The Auditor’s </w:t>
      </w:r>
      <w:r w:rsidR="00F07018">
        <w:t xml:space="preserve">supplemental </w:t>
      </w:r>
      <w:r>
        <w:t>recommendation reflects a higher increase ($.38 more) for 2020 than permitted under the Settlement and PUCO Order.</w:t>
      </w:r>
      <w:r>
        <w:rPr>
          <w:rStyle w:val="FootnoteReference"/>
        </w:rPr>
        <w:footnoteReference w:id="43"/>
      </w:r>
      <w:r>
        <w:t xml:space="preserve"> </w:t>
      </w:r>
    </w:p>
    <w:p w:rsidR="00AC233F" w:rsidP="00AC233F" w14:paraId="04D951E2" w14:textId="77777777">
      <w:pPr>
        <w:spacing w:line="480" w:lineRule="auto"/>
        <w:ind w:firstLine="720"/>
      </w:pPr>
      <w:r>
        <w:t xml:space="preserve">The Auditor’s recommended monthly CEP charge for 2020 is above the cap that the PUCO ordered to limit increases for residential consumers. Accepting the auditor’s recommendation of a $6.23 monthly CEP charge for 2019 for purpose of argument, the </w:t>
      </w:r>
      <w:r w:rsidRPr="007C3B1E">
        <w:rPr>
          <w:i/>
          <w:iCs/>
        </w:rPr>
        <w:t>most</w:t>
      </w:r>
      <w:r>
        <w:t xml:space="preserve"> the 2020 monthly charge can be is $8.93 ($6.23+$2.70).</w:t>
      </w:r>
      <w:r>
        <w:rPr>
          <w:rStyle w:val="FootnoteReference"/>
        </w:rPr>
        <w:footnoteReference w:id="44"/>
      </w:r>
      <w:r>
        <w:t xml:space="preserve"> It cannot be $9.31, as the Auditor has recommended and PUCO Staff has accepted. The PUCO should reject its Staff’s recommendation to adopt the Auditor’s new recommendation to give Duke more money at consumer expense. Since the recommendation exceeds the limit in the Settlement and in the PUCO’s Order,</w:t>
      </w:r>
      <w:r>
        <w:rPr>
          <w:rStyle w:val="FootnoteReference"/>
        </w:rPr>
        <w:footnoteReference w:id="45"/>
      </w:r>
      <w:r>
        <w:t xml:space="preserve"> Adjustment 11 should be rejected.</w:t>
      </w:r>
    </w:p>
    <w:p w:rsidR="00AC233F" w:rsidP="00AC233F" w14:paraId="2026F54A" w14:textId="77777777">
      <w:pPr>
        <w:spacing w:line="480" w:lineRule="auto"/>
        <w:ind w:firstLine="720"/>
      </w:pPr>
      <w:r>
        <w:t>To protect consumers, the 2020 cap on Duke’s CEP charges should be enforced by the PUCO, to prevent a higher charge to consumers. The PUCO Staff’s support of the auditor’s recommendation to allow Duke to charge consumers above the cap is wrong.</w:t>
      </w:r>
      <w:r>
        <w:rPr>
          <w:rStyle w:val="FootnoteReference"/>
        </w:rPr>
        <w:footnoteReference w:id="46"/>
      </w:r>
      <w:r>
        <w:t xml:space="preserve"> Duke is already proposing to charge consumers more than is reasonable for its CEP, based on a too-high rate of return and for financial incentives for employees that do not benefit consumers. </w:t>
      </w:r>
    </w:p>
    <w:p w:rsidR="003D3A21" w:rsidRPr="00A837AD" w:rsidP="00C2213A" w14:paraId="69066A35" w14:textId="16EB99D1">
      <w:pPr>
        <w:pStyle w:val="Heading2"/>
        <w:tabs>
          <w:tab w:val="clear" w:pos="4320"/>
        </w:tabs>
      </w:pPr>
      <w:bookmarkStart w:id="7" w:name="_Toc52353762"/>
      <w:bookmarkStart w:id="8" w:name="_Toc66459247"/>
      <w:bookmarkStart w:id="9" w:name="_Toc99629313"/>
      <w:r>
        <w:t>D</w:t>
      </w:r>
      <w:r w:rsidR="00723CA4">
        <w:t>.</w:t>
      </w:r>
      <w:r w:rsidR="00723CA4">
        <w:tab/>
      </w:r>
      <w:bookmarkEnd w:id="7"/>
      <w:r w:rsidR="005A35BF">
        <w:t xml:space="preserve">To protect consumers, the PUCO should adopt the Auditor’s adjustments to rate case depreciation offset (Adjustment 3), </w:t>
      </w:r>
      <w:r w:rsidR="00087A80">
        <w:t xml:space="preserve">CEP plant balances (Adjustments 6, 8, and 9), </w:t>
      </w:r>
      <w:r w:rsidR="005A35BF">
        <w:t>estimated in-service dates (Recommendation 5), unitization backlog (</w:t>
      </w:r>
      <w:r w:rsidR="00D3029B">
        <w:t>Recommendation</w:t>
      </w:r>
      <w:r w:rsidR="005A35BF">
        <w:t xml:space="preserve"> 7).</w:t>
      </w:r>
      <w:bookmarkEnd w:id="8"/>
      <w:bookmarkEnd w:id="9"/>
    </w:p>
    <w:p w:rsidR="00712BB6" w:rsidP="00F24CBE" w14:paraId="5A3B214D" w14:textId="1CCD712E">
      <w:pPr>
        <w:pStyle w:val="Heading3"/>
      </w:pPr>
      <w:bookmarkStart w:id="10" w:name="_Toc99629314"/>
      <w:r w:rsidRPr="00EA2148">
        <w:t xml:space="preserve">1. </w:t>
      </w:r>
      <w:r w:rsidR="00F24CBE">
        <w:tab/>
      </w:r>
      <w:r w:rsidRPr="00EA2148">
        <w:t>Despite Duke’s claims to the contrary, the Auditor correctly used the depreciation offset methodology from Case No. 19-791 in Adjustment 3.</w:t>
      </w:r>
      <w:bookmarkEnd w:id="10"/>
    </w:p>
    <w:p w:rsidR="00BE123D" w:rsidP="00BE123D" w14:paraId="59B2FB65" w14:textId="67BB8153">
      <w:pPr>
        <w:pStyle w:val="CommentText"/>
        <w:spacing w:line="480" w:lineRule="auto"/>
        <w:ind w:firstLine="720"/>
      </w:pPr>
      <w:r>
        <w:t>Duke argues against t</w:t>
      </w:r>
      <w:r w:rsidR="00AB464C">
        <w:t>he Auditor’s Adjustment 3</w:t>
      </w:r>
      <w:r>
        <w:t>,</w:t>
      </w:r>
      <w:r>
        <w:rPr>
          <w:rStyle w:val="FootnoteReference"/>
        </w:rPr>
        <w:footnoteReference w:id="47"/>
      </w:r>
      <w:r>
        <w:t xml:space="preserve"> where the Auditor found that Duke’s position in calculating </w:t>
      </w:r>
      <w:r w:rsidR="00AB464C">
        <w:t xml:space="preserve">the depreciation offset is inconsistent with the </w:t>
      </w:r>
      <w:r>
        <w:t>intent of the depreciation offset</w:t>
      </w:r>
      <w:r w:rsidR="0046035A">
        <w:t xml:space="preserve">. The Auditor </w:t>
      </w:r>
      <w:r>
        <w:t xml:space="preserve">recommends that the computation be restored to the one approved in the Settlement authorizing Duke’s CEP, Case No. 19-791-GA-ALT. </w:t>
      </w:r>
      <w:r w:rsidR="002D55E8">
        <w:t>Duke objects because the Settlement is silent as to the depreciation offset and that there was not an agreed-upon formula.</w:t>
      </w:r>
      <w:r>
        <w:rPr>
          <w:rStyle w:val="FootnoteReference"/>
        </w:rPr>
        <w:footnoteReference w:id="48"/>
      </w:r>
      <w:r w:rsidR="000B7834">
        <w:t xml:space="preserve"> </w:t>
      </w:r>
      <w:r>
        <w:t>But Duke did agree to the formula that was used to calculate the rates stemming from the PUCO-approved Settlement in the 19-791 case. It is Duke that appears to be experiencing buyer’s remorse and is seeking to change what was agreed to. The PUCO should not permit it to do so.</w:t>
      </w:r>
    </w:p>
    <w:p w:rsidR="00BE123D" w:rsidP="00BE123D" w14:paraId="48D8A577" w14:textId="238FD2C4">
      <w:pPr>
        <w:pStyle w:val="CommentText"/>
        <w:spacing w:line="480" w:lineRule="auto"/>
        <w:ind w:firstLine="720"/>
      </w:pPr>
      <w:r>
        <w:t xml:space="preserve">The Auditor is correct. There was a process in place used to calculate the depreciation offset </w:t>
      </w:r>
      <w:r w:rsidR="00712BB6">
        <w:t xml:space="preserve">and determining the rates in the Case No. 19-791 Settlement. And that process was ultimately adopted by the PUCO when it approved the Settlement. </w:t>
      </w:r>
      <w:r>
        <w:t>And that process is what Blue Ridge audited against. Duke is after the fact attempting to modify the process that was originally in place and that was approved by the PUCO when it adopted the settlement.</w:t>
      </w:r>
    </w:p>
    <w:p w:rsidR="0046035A" w:rsidP="002D55E8" w14:paraId="2B256C73" w14:textId="3A98A697">
      <w:pPr>
        <w:pStyle w:val="CommentText"/>
        <w:spacing w:line="480" w:lineRule="auto"/>
        <w:ind w:firstLine="720"/>
      </w:pPr>
      <w:r>
        <w:t>Since there was already a depreciation offset methodology process, t</w:t>
      </w:r>
      <w:r w:rsidR="002D55E8">
        <w:t xml:space="preserve">here would be no need to specify the mechanics in the Settlement, likely because </w:t>
      </w:r>
      <w:r w:rsidR="00F07018">
        <w:t xml:space="preserve">PUCO </w:t>
      </w:r>
      <w:r w:rsidR="002D55E8">
        <w:t xml:space="preserve">Staff was the only other signatory besides Duke. And Staff likely never </w:t>
      </w:r>
      <w:r>
        <w:t>envisioned</w:t>
      </w:r>
      <w:r w:rsidR="002D55E8">
        <w:t xml:space="preserve"> Duke unilaterally attempting to change the process that the PUCO approved when it approved the Settlement. </w:t>
      </w:r>
      <w:r>
        <w:t xml:space="preserve">OCC agrees with Staff’s position that the </w:t>
      </w:r>
      <w:r w:rsidR="00AF4B0A">
        <w:t xml:space="preserve">19-791 </w:t>
      </w:r>
      <w:r>
        <w:t>Settlement “is silent on the depreciation offset because [signatories] deemed the calculation put forward by the Company in Case No. 19-791-GA-ALT to be reasonable. Accordingly, there was no point of disagreement to be negotiated nor a need to specifically state such in the Settlement.”</w:t>
      </w:r>
      <w:r>
        <w:rPr>
          <w:rStyle w:val="FootnoteReference"/>
        </w:rPr>
        <w:footnoteReference w:id="49"/>
      </w:r>
      <w:r w:rsidRPr="0046035A">
        <w:t xml:space="preserve"> </w:t>
      </w:r>
      <w:r>
        <w:t>The PUCO approved the Settlement with an existing methodology for determining the depreciation offset.</w:t>
      </w:r>
      <w:r w:rsidR="000B7834">
        <w:t xml:space="preserve"> </w:t>
      </w:r>
    </w:p>
    <w:p w:rsidR="00AF4B0A" w:rsidP="00AF4B0A" w14:paraId="161A7A51" w14:textId="25426F23">
      <w:pPr>
        <w:pStyle w:val="CommentText"/>
        <w:spacing w:line="480" w:lineRule="auto"/>
        <w:ind w:firstLine="720"/>
      </w:pPr>
      <w:r>
        <w:t>If Duke wanted to change what was adopted in the 19-791 case, then it must prospectively file an application with the PUCO for authority to do so. And it should beforehand obtain Staff's agreement so as to avoid violation of the terms of the Settlement. According to the Staff,</w:t>
      </w:r>
      <w:r>
        <w:rPr>
          <w:rStyle w:val="FootnoteReference"/>
        </w:rPr>
        <w:footnoteReference w:id="50"/>
      </w:r>
      <w:r>
        <w:t xml:space="preserve"> Duke does not have Staff's agreement at this point. Duke should not be permitted to unilaterally change the Settlement.</w:t>
      </w:r>
    </w:p>
    <w:p w:rsidR="00AF4B0A" w:rsidP="002D55E8" w14:paraId="4BE9E0F9" w14:textId="77777777">
      <w:pPr>
        <w:pStyle w:val="CommentText"/>
        <w:spacing w:line="480" w:lineRule="auto"/>
        <w:ind w:firstLine="720"/>
      </w:pPr>
      <w:r>
        <w:t>A depreciation offset methodology was used in Case No. 19-791 and a Settlement was reached between Staff and Duke. The Auditor is entirely correct that there was an agreement</w:t>
      </w:r>
      <w:r w:rsidR="00712BB6">
        <w:t xml:space="preserve"> among the parties as to a particular computational methodology.</w:t>
      </w:r>
      <w:r>
        <w:t xml:space="preserve"> And that agreement was adopted by the PUCO. Contrary to Duke’s argument,</w:t>
      </w:r>
      <w:r>
        <w:rPr>
          <w:rStyle w:val="FootnoteReference"/>
        </w:rPr>
        <w:footnoteReference w:id="51"/>
      </w:r>
      <w:r>
        <w:t xml:space="preserve"> </w:t>
      </w:r>
      <w:r w:rsidR="002D55E8">
        <w:t xml:space="preserve">Duke cannot unilaterally </w:t>
      </w:r>
      <w:r w:rsidR="0046035A">
        <w:t xml:space="preserve">without authorization </w:t>
      </w:r>
      <w:r w:rsidR="002D55E8">
        <w:t xml:space="preserve">modify the processes and procedures that were in place at the time the Settlement was agreed to. </w:t>
      </w:r>
      <w:r w:rsidR="00712BB6">
        <w:t>The Auditor</w:t>
      </w:r>
      <w:r w:rsidR="002D55E8">
        <w:t xml:space="preserve"> must audit Duke's CEP to standards. </w:t>
      </w:r>
    </w:p>
    <w:p w:rsidR="002D55E8" w:rsidP="002D55E8" w14:paraId="0C988AEF" w14:textId="2CBD453F">
      <w:pPr>
        <w:pStyle w:val="CommentText"/>
        <w:spacing w:line="480" w:lineRule="auto"/>
        <w:ind w:firstLine="720"/>
      </w:pPr>
      <w:r>
        <w:t>T</w:t>
      </w:r>
      <w:r w:rsidR="00712BB6">
        <w:t>he Auditor</w:t>
      </w:r>
      <w:r>
        <w:t xml:space="preserve"> properly compared Duke's method for determining the depreciation offset with the process that was used when the PUCO approved the Settlement. </w:t>
      </w:r>
      <w:r w:rsidR="00AF4B0A">
        <w:t>OCC agrees with the Staff recommendation that the PUCO approve Audit Adjustment 3, the adjustment to the depreciation offset.</w:t>
      </w:r>
      <w:r>
        <w:rPr>
          <w:rStyle w:val="FootnoteReference"/>
        </w:rPr>
        <w:footnoteReference w:id="52"/>
      </w:r>
    </w:p>
    <w:p w:rsidR="00EA2148" w:rsidRPr="00EA2148" w:rsidP="00F24CBE" w14:paraId="69C4CC5C" w14:textId="32DDF2C0">
      <w:pPr>
        <w:pStyle w:val="Heading3"/>
      </w:pPr>
      <w:bookmarkStart w:id="11" w:name="_Toc99629315"/>
      <w:r w:rsidRPr="00EA2148">
        <w:t xml:space="preserve">2. </w:t>
      </w:r>
      <w:r w:rsidR="00F24CBE">
        <w:tab/>
      </w:r>
      <w:r w:rsidRPr="00EA2148">
        <w:t>Duke has not shown that gross plant and cost of removal costs are not part of the CEP and therefore the Auditor was correct in removing them from the Rider</w:t>
      </w:r>
      <w:r w:rsidR="00BB6242">
        <w:t xml:space="preserve"> (Adjustment 6)</w:t>
      </w:r>
      <w:r w:rsidRPr="00EA2148">
        <w:t>.</w:t>
      </w:r>
      <w:bookmarkEnd w:id="11"/>
    </w:p>
    <w:p w:rsidR="00EA2148" w:rsidP="00BB6242" w14:paraId="7454732B" w14:textId="30DB4A26">
      <w:pPr>
        <w:pStyle w:val="CommentText"/>
        <w:spacing w:line="480" w:lineRule="auto"/>
        <w:ind w:firstLine="720"/>
      </w:pPr>
      <w:r>
        <w:t xml:space="preserve">PUCO Staff avers that Duke has not proven that </w:t>
      </w:r>
      <w:r w:rsidR="00BB6242">
        <w:t xml:space="preserve">both the gross plant and </w:t>
      </w:r>
      <w:r>
        <w:t xml:space="preserve">the cost of removal costs </w:t>
      </w:r>
      <w:r w:rsidR="00BF587F">
        <w:t>for a propane sewer main at the East Works Propane Gas Plant</w:t>
      </w:r>
      <w:r>
        <w:t xml:space="preserve"> are not part of the CEP.</w:t>
      </w:r>
      <w:r>
        <w:rPr>
          <w:rStyle w:val="FootnoteReference"/>
        </w:rPr>
        <w:footnoteReference w:id="53"/>
      </w:r>
      <w:r w:rsidR="000B7834">
        <w:t xml:space="preserve"> </w:t>
      </w:r>
      <w:r w:rsidR="00BF587F">
        <w:t>While Duke concurs that an adjustment to reduce gross plant is appropriate, the utility disputes the cost of removal component, claiming that it is not in Rider CEP.</w:t>
      </w:r>
      <w:r>
        <w:rPr>
          <w:rStyle w:val="FootnoteReference"/>
        </w:rPr>
        <w:footnoteReference w:id="54"/>
      </w:r>
      <w:r w:rsidR="00BF587F">
        <w:t xml:space="preserve"> </w:t>
      </w:r>
      <w:r>
        <w:t>OCC agrees with Staff that Duke was required to prove that the cost of removal costs are not reflected in the proposed CEP Rider.</w:t>
      </w:r>
      <w:r w:rsidR="000B7834">
        <w:t xml:space="preserve"> </w:t>
      </w:r>
      <w:r>
        <w:t xml:space="preserve">Duke did not, therefore </w:t>
      </w:r>
      <w:r w:rsidR="00BF587F">
        <w:t>the Auditor’s</w:t>
      </w:r>
      <w:r>
        <w:t xml:space="preserve"> original recommendation should be adopted.</w:t>
      </w:r>
      <w:r w:rsidR="00BB6242">
        <w:t xml:space="preserve"> Duke’s CEP was approved as an Alternative Rate Plan under R.C. 4925.05. </w:t>
      </w:r>
      <w:r>
        <w:t>R.C. 4929.05(B) expressly states that "The applicant (in this case Duke) shall have the burden of proof under this section."</w:t>
      </w:r>
      <w:r w:rsidR="000B7834">
        <w:t xml:space="preserve"> </w:t>
      </w:r>
      <w:r>
        <w:t xml:space="preserve">Duke did not meet its burden of proof, therefore the cost of removal reversal included in </w:t>
      </w:r>
      <w:r w:rsidR="00BF587F">
        <w:t>the Auditor’s</w:t>
      </w:r>
      <w:r>
        <w:t xml:space="preserve"> Adjustment should be adopted.</w:t>
      </w:r>
    </w:p>
    <w:p w:rsidR="009B5D45" w:rsidRPr="009B5D45" w:rsidP="00F24CBE" w14:paraId="67C38702" w14:textId="569C1DB7">
      <w:pPr>
        <w:pStyle w:val="Heading3"/>
      </w:pPr>
      <w:bookmarkStart w:id="12" w:name="_Toc99629316"/>
      <w:r w:rsidRPr="009B5D45">
        <w:t>3.</w:t>
      </w:r>
      <w:r w:rsidR="00F24CBE">
        <w:tab/>
      </w:r>
      <w:r w:rsidRPr="009B5D45">
        <w:t>Despite Duke’s claims to the contrary, the Auditor correctly removed an acquisition premium for land paid above fair market value</w:t>
      </w:r>
      <w:r>
        <w:t xml:space="preserve"> (Adjustment 8)</w:t>
      </w:r>
      <w:r w:rsidRPr="009B5D45">
        <w:t>.</w:t>
      </w:r>
      <w:bookmarkEnd w:id="12"/>
    </w:p>
    <w:p w:rsidR="009B5D45" w:rsidP="009B5D45" w14:paraId="56A9DD7C" w14:textId="2C234688">
      <w:pPr>
        <w:pStyle w:val="CommentText"/>
        <w:spacing w:line="480" w:lineRule="auto"/>
        <w:ind w:firstLine="720"/>
      </w:pPr>
      <w:r>
        <w:t xml:space="preserve">Duke claims that a higher than market price purchase price was warranted </w:t>
      </w:r>
      <w:r w:rsidR="00BF587F">
        <w:t xml:space="preserve">for land for the Blue Rock Station project </w:t>
      </w:r>
      <w:r>
        <w:t>because the utility had to negotiate with the property owner to induce him to sell the property.</w:t>
      </w:r>
      <w:r>
        <w:rPr>
          <w:rStyle w:val="FootnoteReference"/>
        </w:rPr>
        <w:footnoteReference w:id="55"/>
      </w:r>
      <w:r>
        <w:t xml:space="preserve"> However, </w:t>
      </w:r>
      <w:r w:rsidR="00F07018">
        <w:t xml:space="preserve">PUCO </w:t>
      </w:r>
      <w:r>
        <w:t>Staff notes that Duke had a viable alternative to paying a premium for the land (i.e., condemning the land and taking it via eminent domain).</w:t>
      </w:r>
      <w:r>
        <w:rPr>
          <w:rStyle w:val="FootnoteReference"/>
        </w:rPr>
        <w:footnoteReference w:id="56"/>
      </w:r>
      <w:r w:rsidR="000B7834">
        <w:t xml:space="preserve"> </w:t>
      </w:r>
      <w:r>
        <w:t xml:space="preserve">Staff avers that Duke's consumers should not be required to pay </w:t>
      </w:r>
      <w:r w:rsidR="00F07018">
        <w:t xml:space="preserve">a </w:t>
      </w:r>
      <w:r>
        <w:t xml:space="preserve">premium for land acquisition and that </w:t>
      </w:r>
      <w:r w:rsidR="000A1EBB">
        <w:t>the Auditor’s</w:t>
      </w:r>
      <w:r>
        <w:t xml:space="preserve"> recommended adjustment should be</w:t>
      </w:r>
      <w:r w:rsidR="000B7834">
        <w:t xml:space="preserve"> </w:t>
      </w:r>
      <w:r>
        <w:t>adopted.</w:t>
      </w:r>
      <w:r>
        <w:rPr>
          <w:rStyle w:val="FootnoteReference"/>
        </w:rPr>
        <w:footnoteReference w:id="57"/>
      </w:r>
      <w:r>
        <w:t xml:space="preserve"> OCC concurs. If Duke is permitted to simply pass on cost premiums to consumers through increased rates it would never have an incentive to aggressively negotiate to </w:t>
      </w:r>
      <w:r w:rsidR="00BF587F">
        <w:t>lower</w:t>
      </w:r>
      <w:r>
        <w:t xml:space="preserve"> costs that will ultimately be paid for by consumers</w:t>
      </w:r>
      <w:r w:rsidR="00BF587F">
        <w:t>. Duke can</w:t>
      </w:r>
      <w:r>
        <w:t xml:space="preserve"> negotiate sweetheart deals at will and then simply pass on the added costs to consumers. Consumers should not be required to pay above fair market value for land that Duke acquired, especially considering that Duke had a viable alternative.</w:t>
      </w:r>
    </w:p>
    <w:p w:rsidR="003C3F79" w:rsidRPr="003C3F79" w:rsidP="00F24CBE" w14:paraId="40594748" w14:textId="3E2CD5D7">
      <w:pPr>
        <w:pStyle w:val="Heading3"/>
      </w:pPr>
      <w:bookmarkStart w:id="13" w:name="_Toc99629317"/>
      <w:r w:rsidRPr="003C3F79">
        <w:t xml:space="preserve">4. </w:t>
      </w:r>
      <w:r w:rsidR="00F24CBE">
        <w:tab/>
      </w:r>
      <w:r w:rsidRPr="003C3F79">
        <w:t>Despite Duke’s claims to the contrary, the Auditor properly removed over 10 months of AFUDC when little to no work was performed (Adjustment 9).</w:t>
      </w:r>
      <w:bookmarkEnd w:id="13"/>
    </w:p>
    <w:p w:rsidR="003C3F79" w:rsidP="003C3F79" w14:paraId="2A722D94" w14:textId="53A1596D">
      <w:pPr>
        <w:pStyle w:val="CommentText"/>
        <w:spacing w:line="480" w:lineRule="auto"/>
      </w:pPr>
      <w:r>
        <w:tab/>
      </w:r>
      <w:r w:rsidR="006632B4">
        <w:t>The Auditor showed that the SCADA Install Deodorizer Heat project continued to accrue AFUDC over 10 months when little to no work was performed.</w:t>
      </w:r>
      <w:r w:rsidR="000B7834">
        <w:t xml:space="preserve"> </w:t>
      </w:r>
      <w:r>
        <w:t>Duke appears to acknowledge that there were delays in the project.</w:t>
      </w:r>
      <w:r>
        <w:rPr>
          <w:rStyle w:val="FootnoteReference"/>
        </w:rPr>
        <w:footnoteReference w:id="58"/>
      </w:r>
      <w:r>
        <w:t xml:space="preserve"> And after reviewing the cost details and supporting workpapers for the project, </w:t>
      </w:r>
      <w:r w:rsidR="000A1EBB">
        <w:t>the Auditor</w:t>
      </w:r>
      <w:r>
        <w:t xml:space="preserve"> found only $13,000 was charged to the project for materials, inventories, and stores (i.e., no labor); more than 80% of the charges were for AFUDC.</w:t>
      </w:r>
      <w:r w:rsidR="000B7834">
        <w:t xml:space="preserve"> </w:t>
      </w:r>
      <w:r w:rsidR="000A1EBB">
        <w:t>The Auditor</w:t>
      </w:r>
      <w:r>
        <w:t xml:space="preserve"> is correct that AFUDC should be suspended during protracted project delays. Otherwise, Duke </w:t>
      </w:r>
      <w:r w:rsidR="000A1EBB">
        <w:t xml:space="preserve">could </w:t>
      </w:r>
      <w:r>
        <w:t>be incented to start a project and then let it sit idle for months just to collect AFUDC.</w:t>
      </w:r>
    </w:p>
    <w:p w:rsidR="000A1EBB" w:rsidP="000A1EBB" w14:paraId="5B40AA3B" w14:textId="69DE491A">
      <w:pPr>
        <w:pStyle w:val="CommentText"/>
        <w:spacing w:line="480" w:lineRule="auto"/>
        <w:ind w:firstLine="720"/>
      </w:pPr>
      <w:r>
        <w:t xml:space="preserve">OCC concurs with </w:t>
      </w:r>
      <w:r w:rsidR="00D308D8">
        <w:t xml:space="preserve">PUCO </w:t>
      </w:r>
      <w:r>
        <w:t>Staff's support</w:t>
      </w:r>
      <w:r>
        <w:rPr>
          <w:rStyle w:val="FootnoteReference"/>
        </w:rPr>
        <w:footnoteReference w:id="59"/>
      </w:r>
      <w:r>
        <w:t xml:space="preserve"> of the Auditor’s proposed adjustment.</w:t>
      </w:r>
      <w:r w:rsidR="000B7834">
        <w:t xml:space="preserve"> </w:t>
      </w:r>
      <w:r>
        <w:t xml:space="preserve">Clearly only $13,000 charged for material, inventories, and stores with no charges to labor or other accounts demonstrating active work shows that the project had a protracted idle period where AFUDC should not have accrued. </w:t>
      </w:r>
    </w:p>
    <w:p w:rsidR="00A33680" w:rsidRPr="006632B4" w:rsidP="00F24CBE" w14:paraId="43E20F82" w14:textId="6FF095BE">
      <w:pPr>
        <w:pStyle w:val="Heading3"/>
      </w:pPr>
      <w:bookmarkStart w:id="14" w:name="_Toc99629318"/>
      <w:r w:rsidRPr="006632B4">
        <w:t xml:space="preserve">5. </w:t>
      </w:r>
      <w:r w:rsidR="00F24CBE">
        <w:tab/>
      </w:r>
      <w:r w:rsidR="006632B4">
        <w:t>T</w:t>
      </w:r>
      <w:r w:rsidRPr="006632B4">
        <w:t>he Auditor’s recommendation that major non-blanket project changes in estimated in-service dates should be documented</w:t>
      </w:r>
      <w:r w:rsidRPr="006632B4" w:rsidR="009263A7">
        <w:t xml:space="preserve"> </w:t>
      </w:r>
      <w:r w:rsidR="006632B4">
        <w:t xml:space="preserve">as modified by PUCO Staff </w:t>
      </w:r>
      <w:r w:rsidRPr="006632B4" w:rsidR="009263A7">
        <w:t>(Recommendation 5)</w:t>
      </w:r>
      <w:r w:rsidRPr="006632B4">
        <w:t>.</w:t>
      </w:r>
      <w:bookmarkEnd w:id="14"/>
    </w:p>
    <w:p w:rsidR="009263A7" w:rsidP="009263A7" w14:paraId="002E6FED" w14:textId="31EB9D33">
      <w:pPr>
        <w:pStyle w:val="CommentText"/>
        <w:spacing w:line="480" w:lineRule="auto"/>
        <w:ind w:firstLine="720"/>
      </w:pPr>
      <w:r>
        <w:t>The Auditor recommends that Duke establish a procedure that require major non-blanket project changes in estimated in-service dates to be documented. Each change should be explained, and that information should be provided to senior management.</w:t>
      </w:r>
      <w:r>
        <w:rPr>
          <w:rStyle w:val="FootnoteReference"/>
        </w:rPr>
        <w:footnoteReference w:id="60"/>
      </w:r>
      <w:r>
        <w:t xml:space="preserve"> Duke claims that adoption of Recommendation 5 would result in too much additional tracking and documentation, and that the documentation should only apply to projects over ten million dollars.</w:t>
      </w:r>
      <w:r>
        <w:rPr>
          <w:rStyle w:val="FootnoteReference"/>
        </w:rPr>
        <w:footnoteReference w:id="61"/>
      </w:r>
      <w:r w:rsidR="000B7834">
        <w:t xml:space="preserve"> </w:t>
      </w:r>
      <w:r w:rsidR="00F7717D">
        <w:t xml:space="preserve">PUCO </w:t>
      </w:r>
      <w:r>
        <w:t>Staff recommend that the PUCO adopt Recommendation 5 with the clarification that “major non-blanket projects” should be defined as non-blanket projects over $500,000.</w:t>
      </w:r>
      <w:r>
        <w:rPr>
          <w:rStyle w:val="FootnoteReference"/>
        </w:rPr>
        <w:footnoteReference w:id="62"/>
      </w:r>
    </w:p>
    <w:p w:rsidR="009263A7" w:rsidP="009263A7" w14:paraId="48D849B9" w14:textId="5B4BC0A1">
      <w:pPr>
        <w:pStyle w:val="CommentText"/>
        <w:spacing w:line="480" w:lineRule="auto"/>
        <w:ind w:firstLine="720"/>
      </w:pPr>
      <w:r>
        <w:t>OCC supports Staff's recommendation</w:t>
      </w:r>
      <w:r w:rsidR="006632B4">
        <w:t xml:space="preserve"> that “major non-</w:t>
      </w:r>
      <w:r>
        <w:t>blanket projects” should be defined as non-blanket projects over $500,000. Staff's proposed $500,000 threshold for determining when procedures requiring major non-blanket project changes to have estimated in-service dates to be documented is reasonable. It strikes an appropriate balance between Duke's claimed administrative burdens and proper oversight of projects and the ability to determine whether the projects are being managed and completed efficiently</w:t>
      </w:r>
      <w:r w:rsidR="006632B4">
        <w:t xml:space="preserve">. OCC </w:t>
      </w:r>
      <w:r>
        <w:t xml:space="preserve">recommends that the PUCO adopt </w:t>
      </w:r>
      <w:r w:rsidR="006632B4">
        <w:t>the Auditor’s</w:t>
      </w:r>
      <w:r>
        <w:t xml:space="preserve"> recommendation as modified by Staff.</w:t>
      </w:r>
    </w:p>
    <w:p w:rsidR="006632B4" w:rsidRPr="00087A80" w:rsidP="00F24CBE" w14:paraId="7BA3768B" w14:textId="7BAD907B">
      <w:pPr>
        <w:pStyle w:val="Heading3"/>
      </w:pPr>
      <w:bookmarkStart w:id="15" w:name="_Toc99629319"/>
      <w:r w:rsidRPr="00087A80">
        <w:t xml:space="preserve">6. </w:t>
      </w:r>
      <w:r w:rsidR="00F24CBE">
        <w:tab/>
      </w:r>
      <w:r w:rsidRPr="00087A80">
        <w:t>The Auditor’s recommendation that the over-12-month work orders be unitized should be modified as recommended by the PUCO Staff (Recommendation 7).</w:t>
      </w:r>
      <w:bookmarkEnd w:id="15"/>
    </w:p>
    <w:p w:rsidR="00087A80" w:rsidP="00C2213A" w14:paraId="383ACE44" w14:textId="4EAC9C87">
      <w:pPr>
        <w:pStyle w:val="BodyTextIndent3"/>
        <w:spacing w:line="480" w:lineRule="auto"/>
      </w:pPr>
      <w:r>
        <w:t>The Auditor recommend</w:t>
      </w:r>
      <w:r w:rsidR="00462528">
        <w:t>s</w:t>
      </w:r>
      <w:r>
        <w:t xml:space="preserve"> that while the emphasis should be to unitize the over-12-month work orders, Duke should explore auto-unitizing blanket work orders to reduce the backlog.</w:t>
      </w:r>
      <w:r>
        <w:rPr>
          <w:rStyle w:val="FootnoteReference"/>
        </w:rPr>
        <w:footnoteReference w:id="63"/>
      </w:r>
      <w:r>
        <w:t xml:space="preserve"> PUCO Staff recommends that the PUCO order Duke to do more than just “consider” what it would take to auto-unitize blanket work orders, and instead develop a plan or explain why auto-unitization is not viable.</w:t>
      </w:r>
      <w:r>
        <w:rPr>
          <w:rStyle w:val="FootnoteReference"/>
        </w:rPr>
        <w:footnoteReference w:id="64"/>
      </w:r>
      <w:r>
        <w:t xml:space="preserve"> </w:t>
      </w:r>
    </w:p>
    <w:p w:rsidR="00087A80" w:rsidP="00087A80" w14:paraId="218E570A" w14:textId="78D769A1">
      <w:pPr>
        <w:pStyle w:val="CommentText"/>
        <w:spacing w:line="480" w:lineRule="auto"/>
        <w:ind w:firstLine="720"/>
      </w:pPr>
      <w:r>
        <w:t xml:space="preserve">OCC agrees </w:t>
      </w:r>
      <w:r w:rsidR="00B67E58">
        <w:t xml:space="preserve">with Staff </w:t>
      </w:r>
      <w:r>
        <w:t>that Duke should be required to do more than just "consider" implementing an auto unitization process for blanket work orders. The PUCO should order Duke to either timely implement an auto-unitization process for blanket work orders or timely propose a viable alternative plan to promptly work off the unitization backlog and ensure timely unitization going forward. Either plan (the auto-unitization plan or Duke's alternative plan) should include a timetable for implementation of the plan, an explanation how the plan will address the unitization backlog and ensure timely unitization going forward, goals/milestones with anticipated dates, and description of how the plan will be evaluated.</w:t>
      </w:r>
    </w:p>
    <w:p w:rsidR="00F24CBE" w:rsidP="00F24CBE" w14:paraId="7D9BA48D" w14:textId="77777777">
      <w:bookmarkStart w:id="16" w:name="_Toc97733571"/>
    </w:p>
    <w:p w:rsidR="00EC35E0" w:rsidRPr="00B9194E" w:rsidP="00EC35E0" w14:paraId="6368BA90" w14:textId="665247DC">
      <w:pPr>
        <w:pStyle w:val="Heading1"/>
      </w:pPr>
      <w:bookmarkStart w:id="17" w:name="_Toc99629320"/>
      <w:r>
        <w:t>III.</w:t>
      </w:r>
      <w:r>
        <w:tab/>
        <w:t>CONCLUSION</w:t>
      </w:r>
      <w:bookmarkEnd w:id="16"/>
      <w:bookmarkEnd w:id="17"/>
    </w:p>
    <w:p w:rsidR="00EC35E0" w:rsidP="007457E6" w14:paraId="43CA20AC" w14:textId="5022C86F">
      <w:pPr>
        <w:spacing w:line="480" w:lineRule="auto"/>
        <w:ind w:firstLine="720"/>
      </w:pPr>
      <w:r>
        <w:t xml:space="preserve">To protect Duke’s residential consumers, the PUCO should adopt </w:t>
      </w:r>
      <w:r w:rsidR="007457E6">
        <w:t xml:space="preserve">the recommendations identified in </w:t>
      </w:r>
      <w:r>
        <w:t xml:space="preserve">OCC’s </w:t>
      </w:r>
      <w:r w:rsidR="007457E6">
        <w:t>briefs.</w:t>
      </w:r>
      <w:r w:rsidR="00187041">
        <w:t xml:space="preserve"> The PUCO should adopt a lower rate of return reflecting current market conditions. The PUCO should set the same $1.00 residential rate caps for </w:t>
      </w:r>
      <w:r w:rsidR="005137BA">
        <w:t xml:space="preserve">the </w:t>
      </w:r>
      <w:r w:rsidR="00187041">
        <w:t xml:space="preserve">2019 and 2020 </w:t>
      </w:r>
      <w:r w:rsidR="005137BA">
        <w:t xml:space="preserve">CEP </w:t>
      </w:r>
      <w:r w:rsidR="00187041">
        <w:t>as are already provided for 2021 and going forward. The PUCO should not allow Duke to charge consumers for the utility’s financial performance incentive</w:t>
      </w:r>
      <w:r w:rsidR="005137BA">
        <w:t>s benefitting stockholders. The PUCO should identify the O&amp;M savings that are generated as a result of Duke’s CEP spending as reductions to the amount that customers pay to Duke for its CEP Rider. Finally, to</w:t>
      </w:r>
      <w:r w:rsidR="00187041">
        <w:t xml:space="preserve"> </w:t>
      </w:r>
      <w:r w:rsidR="005137BA">
        <w:t>prevent unjust charges to consumers, the 2020 cap on Duke’s CEP charges should be enforced by the PUCO</w:t>
      </w:r>
      <w:r>
        <w:t xml:space="preserve">. </w:t>
      </w:r>
    </w:p>
    <w:p w:rsidR="00EC35E0" w:rsidP="00EC35E0" w14:paraId="3C5431B7" w14:textId="77777777">
      <w:pPr>
        <w:pStyle w:val="BodyTextIndent3"/>
        <w:spacing w:line="480" w:lineRule="auto"/>
      </w:pPr>
      <w:r>
        <w:t>The PUCO should protect consumers by implementing these consumer protection recommendations.</w:t>
      </w:r>
    </w:p>
    <w:p w:rsidR="005137BA" w:rsidP="007457E6" w14:paraId="11F883E1" w14:textId="77777777">
      <w:pPr>
        <w:rPr>
          <w:szCs w:val="24"/>
        </w:rPr>
      </w:pPr>
    </w:p>
    <w:p w:rsidR="007457E6" w:rsidP="007457E6" w14:paraId="17727A3A" w14:textId="77777777">
      <w:pPr>
        <w:ind w:left="2880" w:firstLine="720"/>
        <w:rPr>
          <w:szCs w:val="24"/>
        </w:rPr>
      </w:pPr>
    </w:p>
    <w:p w:rsidR="00836BDA" w:rsidP="007457E6" w14:paraId="15CC787F" w14:textId="70C6D8A7">
      <w:pPr>
        <w:ind w:left="2880" w:firstLine="720"/>
        <w:rPr>
          <w:szCs w:val="24"/>
        </w:rPr>
      </w:pPr>
      <w:r>
        <w:rPr>
          <w:szCs w:val="24"/>
        </w:rPr>
        <w:t>Respectfully submitted,</w:t>
      </w:r>
    </w:p>
    <w:p w:rsidR="00F10C1E" w:rsidRPr="00F10C1E" w:rsidP="00F24CBE" w14:paraId="60376AD7" w14:textId="77777777">
      <w:pPr>
        <w:pStyle w:val="BodyTextIndent3"/>
        <w:spacing w:line="240" w:lineRule="auto"/>
        <w:ind w:left="3600" w:firstLine="0"/>
      </w:pPr>
    </w:p>
    <w:p w:rsidR="009077EE" w:rsidP="00F24CBE" w14:paraId="24C1FF2C" w14:textId="26747284">
      <w:pPr>
        <w:pStyle w:val="Footer"/>
        <w:tabs>
          <w:tab w:val="clear" w:pos="4320"/>
          <w:tab w:val="clear" w:pos="8640"/>
        </w:tabs>
        <w:rPr>
          <w:sz w:val="24"/>
          <w:szCs w:val="24"/>
        </w:rPr>
      </w:pPr>
      <w:r>
        <w:rPr>
          <w:sz w:val="24"/>
          <w:szCs w:val="24"/>
        </w:rPr>
        <w:tab/>
      </w:r>
      <w:r w:rsidR="00CA1C9C">
        <w:rPr>
          <w:sz w:val="24"/>
          <w:szCs w:val="24"/>
        </w:rPr>
        <w:tab/>
      </w:r>
      <w:r w:rsidR="00CA1C9C">
        <w:rPr>
          <w:sz w:val="24"/>
          <w:szCs w:val="24"/>
        </w:rPr>
        <w:tab/>
      </w:r>
      <w:r w:rsidR="00CA1C9C">
        <w:rPr>
          <w:sz w:val="24"/>
          <w:szCs w:val="24"/>
        </w:rPr>
        <w:tab/>
      </w:r>
      <w:r w:rsidR="00CA1C9C">
        <w:rPr>
          <w:sz w:val="24"/>
          <w:szCs w:val="24"/>
        </w:rPr>
        <w:tab/>
      </w:r>
      <w:r>
        <w:rPr>
          <w:sz w:val="24"/>
          <w:szCs w:val="24"/>
        </w:rPr>
        <w:t>Bruce Weston (0016973)</w:t>
      </w:r>
      <w:r>
        <w:rPr>
          <w:szCs w:val="24"/>
        </w:rPr>
        <w:tab/>
      </w:r>
    </w:p>
    <w:p w:rsidR="009077EE" w:rsidP="00F24CBE" w14:paraId="41670563" w14:textId="5C59F709">
      <w:pPr>
        <w:rPr>
          <w:szCs w:val="24"/>
        </w:rPr>
      </w:pPr>
      <w:r>
        <w:rPr>
          <w:szCs w:val="24"/>
        </w:rPr>
        <w:tab/>
      </w:r>
      <w:r w:rsidR="00CA1C9C">
        <w:rPr>
          <w:szCs w:val="24"/>
        </w:rPr>
        <w:tab/>
      </w:r>
      <w:r w:rsidR="00CA1C9C">
        <w:rPr>
          <w:szCs w:val="24"/>
        </w:rPr>
        <w:tab/>
      </w:r>
      <w:r w:rsidR="00CA1C9C">
        <w:rPr>
          <w:szCs w:val="24"/>
        </w:rPr>
        <w:tab/>
      </w:r>
      <w:r w:rsidR="00CA1C9C">
        <w:rPr>
          <w:szCs w:val="24"/>
        </w:rPr>
        <w:tab/>
      </w:r>
      <w:r>
        <w:rPr>
          <w:szCs w:val="24"/>
        </w:rPr>
        <w:t>Ohio Consumers’ Counsel</w:t>
      </w:r>
    </w:p>
    <w:p w:rsidR="000D3DDD" w:rsidP="00F24CBE" w14:paraId="0A5A5B10" w14:textId="77777777">
      <w:pPr>
        <w:rPr>
          <w:szCs w:val="24"/>
        </w:rPr>
      </w:pPr>
    </w:p>
    <w:p w:rsidR="009077EE" w:rsidRPr="00F56742" w:rsidP="00F24CBE" w14:paraId="28468EF8" w14:textId="65277C34">
      <w:pPr>
        <w:rPr>
          <w:i/>
          <w:iCs/>
          <w:szCs w:val="24"/>
          <w:u w:val="single"/>
        </w:rPr>
      </w:pPr>
      <w:r>
        <w:rPr>
          <w:szCs w:val="24"/>
        </w:rPr>
        <w:tab/>
      </w:r>
      <w:r w:rsidR="000D3DDD">
        <w:rPr>
          <w:szCs w:val="24"/>
        </w:rPr>
        <w:tab/>
      </w:r>
      <w:r w:rsidR="000D3DDD">
        <w:rPr>
          <w:szCs w:val="24"/>
        </w:rPr>
        <w:tab/>
      </w:r>
      <w:r w:rsidR="000D3DDD">
        <w:rPr>
          <w:szCs w:val="24"/>
        </w:rPr>
        <w:tab/>
      </w:r>
      <w:r w:rsidR="000D3DDD">
        <w:rPr>
          <w:szCs w:val="24"/>
        </w:rPr>
        <w:tab/>
      </w:r>
      <w:r w:rsidR="00F56742">
        <w:rPr>
          <w:i/>
          <w:iCs/>
          <w:szCs w:val="24"/>
          <w:u w:val="single"/>
        </w:rPr>
        <w:t xml:space="preserve">/s/ </w:t>
      </w:r>
      <w:r w:rsidR="00462528">
        <w:rPr>
          <w:i/>
          <w:iCs/>
          <w:szCs w:val="24"/>
          <w:u w:val="single"/>
        </w:rPr>
        <w:t>Amy Botschner O’Brien</w:t>
      </w:r>
      <w:r w:rsidR="00F56742">
        <w:rPr>
          <w:i/>
          <w:iCs/>
          <w:szCs w:val="24"/>
          <w:u w:val="single"/>
        </w:rPr>
        <w:tab/>
      </w:r>
    </w:p>
    <w:p w:rsidR="009077EE" w:rsidP="00F24CBE" w14:paraId="35E77811" w14:textId="44811A8C">
      <w:pPr>
        <w:rPr>
          <w:szCs w:val="24"/>
        </w:rPr>
      </w:pPr>
      <w:r>
        <w:rPr>
          <w:szCs w:val="24"/>
        </w:rPr>
        <w:tab/>
      </w:r>
      <w:r w:rsidR="00CA1C9C">
        <w:rPr>
          <w:szCs w:val="24"/>
        </w:rPr>
        <w:tab/>
      </w:r>
      <w:r w:rsidR="00CA1C9C">
        <w:rPr>
          <w:szCs w:val="24"/>
        </w:rPr>
        <w:tab/>
      </w:r>
      <w:r w:rsidR="00CA1C9C">
        <w:rPr>
          <w:szCs w:val="24"/>
        </w:rPr>
        <w:tab/>
      </w:r>
      <w:r w:rsidR="00CA1C9C">
        <w:rPr>
          <w:szCs w:val="24"/>
        </w:rPr>
        <w:tab/>
      </w:r>
      <w:r>
        <w:rPr>
          <w:szCs w:val="24"/>
        </w:rPr>
        <w:t>William J. Michael (0070921)</w:t>
      </w:r>
    </w:p>
    <w:p w:rsidR="009077EE" w:rsidP="00F24CBE" w14:paraId="0BF5F1F4" w14:textId="77777777">
      <w:pPr>
        <w:ind w:left="2880" w:firstLine="720"/>
        <w:rPr>
          <w:szCs w:val="24"/>
        </w:rPr>
      </w:pPr>
      <w:r>
        <w:rPr>
          <w:szCs w:val="24"/>
        </w:rPr>
        <w:t>Counsel of Record</w:t>
      </w:r>
    </w:p>
    <w:p w:rsidR="009077EE" w:rsidP="00F24CBE" w14:paraId="1535599F" w14:textId="27E44667">
      <w:pPr>
        <w:rPr>
          <w:szCs w:val="24"/>
        </w:rPr>
      </w:pPr>
      <w:r>
        <w:rPr>
          <w:szCs w:val="24"/>
        </w:rPr>
        <w:tab/>
      </w:r>
      <w:r w:rsidR="00CA1C9C">
        <w:rPr>
          <w:szCs w:val="24"/>
        </w:rPr>
        <w:tab/>
      </w:r>
      <w:r w:rsidR="00CA1C9C">
        <w:rPr>
          <w:szCs w:val="24"/>
        </w:rPr>
        <w:tab/>
      </w:r>
      <w:r w:rsidR="00CA1C9C">
        <w:rPr>
          <w:szCs w:val="24"/>
        </w:rPr>
        <w:tab/>
      </w:r>
      <w:r w:rsidR="00CA1C9C">
        <w:rPr>
          <w:szCs w:val="24"/>
        </w:rPr>
        <w:tab/>
      </w:r>
      <w:r>
        <w:rPr>
          <w:szCs w:val="24"/>
        </w:rPr>
        <w:t>Amy Botschner O’Brien (0074423)</w:t>
      </w:r>
    </w:p>
    <w:p w:rsidR="009077EE" w:rsidP="00F24CBE" w14:paraId="3ABBE109" w14:textId="77777777">
      <w:pPr>
        <w:ind w:left="2880" w:firstLine="720"/>
        <w:rPr>
          <w:szCs w:val="24"/>
        </w:rPr>
      </w:pPr>
      <w:r>
        <w:rPr>
          <w:szCs w:val="24"/>
        </w:rPr>
        <w:t>Assistant Consumers’ Counsel</w:t>
      </w:r>
    </w:p>
    <w:p w:rsidR="009077EE" w:rsidP="00C2213A" w14:paraId="54B4D98E" w14:textId="4509C636">
      <w:r>
        <w:tab/>
      </w:r>
    </w:p>
    <w:p w:rsidR="009077EE" w:rsidRPr="00DF6691" w:rsidP="00C2213A" w14:paraId="390AFAC6" w14:textId="31A570D6">
      <w:pPr>
        <w:rPr>
          <w:b/>
          <w:bCs/>
        </w:rPr>
      </w:pPr>
      <w:r>
        <w:tab/>
      </w:r>
      <w:r>
        <w:tab/>
      </w:r>
      <w:r>
        <w:tab/>
      </w:r>
      <w:r>
        <w:tab/>
      </w:r>
      <w:r>
        <w:tab/>
      </w:r>
      <w:r w:rsidRPr="00DF6691">
        <w:rPr>
          <w:b/>
          <w:bCs/>
        </w:rPr>
        <w:t>Office of the Ohio Consumers’ Counsel</w:t>
      </w:r>
    </w:p>
    <w:p w:rsidR="009077EE" w:rsidP="00C2213A" w14:paraId="75433DC4" w14:textId="3AF8B017">
      <w:pPr>
        <w:rPr>
          <w:b/>
        </w:rPr>
      </w:pPr>
      <w:r>
        <w:tab/>
      </w:r>
      <w:r>
        <w:tab/>
      </w:r>
      <w:r>
        <w:tab/>
      </w:r>
      <w:r>
        <w:tab/>
      </w:r>
      <w:r>
        <w:tab/>
        <w:t xml:space="preserve">65 East State Street, </w:t>
      </w:r>
      <w:r w:rsidR="00FB0C99">
        <w:t>Suite 700</w:t>
      </w:r>
    </w:p>
    <w:p w:rsidR="009077EE" w:rsidP="00C2213A" w14:paraId="2FA57F1E" w14:textId="4BAB7D6C">
      <w:pPr>
        <w:rPr>
          <w:b/>
        </w:rPr>
      </w:pPr>
      <w:r>
        <w:tab/>
      </w:r>
      <w:r>
        <w:tab/>
      </w:r>
      <w:r>
        <w:tab/>
      </w:r>
      <w:r>
        <w:tab/>
      </w:r>
      <w:r>
        <w:tab/>
        <w:t>Columbus, Ohio 43215</w:t>
      </w:r>
    </w:p>
    <w:p w:rsidR="009077EE" w:rsidP="00F24CBE" w14:paraId="580103F5" w14:textId="523B97D8">
      <w:pPr>
        <w:autoSpaceDE w:val="0"/>
        <w:autoSpaceDN w:val="0"/>
        <w:adjustRightInd w:val="0"/>
        <w:ind w:left="3600"/>
        <w:rPr>
          <w:szCs w:val="24"/>
        </w:rPr>
      </w:pPr>
      <w:r>
        <w:rPr>
          <w:szCs w:val="24"/>
        </w:rPr>
        <w:t>T</w:t>
      </w:r>
      <w:r w:rsidR="00723CA4">
        <w:rPr>
          <w:szCs w:val="24"/>
        </w:rPr>
        <w:t>elephone [Michael]: (614) 466-1291</w:t>
      </w:r>
      <w:r w:rsidR="00723CA4">
        <w:rPr>
          <w:szCs w:val="24"/>
        </w:rPr>
        <w:br/>
        <w:t>Telephone [Botschner O’Brien] (614) 466-9575</w:t>
      </w:r>
    </w:p>
    <w:p w:rsidR="009077EE" w:rsidP="00C2213A" w14:paraId="6EC441CA" w14:textId="71F67101">
      <w:pPr>
        <w:rPr>
          <w:szCs w:val="24"/>
        </w:rPr>
      </w:pPr>
      <w:r>
        <w:rPr>
          <w:szCs w:val="24"/>
        </w:rPr>
        <w:tab/>
      </w:r>
      <w:r>
        <w:rPr>
          <w:szCs w:val="24"/>
        </w:rPr>
        <w:tab/>
      </w:r>
      <w:r>
        <w:rPr>
          <w:szCs w:val="24"/>
        </w:rPr>
        <w:tab/>
      </w:r>
      <w:r>
        <w:rPr>
          <w:szCs w:val="24"/>
        </w:rPr>
        <w:tab/>
      </w:r>
      <w:r>
        <w:rPr>
          <w:szCs w:val="24"/>
        </w:rPr>
        <w:tab/>
      </w:r>
      <w:hyperlink r:id="rId6" w:history="1">
        <w:r w:rsidRPr="008215DD" w:rsidR="00F24CBE">
          <w:rPr>
            <w:rStyle w:val="Hyperlink"/>
            <w:szCs w:val="24"/>
          </w:rPr>
          <w:t>william.michael@occ.ohio.gov</w:t>
        </w:r>
      </w:hyperlink>
      <w:r>
        <w:rPr>
          <w:szCs w:val="24"/>
        </w:rPr>
        <w:br/>
      </w:r>
      <w:r>
        <w:rPr>
          <w:szCs w:val="24"/>
        </w:rPr>
        <w:tab/>
      </w:r>
      <w:r>
        <w:rPr>
          <w:szCs w:val="24"/>
        </w:rPr>
        <w:tab/>
      </w:r>
      <w:r>
        <w:rPr>
          <w:szCs w:val="24"/>
        </w:rPr>
        <w:tab/>
      </w:r>
      <w:r>
        <w:rPr>
          <w:szCs w:val="24"/>
        </w:rPr>
        <w:tab/>
      </w:r>
      <w:r>
        <w:rPr>
          <w:szCs w:val="24"/>
        </w:rPr>
        <w:tab/>
      </w:r>
      <w:hyperlink r:id="rId7" w:history="1">
        <w:r w:rsidRPr="009E4608" w:rsidR="0025377E">
          <w:rPr>
            <w:rStyle w:val="Hyperlink"/>
            <w:szCs w:val="24"/>
          </w:rPr>
          <w:t>amy.botschner.obrien@occ.ohio.gov</w:t>
        </w:r>
      </w:hyperlink>
      <w:r>
        <w:rPr>
          <w:szCs w:val="24"/>
        </w:rPr>
        <w:t xml:space="preserve"> </w:t>
      </w:r>
    </w:p>
    <w:p w:rsidR="009077EE" w:rsidP="00C2213A" w14:paraId="7A1CE009" w14:textId="165A3957">
      <w:pPr>
        <w:rPr>
          <w:szCs w:val="24"/>
        </w:rPr>
      </w:pPr>
      <w:r>
        <w:rPr>
          <w:szCs w:val="24"/>
        </w:rPr>
        <w:tab/>
      </w:r>
      <w:r>
        <w:rPr>
          <w:szCs w:val="24"/>
        </w:rPr>
        <w:tab/>
      </w:r>
      <w:r>
        <w:rPr>
          <w:szCs w:val="24"/>
        </w:rPr>
        <w:tab/>
      </w:r>
      <w:r>
        <w:rPr>
          <w:szCs w:val="24"/>
        </w:rPr>
        <w:tab/>
      </w:r>
      <w:r>
        <w:rPr>
          <w:szCs w:val="24"/>
        </w:rPr>
        <w:tab/>
        <w:t>(willing to accept service by email)</w:t>
      </w:r>
    </w:p>
    <w:p w:rsidR="009077EE" w:rsidP="00C2213A" w14:paraId="40CBAAA3" w14:textId="77777777">
      <w:pPr>
        <w:rPr>
          <w:szCs w:val="24"/>
        </w:rPr>
      </w:pPr>
    </w:p>
    <w:p w:rsidR="00B5034C" w:rsidP="00C2213A" w14:paraId="70D1AC8F" w14:textId="605E024F">
      <w:pPr>
        <w:rPr>
          <w:szCs w:val="24"/>
        </w:rPr>
      </w:pPr>
    </w:p>
    <w:p w:rsidR="00CB5D16" w:rsidP="00C2213A" w14:paraId="36D5DCF7" w14:textId="77777777">
      <w:pPr>
        <w:rPr>
          <w:b/>
          <w:bCs/>
          <w:u w:val="single"/>
        </w:rPr>
      </w:pPr>
      <w:r>
        <w:rPr>
          <w:b/>
          <w:bCs/>
          <w:u w:val="single"/>
        </w:rPr>
        <w:br w:type="page"/>
      </w:r>
    </w:p>
    <w:p w:rsidR="00F24CBE" w:rsidP="00F24CBE" w14:paraId="36922466" w14:textId="77777777">
      <w:pPr>
        <w:pStyle w:val="ANSWER"/>
        <w:suppressLineNumbers/>
        <w:ind w:left="720"/>
        <w:jc w:val="center"/>
        <w:rPr>
          <w:b/>
          <w:szCs w:val="24"/>
          <w:u w:val="single"/>
        </w:rPr>
      </w:pPr>
      <w:r w:rsidRPr="00340405">
        <w:rPr>
          <w:b/>
          <w:szCs w:val="24"/>
          <w:u w:val="single"/>
        </w:rPr>
        <w:t>CERTIFICATE OF SERVICE</w:t>
      </w:r>
    </w:p>
    <w:p w:rsidR="00CD2C14" w:rsidP="00F24CBE" w14:paraId="775B439B" w14:textId="18A2BF50">
      <w:pPr>
        <w:pStyle w:val="ANSWER"/>
        <w:suppressLineNumbers/>
        <w:ind w:left="0" w:firstLine="720"/>
      </w:pPr>
      <w:r>
        <w:t xml:space="preserve">I hereby certify that a copy of this </w:t>
      </w:r>
      <w:r w:rsidR="00061E60">
        <w:t>Reply</w:t>
      </w:r>
      <w:r>
        <w:t xml:space="preserve"> Brief was served on the persons stated below </w:t>
      </w:r>
      <w:r w:rsidRPr="009D37EA">
        <w:t xml:space="preserve">via </w:t>
      </w:r>
      <w:r>
        <w:t xml:space="preserve">electronic transmission, this </w:t>
      </w:r>
      <w:r w:rsidR="0025377E">
        <w:t>31</w:t>
      </w:r>
      <w:r w:rsidRPr="0025377E" w:rsidR="0025377E">
        <w:rPr>
          <w:vertAlign w:val="superscript"/>
        </w:rPr>
        <w:t>st</w:t>
      </w:r>
      <w:r w:rsidR="0025377E">
        <w:t xml:space="preserve"> day of March 2022</w:t>
      </w:r>
      <w:r>
        <w:t>.</w:t>
      </w:r>
    </w:p>
    <w:p w:rsidR="00CD2C14" w:rsidRPr="00340405" w:rsidP="00C2213A" w14:paraId="033D8C92" w14:textId="77777777">
      <w:pPr>
        <w:suppressLineNumbers/>
        <w:ind w:firstLine="720"/>
      </w:pPr>
    </w:p>
    <w:p w:rsidR="00CD2C14" w:rsidRPr="00340405" w:rsidP="00C2213A" w14:paraId="6B4668DF" w14:textId="640654CF">
      <w:pPr>
        <w:suppressLineNumbers/>
        <w:rPr>
          <w:i/>
          <w:u w:val="single"/>
        </w:rPr>
      </w:pPr>
      <w:r w:rsidRPr="00340405">
        <w:rPr>
          <w:i/>
        </w:rPr>
        <w:tab/>
      </w:r>
      <w:r w:rsidR="00CA1C9C">
        <w:rPr>
          <w:i/>
        </w:rPr>
        <w:tab/>
      </w:r>
      <w:r w:rsidR="00CA1C9C">
        <w:rPr>
          <w:i/>
        </w:rPr>
        <w:tab/>
      </w:r>
      <w:r w:rsidR="00CA1C9C">
        <w:rPr>
          <w:i/>
        </w:rPr>
        <w:tab/>
      </w:r>
      <w:r w:rsidR="00CA1C9C">
        <w:rPr>
          <w:i/>
        </w:rPr>
        <w:tab/>
      </w:r>
      <w:r w:rsidR="00CA1C9C">
        <w:rPr>
          <w:i/>
        </w:rPr>
        <w:tab/>
      </w:r>
      <w:r w:rsidR="00CA1C9C">
        <w:rPr>
          <w:i/>
        </w:rPr>
        <w:tab/>
      </w:r>
      <w:r w:rsidR="00F56742">
        <w:rPr>
          <w:i/>
          <w:u w:val="single"/>
        </w:rPr>
        <w:t xml:space="preserve">/s/ </w:t>
      </w:r>
      <w:r w:rsidR="00462528">
        <w:rPr>
          <w:i/>
          <w:u w:val="single"/>
        </w:rPr>
        <w:t>Amy Botschner O’Brien</w:t>
      </w:r>
    </w:p>
    <w:p w:rsidR="00CD2C14" w:rsidRPr="00340405" w:rsidP="00C2213A" w14:paraId="073216D3" w14:textId="267D6473">
      <w:pPr>
        <w:suppressLineNumbers/>
      </w:pPr>
      <w:r>
        <w:tab/>
      </w:r>
      <w:r>
        <w:tab/>
      </w:r>
      <w:r>
        <w:tab/>
      </w:r>
      <w:r>
        <w:tab/>
      </w:r>
      <w:r>
        <w:tab/>
      </w:r>
      <w:r>
        <w:tab/>
      </w:r>
      <w:r>
        <w:tab/>
      </w:r>
      <w:r w:rsidR="00462528">
        <w:t>Amy Botschner O’Brien</w:t>
      </w:r>
    </w:p>
    <w:p w:rsidR="00CD2C14" w:rsidRPr="00340405" w:rsidP="00C2213A" w14:paraId="27A23EBF" w14:textId="6C830147">
      <w:pPr>
        <w:suppressLineNumbers/>
      </w:pPr>
      <w:r w:rsidRPr="00340405">
        <w:tab/>
      </w:r>
      <w:r w:rsidR="00CA1C9C">
        <w:tab/>
      </w:r>
      <w:r w:rsidR="00CA1C9C">
        <w:tab/>
      </w:r>
      <w:r w:rsidR="00CA1C9C">
        <w:tab/>
      </w:r>
      <w:r w:rsidR="00CA1C9C">
        <w:tab/>
      </w:r>
      <w:r w:rsidR="00CA1C9C">
        <w:tab/>
      </w:r>
      <w:r w:rsidR="00CA1C9C">
        <w:tab/>
      </w:r>
      <w:r w:rsidRPr="00340405">
        <w:t>Assistant Consumers’ Counsel</w:t>
      </w:r>
    </w:p>
    <w:p w:rsidR="00CD2C14" w:rsidRPr="00340405" w:rsidP="00C2213A" w14:paraId="164DF1AB" w14:textId="77777777">
      <w:pPr>
        <w:suppressLineNumbers/>
        <w:spacing w:line="480" w:lineRule="auto"/>
        <w:ind w:firstLine="720"/>
      </w:pPr>
    </w:p>
    <w:p w:rsidR="00CD2C14" w:rsidRPr="00340405" w:rsidP="00C2213A" w14:paraId="473CDD26" w14:textId="77777777">
      <w:r w:rsidRPr="00340405">
        <w:t>The PUCO’s e-filing system will electronically serve notice of the filing of this document on the following parties:</w:t>
      </w:r>
    </w:p>
    <w:p w:rsidR="00CD2C14" w:rsidRPr="00340405" w:rsidP="00C2213A" w14:paraId="04FCE535" w14:textId="77777777">
      <w:pPr>
        <w:pStyle w:val="CommentText"/>
        <w:suppressLineNumbers/>
        <w:jc w:val="center"/>
        <w:rPr>
          <w:b/>
          <w:u w:val="single"/>
        </w:rPr>
      </w:pPr>
    </w:p>
    <w:p w:rsidR="00116A1D" w:rsidP="00116A1D" w14:paraId="6693592F" w14:textId="77777777">
      <w:pPr>
        <w:pStyle w:val="CommentText"/>
        <w:jc w:val="center"/>
        <w:rPr>
          <w:b/>
          <w:sz w:val="20"/>
          <w:u w:val="single"/>
        </w:rPr>
      </w:pPr>
      <w:r>
        <w:rPr>
          <w:b/>
          <w:u w:val="single"/>
        </w:rPr>
        <w:t>SERVICE LIST</w:t>
      </w:r>
    </w:p>
    <w:p w:rsidR="00CD2C14" w:rsidP="00C2213A" w14:paraId="765559BE" w14:textId="77777777">
      <w:pPr>
        <w:jc w:val="center"/>
        <w:rPr>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09817E93" w14:textId="77777777" w:rsidTr="0055778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FB0C99" w:rsidRPr="00024263" w:rsidP="00557785" w14:paraId="041EA061" w14:textId="77777777">
            <w:pPr>
              <w:pStyle w:val="BodyText"/>
              <w:jc w:val="left"/>
              <w:rPr>
                <w:color w:val="0000FF"/>
                <w:u w:val="single"/>
              </w:rPr>
            </w:pPr>
            <w:hyperlink r:id="rId11" w:history="1">
              <w:r w:rsidRPr="00024263" w:rsidR="008B0895">
                <w:rPr>
                  <w:rStyle w:val="Hyperlink"/>
                </w:rPr>
                <w:t>Robert.eubanks@ohioAGO.gov</w:t>
              </w:r>
            </w:hyperlink>
          </w:p>
          <w:p w:rsidR="00FB0C99" w:rsidRPr="00024263" w:rsidP="00557785" w14:paraId="25FB5CA4" w14:textId="77777777">
            <w:pPr>
              <w:autoSpaceDE w:val="0"/>
              <w:autoSpaceDN w:val="0"/>
              <w:adjustRightInd w:val="0"/>
            </w:pPr>
            <w:hyperlink r:id="rId12" w:history="1">
              <w:r w:rsidRPr="00024263" w:rsidR="008B0895">
                <w:rPr>
                  <w:rStyle w:val="Hyperlink"/>
                </w:rPr>
                <w:t>michael.nugent@igs.com</w:t>
              </w:r>
            </w:hyperlink>
          </w:p>
          <w:p w:rsidR="00FB0C99" w:rsidRPr="00024263" w:rsidP="00557785" w14:paraId="371DCA48" w14:textId="77777777">
            <w:pPr>
              <w:autoSpaceDE w:val="0"/>
              <w:autoSpaceDN w:val="0"/>
              <w:adjustRightInd w:val="0"/>
            </w:pPr>
            <w:hyperlink r:id="rId13" w:history="1">
              <w:r w:rsidRPr="00024263" w:rsidR="008B0895">
                <w:rPr>
                  <w:rStyle w:val="Hyperlink"/>
                </w:rPr>
                <w:t>bethany.allen@igs.com</w:t>
              </w:r>
            </w:hyperlink>
          </w:p>
          <w:p w:rsidR="00FB0C99" w:rsidRPr="00024263" w:rsidP="00557785" w14:paraId="0CE609AC" w14:textId="77777777">
            <w:pPr>
              <w:autoSpaceDE w:val="0"/>
              <w:autoSpaceDN w:val="0"/>
              <w:adjustRightInd w:val="0"/>
            </w:pPr>
            <w:hyperlink r:id="rId14" w:history="1">
              <w:r w:rsidRPr="00024263" w:rsidR="008B0895">
                <w:rPr>
                  <w:rStyle w:val="Hyperlink"/>
                </w:rPr>
                <w:t>evan.betterton@igs.com</w:t>
              </w:r>
            </w:hyperlink>
          </w:p>
          <w:p w:rsidR="00FB0C99" w:rsidP="00557785" w14:paraId="700DB2F8" w14:textId="77777777">
            <w:pPr>
              <w:pStyle w:val="BodyText"/>
              <w:rPr>
                <w:rStyle w:val="Hyperlink"/>
              </w:rPr>
            </w:pPr>
            <w:hyperlink r:id="rId15" w:history="1">
              <w:r w:rsidRPr="00024263" w:rsidR="008B0895">
                <w:rPr>
                  <w:rStyle w:val="Hyperlink"/>
                </w:rPr>
                <w:t>joe.oliker@igs.com</w:t>
              </w:r>
            </w:hyperlink>
          </w:p>
          <w:p w:rsidR="00FB0C99" w:rsidP="00557785" w14:paraId="5897C9BB" w14:textId="77777777">
            <w:pPr>
              <w:pStyle w:val="BodyText"/>
              <w:rPr>
                <w:rStyle w:val="Hyperlink"/>
              </w:rPr>
            </w:pPr>
          </w:p>
          <w:p w:rsidR="00FB0C99" w:rsidRPr="0059384F" w:rsidP="00557785" w14:paraId="5222EBAA" w14:textId="77777777">
            <w:pPr>
              <w:pStyle w:val="BodyText"/>
              <w:rPr>
                <w:rStyle w:val="Hyperlink"/>
                <w:color w:val="auto"/>
                <w:u w:val="none"/>
              </w:rPr>
            </w:pPr>
            <w:r w:rsidRPr="0059384F">
              <w:rPr>
                <w:rStyle w:val="Hyperlink"/>
                <w:color w:val="auto"/>
                <w:u w:val="none"/>
              </w:rPr>
              <w:t>Attorney Examiner:</w:t>
            </w:r>
          </w:p>
          <w:p w:rsidR="00FB0C99" w:rsidP="00557785" w14:paraId="20B7C5B5" w14:textId="77777777">
            <w:pPr>
              <w:pStyle w:val="BodyText"/>
            </w:pPr>
          </w:p>
          <w:p w:rsidR="00FB0C99" w:rsidP="00557785" w14:paraId="45286847" w14:textId="77777777">
            <w:pPr>
              <w:pStyle w:val="BodyText"/>
            </w:pPr>
            <w:hyperlink r:id="rId16" w:history="1">
              <w:r w:rsidRPr="00FF5FC4" w:rsidR="008B0895">
                <w:rPr>
                  <w:rStyle w:val="Hyperlink"/>
                </w:rPr>
                <w:t>Matthew.sandor@puco.ohio.gov</w:t>
              </w:r>
            </w:hyperlink>
          </w:p>
          <w:p w:rsidR="00FB0C99" w:rsidRPr="00024263" w:rsidP="00557785" w14:paraId="3A35361F" w14:textId="77777777">
            <w:pPr>
              <w:pStyle w:val="BodyText"/>
            </w:pPr>
          </w:p>
          <w:p w:rsidR="00FB0C99" w:rsidRPr="00024263" w:rsidP="00557785" w14:paraId="6E083092" w14:textId="2AA1BF0F">
            <w:pPr>
              <w:pStyle w:val="BodyText"/>
            </w:pPr>
          </w:p>
        </w:tc>
        <w:tc>
          <w:tcPr>
            <w:tcW w:w="4315" w:type="dxa"/>
          </w:tcPr>
          <w:p w:rsidR="00FB0C99" w:rsidRPr="00024263" w:rsidP="00557785" w14:paraId="4B3C4A59" w14:textId="77777777">
            <w:pPr>
              <w:pStyle w:val="BodyText"/>
              <w:ind w:left="553"/>
            </w:pPr>
            <w:hyperlink r:id="rId17" w:history="1">
              <w:r w:rsidRPr="00024263" w:rsidR="008B0895">
                <w:rPr>
                  <w:rStyle w:val="Hyperlink"/>
                </w:rPr>
                <w:t>Jeanne.kingery@duke-energy.com</w:t>
              </w:r>
            </w:hyperlink>
          </w:p>
          <w:p w:rsidR="00FB0C99" w:rsidRPr="00024263" w:rsidP="00557785" w14:paraId="62FD152B" w14:textId="77777777">
            <w:pPr>
              <w:pStyle w:val="BodyText"/>
              <w:ind w:left="553"/>
            </w:pPr>
            <w:hyperlink r:id="rId18" w:history="1">
              <w:r w:rsidRPr="00024263" w:rsidR="008B0895">
                <w:rPr>
                  <w:rStyle w:val="Hyperlink"/>
                </w:rPr>
                <w:t>Larisa.vaysman@duke-energy.com</w:t>
              </w:r>
            </w:hyperlink>
          </w:p>
          <w:p w:rsidR="00FB0C99" w:rsidRPr="00024263" w:rsidP="00557785" w14:paraId="2221EE7C" w14:textId="77777777">
            <w:pPr>
              <w:autoSpaceDE w:val="0"/>
              <w:autoSpaceDN w:val="0"/>
              <w:adjustRightInd w:val="0"/>
              <w:ind w:left="529"/>
              <w:rPr>
                <w:color w:val="0000FF"/>
                <w:u w:val="single"/>
              </w:rPr>
            </w:pPr>
            <w:hyperlink r:id="rId19" w:history="1">
              <w:r w:rsidRPr="00024263" w:rsidR="008B0895">
                <w:rPr>
                  <w:color w:val="0000FF"/>
                  <w:u w:val="single"/>
                </w:rPr>
                <w:t>Rocco.Dascenzo@duke-energy.com</w:t>
              </w:r>
            </w:hyperlink>
          </w:p>
          <w:p w:rsidR="00FB0C99" w:rsidRPr="00024263" w:rsidP="00557785" w14:paraId="0AC6D90D" w14:textId="77777777">
            <w:pPr>
              <w:pStyle w:val="BodyText"/>
              <w:ind w:left="553"/>
            </w:pPr>
          </w:p>
        </w:tc>
      </w:tr>
    </w:tbl>
    <w:p w:rsidR="00836BDA" w:rsidP="00C2213A" w14:paraId="4360B340" w14:textId="77777777">
      <w:pPr>
        <w:pStyle w:val="BodyText"/>
        <w:rPr>
          <w:b/>
          <w:bCs/>
        </w:rPr>
      </w:pPr>
    </w:p>
    <w:p w:rsidR="00D4185C" w:rsidP="00C2213A" w14:paraId="6FC9875F" w14:textId="77777777">
      <w:pPr>
        <w:pStyle w:val="BodyText"/>
        <w:rPr>
          <w:b/>
          <w:bCs/>
        </w:rPr>
      </w:pPr>
    </w:p>
    <w:sectPr w:rsidSect="00427E9D">
      <w:headerReference w:type="first" r:id="rId20"/>
      <w:footerReference w:type="first" r:id="rId21"/>
      <w:pgSz w:w="12240" w:h="15840"/>
      <w:pgMar w:top="1440" w:right="1800" w:bottom="1440" w:left="1800" w:header="720" w:footer="72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59126282"/>
      <w:docPartObj>
        <w:docPartGallery w:val="Page Numbers (Bottom of Page)"/>
        <w:docPartUnique/>
      </w:docPartObj>
    </w:sdtPr>
    <w:sdtEndPr>
      <w:rPr>
        <w:noProof/>
        <w:sz w:val="24"/>
        <w:szCs w:val="24"/>
      </w:rPr>
    </w:sdtEndPr>
    <w:sdtContent>
      <w:p w:rsidR="0011680D" w:rsidRPr="00FE7F0A" w14:paraId="539554A0" w14:textId="77777777">
        <w:pPr>
          <w:pStyle w:val="Footer"/>
          <w:jc w:val="center"/>
          <w:rPr>
            <w:sz w:val="24"/>
            <w:szCs w:val="24"/>
          </w:rPr>
        </w:pPr>
        <w:r w:rsidRPr="00FE7F0A">
          <w:rPr>
            <w:sz w:val="24"/>
            <w:szCs w:val="24"/>
          </w:rPr>
          <w:fldChar w:fldCharType="begin"/>
        </w:r>
        <w:r w:rsidRPr="00FE7F0A">
          <w:rPr>
            <w:sz w:val="24"/>
            <w:szCs w:val="24"/>
          </w:rPr>
          <w:instrText xml:space="preserve"> PAGE   \* MERGEFORMAT </w:instrText>
        </w:r>
        <w:r w:rsidRPr="00FE7F0A">
          <w:rPr>
            <w:sz w:val="24"/>
            <w:szCs w:val="24"/>
          </w:rPr>
          <w:fldChar w:fldCharType="separate"/>
        </w:r>
        <w:r>
          <w:rPr>
            <w:noProof/>
            <w:sz w:val="24"/>
            <w:szCs w:val="24"/>
          </w:rPr>
          <w:t>10</w:t>
        </w:r>
        <w:r w:rsidRPr="00FE7F0A">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680D" w14:paraId="7CE7B0B7" w14:textId="77777777">
    <w:pPr>
      <w:pStyle w:val="Footer"/>
      <w:jc w:val="center"/>
    </w:pPr>
  </w:p>
  <w:p w:rsidR="0011680D" w14:paraId="5F73500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7538554"/>
      <w:docPartObj>
        <w:docPartGallery w:val="Page Numbers (Bottom of Page)"/>
        <w:docPartUnique/>
      </w:docPartObj>
    </w:sdtPr>
    <w:sdtEndPr>
      <w:rPr>
        <w:noProof/>
        <w:sz w:val="24"/>
        <w:szCs w:val="24"/>
      </w:rPr>
    </w:sdtEndPr>
    <w:sdtContent>
      <w:p w:rsidR="0011680D" w:rsidRPr="00920B1D" w14:paraId="37F05D7F" w14:textId="77777777">
        <w:pPr>
          <w:pStyle w:val="Footer"/>
          <w:jc w:val="center"/>
          <w:rPr>
            <w:sz w:val="24"/>
            <w:szCs w:val="24"/>
          </w:rPr>
        </w:pPr>
        <w:r w:rsidRPr="00920B1D">
          <w:rPr>
            <w:sz w:val="24"/>
            <w:szCs w:val="24"/>
          </w:rPr>
          <w:fldChar w:fldCharType="begin"/>
        </w:r>
        <w:r w:rsidRPr="00920B1D">
          <w:rPr>
            <w:sz w:val="24"/>
            <w:szCs w:val="24"/>
          </w:rPr>
          <w:instrText xml:space="preserve"> PAGE   \* MERGEFORMAT </w:instrText>
        </w:r>
        <w:r w:rsidRPr="00920B1D">
          <w:rPr>
            <w:sz w:val="24"/>
            <w:szCs w:val="24"/>
          </w:rPr>
          <w:fldChar w:fldCharType="separate"/>
        </w:r>
        <w:r>
          <w:rPr>
            <w:noProof/>
            <w:sz w:val="24"/>
            <w:szCs w:val="24"/>
          </w:rPr>
          <w:t>i</w:t>
        </w:r>
        <w:r w:rsidRPr="00920B1D">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51167253"/>
      <w:docPartObj>
        <w:docPartGallery w:val="Page Numbers (Bottom of Page)"/>
        <w:docPartUnique/>
      </w:docPartObj>
    </w:sdtPr>
    <w:sdtEndPr>
      <w:rPr>
        <w:noProof/>
        <w:sz w:val="24"/>
        <w:szCs w:val="24"/>
      </w:rPr>
    </w:sdtEndPr>
    <w:sdtContent>
      <w:p w:rsidR="0011680D" w:rsidRPr="00E53E1E" w14:paraId="2469F11F" w14:textId="77777777">
        <w:pPr>
          <w:pStyle w:val="Footer"/>
          <w:jc w:val="center"/>
          <w:rPr>
            <w:sz w:val="24"/>
            <w:szCs w:val="24"/>
          </w:rPr>
        </w:pPr>
        <w:r w:rsidRPr="00E53E1E">
          <w:rPr>
            <w:sz w:val="24"/>
            <w:szCs w:val="24"/>
          </w:rPr>
          <w:fldChar w:fldCharType="begin"/>
        </w:r>
        <w:r w:rsidRPr="00E53E1E">
          <w:rPr>
            <w:sz w:val="24"/>
            <w:szCs w:val="24"/>
          </w:rPr>
          <w:instrText xml:space="preserve"> PAGE   \* MERGEFORMAT </w:instrText>
        </w:r>
        <w:r w:rsidRPr="00E53E1E">
          <w:rPr>
            <w:sz w:val="24"/>
            <w:szCs w:val="24"/>
          </w:rPr>
          <w:fldChar w:fldCharType="separate"/>
        </w:r>
        <w:r>
          <w:rPr>
            <w:noProof/>
            <w:sz w:val="24"/>
            <w:szCs w:val="24"/>
          </w:rPr>
          <w:t>1</w:t>
        </w:r>
        <w:r w:rsidRPr="00E53E1E">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A2C49" w14:paraId="19A76881" w14:textId="77777777">
      <w:r>
        <w:separator/>
      </w:r>
    </w:p>
  </w:footnote>
  <w:footnote w:type="continuationSeparator" w:id="1">
    <w:p w:rsidR="008A2C49" w14:paraId="0E7E04BE" w14:textId="77777777">
      <w:r>
        <w:continuationSeparator/>
      </w:r>
    </w:p>
  </w:footnote>
  <w:footnote w:id="2">
    <w:p w:rsidR="0065500B" w:rsidRPr="00E50CEE" w:rsidP="00E50CEE" w14:paraId="53534ACC" w14:textId="67444D9E">
      <w:pPr>
        <w:pStyle w:val="FootnoteText"/>
        <w:spacing w:after="120"/>
      </w:pPr>
      <w:r w:rsidRPr="00E50CEE">
        <w:rPr>
          <w:rStyle w:val="FootnoteReference"/>
        </w:rPr>
        <w:footnoteRef/>
      </w:r>
      <w:r w:rsidRPr="00E50CEE">
        <w:t xml:space="preserve"> Initial Brief for Consumer Protection by Office of the Ohio Consumers’ Counsel (“OCC Brief”), Case No. 21-618-GA-RDR (March 10, 2022).</w:t>
      </w:r>
    </w:p>
  </w:footnote>
  <w:footnote w:id="3">
    <w:p w:rsidR="0065500B" w:rsidRPr="00E50CEE" w:rsidP="00E50CEE" w14:paraId="4925A295" w14:textId="00845868">
      <w:pPr>
        <w:pStyle w:val="FootnoteText"/>
        <w:spacing w:after="120"/>
      </w:pPr>
      <w:r w:rsidRPr="00E50CEE">
        <w:rPr>
          <w:rStyle w:val="FootnoteReference"/>
        </w:rPr>
        <w:footnoteRef/>
      </w:r>
      <w:r w:rsidRPr="00E50CEE">
        <w:t xml:space="preserve"> OCC Brief at 4-9.</w:t>
      </w:r>
    </w:p>
  </w:footnote>
  <w:footnote w:id="4">
    <w:p w:rsidR="00ED667D" w:rsidRPr="00E50CEE" w:rsidP="00E50CEE" w14:paraId="6826D8FB" w14:textId="6797B37E">
      <w:pPr>
        <w:pStyle w:val="FootnoteText"/>
        <w:spacing w:after="120"/>
      </w:pPr>
      <w:r w:rsidRPr="00E50CEE">
        <w:rPr>
          <w:rStyle w:val="FootnoteReference"/>
        </w:rPr>
        <w:footnoteRef/>
      </w:r>
      <w:r w:rsidRPr="00E50CEE">
        <w:t xml:space="preserve"> </w:t>
      </w:r>
      <w:r w:rsidRPr="00E50CEE" w:rsidR="00957CA4">
        <w:rPr>
          <w:i/>
          <w:iCs/>
        </w:rPr>
        <w:t>In the Matter of the Application of Duke Energy Ohio, Inc. for Approval of an Alternative Form of Regulation to Establish a Capital Expenditure Program Rider Mechanism,</w:t>
      </w:r>
      <w:r w:rsidRPr="00E50CEE" w:rsidR="00957CA4">
        <w:t xml:space="preserve"> Case No. 19-791-GA-ALT Opinion and Order </w:t>
      </w:r>
      <w:r w:rsidRPr="00E50CEE" w:rsidR="0024049B">
        <w:t xml:space="preserve">at 18 </w:t>
      </w:r>
      <w:r w:rsidRPr="00E50CEE" w:rsidR="00957CA4">
        <w:t>(April 21, 2021).</w:t>
      </w:r>
    </w:p>
  </w:footnote>
  <w:footnote w:id="5">
    <w:p w:rsidR="0065500B" w:rsidRPr="00E50CEE" w:rsidP="00E50CEE" w14:paraId="6D78C29C" w14:textId="41CDC529">
      <w:pPr>
        <w:pStyle w:val="FootnoteText"/>
        <w:spacing w:after="120"/>
      </w:pPr>
      <w:r w:rsidRPr="00E50CEE">
        <w:rPr>
          <w:rStyle w:val="FootnoteReference"/>
        </w:rPr>
        <w:footnoteRef/>
      </w:r>
      <w:r w:rsidRPr="00E50CEE" w:rsidR="000B7834">
        <w:t xml:space="preserve"> </w:t>
      </w:r>
      <w:r w:rsidRPr="00E50CEE">
        <w:t>OCC Brief at 9-13.</w:t>
      </w:r>
    </w:p>
  </w:footnote>
  <w:footnote w:id="6">
    <w:p w:rsidR="0065500B" w:rsidRPr="00E50CEE" w:rsidP="00E50CEE" w14:paraId="2DDB182F" w14:textId="2A322963">
      <w:pPr>
        <w:pStyle w:val="FootnoteText"/>
        <w:spacing w:after="120"/>
      </w:pPr>
      <w:r w:rsidRPr="00E50CEE">
        <w:rPr>
          <w:rStyle w:val="FootnoteReference"/>
        </w:rPr>
        <w:footnoteRef/>
      </w:r>
      <w:r w:rsidRPr="00E50CEE">
        <w:t xml:space="preserve"> OCC Brief at 13-18.</w:t>
      </w:r>
    </w:p>
  </w:footnote>
  <w:footnote w:id="7">
    <w:p w:rsidR="0065500B" w:rsidRPr="00E50CEE" w:rsidP="00E50CEE" w14:paraId="51291104" w14:textId="2093642F">
      <w:pPr>
        <w:pStyle w:val="FootnoteText"/>
        <w:spacing w:after="120"/>
      </w:pPr>
      <w:r w:rsidRPr="00E50CEE">
        <w:rPr>
          <w:rStyle w:val="FootnoteReference"/>
        </w:rPr>
        <w:footnoteRef/>
      </w:r>
      <w:r w:rsidRPr="00E50CEE">
        <w:t xml:space="preserve"> OCC Brief at 18-21.</w:t>
      </w:r>
    </w:p>
  </w:footnote>
  <w:footnote w:id="8">
    <w:p w:rsidR="0065500B" w:rsidRPr="00E50CEE" w:rsidP="00E50CEE" w14:paraId="518A4489" w14:textId="34A5EA95">
      <w:pPr>
        <w:pStyle w:val="FootnoteText"/>
        <w:spacing w:after="120"/>
      </w:pPr>
      <w:r w:rsidRPr="00E50CEE">
        <w:rPr>
          <w:rStyle w:val="FootnoteReference"/>
        </w:rPr>
        <w:footnoteRef/>
      </w:r>
      <w:r w:rsidRPr="00E50CEE">
        <w:t xml:space="preserve"> OCC Brief at 21-22.</w:t>
      </w:r>
    </w:p>
  </w:footnote>
  <w:footnote w:id="9">
    <w:p w:rsidR="00124E0B" w:rsidRPr="00E50CEE" w:rsidP="00E50CEE" w14:paraId="3991B133" w14:textId="1E4FF82A">
      <w:pPr>
        <w:pStyle w:val="FootnoteText"/>
        <w:spacing w:after="120"/>
      </w:pPr>
      <w:r w:rsidRPr="00E50CEE">
        <w:rPr>
          <w:rStyle w:val="FootnoteReference"/>
        </w:rPr>
        <w:footnoteRef/>
      </w:r>
      <w:r w:rsidRPr="00E50CEE">
        <w:t xml:space="preserve"> </w:t>
      </w:r>
      <w:r w:rsidRPr="00E50CEE" w:rsidR="00A1659C">
        <w:t>Initial Brief Submitted on Behalf of the Staff of the Public Utilities Commission of Ohio (“Staff Brief”), Case No. 21-618-GA-RDR (March 10, 2022) at 12</w:t>
      </w:r>
      <w:r w:rsidRPr="00E50CEE">
        <w:t>.</w:t>
      </w:r>
    </w:p>
  </w:footnote>
  <w:footnote w:id="10">
    <w:p w:rsidR="00D80208" w:rsidRPr="00E50CEE" w:rsidP="00E50CEE" w14:paraId="7E0B836C" w14:textId="0E118E50">
      <w:pPr>
        <w:pStyle w:val="FootnoteText"/>
        <w:spacing w:after="120"/>
      </w:pPr>
      <w:r w:rsidRPr="00E50CEE">
        <w:rPr>
          <w:rStyle w:val="FootnoteReference"/>
        </w:rPr>
        <w:footnoteRef/>
      </w:r>
      <w:r w:rsidRPr="00E50CEE">
        <w:t xml:space="preserve"> Staff Brief at 10-11</w:t>
      </w:r>
      <w:r w:rsidRPr="00E50CEE" w:rsidR="000B7834">
        <w:t>.</w:t>
      </w:r>
      <w:r w:rsidRPr="00E50CEE">
        <w:t xml:space="preserve"> </w:t>
      </w:r>
    </w:p>
  </w:footnote>
  <w:footnote w:id="11">
    <w:p w:rsidR="00A1659C" w:rsidRPr="00E50CEE" w:rsidP="00E50CEE" w14:paraId="21FB3817" w14:textId="528D536D">
      <w:pPr>
        <w:pStyle w:val="FootnoteText"/>
        <w:spacing w:after="120"/>
      </w:pPr>
      <w:r w:rsidRPr="00E50CEE">
        <w:rPr>
          <w:rStyle w:val="FootnoteReference"/>
        </w:rPr>
        <w:footnoteRef/>
      </w:r>
      <w:r w:rsidRPr="00E50CEE">
        <w:t xml:space="preserve"> Brief in Support of Duke Energy Ohio, Inc.’s Application for Adjustment to the Capital Expenditure Program Rider Rate (“Duke Brief”), Case No. 21-618-GA-RDR (March 10, 2022)</w:t>
      </w:r>
      <w:r w:rsidRPr="00E50CEE" w:rsidR="00D80208">
        <w:t xml:space="preserve"> at 24</w:t>
      </w:r>
      <w:r w:rsidRPr="00E50CEE">
        <w:t xml:space="preserve">. </w:t>
      </w:r>
    </w:p>
  </w:footnote>
  <w:footnote w:id="12">
    <w:p w:rsidR="00124E0B" w:rsidRPr="00E50CEE" w:rsidP="00E50CEE" w14:paraId="35B2E5FB" w14:textId="77777777">
      <w:pPr>
        <w:pStyle w:val="FootnoteText"/>
        <w:spacing w:after="120"/>
      </w:pPr>
      <w:r w:rsidRPr="00E50CEE">
        <w:rPr>
          <w:rStyle w:val="FootnoteReference"/>
        </w:rPr>
        <w:footnoteRef/>
      </w:r>
      <w:r w:rsidRPr="00E50CEE">
        <w:t xml:space="preserve"> OCC Brief at 13-18.</w:t>
      </w:r>
    </w:p>
  </w:footnote>
  <w:footnote w:id="13">
    <w:p w:rsidR="00124E0B" w:rsidRPr="00E50CEE" w:rsidP="00E50CEE" w14:paraId="2B2D8EC6" w14:textId="77777777">
      <w:pPr>
        <w:pStyle w:val="FootnoteText"/>
        <w:spacing w:after="120"/>
      </w:pPr>
      <w:r w:rsidRPr="00E50CEE">
        <w:rPr>
          <w:rStyle w:val="FootnoteReference"/>
        </w:rPr>
        <w:footnoteRef/>
      </w:r>
      <w:r w:rsidRPr="00E50CEE">
        <w:t xml:space="preserve"> Initial Brief of Interstate Gas Supply, Inc. (“IGS Brief”), Case No 21-618-GA-RDR (March 10, 2022).</w:t>
      </w:r>
    </w:p>
  </w:footnote>
  <w:footnote w:id="14">
    <w:p w:rsidR="00124E0B" w:rsidRPr="00E50CEE" w:rsidP="00E50CEE" w14:paraId="08544266" w14:textId="5E19F66B">
      <w:pPr>
        <w:pStyle w:val="FootnoteText"/>
        <w:spacing w:after="120"/>
      </w:pPr>
      <w:r w:rsidRPr="00E50CEE">
        <w:rPr>
          <w:rStyle w:val="FootnoteReference"/>
        </w:rPr>
        <w:footnoteRef/>
      </w:r>
      <w:r w:rsidRPr="00E50CEE">
        <w:t xml:space="preserve"> Staff Brief at 4-5, 8; Staff Ex. 3 (Supplement to Report of Plant-in-Service and Capital Expenditure Program Audit) (November 8, 2021) at 2-3.</w:t>
      </w:r>
    </w:p>
  </w:footnote>
  <w:footnote w:id="15">
    <w:p w:rsidR="00E37241" w:rsidRPr="00E50CEE" w:rsidP="00E50CEE" w14:paraId="6730FF3C" w14:textId="0E2079F0">
      <w:pPr>
        <w:pStyle w:val="FootnoteText"/>
        <w:spacing w:after="120"/>
      </w:pPr>
      <w:r w:rsidRPr="00E50CEE">
        <w:rPr>
          <w:rStyle w:val="FootnoteReference"/>
        </w:rPr>
        <w:footnoteRef/>
      </w:r>
      <w:r w:rsidRPr="00E50CEE">
        <w:t xml:space="preserve"> </w:t>
      </w:r>
      <w:r w:rsidRPr="00E50CEE" w:rsidR="002502D0">
        <w:t xml:space="preserve">Staff Brief </w:t>
      </w:r>
      <w:r w:rsidRPr="00E50CEE">
        <w:t xml:space="preserve">at 4. </w:t>
      </w:r>
    </w:p>
  </w:footnote>
  <w:footnote w:id="16">
    <w:p w:rsidR="00AC233F" w:rsidRPr="00E50CEE" w:rsidP="00E50CEE" w14:paraId="57EC2043" w14:textId="77777777">
      <w:pPr>
        <w:pStyle w:val="FootnoteText"/>
        <w:spacing w:after="120"/>
      </w:pPr>
      <w:r w:rsidRPr="00E50CEE">
        <w:rPr>
          <w:rStyle w:val="FootnoteReference"/>
        </w:rPr>
        <w:footnoteRef/>
      </w:r>
      <w:r w:rsidRPr="00E50CEE">
        <w:t xml:space="preserve"> Staff Brief at 12.</w:t>
      </w:r>
    </w:p>
  </w:footnote>
  <w:footnote w:id="17">
    <w:p w:rsidR="00AC233F" w:rsidRPr="00E50CEE" w:rsidP="00E50CEE" w14:paraId="189E96EA" w14:textId="77777777">
      <w:pPr>
        <w:pStyle w:val="FootnoteText"/>
        <w:spacing w:after="120"/>
      </w:pPr>
      <w:r w:rsidRPr="00E50CEE">
        <w:rPr>
          <w:rStyle w:val="FootnoteReference"/>
        </w:rPr>
        <w:footnoteRef/>
      </w:r>
      <w:r w:rsidRPr="00E50CEE">
        <w:t xml:space="preserve"> OCC Brief at 8-9.</w:t>
      </w:r>
    </w:p>
  </w:footnote>
  <w:footnote w:id="18">
    <w:p w:rsidR="00AC233F" w:rsidRPr="00E50CEE" w:rsidP="00E50CEE" w14:paraId="17104A0E" w14:textId="77777777">
      <w:pPr>
        <w:pStyle w:val="FootnoteText"/>
        <w:spacing w:after="120"/>
      </w:pPr>
      <w:r w:rsidRPr="00E50CEE">
        <w:rPr>
          <w:rStyle w:val="FootnoteReference"/>
        </w:rPr>
        <w:footnoteRef/>
      </w:r>
      <w:r w:rsidRPr="00E50CEE">
        <w:t xml:space="preserve"> OCC Brief at 8; OCC Ex. 1 (Duann Direct Testimony) at 15-16.</w:t>
      </w:r>
    </w:p>
  </w:footnote>
  <w:footnote w:id="19">
    <w:p w:rsidR="00AC233F" w:rsidRPr="00E50CEE" w:rsidP="00E50CEE" w14:paraId="66F5B3A8" w14:textId="77777777">
      <w:pPr>
        <w:pStyle w:val="FootnoteText"/>
        <w:spacing w:after="120"/>
      </w:pPr>
      <w:r w:rsidRPr="00E50CEE">
        <w:rPr>
          <w:rStyle w:val="FootnoteReference"/>
        </w:rPr>
        <w:footnoteRef/>
      </w:r>
      <w:r w:rsidRPr="00E50CEE">
        <w:t xml:space="preserve"> </w:t>
      </w:r>
      <w:r w:rsidRPr="00E50CEE">
        <w:rPr>
          <w:i/>
          <w:iCs/>
        </w:rPr>
        <w:t>Id</w:t>
      </w:r>
      <w:r w:rsidRPr="00E50CEE">
        <w:t>.</w:t>
      </w:r>
    </w:p>
  </w:footnote>
  <w:footnote w:id="20">
    <w:p w:rsidR="00AC233F" w:rsidRPr="00E50CEE" w:rsidP="00E50CEE" w14:paraId="7AFA1330" w14:textId="77777777">
      <w:pPr>
        <w:pStyle w:val="FootnoteText"/>
        <w:spacing w:after="120"/>
      </w:pPr>
      <w:r w:rsidRPr="00E50CEE">
        <w:rPr>
          <w:rStyle w:val="FootnoteReference"/>
        </w:rPr>
        <w:footnoteRef/>
      </w:r>
      <w:r w:rsidRPr="00E50CEE">
        <w:t xml:space="preserve"> Staff Brief at 12; Staff Ex. 2 at 4-5; OCC Brief at 8.</w:t>
      </w:r>
    </w:p>
  </w:footnote>
  <w:footnote w:id="21">
    <w:p w:rsidR="00AC233F" w:rsidRPr="00E50CEE" w:rsidP="00E50CEE" w14:paraId="4A4F7246" w14:textId="77777777">
      <w:pPr>
        <w:pStyle w:val="FootnoteText"/>
        <w:spacing w:after="120"/>
      </w:pPr>
      <w:r w:rsidRPr="00E50CEE">
        <w:rPr>
          <w:rStyle w:val="FootnoteReference"/>
        </w:rPr>
        <w:footnoteRef/>
      </w:r>
      <w:r w:rsidRPr="00E50CEE">
        <w:t xml:space="preserve"> OCC Brief at 6; </w:t>
      </w:r>
      <w:r w:rsidRPr="00E50CEE">
        <w:rPr>
          <w:i/>
          <w:iCs/>
        </w:rPr>
        <w:t>See</w:t>
      </w:r>
      <w:r w:rsidRPr="00E50CEE">
        <w:t>, OCC Ex. 1 (Duann Direct Testimony) at 6.</w:t>
      </w:r>
    </w:p>
  </w:footnote>
  <w:footnote w:id="22">
    <w:p w:rsidR="00AC233F" w:rsidRPr="00E50CEE" w:rsidP="00E50CEE" w14:paraId="64DFD739" w14:textId="77777777">
      <w:pPr>
        <w:pStyle w:val="FootnoteText"/>
        <w:spacing w:after="120"/>
      </w:pPr>
      <w:r w:rsidRPr="00E50CEE">
        <w:rPr>
          <w:rStyle w:val="FootnoteReference"/>
        </w:rPr>
        <w:footnoteRef/>
      </w:r>
      <w:r w:rsidRPr="00E50CEE">
        <w:t xml:space="preserve"> OCC Brief at 8; OCC Ex. 1 (Duann Direct Testimony) at 3-4. </w:t>
      </w:r>
    </w:p>
  </w:footnote>
  <w:footnote w:id="23">
    <w:p w:rsidR="00AC233F" w:rsidRPr="00E50CEE" w:rsidP="00E50CEE" w14:paraId="3EC03E49" w14:textId="2A748EAC">
      <w:pPr>
        <w:pStyle w:val="FootnoteText"/>
        <w:spacing w:after="120"/>
      </w:pPr>
      <w:r w:rsidRPr="00E50CEE">
        <w:rPr>
          <w:rStyle w:val="FootnoteReference"/>
        </w:rPr>
        <w:footnoteRef/>
      </w:r>
      <w:r w:rsidRPr="00E50CEE">
        <w:t xml:space="preserve"> IGS Brief at 1-10</w:t>
      </w:r>
      <w:r w:rsidRPr="00E50CEE" w:rsidR="000B7834">
        <w:t>.</w:t>
      </w:r>
    </w:p>
  </w:footnote>
  <w:footnote w:id="24">
    <w:p w:rsidR="00AC233F" w:rsidRPr="00E50CEE" w:rsidP="00E50CEE" w14:paraId="70224079" w14:textId="77777777">
      <w:pPr>
        <w:pStyle w:val="FootnoteText"/>
        <w:spacing w:after="120"/>
      </w:pPr>
      <w:r w:rsidRPr="00E50CEE">
        <w:rPr>
          <w:rStyle w:val="FootnoteReference"/>
        </w:rPr>
        <w:footnoteRef/>
      </w:r>
      <w:r w:rsidRPr="00E50CEE">
        <w:t xml:space="preserve"> OCC Brief at 13-18.</w:t>
      </w:r>
    </w:p>
  </w:footnote>
  <w:footnote w:id="25">
    <w:p w:rsidR="00AC233F" w:rsidRPr="00E50CEE" w:rsidP="00E50CEE" w14:paraId="246DE071" w14:textId="5492264A">
      <w:pPr>
        <w:pStyle w:val="FootnoteText"/>
        <w:spacing w:after="120"/>
      </w:pPr>
      <w:r w:rsidRPr="00E50CEE">
        <w:rPr>
          <w:rStyle w:val="FootnoteReference"/>
        </w:rPr>
        <w:footnoteRef/>
      </w:r>
      <w:r w:rsidRPr="00E50CEE">
        <w:t xml:space="preserve"> </w:t>
      </w:r>
      <w:r w:rsidRPr="00E50CEE">
        <w:rPr>
          <w:i/>
          <w:iCs/>
        </w:rPr>
        <w:t>In re Ohio Edison Co., The Cleveland Electric Illuminating Co., and The Toledo Edison Co.</w:t>
      </w:r>
      <w:r w:rsidRPr="00E50CEE">
        <w:t xml:space="preserve">, Case No. 07-551-EL-AIR, et al., Opinion and Order at 17 (January 21, 2009), Entry on Rehearing at 4-5 (February 2, 2011); </w:t>
      </w:r>
      <w:r w:rsidRPr="00E50CEE">
        <w:rPr>
          <w:i/>
          <w:iCs/>
        </w:rPr>
        <w:t>In re Duke Energy Ohio, Inc.</w:t>
      </w:r>
      <w:r w:rsidRPr="00E50CEE">
        <w:t xml:space="preserve">, Case No. 15-534- EL-RDR, Opinion and Order at 20, 44-45 (October 26, 2016); </w:t>
      </w:r>
      <w:r w:rsidRPr="00E50CEE">
        <w:rPr>
          <w:i/>
          <w:iCs/>
        </w:rPr>
        <w:t>In re Duke Energy Ohio, Inc.</w:t>
      </w:r>
      <w:r w:rsidRPr="00E50CEE">
        <w:t xml:space="preserve">, Case No. 16-664-EL-RDR/17-781-EL-RDR, Finding and Order at ¶ 16 (May 15, 2019); </w:t>
      </w:r>
      <w:r w:rsidRPr="00E50CEE">
        <w:rPr>
          <w:i/>
          <w:iCs/>
        </w:rPr>
        <w:t>In re Duke Energy Ohio, Inc.</w:t>
      </w:r>
      <w:r w:rsidRPr="00E50CEE">
        <w:t>, Case No. 18-397-EL-RDR, Finding and Order at ¶ 17 (July 31, 2019).</w:t>
      </w:r>
    </w:p>
  </w:footnote>
  <w:footnote w:id="26">
    <w:p w:rsidR="00AC233F" w:rsidRPr="00E50CEE" w:rsidP="00E50CEE" w14:paraId="2648023B" w14:textId="4C143EEC">
      <w:pPr>
        <w:pStyle w:val="FootnoteText"/>
        <w:spacing w:after="120"/>
      </w:pPr>
      <w:r w:rsidRPr="00E50CEE">
        <w:rPr>
          <w:rStyle w:val="FootnoteReference"/>
        </w:rPr>
        <w:footnoteRef/>
      </w:r>
      <w:r w:rsidRPr="00E50CEE">
        <w:t xml:space="preserve"> Staff Ex</w:t>
      </w:r>
      <w:r w:rsidRPr="00E50CEE" w:rsidR="002502D0">
        <w:t>.</w:t>
      </w:r>
      <w:r w:rsidRPr="00E50CEE">
        <w:t xml:space="preserve"> 1 at 36; 75. </w:t>
      </w:r>
    </w:p>
  </w:footnote>
  <w:footnote w:id="27">
    <w:p w:rsidR="00AC233F" w:rsidRPr="00E50CEE" w:rsidP="00E50CEE" w14:paraId="338A473C" w14:textId="77777777">
      <w:pPr>
        <w:pStyle w:val="FootnoteText"/>
        <w:spacing w:after="120"/>
      </w:pPr>
      <w:r w:rsidRPr="00E50CEE">
        <w:rPr>
          <w:rStyle w:val="FootnoteReference"/>
        </w:rPr>
        <w:footnoteRef/>
      </w:r>
      <w:r w:rsidRPr="00E50CEE">
        <w:t xml:space="preserve"> Duke Brief at 24; Staff Brief at 11.</w:t>
      </w:r>
    </w:p>
  </w:footnote>
  <w:footnote w:id="28">
    <w:p w:rsidR="00AC233F" w:rsidRPr="00E50CEE" w:rsidP="00E50CEE" w14:paraId="5ADB8C4E" w14:textId="77777777">
      <w:pPr>
        <w:pStyle w:val="FootnoteText"/>
        <w:spacing w:after="120"/>
      </w:pPr>
      <w:r w:rsidRPr="00E50CEE">
        <w:rPr>
          <w:rStyle w:val="FootnoteReference"/>
        </w:rPr>
        <w:footnoteRef/>
      </w:r>
      <w:r w:rsidRPr="00E50CEE">
        <w:t xml:space="preserve"> Staff Brief at 10.</w:t>
      </w:r>
    </w:p>
  </w:footnote>
  <w:footnote w:id="29">
    <w:p w:rsidR="00AC233F" w:rsidRPr="00E50CEE" w:rsidP="00E50CEE" w14:paraId="33A27F6D" w14:textId="4474C4CE">
      <w:pPr>
        <w:pStyle w:val="FootnoteText"/>
        <w:spacing w:after="120"/>
      </w:pPr>
      <w:r w:rsidRPr="00E50CEE">
        <w:rPr>
          <w:rStyle w:val="FootnoteReference"/>
        </w:rPr>
        <w:footnoteRef/>
      </w:r>
      <w:r w:rsidRPr="00E50CEE">
        <w:t xml:space="preserve"> IGS Brief at 4; IGS Energy Ex</w:t>
      </w:r>
      <w:r w:rsidRPr="00E50CEE" w:rsidR="007136C0">
        <w:t>.</w:t>
      </w:r>
      <w:r w:rsidRPr="00E50CEE">
        <w:t xml:space="preserve"> 1 </w:t>
      </w:r>
      <w:r w:rsidRPr="00E50CEE" w:rsidR="007136C0">
        <w:t xml:space="preserve">(Case No. 19-791-GA-ALT ‘Plant in Service and Capital Spending Prudence Audit of Duke Energy Ohio, Inc. (Natural Gas) Covering the Period April 1, 2012 through December 31, 2018’ by Larkin &amp; Associates (“Larkin Audit Report”) (May 11, 2020) </w:t>
      </w:r>
      <w:r w:rsidRPr="00E50CEE">
        <w:t xml:space="preserve">at 9-9; </w:t>
      </w:r>
      <w:r w:rsidRPr="00E50CEE">
        <w:rPr>
          <w:i/>
          <w:iCs/>
        </w:rPr>
        <w:t>see also</w:t>
      </w:r>
      <w:r w:rsidRPr="00E50CEE">
        <w:t xml:space="preserve"> OCC Brief at 14-15.</w:t>
      </w:r>
    </w:p>
  </w:footnote>
  <w:footnote w:id="30">
    <w:p w:rsidR="00AC233F" w:rsidRPr="00E50CEE" w:rsidP="00E50CEE" w14:paraId="7BFF526F" w14:textId="15068FBC">
      <w:pPr>
        <w:pStyle w:val="FootnoteText"/>
        <w:spacing w:after="120"/>
      </w:pPr>
      <w:r w:rsidRPr="00E50CEE">
        <w:rPr>
          <w:rStyle w:val="FootnoteReference"/>
        </w:rPr>
        <w:footnoteRef/>
      </w:r>
      <w:r w:rsidRPr="00E50CEE">
        <w:t xml:space="preserve"> </w:t>
      </w:r>
      <w:r w:rsidRPr="00E50CEE" w:rsidR="002B05AC">
        <w:rPr>
          <w:i/>
          <w:iCs/>
        </w:rPr>
        <w:t>Id</w:t>
      </w:r>
      <w:r w:rsidRPr="00E50CEE" w:rsidR="002B05AC">
        <w:t xml:space="preserve">.; </w:t>
      </w:r>
      <w:r w:rsidRPr="00E50CEE">
        <w:rPr>
          <w:i/>
          <w:iCs/>
        </w:rPr>
        <w:t>See</w:t>
      </w:r>
      <w:r w:rsidRPr="00E50CEE">
        <w:t>, IGS Energy Ex</w:t>
      </w:r>
      <w:r w:rsidRPr="00E50CEE" w:rsidR="002502D0">
        <w:t>.</w:t>
      </w:r>
      <w:r w:rsidRPr="00E50CEE">
        <w:t>1</w:t>
      </w:r>
      <w:r w:rsidRPr="00E50CEE" w:rsidR="002502D0">
        <w:t xml:space="preserve"> </w:t>
      </w:r>
      <w:r w:rsidRPr="00E50CEE">
        <w:t>at 9-9</w:t>
      </w:r>
      <w:r w:rsidRPr="00E50CEE" w:rsidR="007136C0">
        <w:t>; OCC Brief at 14-15</w:t>
      </w:r>
      <w:r w:rsidRPr="00E50CEE">
        <w:t>.</w:t>
      </w:r>
    </w:p>
  </w:footnote>
  <w:footnote w:id="31">
    <w:p w:rsidR="00AC233F" w:rsidRPr="00E50CEE" w:rsidP="00E50CEE" w14:paraId="0D0A645D" w14:textId="77777777">
      <w:pPr>
        <w:pStyle w:val="FootnoteText"/>
        <w:spacing w:after="120"/>
      </w:pPr>
      <w:r w:rsidRPr="00E50CEE">
        <w:rPr>
          <w:rStyle w:val="FootnoteReference"/>
        </w:rPr>
        <w:footnoteRef/>
      </w:r>
      <w:r w:rsidRPr="00E50CEE">
        <w:t xml:space="preserve"> IGS Brief at 5-6.</w:t>
      </w:r>
    </w:p>
  </w:footnote>
  <w:footnote w:id="32">
    <w:p w:rsidR="00AC233F" w:rsidRPr="00E50CEE" w:rsidP="00E50CEE" w14:paraId="62B8F6F6" w14:textId="77777777">
      <w:pPr>
        <w:pStyle w:val="FootnoteText"/>
        <w:spacing w:after="120"/>
      </w:pPr>
      <w:r w:rsidRPr="00E50CEE">
        <w:rPr>
          <w:rStyle w:val="FootnoteReference"/>
        </w:rPr>
        <w:footnoteRef/>
      </w:r>
      <w:r w:rsidRPr="00E50CEE">
        <w:t xml:space="preserve"> </w:t>
      </w:r>
      <w:r w:rsidRPr="00E50CEE">
        <w:rPr>
          <w:i/>
          <w:iCs/>
        </w:rPr>
        <w:t>See</w:t>
      </w:r>
      <w:r w:rsidRPr="00E50CEE">
        <w:t>, IGS Brief at 6.</w:t>
      </w:r>
    </w:p>
  </w:footnote>
  <w:footnote w:id="33">
    <w:p w:rsidR="00AC233F" w:rsidRPr="00E50CEE" w:rsidP="00E50CEE" w14:paraId="6CE71787" w14:textId="77777777">
      <w:pPr>
        <w:pStyle w:val="FootnoteText"/>
        <w:spacing w:after="120"/>
      </w:pPr>
      <w:r w:rsidRPr="00E50CEE">
        <w:rPr>
          <w:rStyle w:val="FootnoteReference"/>
        </w:rPr>
        <w:footnoteRef/>
      </w:r>
      <w:r w:rsidRPr="00E50CEE">
        <w:t xml:space="preserve"> IGS Brief at 3.</w:t>
      </w:r>
    </w:p>
  </w:footnote>
  <w:footnote w:id="34">
    <w:p w:rsidR="00AC233F" w:rsidRPr="00E50CEE" w:rsidP="00E50CEE" w14:paraId="787E7FEA" w14:textId="77777777">
      <w:pPr>
        <w:pStyle w:val="FootnoteText"/>
        <w:spacing w:after="120"/>
      </w:pPr>
      <w:r w:rsidRPr="00E50CEE">
        <w:rPr>
          <w:rStyle w:val="FootnoteReference"/>
        </w:rPr>
        <w:footnoteRef/>
      </w:r>
      <w:r w:rsidRPr="00E50CEE">
        <w:t xml:space="preserve"> OCC Brief at 13-14.</w:t>
      </w:r>
    </w:p>
  </w:footnote>
  <w:footnote w:id="35">
    <w:p w:rsidR="00AC233F" w:rsidRPr="00E50CEE" w:rsidP="00E50CEE" w14:paraId="27FE272D" w14:textId="02161EC1">
      <w:pPr>
        <w:pStyle w:val="FootnoteText"/>
        <w:spacing w:after="120"/>
      </w:pPr>
      <w:r w:rsidRPr="00E50CEE">
        <w:rPr>
          <w:rStyle w:val="FootnoteReference"/>
        </w:rPr>
        <w:footnoteRef/>
      </w:r>
      <w:r w:rsidRPr="00E50CEE">
        <w:t xml:space="preserve"> IGS Brief at 3-5; Duke Energy Ohio Ex</w:t>
      </w:r>
      <w:r w:rsidRPr="00E50CEE" w:rsidR="002502D0">
        <w:t>.</w:t>
      </w:r>
      <w:r w:rsidRPr="00E50CEE">
        <w:t xml:space="preserve"> 3 at 19. </w:t>
      </w:r>
    </w:p>
  </w:footnote>
  <w:footnote w:id="36">
    <w:p w:rsidR="00E4600D" w:rsidRPr="00E50CEE" w:rsidP="00E50CEE" w14:paraId="3D92EDB3" w14:textId="26CCF671">
      <w:pPr>
        <w:pStyle w:val="FootnoteText"/>
        <w:spacing w:after="120"/>
      </w:pPr>
      <w:r w:rsidRPr="00E50CEE">
        <w:rPr>
          <w:rStyle w:val="FootnoteReference"/>
        </w:rPr>
        <w:footnoteRef/>
      </w:r>
      <w:r w:rsidRPr="00E50CEE">
        <w:t xml:space="preserve"> </w:t>
      </w:r>
      <w:r w:rsidRPr="00E50CEE">
        <w:rPr>
          <w:i/>
          <w:iCs/>
        </w:rPr>
        <w:t>In re Ohio Edison Co., The Cleveland Electric Illuminating Co., and The Toledo Edison Co.</w:t>
      </w:r>
      <w:r w:rsidRPr="00E50CEE">
        <w:t xml:space="preserve">, Case No. 07-551-EL-AIR, et al., Opinion and Order at 17 (January 21, 2009), Entry on Rehearing at 4-5 (February 2, 2011); </w:t>
      </w:r>
      <w:r w:rsidRPr="00E50CEE">
        <w:rPr>
          <w:i/>
          <w:iCs/>
        </w:rPr>
        <w:t>In re Duke Energy Ohio, Inc.</w:t>
      </w:r>
      <w:r w:rsidRPr="00E50CEE">
        <w:t xml:space="preserve">, Case No. 15-534- EL-RDR, Opinion and Order at 20, 44-45 (October 26, 2016); </w:t>
      </w:r>
      <w:r w:rsidRPr="00E50CEE">
        <w:rPr>
          <w:i/>
          <w:iCs/>
        </w:rPr>
        <w:t>In re Duke Energy Ohio, Inc.</w:t>
      </w:r>
      <w:r w:rsidRPr="00E50CEE">
        <w:t xml:space="preserve">, Case No. 16-664-EL-RDR/17-781-EL-RDR, Finding and Order at ¶ 16 (May 15, 2019); </w:t>
      </w:r>
      <w:r w:rsidRPr="00E50CEE">
        <w:rPr>
          <w:i/>
          <w:iCs/>
        </w:rPr>
        <w:t>In re Duke Energy Ohio, Inc.</w:t>
      </w:r>
      <w:r w:rsidRPr="00E50CEE">
        <w:t>, Case No. 18-397-EL-RDR, Finding and Order at ¶ 17 (July 31, 2019).</w:t>
      </w:r>
    </w:p>
  </w:footnote>
  <w:footnote w:id="37">
    <w:p w:rsidR="000F41B9" w:rsidRPr="00E50CEE" w:rsidP="00E50CEE" w14:paraId="22FDAC77" w14:textId="690D5515">
      <w:pPr>
        <w:pStyle w:val="FootnoteText"/>
        <w:spacing w:after="120"/>
      </w:pPr>
      <w:r w:rsidRPr="00E50CEE">
        <w:rPr>
          <w:rStyle w:val="FootnoteReference"/>
        </w:rPr>
        <w:footnoteRef/>
      </w:r>
      <w:r w:rsidRPr="00E50CEE">
        <w:t xml:space="preserve"> </w:t>
      </w:r>
      <w:r w:rsidRPr="00E50CEE">
        <w:rPr>
          <w:i/>
          <w:iCs/>
        </w:rPr>
        <w:t>Id</w:t>
      </w:r>
      <w:r w:rsidRPr="00E50CEE">
        <w:t>.</w:t>
      </w:r>
    </w:p>
  </w:footnote>
  <w:footnote w:id="38">
    <w:p w:rsidR="00AC233F" w:rsidRPr="00E50CEE" w:rsidP="00E50CEE" w14:paraId="5C31A3DE" w14:textId="1A36F087">
      <w:pPr>
        <w:pStyle w:val="FootnoteText"/>
        <w:spacing w:after="120"/>
      </w:pPr>
      <w:r w:rsidRPr="00E50CEE">
        <w:rPr>
          <w:rStyle w:val="FootnoteReference"/>
        </w:rPr>
        <w:footnoteRef/>
      </w:r>
      <w:r w:rsidRPr="00E50CEE">
        <w:t xml:space="preserve"> </w:t>
      </w:r>
      <w:r w:rsidRPr="00E50CEE">
        <w:rPr>
          <w:i/>
          <w:iCs/>
        </w:rPr>
        <w:t>See</w:t>
      </w:r>
      <w:r w:rsidRPr="00E50CEE">
        <w:t>, IGS Brief at 3</w:t>
      </w:r>
      <w:r w:rsidRPr="00E50CEE" w:rsidR="007136C0">
        <w:t>; OCC Brief at 13-18</w:t>
      </w:r>
      <w:r w:rsidRPr="00E50CEE">
        <w:t>.</w:t>
      </w:r>
    </w:p>
  </w:footnote>
  <w:footnote w:id="39">
    <w:p w:rsidR="00AC233F" w:rsidRPr="00E50CEE" w:rsidP="00E50CEE" w14:paraId="119CD57A" w14:textId="3DCFB3FA">
      <w:pPr>
        <w:pStyle w:val="FootnoteText"/>
        <w:spacing w:after="120"/>
      </w:pPr>
      <w:r w:rsidRPr="00E50CEE">
        <w:rPr>
          <w:rStyle w:val="FootnoteReference"/>
        </w:rPr>
        <w:footnoteRef/>
      </w:r>
      <w:r w:rsidRPr="00E50CEE">
        <w:t xml:space="preserve"> Staff Brief at 4,</w:t>
      </w:r>
      <w:r w:rsidRPr="00E50CEE" w:rsidR="00F9745C">
        <w:t xml:space="preserve"> </w:t>
      </w:r>
      <w:r w:rsidRPr="00E50CEE">
        <w:t xml:space="preserve">8. (Duke accepts the adjustment on its face but ties it to other adjustments, Duke Brief at 22). </w:t>
      </w:r>
    </w:p>
  </w:footnote>
  <w:footnote w:id="40">
    <w:p w:rsidR="00AC233F" w:rsidRPr="00E50CEE" w:rsidP="00E50CEE" w14:paraId="48B668A2" w14:textId="77777777">
      <w:pPr>
        <w:pStyle w:val="FootnoteText"/>
        <w:spacing w:after="120"/>
      </w:pPr>
      <w:r w:rsidRPr="00E50CEE">
        <w:rPr>
          <w:rStyle w:val="FootnoteReference"/>
        </w:rPr>
        <w:footnoteRef/>
      </w:r>
      <w:r w:rsidRPr="00E50CEE">
        <w:t xml:space="preserve"> Staff Brief at 4, 8; </w:t>
      </w:r>
      <w:r w:rsidRPr="00E50CEE">
        <w:rPr>
          <w:i/>
          <w:iCs/>
        </w:rPr>
        <w:t>See</w:t>
      </w:r>
      <w:r w:rsidRPr="00E50CEE">
        <w:t>, Staff Ex. 3 (Supplement to Report of Plant-in-Service and Capital Expenditure Program Audit) (November 8, 2021) at 2-3, Table 3.</w:t>
      </w:r>
    </w:p>
  </w:footnote>
  <w:footnote w:id="41">
    <w:p w:rsidR="00AC233F" w:rsidRPr="00E50CEE" w:rsidP="00E50CEE" w14:paraId="18D8FB5A" w14:textId="77777777">
      <w:pPr>
        <w:pStyle w:val="FootnoteText"/>
        <w:spacing w:after="120"/>
      </w:pPr>
      <w:r w:rsidRPr="00E50CEE">
        <w:rPr>
          <w:rStyle w:val="FootnoteReference"/>
        </w:rPr>
        <w:footnoteRef/>
      </w:r>
      <w:r w:rsidRPr="00E50CEE">
        <w:t xml:space="preserve"> Case No. 19-791-GA-ALT, Opinion and Order (April 21, 2021) at para. 83; </w:t>
      </w:r>
      <w:r w:rsidRPr="00E50CEE">
        <w:rPr>
          <w:i/>
          <w:iCs/>
        </w:rPr>
        <w:t>see</w:t>
      </w:r>
      <w:r w:rsidRPr="00E50CEE">
        <w:t xml:space="preserve"> </w:t>
      </w:r>
      <w:r w:rsidRPr="00E50CEE">
        <w:rPr>
          <w:i/>
          <w:iCs/>
        </w:rPr>
        <w:t>also</w:t>
      </w:r>
      <w:r w:rsidRPr="00E50CEE">
        <w:t xml:space="preserve"> Settlement at 4.</w:t>
      </w:r>
    </w:p>
  </w:footnote>
  <w:footnote w:id="42">
    <w:p w:rsidR="00AC233F" w:rsidRPr="00E50CEE" w:rsidP="00E50CEE" w14:paraId="572F5FC5" w14:textId="77777777">
      <w:pPr>
        <w:pStyle w:val="FootnoteText"/>
        <w:spacing w:after="120"/>
      </w:pPr>
      <w:r w:rsidRPr="00E50CEE">
        <w:rPr>
          <w:rStyle w:val="FootnoteReference"/>
        </w:rPr>
        <w:footnoteRef/>
      </w:r>
      <w:r w:rsidRPr="00E50CEE">
        <w:t xml:space="preserve"> </w:t>
      </w:r>
      <w:r w:rsidRPr="00E50CEE">
        <w:rPr>
          <w:i/>
          <w:iCs/>
        </w:rPr>
        <w:t>Id</w:t>
      </w:r>
      <w:r w:rsidRPr="00E50CEE">
        <w:t>.</w:t>
      </w:r>
    </w:p>
  </w:footnote>
  <w:footnote w:id="43">
    <w:p w:rsidR="00AC233F" w:rsidRPr="00E50CEE" w:rsidP="00E50CEE" w14:paraId="4F79EB9F" w14:textId="77777777">
      <w:pPr>
        <w:pStyle w:val="FootnoteText"/>
        <w:spacing w:after="120"/>
      </w:pPr>
      <w:r w:rsidRPr="00E50CEE">
        <w:rPr>
          <w:rStyle w:val="FootnoteReference"/>
        </w:rPr>
        <w:footnoteRef/>
      </w:r>
      <w:r w:rsidRPr="00E50CEE">
        <w:t xml:space="preserve"> OCC Brief at 21-22; </w:t>
      </w:r>
      <w:r w:rsidRPr="00E50CEE">
        <w:rPr>
          <w:i/>
          <w:iCs/>
        </w:rPr>
        <w:t>see</w:t>
      </w:r>
      <w:r w:rsidRPr="00E50CEE">
        <w:t xml:space="preserve">, Case No. 21-618-GA-RDR, </w:t>
      </w:r>
      <w:r w:rsidRPr="00E50CEE">
        <w:rPr>
          <w:i/>
          <w:iCs/>
        </w:rPr>
        <w:t>Consumer Protection Response to Audit Report Supplement and Staff Review and Recommendation Supplement by Office of the Ohio Consumers’ Counsel</w:t>
      </w:r>
      <w:r w:rsidRPr="00E50CEE">
        <w:t xml:space="preserve"> (November 18, 2021).</w:t>
      </w:r>
    </w:p>
  </w:footnote>
  <w:footnote w:id="44">
    <w:p w:rsidR="00AC233F" w:rsidRPr="00E50CEE" w:rsidP="00E50CEE" w14:paraId="1351118D" w14:textId="77777777">
      <w:pPr>
        <w:pStyle w:val="FootnoteText"/>
        <w:spacing w:after="120"/>
      </w:pPr>
      <w:r w:rsidRPr="00E50CEE">
        <w:rPr>
          <w:rStyle w:val="FootnoteReference"/>
        </w:rPr>
        <w:footnoteRef/>
      </w:r>
      <w:r w:rsidRPr="00E50CEE">
        <w:t xml:space="preserve"> OCC Brief at 21-22; </w:t>
      </w:r>
      <w:r w:rsidRPr="00E50CEE">
        <w:rPr>
          <w:i/>
          <w:iCs/>
        </w:rPr>
        <w:t>see</w:t>
      </w:r>
      <w:r w:rsidRPr="00E50CEE">
        <w:t>, OCC Ex. 2 (Adkins Direct Testimony) at 6-7.</w:t>
      </w:r>
    </w:p>
  </w:footnote>
  <w:footnote w:id="45">
    <w:p w:rsidR="00AC233F" w:rsidRPr="00E50CEE" w:rsidP="00E50CEE" w14:paraId="281AF915" w14:textId="77777777">
      <w:pPr>
        <w:pStyle w:val="FootnoteText"/>
        <w:spacing w:after="120"/>
      </w:pPr>
      <w:r w:rsidRPr="00E50CEE">
        <w:rPr>
          <w:rStyle w:val="FootnoteReference"/>
        </w:rPr>
        <w:footnoteRef/>
      </w:r>
      <w:r w:rsidRPr="00E50CEE">
        <w:t xml:space="preserve"> Case No. 19-791-GA-ALT, Opinion and Order (April 21, 2021) at para. 83; </w:t>
      </w:r>
      <w:r w:rsidRPr="00E50CEE">
        <w:rPr>
          <w:i/>
          <w:iCs/>
        </w:rPr>
        <w:t>see also</w:t>
      </w:r>
      <w:r w:rsidRPr="00E50CEE">
        <w:t xml:space="preserve"> Settlement at 4.</w:t>
      </w:r>
    </w:p>
  </w:footnote>
  <w:footnote w:id="46">
    <w:p w:rsidR="00AC233F" w:rsidRPr="00E50CEE" w:rsidP="00E50CEE" w14:paraId="2DD27093" w14:textId="77777777">
      <w:pPr>
        <w:pStyle w:val="FootnoteText"/>
        <w:spacing w:after="120"/>
      </w:pPr>
      <w:r w:rsidRPr="00E50CEE">
        <w:rPr>
          <w:rStyle w:val="FootnoteReference"/>
        </w:rPr>
        <w:footnoteRef/>
      </w:r>
      <w:r w:rsidRPr="00E50CEE">
        <w:t xml:space="preserve"> Staff Brief at 4, 8.</w:t>
      </w:r>
    </w:p>
  </w:footnote>
  <w:footnote w:id="47">
    <w:p w:rsidR="009E3538" w:rsidRPr="00E50CEE" w:rsidP="00E50CEE" w14:paraId="06F5DB16" w14:textId="41773443">
      <w:pPr>
        <w:pStyle w:val="FootnoteText"/>
        <w:spacing w:after="120"/>
      </w:pPr>
      <w:r w:rsidRPr="00E50CEE">
        <w:rPr>
          <w:rStyle w:val="FootnoteReference"/>
        </w:rPr>
        <w:footnoteRef/>
      </w:r>
      <w:r w:rsidRPr="00E50CEE">
        <w:t xml:space="preserve"> Duke Brief at 9-19.</w:t>
      </w:r>
    </w:p>
  </w:footnote>
  <w:footnote w:id="48">
    <w:p w:rsidR="002D55E8" w:rsidRPr="00E50CEE" w:rsidP="00E50CEE" w14:paraId="045D23D8" w14:textId="603647D2">
      <w:pPr>
        <w:pStyle w:val="FootnoteText"/>
        <w:spacing w:after="120"/>
      </w:pPr>
      <w:r w:rsidRPr="00E50CEE">
        <w:rPr>
          <w:rStyle w:val="FootnoteReference"/>
        </w:rPr>
        <w:footnoteRef/>
      </w:r>
      <w:r w:rsidRPr="00E50CEE">
        <w:t xml:space="preserve"> Duke Brief at 9-10.</w:t>
      </w:r>
    </w:p>
  </w:footnote>
  <w:footnote w:id="49">
    <w:p w:rsidR="0046035A" w:rsidRPr="00E50CEE" w:rsidP="00E50CEE" w14:paraId="42F147BB" w14:textId="23AB063C">
      <w:pPr>
        <w:pStyle w:val="FootnoteText"/>
        <w:spacing w:after="120"/>
      </w:pPr>
      <w:r w:rsidRPr="00E50CEE">
        <w:rPr>
          <w:rStyle w:val="FootnoteReference"/>
        </w:rPr>
        <w:footnoteRef/>
      </w:r>
      <w:r w:rsidRPr="00E50CEE">
        <w:t xml:space="preserve"> </w:t>
      </w:r>
      <w:r w:rsidRPr="00E50CEE">
        <w:rPr>
          <w:i/>
          <w:iCs/>
        </w:rPr>
        <w:t>Id</w:t>
      </w:r>
      <w:r w:rsidRPr="00E50CEE">
        <w:t>. at 6.</w:t>
      </w:r>
    </w:p>
  </w:footnote>
  <w:footnote w:id="50">
    <w:p w:rsidR="00AF4B0A" w:rsidRPr="00E50CEE" w:rsidP="00E50CEE" w14:paraId="10D3345E" w14:textId="77777777">
      <w:pPr>
        <w:pStyle w:val="FootnoteText"/>
        <w:spacing w:after="120"/>
      </w:pPr>
      <w:r w:rsidRPr="00E50CEE">
        <w:rPr>
          <w:rStyle w:val="FootnoteReference"/>
        </w:rPr>
        <w:footnoteRef/>
      </w:r>
      <w:r w:rsidRPr="00E50CEE">
        <w:t xml:space="preserve"> Staff Brief at 5.</w:t>
      </w:r>
    </w:p>
  </w:footnote>
  <w:footnote w:id="51">
    <w:p w:rsidR="00712BB6" w:rsidRPr="00E50CEE" w:rsidP="00E50CEE" w14:paraId="47ECFD29" w14:textId="7B5AEB24">
      <w:pPr>
        <w:pStyle w:val="FootnoteText"/>
        <w:spacing w:after="120"/>
      </w:pPr>
      <w:r w:rsidRPr="00E50CEE">
        <w:rPr>
          <w:rStyle w:val="FootnoteReference"/>
        </w:rPr>
        <w:footnoteRef/>
      </w:r>
      <w:r w:rsidRPr="00E50CEE">
        <w:t xml:space="preserve"> Duke Brief at 9-11; 15-19.</w:t>
      </w:r>
    </w:p>
  </w:footnote>
  <w:footnote w:id="52">
    <w:p w:rsidR="00AF4B0A" w:rsidRPr="00E50CEE" w:rsidP="00E50CEE" w14:paraId="36920C57" w14:textId="77777777">
      <w:pPr>
        <w:pStyle w:val="FootnoteText"/>
        <w:spacing w:after="120"/>
      </w:pPr>
      <w:r w:rsidRPr="00E50CEE">
        <w:rPr>
          <w:rStyle w:val="FootnoteReference"/>
        </w:rPr>
        <w:footnoteRef/>
      </w:r>
      <w:r w:rsidRPr="00E50CEE">
        <w:t xml:space="preserve"> Staff Brief at 5-6. </w:t>
      </w:r>
    </w:p>
  </w:footnote>
  <w:footnote w:id="53">
    <w:p w:rsidR="00BB6242" w:rsidRPr="00E50CEE" w:rsidP="00E50CEE" w14:paraId="007A73D1" w14:textId="65724DD1">
      <w:pPr>
        <w:pStyle w:val="FootnoteText"/>
        <w:spacing w:after="120"/>
      </w:pPr>
      <w:r w:rsidRPr="00E50CEE">
        <w:rPr>
          <w:rStyle w:val="FootnoteReference"/>
        </w:rPr>
        <w:footnoteRef/>
      </w:r>
      <w:r w:rsidRPr="00E50CEE">
        <w:t xml:space="preserve"> Staff Brief at 6-7.</w:t>
      </w:r>
    </w:p>
  </w:footnote>
  <w:footnote w:id="54">
    <w:p w:rsidR="00BF587F" w:rsidRPr="00E50CEE" w:rsidP="00E50CEE" w14:paraId="44BB765B" w14:textId="57D134E3">
      <w:pPr>
        <w:pStyle w:val="FootnoteText"/>
        <w:spacing w:after="120"/>
      </w:pPr>
      <w:r w:rsidRPr="00E50CEE">
        <w:rPr>
          <w:rStyle w:val="FootnoteReference"/>
        </w:rPr>
        <w:footnoteRef/>
      </w:r>
      <w:r w:rsidRPr="00E50CEE">
        <w:t xml:space="preserve"> Duke Brief at 20.</w:t>
      </w:r>
    </w:p>
  </w:footnote>
  <w:footnote w:id="55">
    <w:p w:rsidR="009B5D45" w:rsidRPr="00E50CEE" w:rsidP="00E50CEE" w14:paraId="7BAC788F" w14:textId="45546355">
      <w:pPr>
        <w:pStyle w:val="FootnoteText"/>
        <w:spacing w:after="120"/>
      </w:pPr>
      <w:r w:rsidRPr="00E50CEE">
        <w:rPr>
          <w:rStyle w:val="FootnoteReference"/>
        </w:rPr>
        <w:footnoteRef/>
      </w:r>
      <w:r w:rsidRPr="00E50CEE">
        <w:t xml:space="preserve"> Duke Brief at 20-21.</w:t>
      </w:r>
    </w:p>
  </w:footnote>
  <w:footnote w:id="56">
    <w:p w:rsidR="009B5D45" w:rsidRPr="00E50CEE" w:rsidP="00E50CEE" w14:paraId="0583938C" w14:textId="59D099E5">
      <w:pPr>
        <w:pStyle w:val="FootnoteText"/>
        <w:spacing w:after="120"/>
      </w:pPr>
      <w:r w:rsidRPr="00E50CEE">
        <w:rPr>
          <w:rStyle w:val="FootnoteReference"/>
        </w:rPr>
        <w:footnoteRef/>
      </w:r>
      <w:r w:rsidRPr="00E50CEE">
        <w:t xml:space="preserve"> Staff Brief at 7-8.</w:t>
      </w:r>
    </w:p>
  </w:footnote>
  <w:footnote w:id="57">
    <w:p w:rsidR="009B5D45" w:rsidRPr="00E50CEE" w:rsidP="00E50CEE" w14:paraId="0B97F380" w14:textId="00FE27B3">
      <w:pPr>
        <w:pStyle w:val="FootnoteText"/>
        <w:spacing w:after="120"/>
      </w:pPr>
      <w:r w:rsidRPr="00E50CEE">
        <w:rPr>
          <w:rStyle w:val="FootnoteReference"/>
        </w:rPr>
        <w:footnoteRef/>
      </w:r>
      <w:r w:rsidRPr="00E50CEE">
        <w:t xml:space="preserve"> </w:t>
      </w:r>
      <w:r w:rsidRPr="00E50CEE">
        <w:rPr>
          <w:i/>
          <w:iCs/>
        </w:rPr>
        <w:t>Id</w:t>
      </w:r>
      <w:r w:rsidRPr="00E50CEE">
        <w:t>.</w:t>
      </w:r>
    </w:p>
  </w:footnote>
  <w:footnote w:id="58">
    <w:p w:rsidR="00BF587F" w:rsidRPr="00E50CEE" w:rsidP="00E50CEE" w14:paraId="560881C1" w14:textId="201717D5">
      <w:pPr>
        <w:pStyle w:val="FootnoteText"/>
        <w:spacing w:after="120"/>
      </w:pPr>
      <w:r w:rsidRPr="00E50CEE">
        <w:rPr>
          <w:rStyle w:val="FootnoteReference"/>
        </w:rPr>
        <w:footnoteRef/>
      </w:r>
      <w:r w:rsidRPr="00E50CEE">
        <w:t xml:space="preserve"> Duke Brief at 21 (</w:t>
      </w:r>
      <w:r w:rsidRPr="00E50CEE" w:rsidR="007136C0">
        <w:t>“</w:t>
      </w:r>
      <w:r w:rsidRPr="00E50CEE">
        <w:t>…as monthly charges continued to be charged to the project over the course of the delays…</w:t>
      </w:r>
      <w:r w:rsidRPr="00E50CEE" w:rsidR="007136C0">
        <w:t>”</w:t>
      </w:r>
      <w:r w:rsidRPr="00E50CEE">
        <w:t>)</w:t>
      </w:r>
      <w:r w:rsidRPr="00E50CEE" w:rsidR="000B7834">
        <w:t>.</w:t>
      </w:r>
    </w:p>
  </w:footnote>
  <w:footnote w:id="59">
    <w:p w:rsidR="000A1EBB" w:rsidRPr="00E50CEE" w:rsidP="00E50CEE" w14:paraId="1532B244" w14:textId="6190D706">
      <w:pPr>
        <w:pStyle w:val="FootnoteText"/>
        <w:spacing w:after="120"/>
      </w:pPr>
      <w:r w:rsidRPr="00E50CEE">
        <w:rPr>
          <w:rStyle w:val="FootnoteReference"/>
        </w:rPr>
        <w:footnoteRef/>
      </w:r>
      <w:r w:rsidRPr="00E50CEE">
        <w:t xml:space="preserve"> Staff Brief at 7-8.</w:t>
      </w:r>
    </w:p>
  </w:footnote>
  <w:footnote w:id="60">
    <w:p w:rsidR="009263A7" w:rsidRPr="00E50CEE" w:rsidP="00E50CEE" w14:paraId="576B2EF1" w14:textId="2EE5E9B8">
      <w:pPr>
        <w:pStyle w:val="FootnoteText"/>
        <w:spacing w:after="120"/>
      </w:pPr>
      <w:r w:rsidRPr="00E50CEE">
        <w:rPr>
          <w:rStyle w:val="FootnoteReference"/>
        </w:rPr>
        <w:footnoteRef/>
      </w:r>
      <w:r w:rsidRPr="00E50CEE">
        <w:t xml:space="preserve"> Staff Brief at 9; Blue Ridge Report at 36.</w:t>
      </w:r>
    </w:p>
  </w:footnote>
  <w:footnote w:id="61">
    <w:p w:rsidR="009263A7" w:rsidRPr="00E50CEE" w:rsidP="00E50CEE" w14:paraId="43D4AC7F" w14:textId="77777777">
      <w:pPr>
        <w:pStyle w:val="FootnoteText"/>
        <w:spacing w:after="120"/>
      </w:pPr>
      <w:r w:rsidRPr="00E50CEE">
        <w:rPr>
          <w:rStyle w:val="FootnoteReference"/>
        </w:rPr>
        <w:footnoteRef/>
      </w:r>
      <w:r w:rsidRPr="00E50CEE">
        <w:t xml:space="preserve"> Duke Brief at 23.</w:t>
      </w:r>
    </w:p>
  </w:footnote>
  <w:footnote w:id="62">
    <w:p w:rsidR="009263A7" w:rsidRPr="00E50CEE" w:rsidP="00E50CEE" w14:paraId="69797F68" w14:textId="63E5E112">
      <w:pPr>
        <w:pStyle w:val="FootnoteText"/>
        <w:spacing w:after="120"/>
      </w:pPr>
      <w:r w:rsidRPr="00E50CEE">
        <w:rPr>
          <w:rStyle w:val="FootnoteReference"/>
        </w:rPr>
        <w:footnoteRef/>
      </w:r>
      <w:r w:rsidRPr="00E50CEE">
        <w:t xml:space="preserve"> Staff Brief at 9-10.</w:t>
      </w:r>
    </w:p>
  </w:footnote>
  <w:footnote w:id="63">
    <w:p w:rsidR="00087A80" w:rsidRPr="00E50CEE" w:rsidP="00E50CEE" w14:paraId="6F3A5082" w14:textId="21D7B7F6">
      <w:pPr>
        <w:pStyle w:val="FootnoteText"/>
        <w:spacing w:after="120"/>
      </w:pPr>
      <w:r w:rsidRPr="00E50CEE">
        <w:rPr>
          <w:rStyle w:val="FootnoteReference"/>
        </w:rPr>
        <w:footnoteRef/>
      </w:r>
      <w:r w:rsidRPr="00E50CEE">
        <w:t xml:space="preserve"> Staff Brief at 11; Blue Ridge Report at 36.</w:t>
      </w:r>
    </w:p>
  </w:footnote>
  <w:footnote w:id="64">
    <w:p w:rsidR="00087A80" w:rsidRPr="00E50CEE" w:rsidP="00E50CEE" w14:paraId="38BF013B" w14:textId="50C2B764">
      <w:pPr>
        <w:pStyle w:val="FootnoteText"/>
        <w:spacing w:after="120"/>
      </w:pPr>
      <w:r w:rsidRPr="00E50CEE">
        <w:rPr>
          <w:rStyle w:val="FootnoteReference"/>
        </w:rPr>
        <w:footnoteRef/>
      </w:r>
      <w:r w:rsidRPr="00E50CEE">
        <w:t xml:space="preserve"> Staff Brief at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680D" w14:paraId="7397D59D" w14:textId="77777777">
    <w:pPr>
      <w:pStyle w:val="Header"/>
    </w:pPr>
  </w:p>
  <w:p w:rsidR="0011680D" w14:paraId="707C8D1B"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64F2BD0"/>
    <w:multiLevelType w:val="hybridMultilevel"/>
    <w:tmpl w:val="88D85CB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48E40DC1"/>
    <w:multiLevelType w:val="hybridMultilevel"/>
    <w:tmpl w:val="8B0817F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4AF00AED"/>
    <w:multiLevelType w:val="hybridMultilevel"/>
    <w:tmpl w:val="A1C0AE8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8">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9">
    <w:nsid w:val="78B50DC3"/>
    <w:multiLevelType w:val="hybridMultilevel"/>
    <w:tmpl w:val="4402775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0"/>
  </w:num>
  <w:num w:numId="6">
    <w:abstractNumId w:val="8"/>
  </w:num>
  <w:num w:numId="7">
    <w:abstractNumId w:val="3"/>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DC"/>
    <w:rsid w:val="0000137E"/>
    <w:rsid w:val="000020B1"/>
    <w:rsid w:val="00003256"/>
    <w:rsid w:val="0000429C"/>
    <w:rsid w:val="00007BE4"/>
    <w:rsid w:val="00014E1B"/>
    <w:rsid w:val="00017E88"/>
    <w:rsid w:val="00024263"/>
    <w:rsid w:val="00024593"/>
    <w:rsid w:val="00030F88"/>
    <w:rsid w:val="0003106F"/>
    <w:rsid w:val="00032A8E"/>
    <w:rsid w:val="00033471"/>
    <w:rsid w:val="000369C6"/>
    <w:rsid w:val="00041E9D"/>
    <w:rsid w:val="000451CC"/>
    <w:rsid w:val="000520C5"/>
    <w:rsid w:val="00053B77"/>
    <w:rsid w:val="000573DD"/>
    <w:rsid w:val="000575B2"/>
    <w:rsid w:val="00061BAD"/>
    <w:rsid w:val="00061E60"/>
    <w:rsid w:val="000623A7"/>
    <w:rsid w:val="0006256F"/>
    <w:rsid w:val="00064C05"/>
    <w:rsid w:val="000700D3"/>
    <w:rsid w:val="00072344"/>
    <w:rsid w:val="00073591"/>
    <w:rsid w:val="00074A98"/>
    <w:rsid w:val="00075569"/>
    <w:rsid w:val="00075CFE"/>
    <w:rsid w:val="00077D2F"/>
    <w:rsid w:val="0008154D"/>
    <w:rsid w:val="00087A80"/>
    <w:rsid w:val="00091365"/>
    <w:rsid w:val="000919BF"/>
    <w:rsid w:val="00093E59"/>
    <w:rsid w:val="000A1EBB"/>
    <w:rsid w:val="000A3461"/>
    <w:rsid w:val="000A6024"/>
    <w:rsid w:val="000B0042"/>
    <w:rsid w:val="000B2FF8"/>
    <w:rsid w:val="000B3316"/>
    <w:rsid w:val="000B3D25"/>
    <w:rsid w:val="000B67F0"/>
    <w:rsid w:val="000B6E52"/>
    <w:rsid w:val="000B7834"/>
    <w:rsid w:val="000C30F7"/>
    <w:rsid w:val="000C6514"/>
    <w:rsid w:val="000D2DB1"/>
    <w:rsid w:val="000D3CB7"/>
    <w:rsid w:val="000D3DDD"/>
    <w:rsid w:val="000D6056"/>
    <w:rsid w:val="000E0DA2"/>
    <w:rsid w:val="000E11E3"/>
    <w:rsid w:val="000E2D35"/>
    <w:rsid w:val="000E46C0"/>
    <w:rsid w:val="000E4979"/>
    <w:rsid w:val="000E67DD"/>
    <w:rsid w:val="000E6B41"/>
    <w:rsid w:val="000F28AE"/>
    <w:rsid w:val="000F41B9"/>
    <w:rsid w:val="000F47FC"/>
    <w:rsid w:val="000F6BF3"/>
    <w:rsid w:val="000F79B2"/>
    <w:rsid w:val="00100DE6"/>
    <w:rsid w:val="0010115B"/>
    <w:rsid w:val="00101991"/>
    <w:rsid w:val="00110AAF"/>
    <w:rsid w:val="00111A9E"/>
    <w:rsid w:val="00113C2A"/>
    <w:rsid w:val="0011430F"/>
    <w:rsid w:val="00116356"/>
    <w:rsid w:val="0011680D"/>
    <w:rsid w:val="00116A1D"/>
    <w:rsid w:val="00123B12"/>
    <w:rsid w:val="001245A2"/>
    <w:rsid w:val="00124E0B"/>
    <w:rsid w:val="00125707"/>
    <w:rsid w:val="00126892"/>
    <w:rsid w:val="00126A6B"/>
    <w:rsid w:val="001277C8"/>
    <w:rsid w:val="001300E3"/>
    <w:rsid w:val="00132670"/>
    <w:rsid w:val="00132DD1"/>
    <w:rsid w:val="001350E5"/>
    <w:rsid w:val="00135D83"/>
    <w:rsid w:val="00136CA4"/>
    <w:rsid w:val="001400DC"/>
    <w:rsid w:val="001444E6"/>
    <w:rsid w:val="001450FB"/>
    <w:rsid w:val="00145BEE"/>
    <w:rsid w:val="00146DB6"/>
    <w:rsid w:val="00150025"/>
    <w:rsid w:val="00152687"/>
    <w:rsid w:val="00152853"/>
    <w:rsid w:val="0015340C"/>
    <w:rsid w:val="00153583"/>
    <w:rsid w:val="00154EC9"/>
    <w:rsid w:val="00166062"/>
    <w:rsid w:val="00185FE8"/>
    <w:rsid w:val="00187041"/>
    <w:rsid w:val="00187C88"/>
    <w:rsid w:val="0019116F"/>
    <w:rsid w:val="0019228B"/>
    <w:rsid w:val="001928AF"/>
    <w:rsid w:val="00194E09"/>
    <w:rsid w:val="00195D8B"/>
    <w:rsid w:val="00197356"/>
    <w:rsid w:val="001A0812"/>
    <w:rsid w:val="001A134B"/>
    <w:rsid w:val="001A4AC1"/>
    <w:rsid w:val="001A644E"/>
    <w:rsid w:val="001B013D"/>
    <w:rsid w:val="001B19D1"/>
    <w:rsid w:val="001B29DD"/>
    <w:rsid w:val="001B6BD3"/>
    <w:rsid w:val="001C1A26"/>
    <w:rsid w:val="001C5F54"/>
    <w:rsid w:val="001C6BF5"/>
    <w:rsid w:val="001C6CF1"/>
    <w:rsid w:val="001C78EC"/>
    <w:rsid w:val="001C7F5A"/>
    <w:rsid w:val="001D10A0"/>
    <w:rsid w:val="001D542B"/>
    <w:rsid w:val="001D563C"/>
    <w:rsid w:val="001D6E99"/>
    <w:rsid w:val="001E0F36"/>
    <w:rsid w:val="001E478D"/>
    <w:rsid w:val="001E77A4"/>
    <w:rsid w:val="001E7860"/>
    <w:rsid w:val="001F3315"/>
    <w:rsid w:val="00201CB9"/>
    <w:rsid w:val="00202D04"/>
    <w:rsid w:val="002054C3"/>
    <w:rsid w:val="0020664D"/>
    <w:rsid w:val="00211B15"/>
    <w:rsid w:val="00211E28"/>
    <w:rsid w:val="00213505"/>
    <w:rsid w:val="00213C9B"/>
    <w:rsid w:val="0021533C"/>
    <w:rsid w:val="00222B29"/>
    <w:rsid w:val="002238A8"/>
    <w:rsid w:val="0022439D"/>
    <w:rsid w:val="0022589D"/>
    <w:rsid w:val="002275BD"/>
    <w:rsid w:val="002276D9"/>
    <w:rsid w:val="00234846"/>
    <w:rsid w:val="0024049B"/>
    <w:rsid w:val="0024060D"/>
    <w:rsid w:val="002441D4"/>
    <w:rsid w:val="00245192"/>
    <w:rsid w:val="00246816"/>
    <w:rsid w:val="002470E7"/>
    <w:rsid w:val="00247D22"/>
    <w:rsid w:val="002502D0"/>
    <w:rsid w:val="0025099B"/>
    <w:rsid w:val="00251CD7"/>
    <w:rsid w:val="00252F51"/>
    <w:rsid w:val="0025377E"/>
    <w:rsid w:val="0025397B"/>
    <w:rsid w:val="002543E8"/>
    <w:rsid w:val="00261E4D"/>
    <w:rsid w:val="00262FB3"/>
    <w:rsid w:val="00263694"/>
    <w:rsid w:val="0027208D"/>
    <w:rsid w:val="00272DD3"/>
    <w:rsid w:val="0027472A"/>
    <w:rsid w:val="0027726C"/>
    <w:rsid w:val="00280058"/>
    <w:rsid w:val="0028035C"/>
    <w:rsid w:val="00280363"/>
    <w:rsid w:val="002812E4"/>
    <w:rsid w:val="002848A4"/>
    <w:rsid w:val="0028699A"/>
    <w:rsid w:val="00292EBD"/>
    <w:rsid w:val="00293F67"/>
    <w:rsid w:val="0029454B"/>
    <w:rsid w:val="00295F7A"/>
    <w:rsid w:val="00296970"/>
    <w:rsid w:val="002A1E7F"/>
    <w:rsid w:val="002A2D87"/>
    <w:rsid w:val="002A53D2"/>
    <w:rsid w:val="002B05AC"/>
    <w:rsid w:val="002B1BAB"/>
    <w:rsid w:val="002B2801"/>
    <w:rsid w:val="002B3374"/>
    <w:rsid w:val="002B3AB4"/>
    <w:rsid w:val="002B5102"/>
    <w:rsid w:val="002B54B9"/>
    <w:rsid w:val="002B5F7F"/>
    <w:rsid w:val="002B6374"/>
    <w:rsid w:val="002B7AAB"/>
    <w:rsid w:val="002C243C"/>
    <w:rsid w:val="002C25A2"/>
    <w:rsid w:val="002C47A2"/>
    <w:rsid w:val="002C6022"/>
    <w:rsid w:val="002D3B14"/>
    <w:rsid w:val="002D55E8"/>
    <w:rsid w:val="002E0F2F"/>
    <w:rsid w:val="002E1EE2"/>
    <w:rsid w:val="002E379B"/>
    <w:rsid w:val="002E648B"/>
    <w:rsid w:val="002F0CDB"/>
    <w:rsid w:val="0030049D"/>
    <w:rsid w:val="00300A70"/>
    <w:rsid w:val="0030104A"/>
    <w:rsid w:val="003024FB"/>
    <w:rsid w:val="00304692"/>
    <w:rsid w:val="00310E97"/>
    <w:rsid w:val="00311FE9"/>
    <w:rsid w:val="00313343"/>
    <w:rsid w:val="0031548B"/>
    <w:rsid w:val="00315BB8"/>
    <w:rsid w:val="00317534"/>
    <w:rsid w:val="0032118B"/>
    <w:rsid w:val="00321D45"/>
    <w:rsid w:val="003248FA"/>
    <w:rsid w:val="0032699E"/>
    <w:rsid w:val="00326FA5"/>
    <w:rsid w:val="0033124E"/>
    <w:rsid w:val="00332ADD"/>
    <w:rsid w:val="00333615"/>
    <w:rsid w:val="003351BF"/>
    <w:rsid w:val="00340405"/>
    <w:rsid w:val="0034220D"/>
    <w:rsid w:val="00344408"/>
    <w:rsid w:val="0034493B"/>
    <w:rsid w:val="003453BD"/>
    <w:rsid w:val="003461F8"/>
    <w:rsid w:val="00347B8E"/>
    <w:rsid w:val="00347BCC"/>
    <w:rsid w:val="00351175"/>
    <w:rsid w:val="00361C62"/>
    <w:rsid w:val="00367582"/>
    <w:rsid w:val="00367AD2"/>
    <w:rsid w:val="00370DEF"/>
    <w:rsid w:val="00372570"/>
    <w:rsid w:val="00372DFE"/>
    <w:rsid w:val="00375008"/>
    <w:rsid w:val="003765E4"/>
    <w:rsid w:val="00382BF9"/>
    <w:rsid w:val="00383AE6"/>
    <w:rsid w:val="0038455D"/>
    <w:rsid w:val="00384AFB"/>
    <w:rsid w:val="00385335"/>
    <w:rsid w:val="003858A3"/>
    <w:rsid w:val="00386194"/>
    <w:rsid w:val="0038687F"/>
    <w:rsid w:val="0038710E"/>
    <w:rsid w:val="003916C0"/>
    <w:rsid w:val="003A0587"/>
    <w:rsid w:val="003A62B7"/>
    <w:rsid w:val="003B0744"/>
    <w:rsid w:val="003B28AD"/>
    <w:rsid w:val="003B3756"/>
    <w:rsid w:val="003B4855"/>
    <w:rsid w:val="003B5A48"/>
    <w:rsid w:val="003B78B3"/>
    <w:rsid w:val="003B79E3"/>
    <w:rsid w:val="003B7CB1"/>
    <w:rsid w:val="003C3F79"/>
    <w:rsid w:val="003D0DDE"/>
    <w:rsid w:val="003D30A5"/>
    <w:rsid w:val="003D3A21"/>
    <w:rsid w:val="003D40E0"/>
    <w:rsid w:val="003D4CC7"/>
    <w:rsid w:val="003D5071"/>
    <w:rsid w:val="003D6749"/>
    <w:rsid w:val="003E2AFB"/>
    <w:rsid w:val="003E498A"/>
    <w:rsid w:val="003F0B1C"/>
    <w:rsid w:val="003F1D60"/>
    <w:rsid w:val="003F291F"/>
    <w:rsid w:val="003F3FE3"/>
    <w:rsid w:val="003F5E85"/>
    <w:rsid w:val="003F720F"/>
    <w:rsid w:val="003F7472"/>
    <w:rsid w:val="00400B62"/>
    <w:rsid w:val="00402F1E"/>
    <w:rsid w:val="0040586A"/>
    <w:rsid w:val="00410964"/>
    <w:rsid w:val="00413D70"/>
    <w:rsid w:val="00414EDA"/>
    <w:rsid w:val="00425389"/>
    <w:rsid w:val="00427E9D"/>
    <w:rsid w:val="00431411"/>
    <w:rsid w:val="004320BD"/>
    <w:rsid w:val="004327DF"/>
    <w:rsid w:val="00434347"/>
    <w:rsid w:val="00436E98"/>
    <w:rsid w:val="00442E0A"/>
    <w:rsid w:val="00445959"/>
    <w:rsid w:val="004515C4"/>
    <w:rsid w:val="004515F8"/>
    <w:rsid w:val="00452594"/>
    <w:rsid w:val="0045291B"/>
    <w:rsid w:val="0045366B"/>
    <w:rsid w:val="00456C56"/>
    <w:rsid w:val="0045704A"/>
    <w:rsid w:val="00457D38"/>
    <w:rsid w:val="0046035A"/>
    <w:rsid w:val="00460D90"/>
    <w:rsid w:val="00461697"/>
    <w:rsid w:val="00462528"/>
    <w:rsid w:val="00467A4B"/>
    <w:rsid w:val="00474101"/>
    <w:rsid w:val="004778AF"/>
    <w:rsid w:val="00480448"/>
    <w:rsid w:val="00481650"/>
    <w:rsid w:val="00482040"/>
    <w:rsid w:val="0048453C"/>
    <w:rsid w:val="0048477D"/>
    <w:rsid w:val="004917CB"/>
    <w:rsid w:val="00495C2F"/>
    <w:rsid w:val="004A44C0"/>
    <w:rsid w:val="004A565C"/>
    <w:rsid w:val="004A6D4E"/>
    <w:rsid w:val="004A7E62"/>
    <w:rsid w:val="004B295C"/>
    <w:rsid w:val="004B2A53"/>
    <w:rsid w:val="004B341B"/>
    <w:rsid w:val="004B41CD"/>
    <w:rsid w:val="004B4DFA"/>
    <w:rsid w:val="004C375D"/>
    <w:rsid w:val="004C727A"/>
    <w:rsid w:val="004C765D"/>
    <w:rsid w:val="004D4C6D"/>
    <w:rsid w:val="004D72FD"/>
    <w:rsid w:val="004D7DC0"/>
    <w:rsid w:val="004E3A86"/>
    <w:rsid w:val="004E5D8D"/>
    <w:rsid w:val="004E731B"/>
    <w:rsid w:val="004F5BDC"/>
    <w:rsid w:val="005030EF"/>
    <w:rsid w:val="0050504E"/>
    <w:rsid w:val="00507331"/>
    <w:rsid w:val="0051014C"/>
    <w:rsid w:val="00510B05"/>
    <w:rsid w:val="00513260"/>
    <w:rsid w:val="005137BA"/>
    <w:rsid w:val="00516E58"/>
    <w:rsid w:val="00517420"/>
    <w:rsid w:val="0051746A"/>
    <w:rsid w:val="00517A4A"/>
    <w:rsid w:val="00524818"/>
    <w:rsid w:val="005319E8"/>
    <w:rsid w:val="00537352"/>
    <w:rsid w:val="00543826"/>
    <w:rsid w:val="00543B98"/>
    <w:rsid w:val="00546042"/>
    <w:rsid w:val="005468CF"/>
    <w:rsid w:val="00547561"/>
    <w:rsid w:val="00551907"/>
    <w:rsid w:val="00554489"/>
    <w:rsid w:val="0055527A"/>
    <w:rsid w:val="00557785"/>
    <w:rsid w:val="00561F8E"/>
    <w:rsid w:val="00562E2B"/>
    <w:rsid w:val="00564F2C"/>
    <w:rsid w:val="00565FA7"/>
    <w:rsid w:val="0056673F"/>
    <w:rsid w:val="00571700"/>
    <w:rsid w:val="00571E39"/>
    <w:rsid w:val="00573086"/>
    <w:rsid w:val="005731CF"/>
    <w:rsid w:val="00575C0C"/>
    <w:rsid w:val="0057722C"/>
    <w:rsid w:val="0058102B"/>
    <w:rsid w:val="00583506"/>
    <w:rsid w:val="00584933"/>
    <w:rsid w:val="00592F22"/>
    <w:rsid w:val="0059384F"/>
    <w:rsid w:val="005943BF"/>
    <w:rsid w:val="0059766C"/>
    <w:rsid w:val="00597E6B"/>
    <w:rsid w:val="005A144F"/>
    <w:rsid w:val="005A2A37"/>
    <w:rsid w:val="005A35BF"/>
    <w:rsid w:val="005A45D0"/>
    <w:rsid w:val="005B2C7E"/>
    <w:rsid w:val="005B396C"/>
    <w:rsid w:val="005B61A2"/>
    <w:rsid w:val="005C039B"/>
    <w:rsid w:val="005C2CC6"/>
    <w:rsid w:val="005C48F9"/>
    <w:rsid w:val="005C4F4A"/>
    <w:rsid w:val="005C614D"/>
    <w:rsid w:val="005D01D3"/>
    <w:rsid w:val="005D1BF5"/>
    <w:rsid w:val="005D455D"/>
    <w:rsid w:val="005D4AB7"/>
    <w:rsid w:val="005E153C"/>
    <w:rsid w:val="005E1A52"/>
    <w:rsid w:val="005E1C83"/>
    <w:rsid w:val="005E23DC"/>
    <w:rsid w:val="005E43A5"/>
    <w:rsid w:val="005E4B3E"/>
    <w:rsid w:val="005E5BD9"/>
    <w:rsid w:val="005F1BB1"/>
    <w:rsid w:val="005F2B95"/>
    <w:rsid w:val="005F5405"/>
    <w:rsid w:val="005F68AF"/>
    <w:rsid w:val="005F778C"/>
    <w:rsid w:val="006026F9"/>
    <w:rsid w:val="00602CD0"/>
    <w:rsid w:val="0060498E"/>
    <w:rsid w:val="006068E5"/>
    <w:rsid w:val="00607A42"/>
    <w:rsid w:val="00610B63"/>
    <w:rsid w:val="006120E1"/>
    <w:rsid w:val="00612C03"/>
    <w:rsid w:val="00620BF3"/>
    <w:rsid w:val="00621A3E"/>
    <w:rsid w:val="00624D91"/>
    <w:rsid w:val="00632A00"/>
    <w:rsid w:val="006343E4"/>
    <w:rsid w:val="0063631E"/>
    <w:rsid w:val="00636D8F"/>
    <w:rsid w:val="0064021E"/>
    <w:rsid w:val="006414FA"/>
    <w:rsid w:val="00642606"/>
    <w:rsid w:val="00652332"/>
    <w:rsid w:val="0065500B"/>
    <w:rsid w:val="006609E8"/>
    <w:rsid w:val="00661572"/>
    <w:rsid w:val="00662B08"/>
    <w:rsid w:val="006632B4"/>
    <w:rsid w:val="0066330F"/>
    <w:rsid w:val="006645AD"/>
    <w:rsid w:val="00670963"/>
    <w:rsid w:val="00670A32"/>
    <w:rsid w:val="00671FDA"/>
    <w:rsid w:val="0067324A"/>
    <w:rsid w:val="00673D7E"/>
    <w:rsid w:val="006806E1"/>
    <w:rsid w:val="00682615"/>
    <w:rsid w:val="0068478B"/>
    <w:rsid w:val="006852DB"/>
    <w:rsid w:val="0069040A"/>
    <w:rsid w:val="00690416"/>
    <w:rsid w:val="006909CC"/>
    <w:rsid w:val="00692AFF"/>
    <w:rsid w:val="00692EB0"/>
    <w:rsid w:val="0069402D"/>
    <w:rsid w:val="00694321"/>
    <w:rsid w:val="00696F3B"/>
    <w:rsid w:val="006A176F"/>
    <w:rsid w:val="006A1FB6"/>
    <w:rsid w:val="006B45D4"/>
    <w:rsid w:val="006B4E1A"/>
    <w:rsid w:val="006B5C70"/>
    <w:rsid w:val="006B6838"/>
    <w:rsid w:val="006C0CEC"/>
    <w:rsid w:val="006C15C7"/>
    <w:rsid w:val="006C187E"/>
    <w:rsid w:val="006C26DC"/>
    <w:rsid w:val="006C2EF7"/>
    <w:rsid w:val="006D2986"/>
    <w:rsid w:val="006D7569"/>
    <w:rsid w:val="006E3F2E"/>
    <w:rsid w:val="006E4995"/>
    <w:rsid w:val="006E6AF3"/>
    <w:rsid w:val="00705301"/>
    <w:rsid w:val="00706CE5"/>
    <w:rsid w:val="00710245"/>
    <w:rsid w:val="00712BB6"/>
    <w:rsid w:val="007136C0"/>
    <w:rsid w:val="007157ED"/>
    <w:rsid w:val="0072096D"/>
    <w:rsid w:val="0072151A"/>
    <w:rsid w:val="00723CA4"/>
    <w:rsid w:val="00735734"/>
    <w:rsid w:val="007360B0"/>
    <w:rsid w:val="007369D8"/>
    <w:rsid w:val="00740323"/>
    <w:rsid w:val="0074246A"/>
    <w:rsid w:val="00742DDD"/>
    <w:rsid w:val="00743354"/>
    <w:rsid w:val="0074512F"/>
    <w:rsid w:val="007457E6"/>
    <w:rsid w:val="00746B69"/>
    <w:rsid w:val="0074700C"/>
    <w:rsid w:val="007565AC"/>
    <w:rsid w:val="0075671A"/>
    <w:rsid w:val="00760330"/>
    <w:rsid w:val="00761D9C"/>
    <w:rsid w:val="00763852"/>
    <w:rsid w:val="007644B2"/>
    <w:rsid w:val="0076534B"/>
    <w:rsid w:val="007664D9"/>
    <w:rsid w:val="00770F28"/>
    <w:rsid w:val="00771789"/>
    <w:rsid w:val="0077527A"/>
    <w:rsid w:val="00782CD6"/>
    <w:rsid w:val="0078379C"/>
    <w:rsid w:val="0078602A"/>
    <w:rsid w:val="007864A9"/>
    <w:rsid w:val="00792406"/>
    <w:rsid w:val="00792719"/>
    <w:rsid w:val="00797422"/>
    <w:rsid w:val="007A1367"/>
    <w:rsid w:val="007A1CE0"/>
    <w:rsid w:val="007A28C4"/>
    <w:rsid w:val="007B154B"/>
    <w:rsid w:val="007B5AF9"/>
    <w:rsid w:val="007B7D2C"/>
    <w:rsid w:val="007C0C77"/>
    <w:rsid w:val="007C2BC9"/>
    <w:rsid w:val="007C39CC"/>
    <w:rsid w:val="007C3B1E"/>
    <w:rsid w:val="007C7CBA"/>
    <w:rsid w:val="007D2A9D"/>
    <w:rsid w:val="007D35D7"/>
    <w:rsid w:val="007D57F1"/>
    <w:rsid w:val="007D5B5E"/>
    <w:rsid w:val="007D7CBD"/>
    <w:rsid w:val="007E6AC2"/>
    <w:rsid w:val="007E775A"/>
    <w:rsid w:val="007F0AC4"/>
    <w:rsid w:val="007F3150"/>
    <w:rsid w:val="007F316D"/>
    <w:rsid w:val="007F3DE7"/>
    <w:rsid w:val="007F4E72"/>
    <w:rsid w:val="007F5B3C"/>
    <w:rsid w:val="007F72D1"/>
    <w:rsid w:val="0080038A"/>
    <w:rsid w:val="00807D93"/>
    <w:rsid w:val="0081017D"/>
    <w:rsid w:val="00811286"/>
    <w:rsid w:val="00811A5C"/>
    <w:rsid w:val="008121B1"/>
    <w:rsid w:val="00814BD8"/>
    <w:rsid w:val="008152A7"/>
    <w:rsid w:val="008215DD"/>
    <w:rsid w:val="00821F0E"/>
    <w:rsid w:val="00824D53"/>
    <w:rsid w:val="00826CCE"/>
    <w:rsid w:val="00834122"/>
    <w:rsid w:val="0083461E"/>
    <w:rsid w:val="00836BDA"/>
    <w:rsid w:val="0083769D"/>
    <w:rsid w:val="00841E5F"/>
    <w:rsid w:val="008426DF"/>
    <w:rsid w:val="0084353D"/>
    <w:rsid w:val="00844F7B"/>
    <w:rsid w:val="0084646D"/>
    <w:rsid w:val="00846631"/>
    <w:rsid w:val="00851665"/>
    <w:rsid w:val="008525C9"/>
    <w:rsid w:val="008539FB"/>
    <w:rsid w:val="0085400F"/>
    <w:rsid w:val="00855D04"/>
    <w:rsid w:val="00855D5E"/>
    <w:rsid w:val="0085693F"/>
    <w:rsid w:val="0087142E"/>
    <w:rsid w:val="00871F17"/>
    <w:rsid w:val="00872A20"/>
    <w:rsid w:val="00877617"/>
    <w:rsid w:val="00886F71"/>
    <w:rsid w:val="00890AFE"/>
    <w:rsid w:val="008969B8"/>
    <w:rsid w:val="008976C9"/>
    <w:rsid w:val="008A14DE"/>
    <w:rsid w:val="008A2C49"/>
    <w:rsid w:val="008A62B4"/>
    <w:rsid w:val="008A7F5D"/>
    <w:rsid w:val="008B0895"/>
    <w:rsid w:val="008B0B70"/>
    <w:rsid w:val="008B3514"/>
    <w:rsid w:val="008B3E53"/>
    <w:rsid w:val="008C0F78"/>
    <w:rsid w:val="008C2647"/>
    <w:rsid w:val="008C6B4D"/>
    <w:rsid w:val="008D0C49"/>
    <w:rsid w:val="008D2DEF"/>
    <w:rsid w:val="008D3EBA"/>
    <w:rsid w:val="008D4207"/>
    <w:rsid w:val="008D550E"/>
    <w:rsid w:val="008E0F6B"/>
    <w:rsid w:val="008E153E"/>
    <w:rsid w:val="008E2499"/>
    <w:rsid w:val="008E26A5"/>
    <w:rsid w:val="008E2A02"/>
    <w:rsid w:val="008E3B31"/>
    <w:rsid w:val="008E4E01"/>
    <w:rsid w:val="008F1B0B"/>
    <w:rsid w:val="008F2C48"/>
    <w:rsid w:val="008F6F32"/>
    <w:rsid w:val="00904B60"/>
    <w:rsid w:val="0090580C"/>
    <w:rsid w:val="009077EE"/>
    <w:rsid w:val="009133EA"/>
    <w:rsid w:val="009138DC"/>
    <w:rsid w:val="00916F91"/>
    <w:rsid w:val="009202CD"/>
    <w:rsid w:val="00920B1D"/>
    <w:rsid w:val="009212E0"/>
    <w:rsid w:val="009263A7"/>
    <w:rsid w:val="009374BE"/>
    <w:rsid w:val="0093782D"/>
    <w:rsid w:val="00942F54"/>
    <w:rsid w:val="009456C6"/>
    <w:rsid w:val="00950A1A"/>
    <w:rsid w:val="00954160"/>
    <w:rsid w:val="009543AC"/>
    <w:rsid w:val="009567C1"/>
    <w:rsid w:val="009576D8"/>
    <w:rsid w:val="00957CA4"/>
    <w:rsid w:val="009617A4"/>
    <w:rsid w:val="009649D5"/>
    <w:rsid w:val="009656A7"/>
    <w:rsid w:val="009657BB"/>
    <w:rsid w:val="00970348"/>
    <w:rsid w:val="009705E6"/>
    <w:rsid w:val="009744CC"/>
    <w:rsid w:val="00983B2E"/>
    <w:rsid w:val="0098427E"/>
    <w:rsid w:val="009842E6"/>
    <w:rsid w:val="0098787B"/>
    <w:rsid w:val="00990465"/>
    <w:rsid w:val="0099092A"/>
    <w:rsid w:val="00990A63"/>
    <w:rsid w:val="009910F8"/>
    <w:rsid w:val="00993225"/>
    <w:rsid w:val="009A0366"/>
    <w:rsid w:val="009A4E1A"/>
    <w:rsid w:val="009B0576"/>
    <w:rsid w:val="009B50A7"/>
    <w:rsid w:val="009B5754"/>
    <w:rsid w:val="009B5D45"/>
    <w:rsid w:val="009C0792"/>
    <w:rsid w:val="009C114B"/>
    <w:rsid w:val="009C6B0D"/>
    <w:rsid w:val="009C7734"/>
    <w:rsid w:val="009D004D"/>
    <w:rsid w:val="009D1FD5"/>
    <w:rsid w:val="009D37EA"/>
    <w:rsid w:val="009E06A5"/>
    <w:rsid w:val="009E0ED3"/>
    <w:rsid w:val="009E1326"/>
    <w:rsid w:val="009E3538"/>
    <w:rsid w:val="009E452E"/>
    <w:rsid w:val="009E457B"/>
    <w:rsid w:val="009E4608"/>
    <w:rsid w:val="009F2641"/>
    <w:rsid w:val="009F665E"/>
    <w:rsid w:val="00A01221"/>
    <w:rsid w:val="00A01C0B"/>
    <w:rsid w:val="00A037BF"/>
    <w:rsid w:val="00A041A4"/>
    <w:rsid w:val="00A044B5"/>
    <w:rsid w:val="00A069EE"/>
    <w:rsid w:val="00A11F67"/>
    <w:rsid w:val="00A12CE6"/>
    <w:rsid w:val="00A134F7"/>
    <w:rsid w:val="00A137E2"/>
    <w:rsid w:val="00A13860"/>
    <w:rsid w:val="00A14887"/>
    <w:rsid w:val="00A15DF2"/>
    <w:rsid w:val="00A1659C"/>
    <w:rsid w:val="00A179DF"/>
    <w:rsid w:val="00A20676"/>
    <w:rsid w:val="00A23567"/>
    <w:rsid w:val="00A24253"/>
    <w:rsid w:val="00A2547E"/>
    <w:rsid w:val="00A33680"/>
    <w:rsid w:val="00A342E4"/>
    <w:rsid w:val="00A3485B"/>
    <w:rsid w:val="00A410B1"/>
    <w:rsid w:val="00A4349B"/>
    <w:rsid w:val="00A448AB"/>
    <w:rsid w:val="00A457B3"/>
    <w:rsid w:val="00A4799C"/>
    <w:rsid w:val="00A5013B"/>
    <w:rsid w:val="00A5200D"/>
    <w:rsid w:val="00A61AFF"/>
    <w:rsid w:val="00A65805"/>
    <w:rsid w:val="00A700C4"/>
    <w:rsid w:val="00A70D55"/>
    <w:rsid w:val="00A721DF"/>
    <w:rsid w:val="00A755DF"/>
    <w:rsid w:val="00A775DA"/>
    <w:rsid w:val="00A80EDB"/>
    <w:rsid w:val="00A81E27"/>
    <w:rsid w:val="00A837AD"/>
    <w:rsid w:val="00A847D5"/>
    <w:rsid w:val="00A863E0"/>
    <w:rsid w:val="00A91671"/>
    <w:rsid w:val="00A92AE3"/>
    <w:rsid w:val="00A937B2"/>
    <w:rsid w:val="00A93963"/>
    <w:rsid w:val="00A94C42"/>
    <w:rsid w:val="00AA4237"/>
    <w:rsid w:val="00AA7C63"/>
    <w:rsid w:val="00AB22E0"/>
    <w:rsid w:val="00AB2F4F"/>
    <w:rsid w:val="00AB464C"/>
    <w:rsid w:val="00AB47D8"/>
    <w:rsid w:val="00AB510B"/>
    <w:rsid w:val="00AC002B"/>
    <w:rsid w:val="00AC03B0"/>
    <w:rsid w:val="00AC1C05"/>
    <w:rsid w:val="00AC233F"/>
    <w:rsid w:val="00AC2F9B"/>
    <w:rsid w:val="00AC37FB"/>
    <w:rsid w:val="00AC7DE5"/>
    <w:rsid w:val="00AD1577"/>
    <w:rsid w:val="00AD2378"/>
    <w:rsid w:val="00AD2AAF"/>
    <w:rsid w:val="00AD3821"/>
    <w:rsid w:val="00AD47B2"/>
    <w:rsid w:val="00AD62C8"/>
    <w:rsid w:val="00AD6EF7"/>
    <w:rsid w:val="00AD738C"/>
    <w:rsid w:val="00AD7A4B"/>
    <w:rsid w:val="00AD7BB8"/>
    <w:rsid w:val="00AE539C"/>
    <w:rsid w:val="00AE6675"/>
    <w:rsid w:val="00AE6ADD"/>
    <w:rsid w:val="00AF1862"/>
    <w:rsid w:val="00AF4B0A"/>
    <w:rsid w:val="00AF4F2F"/>
    <w:rsid w:val="00AF6BDB"/>
    <w:rsid w:val="00B00277"/>
    <w:rsid w:val="00B0097D"/>
    <w:rsid w:val="00B01494"/>
    <w:rsid w:val="00B014DA"/>
    <w:rsid w:val="00B16E5C"/>
    <w:rsid w:val="00B21C39"/>
    <w:rsid w:val="00B21D29"/>
    <w:rsid w:val="00B2201A"/>
    <w:rsid w:val="00B227EE"/>
    <w:rsid w:val="00B310BA"/>
    <w:rsid w:val="00B341C5"/>
    <w:rsid w:val="00B35E2A"/>
    <w:rsid w:val="00B37FA9"/>
    <w:rsid w:val="00B410B3"/>
    <w:rsid w:val="00B5034C"/>
    <w:rsid w:val="00B52EE1"/>
    <w:rsid w:val="00B5798C"/>
    <w:rsid w:val="00B57A07"/>
    <w:rsid w:val="00B652E1"/>
    <w:rsid w:val="00B6560B"/>
    <w:rsid w:val="00B666CA"/>
    <w:rsid w:val="00B67E58"/>
    <w:rsid w:val="00B7455E"/>
    <w:rsid w:val="00B774D9"/>
    <w:rsid w:val="00B82F2F"/>
    <w:rsid w:val="00B845C2"/>
    <w:rsid w:val="00B84853"/>
    <w:rsid w:val="00B9184D"/>
    <w:rsid w:val="00B9194E"/>
    <w:rsid w:val="00B94E6B"/>
    <w:rsid w:val="00B95292"/>
    <w:rsid w:val="00B971A8"/>
    <w:rsid w:val="00BA0756"/>
    <w:rsid w:val="00BA13AC"/>
    <w:rsid w:val="00BA1B15"/>
    <w:rsid w:val="00BB04ED"/>
    <w:rsid w:val="00BB2B99"/>
    <w:rsid w:val="00BB3F91"/>
    <w:rsid w:val="00BB6242"/>
    <w:rsid w:val="00BB6930"/>
    <w:rsid w:val="00BC05C0"/>
    <w:rsid w:val="00BC170B"/>
    <w:rsid w:val="00BC42E8"/>
    <w:rsid w:val="00BD45F8"/>
    <w:rsid w:val="00BE123D"/>
    <w:rsid w:val="00BE1BB1"/>
    <w:rsid w:val="00BE37F0"/>
    <w:rsid w:val="00BE442E"/>
    <w:rsid w:val="00BE66E1"/>
    <w:rsid w:val="00BE7501"/>
    <w:rsid w:val="00BF1DF5"/>
    <w:rsid w:val="00BF2180"/>
    <w:rsid w:val="00BF2902"/>
    <w:rsid w:val="00BF4934"/>
    <w:rsid w:val="00BF587F"/>
    <w:rsid w:val="00BF5CDD"/>
    <w:rsid w:val="00BF6EBE"/>
    <w:rsid w:val="00C0060E"/>
    <w:rsid w:val="00C00CAB"/>
    <w:rsid w:val="00C0313C"/>
    <w:rsid w:val="00C06536"/>
    <w:rsid w:val="00C0739A"/>
    <w:rsid w:val="00C07D11"/>
    <w:rsid w:val="00C10A2A"/>
    <w:rsid w:val="00C11320"/>
    <w:rsid w:val="00C134EC"/>
    <w:rsid w:val="00C20CEA"/>
    <w:rsid w:val="00C2213A"/>
    <w:rsid w:val="00C22E2A"/>
    <w:rsid w:val="00C230A2"/>
    <w:rsid w:val="00C260F4"/>
    <w:rsid w:val="00C27638"/>
    <w:rsid w:val="00C32DA2"/>
    <w:rsid w:val="00C34846"/>
    <w:rsid w:val="00C37974"/>
    <w:rsid w:val="00C402E7"/>
    <w:rsid w:val="00C410BE"/>
    <w:rsid w:val="00C4666B"/>
    <w:rsid w:val="00C47B27"/>
    <w:rsid w:val="00C55775"/>
    <w:rsid w:val="00C5600A"/>
    <w:rsid w:val="00C621CA"/>
    <w:rsid w:val="00C6360D"/>
    <w:rsid w:val="00C64B9C"/>
    <w:rsid w:val="00C64CBE"/>
    <w:rsid w:val="00C65CC3"/>
    <w:rsid w:val="00C66226"/>
    <w:rsid w:val="00C705CE"/>
    <w:rsid w:val="00C71E0F"/>
    <w:rsid w:val="00C80325"/>
    <w:rsid w:val="00C81050"/>
    <w:rsid w:val="00C87B98"/>
    <w:rsid w:val="00C92696"/>
    <w:rsid w:val="00C96337"/>
    <w:rsid w:val="00CA1C9C"/>
    <w:rsid w:val="00CA47CF"/>
    <w:rsid w:val="00CB085D"/>
    <w:rsid w:val="00CB0CC1"/>
    <w:rsid w:val="00CB1B5D"/>
    <w:rsid w:val="00CB24B7"/>
    <w:rsid w:val="00CB57F3"/>
    <w:rsid w:val="00CB581C"/>
    <w:rsid w:val="00CB5D16"/>
    <w:rsid w:val="00CB6314"/>
    <w:rsid w:val="00CB6C38"/>
    <w:rsid w:val="00CC1A7A"/>
    <w:rsid w:val="00CC2AAE"/>
    <w:rsid w:val="00CC574E"/>
    <w:rsid w:val="00CD204E"/>
    <w:rsid w:val="00CD2819"/>
    <w:rsid w:val="00CD2C14"/>
    <w:rsid w:val="00CD3161"/>
    <w:rsid w:val="00CD3621"/>
    <w:rsid w:val="00CD55A0"/>
    <w:rsid w:val="00CE2089"/>
    <w:rsid w:val="00CE4668"/>
    <w:rsid w:val="00CE5920"/>
    <w:rsid w:val="00CE69A6"/>
    <w:rsid w:val="00CE763A"/>
    <w:rsid w:val="00CF3990"/>
    <w:rsid w:val="00CF5A7A"/>
    <w:rsid w:val="00D00211"/>
    <w:rsid w:val="00D00413"/>
    <w:rsid w:val="00D006AD"/>
    <w:rsid w:val="00D0082C"/>
    <w:rsid w:val="00D06EA7"/>
    <w:rsid w:val="00D11553"/>
    <w:rsid w:val="00D12A91"/>
    <w:rsid w:val="00D1700D"/>
    <w:rsid w:val="00D21E2F"/>
    <w:rsid w:val="00D22FDB"/>
    <w:rsid w:val="00D23A18"/>
    <w:rsid w:val="00D23A44"/>
    <w:rsid w:val="00D23F42"/>
    <w:rsid w:val="00D3029B"/>
    <w:rsid w:val="00D308D8"/>
    <w:rsid w:val="00D30E56"/>
    <w:rsid w:val="00D313C6"/>
    <w:rsid w:val="00D34F1C"/>
    <w:rsid w:val="00D36C0D"/>
    <w:rsid w:val="00D404A5"/>
    <w:rsid w:val="00D4171C"/>
    <w:rsid w:val="00D4185C"/>
    <w:rsid w:val="00D47ECF"/>
    <w:rsid w:val="00D52DB0"/>
    <w:rsid w:val="00D53DD8"/>
    <w:rsid w:val="00D55AC2"/>
    <w:rsid w:val="00D617D8"/>
    <w:rsid w:val="00D63191"/>
    <w:rsid w:val="00D6741A"/>
    <w:rsid w:val="00D67A18"/>
    <w:rsid w:val="00D71836"/>
    <w:rsid w:val="00D728A7"/>
    <w:rsid w:val="00D74569"/>
    <w:rsid w:val="00D74612"/>
    <w:rsid w:val="00D75AAC"/>
    <w:rsid w:val="00D7695E"/>
    <w:rsid w:val="00D76998"/>
    <w:rsid w:val="00D80208"/>
    <w:rsid w:val="00D821DE"/>
    <w:rsid w:val="00D82D72"/>
    <w:rsid w:val="00D8320D"/>
    <w:rsid w:val="00D835DF"/>
    <w:rsid w:val="00D86902"/>
    <w:rsid w:val="00D875C7"/>
    <w:rsid w:val="00D879B3"/>
    <w:rsid w:val="00D931C0"/>
    <w:rsid w:val="00D961B0"/>
    <w:rsid w:val="00D97585"/>
    <w:rsid w:val="00DA5299"/>
    <w:rsid w:val="00DA5915"/>
    <w:rsid w:val="00DB058A"/>
    <w:rsid w:val="00DB0999"/>
    <w:rsid w:val="00DB1C53"/>
    <w:rsid w:val="00DB2909"/>
    <w:rsid w:val="00DB4B0D"/>
    <w:rsid w:val="00DB5164"/>
    <w:rsid w:val="00DB573D"/>
    <w:rsid w:val="00DB6AED"/>
    <w:rsid w:val="00DB6F1A"/>
    <w:rsid w:val="00DC5737"/>
    <w:rsid w:val="00DC61DF"/>
    <w:rsid w:val="00DD38C2"/>
    <w:rsid w:val="00DD6AAD"/>
    <w:rsid w:val="00DD7376"/>
    <w:rsid w:val="00DE0FE3"/>
    <w:rsid w:val="00DE6AD5"/>
    <w:rsid w:val="00DF08B1"/>
    <w:rsid w:val="00DF6691"/>
    <w:rsid w:val="00DF6B06"/>
    <w:rsid w:val="00E01EE1"/>
    <w:rsid w:val="00E02C0B"/>
    <w:rsid w:val="00E06006"/>
    <w:rsid w:val="00E17331"/>
    <w:rsid w:val="00E21DA9"/>
    <w:rsid w:val="00E22E63"/>
    <w:rsid w:val="00E241B3"/>
    <w:rsid w:val="00E27CD7"/>
    <w:rsid w:val="00E3450E"/>
    <w:rsid w:val="00E35963"/>
    <w:rsid w:val="00E36C11"/>
    <w:rsid w:val="00E37241"/>
    <w:rsid w:val="00E41E2A"/>
    <w:rsid w:val="00E421A0"/>
    <w:rsid w:val="00E4600D"/>
    <w:rsid w:val="00E469F0"/>
    <w:rsid w:val="00E473A7"/>
    <w:rsid w:val="00E50CEE"/>
    <w:rsid w:val="00E520B6"/>
    <w:rsid w:val="00E522A9"/>
    <w:rsid w:val="00E53188"/>
    <w:rsid w:val="00E535BC"/>
    <w:rsid w:val="00E53E1E"/>
    <w:rsid w:val="00E54790"/>
    <w:rsid w:val="00E56451"/>
    <w:rsid w:val="00E60B7E"/>
    <w:rsid w:val="00E62063"/>
    <w:rsid w:val="00E62980"/>
    <w:rsid w:val="00E6336B"/>
    <w:rsid w:val="00E635EE"/>
    <w:rsid w:val="00E64AFD"/>
    <w:rsid w:val="00E705C3"/>
    <w:rsid w:val="00E723A9"/>
    <w:rsid w:val="00E726B2"/>
    <w:rsid w:val="00E73F04"/>
    <w:rsid w:val="00E748C1"/>
    <w:rsid w:val="00E7493B"/>
    <w:rsid w:val="00E76039"/>
    <w:rsid w:val="00E77059"/>
    <w:rsid w:val="00E8018A"/>
    <w:rsid w:val="00E80CAC"/>
    <w:rsid w:val="00E84873"/>
    <w:rsid w:val="00E84B9F"/>
    <w:rsid w:val="00E865BE"/>
    <w:rsid w:val="00E878F1"/>
    <w:rsid w:val="00E90A07"/>
    <w:rsid w:val="00E91397"/>
    <w:rsid w:val="00E91FED"/>
    <w:rsid w:val="00E93580"/>
    <w:rsid w:val="00E951E7"/>
    <w:rsid w:val="00E951E8"/>
    <w:rsid w:val="00EA0AD7"/>
    <w:rsid w:val="00EA2148"/>
    <w:rsid w:val="00EA3295"/>
    <w:rsid w:val="00EA4AF1"/>
    <w:rsid w:val="00EA70E8"/>
    <w:rsid w:val="00EA7AED"/>
    <w:rsid w:val="00EB177B"/>
    <w:rsid w:val="00EB3AD1"/>
    <w:rsid w:val="00EB4020"/>
    <w:rsid w:val="00EB419E"/>
    <w:rsid w:val="00EB5651"/>
    <w:rsid w:val="00EB6BCA"/>
    <w:rsid w:val="00EC0A67"/>
    <w:rsid w:val="00EC2063"/>
    <w:rsid w:val="00EC2700"/>
    <w:rsid w:val="00EC33EA"/>
    <w:rsid w:val="00EC35E0"/>
    <w:rsid w:val="00EC4689"/>
    <w:rsid w:val="00EC69C0"/>
    <w:rsid w:val="00EC7E9F"/>
    <w:rsid w:val="00ED1AA0"/>
    <w:rsid w:val="00ED1BFD"/>
    <w:rsid w:val="00ED667D"/>
    <w:rsid w:val="00ED7442"/>
    <w:rsid w:val="00EE2222"/>
    <w:rsid w:val="00EE3BDC"/>
    <w:rsid w:val="00EE47B5"/>
    <w:rsid w:val="00EE5973"/>
    <w:rsid w:val="00EE75BA"/>
    <w:rsid w:val="00EF4251"/>
    <w:rsid w:val="00EF52A9"/>
    <w:rsid w:val="00EF6F20"/>
    <w:rsid w:val="00EF78AB"/>
    <w:rsid w:val="00F00D78"/>
    <w:rsid w:val="00F0300B"/>
    <w:rsid w:val="00F07018"/>
    <w:rsid w:val="00F071E5"/>
    <w:rsid w:val="00F10C1E"/>
    <w:rsid w:val="00F110B5"/>
    <w:rsid w:val="00F12ED8"/>
    <w:rsid w:val="00F1340D"/>
    <w:rsid w:val="00F13F56"/>
    <w:rsid w:val="00F206C1"/>
    <w:rsid w:val="00F21029"/>
    <w:rsid w:val="00F24CBE"/>
    <w:rsid w:val="00F26407"/>
    <w:rsid w:val="00F30438"/>
    <w:rsid w:val="00F36645"/>
    <w:rsid w:val="00F37162"/>
    <w:rsid w:val="00F3749D"/>
    <w:rsid w:val="00F37869"/>
    <w:rsid w:val="00F40096"/>
    <w:rsid w:val="00F40885"/>
    <w:rsid w:val="00F42E9C"/>
    <w:rsid w:val="00F443E6"/>
    <w:rsid w:val="00F54D17"/>
    <w:rsid w:val="00F55FD2"/>
    <w:rsid w:val="00F5628F"/>
    <w:rsid w:val="00F56742"/>
    <w:rsid w:val="00F67B0F"/>
    <w:rsid w:val="00F70621"/>
    <w:rsid w:val="00F707F3"/>
    <w:rsid w:val="00F70972"/>
    <w:rsid w:val="00F72206"/>
    <w:rsid w:val="00F72476"/>
    <w:rsid w:val="00F7717D"/>
    <w:rsid w:val="00F85654"/>
    <w:rsid w:val="00F8652E"/>
    <w:rsid w:val="00F87C07"/>
    <w:rsid w:val="00F90FC4"/>
    <w:rsid w:val="00F94CB8"/>
    <w:rsid w:val="00F96CE5"/>
    <w:rsid w:val="00F9745C"/>
    <w:rsid w:val="00F97F62"/>
    <w:rsid w:val="00FA0A09"/>
    <w:rsid w:val="00FA280C"/>
    <w:rsid w:val="00FA56FC"/>
    <w:rsid w:val="00FA595D"/>
    <w:rsid w:val="00FA5A79"/>
    <w:rsid w:val="00FA643C"/>
    <w:rsid w:val="00FB00E6"/>
    <w:rsid w:val="00FB0C99"/>
    <w:rsid w:val="00FB34D5"/>
    <w:rsid w:val="00FB668E"/>
    <w:rsid w:val="00FC0F0B"/>
    <w:rsid w:val="00FC1470"/>
    <w:rsid w:val="00FC3877"/>
    <w:rsid w:val="00FC3C26"/>
    <w:rsid w:val="00FC44E4"/>
    <w:rsid w:val="00FC622B"/>
    <w:rsid w:val="00FD0673"/>
    <w:rsid w:val="00FD2A77"/>
    <w:rsid w:val="00FD4AFD"/>
    <w:rsid w:val="00FD4F6E"/>
    <w:rsid w:val="00FE0BEE"/>
    <w:rsid w:val="00FE11B9"/>
    <w:rsid w:val="00FE3096"/>
    <w:rsid w:val="00FE4A55"/>
    <w:rsid w:val="00FE5381"/>
    <w:rsid w:val="00FE54BC"/>
    <w:rsid w:val="00FE6095"/>
    <w:rsid w:val="00FE79BD"/>
    <w:rsid w:val="00FE7C4E"/>
    <w:rsid w:val="00FE7F0A"/>
    <w:rsid w:val="00FF11FF"/>
    <w:rsid w:val="00FF1261"/>
    <w:rsid w:val="00FF5F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E5F"/>
    <w:rPr>
      <w:sz w:val="24"/>
    </w:rPr>
  </w:style>
  <w:style w:type="paragraph" w:styleId="Heading1">
    <w:name w:val="heading 1"/>
    <w:basedOn w:val="Normal"/>
    <w:next w:val="Normal"/>
    <w:link w:val="Heading1Char"/>
    <w:qFormat/>
    <w:rsid w:val="00EF4251"/>
    <w:pPr>
      <w:keepNext/>
      <w:spacing w:after="240"/>
      <w:ind w:left="720" w:hanging="720"/>
      <w:outlineLvl w:val="0"/>
    </w:pPr>
    <w:rPr>
      <w:b/>
      <w:szCs w:val="24"/>
    </w:rPr>
  </w:style>
  <w:style w:type="paragraph" w:styleId="Heading2">
    <w:name w:val="heading 2"/>
    <w:basedOn w:val="Normal"/>
    <w:next w:val="Normal"/>
    <w:qFormat/>
    <w:rsid w:val="009E06A5"/>
    <w:pPr>
      <w:keepNext/>
      <w:tabs>
        <w:tab w:val="left" w:pos="4320"/>
      </w:tabs>
      <w:spacing w:after="240"/>
      <w:ind w:left="1440" w:hanging="720"/>
      <w:outlineLvl w:val="1"/>
    </w:pPr>
    <w:rPr>
      <w:b/>
    </w:rPr>
  </w:style>
  <w:style w:type="paragraph" w:styleId="Heading3">
    <w:name w:val="heading 3"/>
    <w:basedOn w:val="Normal"/>
    <w:next w:val="Normal"/>
    <w:autoRedefine/>
    <w:qFormat/>
    <w:rsid w:val="001C78EC"/>
    <w:pPr>
      <w:keepNext/>
      <w:keepLines/>
      <w:spacing w:after="240"/>
      <w:ind w:left="288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1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9138DC"/>
    <w:pPr>
      <w:tabs>
        <w:tab w:val="center" w:pos="4320"/>
        <w:tab w:val="right" w:pos="8640"/>
      </w:tabs>
    </w:pPr>
    <w:rPr>
      <w:sz w:val="20"/>
    </w:rPr>
  </w:style>
  <w:style w:type="character" w:styleId="Hyperlink">
    <w:name w:val="Hyperlink"/>
    <w:uiPriority w:val="99"/>
    <w:rsid w:val="009138DC"/>
    <w:rPr>
      <w:color w:val="0000FF"/>
      <w:u w:val="single"/>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uiPriority w:val="99"/>
    <w:rsid w:val="009138DC"/>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qFormat/>
    <w:rsid w:val="009138DC"/>
    <w:rPr>
      <w:vertAlign w:val="superscript"/>
    </w:rPr>
  </w:style>
  <w:style w:type="paragraph" w:styleId="BodyTextIndent">
    <w:name w:val="Body Text Indent"/>
    <w:basedOn w:val="Normal"/>
    <w:rsid w:val="009138DC"/>
    <w:pPr>
      <w:spacing w:line="480" w:lineRule="auto"/>
      <w:ind w:firstLine="720"/>
    </w:pPr>
  </w:style>
  <w:style w:type="paragraph" w:styleId="BodyTextIndent3">
    <w:name w:val="Body Text Indent 3"/>
    <w:basedOn w:val="Normal"/>
    <w:link w:val="BodyTextIndent3Char"/>
    <w:rsid w:val="009138DC"/>
    <w:pPr>
      <w:spacing w:line="480" w:lineRule="atLeast"/>
      <w:ind w:firstLine="720"/>
    </w:pPr>
  </w:style>
  <w:style w:type="paragraph" w:styleId="BodyTextIndent2">
    <w:name w:val="Body Text Indent 2"/>
    <w:basedOn w:val="Normal"/>
    <w:rsid w:val="009138DC"/>
    <w:pPr>
      <w:tabs>
        <w:tab w:val="left" w:pos="720"/>
      </w:tabs>
      <w:spacing w:before="240" w:after="240"/>
      <w:ind w:left="1464" w:hanging="744"/>
    </w:pPr>
  </w:style>
  <w:style w:type="character" w:styleId="PageNumber">
    <w:name w:val="page number"/>
    <w:basedOn w:val="DefaultParagraphFont"/>
    <w:rsid w:val="009138DC"/>
  </w:style>
  <w:style w:type="paragraph" w:styleId="BodyText">
    <w:name w:val="Body Text"/>
    <w:basedOn w:val="Normal"/>
    <w:link w:val="BodyTextChar"/>
    <w:rsid w:val="009138DC"/>
    <w:pPr>
      <w:jc w:val="both"/>
    </w:pPr>
  </w:style>
  <w:style w:type="paragraph" w:styleId="BlockText">
    <w:name w:val="Block Text"/>
    <w:basedOn w:val="Normal"/>
    <w:rsid w:val="009138DC"/>
    <w:pPr>
      <w:ind w:left="1440" w:right="720"/>
    </w:pPr>
  </w:style>
  <w:style w:type="paragraph" w:styleId="EndnoteText">
    <w:name w:val="endnote text"/>
    <w:basedOn w:val="Normal"/>
    <w:semiHidden/>
    <w:rsid w:val="009138DC"/>
    <w:rPr>
      <w:sz w:val="20"/>
    </w:rPr>
  </w:style>
  <w:style w:type="character" w:styleId="EndnoteReference">
    <w:name w:val="endnote reference"/>
    <w:semiHidden/>
    <w:rsid w:val="009138DC"/>
    <w:rPr>
      <w:vertAlign w:val="superscript"/>
    </w:rPr>
  </w:style>
  <w:style w:type="paragraph" w:styleId="BodyText2">
    <w:name w:val="Body Text 2"/>
    <w:basedOn w:val="Normal"/>
    <w:rsid w:val="009138DC"/>
    <w:pPr>
      <w:spacing w:line="480" w:lineRule="auto"/>
      <w:ind w:right="1440"/>
    </w:pPr>
  </w:style>
  <w:style w:type="paragraph" w:styleId="Header">
    <w:name w:val="header"/>
    <w:basedOn w:val="Normal"/>
    <w:rsid w:val="009138DC"/>
    <w:pPr>
      <w:tabs>
        <w:tab w:val="center" w:pos="4320"/>
        <w:tab w:val="right" w:pos="8640"/>
      </w:tabs>
    </w:pPr>
  </w:style>
  <w:style w:type="paragraph" w:styleId="BalloonText">
    <w:name w:val="Balloon Text"/>
    <w:basedOn w:val="Normal"/>
    <w:semiHidden/>
    <w:rsid w:val="009138DC"/>
    <w:rPr>
      <w:rFonts w:ascii="Lucida Grande" w:hAnsi="Lucida Grande"/>
      <w:sz w:val="18"/>
      <w:szCs w:val="18"/>
    </w:rPr>
  </w:style>
  <w:style w:type="character" w:styleId="CommentReference">
    <w:name w:val="annotation reference"/>
    <w:uiPriority w:val="99"/>
    <w:semiHidden/>
    <w:rsid w:val="009138DC"/>
    <w:rPr>
      <w:sz w:val="18"/>
    </w:rPr>
  </w:style>
  <w:style w:type="paragraph" w:styleId="CommentText">
    <w:name w:val="annotation text"/>
    <w:basedOn w:val="Normal"/>
    <w:link w:val="CommentTextChar"/>
    <w:uiPriority w:val="99"/>
    <w:rsid w:val="009138DC"/>
    <w:rPr>
      <w:szCs w:val="24"/>
    </w:rPr>
  </w:style>
  <w:style w:type="paragraph" w:styleId="CommentSubject">
    <w:name w:val="annotation subject"/>
    <w:basedOn w:val="CommentText"/>
    <w:next w:val="CommentText"/>
    <w:semiHidden/>
    <w:rsid w:val="009138DC"/>
    <w:rPr>
      <w:szCs w:val="20"/>
    </w:rPr>
  </w:style>
  <w:style w:type="character" w:styleId="FollowedHyperlink">
    <w:name w:val="FollowedHyperlink"/>
    <w:rsid w:val="009138DC"/>
    <w:rPr>
      <w:color w:val="800080"/>
      <w:u w:val="single"/>
    </w:rPr>
  </w:style>
  <w:style w:type="character" w:customStyle="1" w:styleId="term1">
    <w:name w:val="term1"/>
    <w:rsid w:val="009138DC"/>
    <w:rPr>
      <w:b/>
      <w:bCs/>
    </w:rPr>
  </w:style>
  <w:style w:type="table" w:styleId="TableGrid">
    <w:name w:val="Table Grid"/>
    <w:basedOn w:val="TableNormal"/>
    <w:rsid w:val="00913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9138DC"/>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FE7F0A"/>
    <w:rPr>
      <w:color w:val="605E5C"/>
      <w:shd w:val="clear" w:color="auto" w:fill="E1DFDD"/>
    </w:rPr>
  </w:style>
  <w:style w:type="character" w:customStyle="1" w:styleId="FooterChar">
    <w:name w:val="Footer Char"/>
    <w:basedOn w:val="DefaultParagraphFont"/>
    <w:link w:val="Footer"/>
    <w:uiPriority w:val="99"/>
    <w:rsid w:val="00FE7F0A"/>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
    <w:basedOn w:val="DefaultParagraphFont"/>
    <w:link w:val="FootnoteText"/>
    <w:uiPriority w:val="99"/>
    <w:rsid w:val="00E951E8"/>
  </w:style>
  <w:style w:type="character" w:customStyle="1" w:styleId="BodyTextIndent3Char">
    <w:name w:val="Body Text Indent 3 Char"/>
    <w:basedOn w:val="DefaultParagraphFont"/>
    <w:link w:val="BodyTextIndent3"/>
    <w:rsid w:val="00E951E8"/>
    <w:rPr>
      <w:sz w:val="24"/>
    </w:rPr>
  </w:style>
  <w:style w:type="character" w:customStyle="1" w:styleId="UnresolvedMention2">
    <w:name w:val="Unresolved Mention2"/>
    <w:basedOn w:val="DefaultParagraphFont"/>
    <w:uiPriority w:val="99"/>
    <w:semiHidden/>
    <w:unhideWhenUsed/>
    <w:rsid w:val="00D74569"/>
    <w:rPr>
      <w:color w:val="605E5C"/>
      <w:shd w:val="clear" w:color="auto" w:fill="E1DFDD"/>
    </w:rPr>
  </w:style>
  <w:style w:type="character" w:customStyle="1" w:styleId="HTMLPreformattedChar">
    <w:name w:val="HTML Preformatted Char"/>
    <w:basedOn w:val="DefaultParagraphFont"/>
    <w:link w:val="HTMLPreformatted"/>
    <w:rsid w:val="00841E5F"/>
    <w:rPr>
      <w:rFonts w:ascii="Courier New" w:eastAsia="Courier New" w:hAnsi="Courier New" w:cs="Courier New"/>
    </w:rPr>
  </w:style>
  <w:style w:type="character" w:customStyle="1" w:styleId="Heading1Char">
    <w:name w:val="Heading 1 Char"/>
    <w:basedOn w:val="DefaultParagraphFont"/>
    <w:link w:val="Heading1"/>
    <w:rsid w:val="00EF4251"/>
    <w:rPr>
      <w:b/>
      <w:sz w:val="24"/>
      <w:szCs w:val="24"/>
    </w:rPr>
  </w:style>
  <w:style w:type="paragraph" w:styleId="TOC1">
    <w:name w:val="toc 1"/>
    <w:basedOn w:val="Normal"/>
    <w:next w:val="Normal"/>
    <w:autoRedefine/>
    <w:uiPriority w:val="39"/>
    <w:unhideWhenUsed/>
    <w:rsid w:val="00FB0C99"/>
    <w:pPr>
      <w:tabs>
        <w:tab w:val="decimal" w:leader="dot" w:pos="9360"/>
      </w:tabs>
      <w:spacing w:after="240"/>
      <w:ind w:left="720" w:hanging="720"/>
    </w:pPr>
  </w:style>
  <w:style w:type="paragraph" w:styleId="TOC2">
    <w:name w:val="toc 2"/>
    <w:basedOn w:val="Normal"/>
    <w:next w:val="Normal"/>
    <w:autoRedefine/>
    <w:uiPriority w:val="39"/>
    <w:unhideWhenUsed/>
    <w:rsid w:val="00FB0C99"/>
    <w:pPr>
      <w:tabs>
        <w:tab w:val="decimal" w:leader="dot" w:pos="9360"/>
      </w:tabs>
      <w:spacing w:after="240"/>
      <w:ind w:left="1440" w:hanging="720"/>
    </w:pPr>
  </w:style>
  <w:style w:type="character" w:customStyle="1" w:styleId="CommentTextChar">
    <w:name w:val="Comment Text Char"/>
    <w:basedOn w:val="DefaultParagraphFont"/>
    <w:link w:val="CommentText"/>
    <w:uiPriority w:val="99"/>
    <w:rsid w:val="00CD2C14"/>
    <w:rPr>
      <w:sz w:val="24"/>
      <w:szCs w:val="24"/>
    </w:rPr>
  </w:style>
  <w:style w:type="paragraph" w:customStyle="1" w:styleId="ANSWER">
    <w:name w:val="ANSWER"/>
    <w:basedOn w:val="Normal"/>
    <w:rsid w:val="00CD2C14"/>
    <w:pPr>
      <w:spacing w:line="480" w:lineRule="auto"/>
      <w:ind w:left="1008" w:hanging="720"/>
    </w:pPr>
  </w:style>
  <w:style w:type="paragraph" w:styleId="TOC3">
    <w:name w:val="toc 3"/>
    <w:basedOn w:val="Normal"/>
    <w:next w:val="Normal"/>
    <w:autoRedefine/>
    <w:uiPriority w:val="39"/>
    <w:unhideWhenUsed/>
    <w:qFormat/>
    <w:rsid w:val="00FB0C99"/>
    <w:pPr>
      <w:tabs>
        <w:tab w:val="decimal" w:leader="dot" w:pos="9360"/>
      </w:tabs>
      <w:spacing w:after="240"/>
      <w:ind w:left="2160" w:hanging="720"/>
      <w:outlineLvl w:val="2"/>
    </w:pPr>
  </w:style>
  <w:style w:type="character" w:customStyle="1" w:styleId="UnresolvedMention3">
    <w:name w:val="Unresolved Mention3"/>
    <w:basedOn w:val="DefaultParagraphFont"/>
    <w:rsid w:val="00FF11FF"/>
    <w:rPr>
      <w:color w:val="605E5C"/>
      <w:shd w:val="clear" w:color="auto" w:fill="E1DFDD"/>
    </w:rPr>
  </w:style>
  <w:style w:type="character" w:customStyle="1" w:styleId="sssh">
    <w:name w:val="ss_sh"/>
    <w:basedOn w:val="DefaultParagraphFont"/>
    <w:rsid w:val="00AF4F2F"/>
  </w:style>
  <w:style w:type="character" w:customStyle="1" w:styleId="UnresolvedMention4">
    <w:name w:val="Unresolved Mention4"/>
    <w:basedOn w:val="DefaultParagraphFont"/>
    <w:rsid w:val="0025377E"/>
    <w:rPr>
      <w:color w:val="605E5C"/>
      <w:shd w:val="clear" w:color="auto" w:fill="E1DFDD"/>
    </w:rPr>
  </w:style>
  <w:style w:type="paragraph" w:styleId="NoSpacing">
    <w:name w:val="No Spacing"/>
    <w:uiPriority w:val="1"/>
    <w:qFormat/>
    <w:rsid w:val="00DB0999"/>
    <w:rPr>
      <w:rFonts w:asciiTheme="minorHAnsi" w:eastAsiaTheme="minorHAnsi" w:hAnsiTheme="minorHAnsi" w:cstheme="minorBidi"/>
      <w:sz w:val="22"/>
      <w:szCs w:val="22"/>
    </w:rPr>
  </w:style>
  <w:style w:type="paragraph" w:styleId="Revision">
    <w:name w:val="Revision"/>
    <w:hidden/>
    <w:uiPriority w:val="99"/>
    <w:semiHidden/>
    <w:rsid w:val="00D71836"/>
    <w:rPr>
      <w:sz w:val="24"/>
    </w:rPr>
  </w:style>
  <w:style w:type="character" w:customStyle="1" w:styleId="BodyTextChar">
    <w:name w:val="Body Text Char"/>
    <w:basedOn w:val="DefaultParagraphFont"/>
    <w:link w:val="BodyText"/>
    <w:rsid w:val="00FB0C9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Robert.eubanks@ohioAGO.gov" TargetMode="External" /><Relationship Id="rId12" Type="http://schemas.openxmlformats.org/officeDocument/2006/relationships/hyperlink" Target="mailto:michael.nugent@igs.com" TargetMode="External" /><Relationship Id="rId13" Type="http://schemas.openxmlformats.org/officeDocument/2006/relationships/hyperlink" Target="mailto:bethany.allen@igs.com" TargetMode="External" /><Relationship Id="rId14" Type="http://schemas.openxmlformats.org/officeDocument/2006/relationships/hyperlink" Target="mailto:evan.betterton@igs.com" TargetMode="External" /><Relationship Id="rId15" Type="http://schemas.openxmlformats.org/officeDocument/2006/relationships/hyperlink" Target="mailto:joe.oliker@igs.com" TargetMode="External" /><Relationship Id="rId16" Type="http://schemas.openxmlformats.org/officeDocument/2006/relationships/hyperlink" Target="mailto:Matthew.sandor@puco.ohio.gov" TargetMode="External" /><Relationship Id="rId17" Type="http://schemas.openxmlformats.org/officeDocument/2006/relationships/hyperlink" Target="mailto:Jeanne.kingery@duke-energy.com" TargetMode="External" /><Relationship Id="rId18" Type="http://schemas.openxmlformats.org/officeDocument/2006/relationships/hyperlink" Target="mailto:Larisa.vaysman@duke-energy.com" TargetMode="External" /><Relationship Id="rId19" Type="http://schemas.openxmlformats.org/officeDocument/2006/relationships/hyperlink" Target="mailto:Rocco.Dascenzo@duke-energy.com" TargetMode="External" /><Relationship Id="rId2" Type="http://schemas.openxmlformats.org/officeDocument/2006/relationships/settings" Target="settings.xml" /><Relationship Id="rId20" Type="http://schemas.openxmlformats.org/officeDocument/2006/relationships/header" Target="header1.xml" /><Relationship Id="rId21" Type="http://schemas.openxmlformats.org/officeDocument/2006/relationships/footer" Target="footer4.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amy.botschner.obrien@occ.ohio.gov"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7D4A8-B5B6-4B4C-A046-50506EBF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4222</Words>
  <Characters>24069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2022-03-31T19:35:09Z</dcterms:created>
  <dcterms:modified xsi:type="dcterms:W3CDTF">2022-03-31T19:35:09Z</dcterms:modified>
</cp:coreProperties>
</file>