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C9" w:rsidRDefault="00B600FA">
      <w:pPr>
        <w:jc w:val="center"/>
        <w:rPr>
          <w:rFonts w:eastAsiaTheme="minorEastAsia" w:cs="Arial"/>
          <w:b/>
          <w:smallCaps/>
          <w:szCs w:val="20"/>
        </w:rPr>
      </w:pPr>
      <w:bookmarkStart w:id="0" w:name="OLE_LINK2"/>
      <w:bookmarkStart w:id="1" w:name="OLE_LINK1"/>
      <w:r>
        <w:rPr>
          <w:rFonts w:eastAsiaTheme="minorEastAsia" w:cs="Arial"/>
          <w:b/>
          <w:smallCaps/>
          <w:szCs w:val="20"/>
        </w:rPr>
        <w:t>Before</w:t>
      </w:r>
    </w:p>
    <w:p w:rsidR="00443CC9" w:rsidRDefault="00B600FA">
      <w:pPr>
        <w:jc w:val="center"/>
        <w:rPr>
          <w:rFonts w:eastAsiaTheme="minorEastAsia" w:cs="Arial"/>
          <w:b/>
          <w:smallCaps/>
        </w:rPr>
      </w:pPr>
      <w:r>
        <w:rPr>
          <w:rFonts w:eastAsiaTheme="minorEastAsia" w:cs="Arial"/>
          <w:b/>
          <w:smallCaps/>
        </w:rPr>
        <w:t>The Public Utilities Commission of Ohio</w:t>
      </w:r>
    </w:p>
    <w:p w:rsidR="00443CC9" w:rsidRPr="00913168" w:rsidRDefault="00443CC9">
      <w:pPr>
        <w:jc w:val="center"/>
        <w:rPr>
          <w:rFonts w:eastAsiaTheme="minorEastAsia" w:cs="Arial"/>
          <w:b/>
          <w:smallCaps/>
        </w:rPr>
      </w:pPr>
    </w:p>
    <w:p w:rsidR="00443CC9" w:rsidRPr="00913168" w:rsidRDefault="00B600FA">
      <w:pPr>
        <w:tabs>
          <w:tab w:val="left" w:pos="4680"/>
        </w:tabs>
        <w:rPr>
          <w:rFonts w:eastAsia="Times New Roman" w:cs="Arial"/>
        </w:rPr>
      </w:pPr>
      <w:r w:rsidRPr="00913168">
        <w:rPr>
          <w:rFonts w:eastAsia="Times New Roman" w:cs="Arial"/>
        </w:rPr>
        <w:t xml:space="preserve">In the Matter of the Application of </w:t>
      </w:r>
      <w:r w:rsidRPr="00913168">
        <w:rPr>
          <w:rFonts w:eastAsia="Times New Roman" w:cs="Arial"/>
        </w:rPr>
        <w:tab/>
        <w:t>)</w:t>
      </w:r>
    </w:p>
    <w:p w:rsidR="00443CC9" w:rsidRPr="00913168" w:rsidRDefault="00B600FA">
      <w:pPr>
        <w:tabs>
          <w:tab w:val="left" w:pos="4680"/>
        </w:tabs>
        <w:rPr>
          <w:rFonts w:eastAsia="Times New Roman" w:cs="Arial"/>
        </w:rPr>
      </w:pPr>
      <w:r w:rsidRPr="00913168">
        <w:rPr>
          <w:rFonts w:eastAsia="Times New Roman" w:cs="Arial"/>
        </w:rPr>
        <w:t xml:space="preserve">The Dayton Power and Light Company </w:t>
      </w:r>
      <w:r w:rsidRPr="00913168">
        <w:rPr>
          <w:rFonts w:eastAsia="Times New Roman" w:cs="Arial"/>
        </w:rPr>
        <w:tab/>
        <w:t>)</w:t>
      </w:r>
      <w:r w:rsidRPr="00913168">
        <w:rPr>
          <w:rFonts w:eastAsia="Times New Roman" w:cs="Arial"/>
        </w:rPr>
        <w:tab/>
      </w:r>
      <w:r w:rsidRPr="00913168">
        <w:rPr>
          <w:rFonts w:eastAsia="Times New Roman" w:cs="Arial"/>
        </w:rPr>
        <w:tab/>
        <w:t>Case No. 12-426-EL-SSO</w:t>
      </w:r>
    </w:p>
    <w:p w:rsidR="00443CC9" w:rsidRPr="00913168" w:rsidRDefault="00B600FA">
      <w:pPr>
        <w:tabs>
          <w:tab w:val="left" w:pos="4680"/>
          <w:tab w:val="left" w:pos="5400"/>
        </w:tabs>
        <w:rPr>
          <w:rFonts w:eastAsia="Times New Roman" w:cs="Arial"/>
        </w:rPr>
      </w:pPr>
      <w:r w:rsidRPr="00913168">
        <w:rPr>
          <w:rFonts w:eastAsia="Times New Roman" w:cs="Arial"/>
        </w:rPr>
        <w:t>for Approval of Its Market Rate Offer.</w:t>
      </w:r>
      <w:r w:rsidRPr="00913168">
        <w:rPr>
          <w:rFonts w:eastAsia="Times New Roman" w:cs="Arial"/>
        </w:rPr>
        <w:tab/>
        <w:t>)</w:t>
      </w:r>
    </w:p>
    <w:p w:rsidR="00443CC9" w:rsidRPr="00913168" w:rsidRDefault="00443CC9">
      <w:pPr>
        <w:tabs>
          <w:tab w:val="left" w:pos="4680"/>
          <w:tab w:val="left" w:pos="5400"/>
        </w:tabs>
        <w:rPr>
          <w:rFonts w:eastAsia="Times New Roman" w:cs="Arial"/>
        </w:rPr>
      </w:pPr>
    </w:p>
    <w:p w:rsidR="00443CC9" w:rsidRPr="00913168" w:rsidRDefault="00B600FA">
      <w:pPr>
        <w:tabs>
          <w:tab w:val="left" w:pos="4680"/>
          <w:tab w:val="left" w:pos="5400"/>
        </w:tabs>
        <w:rPr>
          <w:rFonts w:eastAsia="Times New Roman" w:cs="Arial"/>
        </w:rPr>
      </w:pPr>
      <w:r w:rsidRPr="00913168">
        <w:rPr>
          <w:rFonts w:eastAsia="Times New Roman" w:cs="Arial"/>
        </w:rPr>
        <w:t>In the Matter of the Application of</w:t>
      </w:r>
      <w:r w:rsidRPr="00913168">
        <w:rPr>
          <w:rFonts w:eastAsia="Times New Roman" w:cs="Arial"/>
        </w:rPr>
        <w:tab/>
        <w:t>)</w:t>
      </w:r>
    </w:p>
    <w:p w:rsidR="00443CC9" w:rsidRPr="00913168" w:rsidRDefault="00B600FA">
      <w:pPr>
        <w:tabs>
          <w:tab w:val="left" w:pos="4680"/>
        </w:tabs>
        <w:rPr>
          <w:rFonts w:eastAsia="Times New Roman" w:cs="Arial"/>
        </w:rPr>
      </w:pPr>
      <w:r w:rsidRPr="00913168">
        <w:rPr>
          <w:rFonts w:eastAsia="Times New Roman" w:cs="Arial"/>
        </w:rPr>
        <w:t>The Dayton Power and Light Company</w:t>
      </w:r>
      <w:r w:rsidRPr="00913168">
        <w:rPr>
          <w:rFonts w:eastAsia="Times New Roman" w:cs="Arial"/>
        </w:rPr>
        <w:tab/>
        <w:t>)</w:t>
      </w:r>
      <w:r w:rsidRPr="00913168">
        <w:rPr>
          <w:rFonts w:eastAsia="Times New Roman" w:cs="Arial"/>
        </w:rPr>
        <w:tab/>
      </w:r>
      <w:r w:rsidRPr="00913168">
        <w:rPr>
          <w:rFonts w:eastAsia="Times New Roman" w:cs="Arial"/>
        </w:rPr>
        <w:tab/>
        <w:t>Case No. 12-427-EL-ATA</w:t>
      </w:r>
    </w:p>
    <w:p w:rsidR="00443CC9" w:rsidRPr="00913168" w:rsidRDefault="00B600FA">
      <w:pPr>
        <w:tabs>
          <w:tab w:val="left" w:pos="4680"/>
        </w:tabs>
        <w:rPr>
          <w:rFonts w:eastAsia="Times New Roman" w:cs="Arial"/>
        </w:rPr>
      </w:pPr>
      <w:r w:rsidRPr="00913168">
        <w:rPr>
          <w:rFonts w:eastAsia="Times New Roman" w:cs="Arial"/>
        </w:rPr>
        <w:t>for Approval of Revised Tariffs.</w:t>
      </w:r>
      <w:r w:rsidRPr="00913168">
        <w:rPr>
          <w:rFonts w:eastAsia="Times New Roman" w:cs="Arial"/>
        </w:rPr>
        <w:tab/>
        <w:t>)</w:t>
      </w:r>
    </w:p>
    <w:p w:rsidR="00443CC9" w:rsidRPr="00913168" w:rsidRDefault="00443CC9">
      <w:pPr>
        <w:tabs>
          <w:tab w:val="left" w:pos="5040"/>
        </w:tabs>
        <w:rPr>
          <w:rFonts w:eastAsia="Times New Roman" w:cs="Arial"/>
        </w:rPr>
      </w:pPr>
    </w:p>
    <w:p w:rsidR="00443CC9" w:rsidRPr="00913168" w:rsidRDefault="00B600FA">
      <w:pPr>
        <w:tabs>
          <w:tab w:val="left" w:pos="4680"/>
        </w:tabs>
        <w:rPr>
          <w:rFonts w:eastAsia="Times New Roman" w:cs="Arial"/>
        </w:rPr>
      </w:pPr>
      <w:r w:rsidRPr="00913168">
        <w:rPr>
          <w:rFonts w:eastAsia="Times New Roman" w:cs="Arial"/>
        </w:rPr>
        <w:t>In the Matter of the Application of</w:t>
      </w:r>
      <w:r w:rsidRPr="00913168">
        <w:rPr>
          <w:rFonts w:eastAsia="Times New Roman" w:cs="Arial"/>
        </w:rPr>
        <w:tab/>
        <w:t>)</w:t>
      </w:r>
    </w:p>
    <w:p w:rsidR="00443CC9" w:rsidRPr="00913168" w:rsidRDefault="00B600FA">
      <w:pPr>
        <w:tabs>
          <w:tab w:val="left" w:pos="4680"/>
          <w:tab w:val="left" w:pos="5400"/>
        </w:tabs>
        <w:rPr>
          <w:rFonts w:eastAsia="Times New Roman" w:cs="Arial"/>
        </w:rPr>
      </w:pPr>
      <w:r w:rsidRPr="00913168">
        <w:rPr>
          <w:rFonts w:eastAsia="Times New Roman" w:cs="Arial"/>
        </w:rPr>
        <w:t>The Dayton Power and Light Company</w:t>
      </w:r>
      <w:r w:rsidRPr="00913168">
        <w:rPr>
          <w:rFonts w:eastAsia="Times New Roman" w:cs="Arial"/>
        </w:rPr>
        <w:tab/>
        <w:t>)</w:t>
      </w:r>
      <w:r w:rsidRPr="00913168">
        <w:rPr>
          <w:rFonts w:eastAsia="Times New Roman" w:cs="Arial"/>
        </w:rPr>
        <w:tab/>
      </w:r>
      <w:r w:rsidRPr="00913168">
        <w:rPr>
          <w:rFonts w:eastAsia="Times New Roman" w:cs="Arial"/>
        </w:rPr>
        <w:tab/>
        <w:t>Case No. 12-428-EL-AAM</w:t>
      </w:r>
    </w:p>
    <w:p w:rsidR="00443CC9" w:rsidRPr="00913168" w:rsidRDefault="00B600FA">
      <w:pPr>
        <w:tabs>
          <w:tab w:val="left" w:pos="4680"/>
          <w:tab w:val="left" w:pos="5400"/>
        </w:tabs>
        <w:rPr>
          <w:rFonts w:eastAsia="Times New Roman" w:cs="Arial"/>
        </w:rPr>
      </w:pPr>
      <w:r w:rsidRPr="00913168">
        <w:rPr>
          <w:rFonts w:eastAsia="Times New Roman" w:cs="Arial"/>
        </w:rPr>
        <w:t xml:space="preserve">for Approval of Certain Accounting </w:t>
      </w:r>
      <w:r w:rsidRPr="00913168">
        <w:rPr>
          <w:rFonts w:eastAsia="Times New Roman" w:cs="Arial"/>
        </w:rPr>
        <w:tab/>
        <w:t>)</w:t>
      </w:r>
    </w:p>
    <w:p w:rsidR="00443CC9" w:rsidRPr="00913168" w:rsidRDefault="00B600FA">
      <w:pPr>
        <w:tabs>
          <w:tab w:val="left" w:pos="4680"/>
        </w:tabs>
        <w:rPr>
          <w:rFonts w:eastAsia="Times New Roman" w:cs="Arial"/>
        </w:rPr>
      </w:pPr>
      <w:r w:rsidRPr="00913168">
        <w:rPr>
          <w:rFonts w:eastAsia="Times New Roman" w:cs="Arial"/>
        </w:rPr>
        <w:t>Authority.</w:t>
      </w:r>
      <w:r w:rsidRPr="00913168">
        <w:rPr>
          <w:rFonts w:eastAsia="Times New Roman" w:cs="Arial"/>
        </w:rPr>
        <w:tab/>
        <w:t>)</w:t>
      </w:r>
    </w:p>
    <w:p w:rsidR="00443CC9" w:rsidRPr="00913168" w:rsidRDefault="00443CC9">
      <w:pPr>
        <w:tabs>
          <w:tab w:val="left" w:pos="4680"/>
        </w:tabs>
        <w:rPr>
          <w:rFonts w:eastAsia="Times New Roman" w:cs="Arial"/>
        </w:rPr>
      </w:pPr>
    </w:p>
    <w:p w:rsidR="00443CC9" w:rsidRPr="00913168" w:rsidRDefault="00B600FA">
      <w:pPr>
        <w:tabs>
          <w:tab w:val="left" w:pos="4680"/>
        </w:tabs>
        <w:rPr>
          <w:rFonts w:eastAsia="Times New Roman" w:cs="Arial"/>
        </w:rPr>
      </w:pPr>
      <w:r w:rsidRPr="00913168">
        <w:rPr>
          <w:rFonts w:eastAsia="Times New Roman" w:cs="Arial"/>
        </w:rPr>
        <w:t>In the Matter of the Application of</w:t>
      </w:r>
      <w:r w:rsidRPr="00913168">
        <w:rPr>
          <w:rFonts w:eastAsia="Times New Roman" w:cs="Arial"/>
        </w:rPr>
        <w:tab/>
        <w:t>)</w:t>
      </w:r>
    </w:p>
    <w:p w:rsidR="00443CC9" w:rsidRPr="00913168" w:rsidRDefault="00B600FA">
      <w:pPr>
        <w:tabs>
          <w:tab w:val="left" w:pos="4680"/>
          <w:tab w:val="left" w:pos="5400"/>
        </w:tabs>
        <w:rPr>
          <w:rFonts w:eastAsia="Times New Roman" w:cs="Arial"/>
        </w:rPr>
      </w:pPr>
      <w:r w:rsidRPr="00913168">
        <w:rPr>
          <w:rFonts w:eastAsia="Times New Roman" w:cs="Arial"/>
        </w:rPr>
        <w:t>The Dayton Power and Light Company</w:t>
      </w:r>
      <w:r w:rsidRPr="00913168">
        <w:rPr>
          <w:rFonts w:eastAsia="Times New Roman" w:cs="Arial"/>
        </w:rPr>
        <w:tab/>
        <w:t>)</w:t>
      </w:r>
      <w:r w:rsidRPr="00913168">
        <w:rPr>
          <w:rFonts w:eastAsia="Times New Roman" w:cs="Arial"/>
        </w:rPr>
        <w:tab/>
      </w:r>
      <w:r w:rsidRPr="00913168">
        <w:rPr>
          <w:rFonts w:eastAsia="Times New Roman" w:cs="Arial"/>
        </w:rPr>
        <w:tab/>
        <w:t>Case No. 12-429-EL-WVR</w:t>
      </w:r>
    </w:p>
    <w:p w:rsidR="00443CC9" w:rsidRPr="00913168" w:rsidRDefault="00B600FA">
      <w:pPr>
        <w:tabs>
          <w:tab w:val="left" w:pos="4680"/>
          <w:tab w:val="left" w:pos="5400"/>
        </w:tabs>
        <w:rPr>
          <w:rFonts w:eastAsia="Times New Roman" w:cs="Arial"/>
        </w:rPr>
      </w:pPr>
      <w:r w:rsidRPr="00913168">
        <w:rPr>
          <w:rFonts w:eastAsia="Times New Roman" w:cs="Arial"/>
        </w:rPr>
        <w:t>for Waiver of Certain Commission Rules.</w:t>
      </w:r>
      <w:r w:rsidRPr="00913168">
        <w:rPr>
          <w:rFonts w:eastAsia="Times New Roman" w:cs="Arial"/>
        </w:rPr>
        <w:tab/>
        <w:t>)</w:t>
      </w:r>
    </w:p>
    <w:p w:rsidR="00443CC9" w:rsidRPr="00913168" w:rsidRDefault="00443CC9">
      <w:pPr>
        <w:tabs>
          <w:tab w:val="left" w:pos="4680"/>
          <w:tab w:val="left" w:pos="5400"/>
        </w:tabs>
        <w:rPr>
          <w:rFonts w:eastAsia="Times New Roman" w:cs="Arial"/>
        </w:rPr>
      </w:pPr>
    </w:p>
    <w:p w:rsidR="00443CC9" w:rsidRPr="00913168" w:rsidRDefault="00B600FA">
      <w:pPr>
        <w:tabs>
          <w:tab w:val="left" w:pos="4680"/>
          <w:tab w:val="left" w:pos="5400"/>
        </w:tabs>
        <w:rPr>
          <w:rFonts w:eastAsia="Times New Roman" w:cs="Arial"/>
        </w:rPr>
      </w:pPr>
      <w:r w:rsidRPr="00913168">
        <w:rPr>
          <w:rFonts w:eastAsia="Times New Roman" w:cs="Arial"/>
        </w:rPr>
        <w:t>In the Matter of the Application of</w:t>
      </w:r>
      <w:r w:rsidRPr="00913168">
        <w:rPr>
          <w:rFonts w:eastAsia="Times New Roman" w:cs="Arial"/>
        </w:rPr>
        <w:tab/>
        <w:t>)</w:t>
      </w:r>
    </w:p>
    <w:p w:rsidR="00443CC9" w:rsidRPr="00913168" w:rsidRDefault="00B600FA">
      <w:pPr>
        <w:tabs>
          <w:tab w:val="left" w:pos="4680"/>
        </w:tabs>
        <w:rPr>
          <w:rFonts w:eastAsia="Times New Roman" w:cs="Arial"/>
        </w:rPr>
      </w:pPr>
      <w:r w:rsidRPr="00913168">
        <w:rPr>
          <w:rFonts w:eastAsia="Times New Roman" w:cs="Arial"/>
        </w:rPr>
        <w:t>The Dayton Power and Light Company</w:t>
      </w:r>
      <w:r w:rsidRPr="00913168">
        <w:rPr>
          <w:rFonts w:eastAsia="Times New Roman" w:cs="Arial"/>
        </w:rPr>
        <w:tab/>
        <w:t>)</w:t>
      </w:r>
      <w:r w:rsidRPr="00913168">
        <w:rPr>
          <w:rFonts w:eastAsia="Times New Roman" w:cs="Arial"/>
        </w:rPr>
        <w:tab/>
      </w:r>
      <w:r w:rsidRPr="00913168">
        <w:rPr>
          <w:rFonts w:eastAsia="Times New Roman" w:cs="Arial"/>
        </w:rPr>
        <w:tab/>
        <w:t>Case No. 12-672-EL-RDR</w:t>
      </w:r>
    </w:p>
    <w:p w:rsidR="00443CC9" w:rsidRPr="00913168" w:rsidRDefault="00B600FA">
      <w:pPr>
        <w:tabs>
          <w:tab w:val="left" w:pos="4680"/>
        </w:tabs>
        <w:rPr>
          <w:rFonts w:eastAsia="Times New Roman" w:cs="Arial"/>
        </w:rPr>
      </w:pPr>
      <w:r w:rsidRPr="00913168">
        <w:rPr>
          <w:rFonts w:eastAsia="Times New Roman" w:cs="Arial"/>
        </w:rPr>
        <w:t>to Establish Tariff Riders.</w:t>
      </w:r>
      <w:r w:rsidRPr="00913168">
        <w:rPr>
          <w:rFonts w:eastAsia="Times New Roman" w:cs="Arial"/>
        </w:rPr>
        <w:tab/>
        <w:t>)</w:t>
      </w:r>
    </w:p>
    <w:p w:rsidR="00443CC9" w:rsidRDefault="00443CC9">
      <w:pPr>
        <w:jc w:val="center"/>
      </w:pPr>
    </w:p>
    <w:p w:rsidR="00913168" w:rsidRPr="00913168" w:rsidRDefault="00913168" w:rsidP="00913168">
      <w:pPr>
        <w:pBdr>
          <w:top w:val="single" w:sz="8" w:space="1" w:color="auto"/>
        </w:pBdr>
        <w:jc w:val="center"/>
        <w:rPr>
          <w:rFonts w:ascii="Arial Bold" w:hAnsi="Arial Bold"/>
          <w:b/>
          <w:smallCaps/>
          <w:sz w:val="26"/>
          <w:szCs w:val="26"/>
        </w:rPr>
      </w:pPr>
      <w:r w:rsidRPr="00913168">
        <w:rPr>
          <w:rFonts w:ascii="Arial Bold" w:hAnsi="Arial Bold"/>
          <w:b/>
          <w:smallCaps/>
          <w:sz w:val="26"/>
          <w:szCs w:val="26"/>
        </w:rPr>
        <w:t>Motion to Take Administrative Notice or in the Alternative to</w:t>
      </w:r>
    </w:p>
    <w:p w:rsidR="00913168" w:rsidRDefault="00913168">
      <w:pPr>
        <w:jc w:val="center"/>
        <w:rPr>
          <w:rFonts w:ascii="Arial Bold" w:hAnsi="Arial Bold"/>
          <w:b/>
          <w:smallCaps/>
          <w:sz w:val="26"/>
          <w:szCs w:val="26"/>
        </w:rPr>
      </w:pPr>
      <w:r w:rsidRPr="00913168">
        <w:rPr>
          <w:rFonts w:ascii="Arial Bold" w:hAnsi="Arial Bold"/>
          <w:b/>
          <w:smallCaps/>
          <w:sz w:val="26"/>
          <w:szCs w:val="26"/>
        </w:rPr>
        <w:t>Reopen this Proceeding or in the Alternative to Supplement the Record</w:t>
      </w:r>
    </w:p>
    <w:p w:rsidR="00913168" w:rsidRPr="00913168" w:rsidRDefault="00913168">
      <w:pPr>
        <w:jc w:val="center"/>
        <w:rPr>
          <w:rFonts w:ascii="Arial Bold" w:hAnsi="Arial Bold"/>
          <w:b/>
          <w:smallCaps/>
          <w:sz w:val="26"/>
          <w:szCs w:val="26"/>
        </w:rPr>
      </w:pPr>
      <w:r w:rsidRPr="00913168">
        <w:rPr>
          <w:rFonts w:ascii="Arial Bold" w:hAnsi="Arial Bold"/>
          <w:b/>
          <w:smallCaps/>
          <w:sz w:val="26"/>
          <w:szCs w:val="26"/>
        </w:rPr>
        <w:t>and</w:t>
      </w:r>
      <w:r>
        <w:rPr>
          <w:rFonts w:ascii="Arial Bold" w:hAnsi="Arial Bold"/>
          <w:b/>
          <w:smallCaps/>
          <w:sz w:val="26"/>
          <w:szCs w:val="26"/>
        </w:rPr>
        <w:t xml:space="preserve"> </w:t>
      </w:r>
      <w:r w:rsidRPr="00913168">
        <w:rPr>
          <w:rFonts w:ascii="Arial Bold" w:hAnsi="Arial Bold"/>
          <w:b/>
          <w:smallCaps/>
          <w:sz w:val="26"/>
          <w:szCs w:val="26"/>
        </w:rPr>
        <w:t>Request for Expedited Treatment and Memorandum in Support of</w:t>
      </w:r>
    </w:p>
    <w:p w:rsidR="00443CC9" w:rsidRPr="00913168" w:rsidRDefault="00913168" w:rsidP="00913168">
      <w:pPr>
        <w:pBdr>
          <w:bottom w:val="single" w:sz="8" w:space="1" w:color="auto"/>
        </w:pBdr>
        <w:jc w:val="center"/>
        <w:rPr>
          <w:rFonts w:ascii="Arial Bold" w:hAnsi="Arial Bold"/>
          <w:b/>
          <w:smallCaps/>
          <w:sz w:val="26"/>
          <w:szCs w:val="26"/>
        </w:rPr>
      </w:pPr>
      <w:r w:rsidRPr="00913168">
        <w:rPr>
          <w:rFonts w:ascii="Arial Bold" w:hAnsi="Arial Bold"/>
          <w:b/>
          <w:smallCaps/>
          <w:sz w:val="26"/>
          <w:szCs w:val="26"/>
        </w:rPr>
        <w:t>Industrial Energy Users-Ohio</w:t>
      </w:r>
    </w:p>
    <w:bookmarkEnd w:id="0"/>
    <w:bookmarkEnd w:id="1"/>
    <w:p w:rsidR="00913168" w:rsidRDefault="00913168" w:rsidP="00913168">
      <w:pPr>
        <w:tabs>
          <w:tab w:val="left" w:pos="-1350"/>
          <w:tab w:val="right" w:pos="8640"/>
        </w:tabs>
        <w:ind w:left="4320" w:hanging="180"/>
        <w:jc w:val="both"/>
        <w:rPr>
          <w:rFonts w:cs="Arial"/>
        </w:rPr>
      </w:pPr>
    </w:p>
    <w:p w:rsidR="00913168" w:rsidRDefault="00913168" w:rsidP="00913168">
      <w:pPr>
        <w:tabs>
          <w:tab w:val="left" w:pos="-1350"/>
          <w:tab w:val="right" w:pos="8640"/>
        </w:tabs>
        <w:ind w:left="4320" w:hanging="180"/>
        <w:jc w:val="both"/>
        <w:rPr>
          <w:rFonts w:cs="Arial"/>
        </w:rPr>
      </w:pPr>
    </w:p>
    <w:p w:rsidR="00913168" w:rsidRDefault="00913168" w:rsidP="00913168">
      <w:pPr>
        <w:tabs>
          <w:tab w:val="left" w:pos="-1350"/>
          <w:tab w:val="right" w:pos="8640"/>
        </w:tabs>
        <w:ind w:left="4320" w:hanging="180"/>
        <w:jc w:val="both"/>
        <w:rPr>
          <w:rFonts w:cs="Arial"/>
        </w:rPr>
      </w:pPr>
    </w:p>
    <w:p w:rsidR="00443CC9" w:rsidRDefault="00913168" w:rsidP="00913168">
      <w:pPr>
        <w:tabs>
          <w:tab w:val="left" w:pos="-1350"/>
          <w:tab w:val="right" w:pos="8640"/>
        </w:tabs>
        <w:ind w:left="4320" w:hanging="180"/>
        <w:jc w:val="both"/>
        <w:rPr>
          <w:rFonts w:cs="Arial"/>
          <w:b/>
          <w:bCs/>
        </w:rPr>
      </w:pPr>
      <w:r>
        <w:rPr>
          <w:rFonts w:cs="Arial"/>
        </w:rPr>
        <w:t xml:space="preserve">Samuel C. Randazzo </w:t>
      </w:r>
      <w:r w:rsidR="00B600FA">
        <w:rPr>
          <w:rFonts w:cs="Arial"/>
          <w:bCs/>
        </w:rPr>
        <w:t>(Counsel of Record)</w:t>
      </w:r>
    </w:p>
    <w:p w:rsidR="00443CC9" w:rsidRDefault="00B600FA">
      <w:pPr>
        <w:pStyle w:val="BodyText3"/>
        <w:widowControl w:val="0"/>
        <w:tabs>
          <w:tab w:val="left" w:pos="0"/>
        </w:tabs>
        <w:ind w:left="4140"/>
        <w:jc w:val="both"/>
        <w:rPr>
          <w:rFonts w:cs="Arial"/>
          <w:b w:val="0"/>
          <w:bCs/>
        </w:rPr>
      </w:pPr>
      <w:r>
        <w:rPr>
          <w:rFonts w:cs="Arial"/>
          <w:b w:val="0"/>
          <w:bCs/>
        </w:rPr>
        <w:t>Frank P. Darr</w:t>
      </w:r>
    </w:p>
    <w:p w:rsidR="00443CC9" w:rsidRDefault="00B600FA">
      <w:pPr>
        <w:pStyle w:val="BodyText3"/>
        <w:widowControl w:val="0"/>
        <w:tabs>
          <w:tab w:val="left" w:pos="0"/>
        </w:tabs>
        <w:ind w:left="4140"/>
        <w:jc w:val="both"/>
        <w:rPr>
          <w:rFonts w:cs="Arial"/>
          <w:b w:val="0"/>
          <w:bCs/>
        </w:rPr>
      </w:pPr>
      <w:r>
        <w:rPr>
          <w:rFonts w:cs="Arial"/>
          <w:b w:val="0"/>
          <w:bCs/>
        </w:rPr>
        <w:t>Joseph E. Oliker</w:t>
      </w:r>
    </w:p>
    <w:p w:rsidR="00443CC9" w:rsidRDefault="00B600FA">
      <w:pPr>
        <w:pStyle w:val="BodyText3"/>
        <w:widowControl w:val="0"/>
        <w:tabs>
          <w:tab w:val="left" w:pos="0"/>
        </w:tabs>
        <w:ind w:left="4140"/>
        <w:jc w:val="both"/>
        <w:rPr>
          <w:rFonts w:cs="Arial"/>
          <w:b w:val="0"/>
          <w:bCs/>
        </w:rPr>
      </w:pPr>
      <w:r>
        <w:rPr>
          <w:rFonts w:cs="Arial"/>
          <w:b w:val="0"/>
          <w:bCs/>
        </w:rPr>
        <w:t>Matthew R. Pritchard</w:t>
      </w:r>
    </w:p>
    <w:p w:rsidR="00443CC9" w:rsidRDefault="00B600FA">
      <w:pPr>
        <w:pStyle w:val="BodyText3"/>
        <w:widowControl w:val="0"/>
        <w:tabs>
          <w:tab w:val="left" w:pos="0"/>
        </w:tabs>
        <w:ind w:left="4140"/>
        <w:jc w:val="both"/>
        <w:rPr>
          <w:rFonts w:cs="Arial"/>
          <w:b w:val="0"/>
          <w:bCs/>
          <w:smallCaps/>
          <w:szCs w:val="24"/>
        </w:rPr>
      </w:pPr>
      <w:r>
        <w:rPr>
          <w:rFonts w:cs="Arial"/>
          <w:b w:val="0"/>
          <w:bCs/>
          <w:smallCaps/>
          <w:szCs w:val="24"/>
        </w:rPr>
        <w:t>McNees Wallace &amp; Nurick LLC</w:t>
      </w:r>
    </w:p>
    <w:p w:rsidR="00443CC9" w:rsidRDefault="00B600FA">
      <w:pPr>
        <w:pStyle w:val="BodyText3"/>
        <w:widowControl w:val="0"/>
        <w:tabs>
          <w:tab w:val="left" w:pos="0"/>
        </w:tabs>
        <w:ind w:left="4140"/>
        <w:jc w:val="both"/>
        <w:rPr>
          <w:rFonts w:cs="Arial"/>
          <w:b w:val="0"/>
          <w:bCs/>
        </w:rPr>
      </w:pPr>
      <w:r>
        <w:rPr>
          <w:rFonts w:cs="Arial"/>
          <w:b w:val="0"/>
          <w:bCs/>
        </w:rPr>
        <w:t>21 East State Street, 17</w:t>
      </w:r>
      <w:r>
        <w:rPr>
          <w:rFonts w:cs="Arial"/>
          <w:b w:val="0"/>
          <w:bCs/>
          <w:vertAlign w:val="superscript"/>
        </w:rPr>
        <w:t>TH</w:t>
      </w:r>
      <w:r>
        <w:rPr>
          <w:rFonts w:cs="Arial"/>
          <w:b w:val="0"/>
          <w:bCs/>
        </w:rPr>
        <w:t xml:space="preserve"> Floor</w:t>
      </w:r>
    </w:p>
    <w:p w:rsidR="00443CC9" w:rsidRDefault="00B600FA">
      <w:pPr>
        <w:pStyle w:val="BodyText"/>
        <w:tabs>
          <w:tab w:val="left" w:pos="0"/>
        </w:tabs>
        <w:ind w:left="4140"/>
      </w:pPr>
      <w:r>
        <w:t>Columbus, OH  43215</w:t>
      </w:r>
    </w:p>
    <w:p w:rsidR="00443CC9" w:rsidRDefault="00B600FA">
      <w:pPr>
        <w:pStyle w:val="BodyText"/>
        <w:tabs>
          <w:tab w:val="left" w:pos="0"/>
        </w:tabs>
        <w:ind w:left="4140"/>
      </w:pPr>
      <w:r>
        <w:t>Telephone:  (614) 469-8000</w:t>
      </w:r>
    </w:p>
    <w:p w:rsidR="00443CC9" w:rsidRDefault="00B600FA">
      <w:pPr>
        <w:pStyle w:val="BodyText"/>
        <w:tabs>
          <w:tab w:val="left" w:pos="0"/>
        </w:tabs>
        <w:ind w:left="4140"/>
      </w:pPr>
      <w:r>
        <w:t>Telecopier:  (614) 469-4653</w:t>
      </w:r>
    </w:p>
    <w:p w:rsidR="00443CC9" w:rsidRDefault="00B600FA">
      <w:pPr>
        <w:pStyle w:val="BodyText"/>
        <w:tabs>
          <w:tab w:val="left" w:pos="0"/>
        </w:tabs>
        <w:ind w:left="4140"/>
      </w:pPr>
      <w:r>
        <w:t>sam@mwncmh.com</w:t>
      </w:r>
    </w:p>
    <w:p w:rsidR="00443CC9" w:rsidRDefault="00B600FA">
      <w:pPr>
        <w:pStyle w:val="BodyText"/>
        <w:tabs>
          <w:tab w:val="left" w:pos="0"/>
        </w:tabs>
        <w:ind w:left="4140"/>
      </w:pPr>
      <w:r>
        <w:t>fdarr@mwncmh.com</w:t>
      </w:r>
    </w:p>
    <w:p w:rsidR="00443CC9" w:rsidRDefault="00B600FA">
      <w:pPr>
        <w:pStyle w:val="BodyText"/>
        <w:tabs>
          <w:tab w:val="left" w:pos="0"/>
        </w:tabs>
        <w:ind w:left="4140"/>
      </w:pPr>
      <w:r>
        <w:t>joliker@mwncmh.com</w:t>
      </w:r>
    </w:p>
    <w:p w:rsidR="00443CC9" w:rsidRDefault="00B600FA">
      <w:pPr>
        <w:pStyle w:val="BodyText"/>
        <w:tabs>
          <w:tab w:val="left" w:pos="0"/>
        </w:tabs>
        <w:ind w:left="4140"/>
      </w:pPr>
      <w:r>
        <w:t>mpritchard@mwncmh.com</w:t>
      </w:r>
    </w:p>
    <w:p w:rsidR="00443CC9" w:rsidRDefault="00443CC9">
      <w:pPr>
        <w:pStyle w:val="BodyText"/>
        <w:tabs>
          <w:tab w:val="left" w:pos="0"/>
        </w:tabs>
      </w:pPr>
    </w:p>
    <w:p w:rsidR="00913168" w:rsidRDefault="00913168">
      <w:pPr>
        <w:autoSpaceDE w:val="0"/>
        <w:autoSpaceDN w:val="0"/>
        <w:adjustRightInd w:val="0"/>
        <w:ind w:left="4140" w:hanging="4140"/>
        <w:rPr>
          <w:rFonts w:cs="Arial"/>
          <w:b/>
          <w:smallCaps/>
        </w:rPr>
        <w:sectPr w:rsidR="00913168">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NumType w:start="1"/>
          <w:cols w:space="720"/>
          <w:noEndnote/>
          <w:titlePg/>
          <w:docGrid w:linePitch="326"/>
        </w:sectPr>
      </w:pPr>
      <w:r w:rsidRPr="00913168">
        <w:rPr>
          <w:rFonts w:ascii="Arial Bold" w:hAnsi="Arial Bold" w:cs="Arial"/>
          <w:b/>
          <w:smallCaps/>
        </w:rPr>
        <w:t>May 20</w:t>
      </w:r>
      <w:r w:rsidR="00B600FA" w:rsidRPr="00913168">
        <w:rPr>
          <w:rFonts w:ascii="Arial Bold" w:hAnsi="Arial Bold" w:cs="Arial"/>
          <w:b/>
          <w:smallCaps/>
        </w:rPr>
        <w:t>, 2013</w:t>
      </w:r>
      <w:r w:rsidR="00B600FA">
        <w:rPr>
          <w:rFonts w:cs="Arial"/>
          <w:b/>
        </w:rPr>
        <w:tab/>
      </w:r>
      <w:r w:rsidR="00B600FA">
        <w:rPr>
          <w:rFonts w:cs="Arial"/>
          <w:b/>
          <w:smallCaps/>
        </w:rPr>
        <w:t>Attorneys for Industrial Energy Users-Ohio</w:t>
      </w:r>
    </w:p>
    <w:p w:rsidR="00443CC9" w:rsidRDefault="00443CC9">
      <w:pPr>
        <w:autoSpaceDE w:val="0"/>
        <w:autoSpaceDN w:val="0"/>
        <w:adjustRightInd w:val="0"/>
        <w:ind w:left="4140" w:hanging="4140"/>
        <w:rPr>
          <w:rFonts w:cs="Arial"/>
          <w:b/>
          <w:smallCaps/>
        </w:rPr>
      </w:pPr>
    </w:p>
    <w:p w:rsidR="00443CC9" w:rsidRDefault="00B600FA">
      <w:pPr>
        <w:jc w:val="center"/>
        <w:rPr>
          <w:rFonts w:eastAsiaTheme="minorEastAsia" w:cs="Arial"/>
          <w:b/>
          <w:smallCaps/>
          <w:szCs w:val="20"/>
        </w:rPr>
      </w:pPr>
      <w:r>
        <w:rPr>
          <w:rFonts w:eastAsiaTheme="minorEastAsia" w:cs="Arial"/>
          <w:b/>
          <w:smallCaps/>
          <w:szCs w:val="20"/>
        </w:rPr>
        <w:t>Before</w:t>
      </w:r>
    </w:p>
    <w:p w:rsidR="00443CC9" w:rsidRDefault="00B600FA">
      <w:pPr>
        <w:jc w:val="center"/>
        <w:rPr>
          <w:rFonts w:eastAsiaTheme="minorEastAsia" w:cs="Arial"/>
          <w:b/>
          <w:smallCaps/>
        </w:rPr>
      </w:pPr>
      <w:r>
        <w:rPr>
          <w:rFonts w:eastAsiaTheme="minorEastAsia" w:cs="Arial"/>
          <w:b/>
          <w:smallCaps/>
        </w:rPr>
        <w:t>The Public Utilities Commission of Ohio</w:t>
      </w:r>
    </w:p>
    <w:p w:rsidR="00443CC9" w:rsidRDefault="00443CC9">
      <w:pPr>
        <w:jc w:val="center"/>
        <w:rPr>
          <w:rFonts w:eastAsiaTheme="minorEastAsia" w:cs="Arial"/>
          <w:b/>
          <w:smallCaps/>
        </w:rPr>
      </w:pPr>
    </w:p>
    <w:p w:rsidR="00443CC9" w:rsidRDefault="00B600FA">
      <w:pPr>
        <w:tabs>
          <w:tab w:val="left" w:pos="4680"/>
        </w:tabs>
        <w:rPr>
          <w:rFonts w:eastAsia="Times New Roman" w:cs="Arial"/>
        </w:rPr>
      </w:pPr>
      <w:r>
        <w:rPr>
          <w:rFonts w:eastAsia="Times New Roman" w:cs="Arial"/>
        </w:rPr>
        <w:t xml:space="preserve">In the Matter of the Application of </w:t>
      </w:r>
      <w:r>
        <w:rPr>
          <w:rFonts w:eastAsia="Times New Roman" w:cs="Arial"/>
        </w:rPr>
        <w:tab/>
        <w:t>)</w:t>
      </w:r>
    </w:p>
    <w:p w:rsidR="00443CC9" w:rsidRDefault="00B600FA">
      <w:pPr>
        <w:tabs>
          <w:tab w:val="left" w:pos="4680"/>
        </w:tabs>
        <w:rPr>
          <w:rFonts w:eastAsia="Times New Roman" w:cs="Arial"/>
        </w:rPr>
      </w:pPr>
      <w:r>
        <w:rPr>
          <w:rFonts w:eastAsia="Times New Roman" w:cs="Arial"/>
        </w:rPr>
        <w:t xml:space="preserve">The Dayton Power and Light Company </w:t>
      </w:r>
      <w:r>
        <w:rPr>
          <w:rFonts w:eastAsia="Times New Roman" w:cs="Arial"/>
        </w:rPr>
        <w:tab/>
        <w:t>)</w:t>
      </w:r>
      <w:r>
        <w:rPr>
          <w:rFonts w:eastAsia="Times New Roman" w:cs="Arial"/>
        </w:rPr>
        <w:tab/>
      </w:r>
      <w:r>
        <w:rPr>
          <w:rFonts w:eastAsia="Times New Roman" w:cs="Arial"/>
        </w:rPr>
        <w:tab/>
        <w:t>Case No. 12-426-EL-SSO</w:t>
      </w:r>
    </w:p>
    <w:p w:rsidR="00443CC9" w:rsidRDefault="00B600FA">
      <w:pPr>
        <w:tabs>
          <w:tab w:val="left" w:pos="4680"/>
          <w:tab w:val="left" w:pos="5400"/>
        </w:tabs>
        <w:rPr>
          <w:rFonts w:eastAsia="Times New Roman" w:cs="Arial"/>
        </w:rPr>
      </w:pPr>
      <w:r>
        <w:rPr>
          <w:rFonts w:eastAsia="Times New Roman" w:cs="Arial"/>
        </w:rPr>
        <w:t>for Approval of Its Market Rate Offer.</w:t>
      </w:r>
      <w:r>
        <w:rPr>
          <w:rFonts w:eastAsia="Times New Roman" w:cs="Arial"/>
        </w:rPr>
        <w:tab/>
        <w:t>)</w:t>
      </w:r>
    </w:p>
    <w:p w:rsidR="00443CC9" w:rsidRDefault="00443CC9">
      <w:pPr>
        <w:tabs>
          <w:tab w:val="left" w:pos="4680"/>
          <w:tab w:val="left" w:pos="5400"/>
        </w:tabs>
        <w:rPr>
          <w:rFonts w:eastAsia="Times New Roman" w:cs="Arial"/>
        </w:rPr>
      </w:pPr>
    </w:p>
    <w:p w:rsidR="00443CC9" w:rsidRDefault="00B600FA">
      <w:pPr>
        <w:tabs>
          <w:tab w:val="left" w:pos="4680"/>
          <w:tab w:val="left" w:pos="5400"/>
        </w:tabs>
        <w:rPr>
          <w:rFonts w:eastAsia="Times New Roman" w:cs="Arial"/>
        </w:rPr>
      </w:pPr>
      <w:r>
        <w:rPr>
          <w:rFonts w:eastAsia="Times New Roman" w:cs="Arial"/>
        </w:rPr>
        <w:t>In the Matter of the Application of</w:t>
      </w:r>
      <w:r>
        <w:rPr>
          <w:rFonts w:eastAsia="Times New Roman" w:cs="Arial"/>
        </w:rPr>
        <w:tab/>
        <w:t>)</w:t>
      </w:r>
    </w:p>
    <w:p w:rsidR="00443CC9" w:rsidRDefault="00B600FA">
      <w:pPr>
        <w:tabs>
          <w:tab w:val="left" w:pos="4680"/>
        </w:tabs>
        <w:rPr>
          <w:rFonts w:eastAsia="Times New Roman" w:cs="Arial"/>
        </w:rPr>
      </w:pPr>
      <w:r>
        <w:rPr>
          <w:rFonts w:eastAsia="Times New Roman" w:cs="Arial"/>
        </w:rPr>
        <w:t>The Dayton Power and Light Company</w:t>
      </w:r>
      <w:r>
        <w:rPr>
          <w:rFonts w:eastAsia="Times New Roman" w:cs="Arial"/>
        </w:rPr>
        <w:tab/>
        <w:t>)</w:t>
      </w:r>
      <w:r>
        <w:rPr>
          <w:rFonts w:eastAsia="Times New Roman" w:cs="Arial"/>
        </w:rPr>
        <w:tab/>
      </w:r>
      <w:r>
        <w:rPr>
          <w:rFonts w:eastAsia="Times New Roman" w:cs="Arial"/>
        </w:rPr>
        <w:tab/>
        <w:t>Case No. 12-427-EL-ATA</w:t>
      </w:r>
    </w:p>
    <w:p w:rsidR="00443CC9" w:rsidRDefault="00B600FA">
      <w:pPr>
        <w:tabs>
          <w:tab w:val="left" w:pos="4680"/>
        </w:tabs>
        <w:rPr>
          <w:rFonts w:eastAsia="Times New Roman" w:cs="Arial"/>
        </w:rPr>
      </w:pPr>
      <w:r>
        <w:rPr>
          <w:rFonts w:eastAsia="Times New Roman" w:cs="Arial"/>
        </w:rPr>
        <w:t>for Approval of Revised Tariffs.</w:t>
      </w:r>
      <w:r>
        <w:rPr>
          <w:rFonts w:eastAsia="Times New Roman" w:cs="Arial"/>
        </w:rPr>
        <w:tab/>
        <w:t>)</w:t>
      </w:r>
    </w:p>
    <w:p w:rsidR="00443CC9" w:rsidRDefault="00443CC9">
      <w:pPr>
        <w:tabs>
          <w:tab w:val="left" w:pos="5040"/>
        </w:tabs>
        <w:rPr>
          <w:rFonts w:eastAsia="Times New Roman" w:cs="Arial"/>
        </w:rPr>
      </w:pPr>
    </w:p>
    <w:p w:rsidR="00443CC9" w:rsidRDefault="00B600FA">
      <w:pPr>
        <w:tabs>
          <w:tab w:val="left" w:pos="4680"/>
        </w:tabs>
        <w:rPr>
          <w:rFonts w:eastAsia="Times New Roman" w:cs="Arial"/>
        </w:rPr>
      </w:pPr>
      <w:r>
        <w:rPr>
          <w:rFonts w:eastAsia="Times New Roman" w:cs="Arial"/>
        </w:rPr>
        <w:t>In the Matter of the Application of</w:t>
      </w:r>
      <w:r>
        <w:rPr>
          <w:rFonts w:eastAsia="Times New Roman" w:cs="Arial"/>
        </w:rPr>
        <w:tab/>
        <w:t>)</w:t>
      </w:r>
    </w:p>
    <w:p w:rsidR="00443CC9" w:rsidRDefault="00B600FA">
      <w:pPr>
        <w:tabs>
          <w:tab w:val="left" w:pos="4680"/>
          <w:tab w:val="left" w:pos="5400"/>
        </w:tabs>
        <w:rPr>
          <w:rFonts w:eastAsia="Times New Roman" w:cs="Arial"/>
        </w:rPr>
      </w:pPr>
      <w:r>
        <w:rPr>
          <w:rFonts w:eastAsia="Times New Roman" w:cs="Arial"/>
        </w:rPr>
        <w:t>The Dayton Power and Light Company</w:t>
      </w:r>
      <w:r>
        <w:rPr>
          <w:rFonts w:eastAsia="Times New Roman" w:cs="Arial"/>
        </w:rPr>
        <w:tab/>
        <w:t>)</w:t>
      </w:r>
      <w:r>
        <w:rPr>
          <w:rFonts w:eastAsia="Times New Roman" w:cs="Arial"/>
        </w:rPr>
        <w:tab/>
      </w:r>
      <w:r>
        <w:rPr>
          <w:rFonts w:eastAsia="Times New Roman" w:cs="Arial"/>
        </w:rPr>
        <w:tab/>
        <w:t>Case No. 12-428-EL-AAM</w:t>
      </w:r>
    </w:p>
    <w:p w:rsidR="00443CC9" w:rsidRDefault="00B600FA">
      <w:pPr>
        <w:tabs>
          <w:tab w:val="left" w:pos="4680"/>
          <w:tab w:val="left" w:pos="5400"/>
        </w:tabs>
        <w:rPr>
          <w:rFonts w:eastAsia="Times New Roman" w:cs="Arial"/>
        </w:rPr>
      </w:pPr>
      <w:r>
        <w:rPr>
          <w:rFonts w:eastAsia="Times New Roman" w:cs="Arial"/>
        </w:rPr>
        <w:t xml:space="preserve">for Approval of Certain Accounting </w:t>
      </w:r>
      <w:r>
        <w:rPr>
          <w:rFonts w:eastAsia="Times New Roman" w:cs="Arial"/>
        </w:rPr>
        <w:tab/>
        <w:t>)</w:t>
      </w:r>
    </w:p>
    <w:p w:rsidR="00443CC9" w:rsidRDefault="00B600FA">
      <w:pPr>
        <w:tabs>
          <w:tab w:val="left" w:pos="4680"/>
        </w:tabs>
        <w:rPr>
          <w:rFonts w:eastAsia="Times New Roman" w:cs="Arial"/>
        </w:rPr>
      </w:pPr>
      <w:r>
        <w:rPr>
          <w:rFonts w:eastAsia="Times New Roman" w:cs="Arial"/>
        </w:rPr>
        <w:t>Authority.</w:t>
      </w:r>
      <w:r>
        <w:rPr>
          <w:rFonts w:eastAsia="Times New Roman" w:cs="Arial"/>
        </w:rPr>
        <w:tab/>
        <w:t>)</w:t>
      </w:r>
    </w:p>
    <w:p w:rsidR="00443CC9" w:rsidRDefault="00443CC9">
      <w:pPr>
        <w:tabs>
          <w:tab w:val="left" w:pos="4680"/>
        </w:tabs>
        <w:rPr>
          <w:rFonts w:eastAsia="Times New Roman" w:cs="Arial"/>
        </w:rPr>
      </w:pPr>
    </w:p>
    <w:p w:rsidR="00443CC9" w:rsidRDefault="00B600FA">
      <w:pPr>
        <w:tabs>
          <w:tab w:val="left" w:pos="4680"/>
        </w:tabs>
        <w:rPr>
          <w:rFonts w:eastAsia="Times New Roman" w:cs="Arial"/>
        </w:rPr>
      </w:pPr>
      <w:r>
        <w:rPr>
          <w:rFonts w:eastAsia="Times New Roman" w:cs="Arial"/>
        </w:rPr>
        <w:t>In the Matter of the Application of</w:t>
      </w:r>
      <w:r>
        <w:rPr>
          <w:rFonts w:eastAsia="Times New Roman" w:cs="Arial"/>
        </w:rPr>
        <w:tab/>
        <w:t>)</w:t>
      </w:r>
    </w:p>
    <w:p w:rsidR="00443CC9" w:rsidRDefault="00B600FA">
      <w:pPr>
        <w:tabs>
          <w:tab w:val="left" w:pos="4680"/>
          <w:tab w:val="left" w:pos="5400"/>
        </w:tabs>
        <w:rPr>
          <w:rFonts w:eastAsia="Times New Roman" w:cs="Arial"/>
        </w:rPr>
      </w:pPr>
      <w:r>
        <w:rPr>
          <w:rFonts w:eastAsia="Times New Roman" w:cs="Arial"/>
        </w:rPr>
        <w:t>The Dayton Power and Light Company</w:t>
      </w:r>
      <w:r>
        <w:rPr>
          <w:rFonts w:eastAsia="Times New Roman" w:cs="Arial"/>
        </w:rPr>
        <w:tab/>
        <w:t>)</w:t>
      </w:r>
      <w:r>
        <w:rPr>
          <w:rFonts w:eastAsia="Times New Roman" w:cs="Arial"/>
        </w:rPr>
        <w:tab/>
      </w:r>
      <w:r>
        <w:rPr>
          <w:rFonts w:eastAsia="Times New Roman" w:cs="Arial"/>
        </w:rPr>
        <w:tab/>
        <w:t>Case No. 12-429-EL-WVR</w:t>
      </w:r>
    </w:p>
    <w:p w:rsidR="00443CC9" w:rsidRDefault="00B600FA">
      <w:pPr>
        <w:tabs>
          <w:tab w:val="left" w:pos="4680"/>
          <w:tab w:val="left" w:pos="5400"/>
        </w:tabs>
        <w:rPr>
          <w:rFonts w:eastAsia="Times New Roman" w:cs="Arial"/>
        </w:rPr>
      </w:pPr>
      <w:r>
        <w:rPr>
          <w:rFonts w:eastAsia="Times New Roman" w:cs="Arial"/>
        </w:rPr>
        <w:t>for Waiver of Certain Commission Rules.</w:t>
      </w:r>
      <w:r>
        <w:rPr>
          <w:rFonts w:eastAsia="Times New Roman" w:cs="Arial"/>
        </w:rPr>
        <w:tab/>
        <w:t>)</w:t>
      </w:r>
    </w:p>
    <w:p w:rsidR="00443CC9" w:rsidRDefault="00443CC9">
      <w:pPr>
        <w:tabs>
          <w:tab w:val="left" w:pos="4680"/>
          <w:tab w:val="left" w:pos="5400"/>
        </w:tabs>
        <w:rPr>
          <w:rFonts w:eastAsia="Times New Roman" w:cs="Arial"/>
        </w:rPr>
      </w:pPr>
    </w:p>
    <w:p w:rsidR="00443CC9" w:rsidRDefault="00B600FA">
      <w:pPr>
        <w:tabs>
          <w:tab w:val="left" w:pos="4680"/>
          <w:tab w:val="left" w:pos="5400"/>
        </w:tabs>
        <w:rPr>
          <w:rFonts w:eastAsia="Times New Roman" w:cs="Arial"/>
        </w:rPr>
      </w:pPr>
      <w:r>
        <w:rPr>
          <w:rFonts w:eastAsia="Times New Roman" w:cs="Arial"/>
        </w:rPr>
        <w:t>In the Matter of the Application of</w:t>
      </w:r>
      <w:r>
        <w:rPr>
          <w:rFonts w:eastAsia="Times New Roman" w:cs="Arial"/>
        </w:rPr>
        <w:tab/>
        <w:t>)</w:t>
      </w:r>
    </w:p>
    <w:p w:rsidR="00443CC9" w:rsidRDefault="00B600FA">
      <w:pPr>
        <w:tabs>
          <w:tab w:val="left" w:pos="4680"/>
        </w:tabs>
        <w:rPr>
          <w:rFonts w:eastAsia="Times New Roman" w:cs="Arial"/>
        </w:rPr>
      </w:pPr>
      <w:r>
        <w:rPr>
          <w:rFonts w:eastAsia="Times New Roman" w:cs="Arial"/>
        </w:rPr>
        <w:t>The Dayton Power and Light Company</w:t>
      </w:r>
      <w:r>
        <w:rPr>
          <w:rFonts w:eastAsia="Times New Roman" w:cs="Arial"/>
        </w:rPr>
        <w:tab/>
        <w:t>)</w:t>
      </w:r>
      <w:r>
        <w:rPr>
          <w:rFonts w:eastAsia="Times New Roman" w:cs="Arial"/>
        </w:rPr>
        <w:tab/>
      </w:r>
      <w:r>
        <w:rPr>
          <w:rFonts w:eastAsia="Times New Roman" w:cs="Arial"/>
        </w:rPr>
        <w:tab/>
        <w:t>Case No. 12-672-EL-RDR</w:t>
      </w:r>
    </w:p>
    <w:p w:rsidR="00443CC9" w:rsidRDefault="00B600FA">
      <w:pPr>
        <w:tabs>
          <w:tab w:val="left" w:pos="4680"/>
        </w:tabs>
        <w:rPr>
          <w:rFonts w:eastAsia="Times New Roman" w:cs="Arial"/>
        </w:rPr>
      </w:pPr>
      <w:r>
        <w:rPr>
          <w:rFonts w:eastAsia="Times New Roman" w:cs="Arial"/>
        </w:rPr>
        <w:t>to Establish Tariff Riders.</w:t>
      </w:r>
      <w:r>
        <w:rPr>
          <w:rFonts w:eastAsia="Times New Roman" w:cs="Arial"/>
        </w:rPr>
        <w:tab/>
        <w:t>)</w:t>
      </w:r>
    </w:p>
    <w:p w:rsidR="00443CC9" w:rsidRDefault="00443CC9">
      <w:pPr>
        <w:pStyle w:val="BodyText"/>
        <w:tabs>
          <w:tab w:val="left" w:pos="5040"/>
        </w:tabs>
      </w:pPr>
    </w:p>
    <w:p w:rsidR="000F6F12" w:rsidRDefault="000F6F12" w:rsidP="000F6F12">
      <w:pPr>
        <w:jc w:val="center"/>
      </w:pPr>
    </w:p>
    <w:p w:rsidR="000F6F12" w:rsidRPr="00913168" w:rsidRDefault="000F6F12" w:rsidP="000F6F12">
      <w:pPr>
        <w:pBdr>
          <w:top w:val="single" w:sz="8" w:space="1" w:color="auto"/>
        </w:pBdr>
        <w:jc w:val="center"/>
        <w:rPr>
          <w:rFonts w:ascii="Arial Bold" w:hAnsi="Arial Bold"/>
          <w:b/>
          <w:smallCaps/>
          <w:sz w:val="26"/>
          <w:szCs w:val="26"/>
        </w:rPr>
      </w:pPr>
      <w:r w:rsidRPr="00913168">
        <w:rPr>
          <w:rFonts w:ascii="Arial Bold" w:hAnsi="Arial Bold"/>
          <w:b/>
          <w:smallCaps/>
          <w:sz w:val="26"/>
          <w:szCs w:val="26"/>
        </w:rPr>
        <w:t>Motion to Take Administrative Notice or in the Alternative to</w:t>
      </w:r>
    </w:p>
    <w:p w:rsidR="000F6F12" w:rsidRDefault="000F6F12" w:rsidP="000F6F12">
      <w:pPr>
        <w:jc w:val="center"/>
        <w:rPr>
          <w:rFonts w:ascii="Arial Bold" w:hAnsi="Arial Bold"/>
          <w:b/>
          <w:smallCaps/>
          <w:sz w:val="26"/>
          <w:szCs w:val="26"/>
        </w:rPr>
      </w:pPr>
      <w:r w:rsidRPr="00913168">
        <w:rPr>
          <w:rFonts w:ascii="Arial Bold" w:hAnsi="Arial Bold"/>
          <w:b/>
          <w:smallCaps/>
          <w:sz w:val="26"/>
          <w:szCs w:val="26"/>
        </w:rPr>
        <w:t>Reopen this Proceeding or in the Alternative to Supplement the Record</w:t>
      </w:r>
    </w:p>
    <w:p w:rsidR="000F6F12" w:rsidRPr="00913168" w:rsidRDefault="000F6F12" w:rsidP="000F6F12">
      <w:pPr>
        <w:pBdr>
          <w:bottom w:val="single" w:sz="8" w:space="1" w:color="auto"/>
        </w:pBdr>
        <w:jc w:val="center"/>
        <w:rPr>
          <w:rFonts w:ascii="Arial Bold" w:hAnsi="Arial Bold"/>
          <w:b/>
          <w:smallCaps/>
          <w:sz w:val="26"/>
          <w:szCs w:val="26"/>
        </w:rPr>
      </w:pPr>
      <w:r w:rsidRPr="00913168">
        <w:rPr>
          <w:rFonts w:ascii="Arial Bold" w:hAnsi="Arial Bold"/>
          <w:b/>
          <w:smallCaps/>
          <w:sz w:val="26"/>
          <w:szCs w:val="26"/>
        </w:rPr>
        <w:t>and</w:t>
      </w:r>
      <w:r>
        <w:rPr>
          <w:rFonts w:ascii="Arial Bold" w:hAnsi="Arial Bold"/>
          <w:b/>
          <w:smallCaps/>
          <w:sz w:val="26"/>
          <w:szCs w:val="26"/>
        </w:rPr>
        <w:t xml:space="preserve"> </w:t>
      </w:r>
      <w:r w:rsidRPr="00913168">
        <w:rPr>
          <w:rFonts w:ascii="Arial Bold" w:hAnsi="Arial Bold"/>
          <w:b/>
          <w:smallCaps/>
          <w:sz w:val="26"/>
          <w:szCs w:val="26"/>
        </w:rPr>
        <w:t>Request for Expedited Treatment of</w:t>
      </w:r>
      <w:r>
        <w:rPr>
          <w:rFonts w:ascii="Arial Bold" w:hAnsi="Arial Bold"/>
          <w:b/>
          <w:smallCaps/>
          <w:sz w:val="26"/>
          <w:szCs w:val="26"/>
        </w:rPr>
        <w:t xml:space="preserve"> </w:t>
      </w:r>
      <w:r w:rsidRPr="00913168">
        <w:rPr>
          <w:rFonts w:ascii="Arial Bold" w:hAnsi="Arial Bold"/>
          <w:b/>
          <w:smallCaps/>
          <w:sz w:val="26"/>
          <w:szCs w:val="26"/>
        </w:rPr>
        <w:t>Industrial Energy Users-Ohio</w:t>
      </w:r>
    </w:p>
    <w:p w:rsidR="000F6F12" w:rsidRDefault="000F6F12" w:rsidP="000F6F12">
      <w:pPr>
        <w:tabs>
          <w:tab w:val="left" w:pos="-1350"/>
          <w:tab w:val="right" w:pos="8640"/>
        </w:tabs>
        <w:ind w:left="4320" w:hanging="180"/>
        <w:jc w:val="both"/>
        <w:rPr>
          <w:rFonts w:cs="Arial"/>
        </w:rPr>
      </w:pPr>
    </w:p>
    <w:p w:rsidR="00443CC9" w:rsidRDefault="00B600FA">
      <w:pPr>
        <w:spacing w:before="48" w:line="480" w:lineRule="auto"/>
        <w:ind w:firstLine="720"/>
        <w:jc w:val="both"/>
        <w:rPr>
          <w:rFonts w:cs="Arial"/>
          <w:bCs/>
        </w:rPr>
      </w:pPr>
      <w:r>
        <w:rPr>
          <w:rFonts w:cs="Arial"/>
          <w:bCs/>
        </w:rPr>
        <w:t xml:space="preserve">The Industrial Energy Users-Ohio (“IEU-Ohio”) hereby moves the Public Utilities Commission of Ohio (“Commission”) to take administrative notice or in the alternative to reopen this proceeding or in the alternative to supplement the record to include the data described </w:t>
      </w:r>
      <w:r w:rsidR="000F6F12">
        <w:rPr>
          <w:rFonts w:cs="Arial"/>
          <w:bCs/>
        </w:rPr>
        <w:t xml:space="preserve">in </w:t>
      </w:r>
      <w:r>
        <w:rPr>
          <w:rFonts w:cs="Arial"/>
          <w:bCs/>
        </w:rPr>
        <w:t>IEU-Ohio Supplemental Exhibit 1 (“Exhibit 1”).  Exhibit 1 contains excerpted pages from a May 9, 2013 AES Corporation Investor Day presentation</w:t>
      </w:r>
      <w:r w:rsidR="00A63A75">
        <w:rPr>
          <w:rFonts w:cs="Arial"/>
          <w:bCs/>
        </w:rPr>
        <w:t xml:space="preserve"> (“Investor Day Presentation”)</w:t>
      </w:r>
      <w:r>
        <w:rPr>
          <w:rFonts w:cs="Arial"/>
          <w:bCs/>
        </w:rPr>
        <w:t xml:space="preserve">. </w:t>
      </w:r>
    </w:p>
    <w:p w:rsidR="00443CC9" w:rsidRDefault="00B600FA">
      <w:pPr>
        <w:spacing w:before="48" w:line="480" w:lineRule="auto"/>
        <w:ind w:firstLine="720"/>
        <w:jc w:val="both"/>
        <w:rPr>
          <w:rFonts w:cs="Arial"/>
          <w:bCs/>
        </w:rPr>
      </w:pPr>
      <w:r>
        <w:rPr>
          <w:rFonts w:cs="Arial"/>
          <w:bCs/>
        </w:rPr>
        <w:t xml:space="preserve">Although IEU-Ohio maintains that issues related to </w:t>
      </w:r>
      <w:r w:rsidR="000F6F12">
        <w:rPr>
          <w:rFonts w:cs="Arial"/>
          <w:bCs/>
        </w:rPr>
        <w:t>The Dayton Power &amp; Light Company’s (“</w:t>
      </w:r>
      <w:r>
        <w:rPr>
          <w:rFonts w:cs="Arial"/>
          <w:bCs/>
        </w:rPr>
        <w:t>DP&amp;L</w:t>
      </w:r>
      <w:r w:rsidR="000F6F12">
        <w:rPr>
          <w:rFonts w:cs="Arial"/>
          <w:bCs/>
        </w:rPr>
        <w:t>”)</w:t>
      </w:r>
      <w:r>
        <w:rPr>
          <w:rFonts w:cs="Arial"/>
          <w:bCs/>
        </w:rPr>
        <w:t xml:space="preserve"> credit rating and financial integrity are not relevant to the resolution of DP&amp;L’s electric security plan (“ESP”) Application, these issues are central </w:t>
      </w:r>
      <w:r>
        <w:rPr>
          <w:rFonts w:cs="Arial"/>
          <w:bCs/>
        </w:rPr>
        <w:lastRenderedPageBreak/>
        <w:t>to DP&amp;L’s claim that it is entitled to non-bypassable charges in the form of the Service Stability Rider (“SSR”) and the Switching Tracker (“ST”).  Specifically, DP&amp;L has claimed that credit rating agencies are monitoring this case, in part, because it will impact DP&amp;L’s ability to refinance long-term debt that will come due in the latter half of 2013.</w:t>
      </w:r>
      <w:r>
        <w:rPr>
          <w:rStyle w:val="FootnoteReference"/>
          <w:rFonts w:cs="Arial"/>
          <w:bCs/>
        </w:rPr>
        <w:footnoteReference w:id="1"/>
      </w:r>
      <w:r>
        <w:rPr>
          <w:rFonts w:cs="Arial"/>
          <w:bCs/>
        </w:rPr>
        <w:t xml:space="preserve">      </w:t>
      </w:r>
    </w:p>
    <w:p w:rsidR="00443CC9" w:rsidRDefault="00B600FA">
      <w:pPr>
        <w:spacing w:line="480" w:lineRule="auto"/>
        <w:ind w:firstLine="720"/>
        <w:jc w:val="both"/>
        <w:rPr>
          <w:rFonts w:cs="Arial"/>
          <w:bCs/>
        </w:rPr>
      </w:pPr>
      <w:r>
        <w:rPr>
          <w:rFonts w:cs="Arial"/>
          <w:bCs/>
        </w:rPr>
        <w:t xml:space="preserve">The information contained in Exhibit 1 demonstrates that DP&amp;L’s claim is unfounded.  In its </w:t>
      </w:r>
      <w:r w:rsidR="00A63A75">
        <w:rPr>
          <w:rFonts w:cs="Arial"/>
          <w:bCs/>
        </w:rPr>
        <w:t>Investor Day Presentation</w:t>
      </w:r>
      <w:r>
        <w:rPr>
          <w:rFonts w:cs="Arial"/>
          <w:bCs/>
        </w:rPr>
        <w:t xml:space="preserve">, AES indicated that DP&amp;L and DPL </w:t>
      </w:r>
      <w:r w:rsidR="000F6F12">
        <w:rPr>
          <w:rFonts w:cs="Arial"/>
          <w:bCs/>
        </w:rPr>
        <w:t xml:space="preserve">Inc. </w:t>
      </w:r>
      <w:r>
        <w:rPr>
          <w:rFonts w:cs="Arial"/>
          <w:bCs/>
        </w:rPr>
        <w:t xml:space="preserve">intend to complete efforts to refinance and reduce $700 million in debt by the end of May 2013, pushing these refinanced debt maturities out until 2016. </w:t>
      </w:r>
    </w:p>
    <w:p w:rsidR="00443CC9" w:rsidRDefault="00B600FA">
      <w:pPr>
        <w:spacing w:line="480" w:lineRule="auto"/>
        <w:ind w:firstLine="720"/>
        <w:jc w:val="both"/>
        <w:rPr>
          <w:rFonts w:cs="Arial"/>
          <w:bCs/>
        </w:rPr>
      </w:pPr>
      <w:r>
        <w:rPr>
          <w:rFonts w:cs="Arial"/>
          <w:bCs/>
        </w:rPr>
        <w:t>The purpose of taking administrative notice</w:t>
      </w:r>
      <w:r w:rsidR="007B24A5">
        <w:rPr>
          <w:rFonts w:cs="Arial"/>
          <w:bCs/>
        </w:rPr>
        <w:t xml:space="preserve">, reopening the </w:t>
      </w:r>
      <w:r>
        <w:rPr>
          <w:rFonts w:cs="Arial"/>
          <w:bCs/>
        </w:rPr>
        <w:t>proceeding</w:t>
      </w:r>
      <w:r w:rsidR="007B24A5">
        <w:rPr>
          <w:rFonts w:cs="Arial"/>
          <w:bCs/>
        </w:rPr>
        <w:t>,</w:t>
      </w:r>
      <w:r>
        <w:rPr>
          <w:rFonts w:cs="Arial"/>
          <w:bCs/>
        </w:rPr>
        <w:t xml:space="preserve"> or supplementing the record is to provide accurate </w:t>
      </w:r>
      <w:r w:rsidR="008A2F1A">
        <w:rPr>
          <w:rFonts w:cs="Arial"/>
          <w:bCs/>
        </w:rPr>
        <w:t xml:space="preserve">information </w:t>
      </w:r>
      <w:r>
        <w:rPr>
          <w:rFonts w:cs="Arial"/>
          <w:bCs/>
        </w:rPr>
        <w:t>regarding the impact o</w:t>
      </w:r>
      <w:r w:rsidR="007B24A5">
        <w:rPr>
          <w:rFonts w:cs="Arial"/>
          <w:bCs/>
        </w:rPr>
        <w:t>f</w:t>
      </w:r>
      <w:r>
        <w:rPr>
          <w:rFonts w:cs="Arial"/>
          <w:bCs/>
        </w:rPr>
        <w:t xml:space="preserve"> this proceeding on DP&amp;L’s ability to refinance its long-term debt.  Contrary to DP&amp;L’s assertions, this proceeding will have no impact on</w:t>
      </w:r>
      <w:r w:rsidR="007B24A5">
        <w:rPr>
          <w:rFonts w:cs="Arial"/>
          <w:bCs/>
        </w:rPr>
        <w:t xml:space="preserve"> DP&amp;L’s ability to refinance the</w:t>
      </w:r>
      <w:r>
        <w:rPr>
          <w:rFonts w:cs="Arial"/>
          <w:bCs/>
        </w:rPr>
        <w:t xml:space="preserve"> </w:t>
      </w:r>
      <w:r w:rsidR="007B24A5">
        <w:rPr>
          <w:rFonts w:cs="Arial"/>
          <w:bCs/>
        </w:rPr>
        <w:t xml:space="preserve">long-term </w:t>
      </w:r>
      <w:r>
        <w:rPr>
          <w:rFonts w:cs="Arial"/>
          <w:bCs/>
        </w:rPr>
        <w:t xml:space="preserve">debt that would come due in 2013—DP&amp;L </w:t>
      </w:r>
      <w:r w:rsidR="007B24A5">
        <w:rPr>
          <w:rFonts w:cs="Arial"/>
          <w:bCs/>
        </w:rPr>
        <w:t xml:space="preserve">is able </w:t>
      </w:r>
      <w:r>
        <w:rPr>
          <w:rFonts w:cs="Arial"/>
          <w:bCs/>
        </w:rPr>
        <w:t>and plans to refinance such debt prior to the Commission issuing an Opinion and Order in this proceeding.</w:t>
      </w:r>
    </w:p>
    <w:p w:rsidR="00443CC9" w:rsidRDefault="00B600FA">
      <w:pPr>
        <w:spacing w:line="480" w:lineRule="auto"/>
        <w:ind w:firstLine="720"/>
        <w:jc w:val="both"/>
        <w:rPr>
          <w:rFonts w:cs="Arial"/>
          <w:bCs/>
        </w:rPr>
      </w:pPr>
      <w:r>
        <w:rPr>
          <w:rFonts w:cs="Arial"/>
          <w:bCs/>
        </w:rPr>
        <w:t>Exhibit 1 is publicly available on the AES Corporation website and Exhibit 1 contains information that AES has held out to the investment community as being reliable.</w:t>
      </w:r>
      <w:r>
        <w:rPr>
          <w:rStyle w:val="FootnoteReference"/>
          <w:rFonts w:cs="Arial"/>
          <w:bCs/>
        </w:rPr>
        <w:footnoteReference w:id="2"/>
      </w:r>
      <w:r>
        <w:rPr>
          <w:rFonts w:cs="Arial"/>
          <w:bCs/>
        </w:rPr>
        <w:t xml:space="preserve">  At the time of the hearing in this proceeding in March 2013, the information contained in Exhibit 1 was not available, thus Exhibit 1 could not have, with reasonable diligence, been presented during the hearing.  </w:t>
      </w:r>
    </w:p>
    <w:p w:rsidR="00443CC9" w:rsidRDefault="00B600FA">
      <w:pPr>
        <w:spacing w:line="480" w:lineRule="auto"/>
        <w:ind w:firstLine="720"/>
        <w:jc w:val="both"/>
        <w:rPr>
          <w:rFonts w:cs="Arial"/>
          <w:bCs/>
        </w:rPr>
      </w:pPr>
      <w:r>
        <w:rPr>
          <w:rFonts w:cs="Arial"/>
          <w:bCs/>
        </w:rPr>
        <w:lastRenderedPageBreak/>
        <w:t>For the reasons stated in this Motion and more fully in the Memorandum in Support, IEU-Ohio requests that the Commission take administrative notice of Exhibit 1 or in the alternative</w:t>
      </w:r>
      <w:r w:rsidR="000F6F12">
        <w:rPr>
          <w:rFonts w:cs="Arial"/>
          <w:bCs/>
        </w:rPr>
        <w:t>,</w:t>
      </w:r>
      <w:r>
        <w:rPr>
          <w:rFonts w:cs="Arial"/>
          <w:bCs/>
        </w:rPr>
        <w:t xml:space="preserve"> reopen the proceeding to receive additional evidence or in the alternative</w:t>
      </w:r>
      <w:r w:rsidR="000F6F12">
        <w:rPr>
          <w:rFonts w:cs="Arial"/>
          <w:bCs/>
        </w:rPr>
        <w:t>,</w:t>
      </w:r>
      <w:r>
        <w:rPr>
          <w:rFonts w:cs="Arial"/>
          <w:bCs/>
        </w:rPr>
        <w:t xml:space="preserve"> supplement the record.  IEU-Ohio requests expedited treatment of this Motion.</w:t>
      </w:r>
    </w:p>
    <w:p w:rsidR="00443CC9" w:rsidRDefault="00D531DC">
      <w:pPr>
        <w:tabs>
          <w:tab w:val="left" w:pos="3780"/>
        </w:tabs>
        <w:spacing w:after="200" w:line="480" w:lineRule="auto"/>
        <w:ind w:firstLine="720"/>
        <w:jc w:val="both"/>
        <w:rPr>
          <w:rFonts w:eastAsia="Calibri" w:cs="Arial"/>
        </w:rPr>
      </w:pPr>
      <w:r>
        <w:rPr>
          <w:rFonts w:eastAsia="Calibri" w:cs="Arial"/>
        </w:rPr>
        <w:tab/>
        <w:t>Respectfully submitted,</w:t>
      </w:r>
      <w:bookmarkStart w:id="2" w:name="_GoBack"/>
      <w:bookmarkEnd w:id="2"/>
    </w:p>
    <w:p w:rsidR="00443CC9" w:rsidRDefault="00B600FA">
      <w:pPr>
        <w:tabs>
          <w:tab w:val="left" w:pos="-1350"/>
          <w:tab w:val="left" w:pos="7920"/>
        </w:tabs>
        <w:ind w:left="3780"/>
        <w:jc w:val="both"/>
        <w:rPr>
          <w:rFonts w:cs="Arial"/>
          <w:u w:val="single"/>
        </w:rPr>
      </w:pPr>
      <w:r>
        <w:rPr>
          <w:rFonts w:cs="Arial"/>
          <w:u w:val="single"/>
        </w:rPr>
        <w:t>/s/ Joseph E. Oliker</w:t>
      </w:r>
      <w:r>
        <w:rPr>
          <w:rFonts w:cs="Arial"/>
          <w:u w:val="single"/>
        </w:rPr>
        <w:tab/>
      </w:r>
    </w:p>
    <w:p w:rsidR="00443CC9" w:rsidRDefault="00B600FA">
      <w:pPr>
        <w:tabs>
          <w:tab w:val="left" w:pos="-1350"/>
          <w:tab w:val="right" w:pos="8640"/>
        </w:tabs>
        <w:ind w:left="3780"/>
        <w:jc w:val="both"/>
        <w:rPr>
          <w:rFonts w:cs="Arial"/>
        </w:rPr>
      </w:pPr>
      <w:r>
        <w:rPr>
          <w:rFonts w:cs="Arial"/>
        </w:rPr>
        <w:t xml:space="preserve">Samuel C. Randazzo </w:t>
      </w:r>
    </w:p>
    <w:p w:rsidR="00443CC9" w:rsidRDefault="00B600FA">
      <w:pPr>
        <w:pStyle w:val="BodyText3"/>
        <w:widowControl w:val="0"/>
        <w:tabs>
          <w:tab w:val="left" w:pos="0"/>
        </w:tabs>
        <w:ind w:left="3780"/>
        <w:jc w:val="both"/>
        <w:rPr>
          <w:rFonts w:cs="Arial"/>
          <w:b w:val="0"/>
          <w:bCs/>
        </w:rPr>
      </w:pPr>
      <w:r>
        <w:rPr>
          <w:rFonts w:cs="Arial"/>
          <w:b w:val="0"/>
          <w:bCs/>
        </w:rPr>
        <w:t>(Counsel of Record)</w:t>
      </w:r>
    </w:p>
    <w:p w:rsidR="00443CC9" w:rsidRDefault="00B600FA">
      <w:pPr>
        <w:pStyle w:val="BodyText3"/>
        <w:widowControl w:val="0"/>
        <w:tabs>
          <w:tab w:val="left" w:pos="0"/>
        </w:tabs>
        <w:ind w:left="3780"/>
        <w:jc w:val="both"/>
        <w:rPr>
          <w:rFonts w:cs="Arial"/>
          <w:b w:val="0"/>
          <w:bCs/>
        </w:rPr>
      </w:pPr>
      <w:r>
        <w:rPr>
          <w:rFonts w:cs="Arial"/>
          <w:b w:val="0"/>
          <w:bCs/>
        </w:rPr>
        <w:t>Frank P. Darr</w:t>
      </w:r>
    </w:p>
    <w:p w:rsidR="00443CC9" w:rsidRDefault="00B600FA">
      <w:pPr>
        <w:pStyle w:val="BodyText3"/>
        <w:widowControl w:val="0"/>
        <w:tabs>
          <w:tab w:val="left" w:pos="0"/>
        </w:tabs>
        <w:ind w:left="3780"/>
        <w:jc w:val="both"/>
        <w:rPr>
          <w:rFonts w:cs="Arial"/>
          <w:b w:val="0"/>
          <w:bCs/>
        </w:rPr>
      </w:pPr>
      <w:r>
        <w:rPr>
          <w:rFonts w:cs="Arial"/>
          <w:b w:val="0"/>
          <w:bCs/>
        </w:rPr>
        <w:t>Joseph E. Oliker</w:t>
      </w:r>
    </w:p>
    <w:p w:rsidR="00443CC9" w:rsidRDefault="00B600FA">
      <w:pPr>
        <w:pStyle w:val="BodyText3"/>
        <w:widowControl w:val="0"/>
        <w:tabs>
          <w:tab w:val="left" w:pos="0"/>
        </w:tabs>
        <w:ind w:left="3780"/>
        <w:jc w:val="both"/>
        <w:rPr>
          <w:rFonts w:cs="Arial"/>
          <w:b w:val="0"/>
          <w:bCs/>
        </w:rPr>
      </w:pPr>
      <w:r>
        <w:rPr>
          <w:rFonts w:cs="Arial"/>
          <w:b w:val="0"/>
          <w:bCs/>
        </w:rPr>
        <w:t>Matthew R. Pritchard</w:t>
      </w:r>
    </w:p>
    <w:p w:rsidR="00443CC9" w:rsidRDefault="00B600FA">
      <w:pPr>
        <w:pStyle w:val="BodyText3"/>
        <w:widowControl w:val="0"/>
        <w:tabs>
          <w:tab w:val="left" w:pos="0"/>
        </w:tabs>
        <w:ind w:left="3780"/>
        <w:jc w:val="both"/>
        <w:rPr>
          <w:rFonts w:cs="Arial"/>
          <w:b w:val="0"/>
          <w:bCs/>
          <w:smallCaps/>
          <w:szCs w:val="24"/>
        </w:rPr>
      </w:pPr>
      <w:r>
        <w:rPr>
          <w:rFonts w:cs="Arial"/>
          <w:b w:val="0"/>
          <w:bCs/>
          <w:smallCaps/>
          <w:szCs w:val="24"/>
        </w:rPr>
        <w:t>McNees Wallace &amp; Nurick LLC</w:t>
      </w:r>
    </w:p>
    <w:p w:rsidR="00443CC9" w:rsidRDefault="00B600FA">
      <w:pPr>
        <w:pStyle w:val="BodyText3"/>
        <w:widowControl w:val="0"/>
        <w:tabs>
          <w:tab w:val="left" w:pos="0"/>
        </w:tabs>
        <w:ind w:left="3780"/>
        <w:jc w:val="both"/>
        <w:rPr>
          <w:rFonts w:cs="Arial"/>
          <w:b w:val="0"/>
          <w:bCs/>
        </w:rPr>
      </w:pPr>
      <w:r>
        <w:rPr>
          <w:rFonts w:cs="Arial"/>
          <w:b w:val="0"/>
          <w:bCs/>
        </w:rPr>
        <w:t>21 East State Street, 17</w:t>
      </w:r>
      <w:r>
        <w:rPr>
          <w:rFonts w:cs="Arial"/>
          <w:b w:val="0"/>
          <w:bCs/>
          <w:vertAlign w:val="superscript"/>
        </w:rPr>
        <w:t>TH</w:t>
      </w:r>
      <w:r>
        <w:rPr>
          <w:rFonts w:cs="Arial"/>
          <w:b w:val="0"/>
          <w:bCs/>
        </w:rPr>
        <w:t xml:space="preserve"> Floor</w:t>
      </w:r>
    </w:p>
    <w:p w:rsidR="00443CC9" w:rsidRDefault="00B600FA">
      <w:pPr>
        <w:pStyle w:val="BodyText"/>
        <w:tabs>
          <w:tab w:val="left" w:pos="0"/>
        </w:tabs>
        <w:ind w:left="3780"/>
      </w:pPr>
      <w:r>
        <w:t>Columbus, OH  43215</w:t>
      </w:r>
    </w:p>
    <w:p w:rsidR="00443CC9" w:rsidRDefault="00B600FA">
      <w:pPr>
        <w:pStyle w:val="BodyText"/>
        <w:tabs>
          <w:tab w:val="left" w:pos="0"/>
        </w:tabs>
        <w:ind w:left="3780"/>
      </w:pPr>
      <w:r>
        <w:t>Telephone:  (614) 469-8000</w:t>
      </w:r>
    </w:p>
    <w:p w:rsidR="00443CC9" w:rsidRDefault="00B600FA">
      <w:pPr>
        <w:pStyle w:val="BodyText"/>
        <w:tabs>
          <w:tab w:val="left" w:pos="0"/>
        </w:tabs>
        <w:ind w:left="3780"/>
      </w:pPr>
      <w:r>
        <w:t>Telecopier:  (614) 469-4653</w:t>
      </w:r>
    </w:p>
    <w:p w:rsidR="00443CC9" w:rsidRDefault="00B600FA">
      <w:pPr>
        <w:pStyle w:val="BodyText"/>
        <w:tabs>
          <w:tab w:val="left" w:pos="0"/>
        </w:tabs>
        <w:ind w:left="3780"/>
      </w:pPr>
      <w:r>
        <w:t>sam@mwncmh.com</w:t>
      </w:r>
    </w:p>
    <w:p w:rsidR="00443CC9" w:rsidRDefault="00B600FA">
      <w:pPr>
        <w:pStyle w:val="BodyText"/>
        <w:tabs>
          <w:tab w:val="left" w:pos="0"/>
        </w:tabs>
        <w:ind w:left="3780"/>
      </w:pPr>
      <w:r>
        <w:t>fdarr@mwncmh.com</w:t>
      </w:r>
    </w:p>
    <w:p w:rsidR="00443CC9" w:rsidRDefault="00B600FA">
      <w:pPr>
        <w:pStyle w:val="BodyText"/>
        <w:tabs>
          <w:tab w:val="left" w:pos="0"/>
        </w:tabs>
        <w:ind w:left="3780"/>
      </w:pPr>
      <w:r>
        <w:t>joliker@mwncmh.com</w:t>
      </w:r>
    </w:p>
    <w:p w:rsidR="00443CC9" w:rsidRDefault="00B600FA">
      <w:pPr>
        <w:pStyle w:val="BodyText"/>
        <w:tabs>
          <w:tab w:val="left" w:pos="0"/>
        </w:tabs>
        <w:ind w:left="3780"/>
      </w:pPr>
      <w:r>
        <w:t>mpritchard@mwncmh.com</w:t>
      </w:r>
    </w:p>
    <w:p w:rsidR="00443CC9" w:rsidRDefault="00443CC9">
      <w:pPr>
        <w:pStyle w:val="BodyText"/>
        <w:tabs>
          <w:tab w:val="left" w:pos="0"/>
        </w:tabs>
        <w:ind w:left="3780"/>
      </w:pPr>
    </w:p>
    <w:p w:rsidR="00443CC9" w:rsidRDefault="00B600FA">
      <w:pPr>
        <w:autoSpaceDE w:val="0"/>
        <w:autoSpaceDN w:val="0"/>
        <w:adjustRightInd w:val="0"/>
        <w:ind w:left="3780"/>
        <w:rPr>
          <w:rFonts w:cs="Arial"/>
          <w:b/>
          <w:smallCaps/>
        </w:rPr>
      </w:pPr>
      <w:r>
        <w:rPr>
          <w:rFonts w:cs="Arial"/>
          <w:b/>
          <w:smallCaps/>
        </w:rPr>
        <w:t>Attorneys for Industrial Energy Users-Ohio</w:t>
      </w:r>
    </w:p>
    <w:p w:rsidR="00443CC9" w:rsidRDefault="00443CC9">
      <w:pPr>
        <w:autoSpaceDE w:val="0"/>
        <w:autoSpaceDN w:val="0"/>
        <w:adjustRightInd w:val="0"/>
        <w:ind w:left="3780"/>
        <w:rPr>
          <w:rFonts w:cs="Arial"/>
          <w:b/>
          <w:smallCaps/>
        </w:rPr>
      </w:pPr>
    </w:p>
    <w:p w:rsidR="00443CC9" w:rsidRDefault="00443CC9">
      <w:pPr>
        <w:autoSpaceDE w:val="0"/>
        <w:autoSpaceDN w:val="0"/>
        <w:adjustRightInd w:val="0"/>
        <w:ind w:left="3780"/>
        <w:rPr>
          <w:rFonts w:cs="Arial"/>
          <w:b/>
          <w:smallCaps/>
        </w:rPr>
      </w:pPr>
    </w:p>
    <w:p w:rsidR="00443CC9" w:rsidRDefault="00443CC9">
      <w:pPr>
        <w:autoSpaceDE w:val="0"/>
        <w:autoSpaceDN w:val="0"/>
        <w:adjustRightInd w:val="0"/>
        <w:ind w:left="3780"/>
        <w:rPr>
          <w:rFonts w:cs="Arial"/>
          <w:b/>
          <w:smallCaps/>
        </w:rPr>
      </w:pPr>
    </w:p>
    <w:p w:rsidR="00443CC9" w:rsidRDefault="00443CC9">
      <w:pPr>
        <w:autoSpaceDE w:val="0"/>
        <w:autoSpaceDN w:val="0"/>
        <w:adjustRightInd w:val="0"/>
        <w:ind w:left="3780"/>
        <w:rPr>
          <w:rFonts w:cs="Arial"/>
          <w:b/>
          <w:smallCaps/>
        </w:rPr>
      </w:pPr>
    </w:p>
    <w:p w:rsidR="00443CC9" w:rsidRDefault="00443CC9">
      <w:pPr>
        <w:autoSpaceDE w:val="0"/>
        <w:autoSpaceDN w:val="0"/>
        <w:adjustRightInd w:val="0"/>
        <w:ind w:left="3780"/>
        <w:rPr>
          <w:rFonts w:cs="Arial"/>
          <w:b/>
          <w:smallCaps/>
        </w:rPr>
      </w:pPr>
    </w:p>
    <w:p w:rsidR="00443CC9" w:rsidRDefault="00B600FA">
      <w:pPr>
        <w:spacing w:after="200" w:line="276" w:lineRule="auto"/>
        <w:rPr>
          <w:rFonts w:cs="Arial"/>
          <w:b/>
          <w:smallCaps/>
        </w:rPr>
      </w:pPr>
      <w:r>
        <w:rPr>
          <w:rFonts w:cs="Arial"/>
          <w:b/>
          <w:smallCaps/>
        </w:rPr>
        <w:br w:type="page"/>
      </w:r>
    </w:p>
    <w:p w:rsidR="000F6F12" w:rsidRDefault="000F6F12" w:rsidP="000F6F12">
      <w:pPr>
        <w:jc w:val="center"/>
        <w:rPr>
          <w:rFonts w:eastAsiaTheme="minorEastAsia" w:cs="Arial"/>
          <w:b/>
          <w:smallCaps/>
          <w:szCs w:val="20"/>
        </w:rPr>
      </w:pPr>
      <w:r>
        <w:rPr>
          <w:rFonts w:eastAsiaTheme="minorEastAsia" w:cs="Arial"/>
          <w:b/>
          <w:smallCaps/>
          <w:szCs w:val="20"/>
        </w:rPr>
        <w:lastRenderedPageBreak/>
        <w:t>Before</w:t>
      </w:r>
    </w:p>
    <w:p w:rsidR="000F6F12" w:rsidRDefault="000F6F12" w:rsidP="000F6F12">
      <w:pPr>
        <w:jc w:val="center"/>
        <w:rPr>
          <w:rFonts w:eastAsiaTheme="minorEastAsia" w:cs="Arial"/>
          <w:b/>
          <w:smallCaps/>
        </w:rPr>
      </w:pPr>
      <w:r>
        <w:rPr>
          <w:rFonts w:eastAsiaTheme="minorEastAsia" w:cs="Arial"/>
          <w:b/>
          <w:smallCaps/>
        </w:rPr>
        <w:t>The Public Utilities Commission of Ohio</w:t>
      </w:r>
    </w:p>
    <w:p w:rsidR="000F6F12" w:rsidRDefault="000F6F12" w:rsidP="000F6F12">
      <w:pPr>
        <w:jc w:val="center"/>
        <w:rPr>
          <w:rFonts w:eastAsiaTheme="minorEastAsia" w:cs="Arial"/>
          <w:b/>
          <w:smallCaps/>
        </w:rPr>
      </w:pPr>
    </w:p>
    <w:p w:rsidR="000F6F12" w:rsidRDefault="000F6F12" w:rsidP="000F6F12">
      <w:pPr>
        <w:tabs>
          <w:tab w:val="left" w:pos="4680"/>
        </w:tabs>
        <w:rPr>
          <w:rFonts w:eastAsia="Times New Roman" w:cs="Arial"/>
        </w:rPr>
      </w:pPr>
      <w:r>
        <w:rPr>
          <w:rFonts w:eastAsia="Times New Roman" w:cs="Arial"/>
        </w:rPr>
        <w:t xml:space="preserve">In the Matter of the Application of </w:t>
      </w:r>
      <w:r>
        <w:rPr>
          <w:rFonts w:eastAsia="Times New Roman" w:cs="Arial"/>
        </w:rPr>
        <w:tab/>
        <w:t>)</w:t>
      </w:r>
    </w:p>
    <w:p w:rsidR="000F6F12" w:rsidRDefault="000F6F12" w:rsidP="000F6F12">
      <w:pPr>
        <w:tabs>
          <w:tab w:val="left" w:pos="4680"/>
        </w:tabs>
        <w:rPr>
          <w:rFonts w:eastAsia="Times New Roman" w:cs="Arial"/>
        </w:rPr>
      </w:pPr>
      <w:r>
        <w:rPr>
          <w:rFonts w:eastAsia="Times New Roman" w:cs="Arial"/>
        </w:rPr>
        <w:t xml:space="preserve">The Dayton Power and Light Company </w:t>
      </w:r>
      <w:r>
        <w:rPr>
          <w:rFonts w:eastAsia="Times New Roman" w:cs="Arial"/>
        </w:rPr>
        <w:tab/>
        <w:t>)</w:t>
      </w:r>
      <w:r>
        <w:rPr>
          <w:rFonts w:eastAsia="Times New Roman" w:cs="Arial"/>
        </w:rPr>
        <w:tab/>
      </w:r>
      <w:r>
        <w:rPr>
          <w:rFonts w:eastAsia="Times New Roman" w:cs="Arial"/>
        </w:rPr>
        <w:tab/>
        <w:t>Case No. 12-426-EL-SSO</w:t>
      </w:r>
    </w:p>
    <w:p w:rsidR="000F6F12" w:rsidRDefault="000F6F12" w:rsidP="000F6F12">
      <w:pPr>
        <w:tabs>
          <w:tab w:val="left" w:pos="4680"/>
          <w:tab w:val="left" w:pos="5400"/>
        </w:tabs>
        <w:rPr>
          <w:rFonts w:eastAsia="Times New Roman" w:cs="Arial"/>
        </w:rPr>
      </w:pPr>
      <w:r>
        <w:rPr>
          <w:rFonts w:eastAsia="Times New Roman" w:cs="Arial"/>
        </w:rPr>
        <w:t>for Approval of Its Market Rate Offer.</w:t>
      </w:r>
      <w:r>
        <w:rPr>
          <w:rFonts w:eastAsia="Times New Roman" w:cs="Arial"/>
        </w:rPr>
        <w:tab/>
        <w:t>)</w:t>
      </w:r>
    </w:p>
    <w:p w:rsidR="000F6F12" w:rsidRDefault="000F6F12" w:rsidP="000F6F12">
      <w:pPr>
        <w:tabs>
          <w:tab w:val="left" w:pos="4680"/>
          <w:tab w:val="left" w:pos="5400"/>
        </w:tabs>
        <w:rPr>
          <w:rFonts w:eastAsia="Times New Roman" w:cs="Arial"/>
        </w:rPr>
      </w:pPr>
    </w:p>
    <w:p w:rsidR="000F6F12" w:rsidRDefault="000F6F12" w:rsidP="000F6F12">
      <w:pPr>
        <w:tabs>
          <w:tab w:val="left" w:pos="4680"/>
          <w:tab w:val="left" w:pos="5400"/>
        </w:tabs>
        <w:rPr>
          <w:rFonts w:eastAsia="Times New Roman" w:cs="Arial"/>
        </w:rPr>
      </w:pPr>
      <w:r>
        <w:rPr>
          <w:rFonts w:eastAsia="Times New Roman" w:cs="Arial"/>
        </w:rPr>
        <w:t>In the Matter of the Application of</w:t>
      </w:r>
      <w:r>
        <w:rPr>
          <w:rFonts w:eastAsia="Times New Roman" w:cs="Arial"/>
        </w:rPr>
        <w:tab/>
        <w:t>)</w:t>
      </w:r>
    </w:p>
    <w:p w:rsidR="000F6F12" w:rsidRDefault="000F6F12" w:rsidP="000F6F12">
      <w:pPr>
        <w:tabs>
          <w:tab w:val="left" w:pos="4680"/>
        </w:tabs>
        <w:rPr>
          <w:rFonts w:eastAsia="Times New Roman" w:cs="Arial"/>
        </w:rPr>
      </w:pPr>
      <w:r>
        <w:rPr>
          <w:rFonts w:eastAsia="Times New Roman" w:cs="Arial"/>
        </w:rPr>
        <w:t>The Dayton Power and Light Company</w:t>
      </w:r>
      <w:r>
        <w:rPr>
          <w:rFonts w:eastAsia="Times New Roman" w:cs="Arial"/>
        </w:rPr>
        <w:tab/>
        <w:t>)</w:t>
      </w:r>
      <w:r>
        <w:rPr>
          <w:rFonts w:eastAsia="Times New Roman" w:cs="Arial"/>
        </w:rPr>
        <w:tab/>
      </w:r>
      <w:r>
        <w:rPr>
          <w:rFonts w:eastAsia="Times New Roman" w:cs="Arial"/>
        </w:rPr>
        <w:tab/>
        <w:t>Case No. 12-427-EL-ATA</w:t>
      </w:r>
    </w:p>
    <w:p w:rsidR="000F6F12" w:rsidRDefault="000F6F12" w:rsidP="000F6F12">
      <w:pPr>
        <w:tabs>
          <w:tab w:val="left" w:pos="4680"/>
        </w:tabs>
        <w:rPr>
          <w:rFonts w:eastAsia="Times New Roman" w:cs="Arial"/>
        </w:rPr>
      </w:pPr>
      <w:r>
        <w:rPr>
          <w:rFonts w:eastAsia="Times New Roman" w:cs="Arial"/>
        </w:rPr>
        <w:t>for Approval of Revised Tariffs.</w:t>
      </w:r>
      <w:r>
        <w:rPr>
          <w:rFonts w:eastAsia="Times New Roman" w:cs="Arial"/>
        </w:rPr>
        <w:tab/>
        <w:t>)</w:t>
      </w:r>
    </w:p>
    <w:p w:rsidR="000F6F12" w:rsidRDefault="000F6F12" w:rsidP="000F6F12">
      <w:pPr>
        <w:tabs>
          <w:tab w:val="left" w:pos="5040"/>
        </w:tabs>
        <w:rPr>
          <w:rFonts w:eastAsia="Times New Roman" w:cs="Arial"/>
        </w:rPr>
      </w:pPr>
    </w:p>
    <w:p w:rsidR="000F6F12" w:rsidRDefault="000F6F12" w:rsidP="000F6F12">
      <w:pPr>
        <w:tabs>
          <w:tab w:val="left" w:pos="4680"/>
        </w:tabs>
        <w:rPr>
          <w:rFonts w:eastAsia="Times New Roman" w:cs="Arial"/>
        </w:rPr>
      </w:pPr>
      <w:r>
        <w:rPr>
          <w:rFonts w:eastAsia="Times New Roman" w:cs="Arial"/>
        </w:rPr>
        <w:t>In the Matter of the Application of</w:t>
      </w:r>
      <w:r>
        <w:rPr>
          <w:rFonts w:eastAsia="Times New Roman" w:cs="Arial"/>
        </w:rPr>
        <w:tab/>
        <w:t>)</w:t>
      </w:r>
    </w:p>
    <w:p w:rsidR="000F6F12" w:rsidRDefault="000F6F12" w:rsidP="000F6F12">
      <w:pPr>
        <w:tabs>
          <w:tab w:val="left" w:pos="4680"/>
          <w:tab w:val="left" w:pos="5400"/>
        </w:tabs>
        <w:rPr>
          <w:rFonts w:eastAsia="Times New Roman" w:cs="Arial"/>
        </w:rPr>
      </w:pPr>
      <w:r>
        <w:rPr>
          <w:rFonts w:eastAsia="Times New Roman" w:cs="Arial"/>
        </w:rPr>
        <w:t>The Dayton Power and Light Company</w:t>
      </w:r>
      <w:r>
        <w:rPr>
          <w:rFonts w:eastAsia="Times New Roman" w:cs="Arial"/>
        </w:rPr>
        <w:tab/>
        <w:t>)</w:t>
      </w:r>
      <w:r>
        <w:rPr>
          <w:rFonts w:eastAsia="Times New Roman" w:cs="Arial"/>
        </w:rPr>
        <w:tab/>
      </w:r>
      <w:r>
        <w:rPr>
          <w:rFonts w:eastAsia="Times New Roman" w:cs="Arial"/>
        </w:rPr>
        <w:tab/>
        <w:t>Case No. 12-428-EL-AAM</w:t>
      </w:r>
    </w:p>
    <w:p w:rsidR="000F6F12" w:rsidRDefault="000F6F12" w:rsidP="000F6F12">
      <w:pPr>
        <w:tabs>
          <w:tab w:val="left" w:pos="4680"/>
          <w:tab w:val="left" w:pos="5400"/>
        </w:tabs>
        <w:rPr>
          <w:rFonts w:eastAsia="Times New Roman" w:cs="Arial"/>
        </w:rPr>
      </w:pPr>
      <w:r>
        <w:rPr>
          <w:rFonts w:eastAsia="Times New Roman" w:cs="Arial"/>
        </w:rPr>
        <w:t xml:space="preserve">for Approval of Certain Accounting </w:t>
      </w:r>
      <w:r>
        <w:rPr>
          <w:rFonts w:eastAsia="Times New Roman" w:cs="Arial"/>
        </w:rPr>
        <w:tab/>
        <w:t>)</w:t>
      </w:r>
    </w:p>
    <w:p w:rsidR="000F6F12" w:rsidRDefault="000F6F12" w:rsidP="000F6F12">
      <w:pPr>
        <w:tabs>
          <w:tab w:val="left" w:pos="4680"/>
        </w:tabs>
        <w:rPr>
          <w:rFonts w:eastAsia="Times New Roman" w:cs="Arial"/>
        </w:rPr>
      </w:pPr>
      <w:r>
        <w:rPr>
          <w:rFonts w:eastAsia="Times New Roman" w:cs="Arial"/>
        </w:rPr>
        <w:t>Authority.</w:t>
      </w:r>
      <w:r>
        <w:rPr>
          <w:rFonts w:eastAsia="Times New Roman" w:cs="Arial"/>
        </w:rPr>
        <w:tab/>
        <w:t>)</w:t>
      </w:r>
    </w:p>
    <w:p w:rsidR="000F6F12" w:rsidRDefault="000F6F12" w:rsidP="000F6F12">
      <w:pPr>
        <w:tabs>
          <w:tab w:val="left" w:pos="4680"/>
        </w:tabs>
        <w:rPr>
          <w:rFonts w:eastAsia="Times New Roman" w:cs="Arial"/>
        </w:rPr>
      </w:pPr>
    </w:p>
    <w:p w:rsidR="000F6F12" w:rsidRDefault="000F6F12" w:rsidP="000F6F12">
      <w:pPr>
        <w:tabs>
          <w:tab w:val="left" w:pos="4680"/>
        </w:tabs>
        <w:rPr>
          <w:rFonts w:eastAsia="Times New Roman" w:cs="Arial"/>
        </w:rPr>
      </w:pPr>
      <w:r>
        <w:rPr>
          <w:rFonts w:eastAsia="Times New Roman" w:cs="Arial"/>
        </w:rPr>
        <w:t>In the Matter of the Application of</w:t>
      </w:r>
      <w:r>
        <w:rPr>
          <w:rFonts w:eastAsia="Times New Roman" w:cs="Arial"/>
        </w:rPr>
        <w:tab/>
        <w:t>)</w:t>
      </w:r>
    </w:p>
    <w:p w:rsidR="000F6F12" w:rsidRDefault="000F6F12" w:rsidP="000F6F12">
      <w:pPr>
        <w:tabs>
          <w:tab w:val="left" w:pos="4680"/>
          <w:tab w:val="left" w:pos="5400"/>
        </w:tabs>
        <w:rPr>
          <w:rFonts w:eastAsia="Times New Roman" w:cs="Arial"/>
        </w:rPr>
      </w:pPr>
      <w:r>
        <w:rPr>
          <w:rFonts w:eastAsia="Times New Roman" w:cs="Arial"/>
        </w:rPr>
        <w:t>The Dayton Power and Light Company</w:t>
      </w:r>
      <w:r>
        <w:rPr>
          <w:rFonts w:eastAsia="Times New Roman" w:cs="Arial"/>
        </w:rPr>
        <w:tab/>
        <w:t>)</w:t>
      </w:r>
      <w:r>
        <w:rPr>
          <w:rFonts w:eastAsia="Times New Roman" w:cs="Arial"/>
        </w:rPr>
        <w:tab/>
      </w:r>
      <w:r>
        <w:rPr>
          <w:rFonts w:eastAsia="Times New Roman" w:cs="Arial"/>
        </w:rPr>
        <w:tab/>
        <w:t>Case No. 12-429-EL-WVR</w:t>
      </w:r>
    </w:p>
    <w:p w:rsidR="000F6F12" w:rsidRDefault="000F6F12" w:rsidP="000F6F12">
      <w:pPr>
        <w:tabs>
          <w:tab w:val="left" w:pos="4680"/>
          <w:tab w:val="left" w:pos="5400"/>
        </w:tabs>
        <w:rPr>
          <w:rFonts w:eastAsia="Times New Roman" w:cs="Arial"/>
        </w:rPr>
      </w:pPr>
      <w:r>
        <w:rPr>
          <w:rFonts w:eastAsia="Times New Roman" w:cs="Arial"/>
        </w:rPr>
        <w:t>for Waiver of Certain Commission Rules.</w:t>
      </w:r>
      <w:r>
        <w:rPr>
          <w:rFonts w:eastAsia="Times New Roman" w:cs="Arial"/>
        </w:rPr>
        <w:tab/>
        <w:t>)</w:t>
      </w:r>
    </w:p>
    <w:p w:rsidR="000F6F12" w:rsidRDefault="000F6F12" w:rsidP="000F6F12">
      <w:pPr>
        <w:tabs>
          <w:tab w:val="left" w:pos="4680"/>
          <w:tab w:val="left" w:pos="5400"/>
        </w:tabs>
        <w:rPr>
          <w:rFonts w:eastAsia="Times New Roman" w:cs="Arial"/>
        </w:rPr>
      </w:pPr>
    </w:p>
    <w:p w:rsidR="000F6F12" w:rsidRDefault="000F6F12" w:rsidP="000F6F12">
      <w:pPr>
        <w:tabs>
          <w:tab w:val="left" w:pos="4680"/>
          <w:tab w:val="left" w:pos="5400"/>
        </w:tabs>
        <w:rPr>
          <w:rFonts w:eastAsia="Times New Roman" w:cs="Arial"/>
        </w:rPr>
      </w:pPr>
      <w:r>
        <w:rPr>
          <w:rFonts w:eastAsia="Times New Roman" w:cs="Arial"/>
        </w:rPr>
        <w:t>In the Matter of the Application of</w:t>
      </w:r>
      <w:r>
        <w:rPr>
          <w:rFonts w:eastAsia="Times New Roman" w:cs="Arial"/>
        </w:rPr>
        <w:tab/>
        <w:t>)</w:t>
      </w:r>
    </w:p>
    <w:p w:rsidR="000F6F12" w:rsidRDefault="000F6F12" w:rsidP="000F6F12">
      <w:pPr>
        <w:tabs>
          <w:tab w:val="left" w:pos="4680"/>
        </w:tabs>
        <w:rPr>
          <w:rFonts w:eastAsia="Times New Roman" w:cs="Arial"/>
        </w:rPr>
      </w:pPr>
      <w:r>
        <w:rPr>
          <w:rFonts w:eastAsia="Times New Roman" w:cs="Arial"/>
        </w:rPr>
        <w:t>The Dayton Power and Light Company</w:t>
      </w:r>
      <w:r>
        <w:rPr>
          <w:rFonts w:eastAsia="Times New Roman" w:cs="Arial"/>
        </w:rPr>
        <w:tab/>
        <w:t>)</w:t>
      </w:r>
      <w:r>
        <w:rPr>
          <w:rFonts w:eastAsia="Times New Roman" w:cs="Arial"/>
        </w:rPr>
        <w:tab/>
      </w:r>
      <w:r>
        <w:rPr>
          <w:rFonts w:eastAsia="Times New Roman" w:cs="Arial"/>
        </w:rPr>
        <w:tab/>
        <w:t>Case No. 12-672-EL-RDR</w:t>
      </w:r>
    </w:p>
    <w:p w:rsidR="000F6F12" w:rsidRDefault="000F6F12" w:rsidP="000F6F12">
      <w:pPr>
        <w:tabs>
          <w:tab w:val="left" w:pos="4680"/>
        </w:tabs>
        <w:rPr>
          <w:rFonts w:eastAsia="Times New Roman" w:cs="Arial"/>
        </w:rPr>
      </w:pPr>
      <w:r>
        <w:rPr>
          <w:rFonts w:eastAsia="Times New Roman" w:cs="Arial"/>
        </w:rPr>
        <w:t>to Establish Tariff Riders.</w:t>
      </w:r>
      <w:r>
        <w:rPr>
          <w:rFonts w:eastAsia="Times New Roman" w:cs="Arial"/>
        </w:rPr>
        <w:tab/>
        <w:t>)</w:t>
      </w:r>
    </w:p>
    <w:p w:rsidR="000F6F12" w:rsidRDefault="000F6F12" w:rsidP="000F6F12">
      <w:pPr>
        <w:jc w:val="center"/>
      </w:pPr>
    </w:p>
    <w:p w:rsidR="000F6F12" w:rsidRPr="000F6F12" w:rsidRDefault="000F6F12" w:rsidP="000F6F12">
      <w:pPr>
        <w:pBdr>
          <w:top w:val="single" w:sz="8" w:space="1" w:color="auto"/>
          <w:bottom w:val="single" w:sz="8" w:space="1" w:color="auto"/>
        </w:pBdr>
        <w:jc w:val="center"/>
        <w:rPr>
          <w:rFonts w:ascii="Arial Bold" w:hAnsi="Arial Bold"/>
          <w:b/>
          <w:smallCaps/>
          <w:sz w:val="20"/>
          <w:szCs w:val="20"/>
        </w:rPr>
      </w:pPr>
      <w:r w:rsidRPr="000F6F12">
        <w:rPr>
          <w:rFonts w:ascii="Arial Bold" w:hAnsi="Arial Bold"/>
          <w:b/>
          <w:smallCaps/>
          <w:sz w:val="20"/>
          <w:szCs w:val="20"/>
        </w:rPr>
        <w:br/>
      </w:r>
      <w:r>
        <w:rPr>
          <w:rFonts w:ascii="Arial Bold" w:hAnsi="Arial Bold"/>
          <w:b/>
          <w:smallCaps/>
          <w:sz w:val="26"/>
          <w:szCs w:val="26"/>
        </w:rPr>
        <w:t>Memorandum in Support</w:t>
      </w:r>
      <w:r>
        <w:rPr>
          <w:rFonts w:ascii="Arial Bold" w:hAnsi="Arial Bold"/>
          <w:b/>
          <w:smallCaps/>
          <w:sz w:val="26"/>
          <w:szCs w:val="26"/>
        </w:rPr>
        <w:br/>
      </w:r>
    </w:p>
    <w:p w:rsidR="000F6F12" w:rsidRDefault="000F6F12" w:rsidP="000F6F12">
      <w:pPr>
        <w:tabs>
          <w:tab w:val="left" w:pos="-1350"/>
          <w:tab w:val="right" w:pos="8640"/>
        </w:tabs>
        <w:ind w:left="4320" w:hanging="180"/>
        <w:jc w:val="both"/>
        <w:rPr>
          <w:rFonts w:cs="Arial"/>
        </w:rPr>
      </w:pPr>
    </w:p>
    <w:p w:rsidR="00443CC9" w:rsidRDefault="00B600FA">
      <w:pPr>
        <w:spacing w:before="48" w:line="480" w:lineRule="auto"/>
        <w:ind w:firstLine="720"/>
        <w:jc w:val="both"/>
        <w:rPr>
          <w:rFonts w:cs="Arial"/>
          <w:bCs/>
        </w:rPr>
      </w:pPr>
      <w:r>
        <w:rPr>
          <w:rFonts w:cs="Arial"/>
          <w:bCs/>
        </w:rPr>
        <w:t>DP&amp;L has claimed that it is entitled to a non-bypassable charge in the form of the SSR and the ST to support its financial integrity.  Specifically, DP&amp;L has claimed that any deterioration to its financial integrity will impact its credit rating and thus its ability to refinance long-term debt that will come due in the latter half of 2013.</w:t>
      </w:r>
      <w:r>
        <w:rPr>
          <w:rStyle w:val="FootnoteReference"/>
          <w:rFonts w:cs="Arial"/>
          <w:bCs/>
        </w:rPr>
        <w:footnoteReference w:id="3"/>
      </w:r>
      <w:r>
        <w:rPr>
          <w:rFonts w:cs="Arial"/>
          <w:bCs/>
        </w:rPr>
        <w:t xml:space="preserve">      </w:t>
      </w:r>
    </w:p>
    <w:p w:rsidR="00443CC9" w:rsidRDefault="00B600FA">
      <w:pPr>
        <w:spacing w:line="480" w:lineRule="auto"/>
        <w:ind w:firstLine="720"/>
        <w:jc w:val="both"/>
        <w:rPr>
          <w:rFonts w:cs="Arial"/>
          <w:bCs/>
        </w:rPr>
      </w:pPr>
      <w:r>
        <w:rPr>
          <w:rFonts w:cs="Arial"/>
          <w:bCs/>
        </w:rPr>
        <w:t xml:space="preserve">The information contained in Exhibit 1 demonstrates that DP&amp;L’s claim is unfounded.  In its </w:t>
      </w:r>
      <w:r w:rsidR="00A63A75">
        <w:rPr>
          <w:rFonts w:cs="Arial"/>
          <w:bCs/>
        </w:rPr>
        <w:t>Investor Day Presentation</w:t>
      </w:r>
      <w:r>
        <w:rPr>
          <w:rFonts w:cs="Arial"/>
          <w:bCs/>
        </w:rPr>
        <w:t xml:space="preserve">, AES indicated that DP&amp;L and DPL Inc. intend to complete efforts to refinance and reduce $700 million in debt by the end of May 2013, extending these debt maturities until 2016. </w:t>
      </w:r>
    </w:p>
    <w:p w:rsidR="00443CC9" w:rsidRDefault="00B600FA" w:rsidP="007B24A5">
      <w:pPr>
        <w:spacing w:line="480" w:lineRule="auto"/>
        <w:ind w:firstLine="720"/>
        <w:jc w:val="both"/>
        <w:rPr>
          <w:rFonts w:cs="Arial"/>
          <w:bCs/>
        </w:rPr>
      </w:pPr>
      <w:r>
        <w:rPr>
          <w:rFonts w:cs="Arial"/>
          <w:bCs/>
        </w:rPr>
        <w:lastRenderedPageBreak/>
        <w:t>Because the record in this matter is incomplete, dated, and inaccurate, the Commission should take administrative notice of Exhibit 1 or in the alternative reopen this proceeding or supplement the record to include the i</w:t>
      </w:r>
      <w:r w:rsidR="000F6F12">
        <w:rPr>
          <w:rFonts w:cs="Arial"/>
          <w:bCs/>
        </w:rPr>
        <w:t>nformation contained in Exhibit </w:t>
      </w:r>
      <w:r>
        <w:rPr>
          <w:rFonts w:cs="Arial"/>
          <w:bCs/>
        </w:rPr>
        <w:t xml:space="preserve">1. </w:t>
      </w:r>
    </w:p>
    <w:p w:rsidR="00443CC9" w:rsidRDefault="00B600FA">
      <w:pPr>
        <w:spacing w:line="480" w:lineRule="auto"/>
        <w:ind w:firstLine="720"/>
        <w:jc w:val="both"/>
        <w:rPr>
          <w:rFonts w:cs="Arial"/>
          <w:bCs/>
        </w:rPr>
      </w:pPr>
      <w:r>
        <w:rPr>
          <w:rFonts w:cs="Arial"/>
          <w:bCs/>
        </w:rPr>
        <w:t>Initially, the Commission should take administrative notice of information contained in Exhibit 1.  The practice and the rules of evidence shall be the same as in civil actions.</w:t>
      </w:r>
      <w:r>
        <w:rPr>
          <w:rStyle w:val="FootnoteReference"/>
          <w:rFonts w:cs="Arial"/>
          <w:bCs/>
        </w:rPr>
        <w:footnoteReference w:id="4"/>
      </w:r>
      <w:r>
        <w:rPr>
          <w:rFonts w:cs="Arial"/>
          <w:bCs/>
        </w:rPr>
        <w:t xml:space="preserve">  Evidence Rule 201 pertaining to judicial notice, states:</w:t>
      </w:r>
    </w:p>
    <w:p w:rsidR="00443CC9" w:rsidRDefault="00B600FA" w:rsidP="000F6F12">
      <w:pPr>
        <w:spacing w:after="240"/>
        <w:ind w:left="1440" w:right="720" w:hanging="720"/>
        <w:jc w:val="both"/>
        <w:rPr>
          <w:rFonts w:cs="Arial"/>
          <w:bCs/>
        </w:rPr>
      </w:pPr>
      <w:r>
        <w:rPr>
          <w:rFonts w:cs="Arial"/>
          <w:bCs/>
        </w:rPr>
        <w:t>(A)</w:t>
      </w:r>
      <w:r>
        <w:rPr>
          <w:rFonts w:cs="Arial"/>
          <w:bCs/>
        </w:rPr>
        <w:tab/>
        <w:t xml:space="preserve">Scope of rule. This rule governs only judicial notice of adjudicative facts; i.e., the facts of the case. </w:t>
      </w:r>
    </w:p>
    <w:p w:rsidR="00443CC9" w:rsidRDefault="00B600FA" w:rsidP="000F6F12">
      <w:pPr>
        <w:spacing w:after="240"/>
        <w:ind w:left="1440" w:right="720" w:hanging="720"/>
        <w:jc w:val="both"/>
        <w:rPr>
          <w:rFonts w:cs="Arial"/>
          <w:bCs/>
        </w:rPr>
      </w:pPr>
      <w:r>
        <w:rPr>
          <w:rFonts w:cs="Arial"/>
          <w:bCs/>
        </w:rPr>
        <w:t>(</w:t>
      </w:r>
      <w:r>
        <w:rPr>
          <w:rFonts w:cs="Arial"/>
          <w:b/>
          <w:bCs/>
          <w:i/>
        </w:rPr>
        <w:t>B)</w:t>
      </w:r>
      <w:r>
        <w:rPr>
          <w:rFonts w:cs="Arial"/>
          <w:b/>
          <w:bCs/>
          <w:i/>
        </w:rPr>
        <w:tab/>
        <w:t>Kinds of facts. A judicially noticed fact must be one not subject to reasonable dispute in that it is either (1) generally known within the territorial jurisdiction of the trial court or (2) capable of accurate and ready determination by resort to sources whose accuracy cannot reasonably be questioned.</w:t>
      </w:r>
      <w:r>
        <w:rPr>
          <w:rFonts w:cs="Arial"/>
          <w:bCs/>
        </w:rPr>
        <w:t xml:space="preserve"> </w:t>
      </w:r>
    </w:p>
    <w:p w:rsidR="00443CC9" w:rsidRDefault="00B600FA" w:rsidP="000F6F12">
      <w:pPr>
        <w:spacing w:after="240"/>
        <w:ind w:left="1440" w:right="720" w:hanging="720"/>
        <w:jc w:val="both"/>
        <w:rPr>
          <w:rFonts w:cs="Arial"/>
          <w:bCs/>
        </w:rPr>
      </w:pPr>
      <w:r>
        <w:rPr>
          <w:rFonts w:cs="Arial"/>
          <w:bCs/>
        </w:rPr>
        <w:t>(C)</w:t>
      </w:r>
      <w:r>
        <w:rPr>
          <w:rFonts w:cs="Arial"/>
          <w:bCs/>
        </w:rPr>
        <w:tab/>
        <w:t xml:space="preserve">When discretionary. A court may take judicial notice, whether requested or not. </w:t>
      </w:r>
    </w:p>
    <w:p w:rsidR="00443CC9" w:rsidRDefault="00B600FA" w:rsidP="000F6F12">
      <w:pPr>
        <w:spacing w:after="240"/>
        <w:ind w:left="1440" w:right="720" w:hanging="720"/>
        <w:jc w:val="both"/>
        <w:rPr>
          <w:rFonts w:cs="Arial"/>
          <w:b/>
          <w:bCs/>
          <w:i/>
        </w:rPr>
      </w:pPr>
      <w:r>
        <w:rPr>
          <w:rFonts w:cs="Arial"/>
          <w:b/>
          <w:bCs/>
          <w:i/>
        </w:rPr>
        <w:t>(D)</w:t>
      </w:r>
      <w:r>
        <w:rPr>
          <w:rFonts w:cs="Arial"/>
          <w:bCs/>
        </w:rPr>
        <w:tab/>
      </w:r>
      <w:r>
        <w:rPr>
          <w:rFonts w:cs="Arial"/>
          <w:b/>
          <w:bCs/>
          <w:i/>
        </w:rPr>
        <w:t xml:space="preserve">When mandatory. A court shall take judicial notice if requested by a party and supplied with the necessary information. </w:t>
      </w:r>
    </w:p>
    <w:p w:rsidR="00443CC9" w:rsidRDefault="00B600FA" w:rsidP="000F6F12">
      <w:pPr>
        <w:spacing w:after="240"/>
        <w:ind w:left="1440" w:right="720" w:hanging="720"/>
        <w:jc w:val="both"/>
        <w:rPr>
          <w:rFonts w:cs="Arial"/>
          <w:bCs/>
        </w:rPr>
      </w:pPr>
      <w:r>
        <w:rPr>
          <w:rFonts w:cs="Arial"/>
          <w:bCs/>
        </w:rPr>
        <w:t>(E)</w:t>
      </w:r>
      <w:r>
        <w:rPr>
          <w:rFonts w:cs="Arial"/>
          <w:bCs/>
        </w:rPr>
        <w:tab/>
        <w:t xml:space="preserve">Opportunity to be heard. A party is entitled upon timely request to an opportunity to be heard as to the propriety of taking judicial notice and the tenor of the matter noticed. In the absence of prior notification, the request may be made after judicial notice has been taken. </w:t>
      </w:r>
    </w:p>
    <w:p w:rsidR="00443CC9" w:rsidRDefault="00B600FA" w:rsidP="000F6F12">
      <w:pPr>
        <w:spacing w:after="240"/>
        <w:ind w:left="1440" w:right="720" w:hanging="720"/>
        <w:jc w:val="both"/>
        <w:rPr>
          <w:rFonts w:cs="Arial"/>
          <w:b/>
          <w:bCs/>
          <w:i/>
        </w:rPr>
      </w:pPr>
      <w:r>
        <w:rPr>
          <w:rFonts w:cs="Arial"/>
          <w:b/>
          <w:bCs/>
          <w:i/>
        </w:rPr>
        <w:t>(F)</w:t>
      </w:r>
      <w:r>
        <w:rPr>
          <w:rFonts w:cs="Arial"/>
          <w:b/>
          <w:bCs/>
          <w:i/>
        </w:rPr>
        <w:tab/>
        <w:t xml:space="preserve">Time of taking notice. Judicial notice may be taken at any stage of the proceeding. </w:t>
      </w:r>
    </w:p>
    <w:p w:rsidR="00443CC9" w:rsidRDefault="00B600FA" w:rsidP="000F6F12">
      <w:pPr>
        <w:spacing w:after="240"/>
        <w:ind w:left="1440" w:right="720" w:hanging="720"/>
        <w:jc w:val="both"/>
        <w:rPr>
          <w:rFonts w:cs="Arial"/>
          <w:bCs/>
        </w:rPr>
      </w:pPr>
      <w:r>
        <w:rPr>
          <w:rFonts w:cs="Arial"/>
          <w:bCs/>
        </w:rPr>
        <w:t>(G)</w:t>
      </w:r>
      <w:r>
        <w:rPr>
          <w:rFonts w:cs="Arial"/>
          <w:bCs/>
        </w:rPr>
        <w:tab/>
        <w:t>Instructing jury. In a civil action or proceeding, the court shall instruct the jury to accept as conclusive any fact judicially noticed. In a criminal case, the court shall instruct the jury that it may, but is not required to, accept as conclusive any fact judicially noticed.</w:t>
      </w:r>
    </w:p>
    <w:p w:rsidR="008A2F1A" w:rsidRDefault="008A2F1A" w:rsidP="00265026">
      <w:pPr>
        <w:spacing w:after="240"/>
        <w:ind w:right="720"/>
        <w:jc w:val="both"/>
        <w:rPr>
          <w:rFonts w:cs="Arial"/>
          <w:bCs/>
        </w:rPr>
      </w:pPr>
      <w:r>
        <w:rPr>
          <w:rFonts w:cs="Arial"/>
          <w:bCs/>
        </w:rPr>
        <w:t>(Emphasis added).</w:t>
      </w:r>
    </w:p>
    <w:p w:rsidR="00443CC9" w:rsidRDefault="00443CC9">
      <w:pPr>
        <w:spacing w:before="48"/>
        <w:ind w:right="720"/>
        <w:jc w:val="both"/>
        <w:rPr>
          <w:rFonts w:cs="Arial"/>
          <w:bCs/>
        </w:rPr>
      </w:pPr>
    </w:p>
    <w:p w:rsidR="00443CC9" w:rsidRDefault="00B600FA">
      <w:pPr>
        <w:spacing w:line="480" w:lineRule="auto"/>
        <w:ind w:firstLine="720"/>
        <w:jc w:val="both"/>
        <w:rPr>
          <w:rFonts w:cs="Arial"/>
          <w:bCs/>
        </w:rPr>
      </w:pPr>
      <w:r>
        <w:rPr>
          <w:rFonts w:cs="Arial"/>
          <w:bCs/>
        </w:rPr>
        <w:lastRenderedPageBreak/>
        <w:t>The information contained in Exhibit 1 satisfies the standard for judicial notice; thus, the Commission should take administrative notice of Exhibit 1.</w:t>
      </w:r>
      <w:r>
        <w:rPr>
          <w:rStyle w:val="FootnoteReference"/>
          <w:rFonts w:cs="Arial"/>
          <w:bCs/>
        </w:rPr>
        <w:footnoteReference w:id="5"/>
      </w:r>
      <w:r>
        <w:rPr>
          <w:rFonts w:cs="Arial"/>
          <w:bCs/>
        </w:rPr>
        <w:t xml:space="preserve">  The information contained in Exhibit 1 is capable of verification and can</w:t>
      </w:r>
      <w:r w:rsidR="008A2F1A">
        <w:rPr>
          <w:rFonts w:cs="Arial"/>
          <w:bCs/>
        </w:rPr>
        <w:t>not be disputed because Exhibit </w:t>
      </w:r>
      <w:r>
        <w:rPr>
          <w:rFonts w:cs="Arial"/>
          <w:bCs/>
        </w:rPr>
        <w:t>1 is viewable on AES Corporation’s website.</w:t>
      </w:r>
      <w:r>
        <w:rPr>
          <w:rStyle w:val="FootnoteReference"/>
          <w:rFonts w:cs="Arial"/>
          <w:bCs/>
        </w:rPr>
        <w:footnoteReference w:id="6"/>
      </w:r>
      <w:r>
        <w:rPr>
          <w:rFonts w:cs="Arial"/>
          <w:bCs/>
        </w:rPr>
        <w:t xml:space="preserve">  Finally, administrative notice may be taken at any time during the proceeding.</w:t>
      </w:r>
      <w:r>
        <w:rPr>
          <w:rStyle w:val="FootnoteReference"/>
          <w:rFonts w:cs="Arial"/>
          <w:bCs/>
        </w:rPr>
        <w:footnoteReference w:id="7"/>
      </w:r>
      <w:r>
        <w:rPr>
          <w:rFonts w:cs="Arial"/>
          <w:bCs/>
        </w:rPr>
        <w:t xml:space="preserve">  Under these circumstances, administrative notice is mandatory.</w:t>
      </w:r>
      <w:r>
        <w:rPr>
          <w:rStyle w:val="FootnoteReference"/>
          <w:rFonts w:cs="Arial"/>
          <w:bCs/>
        </w:rPr>
        <w:footnoteReference w:id="8"/>
      </w:r>
      <w:r>
        <w:rPr>
          <w:rFonts w:cs="Arial"/>
          <w:bCs/>
        </w:rPr>
        <w:t xml:space="preserve">     </w:t>
      </w:r>
    </w:p>
    <w:p w:rsidR="00443CC9" w:rsidRDefault="00B600FA">
      <w:pPr>
        <w:spacing w:line="480" w:lineRule="auto"/>
        <w:ind w:firstLine="720"/>
        <w:jc w:val="both"/>
        <w:rPr>
          <w:rFonts w:cs="Arial"/>
          <w:bCs/>
        </w:rPr>
      </w:pPr>
      <w:r>
        <w:rPr>
          <w:rFonts w:cs="Arial"/>
          <w:bCs/>
        </w:rPr>
        <w:t>The Commission’s rules and precedent also support reopening this proceeding or</w:t>
      </w:r>
      <w:r w:rsidR="008A2F1A">
        <w:rPr>
          <w:rFonts w:cs="Arial"/>
          <w:bCs/>
        </w:rPr>
        <w:t>,</w:t>
      </w:r>
      <w:r>
        <w:rPr>
          <w:rFonts w:cs="Arial"/>
          <w:bCs/>
        </w:rPr>
        <w:t xml:space="preserve"> in the alternative</w:t>
      </w:r>
      <w:r w:rsidR="008A2F1A">
        <w:rPr>
          <w:rFonts w:cs="Arial"/>
          <w:bCs/>
        </w:rPr>
        <w:t>,</w:t>
      </w:r>
      <w:r>
        <w:rPr>
          <w:rFonts w:cs="Arial"/>
          <w:bCs/>
        </w:rPr>
        <w:t xml:space="preserve"> permitting IEU-Ohio to supplement the record.  Rule 4901-1-34, Ohio Administrative Code (“OAC”), allows the Commission to reopen a proceeding for good cause at any time before the issuance of a final order:</w:t>
      </w:r>
    </w:p>
    <w:p w:rsidR="00443CC9" w:rsidRDefault="00B600FA" w:rsidP="00265026">
      <w:pPr>
        <w:ind w:left="1440" w:right="720" w:hanging="720"/>
        <w:jc w:val="both"/>
        <w:rPr>
          <w:rFonts w:cs="Arial"/>
          <w:bCs/>
        </w:rPr>
      </w:pPr>
      <w:r>
        <w:rPr>
          <w:rFonts w:cs="Arial"/>
        </w:rPr>
        <w:t>(A)</w:t>
      </w:r>
      <w:r>
        <w:rPr>
          <w:rFonts w:cs="Arial"/>
        </w:rPr>
        <w:tab/>
        <w:t>The commission, the legal director, the deputy legal director, or an attorney examiner may, upon their own motion or upon motion of any person for good cause shown, reopen a proceeding at any time prior to the issuance of a final order.</w:t>
      </w:r>
    </w:p>
    <w:p w:rsidR="00443CC9" w:rsidRDefault="00B600FA" w:rsidP="00265026">
      <w:pPr>
        <w:spacing w:before="100" w:beforeAutospacing="1" w:after="100" w:afterAutospacing="1"/>
        <w:ind w:left="1440" w:right="720" w:hanging="720"/>
        <w:jc w:val="both"/>
        <w:rPr>
          <w:rFonts w:cs="Arial"/>
        </w:rPr>
      </w:pPr>
      <w:r>
        <w:rPr>
          <w:rFonts w:cs="Arial"/>
        </w:rPr>
        <w:t>(B)</w:t>
      </w:r>
      <w:r>
        <w:rPr>
          <w:rFonts w:cs="Arial"/>
        </w:rPr>
        <w:tab/>
        <w:t>A motion to reopen a proceeding shall specifically set forth the purpose of the requested reopening.  If the purpose is to permit the presentation of additional evidence, the motion shall specifically describe the nature and purpose of such evidence, and shall set forth facts showing why such evidence could not, with reasonable diligence, have been presented earlier in the proceeding.</w:t>
      </w:r>
    </w:p>
    <w:p w:rsidR="00443CC9" w:rsidRDefault="00B600FA">
      <w:pPr>
        <w:autoSpaceDE w:val="0"/>
        <w:autoSpaceDN w:val="0"/>
        <w:adjustRightInd w:val="0"/>
        <w:spacing w:line="480" w:lineRule="auto"/>
        <w:jc w:val="both"/>
        <w:rPr>
          <w:rFonts w:cs="Arial"/>
        </w:rPr>
      </w:pPr>
      <w:r>
        <w:rPr>
          <w:rFonts w:cs="Arial"/>
          <w:bCs/>
        </w:rPr>
        <w:t xml:space="preserve">The Commission recently permitted AEP-Ohio to file Supplemental Reply Comments related to its </w:t>
      </w:r>
      <w:r w:rsidR="00FC6EEB">
        <w:rPr>
          <w:rFonts w:cs="Arial"/>
          <w:bCs/>
        </w:rPr>
        <w:t>gridSMART a</w:t>
      </w:r>
      <w:r>
        <w:rPr>
          <w:rFonts w:cs="Arial"/>
          <w:bCs/>
        </w:rPr>
        <w:t xml:space="preserve">pplication, out-of-time, over the objections of the Office of the </w:t>
      </w:r>
      <w:r>
        <w:rPr>
          <w:rFonts w:cs="Arial"/>
          <w:bCs/>
        </w:rPr>
        <w:lastRenderedPageBreak/>
        <w:t>Ohio Consumers’ Counsel ("OCC"), because AEP-Ohio had provided</w:t>
      </w:r>
      <w:r>
        <w:rPr>
          <w:rFonts w:cs="Arial"/>
        </w:rPr>
        <w:t xml:space="preserve"> the Commission with more comprehensive and up-to-date information</w:t>
      </w:r>
      <w:r>
        <w:rPr>
          <w:rFonts w:cs="Arial"/>
          <w:bCs/>
        </w:rPr>
        <w:t>:</w:t>
      </w:r>
    </w:p>
    <w:p w:rsidR="00443CC9" w:rsidRDefault="00B600FA">
      <w:pPr>
        <w:autoSpaceDE w:val="0"/>
        <w:autoSpaceDN w:val="0"/>
        <w:adjustRightInd w:val="0"/>
        <w:ind w:left="720" w:right="720"/>
        <w:jc w:val="both"/>
        <w:rPr>
          <w:rFonts w:cs="Arial"/>
        </w:rPr>
      </w:pPr>
      <w:r>
        <w:rPr>
          <w:rFonts w:cs="Arial"/>
        </w:rPr>
        <w:t xml:space="preserve">The Commission grants AEP-Ohio's requests to supplement its reply comments and the request for expedited ruling in this case.  Although the supplemental reply comments are not timely, </w:t>
      </w:r>
      <w:r>
        <w:rPr>
          <w:rFonts w:cs="Arial"/>
          <w:i/>
        </w:rPr>
        <w:t>the additional information contradicts a claim of the Staff</w:t>
      </w:r>
      <w:r>
        <w:rPr>
          <w:rFonts w:cs="Arial"/>
        </w:rPr>
        <w:t xml:space="preserve"> </w:t>
      </w:r>
      <w:r>
        <w:rPr>
          <w:rFonts w:cs="Arial"/>
          <w:i/>
        </w:rPr>
        <w:t>and, in point of fact, substantiates the comments of OCC as to the CES program</w:t>
      </w:r>
      <w:r>
        <w:rPr>
          <w:rFonts w:cs="Arial"/>
        </w:rPr>
        <w:t>. We note that the Staff does not oppose the claims made by the Company in its supplemental reply comments.  The additional information presented by the Company facilitates a Commission decision based on the latest and best information available.</w:t>
      </w:r>
      <w:r>
        <w:rPr>
          <w:rFonts w:cs="Arial"/>
          <w:vertAlign w:val="superscript"/>
        </w:rPr>
        <w:footnoteReference w:id="9"/>
      </w:r>
    </w:p>
    <w:p w:rsidR="00443CC9" w:rsidRDefault="00443CC9">
      <w:pPr>
        <w:autoSpaceDE w:val="0"/>
        <w:autoSpaceDN w:val="0"/>
        <w:adjustRightInd w:val="0"/>
        <w:ind w:right="720"/>
        <w:jc w:val="both"/>
        <w:rPr>
          <w:rFonts w:cs="Arial"/>
        </w:rPr>
      </w:pPr>
    </w:p>
    <w:p w:rsidR="00443CC9" w:rsidRDefault="00B600FA">
      <w:pPr>
        <w:autoSpaceDE w:val="0"/>
        <w:autoSpaceDN w:val="0"/>
        <w:adjustRightInd w:val="0"/>
        <w:spacing w:line="480" w:lineRule="auto"/>
        <w:jc w:val="both"/>
        <w:rPr>
          <w:rFonts w:cs="Arial"/>
        </w:rPr>
      </w:pPr>
      <w:r>
        <w:rPr>
          <w:rFonts w:cs="Arial"/>
        </w:rPr>
        <w:t>Thus, the Commission has reopened proceeding</w:t>
      </w:r>
      <w:r w:rsidR="007B24A5">
        <w:rPr>
          <w:rFonts w:cs="Arial"/>
        </w:rPr>
        <w:t>s</w:t>
      </w:r>
      <w:r>
        <w:rPr>
          <w:rFonts w:cs="Arial"/>
        </w:rPr>
        <w:t xml:space="preserve"> to accept additional evidence when the evidence provides valuable information relevant to the Commission’s determination.  Moreover, the Commission has granted motions to supplement the record when necessary information was not available at the time of the hearing.</w:t>
      </w:r>
      <w:r>
        <w:rPr>
          <w:rFonts w:cs="Arial"/>
          <w:vertAlign w:val="superscript"/>
        </w:rPr>
        <w:footnoteReference w:id="10"/>
      </w:r>
      <w:r>
        <w:rPr>
          <w:rFonts w:cs="Arial"/>
        </w:rPr>
        <w:t xml:space="preserve">  </w:t>
      </w:r>
    </w:p>
    <w:p w:rsidR="00443CC9" w:rsidRDefault="00B600FA">
      <w:pPr>
        <w:spacing w:line="480" w:lineRule="auto"/>
        <w:ind w:firstLine="720"/>
        <w:jc w:val="both"/>
        <w:rPr>
          <w:rFonts w:cs="Arial"/>
          <w:bCs/>
        </w:rPr>
      </w:pPr>
      <w:r>
        <w:rPr>
          <w:rFonts w:cs="Arial"/>
          <w:bCs/>
        </w:rPr>
        <w:t>The purpose of reopening this proceeding or supplementing the record is to provide the Commission with accurate information regarding the status of DP&amp;L</w:t>
      </w:r>
      <w:r w:rsidR="00FC6EEB">
        <w:rPr>
          <w:rFonts w:cs="Arial"/>
          <w:bCs/>
        </w:rPr>
        <w:t>’s</w:t>
      </w:r>
      <w:r>
        <w:rPr>
          <w:rFonts w:cs="Arial"/>
          <w:bCs/>
        </w:rPr>
        <w:t xml:space="preserve"> long-term debt refinancing. </w:t>
      </w:r>
      <w:r w:rsidR="00FC6EEB">
        <w:rPr>
          <w:rFonts w:cs="Arial"/>
          <w:bCs/>
        </w:rPr>
        <w:t xml:space="preserve"> </w:t>
      </w:r>
      <w:r>
        <w:rPr>
          <w:rFonts w:cs="Arial"/>
          <w:bCs/>
        </w:rPr>
        <w:t xml:space="preserve">That process will be completed prior to the resolution of this proceeding; thus, contrary to DP&amp;L’s claim, this proceeding will have no impact on its ability to refinance the long-term debt that will come due in 2013.  </w:t>
      </w:r>
    </w:p>
    <w:p w:rsidR="00443CC9" w:rsidRDefault="00B600FA">
      <w:pPr>
        <w:spacing w:line="480" w:lineRule="auto"/>
        <w:ind w:firstLine="720"/>
        <w:jc w:val="both"/>
        <w:rPr>
          <w:rFonts w:cs="Arial"/>
          <w:bCs/>
        </w:rPr>
      </w:pPr>
      <w:r>
        <w:rPr>
          <w:rFonts w:cs="Arial"/>
          <w:bCs/>
        </w:rPr>
        <w:t xml:space="preserve">The hearing occurred in March of 2013.  Exhibit 1 provides updated information that could not have been provided, with reasonable diligence, during the hearing.  Good cause exists for granting the Motion because Exhibit 1 is relevant to DP&amp;L’s claims, and </w:t>
      </w:r>
      <w:r>
        <w:rPr>
          <w:rFonts w:cs="Arial"/>
          <w:bCs/>
        </w:rPr>
        <w:lastRenderedPageBreak/>
        <w:t xml:space="preserve">it provides the most up-to-date evidence with respect to the current status of DP&amp;L’s long-term debt.  IEU-Ohio requests that the Commission reopen the record in this proceeding or in the alternative supplement the record to accept the evidence contained in Exhibit 1 into the record.  </w:t>
      </w:r>
    </w:p>
    <w:p w:rsidR="00443CC9" w:rsidRDefault="00B600FA">
      <w:pPr>
        <w:spacing w:line="480" w:lineRule="auto"/>
        <w:ind w:firstLine="720"/>
        <w:jc w:val="both"/>
        <w:rPr>
          <w:rFonts w:cs="Arial"/>
          <w:bCs/>
        </w:rPr>
      </w:pPr>
      <w:r>
        <w:rPr>
          <w:rFonts w:cs="Arial"/>
          <w:bCs/>
        </w:rPr>
        <w:t>For the reasons stated herein, IEU-Ohio requests that the Commission grant the relief requested in this Motion.</w:t>
      </w:r>
    </w:p>
    <w:p w:rsidR="00443CC9" w:rsidRDefault="00B600FA" w:rsidP="00265026">
      <w:pPr>
        <w:spacing w:after="200" w:line="276" w:lineRule="auto"/>
        <w:ind w:left="4320"/>
        <w:rPr>
          <w:rFonts w:cs="Arial"/>
        </w:rPr>
      </w:pPr>
      <w:r>
        <w:rPr>
          <w:rFonts w:cs="Arial"/>
        </w:rPr>
        <w:t>Respectfully submitted,</w:t>
      </w:r>
    </w:p>
    <w:p w:rsidR="00443CC9" w:rsidRDefault="00443CC9" w:rsidP="00FC6EEB">
      <w:pPr>
        <w:tabs>
          <w:tab w:val="left" w:pos="-1350"/>
          <w:tab w:val="right" w:pos="8640"/>
        </w:tabs>
        <w:ind w:left="4320"/>
        <w:jc w:val="both"/>
        <w:rPr>
          <w:rFonts w:cs="Arial"/>
        </w:rPr>
      </w:pPr>
    </w:p>
    <w:p w:rsidR="00B600FA" w:rsidRDefault="00B600FA" w:rsidP="00FC6EEB">
      <w:pPr>
        <w:tabs>
          <w:tab w:val="left" w:pos="-1350"/>
          <w:tab w:val="right" w:pos="8640"/>
        </w:tabs>
        <w:ind w:left="4320"/>
        <w:jc w:val="both"/>
        <w:rPr>
          <w:rFonts w:cs="Arial"/>
          <w:u w:val="single"/>
        </w:rPr>
      </w:pPr>
    </w:p>
    <w:p w:rsidR="00B600FA" w:rsidRDefault="00B600FA" w:rsidP="00FC6EEB">
      <w:pPr>
        <w:tabs>
          <w:tab w:val="left" w:pos="-1350"/>
          <w:tab w:val="right" w:pos="8640"/>
        </w:tabs>
        <w:ind w:left="4320"/>
        <w:jc w:val="both"/>
        <w:rPr>
          <w:rFonts w:cs="Arial"/>
          <w:u w:val="single"/>
        </w:rPr>
      </w:pPr>
    </w:p>
    <w:p w:rsidR="00443CC9" w:rsidRDefault="00B600FA" w:rsidP="00FC6EEB">
      <w:pPr>
        <w:tabs>
          <w:tab w:val="left" w:pos="-1350"/>
          <w:tab w:val="right" w:pos="8640"/>
        </w:tabs>
        <w:ind w:left="4320"/>
        <w:jc w:val="both"/>
        <w:rPr>
          <w:rFonts w:cs="Arial"/>
          <w:u w:val="single"/>
        </w:rPr>
      </w:pPr>
      <w:r>
        <w:rPr>
          <w:rFonts w:cs="Arial"/>
          <w:u w:val="single"/>
        </w:rPr>
        <w:t>/s/ Joseph E. Oliker</w:t>
      </w:r>
      <w:r>
        <w:rPr>
          <w:rFonts w:cs="Arial"/>
          <w:u w:val="single"/>
        </w:rPr>
        <w:tab/>
      </w:r>
      <w:r>
        <w:rPr>
          <w:rFonts w:cs="Arial"/>
          <w:u w:val="single"/>
        </w:rPr>
        <w:tab/>
      </w:r>
    </w:p>
    <w:p w:rsidR="00443CC9" w:rsidRDefault="00B600FA" w:rsidP="00FC6EEB">
      <w:pPr>
        <w:tabs>
          <w:tab w:val="left" w:pos="-1350"/>
          <w:tab w:val="right" w:pos="8640"/>
        </w:tabs>
        <w:ind w:left="4320"/>
        <w:jc w:val="both"/>
        <w:rPr>
          <w:rFonts w:cs="Arial"/>
        </w:rPr>
      </w:pPr>
      <w:r>
        <w:rPr>
          <w:rFonts w:cs="Arial"/>
        </w:rPr>
        <w:t xml:space="preserve">Samuel C. Randazzo </w:t>
      </w:r>
    </w:p>
    <w:p w:rsidR="00443CC9" w:rsidRDefault="00B600FA" w:rsidP="00FC6EEB">
      <w:pPr>
        <w:pStyle w:val="BodyText3"/>
        <w:widowControl w:val="0"/>
        <w:tabs>
          <w:tab w:val="left" w:pos="0"/>
        </w:tabs>
        <w:ind w:left="4320"/>
        <w:jc w:val="both"/>
        <w:rPr>
          <w:rFonts w:cs="Arial"/>
          <w:b w:val="0"/>
          <w:bCs/>
        </w:rPr>
      </w:pPr>
      <w:r>
        <w:rPr>
          <w:rFonts w:cs="Arial"/>
          <w:b w:val="0"/>
          <w:bCs/>
        </w:rPr>
        <w:t>(Counsel of Record)</w:t>
      </w:r>
    </w:p>
    <w:p w:rsidR="00443CC9" w:rsidRDefault="00B600FA" w:rsidP="00FC6EEB">
      <w:pPr>
        <w:pStyle w:val="BodyText3"/>
        <w:widowControl w:val="0"/>
        <w:tabs>
          <w:tab w:val="left" w:pos="0"/>
        </w:tabs>
        <w:ind w:left="4320"/>
        <w:jc w:val="both"/>
        <w:rPr>
          <w:rFonts w:cs="Arial"/>
          <w:b w:val="0"/>
          <w:bCs/>
        </w:rPr>
      </w:pPr>
      <w:r>
        <w:rPr>
          <w:rFonts w:cs="Arial"/>
          <w:b w:val="0"/>
          <w:bCs/>
        </w:rPr>
        <w:t>Frank P. Darr</w:t>
      </w:r>
    </w:p>
    <w:p w:rsidR="00443CC9" w:rsidRDefault="00B600FA" w:rsidP="00FC6EEB">
      <w:pPr>
        <w:pStyle w:val="BodyText3"/>
        <w:widowControl w:val="0"/>
        <w:tabs>
          <w:tab w:val="left" w:pos="0"/>
        </w:tabs>
        <w:ind w:left="4320"/>
        <w:jc w:val="both"/>
        <w:rPr>
          <w:rFonts w:cs="Arial"/>
          <w:b w:val="0"/>
          <w:bCs/>
        </w:rPr>
      </w:pPr>
      <w:r>
        <w:rPr>
          <w:rFonts w:cs="Arial"/>
          <w:b w:val="0"/>
          <w:bCs/>
        </w:rPr>
        <w:t>Joseph E. Oliker</w:t>
      </w:r>
    </w:p>
    <w:p w:rsidR="00443CC9" w:rsidRDefault="00B600FA" w:rsidP="00FC6EEB">
      <w:pPr>
        <w:pStyle w:val="BodyText3"/>
        <w:widowControl w:val="0"/>
        <w:tabs>
          <w:tab w:val="left" w:pos="0"/>
        </w:tabs>
        <w:ind w:left="4320"/>
        <w:jc w:val="both"/>
        <w:rPr>
          <w:rFonts w:cs="Arial"/>
          <w:b w:val="0"/>
          <w:bCs/>
        </w:rPr>
      </w:pPr>
      <w:r>
        <w:rPr>
          <w:rFonts w:cs="Arial"/>
          <w:b w:val="0"/>
          <w:bCs/>
        </w:rPr>
        <w:t>Matthew R. Pritchard</w:t>
      </w:r>
    </w:p>
    <w:p w:rsidR="00443CC9" w:rsidRDefault="00B600FA" w:rsidP="00FC6EEB">
      <w:pPr>
        <w:pStyle w:val="BodyText3"/>
        <w:widowControl w:val="0"/>
        <w:tabs>
          <w:tab w:val="left" w:pos="0"/>
        </w:tabs>
        <w:ind w:left="4320"/>
        <w:jc w:val="both"/>
        <w:rPr>
          <w:rFonts w:cs="Arial"/>
          <w:b w:val="0"/>
          <w:bCs/>
          <w:smallCaps/>
          <w:szCs w:val="24"/>
        </w:rPr>
      </w:pPr>
      <w:r>
        <w:rPr>
          <w:rFonts w:cs="Arial"/>
          <w:b w:val="0"/>
          <w:bCs/>
          <w:smallCaps/>
          <w:szCs w:val="24"/>
        </w:rPr>
        <w:t>McNees Wallace &amp; Nurick LLC</w:t>
      </w:r>
    </w:p>
    <w:p w:rsidR="00443CC9" w:rsidRDefault="00B600FA" w:rsidP="00FC6EEB">
      <w:pPr>
        <w:pStyle w:val="BodyText3"/>
        <w:widowControl w:val="0"/>
        <w:tabs>
          <w:tab w:val="left" w:pos="0"/>
        </w:tabs>
        <w:ind w:left="4320"/>
        <w:jc w:val="both"/>
        <w:rPr>
          <w:rFonts w:cs="Arial"/>
          <w:b w:val="0"/>
          <w:bCs/>
        </w:rPr>
      </w:pPr>
      <w:r>
        <w:rPr>
          <w:rFonts w:cs="Arial"/>
          <w:b w:val="0"/>
          <w:bCs/>
        </w:rPr>
        <w:t>21 East State Street, 17</w:t>
      </w:r>
      <w:r>
        <w:rPr>
          <w:rFonts w:cs="Arial"/>
          <w:b w:val="0"/>
          <w:bCs/>
          <w:vertAlign w:val="superscript"/>
        </w:rPr>
        <w:t>TH</w:t>
      </w:r>
      <w:r>
        <w:rPr>
          <w:rFonts w:cs="Arial"/>
          <w:b w:val="0"/>
          <w:bCs/>
        </w:rPr>
        <w:t xml:space="preserve"> Floor</w:t>
      </w:r>
    </w:p>
    <w:p w:rsidR="00443CC9" w:rsidRDefault="00B600FA" w:rsidP="00FC6EEB">
      <w:pPr>
        <w:pStyle w:val="BodyText"/>
        <w:tabs>
          <w:tab w:val="left" w:pos="0"/>
        </w:tabs>
        <w:ind w:left="4320"/>
      </w:pPr>
      <w:r>
        <w:t>Columbus, OH  43215</w:t>
      </w:r>
    </w:p>
    <w:p w:rsidR="00443CC9" w:rsidRDefault="00B600FA" w:rsidP="00FC6EEB">
      <w:pPr>
        <w:pStyle w:val="BodyText"/>
        <w:tabs>
          <w:tab w:val="left" w:pos="0"/>
        </w:tabs>
        <w:ind w:left="4320"/>
      </w:pPr>
      <w:r>
        <w:t>Telephone:  (614) 469-8000</w:t>
      </w:r>
    </w:p>
    <w:p w:rsidR="00443CC9" w:rsidRDefault="00B600FA" w:rsidP="00FC6EEB">
      <w:pPr>
        <w:pStyle w:val="BodyText"/>
        <w:tabs>
          <w:tab w:val="left" w:pos="0"/>
        </w:tabs>
        <w:ind w:left="4320"/>
      </w:pPr>
      <w:r>
        <w:t>Telecopier:  (614) 469-4653</w:t>
      </w:r>
    </w:p>
    <w:p w:rsidR="00443CC9" w:rsidRDefault="00B600FA" w:rsidP="00FC6EEB">
      <w:pPr>
        <w:pStyle w:val="BodyText"/>
        <w:tabs>
          <w:tab w:val="left" w:pos="0"/>
        </w:tabs>
        <w:ind w:left="4320"/>
      </w:pPr>
      <w:r>
        <w:t>sam@mwncmh.com</w:t>
      </w:r>
    </w:p>
    <w:p w:rsidR="00443CC9" w:rsidRDefault="00B600FA" w:rsidP="00FC6EEB">
      <w:pPr>
        <w:pStyle w:val="BodyText"/>
        <w:tabs>
          <w:tab w:val="left" w:pos="0"/>
        </w:tabs>
        <w:ind w:left="4320"/>
      </w:pPr>
      <w:r>
        <w:t>fdarr@mwncmh.com</w:t>
      </w:r>
    </w:p>
    <w:p w:rsidR="00443CC9" w:rsidRDefault="00B600FA" w:rsidP="00FC6EEB">
      <w:pPr>
        <w:pStyle w:val="BodyText"/>
        <w:tabs>
          <w:tab w:val="left" w:pos="0"/>
        </w:tabs>
        <w:ind w:left="4320"/>
      </w:pPr>
      <w:r>
        <w:t>joliker@mwncmh.com</w:t>
      </w:r>
    </w:p>
    <w:p w:rsidR="00443CC9" w:rsidRDefault="00B600FA" w:rsidP="00FC6EEB">
      <w:pPr>
        <w:pStyle w:val="BodyText"/>
        <w:tabs>
          <w:tab w:val="left" w:pos="0"/>
        </w:tabs>
        <w:ind w:left="4320"/>
      </w:pPr>
      <w:r>
        <w:t>mpritchard@mwncmh.com</w:t>
      </w:r>
    </w:p>
    <w:p w:rsidR="00443CC9" w:rsidRDefault="00443CC9" w:rsidP="00FC6EEB">
      <w:pPr>
        <w:pStyle w:val="BodyText"/>
        <w:tabs>
          <w:tab w:val="left" w:pos="0"/>
        </w:tabs>
        <w:ind w:left="4320"/>
      </w:pPr>
    </w:p>
    <w:p w:rsidR="00443CC9" w:rsidRDefault="00B600FA" w:rsidP="00FC6EEB">
      <w:pPr>
        <w:autoSpaceDE w:val="0"/>
        <w:autoSpaceDN w:val="0"/>
        <w:adjustRightInd w:val="0"/>
        <w:ind w:left="4320"/>
        <w:rPr>
          <w:rFonts w:cs="Arial"/>
          <w:b/>
          <w:smallCaps/>
        </w:rPr>
      </w:pPr>
      <w:r>
        <w:rPr>
          <w:rFonts w:cs="Arial"/>
          <w:b/>
          <w:smallCaps/>
        </w:rPr>
        <w:t>Attorneys for Industrial Energy Users-Ohio</w:t>
      </w:r>
    </w:p>
    <w:p w:rsidR="00443CC9" w:rsidRDefault="00443CC9">
      <w:pPr>
        <w:autoSpaceDE w:val="0"/>
        <w:autoSpaceDN w:val="0"/>
        <w:adjustRightInd w:val="0"/>
        <w:rPr>
          <w:rFonts w:cs="Arial"/>
          <w:smallCaps/>
        </w:rPr>
      </w:pPr>
    </w:p>
    <w:p w:rsidR="00265026" w:rsidRDefault="00265026">
      <w:pPr>
        <w:jc w:val="center"/>
        <w:rPr>
          <w:rFonts w:ascii="Arial Bold" w:hAnsi="Arial Bold"/>
          <w:b/>
          <w:caps/>
          <w:u w:val="single"/>
        </w:rPr>
        <w:sectPr w:rsidR="00265026" w:rsidSect="00265026">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1141" w:left="1440" w:header="720" w:footer="720" w:gutter="0"/>
          <w:pgNumType w:start="1"/>
          <w:cols w:space="720"/>
          <w:titlePg/>
          <w:docGrid w:linePitch="326"/>
        </w:sect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Default="00265026" w:rsidP="00265026">
      <w:pPr>
        <w:jc w:val="center"/>
        <w:rPr>
          <w:rFonts w:ascii="Arial Bold" w:hAnsi="Arial Bold"/>
          <w:b/>
          <w:caps/>
        </w:rPr>
      </w:pPr>
    </w:p>
    <w:p w:rsidR="00265026" w:rsidRPr="00265026" w:rsidRDefault="00265026" w:rsidP="00265026">
      <w:pPr>
        <w:jc w:val="center"/>
        <w:rPr>
          <w:rFonts w:ascii="Arial Bold" w:hAnsi="Arial Bold"/>
          <w:b/>
          <w:caps/>
          <w:sz w:val="48"/>
          <w:szCs w:val="48"/>
        </w:rPr>
      </w:pPr>
      <w:r w:rsidRPr="00265026">
        <w:rPr>
          <w:rFonts w:ascii="Arial Bold" w:hAnsi="Arial Bold"/>
          <w:b/>
          <w:caps/>
          <w:sz w:val="48"/>
          <w:szCs w:val="48"/>
        </w:rPr>
        <w:t>IEU-OHIO SUPPLEMENTAL exhibit 1</w:t>
      </w:r>
    </w:p>
    <w:p w:rsidR="00265026" w:rsidRDefault="00265026">
      <w:pPr>
        <w:jc w:val="center"/>
        <w:rPr>
          <w:rFonts w:ascii="Arial Bold" w:hAnsi="Arial Bold"/>
          <w:b/>
          <w:caps/>
          <w:u w:val="single"/>
        </w:rPr>
        <w:sectPr w:rsidR="00265026" w:rsidSect="00265026">
          <w:pgSz w:w="12240" w:h="15840" w:code="1"/>
          <w:pgMar w:top="1440" w:right="1440" w:bottom="1141" w:left="1440" w:header="720" w:footer="720" w:gutter="0"/>
          <w:pgNumType w:start="1"/>
          <w:cols w:space="720"/>
          <w:titlePg/>
          <w:docGrid w:linePitch="326"/>
        </w:sectPr>
      </w:pPr>
    </w:p>
    <w:p w:rsidR="00AE5AB6" w:rsidRDefault="00AE5AB6">
      <w:pPr>
        <w:jc w:val="center"/>
        <w:rPr>
          <w:rFonts w:ascii="Arial Bold" w:hAnsi="Arial Bold"/>
          <w:b/>
          <w:caps/>
          <w:u w:val="single"/>
        </w:rPr>
        <w:sectPr w:rsidR="00AE5AB6" w:rsidSect="00265026">
          <w:pgSz w:w="12240" w:h="15840" w:code="1"/>
          <w:pgMar w:top="1440" w:right="1440" w:bottom="1141" w:left="1440" w:header="720" w:footer="720" w:gutter="0"/>
          <w:pgNumType w:start="1"/>
          <w:cols w:space="720"/>
          <w:titlePg/>
          <w:docGrid w:linePitch="326"/>
        </w:sectPr>
      </w:pPr>
      <w:r>
        <w:rPr>
          <w:rFonts w:ascii="Arial Bold" w:hAnsi="Arial Bold"/>
          <w:b/>
          <w:caps/>
          <w:noProof/>
          <w:u w:val="single"/>
        </w:rPr>
        <w:lastRenderedPageBreak/>
        <w:drawing>
          <wp:inline distT="0" distB="0" distL="0" distR="0">
            <wp:extent cx="5943600" cy="875855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8758554"/>
                    </a:xfrm>
                    <a:prstGeom prst="rect">
                      <a:avLst/>
                    </a:prstGeom>
                  </pic:spPr>
                </pic:pic>
              </a:graphicData>
            </a:graphic>
          </wp:inline>
        </w:drawing>
      </w:r>
    </w:p>
    <w:p w:rsidR="00AE5AB6" w:rsidRDefault="00AE5AB6">
      <w:pPr>
        <w:jc w:val="center"/>
        <w:rPr>
          <w:rFonts w:ascii="Arial Bold" w:hAnsi="Arial Bold"/>
          <w:b/>
          <w:caps/>
          <w:u w:val="single"/>
        </w:rPr>
        <w:sectPr w:rsidR="00AE5AB6" w:rsidSect="00265026">
          <w:pgSz w:w="12240" w:h="15840" w:code="1"/>
          <w:pgMar w:top="1440" w:right="1440" w:bottom="1141" w:left="1440" w:header="720" w:footer="720" w:gutter="0"/>
          <w:pgNumType w:start="1"/>
          <w:cols w:space="720"/>
          <w:titlePg/>
          <w:docGrid w:linePitch="326"/>
        </w:sectPr>
      </w:pPr>
      <w:r>
        <w:rPr>
          <w:rFonts w:ascii="Arial Bold" w:hAnsi="Arial Bold"/>
          <w:b/>
          <w:caps/>
          <w:noProof/>
          <w:u w:val="single"/>
        </w:rPr>
        <w:lastRenderedPageBreak/>
        <w:drawing>
          <wp:inline distT="0" distB="0" distL="0" distR="0">
            <wp:extent cx="5943600" cy="8391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8391524"/>
                    </a:xfrm>
                    <a:prstGeom prst="rect">
                      <a:avLst/>
                    </a:prstGeom>
                  </pic:spPr>
                </pic:pic>
              </a:graphicData>
            </a:graphic>
          </wp:inline>
        </w:drawing>
      </w:r>
    </w:p>
    <w:p w:rsidR="00AE5AB6" w:rsidRDefault="00AE5AB6">
      <w:pPr>
        <w:jc w:val="center"/>
        <w:rPr>
          <w:rFonts w:ascii="Arial Bold" w:hAnsi="Arial Bold"/>
          <w:b/>
          <w:caps/>
          <w:u w:val="single"/>
        </w:rPr>
        <w:sectPr w:rsidR="00AE5AB6" w:rsidSect="00265026">
          <w:pgSz w:w="12240" w:h="15840" w:code="1"/>
          <w:pgMar w:top="1440" w:right="1440" w:bottom="1141" w:left="1440" w:header="720" w:footer="720" w:gutter="0"/>
          <w:pgNumType w:start="1"/>
          <w:cols w:space="720"/>
          <w:titlePg/>
          <w:docGrid w:linePitch="326"/>
        </w:sectPr>
      </w:pPr>
      <w:r>
        <w:rPr>
          <w:rFonts w:ascii="Arial Bold" w:hAnsi="Arial Bold"/>
          <w:b/>
          <w:caps/>
          <w:noProof/>
          <w:u w:val="single"/>
        </w:rPr>
        <w:lastRenderedPageBreak/>
        <w:drawing>
          <wp:inline distT="0" distB="0" distL="0" distR="0">
            <wp:extent cx="5943600" cy="836231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3.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8362314"/>
                    </a:xfrm>
                    <a:prstGeom prst="rect">
                      <a:avLst/>
                    </a:prstGeom>
                  </pic:spPr>
                </pic:pic>
              </a:graphicData>
            </a:graphic>
          </wp:inline>
        </w:drawing>
      </w:r>
    </w:p>
    <w:p w:rsidR="00AE5AB6" w:rsidRDefault="00AE5AB6">
      <w:pPr>
        <w:jc w:val="center"/>
        <w:rPr>
          <w:rFonts w:ascii="Arial Bold" w:hAnsi="Arial Bold"/>
          <w:b/>
          <w:caps/>
          <w:u w:val="single"/>
        </w:rPr>
        <w:sectPr w:rsidR="00AE5AB6" w:rsidSect="00265026">
          <w:pgSz w:w="12240" w:h="15840" w:code="1"/>
          <w:pgMar w:top="1440" w:right="1440" w:bottom="1141" w:left="1440" w:header="720" w:footer="720" w:gutter="0"/>
          <w:pgNumType w:start="1"/>
          <w:cols w:space="720"/>
          <w:titlePg/>
          <w:docGrid w:linePitch="326"/>
        </w:sectPr>
      </w:pPr>
      <w:r>
        <w:rPr>
          <w:rFonts w:ascii="Arial Bold" w:hAnsi="Arial Bold"/>
          <w:b/>
          <w:caps/>
          <w:noProof/>
          <w:u w:val="single"/>
        </w:rPr>
        <w:lastRenderedPageBreak/>
        <w:drawing>
          <wp:inline distT="0" distB="0" distL="0" distR="0">
            <wp:extent cx="5943600" cy="8315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8315960"/>
                    </a:xfrm>
                    <a:prstGeom prst="rect">
                      <a:avLst/>
                    </a:prstGeom>
                  </pic:spPr>
                </pic:pic>
              </a:graphicData>
            </a:graphic>
          </wp:inline>
        </w:drawing>
      </w:r>
    </w:p>
    <w:p w:rsidR="00443CC9" w:rsidRDefault="00B600FA">
      <w:pPr>
        <w:jc w:val="center"/>
        <w:rPr>
          <w:rFonts w:ascii="Arial Bold" w:hAnsi="Arial Bold"/>
          <w:b/>
          <w:i/>
          <w:caps/>
          <w:smallCaps/>
          <w:u w:val="single"/>
        </w:rPr>
      </w:pPr>
      <w:r>
        <w:rPr>
          <w:rFonts w:ascii="Arial Bold" w:hAnsi="Arial Bold"/>
          <w:b/>
          <w:caps/>
          <w:u w:val="single"/>
        </w:rPr>
        <w:lastRenderedPageBreak/>
        <w:t>Certificate of Service</w:t>
      </w:r>
    </w:p>
    <w:p w:rsidR="00443CC9" w:rsidRDefault="00443CC9">
      <w:pPr>
        <w:jc w:val="both"/>
      </w:pPr>
    </w:p>
    <w:p w:rsidR="00443CC9" w:rsidRDefault="00B600FA" w:rsidP="00265026">
      <w:pPr>
        <w:pStyle w:val="BodyText"/>
        <w:spacing w:line="360" w:lineRule="auto"/>
        <w:ind w:firstLine="720"/>
        <w:rPr>
          <w:b/>
          <w:smallCaps/>
        </w:rPr>
      </w:pPr>
      <w:r>
        <w:t xml:space="preserve">I hereby certify that a copy of the foregoing </w:t>
      </w:r>
      <w:r>
        <w:rPr>
          <w:i/>
        </w:rPr>
        <w:t>Motion for Administrative Notice or in the Alternative to Reopen this Proceeding or in the Alternative to Supplement the Record of Industrial Energy Users-Ohio and Request for Expedited Treatment and Memorandum in Support</w:t>
      </w:r>
      <w:r>
        <w:rPr>
          <w:i/>
          <w:iCs/>
        </w:rPr>
        <w:t xml:space="preserve"> </w:t>
      </w:r>
      <w:r>
        <w:t xml:space="preserve">was served upon the following parties of record this </w:t>
      </w:r>
      <w:r w:rsidR="00FC6EEB">
        <w:t>20</w:t>
      </w:r>
      <w:r w:rsidR="00FC6EEB" w:rsidRPr="00265026">
        <w:rPr>
          <w:vertAlign w:val="superscript"/>
        </w:rPr>
        <w:t>th</w:t>
      </w:r>
      <w:r w:rsidR="00FC6EEB">
        <w:t xml:space="preserve"> </w:t>
      </w:r>
      <w:r>
        <w:t xml:space="preserve">day of </w:t>
      </w:r>
      <w:r w:rsidR="00FC6EEB">
        <w:t xml:space="preserve">May </w:t>
      </w:r>
      <w:r>
        <w:t xml:space="preserve">2013, </w:t>
      </w:r>
      <w:r>
        <w:rPr>
          <w:i/>
        </w:rPr>
        <w:t>via</w:t>
      </w:r>
      <w:r>
        <w:t xml:space="preserve"> electronic transmission, hand-delivery or first class U.S. mail, postage prepaid.</w:t>
      </w:r>
    </w:p>
    <w:p w:rsidR="00443CC9" w:rsidRDefault="00B600FA">
      <w:pPr>
        <w:tabs>
          <w:tab w:val="left" w:pos="-1440"/>
          <w:tab w:val="left" w:pos="-720"/>
          <w:tab w:val="left" w:pos="5040"/>
          <w:tab w:val="center" w:pos="7200"/>
          <w:tab w:val="right" w:pos="9360"/>
        </w:tabs>
        <w:ind w:firstLine="5040"/>
        <w:jc w:val="both"/>
        <w:rPr>
          <w:rFonts w:cs="Arial"/>
        </w:rPr>
      </w:pPr>
      <w:r>
        <w:rPr>
          <w:rFonts w:cs="Arial"/>
          <w:u w:val="single"/>
        </w:rPr>
        <w:t>/s/ Joseph E. Oliker</w:t>
      </w:r>
      <w:r>
        <w:rPr>
          <w:rFonts w:cs="Arial"/>
          <w:u w:val="single"/>
        </w:rPr>
        <w:tab/>
      </w:r>
      <w:r>
        <w:rPr>
          <w:rFonts w:cs="Arial"/>
          <w:u w:val="single"/>
        </w:rPr>
        <w:tab/>
      </w:r>
    </w:p>
    <w:p w:rsidR="00356860" w:rsidRDefault="00B600FA" w:rsidP="00356860">
      <w:pPr>
        <w:tabs>
          <w:tab w:val="left" w:pos="-1440"/>
          <w:tab w:val="left" w:pos="-720"/>
          <w:tab w:val="left" w:pos="5040"/>
          <w:tab w:val="center" w:pos="7200"/>
        </w:tabs>
        <w:ind w:firstLine="5040"/>
        <w:jc w:val="both"/>
        <w:rPr>
          <w:rFonts w:cs="Arial"/>
        </w:rPr>
      </w:pPr>
      <w:r>
        <w:rPr>
          <w:rFonts w:cs="Arial"/>
        </w:rPr>
        <w:t>Joseph E. Oliker</w:t>
      </w:r>
    </w:p>
    <w:p w:rsidR="00265026" w:rsidRDefault="00265026" w:rsidP="00356860">
      <w:pPr>
        <w:tabs>
          <w:tab w:val="left" w:pos="-1440"/>
          <w:tab w:val="left" w:pos="-720"/>
          <w:tab w:val="left" w:pos="5040"/>
          <w:tab w:val="center" w:pos="7200"/>
        </w:tabs>
        <w:ind w:firstLine="5040"/>
        <w:jc w:val="both"/>
        <w:rPr>
          <w:rFonts w:cs="Arial"/>
        </w:rPr>
      </w:pPr>
    </w:p>
    <w:p w:rsidR="00265026" w:rsidRDefault="00265026" w:rsidP="00356860">
      <w:pPr>
        <w:rPr>
          <w:rFonts w:cs="Arial"/>
          <w:color w:val="000000" w:themeColor="text1"/>
          <w:sz w:val="16"/>
          <w:szCs w:val="16"/>
        </w:rPr>
        <w:sectPr w:rsidR="00265026" w:rsidSect="00265026">
          <w:pgSz w:w="12240" w:h="15840" w:code="1"/>
          <w:pgMar w:top="1440" w:right="1440" w:bottom="1141" w:left="1440" w:header="720" w:footer="720" w:gutter="0"/>
          <w:pgNumType w:start="1"/>
          <w:cols w:space="720"/>
          <w:titlePg/>
          <w:docGrid w:linePitch="326"/>
        </w:sectPr>
      </w:pP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lastRenderedPageBreak/>
        <w:t>judi.sobecki@dplinc.com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randall.griffin@dplinc.com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cfaruki@ficlaw.com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jsharkey@ficlaw.com</w:t>
      </w:r>
    </w:p>
    <w:p w:rsidR="00356860" w:rsidRPr="00265026" w:rsidRDefault="00356860" w:rsidP="00356860">
      <w:pPr>
        <w:tabs>
          <w:tab w:val="left" w:pos="-1440"/>
          <w:tab w:val="left" w:pos="-720"/>
          <w:tab w:val="left" w:pos="5040"/>
          <w:tab w:val="center" w:pos="7200"/>
        </w:tabs>
        <w:rPr>
          <w:rFonts w:cs="Arial"/>
          <w:color w:val="000000" w:themeColor="text1"/>
          <w:sz w:val="17"/>
          <w:szCs w:val="17"/>
        </w:rPr>
      </w:pPr>
      <w:r w:rsidRPr="00265026">
        <w:rPr>
          <w:rFonts w:cs="Arial"/>
          <w:color w:val="000000" w:themeColor="text1"/>
          <w:sz w:val="17"/>
          <w:szCs w:val="17"/>
        </w:rPr>
        <w:t>arthur.meyer@dplinc.com</w:t>
      </w:r>
    </w:p>
    <w:p w:rsidR="00356860" w:rsidRPr="00265026" w:rsidRDefault="00356860" w:rsidP="00356860">
      <w:pPr>
        <w:pStyle w:val="BodyTextIndent"/>
        <w:ind w:firstLine="0"/>
        <w:rPr>
          <w:color w:val="000000" w:themeColor="text1"/>
          <w:sz w:val="17"/>
          <w:szCs w:val="17"/>
        </w:rPr>
      </w:pPr>
      <w:r w:rsidRPr="00265026">
        <w:rPr>
          <w:color w:val="000000" w:themeColor="text1"/>
          <w:sz w:val="17"/>
          <w:szCs w:val="17"/>
        </w:rPr>
        <w:t>dboehm@BKLlawfirm.com</w:t>
      </w:r>
    </w:p>
    <w:p w:rsidR="00356860" w:rsidRPr="00265026" w:rsidRDefault="00356860" w:rsidP="00356860">
      <w:pPr>
        <w:pStyle w:val="BodyTextIndent"/>
        <w:ind w:firstLine="0"/>
        <w:rPr>
          <w:color w:val="000000" w:themeColor="text1"/>
          <w:sz w:val="17"/>
          <w:szCs w:val="17"/>
        </w:rPr>
      </w:pPr>
      <w:r w:rsidRPr="00265026">
        <w:rPr>
          <w:color w:val="000000" w:themeColor="text1"/>
          <w:sz w:val="17"/>
          <w:szCs w:val="17"/>
        </w:rPr>
        <w:t>mkurtz@BKLlawfirm.com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etter@occ.state.oh.us</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serio@occ.state.oh.us</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yost@occ.state.oh.us</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gerger@occ.state.oh.us</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amy.spiller@duke-energy.com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jeanne.kingery@duke-energy.com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philip.sineneng@ThompsonHine.com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bmcmahon@emh-law.com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elizabeth.watts@duke-energy.com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rocco.d’ascenzo@duke-energy.com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ricks@ohanet.org</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tobrien@bricker.com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barth.royer@aol.com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gary.a.jeffries@dom.com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drinebolt@ohiopartners.org</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cmooney2@columbus.rr.com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whitt@whitt-sturtevant.com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campbell@whitt-sturtevant.com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vparisi@igsenergy.com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barthroyer@aol.com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nolan@theoec.org</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trent@theoec.org</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cathy@theoec.org</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williams.toddm@gmail.com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ejacobs@ablelaw.org</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tobrien@bricker.com</w:t>
      </w:r>
    </w:p>
    <w:p w:rsidR="00356860" w:rsidRPr="00265026" w:rsidRDefault="00356860" w:rsidP="00356860">
      <w:pPr>
        <w:autoSpaceDE w:val="0"/>
        <w:autoSpaceDN w:val="0"/>
        <w:adjustRightInd w:val="0"/>
        <w:rPr>
          <w:rFonts w:eastAsia="Calibri" w:cs="Arial"/>
          <w:color w:val="000000" w:themeColor="text1"/>
          <w:sz w:val="17"/>
          <w:szCs w:val="17"/>
        </w:rPr>
      </w:pPr>
      <w:r w:rsidRPr="00265026">
        <w:rPr>
          <w:rFonts w:eastAsia="Calibri" w:cs="Arial"/>
          <w:color w:val="000000" w:themeColor="text1"/>
          <w:sz w:val="17"/>
          <w:szCs w:val="17"/>
        </w:rPr>
        <w:t>mwarnock@bricker.com</w:t>
      </w:r>
    </w:p>
    <w:p w:rsidR="00356860" w:rsidRPr="00265026" w:rsidRDefault="00356860" w:rsidP="00356860">
      <w:pPr>
        <w:autoSpaceDE w:val="0"/>
        <w:autoSpaceDN w:val="0"/>
        <w:adjustRightInd w:val="0"/>
        <w:rPr>
          <w:rFonts w:eastAsia="Calibri" w:cs="Arial"/>
          <w:color w:val="000000" w:themeColor="text1"/>
          <w:sz w:val="17"/>
          <w:szCs w:val="17"/>
        </w:rPr>
      </w:pPr>
      <w:r w:rsidRPr="00265026">
        <w:rPr>
          <w:rFonts w:eastAsia="Calibri" w:cs="Arial"/>
          <w:color w:val="000000" w:themeColor="text1"/>
          <w:sz w:val="17"/>
          <w:szCs w:val="17"/>
        </w:rPr>
        <w:t>tsiwo@bricker.com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mhpetricoff@vorys.com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smhoward@vorys.com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david.fein@constellation.com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cynthia.a.fonner@constellation.com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Tasha.hamilton@constellation.com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myurick@taftlaw.com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zkravitz@taftlaw.com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mhpetricoff@vorys.com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smhoward@vorys.com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Tony_Long@ham.honda.com</w:t>
      </w:r>
    </w:p>
    <w:p w:rsidR="00356860" w:rsidRPr="00265026" w:rsidRDefault="00356860" w:rsidP="00356860">
      <w:pPr>
        <w:rPr>
          <w:rFonts w:cs="Arial"/>
          <w:color w:val="000000" w:themeColor="text1"/>
          <w:sz w:val="17"/>
          <w:szCs w:val="17"/>
        </w:rPr>
      </w:pPr>
      <w:r w:rsidRPr="009274EE">
        <w:rPr>
          <w:rFonts w:cs="Arial"/>
          <w:sz w:val="17"/>
          <w:szCs w:val="17"/>
        </w:rPr>
        <w:t>Stephen.bennett@exeloncorp.com</w:t>
      </w:r>
    </w:p>
    <w:p w:rsidR="00356860" w:rsidRPr="00265026" w:rsidRDefault="00356860" w:rsidP="00356860">
      <w:pPr>
        <w:pStyle w:val="BodyText"/>
        <w:rPr>
          <w:color w:val="000000" w:themeColor="text1"/>
          <w:sz w:val="17"/>
          <w:szCs w:val="17"/>
        </w:rPr>
      </w:pPr>
      <w:r w:rsidRPr="00265026">
        <w:rPr>
          <w:color w:val="000000" w:themeColor="text1"/>
          <w:sz w:val="17"/>
          <w:szCs w:val="17"/>
        </w:rPr>
        <w:t>Cynthia.b.fonner@constellation.com</w:t>
      </w:r>
    </w:p>
    <w:p w:rsidR="00356860" w:rsidRPr="00265026" w:rsidRDefault="00356860" w:rsidP="00356860">
      <w:pPr>
        <w:pStyle w:val="BodyText"/>
        <w:rPr>
          <w:color w:val="000000" w:themeColor="text1"/>
          <w:sz w:val="17"/>
          <w:szCs w:val="17"/>
        </w:rPr>
      </w:pPr>
      <w:r w:rsidRPr="00265026">
        <w:rPr>
          <w:color w:val="000000" w:themeColor="text1"/>
          <w:sz w:val="17"/>
          <w:szCs w:val="17"/>
        </w:rPr>
        <w:t>LGearhardt@ofbf.org</w:t>
      </w:r>
    </w:p>
    <w:p w:rsidR="00356860" w:rsidRPr="00265026" w:rsidRDefault="00356860" w:rsidP="00356860">
      <w:pPr>
        <w:tabs>
          <w:tab w:val="left" w:pos="-1440"/>
          <w:tab w:val="left" w:pos="-720"/>
          <w:tab w:val="left" w:pos="5040"/>
          <w:tab w:val="center" w:pos="7200"/>
        </w:tabs>
        <w:rPr>
          <w:rFonts w:cs="Arial"/>
          <w:color w:val="000000" w:themeColor="text1"/>
          <w:sz w:val="17"/>
          <w:szCs w:val="17"/>
        </w:rPr>
      </w:pPr>
      <w:r w:rsidRPr="00265026">
        <w:rPr>
          <w:rFonts w:cs="Arial"/>
          <w:color w:val="000000" w:themeColor="text1"/>
          <w:sz w:val="17"/>
          <w:szCs w:val="17"/>
        </w:rPr>
        <w:lastRenderedPageBreak/>
        <w:t>dconway@porterwright.com</w:t>
      </w:r>
    </w:p>
    <w:p w:rsidR="00356860" w:rsidRPr="00265026" w:rsidRDefault="00356860" w:rsidP="00356860">
      <w:pPr>
        <w:tabs>
          <w:tab w:val="left" w:pos="-1440"/>
          <w:tab w:val="left" w:pos="-720"/>
          <w:tab w:val="left" w:pos="5040"/>
          <w:tab w:val="center" w:pos="7200"/>
        </w:tabs>
        <w:rPr>
          <w:rFonts w:cs="Arial"/>
          <w:color w:val="000000" w:themeColor="text1"/>
          <w:sz w:val="17"/>
          <w:szCs w:val="17"/>
        </w:rPr>
      </w:pPr>
      <w:r w:rsidRPr="00265026">
        <w:rPr>
          <w:rFonts w:cs="Arial"/>
          <w:color w:val="000000" w:themeColor="text1"/>
          <w:sz w:val="17"/>
          <w:szCs w:val="17"/>
        </w:rPr>
        <w:t>aemerson@porterwright.com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haydenm@firstenergycorp.com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coneil@calfee.comk</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shannon@calfee.com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jlang@calfee.com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lmcbride@calfee.com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talexander@calfee.com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dakutik@jonesday.com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aehaedt@jonesday.com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jejadwin@aep.com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Thomas.Melone@AllcoUS.com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joseph.clark@directenergy.com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christopher.miller@icemiller.com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gregory.dunn@icemiller.com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alan.starkoff@icemiller.com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ssolberg@EimerStahl.com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stephanie.Chmiel@ThompsonHine.com</w:t>
      </w:r>
    </w:p>
    <w:p w:rsidR="00356860" w:rsidRPr="00265026" w:rsidRDefault="00356860" w:rsidP="00356860">
      <w:pPr>
        <w:tabs>
          <w:tab w:val="left" w:pos="2160"/>
          <w:tab w:val="left" w:pos="2280"/>
        </w:tabs>
        <w:rPr>
          <w:rStyle w:val="Hyperlink"/>
          <w:rFonts w:cs="Arial"/>
          <w:color w:val="000000" w:themeColor="text1"/>
          <w:sz w:val="17"/>
          <w:szCs w:val="17"/>
          <w:u w:val="none"/>
        </w:rPr>
      </w:pPr>
      <w:r w:rsidRPr="00265026">
        <w:rPr>
          <w:rFonts w:cs="Arial"/>
          <w:color w:val="000000" w:themeColor="text1"/>
          <w:sz w:val="17"/>
          <w:szCs w:val="17"/>
        </w:rPr>
        <w:t>michael.Dillard@ThompsonHine.com</w:t>
      </w:r>
    </w:p>
    <w:p w:rsidR="00356860" w:rsidRPr="00265026" w:rsidRDefault="00356860" w:rsidP="00356860">
      <w:pPr>
        <w:tabs>
          <w:tab w:val="left" w:pos="2160"/>
          <w:tab w:val="left" w:pos="2280"/>
        </w:tabs>
        <w:rPr>
          <w:rFonts w:cs="Arial"/>
          <w:color w:val="000000" w:themeColor="text1"/>
          <w:sz w:val="17"/>
          <w:szCs w:val="17"/>
        </w:rPr>
      </w:pPr>
      <w:r w:rsidRPr="00265026">
        <w:rPr>
          <w:rStyle w:val="Hyperlink"/>
          <w:rFonts w:cs="Arial"/>
          <w:color w:val="000000" w:themeColor="text1"/>
          <w:sz w:val="17"/>
          <w:szCs w:val="17"/>
          <w:u w:val="none"/>
        </w:rPr>
        <w:t>philip.sineneng@ThompsonHine.com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mjsatterwhite@aep.com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stnourse@aep.com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bojko@carpenterlipps.com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sechler@carpenterlipps.com</w:t>
      </w:r>
    </w:p>
    <w:p w:rsidR="00356860" w:rsidRPr="00265026" w:rsidRDefault="00356860" w:rsidP="00356860">
      <w:pPr>
        <w:tabs>
          <w:tab w:val="left" w:pos="2160"/>
          <w:tab w:val="left" w:pos="2280"/>
        </w:tabs>
        <w:rPr>
          <w:rStyle w:val="Hyperlink"/>
          <w:rFonts w:cs="Arial"/>
          <w:color w:val="000000" w:themeColor="text1"/>
          <w:sz w:val="17"/>
          <w:szCs w:val="17"/>
          <w:u w:val="none"/>
        </w:rPr>
      </w:pPr>
      <w:r w:rsidRPr="00265026">
        <w:rPr>
          <w:rFonts w:cs="Arial"/>
          <w:color w:val="000000" w:themeColor="text1"/>
          <w:sz w:val="17"/>
          <w:szCs w:val="17"/>
        </w:rPr>
        <w:t>matt@matthewcoxlaw.com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gpoulos@enernoc.com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ssherman@kdlegal.com</w:t>
      </w:r>
    </w:p>
    <w:p w:rsidR="00356860" w:rsidRPr="00265026" w:rsidRDefault="00356860" w:rsidP="00356860">
      <w:pPr>
        <w:tabs>
          <w:tab w:val="left" w:pos="2160"/>
          <w:tab w:val="left" w:pos="2280"/>
        </w:tabs>
        <w:rPr>
          <w:rFonts w:cs="Arial"/>
          <w:color w:val="000000" w:themeColor="text1"/>
          <w:sz w:val="17"/>
          <w:szCs w:val="17"/>
        </w:rPr>
      </w:pPr>
      <w:r w:rsidRPr="00265026">
        <w:rPr>
          <w:rFonts w:cs="Arial"/>
          <w:color w:val="000000" w:themeColor="text1"/>
          <w:sz w:val="17"/>
          <w:szCs w:val="17"/>
        </w:rPr>
        <w:t>jhague@kdlegal.com</w:t>
      </w:r>
    </w:p>
    <w:p w:rsidR="00356860" w:rsidRPr="00265026" w:rsidRDefault="00356860" w:rsidP="00356860">
      <w:pPr>
        <w:pStyle w:val="BodyText"/>
        <w:rPr>
          <w:color w:val="000000" w:themeColor="text1"/>
          <w:sz w:val="17"/>
          <w:szCs w:val="17"/>
        </w:rPr>
      </w:pPr>
      <w:r w:rsidRPr="00265026">
        <w:rPr>
          <w:color w:val="000000" w:themeColor="text1"/>
          <w:sz w:val="17"/>
          <w:szCs w:val="17"/>
        </w:rPr>
        <w:t>william.wright@puc.state.oh.us</w:t>
      </w:r>
    </w:p>
    <w:p w:rsidR="00356860" w:rsidRPr="00265026" w:rsidRDefault="00356860" w:rsidP="00356860">
      <w:pPr>
        <w:pStyle w:val="BodyText"/>
        <w:rPr>
          <w:color w:val="000000" w:themeColor="text1"/>
          <w:sz w:val="17"/>
          <w:szCs w:val="17"/>
        </w:rPr>
      </w:pPr>
      <w:r w:rsidRPr="00265026">
        <w:rPr>
          <w:color w:val="000000" w:themeColor="text1"/>
          <w:sz w:val="17"/>
          <w:szCs w:val="17"/>
        </w:rPr>
        <w:t>thomas.lindgren@puc.state.oh.us</w:t>
      </w:r>
    </w:p>
    <w:p w:rsidR="00356860" w:rsidRPr="00265026" w:rsidRDefault="00356860" w:rsidP="00356860">
      <w:pPr>
        <w:pStyle w:val="BodyText"/>
        <w:rPr>
          <w:color w:val="000000" w:themeColor="text1"/>
          <w:sz w:val="17"/>
          <w:szCs w:val="17"/>
        </w:rPr>
      </w:pPr>
      <w:r w:rsidRPr="00265026">
        <w:rPr>
          <w:color w:val="000000" w:themeColor="text1"/>
          <w:sz w:val="17"/>
          <w:szCs w:val="17"/>
        </w:rPr>
        <w:t>thomas.mcnamee@puc.state.oh.us</w:t>
      </w:r>
    </w:p>
    <w:p w:rsidR="00356860" w:rsidRPr="00265026" w:rsidRDefault="00356860" w:rsidP="00356860">
      <w:pPr>
        <w:pStyle w:val="BodyText"/>
        <w:rPr>
          <w:color w:val="000000" w:themeColor="text1"/>
          <w:sz w:val="17"/>
          <w:szCs w:val="17"/>
        </w:rPr>
      </w:pPr>
      <w:r w:rsidRPr="00265026">
        <w:rPr>
          <w:color w:val="000000" w:themeColor="text1"/>
          <w:sz w:val="17"/>
          <w:szCs w:val="17"/>
        </w:rPr>
        <w:t>steven.beeler@puc.state.oh.us</w:t>
      </w:r>
    </w:p>
    <w:p w:rsidR="00356860" w:rsidRPr="00265026" w:rsidRDefault="00356860" w:rsidP="00356860">
      <w:pPr>
        <w:pStyle w:val="BodyText"/>
        <w:rPr>
          <w:color w:val="000000" w:themeColor="text1"/>
          <w:sz w:val="17"/>
          <w:szCs w:val="17"/>
        </w:rPr>
      </w:pPr>
      <w:r w:rsidRPr="00265026">
        <w:rPr>
          <w:color w:val="000000" w:themeColor="text1"/>
          <w:sz w:val="17"/>
          <w:szCs w:val="17"/>
        </w:rPr>
        <w:t>devin.parram@puc.state.oh.us</w:t>
      </w:r>
    </w:p>
    <w:p w:rsidR="00356860" w:rsidRPr="00265026" w:rsidRDefault="00356860" w:rsidP="00356860">
      <w:pPr>
        <w:pStyle w:val="BodyText"/>
        <w:rPr>
          <w:color w:val="000000" w:themeColor="text1"/>
          <w:sz w:val="17"/>
          <w:szCs w:val="17"/>
        </w:rPr>
      </w:pPr>
      <w:r w:rsidRPr="00265026">
        <w:rPr>
          <w:color w:val="000000" w:themeColor="text1"/>
          <w:sz w:val="17"/>
          <w:szCs w:val="17"/>
        </w:rPr>
        <w:t>gregory.price@puc.state.oh.us</w:t>
      </w:r>
    </w:p>
    <w:p w:rsidR="00356860" w:rsidRPr="00265026" w:rsidRDefault="00356860" w:rsidP="00356860">
      <w:pPr>
        <w:pStyle w:val="BodyText"/>
        <w:rPr>
          <w:color w:val="000000" w:themeColor="text1"/>
          <w:sz w:val="17"/>
          <w:szCs w:val="17"/>
        </w:rPr>
      </w:pPr>
      <w:r w:rsidRPr="00265026">
        <w:rPr>
          <w:color w:val="000000" w:themeColor="text1"/>
          <w:sz w:val="17"/>
          <w:szCs w:val="17"/>
        </w:rPr>
        <w:t>mandy.willey@puc.state.oh.us</w:t>
      </w:r>
    </w:p>
    <w:p w:rsidR="00356860" w:rsidRPr="00265026" w:rsidRDefault="00356860" w:rsidP="00356860">
      <w:pPr>
        <w:pStyle w:val="BodyText"/>
        <w:rPr>
          <w:color w:val="000000" w:themeColor="text1"/>
          <w:sz w:val="17"/>
          <w:szCs w:val="17"/>
        </w:rPr>
      </w:pPr>
      <w:r w:rsidRPr="00265026">
        <w:rPr>
          <w:color w:val="000000" w:themeColor="text1"/>
          <w:sz w:val="17"/>
          <w:szCs w:val="17"/>
        </w:rPr>
        <w:t>bryce.mckenney@puc.state.oh.us</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henryeckhart@aol.com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Wis29@yahoo.com</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berger@occ.state.oh.us</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bill.wells@wpafb.af.mil</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chris.thompson.2@tyndall.af.mil</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mchristensen@columbuslaw.org</w:t>
      </w:r>
    </w:p>
    <w:p w:rsidR="00356860" w:rsidRPr="00265026" w:rsidRDefault="00356860" w:rsidP="00356860">
      <w:pPr>
        <w:rPr>
          <w:rFonts w:cs="Arial"/>
          <w:color w:val="000000" w:themeColor="text1"/>
          <w:sz w:val="17"/>
          <w:szCs w:val="17"/>
        </w:rPr>
      </w:pPr>
      <w:r w:rsidRPr="00265026">
        <w:rPr>
          <w:rFonts w:cs="Arial"/>
          <w:color w:val="000000" w:themeColor="text1"/>
          <w:sz w:val="17"/>
          <w:szCs w:val="17"/>
        </w:rPr>
        <w:t>chris.michael@icemiller.com</w:t>
      </w:r>
    </w:p>
    <w:p w:rsidR="00356860" w:rsidRPr="00265026" w:rsidRDefault="00356860" w:rsidP="00356860">
      <w:pPr>
        <w:rPr>
          <w:rStyle w:val="Hyperlink"/>
          <w:rFonts w:cs="Arial"/>
          <w:color w:val="000000" w:themeColor="text1"/>
          <w:sz w:val="17"/>
          <w:szCs w:val="17"/>
          <w:u w:val="none"/>
        </w:rPr>
      </w:pPr>
      <w:r w:rsidRPr="009274EE">
        <w:rPr>
          <w:rFonts w:cs="Arial"/>
          <w:sz w:val="17"/>
          <w:szCs w:val="17"/>
        </w:rPr>
        <w:t>williams@whitt-sturtevant.com</w:t>
      </w:r>
    </w:p>
    <w:p w:rsidR="00356860" w:rsidRPr="00265026" w:rsidRDefault="00356860" w:rsidP="00356860">
      <w:pPr>
        <w:rPr>
          <w:rStyle w:val="Hyperlink"/>
          <w:rFonts w:cs="Arial"/>
          <w:color w:val="000000" w:themeColor="text1"/>
          <w:sz w:val="17"/>
          <w:szCs w:val="17"/>
          <w:u w:val="none"/>
        </w:rPr>
      </w:pPr>
      <w:r w:rsidRPr="00265026">
        <w:rPr>
          <w:rStyle w:val="Hyperlink"/>
          <w:rFonts w:cs="Arial"/>
          <w:color w:val="000000" w:themeColor="text1"/>
          <w:sz w:val="17"/>
          <w:szCs w:val="17"/>
          <w:u w:val="none"/>
        </w:rPr>
        <w:t>asim_haque@ham.honda.com</w:t>
      </w:r>
    </w:p>
    <w:p w:rsidR="00443CC9" w:rsidRPr="00265026" w:rsidRDefault="00356860" w:rsidP="00356860">
      <w:pPr>
        <w:rPr>
          <w:rFonts w:cs="Arial"/>
          <w:color w:val="000000" w:themeColor="text1"/>
          <w:sz w:val="17"/>
          <w:szCs w:val="17"/>
        </w:rPr>
      </w:pPr>
      <w:r w:rsidRPr="00265026">
        <w:rPr>
          <w:rFonts w:cs="Arial"/>
          <w:color w:val="000000" w:themeColor="text1"/>
          <w:sz w:val="17"/>
          <w:szCs w:val="17"/>
        </w:rPr>
        <w:t>mohler@carpenterlipps.com</w:t>
      </w:r>
    </w:p>
    <w:sectPr w:rsidR="00443CC9" w:rsidRPr="00265026" w:rsidSect="00265026">
      <w:type w:val="continuous"/>
      <w:pgSz w:w="12240" w:h="15840" w:code="1"/>
      <w:pgMar w:top="1440" w:right="1440" w:bottom="1141" w:left="1440" w:header="720" w:footer="720" w:gutter="0"/>
      <w:pgNumType w:start="1"/>
      <w:cols w:num="2"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CC9" w:rsidRDefault="00B600FA">
      <w:r>
        <w:separator/>
      </w:r>
    </w:p>
  </w:endnote>
  <w:endnote w:type="continuationSeparator" w:id="0">
    <w:p w:rsidR="00443CC9" w:rsidRDefault="00B60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F88" w:rsidRDefault="00CF7F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C9" w:rsidRDefault="00D531DC">
    <w:pPr>
      <w:pStyle w:val="Footer"/>
    </w:pPr>
    <w:r w:rsidRPr="00D531DC">
      <w:rPr>
        <w:noProof/>
        <w:sz w:val="16"/>
      </w:rPr>
      <w:t>{C40672: }</w:t>
    </w:r>
    <w:sdt>
      <w:sdtPr>
        <w:id w:val="-1972272700"/>
        <w:docPartObj>
          <w:docPartGallery w:val="Page Numbers (Bottom of Page)"/>
          <w:docPartUnique/>
        </w:docPartObj>
      </w:sdtPr>
      <w:sdtEndPr>
        <w:rPr>
          <w:noProof/>
        </w:rPr>
      </w:sdtEndPr>
      <w:sdtContent>
        <w:r w:rsidR="00B600FA">
          <w:tab/>
        </w:r>
        <w:r w:rsidR="00B600FA">
          <w:fldChar w:fldCharType="begin"/>
        </w:r>
        <w:r w:rsidR="00B600FA">
          <w:instrText xml:space="preserve"> PAGE   \* MERGEFORMAT </w:instrText>
        </w:r>
        <w:r w:rsidR="00B600FA">
          <w:fldChar w:fldCharType="separate"/>
        </w:r>
        <w:r w:rsidR="009274EE">
          <w:rPr>
            <w:noProof/>
          </w:rPr>
          <w:t>1</w:t>
        </w:r>
        <w:r w:rsidR="00B600FA">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C9" w:rsidRDefault="00D531DC" w:rsidP="00913168">
    <w:pPr>
      <w:pStyle w:val="Footer"/>
    </w:pPr>
    <w:r w:rsidRPr="00D531DC">
      <w:rPr>
        <w:noProof/>
        <w:sz w:val="16"/>
      </w:rPr>
      <w:t>{C40672: }</w:t>
    </w:r>
    <w:r w:rsidR="00913168">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C9" w:rsidRDefault="00443CC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C9" w:rsidRDefault="00D531DC">
    <w:pPr>
      <w:pStyle w:val="Footer"/>
    </w:pPr>
    <w:r w:rsidRPr="00D531DC">
      <w:rPr>
        <w:noProof/>
        <w:sz w:val="16"/>
      </w:rPr>
      <w:t>{C40672: }</w:t>
    </w:r>
    <w:r w:rsidR="00265026">
      <w:rPr>
        <w:noProof/>
        <w:sz w:val="16"/>
      </w:rPr>
      <w:tab/>
    </w:r>
    <w:r w:rsidR="00265026" w:rsidRPr="00265026">
      <w:rPr>
        <w:noProof/>
        <w:sz w:val="22"/>
        <w:szCs w:val="22"/>
      </w:rPr>
      <w:fldChar w:fldCharType="begin"/>
    </w:r>
    <w:r w:rsidR="00265026" w:rsidRPr="00265026">
      <w:rPr>
        <w:noProof/>
        <w:sz w:val="22"/>
        <w:szCs w:val="22"/>
      </w:rPr>
      <w:instrText xml:space="preserve"> PAGE   \* MERGEFORMAT </w:instrText>
    </w:r>
    <w:r w:rsidR="00265026" w:rsidRPr="00265026">
      <w:rPr>
        <w:noProof/>
        <w:sz w:val="22"/>
        <w:szCs w:val="22"/>
      </w:rPr>
      <w:fldChar w:fldCharType="separate"/>
    </w:r>
    <w:r w:rsidR="00FF7F32">
      <w:rPr>
        <w:noProof/>
        <w:sz w:val="22"/>
        <w:szCs w:val="22"/>
      </w:rPr>
      <w:t>3</w:t>
    </w:r>
    <w:r w:rsidR="00265026" w:rsidRPr="00265026">
      <w:rPr>
        <w:noProof/>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C9" w:rsidRDefault="00D531DC">
    <w:pPr>
      <w:pStyle w:val="Footer"/>
    </w:pPr>
    <w:r w:rsidRPr="00D531DC">
      <w:rPr>
        <w:noProof/>
        <w:sz w:val="16"/>
      </w:rPr>
      <w:t>{C40672: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CC9" w:rsidRDefault="00B600FA">
      <w:pPr>
        <w:rPr>
          <w:noProof/>
        </w:rPr>
      </w:pPr>
      <w:r>
        <w:rPr>
          <w:noProof/>
        </w:rPr>
        <w:separator/>
      </w:r>
    </w:p>
  </w:footnote>
  <w:footnote w:type="continuationSeparator" w:id="0">
    <w:p w:rsidR="00443CC9" w:rsidRDefault="00B600FA">
      <w:r>
        <w:continuationSeparator/>
      </w:r>
    </w:p>
  </w:footnote>
  <w:footnote w:id="1">
    <w:p w:rsidR="00443CC9" w:rsidRDefault="00B600FA" w:rsidP="000F6F12">
      <w:pPr>
        <w:pStyle w:val="FootnoteText"/>
        <w:jc w:val="both"/>
      </w:pPr>
      <w:r>
        <w:rPr>
          <w:rStyle w:val="FootnoteReference"/>
        </w:rPr>
        <w:footnoteRef/>
      </w:r>
      <w:r>
        <w:t xml:space="preserve"> DP&amp;L Ex. 4 at 28; Tr. Vol. II at 562-563.  A more detailed discussion of DP&amp;L’s claims can be found in confidential portions of DP&amp;L’s testimony.  </w:t>
      </w:r>
      <w:r>
        <w:rPr>
          <w:i/>
        </w:rPr>
        <w:t xml:space="preserve">See </w:t>
      </w:r>
      <w:r>
        <w:t>DP&amp;L Ex. 4A at 52.</w:t>
      </w:r>
    </w:p>
    <w:p w:rsidR="00443CC9" w:rsidRDefault="00443CC9">
      <w:pPr>
        <w:pStyle w:val="FootnoteText"/>
      </w:pPr>
    </w:p>
  </w:footnote>
  <w:footnote w:id="2">
    <w:p w:rsidR="00443CC9" w:rsidRDefault="00B600FA">
      <w:pPr>
        <w:pStyle w:val="FootnoteText"/>
      </w:pPr>
      <w:r>
        <w:rPr>
          <w:rStyle w:val="FootnoteReference"/>
        </w:rPr>
        <w:footnoteRef/>
      </w:r>
      <w:r>
        <w:t xml:space="preserve"> </w:t>
      </w:r>
      <w:r w:rsidRPr="009274EE">
        <w:t>http://media.corporate-ir.net/media_files/IROL/76/76149/05-08 13_2013_Investor_Day.pdf</w:t>
      </w:r>
      <w:r>
        <w:t xml:space="preserve"> (last viewed on May 17, 2013).</w:t>
      </w:r>
    </w:p>
  </w:footnote>
  <w:footnote w:id="3">
    <w:p w:rsidR="00443CC9" w:rsidRDefault="00B600FA" w:rsidP="00517E5D">
      <w:pPr>
        <w:pStyle w:val="FootnoteText"/>
        <w:jc w:val="both"/>
      </w:pPr>
      <w:r>
        <w:rPr>
          <w:rStyle w:val="FootnoteReference"/>
        </w:rPr>
        <w:footnoteRef/>
      </w:r>
      <w:r>
        <w:t xml:space="preserve"> DP&amp;L Ex. 4 at 28; Tr. Vol. II at 562-563.  A more detailed discussion of DP&amp;L’s claims can be found in confidential portions of DP&amp;L’s testimony.  </w:t>
      </w:r>
      <w:r>
        <w:rPr>
          <w:i/>
        </w:rPr>
        <w:t xml:space="preserve">See </w:t>
      </w:r>
      <w:r>
        <w:t>DP&amp;L Ex. 4A at 52.</w:t>
      </w:r>
    </w:p>
  </w:footnote>
  <w:footnote w:id="4">
    <w:p w:rsidR="00443CC9" w:rsidRDefault="00B600FA">
      <w:pPr>
        <w:pStyle w:val="FootnoteText"/>
      </w:pPr>
      <w:r>
        <w:rPr>
          <w:rStyle w:val="FootnoteReference"/>
        </w:rPr>
        <w:footnoteRef/>
      </w:r>
      <w:r>
        <w:t xml:space="preserve"> Section 4903.22, Revised Code.</w:t>
      </w:r>
    </w:p>
  </w:footnote>
  <w:footnote w:id="5">
    <w:p w:rsidR="00443CC9" w:rsidRDefault="00B600FA">
      <w:pPr>
        <w:pStyle w:val="FootnoteText"/>
        <w:jc w:val="both"/>
      </w:pPr>
      <w:r>
        <w:rPr>
          <w:rStyle w:val="FootnoteReference"/>
        </w:rPr>
        <w:footnoteRef/>
      </w:r>
      <w:r>
        <w:t xml:space="preserve"> The Commission’s rules are based upon the Ohio Rules of Evidence; thus, the standard for taking administrative notice parallels the standard for taking judicial notice.</w:t>
      </w:r>
    </w:p>
    <w:p w:rsidR="00443CC9" w:rsidRDefault="00443CC9">
      <w:pPr>
        <w:pStyle w:val="FootnoteText"/>
        <w:jc w:val="both"/>
      </w:pPr>
    </w:p>
  </w:footnote>
  <w:footnote w:id="6">
    <w:p w:rsidR="00443CC9" w:rsidRDefault="00B600FA">
      <w:pPr>
        <w:pStyle w:val="FootnoteText"/>
      </w:pPr>
      <w:r>
        <w:rPr>
          <w:rStyle w:val="FootnoteReference"/>
        </w:rPr>
        <w:footnoteRef/>
      </w:r>
      <w:r>
        <w:t xml:space="preserve"> </w:t>
      </w:r>
      <w:r w:rsidRPr="009274EE">
        <w:t>http://media.corporate-ir.net/media_files/IROL/76/76149/05-08 13_2013_Investor_Day.pdf</w:t>
      </w:r>
      <w:r>
        <w:t xml:space="preserve"> (last viewed on May 17, 2013).</w:t>
      </w:r>
    </w:p>
    <w:p w:rsidR="00443CC9" w:rsidRDefault="00443CC9">
      <w:pPr>
        <w:pStyle w:val="FootnoteText"/>
      </w:pPr>
    </w:p>
  </w:footnote>
  <w:footnote w:id="7">
    <w:p w:rsidR="00443CC9" w:rsidRDefault="00B600FA">
      <w:pPr>
        <w:pStyle w:val="FootnoteText"/>
        <w:jc w:val="both"/>
        <w:rPr>
          <w:rFonts w:cs="Arial"/>
          <w:bCs/>
        </w:rPr>
      </w:pPr>
      <w:r>
        <w:rPr>
          <w:rStyle w:val="FootnoteReference"/>
        </w:rPr>
        <w:footnoteRef/>
      </w:r>
      <w:r>
        <w:t xml:space="preserve"> The Supreme Court of Ohio has held that administrative notice may be taken even on rehearing so long as no party is prejudiced.  </w:t>
      </w:r>
      <w:r>
        <w:rPr>
          <w:i/>
        </w:rPr>
        <w:t>Cincinnati Bell Telephone v. Pub. Util. Comm.</w:t>
      </w:r>
      <w:r>
        <w:t xml:space="preserve">, </w:t>
      </w:r>
      <w:r>
        <w:rPr>
          <w:rFonts w:cs="Arial"/>
          <w:bCs/>
        </w:rPr>
        <w:t>12 Ohio St. 3d 280, 284-285 (1984).</w:t>
      </w:r>
    </w:p>
    <w:p w:rsidR="00443CC9" w:rsidRDefault="00443CC9">
      <w:pPr>
        <w:pStyle w:val="FootnoteText"/>
        <w:jc w:val="both"/>
      </w:pPr>
    </w:p>
  </w:footnote>
  <w:footnote w:id="8">
    <w:p w:rsidR="00443CC9" w:rsidRDefault="00B600FA">
      <w:pPr>
        <w:pStyle w:val="FootnoteText"/>
        <w:jc w:val="both"/>
      </w:pPr>
      <w:r>
        <w:rPr>
          <w:rStyle w:val="FootnoteReference"/>
        </w:rPr>
        <w:footnoteRef/>
      </w:r>
      <w:r>
        <w:t xml:space="preserve"> </w:t>
      </w:r>
      <w:r>
        <w:rPr>
          <w:rFonts w:cs="Arial"/>
          <w:bCs/>
        </w:rPr>
        <w:t xml:space="preserve">In the event that DP&amp;L opposes the Motion and claims it is entitled to an “opportunity to be heard.”  </w:t>
      </w:r>
      <w:r>
        <w:rPr>
          <w:bCs/>
        </w:rPr>
        <w:t>IEU-Ohio does not oppose such an opportunity.  DP&amp;L cannot demonstrate that taking administrative notice of Exhibit 1 would cause prejudice because the information is not disputed and Exhibit 1 merely provides up-to-date information.</w:t>
      </w:r>
    </w:p>
  </w:footnote>
  <w:footnote w:id="9">
    <w:p w:rsidR="00443CC9" w:rsidRDefault="00B600FA">
      <w:pPr>
        <w:pStyle w:val="FootnoteText"/>
        <w:jc w:val="both"/>
        <w:rPr>
          <w:rFonts w:cs="Arial"/>
        </w:rPr>
      </w:pPr>
      <w:r>
        <w:rPr>
          <w:rStyle w:val="FootnoteReference"/>
          <w:rFonts w:cs="Arial"/>
        </w:rPr>
        <w:footnoteRef/>
      </w:r>
      <w:r>
        <w:rPr>
          <w:rFonts w:cs="Arial"/>
        </w:rPr>
        <w:t xml:space="preserve"> </w:t>
      </w:r>
      <w:r>
        <w:rPr>
          <w:rFonts w:cs="Arial"/>
          <w:i/>
        </w:rPr>
        <w:t xml:space="preserve">In the Matter of the Application of Ohio Power Company to Update its </w:t>
      </w:r>
      <w:r w:rsidR="00FC6EEB">
        <w:rPr>
          <w:rFonts w:cs="Arial"/>
          <w:i/>
        </w:rPr>
        <w:t xml:space="preserve">gridSMART </w:t>
      </w:r>
      <w:r>
        <w:rPr>
          <w:rFonts w:cs="Arial"/>
          <w:i/>
        </w:rPr>
        <w:t>Rider</w:t>
      </w:r>
      <w:r>
        <w:rPr>
          <w:rFonts w:cs="Arial"/>
        </w:rPr>
        <w:t>, Case No. 12-509-EL-RDR, Finding and Order at 9 (Oct. 3, 2012)</w:t>
      </w:r>
      <w:r w:rsidR="00FC6EEB">
        <w:rPr>
          <w:rFonts w:cs="Arial"/>
        </w:rPr>
        <w:t xml:space="preserve"> (emphasis added)</w:t>
      </w:r>
      <w:r>
        <w:rPr>
          <w:rFonts w:cs="Arial"/>
        </w:rPr>
        <w:t xml:space="preserve">; </w:t>
      </w:r>
      <w:r>
        <w:rPr>
          <w:rFonts w:cs="Arial"/>
          <w:i/>
        </w:rPr>
        <w:t>see also</w:t>
      </w:r>
      <w:r>
        <w:t xml:space="preserve"> </w:t>
      </w:r>
      <w:r>
        <w:rPr>
          <w:rFonts w:cs="Arial"/>
          <w:i/>
        </w:rPr>
        <w:t>In the Matter of the Application of Duke Energy Ohio, Inc. for an Energy Efficiency Cost Recovery Mechanism and for Approval of Additional Programs for Inclusion in its Existing Portfolio</w:t>
      </w:r>
      <w:r>
        <w:rPr>
          <w:rFonts w:cs="Arial"/>
        </w:rPr>
        <w:t>. Case No. 11-4393-EL-RDR, Entry at 2 (Mar. 21, 2012) (reopening the record for the limited purpose of receiving additional information).</w:t>
      </w:r>
    </w:p>
    <w:p w:rsidR="00443CC9" w:rsidRDefault="00B600FA">
      <w:pPr>
        <w:pStyle w:val="FootnoteText"/>
        <w:jc w:val="both"/>
        <w:rPr>
          <w:rFonts w:cs="Arial"/>
        </w:rPr>
      </w:pPr>
      <w:r>
        <w:rPr>
          <w:rFonts w:cs="Arial"/>
        </w:rPr>
        <w:t xml:space="preserve"> </w:t>
      </w:r>
    </w:p>
  </w:footnote>
  <w:footnote w:id="10">
    <w:p w:rsidR="00443CC9" w:rsidRDefault="00B600FA">
      <w:pPr>
        <w:pStyle w:val="FootnoteText"/>
        <w:jc w:val="both"/>
        <w:rPr>
          <w:rFonts w:cs="Arial"/>
        </w:rPr>
      </w:pPr>
      <w:r>
        <w:rPr>
          <w:rStyle w:val="FootnoteReference"/>
          <w:rFonts w:cs="Arial"/>
        </w:rPr>
        <w:footnoteRef/>
      </w:r>
      <w:r>
        <w:rPr>
          <w:rFonts w:cs="Arial"/>
        </w:rPr>
        <w:t xml:space="preserve"> </w:t>
      </w:r>
      <w:r>
        <w:rPr>
          <w:rFonts w:cs="Arial"/>
          <w:i/>
        </w:rPr>
        <w:t>In the Matter of the Petition of Al Shomaker and Numerous Other Subscribers of the Utica-Homer Exchange of United Telephone Co.</w:t>
      </w:r>
      <w:r>
        <w:rPr>
          <w:rFonts w:cs="Arial"/>
        </w:rPr>
        <w:t xml:space="preserve">, Case No. 85-1283-TP-PEX, Supplemental Opinion and Order at 5 </w:t>
      </w:r>
      <w:r>
        <w:rPr>
          <w:rFonts w:cs="Arial"/>
          <w:i/>
        </w:rPr>
        <w:t>(</w:t>
      </w:r>
      <w:r>
        <w:rPr>
          <w:rFonts w:cs="Arial"/>
        </w:rPr>
        <w:t xml:space="preserve">Jul. 6, 1988); </w:t>
      </w:r>
      <w:r>
        <w:rPr>
          <w:rFonts w:cs="Arial"/>
          <w:i/>
        </w:rPr>
        <w:t>see also In the Matter of the Petition of Duane M. Miller, Judith Holmes, and Numerous Other Subscribers of the Kidron Exchange of United Telephone Company of Ohio</w:t>
      </w:r>
      <w:r>
        <w:rPr>
          <w:rFonts w:cs="Arial"/>
        </w:rPr>
        <w:t xml:space="preserve">, Case No. 95-252-TP-PEX, Entry (Nov. 16, 1995). </w:t>
      </w:r>
      <w:r>
        <w:rPr>
          <w:rFonts w:cs="Arial"/>
          <w: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F88" w:rsidRDefault="00CF7F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F88" w:rsidRDefault="00CF7F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F88" w:rsidRDefault="00CF7F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C9" w:rsidRDefault="00443CC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C9" w:rsidRDefault="00443CC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C9" w:rsidRDefault="00443C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E3B89"/>
    <w:multiLevelType w:val="hybridMultilevel"/>
    <w:tmpl w:val="51BE35F0"/>
    <w:lvl w:ilvl="0" w:tplc="0128C7E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44E3ABE"/>
    <w:multiLevelType w:val="hybridMultilevel"/>
    <w:tmpl w:val="1E32C40E"/>
    <w:lvl w:ilvl="0" w:tplc="C3D8AF4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BC7A1F"/>
    <w:multiLevelType w:val="hybridMultilevel"/>
    <w:tmpl w:val="A5402348"/>
    <w:name w:val="IEU-Ohio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nsid w:val="20CC5A46"/>
    <w:multiLevelType w:val="hybridMultilevel"/>
    <w:tmpl w:val="9CE4743A"/>
    <w:lvl w:ilvl="0" w:tplc="744E485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640036"/>
    <w:multiLevelType w:val="hybridMultilevel"/>
    <w:tmpl w:val="1FA8BE3E"/>
    <w:lvl w:ilvl="0" w:tplc="12545D2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DD90960"/>
    <w:multiLevelType w:val="hybridMultilevel"/>
    <w:tmpl w:val="E5FCA906"/>
    <w:lvl w:ilvl="0" w:tplc="FCC0E884">
      <w:start w:val="3"/>
      <w:numFmt w:val="upperRoman"/>
      <w:lvlText w:val="%1."/>
      <w:lvlJc w:val="left"/>
      <w:pPr>
        <w:ind w:left="900" w:hanging="720"/>
      </w:pPr>
      <w:rPr>
        <w:rFonts w:ascii="Arial" w:hAnsi="Arial" w:cs="Aria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356F2AE7"/>
    <w:multiLevelType w:val="multilevel"/>
    <w:tmpl w:val="C42EAA72"/>
    <w:name w:val="IEU-Ohio"/>
    <w:lvl w:ilvl="0">
      <w:start w:val="1"/>
      <w:numFmt w:val="upperRoman"/>
      <w:pStyle w:val="Heading1"/>
      <w:lvlText w:val="%1."/>
      <w:lvlJc w:val="left"/>
      <w:pPr>
        <w:tabs>
          <w:tab w:val="num" w:pos="720"/>
        </w:tabs>
        <w:ind w:left="720" w:hanging="720"/>
      </w:pPr>
      <w:rPr>
        <w:b/>
        <w:caps w:val="0"/>
        <w:vanish w:val="0"/>
        <w:color w:val="010000"/>
        <w:u w:val="none"/>
      </w:rPr>
    </w:lvl>
    <w:lvl w:ilvl="1">
      <w:start w:val="1"/>
      <w:numFmt w:val="upperLetter"/>
      <w:pStyle w:val="Heading2"/>
      <w:lvlText w:val="%2."/>
      <w:lvlJc w:val="left"/>
      <w:pPr>
        <w:tabs>
          <w:tab w:val="num" w:pos="1440"/>
        </w:tabs>
        <w:ind w:left="1440" w:hanging="720"/>
      </w:pPr>
      <w:rPr>
        <w:b/>
        <w:caps w:val="0"/>
        <w:vanish w:val="0"/>
        <w:color w:val="010000"/>
        <w:u w:val="none"/>
      </w:rPr>
    </w:lvl>
    <w:lvl w:ilvl="2">
      <w:start w:val="1"/>
      <w:numFmt w:val="decimal"/>
      <w:pStyle w:val="Heading3"/>
      <w:lvlText w:val="%3."/>
      <w:lvlJc w:val="left"/>
      <w:pPr>
        <w:tabs>
          <w:tab w:val="num" w:pos="2160"/>
        </w:tabs>
        <w:ind w:left="2160" w:hanging="720"/>
      </w:pPr>
      <w:rPr>
        <w:b/>
        <w:i w:val="0"/>
        <w:caps w:val="0"/>
        <w:vanish w:val="0"/>
        <w:color w:val="010000"/>
        <w:u w:val="none"/>
      </w:rPr>
    </w:lvl>
    <w:lvl w:ilvl="3">
      <w:start w:val="1"/>
      <w:numFmt w:val="lowerLetter"/>
      <w:pStyle w:val="Heading4"/>
      <w:lvlText w:val="%4."/>
      <w:lvlJc w:val="left"/>
      <w:pPr>
        <w:tabs>
          <w:tab w:val="num" w:pos="2880"/>
        </w:tabs>
        <w:ind w:left="2880" w:hanging="720"/>
      </w:pPr>
      <w:rPr>
        <w:b/>
        <w:i/>
        <w:caps w:val="0"/>
        <w:vanish w:val="0"/>
        <w:color w:val="010000"/>
        <w:u w:val="none"/>
      </w:rPr>
    </w:lvl>
    <w:lvl w:ilvl="4">
      <w:start w:val="1"/>
      <w:numFmt w:val="lowerRoman"/>
      <w:pStyle w:val="Heading5"/>
      <w:lvlText w:val="%5."/>
      <w:lvlJc w:val="left"/>
      <w:pPr>
        <w:tabs>
          <w:tab w:val="num" w:pos="3600"/>
        </w:tabs>
        <w:ind w:left="3600" w:hanging="720"/>
      </w:pPr>
      <w:rPr>
        <w:caps w:val="0"/>
        <w:vanish w:val="0"/>
        <w:color w:val="010000"/>
        <w:u w:val="none"/>
      </w:rPr>
    </w:lvl>
    <w:lvl w:ilvl="5">
      <w:start w:val="1"/>
      <w:numFmt w:val="lowerLetter"/>
      <w:pStyle w:val="Heading6"/>
      <w:lvlText w:val="(%6)"/>
      <w:lvlJc w:val="left"/>
      <w:pPr>
        <w:tabs>
          <w:tab w:val="num" w:pos="4320"/>
        </w:tabs>
        <w:ind w:left="4320" w:hanging="720"/>
      </w:pPr>
      <w:rPr>
        <w:caps w:val="0"/>
        <w:vanish w:val="0"/>
        <w:color w:val="010000"/>
        <w:u w:val="none"/>
      </w:rPr>
    </w:lvl>
    <w:lvl w:ilvl="6">
      <w:start w:val="1"/>
      <w:numFmt w:val="decimal"/>
      <w:pStyle w:val="Heading7"/>
      <w:lvlText w:val="(%7)"/>
      <w:lvlJc w:val="left"/>
      <w:pPr>
        <w:tabs>
          <w:tab w:val="num" w:pos="5040"/>
        </w:tabs>
        <w:ind w:left="5040" w:hanging="720"/>
      </w:pPr>
      <w:rPr>
        <w:caps w:val="0"/>
        <w:vanish w:val="0"/>
        <w:color w:val="010000"/>
        <w:u w:val="none"/>
      </w:rPr>
    </w:lvl>
    <w:lvl w:ilvl="7">
      <w:start w:val="1"/>
      <w:numFmt w:val="lowerRoman"/>
      <w:pStyle w:val="Heading8"/>
      <w:lvlText w:val="%8)"/>
      <w:lvlJc w:val="left"/>
      <w:pPr>
        <w:tabs>
          <w:tab w:val="num" w:pos="5760"/>
        </w:tabs>
        <w:ind w:left="5760" w:hanging="720"/>
      </w:pPr>
      <w:rPr>
        <w:caps w:val="0"/>
        <w:vanish w:val="0"/>
        <w:color w:val="010000"/>
        <w:u w:val="none"/>
      </w:rPr>
    </w:lvl>
    <w:lvl w:ilvl="8">
      <w:start w:val="1"/>
      <w:numFmt w:val="lowerLetter"/>
      <w:pStyle w:val="Heading9"/>
      <w:lvlText w:val="%9)"/>
      <w:lvlJc w:val="left"/>
      <w:pPr>
        <w:tabs>
          <w:tab w:val="num" w:pos="6480"/>
        </w:tabs>
        <w:ind w:left="6480" w:hanging="720"/>
      </w:pPr>
      <w:rPr>
        <w:caps w:val="0"/>
        <w:vanish w:val="0"/>
        <w:color w:val="010000"/>
        <w:u w:val="none"/>
      </w:rPr>
    </w:lvl>
  </w:abstractNum>
  <w:abstractNum w:abstractNumId="7">
    <w:nsid w:val="58DB07F7"/>
    <w:multiLevelType w:val="hybridMultilevel"/>
    <w:tmpl w:val="B6623CE0"/>
    <w:lvl w:ilvl="0" w:tplc="41526B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6BD2EEB"/>
    <w:multiLevelType w:val="hybridMultilevel"/>
    <w:tmpl w:val="361644CC"/>
    <w:name w:val="(Unnamed Numbering Scheme)"/>
    <w:lvl w:ilvl="0" w:tplc="4FEC640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D5236BF"/>
    <w:multiLevelType w:val="hybridMultilevel"/>
    <w:tmpl w:val="794241D6"/>
    <w:lvl w:ilvl="0" w:tplc="BC3848A0">
      <w:start w:val="1"/>
      <w:numFmt w:val="upperRoman"/>
      <w:lvlText w:val="%1."/>
      <w:lvlJc w:val="left"/>
      <w:pPr>
        <w:ind w:left="2520" w:hanging="72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0">
    <w:nsid w:val="70D2078A"/>
    <w:multiLevelType w:val="hybridMultilevel"/>
    <w:tmpl w:val="42C039F2"/>
    <w:lvl w:ilvl="0" w:tplc="A93014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10"/>
  </w:num>
  <w:num w:numId="5">
    <w:abstractNumId w:val="3"/>
  </w:num>
  <w:num w:numId="6">
    <w:abstractNumId w:val="8"/>
  </w:num>
  <w:num w:numId="7">
    <w:abstractNumId w:val="4"/>
  </w:num>
  <w:num w:numId="8">
    <w:abstractNumId w:val="7"/>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CC9"/>
    <w:rsid w:val="000F6F12"/>
    <w:rsid w:val="00265026"/>
    <w:rsid w:val="002A2A3F"/>
    <w:rsid w:val="00356860"/>
    <w:rsid w:val="00443CC9"/>
    <w:rsid w:val="00517E5D"/>
    <w:rsid w:val="007B24A5"/>
    <w:rsid w:val="008A2F1A"/>
    <w:rsid w:val="00913168"/>
    <w:rsid w:val="009274EE"/>
    <w:rsid w:val="00A63A75"/>
    <w:rsid w:val="00A8620F"/>
    <w:rsid w:val="00AE5AB6"/>
    <w:rsid w:val="00B600FA"/>
    <w:rsid w:val="00CF7F88"/>
    <w:rsid w:val="00D416F9"/>
    <w:rsid w:val="00D531DC"/>
    <w:rsid w:val="00FC6EEB"/>
    <w:rsid w:val="00FF7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E10"/>
    <w:pPr>
      <w:spacing w:after="0" w:line="240" w:lineRule="auto"/>
    </w:pPr>
  </w:style>
  <w:style w:type="paragraph" w:styleId="Heading1">
    <w:name w:val="heading 1"/>
    <w:basedOn w:val="Normal"/>
    <w:next w:val="Normal"/>
    <w:link w:val="Heading1Char"/>
    <w:qFormat/>
    <w:rsid w:val="00BD2496"/>
    <w:pPr>
      <w:numPr>
        <w:numId w:val="10"/>
      </w:numPr>
      <w:tabs>
        <w:tab w:val="clear" w:pos="720"/>
      </w:tabs>
      <w:spacing w:after="240"/>
      <w:jc w:val="both"/>
      <w:outlineLvl w:val="0"/>
    </w:pPr>
    <w:rPr>
      <w:rFonts w:cs="Arial"/>
      <w:b/>
      <w:caps/>
      <w:u w:val="single"/>
    </w:rPr>
  </w:style>
  <w:style w:type="paragraph" w:styleId="Heading2">
    <w:name w:val="heading 2"/>
    <w:basedOn w:val="Normal"/>
    <w:next w:val="Normal"/>
    <w:link w:val="Heading2Char"/>
    <w:uiPriority w:val="9"/>
    <w:unhideWhenUsed/>
    <w:qFormat/>
    <w:rsid w:val="00BD2496"/>
    <w:pPr>
      <w:numPr>
        <w:ilvl w:val="1"/>
        <w:numId w:val="10"/>
      </w:numPr>
      <w:spacing w:after="240"/>
      <w:jc w:val="both"/>
      <w:outlineLvl w:val="1"/>
    </w:pPr>
    <w:rPr>
      <w:rFonts w:eastAsiaTheme="majorEastAsia" w:cs="Arial"/>
      <w:b/>
      <w:bCs/>
      <w:szCs w:val="26"/>
    </w:rPr>
  </w:style>
  <w:style w:type="paragraph" w:styleId="Heading3">
    <w:name w:val="heading 3"/>
    <w:basedOn w:val="Normal"/>
    <w:next w:val="Normal"/>
    <w:link w:val="Heading3Char"/>
    <w:uiPriority w:val="9"/>
    <w:semiHidden/>
    <w:unhideWhenUsed/>
    <w:qFormat/>
    <w:rsid w:val="00BD2496"/>
    <w:pPr>
      <w:numPr>
        <w:ilvl w:val="2"/>
        <w:numId w:val="10"/>
      </w:numPr>
      <w:spacing w:after="240"/>
      <w:jc w:val="both"/>
      <w:outlineLvl w:val="2"/>
    </w:pPr>
    <w:rPr>
      <w:rFonts w:eastAsiaTheme="majorEastAsia" w:cs="Arial"/>
      <w:b/>
      <w:bCs/>
    </w:rPr>
  </w:style>
  <w:style w:type="paragraph" w:styleId="Heading4">
    <w:name w:val="heading 4"/>
    <w:basedOn w:val="Normal"/>
    <w:next w:val="Normal"/>
    <w:link w:val="Heading4Char"/>
    <w:uiPriority w:val="9"/>
    <w:semiHidden/>
    <w:unhideWhenUsed/>
    <w:qFormat/>
    <w:rsid w:val="00BD2496"/>
    <w:pPr>
      <w:numPr>
        <w:ilvl w:val="3"/>
        <w:numId w:val="10"/>
      </w:numPr>
      <w:spacing w:after="240"/>
      <w:jc w:val="both"/>
      <w:outlineLvl w:val="3"/>
    </w:pPr>
    <w:rPr>
      <w:rFonts w:eastAsiaTheme="majorEastAsia" w:cs="Arial"/>
      <w:b/>
      <w:bCs/>
      <w:i/>
      <w:iCs/>
    </w:rPr>
  </w:style>
  <w:style w:type="paragraph" w:styleId="Heading5">
    <w:name w:val="heading 5"/>
    <w:basedOn w:val="Normal"/>
    <w:next w:val="Normal"/>
    <w:link w:val="Heading5Char"/>
    <w:uiPriority w:val="9"/>
    <w:semiHidden/>
    <w:unhideWhenUsed/>
    <w:qFormat/>
    <w:rsid w:val="00BD2496"/>
    <w:pPr>
      <w:numPr>
        <w:ilvl w:val="4"/>
        <w:numId w:val="10"/>
      </w:numPr>
      <w:spacing w:after="240"/>
      <w:jc w:val="both"/>
      <w:outlineLvl w:val="4"/>
    </w:pPr>
    <w:rPr>
      <w:rFonts w:asciiTheme="majorHAnsi" w:eastAsiaTheme="majorEastAsia" w:hAnsiTheme="majorHAnsi" w:cs="Arial"/>
      <w:color w:val="243F60" w:themeColor="accent1" w:themeShade="7F"/>
    </w:rPr>
  </w:style>
  <w:style w:type="paragraph" w:styleId="Heading6">
    <w:name w:val="heading 6"/>
    <w:basedOn w:val="Normal"/>
    <w:next w:val="Normal"/>
    <w:link w:val="Heading6Char"/>
    <w:uiPriority w:val="9"/>
    <w:semiHidden/>
    <w:unhideWhenUsed/>
    <w:qFormat/>
    <w:rsid w:val="00BD2496"/>
    <w:pPr>
      <w:numPr>
        <w:ilvl w:val="5"/>
        <w:numId w:val="10"/>
      </w:numPr>
      <w:spacing w:after="240"/>
      <w:jc w:val="both"/>
      <w:outlineLvl w:val="5"/>
    </w:pPr>
    <w:rPr>
      <w:rFonts w:asciiTheme="majorHAnsi" w:eastAsiaTheme="majorEastAsia" w:hAnsiTheme="majorHAnsi" w:cs="Arial"/>
      <w:iCs/>
      <w:color w:val="243F60" w:themeColor="accent1" w:themeShade="7F"/>
    </w:rPr>
  </w:style>
  <w:style w:type="paragraph" w:styleId="Heading7">
    <w:name w:val="heading 7"/>
    <w:basedOn w:val="Normal"/>
    <w:next w:val="Normal"/>
    <w:link w:val="Heading7Char"/>
    <w:uiPriority w:val="9"/>
    <w:semiHidden/>
    <w:unhideWhenUsed/>
    <w:qFormat/>
    <w:rsid w:val="00BD2496"/>
    <w:pPr>
      <w:numPr>
        <w:ilvl w:val="6"/>
        <w:numId w:val="10"/>
      </w:numPr>
      <w:spacing w:after="240"/>
      <w:jc w:val="both"/>
      <w:outlineLvl w:val="6"/>
    </w:pPr>
    <w:rPr>
      <w:rFonts w:asciiTheme="majorHAnsi" w:eastAsiaTheme="majorEastAsia" w:hAnsiTheme="majorHAnsi" w:cs="Arial"/>
      <w:iCs/>
      <w:color w:val="404040" w:themeColor="text1" w:themeTint="BF"/>
    </w:rPr>
  </w:style>
  <w:style w:type="paragraph" w:styleId="Heading8">
    <w:name w:val="heading 8"/>
    <w:basedOn w:val="Normal"/>
    <w:next w:val="Normal"/>
    <w:link w:val="Heading8Char"/>
    <w:uiPriority w:val="9"/>
    <w:semiHidden/>
    <w:unhideWhenUsed/>
    <w:qFormat/>
    <w:rsid w:val="00BD2496"/>
    <w:pPr>
      <w:numPr>
        <w:ilvl w:val="7"/>
        <w:numId w:val="10"/>
      </w:numPr>
      <w:spacing w:after="240"/>
      <w:jc w:val="both"/>
      <w:outlineLvl w:val="7"/>
    </w:pPr>
    <w:rPr>
      <w:rFonts w:asciiTheme="majorHAnsi" w:eastAsiaTheme="majorEastAsia" w:hAnsiTheme="majorHAnsi" w:cs="Arial"/>
      <w:color w:val="404040" w:themeColor="text1" w:themeTint="BF"/>
      <w:szCs w:val="20"/>
    </w:rPr>
  </w:style>
  <w:style w:type="paragraph" w:styleId="Heading9">
    <w:name w:val="heading 9"/>
    <w:basedOn w:val="Normal"/>
    <w:next w:val="Normal"/>
    <w:link w:val="Heading9Char"/>
    <w:uiPriority w:val="9"/>
    <w:semiHidden/>
    <w:unhideWhenUsed/>
    <w:qFormat/>
    <w:rsid w:val="00BD2496"/>
    <w:pPr>
      <w:numPr>
        <w:ilvl w:val="8"/>
        <w:numId w:val="10"/>
      </w:numPr>
      <w:spacing w:after="240"/>
      <w:jc w:val="both"/>
      <w:outlineLvl w:val="8"/>
    </w:pPr>
    <w:rPr>
      <w:rFonts w:asciiTheme="majorHAnsi" w:eastAsiaTheme="majorEastAsia" w:hAnsiTheme="majorHAnsi" w:cs="Arial"/>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2496"/>
    <w:rPr>
      <w:rFonts w:cs="Arial"/>
      <w:b/>
      <w:caps/>
      <w:u w:val="single"/>
    </w:rPr>
  </w:style>
  <w:style w:type="paragraph" w:styleId="Title">
    <w:name w:val="Title"/>
    <w:basedOn w:val="Normal"/>
    <w:link w:val="TitleChar"/>
    <w:qFormat/>
    <w:rsid w:val="004A6E10"/>
    <w:pPr>
      <w:jc w:val="center"/>
    </w:pPr>
    <w:rPr>
      <w:rFonts w:cs="Arial"/>
      <w:b/>
      <w:smallCaps/>
      <w:sz w:val="32"/>
    </w:rPr>
  </w:style>
  <w:style w:type="character" w:customStyle="1" w:styleId="TitleChar">
    <w:name w:val="Title Char"/>
    <w:basedOn w:val="DefaultParagraphFont"/>
    <w:link w:val="Title"/>
    <w:rsid w:val="004A6E10"/>
    <w:rPr>
      <w:rFonts w:eastAsia="Times New Roman" w:cs="Arial"/>
      <w:b/>
      <w:smallCaps/>
      <w:sz w:val="32"/>
      <w:szCs w:val="24"/>
    </w:rPr>
  </w:style>
  <w:style w:type="paragraph" w:styleId="BodyText">
    <w:name w:val="Body Text"/>
    <w:basedOn w:val="Normal"/>
    <w:link w:val="BodyTextChar"/>
    <w:unhideWhenUsed/>
    <w:rsid w:val="004A6E10"/>
    <w:pPr>
      <w:jc w:val="both"/>
    </w:pPr>
    <w:rPr>
      <w:rFonts w:cs="Arial"/>
    </w:rPr>
  </w:style>
  <w:style w:type="character" w:customStyle="1" w:styleId="BodyTextChar">
    <w:name w:val="Body Text Char"/>
    <w:basedOn w:val="DefaultParagraphFont"/>
    <w:link w:val="BodyText"/>
    <w:rsid w:val="004A6E10"/>
    <w:rPr>
      <w:rFonts w:eastAsia="Times New Roman" w:cs="Arial"/>
      <w:szCs w:val="24"/>
    </w:rPr>
  </w:style>
  <w:style w:type="paragraph" w:styleId="BodyTextIndent">
    <w:name w:val="Body Text Indent"/>
    <w:basedOn w:val="Normal"/>
    <w:link w:val="BodyTextIndentChar"/>
    <w:semiHidden/>
    <w:unhideWhenUsed/>
    <w:rsid w:val="004A6E10"/>
    <w:pPr>
      <w:ind w:firstLine="720"/>
      <w:jc w:val="both"/>
    </w:pPr>
    <w:rPr>
      <w:rFonts w:cs="Arial"/>
    </w:rPr>
  </w:style>
  <w:style w:type="character" w:customStyle="1" w:styleId="BodyTextIndentChar">
    <w:name w:val="Body Text Indent Char"/>
    <w:basedOn w:val="DefaultParagraphFont"/>
    <w:link w:val="BodyTextIndent"/>
    <w:semiHidden/>
    <w:rsid w:val="004A6E10"/>
    <w:rPr>
      <w:rFonts w:eastAsia="Times New Roman" w:cs="Arial"/>
      <w:szCs w:val="24"/>
    </w:rPr>
  </w:style>
  <w:style w:type="paragraph" w:styleId="BodyText3">
    <w:name w:val="Body Text 3"/>
    <w:basedOn w:val="Normal"/>
    <w:link w:val="BodyText3Char"/>
    <w:semiHidden/>
    <w:unhideWhenUsed/>
    <w:rsid w:val="004A6E10"/>
    <w:rPr>
      <w:b/>
      <w:szCs w:val="20"/>
    </w:rPr>
  </w:style>
  <w:style w:type="character" w:customStyle="1" w:styleId="BodyText3Char">
    <w:name w:val="Body Text 3 Char"/>
    <w:basedOn w:val="DefaultParagraphFont"/>
    <w:link w:val="BodyText3"/>
    <w:semiHidden/>
    <w:rsid w:val="004A6E10"/>
    <w:rPr>
      <w:rFonts w:ascii="Times New Roman" w:eastAsia="Times New Roman" w:hAnsi="Times New Roman" w:cs="Times New Roman"/>
      <w:b/>
      <w:szCs w:val="20"/>
    </w:rPr>
  </w:style>
  <w:style w:type="paragraph" w:styleId="BodyTextIndent2">
    <w:name w:val="Body Text Indent 2"/>
    <w:basedOn w:val="Normal"/>
    <w:link w:val="BodyTextIndent2Char"/>
    <w:semiHidden/>
    <w:unhideWhenUsed/>
    <w:rsid w:val="004A6E10"/>
    <w:pPr>
      <w:ind w:left="4920"/>
      <w:jc w:val="both"/>
    </w:pPr>
    <w:rPr>
      <w:rFonts w:cs="Arial"/>
      <w:sz w:val="21"/>
    </w:rPr>
  </w:style>
  <w:style w:type="character" w:customStyle="1" w:styleId="BodyTextIndent2Char">
    <w:name w:val="Body Text Indent 2 Char"/>
    <w:basedOn w:val="DefaultParagraphFont"/>
    <w:link w:val="BodyTextIndent2"/>
    <w:semiHidden/>
    <w:rsid w:val="004A6E10"/>
    <w:rPr>
      <w:rFonts w:eastAsia="Times New Roman" w:cs="Arial"/>
      <w:sz w:val="21"/>
      <w:szCs w:val="24"/>
    </w:rPr>
  </w:style>
  <w:style w:type="paragraph" w:styleId="ListParagraph">
    <w:name w:val="List Paragraph"/>
    <w:basedOn w:val="Normal"/>
    <w:uiPriority w:val="34"/>
    <w:qFormat/>
    <w:rsid w:val="004A6E10"/>
    <w:pPr>
      <w:ind w:left="720"/>
      <w:contextualSpacing/>
    </w:pPr>
  </w:style>
  <w:style w:type="paragraph" w:styleId="Header">
    <w:name w:val="header"/>
    <w:basedOn w:val="Normal"/>
    <w:link w:val="HeaderChar"/>
    <w:uiPriority w:val="99"/>
    <w:unhideWhenUsed/>
    <w:rsid w:val="004A6E10"/>
    <w:pPr>
      <w:tabs>
        <w:tab w:val="center" w:pos="4680"/>
        <w:tab w:val="right" w:pos="9360"/>
      </w:tabs>
    </w:pPr>
  </w:style>
  <w:style w:type="character" w:customStyle="1" w:styleId="HeaderChar">
    <w:name w:val="Header Char"/>
    <w:basedOn w:val="DefaultParagraphFont"/>
    <w:link w:val="Header"/>
    <w:uiPriority w:val="99"/>
    <w:rsid w:val="004A6E10"/>
    <w:rPr>
      <w:rFonts w:ascii="Times New Roman" w:eastAsia="Times New Roman" w:hAnsi="Times New Roman" w:cs="Times New Roman"/>
      <w:szCs w:val="24"/>
    </w:rPr>
  </w:style>
  <w:style w:type="paragraph" w:styleId="Footer">
    <w:name w:val="footer"/>
    <w:basedOn w:val="Normal"/>
    <w:link w:val="FooterChar"/>
    <w:uiPriority w:val="99"/>
    <w:unhideWhenUsed/>
    <w:rsid w:val="004A6E10"/>
    <w:pPr>
      <w:tabs>
        <w:tab w:val="center" w:pos="4680"/>
        <w:tab w:val="right" w:pos="9360"/>
      </w:tabs>
    </w:pPr>
  </w:style>
  <w:style w:type="character" w:customStyle="1" w:styleId="FooterChar">
    <w:name w:val="Footer Char"/>
    <w:basedOn w:val="DefaultParagraphFont"/>
    <w:link w:val="Footer"/>
    <w:uiPriority w:val="99"/>
    <w:rsid w:val="004A6E10"/>
    <w:rPr>
      <w:rFonts w:ascii="Times New Roman" w:eastAsia="Times New Roman" w:hAnsi="Times New Roman" w:cs="Times New Roman"/>
      <w:szCs w:val="24"/>
    </w:rPr>
  </w:style>
  <w:style w:type="paragraph" w:styleId="FootnoteText">
    <w:name w:val="footnote text"/>
    <w:basedOn w:val="Normal"/>
    <w:link w:val="FootnoteTextChar"/>
    <w:uiPriority w:val="99"/>
    <w:semiHidden/>
    <w:unhideWhenUsed/>
    <w:rsid w:val="00597797"/>
    <w:rPr>
      <w:sz w:val="20"/>
      <w:szCs w:val="20"/>
    </w:rPr>
  </w:style>
  <w:style w:type="character" w:customStyle="1" w:styleId="FootnoteTextChar">
    <w:name w:val="Footnote Text Char"/>
    <w:basedOn w:val="DefaultParagraphFont"/>
    <w:link w:val="FootnoteText"/>
    <w:uiPriority w:val="99"/>
    <w:semiHidden/>
    <w:rsid w:val="0059779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97797"/>
    <w:rPr>
      <w:vertAlign w:val="superscript"/>
    </w:rPr>
  </w:style>
  <w:style w:type="character" w:customStyle="1" w:styleId="ft">
    <w:name w:val="ft"/>
    <w:basedOn w:val="DefaultParagraphFont"/>
    <w:rsid w:val="00597797"/>
  </w:style>
  <w:style w:type="paragraph" w:styleId="BalloonText">
    <w:name w:val="Balloon Text"/>
    <w:basedOn w:val="Normal"/>
    <w:link w:val="BalloonTextChar"/>
    <w:uiPriority w:val="99"/>
    <w:semiHidden/>
    <w:unhideWhenUsed/>
    <w:rsid w:val="00027845"/>
    <w:rPr>
      <w:rFonts w:ascii="Tahoma" w:hAnsi="Tahoma" w:cs="Tahoma"/>
      <w:sz w:val="16"/>
      <w:szCs w:val="16"/>
    </w:rPr>
  </w:style>
  <w:style w:type="character" w:customStyle="1" w:styleId="BalloonTextChar">
    <w:name w:val="Balloon Text Char"/>
    <w:basedOn w:val="DefaultParagraphFont"/>
    <w:link w:val="BalloonText"/>
    <w:uiPriority w:val="99"/>
    <w:semiHidden/>
    <w:rsid w:val="00027845"/>
    <w:rPr>
      <w:rFonts w:ascii="Tahoma" w:hAnsi="Tahoma" w:cs="Tahoma"/>
      <w:sz w:val="16"/>
      <w:szCs w:val="16"/>
    </w:rPr>
  </w:style>
  <w:style w:type="character" w:customStyle="1" w:styleId="Heading4Char">
    <w:name w:val="Heading 4 Char"/>
    <w:basedOn w:val="DefaultParagraphFont"/>
    <w:link w:val="Heading4"/>
    <w:uiPriority w:val="9"/>
    <w:semiHidden/>
    <w:rsid w:val="00BD2496"/>
    <w:rPr>
      <w:rFonts w:eastAsiaTheme="majorEastAsia" w:cs="Arial"/>
      <w:b/>
      <w:bCs/>
      <w:i/>
      <w:iCs/>
    </w:rPr>
  </w:style>
  <w:style w:type="paragraph" w:styleId="NormalWeb">
    <w:name w:val="Normal (Web)"/>
    <w:basedOn w:val="Normal"/>
    <w:uiPriority w:val="99"/>
    <w:semiHidden/>
    <w:unhideWhenUsed/>
    <w:rsid w:val="002957E3"/>
    <w:rPr>
      <w:rFonts w:ascii="Times New Roman" w:eastAsia="Times New Roman" w:hAnsi="Times New Roman"/>
    </w:rPr>
  </w:style>
  <w:style w:type="character" w:customStyle="1" w:styleId="Heading9Char">
    <w:name w:val="Heading 9 Char"/>
    <w:basedOn w:val="DefaultParagraphFont"/>
    <w:link w:val="Heading9"/>
    <w:uiPriority w:val="9"/>
    <w:semiHidden/>
    <w:rsid w:val="00BD2496"/>
    <w:rPr>
      <w:rFonts w:asciiTheme="majorHAnsi" w:eastAsiaTheme="majorEastAsia" w:hAnsiTheme="majorHAnsi" w:cs="Arial"/>
      <w:iCs/>
      <w:color w:val="404040" w:themeColor="text1" w:themeTint="BF"/>
      <w:szCs w:val="20"/>
    </w:rPr>
  </w:style>
  <w:style w:type="character" w:styleId="Hyperlink">
    <w:name w:val="Hyperlink"/>
    <w:basedOn w:val="DefaultParagraphFont"/>
    <w:uiPriority w:val="99"/>
    <w:unhideWhenUsed/>
    <w:rsid w:val="00806AC4"/>
    <w:rPr>
      <w:color w:val="0000FF" w:themeColor="hyperlink"/>
      <w:u w:val="single"/>
    </w:rPr>
  </w:style>
  <w:style w:type="character" w:customStyle="1" w:styleId="Heading2Char">
    <w:name w:val="Heading 2 Char"/>
    <w:basedOn w:val="DefaultParagraphFont"/>
    <w:link w:val="Heading2"/>
    <w:uiPriority w:val="9"/>
    <w:rsid w:val="00BD2496"/>
    <w:rPr>
      <w:rFonts w:eastAsiaTheme="majorEastAsia" w:cs="Arial"/>
      <w:b/>
      <w:bCs/>
      <w:szCs w:val="26"/>
    </w:rPr>
  </w:style>
  <w:style w:type="character" w:customStyle="1" w:styleId="Heading3Char">
    <w:name w:val="Heading 3 Char"/>
    <w:basedOn w:val="DefaultParagraphFont"/>
    <w:link w:val="Heading3"/>
    <w:uiPriority w:val="9"/>
    <w:semiHidden/>
    <w:rsid w:val="00BD2496"/>
    <w:rPr>
      <w:rFonts w:eastAsiaTheme="majorEastAsia" w:cs="Arial"/>
      <w:b/>
      <w:bCs/>
    </w:rPr>
  </w:style>
  <w:style w:type="character" w:customStyle="1" w:styleId="Heading5Char">
    <w:name w:val="Heading 5 Char"/>
    <w:basedOn w:val="DefaultParagraphFont"/>
    <w:link w:val="Heading5"/>
    <w:uiPriority w:val="9"/>
    <w:semiHidden/>
    <w:rsid w:val="00BD2496"/>
    <w:rPr>
      <w:rFonts w:asciiTheme="majorHAnsi" w:eastAsiaTheme="majorEastAsia" w:hAnsiTheme="majorHAnsi" w:cs="Arial"/>
      <w:color w:val="243F60" w:themeColor="accent1" w:themeShade="7F"/>
    </w:rPr>
  </w:style>
  <w:style w:type="character" w:customStyle="1" w:styleId="Heading6Char">
    <w:name w:val="Heading 6 Char"/>
    <w:basedOn w:val="DefaultParagraphFont"/>
    <w:link w:val="Heading6"/>
    <w:uiPriority w:val="9"/>
    <w:semiHidden/>
    <w:rsid w:val="00BD2496"/>
    <w:rPr>
      <w:rFonts w:asciiTheme="majorHAnsi" w:eastAsiaTheme="majorEastAsia" w:hAnsiTheme="majorHAnsi" w:cs="Arial"/>
      <w:iCs/>
      <w:color w:val="243F60" w:themeColor="accent1" w:themeShade="7F"/>
    </w:rPr>
  </w:style>
  <w:style w:type="character" w:customStyle="1" w:styleId="Heading7Char">
    <w:name w:val="Heading 7 Char"/>
    <w:basedOn w:val="DefaultParagraphFont"/>
    <w:link w:val="Heading7"/>
    <w:uiPriority w:val="9"/>
    <w:semiHidden/>
    <w:rsid w:val="00BD2496"/>
    <w:rPr>
      <w:rFonts w:asciiTheme="majorHAnsi" w:eastAsiaTheme="majorEastAsia" w:hAnsiTheme="majorHAnsi" w:cs="Arial"/>
      <w:iCs/>
      <w:color w:val="404040" w:themeColor="text1" w:themeTint="BF"/>
    </w:rPr>
  </w:style>
  <w:style w:type="character" w:customStyle="1" w:styleId="Heading8Char">
    <w:name w:val="Heading 8 Char"/>
    <w:basedOn w:val="DefaultParagraphFont"/>
    <w:link w:val="Heading8"/>
    <w:uiPriority w:val="9"/>
    <w:semiHidden/>
    <w:rsid w:val="00BD2496"/>
    <w:rPr>
      <w:rFonts w:asciiTheme="majorHAnsi" w:eastAsiaTheme="majorEastAsia" w:hAnsiTheme="majorHAnsi" w:cs="Arial"/>
      <w:color w:val="404040" w:themeColor="text1" w:themeTint="BF"/>
      <w:szCs w:val="20"/>
    </w:rPr>
  </w:style>
  <w:style w:type="paragraph" w:styleId="TOCHeading">
    <w:name w:val="TOC Heading"/>
    <w:basedOn w:val="Normal"/>
    <w:next w:val="TOC1"/>
    <w:uiPriority w:val="39"/>
    <w:unhideWhenUsed/>
    <w:qFormat/>
    <w:rsid w:val="00BD2496"/>
    <w:pPr>
      <w:keepNext/>
      <w:keepLines/>
      <w:spacing w:before="480" w:after="240"/>
      <w:jc w:val="center"/>
    </w:pPr>
    <w:rPr>
      <w:rFonts w:eastAsiaTheme="majorEastAsia" w:cs="Arial"/>
      <w:b/>
      <w:bCs/>
      <w:color w:val="365F91" w:themeColor="accent1" w:themeShade="BF"/>
      <w:szCs w:val="28"/>
    </w:rPr>
  </w:style>
  <w:style w:type="paragraph" w:styleId="TOC1">
    <w:name w:val="toc 1"/>
    <w:basedOn w:val="Normal"/>
    <w:next w:val="Normal"/>
    <w:autoRedefine/>
    <w:uiPriority w:val="39"/>
    <w:unhideWhenUsed/>
    <w:rsid w:val="00866E97"/>
    <w:pPr>
      <w:tabs>
        <w:tab w:val="right" w:leader="dot" w:pos="9406"/>
      </w:tabs>
      <w:spacing w:after="100"/>
      <w:ind w:left="720" w:hanging="720"/>
    </w:pPr>
  </w:style>
  <w:style w:type="paragraph" w:styleId="TOC2">
    <w:name w:val="toc 2"/>
    <w:basedOn w:val="Normal"/>
    <w:next w:val="Normal"/>
    <w:autoRedefine/>
    <w:uiPriority w:val="39"/>
    <w:unhideWhenUsed/>
    <w:rsid w:val="00866E97"/>
    <w:pPr>
      <w:tabs>
        <w:tab w:val="left" w:pos="1440"/>
        <w:tab w:val="right" w:leader="dot" w:pos="9406"/>
      </w:tabs>
      <w:spacing w:after="100"/>
      <w:ind w:left="1440" w:hanging="720"/>
      <w:jc w:val="both"/>
    </w:pPr>
  </w:style>
  <w:style w:type="paragraph" w:styleId="TOC3">
    <w:name w:val="toc 3"/>
    <w:basedOn w:val="Normal"/>
    <w:next w:val="Normal"/>
    <w:autoRedefine/>
    <w:uiPriority w:val="39"/>
    <w:semiHidden/>
    <w:unhideWhenUsed/>
    <w:rsid w:val="00BD2496"/>
    <w:pPr>
      <w:spacing w:after="100"/>
      <w:ind w:left="480"/>
    </w:pPr>
  </w:style>
  <w:style w:type="paragraph" w:styleId="TOC4">
    <w:name w:val="toc 4"/>
    <w:basedOn w:val="Normal"/>
    <w:next w:val="Normal"/>
    <w:autoRedefine/>
    <w:uiPriority w:val="39"/>
    <w:semiHidden/>
    <w:unhideWhenUsed/>
    <w:rsid w:val="00BD2496"/>
    <w:pPr>
      <w:spacing w:after="100"/>
      <w:ind w:left="720"/>
    </w:pPr>
  </w:style>
  <w:style w:type="paragraph" w:styleId="TOC5">
    <w:name w:val="toc 5"/>
    <w:basedOn w:val="Normal"/>
    <w:next w:val="Normal"/>
    <w:autoRedefine/>
    <w:uiPriority w:val="39"/>
    <w:semiHidden/>
    <w:unhideWhenUsed/>
    <w:rsid w:val="00BD2496"/>
    <w:pPr>
      <w:spacing w:after="100"/>
      <w:ind w:left="960"/>
    </w:pPr>
  </w:style>
  <w:style w:type="paragraph" w:styleId="TOC6">
    <w:name w:val="toc 6"/>
    <w:basedOn w:val="Normal"/>
    <w:next w:val="Normal"/>
    <w:autoRedefine/>
    <w:uiPriority w:val="39"/>
    <w:semiHidden/>
    <w:unhideWhenUsed/>
    <w:rsid w:val="00BD2496"/>
    <w:pPr>
      <w:spacing w:after="100"/>
      <w:ind w:left="1200"/>
    </w:pPr>
  </w:style>
  <w:style w:type="paragraph" w:styleId="TOC7">
    <w:name w:val="toc 7"/>
    <w:basedOn w:val="Normal"/>
    <w:next w:val="Normal"/>
    <w:autoRedefine/>
    <w:uiPriority w:val="39"/>
    <w:semiHidden/>
    <w:unhideWhenUsed/>
    <w:rsid w:val="00BD2496"/>
    <w:pPr>
      <w:spacing w:after="100"/>
      <w:ind w:left="1440"/>
    </w:pPr>
  </w:style>
  <w:style w:type="paragraph" w:styleId="TOC8">
    <w:name w:val="toc 8"/>
    <w:basedOn w:val="Normal"/>
    <w:next w:val="Normal"/>
    <w:autoRedefine/>
    <w:uiPriority w:val="39"/>
    <w:semiHidden/>
    <w:unhideWhenUsed/>
    <w:rsid w:val="00BD2496"/>
    <w:pPr>
      <w:spacing w:after="100"/>
      <w:ind w:left="1680"/>
    </w:pPr>
  </w:style>
  <w:style w:type="paragraph" w:styleId="TOC9">
    <w:name w:val="toc 9"/>
    <w:basedOn w:val="Normal"/>
    <w:next w:val="Normal"/>
    <w:autoRedefine/>
    <w:uiPriority w:val="39"/>
    <w:semiHidden/>
    <w:unhideWhenUsed/>
    <w:rsid w:val="00BD2496"/>
    <w:pPr>
      <w:spacing w:after="100"/>
      <w:ind w:left="1920"/>
    </w:pPr>
  </w:style>
  <w:style w:type="paragraph" w:customStyle="1" w:styleId="TOCPage">
    <w:name w:val="TOC Page"/>
    <w:basedOn w:val="Normal"/>
    <w:next w:val="Normal"/>
    <w:link w:val="TOCPageChar"/>
    <w:rsid w:val="00BD2496"/>
    <w:pPr>
      <w:autoSpaceDE w:val="0"/>
      <w:autoSpaceDN w:val="0"/>
      <w:adjustRightInd w:val="0"/>
      <w:spacing w:after="240"/>
      <w:ind w:left="4140" w:hanging="4140"/>
      <w:jc w:val="right"/>
    </w:pPr>
    <w:rPr>
      <w:rFonts w:cs="Arial"/>
      <w:b/>
      <w:smallCaps/>
    </w:rPr>
  </w:style>
  <w:style w:type="character" w:customStyle="1" w:styleId="TOCPageChar">
    <w:name w:val="TOC Page Char"/>
    <w:basedOn w:val="DefaultParagraphFont"/>
    <w:link w:val="TOCPage"/>
    <w:rsid w:val="00BD2496"/>
    <w:rPr>
      <w:rFonts w:cs="Arial"/>
      <w:b/>
      <w:smallCap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E10"/>
    <w:pPr>
      <w:spacing w:after="0" w:line="240" w:lineRule="auto"/>
    </w:pPr>
  </w:style>
  <w:style w:type="paragraph" w:styleId="Heading1">
    <w:name w:val="heading 1"/>
    <w:basedOn w:val="Normal"/>
    <w:next w:val="Normal"/>
    <w:link w:val="Heading1Char"/>
    <w:qFormat/>
    <w:rsid w:val="00BD2496"/>
    <w:pPr>
      <w:numPr>
        <w:numId w:val="10"/>
      </w:numPr>
      <w:tabs>
        <w:tab w:val="clear" w:pos="720"/>
      </w:tabs>
      <w:spacing w:after="240"/>
      <w:jc w:val="both"/>
      <w:outlineLvl w:val="0"/>
    </w:pPr>
    <w:rPr>
      <w:rFonts w:cs="Arial"/>
      <w:b/>
      <w:caps/>
      <w:u w:val="single"/>
    </w:rPr>
  </w:style>
  <w:style w:type="paragraph" w:styleId="Heading2">
    <w:name w:val="heading 2"/>
    <w:basedOn w:val="Normal"/>
    <w:next w:val="Normal"/>
    <w:link w:val="Heading2Char"/>
    <w:uiPriority w:val="9"/>
    <w:unhideWhenUsed/>
    <w:qFormat/>
    <w:rsid w:val="00BD2496"/>
    <w:pPr>
      <w:numPr>
        <w:ilvl w:val="1"/>
        <w:numId w:val="10"/>
      </w:numPr>
      <w:spacing w:after="240"/>
      <w:jc w:val="both"/>
      <w:outlineLvl w:val="1"/>
    </w:pPr>
    <w:rPr>
      <w:rFonts w:eastAsiaTheme="majorEastAsia" w:cs="Arial"/>
      <w:b/>
      <w:bCs/>
      <w:szCs w:val="26"/>
    </w:rPr>
  </w:style>
  <w:style w:type="paragraph" w:styleId="Heading3">
    <w:name w:val="heading 3"/>
    <w:basedOn w:val="Normal"/>
    <w:next w:val="Normal"/>
    <w:link w:val="Heading3Char"/>
    <w:uiPriority w:val="9"/>
    <w:semiHidden/>
    <w:unhideWhenUsed/>
    <w:qFormat/>
    <w:rsid w:val="00BD2496"/>
    <w:pPr>
      <w:numPr>
        <w:ilvl w:val="2"/>
        <w:numId w:val="10"/>
      </w:numPr>
      <w:spacing w:after="240"/>
      <w:jc w:val="both"/>
      <w:outlineLvl w:val="2"/>
    </w:pPr>
    <w:rPr>
      <w:rFonts w:eastAsiaTheme="majorEastAsia" w:cs="Arial"/>
      <w:b/>
      <w:bCs/>
    </w:rPr>
  </w:style>
  <w:style w:type="paragraph" w:styleId="Heading4">
    <w:name w:val="heading 4"/>
    <w:basedOn w:val="Normal"/>
    <w:next w:val="Normal"/>
    <w:link w:val="Heading4Char"/>
    <w:uiPriority w:val="9"/>
    <w:semiHidden/>
    <w:unhideWhenUsed/>
    <w:qFormat/>
    <w:rsid w:val="00BD2496"/>
    <w:pPr>
      <w:numPr>
        <w:ilvl w:val="3"/>
        <w:numId w:val="10"/>
      </w:numPr>
      <w:spacing w:after="240"/>
      <w:jc w:val="both"/>
      <w:outlineLvl w:val="3"/>
    </w:pPr>
    <w:rPr>
      <w:rFonts w:eastAsiaTheme="majorEastAsia" w:cs="Arial"/>
      <w:b/>
      <w:bCs/>
      <w:i/>
      <w:iCs/>
    </w:rPr>
  </w:style>
  <w:style w:type="paragraph" w:styleId="Heading5">
    <w:name w:val="heading 5"/>
    <w:basedOn w:val="Normal"/>
    <w:next w:val="Normal"/>
    <w:link w:val="Heading5Char"/>
    <w:uiPriority w:val="9"/>
    <w:semiHidden/>
    <w:unhideWhenUsed/>
    <w:qFormat/>
    <w:rsid w:val="00BD2496"/>
    <w:pPr>
      <w:numPr>
        <w:ilvl w:val="4"/>
        <w:numId w:val="10"/>
      </w:numPr>
      <w:spacing w:after="240"/>
      <w:jc w:val="both"/>
      <w:outlineLvl w:val="4"/>
    </w:pPr>
    <w:rPr>
      <w:rFonts w:asciiTheme="majorHAnsi" w:eastAsiaTheme="majorEastAsia" w:hAnsiTheme="majorHAnsi" w:cs="Arial"/>
      <w:color w:val="243F60" w:themeColor="accent1" w:themeShade="7F"/>
    </w:rPr>
  </w:style>
  <w:style w:type="paragraph" w:styleId="Heading6">
    <w:name w:val="heading 6"/>
    <w:basedOn w:val="Normal"/>
    <w:next w:val="Normal"/>
    <w:link w:val="Heading6Char"/>
    <w:uiPriority w:val="9"/>
    <w:semiHidden/>
    <w:unhideWhenUsed/>
    <w:qFormat/>
    <w:rsid w:val="00BD2496"/>
    <w:pPr>
      <w:numPr>
        <w:ilvl w:val="5"/>
        <w:numId w:val="10"/>
      </w:numPr>
      <w:spacing w:after="240"/>
      <w:jc w:val="both"/>
      <w:outlineLvl w:val="5"/>
    </w:pPr>
    <w:rPr>
      <w:rFonts w:asciiTheme="majorHAnsi" w:eastAsiaTheme="majorEastAsia" w:hAnsiTheme="majorHAnsi" w:cs="Arial"/>
      <w:iCs/>
      <w:color w:val="243F60" w:themeColor="accent1" w:themeShade="7F"/>
    </w:rPr>
  </w:style>
  <w:style w:type="paragraph" w:styleId="Heading7">
    <w:name w:val="heading 7"/>
    <w:basedOn w:val="Normal"/>
    <w:next w:val="Normal"/>
    <w:link w:val="Heading7Char"/>
    <w:uiPriority w:val="9"/>
    <w:semiHidden/>
    <w:unhideWhenUsed/>
    <w:qFormat/>
    <w:rsid w:val="00BD2496"/>
    <w:pPr>
      <w:numPr>
        <w:ilvl w:val="6"/>
        <w:numId w:val="10"/>
      </w:numPr>
      <w:spacing w:after="240"/>
      <w:jc w:val="both"/>
      <w:outlineLvl w:val="6"/>
    </w:pPr>
    <w:rPr>
      <w:rFonts w:asciiTheme="majorHAnsi" w:eastAsiaTheme="majorEastAsia" w:hAnsiTheme="majorHAnsi" w:cs="Arial"/>
      <w:iCs/>
      <w:color w:val="404040" w:themeColor="text1" w:themeTint="BF"/>
    </w:rPr>
  </w:style>
  <w:style w:type="paragraph" w:styleId="Heading8">
    <w:name w:val="heading 8"/>
    <w:basedOn w:val="Normal"/>
    <w:next w:val="Normal"/>
    <w:link w:val="Heading8Char"/>
    <w:uiPriority w:val="9"/>
    <w:semiHidden/>
    <w:unhideWhenUsed/>
    <w:qFormat/>
    <w:rsid w:val="00BD2496"/>
    <w:pPr>
      <w:numPr>
        <w:ilvl w:val="7"/>
        <w:numId w:val="10"/>
      </w:numPr>
      <w:spacing w:after="240"/>
      <w:jc w:val="both"/>
      <w:outlineLvl w:val="7"/>
    </w:pPr>
    <w:rPr>
      <w:rFonts w:asciiTheme="majorHAnsi" w:eastAsiaTheme="majorEastAsia" w:hAnsiTheme="majorHAnsi" w:cs="Arial"/>
      <w:color w:val="404040" w:themeColor="text1" w:themeTint="BF"/>
      <w:szCs w:val="20"/>
    </w:rPr>
  </w:style>
  <w:style w:type="paragraph" w:styleId="Heading9">
    <w:name w:val="heading 9"/>
    <w:basedOn w:val="Normal"/>
    <w:next w:val="Normal"/>
    <w:link w:val="Heading9Char"/>
    <w:uiPriority w:val="9"/>
    <w:semiHidden/>
    <w:unhideWhenUsed/>
    <w:qFormat/>
    <w:rsid w:val="00BD2496"/>
    <w:pPr>
      <w:numPr>
        <w:ilvl w:val="8"/>
        <w:numId w:val="10"/>
      </w:numPr>
      <w:spacing w:after="240"/>
      <w:jc w:val="both"/>
      <w:outlineLvl w:val="8"/>
    </w:pPr>
    <w:rPr>
      <w:rFonts w:asciiTheme="majorHAnsi" w:eastAsiaTheme="majorEastAsia" w:hAnsiTheme="majorHAnsi" w:cs="Arial"/>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2496"/>
    <w:rPr>
      <w:rFonts w:cs="Arial"/>
      <w:b/>
      <w:caps/>
      <w:u w:val="single"/>
    </w:rPr>
  </w:style>
  <w:style w:type="paragraph" w:styleId="Title">
    <w:name w:val="Title"/>
    <w:basedOn w:val="Normal"/>
    <w:link w:val="TitleChar"/>
    <w:qFormat/>
    <w:rsid w:val="004A6E10"/>
    <w:pPr>
      <w:jc w:val="center"/>
    </w:pPr>
    <w:rPr>
      <w:rFonts w:cs="Arial"/>
      <w:b/>
      <w:smallCaps/>
      <w:sz w:val="32"/>
    </w:rPr>
  </w:style>
  <w:style w:type="character" w:customStyle="1" w:styleId="TitleChar">
    <w:name w:val="Title Char"/>
    <w:basedOn w:val="DefaultParagraphFont"/>
    <w:link w:val="Title"/>
    <w:rsid w:val="004A6E10"/>
    <w:rPr>
      <w:rFonts w:eastAsia="Times New Roman" w:cs="Arial"/>
      <w:b/>
      <w:smallCaps/>
      <w:sz w:val="32"/>
      <w:szCs w:val="24"/>
    </w:rPr>
  </w:style>
  <w:style w:type="paragraph" w:styleId="BodyText">
    <w:name w:val="Body Text"/>
    <w:basedOn w:val="Normal"/>
    <w:link w:val="BodyTextChar"/>
    <w:unhideWhenUsed/>
    <w:rsid w:val="004A6E10"/>
    <w:pPr>
      <w:jc w:val="both"/>
    </w:pPr>
    <w:rPr>
      <w:rFonts w:cs="Arial"/>
    </w:rPr>
  </w:style>
  <w:style w:type="character" w:customStyle="1" w:styleId="BodyTextChar">
    <w:name w:val="Body Text Char"/>
    <w:basedOn w:val="DefaultParagraphFont"/>
    <w:link w:val="BodyText"/>
    <w:rsid w:val="004A6E10"/>
    <w:rPr>
      <w:rFonts w:eastAsia="Times New Roman" w:cs="Arial"/>
      <w:szCs w:val="24"/>
    </w:rPr>
  </w:style>
  <w:style w:type="paragraph" w:styleId="BodyTextIndent">
    <w:name w:val="Body Text Indent"/>
    <w:basedOn w:val="Normal"/>
    <w:link w:val="BodyTextIndentChar"/>
    <w:semiHidden/>
    <w:unhideWhenUsed/>
    <w:rsid w:val="004A6E10"/>
    <w:pPr>
      <w:ind w:firstLine="720"/>
      <w:jc w:val="both"/>
    </w:pPr>
    <w:rPr>
      <w:rFonts w:cs="Arial"/>
    </w:rPr>
  </w:style>
  <w:style w:type="character" w:customStyle="1" w:styleId="BodyTextIndentChar">
    <w:name w:val="Body Text Indent Char"/>
    <w:basedOn w:val="DefaultParagraphFont"/>
    <w:link w:val="BodyTextIndent"/>
    <w:semiHidden/>
    <w:rsid w:val="004A6E10"/>
    <w:rPr>
      <w:rFonts w:eastAsia="Times New Roman" w:cs="Arial"/>
      <w:szCs w:val="24"/>
    </w:rPr>
  </w:style>
  <w:style w:type="paragraph" w:styleId="BodyText3">
    <w:name w:val="Body Text 3"/>
    <w:basedOn w:val="Normal"/>
    <w:link w:val="BodyText3Char"/>
    <w:semiHidden/>
    <w:unhideWhenUsed/>
    <w:rsid w:val="004A6E10"/>
    <w:rPr>
      <w:b/>
      <w:szCs w:val="20"/>
    </w:rPr>
  </w:style>
  <w:style w:type="character" w:customStyle="1" w:styleId="BodyText3Char">
    <w:name w:val="Body Text 3 Char"/>
    <w:basedOn w:val="DefaultParagraphFont"/>
    <w:link w:val="BodyText3"/>
    <w:semiHidden/>
    <w:rsid w:val="004A6E10"/>
    <w:rPr>
      <w:rFonts w:ascii="Times New Roman" w:eastAsia="Times New Roman" w:hAnsi="Times New Roman" w:cs="Times New Roman"/>
      <w:b/>
      <w:szCs w:val="20"/>
    </w:rPr>
  </w:style>
  <w:style w:type="paragraph" w:styleId="BodyTextIndent2">
    <w:name w:val="Body Text Indent 2"/>
    <w:basedOn w:val="Normal"/>
    <w:link w:val="BodyTextIndent2Char"/>
    <w:semiHidden/>
    <w:unhideWhenUsed/>
    <w:rsid w:val="004A6E10"/>
    <w:pPr>
      <w:ind w:left="4920"/>
      <w:jc w:val="both"/>
    </w:pPr>
    <w:rPr>
      <w:rFonts w:cs="Arial"/>
      <w:sz w:val="21"/>
    </w:rPr>
  </w:style>
  <w:style w:type="character" w:customStyle="1" w:styleId="BodyTextIndent2Char">
    <w:name w:val="Body Text Indent 2 Char"/>
    <w:basedOn w:val="DefaultParagraphFont"/>
    <w:link w:val="BodyTextIndent2"/>
    <w:semiHidden/>
    <w:rsid w:val="004A6E10"/>
    <w:rPr>
      <w:rFonts w:eastAsia="Times New Roman" w:cs="Arial"/>
      <w:sz w:val="21"/>
      <w:szCs w:val="24"/>
    </w:rPr>
  </w:style>
  <w:style w:type="paragraph" w:styleId="ListParagraph">
    <w:name w:val="List Paragraph"/>
    <w:basedOn w:val="Normal"/>
    <w:uiPriority w:val="34"/>
    <w:qFormat/>
    <w:rsid w:val="004A6E10"/>
    <w:pPr>
      <w:ind w:left="720"/>
      <w:contextualSpacing/>
    </w:pPr>
  </w:style>
  <w:style w:type="paragraph" w:styleId="Header">
    <w:name w:val="header"/>
    <w:basedOn w:val="Normal"/>
    <w:link w:val="HeaderChar"/>
    <w:uiPriority w:val="99"/>
    <w:unhideWhenUsed/>
    <w:rsid w:val="004A6E10"/>
    <w:pPr>
      <w:tabs>
        <w:tab w:val="center" w:pos="4680"/>
        <w:tab w:val="right" w:pos="9360"/>
      </w:tabs>
    </w:pPr>
  </w:style>
  <w:style w:type="character" w:customStyle="1" w:styleId="HeaderChar">
    <w:name w:val="Header Char"/>
    <w:basedOn w:val="DefaultParagraphFont"/>
    <w:link w:val="Header"/>
    <w:uiPriority w:val="99"/>
    <w:rsid w:val="004A6E10"/>
    <w:rPr>
      <w:rFonts w:ascii="Times New Roman" w:eastAsia="Times New Roman" w:hAnsi="Times New Roman" w:cs="Times New Roman"/>
      <w:szCs w:val="24"/>
    </w:rPr>
  </w:style>
  <w:style w:type="paragraph" w:styleId="Footer">
    <w:name w:val="footer"/>
    <w:basedOn w:val="Normal"/>
    <w:link w:val="FooterChar"/>
    <w:uiPriority w:val="99"/>
    <w:unhideWhenUsed/>
    <w:rsid w:val="004A6E10"/>
    <w:pPr>
      <w:tabs>
        <w:tab w:val="center" w:pos="4680"/>
        <w:tab w:val="right" w:pos="9360"/>
      </w:tabs>
    </w:pPr>
  </w:style>
  <w:style w:type="character" w:customStyle="1" w:styleId="FooterChar">
    <w:name w:val="Footer Char"/>
    <w:basedOn w:val="DefaultParagraphFont"/>
    <w:link w:val="Footer"/>
    <w:uiPriority w:val="99"/>
    <w:rsid w:val="004A6E10"/>
    <w:rPr>
      <w:rFonts w:ascii="Times New Roman" w:eastAsia="Times New Roman" w:hAnsi="Times New Roman" w:cs="Times New Roman"/>
      <w:szCs w:val="24"/>
    </w:rPr>
  </w:style>
  <w:style w:type="paragraph" w:styleId="FootnoteText">
    <w:name w:val="footnote text"/>
    <w:basedOn w:val="Normal"/>
    <w:link w:val="FootnoteTextChar"/>
    <w:uiPriority w:val="99"/>
    <w:semiHidden/>
    <w:unhideWhenUsed/>
    <w:rsid w:val="00597797"/>
    <w:rPr>
      <w:sz w:val="20"/>
      <w:szCs w:val="20"/>
    </w:rPr>
  </w:style>
  <w:style w:type="character" w:customStyle="1" w:styleId="FootnoteTextChar">
    <w:name w:val="Footnote Text Char"/>
    <w:basedOn w:val="DefaultParagraphFont"/>
    <w:link w:val="FootnoteText"/>
    <w:uiPriority w:val="99"/>
    <w:semiHidden/>
    <w:rsid w:val="0059779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97797"/>
    <w:rPr>
      <w:vertAlign w:val="superscript"/>
    </w:rPr>
  </w:style>
  <w:style w:type="character" w:customStyle="1" w:styleId="ft">
    <w:name w:val="ft"/>
    <w:basedOn w:val="DefaultParagraphFont"/>
    <w:rsid w:val="00597797"/>
  </w:style>
  <w:style w:type="paragraph" w:styleId="BalloonText">
    <w:name w:val="Balloon Text"/>
    <w:basedOn w:val="Normal"/>
    <w:link w:val="BalloonTextChar"/>
    <w:uiPriority w:val="99"/>
    <w:semiHidden/>
    <w:unhideWhenUsed/>
    <w:rsid w:val="00027845"/>
    <w:rPr>
      <w:rFonts w:ascii="Tahoma" w:hAnsi="Tahoma" w:cs="Tahoma"/>
      <w:sz w:val="16"/>
      <w:szCs w:val="16"/>
    </w:rPr>
  </w:style>
  <w:style w:type="character" w:customStyle="1" w:styleId="BalloonTextChar">
    <w:name w:val="Balloon Text Char"/>
    <w:basedOn w:val="DefaultParagraphFont"/>
    <w:link w:val="BalloonText"/>
    <w:uiPriority w:val="99"/>
    <w:semiHidden/>
    <w:rsid w:val="00027845"/>
    <w:rPr>
      <w:rFonts w:ascii="Tahoma" w:hAnsi="Tahoma" w:cs="Tahoma"/>
      <w:sz w:val="16"/>
      <w:szCs w:val="16"/>
    </w:rPr>
  </w:style>
  <w:style w:type="character" w:customStyle="1" w:styleId="Heading4Char">
    <w:name w:val="Heading 4 Char"/>
    <w:basedOn w:val="DefaultParagraphFont"/>
    <w:link w:val="Heading4"/>
    <w:uiPriority w:val="9"/>
    <w:semiHidden/>
    <w:rsid w:val="00BD2496"/>
    <w:rPr>
      <w:rFonts w:eastAsiaTheme="majorEastAsia" w:cs="Arial"/>
      <w:b/>
      <w:bCs/>
      <w:i/>
      <w:iCs/>
    </w:rPr>
  </w:style>
  <w:style w:type="paragraph" w:styleId="NormalWeb">
    <w:name w:val="Normal (Web)"/>
    <w:basedOn w:val="Normal"/>
    <w:uiPriority w:val="99"/>
    <w:semiHidden/>
    <w:unhideWhenUsed/>
    <w:rsid w:val="002957E3"/>
    <w:rPr>
      <w:rFonts w:ascii="Times New Roman" w:eastAsia="Times New Roman" w:hAnsi="Times New Roman"/>
    </w:rPr>
  </w:style>
  <w:style w:type="character" w:customStyle="1" w:styleId="Heading9Char">
    <w:name w:val="Heading 9 Char"/>
    <w:basedOn w:val="DefaultParagraphFont"/>
    <w:link w:val="Heading9"/>
    <w:uiPriority w:val="9"/>
    <w:semiHidden/>
    <w:rsid w:val="00BD2496"/>
    <w:rPr>
      <w:rFonts w:asciiTheme="majorHAnsi" w:eastAsiaTheme="majorEastAsia" w:hAnsiTheme="majorHAnsi" w:cs="Arial"/>
      <w:iCs/>
      <w:color w:val="404040" w:themeColor="text1" w:themeTint="BF"/>
      <w:szCs w:val="20"/>
    </w:rPr>
  </w:style>
  <w:style w:type="character" w:styleId="Hyperlink">
    <w:name w:val="Hyperlink"/>
    <w:basedOn w:val="DefaultParagraphFont"/>
    <w:uiPriority w:val="99"/>
    <w:unhideWhenUsed/>
    <w:rsid w:val="00806AC4"/>
    <w:rPr>
      <w:color w:val="0000FF" w:themeColor="hyperlink"/>
      <w:u w:val="single"/>
    </w:rPr>
  </w:style>
  <w:style w:type="character" w:customStyle="1" w:styleId="Heading2Char">
    <w:name w:val="Heading 2 Char"/>
    <w:basedOn w:val="DefaultParagraphFont"/>
    <w:link w:val="Heading2"/>
    <w:uiPriority w:val="9"/>
    <w:rsid w:val="00BD2496"/>
    <w:rPr>
      <w:rFonts w:eastAsiaTheme="majorEastAsia" w:cs="Arial"/>
      <w:b/>
      <w:bCs/>
      <w:szCs w:val="26"/>
    </w:rPr>
  </w:style>
  <w:style w:type="character" w:customStyle="1" w:styleId="Heading3Char">
    <w:name w:val="Heading 3 Char"/>
    <w:basedOn w:val="DefaultParagraphFont"/>
    <w:link w:val="Heading3"/>
    <w:uiPriority w:val="9"/>
    <w:semiHidden/>
    <w:rsid w:val="00BD2496"/>
    <w:rPr>
      <w:rFonts w:eastAsiaTheme="majorEastAsia" w:cs="Arial"/>
      <w:b/>
      <w:bCs/>
    </w:rPr>
  </w:style>
  <w:style w:type="character" w:customStyle="1" w:styleId="Heading5Char">
    <w:name w:val="Heading 5 Char"/>
    <w:basedOn w:val="DefaultParagraphFont"/>
    <w:link w:val="Heading5"/>
    <w:uiPriority w:val="9"/>
    <w:semiHidden/>
    <w:rsid w:val="00BD2496"/>
    <w:rPr>
      <w:rFonts w:asciiTheme="majorHAnsi" w:eastAsiaTheme="majorEastAsia" w:hAnsiTheme="majorHAnsi" w:cs="Arial"/>
      <w:color w:val="243F60" w:themeColor="accent1" w:themeShade="7F"/>
    </w:rPr>
  </w:style>
  <w:style w:type="character" w:customStyle="1" w:styleId="Heading6Char">
    <w:name w:val="Heading 6 Char"/>
    <w:basedOn w:val="DefaultParagraphFont"/>
    <w:link w:val="Heading6"/>
    <w:uiPriority w:val="9"/>
    <w:semiHidden/>
    <w:rsid w:val="00BD2496"/>
    <w:rPr>
      <w:rFonts w:asciiTheme="majorHAnsi" w:eastAsiaTheme="majorEastAsia" w:hAnsiTheme="majorHAnsi" w:cs="Arial"/>
      <w:iCs/>
      <w:color w:val="243F60" w:themeColor="accent1" w:themeShade="7F"/>
    </w:rPr>
  </w:style>
  <w:style w:type="character" w:customStyle="1" w:styleId="Heading7Char">
    <w:name w:val="Heading 7 Char"/>
    <w:basedOn w:val="DefaultParagraphFont"/>
    <w:link w:val="Heading7"/>
    <w:uiPriority w:val="9"/>
    <w:semiHidden/>
    <w:rsid w:val="00BD2496"/>
    <w:rPr>
      <w:rFonts w:asciiTheme="majorHAnsi" w:eastAsiaTheme="majorEastAsia" w:hAnsiTheme="majorHAnsi" w:cs="Arial"/>
      <w:iCs/>
      <w:color w:val="404040" w:themeColor="text1" w:themeTint="BF"/>
    </w:rPr>
  </w:style>
  <w:style w:type="character" w:customStyle="1" w:styleId="Heading8Char">
    <w:name w:val="Heading 8 Char"/>
    <w:basedOn w:val="DefaultParagraphFont"/>
    <w:link w:val="Heading8"/>
    <w:uiPriority w:val="9"/>
    <w:semiHidden/>
    <w:rsid w:val="00BD2496"/>
    <w:rPr>
      <w:rFonts w:asciiTheme="majorHAnsi" w:eastAsiaTheme="majorEastAsia" w:hAnsiTheme="majorHAnsi" w:cs="Arial"/>
      <w:color w:val="404040" w:themeColor="text1" w:themeTint="BF"/>
      <w:szCs w:val="20"/>
    </w:rPr>
  </w:style>
  <w:style w:type="paragraph" w:styleId="TOCHeading">
    <w:name w:val="TOC Heading"/>
    <w:basedOn w:val="Normal"/>
    <w:next w:val="TOC1"/>
    <w:uiPriority w:val="39"/>
    <w:unhideWhenUsed/>
    <w:qFormat/>
    <w:rsid w:val="00BD2496"/>
    <w:pPr>
      <w:keepNext/>
      <w:keepLines/>
      <w:spacing w:before="480" w:after="240"/>
      <w:jc w:val="center"/>
    </w:pPr>
    <w:rPr>
      <w:rFonts w:eastAsiaTheme="majorEastAsia" w:cs="Arial"/>
      <w:b/>
      <w:bCs/>
      <w:color w:val="365F91" w:themeColor="accent1" w:themeShade="BF"/>
      <w:szCs w:val="28"/>
    </w:rPr>
  </w:style>
  <w:style w:type="paragraph" w:styleId="TOC1">
    <w:name w:val="toc 1"/>
    <w:basedOn w:val="Normal"/>
    <w:next w:val="Normal"/>
    <w:autoRedefine/>
    <w:uiPriority w:val="39"/>
    <w:unhideWhenUsed/>
    <w:rsid w:val="00866E97"/>
    <w:pPr>
      <w:tabs>
        <w:tab w:val="right" w:leader="dot" w:pos="9406"/>
      </w:tabs>
      <w:spacing w:after="100"/>
      <w:ind w:left="720" w:hanging="720"/>
    </w:pPr>
  </w:style>
  <w:style w:type="paragraph" w:styleId="TOC2">
    <w:name w:val="toc 2"/>
    <w:basedOn w:val="Normal"/>
    <w:next w:val="Normal"/>
    <w:autoRedefine/>
    <w:uiPriority w:val="39"/>
    <w:unhideWhenUsed/>
    <w:rsid w:val="00866E97"/>
    <w:pPr>
      <w:tabs>
        <w:tab w:val="left" w:pos="1440"/>
        <w:tab w:val="right" w:leader="dot" w:pos="9406"/>
      </w:tabs>
      <w:spacing w:after="100"/>
      <w:ind w:left="1440" w:hanging="720"/>
      <w:jc w:val="both"/>
    </w:pPr>
  </w:style>
  <w:style w:type="paragraph" w:styleId="TOC3">
    <w:name w:val="toc 3"/>
    <w:basedOn w:val="Normal"/>
    <w:next w:val="Normal"/>
    <w:autoRedefine/>
    <w:uiPriority w:val="39"/>
    <w:semiHidden/>
    <w:unhideWhenUsed/>
    <w:rsid w:val="00BD2496"/>
    <w:pPr>
      <w:spacing w:after="100"/>
      <w:ind w:left="480"/>
    </w:pPr>
  </w:style>
  <w:style w:type="paragraph" w:styleId="TOC4">
    <w:name w:val="toc 4"/>
    <w:basedOn w:val="Normal"/>
    <w:next w:val="Normal"/>
    <w:autoRedefine/>
    <w:uiPriority w:val="39"/>
    <w:semiHidden/>
    <w:unhideWhenUsed/>
    <w:rsid w:val="00BD2496"/>
    <w:pPr>
      <w:spacing w:after="100"/>
      <w:ind w:left="720"/>
    </w:pPr>
  </w:style>
  <w:style w:type="paragraph" w:styleId="TOC5">
    <w:name w:val="toc 5"/>
    <w:basedOn w:val="Normal"/>
    <w:next w:val="Normal"/>
    <w:autoRedefine/>
    <w:uiPriority w:val="39"/>
    <w:semiHidden/>
    <w:unhideWhenUsed/>
    <w:rsid w:val="00BD2496"/>
    <w:pPr>
      <w:spacing w:after="100"/>
      <w:ind w:left="960"/>
    </w:pPr>
  </w:style>
  <w:style w:type="paragraph" w:styleId="TOC6">
    <w:name w:val="toc 6"/>
    <w:basedOn w:val="Normal"/>
    <w:next w:val="Normal"/>
    <w:autoRedefine/>
    <w:uiPriority w:val="39"/>
    <w:semiHidden/>
    <w:unhideWhenUsed/>
    <w:rsid w:val="00BD2496"/>
    <w:pPr>
      <w:spacing w:after="100"/>
      <w:ind w:left="1200"/>
    </w:pPr>
  </w:style>
  <w:style w:type="paragraph" w:styleId="TOC7">
    <w:name w:val="toc 7"/>
    <w:basedOn w:val="Normal"/>
    <w:next w:val="Normal"/>
    <w:autoRedefine/>
    <w:uiPriority w:val="39"/>
    <w:semiHidden/>
    <w:unhideWhenUsed/>
    <w:rsid w:val="00BD2496"/>
    <w:pPr>
      <w:spacing w:after="100"/>
      <w:ind w:left="1440"/>
    </w:pPr>
  </w:style>
  <w:style w:type="paragraph" w:styleId="TOC8">
    <w:name w:val="toc 8"/>
    <w:basedOn w:val="Normal"/>
    <w:next w:val="Normal"/>
    <w:autoRedefine/>
    <w:uiPriority w:val="39"/>
    <w:semiHidden/>
    <w:unhideWhenUsed/>
    <w:rsid w:val="00BD2496"/>
    <w:pPr>
      <w:spacing w:after="100"/>
      <w:ind w:left="1680"/>
    </w:pPr>
  </w:style>
  <w:style w:type="paragraph" w:styleId="TOC9">
    <w:name w:val="toc 9"/>
    <w:basedOn w:val="Normal"/>
    <w:next w:val="Normal"/>
    <w:autoRedefine/>
    <w:uiPriority w:val="39"/>
    <w:semiHidden/>
    <w:unhideWhenUsed/>
    <w:rsid w:val="00BD2496"/>
    <w:pPr>
      <w:spacing w:after="100"/>
      <w:ind w:left="1920"/>
    </w:pPr>
  </w:style>
  <w:style w:type="paragraph" w:customStyle="1" w:styleId="TOCPage">
    <w:name w:val="TOC Page"/>
    <w:basedOn w:val="Normal"/>
    <w:next w:val="Normal"/>
    <w:link w:val="TOCPageChar"/>
    <w:rsid w:val="00BD2496"/>
    <w:pPr>
      <w:autoSpaceDE w:val="0"/>
      <w:autoSpaceDN w:val="0"/>
      <w:adjustRightInd w:val="0"/>
      <w:spacing w:after="240"/>
      <w:ind w:left="4140" w:hanging="4140"/>
      <w:jc w:val="right"/>
    </w:pPr>
    <w:rPr>
      <w:rFonts w:cs="Arial"/>
      <w:b/>
      <w:smallCaps/>
    </w:rPr>
  </w:style>
  <w:style w:type="character" w:customStyle="1" w:styleId="TOCPageChar">
    <w:name w:val="TOC Page Char"/>
    <w:basedOn w:val="DefaultParagraphFont"/>
    <w:link w:val="TOCPage"/>
    <w:rsid w:val="00BD2496"/>
    <w:rPr>
      <w:rFonts w:cs="Arial"/>
      <w:b/>
      <w:smallCap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75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9F1B1-3011-493C-8BF4-85611CAA1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2131</Words>
  <Characters>13084</Characters>
  <Application>Microsoft Office Word</Application>
  <DocSecurity>0</DocSecurity>
  <PresentationFormat/>
  <Lines>416</Lines>
  <Paragraphs>237</Paragraphs>
  <ScaleCrop>false</ScaleCrop>
  <HeadingPairs>
    <vt:vector size="2" baseType="variant">
      <vt:variant>
        <vt:lpstr>Title</vt:lpstr>
      </vt:variant>
      <vt:variant>
        <vt:i4>1</vt:i4>
      </vt:variant>
    </vt:vector>
  </HeadingPairs>
  <TitlesOfParts>
    <vt:vector size="1" baseType="lpstr">
      <vt:lpstr>Motiont to Supplement Record -- 12-426 (C40672).DOCX</vt:lpstr>
    </vt:vector>
  </TitlesOfParts>
  <LinksUpToDate>false</LinksUpToDate>
  <CharactersWithSpaces>15069</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Motiont to Supplement Record -- 12-426 (C40672).DOCX</dc:title>
  <dc:subject>C40672: /font=8</dc:subject>
  <dc:creator/>
  <cp:lastModifiedBy/>
  <cp:revision>1</cp:revision>
  <cp:lastPrinted>2013-05-20T16:47:00Z</cp:lastPrinted>
  <dcterms:created xsi:type="dcterms:W3CDTF">2013-05-20T17:28:00Z</dcterms:created>
  <dcterms:modified xsi:type="dcterms:W3CDTF">2013-05-20T17:28:00Z</dcterms:modified>
</cp:coreProperties>
</file>