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52F65" w14:paraId="2174E089" w14:textId="0E9F29EC">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B52F65" w14:paraId="1BD69D0C"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B52F65" w14:paraId="13538E75" w14:textId="77777777">
      <w:pPr>
        <w:pStyle w:val="HTMLPreformatted"/>
        <w:rPr>
          <w:rFonts w:ascii="Times New Roman" w:hAnsi="Times New Roman"/>
          <w:sz w:val="24"/>
        </w:rPr>
      </w:pPr>
    </w:p>
    <w:tbl>
      <w:tblPr>
        <w:tblW w:w="8730" w:type="dxa"/>
        <w:tblLook w:val="01E0"/>
      </w:tblPr>
      <w:tblGrid>
        <w:gridCol w:w="4230"/>
        <w:gridCol w:w="468"/>
        <w:gridCol w:w="4032"/>
      </w:tblGrid>
      <w:tr w14:paraId="49E4A012" w14:textId="77777777" w:rsidTr="00A46FA3">
        <w:tblPrEx>
          <w:tblW w:w="8730" w:type="dxa"/>
          <w:tblLook w:val="01E0"/>
        </w:tblPrEx>
        <w:trPr>
          <w:trHeight w:val="807"/>
        </w:trPr>
        <w:tc>
          <w:tcPr>
            <w:tcW w:w="4230" w:type="dxa"/>
            <w:shd w:val="clear" w:color="auto" w:fill="auto"/>
          </w:tcPr>
          <w:p w:rsidR="00B52F65" w:rsidP="0060598B" w14:paraId="4EB8097F" w14:textId="77777777">
            <w:pPr>
              <w:pStyle w:val="HTMLPreformatted"/>
              <w:rPr>
                <w:rFonts w:ascii="Times New Roman" w:hAnsi="Times New Roman" w:cs="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w:t>
            </w:r>
            <w:r w:rsidR="009178AF">
              <w:rPr>
                <w:rFonts w:ascii="Times New Roman" w:hAnsi="Times New Roman" w:cs="Times New Roman"/>
                <w:sz w:val="24"/>
                <w:szCs w:val="24"/>
              </w:rPr>
              <w:t xml:space="preserve">Renewal </w:t>
            </w:r>
            <w:r w:rsidRPr="00B65A3A">
              <w:rPr>
                <w:rFonts w:ascii="Times New Roman" w:hAnsi="Times New Roman" w:cs="Times New Roman"/>
                <w:sz w:val="24"/>
                <w:szCs w:val="24"/>
              </w:rPr>
              <w:t xml:space="preserve">Application of </w:t>
            </w:r>
            <w:r w:rsidR="009178AF">
              <w:rPr>
                <w:rFonts w:ascii="Times New Roman" w:hAnsi="Times New Roman" w:cs="Times New Roman"/>
                <w:sz w:val="24"/>
                <w:szCs w:val="24"/>
              </w:rPr>
              <w:t>Verde Energy USA Ohio</w:t>
            </w:r>
            <w:r>
              <w:rPr>
                <w:rFonts w:ascii="Times New Roman" w:hAnsi="Times New Roman" w:cs="Times New Roman"/>
                <w:sz w:val="24"/>
                <w:szCs w:val="24"/>
              </w:rPr>
              <w:t>, LLC for Certification as a</w:t>
            </w:r>
            <w:r w:rsidR="009178AF">
              <w:rPr>
                <w:rFonts w:ascii="Times New Roman" w:hAnsi="Times New Roman" w:cs="Times New Roman"/>
                <w:sz w:val="24"/>
                <w:szCs w:val="24"/>
              </w:rPr>
              <w:t xml:space="preserve"> Retail Natural Gas Marketer</w:t>
            </w:r>
            <w:r>
              <w:rPr>
                <w:rFonts w:ascii="Times New Roman" w:hAnsi="Times New Roman" w:cs="Times New Roman"/>
                <w:sz w:val="24"/>
                <w:szCs w:val="24"/>
              </w:rPr>
              <w:t>.</w:t>
            </w:r>
          </w:p>
          <w:p w:rsidR="0060598B" w:rsidRPr="00A044B5" w:rsidP="0060598B" w14:paraId="42BC00B2" w14:textId="3740DF01">
            <w:pPr>
              <w:pStyle w:val="HTMLPreformatted"/>
              <w:rPr>
                <w:rFonts w:ascii="Times New Roman" w:hAnsi="Times New Roman"/>
                <w:sz w:val="24"/>
                <w:szCs w:val="24"/>
              </w:rPr>
            </w:pPr>
          </w:p>
        </w:tc>
        <w:tc>
          <w:tcPr>
            <w:tcW w:w="468" w:type="dxa"/>
            <w:shd w:val="clear" w:color="auto" w:fill="auto"/>
          </w:tcPr>
          <w:p w:rsidR="00B52F65" w:rsidRPr="00A044B5" w14:paraId="417396FD" w14:textId="77777777">
            <w:pPr>
              <w:pStyle w:val="HTMLPreformatted"/>
              <w:rPr>
                <w:rFonts w:ascii="Times New Roman" w:hAnsi="Times New Roman"/>
                <w:sz w:val="24"/>
              </w:rPr>
            </w:pPr>
            <w:r w:rsidRPr="00A044B5">
              <w:rPr>
                <w:rFonts w:ascii="Times New Roman" w:hAnsi="Times New Roman"/>
                <w:sz w:val="24"/>
              </w:rPr>
              <w:t>)</w:t>
            </w:r>
          </w:p>
          <w:p w:rsidR="00B52F65" w:rsidRPr="00A044B5" w14:paraId="0A743816" w14:textId="77777777">
            <w:pPr>
              <w:pStyle w:val="HTMLPreformatted"/>
              <w:rPr>
                <w:rFonts w:ascii="Times New Roman" w:hAnsi="Times New Roman"/>
                <w:sz w:val="24"/>
              </w:rPr>
            </w:pPr>
            <w:r w:rsidRPr="00A044B5">
              <w:rPr>
                <w:rFonts w:ascii="Times New Roman" w:hAnsi="Times New Roman"/>
                <w:sz w:val="24"/>
              </w:rPr>
              <w:t>)</w:t>
            </w:r>
          </w:p>
          <w:p w:rsidR="00B52F65" w:rsidRPr="00A044B5" w14:paraId="2798651B" w14:textId="77777777">
            <w:pPr>
              <w:pStyle w:val="HTMLPreformatted"/>
              <w:rPr>
                <w:rFonts w:ascii="Times New Roman" w:hAnsi="Times New Roman"/>
                <w:sz w:val="24"/>
              </w:rPr>
            </w:pPr>
            <w:r w:rsidRPr="00A044B5">
              <w:rPr>
                <w:rFonts w:ascii="Times New Roman" w:hAnsi="Times New Roman"/>
                <w:sz w:val="24"/>
              </w:rPr>
              <w:t>)</w:t>
            </w:r>
          </w:p>
          <w:p w:rsidR="00B52F65" w:rsidRPr="00A044B5" w14:paraId="1C6B90BB" w14:textId="77777777">
            <w:pPr>
              <w:pStyle w:val="HTMLPreformatted"/>
              <w:rPr>
                <w:rFonts w:ascii="Times New Roman" w:hAnsi="Times New Roman"/>
                <w:sz w:val="24"/>
              </w:rPr>
            </w:pPr>
            <w:r w:rsidRPr="00A044B5">
              <w:rPr>
                <w:rFonts w:ascii="Times New Roman" w:hAnsi="Times New Roman"/>
                <w:sz w:val="24"/>
              </w:rPr>
              <w:t>)</w:t>
            </w:r>
          </w:p>
        </w:tc>
        <w:tc>
          <w:tcPr>
            <w:tcW w:w="4032" w:type="dxa"/>
            <w:shd w:val="clear" w:color="auto" w:fill="auto"/>
          </w:tcPr>
          <w:p w:rsidR="00B52F65" w:rsidRPr="00A044B5" w14:paraId="659C1A31" w14:textId="77777777">
            <w:pPr>
              <w:pStyle w:val="HTMLPreformatted"/>
              <w:rPr>
                <w:rFonts w:ascii="Times New Roman" w:hAnsi="Times New Roman"/>
                <w:sz w:val="24"/>
              </w:rPr>
            </w:pPr>
          </w:p>
          <w:p w:rsidR="00B52F65" w:rsidRPr="00A044B5" w14:paraId="30A5B5D9" w14:textId="4BE3B3F1">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cs="Times New Roman"/>
                <w:sz w:val="24"/>
                <w:szCs w:val="24"/>
              </w:rPr>
              <w:t>1</w:t>
            </w:r>
            <w:r w:rsidR="009178AF">
              <w:rPr>
                <w:rFonts w:ascii="Times New Roman" w:hAnsi="Times New Roman" w:cs="Times New Roman"/>
                <w:sz w:val="24"/>
                <w:szCs w:val="24"/>
              </w:rPr>
              <w:t>3</w:t>
            </w:r>
            <w:r>
              <w:rPr>
                <w:rFonts w:ascii="Times New Roman" w:hAnsi="Times New Roman" w:cs="Times New Roman"/>
                <w:sz w:val="24"/>
                <w:szCs w:val="24"/>
              </w:rPr>
              <w:t>-</w:t>
            </w:r>
            <w:r w:rsidR="009178AF">
              <w:rPr>
                <w:rFonts w:ascii="Times New Roman" w:hAnsi="Times New Roman" w:cs="Times New Roman"/>
                <w:sz w:val="24"/>
                <w:szCs w:val="24"/>
              </w:rPr>
              <w:t>2164</w:t>
            </w:r>
            <w:r>
              <w:rPr>
                <w:rFonts w:ascii="Times New Roman" w:hAnsi="Times New Roman" w:cs="Times New Roman"/>
                <w:sz w:val="24"/>
                <w:szCs w:val="24"/>
              </w:rPr>
              <w:t>-</w:t>
            </w:r>
            <w:r w:rsidR="009178AF">
              <w:rPr>
                <w:rFonts w:ascii="Times New Roman" w:hAnsi="Times New Roman" w:cs="Times New Roman"/>
                <w:sz w:val="24"/>
                <w:szCs w:val="24"/>
              </w:rPr>
              <w:t>GA</w:t>
            </w:r>
            <w:r>
              <w:rPr>
                <w:rFonts w:ascii="Times New Roman" w:hAnsi="Times New Roman" w:cs="Times New Roman"/>
                <w:sz w:val="24"/>
                <w:szCs w:val="24"/>
              </w:rPr>
              <w:t>-CRS</w:t>
            </w:r>
            <w:r w:rsidRPr="00A044B5">
              <w:rPr>
                <w:rFonts w:ascii="Times New Roman" w:hAnsi="Times New Roman"/>
                <w:sz w:val="24"/>
              </w:rPr>
              <w:t xml:space="preserve"> </w:t>
            </w:r>
          </w:p>
          <w:p w:rsidR="00B52F65" w:rsidRPr="00A044B5" w14:paraId="603E1CD2" w14:textId="77777777">
            <w:pPr>
              <w:pStyle w:val="HTMLPreformatted"/>
              <w:rPr>
                <w:rFonts w:ascii="Times New Roman" w:hAnsi="Times New Roman"/>
                <w:sz w:val="24"/>
              </w:rPr>
            </w:pPr>
          </w:p>
        </w:tc>
      </w:tr>
    </w:tbl>
    <w:p w:rsidR="00B52F65" w14:paraId="62DDAF13" w14:textId="77777777">
      <w:pPr>
        <w:pStyle w:val="HTMLPreformatted"/>
        <w:pBdr>
          <w:top w:val="single" w:sz="12" w:space="1" w:color="auto"/>
        </w:pBdr>
        <w:rPr>
          <w:rFonts w:ascii="Times New Roman" w:hAnsi="Times New Roman"/>
          <w:sz w:val="24"/>
        </w:rPr>
      </w:pPr>
    </w:p>
    <w:p w:rsidR="0034156F" w:rsidP="0034156F" w14:paraId="503D5674" w14:textId="71181F54">
      <w:pPr>
        <w:jc w:val="center"/>
        <w:rPr>
          <w:b/>
          <w:bCs/>
        </w:rPr>
      </w:pPr>
      <w:r>
        <w:rPr>
          <w:b/>
          <w:bCs/>
        </w:rPr>
        <w:t>REPLY</w:t>
      </w:r>
      <w:r w:rsidR="00D33FB3">
        <w:rPr>
          <w:b/>
          <w:bCs/>
        </w:rPr>
        <w:t xml:space="preserve"> </w:t>
      </w:r>
      <w:r w:rsidR="00786590">
        <w:rPr>
          <w:b/>
          <w:bCs/>
        </w:rPr>
        <w:t>TO VERDE’S MEMO CONTRA OCC’S MOTION TO INTERVENE</w:t>
      </w:r>
    </w:p>
    <w:p w:rsidR="0034156F" w:rsidP="0034156F" w14:paraId="5C2A8478" w14:textId="77777777">
      <w:pPr>
        <w:jc w:val="center"/>
        <w:rPr>
          <w:b/>
          <w:bCs/>
        </w:rPr>
      </w:pPr>
      <w:r>
        <w:rPr>
          <w:b/>
          <w:bCs/>
        </w:rPr>
        <w:t>BY</w:t>
      </w:r>
    </w:p>
    <w:p w:rsidR="0034156F" w:rsidP="0034156F" w14:paraId="6628D1BF" w14:textId="77777777">
      <w:pPr>
        <w:jc w:val="center"/>
        <w:rPr>
          <w:b/>
          <w:bCs/>
        </w:rPr>
      </w:pPr>
      <w:r>
        <w:rPr>
          <w:b/>
          <w:bCs/>
        </w:rPr>
        <w:t>THE OFFICE OF THE OHIO CONSUMERS’ COUNSEL</w:t>
      </w:r>
    </w:p>
    <w:p w:rsidR="00B52F65" w14:paraId="4AEA3A0B" w14:textId="77777777">
      <w:pPr>
        <w:pBdr>
          <w:bottom w:val="single" w:sz="12" w:space="1" w:color="auto"/>
        </w:pBdr>
        <w:tabs>
          <w:tab w:val="left" w:pos="4320"/>
        </w:tabs>
      </w:pPr>
    </w:p>
    <w:p w:rsidR="0060598B" w:rsidP="00D971A3" w14:paraId="15933385" w14:textId="77777777">
      <w:pPr>
        <w:pStyle w:val="BodyTextIndent3"/>
        <w:widowControl w:val="0"/>
        <w:spacing w:line="240" w:lineRule="auto"/>
        <w:ind w:right="-312" w:firstLine="0"/>
      </w:pPr>
    </w:p>
    <w:p w:rsidR="00FD35F6" w:rsidRPr="00B01B51" w:rsidP="00BF33A8" w14:paraId="39CFA1C6" w14:textId="06733737">
      <w:pPr>
        <w:pStyle w:val="BodyTextIndent3"/>
        <w:widowControl w:val="0"/>
        <w:numPr>
          <w:ilvl w:val="0"/>
          <w:numId w:val="10"/>
        </w:numPr>
        <w:spacing w:line="480" w:lineRule="auto"/>
        <w:ind w:left="720" w:right="-312"/>
        <w:rPr>
          <w:b/>
          <w:bCs/>
        </w:rPr>
      </w:pPr>
      <w:r w:rsidRPr="00B01B51">
        <w:rPr>
          <w:b/>
          <w:bCs/>
        </w:rPr>
        <w:t>INTRODUCTION</w:t>
      </w:r>
    </w:p>
    <w:p w:rsidR="00D971A3" w:rsidP="005F1B61" w14:paraId="0F955BC3" w14:textId="77777777">
      <w:pPr>
        <w:pStyle w:val="BodyTextIndent3"/>
        <w:widowControl w:val="0"/>
        <w:spacing w:line="480" w:lineRule="auto"/>
        <w:ind w:right="-312"/>
        <w:sectPr w:rsidSect="0060598B">
          <w:footerReference w:type="default" r:id="rId6"/>
          <w:footerReference w:type="first" r:id="rId7"/>
          <w:pgSz w:w="12240" w:h="15840"/>
          <w:pgMar w:top="1440" w:right="1800" w:bottom="1440" w:left="1800" w:header="720" w:footer="720" w:gutter="0"/>
          <w:pgNumType w:start="2"/>
          <w:cols w:space="720"/>
          <w:titlePg/>
          <w:docGrid w:linePitch="65"/>
        </w:sectPr>
      </w:pPr>
      <w:r>
        <w:t>Verde Energy</w:t>
      </w:r>
      <w:r w:rsidR="009C7F6C">
        <w:t xml:space="preserve"> is a rip-off artist that has hurt Ohioans by misusing its PUCO certificate.</w:t>
      </w:r>
      <w:r w:rsidR="00FE0569">
        <w:t xml:space="preserve"> </w:t>
      </w:r>
      <w:r w:rsidR="009C7F6C">
        <w:t>Verde should be kicked out of the state</w:t>
      </w:r>
      <w:r w:rsidR="001151B9">
        <w:t xml:space="preserve"> by the PUCO</w:t>
      </w:r>
      <w:r w:rsidR="009C7F6C">
        <w:t>.</w:t>
      </w:r>
      <w:r w:rsidR="00F472C0">
        <w:t xml:space="preserve"> The PUCO Staff said that Verde lacks </w:t>
      </w:r>
      <w:r w:rsidR="00F363B6">
        <w:t>“</w:t>
      </w:r>
      <w:r w:rsidR="00F472C0">
        <w:t>the</w:t>
      </w:r>
      <w:r w:rsidR="00F363B6">
        <w:t xml:space="preserve"> fitness or managerial capability to provide competitive services in the state of Ohio</w:t>
      </w:r>
      <w:r w:rsidR="00F472C0">
        <w:t>.”</w:t>
      </w:r>
      <w:r>
        <w:rPr>
          <w:rStyle w:val="FootnoteReference"/>
        </w:rPr>
        <w:footnoteReference w:id="2"/>
      </w:r>
      <w:r w:rsidR="009C7F6C">
        <w:t xml:space="preserve"> </w:t>
      </w:r>
      <w:r w:rsidR="00ED3B89">
        <w:t>IGS stated that Verde’s “abuses reflect poorly upon the company, its parent, Spark Energy Holdco, LLC [], Spark’s affiliates, and the Ohio competitive retail supply community as a whole.”</w:t>
      </w:r>
      <w:r>
        <w:rPr>
          <w:rStyle w:val="FootnoteReference"/>
        </w:rPr>
        <w:footnoteReference w:id="3"/>
      </w:r>
      <w:r w:rsidRPr="008141BB" w:rsidR="00ED3B89">
        <w:t xml:space="preserve"> </w:t>
      </w:r>
      <w:r w:rsidR="00B8388D">
        <w:t>Unfortunately for consumers, Verde wants to stay</w:t>
      </w:r>
      <w:r w:rsidR="00ED3B89">
        <w:t xml:space="preserve"> in Ohio</w:t>
      </w:r>
      <w:r w:rsidR="00B8388D">
        <w:t>.</w:t>
      </w:r>
      <w:r w:rsidR="00ED3B89">
        <w:t xml:space="preserve"> And in a recent settlement between the PUCO Staff and Verde, Verde inexplicably would be allowed to stay (subject to Verde’s agreement to stop marketing and enrolling customers until October 2020 – less than one year from now.)</w:t>
      </w:r>
      <w:r>
        <w:rPr>
          <w:rStyle w:val="FootnoteReference"/>
        </w:rPr>
        <w:footnoteReference w:id="4"/>
      </w:r>
      <w:r w:rsidR="00B8388D">
        <w:t xml:space="preserve"> Thus, the</w:t>
      </w:r>
      <w:r w:rsidR="009C7F6C">
        <w:t xml:space="preserve"> Ohio Consumers’ Counsel </w:t>
      </w:r>
    </w:p>
    <w:p w:rsidR="0073422D" w:rsidP="00D971A3" w14:paraId="42420077" w14:textId="0E2A80A1">
      <w:pPr>
        <w:pStyle w:val="BodyTextIndent3"/>
        <w:widowControl w:val="0"/>
        <w:spacing w:line="480" w:lineRule="auto"/>
        <w:ind w:right="-312" w:firstLine="0"/>
      </w:pPr>
      <w:r>
        <w:t xml:space="preserve">(“OCC”) </w:t>
      </w:r>
      <w:r w:rsidR="009C7F6C">
        <w:t xml:space="preserve">has </w:t>
      </w:r>
      <w:r w:rsidR="0059231F">
        <w:t>filed</w:t>
      </w:r>
      <w:r w:rsidR="009C7F6C">
        <w:t xml:space="preserve"> to represent consumers in th</w:t>
      </w:r>
      <w:r>
        <w:t>is</w:t>
      </w:r>
      <w:r w:rsidR="009C7F6C">
        <w:t xml:space="preserve"> case where Verde </w:t>
      </w:r>
      <w:r w:rsidR="0059231F">
        <w:t xml:space="preserve">is </w:t>
      </w:r>
      <w:r w:rsidR="009C7F6C">
        <w:t>as</w:t>
      </w:r>
      <w:r w:rsidR="0059231F">
        <w:t>king the PUCO</w:t>
      </w:r>
      <w:r w:rsidR="009C7F6C">
        <w:t xml:space="preserve"> for a renewal of its gas marketing certificate.</w:t>
      </w:r>
      <w:r w:rsidR="00110037">
        <w:t xml:space="preserve"> </w:t>
      </w:r>
    </w:p>
    <w:p w:rsidR="00791135" w:rsidP="005F1B61" w14:paraId="1F95AF5E" w14:textId="00094137">
      <w:pPr>
        <w:pStyle w:val="BodyTextIndent3"/>
        <w:widowControl w:val="0"/>
        <w:spacing w:line="480" w:lineRule="auto"/>
        <w:ind w:right="-312"/>
      </w:pPr>
      <w:r>
        <w:t xml:space="preserve">Recently, </w:t>
      </w:r>
      <w:r w:rsidR="0073422D">
        <w:t xml:space="preserve">OCC and the PUCO Staff asked the PUCO to suspend this process to prevent Verde’s request from being automatically approved. The PUCO did suspend the </w:t>
      </w:r>
      <w:r w:rsidR="005F2298">
        <w:t>process.</w:t>
      </w:r>
      <w:r>
        <w:rPr>
          <w:rStyle w:val="FootnoteReference"/>
        </w:rPr>
        <w:footnoteReference w:id="5"/>
      </w:r>
      <w:r w:rsidR="00110037">
        <w:t xml:space="preserve"> </w:t>
      </w:r>
    </w:p>
    <w:p w:rsidR="00397F54" w:rsidP="00B01B51" w14:paraId="40555036" w14:textId="4B0D406A">
      <w:pPr>
        <w:pStyle w:val="BodyTextIndent3"/>
        <w:widowControl w:val="0"/>
        <w:spacing w:line="480" w:lineRule="auto"/>
        <w:ind w:right="-312"/>
      </w:pPr>
      <w:r>
        <w:t xml:space="preserve">True to form, this company that has deceived Ohioans </w:t>
      </w:r>
      <w:r w:rsidR="003B1A4B">
        <w:t xml:space="preserve">now </w:t>
      </w:r>
      <w:r>
        <w:t xml:space="preserve">wants to deny Ohioans their voice through OCC in this case. </w:t>
      </w:r>
      <w:r w:rsidR="005F2298">
        <w:t xml:space="preserve">Verde </w:t>
      </w:r>
      <w:r>
        <w:t xml:space="preserve">is </w:t>
      </w:r>
      <w:r w:rsidR="005F2298">
        <w:t>oppos</w:t>
      </w:r>
      <w:r>
        <w:t>ing</w:t>
      </w:r>
      <w:r w:rsidR="005F2298">
        <w:t xml:space="preserve"> OCC’s intervention</w:t>
      </w:r>
      <w:r>
        <w:t>.</w:t>
      </w:r>
      <w:r w:rsidR="005F2298">
        <w:t xml:space="preserve"> </w:t>
      </w:r>
      <w:r>
        <w:t xml:space="preserve">There is little that is right about Verde, including that Verde is wrong </w:t>
      </w:r>
      <w:r w:rsidR="00A94909">
        <w:t>in claiming that OCC can be denied intervention for consumers under Ohio law.</w:t>
      </w:r>
      <w:r>
        <w:rPr>
          <w:rStyle w:val="FootnoteReference"/>
        </w:rPr>
        <w:footnoteReference w:id="6"/>
      </w:r>
    </w:p>
    <w:p w:rsidR="005F1B61" w:rsidP="00397F54" w14:paraId="20A11C6E" w14:textId="12D8722D">
      <w:pPr>
        <w:pStyle w:val="BodyTextIndent3"/>
        <w:widowControl w:val="0"/>
        <w:spacing w:line="480" w:lineRule="auto"/>
        <w:ind w:right="-312"/>
      </w:pPr>
      <w:r>
        <w:t>Incredibly, after all its bad deeds</w:t>
      </w:r>
      <w:r w:rsidR="00E37730">
        <w:t>,</w:t>
      </w:r>
      <w:r>
        <w:t xml:space="preserve"> </w:t>
      </w:r>
      <w:r w:rsidR="00397F54">
        <w:t xml:space="preserve">Verde asks the PUCO </w:t>
      </w:r>
      <w:r w:rsidR="00AE551A">
        <w:t xml:space="preserve">for </w:t>
      </w:r>
      <w:r w:rsidR="00397F54">
        <w:t xml:space="preserve">authority to </w:t>
      </w:r>
      <w:r w:rsidRPr="00AE551A" w:rsidR="00AE551A">
        <w:rPr>
          <w:i/>
          <w:iCs/>
        </w:rPr>
        <w:t>continue</w:t>
      </w:r>
      <w:r w:rsidR="00AE551A">
        <w:t xml:space="preserve"> </w:t>
      </w:r>
      <w:r w:rsidR="00397F54">
        <w:t>market</w:t>
      </w:r>
      <w:r w:rsidR="00AE551A">
        <w:t>ing</w:t>
      </w:r>
      <w:r w:rsidR="00397F54">
        <w:t xml:space="preserve"> natural gas service to Ohio customers. </w:t>
      </w:r>
      <w:r w:rsidR="006917C6">
        <w:t xml:space="preserve">And, shockingly, </w:t>
      </w:r>
      <w:r w:rsidR="00FD7B83">
        <w:t xml:space="preserve">Verde </w:t>
      </w:r>
      <w:r w:rsidR="006917C6">
        <w:t>seeks</w:t>
      </w:r>
      <w:r w:rsidR="00FD7B83">
        <w:t xml:space="preserve"> to </w:t>
      </w:r>
      <w:r w:rsidR="00FD7B83">
        <w:rPr>
          <w:i/>
          <w:iCs/>
        </w:rPr>
        <w:t xml:space="preserve">expand </w:t>
      </w:r>
      <w:r w:rsidR="00FD7B83">
        <w:t xml:space="preserve">its service </w:t>
      </w:r>
      <w:r w:rsidR="00C95C1A">
        <w:t>to customers in</w:t>
      </w:r>
      <w:r w:rsidR="00FD7B83">
        <w:t xml:space="preserve"> the territory of Vectren Energy Delivery of Ohio</w:t>
      </w:r>
      <w:r w:rsidR="00C95C1A">
        <w:t xml:space="preserve"> (“Vectren”)</w:t>
      </w:r>
      <w:r w:rsidR="00FD7B83">
        <w:t>.</w:t>
      </w:r>
      <w:r>
        <w:rPr>
          <w:rStyle w:val="FootnoteReference"/>
        </w:rPr>
        <w:footnoteReference w:id="7"/>
      </w:r>
      <w:r w:rsidR="00E37730">
        <w:t xml:space="preserve"> </w:t>
      </w:r>
      <w:r w:rsidR="003346CD">
        <w:t xml:space="preserve">Verde requests this authority despite its refusal in the </w:t>
      </w:r>
      <w:r w:rsidR="006917C6">
        <w:t>PUCO</w:t>
      </w:r>
      <w:r w:rsidR="003346CD">
        <w:t xml:space="preserve"> investigation case to refund a single penny to the natural gas customers it has harmed.</w:t>
      </w:r>
      <w:r>
        <w:rPr>
          <w:rStyle w:val="FootnoteReference"/>
        </w:rPr>
        <w:footnoteReference w:id="8"/>
      </w:r>
      <w:r w:rsidR="003346CD">
        <w:t xml:space="preserve"> </w:t>
      </w:r>
      <w:r w:rsidR="00786590">
        <w:t>Verde needs to pack its bags</w:t>
      </w:r>
      <w:r w:rsidR="00C9264C">
        <w:t>,</w:t>
      </w:r>
      <w:r w:rsidR="00786590">
        <w:t xml:space="preserve"> leave the state and free Ohioans from </w:t>
      </w:r>
      <w:r w:rsidR="00851376">
        <w:t>its</w:t>
      </w:r>
      <w:r w:rsidR="00786590">
        <w:t xml:space="preserve"> bad acts</w:t>
      </w:r>
      <w:r w:rsidR="00DB1705">
        <w:t>.</w:t>
      </w:r>
      <w:r w:rsidR="00851376">
        <w:t xml:space="preserve"> Ohio law permits OCC to intervene in this case to say that</w:t>
      </w:r>
      <w:r w:rsidR="00EB5DBE">
        <w:t>,</w:t>
      </w:r>
      <w:r w:rsidR="00851376">
        <w:t xml:space="preserve"> among other things</w:t>
      </w:r>
      <w:r w:rsidR="00EB5DBE">
        <w:t>,</w:t>
      </w:r>
      <w:r w:rsidR="00851376">
        <w:t xml:space="preserve"> for consumer protection</w:t>
      </w:r>
      <w:r w:rsidR="00C9264C">
        <w:t>.</w:t>
      </w:r>
      <w:r w:rsidR="005F2298">
        <w:t xml:space="preserve"> </w:t>
      </w:r>
    </w:p>
    <w:p w:rsidR="0060598B" w:rsidP="0060598B" w14:paraId="7B1F8325" w14:textId="77777777">
      <w:pPr>
        <w:pStyle w:val="BodyTextIndent3"/>
        <w:widowControl w:val="0"/>
        <w:spacing w:line="240" w:lineRule="auto"/>
        <w:ind w:right="-312"/>
      </w:pPr>
    </w:p>
    <w:p w:rsidR="005F1B61" w:rsidRPr="002A4452" w:rsidP="005F1B61" w14:paraId="5FCC70F1" w14:textId="2BA5B0BD">
      <w:pPr>
        <w:pStyle w:val="Heading1"/>
      </w:pPr>
      <w:bookmarkStart w:id="1" w:name="_Toc24990819"/>
      <w:bookmarkStart w:id="2" w:name="_Toc25220735"/>
      <w:r>
        <w:t>I</w:t>
      </w:r>
      <w:r w:rsidR="00413A2B">
        <w:t>I</w:t>
      </w:r>
      <w:r>
        <w:t xml:space="preserve">. </w:t>
      </w:r>
      <w:r>
        <w:tab/>
      </w:r>
      <w:r w:rsidR="004A6984">
        <w:t>THE PUCO SHOULD GRANT</w:t>
      </w:r>
      <w:r>
        <w:t xml:space="preserve"> OCC</w:t>
      </w:r>
      <w:r w:rsidR="004A6984">
        <w:t>’S MOTION TO INTERVENE</w:t>
      </w:r>
      <w:r w:rsidR="00E2159F">
        <w:t xml:space="preserve"> TO GIVE A VOICE TO THE CONSUMERS THAT VERDE </w:t>
      </w:r>
      <w:r w:rsidR="006917C6">
        <w:t>HAS</w:t>
      </w:r>
      <w:r w:rsidR="00E2159F">
        <w:t xml:space="preserve"> PREY</w:t>
      </w:r>
      <w:r w:rsidR="006917C6">
        <w:t>ED</w:t>
      </w:r>
      <w:r w:rsidR="00E2159F">
        <w:t xml:space="preserve"> UPON</w:t>
      </w:r>
      <w:r>
        <w:t>.</w:t>
      </w:r>
      <w:bookmarkEnd w:id="1"/>
      <w:bookmarkEnd w:id="2"/>
    </w:p>
    <w:p w:rsidR="00C35C7E" w:rsidP="00C35C7E" w14:paraId="6203FCE8" w14:textId="3DACE4B6">
      <w:pPr>
        <w:pStyle w:val="BodyTextIndent3"/>
        <w:widowControl w:val="0"/>
        <w:spacing w:line="480" w:lineRule="auto"/>
        <w:ind w:right="-312"/>
        <w:rPr>
          <w:szCs w:val="24"/>
        </w:rPr>
      </w:pPr>
      <w:r>
        <w:rPr>
          <w:szCs w:val="24"/>
        </w:rPr>
        <w:t xml:space="preserve">Here is some precedent that Verde neglected to mention in its opposition to OCC’s intervention. The Supreme Court of Ohio </w:t>
      </w:r>
      <w:r w:rsidRPr="00C35C7E">
        <w:t>has</w:t>
      </w:r>
      <w:r>
        <w:rPr>
          <w:szCs w:val="24"/>
        </w:rPr>
        <w:t xml:space="preserve"> held that </w:t>
      </w:r>
      <w:r w:rsidRPr="003A42F4">
        <w:rPr>
          <w:szCs w:val="24"/>
        </w:rPr>
        <w:t xml:space="preserve">“intervention ought to be </w:t>
      </w:r>
      <w:r w:rsidRPr="00C35C7E">
        <w:rPr>
          <w:bCs/>
          <w:i/>
          <w:iCs/>
          <w:szCs w:val="24"/>
        </w:rPr>
        <w:t>liberally allowed</w:t>
      </w:r>
      <w:r w:rsidRPr="003A42F4">
        <w:rPr>
          <w:szCs w:val="24"/>
        </w:rPr>
        <w:t xml:space="preserve"> so that the positions of all persons with a real and substantial interest in the proceedings can be considered by the PUCO.”</w:t>
      </w:r>
      <w:r>
        <w:rPr>
          <w:rStyle w:val="FootnoteReference"/>
          <w:szCs w:val="24"/>
        </w:rPr>
        <w:footnoteReference w:id="9"/>
      </w:r>
      <w:r w:rsidRPr="003A42F4">
        <w:rPr>
          <w:szCs w:val="24"/>
        </w:rPr>
        <w:t xml:space="preserve"> In the “absence of some evidence in the record calling those claims into doubt or showing that intervention would unduly prolong or delay the proceedings, intervention should </w:t>
      </w:r>
      <w:r>
        <w:rPr>
          <w:szCs w:val="24"/>
        </w:rPr>
        <w:t>[be]</w:t>
      </w:r>
      <w:r w:rsidRPr="003A42F4">
        <w:rPr>
          <w:szCs w:val="24"/>
        </w:rPr>
        <w:t xml:space="preserve"> granted.”</w:t>
      </w:r>
      <w:r>
        <w:rPr>
          <w:rStyle w:val="FootnoteReference"/>
          <w:szCs w:val="24"/>
        </w:rPr>
        <w:footnoteReference w:id="10"/>
      </w:r>
      <w:r w:rsidR="005D3F48">
        <w:rPr>
          <w:szCs w:val="24"/>
        </w:rPr>
        <w:t xml:space="preserve"> </w:t>
      </w:r>
    </w:p>
    <w:p w:rsidR="0098629F" w:rsidP="00C94C4B" w14:paraId="278F3CA8" w14:textId="6EFAA770">
      <w:pPr>
        <w:spacing w:line="480" w:lineRule="auto"/>
        <w:ind w:firstLine="720"/>
        <w:rPr>
          <w:szCs w:val="24"/>
        </w:rPr>
      </w:pPr>
      <w:r>
        <w:rPr>
          <w:szCs w:val="24"/>
        </w:rPr>
        <w:t>OCC meets the criteria set forth in R.C. 4903.221, Ohio Adm. Code 4901-1-11, and the precedent established by the Supreme Court of Ohio for intervention.</w:t>
      </w:r>
      <w:r w:rsidR="0086369F">
        <w:rPr>
          <w:szCs w:val="24"/>
        </w:rPr>
        <w:t xml:space="preserve"> Verde does not, and cannot, demonstrate otherwise.</w:t>
      </w:r>
      <w:r>
        <w:rPr>
          <w:szCs w:val="24"/>
        </w:rPr>
        <w:t xml:space="preserve"> </w:t>
      </w:r>
      <w:r w:rsidR="00BE3175">
        <w:rPr>
          <w:szCs w:val="24"/>
        </w:rPr>
        <w:t>For these reasons alone</w:t>
      </w:r>
      <w:r>
        <w:rPr>
          <w:szCs w:val="24"/>
        </w:rPr>
        <w:t>, the PUCO should grant OCC’s Motion to Intervene.</w:t>
      </w:r>
      <w:r w:rsidRPr="004317F7">
        <w:rPr>
          <w:szCs w:val="24"/>
        </w:rPr>
        <w:t xml:space="preserve"> </w:t>
      </w:r>
    </w:p>
    <w:p w:rsidR="008C52F2" w:rsidP="005F1B61" w14:paraId="23B0E273" w14:textId="278415FA">
      <w:pPr>
        <w:pStyle w:val="BodyTextIndent3"/>
        <w:widowControl w:val="0"/>
        <w:spacing w:line="480" w:lineRule="auto"/>
        <w:ind w:right="-24"/>
        <w:rPr>
          <w:szCs w:val="24"/>
        </w:rPr>
      </w:pPr>
      <w:r>
        <w:rPr>
          <w:szCs w:val="24"/>
        </w:rPr>
        <w:t>Verde argues</w:t>
      </w:r>
      <w:r w:rsidR="00C35C7E">
        <w:rPr>
          <w:szCs w:val="24"/>
        </w:rPr>
        <w:t xml:space="preserve"> that</w:t>
      </w:r>
      <w:r>
        <w:rPr>
          <w:szCs w:val="24"/>
        </w:rPr>
        <w:t xml:space="preserve"> the PUCO should deny OCC’s </w:t>
      </w:r>
      <w:r w:rsidR="009D18B3">
        <w:rPr>
          <w:szCs w:val="24"/>
        </w:rPr>
        <w:t>M</w:t>
      </w:r>
      <w:r>
        <w:rPr>
          <w:szCs w:val="24"/>
        </w:rPr>
        <w:t xml:space="preserve">otion to </w:t>
      </w:r>
      <w:r w:rsidR="009D18B3">
        <w:rPr>
          <w:szCs w:val="24"/>
        </w:rPr>
        <w:t>I</w:t>
      </w:r>
      <w:r>
        <w:rPr>
          <w:szCs w:val="24"/>
        </w:rPr>
        <w:t>ntervene</w:t>
      </w:r>
      <w:r w:rsidR="0049214A">
        <w:rPr>
          <w:szCs w:val="24"/>
        </w:rPr>
        <w:t xml:space="preserve"> because</w:t>
      </w:r>
      <w:r>
        <w:rPr>
          <w:szCs w:val="24"/>
        </w:rPr>
        <w:t xml:space="preserve"> OCC </w:t>
      </w:r>
      <w:r w:rsidR="00936654">
        <w:rPr>
          <w:szCs w:val="24"/>
        </w:rPr>
        <w:t xml:space="preserve">has </w:t>
      </w:r>
      <w:r>
        <w:rPr>
          <w:szCs w:val="24"/>
        </w:rPr>
        <w:t xml:space="preserve">already had an opportunity to litigate the issues </w:t>
      </w:r>
      <w:r w:rsidR="00FC554D">
        <w:rPr>
          <w:szCs w:val="24"/>
        </w:rPr>
        <w:t xml:space="preserve">arising </w:t>
      </w:r>
      <w:r w:rsidR="00936654">
        <w:rPr>
          <w:szCs w:val="24"/>
        </w:rPr>
        <w:t>in this case.</w:t>
      </w:r>
      <w:r>
        <w:rPr>
          <w:rStyle w:val="FootnoteReference"/>
          <w:szCs w:val="24"/>
        </w:rPr>
        <w:footnoteReference w:id="11"/>
      </w:r>
      <w:r w:rsidR="00C65EDA">
        <w:rPr>
          <w:szCs w:val="24"/>
        </w:rPr>
        <w:t xml:space="preserve"> </w:t>
      </w:r>
      <w:r w:rsidR="00FC12A1">
        <w:rPr>
          <w:szCs w:val="24"/>
        </w:rPr>
        <w:t>Verde is wrong. OCC’s involvement in the case for an investigation of Verde is not a bar to OCC’s involvement in</w:t>
      </w:r>
      <w:r w:rsidR="00337FD0">
        <w:rPr>
          <w:szCs w:val="24"/>
        </w:rPr>
        <w:t xml:space="preserve"> this</w:t>
      </w:r>
      <w:r w:rsidR="00FC12A1">
        <w:rPr>
          <w:szCs w:val="24"/>
        </w:rPr>
        <w:t xml:space="preserve"> Verde </w:t>
      </w:r>
      <w:r w:rsidR="00337FD0">
        <w:rPr>
          <w:szCs w:val="24"/>
        </w:rPr>
        <w:t>initiative to renew its certificate.</w:t>
      </w:r>
      <w:r>
        <w:rPr>
          <w:szCs w:val="24"/>
        </w:rPr>
        <w:t xml:space="preserve"> Far from it.</w:t>
      </w:r>
      <w:r w:rsidR="00337FD0">
        <w:rPr>
          <w:szCs w:val="24"/>
        </w:rPr>
        <w:t xml:space="preserve"> </w:t>
      </w:r>
      <w:r>
        <w:rPr>
          <w:szCs w:val="24"/>
        </w:rPr>
        <w:t>OCC is doing exactly what it should be doing for consumers by intervening in this case.</w:t>
      </w:r>
    </w:p>
    <w:p w:rsidR="004B69AE" w:rsidP="00BB7CC7" w14:paraId="75263506" w14:textId="49601538">
      <w:pPr>
        <w:pStyle w:val="BodyTextIndent3"/>
        <w:widowControl w:val="0"/>
        <w:spacing w:line="480" w:lineRule="auto"/>
        <w:ind w:right="-24"/>
        <w:rPr>
          <w:szCs w:val="24"/>
        </w:rPr>
      </w:pPr>
      <w:r>
        <w:rPr>
          <w:szCs w:val="24"/>
        </w:rPr>
        <w:t>C</w:t>
      </w:r>
      <w:r w:rsidR="002D185D">
        <w:rPr>
          <w:szCs w:val="24"/>
        </w:rPr>
        <w:t xml:space="preserve">onsumers could be </w:t>
      </w:r>
      <w:r>
        <w:rPr>
          <w:szCs w:val="24"/>
        </w:rPr>
        <w:t>“</w:t>
      </w:r>
      <w:r w:rsidR="002D185D">
        <w:rPr>
          <w:szCs w:val="24"/>
        </w:rPr>
        <w:t>adversely affected</w:t>
      </w:r>
      <w:r>
        <w:rPr>
          <w:szCs w:val="24"/>
        </w:rPr>
        <w:t>”</w:t>
      </w:r>
      <w:r>
        <w:rPr>
          <w:rStyle w:val="FootnoteReference"/>
          <w:szCs w:val="24"/>
        </w:rPr>
        <w:footnoteReference w:id="12"/>
      </w:r>
      <w:r>
        <w:rPr>
          <w:szCs w:val="24"/>
        </w:rPr>
        <w:t xml:space="preserve"> </w:t>
      </w:r>
      <w:r w:rsidR="002D185D">
        <w:rPr>
          <w:szCs w:val="24"/>
        </w:rPr>
        <w:t xml:space="preserve">if Verde </w:t>
      </w:r>
      <w:r w:rsidR="0086369F">
        <w:rPr>
          <w:szCs w:val="24"/>
        </w:rPr>
        <w:t xml:space="preserve">is allowed </w:t>
      </w:r>
      <w:r w:rsidR="002D185D">
        <w:rPr>
          <w:szCs w:val="24"/>
        </w:rPr>
        <w:t xml:space="preserve">to continue marketing natural gas services in this </w:t>
      </w:r>
      <w:r w:rsidR="00AE551A">
        <w:rPr>
          <w:szCs w:val="24"/>
        </w:rPr>
        <w:t>s</w:t>
      </w:r>
      <w:r w:rsidR="002D185D">
        <w:rPr>
          <w:szCs w:val="24"/>
        </w:rPr>
        <w:t>tate.</w:t>
      </w:r>
      <w:r w:rsidR="0086369F">
        <w:rPr>
          <w:szCs w:val="24"/>
        </w:rPr>
        <w:t xml:space="preserve"> OCC r</w:t>
      </w:r>
      <w:r w:rsidR="007A7105">
        <w:rPr>
          <w:szCs w:val="24"/>
        </w:rPr>
        <w:t>egularly</w:t>
      </w:r>
      <w:r w:rsidR="0086369F">
        <w:rPr>
          <w:szCs w:val="24"/>
        </w:rPr>
        <w:t xml:space="preserve"> represents the interests of Ohio residential consumers in PUCO cases </w:t>
      </w:r>
      <w:r w:rsidR="00AE551A">
        <w:rPr>
          <w:szCs w:val="24"/>
        </w:rPr>
        <w:t>against the same parties, with the same decision</w:t>
      </w:r>
      <w:r w:rsidR="004719C4">
        <w:rPr>
          <w:szCs w:val="24"/>
        </w:rPr>
        <w:t xml:space="preserve"> </w:t>
      </w:r>
      <w:r w:rsidR="00AE551A">
        <w:rPr>
          <w:szCs w:val="24"/>
        </w:rPr>
        <w:t xml:space="preserve">makers, and with </w:t>
      </w:r>
      <w:r w:rsidR="0086369F">
        <w:rPr>
          <w:szCs w:val="24"/>
        </w:rPr>
        <w:t>similar issues</w:t>
      </w:r>
      <w:r w:rsidR="00670895">
        <w:rPr>
          <w:szCs w:val="24"/>
        </w:rPr>
        <w:t xml:space="preserve"> in different proceedings</w:t>
      </w:r>
      <w:r w:rsidR="0086369F">
        <w:rPr>
          <w:szCs w:val="24"/>
        </w:rPr>
        <w:t>.</w:t>
      </w:r>
      <w:r>
        <w:rPr>
          <w:rStyle w:val="FootnoteReference"/>
          <w:szCs w:val="24"/>
        </w:rPr>
        <w:footnoteReference w:id="13"/>
      </w:r>
      <w:r w:rsidR="00AE551A">
        <w:rPr>
          <w:szCs w:val="24"/>
        </w:rPr>
        <w:t xml:space="preserve"> Verde’s claim that OCC should </w:t>
      </w:r>
      <w:r w:rsidR="007A7105">
        <w:rPr>
          <w:szCs w:val="24"/>
        </w:rPr>
        <w:t xml:space="preserve">now </w:t>
      </w:r>
      <w:r w:rsidR="00AE551A">
        <w:rPr>
          <w:szCs w:val="24"/>
        </w:rPr>
        <w:t>be precluded from representing the interests of Ohio residential consumers in this case has no merit.</w:t>
      </w:r>
      <w:r w:rsidR="00C65EDA">
        <w:rPr>
          <w:szCs w:val="24"/>
        </w:rPr>
        <w:t xml:space="preserve"> </w:t>
      </w:r>
      <w:r w:rsidR="003A5F98">
        <w:rPr>
          <w:szCs w:val="24"/>
        </w:rPr>
        <w:t xml:space="preserve">Verde’s conflation of this case and the </w:t>
      </w:r>
      <w:r w:rsidR="008C52F2">
        <w:rPr>
          <w:szCs w:val="24"/>
        </w:rPr>
        <w:t>investigation</w:t>
      </w:r>
      <w:r w:rsidR="003A5F98">
        <w:rPr>
          <w:szCs w:val="24"/>
        </w:rPr>
        <w:t xml:space="preserve"> over</w:t>
      </w:r>
      <w:r w:rsidR="00786590">
        <w:rPr>
          <w:szCs w:val="24"/>
        </w:rPr>
        <w:t>l</w:t>
      </w:r>
      <w:r w:rsidR="003A5F98">
        <w:rPr>
          <w:szCs w:val="24"/>
        </w:rPr>
        <w:t>ooks the key issue</w:t>
      </w:r>
      <w:r w:rsidR="00E6143F">
        <w:rPr>
          <w:szCs w:val="24"/>
        </w:rPr>
        <w:t>s</w:t>
      </w:r>
      <w:r w:rsidR="003A5F98">
        <w:rPr>
          <w:szCs w:val="24"/>
        </w:rPr>
        <w:t xml:space="preserve"> </w:t>
      </w:r>
      <w:r w:rsidR="00E6143F">
        <w:rPr>
          <w:szCs w:val="24"/>
        </w:rPr>
        <w:t>of</w:t>
      </w:r>
      <w:r w:rsidR="003A5F98">
        <w:rPr>
          <w:szCs w:val="24"/>
        </w:rPr>
        <w:t xml:space="preserve"> this case:</w:t>
      </w:r>
      <w:r w:rsidR="00110037">
        <w:rPr>
          <w:szCs w:val="24"/>
        </w:rPr>
        <w:t xml:space="preserve"> </w:t>
      </w:r>
      <w:r w:rsidR="003A5F98">
        <w:rPr>
          <w:szCs w:val="24"/>
        </w:rPr>
        <w:t xml:space="preserve">whether Verde’s certificate should be </w:t>
      </w:r>
      <w:r w:rsidR="008C52F2">
        <w:rPr>
          <w:szCs w:val="24"/>
        </w:rPr>
        <w:t>renewed</w:t>
      </w:r>
      <w:r w:rsidR="00247F58">
        <w:rPr>
          <w:szCs w:val="24"/>
        </w:rPr>
        <w:t xml:space="preserve"> and expanded to serve customers in the Vectren service territory</w:t>
      </w:r>
      <w:r w:rsidR="003A5F98">
        <w:rPr>
          <w:szCs w:val="24"/>
        </w:rPr>
        <w:t>.</w:t>
      </w:r>
      <w:r>
        <w:rPr>
          <w:rStyle w:val="FootnoteReference"/>
          <w:szCs w:val="24"/>
        </w:rPr>
        <w:footnoteReference w:id="14"/>
      </w:r>
      <w:r w:rsidR="00110037">
        <w:rPr>
          <w:szCs w:val="24"/>
        </w:rPr>
        <w:t xml:space="preserve"> </w:t>
      </w:r>
    </w:p>
    <w:p w:rsidR="00785146" w:rsidP="00344050" w14:paraId="7FE15C02" w14:textId="41040B1C">
      <w:pPr>
        <w:pStyle w:val="BodyTextIndent3"/>
        <w:widowControl w:val="0"/>
        <w:spacing w:line="480" w:lineRule="auto"/>
        <w:ind w:right="-24"/>
        <w:rPr>
          <w:szCs w:val="24"/>
        </w:rPr>
      </w:pPr>
      <w:r>
        <w:rPr>
          <w:szCs w:val="24"/>
        </w:rPr>
        <w:t>Verde</w:t>
      </w:r>
      <w:r w:rsidR="002D185D">
        <w:rPr>
          <w:szCs w:val="24"/>
        </w:rPr>
        <w:t xml:space="preserve"> also</w:t>
      </w:r>
      <w:r>
        <w:rPr>
          <w:szCs w:val="24"/>
        </w:rPr>
        <w:t xml:space="preserve"> asserts that </w:t>
      </w:r>
      <w:r w:rsidR="00901A32">
        <w:rPr>
          <w:szCs w:val="24"/>
        </w:rPr>
        <w:t>“</w:t>
      </w:r>
      <w:r>
        <w:rPr>
          <w:szCs w:val="24"/>
        </w:rPr>
        <w:t>OCC comes to this proceeding with no new or different facts.</w:t>
      </w:r>
      <w:r w:rsidR="00901A32">
        <w:rPr>
          <w:szCs w:val="24"/>
        </w:rPr>
        <w:t>”</w:t>
      </w:r>
      <w:r>
        <w:rPr>
          <w:rStyle w:val="FootnoteReference"/>
          <w:szCs w:val="24"/>
        </w:rPr>
        <w:footnoteReference w:id="15"/>
      </w:r>
      <w:r>
        <w:rPr>
          <w:szCs w:val="24"/>
        </w:rPr>
        <w:t xml:space="preserve"> </w:t>
      </w:r>
      <w:r w:rsidR="008C52F2">
        <w:rPr>
          <w:szCs w:val="24"/>
        </w:rPr>
        <w:t>The facts are that Verde is an awful company.</w:t>
      </w:r>
      <w:r w:rsidR="003B1A4B">
        <w:rPr>
          <w:szCs w:val="24"/>
        </w:rPr>
        <w:t xml:space="preserve"> Those facts aren’t necessarily going to change in cases about Verde, even though the legal framework of different cases will change.</w:t>
      </w:r>
      <w:r w:rsidR="008C52F2">
        <w:rPr>
          <w:szCs w:val="24"/>
        </w:rPr>
        <w:t xml:space="preserve"> But </w:t>
      </w:r>
      <w:r w:rsidR="004A66B6">
        <w:rPr>
          <w:szCs w:val="24"/>
        </w:rPr>
        <w:t>Ohio law</w:t>
      </w:r>
      <w:r w:rsidR="008C52F2">
        <w:rPr>
          <w:szCs w:val="24"/>
        </w:rPr>
        <w:t xml:space="preserve"> does not preclude a party from presenting similar facts in different cases involving different legal issues, as is the situation here.</w:t>
      </w:r>
      <w:r>
        <w:rPr>
          <w:szCs w:val="24"/>
        </w:rPr>
        <w:t xml:space="preserve"> Nor should </w:t>
      </w:r>
      <w:r w:rsidR="008C52F2">
        <w:rPr>
          <w:szCs w:val="24"/>
        </w:rPr>
        <w:t>that</w:t>
      </w:r>
      <w:r>
        <w:rPr>
          <w:szCs w:val="24"/>
        </w:rPr>
        <w:t xml:space="preserve"> be a </w:t>
      </w:r>
      <w:r w:rsidR="008C52F2">
        <w:rPr>
          <w:szCs w:val="24"/>
        </w:rPr>
        <w:t>criterion</w:t>
      </w:r>
      <w:r>
        <w:rPr>
          <w:szCs w:val="24"/>
        </w:rPr>
        <w:t xml:space="preserve"> for the PUCO to consider when ruling upon a motion to intervene</w:t>
      </w:r>
      <w:r w:rsidR="003B1A4B">
        <w:rPr>
          <w:szCs w:val="24"/>
        </w:rPr>
        <w:t xml:space="preserve"> involving consumer protection</w:t>
      </w:r>
      <w:r>
        <w:rPr>
          <w:szCs w:val="24"/>
        </w:rPr>
        <w:t xml:space="preserve">. </w:t>
      </w:r>
      <w:r w:rsidR="008C52F2">
        <w:rPr>
          <w:szCs w:val="24"/>
        </w:rPr>
        <w:t xml:space="preserve">Remember, </w:t>
      </w:r>
      <w:r w:rsidR="003B1A4B">
        <w:rPr>
          <w:szCs w:val="24"/>
        </w:rPr>
        <w:t xml:space="preserve">the </w:t>
      </w:r>
      <w:r w:rsidR="00E6143F">
        <w:rPr>
          <w:szCs w:val="24"/>
        </w:rPr>
        <w:t xml:space="preserve">Supreme </w:t>
      </w:r>
      <w:r w:rsidR="003B1A4B">
        <w:rPr>
          <w:szCs w:val="24"/>
        </w:rPr>
        <w:t>Court</w:t>
      </w:r>
      <w:r w:rsidR="00E6143F">
        <w:rPr>
          <w:szCs w:val="24"/>
        </w:rPr>
        <w:t xml:space="preserve"> of Ohio</w:t>
      </w:r>
      <w:r w:rsidR="003B1A4B">
        <w:rPr>
          <w:szCs w:val="24"/>
        </w:rPr>
        <w:t xml:space="preserve"> admonished the PUCO that </w:t>
      </w:r>
      <w:r w:rsidR="008C52F2">
        <w:rPr>
          <w:szCs w:val="24"/>
        </w:rPr>
        <w:t xml:space="preserve">intervention is to be </w:t>
      </w:r>
      <w:r w:rsidR="00CA6832">
        <w:rPr>
          <w:szCs w:val="24"/>
        </w:rPr>
        <w:t>“</w:t>
      </w:r>
      <w:r w:rsidRPr="00B01B51" w:rsidR="008C52F2">
        <w:rPr>
          <w:i/>
          <w:iCs/>
          <w:szCs w:val="24"/>
        </w:rPr>
        <w:t>liberally</w:t>
      </w:r>
      <w:r w:rsidRPr="00E97B5E" w:rsidR="00CA6832">
        <w:rPr>
          <w:bCs/>
          <w:i/>
          <w:iCs/>
          <w:szCs w:val="24"/>
        </w:rPr>
        <w:t xml:space="preserve"> allowed</w:t>
      </w:r>
      <w:r w:rsidRPr="003A42F4" w:rsidR="00CA6832">
        <w:rPr>
          <w:szCs w:val="24"/>
        </w:rPr>
        <w:t xml:space="preserve"> so that the positions of all persons with a real and substantial interest in the proceedings can be considered by the PUCO.”</w:t>
      </w:r>
      <w:r>
        <w:rPr>
          <w:rStyle w:val="FootnoteReference"/>
          <w:szCs w:val="24"/>
        </w:rPr>
        <w:footnoteReference w:id="16"/>
      </w:r>
    </w:p>
    <w:p w:rsidR="00344050" w:rsidP="00344050" w14:paraId="4C096C40" w14:textId="31BDA80C">
      <w:pPr>
        <w:pStyle w:val="BodyTextIndent3"/>
        <w:widowControl w:val="0"/>
        <w:spacing w:line="480" w:lineRule="auto"/>
        <w:ind w:right="-24"/>
        <w:rPr>
          <w:szCs w:val="24"/>
        </w:rPr>
      </w:pPr>
      <w:r>
        <w:rPr>
          <w:szCs w:val="24"/>
        </w:rPr>
        <w:t xml:space="preserve"> </w:t>
      </w:r>
      <w:r w:rsidR="007A7105">
        <w:rPr>
          <w:szCs w:val="24"/>
        </w:rPr>
        <w:t>Verde’s</w:t>
      </w:r>
      <w:r w:rsidR="00CA6832">
        <w:rPr>
          <w:szCs w:val="24"/>
        </w:rPr>
        <w:t xml:space="preserve"> argument</w:t>
      </w:r>
      <w:r w:rsidR="00901A32">
        <w:rPr>
          <w:szCs w:val="24"/>
        </w:rPr>
        <w:t xml:space="preserve"> that there are no new and different facts in this proceeding</w:t>
      </w:r>
      <w:r w:rsidR="00CA6832">
        <w:rPr>
          <w:szCs w:val="24"/>
        </w:rPr>
        <w:t xml:space="preserve"> </w:t>
      </w:r>
      <w:r w:rsidR="0041483E">
        <w:rPr>
          <w:szCs w:val="24"/>
        </w:rPr>
        <w:t>is</w:t>
      </w:r>
      <w:r w:rsidR="00CA6832">
        <w:rPr>
          <w:szCs w:val="24"/>
        </w:rPr>
        <w:t xml:space="preserve"> also</w:t>
      </w:r>
      <w:r w:rsidR="007A7105">
        <w:rPr>
          <w:szCs w:val="24"/>
        </w:rPr>
        <w:t xml:space="preserve"> inaccurate</w:t>
      </w:r>
      <w:r w:rsidR="00901A32">
        <w:rPr>
          <w:szCs w:val="24"/>
        </w:rPr>
        <w:t>.</w:t>
      </w:r>
      <w:r>
        <w:rPr>
          <w:szCs w:val="24"/>
        </w:rPr>
        <w:t xml:space="preserve"> Verde’s </w:t>
      </w:r>
      <w:r w:rsidR="006C2ACB">
        <w:rPr>
          <w:szCs w:val="24"/>
        </w:rPr>
        <w:t>R</w:t>
      </w:r>
      <w:r>
        <w:rPr>
          <w:szCs w:val="24"/>
        </w:rPr>
        <w:t xml:space="preserve">enewal </w:t>
      </w:r>
      <w:r w:rsidR="006C2ACB">
        <w:rPr>
          <w:szCs w:val="24"/>
        </w:rPr>
        <w:t>A</w:t>
      </w:r>
      <w:r>
        <w:rPr>
          <w:szCs w:val="24"/>
        </w:rPr>
        <w:t>pplication</w:t>
      </w:r>
      <w:r w:rsidR="00670895">
        <w:rPr>
          <w:szCs w:val="24"/>
        </w:rPr>
        <w:t xml:space="preserve"> was filed </w:t>
      </w:r>
      <w:r w:rsidR="00901A32">
        <w:rPr>
          <w:szCs w:val="24"/>
        </w:rPr>
        <w:t>on November 7, 2019 – after</w:t>
      </w:r>
      <w:r w:rsidR="00670895">
        <w:rPr>
          <w:szCs w:val="24"/>
        </w:rPr>
        <w:t xml:space="preserve"> the hearing was held in Case No. 19-0958-GE-COI</w:t>
      </w:r>
      <w:r w:rsidR="00901A32">
        <w:rPr>
          <w:szCs w:val="24"/>
        </w:rPr>
        <w:t>. The Renewal Application</w:t>
      </w:r>
      <w:r>
        <w:rPr>
          <w:szCs w:val="24"/>
        </w:rPr>
        <w:t xml:space="preserve"> sets forth facts that have not been investigated </w:t>
      </w:r>
      <w:r w:rsidR="00231BA4">
        <w:rPr>
          <w:szCs w:val="24"/>
        </w:rPr>
        <w:t>and that are not in the</w:t>
      </w:r>
      <w:r>
        <w:rPr>
          <w:szCs w:val="24"/>
        </w:rPr>
        <w:t xml:space="preserve"> </w:t>
      </w:r>
      <w:r w:rsidR="00C87E9D">
        <w:rPr>
          <w:szCs w:val="24"/>
        </w:rPr>
        <w:t xml:space="preserve">evidentiary record of </w:t>
      </w:r>
      <w:r>
        <w:rPr>
          <w:szCs w:val="24"/>
        </w:rPr>
        <w:t>Case No. 19-0958-GE-COI. For example,</w:t>
      </w:r>
      <w:r w:rsidR="00C95C1A">
        <w:rPr>
          <w:szCs w:val="24"/>
        </w:rPr>
        <w:t xml:space="preserve"> Verde indicates in the Renewal Application that it seeks to expand its service into Vectren’s service territory, even though Verde has not previously provided service to those customers.</w:t>
      </w:r>
      <w:r>
        <w:rPr>
          <w:rStyle w:val="FootnoteReference"/>
          <w:szCs w:val="24"/>
        </w:rPr>
        <w:footnoteReference w:id="17"/>
      </w:r>
      <w:r>
        <w:rPr>
          <w:szCs w:val="24"/>
        </w:rPr>
        <w:t xml:space="preserve"> </w:t>
      </w:r>
      <w:r w:rsidR="00C95C1A">
        <w:rPr>
          <w:szCs w:val="24"/>
        </w:rPr>
        <w:t xml:space="preserve">In addition, </w:t>
      </w:r>
      <w:r>
        <w:rPr>
          <w:szCs w:val="24"/>
        </w:rPr>
        <w:t xml:space="preserve">Exhibit B-4 to the </w:t>
      </w:r>
      <w:r w:rsidR="006C2ACB">
        <w:rPr>
          <w:szCs w:val="24"/>
        </w:rPr>
        <w:t>R</w:t>
      </w:r>
      <w:r>
        <w:rPr>
          <w:szCs w:val="24"/>
        </w:rPr>
        <w:t xml:space="preserve">enewal </w:t>
      </w:r>
      <w:r w:rsidR="006C2ACB">
        <w:rPr>
          <w:szCs w:val="24"/>
        </w:rPr>
        <w:t>A</w:t>
      </w:r>
      <w:r>
        <w:rPr>
          <w:szCs w:val="24"/>
        </w:rPr>
        <w:t xml:space="preserve">pplication </w:t>
      </w:r>
      <w:r w:rsidR="00D730F0">
        <w:rPr>
          <w:szCs w:val="24"/>
        </w:rPr>
        <w:t>identifie</w:t>
      </w:r>
      <w:r w:rsidR="00865ACA">
        <w:rPr>
          <w:szCs w:val="24"/>
        </w:rPr>
        <w:t>s</w:t>
      </w:r>
      <w:r>
        <w:rPr>
          <w:szCs w:val="24"/>
        </w:rPr>
        <w:t xml:space="preserve"> </w:t>
      </w:r>
      <w:r w:rsidR="009D18B3">
        <w:rPr>
          <w:szCs w:val="24"/>
        </w:rPr>
        <w:t>twenty-one</w:t>
      </w:r>
      <w:r>
        <w:rPr>
          <w:szCs w:val="24"/>
        </w:rPr>
        <w:t xml:space="preserve"> investigations in </w:t>
      </w:r>
      <w:r w:rsidR="00854068">
        <w:rPr>
          <w:szCs w:val="24"/>
        </w:rPr>
        <w:t xml:space="preserve">Ohio and </w:t>
      </w:r>
      <w:r>
        <w:rPr>
          <w:szCs w:val="24"/>
        </w:rPr>
        <w:t>other states regarding Verde</w:t>
      </w:r>
      <w:r w:rsidR="00854068">
        <w:rPr>
          <w:szCs w:val="24"/>
        </w:rPr>
        <w:t xml:space="preserve"> or its</w:t>
      </w:r>
      <w:r>
        <w:rPr>
          <w:szCs w:val="24"/>
        </w:rPr>
        <w:t xml:space="preserve"> affiliates.</w:t>
      </w:r>
      <w:r w:rsidR="00247F58">
        <w:rPr>
          <w:szCs w:val="24"/>
        </w:rPr>
        <w:t xml:space="preserve"> </w:t>
      </w:r>
      <w:r w:rsidR="00865ACA">
        <w:rPr>
          <w:szCs w:val="24"/>
        </w:rPr>
        <w:t>T</w:t>
      </w:r>
      <w:r>
        <w:rPr>
          <w:szCs w:val="24"/>
        </w:rPr>
        <w:t>o explore these issues</w:t>
      </w:r>
      <w:r w:rsidR="00D730F0">
        <w:rPr>
          <w:szCs w:val="24"/>
        </w:rPr>
        <w:t xml:space="preserve"> and other</w:t>
      </w:r>
      <w:r w:rsidR="00231BA4">
        <w:rPr>
          <w:szCs w:val="24"/>
        </w:rPr>
        <w:t>s</w:t>
      </w:r>
      <w:r>
        <w:rPr>
          <w:szCs w:val="24"/>
        </w:rPr>
        <w:t xml:space="preserve"> for consumer protection</w:t>
      </w:r>
      <w:r w:rsidR="00865ACA">
        <w:rPr>
          <w:szCs w:val="24"/>
        </w:rPr>
        <w:t>,</w:t>
      </w:r>
      <w:r w:rsidRPr="00865ACA" w:rsidR="00865ACA">
        <w:rPr>
          <w:szCs w:val="24"/>
        </w:rPr>
        <w:t xml:space="preserve"> </w:t>
      </w:r>
      <w:r w:rsidR="00865ACA">
        <w:rPr>
          <w:szCs w:val="24"/>
        </w:rPr>
        <w:t>OCC’s intervention should be granted</w:t>
      </w:r>
      <w:r>
        <w:rPr>
          <w:szCs w:val="24"/>
        </w:rPr>
        <w:t>.</w:t>
      </w:r>
    </w:p>
    <w:p w:rsidR="005F1B61" w:rsidP="00E97B5E" w14:paraId="17CA6ABB" w14:textId="5C5DE33A">
      <w:pPr>
        <w:pStyle w:val="BodyTextIndent3"/>
        <w:widowControl w:val="0"/>
        <w:spacing w:line="480" w:lineRule="auto"/>
        <w:ind w:right="-24"/>
      </w:pPr>
      <w:r>
        <w:t>R.C. 4903.221 provides, in part, that any person “who may be adversely affected” by a PUCO proceeding is entitled to seek intervention in that proceeding.</w:t>
      </w:r>
      <w:r w:rsidR="006D5580">
        <w:t xml:space="preserve"> Verde and adversely affected consumers go hand in hand.</w:t>
      </w:r>
      <w:r>
        <w:t xml:space="preserve"> </w:t>
      </w:r>
    </w:p>
    <w:p w:rsidR="006917C6" w:rsidP="0049214A" w14:paraId="0C25B0EF" w14:textId="6711C393">
      <w:pPr>
        <w:pStyle w:val="BodyTextIndent3"/>
        <w:spacing w:line="480" w:lineRule="auto"/>
        <w:rPr>
          <w:szCs w:val="24"/>
        </w:rPr>
      </w:pPr>
      <w:r>
        <w:t xml:space="preserve">Verde contends that </w:t>
      </w:r>
      <w:r w:rsidR="005F1B61">
        <w:rPr>
          <w:szCs w:val="24"/>
        </w:rPr>
        <w:t xml:space="preserve">OCC’s intervention </w:t>
      </w:r>
      <w:r w:rsidR="00D30B26">
        <w:rPr>
          <w:szCs w:val="24"/>
        </w:rPr>
        <w:t xml:space="preserve">will </w:t>
      </w:r>
      <w:r w:rsidR="005F1B61">
        <w:rPr>
          <w:szCs w:val="24"/>
        </w:rPr>
        <w:t xml:space="preserve">unduly prolong </w:t>
      </w:r>
      <w:r w:rsidR="0049214A">
        <w:rPr>
          <w:szCs w:val="24"/>
        </w:rPr>
        <w:t>this proceeding</w:t>
      </w:r>
      <w:r>
        <w:rPr>
          <w:szCs w:val="24"/>
        </w:rPr>
        <w:t xml:space="preserve"> by allowing OCC to </w:t>
      </w:r>
      <w:r w:rsidR="00D30B26">
        <w:rPr>
          <w:szCs w:val="24"/>
        </w:rPr>
        <w:t>“rehash” arguments from the Verde investigation case</w:t>
      </w:r>
      <w:r w:rsidR="005F1B61">
        <w:rPr>
          <w:szCs w:val="24"/>
        </w:rPr>
        <w:t>.</w:t>
      </w:r>
      <w:r>
        <w:rPr>
          <w:rStyle w:val="FootnoteReference"/>
          <w:szCs w:val="24"/>
        </w:rPr>
        <w:footnoteReference w:id="18"/>
      </w:r>
      <w:r w:rsidR="00110037">
        <w:rPr>
          <w:szCs w:val="24"/>
        </w:rPr>
        <w:t xml:space="preserve"> </w:t>
      </w:r>
      <w:r w:rsidR="00D30B26">
        <w:rPr>
          <w:szCs w:val="24"/>
        </w:rPr>
        <w:t>But as explained above, the Renewal Application (which was filed after the Verde investigation case evidentiary hearing) raises new facts. Further, t</w:t>
      </w:r>
      <w:r w:rsidR="00AE551A">
        <w:rPr>
          <w:szCs w:val="24"/>
        </w:rPr>
        <w:t>he Attorney Examiner has already suspended the automatic renewal process in this case on the recommendation of the PUCO Staff.</w:t>
      </w:r>
      <w:r>
        <w:rPr>
          <w:rStyle w:val="FootnoteReference"/>
          <w:szCs w:val="24"/>
        </w:rPr>
        <w:footnoteReference w:id="19"/>
      </w:r>
      <w:r w:rsidR="005F1B61">
        <w:rPr>
          <w:szCs w:val="24"/>
        </w:rPr>
        <w:t xml:space="preserve"> </w:t>
      </w:r>
      <w:r w:rsidR="00D730F0">
        <w:rPr>
          <w:szCs w:val="24"/>
        </w:rPr>
        <w:t xml:space="preserve">In addition, </w:t>
      </w:r>
      <w:r w:rsidR="00D30B26">
        <w:rPr>
          <w:szCs w:val="24"/>
        </w:rPr>
        <w:t xml:space="preserve">as </w:t>
      </w:r>
      <w:r w:rsidR="005F1B61">
        <w:rPr>
          <w:szCs w:val="24"/>
        </w:rPr>
        <w:t>OCC</w:t>
      </w:r>
      <w:r w:rsidR="00D30B26">
        <w:rPr>
          <w:szCs w:val="24"/>
        </w:rPr>
        <w:t xml:space="preserve"> explained in its Motion to Intervene</w:t>
      </w:r>
      <w:r w:rsidR="005F1B61">
        <w:rPr>
          <w:szCs w:val="24"/>
        </w:rPr>
        <w:t>,</w:t>
      </w:r>
      <w:r w:rsidR="00D30B26">
        <w:rPr>
          <w:szCs w:val="24"/>
        </w:rPr>
        <w:t xml:space="preserve"> OCC’s </w:t>
      </w:r>
      <w:r w:rsidR="005F1B61">
        <w:rPr>
          <w:szCs w:val="24"/>
        </w:rPr>
        <w:t>longstanding expertise and experience in PUCO proceedings will duly allow for the efficient processing of the case with consideration of the public interest.</w:t>
      </w:r>
      <w:r w:rsidR="004A6984">
        <w:rPr>
          <w:szCs w:val="24"/>
        </w:rPr>
        <w:t xml:space="preserve"> </w:t>
      </w:r>
      <w:r>
        <w:rPr>
          <w:rStyle w:val="FootnoteReference"/>
          <w:szCs w:val="24"/>
        </w:rPr>
        <w:footnoteReference w:id="20"/>
      </w:r>
    </w:p>
    <w:p w:rsidR="0049214A" w:rsidP="0049214A" w14:paraId="7E63EA80" w14:textId="2B65C6EE">
      <w:pPr>
        <w:pStyle w:val="BodyTextIndent3"/>
        <w:spacing w:line="480" w:lineRule="auto"/>
        <w:rPr>
          <w:szCs w:val="24"/>
        </w:rPr>
      </w:pPr>
      <w:r>
        <w:rPr>
          <w:szCs w:val="24"/>
        </w:rPr>
        <w:t xml:space="preserve">And if this case goes to hearing or does not get resolved as </w:t>
      </w:r>
      <w:r w:rsidR="00231BA4">
        <w:rPr>
          <w:szCs w:val="24"/>
        </w:rPr>
        <w:t>quickly</w:t>
      </w:r>
      <w:r>
        <w:rPr>
          <w:szCs w:val="24"/>
        </w:rPr>
        <w:t xml:space="preserve"> as</w:t>
      </w:r>
      <w:r w:rsidR="00231BA4">
        <w:rPr>
          <w:szCs w:val="24"/>
        </w:rPr>
        <w:t xml:space="preserve"> Verde would like</w:t>
      </w:r>
      <w:r>
        <w:rPr>
          <w:szCs w:val="24"/>
        </w:rPr>
        <w:t xml:space="preserve">, that is not an </w:t>
      </w:r>
      <w:r w:rsidRPr="004A6984">
        <w:rPr>
          <w:i/>
          <w:iCs/>
          <w:szCs w:val="24"/>
        </w:rPr>
        <w:t>undue</w:t>
      </w:r>
      <w:r>
        <w:rPr>
          <w:szCs w:val="24"/>
        </w:rPr>
        <w:t xml:space="preserve"> delay</w:t>
      </w:r>
      <w:r w:rsidR="002622B5">
        <w:rPr>
          <w:szCs w:val="24"/>
        </w:rPr>
        <w:t>.</w:t>
      </w:r>
      <w:r>
        <w:rPr>
          <w:szCs w:val="24"/>
        </w:rPr>
        <w:t xml:space="preserve"> </w:t>
      </w:r>
      <w:r w:rsidR="002622B5">
        <w:rPr>
          <w:szCs w:val="24"/>
        </w:rPr>
        <w:t>I</w:t>
      </w:r>
      <w:r>
        <w:rPr>
          <w:szCs w:val="24"/>
        </w:rPr>
        <w:t xml:space="preserve">t </w:t>
      </w:r>
      <w:r w:rsidR="002622B5">
        <w:rPr>
          <w:szCs w:val="24"/>
        </w:rPr>
        <w:t xml:space="preserve">would be time that is </w:t>
      </w:r>
      <w:r>
        <w:rPr>
          <w:szCs w:val="24"/>
        </w:rPr>
        <w:t xml:space="preserve">necessary </w:t>
      </w:r>
      <w:r w:rsidR="002622B5">
        <w:rPr>
          <w:szCs w:val="24"/>
        </w:rPr>
        <w:t>for</w:t>
      </w:r>
      <w:r>
        <w:rPr>
          <w:szCs w:val="24"/>
        </w:rPr>
        <w:t xml:space="preserve"> due process </w:t>
      </w:r>
      <w:r w:rsidR="002622B5">
        <w:rPr>
          <w:szCs w:val="24"/>
        </w:rPr>
        <w:t xml:space="preserve">and to unwind the complexity of what Verde has done </w:t>
      </w:r>
      <w:r>
        <w:rPr>
          <w:szCs w:val="24"/>
        </w:rPr>
        <w:t>to</w:t>
      </w:r>
      <w:r w:rsidR="002622B5">
        <w:rPr>
          <w:szCs w:val="24"/>
        </w:rPr>
        <w:t xml:space="preserve"> hurt</w:t>
      </w:r>
      <w:r>
        <w:rPr>
          <w:szCs w:val="24"/>
        </w:rPr>
        <w:t xml:space="preserve"> </w:t>
      </w:r>
      <w:r w:rsidR="00D730F0">
        <w:rPr>
          <w:szCs w:val="24"/>
        </w:rPr>
        <w:t xml:space="preserve">Ohio </w:t>
      </w:r>
      <w:r w:rsidR="00247F58">
        <w:rPr>
          <w:szCs w:val="24"/>
        </w:rPr>
        <w:t xml:space="preserve">natural gas </w:t>
      </w:r>
      <w:r w:rsidR="00D730F0">
        <w:rPr>
          <w:szCs w:val="24"/>
        </w:rPr>
        <w:t>consumers</w:t>
      </w:r>
      <w:r w:rsidR="002622B5">
        <w:rPr>
          <w:szCs w:val="24"/>
        </w:rPr>
        <w:t>.</w:t>
      </w:r>
      <w:r w:rsidR="00D730F0">
        <w:rPr>
          <w:szCs w:val="24"/>
        </w:rPr>
        <w:t xml:space="preserve"> </w:t>
      </w:r>
      <w:r w:rsidR="002622B5">
        <w:rPr>
          <w:szCs w:val="24"/>
        </w:rPr>
        <w:t xml:space="preserve">Consumers </w:t>
      </w:r>
      <w:r w:rsidR="00D730F0">
        <w:rPr>
          <w:szCs w:val="24"/>
        </w:rPr>
        <w:t xml:space="preserve">have </w:t>
      </w:r>
      <w:r>
        <w:rPr>
          <w:szCs w:val="24"/>
        </w:rPr>
        <w:t>a real and substantial interest in the matter.</w:t>
      </w:r>
      <w:r w:rsidR="000B7ED7">
        <w:rPr>
          <w:szCs w:val="24"/>
        </w:rPr>
        <w:t xml:space="preserve"> </w:t>
      </w:r>
      <w:r w:rsidR="00231BA4">
        <w:rPr>
          <w:szCs w:val="24"/>
        </w:rPr>
        <w:t>I</w:t>
      </w:r>
      <w:r w:rsidR="000B7ED7">
        <w:rPr>
          <w:szCs w:val="24"/>
        </w:rPr>
        <w:t xml:space="preserve">t would be particularly unjust to deny OCC’s current Motion to Intervene based </w:t>
      </w:r>
      <w:r w:rsidR="00231BA4">
        <w:rPr>
          <w:szCs w:val="24"/>
        </w:rPr>
        <w:t>on Verde’s pure speculation</w:t>
      </w:r>
      <w:r w:rsidR="001F372C">
        <w:rPr>
          <w:szCs w:val="24"/>
        </w:rPr>
        <w:t xml:space="preserve"> as to what</w:t>
      </w:r>
      <w:r w:rsidR="006309C5">
        <w:rPr>
          <w:szCs w:val="24"/>
        </w:rPr>
        <w:t xml:space="preserve"> Verde believes</w:t>
      </w:r>
      <w:r w:rsidR="001F372C">
        <w:rPr>
          <w:szCs w:val="24"/>
        </w:rPr>
        <w:t xml:space="preserve"> OCC may argue in this case. </w:t>
      </w:r>
    </w:p>
    <w:p w:rsidR="005F1B61" w:rsidP="0049214A" w14:paraId="586BF184" w14:textId="01C242E0">
      <w:pPr>
        <w:pStyle w:val="BodyTextIndent3"/>
        <w:spacing w:line="480" w:lineRule="auto"/>
        <w:rPr>
          <w:szCs w:val="24"/>
        </w:rPr>
      </w:pPr>
      <w:r>
        <w:rPr>
          <w:szCs w:val="24"/>
        </w:rPr>
        <w:t xml:space="preserve">Finally, OCC’s intervention will significantly contribute to the full development and equitable resolution of the factual issues. OCC will obtain and develop information that the PUCO should consider to equitably and lawfully decide the case in the public interest. </w:t>
      </w:r>
      <w:r w:rsidR="004A6984">
        <w:rPr>
          <w:szCs w:val="24"/>
        </w:rPr>
        <w:t>The PUCO should grant OCC’s Motion to Intervene because OCC meets the criteria set forth in R.C. 4903.221, Ohio Adm. Code 4901-1-11, and the precedent established by the Supreme Court of Ohio for intervention.</w:t>
      </w:r>
    </w:p>
    <w:p w:rsidR="0098629F" w:rsidP="0098629F" w14:paraId="2F9ECC35" w14:textId="77777777">
      <w:pPr>
        <w:pStyle w:val="BodyTextIndent3"/>
        <w:spacing w:line="240" w:lineRule="auto"/>
        <w:rPr>
          <w:szCs w:val="24"/>
        </w:rPr>
      </w:pPr>
    </w:p>
    <w:p w:rsidR="006511C0" w:rsidP="00F1618B" w14:paraId="576659D1" w14:textId="3FACDFD9">
      <w:pPr>
        <w:pStyle w:val="Heading1"/>
      </w:pPr>
      <w:bookmarkStart w:id="3" w:name="_Toc24990817"/>
      <w:bookmarkStart w:id="4" w:name="_Toc25220734"/>
      <w:r>
        <w:t>I</w:t>
      </w:r>
      <w:r w:rsidR="00861214">
        <w:t>I</w:t>
      </w:r>
      <w:r>
        <w:t>I</w:t>
      </w:r>
      <w:r w:rsidR="00DB184A">
        <w:t>.</w:t>
      </w:r>
      <w:r w:rsidR="00DB184A">
        <w:tab/>
      </w:r>
      <w:r w:rsidRPr="00F1618B" w:rsidR="004E7DFC">
        <w:t xml:space="preserve">THE PUCO SHOULD </w:t>
      </w:r>
      <w:bookmarkStart w:id="5" w:name="_Hlk26781546"/>
      <w:r w:rsidRPr="00F1618B" w:rsidR="004E7DFC">
        <w:t xml:space="preserve">DENY </w:t>
      </w:r>
      <w:r w:rsidRPr="00F1618B" w:rsidR="006859F7">
        <w:t>VERDE’S APPLICATION TO RENEW ITS</w:t>
      </w:r>
      <w:r w:rsidR="006859F7">
        <w:t xml:space="preserve"> AUTHORITY TO PROVIDE </w:t>
      </w:r>
      <w:r w:rsidR="007B390B">
        <w:t xml:space="preserve">GAS MARKETING </w:t>
      </w:r>
      <w:r w:rsidR="006859F7">
        <w:t>SERVICES TO OHIO CONSUMERS</w:t>
      </w:r>
      <w:bookmarkEnd w:id="5"/>
      <w:r w:rsidR="006859F7">
        <w:t>.</w:t>
      </w:r>
      <w:bookmarkEnd w:id="3"/>
      <w:bookmarkEnd w:id="4"/>
    </w:p>
    <w:p w:rsidR="0073453E" w:rsidP="00D107F1" w14:paraId="6E84001C" w14:textId="3DFD6DC6">
      <w:pPr>
        <w:pStyle w:val="BodyTextIndent3"/>
        <w:widowControl w:val="0"/>
        <w:spacing w:line="480" w:lineRule="auto"/>
        <w:ind w:right="-24"/>
      </w:pPr>
      <w:r>
        <w:t xml:space="preserve">Ohio law, at </w:t>
      </w:r>
      <w:r w:rsidR="00F25517">
        <w:t>R.C. 4929.20(A)</w:t>
      </w:r>
      <w:r>
        <w:t>,</w:t>
      </w:r>
      <w:r w:rsidR="00F25517">
        <w:t xml:space="preserve"> requires that </w:t>
      </w:r>
      <w:r w:rsidR="001077B5">
        <w:t>gas marketers</w:t>
      </w:r>
      <w:r w:rsidR="00F25517">
        <w:t xml:space="preserve"> </w:t>
      </w:r>
      <w:r>
        <w:t xml:space="preserve">like </w:t>
      </w:r>
      <w:r w:rsidR="00F25517">
        <w:t>Verde</w:t>
      </w:r>
      <w:r w:rsidR="004A6984">
        <w:t xml:space="preserve"> must</w:t>
      </w:r>
      <w:r w:rsidR="00F25517">
        <w:t xml:space="preserve"> have the “managerial, technical, and financial capability” to provide service to Ohio consumers.</w:t>
      </w:r>
      <w:r w:rsidR="00A359A7">
        <w:t xml:space="preserve"> It is the gas marketer’s burden to demonstrate that it has that capability. And i</w:t>
      </w:r>
      <w:r w:rsidR="004A6984">
        <w:t>f a gas marketer does not have th</w:t>
      </w:r>
      <w:r w:rsidR="00A359A7">
        <w:t>at</w:t>
      </w:r>
      <w:r w:rsidR="004A6984">
        <w:t xml:space="preserve"> managerial, technical, and financial capability</w:t>
      </w:r>
      <w:r w:rsidR="00A359A7">
        <w:t xml:space="preserve"> to provide service</w:t>
      </w:r>
      <w:r w:rsidR="00F25517">
        <w:t>, Ohio Adm</w:t>
      </w:r>
      <w:r>
        <w:t>.</w:t>
      </w:r>
      <w:r w:rsidR="006309C5">
        <w:t xml:space="preserve"> </w:t>
      </w:r>
      <w:r w:rsidR="00F25517">
        <w:t>Code 4901:1-27-</w:t>
      </w:r>
      <w:r w:rsidR="00391638">
        <w:t>09(D)</w:t>
      </w:r>
      <w:r w:rsidR="00F25517">
        <w:t xml:space="preserve"> permits the </w:t>
      </w:r>
      <w:r w:rsidR="004E7DFC">
        <w:t xml:space="preserve">PUCO to </w:t>
      </w:r>
      <w:r w:rsidR="00391638">
        <w:t>deny an application for certification renewal.</w:t>
      </w:r>
      <w:r w:rsidR="005B331B">
        <w:t xml:space="preserve"> </w:t>
      </w:r>
      <w:r w:rsidR="00D730F0">
        <w:t xml:space="preserve">The PUCO Staff has determined that </w:t>
      </w:r>
      <w:r w:rsidR="00A359A7">
        <w:t xml:space="preserve">Verde does not have </w:t>
      </w:r>
      <w:r w:rsidR="00865ACA">
        <w:t xml:space="preserve">the </w:t>
      </w:r>
      <w:r w:rsidR="00A359A7">
        <w:t xml:space="preserve">managerial capability to provide </w:t>
      </w:r>
      <w:r w:rsidR="00D730F0">
        <w:t xml:space="preserve">adequate </w:t>
      </w:r>
      <w:r w:rsidR="00A359A7">
        <w:t>service to Ohio consumers</w:t>
      </w:r>
      <w:r w:rsidR="00413A2B">
        <w:t>.</w:t>
      </w:r>
      <w:r>
        <w:rPr>
          <w:rStyle w:val="FootnoteReference"/>
        </w:rPr>
        <w:footnoteReference w:id="21"/>
      </w:r>
      <w:r w:rsidR="00A359A7">
        <w:t xml:space="preserve"> </w:t>
      </w:r>
      <w:r w:rsidR="00413A2B">
        <w:t>A</w:t>
      </w:r>
      <w:r w:rsidR="00A359A7">
        <w:t xml:space="preserve">nd </w:t>
      </w:r>
      <w:r w:rsidR="00D730F0">
        <w:t>Verde</w:t>
      </w:r>
      <w:r w:rsidR="00A359A7">
        <w:t xml:space="preserve"> has </w:t>
      </w:r>
      <w:r w:rsidR="00D730F0">
        <w:t>provide</w:t>
      </w:r>
      <w:r w:rsidR="007A7105">
        <w:t>d</w:t>
      </w:r>
      <w:r w:rsidR="00D730F0">
        <w:t xml:space="preserve"> no information </w:t>
      </w:r>
      <w:r w:rsidR="007A7105">
        <w:t xml:space="preserve">whatsoever </w:t>
      </w:r>
      <w:r w:rsidR="00D730F0">
        <w:t xml:space="preserve">in its </w:t>
      </w:r>
      <w:r w:rsidR="006C2ACB">
        <w:t>R</w:t>
      </w:r>
      <w:r w:rsidR="00D730F0">
        <w:t xml:space="preserve">enewal </w:t>
      </w:r>
      <w:r w:rsidR="006C2ACB">
        <w:t>A</w:t>
      </w:r>
      <w:r w:rsidR="00D730F0">
        <w:t>pplication in this case</w:t>
      </w:r>
      <w:r w:rsidR="00A359A7">
        <w:t xml:space="preserve"> to demonstrate that it does have that capability. </w:t>
      </w:r>
    </w:p>
    <w:p w:rsidR="0073453E" w:rsidP="00D107F1" w14:paraId="3595D3A1" w14:textId="70877D54">
      <w:pPr>
        <w:pStyle w:val="BodyTextIndent3"/>
        <w:widowControl w:val="0"/>
        <w:spacing w:line="480" w:lineRule="auto"/>
        <w:ind w:right="-24"/>
      </w:pPr>
      <w:r>
        <w:t>In addition, permitting a managerially unfit marketer like Verde to continue to provide service harms competition in Ohio. In the Verde investigation case, intervenor Interstate Gas Supply (“IGS”)</w:t>
      </w:r>
      <w:r w:rsidR="00365412">
        <w:t xml:space="preserve"> </w:t>
      </w:r>
      <w:r>
        <w:t>stat</w:t>
      </w:r>
      <w:r w:rsidR="00365412">
        <w:t>ed</w:t>
      </w:r>
      <w:r>
        <w:t xml:space="preserve"> that Verde’s “abuses reflect poorly upon the company, its parent, Spark Energy Holdco, LLC [], Spark’s affiliates, and the Ohio competitive retail supply community as a whole.”</w:t>
      </w:r>
      <w:r>
        <w:rPr>
          <w:rStyle w:val="FootnoteReference"/>
        </w:rPr>
        <w:footnoteReference w:id="22"/>
      </w:r>
      <w:r w:rsidR="006309C5">
        <w:t xml:space="preserve"> If </w:t>
      </w:r>
      <w:r w:rsidR="00FD466F">
        <w:t>Ohio consumers cannot trust that their energy suppliers will follow the law, competition in Ohio will suffer.</w:t>
      </w:r>
      <w:r w:rsidR="00365412">
        <w:t xml:space="preserve"> </w:t>
      </w:r>
      <w:r w:rsidR="00A802D6">
        <w:t xml:space="preserve">The PUCO’s rules </w:t>
      </w:r>
      <w:r w:rsidR="00365412">
        <w:t>specifically provide that the PUCO may deny a gas marketer the authority to serve Ohio consumers if it has engaged in anticompetitive acts.</w:t>
      </w:r>
      <w:r>
        <w:rPr>
          <w:rStyle w:val="FootnoteReference"/>
        </w:rPr>
        <w:footnoteReference w:id="23"/>
      </w:r>
    </w:p>
    <w:p w:rsidR="00C00484" w:rsidP="00D107F1" w14:paraId="3C9E3C9F" w14:textId="59052629">
      <w:pPr>
        <w:pStyle w:val="BodyTextIndent3"/>
        <w:widowControl w:val="0"/>
        <w:spacing w:line="480" w:lineRule="auto"/>
        <w:ind w:right="-24"/>
      </w:pPr>
      <w:r>
        <w:t>Accordingly, the PUCO should deny Verde’s application to renew its certificate to provide gas service to Ohioans.</w:t>
      </w:r>
    </w:p>
    <w:p w:rsidR="0045416D" w:rsidP="004A6984" w14:paraId="54093276" w14:textId="25ED4C3B">
      <w:pPr>
        <w:pStyle w:val="BodyTextIndent3"/>
        <w:widowControl w:val="0"/>
        <w:spacing w:line="480" w:lineRule="auto"/>
        <w:ind w:right="-24"/>
      </w:pPr>
      <w:r>
        <w:t>Verde’s Renewal Application in this case</w:t>
      </w:r>
      <w:r w:rsidR="00FD466F">
        <w:t xml:space="preserve"> also</w:t>
      </w:r>
      <w:r>
        <w:t xml:space="preserve"> demonstrates the</w:t>
      </w:r>
      <w:r w:rsidR="002F5E90">
        <w:t xml:space="preserve"> “s</w:t>
      </w:r>
      <w:r>
        <w:t>ystemic”</w:t>
      </w:r>
      <w:r>
        <w:rPr>
          <w:rStyle w:val="FootnoteReference"/>
        </w:rPr>
        <w:footnoteReference w:id="24"/>
      </w:r>
      <w:r>
        <w:t xml:space="preserve"> issues plaguing Verde</w:t>
      </w:r>
      <w:r w:rsidR="0035237D">
        <w:t>’s</w:t>
      </w:r>
      <w:r w:rsidR="00FD466F">
        <w:t xml:space="preserve"> ability to serve</w:t>
      </w:r>
      <w:r w:rsidR="0035237D">
        <w:t xml:space="preserve"> customers</w:t>
      </w:r>
      <w:r>
        <w:t xml:space="preserve">. </w:t>
      </w:r>
      <w:r w:rsidR="00BC7D43">
        <w:t xml:space="preserve">Verde’s </w:t>
      </w:r>
      <w:r>
        <w:t xml:space="preserve">Exhibit B-4 to the Renewal Application, which contains Verde’s “Disclosure of Liabilities and Investigations,” identifies </w:t>
      </w:r>
      <w:r>
        <w:rPr>
          <w:i/>
          <w:iCs/>
        </w:rPr>
        <w:t xml:space="preserve">twenty-one </w:t>
      </w:r>
      <w:r>
        <w:t>investigations against Verde and its affiliates owned by Spark</w:t>
      </w:r>
      <w:r w:rsidR="008D33BD">
        <w:t xml:space="preserve"> in</w:t>
      </w:r>
      <w:r w:rsidR="004719C4">
        <w:t xml:space="preserve"> the State of</w:t>
      </w:r>
      <w:r w:rsidR="008D33BD">
        <w:t xml:space="preserve"> </w:t>
      </w:r>
      <w:r w:rsidR="000E6C64">
        <w:t xml:space="preserve">Ohio and </w:t>
      </w:r>
      <w:r w:rsidR="008D33BD">
        <w:t>other states</w:t>
      </w:r>
      <w:r w:rsidR="000E6C64">
        <w:t xml:space="preserve"> in just 2018 and 2019</w:t>
      </w:r>
      <w:r w:rsidR="008D33BD">
        <w:t>.</w:t>
      </w:r>
      <w:r w:rsidR="00110037">
        <w:t xml:space="preserve"> </w:t>
      </w:r>
    </w:p>
    <w:p w:rsidR="006A37D6" w:rsidP="004A6984" w14:paraId="1771C020" w14:textId="4F0A9B3F">
      <w:pPr>
        <w:pStyle w:val="BodyTextIndent3"/>
        <w:widowControl w:val="0"/>
        <w:spacing w:line="480" w:lineRule="auto"/>
        <w:ind w:right="-24"/>
      </w:pPr>
      <w:r>
        <w:t xml:space="preserve">These investigations include </w:t>
      </w:r>
      <w:r w:rsidR="009E09EC">
        <w:t xml:space="preserve">the Verde </w:t>
      </w:r>
      <w:r w:rsidR="006C2ACB">
        <w:t>i</w:t>
      </w:r>
      <w:r w:rsidR="009E09EC">
        <w:t xml:space="preserve">nvestigation </w:t>
      </w:r>
      <w:r>
        <w:t>currently pending before the PUCO</w:t>
      </w:r>
      <w:r w:rsidR="004A6984">
        <w:t xml:space="preserve"> in Case No. 19-958-GE-COI</w:t>
      </w:r>
      <w:r>
        <w:t xml:space="preserve"> and another investigation by the Ohio Attorney General (Investigation Docket No. 577403) concerning Verde’s alleged violations of the Ohio Consumer Sales Practices Act (R.C. § 1345.01).</w:t>
      </w:r>
      <w:r>
        <w:rPr>
          <w:rStyle w:val="FootnoteReference"/>
        </w:rPr>
        <w:footnoteReference w:id="25"/>
      </w:r>
      <w:r w:rsidR="00501992">
        <w:t xml:space="preserve"> </w:t>
      </w:r>
      <w:r w:rsidR="009E09EC">
        <w:t xml:space="preserve">Moreover, </w:t>
      </w:r>
      <w:r w:rsidR="00501992">
        <w:t xml:space="preserve">Exhibit B-5 to Verde’s Renewal Application </w:t>
      </w:r>
      <w:r w:rsidR="009E09EC">
        <w:t xml:space="preserve">indicates that </w:t>
      </w:r>
      <w:r w:rsidR="00501992">
        <w:t xml:space="preserve">the Texas Public Utilities Commission </w:t>
      </w:r>
      <w:r w:rsidR="00F26293">
        <w:t>affirmatively determined</w:t>
      </w:r>
      <w:r w:rsidR="009E09EC">
        <w:t xml:space="preserve"> that </w:t>
      </w:r>
      <w:r w:rsidR="00501992">
        <w:t>Spark</w:t>
      </w:r>
      <w:r w:rsidR="009E09EC">
        <w:t xml:space="preserve"> violated</w:t>
      </w:r>
      <w:r w:rsidR="00501992">
        <w:t xml:space="preserve"> consumer protection </w:t>
      </w:r>
      <w:r w:rsidR="00F26293">
        <w:t>laws</w:t>
      </w:r>
      <w:r w:rsidR="00501992">
        <w:t xml:space="preserve"> in Texas.</w:t>
      </w:r>
      <w:r w:rsidR="00FD466F">
        <w:t xml:space="preserve"> The PUCO would be justified in denying Verde’s Renewal Application for these reasons alone.</w:t>
      </w:r>
      <w:r w:rsidR="005B331B">
        <w:t xml:space="preserve"> </w:t>
      </w:r>
    </w:p>
    <w:p w:rsidR="0098629F" w:rsidP="0098629F" w14:paraId="578109A3" w14:textId="77777777">
      <w:pPr>
        <w:pStyle w:val="BodyTextIndent3"/>
        <w:widowControl w:val="0"/>
        <w:spacing w:line="240" w:lineRule="auto"/>
        <w:ind w:right="-24"/>
      </w:pPr>
    </w:p>
    <w:p w:rsidR="00BB5292" w14:paraId="4F5D8D4D" w14:textId="1E2962DB">
      <w:pPr>
        <w:rPr>
          <w:b/>
          <w:bCs/>
          <w:szCs w:val="24"/>
        </w:rPr>
      </w:pPr>
      <w:r>
        <w:rPr>
          <w:b/>
          <w:bCs/>
          <w:szCs w:val="24"/>
        </w:rPr>
        <w:t>I</w:t>
      </w:r>
      <w:r w:rsidR="00861214">
        <w:rPr>
          <w:b/>
          <w:bCs/>
          <w:szCs w:val="24"/>
        </w:rPr>
        <w:t>V</w:t>
      </w:r>
      <w:r w:rsidRPr="0034156F" w:rsidR="00F25517">
        <w:rPr>
          <w:b/>
          <w:bCs/>
          <w:szCs w:val="24"/>
        </w:rPr>
        <w:t>.</w:t>
      </w:r>
      <w:r w:rsidRPr="0034156F" w:rsidR="00F25517">
        <w:rPr>
          <w:b/>
          <w:bCs/>
          <w:szCs w:val="24"/>
        </w:rPr>
        <w:tab/>
        <w:t>CONCLUSION</w:t>
      </w:r>
    </w:p>
    <w:p w:rsidR="00BB5292" w14:paraId="25DF2DE4" w14:textId="77777777">
      <w:pPr>
        <w:rPr>
          <w:b/>
          <w:bCs/>
          <w:szCs w:val="24"/>
        </w:rPr>
      </w:pPr>
    </w:p>
    <w:p w:rsidR="000C49E0" w:rsidP="0045416D" w14:paraId="7E6FD2D3" w14:textId="27EF4C56">
      <w:pPr>
        <w:spacing w:line="480" w:lineRule="auto"/>
        <w:ind w:firstLine="720"/>
      </w:pPr>
      <w:r>
        <w:t xml:space="preserve">OCC’s Motion to Intervene should be granted. </w:t>
      </w:r>
      <w:r w:rsidR="00362EB8">
        <w:t xml:space="preserve">OCC </w:t>
      </w:r>
      <w:r w:rsidR="00362EB8">
        <w:rPr>
          <w:szCs w:val="24"/>
        </w:rPr>
        <w:t xml:space="preserve">meets the criteria set forth in R.C. 4903.221, Ohio Adm. Code 4901-1-11, and the precedent established by the Supreme Court of Ohio for intervention. </w:t>
      </w:r>
      <w:r>
        <w:rPr>
          <w:szCs w:val="24"/>
        </w:rPr>
        <w:t xml:space="preserve">That is all that is required for intervention. </w:t>
      </w:r>
      <w:r w:rsidR="00362EB8">
        <w:t xml:space="preserve">Verde has not demonstrated </w:t>
      </w:r>
      <w:r w:rsidR="00C35C7E">
        <w:t xml:space="preserve">through its </w:t>
      </w:r>
      <w:r w:rsidR="006C2ACB">
        <w:t>R</w:t>
      </w:r>
      <w:r w:rsidR="00C35C7E">
        <w:t xml:space="preserve">enewal </w:t>
      </w:r>
      <w:r w:rsidR="006C2ACB">
        <w:t>A</w:t>
      </w:r>
      <w:r w:rsidR="00C35C7E">
        <w:t xml:space="preserve">pplication </w:t>
      </w:r>
      <w:r w:rsidR="00362EB8">
        <w:t>that it has the managerial, technical, and financial capability to serve customers in Ohio</w:t>
      </w:r>
      <w:r w:rsidR="002E4553">
        <w:t>. A</w:t>
      </w:r>
      <w:r w:rsidR="0045416D">
        <w:t>nd OCC should be granted intervention to say that</w:t>
      </w:r>
      <w:r w:rsidR="002E4553">
        <w:t>, among other things, and to give consumers a voice</w:t>
      </w:r>
      <w:r w:rsidR="00362EB8">
        <w:t xml:space="preserve">. </w:t>
      </w:r>
    </w:p>
    <w:p w:rsidR="0059283C" w:rsidP="006A37D6" w14:paraId="008E1AC2" w14:textId="77777777">
      <w:pPr>
        <w:spacing w:line="480" w:lineRule="auto"/>
        <w:ind w:left="2880" w:firstLine="720"/>
        <w:rPr>
          <w:szCs w:val="24"/>
        </w:rPr>
      </w:pPr>
    </w:p>
    <w:p w:rsidR="00B52F65" w:rsidP="006A37D6" w14:paraId="6BCA2A6B" w14:textId="4FB57D20">
      <w:pPr>
        <w:spacing w:line="480" w:lineRule="auto"/>
        <w:ind w:left="2880" w:firstLine="720"/>
        <w:rPr>
          <w:szCs w:val="24"/>
        </w:rPr>
      </w:pPr>
      <w:r>
        <w:rPr>
          <w:szCs w:val="24"/>
        </w:rPr>
        <w:t>Respectfully submitted,</w:t>
      </w:r>
    </w:p>
    <w:p w:rsidR="00B52F65" w:rsidP="006A37D6" w14:paraId="45CA4634" w14:textId="77777777">
      <w:pPr>
        <w:pStyle w:val="Footer"/>
        <w:tabs>
          <w:tab w:val="left" w:pos="4320"/>
          <w:tab w:val="clear" w:pos="8640"/>
        </w:tabs>
        <w:ind w:left="3600"/>
        <w:rPr>
          <w:sz w:val="24"/>
          <w:szCs w:val="24"/>
        </w:rPr>
      </w:pPr>
      <w:r>
        <w:rPr>
          <w:sz w:val="24"/>
          <w:szCs w:val="24"/>
        </w:rPr>
        <w:t>Bruce Weston (0016973)</w:t>
      </w:r>
    </w:p>
    <w:p w:rsidR="00B52F65" w:rsidP="00B52F65" w14:paraId="7BF41220" w14:textId="77777777">
      <w:pPr>
        <w:tabs>
          <w:tab w:val="left" w:pos="4320"/>
        </w:tabs>
        <w:ind w:left="3600"/>
        <w:rPr>
          <w:szCs w:val="24"/>
        </w:rPr>
      </w:pPr>
      <w:r>
        <w:rPr>
          <w:szCs w:val="24"/>
        </w:rPr>
        <w:t>Ohio Consumers’ Counsel</w:t>
      </w:r>
    </w:p>
    <w:p w:rsidR="00B52F65" w:rsidP="00B52F65" w14:paraId="5D6862A3" w14:textId="77777777">
      <w:pPr>
        <w:tabs>
          <w:tab w:val="left" w:pos="4320"/>
        </w:tabs>
        <w:ind w:left="3600"/>
        <w:rPr>
          <w:szCs w:val="24"/>
        </w:rPr>
      </w:pPr>
    </w:p>
    <w:p w:rsidR="00B52F65" w:rsidRPr="004535A2" w:rsidP="00B52F65" w14:paraId="089D01BA" w14:textId="7DCE2620">
      <w:pPr>
        <w:tabs>
          <w:tab w:val="left" w:pos="4320"/>
        </w:tabs>
        <w:ind w:left="3600"/>
        <w:rPr>
          <w:i/>
          <w:szCs w:val="24"/>
          <w:u w:val="single"/>
        </w:rPr>
      </w:pPr>
      <w:r>
        <w:rPr>
          <w:i/>
          <w:szCs w:val="24"/>
          <w:u w:val="single"/>
        </w:rPr>
        <w:t>/s/ Angela</w:t>
      </w:r>
      <w:r w:rsidR="001A7091">
        <w:rPr>
          <w:i/>
          <w:szCs w:val="24"/>
          <w:u w:val="single"/>
        </w:rPr>
        <w:t xml:space="preserve"> D.</w:t>
      </w:r>
      <w:r>
        <w:rPr>
          <w:i/>
          <w:szCs w:val="24"/>
          <w:u w:val="single"/>
        </w:rPr>
        <w:t xml:space="preserve"> O’Brien</w:t>
      </w:r>
      <w:r>
        <w:rPr>
          <w:i/>
          <w:szCs w:val="24"/>
          <w:u w:val="single"/>
        </w:rPr>
        <w:tab/>
      </w:r>
      <w:r>
        <w:rPr>
          <w:i/>
          <w:szCs w:val="24"/>
          <w:u w:val="single"/>
        </w:rPr>
        <w:tab/>
      </w:r>
      <w:r>
        <w:rPr>
          <w:i/>
          <w:szCs w:val="24"/>
          <w:u w:val="single"/>
        </w:rPr>
        <w:tab/>
      </w:r>
    </w:p>
    <w:p w:rsidR="00B52F65" w:rsidP="00B52F65" w14:paraId="0A57EF60" w14:textId="65D41C49">
      <w:pPr>
        <w:tabs>
          <w:tab w:val="left" w:pos="4320"/>
        </w:tabs>
        <w:ind w:left="3600"/>
        <w:rPr>
          <w:sz w:val="28"/>
          <w:szCs w:val="28"/>
        </w:rPr>
      </w:pPr>
      <w:r>
        <w:rPr>
          <w:szCs w:val="24"/>
        </w:rPr>
        <w:t xml:space="preserve">Angela </w:t>
      </w:r>
      <w:r w:rsidR="001A7091">
        <w:rPr>
          <w:szCs w:val="24"/>
        </w:rPr>
        <w:t xml:space="preserve">D. </w:t>
      </w:r>
      <w:r>
        <w:rPr>
          <w:szCs w:val="24"/>
        </w:rPr>
        <w:t>O’Brien (</w:t>
      </w:r>
      <w:r w:rsidRPr="00B379B2">
        <w:rPr>
          <w:szCs w:val="24"/>
        </w:rPr>
        <w:t>0097579)</w:t>
      </w:r>
      <w:r>
        <w:rPr>
          <w:sz w:val="28"/>
          <w:szCs w:val="28"/>
        </w:rPr>
        <w:t xml:space="preserve"> </w:t>
      </w:r>
    </w:p>
    <w:p w:rsidR="00731B26" w:rsidP="00731B26" w14:paraId="061F486C" w14:textId="77777777">
      <w:pPr>
        <w:tabs>
          <w:tab w:val="left" w:pos="4320"/>
        </w:tabs>
        <w:ind w:left="3600"/>
        <w:rPr>
          <w:szCs w:val="24"/>
        </w:rPr>
      </w:pPr>
      <w:r>
        <w:rPr>
          <w:szCs w:val="24"/>
        </w:rPr>
        <w:t>Counsel of Record</w:t>
      </w:r>
    </w:p>
    <w:p w:rsidR="00731B26" w:rsidP="00731B26" w14:paraId="2DC427AC" w14:textId="3F42F0DE">
      <w:pPr>
        <w:tabs>
          <w:tab w:val="left" w:pos="4320"/>
        </w:tabs>
        <w:ind w:left="3600"/>
        <w:rPr>
          <w:szCs w:val="24"/>
        </w:rPr>
      </w:pPr>
      <w:r>
        <w:rPr>
          <w:szCs w:val="24"/>
        </w:rPr>
        <w:t>Bryce McKenney (0088203)</w:t>
      </w:r>
    </w:p>
    <w:p w:rsidR="00731B26" w:rsidP="00731B26" w14:paraId="5932B179" w14:textId="03C356D5">
      <w:pPr>
        <w:tabs>
          <w:tab w:val="left" w:pos="4320"/>
        </w:tabs>
        <w:ind w:left="3600"/>
        <w:rPr>
          <w:szCs w:val="24"/>
        </w:rPr>
      </w:pPr>
      <w:r>
        <w:rPr>
          <w:szCs w:val="24"/>
        </w:rPr>
        <w:t>Assistant Consumers’ Counsel</w:t>
      </w:r>
    </w:p>
    <w:p w:rsidR="009D274E" w:rsidP="00731B26" w14:paraId="77E6E8EA" w14:textId="77777777">
      <w:pPr>
        <w:tabs>
          <w:tab w:val="left" w:pos="4320"/>
        </w:tabs>
        <w:ind w:left="3600"/>
        <w:rPr>
          <w:szCs w:val="24"/>
        </w:rPr>
      </w:pPr>
    </w:p>
    <w:p w:rsidR="00731B26" w:rsidRPr="009D274E" w:rsidP="009D274E" w14:paraId="08CF4D72" w14:textId="77777777">
      <w:pPr>
        <w:ind w:left="3600"/>
        <w:rPr>
          <w:b/>
          <w:bCs/>
        </w:rPr>
      </w:pPr>
      <w:r w:rsidRPr="009D274E">
        <w:rPr>
          <w:b/>
          <w:bCs/>
        </w:rPr>
        <w:t>Office of the Ohio Consumers’ Counsel</w:t>
      </w:r>
    </w:p>
    <w:p w:rsidR="00731B26" w:rsidP="009D274E" w14:paraId="13DAC3C4" w14:textId="77777777">
      <w:pPr>
        <w:ind w:left="3600"/>
        <w:rPr>
          <w:b/>
        </w:rPr>
      </w:pPr>
      <w:r>
        <w:t>65 East State Street, 7</w:t>
      </w:r>
      <w:r w:rsidRPr="00E46092">
        <w:t>th</w:t>
      </w:r>
      <w:r>
        <w:t xml:space="preserve"> Floor</w:t>
      </w:r>
    </w:p>
    <w:p w:rsidR="00731B26" w:rsidP="009D274E" w14:paraId="4A94F644" w14:textId="77777777">
      <w:pPr>
        <w:ind w:left="3600"/>
        <w:rPr>
          <w:b/>
        </w:rPr>
      </w:pPr>
      <w:r>
        <w:t>Columbus, Ohio 43215-4213</w:t>
      </w:r>
    </w:p>
    <w:p w:rsidR="00731B26" w:rsidP="00731B26" w14:paraId="4FB87428" w14:textId="77777777">
      <w:pPr>
        <w:autoSpaceDE w:val="0"/>
        <w:autoSpaceDN w:val="0"/>
        <w:adjustRightInd w:val="0"/>
        <w:ind w:left="3600"/>
        <w:rPr>
          <w:szCs w:val="24"/>
        </w:rPr>
      </w:pPr>
      <w:r>
        <w:rPr>
          <w:szCs w:val="24"/>
        </w:rPr>
        <w:t xml:space="preserve">Telephone [O’Brien]: </w:t>
      </w:r>
      <w:r w:rsidRPr="00B379B2">
        <w:rPr>
          <w:szCs w:val="24"/>
        </w:rPr>
        <w:t>(614) 466-9531</w:t>
      </w:r>
    </w:p>
    <w:p w:rsidR="00731B26" w:rsidP="00731B26" w14:paraId="724CFA1F" w14:textId="77777777">
      <w:pPr>
        <w:autoSpaceDE w:val="0"/>
        <w:autoSpaceDN w:val="0"/>
        <w:adjustRightInd w:val="0"/>
        <w:ind w:left="3600"/>
        <w:rPr>
          <w:szCs w:val="24"/>
        </w:rPr>
      </w:pPr>
      <w:r w:rsidRPr="007E2879">
        <w:rPr>
          <w:szCs w:val="24"/>
        </w:rPr>
        <w:t>Telephone [McKenney]: (614) 466-9585</w:t>
      </w:r>
    </w:p>
    <w:p w:rsidR="00731B26" w:rsidP="00731B26" w14:paraId="0E245E11" w14:textId="77777777">
      <w:pPr>
        <w:rPr>
          <w:szCs w:val="24"/>
        </w:rPr>
      </w:pPr>
      <w:r>
        <w:rPr>
          <w:szCs w:val="24"/>
        </w:rPr>
        <w:tab/>
      </w:r>
      <w:r>
        <w:rPr>
          <w:szCs w:val="24"/>
        </w:rPr>
        <w:tab/>
      </w:r>
      <w:r>
        <w:rPr>
          <w:szCs w:val="24"/>
        </w:rPr>
        <w:tab/>
      </w:r>
      <w:r>
        <w:rPr>
          <w:szCs w:val="24"/>
        </w:rPr>
        <w:tab/>
      </w:r>
      <w:r>
        <w:rPr>
          <w:szCs w:val="24"/>
        </w:rPr>
        <w:tab/>
      </w:r>
      <w:hyperlink r:id="rId8" w:history="1">
        <w:r w:rsidRPr="00DB2B65">
          <w:rPr>
            <w:rStyle w:val="Hyperlink"/>
            <w:szCs w:val="24"/>
          </w:rPr>
          <w:t>angela.obrien@occ.ohio.gov</w:t>
        </w:r>
      </w:hyperlink>
      <w:r>
        <w:rPr>
          <w:szCs w:val="24"/>
        </w:rPr>
        <w:t xml:space="preserve"> </w:t>
      </w:r>
    </w:p>
    <w:p w:rsidR="00731B26" w:rsidP="00731B26" w14:paraId="24396DBF" w14:textId="77777777">
      <w:pPr>
        <w:rPr>
          <w:szCs w:val="24"/>
        </w:rPr>
      </w:pPr>
      <w:r>
        <w:rPr>
          <w:szCs w:val="24"/>
        </w:rPr>
        <w:tab/>
      </w:r>
      <w:r>
        <w:rPr>
          <w:szCs w:val="24"/>
        </w:rPr>
        <w:tab/>
      </w:r>
      <w:r>
        <w:rPr>
          <w:szCs w:val="24"/>
        </w:rPr>
        <w:tab/>
      </w:r>
      <w:r>
        <w:rPr>
          <w:szCs w:val="24"/>
        </w:rPr>
        <w:tab/>
      </w:r>
      <w:r>
        <w:rPr>
          <w:szCs w:val="24"/>
        </w:rPr>
        <w:tab/>
      </w:r>
      <w:r w:rsidRPr="007E2879">
        <w:rPr>
          <w:rStyle w:val="Hyperlink"/>
          <w:szCs w:val="24"/>
        </w:rPr>
        <w:t>bryce.mckenney@occ.ohio.gov</w:t>
      </w:r>
    </w:p>
    <w:p w:rsidR="00F44221" w:rsidP="00731B26" w14:paraId="4A33FB5F" w14:textId="5A0C8F6F">
      <w:pPr>
        <w:ind w:left="3600"/>
        <w:rPr>
          <w:szCs w:val="24"/>
        </w:rPr>
      </w:pPr>
      <w:r>
        <w:rPr>
          <w:szCs w:val="24"/>
        </w:rPr>
        <w:t>(willing to accept service by e-mail)</w:t>
      </w:r>
    </w:p>
    <w:p w:rsidR="00731B26" w:rsidP="00646111" w14:paraId="473F5430" w14:textId="77777777">
      <w:pPr>
        <w:rPr>
          <w:szCs w:val="24"/>
        </w:rPr>
      </w:pPr>
    </w:p>
    <w:p w:rsidR="00731B26" w:rsidRPr="007E2879" w:rsidP="00731B26" w14:paraId="638D85C2" w14:textId="77777777">
      <w:pPr>
        <w:ind w:left="2880" w:firstLine="720"/>
        <w:rPr>
          <w:szCs w:val="24"/>
        </w:rPr>
      </w:pPr>
      <w:r w:rsidRPr="007E2879">
        <w:rPr>
          <w:szCs w:val="24"/>
        </w:rPr>
        <w:t>Kimberly W. Bojko (0069402)</w:t>
      </w:r>
    </w:p>
    <w:p w:rsidR="00731B26" w:rsidRPr="007E2879" w:rsidP="00731B26" w14:paraId="475158E4" w14:textId="77777777">
      <w:pPr>
        <w:ind w:left="2880" w:firstLine="720"/>
        <w:rPr>
          <w:szCs w:val="24"/>
        </w:rPr>
      </w:pPr>
      <w:r w:rsidRPr="007E2879">
        <w:rPr>
          <w:szCs w:val="24"/>
        </w:rPr>
        <w:t>Carpenter Lipps &amp; Leland LLP</w:t>
      </w:r>
    </w:p>
    <w:p w:rsidR="00731B26" w:rsidRPr="007E2879" w:rsidP="00731B26" w14:paraId="16CBEE82" w14:textId="77777777">
      <w:pPr>
        <w:ind w:left="2880" w:firstLine="720"/>
        <w:rPr>
          <w:szCs w:val="24"/>
        </w:rPr>
      </w:pPr>
      <w:r w:rsidRPr="007E2879">
        <w:rPr>
          <w:szCs w:val="24"/>
        </w:rPr>
        <w:t>280 Plaza, Suite 1300</w:t>
      </w:r>
    </w:p>
    <w:p w:rsidR="00731B26" w:rsidRPr="007E2879" w:rsidP="00731B26" w14:paraId="2889B63D" w14:textId="77777777">
      <w:pPr>
        <w:ind w:left="2880" w:firstLine="720"/>
        <w:rPr>
          <w:szCs w:val="24"/>
        </w:rPr>
      </w:pPr>
      <w:r w:rsidRPr="007E2879">
        <w:rPr>
          <w:szCs w:val="24"/>
        </w:rPr>
        <w:t>280 North High Street</w:t>
      </w:r>
    </w:p>
    <w:p w:rsidR="00731B26" w:rsidP="00731B26" w14:paraId="462100CD" w14:textId="2AE07280">
      <w:pPr>
        <w:ind w:left="2880" w:firstLine="720"/>
        <w:rPr>
          <w:szCs w:val="24"/>
        </w:rPr>
      </w:pPr>
      <w:r w:rsidRPr="007E2879">
        <w:rPr>
          <w:szCs w:val="24"/>
        </w:rPr>
        <w:t>Columbus, Ohio 43215</w:t>
      </w:r>
    </w:p>
    <w:p w:rsidR="00850DC1" w:rsidRPr="007E2879" w:rsidP="00731B26" w14:paraId="7F95514B" w14:textId="17A6E0CC">
      <w:pPr>
        <w:ind w:left="2880" w:firstLine="720"/>
        <w:rPr>
          <w:szCs w:val="24"/>
        </w:rPr>
      </w:pPr>
      <w:r>
        <w:rPr>
          <w:szCs w:val="24"/>
        </w:rPr>
        <w:t>Telephone: (614) 365-4100</w:t>
      </w:r>
    </w:p>
    <w:p w:rsidR="00731B26" w:rsidRPr="007E2879" w:rsidP="00731B26" w14:paraId="7B288C9D" w14:textId="77777777">
      <w:pPr>
        <w:ind w:left="2880" w:firstLine="720"/>
        <w:rPr>
          <w:szCs w:val="24"/>
        </w:rPr>
      </w:pPr>
      <w:hyperlink r:id="rId9" w:history="1">
        <w:r w:rsidRPr="00903CA0" w:rsidR="00F25517">
          <w:rPr>
            <w:rStyle w:val="Hyperlink"/>
            <w:szCs w:val="24"/>
          </w:rPr>
          <w:t>bojko@carpenterlipps.com</w:t>
        </w:r>
      </w:hyperlink>
      <w:r w:rsidRPr="007E2879" w:rsidR="00F25517">
        <w:rPr>
          <w:szCs w:val="24"/>
        </w:rPr>
        <w:t xml:space="preserve"> </w:t>
      </w:r>
    </w:p>
    <w:p w:rsidR="00731B26" w:rsidRPr="007E2879" w:rsidP="00731B26" w14:paraId="5DA76290" w14:textId="77777777">
      <w:pPr>
        <w:ind w:left="2880" w:firstLine="720"/>
        <w:rPr>
          <w:szCs w:val="24"/>
        </w:rPr>
      </w:pPr>
      <w:r w:rsidRPr="007E2879">
        <w:rPr>
          <w:szCs w:val="24"/>
        </w:rPr>
        <w:t>(willing to accept service by e-mail)</w:t>
      </w:r>
    </w:p>
    <w:p w:rsidR="00731B26" w:rsidRPr="00B6528E" w:rsidP="00731B26" w14:paraId="797D0E25" w14:textId="77777777">
      <w:pPr>
        <w:ind w:left="4320"/>
        <w:rPr>
          <w:sz w:val="16"/>
          <w:szCs w:val="16"/>
        </w:rPr>
      </w:pPr>
    </w:p>
    <w:p w:rsidR="00731B26" w:rsidRPr="007E2879" w:rsidP="00731B26" w14:paraId="4D94877E" w14:textId="77777777">
      <w:pPr>
        <w:ind w:left="2880" w:firstLine="720"/>
        <w:rPr>
          <w:i/>
          <w:iCs/>
          <w:szCs w:val="24"/>
        </w:rPr>
      </w:pPr>
      <w:r>
        <w:rPr>
          <w:i/>
          <w:iCs/>
          <w:szCs w:val="24"/>
        </w:rPr>
        <w:t>Special</w:t>
      </w:r>
      <w:r w:rsidRPr="007E2879">
        <w:rPr>
          <w:i/>
          <w:iCs/>
          <w:szCs w:val="24"/>
        </w:rPr>
        <w:t xml:space="preserve"> Counsel for</w:t>
      </w:r>
    </w:p>
    <w:p w:rsidR="00731B26" w:rsidP="00731B26" w14:paraId="561ED5E6" w14:textId="77777777">
      <w:pPr>
        <w:ind w:left="2880" w:firstLine="720"/>
        <w:rPr>
          <w:i/>
          <w:iCs/>
          <w:szCs w:val="24"/>
        </w:rPr>
      </w:pPr>
      <w:r w:rsidRPr="007E2879">
        <w:rPr>
          <w:i/>
          <w:iCs/>
          <w:szCs w:val="24"/>
        </w:rPr>
        <w:t>The Office of the Ohio Consumers</w:t>
      </w:r>
      <w:r>
        <w:rPr>
          <w:i/>
          <w:iCs/>
          <w:szCs w:val="24"/>
        </w:rPr>
        <w:t>’</w:t>
      </w:r>
      <w:r w:rsidRPr="007E2879">
        <w:rPr>
          <w:i/>
          <w:iCs/>
          <w:szCs w:val="24"/>
        </w:rPr>
        <w:t xml:space="preserve"> Counsel</w:t>
      </w:r>
    </w:p>
    <w:p w:rsidR="00731B26" w:rsidP="00B52F65" w14:paraId="6F5BDFA5" w14:textId="77777777">
      <w:pPr>
        <w:tabs>
          <w:tab w:val="left" w:pos="4320"/>
        </w:tabs>
        <w:ind w:left="3600"/>
        <w:rPr>
          <w:szCs w:val="24"/>
        </w:rPr>
      </w:pPr>
    </w:p>
    <w:p w:rsidR="00B52F65" w:rsidP="00B52F65" w14:paraId="0C0AFF5A" w14:textId="77777777">
      <w:pPr>
        <w:rPr>
          <w:szCs w:val="24"/>
        </w:rPr>
      </w:pPr>
    </w:p>
    <w:p w:rsidR="0089543E" w14:paraId="291C783E" w14:textId="77777777">
      <w:pPr>
        <w:rPr>
          <w:szCs w:val="24"/>
        </w:rPr>
      </w:pPr>
      <w:r>
        <w:rPr>
          <w:szCs w:val="24"/>
        </w:rPr>
        <w:br w:type="page"/>
      </w:r>
    </w:p>
    <w:p w:rsidR="00B52F65" w:rsidP="00F90B18" w14:paraId="1ABEA909" w14:textId="0190BFD8">
      <w:pPr>
        <w:jc w:val="center"/>
        <w:rPr>
          <w:b/>
          <w:bCs/>
          <w:u w:val="single"/>
        </w:rPr>
      </w:pPr>
      <w:r>
        <w:rPr>
          <w:b/>
          <w:bCs/>
          <w:u w:val="single"/>
        </w:rPr>
        <w:t>CERTIFICATE OF SERVICE</w:t>
      </w:r>
    </w:p>
    <w:p w:rsidR="00731B26" w:rsidP="00731B26" w14:paraId="725B071C" w14:textId="77777777">
      <w:pPr>
        <w:jc w:val="center"/>
      </w:pPr>
    </w:p>
    <w:p w:rsidR="00B52F65" w:rsidRPr="00641FA9" w:rsidP="0059283C" w14:paraId="1F6771BF" w14:textId="3853A80E">
      <w:pPr>
        <w:spacing w:line="480" w:lineRule="auto"/>
        <w:ind w:firstLine="720"/>
        <w:rPr>
          <w:i/>
          <w:iCs/>
        </w:rPr>
      </w:pPr>
      <w:r>
        <w:t>I hereby certify that a copy of this</w:t>
      </w:r>
      <w:r w:rsidR="00731B26">
        <w:t xml:space="preserve"> </w:t>
      </w:r>
      <w:r w:rsidRPr="0059283C" w:rsidR="0059283C">
        <w:t>Reply To Verde’s Memo Contra O</w:t>
      </w:r>
      <w:r w:rsidR="0059283C">
        <w:t>CC</w:t>
      </w:r>
      <w:r w:rsidRPr="0059283C" w:rsidR="0059283C">
        <w:t>’s Motion T</w:t>
      </w:r>
      <w:r w:rsidR="0059283C">
        <w:t xml:space="preserve">o </w:t>
      </w:r>
      <w:r w:rsidRPr="0059283C" w:rsidR="0059283C">
        <w:t>Intervene</w:t>
      </w:r>
      <w:r w:rsidR="0059283C">
        <w:t xml:space="preserve"> </w:t>
      </w:r>
      <w:r w:rsidRPr="0060598B" w:rsidR="00641FA9">
        <w:t>by the Office of the Ohio Consumers’ Counsel</w:t>
      </w:r>
      <w:r w:rsidR="00641FA9">
        <w:rPr>
          <w:b/>
          <w:bCs/>
        </w:rPr>
        <w:t xml:space="preserve"> </w:t>
      </w:r>
      <w:r>
        <w:t xml:space="preserve">was served on the persons stated below </w:t>
      </w:r>
      <w:r w:rsidRPr="0049109A">
        <w:t>via</w:t>
      </w:r>
      <w:r>
        <w:t xml:space="preserve"> electronic transmission, this </w:t>
      </w:r>
      <w:r w:rsidR="00D107F1">
        <w:t>13</w:t>
      </w:r>
      <w:r w:rsidRPr="00D107F1" w:rsidR="00D107F1">
        <w:rPr>
          <w:vertAlign w:val="superscript"/>
        </w:rPr>
        <w:t>th</w:t>
      </w:r>
      <w:r w:rsidR="00D107F1">
        <w:t xml:space="preserve"> </w:t>
      </w:r>
      <w:r>
        <w:t>day of</w:t>
      </w:r>
      <w:r w:rsidR="00A10E45">
        <w:t xml:space="preserve"> </w:t>
      </w:r>
      <w:r w:rsidR="00D107F1">
        <w:t>December</w:t>
      </w:r>
      <w:r>
        <w:t xml:space="preserve"> 2019.</w:t>
      </w:r>
    </w:p>
    <w:p w:rsidR="00B52F65" w14:paraId="5E837E0F" w14:textId="77777777">
      <w:pPr>
        <w:spacing w:line="480" w:lineRule="atLeast"/>
      </w:pPr>
    </w:p>
    <w:p w:rsidR="00B52F65" w14:paraId="7587DED6" w14:textId="43D04FCC">
      <w:pPr>
        <w:tabs>
          <w:tab w:val="left" w:pos="4320"/>
        </w:tabs>
        <w:rPr>
          <w:i/>
          <w:u w:val="single"/>
        </w:rPr>
      </w:pPr>
      <w:r>
        <w:tab/>
      </w:r>
      <w:r w:rsidRPr="00503056">
        <w:rPr>
          <w:i/>
          <w:iCs/>
          <w:u w:val="single"/>
        </w:rPr>
        <w:t>/s/</w:t>
      </w:r>
      <w:r w:rsidRPr="004535A2">
        <w:rPr>
          <w:u w:val="single"/>
        </w:rPr>
        <w:t xml:space="preserve"> </w:t>
      </w:r>
      <w:r>
        <w:rPr>
          <w:i/>
          <w:u w:val="single"/>
        </w:rPr>
        <w:t xml:space="preserve">Angela </w:t>
      </w:r>
      <w:r w:rsidR="00B559AA">
        <w:rPr>
          <w:i/>
          <w:u w:val="single"/>
        </w:rPr>
        <w:t xml:space="preserve">D. </w:t>
      </w:r>
      <w:r>
        <w:rPr>
          <w:i/>
          <w:u w:val="single"/>
        </w:rPr>
        <w:t>O’Brien</w:t>
      </w:r>
      <w:r>
        <w:rPr>
          <w:i/>
          <w:u w:val="single"/>
        </w:rPr>
        <w:tab/>
      </w:r>
      <w:r>
        <w:rPr>
          <w:i/>
          <w:u w:val="single"/>
        </w:rPr>
        <w:tab/>
      </w:r>
    </w:p>
    <w:p w:rsidR="00B52F65" w14:paraId="787CAC54" w14:textId="3A950C4F">
      <w:pPr>
        <w:tabs>
          <w:tab w:val="left" w:pos="4320"/>
        </w:tabs>
      </w:pPr>
      <w:r>
        <w:tab/>
        <w:t xml:space="preserve">Angela </w:t>
      </w:r>
      <w:r w:rsidR="00B559AA">
        <w:t xml:space="preserve">D. </w:t>
      </w:r>
      <w:r>
        <w:t>O’Brien</w:t>
      </w:r>
    </w:p>
    <w:p w:rsidR="00B52F65" w14:paraId="61EC04A1" w14:textId="64DEC6E3">
      <w:pPr>
        <w:tabs>
          <w:tab w:val="left" w:pos="4320"/>
        </w:tabs>
      </w:pPr>
      <w:r>
        <w:tab/>
        <w:t>Assistant Consumers’ Counsel</w:t>
      </w:r>
    </w:p>
    <w:p w:rsidR="0000110D" w14:paraId="5180D24C" w14:textId="77777777">
      <w:pPr>
        <w:tabs>
          <w:tab w:val="left" w:pos="4320"/>
        </w:tabs>
      </w:pPr>
    </w:p>
    <w:p w:rsidR="00B52F65" w14:paraId="367A86E8" w14:textId="77777777">
      <w:pPr>
        <w:pStyle w:val="CommentSubject"/>
      </w:pPr>
    </w:p>
    <w:p w:rsidR="005B331B" w:rsidP="0060598B" w14:paraId="4865252F" w14:textId="77777777">
      <w:r>
        <w:t>The PUCO’s e-filing system will electronically serve notice of the filing of this document on the following parties:</w:t>
      </w:r>
    </w:p>
    <w:p w:rsidR="00B52F65" w14:paraId="159633C6" w14:textId="77777777">
      <w:pPr>
        <w:pStyle w:val="CommentText"/>
      </w:pPr>
    </w:p>
    <w:p w:rsidR="00B52F65" w14:paraId="3E4CDCF7" w14:textId="77777777">
      <w:pPr>
        <w:pStyle w:val="CommentText"/>
        <w:jc w:val="center"/>
        <w:rPr>
          <w:b/>
          <w:u w:val="single"/>
        </w:rPr>
      </w:pPr>
      <w:r>
        <w:rPr>
          <w:b/>
          <w:u w:val="single"/>
        </w:rPr>
        <w:t>SERVICE LIST</w:t>
      </w:r>
    </w:p>
    <w:p w:rsidR="00B52F65" w14:paraId="25C5C5C0" w14:textId="77777777">
      <w:pPr>
        <w:pStyle w:val="CommentText"/>
        <w:jc w:val="center"/>
        <w:rPr>
          <w:b/>
          <w:u w:val="single"/>
        </w:rPr>
      </w:pPr>
    </w:p>
    <w:p w:rsidR="00B52F65" w14:paraId="2F401E4F"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1BA20FA1" w14:textId="77777777" w:rsidTr="006A37D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B52F65" w14:paraId="0DA53CD7" w14:textId="755C4E6E">
            <w:pPr>
              <w:pStyle w:val="BodyText"/>
              <w:rPr>
                <w:bCs/>
              </w:rPr>
            </w:pPr>
            <w:hyperlink r:id="rId10" w:history="1">
              <w:r w:rsidRPr="00D75E84" w:rsidR="006A37D6">
                <w:rPr>
                  <w:rStyle w:val="Hyperlink"/>
                  <w:bCs/>
                </w:rPr>
                <w:t>John.jones@ohioattorneygeneral.gov</w:t>
              </w:r>
            </w:hyperlink>
          </w:p>
          <w:p w:rsidR="0089543E" w14:paraId="20BCFA01" w14:textId="77777777">
            <w:pPr>
              <w:pStyle w:val="BodyText"/>
              <w:rPr>
                <w:bCs/>
              </w:rPr>
            </w:pPr>
          </w:p>
          <w:p w:rsidR="0089543E" w14:paraId="2A302A9B" w14:textId="69503FE0">
            <w:pPr>
              <w:pStyle w:val="BodyText"/>
              <w:rPr>
                <w:bCs/>
              </w:rPr>
            </w:pPr>
            <w:r>
              <w:rPr>
                <w:bCs/>
              </w:rPr>
              <w:t>Attorney Examiner:</w:t>
            </w:r>
          </w:p>
          <w:p w:rsidR="0089543E" w14:paraId="46AF70E8" w14:textId="77777777">
            <w:pPr>
              <w:pStyle w:val="BodyText"/>
              <w:rPr>
                <w:bCs/>
              </w:rPr>
            </w:pPr>
          </w:p>
          <w:p w:rsidR="0089543E" w14:paraId="4E1E9699" w14:textId="57907E62">
            <w:pPr>
              <w:pStyle w:val="BodyText"/>
              <w:rPr>
                <w:bCs/>
              </w:rPr>
            </w:pPr>
            <w:hyperlink r:id="rId11" w:history="1">
              <w:r w:rsidRPr="00D75E84" w:rsidR="006A37D6">
                <w:rPr>
                  <w:rStyle w:val="Hyperlink"/>
                  <w:bCs/>
                </w:rPr>
                <w:t>Daniel.fullin@puco.ohio.gov</w:t>
              </w:r>
            </w:hyperlink>
          </w:p>
          <w:p w:rsidR="006A37D6" w:rsidRPr="0091434C" w14:paraId="6BA6411C" w14:textId="7139B696">
            <w:pPr>
              <w:pStyle w:val="BodyText"/>
              <w:rPr>
                <w:bCs/>
              </w:rPr>
            </w:pPr>
          </w:p>
        </w:tc>
        <w:tc>
          <w:tcPr>
            <w:tcW w:w="4315" w:type="dxa"/>
          </w:tcPr>
          <w:p w:rsidR="00F44221" w14:paraId="62F2D0A1" w14:textId="0B9240CA">
            <w:pPr>
              <w:pStyle w:val="BodyText"/>
              <w:rPr>
                <w:bCs/>
              </w:rPr>
            </w:pPr>
            <w:hyperlink r:id="rId12" w:history="1">
              <w:r w:rsidRPr="00D75E84" w:rsidR="006A37D6">
                <w:rPr>
                  <w:rStyle w:val="Hyperlink"/>
                  <w:bCs/>
                </w:rPr>
                <w:t>kwhite@sparkenergy.com</w:t>
              </w:r>
            </w:hyperlink>
          </w:p>
          <w:p w:rsidR="006A37D6" w:rsidRPr="00C50C5C" w14:paraId="473C5011" w14:textId="5C18B0A3">
            <w:pPr>
              <w:pStyle w:val="BodyText"/>
              <w:rPr>
                <w:rStyle w:val="Hyperlink"/>
              </w:rPr>
            </w:pPr>
            <w:r w:rsidRPr="00C50C5C">
              <w:rPr>
                <w:rStyle w:val="Hyperlink"/>
              </w:rPr>
              <w:t>mleclerc@sparkenergy.com</w:t>
            </w:r>
          </w:p>
          <w:p w:rsidR="00C50C5C" w:rsidRPr="00A001C4" w14:paraId="3A3D3927" w14:textId="2C5B54BB">
            <w:pPr>
              <w:pStyle w:val="BodyText"/>
              <w:rPr>
                <w:rStyle w:val="Hyperlink"/>
              </w:rPr>
            </w:pPr>
            <w:r w:rsidRPr="00A001C4">
              <w:rPr>
                <w:rStyle w:val="Hyperlink"/>
              </w:rPr>
              <w:t>akeene@sparkenergy.com</w:t>
            </w:r>
          </w:p>
          <w:p w:rsidR="00F44221" w:rsidRPr="00E30D7C" w14:paraId="56332205" w14:textId="77777777">
            <w:pPr>
              <w:pStyle w:val="BodyText"/>
              <w:rPr>
                <w:rStyle w:val="Hyperlink"/>
              </w:rPr>
            </w:pPr>
            <w:r w:rsidRPr="00E30D7C">
              <w:rPr>
                <w:rStyle w:val="Hyperlink"/>
              </w:rPr>
              <w:t>dproano@bakerlaw.com</w:t>
            </w:r>
          </w:p>
          <w:p w:rsidR="00E30D7C" w:rsidRPr="00E30D7C" w14:paraId="41C0D9D5" w14:textId="77777777">
            <w:pPr>
              <w:pStyle w:val="BodyText"/>
              <w:rPr>
                <w:rStyle w:val="Hyperlink"/>
              </w:rPr>
            </w:pPr>
            <w:r w:rsidRPr="00E30D7C">
              <w:rPr>
                <w:rStyle w:val="Hyperlink"/>
              </w:rPr>
              <w:t>kkash@bakerlaw.com</w:t>
            </w:r>
          </w:p>
          <w:p w:rsidR="00E30D7C" w:rsidRPr="00E30D7C" w14:paraId="0DE42B06" w14:textId="77777777">
            <w:pPr>
              <w:pStyle w:val="BodyText"/>
              <w:rPr>
                <w:rStyle w:val="Hyperlink"/>
              </w:rPr>
            </w:pPr>
            <w:r w:rsidRPr="00E30D7C">
              <w:rPr>
                <w:rStyle w:val="Hyperlink"/>
              </w:rPr>
              <w:t>dlemon@bakerlaw.com</w:t>
            </w:r>
          </w:p>
          <w:p w:rsidR="00E30D7C" w:rsidRPr="00E30D7C" w14:paraId="4D3F8539" w14:textId="77777777">
            <w:pPr>
              <w:pStyle w:val="BodyText"/>
              <w:rPr>
                <w:rStyle w:val="Hyperlink"/>
              </w:rPr>
            </w:pPr>
            <w:r w:rsidRPr="00E30D7C">
              <w:rPr>
                <w:rStyle w:val="Hyperlink"/>
              </w:rPr>
              <w:t>tathompson@bakerlaw.com</w:t>
            </w:r>
          </w:p>
          <w:p w:rsidR="00E30D7C" w:rsidRPr="0091434C" w14:paraId="3C5B74F1" w14:textId="52A634AC">
            <w:pPr>
              <w:pStyle w:val="BodyText"/>
              <w:rPr>
                <w:bCs/>
              </w:rPr>
            </w:pPr>
          </w:p>
        </w:tc>
      </w:tr>
    </w:tbl>
    <w:p w:rsidR="00B52F65" w14:paraId="333E514E" w14:textId="77777777">
      <w:pPr>
        <w:pStyle w:val="BodyText"/>
        <w:rPr>
          <w:b/>
          <w:bCs/>
        </w:rPr>
      </w:pPr>
    </w:p>
    <w:sectPr w:rsidSect="0060598B">
      <w:footerReference w:type="first" r:id="rId13"/>
      <w:pgSz w:w="12240" w:h="15840"/>
      <w:pgMar w:top="1440" w:right="1800" w:bottom="1440" w:left="1800" w:header="720" w:footer="720" w:gutter="0"/>
      <w:pgNumType w:start="2"/>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1736825"/>
      <w:docPartObj>
        <w:docPartGallery w:val="Page Numbers (Bottom of Page)"/>
        <w:docPartUnique/>
      </w:docPartObj>
    </w:sdtPr>
    <w:sdtEndPr>
      <w:rPr>
        <w:noProof/>
        <w:sz w:val="24"/>
        <w:szCs w:val="24"/>
      </w:rPr>
    </w:sdtEndPr>
    <w:sdtContent>
      <w:p w:rsidR="0060598B" w:rsidRPr="0060598B" w14:paraId="6C11BAAB" w14:textId="6A40EA58">
        <w:pPr>
          <w:pStyle w:val="Footer"/>
          <w:jc w:val="center"/>
          <w:rPr>
            <w:sz w:val="24"/>
            <w:szCs w:val="24"/>
          </w:rPr>
        </w:pPr>
        <w:r w:rsidRPr="0060598B">
          <w:rPr>
            <w:sz w:val="24"/>
            <w:szCs w:val="24"/>
          </w:rPr>
          <w:fldChar w:fldCharType="begin"/>
        </w:r>
        <w:r w:rsidRPr="0060598B">
          <w:rPr>
            <w:sz w:val="24"/>
            <w:szCs w:val="24"/>
          </w:rPr>
          <w:instrText xml:space="preserve"> PAGE   \* MERGEFORMAT </w:instrText>
        </w:r>
        <w:r w:rsidRPr="0060598B">
          <w:rPr>
            <w:sz w:val="24"/>
            <w:szCs w:val="24"/>
          </w:rPr>
          <w:fldChar w:fldCharType="separate"/>
        </w:r>
        <w:r w:rsidR="00A1707B">
          <w:rPr>
            <w:noProof/>
            <w:sz w:val="24"/>
            <w:szCs w:val="24"/>
          </w:rPr>
          <w:t>8</w:t>
        </w:r>
        <w:r w:rsidRPr="0060598B">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598B" w:rsidRPr="0060598B" w14:paraId="0B6B5125" w14:textId="76A71026">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4625951"/>
      <w:docPartObj>
        <w:docPartGallery w:val="Page Numbers (Bottom of Page)"/>
        <w:docPartUnique/>
      </w:docPartObj>
    </w:sdtPr>
    <w:sdtEndPr>
      <w:rPr>
        <w:noProof/>
      </w:rPr>
    </w:sdtEndPr>
    <w:sdtContent>
      <w:p w:rsidR="00D971A3" w14:paraId="0D11F113" w14:textId="12EDA8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5F98" w14:paraId="1A4A4746" w14:textId="77777777">
      <w:r>
        <w:separator/>
      </w:r>
    </w:p>
  </w:footnote>
  <w:footnote w:type="continuationSeparator" w:id="1">
    <w:p w:rsidR="003A5F98" w14:paraId="5AE29DA3" w14:textId="77777777">
      <w:r>
        <w:continuationSeparator/>
      </w:r>
    </w:p>
  </w:footnote>
  <w:footnote w:id="2">
    <w:p w:rsidR="006309C5" w:rsidP="002A2129" w14:paraId="6A4AC180" w14:textId="2838EC5B">
      <w:pPr>
        <w:pStyle w:val="FootnoteText"/>
        <w:spacing w:after="120"/>
      </w:pPr>
      <w:r>
        <w:rPr>
          <w:rStyle w:val="FootnoteReference"/>
        </w:rPr>
        <w:footnoteRef/>
      </w:r>
      <w:r>
        <w:t xml:space="preserve"> </w:t>
      </w:r>
      <w:r w:rsidR="00F363B6">
        <w:rPr>
          <w:i/>
          <w:iCs/>
        </w:rPr>
        <w:t>In the Matter of the Commission’s Investigation into Verde Energy USA Ohio, LLC’s Compliance with the Ohio Administrative Code and Potential Remedial Actions for Non-Compliance</w:t>
      </w:r>
      <w:r w:rsidR="00F363B6">
        <w:t>,</w:t>
      </w:r>
      <w:r w:rsidR="00F363B6">
        <w:rPr>
          <w:i/>
          <w:iCs/>
        </w:rPr>
        <w:t xml:space="preserve"> </w:t>
      </w:r>
      <w:r w:rsidR="00F363B6">
        <w:t>Case No. 19-0958-GE-COI, Staff Report (May 29, 2019) (“Staff Report”), at 27.</w:t>
      </w:r>
    </w:p>
  </w:footnote>
  <w:footnote w:id="3">
    <w:p w:rsidR="00ED3B89" w:rsidP="002A2129" w14:paraId="23FB5E9A" w14:textId="2AD01562">
      <w:pPr>
        <w:pStyle w:val="FootnoteText"/>
        <w:spacing w:after="120"/>
      </w:pPr>
      <w:r>
        <w:rPr>
          <w:rStyle w:val="FootnoteReference"/>
        </w:rPr>
        <w:footnoteRef/>
      </w:r>
      <w:r>
        <w:t xml:space="preserve"> </w:t>
      </w:r>
      <w:r>
        <w:rPr>
          <w:i/>
          <w:iCs/>
        </w:rPr>
        <w:t>In the Matter of the Commission’s Investigation into Verde Energy USA Ohio, LLC’s Compliance with the Ohio Administrative Code and Potential Remedial Actions for Non-Compliance</w:t>
      </w:r>
      <w:r>
        <w:t>,</w:t>
      </w:r>
      <w:r>
        <w:rPr>
          <w:i/>
          <w:iCs/>
        </w:rPr>
        <w:t xml:space="preserve"> </w:t>
      </w:r>
      <w:r>
        <w:t>Case No. 19-0958-GE-COI, Initial Post-Hearing Brief of Interstate Gas Supply, Inc., at 3.</w:t>
      </w:r>
    </w:p>
  </w:footnote>
  <w:footnote w:id="4">
    <w:p w:rsidR="00ED3B89" w:rsidP="002A2129" w14:paraId="5FB26CEA" w14:textId="1BAA2619">
      <w:pPr>
        <w:pStyle w:val="FootnoteText"/>
        <w:spacing w:after="120"/>
      </w:pPr>
      <w:r>
        <w:rPr>
          <w:rStyle w:val="FootnoteReference"/>
        </w:rPr>
        <w:footnoteRef/>
      </w:r>
      <w:r>
        <w:t xml:space="preserve"> </w:t>
      </w:r>
      <w:r w:rsidR="00FE0569">
        <w:rPr>
          <w:i/>
          <w:iCs/>
        </w:rPr>
        <w:t>In the Matter of the Commission’s Investigation into Verde Energy USA Ohio, LLC’s Compliance with the Ohio Administrative Code and Potential Remedial Actions for Non-Compliance</w:t>
      </w:r>
      <w:r w:rsidR="00FE0569">
        <w:t xml:space="preserve">, </w:t>
      </w:r>
      <w:r>
        <w:t>Case No. 19-0958-GE-COI, Joint Stipulation and Recommendation, at 3.</w:t>
      </w:r>
    </w:p>
  </w:footnote>
  <w:footnote w:id="5">
    <w:p w:rsidR="00AF2BFD" w:rsidP="002A2129" w14:paraId="1719890F" w14:textId="28C4AFC6">
      <w:pPr>
        <w:pStyle w:val="FootnoteText"/>
        <w:spacing w:after="120"/>
      </w:pPr>
      <w:r>
        <w:rPr>
          <w:rStyle w:val="FootnoteReference"/>
        </w:rPr>
        <w:footnoteRef/>
      </w:r>
      <w:r w:rsidR="00110037">
        <w:t xml:space="preserve"> </w:t>
      </w:r>
      <w:r w:rsidR="002F5E90">
        <w:t>Attorney Examiner</w:t>
      </w:r>
      <w:r w:rsidR="002F5E90">
        <w:rPr>
          <w:i/>
          <w:iCs/>
        </w:rPr>
        <w:t xml:space="preserve"> </w:t>
      </w:r>
      <w:r w:rsidR="002F5E90">
        <w:t>Entry (Dec</w:t>
      </w:r>
      <w:r w:rsidR="002A2129">
        <w:t>ember</w:t>
      </w:r>
      <w:r w:rsidR="002F5E90">
        <w:t xml:space="preserve"> 4, 2019).</w:t>
      </w:r>
    </w:p>
  </w:footnote>
  <w:footnote w:id="6">
    <w:p w:rsidR="00AF2BFD" w:rsidP="002A2129" w14:paraId="4C0832A5" w14:textId="708CF748">
      <w:pPr>
        <w:pStyle w:val="FootnoteText"/>
        <w:spacing w:after="120"/>
      </w:pPr>
      <w:r>
        <w:rPr>
          <w:rStyle w:val="FootnoteReference"/>
        </w:rPr>
        <w:footnoteRef/>
      </w:r>
      <w:r>
        <w:t xml:space="preserve"> On April 16, 2019, the PUCO Staff filed a letter </w:t>
      </w:r>
      <w:r w:rsidRPr="007A7105">
        <w:rPr>
          <w:i/>
          <w:iCs/>
        </w:rPr>
        <w:t xml:space="preserve">in this </w:t>
      </w:r>
      <w:r>
        <w:rPr>
          <w:i/>
          <w:iCs/>
        </w:rPr>
        <w:t xml:space="preserve">docket </w:t>
      </w:r>
      <w:r>
        <w:t>stating that Verde (1) used inaccurate caller identification information, (2) used robo-calling with automated messages including misleading and deceptive information, (3) provided misleading information during telemarketing solicitations, (4) was unclear in providing its terms and conditions of service to customers, (5) could not provide signed contracts for customers enrolled via door-to-door sales, (6) completed third-party verifications without the necessary requirements, and (7) failed to send expiration notices to customers.</w:t>
      </w:r>
    </w:p>
  </w:footnote>
  <w:footnote w:id="7">
    <w:p w:rsidR="00FD7B83" w:rsidP="002A2129" w14:paraId="05FEBD76" w14:textId="6AF787FB">
      <w:pPr>
        <w:pStyle w:val="FootnoteText"/>
        <w:spacing w:after="120"/>
      </w:pPr>
      <w:r>
        <w:rPr>
          <w:rStyle w:val="FootnoteReference"/>
        </w:rPr>
        <w:footnoteRef/>
      </w:r>
      <w:r>
        <w:t xml:space="preserve"> Verde Renewal Application, at p. 4 (Response to A-13).</w:t>
      </w:r>
    </w:p>
  </w:footnote>
  <w:footnote w:id="8">
    <w:p w:rsidR="003346CD" w:rsidP="002A2129" w14:paraId="35136935" w14:textId="7E178337">
      <w:pPr>
        <w:pStyle w:val="FootnoteText"/>
        <w:spacing w:after="120"/>
      </w:pPr>
      <w:r>
        <w:rPr>
          <w:rStyle w:val="FootnoteReference"/>
        </w:rPr>
        <w:footnoteRef/>
      </w:r>
      <w:r>
        <w:t xml:space="preserve"> </w:t>
      </w:r>
      <w:r w:rsidR="00FE0569">
        <w:rPr>
          <w:i/>
          <w:iCs/>
        </w:rPr>
        <w:t>In the Matter of the Commission’s Investigation into Verde Energy USA Ohio, LLC’s Compliance with the Ohio Administrative Code and Potential Remedial Actions for Non-Compliance</w:t>
      </w:r>
      <w:r w:rsidR="00FE0569">
        <w:t>,</w:t>
      </w:r>
      <w:r>
        <w:t xml:space="preserve"> Case No. 19-0958-GE-COI, Joint Stipulation and Recommendation, at 4 (Verde’s re-rate under its settlement with the PUCO Staff is limited only to electric residential customers.)</w:t>
      </w:r>
      <w:r w:rsidR="00D971A3">
        <w:t>.</w:t>
      </w:r>
    </w:p>
  </w:footnote>
  <w:footnote w:id="9">
    <w:p w:rsidR="00C35C7E" w:rsidP="002A2129" w14:paraId="11CAEDC9" w14:textId="1D778ADD">
      <w:pPr>
        <w:pStyle w:val="FootnoteText"/>
        <w:spacing w:after="120"/>
      </w:pPr>
      <w:r>
        <w:rPr>
          <w:rStyle w:val="FootnoteReference"/>
        </w:rPr>
        <w:footnoteRef/>
      </w:r>
      <w:r>
        <w:t xml:space="preserve"> </w:t>
      </w:r>
      <w:r>
        <w:rPr>
          <w:i/>
        </w:rPr>
        <w:t>Ohio Consumers’ Counsel v. Pub. Util. Comm</w:t>
      </w:r>
      <w:r>
        <w:t>., 111 Ohio St.3d 384, 2006-Ohio-5853, ¶20 (2006) (</w:t>
      </w:r>
      <w:r w:rsidR="00397F54">
        <w:t>e</w:t>
      </w:r>
      <w:r>
        <w:t>mphasis added).</w:t>
      </w:r>
    </w:p>
  </w:footnote>
  <w:footnote w:id="10">
    <w:p w:rsidR="00C35C7E" w:rsidP="002A2129" w14:paraId="3110FC48" w14:textId="77777777">
      <w:pPr>
        <w:pStyle w:val="FootnoteText"/>
        <w:spacing w:after="120"/>
      </w:pPr>
      <w:r>
        <w:rPr>
          <w:rStyle w:val="FootnoteReference"/>
        </w:rPr>
        <w:footnoteRef/>
      </w:r>
      <w:r>
        <w:t xml:space="preserve"> </w:t>
      </w:r>
      <w:r>
        <w:rPr>
          <w:i/>
        </w:rPr>
        <w:t>Id.</w:t>
      </w:r>
    </w:p>
  </w:footnote>
  <w:footnote w:id="11">
    <w:p w:rsidR="00231BA4" w:rsidP="002A2129" w14:paraId="40C0C62F" w14:textId="6E922737">
      <w:pPr>
        <w:pStyle w:val="FootnoteText"/>
        <w:spacing w:after="120"/>
      </w:pPr>
      <w:r>
        <w:rPr>
          <w:rStyle w:val="FootnoteReference"/>
        </w:rPr>
        <w:footnoteRef/>
      </w:r>
      <w:r>
        <w:t xml:space="preserve"> Verde Memorandum Contra (Dec</w:t>
      </w:r>
      <w:r w:rsidR="002A2129">
        <w:t>ember</w:t>
      </w:r>
      <w:r>
        <w:t xml:space="preserve"> 6, 2019) at 4-5.</w:t>
      </w:r>
    </w:p>
  </w:footnote>
  <w:footnote w:id="12">
    <w:p w:rsidR="00BB7CC7" w14:paraId="0169A869" w14:textId="4054D83F">
      <w:pPr>
        <w:pStyle w:val="FootnoteText"/>
      </w:pPr>
      <w:r>
        <w:rPr>
          <w:rStyle w:val="FootnoteReference"/>
        </w:rPr>
        <w:footnoteRef/>
      </w:r>
      <w:r>
        <w:t xml:space="preserve"> </w:t>
      </w:r>
      <w:r>
        <w:rPr>
          <w:szCs w:val="24"/>
        </w:rPr>
        <w:t>R.C. 4903.221</w:t>
      </w:r>
      <w:r w:rsidR="00ED358A">
        <w:rPr>
          <w:szCs w:val="24"/>
        </w:rPr>
        <w:t>.</w:t>
      </w:r>
    </w:p>
  </w:footnote>
  <w:footnote w:id="13">
    <w:p w:rsidR="0086369F" w:rsidRPr="00894375" w:rsidP="002A2129" w14:paraId="1714523E" w14:textId="4D1023F2">
      <w:pPr>
        <w:pStyle w:val="FootnoteText"/>
        <w:spacing w:after="120"/>
      </w:pPr>
      <w:r>
        <w:rPr>
          <w:rStyle w:val="FootnoteReference"/>
        </w:rPr>
        <w:footnoteRef/>
      </w:r>
      <w:r>
        <w:t xml:space="preserve"> </w:t>
      </w:r>
      <w:r>
        <w:rPr>
          <w:i/>
          <w:iCs/>
        </w:rPr>
        <w:t xml:space="preserve">See e.g. </w:t>
      </w:r>
      <w:r w:rsidRPr="00894375" w:rsidR="00894375">
        <w:rPr>
          <w:i/>
          <w:iCs/>
          <w:szCs w:val="24"/>
        </w:rPr>
        <w:t>In the Matter of the Application of Dayton Power and Light Company for Extension of Its Distribution Modernization Rider</w:t>
      </w:r>
      <w:r w:rsidR="00894375">
        <w:rPr>
          <w:szCs w:val="24"/>
        </w:rPr>
        <w:t xml:space="preserve">, Case No. 19-0162-EL-RDR and </w:t>
      </w:r>
      <w:r w:rsidR="00894375">
        <w:rPr>
          <w:i/>
          <w:iCs/>
          <w:szCs w:val="24"/>
        </w:rPr>
        <w:t>In the Matter of the Application of Dayton Power &amp; Light Company for Approval of its Electric Security Plan</w:t>
      </w:r>
      <w:r w:rsidR="00894375">
        <w:rPr>
          <w:szCs w:val="24"/>
        </w:rPr>
        <w:t xml:space="preserve">, Case No. 16-0395-EL-SSO; </w:t>
      </w:r>
      <w:r w:rsidR="00D730F0">
        <w:rPr>
          <w:i/>
          <w:iCs/>
          <w:szCs w:val="24"/>
        </w:rPr>
        <w:t xml:space="preserve">See also </w:t>
      </w:r>
      <w:r w:rsidR="00894375">
        <w:rPr>
          <w:i/>
          <w:iCs/>
          <w:szCs w:val="24"/>
        </w:rPr>
        <w:t>In the Matter of the Application of Ohio Edison Company, the Cleveland Electric Illuminating Company, and the Toledo Edison Company for Authority to Provide for a Standard Service Offer Pursuant to R.</w:t>
      </w:r>
      <w:r w:rsidR="00D730F0">
        <w:rPr>
          <w:i/>
          <w:iCs/>
          <w:szCs w:val="24"/>
        </w:rPr>
        <w:t>C</w:t>
      </w:r>
      <w:r w:rsidR="00894375">
        <w:rPr>
          <w:i/>
          <w:iCs/>
          <w:szCs w:val="24"/>
        </w:rPr>
        <w:t>. 4928.143 in the Form of an Electric Security Plan</w:t>
      </w:r>
      <w:r w:rsidR="00894375">
        <w:rPr>
          <w:szCs w:val="24"/>
        </w:rPr>
        <w:t xml:space="preserve">, Case No. 14-1297-EL-SSO and </w:t>
      </w:r>
      <w:r w:rsidR="00894375">
        <w:rPr>
          <w:i/>
          <w:iCs/>
          <w:szCs w:val="24"/>
        </w:rPr>
        <w:t>In the Matter of the Application of Ohio Edison Company, the Cleveland Electric Illuminating Company and the Toledo Edison Company for an Extension of the Distribution Modernization Rider</w:t>
      </w:r>
      <w:r w:rsidR="00894375">
        <w:rPr>
          <w:szCs w:val="24"/>
        </w:rPr>
        <w:t>, Case No. 19-</w:t>
      </w:r>
      <w:r w:rsidR="00AE551A">
        <w:rPr>
          <w:szCs w:val="24"/>
        </w:rPr>
        <w:t>0</w:t>
      </w:r>
      <w:r w:rsidR="00894375">
        <w:rPr>
          <w:szCs w:val="24"/>
        </w:rPr>
        <w:t>361-EL-RDR.</w:t>
      </w:r>
    </w:p>
  </w:footnote>
  <w:footnote w:id="14">
    <w:p w:rsidR="004B69AE" w:rsidRPr="004B69AE" w:rsidP="002A2129" w14:paraId="159E180C" w14:textId="77F762BC">
      <w:pPr>
        <w:pStyle w:val="FootnoteText"/>
        <w:spacing w:after="120"/>
      </w:pPr>
      <w:r>
        <w:rPr>
          <w:rStyle w:val="FootnoteReference"/>
        </w:rPr>
        <w:footnoteRef/>
      </w:r>
      <w:r>
        <w:t xml:space="preserve"> The </w:t>
      </w:r>
      <w:r>
        <w:rPr>
          <w:i/>
        </w:rPr>
        <w:t xml:space="preserve">revocation </w:t>
      </w:r>
      <w:r w:rsidRPr="00B01B51">
        <w:t>of Verde’s certificate was one of the p</w:t>
      </w:r>
      <w:r w:rsidR="00EB5DBE">
        <w:t>ro</w:t>
      </w:r>
      <w:r w:rsidRPr="00B01B51">
        <w:t>posed penalties in the</w:t>
      </w:r>
      <w:r w:rsidR="00EB5DBE">
        <w:t xml:space="preserve"> Verde Investigation</w:t>
      </w:r>
      <w:r w:rsidRPr="00E97B5E">
        <w:rPr>
          <w:i/>
          <w:iCs/>
        </w:rPr>
        <w:t>.</w:t>
      </w:r>
      <w:r w:rsidRPr="00B01B51">
        <w:t xml:space="preserve"> </w:t>
      </w:r>
      <w:r w:rsidRPr="00E97B5E" w:rsidR="00EB5DBE">
        <w:rPr>
          <w:i/>
          <w:iCs/>
        </w:rPr>
        <w:t>See</w:t>
      </w:r>
      <w:r w:rsidR="00EB5DBE">
        <w:t xml:space="preserve"> Staff Report</w:t>
      </w:r>
      <w:r w:rsidR="006309C5">
        <w:t>, at 25.</w:t>
      </w:r>
      <w:r w:rsidR="00110037">
        <w:t xml:space="preserve"> </w:t>
      </w:r>
      <w:r>
        <w:t xml:space="preserve">Here it is </w:t>
      </w:r>
      <w:r w:rsidRPr="00B01B51">
        <w:rPr>
          <w:i/>
          <w:iCs/>
        </w:rPr>
        <w:t>Verde’s burden</w:t>
      </w:r>
      <w:r>
        <w:t xml:space="preserve"> to show it is fit for a certificate</w:t>
      </w:r>
      <w:r w:rsidR="00865ACA">
        <w:t xml:space="preserve">, a burden that Verde does not meet. </w:t>
      </w:r>
    </w:p>
  </w:footnote>
  <w:footnote w:id="15">
    <w:p w:rsidR="00901A32" w:rsidP="002A2129" w14:paraId="33E5BA86" w14:textId="58056125">
      <w:pPr>
        <w:pStyle w:val="FootnoteText"/>
        <w:spacing w:after="120"/>
      </w:pPr>
      <w:r>
        <w:rPr>
          <w:rStyle w:val="FootnoteReference"/>
        </w:rPr>
        <w:footnoteRef/>
      </w:r>
      <w:r>
        <w:t xml:space="preserve"> Verde Memorandum Contra, at 4.</w:t>
      </w:r>
    </w:p>
  </w:footnote>
  <w:footnote w:id="16">
    <w:p w:rsidR="006309C5" w:rsidP="002A2129" w14:paraId="5CE73795" w14:textId="616CAF2B">
      <w:pPr>
        <w:pStyle w:val="FootnoteText"/>
        <w:spacing w:after="120"/>
      </w:pPr>
      <w:r>
        <w:rPr>
          <w:rStyle w:val="FootnoteReference"/>
        </w:rPr>
        <w:footnoteRef/>
      </w:r>
      <w:r>
        <w:t xml:space="preserve"> </w:t>
      </w:r>
      <w:r>
        <w:rPr>
          <w:i/>
        </w:rPr>
        <w:t>Ohio Consumers’ Counsel v. Pub. Util. Comm</w:t>
      </w:r>
      <w:r>
        <w:t>., 111 Ohio St.3d 384, 2006-Ohio-5853, ¶20 (2006) (emphasis added).</w:t>
      </w:r>
    </w:p>
  </w:footnote>
  <w:footnote w:id="17">
    <w:p w:rsidR="00C95C1A" w:rsidP="002A2129" w14:paraId="3D250D01" w14:textId="2188DF96">
      <w:pPr>
        <w:pStyle w:val="FootnoteText"/>
        <w:spacing w:after="120"/>
      </w:pPr>
      <w:r>
        <w:rPr>
          <w:rStyle w:val="FootnoteReference"/>
        </w:rPr>
        <w:footnoteRef/>
      </w:r>
      <w:r>
        <w:t xml:space="preserve"> Verde Renewal Application, at 4 (Response to A-13).</w:t>
      </w:r>
    </w:p>
  </w:footnote>
  <w:footnote w:id="18">
    <w:p w:rsidR="00D30B26" w:rsidP="002A2129" w14:paraId="4CE81CB4" w14:textId="1AF6449A">
      <w:pPr>
        <w:pStyle w:val="FootnoteText"/>
        <w:spacing w:after="120"/>
      </w:pPr>
      <w:r>
        <w:rPr>
          <w:rStyle w:val="FootnoteReference"/>
        </w:rPr>
        <w:footnoteRef/>
      </w:r>
      <w:r>
        <w:t xml:space="preserve"> Verde Memorandum Contra, at 4.</w:t>
      </w:r>
    </w:p>
  </w:footnote>
  <w:footnote w:id="19">
    <w:p w:rsidR="00AE551A" w:rsidP="002A2129" w14:paraId="5F7FA99D" w14:textId="77EC0AF9">
      <w:pPr>
        <w:pStyle w:val="FootnoteText"/>
        <w:spacing w:after="120"/>
      </w:pPr>
      <w:r>
        <w:rPr>
          <w:rStyle w:val="FootnoteReference"/>
        </w:rPr>
        <w:footnoteRef/>
      </w:r>
      <w:r>
        <w:t xml:space="preserve"> </w:t>
      </w:r>
      <w:r w:rsidR="00F363B6">
        <w:t xml:space="preserve">Attorney Examiner </w:t>
      </w:r>
      <w:r>
        <w:t>Entry (Dec</w:t>
      </w:r>
      <w:r w:rsidR="002A2129">
        <w:t>ember</w:t>
      </w:r>
      <w:r>
        <w:t xml:space="preserve"> 4, 2019).</w:t>
      </w:r>
    </w:p>
  </w:footnote>
  <w:footnote w:id="20">
    <w:p w:rsidR="00D30B26" w:rsidRPr="00D30B26" w:rsidP="002A2129" w14:paraId="3B330A78" w14:textId="50F27AA4">
      <w:pPr>
        <w:pStyle w:val="FootnoteText"/>
        <w:spacing w:after="120"/>
      </w:pPr>
      <w:r>
        <w:rPr>
          <w:rStyle w:val="FootnoteReference"/>
        </w:rPr>
        <w:footnoteRef/>
      </w:r>
      <w:r>
        <w:t xml:space="preserve"> </w:t>
      </w:r>
      <w:r>
        <w:rPr>
          <w:i/>
          <w:iCs/>
        </w:rPr>
        <w:t xml:space="preserve">See </w:t>
      </w:r>
      <w:r>
        <w:t xml:space="preserve">OCC </w:t>
      </w:r>
      <w:r w:rsidR="001F372C">
        <w:t>Motion to Intervene, at 9.</w:t>
      </w:r>
    </w:p>
  </w:footnote>
  <w:footnote w:id="21">
    <w:p w:rsidR="007A7105" w:rsidP="002A2129" w14:paraId="6111AFD4" w14:textId="13C7BFDC">
      <w:pPr>
        <w:pStyle w:val="FootnoteText"/>
        <w:spacing w:after="120"/>
      </w:pPr>
      <w:r>
        <w:rPr>
          <w:rStyle w:val="FootnoteReference"/>
        </w:rPr>
        <w:footnoteRef/>
      </w:r>
      <w:r>
        <w:t xml:space="preserve"> </w:t>
      </w:r>
      <w:r w:rsidR="002F5E90">
        <w:t>Staff Report</w:t>
      </w:r>
      <w:r>
        <w:t>, at 27.</w:t>
      </w:r>
    </w:p>
  </w:footnote>
  <w:footnote w:id="22">
    <w:p w:rsidR="0073453E" w:rsidP="002A2129" w14:paraId="3D005BDF" w14:textId="74B289E1">
      <w:pPr>
        <w:pStyle w:val="FootnoteText"/>
        <w:spacing w:after="120"/>
      </w:pPr>
      <w:r>
        <w:rPr>
          <w:rStyle w:val="FootnoteReference"/>
        </w:rPr>
        <w:footnoteRef/>
      </w:r>
      <w:r>
        <w:t xml:space="preserve"> </w:t>
      </w:r>
      <w:r>
        <w:rPr>
          <w:i/>
          <w:iCs/>
        </w:rPr>
        <w:t>In the Matter of the Commission’s Investigation into Verde Energy USA Ohio, LLC’s Compliance with the Ohio Administrative Code and Potential Remedial Actions for Non-Compliance</w:t>
      </w:r>
      <w:r>
        <w:t>,</w:t>
      </w:r>
      <w:r>
        <w:rPr>
          <w:i/>
          <w:iCs/>
        </w:rPr>
        <w:t xml:space="preserve"> </w:t>
      </w:r>
      <w:r>
        <w:t>Case No. 19-0958-GE-COI, Initial Post-Hearing Brief of Interstate Gas Supply, Inc.</w:t>
      </w:r>
      <w:r w:rsidR="00365412">
        <w:t>, at 3.</w:t>
      </w:r>
    </w:p>
  </w:footnote>
  <w:footnote w:id="23">
    <w:p w:rsidR="00A802D6" w:rsidP="00ED358A" w14:paraId="5EC1E6C9" w14:textId="11F8BB16">
      <w:pPr>
        <w:pStyle w:val="FootnoteText"/>
        <w:spacing w:after="120"/>
      </w:pPr>
      <w:r>
        <w:rPr>
          <w:rStyle w:val="FootnoteReference"/>
        </w:rPr>
        <w:footnoteRef/>
      </w:r>
      <w:r>
        <w:t xml:space="preserve"> Ohio Adm. Code 4901:1-27-09(D) and Ohio Adm. Code 4901:1-27-13(E)(9).</w:t>
      </w:r>
    </w:p>
  </w:footnote>
  <w:footnote w:id="24">
    <w:p w:rsidR="000F389B" w:rsidP="00ED358A" w14:paraId="2F9E7A9A" w14:textId="006076F3">
      <w:pPr>
        <w:pStyle w:val="FootnoteText"/>
        <w:spacing w:after="120"/>
      </w:pPr>
      <w:r>
        <w:rPr>
          <w:rStyle w:val="FootnoteReference"/>
        </w:rPr>
        <w:footnoteRef/>
      </w:r>
      <w:r>
        <w:t xml:space="preserve"> Staff Report, at 5.</w:t>
      </w:r>
    </w:p>
  </w:footnote>
  <w:footnote w:id="25">
    <w:p w:rsidR="001A7452" w:rsidP="002A2129" w14:paraId="12D1D730" w14:textId="523530E8">
      <w:pPr>
        <w:pStyle w:val="FootnoteText"/>
        <w:spacing w:after="120"/>
      </w:pPr>
      <w:r>
        <w:rPr>
          <w:rStyle w:val="FootnoteReference"/>
        </w:rPr>
        <w:footnoteRef/>
      </w:r>
      <w:r>
        <w:t xml:space="preserve"> Verde Renewal Application, Exhibit B-4.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13817"/>
    <w:multiLevelType w:val="hybridMultilevel"/>
    <w:tmpl w:val="453EDB8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946555C"/>
    <w:multiLevelType w:val="hybridMultilevel"/>
    <w:tmpl w:val="610EBC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4046284"/>
    <w:multiLevelType w:val="hybridMultilevel"/>
    <w:tmpl w:val="4C5E3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5F0B67DB"/>
    <w:multiLevelType w:val="hybridMultilevel"/>
    <w:tmpl w:val="7EA640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5"/>
  </w:num>
  <w:num w:numId="2">
    <w:abstractNumId w:val="4"/>
  </w:num>
  <w:num w:numId="3">
    <w:abstractNumId w:val="8"/>
  </w:num>
  <w:num w:numId="4">
    <w:abstractNumId w:val="7"/>
  </w:num>
  <w:num w:numId="5">
    <w:abstractNumId w:val="1"/>
  </w:num>
  <w:num w:numId="6">
    <w:abstractNumId w:val="9"/>
  </w:num>
  <w:num w:numId="7">
    <w:abstractNumId w:val="2"/>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09"/>
    <w:rsid w:val="0000110D"/>
    <w:rsid w:val="000039FF"/>
    <w:rsid w:val="00016647"/>
    <w:rsid w:val="000202BF"/>
    <w:rsid w:val="00027501"/>
    <w:rsid w:val="00034CD8"/>
    <w:rsid w:val="000578A2"/>
    <w:rsid w:val="000635F2"/>
    <w:rsid w:val="0006609A"/>
    <w:rsid w:val="00066CF9"/>
    <w:rsid w:val="00091BC7"/>
    <w:rsid w:val="000925F8"/>
    <w:rsid w:val="000A3CAF"/>
    <w:rsid w:val="000B1BB1"/>
    <w:rsid w:val="000B7ED7"/>
    <w:rsid w:val="000C49E0"/>
    <w:rsid w:val="000E3CF4"/>
    <w:rsid w:val="000E6C64"/>
    <w:rsid w:val="000F0366"/>
    <w:rsid w:val="000F389B"/>
    <w:rsid w:val="000F5572"/>
    <w:rsid w:val="00106466"/>
    <w:rsid w:val="001077B5"/>
    <w:rsid w:val="00107DE7"/>
    <w:rsid w:val="00110037"/>
    <w:rsid w:val="001101EE"/>
    <w:rsid w:val="001151B9"/>
    <w:rsid w:val="001239CE"/>
    <w:rsid w:val="00131AF0"/>
    <w:rsid w:val="00131EDB"/>
    <w:rsid w:val="00151C2D"/>
    <w:rsid w:val="00160EA7"/>
    <w:rsid w:val="00162941"/>
    <w:rsid w:val="00163C30"/>
    <w:rsid w:val="00165BE8"/>
    <w:rsid w:val="00170460"/>
    <w:rsid w:val="001941E0"/>
    <w:rsid w:val="001A7091"/>
    <w:rsid w:val="001A7452"/>
    <w:rsid w:val="001B2ADD"/>
    <w:rsid w:val="001F1626"/>
    <w:rsid w:val="001F372C"/>
    <w:rsid w:val="0020516E"/>
    <w:rsid w:val="00210D25"/>
    <w:rsid w:val="00216EDE"/>
    <w:rsid w:val="00231BA4"/>
    <w:rsid w:val="00240621"/>
    <w:rsid w:val="002422D0"/>
    <w:rsid w:val="00247F58"/>
    <w:rsid w:val="002622B5"/>
    <w:rsid w:val="00262528"/>
    <w:rsid w:val="00263991"/>
    <w:rsid w:val="002803A7"/>
    <w:rsid w:val="00294557"/>
    <w:rsid w:val="00295113"/>
    <w:rsid w:val="002957C4"/>
    <w:rsid w:val="002A2129"/>
    <w:rsid w:val="002A4452"/>
    <w:rsid w:val="002C2434"/>
    <w:rsid w:val="002C40AA"/>
    <w:rsid w:val="002D185D"/>
    <w:rsid w:val="002E1127"/>
    <w:rsid w:val="002E4553"/>
    <w:rsid w:val="002E6880"/>
    <w:rsid w:val="002F3162"/>
    <w:rsid w:val="002F5E90"/>
    <w:rsid w:val="003122E4"/>
    <w:rsid w:val="003346CD"/>
    <w:rsid w:val="00337645"/>
    <w:rsid w:val="00337FD0"/>
    <w:rsid w:val="00340F51"/>
    <w:rsid w:val="0034156F"/>
    <w:rsid w:val="00344050"/>
    <w:rsid w:val="0035237D"/>
    <w:rsid w:val="00362EB8"/>
    <w:rsid w:val="00365412"/>
    <w:rsid w:val="003837A6"/>
    <w:rsid w:val="00391638"/>
    <w:rsid w:val="00397F54"/>
    <w:rsid w:val="003A42F4"/>
    <w:rsid w:val="003A5F98"/>
    <w:rsid w:val="003B1A4B"/>
    <w:rsid w:val="003C67FD"/>
    <w:rsid w:val="003D715D"/>
    <w:rsid w:val="003E2634"/>
    <w:rsid w:val="003F1EB8"/>
    <w:rsid w:val="003F4844"/>
    <w:rsid w:val="003F7530"/>
    <w:rsid w:val="00400B5C"/>
    <w:rsid w:val="00413A2B"/>
    <w:rsid w:val="0041483E"/>
    <w:rsid w:val="00417BBC"/>
    <w:rsid w:val="004317F7"/>
    <w:rsid w:val="004535A2"/>
    <w:rsid w:val="0045416D"/>
    <w:rsid w:val="004719C4"/>
    <w:rsid w:val="00473351"/>
    <w:rsid w:val="0049109A"/>
    <w:rsid w:val="0049214A"/>
    <w:rsid w:val="004A22C8"/>
    <w:rsid w:val="004A3D04"/>
    <w:rsid w:val="004A66B6"/>
    <w:rsid w:val="004A6984"/>
    <w:rsid w:val="004A6EE2"/>
    <w:rsid w:val="004B1662"/>
    <w:rsid w:val="004B69AE"/>
    <w:rsid w:val="004B7901"/>
    <w:rsid w:val="004D4C9B"/>
    <w:rsid w:val="004E1D79"/>
    <w:rsid w:val="004E44F4"/>
    <w:rsid w:val="004E7041"/>
    <w:rsid w:val="004E7DFC"/>
    <w:rsid w:val="00500B79"/>
    <w:rsid w:val="00501992"/>
    <w:rsid w:val="00503056"/>
    <w:rsid w:val="005356D7"/>
    <w:rsid w:val="00542E1F"/>
    <w:rsid w:val="00543D32"/>
    <w:rsid w:val="00544F0C"/>
    <w:rsid w:val="0054563D"/>
    <w:rsid w:val="00553AEB"/>
    <w:rsid w:val="0056206C"/>
    <w:rsid w:val="005637DC"/>
    <w:rsid w:val="00566CF1"/>
    <w:rsid w:val="00577318"/>
    <w:rsid w:val="00586ED4"/>
    <w:rsid w:val="0059231F"/>
    <w:rsid w:val="0059283C"/>
    <w:rsid w:val="00593F41"/>
    <w:rsid w:val="00594E90"/>
    <w:rsid w:val="005B331B"/>
    <w:rsid w:val="005B6B86"/>
    <w:rsid w:val="005D3F48"/>
    <w:rsid w:val="005D4737"/>
    <w:rsid w:val="005F1B61"/>
    <w:rsid w:val="005F2298"/>
    <w:rsid w:val="0060598B"/>
    <w:rsid w:val="00606D17"/>
    <w:rsid w:val="00611649"/>
    <w:rsid w:val="00614F1F"/>
    <w:rsid w:val="006309C5"/>
    <w:rsid w:val="006416B6"/>
    <w:rsid w:val="00641FA9"/>
    <w:rsid w:val="00646111"/>
    <w:rsid w:val="006511C0"/>
    <w:rsid w:val="0065689A"/>
    <w:rsid w:val="006629C4"/>
    <w:rsid w:val="00665C0A"/>
    <w:rsid w:val="006672FD"/>
    <w:rsid w:val="00670895"/>
    <w:rsid w:val="00683224"/>
    <w:rsid w:val="006859F7"/>
    <w:rsid w:val="006917C6"/>
    <w:rsid w:val="006A1716"/>
    <w:rsid w:val="006A37D6"/>
    <w:rsid w:val="006B450E"/>
    <w:rsid w:val="006B764D"/>
    <w:rsid w:val="006C2ACB"/>
    <w:rsid w:val="006D3179"/>
    <w:rsid w:val="006D4759"/>
    <w:rsid w:val="006D5580"/>
    <w:rsid w:val="006E569F"/>
    <w:rsid w:val="006F29E2"/>
    <w:rsid w:val="00700FB1"/>
    <w:rsid w:val="0070178C"/>
    <w:rsid w:val="007115BE"/>
    <w:rsid w:val="00711BAE"/>
    <w:rsid w:val="00716257"/>
    <w:rsid w:val="00731B26"/>
    <w:rsid w:val="007320F8"/>
    <w:rsid w:val="0073422D"/>
    <w:rsid w:val="0073453E"/>
    <w:rsid w:val="007677B3"/>
    <w:rsid w:val="00775A93"/>
    <w:rsid w:val="00785146"/>
    <w:rsid w:val="00786590"/>
    <w:rsid w:val="00791135"/>
    <w:rsid w:val="00791807"/>
    <w:rsid w:val="007A7105"/>
    <w:rsid w:val="007B068C"/>
    <w:rsid w:val="007B390B"/>
    <w:rsid w:val="007C14AA"/>
    <w:rsid w:val="007C560A"/>
    <w:rsid w:val="007D5AE5"/>
    <w:rsid w:val="007E2879"/>
    <w:rsid w:val="007E4AE3"/>
    <w:rsid w:val="007F08CC"/>
    <w:rsid w:val="007F2CC1"/>
    <w:rsid w:val="007F48D4"/>
    <w:rsid w:val="00804E49"/>
    <w:rsid w:val="00807AD7"/>
    <w:rsid w:val="00810BAE"/>
    <w:rsid w:val="00813CC3"/>
    <w:rsid w:val="00814057"/>
    <w:rsid w:val="008141BB"/>
    <w:rsid w:val="008310ED"/>
    <w:rsid w:val="0083591F"/>
    <w:rsid w:val="00850DC1"/>
    <w:rsid w:val="00851376"/>
    <w:rsid w:val="00854068"/>
    <w:rsid w:val="00861214"/>
    <w:rsid w:val="0086369F"/>
    <w:rsid w:val="00864D76"/>
    <w:rsid w:val="00865ACA"/>
    <w:rsid w:val="008673F7"/>
    <w:rsid w:val="00887AF3"/>
    <w:rsid w:val="00891815"/>
    <w:rsid w:val="0089369B"/>
    <w:rsid w:val="00894375"/>
    <w:rsid w:val="0089543E"/>
    <w:rsid w:val="00897771"/>
    <w:rsid w:val="008A5565"/>
    <w:rsid w:val="008C52F2"/>
    <w:rsid w:val="008C6A81"/>
    <w:rsid w:val="008D33BD"/>
    <w:rsid w:val="008D5052"/>
    <w:rsid w:val="008F7E3B"/>
    <w:rsid w:val="00901A32"/>
    <w:rsid w:val="00903CA0"/>
    <w:rsid w:val="0091434C"/>
    <w:rsid w:val="009151CC"/>
    <w:rsid w:val="009178AF"/>
    <w:rsid w:val="00926762"/>
    <w:rsid w:val="00936654"/>
    <w:rsid w:val="009472C8"/>
    <w:rsid w:val="00952D50"/>
    <w:rsid w:val="00973CAE"/>
    <w:rsid w:val="00975160"/>
    <w:rsid w:val="0097615C"/>
    <w:rsid w:val="0098629F"/>
    <w:rsid w:val="0099289D"/>
    <w:rsid w:val="009A4FA3"/>
    <w:rsid w:val="009B4E2A"/>
    <w:rsid w:val="009C7F6C"/>
    <w:rsid w:val="009D084F"/>
    <w:rsid w:val="009D18B3"/>
    <w:rsid w:val="009D274E"/>
    <w:rsid w:val="009D2D53"/>
    <w:rsid w:val="009E09EC"/>
    <w:rsid w:val="00A001C4"/>
    <w:rsid w:val="00A044B5"/>
    <w:rsid w:val="00A1018F"/>
    <w:rsid w:val="00A10E45"/>
    <w:rsid w:val="00A15EEC"/>
    <w:rsid w:val="00A1707B"/>
    <w:rsid w:val="00A23E08"/>
    <w:rsid w:val="00A267FA"/>
    <w:rsid w:val="00A31B5F"/>
    <w:rsid w:val="00A359A7"/>
    <w:rsid w:val="00A46FA3"/>
    <w:rsid w:val="00A53528"/>
    <w:rsid w:val="00A53900"/>
    <w:rsid w:val="00A567AB"/>
    <w:rsid w:val="00A571F3"/>
    <w:rsid w:val="00A65C52"/>
    <w:rsid w:val="00A7519A"/>
    <w:rsid w:val="00A76714"/>
    <w:rsid w:val="00A802D6"/>
    <w:rsid w:val="00A82729"/>
    <w:rsid w:val="00A94909"/>
    <w:rsid w:val="00AA31FB"/>
    <w:rsid w:val="00AA7BFC"/>
    <w:rsid w:val="00AB4CFB"/>
    <w:rsid w:val="00AC4753"/>
    <w:rsid w:val="00AC71FF"/>
    <w:rsid w:val="00AD45A5"/>
    <w:rsid w:val="00AE551A"/>
    <w:rsid w:val="00AF1EB7"/>
    <w:rsid w:val="00AF2BFD"/>
    <w:rsid w:val="00AF2D1E"/>
    <w:rsid w:val="00B01B51"/>
    <w:rsid w:val="00B05B8A"/>
    <w:rsid w:val="00B160ED"/>
    <w:rsid w:val="00B379B2"/>
    <w:rsid w:val="00B42956"/>
    <w:rsid w:val="00B44311"/>
    <w:rsid w:val="00B52F65"/>
    <w:rsid w:val="00B530FD"/>
    <w:rsid w:val="00B559AA"/>
    <w:rsid w:val="00B610EB"/>
    <w:rsid w:val="00B6528E"/>
    <w:rsid w:val="00B65A3A"/>
    <w:rsid w:val="00B720BD"/>
    <w:rsid w:val="00B8388D"/>
    <w:rsid w:val="00B86E90"/>
    <w:rsid w:val="00B958B3"/>
    <w:rsid w:val="00BB5292"/>
    <w:rsid w:val="00BB6F7A"/>
    <w:rsid w:val="00BB7CC7"/>
    <w:rsid w:val="00BC300C"/>
    <w:rsid w:val="00BC5B2C"/>
    <w:rsid w:val="00BC7D43"/>
    <w:rsid w:val="00BE3175"/>
    <w:rsid w:val="00BE7BD8"/>
    <w:rsid w:val="00BF33A8"/>
    <w:rsid w:val="00BF3703"/>
    <w:rsid w:val="00C00484"/>
    <w:rsid w:val="00C004D0"/>
    <w:rsid w:val="00C12096"/>
    <w:rsid w:val="00C20A2A"/>
    <w:rsid w:val="00C35C7E"/>
    <w:rsid w:val="00C50C5C"/>
    <w:rsid w:val="00C50CDA"/>
    <w:rsid w:val="00C616A6"/>
    <w:rsid w:val="00C635CD"/>
    <w:rsid w:val="00C65EDA"/>
    <w:rsid w:val="00C82B81"/>
    <w:rsid w:val="00C87E9D"/>
    <w:rsid w:val="00C9264C"/>
    <w:rsid w:val="00C94C4B"/>
    <w:rsid w:val="00C95C1A"/>
    <w:rsid w:val="00CA6832"/>
    <w:rsid w:val="00CE436B"/>
    <w:rsid w:val="00CE7CA5"/>
    <w:rsid w:val="00D03BB2"/>
    <w:rsid w:val="00D107F1"/>
    <w:rsid w:val="00D124EB"/>
    <w:rsid w:val="00D25518"/>
    <w:rsid w:val="00D30B26"/>
    <w:rsid w:val="00D3334C"/>
    <w:rsid w:val="00D33FB3"/>
    <w:rsid w:val="00D43A89"/>
    <w:rsid w:val="00D55AE1"/>
    <w:rsid w:val="00D57EC3"/>
    <w:rsid w:val="00D676C0"/>
    <w:rsid w:val="00D730F0"/>
    <w:rsid w:val="00D75E84"/>
    <w:rsid w:val="00D81FCA"/>
    <w:rsid w:val="00D8459E"/>
    <w:rsid w:val="00D86024"/>
    <w:rsid w:val="00D87DDD"/>
    <w:rsid w:val="00D971A3"/>
    <w:rsid w:val="00DA3795"/>
    <w:rsid w:val="00DB1705"/>
    <w:rsid w:val="00DB184A"/>
    <w:rsid w:val="00DB2B65"/>
    <w:rsid w:val="00DB5F23"/>
    <w:rsid w:val="00DB6309"/>
    <w:rsid w:val="00DC6D4F"/>
    <w:rsid w:val="00DD1844"/>
    <w:rsid w:val="00DE1752"/>
    <w:rsid w:val="00E06BA8"/>
    <w:rsid w:val="00E17410"/>
    <w:rsid w:val="00E2159F"/>
    <w:rsid w:val="00E30D7C"/>
    <w:rsid w:val="00E30EE1"/>
    <w:rsid w:val="00E37730"/>
    <w:rsid w:val="00E46092"/>
    <w:rsid w:val="00E523E3"/>
    <w:rsid w:val="00E6143F"/>
    <w:rsid w:val="00E6570A"/>
    <w:rsid w:val="00E66563"/>
    <w:rsid w:val="00E677AC"/>
    <w:rsid w:val="00E70DD9"/>
    <w:rsid w:val="00E801AD"/>
    <w:rsid w:val="00E81D7C"/>
    <w:rsid w:val="00E87065"/>
    <w:rsid w:val="00E87E9F"/>
    <w:rsid w:val="00E91CFF"/>
    <w:rsid w:val="00E94024"/>
    <w:rsid w:val="00E94132"/>
    <w:rsid w:val="00E97B5E"/>
    <w:rsid w:val="00EB1762"/>
    <w:rsid w:val="00EB5DBE"/>
    <w:rsid w:val="00ED358A"/>
    <w:rsid w:val="00ED3B89"/>
    <w:rsid w:val="00ED5E6B"/>
    <w:rsid w:val="00EF0788"/>
    <w:rsid w:val="00F00D8C"/>
    <w:rsid w:val="00F011FA"/>
    <w:rsid w:val="00F02AFA"/>
    <w:rsid w:val="00F1618B"/>
    <w:rsid w:val="00F22F03"/>
    <w:rsid w:val="00F25517"/>
    <w:rsid w:val="00F26293"/>
    <w:rsid w:val="00F363B6"/>
    <w:rsid w:val="00F44221"/>
    <w:rsid w:val="00F472C0"/>
    <w:rsid w:val="00F55C88"/>
    <w:rsid w:val="00F71EC7"/>
    <w:rsid w:val="00F82A93"/>
    <w:rsid w:val="00F84EA6"/>
    <w:rsid w:val="00F90B18"/>
    <w:rsid w:val="00F90D4B"/>
    <w:rsid w:val="00F95497"/>
    <w:rsid w:val="00FA01A4"/>
    <w:rsid w:val="00FB24E3"/>
    <w:rsid w:val="00FB4AE9"/>
    <w:rsid w:val="00FC12A1"/>
    <w:rsid w:val="00FC554D"/>
    <w:rsid w:val="00FD0DAE"/>
    <w:rsid w:val="00FD22D2"/>
    <w:rsid w:val="00FD2EE5"/>
    <w:rsid w:val="00FD35F6"/>
    <w:rsid w:val="00FD466F"/>
    <w:rsid w:val="00FD573C"/>
    <w:rsid w:val="00FD7B83"/>
    <w:rsid w:val="00FE0569"/>
    <w:rsid w:val="00FE1341"/>
    <w:rsid w:val="00FE26E6"/>
    <w:rsid w:val="00FF3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3C"/>
    <w:rPr>
      <w:sz w:val="24"/>
    </w:rPr>
  </w:style>
  <w:style w:type="paragraph" w:styleId="Heading1">
    <w:name w:val="heading 1"/>
    <w:basedOn w:val="Normal"/>
    <w:next w:val="Normal"/>
    <w:link w:val="Heading1Char"/>
    <w:qFormat/>
    <w:rsid w:val="00F1618B"/>
    <w:pPr>
      <w:keepNext/>
      <w:spacing w:after="240"/>
      <w:ind w:left="720" w:hanging="720"/>
      <w:outlineLvl w:val="0"/>
    </w:pPr>
    <w:rPr>
      <w:b/>
      <w:szCs w:val="24"/>
    </w:rPr>
  </w:style>
  <w:style w:type="paragraph" w:styleId="Heading2">
    <w:name w:val="heading 2"/>
    <w:basedOn w:val="Normal"/>
    <w:next w:val="Normal"/>
    <w:link w:val="Heading2Char"/>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2">
    <w:name w:val="Unresolved Mention2"/>
    <w:basedOn w:val="DefaultParagraphFont"/>
    <w:rsid w:val="006511C0"/>
    <w:rPr>
      <w:color w:val="605E5C"/>
      <w:shd w:val="clear" w:color="auto" w:fill="E1DFDD"/>
    </w:rPr>
  </w:style>
  <w:style w:type="character" w:customStyle="1" w:styleId="HeaderChar">
    <w:name w:val="Header Char"/>
    <w:basedOn w:val="DefaultParagraphFont"/>
    <w:link w:val="Header"/>
    <w:uiPriority w:val="99"/>
    <w:rsid w:val="006859F7"/>
    <w:rPr>
      <w:sz w:val="24"/>
    </w:rPr>
  </w:style>
  <w:style w:type="paragraph" w:styleId="ListParagraph">
    <w:name w:val="List Paragraph"/>
    <w:basedOn w:val="Normal"/>
    <w:uiPriority w:val="34"/>
    <w:qFormat/>
    <w:rsid w:val="006859F7"/>
    <w:pPr>
      <w:ind w:left="720"/>
      <w:contextualSpacing/>
    </w:pPr>
    <w:rPr>
      <w:szCs w:val="24"/>
      <w:lang w:bidi="en-US"/>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6859F7"/>
  </w:style>
  <w:style w:type="character" w:customStyle="1" w:styleId="HTMLPreformattedChar">
    <w:name w:val="HTML Preformatted Char"/>
    <w:basedOn w:val="DefaultParagraphFont"/>
    <w:link w:val="HTMLPreformatted"/>
    <w:rsid w:val="000F0366"/>
    <w:rPr>
      <w:rFonts w:ascii="Courier New" w:eastAsia="Courier New" w:hAnsi="Courier New" w:cs="Courier New"/>
    </w:rPr>
  </w:style>
  <w:style w:type="character" w:customStyle="1" w:styleId="Heading1Char">
    <w:name w:val="Heading 1 Char"/>
    <w:basedOn w:val="DefaultParagraphFont"/>
    <w:link w:val="Heading1"/>
    <w:rsid w:val="00F1618B"/>
    <w:rPr>
      <w:b/>
      <w:sz w:val="24"/>
      <w:szCs w:val="24"/>
    </w:rPr>
  </w:style>
  <w:style w:type="paragraph" w:styleId="TOC2">
    <w:name w:val="toc 2"/>
    <w:basedOn w:val="Normal"/>
    <w:next w:val="Normal"/>
    <w:autoRedefine/>
    <w:uiPriority w:val="39"/>
    <w:rsid w:val="009D274E"/>
    <w:pPr>
      <w:spacing w:after="100"/>
      <w:ind w:left="240"/>
    </w:pPr>
  </w:style>
  <w:style w:type="paragraph" w:styleId="TOC1">
    <w:name w:val="toc 1"/>
    <w:basedOn w:val="Normal"/>
    <w:next w:val="Normal"/>
    <w:autoRedefine/>
    <w:uiPriority w:val="39"/>
    <w:rsid w:val="009D274E"/>
    <w:pPr>
      <w:tabs>
        <w:tab w:val="decimal" w:leader="dot" w:pos="8640"/>
      </w:tabs>
      <w:spacing w:after="240"/>
      <w:ind w:left="720" w:hanging="720"/>
    </w:pPr>
  </w:style>
  <w:style w:type="character" w:customStyle="1" w:styleId="Heading2Char">
    <w:name w:val="Heading 2 Char"/>
    <w:basedOn w:val="DefaultParagraphFont"/>
    <w:link w:val="Heading2"/>
    <w:rsid w:val="004E1D7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v" TargetMode="External" /><Relationship Id="rId11" Type="http://schemas.openxmlformats.org/officeDocument/2006/relationships/hyperlink" Target="mailto:Daniel.fullin@puco.ohio.gov" TargetMode="External" /><Relationship Id="rId12" Type="http://schemas.openxmlformats.org/officeDocument/2006/relationships/hyperlink" Target="mailto:kwhite@sparkenergy.com" TargetMode="Externa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angela.obrien@occ.ohio.gov" TargetMode="External" /><Relationship Id="rId9" Type="http://schemas.openxmlformats.org/officeDocument/2006/relationships/hyperlink" Target="mailto:bojko@carpenterlipp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74FE-5E49-4F83-8989-5EB736FE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FINAL FILING 13-2164 OCC Reply to Verde MC OCC MTIc.docx  -  Read-Only.docx</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2019-12-13T20:18:47Z</dcterms:created>
  <dcterms:modified xsi:type="dcterms:W3CDTF">2019-12-13T20:18:47Z</dcterms:modified>
</cp:coreProperties>
</file>