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52F65" w14:paraId="2174E089" w14:textId="0E9F29E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B52F65" w14:paraId="1BD69D0C"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B52F65" w14:paraId="13538E75" w14:textId="77777777">
      <w:pPr>
        <w:pStyle w:val="HTMLPreformatted"/>
        <w:rPr>
          <w:rFonts w:ascii="Times New Roman" w:hAnsi="Times New Roman"/>
          <w:sz w:val="24"/>
        </w:rPr>
      </w:pPr>
    </w:p>
    <w:tbl>
      <w:tblPr>
        <w:tblW w:w="8730" w:type="dxa"/>
        <w:tblLook w:val="01E0"/>
      </w:tblPr>
      <w:tblGrid>
        <w:gridCol w:w="4230"/>
        <w:gridCol w:w="468"/>
        <w:gridCol w:w="4032"/>
      </w:tblGrid>
      <w:tr w14:paraId="49E4A012" w14:textId="77777777" w:rsidTr="00A46FA3">
        <w:tblPrEx>
          <w:tblW w:w="8730" w:type="dxa"/>
          <w:tblLook w:val="01E0"/>
        </w:tblPrEx>
        <w:trPr>
          <w:trHeight w:val="807"/>
        </w:trPr>
        <w:tc>
          <w:tcPr>
            <w:tcW w:w="4230" w:type="dxa"/>
            <w:shd w:val="clear" w:color="auto" w:fill="auto"/>
          </w:tcPr>
          <w:p w:rsidR="00B52F65" w:rsidP="0097483F" w14:paraId="4EB8097F"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9178AF">
              <w:rPr>
                <w:rFonts w:ascii="Times New Roman" w:hAnsi="Times New Roman" w:cs="Times New Roman"/>
                <w:sz w:val="24"/>
                <w:szCs w:val="24"/>
              </w:rPr>
              <w:t xml:space="preserve">Renewal </w:t>
            </w:r>
            <w:r w:rsidRPr="00B65A3A">
              <w:rPr>
                <w:rFonts w:ascii="Times New Roman" w:hAnsi="Times New Roman" w:cs="Times New Roman"/>
                <w:sz w:val="24"/>
                <w:szCs w:val="24"/>
              </w:rPr>
              <w:t xml:space="preserve">Application of </w:t>
            </w:r>
            <w:r w:rsidR="009178AF">
              <w:rPr>
                <w:rFonts w:ascii="Times New Roman" w:hAnsi="Times New Roman" w:cs="Times New Roman"/>
                <w:sz w:val="24"/>
                <w:szCs w:val="24"/>
              </w:rPr>
              <w:t>Verde Energy USA Ohio</w:t>
            </w:r>
            <w:r>
              <w:rPr>
                <w:rFonts w:ascii="Times New Roman" w:hAnsi="Times New Roman" w:cs="Times New Roman"/>
                <w:sz w:val="24"/>
                <w:szCs w:val="24"/>
              </w:rPr>
              <w:t>, LLC for Certification as a</w:t>
            </w:r>
            <w:r w:rsidR="009178AF">
              <w:rPr>
                <w:rFonts w:ascii="Times New Roman" w:hAnsi="Times New Roman" w:cs="Times New Roman"/>
                <w:sz w:val="24"/>
                <w:szCs w:val="24"/>
              </w:rPr>
              <w:t xml:space="preserve"> Retail Natural Gas Marketer</w:t>
            </w:r>
            <w:r>
              <w:rPr>
                <w:rFonts w:ascii="Times New Roman" w:hAnsi="Times New Roman" w:cs="Times New Roman"/>
                <w:sz w:val="24"/>
                <w:szCs w:val="24"/>
              </w:rPr>
              <w:t>.</w:t>
            </w:r>
          </w:p>
          <w:p w:rsidR="0060598B" w:rsidRPr="00A044B5" w:rsidP="0097483F" w14:paraId="42BC00B2" w14:textId="3740DF01">
            <w:pPr>
              <w:pStyle w:val="HTMLPreformatted"/>
              <w:rPr>
                <w:rFonts w:ascii="Times New Roman" w:hAnsi="Times New Roman"/>
                <w:sz w:val="24"/>
                <w:szCs w:val="24"/>
              </w:rPr>
            </w:pPr>
          </w:p>
        </w:tc>
        <w:tc>
          <w:tcPr>
            <w:tcW w:w="468" w:type="dxa"/>
            <w:shd w:val="clear" w:color="auto" w:fill="auto"/>
          </w:tcPr>
          <w:p w:rsidR="00B52F65" w:rsidRPr="00A044B5" w:rsidP="0097483F" w14:paraId="417396FD" w14:textId="77777777">
            <w:pPr>
              <w:pStyle w:val="HTMLPreformatted"/>
              <w:rPr>
                <w:rFonts w:ascii="Times New Roman" w:hAnsi="Times New Roman"/>
                <w:sz w:val="24"/>
              </w:rPr>
            </w:pPr>
            <w:r w:rsidRPr="00A044B5">
              <w:rPr>
                <w:rFonts w:ascii="Times New Roman" w:hAnsi="Times New Roman"/>
                <w:sz w:val="24"/>
              </w:rPr>
              <w:t>)</w:t>
            </w:r>
          </w:p>
          <w:p w:rsidR="00B52F65" w:rsidRPr="00A044B5" w:rsidP="0097483F" w14:paraId="0A743816" w14:textId="77777777">
            <w:pPr>
              <w:pStyle w:val="HTMLPreformatted"/>
              <w:rPr>
                <w:rFonts w:ascii="Times New Roman" w:hAnsi="Times New Roman"/>
                <w:sz w:val="24"/>
              </w:rPr>
            </w:pPr>
            <w:r w:rsidRPr="00A044B5">
              <w:rPr>
                <w:rFonts w:ascii="Times New Roman" w:hAnsi="Times New Roman"/>
                <w:sz w:val="24"/>
              </w:rPr>
              <w:t>)</w:t>
            </w:r>
          </w:p>
          <w:p w:rsidR="00B52F65" w:rsidRPr="00A044B5" w:rsidP="0097483F" w14:paraId="2798651B" w14:textId="77777777">
            <w:pPr>
              <w:pStyle w:val="HTMLPreformatted"/>
              <w:rPr>
                <w:rFonts w:ascii="Times New Roman" w:hAnsi="Times New Roman"/>
                <w:sz w:val="24"/>
              </w:rPr>
            </w:pPr>
            <w:r w:rsidRPr="00A044B5">
              <w:rPr>
                <w:rFonts w:ascii="Times New Roman" w:hAnsi="Times New Roman"/>
                <w:sz w:val="24"/>
              </w:rPr>
              <w:t>)</w:t>
            </w:r>
          </w:p>
          <w:p w:rsidR="00B52F65" w:rsidRPr="00A044B5" w:rsidP="0097483F" w14:paraId="1C6B90BB" w14:textId="77777777">
            <w:pPr>
              <w:pStyle w:val="HTMLPreformatted"/>
              <w:rPr>
                <w:rFonts w:ascii="Times New Roman" w:hAnsi="Times New Roman"/>
                <w:sz w:val="24"/>
              </w:rPr>
            </w:pPr>
            <w:r w:rsidRPr="00A044B5">
              <w:rPr>
                <w:rFonts w:ascii="Times New Roman" w:hAnsi="Times New Roman"/>
                <w:sz w:val="24"/>
              </w:rPr>
              <w:t>)</w:t>
            </w:r>
          </w:p>
        </w:tc>
        <w:tc>
          <w:tcPr>
            <w:tcW w:w="4032" w:type="dxa"/>
            <w:shd w:val="clear" w:color="auto" w:fill="auto"/>
          </w:tcPr>
          <w:p w:rsidR="00B52F65" w:rsidRPr="00A044B5" w:rsidP="0097483F" w14:paraId="659C1A31" w14:textId="77777777">
            <w:pPr>
              <w:pStyle w:val="HTMLPreformatted"/>
              <w:rPr>
                <w:rFonts w:ascii="Times New Roman" w:hAnsi="Times New Roman"/>
                <w:sz w:val="24"/>
              </w:rPr>
            </w:pPr>
          </w:p>
          <w:p w:rsidR="00B52F65" w:rsidRPr="00A044B5" w:rsidP="0097483F" w14:paraId="30A5B5D9" w14:textId="4BE3B3F1">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cs="Times New Roman"/>
                <w:sz w:val="24"/>
                <w:szCs w:val="24"/>
              </w:rPr>
              <w:t>1</w:t>
            </w:r>
            <w:r w:rsidR="009178AF">
              <w:rPr>
                <w:rFonts w:ascii="Times New Roman" w:hAnsi="Times New Roman" w:cs="Times New Roman"/>
                <w:sz w:val="24"/>
                <w:szCs w:val="24"/>
              </w:rPr>
              <w:t>3</w:t>
            </w:r>
            <w:r>
              <w:rPr>
                <w:rFonts w:ascii="Times New Roman" w:hAnsi="Times New Roman" w:cs="Times New Roman"/>
                <w:sz w:val="24"/>
                <w:szCs w:val="24"/>
              </w:rPr>
              <w:t>-</w:t>
            </w:r>
            <w:r w:rsidR="009178AF">
              <w:rPr>
                <w:rFonts w:ascii="Times New Roman" w:hAnsi="Times New Roman" w:cs="Times New Roman"/>
                <w:sz w:val="24"/>
                <w:szCs w:val="24"/>
              </w:rPr>
              <w:t>2164</w:t>
            </w:r>
            <w:r>
              <w:rPr>
                <w:rFonts w:ascii="Times New Roman" w:hAnsi="Times New Roman" w:cs="Times New Roman"/>
                <w:sz w:val="24"/>
                <w:szCs w:val="24"/>
              </w:rPr>
              <w:t>-</w:t>
            </w:r>
            <w:r w:rsidR="009178AF">
              <w:rPr>
                <w:rFonts w:ascii="Times New Roman" w:hAnsi="Times New Roman" w:cs="Times New Roman"/>
                <w:sz w:val="24"/>
                <w:szCs w:val="24"/>
              </w:rPr>
              <w:t>GA</w:t>
            </w:r>
            <w:r>
              <w:rPr>
                <w:rFonts w:ascii="Times New Roman" w:hAnsi="Times New Roman" w:cs="Times New Roman"/>
                <w:sz w:val="24"/>
                <w:szCs w:val="24"/>
              </w:rPr>
              <w:t>-CRS</w:t>
            </w:r>
            <w:r w:rsidRPr="00A044B5">
              <w:rPr>
                <w:rFonts w:ascii="Times New Roman" w:hAnsi="Times New Roman"/>
                <w:sz w:val="24"/>
              </w:rPr>
              <w:t xml:space="preserve"> </w:t>
            </w:r>
          </w:p>
          <w:p w:rsidR="00B52F65" w:rsidRPr="00A044B5" w:rsidP="0097483F" w14:paraId="603E1CD2" w14:textId="77777777">
            <w:pPr>
              <w:pStyle w:val="HTMLPreformatted"/>
              <w:rPr>
                <w:rFonts w:ascii="Times New Roman" w:hAnsi="Times New Roman"/>
                <w:sz w:val="24"/>
              </w:rPr>
            </w:pPr>
          </w:p>
        </w:tc>
      </w:tr>
    </w:tbl>
    <w:p w:rsidR="00B52F65" w:rsidP="0097483F" w14:paraId="62DDAF13" w14:textId="77777777">
      <w:pPr>
        <w:pStyle w:val="HTMLPreformatted"/>
        <w:pBdr>
          <w:top w:val="single" w:sz="12" w:space="1" w:color="auto"/>
        </w:pBdr>
        <w:rPr>
          <w:rFonts w:ascii="Times New Roman" w:hAnsi="Times New Roman"/>
          <w:sz w:val="24"/>
        </w:rPr>
      </w:pPr>
    </w:p>
    <w:p w:rsidR="0034156F" w:rsidP="00560234" w14:paraId="5C2A8478" w14:textId="43D713BF">
      <w:pPr>
        <w:jc w:val="center"/>
        <w:rPr>
          <w:b/>
          <w:bCs/>
        </w:rPr>
      </w:pPr>
      <w:r>
        <w:rPr>
          <w:b/>
          <w:bCs/>
        </w:rPr>
        <w:t>REPLY</w:t>
      </w:r>
      <w:r w:rsidR="00D33FB3">
        <w:rPr>
          <w:b/>
          <w:bCs/>
        </w:rPr>
        <w:t xml:space="preserve"> </w:t>
      </w:r>
      <w:r w:rsidR="00D1779C">
        <w:rPr>
          <w:b/>
          <w:bCs/>
        </w:rPr>
        <w:t>BY</w:t>
      </w:r>
    </w:p>
    <w:p w:rsidR="0034156F" w:rsidP="0097483F" w14:paraId="6628D1BF" w14:textId="77777777">
      <w:pPr>
        <w:jc w:val="center"/>
        <w:rPr>
          <w:b/>
          <w:bCs/>
        </w:rPr>
      </w:pPr>
      <w:r>
        <w:rPr>
          <w:b/>
          <w:bCs/>
        </w:rPr>
        <w:t>THE OFFICE OF THE OHIO CONSUMERS’ COUNSEL</w:t>
      </w:r>
    </w:p>
    <w:p w:rsidR="00961837" w:rsidP="0097483F" w14:paraId="3ABF25D7" w14:textId="255DB1FF">
      <w:pPr>
        <w:jc w:val="center"/>
        <w:rPr>
          <w:b/>
          <w:bCs/>
        </w:rPr>
      </w:pPr>
      <w:r>
        <w:rPr>
          <w:b/>
          <w:bCs/>
        </w:rPr>
        <w:t xml:space="preserve">TO VERDE’S MEMORANDUM CONTRA OCC’S MOTION TO REQUIRE VERDE TO PROVIDE NOTIFICATION OF A MATERIAL CHANGE </w:t>
      </w:r>
    </w:p>
    <w:p w:rsidR="00B52F65" w:rsidP="0097483F" w14:paraId="4AEA3A0B" w14:textId="77777777">
      <w:pPr>
        <w:pBdr>
          <w:bottom w:val="single" w:sz="12" w:space="1" w:color="auto"/>
        </w:pBdr>
        <w:tabs>
          <w:tab w:val="left" w:pos="4320"/>
        </w:tabs>
      </w:pPr>
    </w:p>
    <w:p w:rsidR="0060598B" w:rsidP="0097483F" w14:paraId="15933385" w14:textId="77777777">
      <w:pPr>
        <w:pStyle w:val="BodyTextIndent3"/>
        <w:widowControl w:val="0"/>
        <w:spacing w:line="240" w:lineRule="auto"/>
        <w:ind w:firstLine="0"/>
      </w:pPr>
    </w:p>
    <w:p w:rsidR="00B56494" w:rsidP="0097483F" w14:paraId="6D0EB0CB" w14:textId="3DCDB733">
      <w:pPr>
        <w:pStyle w:val="BodyTextIndent3"/>
        <w:widowControl w:val="0"/>
        <w:spacing w:line="480" w:lineRule="auto"/>
        <w:ind w:firstLine="0"/>
      </w:pPr>
      <w:r>
        <w:tab/>
        <w:t>In response to OCC’s February 5</w:t>
      </w:r>
      <w:r w:rsidRPr="00B56494">
        <w:rPr>
          <w:vertAlign w:val="superscript"/>
        </w:rPr>
        <w:t>th</w:t>
      </w:r>
      <w:r>
        <w:t xml:space="preserve"> Motion filed in this case</w:t>
      </w:r>
      <w:r w:rsidR="00F359B1">
        <w:t>,</w:t>
      </w:r>
      <w:r>
        <w:rPr>
          <w:rStyle w:val="FootnoteReference"/>
        </w:rPr>
        <w:footnoteReference w:id="2"/>
      </w:r>
      <w:r>
        <w:t xml:space="preserve"> Verde filed</w:t>
      </w:r>
      <w:r w:rsidR="00720AE3">
        <w:t xml:space="preserve"> a Notice of Material Change to its Renewal Application to reflect a</w:t>
      </w:r>
      <w:r w:rsidR="00095300">
        <w:t xml:space="preserve"> new</w:t>
      </w:r>
      <w:r w:rsidR="00720AE3">
        <w:t xml:space="preserve"> complaint filed </w:t>
      </w:r>
      <w:r>
        <w:t>by the</w:t>
      </w:r>
      <w:r w:rsidR="00720AE3">
        <w:t xml:space="preserve"> Bureau of Investigation and Enforcement of the Pennsylvania Public Utility Commission</w:t>
      </w:r>
      <w:r>
        <w:t xml:space="preserve"> against Verde’s affiliate</w:t>
      </w:r>
      <w:r w:rsidR="00961837">
        <w:t>,</w:t>
      </w:r>
      <w:r>
        <w:t xml:space="preserve"> Verde Energy USA, Inc. The Pennsylvania complaint</w:t>
      </w:r>
      <w:r w:rsidR="00720AE3">
        <w:t xml:space="preserve"> alleg</w:t>
      </w:r>
      <w:r>
        <w:t xml:space="preserve">es </w:t>
      </w:r>
      <w:r w:rsidRPr="00B56494" w:rsidR="00720AE3">
        <w:t>thousands</w:t>
      </w:r>
      <w:r w:rsidR="00720AE3">
        <w:t xml:space="preserve"> of consumer protection violations </w:t>
      </w:r>
      <w:r>
        <w:t>and seeks</w:t>
      </w:r>
      <w:r w:rsidR="00720AE3">
        <w:t xml:space="preserve"> over $8.8 million in civil penalties and </w:t>
      </w:r>
      <w:r>
        <w:t xml:space="preserve">a </w:t>
      </w:r>
      <w:r w:rsidR="00720AE3">
        <w:t>revocation of Verde’s license to serve Pennsylvania consumers.</w:t>
      </w:r>
    </w:p>
    <w:p w:rsidR="00605CB3" w:rsidP="0097483F" w14:paraId="789E2ADE" w14:textId="26056DAA">
      <w:pPr>
        <w:pStyle w:val="BodyTextIndent3"/>
        <w:widowControl w:val="0"/>
        <w:spacing w:line="480" w:lineRule="auto"/>
        <w:sectPr w:rsidSect="0097483F">
          <w:footerReference w:type="default" r:id="rId6"/>
          <w:footerReference w:type="first" r:id="rId7"/>
          <w:pgSz w:w="12240" w:h="15840"/>
          <w:pgMar w:top="1440" w:right="1800" w:bottom="1440" w:left="1800" w:header="720" w:footer="720" w:gutter="0"/>
          <w:pgNumType w:start="2"/>
          <w:cols w:space="720"/>
          <w:titlePg/>
          <w:docGrid w:linePitch="65"/>
        </w:sectPr>
      </w:pPr>
      <w:r>
        <w:t>Although Verde filed</w:t>
      </w:r>
      <w:r w:rsidR="00560234">
        <w:t xml:space="preserve"> with the PUCO</w:t>
      </w:r>
      <w:r w:rsidR="00961837">
        <w:t xml:space="preserve"> </w:t>
      </w:r>
      <w:r w:rsidR="00F359B1">
        <w:t xml:space="preserve">notice of the Pennsylvania complaint, Verde </w:t>
      </w:r>
      <w:r>
        <w:t>asserts</w:t>
      </w:r>
      <w:r w:rsidR="00F359B1">
        <w:t xml:space="preserve"> in its</w:t>
      </w:r>
      <w:r w:rsidR="00B56494">
        <w:t xml:space="preserve"> Memorandum Contra to OCC’s Motion</w:t>
      </w:r>
      <w:r w:rsidR="00F359B1">
        <w:t xml:space="preserve"> that </w:t>
      </w:r>
      <w:r w:rsidR="00944F36">
        <w:t>it was</w:t>
      </w:r>
      <w:r w:rsidR="00F359B1">
        <w:t xml:space="preserve"> “not required to disclose investigations of affiliate companies in its Renewal Application.”</w:t>
      </w:r>
      <w:r>
        <w:rPr>
          <w:rStyle w:val="FootnoteReference"/>
        </w:rPr>
        <w:footnoteReference w:id="3"/>
      </w:r>
      <w:r w:rsidR="00F359B1">
        <w:t xml:space="preserve"> Verde is wrong.</w:t>
      </w:r>
    </w:p>
    <w:p w:rsidR="00146057" w:rsidP="0097483F" w14:paraId="12314D9E" w14:textId="55210B7D">
      <w:pPr>
        <w:pStyle w:val="BodyTextIndent3"/>
        <w:widowControl w:val="0"/>
        <w:spacing w:line="480" w:lineRule="auto"/>
      </w:pPr>
      <w:r>
        <w:t xml:space="preserve">Verde cites Ohio Adm. Code 4901:1-27-05(B)(2)(f) </w:t>
      </w:r>
      <w:r w:rsidR="00944F36">
        <w:t xml:space="preserve">as authority </w:t>
      </w:r>
      <w:r w:rsidR="008008D9">
        <w:t xml:space="preserve">supporting its position </w:t>
      </w:r>
      <w:r w:rsidR="00944F36">
        <w:t xml:space="preserve">that </w:t>
      </w:r>
      <w:r>
        <w:t>it was not required to notify the PUCO of the Pennsylvania complaint.</w:t>
      </w:r>
      <w:r>
        <w:rPr>
          <w:rStyle w:val="FootnoteReference"/>
        </w:rPr>
        <w:footnoteReference w:id="4"/>
      </w:r>
      <w:r>
        <w:t xml:space="preserve"> </w:t>
      </w:r>
      <w:r w:rsidR="00382FB5">
        <w:t>T</w:t>
      </w:r>
      <w:r>
        <w:t xml:space="preserve">hat rule applies to </w:t>
      </w:r>
      <w:r w:rsidRPr="00560234">
        <w:t xml:space="preserve">retail natural gas </w:t>
      </w:r>
      <w:r w:rsidRPr="00146057">
        <w:rPr>
          <w:i/>
          <w:iCs/>
        </w:rPr>
        <w:t>aggregators and brokers</w:t>
      </w:r>
      <w:r>
        <w:t xml:space="preserve">. In this case, Verde is seeking renewal certification as a </w:t>
      </w:r>
      <w:r w:rsidR="00D14BD2">
        <w:t>re</w:t>
      </w:r>
      <w:r>
        <w:t xml:space="preserve">tail </w:t>
      </w:r>
      <w:r w:rsidR="00D14BD2">
        <w:t>n</w:t>
      </w:r>
      <w:r>
        <w:t xml:space="preserve">atural </w:t>
      </w:r>
      <w:r w:rsidR="00D14BD2">
        <w:t>g</w:t>
      </w:r>
      <w:r>
        <w:t xml:space="preserve">as </w:t>
      </w:r>
      <w:r w:rsidRPr="007E7A23" w:rsidR="00D14BD2">
        <w:rPr>
          <w:i/>
          <w:iCs/>
        </w:rPr>
        <w:t>m</w:t>
      </w:r>
      <w:r w:rsidRPr="007E7A23">
        <w:rPr>
          <w:i/>
          <w:iCs/>
        </w:rPr>
        <w:t>arketer</w:t>
      </w:r>
      <w:r>
        <w:rPr>
          <w:rStyle w:val="FootnoteReference"/>
        </w:rPr>
        <w:footnoteReference w:id="5"/>
      </w:r>
      <w:r>
        <w:t xml:space="preserve"> and thus, Ohio Adm. Code 4901:1-27-05(B)(1) is the applicable rule.</w:t>
      </w:r>
      <w:r w:rsidR="00D14BD2">
        <w:t xml:space="preserve"> </w:t>
      </w:r>
      <w:r w:rsidR="00944F36">
        <w:t>Under th</w:t>
      </w:r>
      <w:r w:rsidR="008008D9">
        <w:t>at</w:t>
      </w:r>
      <w:r w:rsidR="00944F36">
        <w:t xml:space="preserve"> rule, 4901:1-27-05(B)(1), </w:t>
      </w:r>
      <w:r w:rsidR="00D14BD2">
        <w:t>applicants “</w:t>
      </w:r>
      <w:r w:rsidRPr="007E7A23" w:rsidR="007E7A23">
        <w:rPr>
          <w:i/>
          <w:iCs/>
        </w:rPr>
        <w:t>shall</w:t>
      </w:r>
      <w:r w:rsidR="007E7A23">
        <w:t xml:space="preserve"> file </w:t>
      </w:r>
      <w:r w:rsidR="00D14BD2">
        <w:t xml:space="preserve">general, technical, managerial, and financial information as </w:t>
      </w:r>
      <w:r w:rsidRPr="007E7A23" w:rsidR="00D14BD2">
        <w:t xml:space="preserve">set forth in the application </w:t>
      </w:r>
      <w:r w:rsidR="00D14BD2">
        <w:t xml:space="preserve">. . . [that] </w:t>
      </w:r>
      <w:r w:rsidRPr="0013427B" w:rsidR="00123281">
        <w:t>includes but</w:t>
      </w:r>
      <w:r w:rsidRPr="00274C70" w:rsidR="00D14BD2">
        <w:rPr>
          <w:i/>
          <w:iCs/>
        </w:rPr>
        <w:t xml:space="preserve"> is not limited to</w:t>
      </w:r>
      <w:r w:rsidR="00D14BD2">
        <w:t xml:space="preserve">: . . .” the items specifically listed in the rule. Thus, Verde’s claim that </w:t>
      </w:r>
      <w:r w:rsidR="00944F36">
        <w:t>the PUCO</w:t>
      </w:r>
      <w:r w:rsidR="00BD403A">
        <w:t>’s</w:t>
      </w:r>
      <w:r w:rsidR="00944F36">
        <w:t xml:space="preserve"> rules </w:t>
      </w:r>
      <w:r w:rsidRPr="007E7A23" w:rsidR="00D14BD2">
        <w:rPr>
          <w:i/>
          <w:iCs/>
        </w:rPr>
        <w:t>limit</w:t>
      </w:r>
      <w:r w:rsidR="00944F36">
        <w:t xml:space="preserve"> </w:t>
      </w:r>
      <w:r w:rsidR="00D14BD2">
        <w:t xml:space="preserve">what information </w:t>
      </w:r>
      <w:r w:rsidR="007E7A23">
        <w:t>Verde</w:t>
      </w:r>
      <w:r w:rsidR="00D14BD2">
        <w:t xml:space="preserve"> mu</w:t>
      </w:r>
      <w:r w:rsidR="00632365">
        <w:t xml:space="preserve">st provide </w:t>
      </w:r>
      <w:r w:rsidR="007E7A23">
        <w:t>has no merit</w:t>
      </w:r>
      <w:r w:rsidR="00632365">
        <w:t>.</w:t>
      </w:r>
    </w:p>
    <w:p w:rsidR="00605CB3" w:rsidP="0097483F" w14:paraId="39CFA1C6" w14:textId="12EC7CCD">
      <w:pPr>
        <w:pStyle w:val="BodyTextIndent3"/>
        <w:widowControl w:val="0"/>
        <w:spacing w:line="480" w:lineRule="auto"/>
      </w:pPr>
      <w:r>
        <w:t>Verde</w:t>
      </w:r>
      <w:r w:rsidR="00632365">
        <w:t xml:space="preserve"> has the burden in this case to demonstrate that it</w:t>
      </w:r>
      <w:r>
        <w:t xml:space="preserve"> has the “managerial, technical, and financial capability” to continue to provide gas service to Ohio utility consumers</w:t>
      </w:r>
      <w:r w:rsidR="0013427B">
        <w:t xml:space="preserve"> </w:t>
      </w:r>
      <w:r>
        <w:t>an</w:t>
      </w:r>
      <w:r w:rsidR="00632365">
        <w:t>d that it</w:t>
      </w:r>
      <w:r>
        <w:t xml:space="preserve"> should be allowed to expand service to Dayton-area consumers.</w:t>
      </w:r>
      <w:r>
        <w:rPr>
          <w:rStyle w:val="FootnoteReference"/>
        </w:rPr>
        <w:footnoteReference w:id="6"/>
      </w:r>
      <w:r w:rsidR="00632365">
        <w:t xml:space="preserve"> </w:t>
      </w:r>
      <w:r w:rsidR="00944F36">
        <w:t>C</w:t>
      </w:r>
      <w:r w:rsidR="00632365">
        <w:t xml:space="preserve">onsumer protection violations and financial penalties against Verde’s affiliates in other states are plainly relevant to whether Verde has the “managerial, technical, and financial capability” to provide service in Ohio. </w:t>
      </w:r>
      <w:r w:rsidR="00944F36">
        <w:t xml:space="preserve">In fact, </w:t>
      </w:r>
      <w:r w:rsidR="00632365">
        <w:t>Verde</w:t>
      </w:r>
      <w:r w:rsidR="007E7A23">
        <w:t xml:space="preserve"> initially</w:t>
      </w:r>
      <w:r w:rsidR="00632365">
        <w:t xml:space="preserve"> identified 21 investigations against its affiliates in Exhibit B-4 of the Renewal Application and disclosed findings of consumer protection violations in Exhibit B-5 of the Renewal Application.</w:t>
      </w:r>
      <w:r w:rsidR="005B6A3E">
        <w:t xml:space="preserve"> </w:t>
      </w:r>
    </w:p>
    <w:p w:rsidR="00605CB3" w14:paraId="72DE32BD" w14:textId="77777777">
      <w:r>
        <w:br w:type="page"/>
      </w:r>
    </w:p>
    <w:p w:rsidR="00605CB3" w:rsidP="0097483F" w14:paraId="79E007D9" w14:textId="77777777">
      <w:pPr>
        <w:pStyle w:val="BodyTextIndent3"/>
        <w:widowControl w:val="0"/>
        <w:spacing w:line="480" w:lineRule="auto"/>
      </w:pPr>
      <w:r>
        <w:t>Moreover, Section B-4 of the</w:t>
      </w:r>
      <w:r w:rsidR="007E7A23">
        <w:t xml:space="preserve"> PUCO’s</w:t>
      </w:r>
      <w:r>
        <w:t xml:space="preserve"> </w:t>
      </w:r>
      <w:r w:rsidR="007E7A23">
        <w:t>r</w:t>
      </w:r>
      <w:r>
        <w:t xml:space="preserve">enewal </w:t>
      </w:r>
      <w:r w:rsidR="007E7A23">
        <w:t>a</w:t>
      </w:r>
      <w:r>
        <w:t xml:space="preserve">pplication form </w:t>
      </w:r>
      <w:r w:rsidR="0013427B">
        <w:t>expressly</w:t>
      </w:r>
      <w:r>
        <w:t xml:space="preserve"> requires Verde to:</w:t>
      </w:r>
    </w:p>
    <w:p w:rsidR="006A4772" w:rsidP="0097483F" w14:paraId="096A75F2" w14:textId="45D790EF">
      <w:pPr>
        <w:pStyle w:val="BodyTextIndent3"/>
        <w:widowControl w:val="0"/>
        <w:spacing w:line="240" w:lineRule="auto"/>
        <w:ind w:left="720" w:firstLine="0"/>
      </w:pPr>
      <w:r>
        <w:t xml:space="preserve">provide a description of all existing, pending or past rulings, judgments, contingent liabilities, revocations of authority, regulatory investigations, or any other matter that </w:t>
      </w:r>
      <w:r w:rsidRPr="006A4772">
        <w:rPr>
          <w:i/>
          <w:iCs/>
        </w:rPr>
        <w:t>could adversely impact the applicant’s financial or operational status or ability to provide the services</w:t>
      </w:r>
      <w:r>
        <w:t xml:space="preserve"> for which it is seeking renewed certification since applicant last filed for certification. (emphasis added).</w:t>
      </w:r>
    </w:p>
    <w:p w:rsidR="006A4772" w:rsidP="0097483F" w14:paraId="3CB63B40" w14:textId="77777777">
      <w:pPr>
        <w:pStyle w:val="BodyTextIndent3"/>
        <w:widowControl w:val="0"/>
        <w:spacing w:line="240" w:lineRule="auto"/>
        <w:ind w:firstLine="0"/>
      </w:pPr>
    </w:p>
    <w:p w:rsidR="006A4772" w:rsidP="0097483F" w14:paraId="3B298169" w14:textId="6640BB51">
      <w:pPr>
        <w:pStyle w:val="BodyTextIndent3"/>
        <w:widowControl w:val="0"/>
        <w:spacing w:line="480" w:lineRule="auto"/>
        <w:ind w:firstLine="0"/>
      </w:pPr>
      <w:r>
        <w:t>The Pennsylvania compliant</w:t>
      </w:r>
      <w:r w:rsidR="007E7A23">
        <w:t>, which</w:t>
      </w:r>
      <w:r>
        <w:t xml:space="preserve"> seeks over $8.8 million in penalties from Verde’s affiliate (in addition to the millions of dollars sought from Verde’s affiliates in other jurisdictions), </w:t>
      </w:r>
      <w:r w:rsidR="0013427B">
        <w:t>is a “regulatory investigation” that</w:t>
      </w:r>
      <w:r>
        <w:t xml:space="preserve"> could </w:t>
      </w:r>
      <w:r w:rsidR="0013427B">
        <w:t>“</w:t>
      </w:r>
      <w:r>
        <w:t>adversely impact</w:t>
      </w:r>
      <w:r w:rsidR="0013427B">
        <w:t>”</w:t>
      </w:r>
      <w:r>
        <w:t xml:space="preserve"> Verde’s </w:t>
      </w:r>
      <w:r w:rsidR="008008D9">
        <w:t xml:space="preserve">financial or operational status or </w:t>
      </w:r>
      <w:r>
        <w:t>ability to provide service in Ohio.</w:t>
      </w:r>
    </w:p>
    <w:p w:rsidR="00095300" w:rsidRPr="00D1779C" w:rsidP="0097483F" w14:paraId="6086142B" w14:textId="69D1A00B">
      <w:pPr>
        <w:pStyle w:val="BodyTextIndent3"/>
        <w:widowControl w:val="0"/>
        <w:spacing w:line="480" w:lineRule="auto"/>
        <w:ind w:firstLine="0"/>
      </w:pPr>
      <w:r>
        <w:tab/>
      </w:r>
      <w:r w:rsidR="008008D9">
        <w:t xml:space="preserve">Although Verde did disclose to the PUCO the Pennsylvania </w:t>
      </w:r>
      <w:r w:rsidR="005F04A6">
        <w:t>complaint</w:t>
      </w:r>
      <w:r w:rsidR="008008D9">
        <w:t xml:space="preserve"> as requested in OCC’s Motion, Verde’s opinion </w:t>
      </w:r>
      <w:r w:rsidR="005F04A6">
        <w:t xml:space="preserve">that it was not </w:t>
      </w:r>
      <w:r w:rsidRPr="00095300" w:rsidR="005F04A6">
        <w:rPr>
          <w:i/>
          <w:iCs/>
        </w:rPr>
        <w:t>required</w:t>
      </w:r>
      <w:r w:rsidR="005F04A6">
        <w:t xml:space="preserve"> to update the PUCO on this matter </w:t>
      </w:r>
      <w:r w:rsidR="008008D9">
        <w:t xml:space="preserve">should not </w:t>
      </w:r>
      <w:r w:rsidR="005F04A6">
        <w:t>be the final word</w:t>
      </w:r>
      <w:r w:rsidR="00560234">
        <w:t xml:space="preserve"> b</w:t>
      </w:r>
      <w:r w:rsidR="008008D9">
        <w:t>ecause the PUCO’s rules clearly require such di</w:t>
      </w:r>
      <w:r w:rsidR="005F04A6">
        <w:t>s</w:t>
      </w:r>
      <w:r w:rsidR="008008D9">
        <w:t>closures.</w:t>
      </w:r>
    </w:p>
    <w:p w:rsidR="00605CB3" w14:paraId="008E1AC2" w14:textId="655E2A37">
      <w:pPr>
        <w:rPr>
          <w:szCs w:val="24"/>
        </w:rPr>
      </w:pPr>
      <w:r>
        <w:rPr>
          <w:szCs w:val="24"/>
        </w:rPr>
        <w:br w:type="page"/>
      </w:r>
    </w:p>
    <w:p w:rsidR="00B52F65" w:rsidP="006A37D6" w14:paraId="6BCA2A6B" w14:textId="4FB57D20">
      <w:pPr>
        <w:spacing w:line="480" w:lineRule="auto"/>
        <w:ind w:left="2880" w:firstLine="720"/>
        <w:rPr>
          <w:szCs w:val="24"/>
        </w:rPr>
      </w:pPr>
      <w:r>
        <w:rPr>
          <w:szCs w:val="24"/>
        </w:rPr>
        <w:t>Respectfully submitted,</w:t>
      </w:r>
    </w:p>
    <w:p w:rsidR="00B52F65" w:rsidP="006A37D6" w14:paraId="45CA4634" w14:textId="77777777">
      <w:pPr>
        <w:pStyle w:val="Footer"/>
        <w:tabs>
          <w:tab w:val="left" w:pos="4320"/>
          <w:tab w:val="clear" w:pos="8640"/>
        </w:tabs>
        <w:ind w:left="3600"/>
        <w:rPr>
          <w:sz w:val="24"/>
          <w:szCs w:val="24"/>
        </w:rPr>
      </w:pPr>
      <w:r>
        <w:rPr>
          <w:sz w:val="24"/>
          <w:szCs w:val="24"/>
        </w:rPr>
        <w:t>Bruce Weston (0016973)</w:t>
      </w:r>
    </w:p>
    <w:p w:rsidR="00B52F65" w:rsidP="00B52F65" w14:paraId="7BF41220" w14:textId="77777777">
      <w:pPr>
        <w:tabs>
          <w:tab w:val="left" w:pos="4320"/>
        </w:tabs>
        <w:ind w:left="3600"/>
        <w:rPr>
          <w:szCs w:val="24"/>
        </w:rPr>
      </w:pPr>
      <w:r>
        <w:rPr>
          <w:szCs w:val="24"/>
        </w:rPr>
        <w:t>Ohio Consumers’ Counsel</w:t>
      </w:r>
    </w:p>
    <w:p w:rsidR="00B52F65" w:rsidP="00B52F65" w14:paraId="5D6862A3" w14:textId="77777777">
      <w:pPr>
        <w:tabs>
          <w:tab w:val="left" w:pos="4320"/>
        </w:tabs>
        <w:ind w:left="3600"/>
        <w:rPr>
          <w:szCs w:val="24"/>
        </w:rPr>
      </w:pPr>
    </w:p>
    <w:p w:rsidR="00B52F65" w:rsidRPr="004535A2" w:rsidP="00B52F65" w14:paraId="089D01BA" w14:textId="7DCE2620">
      <w:pPr>
        <w:tabs>
          <w:tab w:val="left" w:pos="4320"/>
        </w:tabs>
        <w:ind w:left="3600"/>
        <w:rPr>
          <w:i/>
          <w:szCs w:val="24"/>
          <w:u w:val="single"/>
        </w:rPr>
      </w:pPr>
      <w:r>
        <w:rPr>
          <w:i/>
          <w:szCs w:val="24"/>
          <w:u w:val="single"/>
        </w:rPr>
        <w:t>/s/ Angela</w:t>
      </w:r>
      <w:r w:rsidR="001A7091">
        <w:rPr>
          <w:i/>
          <w:szCs w:val="24"/>
          <w:u w:val="single"/>
        </w:rPr>
        <w:t xml:space="preserve"> D.</w:t>
      </w:r>
      <w:r>
        <w:rPr>
          <w:i/>
          <w:szCs w:val="24"/>
          <w:u w:val="single"/>
        </w:rPr>
        <w:t xml:space="preserve"> O’Brien</w:t>
      </w:r>
      <w:r>
        <w:rPr>
          <w:i/>
          <w:szCs w:val="24"/>
          <w:u w:val="single"/>
        </w:rPr>
        <w:tab/>
      </w:r>
      <w:r>
        <w:rPr>
          <w:i/>
          <w:szCs w:val="24"/>
          <w:u w:val="single"/>
        </w:rPr>
        <w:tab/>
      </w:r>
      <w:r>
        <w:rPr>
          <w:i/>
          <w:szCs w:val="24"/>
          <w:u w:val="single"/>
        </w:rPr>
        <w:tab/>
      </w:r>
    </w:p>
    <w:p w:rsidR="00B52F65" w:rsidP="00B52F65" w14:paraId="0A57EF60" w14:textId="65D41C49">
      <w:pPr>
        <w:tabs>
          <w:tab w:val="left" w:pos="4320"/>
        </w:tabs>
        <w:ind w:left="3600"/>
        <w:rPr>
          <w:sz w:val="28"/>
          <w:szCs w:val="28"/>
        </w:rPr>
      </w:pPr>
      <w:r>
        <w:rPr>
          <w:szCs w:val="24"/>
        </w:rPr>
        <w:t xml:space="preserve">Angela </w:t>
      </w:r>
      <w:r w:rsidR="001A7091">
        <w:rPr>
          <w:szCs w:val="24"/>
        </w:rPr>
        <w:t xml:space="preserve">D. </w:t>
      </w:r>
      <w:r>
        <w:rPr>
          <w:szCs w:val="24"/>
        </w:rPr>
        <w:t>O’Brien (</w:t>
      </w:r>
      <w:r w:rsidRPr="00B379B2">
        <w:rPr>
          <w:szCs w:val="24"/>
        </w:rPr>
        <w:t>0097579)</w:t>
      </w:r>
      <w:r>
        <w:rPr>
          <w:sz w:val="28"/>
          <w:szCs w:val="28"/>
        </w:rPr>
        <w:t xml:space="preserve"> </w:t>
      </w:r>
    </w:p>
    <w:p w:rsidR="00731B26" w:rsidP="00095300" w14:paraId="2DC427AC" w14:textId="15234D70">
      <w:pPr>
        <w:tabs>
          <w:tab w:val="left" w:pos="4320"/>
        </w:tabs>
        <w:ind w:left="3600"/>
        <w:rPr>
          <w:szCs w:val="24"/>
        </w:rPr>
      </w:pPr>
      <w:r>
        <w:rPr>
          <w:szCs w:val="24"/>
        </w:rPr>
        <w:t>Counsel of Record</w:t>
      </w:r>
    </w:p>
    <w:p w:rsidR="00731B26" w:rsidP="00731B26" w14:paraId="5932B179" w14:textId="03C356D5">
      <w:pPr>
        <w:tabs>
          <w:tab w:val="left" w:pos="4320"/>
        </w:tabs>
        <w:ind w:left="3600"/>
        <w:rPr>
          <w:szCs w:val="24"/>
        </w:rPr>
      </w:pPr>
      <w:r>
        <w:rPr>
          <w:szCs w:val="24"/>
        </w:rPr>
        <w:t>Assistant Consumers’ Counsel</w:t>
      </w:r>
    </w:p>
    <w:p w:rsidR="009D274E" w:rsidP="00731B26" w14:paraId="77E6E8EA" w14:textId="77777777">
      <w:pPr>
        <w:tabs>
          <w:tab w:val="left" w:pos="4320"/>
        </w:tabs>
        <w:ind w:left="3600"/>
        <w:rPr>
          <w:szCs w:val="24"/>
        </w:rPr>
      </w:pPr>
    </w:p>
    <w:p w:rsidR="00731B26" w:rsidRPr="009D274E" w:rsidP="009D274E" w14:paraId="08CF4D72" w14:textId="77777777">
      <w:pPr>
        <w:ind w:left="3600"/>
        <w:rPr>
          <w:b/>
          <w:bCs/>
        </w:rPr>
      </w:pPr>
      <w:r w:rsidRPr="009D274E">
        <w:rPr>
          <w:b/>
          <w:bCs/>
        </w:rPr>
        <w:t>Office of the Ohio Consumers’ Counsel</w:t>
      </w:r>
    </w:p>
    <w:p w:rsidR="00731B26" w:rsidP="009D274E" w14:paraId="13DAC3C4" w14:textId="77777777">
      <w:pPr>
        <w:ind w:left="3600"/>
        <w:rPr>
          <w:b/>
        </w:rPr>
      </w:pPr>
      <w:r>
        <w:t>65 East State Street, 7</w:t>
      </w:r>
      <w:r w:rsidRPr="00E46092">
        <w:t>th</w:t>
      </w:r>
      <w:r>
        <w:t xml:space="preserve"> Floor</w:t>
      </w:r>
    </w:p>
    <w:p w:rsidR="00731B26" w:rsidP="009D274E" w14:paraId="4A94F644" w14:textId="77777777">
      <w:pPr>
        <w:ind w:left="3600"/>
        <w:rPr>
          <w:b/>
        </w:rPr>
      </w:pPr>
      <w:r>
        <w:t>Columbus, Ohio 43215-4213</w:t>
      </w:r>
    </w:p>
    <w:p w:rsidR="00731B26" w:rsidP="00731B26" w14:paraId="4FB87428" w14:textId="77777777">
      <w:pPr>
        <w:autoSpaceDE w:val="0"/>
        <w:autoSpaceDN w:val="0"/>
        <w:adjustRightInd w:val="0"/>
        <w:ind w:left="3600"/>
        <w:rPr>
          <w:szCs w:val="24"/>
        </w:rPr>
      </w:pPr>
      <w:r>
        <w:rPr>
          <w:szCs w:val="24"/>
        </w:rPr>
        <w:t xml:space="preserve">Telephone [O’Brien]: </w:t>
      </w:r>
      <w:r w:rsidRPr="00B379B2">
        <w:rPr>
          <w:szCs w:val="24"/>
        </w:rPr>
        <w:t>(614) 466-9531</w:t>
      </w:r>
    </w:p>
    <w:p w:rsidR="00731B26" w:rsidP="00731B26" w14:paraId="24396DBF" w14:textId="7AF308D6">
      <w:pPr>
        <w:rPr>
          <w:szCs w:val="24"/>
        </w:rPr>
      </w:pPr>
      <w:r>
        <w:rPr>
          <w:szCs w:val="24"/>
        </w:rPr>
        <w:tab/>
      </w:r>
      <w:r>
        <w:rPr>
          <w:szCs w:val="24"/>
        </w:rPr>
        <w:tab/>
      </w:r>
      <w:r>
        <w:rPr>
          <w:szCs w:val="24"/>
        </w:rPr>
        <w:tab/>
      </w:r>
      <w:r>
        <w:rPr>
          <w:szCs w:val="24"/>
        </w:rPr>
        <w:tab/>
      </w:r>
      <w:r>
        <w:rPr>
          <w:szCs w:val="24"/>
        </w:rPr>
        <w:tab/>
      </w:r>
      <w:hyperlink r:id="rId8" w:history="1">
        <w:r w:rsidRPr="00DB2B65">
          <w:rPr>
            <w:rStyle w:val="Hyperlink"/>
            <w:szCs w:val="24"/>
          </w:rPr>
          <w:t>angela.obrien@occ.ohio.gov</w:t>
        </w:r>
      </w:hyperlink>
      <w:r>
        <w:rPr>
          <w:szCs w:val="24"/>
        </w:rPr>
        <w:t xml:space="preserve"> </w:t>
      </w:r>
    </w:p>
    <w:p w:rsidR="00F44221" w:rsidP="00731B26" w14:paraId="4A33FB5F" w14:textId="5A0C8F6F">
      <w:pPr>
        <w:ind w:left="3600"/>
        <w:rPr>
          <w:szCs w:val="24"/>
        </w:rPr>
      </w:pPr>
      <w:r>
        <w:rPr>
          <w:szCs w:val="24"/>
        </w:rPr>
        <w:t>(willing to accept service by e-mail)</w:t>
      </w:r>
    </w:p>
    <w:p w:rsidR="00731B26" w:rsidP="00646111" w14:paraId="473F5430" w14:textId="77777777">
      <w:pPr>
        <w:rPr>
          <w:szCs w:val="24"/>
        </w:rPr>
      </w:pPr>
    </w:p>
    <w:p w:rsidR="00731B26" w:rsidRPr="007E2879" w:rsidP="00731B26" w14:paraId="638D85C2" w14:textId="77777777">
      <w:pPr>
        <w:ind w:left="2880" w:firstLine="720"/>
        <w:rPr>
          <w:szCs w:val="24"/>
        </w:rPr>
      </w:pPr>
      <w:r w:rsidRPr="007E2879">
        <w:rPr>
          <w:szCs w:val="24"/>
        </w:rPr>
        <w:t>Kimberly W. Bojko (0069402)</w:t>
      </w:r>
    </w:p>
    <w:p w:rsidR="00731B26" w:rsidRPr="007E2879" w:rsidP="00731B26" w14:paraId="475158E4" w14:textId="77777777">
      <w:pPr>
        <w:ind w:left="2880" w:firstLine="720"/>
        <w:rPr>
          <w:szCs w:val="24"/>
        </w:rPr>
      </w:pPr>
      <w:r w:rsidRPr="007E2879">
        <w:rPr>
          <w:szCs w:val="24"/>
        </w:rPr>
        <w:t>Carpenter Lipps &amp; Leland LLP</w:t>
      </w:r>
    </w:p>
    <w:p w:rsidR="00731B26" w:rsidRPr="007E2879" w:rsidP="00731B26" w14:paraId="16CBEE82" w14:textId="77777777">
      <w:pPr>
        <w:ind w:left="2880" w:firstLine="720"/>
        <w:rPr>
          <w:szCs w:val="24"/>
        </w:rPr>
      </w:pPr>
      <w:r w:rsidRPr="007E2879">
        <w:rPr>
          <w:szCs w:val="24"/>
        </w:rPr>
        <w:t>280 Plaza, Suite 1300</w:t>
      </w:r>
    </w:p>
    <w:p w:rsidR="00731B26" w:rsidRPr="007E2879" w:rsidP="00731B26" w14:paraId="2889B63D" w14:textId="77777777">
      <w:pPr>
        <w:ind w:left="2880" w:firstLine="720"/>
        <w:rPr>
          <w:szCs w:val="24"/>
        </w:rPr>
      </w:pPr>
      <w:r w:rsidRPr="007E2879">
        <w:rPr>
          <w:szCs w:val="24"/>
        </w:rPr>
        <w:t>280 North High Street</w:t>
      </w:r>
    </w:p>
    <w:p w:rsidR="00731B26" w:rsidP="00731B26" w14:paraId="462100CD" w14:textId="2AE07280">
      <w:pPr>
        <w:ind w:left="2880" w:firstLine="720"/>
        <w:rPr>
          <w:szCs w:val="24"/>
        </w:rPr>
      </w:pPr>
      <w:r w:rsidRPr="007E2879">
        <w:rPr>
          <w:szCs w:val="24"/>
        </w:rPr>
        <w:t>Columbus, Ohio 43215</w:t>
      </w:r>
    </w:p>
    <w:p w:rsidR="00850DC1" w:rsidRPr="007E2879" w:rsidP="00731B26" w14:paraId="7F95514B" w14:textId="17A6E0CC">
      <w:pPr>
        <w:ind w:left="2880" w:firstLine="720"/>
        <w:rPr>
          <w:szCs w:val="24"/>
        </w:rPr>
      </w:pPr>
      <w:r>
        <w:rPr>
          <w:szCs w:val="24"/>
        </w:rPr>
        <w:t>Telephone: (614) 365-4100</w:t>
      </w:r>
    </w:p>
    <w:p w:rsidR="00731B26" w:rsidRPr="007E2879" w:rsidP="00731B26" w14:paraId="7B288C9D" w14:textId="77777777">
      <w:pPr>
        <w:ind w:left="2880" w:firstLine="720"/>
        <w:rPr>
          <w:szCs w:val="24"/>
        </w:rPr>
      </w:pPr>
      <w:hyperlink r:id="rId9" w:history="1">
        <w:r w:rsidRPr="00903CA0" w:rsidR="00F25517">
          <w:rPr>
            <w:rStyle w:val="Hyperlink"/>
            <w:szCs w:val="24"/>
          </w:rPr>
          <w:t>bojko@carpenterlipps.com</w:t>
        </w:r>
      </w:hyperlink>
      <w:r w:rsidRPr="007E2879" w:rsidR="00F25517">
        <w:rPr>
          <w:szCs w:val="24"/>
        </w:rPr>
        <w:t xml:space="preserve"> </w:t>
      </w:r>
    </w:p>
    <w:p w:rsidR="00731B26" w:rsidRPr="007E2879" w:rsidP="00731B26" w14:paraId="5DA76290" w14:textId="77777777">
      <w:pPr>
        <w:ind w:left="2880" w:firstLine="720"/>
        <w:rPr>
          <w:szCs w:val="24"/>
        </w:rPr>
      </w:pPr>
      <w:r w:rsidRPr="007E2879">
        <w:rPr>
          <w:szCs w:val="24"/>
        </w:rPr>
        <w:t>(willing to accept service by e-mail)</w:t>
      </w:r>
    </w:p>
    <w:p w:rsidR="00731B26" w:rsidRPr="00B6528E" w:rsidP="00731B26" w14:paraId="797D0E25" w14:textId="77777777">
      <w:pPr>
        <w:ind w:left="4320"/>
        <w:rPr>
          <w:sz w:val="16"/>
          <w:szCs w:val="16"/>
        </w:rPr>
      </w:pPr>
    </w:p>
    <w:p w:rsidR="00731B26" w:rsidRPr="007E2879" w:rsidP="00731B26" w14:paraId="4D94877E" w14:textId="77777777">
      <w:pPr>
        <w:ind w:left="2880" w:firstLine="720"/>
        <w:rPr>
          <w:i/>
          <w:iCs/>
          <w:szCs w:val="24"/>
        </w:rPr>
      </w:pPr>
      <w:r>
        <w:rPr>
          <w:i/>
          <w:iCs/>
          <w:szCs w:val="24"/>
        </w:rPr>
        <w:t>Special</w:t>
      </w:r>
      <w:r w:rsidRPr="007E2879">
        <w:rPr>
          <w:i/>
          <w:iCs/>
          <w:szCs w:val="24"/>
        </w:rPr>
        <w:t xml:space="preserve"> Counsel for</w:t>
      </w:r>
    </w:p>
    <w:p w:rsidR="00731B26" w:rsidP="00731B26" w14:paraId="561ED5E6" w14:textId="77777777">
      <w:pPr>
        <w:ind w:left="2880" w:firstLine="720"/>
        <w:rPr>
          <w:i/>
          <w:iCs/>
          <w:szCs w:val="24"/>
        </w:rPr>
      </w:pPr>
      <w:r w:rsidRPr="007E2879">
        <w:rPr>
          <w:i/>
          <w:iCs/>
          <w:szCs w:val="24"/>
        </w:rPr>
        <w:t>The Office of the Ohio Consumers</w:t>
      </w:r>
      <w:r>
        <w:rPr>
          <w:i/>
          <w:iCs/>
          <w:szCs w:val="24"/>
        </w:rPr>
        <w:t>’</w:t>
      </w:r>
      <w:r w:rsidRPr="007E2879">
        <w:rPr>
          <w:i/>
          <w:iCs/>
          <w:szCs w:val="24"/>
        </w:rPr>
        <w:t xml:space="preserve"> Counsel</w:t>
      </w:r>
    </w:p>
    <w:p w:rsidR="00731B26" w:rsidP="00B52F65" w14:paraId="6F5BDFA5" w14:textId="77777777">
      <w:pPr>
        <w:tabs>
          <w:tab w:val="left" w:pos="4320"/>
        </w:tabs>
        <w:ind w:left="3600"/>
        <w:rPr>
          <w:szCs w:val="24"/>
        </w:rPr>
      </w:pPr>
    </w:p>
    <w:p w:rsidR="00B52F65" w:rsidP="00B52F65" w14:paraId="0C0AFF5A" w14:textId="77777777">
      <w:pPr>
        <w:rPr>
          <w:szCs w:val="24"/>
        </w:rPr>
      </w:pPr>
    </w:p>
    <w:p w:rsidR="0089543E" w14:paraId="291C783E" w14:textId="77777777">
      <w:pPr>
        <w:rPr>
          <w:szCs w:val="24"/>
        </w:rPr>
      </w:pPr>
      <w:r>
        <w:rPr>
          <w:szCs w:val="24"/>
        </w:rPr>
        <w:br w:type="page"/>
      </w:r>
    </w:p>
    <w:p w:rsidR="00B52F65" w:rsidP="00F90B18" w14:paraId="1ABEA909" w14:textId="0190BFD8">
      <w:pPr>
        <w:jc w:val="center"/>
        <w:rPr>
          <w:b/>
          <w:bCs/>
          <w:u w:val="single"/>
        </w:rPr>
      </w:pPr>
      <w:r>
        <w:rPr>
          <w:b/>
          <w:bCs/>
          <w:u w:val="single"/>
        </w:rPr>
        <w:t>CERTIFICATE OF SERVICE</w:t>
      </w:r>
    </w:p>
    <w:p w:rsidR="00731B26" w:rsidP="00731B26" w14:paraId="725B071C" w14:textId="77777777">
      <w:pPr>
        <w:jc w:val="center"/>
      </w:pPr>
    </w:p>
    <w:p w:rsidR="00B52F65" w:rsidRPr="00641FA9" w:rsidP="0059283C" w14:paraId="1F6771BF" w14:textId="5482270B">
      <w:pPr>
        <w:spacing w:line="480" w:lineRule="auto"/>
        <w:ind w:firstLine="720"/>
        <w:rPr>
          <w:i/>
          <w:iCs/>
        </w:rPr>
      </w:pPr>
      <w:r>
        <w:t>I hereby certify that a copy of this</w:t>
      </w:r>
      <w:r w:rsidR="00731B26">
        <w:t xml:space="preserve"> </w:t>
      </w:r>
      <w:r w:rsidRPr="0059283C" w:rsidR="0059283C">
        <w:t xml:space="preserve">Reply </w:t>
      </w:r>
      <w:r w:rsidR="00463957">
        <w:t xml:space="preserve">by </w:t>
      </w:r>
      <w:r w:rsidR="00560234">
        <w:t>t</w:t>
      </w:r>
      <w:r w:rsidR="00463957">
        <w:t xml:space="preserve">he Office of The Ohio Consumers’ Counsel to </w:t>
      </w:r>
      <w:r w:rsidR="00605CB3">
        <w:t xml:space="preserve">Verde’s Memorandum Contra OCC’s Motion to Require Verde to Provide Notification of a Material Change </w:t>
      </w:r>
      <w:r>
        <w:t xml:space="preserve">was served on the persons stated below </w:t>
      </w:r>
      <w:r w:rsidRPr="0049109A">
        <w:t>via</w:t>
      </w:r>
      <w:r>
        <w:t xml:space="preserve"> electronic transmission, this </w:t>
      </w:r>
      <w:r w:rsidR="0013427B">
        <w:t>27</w:t>
      </w:r>
      <w:r w:rsidRPr="00D107F1" w:rsidR="00D107F1">
        <w:rPr>
          <w:vertAlign w:val="superscript"/>
        </w:rPr>
        <w:t>th</w:t>
      </w:r>
      <w:r w:rsidR="00D107F1">
        <w:t xml:space="preserve"> </w:t>
      </w:r>
      <w:r>
        <w:t>day of</w:t>
      </w:r>
      <w:r w:rsidR="00A10E45">
        <w:t xml:space="preserve"> </w:t>
      </w:r>
      <w:r w:rsidR="0013427B">
        <w:t>February</w:t>
      </w:r>
      <w:r>
        <w:t xml:space="preserve"> 20</w:t>
      </w:r>
      <w:r w:rsidR="0013427B">
        <w:t>20</w:t>
      </w:r>
      <w:r>
        <w:t>.</w:t>
      </w:r>
    </w:p>
    <w:p w:rsidR="00B52F65" w14:paraId="7587DED6" w14:textId="43D04FCC">
      <w:pPr>
        <w:tabs>
          <w:tab w:val="left" w:pos="4320"/>
        </w:tabs>
        <w:rPr>
          <w:i/>
          <w:u w:val="single"/>
        </w:rPr>
      </w:pPr>
      <w:r>
        <w:tab/>
      </w:r>
      <w:r w:rsidRPr="00503056">
        <w:rPr>
          <w:i/>
          <w:iCs/>
          <w:u w:val="single"/>
        </w:rPr>
        <w:t>/s/</w:t>
      </w:r>
      <w:r w:rsidRPr="004535A2">
        <w:rPr>
          <w:u w:val="single"/>
        </w:rPr>
        <w:t xml:space="preserve"> </w:t>
      </w:r>
      <w:r>
        <w:rPr>
          <w:i/>
          <w:u w:val="single"/>
        </w:rPr>
        <w:t xml:space="preserve">Angela </w:t>
      </w:r>
      <w:r w:rsidR="00B559AA">
        <w:rPr>
          <w:i/>
          <w:u w:val="single"/>
        </w:rPr>
        <w:t xml:space="preserve">D. </w:t>
      </w:r>
      <w:r>
        <w:rPr>
          <w:i/>
          <w:u w:val="single"/>
        </w:rPr>
        <w:t>O’Brien</w:t>
      </w:r>
      <w:r>
        <w:rPr>
          <w:i/>
          <w:u w:val="single"/>
        </w:rPr>
        <w:tab/>
      </w:r>
      <w:r>
        <w:rPr>
          <w:i/>
          <w:u w:val="single"/>
        </w:rPr>
        <w:tab/>
      </w:r>
    </w:p>
    <w:p w:rsidR="00B52F65" w14:paraId="787CAC54" w14:textId="3A950C4F">
      <w:pPr>
        <w:tabs>
          <w:tab w:val="left" w:pos="4320"/>
        </w:tabs>
      </w:pPr>
      <w:r>
        <w:tab/>
        <w:t xml:space="preserve">Angela </w:t>
      </w:r>
      <w:r w:rsidR="00B559AA">
        <w:t xml:space="preserve">D. </w:t>
      </w:r>
      <w:r>
        <w:t>O’Brien</w:t>
      </w:r>
    </w:p>
    <w:p w:rsidR="00B52F65" w14:paraId="61EC04A1" w14:textId="64DEC6E3">
      <w:pPr>
        <w:tabs>
          <w:tab w:val="left" w:pos="4320"/>
        </w:tabs>
      </w:pPr>
      <w:r>
        <w:tab/>
        <w:t>Assistant Consumers’ Counsel</w:t>
      </w:r>
    </w:p>
    <w:p w:rsidR="0000110D" w14:paraId="5180D24C" w14:textId="77777777">
      <w:pPr>
        <w:tabs>
          <w:tab w:val="left" w:pos="4320"/>
        </w:tabs>
      </w:pPr>
    </w:p>
    <w:p w:rsidR="00B52F65" w14:paraId="367A86E8" w14:textId="77777777">
      <w:pPr>
        <w:pStyle w:val="CommentSubject"/>
      </w:pPr>
    </w:p>
    <w:p w:rsidR="005B331B" w:rsidP="0060598B" w14:paraId="4865252F" w14:textId="77777777">
      <w:r>
        <w:t>The PUCO’s e-filing system will electronically serve notice of the filing of this document on the following parties:</w:t>
      </w:r>
    </w:p>
    <w:p w:rsidR="00B52F65" w14:paraId="159633C6" w14:textId="77777777">
      <w:pPr>
        <w:pStyle w:val="CommentText"/>
      </w:pPr>
    </w:p>
    <w:p w:rsidR="00B52F65" w14:paraId="3E4CDCF7" w14:textId="77777777">
      <w:pPr>
        <w:pStyle w:val="CommentText"/>
        <w:jc w:val="center"/>
        <w:rPr>
          <w:b/>
          <w:u w:val="single"/>
        </w:rPr>
      </w:pPr>
      <w:r>
        <w:rPr>
          <w:b/>
          <w:u w:val="single"/>
        </w:rPr>
        <w:t>SERVICE LIST</w:t>
      </w:r>
    </w:p>
    <w:p w:rsidR="00B52F65" w14:paraId="25C5C5C0" w14:textId="77777777">
      <w:pPr>
        <w:pStyle w:val="CommentText"/>
        <w:jc w:val="center"/>
        <w:rPr>
          <w:b/>
          <w:u w:val="single"/>
        </w:rPr>
      </w:pPr>
    </w:p>
    <w:p w:rsidR="00B52F65" w14:paraId="2F401E4F"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BA20FA1" w14:textId="77777777" w:rsidTr="006A37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B52F65" w14:paraId="0DA53CD7" w14:textId="755C4E6E">
            <w:pPr>
              <w:pStyle w:val="BodyText"/>
              <w:rPr>
                <w:bCs/>
              </w:rPr>
            </w:pPr>
            <w:hyperlink r:id="rId10" w:history="1">
              <w:r w:rsidRPr="00D75E84" w:rsidR="006A37D6">
                <w:rPr>
                  <w:rStyle w:val="Hyperlink"/>
                  <w:bCs/>
                </w:rPr>
                <w:t>John.jones@ohioattorneygeneral.gov</w:t>
              </w:r>
            </w:hyperlink>
          </w:p>
          <w:p w:rsidR="0089543E" w14:paraId="20BCFA01" w14:textId="77777777">
            <w:pPr>
              <w:pStyle w:val="BodyText"/>
              <w:rPr>
                <w:bCs/>
              </w:rPr>
            </w:pPr>
          </w:p>
          <w:p w:rsidR="0089543E" w14:paraId="2A302A9B" w14:textId="69503FE0">
            <w:pPr>
              <w:pStyle w:val="BodyText"/>
              <w:rPr>
                <w:bCs/>
              </w:rPr>
            </w:pPr>
            <w:r>
              <w:rPr>
                <w:bCs/>
              </w:rPr>
              <w:t>Attorney Examiner:</w:t>
            </w:r>
          </w:p>
          <w:p w:rsidR="0089543E" w14:paraId="46AF70E8" w14:textId="77777777">
            <w:pPr>
              <w:pStyle w:val="BodyText"/>
              <w:rPr>
                <w:bCs/>
              </w:rPr>
            </w:pPr>
          </w:p>
          <w:p w:rsidR="0089543E" w14:paraId="4E1E9699" w14:textId="74AD2337">
            <w:pPr>
              <w:pStyle w:val="BodyText"/>
              <w:rPr>
                <w:bCs/>
              </w:rPr>
            </w:pPr>
            <w:hyperlink r:id="rId11" w:history="1">
              <w:r w:rsidRPr="00463957" w:rsidR="00463957">
                <w:rPr>
                  <w:rStyle w:val="Hyperlink"/>
                  <w:bCs/>
                </w:rPr>
                <w:t>Dan.fullin@puco.ohio.gov</w:t>
              </w:r>
            </w:hyperlink>
          </w:p>
          <w:p w:rsidR="006A37D6" w:rsidRPr="0091434C" w14:paraId="6BA6411C" w14:textId="7139B696">
            <w:pPr>
              <w:pStyle w:val="BodyText"/>
              <w:rPr>
                <w:bCs/>
              </w:rPr>
            </w:pPr>
          </w:p>
        </w:tc>
        <w:tc>
          <w:tcPr>
            <w:tcW w:w="4315" w:type="dxa"/>
          </w:tcPr>
          <w:p w:rsidR="00F44221" w14:paraId="62F2D0A1" w14:textId="0B9240CA">
            <w:pPr>
              <w:pStyle w:val="BodyText"/>
              <w:rPr>
                <w:bCs/>
              </w:rPr>
            </w:pPr>
            <w:hyperlink r:id="rId12" w:history="1">
              <w:r w:rsidRPr="00D75E84" w:rsidR="006A37D6">
                <w:rPr>
                  <w:rStyle w:val="Hyperlink"/>
                  <w:bCs/>
                </w:rPr>
                <w:t>kwhite@sparkenergy.com</w:t>
              </w:r>
            </w:hyperlink>
          </w:p>
          <w:p w:rsidR="006A37D6" w:rsidRPr="00C50C5C" w14:paraId="473C5011" w14:textId="5C18B0A3">
            <w:pPr>
              <w:pStyle w:val="BodyText"/>
              <w:rPr>
                <w:rStyle w:val="Hyperlink"/>
              </w:rPr>
            </w:pPr>
            <w:r w:rsidRPr="00C50C5C">
              <w:rPr>
                <w:rStyle w:val="Hyperlink"/>
              </w:rPr>
              <w:t>mleclerc@sparkenergy.com</w:t>
            </w:r>
          </w:p>
          <w:p w:rsidR="00F44221" w:rsidRPr="00E30D7C" w14:paraId="56332205" w14:textId="77777777">
            <w:pPr>
              <w:pStyle w:val="BodyText"/>
              <w:rPr>
                <w:rStyle w:val="Hyperlink"/>
              </w:rPr>
            </w:pPr>
            <w:r w:rsidRPr="00E30D7C">
              <w:rPr>
                <w:rStyle w:val="Hyperlink"/>
              </w:rPr>
              <w:t>dproano@bakerlaw.com</w:t>
            </w:r>
          </w:p>
          <w:p w:rsidR="00E30D7C" w:rsidRPr="00E30D7C" w14:paraId="41C0D9D5" w14:textId="77777777">
            <w:pPr>
              <w:pStyle w:val="BodyText"/>
              <w:rPr>
                <w:rStyle w:val="Hyperlink"/>
              </w:rPr>
            </w:pPr>
            <w:r w:rsidRPr="00E30D7C">
              <w:rPr>
                <w:rStyle w:val="Hyperlink"/>
              </w:rPr>
              <w:t>kkash@bakerlaw.com</w:t>
            </w:r>
          </w:p>
          <w:p w:rsidR="00E30D7C" w:rsidRPr="00E30D7C" w14:paraId="0DE42B06" w14:textId="77777777">
            <w:pPr>
              <w:pStyle w:val="BodyText"/>
              <w:rPr>
                <w:rStyle w:val="Hyperlink"/>
              </w:rPr>
            </w:pPr>
            <w:r w:rsidRPr="00E30D7C">
              <w:rPr>
                <w:rStyle w:val="Hyperlink"/>
              </w:rPr>
              <w:t>dlemon@bakerlaw.com</w:t>
            </w:r>
          </w:p>
          <w:p w:rsidR="00E30D7C" w:rsidRPr="00E30D7C" w14:paraId="4D3F8539" w14:textId="77777777">
            <w:pPr>
              <w:pStyle w:val="BodyText"/>
              <w:rPr>
                <w:rStyle w:val="Hyperlink"/>
              </w:rPr>
            </w:pPr>
            <w:r w:rsidRPr="00E30D7C">
              <w:rPr>
                <w:rStyle w:val="Hyperlink"/>
              </w:rPr>
              <w:t>tathompson@bakerlaw.com</w:t>
            </w:r>
          </w:p>
          <w:p w:rsidR="00A8695D" w:rsidRPr="007B2C72" w:rsidP="00A8695D" w14:paraId="17B7E69F" w14:textId="77777777">
            <w:pPr>
              <w:rPr>
                <w:rStyle w:val="Hyperlink"/>
              </w:rPr>
            </w:pPr>
            <w:hyperlink r:id="rId13" w:history="1">
              <w:r w:rsidRPr="007B2C72" w:rsidR="00CE2E91">
                <w:rPr>
                  <w:rStyle w:val="Hyperlink"/>
                </w:rPr>
                <w:t>bclay@sparkenergy.com</w:t>
              </w:r>
            </w:hyperlink>
          </w:p>
          <w:p w:rsidR="00A8695D" w:rsidRPr="007B2C72" w:rsidP="00A8695D" w14:paraId="05172DBE" w14:textId="77777777">
            <w:pPr>
              <w:rPr>
                <w:rStyle w:val="Hyperlink"/>
              </w:rPr>
            </w:pPr>
            <w:hyperlink r:id="rId14" w:history="1">
              <w:r w:rsidRPr="007B2C72" w:rsidR="00CE2E91">
                <w:rPr>
                  <w:rStyle w:val="Hyperlink"/>
                </w:rPr>
                <w:t>mlundstrom@sparkenergy.com</w:t>
              </w:r>
            </w:hyperlink>
          </w:p>
          <w:p w:rsidR="00E30D7C" w:rsidRPr="0091434C" w14:paraId="3C5B74F1" w14:textId="52A634AC">
            <w:pPr>
              <w:pStyle w:val="BodyText"/>
              <w:rPr>
                <w:bCs/>
              </w:rPr>
            </w:pPr>
          </w:p>
        </w:tc>
      </w:tr>
    </w:tbl>
    <w:p w:rsidR="00B52F65" w14:paraId="333E514E" w14:textId="77777777">
      <w:pPr>
        <w:pStyle w:val="BodyText"/>
        <w:rPr>
          <w:b/>
          <w:bCs/>
        </w:rPr>
      </w:pPr>
    </w:p>
    <w:sectPr w:rsidSect="0097483F">
      <w:footerReference w:type="first" r:id="rId15"/>
      <w:pgSz w:w="12240" w:h="15840"/>
      <w:pgMar w:top="1440" w:right="1800" w:bottom="1440" w:left="1800" w:header="720" w:footer="720" w:gutter="0"/>
      <w:pgNumType w:start="2"/>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1727153"/>
      <w:docPartObj>
        <w:docPartGallery w:val="Page Numbers (Bottom of Page)"/>
        <w:docPartUnique/>
      </w:docPartObj>
    </w:sdtPr>
    <w:sdtEndPr>
      <w:rPr>
        <w:noProof/>
        <w:sz w:val="24"/>
        <w:szCs w:val="24"/>
      </w:rPr>
    </w:sdtEndPr>
    <w:sdtContent>
      <w:p w:rsidR="00605CB3" w:rsidRPr="00605CB3" w14:paraId="71304260" w14:textId="422A5BD3">
        <w:pPr>
          <w:pStyle w:val="Footer"/>
          <w:jc w:val="center"/>
          <w:rPr>
            <w:sz w:val="24"/>
            <w:szCs w:val="24"/>
          </w:rPr>
        </w:pPr>
        <w:r w:rsidRPr="00605CB3">
          <w:rPr>
            <w:sz w:val="24"/>
            <w:szCs w:val="24"/>
          </w:rPr>
          <w:fldChar w:fldCharType="begin"/>
        </w:r>
        <w:r w:rsidRPr="00605CB3">
          <w:rPr>
            <w:sz w:val="24"/>
            <w:szCs w:val="24"/>
          </w:rPr>
          <w:instrText xml:space="preserve"> PAGE   \* MERGEFORMAT </w:instrText>
        </w:r>
        <w:r w:rsidRPr="00605CB3">
          <w:rPr>
            <w:sz w:val="24"/>
            <w:szCs w:val="24"/>
          </w:rPr>
          <w:fldChar w:fldCharType="separate"/>
        </w:r>
        <w:r w:rsidR="00961837">
          <w:rPr>
            <w:noProof/>
            <w:sz w:val="24"/>
            <w:szCs w:val="24"/>
          </w:rPr>
          <w:t>5</w:t>
        </w:r>
        <w:r w:rsidRPr="00605CB3">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5CB3" w:rsidRPr="00605CB3" w14:paraId="2B4827EB" w14:textId="2A6CAB3D">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9521216"/>
      <w:docPartObj>
        <w:docPartGallery w:val="Page Numbers (Bottom of Page)"/>
        <w:docPartUnique/>
      </w:docPartObj>
    </w:sdtPr>
    <w:sdtEndPr>
      <w:rPr>
        <w:noProof/>
        <w:sz w:val="24"/>
        <w:szCs w:val="24"/>
      </w:rPr>
    </w:sdtEndPr>
    <w:sdtContent>
      <w:p w:rsidR="00605CB3" w:rsidRPr="00605CB3" w14:paraId="228675D6" w14:textId="4E6397A8">
        <w:pPr>
          <w:pStyle w:val="Footer"/>
          <w:jc w:val="center"/>
          <w:rPr>
            <w:sz w:val="24"/>
            <w:szCs w:val="24"/>
          </w:rPr>
        </w:pPr>
        <w:r w:rsidRPr="00605CB3">
          <w:rPr>
            <w:sz w:val="24"/>
            <w:szCs w:val="24"/>
          </w:rPr>
          <w:fldChar w:fldCharType="begin"/>
        </w:r>
        <w:r w:rsidRPr="00605CB3">
          <w:rPr>
            <w:sz w:val="24"/>
            <w:szCs w:val="24"/>
          </w:rPr>
          <w:instrText xml:space="preserve"> PAGE   \* MERGEFORMAT </w:instrText>
        </w:r>
        <w:r w:rsidRPr="00605CB3">
          <w:rPr>
            <w:sz w:val="24"/>
            <w:szCs w:val="24"/>
          </w:rPr>
          <w:fldChar w:fldCharType="separate"/>
        </w:r>
        <w:r w:rsidR="00961837">
          <w:rPr>
            <w:noProof/>
            <w:sz w:val="24"/>
            <w:szCs w:val="24"/>
          </w:rPr>
          <w:t>2</w:t>
        </w:r>
        <w:r w:rsidRPr="00605CB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2E91" w14:paraId="1A7F1A36" w14:textId="77777777">
      <w:r>
        <w:separator/>
      </w:r>
    </w:p>
  </w:footnote>
  <w:footnote w:type="continuationSeparator" w:id="1">
    <w:p w:rsidR="00CE2E91" w14:paraId="14F96E26" w14:textId="77777777">
      <w:r>
        <w:continuationSeparator/>
      </w:r>
    </w:p>
  </w:footnote>
  <w:footnote w:id="2">
    <w:p w:rsidR="00F359B1" w:rsidRPr="00F359B1" w:rsidP="005B6A3E" w14:paraId="7F7BE639" w14:textId="694E9C01">
      <w:pPr>
        <w:pStyle w:val="FootnoteText"/>
        <w:spacing w:after="120"/>
      </w:pPr>
      <w:r>
        <w:rPr>
          <w:rStyle w:val="FootnoteReference"/>
        </w:rPr>
        <w:footnoteRef/>
      </w:r>
      <w:r>
        <w:t xml:space="preserve"> </w:t>
      </w:r>
      <w:r>
        <w:rPr>
          <w:i/>
          <w:iCs/>
        </w:rPr>
        <w:t>Motion to Require Verde Energy to Provide Notification of a Material Change in Information for its Renewal Application or, in the Alternative, Motion for Administrative Notice of an Investigation Initiated by the Pennsylvania Public Utility Commission by the Office of the Ohio Consumers’ Counsel</w:t>
      </w:r>
      <w:r>
        <w:t>, Case No. 13-2164-GA-CRS (Feb. 5, 2020) (“OCC Motion”).</w:t>
      </w:r>
    </w:p>
  </w:footnote>
  <w:footnote w:id="3">
    <w:p w:rsidR="00146057" w:rsidP="005B6A3E" w14:paraId="3909079F" w14:textId="07C3B798">
      <w:pPr>
        <w:pStyle w:val="FootnoteText"/>
        <w:spacing w:after="120"/>
      </w:pPr>
      <w:r>
        <w:rPr>
          <w:rStyle w:val="FootnoteReference"/>
        </w:rPr>
        <w:footnoteRef/>
      </w:r>
      <w:r>
        <w:t xml:space="preserve"> Verde Memo Contra, at 3.</w:t>
      </w:r>
    </w:p>
  </w:footnote>
  <w:footnote w:id="4">
    <w:p w:rsidR="00146057" w:rsidP="005B6A3E" w14:paraId="1E22C5B6" w14:textId="453C20DD">
      <w:pPr>
        <w:pStyle w:val="FootnoteText"/>
        <w:spacing w:after="120"/>
      </w:pPr>
      <w:r>
        <w:rPr>
          <w:rStyle w:val="FootnoteReference"/>
        </w:rPr>
        <w:footnoteRef/>
      </w:r>
      <w:r>
        <w:t xml:space="preserve"> </w:t>
      </w:r>
      <w:r>
        <w:rPr>
          <w:i/>
          <w:iCs/>
        </w:rPr>
        <w:t xml:space="preserve">See </w:t>
      </w:r>
      <w:r>
        <w:t xml:space="preserve">Verde Memo Contra, at </w:t>
      </w:r>
      <w:r w:rsidR="00560234">
        <w:t xml:space="preserve">2, </w:t>
      </w:r>
      <w:r>
        <w:t xml:space="preserve">3. </w:t>
      </w:r>
    </w:p>
  </w:footnote>
  <w:footnote w:id="5">
    <w:p w:rsidR="00D14BD2" w:rsidP="005B6A3E" w14:paraId="143E021D" w14:textId="5D340515">
      <w:pPr>
        <w:pStyle w:val="FootnoteText"/>
        <w:spacing w:after="120"/>
      </w:pPr>
      <w:r>
        <w:rPr>
          <w:rStyle w:val="FootnoteReference"/>
        </w:rPr>
        <w:footnoteRef/>
      </w:r>
      <w:r>
        <w:t xml:space="preserve"> Verde Renewal Application, A-1.</w:t>
      </w:r>
    </w:p>
  </w:footnote>
  <w:footnote w:id="6">
    <w:p w:rsidR="00274C70" w:rsidRPr="008720BE" w:rsidP="005B6A3E" w14:paraId="33F2FE8F" w14:textId="215F911C">
      <w:pPr>
        <w:pStyle w:val="FootnoteText"/>
        <w:spacing w:after="120"/>
      </w:pPr>
      <w:r w:rsidRPr="008720BE">
        <w:rPr>
          <w:rStyle w:val="FootnoteReference"/>
        </w:rPr>
        <w:footnoteRef/>
      </w:r>
      <w:r w:rsidRPr="008720BE">
        <w:t xml:space="preserve"> R.C. 4929.20(A).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13817"/>
    <w:multiLevelType w:val="hybridMultilevel"/>
    <w:tmpl w:val="453EDB8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46555C"/>
    <w:multiLevelType w:val="hybridMultilevel"/>
    <w:tmpl w:val="610EBC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4046284"/>
    <w:multiLevelType w:val="hybridMultilevel"/>
    <w:tmpl w:val="4C5E31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F0B67DB"/>
    <w:multiLevelType w:val="hybridMultilevel"/>
    <w:tmpl w:val="7EA64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5"/>
  </w:num>
  <w:num w:numId="2">
    <w:abstractNumId w:val="4"/>
  </w:num>
  <w:num w:numId="3">
    <w:abstractNumId w:val="8"/>
  </w:num>
  <w:num w:numId="4">
    <w:abstractNumId w:val="7"/>
  </w:num>
  <w:num w:numId="5">
    <w:abstractNumId w:val="1"/>
  </w:num>
  <w:num w:numId="6">
    <w:abstractNumId w:val="9"/>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09"/>
    <w:rsid w:val="0000110D"/>
    <w:rsid w:val="000039FF"/>
    <w:rsid w:val="00016647"/>
    <w:rsid w:val="000202BF"/>
    <w:rsid w:val="00027501"/>
    <w:rsid w:val="00034CD8"/>
    <w:rsid w:val="00052418"/>
    <w:rsid w:val="000578A2"/>
    <w:rsid w:val="000635F2"/>
    <w:rsid w:val="0006609A"/>
    <w:rsid w:val="00066CF9"/>
    <w:rsid w:val="00091BC7"/>
    <w:rsid w:val="000925F8"/>
    <w:rsid w:val="00095300"/>
    <w:rsid w:val="000A3CAF"/>
    <w:rsid w:val="000B1BB1"/>
    <w:rsid w:val="000B7ED7"/>
    <w:rsid w:val="000C49E0"/>
    <w:rsid w:val="000D5C9F"/>
    <w:rsid w:val="000E3CF4"/>
    <w:rsid w:val="000E6C64"/>
    <w:rsid w:val="000F0366"/>
    <w:rsid w:val="000F389B"/>
    <w:rsid w:val="000F5572"/>
    <w:rsid w:val="00106466"/>
    <w:rsid w:val="001077B5"/>
    <w:rsid w:val="00107DE7"/>
    <w:rsid w:val="00110037"/>
    <w:rsid w:val="001101EE"/>
    <w:rsid w:val="001151B9"/>
    <w:rsid w:val="00123281"/>
    <w:rsid w:val="001239CE"/>
    <w:rsid w:val="00131AF0"/>
    <w:rsid w:val="00131EDB"/>
    <w:rsid w:val="0013427B"/>
    <w:rsid w:val="00146057"/>
    <w:rsid w:val="00151C2D"/>
    <w:rsid w:val="00152FA5"/>
    <w:rsid w:val="0015402F"/>
    <w:rsid w:val="00160EA7"/>
    <w:rsid w:val="00162941"/>
    <w:rsid w:val="00163C30"/>
    <w:rsid w:val="00165BE8"/>
    <w:rsid w:val="00170460"/>
    <w:rsid w:val="00172208"/>
    <w:rsid w:val="001941E0"/>
    <w:rsid w:val="001A7091"/>
    <w:rsid w:val="001A7452"/>
    <w:rsid w:val="001B2ADD"/>
    <w:rsid w:val="001F1626"/>
    <w:rsid w:val="001F372C"/>
    <w:rsid w:val="0020516E"/>
    <w:rsid w:val="00210D25"/>
    <w:rsid w:val="00216EDE"/>
    <w:rsid w:val="00231BA4"/>
    <w:rsid w:val="00240621"/>
    <w:rsid w:val="002422D0"/>
    <w:rsid w:val="00247F58"/>
    <w:rsid w:val="002622B5"/>
    <w:rsid w:val="00262528"/>
    <w:rsid w:val="00263991"/>
    <w:rsid w:val="00274C70"/>
    <w:rsid w:val="002803A7"/>
    <w:rsid w:val="00294557"/>
    <w:rsid w:val="00295113"/>
    <w:rsid w:val="002957C4"/>
    <w:rsid w:val="002A2129"/>
    <w:rsid w:val="002A4452"/>
    <w:rsid w:val="002C2434"/>
    <w:rsid w:val="002C40AA"/>
    <w:rsid w:val="002D185D"/>
    <w:rsid w:val="002D3DBC"/>
    <w:rsid w:val="002E1127"/>
    <w:rsid w:val="002E4553"/>
    <w:rsid w:val="002E6880"/>
    <w:rsid w:val="002F3162"/>
    <w:rsid w:val="002F5E90"/>
    <w:rsid w:val="003122E4"/>
    <w:rsid w:val="003346CD"/>
    <w:rsid w:val="00337645"/>
    <w:rsid w:val="00337FD0"/>
    <w:rsid w:val="00340F51"/>
    <w:rsid w:val="0034156F"/>
    <w:rsid w:val="00344050"/>
    <w:rsid w:val="0035237D"/>
    <w:rsid w:val="00362EB8"/>
    <w:rsid w:val="00365412"/>
    <w:rsid w:val="00382FB5"/>
    <w:rsid w:val="003837A6"/>
    <w:rsid w:val="00391638"/>
    <w:rsid w:val="00397F54"/>
    <w:rsid w:val="003A42F4"/>
    <w:rsid w:val="003A5F98"/>
    <w:rsid w:val="003B1A4B"/>
    <w:rsid w:val="003C67FD"/>
    <w:rsid w:val="003D715D"/>
    <w:rsid w:val="003E2634"/>
    <w:rsid w:val="003F1EB8"/>
    <w:rsid w:val="003F4844"/>
    <w:rsid w:val="003F7530"/>
    <w:rsid w:val="00400B5C"/>
    <w:rsid w:val="00413A2B"/>
    <w:rsid w:val="0041483E"/>
    <w:rsid w:val="00417BBC"/>
    <w:rsid w:val="004317F7"/>
    <w:rsid w:val="004535A2"/>
    <w:rsid w:val="0045416D"/>
    <w:rsid w:val="00463957"/>
    <w:rsid w:val="004719C4"/>
    <w:rsid w:val="00473351"/>
    <w:rsid w:val="0049109A"/>
    <w:rsid w:val="0049214A"/>
    <w:rsid w:val="004A22C8"/>
    <w:rsid w:val="004A3D04"/>
    <w:rsid w:val="004A66B6"/>
    <w:rsid w:val="004A6984"/>
    <w:rsid w:val="004A6EE2"/>
    <w:rsid w:val="004B1662"/>
    <w:rsid w:val="004B69AE"/>
    <w:rsid w:val="004B7901"/>
    <w:rsid w:val="004D4C9B"/>
    <w:rsid w:val="004E1D79"/>
    <w:rsid w:val="004E44F4"/>
    <w:rsid w:val="004E7041"/>
    <w:rsid w:val="004E7DFC"/>
    <w:rsid w:val="004F71B6"/>
    <w:rsid w:val="00500B79"/>
    <w:rsid w:val="00501992"/>
    <w:rsid w:val="00503056"/>
    <w:rsid w:val="00516058"/>
    <w:rsid w:val="005356D7"/>
    <w:rsid w:val="00542E1F"/>
    <w:rsid w:val="00543D32"/>
    <w:rsid w:val="00544F0C"/>
    <w:rsid w:val="0054563D"/>
    <w:rsid w:val="00553AEB"/>
    <w:rsid w:val="00560234"/>
    <w:rsid w:val="0056206C"/>
    <w:rsid w:val="005637DC"/>
    <w:rsid w:val="00566CF1"/>
    <w:rsid w:val="00577318"/>
    <w:rsid w:val="00586ED4"/>
    <w:rsid w:val="0059231F"/>
    <w:rsid w:val="0059283C"/>
    <w:rsid w:val="00593F41"/>
    <w:rsid w:val="00594E90"/>
    <w:rsid w:val="005B331B"/>
    <w:rsid w:val="005B6A3E"/>
    <w:rsid w:val="005B6B86"/>
    <w:rsid w:val="005D3F48"/>
    <w:rsid w:val="005D4737"/>
    <w:rsid w:val="005F04A6"/>
    <w:rsid w:val="005F1B61"/>
    <w:rsid w:val="005F2298"/>
    <w:rsid w:val="0060598B"/>
    <w:rsid w:val="00605CB3"/>
    <w:rsid w:val="00606D17"/>
    <w:rsid w:val="00611649"/>
    <w:rsid w:val="00614F1F"/>
    <w:rsid w:val="006309C5"/>
    <w:rsid w:val="00632365"/>
    <w:rsid w:val="006416B6"/>
    <w:rsid w:val="00641FA9"/>
    <w:rsid w:val="00646111"/>
    <w:rsid w:val="006511C0"/>
    <w:rsid w:val="0065689A"/>
    <w:rsid w:val="006629C4"/>
    <w:rsid w:val="00665C0A"/>
    <w:rsid w:val="006669E0"/>
    <w:rsid w:val="006672FD"/>
    <w:rsid w:val="00670895"/>
    <w:rsid w:val="00683224"/>
    <w:rsid w:val="006859F7"/>
    <w:rsid w:val="006917C6"/>
    <w:rsid w:val="006A1716"/>
    <w:rsid w:val="006A37D6"/>
    <w:rsid w:val="006A4772"/>
    <w:rsid w:val="006B450E"/>
    <w:rsid w:val="006B764D"/>
    <w:rsid w:val="006C2ACB"/>
    <w:rsid w:val="006D3179"/>
    <w:rsid w:val="006D4759"/>
    <w:rsid w:val="006D5580"/>
    <w:rsid w:val="006E569F"/>
    <w:rsid w:val="006F29E2"/>
    <w:rsid w:val="00700FB1"/>
    <w:rsid w:val="0070178C"/>
    <w:rsid w:val="00701E5A"/>
    <w:rsid w:val="007115BE"/>
    <w:rsid w:val="00711BAE"/>
    <w:rsid w:val="00716257"/>
    <w:rsid w:val="00720AE3"/>
    <w:rsid w:val="00731B26"/>
    <w:rsid w:val="007320F8"/>
    <w:rsid w:val="0073422D"/>
    <w:rsid w:val="0073453E"/>
    <w:rsid w:val="007677B3"/>
    <w:rsid w:val="00775A93"/>
    <w:rsid w:val="00785146"/>
    <w:rsid w:val="00786590"/>
    <w:rsid w:val="00791135"/>
    <w:rsid w:val="00791807"/>
    <w:rsid w:val="007A7105"/>
    <w:rsid w:val="007B068C"/>
    <w:rsid w:val="007B2C72"/>
    <w:rsid w:val="007B390B"/>
    <w:rsid w:val="007C14AA"/>
    <w:rsid w:val="007C560A"/>
    <w:rsid w:val="007D5AE5"/>
    <w:rsid w:val="007E2879"/>
    <w:rsid w:val="007E4AE3"/>
    <w:rsid w:val="007E7A23"/>
    <w:rsid w:val="007F08CC"/>
    <w:rsid w:val="007F2CC1"/>
    <w:rsid w:val="007F48D4"/>
    <w:rsid w:val="008008D9"/>
    <w:rsid w:val="00804E49"/>
    <w:rsid w:val="00807AD7"/>
    <w:rsid w:val="00810BAE"/>
    <w:rsid w:val="00813CC3"/>
    <w:rsid w:val="00814057"/>
    <w:rsid w:val="008141BB"/>
    <w:rsid w:val="008310ED"/>
    <w:rsid w:val="008355CD"/>
    <w:rsid w:val="0083591F"/>
    <w:rsid w:val="00850DC1"/>
    <w:rsid w:val="00851376"/>
    <w:rsid w:val="00854068"/>
    <w:rsid w:val="00861214"/>
    <w:rsid w:val="0086369F"/>
    <w:rsid w:val="00864D76"/>
    <w:rsid w:val="00865ACA"/>
    <w:rsid w:val="008673F7"/>
    <w:rsid w:val="008720BE"/>
    <w:rsid w:val="00887AF3"/>
    <w:rsid w:val="00891815"/>
    <w:rsid w:val="0089369B"/>
    <w:rsid w:val="00894375"/>
    <w:rsid w:val="0089543E"/>
    <w:rsid w:val="00897771"/>
    <w:rsid w:val="008A5565"/>
    <w:rsid w:val="008C52F2"/>
    <w:rsid w:val="008C6A81"/>
    <w:rsid w:val="008D33BD"/>
    <w:rsid w:val="008D5052"/>
    <w:rsid w:val="008F7E3B"/>
    <w:rsid w:val="00901A32"/>
    <w:rsid w:val="00903CA0"/>
    <w:rsid w:val="0091434C"/>
    <w:rsid w:val="009151CC"/>
    <w:rsid w:val="009178AF"/>
    <w:rsid w:val="00926762"/>
    <w:rsid w:val="00936654"/>
    <w:rsid w:val="00944F36"/>
    <w:rsid w:val="009472C8"/>
    <w:rsid w:val="00952D50"/>
    <w:rsid w:val="00960961"/>
    <w:rsid w:val="00961837"/>
    <w:rsid w:val="00973CAE"/>
    <w:rsid w:val="0097483F"/>
    <w:rsid w:val="00975160"/>
    <w:rsid w:val="0097615C"/>
    <w:rsid w:val="0098629F"/>
    <w:rsid w:val="0099289D"/>
    <w:rsid w:val="009A4FA3"/>
    <w:rsid w:val="009B4E2A"/>
    <w:rsid w:val="009C7F6C"/>
    <w:rsid w:val="009D084F"/>
    <w:rsid w:val="009D18B3"/>
    <w:rsid w:val="009D274E"/>
    <w:rsid w:val="009D2D53"/>
    <w:rsid w:val="009E09EC"/>
    <w:rsid w:val="009E7F4F"/>
    <w:rsid w:val="00A001C4"/>
    <w:rsid w:val="00A044B5"/>
    <w:rsid w:val="00A1018F"/>
    <w:rsid w:val="00A10E45"/>
    <w:rsid w:val="00A15EEC"/>
    <w:rsid w:val="00A1707B"/>
    <w:rsid w:val="00A23E08"/>
    <w:rsid w:val="00A267FA"/>
    <w:rsid w:val="00A31B5F"/>
    <w:rsid w:val="00A359A7"/>
    <w:rsid w:val="00A46FA3"/>
    <w:rsid w:val="00A53528"/>
    <w:rsid w:val="00A53900"/>
    <w:rsid w:val="00A567AB"/>
    <w:rsid w:val="00A571F3"/>
    <w:rsid w:val="00A65C52"/>
    <w:rsid w:val="00A7519A"/>
    <w:rsid w:val="00A76714"/>
    <w:rsid w:val="00A802D6"/>
    <w:rsid w:val="00A82729"/>
    <w:rsid w:val="00A8695D"/>
    <w:rsid w:val="00A94909"/>
    <w:rsid w:val="00AA31FB"/>
    <w:rsid w:val="00AA7BFC"/>
    <w:rsid w:val="00AB4CFB"/>
    <w:rsid w:val="00AC070E"/>
    <w:rsid w:val="00AC4753"/>
    <w:rsid w:val="00AC71FF"/>
    <w:rsid w:val="00AD45A5"/>
    <w:rsid w:val="00AE551A"/>
    <w:rsid w:val="00AF1EB7"/>
    <w:rsid w:val="00AF2BFD"/>
    <w:rsid w:val="00AF2D1E"/>
    <w:rsid w:val="00B01B51"/>
    <w:rsid w:val="00B05B8A"/>
    <w:rsid w:val="00B160ED"/>
    <w:rsid w:val="00B379B2"/>
    <w:rsid w:val="00B42956"/>
    <w:rsid w:val="00B44311"/>
    <w:rsid w:val="00B52F65"/>
    <w:rsid w:val="00B530FD"/>
    <w:rsid w:val="00B559AA"/>
    <w:rsid w:val="00B56494"/>
    <w:rsid w:val="00B610EB"/>
    <w:rsid w:val="00B6528E"/>
    <w:rsid w:val="00B65A3A"/>
    <w:rsid w:val="00B720BD"/>
    <w:rsid w:val="00B8388D"/>
    <w:rsid w:val="00B86732"/>
    <w:rsid w:val="00B86E90"/>
    <w:rsid w:val="00B958B3"/>
    <w:rsid w:val="00BB5292"/>
    <w:rsid w:val="00BB6F7A"/>
    <w:rsid w:val="00BB7CC7"/>
    <w:rsid w:val="00BC300C"/>
    <w:rsid w:val="00BC5B2C"/>
    <w:rsid w:val="00BC7D43"/>
    <w:rsid w:val="00BD403A"/>
    <w:rsid w:val="00BE3175"/>
    <w:rsid w:val="00BE7BD8"/>
    <w:rsid w:val="00BF33A8"/>
    <w:rsid w:val="00BF3703"/>
    <w:rsid w:val="00C00484"/>
    <w:rsid w:val="00C004D0"/>
    <w:rsid w:val="00C12096"/>
    <w:rsid w:val="00C20A2A"/>
    <w:rsid w:val="00C35C7E"/>
    <w:rsid w:val="00C50C5C"/>
    <w:rsid w:val="00C50CDA"/>
    <w:rsid w:val="00C60828"/>
    <w:rsid w:val="00C616A6"/>
    <w:rsid w:val="00C635CD"/>
    <w:rsid w:val="00C65EDA"/>
    <w:rsid w:val="00C82B81"/>
    <w:rsid w:val="00C87E9D"/>
    <w:rsid w:val="00C9264C"/>
    <w:rsid w:val="00C94C4B"/>
    <w:rsid w:val="00C95C1A"/>
    <w:rsid w:val="00CA6832"/>
    <w:rsid w:val="00CE2E91"/>
    <w:rsid w:val="00CE436B"/>
    <w:rsid w:val="00CE7CA5"/>
    <w:rsid w:val="00D03BB2"/>
    <w:rsid w:val="00D107F1"/>
    <w:rsid w:val="00D124EB"/>
    <w:rsid w:val="00D14BD2"/>
    <w:rsid w:val="00D1779C"/>
    <w:rsid w:val="00D25518"/>
    <w:rsid w:val="00D30B26"/>
    <w:rsid w:val="00D3334C"/>
    <w:rsid w:val="00D33FB3"/>
    <w:rsid w:val="00D43A89"/>
    <w:rsid w:val="00D43F8B"/>
    <w:rsid w:val="00D55AE1"/>
    <w:rsid w:val="00D57EC3"/>
    <w:rsid w:val="00D676C0"/>
    <w:rsid w:val="00D730F0"/>
    <w:rsid w:val="00D75E84"/>
    <w:rsid w:val="00D81FCA"/>
    <w:rsid w:val="00D8459E"/>
    <w:rsid w:val="00D86024"/>
    <w:rsid w:val="00D87DDD"/>
    <w:rsid w:val="00D92324"/>
    <w:rsid w:val="00D971A3"/>
    <w:rsid w:val="00DA3795"/>
    <w:rsid w:val="00DB1705"/>
    <w:rsid w:val="00DB184A"/>
    <w:rsid w:val="00DB2B65"/>
    <w:rsid w:val="00DB5F23"/>
    <w:rsid w:val="00DB6309"/>
    <w:rsid w:val="00DC6D4F"/>
    <w:rsid w:val="00DD1844"/>
    <w:rsid w:val="00DE1752"/>
    <w:rsid w:val="00E06BA8"/>
    <w:rsid w:val="00E17410"/>
    <w:rsid w:val="00E2159F"/>
    <w:rsid w:val="00E30D7C"/>
    <w:rsid w:val="00E30EE1"/>
    <w:rsid w:val="00E37730"/>
    <w:rsid w:val="00E46092"/>
    <w:rsid w:val="00E523E3"/>
    <w:rsid w:val="00E6143F"/>
    <w:rsid w:val="00E6570A"/>
    <w:rsid w:val="00E66563"/>
    <w:rsid w:val="00E677AC"/>
    <w:rsid w:val="00E70DD9"/>
    <w:rsid w:val="00E801AD"/>
    <w:rsid w:val="00E81D7C"/>
    <w:rsid w:val="00E87065"/>
    <w:rsid w:val="00E87E9F"/>
    <w:rsid w:val="00E91CFF"/>
    <w:rsid w:val="00E94024"/>
    <w:rsid w:val="00E94132"/>
    <w:rsid w:val="00E97B5E"/>
    <w:rsid w:val="00EB1762"/>
    <w:rsid w:val="00EB5DBE"/>
    <w:rsid w:val="00ED358A"/>
    <w:rsid w:val="00ED3B89"/>
    <w:rsid w:val="00ED5E6B"/>
    <w:rsid w:val="00EF0788"/>
    <w:rsid w:val="00F00D8C"/>
    <w:rsid w:val="00F011FA"/>
    <w:rsid w:val="00F02AFA"/>
    <w:rsid w:val="00F1618B"/>
    <w:rsid w:val="00F22F03"/>
    <w:rsid w:val="00F25517"/>
    <w:rsid w:val="00F26293"/>
    <w:rsid w:val="00F359B1"/>
    <w:rsid w:val="00F363B6"/>
    <w:rsid w:val="00F44221"/>
    <w:rsid w:val="00F472C0"/>
    <w:rsid w:val="00F55C88"/>
    <w:rsid w:val="00F71EC7"/>
    <w:rsid w:val="00F82A93"/>
    <w:rsid w:val="00F84EA6"/>
    <w:rsid w:val="00F90B18"/>
    <w:rsid w:val="00F90D4B"/>
    <w:rsid w:val="00F95497"/>
    <w:rsid w:val="00FA01A4"/>
    <w:rsid w:val="00FB24E3"/>
    <w:rsid w:val="00FB4AE9"/>
    <w:rsid w:val="00FC12A1"/>
    <w:rsid w:val="00FC554D"/>
    <w:rsid w:val="00FD0DAE"/>
    <w:rsid w:val="00FD22D2"/>
    <w:rsid w:val="00FD2EE5"/>
    <w:rsid w:val="00FD35F6"/>
    <w:rsid w:val="00FD466F"/>
    <w:rsid w:val="00FD573C"/>
    <w:rsid w:val="00FD7B83"/>
    <w:rsid w:val="00FE0569"/>
    <w:rsid w:val="00FE1341"/>
    <w:rsid w:val="00FE26E6"/>
    <w:rsid w:val="00FF35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3C"/>
    <w:rPr>
      <w:sz w:val="24"/>
    </w:rPr>
  </w:style>
  <w:style w:type="paragraph" w:styleId="Heading1">
    <w:name w:val="heading 1"/>
    <w:basedOn w:val="Normal"/>
    <w:next w:val="Normal"/>
    <w:link w:val="Heading1Char"/>
    <w:qFormat/>
    <w:rsid w:val="00F1618B"/>
    <w:pPr>
      <w:keepNext/>
      <w:spacing w:after="240"/>
      <w:ind w:left="720" w:hanging="720"/>
      <w:outlineLvl w:val="0"/>
    </w:pPr>
    <w:rPr>
      <w:b/>
      <w:szCs w:val="24"/>
    </w:rPr>
  </w:style>
  <w:style w:type="paragraph" w:styleId="Heading2">
    <w:name w:val="heading 2"/>
    <w:basedOn w:val="Normal"/>
    <w:next w:val="Normal"/>
    <w:link w:val="Heading2Char"/>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 w:type="character" w:customStyle="1" w:styleId="UnresolvedMention2">
    <w:name w:val="Unresolved Mention2"/>
    <w:basedOn w:val="DefaultParagraphFont"/>
    <w:rsid w:val="006511C0"/>
    <w:rPr>
      <w:color w:val="605E5C"/>
      <w:shd w:val="clear" w:color="auto" w:fill="E1DFDD"/>
    </w:rPr>
  </w:style>
  <w:style w:type="character" w:customStyle="1" w:styleId="HeaderChar">
    <w:name w:val="Header Char"/>
    <w:basedOn w:val="DefaultParagraphFont"/>
    <w:link w:val="Header"/>
    <w:uiPriority w:val="99"/>
    <w:rsid w:val="006859F7"/>
    <w:rPr>
      <w:sz w:val="24"/>
    </w:rPr>
  </w:style>
  <w:style w:type="paragraph" w:styleId="ListParagraph">
    <w:name w:val="List Paragraph"/>
    <w:basedOn w:val="Normal"/>
    <w:uiPriority w:val="34"/>
    <w:qFormat/>
    <w:rsid w:val="006859F7"/>
    <w:pPr>
      <w:ind w:left="720"/>
      <w:contextualSpacing/>
    </w:pPr>
    <w:rPr>
      <w:szCs w:val="24"/>
      <w:lang w:bidi="en-US"/>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6859F7"/>
  </w:style>
  <w:style w:type="character" w:customStyle="1" w:styleId="HTMLPreformattedChar">
    <w:name w:val="HTML Preformatted Char"/>
    <w:basedOn w:val="DefaultParagraphFont"/>
    <w:link w:val="HTMLPreformatted"/>
    <w:rsid w:val="000F0366"/>
    <w:rPr>
      <w:rFonts w:ascii="Courier New" w:eastAsia="Courier New" w:hAnsi="Courier New" w:cs="Courier New"/>
    </w:rPr>
  </w:style>
  <w:style w:type="character" w:customStyle="1" w:styleId="Heading1Char">
    <w:name w:val="Heading 1 Char"/>
    <w:basedOn w:val="DefaultParagraphFont"/>
    <w:link w:val="Heading1"/>
    <w:rsid w:val="00F1618B"/>
    <w:rPr>
      <w:b/>
      <w:sz w:val="24"/>
      <w:szCs w:val="24"/>
    </w:rPr>
  </w:style>
  <w:style w:type="paragraph" w:styleId="TOC2">
    <w:name w:val="toc 2"/>
    <w:basedOn w:val="Normal"/>
    <w:next w:val="Normal"/>
    <w:autoRedefine/>
    <w:uiPriority w:val="39"/>
    <w:rsid w:val="009D274E"/>
    <w:pPr>
      <w:spacing w:after="100"/>
      <w:ind w:left="240"/>
    </w:pPr>
  </w:style>
  <w:style w:type="paragraph" w:styleId="TOC1">
    <w:name w:val="toc 1"/>
    <w:basedOn w:val="Normal"/>
    <w:next w:val="Normal"/>
    <w:autoRedefine/>
    <w:uiPriority w:val="39"/>
    <w:rsid w:val="009D274E"/>
    <w:pPr>
      <w:tabs>
        <w:tab w:val="decimal" w:leader="dot" w:pos="8640"/>
      </w:tabs>
      <w:spacing w:after="240"/>
      <w:ind w:left="720" w:hanging="720"/>
    </w:pPr>
  </w:style>
  <w:style w:type="character" w:customStyle="1" w:styleId="Heading2Char">
    <w:name w:val="Heading 2 Char"/>
    <w:basedOn w:val="DefaultParagraphFont"/>
    <w:link w:val="Heading2"/>
    <w:rsid w:val="004E1D79"/>
    <w:rPr>
      <w:b/>
      <w:sz w:val="24"/>
    </w:rPr>
  </w:style>
  <w:style w:type="character" w:customStyle="1" w:styleId="UnresolvedMention3">
    <w:name w:val="Unresolved Mention3"/>
    <w:basedOn w:val="DefaultParagraphFont"/>
    <w:uiPriority w:val="99"/>
    <w:semiHidden/>
    <w:unhideWhenUsed/>
    <w:rsid w:val="0046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Dan.fullin@puco.ohio.gov" TargetMode="External" /><Relationship Id="rId12" Type="http://schemas.openxmlformats.org/officeDocument/2006/relationships/hyperlink" Target="mailto:kwhite@sparkenergy.com" TargetMode="External" /><Relationship Id="rId13" Type="http://schemas.openxmlformats.org/officeDocument/2006/relationships/hyperlink" Target="mailto:bclay@sparkenergy.com" TargetMode="External" /><Relationship Id="rId14" Type="http://schemas.openxmlformats.org/officeDocument/2006/relationships/hyperlink" Target="mailto:mlundstrom@sparkenergy.com" TargetMode="Externa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ngela.obrien@occ.ohio.gov" TargetMode="External" /><Relationship Id="rId9" Type="http://schemas.openxmlformats.org/officeDocument/2006/relationships/hyperlink" Target="mailto:bojko@carpenterlip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F839-5B2E-4F8E-8ED4-04E4794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2020-02-27T21:39:15Z</dcterms:created>
  <dcterms:modified xsi:type="dcterms:W3CDTF">2020-02-27T21:39:15Z</dcterms:modified>
</cp:coreProperties>
</file>