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9FA3" w14:textId="77777777" w:rsidR="00F46351" w:rsidRPr="001D069E" w:rsidRDefault="00F46351" w:rsidP="00F46351">
      <w:pPr>
        <w:pStyle w:val="Title"/>
        <w:rPr>
          <w:sz w:val="28"/>
          <w:szCs w:val="28"/>
        </w:rPr>
      </w:pPr>
      <w:bookmarkStart w:id="0" w:name="_GoBack"/>
      <w:bookmarkEnd w:id="0"/>
      <w:r w:rsidRPr="001D069E">
        <w:rPr>
          <w:sz w:val="28"/>
          <w:szCs w:val="28"/>
        </w:rPr>
        <w:t>Before</w:t>
      </w:r>
    </w:p>
    <w:p w14:paraId="3002C1E8" w14:textId="50EE7D56" w:rsidR="00F46351" w:rsidRDefault="00F46351" w:rsidP="00EE19A2">
      <w:pPr>
        <w:jc w:val="center"/>
        <w:rPr>
          <w:rFonts w:cs="Arial"/>
          <w:b/>
          <w:smallCaps/>
          <w:sz w:val="28"/>
          <w:szCs w:val="28"/>
        </w:rPr>
      </w:pPr>
      <w:r w:rsidRPr="001D069E">
        <w:rPr>
          <w:rFonts w:cs="Arial"/>
          <w:b/>
          <w:smallCaps/>
          <w:sz w:val="28"/>
          <w:szCs w:val="28"/>
        </w:rPr>
        <w:t>The Public Utilities Commission of Ohio</w:t>
      </w:r>
    </w:p>
    <w:p w14:paraId="684B299A" w14:textId="77777777" w:rsidR="00EE19A2" w:rsidRPr="00EE19A2" w:rsidRDefault="00EE19A2" w:rsidP="00EE19A2">
      <w:pPr>
        <w:jc w:val="center"/>
        <w:rPr>
          <w:rFonts w:cs="Arial"/>
          <w:b/>
          <w:smallCaps/>
          <w:sz w:val="32"/>
          <w:szCs w:val="32"/>
        </w:rPr>
      </w:pPr>
    </w:p>
    <w:p w14:paraId="74D5A47D" w14:textId="77777777" w:rsidR="00F46351" w:rsidRDefault="00F46351" w:rsidP="00F46351">
      <w:pPr>
        <w:tabs>
          <w:tab w:val="left" w:pos="4680"/>
          <w:tab w:val="left" w:pos="5220"/>
        </w:tabs>
        <w:autoSpaceDE w:val="0"/>
        <w:autoSpaceDN w:val="0"/>
        <w:adjustRightInd w:val="0"/>
        <w:rPr>
          <w:rFonts w:cs="Arial"/>
          <w:bCs/>
        </w:rPr>
      </w:pPr>
      <w:r>
        <w:rPr>
          <w:rFonts w:cs="Arial"/>
          <w:bCs/>
        </w:rPr>
        <w:t>The Office of the Ohio Consumers’ Counsel,</w:t>
      </w:r>
      <w:r>
        <w:rPr>
          <w:rFonts w:cs="Arial"/>
          <w:bCs/>
        </w:rPr>
        <w:tab/>
        <w:t>)</w:t>
      </w:r>
    </w:p>
    <w:p w14:paraId="43144CFD" w14:textId="77777777" w:rsidR="00F46351" w:rsidRDefault="00F46351" w:rsidP="00F46351">
      <w:pPr>
        <w:tabs>
          <w:tab w:val="left" w:pos="4680"/>
          <w:tab w:val="left" w:pos="5220"/>
        </w:tabs>
        <w:autoSpaceDE w:val="0"/>
        <w:autoSpaceDN w:val="0"/>
        <w:adjustRightInd w:val="0"/>
        <w:rPr>
          <w:rFonts w:cs="Arial"/>
          <w:bCs/>
        </w:rPr>
      </w:pPr>
      <w:r>
        <w:rPr>
          <w:rFonts w:cs="Arial"/>
          <w:bCs/>
        </w:rPr>
        <w:tab/>
      </w:r>
      <w:r>
        <w:rPr>
          <w:rFonts w:cs="Arial"/>
          <w:bCs/>
        </w:rPr>
        <w:tab/>
        <w:t>)</w:t>
      </w:r>
    </w:p>
    <w:p w14:paraId="7CDA703B" w14:textId="77777777" w:rsidR="00F46351" w:rsidRDefault="00F46351" w:rsidP="00F46351">
      <w:pPr>
        <w:tabs>
          <w:tab w:val="left" w:pos="720"/>
          <w:tab w:val="left" w:pos="4680"/>
          <w:tab w:val="left" w:pos="5220"/>
        </w:tabs>
        <w:autoSpaceDE w:val="0"/>
        <w:autoSpaceDN w:val="0"/>
        <w:adjustRightInd w:val="0"/>
        <w:rPr>
          <w:rFonts w:cs="Arial"/>
        </w:rPr>
      </w:pPr>
      <w:r>
        <w:rPr>
          <w:rFonts w:cs="Arial"/>
        </w:rPr>
        <w:tab/>
        <w:t>Complainant,</w:t>
      </w:r>
      <w:r>
        <w:rPr>
          <w:rFonts w:cs="Arial"/>
        </w:rPr>
        <w:tab/>
      </w:r>
      <w:r>
        <w:rPr>
          <w:rFonts w:cs="Arial"/>
        </w:rPr>
        <w:tab/>
        <w:t>)</w:t>
      </w:r>
    </w:p>
    <w:p w14:paraId="63107DF8" w14:textId="77777777" w:rsidR="00F46351" w:rsidRDefault="00F46351" w:rsidP="00F46351">
      <w:pPr>
        <w:tabs>
          <w:tab w:val="left" w:pos="720"/>
          <w:tab w:val="left" w:pos="4680"/>
          <w:tab w:val="left" w:pos="5220"/>
        </w:tabs>
        <w:autoSpaceDE w:val="0"/>
        <w:autoSpaceDN w:val="0"/>
        <w:adjustRightInd w:val="0"/>
        <w:rPr>
          <w:rFonts w:cs="Arial"/>
        </w:rPr>
      </w:pPr>
      <w:r>
        <w:rPr>
          <w:rFonts w:cs="Arial"/>
        </w:rPr>
        <w:tab/>
      </w:r>
      <w:r>
        <w:rPr>
          <w:rFonts w:cs="Arial"/>
        </w:rPr>
        <w:tab/>
      </w:r>
      <w:r>
        <w:rPr>
          <w:rFonts w:cs="Arial"/>
        </w:rPr>
        <w:tab/>
        <w:t>)</w:t>
      </w:r>
    </w:p>
    <w:p w14:paraId="0ABD7AB9" w14:textId="77777777" w:rsidR="00F46351" w:rsidRDefault="00F46351" w:rsidP="00F46351">
      <w:pPr>
        <w:tabs>
          <w:tab w:val="left" w:pos="720"/>
          <w:tab w:val="left" w:pos="4680"/>
          <w:tab w:val="left" w:pos="5220"/>
        </w:tabs>
        <w:autoSpaceDE w:val="0"/>
        <w:autoSpaceDN w:val="0"/>
        <w:adjustRightInd w:val="0"/>
        <w:rPr>
          <w:rFonts w:cs="Arial"/>
        </w:rPr>
      </w:pPr>
      <w:r>
        <w:rPr>
          <w:rFonts w:cs="Arial"/>
        </w:rPr>
        <w:t>v.</w:t>
      </w:r>
      <w:r>
        <w:rPr>
          <w:rFonts w:cs="Arial"/>
        </w:rPr>
        <w:tab/>
      </w:r>
      <w:r>
        <w:rPr>
          <w:rFonts w:cs="Arial"/>
        </w:rPr>
        <w:tab/>
      </w:r>
      <w:r>
        <w:rPr>
          <w:rFonts w:cs="Arial"/>
        </w:rPr>
        <w:tab/>
        <w:t>)</w:t>
      </w:r>
      <w:r>
        <w:rPr>
          <w:rFonts w:cs="Arial"/>
        </w:rPr>
        <w:tab/>
        <w:t>Case No. 16-0782-EL-CSS</w:t>
      </w:r>
    </w:p>
    <w:p w14:paraId="2219C6B4" w14:textId="77777777" w:rsidR="00F46351" w:rsidRDefault="00F46351" w:rsidP="00F46351">
      <w:pPr>
        <w:tabs>
          <w:tab w:val="left" w:pos="720"/>
          <w:tab w:val="left" w:pos="4680"/>
          <w:tab w:val="left" w:pos="5220"/>
        </w:tabs>
        <w:autoSpaceDE w:val="0"/>
        <w:autoSpaceDN w:val="0"/>
        <w:adjustRightInd w:val="0"/>
        <w:rPr>
          <w:rFonts w:cs="Arial"/>
        </w:rPr>
      </w:pPr>
      <w:r>
        <w:rPr>
          <w:rFonts w:cs="Arial"/>
        </w:rPr>
        <w:tab/>
      </w:r>
      <w:r>
        <w:rPr>
          <w:rFonts w:cs="Arial"/>
        </w:rPr>
        <w:tab/>
      </w:r>
      <w:r>
        <w:rPr>
          <w:rFonts w:cs="Arial"/>
        </w:rPr>
        <w:tab/>
        <w:t>)</w:t>
      </w:r>
    </w:p>
    <w:p w14:paraId="51E8A368" w14:textId="77777777" w:rsidR="00F46351" w:rsidRDefault="00F46351" w:rsidP="00F46351">
      <w:pPr>
        <w:tabs>
          <w:tab w:val="left" w:pos="720"/>
          <w:tab w:val="left" w:pos="4680"/>
          <w:tab w:val="left" w:pos="5220"/>
        </w:tabs>
        <w:autoSpaceDE w:val="0"/>
        <w:autoSpaceDN w:val="0"/>
        <w:adjustRightInd w:val="0"/>
        <w:rPr>
          <w:rFonts w:cs="Arial"/>
        </w:rPr>
      </w:pPr>
      <w:r>
        <w:rPr>
          <w:rFonts w:cs="Arial"/>
        </w:rPr>
        <w:t>Ohio Power Company</w:t>
      </w:r>
      <w:r>
        <w:rPr>
          <w:rFonts w:cs="Arial"/>
        </w:rPr>
        <w:tab/>
      </w:r>
      <w:r>
        <w:rPr>
          <w:rFonts w:cs="Arial"/>
        </w:rPr>
        <w:tab/>
        <w:t>)</w:t>
      </w:r>
    </w:p>
    <w:p w14:paraId="64D1B993" w14:textId="77777777" w:rsidR="00F46351" w:rsidRDefault="00F46351" w:rsidP="00F46351">
      <w:pPr>
        <w:tabs>
          <w:tab w:val="left" w:pos="720"/>
          <w:tab w:val="left" w:pos="4680"/>
          <w:tab w:val="left" w:pos="5220"/>
        </w:tabs>
        <w:autoSpaceDE w:val="0"/>
        <w:autoSpaceDN w:val="0"/>
        <w:adjustRightInd w:val="0"/>
        <w:rPr>
          <w:rFonts w:cs="Arial"/>
        </w:rPr>
      </w:pPr>
      <w:r>
        <w:rPr>
          <w:rFonts w:cs="Arial"/>
        </w:rPr>
        <w:tab/>
      </w:r>
      <w:r>
        <w:rPr>
          <w:rFonts w:cs="Arial"/>
        </w:rPr>
        <w:tab/>
      </w:r>
      <w:r>
        <w:rPr>
          <w:rFonts w:cs="Arial"/>
        </w:rPr>
        <w:tab/>
        <w:t>)</w:t>
      </w:r>
      <w:r>
        <w:rPr>
          <w:rFonts w:cs="Arial"/>
        </w:rPr>
        <w:tab/>
      </w:r>
    </w:p>
    <w:p w14:paraId="5CC932B6" w14:textId="77777777" w:rsidR="00F46351" w:rsidRDefault="00F46351" w:rsidP="00F46351">
      <w:pPr>
        <w:tabs>
          <w:tab w:val="left" w:pos="720"/>
          <w:tab w:val="left" w:pos="4680"/>
          <w:tab w:val="left" w:pos="5220"/>
        </w:tabs>
        <w:autoSpaceDE w:val="0"/>
        <w:autoSpaceDN w:val="0"/>
        <w:adjustRightInd w:val="0"/>
        <w:rPr>
          <w:rFonts w:cs="Arial"/>
        </w:rPr>
      </w:pPr>
      <w:r>
        <w:rPr>
          <w:rFonts w:cs="Arial"/>
        </w:rPr>
        <w:tab/>
        <w:t>Respondent.</w:t>
      </w:r>
      <w:r>
        <w:rPr>
          <w:rFonts w:cs="Arial"/>
        </w:rPr>
        <w:tab/>
      </w:r>
      <w:r>
        <w:rPr>
          <w:rFonts w:cs="Arial"/>
        </w:rPr>
        <w:tab/>
        <w:t>)</w:t>
      </w:r>
    </w:p>
    <w:p w14:paraId="2DAB690E" w14:textId="77777777" w:rsidR="00F46351" w:rsidRDefault="00F46351" w:rsidP="00F46351">
      <w:pPr>
        <w:jc w:val="both"/>
        <w:rPr>
          <w:rFonts w:cs="Arial"/>
        </w:rPr>
      </w:pPr>
    </w:p>
    <w:p w14:paraId="23E9F802" w14:textId="77777777" w:rsidR="00F46351" w:rsidRDefault="00F46351" w:rsidP="00F46351">
      <w:pPr>
        <w:jc w:val="both"/>
        <w:rPr>
          <w:rFonts w:cs="Arial"/>
        </w:rPr>
      </w:pPr>
    </w:p>
    <w:p w14:paraId="14C8F5F0" w14:textId="77777777" w:rsidR="007D77BD" w:rsidRDefault="007D77BD" w:rsidP="00F46351">
      <w:pPr>
        <w:pBdr>
          <w:top w:val="single" w:sz="12" w:space="1" w:color="auto"/>
        </w:pBdr>
        <w:tabs>
          <w:tab w:val="left" w:pos="7320"/>
        </w:tabs>
        <w:jc w:val="both"/>
      </w:pPr>
    </w:p>
    <w:p w14:paraId="61DC27DC" w14:textId="3FB6251C" w:rsidR="00F46351" w:rsidRPr="00B43420" w:rsidRDefault="007D77BD" w:rsidP="007D77BD">
      <w:pPr>
        <w:pBdr>
          <w:top w:val="single" w:sz="12" w:space="1" w:color="auto"/>
        </w:pBdr>
        <w:tabs>
          <w:tab w:val="left" w:pos="7320"/>
        </w:tabs>
        <w:jc w:val="center"/>
        <w:rPr>
          <w:rFonts w:cs="Arial"/>
          <w:b/>
          <w:smallCaps/>
          <w:sz w:val="28"/>
          <w:szCs w:val="28"/>
        </w:rPr>
      </w:pPr>
      <w:r w:rsidRPr="00B43420">
        <w:rPr>
          <w:b/>
          <w:smallCaps/>
          <w:sz w:val="28"/>
          <w:szCs w:val="28"/>
        </w:rPr>
        <w:t>Memorandum Opposing Ohio Power Company’s Motion for Tariff Amendment by Industrial Energy Users-Ohio</w:t>
      </w:r>
    </w:p>
    <w:p w14:paraId="468BCEFE" w14:textId="77777777" w:rsidR="00F46351" w:rsidRDefault="00F46351" w:rsidP="00F46351">
      <w:pPr>
        <w:pBdr>
          <w:bottom w:val="single" w:sz="12" w:space="1" w:color="auto"/>
        </w:pBdr>
        <w:tabs>
          <w:tab w:val="left" w:pos="7320"/>
        </w:tabs>
        <w:jc w:val="center"/>
        <w:rPr>
          <w:rFonts w:cs="Arial"/>
          <w:sz w:val="28"/>
        </w:rPr>
      </w:pPr>
    </w:p>
    <w:p w14:paraId="7C90D145" w14:textId="77777777" w:rsidR="00F46351" w:rsidRDefault="00F46351" w:rsidP="00F46351">
      <w:pPr>
        <w:pStyle w:val="Title"/>
        <w:rPr>
          <w:sz w:val="28"/>
        </w:rPr>
      </w:pPr>
    </w:p>
    <w:p w14:paraId="5AB92C97" w14:textId="77777777" w:rsidR="00F46351" w:rsidRDefault="00F46351" w:rsidP="00F46351">
      <w:pPr>
        <w:pStyle w:val="Title"/>
        <w:rPr>
          <w:sz w:val="28"/>
        </w:rPr>
      </w:pPr>
    </w:p>
    <w:p w14:paraId="0CF085AF" w14:textId="77777777" w:rsidR="00F46351" w:rsidRDefault="00F46351" w:rsidP="007D3A58">
      <w:pPr>
        <w:pStyle w:val="Title"/>
        <w:jc w:val="left"/>
        <w:rPr>
          <w:sz w:val="28"/>
        </w:rPr>
      </w:pPr>
    </w:p>
    <w:p w14:paraId="0245427A" w14:textId="77777777" w:rsidR="00F46351" w:rsidRDefault="00F46351" w:rsidP="00F46351">
      <w:pPr>
        <w:pStyle w:val="Title"/>
        <w:rPr>
          <w:sz w:val="28"/>
        </w:rPr>
      </w:pPr>
    </w:p>
    <w:p w14:paraId="61774D61" w14:textId="77777777" w:rsidR="00F46351" w:rsidRDefault="00F46351" w:rsidP="00F46351">
      <w:pPr>
        <w:pStyle w:val="Title"/>
        <w:jc w:val="left"/>
        <w:rPr>
          <w:sz w:val="28"/>
        </w:rPr>
      </w:pPr>
    </w:p>
    <w:p w14:paraId="38E05B07" w14:textId="77777777" w:rsidR="00F46351" w:rsidRDefault="00F46351" w:rsidP="00F46351">
      <w:pPr>
        <w:pStyle w:val="Title"/>
        <w:rPr>
          <w:sz w:val="28"/>
        </w:rPr>
      </w:pPr>
    </w:p>
    <w:p w14:paraId="1210FEC0" w14:textId="77777777" w:rsidR="00F46351" w:rsidRDefault="00F46351" w:rsidP="00F46351">
      <w:pPr>
        <w:pStyle w:val="Title"/>
        <w:rPr>
          <w:sz w:val="28"/>
        </w:rPr>
      </w:pPr>
    </w:p>
    <w:p w14:paraId="3109D21C" w14:textId="77777777" w:rsidR="00F46351" w:rsidRDefault="00F46351" w:rsidP="00F46351">
      <w:pPr>
        <w:widowControl w:val="0"/>
        <w:ind w:left="4320"/>
        <w:rPr>
          <w:rFonts w:cs="Arial"/>
          <w:bCs/>
        </w:rPr>
      </w:pPr>
      <w:r>
        <w:rPr>
          <w:rFonts w:cs="Arial"/>
          <w:bCs/>
        </w:rPr>
        <w:t>Frank P. Darr (Reg. No. 0025469)</w:t>
      </w:r>
    </w:p>
    <w:p w14:paraId="60CE4526" w14:textId="77777777" w:rsidR="00F46351" w:rsidRDefault="00F46351" w:rsidP="00F46351">
      <w:pPr>
        <w:widowControl w:val="0"/>
        <w:ind w:left="4320"/>
        <w:rPr>
          <w:rFonts w:cs="Arial"/>
          <w:bCs/>
        </w:rPr>
      </w:pPr>
      <w:r>
        <w:rPr>
          <w:rFonts w:cs="Arial"/>
          <w:bCs/>
        </w:rPr>
        <w:t xml:space="preserve">  (Counsel of Record)</w:t>
      </w:r>
    </w:p>
    <w:p w14:paraId="643FBFDC" w14:textId="77777777" w:rsidR="00F46351" w:rsidRDefault="00F46351" w:rsidP="00F46351">
      <w:pPr>
        <w:widowControl w:val="0"/>
        <w:ind w:left="4320"/>
        <w:rPr>
          <w:rFonts w:cs="Arial"/>
          <w:b/>
          <w:bCs/>
        </w:rPr>
      </w:pPr>
      <w:r>
        <w:rPr>
          <w:rFonts w:cs="Arial"/>
          <w:bCs/>
        </w:rPr>
        <w:t>Matthew R. Pritchard (Reg. No. 0088070)</w:t>
      </w:r>
    </w:p>
    <w:p w14:paraId="7CB03AD4" w14:textId="77777777" w:rsidR="00F46351" w:rsidRDefault="00F46351" w:rsidP="00F46351">
      <w:pPr>
        <w:widowControl w:val="0"/>
        <w:ind w:left="4320"/>
        <w:rPr>
          <w:rFonts w:cs="Arial"/>
          <w:b/>
          <w:bCs/>
          <w:smallCaps/>
        </w:rPr>
      </w:pPr>
      <w:r>
        <w:rPr>
          <w:rFonts w:cs="Arial"/>
          <w:bCs/>
          <w:smallCaps/>
        </w:rPr>
        <w:t>McNees Wallace &amp; Nurick LLC</w:t>
      </w:r>
    </w:p>
    <w:p w14:paraId="0FCDC40A" w14:textId="77777777" w:rsidR="00F46351" w:rsidRDefault="00F46351" w:rsidP="00F46351">
      <w:pPr>
        <w:widowControl w:val="0"/>
        <w:ind w:left="4320"/>
        <w:rPr>
          <w:rFonts w:cs="Arial"/>
          <w:b/>
          <w:bCs/>
        </w:rPr>
      </w:pPr>
      <w:r>
        <w:rPr>
          <w:rFonts w:cs="Arial"/>
          <w:bCs/>
        </w:rPr>
        <w:t>21 East State Street, 17</w:t>
      </w:r>
      <w:r>
        <w:rPr>
          <w:rFonts w:cs="Arial"/>
          <w:bCs/>
          <w:vertAlign w:val="superscript"/>
        </w:rPr>
        <w:t>TH</w:t>
      </w:r>
      <w:r>
        <w:rPr>
          <w:rFonts w:cs="Arial"/>
          <w:bCs/>
        </w:rPr>
        <w:t xml:space="preserve"> Floor</w:t>
      </w:r>
    </w:p>
    <w:p w14:paraId="63E67232" w14:textId="77777777" w:rsidR="00F46351" w:rsidRDefault="00F46351" w:rsidP="00F46351">
      <w:pPr>
        <w:tabs>
          <w:tab w:val="left" w:pos="-1440"/>
          <w:tab w:val="left" w:pos="-720"/>
          <w:tab w:val="left" w:pos="5040"/>
          <w:tab w:val="center" w:pos="7200"/>
        </w:tabs>
        <w:overflowPunct w:val="0"/>
        <w:autoSpaceDE w:val="0"/>
        <w:autoSpaceDN w:val="0"/>
        <w:adjustRightInd w:val="0"/>
        <w:ind w:left="4320"/>
        <w:rPr>
          <w:rFonts w:cs="Arial"/>
        </w:rPr>
      </w:pPr>
      <w:r>
        <w:rPr>
          <w:rFonts w:cs="Arial"/>
        </w:rPr>
        <w:t>Columbus, OH  43215</w:t>
      </w:r>
    </w:p>
    <w:p w14:paraId="1AB7DBB5" w14:textId="77777777" w:rsidR="00F46351" w:rsidRDefault="00F46351" w:rsidP="00F46351">
      <w:pPr>
        <w:tabs>
          <w:tab w:val="left" w:pos="-1440"/>
          <w:tab w:val="left" w:pos="-720"/>
          <w:tab w:val="left" w:pos="5040"/>
          <w:tab w:val="center" w:pos="7200"/>
        </w:tabs>
        <w:overflowPunct w:val="0"/>
        <w:autoSpaceDE w:val="0"/>
        <w:autoSpaceDN w:val="0"/>
        <w:adjustRightInd w:val="0"/>
        <w:ind w:left="4320"/>
        <w:rPr>
          <w:rFonts w:cs="Arial"/>
        </w:rPr>
      </w:pPr>
      <w:r>
        <w:rPr>
          <w:rFonts w:cs="Arial"/>
        </w:rPr>
        <w:t>Telephone:  (614) 469-8000</w:t>
      </w:r>
    </w:p>
    <w:p w14:paraId="1A7465AE" w14:textId="77777777" w:rsidR="00F46351" w:rsidRDefault="00F46351" w:rsidP="00F46351">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Telecopier:  (614) 469-4653</w:t>
      </w:r>
    </w:p>
    <w:p w14:paraId="7E6D7D27" w14:textId="77777777" w:rsidR="00F46351" w:rsidRDefault="00F46351" w:rsidP="00F46351">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rPr>
        <w:t>fdarr@mwncmh.com</w:t>
      </w:r>
    </w:p>
    <w:p w14:paraId="4967432B" w14:textId="77777777" w:rsidR="00F46351" w:rsidRDefault="00F46351" w:rsidP="00F46351">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14:paraId="1988A828" w14:textId="77777777" w:rsidR="00F46351" w:rsidRDefault="00F46351" w:rsidP="00F46351">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mpritchard@mwncmh.com</w:t>
      </w:r>
    </w:p>
    <w:p w14:paraId="2AA7D0B6" w14:textId="77777777" w:rsidR="00F46351" w:rsidRDefault="00F46351" w:rsidP="00F46351">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14:paraId="02FEA937" w14:textId="77777777" w:rsidR="00F46351" w:rsidRDefault="00F46351" w:rsidP="00F46351">
      <w:pPr>
        <w:pStyle w:val="BodyText"/>
        <w:tabs>
          <w:tab w:val="left" w:pos="4301"/>
        </w:tabs>
        <w:rPr>
          <w:b/>
          <w:bCs/>
        </w:rPr>
      </w:pPr>
    </w:p>
    <w:p w14:paraId="7EAE6750" w14:textId="4D0EBC5B" w:rsidR="00F46351" w:rsidRDefault="007D3A58" w:rsidP="00F46351">
      <w:pPr>
        <w:pStyle w:val="Title"/>
        <w:ind w:left="4320" w:hanging="4320"/>
        <w:jc w:val="left"/>
        <w:rPr>
          <w:bCs/>
          <w:sz w:val="24"/>
        </w:rPr>
      </w:pPr>
      <w:r>
        <w:rPr>
          <w:bCs/>
          <w:smallCaps w:val="0"/>
          <w:sz w:val="24"/>
        </w:rPr>
        <w:t xml:space="preserve">May </w:t>
      </w:r>
      <w:r w:rsidR="006D6125">
        <w:rPr>
          <w:bCs/>
          <w:smallCaps w:val="0"/>
          <w:sz w:val="24"/>
        </w:rPr>
        <w:t>10</w:t>
      </w:r>
      <w:r w:rsidR="00F46351">
        <w:rPr>
          <w:bCs/>
          <w:smallCaps w:val="0"/>
          <w:sz w:val="24"/>
        </w:rPr>
        <w:t>, 2016</w:t>
      </w:r>
      <w:r w:rsidR="00F46351">
        <w:rPr>
          <w:bCs/>
          <w:smallCaps w:val="0"/>
          <w:sz w:val="24"/>
        </w:rPr>
        <w:tab/>
        <w:t>Attorneys for Industrial Energy Users-Ohio</w:t>
      </w:r>
    </w:p>
    <w:p w14:paraId="03BE5B15" w14:textId="77777777" w:rsidR="00F46351" w:rsidRDefault="00F46351" w:rsidP="00F46351">
      <w:pPr>
        <w:pStyle w:val="Title"/>
        <w:rPr>
          <w:szCs w:val="32"/>
        </w:rPr>
        <w:sectPr w:rsidR="00F463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14:paraId="68D4DD52" w14:textId="77777777" w:rsidR="00B62669" w:rsidRPr="001D069E" w:rsidRDefault="00B62669" w:rsidP="00B62669">
      <w:pPr>
        <w:pStyle w:val="Title"/>
        <w:rPr>
          <w:sz w:val="28"/>
          <w:szCs w:val="28"/>
        </w:rPr>
      </w:pPr>
      <w:r w:rsidRPr="001D069E">
        <w:rPr>
          <w:sz w:val="28"/>
          <w:szCs w:val="28"/>
        </w:rPr>
        <w:lastRenderedPageBreak/>
        <w:t>Before</w:t>
      </w:r>
    </w:p>
    <w:p w14:paraId="557F8DCF" w14:textId="7D790F11" w:rsidR="00B62669" w:rsidRDefault="00B62669" w:rsidP="00EE19A2">
      <w:pPr>
        <w:jc w:val="center"/>
        <w:rPr>
          <w:rFonts w:cs="Arial"/>
          <w:b/>
          <w:smallCaps/>
          <w:sz w:val="28"/>
          <w:szCs w:val="28"/>
        </w:rPr>
      </w:pPr>
      <w:r w:rsidRPr="001D069E">
        <w:rPr>
          <w:rFonts w:cs="Arial"/>
          <w:b/>
          <w:smallCaps/>
          <w:sz w:val="28"/>
          <w:szCs w:val="28"/>
        </w:rPr>
        <w:t>The Public Utilities Commission of Ohio</w:t>
      </w:r>
    </w:p>
    <w:p w14:paraId="2843ED2C" w14:textId="77777777" w:rsidR="00EE19A2" w:rsidRPr="00EE19A2" w:rsidRDefault="00EE19A2" w:rsidP="00EE19A2">
      <w:pPr>
        <w:jc w:val="center"/>
        <w:rPr>
          <w:rFonts w:cs="Arial"/>
          <w:b/>
          <w:smallCaps/>
          <w:sz w:val="32"/>
          <w:szCs w:val="32"/>
        </w:rPr>
      </w:pPr>
    </w:p>
    <w:p w14:paraId="19702EF8" w14:textId="77777777" w:rsidR="00B62669" w:rsidRDefault="00B62669" w:rsidP="00B62669">
      <w:pPr>
        <w:tabs>
          <w:tab w:val="left" w:pos="4680"/>
          <w:tab w:val="left" w:pos="5220"/>
        </w:tabs>
        <w:autoSpaceDE w:val="0"/>
        <w:autoSpaceDN w:val="0"/>
        <w:adjustRightInd w:val="0"/>
        <w:rPr>
          <w:rFonts w:cs="Arial"/>
          <w:bCs/>
        </w:rPr>
      </w:pPr>
      <w:r>
        <w:rPr>
          <w:rFonts w:cs="Arial"/>
          <w:bCs/>
        </w:rPr>
        <w:t>The Office of the Ohio Consumers’ Counsel,</w:t>
      </w:r>
      <w:r>
        <w:rPr>
          <w:rFonts w:cs="Arial"/>
          <w:bCs/>
        </w:rPr>
        <w:tab/>
        <w:t>)</w:t>
      </w:r>
    </w:p>
    <w:p w14:paraId="7FC6A1BA" w14:textId="77777777" w:rsidR="00B62669" w:rsidRDefault="00B62669" w:rsidP="00B62669">
      <w:pPr>
        <w:tabs>
          <w:tab w:val="left" w:pos="4680"/>
          <w:tab w:val="left" w:pos="5220"/>
        </w:tabs>
        <w:autoSpaceDE w:val="0"/>
        <w:autoSpaceDN w:val="0"/>
        <w:adjustRightInd w:val="0"/>
        <w:rPr>
          <w:rFonts w:cs="Arial"/>
          <w:bCs/>
        </w:rPr>
      </w:pPr>
      <w:r>
        <w:rPr>
          <w:rFonts w:cs="Arial"/>
          <w:bCs/>
        </w:rPr>
        <w:tab/>
      </w:r>
      <w:r>
        <w:rPr>
          <w:rFonts w:cs="Arial"/>
          <w:bCs/>
        </w:rPr>
        <w:tab/>
        <w:t>)</w:t>
      </w:r>
    </w:p>
    <w:p w14:paraId="02376146" w14:textId="77777777" w:rsidR="00B62669" w:rsidRDefault="00B62669" w:rsidP="00B62669">
      <w:pPr>
        <w:tabs>
          <w:tab w:val="left" w:pos="720"/>
          <w:tab w:val="left" w:pos="4680"/>
          <w:tab w:val="left" w:pos="5220"/>
        </w:tabs>
        <w:autoSpaceDE w:val="0"/>
        <w:autoSpaceDN w:val="0"/>
        <w:adjustRightInd w:val="0"/>
        <w:rPr>
          <w:rFonts w:cs="Arial"/>
        </w:rPr>
      </w:pPr>
      <w:r>
        <w:rPr>
          <w:rFonts w:cs="Arial"/>
        </w:rPr>
        <w:tab/>
        <w:t>Complainant,</w:t>
      </w:r>
      <w:r>
        <w:rPr>
          <w:rFonts w:cs="Arial"/>
        </w:rPr>
        <w:tab/>
      </w:r>
      <w:r>
        <w:rPr>
          <w:rFonts w:cs="Arial"/>
        </w:rPr>
        <w:tab/>
        <w:t>)</w:t>
      </w:r>
    </w:p>
    <w:p w14:paraId="219B61EB" w14:textId="77777777" w:rsidR="00B62669" w:rsidRDefault="00B62669" w:rsidP="00B62669">
      <w:pPr>
        <w:tabs>
          <w:tab w:val="left" w:pos="720"/>
          <w:tab w:val="left" w:pos="4680"/>
          <w:tab w:val="left" w:pos="5220"/>
        </w:tabs>
        <w:autoSpaceDE w:val="0"/>
        <w:autoSpaceDN w:val="0"/>
        <w:adjustRightInd w:val="0"/>
        <w:rPr>
          <w:rFonts w:cs="Arial"/>
        </w:rPr>
      </w:pPr>
      <w:r>
        <w:rPr>
          <w:rFonts w:cs="Arial"/>
        </w:rPr>
        <w:tab/>
      </w:r>
      <w:r>
        <w:rPr>
          <w:rFonts w:cs="Arial"/>
        </w:rPr>
        <w:tab/>
      </w:r>
      <w:r>
        <w:rPr>
          <w:rFonts w:cs="Arial"/>
        </w:rPr>
        <w:tab/>
        <w:t>)</w:t>
      </w:r>
    </w:p>
    <w:p w14:paraId="610843A5" w14:textId="77777777" w:rsidR="00B62669" w:rsidRDefault="00B62669" w:rsidP="00B62669">
      <w:pPr>
        <w:tabs>
          <w:tab w:val="left" w:pos="720"/>
          <w:tab w:val="left" w:pos="4680"/>
          <w:tab w:val="left" w:pos="5220"/>
        </w:tabs>
        <w:autoSpaceDE w:val="0"/>
        <w:autoSpaceDN w:val="0"/>
        <w:adjustRightInd w:val="0"/>
        <w:rPr>
          <w:rFonts w:cs="Arial"/>
        </w:rPr>
      </w:pPr>
      <w:r>
        <w:rPr>
          <w:rFonts w:cs="Arial"/>
        </w:rPr>
        <w:t>v.</w:t>
      </w:r>
      <w:r>
        <w:rPr>
          <w:rFonts w:cs="Arial"/>
        </w:rPr>
        <w:tab/>
      </w:r>
      <w:r>
        <w:rPr>
          <w:rFonts w:cs="Arial"/>
        </w:rPr>
        <w:tab/>
      </w:r>
      <w:r>
        <w:rPr>
          <w:rFonts w:cs="Arial"/>
        </w:rPr>
        <w:tab/>
        <w:t>)</w:t>
      </w:r>
      <w:r>
        <w:rPr>
          <w:rFonts w:cs="Arial"/>
        </w:rPr>
        <w:tab/>
        <w:t>Case No. 16-0782-EL-CSS</w:t>
      </w:r>
    </w:p>
    <w:p w14:paraId="15180888" w14:textId="77777777" w:rsidR="00B62669" w:rsidRDefault="00B62669" w:rsidP="00B62669">
      <w:pPr>
        <w:tabs>
          <w:tab w:val="left" w:pos="720"/>
          <w:tab w:val="left" w:pos="4680"/>
          <w:tab w:val="left" w:pos="5220"/>
        </w:tabs>
        <w:autoSpaceDE w:val="0"/>
        <w:autoSpaceDN w:val="0"/>
        <w:adjustRightInd w:val="0"/>
        <w:rPr>
          <w:rFonts w:cs="Arial"/>
        </w:rPr>
      </w:pPr>
      <w:r>
        <w:rPr>
          <w:rFonts w:cs="Arial"/>
        </w:rPr>
        <w:tab/>
      </w:r>
      <w:r>
        <w:rPr>
          <w:rFonts w:cs="Arial"/>
        </w:rPr>
        <w:tab/>
      </w:r>
      <w:r>
        <w:rPr>
          <w:rFonts w:cs="Arial"/>
        </w:rPr>
        <w:tab/>
        <w:t>)</w:t>
      </w:r>
    </w:p>
    <w:p w14:paraId="560BF8FC" w14:textId="77777777" w:rsidR="00B62669" w:rsidRDefault="00B62669" w:rsidP="00B62669">
      <w:pPr>
        <w:tabs>
          <w:tab w:val="left" w:pos="720"/>
          <w:tab w:val="left" w:pos="4680"/>
          <w:tab w:val="left" w:pos="5220"/>
        </w:tabs>
        <w:autoSpaceDE w:val="0"/>
        <w:autoSpaceDN w:val="0"/>
        <w:adjustRightInd w:val="0"/>
        <w:rPr>
          <w:rFonts w:cs="Arial"/>
        </w:rPr>
      </w:pPr>
      <w:r>
        <w:rPr>
          <w:rFonts w:cs="Arial"/>
        </w:rPr>
        <w:t>Ohio Power Company</w:t>
      </w:r>
      <w:r>
        <w:rPr>
          <w:rFonts w:cs="Arial"/>
        </w:rPr>
        <w:tab/>
      </w:r>
      <w:r>
        <w:rPr>
          <w:rFonts w:cs="Arial"/>
        </w:rPr>
        <w:tab/>
        <w:t>)</w:t>
      </w:r>
    </w:p>
    <w:p w14:paraId="245BC280" w14:textId="77777777" w:rsidR="00B62669" w:rsidRDefault="00B62669" w:rsidP="00B62669">
      <w:pPr>
        <w:tabs>
          <w:tab w:val="left" w:pos="720"/>
          <w:tab w:val="left" w:pos="4680"/>
          <w:tab w:val="left" w:pos="5220"/>
        </w:tabs>
        <w:autoSpaceDE w:val="0"/>
        <w:autoSpaceDN w:val="0"/>
        <w:adjustRightInd w:val="0"/>
        <w:rPr>
          <w:rFonts w:cs="Arial"/>
        </w:rPr>
      </w:pPr>
      <w:r>
        <w:rPr>
          <w:rFonts w:cs="Arial"/>
        </w:rPr>
        <w:tab/>
      </w:r>
      <w:r>
        <w:rPr>
          <w:rFonts w:cs="Arial"/>
        </w:rPr>
        <w:tab/>
      </w:r>
      <w:r>
        <w:rPr>
          <w:rFonts w:cs="Arial"/>
        </w:rPr>
        <w:tab/>
        <w:t>)</w:t>
      </w:r>
      <w:r>
        <w:rPr>
          <w:rFonts w:cs="Arial"/>
        </w:rPr>
        <w:tab/>
      </w:r>
    </w:p>
    <w:p w14:paraId="6F417201" w14:textId="77777777" w:rsidR="00B62669" w:rsidRDefault="00B62669" w:rsidP="00B62669">
      <w:pPr>
        <w:tabs>
          <w:tab w:val="left" w:pos="720"/>
          <w:tab w:val="left" w:pos="4680"/>
          <w:tab w:val="left" w:pos="5220"/>
        </w:tabs>
        <w:autoSpaceDE w:val="0"/>
        <w:autoSpaceDN w:val="0"/>
        <w:adjustRightInd w:val="0"/>
        <w:rPr>
          <w:rFonts w:cs="Arial"/>
        </w:rPr>
      </w:pPr>
      <w:r>
        <w:rPr>
          <w:rFonts w:cs="Arial"/>
        </w:rPr>
        <w:tab/>
        <w:t>Respondent.</w:t>
      </w:r>
      <w:r>
        <w:rPr>
          <w:rFonts w:cs="Arial"/>
        </w:rPr>
        <w:tab/>
      </w:r>
      <w:r>
        <w:rPr>
          <w:rFonts w:cs="Arial"/>
        </w:rPr>
        <w:tab/>
        <w:t>)</w:t>
      </w:r>
    </w:p>
    <w:p w14:paraId="3CBF7179" w14:textId="77777777" w:rsidR="00B62669" w:rsidRDefault="00B62669" w:rsidP="00B62669">
      <w:pPr>
        <w:jc w:val="both"/>
        <w:rPr>
          <w:rFonts w:cs="Arial"/>
        </w:rPr>
      </w:pPr>
    </w:p>
    <w:p w14:paraId="1770F205" w14:textId="77777777" w:rsidR="00B62669" w:rsidRDefault="00B62669" w:rsidP="00B62669">
      <w:pPr>
        <w:jc w:val="both"/>
        <w:rPr>
          <w:rFonts w:cs="Arial"/>
        </w:rPr>
      </w:pPr>
    </w:p>
    <w:p w14:paraId="63017318" w14:textId="77777777" w:rsidR="00B62669" w:rsidRDefault="00B62669" w:rsidP="00B62669">
      <w:pPr>
        <w:pBdr>
          <w:top w:val="single" w:sz="12" w:space="1" w:color="auto"/>
        </w:pBdr>
        <w:tabs>
          <w:tab w:val="left" w:pos="7320"/>
        </w:tabs>
        <w:jc w:val="both"/>
      </w:pPr>
    </w:p>
    <w:p w14:paraId="49A95249" w14:textId="13BF1DBA" w:rsidR="00B62669" w:rsidRPr="00B43420" w:rsidRDefault="00B62669" w:rsidP="00B62669">
      <w:pPr>
        <w:pBdr>
          <w:top w:val="single" w:sz="12" w:space="1" w:color="auto"/>
        </w:pBdr>
        <w:tabs>
          <w:tab w:val="left" w:pos="7320"/>
        </w:tabs>
        <w:jc w:val="center"/>
        <w:rPr>
          <w:rFonts w:cs="Arial"/>
          <w:b/>
          <w:smallCaps/>
          <w:sz w:val="28"/>
          <w:szCs w:val="28"/>
        </w:rPr>
      </w:pPr>
      <w:r w:rsidRPr="00B43420">
        <w:rPr>
          <w:b/>
          <w:smallCaps/>
          <w:sz w:val="28"/>
          <w:szCs w:val="28"/>
        </w:rPr>
        <w:t>Memorandum Opposing Ohio Power Company’s Motion for Tariff Amendment by Industrial Energy Users-Ohio</w:t>
      </w:r>
    </w:p>
    <w:p w14:paraId="7FC689F1" w14:textId="77777777" w:rsidR="00B62669" w:rsidRDefault="00B62669" w:rsidP="00B62669">
      <w:pPr>
        <w:pBdr>
          <w:bottom w:val="single" w:sz="12" w:space="1" w:color="auto"/>
        </w:pBdr>
        <w:tabs>
          <w:tab w:val="left" w:pos="7320"/>
        </w:tabs>
        <w:jc w:val="center"/>
        <w:rPr>
          <w:rFonts w:cs="Arial"/>
          <w:sz w:val="28"/>
        </w:rPr>
      </w:pPr>
    </w:p>
    <w:p w14:paraId="435BE75C" w14:textId="77777777" w:rsidR="00210C6A" w:rsidRDefault="00210C6A" w:rsidP="00210C6A">
      <w:pPr>
        <w:spacing w:line="480" w:lineRule="auto"/>
      </w:pPr>
    </w:p>
    <w:p w14:paraId="37C796A7" w14:textId="7EEB6386" w:rsidR="00210C6A" w:rsidRDefault="00210C6A" w:rsidP="00B43420">
      <w:pPr>
        <w:pStyle w:val="Heading1"/>
      </w:pPr>
      <w:r>
        <w:t>Introduction</w:t>
      </w:r>
    </w:p>
    <w:p w14:paraId="3742AC9B" w14:textId="22711984" w:rsidR="00E62E80" w:rsidRDefault="002636CC" w:rsidP="00EE19A2">
      <w:pPr>
        <w:spacing w:line="480" w:lineRule="auto"/>
        <w:ind w:firstLine="720"/>
        <w:jc w:val="both"/>
      </w:pPr>
      <w:r>
        <w:t>On April 12, 2016, the O</w:t>
      </w:r>
      <w:r w:rsidR="00F976E9">
        <w:t xml:space="preserve">ffice of the Ohio Consumers’ Counsel </w:t>
      </w:r>
      <w:r w:rsidR="00A95FAD">
        <w:t>(</w:t>
      </w:r>
      <w:r w:rsidR="008A381C">
        <w:t>“</w:t>
      </w:r>
      <w:r w:rsidR="00A95FAD">
        <w:t>OCC</w:t>
      </w:r>
      <w:r w:rsidR="008A381C">
        <w:t>”</w:t>
      </w:r>
      <w:r w:rsidR="00A95FAD">
        <w:t xml:space="preserve">) </w:t>
      </w:r>
      <w:r w:rsidR="00F976E9">
        <w:t>file</w:t>
      </w:r>
      <w:r w:rsidR="000D3D9A">
        <w:t>d a complaint against the Ohio Power C</w:t>
      </w:r>
      <w:r w:rsidR="00F976E9">
        <w:t>ompany (</w:t>
      </w:r>
      <w:r w:rsidR="000D3D9A">
        <w:t>“</w:t>
      </w:r>
      <w:r w:rsidR="00F976E9">
        <w:t>AEP-Ohio</w:t>
      </w:r>
      <w:r w:rsidR="000D3D9A">
        <w:t>”</w:t>
      </w:r>
      <w:r w:rsidR="00F976E9">
        <w:t>)</w:t>
      </w:r>
      <w:r w:rsidR="00A85FC0">
        <w:t xml:space="preserve"> seeking </w:t>
      </w:r>
      <w:r w:rsidR="0081701C">
        <w:t xml:space="preserve">an </w:t>
      </w:r>
      <w:r w:rsidR="00D5379D">
        <w:t>order directing AEP-Ohio to enforce the resale provisions of its current Terms and Conditions of Service or directing AEP-Ohio to amend the Terms and C</w:t>
      </w:r>
      <w:r w:rsidR="00A85FC0">
        <w:t xml:space="preserve">onditions </w:t>
      </w:r>
      <w:r w:rsidR="00D5379D">
        <w:t>to include restrictions on submetering and resale of electric service provided to residential customers</w:t>
      </w:r>
      <w:r w:rsidR="00A95FAD">
        <w:t xml:space="preserve">.  Complaint </w:t>
      </w:r>
      <w:r w:rsidR="008B5889" w:rsidRPr="008B5889">
        <w:rPr>
          <w:i/>
        </w:rPr>
        <w:t>passim</w:t>
      </w:r>
      <w:r w:rsidR="008B5889">
        <w:t xml:space="preserve"> </w:t>
      </w:r>
      <w:r w:rsidR="00A95FAD">
        <w:t>(April 12, 2016).</w:t>
      </w:r>
      <w:r w:rsidR="008B5889">
        <w:t xml:space="preserve"> </w:t>
      </w:r>
      <w:r w:rsidR="00D2476C">
        <w:t xml:space="preserve"> </w:t>
      </w:r>
      <w:r w:rsidR="008B5889">
        <w:t xml:space="preserve">The amendment </w:t>
      </w:r>
      <w:r w:rsidR="00EB2589">
        <w:t>that OCC seeks would limit the availability of submetering</w:t>
      </w:r>
      <w:r w:rsidR="00D24F83">
        <w:t xml:space="preserve"> to residential landlord-tenet arrangements “where the landlord is not otherwise operating as a public utility.”  </w:t>
      </w:r>
      <w:r w:rsidR="00D24F83" w:rsidRPr="008E1E82">
        <w:rPr>
          <w:i/>
        </w:rPr>
        <w:t>Id</w:t>
      </w:r>
      <w:r w:rsidR="00D24F83">
        <w:t xml:space="preserve">., Attachment A.  </w:t>
      </w:r>
      <w:r w:rsidR="00C725A2">
        <w:t>Further</w:t>
      </w:r>
      <w:r w:rsidR="00D24F83">
        <w:t>, the tariff revision would prohibit the resale or redistribution of utility service</w:t>
      </w:r>
      <w:r w:rsidR="00C725A2">
        <w:t xml:space="preserve"> “at a charge that is above the landlord’s cost of purchasing the service.” </w:t>
      </w:r>
      <w:r w:rsidR="0022301E">
        <w:t xml:space="preserve"> </w:t>
      </w:r>
      <w:r w:rsidR="00C725A2" w:rsidRPr="008E1E82">
        <w:rPr>
          <w:i/>
        </w:rPr>
        <w:t>Id</w:t>
      </w:r>
      <w:r w:rsidR="00C725A2">
        <w:t>.</w:t>
      </w:r>
    </w:p>
    <w:p w14:paraId="4374E83A" w14:textId="00A9640B" w:rsidR="00C725A2" w:rsidRDefault="008E1E82" w:rsidP="00EE19A2">
      <w:pPr>
        <w:spacing w:line="480" w:lineRule="auto"/>
        <w:ind w:firstLine="720"/>
        <w:jc w:val="both"/>
      </w:pPr>
      <w:r>
        <w:t>In response to the C</w:t>
      </w:r>
      <w:r w:rsidR="00C725A2">
        <w:t xml:space="preserve">omplaint, </w:t>
      </w:r>
      <w:r w:rsidR="00153F41">
        <w:t>AEP</w:t>
      </w:r>
      <w:r w:rsidR="00C725A2">
        <w:t>-Ohio</w:t>
      </w:r>
      <w:r w:rsidR="00FE3EAF">
        <w:t xml:space="preserve"> filed an </w:t>
      </w:r>
      <w:r w:rsidR="00FA26A4">
        <w:t xml:space="preserve">Answer </w:t>
      </w:r>
      <w:r w:rsidR="00FE3EAF">
        <w:t>and a M</w:t>
      </w:r>
      <w:r w:rsidR="00153F41">
        <w:t xml:space="preserve">otion for </w:t>
      </w:r>
      <w:r w:rsidR="00FE3EAF">
        <w:t>Tariff A</w:t>
      </w:r>
      <w:r w:rsidR="00153F41">
        <w:t>mendment on April 27, 2016</w:t>
      </w:r>
      <w:r w:rsidR="00FE3EAF">
        <w:t xml:space="preserve">.  Ohio Power Company’s Motion for Tariff Amendment </w:t>
      </w:r>
      <w:r w:rsidR="00FE3EAF">
        <w:lastRenderedPageBreak/>
        <w:t xml:space="preserve">(April 27, 2016) (“Motion”). </w:t>
      </w:r>
      <w:r w:rsidR="0096377D">
        <w:t xml:space="preserve"> </w:t>
      </w:r>
      <w:r w:rsidR="00FE3EAF">
        <w:t>In the M</w:t>
      </w:r>
      <w:r w:rsidR="00153F41">
        <w:t xml:space="preserve">otion, AEP-Ohio </w:t>
      </w:r>
      <w:r w:rsidR="002F0FCD">
        <w:t>requests</w:t>
      </w:r>
      <w:r w:rsidR="00153F41">
        <w:t xml:space="preserve"> that </w:t>
      </w:r>
      <w:r w:rsidR="007B5225">
        <w:t>the Public Utilities Commission of Ohio (“Commission”)</w:t>
      </w:r>
      <w:r w:rsidR="002F0FCD">
        <w:t xml:space="preserve"> </w:t>
      </w:r>
      <w:r w:rsidR="00AE1258">
        <w:t>amend its Terms and Conditions of Service</w:t>
      </w:r>
      <w:r w:rsidR="00B12296">
        <w:t xml:space="preserve"> </w:t>
      </w:r>
      <w:r w:rsidR="008244A2">
        <w:t>to “clarify”</w:t>
      </w:r>
      <w:r w:rsidR="00DC639E">
        <w:t xml:space="preserve"> the resale restrictions contained in its </w:t>
      </w:r>
      <w:r w:rsidR="00FE3EAF">
        <w:t>Terms and Conditions of Service</w:t>
      </w:r>
      <w:r>
        <w:t xml:space="preserve">. </w:t>
      </w:r>
      <w:r w:rsidR="0020157E">
        <w:t xml:space="preserve"> </w:t>
      </w:r>
      <w:r w:rsidR="00137894" w:rsidRPr="00137894">
        <w:rPr>
          <w:i/>
        </w:rPr>
        <w:t>Id</w:t>
      </w:r>
      <w:r w:rsidR="00137894">
        <w:t>. at 3.</w:t>
      </w:r>
      <w:r w:rsidR="00553343">
        <w:t xml:space="preserve"> </w:t>
      </w:r>
      <w:r w:rsidR="0020157E">
        <w:t xml:space="preserve"> </w:t>
      </w:r>
      <w:r w:rsidR="00B12296">
        <w:t>The amendment</w:t>
      </w:r>
      <w:r w:rsidR="00DD63A5">
        <w:t>s</w:t>
      </w:r>
      <w:r w:rsidR="00B12296">
        <w:t xml:space="preserve"> would permit AEP-Ohio to terminate service to customers and restrict resales of electricity service</w:t>
      </w:r>
      <w:r w:rsidR="009C7FE9">
        <w:t xml:space="preserve"> “where the Customer, the Customer’s agent, or any other entity assesses any charge for electric service to occupants, tenants, or any other end-user, except where the Customer passes on the </w:t>
      </w:r>
      <w:r w:rsidR="004C38B2">
        <w:t xml:space="preserve">Company’s </w:t>
      </w:r>
      <w:r w:rsidR="009C7FE9">
        <w:t xml:space="preserve">charges without markup to occupants or tenants and such charges are allocated based on each occupant’s or tenant’s actual usage.”  </w:t>
      </w:r>
      <w:r w:rsidR="00B12296" w:rsidRPr="007E210D">
        <w:rPr>
          <w:i/>
        </w:rPr>
        <w:t>Id</w:t>
      </w:r>
      <w:r w:rsidR="00B12296">
        <w:t>., Exhibit B-2 (Redline Copies of Proposed Schedule Sheets).</w:t>
      </w:r>
      <w:r w:rsidR="009C7FE9">
        <w:t xml:space="preserve">  According to AEP-Ohio, These new restrictions on resale service should apply to all end users because</w:t>
      </w:r>
      <w:r w:rsidR="00553343">
        <w:t xml:space="preserve"> the harms caused by submetering are not limited to residential customers.</w:t>
      </w:r>
      <w:r w:rsidR="00FA5A99">
        <w:t xml:space="preserve">  </w:t>
      </w:r>
      <w:r w:rsidR="00FA5A99" w:rsidRPr="00FA5A99">
        <w:rPr>
          <w:i/>
        </w:rPr>
        <w:t>Id</w:t>
      </w:r>
      <w:r w:rsidR="00FA5A99">
        <w:t>. at 8-9.</w:t>
      </w:r>
      <w:r w:rsidR="00E57707" w:rsidRPr="00E57707">
        <w:t xml:space="preserve"> </w:t>
      </w:r>
    </w:p>
    <w:p w14:paraId="3C5678E6" w14:textId="1598C29F" w:rsidR="00BA0479" w:rsidRDefault="00E27005" w:rsidP="00EE19A2">
      <w:pPr>
        <w:spacing w:line="480" w:lineRule="auto"/>
        <w:ind w:firstLine="720"/>
        <w:jc w:val="both"/>
      </w:pPr>
      <w:r>
        <w:t>AEP-Ohio’s</w:t>
      </w:r>
      <w:r w:rsidR="00BD6502">
        <w:t xml:space="preserve"> rationale to support </w:t>
      </w:r>
      <w:r w:rsidR="00137894">
        <w:t>an amendment of its Terms and Conditions of Service</w:t>
      </w:r>
      <w:r w:rsidR="003C1B57">
        <w:t xml:space="preserve"> to address issues unrelated to residential electric service</w:t>
      </w:r>
      <w:r w:rsidR="00BD6502">
        <w:t xml:space="preserve"> </w:t>
      </w:r>
      <w:r w:rsidR="00A3345D">
        <w:t xml:space="preserve">is not supported by its </w:t>
      </w:r>
      <w:r w:rsidR="00165F0B">
        <w:t xml:space="preserve">Motion </w:t>
      </w:r>
      <w:r w:rsidR="007E210D">
        <w:t>or</w:t>
      </w:r>
      <w:r w:rsidR="00A3345D">
        <w:t xml:space="preserve"> </w:t>
      </w:r>
      <w:r w:rsidR="006D48F0">
        <w:t xml:space="preserve">the </w:t>
      </w:r>
      <w:r w:rsidR="00A3345D">
        <w:t>ongoing investigation of submetering</w:t>
      </w:r>
      <w:r w:rsidR="00B53704">
        <w:t xml:space="preserve"> and would impose unreasonable restrictions on resale</w:t>
      </w:r>
      <w:r w:rsidR="00A3345D">
        <w:t xml:space="preserve">.  </w:t>
      </w:r>
      <w:r w:rsidR="00D45D7B">
        <w:t>Accordingly</w:t>
      </w:r>
      <w:r w:rsidR="00827AC4">
        <w:t xml:space="preserve">, </w:t>
      </w:r>
      <w:r w:rsidR="004F2CB7">
        <w:t>the Motion seeks approval of restrictions that are unlawful and should be denied</w:t>
      </w:r>
      <w:r w:rsidR="00827AC4">
        <w:t>.</w:t>
      </w:r>
    </w:p>
    <w:p w14:paraId="5AD562D7" w14:textId="12D939BE" w:rsidR="009E3AF5" w:rsidRPr="009E3AF5" w:rsidRDefault="00B0688C" w:rsidP="009B0CD3">
      <w:pPr>
        <w:pStyle w:val="Heading1"/>
      </w:pPr>
      <w:r>
        <w:t>Argument</w:t>
      </w:r>
    </w:p>
    <w:p w14:paraId="3CF562D2" w14:textId="5DE2AF14" w:rsidR="0089037F" w:rsidRDefault="00DF08EE" w:rsidP="0089037F">
      <w:pPr>
        <w:pStyle w:val="Heading2"/>
        <w:rPr>
          <w:rFonts w:eastAsia="Times New Roman"/>
          <w:szCs w:val="20"/>
        </w:rPr>
      </w:pPr>
      <w:r>
        <w:rPr>
          <w:rFonts w:eastAsia="Times New Roman"/>
          <w:szCs w:val="20"/>
        </w:rPr>
        <w:t xml:space="preserve">Under </w:t>
      </w:r>
      <w:r w:rsidR="00153FDD">
        <w:rPr>
          <w:rFonts w:eastAsia="Times New Roman"/>
          <w:szCs w:val="20"/>
        </w:rPr>
        <w:t>R.C. 4928</w:t>
      </w:r>
      <w:r>
        <w:rPr>
          <w:rFonts w:eastAsia="Times New Roman"/>
          <w:szCs w:val="20"/>
        </w:rPr>
        <w:t xml:space="preserve">.40(D), </w:t>
      </w:r>
      <w:r w:rsidR="0089037F">
        <w:rPr>
          <w:rFonts w:eastAsia="Times New Roman"/>
          <w:szCs w:val="20"/>
        </w:rPr>
        <w:t xml:space="preserve">an </w:t>
      </w:r>
      <w:r w:rsidR="0089037F">
        <w:t xml:space="preserve">electric utility in this state shall </w:t>
      </w:r>
      <w:r>
        <w:t xml:space="preserve">not </w:t>
      </w:r>
      <w:r w:rsidR="0089037F">
        <w:t>prohibit the resale of electric generation service or impose unreasonable or discriminatory conditions or limitations on the resale of electric generation service</w:t>
      </w:r>
      <w:r w:rsidR="0089037F">
        <w:rPr>
          <w:rFonts w:eastAsia="Times New Roman"/>
          <w:szCs w:val="20"/>
        </w:rPr>
        <w:t xml:space="preserve"> </w:t>
      </w:r>
    </w:p>
    <w:p w14:paraId="477D2160" w14:textId="6F52B944" w:rsidR="00A10CE8" w:rsidRDefault="00A10CE8" w:rsidP="00A10CE8">
      <w:pPr>
        <w:tabs>
          <w:tab w:val="left" w:pos="720"/>
        </w:tabs>
        <w:spacing w:line="480" w:lineRule="auto"/>
        <w:ind w:firstLine="720"/>
        <w:jc w:val="both"/>
        <w:rPr>
          <w:rFonts w:eastAsia="Times New Roman" w:cs="Arial"/>
          <w:szCs w:val="20"/>
        </w:rPr>
      </w:pPr>
      <w:r>
        <w:rPr>
          <w:rFonts w:eastAsia="Times New Roman" w:cs="Arial"/>
          <w:szCs w:val="20"/>
        </w:rPr>
        <w:t>Attempts by utilities to impose restrictions on master metering are not new</w:t>
      </w:r>
      <w:r w:rsidR="001553CB">
        <w:rPr>
          <w:rFonts w:eastAsia="Times New Roman" w:cs="Arial"/>
          <w:szCs w:val="20"/>
        </w:rPr>
        <w:t>,</w:t>
      </w:r>
      <w:r>
        <w:rPr>
          <w:rFonts w:eastAsia="Times New Roman" w:cs="Arial"/>
          <w:szCs w:val="20"/>
        </w:rPr>
        <w:t xml:space="preserve"> and the Commission previously has looked to its statutory authority to determine if the restrictions are lawful.  </w:t>
      </w:r>
      <w:r w:rsidRPr="00A030E6">
        <w:rPr>
          <w:rFonts w:eastAsia="Times New Roman" w:cs="Arial"/>
          <w:szCs w:val="20"/>
        </w:rPr>
        <w:t xml:space="preserve">In </w:t>
      </w:r>
      <w:r>
        <w:rPr>
          <w:rFonts w:eastAsia="Times New Roman" w:cs="Arial"/>
          <w:szCs w:val="20"/>
        </w:rPr>
        <w:t>a 1995 decision</w:t>
      </w:r>
      <w:r w:rsidRPr="00A030E6">
        <w:rPr>
          <w:rFonts w:eastAsia="Times New Roman" w:cs="Arial"/>
          <w:szCs w:val="20"/>
        </w:rPr>
        <w:t xml:space="preserve">, </w:t>
      </w:r>
      <w:r>
        <w:rPr>
          <w:rFonts w:eastAsia="Times New Roman" w:cs="Arial"/>
          <w:szCs w:val="20"/>
        </w:rPr>
        <w:t xml:space="preserve">the Commission addressed concerns of </w:t>
      </w:r>
      <w:r w:rsidRPr="00A030E6">
        <w:rPr>
          <w:rFonts w:eastAsia="Times New Roman" w:cs="Arial"/>
          <w:szCs w:val="20"/>
        </w:rPr>
        <w:lastRenderedPageBreak/>
        <w:t xml:space="preserve">commercial tenants of a mall </w:t>
      </w:r>
      <w:r>
        <w:rPr>
          <w:rFonts w:eastAsia="Times New Roman" w:cs="Arial"/>
          <w:szCs w:val="20"/>
        </w:rPr>
        <w:t xml:space="preserve">that </w:t>
      </w:r>
      <w:r w:rsidRPr="00A030E6">
        <w:rPr>
          <w:rFonts w:eastAsia="Times New Roman" w:cs="Arial"/>
          <w:szCs w:val="20"/>
        </w:rPr>
        <w:t xml:space="preserve">sued the landlords, stating that the landlords were violating a resale restriction in the Toledo Edison tariffs and that the landlords were operating illegally as public utilities.  </w:t>
      </w:r>
      <w:r w:rsidRPr="00BF2878">
        <w:rPr>
          <w:rFonts w:eastAsia="Times New Roman" w:cs="Arial"/>
          <w:i/>
          <w:iCs/>
          <w:szCs w:val="20"/>
        </w:rPr>
        <w:t>Brooks, et al. v. Toledo Edison Co.</w:t>
      </w:r>
      <w:r w:rsidRPr="00BF2878">
        <w:rPr>
          <w:rFonts w:eastAsia="Times New Roman" w:cs="Arial"/>
          <w:szCs w:val="20"/>
        </w:rPr>
        <w:t>,</w:t>
      </w:r>
      <w:r w:rsidRPr="00BF2878">
        <w:rPr>
          <w:rFonts w:eastAsia="Times New Roman" w:cs="Arial"/>
          <w:i/>
          <w:iCs/>
          <w:szCs w:val="20"/>
        </w:rPr>
        <w:t xml:space="preserve"> </w:t>
      </w:r>
      <w:r>
        <w:rPr>
          <w:rFonts w:eastAsia="Times New Roman" w:cs="Arial"/>
          <w:szCs w:val="20"/>
        </w:rPr>
        <w:t>Case No. 94-1987, Entry</w:t>
      </w:r>
      <w:r w:rsidRPr="00BF2878">
        <w:rPr>
          <w:rFonts w:eastAsia="Times New Roman" w:cs="Arial"/>
          <w:szCs w:val="20"/>
        </w:rPr>
        <w:t xml:space="preserve"> </w:t>
      </w:r>
      <w:r>
        <w:rPr>
          <w:rFonts w:eastAsia="Times New Roman" w:cs="Arial"/>
          <w:szCs w:val="20"/>
        </w:rPr>
        <w:t>(Mar. 16, 1995) (“</w:t>
      </w:r>
      <w:r w:rsidRPr="001B7654">
        <w:rPr>
          <w:rFonts w:eastAsia="Times New Roman" w:cs="Arial"/>
          <w:i/>
          <w:szCs w:val="20"/>
        </w:rPr>
        <w:t>Brooks</w:t>
      </w:r>
      <w:r>
        <w:rPr>
          <w:rFonts w:eastAsia="Times New Roman" w:cs="Arial"/>
          <w:szCs w:val="20"/>
        </w:rPr>
        <w:t>”)</w:t>
      </w:r>
      <w:r w:rsidRPr="00BF2878">
        <w:rPr>
          <w:rFonts w:eastAsia="Times New Roman" w:cs="Arial"/>
          <w:szCs w:val="20"/>
        </w:rPr>
        <w:t>.</w:t>
      </w:r>
      <w:r>
        <w:rPr>
          <w:rFonts w:eastAsia="Times New Roman" w:cs="Arial"/>
          <w:szCs w:val="20"/>
        </w:rPr>
        <w:t xml:space="preserve">  Applying a three-part test the Commission had adopted in a case addressing residential water rates</w:t>
      </w:r>
      <w:r w:rsidRPr="00A030E6">
        <w:rPr>
          <w:rFonts w:eastAsia="Times New Roman" w:cs="Arial"/>
          <w:szCs w:val="20"/>
        </w:rPr>
        <w:t>,</w:t>
      </w:r>
      <w:r w:rsidR="00F30630">
        <w:rPr>
          <w:rFonts w:eastAsia="Times New Roman" w:cs="Arial"/>
          <w:szCs w:val="20"/>
        </w:rPr>
        <w:t xml:space="preserve"> </w:t>
      </w:r>
      <w:r w:rsidR="00F30630" w:rsidRPr="008C5355">
        <w:rPr>
          <w:rFonts w:cs="Arial"/>
          <w:i/>
          <w:iCs/>
        </w:rPr>
        <w:t>In re Complaints of Inscho v. Shroyer's Mobile Homes,</w:t>
      </w:r>
      <w:r w:rsidR="00F30630" w:rsidRPr="008C5355">
        <w:rPr>
          <w:rFonts w:cs="Arial"/>
        </w:rPr>
        <w:t xml:space="preserve"> Case Nos. 90-182-WS-CSS, </w:t>
      </w:r>
      <w:r w:rsidR="00F30630" w:rsidRPr="008C5355">
        <w:rPr>
          <w:rFonts w:cs="Arial"/>
          <w:i/>
        </w:rPr>
        <w:t>et al</w:t>
      </w:r>
      <w:r w:rsidR="00F30630" w:rsidRPr="008C5355">
        <w:rPr>
          <w:rFonts w:cs="Arial"/>
        </w:rPr>
        <w:t xml:space="preserve">., </w:t>
      </w:r>
      <w:r w:rsidR="00F30630">
        <w:rPr>
          <w:rFonts w:cs="Arial"/>
        </w:rPr>
        <w:t xml:space="preserve">Opinion and Order </w:t>
      </w:r>
      <w:r w:rsidR="00F30630" w:rsidRPr="008C5355">
        <w:rPr>
          <w:rFonts w:cs="Arial"/>
        </w:rPr>
        <w:t>(Feb. 27, 1992)</w:t>
      </w:r>
      <w:r w:rsidR="00F30630">
        <w:rPr>
          <w:rFonts w:cs="Arial"/>
        </w:rPr>
        <w:t xml:space="preserve"> (“</w:t>
      </w:r>
      <w:r w:rsidR="00F30630" w:rsidRPr="00932359">
        <w:rPr>
          <w:rFonts w:cs="Arial"/>
          <w:i/>
        </w:rPr>
        <w:t>Shroyer</w:t>
      </w:r>
      <w:r w:rsidR="00F30630">
        <w:rPr>
          <w:rFonts w:cs="Arial"/>
        </w:rPr>
        <w:t>”),</w:t>
      </w:r>
      <w:r w:rsidRPr="00A030E6">
        <w:rPr>
          <w:rFonts w:eastAsia="Times New Roman" w:cs="Arial"/>
          <w:szCs w:val="20"/>
        </w:rPr>
        <w:t xml:space="preserve"> the Commission dismissed the complaint against the landlords.  In a separate </w:t>
      </w:r>
      <w:r w:rsidR="00153FDD">
        <w:rPr>
          <w:rFonts w:eastAsia="Times New Roman" w:cs="Arial"/>
          <w:szCs w:val="20"/>
        </w:rPr>
        <w:t>entry</w:t>
      </w:r>
      <w:r w:rsidRPr="00A030E6">
        <w:rPr>
          <w:rFonts w:eastAsia="Times New Roman" w:cs="Arial"/>
          <w:szCs w:val="20"/>
        </w:rPr>
        <w:t xml:space="preserve">, the Commission dismissed the complaint against Toledo Edison, holding that the utility company had no valid right or interest in restricting redistribution and resale by a landlord if the landlord was not acting as a public utility and the landlord owned the property on which the redistribution took place.  </w:t>
      </w:r>
      <w:r w:rsidRPr="00A030E6">
        <w:rPr>
          <w:rFonts w:eastAsia="Times New Roman" w:cs="Arial"/>
          <w:i/>
          <w:szCs w:val="20"/>
        </w:rPr>
        <w:t xml:space="preserve">Brooks, </w:t>
      </w:r>
      <w:r w:rsidRPr="00A030E6">
        <w:rPr>
          <w:rFonts w:eastAsia="Times New Roman" w:cs="Arial"/>
          <w:szCs w:val="20"/>
        </w:rPr>
        <w:t>1996 Ohio PUC LEXIS 292 at *32 &amp; *41 (May 8, 1996).</w:t>
      </w:r>
    </w:p>
    <w:p w14:paraId="2676372B" w14:textId="20C7948F" w:rsidR="00A10CE8" w:rsidRDefault="00A10CE8" w:rsidP="00A10CE8">
      <w:pPr>
        <w:spacing w:line="480" w:lineRule="auto"/>
        <w:ind w:firstLine="720"/>
        <w:jc w:val="both"/>
      </w:pPr>
      <w:r>
        <w:t xml:space="preserve">After the Commission issued its decision in </w:t>
      </w:r>
      <w:r w:rsidRPr="00F60A0C">
        <w:rPr>
          <w:i/>
        </w:rPr>
        <w:t>Brooks</w:t>
      </w:r>
      <w:r>
        <w:t xml:space="preserve">, the General Assembly enacted legislation, </w:t>
      </w:r>
      <w:r w:rsidR="00050EBB">
        <w:t>Amended Substitute Senate Bill 3 (“SB 3”)</w:t>
      </w:r>
      <w:r>
        <w:t>, restructuring the regulation of retail electric service</w:t>
      </w:r>
      <w:r w:rsidR="0058567D">
        <w:t>.  SB 3</w:t>
      </w:r>
      <w:r>
        <w:t xml:space="preserve"> </w:t>
      </w:r>
      <w:r w:rsidR="0058567D">
        <w:t xml:space="preserve">declared that retail electric generation service is a competitive electric service and </w:t>
      </w:r>
      <w:r>
        <w:t xml:space="preserve">limited the Commission’s jurisdiction over retail electric services.  R.C. </w:t>
      </w:r>
      <w:r w:rsidR="003908FC">
        <w:t xml:space="preserve">4928.03 &amp; </w:t>
      </w:r>
      <w:r>
        <w:t xml:space="preserve">4928.05(A) &amp; (B).  Additionally, the legislation </w:t>
      </w:r>
      <w:r w:rsidR="00D462C6">
        <w:t>directed</w:t>
      </w:r>
      <w:r>
        <w:t xml:space="preserve"> </w:t>
      </w:r>
      <w:r w:rsidR="006126F0">
        <w:t>that “n</w:t>
      </w:r>
      <w:r>
        <w:t>o electric utility in this state shall prohibit the resale of electric generation service or impose unreasonable or discriminatory conditions or limitations on the resale of electric generation service.”  R.C. 4928.40</w:t>
      </w:r>
      <w:r w:rsidR="00A94BC7">
        <w:t>(D)</w:t>
      </w:r>
      <w:r>
        <w:t>.</w:t>
      </w:r>
      <w:r>
        <w:rPr>
          <w:rStyle w:val="FootnoteReference"/>
        </w:rPr>
        <w:footnoteReference w:id="1"/>
      </w:r>
      <w:r w:rsidR="0049135D">
        <w:t xml:space="preserve">  Under this section, the Commission cannot authorize terms and </w:t>
      </w:r>
      <w:r w:rsidR="0049135D">
        <w:lastRenderedPageBreak/>
        <w:t xml:space="preserve">conditions that </w:t>
      </w:r>
      <w:r w:rsidR="004C4402">
        <w:t>“unnecessarily intrude[] into the landlord-tenant relationship</w:t>
      </w:r>
      <w:r w:rsidR="006126F0">
        <w:t>.</w:t>
      </w:r>
      <w:r w:rsidR="004C4402">
        <w:t>”</w:t>
      </w:r>
      <w:r w:rsidR="001E47E5">
        <w:t xml:space="preserve">  </w:t>
      </w:r>
      <w:r w:rsidR="00EC49A6" w:rsidRPr="00EC49A6">
        <w:rPr>
          <w:i/>
        </w:rPr>
        <w:t>First</w:t>
      </w:r>
      <w:r w:rsidR="001E47E5" w:rsidRPr="00C76E85">
        <w:rPr>
          <w:i/>
        </w:rPr>
        <w:t>Energy</w:t>
      </w:r>
      <w:r w:rsidR="001E47E5">
        <w:t>, Entry on Rehearing at 2 (Mar. 15, 2001).</w:t>
      </w:r>
    </w:p>
    <w:p w14:paraId="202F378D" w14:textId="328413BF" w:rsidR="00A10CE8" w:rsidRDefault="00854719" w:rsidP="00091B4A">
      <w:pPr>
        <w:pStyle w:val="Heading2"/>
      </w:pPr>
      <w:r>
        <w:t xml:space="preserve">Authorization </w:t>
      </w:r>
      <w:r w:rsidR="00DB49FF">
        <w:t>of</w:t>
      </w:r>
      <w:r>
        <w:t xml:space="preserve"> AEP-Ohio’s </w:t>
      </w:r>
      <w:r w:rsidR="00091B4A">
        <w:t>proposed</w:t>
      </w:r>
      <w:r w:rsidR="0089037F">
        <w:t xml:space="preserve"> amendments to </w:t>
      </w:r>
      <w:r>
        <w:t>its</w:t>
      </w:r>
      <w:r w:rsidR="00A10CE8">
        <w:t xml:space="preserve"> Terms and Conditions of Service </w:t>
      </w:r>
      <w:r w:rsidR="004F1D4A">
        <w:t xml:space="preserve">concerning resale </w:t>
      </w:r>
      <w:r w:rsidR="00A10CE8">
        <w:t>are</w:t>
      </w:r>
      <w:r w:rsidR="004F1D4A">
        <w:t xml:space="preserve"> unlawful and unreasonable</w:t>
      </w:r>
      <w:r>
        <w:t xml:space="preserve"> and therefore would violate the requirements of R.C. 4928.4</w:t>
      </w:r>
      <w:r w:rsidR="00DB49FF">
        <w:t>0</w:t>
      </w:r>
      <w:r>
        <w:t>(D).</w:t>
      </w:r>
    </w:p>
    <w:p w14:paraId="6D15AC21" w14:textId="39359526" w:rsidR="00D462C6" w:rsidRDefault="0029225C" w:rsidP="005F3020">
      <w:pPr>
        <w:spacing w:line="480" w:lineRule="auto"/>
        <w:ind w:firstLine="720"/>
        <w:jc w:val="both"/>
      </w:pPr>
      <w:r>
        <w:t xml:space="preserve">In the last two years, certain companies </w:t>
      </w:r>
      <w:r w:rsidR="00AF4E1A">
        <w:t>that provide</w:t>
      </w:r>
      <w:r>
        <w:t xml:space="preserve"> </w:t>
      </w:r>
      <w:r w:rsidR="00AF4E1A">
        <w:t xml:space="preserve">submetering and which have been alleged to be engaged in the direct provision of utility services to </w:t>
      </w:r>
      <w:r>
        <w:t xml:space="preserve">residential customers </w:t>
      </w:r>
      <w:r w:rsidR="001618F4">
        <w:t xml:space="preserve">have triggered media, legislative, and regulatory </w:t>
      </w:r>
      <w:r w:rsidR="006C71C4">
        <w:t>attention</w:t>
      </w:r>
      <w:r w:rsidR="00B127A9">
        <w:t>.</w:t>
      </w:r>
      <w:r w:rsidR="008F30C9">
        <w:t xml:space="preserve">  In response to a recent consumer complaint, the Commission opened its investigation into submetering.</w:t>
      </w:r>
      <w:r w:rsidR="00650D65">
        <w:t xml:space="preserve">  </w:t>
      </w:r>
      <w:r w:rsidR="004A6C23">
        <w:rPr>
          <w:i/>
        </w:rPr>
        <w:t>In the Matter of the Commission Investigation of Submetering in the State of Ohio</w:t>
      </w:r>
      <w:r w:rsidR="00650D65">
        <w:t xml:space="preserve">, </w:t>
      </w:r>
      <w:r w:rsidR="004A6C23">
        <w:t xml:space="preserve">Case No. 15-1594-AU-COI, </w:t>
      </w:r>
      <w:r w:rsidR="00650D65">
        <w:t xml:space="preserve">Entry (Dec. </w:t>
      </w:r>
      <w:r w:rsidR="00C16D9A">
        <w:t>16</w:t>
      </w:r>
      <w:r w:rsidR="00650D65">
        <w:t>, 2015)</w:t>
      </w:r>
      <w:r w:rsidR="004A6C23">
        <w:t xml:space="preserve"> (“</w:t>
      </w:r>
      <w:r w:rsidR="004A6C23" w:rsidRPr="004A6C23">
        <w:rPr>
          <w:i/>
        </w:rPr>
        <w:t>Submetering Investigation</w:t>
      </w:r>
      <w:r w:rsidR="004A6C23">
        <w:t>”)</w:t>
      </w:r>
      <w:r w:rsidR="00650D65">
        <w:t>.</w:t>
      </w:r>
      <w:r w:rsidR="00B127A9">
        <w:t xml:space="preserve">  </w:t>
      </w:r>
    </w:p>
    <w:p w14:paraId="188A4A15" w14:textId="77B691D3" w:rsidR="0074486E" w:rsidRDefault="00DF0A86" w:rsidP="005F3020">
      <w:pPr>
        <w:spacing w:line="480" w:lineRule="auto"/>
        <w:ind w:firstLine="720"/>
        <w:jc w:val="both"/>
      </w:pPr>
      <w:r>
        <w:t>AEP-Ohio</w:t>
      </w:r>
      <w:r w:rsidR="00E1512A">
        <w:t xml:space="preserve"> </w:t>
      </w:r>
      <w:r w:rsidR="001202C6">
        <w:t xml:space="preserve">has used the </w:t>
      </w:r>
      <w:r w:rsidR="001202C6" w:rsidRPr="001202C6">
        <w:rPr>
          <w:i/>
        </w:rPr>
        <w:t>Submetering Investigation</w:t>
      </w:r>
      <w:r>
        <w:t xml:space="preserve"> </w:t>
      </w:r>
      <w:r w:rsidR="009D3540">
        <w:t xml:space="preserve">to advance a </w:t>
      </w:r>
      <w:r w:rsidR="00311560">
        <w:t>broader</w:t>
      </w:r>
      <w:r w:rsidR="009D3540">
        <w:t xml:space="preserve"> agenda to </w:t>
      </w:r>
      <w:r w:rsidR="00923ABC">
        <w:t>impose restrictions on master-metering arrangements and restrictions on resale of retail electric service</w:t>
      </w:r>
      <w:r w:rsidR="009D3540">
        <w:t>.</w:t>
      </w:r>
      <w:r w:rsidR="00242BB0">
        <w:t xml:space="preserve">  </w:t>
      </w:r>
      <w:r w:rsidR="00242BB0" w:rsidRPr="00A76313">
        <w:rPr>
          <w:i/>
        </w:rPr>
        <w:t>See id</w:t>
      </w:r>
      <w:r w:rsidR="00242BB0">
        <w:t xml:space="preserve">., Initial Comments of Ohio Power Company and Duke Energy Ohio, Inc. (Jan. 21, 2016) (proposing </w:t>
      </w:r>
      <w:r w:rsidR="00726059">
        <w:t xml:space="preserve">a redefinition of “public utility” </w:t>
      </w:r>
      <w:r w:rsidR="00932EDC">
        <w:t>as a means of regulating submetering).</w:t>
      </w:r>
      <w:r w:rsidR="009D3540">
        <w:t xml:space="preserve">  </w:t>
      </w:r>
      <w:r w:rsidR="00311560" w:rsidRPr="00311560">
        <w:t xml:space="preserve">In </w:t>
      </w:r>
      <w:r w:rsidR="00083709">
        <w:t>particular</w:t>
      </w:r>
      <w:r w:rsidR="00311560" w:rsidRPr="00311560">
        <w:t xml:space="preserve">, AEP-Ohio </w:t>
      </w:r>
      <w:r w:rsidR="000B31EE">
        <w:t>(in comments filed with</w:t>
      </w:r>
      <w:r w:rsidR="00311560" w:rsidRPr="00311560">
        <w:t xml:space="preserve"> Duke Energy Ohio (“Duke”)</w:t>
      </w:r>
      <w:r w:rsidR="000B31EE">
        <w:t>)</w:t>
      </w:r>
      <w:r w:rsidR="00311560" w:rsidRPr="00311560">
        <w:t xml:space="preserve"> proposed to eliminate unregulated submetering by focusing on the billing arrangement between the service provider and its customer, treating any reseller that charges for resale services as a public utility for purposes of R.C. 4905.03  AEP-Ohio/Duke Comments at 24.  Under the AEP</w:t>
      </w:r>
      <w:r w:rsidR="007E1B4D">
        <w:t>-</w:t>
      </w:r>
      <w:r w:rsidR="00311560" w:rsidRPr="00311560">
        <w:t xml:space="preserve">Duke proposal, Commission jurisdiction would cover all landlords and submetering companies that assess separate rates or markups for utility usage.  </w:t>
      </w:r>
      <w:r w:rsidR="00311560" w:rsidRPr="00311560">
        <w:rPr>
          <w:i/>
        </w:rPr>
        <w:t>Id</w:t>
      </w:r>
      <w:r w:rsidR="00311560" w:rsidRPr="00311560">
        <w:t xml:space="preserve">. at 24-25.  </w:t>
      </w:r>
      <w:r w:rsidR="00A76313">
        <w:t xml:space="preserve">As Industrial Energy Users-Ohio (“IEU-Ohio”) </w:t>
      </w:r>
      <w:r w:rsidR="00A76313">
        <w:lastRenderedPageBreak/>
        <w:t xml:space="preserve">noted in </w:t>
      </w:r>
      <w:r w:rsidR="00083709">
        <w:t xml:space="preserve">Reply Comments filed in the </w:t>
      </w:r>
      <w:r w:rsidR="00083709" w:rsidRPr="00E20B46">
        <w:rPr>
          <w:i/>
        </w:rPr>
        <w:t>Submetering Investigation</w:t>
      </w:r>
      <w:r w:rsidR="00A76313">
        <w:t xml:space="preserve">, the attempt by AEP-Ohio and Duke to redefine the Commission’s </w:t>
      </w:r>
      <w:r w:rsidR="00297785">
        <w:t>jurisdiction</w:t>
      </w:r>
      <w:r w:rsidR="00683FCB">
        <w:t xml:space="preserve"> was </w:t>
      </w:r>
      <w:r w:rsidR="00297785">
        <w:t xml:space="preserve">too broad, </w:t>
      </w:r>
      <w:r w:rsidR="00683FCB">
        <w:t xml:space="preserve">unreasonable, and unlawful because it </w:t>
      </w:r>
      <w:r w:rsidR="00297785">
        <w:t>would unduly interfere</w:t>
      </w:r>
      <w:r w:rsidR="00683FCB">
        <w:t xml:space="preserve"> with </w:t>
      </w:r>
      <w:r w:rsidR="00CB2CB9">
        <w:t>private agreements</w:t>
      </w:r>
      <w:r w:rsidR="00683FCB">
        <w:t xml:space="preserve"> such as shared service arrangements</w:t>
      </w:r>
      <w:r w:rsidR="00066FD4">
        <w:rPr>
          <w:rStyle w:val="FootnoteReference"/>
        </w:rPr>
        <w:footnoteReference w:id="2"/>
      </w:r>
      <w:r w:rsidR="00683FCB">
        <w:t xml:space="preserve"> that have been long recognized as beneficial </w:t>
      </w:r>
      <w:r w:rsidR="00655A49">
        <w:t xml:space="preserve">to </w:t>
      </w:r>
      <w:r w:rsidR="00683FCB">
        <w:t xml:space="preserve">customers and lawful.  </w:t>
      </w:r>
      <w:r w:rsidR="00683FCB" w:rsidRPr="00A04F27">
        <w:rPr>
          <w:i/>
        </w:rPr>
        <w:t>Id</w:t>
      </w:r>
      <w:r w:rsidR="00683FCB">
        <w:t>., Reply Comments of Industrial Energy Users-Ohio (</w:t>
      </w:r>
      <w:r w:rsidR="0074486E">
        <w:t xml:space="preserve">Feb. 5, 2016).  </w:t>
      </w:r>
    </w:p>
    <w:p w14:paraId="7E6F3390" w14:textId="679B25CF" w:rsidR="00C36BF9" w:rsidRDefault="00127440" w:rsidP="00EE19A2">
      <w:pPr>
        <w:spacing w:line="480" w:lineRule="auto"/>
        <w:ind w:firstLine="720"/>
        <w:jc w:val="both"/>
      </w:pPr>
      <w:r>
        <w:t xml:space="preserve">In this proceeding, </w:t>
      </w:r>
      <w:r w:rsidR="0074486E">
        <w:t xml:space="preserve">AEP-Ohio </w:t>
      </w:r>
      <w:r w:rsidR="00BE6D4F">
        <w:t xml:space="preserve">continues to </w:t>
      </w:r>
      <w:r w:rsidR="00561008">
        <w:t xml:space="preserve">advance </w:t>
      </w:r>
      <w:r w:rsidR="008C657C">
        <w:t>its</w:t>
      </w:r>
      <w:r w:rsidR="0074486E">
        <w:t xml:space="preserve"> agenda to</w:t>
      </w:r>
      <w:r>
        <w:t xml:space="preserve"> impose</w:t>
      </w:r>
      <w:r w:rsidR="0074486E">
        <w:t xml:space="preserve"> </w:t>
      </w:r>
      <w:r w:rsidR="00A04F27">
        <w:t>restrictions on</w:t>
      </w:r>
      <w:r w:rsidR="0074486E">
        <w:t xml:space="preserve"> resale</w:t>
      </w:r>
      <w:r w:rsidR="00190E0D">
        <w:t xml:space="preserve"> of </w:t>
      </w:r>
      <w:r w:rsidR="00E31EF9">
        <w:t>electric generation service</w:t>
      </w:r>
      <w:r w:rsidR="00E20B46">
        <w:t xml:space="preserve"> to </w:t>
      </w:r>
      <w:r w:rsidR="00757B07">
        <w:t>recommend a significant and unjustified broadening of restrictions on resale of retail electric service</w:t>
      </w:r>
      <w:r w:rsidR="00860B6A">
        <w:t xml:space="preserve">.  </w:t>
      </w:r>
      <w:r w:rsidR="00FF75BD">
        <w:t xml:space="preserve">Alleging that </w:t>
      </w:r>
      <w:r w:rsidR="008C657C">
        <w:t>“</w:t>
      </w:r>
      <w:r w:rsidR="00FF75BD">
        <w:t xml:space="preserve">[s]ubmetering is … harmful in the context of commercial and industrial customers,” </w:t>
      </w:r>
      <w:r w:rsidR="00C069BE" w:rsidRPr="00E20B46">
        <w:t>Motion</w:t>
      </w:r>
      <w:r w:rsidR="00FD0582">
        <w:t xml:space="preserve"> at 8-9, </w:t>
      </w:r>
      <w:r w:rsidR="00831899">
        <w:t xml:space="preserve">AEP-Ohio proposes that it be </w:t>
      </w:r>
      <w:r w:rsidR="00EF409A">
        <w:t xml:space="preserve">authorized </w:t>
      </w:r>
      <w:r w:rsidR="00831899">
        <w:t xml:space="preserve">to </w:t>
      </w:r>
      <w:r w:rsidR="00EF409A">
        <w:t xml:space="preserve">amend </w:t>
      </w:r>
      <w:r w:rsidR="00831899">
        <w:t xml:space="preserve">its Terms and Conditions of Service </w:t>
      </w:r>
      <w:r w:rsidR="00D57CB1">
        <w:t>concerning</w:t>
      </w:r>
      <w:r w:rsidR="00E31EF9">
        <w:t xml:space="preserve"> resale </w:t>
      </w:r>
      <w:r w:rsidR="00831899">
        <w:t xml:space="preserve">to provide </w:t>
      </w:r>
      <w:r w:rsidR="009D45C4">
        <w:t>that</w:t>
      </w:r>
      <w:r w:rsidR="00C90DA4">
        <w:t xml:space="preserve"> </w:t>
      </w:r>
      <w:r w:rsidR="00BD422D">
        <w:t>“[e]</w:t>
      </w:r>
      <w:r w:rsidR="00C90DA4">
        <w:t>lectric service will not be supplied to any premises where the Customer, the Customer’s agent, or any other entity assesses any charge for electric service to occupants,</w:t>
      </w:r>
      <w:r w:rsidR="00377B11">
        <w:t xml:space="preserve"> tenants, or any other end-user, except where the Customer passes on the company’s charges without markup to occupants or tenants and such charges are allocated based on each occupant’s or tenant’s actual usage.” </w:t>
      </w:r>
      <w:r w:rsidR="000C3281">
        <w:t xml:space="preserve"> </w:t>
      </w:r>
      <w:r w:rsidR="000C3281" w:rsidRPr="000C3281">
        <w:rPr>
          <w:i/>
        </w:rPr>
        <w:t>Id</w:t>
      </w:r>
      <w:r w:rsidR="000C3281">
        <w:t>.</w:t>
      </w:r>
      <w:r w:rsidR="00377B11">
        <w:t>,</w:t>
      </w:r>
      <w:r w:rsidR="005F6743">
        <w:t xml:space="preserve"> Exhibit B-</w:t>
      </w:r>
      <w:r w:rsidR="00C117F8">
        <w:t xml:space="preserve">2.  </w:t>
      </w:r>
      <w:r w:rsidR="000B593E">
        <w:t xml:space="preserve">(AEP-Ohio proposes to include this new language in both the standard service offer tariff and the distribution tariff.)  </w:t>
      </w:r>
      <w:r w:rsidR="005F6743">
        <w:t xml:space="preserve">Additionally, AEP-Ohio seeks to restrict the </w:t>
      </w:r>
      <w:r w:rsidR="00D22205">
        <w:t>re</w:t>
      </w:r>
      <w:r w:rsidR="005F6743">
        <w:t xml:space="preserve">sale of </w:t>
      </w:r>
      <w:r w:rsidR="000D3247">
        <w:t>electricity</w:t>
      </w:r>
      <w:r w:rsidR="005F6743">
        <w:t xml:space="preserve"> by a landlord to those instances</w:t>
      </w:r>
      <w:r w:rsidR="00C117F8">
        <w:t xml:space="preserve"> in which “the landlord does not assess any charge for elec</w:t>
      </w:r>
      <w:r w:rsidR="00256615">
        <w:t xml:space="preserve">tric service except as provided </w:t>
      </w:r>
      <w:r w:rsidR="00256615">
        <w:lastRenderedPageBreak/>
        <w:t>above</w:t>
      </w:r>
      <w:r w:rsidR="00C117F8">
        <w:t xml:space="preserve">.”  </w:t>
      </w:r>
      <w:r w:rsidR="00C117F8" w:rsidRPr="000D3247">
        <w:rPr>
          <w:i/>
        </w:rPr>
        <w:t>Id</w:t>
      </w:r>
      <w:r w:rsidR="00C117F8">
        <w:t>.</w:t>
      </w:r>
      <w:r w:rsidR="000B593E">
        <w:t xml:space="preserve">  (</w:t>
      </w:r>
      <w:r w:rsidR="002E4247">
        <w:t xml:space="preserve">This language appears only in </w:t>
      </w:r>
      <w:r w:rsidR="00DC661E">
        <w:t xml:space="preserve">AEP-Ohio’s proposed </w:t>
      </w:r>
      <w:r w:rsidR="002E4247">
        <w:t>standard service offer tariff.)</w:t>
      </w:r>
    </w:p>
    <w:p w14:paraId="457F2E8C" w14:textId="1FC92D53" w:rsidR="00394A74" w:rsidRDefault="00815CBF" w:rsidP="00EE19A2">
      <w:pPr>
        <w:spacing w:line="480" w:lineRule="auto"/>
        <w:jc w:val="both"/>
      </w:pPr>
      <w:r>
        <w:tab/>
      </w:r>
      <w:r w:rsidR="00AA7FB2">
        <w:t>The resale restrictions that AEP-Ohio seeks to impose are unreasonable for several reasons.</w:t>
      </w:r>
      <w:r>
        <w:t xml:space="preserve">  </w:t>
      </w:r>
    </w:p>
    <w:p w14:paraId="3BDBD655" w14:textId="24ADE5B4" w:rsidR="0077286F" w:rsidRDefault="008D340C" w:rsidP="00B05922">
      <w:pPr>
        <w:spacing w:line="480" w:lineRule="auto"/>
        <w:jc w:val="both"/>
      </w:pPr>
      <w:r>
        <w:tab/>
        <w:t xml:space="preserve">Initially, </w:t>
      </w:r>
      <w:r w:rsidR="002277EF">
        <w:t xml:space="preserve">AEP-Ohio fails to demonstrate any factual basis </w:t>
      </w:r>
      <w:r w:rsidR="00C72241">
        <w:t>for expanding the remedy sought by OCC for</w:t>
      </w:r>
      <w:r w:rsidR="0016600F">
        <w:t xml:space="preserve"> </w:t>
      </w:r>
      <w:r w:rsidR="00555F44">
        <w:t>the</w:t>
      </w:r>
      <w:r>
        <w:t xml:space="preserve"> </w:t>
      </w:r>
      <w:r w:rsidR="00A97BED">
        <w:t xml:space="preserve">alleged injuries </w:t>
      </w:r>
      <w:r w:rsidR="00555F44">
        <w:t>suffered by</w:t>
      </w:r>
      <w:r w:rsidR="00A97BED">
        <w:t xml:space="preserve"> residential customers</w:t>
      </w:r>
      <w:r w:rsidR="0003260B">
        <w:t xml:space="preserve">. </w:t>
      </w:r>
      <w:r w:rsidR="003314A6">
        <w:t xml:space="preserve"> </w:t>
      </w:r>
      <w:r w:rsidR="001B5CF7">
        <w:t xml:space="preserve">Although </w:t>
      </w:r>
      <w:r w:rsidR="00A97BED">
        <w:t>AEP-Ohio</w:t>
      </w:r>
      <w:r w:rsidR="00555F44">
        <w:t xml:space="preserve"> </w:t>
      </w:r>
      <w:r w:rsidR="001B5CF7">
        <w:t>alleges</w:t>
      </w:r>
      <w:r w:rsidR="00A97BED">
        <w:t xml:space="preserve"> that </w:t>
      </w:r>
      <w:r w:rsidR="002C3793">
        <w:t>“[s]ubmetering is also harmful in the context of commercial and industrial customers, and there is no reason to limit tariff c</w:t>
      </w:r>
      <w:r w:rsidR="001B5CF7">
        <w:t>hanges to residential customers,</w:t>
      </w:r>
      <w:r w:rsidR="002C3793">
        <w:t>”</w:t>
      </w:r>
      <w:r w:rsidR="00F45DF3">
        <w:t xml:space="preserve"> </w:t>
      </w:r>
      <w:r w:rsidR="001B5CF7">
        <w:t xml:space="preserve">Motion at 8-9, </w:t>
      </w:r>
      <w:r w:rsidR="00F45DF3">
        <w:t>AEP-Ohio’s broad claim is made without citation or support</w:t>
      </w:r>
      <w:r w:rsidR="00F8770A">
        <w:t>.  The claim is also</w:t>
      </w:r>
      <w:r w:rsidR="00E02DF7">
        <w:t xml:space="preserve"> contradicted by the</w:t>
      </w:r>
      <w:r w:rsidR="00FA663B">
        <w:t xml:space="preserve"> record developed in the </w:t>
      </w:r>
      <w:r w:rsidR="00F8099C" w:rsidRPr="00F8770A">
        <w:rPr>
          <w:i/>
        </w:rPr>
        <w:t>Submetering Investigation</w:t>
      </w:r>
      <w:r w:rsidR="00FA663B">
        <w:t>.  No commenter indicated that submetering adversely affected commercial or industrial customers.  To the contrary, IEU-Ohio demonstrated (and no commenter suggested otherwise)</w:t>
      </w:r>
      <w:r w:rsidR="0077286F">
        <w:t xml:space="preserve"> that shared service arrangements that may include </w:t>
      </w:r>
      <w:r w:rsidR="009B22C7">
        <w:t>master metering</w:t>
      </w:r>
      <w:r w:rsidR="0077286F">
        <w:t xml:space="preserve"> are used and beneficial to </w:t>
      </w:r>
      <w:r w:rsidR="00F8099C">
        <w:t xml:space="preserve">commercial and industrial </w:t>
      </w:r>
      <w:r w:rsidR="0077286F">
        <w:t>customers.</w:t>
      </w:r>
      <w:r w:rsidR="00366A49">
        <w:t xml:space="preserve">  </w:t>
      </w:r>
    </w:p>
    <w:p w14:paraId="0E6999EF" w14:textId="77777777" w:rsidR="0019051B" w:rsidRDefault="00AC7D30" w:rsidP="00EE19A2">
      <w:pPr>
        <w:spacing w:line="480" w:lineRule="auto"/>
        <w:ind w:firstLine="720"/>
        <w:jc w:val="both"/>
      </w:pPr>
      <w:r>
        <w:t xml:space="preserve">Additionally, </w:t>
      </w:r>
      <w:r w:rsidR="008C1D08">
        <w:t>AEP-Ohio’s proposed tariff change</w:t>
      </w:r>
      <w:r w:rsidR="00883DC8">
        <w:t xml:space="preserve"> </w:t>
      </w:r>
      <w:r w:rsidR="008C1D08">
        <w:t xml:space="preserve">would </w:t>
      </w:r>
      <w:r w:rsidR="00DF13FD">
        <w:t>undermine</w:t>
      </w:r>
      <w:r w:rsidR="0071542A">
        <w:t xml:space="preserve"> </w:t>
      </w:r>
      <w:r w:rsidR="00C83C95">
        <w:t xml:space="preserve">shared services </w:t>
      </w:r>
      <w:r w:rsidR="008C1D08">
        <w:t>arrangements in at least two ways</w:t>
      </w:r>
      <w:r w:rsidR="00DF13FD">
        <w:t>, neither of which is reasonable</w:t>
      </w:r>
      <w:r w:rsidR="008C1D08">
        <w:t xml:space="preserve">.  </w:t>
      </w:r>
    </w:p>
    <w:p w14:paraId="1C99752C" w14:textId="044325D1" w:rsidR="00EB12BB" w:rsidRDefault="008C1D08" w:rsidP="00EE19A2">
      <w:pPr>
        <w:spacing w:line="480" w:lineRule="auto"/>
        <w:ind w:firstLine="720"/>
        <w:jc w:val="both"/>
      </w:pPr>
      <w:r>
        <w:t xml:space="preserve">First, the proposal would permit AEP-Ohio to terminate service to the parties served by </w:t>
      </w:r>
      <w:r w:rsidR="00B96BE1">
        <w:t>a</w:t>
      </w:r>
      <w:r>
        <w:t xml:space="preserve"> shared services arrangement if </w:t>
      </w:r>
      <w:r w:rsidR="00217397">
        <w:t>any fee is charged</w:t>
      </w:r>
      <w:r w:rsidR="00B96BE1">
        <w:t xml:space="preserve">, including something as reasonable as an administrative fee agreed to by the parties to the shared services </w:t>
      </w:r>
      <w:r w:rsidR="00DA7440">
        <w:t>arrangement</w:t>
      </w:r>
      <w:r w:rsidR="00217397">
        <w:t>.</w:t>
      </w:r>
      <w:r w:rsidR="00D73D68" w:rsidRPr="00D73D68">
        <w:rPr>
          <w:rStyle w:val="FootnoteReference"/>
        </w:rPr>
        <w:t xml:space="preserve"> </w:t>
      </w:r>
      <w:r w:rsidR="00D73D68">
        <w:rPr>
          <w:rStyle w:val="FootnoteReference"/>
        </w:rPr>
        <w:footnoteReference w:id="3"/>
      </w:r>
      <w:r w:rsidR="00D73D68">
        <w:t xml:space="preserve"> </w:t>
      </w:r>
      <w:r w:rsidR="00753C80">
        <w:t xml:space="preserve"> </w:t>
      </w:r>
      <w:r w:rsidR="00675418">
        <w:t>While c</w:t>
      </w:r>
      <w:r w:rsidR="00F12E24">
        <w:t>ommon sense</w:t>
      </w:r>
      <w:r w:rsidR="00675418">
        <w:t xml:space="preserve"> </w:t>
      </w:r>
      <w:r w:rsidR="00F12E24">
        <w:t>dictates that</w:t>
      </w:r>
      <w:r w:rsidR="00146135">
        <w:t xml:space="preserve"> the</w:t>
      </w:r>
      <w:r w:rsidR="00AB16DB">
        <w:t xml:space="preserve"> Commission should permit an </w:t>
      </w:r>
      <w:r w:rsidR="00AB16DB">
        <w:lastRenderedPageBreak/>
        <w:t xml:space="preserve">agreement among sophisticated parties as to </w:t>
      </w:r>
      <w:r w:rsidR="00405D54">
        <w:t xml:space="preserve">collection of </w:t>
      </w:r>
      <w:r w:rsidR="00EE767D">
        <w:t xml:space="preserve">administrative </w:t>
      </w:r>
      <w:r w:rsidR="00AB16DB">
        <w:t>cost</w:t>
      </w:r>
      <w:r w:rsidR="00EE767D">
        <w:t>s</w:t>
      </w:r>
      <w:r w:rsidR="00405D54">
        <w:t>,</w:t>
      </w:r>
      <w:r w:rsidR="00AB16DB">
        <w:t xml:space="preserve"> </w:t>
      </w:r>
      <w:r w:rsidR="00F12E24">
        <w:t xml:space="preserve">AEP-Ohio could “turn out the lights” </w:t>
      </w:r>
      <w:r w:rsidR="00405D54">
        <w:t xml:space="preserve">under </w:t>
      </w:r>
      <w:r w:rsidR="00B21D4F">
        <w:t>its</w:t>
      </w:r>
      <w:r w:rsidR="00405D54">
        <w:t xml:space="preserve"> ill-conceived amendments that fail to define what constitutes a “mark up.”</w:t>
      </w:r>
    </w:p>
    <w:p w14:paraId="5F905409" w14:textId="358C1386" w:rsidR="002A315D" w:rsidRDefault="00EB12BB" w:rsidP="00EE19A2">
      <w:pPr>
        <w:spacing w:line="480" w:lineRule="auto"/>
        <w:ind w:firstLine="720"/>
        <w:jc w:val="both"/>
      </w:pPr>
      <w:r>
        <w:t xml:space="preserve">Second, </w:t>
      </w:r>
      <w:r w:rsidR="000378FD">
        <w:t xml:space="preserve">the proposal would permit AEP-Ohio to terminate service to the parties served by the shared services arrangement if charges among the parties are allocated in a manner other than “actual usage.”  </w:t>
      </w:r>
      <w:r w:rsidR="004E798B">
        <w:t>S</w:t>
      </w:r>
      <w:r w:rsidR="00D97D81">
        <w:t>hared service agreements</w:t>
      </w:r>
      <w:r w:rsidR="004E798B">
        <w:t>, however,</w:t>
      </w:r>
      <w:r w:rsidR="00D97D81">
        <w:t xml:space="preserve"> are often used in instances in which an end-use</w:t>
      </w:r>
      <w:r w:rsidR="00111035">
        <w:t>r</w:t>
      </w:r>
      <w:r w:rsidR="00D97D81">
        <w:t xml:space="preserve">’s utility service is not metered.  In those instances, there would be no practical way to determine whether the end-user is being billed for “actual usage.”  </w:t>
      </w:r>
      <w:r w:rsidR="00D13850">
        <w:t>Even if the end user is metered, however</w:t>
      </w:r>
      <w:r w:rsidR="00485FEB">
        <w:t>, AEP</w:t>
      </w:r>
      <w:r w:rsidR="006F5C17">
        <w:t xml:space="preserve">-Ohio provides no definition as to what constitutes “actual usage,” leaving it complete discretion to determine under what circumstances it </w:t>
      </w:r>
      <w:r w:rsidR="004E798B">
        <w:t xml:space="preserve">may </w:t>
      </w:r>
      <w:r w:rsidR="00D97D81">
        <w:t>terminate service</w:t>
      </w:r>
      <w:r w:rsidR="006F5C17">
        <w:t xml:space="preserve">.  </w:t>
      </w:r>
    </w:p>
    <w:p w14:paraId="4630D2D4" w14:textId="4E581214" w:rsidR="00B82C9F" w:rsidRDefault="00D13850" w:rsidP="00EE19A2">
      <w:pPr>
        <w:spacing w:line="480" w:lineRule="auto"/>
        <w:ind w:firstLine="720"/>
        <w:jc w:val="both"/>
      </w:pPr>
      <w:r>
        <w:t xml:space="preserve">Moreover, </w:t>
      </w:r>
      <w:r w:rsidR="002A315D">
        <w:t xml:space="preserve">AEP-Ohio </w:t>
      </w:r>
      <w:r w:rsidR="00A87CAD">
        <w:t xml:space="preserve">fails to demonstrate why these amendments are necessary to protect its interest.  </w:t>
      </w:r>
      <w:r w:rsidR="00B91DC5">
        <w:t xml:space="preserve">AEP-Ohio </w:t>
      </w:r>
      <w:r w:rsidR="00BD2F7D">
        <w:t xml:space="preserve">has no pecuniary interest in interrupting service unless its position is a poorly veiled attempt to increase distribution </w:t>
      </w:r>
      <w:r w:rsidR="004B623B">
        <w:t>charges</w:t>
      </w:r>
      <w:r w:rsidR="00BD2F7D">
        <w:t xml:space="preserve"> or impose </w:t>
      </w:r>
      <w:r w:rsidR="004B623B">
        <w:t>new</w:t>
      </w:r>
      <w:r w:rsidR="00BD2F7D">
        <w:t xml:space="preserve"> charges for the additional metering its amendment would impose.</w:t>
      </w:r>
      <w:r w:rsidR="00C62AEC">
        <w:rPr>
          <w:rStyle w:val="FootnoteReference"/>
        </w:rPr>
        <w:footnoteReference w:id="4"/>
      </w:r>
      <w:r w:rsidR="00BD2F7D">
        <w:t xml:space="preserve">  These </w:t>
      </w:r>
      <w:r w:rsidR="0039766E">
        <w:t>pecuniary interests cannot be considered legitimate when AEP-Ohio can already recover its cost of service</w:t>
      </w:r>
      <w:r w:rsidR="00FB629D">
        <w:t xml:space="preserve"> through its existing fees, charges, and rates</w:t>
      </w:r>
      <w:r w:rsidR="0039766E">
        <w:t xml:space="preserve">.  </w:t>
      </w:r>
    </w:p>
    <w:p w14:paraId="15437EFC" w14:textId="5383E6D6" w:rsidR="008859D2" w:rsidRDefault="00815CBF" w:rsidP="002A5186">
      <w:pPr>
        <w:spacing w:line="480" w:lineRule="auto"/>
        <w:jc w:val="both"/>
      </w:pPr>
      <w:r>
        <w:rPr>
          <w:rFonts w:eastAsia="Times New Roman" w:cs="Arial"/>
          <w:szCs w:val="20"/>
        </w:rPr>
        <w:lastRenderedPageBreak/>
        <w:tab/>
      </w:r>
      <w:r w:rsidR="00C83C95">
        <w:rPr>
          <w:rFonts w:eastAsia="Times New Roman" w:cs="Arial"/>
          <w:szCs w:val="20"/>
        </w:rPr>
        <w:t>AEP-Ohio’s</w:t>
      </w:r>
      <w:r w:rsidR="001C7BED">
        <w:rPr>
          <w:rFonts w:eastAsia="Times New Roman" w:cs="Arial"/>
          <w:szCs w:val="20"/>
        </w:rPr>
        <w:t xml:space="preserve"> </w:t>
      </w:r>
      <w:r w:rsidR="00C83C95">
        <w:rPr>
          <w:rFonts w:eastAsia="Times New Roman" w:cs="Arial"/>
          <w:szCs w:val="20"/>
        </w:rPr>
        <w:t>proposed amendment would also</w:t>
      </w:r>
      <w:r w:rsidR="001C7BED">
        <w:rPr>
          <w:rFonts w:eastAsia="Times New Roman" w:cs="Arial"/>
          <w:szCs w:val="20"/>
        </w:rPr>
        <w:t xml:space="preserve"> </w:t>
      </w:r>
      <w:r w:rsidR="00DA46BA">
        <w:rPr>
          <w:rFonts w:eastAsia="Times New Roman" w:cs="Arial"/>
          <w:szCs w:val="20"/>
        </w:rPr>
        <w:t>place an undue burden on the Commission</w:t>
      </w:r>
      <w:r w:rsidR="001C7BED">
        <w:rPr>
          <w:rFonts w:eastAsia="Times New Roman" w:cs="Arial"/>
          <w:szCs w:val="20"/>
        </w:rPr>
        <w:t xml:space="preserve">.  </w:t>
      </w:r>
      <w:r w:rsidR="00361139">
        <w:rPr>
          <w:rFonts w:eastAsia="Times New Roman" w:cs="Arial"/>
          <w:szCs w:val="20"/>
        </w:rPr>
        <w:t xml:space="preserve">Under </w:t>
      </w:r>
      <w:r w:rsidR="00361139">
        <w:rPr>
          <w:rFonts w:cs="Arial"/>
        </w:rPr>
        <w:t xml:space="preserve">AEP-Ohio’s proposed amendment, </w:t>
      </w:r>
      <w:r w:rsidR="00DA46BA">
        <w:rPr>
          <w:rFonts w:cs="Arial"/>
        </w:rPr>
        <w:t xml:space="preserve">the Commission </w:t>
      </w:r>
      <w:r w:rsidR="00361139">
        <w:rPr>
          <w:rFonts w:cs="Arial"/>
        </w:rPr>
        <w:t xml:space="preserve">would be required </w:t>
      </w:r>
      <w:r w:rsidR="00DA46BA">
        <w:rPr>
          <w:rFonts w:cs="Arial"/>
        </w:rPr>
        <w:t>to police the arrangements among</w:t>
      </w:r>
      <w:r w:rsidR="00F4014D">
        <w:rPr>
          <w:rFonts w:cs="Arial"/>
        </w:rPr>
        <w:t xml:space="preserve"> AEP-Ohio,</w:t>
      </w:r>
      <w:r w:rsidR="00DA46BA">
        <w:rPr>
          <w:rFonts w:cs="Arial"/>
        </w:rPr>
        <w:t xml:space="preserve"> </w:t>
      </w:r>
      <w:r w:rsidR="00F4014D">
        <w:rPr>
          <w:rFonts w:cs="Arial"/>
        </w:rPr>
        <w:t xml:space="preserve">master metered customers, and </w:t>
      </w:r>
      <w:r w:rsidR="00DA46BA">
        <w:rPr>
          <w:rFonts w:cs="Arial"/>
        </w:rPr>
        <w:t xml:space="preserve">end users. </w:t>
      </w:r>
      <w:r w:rsidR="00BB4BF6">
        <w:rPr>
          <w:rFonts w:cs="Arial"/>
        </w:rPr>
        <w:t xml:space="preserve"> </w:t>
      </w:r>
      <w:r>
        <w:rPr>
          <w:rFonts w:eastAsia="Times New Roman" w:cs="Arial"/>
          <w:szCs w:val="20"/>
        </w:rPr>
        <w:t xml:space="preserve">As the Commission has previously found, the Commission has neither the statutory authority nor the staff to insert itself into the landlord-tenant relationship.  </w:t>
      </w:r>
      <w:r w:rsidR="001553CB">
        <w:rPr>
          <w:rFonts w:cs="Arial"/>
          <w:i/>
          <w:iCs/>
        </w:rPr>
        <w:t>Shroyer</w:t>
      </w:r>
      <w:r w:rsidR="00170C87">
        <w:rPr>
          <w:rFonts w:cs="Arial"/>
          <w:i/>
          <w:iCs/>
        </w:rPr>
        <w:t>,</w:t>
      </w:r>
      <w:r w:rsidRPr="008C5355">
        <w:rPr>
          <w:rFonts w:cs="Arial"/>
        </w:rPr>
        <w:t xml:space="preserve"> </w:t>
      </w:r>
      <w:r>
        <w:rPr>
          <w:rFonts w:cs="Arial"/>
        </w:rPr>
        <w:t>Opinion</w:t>
      </w:r>
      <w:r w:rsidR="00904740">
        <w:rPr>
          <w:rFonts w:cs="Arial"/>
        </w:rPr>
        <w:t xml:space="preserve"> and Order, </w:t>
      </w:r>
      <w:r w:rsidR="00904740" w:rsidRPr="00904740">
        <w:rPr>
          <w:rFonts w:cs="Arial"/>
          <w:i/>
        </w:rPr>
        <w:t>passim</w:t>
      </w:r>
      <w:r w:rsidR="00904740">
        <w:rPr>
          <w:rFonts w:cs="Arial"/>
        </w:rPr>
        <w:t xml:space="preserve"> </w:t>
      </w:r>
      <w:r w:rsidRPr="008C5355">
        <w:rPr>
          <w:rFonts w:cs="Arial"/>
        </w:rPr>
        <w:t>(Feb. 27, 1992)</w:t>
      </w:r>
      <w:r>
        <w:rPr>
          <w:rFonts w:cs="Arial"/>
        </w:rPr>
        <w:t>.</w:t>
      </w:r>
      <w:r w:rsidR="002A1F2E">
        <w:rPr>
          <w:rFonts w:cs="Arial"/>
        </w:rPr>
        <w:t xml:space="preserve">  </w:t>
      </w:r>
      <w:r w:rsidR="001A4BFE">
        <w:rPr>
          <w:rFonts w:cs="Arial"/>
        </w:rPr>
        <w:t>It is no better position</w:t>
      </w:r>
      <w:r w:rsidR="00CA26EC">
        <w:rPr>
          <w:rFonts w:cs="Arial"/>
        </w:rPr>
        <w:t>ed</w:t>
      </w:r>
      <w:r w:rsidR="001A4BFE">
        <w:rPr>
          <w:rFonts w:cs="Arial"/>
        </w:rPr>
        <w:t xml:space="preserve"> to police shared </w:t>
      </w:r>
      <w:r w:rsidR="00353DB6" w:rsidRPr="009B3E65">
        <w:rPr>
          <w:rFonts w:cs="Arial"/>
        </w:rPr>
        <w:t>service arrangements.</w:t>
      </w:r>
      <w:r w:rsidR="002A5186">
        <w:rPr>
          <w:rStyle w:val="FootnoteReference"/>
          <w:rFonts w:cs="Arial"/>
        </w:rPr>
        <w:footnoteReference w:id="5"/>
      </w:r>
      <w:r w:rsidR="00353DB6" w:rsidRPr="009B3E65">
        <w:rPr>
          <w:rFonts w:cs="Arial"/>
        </w:rPr>
        <w:t xml:space="preserve">  </w:t>
      </w:r>
    </w:p>
    <w:p w14:paraId="3D8257BB" w14:textId="4930C901" w:rsidR="00974D9C" w:rsidRDefault="00637A34" w:rsidP="009B0CD3">
      <w:pPr>
        <w:spacing w:line="480" w:lineRule="auto"/>
        <w:ind w:firstLine="720"/>
        <w:jc w:val="both"/>
      </w:pPr>
      <w:r>
        <w:t xml:space="preserve">In summary, </w:t>
      </w:r>
      <w:r w:rsidR="00B44DC9">
        <w:t>AEP-Ohio is seeking to terminate retail electric services to commercial and industrial customers based on unreasonable and unnecessary</w:t>
      </w:r>
      <w:r w:rsidRPr="009B3E65">
        <w:t xml:space="preserve"> </w:t>
      </w:r>
      <w:r w:rsidR="003F4062">
        <w:t xml:space="preserve">conditions.  </w:t>
      </w:r>
      <w:r w:rsidR="00BD3611">
        <w:t xml:space="preserve">Under R.C. 4928.40(D), however, </w:t>
      </w:r>
      <w:r w:rsidR="00BD3611">
        <w:rPr>
          <w:rFonts w:eastAsia="Times New Roman"/>
          <w:szCs w:val="20"/>
        </w:rPr>
        <w:t xml:space="preserve">an </w:t>
      </w:r>
      <w:r w:rsidR="00BD3611">
        <w:t xml:space="preserve">electric utility in this state shall not prohibit the resale of electric generation service or impose unreasonable or discriminatory conditions or limitations on the resale of electric generation service.  Accordingly, </w:t>
      </w:r>
      <w:r>
        <w:t xml:space="preserve">the Commission should deny </w:t>
      </w:r>
      <w:r w:rsidR="00F36586">
        <w:t>AEP-Ohio’s</w:t>
      </w:r>
      <w:r>
        <w:t xml:space="preserve"> M</w:t>
      </w:r>
      <w:r w:rsidRPr="009B3E65">
        <w:t>otion.</w:t>
      </w:r>
    </w:p>
    <w:p w14:paraId="6742260C" w14:textId="6F4D52D6" w:rsidR="00A7302E" w:rsidRDefault="00A7302E" w:rsidP="00974D9C">
      <w:pPr>
        <w:pStyle w:val="Heading1"/>
      </w:pPr>
      <w:r>
        <w:t>Conclusion</w:t>
      </w:r>
    </w:p>
    <w:p w14:paraId="2E0508A3" w14:textId="50A8803E" w:rsidR="00BC2DF9" w:rsidRDefault="00BD3611" w:rsidP="004E50F9">
      <w:pPr>
        <w:spacing w:line="480" w:lineRule="auto"/>
        <w:ind w:firstLine="720"/>
        <w:jc w:val="both"/>
      </w:pPr>
      <w:r>
        <w:t xml:space="preserve">As IEU-Ohio anticipated in a Motion to Intervene </w:t>
      </w:r>
      <w:r w:rsidR="00707D76">
        <w:t xml:space="preserve">in a complaint against a submetering company </w:t>
      </w:r>
      <w:r>
        <w:t>many months ago,</w:t>
      </w:r>
      <w:r w:rsidR="00AF26DA">
        <w:rPr>
          <w:rStyle w:val="FootnoteReference"/>
        </w:rPr>
        <w:footnoteReference w:id="6"/>
      </w:r>
      <w:r>
        <w:t xml:space="preserve"> </w:t>
      </w:r>
      <w:r w:rsidR="00707D76">
        <w:t xml:space="preserve">the Commission is being called upon to </w:t>
      </w:r>
      <w:r w:rsidR="009803DA">
        <w:t>use the legitimate concerns of residential customers to</w:t>
      </w:r>
      <w:r w:rsidR="00707D76">
        <w:t xml:space="preserve"> intrude into long accepted business practices of commercial and industrial customers that are not subject to the Commission’s </w:t>
      </w:r>
      <w:r w:rsidR="00707D76">
        <w:lastRenderedPageBreak/>
        <w:t xml:space="preserve">jurisdiction.  </w:t>
      </w:r>
      <w:r w:rsidR="00F36586">
        <w:t>In this case, t</w:t>
      </w:r>
      <w:r w:rsidR="00637A34">
        <w:t>he Commission</w:t>
      </w:r>
      <w:r w:rsidR="00F36586">
        <w:t xml:space="preserve"> </w:t>
      </w:r>
      <w:r w:rsidR="00536FD5">
        <w:t xml:space="preserve">should reject the attempt by AEP-Ohio to extend its ability to interfere with sound business practices that include shared service agreements because the Commission </w:t>
      </w:r>
      <w:r w:rsidR="00AB3EB7">
        <w:t>cannot</w:t>
      </w:r>
      <w:r w:rsidR="00637A34">
        <w:t xml:space="preserve"> authorize an electric utility to prohibit the resale of electric generation service or impose unreasonable or discriminatory conditions or limitations on the resale of electric generation service.  R.C. 4928.40(D). </w:t>
      </w:r>
      <w:r w:rsidR="00637A34" w:rsidRPr="009B3E65">
        <w:t xml:space="preserve"> </w:t>
      </w:r>
    </w:p>
    <w:p w14:paraId="32EB4570" w14:textId="3DAD5E8E" w:rsidR="00B43420" w:rsidRDefault="00B43420" w:rsidP="00B43420">
      <w:pPr>
        <w:tabs>
          <w:tab w:val="left" w:pos="4320"/>
          <w:tab w:val="right" w:pos="8640"/>
        </w:tabs>
        <w:jc w:val="both"/>
        <w:rPr>
          <w:rFonts w:cs="Arial"/>
        </w:rPr>
      </w:pPr>
      <w:r>
        <w:rPr>
          <w:rFonts w:cs="Arial"/>
        </w:rPr>
        <w:tab/>
        <w:t>Respectfully submitted,</w:t>
      </w:r>
    </w:p>
    <w:p w14:paraId="06D3AFC9" w14:textId="77777777" w:rsidR="00B43420" w:rsidRDefault="00B43420" w:rsidP="00B43420">
      <w:pPr>
        <w:tabs>
          <w:tab w:val="left" w:pos="4320"/>
          <w:tab w:val="right" w:pos="8640"/>
        </w:tabs>
        <w:jc w:val="both"/>
        <w:rPr>
          <w:rFonts w:cs="Arial"/>
        </w:rPr>
      </w:pPr>
    </w:p>
    <w:p w14:paraId="020B5A2F" w14:textId="77777777" w:rsidR="00B43420" w:rsidRDefault="00B43420" w:rsidP="00B43420">
      <w:pPr>
        <w:tabs>
          <w:tab w:val="left" w:pos="4320"/>
          <w:tab w:val="right" w:pos="8640"/>
        </w:tabs>
        <w:jc w:val="both"/>
        <w:rPr>
          <w:rFonts w:cs="Arial"/>
        </w:rPr>
      </w:pPr>
    </w:p>
    <w:p w14:paraId="088F7E57" w14:textId="2BD883A6" w:rsidR="00B43420" w:rsidRDefault="00B43420" w:rsidP="00B43420">
      <w:pPr>
        <w:tabs>
          <w:tab w:val="left" w:pos="4320"/>
          <w:tab w:val="right" w:pos="8640"/>
        </w:tabs>
        <w:jc w:val="both"/>
        <w:rPr>
          <w:rFonts w:cs="Arial"/>
          <w:i/>
          <w:u w:val="single"/>
        </w:rPr>
      </w:pPr>
      <w:r>
        <w:rPr>
          <w:rFonts w:cs="Arial"/>
        </w:rPr>
        <w:tab/>
      </w:r>
      <w:r>
        <w:rPr>
          <w:rFonts w:cs="Arial"/>
          <w:i/>
          <w:u w:val="single"/>
        </w:rPr>
        <w:t xml:space="preserve">/s/ </w:t>
      </w:r>
      <w:r w:rsidR="00761080">
        <w:rPr>
          <w:rFonts w:cs="Arial"/>
          <w:i/>
          <w:u w:val="single"/>
        </w:rPr>
        <w:t>Frank P. Darr</w:t>
      </w:r>
      <w:r>
        <w:rPr>
          <w:rFonts w:cs="Arial"/>
          <w:i/>
          <w:u w:val="single"/>
        </w:rPr>
        <w:tab/>
      </w:r>
      <w:r>
        <w:rPr>
          <w:rFonts w:cs="Arial"/>
          <w:i/>
          <w:u w:val="single"/>
        </w:rPr>
        <w:tab/>
      </w:r>
    </w:p>
    <w:p w14:paraId="03EE8B1B" w14:textId="77777777" w:rsidR="00B43420" w:rsidRDefault="00B43420" w:rsidP="00B43420">
      <w:pPr>
        <w:widowControl w:val="0"/>
        <w:ind w:left="4320"/>
        <w:rPr>
          <w:rFonts w:cs="Arial"/>
          <w:bCs/>
        </w:rPr>
      </w:pPr>
      <w:r>
        <w:rPr>
          <w:rFonts w:cs="Arial"/>
          <w:bCs/>
        </w:rPr>
        <w:t>Frank P. Darr (Counsel of Record)</w:t>
      </w:r>
    </w:p>
    <w:p w14:paraId="715B3774" w14:textId="77777777" w:rsidR="00B43420" w:rsidRDefault="00B43420" w:rsidP="00B43420">
      <w:pPr>
        <w:widowControl w:val="0"/>
        <w:ind w:left="4320"/>
        <w:rPr>
          <w:rFonts w:cs="Arial"/>
          <w:b/>
          <w:bCs/>
        </w:rPr>
      </w:pPr>
      <w:r>
        <w:rPr>
          <w:rFonts w:cs="Arial"/>
          <w:bCs/>
        </w:rPr>
        <w:t xml:space="preserve">Matthew R. Pritchard </w:t>
      </w:r>
    </w:p>
    <w:p w14:paraId="536B57FA" w14:textId="77777777" w:rsidR="00B43420" w:rsidRDefault="00B43420" w:rsidP="00B43420">
      <w:pPr>
        <w:widowControl w:val="0"/>
        <w:ind w:left="4320"/>
        <w:rPr>
          <w:rFonts w:cs="Arial"/>
          <w:b/>
          <w:bCs/>
          <w:smallCaps/>
        </w:rPr>
      </w:pPr>
      <w:r>
        <w:rPr>
          <w:rFonts w:cs="Arial"/>
          <w:bCs/>
          <w:smallCaps/>
        </w:rPr>
        <w:t>McNees Wallace &amp; Nurick LLC</w:t>
      </w:r>
    </w:p>
    <w:p w14:paraId="581AE7E9" w14:textId="77777777" w:rsidR="00B43420" w:rsidRDefault="00B43420" w:rsidP="00B43420">
      <w:pPr>
        <w:widowControl w:val="0"/>
        <w:ind w:left="4320"/>
        <w:rPr>
          <w:rFonts w:cs="Arial"/>
          <w:b/>
          <w:bCs/>
        </w:rPr>
      </w:pPr>
      <w:r>
        <w:rPr>
          <w:rFonts w:cs="Arial"/>
          <w:bCs/>
        </w:rPr>
        <w:t>21 East State Street, 17</w:t>
      </w:r>
      <w:r>
        <w:rPr>
          <w:rFonts w:cs="Arial"/>
          <w:bCs/>
          <w:vertAlign w:val="superscript"/>
        </w:rPr>
        <w:t>TH</w:t>
      </w:r>
      <w:r>
        <w:rPr>
          <w:rFonts w:cs="Arial"/>
          <w:bCs/>
        </w:rPr>
        <w:t xml:space="preserve"> Floor</w:t>
      </w:r>
    </w:p>
    <w:p w14:paraId="1B3FCA89" w14:textId="77777777" w:rsidR="00B43420" w:rsidRDefault="00B43420" w:rsidP="00B43420">
      <w:pPr>
        <w:tabs>
          <w:tab w:val="left" w:pos="-1440"/>
          <w:tab w:val="left" w:pos="-720"/>
          <w:tab w:val="left" w:pos="5040"/>
          <w:tab w:val="center" w:pos="7200"/>
        </w:tabs>
        <w:overflowPunct w:val="0"/>
        <w:autoSpaceDE w:val="0"/>
        <w:autoSpaceDN w:val="0"/>
        <w:adjustRightInd w:val="0"/>
        <w:ind w:left="4320"/>
        <w:rPr>
          <w:rFonts w:cs="Arial"/>
        </w:rPr>
      </w:pPr>
      <w:r>
        <w:rPr>
          <w:rFonts w:cs="Arial"/>
        </w:rPr>
        <w:t>Columbus, OH  43215</w:t>
      </w:r>
    </w:p>
    <w:p w14:paraId="7949AB07" w14:textId="77777777" w:rsidR="00B43420" w:rsidRDefault="00B43420" w:rsidP="00B43420">
      <w:pPr>
        <w:tabs>
          <w:tab w:val="left" w:pos="-1440"/>
          <w:tab w:val="left" w:pos="-720"/>
          <w:tab w:val="left" w:pos="5040"/>
          <w:tab w:val="center" w:pos="7200"/>
        </w:tabs>
        <w:overflowPunct w:val="0"/>
        <w:autoSpaceDE w:val="0"/>
        <w:autoSpaceDN w:val="0"/>
        <w:adjustRightInd w:val="0"/>
        <w:ind w:left="4320"/>
        <w:rPr>
          <w:rFonts w:cs="Arial"/>
        </w:rPr>
      </w:pPr>
      <w:r>
        <w:rPr>
          <w:rFonts w:cs="Arial"/>
        </w:rPr>
        <w:t>Telephone:  (614) 469-8000</w:t>
      </w:r>
    </w:p>
    <w:p w14:paraId="1A3333C4" w14:textId="77777777" w:rsidR="00B43420" w:rsidRDefault="00B43420" w:rsidP="00B43420">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Telecopier:  (614) 469-4653</w:t>
      </w:r>
    </w:p>
    <w:p w14:paraId="3955A25F" w14:textId="77777777" w:rsidR="00B43420" w:rsidRDefault="00B43420" w:rsidP="00B43420">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rPr>
        <w:t>fdarr@mwncmh.com</w:t>
      </w:r>
    </w:p>
    <w:p w14:paraId="2542EAE2" w14:textId="77777777" w:rsidR="00B43420" w:rsidRDefault="00B43420" w:rsidP="00B43420">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mpritchard@mwncmh.com</w:t>
      </w:r>
    </w:p>
    <w:p w14:paraId="1339A7D0" w14:textId="77777777" w:rsidR="00B43420" w:rsidRDefault="00B43420" w:rsidP="00B43420">
      <w:pPr>
        <w:tabs>
          <w:tab w:val="left" w:pos="4320"/>
          <w:tab w:val="right" w:pos="8640"/>
        </w:tabs>
        <w:jc w:val="both"/>
      </w:pPr>
    </w:p>
    <w:p w14:paraId="69DF61F1" w14:textId="77777777" w:rsidR="00B43420" w:rsidRDefault="00B43420" w:rsidP="00B43420">
      <w:pPr>
        <w:pStyle w:val="Title"/>
        <w:ind w:left="3600" w:firstLine="720"/>
        <w:jc w:val="left"/>
        <w:rPr>
          <w:bCs/>
          <w:smallCaps w:val="0"/>
          <w:sz w:val="24"/>
        </w:rPr>
        <w:sectPr w:rsidR="00B43420" w:rsidSect="00073CC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Pr>
          <w:bCs/>
          <w:smallCaps w:val="0"/>
          <w:sz w:val="24"/>
        </w:rPr>
        <w:t>Attorneys for Industrial Energy Users-Ohio</w:t>
      </w:r>
    </w:p>
    <w:p w14:paraId="39BD4C38" w14:textId="77777777" w:rsidR="00B43420" w:rsidRPr="009E7E23" w:rsidRDefault="00B43420" w:rsidP="00B43420">
      <w:pPr>
        <w:tabs>
          <w:tab w:val="left" w:pos="2160"/>
          <w:tab w:val="left" w:pos="2280"/>
        </w:tabs>
        <w:jc w:val="center"/>
        <w:rPr>
          <w:rFonts w:eastAsia="Calibri" w:cs="Arial"/>
          <w:b/>
          <w:smallCaps/>
          <w:sz w:val="28"/>
          <w:u w:val="single"/>
        </w:rPr>
      </w:pPr>
      <w:r w:rsidRPr="009E7E23">
        <w:rPr>
          <w:rFonts w:eastAsia="Calibri" w:cs="Arial"/>
          <w:b/>
          <w:smallCaps/>
          <w:sz w:val="28"/>
          <w:u w:val="single"/>
        </w:rPr>
        <w:lastRenderedPageBreak/>
        <w:t>Certificate of Service</w:t>
      </w:r>
    </w:p>
    <w:p w14:paraId="2E21C8E0" w14:textId="77777777" w:rsidR="00B43420" w:rsidRPr="009E7E23" w:rsidRDefault="00B43420" w:rsidP="00B43420">
      <w:pPr>
        <w:rPr>
          <w:rFonts w:eastAsia="Calibri" w:cs="Arial"/>
        </w:rPr>
      </w:pPr>
    </w:p>
    <w:p w14:paraId="61240C9E" w14:textId="1C84168D" w:rsidR="00B43420" w:rsidRPr="009E7E23" w:rsidRDefault="00B43420" w:rsidP="00B43420">
      <w:pPr>
        <w:spacing w:line="480" w:lineRule="auto"/>
        <w:ind w:firstLine="720"/>
        <w:jc w:val="both"/>
        <w:rPr>
          <w:rFonts w:cs="Arial"/>
          <w:b/>
          <w:smallCaps/>
        </w:rPr>
      </w:pPr>
      <w:r w:rsidRPr="009E7E23">
        <w:rPr>
          <w:rFonts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035038">
        <w:rPr>
          <w:rFonts w:cs="Arial"/>
          <w:i/>
        </w:rPr>
        <w:t xml:space="preserve">Memorandum </w:t>
      </w:r>
      <w:r w:rsidR="00D459E8">
        <w:rPr>
          <w:rFonts w:cs="Arial"/>
          <w:i/>
        </w:rPr>
        <w:t>Opposing</w:t>
      </w:r>
      <w:r w:rsidR="00035038">
        <w:rPr>
          <w:rFonts w:cs="Arial"/>
          <w:i/>
        </w:rPr>
        <w:t xml:space="preserve"> Ohio Power Company’s Motion for Tariff Amendment</w:t>
      </w:r>
      <w:r w:rsidR="00035038" w:rsidRPr="009E7E23">
        <w:rPr>
          <w:rFonts w:cs="Arial"/>
          <w:i/>
        </w:rPr>
        <w:t xml:space="preserve"> </w:t>
      </w:r>
      <w:r w:rsidR="00035038">
        <w:rPr>
          <w:rFonts w:cs="Arial"/>
          <w:i/>
        </w:rPr>
        <w:t>by</w:t>
      </w:r>
      <w:r w:rsidR="00035038" w:rsidRPr="009E7E23">
        <w:rPr>
          <w:rFonts w:cs="Arial"/>
          <w:i/>
        </w:rPr>
        <w:t xml:space="preserve"> </w:t>
      </w:r>
      <w:r w:rsidRPr="009E7E23">
        <w:rPr>
          <w:rFonts w:cs="Arial"/>
          <w:i/>
        </w:rPr>
        <w:t>Industrial Energy Users-Ohio</w:t>
      </w:r>
      <w:r w:rsidRPr="009E7E23">
        <w:rPr>
          <w:rFonts w:cs="Arial"/>
        </w:rPr>
        <w:t xml:space="preserve"> was sent by, or on behalf of, the undersigned counsel for Industrial Energy Users-Ohio to the following parties of record this </w:t>
      </w:r>
      <w:r w:rsidR="00621DA1">
        <w:rPr>
          <w:rFonts w:cs="Arial"/>
        </w:rPr>
        <w:t>10</w:t>
      </w:r>
      <w:r w:rsidR="00621DA1" w:rsidRPr="00621DA1">
        <w:rPr>
          <w:rFonts w:cs="Arial"/>
          <w:vertAlign w:val="superscript"/>
        </w:rPr>
        <w:t>th</w:t>
      </w:r>
      <w:r w:rsidRPr="009E7E23">
        <w:rPr>
          <w:rFonts w:cs="Arial"/>
        </w:rPr>
        <w:t xml:space="preserve"> day of </w:t>
      </w:r>
      <w:r>
        <w:rPr>
          <w:rFonts w:cs="Arial"/>
        </w:rPr>
        <w:t>May</w:t>
      </w:r>
      <w:r w:rsidRPr="009E7E23">
        <w:rPr>
          <w:rFonts w:cs="Arial"/>
        </w:rPr>
        <w:t xml:space="preserve"> 201</w:t>
      </w:r>
      <w:r>
        <w:rPr>
          <w:rFonts w:cs="Arial"/>
        </w:rPr>
        <w:t>6</w:t>
      </w:r>
      <w:r w:rsidRPr="009E7E23">
        <w:rPr>
          <w:rFonts w:cs="Arial"/>
        </w:rPr>
        <w:t xml:space="preserve">, </w:t>
      </w:r>
      <w:r w:rsidRPr="009E7E23">
        <w:rPr>
          <w:rFonts w:cs="Arial"/>
          <w:i/>
        </w:rPr>
        <w:t>via</w:t>
      </w:r>
      <w:r w:rsidRPr="009E7E23">
        <w:rPr>
          <w:rFonts w:cs="Arial"/>
        </w:rPr>
        <w:t xml:space="preserve"> electronic transmission. </w:t>
      </w:r>
    </w:p>
    <w:p w14:paraId="3F050209" w14:textId="1CDFE515" w:rsidR="00B43420" w:rsidRPr="009E7E23" w:rsidRDefault="00B43420" w:rsidP="00B43420">
      <w:pPr>
        <w:tabs>
          <w:tab w:val="right" w:pos="8640"/>
        </w:tabs>
        <w:ind w:left="5040"/>
        <w:rPr>
          <w:rFonts w:eastAsia="Calibri" w:cs="Arial"/>
          <w:i/>
          <w:u w:val="single"/>
        </w:rPr>
      </w:pPr>
      <w:r w:rsidRPr="009E7E23">
        <w:rPr>
          <w:rFonts w:eastAsia="Calibri" w:cs="Arial"/>
          <w:i/>
          <w:u w:val="single"/>
        </w:rPr>
        <w:t xml:space="preserve">/s/ </w:t>
      </w:r>
      <w:r w:rsidR="00761080">
        <w:rPr>
          <w:rFonts w:eastAsia="Calibri" w:cs="Arial"/>
          <w:i/>
          <w:u w:val="single"/>
        </w:rPr>
        <w:t>Frank P. Darr</w:t>
      </w:r>
      <w:r w:rsidRPr="009E7E23">
        <w:rPr>
          <w:rFonts w:eastAsia="Calibri" w:cs="Arial"/>
          <w:i/>
          <w:u w:val="single"/>
        </w:rPr>
        <w:tab/>
      </w:r>
    </w:p>
    <w:p w14:paraId="3E2BD7AE" w14:textId="109472E7" w:rsidR="00B43420" w:rsidRDefault="00B43420" w:rsidP="00B43420">
      <w:pPr>
        <w:autoSpaceDE w:val="0"/>
        <w:autoSpaceDN w:val="0"/>
        <w:adjustRightInd w:val="0"/>
        <w:snapToGrid w:val="0"/>
        <w:rPr>
          <w:rFonts w:ascii="TimesNewRomanPSMT" w:hAnsi="TimesNewRomanPSMT" w:cs="TimesNewRomanPSMT"/>
          <w:color w:val="000000"/>
        </w:rPr>
      </w:pPr>
      <w:r w:rsidRPr="009E7E23">
        <w:rPr>
          <w:rFonts w:ascii="TimesNewRomanPSMT" w:hAnsi="TimesNewRomanPSMT" w:cs="TimesNewRomanPSMT"/>
          <w:color w:val="000000"/>
        </w:rPr>
        <w:tab/>
      </w:r>
      <w:r w:rsidRPr="009E7E23">
        <w:rPr>
          <w:rFonts w:ascii="TimesNewRomanPSMT" w:hAnsi="TimesNewRomanPSMT" w:cs="TimesNewRomanPSMT"/>
          <w:color w:val="000000"/>
        </w:rPr>
        <w:tab/>
      </w:r>
      <w:r w:rsidRPr="009E7E23">
        <w:rPr>
          <w:rFonts w:ascii="TimesNewRomanPSMT" w:hAnsi="TimesNewRomanPSMT" w:cs="TimesNewRomanPSMT"/>
          <w:color w:val="000000"/>
        </w:rPr>
        <w:tab/>
      </w:r>
      <w:r w:rsidRPr="009E7E23">
        <w:rPr>
          <w:rFonts w:ascii="TimesNewRomanPSMT" w:hAnsi="TimesNewRomanPSMT" w:cs="TimesNewRomanPSMT"/>
          <w:color w:val="000000"/>
        </w:rPr>
        <w:tab/>
      </w:r>
      <w:r w:rsidRPr="009E7E23">
        <w:rPr>
          <w:rFonts w:ascii="TimesNewRomanPSMT" w:hAnsi="TimesNewRomanPSMT" w:cs="TimesNewRomanPSMT"/>
          <w:color w:val="000000"/>
        </w:rPr>
        <w:tab/>
      </w:r>
      <w:r w:rsidRPr="009E7E23">
        <w:rPr>
          <w:rFonts w:ascii="TimesNewRomanPSMT" w:hAnsi="TimesNewRomanPSMT" w:cs="TimesNewRomanPSMT"/>
          <w:color w:val="000000"/>
        </w:rPr>
        <w:tab/>
      </w:r>
      <w:r w:rsidRPr="009E7E23">
        <w:rPr>
          <w:rFonts w:ascii="TimesNewRomanPSMT" w:hAnsi="TimesNewRomanPSMT" w:cs="TimesNewRomanPSMT"/>
          <w:color w:val="000000"/>
        </w:rPr>
        <w:tab/>
      </w:r>
      <w:r>
        <w:rPr>
          <w:rFonts w:ascii="TimesNewRomanPSMT" w:hAnsi="TimesNewRomanPSMT" w:cs="TimesNewRomanPSMT"/>
          <w:color w:val="000000"/>
        </w:rPr>
        <w:tab/>
      </w:r>
      <w:r w:rsidR="00761080">
        <w:rPr>
          <w:rFonts w:ascii="TimesNewRomanPSMT" w:hAnsi="TimesNewRomanPSMT" w:cs="TimesNewRomanPSMT"/>
          <w:color w:val="000000"/>
        </w:rPr>
        <w:t>Frank P. Darr</w:t>
      </w:r>
    </w:p>
    <w:p w14:paraId="760FF162" w14:textId="77777777" w:rsidR="00643C89" w:rsidRDefault="00643C89" w:rsidP="00B43420">
      <w:pPr>
        <w:autoSpaceDE w:val="0"/>
        <w:autoSpaceDN w:val="0"/>
        <w:adjustRightInd w:val="0"/>
        <w:snapToGrid w:val="0"/>
        <w:rPr>
          <w:rFonts w:ascii="TimesNewRomanPSMT" w:hAnsi="TimesNewRomanPSMT" w:cs="TimesNewRomanPSMT"/>
          <w:color w:val="000000"/>
        </w:rPr>
        <w:sectPr w:rsidR="00643C89" w:rsidSect="00C0405A">
          <w:pgSz w:w="12240" w:h="15840" w:code="1"/>
          <w:pgMar w:top="1440" w:right="1440" w:bottom="1440" w:left="1440" w:header="720" w:footer="720" w:gutter="0"/>
          <w:cols w:space="720"/>
          <w:titlePg/>
          <w:docGrid w:linePitch="360"/>
        </w:sectPr>
      </w:pPr>
    </w:p>
    <w:p w14:paraId="32FE01D5" w14:textId="0CC82A6B" w:rsidR="00B43420" w:rsidRDefault="00B43420" w:rsidP="00B43420">
      <w:pPr>
        <w:autoSpaceDE w:val="0"/>
        <w:autoSpaceDN w:val="0"/>
        <w:adjustRightInd w:val="0"/>
        <w:snapToGrid w:val="0"/>
        <w:rPr>
          <w:rFonts w:ascii="TimesNewRomanPSMT" w:hAnsi="TimesNewRomanPSMT" w:cs="TimesNewRomanPSMT"/>
          <w:color w:val="000000"/>
        </w:rPr>
      </w:pPr>
    </w:p>
    <w:p w14:paraId="55991721" w14:textId="77777777" w:rsidR="00B43420" w:rsidRPr="009E7E23" w:rsidRDefault="00B43420" w:rsidP="00B43420">
      <w:pPr>
        <w:autoSpaceDE w:val="0"/>
        <w:autoSpaceDN w:val="0"/>
        <w:adjustRightInd w:val="0"/>
        <w:snapToGrid w:val="0"/>
        <w:rPr>
          <w:rFonts w:cs="Arial"/>
          <w:color w:val="000000"/>
        </w:rPr>
      </w:pPr>
      <w:r w:rsidRPr="009E7E23">
        <w:rPr>
          <w:rFonts w:cs="Arial"/>
          <w:color w:val="000000"/>
        </w:rPr>
        <w:t>Steven T. Nourse</w:t>
      </w:r>
    </w:p>
    <w:p w14:paraId="6D192327" w14:textId="77777777" w:rsidR="00B43420" w:rsidRPr="009E7E23" w:rsidRDefault="00B43420" w:rsidP="00B43420">
      <w:pPr>
        <w:autoSpaceDE w:val="0"/>
        <w:autoSpaceDN w:val="0"/>
        <w:adjustRightInd w:val="0"/>
        <w:snapToGrid w:val="0"/>
        <w:rPr>
          <w:rFonts w:cs="Arial"/>
          <w:color w:val="000000"/>
        </w:rPr>
      </w:pPr>
      <w:r w:rsidRPr="009E7E23">
        <w:rPr>
          <w:rFonts w:cs="Arial"/>
          <w:color w:val="000000"/>
        </w:rPr>
        <w:t>American Electric Power Service Corp.</w:t>
      </w:r>
    </w:p>
    <w:p w14:paraId="78668B05" w14:textId="77777777" w:rsidR="00B43420" w:rsidRPr="009E7E23" w:rsidRDefault="00B43420" w:rsidP="00B43420">
      <w:pPr>
        <w:autoSpaceDE w:val="0"/>
        <w:autoSpaceDN w:val="0"/>
        <w:adjustRightInd w:val="0"/>
        <w:snapToGrid w:val="0"/>
        <w:rPr>
          <w:rFonts w:cs="Arial"/>
          <w:color w:val="000000"/>
        </w:rPr>
      </w:pPr>
      <w:r w:rsidRPr="009E7E23">
        <w:rPr>
          <w:rFonts w:cs="Arial"/>
          <w:color w:val="000000"/>
        </w:rPr>
        <w:t>1 Riverside Plaza, 29th Floor</w:t>
      </w:r>
    </w:p>
    <w:p w14:paraId="10F048C3" w14:textId="77777777" w:rsidR="00B43420" w:rsidRPr="009E7E23" w:rsidRDefault="00B43420" w:rsidP="00B43420">
      <w:pPr>
        <w:autoSpaceDE w:val="0"/>
        <w:autoSpaceDN w:val="0"/>
        <w:adjustRightInd w:val="0"/>
        <w:snapToGrid w:val="0"/>
        <w:rPr>
          <w:rFonts w:cs="Arial"/>
          <w:color w:val="000000"/>
        </w:rPr>
      </w:pPr>
      <w:r w:rsidRPr="009E7E23">
        <w:rPr>
          <w:rFonts w:cs="Arial"/>
          <w:color w:val="000000"/>
        </w:rPr>
        <w:t>Columbus, Ohio 43215</w:t>
      </w:r>
    </w:p>
    <w:p w14:paraId="6D2423C0" w14:textId="77777777" w:rsidR="00B43420" w:rsidRPr="009E7E23" w:rsidRDefault="00B43420" w:rsidP="00B43420">
      <w:pPr>
        <w:autoSpaceDE w:val="0"/>
        <w:autoSpaceDN w:val="0"/>
        <w:adjustRightInd w:val="0"/>
        <w:snapToGrid w:val="0"/>
        <w:rPr>
          <w:rFonts w:cs="Arial"/>
        </w:rPr>
      </w:pPr>
      <w:r w:rsidRPr="009E7E23">
        <w:rPr>
          <w:rFonts w:cs="Arial"/>
        </w:rPr>
        <w:t>stnourse@aep.com</w:t>
      </w:r>
    </w:p>
    <w:p w14:paraId="1E7C5E75" w14:textId="77777777" w:rsidR="00B43420" w:rsidRPr="009E7E23" w:rsidRDefault="00B43420" w:rsidP="00B43420">
      <w:pPr>
        <w:autoSpaceDE w:val="0"/>
        <w:autoSpaceDN w:val="0"/>
        <w:adjustRightInd w:val="0"/>
        <w:snapToGrid w:val="0"/>
        <w:rPr>
          <w:rFonts w:cs="Arial"/>
          <w:color w:val="000000"/>
        </w:rPr>
      </w:pPr>
    </w:p>
    <w:p w14:paraId="244082F3" w14:textId="77777777" w:rsidR="00B43420" w:rsidRPr="009E7E23" w:rsidRDefault="00B43420" w:rsidP="00B43420">
      <w:pPr>
        <w:autoSpaceDE w:val="0"/>
        <w:autoSpaceDN w:val="0"/>
        <w:adjustRightInd w:val="0"/>
        <w:snapToGrid w:val="0"/>
        <w:rPr>
          <w:rFonts w:cs="Arial"/>
          <w:b/>
          <w:color w:val="000000"/>
        </w:rPr>
      </w:pPr>
      <w:r w:rsidRPr="009E7E23">
        <w:rPr>
          <w:rFonts w:cs="Arial"/>
          <w:b/>
          <w:color w:val="000000"/>
        </w:rPr>
        <w:t>On Behalf of Ohio Power Company</w:t>
      </w:r>
    </w:p>
    <w:p w14:paraId="25E78385" w14:textId="62C9917D" w:rsidR="00B43420" w:rsidRDefault="00B43420" w:rsidP="00B43420">
      <w:pPr>
        <w:pStyle w:val="Title"/>
        <w:ind w:left="3600" w:firstLine="720"/>
        <w:jc w:val="left"/>
        <w:rPr>
          <w:bCs/>
          <w:smallCaps w:val="0"/>
          <w:sz w:val="24"/>
        </w:rPr>
      </w:pPr>
    </w:p>
    <w:p w14:paraId="67067AA3"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BRUCE J. WESTON (0016973)</w:t>
      </w:r>
    </w:p>
    <w:p w14:paraId="7E9B9FA5"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OHIO CONSUMERS’ COUNSEL</w:t>
      </w:r>
    </w:p>
    <w:p w14:paraId="33487461"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p>
    <w:p w14:paraId="7DA57564"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Cs w:val="20"/>
        </w:rPr>
      </w:pPr>
      <w:r w:rsidRPr="00341A82">
        <w:rPr>
          <w:rFonts w:eastAsia="Times New Roman" w:cs="Times New Roman"/>
          <w:szCs w:val="20"/>
        </w:rPr>
        <w:t>Kyle L. Kern, Counsel of Record (0084199)</w:t>
      </w:r>
    </w:p>
    <w:p w14:paraId="4F957A75"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Assistant Consumers’ Counsel</w:t>
      </w:r>
    </w:p>
    <w:p w14:paraId="3487C188"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Office of the Ohio Consumers’ Counsel</w:t>
      </w:r>
    </w:p>
    <w:p w14:paraId="57184EE1"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10 West Broad Street, Suite 1800</w:t>
      </w:r>
    </w:p>
    <w:p w14:paraId="5A96EAB9"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Columbus, Ohio 43215</w:t>
      </w:r>
    </w:p>
    <w:p w14:paraId="6AB7A501"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kyle.kern@occ.ohio.gov</w:t>
      </w:r>
    </w:p>
    <w:p w14:paraId="2242037D"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p>
    <w:p w14:paraId="598C8A01"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Kimberly W. Bojko (0069402)</w:t>
      </w:r>
    </w:p>
    <w:p w14:paraId="7F974005"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Carpenter Lipps &amp; Leland LLP</w:t>
      </w:r>
    </w:p>
    <w:p w14:paraId="68800317"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280 North High Street, Suite 1300</w:t>
      </w:r>
    </w:p>
    <w:p w14:paraId="12036C30"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Columbus, Ohio 43215</w:t>
      </w:r>
    </w:p>
    <w:p w14:paraId="285A3752"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bojko@carpenterlipps.com</w:t>
      </w:r>
    </w:p>
    <w:p w14:paraId="2808FC03"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p>
    <w:p w14:paraId="7BB8D3E8"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b/>
          <w:smallCaps/>
          <w:szCs w:val="20"/>
        </w:rPr>
      </w:pPr>
      <w:r w:rsidRPr="00341A82">
        <w:rPr>
          <w:rFonts w:eastAsia="Times New Roman" w:cs="Times New Roman"/>
          <w:b/>
          <w:smallCaps/>
          <w:szCs w:val="20"/>
        </w:rPr>
        <w:t>On Behalf of the Office of the Ohio Consumers’ Counsel</w:t>
      </w:r>
    </w:p>
    <w:p w14:paraId="7CA65CCB"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b/>
          <w:smallCaps/>
          <w:szCs w:val="20"/>
        </w:rPr>
      </w:pPr>
      <w:r w:rsidRPr="00341A82">
        <w:rPr>
          <w:rFonts w:eastAsia="Times New Roman" w:cs="Times New Roman"/>
          <w:b/>
          <w:smallCaps/>
          <w:szCs w:val="20"/>
        </w:rPr>
        <w:br w:type="column"/>
      </w:r>
    </w:p>
    <w:p w14:paraId="1542DF25"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William Wright</w:t>
      </w:r>
    </w:p>
    <w:p w14:paraId="41774A9C"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Ohio Attorney General’s Office</w:t>
      </w:r>
    </w:p>
    <w:p w14:paraId="1876170B"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Public Utilities Commission of Ohio</w:t>
      </w:r>
    </w:p>
    <w:p w14:paraId="055EC8B5"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180 E. Broad St., 6th Fl.</w:t>
      </w:r>
    </w:p>
    <w:p w14:paraId="204674B7"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341A82">
        <w:rPr>
          <w:rFonts w:eastAsia="Times New Roman" w:cs="Times New Roman"/>
          <w:szCs w:val="20"/>
        </w:rPr>
        <w:t>Columbus, Ohio 43215</w:t>
      </w:r>
    </w:p>
    <w:p w14:paraId="49F8435B"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Cs w:val="20"/>
        </w:rPr>
      </w:pPr>
      <w:r w:rsidRPr="00341A82">
        <w:rPr>
          <w:rFonts w:eastAsia="Times New Roman" w:cs="Times New Roman"/>
          <w:szCs w:val="20"/>
        </w:rPr>
        <w:t>William.wright@puc.state.oh.us</w:t>
      </w:r>
    </w:p>
    <w:p w14:paraId="543CE0B6"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Cs w:val="20"/>
        </w:rPr>
      </w:pPr>
    </w:p>
    <w:p w14:paraId="3E857A1D" w14:textId="77777777" w:rsidR="00341A82" w:rsidRPr="00341A82" w:rsidRDefault="00341A82" w:rsidP="00341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b/>
          <w:smallCaps/>
          <w:szCs w:val="20"/>
        </w:rPr>
      </w:pPr>
      <w:r w:rsidRPr="00341A82">
        <w:rPr>
          <w:rFonts w:eastAsia="Times New Roman" w:cs="Times New Roman"/>
          <w:b/>
          <w:smallCaps/>
          <w:szCs w:val="20"/>
        </w:rPr>
        <w:t>On Behalf of the Public Utilities Commission of Ohio</w:t>
      </w:r>
    </w:p>
    <w:p w14:paraId="49432649" w14:textId="52FC66BE" w:rsidR="00A315C1" w:rsidRDefault="00A315C1" w:rsidP="00341A82">
      <w:pPr>
        <w:spacing w:line="480" w:lineRule="auto"/>
      </w:pPr>
    </w:p>
    <w:sectPr w:rsidR="00A315C1" w:rsidSect="00C76E85">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4F956" w14:textId="77777777" w:rsidR="00E62E80" w:rsidRDefault="00E62E80" w:rsidP="00E62E80">
      <w:r>
        <w:separator/>
      </w:r>
    </w:p>
  </w:endnote>
  <w:endnote w:type="continuationSeparator" w:id="0">
    <w:p w14:paraId="1BD425A1" w14:textId="77777777" w:rsidR="00E62E80" w:rsidRDefault="00E62E80" w:rsidP="00E6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41B5" w14:textId="77777777" w:rsidR="00B43420" w:rsidRDefault="00B43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43EF" w14:textId="20F64883" w:rsidR="00F46351" w:rsidRDefault="0039496A">
    <w:pPr>
      <w:pStyle w:val="Footer"/>
      <w:rPr>
        <w:rFonts w:cs="Arial"/>
      </w:rPr>
    </w:pPr>
    <w:r w:rsidRPr="0039496A">
      <w:rPr>
        <w:rFonts w:cs="Arial"/>
        <w:noProof/>
        <w:sz w:val="16"/>
      </w:rPr>
      <w:t>{C49902: }</w:t>
    </w:r>
    <w:r w:rsidR="00F46351">
      <w:t xml:space="preserve"> </w:t>
    </w:r>
    <w:sdt>
      <w:sdtPr>
        <w:id w:val="-686760739"/>
        <w:docPartObj>
          <w:docPartGallery w:val="Page Numbers (Bottom of Page)"/>
          <w:docPartUnique/>
        </w:docPartObj>
      </w:sdtPr>
      <w:sdtEndPr>
        <w:rPr>
          <w:rFonts w:cs="Arial"/>
          <w:noProof/>
        </w:rPr>
      </w:sdtEndPr>
      <w:sdtContent>
        <w:r w:rsidR="00F46351">
          <w:tab/>
        </w:r>
        <w:r w:rsidR="00F46351">
          <w:rPr>
            <w:rFonts w:cs="Arial"/>
          </w:rPr>
          <w:fldChar w:fldCharType="begin"/>
        </w:r>
        <w:r w:rsidR="00F46351">
          <w:rPr>
            <w:rFonts w:cs="Arial"/>
          </w:rPr>
          <w:instrText xml:space="preserve"> PAGE   \* MERGEFORMAT </w:instrText>
        </w:r>
        <w:r w:rsidR="00F46351">
          <w:rPr>
            <w:rFonts w:cs="Arial"/>
          </w:rPr>
          <w:fldChar w:fldCharType="separate"/>
        </w:r>
        <w:r w:rsidR="00EF7AC2">
          <w:rPr>
            <w:rFonts w:cs="Arial"/>
            <w:noProof/>
          </w:rPr>
          <w:t>2</w:t>
        </w:r>
        <w:r w:rsidR="00F46351">
          <w:rPr>
            <w:rFonts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5A28" w14:textId="301DB966" w:rsidR="00F46351" w:rsidRDefault="0039496A">
    <w:pPr>
      <w:pStyle w:val="Footer"/>
      <w:rPr>
        <w:rFonts w:cs="Arial"/>
      </w:rPr>
    </w:pPr>
    <w:r w:rsidRPr="0039496A">
      <w:rPr>
        <w:rFonts w:cs="Arial"/>
        <w:noProof/>
        <w:sz w:val="16"/>
      </w:rPr>
      <w:t>{C49902: }</w:t>
    </w:r>
    <w:r w:rsidR="00F46351">
      <w:rPr>
        <w:rFonts w:cs="Arial"/>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96C1" w14:textId="77777777" w:rsidR="00E62E80" w:rsidRDefault="00E62E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8658" w14:textId="188AAEF4" w:rsidR="00073CC7" w:rsidRPr="00073CC7" w:rsidRDefault="0039496A" w:rsidP="001B0914">
    <w:pPr>
      <w:pStyle w:val="Footer"/>
    </w:pPr>
    <w:r w:rsidRPr="0039496A">
      <w:rPr>
        <w:noProof/>
        <w:sz w:val="16"/>
      </w:rPr>
      <w:t>{C49902: }</w:t>
    </w:r>
    <w:sdt>
      <w:sdtPr>
        <w:id w:val="-1589377309"/>
        <w:docPartObj>
          <w:docPartGallery w:val="Page Numbers (Bottom of Page)"/>
          <w:docPartUnique/>
        </w:docPartObj>
      </w:sdtPr>
      <w:sdtEndPr>
        <w:rPr>
          <w:noProof/>
        </w:rPr>
      </w:sdtEndPr>
      <w:sdtContent>
        <w:r w:rsidR="001B0914">
          <w:tab/>
        </w:r>
        <w:r w:rsidR="00073CC7" w:rsidRPr="00073CC7">
          <w:fldChar w:fldCharType="begin"/>
        </w:r>
        <w:r w:rsidR="00073CC7" w:rsidRPr="00073CC7">
          <w:instrText xml:space="preserve"> PAGE   \* MERGEFORMAT </w:instrText>
        </w:r>
        <w:r w:rsidR="00073CC7" w:rsidRPr="00073CC7">
          <w:fldChar w:fldCharType="separate"/>
        </w:r>
        <w:r>
          <w:rPr>
            <w:noProof/>
          </w:rPr>
          <w:t>9</w:t>
        </w:r>
        <w:r w:rsidR="00073CC7" w:rsidRPr="00073CC7">
          <w:rPr>
            <w:noProof/>
          </w:rPr>
          <w:fldChar w:fldCharType="end"/>
        </w:r>
      </w:sdtContent>
    </w:sdt>
  </w:p>
  <w:p w14:paraId="10782A85" w14:textId="6B53D349" w:rsidR="00E62E80" w:rsidRPr="00073CC7" w:rsidRDefault="00E62E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87B8B" w14:textId="45172631" w:rsidR="00E62E80" w:rsidRPr="00E62E80" w:rsidRDefault="0039496A">
    <w:pPr>
      <w:pStyle w:val="Footer"/>
    </w:pPr>
    <w:r w:rsidRPr="0039496A">
      <w:rPr>
        <w:noProof/>
        <w:sz w:val="16"/>
      </w:rPr>
      <w:t>{C49902: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77DF7" w14:textId="77777777" w:rsidR="00E62E80" w:rsidRDefault="00E62E80" w:rsidP="00E62E80">
      <w:pPr>
        <w:rPr>
          <w:noProof/>
        </w:rPr>
      </w:pPr>
      <w:r>
        <w:rPr>
          <w:noProof/>
        </w:rPr>
        <w:separator/>
      </w:r>
    </w:p>
  </w:footnote>
  <w:footnote w:type="continuationSeparator" w:id="0">
    <w:p w14:paraId="5A3BFDBD" w14:textId="77777777" w:rsidR="00E62E80" w:rsidRDefault="00E62E80" w:rsidP="00E62E80">
      <w:r>
        <w:continuationSeparator/>
      </w:r>
    </w:p>
  </w:footnote>
  <w:footnote w:id="1">
    <w:p w14:paraId="4E72E846" w14:textId="61BD1E61" w:rsidR="00A10CE8" w:rsidRDefault="00A10CE8" w:rsidP="00595B32">
      <w:pPr>
        <w:pStyle w:val="FootnoteText"/>
        <w:spacing w:after="120"/>
        <w:jc w:val="both"/>
      </w:pPr>
      <w:r>
        <w:rPr>
          <w:rStyle w:val="FootnoteReference"/>
        </w:rPr>
        <w:footnoteRef/>
      </w:r>
      <w:r>
        <w:t xml:space="preserve"> Following the enactment of SB 3, the Commission</w:t>
      </w:r>
      <w:r w:rsidR="008646C3">
        <w:t xml:space="preserve">, applying its decision </w:t>
      </w:r>
      <w:r>
        <w:t xml:space="preserve">in </w:t>
      </w:r>
      <w:r w:rsidRPr="0049135D">
        <w:rPr>
          <w:i/>
        </w:rPr>
        <w:t>Brooks</w:t>
      </w:r>
      <w:r w:rsidR="008646C3">
        <w:rPr>
          <w:i/>
        </w:rPr>
        <w:t xml:space="preserve">, </w:t>
      </w:r>
      <w:r w:rsidR="008646C3">
        <w:t>held</w:t>
      </w:r>
      <w:r>
        <w:t xml:space="preserve"> that electric distribution utilities may not impose undue restrictions on the resale of retail electric generation service.  In response to tariffs filed by the electric distribution utilities that restricted resale, the Commission directed all utilities to file revised tariffs removing restrictions that did not conform to the Commission’s previous decision permitting submetering.  </w:t>
      </w:r>
      <w:r w:rsidR="00FC4423" w:rsidRPr="001E20A7">
        <w:rPr>
          <w:i/>
        </w:rPr>
        <w:t>In the Matter of the Application of FirstEnergy Corp. on Behalf of Ohio Edison Company, The Cleveland Electric Illuminating Company, and The Toledo Edison Company for Approval of Their Transition Plans and for Authorization to Collect Transition Revenues</w:t>
      </w:r>
      <w:r w:rsidR="00FC4423">
        <w:t>, Case No. 99-1212</w:t>
      </w:r>
      <w:r w:rsidR="0042654B">
        <w:t xml:space="preserve">-EL-ETP, Entry at 3-4 (Jan. 18, 2001), aff’d on rehearing, </w:t>
      </w:r>
      <w:r w:rsidR="001E47E5">
        <w:t>Entry on Rehearing (Mar. 15, 2001) (“</w:t>
      </w:r>
      <w:r w:rsidR="001E47E5" w:rsidRPr="001E20A7">
        <w:rPr>
          <w:i/>
        </w:rPr>
        <w:t>FirstEnergy</w:t>
      </w:r>
      <w:r w:rsidR="001E47E5">
        <w:t xml:space="preserve">”).  </w:t>
      </w:r>
    </w:p>
  </w:footnote>
  <w:footnote w:id="2">
    <w:p w14:paraId="2C74867F" w14:textId="38ABF916" w:rsidR="00066FD4" w:rsidRDefault="00066FD4" w:rsidP="00466EE5">
      <w:pPr>
        <w:pStyle w:val="FootnoteText"/>
        <w:spacing w:after="120"/>
        <w:jc w:val="both"/>
      </w:pPr>
      <w:r>
        <w:rPr>
          <w:rStyle w:val="FootnoteReference"/>
        </w:rPr>
        <w:footnoteRef/>
      </w:r>
      <w:r>
        <w:t xml:space="preserve"> </w:t>
      </w:r>
      <w:r w:rsidR="005E2D8C">
        <w:t>S</w:t>
      </w:r>
      <w:r>
        <w:t xml:space="preserve">hared services arrangements are agreements </w:t>
      </w:r>
      <w:r w:rsidR="005E2D8C">
        <w:t>among</w:t>
      </w:r>
      <w:r>
        <w:t xml:space="preserve"> multiple non-residential consumers located on property, such as a campus, which includes facilities, plant, and equipment that allow each consumer to receive electricity, natural gas, water or wastewater treatment services through a “master-meter,” or jointly or individually owned facilities, plant, or equipment.  These arrangements arise voluntarily and have become more common over time because corporations have spun off or separated individual business units that may have separate corporate identities even if commonly owned.  Typically, these arrangements are ancillary to and not the primary purpose of the relationship between the individual non-residential consumers.  </w:t>
      </w:r>
      <w:r>
        <w:rPr>
          <w:i/>
        </w:rPr>
        <w:t>Submetering Investigation</w:t>
      </w:r>
      <w:r>
        <w:t xml:space="preserve">, Initial Comments of Industrial Energy Users-Ohio at 8 (Jan. 21, 2016).  </w:t>
      </w:r>
    </w:p>
  </w:footnote>
  <w:footnote w:id="3">
    <w:p w14:paraId="19366AB5" w14:textId="0D2F90F9" w:rsidR="00D73D68" w:rsidRDefault="00D73D68" w:rsidP="005E2D8C">
      <w:pPr>
        <w:pStyle w:val="FootnoteText"/>
        <w:jc w:val="both"/>
      </w:pPr>
      <w:r>
        <w:rPr>
          <w:rStyle w:val="FootnoteReference"/>
        </w:rPr>
        <w:footnoteRef/>
      </w:r>
      <w:r>
        <w:t xml:space="preserve"> The notion that any fee would trigger termination of service may be a response to comments filed by IEU-Ohio concerning </w:t>
      </w:r>
      <w:r w:rsidR="0078256C">
        <w:t xml:space="preserve">the attempt by AEP-Ohio and Duke to extend the Commission’s jurisdiction to any arrangement that was not a “pass-through” arrangement.  </w:t>
      </w:r>
      <w:r>
        <w:t xml:space="preserve">The AEP-Ohio/Duke Comments demonstrate that the proposal lacks any well-defined concept of what is the centerpiece of the exception.  In a footnote, the Comments recognize that the Commission would have to define “exactly” what </w:t>
      </w:r>
      <w:r w:rsidR="00886171">
        <w:t>a pass-through is</w:t>
      </w:r>
      <w:r>
        <w:t xml:space="preserve">.  Then the Comments add that additional rules would be needed to avoid “gaming” if the landlord shops for competitive generation service.  AEP-Ohio/Duke Comments at 28, n.1.  </w:t>
      </w:r>
    </w:p>
  </w:footnote>
  <w:footnote w:id="4">
    <w:p w14:paraId="2BA42861" w14:textId="0D28AF9C" w:rsidR="00C62AEC" w:rsidRDefault="00C62AEC" w:rsidP="00466EE5">
      <w:pPr>
        <w:pStyle w:val="FootnoteText"/>
        <w:spacing w:after="120"/>
        <w:jc w:val="both"/>
      </w:pPr>
      <w:r>
        <w:rPr>
          <w:rStyle w:val="FootnoteReference"/>
        </w:rPr>
        <w:footnoteRef/>
      </w:r>
      <w:r>
        <w:t xml:space="preserve">That AEP-Ohio is using this proceeding as an attempt to increase its charges to customers is explicit.  </w:t>
      </w:r>
      <w:r w:rsidRPr="00C62AEC">
        <w:t xml:space="preserve">According to AEP-Ohio, it “may need to install new infrastructure or take over infrastructure that was installed by landlords or submetering companies.  Accordingly, if the Commission grants the tariff amendment proposed by AEP Ohio, the Commission should also provide for an appropriate transition process, including, among other things, cost recovery for necessary expenditures related to transitioning away from submetering.”  Motion at 5 n.1.  </w:t>
      </w:r>
      <w:r w:rsidR="004A2771">
        <w:t>AEP-Ohio</w:t>
      </w:r>
      <w:r w:rsidR="004D5FF2">
        <w:t>’s</w:t>
      </w:r>
      <w:r w:rsidR="004A2771">
        <w:t xml:space="preserve"> attempt to increase revenue ignores that t</w:t>
      </w:r>
      <w:r w:rsidRPr="00C62AEC">
        <w:t xml:space="preserve">hese newly enrolled customers will be subject to AEP-Ohio’s base </w:t>
      </w:r>
      <w:r w:rsidR="00E05570">
        <w:t>distribution rates and riders that afford</w:t>
      </w:r>
      <w:r w:rsidRPr="00C62AEC">
        <w:t xml:space="preserve"> AEP-Ohio the opportunity </w:t>
      </w:r>
      <w:r w:rsidRPr="000152D0">
        <w:t xml:space="preserve">to </w:t>
      </w:r>
      <w:r w:rsidRPr="00C76E85">
        <w:t xml:space="preserve">recover the cost of metering in its base rates.  </w:t>
      </w:r>
      <w:r w:rsidR="00F426FB" w:rsidRPr="00C76E85">
        <w:rPr>
          <w:i/>
        </w:rPr>
        <w:t xml:space="preserve">In the Matter of </w:t>
      </w:r>
      <w:r w:rsidR="00E3143B" w:rsidRPr="00C76E85">
        <w:rPr>
          <w:i/>
        </w:rPr>
        <w:t>the Application of Columbus Southern Power Company and Ohio Power Company, Individually, and, if Their Proposed Merger Is Approved, as a Merged Company (collectively, AEP-Ohio) for an Increase in Electr</w:t>
      </w:r>
      <w:r w:rsidR="000152D0" w:rsidRPr="00C76E85">
        <w:rPr>
          <w:i/>
        </w:rPr>
        <w:t>ic Distribution Rates</w:t>
      </w:r>
      <w:r w:rsidR="000152D0" w:rsidRPr="00C76E85">
        <w:t xml:space="preserve">, Case Nos. 11-351-EL-AIR, </w:t>
      </w:r>
      <w:r w:rsidR="000152D0" w:rsidRPr="00C76E85">
        <w:rPr>
          <w:i/>
        </w:rPr>
        <w:t>et al</w:t>
      </w:r>
      <w:r w:rsidR="000152D0" w:rsidRPr="00C76E85">
        <w:t>., Staff Report passim (Sept. 15, 2011).</w:t>
      </w:r>
      <w:r w:rsidR="00F426FB" w:rsidRPr="00C76E85">
        <w:t xml:space="preserve">  </w:t>
      </w:r>
      <w:r w:rsidRPr="00C76E85">
        <w:t>AEP-Ohio’s attempt to double recover metering costs from customers should not be approved in this proceeding</w:t>
      </w:r>
      <w:r w:rsidRPr="000152D0">
        <w:t xml:space="preserve"> (or any other).</w:t>
      </w:r>
      <w:r>
        <w:t xml:space="preserve"> </w:t>
      </w:r>
    </w:p>
  </w:footnote>
  <w:footnote w:id="5">
    <w:p w14:paraId="297FEAF6" w14:textId="08F8759C" w:rsidR="002A5186" w:rsidRDefault="002A5186" w:rsidP="00466EE5">
      <w:pPr>
        <w:pStyle w:val="FootnoteText"/>
        <w:spacing w:after="120"/>
        <w:jc w:val="both"/>
      </w:pPr>
      <w:r>
        <w:rPr>
          <w:rStyle w:val="FootnoteReference"/>
        </w:rPr>
        <w:footnoteRef/>
      </w:r>
      <w:r>
        <w:t xml:space="preserve"> Rejecting AEP-Ohio’s unlawful restrictions on the provision of electric service and resale does not mean that end users of electric service will not be protected from unlawful behavior.  If a company is operating as an electric distribution company or electric service company under long-standing and well-understood statutory requirements, it is subject to the Commission’s jurisdiction.  R.C. 4905.02, R.C. 4905.03, &amp; R.C. 4928.05.  If that company also is acting unlawfully or unreasonably, the Commission has a range of tools to protect end users.  R.C. 4905.26, R.C. 4928.08, &amp; R.C. 4928.09.  The Commission’s authority, however, does not extend to granting to AEP-Ohio the boundless discretion it seeks to terminate service through unreasonable restrictions on resale of retail generation service.</w:t>
      </w:r>
    </w:p>
  </w:footnote>
  <w:footnote w:id="6">
    <w:p w14:paraId="5F7224C0" w14:textId="488C9685" w:rsidR="00AF26DA" w:rsidRDefault="00AF26DA">
      <w:pPr>
        <w:pStyle w:val="FootnoteText"/>
      </w:pPr>
      <w:r>
        <w:rPr>
          <w:rStyle w:val="FootnoteReference"/>
        </w:rPr>
        <w:footnoteRef/>
      </w:r>
      <w:r>
        <w:t xml:space="preserve"> </w:t>
      </w:r>
      <w:r w:rsidRPr="009B0CD3">
        <w:rPr>
          <w:i/>
        </w:rPr>
        <w:t>Mark A. Whitt v. Nationwide Energy Partners, LLC</w:t>
      </w:r>
      <w:r>
        <w:t xml:space="preserve">, Case No. 15-697-EL-CSS, </w:t>
      </w:r>
      <w:r w:rsidRPr="00AF26DA">
        <w:t>Motion to Intervene and Memorandum in Support of Industrial Energy Users-Ohio</w:t>
      </w:r>
      <w:r w:rsidR="009803DA">
        <w:t xml:space="preserve"> (June 23,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D8CC" w14:textId="77777777" w:rsidR="00B43420" w:rsidRDefault="00B43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B6223" w14:textId="77777777" w:rsidR="00B43420" w:rsidRDefault="00B43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2A8D" w14:textId="77777777" w:rsidR="00B43420" w:rsidRDefault="00B434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C595" w14:textId="77777777" w:rsidR="00E62E80" w:rsidRDefault="00E62E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5498" w14:textId="77777777" w:rsidR="00E62E80" w:rsidRDefault="00E62E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BCC0" w14:textId="77777777" w:rsidR="00E62E80" w:rsidRDefault="00E62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5E6E"/>
    <w:multiLevelType w:val="multilevel"/>
    <w:tmpl w:val="9028DD86"/>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15:restartNumberingAfterBreak="0">
    <w:nsid w:val="562047C7"/>
    <w:multiLevelType w:val="hybridMultilevel"/>
    <w:tmpl w:val="31ECB04A"/>
    <w:lvl w:ilvl="0" w:tplc="C54C6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dgnword-docGUID" w:val="{71AC0E5D-5664-4376-813D-F481D9F6FD0C}"/>
    <w:docVar w:name="dgnword-eventsink" w:val="569932656"/>
    <w:docVar w:name="EnforceSchemeFont" w:val="False"/>
    <w:docVar w:name="LastSchemeChoice" w:val="IEU-Ohio Headings"/>
    <w:docVar w:name="LastSchemeUniqueID" w:val="1"/>
    <w:docVar w:name="LegacyNa" w:val="False"/>
  </w:docVars>
  <w:rsids>
    <w:rsidRoot w:val="00E62E80"/>
    <w:rsid w:val="00011F2A"/>
    <w:rsid w:val="000152D0"/>
    <w:rsid w:val="00015FCB"/>
    <w:rsid w:val="00016170"/>
    <w:rsid w:val="000235E8"/>
    <w:rsid w:val="000317CB"/>
    <w:rsid w:val="0003260B"/>
    <w:rsid w:val="00035038"/>
    <w:rsid w:val="000378FD"/>
    <w:rsid w:val="00044EA9"/>
    <w:rsid w:val="00047541"/>
    <w:rsid w:val="00050EBB"/>
    <w:rsid w:val="000515AB"/>
    <w:rsid w:val="00062FBD"/>
    <w:rsid w:val="00064051"/>
    <w:rsid w:val="00066FD4"/>
    <w:rsid w:val="000674FF"/>
    <w:rsid w:val="00073531"/>
    <w:rsid w:val="00073CC7"/>
    <w:rsid w:val="00074779"/>
    <w:rsid w:val="00083709"/>
    <w:rsid w:val="00091B4A"/>
    <w:rsid w:val="000A425A"/>
    <w:rsid w:val="000B31EE"/>
    <w:rsid w:val="000B593E"/>
    <w:rsid w:val="000C3281"/>
    <w:rsid w:val="000C71C8"/>
    <w:rsid w:val="000D3247"/>
    <w:rsid w:val="000D3D9A"/>
    <w:rsid w:val="000D4E5A"/>
    <w:rsid w:val="000E0425"/>
    <w:rsid w:val="000E4E0D"/>
    <w:rsid w:val="000E4F12"/>
    <w:rsid w:val="000E66D5"/>
    <w:rsid w:val="000F57A8"/>
    <w:rsid w:val="000F7BEB"/>
    <w:rsid w:val="000F7EEC"/>
    <w:rsid w:val="00111035"/>
    <w:rsid w:val="00113C71"/>
    <w:rsid w:val="001202C6"/>
    <w:rsid w:val="001222FB"/>
    <w:rsid w:val="00124F9F"/>
    <w:rsid w:val="00127424"/>
    <w:rsid w:val="00127440"/>
    <w:rsid w:val="00137894"/>
    <w:rsid w:val="00146135"/>
    <w:rsid w:val="001515DD"/>
    <w:rsid w:val="00153F41"/>
    <w:rsid w:val="00153FDD"/>
    <w:rsid w:val="001553CB"/>
    <w:rsid w:val="001557D7"/>
    <w:rsid w:val="001578F6"/>
    <w:rsid w:val="00160188"/>
    <w:rsid w:val="001618F4"/>
    <w:rsid w:val="00165F0B"/>
    <w:rsid w:val="0016600F"/>
    <w:rsid w:val="00170C87"/>
    <w:rsid w:val="00190276"/>
    <w:rsid w:val="0019051B"/>
    <w:rsid w:val="00190E0D"/>
    <w:rsid w:val="00191885"/>
    <w:rsid w:val="001970D2"/>
    <w:rsid w:val="001A29E3"/>
    <w:rsid w:val="001A4BFE"/>
    <w:rsid w:val="001B0914"/>
    <w:rsid w:val="001B4ECE"/>
    <w:rsid w:val="001B5CF7"/>
    <w:rsid w:val="001C0781"/>
    <w:rsid w:val="001C4595"/>
    <w:rsid w:val="001C7BED"/>
    <w:rsid w:val="001D5845"/>
    <w:rsid w:val="001E20A7"/>
    <w:rsid w:val="001E47E5"/>
    <w:rsid w:val="001F7E57"/>
    <w:rsid w:val="0020157E"/>
    <w:rsid w:val="00210C6A"/>
    <w:rsid w:val="002134F1"/>
    <w:rsid w:val="002161F6"/>
    <w:rsid w:val="002163AE"/>
    <w:rsid w:val="00217397"/>
    <w:rsid w:val="00217E3F"/>
    <w:rsid w:val="00221BAE"/>
    <w:rsid w:val="0022301E"/>
    <w:rsid w:val="002277EF"/>
    <w:rsid w:val="00242BB0"/>
    <w:rsid w:val="00242DB9"/>
    <w:rsid w:val="00243BA7"/>
    <w:rsid w:val="00251137"/>
    <w:rsid w:val="00256615"/>
    <w:rsid w:val="002636CC"/>
    <w:rsid w:val="00263787"/>
    <w:rsid w:val="002637BA"/>
    <w:rsid w:val="00267D94"/>
    <w:rsid w:val="00284B6F"/>
    <w:rsid w:val="0029225C"/>
    <w:rsid w:val="00297785"/>
    <w:rsid w:val="002A1F2E"/>
    <w:rsid w:val="002A315D"/>
    <w:rsid w:val="002A5186"/>
    <w:rsid w:val="002C3793"/>
    <w:rsid w:val="002D5BB0"/>
    <w:rsid w:val="002D6290"/>
    <w:rsid w:val="002E0ABE"/>
    <w:rsid w:val="002E4247"/>
    <w:rsid w:val="002E5ED3"/>
    <w:rsid w:val="002E75E4"/>
    <w:rsid w:val="002F0FCD"/>
    <w:rsid w:val="00311560"/>
    <w:rsid w:val="0031286F"/>
    <w:rsid w:val="00320BD2"/>
    <w:rsid w:val="0032216F"/>
    <w:rsid w:val="003234AB"/>
    <w:rsid w:val="003250F3"/>
    <w:rsid w:val="003314A6"/>
    <w:rsid w:val="003331A9"/>
    <w:rsid w:val="003411A5"/>
    <w:rsid w:val="00341A82"/>
    <w:rsid w:val="003479A3"/>
    <w:rsid w:val="00353DB6"/>
    <w:rsid w:val="00361139"/>
    <w:rsid w:val="00363B8F"/>
    <w:rsid w:val="00366A49"/>
    <w:rsid w:val="0037785F"/>
    <w:rsid w:val="00377B11"/>
    <w:rsid w:val="00384560"/>
    <w:rsid w:val="003908FC"/>
    <w:rsid w:val="00391E3C"/>
    <w:rsid w:val="0039496A"/>
    <w:rsid w:val="00394A74"/>
    <w:rsid w:val="00396BFE"/>
    <w:rsid w:val="0039766E"/>
    <w:rsid w:val="003A3569"/>
    <w:rsid w:val="003C1B57"/>
    <w:rsid w:val="003D4D7D"/>
    <w:rsid w:val="003E5E20"/>
    <w:rsid w:val="003E60EE"/>
    <w:rsid w:val="003F4062"/>
    <w:rsid w:val="00400112"/>
    <w:rsid w:val="00405D54"/>
    <w:rsid w:val="004245DD"/>
    <w:rsid w:val="0042654B"/>
    <w:rsid w:val="00444EC4"/>
    <w:rsid w:val="00445362"/>
    <w:rsid w:val="00447909"/>
    <w:rsid w:val="00451180"/>
    <w:rsid w:val="00466857"/>
    <w:rsid w:val="00466EE5"/>
    <w:rsid w:val="004676E3"/>
    <w:rsid w:val="0047651A"/>
    <w:rsid w:val="004832E8"/>
    <w:rsid w:val="00485FEB"/>
    <w:rsid w:val="004867CE"/>
    <w:rsid w:val="0049135D"/>
    <w:rsid w:val="004A2771"/>
    <w:rsid w:val="004A6C23"/>
    <w:rsid w:val="004B623B"/>
    <w:rsid w:val="004B6DCD"/>
    <w:rsid w:val="004C157F"/>
    <w:rsid w:val="004C38B2"/>
    <w:rsid w:val="004C42B7"/>
    <w:rsid w:val="004C4402"/>
    <w:rsid w:val="004C66F9"/>
    <w:rsid w:val="004D0070"/>
    <w:rsid w:val="004D5FF2"/>
    <w:rsid w:val="004E41EB"/>
    <w:rsid w:val="004E50F9"/>
    <w:rsid w:val="004E798B"/>
    <w:rsid w:val="004F0FE5"/>
    <w:rsid w:val="004F1D4A"/>
    <w:rsid w:val="004F2CB7"/>
    <w:rsid w:val="0050632E"/>
    <w:rsid w:val="00512CD5"/>
    <w:rsid w:val="00515441"/>
    <w:rsid w:val="00536FD5"/>
    <w:rsid w:val="0054138C"/>
    <w:rsid w:val="00546B43"/>
    <w:rsid w:val="00551C08"/>
    <w:rsid w:val="00552346"/>
    <w:rsid w:val="00553343"/>
    <w:rsid w:val="00555F44"/>
    <w:rsid w:val="00557DE7"/>
    <w:rsid w:val="00560B40"/>
    <w:rsid w:val="00561008"/>
    <w:rsid w:val="00565F57"/>
    <w:rsid w:val="005663CF"/>
    <w:rsid w:val="00573421"/>
    <w:rsid w:val="00576D1B"/>
    <w:rsid w:val="0058567D"/>
    <w:rsid w:val="00586C08"/>
    <w:rsid w:val="00595B13"/>
    <w:rsid w:val="00595B32"/>
    <w:rsid w:val="005D65B0"/>
    <w:rsid w:val="005E2D8C"/>
    <w:rsid w:val="005F3020"/>
    <w:rsid w:val="005F31B8"/>
    <w:rsid w:val="005F6743"/>
    <w:rsid w:val="006015AA"/>
    <w:rsid w:val="0061160C"/>
    <w:rsid w:val="006126F0"/>
    <w:rsid w:val="00615AD9"/>
    <w:rsid w:val="00621DA1"/>
    <w:rsid w:val="00637A34"/>
    <w:rsid w:val="00637AE0"/>
    <w:rsid w:val="00643C89"/>
    <w:rsid w:val="00650D65"/>
    <w:rsid w:val="00650F88"/>
    <w:rsid w:val="00651E40"/>
    <w:rsid w:val="00655A49"/>
    <w:rsid w:val="00675418"/>
    <w:rsid w:val="00681EE2"/>
    <w:rsid w:val="00683FCB"/>
    <w:rsid w:val="00690357"/>
    <w:rsid w:val="00697AE6"/>
    <w:rsid w:val="006B184C"/>
    <w:rsid w:val="006B5083"/>
    <w:rsid w:val="006C5F68"/>
    <w:rsid w:val="006C71C4"/>
    <w:rsid w:val="006D489E"/>
    <w:rsid w:val="006D48F0"/>
    <w:rsid w:val="006D6125"/>
    <w:rsid w:val="006E422F"/>
    <w:rsid w:val="006E4267"/>
    <w:rsid w:val="006F465B"/>
    <w:rsid w:val="006F5C17"/>
    <w:rsid w:val="007005EC"/>
    <w:rsid w:val="00703855"/>
    <w:rsid w:val="00707D76"/>
    <w:rsid w:val="0071542A"/>
    <w:rsid w:val="007225A7"/>
    <w:rsid w:val="00726059"/>
    <w:rsid w:val="007347BA"/>
    <w:rsid w:val="007357ED"/>
    <w:rsid w:val="0073749F"/>
    <w:rsid w:val="0074486E"/>
    <w:rsid w:val="00753C80"/>
    <w:rsid w:val="00757B07"/>
    <w:rsid w:val="00761080"/>
    <w:rsid w:val="0077286F"/>
    <w:rsid w:val="007744F8"/>
    <w:rsid w:val="00774685"/>
    <w:rsid w:val="007812D2"/>
    <w:rsid w:val="007815B7"/>
    <w:rsid w:val="0078256C"/>
    <w:rsid w:val="0078733C"/>
    <w:rsid w:val="00792FDF"/>
    <w:rsid w:val="00796247"/>
    <w:rsid w:val="007A7D95"/>
    <w:rsid w:val="007A7E88"/>
    <w:rsid w:val="007B5225"/>
    <w:rsid w:val="007C4DC1"/>
    <w:rsid w:val="007D3A58"/>
    <w:rsid w:val="007D77BD"/>
    <w:rsid w:val="007E1B4D"/>
    <w:rsid w:val="007E210D"/>
    <w:rsid w:val="007E372D"/>
    <w:rsid w:val="007F6394"/>
    <w:rsid w:val="008014EE"/>
    <w:rsid w:val="00803E97"/>
    <w:rsid w:val="00810C9F"/>
    <w:rsid w:val="00811006"/>
    <w:rsid w:val="00815CBF"/>
    <w:rsid w:val="0081701C"/>
    <w:rsid w:val="008244A2"/>
    <w:rsid w:val="00827AC4"/>
    <w:rsid w:val="0083066B"/>
    <w:rsid w:val="00831899"/>
    <w:rsid w:val="00854719"/>
    <w:rsid w:val="00860B6A"/>
    <w:rsid w:val="008646C3"/>
    <w:rsid w:val="00872AA9"/>
    <w:rsid w:val="00883DC8"/>
    <w:rsid w:val="008859D2"/>
    <w:rsid w:val="00886171"/>
    <w:rsid w:val="0089037F"/>
    <w:rsid w:val="008A381C"/>
    <w:rsid w:val="008A6AD6"/>
    <w:rsid w:val="008B27C9"/>
    <w:rsid w:val="008B4783"/>
    <w:rsid w:val="008B5889"/>
    <w:rsid w:val="008C16D1"/>
    <w:rsid w:val="008C1A38"/>
    <w:rsid w:val="008C1D08"/>
    <w:rsid w:val="008C1FDF"/>
    <w:rsid w:val="008C657C"/>
    <w:rsid w:val="008D2CED"/>
    <w:rsid w:val="008D340C"/>
    <w:rsid w:val="008D6412"/>
    <w:rsid w:val="008E1E82"/>
    <w:rsid w:val="008E2B4C"/>
    <w:rsid w:val="008E3BF4"/>
    <w:rsid w:val="008F1032"/>
    <w:rsid w:val="008F1F86"/>
    <w:rsid w:val="008F30C9"/>
    <w:rsid w:val="008F7463"/>
    <w:rsid w:val="00902E1D"/>
    <w:rsid w:val="00904740"/>
    <w:rsid w:val="00917E4C"/>
    <w:rsid w:val="00923ABC"/>
    <w:rsid w:val="00930E4E"/>
    <w:rsid w:val="00932359"/>
    <w:rsid w:val="00932EDC"/>
    <w:rsid w:val="00934947"/>
    <w:rsid w:val="0096377D"/>
    <w:rsid w:val="00974D9C"/>
    <w:rsid w:val="009803DA"/>
    <w:rsid w:val="00990B4A"/>
    <w:rsid w:val="009A145C"/>
    <w:rsid w:val="009A300B"/>
    <w:rsid w:val="009A626D"/>
    <w:rsid w:val="009B0CD3"/>
    <w:rsid w:val="009B1A33"/>
    <w:rsid w:val="009B22C7"/>
    <w:rsid w:val="009B3E65"/>
    <w:rsid w:val="009C7FE9"/>
    <w:rsid w:val="009D1AC0"/>
    <w:rsid w:val="009D3540"/>
    <w:rsid w:val="009D45C4"/>
    <w:rsid w:val="009E3AF5"/>
    <w:rsid w:val="009F7A02"/>
    <w:rsid w:val="00A030E6"/>
    <w:rsid w:val="00A04F27"/>
    <w:rsid w:val="00A04F92"/>
    <w:rsid w:val="00A10CE8"/>
    <w:rsid w:val="00A1346A"/>
    <w:rsid w:val="00A13829"/>
    <w:rsid w:val="00A2457C"/>
    <w:rsid w:val="00A27870"/>
    <w:rsid w:val="00A31236"/>
    <w:rsid w:val="00A315C1"/>
    <w:rsid w:val="00A3345D"/>
    <w:rsid w:val="00A3436A"/>
    <w:rsid w:val="00A377F6"/>
    <w:rsid w:val="00A50386"/>
    <w:rsid w:val="00A645B0"/>
    <w:rsid w:val="00A66668"/>
    <w:rsid w:val="00A71247"/>
    <w:rsid w:val="00A7302E"/>
    <w:rsid w:val="00A76313"/>
    <w:rsid w:val="00A77ABA"/>
    <w:rsid w:val="00A85FC0"/>
    <w:rsid w:val="00A87CAD"/>
    <w:rsid w:val="00A94BC7"/>
    <w:rsid w:val="00A95FAD"/>
    <w:rsid w:val="00A97BED"/>
    <w:rsid w:val="00AA7FB2"/>
    <w:rsid w:val="00AB16DB"/>
    <w:rsid w:val="00AB2C71"/>
    <w:rsid w:val="00AB3EB7"/>
    <w:rsid w:val="00AB5A74"/>
    <w:rsid w:val="00AC1DE6"/>
    <w:rsid w:val="00AC3356"/>
    <w:rsid w:val="00AC3BFC"/>
    <w:rsid w:val="00AC7D30"/>
    <w:rsid w:val="00AE034D"/>
    <w:rsid w:val="00AE1258"/>
    <w:rsid w:val="00AE60A1"/>
    <w:rsid w:val="00AF08C8"/>
    <w:rsid w:val="00AF26DA"/>
    <w:rsid w:val="00AF4E1A"/>
    <w:rsid w:val="00B02D87"/>
    <w:rsid w:val="00B05922"/>
    <w:rsid w:val="00B0688C"/>
    <w:rsid w:val="00B12296"/>
    <w:rsid w:val="00B127A9"/>
    <w:rsid w:val="00B144B7"/>
    <w:rsid w:val="00B21D4F"/>
    <w:rsid w:val="00B30ED3"/>
    <w:rsid w:val="00B43420"/>
    <w:rsid w:val="00B44DC9"/>
    <w:rsid w:val="00B53704"/>
    <w:rsid w:val="00B5696E"/>
    <w:rsid w:val="00B62669"/>
    <w:rsid w:val="00B82C9F"/>
    <w:rsid w:val="00B839F6"/>
    <w:rsid w:val="00B91DC5"/>
    <w:rsid w:val="00B96BE1"/>
    <w:rsid w:val="00BA0479"/>
    <w:rsid w:val="00BB4BF6"/>
    <w:rsid w:val="00BB501D"/>
    <w:rsid w:val="00BC2DF9"/>
    <w:rsid w:val="00BD2F7D"/>
    <w:rsid w:val="00BD3611"/>
    <w:rsid w:val="00BD422D"/>
    <w:rsid w:val="00BD6502"/>
    <w:rsid w:val="00BE392D"/>
    <w:rsid w:val="00BE6D4F"/>
    <w:rsid w:val="00BF020F"/>
    <w:rsid w:val="00BF215A"/>
    <w:rsid w:val="00C0405A"/>
    <w:rsid w:val="00C05A49"/>
    <w:rsid w:val="00C069BE"/>
    <w:rsid w:val="00C117F8"/>
    <w:rsid w:val="00C16D9A"/>
    <w:rsid w:val="00C26103"/>
    <w:rsid w:val="00C36BF9"/>
    <w:rsid w:val="00C413D3"/>
    <w:rsid w:val="00C62AEC"/>
    <w:rsid w:val="00C668A5"/>
    <w:rsid w:val="00C72241"/>
    <w:rsid w:val="00C725A2"/>
    <w:rsid w:val="00C74DAA"/>
    <w:rsid w:val="00C76E85"/>
    <w:rsid w:val="00C83C95"/>
    <w:rsid w:val="00C84410"/>
    <w:rsid w:val="00C85A4F"/>
    <w:rsid w:val="00C90DA4"/>
    <w:rsid w:val="00C92C27"/>
    <w:rsid w:val="00C94CE8"/>
    <w:rsid w:val="00C94DA2"/>
    <w:rsid w:val="00CA01FA"/>
    <w:rsid w:val="00CA26EC"/>
    <w:rsid w:val="00CB2CB9"/>
    <w:rsid w:val="00CC6422"/>
    <w:rsid w:val="00CD6D44"/>
    <w:rsid w:val="00CD70CA"/>
    <w:rsid w:val="00D04623"/>
    <w:rsid w:val="00D073C4"/>
    <w:rsid w:val="00D13850"/>
    <w:rsid w:val="00D21BFB"/>
    <w:rsid w:val="00D22205"/>
    <w:rsid w:val="00D2476C"/>
    <w:rsid w:val="00D24F83"/>
    <w:rsid w:val="00D308FB"/>
    <w:rsid w:val="00D4477B"/>
    <w:rsid w:val="00D459E8"/>
    <w:rsid w:val="00D45D7B"/>
    <w:rsid w:val="00D462C6"/>
    <w:rsid w:val="00D5379D"/>
    <w:rsid w:val="00D57CB1"/>
    <w:rsid w:val="00D6483E"/>
    <w:rsid w:val="00D65F47"/>
    <w:rsid w:val="00D7177A"/>
    <w:rsid w:val="00D7356C"/>
    <w:rsid w:val="00D73D68"/>
    <w:rsid w:val="00D74B36"/>
    <w:rsid w:val="00D91A3D"/>
    <w:rsid w:val="00D926A3"/>
    <w:rsid w:val="00D969E8"/>
    <w:rsid w:val="00D97D81"/>
    <w:rsid w:val="00DA00D7"/>
    <w:rsid w:val="00DA46BA"/>
    <w:rsid w:val="00DA7440"/>
    <w:rsid w:val="00DA7768"/>
    <w:rsid w:val="00DB170E"/>
    <w:rsid w:val="00DB49FF"/>
    <w:rsid w:val="00DB4E5A"/>
    <w:rsid w:val="00DC0DF3"/>
    <w:rsid w:val="00DC639E"/>
    <w:rsid w:val="00DC661E"/>
    <w:rsid w:val="00DD0143"/>
    <w:rsid w:val="00DD63A5"/>
    <w:rsid w:val="00DE4636"/>
    <w:rsid w:val="00DF08EE"/>
    <w:rsid w:val="00DF0A86"/>
    <w:rsid w:val="00DF13FD"/>
    <w:rsid w:val="00E017CA"/>
    <w:rsid w:val="00E02DF7"/>
    <w:rsid w:val="00E034F9"/>
    <w:rsid w:val="00E05570"/>
    <w:rsid w:val="00E10507"/>
    <w:rsid w:val="00E1512A"/>
    <w:rsid w:val="00E201C4"/>
    <w:rsid w:val="00E20B46"/>
    <w:rsid w:val="00E2393F"/>
    <w:rsid w:val="00E27005"/>
    <w:rsid w:val="00E3143B"/>
    <w:rsid w:val="00E31EF9"/>
    <w:rsid w:val="00E358F6"/>
    <w:rsid w:val="00E438D5"/>
    <w:rsid w:val="00E47413"/>
    <w:rsid w:val="00E540BF"/>
    <w:rsid w:val="00E563F5"/>
    <w:rsid w:val="00E57707"/>
    <w:rsid w:val="00E6178F"/>
    <w:rsid w:val="00E62E80"/>
    <w:rsid w:val="00E80F3F"/>
    <w:rsid w:val="00E82C1F"/>
    <w:rsid w:val="00E83138"/>
    <w:rsid w:val="00E84C68"/>
    <w:rsid w:val="00E95079"/>
    <w:rsid w:val="00EA0CF3"/>
    <w:rsid w:val="00EB12BB"/>
    <w:rsid w:val="00EB2589"/>
    <w:rsid w:val="00EB4690"/>
    <w:rsid w:val="00EB5EF8"/>
    <w:rsid w:val="00EB6CB5"/>
    <w:rsid w:val="00EC22D7"/>
    <w:rsid w:val="00EC49A6"/>
    <w:rsid w:val="00ED1574"/>
    <w:rsid w:val="00EE19A2"/>
    <w:rsid w:val="00EE767D"/>
    <w:rsid w:val="00EF409A"/>
    <w:rsid w:val="00EF7AC2"/>
    <w:rsid w:val="00F1252D"/>
    <w:rsid w:val="00F12E24"/>
    <w:rsid w:val="00F15101"/>
    <w:rsid w:val="00F30630"/>
    <w:rsid w:val="00F307BA"/>
    <w:rsid w:val="00F36586"/>
    <w:rsid w:val="00F4014D"/>
    <w:rsid w:val="00F423F7"/>
    <w:rsid w:val="00F426FB"/>
    <w:rsid w:val="00F4319C"/>
    <w:rsid w:val="00F45DF3"/>
    <w:rsid w:val="00F46351"/>
    <w:rsid w:val="00F47A92"/>
    <w:rsid w:val="00F563F3"/>
    <w:rsid w:val="00F60A0C"/>
    <w:rsid w:val="00F77A28"/>
    <w:rsid w:val="00F8099C"/>
    <w:rsid w:val="00F81791"/>
    <w:rsid w:val="00F8770A"/>
    <w:rsid w:val="00F91CD0"/>
    <w:rsid w:val="00F976E9"/>
    <w:rsid w:val="00FA26A4"/>
    <w:rsid w:val="00FA5A99"/>
    <w:rsid w:val="00FA663B"/>
    <w:rsid w:val="00FA701E"/>
    <w:rsid w:val="00FB629D"/>
    <w:rsid w:val="00FC182A"/>
    <w:rsid w:val="00FC365D"/>
    <w:rsid w:val="00FC4423"/>
    <w:rsid w:val="00FC483A"/>
    <w:rsid w:val="00FD0582"/>
    <w:rsid w:val="00FD094D"/>
    <w:rsid w:val="00FE3EAF"/>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25C8"/>
  <w15:docId w15:val="{15653AA2-8ED9-4377-8779-64CE80D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420"/>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B43420"/>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B43420"/>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B43420"/>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B43420"/>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B43420"/>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B43420"/>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B43420"/>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B43420"/>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E80"/>
    <w:pPr>
      <w:tabs>
        <w:tab w:val="center" w:pos="4680"/>
        <w:tab w:val="right" w:pos="9360"/>
      </w:tabs>
    </w:pPr>
  </w:style>
  <w:style w:type="character" w:customStyle="1" w:styleId="HeaderChar">
    <w:name w:val="Header Char"/>
    <w:basedOn w:val="DefaultParagraphFont"/>
    <w:link w:val="Header"/>
    <w:rsid w:val="00E62E80"/>
  </w:style>
  <w:style w:type="paragraph" w:styleId="Footer">
    <w:name w:val="footer"/>
    <w:basedOn w:val="Normal"/>
    <w:link w:val="FooterChar"/>
    <w:uiPriority w:val="99"/>
    <w:unhideWhenUsed/>
    <w:rsid w:val="00E62E80"/>
    <w:pPr>
      <w:tabs>
        <w:tab w:val="center" w:pos="4680"/>
        <w:tab w:val="right" w:pos="9360"/>
      </w:tabs>
    </w:pPr>
  </w:style>
  <w:style w:type="character" w:customStyle="1" w:styleId="FooterChar">
    <w:name w:val="Footer Char"/>
    <w:basedOn w:val="DefaultParagraphFont"/>
    <w:link w:val="Footer"/>
    <w:uiPriority w:val="99"/>
    <w:rsid w:val="00E62E80"/>
  </w:style>
  <w:style w:type="paragraph" w:styleId="FootnoteText">
    <w:name w:val="footnote text"/>
    <w:basedOn w:val="Normal"/>
    <w:link w:val="FootnoteTextChar"/>
    <w:uiPriority w:val="99"/>
    <w:semiHidden/>
    <w:unhideWhenUsed/>
    <w:rsid w:val="00EC22D7"/>
    <w:rPr>
      <w:sz w:val="20"/>
      <w:szCs w:val="20"/>
    </w:rPr>
  </w:style>
  <w:style w:type="character" w:customStyle="1" w:styleId="FootnoteTextChar">
    <w:name w:val="Footnote Text Char"/>
    <w:basedOn w:val="DefaultParagraphFont"/>
    <w:link w:val="FootnoteText"/>
    <w:uiPriority w:val="99"/>
    <w:semiHidden/>
    <w:rsid w:val="00EC22D7"/>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nhideWhenUsed/>
    <w:rsid w:val="00EC22D7"/>
    <w:rPr>
      <w:vertAlign w:val="superscript"/>
    </w:rPr>
  </w:style>
  <w:style w:type="character" w:styleId="CommentReference">
    <w:name w:val="annotation reference"/>
    <w:basedOn w:val="DefaultParagraphFont"/>
    <w:uiPriority w:val="99"/>
    <w:semiHidden/>
    <w:unhideWhenUsed/>
    <w:rsid w:val="00C84410"/>
    <w:rPr>
      <w:sz w:val="16"/>
      <w:szCs w:val="16"/>
    </w:rPr>
  </w:style>
  <w:style w:type="paragraph" w:styleId="CommentText">
    <w:name w:val="annotation text"/>
    <w:basedOn w:val="Normal"/>
    <w:link w:val="CommentTextChar"/>
    <w:uiPriority w:val="99"/>
    <w:semiHidden/>
    <w:unhideWhenUsed/>
    <w:rsid w:val="00C84410"/>
    <w:rPr>
      <w:sz w:val="20"/>
      <w:szCs w:val="20"/>
    </w:rPr>
  </w:style>
  <w:style w:type="character" w:customStyle="1" w:styleId="CommentTextChar">
    <w:name w:val="Comment Text Char"/>
    <w:basedOn w:val="DefaultParagraphFont"/>
    <w:link w:val="CommentText"/>
    <w:uiPriority w:val="99"/>
    <w:semiHidden/>
    <w:rsid w:val="00C84410"/>
    <w:rPr>
      <w:sz w:val="20"/>
      <w:szCs w:val="20"/>
    </w:rPr>
  </w:style>
  <w:style w:type="paragraph" w:styleId="CommentSubject">
    <w:name w:val="annotation subject"/>
    <w:basedOn w:val="CommentText"/>
    <w:next w:val="CommentText"/>
    <w:link w:val="CommentSubjectChar"/>
    <w:uiPriority w:val="99"/>
    <w:semiHidden/>
    <w:unhideWhenUsed/>
    <w:rsid w:val="00C84410"/>
    <w:rPr>
      <w:b/>
      <w:bCs/>
    </w:rPr>
  </w:style>
  <w:style w:type="character" w:customStyle="1" w:styleId="CommentSubjectChar">
    <w:name w:val="Comment Subject Char"/>
    <w:basedOn w:val="CommentTextChar"/>
    <w:link w:val="CommentSubject"/>
    <w:uiPriority w:val="99"/>
    <w:semiHidden/>
    <w:rsid w:val="00C84410"/>
    <w:rPr>
      <w:b/>
      <w:bCs/>
      <w:sz w:val="20"/>
      <w:szCs w:val="20"/>
    </w:rPr>
  </w:style>
  <w:style w:type="paragraph" w:styleId="BalloonText">
    <w:name w:val="Balloon Text"/>
    <w:basedOn w:val="Normal"/>
    <w:link w:val="BalloonTextChar"/>
    <w:uiPriority w:val="99"/>
    <w:semiHidden/>
    <w:unhideWhenUsed/>
    <w:rsid w:val="00C84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10"/>
    <w:rPr>
      <w:rFonts w:ascii="Segoe UI" w:hAnsi="Segoe UI" w:cs="Segoe UI"/>
      <w:sz w:val="18"/>
      <w:szCs w:val="18"/>
    </w:rPr>
  </w:style>
  <w:style w:type="character" w:customStyle="1" w:styleId="Heading1Char">
    <w:name w:val="Heading 1 Char"/>
    <w:basedOn w:val="DefaultParagraphFont"/>
    <w:link w:val="Heading1"/>
    <w:uiPriority w:val="9"/>
    <w:rsid w:val="00210C6A"/>
    <w:rPr>
      <w:rFonts w:eastAsiaTheme="majorEastAsia" w:cs="Arial"/>
      <w:b/>
      <w:caps/>
      <w:szCs w:val="32"/>
      <w:u w:val="single"/>
    </w:rPr>
  </w:style>
  <w:style w:type="character" w:customStyle="1" w:styleId="Heading2Char">
    <w:name w:val="Heading 2 Char"/>
    <w:basedOn w:val="DefaultParagraphFont"/>
    <w:link w:val="Heading2"/>
    <w:uiPriority w:val="9"/>
    <w:rsid w:val="00210C6A"/>
    <w:rPr>
      <w:rFonts w:eastAsiaTheme="majorEastAsia" w:cs="Arial"/>
      <w:b/>
      <w:szCs w:val="26"/>
    </w:rPr>
  </w:style>
  <w:style w:type="character" w:customStyle="1" w:styleId="Heading3Char">
    <w:name w:val="Heading 3 Char"/>
    <w:basedOn w:val="DefaultParagraphFont"/>
    <w:link w:val="Heading3"/>
    <w:uiPriority w:val="9"/>
    <w:semiHidden/>
    <w:rsid w:val="00210C6A"/>
    <w:rPr>
      <w:rFonts w:eastAsiaTheme="majorEastAsia" w:cs="Arial"/>
      <w:b/>
    </w:rPr>
  </w:style>
  <w:style w:type="character" w:customStyle="1" w:styleId="Heading4Char">
    <w:name w:val="Heading 4 Char"/>
    <w:basedOn w:val="DefaultParagraphFont"/>
    <w:link w:val="Heading4"/>
    <w:uiPriority w:val="9"/>
    <w:semiHidden/>
    <w:rsid w:val="00210C6A"/>
    <w:rPr>
      <w:rFonts w:eastAsiaTheme="majorEastAsia" w:cs="Arial"/>
      <w:b/>
      <w:i/>
      <w:iCs/>
    </w:rPr>
  </w:style>
  <w:style w:type="character" w:customStyle="1" w:styleId="Heading5Char">
    <w:name w:val="Heading 5 Char"/>
    <w:basedOn w:val="DefaultParagraphFont"/>
    <w:link w:val="Heading5"/>
    <w:uiPriority w:val="9"/>
    <w:semiHidden/>
    <w:rsid w:val="00210C6A"/>
    <w:rPr>
      <w:rFonts w:eastAsiaTheme="majorEastAsia" w:cs="Arial"/>
      <w:color w:val="243F60"/>
    </w:rPr>
  </w:style>
  <w:style w:type="character" w:customStyle="1" w:styleId="Heading6Char">
    <w:name w:val="Heading 6 Char"/>
    <w:basedOn w:val="DefaultParagraphFont"/>
    <w:link w:val="Heading6"/>
    <w:uiPriority w:val="9"/>
    <w:semiHidden/>
    <w:rsid w:val="00210C6A"/>
    <w:rPr>
      <w:rFonts w:eastAsiaTheme="majorEastAsia" w:cs="Arial"/>
      <w:color w:val="243F60"/>
    </w:rPr>
  </w:style>
  <w:style w:type="character" w:customStyle="1" w:styleId="Heading7Char">
    <w:name w:val="Heading 7 Char"/>
    <w:basedOn w:val="DefaultParagraphFont"/>
    <w:link w:val="Heading7"/>
    <w:uiPriority w:val="9"/>
    <w:semiHidden/>
    <w:rsid w:val="00210C6A"/>
    <w:rPr>
      <w:rFonts w:eastAsiaTheme="majorEastAsia" w:cs="Arial"/>
      <w:iCs/>
      <w:color w:val="404040"/>
    </w:rPr>
  </w:style>
  <w:style w:type="character" w:customStyle="1" w:styleId="Heading8Char">
    <w:name w:val="Heading 8 Char"/>
    <w:basedOn w:val="DefaultParagraphFont"/>
    <w:link w:val="Heading8"/>
    <w:uiPriority w:val="9"/>
    <w:semiHidden/>
    <w:rsid w:val="00210C6A"/>
    <w:rPr>
      <w:rFonts w:eastAsiaTheme="majorEastAsia" w:cs="Arial"/>
      <w:color w:val="404040"/>
      <w:szCs w:val="21"/>
    </w:rPr>
  </w:style>
  <w:style w:type="character" w:customStyle="1" w:styleId="Heading9Char">
    <w:name w:val="Heading 9 Char"/>
    <w:basedOn w:val="DefaultParagraphFont"/>
    <w:link w:val="Heading9"/>
    <w:uiPriority w:val="9"/>
    <w:semiHidden/>
    <w:rsid w:val="00210C6A"/>
    <w:rPr>
      <w:rFonts w:eastAsiaTheme="majorEastAsia" w:cs="Arial"/>
      <w:iCs/>
      <w:color w:val="404040"/>
      <w:szCs w:val="21"/>
    </w:rPr>
  </w:style>
  <w:style w:type="paragraph" w:styleId="BodyText">
    <w:name w:val="Body Text"/>
    <w:basedOn w:val="Normal"/>
    <w:link w:val="BodyTextChar"/>
    <w:uiPriority w:val="99"/>
    <w:semiHidden/>
    <w:unhideWhenUsed/>
    <w:rsid w:val="00210C6A"/>
    <w:pPr>
      <w:spacing w:after="120"/>
    </w:pPr>
  </w:style>
  <w:style w:type="character" w:customStyle="1" w:styleId="BodyTextChar">
    <w:name w:val="Body Text Char"/>
    <w:basedOn w:val="DefaultParagraphFont"/>
    <w:link w:val="BodyText"/>
    <w:uiPriority w:val="99"/>
    <w:semiHidden/>
    <w:rsid w:val="00210C6A"/>
  </w:style>
  <w:style w:type="paragraph" w:styleId="BodyTextIndent2">
    <w:name w:val="Body Text Indent 2"/>
    <w:basedOn w:val="Normal"/>
    <w:link w:val="BodyTextIndent2Char"/>
    <w:uiPriority w:val="99"/>
    <w:semiHidden/>
    <w:unhideWhenUsed/>
    <w:rsid w:val="003479A3"/>
    <w:pPr>
      <w:spacing w:after="120" w:line="480" w:lineRule="auto"/>
      <w:ind w:left="360"/>
    </w:pPr>
  </w:style>
  <w:style w:type="character" w:customStyle="1" w:styleId="BodyTextIndent2Char">
    <w:name w:val="Body Text Indent 2 Char"/>
    <w:basedOn w:val="DefaultParagraphFont"/>
    <w:link w:val="BodyTextIndent2"/>
    <w:uiPriority w:val="99"/>
    <w:semiHidden/>
    <w:rsid w:val="003479A3"/>
  </w:style>
  <w:style w:type="paragraph" w:styleId="Title">
    <w:name w:val="Title"/>
    <w:basedOn w:val="Normal"/>
    <w:link w:val="TitleChar"/>
    <w:qFormat/>
    <w:rsid w:val="00F46351"/>
    <w:pPr>
      <w:jc w:val="center"/>
    </w:pPr>
    <w:rPr>
      <w:rFonts w:eastAsia="Times New Roman" w:cs="Arial"/>
      <w:b/>
      <w:smallCaps/>
      <w:sz w:val="32"/>
    </w:rPr>
  </w:style>
  <w:style w:type="character" w:customStyle="1" w:styleId="TitleChar">
    <w:name w:val="Title Char"/>
    <w:basedOn w:val="DefaultParagraphFont"/>
    <w:link w:val="Title"/>
    <w:rsid w:val="00F46351"/>
    <w:rPr>
      <w:rFonts w:eastAsia="Times New Roman" w:cs="Arial"/>
      <w:b/>
      <w:smallCaps/>
      <w:sz w:val="32"/>
    </w:rPr>
  </w:style>
  <w:style w:type="paragraph" w:styleId="ListParagraph">
    <w:name w:val="List Paragraph"/>
    <w:basedOn w:val="Normal"/>
    <w:uiPriority w:val="34"/>
    <w:qFormat/>
    <w:rsid w:val="00363B8F"/>
    <w:pPr>
      <w:ind w:left="720"/>
      <w:contextualSpacing/>
    </w:pPr>
  </w:style>
  <w:style w:type="paragraph" w:styleId="BodyText2">
    <w:name w:val="Body Text 2"/>
    <w:basedOn w:val="Normal"/>
    <w:link w:val="BodyText2Char"/>
    <w:uiPriority w:val="99"/>
    <w:semiHidden/>
    <w:unhideWhenUsed/>
    <w:rsid w:val="00341A82"/>
    <w:pPr>
      <w:spacing w:after="120" w:line="480" w:lineRule="auto"/>
    </w:pPr>
  </w:style>
  <w:style w:type="character" w:customStyle="1" w:styleId="BodyText2Char">
    <w:name w:val="Body Text 2 Char"/>
    <w:basedOn w:val="DefaultParagraphFont"/>
    <w:link w:val="BodyText2"/>
    <w:uiPriority w:val="99"/>
    <w:semiHidden/>
    <w:rsid w:val="0034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568F-3622-48C1-9314-9AAD1CCB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11</Pages>
  <Words>2227</Words>
  <Characters>12853</Characters>
  <Application>Microsoft Office Word</Application>
  <DocSecurity>0</DocSecurity>
  <PresentationFormat/>
  <Lines>286</Lines>
  <Paragraphs>102</Paragraphs>
  <ScaleCrop>false</ScaleCrop>
  <HeadingPairs>
    <vt:vector size="2" baseType="variant">
      <vt:variant>
        <vt:lpstr>Title</vt:lpstr>
      </vt:variant>
      <vt:variant>
        <vt:i4>1</vt:i4>
      </vt:variant>
    </vt:vector>
  </HeadingPairs>
  <TitlesOfParts>
    <vt:vector size="1" baseType="lpstr">
      <vt:lpstr>memo contra AEP motion to amend tariff (C49902).DOCX</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AEP motion to amend tariff (C49902).DOCX</dc:title>
  <dc:subject>C49902: /font=8</dc:subject>
  <dc:creator>Frank Darr</dc:creator>
  <cp:keywords/>
  <dc:description/>
  <cp:lastModifiedBy>Karen Bowman</cp:lastModifiedBy>
  <cp:revision>39</cp:revision>
  <cp:lastPrinted>2016-05-10T19:15:00Z</cp:lastPrinted>
  <dcterms:created xsi:type="dcterms:W3CDTF">2016-04-28T20:25:00Z</dcterms:created>
  <dcterms:modified xsi:type="dcterms:W3CDTF">2016-05-10T19:19:00Z</dcterms:modified>
</cp:coreProperties>
</file>