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8C3CFF" w:rsidRPr="008940A7" w:rsidP="008C3CFF" w14:paraId="16865F09" w14:textId="3682A2CB">
      <w:pPr>
        <w:pStyle w:val="HTMLPreformatted"/>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8940A7" w:rsidR="003818A6">
        <w:rPr>
          <w:rFonts w:ascii="Times New Roman" w:hAnsi="Times New Roman" w:cs="Times New Roman"/>
          <w:b/>
          <w:bCs/>
          <w:sz w:val="24"/>
          <w:szCs w:val="24"/>
        </w:rPr>
        <w:t>BEFORE</w:t>
      </w:r>
    </w:p>
    <w:p w:rsidR="008C3CFF" w:rsidRPr="008940A7" w:rsidP="008C3CFF" w14:paraId="3BF89358" w14:textId="77777777">
      <w:pPr>
        <w:pStyle w:val="HTMLPreformatted"/>
        <w:jc w:val="center"/>
        <w:rPr>
          <w:rFonts w:ascii="Times New Roman" w:hAnsi="Times New Roman" w:cs="Times New Roman"/>
          <w:sz w:val="24"/>
          <w:szCs w:val="24"/>
        </w:rPr>
      </w:pPr>
      <w:r w:rsidRPr="008940A7">
        <w:rPr>
          <w:rFonts w:ascii="Times New Roman" w:hAnsi="Times New Roman" w:cs="Times New Roman"/>
          <w:b/>
          <w:bCs/>
          <w:sz w:val="24"/>
          <w:szCs w:val="24"/>
        </w:rPr>
        <w:t>THE PUBLIC UTILITIES COMMISSION OF OHIO</w:t>
      </w:r>
    </w:p>
    <w:p w:rsidR="008C3CFF" w:rsidRPr="008940A7" w:rsidP="008C3CFF" w14:paraId="4A395DDA" w14:textId="77777777">
      <w:pPr>
        <w:pStyle w:val="HTMLPreformatted"/>
        <w:rPr>
          <w:rFonts w:ascii="Times New Roman" w:hAnsi="Times New Roman" w:cs="Times New Roman"/>
          <w:sz w:val="24"/>
          <w:szCs w:val="24"/>
        </w:rPr>
      </w:pPr>
    </w:p>
    <w:tbl>
      <w:tblPr>
        <w:tblW w:w="9092" w:type="dxa"/>
        <w:tblLook w:val="01E0"/>
      </w:tblPr>
      <w:tblGrid>
        <w:gridCol w:w="4590"/>
        <w:gridCol w:w="360"/>
        <w:gridCol w:w="4142"/>
      </w:tblGrid>
      <w:tr w14:paraId="581CA3C4" w14:textId="77777777" w:rsidTr="008A2527">
        <w:tblPrEx>
          <w:tblW w:w="9092" w:type="dxa"/>
          <w:tblLook w:val="01E0"/>
        </w:tblPrEx>
        <w:trPr>
          <w:trHeight w:val="807"/>
        </w:trPr>
        <w:tc>
          <w:tcPr>
            <w:tcW w:w="4590" w:type="dxa"/>
            <w:shd w:val="clear" w:color="auto" w:fill="auto"/>
          </w:tcPr>
          <w:p w:rsidR="008C3CFF" w:rsidRPr="008940A7" w:rsidP="0098761C" w14:paraId="15D24798" w14:textId="77777777">
            <w:pPr>
              <w:pStyle w:val="HTMLPreformatted"/>
              <w:rPr>
                <w:rFonts w:ascii="Times New Roman" w:hAnsi="Times New Roman" w:cs="Times New Roman"/>
                <w:sz w:val="24"/>
                <w:szCs w:val="24"/>
              </w:rPr>
            </w:pPr>
            <w:r w:rsidRPr="008940A7">
              <w:rPr>
                <w:rFonts w:ascii="Times New Roman" w:hAnsi="Times New Roman" w:cs="Times New Roman"/>
                <w:sz w:val="24"/>
                <w:szCs w:val="24"/>
              </w:rPr>
              <w:t>In the Matter of the Application of Ohio Edison Company, the Cleveland Electric Illuminating Company, and the Toledo Edison Company for Approval of Their Energy Efficiency and Peak Demand Reduction Program Portfolio Plans for 2017 through 2019.</w:t>
            </w:r>
          </w:p>
        </w:tc>
        <w:tc>
          <w:tcPr>
            <w:tcW w:w="360" w:type="dxa"/>
            <w:shd w:val="clear" w:color="auto" w:fill="auto"/>
          </w:tcPr>
          <w:p w:rsidR="008C3CFF" w:rsidRPr="008940A7" w:rsidP="0098761C" w14:paraId="3F114C10" w14:textId="77777777">
            <w:pPr>
              <w:pStyle w:val="HTMLPreformatted"/>
              <w:rPr>
                <w:rFonts w:ascii="Times New Roman" w:hAnsi="Times New Roman" w:cs="Times New Roman"/>
                <w:sz w:val="24"/>
                <w:szCs w:val="24"/>
              </w:rPr>
            </w:pPr>
            <w:r w:rsidRPr="008940A7">
              <w:rPr>
                <w:rFonts w:ascii="Times New Roman" w:hAnsi="Times New Roman" w:cs="Times New Roman"/>
                <w:sz w:val="24"/>
                <w:szCs w:val="24"/>
              </w:rPr>
              <w:t>)</w:t>
            </w:r>
          </w:p>
          <w:p w:rsidR="008C3CFF" w:rsidRPr="008940A7" w:rsidP="0098761C" w14:paraId="159FE459" w14:textId="77777777">
            <w:pPr>
              <w:pStyle w:val="HTMLPreformatted"/>
              <w:rPr>
                <w:rFonts w:ascii="Times New Roman" w:hAnsi="Times New Roman" w:cs="Times New Roman"/>
                <w:sz w:val="24"/>
                <w:szCs w:val="24"/>
              </w:rPr>
            </w:pPr>
            <w:r w:rsidRPr="008940A7">
              <w:rPr>
                <w:rFonts w:ascii="Times New Roman" w:hAnsi="Times New Roman" w:cs="Times New Roman"/>
                <w:sz w:val="24"/>
                <w:szCs w:val="24"/>
              </w:rPr>
              <w:t>)</w:t>
            </w:r>
          </w:p>
          <w:p w:rsidR="008C3CFF" w:rsidRPr="008940A7" w:rsidP="0098761C" w14:paraId="3207D857" w14:textId="77777777">
            <w:pPr>
              <w:pStyle w:val="HTMLPreformatted"/>
              <w:rPr>
                <w:rFonts w:ascii="Times New Roman" w:hAnsi="Times New Roman" w:cs="Times New Roman"/>
                <w:sz w:val="24"/>
                <w:szCs w:val="24"/>
              </w:rPr>
            </w:pPr>
            <w:r w:rsidRPr="008940A7">
              <w:rPr>
                <w:rFonts w:ascii="Times New Roman" w:hAnsi="Times New Roman" w:cs="Times New Roman"/>
                <w:sz w:val="24"/>
                <w:szCs w:val="24"/>
              </w:rPr>
              <w:t>)</w:t>
            </w:r>
          </w:p>
          <w:p w:rsidR="008C3CFF" w:rsidRPr="008940A7" w:rsidP="0098761C" w14:paraId="7203494F" w14:textId="77777777">
            <w:pPr>
              <w:pStyle w:val="HTMLPreformatted"/>
              <w:rPr>
                <w:rFonts w:ascii="Times New Roman" w:hAnsi="Times New Roman" w:cs="Times New Roman"/>
                <w:sz w:val="24"/>
                <w:szCs w:val="24"/>
              </w:rPr>
            </w:pPr>
            <w:r w:rsidRPr="008940A7">
              <w:rPr>
                <w:rFonts w:ascii="Times New Roman" w:hAnsi="Times New Roman" w:cs="Times New Roman"/>
                <w:sz w:val="24"/>
                <w:szCs w:val="24"/>
              </w:rPr>
              <w:t>)</w:t>
            </w:r>
          </w:p>
          <w:p w:rsidR="008C3CFF" w:rsidRPr="008940A7" w:rsidP="0098761C" w14:paraId="03205563" w14:textId="77777777">
            <w:pPr>
              <w:pStyle w:val="HTMLPreformatted"/>
              <w:rPr>
                <w:rFonts w:ascii="Times New Roman" w:hAnsi="Times New Roman" w:cs="Times New Roman"/>
                <w:sz w:val="24"/>
                <w:szCs w:val="24"/>
              </w:rPr>
            </w:pPr>
            <w:r w:rsidRPr="008940A7">
              <w:rPr>
                <w:rFonts w:ascii="Times New Roman" w:hAnsi="Times New Roman" w:cs="Times New Roman"/>
                <w:sz w:val="24"/>
                <w:szCs w:val="24"/>
              </w:rPr>
              <w:t>)</w:t>
            </w:r>
          </w:p>
          <w:p w:rsidR="008C3CFF" w:rsidRPr="008940A7" w:rsidP="0098761C" w14:paraId="0A7869D8" w14:textId="77777777">
            <w:pPr>
              <w:pStyle w:val="HTMLPreformatted"/>
              <w:rPr>
                <w:rFonts w:ascii="Times New Roman" w:hAnsi="Times New Roman" w:cs="Times New Roman"/>
                <w:sz w:val="24"/>
                <w:szCs w:val="24"/>
              </w:rPr>
            </w:pPr>
            <w:r w:rsidRPr="008940A7">
              <w:rPr>
                <w:rFonts w:ascii="Times New Roman" w:hAnsi="Times New Roman" w:cs="Times New Roman"/>
                <w:sz w:val="24"/>
                <w:szCs w:val="24"/>
              </w:rPr>
              <w:t>)</w:t>
            </w:r>
          </w:p>
          <w:p w:rsidR="008C3CFF" w:rsidRPr="008940A7" w:rsidP="0098761C" w14:paraId="488143C2" w14:textId="77777777">
            <w:pPr>
              <w:pStyle w:val="HTMLPreformatted"/>
              <w:rPr>
                <w:rFonts w:ascii="Times New Roman" w:hAnsi="Times New Roman" w:cs="Times New Roman"/>
                <w:sz w:val="24"/>
                <w:szCs w:val="24"/>
              </w:rPr>
            </w:pPr>
            <w:r w:rsidRPr="008940A7">
              <w:rPr>
                <w:rFonts w:ascii="Times New Roman" w:hAnsi="Times New Roman" w:cs="Times New Roman"/>
                <w:sz w:val="24"/>
                <w:szCs w:val="24"/>
              </w:rPr>
              <w:t>)</w:t>
            </w:r>
          </w:p>
        </w:tc>
        <w:tc>
          <w:tcPr>
            <w:tcW w:w="4142" w:type="dxa"/>
            <w:shd w:val="clear" w:color="auto" w:fill="auto"/>
          </w:tcPr>
          <w:p w:rsidR="008C3CFF" w:rsidRPr="008940A7" w:rsidP="0098761C" w14:paraId="22115478" w14:textId="77777777">
            <w:pPr>
              <w:pStyle w:val="HTMLPreformatted"/>
              <w:rPr>
                <w:rFonts w:ascii="Times New Roman" w:hAnsi="Times New Roman" w:cs="Times New Roman"/>
                <w:sz w:val="24"/>
                <w:szCs w:val="24"/>
              </w:rPr>
            </w:pPr>
          </w:p>
          <w:p w:rsidR="008C3CFF" w:rsidRPr="008940A7" w:rsidP="0098761C" w14:paraId="0DE23279" w14:textId="77777777">
            <w:pPr>
              <w:pStyle w:val="HTMLPreformatted"/>
              <w:rPr>
                <w:rFonts w:ascii="Times New Roman" w:hAnsi="Times New Roman" w:cs="Times New Roman"/>
                <w:sz w:val="24"/>
                <w:szCs w:val="24"/>
              </w:rPr>
            </w:pPr>
          </w:p>
          <w:p w:rsidR="008C3CFF" w:rsidRPr="008940A7" w:rsidP="0098761C" w14:paraId="39B70C3F" w14:textId="77777777">
            <w:pPr>
              <w:pStyle w:val="HTMLPreformatted"/>
              <w:rPr>
                <w:rFonts w:ascii="Times New Roman" w:hAnsi="Times New Roman" w:cs="Times New Roman"/>
                <w:sz w:val="24"/>
                <w:szCs w:val="24"/>
              </w:rPr>
            </w:pPr>
          </w:p>
          <w:p w:rsidR="008C3CFF" w:rsidRPr="008940A7" w:rsidP="0098761C" w14:paraId="3E5DA0E2" w14:textId="77777777">
            <w:pPr>
              <w:pStyle w:val="HTMLPreformatted"/>
              <w:rPr>
                <w:rFonts w:ascii="Times New Roman" w:hAnsi="Times New Roman" w:cs="Times New Roman"/>
                <w:sz w:val="24"/>
                <w:szCs w:val="24"/>
              </w:rPr>
            </w:pPr>
            <w:r w:rsidRPr="008940A7">
              <w:rPr>
                <w:rFonts w:ascii="Times New Roman" w:hAnsi="Times New Roman" w:cs="Times New Roman"/>
                <w:sz w:val="24"/>
                <w:szCs w:val="24"/>
              </w:rPr>
              <w:t>Case No. 16-743-EL-POR</w:t>
            </w:r>
          </w:p>
          <w:p w:rsidR="008C3CFF" w:rsidRPr="008940A7" w:rsidP="0098761C" w14:paraId="28F1C955" w14:textId="77777777">
            <w:pPr>
              <w:pStyle w:val="HTMLPreformatted"/>
              <w:rPr>
                <w:rFonts w:ascii="Times New Roman" w:hAnsi="Times New Roman" w:cs="Times New Roman"/>
                <w:sz w:val="24"/>
                <w:szCs w:val="24"/>
              </w:rPr>
            </w:pPr>
          </w:p>
          <w:p w:rsidR="008C3CFF" w:rsidRPr="008940A7" w:rsidP="0098761C" w14:paraId="5EC58371" w14:textId="77777777">
            <w:pPr>
              <w:pStyle w:val="HTMLPreformatted"/>
              <w:rPr>
                <w:rFonts w:ascii="Times New Roman" w:hAnsi="Times New Roman" w:cs="Times New Roman"/>
                <w:sz w:val="24"/>
                <w:szCs w:val="24"/>
              </w:rPr>
            </w:pPr>
          </w:p>
          <w:p w:rsidR="008C3CFF" w:rsidRPr="008940A7" w:rsidP="0098761C" w14:paraId="5A505D6A" w14:textId="77777777">
            <w:pPr>
              <w:pStyle w:val="HTMLPreformatted"/>
              <w:rPr>
                <w:rFonts w:ascii="Times New Roman" w:hAnsi="Times New Roman" w:cs="Times New Roman"/>
                <w:sz w:val="24"/>
                <w:szCs w:val="24"/>
              </w:rPr>
            </w:pPr>
          </w:p>
        </w:tc>
      </w:tr>
    </w:tbl>
    <w:p w:rsidR="000C76D2" w:rsidRPr="008940A7" w:rsidP="000C76D2" w14:paraId="395F1080" w14:textId="591A1CA5">
      <w:pPr>
        <w:pStyle w:val="HTMLPreformatted"/>
        <w:rPr>
          <w:rFonts w:ascii="Times New Roman" w:hAnsi="Times New Roman" w:cs="Times New Roman"/>
          <w:sz w:val="24"/>
          <w:szCs w:val="24"/>
        </w:rPr>
      </w:pPr>
    </w:p>
    <w:p w:rsidR="000C76D2" w:rsidRPr="008940A7" w:rsidP="000C76D2" w14:paraId="0F08D053" w14:textId="77777777">
      <w:pPr>
        <w:pStyle w:val="HTMLPreformatted"/>
        <w:pBdr>
          <w:top w:val="single" w:sz="12" w:space="1" w:color="auto"/>
        </w:pBdr>
        <w:rPr>
          <w:rFonts w:ascii="Times New Roman" w:hAnsi="Times New Roman" w:cs="Times New Roman"/>
          <w:sz w:val="24"/>
          <w:szCs w:val="24"/>
        </w:rPr>
      </w:pPr>
    </w:p>
    <w:p w:rsidR="000C76D2" w:rsidRPr="008940A7" w:rsidP="000C76D2" w14:paraId="26D02A8F" w14:textId="52BBB9A3">
      <w:pPr>
        <w:jc w:val="center"/>
        <w:rPr>
          <w:rFonts w:cs="Times New Roman"/>
          <w:b/>
          <w:szCs w:val="24"/>
        </w:rPr>
      </w:pPr>
      <w:r w:rsidRPr="008940A7">
        <w:rPr>
          <w:rFonts w:cs="Times New Roman"/>
          <w:b/>
          <w:szCs w:val="24"/>
        </w:rPr>
        <w:t xml:space="preserve">REPLY </w:t>
      </w:r>
      <w:r w:rsidRPr="008940A7" w:rsidR="004967B3">
        <w:rPr>
          <w:rFonts w:cs="Times New Roman"/>
          <w:b/>
          <w:szCs w:val="24"/>
        </w:rPr>
        <w:t>COMMENTS</w:t>
      </w:r>
    </w:p>
    <w:p w:rsidR="004967B3" w:rsidRPr="008940A7" w:rsidP="000C76D2" w14:paraId="09E768C6" w14:textId="5B8D5A26">
      <w:pPr>
        <w:jc w:val="center"/>
        <w:rPr>
          <w:rFonts w:cs="Times New Roman"/>
          <w:b/>
          <w:szCs w:val="24"/>
        </w:rPr>
      </w:pPr>
      <w:r w:rsidRPr="008940A7">
        <w:rPr>
          <w:rFonts w:cs="Times New Roman"/>
          <w:b/>
          <w:szCs w:val="24"/>
        </w:rPr>
        <w:t>BY</w:t>
      </w:r>
    </w:p>
    <w:p w:rsidR="004967B3" w:rsidRPr="008940A7" w:rsidP="000C76D2" w14:paraId="7D39A5E2" w14:textId="70929DF3">
      <w:pPr>
        <w:jc w:val="center"/>
        <w:rPr>
          <w:rFonts w:cs="Times New Roman"/>
          <w:b/>
          <w:bCs/>
          <w:szCs w:val="24"/>
        </w:rPr>
      </w:pPr>
      <w:r w:rsidRPr="008940A7">
        <w:rPr>
          <w:rFonts w:cs="Times New Roman"/>
          <w:b/>
          <w:szCs w:val="24"/>
        </w:rPr>
        <w:t>OFFICE OF THE OHIO CONSUMERS’ COUNSEL</w:t>
      </w:r>
    </w:p>
    <w:p w:rsidR="000C76D2" w:rsidRPr="008940A7" w:rsidP="000C76D2" w14:paraId="1AFD8838" w14:textId="77777777">
      <w:pPr>
        <w:pBdr>
          <w:bottom w:val="single" w:sz="12" w:space="1" w:color="auto"/>
        </w:pBdr>
        <w:tabs>
          <w:tab w:val="left" w:pos="4320"/>
        </w:tabs>
        <w:rPr>
          <w:rFonts w:cs="Times New Roman"/>
          <w:szCs w:val="24"/>
        </w:rPr>
      </w:pPr>
    </w:p>
    <w:p w:rsidR="00270F85" w:rsidRPr="008940A7" w:rsidP="0062197E" w14:paraId="32DC6910" w14:textId="6743FACC">
      <w:pPr>
        <w:pStyle w:val="ListParagraph"/>
        <w:keepNext/>
        <w:keepLines/>
        <w:numPr>
          <w:ilvl w:val="0"/>
          <w:numId w:val="1"/>
        </w:numPr>
        <w:spacing w:before="240" w:after="240"/>
        <w:ind w:left="720"/>
        <w:contextualSpacing w:val="0"/>
        <w:rPr>
          <w:rFonts w:cs="Times New Roman"/>
          <w:b/>
          <w:bCs/>
          <w:szCs w:val="24"/>
        </w:rPr>
      </w:pPr>
      <w:r w:rsidRPr="008940A7">
        <w:rPr>
          <w:rFonts w:cs="Times New Roman"/>
          <w:b/>
          <w:bCs/>
          <w:szCs w:val="24"/>
        </w:rPr>
        <w:t>INTRODUCTION</w:t>
      </w:r>
    </w:p>
    <w:p w:rsidR="00FE2935" w:rsidP="00270F85" w14:paraId="512B9933" w14:textId="21C3E528">
      <w:pPr>
        <w:spacing w:line="480" w:lineRule="auto"/>
        <w:ind w:firstLine="720"/>
        <w:rPr>
          <w:rFonts w:cs="Times New Roman"/>
          <w:szCs w:val="24"/>
        </w:rPr>
      </w:pPr>
      <w:r>
        <w:rPr>
          <w:rFonts w:cs="Times New Roman"/>
          <w:szCs w:val="24"/>
        </w:rPr>
        <w:t xml:space="preserve">Parties supporting continuation of FirstEnergy’s Economic Load Response </w:t>
      </w:r>
      <w:r w:rsidR="00E86CAB">
        <w:rPr>
          <w:rFonts w:cs="Times New Roman"/>
          <w:szCs w:val="24"/>
        </w:rPr>
        <w:t>p</w:t>
      </w:r>
      <w:r>
        <w:rPr>
          <w:rFonts w:cs="Times New Roman"/>
          <w:szCs w:val="24"/>
        </w:rPr>
        <w:t xml:space="preserve">rogram (“Program”) include those who like being subsidized at the expense of residential consumers. But </w:t>
      </w:r>
      <w:r w:rsidR="00A60934">
        <w:rPr>
          <w:rFonts w:cs="Times New Roman"/>
          <w:szCs w:val="24"/>
        </w:rPr>
        <w:t>charges to residential consumers for the</w:t>
      </w:r>
      <w:r>
        <w:rPr>
          <w:rFonts w:cs="Times New Roman"/>
          <w:szCs w:val="24"/>
        </w:rPr>
        <w:t xml:space="preserve"> Program should end for at least two good reasons. One reason is that in tainted House Bill 6 the legislature repealed the mandated energy efficiency programs that gave rise to this Program</w:t>
      </w:r>
      <w:r w:rsidR="007817A1">
        <w:rPr>
          <w:rFonts w:cs="Times New Roman"/>
          <w:szCs w:val="24"/>
        </w:rPr>
        <w:t xml:space="preserve"> </w:t>
      </w:r>
      <w:r w:rsidR="00D0174E">
        <w:rPr>
          <w:rFonts w:cs="Times New Roman"/>
          <w:szCs w:val="24"/>
        </w:rPr>
        <w:t>in its current form</w:t>
      </w:r>
      <w:r>
        <w:rPr>
          <w:rFonts w:cs="Times New Roman"/>
          <w:szCs w:val="24"/>
        </w:rPr>
        <w:t xml:space="preserve">. </w:t>
      </w:r>
    </w:p>
    <w:p w:rsidR="00D26C97" w:rsidP="00270F85" w14:paraId="76174B88" w14:textId="4B6ABF7E">
      <w:pPr>
        <w:spacing w:line="480" w:lineRule="auto"/>
        <w:ind w:firstLine="720"/>
        <w:rPr>
          <w:rFonts w:cs="Times New Roman"/>
          <w:szCs w:val="24"/>
        </w:rPr>
      </w:pPr>
      <w:r>
        <w:rPr>
          <w:rFonts w:cs="Times New Roman"/>
          <w:szCs w:val="24"/>
        </w:rPr>
        <w:t>The second reason is that residential consumers should not be made to subsidize the Program for the benefit of corporate customers. If the PUCO continues</w:t>
      </w:r>
      <w:r w:rsidR="00344693">
        <w:rPr>
          <w:rFonts w:cs="Times New Roman"/>
          <w:szCs w:val="24"/>
        </w:rPr>
        <w:t xml:space="preserve"> charges for</w:t>
      </w:r>
      <w:r>
        <w:rPr>
          <w:rFonts w:cs="Times New Roman"/>
          <w:szCs w:val="24"/>
        </w:rPr>
        <w:t xml:space="preserve"> this program against law and reason, then the PUCO should limit charges for the subsidy to the business customer classes that contain the recipients of the subsidy. </w:t>
      </w:r>
      <w:r w:rsidR="00763AE7">
        <w:rPr>
          <w:rFonts w:cs="Times New Roman"/>
          <w:szCs w:val="24"/>
        </w:rPr>
        <w:t>(Note that FirstEnergy should be welcome to continue the program on its own dime.)</w:t>
      </w:r>
    </w:p>
    <w:p w:rsidR="008A2527" w:rsidP="00270F85" w14:paraId="74B42F6E" w14:textId="77777777">
      <w:pPr>
        <w:spacing w:line="480" w:lineRule="auto"/>
        <w:ind w:firstLine="720"/>
        <w:rPr>
          <w:rFonts w:cs="Times New Roman"/>
          <w:szCs w:val="24"/>
        </w:rPr>
        <w:sectPr w:rsidSect="00CD7CD0">
          <w:footerReference w:type="default" r:id="rId6"/>
          <w:pgSz w:w="12240" w:h="15840"/>
          <w:pgMar w:top="1440" w:right="1440" w:bottom="1440" w:left="1440" w:header="720" w:footer="720" w:gutter="0"/>
          <w:pgNumType w:start="2"/>
          <w:cols w:space="720"/>
          <w:docGrid w:linePitch="360"/>
        </w:sectPr>
      </w:pPr>
      <w:r>
        <w:rPr>
          <w:rFonts w:cs="Times New Roman"/>
          <w:szCs w:val="24"/>
        </w:rPr>
        <w:t>After all, tainted House Bill 6</w:t>
      </w:r>
      <w:r w:rsidR="00E86CAB">
        <w:rPr>
          <w:rFonts w:cs="Times New Roman"/>
          <w:szCs w:val="24"/>
        </w:rPr>
        <w:t>—</w:t>
      </w:r>
      <w:r w:rsidR="007817A1">
        <w:rPr>
          <w:rFonts w:cs="Times New Roman"/>
          <w:szCs w:val="24"/>
        </w:rPr>
        <w:t>which</w:t>
      </w:r>
      <w:r>
        <w:rPr>
          <w:rFonts w:cs="Times New Roman"/>
          <w:szCs w:val="24"/>
        </w:rPr>
        <w:t xml:space="preserve"> FirstEnergy so ardently sought</w:t>
      </w:r>
      <w:r w:rsidR="00E86CAB">
        <w:rPr>
          <w:rFonts w:cs="Times New Roman"/>
          <w:szCs w:val="24"/>
        </w:rPr>
        <w:t>—</w:t>
      </w:r>
      <w:r>
        <w:rPr>
          <w:rFonts w:cs="Times New Roman"/>
          <w:szCs w:val="24"/>
        </w:rPr>
        <w:t>was sold</w:t>
      </w:r>
      <w:r w:rsidR="00AA687E">
        <w:rPr>
          <w:rFonts w:cs="Times New Roman"/>
          <w:szCs w:val="24"/>
        </w:rPr>
        <w:t xml:space="preserve"> to the public</w:t>
      </w:r>
      <w:r>
        <w:rPr>
          <w:rFonts w:cs="Times New Roman"/>
          <w:szCs w:val="24"/>
        </w:rPr>
        <w:t xml:space="preserve"> in part on saving consumers money that they were spending for energy efficiency.</w:t>
      </w:r>
      <w:r w:rsidR="00B74472">
        <w:rPr>
          <w:rFonts w:cs="Times New Roman"/>
          <w:szCs w:val="24"/>
        </w:rPr>
        <w:t xml:space="preserve"> Does FirstEnergy not remember that H.B.</w:t>
      </w:r>
      <w:r w:rsidR="00E86CAB">
        <w:rPr>
          <w:rFonts w:cs="Times New Roman"/>
          <w:szCs w:val="24"/>
        </w:rPr>
        <w:t xml:space="preserve"> </w:t>
      </w:r>
      <w:r w:rsidR="00B74472">
        <w:rPr>
          <w:rFonts w:cs="Times New Roman"/>
          <w:szCs w:val="24"/>
        </w:rPr>
        <w:t>6 claim?</w:t>
      </w:r>
      <w:r>
        <w:rPr>
          <w:rFonts w:cs="Times New Roman"/>
          <w:szCs w:val="24"/>
        </w:rPr>
        <w:t xml:space="preserve"> </w:t>
      </w:r>
    </w:p>
    <w:p w:rsidR="00A57FE6" w:rsidRPr="008940A7" w:rsidP="00270F85" w14:paraId="653C855C" w14:textId="48D6056A">
      <w:pPr>
        <w:spacing w:line="480" w:lineRule="auto"/>
        <w:ind w:firstLine="720"/>
        <w:rPr>
          <w:rFonts w:cs="Times New Roman"/>
          <w:szCs w:val="24"/>
        </w:rPr>
      </w:pPr>
      <w:r>
        <w:rPr>
          <w:rFonts w:cs="Times New Roman"/>
          <w:szCs w:val="24"/>
        </w:rPr>
        <w:t xml:space="preserve">Further, most of the comments supporting the </w:t>
      </w:r>
      <w:r w:rsidR="00FC2AFD">
        <w:rPr>
          <w:rFonts w:cs="Times New Roman"/>
          <w:szCs w:val="24"/>
        </w:rPr>
        <w:t>P</w:t>
      </w:r>
      <w:r>
        <w:rPr>
          <w:rFonts w:cs="Times New Roman"/>
          <w:szCs w:val="24"/>
        </w:rPr>
        <w:t xml:space="preserve">rogram do not confront </w:t>
      </w:r>
      <w:r w:rsidR="00283976">
        <w:rPr>
          <w:rFonts w:cs="Times New Roman"/>
          <w:szCs w:val="24"/>
        </w:rPr>
        <w:t>the law or the subsidy issues. Rather, the focus is especially on</w:t>
      </w:r>
      <w:r w:rsidRPr="008940A7" w:rsidR="0003557C">
        <w:rPr>
          <w:rFonts w:cs="Times New Roman"/>
          <w:szCs w:val="24"/>
        </w:rPr>
        <w:t xml:space="preserve"> the history of the </w:t>
      </w:r>
      <w:r w:rsidR="00FC2AFD">
        <w:rPr>
          <w:rFonts w:cs="Times New Roman"/>
          <w:szCs w:val="24"/>
        </w:rPr>
        <w:t>P</w:t>
      </w:r>
      <w:r w:rsidRPr="008940A7" w:rsidR="0003557C">
        <w:rPr>
          <w:rFonts w:cs="Times New Roman"/>
          <w:szCs w:val="24"/>
        </w:rPr>
        <w:t>rogram, the type of case it was approved in, whether and to what extent the program provides economic development and reliability benefits, and other irrelevant information.</w:t>
      </w:r>
    </w:p>
    <w:p w:rsidR="00283976" w:rsidP="00283976" w14:paraId="083947D4" w14:textId="1DE4FF20">
      <w:pPr>
        <w:spacing w:line="480" w:lineRule="auto"/>
        <w:ind w:firstLine="720"/>
        <w:rPr>
          <w:rFonts w:cs="Times New Roman"/>
          <w:szCs w:val="24"/>
        </w:rPr>
      </w:pPr>
      <w:r w:rsidRPr="008940A7">
        <w:rPr>
          <w:rFonts w:cs="Times New Roman"/>
          <w:szCs w:val="24"/>
        </w:rPr>
        <w:t xml:space="preserve">The fact is, charges for the Economic Load Response </w:t>
      </w:r>
      <w:r w:rsidR="00FC2AFD">
        <w:rPr>
          <w:rFonts w:cs="Times New Roman"/>
          <w:szCs w:val="24"/>
        </w:rPr>
        <w:t>P</w:t>
      </w:r>
      <w:r w:rsidRPr="008940A7">
        <w:rPr>
          <w:rFonts w:cs="Times New Roman"/>
          <w:szCs w:val="24"/>
        </w:rPr>
        <w:t>rogram were “authorized by the commission for compliance with” peak demand reduction mandates, which is all that is required for R.C. 4928.66(G)(3) to apply. And R.C. 4928.66(G)(3) says that all such charges “</w:t>
      </w:r>
      <w:r w:rsidRPr="008940A7">
        <w:rPr>
          <w:rFonts w:cs="Times New Roman"/>
          <w:i/>
          <w:iCs/>
          <w:szCs w:val="24"/>
        </w:rPr>
        <w:t>shall</w:t>
      </w:r>
      <w:r w:rsidRPr="008940A7">
        <w:rPr>
          <w:rFonts w:cs="Times New Roman"/>
          <w:szCs w:val="24"/>
        </w:rPr>
        <w:t xml:space="preserve"> terminate” (emphasis added). That is what the law requires. The PUCO must end these charges immediately and refund to customers any amounts paid in 2021.</w:t>
      </w:r>
    </w:p>
    <w:p w:rsidR="008A2527" w:rsidP="008A2527" w14:paraId="751C3D72" w14:textId="77777777">
      <w:pPr>
        <w:ind w:firstLine="720"/>
        <w:rPr>
          <w:rFonts w:cs="Times New Roman"/>
          <w:b/>
          <w:szCs w:val="24"/>
        </w:rPr>
      </w:pPr>
    </w:p>
    <w:p w:rsidR="000261F3" w:rsidRPr="008940A7" w:rsidP="008A2527" w14:paraId="206ECB26" w14:textId="5EE4BD26">
      <w:pPr>
        <w:spacing w:line="480" w:lineRule="auto"/>
        <w:rPr>
          <w:rFonts w:cs="Times New Roman"/>
          <w:b/>
          <w:szCs w:val="24"/>
        </w:rPr>
      </w:pPr>
      <w:r w:rsidRPr="008940A7">
        <w:rPr>
          <w:rFonts w:cs="Times New Roman"/>
          <w:b/>
          <w:szCs w:val="24"/>
        </w:rPr>
        <w:t>I</w:t>
      </w:r>
      <w:r w:rsidRPr="008940A7" w:rsidR="00B83BBD">
        <w:rPr>
          <w:rFonts w:cs="Times New Roman"/>
          <w:b/>
          <w:szCs w:val="24"/>
        </w:rPr>
        <w:t>I</w:t>
      </w:r>
      <w:r w:rsidRPr="008940A7">
        <w:rPr>
          <w:rFonts w:cs="Times New Roman"/>
          <w:b/>
          <w:szCs w:val="24"/>
        </w:rPr>
        <w:t>.</w:t>
      </w:r>
      <w:r w:rsidRPr="008940A7">
        <w:rPr>
          <w:rFonts w:cs="Times New Roman"/>
          <w:b/>
          <w:szCs w:val="24"/>
        </w:rPr>
        <w:tab/>
      </w:r>
      <w:r w:rsidRPr="008940A7" w:rsidR="00E71F61">
        <w:rPr>
          <w:rFonts w:cs="Times New Roman"/>
          <w:b/>
          <w:szCs w:val="24"/>
        </w:rPr>
        <w:t>REPLY COMMENTS</w:t>
      </w:r>
    </w:p>
    <w:p w:rsidR="00E71F61" w:rsidRPr="008940A7" w:rsidP="00E71F61" w14:paraId="10876F06" w14:textId="18874624">
      <w:pPr>
        <w:keepNext/>
        <w:keepLines/>
        <w:spacing w:after="240"/>
        <w:ind w:left="1440" w:hanging="720"/>
        <w:rPr>
          <w:rFonts w:cs="Times New Roman"/>
          <w:b/>
          <w:bCs/>
          <w:szCs w:val="24"/>
        </w:rPr>
      </w:pPr>
      <w:r w:rsidRPr="008940A7">
        <w:rPr>
          <w:rFonts w:cs="Times New Roman"/>
          <w:b/>
          <w:bCs/>
          <w:szCs w:val="24"/>
        </w:rPr>
        <w:t>A.</w:t>
      </w:r>
      <w:r w:rsidRPr="008940A7">
        <w:rPr>
          <w:rFonts w:cs="Times New Roman"/>
          <w:b/>
          <w:bCs/>
          <w:szCs w:val="24"/>
        </w:rPr>
        <w:tab/>
      </w:r>
      <w:r w:rsidR="007817A1">
        <w:rPr>
          <w:rFonts w:cs="Times New Roman"/>
          <w:b/>
          <w:bCs/>
          <w:szCs w:val="24"/>
        </w:rPr>
        <w:t>The PUCO should follow the law and end charges to at least residential consumers under FirstEnergy’s energy efficiency rider for the Program.</w:t>
      </w:r>
    </w:p>
    <w:p w:rsidR="00E71F61" w:rsidRPr="008940A7" w:rsidP="008E7BC5" w14:paraId="3E51C0F8" w14:textId="04E2D022">
      <w:pPr>
        <w:spacing w:line="480" w:lineRule="auto"/>
        <w:ind w:firstLine="720"/>
        <w:rPr>
          <w:rFonts w:cs="Times New Roman"/>
          <w:szCs w:val="24"/>
        </w:rPr>
      </w:pPr>
      <w:r w:rsidRPr="008940A7">
        <w:rPr>
          <w:rFonts w:cs="Times New Roman"/>
          <w:szCs w:val="24"/>
        </w:rPr>
        <w:t>One party erroneously claims in its initial comments that OCC has asked for the Economic Load Program to “be eliminated.”</w:t>
      </w:r>
      <w:r>
        <w:rPr>
          <w:rStyle w:val="FootnoteReference"/>
          <w:rFonts w:cs="Times New Roman"/>
          <w:szCs w:val="24"/>
        </w:rPr>
        <w:footnoteReference w:id="2"/>
      </w:r>
      <w:r w:rsidRPr="008940A7">
        <w:rPr>
          <w:rFonts w:cs="Times New Roman"/>
          <w:szCs w:val="24"/>
        </w:rPr>
        <w:t xml:space="preserve"> This is not true. OCC’s position, as stated in its application for rehearing and initial comments, is that </w:t>
      </w:r>
      <w:r w:rsidRPr="008940A7">
        <w:rPr>
          <w:rFonts w:cs="Times New Roman"/>
          <w:i/>
          <w:iCs/>
          <w:szCs w:val="24"/>
        </w:rPr>
        <w:t>charges</w:t>
      </w:r>
      <w:r w:rsidRPr="008940A7">
        <w:rPr>
          <w:rFonts w:cs="Times New Roman"/>
          <w:szCs w:val="24"/>
        </w:rPr>
        <w:t xml:space="preserve"> to customers for the </w:t>
      </w:r>
      <w:r w:rsidR="00FC2AFD">
        <w:rPr>
          <w:rFonts w:cs="Times New Roman"/>
          <w:szCs w:val="24"/>
        </w:rPr>
        <w:t>P</w:t>
      </w:r>
      <w:r w:rsidRPr="008940A7">
        <w:rPr>
          <w:rFonts w:cs="Times New Roman"/>
          <w:szCs w:val="24"/>
        </w:rPr>
        <w:t xml:space="preserve">rogram under FirstEnergy’s energy efficiency rider should end. </w:t>
      </w:r>
      <w:r w:rsidR="001E0AD1">
        <w:rPr>
          <w:rFonts w:cs="Times New Roman"/>
          <w:szCs w:val="24"/>
        </w:rPr>
        <w:t xml:space="preserve">As stated, </w:t>
      </w:r>
      <w:r w:rsidRPr="008940A7">
        <w:rPr>
          <w:rFonts w:cs="Times New Roman"/>
          <w:szCs w:val="24"/>
        </w:rPr>
        <w:t xml:space="preserve">FirstEnergy is </w:t>
      </w:r>
      <w:r w:rsidR="00FC2AFD">
        <w:rPr>
          <w:rFonts w:cs="Times New Roman"/>
          <w:szCs w:val="24"/>
        </w:rPr>
        <w:t>welcome</w:t>
      </w:r>
      <w:r w:rsidRPr="008940A7">
        <w:rPr>
          <w:rFonts w:cs="Times New Roman"/>
          <w:szCs w:val="24"/>
        </w:rPr>
        <w:t xml:space="preserve"> to continue offering the </w:t>
      </w:r>
      <w:r w:rsidR="00FC2AFD">
        <w:rPr>
          <w:rFonts w:cs="Times New Roman"/>
          <w:szCs w:val="24"/>
        </w:rPr>
        <w:t>P</w:t>
      </w:r>
      <w:r w:rsidRPr="008940A7">
        <w:rPr>
          <w:rFonts w:cs="Times New Roman"/>
          <w:szCs w:val="24"/>
        </w:rPr>
        <w:t>rogram on its own dime.</w:t>
      </w:r>
      <w:r w:rsidRPr="008940A7" w:rsidR="00FD0A0B">
        <w:rPr>
          <w:rFonts w:cs="Times New Roman"/>
          <w:szCs w:val="24"/>
        </w:rPr>
        <w:t xml:space="preserve"> But the law (R.C. 4928.66(G)(3)) does not allow FirstEnergy to continue charging customers </w:t>
      </w:r>
      <w:r w:rsidR="00FE3048">
        <w:rPr>
          <w:rFonts w:cs="Times New Roman"/>
          <w:szCs w:val="24"/>
        </w:rPr>
        <w:t>to subsidize</w:t>
      </w:r>
      <w:r w:rsidRPr="008940A7" w:rsidR="00FD0A0B">
        <w:rPr>
          <w:rFonts w:cs="Times New Roman"/>
          <w:szCs w:val="24"/>
        </w:rPr>
        <w:t xml:space="preserve"> the </w:t>
      </w:r>
      <w:r w:rsidR="00FC2AFD">
        <w:rPr>
          <w:rFonts w:cs="Times New Roman"/>
          <w:szCs w:val="24"/>
        </w:rPr>
        <w:t>P</w:t>
      </w:r>
      <w:r w:rsidRPr="008940A7" w:rsidR="00FD0A0B">
        <w:rPr>
          <w:rFonts w:cs="Times New Roman"/>
          <w:szCs w:val="24"/>
        </w:rPr>
        <w:t>rogram under its energy efficiency rider.</w:t>
      </w:r>
    </w:p>
    <w:p w:rsidR="00FD0A0B" w:rsidRPr="008940A7" w:rsidP="00FD0A0B" w14:paraId="544E01F7" w14:textId="287A0DD1">
      <w:pPr>
        <w:keepNext/>
        <w:keepLines/>
        <w:spacing w:after="240"/>
        <w:ind w:left="1440" w:hanging="720"/>
        <w:rPr>
          <w:rFonts w:cs="Times New Roman"/>
          <w:b/>
          <w:bCs/>
          <w:szCs w:val="24"/>
        </w:rPr>
      </w:pPr>
      <w:r w:rsidRPr="008940A7">
        <w:rPr>
          <w:rFonts w:cs="Times New Roman"/>
          <w:b/>
          <w:bCs/>
          <w:szCs w:val="24"/>
        </w:rPr>
        <w:t>B.</w:t>
      </w:r>
      <w:r w:rsidRPr="008940A7">
        <w:rPr>
          <w:rFonts w:cs="Times New Roman"/>
          <w:b/>
          <w:bCs/>
          <w:szCs w:val="24"/>
        </w:rPr>
        <w:tab/>
        <w:t>Whether the Economic Load Program provides reliability or economic development benefits is irrelevant under R.C. 4928.66(G)(3).</w:t>
      </w:r>
    </w:p>
    <w:p w:rsidR="00FD0A0B" w:rsidRPr="008940A7" w:rsidP="008E7BC5" w14:paraId="6C76A8C6" w14:textId="0D091599">
      <w:pPr>
        <w:spacing w:line="480" w:lineRule="auto"/>
        <w:ind w:firstLine="720"/>
        <w:rPr>
          <w:rFonts w:cs="Times New Roman"/>
          <w:szCs w:val="24"/>
        </w:rPr>
      </w:pPr>
      <w:r w:rsidRPr="008940A7">
        <w:rPr>
          <w:rFonts w:cs="Times New Roman"/>
          <w:szCs w:val="24"/>
        </w:rPr>
        <w:t>P</w:t>
      </w:r>
      <w:r w:rsidRPr="008940A7">
        <w:rPr>
          <w:rFonts w:cs="Times New Roman"/>
          <w:szCs w:val="24"/>
        </w:rPr>
        <w:t xml:space="preserve">arties supporting continuation of charges for the Economic Load </w:t>
      </w:r>
      <w:r w:rsidRPr="008940A7">
        <w:rPr>
          <w:rFonts w:cs="Times New Roman"/>
          <w:szCs w:val="24"/>
        </w:rPr>
        <w:t xml:space="preserve">Response </w:t>
      </w:r>
      <w:r w:rsidR="00FC2AFD">
        <w:rPr>
          <w:rFonts w:cs="Times New Roman"/>
          <w:szCs w:val="24"/>
        </w:rPr>
        <w:t>P</w:t>
      </w:r>
      <w:r w:rsidRPr="008940A7">
        <w:rPr>
          <w:rFonts w:cs="Times New Roman"/>
          <w:szCs w:val="24"/>
        </w:rPr>
        <w:t>rogram spend much time touting the claimed benefits of the Economic Load Program, including what they believe are economic development benefits and service reliability benefits.</w:t>
      </w:r>
      <w:r>
        <w:rPr>
          <w:rStyle w:val="FootnoteReference"/>
          <w:rFonts w:cs="Times New Roman"/>
          <w:szCs w:val="24"/>
        </w:rPr>
        <w:footnoteReference w:id="3"/>
      </w:r>
      <w:r w:rsidRPr="008940A7">
        <w:rPr>
          <w:rFonts w:cs="Times New Roman"/>
          <w:szCs w:val="24"/>
        </w:rPr>
        <w:t xml:space="preserve"> OCC neither concedes nor disputes that such benefits exist. </w:t>
      </w:r>
      <w:r w:rsidR="005A562E">
        <w:rPr>
          <w:rFonts w:cs="Times New Roman"/>
          <w:szCs w:val="24"/>
        </w:rPr>
        <w:t>T</w:t>
      </w:r>
      <w:r w:rsidRPr="008940A7">
        <w:rPr>
          <w:rFonts w:cs="Times New Roman"/>
          <w:szCs w:val="24"/>
        </w:rPr>
        <w:t>hey are beside the point.</w:t>
      </w:r>
    </w:p>
    <w:p w:rsidR="00FC2AFD" w:rsidP="008E7BC5" w14:paraId="5E58A1EC" w14:textId="308E49C7">
      <w:pPr>
        <w:spacing w:line="480" w:lineRule="auto"/>
        <w:ind w:firstLine="720"/>
        <w:rPr>
          <w:rFonts w:cs="Times New Roman"/>
          <w:szCs w:val="24"/>
        </w:rPr>
      </w:pPr>
      <w:r w:rsidRPr="008940A7">
        <w:rPr>
          <w:rFonts w:cs="Times New Roman"/>
          <w:szCs w:val="24"/>
        </w:rPr>
        <w:t xml:space="preserve">R.C. 4928.66(G)(3) says that “any electric distribution cost recovery mechanisms authorized by the commission for compliance” with energy efficiency and peak demand reduction mandates “shall terminate.” It does not say that charges may continue </w:t>
      </w:r>
      <w:r w:rsidRPr="008940A7" w:rsidR="0013326E">
        <w:rPr>
          <w:rFonts w:cs="Times New Roman"/>
          <w:szCs w:val="24"/>
        </w:rPr>
        <w:t>if</w:t>
      </w:r>
      <w:r w:rsidRPr="008940A7">
        <w:rPr>
          <w:rFonts w:cs="Times New Roman"/>
          <w:szCs w:val="24"/>
        </w:rPr>
        <w:t xml:space="preserve"> the </w:t>
      </w:r>
      <w:r>
        <w:rPr>
          <w:rFonts w:cs="Times New Roman"/>
          <w:szCs w:val="24"/>
        </w:rPr>
        <w:t>P</w:t>
      </w:r>
      <w:r w:rsidRPr="008940A7">
        <w:rPr>
          <w:rFonts w:cs="Times New Roman"/>
          <w:szCs w:val="24"/>
        </w:rPr>
        <w:t>rogram provides economic development or reliability (or any other) benefits. Thus, whet</w:t>
      </w:r>
      <w:r w:rsidRPr="008940A7" w:rsidR="0013326E">
        <w:rPr>
          <w:rFonts w:cs="Times New Roman"/>
          <w:szCs w:val="24"/>
        </w:rPr>
        <w:t>her the Economic Load Program provides the benefits claimed by other parties has no bearing in this case.</w:t>
      </w:r>
      <w:r w:rsidR="00FE3048">
        <w:rPr>
          <w:rFonts w:cs="Times New Roman"/>
          <w:szCs w:val="24"/>
        </w:rPr>
        <w:t xml:space="preserve"> </w:t>
      </w:r>
    </w:p>
    <w:p w:rsidR="00FD0A0B" w:rsidRPr="008940A7" w:rsidP="008E7BC5" w14:paraId="20C1E88E" w14:textId="5DB11DCD">
      <w:pPr>
        <w:spacing w:line="480" w:lineRule="auto"/>
        <w:ind w:firstLine="720"/>
        <w:rPr>
          <w:rFonts w:cs="Times New Roman"/>
          <w:szCs w:val="24"/>
        </w:rPr>
      </w:pPr>
      <w:r>
        <w:rPr>
          <w:rFonts w:cs="Times New Roman"/>
          <w:szCs w:val="24"/>
        </w:rPr>
        <w:t>The PUCO is a creature of statute and must follow the law.</w:t>
      </w:r>
      <w:r>
        <w:rPr>
          <w:rStyle w:val="FootnoteReference"/>
          <w:rFonts w:cs="Times New Roman"/>
          <w:szCs w:val="24"/>
        </w:rPr>
        <w:footnoteReference w:id="4"/>
      </w:r>
      <w:r>
        <w:rPr>
          <w:rFonts w:cs="Times New Roman"/>
          <w:szCs w:val="24"/>
        </w:rPr>
        <w:t xml:space="preserve"> </w:t>
      </w:r>
      <w:r w:rsidR="00FE3048">
        <w:rPr>
          <w:rFonts w:cs="Times New Roman"/>
          <w:szCs w:val="24"/>
        </w:rPr>
        <w:t xml:space="preserve">Simply, the authority for the PUCO to approve such charges to consumers has been removed from the law. </w:t>
      </w:r>
    </w:p>
    <w:p w:rsidR="0013326E" w:rsidRPr="008940A7" w:rsidP="0013326E" w14:paraId="510B9AB9" w14:textId="78CD3A26">
      <w:pPr>
        <w:keepNext/>
        <w:keepLines/>
        <w:spacing w:after="240"/>
        <w:ind w:left="1440" w:hanging="720"/>
        <w:rPr>
          <w:rFonts w:cs="Times New Roman"/>
          <w:b/>
          <w:bCs/>
          <w:szCs w:val="24"/>
        </w:rPr>
      </w:pPr>
      <w:r w:rsidRPr="008940A7">
        <w:rPr>
          <w:rFonts w:cs="Times New Roman"/>
          <w:b/>
          <w:bCs/>
          <w:szCs w:val="24"/>
        </w:rPr>
        <w:t>C.</w:t>
      </w:r>
      <w:r w:rsidRPr="008940A7">
        <w:rPr>
          <w:rFonts w:cs="Times New Roman"/>
          <w:b/>
          <w:bCs/>
          <w:szCs w:val="24"/>
        </w:rPr>
        <w:tab/>
        <w:t>Whether the Economic Load Program was approved in an Electric Security Plan case as opposed to an energy efficiency portfolio case is irrelevant</w:t>
      </w:r>
      <w:r w:rsidRPr="008940A7" w:rsidR="00F54B4A">
        <w:rPr>
          <w:rFonts w:cs="Times New Roman"/>
          <w:b/>
          <w:bCs/>
          <w:szCs w:val="24"/>
        </w:rPr>
        <w:t xml:space="preserve"> under R.C. 4928.66(G)(3)</w:t>
      </w:r>
      <w:r w:rsidRPr="008940A7">
        <w:rPr>
          <w:rFonts w:cs="Times New Roman"/>
          <w:b/>
          <w:bCs/>
          <w:szCs w:val="24"/>
        </w:rPr>
        <w:t>.</w:t>
      </w:r>
    </w:p>
    <w:p w:rsidR="00E71F61" w:rsidRPr="008940A7" w:rsidP="008E7BC5" w14:paraId="617AC0A5" w14:textId="66A182C7">
      <w:pPr>
        <w:spacing w:line="480" w:lineRule="auto"/>
        <w:ind w:firstLine="720"/>
        <w:rPr>
          <w:rFonts w:cs="Times New Roman"/>
          <w:szCs w:val="24"/>
        </w:rPr>
      </w:pPr>
      <w:r w:rsidRPr="008940A7">
        <w:rPr>
          <w:rFonts w:cs="Times New Roman"/>
          <w:szCs w:val="24"/>
        </w:rPr>
        <w:t>P</w:t>
      </w:r>
      <w:r w:rsidRPr="008940A7" w:rsidR="00D159E8">
        <w:rPr>
          <w:rFonts w:cs="Times New Roman"/>
          <w:szCs w:val="24"/>
        </w:rPr>
        <w:t xml:space="preserve">arties supporting continuation of charges for the Economic Load </w:t>
      </w:r>
      <w:r w:rsidRPr="008940A7">
        <w:rPr>
          <w:rFonts w:cs="Times New Roman"/>
          <w:szCs w:val="24"/>
        </w:rPr>
        <w:t xml:space="preserve">Response </w:t>
      </w:r>
      <w:r w:rsidR="005A562E">
        <w:rPr>
          <w:rFonts w:cs="Times New Roman"/>
          <w:szCs w:val="24"/>
        </w:rPr>
        <w:t>P</w:t>
      </w:r>
      <w:r w:rsidRPr="008940A7" w:rsidR="00D159E8">
        <w:rPr>
          <w:rFonts w:cs="Times New Roman"/>
          <w:szCs w:val="24"/>
        </w:rPr>
        <w:t xml:space="preserve">rogram argue that because the </w:t>
      </w:r>
      <w:r w:rsidR="005A562E">
        <w:rPr>
          <w:rFonts w:cs="Times New Roman"/>
          <w:szCs w:val="24"/>
        </w:rPr>
        <w:t>P</w:t>
      </w:r>
      <w:r w:rsidRPr="008940A7" w:rsidR="00D159E8">
        <w:rPr>
          <w:rFonts w:cs="Times New Roman"/>
          <w:szCs w:val="24"/>
        </w:rPr>
        <w:t>rogram was approved in FirstEnergy’s Electric Security Plan case and not its energy efficiency portfolio case, the charges can continue.</w:t>
      </w:r>
      <w:r>
        <w:rPr>
          <w:rStyle w:val="FootnoteReference"/>
          <w:rFonts w:cs="Times New Roman"/>
          <w:szCs w:val="24"/>
        </w:rPr>
        <w:footnoteReference w:id="5"/>
      </w:r>
      <w:r w:rsidRPr="008940A7" w:rsidR="00D159E8">
        <w:rPr>
          <w:rFonts w:cs="Times New Roman"/>
          <w:szCs w:val="24"/>
        </w:rPr>
        <w:t xml:space="preserve"> This argument fails because R.C. 4928.66(G)(3) makes no such distinction.</w:t>
      </w:r>
    </w:p>
    <w:p w:rsidR="00FC2AFD" w:rsidP="008E7BC5" w14:paraId="149DE566" w14:textId="38CE6583">
      <w:pPr>
        <w:spacing w:line="480" w:lineRule="auto"/>
        <w:ind w:firstLine="720"/>
        <w:rPr>
          <w:rFonts w:cs="Times New Roman"/>
          <w:szCs w:val="24"/>
        </w:rPr>
      </w:pPr>
      <w:r w:rsidRPr="008940A7">
        <w:rPr>
          <w:rFonts w:cs="Times New Roman"/>
          <w:szCs w:val="24"/>
        </w:rPr>
        <w:t xml:space="preserve">Again, R.C. 4928.66(G)(3) says that “any electric distribution cost recovery mechanisms authorized by the commission for compliance” with energy efficiency and peak demand reduction mandates “shall terminate.” The law makes no reference to the type of case </w:t>
      </w:r>
      <w:r>
        <w:rPr>
          <w:rFonts w:cs="Times New Roman"/>
          <w:szCs w:val="24"/>
        </w:rPr>
        <w:t>in which</w:t>
      </w:r>
      <w:r w:rsidRPr="008940A7">
        <w:rPr>
          <w:rFonts w:cs="Times New Roman"/>
          <w:szCs w:val="24"/>
        </w:rPr>
        <w:t xml:space="preserve"> </w:t>
      </w:r>
      <w:r w:rsidRPr="008940A7">
        <w:rPr>
          <w:rFonts w:cs="Times New Roman"/>
          <w:szCs w:val="24"/>
        </w:rPr>
        <w:t>a charge is approved</w:t>
      </w:r>
      <w:r w:rsidR="0071115A">
        <w:rPr>
          <w:rFonts w:cs="Times New Roman"/>
          <w:szCs w:val="24"/>
        </w:rPr>
        <w:t>.</w:t>
      </w:r>
      <w:r w:rsidRPr="008940A7">
        <w:rPr>
          <w:rFonts w:cs="Times New Roman"/>
          <w:szCs w:val="24"/>
        </w:rPr>
        <w:t xml:space="preserve"> </w:t>
      </w:r>
      <w:r>
        <w:rPr>
          <w:rFonts w:cs="Times New Roman"/>
          <w:szCs w:val="24"/>
        </w:rPr>
        <w:t>The law</w:t>
      </w:r>
      <w:r w:rsidRPr="008940A7">
        <w:rPr>
          <w:rFonts w:cs="Times New Roman"/>
          <w:szCs w:val="24"/>
        </w:rPr>
        <w:t xml:space="preserve"> simply says that all such charges shall end. </w:t>
      </w:r>
    </w:p>
    <w:p w:rsidR="00D159E8" w:rsidRPr="008940A7" w:rsidP="008E7BC5" w14:paraId="7791B839" w14:textId="498805E0">
      <w:pPr>
        <w:spacing w:line="480" w:lineRule="auto"/>
        <w:ind w:firstLine="720"/>
        <w:rPr>
          <w:rFonts w:cs="Times New Roman"/>
          <w:szCs w:val="24"/>
        </w:rPr>
      </w:pPr>
      <w:r w:rsidRPr="008940A7">
        <w:rPr>
          <w:rFonts w:cs="Times New Roman"/>
          <w:szCs w:val="24"/>
        </w:rPr>
        <w:t xml:space="preserve">The parties’ focus on the type of case elevates form above substance. As OCC explained in its initial comments, R.C. 4928.66(G)(3) applies to the Economic Load Response </w:t>
      </w:r>
      <w:r w:rsidR="005A562E">
        <w:rPr>
          <w:rFonts w:cs="Times New Roman"/>
          <w:szCs w:val="24"/>
        </w:rPr>
        <w:t>P</w:t>
      </w:r>
      <w:r w:rsidRPr="008940A7">
        <w:rPr>
          <w:rFonts w:cs="Times New Roman"/>
          <w:szCs w:val="24"/>
        </w:rPr>
        <w:t xml:space="preserve">rogram because that </w:t>
      </w:r>
      <w:r w:rsidR="005A562E">
        <w:rPr>
          <w:rFonts w:cs="Times New Roman"/>
          <w:szCs w:val="24"/>
        </w:rPr>
        <w:t>P</w:t>
      </w:r>
      <w:r w:rsidRPr="008940A7">
        <w:rPr>
          <w:rFonts w:cs="Times New Roman"/>
          <w:szCs w:val="24"/>
        </w:rPr>
        <w:t>rogram was approved to support FirstEnergy’s compliance with energy efficiency and peak demand reduction mandates.</w:t>
      </w:r>
      <w:r>
        <w:rPr>
          <w:rStyle w:val="FootnoteReference"/>
          <w:rFonts w:cs="Times New Roman"/>
          <w:szCs w:val="24"/>
        </w:rPr>
        <w:footnoteReference w:id="6"/>
      </w:r>
      <w:r w:rsidRPr="008940A7">
        <w:rPr>
          <w:rFonts w:cs="Times New Roman"/>
          <w:szCs w:val="24"/>
        </w:rPr>
        <w:t xml:space="preserve"> R.C. 4928.66(G)(3) therefore applies, regardless of </w:t>
      </w:r>
      <w:r w:rsidRPr="008940A7" w:rsidR="00672B91">
        <w:rPr>
          <w:rFonts w:cs="Times New Roman"/>
          <w:szCs w:val="24"/>
        </w:rPr>
        <w:t>the</w:t>
      </w:r>
      <w:r w:rsidRPr="008940A7">
        <w:rPr>
          <w:rFonts w:cs="Times New Roman"/>
          <w:szCs w:val="24"/>
        </w:rPr>
        <w:t xml:space="preserve"> docket </w:t>
      </w:r>
      <w:r w:rsidRPr="008940A7" w:rsidR="00672B91">
        <w:rPr>
          <w:rFonts w:cs="Times New Roman"/>
          <w:szCs w:val="24"/>
        </w:rPr>
        <w:t xml:space="preserve">in which </w:t>
      </w:r>
      <w:r w:rsidRPr="008940A7">
        <w:rPr>
          <w:rFonts w:cs="Times New Roman"/>
          <w:szCs w:val="24"/>
        </w:rPr>
        <w:t>the PUCO happened to approve the</w:t>
      </w:r>
      <w:r w:rsidR="005A562E">
        <w:rPr>
          <w:rFonts w:cs="Times New Roman"/>
          <w:szCs w:val="24"/>
        </w:rPr>
        <w:t xml:space="preserve"> P</w:t>
      </w:r>
      <w:r w:rsidRPr="008940A7">
        <w:rPr>
          <w:rFonts w:cs="Times New Roman"/>
          <w:szCs w:val="24"/>
        </w:rPr>
        <w:t>rogram.</w:t>
      </w:r>
    </w:p>
    <w:p w:rsidR="00D159E8" w:rsidRPr="008940A7" w:rsidP="00672B91" w14:paraId="63FC6B39" w14:textId="55232DE3">
      <w:pPr>
        <w:keepNext/>
        <w:keepLines/>
        <w:spacing w:after="240"/>
        <w:ind w:left="1440" w:hanging="720"/>
        <w:rPr>
          <w:rFonts w:cs="Times New Roman"/>
          <w:b/>
          <w:bCs/>
          <w:szCs w:val="24"/>
        </w:rPr>
      </w:pPr>
      <w:r w:rsidRPr="008940A7">
        <w:rPr>
          <w:rFonts w:cs="Times New Roman"/>
          <w:b/>
          <w:bCs/>
          <w:szCs w:val="24"/>
        </w:rPr>
        <w:t>D.</w:t>
      </w:r>
      <w:r w:rsidRPr="008940A7">
        <w:rPr>
          <w:rFonts w:cs="Times New Roman"/>
          <w:b/>
          <w:bCs/>
          <w:szCs w:val="24"/>
        </w:rPr>
        <w:tab/>
        <w:t xml:space="preserve">Parties claim that peak demand reduction </w:t>
      </w:r>
      <w:r w:rsidRPr="008940A7" w:rsidR="009B5717">
        <w:rPr>
          <w:rFonts w:cs="Times New Roman"/>
          <w:b/>
          <w:bCs/>
          <w:szCs w:val="24"/>
        </w:rPr>
        <w:t>is</w:t>
      </w:r>
      <w:r w:rsidRPr="008940A7">
        <w:rPr>
          <w:rFonts w:cs="Times New Roman"/>
          <w:b/>
          <w:bCs/>
          <w:szCs w:val="24"/>
        </w:rPr>
        <w:t xml:space="preserve"> only </w:t>
      </w:r>
      <w:r w:rsidRPr="008940A7" w:rsidR="009B5717">
        <w:rPr>
          <w:rFonts w:cs="Times New Roman"/>
          <w:b/>
          <w:bCs/>
          <w:szCs w:val="24"/>
        </w:rPr>
        <w:t xml:space="preserve">an </w:t>
      </w:r>
      <w:r w:rsidRPr="008940A7">
        <w:rPr>
          <w:rFonts w:cs="Times New Roman"/>
          <w:b/>
          <w:bCs/>
          <w:szCs w:val="24"/>
        </w:rPr>
        <w:t>“ancillary” or “secondary” benefit of the Economic Load Program, but the PUCO-approved tariffs say otherwise.</w:t>
      </w:r>
    </w:p>
    <w:p w:rsidR="0013326E" w:rsidRPr="008940A7" w:rsidP="008E7BC5" w14:paraId="5797C250" w14:textId="02562FC8">
      <w:pPr>
        <w:spacing w:line="480" w:lineRule="auto"/>
        <w:ind w:firstLine="720"/>
        <w:rPr>
          <w:rFonts w:cs="Times New Roman"/>
          <w:szCs w:val="24"/>
        </w:rPr>
      </w:pPr>
      <w:r w:rsidRPr="008940A7">
        <w:rPr>
          <w:rFonts w:cs="Times New Roman"/>
          <w:szCs w:val="24"/>
        </w:rPr>
        <w:t xml:space="preserve">Parties supporting continuation of charges for the Economic Load Program claim that R.C. 4928.66(G)(3) does not apply to the Economic Load Response program because peak demand reduction </w:t>
      </w:r>
      <w:r w:rsidRPr="008940A7" w:rsidR="009B5717">
        <w:rPr>
          <w:rFonts w:cs="Times New Roman"/>
          <w:szCs w:val="24"/>
        </w:rPr>
        <w:t>is</w:t>
      </w:r>
      <w:r w:rsidRPr="008940A7">
        <w:rPr>
          <w:rFonts w:cs="Times New Roman"/>
          <w:szCs w:val="24"/>
        </w:rPr>
        <w:t xml:space="preserve"> only </w:t>
      </w:r>
      <w:r w:rsidRPr="008940A7" w:rsidR="009B5717">
        <w:rPr>
          <w:rFonts w:cs="Times New Roman"/>
          <w:szCs w:val="24"/>
        </w:rPr>
        <w:t xml:space="preserve">an </w:t>
      </w:r>
      <w:r w:rsidRPr="008940A7">
        <w:rPr>
          <w:rFonts w:cs="Times New Roman"/>
          <w:szCs w:val="24"/>
        </w:rPr>
        <w:t xml:space="preserve">“ancillary” or “secondary” benefit of the </w:t>
      </w:r>
      <w:r w:rsidR="005A562E">
        <w:rPr>
          <w:rFonts w:cs="Times New Roman"/>
          <w:szCs w:val="24"/>
        </w:rPr>
        <w:t>P</w:t>
      </w:r>
      <w:r w:rsidRPr="008940A7">
        <w:rPr>
          <w:rFonts w:cs="Times New Roman"/>
          <w:szCs w:val="24"/>
        </w:rPr>
        <w:t>rogram.</w:t>
      </w:r>
      <w:r>
        <w:rPr>
          <w:rStyle w:val="FootnoteReference"/>
          <w:rFonts w:cs="Times New Roman"/>
          <w:szCs w:val="24"/>
        </w:rPr>
        <w:footnoteReference w:id="7"/>
      </w:r>
      <w:r w:rsidRPr="008940A7" w:rsidR="009B5717">
        <w:rPr>
          <w:rFonts w:cs="Times New Roman"/>
          <w:szCs w:val="24"/>
        </w:rPr>
        <w:t xml:space="preserve"> This argument fails for two reasons.</w:t>
      </w:r>
    </w:p>
    <w:p w:rsidR="009B5717" w:rsidRPr="008940A7" w:rsidP="008E7BC5" w14:paraId="04132B50" w14:textId="545EC535">
      <w:pPr>
        <w:spacing w:line="480" w:lineRule="auto"/>
        <w:ind w:firstLine="720"/>
        <w:rPr>
          <w:rFonts w:cs="Times New Roman"/>
          <w:szCs w:val="24"/>
        </w:rPr>
      </w:pPr>
      <w:r w:rsidRPr="008940A7">
        <w:rPr>
          <w:rFonts w:cs="Times New Roman"/>
          <w:szCs w:val="24"/>
        </w:rPr>
        <w:t xml:space="preserve">First, it fails because it is not true that peak demand reduction is an ancillary or secondary benefit of the program. To the contrary, meeting peak demand reduction mandates is a central feature of the </w:t>
      </w:r>
      <w:r w:rsidR="005A562E">
        <w:rPr>
          <w:rFonts w:cs="Times New Roman"/>
          <w:szCs w:val="24"/>
        </w:rPr>
        <w:t>P</w:t>
      </w:r>
      <w:r w:rsidRPr="008940A7">
        <w:rPr>
          <w:rFonts w:cs="Times New Roman"/>
          <w:szCs w:val="24"/>
        </w:rPr>
        <w:t xml:space="preserve">rogram; a customer can </w:t>
      </w:r>
      <w:r w:rsidRPr="008940A7">
        <w:rPr>
          <w:rFonts w:cs="Times New Roman"/>
          <w:i/>
          <w:iCs/>
          <w:szCs w:val="24"/>
        </w:rPr>
        <w:t>only</w:t>
      </w:r>
      <w:r w:rsidRPr="008940A7">
        <w:rPr>
          <w:rFonts w:cs="Times New Roman"/>
          <w:szCs w:val="24"/>
        </w:rPr>
        <w:t xml:space="preserve"> participate in the Economic Load Response </w:t>
      </w:r>
      <w:r w:rsidR="005A562E">
        <w:rPr>
          <w:rFonts w:cs="Times New Roman"/>
          <w:szCs w:val="24"/>
        </w:rPr>
        <w:t>P</w:t>
      </w:r>
      <w:r w:rsidRPr="008940A7">
        <w:rPr>
          <w:rFonts w:cs="Times New Roman"/>
          <w:szCs w:val="24"/>
        </w:rPr>
        <w:t>rogram if the demand response benefits from participation are used for compliance with the now-defunct peak demand reduction mandates under R.C. 4928.66.</w:t>
      </w:r>
      <w:r>
        <w:rPr>
          <w:rStyle w:val="FootnoteReference"/>
          <w:rFonts w:cs="Times New Roman"/>
          <w:szCs w:val="24"/>
        </w:rPr>
        <w:footnoteReference w:id="8"/>
      </w:r>
    </w:p>
    <w:p w:rsidR="009B5717" w:rsidRPr="008940A7" w:rsidP="008E7BC5" w14:paraId="344F0DB4" w14:textId="3C7C69A5">
      <w:pPr>
        <w:spacing w:line="480" w:lineRule="auto"/>
        <w:ind w:firstLine="720"/>
        <w:rPr>
          <w:rFonts w:cs="Times New Roman"/>
          <w:szCs w:val="24"/>
        </w:rPr>
      </w:pPr>
      <w:r w:rsidRPr="008940A7">
        <w:rPr>
          <w:rFonts w:cs="Times New Roman"/>
          <w:szCs w:val="24"/>
        </w:rPr>
        <w:t xml:space="preserve">Indeed, as one party notes, there are seven requirements for participating in the </w:t>
      </w:r>
      <w:r w:rsidR="005A562E">
        <w:rPr>
          <w:rFonts w:cs="Times New Roman"/>
          <w:szCs w:val="24"/>
        </w:rPr>
        <w:t>P</w:t>
      </w:r>
      <w:r w:rsidRPr="008940A7">
        <w:rPr>
          <w:rFonts w:cs="Times New Roman"/>
          <w:szCs w:val="24"/>
        </w:rPr>
        <w:t>rogram.</w:t>
      </w:r>
      <w:r>
        <w:rPr>
          <w:rStyle w:val="FootnoteReference"/>
          <w:rFonts w:cs="Times New Roman"/>
          <w:szCs w:val="24"/>
        </w:rPr>
        <w:footnoteReference w:id="9"/>
      </w:r>
      <w:r w:rsidRPr="008940A7">
        <w:rPr>
          <w:rFonts w:cs="Times New Roman"/>
          <w:szCs w:val="24"/>
        </w:rPr>
        <w:t xml:space="preserve"> Among these seven requirements, </w:t>
      </w:r>
      <w:r w:rsidRPr="008940A7" w:rsidR="00DB03C6">
        <w:rPr>
          <w:rFonts w:cs="Times New Roman"/>
          <w:i/>
          <w:iCs/>
          <w:szCs w:val="24"/>
        </w:rPr>
        <w:t>three</w:t>
      </w:r>
      <w:r w:rsidRPr="008940A7">
        <w:rPr>
          <w:rFonts w:cs="Times New Roman"/>
          <w:szCs w:val="24"/>
        </w:rPr>
        <w:t xml:space="preserve"> pertain to peak demand reduction.</w:t>
      </w:r>
      <w:r>
        <w:rPr>
          <w:rStyle w:val="FootnoteReference"/>
          <w:rFonts w:cs="Times New Roman"/>
          <w:szCs w:val="24"/>
        </w:rPr>
        <w:footnoteReference w:id="10"/>
      </w:r>
      <w:r w:rsidRPr="008940A7">
        <w:rPr>
          <w:rFonts w:cs="Times New Roman"/>
          <w:szCs w:val="24"/>
        </w:rPr>
        <w:t xml:space="preserve"> And although parties claim that economic development is a central purpose of the </w:t>
      </w:r>
      <w:r w:rsidR="005A562E">
        <w:rPr>
          <w:rFonts w:cs="Times New Roman"/>
          <w:szCs w:val="24"/>
        </w:rPr>
        <w:t>P</w:t>
      </w:r>
      <w:r w:rsidRPr="008940A7">
        <w:rPr>
          <w:rFonts w:cs="Times New Roman"/>
          <w:szCs w:val="24"/>
        </w:rPr>
        <w:t xml:space="preserve">rogram, </w:t>
      </w:r>
      <w:r w:rsidRPr="008940A7">
        <w:rPr>
          <w:rFonts w:cs="Times New Roman"/>
          <w:i/>
          <w:iCs/>
          <w:szCs w:val="24"/>
        </w:rPr>
        <w:t>none</w:t>
      </w:r>
      <w:r w:rsidRPr="008940A7">
        <w:rPr>
          <w:rFonts w:cs="Times New Roman"/>
          <w:szCs w:val="24"/>
        </w:rPr>
        <w:t xml:space="preserve"> of the seven requirements</w:t>
      </w:r>
      <w:r w:rsidRPr="008940A7" w:rsidR="00DB03C6">
        <w:rPr>
          <w:rFonts w:cs="Times New Roman"/>
          <w:szCs w:val="24"/>
        </w:rPr>
        <w:t xml:space="preserve"> pertain to job creation, capital investment, or any other economic development purpose.</w:t>
      </w:r>
      <w:r>
        <w:rPr>
          <w:rStyle w:val="FootnoteReference"/>
          <w:rFonts w:cs="Times New Roman"/>
          <w:szCs w:val="24"/>
        </w:rPr>
        <w:footnoteReference w:id="11"/>
      </w:r>
      <w:r w:rsidRPr="008940A7" w:rsidR="00DB03C6">
        <w:rPr>
          <w:rFonts w:cs="Times New Roman"/>
          <w:szCs w:val="24"/>
        </w:rPr>
        <w:t xml:space="preserve"> </w:t>
      </w:r>
    </w:p>
    <w:p w:rsidR="00DB03C6" w:rsidRPr="008940A7" w:rsidP="008E7BC5" w14:paraId="09DDAD15" w14:textId="5854D461">
      <w:pPr>
        <w:spacing w:line="480" w:lineRule="auto"/>
        <w:ind w:firstLine="720"/>
        <w:rPr>
          <w:rFonts w:cs="Times New Roman"/>
          <w:szCs w:val="24"/>
        </w:rPr>
      </w:pPr>
      <w:r w:rsidRPr="008940A7">
        <w:rPr>
          <w:rFonts w:cs="Times New Roman"/>
          <w:szCs w:val="24"/>
        </w:rPr>
        <w:t xml:space="preserve">Second, it fails because it is irrelevant. Under R.C. 4928.66(G)(3), all charges to customers for energy efficiency and peak demand reduction programs approved to meet the now-defunct mandates must end. The statute does not say that </w:t>
      </w:r>
      <w:r w:rsidRPr="008940A7" w:rsidR="003E3259">
        <w:rPr>
          <w:rFonts w:cs="Times New Roman"/>
          <w:szCs w:val="24"/>
        </w:rPr>
        <w:t xml:space="preserve">charges for </w:t>
      </w:r>
      <w:r w:rsidRPr="008940A7">
        <w:rPr>
          <w:rFonts w:cs="Times New Roman"/>
          <w:szCs w:val="24"/>
        </w:rPr>
        <w:t xml:space="preserve">programs with “secondary” or “ancillary” energy efficiency </w:t>
      </w:r>
      <w:r w:rsidRPr="008940A7" w:rsidR="00767267">
        <w:rPr>
          <w:rFonts w:cs="Times New Roman"/>
          <w:szCs w:val="24"/>
        </w:rPr>
        <w:t>and peak demand reduction purposes may continue.</w:t>
      </w:r>
    </w:p>
    <w:p w:rsidR="0013326E" w:rsidRPr="008940A7" w:rsidP="00E46390" w14:paraId="30B6A6F6" w14:textId="0BEDB1E4">
      <w:pPr>
        <w:keepNext/>
        <w:keepLines/>
        <w:spacing w:after="240"/>
        <w:ind w:left="1440" w:hanging="720"/>
        <w:rPr>
          <w:rFonts w:cs="Times New Roman"/>
          <w:b/>
          <w:bCs/>
          <w:szCs w:val="24"/>
        </w:rPr>
      </w:pPr>
      <w:r w:rsidRPr="008940A7">
        <w:rPr>
          <w:rFonts w:cs="Times New Roman"/>
          <w:b/>
          <w:bCs/>
          <w:szCs w:val="24"/>
        </w:rPr>
        <w:t>E.</w:t>
      </w:r>
      <w:r w:rsidRPr="008940A7">
        <w:rPr>
          <w:rFonts w:cs="Times New Roman"/>
          <w:b/>
          <w:bCs/>
          <w:szCs w:val="24"/>
        </w:rPr>
        <w:tab/>
      </w:r>
      <w:r w:rsidRPr="008940A7" w:rsidR="00E46390">
        <w:rPr>
          <w:rFonts w:cs="Times New Roman"/>
          <w:b/>
          <w:bCs/>
          <w:szCs w:val="24"/>
        </w:rPr>
        <w:t xml:space="preserve">OCC is not barred by collateral estoppel from arguing that charges to customers for the Economic Load Response </w:t>
      </w:r>
      <w:r w:rsidR="005A562E">
        <w:rPr>
          <w:rFonts w:cs="Times New Roman"/>
          <w:b/>
          <w:bCs/>
          <w:szCs w:val="24"/>
        </w:rPr>
        <w:t>P</w:t>
      </w:r>
      <w:r w:rsidRPr="008940A7" w:rsidR="00E46390">
        <w:rPr>
          <w:rFonts w:cs="Times New Roman"/>
          <w:b/>
          <w:bCs/>
          <w:szCs w:val="24"/>
        </w:rPr>
        <w:t>rogram under FirstEnergy’s energy efficiency rider must end.</w:t>
      </w:r>
    </w:p>
    <w:p w:rsidR="00E46390" w:rsidRPr="008940A7" w:rsidP="008E7BC5" w14:paraId="564329DE" w14:textId="58D03BF6">
      <w:pPr>
        <w:spacing w:line="480" w:lineRule="auto"/>
        <w:ind w:firstLine="720"/>
        <w:rPr>
          <w:rFonts w:cs="Times New Roman"/>
          <w:szCs w:val="24"/>
        </w:rPr>
      </w:pPr>
      <w:r w:rsidRPr="008940A7">
        <w:rPr>
          <w:rFonts w:cs="Times New Roman"/>
          <w:szCs w:val="24"/>
        </w:rPr>
        <w:t xml:space="preserve">OCC explained in its initial comments (and previously in its application for rehearing) that R.C. 4928.66(G)(3) prohibits FirstEnergy from charging customers for its Economic Load Response </w:t>
      </w:r>
      <w:r w:rsidR="005A562E">
        <w:rPr>
          <w:rFonts w:cs="Times New Roman"/>
          <w:szCs w:val="24"/>
        </w:rPr>
        <w:t>P</w:t>
      </w:r>
      <w:r w:rsidRPr="008940A7">
        <w:rPr>
          <w:rFonts w:cs="Times New Roman"/>
          <w:szCs w:val="24"/>
        </w:rPr>
        <w:t xml:space="preserve">rogram under its energy efficiency rider. IEU claims that OCC’s position is barred by collateral estoppel. According to IEU, parties in FirstEnergy’s most recent Electric Security Plan argued that the Economic Load Response </w:t>
      </w:r>
      <w:r w:rsidR="005A562E">
        <w:rPr>
          <w:rFonts w:cs="Times New Roman"/>
          <w:szCs w:val="24"/>
        </w:rPr>
        <w:t>P</w:t>
      </w:r>
      <w:r w:rsidRPr="008940A7">
        <w:rPr>
          <w:rFonts w:cs="Times New Roman"/>
          <w:szCs w:val="24"/>
        </w:rPr>
        <w:t>rogram should have been considered in FirstEnergy’s energy efficiency portfolio docket and not in the Electric Security Plan docket.</w:t>
      </w:r>
      <w:r>
        <w:rPr>
          <w:rStyle w:val="FootnoteReference"/>
          <w:rFonts w:cs="Times New Roman"/>
          <w:szCs w:val="24"/>
        </w:rPr>
        <w:footnoteReference w:id="12"/>
      </w:r>
      <w:r w:rsidRPr="008940A7">
        <w:rPr>
          <w:rFonts w:cs="Times New Roman"/>
          <w:szCs w:val="24"/>
        </w:rPr>
        <w:t xml:space="preserve"> IEU’s argument misinterprets the doctrine of collateral estoppel, which does not apply here.</w:t>
      </w:r>
    </w:p>
    <w:p w:rsidR="00E46390" w:rsidP="008E7BC5" w14:paraId="7654F231" w14:textId="05189D5B">
      <w:pPr>
        <w:spacing w:line="480" w:lineRule="auto"/>
        <w:ind w:firstLine="720"/>
        <w:rPr>
          <w:rFonts w:cs="Times New Roman"/>
          <w:szCs w:val="24"/>
        </w:rPr>
      </w:pPr>
      <w:r w:rsidRPr="008940A7">
        <w:rPr>
          <w:rFonts w:cs="Times New Roman"/>
          <w:szCs w:val="24"/>
        </w:rPr>
        <w:t>As IEU noted, “collateral estoppel ‘operate[s] to preclude the re-litigation of a point of law or fact that was at issue in a former action between the same parties and was passed upon by a court of competent jurisdiction.”</w:t>
      </w:r>
      <w:r>
        <w:rPr>
          <w:rStyle w:val="FootnoteReference"/>
          <w:rFonts w:cs="Times New Roman"/>
          <w:szCs w:val="24"/>
        </w:rPr>
        <w:footnoteReference w:id="13"/>
      </w:r>
      <w:r w:rsidRPr="008940A7">
        <w:rPr>
          <w:rFonts w:cs="Times New Roman"/>
          <w:szCs w:val="24"/>
        </w:rPr>
        <w:t xml:space="preserve"> But it would be impossible for collateral estoppel to apply here because the law in question—R.C. 4928.66(G)(3)—first took effect in October 22, 2019, and FirstEnergy’s Electric Security Plan case was decided more than three years earlier in March 2016.</w:t>
      </w:r>
      <w:r>
        <w:rPr>
          <w:rStyle w:val="FootnoteReference"/>
          <w:rFonts w:cs="Times New Roman"/>
          <w:szCs w:val="24"/>
        </w:rPr>
        <w:footnoteReference w:id="14"/>
      </w:r>
      <w:r w:rsidRPr="008940A7">
        <w:rPr>
          <w:rFonts w:cs="Times New Roman"/>
          <w:szCs w:val="24"/>
        </w:rPr>
        <w:t xml:space="preserve"> Neither OCC nor anyone else could possibly have litigated the impact of R.C. 4928.66(G)(3) in 2016, when that law did not yet exist. Collateral estoppel does not apply.</w:t>
      </w:r>
    </w:p>
    <w:p w:rsidR="008A2527" w:rsidRPr="008940A7" w:rsidP="008A2527" w14:paraId="1C596DA0" w14:textId="77777777">
      <w:pPr>
        <w:ind w:firstLine="720"/>
        <w:rPr>
          <w:rFonts w:cs="Times New Roman"/>
          <w:szCs w:val="24"/>
        </w:rPr>
      </w:pPr>
    </w:p>
    <w:p w:rsidR="0072063D" w:rsidRPr="008940A7" w:rsidP="00EC4965" w14:paraId="6A1EA68D" w14:textId="614E762C">
      <w:pPr>
        <w:keepNext/>
        <w:keepLines/>
        <w:spacing w:after="240"/>
        <w:rPr>
          <w:rFonts w:cs="Times New Roman"/>
          <w:b/>
          <w:szCs w:val="24"/>
        </w:rPr>
      </w:pPr>
      <w:r w:rsidRPr="008940A7">
        <w:rPr>
          <w:rFonts w:cs="Times New Roman"/>
          <w:b/>
          <w:szCs w:val="24"/>
        </w:rPr>
        <w:t>II</w:t>
      </w:r>
      <w:r w:rsidRPr="008940A7" w:rsidR="00B83BBD">
        <w:rPr>
          <w:rFonts w:cs="Times New Roman"/>
          <w:b/>
          <w:szCs w:val="24"/>
        </w:rPr>
        <w:t>I</w:t>
      </w:r>
      <w:r w:rsidRPr="008940A7" w:rsidR="00EC4965">
        <w:rPr>
          <w:rFonts w:cs="Times New Roman"/>
          <w:b/>
          <w:szCs w:val="24"/>
        </w:rPr>
        <w:t>.</w:t>
      </w:r>
      <w:r w:rsidRPr="008940A7" w:rsidR="00EC4965">
        <w:rPr>
          <w:rFonts w:cs="Times New Roman"/>
          <w:b/>
          <w:szCs w:val="24"/>
        </w:rPr>
        <w:tab/>
        <w:t>CONCLUSION</w:t>
      </w:r>
    </w:p>
    <w:p w:rsidR="0072063D" w:rsidRPr="008940A7" w:rsidP="008E7BC5" w14:paraId="34E87040" w14:textId="267995EB">
      <w:pPr>
        <w:spacing w:line="480" w:lineRule="auto"/>
        <w:ind w:firstLine="720"/>
        <w:rPr>
          <w:rFonts w:cs="Times New Roman"/>
          <w:szCs w:val="24"/>
        </w:rPr>
      </w:pPr>
      <w:r w:rsidRPr="008940A7">
        <w:rPr>
          <w:rFonts w:cs="Times New Roman"/>
          <w:szCs w:val="24"/>
        </w:rPr>
        <w:t xml:space="preserve">The law (R.C. 4928.66(G)(3)) does not allow FirstEnergy to continue charging customers for its Economic Load Response </w:t>
      </w:r>
      <w:r w:rsidR="003D0AA1">
        <w:rPr>
          <w:rFonts w:cs="Times New Roman"/>
          <w:szCs w:val="24"/>
        </w:rPr>
        <w:t>P</w:t>
      </w:r>
      <w:r w:rsidRPr="008940A7">
        <w:rPr>
          <w:rFonts w:cs="Times New Roman"/>
          <w:szCs w:val="24"/>
        </w:rPr>
        <w:t>rogram</w:t>
      </w:r>
      <w:r w:rsidR="003D0AA1">
        <w:rPr>
          <w:rFonts w:cs="Times New Roman"/>
          <w:szCs w:val="24"/>
        </w:rPr>
        <w:t>.</w:t>
      </w:r>
      <w:r w:rsidR="009949BD">
        <w:rPr>
          <w:rFonts w:cs="Times New Roman"/>
          <w:szCs w:val="24"/>
        </w:rPr>
        <w:t xml:space="preserve"> </w:t>
      </w:r>
      <w:r w:rsidR="003D0AA1">
        <w:rPr>
          <w:rFonts w:cs="Times New Roman"/>
          <w:szCs w:val="24"/>
        </w:rPr>
        <w:t>T</w:t>
      </w:r>
      <w:r w:rsidRPr="008940A7">
        <w:rPr>
          <w:rFonts w:cs="Times New Roman"/>
          <w:szCs w:val="24"/>
        </w:rPr>
        <w:t>h</w:t>
      </w:r>
      <w:r w:rsidR="003D0AA1">
        <w:rPr>
          <w:rFonts w:cs="Times New Roman"/>
          <w:szCs w:val="24"/>
        </w:rPr>
        <w:t>e Program’s</w:t>
      </w:r>
      <w:r w:rsidRPr="008940A7">
        <w:rPr>
          <w:rFonts w:cs="Times New Roman"/>
          <w:szCs w:val="24"/>
        </w:rPr>
        <w:t xml:space="preserve"> charges were “authorized by the commission for compliance with” now-defunct energy efficiency and peak demand reduction mandates. The PUCO must apply the law as written and terminate these charges. And customers should get a refund for any charges they have paid for this </w:t>
      </w:r>
      <w:r w:rsidR="003D0AA1">
        <w:rPr>
          <w:rFonts w:cs="Times New Roman"/>
          <w:szCs w:val="24"/>
        </w:rPr>
        <w:t>P</w:t>
      </w:r>
      <w:r w:rsidRPr="008940A7">
        <w:rPr>
          <w:rFonts w:cs="Times New Roman"/>
          <w:szCs w:val="24"/>
        </w:rPr>
        <w:t>rogram in 2021.</w:t>
      </w:r>
      <w:r w:rsidR="0054436B">
        <w:rPr>
          <w:rFonts w:cs="Times New Roman"/>
          <w:szCs w:val="24"/>
        </w:rPr>
        <w:t xml:space="preserve"> At the least, </w:t>
      </w:r>
      <w:r w:rsidR="00396476">
        <w:rPr>
          <w:rFonts w:cs="Times New Roman"/>
          <w:szCs w:val="24"/>
        </w:rPr>
        <w:t xml:space="preserve">FirstEnergy should </w:t>
      </w:r>
      <w:r w:rsidR="00A76B67">
        <w:rPr>
          <w:rFonts w:cs="Times New Roman"/>
          <w:szCs w:val="24"/>
        </w:rPr>
        <w:t xml:space="preserve">be barred from charging </w:t>
      </w:r>
      <w:r w:rsidR="0054436B">
        <w:rPr>
          <w:rFonts w:cs="Times New Roman"/>
          <w:szCs w:val="24"/>
        </w:rPr>
        <w:t>residential consumers</w:t>
      </w:r>
      <w:r w:rsidR="00A76B67">
        <w:rPr>
          <w:rFonts w:cs="Times New Roman"/>
          <w:szCs w:val="24"/>
        </w:rPr>
        <w:t xml:space="preserve"> </w:t>
      </w:r>
      <w:r w:rsidR="0054436B">
        <w:rPr>
          <w:rFonts w:cs="Times New Roman"/>
          <w:szCs w:val="24"/>
        </w:rPr>
        <w:t>for this corporate Program.</w:t>
      </w:r>
      <w:r w:rsidR="008A2527">
        <w:rPr>
          <w:rFonts w:cs="Times New Roman"/>
          <w:szCs w:val="24"/>
        </w:rPr>
        <w:t xml:space="preserve"> </w:t>
      </w:r>
    </w:p>
    <w:p w:rsidR="008A2527" w14:paraId="583FBBA3" w14:textId="2DCF4421">
      <w:pPr>
        <w:rPr>
          <w:rFonts w:eastAsia="Times New Roman" w:cs="Times New Roman"/>
          <w:szCs w:val="24"/>
        </w:rPr>
      </w:pPr>
      <w:r>
        <w:rPr>
          <w:rFonts w:eastAsia="Times New Roman" w:cs="Times New Roman"/>
          <w:szCs w:val="24"/>
        </w:rPr>
        <w:br w:type="page"/>
      </w:r>
    </w:p>
    <w:p w:rsidR="000C76D2" w:rsidRPr="008940A7" w:rsidP="000C76D2" w14:paraId="11181DB5" w14:textId="6F24222B">
      <w:pPr>
        <w:pStyle w:val="BodyTextIndent3"/>
        <w:widowControl w:val="0"/>
        <w:ind w:left="3600" w:right="-672"/>
        <w:rPr>
          <w:szCs w:val="24"/>
        </w:rPr>
      </w:pPr>
      <w:r w:rsidRPr="008940A7">
        <w:rPr>
          <w:szCs w:val="24"/>
        </w:rPr>
        <w:t>Respectfully submitted,</w:t>
      </w:r>
    </w:p>
    <w:p w:rsidR="000C76D2" w:rsidRPr="008940A7" w:rsidP="000C76D2" w14:paraId="65386FEF" w14:textId="337340E3">
      <w:pPr>
        <w:pStyle w:val="Footer"/>
        <w:tabs>
          <w:tab w:val="left" w:pos="4320"/>
          <w:tab w:val="clear" w:pos="8640"/>
        </w:tabs>
        <w:spacing w:before="240"/>
        <w:rPr>
          <w:sz w:val="24"/>
          <w:szCs w:val="24"/>
        </w:rPr>
      </w:pPr>
      <w:r w:rsidRPr="008940A7">
        <w:rPr>
          <w:sz w:val="24"/>
          <w:szCs w:val="24"/>
        </w:rPr>
        <w:tab/>
      </w:r>
      <w:r w:rsidRPr="008940A7" w:rsidR="00D5102C">
        <w:rPr>
          <w:sz w:val="24"/>
          <w:szCs w:val="24"/>
        </w:rPr>
        <w:t>Bruce Weston (0016973)</w:t>
      </w:r>
    </w:p>
    <w:p w:rsidR="000C76D2" w:rsidRPr="008940A7" w:rsidP="000C76D2" w14:paraId="412B1318" w14:textId="1FADCE04">
      <w:pPr>
        <w:tabs>
          <w:tab w:val="left" w:pos="4320"/>
        </w:tabs>
        <w:rPr>
          <w:rFonts w:cs="Times New Roman"/>
          <w:szCs w:val="24"/>
        </w:rPr>
      </w:pPr>
      <w:r w:rsidRPr="008940A7">
        <w:rPr>
          <w:rFonts w:cs="Times New Roman"/>
          <w:szCs w:val="24"/>
        </w:rPr>
        <w:tab/>
        <w:t>Ohio Consumers’ Counsel</w:t>
      </w:r>
    </w:p>
    <w:p w:rsidR="000C76D2" w:rsidRPr="008940A7" w:rsidP="000C76D2" w14:paraId="2C884F72" w14:textId="77777777">
      <w:pPr>
        <w:tabs>
          <w:tab w:val="left" w:pos="4320"/>
        </w:tabs>
        <w:rPr>
          <w:rFonts w:cs="Times New Roman"/>
          <w:szCs w:val="24"/>
        </w:rPr>
      </w:pPr>
      <w:r w:rsidRPr="008940A7">
        <w:rPr>
          <w:rFonts w:cs="Times New Roman"/>
          <w:szCs w:val="24"/>
        </w:rPr>
        <w:tab/>
      </w:r>
    </w:p>
    <w:p w:rsidR="000C76D2" w:rsidRPr="008940A7" w:rsidP="000C76D2" w14:paraId="045C8616" w14:textId="77777777">
      <w:pPr>
        <w:tabs>
          <w:tab w:val="left" w:pos="4320"/>
        </w:tabs>
        <w:rPr>
          <w:rFonts w:cs="Times New Roman"/>
          <w:i/>
          <w:iCs/>
          <w:szCs w:val="24"/>
          <w:u w:val="single"/>
        </w:rPr>
      </w:pPr>
      <w:r w:rsidRPr="008940A7">
        <w:rPr>
          <w:rFonts w:cs="Times New Roman"/>
          <w:szCs w:val="24"/>
        </w:rPr>
        <w:tab/>
      </w:r>
      <w:r w:rsidRPr="008940A7">
        <w:rPr>
          <w:rFonts w:cs="Times New Roman"/>
          <w:i/>
          <w:iCs/>
          <w:szCs w:val="24"/>
          <w:u w:val="single"/>
        </w:rPr>
        <w:t>/s/ Christopher Healey</w:t>
      </w:r>
      <w:r w:rsidRPr="008940A7">
        <w:rPr>
          <w:rFonts w:cs="Times New Roman"/>
          <w:i/>
          <w:iCs/>
          <w:szCs w:val="24"/>
          <w:u w:val="single"/>
        </w:rPr>
        <w:tab/>
      </w:r>
      <w:r w:rsidRPr="008940A7">
        <w:rPr>
          <w:rFonts w:cs="Times New Roman"/>
          <w:i/>
          <w:iCs/>
          <w:szCs w:val="24"/>
          <w:u w:val="single"/>
        </w:rPr>
        <w:tab/>
      </w:r>
      <w:r w:rsidRPr="008940A7">
        <w:rPr>
          <w:rFonts w:cs="Times New Roman"/>
          <w:i/>
          <w:iCs/>
          <w:szCs w:val="24"/>
          <w:u w:val="single"/>
        </w:rPr>
        <w:tab/>
      </w:r>
    </w:p>
    <w:p w:rsidR="000C76D2" w:rsidRPr="008940A7" w:rsidP="000C76D2" w14:paraId="6C9099E9" w14:textId="77777777">
      <w:pPr>
        <w:tabs>
          <w:tab w:val="left" w:pos="4320"/>
        </w:tabs>
        <w:rPr>
          <w:rFonts w:cs="Times New Roman"/>
          <w:szCs w:val="24"/>
        </w:rPr>
      </w:pPr>
      <w:r w:rsidRPr="008940A7">
        <w:rPr>
          <w:rFonts w:cs="Times New Roman"/>
          <w:szCs w:val="24"/>
        </w:rPr>
        <w:tab/>
        <w:t>Christopher Healey (0086027)</w:t>
      </w:r>
    </w:p>
    <w:p w:rsidR="000C76D2" w:rsidRPr="008940A7" w:rsidP="000C76D2" w14:paraId="026D6806" w14:textId="77777777">
      <w:pPr>
        <w:tabs>
          <w:tab w:val="left" w:pos="4320"/>
        </w:tabs>
        <w:ind w:firstLine="4320"/>
        <w:rPr>
          <w:rFonts w:cs="Times New Roman"/>
          <w:szCs w:val="24"/>
        </w:rPr>
      </w:pPr>
      <w:r w:rsidRPr="008940A7">
        <w:rPr>
          <w:rFonts w:cs="Times New Roman"/>
          <w:szCs w:val="24"/>
        </w:rPr>
        <w:t>Counsel of Record</w:t>
      </w:r>
    </w:p>
    <w:p w:rsidR="000C76D2" w:rsidRPr="008940A7" w:rsidP="000C76D2" w14:paraId="3A3C62B5" w14:textId="77777777">
      <w:pPr>
        <w:tabs>
          <w:tab w:val="left" w:pos="4320"/>
        </w:tabs>
        <w:rPr>
          <w:rFonts w:cs="Times New Roman"/>
          <w:szCs w:val="24"/>
        </w:rPr>
      </w:pPr>
      <w:r w:rsidRPr="008940A7">
        <w:rPr>
          <w:rFonts w:cs="Times New Roman"/>
          <w:szCs w:val="24"/>
        </w:rPr>
        <w:tab/>
        <w:t>Assistant Consumers’ Counsel</w:t>
      </w:r>
    </w:p>
    <w:p w:rsidR="000C76D2" w:rsidRPr="008940A7" w:rsidP="000C76D2" w14:paraId="39A379E5" w14:textId="77777777">
      <w:pPr>
        <w:pStyle w:val="Heading1"/>
        <w:ind w:left="3240" w:right="-648" w:firstLine="720"/>
        <w:rPr>
          <w:u w:val="none"/>
        </w:rPr>
      </w:pPr>
      <w:r w:rsidRPr="008940A7">
        <w:rPr>
          <w:u w:val="none"/>
        </w:rPr>
        <w:tab/>
      </w:r>
    </w:p>
    <w:p w:rsidR="000C76D2" w:rsidRPr="008940A7" w:rsidP="000C76D2" w14:paraId="4F882340" w14:textId="77777777">
      <w:pPr>
        <w:pStyle w:val="Heading1"/>
        <w:ind w:left="3240" w:right="-648" w:firstLine="720"/>
        <w:rPr>
          <w:u w:val="none"/>
        </w:rPr>
      </w:pPr>
      <w:r w:rsidRPr="008940A7">
        <w:rPr>
          <w:u w:val="none"/>
        </w:rPr>
        <w:tab/>
        <w:t>Office of the Ohio Consumers’ Counsel</w:t>
      </w:r>
    </w:p>
    <w:p w:rsidR="000C76D2" w:rsidRPr="008940A7" w:rsidP="000C76D2" w14:paraId="34BD3F05" w14:textId="1B312B53">
      <w:pPr>
        <w:pStyle w:val="Heading1"/>
        <w:ind w:left="3240" w:right="-648" w:firstLine="720"/>
        <w:rPr>
          <w:b w:val="0"/>
          <w:u w:val="none"/>
        </w:rPr>
      </w:pPr>
      <w:r w:rsidRPr="008940A7">
        <w:rPr>
          <w:b w:val="0"/>
          <w:u w:val="none"/>
        </w:rPr>
        <w:tab/>
        <w:t>65 East State Street, 7</w:t>
      </w:r>
      <w:r w:rsidRPr="008940A7" w:rsidR="004D5909">
        <w:rPr>
          <w:b w:val="0"/>
          <w:u w:val="none"/>
        </w:rPr>
        <w:t>th</w:t>
      </w:r>
      <w:r w:rsidRPr="008940A7">
        <w:rPr>
          <w:b w:val="0"/>
          <w:u w:val="none"/>
        </w:rPr>
        <w:t xml:space="preserve"> Floor</w:t>
      </w:r>
    </w:p>
    <w:p w:rsidR="000C76D2" w:rsidRPr="008940A7" w:rsidP="000C76D2" w14:paraId="5B276474" w14:textId="77777777">
      <w:pPr>
        <w:pStyle w:val="Heading1"/>
        <w:ind w:left="3240" w:right="-648" w:firstLine="720"/>
        <w:rPr>
          <w:b w:val="0"/>
          <w:u w:val="none"/>
        </w:rPr>
      </w:pPr>
      <w:r w:rsidRPr="008940A7">
        <w:rPr>
          <w:b w:val="0"/>
          <w:u w:val="none"/>
        </w:rPr>
        <w:tab/>
        <w:t>Columbus, Ohio 43215</w:t>
      </w:r>
    </w:p>
    <w:p w:rsidR="000C76D2" w:rsidRPr="008940A7" w:rsidP="000C76D2" w14:paraId="1145947B" w14:textId="77777777">
      <w:pPr>
        <w:autoSpaceDE w:val="0"/>
        <w:autoSpaceDN w:val="0"/>
        <w:adjustRightInd w:val="0"/>
        <w:ind w:left="3600" w:firstLine="720"/>
        <w:rPr>
          <w:rFonts w:cs="Times New Roman"/>
          <w:szCs w:val="24"/>
        </w:rPr>
      </w:pPr>
      <w:r w:rsidRPr="008940A7">
        <w:rPr>
          <w:rFonts w:cs="Times New Roman"/>
          <w:szCs w:val="24"/>
        </w:rPr>
        <w:t>Telephone: (614) 466-9571</w:t>
      </w:r>
    </w:p>
    <w:p w:rsidR="000C76D2" w:rsidRPr="008940A7" w:rsidP="000C76D2" w14:paraId="355DDA19" w14:textId="77777777">
      <w:pPr>
        <w:rPr>
          <w:rFonts w:cs="Times New Roman"/>
          <w:szCs w:val="24"/>
        </w:rPr>
      </w:pPr>
      <w:r w:rsidRPr="008940A7">
        <w:rPr>
          <w:rFonts w:cs="Times New Roman"/>
          <w:szCs w:val="24"/>
        </w:rPr>
        <w:tab/>
      </w:r>
      <w:r w:rsidRPr="008940A7">
        <w:rPr>
          <w:rFonts w:cs="Times New Roman"/>
          <w:szCs w:val="24"/>
        </w:rPr>
        <w:tab/>
      </w:r>
      <w:r w:rsidRPr="008940A7">
        <w:rPr>
          <w:rFonts w:cs="Times New Roman"/>
          <w:szCs w:val="24"/>
        </w:rPr>
        <w:tab/>
      </w:r>
      <w:r w:rsidRPr="008940A7">
        <w:rPr>
          <w:rFonts w:cs="Times New Roman"/>
          <w:szCs w:val="24"/>
        </w:rPr>
        <w:tab/>
      </w:r>
      <w:r w:rsidRPr="008940A7">
        <w:rPr>
          <w:rFonts w:cs="Times New Roman"/>
          <w:szCs w:val="24"/>
        </w:rPr>
        <w:tab/>
      </w:r>
      <w:r w:rsidRPr="008940A7">
        <w:rPr>
          <w:rFonts w:cs="Times New Roman"/>
          <w:szCs w:val="24"/>
        </w:rPr>
        <w:tab/>
      </w:r>
      <w:hyperlink r:id="rId7" w:history="1">
        <w:r w:rsidRPr="008940A7">
          <w:rPr>
            <w:rStyle w:val="Hyperlink"/>
            <w:rFonts w:cs="Times New Roman"/>
            <w:szCs w:val="24"/>
          </w:rPr>
          <w:t>Christopher.healey@occ.ohio.gov</w:t>
        </w:r>
      </w:hyperlink>
      <w:r w:rsidRPr="008940A7">
        <w:rPr>
          <w:rFonts w:cs="Times New Roman"/>
          <w:szCs w:val="24"/>
        </w:rPr>
        <w:t xml:space="preserve"> </w:t>
      </w:r>
    </w:p>
    <w:p w:rsidR="000C76D2" w:rsidRPr="008940A7" w:rsidP="000C76D2" w14:paraId="6C84B963" w14:textId="69C53CA1">
      <w:pPr>
        <w:rPr>
          <w:rFonts w:cs="Times New Roman"/>
          <w:szCs w:val="24"/>
        </w:rPr>
      </w:pPr>
      <w:r w:rsidRPr="008940A7">
        <w:rPr>
          <w:rFonts w:cs="Times New Roman"/>
          <w:szCs w:val="24"/>
        </w:rPr>
        <w:tab/>
      </w:r>
      <w:r w:rsidRPr="008940A7">
        <w:rPr>
          <w:rFonts w:cs="Times New Roman"/>
          <w:szCs w:val="24"/>
        </w:rPr>
        <w:tab/>
      </w:r>
      <w:r w:rsidRPr="008940A7">
        <w:rPr>
          <w:rFonts w:cs="Times New Roman"/>
          <w:szCs w:val="24"/>
        </w:rPr>
        <w:tab/>
      </w:r>
      <w:r w:rsidRPr="008940A7">
        <w:rPr>
          <w:rFonts w:cs="Times New Roman"/>
          <w:szCs w:val="24"/>
        </w:rPr>
        <w:tab/>
      </w:r>
      <w:r w:rsidRPr="008940A7">
        <w:rPr>
          <w:rFonts w:cs="Times New Roman"/>
          <w:szCs w:val="24"/>
        </w:rPr>
        <w:tab/>
      </w:r>
      <w:r w:rsidRPr="008940A7">
        <w:rPr>
          <w:rFonts w:cs="Times New Roman"/>
          <w:szCs w:val="24"/>
        </w:rPr>
        <w:tab/>
        <w:t>(willing to accept service by email)</w:t>
      </w:r>
    </w:p>
    <w:p w:rsidR="00D5102C" w:rsidRPr="008940A7" w:rsidP="000C76D2" w14:paraId="4EB3C9C6" w14:textId="6250903D">
      <w:pPr>
        <w:rPr>
          <w:rFonts w:cs="Times New Roman"/>
          <w:szCs w:val="24"/>
        </w:rPr>
      </w:pPr>
    </w:p>
    <w:p w:rsidR="00D5102C" w:rsidRPr="008940A7" w:rsidP="000C76D2" w14:paraId="62E84677" w14:textId="77777777">
      <w:pPr>
        <w:rPr>
          <w:rFonts w:cs="Times New Roman"/>
          <w:szCs w:val="24"/>
        </w:rPr>
        <w:sectPr w:rsidSect="00CD7CD0">
          <w:footerReference w:type="default" r:id="rId8"/>
          <w:pgSz w:w="12240" w:h="15840"/>
          <w:pgMar w:top="1440" w:right="1440" w:bottom="1440" w:left="1440" w:header="720" w:footer="720" w:gutter="0"/>
          <w:pgNumType w:start="2"/>
          <w:cols w:space="720"/>
          <w:docGrid w:linePitch="360"/>
        </w:sectPr>
      </w:pPr>
    </w:p>
    <w:p w:rsidR="00D5102C" w:rsidRPr="008940A7" w:rsidP="00D5102C" w14:paraId="0BE4254C" w14:textId="77777777">
      <w:pPr>
        <w:jc w:val="center"/>
        <w:rPr>
          <w:rFonts w:eastAsiaTheme="minorEastAsia" w:cs="Times New Roman"/>
          <w:b/>
          <w:szCs w:val="24"/>
          <w:u w:val="single"/>
        </w:rPr>
      </w:pPr>
      <w:r w:rsidRPr="008940A7">
        <w:rPr>
          <w:rFonts w:eastAsiaTheme="minorEastAsia" w:cs="Times New Roman"/>
          <w:b/>
          <w:szCs w:val="24"/>
          <w:u w:val="single"/>
        </w:rPr>
        <w:t>CERTIFICATE OF SERVICE</w:t>
      </w:r>
    </w:p>
    <w:p w:rsidR="00D5102C" w:rsidRPr="008940A7" w:rsidP="00D5102C" w14:paraId="4A7785E9" w14:textId="77777777">
      <w:pPr>
        <w:jc w:val="center"/>
        <w:rPr>
          <w:rFonts w:eastAsiaTheme="minorEastAsia" w:cs="Times New Roman"/>
          <w:b/>
          <w:szCs w:val="24"/>
          <w:u w:val="single"/>
        </w:rPr>
      </w:pPr>
    </w:p>
    <w:p w:rsidR="00D5102C" w:rsidRPr="008940A7" w:rsidP="00D5102C" w14:paraId="6659296A" w14:textId="0D454D2F">
      <w:pPr>
        <w:spacing w:line="360" w:lineRule="auto"/>
        <w:ind w:firstLine="720"/>
        <w:rPr>
          <w:rFonts w:eastAsiaTheme="minorEastAsia" w:cs="Times New Roman"/>
          <w:szCs w:val="24"/>
        </w:rPr>
      </w:pPr>
      <w:r w:rsidRPr="008940A7">
        <w:rPr>
          <w:rFonts w:eastAsiaTheme="minorEastAsia" w:cs="Times New Roman"/>
          <w:szCs w:val="24"/>
        </w:rPr>
        <w:t xml:space="preserve">I hereby certify that a copy of the foregoing </w:t>
      </w:r>
      <w:r w:rsidRPr="008940A7" w:rsidR="001529D9">
        <w:rPr>
          <w:rFonts w:eastAsiaTheme="minorEastAsia" w:cs="Times New Roman"/>
          <w:szCs w:val="24"/>
        </w:rPr>
        <w:t xml:space="preserve">Reply </w:t>
      </w:r>
      <w:r w:rsidRPr="008940A7" w:rsidR="009F5478">
        <w:rPr>
          <w:rFonts w:eastAsiaTheme="minorEastAsia" w:cs="Times New Roman"/>
          <w:szCs w:val="24"/>
        </w:rPr>
        <w:t>Comments</w:t>
      </w:r>
      <w:r w:rsidRPr="008940A7">
        <w:rPr>
          <w:rFonts w:eastAsiaTheme="minorEastAsia" w:cs="Times New Roman"/>
          <w:szCs w:val="24"/>
        </w:rPr>
        <w:t xml:space="preserve"> was served on the persons stated below via electronic transmission, this </w:t>
      </w:r>
      <w:r w:rsidR="00560106">
        <w:rPr>
          <w:rFonts w:eastAsiaTheme="minorEastAsia" w:cs="Times New Roman"/>
          <w:szCs w:val="24"/>
        </w:rPr>
        <w:t>12th</w:t>
      </w:r>
      <w:r w:rsidRPr="008940A7">
        <w:rPr>
          <w:rFonts w:eastAsiaTheme="minorEastAsia" w:cs="Times New Roman"/>
          <w:szCs w:val="24"/>
        </w:rPr>
        <w:t xml:space="preserve"> day of </w:t>
      </w:r>
      <w:r w:rsidRPr="008940A7" w:rsidR="001529D9">
        <w:rPr>
          <w:rFonts w:eastAsiaTheme="minorEastAsia" w:cs="Times New Roman"/>
          <w:szCs w:val="24"/>
        </w:rPr>
        <w:t>April</w:t>
      </w:r>
      <w:r w:rsidRPr="008940A7">
        <w:rPr>
          <w:rFonts w:eastAsiaTheme="minorEastAsia" w:cs="Times New Roman"/>
          <w:szCs w:val="24"/>
        </w:rPr>
        <w:t xml:space="preserve"> 2021.</w:t>
      </w:r>
    </w:p>
    <w:p w:rsidR="00D5102C" w:rsidRPr="008940A7" w:rsidP="00D5102C" w14:paraId="0596A552" w14:textId="77777777">
      <w:pPr>
        <w:spacing w:line="360" w:lineRule="auto"/>
        <w:ind w:firstLine="720"/>
        <w:rPr>
          <w:rFonts w:eastAsiaTheme="minorEastAsia" w:cs="Times New Roman"/>
          <w:szCs w:val="24"/>
        </w:rPr>
      </w:pPr>
    </w:p>
    <w:p w:rsidR="00D5102C" w:rsidRPr="008940A7" w:rsidP="00D5102C" w14:paraId="7F50FE25" w14:textId="77777777">
      <w:pPr>
        <w:ind w:firstLine="720"/>
        <w:rPr>
          <w:rFonts w:eastAsiaTheme="minorEastAsia" w:cs="Times New Roman"/>
          <w:szCs w:val="24"/>
        </w:rPr>
      </w:pPr>
      <w:r w:rsidRPr="008940A7">
        <w:rPr>
          <w:rFonts w:eastAsiaTheme="minorEastAsia" w:cs="Times New Roman"/>
          <w:szCs w:val="24"/>
        </w:rPr>
        <w:tab/>
      </w:r>
      <w:r w:rsidRPr="008940A7">
        <w:rPr>
          <w:rFonts w:eastAsiaTheme="minorEastAsia" w:cs="Times New Roman"/>
          <w:szCs w:val="24"/>
        </w:rPr>
        <w:tab/>
      </w:r>
      <w:r w:rsidRPr="008940A7">
        <w:rPr>
          <w:rFonts w:eastAsiaTheme="minorEastAsia" w:cs="Times New Roman"/>
          <w:szCs w:val="24"/>
        </w:rPr>
        <w:tab/>
      </w:r>
      <w:r w:rsidRPr="008940A7">
        <w:rPr>
          <w:rFonts w:eastAsiaTheme="minorEastAsia" w:cs="Times New Roman"/>
          <w:szCs w:val="24"/>
        </w:rPr>
        <w:tab/>
      </w:r>
      <w:r w:rsidRPr="008940A7">
        <w:rPr>
          <w:rFonts w:eastAsiaTheme="minorEastAsia" w:cs="Times New Roman"/>
          <w:szCs w:val="24"/>
        </w:rPr>
        <w:tab/>
      </w:r>
      <w:r w:rsidRPr="008940A7">
        <w:rPr>
          <w:rFonts w:eastAsiaTheme="minorEastAsia" w:cs="Times New Roman"/>
          <w:szCs w:val="24"/>
        </w:rPr>
        <w:tab/>
      </w:r>
      <w:r w:rsidRPr="008940A7">
        <w:rPr>
          <w:rFonts w:eastAsiaTheme="minorEastAsia" w:cs="Times New Roman"/>
          <w:szCs w:val="24"/>
          <w:u w:val="single"/>
        </w:rPr>
        <w:t xml:space="preserve">/s/ </w:t>
      </w:r>
      <w:r w:rsidRPr="008940A7">
        <w:rPr>
          <w:rFonts w:eastAsiaTheme="minorEastAsia" w:cs="Times New Roman"/>
          <w:i/>
          <w:szCs w:val="24"/>
          <w:u w:val="single"/>
        </w:rPr>
        <w:t>Christopher Healey</w:t>
      </w:r>
      <w:r w:rsidRPr="008940A7">
        <w:rPr>
          <w:rFonts w:eastAsiaTheme="minorEastAsia" w:cs="Times New Roman"/>
          <w:szCs w:val="24"/>
        </w:rPr>
        <w:t>_______</w:t>
      </w:r>
    </w:p>
    <w:p w:rsidR="00D5102C" w:rsidRPr="008940A7" w:rsidP="00D5102C" w14:paraId="6132DCF5" w14:textId="77777777">
      <w:pPr>
        <w:ind w:firstLine="720"/>
        <w:rPr>
          <w:rFonts w:eastAsiaTheme="minorEastAsia" w:cs="Times New Roman"/>
          <w:szCs w:val="24"/>
        </w:rPr>
      </w:pPr>
      <w:r w:rsidRPr="008940A7">
        <w:rPr>
          <w:rFonts w:eastAsiaTheme="minorEastAsia" w:cs="Times New Roman"/>
          <w:szCs w:val="24"/>
        </w:rPr>
        <w:tab/>
      </w:r>
      <w:r w:rsidRPr="008940A7">
        <w:rPr>
          <w:rFonts w:eastAsiaTheme="minorEastAsia" w:cs="Times New Roman"/>
          <w:szCs w:val="24"/>
        </w:rPr>
        <w:tab/>
      </w:r>
      <w:r w:rsidRPr="008940A7">
        <w:rPr>
          <w:rFonts w:eastAsiaTheme="minorEastAsia" w:cs="Times New Roman"/>
          <w:szCs w:val="24"/>
        </w:rPr>
        <w:tab/>
      </w:r>
      <w:r w:rsidRPr="008940A7">
        <w:rPr>
          <w:rFonts w:eastAsiaTheme="minorEastAsia" w:cs="Times New Roman"/>
          <w:szCs w:val="24"/>
        </w:rPr>
        <w:tab/>
      </w:r>
      <w:r w:rsidRPr="008940A7">
        <w:rPr>
          <w:rFonts w:eastAsiaTheme="minorEastAsia" w:cs="Times New Roman"/>
          <w:szCs w:val="24"/>
        </w:rPr>
        <w:tab/>
      </w:r>
      <w:r w:rsidRPr="008940A7">
        <w:rPr>
          <w:rFonts w:eastAsiaTheme="minorEastAsia" w:cs="Times New Roman"/>
          <w:szCs w:val="24"/>
        </w:rPr>
        <w:tab/>
        <w:t>Christopher Healey</w:t>
      </w:r>
    </w:p>
    <w:p w:rsidR="00D5102C" w:rsidP="00D5102C" w14:paraId="7753853B" w14:textId="47BE527E">
      <w:pPr>
        <w:ind w:firstLine="720"/>
        <w:rPr>
          <w:rFonts w:eastAsiaTheme="minorEastAsia" w:cs="Times New Roman"/>
          <w:szCs w:val="24"/>
        </w:rPr>
      </w:pPr>
      <w:r w:rsidRPr="008940A7">
        <w:rPr>
          <w:rFonts w:eastAsiaTheme="minorEastAsia" w:cs="Times New Roman"/>
          <w:szCs w:val="24"/>
        </w:rPr>
        <w:tab/>
      </w:r>
      <w:r w:rsidRPr="008940A7">
        <w:rPr>
          <w:rFonts w:eastAsiaTheme="minorEastAsia" w:cs="Times New Roman"/>
          <w:szCs w:val="24"/>
        </w:rPr>
        <w:tab/>
      </w:r>
      <w:r w:rsidRPr="008940A7">
        <w:rPr>
          <w:rFonts w:eastAsiaTheme="minorEastAsia" w:cs="Times New Roman"/>
          <w:szCs w:val="24"/>
        </w:rPr>
        <w:tab/>
      </w:r>
      <w:r w:rsidRPr="008940A7">
        <w:rPr>
          <w:rFonts w:eastAsiaTheme="minorEastAsia" w:cs="Times New Roman"/>
          <w:szCs w:val="24"/>
        </w:rPr>
        <w:tab/>
      </w:r>
      <w:r w:rsidRPr="008940A7">
        <w:rPr>
          <w:rFonts w:eastAsiaTheme="minorEastAsia" w:cs="Times New Roman"/>
          <w:szCs w:val="24"/>
        </w:rPr>
        <w:tab/>
      </w:r>
      <w:r w:rsidRPr="008940A7">
        <w:rPr>
          <w:rFonts w:eastAsiaTheme="minorEastAsia" w:cs="Times New Roman"/>
          <w:szCs w:val="24"/>
        </w:rPr>
        <w:tab/>
        <w:t>Assistant Consumers' Counsel</w:t>
      </w:r>
    </w:p>
    <w:p w:rsidR="00560106" w:rsidP="00D5102C" w14:paraId="6B6F9917" w14:textId="33510815">
      <w:pPr>
        <w:ind w:firstLine="720"/>
        <w:rPr>
          <w:rFonts w:eastAsiaTheme="minorEastAsia" w:cs="Times New Roman"/>
          <w:szCs w:val="24"/>
        </w:rPr>
      </w:pPr>
    </w:p>
    <w:p w:rsidR="00560106" w:rsidRPr="00D233FE" w:rsidP="00560106" w14:paraId="65ABB420" w14:textId="77777777">
      <w:pPr>
        <w:rPr>
          <w:rFonts w:cs="Times New Roman"/>
          <w:szCs w:val="24"/>
        </w:rPr>
      </w:pPr>
      <w:r w:rsidRPr="00D233FE">
        <w:rPr>
          <w:rFonts w:cs="Times New Roman"/>
          <w:szCs w:val="24"/>
        </w:rPr>
        <w:t>The PUCO’s e-filing system will electronically serve notice of the filing of this document on the following parties:</w:t>
      </w:r>
    </w:p>
    <w:p w:rsidR="00560106" w:rsidRPr="00D233FE" w:rsidP="00560106" w14:paraId="072A1E99" w14:textId="77777777">
      <w:pPr>
        <w:jc w:val="center"/>
        <w:rPr>
          <w:rFonts w:eastAsia="Times New Roman" w:cs="Times New Roman"/>
          <w:b/>
          <w:szCs w:val="24"/>
          <w:u w:val="single"/>
        </w:rPr>
      </w:pPr>
    </w:p>
    <w:p w:rsidR="00560106" w:rsidRPr="00823851" w:rsidP="00560106" w14:paraId="75E4876E" w14:textId="77777777">
      <w:pPr>
        <w:jc w:val="center"/>
        <w:rPr>
          <w:rFonts w:eastAsia="Times New Roman" w:cs="Times New Roman"/>
          <w:b/>
          <w:szCs w:val="24"/>
          <w:u w:val="single"/>
        </w:rPr>
      </w:pPr>
      <w:r w:rsidRPr="00823851">
        <w:rPr>
          <w:rFonts w:eastAsia="Times New Roman" w:cs="Times New Roman"/>
          <w:b/>
          <w:szCs w:val="24"/>
          <w:u w:val="single"/>
        </w:rPr>
        <w:t>SERVICE LIST</w:t>
      </w:r>
    </w:p>
    <w:p w:rsidR="00560106" w:rsidRPr="00823851" w:rsidP="00560106" w14:paraId="5B2C7B79" w14:textId="77777777">
      <w:pPr>
        <w:jc w:val="both"/>
        <w:rPr>
          <w:rFonts w:cs="Times New Roman"/>
          <w:color w:val="0000FF"/>
          <w:szCs w:val="24"/>
        </w:rPr>
      </w:pPr>
    </w:p>
    <w:tbl>
      <w:tblPr>
        <w:tblStyle w:val="TableGrid"/>
        <w:tblW w:w="8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3"/>
        <w:gridCol w:w="4087"/>
      </w:tblGrid>
      <w:tr w14:paraId="17BA10E7" w14:textId="77777777" w:rsidTr="00AA31AE">
        <w:tblPrEx>
          <w:tblW w:w="8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43" w:type="dxa"/>
          </w:tcPr>
          <w:p w:rsidR="00560106" w:rsidRPr="00823851" w:rsidP="00AA31AE" w14:paraId="5489BC2E" w14:textId="77777777">
            <w:pPr>
              <w:jc w:val="both"/>
              <w:rPr>
                <w:color w:val="0000FF"/>
              </w:rPr>
            </w:pPr>
          </w:p>
          <w:p w:rsidR="00560106" w:rsidP="00AA31AE" w14:paraId="430507C7" w14:textId="77777777">
            <w:pPr>
              <w:jc w:val="both"/>
            </w:pPr>
            <w:hyperlink r:id="rId9" w:history="1">
              <w:r w:rsidRPr="00823851">
                <w:rPr>
                  <w:rStyle w:val="Hyperlink"/>
                </w:rPr>
                <w:t>john.jones@ohioattorneyegeneral.gov</w:t>
              </w:r>
            </w:hyperlink>
          </w:p>
          <w:p w:rsidR="00560106" w:rsidP="00AA31AE" w14:paraId="330839AE" w14:textId="77777777">
            <w:pPr>
              <w:jc w:val="both"/>
            </w:pPr>
            <w:hyperlink r:id="rId10" w:history="1">
              <w:r w:rsidRPr="009E3BC8">
                <w:rPr>
                  <w:rStyle w:val="Hyperlink"/>
                </w:rPr>
                <w:t>natalia.messenger@ohioattorneygeneral.gov</w:t>
              </w:r>
            </w:hyperlink>
          </w:p>
          <w:p w:rsidR="00560106" w:rsidRPr="00823851" w:rsidP="00AA31AE" w14:paraId="5D99A0A0" w14:textId="77777777">
            <w:pPr>
              <w:jc w:val="both"/>
              <w:rPr>
                <w:rStyle w:val="Hyperlink"/>
              </w:rPr>
            </w:pPr>
            <w:hyperlink r:id="rId11" w:history="1">
              <w:r w:rsidRPr="00823851">
                <w:rPr>
                  <w:rStyle w:val="Hyperlink"/>
                </w:rPr>
                <w:t>mkurtz@BKLlawfirm.com</w:t>
              </w:r>
            </w:hyperlink>
          </w:p>
          <w:p w:rsidR="00560106" w:rsidRPr="00823851" w:rsidP="00AA31AE" w14:paraId="69B400D9" w14:textId="77777777">
            <w:pPr>
              <w:jc w:val="both"/>
              <w:rPr>
                <w:rStyle w:val="Hyperlink"/>
              </w:rPr>
            </w:pPr>
            <w:hyperlink r:id="rId12" w:history="1">
              <w:r w:rsidRPr="00823851">
                <w:rPr>
                  <w:rStyle w:val="Hyperlink"/>
                </w:rPr>
                <w:t>kboehm@BKLlawfirm.com</w:t>
              </w:r>
            </w:hyperlink>
          </w:p>
          <w:p w:rsidR="00560106" w:rsidRPr="00823851" w:rsidP="00AA31AE" w14:paraId="39918629" w14:textId="77777777">
            <w:pPr>
              <w:jc w:val="both"/>
              <w:rPr>
                <w:rStyle w:val="Hyperlink"/>
              </w:rPr>
            </w:pPr>
            <w:hyperlink r:id="rId13" w:history="1">
              <w:r w:rsidRPr="00823851">
                <w:rPr>
                  <w:rStyle w:val="Hyperlink"/>
                </w:rPr>
                <w:t>jkylercohn@BKLlawfirm.com</w:t>
              </w:r>
            </w:hyperlink>
          </w:p>
          <w:p w:rsidR="00560106" w:rsidRPr="00823851" w:rsidP="00AA31AE" w14:paraId="1ED49A01" w14:textId="77777777">
            <w:pPr>
              <w:autoSpaceDE w:val="0"/>
              <w:autoSpaceDN w:val="0"/>
              <w:adjustRightInd w:val="0"/>
              <w:rPr>
                <w:color w:val="0000FF"/>
              </w:rPr>
            </w:pPr>
            <w:hyperlink r:id="rId14" w:history="1">
              <w:r w:rsidRPr="00823851">
                <w:rPr>
                  <w:rStyle w:val="Hyperlink"/>
                </w:rPr>
                <w:t>Bojko@carpenterlipps.com</w:t>
              </w:r>
            </w:hyperlink>
          </w:p>
          <w:p w:rsidR="00560106" w:rsidP="00AA31AE" w14:paraId="5D24DA4C" w14:textId="77777777">
            <w:pPr>
              <w:jc w:val="both"/>
              <w:rPr>
                <w:rStyle w:val="Hyperlink"/>
              </w:rPr>
            </w:pPr>
            <w:hyperlink r:id="rId15" w:history="1">
              <w:r w:rsidRPr="00823851">
                <w:rPr>
                  <w:rStyle w:val="Hyperlink"/>
                </w:rPr>
                <w:t>Wygonski@carpenterlipps.com</w:t>
              </w:r>
            </w:hyperlink>
          </w:p>
          <w:p w:rsidR="00560106" w:rsidP="00AA31AE" w14:paraId="69D78FD1" w14:textId="77777777">
            <w:pPr>
              <w:jc w:val="both"/>
              <w:rPr>
                <w:color w:val="0000FF"/>
              </w:rPr>
            </w:pPr>
            <w:hyperlink r:id="rId16" w:history="1">
              <w:r w:rsidRPr="00E12756">
                <w:rPr>
                  <w:rStyle w:val="Hyperlink"/>
                </w:rPr>
                <w:t>rdove@keglerbrown.com</w:t>
              </w:r>
            </w:hyperlink>
          </w:p>
          <w:p w:rsidR="00560106" w:rsidP="00AA31AE" w14:paraId="0DB52895" w14:textId="77777777">
            <w:pPr>
              <w:jc w:val="both"/>
              <w:rPr>
                <w:color w:val="0000FF"/>
              </w:rPr>
            </w:pPr>
            <w:hyperlink r:id="rId17" w:history="1">
              <w:r w:rsidRPr="00E12756">
                <w:rPr>
                  <w:rStyle w:val="Hyperlink"/>
                </w:rPr>
                <w:t>tdougherty@theOEC.org</w:t>
              </w:r>
            </w:hyperlink>
          </w:p>
          <w:p w:rsidR="00560106" w:rsidP="00AA31AE" w14:paraId="79E2A5EE" w14:textId="77777777">
            <w:pPr>
              <w:jc w:val="both"/>
              <w:rPr>
                <w:rStyle w:val="Hyperlink"/>
              </w:rPr>
            </w:pPr>
            <w:hyperlink r:id="rId18" w:history="1">
              <w:r w:rsidRPr="00E12756">
                <w:rPr>
                  <w:rStyle w:val="Hyperlink"/>
                </w:rPr>
                <w:t>mleppla@theOEC.org</w:t>
              </w:r>
            </w:hyperlink>
          </w:p>
          <w:p w:rsidR="00560106" w:rsidP="00AA31AE" w14:paraId="07049872" w14:textId="77777777">
            <w:pPr>
              <w:jc w:val="both"/>
              <w:rPr>
                <w:rStyle w:val="Hyperlink"/>
              </w:rPr>
            </w:pPr>
            <w:hyperlink r:id="rId19" w:history="1">
              <w:r w:rsidRPr="002D6F58">
                <w:rPr>
                  <w:rStyle w:val="Hyperlink"/>
                </w:rPr>
                <w:t>paul@carpenterlipps.com</w:t>
              </w:r>
            </w:hyperlink>
          </w:p>
          <w:p w:rsidR="00560106" w:rsidP="00AA31AE" w14:paraId="5658FFFD" w14:textId="77777777">
            <w:pPr>
              <w:jc w:val="both"/>
              <w:rPr>
                <w:color w:val="0000FF"/>
              </w:rPr>
            </w:pPr>
            <w:hyperlink r:id="rId20" w:history="1">
              <w:r w:rsidRPr="002D6F58">
                <w:rPr>
                  <w:rStyle w:val="Hyperlink"/>
                </w:rPr>
                <w:t>dutton@carpenterlipps.com</w:t>
              </w:r>
            </w:hyperlink>
          </w:p>
          <w:p w:rsidR="00560106" w:rsidRPr="00823851" w:rsidP="00AA31AE" w14:paraId="2F617E0E" w14:textId="77777777">
            <w:pPr>
              <w:jc w:val="both"/>
              <w:rPr>
                <w:color w:val="0000FF"/>
              </w:rPr>
            </w:pPr>
            <w:hyperlink r:id="rId21" w:history="1">
              <w:r w:rsidRPr="002D6F58">
                <w:rPr>
                  <w:rStyle w:val="Hyperlink"/>
                </w:rPr>
                <w:t>callwein@keglerbrown.com</w:t>
              </w:r>
            </w:hyperlink>
          </w:p>
          <w:p w:rsidR="00560106" w:rsidRPr="00823851" w:rsidP="00AA31AE" w14:paraId="4A2D9D34" w14:textId="77777777">
            <w:pPr>
              <w:jc w:val="both"/>
              <w:rPr>
                <w:color w:val="0000FF"/>
              </w:rPr>
            </w:pPr>
          </w:p>
        </w:tc>
        <w:tc>
          <w:tcPr>
            <w:tcW w:w="4087" w:type="dxa"/>
          </w:tcPr>
          <w:p w:rsidR="00560106" w:rsidRPr="00823851" w:rsidP="00AA31AE" w14:paraId="52F49D9F" w14:textId="77777777">
            <w:pPr>
              <w:autoSpaceDE w:val="0"/>
              <w:autoSpaceDN w:val="0"/>
              <w:adjustRightInd w:val="0"/>
              <w:rPr>
                <w:color w:val="0000FF"/>
              </w:rPr>
            </w:pPr>
          </w:p>
          <w:p w:rsidR="00560106" w:rsidRPr="00823851" w:rsidP="00AA31AE" w14:paraId="0D4FAC6A" w14:textId="77777777">
            <w:pPr>
              <w:autoSpaceDE w:val="0"/>
              <w:autoSpaceDN w:val="0"/>
              <w:adjustRightInd w:val="0"/>
              <w:ind w:left="330"/>
              <w:rPr>
                <w:rStyle w:val="Hyperlink"/>
              </w:rPr>
            </w:pPr>
            <w:hyperlink r:id="rId22" w:history="1">
              <w:r w:rsidRPr="00823851">
                <w:rPr>
                  <w:rStyle w:val="Hyperlink"/>
                </w:rPr>
                <w:t>bknipe@firstenergycorp.com</w:t>
              </w:r>
            </w:hyperlink>
          </w:p>
          <w:p w:rsidR="00560106" w:rsidP="00AA31AE" w14:paraId="44961535" w14:textId="77777777">
            <w:pPr>
              <w:autoSpaceDE w:val="0"/>
              <w:autoSpaceDN w:val="0"/>
              <w:adjustRightInd w:val="0"/>
              <w:ind w:left="330"/>
              <w:rPr>
                <w:rStyle w:val="Hyperlink"/>
              </w:rPr>
            </w:pPr>
            <w:hyperlink r:id="rId23" w:history="1">
              <w:r w:rsidRPr="00823851">
                <w:rPr>
                  <w:rStyle w:val="Hyperlink"/>
                </w:rPr>
                <w:t>edanford@firstenergycorp.com</w:t>
              </w:r>
            </w:hyperlink>
          </w:p>
          <w:p w:rsidR="00560106" w:rsidP="00AA31AE" w14:paraId="4CB85CA8" w14:textId="77777777">
            <w:pPr>
              <w:autoSpaceDE w:val="0"/>
              <w:autoSpaceDN w:val="0"/>
              <w:adjustRightInd w:val="0"/>
              <w:ind w:left="330"/>
              <w:rPr>
                <w:rFonts w:ascii="TimesNewRomanPSMT" w:hAnsi="TimesNewRomanPSMT" w:cs="TimesNewRomanPSMT"/>
              </w:rPr>
            </w:pPr>
            <w:hyperlink r:id="rId24" w:history="1">
              <w:r w:rsidRPr="00E12756">
                <w:rPr>
                  <w:rStyle w:val="Hyperlink"/>
                  <w:rFonts w:ascii="TimesNewRomanPSMT" w:hAnsi="TimesNewRomanPSMT" w:cs="TimesNewRomanPSMT"/>
                </w:rPr>
                <w:t>mrgladman@jonesday.com</w:t>
              </w:r>
            </w:hyperlink>
          </w:p>
          <w:p w:rsidR="00560106" w:rsidP="00AA31AE" w14:paraId="57C78108" w14:textId="77777777">
            <w:pPr>
              <w:autoSpaceDE w:val="0"/>
              <w:autoSpaceDN w:val="0"/>
              <w:adjustRightInd w:val="0"/>
              <w:ind w:left="330"/>
              <w:rPr>
                <w:rStyle w:val="Hyperlink"/>
              </w:rPr>
            </w:pPr>
            <w:hyperlink r:id="rId25" w:history="1">
              <w:r w:rsidRPr="00823851">
                <w:rPr>
                  <w:rStyle w:val="Hyperlink"/>
                </w:rPr>
                <w:t>mkl@smxblaw.com</w:t>
              </w:r>
            </w:hyperlink>
          </w:p>
          <w:p w:rsidR="00560106" w:rsidRPr="00823851" w:rsidP="00AA31AE" w14:paraId="1BADEE3E" w14:textId="77777777">
            <w:pPr>
              <w:ind w:left="294"/>
              <w:jc w:val="both"/>
              <w:rPr>
                <w:rStyle w:val="Hyperlink"/>
              </w:rPr>
            </w:pPr>
            <w:hyperlink r:id="rId26" w:history="1">
              <w:r w:rsidRPr="00823851">
                <w:rPr>
                  <w:rStyle w:val="Hyperlink"/>
                </w:rPr>
                <w:t>joe.oliker@igs.com</w:t>
              </w:r>
            </w:hyperlink>
          </w:p>
          <w:p w:rsidR="00560106" w:rsidRPr="00823851" w:rsidP="00AA31AE" w14:paraId="7A998E4C" w14:textId="77777777">
            <w:pPr>
              <w:ind w:left="294"/>
              <w:jc w:val="both"/>
              <w:rPr>
                <w:rStyle w:val="Hyperlink"/>
              </w:rPr>
            </w:pPr>
            <w:hyperlink r:id="rId27" w:history="1">
              <w:r w:rsidRPr="00823851">
                <w:rPr>
                  <w:rStyle w:val="Hyperlink"/>
                </w:rPr>
                <w:t>Mnugent@igs.com</w:t>
              </w:r>
            </w:hyperlink>
          </w:p>
          <w:p w:rsidR="00560106" w:rsidP="00AA31AE" w14:paraId="6FF4E847" w14:textId="77777777">
            <w:pPr>
              <w:ind w:left="294"/>
              <w:jc w:val="both"/>
              <w:rPr>
                <w:rStyle w:val="Hyperlink"/>
              </w:rPr>
            </w:pPr>
            <w:hyperlink r:id="rId28" w:history="1">
              <w:r w:rsidRPr="00823851">
                <w:rPr>
                  <w:rStyle w:val="Hyperlink"/>
                </w:rPr>
                <w:t>Bethany.allen@igs.com</w:t>
              </w:r>
            </w:hyperlink>
          </w:p>
          <w:p w:rsidR="00560106" w:rsidP="00AA31AE" w14:paraId="217FD093" w14:textId="77777777">
            <w:pPr>
              <w:ind w:left="294"/>
              <w:jc w:val="both"/>
              <w:rPr>
                <w:rStyle w:val="Hyperlink"/>
              </w:rPr>
            </w:pPr>
            <w:hyperlink r:id="rId29" w:history="1">
              <w:r w:rsidRPr="00E12756">
                <w:rPr>
                  <w:rStyle w:val="Hyperlink"/>
                </w:rPr>
                <w:t>rkelter@elpc.org</w:t>
              </w:r>
            </w:hyperlink>
          </w:p>
          <w:p w:rsidR="00560106" w:rsidP="00AA31AE" w14:paraId="3F7156B8" w14:textId="77777777">
            <w:pPr>
              <w:ind w:left="294"/>
              <w:jc w:val="both"/>
              <w:rPr>
                <w:rStyle w:val="Hyperlink"/>
              </w:rPr>
            </w:pPr>
            <w:hyperlink r:id="rId30" w:history="1">
              <w:r w:rsidRPr="00E12756">
                <w:rPr>
                  <w:rStyle w:val="Hyperlink"/>
                </w:rPr>
                <w:t>swilliams@nrdc.org</w:t>
              </w:r>
            </w:hyperlink>
          </w:p>
          <w:p w:rsidR="00560106" w:rsidP="00AA31AE" w14:paraId="7A1896F9" w14:textId="77777777">
            <w:pPr>
              <w:ind w:left="294"/>
              <w:jc w:val="both"/>
              <w:rPr>
                <w:rStyle w:val="Hyperlink"/>
              </w:rPr>
            </w:pPr>
            <w:hyperlink r:id="rId31" w:history="1">
              <w:r w:rsidRPr="00E12756">
                <w:rPr>
                  <w:rStyle w:val="Hyperlink"/>
                </w:rPr>
                <w:t>mpritchard@mcneeslaw.com</w:t>
              </w:r>
            </w:hyperlink>
          </w:p>
          <w:p w:rsidR="00560106" w:rsidP="00AA31AE" w14:paraId="1C64CF43" w14:textId="77777777">
            <w:pPr>
              <w:ind w:left="294"/>
              <w:jc w:val="both"/>
              <w:rPr>
                <w:rStyle w:val="Hyperlink"/>
              </w:rPr>
            </w:pPr>
            <w:hyperlink r:id="rId32" w:history="1">
              <w:r w:rsidRPr="00E12756">
                <w:rPr>
                  <w:rStyle w:val="Hyperlink"/>
                </w:rPr>
                <w:t>dborchers@bricker.com</w:t>
              </w:r>
            </w:hyperlink>
          </w:p>
          <w:p w:rsidR="00560106" w:rsidP="00AA31AE" w14:paraId="626FFA1B" w14:textId="77777777">
            <w:pPr>
              <w:ind w:left="294"/>
              <w:jc w:val="both"/>
              <w:rPr>
                <w:rStyle w:val="Hyperlink"/>
              </w:rPr>
            </w:pPr>
            <w:hyperlink r:id="rId33" w:history="1">
              <w:r w:rsidRPr="00E12756">
                <w:rPr>
                  <w:rStyle w:val="Hyperlink"/>
                </w:rPr>
                <w:t>sechler@carpenterlipps.com</w:t>
              </w:r>
            </w:hyperlink>
          </w:p>
          <w:p w:rsidR="00560106" w:rsidRPr="00823851" w:rsidP="00AA31AE" w14:paraId="7CDAC38F" w14:textId="77777777">
            <w:pPr>
              <w:autoSpaceDE w:val="0"/>
              <w:autoSpaceDN w:val="0"/>
              <w:adjustRightInd w:val="0"/>
              <w:ind w:left="330"/>
              <w:rPr>
                <w:color w:val="0000FF"/>
              </w:rPr>
            </w:pPr>
          </w:p>
          <w:p w:rsidR="00560106" w:rsidRPr="00823851" w:rsidP="00AA31AE" w14:paraId="6F8D3869" w14:textId="77777777">
            <w:pPr>
              <w:autoSpaceDE w:val="0"/>
              <w:autoSpaceDN w:val="0"/>
              <w:adjustRightInd w:val="0"/>
              <w:ind w:left="330"/>
              <w:rPr>
                <w:color w:val="0000FF"/>
              </w:rPr>
            </w:pPr>
          </w:p>
        </w:tc>
      </w:tr>
    </w:tbl>
    <w:p w:rsidR="00560106" w:rsidRPr="00823851" w:rsidP="00560106" w14:paraId="58273207" w14:textId="5CB53393">
      <w:pPr>
        <w:autoSpaceDE w:val="0"/>
        <w:autoSpaceDN w:val="0"/>
        <w:adjustRightInd w:val="0"/>
        <w:rPr>
          <w:rFonts w:cs="Times New Roman"/>
          <w:color w:val="0000FF"/>
          <w:szCs w:val="24"/>
        </w:rPr>
      </w:pPr>
      <w:r>
        <w:rPr>
          <w:rFonts w:cs="Times New Roman"/>
          <w:color w:val="000000"/>
          <w:szCs w:val="24"/>
        </w:rPr>
        <w:t xml:space="preserve"> </w:t>
      </w:r>
      <w:r w:rsidRPr="00823851">
        <w:rPr>
          <w:rFonts w:cs="Times New Roman"/>
          <w:color w:val="000000"/>
          <w:szCs w:val="24"/>
        </w:rPr>
        <w:t>Attorney Examiner:</w:t>
      </w:r>
      <w:r w:rsidRPr="00823851">
        <w:rPr>
          <w:rFonts w:cs="Times New Roman"/>
          <w:color w:val="0000FF"/>
          <w:szCs w:val="24"/>
        </w:rPr>
        <w:tab/>
      </w:r>
    </w:p>
    <w:p w:rsidR="00560106" w:rsidRPr="00823851" w:rsidP="00560106" w14:paraId="72B714A6" w14:textId="4507E22F">
      <w:pPr>
        <w:rPr>
          <w:rFonts w:cs="Times New Roman"/>
        </w:rPr>
      </w:pPr>
      <w:r>
        <w:rPr>
          <w:rFonts w:cs="Times New Roman"/>
          <w:szCs w:val="24"/>
        </w:rPr>
        <w:t xml:space="preserve"> </w:t>
      </w:r>
      <w:hyperlink r:id="rId34" w:history="1">
        <w:r w:rsidRPr="00823851">
          <w:rPr>
            <w:rStyle w:val="Hyperlink"/>
            <w:rFonts w:cs="Times New Roman"/>
          </w:rPr>
          <w:t>Lauren.augostini@puco.ohio.gov</w:t>
        </w:r>
      </w:hyperlink>
    </w:p>
    <w:p w:rsidR="00560106" w:rsidRPr="00823851" w:rsidP="00560106" w14:paraId="74A029E6" w14:textId="77777777">
      <w:pPr>
        <w:rPr>
          <w:rStyle w:val="Hyperlink"/>
          <w:rFonts w:cs="Times New Roman"/>
          <w:szCs w:val="24"/>
        </w:rPr>
      </w:pPr>
    </w:p>
    <w:p w:rsidR="00560106" w:rsidRPr="00D233FE" w:rsidP="00560106" w14:paraId="3F7457AA" w14:textId="77777777">
      <w:pPr>
        <w:rPr>
          <w:rFonts w:cs="Times New Roman"/>
          <w:color w:val="0000FF"/>
          <w:szCs w:val="24"/>
        </w:rPr>
      </w:pPr>
      <w:r w:rsidRPr="00D233FE">
        <w:rPr>
          <w:rFonts w:cs="Times New Roman"/>
          <w:color w:val="0000FF"/>
          <w:szCs w:val="24"/>
        </w:rPr>
        <w:tab/>
      </w:r>
      <w:r w:rsidRPr="00D233FE">
        <w:rPr>
          <w:rFonts w:cs="Times New Roman"/>
          <w:color w:val="0000FF"/>
          <w:szCs w:val="24"/>
        </w:rPr>
        <w:tab/>
      </w:r>
      <w:r w:rsidRPr="00D233FE">
        <w:rPr>
          <w:rFonts w:cs="Times New Roman"/>
          <w:color w:val="0000FF"/>
          <w:szCs w:val="24"/>
        </w:rPr>
        <w:tab/>
      </w:r>
    </w:p>
    <w:p w:rsidR="00560106" w:rsidRPr="00D233FE" w:rsidP="00560106" w14:paraId="6D53D904" w14:textId="77777777">
      <w:pPr>
        <w:spacing w:line="480" w:lineRule="auto"/>
        <w:ind w:firstLine="720"/>
        <w:rPr>
          <w:rFonts w:cs="Times New Roman"/>
          <w:szCs w:val="24"/>
        </w:rPr>
      </w:pPr>
    </w:p>
    <w:sectPr w:rsidSect="00BD1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7CD0" w:rsidRPr="00CD7CD0" w14:paraId="643F79EA" w14:textId="70B0C840">
    <w:pPr>
      <w:pStyle w:val="Footer"/>
      <w:jc w:val="cente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37576886"/>
      <w:docPartObj>
        <w:docPartGallery w:val="Page Numbers (Bottom of Page)"/>
        <w:docPartUnique/>
      </w:docPartObj>
    </w:sdtPr>
    <w:sdtEndPr>
      <w:rPr>
        <w:noProof/>
        <w:sz w:val="24"/>
        <w:szCs w:val="24"/>
      </w:rPr>
    </w:sdtEndPr>
    <w:sdtContent>
      <w:p w:rsidR="008A2527" w:rsidRPr="008A2527" w14:paraId="07D13834" w14:textId="5EA3FCE5">
        <w:pPr>
          <w:pStyle w:val="Footer"/>
          <w:jc w:val="center"/>
          <w:rPr>
            <w:sz w:val="24"/>
            <w:szCs w:val="24"/>
          </w:rPr>
        </w:pPr>
        <w:r w:rsidRPr="008A2527">
          <w:rPr>
            <w:sz w:val="24"/>
            <w:szCs w:val="24"/>
          </w:rPr>
          <w:fldChar w:fldCharType="begin"/>
        </w:r>
        <w:r w:rsidRPr="008A2527">
          <w:rPr>
            <w:sz w:val="24"/>
            <w:szCs w:val="24"/>
          </w:rPr>
          <w:instrText xml:space="preserve"> PAGE   \* MERGEFORMAT </w:instrText>
        </w:r>
        <w:r w:rsidRPr="008A2527">
          <w:rPr>
            <w:sz w:val="24"/>
            <w:szCs w:val="24"/>
          </w:rPr>
          <w:fldChar w:fldCharType="separate"/>
        </w:r>
        <w:r w:rsidRPr="008A2527">
          <w:rPr>
            <w:noProof/>
            <w:sz w:val="24"/>
            <w:szCs w:val="24"/>
          </w:rPr>
          <w:t>2</w:t>
        </w:r>
        <w:r w:rsidRPr="008A2527">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50C8C" w:rsidP="008E7BC5" w14:paraId="1478A7E0" w14:textId="77777777">
      <w:r>
        <w:separator/>
      </w:r>
    </w:p>
  </w:footnote>
  <w:footnote w:type="continuationSeparator" w:id="1">
    <w:p w:rsidR="00F50C8C" w:rsidP="008E7BC5" w14:paraId="1995BECC" w14:textId="77777777">
      <w:r>
        <w:continuationSeparator/>
      </w:r>
    </w:p>
  </w:footnote>
  <w:footnote w:id="2">
    <w:p w:rsidR="00E71F61" w:rsidP="00E86CAB" w14:paraId="564A18EC" w14:textId="5AF7D34E">
      <w:pPr>
        <w:pStyle w:val="FootnoteText"/>
        <w:spacing w:after="120"/>
      </w:pPr>
      <w:r>
        <w:rPr>
          <w:rStyle w:val="FootnoteReference"/>
        </w:rPr>
        <w:footnoteRef/>
      </w:r>
      <w:r>
        <w:t xml:space="preserve"> IEU Comments at 1.</w:t>
      </w:r>
    </w:p>
  </w:footnote>
  <w:footnote w:id="3">
    <w:p w:rsidR="00FD0A0B" w:rsidP="00E86CAB" w14:paraId="1C0D42BC" w14:textId="58FAC614">
      <w:pPr>
        <w:pStyle w:val="FootnoteText"/>
        <w:spacing w:after="120"/>
      </w:pPr>
      <w:r>
        <w:rPr>
          <w:rStyle w:val="FootnoteReference"/>
        </w:rPr>
        <w:footnoteRef/>
      </w:r>
      <w:r>
        <w:t xml:space="preserve"> Nucor Comments at 4-10; OEG Comments at 2, 11, 15; IEU Comments at 2-3.</w:t>
      </w:r>
    </w:p>
  </w:footnote>
  <w:footnote w:id="4">
    <w:p w:rsidR="007817A1" w:rsidRPr="007817A1" w:rsidP="00E86CAB" w14:paraId="71783D0F" w14:textId="3CC7F824">
      <w:pPr>
        <w:pStyle w:val="FootnoteText"/>
        <w:spacing w:after="120"/>
      </w:pPr>
      <w:r>
        <w:rPr>
          <w:rStyle w:val="FootnoteReference"/>
        </w:rPr>
        <w:footnoteRef/>
      </w:r>
      <w:r>
        <w:t xml:space="preserve"> </w:t>
      </w:r>
      <w:r>
        <w:rPr>
          <w:i/>
          <w:iCs/>
        </w:rPr>
        <w:t>In re Determination of Existence of Significantly Excessive Earnings for 2017 Under Elec. Sec. Plan of Ohio Edison Co.</w:t>
      </w:r>
      <w:r>
        <w:t xml:space="preserve">, 2020-Ohio-5450, </w:t>
      </w:r>
      <w:r>
        <w:rPr>
          <w:rFonts w:cs="Times New Roman"/>
        </w:rPr>
        <w:t>¶</w:t>
      </w:r>
      <w:r>
        <w:t> 20 (“The commission is a creature of statute and may act only under the authority conferred on it by the General Assembly.”).</w:t>
      </w:r>
    </w:p>
  </w:footnote>
  <w:footnote w:id="5">
    <w:p w:rsidR="00D159E8" w:rsidP="00E86CAB" w14:paraId="046EDF80" w14:textId="507905E0">
      <w:pPr>
        <w:pStyle w:val="FootnoteText"/>
        <w:spacing w:after="120"/>
      </w:pPr>
      <w:r>
        <w:rPr>
          <w:rStyle w:val="FootnoteReference"/>
        </w:rPr>
        <w:footnoteRef/>
      </w:r>
      <w:r>
        <w:t xml:space="preserve"> Nucor Comments at 3, 10-15; OEG Comments at 12; IEU Comments at 3-4</w:t>
      </w:r>
      <w:r w:rsidR="00B13F4A">
        <w:t xml:space="preserve">; FirstEnergy Comments at </w:t>
      </w:r>
      <w:r w:rsidR="00BA1E6C">
        <w:t>3-9.</w:t>
      </w:r>
    </w:p>
  </w:footnote>
  <w:footnote w:id="6">
    <w:p w:rsidR="00D159E8" w:rsidP="00E86CAB" w14:paraId="299B2966" w14:textId="737995CC">
      <w:pPr>
        <w:pStyle w:val="FootnoteText"/>
        <w:spacing w:after="120"/>
      </w:pPr>
      <w:r>
        <w:rPr>
          <w:rStyle w:val="FootnoteReference"/>
        </w:rPr>
        <w:footnoteRef/>
      </w:r>
      <w:r>
        <w:t xml:space="preserve"> OCC Comments at 4-5.</w:t>
      </w:r>
    </w:p>
  </w:footnote>
  <w:footnote w:id="7">
    <w:p w:rsidR="00672B91" w:rsidP="00E86CAB" w14:paraId="1A047B8F" w14:textId="2CB13A8F">
      <w:pPr>
        <w:pStyle w:val="FootnoteText"/>
        <w:spacing w:after="120"/>
      </w:pPr>
      <w:r>
        <w:rPr>
          <w:rStyle w:val="FootnoteReference"/>
        </w:rPr>
        <w:footnoteRef/>
      </w:r>
      <w:r>
        <w:t xml:space="preserve"> Nucor Comments at 15; IEU Comments at 3; OEG Comments at 3.</w:t>
      </w:r>
    </w:p>
  </w:footnote>
  <w:footnote w:id="8">
    <w:p w:rsidR="009B5717" w:rsidRPr="009B5717" w:rsidP="00E86CAB" w14:paraId="4B611108" w14:textId="1DB1FB3E">
      <w:pPr>
        <w:pStyle w:val="FootnoteText"/>
        <w:spacing w:after="120"/>
      </w:pPr>
      <w:r>
        <w:rPr>
          <w:rStyle w:val="FootnoteReference"/>
        </w:rPr>
        <w:footnoteRef/>
      </w:r>
      <w:r>
        <w:t xml:space="preserve"> </w:t>
      </w:r>
      <w:r>
        <w:rPr>
          <w:i/>
          <w:iCs/>
        </w:rPr>
        <w:t xml:space="preserve">See </w:t>
      </w:r>
      <w:r>
        <w:t>Ohio Edison Co., Rider ELR, Sheet 101; Cleveland Electric Co., Rider ELR, Sheet 101; Toledo Edison, Rider ELR, Sheet 101.</w:t>
      </w:r>
    </w:p>
  </w:footnote>
  <w:footnote w:id="9">
    <w:p w:rsidR="009B5717" w:rsidP="00E86CAB" w14:paraId="48A55014" w14:textId="476B79BE">
      <w:pPr>
        <w:pStyle w:val="FootnoteText"/>
        <w:spacing w:after="120"/>
      </w:pPr>
      <w:r>
        <w:rPr>
          <w:rStyle w:val="FootnoteReference"/>
        </w:rPr>
        <w:footnoteRef/>
      </w:r>
      <w:r>
        <w:t xml:space="preserve"> OEG Comments at 7.</w:t>
      </w:r>
    </w:p>
  </w:footnote>
  <w:footnote w:id="10">
    <w:p w:rsidR="009B5717" w:rsidP="00E86CAB" w14:paraId="5AED8EFF" w14:textId="10C76220">
      <w:pPr>
        <w:pStyle w:val="FootnoteText"/>
        <w:spacing w:after="120"/>
      </w:pPr>
      <w:r>
        <w:rPr>
          <w:rStyle w:val="FootnoteReference"/>
        </w:rPr>
        <w:footnoteRef/>
      </w:r>
      <w:r>
        <w:t xml:space="preserve"> </w:t>
      </w:r>
      <w:r>
        <w:rPr>
          <w:i/>
          <w:iCs/>
        </w:rPr>
        <w:t xml:space="preserve">See </w:t>
      </w:r>
      <w:r>
        <w:t>Ohio Edison Co., Rider ELR, Sheet 101; Cleveland Electric Co., Rider ELR, Sheet 101; Toledo Edison, Rider ELR, Sheet 101</w:t>
      </w:r>
      <w:r w:rsidR="00DB03C6">
        <w:t xml:space="preserve"> (customer not allowed to participate in other peak demand reduction programs if it participates in the Economic Load Response program; customer must commit its demand response savings to meet Ohio’s now-defunct mandates; PUCO must fine that the demand response savings are counted for purposes of meeting the now-defunct mandates).</w:t>
      </w:r>
    </w:p>
  </w:footnote>
  <w:footnote w:id="11">
    <w:p w:rsidR="00DB03C6" w:rsidRPr="00DB03C6" w:rsidP="00E86CAB" w14:paraId="49FDFA99" w14:textId="4BC3158E">
      <w:pPr>
        <w:pStyle w:val="FootnoteText"/>
        <w:spacing w:after="120"/>
      </w:pPr>
      <w:r>
        <w:rPr>
          <w:rStyle w:val="FootnoteReference"/>
        </w:rPr>
        <w:footnoteRef/>
      </w:r>
      <w:r>
        <w:t xml:space="preserve"> </w:t>
      </w:r>
      <w:r>
        <w:rPr>
          <w:i/>
          <w:iCs/>
        </w:rPr>
        <w:t>Id.</w:t>
      </w:r>
    </w:p>
  </w:footnote>
  <w:footnote w:id="12">
    <w:p w:rsidR="00E46390" w:rsidP="00E86CAB" w14:paraId="07FB683A" w14:textId="49160D1A">
      <w:pPr>
        <w:pStyle w:val="FootnoteText"/>
        <w:spacing w:after="120"/>
      </w:pPr>
      <w:r>
        <w:rPr>
          <w:rStyle w:val="FootnoteReference"/>
        </w:rPr>
        <w:footnoteRef/>
      </w:r>
      <w:r>
        <w:t xml:space="preserve"> IEU Comments at 5-6.</w:t>
      </w:r>
    </w:p>
  </w:footnote>
  <w:footnote w:id="13">
    <w:p w:rsidR="00E46390" w:rsidRPr="00E46390" w:rsidP="00E86CAB" w14:paraId="29B42340" w14:textId="5F9434B5">
      <w:pPr>
        <w:pStyle w:val="FootnoteText"/>
        <w:spacing w:after="120"/>
      </w:pPr>
      <w:r>
        <w:rPr>
          <w:rStyle w:val="FootnoteReference"/>
        </w:rPr>
        <w:footnoteRef/>
      </w:r>
      <w:r>
        <w:t xml:space="preserve"> IEU Comments at 6 (quoting </w:t>
      </w:r>
      <w:r>
        <w:rPr>
          <w:i/>
          <w:iCs/>
        </w:rPr>
        <w:t>Ohio Power Co.</w:t>
      </w:r>
      <w:r>
        <w:t>, 2015-Ohio-2056).</w:t>
      </w:r>
    </w:p>
  </w:footnote>
  <w:footnote w:id="14">
    <w:p w:rsidR="00E46390" w:rsidP="00E86CAB" w14:paraId="52DC073F" w14:textId="4EE0737B">
      <w:pPr>
        <w:pStyle w:val="FootnoteText"/>
        <w:spacing w:after="120"/>
      </w:pPr>
      <w:r>
        <w:rPr>
          <w:rStyle w:val="FootnoteReference"/>
        </w:rPr>
        <w:footnoteRef/>
      </w:r>
      <w:r>
        <w:t xml:space="preserve"> Case No. 14-1297-EL-SSO, Opinion &amp; Order (Mar. 31,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AF90016"/>
    <w:multiLevelType w:val="hybridMultilevel"/>
    <w:tmpl w:val="33522D44"/>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BC5"/>
    <w:rsid w:val="0001479C"/>
    <w:rsid w:val="00014EE5"/>
    <w:rsid w:val="00020B8D"/>
    <w:rsid w:val="0002210C"/>
    <w:rsid w:val="000261F3"/>
    <w:rsid w:val="00026433"/>
    <w:rsid w:val="0003557C"/>
    <w:rsid w:val="00052935"/>
    <w:rsid w:val="000538F9"/>
    <w:rsid w:val="00061D4B"/>
    <w:rsid w:val="00072656"/>
    <w:rsid w:val="000A71FF"/>
    <w:rsid w:val="000C76D2"/>
    <w:rsid w:val="000D05DC"/>
    <w:rsid w:val="000F0BEC"/>
    <w:rsid w:val="00106DC3"/>
    <w:rsid w:val="001221C8"/>
    <w:rsid w:val="00131FAC"/>
    <w:rsid w:val="0013326E"/>
    <w:rsid w:val="001529D9"/>
    <w:rsid w:val="00181777"/>
    <w:rsid w:val="0018764D"/>
    <w:rsid w:val="001E0AD1"/>
    <w:rsid w:val="001E3209"/>
    <w:rsid w:val="001F0F9A"/>
    <w:rsid w:val="001F413A"/>
    <w:rsid w:val="00201A79"/>
    <w:rsid w:val="00256D62"/>
    <w:rsid w:val="0026529A"/>
    <w:rsid w:val="00270F85"/>
    <w:rsid w:val="00283976"/>
    <w:rsid w:val="002A4966"/>
    <w:rsid w:val="002A6423"/>
    <w:rsid w:val="002C655F"/>
    <w:rsid w:val="002D6F58"/>
    <w:rsid w:val="002F2784"/>
    <w:rsid w:val="00301FFA"/>
    <w:rsid w:val="00317AC6"/>
    <w:rsid w:val="00323DD7"/>
    <w:rsid w:val="003330B2"/>
    <w:rsid w:val="00337614"/>
    <w:rsid w:val="00341ACA"/>
    <w:rsid w:val="00344693"/>
    <w:rsid w:val="0034497E"/>
    <w:rsid w:val="003500C2"/>
    <w:rsid w:val="00350907"/>
    <w:rsid w:val="003544DE"/>
    <w:rsid w:val="00357837"/>
    <w:rsid w:val="003818A6"/>
    <w:rsid w:val="00393B47"/>
    <w:rsid w:val="00396476"/>
    <w:rsid w:val="00396FFF"/>
    <w:rsid w:val="003D0882"/>
    <w:rsid w:val="003D0AA1"/>
    <w:rsid w:val="003E1EC9"/>
    <w:rsid w:val="003E3259"/>
    <w:rsid w:val="003E3BC5"/>
    <w:rsid w:val="003E41B2"/>
    <w:rsid w:val="003E75E6"/>
    <w:rsid w:val="003F4D74"/>
    <w:rsid w:val="00417A6C"/>
    <w:rsid w:val="00433A89"/>
    <w:rsid w:val="004363CF"/>
    <w:rsid w:val="004409F6"/>
    <w:rsid w:val="00460129"/>
    <w:rsid w:val="00471B0F"/>
    <w:rsid w:val="004806FD"/>
    <w:rsid w:val="004967B3"/>
    <w:rsid w:val="004A1F3A"/>
    <w:rsid w:val="004C2B19"/>
    <w:rsid w:val="004D5909"/>
    <w:rsid w:val="004E4896"/>
    <w:rsid w:val="00506178"/>
    <w:rsid w:val="005147FF"/>
    <w:rsid w:val="00531129"/>
    <w:rsid w:val="0054436B"/>
    <w:rsid w:val="00557CDC"/>
    <w:rsid w:val="00560106"/>
    <w:rsid w:val="005708F8"/>
    <w:rsid w:val="005804EC"/>
    <w:rsid w:val="00586220"/>
    <w:rsid w:val="005872A4"/>
    <w:rsid w:val="00590FE5"/>
    <w:rsid w:val="0059663B"/>
    <w:rsid w:val="005A4799"/>
    <w:rsid w:val="005A562E"/>
    <w:rsid w:val="005B1C37"/>
    <w:rsid w:val="005C1EB4"/>
    <w:rsid w:val="005C5C1D"/>
    <w:rsid w:val="0062197E"/>
    <w:rsid w:val="0063720C"/>
    <w:rsid w:val="006518E8"/>
    <w:rsid w:val="00656BC2"/>
    <w:rsid w:val="00672B91"/>
    <w:rsid w:val="0067669A"/>
    <w:rsid w:val="006A27AB"/>
    <w:rsid w:val="006A5A05"/>
    <w:rsid w:val="006C76BE"/>
    <w:rsid w:val="006D1F9E"/>
    <w:rsid w:val="006E74D5"/>
    <w:rsid w:val="006F2472"/>
    <w:rsid w:val="006F258E"/>
    <w:rsid w:val="006F29B1"/>
    <w:rsid w:val="00707C36"/>
    <w:rsid w:val="0071115A"/>
    <w:rsid w:val="0072063D"/>
    <w:rsid w:val="00724A95"/>
    <w:rsid w:val="00730983"/>
    <w:rsid w:val="00744AF1"/>
    <w:rsid w:val="00745EC1"/>
    <w:rsid w:val="00753B97"/>
    <w:rsid w:val="00757407"/>
    <w:rsid w:val="00763AE7"/>
    <w:rsid w:val="00767267"/>
    <w:rsid w:val="007817A1"/>
    <w:rsid w:val="007B6235"/>
    <w:rsid w:val="007D5313"/>
    <w:rsid w:val="00802BDF"/>
    <w:rsid w:val="008054BB"/>
    <w:rsid w:val="0081092D"/>
    <w:rsid w:val="00823851"/>
    <w:rsid w:val="00825D19"/>
    <w:rsid w:val="00840395"/>
    <w:rsid w:val="008420C4"/>
    <w:rsid w:val="008461DD"/>
    <w:rsid w:val="00861A35"/>
    <w:rsid w:val="00865CD3"/>
    <w:rsid w:val="008754B9"/>
    <w:rsid w:val="00893FEF"/>
    <w:rsid w:val="008940A7"/>
    <w:rsid w:val="008A2527"/>
    <w:rsid w:val="008A6B5A"/>
    <w:rsid w:val="008B3557"/>
    <w:rsid w:val="008C0891"/>
    <w:rsid w:val="008C3CFF"/>
    <w:rsid w:val="008E7BC5"/>
    <w:rsid w:val="008F62C5"/>
    <w:rsid w:val="0090545A"/>
    <w:rsid w:val="00906CEB"/>
    <w:rsid w:val="00911A81"/>
    <w:rsid w:val="00913609"/>
    <w:rsid w:val="00960136"/>
    <w:rsid w:val="0096408E"/>
    <w:rsid w:val="00967A2E"/>
    <w:rsid w:val="00984E07"/>
    <w:rsid w:val="00984E50"/>
    <w:rsid w:val="0098761C"/>
    <w:rsid w:val="009949BD"/>
    <w:rsid w:val="009A6BC8"/>
    <w:rsid w:val="009A7A11"/>
    <w:rsid w:val="009B5717"/>
    <w:rsid w:val="009B6941"/>
    <w:rsid w:val="009C70C8"/>
    <w:rsid w:val="009D51D1"/>
    <w:rsid w:val="009D6B10"/>
    <w:rsid w:val="009E3BC8"/>
    <w:rsid w:val="009E6407"/>
    <w:rsid w:val="009F5478"/>
    <w:rsid w:val="009F6004"/>
    <w:rsid w:val="00A16C68"/>
    <w:rsid w:val="00A2212D"/>
    <w:rsid w:val="00A340B1"/>
    <w:rsid w:val="00A35FDA"/>
    <w:rsid w:val="00A47229"/>
    <w:rsid w:val="00A57FE6"/>
    <w:rsid w:val="00A60934"/>
    <w:rsid w:val="00A61427"/>
    <w:rsid w:val="00A6283C"/>
    <w:rsid w:val="00A76A49"/>
    <w:rsid w:val="00A76B67"/>
    <w:rsid w:val="00A833CE"/>
    <w:rsid w:val="00AA2789"/>
    <w:rsid w:val="00AA2D00"/>
    <w:rsid w:val="00AA31AE"/>
    <w:rsid w:val="00AA36D8"/>
    <w:rsid w:val="00AA687E"/>
    <w:rsid w:val="00AB4DD5"/>
    <w:rsid w:val="00AC4F53"/>
    <w:rsid w:val="00AD6AFE"/>
    <w:rsid w:val="00AE20BD"/>
    <w:rsid w:val="00AF0331"/>
    <w:rsid w:val="00AF294C"/>
    <w:rsid w:val="00B023AC"/>
    <w:rsid w:val="00B04AC9"/>
    <w:rsid w:val="00B058C1"/>
    <w:rsid w:val="00B13B05"/>
    <w:rsid w:val="00B13F4A"/>
    <w:rsid w:val="00B44168"/>
    <w:rsid w:val="00B67C35"/>
    <w:rsid w:val="00B74472"/>
    <w:rsid w:val="00B83BBD"/>
    <w:rsid w:val="00BA1E6C"/>
    <w:rsid w:val="00BB2A4F"/>
    <w:rsid w:val="00BC73E5"/>
    <w:rsid w:val="00BD0105"/>
    <w:rsid w:val="00BD1B34"/>
    <w:rsid w:val="00BE03F7"/>
    <w:rsid w:val="00C00088"/>
    <w:rsid w:val="00C11259"/>
    <w:rsid w:val="00C2332A"/>
    <w:rsid w:val="00C36A29"/>
    <w:rsid w:val="00C70134"/>
    <w:rsid w:val="00C86AC3"/>
    <w:rsid w:val="00C921E8"/>
    <w:rsid w:val="00C9492B"/>
    <w:rsid w:val="00CA16F8"/>
    <w:rsid w:val="00CA7FAC"/>
    <w:rsid w:val="00CB2EBC"/>
    <w:rsid w:val="00CD7CD0"/>
    <w:rsid w:val="00CE24EB"/>
    <w:rsid w:val="00D0174E"/>
    <w:rsid w:val="00D159E8"/>
    <w:rsid w:val="00D233FE"/>
    <w:rsid w:val="00D247E2"/>
    <w:rsid w:val="00D26C97"/>
    <w:rsid w:val="00D32D8E"/>
    <w:rsid w:val="00D427E3"/>
    <w:rsid w:val="00D47530"/>
    <w:rsid w:val="00D5102C"/>
    <w:rsid w:val="00D52DC0"/>
    <w:rsid w:val="00D63BD2"/>
    <w:rsid w:val="00D90130"/>
    <w:rsid w:val="00D96F64"/>
    <w:rsid w:val="00DA150A"/>
    <w:rsid w:val="00DB03C6"/>
    <w:rsid w:val="00DB31BE"/>
    <w:rsid w:val="00DB3F9D"/>
    <w:rsid w:val="00DC172C"/>
    <w:rsid w:val="00DD0C74"/>
    <w:rsid w:val="00DE0994"/>
    <w:rsid w:val="00DF1411"/>
    <w:rsid w:val="00E0737B"/>
    <w:rsid w:val="00E106E7"/>
    <w:rsid w:val="00E12756"/>
    <w:rsid w:val="00E4428C"/>
    <w:rsid w:val="00E46390"/>
    <w:rsid w:val="00E67E34"/>
    <w:rsid w:val="00E71F61"/>
    <w:rsid w:val="00E86CAB"/>
    <w:rsid w:val="00E9196E"/>
    <w:rsid w:val="00E96ECA"/>
    <w:rsid w:val="00EA474E"/>
    <w:rsid w:val="00EA673C"/>
    <w:rsid w:val="00EC4965"/>
    <w:rsid w:val="00EE1689"/>
    <w:rsid w:val="00EF7967"/>
    <w:rsid w:val="00F01DEE"/>
    <w:rsid w:val="00F02862"/>
    <w:rsid w:val="00F37454"/>
    <w:rsid w:val="00F47A93"/>
    <w:rsid w:val="00F50C8C"/>
    <w:rsid w:val="00F54B4A"/>
    <w:rsid w:val="00F7672E"/>
    <w:rsid w:val="00F850D8"/>
    <w:rsid w:val="00F8690C"/>
    <w:rsid w:val="00F92B7F"/>
    <w:rsid w:val="00F97E72"/>
    <w:rsid w:val="00FA0974"/>
    <w:rsid w:val="00FC2621"/>
    <w:rsid w:val="00FC2AFD"/>
    <w:rsid w:val="00FC2D43"/>
    <w:rsid w:val="00FD0A0B"/>
    <w:rsid w:val="00FE2935"/>
    <w:rsid w:val="00FE3048"/>
    <w:rsid w:val="00FF3EC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B34"/>
  </w:style>
  <w:style w:type="paragraph" w:styleId="Heading1">
    <w:name w:val="heading 1"/>
    <w:basedOn w:val="Normal"/>
    <w:next w:val="Normal"/>
    <w:link w:val="Heading1Char"/>
    <w:qFormat/>
    <w:rsid w:val="000C76D2"/>
    <w:pPr>
      <w:keepNext/>
      <w:outlineLvl w:val="0"/>
    </w:pPr>
    <w:rPr>
      <w:rFonts w:eastAsia="Times New Roman" w:cs="Times New Roman"/>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E7BC5"/>
    <w:rPr>
      <w:sz w:val="20"/>
      <w:szCs w:val="20"/>
    </w:rPr>
  </w:style>
  <w:style w:type="character" w:customStyle="1" w:styleId="FootnoteTextChar">
    <w:name w:val="Footnote Text Char"/>
    <w:basedOn w:val="DefaultParagraphFont"/>
    <w:link w:val="FootnoteText"/>
    <w:uiPriority w:val="99"/>
    <w:semiHidden/>
    <w:rsid w:val="008E7BC5"/>
    <w:rPr>
      <w:sz w:val="20"/>
      <w:szCs w:val="20"/>
    </w:rPr>
  </w:style>
  <w:style w:type="character" w:styleId="FootnoteReference">
    <w:name w:val="footnote reference"/>
    <w:basedOn w:val="DefaultParagraphFont"/>
    <w:uiPriority w:val="99"/>
    <w:semiHidden/>
    <w:unhideWhenUsed/>
    <w:rsid w:val="008E7BC5"/>
    <w:rPr>
      <w:vertAlign w:val="superscript"/>
    </w:rPr>
  </w:style>
  <w:style w:type="character" w:styleId="Hyperlink">
    <w:name w:val="Hyperlink"/>
    <w:basedOn w:val="DefaultParagraphFont"/>
    <w:uiPriority w:val="99"/>
    <w:unhideWhenUsed/>
    <w:rsid w:val="009D51D1"/>
    <w:rPr>
      <w:color w:val="0000FF" w:themeColor="hyperlink"/>
      <w:u w:val="single"/>
    </w:rPr>
  </w:style>
  <w:style w:type="paragraph" w:styleId="BalloonText">
    <w:name w:val="Balloon Text"/>
    <w:basedOn w:val="Normal"/>
    <w:link w:val="BalloonTextChar"/>
    <w:uiPriority w:val="99"/>
    <w:semiHidden/>
    <w:unhideWhenUsed/>
    <w:rsid w:val="00586220"/>
    <w:rPr>
      <w:rFonts w:ascii="Tahoma" w:hAnsi="Tahoma" w:cs="Tahoma"/>
      <w:sz w:val="16"/>
      <w:szCs w:val="16"/>
    </w:rPr>
  </w:style>
  <w:style w:type="character" w:customStyle="1" w:styleId="BalloonTextChar">
    <w:name w:val="Balloon Text Char"/>
    <w:basedOn w:val="DefaultParagraphFont"/>
    <w:link w:val="BalloonText"/>
    <w:uiPriority w:val="99"/>
    <w:semiHidden/>
    <w:rsid w:val="00586220"/>
    <w:rPr>
      <w:rFonts w:ascii="Tahoma" w:hAnsi="Tahoma" w:cs="Tahoma"/>
      <w:sz w:val="16"/>
      <w:szCs w:val="16"/>
    </w:rPr>
  </w:style>
  <w:style w:type="paragraph" w:styleId="HTMLPreformatted">
    <w:name w:val="HTML Preformatted"/>
    <w:basedOn w:val="Normal"/>
    <w:link w:val="HTMLPreformattedChar"/>
    <w:rsid w:val="000C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0C76D2"/>
    <w:rPr>
      <w:rFonts w:ascii="Courier New" w:eastAsia="Courier New" w:hAnsi="Courier New" w:cs="Courier New"/>
      <w:sz w:val="20"/>
      <w:szCs w:val="20"/>
    </w:rPr>
  </w:style>
  <w:style w:type="character" w:customStyle="1" w:styleId="Heading1Char">
    <w:name w:val="Heading 1 Char"/>
    <w:basedOn w:val="DefaultParagraphFont"/>
    <w:link w:val="Heading1"/>
    <w:rsid w:val="000C76D2"/>
    <w:rPr>
      <w:rFonts w:eastAsia="Times New Roman" w:cs="Times New Roman"/>
      <w:b/>
      <w:szCs w:val="24"/>
      <w:u w:val="single"/>
    </w:rPr>
  </w:style>
  <w:style w:type="paragraph" w:styleId="Footer">
    <w:name w:val="footer"/>
    <w:basedOn w:val="Normal"/>
    <w:link w:val="FooterChar"/>
    <w:uiPriority w:val="99"/>
    <w:rsid w:val="000C76D2"/>
    <w:pPr>
      <w:tabs>
        <w:tab w:val="center" w:pos="4320"/>
        <w:tab w:val="right" w:pos="8640"/>
      </w:tabs>
    </w:pPr>
    <w:rPr>
      <w:rFonts w:eastAsia="Times New Roman" w:cs="Times New Roman"/>
      <w:sz w:val="20"/>
      <w:szCs w:val="20"/>
    </w:rPr>
  </w:style>
  <w:style w:type="character" w:customStyle="1" w:styleId="FooterChar">
    <w:name w:val="Footer Char"/>
    <w:basedOn w:val="DefaultParagraphFont"/>
    <w:link w:val="Footer"/>
    <w:uiPriority w:val="99"/>
    <w:rsid w:val="000C76D2"/>
    <w:rPr>
      <w:rFonts w:eastAsia="Times New Roman" w:cs="Times New Roman"/>
      <w:sz w:val="20"/>
      <w:szCs w:val="20"/>
    </w:rPr>
  </w:style>
  <w:style w:type="paragraph" w:styleId="BodyTextIndent3">
    <w:name w:val="Body Text Indent 3"/>
    <w:basedOn w:val="Normal"/>
    <w:link w:val="BodyTextIndent3Char"/>
    <w:rsid w:val="000C76D2"/>
    <w:pPr>
      <w:spacing w:line="480" w:lineRule="atLeast"/>
      <w:ind w:firstLine="720"/>
    </w:pPr>
    <w:rPr>
      <w:rFonts w:eastAsia="Times New Roman" w:cs="Times New Roman"/>
      <w:szCs w:val="20"/>
    </w:rPr>
  </w:style>
  <w:style w:type="character" w:customStyle="1" w:styleId="BodyTextIndent3Char">
    <w:name w:val="Body Text Indent 3 Char"/>
    <w:basedOn w:val="DefaultParagraphFont"/>
    <w:link w:val="BodyTextIndent3"/>
    <w:rsid w:val="000C76D2"/>
    <w:rPr>
      <w:rFonts w:eastAsia="Times New Roman" w:cs="Times New Roman"/>
      <w:szCs w:val="20"/>
    </w:rPr>
  </w:style>
  <w:style w:type="character" w:customStyle="1" w:styleId="UnresolvedMention1">
    <w:name w:val="Unresolved Mention1"/>
    <w:basedOn w:val="DefaultParagraphFont"/>
    <w:uiPriority w:val="99"/>
    <w:semiHidden/>
    <w:unhideWhenUsed/>
    <w:rsid w:val="00C11259"/>
    <w:rPr>
      <w:color w:val="605E5C"/>
      <w:shd w:val="clear" w:color="auto" w:fill="E1DFDD"/>
    </w:rPr>
  </w:style>
  <w:style w:type="table" w:styleId="TableGrid">
    <w:name w:val="Table Grid"/>
    <w:basedOn w:val="TableNormal"/>
    <w:rsid w:val="00D5102C"/>
    <w:rPr>
      <w:rFonts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D5102C"/>
    <w:rPr>
      <w:rFonts w:cs="Times New Roman"/>
      <w:sz w:val="20"/>
      <w:szCs w:val="20"/>
    </w:rPr>
  </w:style>
  <w:style w:type="character" w:customStyle="1" w:styleId="CommentTextChar">
    <w:name w:val="Comment Text Char"/>
    <w:basedOn w:val="DefaultParagraphFont"/>
    <w:link w:val="CommentText"/>
    <w:rsid w:val="00D5102C"/>
    <w:rPr>
      <w:rFonts w:cs="Times New Roman"/>
      <w:sz w:val="20"/>
      <w:szCs w:val="20"/>
    </w:rPr>
  </w:style>
  <w:style w:type="paragraph" w:styleId="Header">
    <w:name w:val="header"/>
    <w:basedOn w:val="Normal"/>
    <w:link w:val="HeaderChar"/>
    <w:uiPriority w:val="99"/>
    <w:unhideWhenUsed/>
    <w:rsid w:val="00C2332A"/>
    <w:pPr>
      <w:tabs>
        <w:tab w:val="center" w:pos="4680"/>
        <w:tab w:val="right" w:pos="9360"/>
      </w:tabs>
    </w:pPr>
  </w:style>
  <w:style w:type="character" w:customStyle="1" w:styleId="HeaderChar">
    <w:name w:val="Header Char"/>
    <w:basedOn w:val="DefaultParagraphFont"/>
    <w:link w:val="Header"/>
    <w:uiPriority w:val="99"/>
    <w:rsid w:val="00C2332A"/>
  </w:style>
  <w:style w:type="character" w:styleId="CommentReference">
    <w:name w:val="annotation reference"/>
    <w:basedOn w:val="DefaultParagraphFont"/>
    <w:uiPriority w:val="99"/>
    <w:semiHidden/>
    <w:unhideWhenUsed/>
    <w:rsid w:val="00AA2789"/>
    <w:rPr>
      <w:sz w:val="16"/>
      <w:szCs w:val="16"/>
    </w:rPr>
  </w:style>
  <w:style w:type="paragraph" w:styleId="CommentSubject">
    <w:name w:val="annotation subject"/>
    <w:basedOn w:val="CommentText"/>
    <w:next w:val="CommentText"/>
    <w:link w:val="CommentSubjectChar"/>
    <w:uiPriority w:val="99"/>
    <w:semiHidden/>
    <w:unhideWhenUsed/>
    <w:rsid w:val="00AA2789"/>
    <w:rPr>
      <w:rFonts w:cstheme="minorBidi"/>
      <w:b/>
      <w:bCs/>
    </w:rPr>
  </w:style>
  <w:style w:type="character" w:customStyle="1" w:styleId="CommentSubjectChar">
    <w:name w:val="Comment Subject Char"/>
    <w:basedOn w:val="CommentTextChar"/>
    <w:link w:val="CommentSubject"/>
    <w:uiPriority w:val="99"/>
    <w:semiHidden/>
    <w:rsid w:val="00AA2789"/>
    <w:rPr>
      <w:rFonts w:cs="Times New Roman"/>
      <w:b/>
      <w:bCs/>
      <w:sz w:val="20"/>
      <w:szCs w:val="20"/>
    </w:rPr>
  </w:style>
  <w:style w:type="character" w:customStyle="1" w:styleId="UnresolvedMention">
    <w:name w:val="Unresolved Mention"/>
    <w:basedOn w:val="DefaultParagraphFont"/>
    <w:uiPriority w:val="99"/>
    <w:rsid w:val="004806FD"/>
    <w:rPr>
      <w:color w:val="605E5C"/>
      <w:shd w:val="clear" w:color="auto" w:fill="E1DFDD"/>
    </w:rPr>
  </w:style>
  <w:style w:type="paragraph" w:styleId="ListParagraph">
    <w:name w:val="List Paragraph"/>
    <w:basedOn w:val="Normal"/>
    <w:uiPriority w:val="34"/>
    <w:qFormat/>
    <w:rsid w:val="00730983"/>
    <w:pPr>
      <w:ind w:left="720"/>
      <w:contextualSpacing/>
    </w:pPr>
  </w:style>
  <w:style w:type="paragraph" w:styleId="Revision">
    <w:name w:val="Revision"/>
    <w:hidden/>
    <w:uiPriority w:val="99"/>
    <w:semiHidden/>
    <w:rsid w:val="001E0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natalia.messenger@ohioattorneygeneral.gov" TargetMode="External" /><Relationship Id="rId11" Type="http://schemas.openxmlformats.org/officeDocument/2006/relationships/hyperlink" Target="mailto:mkurtz@BKLlawfirm.com" TargetMode="External" /><Relationship Id="rId12" Type="http://schemas.openxmlformats.org/officeDocument/2006/relationships/hyperlink" Target="mailto:kboehm@BKLlawfirm.com" TargetMode="External" /><Relationship Id="rId13" Type="http://schemas.openxmlformats.org/officeDocument/2006/relationships/hyperlink" Target="mailto:jkylercohn@BKLlawfirm.com" TargetMode="External" /><Relationship Id="rId14" Type="http://schemas.openxmlformats.org/officeDocument/2006/relationships/hyperlink" Target="mailto:Bojko@carpenterlipps.com" TargetMode="External" /><Relationship Id="rId15" Type="http://schemas.openxmlformats.org/officeDocument/2006/relationships/hyperlink" Target="mailto:Wygonski@carpenterlipps.com" TargetMode="External" /><Relationship Id="rId16" Type="http://schemas.openxmlformats.org/officeDocument/2006/relationships/hyperlink" Target="mailto:rdove@keglerbrown.com" TargetMode="External" /><Relationship Id="rId17" Type="http://schemas.openxmlformats.org/officeDocument/2006/relationships/hyperlink" Target="mailto:tdougherty@theOEC.org" TargetMode="External" /><Relationship Id="rId18" Type="http://schemas.openxmlformats.org/officeDocument/2006/relationships/hyperlink" Target="mailto:mleppla@theOEC.org" TargetMode="External" /><Relationship Id="rId19" Type="http://schemas.openxmlformats.org/officeDocument/2006/relationships/hyperlink" Target="mailto:paul@carpenterlipps.com" TargetMode="External" /><Relationship Id="rId2" Type="http://schemas.openxmlformats.org/officeDocument/2006/relationships/settings" Target="settings.xml" /><Relationship Id="rId20" Type="http://schemas.openxmlformats.org/officeDocument/2006/relationships/hyperlink" Target="mailto:dutton@carpenterlipps.com" TargetMode="External" /><Relationship Id="rId21" Type="http://schemas.openxmlformats.org/officeDocument/2006/relationships/hyperlink" Target="mailto:callwein@keglerbrown.com" TargetMode="External" /><Relationship Id="rId22" Type="http://schemas.openxmlformats.org/officeDocument/2006/relationships/hyperlink" Target="mailto:bknipe@firstenergycorp.com" TargetMode="External" /><Relationship Id="rId23" Type="http://schemas.openxmlformats.org/officeDocument/2006/relationships/hyperlink" Target="mailto:edanford@firstenergycorp.com" TargetMode="External" /><Relationship Id="rId24" Type="http://schemas.openxmlformats.org/officeDocument/2006/relationships/hyperlink" Target="mailto:mrgladman@jonesday.com" TargetMode="External" /><Relationship Id="rId25" Type="http://schemas.openxmlformats.org/officeDocument/2006/relationships/hyperlink" Target="mailto:mkl@smxblaw.com" TargetMode="External" /><Relationship Id="rId26" Type="http://schemas.openxmlformats.org/officeDocument/2006/relationships/hyperlink" Target="mailto:joe.oliker@igs.com" TargetMode="External" /><Relationship Id="rId27" Type="http://schemas.openxmlformats.org/officeDocument/2006/relationships/hyperlink" Target="mailto:Mnugent@igs.com" TargetMode="External" /><Relationship Id="rId28" Type="http://schemas.openxmlformats.org/officeDocument/2006/relationships/hyperlink" Target="mailto:Bethany.allen@igs.com" TargetMode="External" /><Relationship Id="rId29" Type="http://schemas.openxmlformats.org/officeDocument/2006/relationships/hyperlink" Target="mailto:rkelter@elpc.org" TargetMode="External" /><Relationship Id="rId3" Type="http://schemas.openxmlformats.org/officeDocument/2006/relationships/webSettings" Target="webSettings.xml" /><Relationship Id="rId30" Type="http://schemas.openxmlformats.org/officeDocument/2006/relationships/hyperlink" Target="mailto:swilliams@nrdc.org" TargetMode="External" /><Relationship Id="rId31" Type="http://schemas.openxmlformats.org/officeDocument/2006/relationships/hyperlink" Target="mailto:mpritchard@mcneeslaw.com" TargetMode="External" /><Relationship Id="rId32" Type="http://schemas.openxmlformats.org/officeDocument/2006/relationships/hyperlink" Target="mailto:dborchers@bricker.com" TargetMode="External" /><Relationship Id="rId33" Type="http://schemas.openxmlformats.org/officeDocument/2006/relationships/hyperlink" Target="mailto:sechler@carpenterlipps.com" TargetMode="External" /><Relationship Id="rId34" Type="http://schemas.openxmlformats.org/officeDocument/2006/relationships/hyperlink" Target="mailto:Lauren.augostini@puco.ohio.gov" TargetMode="External" /><Relationship Id="rId35" Type="http://schemas.openxmlformats.org/officeDocument/2006/relationships/theme" Target="theme/theme1.xml" /><Relationship Id="rId36" Type="http://schemas.openxmlformats.org/officeDocument/2006/relationships/numbering" Target="numbering.xml" /><Relationship Id="rId37"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yperlink" Target="mailto:christopher.healey@occ.ohio.gov" TargetMode="External" /><Relationship Id="rId8" Type="http://schemas.openxmlformats.org/officeDocument/2006/relationships/footer" Target="footer2.xml" /><Relationship Id="rId9" Type="http://schemas.openxmlformats.org/officeDocument/2006/relationships/hyperlink" Target="mailto:john.jones@ohioattorneyegeneral.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F10A3-6F09-4569-87F7-9E0FC6613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1741</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FE 16-743 - Reply Comments w/dfs  (00151221.DOCX;1)</vt:lpstr>
    </vt:vector>
  </TitlesOfParts>
  <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2021-04-12T19:21:59Z</dcterms:created>
  <dcterms:modified xsi:type="dcterms:W3CDTF">2021-04-12T19:21:59Z</dcterms:modified>
</cp:coreProperties>
</file>