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2E2195" w:rsidRPr="007E6F26" w14:paraId="2E2730FE" w14:textId="77777777">
      <w:pPr>
        <w:pStyle w:val="HTMLPreformatted"/>
        <w:jc w:val="center"/>
        <w:rPr>
          <w:rFonts w:ascii="Times New Roman" w:hAnsi="Times New Roman" w:cs="Times New Roman"/>
          <w:b/>
          <w:bCs/>
          <w:sz w:val="24"/>
          <w:szCs w:val="24"/>
        </w:rPr>
      </w:pPr>
      <w:r w:rsidRPr="007E6F26">
        <w:rPr>
          <w:rFonts w:ascii="Times New Roman" w:hAnsi="Times New Roman" w:cs="Times New Roman"/>
          <w:b/>
          <w:bCs/>
          <w:sz w:val="24"/>
          <w:szCs w:val="24"/>
        </w:rPr>
        <w:t>BEFORE</w:t>
      </w:r>
    </w:p>
    <w:p w:rsidR="002E2195" w:rsidRPr="007E6F26" w14:paraId="308F46EF" w14:textId="77777777">
      <w:pPr>
        <w:pStyle w:val="HTMLPreformatted"/>
        <w:jc w:val="center"/>
        <w:rPr>
          <w:rFonts w:ascii="Times New Roman" w:hAnsi="Times New Roman" w:cs="Times New Roman"/>
          <w:sz w:val="24"/>
          <w:szCs w:val="24"/>
        </w:rPr>
      </w:pPr>
      <w:r w:rsidRPr="007E6F26">
        <w:rPr>
          <w:rFonts w:ascii="Times New Roman" w:hAnsi="Times New Roman" w:cs="Times New Roman"/>
          <w:b/>
          <w:bCs/>
          <w:sz w:val="24"/>
          <w:szCs w:val="24"/>
        </w:rPr>
        <w:t>THE PUBLIC UTILITIES COMMISSION OF OHIO</w:t>
      </w:r>
    </w:p>
    <w:p w:rsidR="002E2195" w:rsidRPr="007E6F26" w14:paraId="03A0FD52" w14:textId="77777777">
      <w:pPr>
        <w:pStyle w:val="HTMLPreformatted"/>
        <w:rPr>
          <w:rFonts w:ascii="Times New Roman" w:hAnsi="Times New Roman" w:cs="Times New Roman"/>
          <w:sz w:val="24"/>
          <w:szCs w:val="24"/>
        </w:rPr>
      </w:pPr>
    </w:p>
    <w:tbl>
      <w:tblPr>
        <w:tblW w:w="8838" w:type="dxa"/>
        <w:tblLook w:val="01E0"/>
      </w:tblPr>
      <w:tblGrid>
        <w:gridCol w:w="4230"/>
        <w:gridCol w:w="630"/>
        <w:gridCol w:w="3978"/>
      </w:tblGrid>
      <w:tr w14:paraId="0FD11322" w14:textId="77777777" w:rsidTr="007E6F3D">
        <w:tblPrEx>
          <w:tblW w:w="8838" w:type="dxa"/>
          <w:tblLook w:val="01E0"/>
        </w:tblPrEx>
        <w:trPr>
          <w:trHeight w:val="807"/>
        </w:trPr>
        <w:tc>
          <w:tcPr>
            <w:tcW w:w="4230" w:type="dxa"/>
            <w:shd w:val="clear" w:color="auto" w:fill="auto"/>
          </w:tcPr>
          <w:p w:rsidR="002E2195" w:rsidRPr="007E6F26" w:rsidP="000274CC" w14:paraId="5222D2A2" w14:textId="77777777">
            <w:pPr>
              <w:autoSpaceDE w:val="0"/>
              <w:autoSpaceDN w:val="0"/>
              <w:adjustRightInd w:val="0"/>
              <w:rPr>
                <w:szCs w:val="24"/>
              </w:rPr>
            </w:pPr>
            <w:r w:rsidRPr="007E6F26">
              <w:rPr>
                <w:szCs w:val="24"/>
              </w:rPr>
              <w:t>In the Matter of the Application of Duke Energy Ohio, Inc., for a Waiver</w:t>
            </w:r>
            <w:r w:rsidRPr="007E6F26" w:rsidR="00843462">
              <w:rPr>
                <w:szCs w:val="24"/>
              </w:rPr>
              <w:t xml:space="preserve"> of Specific Sections of the Ohio Administrative Code</w:t>
            </w:r>
            <w:r w:rsidRPr="007E6F26" w:rsidR="00BE2862">
              <w:rPr>
                <w:szCs w:val="24"/>
              </w:rPr>
              <w:t>.</w:t>
            </w:r>
            <w:r w:rsidRPr="007E6F26">
              <w:rPr>
                <w:szCs w:val="24"/>
              </w:rPr>
              <w:t xml:space="preserve"> </w:t>
            </w:r>
          </w:p>
        </w:tc>
        <w:tc>
          <w:tcPr>
            <w:tcW w:w="630" w:type="dxa"/>
            <w:shd w:val="clear" w:color="auto" w:fill="auto"/>
          </w:tcPr>
          <w:p w:rsidR="002E2195" w:rsidRPr="007E6F26" w14:paraId="1CF77243" w14:textId="77777777">
            <w:pPr>
              <w:pStyle w:val="HTMLPreformatted"/>
              <w:rPr>
                <w:rFonts w:ascii="Times New Roman" w:hAnsi="Times New Roman" w:cs="Times New Roman"/>
                <w:sz w:val="24"/>
                <w:szCs w:val="24"/>
              </w:rPr>
            </w:pPr>
            <w:r w:rsidRPr="007E6F26">
              <w:rPr>
                <w:rFonts w:ascii="Times New Roman" w:hAnsi="Times New Roman" w:cs="Times New Roman"/>
                <w:sz w:val="24"/>
                <w:szCs w:val="24"/>
              </w:rPr>
              <w:t>)</w:t>
            </w:r>
          </w:p>
          <w:p w:rsidR="002E2195" w:rsidRPr="007E6F26" w14:paraId="5BE72CE9" w14:textId="1411E84B">
            <w:pPr>
              <w:pStyle w:val="HTMLPreformatted"/>
              <w:rPr>
                <w:rFonts w:ascii="Times New Roman" w:hAnsi="Times New Roman" w:cs="Times New Roman"/>
                <w:sz w:val="24"/>
                <w:szCs w:val="24"/>
              </w:rPr>
            </w:pPr>
            <w:r w:rsidRPr="007E6F26">
              <w:rPr>
                <w:rFonts w:ascii="Times New Roman" w:hAnsi="Times New Roman" w:cs="Times New Roman"/>
                <w:sz w:val="24"/>
                <w:szCs w:val="24"/>
              </w:rPr>
              <w:t>)</w:t>
            </w:r>
          </w:p>
          <w:p w:rsidR="00CF01F5" w:rsidRPr="007E6F26" w14:paraId="0E0953B3" w14:textId="2BFE93C5">
            <w:pPr>
              <w:pStyle w:val="HTMLPreformatted"/>
              <w:rPr>
                <w:rFonts w:ascii="Times New Roman" w:hAnsi="Times New Roman" w:cs="Times New Roman"/>
                <w:sz w:val="24"/>
                <w:szCs w:val="24"/>
              </w:rPr>
            </w:pPr>
            <w:r w:rsidRPr="007E6F26">
              <w:rPr>
                <w:rFonts w:ascii="Times New Roman" w:hAnsi="Times New Roman" w:cs="Times New Roman"/>
                <w:sz w:val="24"/>
                <w:szCs w:val="24"/>
              </w:rPr>
              <w:t>)</w:t>
            </w:r>
          </w:p>
          <w:p w:rsidR="002E2195" w:rsidRPr="007E6F26" w:rsidP="00CF01F5" w14:paraId="4EB2C5CE" w14:textId="78196A97">
            <w:pPr>
              <w:pStyle w:val="HTMLPreformatted"/>
              <w:rPr>
                <w:rFonts w:ascii="Times New Roman" w:hAnsi="Times New Roman" w:cs="Times New Roman"/>
                <w:sz w:val="24"/>
                <w:szCs w:val="24"/>
              </w:rPr>
            </w:pPr>
            <w:r w:rsidRPr="007E6F26">
              <w:rPr>
                <w:rFonts w:ascii="Times New Roman" w:hAnsi="Times New Roman" w:cs="Times New Roman"/>
                <w:sz w:val="24"/>
                <w:szCs w:val="24"/>
              </w:rPr>
              <w:t>)</w:t>
            </w:r>
          </w:p>
        </w:tc>
        <w:tc>
          <w:tcPr>
            <w:tcW w:w="3978" w:type="dxa"/>
            <w:shd w:val="clear" w:color="auto" w:fill="auto"/>
          </w:tcPr>
          <w:p w:rsidR="00843462" w:rsidRPr="007E6F26" w:rsidP="002E2195" w14:paraId="3B5B3D8A" w14:textId="77777777">
            <w:pPr>
              <w:pStyle w:val="HTMLPreformatted"/>
              <w:rPr>
                <w:rFonts w:ascii="Times New Roman" w:hAnsi="Times New Roman" w:cs="Times New Roman"/>
                <w:sz w:val="24"/>
                <w:szCs w:val="24"/>
              </w:rPr>
            </w:pPr>
          </w:p>
          <w:p w:rsidR="002E2195" w:rsidRPr="007E6F26" w:rsidP="002E2195" w14:paraId="36549879" w14:textId="15C53534">
            <w:pPr>
              <w:pStyle w:val="HTMLPreformatted"/>
              <w:rPr>
                <w:rFonts w:ascii="Times New Roman" w:hAnsi="Times New Roman" w:cs="Times New Roman"/>
                <w:sz w:val="24"/>
                <w:szCs w:val="24"/>
              </w:rPr>
            </w:pPr>
            <w:r w:rsidRPr="007E6F26">
              <w:rPr>
                <w:rFonts w:ascii="Times New Roman" w:hAnsi="Times New Roman" w:cs="Times New Roman"/>
                <w:sz w:val="24"/>
                <w:szCs w:val="24"/>
              </w:rPr>
              <w:t xml:space="preserve">Case No. </w:t>
            </w:r>
            <w:r w:rsidRPr="007E6F26" w:rsidR="00820839">
              <w:rPr>
                <w:rFonts w:ascii="Times New Roman" w:hAnsi="Times New Roman" w:cs="Times New Roman"/>
                <w:sz w:val="24"/>
                <w:szCs w:val="24"/>
              </w:rPr>
              <w:t>2</w:t>
            </w:r>
            <w:r w:rsidRPr="007E6F26" w:rsidR="00B177E6">
              <w:rPr>
                <w:rFonts w:ascii="Times New Roman" w:hAnsi="Times New Roman" w:cs="Times New Roman"/>
                <w:sz w:val="24"/>
                <w:szCs w:val="24"/>
              </w:rPr>
              <w:t>2-43</w:t>
            </w:r>
            <w:r w:rsidRPr="007E6F26" w:rsidR="000274CC">
              <w:rPr>
                <w:rFonts w:ascii="Times New Roman" w:hAnsi="Times New Roman" w:cs="Times New Roman"/>
                <w:sz w:val="24"/>
                <w:szCs w:val="24"/>
              </w:rPr>
              <w:t>-</w:t>
            </w:r>
            <w:r w:rsidRPr="007E6F26" w:rsidR="00B177E6">
              <w:rPr>
                <w:rFonts w:ascii="Times New Roman" w:hAnsi="Times New Roman" w:cs="Times New Roman"/>
                <w:sz w:val="24"/>
                <w:szCs w:val="24"/>
              </w:rPr>
              <w:t>GE</w:t>
            </w:r>
            <w:r w:rsidRPr="007E6F26" w:rsidR="00574184">
              <w:rPr>
                <w:rFonts w:ascii="Times New Roman" w:hAnsi="Times New Roman" w:cs="Times New Roman"/>
                <w:sz w:val="24"/>
                <w:szCs w:val="24"/>
              </w:rPr>
              <w:t>-</w:t>
            </w:r>
            <w:r w:rsidRPr="007E6F26" w:rsidR="00E118C2">
              <w:rPr>
                <w:rFonts w:ascii="Times New Roman" w:hAnsi="Times New Roman" w:cs="Times New Roman"/>
                <w:sz w:val="24"/>
                <w:szCs w:val="24"/>
              </w:rPr>
              <w:t>WVR</w:t>
            </w:r>
          </w:p>
          <w:p w:rsidR="002E2195" w:rsidRPr="007E6F26" w:rsidP="002E2195" w14:paraId="578BC346" w14:textId="77777777">
            <w:pPr>
              <w:pStyle w:val="HTMLPreformatted"/>
              <w:rPr>
                <w:rFonts w:ascii="Times New Roman" w:hAnsi="Times New Roman" w:cs="Times New Roman"/>
                <w:sz w:val="24"/>
                <w:szCs w:val="24"/>
              </w:rPr>
            </w:pPr>
          </w:p>
          <w:p w:rsidR="00745F95" w:rsidRPr="007E6F26" w:rsidP="002E2195" w14:paraId="5303952B" w14:textId="77777777">
            <w:pPr>
              <w:pStyle w:val="HTMLPreformatted"/>
              <w:rPr>
                <w:rFonts w:ascii="Times New Roman" w:hAnsi="Times New Roman" w:cs="Times New Roman"/>
                <w:sz w:val="24"/>
                <w:szCs w:val="24"/>
              </w:rPr>
            </w:pPr>
          </w:p>
          <w:p w:rsidR="00745F95" w:rsidRPr="007E6F26" w:rsidP="002E2195" w14:paraId="666A1C6B" w14:textId="27CF33D1">
            <w:pPr>
              <w:pStyle w:val="HTMLPreformatted"/>
              <w:rPr>
                <w:rFonts w:ascii="Times New Roman" w:hAnsi="Times New Roman" w:cs="Times New Roman"/>
                <w:sz w:val="24"/>
                <w:szCs w:val="24"/>
              </w:rPr>
            </w:pPr>
          </w:p>
        </w:tc>
      </w:tr>
    </w:tbl>
    <w:p w:rsidR="002E2195" w:rsidRPr="007E6F26" w14:paraId="0AD9DF53" w14:textId="77777777">
      <w:pPr>
        <w:pStyle w:val="HTMLPreformatted"/>
        <w:pBdr>
          <w:top w:val="single" w:sz="12" w:space="1" w:color="auto"/>
        </w:pBdr>
        <w:rPr>
          <w:rFonts w:ascii="Times New Roman" w:hAnsi="Times New Roman" w:cs="Times New Roman"/>
          <w:sz w:val="24"/>
          <w:szCs w:val="24"/>
        </w:rPr>
      </w:pPr>
    </w:p>
    <w:p w:rsidR="00C2626D" w:rsidRPr="007E6F26" w:rsidP="00C2626D" w14:paraId="6359311E" w14:textId="1593F7FA">
      <w:pPr>
        <w:jc w:val="center"/>
        <w:rPr>
          <w:b/>
          <w:bCs/>
          <w:szCs w:val="24"/>
        </w:rPr>
      </w:pPr>
      <w:r w:rsidRPr="007E6F26">
        <w:rPr>
          <w:b/>
          <w:bCs/>
          <w:szCs w:val="24"/>
        </w:rPr>
        <w:t>CONSUMER PROTECTION</w:t>
      </w:r>
      <w:r w:rsidRPr="007E6F26" w:rsidR="00B84CEF">
        <w:rPr>
          <w:b/>
          <w:bCs/>
          <w:szCs w:val="24"/>
        </w:rPr>
        <w:t xml:space="preserve"> COMMENTS</w:t>
      </w:r>
    </w:p>
    <w:p w:rsidR="00C2626D" w:rsidRPr="007E6F26" w:rsidP="00C2626D" w14:paraId="6FBE2E0D" w14:textId="77777777">
      <w:pPr>
        <w:jc w:val="center"/>
        <w:rPr>
          <w:b/>
          <w:bCs/>
          <w:szCs w:val="24"/>
        </w:rPr>
      </w:pPr>
      <w:r w:rsidRPr="007E6F26">
        <w:rPr>
          <w:b/>
          <w:bCs/>
          <w:szCs w:val="24"/>
        </w:rPr>
        <w:t>BY</w:t>
      </w:r>
    </w:p>
    <w:p w:rsidR="00C2626D" w:rsidRPr="007E6F26" w:rsidP="00C2626D" w14:paraId="6DF9A6F9" w14:textId="77777777">
      <w:pPr>
        <w:jc w:val="center"/>
        <w:rPr>
          <w:b/>
          <w:bCs/>
          <w:szCs w:val="24"/>
        </w:rPr>
      </w:pPr>
      <w:r w:rsidRPr="007E6F26">
        <w:rPr>
          <w:b/>
          <w:bCs/>
          <w:szCs w:val="24"/>
        </w:rPr>
        <w:t>OFFICE OF THE OHIO CONSUMERS’ COUNSEL</w:t>
      </w:r>
    </w:p>
    <w:p w:rsidR="002E2195" w:rsidRPr="007E6F26" w14:paraId="1D87A136" w14:textId="77777777">
      <w:pPr>
        <w:pBdr>
          <w:bottom w:val="single" w:sz="12" w:space="1" w:color="auto"/>
        </w:pBdr>
        <w:tabs>
          <w:tab w:val="left" w:pos="4320"/>
        </w:tabs>
        <w:rPr>
          <w:szCs w:val="24"/>
        </w:rPr>
      </w:pPr>
    </w:p>
    <w:p w:rsidR="002E2195" w:rsidRPr="007E6F26" w14:paraId="774046BE" w14:textId="77777777">
      <w:pPr>
        <w:tabs>
          <w:tab w:val="left" w:pos="4320"/>
        </w:tabs>
        <w:rPr>
          <w:szCs w:val="24"/>
        </w:rPr>
      </w:pPr>
    </w:p>
    <w:p w:rsidR="00A158A7" w:rsidRPr="007E6F26" w:rsidP="00A158A7" w14:paraId="3BCF3F49" w14:textId="17B2FE07">
      <w:pPr>
        <w:pStyle w:val="Heading1"/>
      </w:pPr>
      <w:r w:rsidRPr="007E6F26">
        <w:t>I.</w:t>
      </w:r>
      <w:r w:rsidRPr="007E6F26">
        <w:tab/>
        <w:t>INTRODUCTION</w:t>
      </w:r>
    </w:p>
    <w:p w:rsidR="00026256" w:rsidRPr="007E6F26" w:rsidP="00134AFE" w14:paraId="46ACD861" w14:textId="2F240B80">
      <w:pPr>
        <w:spacing w:line="480" w:lineRule="auto"/>
        <w:ind w:firstLine="720"/>
        <w:rPr>
          <w:szCs w:val="24"/>
        </w:rPr>
      </w:pPr>
      <w:r w:rsidRPr="007E6F26">
        <w:rPr>
          <w:szCs w:val="24"/>
        </w:rPr>
        <w:t>Duke Energy Ohio (“Duke”) proposed waivers from complying with</w:t>
      </w:r>
      <w:r w:rsidRPr="007E6F26" w:rsidR="00B87B96">
        <w:rPr>
          <w:szCs w:val="24"/>
        </w:rPr>
        <w:t xml:space="preserve"> </w:t>
      </w:r>
      <w:r w:rsidRPr="007E6F26">
        <w:rPr>
          <w:szCs w:val="24"/>
        </w:rPr>
        <w:t xml:space="preserve">PUCO rules while it converts customer account </w:t>
      </w:r>
      <w:r w:rsidRPr="007E6F26" w:rsidR="00B60A28">
        <w:rPr>
          <w:szCs w:val="24"/>
        </w:rPr>
        <w:t xml:space="preserve">information </w:t>
      </w:r>
      <w:r w:rsidRPr="007E6F26">
        <w:rPr>
          <w:szCs w:val="24"/>
        </w:rPr>
        <w:t>from its legacy customer information systems to a new corporatewide system called “Customer Connect.</w:t>
      </w:r>
      <w:r w:rsidRPr="007E6F26" w:rsidR="00134AFE">
        <w:rPr>
          <w:szCs w:val="24"/>
        </w:rPr>
        <w:t>”</w:t>
      </w:r>
      <w:r>
        <w:rPr>
          <w:rStyle w:val="FootnoteReference"/>
          <w:szCs w:val="24"/>
        </w:rPr>
        <w:footnoteReference w:id="2"/>
      </w:r>
      <w:r w:rsidRPr="007E6F26">
        <w:rPr>
          <w:szCs w:val="24"/>
        </w:rPr>
        <w:t xml:space="preserve"> The transition period </w:t>
      </w:r>
      <w:r w:rsidRPr="007E6F26" w:rsidR="00B60A28">
        <w:rPr>
          <w:szCs w:val="24"/>
        </w:rPr>
        <w:t xml:space="preserve">for conversion </w:t>
      </w:r>
      <w:r w:rsidRPr="007E6F26">
        <w:rPr>
          <w:szCs w:val="24"/>
        </w:rPr>
        <w:t>is expected to occur between February 18, 2022 through July 1, 2022.</w:t>
      </w:r>
      <w:r>
        <w:rPr>
          <w:rStyle w:val="FootnoteReference"/>
          <w:szCs w:val="24"/>
        </w:rPr>
        <w:footnoteReference w:id="3"/>
      </w:r>
      <w:r w:rsidRPr="007E6F26" w:rsidR="00B87B96">
        <w:rPr>
          <w:szCs w:val="24"/>
        </w:rPr>
        <w:t xml:space="preserve"> </w:t>
      </w:r>
      <w:r w:rsidRPr="007E6F26" w:rsidR="00134AFE">
        <w:rPr>
          <w:szCs w:val="24"/>
        </w:rPr>
        <w:t>Duke’s</w:t>
      </w:r>
      <w:r w:rsidRPr="007E6F26">
        <w:rPr>
          <w:szCs w:val="24"/>
        </w:rPr>
        <w:t xml:space="preserve"> waiver request provides no documentation or support of technical or financial reasons why </w:t>
      </w:r>
      <w:r w:rsidRPr="007E6F26" w:rsidR="00B60A28">
        <w:rPr>
          <w:szCs w:val="24"/>
        </w:rPr>
        <w:t xml:space="preserve">such an extended </w:t>
      </w:r>
      <w:r w:rsidRPr="007E6F26">
        <w:rPr>
          <w:szCs w:val="24"/>
        </w:rPr>
        <w:t xml:space="preserve">transition period is </w:t>
      </w:r>
      <w:r w:rsidRPr="007E6F26" w:rsidR="00B60A28">
        <w:rPr>
          <w:szCs w:val="24"/>
        </w:rPr>
        <w:t>needed.</w:t>
      </w:r>
      <w:r w:rsidRPr="007E6F26">
        <w:rPr>
          <w:szCs w:val="24"/>
        </w:rPr>
        <w:t xml:space="preserve"> </w:t>
      </w:r>
      <w:r w:rsidRPr="007E6F26" w:rsidR="00B60A28">
        <w:rPr>
          <w:szCs w:val="24"/>
        </w:rPr>
        <w:t>A</w:t>
      </w:r>
      <w:r w:rsidRPr="007E6F26">
        <w:rPr>
          <w:szCs w:val="24"/>
        </w:rPr>
        <w:t>ccording to Duke, many of the transition activities will be undertaken in a relatively short period of time between March 30, 2022 and April 6, 2022.</w:t>
      </w:r>
      <w:r>
        <w:rPr>
          <w:rStyle w:val="FootnoteReference"/>
          <w:szCs w:val="24"/>
        </w:rPr>
        <w:footnoteReference w:id="4"/>
      </w:r>
      <w:r w:rsidRPr="007E6F26">
        <w:rPr>
          <w:szCs w:val="24"/>
        </w:rPr>
        <w:t xml:space="preserve"> </w:t>
      </w:r>
    </w:p>
    <w:p w:rsidR="001A3B8E" w:rsidP="005D3ABF" w14:paraId="549A43CF" w14:textId="77777777">
      <w:pPr>
        <w:spacing w:line="480" w:lineRule="auto"/>
        <w:ind w:firstLine="720"/>
        <w:rPr>
          <w:szCs w:val="24"/>
        </w:rPr>
        <w:sectPr w:rsidSect="001A39F8">
          <w:footerReference w:type="default" r:id="rId6"/>
          <w:pgSz w:w="12240" w:h="15840"/>
          <w:pgMar w:top="1440" w:right="1800" w:bottom="1440" w:left="1800" w:header="720" w:footer="720" w:gutter="0"/>
          <w:pgNumType w:start="2"/>
          <w:cols w:space="720"/>
          <w:titlePg/>
          <w:docGrid w:linePitch="65"/>
        </w:sectPr>
      </w:pPr>
      <w:r w:rsidRPr="007E6F26">
        <w:rPr>
          <w:szCs w:val="24"/>
        </w:rPr>
        <w:t>Unfortunately, the</w:t>
      </w:r>
      <w:r w:rsidRPr="007E6F26" w:rsidR="00A158A7">
        <w:rPr>
          <w:szCs w:val="24"/>
        </w:rPr>
        <w:t xml:space="preserve"> overall impact of </w:t>
      </w:r>
      <w:r w:rsidRPr="007E6F26" w:rsidR="00B60A28">
        <w:rPr>
          <w:szCs w:val="24"/>
        </w:rPr>
        <w:t xml:space="preserve">allowing such an extended transition period (over four months) for </w:t>
      </w:r>
      <w:r w:rsidRPr="007E6F26" w:rsidR="00875F84">
        <w:rPr>
          <w:szCs w:val="24"/>
        </w:rPr>
        <w:t>Duke’s</w:t>
      </w:r>
      <w:r w:rsidRPr="007E6F26" w:rsidR="00A158A7">
        <w:rPr>
          <w:szCs w:val="24"/>
        </w:rPr>
        <w:t xml:space="preserve"> conversion to the new </w:t>
      </w:r>
      <w:r w:rsidRPr="007E6F26" w:rsidR="00535C2D">
        <w:rPr>
          <w:szCs w:val="24"/>
        </w:rPr>
        <w:t xml:space="preserve">billing system </w:t>
      </w:r>
      <w:r w:rsidRPr="007E6F26" w:rsidR="00A158A7">
        <w:rPr>
          <w:szCs w:val="24"/>
        </w:rPr>
        <w:t>on consumers’ abilities to maintain electric and/or natural gas services can be significant and with</w:t>
      </w:r>
    </w:p>
    <w:p w:rsidR="00A158A7" w:rsidRPr="007E6F26" w:rsidP="001C4ED0" w14:paraId="18BBB17B" w14:textId="7571E039">
      <w:pPr>
        <w:spacing w:line="480" w:lineRule="auto"/>
        <w:rPr>
          <w:szCs w:val="24"/>
        </w:rPr>
      </w:pPr>
      <w:r w:rsidRPr="007E6F26">
        <w:rPr>
          <w:szCs w:val="24"/>
        </w:rPr>
        <w:t xml:space="preserve">long-lasting </w:t>
      </w:r>
      <w:r w:rsidRPr="007E6F26" w:rsidR="00B60A28">
        <w:rPr>
          <w:szCs w:val="24"/>
        </w:rPr>
        <w:t xml:space="preserve">negative </w:t>
      </w:r>
      <w:r w:rsidRPr="007E6F26">
        <w:rPr>
          <w:szCs w:val="24"/>
        </w:rPr>
        <w:t>implications.</w:t>
      </w:r>
      <w:r w:rsidRPr="007E6F26" w:rsidR="008066E3">
        <w:rPr>
          <w:szCs w:val="24"/>
        </w:rPr>
        <w:t xml:space="preserve"> </w:t>
      </w:r>
      <w:r w:rsidRPr="007E6F26">
        <w:rPr>
          <w:szCs w:val="24"/>
        </w:rPr>
        <w:t>These implications include an inability for consumers to apply for new extended payment plans</w:t>
      </w:r>
      <w:r>
        <w:rPr>
          <w:rStyle w:val="FootnoteReference"/>
          <w:szCs w:val="24"/>
        </w:rPr>
        <w:footnoteReference w:id="5"/>
      </w:r>
      <w:r w:rsidRPr="007E6F26">
        <w:rPr>
          <w:szCs w:val="24"/>
        </w:rPr>
        <w:t xml:space="preserve"> or to enroll in budget billing.</w:t>
      </w:r>
      <w:r>
        <w:rPr>
          <w:rStyle w:val="FootnoteReference"/>
          <w:szCs w:val="24"/>
        </w:rPr>
        <w:footnoteReference w:id="6"/>
      </w:r>
    </w:p>
    <w:p w:rsidR="00060FA8" w:rsidRPr="007E6F26" w:rsidP="00A158A7" w14:paraId="4CFDA984" w14:textId="77777777">
      <w:pPr>
        <w:spacing w:line="480" w:lineRule="auto"/>
        <w:ind w:firstLine="720"/>
        <w:rPr>
          <w:szCs w:val="24"/>
        </w:rPr>
      </w:pPr>
      <w:r w:rsidRPr="007E6F26">
        <w:rPr>
          <w:szCs w:val="24"/>
        </w:rPr>
        <w:t>Additionally, i</w:t>
      </w:r>
      <w:r w:rsidRPr="007E6F26" w:rsidR="00A158A7">
        <w:rPr>
          <w:szCs w:val="24"/>
        </w:rPr>
        <w:t>n the middle of the winter heating season, many low-income consumers will be prevented from being able to enroll in the Percentage of Income Payment Plan (“PIPP”) program and/or from being able to comply with all the requirements to remain on th</w:t>
      </w:r>
      <w:r w:rsidRPr="007E6F26" w:rsidR="008A5357">
        <w:rPr>
          <w:szCs w:val="24"/>
        </w:rPr>
        <w:t>at</w:t>
      </w:r>
      <w:r w:rsidRPr="007E6F26" w:rsidR="00A158A7">
        <w:rPr>
          <w:szCs w:val="24"/>
        </w:rPr>
        <w:t xml:space="preserve"> program. </w:t>
      </w:r>
    </w:p>
    <w:p w:rsidR="00587B4C" w:rsidRPr="007E6F26" w:rsidP="00A158A7" w14:paraId="6378FFBE" w14:textId="12ED2589">
      <w:pPr>
        <w:spacing w:line="480" w:lineRule="auto"/>
        <w:ind w:firstLine="720"/>
        <w:rPr>
          <w:szCs w:val="24"/>
        </w:rPr>
      </w:pPr>
      <w:r w:rsidRPr="007E6F26">
        <w:rPr>
          <w:szCs w:val="24"/>
        </w:rPr>
        <w:t>Between March 18</w:t>
      </w:r>
      <w:r w:rsidRPr="007E6F26" w:rsidR="004765AC">
        <w:rPr>
          <w:szCs w:val="24"/>
        </w:rPr>
        <w:t>, 2022</w:t>
      </w:r>
      <w:r w:rsidRPr="007E6F26">
        <w:rPr>
          <w:szCs w:val="24"/>
        </w:rPr>
        <w:t xml:space="preserve"> and April 6, </w:t>
      </w:r>
      <w:r w:rsidRPr="007E6F26" w:rsidR="004765AC">
        <w:rPr>
          <w:szCs w:val="24"/>
        </w:rPr>
        <w:t xml:space="preserve">2022, </w:t>
      </w:r>
      <w:r w:rsidRPr="007E6F26">
        <w:rPr>
          <w:szCs w:val="24"/>
        </w:rPr>
        <w:t>the legacy system and the new CIS system will be unavailable for consumers to make choice-related changes to their service. S</w:t>
      </w:r>
      <w:r w:rsidRPr="007E6F26" w:rsidR="00A158A7">
        <w:rPr>
          <w:szCs w:val="24"/>
        </w:rPr>
        <w:t>hopping c</w:t>
      </w:r>
      <w:r w:rsidRPr="007E6F26" w:rsidR="00F434A0">
        <w:rPr>
          <w:szCs w:val="24"/>
        </w:rPr>
        <w:t>onsumers</w:t>
      </w:r>
      <w:r w:rsidRPr="007E6F26" w:rsidR="00A158A7">
        <w:rPr>
          <w:szCs w:val="24"/>
        </w:rPr>
        <w:t xml:space="preserve"> will be unable to return to the standard service offer for electric and/or the GCR for natural gas supply to lower their energy bills for </w:t>
      </w:r>
      <w:r w:rsidRPr="007E6F26" w:rsidR="00A305C3">
        <w:rPr>
          <w:szCs w:val="24"/>
        </w:rPr>
        <w:t>approximately three weeks</w:t>
      </w:r>
      <w:r w:rsidRPr="007E6F26" w:rsidR="00A158A7">
        <w:rPr>
          <w:szCs w:val="24"/>
        </w:rPr>
        <w:t xml:space="preserve"> </w:t>
      </w:r>
      <w:r w:rsidRPr="007E6F26" w:rsidR="00134AFE">
        <w:rPr>
          <w:szCs w:val="24"/>
        </w:rPr>
        <w:t>(</w:t>
      </w:r>
      <w:r w:rsidRPr="007E6F26" w:rsidR="00A158A7">
        <w:rPr>
          <w:szCs w:val="24"/>
        </w:rPr>
        <w:t>or longer depending on the backlog and timing of such requests</w:t>
      </w:r>
      <w:r w:rsidRPr="007E6F26" w:rsidR="00134AFE">
        <w:rPr>
          <w:szCs w:val="24"/>
        </w:rPr>
        <w:t>)</w:t>
      </w:r>
      <w:r w:rsidRPr="007E6F26" w:rsidR="00A158A7">
        <w:rPr>
          <w:szCs w:val="24"/>
        </w:rPr>
        <w:t xml:space="preserve">. </w:t>
      </w:r>
    </w:p>
    <w:p w:rsidR="00A158A7" w:rsidRPr="007E6F26" w:rsidP="00A158A7" w14:paraId="73948CFA" w14:textId="383A8F13">
      <w:pPr>
        <w:spacing w:line="480" w:lineRule="auto"/>
        <w:ind w:firstLine="720"/>
        <w:rPr>
          <w:szCs w:val="24"/>
        </w:rPr>
      </w:pPr>
      <w:r w:rsidRPr="007E6F26">
        <w:rPr>
          <w:szCs w:val="24"/>
        </w:rPr>
        <w:t>Duke has proposed as part of the transition to the new</w:t>
      </w:r>
      <w:r w:rsidRPr="007E6F26" w:rsidR="00535C2D">
        <w:rPr>
          <w:szCs w:val="24"/>
        </w:rPr>
        <w:t xml:space="preserve"> billing system</w:t>
      </w:r>
      <w:r w:rsidRPr="007E6F26">
        <w:rPr>
          <w:szCs w:val="24"/>
        </w:rPr>
        <w:t xml:space="preserve"> </w:t>
      </w:r>
      <w:r w:rsidRPr="007E6F26" w:rsidR="006446C1">
        <w:rPr>
          <w:szCs w:val="24"/>
        </w:rPr>
        <w:t xml:space="preserve">to suspend </w:t>
      </w:r>
      <w:r w:rsidRPr="007E6F26">
        <w:rPr>
          <w:szCs w:val="24"/>
        </w:rPr>
        <w:t xml:space="preserve">disconnections for non-payment of electric and natural gas services between March 1 through July 1, 2022. </w:t>
      </w:r>
      <w:r w:rsidRPr="007E6F26" w:rsidR="002B61E9">
        <w:rPr>
          <w:szCs w:val="24"/>
        </w:rPr>
        <w:t xml:space="preserve">That is appreciated. </w:t>
      </w:r>
      <w:r w:rsidRPr="007E6F26" w:rsidR="00026256">
        <w:rPr>
          <w:szCs w:val="24"/>
        </w:rPr>
        <w:t>But whether and how consumers are alerted once disconnections resume</w:t>
      </w:r>
      <w:r w:rsidRPr="007E6F26" w:rsidR="00A305C3">
        <w:rPr>
          <w:szCs w:val="24"/>
        </w:rPr>
        <w:t xml:space="preserve"> and have time to respond to prevent </w:t>
      </w:r>
      <w:r w:rsidRPr="007E6F26" w:rsidR="004C6BE7">
        <w:rPr>
          <w:szCs w:val="24"/>
        </w:rPr>
        <w:t>shut offs</w:t>
      </w:r>
      <w:r w:rsidRPr="007E6F26" w:rsidR="00026256">
        <w:rPr>
          <w:szCs w:val="24"/>
        </w:rPr>
        <w:t xml:space="preserve"> </w:t>
      </w:r>
      <w:r w:rsidRPr="007E6F26" w:rsidR="00D008D7">
        <w:rPr>
          <w:szCs w:val="24"/>
        </w:rPr>
        <w:t xml:space="preserve">can be </w:t>
      </w:r>
      <w:r w:rsidRPr="007E6F26" w:rsidR="00026256">
        <w:rPr>
          <w:szCs w:val="24"/>
        </w:rPr>
        <w:t>problematic</w:t>
      </w:r>
      <w:r w:rsidRPr="007E6F26" w:rsidR="00D008D7">
        <w:rPr>
          <w:szCs w:val="24"/>
        </w:rPr>
        <w:t xml:space="preserve"> because </w:t>
      </w:r>
      <w:r w:rsidRPr="007E6F26" w:rsidR="00A305C3">
        <w:rPr>
          <w:szCs w:val="24"/>
        </w:rPr>
        <w:t xml:space="preserve">there are fewer required consumer protections (notices, payment plans, special reconnect procedures, financial assistance programs, </w:t>
      </w:r>
      <w:r w:rsidRPr="007E6F26" w:rsidR="002201A5">
        <w:rPr>
          <w:szCs w:val="24"/>
        </w:rPr>
        <w:t>etc.</w:t>
      </w:r>
      <w:r w:rsidRPr="007E6F26" w:rsidR="00A305C3">
        <w:rPr>
          <w:szCs w:val="24"/>
        </w:rPr>
        <w:t xml:space="preserve">) available to consumers in </w:t>
      </w:r>
      <w:r w:rsidRPr="007E6F26" w:rsidR="00FA7528">
        <w:rPr>
          <w:szCs w:val="24"/>
        </w:rPr>
        <w:t>the summer months</w:t>
      </w:r>
      <w:r w:rsidRPr="007E6F26" w:rsidR="006446C1">
        <w:rPr>
          <w:szCs w:val="24"/>
        </w:rPr>
        <w:t>.</w:t>
      </w:r>
      <w:r w:rsidRPr="007E6F26" w:rsidR="00026256">
        <w:rPr>
          <w:szCs w:val="24"/>
        </w:rPr>
        <w:t xml:space="preserve"> </w:t>
      </w:r>
      <w:r w:rsidRPr="007E6F26" w:rsidR="00E06C60">
        <w:rPr>
          <w:szCs w:val="24"/>
        </w:rPr>
        <w:t>Th</w:t>
      </w:r>
      <w:r w:rsidRPr="007E6F26">
        <w:rPr>
          <w:szCs w:val="24"/>
        </w:rPr>
        <w:t>ese comments recommend additional actions be taken by the PUCO to protect Duke consumers during and after the transition.</w:t>
      </w:r>
    </w:p>
    <w:p w:rsidR="00A158A7" w:rsidRPr="007E6F26" w:rsidP="00776994" w14:paraId="5980B98C" w14:textId="3B966142">
      <w:pPr>
        <w:pStyle w:val="Heading1"/>
      </w:pPr>
      <w:r w:rsidRPr="007E6F26">
        <w:t>II.</w:t>
      </w:r>
      <w:r w:rsidRPr="007E6F26">
        <w:tab/>
      </w:r>
      <w:r w:rsidRPr="007E6F26" w:rsidR="00FA7528">
        <w:t>RECOMMENDATIONS</w:t>
      </w:r>
    </w:p>
    <w:p w:rsidR="00A158A7" w:rsidRPr="007E6F26" w:rsidP="00776994" w14:paraId="3A5B201A" w14:textId="14D9FFED">
      <w:pPr>
        <w:pStyle w:val="Heading2"/>
        <w:rPr>
          <w:szCs w:val="24"/>
        </w:rPr>
      </w:pPr>
      <w:r w:rsidRPr="007E6F26">
        <w:rPr>
          <w:szCs w:val="24"/>
        </w:rPr>
        <w:t>A.</w:t>
      </w:r>
      <w:r w:rsidRPr="007E6F26">
        <w:rPr>
          <w:szCs w:val="24"/>
        </w:rPr>
        <w:tab/>
      </w:r>
      <w:r w:rsidRPr="007E6F26" w:rsidR="008A5357">
        <w:rPr>
          <w:szCs w:val="24"/>
        </w:rPr>
        <w:t>T</w:t>
      </w:r>
      <w:r w:rsidRPr="007E6F26">
        <w:rPr>
          <w:szCs w:val="24"/>
        </w:rPr>
        <w:t xml:space="preserve">he PUCO should deny any proposed waiver that would prevent consumers </w:t>
      </w:r>
      <w:r w:rsidRPr="007E6F26" w:rsidR="008A5357">
        <w:rPr>
          <w:szCs w:val="24"/>
        </w:rPr>
        <w:t xml:space="preserve">from fully utilizing </w:t>
      </w:r>
      <w:r w:rsidRPr="007E6F26">
        <w:rPr>
          <w:szCs w:val="24"/>
        </w:rPr>
        <w:t>the Special Winter Reconnection Order</w:t>
      </w:r>
      <w:r w:rsidRPr="007E6F26" w:rsidR="008A5357">
        <w:rPr>
          <w:szCs w:val="24"/>
        </w:rPr>
        <w:t xml:space="preserve"> and other </w:t>
      </w:r>
      <w:r w:rsidRPr="007E6F26" w:rsidR="00FA7528">
        <w:rPr>
          <w:szCs w:val="24"/>
        </w:rPr>
        <w:t xml:space="preserve">consumer protection </w:t>
      </w:r>
      <w:r w:rsidRPr="007E6F26" w:rsidR="002201A5">
        <w:rPr>
          <w:szCs w:val="24"/>
        </w:rPr>
        <w:t>programs.</w:t>
      </w:r>
      <w:r w:rsidRPr="007E6F26" w:rsidR="008066E3">
        <w:rPr>
          <w:szCs w:val="24"/>
        </w:rPr>
        <w:t xml:space="preserve"> </w:t>
      </w:r>
    </w:p>
    <w:p w:rsidR="00A158A7" w:rsidRPr="007E6F26" w:rsidP="00A158A7" w14:paraId="54EB6308" w14:textId="6141C247">
      <w:pPr>
        <w:spacing w:line="480" w:lineRule="auto"/>
        <w:ind w:firstLine="720"/>
        <w:rPr>
          <w:szCs w:val="24"/>
        </w:rPr>
      </w:pPr>
      <w:r w:rsidRPr="007E6F26">
        <w:rPr>
          <w:szCs w:val="24"/>
        </w:rPr>
        <w:t>The PUCO issued an Order setting forth special winter reconnection procedures that are intended to protect all Ohio residential utility consumers that are in effect between October 18, 2021 through April 15, 2022.</w:t>
      </w:r>
      <w:r>
        <w:rPr>
          <w:rStyle w:val="FootnoteReference"/>
          <w:szCs w:val="24"/>
        </w:rPr>
        <w:footnoteReference w:id="7"/>
      </w:r>
      <w:r w:rsidRPr="007E6F26">
        <w:rPr>
          <w:szCs w:val="24"/>
        </w:rPr>
        <w:t xml:space="preserve"> Under these procedures, consumers have special protections for having services reconnected, prevent disconnections for non-payment, or request having new services initiated with a one-time payment of $175 regardless of the balance. The $175 can be provided to income eligible consumers from the Winter Crisis Program and/or other financial assistance programs.</w:t>
      </w:r>
      <w:r>
        <w:rPr>
          <w:rStyle w:val="FootnoteReference"/>
          <w:szCs w:val="24"/>
        </w:rPr>
        <w:footnoteReference w:id="8"/>
      </w:r>
      <w:r w:rsidRPr="007E6F26">
        <w:rPr>
          <w:szCs w:val="24"/>
        </w:rPr>
        <w:t xml:space="preserve"> At the time consumers invoke the special reconnection order by paying the $175, they are also required to enroll in an extended payment plan to pay the remaining unpaid balance beginning with their next bill. C</w:t>
      </w:r>
      <w:r w:rsidRPr="007E6F26" w:rsidR="00F434A0">
        <w:rPr>
          <w:szCs w:val="24"/>
        </w:rPr>
        <w:t>onsumers</w:t>
      </w:r>
      <w:r w:rsidRPr="007E6F26">
        <w:rPr>
          <w:szCs w:val="24"/>
        </w:rPr>
        <w:t xml:space="preserve"> who are eligible for PIPP can make the $175 payment and enroll or re-enroll on PIPP. However, consumers lack protections of the Special Winter Reconnection Order under Duke’s </w:t>
      </w:r>
      <w:r w:rsidRPr="007E6F26" w:rsidR="00D008D7">
        <w:rPr>
          <w:szCs w:val="24"/>
        </w:rPr>
        <w:t xml:space="preserve">waiver request </w:t>
      </w:r>
      <w:r w:rsidRPr="007E6F26">
        <w:rPr>
          <w:szCs w:val="24"/>
        </w:rPr>
        <w:t xml:space="preserve">proposals. </w:t>
      </w:r>
    </w:p>
    <w:p w:rsidR="00A158A7" w:rsidRPr="007E6F26" w:rsidP="003E2873" w14:paraId="6542FEB9" w14:textId="0D41B38B">
      <w:pPr>
        <w:pStyle w:val="Heading3"/>
        <w:rPr>
          <w:szCs w:val="24"/>
        </w:rPr>
      </w:pPr>
      <w:r w:rsidRPr="007E6F26">
        <w:rPr>
          <w:szCs w:val="24"/>
        </w:rPr>
        <w:t>1.</w:t>
      </w:r>
      <w:r w:rsidRPr="007E6F26">
        <w:rPr>
          <w:szCs w:val="24"/>
        </w:rPr>
        <w:tab/>
        <w:t>Consumers should have uninterrupted access to budget bill</w:t>
      </w:r>
      <w:r w:rsidRPr="007E6F26" w:rsidR="00E06C60">
        <w:rPr>
          <w:szCs w:val="24"/>
        </w:rPr>
        <w:t>ing</w:t>
      </w:r>
      <w:r w:rsidRPr="007E6F26">
        <w:rPr>
          <w:szCs w:val="24"/>
        </w:rPr>
        <w:t xml:space="preserve">, extended payment plans, and PIPP. </w:t>
      </w:r>
    </w:p>
    <w:p w:rsidR="00A158A7" w:rsidRPr="007E6F26" w:rsidP="00A158A7" w14:paraId="5632F0B9" w14:textId="341D9802">
      <w:pPr>
        <w:spacing w:line="480" w:lineRule="auto"/>
        <w:ind w:firstLine="720"/>
        <w:rPr>
          <w:szCs w:val="24"/>
        </w:rPr>
      </w:pPr>
      <w:r w:rsidRPr="007E6F26">
        <w:rPr>
          <w:szCs w:val="24"/>
        </w:rPr>
        <w:t xml:space="preserve">According to Duke’s waiver request, Duke consumers will not be able to enroll in budget billing, extended payment plans, and PIPP at different times throughout the transition </w:t>
      </w:r>
      <w:r w:rsidRPr="007E6F26" w:rsidR="00D008D7">
        <w:rPr>
          <w:szCs w:val="24"/>
        </w:rPr>
        <w:t xml:space="preserve">period </w:t>
      </w:r>
      <w:r w:rsidRPr="007E6F26">
        <w:rPr>
          <w:szCs w:val="24"/>
        </w:rPr>
        <w:t xml:space="preserve">and prior to the April 15, 2022 end date for the special winter reconnection order. At a minimum, this can cause confusion for consumers and </w:t>
      </w:r>
      <w:r w:rsidRPr="007E6F26" w:rsidR="00D008D7">
        <w:rPr>
          <w:szCs w:val="24"/>
        </w:rPr>
        <w:t>un</w:t>
      </w:r>
      <w:r w:rsidRPr="007E6F26">
        <w:rPr>
          <w:szCs w:val="24"/>
        </w:rPr>
        <w:t xml:space="preserve">certainty regarding their responsibilities for maintaining service under the </w:t>
      </w:r>
      <w:r w:rsidRPr="007E6F26" w:rsidR="00214F93">
        <w:rPr>
          <w:szCs w:val="24"/>
        </w:rPr>
        <w:t xml:space="preserve">winter </w:t>
      </w:r>
      <w:r w:rsidRPr="007E6F26">
        <w:rPr>
          <w:szCs w:val="24"/>
        </w:rPr>
        <w:t xml:space="preserve">reconnection order when they are unable to enroll in payment plans or PIPP as required. </w:t>
      </w:r>
      <w:r w:rsidRPr="007E6F26" w:rsidR="00535C2D">
        <w:rPr>
          <w:szCs w:val="24"/>
        </w:rPr>
        <w:t>C</w:t>
      </w:r>
      <w:r w:rsidRPr="007E6F26">
        <w:rPr>
          <w:szCs w:val="24"/>
        </w:rPr>
        <w:t xml:space="preserve">onsumers may be inhibited from using the </w:t>
      </w:r>
      <w:r w:rsidRPr="007E6F26" w:rsidR="00214F93">
        <w:rPr>
          <w:szCs w:val="24"/>
        </w:rPr>
        <w:t xml:space="preserve">winter </w:t>
      </w:r>
      <w:r w:rsidRPr="007E6F26" w:rsidR="00D008D7">
        <w:rPr>
          <w:szCs w:val="24"/>
        </w:rPr>
        <w:t>reconnection o</w:t>
      </w:r>
      <w:r w:rsidRPr="007E6F26">
        <w:rPr>
          <w:szCs w:val="24"/>
        </w:rPr>
        <w:t>rder for its intended purposes if Duke does not provide more flexibility in permitting c</w:t>
      </w:r>
      <w:r w:rsidRPr="007E6F26" w:rsidR="00F434A0">
        <w:rPr>
          <w:szCs w:val="24"/>
        </w:rPr>
        <w:t>onsumers</w:t>
      </w:r>
      <w:r w:rsidRPr="007E6F26">
        <w:rPr>
          <w:szCs w:val="24"/>
        </w:rPr>
        <w:t xml:space="preserve"> to enroll on PIPP and to apply for extended payment agreements throughout the transition to the new CIS.</w:t>
      </w:r>
      <w:r w:rsidRPr="007E6F26" w:rsidR="008066E3">
        <w:rPr>
          <w:szCs w:val="24"/>
        </w:rPr>
        <w:t xml:space="preserve"> </w:t>
      </w:r>
      <w:r w:rsidRPr="007E6F26" w:rsidR="00E06C60">
        <w:rPr>
          <w:szCs w:val="24"/>
        </w:rPr>
        <w:t>Consumers should have uninterrupted access to budget billing, extended payment plans, and PIPP</w:t>
      </w:r>
      <w:r w:rsidRPr="007E6F26" w:rsidR="00535C2D">
        <w:rPr>
          <w:szCs w:val="24"/>
        </w:rPr>
        <w:t xml:space="preserve"> as required under the PUCO’s rules</w:t>
      </w:r>
      <w:r w:rsidRPr="007E6F26" w:rsidR="00E06C60">
        <w:rPr>
          <w:szCs w:val="24"/>
        </w:rPr>
        <w:t>,</w:t>
      </w:r>
      <w:r>
        <w:rPr>
          <w:rStyle w:val="FootnoteReference"/>
          <w:szCs w:val="24"/>
        </w:rPr>
        <w:footnoteReference w:id="9"/>
      </w:r>
      <w:r w:rsidRPr="007E6F26" w:rsidR="00E06C60">
        <w:rPr>
          <w:szCs w:val="24"/>
        </w:rPr>
        <w:t xml:space="preserve"> and the PUCO should require Duke </w:t>
      </w:r>
      <w:r w:rsidRPr="007E6F26" w:rsidR="00621C22">
        <w:rPr>
          <w:szCs w:val="24"/>
        </w:rPr>
        <w:t>to provide that access.</w:t>
      </w:r>
      <w:r w:rsidRPr="007E6F26" w:rsidR="00E06C60">
        <w:rPr>
          <w:szCs w:val="24"/>
        </w:rPr>
        <w:t xml:space="preserve"> </w:t>
      </w:r>
      <w:r w:rsidRPr="007E6F26" w:rsidR="00D008D7">
        <w:rPr>
          <w:szCs w:val="24"/>
        </w:rPr>
        <w:t xml:space="preserve">This can </w:t>
      </w:r>
      <w:r w:rsidRPr="007E6F26" w:rsidR="00A305C3">
        <w:rPr>
          <w:szCs w:val="24"/>
        </w:rPr>
        <w:t>potentially be accomplished by Duke operating the legacy systems involving customer payment agreements in parallel with the new CIS as it is being installed</w:t>
      </w:r>
      <w:r w:rsidRPr="007E6F26" w:rsidR="00D008D7">
        <w:rPr>
          <w:szCs w:val="24"/>
        </w:rPr>
        <w:t xml:space="preserve">. </w:t>
      </w:r>
    </w:p>
    <w:p w:rsidR="00A158A7" w:rsidRPr="007E6F26" w:rsidP="00817979" w14:paraId="7B49CA29" w14:textId="3CD82992">
      <w:pPr>
        <w:pStyle w:val="Heading3"/>
        <w:rPr>
          <w:szCs w:val="24"/>
        </w:rPr>
      </w:pPr>
      <w:r w:rsidRPr="007E6F26">
        <w:rPr>
          <w:szCs w:val="24"/>
        </w:rPr>
        <w:t>2.</w:t>
      </w:r>
      <w:r w:rsidRPr="007E6F26">
        <w:rPr>
          <w:szCs w:val="24"/>
        </w:rPr>
        <w:tab/>
        <w:t>Consumers should continue to receive disconnection notices throughout the transition.</w:t>
      </w:r>
    </w:p>
    <w:p w:rsidR="00A158A7" w:rsidRPr="007E6F26" w:rsidP="00A158A7" w14:paraId="58DD88BE" w14:textId="58E7E13F">
      <w:pPr>
        <w:spacing w:line="480" w:lineRule="auto"/>
        <w:ind w:firstLine="720"/>
        <w:rPr>
          <w:szCs w:val="24"/>
        </w:rPr>
      </w:pPr>
      <w:r w:rsidRPr="007E6F26">
        <w:rPr>
          <w:szCs w:val="24"/>
        </w:rPr>
        <w:t>Duke</w:t>
      </w:r>
      <w:r w:rsidRPr="007E6F26" w:rsidR="00621C22">
        <w:rPr>
          <w:szCs w:val="24"/>
        </w:rPr>
        <w:t>’s</w:t>
      </w:r>
      <w:r w:rsidRPr="007E6F26">
        <w:rPr>
          <w:szCs w:val="24"/>
        </w:rPr>
        <w:t xml:space="preserve"> proposed waiver request could result in some low-income consumers being unable to obtain bill payment assistance through the Home Energy Assistance Program (“HEAP”) Winter Crisis Program (“WCP”) or other payment assistance programs that may be available. This is because some of these financial assistance programs (like the WCP) require c</w:t>
      </w:r>
      <w:r w:rsidRPr="007E6F26" w:rsidR="00F434A0">
        <w:rPr>
          <w:szCs w:val="24"/>
        </w:rPr>
        <w:t>onsumers</w:t>
      </w:r>
      <w:r w:rsidRPr="007E6F26">
        <w:rPr>
          <w:szCs w:val="24"/>
        </w:rPr>
        <w:t xml:space="preserve"> to have disconnection notices to participate in the program. Duke’s waiver request</w:t>
      </w:r>
      <w:r w:rsidRPr="007E6F26" w:rsidR="00094515">
        <w:rPr>
          <w:szCs w:val="24"/>
        </w:rPr>
        <w:t xml:space="preserve"> </w:t>
      </w:r>
      <w:r w:rsidRPr="007E6F26">
        <w:rPr>
          <w:szCs w:val="24"/>
        </w:rPr>
        <w:t>suspends disconnections after March 1, 2022</w:t>
      </w:r>
      <w:r w:rsidRPr="007E6F26" w:rsidR="00094515">
        <w:rPr>
          <w:szCs w:val="24"/>
        </w:rPr>
        <w:t>, but</w:t>
      </w:r>
      <w:r w:rsidRPr="007E6F26">
        <w:rPr>
          <w:szCs w:val="24"/>
        </w:rPr>
        <w:t xml:space="preserve"> it remains unclear </w:t>
      </w:r>
      <w:r w:rsidRPr="007E6F26" w:rsidR="00214F93">
        <w:rPr>
          <w:szCs w:val="24"/>
        </w:rPr>
        <w:t>when</w:t>
      </w:r>
      <w:r w:rsidRPr="007E6F26">
        <w:rPr>
          <w:szCs w:val="24"/>
        </w:rPr>
        <w:t xml:space="preserve"> the disconnection notices will be on the bill again</w:t>
      </w:r>
      <w:r w:rsidRPr="007E6F26" w:rsidR="007A6F82">
        <w:rPr>
          <w:szCs w:val="24"/>
        </w:rPr>
        <w:t>, but potentially not</w:t>
      </w:r>
      <w:r w:rsidRPr="007E6F26">
        <w:rPr>
          <w:szCs w:val="24"/>
        </w:rPr>
        <w:t xml:space="preserve"> until June 1, 2022.</w:t>
      </w:r>
      <w:r>
        <w:rPr>
          <w:rStyle w:val="FootnoteReference"/>
          <w:szCs w:val="24"/>
        </w:rPr>
        <w:footnoteReference w:id="10"/>
      </w:r>
      <w:r w:rsidRPr="007E6F26">
        <w:rPr>
          <w:szCs w:val="24"/>
        </w:rPr>
        <w:t xml:space="preserve"> </w:t>
      </w:r>
    </w:p>
    <w:p w:rsidR="00817979" w:rsidRPr="007E6F26" w:rsidP="00A158A7" w14:paraId="45D3D8FC" w14:textId="6FFBE5EF">
      <w:pPr>
        <w:spacing w:line="480" w:lineRule="auto"/>
        <w:ind w:firstLine="720"/>
        <w:rPr>
          <w:szCs w:val="24"/>
        </w:rPr>
      </w:pPr>
      <w:r w:rsidRPr="007E6F26">
        <w:rPr>
          <w:szCs w:val="24"/>
        </w:rPr>
        <w:t>Since the funding for the Winter Crisis Program ends on March 30, 2022, consumers will not be a</w:t>
      </w:r>
      <w:r w:rsidRPr="007E6F26" w:rsidR="00602FC5">
        <w:rPr>
          <w:szCs w:val="24"/>
        </w:rPr>
        <w:t>ble</w:t>
      </w:r>
      <w:r w:rsidRPr="007E6F26">
        <w:rPr>
          <w:szCs w:val="24"/>
        </w:rPr>
        <w:t xml:space="preserve"> to access the program after this date. Consumers would benefit from obtaining WCP </w:t>
      </w:r>
      <w:r w:rsidRPr="007E6F26" w:rsidR="00094515">
        <w:rPr>
          <w:szCs w:val="24"/>
        </w:rPr>
        <w:t>assistance</w:t>
      </w:r>
      <w:r w:rsidRPr="007E6F26">
        <w:rPr>
          <w:szCs w:val="24"/>
        </w:rPr>
        <w:t xml:space="preserve"> while the</w:t>
      </w:r>
      <w:r w:rsidRPr="007E6F26" w:rsidR="00094515">
        <w:rPr>
          <w:szCs w:val="24"/>
        </w:rPr>
        <w:t xml:space="preserve"> program is </w:t>
      </w:r>
      <w:r w:rsidRPr="007E6F26">
        <w:rPr>
          <w:szCs w:val="24"/>
        </w:rPr>
        <w:t>available to help reduce the amount owed when disconnections resume. Even though disconnections will be suspended until July 1, 2022, the PUCO should require Duke to provide consumers who are delinquent with their payments with disconnection notices along with the bill (or separately) so that consumers can obtain available bill payment assistance through the WCP or any other available program.</w:t>
      </w:r>
      <w:r w:rsidRPr="007E6F26" w:rsidR="008066E3">
        <w:rPr>
          <w:szCs w:val="24"/>
        </w:rPr>
        <w:t xml:space="preserve"> </w:t>
      </w:r>
    </w:p>
    <w:p w:rsidR="00A158A7" w:rsidRPr="007E6F26" w:rsidP="00817979" w14:paraId="6B380DF7" w14:textId="10C13B6D">
      <w:pPr>
        <w:pStyle w:val="Heading3"/>
        <w:rPr>
          <w:szCs w:val="24"/>
        </w:rPr>
      </w:pPr>
      <w:r w:rsidRPr="007E6F26">
        <w:rPr>
          <w:szCs w:val="24"/>
        </w:rPr>
        <w:t>3.</w:t>
      </w:r>
      <w:r w:rsidRPr="007E6F26">
        <w:rPr>
          <w:szCs w:val="24"/>
        </w:rPr>
        <w:tab/>
        <w:t xml:space="preserve">The PUCO should require Duke to </w:t>
      </w:r>
      <w:r w:rsidRPr="007E6F26" w:rsidR="00407003">
        <w:rPr>
          <w:szCs w:val="24"/>
        </w:rPr>
        <w:t xml:space="preserve">immediately </w:t>
      </w:r>
      <w:r w:rsidRPr="007E6F26">
        <w:rPr>
          <w:szCs w:val="24"/>
        </w:rPr>
        <w:t>stay any further disconnections for non-payment for the remainder of this winter heating season and to work with currently disconnected consumers to get services restored before the transition.</w:t>
      </w:r>
      <w:r w:rsidRPr="007E6F26">
        <w:rPr>
          <w:szCs w:val="24"/>
        </w:rPr>
        <w:tab/>
      </w:r>
    </w:p>
    <w:p w:rsidR="001C72C4" w:rsidRPr="007E6F26" w:rsidP="00A158A7" w14:paraId="64F3D11C" w14:textId="4C9E89CE">
      <w:pPr>
        <w:spacing w:line="480" w:lineRule="auto"/>
        <w:ind w:firstLine="720"/>
        <w:rPr>
          <w:szCs w:val="24"/>
        </w:rPr>
      </w:pPr>
      <w:r w:rsidRPr="007E6F26">
        <w:rPr>
          <w:szCs w:val="24"/>
        </w:rPr>
        <w:t>Duke has proposed as part of the transition to the new billing system a suspension of disconnections for non-payment of electric and natural gas services between March 1 through July 1, 2022. That is appreciated.</w:t>
      </w:r>
      <w:r w:rsidR="007E6F26">
        <w:rPr>
          <w:szCs w:val="24"/>
        </w:rPr>
        <w:t xml:space="preserve"> </w:t>
      </w:r>
      <w:r w:rsidRPr="007E6F26">
        <w:rPr>
          <w:szCs w:val="24"/>
        </w:rPr>
        <w:t>However,</w:t>
      </w:r>
      <w:r w:rsidRPr="007E6F26" w:rsidR="002B61E9">
        <w:rPr>
          <w:szCs w:val="24"/>
        </w:rPr>
        <w:t xml:space="preserve"> </w:t>
      </w:r>
      <w:r w:rsidRPr="007E6F26" w:rsidR="00A158A7">
        <w:rPr>
          <w:szCs w:val="24"/>
        </w:rPr>
        <w:t>Duke’s proposed waiver request includes a delay in posting payments that are made by consumers or on behalf of consumers between March 31 through April 6, 2022.</w:t>
      </w:r>
      <w:r>
        <w:rPr>
          <w:rStyle w:val="FootnoteReference"/>
          <w:szCs w:val="24"/>
        </w:rPr>
        <w:footnoteReference w:id="11"/>
      </w:r>
      <w:r w:rsidRPr="007E6F26" w:rsidR="00A158A7">
        <w:rPr>
          <w:szCs w:val="24"/>
        </w:rPr>
        <w:t xml:space="preserve"> While not explicitly discussed in the Application, if payments are made on or after March 31</w:t>
      </w:r>
      <w:r w:rsidRPr="007E6F26" w:rsidR="00A158A7">
        <w:rPr>
          <w:szCs w:val="24"/>
          <w:vertAlign w:val="superscript"/>
        </w:rPr>
        <w:t>st</w:t>
      </w:r>
      <w:r w:rsidRPr="007E6F26" w:rsidR="00A158A7">
        <w:rPr>
          <w:szCs w:val="24"/>
        </w:rPr>
        <w:t>, there is no assurance that consumers who were previously disconnected could be reconnected until after Duke posts these payments on April 6, 2022.</w:t>
      </w:r>
      <w:r w:rsidRPr="007E6F26" w:rsidR="008066E3">
        <w:rPr>
          <w:szCs w:val="24"/>
        </w:rPr>
        <w:t xml:space="preserve"> </w:t>
      </w:r>
      <w:r w:rsidRPr="007E6F26" w:rsidR="00A158A7">
        <w:rPr>
          <w:szCs w:val="24"/>
        </w:rPr>
        <w:t xml:space="preserve">This can result in consumers being disconnected for longer than necessary. </w:t>
      </w:r>
    </w:p>
    <w:p w:rsidR="00A158A7" w:rsidRPr="007E6F26" w:rsidP="00A158A7" w14:paraId="607CB570" w14:textId="52B9021B">
      <w:pPr>
        <w:spacing w:line="480" w:lineRule="auto"/>
        <w:ind w:firstLine="720"/>
        <w:rPr>
          <w:szCs w:val="24"/>
        </w:rPr>
      </w:pPr>
      <w:r w:rsidRPr="007E6F26">
        <w:rPr>
          <w:szCs w:val="24"/>
        </w:rPr>
        <w:t xml:space="preserve">To avoid any potential reconnection delay because of the </w:t>
      </w:r>
      <w:r w:rsidRPr="007E6F26" w:rsidR="001C72C4">
        <w:rPr>
          <w:szCs w:val="24"/>
        </w:rPr>
        <w:t xml:space="preserve">billing system </w:t>
      </w:r>
      <w:r w:rsidRPr="007E6F26">
        <w:rPr>
          <w:szCs w:val="24"/>
        </w:rPr>
        <w:t xml:space="preserve">transition, the PUCO should protect consumers by immediately </w:t>
      </w:r>
      <w:r w:rsidRPr="007E6F26" w:rsidR="00407003">
        <w:rPr>
          <w:szCs w:val="24"/>
        </w:rPr>
        <w:t xml:space="preserve">(prior to Duke’s proposed March 1, 2022 date) </w:t>
      </w:r>
      <w:r w:rsidRPr="007E6F26">
        <w:rPr>
          <w:szCs w:val="24"/>
        </w:rPr>
        <w:t xml:space="preserve">requiring Duke to stay any further disconnections for non-payment </w:t>
      </w:r>
      <w:r w:rsidRPr="007E6F26" w:rsidR="00407003">
        <w:rPr>
          <w:szCs w:val="24"/>
        </w:rPr>
        <w:t>through July 1, 2022</w:t>
      </w:r>
      <w:r w:rsidRPr="007E6F26">
        <w:rPr>
          <w:szCs w:val="24"/>
        </w:rPr>
        <w:t>. And Duke should be instructed to work with consumers who are currently disconnected and wish to be reconnected with special payment plans to get the services restored ahead of the CIS transition.</w:t>
      </w:r>
    </w:p>
    <w:p w:rsidR="00A158A7" w:rsidRPr="007E6F26" w:rsidP="00817979" w14:paraId="2B497B81" w14:textId="3E3501C7">
      <w:pPr>
        <w:pStyle w:val="Heading2"/>
        <w:rPr>
          <w:szCs w:val="24"/>
        </w:rPr>
      </w:pPr>
      <w:r w:rsidRPr="007E6F26">
        <w:rPr>
          <w:szCs w:val="24"/>
        </w:rPr>
        <w:t>B.</w:t>
      </w:r>
      <w:r w:rsidRPr="007E6F26">
        <w:rPr>
          <w:szCs w:val="24"/>
        </w:rPr>
        <w:tab/>
        <w:t xml:space="preserve">The PUCO should require Duke to develop and publicly file a more comprehensive plan and details for how it intends to protect consumers when it resumes disconnections on July 1, 2022. </w:t>
      </w:r>
    </w:p>
    <w:p w:rsidR="001C72C4" w:rsidRPr="007E6F26" w:rsidP="00A158A7" w14:paraId="55804308" w14:textId="1E92A5F2">
      <w:pPr>
        <w:spacing w:line="480" w:lineRule="auto"/>
        <w:ind w:firstLine="720"/>
        <w:rPr>
          <w:szCs w:val="24"/>
        </w:rPr>
      </w:pPr>
      <w:r w:rsidRPr="007E6F26">
        <w:rPr>
          <w:szCs w:val="24"/>
        </w:rPr>
        <w:t xml:space="preserve">Duke’s waiver request application provides </w:t>
      </w:r>
      <w:r w:rsidRPr="007E6F26" w:rsidR="007A6F82">
        <w:rPr>
          <w:szCs w:val="24"/>
        </w:rPr>
        <w:t>limited</w:t>
      </w:r>
      <w:r w:rsidRPr="007E6F26">
        <w:rPr>
          <w:szCs w:val="24"/>
        </w:rPr>
        <w:t xml:space="preserve"> details at best regarding how the Utility will resume disconnections on July 1, 2022. In fact, other than stating that “[o]n June 1, 2022, the Company will resume printing disconnect notices on bills, and all disconnect notice and collection campaigns will resume,”</w:t>
      </w:r>
      <w:r>
        <w:rPr>
          <w:rStyle w:val="FootnoteReference"/>
          <w:szCs w:val="24"/>
        </w:rPr>
        <w:footnoteReference w:id="12"/>
      </w:r>
      <w:r w:rsidRPr="007E6F26">
        <w:rPr>
          <w:szCs w:val="24"/>
        </w:rPr>
        <w:t xml:space="preserve"> there are no actual details provided for when “disconnections for nonpayment will resume” on July 1, 2022.</w:t>
      </w:r>
      <w:r>
        <w:rPr>
          <w:rStyle w:val="FootnoteReference"/>
          <w:szCs w:val="24"/>
        </w:rPr>
        <w:footnoteReference w:id="13"/>
      </w:r>
      <w:r w:rsidRPr="007E6F26" w:rsidR="00B87B96">
        <w:rPr>
          <w:szCs w:val="24"/>
        </w:rPr>
        <w:t xml:space="preserve"> </w:t>
      </w:r>
    </w:p>
    <w:p w:rsidR="00A158A7" w:rsidRPr="007E6F26" w:rsidP="00A158A7" w14:paraId="3D13DA55" w14:textId="6EA05AF2">
      <w:pPr>
        <w:spacing w:line="480" w:lineRule="auto"/>
        <w:ind w:firstLine="720"/>
        <w:rPr>
          <w:szCs w:val="24"/>
        </w:rPr>
      </w:pPr>
      <w:r w:rsidRPr="007E6F26">
        <w:rPr>
          <w:szCs w:val="24"/>
        </w:rPr>
        <w:t>While the suspension of disconnections throughout the CIS transition is certainly appropriate and a welcome reprieve for many consumers, there could potentially be a large number of Duke consumers eligible for disconnection for nonpayment after the suspension. Following a recent statewide moratorium on disconnections and other activities, the PUCO required Duke to file a comprehensive plan that included more specific details and timelines for the resumption of all credit and collection activities.</w:t>
      </w:r>
      <w:r>
        <w:rPr>
          <w:rStyle w:val="FootnoteReference"/>
          <w:szCs w:val="24"/>
        </w:rPr>
        <w:footnoteReference w:id="14"/>
      </w:r>
      <w:r w:rsidRPr="007E6F26">
        <w:rPr>
          <w:szCs w:val="24"/>
        </w:rPr>
        <w:t xml:space="preserve"> The types of topics appropriate for th</w:t>
      </w:r>
      <w:r w:rsidRPr="007E6F26" w:rsidR="00F434A0">
        <w:rPr>
          <w:szCs w:val="24"/>
        </w:rPr>
        <w:t>at</w:t>
      </w:r>
      <w:r w:rsidRPr="007E6F26">
        <w:rPr>
          <w:szCs w:val="24"/>
        </w:rPr>
        <w:t xml:space="preserve"> plan include</w:t>
      </w:r>
      <w:r w:rsidRPr="007E6F26" w:rsidR="00F434A0">
        <w:rPr>
          <w:szCs w:val="24"/>
        </w:rPr>
        <w:t>d</w:t>
      </w:r>
      <w:r w:rsidRPr="007E6F26">
        <w:rPr>
          <w:szCs w:val="24"/>
        </w:rPr>
        <w:t xml:space="preserve"> the number of c</w:t>
      </w:r>
      <w:r w:rsidRPr="007E6F26" w:rsidR="00F434A0">
        <w:rPr>
          <w:szCs w:val="24"/>
        </w:rPr>
        <w:t>onsumers</w:t>
      </w:r>
      <w:r w:rsidRPr="007E6F26">
        <w:rPr>
          <w:szCs w:val="24"/>
        </w:rPr>
        <w:t xml:space="preserve"> eligible for disconnection, arrearages, communications with affected c</w:t>
      </w:r>
      <w:r w:rsidRPr="007E6F26" w:rsidR="00F434A0">
        <w:rPr>
          <w:szCs w:val="24"/>
        </w:rPr>
        <w:t>onsumers</w:t>
      </w:r>
      <w:r w:rsidRPr="007E6F26">
        <w:rPr>
          <w:szCs w:val="24"/>
        </w:rPr>
        <w:t xml:space="preserve">, disconnection notices and timelines, criteria for prioritizing disconnections, options to avoid disconnection including separation of services, protection of at-risk consumers including PIPP consumers, specialized payment plans, and available financial assistance. That was a plan appropriate for that time. </w:t>
      </w:r>
    </w:p>
    <w:p w:rsidR="006F5C47" w:rsidRPr="007E6F26" w:rsidP="006B23D7" w14:paraId="68568404" w14:textId="18CDFA17">
      <w:pPr>
        <w:spacing w:line="480" w:lineRule="auto"/>
        <w:ind w:firstLine="720"/>
        <w:rPr>
          <w:szCs w:val="24"/>
        </w:rPr>
      </w:pPr>
      <w:r w:rsidRPr="007E6F26">
        <w:rPr>
          <w:szCs w:val="24"/>
        </w:rPr>
        <w:t>To protect consumers, t</w:t>
      </w:r>
      <w:r w:rsidRPr="007E6F26" w:rsidR="00A158A7">
        <w:rPr>
          <w:szCs w:val="24"/>
        </w:rPr>
        <w:t xml:space="preserve">he PUCO should now </w:t>
      </w:r>
      <w:r w:rsidRPr="007E6F26" w:rsidR="001C72C4">
        <w:rPr>
          <w:szCs w:val="24"/>
        </w:rPr>
        <w:t xml:space="preserve">similarly </w:t>
      </w:r>
      <w:r w:rsidRPr="007E6F26" w:rsidR="00A158A7">
        <w:rPr>
          <w:szCs w:val="24"/>
        </w:rPr>
        <w:t xml:space="preserve">require Duke to work with interested parties in this proceeding and to file a comprehensive plan </w:t>
      </w:r>
      <w:r w:rsidRPr="007E6F26" w:rsidR="00F434A0">
        <w:rPr>
          <w:szCs w:val="24"/>
        </w:rPr>
        <w:t>not</w:t>
      </w:r>
      <w:r w:rsidRPr="007E6F26" w:rsidR="00A158A7">
        <w:rPr>
          <w:szCs w:val="24"/>
        </w:rPr>
        <w:t xml:space="preserve"> later than 45 days prior to when Duke intends to resume credit and collection activities.</w:t>
      </w:r>
      <w:r w:rsidRPr="007E6F26" w:rsidR="008066E3">
        <w:rPr>
          <w:szCs w:val="24"/>
        </w:rPr>
        <w:t xml:space="preserve"> </w:t>
      </w:r>
    </w:p>
    <w:p w:rsidR="00A158A7" w:rsidRPr="007E6F26" w:rsidP="00104346" w14:paraId="41F9DF0C" w14:textId="310007B8">
      <w:pPr>
        <w:pStyle w:val="Heading2"/>
        <w:rPr>
          <w:szCs w:val="24"/>
        </w:rPr>
      </w:pPr>
      <w:r w:rsidRPr="007E6F26">
        <w:rPr>
          <w:szCs w:val="24"/>
        </w:rPr>
        <w:t>C.</w:t>
      </w:r>
      <w:r w:rsidRPr="007E6F26">
        <w:rPr>
          <w:szCs w:val="24"/>
        </w:rPr>
        <w:tab/>
        <w:t>The PUCO should modify Duke’s waiver request pertaining to O.A.C. 4901:1-10-29 and 4901:1-13-14 and require Duke to notify shopping c</w:t>
      </w:r>
      <w:r w:rsidRPr="007E6F26" w:rsidR="00F434A0">
        <w:rPr>
          <w:szCs w:val="24"/>
        </w:rPr>
        <w:t>onsumers</w:t>
      </w:r>
      <w:r w:rsidRPr="007E6F26">
        <w:rPr>
          <w:szCs w:val="24"/>
        </w:rPr>
        <w:t xml:space="preserve"> who are returning to </w:t>
      </w:r>
      <w:r w:rsidRPr="007E6F26" w:rsidR="001C72C4">
        <w:rPr>
          <w:szCs w:val="24"/>
        </w:rPr>
        <w:t xml:space="preserve">Duke’s </w:t>
      </w:r>
      <w:r w:rsidRPr="007E6F26">
        <w:rPr>
          <w:szCs w:val="24"/>
        </w:rPr>
        <w:t xml:space="preserve">standard service offer or GCR about any delay in processing the request and the actual date when the switch will take place. </w:t>
      </w:r>
    </w:p>
    <w:p w:rsidR="00A158A7" w:rsidRPr="007E6F26" w:rsidP="001C72C4" w14:paraId="29EEAF7E" w14:textId="408CE5BF">
      <w:pPr>
        <w:spacing w:line="480" w:lineRule="auto"/>
        <w:ind w:firstLine="720"/>
        <w:rPr>
          <w:szCs w:val="24"/>
        </w:rPr>
      </w:pPr>
      <w:r w:rsidRPr="007E6F26">
        <w:rPr>
          <w:szCs w:val="24"/>
        </w:rPr>
        <w:t>Duke’s waiver request includes a temporary waiver between March 18 through April 6, 2022 from the requirements in O.A.C. 4901:1-10-29 and 4901:1-13-14 involving shopping c</w:t>
      </w:r>
      <w:r w:rsidRPr="007E6F26" w:rsidR="00F434A0">
        <w:rPr>
          <w:szCs w:val="24"/>
        </w:rPr>
        <w:t>onsumers</w:t>
      </w:r>
      <w:r w:rsidRPr="007E6F26">
        <w:rPr>
          <w:szCs w:val="24"/>
        </w:rPr>
        <w:t xml:space="preserve"> who return to the standard service offer </w:t>
      </w:r>
      <w:r w:rsidRPr="007E6F26" w:rsidR="00F434A0">
        <w:rPr>
          <w:szCs w:val="24"/>
        </w:rPr>
        <w:t xml:space="preserve">(electric) </w:t>
      </w:r>
      <w:r w:rsidRPr="007E6F26">
        <w:rPr>
          <w:szCs w:val="24"/>
        </w:rPr>
        <w:t>or GCR</w:t>
      </w:r>
      <w:r w:rsidRPr="007E6F26" w:rsidR="00F434A0">
        <w:rPr>
          <w:szCs w:val="24"/>
        </w:rPr>
        <w:t xml:space="preserve"> (natural gas)</w:t>
      </w:r>
      <w:r w:rsidRPr="007E6F26">
        <w:rPr>
          <w:szCs w:val="24"/>
        </w:rPr>
        <w:t>.</w:t>
      </w:r>
      <w:r>
        <w:rPr>
          <w:rStyle w:val="FootnoteReference"/>
          <w:szCs w:val="24"/>
        </w:rPr>
        <w:footnoteReference w:id="15"/>
      </w:r>
      <w:r w:rsidRPr="007E6F26">
        <w:rPr>
          <w:szCs w:val="24"/>
        </w:rPr>
        <w:t xml:space="preserve"> However, the waiver request does not include requirements for informing </w:t>
      </w:r>
      <w:r w:rsidRPr="007E6F26" w:rsidR="00F434A0">
        <w:rPr>
          <w:szCs w:val="24"/>
        </w:rPr>
        <w:t>consumers</w:t>
      </w:r>
      <w:r w:rsidRPr="007E6F26">
        <w:rPr>
          <w:szCs w:val="24"/>
        </w:rPr>
        <w:t xml:space="preserve"> about any delay associated with the switch due to the CIS transition. The PUCO should require Duke to notify c</w:t>
      </w:r>
      <w:r w:rsidRPr="007E6F26" w:rsidR="001C72C4">
        <w:rPr>
          <w:szCs w:val="24"/>
        </w:rPr>
        <w:t>onsumers</w:t>
      </w:r>
      <w:r w:rsidRPr="007E6F26">
        <w:rPr>
          <w:szCs w:val="24"/>
        </w:rPr>
        <w:t xml:space="preserve"> who are returning to the standard service offer or GCR about the cause for any delay</w:t>
      </w:r>
      <w:r w:rsidRPr="007E6F26" w:rsidR="003253E5">
        <w:rPr>
          <w:szCs w:val="24"/>
        </w:rPr>
        <w:t>. Consumers should also be informed</w:t>
      </w:r>
      <w:r w:rsidRPr="007E6F26">
        <w:rPr>
          <w:szCs w:val="24"/>
        </w:rPr>
        <w:t xml:space="preserve"> about the date </w:t>
      </w:r>
      <w:r w:rsidRPr="007E6F26" w:rsidR="00F434A0">
        <w:rPr>
          <w:szCs w:val="24"/>
        </w:rPr>
        <w:t>o</w:t>
      </w:r>
      <w:r w:rsidRPr="007E6F26">
        <w:rPr>
          <w:szCs w:val="24"/>
        </w:rPr>
        <w:t>n which they will be returned to the standard service offer or GCR for the supply of electricity and/or natural gas.</w:t>
      </w:r>
      <w:r w:rsidRPr="007E6F26" w:rsidR="008066E3">
        <w:rPr>
          <w:szCs w:val="24"/>
        </w:rPr>
        <w:t xml:space="preserve"> </w:t>
      </w:r>
    </w:p>
    <w:p w:rsidR="0020761F" w:rsidRPr="007E6F26" w:rsidP="0020761F" w14:paraId="298CE6DD" w14:textId="77777777">
      <w:pPr>
        <w:rPr>
          <w:szCs w:val="24"/>
        </w:rPr>
      </w:pPr>
    </w:p>
    <w:p w:rsidR="00A158A7" w:rsidRPr="007E6F26" w:rsidP="00104346" w14:paraId="44CF5056" w14:textId="5740E459">
      <w:pPr>
        <w:pStyle w:val="Heading1"/>
      </w:pPr>
      <w:r w:rsidRPr="007E6F26">
        <w:t>III.</w:t>
      </w:r>
      <w:r w:rsidRPr="007E6F26">
        <w:tab/>
        <w:t>CONCLUSION</w:t>
      </w:r>
    </w:p>
    <w:p w:rsidR="003253E5" w:rsidRPr="007E6F26" w:rsidP="00B87B96" w14:paraId="231D1F6F" w14:textId="65DE2627">
      <w:pPr>
        <w:spacing w:line="480" w:lineRule="auto"/>
        <w:ind w:firstLine="720"/>
        <w:rPr>
          <w:szCs w:val="24"/>
        </w:rPr>
      </w:pPr>
      <w:r w:rsidRPr="007E6F26">
        <w:rPr>
          <w:szCs w:val="24"/>
        </w:rPr>
        <w:t>To minimize the impact on consumers as Duke changes to its new billing system, the PUCO should adopt OCC’s consumer protection recommendations.</w:t>
      </w:r>
    </w:p>
    <w:p w:rsidR="006F5C47" w:rsidRPr="007E6F26" w14:paraId="3942ADD2" w14:textId="77777777">
      <w:pPr>
        <w:rPr>
          <w:szCs w:val="24"/>
        </w:rPr>
      </w:pPr>
      <w:r w:rsidRPr="007E6F26">
        <w:rPr>
          <w:szCs w:val="24"/>
        </w:rPr>
        <w:br w:type="page"/>
      </w:r>
    </w:p>
    <w:p w:rsidR="00C2626D" w:rsidRPr="007E6F26" w:rsidP="00313036" w14:paraId="30848D99" w14:textId="5A1380D7">
      <w:pPr>
        <w:spacing w:line="480" w:lineRule="auto"/>
        <w:ind w:left="3600"/>
        <w:rPr>
          <w:szCs w:val="24"/>
        </w:rPr>
      </w:pPr>
      <w:r w:rsidRPr="007E6F26">
        <w:rPr>
          <w:szCs w:val="24"/>
        </w:rPr>
        <w:t>Respectfully submitted,</w:t>
      </w:r>
    </w:p>
    <w:p w:rsidR="00A80BC1" w:rsidRPr="007E6F26" w:rsidP="007E6F3D" w14:paraId="17EB8745" w14:textId="77777777">
      <w:pPr>
        <w:ind w:left="2880" w:firstLine="720"/>
        <w:rPr>
          <w:szCs w:val="24"/>
        </w:rPr>
      </w:pPr>
      <w:r w:rsidRPr="007E6F26">
        <w:rPr>
          <w:szCs w:val="24"/>
        </w:rPr>
        <w:t>Bruce Weston (0016973)</w:t>
      </w:r>
    </w:p>
    <w:p w:rsidR="00A80BC1" w:rsidRPr="007E6F26" w:rsidP="007E6F3D" w14:paraId="41B13217" w14:textId="77777777">
      <w:pPr>
        <w:ind w:left="2880" w:firstLine="720"/>
        <w:rPr>
          <w:szCs w:val="24"/>
        </w:rPr>
      </w:pPr>
      <w:r w:rsidRPr="007E6F26">
        <w:rPr>
          <w:szCs w:val="24"/>
        </w:rPr>
        <w:t>Ohio Consumers’ Counsel</w:t>
      </w:r>
    </w:p>
    <w:p w:rsidR="00A80BC1" w:rsidRPr="007E6F26" w:rsidP="007E6F3D" w14:paraId="45DB75E5" w14:textId="77777777">
      <w:pPr>
        <w:tabs>
          <w:tab w:val="left" w:pos="4320"/>
        </w:tabs>
        <w:ind w:left="4320"/>
        <w:rPr>
          <w:szCs w:val="24"/>
        </w:rPr>
      </w:pPr>
    </w:p>
    <w:p w:rsidR="00A80BC1" w:rsidRPr="007E6F26" w:rsidP="007E6F3D" w14:paraId="0F46AE5B" w14:textId="63D9B0C1">
      <w:pPr>
        <w:ind w:left="3600"/>
        <w:rPr>
          <w:i/>
          <w:iCs/>
          <w:szCs w:val="24"/>
          <w:u w:val="single"/>
        </w:rPr>
      </w:pPr>
      <w:r w:rsidRPr="007E6F26">
        <w:rPr>
          <w:i/>
          <w:iCs/>
          <w:szCs w:val="24"/>
          <w:u w:val="single"/>
        </w:rPr>
        <w:t>/s/ Amy Botschner O’Brien</w:t>
      </w:r>
      <w:r w:rsidRPr="007E6F26" w:rsidR="006F5C47">
        <w:rPr>
          <w:i/>
          <w:iCs/>
          <w:szCs w:val="24"/>
          <w:u w:val="single"/>
        </w:rPr>
        <w:tab/>
      </w:r>
    </w:p>
    <w:p w:rsidR="00A80BC1" w:rsidRPr="007E6F26" w:rsidP="007E6F3D" w14:paraId="259B9C92" w14:textId="77777777">
      <w:pPr>
        <w:ind w:left="3600"/>
        <w:rPr>
          <w:szCs w:val="24"/>
        </w:rPr>
      </w:pPr>
      <w:r w:rsidRPr="007E6F26">
        <w:rPr>
          <w:szCs w:val="24"/>
        </w:rPr>
        <w:t>Amy Botschner O’Brien (0074423)</w:t>
      </w:r>
    </w:p>
    <w:p w:rsidR="00A80BC1" w:rsidRPr="007E6F26" w:rsidP="007E6F3D" w14:paraId="5DD259C4" w14:textId="77777777">
      <w:pPr>
        <w:ind w:left="3600"/>
        <w:rPr>
          <w:szCs w:val="24"/>
        </w:rPr>
      </w:pPr>
      <w:r w:rsidRPr="007E6F26">
        <w:rPr>
          <w:szCs w:val="24"/>
        </w:rPr>
        <w:t>Counsel of Record</w:t>
      </w:r>
    </w:p>
    <w:p w:rsidR="00A80BC1" w:rsidRPr="007E6F26" w:rsidP="007E6F3D" w14:paraId="69CA8E0A" w14:textId="77777777">
      <w:pPr>
        <w:ind w:left="3600"/>
        <w:rPr>
          <w:szCs w:val="24"/>
        </w:rPr>
      </w:pPr>
      <w:r w:rsidRPr="007E6F26">
        <w:rPr>
          <w:szCs w:val="24"/>
        </w:rPr>
        <w:t>Ambrosia Wilson (0096598)</w:t>
      </w:r>
    </w:p>
    <w:p w:rsidR="00A80BC1" w:rsidRPr="007E6F26" w:rsidP="007E6F3D" w14:paraId="1AB80DAC" w14:textId="77777777">
      <w:pPr>
        <w:tabs>
          <w:tab w:val="left" w:pos="3870"/>
        </w:tabs>
        <w:ind w:left="3600"/>
        <w:rPr>
          <w:szCs w:val="24"/>
        </w:rPr>
      </w:pPr>
      <w:r w:rsidRPr="007E6F26">
        <w:rPr>
          <w:szCs w:val="24"/>
        </w:rPr>
        <w:t>Assistant Consumers’ Counsel</w:t>
      </w:r>
    </w:p>
    <w:p w:rsidR="00A80BC1" w:rsidRPr="007E6F26" w:rsidP="007E6F3D" w14:paraId="21F13283" w14:textId="77777777">
      <w:pPr>
        <w:tabs>
          <w:tab w:val="left" w:pos="3870"/>
        </w:tabs>
        <w:ind w:left="3600"/>
        <w:rPr>
          <w:szCs w:val="24"/>
        </w:rPr>
      </w:pPr>
    </w:p>
    <w:p w:rsidR="00A80BC1" w:rsidRPr="007E6F26" w:rsidP="007E6F3D" w14:paraId="3D2B99D1" w14:textId="77777777">
      <w:pPr>
        <w:ind w:left="3600"/>
        <w:rPr>
          <w:b/>
          <w:bCs/>
          <w:szCs w:val="24"/>
        </w:rPr>
      </w:pPr>
      <w:r w:rsidRPr="007E6F26">
        <w:rPr>
          <w:b/>
          <w:bCs/>
          <w:szCs w:val="24"/>
        </w:rPr>
        <w:t>Office of the Ohio Consumers' Counsel</w:t>
      </w:r>
    </w:p>
    <w:p w:rsidR="00A80BC1" w:rsidRPr="007E6F26" w:rsidP="007E6F3D" w14:paraId="4CB8B2AE" w14:textId="77777777">
      <w:pPr>
        <w:ind w:left="3600"/>
        <w:rPr>
          <w:szCs w:val="24"/>
        </w:rPr>
      </w:pPr>
      <w:r w:rsidRPr="007E6F26">
        <w:rPr>
          <w:szCs w:val="24"/>
        </w:rPr>
        <w:t>65 East State Street, Suite 700</w:t>
      </w:r>
    </w:p>
    <w:p w:rsidR="00A80BC1" w:rsidRPr="007E6F26" w:rsidP="007E6F3D" w14:paraId="64AB8930" w14:textId="77777777">
      <w:pPr>
        <w:ind w:left="3600"/>
        <w:rPr>
          <w:szCs w:val="24"/>
        </w:rPr>
      </w:pPr>
      <w:r w:rsidRPr="007E6F26">
        <w:rPr>
          <w:szCs w:val="24"/>
        </w:rPr>
        <w:t xml:space="preserve">Columbus, Ohio 43215 </w:t>
      </w:r>
    </w:p>
    <w:p w:rsidR="00A80BC1" w:rsidRPr="007E6F26" w:rsidP="007E6F3D" w14:paraId="23BAD752" w14:textId="77777777">
      <w:pPr>
        <w:autoSpaceDE w:val="0"/>
        <w:autoSpaceDN w:val="0"/>
        <w:adjustRightInd w:val="0"/>
        <w:ind w:left="3600"/>
        <w:rPr>
          <w:szCs w:val="24"/>
        </w:rPr>
      </w:pPr>
      <w:r w:rsidRPr="007E6F26">
        <w:rPr>
          <w:szCs w:val="24"/>
        </w:rPr>
        <w:t>Telephone (Botschner O’Brien): (614) 466-9575</w:t>
      </w:r>
    </w:p>
    <w:p w:rsidR="00A80BC1" w:rsidRPr="007E6F26" w:rsidP="007E6F3D" w14:paraId="51E3394F" w14:textId="77777777">
      <w:pPr>
        <w:autoSpaceDE w:val="0"/>
        <w:autoSpaceDN w:val="0"/>
        <w:adjustRightInd w:val="0"/>
        <w:ind w:left="3600"/>
        <w:rPr>
          <w:szCs w:val="24"/>
        </w:rPr>
      </w:pPr>
      <w:r w:rsidRPr="007E6F26">
        <w:rPr>
          <w:szCs w:val="24"/>
        </w:rPr>
        <w:t>Telephone (Wilson): (614) 466-1292</w:t>
      </w:r>
    </w:p>
    <w:p w:rsidR="00A80BC1" w:rsidRPr="007E6F26" w:rsidP="007E6F3D" w14:paraId="151A6158" w14:textId="77777777">
      <w:pPr>
        <w:ind w:left="3600"/>
        <w:rPr>
          <w:szCs w:val="24"/>
        </w:rPr>
      </w:pPr>
      <w:hyperlink r:id="rId7" w:history="1">
        <w:r w:rsidRPr="007E6F26" w:rsidR="0094330A">
          <w:rPr>
            <w:rStyle w:val="Hyperlink"/>
            <w:szCs w:val="24"/>
          </w:rPr>
          <w:t>amy.botschner.obrien@occ.ohio.gov</w:t>
        </w:r>
      </w:hyperlink>
    </w:p>
    <w:p w:rsidR="00A80BC1" w:rsidRPr="007E6F26" w:rsidP="007E6F3D" w14:paraId="3015380C" w14:textId="77777777">
      <w:pPr>
        <w:ind w:left="3600"/>
        <w:rPr>
          <w:szCs w:val="24"/>
        </w:rPr>
      </w:pPr>
      <w:hyperlink r:id="rId8" w:history="1">
        <w:r w:rsidRPr="007E6F26" w:rsidR="0094330A">
          <w:rPr>
            <w:rStyle w:val="Hyperlink"/>
            <w:szCs w:val="24"/>
          </w:rPr>
          <w:t>ambrosia.wilson@occ.ohio.gov</w:t>
        </w:r>
      </w:hyperlink>
    </w:p>
    <w:p w:rsidR="00B750FD" w:rsidRPr="007E6F26" w:rsidP="00B750FD" w14:paraId="20869BAA" w14:textId="77777777">
      <w:pPr>
        <w:ind w:left="3600"/>
        <w:rPr>
          <w:szCs w:val="24"/>
        </w:rPr>
      </w:pPr>
      <w:r w:rsidRPr="007E6F26">
        <w:rPr>
          <w:szCs w:val="24"/>
        </w:rPr>
        <w:t>(willing to accept service by e-mail</w:t>
      </w:r>
      <w:r w:rsidRPr="007E6F26" w:rsidR="00313036">
        <w:rPr>
          <w:szCs w:val="24"/>
        </w:rPr>
        <w:t>)</w:t>
      </w:r>
    </w:p>
    <w:p w:rsidR="00B750FD" w:rsidRPr="007E6F26" w14:paraId="339E0600" w14:textId="77777777">
      <w:pPr>
        <w:rPr>
          <w:szCs w:val="24"/>
        </w:rPr>
      </w:pPr>
      <w:r w:rsidRPr="007E6F26">
        <w:rPr>
          <w:szCs w:val="24"/>
        </w:rPr>
        <w:br w:type="page"/>
      </w:r>
    </w:p>
    <w:p w:rsidR="002E2195" w:rsidRPr="007E6F26" w:rsidP="00B750FD" w14:paraId="3386AB7B" w14:textId="4FFB070F">
      <w:pPr>
        <w:jc w:val="center"/>
        <w:rPr>
          <w:b/>
          <w:bCs/>
          <w:szCs w:val="24"/>
          <w:u w:val="single"/>
        </w:rPr>
      </w:pPr>
      <w:r w:rsidRPr="007E6F26">
        <w:rPr>
          <w:b/>
          <w:bCs/>
          <w:szCs w:val="24"/>
          <w:u w:val="single"/>
        </w:rPr>
        <w:t>CERTIFICATE OF SERVICE</w:t>
      </w:r>
    </w:p>
    <w:p w:rsidR="00B750FD" w:rsidRPr="007E6F26" w:rsidP="00B750FD" w14:paraId="6C4A9A2C" w14:textId="77777777">
      <w:pPr>
        <w:jc w:val="center"/>
        <w:rPr>
          <w:b/>
          <w:bCs/>
          <w:szCs w:val="24"/>
          <w:u w:val="single"/>
        </w:rPr>
      </w:pPr>
    </w:p>
    <w:p w:rsidR="009E2536" w:rsidRPr="007E6F26" w:rsidP="00E337A3" w14:paraId="7C35AEDC" w14:textId="144CE212">
      <w:pPr>
        <w:spacing w:line="480" w:lineRule="auto"/>
        <w:rPr>
          <w:szCs w:val="24"/>
        </w:rPr>
      </w:pPr>
      <w:r w:rsidRPr="007E6F26">
        <w:rPr>
          <w:szCs w:val="24"/>
        </w:rPr>
        <w:tab/>
        <w:t xml:space="preserve">I hereby certify that a copy of </w:t>
      </w:r>
      <w:r w:rsidRPr="007E6F26" w:rsidR="00A77B64">
        <w:rPr>
          <w:szCs w:val="24"/>
        </w:rPr>
        <w:t xml:space="preserve">these </w:t>
      </w:r>
      <w:r w:rsidRPr="007E6F26" w:rsidR="00F63420">
        <w:rPr>
          <w:szCs w:val="24"/>
        </w:rPr>
        <w:t>Consumer Protection</w:t>
      </w:r>
      <w:r w:rsidRPr="007E6F26" w:rsidR="00A77B64">
        <w:rPr>
          <w:szCs w:val="24"/>
        </w:rPr>
        <w:t xml:space="preserve"> Comments</w:t>
      </w:r>
      <w:r w:rsidRPr="007E6F26">
        <w:rPr>
          <w:szCs w:val="24"/>
        </w:rPr>
        <w:t xml:space="preserve"> was served on the persons stated below via electronic transmission, this </w:t>
      </w:r>
      <w:r w:rsidRPr="007E6F26" w:rsidR="00D4292A">
        <w:rPr>
          <w:szCs w:val="24"/>
        </w:rPr>
        <w:t>25th</w:t>
      </w:r>
      <w:r w:rsidRPr="007E6F26" w:rsidR="00F81BB7">
        <w:rPr>
          <w:szCs w:val="24"/>
        </w:rPr>
        <w:t xml:space="preserve"> </w:t>
      </w:r>
      <w:r w:rsidRPr="007E6F26" w:rsidR="00033E16">
        <w:rPr>
          <w:szCs w:val="24"/>
        </w:rPr>
        <w:t xml:space="preserve">day of </w:t>
      </w:r>
      <w:r w:rsidRPr="007E6F26" w:rsidR="00206A8F">
        <w:rPr>
          <w:szCs w:val="24"/>
        </w:rPr>
        <w:t>February</w:t>
      </w:r>
      <w:r w:rsidRPr="007E6F26" w:rsidR="00395CA9">
        <w:rPr>
          <w:szCs w:val="24"/>
        </w:rPr>
        <w:t xml:space="preserve"> 2022</w:t>
      </w:r>
      <w:r w:rsidRPr="007E6F26">
        <w:rPr>
          <w:szCs w:val="24"/>
        </w:rPr>
        <w:t>.</w:t>
      </w:r>
    </w:p>
    <w:p w:rsidR="002E2195" w:rsidRPr="007E6F26" w:rsidP="009E2536" w14:paraId="306E5D4F" w14:textId="3DDA5683">
      <w:pPr>
        <w:tabs>
          <w:tab w:val="left" w:pos="4320"/>
        </w:tabs>
        <w:rPr>
          <w:i/>
          <w:iCs/>
          <w:szCs w:val="24"/>
          <w:u w:val="single"/>
        </w:rPr>
      </w:pPr>
      <w:r w:rsidRPr="007E6F26">
        <w:rPr>
          <w:szCs w:val="24"/>
        </w:rPr>
        <w:tab/>
      </w:r>
      <w:r w:rsidRPr="007E6F26">
        <w:rPr>
          <w:i/>
          <w:iCs/>
          <w:szCs w:val="24"/>
          <w:u w:val="single"/>
        </w:rPr>
        <w:t xml:space="preserve">/s/ </w:t>
      </w:r>
      <w:r w:rsidRPr="007E6F26" w:rsidR="00BA364E">
        <w:rPr>
          <w:i/>
          <w:iCs/>
          <w:szCs w:val="24"/>
          <w:u w:val="single"/>
        </w:rPr>
        <w:t>Am</w:t>
      </w:r>
      <w:r w:rsidRPr="007E6F26" w:rsidR="00DA43BA">
        <w:rPr>
          <w:i/>
          <w:iCs/>
          <w:szCs w:val="24"/>
          <w:u w:val="single"/>
        </w:rPr>
        <w:t>y Botschner O’Brien</w:t>
      </w:r>
    </w:p>
    <w:p w:rsidR="00BA364E" w:rsidRPr="007E6F26" w14:paraId="014A37A7" w14:textId="5EB1AEBD">
      <w:pPr>
        <w:tabs>
          <w:tab w:val="left" w:pos="4320"/>
        </w:tabs>
        <w:rPr>
          <w:szCs w:val="24"/>
        </w:rPr>
      </w:pPr>
      <w:r w:rsidRPr="007E6F26">
        <w:rPr>
          <w:szCs w:val="24"/>
        </w:rPr>
        <w:tab/>
        <w:t>Am</w:t>
      </w:r>
      <w:r w:rsidRPr="007E6F26" w:rsidR="00DA43BA">
        <w:rPr>
          <w:szCs w:val="24"/>
        </w:rPr>
        <w:t>y Botschner O’Brien</w:t>
      </w:r>
    </w:p>
    <w:p w:rsidR="002E2195" w:rsidRPr="007E6F26" w14:paraId="1745C2A2" w14:textId="77777777">
      <w:pPr>
        <w:tabs>
          <w:tab w:val="left" w:pos="4320"/>
        </w:tabs>
        <w:rPr>
          <w:szCs w:val="24"/>
        </w:rPr>
      </w:pPr>
      <w:r w:rsidRPr="007E6F26">
        <w:rPr>
          <w:szCs w:val="24"/>
        </w:rPr>
        <w:tab/>
        <w:t>Assistant Consumers’ Counsel</w:t>
      </w:r>
    </w:p>
    <w:p w:rsidR="001A4C26" w:rsidRPr="007E6F26" w14:paraId="6A4886D5" w14:textId="77777777">
      <w:pPr>
        <w:tabs>
          <w:tab w:val="left" w:pos="4320"/>
        </w:tabs>
        <w:rPr>
          <w:szCs w:val="24"/>
        </w:rPr>
      </w:pPr>
    </w:p>
    <w:p w:rsidR="001A4C26" w:rsidRPr="007E6F26" w:rsidP="001A4C26" w14:paraId="7B6997BE" w14:textId="77777777">
      <w:pPr>
        <w:pStyle w:val="CommentText"/>
      </w:pPr>
      <w:r w:rsidRPr="007E6F26">
        <w:t>The PUCO’s e-filing system will electronically serve notice of the filing of this document on the following parties:</w:t>
      </w:r>
    </w:p>
    <w:p w:rsidR="001A4C26" w:rsidRPr="007E6F26" w14:paraId="1CEF4E02" w14:textId="77777777">
      <w:pPr>
        <w:tabs>
          <w:tab w:val="left" w:pos="4320"/>
        </w:tabs>
        <w:rPr>
          <w:szCs w:val="24"/>
        </w:rPr>
      </w:pPr>
    </w:p>
    <w:p w:rsidR="002E2195" w:rsidRPr="007E6F26" w14:paraId="2390717A" w14:textId="77777777">
      <w:pPr>
        <w:pStyle w:val="CommentText"/>
      </w:pPr>
    </w:p>
    <w:p w:rsidR="002E2195" w:rsidRPr="007E6F26" w14:paraId="775E2B7C" w14:textId="77777777">
      <w:pPr>
        <w:pStyle w:val="CommentText"/>
        <w:jc w:val="center"/>
        <w:rPr>
          <w:b/>
          <w:u w:val="single"/>
        </w:rPr>
      </w:pPr>
      <w:r w:rsidRPr="007E6F26">
        <w:rPr>
          <w:b/>
          <w:u w:val="single"/>
        </w:rPr>
        <w:t>SERVICE LIST</w:t>
      </w:r>
    </w:p>
    <w:p w:rsidR="00AE4914" w:rsidRPr="007E6F26" w:rsidP="00AE4914" w14:paraId="72B72FE7" w14:textId="77777777">
      <w:pPr>
        <w:jc w:val="center"/>
        <w:rPr>
          <w:rFonts w:eastAsia="Calibri"/>
          <w:b/>
          <w:szCs w:val="24"/>
          <w:u w:val="single"/>
        </w:rPr>
      </w:pPr>
    </w:p>
    <w:tbl>
      <w:tblPr>
        <w:tblW w:w="0" w:type="auto"/>
        <w:tblLook w:val="04A0"/>
      </w:tblPr>
      <w:tblGrid>
        <w:gridCol w:w="4311"/>
        <w:gridCol w:w="4329"/>
      </w:tblGrid>
      <w:tr w14:paraId="41A76CA8" w14:textId="77777777" w:rsidTr="00996CA7">
        <w:tblPrEx>
          <w:tblW w:w="0" w:type="auto"/>
          <w:tblLook w:val="04A0"/>
        </w:tblPrEx>
        <w:tc>
          <w:tcPr>
            <w:tcW w:w="4428" w:type="dxa"/>
            <w:shd w:val="clear" w:color="auto" w:fill="auto"/>
          </w:tcPr>
          <w:p w:rsidR="00AE4914" w:rsidRPr="007E6F26" w:rsidP="00996CA7" w14:paraId="78B5947F" w14:textId="35C5FEAF">
            <w:pPr>
              <w:rPr>
                <w:szCs w:val="24"/>
              </w:rPr>
            </w:pPr>
            <w:hyperlink r:id="rId9" w:history="1">
              <w:r w:rsidRPr="007E6F26" w:rsidR="00793300">
                <w:rPr>
                  <w:rStyle w:val="Hyperlink"/>
                  <w:szCs w:val="24"/>
                </w:rPr>
                <w:t>thomas.lindgren@ohioago.gov</w:t>
              </w:r>
            </w:hyperlink>
          </w:p>
          <w:p w:rsidR="00793300" w:rsidRPr="007E6F26" w:rsidP="00996CA7" w14:paraId="5CBBB71B" w14:textId="4455D094">
            <w:pPr>
              <w:rPr>
                <w:szCs w:val="24"/>
              </w:rPr>
            </w:pPr>
            <w:hyperlink r:id="rId10" w:history="1">
              <w:r w:rsidRPr="007E6F26" w:rsidR="005364BC">
                <w:rPr>
                  <w:rStyle w:val="Hyperlink"/>
                  <w:szCs w:val="24"/>
                </w:rPr>
                <w:t>sarah.feldkamp@ohioago.gov</w:t>
              </w:r>
            </w:hyperlink>
          </w:p>
          <w:p w:rsidR="00F11D06" w:rsidRPr="007E6F26" w:rsidP="00996CA7" w14:paraId="2B2FA000" w14:textId="46C31413">
            <w:pPr>
              <w:rPr>
                <w:szCs w:val="24"/>
              </w:rPr>
            </w:pPr>
            <w:hyperlink r:id="rId11" w:history="1">
              <w:r w:rsidRPr="007E6F26" w:rsidR="005364BC">
                <w:rPr>
                  <w:rStyle w:val="Hyperlink"/>
                  <w:szCs w:val="24"/>
                </w:rPr>
                <w:t>mjsettineri@vorys.com</w:t>
              </w:r>
            </w:hyperlink>
          </w:p>
          <w:p w:rsidR="00F11D06" w:rsidRPr="007E6F26" w:rsidP="00996CA7" w14:paraId="5ED86905" w14:textId="45219A96">
            <w:pPr>
              <w:rPr>
                <w:rStyle w:val="Hyperlink"/>
                <w:szCs w:val="24"/>
              </w:rPr>
            </w:pPr>
            <w:hyperlink r:id="rId12" w:history="1">
              <w:r w:rsidRPr="007E6F26" w:rsidR="005364BC">
                <w:rPr>
                  <w:rStyle w:val="Hyperlink"/>
                  <w:szCs w:val="24"/>
                </w:rPr>
                <w:t>glpetrucci@vorys.com</w:t>
              </w:r>
            </w:hyperlink>
          </w:p>
          <w:p w:rsidR="000A3EB4" w:rsidRPr="007E6F26" w:rsidP="00996CA7" w14:paraId="353444D5" w14:textId="13A50DBA">
            <w:pPr>
              <w:rPr>
                <w:szCs w:val="24"/>
              </w:rPr>
            </w:pPr>
            <w:hyperlink r:id="rId13" w:history="1">
              <w:r w:rsidRPr="007E6F26" w:rsidR="004A7DE9">
                <w:rPr>
                  <w:rStyle w:val="Hyperlink"/>
                  <w:szCs w:val="24"/>
                </w:rPr>
                <w:t>fdarr2019@gmail.com</w:t>
              </w:r>
            </w:hyperlink>
          </w:p>
          <w:p w:rsidR="00913362" w:rsidRPr="007E6F26" w:rsidP="00996CA7" w14:paraId="6FDEBD24" w14:textId="10BAF0FC">
            <w:pPr>
              <w:rPr>
                <w:bCs/>
                <w:szCs w:val="24"/>
              </w:rPr>
            </w:pPr>
          </w:p>
          <w:p w:rsidR="00B02D89" w:rsidRPr="007E6F26" w:rsidP="00996CA7" w14:paraId="6EBBA615" w14:textId="77777777">
            <w:pPr>
              <w:rPr>
                <w:bCs/>
                <w:szCs w:val="24"/>
              </w:rPr>
            </w:pPr>
          </w:p>
          <w:p w:rsidR="00AE4914" w:rsidRPr="007E6F26" w:rsidP="00996CA7" w14:paraId="0B224DEE" w14:textId="77777777">
            <w:pPr>
              <w:rPr>
                <w:bCs/>
                <w:szCs w:val="24"/>
              </w:rPr>
            </w:pPr>
            <w:r w:rsidRPr="007E6F26">
              <w:rPr>
                <w:bCs/>
                <w:szCs w:val="24"/>
              </w:rPr>
              <w:t>Attorney Examiner:</w:t>
            </w:r>
          </w:p>
          <w:p w:rsidR="00CD3583" w:rsidRPr="007E6F26" w:rsidP="00CD3583" w14:paraId="1CD6CF53" w14:textId="3B76A065">
            <w:pPr>
              <w:rPr>
                <w:bCs/>
                <w:szCs w:val="24"/>
              </w:rPr>
            </w:pPr>
            <w:hyperlink r:id="rId14" w:history="1">
              <w:r w:rsidRPr="007E6F26" w:rsidR="0094330A">
                <w:rPr>
                  <w:rStyle w:val="Hyperlink"/>
                  <w:bCs/>
                  <w:szCs w:val="24"/>
                </w:rPr>
                <w:t>matthew.sandor@puco.ohio.gov</w:t>
              </w:r>
            </w:hyperlink>
          </w:p>
        </w:tc>
        <w:tc>
          <w:tcPr>
            <w:tcW w:w="4428" w:type="dxa"/>
            <w:shd w:val="clear" w:color="auto" w:fill="auto"/>
          </w:tcPr>
          <w:p w:rsidR="00AE4914" w:rsidRPr="007E6F26" w:rsidP="00996CA7" w14:paraId="77DC74E5" w14:textId="2253E615">
            <w:pPr>
              <w:ind w:firstLine="595"/>
              <w:rPr>
                <w:szCs w:val="24"/>
              </w:rPr>
            </w:pPr>
            <w:hyperlink r:id="rId15" w:history="1">
              <w:r w:rsidRPr="007E6F26" w:rsidR="00BD4F2A">
                <w:rPr>
                  <w:rStyle w:val="Hyperlink"/>
                  <w:szCs w:val="24"/>
                </w:rPr>
                <w:t>rocco.dascenzo@duke-energy.com</w:t>
              </w:r>
            </w:hyperlink>
          </w:p>
          <w:p w:rsidR="00F11D06" w:rsidRPr="007E6F26" w:rsidP="00F11D06" w14:paraId="4729856C" w14:textId="3B3DEB31">
            <w:pPr>
              <w:ind w:firstLine="595"/>
              <w:rPr>
                <w:rStyle w:val="Hyperlink"/>
                <w:szCs w:val="24"/>
              </w:rPr>
            </w:pPr>
            <w:hyperlink r:id="rId16" w:history="1">
              <w:r w:rsidRPr="007E6F26" w:rsidR="00BD4F2A">
                <w:rPr>
                  <w:rStyle w:val="Hyperlink"/>
                  <w:szCs w:val="24"/>
                </w:rPr>
                <w:t>larisa.vaysman@duke-energy.com</w:t>
              </w:r>
            </w:hyperlink>
          </w:p>
          <w:p w:rsidR="00F11D06" w:rsidRPr="007E6F26" w:rsidP="00F11D06" w14:paraId="51747D9B" w14:textId="5C946A3D">
            <w:pPr>
              <w:ind w:firstLine="595"/>
              <w:rPr>
                <w:color w:val="0000FF"/>
                <w:szCs w:val="24"/>
                <w:u w:val="single"/>
              </w:rPr>
            </w:pPr>
            <w:hyperlink r:id="rId17" w:history="1">
              <w:r w:rsidRPr="007E6F26" w:rsidR="005364BC">
                <w:rPr>
                  <w:rStyle w:val="Hyperlink"/>
                  <w:szCs w:val="24"/>
                </w:rPr>
                <w:t>dproano@bakerlaw.com</w:t>
              </w:r>
            </w:hyperlink>
          </w:p>
          <w:p w:rsidR="00F11D06" w:rsidRPr="007E6F26" w:rsidP="00F11D06" w14:paraId="57D08283" w14:textId="24B2D88C">
            <w:pPr>
              <w:ind w:firstLine="595"/>
              <w:rPr>
                <w:color w:val="0000FF"/>
                <w:szCs w:val="24"/>
                <w:u w:val="single"/>
              </w:rPr>
            </w:pPr>
            <w:hyperlink r:id="rId18" w:history="1">
              <w:r w:rsidRPr="007E6F26" w:rsidR="005364BC">
                <w:rPr>
                  <w:rStyle w:val="Hyperlink"/>
                  <w:szCs w:val="24"/>
                </w:rPr>
                <w:t>tathompson@bakerlaw.com</w:t>
              </w:r>
            </w:hyperlink>
          </w:p>
          <w:p w:rsidR="00F11D06" w:rsidRPr="007E6F26" w:rsidP="00F11D06" w14:paraId="3C8A144B" w14:textId="354E66A3">
            <w:pPr>
              <w:ind w:firstLine="595"/>
              <w:rPr>
                <w:color w:val="0000FF"/>
                <w:szCs w:val="24"/>
                <w:u w:val="single"/>
              </w:rPr>
            </w:pPr>
            <w:hyperlink r:id="rId19" w:history="1">
              <w:r w:rsidRPr="007E6F26" w:rsidR="005364BC">
                <w:rPr>
                  <w:rStyle w:val="Hyperlink"/>
                  <w:szCs w:val="24"/>
                </w:rPr>
                <w:t>michael.nugent@igs.com</w:t>
              </w:r>
            </w:hyperlink>
          </w:p>
          <w:p w:rsidR="00F11D06" w:rsidRPr="007E6F26" w:rsidP="00F11D06" w14:paraId="1A2E76E9" w14:textId="7E274A2E">
            <w:pPr>
              <w:ind w:firstLine="595"/>
              <w:rPr>
                <w:color w:val="0000FF"/>
                <w:szCs w:val="24"/>
                <w:u w:val="single"/>
              </w:rPr>
            </w:pPr>
            <w:r w:rsidRPr="007E6F26">
              <w:rPr>
                <w:color w:val="0000FF"/>
                <w:szCs w:val="24"/>
                <w:u w:val="single"/>
              </w:rPr>
              <w:t>evan.betterton@igs.com</w:t>
            </w:r>
          </w:p>
          <w:p w:rsidR="00AE4914" w:rsidRPr="007E6F26" w:rsidP="00996CA7" w14:paraId="6C078A42" w14:textId="77777777">
            <w:pPr>
              <w:ind w:firstLine="595"/>
              <w:rPr>
                <w:bCs/>
                <w:szCs w:val="24"/>
              </w:rPr>
            </w:pPr>
          </w:p>
          <w:p w:rsidR="00AE4914" w:rsidRPr="007E6F26" w:rsidP="00996CA7" w14:paraId="78500667" w14:textId="77777777">
            <w:pPr>
              <w:ind w:left="604"/>
              <w:rPr>
                <w:bCs/>
                <w:szCs w:val="24"/>
              </w:rPr>
            </w:pPr>
          </w:p>
          <w:p w:rsidR="00AE4914" w:rsidRPr="007E6F26" w:rsidP="00996CA7" w14:paraId="31128425" w14:textId="77777777">
            <w:pPr>
              <w:rPr>
                <w:bCs/>
                <w:szCs w:val="24"/>
              </w:rPr>
            </w:pPr>
            <w:r w:rsidRPr="007E6F26">
              <w:rPr>
                <w:bCs/>
                <w:szCs w:val="24"/>
              </w:rPr>
              <w:t xml:space="preserve"> </w:t>
            </w:r>
          </w:p>
          <w:p w:rsidR="00AE4914" w:rsidRPr="007E6F26" w:rsidP="00996CA7" w14:paraId="2E645A7B" w14:textId="77777777">
            <w:pPr>
              <w:rPr>
                <w:bCs/>
                <w:szCs w:val="24"/>
              </w:rPr>
            </w:pPr>
          </w:p>
          <w:p w:rsidR="00AE4914" w:rsidRPr="007E6F26" w:rsidP="00996CA7" w14:paraId="5AEFEEC2" w14:textId="77777777">
            <w:pPr>
              <w:rPr>
                <w:bCs/>
                <w:szCs w:val="24"/>
              </w:rPr>
            </w:pPr>
          </w:p>
        </w:tc>
      </w:tr>
    </w:tbl>
    <w:p w:rsidR="002E2195" w:rsidRPr="007E6F26" w:rsidP="00FE1F33" w14:paraId="7F27AB29" w14:textId="77777777">
      <w:pPr>
        <w:pStyle w:val="BodyText"/>
        <w:jc w:val="left"/>
        <w:rPr>
          <w:bCs/>
          <w:szCs w:val="24"/>
        </w:rPr>
      </w:pPr>
    </w:p>
    <w:sectPr w:rsidSect="009448C8">
      <w:footerReference w:type="first" r:id="rId20"/>
      <w:pgSz w:w="12240" w:h="15840"/>
      <w:pgMar w:top="1440" w:right="1800" w:bottom="1440" w:left="1800" w:header="720" w:footer="720" w:gutter="0"/>
      <w:pgNumType w:start="2"/>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479797997"/>
      <w:docPartObj>
        <w:docPartGallery w:val="Page Numbers (Bottom of Page)"/>
        <w:docPartUnique/>
      </w:docPartObj>
    </w:sdtPr>
    <w:sdtEndPr>
      <w:rPr>
        <w:noProof/>
      </w:rPr>
    </w:sdtEndPr>
    <w:sdtContent>
      <w:p w:rsidR="009448C8" w:rsidRPr="009448C8" w14:paraId="71FBB89E" w14:textId="0544666B">
        <w:pPr>
          <w:pStyle w:val="Footer"/>
          <w:jc w:val="center"/>
          <w:rPr>
            <w:sz w:val="24"/>
            <w:szCs w:val="24"/>
          </w:rPr>
        </w:pPr>
        <w:r w:rsidRPr="009448C8">
          <w:rPr>
            <w:sz w:val="24"/>
            <w:szCs w:val="24"/>
          </w:rPr>
          <w:fldChar w:fldCharType="begin"/>
        </w:r>
        <w:r w:rsidRPr="009448C8">
          <w:rPr>
            <w:sz w:val="24"/>
            <w:szCs w:val="24"/>
          </w:rPr>
          <w:instrText xml:space="preserve"> PAGE   \* MERGEFORMAT </w:instrText>
        </w:r>
        <w:r w:rsidRPr="009448C8">
          <w:rPr>
            <w:sz w:val="24"/>
            <w:szCs w:val="24"/>
          </w:rPr>
          <w:fldChar w:fldCharType="separate"/>
        </w:r>
        <w:r w:rsidRPr="009448C8">
          <w:rPr>
            <w:noProof/>
            <w:sz w:val="24"/>
            <w:szCs w:val="24"/>
          </w:rPr>
          <w:t>2</w:t>
        </w:r>
        <w:r w:rsidRPr="009448C8">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167790892"/>
      <w:docPartObj>
        <w:docPartGallery w:val="Page Numbers (Bottom of Page)"/>
        <w:docPartUnique/>
      </w:docPartObj>
    </w:sdtPr>
    <w:sdtEndPr>
      <w:rPr>
        <w:noProof/>
      </w:rPr>
    </w:sdtEndPr>
    <w:sdtContent>
      <w:p w:rsidR="00047C61" w:rsidRPr="00047C61" w14:paraId="69E1078E" w14:textId="0A4A3DD3">
        <w:pPr>
          <w:pStyle w:val="Footer"/>
          <w:jc w:val="center"/>
          <w:rPr>
            <w:sz w:val="24"/>
            <w:szCs w:val="24"/>
          </w:rPr>
        </w:pPr>
        <w:r w:rsidRPr="00047C61">
          <w:rPr>
            <w:sz w:val="24"/>
            <w:szCs w:val="24"/>
          </w:rPr>
          <w:fldChar w:fldCharType="begin"/>
        </w:r>
        <w:r w:rsidRPr="00047C61">
          <w:rPr>
            <w:sz w:val="24"/>
            <w:szCs w:val="24"/>
          </w:rPr>
          <w:instrText xml:space="preserve"> PAGE   \* MERGEFORMAT </w:instrText>
        </w:r>
        <w:r w:rsidRPr="00047C61">
          <w:rPr>
            <w:sz w:val="24"/>
            <w:szCs w:val="24"/>
          </w:rPr>
          <w:fldChar w:fldCharType="separate"/>
        </w:r>
        <w:r w:rsidRPr="00047C61">
          <w:rPr>
            <w:noProof/>
            <w:sz w:val="24"/>
            <w:szCs w:val="24"/>
          </w:rPr>
          <w:t>2</w:t>
        </w:r>
        <w:r w:rsidRPr="00047C6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008F" w14:paraId="1C3D495B" w14:textId="77777777">
      <w:r>
        <w:separator/>
      </w:r>
    </w:p>
  </w:footnote>
  <w:footnote w:type="continuationSeparator" w:id="1">
    <w:p w:rsidR="0095008F" w14:paraId="42A743D5" w14:textId="77777777">
      <w:r>
        <w:continuationSeparator/>
      </w:r>
    </w:p>
  </w:footnote>
  <w:footnote w:id="2">
    <w:p w:rsidR="00134AFE" w14:paraId="50C0019D" w14:textId="526858C7">
      <w:pPr>
        <w:pStyle w:val="FootnoteText"/>
      </w:pPr>
      <w:r>
        <w:rPr>
          <w:rStyle w:val="FootnoteReference"/>
        </w:rPr>
        <w:footnoteRef/>
      </w:r>
      <w:r>
        <w:t xml:space="preserve"> Application for Waiver of Duke Energy Ohio, Inc. (January 18, 2022).</w:t>
      </w:r>
    </w:p>
  </w:footnote>
  <w:footnote w:id="3">
    <w:p w:rsidR="00A158A7" w:rsidP="00A158A7" w14:paraId="26AD5284" w14:textId="516F1934">
      <w:pPr>
        <w:pStyle w:val="FootnoteText"/>
      </w:pPr>
      <w:r>
        <w:rPr>
          <w:rStyle w:val="FootnoteReference"/>
        </w:rPr>
        <w:footnoteRef/>
      </w:r>
      <w:r>
        <w:t xml:space="preserve"> </w:t>
      </w:r>
      <w:r w:rsidRPr="00134AFE" w:rsidR="00134AFE">
        <w:rPr>
          <w:i/>
          <w:iCs/>
        </w:rPr>
        <w:t>Id</w:t>
      </w:r>
      <w:r w:rsidR="00134AFE">
        <w:t>.</w:t>
      </w:r>
      <w:r>
        <w:t xml:space="preserve"> Although the 2021 conversion period dates cited in the application is apparently a typographical error in the pleading.</w:t>
      </w:r>
    </w:p>
  </w:footnote>
  <w:footnote w:id="4">
    <w:p w:rsidR="00A158A7" w:rsidP="00A158A7" w14:paraId="62434E45" w14:textId="77777777">
      <w:pPr>
        <w:pStyle w:val="FootnoteText"/>
      </w:pPr>
      <w:r>
        <w:rPr>
          <w:rStyle w:val="FootnoteReference"/>
        </w:rPr>
        <w:footnoteRef/>
      </w:r>
      <w:r>
        <w:t xml:space="preserve"> Application at 1.</w:t>
      </w:r>
    </w:p>
  </w:footnote>
  <w:footnote w:id="5">
    <w:p w:rsidR="00A158A7" w:rsidP="00A158A7" w14:paraId="4B1E8F5F" w14:textId="37676F7F">
      <w:pPr>
        <w:pStyle w:val="FootnoteText"/>
      </w:pPr>
      <w:r>
        <w:rPr>
          <w:rStyle w:val="FootnoteReference"/>
        </w:rPr>
        <w:footnoteRef/>
      </w:r>
      <w:r>
        <w:t xml:space="preserve"> </w:t>
      </w:r>
      <w:r w:rsidRPr="008066E3">
        <w:rPr>
          <w:i/>
          <w:iCs/>
        </w:rPr>
        <w:t>See</w:t>
      </w:r>
      <w:r>
        <w:t xml:space="preserve"> Application </w:t>
      </w:r>
      <w:r w:rsidR="006446C1">
        <w:t>at 3</w:t>
      </w:r>
      <w:r>
        <w:t>. C</w:t>
      </w:r>
      <w:r w:rsidR="00F434A0">
        <w:t>onsumers</w:t>
      </w:r>
      <w:r>
        <w:t xml:space="preserve"> are unable to enroll in extended payment plans during the period March 31 through April 6</w:t>
      </w:r>
      <w:r w:rsidR="008066E3">
        <w:t>,</w:t>
      </w:r>
      <w:r>
        <w:t xml:space="preserve"> 2022 to proactively address any past due bills and debt they may have incurred this winter.</w:t>
      </w:r>
    </w:p>
  </w:footnote>
  <w:footnote w:id="6">
    <w:p w:rsidR="00A158A7" w:rsidP="00A158A7" w14:paraId="6E6F1556" w14:textId="4BF349FE">
      <w:pPr>
        <w:pStyle w:val="FootnoteText"/>
      </w:pPr>
      <w:r>
        <w:rPr>
          <w:rStyle w:val="FootnoteReference"/>
        </w:rPr>
        <w:footnoteRef/>
      </w:r>
      <w:r>
        <w:t xml:space="preserve"> </w:t>
      </w:r>
      <w:r w:rsidRPr="008066E3">
        <w:rPr>
          <w:i/>
          <w:iCs/>
        </w:rPr>
        <w:t>See</w:t>
      </w:r>
      <w:r>
        <w:t xml:space="preserve"> Duke correspondence clarifying the Application (February 8, 2022) where c</w:t>
      </w:r>
      <w:r w:rsidR="00F434A0">
        <w:t>onsumers</w:t>
      </w:r>
      <w:r>
        <w:t xml:space="preserve"> will be unable to enroll in budget billing during an approximate </w:t>
      </w:r>
      <w:r w:rsidR="0003443D">
        <w:t>five</w:t>
      </w:r>
      <w:r>
        <w:t>-week period beginning March 1 through April 6, 2022 to manage their home energy budgets.</w:t>
      </w:r>
      <w:r w:rsidR="008066E3">
        <w:t xml:space="preserve"> </w:t>
      </w:r>
    </w:p>
  </w:footnote>
  <w:footnote w:id="7">
    <w:p w:rsidR="00A158A7" w:rsidRPr="00C52336" w:rsidP="00A158A7" w14:paraId="36927EAD" w14:textId="5BDABD97">
      <w:pPr>
        <w:pStyle w:val="FootnoteText"/>
      </w:pPr>
      <w:r w:rsidRPr="00C52336">
        <w:rPr>
          <w:rStyle w:val="FootnoteReference"/>
          <w:i/>
          <w:iCs/>
        </w:rPr>
        <w:footnoteRef/>
      </w:r>
      <w:r w:rsidRPr="00C52336">
        <w:rPr>
          <w:i/>
          <w:iCs/>
        </w:rPr>
        <w:t xml:space="preserve"> </w:t>
      </w:r>
      <w:r w:rsidRPr="00C52336">
        <w:rPr>
          <w:rStyle w:val="markedcontent"/>
          <w:i/>
          <w:iCs/>
        </w:rPr>
        <w:t xml:space="preserve">In the Matter of the Commission’s Consideration of Solutions Concerning the Disconnection of </w:t>
      </w:r>
      <w:r w:rsidRPr="00C52336">
        <w:rPr>
          <w:i/>
          <w:iCs/>
        </w:rPr>
        <w:br/>
      </w:r>
      <w:r w:rsidRPr="00C52336">
        <w:rPr>
          <w:rStyle w:val="markedcontent"/>
          <w:i/>
          <w:iCs/>
        </w:rPr>
        <w:t>Gas and Electric Service in the Winter Emergencies for the 2021-2022 Winter Heating Season</w:t>
      </w:r>
      <w:r>
        <w:rPr>
          <w:rStyle w:val="markedcontent"/>
        </w:rPr>
        <w:t xml:space="preserve">, Finding and Order </w:t>
      </w:r>
      <w:r w:rsidR="006446C1">
        <w:rPr>
          <w:rStyle w:val="markedcontent"/>
        </w:rPr>
        <w:t xml:space="preserve">at 4-5 </w:t>
      </w:r>
      <w:r>
        <w:rPr>
          <w:rStyle w:val="markedcontent"/>
        </w:rPr>
        <w:t xml:space="preserve">(September 8, 2021). </w:t>
      </w:r>
    </w:p>
  </w:footnote>
  <w:footnote w:id="8">
    <w:p w:rsidR="00A158A7" w:rsidP="00A158A7" w14:paraId="2D128532" w14:textId="710A053E">
      <w:pPr>
        <w:pStyle w:val="FootnoteText"/>
      </w:pPr>
      <w:r>
        <w:rPr>
          <w:rStyle w:val="FootnoteReference"/>
        </w:rPr>
        <w:footnoteRef/>
      </w:r>
      <w:r w:rsidR="008066E3">
        <w:rPr>
          <w:i/>
          <w:iCs/>
        </w:rPr>
        <w:t xml:space="preserve"> </w:t>
      </w:r>
      <w:r w:rsidRPr="000208C5">
        <w:rPr>
          <w:i/>
          <w:iCs/>
        </w:rPr>
        <w:t>Id</w:t>
      </w:r>
      <w:r>
        <w:t>.</w:t>
      </w:r>
    </w:p>
  </w:footnote>
  <w:footnote w:id="9">
    <w:p w:rsidR="00535C2D" w14:paraId="1D933188" w14:textId="35E582AD">
      <w:pPr>
        <w:pStyle w:val="FootnoteText"/>
      </w:pPr>
      <w:r>
        <w:rPr>
          <w:rStyle w:val="FootnoteReference"/>
        </w:rPr>
        <w:footnoteRef/>
      </w:r>
      <w:r>
        <w:t xml:space="preserve"> </w:t>
      </w:r>
      <w:r w:rsidRPr="00B87B96">
        <w:rPr>
          <w:i/>
          <w:iCs/>
        </w:rPr>
        <w:t>See</w:t>
      </w:r>
      <w:r>
        <w:t>, generally, O.A.C. 4901:1-18.</w:t>
      </w:r>
    </w:p>
  </w:footnote>
  <w:footnote w:id="10">
    <w:p w:rsidR="00A158A7" w:rsidP="00A158A7" w14:paraId="3A8C9A8B" w14:textId="4A647A17">
      <w:pPr>
        <w:pStyle w:val="FootnoteText"/>
      </w:pPr>
      <w:r>
        <w:rPr>
          <w:rStyle w:val="FootnoteReference"/>
        </w:rPr>
        <w:footnoteRef/>
      </w:r>
      <w:r>
        <w:t xml:space="preserve"> </w:t>
      </w:r>
      <w:r w:rsidRPr="008066E3">
        <w:rPr>
          <w:i/>
          <w:iCs/>
        </w:rPr>
        <w:t>See</w:t>
      </w:r>
      <w:r>
        <w:t xml:space="preserve"> Duke’s Application on page 6 where the Company claims it will resume printing disconnection notices on bills and all disconnection notices on June 1, 2022. Yet Duke has claimed in other meetings with OCC that the disconnect notices will remain on the bill throughout the transition.</w:t>
      </w:r>
      <w:r w:rsidR="008066E3">
        <w:t xml:space="preserve"> </w:t>
      </w:r>
    </w:p>
  </w:footnote>
  <w:footnote w:id="11">
    <w:p w:rsidR="00A158A7" w:rsidP="00A158A7" w14:paraId="3F1195FF" w14:textId="365D4ED2">
      <w:pPr>
        <w:pStyle w:val="FootnoteText"/>
      </w:pPr>
      <w:r>
        <w:rPr>
          <w:rStyle w:val="FootnoteReference"/>
        </w:rPr>
        <w:footnoteRef/>
      </w:r>
      <w:r>
        <w:t xml:space="preserve"> Application </w:t>
      </w:r>
      <w:r w:rsidR="006446C1">
        <w:t>at 7</w:t>
      </w:r>
      <w:r>
        <w:t>.</w:t>
      </w:r>
    </w:p>
  </w:footnote>
  <w:footnote w:id="12">
    <w:p w:rsidR="00A158A7" w:rsidP="00A158A7" w14:paraId="20B426C3" w14:textId="77777777">
      <w:pPr>
        <w:pStyle w:val="FootnoteText"/>
      </w:pPr>
      <w:r>
        <w:rPr>
          <w:rStyle w:val="FootnoteReference"/>
        </w:rPr>
        <w:footnoteRef/>
      </w:r>
      <w:r>
        <w:t xml:space="preserve"> Application at 6.</w:t>
      </w:r>
    </w:p>
  </w:footnote>
  <w:footnote w:id="13">
    <w:p w:rsidR="00A158A7" w:rsidP="00A158A7" w14:paraId="3A3FD97D" w14:textId="77777777">
      <w:pPr>
        <w:pStyle w:val="FootnoteText"/>
      </w:pPr>
      <w:r>
        <w:rPr>
          <w:rStyle w:val="FootnoteReference"/>
        </w:rPr>
        <w:footnoteRef/>
      </w:r>
      <w:r>
        <w:t xml:space="preserve"> </w:t>
      </w:r>
      <w:r w:rsidRPr="006A4A77">
        <w:rPr>
          <w:i/>
          <w:iCs/>
        </w:rPr>
        <w:t>Id.</w:t>
      </w:r>
    </w:p>
  </w:footnote>
  <w:footnote w:id="14">
    <w:p w:rsidR="00A158A7" w:rsidP="00A158A7" w14:paraId="3E87514C" w14:textId="411881D8">
      <w:pPr>
        <w:pStyle w:val="FootnoteText"/>
      </w:pPr>
      <w:r>
        <w:rPr>
          <w:rStyle w:val="FootnoteReference"/>
        </w:rPr>
        <w:footnoteRef/>
      </w:r>
      <w:r>
        <w:t xml:space="preserve"> </w:t>
      </w:r>
      <w:r w:rsidRPr="00B774E4">
        <w:rPr>
          <w:i/>
          <w:iCs/>
        </w:rPr>
        <w:t>In the Matter of the Application of Duke Energy Ohio, Inc. For Approval of Its Temporary Plan and Waiver of Tariffs and Rules Related to the Covid-19 State of Emergency</w:t>
      </w:r>
      <w:r>
        <w:t xml:space="preserve">, Case No. 20-599-GE-UNC, Finding and Order </w:t>
      </w:r>
      <w:r w:rsidR="006446C1">
        <w:t xml:space="preserve">at 9-10 </w:t>
      </w:r>
      <w:r>
        <w:t xml:space="preserve">(June 17, 2020). </w:t>
      </w:r>
    </w:p>
  </w:footnote>
  <w:footnote w:id="15">
    <w:p w:rsidR="00A158A7" w:rsidP="00A158A7" w14:paraId="6846B5FC" w14:textId="6DE7C1E2">
      <w:pPr>
        <w:pStyle w:val="FootnoteText"/>
      </w:pPr>
      <w:r>
        <w:rPr>
          <w:rStyle w:val="FootnoteReference"/>
        </w:rPr>
        <w:footnoteRef/>
      </w:r>
      <w:r>
        <w:t xml:space="preserve"> Application at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A2CB3"/>
    <w:multiLevelType w:val="hybridMultilevel"/>
    <w:tmpl w:val="6BF883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EB00C35"/>
    <w:multiLevelType w:val="hybridMultilevel"/>
    <w:tmpl w:val="1BB419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D50FA2"/>
    <w:multiLevelType w:val="hybridMultilevel"/>
    <w:tmpl w:val="6D34FFB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66DB"/>
    <w:rsid w:val="000116A1"/>
    <w:rsid w:val="00017081"/>
    <w:rsid w:val="000208C5"/>
    <w:rsid w:val="00023F9B"/>
    <w:rsid w:val="00025717"/>
    <w:rsid w:val="00025F44"/>
    <w:rsid w:val="00026256"/>
    <w:rsid w:val="000274CC"/>
    <w:rsid w:val="00033E16"/>
    <w:rsid w:val="0003443D"/>
    <w:rsid w:val="000353B6"/>
    <w:rsid w:val="000366C7"/>
    <w:rsid w:val="0004062B"/>
    <w:rsid w:val="00045186"/>
    <w:rsid w:val="0004599B"/>
    <w:rsid w:val="00047C61"/>
    <w:rsid w:val="0005057F"/>
    <w:rsid w:val="0005603E"/>
    <w:rsid w:val="000601F1"/>
    <w:rsid w:val="00060F4C"/>
    <w:rsid w:val="00060FA8"/>
    <w:rsid w:val="0006361C"/>
    <w:rsid w:val="00071F24"/>
    <w:rsid w:val="00073F6E"/>
    <w:rsid w:val="00074883"/>
    <w:rsid w:val="0007700A"/>
    <w:rsid w:val="000773AE"/>
    <w:rsid w:val="0008255A"/>
    <w:rsid w:val="00082FAA"/>
    <w:rsid w:val="000839AD"/>
    <w:rsid w:val="0009156E"/>
    <w:rsid w:val="000916D2"/>
    <w:rsid w:val="00094515"/>
    <w:rsid w:val="00097E55"/>
    <w:rsid w:val="000A0323"/>
    <w:rsid w:val="000A07A6"/>
    <w:rsid w:val="000A26B9"/>
    <w:rsid w:val="000A3EB4"/>
    <w:rsid w:val="000A6388"/>
    <w:rsid w:val="000B68FE"/>
    <w:rsid w:val="000C3DF5"/>
    <w:rsid w:val="000C4253"/>
    <w:rsid w:val="000D24BE"/>
    <w:rsid w:val="000D4975"/>
    <w:rsid w:val="000D5FC3"/>
    <w:rsid w:val="000E5A64"/>
    <w:rsid w:val="000E652E"/>
    <w:rsid w:val="000F03C4"/>
    <w:rsid w:val="000F2ACC"/>
    <w:rsid w:val="000F2BFE"/>
    <w:rsid w:val="00100103"/>
    <w:rsid w:val="0010116C"/>
    <w:rsid w:val="00101985"/>
    <w:rsid w:val="00104346"/>
    <w:rsid w:val="001077BE"/>
    <w:rsid w:val="00110E9A"/>
    <w:rsid w:val="00121E99"/>
    <w:rsid w:val="00123350"/>
    <w:rsid w:val="00134AFE"/>
    <w:rsid w:val="0014035D"/>
    <w:rsid w:val="00140FD4"/>
    <w:rsid w:val="00152347"/>
    <w:rsid w:val="0015510A"/>
    <w:rsid w:val="001632D5"/>
    <w:rsid w:val="00163BE3"/>
    <w:rsid w:val="001642B8"/>
    <w:rsid w:val="001669CB"/>
    <w:rsid w:val="00170614"/>
    <w:rsid w:val="00171F21"/>
    <w:rsid w:val="00174977"/>
    <w:rsid w:val="001842B4"/>
    <w:rsid w:val="0018653E"/>
    <w:rsid w:val="001871BB"/>
    <w:rsid w:val="00194544"/>
    <w:rsid w:val="001A247C"/>
    <w:rsid w:val="001A39F8"/>
    <w:rsid w:val="001A3B8E"/>
    <w:rsid w:val="001A3C37"/>
    <w:rsid w:val="001A4C26"/>
    <w:rsid w:val="001B0276"/>
    <w:rsid w:val="001B2B84"/>
    <w:rsid w:val="001B733C"/>
    <w:rsid w:val="001B776C"/>
    <w:rsid w:val="001C4E87"/>
    <w:rsid w:val="001C4ED0"/>
    <w:rsid w:val="001C6BE3"/>
    <w:rsid w:val="001C72C4"/>
    <w:rsid w:val="001D0BCA"/>
    <w:rsid w:val="001D3E54"/>
    <w:rsid w:val="001E0BC0"/>
    <w:rsid w:val="001E71E5"/>
    <w:rsid w:val="001E7E35"/>
    <w:rsid w:val="001F03B0"/>
    <w:rsid w:val="001F5B59"/>
    <w:rsid w:val="001F6829"/>
    <w:rsid w:val="00206A8F"/>
    <w:rsid w:val="0020761F"/>
    <w:rsid w:val="0021075E"/>
    <w:rsid w:val="002132D9"/>
    <w:rsid w:val="00214F93"/>
    <w:rsid w:val="002172CC"/>
    <w:rsid w:val="002201A5"/>
    <w:rsid w:val="002209A6"/>
    <w:rsid w:val="00222190"/>
    <w:rsid w:val="0023099F"/>
    <w:rsid w:val="002324A7"/>
    <w:rsid w:val="00232C8A"/>
    <w:rsid w:val="002330AD"/>
    <w:rsid w:val="002333D7"/>
    <w:rsid w:val="00236C3B"/>
    <w:rsid w:val="00236E9B"/>
    <w:rsid w:val="00247663"/>
    <w:rsid w:val="002506A4"/>
    <w:rsid w:val="00251ACD"/>
    <w:rsid w:val="00261912"/>
    <w:rsid w:val="00261AD3"/>
    <w:rsid w:val="0026212A"/>
    <w:rsid w:val="002704A4"/>
    <w:rsid w:val="00272DB3"/>
    <w:rsid w:val="00274189"/>
    <w:rsid w:val="002764BB"/>
    <w:rsid w:val="00282455"/>
    <w:rsid w:val="00282508"/>
    <w:rsid w:val="002865D8"/>
    <w:rsid w:val="0029151B"/>
    <w:rsid w:val="002932A1"/>
    <w:rsid w:val="002A3B7B"/>
    <w:rsid w:val="002A4912"/>
    <w:rsid w:val="002B12D7"/>
    <w:rsid w:val="002B2670"/>
    <w:rsid w:val="002B60BC"/>
    <w:rsid w:val="002B61E9"/>
    <w:rsid w:val="002C1494"/>
    <w:rsid w:val="002C2416"/>
    <w:rsid w:val="002C5AB2"/>
    <w:rsid w:val="002C6291"/>
    <w:rsid w:val="002D564E"/>
    <w:rsid w:val="002D6564"/>
    <w:rsid w:val="002E2195"/>
    <w:rsid w:val="002E6640"/>
    <w:rsid w:val="002E7440"/>
    <w:rsid w:val="002F3AF7"/>
    <w:rsid w:val="002F4D86"/>
    <w:rsid w:val="002F75E0"/>
    <w:rsid w:val="003028F5"/>
    <w:rsid w:val="003039CF"/>
    <w:rsid w:val="00313036"/>
    <w:rsid w:val="003215C4"/>
    <w:rsid w:val="003246EA"/>
    <w:rsid w:val="003253E5"/>
    <w:rsid w:val="00330B07"/>
    <w:rsid w:val="00331FB5"/>
    <w:rsid w:val="0033243E"/>
    <w:rsid w:val="00334ABA"/>
    <w:rsid w:val="003422B8"/>
    <w:rsid w:val="0034249F"/>
    <w:rsid w:val="00345535"/>
    <w:rsid w:val="00352761"/>
    <w:rsid w:val="003563B5"/>
    <w:rsid w:val="00360237"/>
    <w:rsid w:val="00360EA7"/>
    <w:rsid w:val="0036110E"/>
    <w:rsid w:val="00362FDD"/>
    <w:rsid w:val="00363954"/>
    <w:rsid w:val="003675B2"/>
    <w:rsid w:val="00371490"/>
    <w:rsid w:val="00372DE3"/>
    <w:rsid w:val="0037390F"/>
    <w:rsid w:val="003745A3"/>
    <w:rsid w:val="00374EE2"/>
    <w:rsid w:val="003802AF"/>
    <w:rsid w:val="00387EB3"/>
    <w:rsid w:val="00390941"/>
    <w:rsid w:val="0039450E"/>
    <w:rsid w:val="00395CA9"/>
    <w:rsid w:val="00397C54"/>
    <w:rsid w:val="003A4ECB"/>
    <w:rsid w:val="003A5FEE"/>
    <w:rsid w:val="003A6677"/>
    <w:rsid w:val="003B4A59"/>
    <w:rsid w:val="003B5F36"/>
    <w:rsid w:val="003C6A43"/>
    <w:rsid w:val="003D50AB"/>
    <w:rsid w:val="003E2873"/>
    <w:rsid w:val="003E34A5"/>
    <w:rsid w:val="003E53EC"/>
    <w:rsid w:val="003F0259"/>
    <w:rsid w:val="003F0B8C"/>
    <w:rsid w:val="003F1ADE"/>
    <w:rsid w:val="003F575C"/>
    <w:rsid w:val="003F7584"/>
    <w:rsid w:val="003F76D5"/>
    <w:rsid w:val="003F7E60"/>
    <w:rsid w:val="0040563E"/>
    <w:rsid w:val="00407003"/>
    <w:rsid w:val="00407993"/>
    <w:rsid w:val="00411ED0"/>
    <w:rsid w:val="00415653"/>
    <w:rsid w:val="0041741F"/>
    <w:rsid w:val="004220F2"/>
    <w:rsid w:val="00427399"/>
    <w:rsid w:val="0044008C"/>
    <w:rsid w:val="0044246D"/>
    <w:rsid w:val="00442C8A"/>
    <w:rsid w:val="00445A25"/>
    <w:rsid w:val="0044612C"/>
    <w:rsid w:val="00456DBE"/>
    <w:rsid w:val="0045740A"/>
    <w:rsid w:val="0045751F"/>
    <w:rsid w:val="004601F4"/>
    <w:rsid w:val="00461B70"/>
    <w:rsid w:val="00462554"/>
    <w:rsid w:val="00462A20"/>
    <w:rsid w:val="00466E3A"/>
    <w:rsid w:val="00467576"/>
    <w:rsid w:val="004675A4"/>
    <w:rsid w:val="00470566"/>
    <w:rsid w:val="004720CB"/>
    <w:rsid w:val="004765AC"/>
    <w:rsid w:val="00487321"/>
    <w:rsid w:val="004938DC"/>
    <w:rsid w:val="00493D4C"/>
    <w:rsid w:val="00495B45"/>
    <w:rsid w:val="004A2DFC"/>
    <w:rsid w:val="004A7DE9"/>
    <w:rsid w:val="004B1ABC"/>
    <w:rsid w:val="004B2E4A"/>
    <w:rsid w:val="004B5A65"/>
    <w:rsid w:val="004B6A53"/>
    <w:rsid w:val="004C2DB2"/>
    <w:rsid w:val="004C5377"/>
    <w:rsid w:val="004C60D8"/>
    <w:rsid w:val="004C6614"/>
    <w:rsid w:val="004C6BE7"/>
    <w:rsid w:val="004D6626"/>
    <w:rsid w:val="004D7B24"/>
    <w:rsid w:val="004E0D6E"/>
    <w:rsid w:val="004E293E"/>
    <w:rsid w:val="004F1D33"/>
    <w:rsid w:val="004F7A3B"/>
    <w:rsid w:val="0050387D"/>
    <w:rsid w:val="00504A70"/>
    <w:rsid w:val="005106C0"/>
    <w:rsid w:val="0052001A"/>
    <w:rsid w:val="00523A1B"/>
    <w:rsid w:val="00524C67"/>
    <w:rsid w:val="0052544B"/>
    <w:rsid w:val="00531FF6"/>
    <w:rsid w:val="00535489"/>
    <w:rsid w:val="00535C2D"/>
    <w:rsid w:val="00536159"/>
    <w:rsid w:val="005364BC"/>
    <w:rsid w:val="005369CC"/>
    <w:rsid w:val="0054472B"/>
    <w:rsid w:val="00551D45"/>
    <w:rsid w:val="00551FFF"/>
    <w:rsid w:val="00553200"/>
    <w:rsid w:val="00571F3E"/>
    <w:rsid w:val="00572294"/>
    <w:rsid w:val="00574184"/>
    <w:rsid w:val="0057473C"/>
    <w:rsid w:val="00574B2E"/>
    <w:rsid w:val="00576198"/>
    <w:rsid w:val="00577B2F"/>
    <w:rsid w:val="00577D19"/>
    <w:rsid w:val="0058296E"/>
    <w:rsid w:val="00583227"/>
    <w:rsid w:val="005861E3"/>
    <w:rsid w:val="00587B4C"/>
    <w:rsid w:val="00590429"/>
    <w:rsid w:val="00593D38"/>
    <w:rsid w:val="005A5B77"/>
    <w:rsid w:val="005A63D7"/>
    <w:rsid w:val="005B3F59"/>
    <w:rsid w:val="005B53F6"/>
    <w:rsid w:val="005C5D0A"/>
    <w:rsid w:val="005C66FB"/>
    <w:rsid w:val="005D037C"/>
    <w:rsid w:val="005D10A7"/>
    <w:rsid w:val="005D1E23"/>
    <w:rsid w:val="005D3983"/>
    <w:rsid w:val="005D3ABF"/>
    <w:rsid w:val="005D7E26"/>
    <w:rsid w:val="005E1B5A"/>
    <w:rsid w:val="005F3CB8"/>
    <w:rsid w:val="005F57DB"/>
    <w:rsid w:val="005F6BFB"/>
    <w:rsid w:val="006001BD"/>
    <w:rsid w:val="006005C0"/>
    <w:rsid w:val="00602E1D"/>
    <w:rsid w:val="00602FC5"/>
    <w:rsid w:val="006041BC"/>
    <w:rsid w:val="006053B0"/>
    <w:rsid w:val="00605F1C"/>
    <w:rsid w:val="00607B9F"/>
    <w:rsid w:val="00610888"/>
    <w:rsid w:val="00621C22"/>
    <w:rsid w:val="006240A1"/>
    <w:rsid w:val="006242D5"/>
    <w:rsid w:val="00631AE2"/>
    <w:rsid w:val="006320AC"/>
    <w:rsid w:val="0063427C"/>
    <w:rsid w:val="00635FB9"/>
    <w:rsid w:val="006446C1"/>
    <w:rsid w:val="00645BE2"/>
    <w:rsid w:val="00646D02"/>
    <w:rsid w:val="00654596"/>
    <w:rsid w:val="00655A89"/>
    <w:rsid w:val="006629FC"/>
    <w:rsid w:val="00662F6B"/>
    <w:rsid w:val="00663DD5"/>
    <w:rsid w:val="0066475A"/>
    <w:rsid w:val="00671585"/>
    <w:rsid w:val="006731A4"/>
    <w:rsid w:val="00676683"/>
    <w:rsid w:val="006807B9"/>
    <w:rsid w:val="00685AFB"/>
    <w:rsid w:val="00693F9D"/>
    <w:rsid w:val="00697B6E"/>
    <w:rsid w:val="006A111F"/>
    <w:rsid w:val="006A4A77"/>
    <w:rsid w:val="006A4BB3"/>
    <w:rsid w:val="006B23D7"/>
    <w:rsid w:val="006C69CF"/>
    <w:rsid w:val="006C6E18"/>
    <w:rsid w:val="006C789C"/>
    <w:rsid w:val="006E2AEC"/>
    <w:rsid w:val="006E3276"/>
    <w:rsid w:val="006E667A"/>
    <w:rsid w:val="006F5C47"/>
    <w:rsid w:val="006F5CC4"/>
    <w:rsid w:val="007005F4"/>
    <w:rsid w:val="00701430"/>
    <w:rsid w:val="00710E80"/>
    <w:rsid w:val="00713017"/>
    <w:rsid w:val="0071430F"/>
    <w:rsid w:val="007257FB"/>
    <w:rsid w:val="007317F9"/>
    <w:rsid w:val="00731CD1"/>
    <w:rsid w:val="00731F59"/>
    <w:rsid w:val="00733CE0"/>
    <w:rsid w:val="00737604"/>
    <w:rsid w:val="00740F36"/>
    <w:rsid w:val="00742FC0"/>
    <w:rsid w:val="007446A6"/>
    <w:rsid w:val="00745F95"/>
    <w:rsid w:val="00746584"/>
    <w:rsid w:val="00746CA6"/>
    <w:rsid w:val="00747CC4"/>
    <w:rsid w:val="00753167"/>
    <w:rsid w:val="00755835"/>
    <w:rsid w:val="007574F6"/>
    <w:rsid w:val="007706B3"/>
    <w:rsid w:val="00776994"/>
    <w:rsid w:val="00777327"/>
    <w:rsid w:val="0078378C"/>
    <w:rsid w:val="0079004F"/>
    <w:rsid w:val="007928EE"/>
    <w:rsid w:val="00793300"/>
    <w:rsid w:val="007A5257"/>
    <w:rsid w:val="007A5821"/>
    <w:rsid w:val="007A6F82"/>
    <w:rsid w:val="007D63A9"/>
    <w:rsid w:val="007D7E65"/>
    <w:rsid w:val="007E2E33"/>
    <w:rsid w:val="007E6A48"/>
    <w:rsid w:val="007E6D00"/>
    <w:rsid w:val="007E6F26"/>
    <w:rsid w:val="007E6F3D"/>
    <w:rsid w:val="007F1481"/>
    <w:rsid w:val="007F27A5"/>
    <w:rsid w:val="008052D3"/>
    <w:rsid w:val="00805675"/>
    <w:rsid w:val="00805F4B"/>
    <w:rsid w:val="008066E3"/>
    <w:rsid w:val="00807022"/>
    <w:rsid w:val="00817979"/>
    <w:rsid w:val="00817DB1"/>
    <w:rsid w:val="00820839"/>
    <w:rsid w:val="00821BAC"/>
    <w:rsid w:val="0082376E"/>
    <w:rsid w:val="00823B03"/>
    <w:rsid w:val="0082709A"/>
    <w:rsid w:val="0083438E"/>
    <w:rsid w:val="00837F2D"/>
    <w:rsid w:val="008413E5"/>
    <w:rsid w:val="00841FC2"/>
    <w:rsid w:val="008430ED"/>
    <w:rsid w:val="00843462"/>
    <w:rsid w:val="00846570"/>
    <w:rsid w:val="00851801"/>
    <w:rsid w:val="00851979"/>
    <w:rsid w:val="0085316E"/>
    <w:rsid w:val="0086054F"/>
    <w:rsid w:val="00862C2E"/>
    <w:rsid w:val="0087247A"/>
    <w:rsid w:val="00875A15"/>
    <w:rsid w:val="00875F84"/>
    <w:rsid w:val="0087657E"/>
    <w:rsid w:val="0087669E"/>
    <w:rsid w:val="00880029"/>
    <w:rsid w:val="00891498"/>
    <w:rsid w:val="00893EA8"/>
    <w:rsid w:val="008A27B3"/>
    <w:rsid w:val="008A4CA9"/>
    <w:rsid w:val="008A5357"/>
    <w:rsid w:val="008A6DE3"/>
    <w:rsid w:val="008A76A7"/>
    <w:rsid w:val="008B0E0E"/>
    <w:rsid w:val="008B3C05"/>
    <w:rsid w:val="008B7B43"/>
    <w:rsid w:val="008B7D84"/>
    <w:rsid w:val="008C5655"/>
    <w:rsid w:val="008D2B2D"/>
    <w:rsid w:val="008D63F4"/>
    <w:rsid w:val="008D6CE4"/>
    <w:rsid w:val="008E2FFD"/>
    <w:rsid w:val="008E31DF"/>
    <w:rsid w:val="008E5E74"/>
    <w:rsid w:val="009028B1"/>
    <w:rsid w:val="00907A69"/>
    <w:rsid w:val="00913362"/>
    <w:rsid w:val="009135AC"/>
    <w:rsid w:val="00926524"/>
    <w:rsid w:val="00930C77"/>
    <w:rsid w:val="0094330A"/>
    <w:rsid w:val="009448C8"/>
    <w:rsid w:val="00945C91"/>
    <w:rsid w:val="0095008F"/>
    <w:rsid w:val="00951F84"/>
    <w:rsid w:val="0095322D"/>
    <w:rsid w:val="009535A4"/>
    <w:rsid w:val="00953BE0"/>
    <w:rsid w:val="00961688"/>
    <w:rsid w:val="00962555"/>
    <w:rsid w:val="00962650"/>
    <w:rsid w:val="00971301"/>
    <w:rsid w:val="00971537"/>
    <w:rsid w:val="00977537"/>
    <w:rsid w:val="00990338"/>
    <w:rsid w:val="00990A3D"/>
    <w:rsid w:val="00995F51"/>
    <w:rsid w:val="00996421"/>
    <w:rsid w:val="00996CA7"/>
    <w:rsid w:val="009A05B9"/>
    <w:rsid w:val="009B18D1"/>
    <w:rsid w:val="009B615C"/>
    <w:rsid w:val="009B784C"/>
    <w:rsid w:val="009C43AA"/>
    <w:rsid w:val="009C46F4"/>
    <w:rsid w:val="009C704D"/>
    <w:rsid w:val="009D0AAB"/>
    <w:rsid w:val="009D3574"/>
    <w:rsid w:val="009E2536"/>
    <w:rsid w:val="009E2D95"/>
    <w:rsid w:val="009E61FC"/>
    <w:rsid w:val="009F6F6B"/>
    <w:rsid w:val="00A02796"/>
    <w:rsid w:val="00A034F0"/>
    <w:rsid w:val="00A044B5"/>
    <w:rsid w:val="00A04BAC"/>
    <w:rsid w:val="00A12766"/>
    <w:rsid w:val="00A158A7"/>
    <w:rsid w:val="00A1798D"/>
    <w:rsid w:val="00A17FF3"/>
    <w:rsid w:val="00A25EF2"/>
    <w:rsid w:val="00A27B34"/>
    <w:rsid w:val="00A305C3"/>
    <w:rsid w:val="00A32909"/>
    <w:rsid w:val="00A35CB1"/>
    <w:rsid w:val="00A412C4"/>
    <w:rsid w:val="00A50488"/>
    <w:rsid w:val="00A51233"/>
    <w:rsid w:val="00A56774"/>
    <w:rsid w:val="00A5686A"/>
    <w:rsid w:val="00A66426"/>
    <w:rsid w:val="00A675A9"/>
    <w:rsid w:val="00A7039D"/>
    <w:rsid w:val="00A77B64"/>
    <w:rsid w:val="00A80BC1"/>
    <w:rsid w:val="00A84F6A"/>
    <w:rsid w:val="00A8562C"/>
    <w:rsid w:val="00A913F6"/>
    <w:rsid w:val="00A936A9"/>
    <w:rsid w:val="00AA1925"/>
    <w:rsid w:val="00AB0F71"/>
    <w:rsid w:val="00AB4C51"/>
    <w:rsid w:val="00AC1C9B"/>
    <w:rsid w:val="00AC1EE4"/>
    <w:rsid w:val="00AC20F4"/>
    <w:rsid w:val="00AC4374"/>
    <w:rsid w:val="00AC4AC5"/>
    <w:rsid w:val="00AE4914"/>
    <w:rsid w:val="00AE5941"/>
    <w:rsid w:val="00AE72A4"/>
    <w:rsid w:val="00AE791B"/>
    <w:rsid w:val="00AF0EA0"/>
    <w:rsid w:val="00AF1134"/>
    <w:rsid w:val="00B02D89"/>
    <w:rsid w:val="00B03C7A"/>
    <w:rsid w:val="00B120B6"/>
    <w:rsid w:val="00B1314B"/>
    <w:rsid w:val="00B17705"/>
    <w:rsid w:val="00B177E6"/>
    <w:rsid w:val="00B30B70"/>
    <w:rsid w:val="00B30EDB"/>
    <w:rsid w:val="00B33C55"/>
    <w:rsid w:val="00B34EB1"/>
    <w:rsid w:val="00B351A4"/>
    <w:rsid w:val="00B371A9"/>
    <w:rsid w:val="00B40204"/>
    <w:rsid w:val="00B43080"/>
    <w:rsid w:val="00B44399"/>
    <w:rsid w:val="00B50966"/>
    <w:rsid w:val="00B60A28"/>
    <w:rsid w:val="00B73F8F"/>
    <w:rsid w:val="00B750FD"/>
    <w:rsid w:val="00B76757"/>
    <w:rsid w:val="00B774E4"/>
    <w:rsid w:val="00B801DA"/>
    <w:rsid w:val="00B8024B"/>
    <w:rsid w:val="00B80961"/>
    <w:rsid w:val="00B83549"/>
    <w:rsid w:val="00B84CEF"/>
    <w:rsid w:val="00B87B96"/>
    <w:rsid w:val="00B913E0"/>
    <w:rsid w:val="00B91844"/>
    <w:rsid w:val="00B9555E"/>
    <w:rsid w:val="00BA364E"/>
    <w:rsid w:val="00BA4E2C"/>
    <w:rsid w:val="00BA56CB"/>
    <w:rsid w:val="00BA7FA1"/>
    <w:rsid w:val="00BB223B"/>
    <w:rsid w:val="00BB2BA4"/>
    <w:rsid w:val="00BB354E"/>
    <w:rsid w:val="00BC5227"/>
    <w:rsid w:val="00BD3A02"/>
    <w:rsid w:val="00BD435F"/>
    <w:rsid w:val="00BD4F2A"/>
    <w:rsid w:val="00BE169E"/>
    <w:rsid w:val="00BE1F12"/>
    <w:rsid w:val="00BE1F53"/>
    <w:rsid w:val="00BE2862"/>
    <w:rsid w:val="00BE37AE"/>
    <w:rsid w:val="00BF23EC"/>
    <w:rsid w:val="00BF436C"/>
    <w:rsid w:val="00BF4724"/>
    <w:rsid w:val="00BF6C9E"/>
    <w:rsid w:val="00C010EF"/>
    <w:rsid w:val="00C01BC3"/>
    <w:rsid w:val="00C024E3"/>
    <w:rsid w:val="00C02BF2"/>
    <w:rsid w:val="00C13895"/>
    <w:rsid w:val="00C2626D"/>
    <w:rsid w:val="00C27D9E"/>
    <w:rsid w:val="00C30F28"/>
    <w:rsid w:val="00C4193C"/>
    <w:rsid w:val="00C52336"/>
    <w:rsid w:val="00C54E38"/>
    <w:rsid w:val="00C601EC"/>
    <w:rsid w:val="00C6261C"/>
    <w:rsid w:val="00C65DF3"/>
    <w:rsid w:val="00C66579"/>
    <w:rsid w:val="00C70534"/>
    <w:rsid w:val="00C73B6F"/>
    <w:rsid w:val="00C75328"/>
    <w:rsid w:val="00C77FEC"/>
    <w:rsid w:val="00C81160"/>
    <w:rsid w:val="00C86536"/>
    <w:rsid w:val="00CA06E2"/>
    <w:rsid w:val="00CA26B9"/>
    <w:rsid w:val="00CA7C9C"/>
    <w:rsid w:val="00CB0778"/>
    <w:rsid w:val="00CB3482"/>
    <w:rsid w:val="00CB5CA0"/>
    <w:rsid w:val="00CC59D8"/>
    <w:rsid w:val="00CC69CB"/>
    <w:rsid w:val="00CD2486"/>
    <w:rsid w:val="00CD3583"/>
    <w:rsid w:val="00CE26C4"/>
    <w:rsid w:val="00CE4CA6"/>
    <w:rsid w:val="00CF01F5"/>
    <w:rsid w:val="00D008D7"/>
    <w:rsid w:val="00D015B8"/>
    <w:rsid w:val="00D025A7"/>
    <w:rsid w:val="00D03F98"/>
    <w:rsid w:val="00D06035"/>
    <w:rsid w:val="00D07D8E"/>
    <w:rsid w:val="00D11412"/>
    <w:rsid w:val="00D144D8"/>
    <w:rsid w:val="00D27D1A"/>
    <w:rsid w:val="00D352E1"/>
    <w:rsid w:val="00D35B02"/>
    <w:rsid w:val="00D3696A"/>
    <w:rsid w:val="00D36EE4"/>
    <w:rsid w:val="00D4292A"/>
    <w:rsid w:val="00D451F4"/>
    <w:rsid w:val="00D45C3E"/>
    <w:rsid w:val="00D46F5E"/>
    <w:rsid w:val="00D4731B"/>
    <w:rsid w:val="00D505DD"/>
    <w:rsid w:val="00D50E87"/>
    <w:rsid w:val="00D67C02"/>
    <w:rsid w:val="00D75ED3"/>
    <w:rsid w:val="00D77C7E"/>
    <w:rsid w:val="00D8075F"/>
    <w:rsid w:val="00D90236"/>
    <w:rsid w:val="00D9102D"/>
    <w:rsid w:val="00D920BC"/>
    <w:rsid w:val="00D92A65"/>
    <w:rsid w:val="00D9448C"/>
    <w:rsid w:val="00D95989"/>
    <w:rsid w:val="00DA43BA"/>
    <w:rsid w:val="00DA4408"/>
    <w:rsid w:val="00DB2234"/>
    <w:rsid w:val="00DB3C32"/>
    <w:rsid w:val="00DB3C6E"/>
    <w:rsid w:val="00DC09DE"/>
    <w:rsid w:val="00DC4544"/>
    <w:rsid w:val="00DD2475"/>
    <w:rsid w:val="00DD3095"/>
    <w:rsid w:val="00DE0669"/>
    <w:rsid w:val="00DE51F6"/>
    <w:rsid w:val="00DE57D8"/>
    <w:rsid w:val="00DE6F3D"/>
    <w:rsid w:val="00DF2890"/>
    <w:rsid w:val="00E03B40"/>
    <w:rsid w:val="00E05D26"/>
    <w:rsid w:val="00E06C60"/>
    <w:rsid w:val="00E070D9"/>
    <w:rsid w:val="00E076AC"/>
    <w:rsid w:val="00E118C2"/>
    <w:rsid w:val="00E13FAC"/>
    <w:rsid w:val="00E337A3"/>
    <w:rsid w:val="00E34FC3"/>
    <w:rsid w:val="00E3753E"/>
    <w:rsid w:val="00E55FD5"/>
    <w:rsid w:val="00E6411E"/>
    <w:rsid w:val="00E655D1"/>
    <w:rsid w:val="00E67543"/>
    <w:rsid w:val="00E75404"/>
    <w:rsid w:val="00E7690E"/>
    <w:rsid w:val="00E81791"/>
    <w:rsid w:val="00E83019"/>
    <w:rsid w:val="00E83685"/>
    <w:rsid w:val="00E843CB"/>
    <w:rsid w:val="00E84F78"/>
    <w:rsid w:val="00E859C3"/>
    <w:rsid w:val="00E917F9"/>
    <w:rsid w:val="00E938F1"/>
    <w:rsid w:val="00E94B77"/>
    <w:rsid w:val="00E9763A"/>
    <w:rsid w:val="00E97C4F"/>
    <w:rsid w:val="00EA47F9"/>
    <w:rsid w:val="00EB0A38"/>
    <w:rsid w:val="00EB3A59"/>
    <w:rsid w:val="00EC0825"/>
    <w:rsid w:val="00EC0D10"/>
    <w:rsid w:val="00EC42D3"/>
    <w:rsid w:val="00EC4332"/>
    <w:rsid w:val="00EC5A9B"/>
    <w:rsid w:val="00EC611A"/>
    <w:rsid w:val="00EC6920"/>
    <w:rsid w:val="00ED1823"/>
    <w:rsid w:val="00ED353F"/>
    <w:rsid w:val="00EE0C95"/>
    <w:rsid w:val="00EE3A72"/>
    <w:rsid w:val="00EF4F8C"/>
    <w:rsid w:val="00EF537C"/>
    <w:rsid w:val="00F05EE1"/>
    <w:rsid w:val="00F11D06"/>
    <w:rsid w:val="00F16FC8"/>
    <w:rsid w:val="00F20867"/>
    <w:rsid w:val="00F22094"/>
    <w:rsid w:val="00F2648E"/>
    <w:rsid w:val="00F2733E"/>
    <w:rsid w:val="00F31615"/>
    <w:rsid w:val="00F34269"/>
    <w:rsid w:val="00F36848"/>
    <w:rsid w:val="00F400D4"/>
    <w:rsid w:val="00F40B6C"/>
    <w:rsid w:val="00F422FC"/>
    <w:rsid w:val="00F434A0"/>
    <w:rsid w:val="00F4485F"/>
    <w:rsid w:val="00F5540B"/>
    <w:rsid w:val="00F56F3B"/>
    <w:rsid w:val="00F63037"/>
    <w:rsid w:val="00F63420"/>
    <w:rsid w:val="00F72151"/>
    <w:rsid w:val="00F750DB"/>
    <w:rsid w:val="00F81BB7"/>
    <w:rsid w:val="00F83884"/>
    <w:rsid w:val="00F92C8C"/>
    <w:rsid w:val="00F937C8"/>
    <w:rsid w:val="00FA4886"/>
    <w:rsid w:val="00FA7528"/>
    <w:rsid w:val="00FB6102"/>
    <w:rsid w:val="00FB7669"/>
    <w:rsid w:val="00FC08D3"/>
    <w:rsid w:val="00FC0BFB"/>
    <w:rsid w:val="00FC106A"/>
    <w:rsid w:val="00FC3CDF"/>
    <w:rsid w:val="00FC4F38"/>
    <w:rsid w:val="00FC60B4"/>
    <w:rsid w:val="00FC79CB"/>
    <w:rsid w:val="00FD5FB8"/>
    <w:rsid w:val="00FE05A8"/>
    <w:rsid w:val="00FE1F33"/>
    <w:rsid w:val="00FE4E72"/>
    <w:rsid w:val="00FF494F"/>
    <w:rsid w:val="00FF5ECD"/>
    <w:rsid w:val="00FF7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sz w:val="24"/>
    </w:rPr>
  </w:style>
  <w:style w:type="paragraph" w:styleId="Heading1">
    <w:name w:val="heading 1"/>
    <w:basedOn w:val="Normal"/>
    <w:next w:val="Normal"/>
    <w:link w:val="Heading1Char"/>
    <w:qFormat/>
    <w:rsid w:val="00776994"/>
    <w:pPr>
      <w:keepNext/>
      <w:spacing w:after="240"/>
      <w:ind w:left="720" w:hanging="720"/>
      <w:outlineLvl w:val="0"/>
    </w:pPr>
    <w:rPr>
      <w:b/>
      <w:szCs w:val="24"/>
    </w:rPr>
  </w:style>
  <w:style w:type="paragraph" w:styleId="Heading2">
    <w:name w:val="heading 2"/>
    <w:basedOn w:val="Normal"/>
    <w:next w:val="Normal"/>
    <w:qFormat/>
    <w:rsid w:val="00817979"/>
    <w:pPr>
      <w:keepNext/>
      <w:tabs>
        <w:tab w:val="left" w:pos="4320"/>
      </w:tabs>
      <w:spacing w:after="240"/>
      <w:ind w:left="1440" w:hanging="720"/>
      <w:outlineLvl w:val="1"/>
    </w:pPr>
    <w:rPr>
      <w:b/>
    </w:rPr>
  </w:style>
  <w:style w:type="paragraph" w:styleId="Heading3">
    <w:name w:val="heading 3"/>
    <w:basedOn w:val="Normal"/>
    <w:next w:val="Normal"/>
    <w:qFormat/>
    <w:rsid w:val="003E2873"/>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sid w:val="005E1B54"/>
    <w:pPr>
      <w:spacing w:after="120"/>
    </w:pPr>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1">
    <w:name w:val="Unresolved Mention1"/>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776994"/>
    <w:rPr>
      <w:b/>
      <w:sz w:val="24"/>
      <w:szCs w:val="24"/>
    </w:rPr>
  </w:style>
  <w:style w:type="character" w:customStyle="1" w:styleId="BodyTextIndent3Char">
    <w:name w:val="Body Text Indent 3 Char"/>
    <w:link w:val="BodyTextIndent3"/>
    <w:rsid w:val="00462554"/>
    <w:rPr>
      <w:sz w:val="24"/>
    </w:rPr>
  </w:style>
  <w:style w:type="character" w:customStyle="1" w:styleId="CommentTextChar">
    <w:name w:val="Comment Text Char"/>
    <w:link w:val="CommentText"/>
    <w:uiPriority w:val="99"/>
    <w:semiHidden/>
    <w:rsid w:val="001A4C26"/>
    <w:rPr>
      <w:sz w:val="24"/>
      <w:szCs w:val="24"/>
    </w:rPr>
  </w:style>
  <w:style w:type="paragraph" w:customStyle="1" w:styleId="xmsonormal">
    <w:name w:val="xmsonormal"/>
    <w:basedOn w:val="Normal"/>
    <w:rsid w:val="00FC79CB"/>
    <w:pPr>
      <w:spacing w:before="100" w:beforeAutospacing="1" w:after="100" w:afterAutospacing="1"/>
    </w:pPr>
    <w:rPr>
      <w:szCs w:val="24"/>
    </w:rPr>
  </w:style>
  <w:style w:type="character" w:customStyle="1" w:styleId="UnresolvedMention2">
    <w:name w:val="Unresolved Mention2"/>
    <w:basedOn w:val="DefaultParagraphFont"/>
    <w:rsid w:val="00793300"/>
    <w:rPr>
      <w:color w:val="605E5C"/>
      <w:shd w:val="clear" w:color="auto" w:fill="E1DFDD"/>
    </w:rPr>
  </w:style>
  <w:style w:type="character" w:customStyle="1" w:styleId="FootnoteTextChar">
    <w:name w:val="Footnote Text Char"/>
    <w:basedOn w:val="DefaultParagraphFont"/>
    <w:link w:val="FootnoteText"/>
    <w:uiPriority w:val="99"/>
    <w:semiHidden/>
    <w:rsid w:val="002132D9"/>
  </w:style>
  <w:style w:type="paragraph" w:styleId="ListParagraph">
    <w:name w:val="List Paragraph"/>
    <w:basedOn w:val="Normal"/>
    <w:uiPriority w:val="34"/>
    <w:qFormat/>
    <w:rsid w:val="00A158A7"/>
    <w:pPr>
      <w:spacing w:after="160" w:line="259" w:lineRule="auto"/>
      <w:ind w:left="720"/>
      <w:contextualSpacing/>
    </w:pPr>
    <w:rPr>
      <w:rFonts w:asciiTheme="minorHAnsi" w:eastAsiaTheme="minorHAnsi" w:hAnsiTheme="minorHAnsi" w:cstheme="minorBidi"/>
      <w:sz w:val="22"/>
      <w:szCs w:val="22"/>
    </w:rPr>
  </w:style>
  <w:style w:type="character" w:customStyle="1" w:styleId="markedcontent">
    <w:name w:val="markedcontent"/>
    <w:basedOn w:val="DefaultParagraphFont"/>
    <w:rsid w:val="00A158A7"/>
  </w:style>
  <w:style w:type="character" w:customStyle="1" w:styleId="UnresolvedMention3">
    <w:name w:val="Unresolved Mention3"/>
    <w:basedOn w:val="DefaultParagraphFont"/>
    <w:rsid w:val="000A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feldkamp@ohioago.gov" TargetMode="External" /><Relationship Id="rId11" Type="http://schemas.openxmlformats.org/officeDocument/2006/relationships/hyperlink" Target="mailto:mjsettineri@vorys.com" TargetMode="External" /><Relationship Id="rId12" Type="http://schemas.openxmlformats.org/officeDocument/2006/relationships/hyperlink" Target="mailto:glpetrucci@vorys.com" TargetMode="External" /><Relationship Id="rId13" Type="http://schemas.openxmlformats.org/officeDocument/2006/relationships/hyperlink" Target="mailto:fdarr2019@gmail.com" TargetMode="External" /><Relationship Id="rId14" Type="http://schemas.openxmlformats.org/officeDocument/2006/relationships/hyperlink" Target="mailto:matthew.sandor@puco.ohio.gov" TargetMode="External" /><Relationship Id="rId15" Type="http://schemas.openxmlformats.org/officeDocument/2006/relationships/hyperlink" Target="mailto:rocco.dascenzo@duke-energy.com" TargetMode="External" /><Relationship Id="rId16" Type="http://schemas.openxmlformats.org/officeDocument/2006/relationships/hyperlink" Target="mailto:larisa.vaysman@duke-energy.com" TargetMode="External" /><Relationship Id="rId17" Type="http://schemas.openxmlformats.org/officeDocument/2006/relationships/hyperlink" Target="mailto:dproano@bakerlaw.com" TargetMode="External" /><Relationship Id="rId18" Type="http://schemas.openxmlformats.org/officeDocument/2006/relationships/hyperlink" Target="mailto:tathompson@bakerlaw.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my.botschner.obrien@occ.ohio.gov" TargetMode="External" /><Relationship Id="rId8" Type="http://schemas.openxmlformats.org/officeDocument/2006/relationships/hyperlink" Target="mailto:ambrosia.wilson@occ.ohio.gov" TargetMode="External" /><Relationship Id="rId9" Type="http://schemas.openxmlformats.org/officeDocument/2006/relationships/hyperlink" Target="mailto:thomas.lindgr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4FF-C67D-45E1-A404-07C73E7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Duke Customer Connect Comments for filing  (00543375.DOCX;1)</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2022-02-25T21:31:39Z</dcterms:created>
  <dcterms:modified xsi:type="dcterms:W3CDTF">2022-02-25T21:31:39Z</dcterms:modified>
</cp:coreProperties>
</file>