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BEFORE</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rPr>
          <w:rFonts w:ascii="Times New Roman" w:hAnsi="Times New Roman" w:cs="Times New Roman"/>
          <w:sz w:val="26"/>
          <w:szCs w:val="26"/>
        </w:rPr>
      </w:pPr>
    </w:p>
    <w:tbl>
      <w:tblPr>
        <w:tblW w:w="8762" w:type="dxa"/>
        <w:tblLook w:val="04A0" w:firstRow="1" w:lastRow="0" w:firstColumn="1" w:lastColumn="0" w:noHBand="0" w:noVBand="1"/>
      </w:tblPr>
      <w:tblGrid>
        <w:gridCol w:w="4518"/>
        <w:gridCol w:w="360"/>
        <w:gridCol w:w="3884"/>
      </w:tblGrid>
      <w:tr w:rsidR="00933CA6" w:rsidRPr="00933CA6" w:rsidTr="00933CA6">
        <w:tc>
          <w:tcPr>
            <w:tcW w:w="4518" w:type="dxa"/>
            <w:shd w:val="clear" w:color="auto" w:fill="auto"/>
          </w:tcPr>
          <w:p w:rsidR="00933CA6" w:rsidRPr="00E45456" w:rsidRDefault="00933CA6" w:rsidP="00E45456">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the Establishment of a Charge Pursuant to Revised Code Section 4909.18.</w:t>
            </w:r>
          </w:p>
        </w:tc>
        <w:tc>
          <w:tcPr>
            <w:tcW w:w="360" w:type="dxa"/>
          </w:tcPr>
          <w:p w:rsidR="00933CA6" w:rsidRPr="00933CA6" w:rsidRDefault="00933CA6" w:rsidP="00933CA6">
            <w:pPr>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933CA6" w:rsidRPr="00933CA6" w:rsidRDefault="00933CA6" w:rsidP="00933CA6">
            <w:pPr>
              <w:spacing w:after="0" w:line="240" w:lineRule="auto"/>
              <w:ind w:left="-288"/>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12-2400-EL-UNC</w:t>
            </w:r>
          </w:p>
        </w:tc>
      </w:tr>
      <w:tr w:rsidR="00933CA6" w:rsidRPr="00933CA6" w:rsidTr="00933CA6">
        <w:tc>
          <w:tcPr>
            <w:tcW w:w="4518" w:type="dxa"/>
            <w:shd w:val="clear" w:color="auto" w:fill="auto"/>
          </w:tcPr>
          <w:p w:rsidR="00933CA6" w:rsidRPr="00E45456" w:rsidRDefault="00933CA6" w:rsidP="00E45456">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Approval to Change Certain Accounting Methods.</w:t>
            </w:r>
          </w:p>
          <w:p w:rsidR="00933CA6" w:rsidRPr="00E45456" w:rsidRDefault="00933CA6" w:rsidP="00E45456">
            <w:pPr>
              <w:pStyle w:val="NoSpacing"/>
              <w:rPr>
                <w:rFonts w:ascii="Times New Roman" w:hAnsi="Times New Roman" w:cs="Times New Roman"/>
                <w:sz w:val="26"/>
                <w:szCs w:val="26"/>
              </w:rPr>
            </w:pPr>
          </w:p>
          <w:p w:rsidR="00933CA6" w:rsidRPr="00E45456" w:rsidRDefault="00933CA6" w:rsidP="00E45456">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the Approval of a Tariff for New Service.</w:t>
            </w:r>
          </w:p>
        </w:tc>
        <w:tc>
          <w:tcPr>
            <w:tcW w:w="360" w:type="dxa"/>
          </w:tcPr>
          <w:p w:rsidR="00933CA6" w:rsidRPr="00933CA6" w:rsidRDefault="00933CA6" w:rsidP="00933CA6">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p w:rsidR="00933CA6" w:rsidRPr="00933CA6" w:rsidRDefault="00933CA6" w:rsidP="00933CA6">
            <w:pPr>
              <w:spacing w:after="0" w:line="240" w:lineRule="auto"/>
              <w:rPr>
                <w:rFonts w:ascii="Times New Roman" w:hAnsi="Times New Roman" w:cs="Times New Roman"/>
                <w:sz w:val="26"/>
                <w:szCs w:val="26"/>
              </w:rPr>
            </w:pPr>
          </w:p>
          <w:p w:rsidR="00933CA6" w:rsidRPr="00933CA6" w:rsidRDefault="00933CA6" w:rsidP="00933CA6">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933CA6" w:rsidRPr="00933CA6" w:rsidRDefault="00933CA6" w:rsidP="00933CA6">
            <w:pPr>
              <w:spacing w:after="0" w:line="240" w:lineRule="auto"/>
              <w:ind w:left="-288"/>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12-2401-EL-AAM</w:t>
            </w: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12-2402-EL-ATA</w:t>
            </w:r>
          </w:p>
        </w:tc>
      </w:tr>
    </w:tbl>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933CA6" w:rsidRPr="00933CA6" w:rsidRDefault="00933CA6" w:rsidP="00933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INITIAL</w:t>
      </w:r>
      <w:r w:rsidR="00D50095">
        <w:rPr>
          <w:rFonts w:ascii="Times New Roman" w:hAnsi="Times New Roman" w:cs="Times New Roman"/>
          <w:b/>
          <w:sz w:val="28"/>
          <w:szCs w:val="28"/>
        </w:rPr>
        <w:t xml:space="preserve"> BRIEF</w:t>
      </w:r>
      <w:r w:rsidRPr="00933CA6">
        <w:rPr>
          <w:rFonts w:ascii="Times New Roman" w:hAnsi="Times New Roman" w:cs="Times New Roman"/>
          <w:b/>
          <w:sz w:val="28"/>
          <w:szCs w:val="28"/>
        </w:rPr>
        <w:t xml:space="preserve"> </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SUBMITTED ON BEHALF OF THE STAFF OF</w:t>
      </w:r>
    </w:p>
    <w:p w:rsidR="00933CA6" w:rsidRPr="00933CA6" w:rsidRDefault="00933CA6" w:rsidP="00933CA6">
      <w:pPr>
        <w:spacing w:after="0" w:line="240" w:lineRule="auto"/>
        <w:jc w:val="center"/>
        <w:rPr>
          <w:rFonts w:ascii="Times New Roman" w:hAnsi="Times New Roman" w:cs="Times New Roman"/>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933CA6" w:rsidRPr="00933CA6" w:rsidRDefault="00933CA6" w:rsidP="00933CA6">
      <w:pPr>
        <w:spacing w:after="0" w:line="240" w:lineRule="auto"/>
        <w:ind w:left="4320"/>
        <w:rPr>
          <w:rFonts w:ascii="Times New Roman" w:hAnsi="Times New Roman"/>
          <w:b/>
          <w:sz w:val="26"/>
          <w:szCs w:val="26"/>
        </w:rPr>
      </w:pPr>
      <w:r w:rsidRPr="00933CA6">
        <w:rPr>
          <w:rFonts w:ascii="Times New Roman" w:hAnsi="Times New Roman"/>
          <w:b/>
          <w:sz w:val="26"/>
          <w:szCs w:val="26"/>
        </w:rPr>
        <w:t xml:space="preserve">Michael DeWine </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Ohio Attorney General</w:t>
      </w:r>
    </w:p>
    <w:p w:rsidR="00933CA6" w:rsidRPr="00933CA6" w:rsidRDefault="00933CA6" w:rsidP="00933CA6">
      <w:pPr>
        <w:spacing w:after="0" w:line="240" w:lineRule="auto"/>
        <w:ind w:left="4320"/>
        <w:rPr>
          <w:rFonts w:ascii="Times New Roman" w:hAnsi="Times New Roman"/>
          <w:sz w:val="26"/>
          <w:szCs w:val="26"/>
        </w:rPr>
      </w:pP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b/>
          <w:sz w:val="26"/>
          <w:szCs w:val="26"/>
        </w:rPr>
        <w:t>William L. Wright</w:t>
      </w:r>
    </w:p>
    <w:p w:rsidR="00933CA6" w:rsidRPr="00933CA6" w:rsidRDefault="00933CA6" w:rsidP="00933CA6">
      <w:pPr>
        <w:spacing w:after="0" w:line="240" w:lineRule="auto"/>
        <w:ind w:left="4320"/>
        <w:rPr>
          <w:rFonts w:ascii="Times New Roman" w:hAnsi="Times New Roman"/>
          <w:b/>
          <w:sz w:val="26"/>
          <w:szCs w:val="26"/>
        </w:rPr>
      </w:pPr>
      <w:r w:rsidRPr="00933CA6">
        <w:rPr>
          <w:rFonts w:ascii="Times New Roman" w:hAnsi="Times New Roman"/>
          <w:sz w:val="26"/>
          <w:szCs w:val="26"/>
        </w:rPr>
        <w:t>Section Chief</w:t>
      </w:r>
    </w:p>
    <w:p w:rsidR="00933CA6" w:rsidRPr="00933CA6" w:rsidRDefault="00933CA6" w:rsidP="00933CA6">
      <w:pPr>
        <w:spacing w:after="0" w:line="240" w:lineRule="auto"/>
        <w:ind w:left="4320"/>
        <w:rPr>
          <w:rFonts w:ascii="Times New Roman" w:hAnsi="Times New Roman"/>
          <w:sz w:val="26"/>
          <w:szCs w:val="26"/>
        </w:rPr>
      </w:pPr>
    </w:p>
    <w:p w:rsidR="00933CA6" w:rsidRDefault="00933CA6" w:rsidP="00933CA6">
      <w:pPr>
        <w:spacing w:after="0" w:line="240" w:lineRule="auto"/>
        <w:ind w:left="4320"/>
        <w:rPr>
          <w:rFonts w:ascii="Times New Roman" w:hAnsi="Times New Roman"/>
          <w:b/>
          <w:sz w:val="26"/>
          <w:szCs w:val="26"/>
        </w:rPr>
      </w:pPr>
      <w:r w:rsidRPr="00933CA6">
        <w:rPr>
          <w:rFonts w:ascii="Times New Roman" w:hAnsi="Times New Roman"/>
          <w:b/>
          <w:sz w:val="26"/>
          <w:szCs w:val="26"/>
        </w:rPr>
        <w:t>Steven L. Beeler</w:t>
      </w:r>
    </w:p>
    <w:p w:rsidR="00933CA6" w:rsidRPr="00933CA6" w:rsidRDefault="00933CA6" w:rsidP="00933CA6">
      <w:pPr>
        <w:spacing w:after="0" w:line="240" w:lineRule="auto"/>
        <w:ind w:left="4320"/>
        <w:rPr>
          <w:rFonts w:ascii="Times New Roman" w:hAnsi="Times New Roman"/>
          <w:b/>
          <w:sz w:val="26"/>
          <w:szCs w:val="26"/>
        </w:rPr>
      </w:pPr>
      <w:r>
        <w:rPr>
          <w:rFonts w:ascii="Times New Roman" w:hAnsi="Times New Roman"/>
          <w:b/>
          <w:sz w:val="26"/>
          <w:szCs w:val="26"/>
        </w:rPr>
        <w:t>John H. Jones</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Assistant Attorney</w:t>
      </w:r>
      <w:r>
        <w:rPr>
          <w:rFonts w:ascii="Times New Roman" w:hAnsi="Times New Roman"/>
          <w:sz w:val="26"/>
          <w:szCs w:val="26"/>
        </w:rPr>
        <w:t>s</w:t>
      </w:r>
      <w:r w:rsidRPr="00933CA6">
        <w:rPr>
          <w:rFonts w:ascii="Times New Roman" w:hAnsi="Times New Roman"/>
          <w:sz w:val="26"/>
          <w:szCs w:val="26"/>
        </w:rPr>
        <w:t xml:space="preserve"> General</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Public Utilities Section</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180 East Broad Street, 6</w:t>
      </w:r>
      <w:r w:rsidRPr="00933CA6">
        <w:rPr>
          <w:rFonts w:ascii="Times New Roman" w:hAnsi="Times New Roman"/>
          <w:sz w:val="26"/>
          <w:szCs w:val="26"/>
          <w:vertAlign w:val="superscript"/>
        </w:rPr>
        <w:t>th</w:t>
      </w:r>
      <w:r w:rsidRPr="00933CA6">
        <w:rPr>
          <w:rFonts w:ascii="Times New Roman" w:hAnsi="Times New Roman"/>
          <w:sz w:val="26"/>
          <w:szCs w:val="26"/>
        </w:rPr>
        <w:t xml:space="preserve"> Fl. </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Columbus, OH  43215</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614.466.4395 (telephone)</w:t>
      </w:r>
    </w:p>
    <w:p w:rsidR="00933CA6" w:rsidRPr="00933CA6" w:rsidRDefault="00933CA6" w:rsidP="00933CA6">
      <w:pPr>
        <w:spacing w:after="0" w:line="240" w:lineRule="auto"/>
        <w:ind w:left="4320"/>
        <w:jc w:val="both"/>
        <w:rPr>
          <w:rFonts w:ascii="Times New Roman" w:hAnsi="Times New Roman" w:cs="Times New Roman"/>
          <w:sz w:val="26"/>
          <w:szCs w:val="26"/>
        </w:rPr>
      </w:pPr>
      <w:r w:rsidRPr="00933CA6">
        <w:rPr>
          <w:rFonts w:ascii="Times New Roman" w:hAnsi="Times New Roman" w:cs="Times New Roman"/>
          <w:sz w:val="26"/>
          <w:szCs w:val="26"/>
        </w:rPr>
        <w:t>614.644.8764 (fax)</w:t>
      </w:r>
    </w:p>
    <w:p w:rsidR="00933CA6" w:rsidRDefault="00E106B2" w:rsidP="00933CA6">
      <w:pPr>
        <w:spacing w:after="0" w:line="240" w:lineRule="auto"/>
        <w:ind w:left="4320"/>
        <w:jc w:val="both"/>
        <w:rPr>
          <w:rFonts w:ascii="Times New Roman" w:hAnsi="Times New Roman" w:cs="Times New Roman"/>
          <w:color w:val="0000FF"/>
          <w:sz w:val="26"/>
          <w:szCs w:val="26"/>
          <w:u w:val="single"/>
        </w:rPr>
      </w:pPr>
      <w:hyperlink r:id="rId9" w:history="1">
        <w:r w:rsidR="00933CA6" w:rsidRPr="00933CA6">
          <w:rPr>
            <w:rFonts w:ascii="Times New Roman" w:hAnsi="Times New Roman" w:cs="Times New Roman"/>
            <w:color w:val="0000FF"/>
            <w:sz w:val="26"/>
            <w:szCs w:val="26"/>
            <w:u w:val="single"/>
          </w:rPr>
          <w:t>steven.beeler@puc.state.oh.us</w:t>
        </w:r>
      </w:hyperlink>
    </w:p>
    <w:p w:rsidR="00933CA6" w:rsidRPr="00933CA6" w:rsidRDefault="00933CA6" w:rsidP="00933CA6">
      <w:pPr>
        <w:spacing w:after="0" w:line="240" w:lineRule="auto"/>
        <w:ind w:left="4320"/>
        <w:jc w:val="both"/>
        <w:rPr>
          <w:rFonts w:ascii="Times New Roman" w:hAnsi="Times New Roman" w:cs="Times New Roman"/>
          <w:color w:val="0000FF"/>
          <w:sz w:val="26"/>
          <w:szCs w:val="26"/>
          <w:u w:val="single"/>
        </w:rPr>
      </w:pPr>
      <w:r>
        <w:rPr>
          <w:rFonts w:ascii="Times New Roman" w:hAnsi="Times New Roman" w:cs="Times New Roman"/>
          <w:color w:val="0000FF"/>
          <w:sz w:val="26"/>
          <w:szCs w:val="26"/>
          <w:u w:val="single"/>
        </w:rPr>
        <w:t>john.jones@puc.state.oh.us</w:t>
      </w:r>
    </w:p>
    <w:p w:rsidR="00933CA6" w:rsidRPr="00933CA6" w:rsidRDefault="00933CA6" w:rsidP="00933CA6">
      <w:pPr>
        <w:spacing w:after="0" w:line="240" w:lineRule="auto"/>
        <w:jc w:val="both"/>
        <w:rPr>
          <w:rFonts w:ascii="Times New Roman" w:hAnsi="Times New Roman" w:cs="Times New Roman"/>
          <w:color w:val="0000FF"/>
          <w:sz w:val="26"/>
          <w:szCs w:val="26"/>
          <w:u w:val="single"/>
        </w:rPr>
      </w:pPr>
    </w:p>
    <w:p w:rsidR="00933CA6" w:rsidRPr="00933CA6" w:rsidRDefault="004D1493" w:rsidP="00933CA6">
      <w:pPr>
        <w:jc w:val="both"/>
        <w:rPr>
          <w:rFonts w:ascii="Times New Roman" w:hAnsi="Times New Roman" w:cs="Times New Roman"/>
          <w:sz w:val="26"/>
          <w:szCs w:val="26"/>
        </w:rPr>
      </w:pPr>
      <w:r>
        <w:rPr>
          <w:rFonts w:ascii="Times New Roman" w:hAnsi="Times New Roman" w:cs="Times New Roman"/>
          <w:sz w:val="26"/>
          <w:szCs w:val="26"/>
        </w:rPr>
        <w:t>Date Submitted: June</w:t>
      </w:r>
      <w:r w:rsidR="007B2FB7">
        <w:rPr>
          <w:rFonts w:ascii="Times New Roman" w:hAnsi="Times New Roman" w:cs="Times New Roman"/>
          <w:sz w:val="26"/>
          <w:szCs w:val="26"/>
        </w:rPr>
        <w:t xml:space="preserve"> 28</w:t>
      </w:r>
      <w:r w:rsidR="00632F5A">
        <w:rPr>
          <w:rFonts w:ascii="Times New Roman" w:hAnsi="Times New Roman" w:cs="Times New Roman"/>
          <w:sz w:val="26"/>
          <w:szCs w:val="26"/>
        </w:rPr>
        <w:t>, 2013</w:t>
      </w:r>
    </w:p>
    <w:p w:rsidR="00933CA6" w:rsidRPr="00933CA6" w:rsidRDefault="00933CA6" w:rsidP="00933CA6">
      <w:pPr>
        <w:rPr>
          <w:rFonts w:ascii="Times New Roman" w:hAnsi="Times New Roman" w:cs="Times New Roman"/>
          <w:sz w:val="26"/>
          <w:szCs w:val="26"/>
        </w:rPr>
        <w:sectPr w:rsidR="00933CA6" w:rsidRPr="00933CA6" w:rsidSect="00933CA6">
          <w:footerReference w:type="default" r:id="rId10"/>
          <w:headerReference w:type="first" r:id="rId11"/>
          <w:pgSz w:w="12240" w:h="15840"/>
          <w:pgMar w:top="1440" w:right="1440" w:bottom="1440" w:left="1440" w:header="720" w:footer="720" w:gutter="0"/>
          <w:cols w:space="720"/>
          <w:titlePg/>
          <w:docGrid w:linePitch="360"/>
        </w:sectPr>
      </w:pPr>
    </w:p>
    <w:p w:rsidR="00523211" w:rsidRDefault="00CD6CD4">
      <w:pPr>
        <w:pStyle w:val="TOC1"/>
        <w:rPr>
          <w:rFonts w:asciiTheme="minorHAnsi" w:eastAsiaTheme="minorEastAsia" w:hAnsiTheme="minorHAnsi"/>
          <w:sz w:val="22"/>
        </w:rPr>
      </w:pPr>
      <w:r>
        <w:rPr>
          <w:rFonts w:cs="Times New Roman"/>
          <w:b/>
          <w:szCs w:val="26"/>
        </w:rPr>
        <w:lastRenderedPageBreak/>
        <w:fldChar w:fldCharType="begin"/>
      </w:r>
      <w:r w:rsidR="00F60FAA">
        <w:rPr>
          <w:rFonts w:cs="Times New Roman"/>
          <w:b/>
          <w:szCs w:val="26"/>
        </w:rPr>
        <w:instrText xml:space="preserve"> TOC \o "1-3" \u </w:instrText>
      </w:r>
      <w:r>
        <w:rPr>
          <w:rFonts w:cs="Times New Roman"/>
          <w:b/>
          <w:szCs w:val="26"/>
        </w:rPr>
        <w:fldChar w:fldCharType="separate"/>
      </w:r>
      <w:bookmarkStart w:id="0" w:name="_GoBack"/>
      <w:bookmarkEnd w:id="0"/>
      <w:r w:rsidR="00523211">
        <w:t>I.</w:t>
      </w:r>
      <w:r w:rsidR="00523211">
        <w:rPr>
          <w:rFonts w:asciiTheme="minorHAnsi" w:eastAsiaTheme="minorEastAsia" w:hAnsiTheme="minorHAnsi"/>
          <w:sz w:val="22"/>
        </w:rPr>
        <w:tab/>
      </w:r>
      <w:r w:rsidR="00523211">
        <w:t>INTRODUCTION</w:t>
      </w:r>
      <w:r w:rsidR="00523211">
        <w:tab/>
      </w:r>
      <w:r w:rsidR="00523211">
        <w:fldChar w:fldCharType="begin"/>
      </w:r>
      <w:r w:rsidR="00523211">
        <w:instrText xml:space="preserve"> PAGEREF _Toc360172954 \h </w:instrText>
      </w:r>
      <w:r w:rsidR="00523211">
        <w:fldChar w:fldCharType="separate"/>
      </w:r>
      <w:r w:rsidR="0092580D">
        <w:t>2</w:t>
      </w:r>
      <w:r w:rsidR="00523211">
        <w:fldChar w:fldCharType="end"/>
      </w:r>
    </w:p>
    <w:p w:rsidR="00523211" w:rsidRDefault="00523211">
      <w:pPr>
        <w:pStyle w:val="TOC1"/>
        <w:rPr>
          <w:rFonts w:asciiTheme="minorHAnsi" w:eastAsiaTheme="minorEastAsia" w:hAnsiTheme="minorHAnsi"/>
          <w:sz w:val="22"/>
        </w:rPr>
      </w:pPr>
      <w:r>
        <w:t>II.</w:t>
      </w:r>
      <w:r>
        <w:rPr>
          <w:rFonts w:asciiTheme="minorHAnsi" w:eastAsiaTheme="minorEastAsia" w:hAnsiTheme="minorHAnsi"/>
          <w:sz w:val="22"/>
        </w:rPr>
        <w:tab/>
      </w:r>
      <w:r>
        <w:t>DUKE’S CURRENT APPLICATION AND RELATED CASES</w:t>
      </w:r>
      <w:r>
        <w:tab/>
      </w:r>
      <w:r>
        <w:fldChar w:fldCharType="begin"/>
      </w:r>
      <w:r>
        <w:instrText xml:space="preserve"> PAGEREF _Toc360172955 \h </w:instrText>
      </w:r>
      <w:r>
        <w:fldChar w:fldCharType="separate"/>
      </w:r>
      <w:r w:rsidR="0092580D">
        <w:t>3</w:t>
      </w:r>
      <w:r>
        <w:fldChar w:fldCharType="end"/>
      </w:r>
    </w:p>
    <w:p w:rsidR="00523211" w:rsidRDefault="00523211">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Duke’s Current Application</w:t>
      </w:r>
      <w:r>
        <w:rPr>
          <w:noProof/>
        </w:rPr>
        <w:tab/>
      </w:r>
      <w:r>
        <w:rPr>
          <w:noProof/>
        </w:rPr>
        <w:fldChar w:fldCharType="begin"/>
      </w:r>
      <w:r>
        <w:rPr>
          <w:noProof/>
        </w:rPr>
        <w:instrText xml:space="preserve"> PAGEREF _Toc360172956 \h </w:instrText>
      </w:r>
      <w:r>
        <w:rPr>
          <w:noProof/>
        </w:rPr>
      </w:r>
      <w:r>
        <w:rPr>
          <w:noProof/>
        </w:rPr>
        <w:fldChar w:fldCharType="separate"/>
      </w:r>
      <w:r w:rsidR="0092580D">
        <w:rPr>
          <w:noProof/>
        </w:rPr>
        <w:t>3</w:t>
      </w:r>
      <w:r>
        <w:rPr>
          <w:noProof/>
        </w:rPr>
        <w:fldChar w:fldCharType="end"/>
      </w:r>
    </w:p>
    <w:p w:rsidR="00523211" w:rsidRDefault="00523211">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Duke’s 2011 ESP Stipulation</w:t>
      </w:r>
      <w:r>
        <w:rPr>
          <w:noProof/>
        </w:rPr>
        <w:tab/>
      </w:r>
      <w:r>
        <w:rPr>
          <w:noProof/>
        </w:rPr>
        <w:fldChar w:fldCharType="begin"/>
      </w:r>
      <w:r>
        <w:rPr>
          <w:noProof/>
        </w:rPr>
        <w:instrText xml:space="preserve"> PAGEREF _Toc360172957 \h </w:instrText>
      </w:r>
      <w:r>
        <w:rPr>
          <w:noProof/>
        </w:rPr>
      </w:r>
      <w:r>
        <w:rPr>
          <w:noProof/>
        </w:rPr>
        <w:fldChar w:fldCharType="separate"/>
      </w:r>
      <w:r w:rsidR="0092580D">
        <w:rPr>
          <w:noProof/>
        </w:rPr>
        <w:t>4</w:t>
      </w:r>
      <w:r>
        <w:rPr>
          <w:noProof/>
        </w:rPr>
        <w:fldChar w:fldCharType="end"/>
      </w:r>
    </w:p>
    <w:p w:rsidR="00523211" w:rsidRDefault="00523211">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Duke’s 2011 Transmission Case Stipulation</w:t>
      </w:r>
      <w:r>
        <w:rPr>
          <w:noProof/>
        </w:rPr>
        <w:tab/>
      </w:r>
      <w:r>
        <w:rPr>
          <w:noProof/>
        </w:rPr>
        <w:fldChar w:fldCharType="begin"/>
      </w:r>
      <w:r>
        <w:rPr>
          <w:noProof/>
        </w:rPr>
        <w:instrText xml:space="preserve"> PAGEREF _Toc360172958 \h </w:instrText>
      </w:r>
      <w:r>
        <w:rPr>
          <w:noProof/>
        </w:rPr>
      </w:r>
      <w:r>
        <w:rPr>
          <w:noProof/>
        </w:rPr>
        <w:fldChar w:fldCharType="separate"/>
      </w:r>
      <w:r w:rsidR="0092580D">
        <w:rPr>
          <w:noProof/>
        </w:rPr>
        <w:t>8</w:t>
      </w:r>
      <w:r>
        <w:rPr>
          <w:noProof/>
        </w:rPr>
        <w:fldChar w:fldCharType="end"/>
      </w:r>
    </w:p>
    <w:p w:rsidR="00523211" w:rsidRDefault="00523211">
      <w:pPr>
        <w:pStyle w:val="TOC2"/>
        <w:tabs>
          <w:tab w:val="left" w:pos="1440"/>
        </w:tabs>
        <w:rPr>
          <w:rFonts w:asciiTheme="minorHAnsi" w:eastAsiaTheme="minorEastAsia" w:hAnsiTheme="minorHAnsi"/>
          <w:noProof/>
          <w:sz w:val="22"/>
        </w:rPr>
      </w:pPr>
      <w:r>
        <w:rPr>
          <w:noProof/>
        </w:rPr>
        <w:t>D.</w:t>
      </w:r>
      <w:r>
        <w:rPr>
          <w:rFonts w:asciiTheme="minorHAnsi" w:eastAsiaTheme="minorEastAsia" w:hAnsiTheme="minorHAnsi"/>
          <w:noProof/>
          <w:sz w:val="22"/>
        </w:rPr>
        <w:tab/>
      </w:r>
      <w:r>
        <w:rPr>
          <w:noProof/>
        </w:rPr>
        <w:t>AEP’s Capacity and ESP Cases</w:t>
      </w:r>
      <w:r>
        <w:rPr>
          <w:noProof/>
        </w:rPr>
        <w:tab/>
      </w:r>
      <w:r>
        <w:rPr>
          <w:noProof/>
        </w:rPr>
        <w:fldChar w:fldCharType="begin"/>
      </w:r>
      <w:r>
        <w:rPr>
          <w:noProof/>
        </w:rPr>
        <w:instrText xml:space="preserve"> PAGEREF _Toc360172959 \h </w:instrText>
      </w:r>
      <w:r>
        <w:rPr>
          <w:noProof/>
        </w:rPr>
      </w:r>
      <w:r>
        <w:rPr>
          <w:noProof/>
        </w:rPr>
        <w:fldChar w:fldCharType="separate"/>
      </w:r>
      <w:r w:rsidR="0092580D">
        <w:rPr>
          <w:noProof/>
        </w:rPr>
        <w:t>9</w:t>
      </w:r>
      <w:r>
        <w:rPr>
          <w:noProof/>
        </w:rPr>
        <w:fldChar w:fldCharType="end"/>
      </w:r>
    </w:p>
    <w:p w:rsidR="00523211" w:rsidRDefault="00523211">
      <w:pPr>
        <w:pStyle w:val="TOC2"/>
        <w:tabs>
          <w:tab w:val="left" w:pos="1440"/>
        </w:tabs>
        <w:rPr>
          <w:rFonts w:asciiTheme="minorHAnsi" w:eastAsiaTheme="minorEastAsia" w:hAnsiTheme="minorHAnsi"/>
          <w:noProof/>
          <w:sz w:val="22"/>
        </w:rPr>
      </w:pPr>
      <w:r>
        <w:rPr>
          <w:noProof/>
        </w:rPr>
        <w:t>E.</w:t>
      </w:r>
      <w:r>
        <w:rPr>
          <w:rFonts w:asciiTheme="minorHAnsi" w:eastAsiaTheme="minorEastAsia" w:hAnsiTheme="minorHAnsi"/>
          <w:noProof/>
          <w:sz w:val="22"/>
        </w:rPr>
        <w:tab/>
      </w:r>
      <w:r>
        <w:rPr>
          <w:noProof/>
        </w:rPr>
        <w:t>Summary</w:t>
      </w:r>
      <w:r>
        <w:rPr>
          <w:noProof/>
        </w:rPr>
        <w:tab/>
      </w:r>
      <w:r>
        <w:rPr>
          <w:noProof/>
        </w:rPr>
        <w:fldChar w:fldCharType="begin"/>
      </w:r>
      <w:r>
        <w:rPr>
          <w:noProof/>
        </w:rPr>
        <w:instrText xml:space="preserve"> PAGEREF _Toc360172960 \h </w:instrText>
      </w:r>
      <w:r>
        <w:rPr>
          <w:noProof/>
        </w:rPr>
      </w:r>
      <w:r>
        <w:rPr>
          <w:noProof/>
        </w:rPr>
        <w:fldChar w:fldCharType="separate"/>
      </w:r>
      <w:r w:rsidR="0092580D">
        <w:rPr>
          <w:noProof/>
        </w:rPr>
        <w:t>11</w:t>
      </w:r>
      <w:r>
        <w:rPr>
          <w:noProof/>
        </w:rPr>
        <w:fldChar w:fldCharType="end"/>
      </w:r>
    </w:p>
    <w:p w:rsidR="00523211" w:rsidRDefault="00523211">
      <w:pPr>
        <w:pStyle w:val="TOC1"/>
        <w:rPr>
          <w:rFonts w:asciiTheme="minorHAnsi" w:eastAsiaTheme="minorEastAsia" w:hAnsiTheme="minorHAnsi"/>
          <w:sz w:val="22"/>
        </w:rPr>
      </w:pPr>
      <w:r>
        <w:t xml:space="preserve">II. </w:t>
      </w:r>
      <w:r>
        <w:rPr>
          <w:rFonts w:asciiTheme="minorHAnsi" w:eastAsiaTheme="minorEastAsia" w:hAnsiTheme="minorHAnsi"/>
          <w:sz w:val="22"/>
        </w:rPr>
        <w:tab/>
      </w:r>
      <w:r>
        <w:t>ARGUMENT</w:t>
      </w:r>
      <w:r>
        <w:tab/>
      </w:r>
      <w:r>
        <w:fldChar w:fldCharType="begin"/>
      </w:r>
      <w:r>
        <w:instrText xml:space="preserve"> PAGEREF _Toc360172961 \h </w:instrText>
      </w:r>
      <w:r>
        <w:fldChar w:fldCharType="separate"/>
      </w:r>
      <w:r w:rsidR="0092580D">
        <w:t>12</w:t>
      </w:r>
      <w:r>
        <w:fldChar w:fldCharType="end"/>
      </w:r>
    </w:p>
    <w:p w:rsidR="00523211" w:rsidRDefault="00523211">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Duke’s Application should be rejected because it improperly ignores the ESP Stipulation by asking the Commission to disregard the capacity pricing terms of the Stipulation in favor of a cost-based capacity charge.</w:t>
      </w:r>
      <w:r>
        <w:rPr>
          <w:noProof/>
        </w:rPr>
        <w:tab/>
      </w:r>
      <w:r>
        <w:rPr>
          <w:noProof/>
        </w:rPr>
        <w:fldChar w:fldCharType="begin"/>
      </w:r>
      <w:r>
        <w:rPr>
          <w:noProof/>
        </w:rPr>
        <w:instrText xml:space="preserve"> PAGEREF _Toc360172962 \h </w:instrText>
      </w:r>
      <w:r>
        <w:rPr>
          <w:noProof/>
        </w:rPr>
      </w:r>
      <w:r>
        <w:rPr>
          <w:noProof/>
        </w:rPr>
        <w:fldChar w:fldCharType="separate"/>
      </w:r>
      <w:r w:rsidR="0092580D">
        <w:rPr>
          <w:noProof/>
        </w:rPr>
        <w:t>12</w:t>
      </w:r>
      <w:r>
        <w:rPr>
          <w:noProof/>
        </w:rPr>
        <w:fldChar w:fldCharType="end"/>
      </w:r>
    </w:p>
    <w:p w:rsidR="00523211" w:rsidRDefault="00523211">
      <w:pPr>
        <w:pStyle w:val="TOC3"/>
        <w:tabs>
          <w:tab w:val="left" w:pos="2160"/>
        </w:tabs>
        <w:rPr>
          <w:rFonts w:asciiTheme="minorHAnsi" w:eastAsiaTheme="minorEastAsia" w:hAnsiTheme="minorHAnsi"/>
          <w:noProof/>
          <w:sz w:val="22"/>
        </w:rPr>
      </w:pPr>
      <w:r>
        <w:rPr>
          <w:noProof/>
        </w:rPr>
        <w:t>1.</w:t>
      </w:r>
      <w:r>
        <w:rPr>
          <w:rFonts w:asciiTheme="minorHAnsi" w:eastAsiaTheme="minorEastAsia" w:hAnsiTheme="minorHAnsi"/>
          <w:noProof/>
          <w:sz w:val="22"/>
        </w:rPr>
        <w:tab/>
      </w:r>
      <w:r>
        <w:rPr>
          <w:noProof/>
        </w:rPr>
        <w:t>The terms of the ESP Stipulation fully resolved Duke’s capacity pricing.</w:t>
      </w:r>
      <w:r>
        <w:rPr>
          <w:noProof/>
        </w:rPr>
        <w:tab/>
      </w:r>
      <w:r>
        <w:rPr>
          <w:noProof/>
        </w:rPr>
        <w:fldChar w:fldCharType="begin"/>
      </w:r>
      <w:r>
        <w:rPr>
          <w:noProof/>
        </w:rPr>
        <w:instrText xml:space="preserve"> PAGEREF _Toc360172963 \h </w:instrText>
      </w:r>
      <w:r>
        <w:rPr>
          <w:noProof/>
        </w:rPr>
      </w:r>
      <w:r>
        <w:rPr>
          <w:noProof/>
        </w:rPr>
        <w:fldChar w:fldCharType="separate"/>
      </w:r>
      <w:r w:rsidR="0092580D">
        <w:rPr>
          <w:noProof/>
        </w:rPr>
        <w:t>12</w:t>
      </w:r>
      <w:r>
        <w:rPr>
          <w:noProof/>
        </w:rPr>
        <w:fldChar w:fldCharType="end"/>
      </w:r>
    </w:p>
    <w:p w:rsidR="00523211" w:rsidRDefault="00523211">
      <w:pPr>
        <w:pStyle w:val="TOC3"/>
        <w:tabs>
          <w:tab w:val="left" w:pos="2160"/>
        </w:tabs>
        <w:rPr>
          <w:rFonts w:asciiTheme="minorHAnsi" w:eastAsiaTheme="minorEastAsia" w:hAnsiTheme="minorHAnsi"/>
          <w:noProof/>
          <w:sz w:val="22"/>
        </w:rPr>
      </w:pPr>
      <w:r w:rsidRPr="00F533F2">
        <w:rPr>
          <w:rFonts w:cs="Times New Roman"/>
          <w:noProof/>
        </w:rPr>
        <w:t>2.</w:t>
      </w:r>
      <w:r>
        <w:rPr>
          <w:rFonts w:asciiTheme="minorHAnsi" w:eastAsiaTheme="minorEastAsia" w:hAnsiTheme="minorHAnsi"/>
          <w:noProof/>
          <w:sz w:val="22"/>
        </w:rPr>
        <w:tab/>
      </w:r>
      <w:r w:rsidRPr="00F533F2">
        <w:rPr>
          <w:rFonts w:cs="Times New Roman"/>
          <w:noProof/>
        </w:rPr>
        <w:t>The Commission should uphold the integrity of the settlement process.</w:t>
      </w:r>
      <w:r>
        <w:rPr>
          <w:noProof/>
        </w:rPr>
        <w:tab/>
      </w:r>
      <w:r>
        <w:rPr>
          <w:noProof/>
        </w:rPr>
        <w:fldChar w:fldCharType="begin"/>
      </w:r>
      <w:r>
        <w:rPr>
          <w:noProof/>
        </w:rPr>
        <w:instrText xml:space="preserve"> PAGEREF _Toc360172964 \h </w:instrText>
      </w:r>
      <w:r>
        <w:rPr>
          <w:noProof/>
        </w:rPr>
      </w:r>
      <w:r>
        <w:rPr>
          <w:noProof/>
        </w:rPr>
        <w:fldChar w:fldCharType="separate"/>
      </w:r>
      <w:r w:rsidR="0092580D">
        <w:rPr>
          <w:noProof/>
        </w:rPr>
        <w:t>19</w:t>
      </w:r>
      <w:r>
        <w:rPr>
          <w:noProof/>
        </w:rPr>
        <w:fldChar w:fldCharType="end"/>
      </w:r>
    </w:p>
    <w:p w:rsidR="00523211" w:rsidRDefault="00523211">
      <w:pPr>
        <w:pStyle w:val="TOC3"/>
        <w:tabs>
          <w:tab w:val="left" w:pos="2160"/>
        </w:tabs>
        <w:rPr>
          <w:rFonts w:asciiTheme="minorHAnsi" w:eastAsiaTheme="minorEastAsia" w:hAnsiTheme="minorHAnsi"/>
          <w:noProof/>
          <w:sz w:val="22"/>
        </w:rPr>
      </w:pPr>
      <w:r>
        <w:rPr>
          <w:noProof/>
        </w:rPr>
        <w:t>3.</w:t>
      </w:r>
      <w:r>
        <w:rPr>
          <w:rFonts w:asciiTheme="minorHAnsi" w:eastAsiaTheme="minorEastAsia" w:hAnsiTheme="minorHAnsi"/>
          <w:noProof/>
          <w:sz w:val="22"/>
        </w:rPr>
        <w:tab/>
      </w:r>
      <w:r>
        <w:rPr>
          <w:noProof/>
        </w:rPr>
        <w:t>Public Policy supports the preservation of the ESP Stipulation.</w:t>
      </w:r>
      <w:r>
        <w:rPr>
          <w:noProof/>
        </w:rPr>
        <w:tab/>
      </w:r>
      <w:r>
        <w:rPr>
          <w:noProof/>
        </w:rPr>
        <w:fldChar w:fldCharType="begin"/>
      </w:r>
      <w:r>
        <w:rPr>
          <w:noProof/>
        </w:rPr>
        <w:instrText xml:space="preserve"> PAGEREF _Toc360172965 \h </w:instrText>
      </w:r>
      <w:r>
        <w:rPr>
          <w:noProof/>
        </w:rPr>
      </w:r>
      <w:r>
        <w:rPr>
          <w:noProof/>
        </w:rPr>
        <w:fldChar w:fldCharType="separate"/>
      </w:r>
      <w:r w:rsidR="0092580D">
        <w:rPr>
          <w:noProof/>
        </w:rPr>
        <w:t>21</w:t>
      </w:r>
      <w:r>
        <w:rPr>
          <w:noProof/>
        </w:rPr>
        <w:fldChar w:fldCharType="end"/>
      </w:r>
    </w:p>
    <w:p w:rsidR="00523211" w:rsidRDefault="00523211">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The Commission should reject Duke’s application because Duke failed to timely apply for rehearing of the Commission order approving the ESP Stipulation and failed to timely file an appeal.</w:t>
      </w:r>
      <w:r>
        <w:rPr>
          <w:noProof/>
        </w:rPr>
        <w:tab/>
      </w:r>
      <w:r>
        <w:rPr>
          <w:noProof/>
        </w:rPr>
        <w:fldChar w:fldCharType="begin"/>
      </w:r>
      <w:r>
        <w:rPr>
          <w:noProof/>
        </w:rPr>
        <w:instrText xml:space="preserve"> PAGEREF _Toc360172966 \h </w:instrText>
      </w:r>
      <w:r>
        <w:rPr>
          <w:noProof/>
        </w:rPr>
      </w:r>
      <w:r>
        <w:rPr>
          <w:noProof/>
        </w:rPr>
        <w:fldChar w:fldCharType="separate"/>
      </w:r>
      <w:r w:rsidR="0092580D">
        <w:rPr>
          <w:noProof/>
        </w:rPr>
        <w:t>22</w:t>
      </w:r>
      <w:r>
        <w:rPr>
          <w:noProof/>
        </w:rPr>
        <w:fldChar w:fldCharType="end"/>
      </w:r>
    </w:p>
    <w:p w:rsidR="00523211" w:rsidRDefault="00523211">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 xml:space="preserve">The doctrines of </w:t>
      </w:r>
      <w:r w:rsidRPr="00F533F2">
        <w:rPr>
          <w:i/>
          <w:noProof/>
        </w:rPr>
        <w:t>res judicata</w:t>
      </w:r>
      <w:r>
        <w:rPr>
          <w:noProof/>
        </w:rPr>
        <w:t xml:space="preserve"> and collateral estoppel preclude Duke from re-litigating the ESP where it agreed to RPM-based capacity pricing for CRES suppliers.</w:t>
      </w:r>
      <w:r>
        <w:rPr>
          <w:noProof/>
        </w:rPr>
        <w:tab/>
      </w:r>
      <w:r>
        <w:rPr>
          <w:noProof/>
        </w:rPr>
        <w:fldChar w:fldCharType="begin"/>
      </w:r>
      <w:r>
        <w:rPr>
          <w:noProof/>
        </w:rPr>
        <w:instrText xml:space="preserve"> PAGEREF _Toc360172967 \h </w:instrText>
      </w:r>
      <w:r>
        <w:rPr>
          <w:noProof/>
        </w:rPr>
      </w:r>
      <w:r>
        <w:rPr>
          <w:noProof/>
        </w:rPr>
        <w:fldChar w:fldCharType="separate"/>
      </w:r>
      <w:r w:rsidR="0092580D">
        <w:rPr>
          <w:noProof/>
        </w:rPr>
        <w:t>24</w:t>
      </w:r>
      <w:r>
        <w:rPr>
          <w:noProof/>
        </w:rPr>
        <w:fldChar w:fldCharType="end"/>
      </w:r>
    </w:p>
    <w:p w:rsidR="00523211" w:rsidRDefault="00523211">
      <w:pPr>
        <w:pStyle w:val="TOC1"/>
        <w:rPr>
          <w:rFonts w:asciiTheme="minorHAnsi" w:eastAsiaTheme="minorEastAsia" w:hAnsiTheme="minorHAnsi"/>
          <w:sz w:val="22"/>
        </w:rPr>
      </w:pPr>
      <w:r>
        <w:t xml:space="preserve">III. </w:t>
      </w:r>
      <w:r>
        <w:rPr>
          <w:rFonts w:asciiTheme="minorHAnsi" w:eastAsiaTheme="minorEastAsia" w:hAnsiTheme="minorHAnsi"/>
          <w:sz w:val="22"/>
        </w:rPr>
        <w:tab/>
      </w:r>
      <w:r>
        <w:t>CONCLUSION</w:t>
      </w:r>
      <w:r>
        <w:tab/>
      </w:r>
      <w:r>
        <w:fldChar w:fldCharType="begin"/>
      </w:r>
      <w:r>
        <w:instrText xml:space="preserve"> PAGEREF _Toc360172968 \h </w:instrText>
      </w:r>
      <w:r>
        <w:fldChar w:fldCharType="separate"/>
      </w:r>
      <w:r w:rsidR="0092580D">
        <w:t>28</w:t>
      </w:r>
      <w:r>
        <w:fldChar w:fldCharType="end"/>
      </w:r>
    </w:p>
    <w:p w:rsidR="00523211" w:rsidRDefault="00523211">
      <w:pPr>
        <w:pStyle w:val="TOC1"/>
        <w:rPr>
          <w:rFonts w:asciiTheme="minorHAnsi" w:eastAsiaTheme="minorEastAsia" w:hAnsiTheme="minorHAnsi"/>
          <w:sz w:val="22"/>
        </w:rPr>
      </w:pPr>
      <w:r>
        <w:t>CERTIFICATE OF SERVICE</w:t>
      </w:r>
      <w:r>
        <w:tab/>
      </w:r>
      <w:r>
        <w:fldChar w:fldCharType="begin"/>
      </w:r>
      <w:r>
        <w:instrText xml:space="preserve"> PAGEREF _Toc360172969 \h </w:instrText>
      </w:r>
      <w:r>
        <w:fldChar w:fldCharType="separate"/>
      </w:r>
      <w:r w:rsidR="0092580D">
        <w:t>29</w:t>
      </w:r>
      <w:r>
        <w:fldChar w:fldCharType="end"/>
      </w:r>
    </w:p>
    <w:p w:rsidR="00F60FAA" w:rsidRDefault="00CD6CD4" w:rsidP="00933CA6">
      <w:pPr>
        <w:rPr>
          <w:rFonts w:ascii="Times New Roman" w:hAnsi="Times New Roman" w:cs="Times New Roman"/>
          <w:b/>
          <w:sz w:val="26"/>
          <w:szCs w:val="26"/>
        </w:rPr>
      </w:pPr>
      <w:r>
        <w:rPr>
          <w:rFonts w:ascii="Times New Roman" w:hAnsi="Times New Roman" w:cs="Times New Roman"/>
          <w:b/>
          <w:sz w:val="26"/>
          <w:szCs w:val="26"/>
        </w:rPr>
        <w:fldChar w:fldCharType="end"/>
      </w:r>
    </w:p>
    <w:p w:rsidR="00F60FAA" w:rsidRPr="00933CA6" w:rsidRDefault="00F60FAA" w:rsidP="00933CA6">
      <w:pPr>
        <w:rPr>
          <w:rFonts w:ascii="Times New Roman" w:hAnsi="Times New Roman" w:cs="Times New Roman"/>
          <w:b/>
          <w:sz w:val="26"/>
          <w:szCs w:val="26"/>
        </w:rPr>
        <w:sectPr w:rsidR="00F60FAA" w:rsidRPr="00933CA6" w:rsidSect="00933CA6">
          <w:headerReference w:type="default" r:id="rId12"/>
          <w:footerReference w:type="default" r:id="rId13"/>
          <w:headerReference w:type="first" r:id="rId14"/>
          <w:pgSz w:w="12240" w:h="15840"/>
          <w:pgMar w:top="1440" w:right="1440" w:bottom="1440" w:left="1440" w:header="720" w:footer="720" w:gutter="0"/>
          <w:pgNumType w:fmt="lowerRoman" w:start="1"/>
          <w:cols w:space="720"/>
          <w:titlePg/>
          <w:docGrid w:linePitch="360"/>
        </w:sectPr>
      </w:pP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lastRenderedPageBreak/>
        <w:t>BEFORE</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rPr>
          <w:rFonts w:ascii="Times New Roman" w:hAnsi="Times New Roman" w:cs="Times New Roman"/>
          <w:sz w:val="26"/>
          <w:szCs w:val="26"/>
        </w:rPr>
      </w:pPr>
    </w:p>
    <w:tbl>
      <w:tblPr>
        <w:tblW w:w="8762" w:type="dxa"/>
        <w:tblLook w:val="04A0" w:firstRow="1" w:lastRow="0" w:firstColumn="1" w:lastColumn="0" w:noHBand="0" w:noVBand="1"/>
      </w:tblPr>
      <w:tblGrid>
        <w:gridCol w:w="4518"/>
        <w:gridCol w:w="360"/>
        <w:gridCol w:w="3884"/>
      </w:tblGrid>
      <w:tr w:rsidR="00933CA6" w:rsidRPr="00933CA6" w:rsidTr="00933CA6">
        <w:tc>
          <w:tcPr>
            <w:tcW w:w="4518" w:type="dxa"/>
            <w:shd w:val="clear" w:color="auto" w:fill="auto"/>
          </w:tcPr>
          <w:p w:rsidR="00933CA6" w:rsidRPr="00BA6FB3" w:rsidRDefault="00933CA6" w:rsidP="00BA6FB3">
            <w:pPr>
              <w:pStyle w:val="NoSpacing"/>
              <w:rPr>
                <w:rFonts w:ascii="Times New Roman" w:hAnsi="Times New Roman" w:cs="Times New Roman"/>
                <w:sz w:val="26"/>
                <w:szCs w:val="26"/>
              </w:rPr>
            </w:pPr>
            <w:r w:rsidRPr="00BA6FB3">
              <w:rPr>
                <w:rFonts w:ascii="Times New Roman" w:hAnsi="Times New Roman" w:cs="Times New Roman"/>
                <w:sz w:val="26"/>
                <w:szCs w:val="26"/>
              </w:rPr>
              <w:t>In the Matter of the Application of Duke Energy Ohio, Inc., for the Establishment of a Charge Pursuant to Revised Code Section 4909.18.</w:t>
            </w:r>
          </w:p>
        </w:tc>
        <w:tc>
          <w:tcPr>
            <w:tcW w:w="360" w:type="dxa"/>
          </w:tcPr>
          <w:p w:rsidR="00933CA6" w:rsidRPr="00933CA6" w:rsidRDefault="00933CA6" w:rsidP="00933CA6">
            <w:pPr>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933CA6" w:rsidRPr="00933CA6" w:rsidRDefault="00933CA6" w:rsidP="00933CA6">
            <w:pPr>
              <w:spacing w:after="0" w:line="240" w:lineRule="auto"/>
              <w:ind w:left="-288"/>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12-2400-EL-UNC</w:t>
            </w:r>
          </w:p>
        </w:tc>
      </w:tr>
      <w:tr w:rsidR="00933CA6" w:rsidRPr="00933CA6" w:rsidTr="00933CA6">
        <w:tc>
          <w:tcPr>
            <w:tcW w:w="4518" w:type="dxa"/>
            <w:shd w:val="clear" w:color="auto" w:fill="auto"/>
          </w:tcPr>
          <w:p w:rsidR="00933CA6" w:rsidRPr="00BA6FB3" w:rsidRDefault="00933CA6" w:rsidP="00BA6FB3">
            <w:pPr>
              <w:pStyle w:val="NoSpacing"/>
              <w:rPr>
                <w:rFonts w:ascii="Times New Roman" w:hAnsi="Times New Roman" w:cs="Times New Roman"/>
                <w:sz w:val="26"/>
                <w:szCs w:val="26"/>
              </w:rPr>
            </w:pPr>
            <w:r w:rsidRPr="00BA6FB3">
              <w:rPr>
                <w:rFonts w:ascii="Times New Roman" w:hAnsi="Times New Roman" w:cs="Times New Roman"/>
                <w:sz w:val="26"/>
                <w:szCs w:val="26"/>
              </w:rPr>
              <w:t>In the Matter of the Application of Duke Energy Ohio, Inc., for Approval to Change Certain Accounting Methods.</w:t>
            </w:r>
          </w:p>
          <w:p w:rsidR="00933CA6" w:rsidRPr="00BA6FB3" w:rsidRDefault="00933CA6" w:rsidP="00BA6FB3">
            <w:pPr>
              <w:pStyle w:val="NoSpacing"/>
              <w:rPr>
                <w:rFonts w:ascii="Times New Roman" w:hAnsi="Times New Roman" w:cs="Times New Roman"/>
                <w:sz w:val="26"/>
                <w:szCs w:val="26"/>
              </w:rPr>
            </w:pPr>
          </w:p>
          <w:p w:rsidR="00933CA6" w:rsidRPr="00BA6FB3" w:rsidRDefault="00933CA6" w:rsidP="00BA6FB3">
            <w:pPr>
              <w:pStyle w:val="NoSpacing"/>
              <w:rPr>
                <w:rFonts w:ascii="Times New Roman" w:hAnsi="Times New Roman" w:cs="Times New Roman"/>
                <w:sz w:val="26"/>
                <w:szCs w:val="26"/>
              </w:rPr>
            </w:pPr>
            <w:r w:rsidRPr="00BA6FB3">
              <w:rPr>
                <w:rFonts w:ascii="Times New Roman" w:hAnsi="Times New Roman" w:cs="Times New Roman"/>
                <w:sz w:val="26"/>
                <w:szCs w:val="26"/>
              </w:rPr>
              <w:t>In the Matter of the Application of Duke Energy Ohio, Inc., for the Approval of a Tariff for New Service.</w:t>
            </w:r>
          </w:p>
        </w:tc>
        <w:tc>
          <w:tcPr>
            <w:tcW w:w="360" w:type="dxa"/>
          </w:tcPr>
          <w:p w:rsidR="00933CA6" w:rsidRPr="00933CA6" w:rsidRDefault="00933CA6" w:rsidP="00933CA6">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p w:rsidR="00933CA6" w:rsidRPr="00933CA6" w:rsidRDefault="00933CA6" w:rsidP="00933CA6">
            <w:pPr>
              <w:spacing w:after="0" w:line="240" w:lineRule="auto"/>
              <w:rPr>
                <w:rFonts w:ascii="Times New Roman" w:hAnsi="Times New Roman" w:cs="Times New Roman"/>
                <w:sz w:val="26"/>
                <w:szCs w:val="26"/>
              </w:rPr>
            </w:pPr>
          </w:p>
          <w:p w:rsidR="00933CA6" w:rsidRPr="00933CA6" w:rsidRDefault="00933CA6" w:rsidP="00933CA6">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933CA6" w:rsidRPr="00933CA6" w:rsidRDefault="00933CA6" w:rsidP="00933CA6">
            <w:pPr>
              <w:spacing w:after="0" w:line="240" w:lineRule="auto"/>
              <w:ind w:left="-288"/>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12-2401-EL-AAM</w:t>
            </w: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p>
          <w:p w:rsidR="00933CA6" w:rsidRPr="00933CA6" w:rsidRDefault="00933CA6" w:rsidP="00933CA6">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12-2402-EL-ATA</w:t>
            </w:r>
          </w:p>
        </w:tc>
      </w:tr>
    </w:tbl>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933CA6" w:rsidRPr="00933CA6" w:rsidRDefault="00933CA6" w:rsidP="00933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INITIAL</w:t>
      </w:r>
      <w:r w:rsidR="00D50095">
        <w:rPr>
          <w:rFonts w:ascii="Times New Roman" w:hAnsi="Times New Roman" w:cs="Times New Roman"/>
          <w:b/>
          <w:sz w:val="28"/>
          <w:szCs w:val="28"/>
        </w:rPr>
        <w:t xml:space="preserve"> BRIEF</w:t>
      </w:r>
      <w:r w:rsidRPr="00933CA6">
        <w:rPr>
          <w:rFonts w:ascii="Times New Roman" w:hAnsi="Times New Roman" w:cs="Times New Roman"/>
          <w:b/>
          <w:sz w:val="28"/>
          <w:szCs w:val="28"/>
        </w:rPr>
        <w:t xml:space="preserve"> </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SUBMITTED ON BEHALF OF THE STAFF OF</w:t>
      </w:r>
    </w:p>
    <w:p w:rsidR="00933CA6" w:rsidRPr="00933CA6" w:rsidRDefault="00933CA6" w:rsidP="00933CA6">
      <w:pPr>
        <w:spacing w:after="0" w:line="240" w:lineRule="auto"/>
        <w:jc w:val="center"/>
        <w:rPr>
          <w:rFonts w:ascii="Times New Roman" w:hAnsi="Times New Roman" w:cs="Times New Roman"/>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F14C58" w:rsidRPr="00E1073B" w:rsidRDefault="00E1073B" w:rsidP="006167D8">
      <w:pPr>
        <w:pStyle w:val="Heading1"/>
      </w:pPr>
      <w:bookmarkStart w:id="1" w:name="_Toc339013414"/>
      <w:bookmarkStart w:id="2" w:name="_Toc360172954"/>
      <w:r>
        <w:t>I.</w:t>
      </w:r>
      <w:r>
        <w:tab/>
      </w:r>
      <w:r w:rsidR="00933CA6" w:rsidRPr="00E1073B">
        <w:t>INTRODUCTION</w:t>
      </w:r>
      <w:bookmarkEnd w:id="1"/>
      <w:bookmarkEnd w:id="2"/>
      <w:r w:rsidR="00CB5161" w:rsidRPr="00E1073B">
        <w:t xml:space="preserve"> </w:t>
      </w:r>
    </w:p>
    <w:p w:rsidR="007A0CED" w:rsidRPr="007B1ABF" w:rsidRDefault="001228C2" w:rsidP="00263A62">
      <w:pPr>
        <w:pStyle w:val="Textstyle"/>
      </w:pPr>
      <w:r>
        <w:tab/>
      </w:r>
      <w:r w:rsidR="00AD654F" w:rsidRPr="007B1ABF">
        <w:t>In</w:t>
      </w:r>
      <w:r w:rsidR="007B1ABF">
        <w:t xml:space="preserve"> October </w:t>
      </w:r>
      <w:r w:rsidR="00AD654F" w:rsidRPr="007B1ABF">
        <w:t xml:space="preserve">2011, </w:t>
      </w:r>
      <w:r w:rsidR="007B1ABF">
        <w:t>Duke Energy Ohio Inc. (</w:t>
      </w:r>
      <w:r w:rsidR="00E106B2">
        <w:t>“</w:t>
      </w:r>
      <w:r w:rsidR="007B1ABF">
        <w:t>Duke</w:t>
      </w:r>
      <w:r w:rsidR="00E106B2">
        <w:t>”</w:t>
      </w:r>
      <w:r w:rsidR="007B1ABF">
        <w:t>)</w:t>
      </w:r>
      <w:r w:rsidR="00AD654F" w:rsidRPr="007B1ABF">
        <w:t xml:space="preserve"> and 30 parties</w:t>
      </w:r>
      <w:r w:rsidR="007B1ABF">
        <w:t>, including</w:t>
      </w:r>
      <w:r w:rsidR="00AD654F" w:rsidRPr="007B1ABF">
        <w:t xml:space="preserve"> </w:t>
      </w:r>
      <w:r w:rsidR="007B1ABF">
        <w:t>Staff</w:t>
      </w:r>
      <w:r w:rsidR="00A4262F">
        <w:t xml:space="preserve"> and members of each customer class</w:t>
      </w:r>
      <w:r w:rsidR="007B1ABF">
        <w:t>, signed a Stipulation</w:t>
      </w:r>
      <w:r w:rsidR="00AD654F" w:rsidRPr="007B1ABF">
        <w:t xml:space="preserve"> resolving Duke’s electric security plan</w:t>
      </w:r>
      <w:r w:rsidR="007B1ABF">
        <w:t xml:space="preserve"> case</w:t>
      </w:r>
      <w:r w:rsidR="00551DEF">
        <w:t xml:space="preserve"> </w:t>
      </w:r>
      <w:r w:rsidR="00551DEF" w:rsidRPr="007B1ABF">
        <w:t>(</w:t>
      </w:r>
      <w:r w:rsidR="00E106B2">
        <w:t>“</w:t>
      </w:r>
      <w:r w:rsidR="00551DEF" w:rsidRPr="007B1ABF">
        <w:t>ESP</w:t>
      </w:r>
      <w:r w:rsidR="00E106B2">
        <w:t>”</w:t>
      </w:r>
      <w:r w:rsidR="00551DEF" w:rsidRPr="007B1ABF">
        <w:t>)</w:t>
      </w:r>
      <w:r w:rsidR="00AD654F" w:rsidRPr="007B1ABF">
        <w:t>.</w:t>
      </w:r>
      <w:r w:rsidR="00632F5A" w:rsidRPr="007B1ABF">
        <w:rPr>
          <w:rStyle w:val="FootnoteReference"/>
        </w:rPr>
        <w:footnoteReference w:id="1"/>
      </w:r>
      <w:r w:rsidR="00AD654F" w:rsidRPr="007B1ABF">
        <w:t xml:space="preserve"> </w:t>
      </w:r>
      <w:r w:rsidR="00F14C58" w:rsidRPr="007B1ABF">
        <w:t xml:space="preserve"> </w:t>
      </w:r>
      <w:r w:rsidR="007B1ABF">
        <w:t>The</w:t>
      </w:r>
      <w:r w:rsidR="00551DEF">
        <w:t xml:space="preserve"> stipulated ESP</w:t>
      </w:r>
      <w:r w:rsidR="00AD654F" w:rsidRPr="007B1ABF">
        <w:t xml:space="preserve"> established the rates</w:t>
      </w:r>
      <w:r w:rsidR="007B1ABF">
        <w:t xml:space="preserve"> for residential, com</w:t>
      </w:r>
      <w:r w:rsidR="00275FA9">
        <w:softHyphen/>
      </w:r>
      <w:r w:rsidR="007B1ABF">
        <w:t>mercial, and industrial customer</w:t>
      </w:r>
      <w:r w:rsidR="00A4262F">
        <w:t>s</w:t>
      </w:r>
      <w:r w:rsidR="007B1ABF">
        <w:t xml:space="preserve"> in</w:t>
      </w:r>
      <w:r w:rsidR="00AD654F" w:rsidRPr="007B1ABF">
        <w:t xml:space="preserve"> Duke’s service area to b</w:t>
      </w:r>
      <w:r w:rsidR="007B1ABF">
        <w:t>e paid over a three year period</w:t>
      </w:r>
      <w:r w:rsidR="00A4262F">
        <w:t xml:space="preserve"> ending in May</w:t>
      </w:r>
      <w:r w:rsidR="00AD654F" w:rsidRPr="007B1ABF">
        <w:t xml:space="preserve"> 2015. </w:t>
      </w:r>
      <w:r w:rsidR="007B1ABF">
        <w:t xml:space="preserve"> </w:t>
      </w:r>
      <w:r w:rsidR="00A4262F">
        <w:t xml:space="preserve">As part of </w:t>
      </w:r>
      <w:r w:rsidR="007B1ABF">
        <w:t>the</w:t>
      </w:r>
      <w:r w:rsidR="00F35BF4">
        <w:t xml:space="preserve"> ESP Stipulation</w:t>
      </w:r>
      <w:r w:rsidR="00A4262F">
        <w:t xml:space="preserve"> terms, the parties agreed that </w:t>
      </w:r>
      <w:r w:rsidR="00A4262F">
        <w:lastRenderedPageBreak/>
        <w:t>Duke was permitted</w:t>
      </w:r>
      <w:r w:rsidR="00AD654F" w:rsidRPr="007B1ABF">
        <w:t xml:space="preserve"> to collect $330 million from customers for its Electric Stability Service Charge (</w:t>
      </w:r>
      <w:r w:rsidR="00E106B2">
        <w:t>“</w:t>
      </w:r>
      <w:r w:rsidR="00AD654F" w:rsidRPr="007B1ABF">
        <w:t>ESSC</w:t>
      </w:r>
      <w:r w:rsidR="00E106B2">
        <w:t>”</w:t>
      </w:r>
      <w:r w:rsidR="00AD654F" w:rsidRPr="007B1ABF">
        <w:t>)</w:t>
      </w:r>
      <w:r w:rsidR="00F35BF4">
        <w:t xml:space="preserve"> settling the issue</w:t>
      </w:r>
      <w:r w:rsidR="00C75351">
        <w:t xml:space="preserve"> of</w:t>
      </w:r>
      <w:r w:rsidR="00F35BF4">
        <w:t xml:space="preserve"> Duke’s capacity revenues.</w:t>
      </w:r>
      <w:r w:rsidR="00E322A0">
        <w:rPr>
          <w:rStyle w:val="FootnoteReference"/>
        </w:rPr>
        <w:footnoteReference w:id="2"/>
      </w:r>
      <w:r w:rsidR="00734642">
        <w:t xml:space="preserve">  </w:t>
      </w:r>
      <w:r w:rsidR="00F35BF4">
        <w:t xml:space="preserve"> </w:t>
      </w:r>
      <w:r w:rsidR="00734642" w:rsidRPr="00837886">
        <w:t>Duke</w:t>
      </w:r>
      <w:r w:rsidR="00734642">
        <w:t xml:space="preserve"> further</w:t>
      </w:r>
      <w:r w:rsidR="00734642" w:rsidRPr="00837886">
        <w:t xml:space="preserve"> agreed to provide capacity and agreed to be compensated for its</w:t>
      </w:r>
      <w:r w:rsidR="006A313D">
        <w:t xml:space="preserve"> Fixed Resource Requirement</w:t>
      </w:r>
      <w:r w:rsidR="00734642" w:rsidRPr="00837886">
        <w:t xml:space="preserve"> </w:t>
      </w:r>
      <w:r w:rsidR="00734642">
        <w:t>(</w:t>
      </w:r>
      <w:r w:rsidR="00E106B2">
        <w:t>“</w:t>
      </w:r>
      <w:r w:rsidR="00734642" w:rsidRPr="00837886">
        <w:t>FRR</w:t>
      </w:r>
      <w:r w:rsidR="00E106B2">
        <w:t>”</w:t>
      </w:r>
      <w:r w:rsidR="00734642">
        <w:t>)</w:t>
      </w:r>
      <w:r w:rsidR="00BB6767">
        <w:t xml:space="preserve"> obligation based on the PJM Reliability Pricing M</w:t>
      </w:r>
      <w:r w:rsidR="00734642" w:rsidRPr="00837886">
        <w:t>odel</w:t>
      </w:r>
      <w:r w:rsidR="00BB6767">
        <w:t xml:space="preserve"> (</w:t>
      </w:r>
      <w:r w:rsidR="00E106B2">
        <w:t>“</w:t>
      </w:r>
      <w:r w:rsidR="00BB6767">
        <w:t>RPM</w:t>
      </w:r>
      <w:r w:rsidR="00E106B2">
        <w:t>”</w:t>
      </w:r>
      <w:r w:rsidR="00BB6767">
        <w:t>)</w:t>
      </w:r>
      <w:r w:rsidR="00734642" w:rsidRPr="00837886">
        <w:t>.</w:t>
      </w:r>
      <w:r w:rsidR="00E322A0">
        <w:rPr>
          <w:rStyle w:val="FootnoteReference"/>
        </w:rPr>
        <w:footnoteReference w:id="3"/>
      </w:r>
      <w:r w:rsidR="00DE374B">
        <w:t xml:space="preserve"> </w:t>
      </w:r>
      <w:r w:rsidR="00734642" w:rsidRPr="007B1ABF">
        <w:t xml:space="preserve"> </w:t>
      </w:r>
      <w:r w:rsidR="00BB6767">
        <w:t xml:space="preserve">In other words, the </w:t>
      </w:r>
      <w:r w:rsidR="00BB6767" w:rsidRPr="006A170E">
        <w:t>issue of compensation for</w:t>
      </w:r>
      <w:r w:rsidR="00BB6767">
        <w:t xml:space="preserve"> Duke’s </w:t>
      </w:r>
      <w:r w:rsidR="00BB6767" w:rsidRPr="006A170E">
        <w:t xml:space="preserve">capacity services was addressed and fully resolved </w:t>
      </w:r>
      <w:r w:rsidR="00BB6767">
        <w:t xml:space="preserve">in Duke’s </w:t>
      </w:r>
      <w:r w:rsidR="00BB6767" w:rsidRPr="006A170E">
        <w:t>ESP</w:t>
      </w:r>
      <w:r w:rsidR="00BB6767">
        <w:t xml:space="preserve"> proceeding</w:t>
      </w:r>
      <w:r w:rsidR="00BB6767" w:rsidRPr="006A170E">
        <w:t>.</w:t>
      </w:r>
      <w:r w:rsidR="00BB6767">
        <w:t xml:space="preserve">  </w:t>
      </w:r>
      <w:r w:rsidR="00F35BF4">
        <w:t xml:space="preserve">   </w:t>
      </w:r>
      <w:r w:rsidR="00AD654F" w:rsidRPr="007B1ABF">
        <w:t xml:space="preserve"> </w:t>
      </w:r>
    </w:p>
    <w:p w:rsidR="00AD654F" w:rsidRDefault="001228C2" w:rsidP="00263A62">
      <w:pPr>
        <w:pStyle w:val="Textstyle"/>
      </w:pPr>
      <w:r>
        <w:tab/>
      </w:r>
      <w:r w:rsidR="00BB6767">
        <w:t>Despite this, in August 2012</w:t>
      </w:r>
      <w:r w:rsidR="00F35BF4">
        <w:t xml:space="preserve">, </w:t>
      </w:r>
      <w:r w:rsidR="00AD654F" w:rsidRPr="007B1ABF">
        <w:t>Duke filed an application</w:t>
      </w:r>
      <w:r w:rsidR="00A4262F">
        <w:t xml:space="preserve"> in this case</w:t>
      </w:r>
      <w:r w:rsidR="00AD654F" w:rsidRPr="007B1ABF">
        <w:t xml:space="preserve"> seek</w:t>
      </w:r>
      <w:r w:rsidR="00A4262F">
        <w:t>ing</w:t>
      </w:r>
      <w:r w:rsidR="00F35BF4">
        <w:t xml:space="preserve"> to mod</w:t>
      </w:r>
      <w:r w:rsidR="00E61F5E">
        <w:softHyphen/>
      </w:r>
      <w:r w:rsidR="00F35BF4">
        <w:t>ify the ESP Stipulation by charging</w:t>
      </w:r>
      <w:r w:rsidR="005048BE">
        <w:t xml:space="preserve"> an additional $729</w:t>
      </w:r>
      <w:r w:rsidR="00AD654F" w:rsidRPr="007B1ABF">
        <w:t xml:space="preserve"> million</w:t>
      </w:r>
      <w:r w:rsidR="00E1073B">
        <w:t xml:space="preserve"> </w:t>
      </w:r>
      <w:r w:rsidR="00C75351">
        <w:t>in</w:t>
      </w:r>
      <w:r w:rsidR="00E1073B" w:rsidRPr="007B1ABF">
        <w:t xml:space="preserve"> capacity revenues from its retail customers</w:t>
      </w:r>
      <w:r w:rsidR="00AD654F" w:rsidRPr="007B1ABF">
        <w:t>.</w:t>
      </w:r>
      <w:r w:rsidR="00E322A0">
        <w:rPr>
          <w:rStyle w:val="FootnoteReference"/>
        </w:rPr>
        <w:footnoteReference w:id="4"/>
      </w:r>
      <w:r w:rsidR="00AA5E0D">
        <w:t xml:space="preserve">  </w:t>
      </w:r>
      <w:r w:rsidR="00E1073B">
        <w:t>Duke’s new</w:t>
      </w:r>
      <w:r w:rsidR="00C75351">
        <w:t xml:space="preserve"> proposal ignore</w:t>
      </w:r>
      <w:r w:rsidR="00A06E0A">
        <w:t>s prior</w:t>
      </w:r>
      <w:r w:rsidR="00AD654F" w:rsidRPr="007B1ABF">
        <w:t xml:space="preserve"> settlement</w:t>
      </w:r>
      <w:r w:rsidR="00A4262F">
        <w:t xml:space="preserve"> agreement</w:t>
      </w:r>
      <w:r w:rsidR="00A06E0A">
        <w:t>s</w:t>
      </w:r>
      <w:r w:rsidR="00A4262F">
        <w:t>,</w:t>
      </w:r>
      <w:r w:rsidR="00EE3034">
        <w:t xml:space="preserve"> defies</w:t>
      </w:r>
      <w:r w:rsidR="00AD654F" w:rsidRPr="007B1ABF">
        <w:t xml:space="preserve"> state pol</w:t>
      </w:r>
      <w:r w:rsidR="00E1073B">
        <w:t>icies supporting settlements, and undermines</w:t>
      </w:r>
      <w:r w:rsidR="00AD654F" w:rsidRPr="007B1ABF">
        <w:t xml:space="preserve"> the finality </w:t>
      </w:r>
      <w:r w:rsidR="00E1073B">
        <w:t>of the Public Utilities Com</w:t>
      </w:r>
      <w:r w:rsidR="00275FA9">
        <w:softHyphen/>
      </w:r>
      <w:r w:rsidR="00E1073B">
        <w:t>mission of Ohio’s (</w:t>
      </w:r>
      <w:r w:rsidR="00E106B2">
        <w:t>“</w:t>
      </w:r>
      <w:r w:rsidR="00E1073B">
        <w:t>Commission</w:t>
      </w:r>
      <w:r w:rsidR="000E6143">
        <w:t>’s</w:t>
      </w:r>
      <w:r w:rsidR="00E106B2">
        <w:t>”</w:t>
      </w:r>
      <w:r w:rsidR="00E1073B">
        <w:t xml:space="preserve">) orders.  </w:t>
      </w:r>
      <w:r w:rsidR="00AD654F" w:rsidRPr="007B1ABF">
        <w:t>Duke’s application should be</w:t>
      </w:r>
      <w:r w:rsidR="00E1073B">
        <w:t xml:space="preserve"> denied</w:t>
      </w:r>
      <w:r w:rsidR="00AD654F" w:rsidRPr="007B1ABF">
        <w:t>.</w:t>
      </w:r>
    </w:p>
    <w:p w:rsidR="00AD654F" w:rsidRDefault="00A06E0A" w:rsidP="006167D8">
      <w:pPr>
        <w:pStyle w:val="Heading1"/>
      </w:pPr>
      <w:bookmarkStart w:id="3" w:name="_Toc360172955"/>
      <w:r>
        <w:t>II.</w:t>
      </w:r>
      <w:r>
        <w:tab/>
      </w:r>
      <w:r w:rsidR="007B2FB7">
        <w:t xml:space="preserve">DUKE’S CURRENT APPLICATION </w:t>
      </w:r>
      <w:r w:rsidR="00991BF1">
        <w:t>AND RELATED CASES</w:t>
      </w:r>
      <w:bookmarkEnd w:id="3"/>
    </w:p>
    <w:p w:rsidR="00E74D6D" w:rsidRPr="006167D8" w:rsidRDefault="001228C2" w:rsidP="001228C2">
      <w:pPr>
        <w:pStyle w:val="Heading2"/>
      </w:pPr>
      <w:bookmarkStart w:id="4" w:name="_Toc360172956"/>
      <w:r>
        <w:t>A.</w:t>
      </w:r>
      <w:r>
        <w:tab/>
      </w:r>
      <w:r w:rsidR="00E74D6D" w:rsidRPr="006167D8">
        <w:t xml:space="preserve">Duke’s </w:t>
      </w:r>
      <w:r w:rsidR="00A47440" w:rsidRPr="006167D8">
        <w:t xml:space="preserve">Current </w:t>
      </w:r>
      <w:r w:rsidR="00E74D6D" w:rsidRPr="006167D8">
        <w:t>Application</w:t>
      </w:r>
      <w:bookmarkEnd w:id="4"/>
      <w:r w:rsidR="00E74D6D" w:rsidRPr="006167D8">
        <w:t xml:space="preserve">  </w:t>
      </w:r>
    </w:p>
    <w:p w:rsidR="00E74D6D" w:rsidRPr="007B1ABF" w:rsidRDefault="001228C2" w:rsidP="00263A62">
      <w:pPr>
        <w:pStyle w:val="Textstyle"/>
      </w:pPr>
      <w:r>
        <w:tab/>
      </w:r>
      <w:r w:rsidR="00E74D6D" w:rsidRPr="007B1ABF">
        <w:t>Duke</w:t>
      </w:r>
      <w:r w:rsidR="00E74D6D">
        <w:t>’s current</w:t>
      </w:r>
      <w:r w:rsidR="00E74D6D" w:rsidRPr="007B1ABF">
        <w:t xml:space="preserve"> Application</w:t>
      </w:r>
      <w:r w:rsidR="00E74D6D">
        <w:t xml:space="preserve"> asks</w:t>
      </w:r>
      <w:r w:rsidR="00E74D6D" w:rsidRPr="007B1ABF">
        <w:t xml:space="preserve"> to collect fr</w:t>
      </w:r>
      <w:r w:rsidR="005048BE">
        <w:t xml:space="preserve">om customers an additional $729 </w:t>
      </w:r>
      <w:r w:rsidR="00E74D6D" w:rsidRPr="007B1ABF">
        <w:t xml:space="preserve">million of capacity revenues. </w:t>
      </w:r>
      <w:r w:rsidR="00A06E0A">
        <w:t xml:space="preserve"> </w:t>
      </w:r>
      <w:r w:rsidR="00445E0D">
        <w:t>Duke seeks</w:t>
      </w:r>
      <w:r w:rsidR="00E74D6D" w:rsidRPr="007B1ABF">
        <w:t xml:space="preserve"> a Commission Order</w:t>
      </w:r>
      <w:r w:rsidR="00EA6DCD">
        <w:t xml:space="preserve"> that: (1) establishes</w:t>
      </w:r>
      <w:r w:rsidR="00E74D6D" w:rsidRPr="007B1ABF">
        <w:t xml:space="preserve"> a cost</w:t>
      </w:r>
      <w:r w:rsidR="00445E0D">
        <w:t>-based charge for its capacity;</w:t>
      </w:r>
      <w:r w:rsidR="00EA6DCD">
        <w:t xml:space="preserve"> (2) authorizes a</w:t>
      </w:r>
      <w:r w:rsidR="00E74D6D" w:rsidRPr="007B1ABF">
        <w:t xml:space="preserve"> defer</w:t>
      </w:r>
      <w:r w:rsidR="00EA6DCD">
        <w:t>ral for</w:t>
      </w:r>
      <w:r w:rsidR="00E74D6D" w:rsidRPr="007B1ABF">
        <w:t xml:space="preserve"> the difference between the revenues currently being charge</w:t>
      </w:r>
      <w:r w:rsidR="00445E0D">
        <w:t>d and its cost of capacity; and</w:t>
      </w:r>
      <w:r w:rsidR="00EA6DCD">
        <w:t xml:space="preserve"> (3) approves</w:t>
      </w:r>
      <w:r w:rsidR="00E74D6D" w:rsidRPr="007B1ABF">
        <w:t xml:space="preserve"> a new place</w:t>
      </w:r>
      <w:r w:rsidR="00275FA9">
        <w:softHyphen/>
      </w:r>
      <w:r w:rsidR="00E74D6D" w:rsidRPr="007B1ABF">
        <w:t>holde</w:t>
      </w:r>
      <w:r w:rsidR="00445E0D">
        <w:t xml:space="preserve">r tariff to allow </w:t>
      </w:r>
      <w:r w:rsidR="00E74D6D" w:rsidRPr="007B1ABF">
        <w:t>future re</w:t>
      </w:r>
      <w:r w:rsidR="00445E0D">
        <w:t>covery of the deferred amounts.</w:t>
      </w:r>
      <w:r w:rsidR="00E74D6D" w:rsidRPr="007B1ABF">
        <w:rPr>
          <w:rStyle w:val="FootnoteReference"/>
        </w:rPr>
        <w:footnoteReference w:id="5"/>
      </w:r>
      <w:r w:rsidR="00E74D6D" w:rsidRPr="007B1ABF">
        <w:t xml:space="preserve">  </w:t>
      </w:r>
    </w:p>
    <w:p w:rsidR="00E74D6D" w:rsidRPr="00E74D6D" w:rsidRDefault="001228C2" w:rsidP="00263A62">
      <w:pPr>
        <w:pStyle w:val="Textstyle"/>
      </w:pPr>
      <w:r>
        <w:tab/>
      </w:r>
      <w:r w:rsidR="00E74D6D" w:rsidRPr="007B1ABF">
        <w:t>Duke</w:t>
      </w:r>
      <w:r w:rsidR="00A06E0A">
        <w:t xml:space="preserve"> states</w:t>
      </w:r>
      <w:r w:rsidR="00E74D6D" w:rsidRPr="007B1ABF">
        <w:t xml:space="preserve"> that it will request approval to begin collecting the deferred amounts, plus carrying charges, in a subsequent proceeding</w:t>
      </w:r>
      <w:r w:rsidR="00BB6767">
        <w:t>.</w:t>
      </w:r>
      <w:r w:rsidR="00B665DF">
        <w:t xml:space="preserve">  Comments opposing Duke’s applica</w:t>
      </w:r>
      <w:r w:rsidR="00E61F5E">
        <w:softHyphen/>
      </w:r>
      <w:r w:rsidR="00B665DF">
        <w:t>tion were filed in this docket and a hearing was held from</w:t>
      </w:r>
      <w:r w:rsidR="00BB6767">
        <w:t xml:space="preserve"> April</w:t>
      </w:r>
      <w:r w:rsidR="00F62C4C">
        <w:t xml:space="preserve"> 15, 2013</w:t>
      </w:r>
      <w:r w:rsidR="007B2FB7">
        <w:t xml:space="preserve"> to</w:t>
      </w:r>
      <w:r w:rsidR="00F62C4C">
        <w:t xml:space="preserve"> May</w:t>
      </w:r>
      <w:r w:rsidR="006515BB">
        <w:t> </w:t>
      </w:r>
      <w:r w:rsidR="007B2FB7">
        <w:t>21</w:t>
      </w:r>
      <w:r w:rsidR="00BB6767">
        <w:t>, 2013.</w:t>
      </w:r>
      <w:r w:rsidR="00BB6767" w:rsidRPr="007B1ABF">
        <w:t xml:space="preserve"> </w:t>
      </w:r>
      <w:r w:rsidR="00E53264">
        <w:t xml:space="preserve">  </w:t>
      </w:r>
    </w:p>
    <w:p w:rsidR="00BB38A4" w:rsidRPr="00E74D6D" w:rsidRDefault="001228C2" w:rsidP="001228C2">
      <w:pPr>
        <w:pStyle w:val="Heading2"/>
      </w:pPr>
      <w:bookmarkStart w:id="5" w:name="_Toc360172957"/>
      <w:r>
        <w:t>B.</w:t>
      </w:r>
      <w:r>
        <w:tab/>
      </w:r>
      <w:r w:rsidR="006B5263" w:rsidRPr="00E74D6D">
        <w:t>Duke’s</w:t>
      </w:r>
      <w:r w:rsidR="008C41EF" w:rsidRPr="00E74D6D">
        <w:t xml:space="preserve"> </w:t>
      </w:r>
      <w:r w:rsidR="00A47440">
        <w:t xml:space="preserve">2011 </w:t>
      </w:r>
      <w:r w:rsidR="008C41EF" w:rsidRPr="00E74D6D">
        <w:t>ESP Stipulation</w:t>
      </w:r>
      <w:bookmarkEnd w:id="5"/>
      <w:r w:rsidR="004A72E3" w:rsidRPr="00E74D6D">
        <w:t xml:space="preserve"> </w:t>
      </w:r>
    </w:p>
    <w:p w:rsidR="007A0CED" w:rsidRPr="007B1ABF" w:rsidRDefault="001228C2" w:rsidP="00263A62">
      <w:pPr>
        <w:pStyle w:val="Textstyle"/>
        <w:rPr>
          <w:color w:val="000000"/>
        </w:rPr>
      </w:pPr>
      <w:r>
        <w:tab/>
      </w:r>
      <w:r w:rsidR="00E1073B">
        <w:t>In June</w:t>
      </w:r>
      <w:r w:rsidR="00AD654F" w:rsidRPr="007B1ABF">
        <w:t xml:space="preserve"> 2011, Duke filed an application for authority to establish a standard service offer (</w:t>
      </w:r>
      <w:r w:rsidR="00E106B2">
        <w:t>“</w:t>
      </w:r>
      <w:r w:rsidR="00AD654F" w:rsidRPr="007B1ABF">
        <w:t>SSO</w:t>
      </w:r>
      <w:r w:rsidR="00E106B2">
        <w:t>”</w:t>
      </w:r>
      <w:r w:rsidR="00AD654F" w:rsidRPr="007B1ABF">
        <w:t>) in the form of an electric security plan</w:t>
      </w:r>
      <w:r w:rsidR="00F35BF4">
        <w:t xml:space="preserve"> </w:t>
      </w:r>
      <w:r w:rsidR="00F35BF4" w:rsidRPr="007B1ABF">
        <w:t>(</w:t>
      </w:r>
      <w:r w:rsidR="00E106B2">
        <w:t>“</w:t>
      </w:r>
      <w:r w:rsidR="00F35BF4" w:rsidRPr="007B1ABF">
        <w:t>ESP</w:t>
      </w:r>
      <w:r w:rsidR="00E106B2">
        <w:t>”</w:t>
      </w:r>
      <w:r w:rsidR="00F35BF4" w:rsidRPr="007B1ABF">
        <w:t>)</w:t>
      </w:r>
      <w:r w:rsidR="00AD654F" w:rsidRPr="007B1ABF">
        <w:t>.</w:t>
      </w:r>
      <w:r w:rsidR="00632F5A" w:rsidRPr="007B1ABF">
        <w:rPr>
          <w:rStyle w:val="FootnoteReference"/>
        </w:rPr>
        <w:footnoteReference w:id="6"/>
      </w:r>
      <w:r w:rsidR="00062C65">
        <w:t xml:space="preserve"> </w:t>
      </w:r>
      <w:r w:rsidR="00F35BF4">
        <w:t xml:space="preserve"> </w:t>
      </w:r>
      <w:r w:rsidR="00062C65">
        <w:t>In that</w:t>
      </w:r>
      <w:r w:rsidR="00F35BF4">
        <w:t xml:space="preserve"> ESP</w:t>
      </w:r>
      <w:r w:rsidR="00062C65">
        <w:t xml:space="preserve"> </w:t>
      </w:r>
      <w:r w:rsidR="00EA6DCD">
        <w:t>A</w:t>
      </w:r>
      <w:r w:rsidR="00AD654F" w:rsidRPr="007B1ABF">
        <w:t>ppli</w:t>
      </w:r>
      <w:r w:rsidR="00275FA9">
        <w:softHyphen/>
      </w:r>
      <w:r w:rsidR="00AD654F" w:rsidRPr="007B1ABF">
        <w:t xml:space="preserve">cation, Duke proposed to collect its costs of providing capacity to all </w:t>
      </w:r>
      <w:r w:rsidR="00AD654F" w:rsidRPr="007B1ABF">
        <w:rPr>
          <w:color w:val="000000"/>
        </w:rPr>
        <w:t>customers in its territory, plus a reasonable rate of return, on a non-bypassable basis.</w:t>
      </w:r>
      <w:r w:rsidR="00632F5A" w:rsidRPr="007B1ABF">
        <w:rPr>
          <w:rStyle w:val="FootnoteReference"/>
          <w:color w:val="000000"/>
        </w:rPr>
        <w:footnoteReference w:id="7"/>
      </w:r>
      <w:r w:rsidR="00AD654F" w:rsidRPr="007B1ABF">
        <w:rPr>
          <w:color w:val="000000"/>
        </w:rPr>
        <w:t xml:space="preserve"> </w:t>
      </w:r>
      <w:r w:rsidR="00F97594" w:rsidRPr="007B1ABF">
        <w:rPr>
          <w:color w:val="000000"/>
        </w:rPr>
        <w:t xml:space="preserve"> </w:t>
      </w:r>
      <w:r w:rsidR="00AD654F" w:rsidRPr="007B1ABF">
        <w:rPr>
          <w:color w:val="000000"/>
        </w:rPr>
        <w:t>Duke proposed that the cost of its capacity would be based on its election to provide capacity in PJM as a</w:t>
      </w:r>
      <w:r w:rsidR="00062C65">
        <w:rPr>
          <w:color w:val="000000"/>
        </w:rPr>
        <w:t xml:space="preserve"> cost-based</w:t>
      </w:r>
      <w:r w:rsidR="00AD654F" w:rsidRPr="007B1ABF">
        <w:rPr>
          <w:color w:val="000000"/>
        </w:rPr>
        <w:t xml:space="preserve"> </w:t>
      </w:r>
      <w:r w:rsidR="00BB6767">
        <w:rPr>
          <w:color w:val="000000"/>
        </w:rPr>
        <w:t>FRR</w:t>
      </w:r>
      <w:r w:rsidR="00AD654F" w:rsidRPr="007B1ABF">
        <w:rPr>
          <w:color w:val="000000"/>
        </w:rPr>
        <w:t xml:space="preserve"> entity who self</w:t>
      </w:r>
      <w:r w:rsidR="00F97594" w:rsidRPr="007B1ABF">
        <w:rPr>
          <w:color w:val="000000"/>
        </w:rPr>
        <w:t>-</w:t>
      </w:r>
      <w:r w:rsidR="00062C65">
        <w:rPr>
          <w:color w:val="000000"/>
        </w:rPr>
        <w:t>supplies all of its</w:t>
      </w:r>
      <w:r w:rsidR="00AD654F" w:rsidRPr="007B1ABF">
        <w:rPr>
          <w:color w:val="000000"/>
        </w:rPr>
        <w:t xml:space="preserve"> capacity</w:t>
      </w:r>
      <w:r w:rsidR="00062C65">
        <w:rPr>
          <w:color w:val="000000"/>
        </w:rPr>
        <w:t>,</w:t>
      </w:r>
      <w:r w:rsidR="00AD654F" w:rsidRPr="007B1ABF">
        <w:rPr>
          <w:color w:val="000000"/>
        </w:rPr>
        <w:t xml:space="preserve"> as opposed to the market-based </w:t>
      </w:r>
      <w:r w:rsidR="00BB6767">
        <w:rPr>
          <w:color w:val="000000"/>
        </w:rPr>
        <w:t>RPM</w:t>
      </w:r>
      <w:r w:rsidR="00AD654F" w:rsidRPr="007B1ABF">
        <w:rPr>
          <w:color w:val="000000"/>
        </w:rPr>
        <w:t xml:space="preserve"> auction rate for capacity provided to CRES providers to serve</w:t>
      </w:r>
      <w:r w:rsidR="00062C65">
        <w:rPr>
          <w:color w:val="000000"/>
        </w:rPr>
        <w:t xml:space="preserve"> its</w:t>
      </w:r>
      <w:r w:rsidR="00AD654F" w:rsidRPr="007B1ABF">
        <w:rPr>
          <w:color w:val="000000"/>
        </w:rPr>
        <w:t xml:space="preserve"> shopping load. </w:t>
      </w:r>
    </w:p>
    <w:p w:rsidR="00481566" w:rsidRDefault="001228C2" w:rsidP="00263A62">
      <w:pPr>
        <w:pStyle w:val="Textstyle"/>
        <w:rPr>
          <w:color w:val="212121"/>
        </w:rPr>
      </w:pPr>
      <w:r>
        <w:tab/>
      </w:r>
      <w:r w:rsidR="00420B0F">
        <w:t>I</w:t>
      </w:r>
      <w:r w:rsidR="00AD654F" w:rsidRPr="007B1ABF">
        <w:t xml:space="preserve">n its </w:t>
      </w:r>
      <w:r w:rsidR="00420B0F">
        <w:t>ESP Application</w:t>
      </w:r>
      <w:r w:rsidR="00AD654F" w:rsidRPr="007B1ABF">
        <w:t>, Duke relied upon the PJM Reliability Assurance Agree</w:t>
      </w:r>
      <w:r w:rsidR="00275FA9">
        <w:softHyphen/>
      </w:r>
      <w:r w:rsidR="00AD654F" w:rsidRPr="007B1ABF">
        <w:t>ment (</w:t>
      </w:r>
      <w:r w:rsidR="00E106B2">
        <w:t>“</w:t>
      </w:r>
      <w:r w:rsidR="00AD654F" w:rsidRPr="007B1ABF">
        <w:t>RAA</w:t>
      </w:r>
      <w:r w:rsidR="00E106B2">
        <w:t>”</w:t>
      </w:r>
      <w:r w:rsidR="00AD654F" w:rsidRPr="007B1ABF">
        <w:t>) as legal authority for the Commission to establish a cost</w:t>
      </w:r>
      <w:r w:rsidR="00F97594" w:rsidRPr="007B1ABF">
        <w:t>-</w:t>
      </w:r>
      <w:r w:rsidR="00AD654F" w:rsidRPr="007B1ABF">
        <w:t>based rate as th</w:t>
      </w:r>
      <w:r w:rsidR="00275FA9">
        <w:t>e state compensation mechanism.</w:t>
      </w:r>
      <w:r w:rsidR="00632F5A" w:rsidRPr="007B1ABF">
        <w:rPr>
          <w:rStyle w:val="FootnoteReference"/>
          <w:color w:val="000000"/>
        </w:rPr>
        <w:footnoteReference w:id="8"/>
      </w:r>
      <w:r w:rsidR="00AD654F" w:rsidRPr="007B1ABF">
        <w:t xml:space="preserve"> </w:t>
      </w:r>
      <w:r w:rsidR="00420B0F">
        <w:t xml:space="preserve"> Duke witness Trent</w:t>
      </w:r>
      <w:r w:rsidR="00AD654F" w:rsidRPr="007B1ABF">
        <w:t xml:space="preserve"> explained</w:t>
      </w:r>
      <w:r w:rsidR="00EA6DCD">
        <w:t xml:space="preserve"> in his testimony</w:t>
      </w:r>
      <w:r w:rsidR="00AD654F" w:rsidRPr="007B1ABF">
        <w:t xml:space="preserve"> </w:t>
      </w:r>
      <w:r w:rsidR="00EA6DCD">
        <w:t>that Duke’s</w:t>
      </w:r>
      <w:r w:rsidR="00AD654F" w:rsidRPr="007B1ABF">
        <w:t xml:space="preserve"> proposal for a cost-based capacity charg</w:t>
      </w:r>
      <w:r w:rsidR="00420B0F">
        <w:t>e was authorized by the PJM RAA</w:t>
      </w:r>
      <w:r w:rsidR="00AD654F" w:rsidRPr="007B1ABF">
        <w:rPr>
          <w:color w:val="212121"/>
        </w:rPr>
        <w:t>.</w:t>
      </w:r>
      <w:r w:rsidR="00632F5A" w:rsidRPr="007B1ABF">
        <w:rPr>
          <w:rStyle w:val="FootnoteReference"/>
          <w:color w:val="212121"/>
        </w:rPr>
        <w:footnoteReference w:id="9"/>
      </w:r>
      <w:r w:rsidR="00AD654F" w:rsidRPr="007B1ABF">
        <w:rPr>
          <w:color w:val="212121"/>
        </w:rPr>
        <w:t xml:space="preserve"> </w:t>
      </w:r>
    </w:p>
    <w:p w:rsidR="007A0CED" w:rsidRPr="00894EEB" w:rsidRDefault="001228C2" w:rsidP="00263A62">
      <w:pPr>
        <w:pStyle w:val="Textstyle"/>
      </w:pPr>
      <w:r>
        <w:tab/>
      </w:r>
      <w:r w:rsidR="004612AD" w:rsidRPr="00EC6DC9">
        <w:t>The</w:t>
      </w:r>
      <w:r w:rsidR="00481566" w:rsidRPr="00EC6DC9">
        <w:t xml:space="preserve"> ESP Plan</w:t>
      </w:r>
      <w:r w:rsidR="004612AD" w:rsidRPr="00EC6DC9">
        <w:t xml:space="preserve"> </w:t>
      </w:r>
      <w:r w:rsidR="00481566" w:rsidRPr="00EC6DC9">
        <w:t xml:space="preserve">Duke proposed </w:t>
      </w:r>
      <w:r w:rsidR="004612AD" w:rsidRPr="00EC6DC9">
        <w:t>had a</w:t>
      </w:r>
      <w:r w:rsidR="00B65E57" w:rsidRPr="00EC6DC9">
        <w:t>n actual</w:t>
      </w:r>
      <w:r w:rsidR="004612AD" w:rsidRPr="00EC6DC9">
        <w:t xml:space="preserve"> term of </w:t>
      </w:r>
      <w:r w:rsidR="00481566" w:rsidRPr="00EC6DC9">
        <w:t>9 years and 5 months</w:t>
      </w:r>
      <w:r w:rsidR="004612AD" w:rsidRPr="00EC6DC9">
        <w:t>.</w:t>
      </w:r>
      <w:r w:rsidR="005E2483" w:rsidRPr="00EC6DC9">
        <w:rPr>
          <w:rStyle w:val="FootnoteReference"/>
        </w:rPr>
        <w:footnoteReference w:id="10"/>
      </w:r>
      <w:r w:rsidR="004612AD" w:rsidRPr="00EC6DC9">
        <w:t xml:space="preserve">  </w:t>
      </w:r>
      <w:r w:rsidR="004612AD" w:rsidRPr="006C2140">
        <w:t>Duke’s proposed</w:t>
      </w:r>
      <w:r w:rsidR="00481566" w:rsidRPr="006C2140">
        <w:t xml:space="preserve"> plan limited the scope of retail competition to energy, while charging customers a cost-based price for capacity </w:t>
      </w:r>
      <w:r w:rsidR="00C601A4" w:rsidRPr="006C2140">
        <w:t>(its embedded cost of supply</w:t>
      </w:r>
      <w:r w:rsidR="00C601A4" w:rsidRPr="00926581">
        <w:rPr>
          <w:rStyle w:val="FootnoteReference"/>
          <w:sz w:val="24"/>
          <w:szCs w:val="24"/>
        </w:rPr>
        <w:footnoteReference w:id="11"/>
      </w:r>
      <w:r w:rsidR="00C601A4" w:rsidRPr="006C2140">
        <w:t xml:space="preserve">) </w:t>
      </w:r>
      <w:r w:rsidR="00481566" w:rsidRPr="006C2140">
        <w:t>through a non-bypassable rider (</w:t>
      </w:r>
      <w:r w:rsidR="00E106B2">
        <w:t>“</w:t>
      </w:r>
      <w:r w:rsidR="00481566" w:rsidRPr="006C2140">
        <w:t>Rider RC</w:t>
      </w:r>
      <w:r w:rsidR="00E106B2">
        <w:t>”</w:t>
      </w:r>
      <w:r w:rsidR="00481566" w:rsidRPr="006C2140">
        <w:t>).</w:t>
      </w:r>
      <w:r w:rsidR="005E2483" w:rsidRPr="006C2140">
        <w:rPr>
          <w:rStyle w:val="FootnoteReference"/>
        </w:rPr>
        <w:footnoteReference w:id="12"/>
      </w:r>
      <w:r w:rsidR="00481566" w:rsidRPr="006C2140">
        <w:t xml:space="preserve">  </w:t>
      </w:r>
      <w:r w:rsidR="001242BC" w:rsidRPr="006C2140">
        <w:t>Duke recognized</w:t>
      </w:r>
      <w:r w:rsidR="00754369" w:rsidRPr="006C2140">
        <w:t>, at the time,</w:t>
      </w:r>
      <w:r w:rsidR="001242BC" w:rsidRPr="006C2140">
        <w:t xml:space="preserve"> that the wholesale capac</w:t>
      </w:r>
      <w:r w:rsidR="00E61F5E">
        <w:softHyphen/>
      </w:r>
      <w:r w:rsidR="001242BC" w:rsidRPr="006C2140">
        <w:t>ity market was both unpredictable and volatile.</w:t>
      </w:r>
      <w:r w:rsidR="00CD4339" w:rsidRPr="006C2140">
        <w:rPr>
          <w:rStyle w:val="FootnoteReference"/>
        </w:rPr>
        <w:footnoteReference w:id="13"/>
      </w:r>
      <w:r w:rsidR="001242BC" w:rsidRPr="006C2140">
        <w:t xml:space="preserve">  </w:t>
      </w:r>
      <w:r w:rsidR="00754369" w:rsidRPr="006C2140">
        <w:t>Duke acknowledged through testimony in support of its application</w:t>
      </w:r>
      <w:r w:rsidR="00EC781F" w:rsidRPr="006C2140">
        <w:t xml:space="preserve"> that</w:t>
      </w:r>
      <w:r w:rsidR="00754369" w:rsidRPr="006C2140">
        <w:t xml:space="preserve"> it had </w:t>
      </w:r>
      <w:r w:rsidR="00851F14" w:rsidRPr="006C2140">
        <w:t xml:space="preserve">alternative </w:t>
      </w:r>
      <w:r w:rsidR="00754369" w:rsidRPr="006C2140">
        <w:t xml:space="preserve">capacity pricing options available under the RAA </w:t>
      </w:r>
      <w:r w:rsidR="0040300C" w:rsidRPr="006C2140">
        <w:t xml:space="preserve">that </w:t>
      </w:r>
      <w:r w:rsidR="00754369" w:rsidRPr="006C2140">
        <w:t>Duke could pursue</w:t>
      </w:r>
      <w:r w:rsidR="006E37C0" w:rsidRPr="006C2140">
        <w:t xml:space="preserve"> as an FRR entity</w:t>
      </w:r>
      <w:r w:rsidR="00754369" w:rsidRPr="006C2140">
        <w:t>.</w:t>
      </w:r>
      <w:r w:rsidR="00754369" w:rsidRPr="006C2140">
        <w:rPr>
          <w:rStyle w:val="FootnoteReference"/>
        </w:rPr>
        <w:footnoteReference w:id="14"/>
      </w:r>
      <w:r w:rsidR="00754369" w:rsidRPr="00894EEB">
        <w:t xml:space="preserve">   </w:t>
      </w:r>
      <w:r w:rsidR="001242BC" w:rsidRPr="00894EEB">
        <w:t xml:space="preserve">  </w:t>
      </w:r>
      <w:r w:rsidR="00481566" w:rsidRPr="00894EEB">
        <w:t xml:space="preserve"> </w:t>
      </w:r>
      <w:r w:rsidR="00F97594" w:rsidRPr="00894EEB">
        <w:t xml:space="preserve"> </w:t>
      </w:r>
    </w:p>
    <w:p w:rsidR="00934BBF" w:rsidRPr="003B5FEE" w:rsidRDefault="001228C2" w:rsidP="00263A62">
      <w:pPr>
        <w:pStyle w:val="Textstyle"/>
      </w:pPr>
      <w:r>
        <w:tab/>
      </w:r>
      <w:r w:rsidR="00EA6DCD">
        <w:t>Lengthy s</w:t>
      </w:r>
      <w:r w:rsidR="00420B0F">
        <w:t>ettlement negotiations significantly modified</w:t>
      </w:r>
      <w:r w:rsidR="00AD654F" w:rsidRPr="007B1ABF">
        <w:t xml:space="preserve"> Duke’s </w:t>
      </w:r>
      <w:r w:rsidR="00F35BF4">
        <w:t xml:space="preserve">original </w:t>
      </w:r>
      <w:r w:rsidR="00EA6DCD">
        <w:t xml:space="preserve">ESP </w:t>
      </w:r>
      <w:r w:rsidR="00AD654F" w:rsidRPr="007B1ABF">
        <w:t>pro</w:t>
      </w:r>
      <w:r w:rsidR="00275FA9">
        <w:softHyphen/>
      </w:r>
      <w:r w:rsidR="00AD654F" w:rsidRPr="007B1ABF">
        <w:t>posal, including its plan to charge</w:t>
      </w:r>
      <w:r w:rsidR="00AD654F" w:rsidRPr="007B1ABF">
        <w:rPr>
          <w:color w:val="212121"/>
        </w:rPr>
        <w:t xml:space="preserve"> </w:t>
      </w:r>
      <w:r w:rsidR="00EA6DCD">
        <w:rPr>
          <w:color w:val="212121"/>
        </w:rPr>
        <w:t>Competitive Retail Electric Service (</w:t>
      </w:r>
      <w:r w:rsidR="00E106B2">
        <w:rPr>
          <w:color w:val="212121"/>
        </w:rPr>
        <w:t>“</w:t>
      </w:r>
      <w:r w:rsidR="00AD654F" w:rsidRPr="007B1ABF">
        <w:t>CRES</w:t>
      </w:r>
      <w:r w:rsidR="00E106B2">
        <w:t>”</w:t>
      </w:r>
      <w:r w:rsidR="00EA6DCD">
        <w:t>)</w:t>
      </w:r>
      <w:r w:rsidR="00AD654F" w:rsidRPr="007B1ABF">
        <w:t xml:space="preserve"> provid</w:t>
      </w:r>
      <w:r w:rsidR="00275FA9">
        <w:softHyphen/>
      </w:r>
      <w:r w:rsidR="00AD654F" w:rsidRPr="007B1ABF">
        <w:t>ers for capacity needed to serve shopping</w:t>
      </w:r>
      <w:r w:rsidR="00AD654F" w:rsidRPr="007B1ABF">
        <w:rPr>
          <w:color w:val="212121"/>
        </w:rPr>
        <w:t xml:space="preserve"> </w:t>
      </w:r>
      <w:r w:rsidR="00AD654F" w:rsidRPr="007B1ABF">
        <w:t xml:space="preserve">customers. </w:t>
      </w:r>
      <w:r w:rsidR="00420B0F">
        <w:t xml:space="preserve"> </w:t>
      </w:r>
      <w:r w:rsidR="00F35BF4">
        <w:t>The</w:t>
      </w:r>
      <w:r w:rsidR="00AD654F" w:rsidRPr="007B1ABF">
        <w:t xml:space="preserve"> Stipulation was supported by Duke and</w:t>
      </w:r>
      <w:r w:rsidR="00AD654F" w:rsidRPr="007B1ABF">
        <w:rPr>
          <w:color w:val="212121"/>
        </w:rPr>
        <w:t xml:space="preserve"> </w:t>
      </w:r>
      <w:r w:rsidR="00420B0F">
        <w:t>30 of the 34 parties</w:t>
      </w:r>
      <w:r w:rsidR="00AD654F" w:rsidRPr="007B1ABF">
        <w:t xml:space="preserve"> in the proceeding.</w:t>
      </w:r>
      <w:r w:rsidR="00632F5A" w:rsidRPr="007B1ABF">
        <w:rPr>
          <w:rStyle w:val="FootnoteReference"/>
          <w:color w:val="000000"/>
        </w:rPr>
        <w:footnoteReference w:id="15"/>
      </w:r>
      <w:r w:rsidR="00BB38A4">
        <w:t xml:space="preserve">  A</w:t>
      </w:r>
      <w:r w:rsidR="00F97594" w:rsidRPr="007B1ABF">
        <w:rPr>
          <w:color w:val="212121"/>
        </w:rPr>
        <w:t xml:space="preserve"> </w:t>
      </w:r>
      <w:r w:rsidR="00EA6DCD">
        <w:t xml:space="preserve">major ESP </w:t>
      </w:r>
      <w:r w:rsidR="00BB38A4">
        <w:t>settlement term, as it relates to this</w:t>
      </w:r>
      <w:r w:rsidR="00EA6DCD">
        <w:t xml:space="preserve"> current</w:t>
      </w:r>
      <w:r w:rsidR="00BB38A4">
        <w:t xml:space="preserve"> proceeding,</w:t>
      </w:r>
      <w:r w:rsidR="00EA6DCD">
        <w:t xml:space="preserve"> established</w:t>
      </w:r>
      <w:r w:rsidR="00AD654F" w:rsidRPr="007B1ABF">
        <w:rPr>
          <w:color w:val="212121"/>
        </w:rPr>
        <w:t xml:space="preserve"> </w:t>
      </w:r>
      <w:r w:rsidR="00AD654F" w:rsidRPr="007B1ABF">
        <w:t>t</w:t>
      </w:r>
      <w:r w:rsidR="00EA6DCD">
        <w:t>he wholesale capacity charge for Duke to charge</w:t>
      </w:r>
      <w:r w:rsidR="00AD654F" w:rsidRPr="007B1ABF">
        <w:t xml:space="preserve"> CRES providers. </w:t>
      </w:r>
      <w:r w:rsidR="00097334">
        <w:t xml:space="preserve"> </w:t>
      </w:r>
      <w:r w:rsidR="00AD654F" w:rsidRPr="007B1ABF">
        <w:t>Instead of the cost-based capacity</w:t>
      </w:r>
      <w:r w:rsidR="00632F5A" w:rsidRPr="007B1ABF">
        <w:rPr>
          <w:color w:val="212121"/>
        </w:rPr>
        <w:t xml:space="preserve"> </w:t>
      </w:r>
      <w:r w:rsidR="00AD654F" w:rsidRPr="007B1ABF">
        <w:t>charge that had been pro</w:t>
      </w:r>
      <w:r w:rsidR="00275FA9">
        <w:softHyphen/>
      </w:r>
      <w:r w:rsidR="00AD654F" w:rsidRPr="007B1ABF">
        <w:t>posed in Duke’s ESP Application, the Stipulation expressly adopted capacity priced at RPM prices</w:t>
      </w:r>
      <w:r w:rsidR="008C41EF">
        <w:t>.</w:t>
      </w:r>
      <w:r w:rsidR="00632F5A" w:rsidRPr="007B1ABF">
        <w:rPr>
          <w:rStyle w:val="FootnoteReference"/>
        </w:rPr>
        <w:footnoteReference w:id="16"/>
      </w:r>
      <w:r w:rsidR="00AD654F" w:rsidRPr="007B1ABF">
        <w:t xml:space="preserve"> </w:t>
      </w:r>
      <w:r w:rsidR="008C41EF">
        <w:t xml:space="preserve"> </w:t>
      </w:r>
      <w:r w:rsidR="00EC781F">
        <w:t>Duke w</w:t>
      </w:r>
      <w:r w:rsidR="00AD654F" w:rsidRPr="007B1ABF">
        <w:t>itness Janson,</w:t>
      </w:r>
      <w:r w:rsidR="00F875B2">
        <w:t xml:space="preserve"> in her testimony</w:t>
      </w:r>
      <w:r w:rsidR="00AD654F" w:rsidRPr="007B1ABF">
        <w:t xml:space="preserve"> in support of the Stipulation</w:t>
      </w:r>
      <w:r w:rsidR="003B5FEE">
        <w:t>,</w:t>
      </w:r>
      <w:r w:rsidR="008C41EF">
        <w:t xml:space="preserve"> con</w:t>
      </w:r>
      <w:r w:rsidR="00275FA9">
        <w:softHyphen/>
      </w:r>
      <w:r w:rsidR="008C41EF">
        <w:t>firmed</w:t>
      </w:r>
      <w:r w:rsidR="00AD654F" w:rsidRPr="007B1ABF">
        <w:t xml:space="preserve"> that Duke agreed to be compensated fo</w:t>
      </w:r>
      <w:r w:rsidR="008C41EF">
        <w:t>r capacity based on RPM prices.</w:t>
      </w:r>
      <w:r w:rsidR="00DC512C" w:rsidRPr="007B1ABF">
        <w:rPr>
          <w:rStyle w:val="FootnoteReference"/>
        </w:rPr>
        <w:footnoteReference w:id="17"/>
      </w:r>
      <w:r w:rsidR="00AD654F" w:rsidRPr="007B1ABF">
        <w:t xml:space="preserve"> </w:t>
      </w:r>
      <w:r w:rsidR="00F97594" w:rsidRPr="007B1ABF">
        <w:t xml:space="preserve"> </w:t>
      </w:r>
      <w:r w:rsidR="00EC781F">
        <w:t>Like</w:t>
      </w:r>
      <w:r w:rsidR="00E61F5E">
        <w:softHyphen/>
      </w:r>
      <w:r w:rsidR="00EC781F">
        <w:t>wise, Staff w</w:t>
      </w:r>
      <w:r w:rsidR="00FA248B">
        <w:t>itness Turkenton, in her testimony in support of the Stipulation, also con</w:t>
      </w:r>
      <w:r w:rsidR="00E61F5E">
        <w:softHyphen/>
      </w:r>
      <w:r w:rsidR="00FA248B">
        <w:t>firmed that Duke agreed to be compensated for capacity based on RPM prices.</w:t>
      </w:r>
      <w:r w:rsidR="00FA248B">
        <w:rPr>
          <w:rStyle w:val="FootnoteReference"/>
        </w:rPr>
        <w:footnoteReference w:id="18"/>
      </w:r>
      <w:r w:rsidR="00FA248B">
        <w:t xml:space="preserve">  </w:t>
      </w:r>
      <w:r w:rsidR="00BB38A4">
        <w:t>T</w:t>
      </w:r>
      <w:r w:rsidR="00AD654F" w:rsidRPr="007B1ABF">
        <w:t>he</w:t>
      </w:r>
      <w:r w:rsidR="00EA6DCD">
        <w:t xml:space="preserve"> </w:t>
      </w:r>
      <w:r w:rsidR="00BB38A4">
        <w:t>Stip</w:t>
      </w:r>
      <w:r w:rsidR="00275FA9">
        <w:softHyphen/>
      </w:r>
      <w:r w:rsidR="00BB38A4">
        <w:t>ulation</w:t>
      </w:r>
      <w:r w:rsidR="00F875B2">
        <w:t xml:space="preserve"> language</w:t>
      </w:r>
      <w:r w:rsidR="004D1493">
        <w:t xml:space="preserve"> coupled with</w:t>
      </w:r>
      <w:r w:rsidR="00BB38A4">
        <w:t xml:space="preserve"> Duke</w:t>
      </w:r>
      <w:r w:rsidR="00B665DF">
        <w:t xml:space="preserve"> and Staff t</w:t>
      </w:r>
      <w:r w:rsidR="00FA248B">
        <w:t>estimony</w:t>
      </w:r>
      <w:r w:rsidR="004D1493">
        <w:t xml:space="preserve"> from the ESP </w:t>
      </w:r>
      <w:r w:rsidR="00D60CEE">
        <w:t>proceeding</w:t>
      </w:r>
      <w:r w:rsidR="006438D4">
        <w:t xml:space="preserve"> confirm </w:t>
      </w:r>
      <w:r w:rsidR="00AD654F" w:rsidRPr="007B1ABF">
        <w:t>that Duke agreed to provide capacity</w:t>
      </w:r>
      <w:r w:rsidR="009A219A">
        <w:t xml:space="preserve"> and agreed to be compensated</w:t>
      </w:r>
      <w:r w:rsidR="00AD654F" w:rsidRPr="007B1ABF">
        <w:t xml:space="preserve"> for its</w:t>
      </w:r>
      <w:r w:rsidR="00EA6DCD">
        <w:t xml:space="preserve"> FRR</w:t>
      </w:r>
      <w:r w:rsidR="00AD654F" w:rsidRPr="007B1ABF">
        <w:t xml:space="preserve"> obligation based on the PJM reliability pricing model.</w:t>
      </w:r>
      <w:r w:rsidR="00F97594" w:rsidRPr="007B1ABF">
        <w:t xml:space="preserve"> </w:t>
      </w:r>
      <w:r w:rsidR="00AD654F" w:rsidRPr="007B1ABF">
        <w:t xml:space="preserve"> </w:t>
      </w:r>
    </w:p>
    <w:p w:rsidR="008F1634" w:rsidRDefault="001228C2" w:rsidP="00263A62">
      <w:pPr>
        <w:pStyle w:val="Textstyle"/>
      </w:pPr>
      <w:r>
        <w:tab/>
      </w:r>
      <w:r w:rsidR="00EA6DCD">
        <w:t>To balance</w:t>
      </w:r>
      <w:r w:rsidR="008C41EF">
        <w:t xml:space="preserve"> low RPM pricing, t</w:t>
      </w:r>
      <w:r w:rsidR="00AD654F" w:rsidRPr="007B1ABF">
        <w:t>he Signatory Parties agreed to pay Duke $110 mi</w:t>
      </w:r>
      <w:r w:rsidR="00EA6DCD">
        <w:t>l</w:t>
      </w:r>
      <w:r w:rsidR="00275FA9">
        <w:softHyphen/>
      </w:r>
      <w:r w:rsidR="00EA6DCD">
        <w:t xml:space="preserve">lion per year for three years </w:t>
      </w:r>
      <w:r w:rsidR="00AD654F" w:rsidRPr="007B1ABF">
        <w:t>to provide stability and certainty regarding Duke’s provision of retail electric service as an FRR entity while conti</w:t>
      </w:r>
      <w:r w:rsidR="00E53264">
        <w:t xml:space="preserve">nuing </w:t>
      </w:r>
      <w:r w:rsidR="00EA6DCD">
        <w:t>to operate under an ESP.</w:t>
      </w:r>
      <w:r w:rsidR="00E53264">
        <w:t xml:space="preserve">  </w:t>
      </w:r>
      <w:r w:rsidR="00AD654F" w:rsidRPr="007B1ABF">
        <w:t>The Stipulation created a non-bypassable Electric Service Stability Charge Rider (</w:t>
      </w:r>
      <w:r w:rsidR="00E106B2">
        <w:t>“</w:t>
      </w:r>
      <w:r w:rsidR="00AD654F" w:rsidRPr="007B1ABF">
        <w:t>ESSC</w:t>
      </w:r>
      <w:r w:rsidR="00E106B2">
        <w:t>”</w:t>
      </w:r>
      <w:r w:rsidR="008C41EF">
        <w:t>) to collect this $330 million.</w:t>
      </w:r>
      <w:r w:rsidR="00B665DF">
        <w:rPr>
          <w:rStyle w:val="FootnoteReference"/>
        </w:rPr>
        <w:footnoteReference w:id="19"/>
      </w:r>
      <w:r w:rsidR="008C41EF">
        <w:t xml:space="preserve">  Duke </w:t>
      </w:r>
      <w:r w:rsidR="00AD654F" w:rsidRPr="007B1ABF">
        <w:t>testified that the ESSC was in</w:t>
      </w:r>
      <w:r w:rsidR="002857D4" w:rsidRPr="007B1ABF">
        <w:t>tended to protect the Com</w:t>
      </w:r>
      <w:r w:rsidR="00275FA9">
        <w:softHyphen/>
      </w:r>
      <w:r w:rsidR="002857D4" w:rsidRPr="007B1ABF">
        <w:t xml:space="preserve">pany’s </w:t>
      </w:r>
      <w:r w:rsidR="00AD654F" w:rsidRPr="007B1ABF">
        <w:t>financial integrity and ensure that the overall revenue</w:t>
      </w:r>
      <w:r w:rsidR="002857D4" w:rsidRPr="007B1ABF">
        <w:t xml:space="preserve">s under the ESP are adequate to </w:t>
      </w:r>
      <w:r w:rsidR="00AD654F" w:rsidRPr="007B1ABF">
        <w:t>compensate Duke for providing its SSO.</w:t>
      </w:r>
      <w:r w:rsidR="00DC512C" w:rsidRPr="007B1ABF">
        <w:rPr>
          <w:rStyle w:val="FootnoteReference"/>
        </w:rPr>
        <w:footnoteReference w:id="20"/>
      </w:r>
      <w:r w:rsidR="00AD654F" w:rsidRPr="007B1ABF">
        <w:t xml:space="preserve"> </w:t>
      </w:r>
      <w:r w:rsidR="00F97594" w:rsidRPr="007B1ABF">
        <w:t xml:space="preserve"> </w:t>
      </w:r>
      <w:r w:rsidR="00F875B2">
        <w:t xml:space="preserve">In other words, </w:t>
      </w:r>
      <w:r w:rsidR="00F875B2" w:rsidRPr="007B1ABF">
        <w:t>Duke gave up its right to collect wholesale capacity revenues from CRES providers for shopping load based on its embedded costs of capacity</w:t>
      </w:r>
      <w:r w:rsidR="00F875B2">
        <w:t xml:space="preserve"> in exchange</w:t>
      </w:r>
      <w:r w:rsidR="00F875B2" w:rsidRPr="007B1ABF">
        <w:t xml:space="preserve"> </w:t>
      </w:r>
      <w:r w:rsidR="00F875B2">
        <w:t xml:space="preserve">for </w:t>
      </w:r>
      <w:r w:rsidR="00AD654F" w:rsidRPr="007B1ABF">
        <w:t>RPM capacity revenues plus the $330 mil</w:t>
      </w:r>
      <w:r w:rsidR="00275FA9">
        <w:softHyphen/>
      </w:r>
      <w:r w:rsidR="00AD654F" w:rsidRPr="007B1ABF">
        <w:t>li</w:t>
      </w:r>
      <w:r w:rsidR="00F875B2">
        <w:t>on ESSC</w:t>
      </w:r>
      <w:r w:rsidR="002857D4" w:rsidRPr="007B1ABF">
        <w:t>.</w:t>
      </w:r>
      <w:r w:rsidR="003C2AFA">
        <w:t xml:space="preserve">  The ESSC was compensation </w:t>
      </w:r>
      <w:r w:rsidR="008F1634">
        <w:t xml:space="preserve">to Duke </w:t>
      </w:r>
      <w:r w:rsidR="003C2AFA">
        <w:t>for generation service and not distribution or transmission service.</w:t>
      </w:r>
      <w:r w:rsidR="003C2AFA">
        <w:rPr>
          <w:rStyle w:val="FootnoteReference"/>
        </w:rPr>
        <w:footnoteReference w:id="21"/>
      </w:r>
      <w:r w:rsidR="0049739A">
        <w:t xml:space="preserve">  In Duke </w:t>
      </w:r>
      <w:proofErr w:type="gramStart"/>
      <w:r w:rsidR="0049739A">
        <w:t>witness</w:t>
      </w:r>
      <w:proofErr w:type="gramEnd"/>
      <w:r w:rsidR="0049739A">
        <w:t xml:space="preserve"> Don Wathen’s supplemental testi</w:t>
      </w:r>
      <w:r w:rsidR="00E61F5E">
        <w:softHyphen/>
      </w:r>
      <w:r w:rsidR="0049739A">
        <w:t>mony in support of the ESP Stipulation, he explained why Rider ESSC was necessary in terms of Duke’s FRR capacity obligations.</w:t>
      </w:r>
      <w:r w:rsidR="0049739A">
        <w:rPr>
          <w:rStyle w:val="FootnoteReference"/>
        </w:rPr>
        <w:footnoteReference w:id="22"/>
      </w:r>
    </w:p>
    <w:p w:rsidR="00934BBF" w:rsidRPr="007B1ABF" w:rsidRDefault="001228C2" w:rsidP="00263A62">
      <w:pPr>
        <w:pStyle w:val="Textstyle"/>
      </w:pPr>
      <w:r>
        <w:tab/>
      </w:r>
      <w:r w:rsidR="008F1634">
        <w:t>Duke’s position that it is not receiving just and reasonable compensation for its capacity services, as an FRR entity, did not materialize until after the Commission decided the AEP-Ohio capacity case in July 2012.</w:t>
      </w:r>
      <w:r w:rsidR="008F1634">
        <w:rPr>
          <w:rStyle w:val="FootnoteReference"/>
        </w:rPr>
        <w:footnoteReference w:id="23"/>
      </w:r>
      <w:r w:rsidR="008F1634">
        <w:t xml:space="preserve"> </w:t>
      </w:r>
      <w:r w:rsidR="00471EDE">
        <w:t xml:space="preserve"> At the time Duke entered into the ESP Stipulation it did not know if they </w:t>
      </w:r>
      <w:r w:rsidR="00A322CD">
        <w:t xml:space="preserve">had </w:t>
      </w:r>
      <w:r w:rsidR="00471EDE">
        <w:t>made a determination that Duke was receiv</w:t>
      </w:r>
      <w:r w:rsidR="00E61F5E">
        <w:softHyphen/>
      </w:r>
      <w:r w:rsidR="00471EDE">
        <w:t>ing just and reasonable compensation for its capacity services.</w:t>
      </w:r>
      <w:r w:rsidR="00471EDE">
        <w:rPr>
          <w:rStyle w:val="FootnoteReference"/>
        </w:rPr>
        <w:footnoteReference w:id="24"/>
      </w:r>
      <w:r w:rsidR="00471EDE">
        <w:t xml:space="preserve">  </w:t>
      </w:r>
      <w:r w:rsidR="006676ED">
        <w:t>It is hard to believe that any fortune 500 company, like Duke, would not have considered this question when Duke signed the ESP Stipulation.</w:t>
      </w:r>
      <w:r w:rsidR="002857D4" w:rsidRPr="007B1ABF">
        <w:t xml:space="preserve"> </w:t>
      </w:r>
    </w:p>
    <w:p w:rsidR="00DC512C" w:rsidRPr="009245FF" w:rsidRDefault="001228C2" w:rsidP="00263A62">
      <w:pPr>
        <w:pStyle w:val="Textstyle"/>
      </w:pPr>
      <w:r>
        <w:tab/>
      </w:r>
      <w:r w:rsidR="00F875B2">
        <w:t xml:space="preserve">The Commission </w:t>
      </w:r>
      <w:r w:rsidR="00AD654F" w:rsidRPr="007B1ABF">
        <w:t>adop</w:t>
      </w:r>
      <w:r w:rsidR="002857D4" w:rsidRPr="007B1ABF">
        <w:t>ted the Duke Stipulation</w:t>
      </w:r>
      <w:r w:rsidR="008C4A80">
        <w:t xml:space="preserve"> with minor revisions and</w:t>
      </w:r>
      <w:r w:rsidR="00F97594" w:rsidRPr="007B1ABF">
        <w:t xml:space="preserve"> </w:t>
      </w:r>
      <w:r w:rsidR="008C4A80">
        <w:t xml:space="preserve">found that </w:t>
      </w:r>
      <w:r w:rsidR="008C4A80" w:rsidRPr="00E65BFD">
        <w:t>the stipulated ESP</w:t>
      </w:r>
      <w:r w:rsidR="00AD654F" w:rsidRPr="00E65BFD">
        <w:t xml:space="preserve"> was more favorab</w:t>
      </w:r>
      <w:r w:rsidR="008C4A80" w:rsidRPr="00E65BFD">
        <w:t xml:space="preserve">le in the aggregate than an </w:t>
      </w:r>
      <w:proofErr w:type="spellStart"/>
      <w:r w:rsidR="008C4A80" w:rsidRPr="00E65BFD">
        <w:t>MRO</w:t>
      </w:r>
      <w:proofErr w:type="spellEnd"/>
      <w:r w:rsidR="008C4A80" w:rsidRPr="00E65BFD">
        <w:t>.</w:t>
      </w:r>
      <w:r w:rsidR="00DC512C" w:rsidRPr="00E65BFD">
        <w:rPr>
          <w:rStyle w:val="FootnoteReference"/>
        </w:rPr>
        <w:footnoteReference w:id="25"/>
      </w:r>
      <w:r w:rsidR="008C4A80" w:rsidRPr="00E65BFD">
        <w:t xml:space="preserve">  Duke did not file an application for rehearing.</w:t>
      </w:r>
      <w:r w:rsidR="00E65BFD" w:rsidRPr="00E65BFD">
        <w:t xml:space="preserve">  </w:t>
      </w:r>
      <w:r w:rsidR="003B5FEE">
        <w:t>T</w:t>
      </w:r>
      <w:r w:rsidR="00E65BFD" w:rsidRPr="00E65BFD">
        <w:t>he</w:t>
      </w:r>
      <w:r w:rsidR="00E65BFD">
        <w:t xml:space="preserve"> Commission has already</w:t>
      </w:r>
      <w:r w:rsidR="00E65BFD" w:rsidRPr="00E65BFD">
        <w:t xml:space="preserve"> approved</w:t>
      </w:r>
      <w:r w:rsidR="00E65BFD">
        <w:t xml:space="preserve"> an</w:t>
      </w:r>
      <w:r w:rsidR="00E65BFD" w:rsidRPr="00E65BFD">
        <w:t xml:space="preserve"> SSO auction schedule</w:t>
      </w:r>
      <w:r w:rsidR="00E65BFD">
        <w:t xml:space="preserve"> and issued</w:t>
      </w:r>
      <w:r w:rsidR="00E65BFD" w:rsidRPr="00E65BFD">
        <w:t xml:space="preserve"> orders accepting t</w:t>
      </w:r>
      <w:r w:rsidR="00E65BFD">
        <w:t xml:space="preserve">he results </w:t>
      </w:r>
      <w:r w:rsidR="00F009C5">
        <w:t>of four</w:t>
      </w:r>
      <w:r w:rsidR="00E65BFD">
        <w:t xml:space="preserve"> SSO auctions—</w:t>
      </w:r>
      <w:r w:rsidR="00E65BFD" w:rsidRPr="00E65BFD">
        <w:t>Dec</w:t>
      </w:r>
      <w:r w:rsidR="00E65BFD">
        <w:t>ember</w:t>
      </w:r>
      <w:r w:rsidR="00293129">
        <w:t xml:space="preserve"> 2011, May 2012,</w:t>
      </w:r>
      <w:r w:rsidR="00E65BFD" w:rsidRPr="00E65BFD">
        <w:t xml:space="preserve"> Nov</w:t>
      </w:r>
      <w:r w:rsidR="00E65BFD">
        <w:t>ember</w:t>
      </w:r>
      <w:r w:rsidR="00E65BFD" w:rsidRPr="00E65BFD">
        <w:t xml:space="preserve"> 2012</w:t>
      </w:r>
      <w:r w:rsidR="00293129">
        <w:t>, and</w:t>
      </w:r>
      <w:r w:rsidR="00F009C5">
        <w:t xml:space="preserve"> May 2013</w:t>
      </w:r>
      <w:r w:rsidR="00E65BFD" w:rsidRPr="00E65BFD">
        <w:t>.</w:t>
      </w:r>
      <w:r w:rsidR="00E65BFD">
        <w:rPr>
          <w:rStyle w:val="FootnoteReference"/>
        </w:rPr>
        <w:footnoteReference w:id="26"/>
      </w:r>
      <w:r w:rsidR="00E65BFD" w:rsidRPr="00E65BFD">
        <w:t xml:space="preserve">  </w:t>
      </w:r>
      <w:r w:rsidR="009245FF" w:rsidRPr="00E65BFD">
        <w:t xml:space="preserve">Duke cannot </w:t>
      </w:r>
      <w:r w:rsidR="00E65BFD" w:rsidRPr="00E65BFD">
        <w:t xml:space="preserve">now </w:t>
      </w:r>
      <w:r w:rsidR="009245FF" w:rsidRPr="00E65BFD">
        <w:t>modify the capac</w:t>
      </w:r>
      <w:r w:rsidR="00275FA9">
        <w:softHyphen/>
      </w:r>
      <w:r w:rsidR="009245FF" w:rsidRPr="00E65BFD">
        <w:t>ity pricing mechanism in the Stipulation.</w:t>
      </w:r>
      <w:r w:rsidR="009245FF" w:rsidRPr="007B1ABF">
        <w:t xml:space="preserve"> </w:t>
      </w:r>
    </w:p>
    <w:p w:rsidR="00AD654F" w:rsidRPr="007B1ABF" w:rsidRDefault="001228C2" w:rsidP="001228C2">
      <w:pPr>
        <w:pStyle w:val="Heading2"/>
      </w:pPr>
      <w:bookmarkStart w:id="6" w:name="_Toc360172958"/>
      <w:r>
        <w:t>C.</w:t>
      </w:r>
      <w:r>
        <w:tab/>
      </w:r>
      <w:r w:rsidR="006B5263">
        <w:t>Duke’s</w:t>
      </w:r>
      <w:r w:rsidR="008C41EF">
        <w:t xml:space="preserve"> </w:t>
      </w:r>
      <w:r w:rsidR="00A47440">
        <w:t xml:space="preserve">2011 </w:t>
      </w:r>
      <w:r w:rsidR="008C41EF">
        <w:t>Transmission Case Stipulation</w:t>
      </w:r>
      <w:bookmarkEnd w:id="6"/>
      <w:r w:rsidR="00BC046E">
        <w:t xml:space="preserve"> </w:t>
      </w:r>
    </w:p>
    <w:p w:rsidR="002857D4" w:rsidRPr="009245FF" w:rsidRDefault="001228C2" w:rsidP="00263A62">
      <w:pPr>
        <w:pStyle w:val="Textstyle"/>
      </w:pPr>
      <w:r>
        <w:tab/>
      </w:r>
      <w:r w:rsidR="006B5263">
        <w:t>In April</w:t>
      </w:r>
      <w:r w:rsidR="00AD654F" w:rsidRPr="007B1ABF">
        <w:t xml:space="preserve"> 2011, Duke filed an application </w:t>
      </w:r>
      <w:r w:rsidR="002857D4" w:rsidRPr="007B1ABF">
        <w:t>at the</w:t>
      </w:r>
      <w:r w:rsidR="006B5263">
        <w:t xml:space="preserve"> Commission</w:t>
      </w:r>
      <w:r w:rsidR="002857D4" w:rsidRPr="007B1ABF">
        <w:t xml:space="preserve"> seeking approval to </w:t>
      </w:r>
      <w:r w:rsidR="00AD654F" w:rsidRPr="007B1ABF">
        <w:t>establish a base transmission rider and a regional transm</w:t>
      </w:r>
      <w:r w:rsidR="002857D4" w:rsidRPr="007B1ABF">
        <w:t xml:space="preserve">ission organization rider. </w:t>
      </w:r>
      <w:r w:rsidR="006B5263">
        <w:t xml:space="preserve"> In this case, </w:t>
      </w:r>
      <w:r w:rsidR="00AD654F" w:rsidRPr="007B1ABF">
        <w:t>Duke sought approv</w:t>
      </w:r>
      <w:r w:rsidR="002857D4" w:rsidRPr="007B1ABF">
        <w:t xml:space="preserve">al to transfer from the Midwest </w:t>
      </w:r>
      <w:r w:rsidR="00AD654F" w:rsidRPr="007B1ABF">
        <w:t>Independent System Operator (</w:t>
      </w:r>
      <w:r w:rsidR="00E106B2">
        <w:t>“</w:t>
      </w:r>
      <w:r w:rsidR="00AD654F" w:rsidRPr="007B1ABF">
        <w:t>MISO</w:t>
      </w:r>
      <w:r w:rsidR="00E106B2">
        <w:t>”</w:t>
      </w:r>
      <w:r w:rsidR="00AD654F" w:rsidRPr="007B1ABF">
        <w:t>) to PJM.</w:t>
      </w:r>
      <w:r w:rsidR="00D266A8">
        <w:t xml:space="preserve">  The Signatory Parties in that case—</w:t>
      </w:r>
      <w:r w:rsidR="00D266A8" w:rsidRPr="007B1ABF">
        <w:t>Duke, Staff, OCC,</w:t>
      </w:r>
      <w:r w:rsidR="00D266A8">
        <w:t xml:space="preserve"> and OEG—</w:t>
      </w:r>
      <w:r w:rsidR="002857D4" w:rsidRPr="007B1ABF">
        <w:t xml:space="preserve">filed </w:t>
      </w:r>
      <w:r w:rsidR="00AD654F" w:rsidRPr="007B1ABF">
        <w:t>a Stipulation</w:t>
      </w:r>
      <w:r w:rsidR="00D266A8">
        <w:t xml:space="preserve"> where Duke</w:t>
      </w:r>
      <w:r w:rsidR="00AD654F" w:rsidRPr="007B1ABF">
        <w:t xml:space="preserve"> a</w:t>
      </w:r>
      <w:r w:rsidR="002857D4" w:rsidRPr="007B1ABF">
        <w:t>greed not to seek FERC approval</w:t>
      </w:r>
      <w:r w:rsidR="00AD654F" w:rsidRPr="007B1ABF">
        <w:t xml:space="preserve"> of a wholesale capac</w:t>
      </w:r>
      <w:r w:rsidR="002857D4" w:rsidRPr="007B1ABF">
        <w:t xml:space="preserve">ity charge based upon its costs </w:t>
      </w:r>
      <w:r w:rsidR="00AD654F" w:rsidRPr="007B1ABF">
        <w:t>as a FRR entity</w:t>
      </w:r>
      <w:r w:rsidR="00D266A8" w:rsidRPr="00D266A8">
        <w:t xml:space="preserve"> </w:t>
      </w:r>
      <w:r w:rsidR="00D266A8" w:rsidRPr="007B1ABF">
        <w:t>for the period between January 1, 2</w:t>
      </w:r>
      <w:r w:rsidR="009245FF">
        <w:t>012 and May 31, 2016</w:t>
      </w:r>
      <w:r w:rsidR="00AD654F" w:rsidRPr="007B1ABF">
        <w:t>.</w:t>
      </w:r>
      <w:r w:rsidR="00DC512C" w:rsidRPr="007B1ABF">
        <w:rPr>
          <w:rStyle w:val="FootnoteReference"/>
        </w:rPr>
        <w:footnoteReference w:id="27"/>
      </w:r>
      <w:r w:rsidR="00AD654F" w:rsidRPr="007B1ABF">
        <w:t xml:space="preserve"> </w:t>
      </w:r>
      <w:r w:rsidR="003B5FEE">
        <w:t xml:space="preserve"> </w:t>
      </w:r>
      <w:r w:rsidR="006B5263">
        <w:t>The Commission</w:t>
      </w:r>
      <w:r w:rsidR="00D266A8">
        <w:t xml:space="preserve"> approved the Stipulation</w:t>
      </w:r>
      <w:r w:rsidR="00AD654F" w:rsidRPr="007B1ABF">
        <w:t>.</w:t>
      </w:r>
      <w:r w:rsidR="00DC512C" w:rsidRPr="007B1ABF">
        <w:rPr>
          <w:rStyle w:val="FootnoteReference"/>
        </w:rPr>
        <w:footnoteReference w:id="28"/>
      </w:r>
      <w:r w:rsidR="00AD654F" w:rsidRPr="007B1ABF">
        <w:t xml:space="preserve"> </w:t>
      </w:r>
      <w:r w:rsidR="009245FF">
        <w:t xml:space="preserve"> </w:t>
      </w:r>
      <w:r w:rsidR="003B5FEE">
        <w:t xml:space="preserve">Like the ESP Stipulation, </w:t>
      </w:r>
      <w:r w:rsidR="009245FF" w:rsidRPr="007B1ABF">
        <w:t>Duke</w:t>
      </w:r>
      <w:r w:rsidR="009245FF">
        <w:t xml:space="preserve"> cannot</w:t>
      </w:r>
      <w:r w:rsidR="009245FF" w:rsidRPr="007B1ABF">
        <w:t xml:space="preserve"> modify</w:t>
      </w:r>
      <w:r w:rsidR="009245FF">
        <w:t xml:space="preserve"> this approved</w:t>
      </w:r>
      <w:r w:rsidR="009245FF" w:rsidRPr="007B1ABF">
        <w:t xml:space="preserve"> Stipulation</w:t>
      </w:r>
      <w:r w:rsidR="003B5FEE">
        <w:t xml:space="preserve"> either</w:t>
      </w:r>
      <w:r w:rsidR="009245FF" w:rsidRPr="007B1ABF">
        <w:t xml:space="preserve">. </w:t>
      </w:r>
    </w:p>
    <w:p w:rsidR="00AD654F" w:rsidRPr="004A72E3" w:rsidRDefault="001228C2" w:rsidP="001228C2">
      <w:pPr>
        <w:pStyle w:val="Heading2"/>
      </w:pPr>
      <w:bookmarkStart w:id="7" w:name="_Toc360172959"/>
      <w:r>
        <w:t>D.</w:t>
      </w:r>
      <w:r>
        <w:tab/>
      </w:r>
      <w:r w:rsidR="00F875B2" w:rsidRPr="004A72E3">
        <w:t>AEP</w:t>
      </w:r>
      <w:r w:rsidR="00433068" w:rsidRPr="004A72E3">
        <w:t>’s</w:t>
      </w:r>
      <w:r w:rsidR="00F875B2" w:rsidRPr="004A72E3">
        <w:t xml:space="preserve"> Capacity</w:t>
      </w:r>
      <w:r w:rsidR="003C217C">
        <w:t xml:space="preserve"> and ESP</w:t>
      </w:r>
      <w:r w:rsidR="00F875B2" w:rsidRPr="004A72E3">
        <w:t xml:space="preserve"> Case</w:t>
      </w:r>
      <w:r w:rsidR="00CF2218">
        <w:t>s</w:t>
      </w:r>
      <w:bookmarkEnd w:id="7"/>
      <w:r w:rsidR="004A72E3" w:rsidRPr="004A72E3">
        <w:t xml:space="preserve"> </w:t>
      </w:r>
    </w:p>
    <w:p w:rsidR="00CF2218" w:rsidRDefault="001228C2" w:rsidP="00263A62">
      <w:pPr>
        <w:pStyle w:val="Textstyle"/>
      </w:pPr>
      <w:r>
        <w:tab/>
      </w:r>
      <w:r w:rsidR="003B5FEE">
        <w:t>Duke was well aware of the capacity pricing issue</w:t>
      </w:r>
      <w:r w:rsidR="00F009C5">
        <w:t xml:space="preserve"> all along</w:t>
      </w:r>
      <w:r w:rsidR="003B5FEE">
        <w:t xml:space="preserve">.  </w:t>
      </w:r>
      <w:r w:rsidR="00AD654F" w:rsidRPr="007B1ABF">
        <w:t>In November 2010, American Electric Power Service</w:t>
      </w:r>
      <w:r w:rsidR="002857D4" w:rsidRPr="007B1ABF">
        <w:t xml:space="preserve"> Corporation (</w:t>
      </w:r>
      <w:r w:rsidR="00E106B2">
        <w:t>“</w:t>
      </w:r>
      <w:r w:rsidR="002857D4" w:rsidRPr="007B1ABF">
        <w:t>AEPSC</w:t>
      </w:r>
      <w:r w:rsidR="00E106B2">
        <w:t>”</w:t>
      </w:r>
      <w:r w:rsidR="002857D4" w:rsidRPr="007B1ABF">
        <w:t xml:space="preserve">) </w:t>
      </w:r>
      <w:r w:rsidR="00AD654F" w:rsidRPr="007B1ABF">
        <w:t xml:space="preserve">filed an application at </w:t>
      </w:r>
      <w:r w:rsidR="00F953FE">
        <w:t xml:space="preserve">the </w:t>
      </w:r>
      <w:r w:rsidR="00AD654F" w:rsidRPr="007B1ABF">
        <w:t>FERC seeking to establish a</w:t>
      </w:r>
      <w:r w:rsidR="002857D4" w:rsidRPr="007B1ABF">
        <w:t xml:space="preserve"> rate that would compensate</w:t>
      </w:r>
      <w:r w:rsidR="004A72E3">
        <w:t xml:space="preserve"> AEP Ohio</w:t>
      </w:r>
      <w:r w:rsidR="00AD654F" w:rsidRPr="007B1ABF">
        <w:t xml:space="preserve"> for its cost of providing CRES pro</w:t>
      </w:r>
      <w:r w:rsidR="00275FA9">
        <w:softHyphen/>
      </w:r>
      <w:r w:rsidR="00DC512C" w:rsidRPr="007B1ABF">
        <w:t xml:space="preserve">viders capacity to serve retail </w:t>
      </w:r>
      <w:r w:rsidR="00AD654F" w:rsidRPr="007B1ABF">
        <w:t>customers in AEP Ohio’s service ter</w:t>
      </w:r>
      <w:r w:rsidR="00E61F5E">
        <w:softHyphen/>
      </w:r>
      <w:r w:rsidR="00AD654F" w:rsidRPr="007B1ABF">
        <w:t>ritory.</w:t>
      </w:r>
      <w:r w:rsidR="00DC512C" w:rsidRPr="007B1ABF">
        <w:rPr>
          <w:rStyle w:val="FootnoteReference"/>
        </w:rPr>
        <w:footnoteReference w:id="29"/>
      </w:r>
      <w:r w:rsidR="00AD654F" w:rsidRPr="007B1ABF">
        <w:t xml:space="preserve"> </w:t>
      </w:r>
      <w:r w:rsidR="004A72E3">
        <w:t xml:space="preserve"> In that </w:t>
      </w:r>
      <w:r w:rsidR="003B5FEE">
        <w:t xml:space="preserve">case, </w:t>
      </w:r>
      <w:r w:rsidR="00AD654F" w:rsidRPr="007B1ABF">
        <w:t>AEPSC so</w:t>
      </w:r>
      <w:r w:rsidR="002857D4" w:rsidRPr="007B1ABF">
        <w:t xml:space="preserve">ught an increase from the </w:t>
      </w:r>
      <w:proofErr w:type="spellStart"/>
      <w:r w:rsidR="002857D4" w:rsidRPr="007B1ABF">
        <w:t>RAA’s</w:t>
      </w:r>
      <w:proofErr w:type="spellEnd"/>
      <w:r w:rsidR="002857D4" w:rsidRPr="007B1ABF">
        <w:t xml:space="preserve"> </w:t>
      </w:r>
      <w:r w:rsidR="00AD654F" w:rsidRPr="007B1ABF">
        <w:t>default RPM based pric</w:t>
      </w:r>
      <w:r w:rsidR="00E61F5E">
        <w:softHyphen/>
      </w:r>
      <w:r w:rsidR="00AD654F" w:rsidRPr="007B1ABF">
        <w:t>ing to cost-based pricing, using</w:t>
      </w:r>
      <w:r w:rsidR="002857D4" w:rsidRPr="007B1ABF">
        <w:t xml:space="preserve"> AEP Ohio’s fully embedded cost </w:t>
      </w:r>
      <w:r w:rsidR="00AD654F" w:rsidRPr="007B1ABF">
        <w:t xml:space="preserve">of capacity. </w:t>
      </w:r>
      <w:r w:rsidR="004A72E3">
        <w:t xml:space="preserve"> </w:t>
      </w:r>
      <w:r w:rsidR="003B5FEE" w:rsidRPr="007B1ABF">
        <w:t>Duke intervene</w:t>
      </w:r>
      <w:r w:rsidR="003B5FEE">
        <w:t>d in that case.</w:t>
      </w:r>
      <w:r w:rsidR="003B5FEE" w:rsidRPr="004A72E3">
        <w:rPr>
          <w:rStyle w:val="FootnoteReference"/>
        </w:rPr>
        <w:t xml:space="preserve"> </w:t>
      </w:r>
      <w:r w:rsidR="003B5FEE" w:rsidRPr="007B1ABF">
        <w:rPr>
          <w:rStyle w:val="FootnoteReference"/>
        </w:rPr>
        <w:footnoteReference w:id="30"/>
      </w:r>
    </w:p>
    <w:p w:rsidR="00934BBF" w:rsidRPr="007B1ABF" w:rsidRDefault="001228C2" w:rsidP="00263A62">
      <w:pPr>
        <w:pStyle w:val="Textstyle"/>
      </w:pPr>
      <w:r>
        <w:tab/>
      </w:r>
      <w:r w:rsidR="00CF2218">
        <w:t>In December 2010, the Commission</w:t>
      </w:r>
      <w:r w:rsidR="002857D4" w:rsidRPr="007B1ABF">
        <w:t xml:space="preserve"> </w:t>
      </w:r>
      <w:r w:rsidR="00AD654F" w:rsidRPr="007B1ABF">
        <w:t>opened up an investigation to review the impact</w:t>
      </w:r>
      <w:r w:rsidR="00CF2218">
        <w:t xml:space="preserve"> of</w:t>
      </w:r>
      <w:r w:rsidR="002857D4" w:rsidRPr="007B1ABF">
        <w:t xml:space="preserve"> AEP Ohio’s capacity </w:t>
      </w:r>
      <w:r w:rsidR="00AD654F" w:rsidRPr="007B1ABF">
        <w:t>charges.</w:t>
      </w:r>
      <w:r w:rsidR="00DC512C" w:rsidRPr="007B1ABF">
        <w:rPr>
          <w:rStyle w:val="FootnoteReference"/>
        </w:rPr>
        <w:footnoteReference w:id="31"/>
      </w:r>
      <w:r w:rsidR="00AD654F" w:rsidRPr="007B1ABF">
        <w:t xml:space="preserve"> </w:t>
      </w:r>
      <w:r w:rsidR="00CF2218">
        <w:t xml:space="preserve"> </w:t>
      </w:r>
      <w:r w:rsidR="00AD654F" w:rsidRPr="007B1ABF">
        <w:t>Duke Energy Retail Sales, L.L.</w:t>
      </w:r>
      <w:r w:rsidR="002857D4" w:rsidRPr="007B1ABF">
        <w:t xml:space="preserve">C., filed a </w:t>
      </w:r>
      <w:r w:rsidR="00AD654F" w:rsidRPr="007B1ABF">
        <w:t>motion to intervene in that case before the Commission.</w:t>
      </w:r>
      <w:r w:rsidR="00DC512C" w:rsidRPr="007B1ABF">
        <w:rPr>
          <w:rStyle w:val="FootnoteReference"/>
        </w:rPr>
        <w:footnoteReference w:id="32"/>
      </w:r>
      <w:r w:rsidR="002857D4" w:rsidRPr="007B1ABF">
        <w:t xml:space="preserve"> </w:t>
      </w:r>
    </w:p>
    <w:p w:rsidR="00934BBF" w:rsidRPr="007B1ABF" w:rsidRDefault="001228C2" w:rsidP="00263A62">
      <w:pPr>
        <w:pStyle w:val="Textstyle"/>
      </w:pPr>
      <w:r>
        <w:tab/>
      </w:r>
      <w:r w:rsidR="00CF2218">
        <w:t xml:space="preserve">In January 2011, </w:t>
      </w:r>
      <w:r w:rsidR="00F953FE">
        <w:t xml:space="preserve">the </w:t>
      </w:r>
      <w:r w:rsidR="00AD654F" w:rsidRPr="007B1ABF">
        <w:t xml:space="preserve">FERC rejected </w:t>
      </w:r>
      <w:proofErr w:type="spellStart"/>
      <w:r w:rsidR="00AD654F" w:rsidRPr="007B1ABF">
        <w:t>AEPSC’s</w:t>
      </w:r>
      <w:proofErr w:type="spellEnd"/>
      <w:r w:rsidR="00AD654F" w:rsidRPr="007B1ABF">
        <w:t xml:space="preserve"> rate application</w:t>
      </w:r>
      <w:r w:rsidR="00CF2218">
        <w:t>,</w:t>
      </w:r>
      <w:r w:rsidR="00DC512C" w:rsidRPr="007B1ABF">
        <w:rPr>
          <w:rStyle w:val="FootnoteReference"/>
        </w:rPr>
        <w:footnoteReference w:id="33"/>
      </w:r>
      <w:r w:rsidR="00AD654F" w:rsidRPr="007B1ABF">
        <w:t xml:space="preserve"> AEPSC sought rehearing</w:t>
      </w:r>
      <w:r w:rsidR="00CF2218">
        <w:t>,</w:t>
      </w:r>
      <w:r w:rsidR="00DC512C" w:rsidRPr="007B1ABF">
        <w:rPr>
          <w:rStyle w:val="FootnoteReference"/>
        </w:rPr>
        <w:footnoteReference w:id="34"/>
      </w:r>
      <w:r w:rsidR="00CF2218">
        <w:t xml:space="preserve"> and in </w:t>
      </w:r>
      <w:r w:rsidR="002857D4" w:rsidRPr="007B1ABF">
        <w:t xml:space="preserve">April 2011, AEPSC filed a </w:t>
      </w:r>
      <w:r w:rsidR="00AD654F" w:rsidRPr="007B1ABF">
        <w:t xml:space="preserve">Section 206 Complaint with </w:t>
      </w:r>
      <w:r w:rsidR="00F953FE">
        <w:t xml:space="preserve">the </w:t>
      </w:r>
      <w:r w:rsidR="00AD654F" w:rsidRPr="007B1ABF">
        <w:t>FERC to clarify the circumstances under which</w:t>
      </w:r>
      <w:r w:rsidR="002857D4" w:rsidRPr="007B1ABF">
        <w:t xml:space="preserve"> </w:t>
      </w:r>
      <w:r w:rsidR="00AD654F" w:rsidRPr="007B1ABF">
        <w:t>AEPSC may request a</w:t>
      </w:r>
      <w:r w:rsidR="002857D4" w:rsidRPr="007B1ABF">
        <w:t xml:space="preserve"> </w:t>
      </w:r>
      <w:r w:rsidR="00AD654F" w:rsidRPr="007B1ABF">
        <w:t>cost-based capacity rate from FERC that would be c</w:t>
      </w:r>
      <w:r w:rsidR="002857D4" w:rsidRPr="007B1ABF">
        <w:t xml:space="preserve">harged to CRES providers in its </w:t>
      </w:r>
      <w:r w:rsidR="00AD654F" w:rsidRPr="007B1ABF">
        <w:t>service territory.</w:t>
      </w:r>
      <w:r w:rsidR="00DC512C" w:rsidRPr="007B1ABF">
        <w:rPr>
          <w:rStyle w:val="FootnoteReference"/>
        </w:rPr>
        <w:footnoteReference w:id="35"/>
      </w:r>
      <w:r w:rsidR="00AD654F" w:rsidRPr="007B1ABF">
        <w:t xml:space="preserve"> </w:t>
      </w:r>
      <w:r w:rsidR="00F953FE">
        <w:t xml:space="preserve"> </w:t>
      </w:r>
      <w:r w:rsidR="00AD654F" w:rsidRPr="007B1ABF">
        <w:t>Duke Energy Corpora</w:t>
      </w:r>
      <w:r w:rsidR="002857D4" w:rsidRPr="007B1ABF">
        <w:t>tion</w:t>
      </w:r>
      <w:r w:rsidR="00F953FE">
        <w:t xml:space="preserve"> intervened in the</w:t>
      </w:r>
      <w:r w:rsidR="002857D4" w:rsidRPr="007B1ABF">
        <w:t xml:space="preserve"> </w:t>
      </w:r>
      <w:r w:rsidR="00F953FE">
        <w:t xml:space="preserve">complaint dockets, which </w:t>
      </w:r>
      <w:r w:rsidR="003B5FEE">
        <w:t xml:space="preserve">currently </w:t>
      </w:r>
      <w:r w:rsidR="00F953FE">
        <w:t>remain</w:t>
      </w:r>
      <w:r w:rsidR="002857D4" w:rsidRPr="007B1ABF">
        <w:t xml:space="preserve"> pending at the FERC. </w:t>
      </w:r>
    </w:p>
    <w:p w:rsidR="00445E3C" w:rsidRDefault="001228C2" w:rsidP="00263A62">
      <w:pPr>
        <w:pStyle w:val="Textstyle"/>
      </w:pPr>
      <w:r>
        <w:tab/>
      </w:r>
      <w:r w:rsidR="003C217C">
        <w:t>In July 2012, the Commission</w:t>
      </w:r>
      <w:r w:rsidR="003C217C" w:rsidRPr="007B1ABF">
        <w:t xml:space="preserve"> issued an Order in AEP Ohio’s Capacity Charge case.</w:t>
      </w:r>
      <w:r w:rsidR="003C217C" w:rsidRPr="007B1ABF">
        <w:rPr>
          <w:rStyle w:val="FootnoteReference"/>
        </w:rPr>
        <w:footnoteReference w:id="36"/>
      </w:r>
      <w:r w:rsidR="003C217C" w:rsidRPr="007B1ABF">
        <w:t xml:space="preserve"> </w:t>
      </w:r>
      <w:r w:rsidR="003C217C">
        <w:t xml:space="preserve"> </w:t>
      </w:r>
      <w:r w:rsidR="003C217C" w:rsidRPr="007B1ABF">
        <w:t>The</w:t>
      </w:r>
      <w:r w:rsidR="003C217C">
        <w:t xml:space="preserve"> Commission</w:t>
      </w:r>
      <w:r w:rsidR="003C217C" w:rsidRPr="007B1ABF">
        <w:t xml:space="preserve"> determined that AEP Ohio’s embedded cost of capacity is $188</w:t>
      </w:r>
      <w:r w:rsidR="003C217C">
        <w:t>.88/MW-day;</w:t>
      </w:r>
      <w:r w:rsidR="003C217C" w:rsidRPr="007B1ABF">
        <w:rPr>
          <w:rStyle w:val="FootnoteReference"/>
        </w:rPr>
        <w:footnoteReference w:id="37"/>
      </w:r>
      <w:r w:rsidR="003C217C" w:rsidRPr="007B1ABF">
        <w:t xml:space="preserve"> AEP Ohio will provide capacity to CRE</w:t>
      </w:r>
      <w:r w:rsidR="003C217C">
        <w:t>S providers at RPM;</w:t>
      </w:r>
      <w:r w:rsidR="003C217C" w:rsidRPr="007B1ABF">
        <w:rPr>
          <w:rStyle w:val="FootnoteReference"/>
        </w:rPr>
        <w:footnoteReference w:id="38"/>
      </w:r>
      <w:r w:rsidR="003C217C">
        <w:t xml:space="preserve"> and</w:t>
      </w:r>
      <w:r w:rsidR="003C217C" w:rsidRPr="007B1ABF">
        <w:t xml:space="preserve"> A</w:t>
      </w:r>
      <w:r w:rsidR="003C217C">
        <w:t>EP Ohio may</w:t>
      </w:r>
      <w:r w:rsidR="003C217C" w:rsidRPr="007B1ABF">
        <w:t xml:space="preserve"> defer the difference between $188.88/MW-day and the RPM-based cost of cap</w:t>
      </w:r>
      <w:r w:rsidR="003C217C">
        <w:t>acity for subsequent collection</w:t>
      </w:r>
      <w:r w:rsidR="003C217C" w:rsidRPr="007B1ABF">
        <w:t>.</w:t>
      </w:r>
      <w:r w:rsidR="003C217C" w:rsidRPr="007B1ABF">
        <w:rPr>
          <w:rStyle w:val="FootnoteReference"/>
        </w:rPr>
        <w:footnoteReference w:id="39"/>
      </w:r>
      <w:r w:rsidR="003C217C">
        <w:t xml:space="preserve">  </w:t>
      </w:r>
      <w:r w:rsidR="00681270">
        <w:t xml:space="preserve">In AEP-Ohio’s capacity case, the ordering </w:t>
      </w:r>
      <w:r w:rsidR="00EC781F">
        <w:t xml:space="preserve">clause of the Commission says </w:t>
      </w:r>
      <w:r w:rsidR="00E106B2">
        <w:t>“</w:t>
      </w:r>
      <w:r w:rsidR="00EC781F">
        <w:t>[o]</w:t>
      </w:r>
      <w:proofErr w:type="spellStart"/>
      <w:r w:rsidR="00681270">
        <w:t>rdered</w:t>
      </w:r>
      <w:proofErr w:type="spellEnd"/>
      <w:r w:rsidR="00681270">
        <w:t>, that the state compensation mechanism for AEP-Ohio be adopted as set forth herein.</w:t>
      </w:r>
      <w:r w:rsidR="00E106B2">
        <w:t>”</w:t>
      </w:r>
      <w:r w:rsidR="00681270">
        <w:rPr>
          <w:rStyle w:val="FootnoteReference"/>
        </w:rPr>
        <w:footnoteReference w:id="40"/>
      </w:r>
      <w:r w:rsidR="00681270">
        <w:t xml:space="preserve">  In other words, the ordering clause </w:t>
      </w:r>
      <w:r w:rsidR="00054054">
        <w:t xml:space="preserve">is limited in scope to AEP-Ohio and </w:t>
      </w:r>
      <w:r w:rsidR="00681270">
        <w:t xml:space="preserve">does not say the general state compensation mechanism for </w:t>
      </w:r>
      <w:r w:rsidR="00054054">
        <w:t>all Ohio FRR entities</w:t>
      </w:r>
      <w:r w:rsidR="00681270">
        <w:t xml:space="preserve">.   </w:t>
      </w:r>
      <w:r w:rsidR="003C217C">
        <w:t>In August 2012,</w:t>
      </w:r>
      <w:r w:rsidR="003C217C" w:rsidRPr="007B1ABF">
        <w:t xml:space="preserve"> the</w:t>
      </w:r>
      <w:r w:rsidR="003C217C">
        <w:t xml:space="preserve"> Commission</w:t>
      </w:r>
      <w:r w:rsidR="003C217C" w:rsidRPr="007B1ABF">
        <w:t xml:space="preserve"> issued its deci</w:t>
      </w:r>
      <w:r w:rsidR="00275FA9">
        <w:softHyphen/>
      </w:r>
      <w:r w:rsidR="003C217C" w:rsidRPr="007B1ABF">
        <w:t xml:space="preserve">sion in AEP Ohio’s </w:t>
      </w:r>
      <w:r w:rsidR="00445E3C">
        <w:br w:type="page"/>
      </w:r>
    </w:p>
    <w:p w:rsidR="003C217C" w:rsidRDefault="003C217C" w:rsidP="00263A62">
      <w:pPr>
        <w:pStyle w:val="Textstyle"/>
      </w:pPr>
      <w:proofErr w:type="gramStart"/>
      <w:r w:rsidRPr="007B1ABF">
        <w:t>electric</w:t>
      </w:r>
      <w:proofErr w:type="gramEnd"/>
      <w:r w:rsidRPr="007B1ABF">
        <w:t xml:space="preserve"> security plan proceeding</w:t>
      </w:r>
      <w:r w:rsidR="009245FF" w:rsidRPr="009245FF">
        <w:t xml:space="preserve"> </w:t>
      </w:r>
      <w:r w:rsidR="009245FF">
        <w:t>approving</w:t>
      </w:r>
      <w:r w:rsidR="009245FF" w:rsidRPr="007B1ABF">
        <w:t xml:space="preserve"> </w:t>
      </w:r>
      <w:r w:rsidR="009245FF">
        <w:t>a Retail Stability Rider that</w:t>
      </w:r>
      <w:r w:rsidR="009245FF" w:rsidRPr="007B1ABF">
        <w:t xml:space="preserve"> will generate</w:t>
      </w:r>
      <w:r w:rsidR="009245FF">
        <w:t xml:space="preserve"> approximately</w:t>
      </w:r>
      <w:r w:rsidR="009245FF" w:rsidRPr="007B1ABF">
        <w:t xml:space="preserve"> $508 millio</w:t>
      </w:r>
      <w:r w:rsidR="009245FF">
        <w:t>n over three years for AEP Ohio</w:t>
      </w:r>
      <w:r w:rsidRPr="007B1ABF">
        <w:t>.</w:t>
      </w:r>
      <w:r w:rsidRPr="007B1ABF">
        <w:rPr>
          <w:rStyle w:val="FootnoteReference"/>
        </w:rPr>
        <w:footnoteReference w:id="41"/>
      </w:r>
      <w:r w:rsidRPr="007B1ABF">
        <w:t xml:space="preserve">  </w:t>
      </w:r>
    </w:p>
    <w:p w:rsidR="00A06E0A" w:rsidRPr="006167D8" w:rsidRDefault="001228C2" w:rsidP="001228C2">
      <w:pPr>
        <w:pStyle w:val="Heading2"/>
      </w:pPr>
      <w:bookmarkStart w:id="8" w:name="_Toc360172960"/>
      <w:r>
        <w:t>E.</w:t>
      </w:r>
      <w:r>
        <w:tab/>
      </w:r>
      <w:r w:rsidR="00A06E0A" w:rsidRPr="006167D8">
        <w:t>Summary</w:t>
      </w:r>
      <w:bookmarkEnd w:id="8"/>
    </w:p>
    <w:p w:rsidR="006167D8" w:rsidRPr="00445E0D" w:rsidRDefault="001228C2" w:rsidP="00263A62">
      <w:pPr>
        <w:pStyle w:val="Textstyle"/>
      </w:pPr>
      <w:r>
        <w:tab/>
      </w:r>
      <w:r w:rsidR="00E74D6D">
        <w:t>R</w:t>
      </w:r>
      <w:r w:rsidR="009245FF">
        <w:t>ather than pursuing a</w:t>
      </w:r>
      <w:r w:rsidR="002857D4" w:rsidRPr="007B1ABF">
        <w:t xml:space="preserve"> claim for cost-based pricing </w:t>
      </w:r>
      <w:r w:rsidR="00AD654F" w:rsidRPr="007B1ABF">
        <w:t>for capacity as the state compen</w:t>
      </w:r>
      <w:r w:rsidR="00E61F5E">
        <w:softHyphen/>
      </w:r>
      <w:r w:rsidR="00AD654F" w:rsidRPr="007B1ABF">
        <w:t xml:space="preserve">sation mechanism, Duke </w:t>
      </w:r>
      <w:r w:rsidR="00F953FE">
        <w:t>settled its ESP case agreeing</w:t>
      </w:r>
      <w:r w:rsidR="002857D4" w:rsidRPr="007B1ABF">
        <w:t xml:space="preserve"> </w:t>
      </w:r>
      <w:r w:rsidR="00AD654F" w:rsidRPr="007B1ABF">
        <w:t>to RPM pricing plus the $330 million</w:t>
      </w:r>
      <w:r w:rsidR="00F953FE">
        <w:t xml:space="preserve"> ESSC rider a</w:t>
      </w:r>
      <w:r w:rsidR="002857D4" w:rsidRPr="007B1ABF">
        <w:t>nd</w:t>
      </w:r>
      <w:r w:rsidR="00AD654F" w:rsidRPr="007B1ABF">
        <w:t xml:space="preserve"> </w:t>
      </w:r>
      <w:r w:rsidR="002857D4" w:rsidRPr="007B1ABF">
        <w:t>settled</w:t>
      </w:r>
      <w:r w:rsidR="00F953FE">
        <w:t xml:space="preserve"> its</w:t>
      </w:r>
      <w:r w:rsidR="002857D4" w:rsidRPr="007B1ABF">
        <w:t xml:space="preserve"> </w:t>
      </w:r>
      <w:r w:rsidR="00F953FE" w:rsidRPr="007B1ABF">
        <w:t>MISO/PJM transfer case</w:t>
      </w:r>
      <w:r w:rsidR="00F953FE">
        <w:t xml:space="preserve"> agreeing</w:t>
      </w:r>
      <w:r w:rsidR="002857D4" w:rsidRPr="007B1ABF">
        <w:t xml:space="preserve"> not to seek </w:t>
      </w:r>
      <w:r w:rsidR="00AD654F" w:rsidRPr="007B1ABF">
        <w:t>FERC approval of</w:t>
      </w:r>
      <w:r w:rsidR="002857D4" w:rsidRPr="007B1ABF">
        <w:t xml:space="preserve"> cost-based pricing for its FRR </w:t>
      </w:r>
      <w:r w:rsidR="00AD654F" w:rsidRPr="007B1ABF">
        <w:t>obligations under the PJM RAA.</w:t>
      </w:r>
      <w:r w:rsidR="00A53C7D" w:rsidRPr="007B1ABF">
        <w:rPr>
          <w:rStyle w:val="FootnoteReference"/>
        </w:rPr>
        <w:footnoteReference w:id="42"/>
      </w:r>
      <w:r w:rsidR="002857D4" w:rsidRPr="007B1ABF">
        <w:t xml:space="preserve"> </w:t>
      </w:r>
      <w:r w:rsidR="00275FA9">
        <w:t xml:space="preserve"> </w:t>
      </w:r>
      <w:r w:rsidR="0014231E">
        <w:t>Yet</w:t>
      </w:r>
      <w:r w:rsidR="00AD654F" w:rsidRPr="007B1ABF">
        <w:t xml:space="preserve"> Duke</w:t>
      </w:r>
      <w:r w:rsidR="00E74D6D">
        <w:t xml:space="preserve"> </w:t>
      </w:r>
      <w:r w:rsidR="00A06E0A">
        <w:t xml:space="preserve">now </w:t>
      </w:r>
      <w:r w:rsidR="00E74D6D">
        <w:t>wants</w:t>
      </w:r>
      <w:r w:rsidR="00AD654F" w:rsidRPr="007B1ABF">
        <w:t xml:space="preserve"> AE</w:t>
      </w:r>
      <w:r w:rsidR="002857D4" w:rsidRPr="007B1ABF">
        <w:t>P Ohio’s</w:t>
      </w:r>
      <w:r w:rsidR="00E74D6D">
        <w:t xml:space="preserve"> deal</w:t>
      </w:r>
      <w:r w:rsidR="002857D4" w:rsidRPr="007B1ABF">
        <w:t xml:space="preserve">. </w:t>
      </w:r>
      <w:r w:rsidR="00E74D6D">
        <w:t xml:space="preserve"> </w:t>
      </w:r>
      <w:r w:rsidR="00AD654F" w:rsidRPr="007B1ABF">
        <w:t>Unlike AEP Ohio who continued to take the risk of litiga</w:t>
      </w:r>
      <w:r w:rsidR="002857D4" w:rsidRPr="007B1ABF">
        <w:t>tion, Duke</w:t>
      </w:r>
      <w:r w:rsidR="00914964">
        <w:t xml:space="preserve"> opted for</w:t>
      </w:r>
      <w:r w:rsidR="0014231E">
        <w:t xml:space="preserve"> regulatory certainty in</w:t>
      </w:r>
      <w:r w:rsidR="00A06E0A">
        <w:t xml:space="preserve"> </w:t>
      </w:r>
      <w:r w:rsidR="0014231E">
        <w:t>settling the</w:t>
      </w:r>
      <w:r w:rsidR="002857D4" w:rsidRPr="007B1ABF">
        <w:t xml:space="preserve"> two </w:t>
      </w:r>
      <w:r w:rsidR="00AD654F" w:rsidRPr="007B1ABF">
        <w:t xml:space="preserve">proceedings. </w:t>
      </w:r>
      <w:r w:rsidR="00E74D6D">
        <w:t xml:space="preserve"> </w:t>
      </w:r>
      <w:r w:rsidR="00AD654F" w:rsidRPr="007B1ABF">
        <w:t>Those</w:t>
      </w:r>
      <w:r w:rsidR="00445E0D">
        <w:t xml:space="preserve"> two</w:t>
      </w:r>
      <w:r w:rsidR="00AD654F" w:rsidRPr="007B1ABF">
        <w:t xml:space="preserve"> sti</w:t>
      </w:r>
      <w:r w:rsidR="002857D4" w:rsidRPr="007B1ABF">
        <w:t xml:space="preserve">pulations were reached </w:t>
      </w:r>
      <w:r w:rsidR="00AD654F" w:rsidRPr="007B1ABF">
        <w:t>well after AEP Ohio filed</w:t>
      </w:r>
      <w:r w:rsidR="002857D4" w:rsidRPr="007B1ABF">
        <w:t xml:space="preserve"> proceedings at the state and </w:t>
      </w:r>
      <w:r w:rsidR="00AD654F" w:rsidRPr="007B1ABF">
        <w:t>federal levels</w:t>
      </w:r>
      <w:r w:rsidR="00445E0D">
        <w:t xml:space="preserve"> regarding the exact same issues.</w:t>
      </w:r>
      <w:r w:rsidR="00AD654F" w:rsidRPr="007B1ABF">
        <w:t xml:space="preserve"> </w:t>
      </w:r>
      <w:r w:rsidR="00A47440">
        <w:t xml:space="preserve"> Through those</w:t>
      </w:r>
      <w:r w:rsidR="00445E0D">
        <w:t xml:space="preserve"> S</w:t>
      </w:r>
      <w:r w:rsidR="002857D4" w:rsidRPr="007B1ABF">
        <w:t>tipulations</w:t>
      </w:r>
      <w:r w:rsidR="00F17A9D">
        <w:t>,</w:t>
      </w:r>
      <w:r w:rsidR="002857D4" w:rsidRPr="007B1ABF">
        <w:t xml:space="preserve"> Duke chose to </w:t>
      </w:r>
      <w:r w:rsidR="00AD654F" w:rsidRPr="007B1ABF">
        <w:t>resolve the wholesale capacity pricing issue by accepti</w:t>
      </w:r>
      <w:r w:rsidR="002857D4" w:rsidRPr="007B1ABF">
        <w:t xml:space="preserve">ng RPM priced capacity plus the </w:t>
      </w:r>
      <w:r w:rsidR="00AD654F" w:rsidRPr="007B1ABF">
        <w:t>$330 million ESSC, foregoing any challenges to the wh</w:t>
      </w:r>
      <w:r w:rsidR="002857D4" w:rsidRPr="007B1ABF">
        <w:t xml:space="preserve">olesale capacity pricing at the </w:t>
      </w:r>
      <w:r w:rsidR="00AD654F" w:rsidRPr="007B1ABF">
        <w:t>state an</w:t>
      </w:r>
      <w:r w:rsidR="00BC046E">
        <w:t>d federal level.</w:t>
      </w:r>
      <w:r w:rsidR="00EE3034">
        <w:t xml:space="preserve">  </w:t>
      </w:r>
      <w:r w:rsidR="00A06E0A" w:rsidRPr="007B1ABF">
        <w:t xml:space="preserve">Duke’s </w:t>
      </w:r>
      <w:r w:rsidR="00551DEF">
        <w:t xml:space="preserve">current </w:t>
      </w:r>
      <w:r w:rsidR="00A06E0A" w:rsidRPr="007B1ABF">
        <w:t>application</w:t>
      </w:r>
      <w:r w:rsidR="00445E0D">
        <w:t xml:space="preserve"> is improper</w:t>
      </w:r>
      <w:r w:rsidR="00A06E0A" w:rsidRPr="007B1ABF">
        <w:t xml:space="preserve"> </w:t>
      </w:r>
      <w:r w:rsidR="00BA0F08">
        <w:t xml:space="preserve">and </w:t>
      </w:r>
      <w:r w:rsidR="00A06E0A" w:rsidRPr="007B1ABF">
        <w:t>should be</w:t>
      </w:r>
      <w:r w:rsidR="00A06E0A">
        <w:t xml:space="preserve"> denied</w:t>
      </w:r>
      <w:r w:rsidR="00A06E0A" w:rsidRPr="007B1ABF">
        <w:t>.</w:t>
      </w:r>
    </w:p>
    <w:p w:rsidR="00AD654F" w:rsidRPr="007B1ABF" w:rsidRDefault="00AD654F" w:rsidP="006167D8">
      <w:pPr>
        <w:pStyle w:val="Heading1"/>
      </w:pPr>
      <w:bookmarkStart w:id="9" w:name="_Toc360172961"/>
      <w:r w:rsidRPr="007B1ABF">
        <w:t xml:space="preserve">II. </w:t>
      </w:r>
      <w:r w:rsidR="007B1ABF">
        <w:tab/>
      </w:r>
      <w:r w:rsidRPr="007B1ABF">
        <w:t>ARGUMENT</w:t>
      </w:r>
      <w:bookmarkEnd w:id="9"/>
    </w:p>
    <w:p w:rsidR="00E07D19" w:rsidRPr="006167D8" w:rsidRDefault="001228C2" w:rsidP="001228C2">
      <w:pPr>
        <w:pStyle w:val="Heading2"/>
      </w:pPr>
      <w:bookmarkStart w:id="10" w:name="_Toc360172962"/>
      <w:r>
        <w:t>A.</w:t>
      </w:r>
      <w:r>
        <w:tab/>
      </w:r>
      <w:r w:rsidR="001B6A58" w:rsidRPr="006167D8">
        <w:t>Duke’s Application</w:t>
      </w:r>
      <w:r w:rsidR="007B2FB7">
        <w:t xml:space="preserve"> should be rejected because it improp</w:t>
      </w:r>
      <w:r w:rsidR="00E61F5E">
        <w:softHyphen/>
      </w:r>
      <w:r w:rsidR="007B2FB7">
        <w:t>erly</w:t>
      </w:r>
      <w:r w:rsidR="00C75351" w:rsidRPr="006167D8">
        <w:t xml:space="preserve"> ignores</w:t>
      </w:r>
      <w:r w:rsidR="007B2FB7">
        <w:t xml:space="preserve"> the ESP Stipulation by</w:t>
      </w:r>
      <w:r w:rsidR="001B6A58" w:rsidRPr="006167D8">
        <w:t xml:space="preserve"> asking the Commis</w:t>
      </w:r>
      <w:r w:rsidR="00275FA9">
        <w:softHyphen/>
      </w:r>
      <w:r w:rsidR="001B6A58" w:rsidRPr="006167D8">
        <w:t xml:space="preserve">sion to </w:t>
      </w:r>
      <w:r w:rsidR="007B2FB7">
        <w:t>disregard</w:t>
      </w:r>
      <w:r w:rsidR="001B6A58" w:rsidRPr="006167D8">
        <w:t xml:space="preserve"> the capacity p</w:t>
      </w:r>
      <w:r w:rsidR="003B5FEE" w:rsidRPr="006167D8">
        <w:t>ricing terms of the Stipula</w:t>
      </w:r>
      <w:r w:rsidR="00E61F5E">
        <w:softHyphen/>
      </w:r>
      <w:r w:rsidR="003B5FEE" w:rsidRPr="006167D8">
        <w:t>tion</w:t>
      </w:r>
      <w:r w:rsidR="001B6A58" w:rsidRPr="006167D8">
        <w:t xml:space="preserve"> in favor of a cost-based capacity charge.</w:t>
      </w:r>
      <w:bookmarkEnd w:id="10"/>
      <w:r w:rsidR="001B6A58" w:rsidRPr="006167D8">
        <w:t xml:space="preserve">  </w:t>
      </w:r>
    </w:p>
    <w:p w:rsidR="00426468" w:rsidRDefault="00DC716E" w:rsidP="00C30CF1">
      <w:pPr>
        <w:pStyle w:val="Heading3"/>
      </w:pPr>
      <w:bookmarkStart w:id="11" w:name="_Toc360172963"/>
      <w:r>
        <w:t>The t</w:t>
      </w:r>
      <w:r w:rsidR="00426468">
        <w:t>erms of the ESP Stipulation</w:t>
      </w:r>
      <w:r>
        <w:t xml:space="preserve"> fully resolved Duke’s capacity pricing.</w:t>
      </w:r>
      <w:bookmarkEnd w:id="11"/>
      <w:r>
        <w:t xml:space="preserve">  </w:t>
      </w:r>
      <w:r w:rsidR="007B2FB7">
        <w:t xml:space="preserve"> </w:t>
      </w:r>
    </w:p>
    <w:p w:rsidR="00AB5A91" w:rsidRDefault="001228C2" w:rsidP="00AB5A91">
      <w:pPr>
        <w:pStyle w:val="Textstyle"/>
      </w:pPr>
      <w:r>
        <w:tab/>
      </w:r>
      <w:r w:rsidR="00AB5A91" w:rsidRPr="006A170E">
        <w:t>The</w:t>
      </w:r>
      <w:r w:rsidR="00AB5A91">
        <w:t xml:space="preserve"> </w:t>
      </w:r>
      <w:r w:rsidR="00AB5A91" w:rsidRPr="006A170E">
        <w:t>Company's request for additional compensation for capacity services in this case</w:t>
      </w:r>
      <w:r w:rsidR="00AB5A91">
        <w:t xml:space="preserve"> </w:t>
      </w:r>
      <w:r w:rsidR="00AB5A91" w:rsidRPr="006A170E">
        <w:t xml:space="preserve">violates </w:t>
      </w:r>
      <w:r w:rsidR="00AB5A91">
        <w:t xml:space="preserve">the terms of </w:t>
      </w:r>
      <w:r w:rsidR="00AB5A91" w:rsidRPr="006A170E">
        <w:t xml:space="preserve">the stipulation approved by </w:t>
      </w:r>
      <w:r w:rsidR="00CC67B0">
        <w:t>the Commission that resolved Duke’s</w:t>
      </w:r>
      <w:r w:rsidR="00AB5A91" w:rsidRPr="006A170E">
        <w:t xml:space="preserve"> ESP case.</w:t>
      </w:r>
      <w:r w:rsidR="00AB5A91">
        <w:t xml:space="preserve">  The </w:t>
      </w:r>
      <w:r w:rsidR="00AB5A91" w:rsidRPr="006A170E">
        <w:t>issue of compensation for</w:t>
      </w:r>
      <w:r w:rsidR="00AB5A91">
        <w:t xml:space="preserve"> </w:t>
      </w:r>
      <w:r w:rsidR="00AB5A91" w:rsidRPr="006A170E">
        <w:t xml:space="preserve">capacity services was addressed and fully resolved </w:t>
      </w:r>
      <w:r w:rsidR="00AB5A91">
        <w:t xml:space="preserve">in the </w:t>
      </w:r>
      <w:r w:rsidR="00AB5A91" w:rsidRPr="006A170E">
        <w:t>ESP</w:t>
      </w:r>
      <w:r w:rsidR="00AB5A91">
        <w:t xml:space="preserve"> proceeding</w:t>
      </w:r>
      <w:r w:rsidR="00AB5A91" w:rsidRPr="006A170E">
        <w:t>.</w:t>
      </w:r>
      <w:r w:rsidR="00AB5A91">
        <w:t xml:space="preserve">  </w:t>
      </w:r>
      <w:r w:rsidR="00AB5A91" w:rsidRPr="007B1ABF">
        <w:t>Duke agreed to provide capacity</w:t>
      </w:r>
      <w:r w:rsidR="00AB5A91">
        <w:t xml:space="preserve"> and agreed to be compensated</w:t>
      </w:r>
      <w:r w:rsidR="00AB5A91" w:rsidRPr="007B1ABF">
        <w:t xml:space="preserve"> for its</w:t>
      </w:r>
      <w:r w:rsidR="00AB5A91">
        <w:t xml:space="preserve"> FRR</w:t>
      </w:r>
      <w:r w:rsidR="00AB5A91" w:rsidRPr="007B1ABF">
        <w:t xml:space="preserve"> obligation based on the PJM</w:t>
      </w:r>
      <w:r w:rsidR="00BB6767">
        <w:t xml:space="preserve"> RPM</w:t>
      </w:r>
      <w:r w:rsidR="00AB5A91" w:rsidRPr="007B1ABF">
        <w:t xml:space="preserve">.  </w:t>
      </w:r>
      <w:r w:rsidR="00AB5A91">
        <w:t>The Duke ESP Stipulation states:</w:t>
      </w:r>
    </w:p>
    <w:p w:rsidR="00AB5A91" w:rsidRPr="006A170E" w:rsidRDefault="00AB5A91" w:rsidP="001228C2">
      <w:pPr>
        <w:pStyle w:val="Blockquote"/>
      </w:pPr>
      <w:r>
        <w:t>[a]</w:t>
      </w:r>
      <w:proofErr w:type="spellStart"/>
      <w:r w:rsidRPr="006A170E">
        <w:t>cknowledging</w:t>
      </w:r>
      <w:proofErr w:type="spellEnd"/>
      <w:r w:rsidRPr="006A170E">
        <w:t xml:space="preserve"> Duke Energy Ohio's status as an FRR entity in PJM, </w:t>
      </w:r>
      <w:r w:rsidRPr="00E322A0">
        <w:t>the Parties agree that Duke Energy Ohio shall supply capacity to PJM, which, in turn, will charge for capacity to all wholesale supply auction winners for the applicable time periods of Duke Energy Ohio's ESP</w:t>
      </w:r>
      <w:r w:rsidRPr="006A170E">
        <w:t xml:space="preserve"> with the charge for said capacity determined by the PJM RTO, which is the </w:t>
      </w:r>
      <w:proofErr w:type="spellStart"/>
      <w:r w:rsidRPr="006A170E">
        <w:t>FZCP</w:t>
      </w:r>
      <w:proofErr w:type="spellEnd"/>
      <w:r w:rsidRPr="006A170E">
        <w:t xml:space="preserve"> in the unconstrained RTO region.</w:t>
      </w:r>
      <w:r>
        <w:rPr>
          <w:rStyle w:val="FootnoteReference"/>
        </w:rPr>
        <w:footnoteReference w:id="43"/>
      </w:r>
      <w:r w:rsidRPr="006A170E">
        <w:t xml:space="preserve"> </w:t>
      </w:r>
    </w:p>
    <w:p w:rsidR="00AB5A91" w:rsidRDefault="00AB5A91" w:rsidP="001228C2">
      <w:pPr>
        <w:pStyle w:val="Textstyle"/>
      </w:pPr>
      <w:r>
        <w:t>The ESP stipulation further states that:</w:t>
      </w:r>
    </w:p>
    <w:p w:rsidR="00AB5A91" w:rsidRDefault="00AB5A91" w:rsidP="001228C2">
      <w:pPr>
        <w:pStyle w:val="Blockquote"/>
      </w:pPr>
      <w:r>
        <w:t>***t</w:t>
      </w:r>
      <w:r w:rsidRPr="009A219A">
        <w:t>he Parties agree that Duke Energy Ohio shall supply capacity</w:t>
      </w:r>
      <w:r>
        <w:t xml:space="preserve"> resources to PJM, which, in turn</w:t>
      </w:r>
      <w:r w:rsidRPr="009A219A">
        <w:t>, will charge for capacity resources to all CRES providers in its service terri</w:t>
      </w:r>
      <w:r w:rsidR="00E61F5E">
        <w:softHyphen/>
      </w:r>
      <w:r w:rsidRPr="009A219A">
        <w:t>tory for the term of the ESP, with the exception of those CRES providers that have opted out of Duke Energy Ohio's FRR plan, for the period during which they opted out.</w:t>
      </w:r>
      <w:r w:rsidR="001228C2">
        <w:t xml:space="preserve"> </w:t>
      </w:r>
      <w:r w:rsidRPr="009A219A">
        <w:t xml:space="preserve"> The Parties farther agree that, during the term of the ESP, </w:t>
      </w:r>
      <w:r w:rsidRPr="00236570">
        <w:rPr>
          <w:strike/>
        </w:rPr>
        <w:t>Duke Energy Ohio</w:t>
      </w:r>
      <w:r w:rsidRPr="009A219A">
        <w:t xml:space="preserve"> </w:t>
      </w:r>
      <w:r>
        <w:t xml:space="preserve">PJM </w:t>
      </w:r>
      <w:r w:rsidRPr="009A219A">
        <w:t xml:space="preserve">shall charge CRES providers for capacity as determined by the PJM RTO, which is the </w:t>
      </w:r>
      <w:proofErr w:type="spellStart"/>
      <w:r w:rsidRPr="009A219A">
        <w:t>FZCP</w:t>
      </w:r>
      <w:proofErr w:type="spellEnd"/>
      <w:r w:rsidRPr="009A219A">
        <w:t xml:space="preserve"> in the unconstrained RTO region, for the applicable time periods of its ESP. When computing the capacity allocations for PJM, Duke Energy Ohio shall use an allocation formula in common use in PJM.</w:t>
      </w:r>
      <w:r>
        <w:rPr>
          <w:rStyle w:val="FootnoteReference"/>
        </w:rPr>
        <w:footnoteReference w:id="44"/>
      </w:r>
    </w:p>
    <w:p w:rsidR="00AB5A91" w:rsidRDefault="00EC781F" w:rsidP="00AB5A91">
      <w:pPr>
        <w:spacing w:after="0" w:line="480" w:lineRule="auto"/>
        <w:rPr>
          <w:rFonts w:ascii="Times New Roman" w:hAnsi="Times New Roman" w:cs="Times New Roman"/>
          <w:sz w:val="26"/>
          <w:szCs w:val="26"/>
        </w:rPr>
      </w:pPr>
      <w:r>
        <w:rPr>
          <w:rFonts w:ascii="Times New Roman" w:hAnsi="Times New Roman" w:cs="Times New Roman"/>
          <w:sz w:val="26"/>
          <w:szCs w:val="26"/>
        </w:rPr>
        <w:t>Duke w</w:t>
      </w:r>
      <w:r w:rsidR="00AB5A91" w:rsidRPr="00236570">
        <w:rPr>
          <w:rFonts w:ascii="Times New Roman" w:hAnsi="Times New Roman" w:cs="Times New Roman"/>
          <w:sz w:val="26"/>
          <w:szCs w:val="26"/>
        </w:rPr>
        <w:t>itness Janson</w:t>
      </w:r>
      <w:r w:rsidR="0046050B">
        <w:rPr>
          <w:rFonts w:ascii="Times New Roman" w:hAnsi="Times New Roman" w:cs="Times New Roman"/>
          <w:sz w:val="26"/>
          <w:szCs w:val="26"/>
        </w:rPr>
        <w:t>, in her testimony in support of the ESP Stipulation,</w:t>
      </w:r>
      <w:r w:rsidR="00AB5A91" w:rsidRPr="00236570">
        <w:rPr>
          <w:rFonts w:ascii="Times New Roman" w:hAnsi="Times New Roman" w:cs="Times New Roman"/>
          <w:sz w:val="26"/>
          <w:szCs w:val="26"/>
        </w:rPr>
        <w:t xml:space="preserve"> con</w:t>
      </w:r>
      <w:r w:rsidR="00AB5A91" w:rsidRPr="00236570">
        <w:rPr>
          <w:rFonts w:ascii="Times New Roman" w:hAnsi="Times New Roman" w:cs="Times New Roman"/>
          <w:sz w:val="26"/>
          <w:szCs w:val="26"/>
        </w:rPr>
        <w:softHyphen/>
        <w:t>firmed that Duke agreed to be compensated for capacity based on RPM prices.</w:t>
      </w:r>
      <w:r>
        <w:rPr>
          <w:rFonts w:ascii="Times New Roman" w:hAnsi="Times New Roman" w:cs="Times New Roman"/>
          <w:sz w:val="26"/>
          <w:szCs w:val="26"/>
        </w:rPr>
        <w:t xml:space="preserve">  Duke w</w:t>
      </w:r>
      <w:r w:rsidR="00AB5A91">
        <w:rPr>
          <w:rFonts w:ascii="Times New Roman" w:hAnsi="Times New Roman" w:cs="Times New Roman"/>
          <w:sz w:val="26"/>
          <w:szCs w:val="26"/>
        </w:rPr>
        <w:t>itness Janson stated that:</w:t>
      </w:r>
    </w:p>
    <w:p w:rsidR="00AB5A91" w:rsidRDefault="00AB5A91" w:rsidP="001228C2">
      <w:pPr>
        <w:pStyle w:val="Blockquote"/>
      </w:pPr>
      <w:r>
        <w:t>[</w:t>
      </w:r>
      <w:proofErr w:type="spellStart"/>
      <w:r>
        <w:t>i</w:t>
      </w:r>
      <w:proofErr w:type="spellEnd"/>
      <w:r>
        <w:t>]</w:t>
      </w:r>
      <w:r w:rsidRPr="000E1457">
        <w:t>n the Stipulation and Recommendation, the parties recog</w:t>
      </w:r>
      <w:r w:rsidR="00E61F5E">
        <w:softHyphen/>
      </w:r>
      <w:r w:rsidRPr="000E1457">
        <w:t>nized Duke Energy Ohio's obligations as an FRR entity and, for the term of the ESP, Duke Energy Ohio will supply capacity</w:t>
      </w:r>
      <w:r>
        <w:t xml:space="preserve"> resources to PJM, which, in turn</w:t>
      </w:r>
      <w:r w:rsidRPr="000E1457">
        <w:t>, will charge whole</w:t>
      </w:r>
      <w:r w:rsidR="00E61F5E">
        <w:softHyphen/>
      </w:r>
      <w:r w:rsidRPr="000E1457">
        <w:t xml:space="preserve">sale suppliers for capacity. </w:t>
      </w:r>
      <w:r w:rsidR="001228C2">
        <w:t xml:space="preserve"> </w:t>
      </w:r>
      <w:r w:rsidRPr="000E1457">
        <w:t>But the charge applicable to these wholesale suppliers will not reflect Duke Energy Ohio's costs of service as defined above.  Rather, the charge will be predi</w:t>
      </w:r>
      <w:r w:rsidR="00E61F5E">
        <w:softHyphen/>
      </w:r>
      <w:r w:rsidRPr="000E1457">
        <w:t>cated upon PJM's capacity market pricing</w:t>
      </w:r>
      <w:r>
        <w:t xml:space="preserve"> stru</w:t>
      </w:r>
      <w:r w:rsidRPr="000E1457">
        <w:t>cture. To clar</w:t>
      </w:r>
      <w:r w:rsidR="00E61F5E">
        <w:softHyphen/>
      </w:r>
      <w:r w:rsidRPr="000E1457">
        <w:t>ify, Duke Energy Ohio bears the obligation to provide the capacity resources necessary to serve all customers in our footprint for the term of the ESP and the Company will be compensated for capacity resources based upon competitive PJM prices.</w:t>
      </w:r>
      <w:r w:rsidRPr="000E1457">
        <w:rPr>
          <w:rStyle w:val="FootnoteReference"/>
        </w:rPr>
        <w:footnoteReference w:id="45"/>
      </w:r>
      <w:r w:rsidRPr="000E1457">
        <w:t xml:space="preserve">  </w:t>
      </w:r>
    </w:p>
    <w:p w:rsidR="00AB5A91" w:rsidRDefault="003517B6" w:rsidP="001228C2">
      <w:pPr>
        <w:pStyle w:val="Textstyle"/>
      </w:pPr>
      <w:r>
        <w:t>After being q</w:t>
      </w:r>
      <w:r w:rsidR="0063212C">
        <w:t>uot</w:t>
      </w:r>
      <w:r>
        <w:t>ed</w:t>
      </w:r>
      <w:r w:rsidR="0063212C">
        <w:t xml:space="preserve"> this testimony on cross examination</w:t>
      </w:r>
      <w:r w:rsidR="00EC781F">
        <w:t xml:space="preserve">, Duke </w:t>
      </w:r>
      <w:proofErr w:type="gramStart"/>
      <w:r w:rsidR="00EC781F">
        <w:t>witness</w:t>
      </w:r>
      <w:proofErr w:type="gramEnd"/>
      <w:r w:rsidR="00EC781F">
        <w:t xml:space="preserve"> </w:t>
      </w:r>
      <w:r w:rsidR="0063212C">
        <w:t>Trent conceded that Ms. Janson was talking about the price of capacity and Duke being compensated for its resources based upon competitive pricing.</w:t>
      </w:r>
      <w:r w:rsidR="00C067A0">
        <w:rPr>
          <w:rStyle w:val="FootnoteReference"/>
        </w:rPr>
        <w:footnoteReference w:id="46"/>
      </w:r>
      <w:r w:rsidR="0063212C">
        <w:t xml:space="preserve">   </w:t>
      </w:r>
      <w:r w:rsidR="00EC781F">
        <w:t>Likewise, Staff w</w:t>
      </w:r>
      <w:r w:rsidR="00AB5A91" w:rsidRPr="00236570">
        <w:t>itness Turkenton, in her testimony in support of the</w:t>
      </w:r>
      <w:r w:rsidR="008C26B6">
        <w:t xml:space="preserve"> ESP</w:t>
      </w:r>
      <w:r w:rsidR="00AB5A91" w:rsidRPr="00236570">
        <w:t xml:space="preserve"> Stipulation, also confirmed that Duke agreed to be compensated for capacity based on RPM prices.</w:t>
      </w:r>
    </w:p>
    <w:p w:rsidR="00AB5A91" w:rsidRDefault="00EC781F" w:rsidP="00AB5A91">
      <w:pPr>
        <w:spacing w:after="0" w:line="480" w:lineRule="auto"/>
        <w:rPr>
          <w:rFonts w:ascii="Times New Roman" w:hAnsi="Times New Roman" w:cs="Times New Roman"/>
          <w:sz w:val="26"/>
          <w:szCs w:val="26"/>
        </w:rPr>
      </w:pPr>
      <w:r>
        <w:rPr>
          <w:rFonts w:ascii="Times New Roman" w:hAnsi="Times New Roman" w:cs="Times New Roman"/>
          <w:sz w:val="26"/>
          <w:szCs w:val="26"/>
        </w:rPr>
        <w:t>Staff w</w:t>
      </w:r>
      <w:r w:rsidR="00AB5A91">
        <w:rPr>
          <w:rFonts w:ascii="Times New Roman" w:hAnsi="Times New Roman" w:cs="Times New Roman"/>
          <w:sz w:val="26"/>
          <w:szCs w:val="26"/>
        </w:rPr>
        <w:t>itness Turkenton stated that:</w:t>
      </w:r>
    </w:p>
    <w:p w:rsidR="00AB5A91" w:rsidRDefault="00AB5A91" w:rsidP="001228C2">
      <w:pPr>
        <w:pStyle w:val="Blockquote"/>
      </w:pPr>
      <w:r>
        <w:t xml:space="preserve">[t]he Stipulation enhances the development of competition for generation service in the Duke </w:t>
      </w:r>
      <w:proofErr w:type="gramStart"/>
      <w:r>
        <w:t>service</w:t>
      </w:r>
      <w:proofErr w:type="gramEnd"/>
      <w:r>
        <w:t xml:space="preserve"> areas as Duke has committed to charging the prevailing market price for capac</w:t>
      </w:r>
      <w:r w:rsidR="00E61F5E">
        <w:softHyphen/>
      </w:r>
      <w:r>
        <w:t>ity.  Although Duke will be operating under a Fixed Resource Requirements (FRR) capacity construct in PJM starting Janu</w:t>
      </w:r>
      <w:r w:rsidR="00E61F5E">
        <w:softHyphen/>
      </w:r>
      <w:r>
        <w:t>ary 1, 2012, it has committed to charge the prevailing Relia</w:t>
      </w:r>
      <w:r w:rsidR="00E61F5E">
        <w:softHyphen/>
      </w:r>
      <w:r>
        <w:t>bility Pricing Model (RPM) Final Zonal Capacity Price (</w:t>
      </w:r>
      <w:proofErr w:type="spellStart"/>
      <w:r>
        <w:t>FZCP</w:t>
      </w:r>
      <w:proofErr w:type="spellEnd"/>
      <w:r>
        <w:t>) in the unconstrained region of PJM to all CRES pro</w:t>
      </w:r>
      <w:r w:rsidR="00E61F5E">
        <w:softHyphen/>
      </w:r>
      <w:r>
        <w:t xml:space="preserve">viders in its service territory and to all winning </w:t>
      </w:r>
      <w:proofErr w:type="spellStart"/>
      <w:r>
        <w:t>CBP</w:t>
      </w:r>
      <w:proofErr w:type="spellEnd"/>
      <w:r>
        <w:t xml:space="preserve"> suppliers of its SSO load during the period it is under the FRR con</w:t>
      </w:r>
      <w:r w:rsidR="00E61F5E">
        <w:softHyphen/>
      </w:r>
      <w:r>
        <w:t>struct.</w:t>
      </w:r>
      <w:r w:rsidRPr="00236570">
        <w:rPr>
          <w:rStyle w:val="FootnoteReference"/>
        </w:rPr>
        <w:footnoteReference w:id="47"/>
      </w:r>
    </w:p>
    <w:p w:rsidR="00AB5A91" w:rsidRDefault="00AB5A91" w:rsidP="001228C2">
      <w:pPr>
        <w:pStyle w:val="Textstyle"/>
      </w:pPr>
      <w:r>
        <w:t xml:space="preserve">Duke </w:t>
      </w:r>
      <w:r w:rsidR="00EC781F">
        <w:t>did not cross-examine Staff w</w:t>
      </w:r>
      <w:r w:rsidRPr="00837886">
        <w:t>itness Turkenton on her testimony in support of the</w:t>
      </w:r>
      <w:r w:rsidR="004F7B3E">
        <w:t xml:space="preserve"> ESP Stipulation.</w:t>
      </w:r>
      <w:r w:rsidR="000A7A52">
        <w:rPr>
          <w:rStyle w:val="FootnoteReference"/>
        </w:rPr>
        <w:footnoteReference w:id="48"/>
      </w:r>
      <w:r w:rsidR="004F7B3E">
        <w:t xml:space="preserve">  </w:t>
      </w:r>
      <w:r w:rsidRPr="00837886">
        <w:t>Duke agreed to provide capacity and agreed to be compensated for its FRR obligation based on the</w:t>
      </w:r>
      <w:r w:rsidR="00BB6767">
        <w:t xml:space="preserve"> RPM</w:t>
      </w:r>
      <w:r w:rsidRPr="00837886">
        <w:t>.</w:t>
      </w:r>
      <w:r w:rsidRPr="007B1ABF">
        <w:t xml:space="preserve"> </w:t>
      </w:r>
      <w:r>
        <w:t xml:space="preserve">   </w:t>
      </w:r>
    </w:p>
    <w:p w:rsidR="00A227BD" w:rsidRDefault="001228C2" w:rsidP="001228C2">
      <w:pPr>
        <w:pStyle w:val="Textstyle"/>
      </w:pPr>
      <w:r>
        <w:tab/>
      </w:r>
      <w:r w:rsidR="008C26B6">
        <w:t>Throughout</w:t>
      </w:r>
      <w:r w:rsidR="00002C87">
        <w:t xml:space="preserve"> </w:t>
      </w:r>
      <w:r w:rsidR="00464100" w:rsidRPr="00873744">
        <w:t>its Appli</w:t>
      </w:r>
      <w:r w:rsidR="008C26B6">
        <w:t>c</w:t>
      </w:r>
      <w:r w:rsidR="0046050B">
        <w:t>ation and testimony, Duke references</w:t>
      </w:r>
      <w:r w:rsidR="00464100" w:rsidRPr="00873744">
        <w:t xml:space="preserve"> </w:t>
      </w:r>
      <w:r w:rsidR="00CC67B0">
        <w:t>AEP Ohio’s</w:t>
      </w:r>
      <w:r w:rsidR="00464100" w:rsidRPr="00873744">
        <w:t xml:space="preserve"> </w:t>
      </w:r>
      <w:r w:rsidR="00873744" w:rsidRPr="00873744">
        <w:t xml:space="preserve">capacity </w:t>
      </w:r>
      <w:r w:rsidR="00464100" w:rsidRPr="00873744">
        <w:t>pricing</w:t>
      </w:r>
      <w:r w:rsidR="00873744" w:rsidRPr="00873744">
        <w:t xml:space="preserve"> </w:t>
      </w:r>
      <w:r w:rsidR="00464100" w:rsidRPr="00873744">
        <w:t>mechanism adopted by the Commission</w:t>
      </w:r>
      <w:r w:rsidR="008C26B6">
        <w:t xml:space="preserve"> that</w:t>
      </w:r>
      <w:r w:rsidR="00464100" w:rsidRPr="00873744">
        <w:t xml:space="preserve"> requires the </w:t>
      </w:r>
      <w:r w:rsidR="00CC67B0">
        <w:t xml:space="preserve">capacity </w:t>
      </w:r>
      <w:r w:rsidR="00464100" w:rsidRPr="00873744">
        <w:t>price provided to CRES providers to</w:t>
      </w:r>
      <w:r w:rsidR="00873744" w:rsidRPr="00873744">
        <w:t xml:space="preserve"> </w:t>
      </w:r>
      <w:r w:rsidR="00464100" w:rsidRPr="00873744">
        <w:t>be set at market prices, but also</w:t>
      </w:r>
      <w:r w:rsidR="00873744" w:rsidRPr="00873744">
        <w:t xml:space="preserve"> </w:t>
      </w:r>
      <w:r w:rsidR="00464100" w:rsidRPr="00873744">
        <w:t>provides for a deferral and recov</w:t>
      </w:r>
      <w:r w:rsidR="00E61F5E">
        <w:softHyphen/>
      </w:r>
      <w:r w:rsidR="00464100" w:rsidRPr="00873744">
        <w:t>ery of the difference between the market price</w:t>
      </w:r>
      <w:r w:rsidR="00873744" w:rsidRPr="00873744">
        <w:t xml:space="preserve"> </w:t>
      </w:r>
      <w:r w:rsidR="00464100" w:rsidRPr="00873744">
        <w:t>and AEP-Ohio's cost of providing capac</w:t>
      </w:r>
      <w:r w:rsidR="00E61F5E">
        <w:softHyphen/>
      </w:r>
      <w:r w:rsidR="00464100" w:rsidRPr="00873744">
        <w:t>ity.</w:t>
      </w:r>
      <w:r w:rsidR="00873744" w:rsidRPr="00873744">
        <w:t xml:space="preserve"> </w:t>
      </w:r>
      <w:r w:rsidR="00CC67B0">
        <w:t xml:space="preserve"> </w:t>
      </w:r>
      <w:r w:rsidR="0046050B">
        <w:t>Seeking</w:t>
      </w:r>
      <w:r w:rsidR="008C26B6">
        <w:t xml:space="preserve"> AEP Ohio’s deal, </w:t>
      </w:r>
      <w:r w:rsidR="00464100" w:rsidRPr="00873744">
        <w:t>Duke now argues that it is e</w:t>
      </w:r>
      <w:r w:rsidR="00873744">
        <w:t>ntitled to the same pricing and</w:t>
      </w:r>
      <w:r w:rsidR="00873744" w:rsidRPr="00873744">
        <w:t xml:space="preserve"> </w:t>
      </w:r>
      <w:r w:rsidR="00873744">
        <w:t>compensation</w:t>
      </w:r>
      <w:r w:rsidR="00464100" w:rsidRPr="00873744">
        <w:t xml:space="preserve"> </w:t>
      </w:r>
      <w:r w:rsidR="00873744" w:rsidRPr="00873744">
        <w:t xml:space="preserve">terms authorized for AEP </w:t>
      </w:r>
      <w:r w:rsidR="00464100" w:rsidRPr="00873744">
        <w:t xml:space="preserve">Ohio. </w:t>
      </w:r>
      <w:r w:rsidR="00CC67B0">
        <w:t xml:space="preserve"> </w:t>
      </w:r>
      <w:r w:rsidR="00464100" w:rsidRPr="00873744">
        <w:t>However, the ESP Stipulation</w:t>
      </w:r>
      <w:r w:rsidR="00873744" w:rsidRPr="00873744">
        <w:t xml:space="preserve"> </w:t>
      </w:r>
      <w:r w:rsidR="00464100" w:rsidRPr="00873744">
        <w:t>entered into by Duke and other parties</w:t>
      </w:r>
      <w:r w:rsidR="00873744">
        <w:t>, including Staff,</w:t>
      </w:r>
      <w:r w:rsidR="00464100" w:rsidRPr="00873744">
        <w:t xml:space="preserve"> does not include an </w:t>
      </w:r>
      <w:r w:rsidR="00E106B2">
        <w:t>“</w:t>
      </w:r>
      <w:r w:rsidR="00464100" w:rsidRPr="00873744">
        <w:t>out</w:t>
      </w:r>
      <w:r w:rsidR="00873744" w:rsidRPr="00873744">
        <w:t xml:space="preserve"> </w:t>
      </w:r>
      <w:r w:rsidR="00464100" w:rsidRPr="00873744">
        <w:t>clause</w:t>
      </w:r>
      <w:r w:rsidR="00E106B2">
        <w:t>”</w:t>
      </w:r>
      <w:r w:rsidR="00464100" w:rsidRPr="00873744">
        <w:t xml:space="preserve"> for buy</w:t>
      </w:r>
      <w:r w:rsidR="00E61F5E">
        <w:softHyphen/>
      </w:r>
      <w:r w:rsidR="00464100" w:rsidRPr="00873744">
        <w:t>er's remorse for any signatory party.</w:t>
      </w:r>
      <w:r w:rsidR="0074399D">
        <w:rPr>
          <w:rStyle w:val="FootnoteReference"/>
        </w:rPr>
        <w:footnoteReference w:id="49"/>
      </w:r>
      <w:r w:rsidR="00873744" w:rsidRPr="00873744">
        <w:t xml:space="preserve"> </w:t>
      </w:r>
      <w:r w:rsidR="00873744">
        <w:t xml:space="preserve"> </w:t>
      </w:r>
    </w:p>
    <w:p w:rsidR="00873744" w:rsidRPr="00873744" w:rsidRDefault="001228C2" w:rsidP="001228C2">
      <w:pPr>
        <w:pStyle w:val="Textstyle"/>
      </w:pPr>
      <w:r>
        <w:tab/>
      </w:r>
      <w:r w:rsidR="00464100" w:rsidRPr="00873744">
        <w:t>Duk</w:t>
      </w:r>
      <w:r w:rsidR="00873744" w:rsidRPr="00873744">
        <w:t xml:space="preserve">e attempts to </w:t>
      </w:r>
      <w:r w:rsidR="00464100" w:rsidRPr="00873744">
        <w:t>differentiate between its commitments under the ESP</w:t>
      </w:r>
      <w:r w:rsidR="00873744" w:rsidRPr="00873744">
        <w:t xml:space="preserve"> </w:t>
      </w:r>
      <w:r w:rsidR="00464100" w:rsidRPr="00873744">
        <w:t>Stipulation and its claim in this case by asserting that the Company agreed to the</w:t>
      </w:r>
      <w:r w:rsidR="00873744" w:rsidRPr="00873744">
        <w:t xml:space="preserve"> </w:t>
      </w:r>
      <w:r w:rsidR="00464100" w:rsidRPr="00873744">
        <w:rPr>
          <w:i/>
          <w:iCs/>
        </w:rPr>
        <w:t xml:space="preserve">pricing </w:t>
      </w:r>
      <w:r w:rsidR="00464100" w:rsidRPr="00873744">
        <w:t>of capacity services in the ESP Stipulation, but somehow did not agree to</w:t>
      </w:r>
      <w:r w:rsidR="00873744" w:rsidRPr="00873744">
        <w:t xml:space="preserve"> </w:t>
      </w:r>
      <w:r w:rsidR="00464100" w:rsidRPr="00873744">
        <w:t>its</w:t>
      </w:r>
      <w:r w:rsidR="00873744">
        <w:t xml:space="preserve"> </w:t>
      </w:r>
      <w:r w:rsidR="00464100" w:rsidRPr="00873744">
        <w:rPr>
          <w:i/>
          <w:iCs/>
        </w:rPr>
        <w:t xml:space="preserve">compensation </w:t>
      </w:r>
      <w:r w:rsidR="00464100" w:rsidRPr="00873744">
        <w:t>for capacity services in that same ESP Stipulation.</w:t>
      </w:r>
      <w:r w:rsidR="0074399D">
        <w:rPr>
          <w:rStyle w:val="FootnoteReference"/>
        </w:rPr>
        <w:footnoteReference w:id="50"/>
      </w:r>
      <w:r w:rsidR="00464100" w:rsidRPr="00873744">
        <w:t xml:space="preserve"> </w:t>
      </w:r>
      <w:r w:rsidR="0074399D">
        <w:t xml:space="preserve"> </w:t>
      </w:r>
      <w:r w:rsidR="00464100" w:rsidRPr="00873744">
        <w:t>Duke witness B. Keith Trent states:</w:t>
      </w:r>
    </w:p>
    <w:p w:rsidR="00873744" w:rsidRDefault="0046050B" w:rsidP="00E106B2">
      <w:pPr>
        <w:pStyle w:val="Blockquote"/>
      </w:pPr>
      <w:r>
        <w:t>[a]</w:t>
      </w:r>
      <w:proofErr w:type="spellStart"/>
      <w:r w:rsidR="00464100" w:rsidRPr="00873744">
        <w:t>nd</w:t>
      </w:r>
      <w:proofErr w:type="spellEnd"/>
      <w:r w:rsidR="00464100" w:rsidRPr="00873744">
        <w:t xml:space="preserve"> while the ESP Stipulation, as approved by the Commis</w:t>
      </w:r>
      <w:r w:rsidR="00E61F5E">
        <w:softHyphen/>
      </w:r>
      <w:r w:rsidR="00464100" w:rsidRPr="00873744">
        <w:t>sion, identifies the</w:t>
      </w:r>
      <w:r w:rsidR="00873744" w:rsidRPr="00873744">
        <w:t xml:space="preserve"> price that PJM </w:t>
      </w:r>
      <w:r w:rsidR="00464100" w:rsidRPr="00873744">
        <w:t>would charge wholesale and competitive retail suppliers for</w:t>
      </w:r>
      <w:r w:rsidR="00873744" w:rsidRPr="00873744">
        <w:t xml:space="preserve"> </w:t>
      </w:r>
      <w:r w:rsidR="00464100" w:rsidRPr="00873744">
        <w:t>capacity, the ESP Stipula</w:t>
      </w:r>
      <w:r w:rsidR="00E61F5E">
        <w:softHyphen/>
      </w:r>
      <w:r w:rsidR="00464100" w:rsidRPr="00873744">
        <w:t>tion did not address what Duke Energy Ohio would</w:t>
      </w:r>
      <w:r w:rsidR="00873744" w:rsidRPr="00873744">
        <w:t xml:space="preserve"> </w:t>
      </w:r>
      <w:r w:rsidR="00464100" w:rsidRPr="00873744">
        <w:t>receive, in the form of compensation, for its provision of noncompeti</w:t>
      </w:r>
      <w:r w:rsidR="00E61F5E">
        <w:softHyphen/>
      </w:r>
      <w:r w:rsidR="00464100" w:rsidRPr="00873744">
        <w:t>tive</w:t>
      </w:r>
      <w:r w:rsidR="00873744" w:rsidRPr="00873744">
        <w:t xml:space="preserve"> </w:t>
      </w:r>
      <w:r w:rsidR="00464100" w:rsidRPr="00873744">
        <w:t>wholesale capacity service.</w:t>
      </w:r>
      <w:r w:rsidR="0074399D">
        <w:rPr>
          <w:rStyle w:val="FootnoteReference"/>
        </w:rPr>
        <w:footnoteReference w:id="51"/>
      </w:r>
    </w:p>
    <w:p w:rsidR="004F7B3E" w:rsidRPr="00A227BD" w:rsidRDefault="008C26B6" w:rsidP="00E106B2">
      <w:pPr>
        <w:pStyle w:val="Textstyle"/>
        <w:rPr>
          <w:b/>
        </w:rPr>
      </w:pPr>
      <w:r w:rsidRPr="00873744">
        <w:t>Duke's compensation for capacity was</w:t>
      </w:r>
      <w:r>
        <w:t xml:space="preserve"> a key issue in the ESP Stipulation – </w:t>
      </w:r>
      <w:r w:rsidRPr="00873744">
        <w:t>it was not left unresolved.</w:t>
      </w:r>
      <w:r>
        <w:t xml:space="preserve">  The ESP Stipulation </w:t>
      </w:r>
      <w:r w:rsidRPr="008C26B6">
        <w:t>resolved</w:t>
      </w:r>
      <w:r w:rsidRPr="008C26B6">
        <w:rPr>
          <w:iCs/>
        </w:rPr>
        <w:t xml:space="preserve"> </w:t>
      </w:r>
      <w:r>
        <w:rPr>
          <w:iCs/>
        </w:rPr>
        <w:t>all</w:t>
      </w:r>
      <w:r w:rsidR="00464100" w:rsidRPr="00873744">
        <w:rPr>
          <w:i/>
          <w:iCs/>
        </w:rPr>
        <w:t xml:space="preserve"> </w:t>
      </w:r>
      <w:r w:rsidR="00464100" w:rsidRPr="00873744">
        <w:t>issues in the ESP case.</w:t>
      </w:r>
      <w:r w:rsidR="00873744" w:rsidRPr="00873744">
        <w:t xml:space="preserve">  </w:t>
      </w:r>
      <w:r w:rsidR="00EC781F">
        <w:t>Duke w</w:t>
      </w:r>
      <w:r w:rsidR="00CE23C7">
        <w:t xml:space="preserve">itness Trent’s </w:t>
      </w:r>
      <w:r w:rsidR="00A227BD" w:rsidRPr="00873744">
        <w:t>new</w:t>
      </w:r>
      <w:r w:rsidR="00A227BD">
        <w:t xml:space="preserve"> distinction – </w:t>
      </w:r>
      <w:r w:rsidR="00A227BD" w:rsidRPr="00873744">
        <w:t>that PJM charges capacity to CRES providers</w:t>
      </w:r>
      <w:r w:rsidR="00A227BD">
        <w:t xml:space="preserve">, rather than Duke – </w:t>
      </w:r>
      <w:r w:rsidR="00CE23C7">
        <w:t xml:space="preserve">is improper.  </w:t>
      </w:r>
      <w:r w:rsidR="00EC781F">
        <w:t>Kroger w</w:t>
      </w:r>
      <w:r w:rsidR="004F7B3E">
        <w:t>itness Higgins</w:t>
      </w:r>
      <w:r w:rsidR="00431B4C">
        <w:t>, in his direct testimony,</w:t>
      </w:r>
      <w:r w:rsidR="00A227BD">
        <w:t xml:space="preserve"> sums it up nicely</w:t>
      </w:r>
      <w:r w:rsidR="004F7B3E">
        <w:t>:</w:t>
      </w:r>
    </w:p>
    <w:p w:rsidR="004F7B3E" w:rsidRDefault="004F7B3E" w:rsidP="00E106B2">
      <w:pPr>
        <w:pStyle w:val="Blockquote"/>
      </w:pPr>
      <w:r>
        <w:t xml:space="preserve">I find </w:t>
      </w:r>
      <w:r w:rsidR="00464100" w:rsidRPr="00873744">
        <w:t>Mr. Trent's distinction between price and compensation to be disingenuous</w:t>
      </w:r>
      <w:r w:rsidR="00873744" w:rsidRPr="00873744">
        <w:t xml:space="preserve"> at best. </w:t>
      </w:r>
      <w:r>
        <w:t xml:space="preserve"> </w:t>
      </w:r>
      <w:r w:rsidR="00873744" w:rsidRPr="00873744">
        <w:t xml:space="preserve">If Duke </w:t>
      </w:r>
      <w:r w:rsidR="00464100" w:rsidRPr="00873744">
        <w:t xml:space="preserve">truly believed it was agreeing to </w:t>
      </w:r>
      <w:r w:rsidR="00E106B2">
        <w:t>“</w:t>
      </w:r>
      <w:r w:rsidR="00464100" w:rsidRPr="00873744">
        <w:t>pricing</w:t>
      </w:r>
      <w:r w:rsidR="00E106B2">
        <w:t>”</w:t>
      </w:r>
      <w:r w:rsidR="00464100" w:rsidRPr="00873744">
        <w:t xml:space="preserve"> but not</w:t>
      </w:r>
      <w:r w:rsidR="00873744" w:rsidRPr="00873744">
        <w:t xml:space="preserve"> </w:t>
      </w:r>
      <w:r w:rsidR="00E106B2">
        <w:t>“</w:t>
      </w:r>
      <w:r w:rsidR="00464100" w:rsidRPr="00873744">
        <w:t>compensation,</w:t>
      </w:r>
      <w:r w:rsidR="00E106B2">
        <w:t>”</w:t>
      </w:r>
      <w:r w:rsidR="00464100" w:rsidRPr="00873744">
        <w:t xml:space="preserve"> the Company had an obligation to disclose, in writing, that</w:t>
      </w:r>
      <w:r w:rsidR="00873744" w:rsidRPr="00873744">
        <w:t xml:space="preserve"> </w:t>
      </w:r>
      <w:r w:rsidR="00464100" w:rsidRPr="00873744">
        <w:t>critical distinc</w:t>
      </w:r>
      <w:r w:rsidR="00E61F5E">
        <w:softHyphen/>
      </w:r>
      <w:r w:rsidR="00464100" w:rsidRPr="00873744">
        <w:t>tion to the Commission and to the other</w:t>
      </w:r>
      <w:r w:rsidR="00873744" w:rsidRPr="00873744">
        <w:t xml:space="preserve"> </w:t>
      </w:r>
      <w:r w:rsidR="00464100" w:rsidRPr="00873744">
        <w:t>signatory parties to the ESP</w:t>
      </w:r>
      <w:r w:rsidR="00873744" w:rsidRPr="00873744">
        <w:t xml:space="preserve"> </w:t>
      </w:r>
      <w:r w:rsidR="00464100" w:rsidRPr="00873744">
        <w:t>Stipulation as a matter of fair dealing, particularly in accepting the compensation</w:t>
      </w:r>
      <w:r w:rsidR="00873744" w:rsidRPr="00873744">
        <w:t xml:space="preserve"> </w:t>
      </w:r>
      <w:r w:rsidR="00464100" w:rsidRPr="00873744">
        <w:t xml:space="preserve">provided by Rider ESSC as a bargained-for exchange. </w:t>
      </w:r>
      <w:r>
        <w:t xml:space="preserve"> </w:t>
      </w:r>
      <w:r w:rsidR="00464100" w:rsidRPr="00873744">
        <w:t>I am aware of no such</w:t>
      </w:r>
      <w:r w:rsidR="00873744" w:rsidRPr="00873744">
        <w:t xml:space="preserve"> </w:t>
      </w:r>
      <w:r w:rsidR="00464100" w:rsidRPr="00873744">
        <w:t>disclosure.</w:t>
      </w:r>
      <w:r w:rsidR="00873744" w:rsidRPr="00873744">
        <w:t xml:space="preserve"> </w:t>
      </w:r>
      <w:r w:rsidR="00464100" w:rsidRPr="00873744">
        <w:t xml:space="preserve"> Mr. Trent's choice of words in the passage quoted above might have the reader</w:t>
      </w:r>
      <w:r w:rsidR="00873744" w:rsidRPr="00873744">
        <w:t xml:space="preserve"> </w:t>
      </w:r>
      <w:r w:rsidR="00464100" w:rsidRPr="00873744">
        <w:t>believe the ESP Stipulation established a price that PJM would charge fo</w:t>
      </w:r>
      <w:r w:rsidR="00873744" w:rsidRPr="00873744">
        <w:t xml:space="preserve">r </w:t>
      </w:r>
      <w:r w:rsidR="00464100" w:rsidRPr="00873744">
        <w:t xml:space="preserve">capacity, as distinct from compensation that Duke would receive. </w:t>
      </w:r>
      <w:r w:rsidR="00600663">
        <w:t xml:space="preserve"> </w:t>
      </w:r>
      <w:r w:rsidR="00464100" w:rsidRPr="00873744">
        <w:t>However, it is</w:t>
      </w:r>
      <w:r w:rsidR="00873744" w:rsidRPr="00873744">
        <w:t xml:space="preserve"> </w:t>
      </w:r>
      <w:r w:rsidR="00464100" w:rsidRPr="00873744">
        <w:t>incontrovertible that Duke receives compensation for the capacity it is committed to supply under the terms of</w:t>
      </w:r>
      <w:r w:rsidR="00873744" w:rsidRPr="00873744">
        <w:t xml:space="preserve"> </w:t>
      </w:r>
      <w:r w:rsidR="00464100" w:rsidRPr="00873744">
        <w:t>the ESP Stipulation.</w:t>
      </w:r>
      <w:r w:rsidR="00CE23C7">
        <w:rPr>
          <w:rStyle w:val="FootnoteReference"/>
        </w:rPr>
        <w:footnoteReference w:id="52"/>
      </w:r>
    </w:p>
    <w:p w:rsidR="00FA626F" w:rsidRPr="00873744" w:rsidRDefault="004F7B3E" w:rsidP="00E106B2">
      <w:pPr>
        <w:pStyle w:val="Textstyle"/>
      </w:pPr>
      <w:r>
        <w:t>Again, the ESP Stipulation</w:t>
      </w:r>
      <w:r w:rsidR="00464100" w:rsidRPr="00873744">
        <w:t xml:space="preserve"> plainly established a rate that was to be charged by </w:t>
      </w:r>
      <w:r w:rsidR="009B1FE7">
        <w:rPr>
          <w:iCs/>
        </w:rPr>
        <w:t>Duke</w:t>
      </w:r>
      <w:r w:rsidR="00464100" w:rsidRPr="00873744">
        <w:rPr>
          <w:i/>
          <w:iCs/>
        </w:rPr>
        <w:t xml:space="preserve"> </w:t>
      </w:r>
      <w:r>
        <w:t>for capacity</w:t>
      </w:r>
      <w:r w:rsidR="00CE23C7">
        <w:t>.</w:t>
      </w:r>
    </w:p>
    <w:p w:rsidR="00431B4C" w:rsidRDefault="00E106B2" w:rsidP="00E106B2">
      <w:pPr>
        <w:pStyle w:val="Textstyle"/>
      </w:pPr>
      <w:r>
        <w:tab/>
      </w:r>
      <w:r w:rsidR="00CE23C7">
        <w:t>In support of</w:t>
      </w:r>
      <w:r w:rsidR="00F009C5">
        <w:t xml:space="preserve"> this new distinction, Duke further</w:t>
      </w:r>
      <w:r w:rsidR="00CE23C7">
        <w:t xml:space="preserve"> relies on a motion to amend the ESP Stipulation’s capacity provisions</w:t>
      </w:r>
      <w:r w:rsidR="00873744" w:rsidRPr="00873744">
        <w:t xml:space="preserve"> by substituting </w:t>
      </w:r>
      <w:r>
        <w:t>“</w:t>
      </w:r>
      <w:r w:rsidR="00873744" w:rsidRPr="00873744">
        <w:t>PJM</w:t>
      </w:r>
      <w:r>
        <w:t>”</w:t>
      </w:r>
      <w:r w:rsidR="00643322">
        <w:t xml:space="preserve"> </w:t>
      </w:r>
      <w:r w:rsidR="00CE23C7">
        <w:t xml:space="preserve">for </w:t>
      </w:r>
      <w:r>
        <w:t>“</w:t>
      </w:r>
      <w:r w:rsidR="00CE23C7">
        <w:t>Duke Energy Ohio.</w:t>
      </w:r>
      <w:r>
        <w:t>”</w:t>
      </w:r>
      <w:r w:rsidR="006773C0">
        <w:rPr>
          <w:rStyle w:val="FootnoteReference"/>
        </w:rPr>
        <w:footnoteReference w:id="53"/>
      </w:r>
      <w:r w:rsidR="008C26B6">
        <w:t xml:space="preserve"> </w:t>
      </w:r>
      <w:r w:rsidR="00873744" w:rsidRPr="00873744">
        <w:t xml:space="preserve"> In </w:t>
      </w:r>
      <w:r w:rsidR="00431B4C">
        <w:t>the</w:t>
      </w:r>
      <w:r w:rsidR="00873744" w:rsidRPr="00873744">
        <w:t xml:space="preserve"> motion, Duke explained that the change was needed to correct </w:t>
      </w:r>
      <w:r>
        <w:t>“</w:t>
      </w:r>
      <w:r w:rsidR="00873744" w:rsidRPr="00873744">
        <w:t>an ina</w:t>
      </w:r>
      <w:r w:rsidR="00431B4C">
        <w:t>dvertent typographical error</w:t>
      </w:r>
      <w:r>
        <w:t>”</w:t>
      </w:r>
      <w:r w:rsidR="00431B4C">
        <w:t xml:space="preserve"> and</w:t>
      </w:r>
      <w:r w:rsidR="00873744" w:rsidRPr="00873744">
        <w:t xml:space="preserve"> represented that no party opposed the correction.</w:t>
      </w:r>
      <w:r w:rsidR="006773C0">
        <w:rPr>
          <w:rStyle w:val="FootnoteReference"/>
        </w:rPr>
        <w:footnoteReference w:id="54"/>
      </w:r>
      <w:r w:rsidR="0046050B">
        <w:t xml:space="preserve">  The change is meaningless –</w:t>
      </w:r>
      <w:r w:rsidR="0046050B" w:rsidRPr="00873744">
        <w:t xml:space="preserve"> Duke</w:t>
      </w:r>
      <w:r w:rsidR="0046050B">
        <w:t xml:space="preserve"> still</w:t>
      </w:r>
      <w:r w:rsidR="0046050B" w:rsidRPr="00873744">
        <w:t xml:space="preserve"> receives compensation for the capacity it is committed to sup</w:t>
      </w:r>
      <w:r w:rsidR="00E61F5E">
        <w:softHyphen/>
      </w:r>
      <w:r w:rsidR="0046050B" w:rsidRPr="00873744">
        <w:t>ply under the terms of the ESP Stipulation</w:t>
      </w:r>
      <w:r w:rsidR="0046050B">
        <w:t>.</w:t>
      </w:r>
      <w:r w:rsidR="00873744" w:rsidRPr="00873744">
        <w:t xml:space="preserve"> </w:t>
      </w:r>
      <w:r w:rsidR="00EC781F">
        <w:t xml:space="preserve"> Kroger w</w:t>
      </w:r>
      <w:r w:rsidR="00431B4C">
        <w:t>itness Higgins, in his direct testi</w:t>
      </w:r>
      <w:r w:rsidR="00E61F5E">
        <w:softHyphen/>
      </w:r>
      <w:r w:rsidR="00431B4C">
        <w:t>mony,</w:t>
      </w:r>
      <w:r w:rsidR="00F009C5">
        <w:t xml:space="preserve"> also</w:t>
      </w:r>
      <w:r w:rsidR="00431B4C">
        <w:t xml:space="preserve"> discredits</w:t>
      </w:r>
      <w:r w:rsidR="00A227BD">
        <w:t xml:space="preserve"> this change and states: </w:t>
      </w:r>
      <w:r w:rsidR="00431B4C">
        <w:t xml:space="preserve">  </w:t>
      </w:r>
    </w:p>
    <w:p w:rsidR="00431B4C" w:rsidRDefault="00873744" w:rsidP="00E106B2">
      <w:pPr>
        <w:pStyle w:val="Blockquote"/>
        <w:rPr>
          <w:b/>
        </w:rPr>
      </w:pPr>
      <w:r w:rsidRPr="00873744">
        <w:t xml:space="preserve">Mr. Trent now appears to be reading more into this change than a mere correction of a typographical error. </w:t>
      </w:r>
      <w:r w:rsidR="00002C87">
        <w:t xml:space="preserve"> </w:t>
      </w:r>
      <w:r w:rsidRPr="00873744">
        <w:t>He is now attempting to color the nature of the bargain struck by the parties as one which sidestepped the question of Duke's com</w:t>
      </w:r>
      <w:r w:rsidR="00E61F5E">
        <w:softHyphen/>
      </w:r>
      <w:r w:rsidRPr="00873744">
        <w:t xml:space="preserve">pensation for capacity. </w:t>
      </w:r>
      <w:r w:rsidR="00002C87">
        <w:t xml:space="preserve"> </w:t>
      </w:r>
      <w:r w:rsidRPr="00873744">
        <w:t>In fact, the opposite is true: the agreement actually signed by the parties stated what Duke would charge and thus, how the Company would be compen</w:t>
      </w:r>
      <w:r w:rsidR="00E61F5E">
        <w:softHyphen/>
      </w:r>
      <w:r w:rsidRPr="00873744">
        <w:t xml:space="preserve">sated. </w:t>
      </w:r>
      <w:r w:rsidR="00CE23C7">
        <w:t xml:space="preserve"> </w:t>
      </w:r>
      <w:r w:rsidRPr="00873744">
        <w:t xml:space="preserve">The substitution of </w:t>
      </w:r>
      <w:r w:rsidR="00E106B2">
        <w:t>“</w:t>
      </w:r>
      <w:r w:rsidRPr="00873744">
        <w:t>PJM</w:t>
      </w:r>
      <w:r w:rsidR="00E106B2">
        <w:t>”</w:t>
      </w:r>
      <w:r w:rsidRPr="00873744">
        <w:t xml:space="preserve"> into this provision under the guise of correcting a typographical error does not change the fact that the ESP Stipulation addresses the compensation that Duke would receive for capacity.</w:t>
      </w:r>
      <w:r w:rsidR="00CE02CF">
        <w:rPr>
          <w:rStyle w:val="FootnoteReference"/>
        </w:rPr>
        <w:footnoteReference w:id="55"/>
      </w:r>
      <w:r w:rsidR="00002C87">
        <w:rPr>
          <w:b/>
        </w:rPr>
        <w:t xml:space="preserve"> </w:t>
      </w:r>
    </w:p>
    <w:p w:rsidR="00873744" w:rsidRPr="00643322" w:rsidRDefault="00002C87" w:rsidP="00E106B2">
      <w:pPr>
        <w:pStyle w:val="Textstyle"/>
        <w:rPr>
          <w:b/>
        </w:rPr>
      </w:pPr>
      <w:r w:rsidRPr="00873744">
        <w:t>Duke’s new assertion</w:t>
      </w:r>
      <w:r w:rsidRPr="00CC67B0">
        <w:t xml:space="preserve"> </w:t>
      </w:r>
      <w:r w:rsidRPr="00873744">
        <w:t>that PJM charges capacity to CRES providers</w:t>
      </w:r>
      <w:r>
        <w:t>, rather than Duke</w:t>
      </w:r>
      <w:r w:rsidRPr="00873744">
        <w:t>, is</w:t>
      </w:r>
      <w:r w:rsidR="00CE02CF">
        <w:t xml:space="preserve"> without merit.  It is a distinction without a difference and should be rejected.</w:t>
      </w:r>
      <w:r w:rsidR="001D5BC6">
        <w:t xml:space="preserve">  Under cross examination, Duke witness Keith Trent agreed that in the capacity market PJM is basically a clearing market where they collect from people who use it, as far as money changing hands.</w:t>
      </w:r>
      <w:r w:rsidR="001D5BC6">
        <w:rPr>
          <w:rStyle w:val="FootnoteReference"/>
        </w:rPr>
        <w:footnoteReference w:id="56"/>
      </w:r>
      <w:r w:rsidR="00345B36">
        <w:t xml:space="preserve">  As an FRR entity, under the ESP Stipulation, Duke receives market-based payments for its capacity from PJM.</w:t>
      </w:r>
      <w:r w:rsidR="00345B36">
        <w:rPr>
          <w:rStyle w:val="FootnoteReference"/>
        </w:rPr>
        <w:footnoteReference w:id="57"/>
      </w:r>
      <w:r w:rsidR="00345B36">
        <w:t xml:space="preserve">  </w:t>
      </w:r>
      <w:r w:rsidR="00512CEF">
        <w:t>Duke’s capacity application here seeks to increase Duke’s wholesale capacity rate.</w:t>
      </w:r>
      <w:r w:rsidR="00BC2CFA">
        <w:rPr>
          <w:rStyle w:val="FootnoteReference"/>
        </w:rPr>
        <w:footnoteReference w:id="58"/>
      </w:r>
      <w:r w:rsidR="00CE02CF">
        <w:t xml:space="preserve">    </w:t>
      </w:r>
    </w:p>
    <w:p w:rsidR="00AB5A91" w:rsidRDefault="00E106B2" w:rsidP="00E106B2">
      <w:pPr>
        <w:pStyle w:val="Textstyle"/>
      </w:pPr>
      <w:r>
        <w:tab/>
      </w:r>
      <w:r w:rsidR="00873744">
        <w:t>Furthermore</w:t>
      </w:r>
      <w:r w:rsidR="00464100">
        <w:t>, c</w:t>
      </w:r>
      <w:r w:rsidR="00AB5A91">
        <w:t>ontrary to Duke’s new</w:t>
      </w:r>
      <w:r w:rsidR="00334B19">
        <w:t xml:space="preserve"> distinction</w:t>
      </w:r>
      <w:r w:rsidR="004E761E">
        <w:t xml:space="preserve">, Duke </w:t>
      </w:r>
      <w:proofErr w:type="gramStart"/>
      <w:r w:rsidR="004E761E">
        <w:t>witness</w:t>
      </w:r>
      <w:proofErr w:type="gramEnd"/>
      <w:r w:rsidR="004E761E">
        <w:t xml:space="preserve"> Wathen,</w:t>
      </w:r>
      <w:r w:rsidR="00AB5A91">
        <w:t xml:space="preserve"> in his testi</w:t>
      </w:r>
      <w:r w:rsidR="00E61F5E">
        <w:softHyphen/>
      </w:r>
      <w:r w:rsidR="00AB5A91">
        <w:t>mony in support of the ESP Stipulation, stated:</w:t>
      </w:r>
    </w:p>
    <w:p w:rsidR="00AB5A91" w:rsidRDefault="00AB5A91" w:rsidP="00E106B2">
      <w:pPr>
        <w:pStyle w:val="Blockquote"/>
      </w:pPr>
      <w:r w:rsidRPr="00643231">
        <w:t>During the settlement discussions of this case, the Parties made it clear that a market price for the SSO service was pre</w:t>
      </w:r>
      <w:r w:rsidR="00E61F5E">
        <w:softHyphen/>
      </w:r>
      <w:r w:rsidRPr="00643231">
        <w:t xml:space="preserve">ferred. </w:t>
      </w:r>
      <w:r w:rsidR="00E106B2">
        <w:t xml:space="preserve"> </w:t>
      </w:r>
      <w:r w:rsidRPr="00643231">
        <w:t xml:space="preserve">This necessitated a change to the Company's proposed Rider RC. </w:t>
      </w:r>
      <w:r w:rsidR="00E106B2">
        <w:t xml:space="preserve"> </w:t>
      </w:r>
      <w:r w:rsidRPr="00643231">
        <w:t xml:space="preserve">The change to Rider RC in the ESP means that customers will pay a market price for capacity at the </w:t>
      </w:r>
      <w:proofErr w:type="spellStart"/>
      <w:r w:rsidRPr="00643231">
        <w:t>FZCP</w:t>
      </w:r>
      <w:proofErr w:type="spellEnd"/>
      <w:r w:rsidRPr="00643231">
        <w:t xml:space="preserve"> for the FRR duration and will pay a market price for capacity established by competitive auction following that term. </w:t>
      </w:r>
      <w:r w:rsidR="00E106B2">
        <w:t xml:space="preserve"> </w:t>
      </w:r>
      <w:r w:rsidRPr="00643231">
        <w:t>In either case, the price for capacity will be without reference to Duke Energy Ohio's cost of service</w:t>
      </w:r>
      <w:r w:rsidR="00DE374B" w:rsidRPr="00643231">
        <w:t xml:space="preserve">.  </w:t>
      </w:r>
      <w:r w:rsidRPr="00643231">
        <w:t>The Company is agree</w:t>
      </w:r>
      <w:r w:rsidR="00E61F5E">
        <w:softHyphen/>
      </w:r>
      <w:r w:rsidRPr="00643231">
        <w:t xml:space="preserve">ing to implement a full </w:t>
      </w:r>
      <w:proofErr w:type="spellStart"/>
      <w:r w:rsidRPr="00643231">
        <w:t>CBP</w:t>
      </w:r>
      <w:proofErr w:type="spellEnd"/>
      <w:r w:rsidRPr="00643231">
        <w:t xml:space="preserve"> to determine the retail price for its SSO. </w:t>
      </w:r>
      <w:r w:rsidR="00E106B2">
        <w:t xml:space="preserve"> </w:t>
      </w:r>
      <w:r w:rsidRPr="00643231">
        <w:t>This allows customers in Duke Energy Ohio's service territory to receive the benefit of the current lower-priced capacity market and puts Ohio firmly on the path towards a full competition.</w:t>
      </w:r>
      <w:r>
        <w:rPr>
          <w:rStyle w:val="FootnoteReference"/>
        </w:rPr>
        <w:footnoteReference w:id="59"/>
      </w:r>
    </w:p>
    <w:p w:rsidR="00AB5A91" w:rsidRDefault="004E761E" w:rsidP="00E106B2">
      <w:pPr>
        <w:pStyle w:val="Textstyle"/>
      </w:pPr>
      <w:r>
        <w:t>Duke w</w:t>
      </w:r>
      <w:r w:rsidR="00AB5A91">
        <w:t>itness Wathen further stated in his testimony in support of the ESP Stipulation:</w:t>
      </w:r>
    </w:p>
    <w:p w:rsidR="0046050B" w:rsidRDefault="00AB5A91" w:rsidP="00E106B2">
      <w:pPr>
        <w:pStyle w:val="Blockquote"/>
      </w:pPr>
      <w:r>
        <w:t>[f]</w:t>
      </w:r>
      <w:r w:rsidRPr="00643231">
        <w:t xml:space="preserve">rom the Company' perspective, the need for Rider ESSC is simple. </w:t>
      </w:r>
      <w:r>
        <w:t xml:space="preserve"> </w:t>
      </w:r>
      <w:r w:rsidRPr="00643231">
        <w:t xml:space="preserve">Duke Energy Ohio is required to supply capacity for the Company's entire footprint until at least the 2015/2016 PJM planning year. </w:t>
      </w:r>
      <w:r>
        <w:t xml:space="preserve"> </w:t>
      </w:r>
      <w:r w:rsidRPr="00643231">
        <w:t xml:space="preserve">And Duke Energy Ohio will satisfy this obligation, in part, with its Legacy Generation Assets because the </w:t>
      </w:r>
      <w:proofErr w:type="spellStart"/>
      <w:r w:rsidRPr="00643231">
        <w:t>BRAs</w:t>
      </w:r>
      <w:proofErr w:type="spellEnd"/>
      <w:r w:rsidRPr="00643231">
        <w:t xml:space="preserve"> to procure capacity in PJM have already occurred through the 2014/2015 planning year, which extends to the end of the ESP as provided for the Stipulation.  Although the ESP contained in this Stipulation will result in a full competi</w:t>
      </w:r>
      <w:r w:rsidR="00E61F5E">
        <w:softHyphen/>
      </w:r>
      <w:r w:rsidRPr="00643231">
        <w:t>tive bid for Duke Energy Ohio's SSO price, and Duke Energy Ohio is committing to transfer its generating assets to an affiliate or subsidiary, that transfer will take time and the Company must continue to meet its PJM capacity obliga</w:t>
      </w:r>
      <w:r w:rsidR="00E61F5E">
        <w:softHyphen/>
      </w:r>
      <w:r w:rsidRPr="00643231">
        <w:t>tion.</w:t>
      </w:r>
      <w:r>
        <w:rPr>
          <w:rStyle w:val="FootnoteReference"/>
        </w:rPr>
        <w:footnoteReference w:id="60"/>
      </w:r>
    </w:p>
    <w:p w:rsidR="00F009C5" w:rsidRDefault="00B72D57" w:rsidP="00F009C5">
      <w:pPr>
        <w:pStyle w:val="Textstyle"/>
      </w:pPr>
      <w:r>
        <w:t xml:space="preserve">Mr. Wathen’s </w:t>
      </w:r>
      <w:r w:rsidR="00F009C5">
        <w:t xml:space="preserve">testimony further </w:t>
      </w:r>
      <w:r>
        <w:t xml:space="preserve">supports Staff’s position </w:t>
      </w:r>
      <w:r w:rsidR="00F009C5">
        <w:t xml:space="preserve">that the </w:t>
      </w:r>
      <w:r w:rsidR="00F009C5" w:rsidRPr="006A170E">
        <w:t>issue of compensation for</w:t>
      </w:r>
      <w:r w:rsidR="00F009C5">
        <w:t xml:space="preserve"> </w:t>
      </w:r>
      <w:r w:rsidR="00F009C5" w:rsidRPr="006A170E">
        <w:t xml:space="preserve">capacity services was addressed and fully resolved </w:t>
      </w:r>
      <w:r w:rsidR="00F009C5">
        <w:t xml:space="preserve">in the </w:t>
      </w:r>
      <w:r w:rsidR="00F009C5" w:rsidRPr="006A170E">
        <w:t>ESP</w:t>
      </w:r>
      <w:r w:rsidR="00F009C5">
        <w:t xml:space="preserve"> proceeding</w:t>
      </w:r>
      <w:r w:rsidR="00F009C5" w:rsidRPr="006A170E">
        <w:t>.</w:t>
      </w:r>
      <w:r w:rsidR="00F009C5">
        <w:t xml:space="preserve">  </w:t>
      </w:r>
    </w:p>
    <w:p w:rsidR="0046050B" w:rsidRPr="0046050B" w:rsidRDefault="0046050B" w:rsidP="00F009C5">
      <w:pPr>
        <w:pStyle w:val="Textstyle"/>
      </w:pPr>
      <w:r>
        <w:t>Ultimately, Duke’s</w:t>
      </w:r>
      <w:r w:rsidRPr="0046050B">
        <w:t xml:space="preserve"> request for additional compensation for capacity services in this case violates the terms of the</w:t>
      </w:r>
      <w:r>
        <w:t xml:space="preserve"> ESP S</w:t>
      </w:r>
      <w:r w:rsidRPr="0046050B">
        <w:t>tipulation</w:t>
      </w:r>
      <w:r>
        <w:t>.</w:t>
      </w:r>
      <w:r w:rsidRPr="0046050B">
        <w:t xml:space="preserve">  </w:t>
      </w:r>
      <w:r w:rsidR="002219E3">
        <w:t>Duke agreed that the ESP Stipulation resolved all issues raised in the ESP proceedings</w:t>
      </w:r>
      <w:r w:rsidR="004E761E">
        <w:t>;</w:t>
      </w:r>
      <w:r w:rsidR="002219E3">
        <w:t xml:space="preserve"> </w:t>
      </w:r>
      <w:r w:rsidR="004E761E">
        <w:t>it was an entire agreement;</w:t>
      </w:r>
      <w:r w:rsidR="002219E3">
        <w:t xml:space="preserve"> and there was not to be an isolated provision of the stipulation used or interpreted in a future proceeding before the Commission.</w:t>
      </w:r>
      <w:r w:rsidR="002219E3">
        <w:rPr>
          <w:rStyle w:val="FootnoteReference"/>
        </w:rPr>
        <w:footnoteReference w:id="61"/>
      </w:r>
      <w:r w:rsidR="004E761E">
        <w:t xml:space="preserve">  </w:t>
      </w:r>
      <w:r w:rsidRPr="0046050B">
        <w:t>The issue of compensation for capacity services was addressed and fully resolved in the ESP proceeding.  Duke agreed to provide capacity and agreed to be compensated for its FRR obligation based on the PJM RPM.</w:t>
      </w:r>
      <w:r w:rsidR="006438D4">
        <w:t xml:space="preserve">  </w:t>
      </w:r>
      <w:r w:rsidR="006438D4" w:rsidRPr="007B1ABF">
        <w:t>Duke’s application should be</w:t>
      </w:r>
      <w:r w:rsidR="006438D4">
        <w:t xml:space="preserve"> denied</w:t>
      </w:r>
      <w:r w:rsidR="006438D4" w:rsidRPr="007B1ABF">
        <w:t>.</w:t>
      </w:r>
      <w:r w:rsidR="006438D4">
        <w:t xml:space="preserve">  </w:t>
      </w:r>
    </w:p>
    <w:p w:rsidR="001B6A58" w:rsidRPr="0046050B" w:rsidRDefault="00DC716E" w:rsidP="00C30CF1">
      <w:pPr>
        <w:pStyle w:val="Heading3"/>
        <w:rPr>
          <w:rFonts w:cs="Times New Roman"/>
          <w:szCs w:val="26"/>
        </w:rPr>
      </w:pPr>
      <w:bookmarkStart w:id="12" w:name="_Toc360172964"/>
      <w:r>
        <w:rPr>
          <w:rFonts w:cs="Times New Roman"/>
          <w:szCs w:val="26"/>
        </w:rPr>
        <w:t>The Commission should uphold the integrity of the s</w:t>
      </w:r>
      <w:r w:rsidR="001B6A58" w:rsidRPr="0046050B">
        <w:rPr>
          <w:rFonts w:cs="Times New Roman"/>
          <w:szCs w:val="26"/>
        </w:rPr>
        <w:t>et</w:t>
      </w:r>
      <w:r>
        <w:rPr>
          <w:rFonts w:cs="Times New Roman"/>
          <w:szCs w:val="26"/>
        </w:rPr>
        <w:t>tle</w:t>
      </w:r>
      <w:r w:rsidR="00E61F5E">
        <w:rPr>
          <w:rFonts w:cs="Times New Roman"/>
          <w:szCs w:val="26"/>
        </w:rPr>
        <w:softHyphen/>
      </w:r>
      <w:r>
        <w:rPr>
          <w:rFonts w:cs="Times New Roman"/>
          <w:szCs w:val="26"/>
        </w:rPr>
        <w:t>ment p</w:t>
      </w:r>
      <w:r w:rsidR="001B6A58" w:rsidRPr="0046050B">
        <w:rPr>
          <w:rFonts w:cs="Times New Roman"/>
          <w:szCs w:val="26"/>
        </w:rPr>
        <w:t>rocess</w:t>
      </w:r>
      <w:r>
        <w:rPr>
          <w:rFonts w:cs="Times New Roman"/>
          <w:szCs w:val="26"/>
        </w:rPr>
        <w:t>.</w:t>
      </w:r>
      <w:bookmarkEnd w:id="12"/>
      <w:r w:rsidR="001B6A58" w:rsidRPr="0046050B">
        <w:rPr>
          <w:rFonts w:cs="Times New Roman"/>
          <w:szCs w:val="26"/>
        </w:rPr>
        <w:t xml:space="preserve"> </w:t>
      </w:r>
    </w:p>
    <w:p w:rsidR="00C322B0" w:rsidRDefault="00E106B2" w:rsidP="00263A62">
      <w:pPr>
        <w:pStyle w:val="Textstyle"/>
      </w:pPr>
      <w:r>
        <w:tab/>
      </w:r>
      <w:r w:rsidR="00EF6713">
        <w:t>As previously argued in the Staff’s Initial Comments filed in this case, t</w:t>
      </w:r>
      <w:r w:rsidR="001B6A58" w:rsidRPr="001B6A58">
        <w:t>he Commis</w:t>
      </w:r>
      <w:r w:rsidR="00E61F5E">
        <w:softHyphen/>
      </w:r>
      <w:r w:rsidR="001B6A58" w:rsidRPr="001B6A58">
        <w:t>sion should enforce the terms of the Duke ESP Stipulation that priced capacity at RPM</w:t>
      </w:r>
      <w:r w:rsidR="00EA0F7E">
        <w:t xml:space="preserve"> and provided Duke with an ESSC </w:t>
      </w:r>
      <w:r w:rsidR="001B6A58" w:rsidRPr="001B6A58">
        <w:t>Rider worth $330 Million.</w:t>
      </w:r>
      <w:r w:rsidR="00EF6713">
        <w:rPr>
          <w:rStyle w:val="FootnoteReference"/>
        </w:rPr>
        <w:footnoteReference w:id="62"/>
      </w:r>
      <w:r w:rsidR="001B6A58">
        <w:t xml:space="preserve">  </w:t>
      </w:r>
      <w:r w:rsidR="00E53264" w:rsidRPr="007B1ABF">
        <w:t>Duke</w:t>
      </w:r>
      <w:r w:rsidR="00EF6713">
        <w:t xml:space="preserve"> ignores</w:t>
      </w:r>
      <w:r w:rsidR="00E53264">
        <w:t xml:space="preserve"> a</w:t>
      </w:r>
      <w:r w:rsidR="00E53264" w:rsidRPr="007B1ABF">
        <w:t xml:space="preserve"> term of the</w:t>
      </w:r>
      <w:r w:rsidR="00E53264">
        <w:t xml:space="preserve"> ESP Stipulation by asking</w:t>
      </w:r>
      <w:r w:rsidR="00E53264" w:rsidRPr="007B1ABF">
        <w:t xml:space="preserve"> the Commission to</w:t>
      </w:r>
      <w:r w:rsidR="00DC716E">
        <w:t xml:space="preserve"> disregard</w:t>
      </w:r>
      <w:r w:rsidR="00E53264" w:rsidRPr="007B1ABF">
        <w:t xml:space="preserve"> the capacity pricing</w:t>
      </w:r>
      <w:r w:rsidR="00E53264">
        <w:t xml:space="preserve"> terms</w:t>
      </w:r>
      <w:r w:rsidR="003B5FEE">
        <w:t xml:space="preserve"> of the </w:t>
      </w:r>
      <w:r w:rsidR="00A47440">
        <w:t xml:space="preserve">ESP </w:t>
      </w:r>
      <w:r w:rsidR="003B5FEE">
        <w:t>Stipulation</w:t>
      </w:r>
      <w:r w:rsidR="00E53264" w:rsidRPr="007B1ABF">
        <w:t xml:space="preserve"> in favor of a cost-based capacity charge. </w:t>
      </w:r>
      <w:r w:rsidR="00E53264">
        <w:t xml:space="preserve"> </w:t>
      </w:r>
      <w:r w:rsidR="00C322B0">
        <w:t>Duke</w:t>
      </w:r>
      <w:r w:rsidR="00C322B0" w:rsidRPr="007B1ABF">
        <w:t xml:space="preserve"> </w:t>
      </w:r>
      <w:r w:rsidR="003E2B83">
        <w:t xml:space="preserve">improperly </w:t>
      </w:r>
      <w:r w:rsidR="00C322B0" w:rsidRPr="007B1ABF">
        <w:t>under</w:t>
      </w:r>
      <w:r w:rsidR="00E61F5E">
        <w:softHyphen/>
      </w:r>
      <w:r w:rsidR="00C322B0" w:rsidRPr="007B1ABF">
        <w:t>mine</w:t>
      </w:r>
      <w:r w:rsidR="00C322B0">
        <w:t>s</w:t>
      </w:r>
      <w:r w:rsidR="00C322B0" w:rsidRPr="007B1ABF">
        <w:t xml:space="preserve"> the </w:t>
      </w:r>
      <w:r w:rsidR="003E2B83">
        <w:t xml:space="preserve">negotiated </w:t>
      </w:r>
      <w:r w:rsidR="00C322B0" w:rsidRPr="007B1ABF">
        <w:t>Stipulation.</w:t>
      </w:r>
      <w:r w:rsidR="00C322B0">
        <w:t xml:space="preserve">  </w:t>
      </w:r>
      <w:r w:rsidR="00CE274A">
        <w:t>The Commission must</w:t>
      </w:r>
      <w:r w:rsidR="00CE274A" w:rsidRPr="007B1ABF">
        <w:t xml:space="preserve"> affirm the integrity of the set</w:t>
      </w:r>
      <w:r w:rsidR="00E61F5E">
        <w:softHyphen/>
      </w:r>
      <w:r w:rsidR="00CE274A" w:rsidRPr="007B1ABF">
        <w:t>tlement process</w:t>
      </w:r>
      <w:r w:rsidR="00CE274A">
        <w:t xml:space="preserve"> and</w:t>
      </w:r>
      <w:r w:rsidR="00CE274A" w:rsidRPr="007B1ABF">
        <w:t xml:space="preserve"> Parties are entitled to rely on the Commission to enforce the provi</w:t>
      </w:r>
      <w:r w:rsidR="00E61F5E">
        <w:softHyphen/>
      </w:r>
      <w:r w:rsidR="00CE274A" w:rsidRPr="007B1ABF">
        <w:t>sions of the ESP Stipulat</w:t>
      </w:r>
      <w:r w:rsidR="00221F8C">
        <w:t>ion that it approved 18 months ago</w:t>
      </w:r>
      <w:r w:rsidR="00CE274A" w:rsidRPr="007B1ABF">
        <w:t xml:space="preserve">. </w:t>
      </w:r>
      <w:r w:rsidR="00CE274A">
        <w:t xml:space="preserve"> </w:t>
      </w:r>
      <w:r w:rsidR="00CE274A" w:rsidRPr="007B1ABF">
        <w:t>As the Commission has</w:t>
      </w:r>
      <w:r w:rsidR="00CE274A">
        <w:t xml:space="preserve"> recognized</w:t>
      </w:r>
      <w:r w:rsidR="00CE274A" w:rsidRPr="007B1ABF">
        <w:t>, parties must keep their commitments made in stipulations.</w:t>
      </w:r>
      <w:r w:rsidR="00CE274A" w:rsidRPr="007B1ABF">
        <w:rPr>
          <w:rStyle w:val="FootnoteReference"/>
        </w:rPr>
        <w:footnoteReference w:id="63"/>
      </w:r>
      <w:r w:rsidR="00CE274A" w:rsidRPr="007B1ABF">
        <w:t xml:space="preserve">  </w:t>
      </w:r>
      <w:r w:rsidR="00E53264">
        <w:t>T</w:t>
      </w:r>
      <w:r w:rsidR="00AD654F" w:rsidRPr="007B1ABF">
        <w:t>he</w:t>
      </w:r>
      <w:r w:rsidR="00E53264">
        <w:t xml:space="preserve"> </w:t>
      </w:r>
      <w:r w:rsidR="006A170E">
        <w:t xml:space="preserve">Duke </w:t>
      </w:r>
      <w:r w:rsidR="00E53264">
        <w:t>ESP</w:t>
      </w:r>
      <w:r w:rsidR="00AD654F" w:rsidRPr="007B1ABF">
        <w:t xml:space="preserve"> Stipulation</w:t>
      </w:r>
      <w:r w:rsidR="00E53264">
        <w:t xml:space="preserve"> states:</w:t>
      </w:r>
      <w:r w:rsidR="00E07D19" w:rsidRPr="007B1ABF">
        <w:t xml:space="preserve"> </w:t>
      </w:r>
    </w:p>
    <w:p w:rsidR="00E53264" w:rsidRDefault="00E07D19" w:rsidP="00E106B2">
      <w:pPr>
        <w:pStyle w:val="Blockquote"/>
      </w:pPr>
      <w:r w:rsidRPr="007B1ABF">
        <w:t xml:space="preserve">[a]t any hearing and in </w:t>
      </w:r>
      <w:r w:rsidR="00AD654F" w:rsidRPr="007B1ABF">
        <w:t>any docu</w:t>
      </w:r>
      <w:r w:rsidR="00AC57E1">
        <w:t>ments or briefs filed with the C</w:t>
      </w:r>
      <w:r w:rsidR="00AD654F" w:rsidRPr="007B1ABF">
        <w:t>ommission in r</w:t>
      </w:r>
      <w:r w:rsidRPr="007B1ABF">
        <w:t xml:space="preserve">espect of the Stipulation, each </w:t>
      </w:r>
      <w:r w:rsidR="00AD654F" w:rsidRPr="007B1ABF">
        <w:t>Signatory Party agrees to support the Stipulation and do nothing, directly or indirectly, t</w:t>
      </w:r>
      <w:r w:rsidRPr="007B1ABF">
        <w:t xml:space="preserve">o </w:t>
      </w:r>
      <w:r w:rsidR="00AD654F" w:rsidRPr="007B1ABF">
        <w:t>undermine the Stipulation***.</w:t>
      </w:r>
      <w:r w:rsidR="00E106B2">
        <w:t>”</w:t>
      </w:r>
      <w:r w:rsidR="00F97594" w:rsidRPr="007B1ABF">
        <w:rPr>
          <w:rStyle w:val="FootnoteReference"/>
        </w:rPr>
        <w:footnoteReference w:id="64"/>
      </w:r>
      <w:r w:rsidR="00F97594" w:rsidRPr="007B1ABF">
        <w:t xml:space="preserve"> </w:t>
      </w:r>
      <w:r w:rsidR="00AD654F" w:rsidRPr="007B1ABF">
        <w:t xml:space="preserve"> </w:t>
      </w:r>
    </w:p>
    <w:p w:rsidR="00C322B0" w:rsidRPr="00263A62" w:rsidRDefault="00E106B2" w:rsidP="00E106B2">
      <w:pPr>
        <w:pStyle w:val="Textstyle"/>
      </w:pPr>
      <w:r>
        <w:tab/>
      </w:r>
      <w:r w:rsidR="00AD654F" w:rsidRPr="00263A62">
        <w:t>The Stipulation also</w:t>
      </w:r>
      <w:r w:rsidR="00E53264" w:rsidRPr="00263A62">
        <w:t xml:space="preserve"> states that</w:t>
      </w:r>
      <w:r w:rsidR="00C322B0" w:rsidRPr="00263A62">
        <w:t>:</w:t>
      </w:r>
      <w:r w:rsidR="00E53264" w:rsidRPr="00263A62">
        <w:t xml:space="preserve"> </w:t>
      </w:r>
    </w:p>
    <w:p w:rsidR="00934BBF" w:rsidRDefault="00E53264" w:rsidP="00263A62">
      <w:pPr>
        <w:pStyle w:val="Blockquote"/>
      </w:pPr>
      <w:proofErr w:type="gramStart"/>
      <w:r>
        <w:t>each</w:t>
      </w:r>
      <w:proofErr w:type="gramEnd"/>
      <w:r w:rsidR="00E07D19" w:rsidRPr="007B1ABF">
        <w:t xml:space="preserve"> Signatory Party </w:t>
      </w:r>
      <w:r w:rsidR="00AD654F" w:rsidRPr="007B1ABF">
        <w:t>agrees to support the reasonableness of the Stipulation, an</w:t>
      </w:r>
      <w:r w:rsidR="00E07D19" w:rsidRPr="007B1ABF">
        <w:t xml:space="preserve">d </w:t>
      </w:r>
      <w:r w:rsidR="00E106B2">
        <w:t>“</w:t>
      </w:r>
      <w:r w:rsidR="00E07D19" w:rsidRPr="007B1ABF">
        <w:t xml:space="preserve">take no position contrary to </w:t>
      </w:r>
      <w:r w:rsidR="00AD654F" w:rsidRPr="007B1ABF">
        <w:t xml:space="preserve">the support for the reasonableness of the ESP and this Stipulation in any </w:t>
      </w:r>
      <w:r w:rsidR="00E07D19" w:rsidRPr="007B1ABF">
        <w:t xml:space="preserve">appeal from the </w:t>
      </w:r>
      <w:r w:rsidR="00AD654F" w:rsidRPr="007B1ABF">
        <w:t>Commission’s adoption and/or enforcement of this ESP and this Stipulation.</w:t>
      </w:r>
      <w:r w:rsidR="00E106B2">
        <w:t>”</w:t>
      </w:r>
      <w:r w:rsidR="00F97594" w:rsidRPr="007B1ABF">
        <w:rPr>
          <w:rStyle w:val="FootnoteReference"/>
        </w:rPr>
        <w:footnoteReference w:id="65"/>
      </w:r>
      <w:r w:rsidR="00E07D19" w:rsidRPr="007B1ABF">
        <w:t xml:space="preserve"> </w:t>
      </w:r>
    </w:p>
    <w:p w:rsidR="00426468" w:rsidRPr="00426468" w:rsidRDefault="00AD654F" w:rsidP="00334B19">
      <w:pPr>
        <w:pStyle w:val="Textstyle"/>
        <w:rPr>
          <w:b/>
        </w:rPr>
      </w:pPr>
      <w:r w:rsidRPr="00263A62">
        <w:t xml:space="preserve">Duke’s </w:t>
      </w:r>
      <w:r w:rsidR="00A47440" w:rsidRPr="00263A62">
        <w:t>current</w:t>
      </w:r>
      <w:r w:rsidR="00334B19">
        <w:t xml:space="preserve"> capacity</w:t>
      </w:r>
      <w:r w:rsidR="00A47440" w:rsidRPr="00263A62">
        <w:t xml:space="preserve"> </w:t>
      </w:r>
      <w:r w:rsidRPr="00263A62">
        <w:t>filing is c</w:t>
      </w:r>
      <w:r w:rsidR="00E07D19" w:rsidRPr="00263A62">
        <w:t>ontrary to the Stipula</w:t>
      </w:r>
      <w:r w:rsidR="00275FA9">
        <w:softHyphen/>
      </w:r>
      <w:r w:rsidR="00E07D19" w:rsidRPr="00263A62">
        <w:t xml:space="preserve">tion, and </w:t>
      </w:r>
      <w:r w:rsidRPr="00263A62">
        <w:t>seeks to</w:t>
      </w:r>
      <w:r w:rsidR="00C75351" w:rsidRPr="00263A62">
        <w:t xml:space="preserve"> ignore</w:t>
      </w:r>
      <w:r w:rsidR="003E2B83" w:rsidRPr="00263A62">
        <w:t xml:space="preserve"> </w:t>
      </w:r>
      <w:r w:rsidR="00E07D19" w:rsidRPr="00263A62">
        <w:t>the Stip</w:t>
      </w:r>
      <w:r w:rsidR="00E61F5E">
        <w:softHyphen/>
      </w:r>
      <w:r w:rsidR="00E07D19" w:rsidRPr="00263A62">
        <w:t>ulation.</w:t>
      </w:r>
      <w:r w:rsidR="006A170E">
        <w:t xml:space="preserve">  </w:t>
      </w:r>
    </w:p>
    <w:p w:rsidR="00934BBF" w:rsidRPr="00263A62" w:rsidRDefault="00E106B2" w:rsidP="00E106B2">
      <w:pPr>
        <w:pStyle w:val="Textstyle"/>
      </w:pPr>
      <w:r>
        <w:tab/>
      </w:r>
      <w:r w:rsidR="00AD654F" w:rsidRPr="00263A62">
        <w:t xml:space="preserve">The </w:t>
      </w:r>
      <w:r w:rsidR="00551DEF" w:rsidRPr="00263A62">
        <w:t xml:space="preserve">ESP </w:t>
      </w:r>
      <w:r w:rsidR="00AD654F" w:rsidRPr="00263A62">
        <w:t>Stipu</w:t>
      </w:r>
      <w:r w:rsidR="00C75351" w:rsidRPr="00263A62">
        <w:t>lation should be enforced, not ignored</w:t>
      </w:r>
      <w:r w:rsidR="000B04F4" w:rsidRPr="00263A62">
        <w:t xml:space="preserve">. </w:t>
      </w:r>
      <w:r w:rsidR="003E2230" w:rsidRPr="00263A62">
        <w:t xml:space="preserve"> </w:t>
      </w:r>
      <w:r w:rsidR="000B04F4" w:rsidRPr="00263A62">
        <w:t>The</w:t>
      </w:r>
      <w:r w:rsidR="00E07D19" w:rsidRPr="00263A62">
        <w:t xml:space="preserve"> Commission</w:t>
      </w:r>
      <w:r w:rsidR="000B04F4" w:rsidRPr="00263A62">
        <w:t xml:space="preserve"> has</w:t>
      </w:r>
      <w:r w:rsidR="003E2230" w:rsidRPr="00263A62">
        <w:t xml:space="preserve"> enforced</w:t>
      </w:r>
      <w:r w:rsidR="00AD654F" w:rsidRPr="00263A62">
        <w:t xml:space="preserve"> Stipulations whe</w:t>
      </w:r>
      <w:r w:rsidR="00E07D19" w:rsidRPr="00263A62">
        <w:t xml:space="preserve">n parties, including Duke, have </w:t>
      </w:r>
      <w:r w:rsidR="00AD654F" w:rsidRPr="00263A62">
        <w:t>disregarded the terms of a stip</w:t>
      </w:r>
      <w:r w:rsidR="00E61F5E">
        <w:softHyphen/>
      </w:r>
      <w:r w:rsidR="00AD654F" w:rsidRPr="00263A62">
        <w:t>ulation and instead so</w:t>
      </w:r>
      <w:r w:rsidR="00E07D19" w:rsidRPr="00263A62">
        <w:t xml:space="preserve">ught remedies or relief that is </w:t>
      </w:r>
      <w:r w:rsidR="00AD654F" w:rsidRPr="00263A62">
        <w:t>con</w:t>
      </w:r>
      <w:r w:rsidR="00275FA9">
        <w:softHyphen/>
      </w:r>
      <w:r w:rsidR="00AD654F" w:rsidRPr="00263A62">
        <w:t>trary to a stipulation.</w:t>
      </w:r>
      <w:r w:rsidR="00F97594" w:rsidRPr="00263A62">
        <w:rPr>
          <w:rStyle w:val="FootnoteReference"/>
        </w:rPr>
        <w:footnoteReference w:id="66"/>
      </w:r>
      <w:r w:rsidR="00F97594" w:rsidRPr="00263A62">
        <w:t xml:space="preserve"> </w:t>
      </w:r>
      <w:r w:rsidR="00AD654F" w:rsidRPr="00263A62">
        <w:t xml:space="preserve"> The Com</w:t>
      </w:r>
      <w:r w:rsidR="00E61F5E">
        <w:softHyphen/>
      </w:r>
      <w:r w:rsidR="00AD654F" w:rsidRPr="00263A62">
        <w:t>mission value</w:t>
      </w:r>
      <w:r w:rsidR="00E07D19" w:rsidRPr="00263A62">
        <w:t xml:space="preserve">s stipulations and has acted to </w:t>
      </w:r>
      <w:r w:rsidR="003B5FEE" w:rsidRPr="00263A62">
        <w:t>preserve the integrity of</w:t>
      </w:r>
      <w:r w:rsidR="00AD654F" w:rsidRPr="00263A62">
        <w:t xml:space="preserve"> stipulations on many occasions.</w:t>
      </w:r>
      <w:r w:rsidR="00F97594" w:rsidRPr="00263A62">
        <w:rPr>
          <w:rStyle w:val="FootnoteReference"/>
        </w:rPr>
        <w:footnoteReference w:id="67"/>
      </w:r>
      <w:r w:rsidR="00F97594" w:rsidRPr="00263A62">
        <w:t xml:space="preserve"> </w:t>
      </w:r>
      <w:r w:rsidR="00203FA7" w:rsidRPr="00263A62">
        <w:t xml:space="preserve"> To</w:t>
      </w:r>
      <w:r w:rsidR="00EA0F7E" w:rsidRPr="00263A62">
        <w:t xml:space="preserve"> allow Duke to m</w:t>
      </w:r>
      <w:r w:rsidR="003B5FEE" w:rsidRPr="00263A62">
        <w:t>odify the ESP Stipula</w:t>
      </w:r>
      <w:r w:rsidR="00275FA9">
        <w:softHyphen/>
      </w:r>
      <w:r w:rsidR="003B5FEE" w:rsidRPr="00263A62">
        <w:t>tion now invites</w:t>
      </w:r>
      <w:r w:rsidR="00EA0F7E" w:rsidRPr="00263A62">
        <w:t xml:space="preserve"> the reopening of</w:t>
      </w:r>
      <w:r w:rsidR="00203FA7" w:rsidRPr="00263A62">
        <w:t xml:space="preserve"> every settled case</w:t>
      </w:r>
      <w:r w:rsidR="00EA0F7E" w:rsidRPr="00263A62">
        <w:t xml:space="preserve"> when</w:t>
      </w:r>
      <w:r w:rsidR="00203FA7" w:rsidRPr="00263A62">
        <w:t xml:space="preserve"> any party</w:t>
      </w:r>
      <w:r w:rsidR="00EA0F7E" w:rsidRPr="00263A62">
        <w:t xml:space="preserve"> is dissatisfied</w:t>
      </w:r>
      <w:r w:rsidR="00203FA7" w:rsidRPr="00263A62">
        <w:t xml:space="preserve">.  </w:t>
      </w:r>
    </w:p>
    <w:p w:rsidR="00934BBF" w:rsidRDefault="00E106B2" w:rsidP="00263A62">
      <w:pPr>
        <w:pStyle w:val="Textstyle"/>
      </w:pPr>
      <w:r>
        <w:tab/>
      </w:r>
      <w:r w:rsidR="00AD654F" w:rsidRPr="007B1ABF">
        <w:t xml:space="preserve">The Signatory Parties to the Duke ESP </w:t>
      </w:r>
      <w:r w:rsidR="00E07D19" w:rsidRPr="007B1ABF">
        <w:t>Stipulation seek to enforce the entire</w:t>
      </w:r>
      <w:r w:rsidR="003E2230">
        <w:t xml:space="preserve"> ESP </w:t>
      </w:r>
      <w:r w:rsidR="00E07D19" w:rsidRPr="007B1ABF">
        <w:t xml:space="preserve">Stipulation, including </w:t>
      </w:r>
      <w:r w:rsidR="00AD654F" w:rsidRPr="007B1ABF">
        <w:t xml:space="preserve">the term providing for </w:t>
      </w:r>
      <w:r w:rsidR="00334B19">
        <w:t>RPM-</w:t>
      </w:r>
      <w:r w:rsidR="00E07D19" w:rsidRPr="007B1ABF">
        <w:t xml:space="preserve">based capacity pricing. </w:t>
      </w:r>
      <w:r w:rsidR="00E53264">
        <w:t xml:space="preserve"> </w:t>
      </w:r>
      <w:r w:rsidR="00E07D19" w:rsidRPr="007B1ABF">
        <w:t xml:space="preserve">The </w:t>
      </w:r>
      <w:r w:rsidR="003E2230">
        <w:t>Stipula</w:t>
      </w:r>
      <w:r w:rsidR="00275FA9">
        <w:softHyphen/>
      </w:r>
      <w:r w:rsidR="003E2230">
        <w:t>tion is a settlement package</w:t>
      </w:r>
      <w:r w:rsidR="00CE274A">
        <w:t xml:space="preserve"> and</w:t>
      </w:r>
      <w:r w:rsidR="00AD654F" w:rsidRPr="007B1ABF">
        <w:t xml:space="preserve"> states that it represents </w:t>
      </w:r>
      <w:r>
        <w:t>“</w:t>
      </w:r>
      <w:r w:rsidR="00AD654F" w:rsidRPr="007B1ABF">
        <w:t xml:space="preserve">an agreement by all Parties </w:t>
      </w:r>
      <w:r w:rsidR="00AD654F" w:rsidRPr="003E2230">
        <w:rPr>
          <w:bCs/>
        </w:rPr>
        <w:t>to a</w:t>
      </w:r>
      <w:r w:rsidR="00E07D19" w:rsidRPr="003E2230">
        <w:t xml:space="preserve"> </w:t>
      </w:r>
      <w:r w:rsidR="00AD654F" w:rsidRPr="003E2230">
        <w:rPr>
          <w:bCs/>
        </w:rPr>
        <w:t>package</w:t>
      </w:r>
      <w:r w:rsidR="00AD654F" w:rsidRPr="007B1ABF">
        <w:rPr>
          <w:b/>
          <w:bCs/>
        </w:rPr>
        <w:t xml:space="preserve"> </w:t>
      </w:r>
      <w:r w:rsidR="00AD654F" w:rsidRPr="007B1ABF">
        <w:t>of provisions rather than an agreement to ea</w:t>
      </w:r>
      <w:r w:rsidR="00E07D19" w:rsidRPr="007B1ABF">
        <w:t xml:space="preserve">ch of the individual provisions </w:t>
      </w:r>
      <w:r w:rsidR="00AD654F" w:rsidRPr="007B1ABF">
        <w:t>within the Stipulation.</w:t>
      </w:r>
      <w:r>
        <w:t>”</w:t>
      </w:r>
      <w:r w:rsidR="00F14C58" w:rsidRPr="007B1ABF">
        <w:rPr>
          <w:rStyle w:val="FootnoteReference"/>
        </w:rPr>
        <w:footnoteReference w:id="68"/>
      </w:r>
      <w:r w:rsidR="00F14C58" w:rsidRPr="007B1ABF">
        <w:t xml:space="preserve"> </w:t>
      </w:r>
      <w:r w:rsidR="00AD654F" w:rsidRPr="007B1ABF">
        <w:t xml:space="preserve"> </w:t>
      </w:r>
      <w:r w:rsidR="00CE274A">
        <w:t>It is improper for D</w:t>
      </w:r>
      <w:r w:rsidR="00AD654F" w:rsidRPr="007B1ABF">
        <w:t>uke</w:t>
      </w:r>
      <w:r w:rsidR="00CE274A">
        <w:t xml:space="preserve"> to</w:t>
      </w:r>
      <w:r w:rsidR="00AD654F" w:rsidRPr="007B1ABF">
        <w:t xml:space="preserve"> separa</w:t>
      </w:r>
      <w:r w:rsidR="00F14C58" w:rsidRPr="007B1ABF">
        <w:t xml:space="preserve">te the capacity price provision </w:t>
      </w:r>
      <w:r w:rsidR="00AD654F" w:rsidRPr="007B1ABF">
        <w:t xml:space="preserve">of the Stipulation from the rest of the settlement </w:t>
      </w:r>
      <w:r w:rsidR="00AD654F" w:rsidRPr="003E2230">
        <w:rPr>
          <w:bCs/>
        </w:rPr>
        <w:t>package</w:t>
      </w:r>
      <w:r w:rsidR="00E07D19" w:rsidRPr="007B1ABF">
        <w:t>.</w:t>
      </w:r>
      <w:r w:rsidR="007E15E1">
        <w:t xml:space="preserve">  </w:t>
      </w:r>
      <w:r w:rsidR="003B5FEE">
        <w:t xml:space="preserve">And </w:t>
      </w:r>
      <w:r w:rsidR="00C75351">
        <w:t>Duke ignore</w:t>
      </w:r>
      <w:r w:rsidR="007E15E1">
        <w:t>s</w:t>
      </w:r>
      <w:r w:rsidR="007E15E1" w:rsidRPr="007B1ABF">
        <w:t xml:space="preserve"> the</w:t>
      </w:r>
      <w:r w:rsidR="007E15E1">
        <w:t xml:space="preserve"> ESP Stipulation by asking</w:t>
      </w:r>
      <w:r w:rsidR="007E15E1" w:rsidRPr="007B1ABF">
        <w:t xml:space="preserve"> the Commission to</w:t>
      </w:r>
      <w:r w:rsidR="007E15E1">
        <w:t xml:space="preserve"> ignore</w:t>
      </w:r>
      <w:r w:rsidR="007E15E1" w:rsidRPr="007B1ABF">
        <w:t xml:space="preserve"> the capacity pricing</w:t>
      </w:r>
      <w:r w:rsidR="007E15E1">
        <w:t xml:space="preserve"> terms</w:t>
      </w:r>
      <w:r w:rsidR="003B5FEE">
        <w:t xml:space="preserve"> of the Stipula</w:t>
      </w:r>
      <w:r w:rsidR="00275FA9">
        <w:softHyphen/>
      </w:r>
      <w:r w:rsidR="003B5FEE">
        <w:t>tion</w:t>
      </w:r>
      <w:r w:rsidR="007E15E1" w:rsidRPr="007B1ABF">
        <w:t xml:space="preserve"> in favor of a cost-based capacity charge. </w:t>
      </w:r>
      <w:r w:rsidR="007E15E1">
        <w:t xml:space="preserve"> </w:t>
      </w:r>
      <w:r w:rsidR="00E07D19" w:rsidRPr="007B1ABF">
        <w:t xml:space="preserve"> </w:t>
      </w:r>
    </w:p>
    <w:p w:rsidR="00203FA7" w:rsidRPr="001B6A58" w:rsidRDefault="00DC716E" w:rsidP="00C30CF1">
      <w:pPr>
        <w:pStyle w:val="Heading3"/>
      </w:pPr>
      <w:bookmarkStart w:id="13" w:name="_Toc360172965"/>
      <w:r>
        <w:t>Public Policy supports the preservation of the ESP Stipula</w:t>
      </w:r>
      <w:r w:rsidR="00E61F5E">
        <w:softHyphen/>
      </w:r>
      <w:r>
        <w:t>tion</w:t>
      </w:r>
      <w:r w:rsidRPr="007B1ABF">
        <w:t>.</w:t>
      </w:r>
      <w:bookmarkEnd w:id="13"/>
      <w:r>
        <w:t xml:space="preserve"> </w:t>
      </w:r>
      <w:r w:rsidR="007E15E1" w:rsidRPr="001B6A58">
        <w:t xml:space="preserve"> </w:t>
      </w:r>
    </w:p>
    <w:p w:rsidR="00F85A85" w:rsidRDefault="00E106B2" w:rsidP="00263A62">
      <w:pPr>
        <w:pStyle w:val="Textstyle"/>
      </w:pPr>
      <w:r>
        <w:tab/>
      </w:r>
      <w:r w:rsidR="007E15E1">
        <w:t>S</w:t>
      </w:r>
      <w:r w:rsidR="00AD654F" w:rsidRPr="007B1ABF">
        <w:t>trong public policy r</w:t>
      </w:r>
      <w:r w:rsidR="007E15E1">
        <w:t>easons</w:t>
      </w:r>
      <w:r w:rsidR="00E07D19" w:rsidRPr="007B1ABF">
        <w:t xml:space="preserve"> support upholding the </w:t>
      </w:r>
      <w:r w:rsidR="00AD654F" w:rsidRPr="007B1ABF">
        <w:t>Sti</w:t>
      </w:r>
      <w:r w:rsidR="00551DEF">
        <w:t>pulation reached in Duke’s ESP p</w:t>
      </w:r>
      <w:r w:rsidR="00AD654F" w:rsidRPr="007B1ABF">
        <w:t xml:space="preserve">roceeding. </w:t>
      </w:r>
      <w:r w:rsidR="00062C65">
        <w:t xml:space="preserve"> </w:t>
      </w:r>
      <w:r w:rsidR="00F85A85">
        <w:t xml:space="preserve">First, </w:t>
      </w:r>
      <w:r w:rsidR="007E15E1">
        <w:t>Duke’s current Application</w:t>
      </w:r>
      <w:r w:rsidR="00E07D19" w:rsidRPr="007B1ABF">
        <w:t xml:space="preserve"> </w:t>
      </w:r>
      <w:r w:rsidR="00AD654F" w:rsidRPr="007B1ABF">
        <w:t xml:space="preserve">would require customers to </w:t>
      </w:r>
      <w:r w:rsidR="00334B19">
        <w:t>pay an additional $729</w:t>
      </w:r>
      <w:r w:rsidR="007E15E1">
        <w:t xml:space="preserve"> million </w:t>
      </w:r>
      <w:r w:rsidR="00E07D19" w:rsidRPr="007B1ABF">
        <w:t>despite the fact</w:t>
      </w:r>
      <w:r w:rsidR="0014231E">
        <w:t xml:space="preserve"> that Duke</w:t>
      </w:r>
      <w:r w:rsidR="00AD654F" w:rsidRPr="007B1ABF">
        <w:t xml:space="preserve"> negotiated a settlement</w:t>
      </w:r>
      <w:r w:rsidR="0014231E">
        <w:t xml:space="preserve"> with all cus</w:t>
      </w:r>
      <w:r w:rsidR="00275FA9">
        <w:softHyphen/>
      </w:r>
      <w:r w:rsidR="0014231E">
        <w:t>tomer classes for much less</w:t>
      </w:r>
      <w:r w:rsidR="00551DEF">
        <w:t xml:space="preserve"> concerning</w:t>
      </w:r>
      <w:r w:rsidR="00AD654F" w:rsidRPr="007B1ABF">
        <w:t xml:space="preserve"> the same issues.</w:t>
      </w:r>
      <w:r w:rsidR="00F14C58" w:rsidRPr="007B1ABF">
        <w:t xml:space="preserve"> </w:t>
      </w:r>
      <w:r w:rsidR="0014231E">
        <w:t xml:space="preserve"> The </w:t>
      </w:r>
      <w:r w:rsidR="005C3BE5">
        <w:t xml:space="preserve">drastic </w:t>
      </w:r>
      <w:r w:rsidR="0014231E">
        <w:t>ESP modifications affect</w:t>
      </w:r>
      <w:r w:rsidR="00E07D19" w:rsidRPr="007B1ABF">
        <w:t xml:space="preserve"> the Commission’s ability under </w:t>
      </w:r>
      <w:r w:rsidR="00AD654F" w:rsidRPr="007B1ABF">
        <w:t>R.C. 4928.02(A) to ensure reasonably priced elec</w:t>
      </w:r>
      <w:r w:rsidR="00275FA9">
        <w:softHyphen/>
      </w:r>
      <w:r w:rsidR="00AD654F" w:rsidRPr="007B1ABF">
        <w:t>tric service is made available to</w:t>
      </w:r>
      <w:r w:rsidR="00F85A85">
        <w:t xml:space="preserve"> all consumers in this State.</w:t>
      </w:r>
    </w:p>
    <w:p w:rsidR="00F85A85" w:rsidRPr="00F85A85" w:rsidRDefault="00E106B2" w:rsidP="00263A62">
      <w:pPr>
        <w:pStyle w:val="Textstyle"/>
      </w:pPr>
      <w:r>
        <w:tab/>
      </w:r>
      <w:r w:rsidR="00F85A85" w:rsidRPr="00F85A85">
        <w:t>Second, the Commission has already approved an SSO auction schedule the cur</w:t>
      </w:r>
      <w:r w:rsidR="00275FA9">
        <w:softHyphen/>
      </w:r>
      <w:r w:rsidR="00F85A85" w:rsidRPr="00F85A85">
        <w:t>rent Duke ESP and issued orders accepting the results of three SSO aucti</w:t>
      </w:r>
      <w:r w:rsidR="006773C0">
        <w:t>ons</w:t>
      </w:r>
      <w:r>
        <w:t xml:space="preserve"> – </w:t>
      </w:r>
      <w:r w:rsidR="006773C0">
        <w:t>December 2011, May 2012,</w:t>
      </w:r>
      <w:r w:rsidR="00F85A85" w:rsidRPr="00F85A85">
        <w:t xml:space="preserve"> November 2012</w:t>
      </w:r>
      <w:r w:rsidR="006773C0">
        <w:t>, and</w:t>
      </w:r>
      <w:r w:rsidR="002872C6">
        <w:t xml:space="preserve"> May</w:t>
      </w:r>
      <w:r w:rsidR="006773C0">
        <w:t xml:space="preserve"> 2013</w:t>
      </w:r>
      <w:r w:rsidR="00F85A85" w:rsidRPr="00F85A85">
        <w:t>.</w:t>
      </w:r>
      <w:r w:rsidR="00F85A85" w:rsidRPr="00F85A85">
        <w:rPr>
          <w:rStyle w:val="FootnoteReference"/>
        </w:rPr>
        <w:footnoteReference w:id="69"/>
      </w:r>
      <w:r w:rsidR="00F85A85" w:rsidRPr="00F85A85">
        <w:t xml:space="preserve">  With the auc</w:t>
      </w:r>
      <w:r w:rsidR="00EA4886">
        <w:t>tions well underway, Duke should not</w:t>
      </w:r>
      <w:r w:rsidR="006438D4">
        <w:t xml:space="preserve"> now, over 18 months</w:t>
      </w:r>
      <w:r w:rsidR="00F85A85" w:rsidRPr="00F85A85">
        <w:t xml:space="preserve"> later, modify the capacity pricing mechanism in the Stipulation.  </w:t>
      </w:r>
      <w:r w:rsidR="00F85A85">
        <w:t>The C</w:t>
      </w:r>
      <w:r w:rsidR="00F85A85" w:rsidRPr="00F85A85">
        <w:t>ommission considered Duke’s</w:t>
      </w:r>
      <w:r w:rsidR="00F85A85">
        <w:t xml:space="preserve"> cost of capacity</w:t>
      </w:r>
      <w:r w:rsidR="00F85A85" w:rsidRPr="00F85A85">
        <w:t xml:space="preserve"> and the spin-off of generation </w:t>
      </w:r>
      <w:r w:rsidR="00F85A85" w:rsidRPr="00551DEF">
        <w:rPr>
          <w:bCs/>
          <w:i/>
        </w:rPr>
        <w:t>in total</w:t>
      </w:r>
      <w:r w:rsidR="00F85A85" w:rsidRPr="00F85A85">
        <w:t xml:space="preserve"> before issuing</w:t>
      </w:r>
      <w:r w:rsidR="00551DEF">
        <w:t xml:space="preserve"> the Order in Duke’s</w:t>
      </w:r>
      <w:r w:rsidR="00F85A85" w:rsidRPr="00F85A85">
        <w:t xml:space="preserve"> ESP.  It make</w:t>
      </w:r>
      <w:r w:rsidR="00F85A85">
        <w:t>s no</w:t>
      </w:r>
      <w:r w:rsidR="00F85A85" w:rsidRPr="00F85A85">
        <w:t xml:space="preserve"> sense for Duke to come</w:t>
      </w:r>
      <w:r w:rsidR="00EA4886">
        <w:t xml:space="preserve"> back</w:t>
      </w:r>
      <w:r w:rsidR="00221F8C">
        <w:t xml:space="preserve"> a year later</w:t>
      </w:r>
      <w:r w:rsidR="00F85A85" w:rsidRPr="00F85A85">
        <w:t xml:space="preserve"> and ask for capacity compensation</w:t>
      </w:r>
      <w:r w:rsidR="00F85A85">
        <w:t xml:space="preserve"> modification</w:t>
      </w:r>
      <w:r w:rsidR="00F85A85" w:rsidRPr="00F85A85">
        <w:t>.</w:t>
      </w:r>
    </w:p>
    <w:p w:rsidR="00934BBF" w:rsidRPr="007B1ABF" w:rsidRDefault="00E106B2" w:rsidP="00263A62">
      <w:pPr>
        <w:pStyle w:val="Textstyle"/>
        <w:rPr>
          <w:i/>
          <w:iCs/>
        </w:rPr>
      </w:pPr>
      <w:r>
        <w:tab/>
      </w:r>
      <w:r w:rsidR="00F85A85">
        <w:t>Third, t</w:t>
      </w:r>
      <w:r w:rsidR="0014231E">
        <w:t>he Commission</w:t>
      </w:r>
      <w:r w:rsidR="00AD654F" w:rsidRPr="007B1ABF">
        <w:t xml:space="preserve"> should respect the precedent</w:t>
      </w:r>
      <w:r w:rsidR="00E07D19" w:rsidRPr="007B1ABF">
        <w:t>ial value of all its decisions.</w:t>
      </w:r>
      <w:r w:rsidR="0014231E">
        <w:t xml:space="preserve">  Upholding stipulations</w:t>
      </w:r>
      <w:r w:rsidR="00E07D19" w:rsidRPr="007B1ABF">
        <w:t xml:space="preserve"> </w:t>
      </w:r>
      <w:r w:rsidR="00AD654F" w:rsidRPr="007B1ABF">
        <w:t>provide</w:t>
      </w:r>
      <w:r w:rsidR="0014231E">
        <w:t>s</w:t>
      </w:r>
      <w:r w:rsidR="00AD654F" w:rsidRPr="007B1ABF">
        <w:t xml:space="preserve"> regulatory certainty</w:t>
      </w:r>
      <w:r w:rsidR="005C3BE5">
        <w:t xml:space="preserve"> for Ohio customers and investors</w:t>
      </w:r>
      <w:r w:rsidR="00AD654F" w:rsidRPr="007B1ABF">
        <w:t xml:space="preserve">. </w:t>
      </w:r>
      <w:r w:rsidR="005C3BE5">
        <w:t xml:space="preserve"> </w:t>
      </w:r>
      <w:r w:rsidR="00220B82">
        <w:t>T</w:t>
      </w:r>
      <w:r w:rsidR="00AD654F" w:rsidRPr="007B1ABF">
        <w:t>he Commission</w:t>
      </w:r>
      <w:r w:rsidR="00220B82">
        <w:t xml:space="preserve"> should</w:t>
      </w:r>
      <w:r w:rsidR="00AD654F" w:rsidRPr="007B1ABF">
        <w:t xml:space="preserve"> not depart</w:t>
      </w:r>
      <w:r w:rsidR="00220B82">
        <w:t xml:space="preserve"> from</w:t>
      </w:r>
      <w:r w:rsidR="00AD654F" w:rsidRPr="007B1ABF">
        <w:t xml:space="preserve"> </w:t>
      </w:r>
      <w:r w:rsidR="005C3BE5" w:rsidRPr="007B1ABF">
        <w:t>previous decisions</w:t>
      </w:r>
      <w:r w:rsidR="00AD654F" w:rsidRPr="007B1ABF">
        <w:t xml:space="preserve"> without a clear need. </w:t>
      </w:r>
      <w:r w:rsidR="00220B82">
        <w:t xml:space="preserve"> </w:t>
      </w:r>
      <w:r w:rsidR="00551DEF">
        <w:t>T</w:t>
      </w:r>
      <w:r w:rsidR="00AD654F" w:rsidRPr="007B1ABF">
        <w:t>he Ohio Supreme Court</w:t>
      </w:r>
      <w:r w:rsidR="00551DEF">
        <w:t xml:space="preserve"> has</w:t>
      </w:r>
      <w:r w:rsidR="00AD654F" w:rsidRPr="007B1ABF">
        <w:t xml:space="preserve"> stated:</w:t>
      </w:r>
      <w:r w:rsidR="00E07D19" w:rsidRPr="007B1ABF">
        <w:rPr>
          <w:i/>
          <w:iCs/>
        </w:rPr>
        <w:t xml:space="preserve"> </w:t>
      </w:r>
    </w:p>
    <w:p w:rsidR="00934BBF" w:rsidRPr="007B1ABF" w:rsidRDefault="00AD654F" w:rsidP="00263A62">
      <w:pPr>
        <w:pStyle w:val="Blockquote"/>
        <w:rPr>
          <w:i/>
          <w:iCs/>
        </w:rPr>
      </w:pPr>
      <w:r w:rsidRPr="007B1ABF">
        <w:t>Although the Commission should be willing to change its position</w:t>
      </w:r>
      <w:r w:rsidR="00E07D19" w:rsidRPr="007B1ABF">
        <w:rPr>
          <w:i/>
          <w:iCs/>
        </w:rPr>
        <w:t xml:space="preserve"> </w:t>
      </w:r>
      <w:r w:rsidRPr="007B1ABF">
        <w:t>when the need therefore is clear and it is shown that prior decisions</w:t>
      </w:r>
      <w:r w:rsidR="00E07D19" w:rsidRPr="007B1ABF">
        <w:rPr>
          <w:i/>
          <w:iCs/>
        </w:rPr>
        <w:t xml:space="preserve"> </w:t>
      </w:r>
      <w:r w:rsidR="005C3BE5">
        <w:t xml:space="preserve">are in error, it </w:t>
      </w:r>
      <w:r w:rsidRPr="007B1ABF">
        <w:t>should also respect its own precedents in its</w:t>
      </w:r>
      <w:r w:rsidR="00E07D19" w:rsidRPr="007B1ABF">
        <w:rPr>
          <w:i/>
          <w:iCs/>
        </w:rPr>
        <w:t xml:space="preserve"> </w:t>
      </w:r>
      <w:r w:rsidR="005C3BE5">
        <w:t xml:space="preserve">decisions to assure the </w:t>
      </w:r>
      <w:r w:rsidRPr="007B1ABF">
        <w:t>predictability which is essential in all areas</w:t>
      </w:r>
      <w:r w:rsidR="00E07D19" w:rsidRPr="007B1ABF">
        <w:rPr>
          <w:i/>
          <w:iCs/>
        </w:rPr>
        <w:t xml:space="preserve"> </w:t>
      </w:r>
      <w:r w:rsidRPr="007B1ABF">
        <w:t>of the law, including administrative law.</w:t>
      </w:r>
      <w:r w:rsidR="00551DEF">
        <w:rPr>
          <w:rStyle w:val="FootnoteReference"/>
        </w:rPr>
        <w:footnoteReference w:id="70"/>
      </w:r>
      <w:r w:rsidR="00E07D19" w:rsidRPr="007B1ABF">
        <w:rPr>
          <w:i/>
          <w:iCs/>
        </w:rPr>
        <w:t xml:space="preserve"> </w:t>
      </w:r>
    </w:p>
    <w:p w:rsidR="00E07D19" w:rsidRPr="007B1ABF" w:rsidRDefault="00E106B2" w:rsidP="00E106B2">
      <w:pPr>
        <w:pStyle w:val="Textstyle"/>
      </w:pPr>
      <w:r>
        <w:tab/>
      </w:r>
      <w:r w:rsidR="00AD654F" w:rsidRPr="007B1ABF">
        <w:t xml:space="preserve">Sound regulation should not discourage dispute-resolution through settlement. </w:t>
      </w:r>
      <w:r w:rsidR="00220B82">
        <w:t xml:space="preserve"> </w:t>
      </w:r>
      <w:r w:rsidR="00AD654F" w:rsidRPr="007B1ABF">
        <w:t>Settle</w:t>
      </w:r>
      <w:r w:rsidR="00275FA9">
        <w:softHyphen/>
      </w:r>
      <w:r w:rsidR="00AD654F" w:rsidRPr="007B1ABF">
        <w:t>ment may also bring about regulatory certainty that</w:t>
      </w:r>
      <w:r w:rsidR="00E07D19" w:rsidRPr="00263A62">
        <w:t xml:space="preserve"> </w:t>
      </w:r>
      <w:r w:rsidR="00AD654F" w:rsidRPr="007B1ABF">
        <w:t>may otherwise be delayed until the ter</w:t>
      </w:r>
      <w:r w:rsidR="00551DEF">
        <w:t>mination of all litigation</w:t>
      </w:r>
      <w:r w:rsidR="00275FA9">
        <w:t xml:space="preserve">.  </w:t>
      </w:r>
      <w:r w:rsidR="00551DEF">
        <w:t>Overall</w:t>
      </w:r>
      <w:r w:rsidR="00AD654F" w:rsidRPr="007B1ABF">
        <w:t>, because there is the</w:t>
      </w:r>
      <w:r w:rsidR="00E07D19" w:rsidRPr="00263A62">
        <w:t xml:space="preserve"> </w:t>
      </w:r>
      <w:r w:rsidR="00AD654F" w:rsidRPr="007B1ABF">
        <w:t>potential for cost savings and regulatory certainty, the</w:t>
      </w:r>
      <w:r w:rsidR="00220B82">
        <w:t xml:space="preserve"> Commission</w:t>
      </w:r>
      <w:r w:rsidR="00AD654F" w:rsidRPr="007B1ABF">
        <w:t xml:space="preserve"> should</w:t>
      </w:r>
      <w:r w:rsidR="00220B82">
        <w:t xml:space="preserve"> en</w:t>
      </w:r>
      <w:r w:rsidR="00AD654F" w:rsidRPr="007B1ABF">
        <w:t>courage</w:t>
      </w:r>
      <w:r w:rsidR="00E07D19" w:rsidRPr="00263A62">
        <w:t xml:space="preserve"> </w:t>
      </w:r>
      <w:r w:rsidR="00220B82">
        <w:t>settlement</w:t>
      </w:r>
      <w:r w:rsidR="00AD654F" w:rsidRPr="007B1ABF">
        <w:t>.</w:t>
      </w:r>
    </w:p>
    <w:p w:rsidR="00AD654F" w:rsidRPr="007B1ABF" w:rsidRDefault="00E106B2" w:rsidP="001228C2">
      <w:pPr>
        <w:pStyle w:val="Heading2"/>
      </w:pPr>
      <w:bookmarkStart w:id="14" w:name="_Toc360172966"/>
      <w:r>
        <w:t>B.</w:t>
      </w:r>
      <w:r>
        <w:tab/>
      </w:r>
      <w:r w:rsidR="00DC716E">
        <w:t xml:space="preserve">The Commission should reject Duke’s application because </w:t>
      </w:r>
      <w:r w:rsidR="00220B82">
        <w:t>D</w:t>
      </w:r>
      <w:r w:rsidR="00220B82" w:rsidRPr="007B1ABF">
        <w:t>uke failed to tim</w:t>
      </w:r>
      <w:r w:rsidR="00220B82">
        <w:t>ely apply for rehearing of the Commis</w:t>
      </w:r>
      <w:r w:rsidR="00E61F5E">
        <w:softHyphen/>
      </w:r>
      <w:r w:rsidR="00220B82">
        <w:t xml:space="preserve">sion order approving the </w:t>
      </w:r>
      <w:r w:rsidR="00DC716E">
        <w:t xml:space="preserve">ESP </w:t>
      </w:r>
      <w:r w:rsidR="00220B82">
        <w:t>S</w:t>
      </w:r>
      <w:r w:rsidR="00220B82" w:rsidRPr="007B1ABF">
        <w:t>tipulation and failed to timely file an appeal.</w:t>
      </w:r>
      <w:bookmarkEnd w:id="14"/>
      <w:r w:rsidR="00220B82" w:rsidRPr="007B1ABF">
        <w:t xml:space="preserve"> </w:t>
      </w:r>
    </w:p>
    <w:p w:rsidR="0033297B" w:rsidRDefault="00E106B2" w:rsidP="00263A62">
      <w:pPr>
        <w:pStyle w:val="Textstyle"/>
      </w:pPr>
      <w:r>
        <w:tab/>
      </w:r>
      <w:r w:rsidR="004D1493">
        <w:t>As previously noted in Staff’s Initial Comments filed in this docket, t</w:t>
      </w:r>
      <w:r w:rsidR="00473E54" w:rsidRPr="007B1ABF">
        <w:t>he Commis</w:t>
      </w:r>
      <w:r w:rsidR="00E61F5E">
        <w:softHyphen/>
      </w:r>
      <w:r w:rsidR="00473E54" w:rsidRPr="007B1ABF">
        <w:t>sion should treat the application as a late-filed application for rehearing.</w:t>
      </w:r>
      <w:r w:rsidR="004D1493">
        <w:rPr>
          <w:rStyle w:val="FootnoteReference"/>
        </w:rPr>
        <w:footnoteReference w:id="71"/>
      </w:r>
      <w:r w:rsidR="00473E54">
        <w:t xml:space="preserve">  </w:t>
      </w:r>
      <w:r w:rsidR="00473E54">
        <w:rPr>
          <w:bCs/>
        </w:rPr>
        <w:t>T</w:t>
      </w:r>
      <w:r w:rsidR="00220B82" w:rsidRPr="00220B82">
        <w:rPr>
          <w:bCs/>
        </w:rPr>
        <w:t>he C</w:t>
      </w:r>
      <w:r w:rsidR="00220B82">
        <w:rPr>
          <w:bCs/>
        </w:rPr>
        <w:t>ommis</w:t>
      </w:r>
      <w:r w:rsidR="00E61F5E">
        <w:rPr>
          <w:bCs/>
        </w:rPr>
        <w:softHyphen/>
      </w:r>
      <w:r w:rsidR="00220B82">
        <w:rPr>
          <w:bCs/>
        </w:rPr>
        <w:t>sion</w:t>
      </w:r>
      <w:r w:rsidR="00473E54">
        <w:rPr>
          <w:bCs/>
        </w:rPr>
        <w:t>, therefore,</w:t>
      </w:r>
      <w:r w:rsidR="00220B82">
        <w:rPr>
          <w:bCs/>
        </w:rPr>
        <w:t xml:space="preserve"> lacks jurisdiction to entertain D</w:t>
      </w:r>
      <w:r w:rsidR="00220B82" w:rsidRPr="00220B82">
        <w:rPr>
          <w:bCs/>
        </w:rPr>
        <w:t>uke’s belated request for rehearing.</w:t>
      </w:r>
      <w:r w:rsidR="00220B82">
        <w:rPr>
          <w:b/>
          <w:bCs/>
        </w:rPr>
        <w:t xml:space="preserve">  </w:t>
      </w:r>
      <w:r w:rsidR="0033297B">
        <w:t>R.C. 4903.10 states that:</w:t>
      </w:r>
    </w:p>
    <w:p w:rsidR="0033297B" w:rsidRDefault="006D52DC" w:rsidP="00263A62">
      <w:pPr>
        <w:pStyle w:val="Blockquote"/>
      </w:pPr>
      <w:r>
        <w:t>***</w:t>
      </w:r>
      <w:r w:rsidR="0033297B" w:rsidRPr="0033297B">
        <w:t>any party who has entered an appearance in person or by counsel in the proceeding may apply for a rehearing in respect to any matters determined in the proceeding</w:t>
      </w:r>
      <w:r w:rsidR="00275FA9" w:rsidRPr="0033297B">
        <w:t xml:space="preserve">.  </w:t>
      </w:r>
      <w:r w:rsidR="0033297B" w:rsidRPr="0033297B">
        <w:t>Such application shall be filed within thirty days after the entry of the order upon the journal of the commission</w:t>
      </w:r>
      <w:r w:rsidR="00E07D19" w:rsidRPr="0033297B">
        <w:t>.</w:t>
      </w:r>
      <w:r w:rsidR="0033297B">
        <w:rPr>
          <w:rStyle w:val="FootnoteReference"/>
        </w:rPr>
        <w:footnoteReference w:id="72"/>
      </w:r>
      <w:r w:rsidR="00E07D19" w:rsidRPr="0033297B">
        <w:t xml:space="preserve"> </w:t>
      </w:r>
    </w:p>
    <w:p w:rsidR="00A86616" w:rsidRDefault="005B6533" w:rsidP="00E106B2">
      <w:pPr>
        <w:pStyle w:val="Textstyle"/>
      </w:pPr>
      <w:r>
        <w:t>Duke did not file an</w:t>
      </w:r>
      <w:r w:rsidR="006D52DC">
        <w:t xml:space="preserve"> application for rehearing at all in the Duke ESP proceeding.  Thus, Duke</w:t>
      </w:r>
      <w:r w:rsidR="006D52DC" w:rsidRPr="007B1ABF">
        <w:t xml:space="preserve"> did not apply for rehearing within the thirty-day period of the statute.</w:t>
      </w:r>
      <w:r w:rsidR="00A86616">
        <w:t xml:space="preserve">  T</w:t>
      </w:r>
      <w:r w:rsidR="00AD654F" w:rsidRPr="007B1ABF">
        <w:t>he statute</w:t>
      </w:r>
      <w:r w:rsidR="00A86616">
        <w:t xml:space="preserve"> further states</w:t>
      </w:r>
      <w:r w:rsidR="00AD654F" w:rsidRPr="007B1ABF">
        <w:t xml:space="preserve"> that</w:t>
      </w:r>
      <w:r w:rsidR="00A86616">
        <w:t>:</w:t>
      </w:r>
    </w:p>
    <w:p w:rsidR="00A86616" w:rsidRDefault="00AD654F" w:rsidP="00263A62">
      <w:pPr>
        <w:pStyle w:val="Blockquote"/>
      </w:pPr>
      <w:r w:rsidRPr="007B1ABF">
        <w:t xml:space="preserve">[n]o cause of action arising out </w:t>
      </w:r>
      <w:r w:rsidR="00E07D19" w:rsidRPr="007B1ABF">
        <w:t>of any order of the commis</w:t>
      </w:r>
      <w:r w:rsidR="00275FA9">
        <w:softHyphen/>
      </w:r>
      <w:r w:rsidR="00E07D19" w:rsidRPr="007B1ABF">
        <w:t xml:space="preserve">sion, </w:t>
      </w:r>
      <w:r w:rsidRPr="007B1ABF">
        <w:t>other than in support of the order, shall accrue in an</w:t>
      </w:r>
      <w:r w:rsidR="00E07D19" w:rsidRPr="007B1ABF">
        <w:t xml:space="preserve">y court to any person, firm, or </w:t>
      </w:r>
      <w:r w:rsidRPr="007B1ABF">
        <w:t>corporation unless such person, firm, or corporation has m</w:t>
      </w:r>
      <w:r w:rsidR="00E07D19" w:rsidRPr="007B1ABF">
        <w:t xml:space="preserve">ade a proper application to the </w:t>
      </w:r>
      <w:r w:rsidR="00A86616">
        <w:t>commission for rehearing.</w:t>
      </w:r>
      <w:r w:rsidR="00A86616">
        <w:rPr>
          <w:rStyle w:val="FootnoteReference"/>
        </w:rPr>
        <w:footnoteReference w:id="73"/>
      </w:r>
      <w:r w:rsidR="0033297B" w:rsidRPr="007B1ABF">
        <w:t xml:space="preserve"> </w:t>
      </w:r>
    </w:p>
    <w:p w:rsidR="00D11235" w:rsidRPr="007B1ABF" w:rsidRDefault="006D52DC" w:rsidP="00E106B2">
      <w:pPr>
        <w:pStyle w:val="Textstyle"/>
      </w:pPr>
      <w:r>
        <w:t>A proper application meets</w:t>
      </w:r>
      <w:r w:rsidR="00E07D19" w:rsidRPr="007B1ABF">
        <w:t xml:space="preserve"> the </w:t>
      </w:r>
      <w:r w:rsidR="00AD654F" w:rsidRPr="007B1ABF">
        <w:t>thirty-day</w:t>
      </w:r>
      <w:r w:rsidR="00E07D19" w:rsidRPr="007B1ABF">
        <w:t xml:space="preserve"> deadline fo</w:t>
      </w:r>
      <w:r>
        <w:t xml:space="preserve">r rehearing.  Duke failed to meet this deadline requirement. </w:t>
      </w:r>
      <w:r w:rsidR="00E07D19" w:rsidRPr="007B1ABF">
        <w:t xml:space="preserve"> </w:t>
      </w:r>
    </w:p>
    <w:p w:rsidR="00D11235" w:rsidRPr="007B1ABF" w:rsidRDefault="00E106B2" w:rsidP="00263A62">
      <w:pPr>
        <w:pStyle w:val="Textstyle"/>
      </w:pPr>
      <w:r>
        <w:tab/>
      </w:r>
      <w:r w:rsidR="00AD654F" w:rsidRPr="007B1ABF">
        <w:t>Duke is now seeking rehe</w:t>
      </w:r>
      <w:r w:rsidR="00E07D19" w:rsidRPr="007B1ABF">
        <w:t xml:space="preserve">aring of the Commission’s </w:t>
      </w:r>
      <w:r w:rsidR="006D52DC">
        <w:t xml:space="preserve">ESP </w:t>
      </w:r>
      <w:r w:rsidR="00E07D19" w:rsidRPr="007B1ABF">
        <w:t>Order</w:t>
      </w:r>
      <w:r w:rsidR="006D52DC">
        <w:t xml:space="preserve"> through this</w:t>
      </w:r>
      <w:r w:rsidR="00AD654F" w:rsidRPr="007B1ABF">
        <w:t xml:space="preserve"> new Application</w:t>
      </w:r>
      <w:r w:rsidR="00E07D19" w:rsidRPr="007B1ABF">
        <w:t xml:space="preserve">. </w:t>
      </w:r>
      <w:r w:rsidR="006D52DC">
        <w:t xml:space="preserve"> </w:t>
      </w:r>
      <w:r w:rsidR="00E07D19" w:rsidRPr="007B1ABF">
        <w:t>Duke</w:t>
      </w:r>
      <w:r w:rsidR="004D1493">
        <w:t xml:space="preserve"> asks</w:t>
      </w:r>
      <w:r w:rsidR="00AD654F" w:rsidRPr="007B1ABF">
        <w:t xml:space="preserve"> the</w:t>
      </w:r>
      <w:r w:rsidR="006D52DC">
        <w:t xml:space="preserve"> Commission</w:t>
      </w:r>
      <w:r w:rsidR="005B6533">
        <w:t xml:space="preserve"> to</w:t>
      </w:r>
      <w:r w:rsidR="00AD654F" w:rsidRPr="007B1ABF">
        <w:t xml:space="preserve"> reconsider</w:t>
      </w:r>
      <w:r w:rsidR="005B6533">
        <w:t xml:space="preserve"> capacity pricing—</w:t>
      </w:r>
      <w:r w:rsidR="006D52DC">
        <w:t>a significant term of the</w:t>
      </w:r>
      <w:r w:rsidR="00473E54">
        <w:t xml:space="preserve"> ESP</w:t>
      </w:r>
      <w:r w:rsidR="006D52DC">
        <w:t xml:space="preserve"> Stipulation</w:t>
      </w:r>
      <w:r w:rsidR="00AD654F" w:rsidRPr="007B1ABF">
        <w:t xml:space="preserve">. </w:t>
      </w:r>
      <w:r w:rsidR="006D52DC">
        <w:t xml:space="preserve"> </w:t>
      </w:r>
      <w:r w:rsidR="00AD654F" w:rsidRPr="007B1ABF">
        <w:t>The Stipulation adopted a capacity pricin</w:t>
      </w:r>
      <w:r w:rsidR="00E07D19" w:rsidRPr="007B1ABF">
        <w:t xml:space="preserve">g </w:t>
      </w:r>
      <w:r w:rsidR="00AD654F" w:rsidRPr="007B1ABF">
        <w:t xml:space="preserve">methodology based on RPM pricing. </w:t>
      </w:r>
      <w:r w:rsidR="00473E54">
        <w:t xml:space="preserve"> </w:t>
      </w:r>
      <w:r w:rsidR="00AD654F" w:rsidRPr="007B1ABF">
        <w:t xml:space="preserve">Duke </w:t>
      </w:r>
      <w:r w:rsidR="00473E54">
        <w:t xml:space="preserve">now </w:t>
      </w:r>
      <w:r w:rsidR="00AD654F" w:rsidRPr="007B1ABF">
        <w:t>seeks rehearing</w:t>
      </w:r>
      <w:r w:rsidR="00F14C58" w:rsidRPr="007B1ABF">
        <w:t xml:space="preserve"> on the basis that </w:t>
      </w:r>
      <w:r w:rsidR="00AD654F" w:rsidRPr="007B1ABF">
        <w:t>the capacity should instead be priced on an embedded cost</w:t>
      </w:r>
      <w:r w:rsidR="00E07D19" w:rsidRPr="007B1ABF">
        <w:t xml:space="preserve"> basis when it had negotiated a </w:t>
      </w:r>
      <w:r w:rsidR="00AD654F" w:rsidRPr="007B1ABF">
        <w:t>different result with full knowledge of the alternatives.</w:t>
      </w:r>
      <w:r w:rsidR="006D52DC">
        <w:t xml:space="preserve"> </w:t>
      </w:r>
      <w:r w:rsidR="00473E54">
        <w:t xml:space="preserve"> Duke was</w:t>
      </w:r>
      <w:r w:rsidR="00F53D74">
        <w:t xml:space="preserve"> well</w:t>
      </w:r>
      <w:r w:rsidR="00473E54">
        <w:t xml:space="preserve"> aware</w:t>
      </w:r>
      <w:r w:rsidR="00E07D19" w:rsidRPr="007B1ABF">
        <w:t xml:space="preserve"> that AEP Ohio </w:t>
      </w:r>
      <w:r w:rsidR="00AD654F" w:rsidRPr="007B1ABF">
        <w:t>was contesting identical issues befo</w:t>
      </w:r>
      <w:r w:rsidR="00E07D19" w:rsidRPr="007B1ABF">
        <w:t>re this Commission and the FERC</w:t>
      </w:r>
      <w:r w:rsidR="00F53D74">
        <w:t xml:space="preserve"> the</w:t>
      </w:r>
      <w:r w:rsidR="00AD654F" w:rsidRPr="007B1ABF">
        <w:t xml:space="preserve"> same time that Duke entered into the</w:t>
      </w:r>
      <w:r w:rsidR="00473E54">
        <w:t xml:space="preserve"> ESP</w:t>
      </w:r>
      <w:r w:rsidR="00AD654F" w:rsidRPr="007B1ABF">
        <w:t xml:space="preserve"> Stipulat</w:t>
      </w:r>
      <w:r w:rsidR="00E07D19" w:rsidRPr="007B1ABF">
        <w:t>ion.</w:t>
      </w:r>
      <w:r w:rsidR="00F53D74">
        <w:t xml:space="preserve">  Again, </w:t>
      </w:r>
      <w:r w:rsidR="00F53D74" w:rsidRPr="007B1ABF">
        <w:t>Duke</w:t>
      </w:r>
      <w:r w:rsidR="00F53D74">
        <w:t xml:space="preserve"> opted for regulatory cer</w:t>
      </w:r>
      <w:r w:rsidR="00275FA9">
        <w:softHyphen/>
      </w:r>
      <w:r w:rsidR="00F53D74">
        <w:t>tainty by settling its</w:t>
      </w:r>
      <w:r w:rsidR="00F53D74" w:rsidRPr="007B1ABF">
        <w:t xml:space="preserve"> pro</w:t>
      </w:r>
      <w:r w:rsidR="00E61F5E">
        <w:softHyphen/>
      </w:r>
      <w:r w:rsidR="00F53D74" w:rsidRPr="007B1ABF">
        <w:t>ceedings</w:t>
      </w:r>
      <w:r w:rsidR="00F53D74">
        <w:t>.</w:t>
      </w:r>
    </w:p>
    <w:p w:rsidR="00E07D19" w:rsidRPr="007B1ABF" w:rsidRDefault="00E106B2" w:rsidP="00E106B2">
      <w:pPr>
        <w:pStyle w:val="Textstyle"/>
      </w:pPr>
      <w:r>
        <w:tab/>
      </w:r>
      <w:r w:rsidR="00AD654F" w:rsidRPr="007B1ABF">
        <w:t>Duke cannot avoid the requirements of the law</w:t>
      </w:r>
      <w:r w:rsidR="00AD654F" w:rsidRPr="007B1ABF">
        <w:rPr>
          <w:b/>
          <w:bCs/>
        </w:rPr>
        <w:t xml:space="preserve"> </w:t>
      </w:r>
      <w:r w:rsidR="00E07D19" w:rsidRPr="007B1ABF">
        <w:t xml:space="preserve">by calling its filing an </w:t>
      </w:r>
      <w:r w:rsidR="00473E54">
        <w:t>Application to establish a new service.</w:t>
      </w:r>
      <w:r w:rsidR="00473E54" w:rsidRPr="00473E54">
        <w:rPr>
          <w:rStyle w:val="FootnoteReference"/>
        </w:rPr>
        <w:t xml:space="preserve"> </w:t>
      </w:r>
      <w:r w:rsidR="00473E54" w:rsidRPr="007B1ABF">
        <w:rPr>
          <w:rStyle w:val="FootnoteReference"/>
        </w:rPr>
        <w:footnoteReference w:id="74"/>
      </w:r>
      <w:r w:rsidR="00F14C58" w:rsidRPr="007B1ABF">
        <w:rPr>
          <w:b/>
          <w:bCs/>
        </w:rPr>
        <w:t xml:space="preserve"> </w:t>
      </w:r>
      <w:r w:rsidR="00AD654F" w:rsidRPr="007B1ABF">
        <w:rPr>
          <w:b/>
          <w:bCs/>
        </w:rPr>
        <w:t xml:space="preserve"> </w:t>
      </w:r>
      <w:r w:rsidR="00473E54">
        <w:rPr>
          <w:bCs/>
        </w:rPr>
        <w:t>Duke’s Application is</w:t>
      </w:r>
      <w:r w:rsidR="00AD654F" w:rsidRPr="007B1ABF">
        <w:t xml:space="preserve"> an unti</w:t>
      </w:r>
      <w:r w:rsidR="00E07D19" w:rsidRPr="007B1ABF">
        <w:t xml:space="preserve">mely application for rehearing. </w:t>
      </w:r>
      <w:r w:rsidR="00473E54">
        <w:t xml:space="preserve"> W</w:t>
      </w:r>
      <w:r w:rsidR="00AD654F" w:rsidRPr="007B1ABF">
        <w:t>here no application for rehearing is filed within th</w:t>
      </w:r>
      <w:r w:rsidR="00E07D19" w:rsidRPr="007B1ABF">
        <w:t xml:space="preserve">irty days as required, the </w:t>
      </w:r>
      <w:r w:rsidR="00AD654F" w:rsidRPr="007B1ABF">
        <w:t>Commis</w:t>
      </w:r>
      <w:r w:rsidR="00275FA9">
        <w:softHyphen/>
      </w:r>
      <w:r w:rsidR="00AD654F" w:rsidRPr="007B1ABF">
        <w:t>sion has no power to entertain it.</w:t>
      </w:r>
      <w:r w:rsidR="00F14C58" w:rsidRPr="007B1ABF">
        <w:rPr>
          <w:rStyle w:val="FootnoteReference"/>
        </w:rPr>
        <w:footnoteReference w:id="75"/>
      </w:r>
      <w:r w:rsidR="00F14C58" w:rsidRPr="007B1ABF">
        <w:rPr>
          <w:b/>
          <w:bCs/>
        </w:rPr>
        <w:t xml:space="preserve"> </w:t>
      </w:r>
      <w:r w:rsidR="00AD654F" w:rsidRPr="007B1ABF">
        <w:rPr>
          <w:b/>
          <w:bCs/>
        </w:rPr>
        <w:t xml:space="preserve"> </w:t>
      </w:r>
      <w:r w:rsidR="00AD654F" w:rsidRPr="007B1ABF">
        <w:t>Thus, the</w:t>
      </w:r>
      <w:r w:rsidR="00E07D19" w:rsidRPr="007B1ABF">
        <w:t xml:space="preserve"> Commission fundamentally lacks </w:t>
      </w:r>
      <w:r w:rsidR="00473E54">
        <w:t>jurisdic</w:t>
      </w:r>
      <w:r w:rsidR="00275FA9">
        <w:softHyphen/>
      </w:r>
      <w:r w:rsidR="00473E54">
        <w:t>tion on this matter and must</w:t>
      </w:r>
      <w:r w:rsidR="00AD654F" w:rsidRPr="007B1ABF">
        <w:t xml:space="preserve"> </w:t>
      </w:r>
      <w:r w:rsidR="00473E54">
        <w:t>deny or dismiss Duke’s A</w:t>
      </w:r>
      <w:r w:rsidR="00AD654F" w:rsidRPr="007B1ABF">
        <w:t>pplication.</w:t>
      </w:r>
    </w:p>
    <w:p w:rsidR="00AD654F" w:rsidRPr="007B1ABF" w:rsidRDefault="00E106B2" w:rsidP="001228C2">
      <w:pPr>
        <w:pStyle w:val="Heading2"/>
      </w:pPr>
      <w:bookmarkStart w:id="15" w:name="_Toc360172967"/>
      <w:r>
        <w:t>C.</w:t>
      </w:r>
      <w:r>
        <w:tab/>
      </w:r>
      <w:r w:rsidR="00472B47">
        <w:t>T</w:t>
      </w:r>
      <w:r w:rsidR="00473E54" w:rsidRPr="007B1ABF">
        <w:t xml:space="preserve">he doctrines of </w:t>
      </w:r>
      <w:r w:rsidR="00473E54" w:rsidRPr="00275FA9">
        <w:rPr>
          <w:i/>
        </w:rPr>
        <w:t>res judicata</w:t>
      </w:r>
      <w:r w:rsidR="00473E54" w:rsidRPr="007B1ABF">
        <w:t xml:space="preserve"> and collateral estoppel </w:t>
      </w:r>
      <w:r w:rsidR="00472B47">
        <w:t>pre</w:t>
      </w:r>
      <w:r w:rsidR="00E61F5E">
        <w:softHyphen/>
      </w:r>
      <w:r w:rsidR="00472B47">
        <w:t>clude</w:t>
      </w:r>
      <w:r w:rsidR="00472B47" w:rsidRPr="007B1ABF">
        <w:t xml:space="preserve"> </w:t>
      </w:r>
      <w:r w:rsidR="00472B47">
        <w:t>D</w:t>
      </w:r>
      <w:r w:rsidR="00472B47" w:rsidRPr="007B1ABF">
        <w:t>uke</w:t>
      </w:r>
      <w:r w:rsidR="00472B47">
        <w:t xml:space="preserve"> </w:t>
      </w:r>
      <w:r w:rsidR="00473E54" w:rsidRPr="007B1ABF">
        <w:t>from</w:t>
      </w:r>
      <w:r w:rsidR="00472B47">
        <w:t xml:space="preserve"> re-litigating the</w:t>
      </w:r>
      <w:r w:rsidR="00473E54">
        <w:t xml:space="preserve"> ESP where it agreed to RPM-</w:t>
      </w:r>
      <w:r w:rsidR="00473E54" w:rsidRPr="007B1ABF">
        <w:t>based capacity pricing for</w:t>
      </w:r>
      <w:r w:rsidR="00473E54">
        <w:t xml:space="preserve"> CRES</w:t>
      </w:r>
      <w:r w:rsidR="00473E54" w:rsidRPr="007B1ABF">
        <w:t xml:space="preserve"> suppliers.</w:t>
      </w:r>
      <w:bookmarkEnd w:id="15"/>
    </w:p>
    <w:p w:rsidR="00A60CA2" w:rsidRDefault="00E106B2" w:rsidP="00E106B2">
      <w:pPr>
        <w:pStyle w:val="Textstyle"/>
      </w:pPr>
      <w:r>
        <w:tab/>
      </w:r>
      <w:r w:rsidR="004D1493">
        <w:t xml:space="preserve">Again, as Staff mentioned in its Initial Comments in this case, </w:t>
      </w:r>
      <w:r w:rsidR="00996488">
        <w:t>Duke is precluded from re-liti</w:t>
      </w:r>
      <w:r w:rsidR="004722DB">
        <w:t>gating the ESP capacity pricing.</w:t>
      </w:r>
      <w:r w:rsidR="004D1493">
        <w:rPr>
          <w:rStyle w:val="FootnoteReference"/>
        </w:rPr>
        <w:footnoteReference w:id="76"/>
      </w:r>
      <w:r w:rsidR="004722DB">
        <w:t xml:space="preserve">  </w:t>
      </w:r>
      <w:r w:rsidR="007E4F50">
        <w:t>T</w:t>
      </w:r>
      <w:r w:rsidR="00AD654F" w:rsidRPr="007B1ABF">
        <w:t>he Commissi</w:t>
      </w:r>
      <w:r w:rsidR="00E07D19" w:rsidRPr="007B1ABF">
        <w:t>on</w:t>
      </w:r>
      <w:r w:rsidR="007E4F50">
        <w:t xml:space="preserve"> </w:t>
      </w:r>
      <w:r w:rsidR="00996488">
        <w:t>should reject</w:t>
      </w:r>
      <w:r w:rsidR="00AD654F" w:rsidRPr="007B1ABF">
        <w:t xml:space="preserve"> cases when part</w:t>
      </w:r>
      <w:r w:rsidR="00F14C58" w:rsidRPr="007B1ABF">
        <w:t>ies try to re-litigate</w:t>
      </w:r>
      <w:r w:rsidR="00AD654F" w:rsidRPr="007B1ABF">
        <w:t xml:space="preserve"> final judgment</w:t>
      </w:r>
      <w:r w:rsidR="00996488">
        <w:t>s under the</w:t>
      </w:r>
      <w:r w:rsidR="00AD654F" w:rsidRPr="007B1ABF">
        <w:t xml:space="preserve"> judicial</w:t>
      </w:r>
      <w:r w:rsidR="00996488">
        <w:t xml:space="preserve"> doc</w:t>
      </w:r>
      <w:r w:rsidR="00275FA9">
        <w:softHyphen/>
      </w:r>
      <w:r w:rsidR="00996488">
        <w:t xml:space="preserve">trines of </w:t>
      </w:r>
      <w:r w:rsidR="004722DB" w:rsidRPr="00275FA9">
        <w:rPr>
          <w:i/>
        </w:rPr>
        <w:t>res judicata</w:t>
      </w:r>
      <w:r w:rsidR="004722DB">
        <w:t xml:space="preserve"> and collateral estoppel.</w:t>
      </w:r>
      <w:r w:rsidR="00A60CA2">
        <w:t xml:space="preserve">  As such, the Commission should reject Duke’s application here. </w:t>
      </w:r>
      <w:r w:rsidR="00AD654F" w:rsidRPr="007B1ABF">
        <w:t xml:space="preserve"> </w:t>
      </w:r>
    </w:p>
    <w:p w:rsidR="00A47440" w:rsidRPr="007B1ABF" w:rsidRDefault="00E106B2" w:rsidP="00E106B2">
      <w:pPr>
        <w:pStyle w:val="Textstyle"/>
      </w:pPr>
      <w:r>
        <w:tab/>
      </w:r>
      <w:r w:rsidR="00A47440">
        <w:t xml:space="preserve">Under the doctrine of </w:t>
      </w:r>
      <w:r w:rsidR="00A47440" w:rsidRPr="00275FA9">
        <w:rPr>
          <w:i/>
        </w:rPr>
        <w:t>res judicata</w:t>
      </w:r>
      <w:r w:rsidR="00A47440">
        <w:t>, t</w:t>
      </w:r>
      <w:r w:rsidR="009F3F6B">
        <w:t xml:space="preserve">he Commission’s </w:t>
      </w:r>
      <w:r>
        <w:t>“</w:t>
      </w:r>
      <w:r w:rsidR="009F3F6B">
        <w:t>valid final judgment ren</w:t>
      </w:r>
      <w:r w:rsidR="00275FA9">
        <w:softHyphen/>
      </w:r>
      <w:r w:rsidR="009F3F6B">
        <w:t>dered upon the merits</w:t>
      </w:r>
      <w:r w:rsidR="00AD654F" w:rsidRPr="007B1ABF">
        <w:t xml:space="preserve"> bars all subsequent actions based upon any claim</w:t>
      </w:r>
      <w:r w:rsidR="00E07D19" w:rsidRPr="007B1ABF">
        <w:t xml:space="preserve"> arising out of the transaction </w:t>
      </w:r>
      <w:r w:rsidR="00AD654F" w:rsidRPr="007B1ABF">
        <w:t>or occurrence tha</w:t>
      </w:r>
      <w:r w:rsidR="00E07D19" w:rsidRPr="007B1ABF">
        <w:t xml:space="preserve">t was the subject matter of the </w:t>
      </w:r>
      <w:r w:rsidR="00AD654F" w:rsidRPr="007B1ABF">
        <w:t>previous action.</w:t>
      </w:r>
      <w:r>
        <w:t>”</w:t>
      </w:r>
      <w:r w:rsidR="00934BBF" w:rsidRPr="007B1ABF">
        <w:rPr>
          <w:rStyle w:val="FootnoteReference"/>
        </w:rPr>
        <w:footnoteReference w:id="77"/>
      </w:r>
      <w:r w:rsidR="00934BBF" w:rsidRPr="007B1ABF">
        <w:t xml:space="preserve"> </w:t>
      </w:r>
      <w:r w:rsidR="00AD654F" w:rsidRPr="007B1ABF">
        <w:t xml:space="preserve"> </w:t>
      </w:r>
      <w:r w:rsidR="00A47440" w:rsidRPr="007B1ABF">
        <w:t xml:space="preserve">The Supreme Court of Ohio has stated that: </w:t>
      </w:r>
    </w:p>
    <w:p w:rsidR="00A47440" w:rsidRDefault="00A47440" w:rsidP="00263A62">
      <w:pPr>
        <w:pStyle w:val="Blockquote"/>
      </w:pPr>
      <w:r w:rsidRPr="007B1ABF">
        <w:lastRenderedPageBreak/>
        <w:t>A party can not re-litigate matters which he might have inter</w:t>
      </w:r>
      <w:r w:rsidR="00275FA9">
        <w:softHyphen/>
      </w:r>
      <w:r w:rsidRPr="007B1ABF">
        <w:t>posed, but failed to do in a prior action between the same parties or their privies, in reference to the same subject mat</w:t>
      </w:r>
      <w:r w:rsidR="00275FA9">
        <w:softHyphen/>
      </w:r>
      <w:r w:rsidRPr="007B1ABF">
        <w:t>ter</w:t>
      </w:r>
      <w:r w:rsidR="00275FA9" w:rsidRPr="007B1ABF">
        <w:t xml:space="preserve">.  </w:t>
      </w:r>
      <w:r w:rsidRPr="007B1ABF">
        <w:t>And if one of the parties failed to introduce matters for the consideration of the court that he might have done, he will be presumed to have waived his right to do so.</w:t>
      </w:r>
      <w:r w:rsidRPr="007B1ABF">
        <w:rPr>
          <w:rStyle w:val="FootnoteReference"/>
        </w:rPr>
        <w:footnoteReference w:id="78"/>
      </w:r>
      <w:r w:rsidRPr="007B1ABF">
        <w:t xml:space="preserve">  </w:t>
      </w:r>
    </w:p>
    <w:p w:rsidR="00D11235" w:rsidRPr="007B1ABF" w:rsidRDefault="00E106B2" w:rsidP="00E106B2">
      <w:pPr>
        <w:pStyle w:val="Textstyle"/>
      </w:pPr>
      <w:r>
        <w:tab/>
      </w:r>
      <w:r w:rsidR="00AD654F" w:rsidRPr="007B1ABF">
        <w:t xml:space="preserve">While </w:t>
      </w:r>
      <w:r w:rsidR="00AD654F" w:rsidRPr="00263A62">
        <w:rPr>
          <w:i/>
        </w:rPr>
        <w:t>res judicata</w:t>
      </w:r>
      <w:r w:rsidR="00AD654F" w:rsidRPr="007B1ABF">
        <w:t xml:space="preserve"> pertains to re-litigating a cause</w:t>
      </w:r>
      <w:r w:rsidR="00E07D19" w:rsidRPr="007B1ABF">
        <w:t xml:space="preserve"> of action, collateral estoppel </w:t>
      </w:r>
      <w:r w:rsidR="00AD654F" w:rsidRPr="007B1ABF">
        <w:t xml:space="preserve">pertains to re-litigating </w:t>
      </w:r>
      <w:r w:rsidR="00AD654F" w:rsidRPr="007B1ABF">
        <w:rPr>
          <w:i/>
          <w:iCs/>
        </w:rPr>
        <w:t xml:space="preserve">issues </w:t>
      </w:r>
      <w:r w:rsidR="00AD654F" w:rsidRPr="007B1ABF">
        <w:t>in a later case involving a diffe</w:t>
      </w:r>
      <w:r w:rsidR="00E07D19" w:rsidRPr="007B1ABF">
        <w:t xml:space="preserve">rent cause of action. </w:t>
      </w:r>
      <w:r w:rsidR="00E2654F">
        <w:t xml:space="preserve"> </w:t>
      </w:r>
      <w:r w:rsidR="00E07D19" w:rsidRPr="007B1ABF">
        <w:t xml:space="preserve">The </w:t>
      </w:r>
      <w:r w:rsidR="00AD654F" w:rsidRPr="007B1ABF">
        <w:t>Supre</w:t>
      </w:r>
      <w:r w:rsidR="004722DB">
        <w:t xml:space="preserve">me Court of Ohio characterized </w:t>
      </w:r>
      <w:r w:rsidR="00AD654F" w:rsidRPr="007B1ABF">
        <w:t>collateral es</w:t>
      </w:r>
      <w:r w:rsidR="004722DB">
        <w:t>toppel</w:t>
      </w:r>
      <w:r w:rsidR="00AD654F" w:rsidRPr="007B1ABF">
        <w:t xml:space="preserve"> </w:t>
      </w:r>
      <w:r w:rsidR="00E07D19" w:rsidRPr="007B1ABF">
        <w:t xml:space="preserve">as precluding the re-litigation </w:t>
      </w:r>
      <w:r w:rsidR="00AD654F" w:rsidRPr="007B1ABF">
        <w:t xml:space="preserve">of an issue that has been </w:t>
      </w:r>
      <w:r>
        <w:t>“</w:t>
      </w:r>
      <w:r w:rsidR="00AD654F" w:rsidRPr="007B1ABF">
        <w:t>actually and necessarily litigate</w:t>
      </w:r>
      <w:r w:rsidR="00934BBF" w:rsidRPr="007B1ABF">
        <w:t xml:space="preserve">d and determined in a prior </w:t>
      </w:r>
      <w:r w:rsidR="00AD654F" w:rsidRPr="007B1ABF">
        <w:t>action.</w:t>
      </w:r>
      <w:r>
        <w:t>”</w:t>
      </w:r>
      <w:r w:rsidR="00934BBF" w:rsidRPr="007B1ABF">
        <w:rPr>
          <w:rStyle w:val="FootnoteReference"/>
        </w:rPr>
        <w:footnoteReference w:id="79"/>
      </w:r>
      <w:r w:rsidR="00934BBF" w:rsidRPr="007B1ABF">
        <w:t xml:space="preserve"> </w:t>
      </w:r>
      <w:r w:rsidR="00AD654F" w:rsidRPr="007B1ABF">
        <w:t xml:space="preserve"> </w:t>
      </w:r>
      <w:r>
        <w:t>“</w:t>
      </w:r>
      <w:r w:rsidR="00AD654F" w:rsidRPr="007B1ABF">
        <w:t>When an issue of fact or law is actually liti</w:t>
      </w:r>
      <w:r w:rsidR="00E07D19" w:rsidRPr="007B1ABF">
        <w:t xml:space="preserve">gated and determined by a valid </w:t>
      </w:r>
      <w:r w:rsidR="00AD654F" w:rsidRPr="007B1ABF">
        <w:t xml:space="preserve">and final judgment, and the determination is essential to </w:t>
      </w:r>
      <w:r w:rsidR="00E07D19" w:rsidRPr="007B1ABF">
        <w:t xml:space="preserve">the judgment, the determination </w:t>
      </w:r>
      <w:r w:rsidR="00AD654F" w:rsidRPr="007B1ABF">
        <w:t>is conclusive in a subsequent action between the pa</w:t>
      </w:r>
      <w:r w:rsidR="00E07D19" w:rsidRPr="007B1ABF">
        <w:t xml:space="preserve">rties, whether on the same or a </w:t>
      </w:r>
      <w:r w:rsidR="00AD654F" w:rsidRPr="007B1ABF">
        <w:t>differ</w:t>
      </w:r>
      <w:r w:rsidR="00275FA9">
        <w:softHyphen/>
      </w:r>
      <w:r w:rsidR="00AD654F" w:rsidRPr="007B1ABF">
        <w:t>ent claim.</w:t>
      </w:r>
      <w:r>
        <w:t>”</w:t>
      </w:r>
      <w:r w:rsidR="00D11235" w:rsidRPr="007B1ABF">
        <w:rPr>
          <w:rStyle w:val="FootnoteReference"/>
        </w:rPr>
        <w:footnoteReference w:id="80"/>
      </w:r>
    </w:p>
    <w:p w:rsidR="004722DB" w:rsidRDefault="00E106B2" w:rsidP="00E106B2">
      <w:pPr>
        <w:pStyle w:val="Textstyle"/>
      </w:pPr>
      <w:r>
        <w:rPr>
          <w:i/>
        </w:rPr>
        <w:tab/>
      </w:r>
      <w:r w:rsidR="004722DB" w:rsidRPr="00275FA9">
        <w:rPr>
          <w:i/>
        </w:rPr>
        <w:t>Res judicata</w:t>
      </w:r>
      <w:r w:rsidR="004722DB">
        <w:t xml:space="preserve"> and collateral estoppel both</w:t>
      </w:r>
      <w:r w:rsidR="00AD654F" w:rsidRPr="007B1ABF">
        <w:t xml:space="preserve"> apply to </w:t>
      </w:r>
      <w:r w:rsidR="004722DB">
        <w:t>Commission proceedings</w:t>
      </w:r>
      <w:r w:rsidR="00AD654F" w:rsidRPr="007B1ABF">
        <w:t>.</w:t>
      </w:r>
      <w:r w:rsidR="00D11235" w:rsidRPr="007B1ABF">
        <w:rPr>
          <w:rStyle w:val="FootnoteReference"/>
        </w:rPr>
        <w:footnoteReference w:id="81"/>
      </w:r>
      <w:r w:rsidR="00F53D74">
        <w:t xml:space="preserve">  </w:t>
      </w:r>
      <w:r w:rsidR="004722DB">
        <w:t>T</w:t>
      </w:r>
      <w:r w:rsidR="00E07D19" w:rsidRPr="007B1ABF">
        <w:t xml:space="preserve">he </w:t>
      </w:r>
      <w:r w:rsidR="004722DB">
        <w:t xml:space="preserve">Supreme </w:t>
      </w:r>
      <w:r w:rsidR="00AD654F" w:rsidRPr="007B1ABF">
        <w:t>Court</w:t>
      </w:r>
      <w:r w:rsidR="004722DB">
        <w:t xml:space="preserve"> of Ohio has stated that:</w:t>
      </w:r>
      <w:r w:rsidR="00AD654F" w:rsidRPr="007B1ABF">
        <w:t xml:space="preserve"> </w:t>
      </w:r>
    </w:p>
    <w:p w:rsidR="004722DB" w:rsidRDefault="00AD654F" w:rsidP="00275FA9">
      <w:pPr>
        <w:pStyle w:val="Blockquote"/>
      </w:pPr>
      <w:proofErr w:type="gramStart"/>
      <w:r w:rsidRPr="007B1ABF">
        <w:t>where</w:t>
      </w:r>
      <w:proofErr w:type="gramEnd"/>
      <w:r w:rsidRPr="007B1ABF">
        <w:t xml:space="preserve"> an administrative proceeding is of a judicial nature and where t</w:t>
      </w:r>
      <w:r w:rsidR="00E07D19" w:rsidRPr="007B1ABF">
        <w:t xml:space="preserve">he parties </w:t>
      </w:r>
      <w:r w:rsidRPr="007B1ABF">
        <w:t xml:space="preserve">have had an ample opportunity to litigate the issues </w:t>
      </w:r>
      <w:r w:rsidR="00E07D19" w:rsidRPr="007B1ABF">
        <w:t xml:space="preserve">involved in the proceeding, the </w:t>
      </w:r>
      <w:r w:rsidRPr="007B1ABF">
        <w:t>doctrine of collat</w:t>
      </w:r>
      <w:r w:rsidR="00275FA9">
        <w:softHyphen/>
      </w:r>
      <w:r w:rsidRPr="007B1ABF">
        <w:t>eral estoppel may be used to bar l</w:t>
      </w:r>
      <w:r w:rsidR="00E07D19" w:rsidRPr="007B1ABF">
        <w:t xml:space="preserve">itigation of issues in a second </w:t>
      </w:r>
      <w:r w:rsidRPr="007B1ABF">
        <w:t>administrative proceeding.</w:t>
      </w:r>
      <w:r w:rsidR="00E106B2">
        <w:t>”</w:t>
      </w:r>
      <w:r w:rsidR="00D11235" w:rsidRPr="007B1ABF">
        <w:rPr>
          <w:rStyle w:val="FootnoteReference"/>
        </w:rPr>
        <w:footnoteReference w:id="82"/>
      </w:r>
      <w:r w:rsidR="00D11235" w:rsidRPr="007B1ABF">
        <w:t xml:space="preserve"> </w:t>
      </w:r>
      <w:r w:rsidRPr="007B1ABF">
        <w:t xml:space="preserve"> </w:t>
      </w:r>
    </w:p>
    <w:p w:rsidR="00E07D19" w:rsidRPr="007B1ABF" w:rsidRDefault="00AD654F" w:rsidP="00E106B2">
      <w:pPr>
        <w:pStyle w:val="Textstyle"/>
      </w:pPr>
      <w:r w:rsidRPr="007B1ABF">
        <w:lastRenderedPageBreak/>
        <w:t xml:space="preserve">The Court has also held that the doctrine of </w:t>
      </w:r>
      <w:r w:rsidRPr="00275FA9">
        <w:rPr>
          <w:i/>
        </w:rPr>
        <w:t>r</w:t>
      </w:r>
      <w:r w:rsidR="00E07D19" w:rsidRPr="00275FA9">
        <w:rPr>
          <w:i/>
        </w:rPr>
        <w:t>es judicata</w:t>
      </w:r>
      <w:r w:rsidR="00E07D19" w:rsidRPr="007B1ABF">
        <w:t xml:space="preserve"> </w:t>
      </w:r>
      <w:r w:rsidRPr="007B1ABF">
        <w:t>may be used to bar litigation of issues in a second</w:t>
      </w:r>
      <w:r w:rsidR="00E07D19" w:rsidRPr="007B1ABF">
        <w:t xml:space="preserve"> administrative proceeding</w:t>
      </w:r>
      <w:r w:rsidR="00275FA9" w:rsidRPr="007B1ABF">
        <w:t xml:space="preserve">.  </w:t>
      </w:r>
      <w:r w:rsidR="00E07D19" w:rsidRPr="007B1ABF">
        <w:t xml:space="preserve">The </w:t>
      </w:r>
      <w:r w:rsidRPr="007B1ABF">
        <w:t>doctrine can also be applied in cases concluded by settlement.</w:t>
      </w:r>
      <w:r w:rsidR="00D11235" w:rsidRPr="007B1ABF">
        <w:rPr>
          <w:rStyle w:val="FootnoteReference"/>
        </w:rPr>
        <w:footnoteReference w:id="83"/>
      </w:r>
      <w:r w:rsidR="00D11235" w:rsidRPr="007B1ABF">
        <w:t xml:space="preserve"> </w:t>
      </w:r>
      <w:r w:rsidR="00E07D19" w:rsidRPr="007B1ABF">
        <w:t xml:space="preserve"> </w:t>
      </w:r>
      <w:r w:rsidRPr="007B1ABF">
        <w:t xml:space="preserve">The Duke ESP Proceeding was judicial in </w:t>
      </w:r>
      <w:r w:rsidR="00E07D19" w:rsidRPr="007B1ABF">
        <w:t>nature and pro</w:t>
      </w:r>
      <w:r w:rsidR="00275FA9">
        <w:softHyphen/>
      </w:r>
      <w:r w:rsidR="00E07D19" w:rsidRPr="007B1ABF">
        <w:t xml:space="preserve">vided parties </w:t>
      </w:r>
      <w:r w:rsidR="004722DB">
        <w:t xml:space="preserve">with </w:t>
      </w:r>
      <w:r w:rsidR="00F26476">
        <w:t>notice of hearing</w:t>
      </w:r>
      <w:r w:rsidRPr="007B1ABF">
        <w:t xml:space="preserve"> and</w:t>
      </w:r>
      <w:r w:rsidR="00A60CA2">
        <w:t xml:space="preserve"> ample</w:t>
      </w:r>
      <w:r w:rsidR="00E07D19" w:rsidRPr="007B1ABF">
        <w:t xml:space="preserve"> opportunity to introduce </w:t>
      </w:r>
      <w:r w:rsidR="004722DB">
        <w:t>evidence.  T</w:t>
      </w:r>
      <w:r w:rsidRPr="007B1ABF">
        <w:t>he</w:t>
      </w:r>
      <w:r w:rsidR="004722DB">
        <w:t xml:space="preserve"> Commission</w:t>
      </w:r>
      <w:r w:rsidR="00A60CA2">
        <w:t xml:space="preserve"> then</w:t>
      </w:r>
      <w:r w:rsidRPr="007B1ABF">
        <w:t xml:space="preserve"> acted in its judicial capacity i</w:t>
      </w:r>
      <w:r w:rsidR="00E07D19" w:rsidRPr="007B1ABF">
        <w:t>n resolving the ESP Proceeding.</w:t>
      </w:r>
      <w:r w:rsidR="004722DB">
        <w:t xml:space="preserve">  There</w:t>
      </w:r>
      <w:r w:rsidR="00275FA9">
        <w:softHyphen/>
      </w:r>
      <w:r w:rsidR="004722DB">
        <w:t>fore</w:t>
      </w:r>
      <w:r w:rsidRPr="007B1ABF">
        <w:t xml:space="preserve">, collateral estoppel and </w:t>
      </w:r>
      <w:r w:rsidRPr="00275FA9">
        <w:rPr>
          <w:i/>
        </w:rPr>
        <w:t>res judicata</w:t>
      </w:r>
      <w:r w:rsidR="00E07D19" w:rsidRPr="007B1ABF">
        <w:t xml:space="preserve"> bar litigation of these </w:t>
      </w:r>
      <w:r w:rsidRPr="007B1ABF">
        <w:t>same issues in a second administrative proceeding.</w:t>
      </w:r>
      <w:r w:rsidR="00D11235" w:rsidRPr="007B1ABF">
        <w:rPr>
          <w:rStyle w:val="FootnoteReference"/>
        </w:rPr>
        <w:footnoteReference w:id="84"/>
      </w:r>
    </w:p>
    <w:p w:rsidR="00D11235" w:rsidRPr="007B1ABF" w:rsidRDefault="00E106B2" w:rsidP="00E106B2">
      <w:pPr>
        <w:pStyle w:val="Textstyle"/>
      </w:pPr>
      <w:r>
        <w:tab/>
      </w:r>
      <w:r w:rsidR="00F26476">
        <w:t>T</w:t>
      </w:r>
      <w:r w:rsidR="00AD654F" w:rsidRPr="007B1ABF">
        <w:t xml:space="preserve">o apply the doctrine of </w:t>
      </w:r>
      <w:r w:rsidR="00AD654F" w:rsidRPr="00275FA9">
        <w:rPr>
          <w:i/>
        </w:rPr>
        <w:t>res judicata</w:t>
      </w:r>
      <w:r w:rsidR="00AD654F" w:rsidRPr="007B1ABF">
        <w:t xml:space="preserve"> and </w:t>
      </w:r>
      <w:r w:rsidR="00E07D19" w:rsidRPr="007B1ABF">
        <w:t xml:space="preserve">collateral estoppel, </w:t>
      </w:r>
      <w:r w:rsidR="00AD654F" w:rsidRPr="007B1ABF">
        <w:t>both the parties and issues in the two proceedings have to be the same.</w:t>
      </w:r>
      <w:r w:rsidR="00D11235" w:rsidRPr="007B1ABF">
        <w:rPr>
          <w:rStyle w:val="FootnoteReference"/>
        </w:rPr>
        <w:footnoteReference w:id="85"/>
      </w:r>
      <w:r w:rsidR="00D11235" w:rsidRPr="007B1ABF">
        <w:t xml:space="preserve"> </w:t>
      </w:r>
      <w:r w:rsidR="00AD654F" w:rsidRPr="007B1ABF">
        <w:t xml:space="preserve"> </w:t>
      </w:r>
      <w:r w:rsidR="00E07D19" w:rsidRPr="007B1ABF">
        <w:t>In</w:t>
      </w:r>
      <w:r w:rsidR="009A1F07">
        <w:t xml:space="preserve"> present proceeding</w:t>
      </w:r>
      <w:r w:rsidR="00AD654F" w:rsidRPr="007B1ABF">
        <w:t>, each</w:t>
      </w:r>
      <w:r w:rsidR="009A1F07">
        <w:t xml:space="preserve"> require</w:t>
      </w:r>
      <w:r w:rsidR="00275FA9">
        <w:softHyphen/>
      </w:r>
      <w:r w:rsidR="009A1F07">
        <w:t>ment is satisfied</w:t>
      </w:r>
      <w:r w:rsidR="00AD654F" w:rsidRPr="007B1ABF">
        <w:t xml:space="preserve">. </w:t>
      </w:r>
      <w:r w:rsidR="00F26476">
        <w:t xml:space="preserve"> </w:t>
      </w:r>
      <w:r w:rsidR="00AD654F" w:rsidRPr="007B1ABF">
        <w:t>Duke</w:t>
      </w:r>
      <w:r w:rsidR="00F26476">
        <w:t xml:space="preserve"> </w:t>
      </w:r>
      <w:r w:rsidR="00E07D19" w:rsidRPr="007B1ABF">
        <w:t xml:space="preserve">is the </w:t>
      </w:r>
      <w:r w:rsidR="00F26476">
        <w:t>same party</w:t>
      </w:r>
      <w:r w:rsidR="009A1F07">
        <w:t xml:space="preserve"> </w:t>
      </w:r>
      <w:r w:rsidR="000C78DF">
        <w:t>(</w:t>
      </w:r>
      <w:r w:rsidR="009A1F07">
        <w:t>the applicant</w:t>
      </w:r>
      <w:r w:rsidR="000C78DF">
        <w:t>) in both proceedings</w:t>
      </w:r>
      <w:r w:rsidR="009A1F07">
        <w:t xml:space="preserve"> and</w:t>
      </w:r>
      <w:r w:rsidR="00E07D19" w:rsidRPr="007B1ABF">
        <w:t xml:space="preserve"> the </w:t>
      </w:r>
      <w:r w:rsidR="000C78DF">
        <w:t>issue</w:t>
      </w:r>
      <w:r w:rsidR="009A1F07">
        <w:t xml:space="preserve"> </w:t>
      </w:r>
      <w:r w:rsidR="000C78DF">
        <w:t>(capacity compensation) is</w:t>
      </w:r>
      <w:r w:rsidR="00AD654F" w:rsidRPr="007B1ABF">
        <w:t xml:space="preserve"> also the same</w:t>
      </w:r>
      <w:r w:rsidR="000C78DF">
        <w:t xml:space="preserve"> as it was in the ESP proceeding</w:t>
      </w:r>
      <w:r w:rsidR="009A1F07">
        <w:t xml:space="preserve">.  </w:t>
      </w:r>
      <w:r w:rsidR="00AD654F" w:rsidRPr="007B1ABF">
        <w:t>Duke agree</w:t>
      </w:r>
      <w:r w:rsidR="00E07D19" w:rsidRPr="007B1ABF">
        <w:t xml:space="preserve">d to accept pricing for its FRR capacity based on the </w:t>
      </w:r>
      <w:r w:rsidR="00AD654F" w:rsidRPr="007B1ABF">
        <w:t>fixed zonal capacity pric</w:t>
      </w:r>
      <w:r w:rsidR="009A1F07">
        <w:t>e set under the PJM RPM process;</w:t>
      </w:r>
      <w:r w:rsidR="00D11235" w:rsidRPr="007B1ABF">
        <w:rPr>
          <w:rStyle w:val="FootnoteReference"/>
        </w:rPr>
        <w:footnoteReference w:id="86"/>
      </w:r>
      <w:r w:rsidR="009A1F07">
        <w:t xml:space="preserve"> t</w:t>
      </w:r>
      <w:r w:rsidR="00E07D19" w:rsidRPr="007B1ABF">
        <w:t>he</w:t>
      </w:r>
      <w:r w:rsidR="00F26476">
        <w:t xml:space="preserve"> Commission</w:t>
      </w:r>
      <w:r w:rsidR="00E07D19" w:rsidRPr="007B1ABF">
        <w:t xml:space="preserve"> adopted that </w:t>
      </w:r>
      <w:r w:rsidR="00AD654F" w:rsidRPr="007B1ABF">
        <w:t>Stipul</w:t>
      </w:r>
      <w:r w:rsidR="009A1F07">
        <w:t>ation in November 2011; and now</w:t>
      </w:r>
      <w:r w:rsidR="00AD654F" w:rsidRPr="007B1ABF">
        <w:t xml:space="preserve"> </w:t>
      </w:r>
      <w:r w:rsidR="00E07D19" w:rsidRPr="007B1ABF">
        <w:t xml:space="preserve">Duke is </w:t>
      </w:r>
      <w:r w:rsidR="00AD654F" w:rsidRPr="007B1ABF">
        <w:t>attempting to re-litigate the FRR capacity pricing portio</w:t>
      </w:r>
      <w:r w:rsidR="009A1F07">
        <w:t>n of its ESP by asking the Commission</w:t>
      </w:r>
      <w:r w:rsidR="00E07D19" w:rsidRPr="007B1ABF">
        <w:t xml:space="preserve"> </w:t>
      </w:r>
      <w:r w:rsidR="00AD654F" w:rsidRPr="007B1ABF">
        <w:t>to set a cost based charge for capacity for an overlappi</w:t>
      </w:r>
      <w:r w:rsidR="00E07D19" w:rsidRPr="007B1ABF">
        <w:t xml:space="preserve">ng time period of Aug. 29, 2012 </w:t>
      </w:r>
      <w:r w:rsidR="00AD654F" w:rsidRPr="007B1ABF">
        <w:t>through May 31, 2015.</w:t>
      </w:r>
      <w:r w:rsidR="009A1F07">
        <w:t xml:space="preserve"> </w:t>
      </w:r>
      <w:r w:rsidR="00A60CA2">
        <w:t xml:space="preserve"> </w:t>
      </w:r>
      <w:r w:rsidR="009A1F07">
        <w:t>T</w:t>
      </w:r>
      <w:r w:rsidR="00AD654F" w:rsidRPr="007B1ABF">
        <w:t>he Commission sh</w:t>
      </w:r>
      <w:r w:rsidR="009A1F07">
        <w:t>ould reject</w:t>
      </w:r>
      <w:r w:rsidR="00E07D19" w:rsidRPr="007B1ABF">
        <w:t xml:space="preserve"> Duke’s Application. </w:t>
      </w:r>
    </w:p>
    <w:p w:rsidR="00D11235" w:rsidRPr="007B1ABF" w:rsidRDefault="00E106B2" w:rsidP="00E106B2">
      <w:pPr>
        <w:pStyle w:val="Textstyle"/>
      </w:pPr>
      <w:r>
        <w:lastRenderedPageBreak/>
        <w:tab/>
      </w:r>
      <w:r w:rsidR="00A60CA2">
        <w:t>When considering these judicial doctrines, the Commission</w:t>
      </w:r>
      <w:r w:rsidR="00AD654F" w:rsidRPr="007B1ABF">
        <w:t xml:space="preserve"> has</w:t>
      </w:r>
      <w:r w:rsidR="00A60CA2">
        <w:t xml:space="preserve"> generally focused on</w:t>
      </w:r>
      <w:r w:rsidR="00E07D19" w:rsidRPr="007B1ABF">
        <w:t xml:space="preserve"> whether parties </w:t>
      </w:r>
      <w:r w:rsidR="00AD654F" w:rsidRPr="007B1ABF">
        <w:t>have been afforded one fair opportunity to litigate a cla</w:t>
      </w:r>
      <w:r w:rsidR="00A60CA2">
        <w:t>im or issue.  The Commission</w:t>
      </w:r>
      <w:r w:rsidR="00E07D19" w:rsidRPr="007B1ABF">
        <w:t xml:space="preserve"> has noted </w:t>
      </w:r>
      <w:r w:rsidR="00AD654F" w:rsidRPr="007B1ABF">
        <w:t>that it is guided by the following general policy cons</w:t>
      </w:r>
      <w:r w:rsidR="00E07D19" w:rsidRPr="007B1ABF">
        <w:t>idera</w:t>
      </w:r>
      <w:r w:rsidR="00275FA9">
        <w:softHyphen/>
      </w:r>
      <w:r w:rsidR="00E07D19" w:rsidRPr="007B1ABF">
        <w:t xml:space="preserve">tions: (1) fairness to the </w:t>
      </w:r>
      <w:r w:rsidR="00AD654F" w:rsidRPr="007B1ABF">
        <w:t>prevailing party requires that it not be subjected to the e</w:t>
      </w:r>
      <w:r w:rsidR="00E07D19" w:rsidRPr="007B1ABF">
        <w:t xml:space="preserve">xpense and potential harassment </w:t>
      </w:r>
      <w:r w:rsidR="00AD654F" w:rsidRPr="007B1ABF">
        <w:t>associated with re-litigating matters which were, or sh</w:t>
      </w:r>
      <w:r w:rsidR="00E07D19" w:rsidRPr="007B1ABF">
        <w:t xml:space="preserve">ould have been, litigated in an </w:t>
      </w:r>
      <w:r w:rsidR="00AD654F" w:rsidRPr="007B1ABF">
        <w:t>earlier action, and (2) judicial economy requires that litig</w:t>
      </w:r>
      <w:r w:rsidR="00E07D19" w:rsidRPr="007B1ABF">
        <w:t xml:space="preserve">ation arising from a particular </w:t>
      </w:r>
      <w:r w:rsidR="00AD654F" w:rsidRPr="007B1ABF">
        <w:t>controversy not be continued indefinitely.</w:t>
      </w:r>
      <w:r w:rsidR="00D11235" w:rsidRPr="007B1ABF">
        <w:rPr>
          <w:rStyle w:val="FootnoteReference"/>
        </w:rPr>
        <w:footnoteReference w:id="87"/>
      </w:r>
      <w:r w:rsidR="00D11235" w:rsidRPr="007B1ABF">
        <w:t xml:space="preserve"> </w:t>
      </w:r>
      <w:r w:rsidR="00E07D19" w:rsidRPr="007B1ABF">
        <w:t xml:space="preserve"> </w:t>
      </w:r>
    </w:p>
    <w:p w:rsidR="00E07D19" w:rsidRPr="000C78DF" w:rsidRDefault="00D64AEC" w:rsidP="00D64AEC">
      <w:pPr>
        <w:pStyle w:val="Textstyle"/>
      </w:pPr>
      <w:r>
        <w:tab/>
      </w:r>
      <w:r w:rsidR="00AD654F" w:rsidRPr="007B1ABF">
        <w:t>Duke</w:t>
      </w:r>
      <w:r w:rsidR="00A60CA2">
        <w:t xml:space="preserve"> had a</w:t>
      </w:r>
      <w:r w:rsidR="00AD654F" w:rsidRPr="007B1ABF">
        <w:t xml:space="preserve"> fair opportunity to liti</w:t>
      </w:r>
      <w:r w:rsidR="00E07D19" w:rsidRPr="007B1ABF">
        <w:t xml:space="preserve">gate how its capacity should be </w:t>
      </w:r>
      <w:r w:rsidR="00AD654F" w:rsidRPr="007B1ABF">
        <w:t>priced when it filed its ESP application.</w:t>
      </w:r>
      <w:r w:rsidR="00A60CA2">
        <w:t xml:space="preserve">  Duke</w:t>
      </w:r>
      <w:r w:rsidR="00AD654F" w:rsidRPr="007B1ABF">
        <w:t xml:space="preserve"> </w:t>
      </w:r>
      <w:r w:rsidR="00C437EF">
        <w:t>relied</w:t>
      </w:r>
      <w:r w:rsidR="00A60CA2">
        <w:t xml:space="preserve"> on</w:t>
      </w:r>
      <w:r w:rsidR="00C437EF">
        <w:t xml:space="preserve"> the legal authority of</w:t>
      </w:r>
      <w:r w:rsidR="00A60CA2">
        <w:t xml:space="preserve"> </w:t>
      </w:r>
      <w:r w:rsidR="00AD654F" w:rsidRPr="007B1ABF">
        <w:t>Section 8.1 of the PJM RAA as part of its ESP</w:t>
      </w:r>
      <w:r w:rsidR="00C437EF">
        <w:t>; and it relies on that same legal authority here</w:t>
      </w:r>
      <w:r w:rsidR="00275FA9" w:rsidRPr="007B1ABF">
        <w:t xml:space="preserve">.  </w:t>
      </w:r>
      <w:r w:rsidR="00AD654F" w:rsidRPr="007B1ABF">
        <w:t>The fac</w:t>
      </w:r>
      <w:r w:rsidR="00E07D19" w:rsidRPr="007B1ABF">
        <w:t xml:space="preserve">ts are the same, the law is the </w:t>
      </w:r>
      <w:r w:rsidR="00AD654F" w:rsidRPr="007B1ABF">
        <w:t>same</w:t>
      </w:r>
      <w:r w:rsidR="00C437EF">
        <w:t>,</w:t>
      </w:r>
      <w:r w:rsidR="00AD654F" w:rsidRPr="007B1ABF">
        <w:t xml:space="preserve"> and the parties are the same. </w:t>
      </w:r>
      <w:r w:rsidR="00C437EF">
        <w:t xml:space="preserve"> Duke was fully aware of the</w:t>
      </w:r>
      <w:r w:rsidR="00E07D19" w:rsidRPr="007B1ABF">
        <w:t xml:space="preserve"> capacity</w:t>
      </w:r>
      <w:r w:rsidR="00C437EF">
        <w:t xml:space="preserve"> pricing issue</w:t>
      </w:r>
      <w:r w:rsidR="00AD654F" w:rsidRPr="007B1ABF">
        <w:t xml:space="preserve"> because AEP Ohio was litigating</w:t>
      </w:r>
      <w:r w:rsidR="00C437EF">
        <w:t xml:space="preserve"> the issue</w:t>
      </w:r>
      <w:r w:rsidR="00E07D19" w:rsidRPr="007B1ABF">
        <w:t xml:space="preserve"> at both the federal and </w:t>
      </w:r>
      <w:r w:rsidR="00AD654F" w:rsidRPr="007B1ABF">
        <w:t xml:space="preserve">state levels. </w:t>
      </w:r>
      <w:r w:rsidR="00C437EF">
        <w:t xml:space="preserve"> </w:t>
      </w:r>
      <w:r w:rsidR="00AD654F" w:rsidRPr="007B1ABF">
        <w:t>Duke fully exercised its rights</w:t>
      </w:r>
      <w:r w:rsidR="00C437EF">
        <w:t xml:space="preserve"> by</w:t>
      </w:r>
      <w:r w:rsidR="00E07D19" w:rsidRPr="007B1ABF">
        <w:t xml:space="preserve"> agreeing to a</w:t>
      </w:r>
      <w:r w:rsidR="00C437EF">
        <w:t>n ESP</w:t>
      </w:r>
      <w:r w:rsidR="00E07D19" w:rsidRPr="007B1ABF">
        <w:t xml:space="preserve"> Settlement</w:t>
      </w:r>
      <w:r w:rsidR="00C437EF">
        <w:t xml:space="preserve"> and urged</w:t>
      </w:r>
      <w:r w:rsidR="00D11235" w:rsidRPr="007B1ABF">
        <w:t xml:space="preserve"> the </w:t>
      </w:r>
      <w:r w:rsidR="00AD654F" w:rsidRPr="007B1ABF">
        <w:t>Commission to adopt the Settlement</w:t>
      </w:r>
      <w:r w:rsidR="00C437EF">
        <w:t xml:space="preserve"> through supporting testimony and supporting briefs</w:t>
      </w:r>
      <w:r w:rsidR="00AD654F" w:rsidRPr="007B1ABF">
        <w:t xml:space="preserve">. </w:t>
      </w:r>
      <w:r w:rsidR="00C437EF">
        <w:t xml:space="preserve"> </w:t>
      </w:r>
      <w:r w:rsidR="00E17434">
        <w:t>The</w:t>
      </w:r>
      <w:r w:rsidR="00AD654F" w:rsidRPr="007B1ABF">
        <w:t xml:space="preserve"> Settlem</w:t>
      </w:r>
      <w:r w:rsidR="00E07D19" w:rsidRPr="007B1ABF">
        <w:t>ent</w:t>
      </w:r>
      <w:r w:rsidR="00AD654F" w:rsidRPr="007B1ABF">
        <w:t xml:space="preserve"> gave Duke $</w:t>
      </w:r>
      <w:r w:rsidR="00E07D19" w:rsidRPr="007B1ABF">
        <w:t xml:space="preserve">330 million in revenues for the </w:t>
      </w:r>
      <w:r w:rsidR="00E17434">
        <w:t>ESSC and</w:t>
      </w:r>
      <w:r w:rsidR="00AD654F" w:rsidRPr="007B1ABF">
        <w:t xml:space="preserve"> Duke’s customers have been paying this ESSC rider. </w:t>
      </w:r>
      <w:r w:rsidR="00C437EF">
        <w:t xml:space="preserve"> </w:t>
      </w:r>
      <w:r w:rsidR="000C78DF">
        <w:t xml:space="preserve">It was a fair settlement.  </w:t>
      </w:r>
      <w:r w:rsidR="00E17434">
        <w:t>The other</w:t>
      </w:r>
      <w:r w:rsidR="00AD654F" w:rsidRPr="007B1ABF">
        <w:t xml:space="preserve"> signa</w:t>
      </w:r>
      <w:r w:rsidR="00275FA9">
        <w:softHyphen/>
      </w:r>
      <w:r w:rsidR="00AD654F" w:rsidRPr="007B1ABF">
        <w:t>tory parties</w:t>
      </w:r>
      <w:r w:rsidR="00E17434">
        <w:t xml:space="preserve"> to the ESP</w:t>
      </w:r>
      <w:r w:rsidR="000C78DF">
        <w:t xml:space="preserve"> should not have to</w:t>
      </w:r>
      <w:r w:rsidR="00AD654F" w:rsidRPr="007B1ABF">
        <w:t xml:space="preserve"> re</w:t>
      </w:r>
      <w:r w:rsidR="000C78DF">
        <w:t>-litigate</w:t>
      </w:r>
      <w:r w:rsidR="00E07D19" w:rsidRPr="007B1ABF">
        <w:t xml:space="preserve"> matters which were </w:t>
      </w:r>
      <w:r w:rsidR="00AD654F" w:rsidRPr="007B1ABF">
        <w:t>litigated and set</w:t>
      </w:r>
      <w:r w:rsidR="00275FA9">
        <w:softHyphen/>
      </w:r>
      <w:r w:rsidR="00AD654F" w:rsidRPr="007B1ABF">
        <w:t xml:space="preserve">tled previously. </w:t>
      </w:r>
      <w:r w:rsidR="000C78DF">
        <w:t xml:space="preserve"> </w:t>
      </w:r>
      <w:r w:rsidR="00AD654F" w:rsidRPr="007B1ABF">
        <w:t>Judicial economy requir</w:t>
      </w:r>
      <w:r w:rsidR="00E07D19" w:rsidRPr="007B1ABF">
        <w:t xml:space="preserve">es </w:t>
      </w:r>
      <w:r w:rsidR="00AD654F" w:rsidRPr="007B1ABF">
        <w:t>Duke’s ESP not</w:t>
      </w:r>
      <w:r w:rsidR="000C78DF">
        <w:t xml:space="preserve"> be re-litigated</w:t>
      </w:r>
      <w:r w:rsidR="00AD654F" w:rsidRPr="007B1ABF">
        <w:t xml:space="preserve">. </w:t>
      </w:r>
      <w:r w:rsidR="000C78DF">
        <w:t xml:space="preserve"> </w:t>
      </w:r>
      <w:r w:rsidR="00AD654F" w:rsidRPr="007B1ABF">
        <w:t>Duke’s</w:t>
      </w:r>
      <w:r w:rsidR="000C78DF">
        <w:t xml:space="preserve"> cur</w:t>
      </w:r>
      <w:r w:rsidR="00275FA9">
        <w:softHyphen/>
      </w:r>
      <w:r w:rsidR="000C78DF">
        <w:t>rent application should be denied</w:t>
      </w:r>
      <w:r w:rsidR="00AD654F" w:rsidRPr="007B1ABF">
        <w:t>.</w:t>
      </w:r>
    </w:p>
    <w:p w:rsidR="00AD654F" w:rsidRPr="007B1ABF" w:rsidRDefault="00AD654F" w:rsidP="00DF0E98">
      <w:pPr>
        <w:pStyle w:val="Heading1"/>
        <w:ind w:left="0" w:firstLine="0"/>
      </w:pPr>
      <w:bookmarkStart w:id="16" w:name="_Toc360172968"/>
      <w:r w:rsidRPr="007B1ABF">
        <w:lastRenderedPageBreak/>
        <w:t xml:space="preserve">III. </w:t>
      </w:r>
      <w:r w:rsidR="00275FA9">
        <w:tab/>
      </w:r>
      <w:r w:rsidRPr="007B1ABF">
        <w:t>CONCLUSION</w:t>
      </w:r>
      <w:bookmarkEnd w:id="16"/>
    </w:p>
    <w:p w:rsidR="00CD6D41" w:rsidRDefault="00D64AEC" w:rsidP="00D64AEC">
      <w:pPr>
        <w:pStyle w:val="Textstyle"/>
      </w:pPr>
      <w:r>
        <w:tab/>
      </w:r>
      <w:r w:rsidR="00C75351">
        <w:t>Duke’s application ignore</w:t>
      </w:r>
      <w:r w:rsidR="00EA4886">
        <w:t>s prior</w:t>
      </w:r>
      <w:r w:rsidR="00EA4886" w:rsidRPr="007B1ABF">
        <w:t xml:space="preserve"> settlement</w:t>
      </w:r>
      <w:r w:rsidR="00EA4886">
        <w:t xml:space="preserve"> agreements,</w:t>
      </w:r>
      <w:r w:rsidR="00EE3034">
        <w:t xml:space="preserve"> defies</w:t>
      </w:r>
      <w:r w:rsidR="00EA4886" w:rsidRPr="007B1ABF">
        <w:t xml:space="preserve"> state pol</w:t>
      </w:r>
      <w:r w:rsidR="00EA4886">
        <w:t>icies sup</w:t>
      </w:r>
      <w:r w:rsidR="00275FA9">
        <w:softHyphen/>
      </w:r>
      <w:r w:rsidR="00EA4886">
        <w:t>porting settlements, and undermines</w:t>
      </w:r>
      <w:r w:rsidR="00EA4886" w:rsidRPr="007B1ABF">
        <w:t xml:space="preserve"> the finality </w:t>
      </w:r>
      <w:r w:rsidR="00F009C5">
        <w:t>of Commission</w:t>
      </w:r>
      <w:r w:rsidR="00EA4886">
        <w:t xml:space="preserve"> orders.  </w:t>
      </w:r>
      <w:r w:rsidR="006C27CC">
        <w:t>The</w:t>
      </w:r>
      <w:r w:rsidR="00EA4886">
        <w:t xml:space="preserve"> appli</w:t>
      </w:r>
      <w:r w:rsidR="00275FA9">
        <w:softHyphen/>
      </w:r>
      <w:r w:rsidR="00EA4886">
        <w:t>cation, if approved,</w:t>
      </w:r>
      <w:r w:rsidR="00E07D19" w:rsidRPr="007B1ABF">
        <w:t xml:space="preserve"> will</w:t>
      </w:r>
      <w:r w:rsidR="00EA4886">
        <w:t xml:space="preserve"> unreasonably</w:t>
      </w:r>
      <w:r w:rsidR="005048BE">
        <w:t xml:space="preserve"> cost Ohio customers $729</w:t>
      </w:r>
      <w:r w:rsidR="00E07D19" w:rsidRPr="007B1ABF">
        <w:t xml:space="preserve"> </w:t>
      </w:r>
      <w:r w:rsidR="00AD654F" w:rsidRPr="007B1ABF">
        <w:t>million dollars</w:t>
      </w:r>
      <w:r w:rsidR="00EA4886">
        <w:t xml:space="preserve"> when parties had</w:t>
      </w:r>
      <w:r w:rsidR="00AD654F" w:rsidRPr="007B1ABF">
        <w:t xml:space="preserve"> negotiated a lower amount be paid for</w:t>
      </w:r>
      <w:r w:rsidR="00E07D19" w:rsidRPr="007B1ABF">
        <w:t xml:space="preserve"> the </w:t>
      </w:r>
      <w:r w:rsidR="00AD654F" w:rsidRPr="007B1ABF">
        <w:t>same capacity that is the subject of Duke’s Applicatio</w:t>
      </w:r>
      <w:r w:rsidR="00E07D19" w:rsidRPr="007B1ABF">
        <w:t>n</w:t>
      </w:r>
      <w:r w:rsidR="00275FA9" w:rsidRPr="007B1ABF">
        <w:t xml:space="preserve">.  </w:t>
      </w:r>
      <w:r w:rsidR="00E07D19" w:rsidRPr="007B1ABF">
        <w:t xml:space="preserve">The Commission should reject </w:t>
      </w:r>
      <w:r w:rsidR="00AD654F" w:rsidRPr="007B1ABF">
        <w:t>Duke’s Application and preserve the in</w:t>
      </w:r>
      <w:r w:rsidR="00E07D19" w:rsidRPr="007B1ABF">
        <w:t>teg</w:t>
      </w:r>
      <w:r w:rsidR="00E61F5E">
        <w:softHyphen/>
      </w:r>
      <w:r w:rsidR="00E07D19" w:rsidRPr="007B1ABF">
        <w:t>rity of the</w:t>
      </w:r>
      <w:r w:rsidR="00EA4886">
        <w:t xml:space="preserve"> ESP</w:t>
      </w:r>
      <w:r w:rsidR="00E07D19" w:rsidRPr="007B1ABF">
        <w:t xml:space="preserve"> Stipulation</w:t>
      </w:r>
      <w:r w:rsidR="00AD654F" w:rsidRPr="007B1ABF">
        <w:t>.</w:t>
      </w:r>
    </w:p>
    <w:p w:rsidR="00933CA6" w:rsidRPr="007B1ABF" w:rsidRDefault="00933CA6" w:rsidP="00C36830">
      <w:pPr>
        <w:autoSpaceDE w:val="0"/>
        <w:autoSpaceDN w:val="0"/>
        <w:adjustRightInd w:val="0"/>
        <w:spacing w:after="0" w:line="480" w:lineRule="auto"/>
        <w:ind w:left="3600" w:firstLine="720"/>
        <w:rPr>
          <w:rFonts w:ascii="Times New Roman" w:hAnsi="Times New Roman" w:cs="Times New Roman"/>
          <w:sz w:val="26"/>
          <w:szCs w:val="26"/>
        </w:rPr>
      </w:pPr>
      <w:r w:rsidRPr="007B1ABF">
        <w:rPr>
          <w:rFonts w:ascii="Times New Roman" w:hAnsi="Times New Roman" w:cs="Times New Roman"/>
          <w:sz w:val="26"/>
          <w:szCs w:val="26"/>
        </w:rPr>
        <w:t>Respectfully Submitted,</w:t>
      </w:r>
    </w:p>
    <w:p w:rsidR="00933CA6" w:rsidRPr="007B1ABF" w:rsidRDefault="00933CA6" w:rsidP="00933CA6">
      <w:pPr>
        <w:spacing w:after="0" w:line="240" w:lineRule="auto"/>
        <w:ind w:left="4320"/>
        <w:rPr>
          <w:rFonts w:ascii="Times New Roman" w:hAnsi="Times New Roman" w:cs="Times New Roman"/>
          <w:b/>
          <w:sz w:val="26"/>
          <w:szCs w:val="26"/>
        </w:rPr>
      </w:pPr>
      <w:r w:rsidRPr="007B1ABF">
        <w:rPr>
          <w:rFonts w:ascii="Times New Roman" w:hAnsi="Times New Roman" w:cs="Times New Roman"/>
          <w:b/>
          <w:sz w:val="26"/>
          <w:szCs w:val="26"/>
        </w:rPr>
        <w:t xml:space="preserve">Michael DeWine </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Ohio Attorney General</w:t>
      </w:r>
    </w:p>
    <w:p w:rsidR="00933CA6" w:rsidRPr="007B1ABF" w:rsidRDefault="00933CA6" w:rsidP="00933CA6">
      <w:pPr>
        <w:spacing w:after="0" w:line="240" w:lineRule="auto"/>
        <w:ind w:left="4320"/>
        <w:rPr>
          <w:rFonts w:ascii="Times New Roman" w:hAnsi="Times New Roman" w:cs="Times New Roman"/>
          <w:sz w:val="26"/>
          <w:szCs w:val="26"/>
        </w:rPr>
      </w:pP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b/>
          <w:sz w:val="26"/>
          <w:szCs w:val="26"/>
        </w:rPr>
        <w:t>William L. Wright</w:t>
      </w:r>
    </w:p>
    <w:p w:rsidR="00551DEF" w:rsidRDefault="00933CA6" w:rsidP="00C36830">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Section Chief</w:t>
      </w:r>
    </w:p>
    <w:p w:rsidR="00C36830" w:rsidRPr="00551DEF" w:rsidRDefault="00C36830" w:rsidP="00C36830">
      <w:pPr>
        <w:spacing w:after="0" w:line="240" w:lineRule="auto"/>
        <w:ind w:left="4320"/>
        <w:rPr>
          <w:rFonts w:ascii="Times New Roman" w:hAnsi="Times New Roman" w:cs="Times New Roman"/>
          <w:sz w:val="26"/>
          <w:szCs w:val="26"/>
        </w:rPr>
      </w:pPr>
    </w:p>
    <w:p w:rsidR="00933CA6" w:rsidRPr="007B1ABF" w:rsidRDefault="00933CA6" w:rsidP="00933CA6">
      <w:pPr>
        <w:tabs>
          <w:tab w:val="left" w:pos="9360"/>
        </w:tabs>
        <w:spacing w:after="0" w:line="240" w:lineRule="auto"/>
        <w:ind w:left="4320"/>
        <w:rPr>
          <w:rFonts w:ascii="Times New Roman" w:hAnsi="Times New Roman" w:cs="Times New Roman"/>
          <w:sz w:val="26"/>
          <w:szCs w:val="26"/>
          <w:u w:val="single"/>
        </w:rPr>
      </w:pPr>
      <w:r w:rsidRPr="007B1ABF">
        <w:rPr>
          <w:rFonts w:ascii="Times New Roman" w:hAnsi="Times New Roman" w:cs="Times New Roman"/>
          <w:sz w:val="26"/>
          <w:szCs w:val="26"/>
          <w:u w:val="single"/>
        </w:rPr>
        <w:t xml:space="preserve">/s/ </w:t>
      </w:r>
      <w:r w:rsidRPr="00131840">
        <w:rPr>
          <w:rFonts w:ascii="Viner Hand ITC" w:hAnsi="Viner Hand ITC" w:cs="Times New Roman"/>
          <w:sz w:val="32"/>
          <w:szCs w:val="32"/>
          <w:u w:val="single"/>
        </w:rPr>
        <w:t>Steven L. Beeler</w:t>
      </w:r>
      <w:r w:rsidRPr="007B1ABF">
        <w:rPr>
          <w:rFonts w:ascii="Times New Roman" w:hAnsi="Times New Roman" w:cs="Times New Roman"/>
          <w:sz w:val="26"/>
          <w:szCs w:val="26"/>
          <w:u w:val="single"/>
        </w:rPr>
        <w:tab/>
      </w:r>
    </w:p>
    <w:p w:rsidR="00933CA6" w:rsidRPr="007B1ABF" w:rsidRDefault="00933CA6" w:rsidP="00933CA6">
      <w:pPr>
        <w:spacing w:after="0" w:line="240" w:lineRule="auto"/>
        <w:ind w:left="4320"/>
        <w:rPr>
          <w:rFonts w:ascii="Times New Roman" w:hAnsi="Times New Roman" w:cs="Times New Roman"/>
          <w:b/>
          <w:sz w:val="26"/>
          <w:szCs w:val="26"/>
        </w:rPr>
      </w:pPr>
      <w:r w:rsidRPr="007B1ABF">
        <w:rPr>
          <w:rFonts w:ascii="Times New Roman" w:hAnsi="Times New Roman" w:cs="Times New Roman"/>
          <w:b/>
          <w:sz w:val="26"/>
          <w:szCs w:val="26"/>
        </w:rPr>
        <w:t>Steven L. Beeler</w:t>
      </w:r>
    </w:p>
    <w:p w:rsidR="000D7745" w:rsidRPr="007B1ABF" w:rsidRDefault="000D7745" w:rsidP="00933CA6">
      <w:pPr>
        <w:spacing w:after="0" w:line="240" w:lineRule="auto"/>
        <w:ind w:left="4320"/>
        <w:rPr>
          <w:rFonts w:ascii="Times New Roman" w:hAnsi="Times New Roman" w:cs="Times New Roman"/>
          <w:b/>
          <w:sz w:val="26"/>
          <w:szCs w:val="26"/>
        </w:rPr>
      </w:pPr>
      <w:r w:rsidRPr="007B1ABF">
        <w:rPr>
          <w:rFonts w:ascii="Times New Roman" w:hAnsi="Times New Roman" w:cs="Times New Roman"/>
          <w:b/>
          <w:sz w:val="26"/>
          <w:szCs w:val="26"/>
        </w:rPr>
        <w:t>John H. Jones</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Assistant Attorney</w:t>
      </w:r>
      <w:r w:rsidR="000D7745" w:rsidRPr="007B1ABF">
        <w:rPr>
          <w:rFonts w:ascii="Times New Roman" w:hAnsi="Times New Roman" w:cs="Times New Roman"/>
          <w:sz w:val="26"/>
          <w:szCs w:val="26"/>
        </w:rPr>
        <w:t>s</w:t>
      </w:r>
      <w:r w:rsidRPr="007B1ABF">
        <w:rPr>
          <w:rFonts w:ascii="Times New Roman" w:hAnsi="Times New Roman" w:cs="Times New Roman"/>
          <w:sz w:val="26"/>
          <w:szCs w:val="26"/>
        </w:rPr>
        <w:t xml:space="preserve"> General</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Public Utilities Section</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180 East Broad Street, 6</w:t>
      </w:r>
      <w:r w:rsidRPr="007B1ABF">
        <w:rPr>
          <w:rFonts w:ascii="Times New Roman" w:hAnsi="Times New Roman" w:cs="Times New Roman"/>
          <w:sz w:val="26"/>
          <w:szCs w:val="26"/>
          <w:vertAlign w:val="superscript"/>
        </w:rPr>
        <w:t>th</w:t>
      </w:r>
      <w:r w:rsidRPr="007B1ABF">
        <w:rPr>
          <w:rFonts w:ascii="Times New Roman" w:hAnsi="Times New Roman" w:cs="Times New Roman"/>
          <w:sz w:val="26"/>
          <w:szCs w:val="26"/>
        </w:rPr>
        <w:t xml:space="preserve"> Fl. </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Columbus, OH  43215</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614.466.4395 (telephone)</w:t>
      </w:r>
    </w:p>
    <w:p w:rsidR="00933CA6" w:rsidRPr="007B1ABF" w:rsidRDefault="00E106B2" w:rsidP="00933CA6">
      <w:pPr>
        <w:spacing w:after="0" w:line="240" w:lineRule="auto"/>
        <w:ind w:left="4320"/>
        <w:jc w:val="both"/>
        <w:rPr>
          <w:rFonts w:ascii="Times New Roman" w:hAnsi="Times New Roman" w:cs="Times New Roman"/>
          <w:color w:val="0000FF"/>
          <w:sz w:val="26"/>
          <w:szCs w:val="26"/>
          <w:u w:val="single"/>
        </w:rPr>
      </w:pPr>
      <w:hyperlink r:id="rId15" w:history="1">
        <w:r w:rsidR="00933CA6" w:rsidRPr="007B1ABF">
          <w:rPr>
            <w:rFonts w:ascii="Times New Roman" w:hAnsi="Times New Roman" w:cs="Times New Roman"/>
            <w:color w:val="0000FF"/>
            <w:sz w:val="26"/>
            <w:szCs w:val="26"/>
            <w:u w:val="single"/>
          </w:rPr>
          <w:t>steven.beeler@puc.state.oh.us</w:t>
        </w:r>
      </w:hyperlink>
    </w:p>
    <w:p w:rsidR="00933CA6" w:rsidRPr="00CD6D41" w:rsidRDefault="000D7745" w:rsidP="00CD6D41">
      <w:pPr>
        <w:spacing w:after="0" w:line="240" w:lineRule="auto"/>
        <w:ind w:left="4320"/>
        <w:jc w:val="both"/>
        <w:rPr>
          <w:rFonts w:ascii="Times New Roman" w:hAnsi="Times New Roman" w:cs="Times New Roman"/>
          <w:sz w:val="26"/>
          <w:szCs w:val="26"/>
        </w:rPr>
      </w:pPr>
      <w:r w:rsidRPr="007B1ABF">
        <w:rPr>
          <w:rFonts w:ascii="Times New Roman" w:hAnsi="Times New Roman" w:cs="Times New Roman"/>
          <w:color w:val="0000FF"/>
          <w:sz w:val="26"/>
          <w:szCs w:val="26"/>
          <w:u w:val="single"/>
        </w:rPr>
        <w:t>john.jones@puc.state.oh.us</w:t>
      </w:r>
      <w:r w:rsidR="00933CA6" w:rsidRPr="007B1ABF">
        <w:rPr>
          <w:rFonts w:ascii="Times New Roman" w:hAnsi="Times New Roman" w:cs="Times New Roman"/>
          <w:b/>
          <w:sz w:val="26"/>
          <w:szCs w:val="26"/>
        </w:rPr>
        <w:br w:type="page"/>
      </w:r>
    </w:p>
    <w:p w:rsidR="00933CA6" w:rsidRPr="00933CA6" w:rsidRDefault="00933CA6" w:rsidP="00275FA9">
      <w:pPr>
        <w:pStyle w:val="Heading1"/>
        <w:jc w:val="center"/>
      </w:pPr>
      <w:bookmarkStart w:id="17" w:name="_Toc317248255"/>
      <w:bookmarkStart w:id="18" w:name="_Toc339013424"/>
      <w:bookmarkStart w:id="19" w:name="_Toc360172969"/>
      <w:r w:rsidRPr="00933CA6">
        <w:lastRenderedPageBreak/>
        <w:t>CERTIFICATE OF SERVICE</w:t>
      </w:r>
      <w:bookmarkEnd w:id="17"/>
      <w:bookmarkEnd w:id="18"/>
      <w:bookmarkEnd w:id="19"/>
    </w:p>
    <w:p w:rsidR="00933CA6" w:rsidRPr="00933CA6" w:rsidRDefault="00933CA6" w:rsidP="00933CA6">
      <w:pPr>
        <w:spacing w:after="0" w:line="480" w:lineRule="auto"/>
        <w:rPr>
          <w:rFonts w:ascii="Times New Roman" w:hAnsi="Times New Roman" w:cs="Times New Roman"/>
          <w:sz w:val="26"/>
          <w:szCs w:val="26"/>
        </w:rPr>
      </w:pPr>
      <w:r w:rsidRPr="00933CA6">
        <w:rPr>
          <w:rFonts w:ascii="Times New Roman" w:hAnsi="Times New Roman" w:cs="Times New Roman"/>
          <w:sz w:val="26"/>
          <w:szCs w:val="26"/>
        </w:rPr>
        <w:tab/>
        <w:t xml:space="preserve">I hereby certify that a true copy of the foregoing </w:t>
      </w:r>
      <w:r w:rsidR="000D7745">
        <w:rPr>
          <w:rFonts w:ascii="Times New Roman" w:hAnsi="Times New Roman" w:cs="Times New Roman"/>
          <w:b/>
          <w:sz w:val="26"/>
          <w:szCs w:val="26"/>
        </w:rPr>
        <w:t>Initial</w:t>
      </w:r>
      <w:r w:rsidR="00734642">
        <w:rPr>
          <w:rFonts w:ascii="Times New Roman" w:hAnsi="Times New Roman" w:cs="Times New Roman"/>
          <w:b/>
          <w:sz w:val="26"/>
          <w:szCs w:val="26"/>
        </w:rPr>
        <w:t xml:space="preserve"> Brief</w:t>
      </w:r>
      <w:r w:rsidRPr="00933CA6">
        <w:rPr>
          <w:rFonts w:ascii="Times New Roman" w:hAnsi="Times New Roman" w:cs="Times New Roman"/>
          <w:b/>
          <w:sz w:val="26"/>
          <w:szCs w:val="26"/>
        </w:rPr>
        <w:t xml:space="preserve"> </w:t>
      </w:r>
      <w:r w:rsidRPr="00933CA6">
        <w:rPr>
          <w:rFonts w:ascii="Times New Roman" w:hAnsi="Times New Roman" w:cs="Times New Roman"/>
          <w:sz w:val="26"/>
          <w:szCs w:val="26"/>
        </w:rPr>
        <w:t>submitted on behalf of the Staff of the Public Utilities Commission of Ohio was served by elec</w:t>
      </w:r>
      <w:r w:rsidRPr="00933CA6">
        <w:rPr>
          <w:rFonts w:ascii="Times New Roman" w:hAnsi="Times New Roman" w:cs="Times New Roman"/>
          <w:sz w:val="26"/>
          <w:szCs w:val="26"/>
        </w:rPr>
        <w:softHyphen/>
        <w:t>tronic mail upon the foll</w:t>
      </w:r>
      <w:r w:rsidR="000D7745">
        <w:rPr>
          <w:rFonts w:ascii="Times New Roman" w:hAnsi="Times New Roman" w:cs="Times New Roman"/>
          <w:sz w:val="26"/>
          <w:szCs w:val="26"/>
        </w:rPr>
        <w:t xml:space="preserve">owing parties of record, this </w:t>
      </w:r>
      <w:r w:rsidR="007B2FB7">
        <w:rPr>
          <w:rFonts w:ascii="Times New Roman" w:hAnsi="Times New Roman" w:cs="Times New Roman"/>
          <w:sz w:val="26"/>
          <w:szCs w:val="26"/>
        </w:rPr>
        <w:t>28th</w:t>
      </w:r>
      <w:r w:rsidR="00632F5A">
        <w:rPr>
          <w:rFonts w:ascii="Times New Roman" w:hAnsi="Times New Roman" w:cs="Times New Roman"/>
          <w:sz w:val="26"/>
          <w:szCs w:val="26"/>
        </w:rPr>
        <w:t xml:space="preserve"> </w:t>
      </w:r>
      <w:r w:rsidR="00D60CEE">
        <w:rPr>
          <w:rFonts w:ascii="Times New Roman" w:hAnsi="Times New Roman" w:cs="Times New Roman"/>
          <w:sz w:val="26"/>
          <w:szCs w:val="26"/>
        </w:rPr>
        <w:t>day of June</w:t>
      </w:r>
      <w:r w:rsidR="000D7745">
        <w:rPr>
          <w:rFonts w:ascii="Times New Roman" w:hAnsi="Times New Roman" w:cs="Times New Roman"/>
          <w:sz w:val="26"/>
          <w:szCs w:val="26"/>
        </w:rPr>
        <w:t>, 2013</w:t>
      </w:r>
      <w:r w:rsidRPr="00933CA6">
        <w:rPr>
          <w:rFonts w:ascii="Times New Roman" w:hAnsi="Times New Roman" w:cs="Times New Roman"/>
          <w:sz w:val="26"/>
          <w:szCs w:val="26"/>
        </w:rPr>
        <w:t>.</w:t>
      </w:r>
    </w:p>
    <w:p w:rsidR="00933CA6" w:rsidRPr="00933CA6" w:rsidRDefault="00933CA6" w:rsidP="00933CA6">
      <w:pPr>
        <w:tabs>
          <w:tab w:val="left" w:pos="9360"/>
        </w:tabs>
        <w:spacing w:after="0" w:line="240" w:lineRule="auto"/>
        <w:ind w:left="4320"/>
        <w:rPr>
          <w:rFonts w:ascii="Viner Hand ITC" w:hAnsi="Viner Hand ITC" w:cs="Arial"/>
          <w:sz w:val="32"/>
          <w:szCs w:val="32"/>
          <w:u w:val="single"/>
        </w:rPr>
      </w:pPr>
      <w:r w:rsidRPr="00933CA6">
        <w:rPr>
          <w:rFonts w:ascii="Viner Hand ITC" w:hAnsi="Viner Hand ITC" w:cs="Arial"/>
          <w:sz w:val="32"/>
          <w:szCs w:val="32"/>
          <w:u w:val="single"/>
        </w:rPr>
        <w:t>/s/ Steven L. Beeler</w:t>
      </w:r>
      <w:r w:rsidRPr="00933CA6">
        <w:rPr>
          <w:rFonts w:ascii="Viner Hand ITC" w:hAnsi="Viner Hand ITC" w:cs="Arial"/>
          <w:sz w:val="32"/>
          <w:szCs w:val="32"/>
          <w:u w:val="single"/>
        </w:rPr>
        <w:tab/>
      </w:r>
    </w:p>
    <w:p w:rsidR="00933CA6" w:rsidRPr="00933CA6" w:rsidRDefault="00933CA6" w:rsidP="00933CA6">
      <w:pPr>
        <w:spacing w:after="0" w:line="240" w:lineRule="auto"/>
        <w:ind w:left="4320"/>
        <w:rPr>
          <w:rFonts w:ascii="Times New Roman" w:hAnsi="Times New Roman"/>
          <w:b/>
          <w:sz w:val="26"/>
          <w:szCs w:val="26"/>
        </w:rPr>
      </w:pPr>
      <w:r w:rsidRPr="00933CA6">
        <w:rPr>
          <w:rFonts w:ascii="Times New Roman" w:hAnsi="Times New Roman"/>
          <w:b/>
          <w:sz w:val="26"/>
          <w:szCs w:val="26"/>
        </w:rPr>
        <w:t>Steven L. Beeler</w:t>
      </w:r>
    </w:p>
    <w:p w:rsidR="00933CA6" w:rsidRPr="00933CA6" w:rsidRDefault="00933CA6" w:rsidP="00933CA6">
      <w:pPr>
        <w:spacing w:after="0" w:line="240" w:lineRule="auto"/>
        <w:ind w:left="4320"/>
        <w:jc w:val="both"/>
        <w:rPr>
          <w:rFonts w:ascii="Times New Roman" w:hAnsi="Times New Roman" w:cs="Times New Roman"/>
          <w:sz w:val="26"/>
          <w:szCs w:val="26"/>
        </w:rPr>
      </w:pPr>
      <w:r w:rsidRPr="00933CA6">
        <w:rPr>
          <w:rFonts w:ascii="Times New Roman" w:hAnsi="Times New Roman" w:cs="Times New Roman"/>
          <w:sz w:val="26"/>
          <w:szCs w:val="26"/>
        </w:rPr>
        <w:t>Assistant Attorney General</w:t>
      </w:r>
    </w:p>
    <w:p w:rsidR="00C30CF1" w:rsidRDefault="00C30CF1" w:rsidP="00933CA6">
      <w:pPr>
        <w:spacing w:after="0" w:line="240" w:lineRule="auto"/>
        <w:jc w:val="both"/>
        <w:rPr>
          <w:rFonts w:ascii="Times New Roman" w:hAnsi="Times New Roman" w:cs="Times New Roman"/>
          <w:b/>
          <w:sz w:val="26"/>
          <w:szCs w:val="26"/>
        </w:rPr>
      </w:pPr>
    </w:p>
    <w:p w:rsidR="00933CA6" w:rsidRPr="00933CA6" w:rsidRDefault="00933CA6" w:rsidP="00933CA6">
      <w:pPr>
        <w:spacing w:after="0" w:line="240" w:lineRule="auto"/>
        <w:jc w:val="both"/>
        <w:rPr>
          <w:rFonts w:ascii="Times New Roman" w:hAnsi="Times New Roman" w:cs="Times New Roman"/>
          <w:b/>
          <w:sz w:val="26"/>
          <w:szCs w:val="26"/>
        </w:rPr>
      </w:pPr>
      <w:r w:rsidRPr="00933CA6">
        <w:rPr>
          <w:rFonts w:ascii="Times New Roman" w:hAnsi="Times New Roman" w:cs="Times New Roman"/>
          <w:b/>
          <w:sz w:val="26"/>
          <w:szCs w:val="26"/>
        </w:rPr>
        <w:t>PARTIES OF RECORD:</w:t>
      </w:r>
    </w:p>
    <w:p w:rsidR="00933CA6" w:rsidRPr="00445E0D" w:rsidRDefault="00933CA6" w:rsidP="00933CA6">
      <w:pPr>
        <w:spacing w:after="0" w:line="240" w:lineRule="auto"/>
        <w:jc w:val="both"/>
        <w:rPr>
          <w:rFonts w:ascii="Times New Roman" w:hAnsi="Times New Roman" w:cs="Times New Roman"/>
          <w:b/>
          <w:sz w:val="26"/>
          <w:szCs w:val="26"/>
        </w:rPr>
      </w:pPr>
    </w:p>
    <w:p w:rsidR="000D7745" w:rsidRPr="00445E0D" w:rsidRDefault="000D7745" w:rsidP="000D7745">
      <w:pPr>
        <w:autoSpaceDE w:val="0"/>
        <w:autoSpaceDN w:val="0"/>
        <w:adjustRightInd w:val="0"/>
        <w:spacing w:after="0" w:line="240" w:lineRule="auto"/>
        <w:rPr>
          <w:rFonts w:ascii="Times New Roman" w:hAnsi="Times New Roman" w:cs="Times New Roman"/>
          <w:color w:val="0000FF"/>
          <w:sz w:val="26"/>
          <w:szCs w:val="26"/>
        </w:rPr>
        <w:sectPr w:rsidR="000D7745" w:rsidRPr="00445E0D">
          <w:pgSz w:w="12240" w:h="15840"/>
          <w:pgMar w:top="1440" w:right="1440" w:bottom="1440" w:left="1440" w:header="720" w:footer="720" w:gutter="0"/>
          <w:cols w:space="720"/>
          <w:docGrid w:linePitch="360"/>
        </w:sectPr>
      </w:pP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lastRenderedPageBreak/>
        <w:t>sam@mwncmh.com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fdarr@mwncmh.com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joliker@mwncmh.com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mpritchard@mwncmh.com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cmooney2@columbus.rr.com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dhart@douglasehart.com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haydenm@firstenergycorp.com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jlang@calfee.com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lmcbride@calfee.com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talexander@calfee.com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bojko@carpenterlipps.com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mohler@carpenterlipps.com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joseph.strines@DPLINC.com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judi.sobecki@DPLINC.com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randall.griffin@DPLINC.com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dakutik@jonesday.com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aehaedt@jonesday.com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jbentine@amppartners.org</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jouett.brenzel@cinbell.com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mjsatterwhite@aep.com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kosterkamp@ralaw.com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asonderman@keglerbrown.com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mkimbrough@keglerbrown.com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wmassey@cov.com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asonderman@keglerbrown.com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mkimbrough@keglerbrown.com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lastRenderedPageBreak/>
        <w:t>Amy.spiller@duke-energy.com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Jeanne.kingery@duke-energy.com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Elizabeth.watts@duke-energy.com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Rocco.DAscenzo@duke-energy.com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dboehm@BKLlawfirm.com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mkurtz@BKLlawfirm.com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jkylercohn@BKLlawfirm.com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tobrien@bricker.com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tsiwo@bricker.com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mwarnock@bricker.com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jejadwin@aep.com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yalami@aep.com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mhpetricoff@vorys.com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smhoward@vorys.com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stnourse@aep.com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Rdc_law@swbell.net</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dakutik@jonesday.com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lfloyd@jonesday.com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Gary.A.Jeffries@dom.com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aaragona@eimerstahl.com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dstahl@eimerstahl.com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ssolberg@eimerstahl.com</w:t>
      </w:r>
    </w:p>
    <w:p w:rsidR="00AC5D36" w:rsidRPr="00734642" w:rsidRDefault="00E106B2" w:rsidP="00AC5D36">
      <w:pPr>
        <w:autoSpaceDE w:val="0"/>
        <w:autoSpaceDN w:val="0"/>
        <w:spacing w:line="240" w:lineRule="auto"/>
        <w:contextualSpacing/>
        <w:rPr>
          <w:rFonts w:ascii="Times New Roman" w:eastAsia="Times New Roman" w:hAnsi="Times New Roman" w:cs="Times New Roman"/>
          <w:color w:val="0000FF"/>
          <w:sz w:val="26"/>
          <w:szCs w:val="26"/>
        </w:rPr>
      </w:pPr>
      <w:hyperlink r:id="rId16" w:history="1">
        <w:r w:rsidR="00AC5D36" w:rsidRPr="00734642">
          <w:rPr>
            <w:rStyle w:val="Hyperlink"/>
            <w:rFonts w:ascii="Times New Roman" w:eastAsia="Times New Roman" w:hAnsi="Times New Roman" w:cs="Times New Roman"/>
            <w:sz w:val="26"/>
            <w:szCs w:val="26"/>
            <w:u w:val="none"/>
          </w:rPr>
          <w:t>BarthRoyer@aol.com</w:t>
        </w:r>
      </w:hyperlink>
    </w:p>
    <w:p w:rsidR="000D7745" w:rsidRPr="00AC5D36" w:rsidRDefault="000D7745" w:rsidP="000D7745">
      <w:pPr>
        <w:autoSpaceDE w:val="0"/>
        <w:autoSpaceDN w:val="0"/>
        <w:adjustRightInd w:val="0"/>
        <w:spacing w:after="0" w:line="240" w:lineRule="auto"/>
        <w:rPr>
          <w:rFonts w:ascii="Times New Roman" w:hAnsi="Times New Roman" w:cs="Times New Roman"/>
          <w:color w:val="000000"/>
          <w:sz w:val="26"/>
          <w:szCs w:val="26"/>
        </w:rPr>
      </w:pPr>
    </w:p>
    <w:p w:rsidR="00AC5D36" w:rsidRPr="00AC5D36" w:rsidRDefault="000D7745" w:rsidP="00AC5D36">
      <w:pPr>
        <w:autoSpaceDE w:val="0"/>
        <w:autoSpaceDN w:val="0"/>
        <w:spacing w:line="240" w:lineRule="auto"/>
        <w:contextualSpacing/>
        <w:rPr>
          <w:rFonts w:ascii="Times New Roman" w:hAnsi="Times New Roman" w:cs="Times New Roman"/>
          <w:color w:val="0000FF"/>
          <w:sz w:val="26"/>
          <w:szCs w:val="26"/>
        </w:rPr>
      </w:pPr>
      <w:r w:rsidRPr="00AC5D36">
        <w:rPr>
          <w:rFonts w:ascii="Times New Roman" w:hAnsi="Times New Roman" w:cs="Times New Roman"/>
          <w:color w:val="000000"/>
          <w:sz w:val="26"/>
          <w:szCs w:val="26"/>
        </w:rPr>
        <w:t xml:space="preserve">AEs: </w:t>
      </w:r>
      <w:r w:rsidR="00AC5D36" w:rsidRPr="00AC5D36">
        <w:rPr>
          <w:rFonts w:ascii="Times New Roman" w:hAnsi="Times New Roman" w:cs="Times New Roman"/>
          <w:color w:val="0000FF"/>
          <w:sz w:val="26"/>
          <w:szCs w:val="26"/>
        </w:rPr>
        <w:t>Christine.pirik@puc.state.oh.us</w:t>
      </w:r>
    </w:p>
    <w:p w:rsidR="00AC5D36" w:rsidRPr="00AC5D36" w:rsidRDefault="00AC5D36" w:rsidP="00AC5D36">
      <w:pPr>
        <w:autoSpaceDE w:val="0"/>
        <w:autoSpaceDN w:val="0"/>
        <w:spacing w:line="240" w:lineRule="auto"/>
        <w:rPr>
          <w:rFonts w:ascii="Times New Roman" w:hAnsi="Times New Roman" w:cs="Times New Roman"/>
          <w:sz w:val="26"/>
          <w:szCs w:val="26"/>
        </w:rPr>
        <w:sectPr w:rsidR="00AC5D36" w:rsidRPr="00AC5D36" w:rsidSect="006A170E">
          <w:type w:val="continuous"/>
          <w:pgSz w:w="12240" w:h="15840"/>
          <w:pgMar w:top="1440" w:right="1260" w:bottom="1440" w:left="1440" w:header="720" w:footer="720" w:gutter="0"/>
          <w:pgNumType w:start="1"/>
          <w:cols w:num="2" w:space="720"/>
          <w:noEndnote/>
          <w:titlePg/>
          <w:docGrid w:linePitch="326"/>
        </w:sectPr>
      </w:pPr>
      <w:r w:rsidRPr="00AC5D36">
        <w:rPr>
          <w:rFonts w:ascii="Times New Roman" w:hAnsi="Times New Roman" w:cs="Times New Roman"/>
          <w:color w:val="0000FF"/>
          <w:sz w:val="26"/>
          <w:szCs w:val="26"/>
        </w:rPr>
        <w:t>Katie.stenman@puc.state.oh.us</w:t>
      </w:r>
    </w:p>
    <w:p w:rsidR="00933CA6" w:rsidRPr="00F35BF4" w:rsidRDefault="00933CA6" w:rsidP="00B639BD">
      <w:pPr>
        <w:autoSpaceDE w:val="0"/>
        <w:autoSpaceDN w:val="0"/>
        <w:adjustRightInd w:val="0"/>
        <w:spacing w:after="0" w:line="240" w:lineRule="auto"/>
        <w:rPr>
          <w:rFonts w:ascii="Times New Roman" w:hAnsi="Times New Roman" w:cs="Times New Roman"/>
          <w:sz w:val="26"/>
          <w:szCs w:val="26"/>
        </w:rPr>
      </w:pPr>
    </w:p>
    <w:sectPr w:rsidR="00933CA6" w:rsidRPr="00F35BF4" w:rsidSect="000D774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B2" w:rsidRDefault="00E106B2" w:rsidP="00933CA6">
      <w:pPr>
        <w:spacing w:after="0" w:line="240" w:lineRule="auto"/>
      </w:pPr>
      <w:r>
        <w:separator/>
      </w:r>
    </w:p>
  </w:endnote>
  <w:endnote w:type="continuationSeparator" w:id="0">
    <w:p w:rsidR="00E106B2" w:rsidRDefault="00E106B2" w:rsidP="0093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80093"/>
      <w:docPartObj>
        <w:docPartGallery w:val="Page Numbers (Bottom of Page)"/>
        <w:docPartUnique/>
      </w:docPartObj>
    </w:sdtPr>
    <w:sdtEndPr>
      <w:rPr>
        <w:noProof/>
      </w:rPr>
    </w:sdtEndPr>
    <w:sdtContent>
      <w:p w:rsidR="00E106B2" w:rsidRDefault="00E10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06B2" w:rsidRDefault="00E10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56011"/>
      <w:docPartObj>
        <w:docPartGallery w:val="Page Numbers (Bottom of Page)"/>
        <w:docPartUnique/>
      </w:docPartObj>
    </w:sdtPr>
    <w:sdtEndPr>
      <w:rPr>
        <w:noProof/>
      </w:rPr>
    </w:sdtEndPr>
    <w:sdtContent>
      <w:p w:rsidR="00E106B2" w:rsidRDefault="00E106B2" w:rsidP="00933CA6">
        <w:pPr>
          <w:pStyle w:val="Footer"/>
          <w:jc w:val="center"/>
        </w:pPr>
        <w:r>
          <w:fldChar w:fldCharType="begin"/>
        </w:r>
        <w:r>
          <w:instrText xml:space="preserve"> PAGE   \* MERGEFORMAT </w:instrText>
        </w:r>
        <w:r>
          <w:fldChar w:fldCharType="separate"/>
        </w:r>
        <w:r w:rsidR="0092580D">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B2" w:rsidRDefault="00E106B2" w:rsidP="00933CA6">
      <w:pPr>
        <w:spacing w:after="0" w:line="240" w:lineRule="auto"/>
      </w:pPr>
      <w:r>
        <w:separator/>
      </w:r>
    </w:p>
  </w:footnote>
  <w:footnote w:type="continuationSeparator" w:id="0">
    <w:p w:rsidR="00E106B2" w:rsidRDefault="00E106B2" w:rsidP="00933CA6">
      <w:pPr>
        <w:spacing w:after="0" w:line="240" w:lineRule="auto"/>
      </w:pPr>
      <w:r>
        <w:continuationSeparator/>
      </w:r>
    </w:p>
  </w:footnote>
  <w:footnote w:id="1">
    <w:p w:rsidR="00E106B2" w:rsidRPr="00DF0E98" w:rsidRDefault="00E106B2" w:rsidP="00236570">
      <w:pPr>
        <w:pStyle w:val="FootnoteText"/>
      </w:pPr>
      <w:r w:rsidRPr="00DF0E98">
        <w:rPr>
          <w:rStyle w:val="FootnoteReference"/>
          <w:rFonts w:cs="Times New Roman"/>
        </w:rPr>
        <w:footnoteRef/>
      </w:r>
      <w:r w:rsidRPr="00DF0E98">
        <w:tab/>
      </w:r>
      <w:r w:rsidRPr="00DF0E98">
        <w:tab/>
      </w:r>
      <w:r>
        <w:t xml:space="preserve">IEU Ex. 5, </w:t>
      </w:r>
      <w:r w:rsidRPr="00734642">
        <w:rPr>
          <w:i/>
        </w:rPr>
        <w:t>In the Matter of the Application of Duke Energy Ohio for Authority to Establish a Standard Service Offer Pursuant to Section 4928.143, Revised Code, in the Form of an Electric Security Plan, Accounting Modifications and Tariffs for Generation Service</w:t>
      </w:r>
      <w:r w:rsidRPr="00DF0E98">
        <w:t xml:space="preserve">, Case Nos. 11-3549-EL-SSO, </w:t>
      </w:r>
      <w:r w:rsidRPr="006515BB">
        <w:rPr>
          <w:i/>
        </w:rPr>
        <w:t>et al.</w:t>
      </w:r>
      <w:r w:rsidRPr="00DF0E98">
        <w:t xml:space="preserve"> (</w:t>
      </w:r>
      <w:r>
        <w:t>“</w:t>
      </w:r>
      <w:r w:rsidRPr="006515BB">
        <w:rPr>
          <w:i/>
        </w:rPr>
        <w:t>Duke ESP Proceeding</w:t>
      </w:r>
      <w:r>
        <w:t>”</w:t>
      </w:r>
      <w:r w:rsidRPr="00DF0E98">
        <w:t>)</w:t>
      </w:r>
      <w:r>
        <w:t xml:space="preserve"> (</w:t>
      </w:r>
      <w:r w:rsidRPr="00DF0E98">
        <w:t>Stipula</w:t>
      </w:r>
      <w:r w:rsidRPr="00DF0E98">
        <w:softHyphen/>
        <w:t>tion and Recommendation</w:t>
      </w:r>
      <w:r>
        <w:t>)</w:t>
      </w:r>
      <w:r w:rsidRPr="00DF0E98">
        <w:t xml:space="preserve"> (Oct. 24, 2011).  </w:t>
      </w:r>
    </w:p>
  </w:footnote>
  <w:footnote w:id="2">
    <w:p w:rsidR="00E106B2" w:rsidRPr="00E322A0" w:rsidRDefault="00E106B2">
      <w:pPr>
        <w:pStyle w:val="FootnoteText"/>
      </w:pPr>
      <w:r>
        <w:rPr>
          <w:rStyle w:val="FootnoteReference"/>
        </w:rPr>
        <w:footnoteRef/>
      </w:r>
      <w:r>
        <w:t xml:space="preserve"> </w:t>
      </w:r>
      <w:r>
        <w:tab/>
      </w:r>
      <w:r>
        <w:tab/>
      </w:r>
      <w:r w:rsidR="005F2AE9" w:rsidRPr="006515BB">
        <w:rPr>
          <w:i/>
        </w:rPr>
        <w:t>Duke ESP Proceeding</w:t>
      </w:r>
      <w:r w:rsidR="005F2AE9">
        <w:t xml:space="preserve"> (</w:t>
      </w:r>
      <w:r w:rsidR="005F2AE9" w:rsidRPr="00DF0E98">
        <w:t>Stipula</w:t>
      </w:r>
      <w:r w:rsidR="005F2AE9" w:rsidRPr="00DF0E98">
        <w:softHyphen/>
        <w:t>tion and Recommendation</w:t>
      </w:r>
      <w:r w:rsidR="005F2AE9">
        <w:t xml:space="preserve"> at 15-16</w:t>
      </w:r>
      <w:r w:rsidR="005F2AE9">
        <w:t>)</w:t>
      </w:r>
      <w:r w:rsidR="005F2AE9" w:rsidRPr="00DF0E98">
        <w:t xml:space="preserve"> (Oct. 24, 2011</w:t>
      </w:r>
      <w:r w:rsidR="005F2AE9">
        <w:t>)</w:t>
      </w:r>
      <w:r>
        <w:t>.</w:t>
      </w:r>
    </w:p>
  </w:footnote>
  <w:footnote w:id="3">
    <w:p w:rsidR="00E106B2" w:rsidRPr="00E322A0" w:rsidRDefault="00E106B2">
      <w:pPr>
        <w:pStyle w:val="FootnoteText"/>
      </w:pPr>
      <w:r>
        <w:rPr>
          <w:rStyle w:val="FootnoteReference"/>
        </w:rPr>
        <w:footnoteRef/>
      </w:r>
      <w:r>
        <w:t xml:space="preserve"> </w:t>
      </w:r>
      <w:r>
        <w:tab/>
      </w:r>
      <w:r>
        <w:tab/>
      </w:r>
      <w:r>
        <w:rPr>
          <w:i/>
        </w:rPr>
        <w:t xml:space="preserve">Id. </w:t>
      </w:r>
      <w:r>
        <w:t>at 7</w:t>
      </w:r>
      <w:r w:rsidR="005F2AE9">
        <w:t xml:space="preserve">, </w:t>
      </w:r>
      <w:r>
        <w:t>12.</w:t>
      </w:r>
    </w:p>
  </w:footnote>
  <w:footnote w:id="4">
    <w:p w:rsidR="00E106B2" w:rsidRDefault="00E106B2">
      <w:pPr>
        <w:pStyle w:val="FootnoteText"/>
      </w:pPr>
      <w:r>
        <w:rPr>
          <w:rStyle w:val="FootnoteReference"/>
        </w:rPr>
        <w:footnoteRef/>
      </w:r>
      <w:r>
        <w:t xml:space="preserve"> </w:t>
      </w:r>
      <w:r>
        <w:tab/>
      </w:r>
      <w:r>
        <w:tab/>
        <w:t>Duke Ex. 1 (Application).</w:t>
      </w:r>
    </w:p>
  </w:footnote>
  <w:footnote w:id="5">
    <w:p w:rsidR="00E106B2" w:rsidRPr="00DF0E98" w:rsidRDefault="00E106B2" w:rsidP="00236570">
      <w:pPr>
        <w:pStyle w:val="FootnoteText"/>
      </w:pPr>
      <w:r w:rsidRPr="003D3C8F">
        <w:rPr>
          <w:rStyle w:val="FootnoteReference"/>
          <w:rFonts w:cs="Times New Roman"/>
          <w:sz w:val="16"/>
          <w:szCs w:val="16"/>
          <w:vertAlign w:val="baseline"/>
        </w:rPr>
        <w:footnoteRef/>
      </w:r>
      <w:r w:rsidRPr="003D3C8F">
        <w:rPr>
          <w:sz w:val="16"/>
          <w:szCs w:val="16"/>
        </w:rPr>
        <w:t xml:space="preserve"> </w:t>
      </w:r>
      <w:r w:rsidRPr="00DF0E98">
        <w:tab/>
      </w:r>
      <w:r w:rsidRPr="00DF0E98">
        <w:tab/>
      </w:r>
      <w:r w:rsidR="005F2AE9">
        <w:t>Duke Ex. 1 (Application</w:t>
      </w:r>
      <w:r w:rsidR="00445E3C">
        <w:t xml:space="preserve"> at ¶ 2)</w:t>
      </w:r>
      <w:r w:rsidRPr="00DF0E98">
        <w:t>.</w:t>
      </w:r>
    </w:p>
  </w:footnote>
  <w:footnote w:id="6">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t xml:space="preserve">Kroger Ex. 5, </w:t>
      </w:r>
      <w:r w:rsidRPr="00DF0E98">
        <w:rPr>
          <w:i/>
        </w:rPr>
        <w:t>Duke ESP Proceeding</w:t>
      </w:r>
      <w:r w:rsidRPr="00DF0E98">
        <w:t xml:space="preserve"> </w:t>
      </w:r>
      <w:r>
        <w:t>(</w:t>
      </w:r>
      <w:r w:rsidRPr="00DF0E98">
        <w:t>Application</w:t>
      </w:r>
      <w:r>
        <w:t>)</w:t>
      </w:r>
      <w:r w:rsidR="00DE374B">
        <w:t xml:space="preserve"> (Jun.</w:t>
      </w:r>
      <w:r w:rsidRPr="00DF0E98">
        <w:t xml:space="preserve"> 20, 2011).</w:t>
      </w:r>
      <w:r w:rsidRPr="00DF0E98">
        <w:rPr>
          <w:color w:val="000000"/>
        </w:rPr>
        <w:t xml:space="preserve"> </w:t>
      </w:r>
    </w:p>
  </w:footnote>
  <w:footnote w:id="7">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rPr>
        <w:t>Id</w:t>
      </w:r>
      <w:r w:rsidRPr="00DF0E98">
        <w:t>. at 26; Vol</w:t>
      </w:r>
      <w:r>
        <w:t>.</w:t>
      </w:r>
      <w:r w:rsidRPr="00DF0E98">
        <w:t xml:space="preserve"> 1 at 10.</w:t>
      </w:r>
    </w:p>
  </w:footnote>
  <w:footnote w:id="8">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00445E3C">
        <w:t xml:space="preserve">Kroger Ex. 5, </w:t>
      </w:r>
      <w:r w:rsidR="00445E3C" w:rsidRPr="00DF0E98">
        <w:rPr>
          <w:i/>
        </w:rPr>
        <w:t>Duke ESP Proceeding</w:t>
      </w:r>
      <w:r w:rsidR="00445E3C" w:rsidRPr="00DF0E98">
        <w:t xml:space="preserve"> </w:t>
      </w:r>
      <w:r w:rsidR="00445E3C">
        <w:t>(</w:t>
      </w:r>
      <w:r w:rsidR="00445E3C" w:rsidRPr="00DF0E98">
        <w:t>Application</w:t>
      </w:r>
      <w:r w:rsidR="00445E3C">
        <w:t xml:space="preserve"> at 25-26</w:t>
      </w:r>
      <w:r w:rsidR="00445E3C">
        <w:t>) (Jun.</w:t>
      </w:r>
      <w:r w:rsidR="00445E3C" w:rsidRPr="00DF0E98">
        <w:t xml:space="preserve"> 20, 2011)</w:t>
      </w:r>
      <w:r w:rsidRPr="00DF0E98">
        <w:t xml:space="preserve">. </w:t>
      </w:r>
    </w:p>
  </w:footnote>
  <w:footnote w:id="9">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t xml:space="preserve">Kroger Ex. 4, </w:t>
      </w:r>
      <w:r w:rsidRPr="00DF0E98">
        <w:rPr>
          <w:i/>
        </w:rPr>
        <w:t>Duke ESP Proceeding</w:t>
      </w:r>
      <w:r w:rsidRPr="00DF0E98">
        <w:t xml:space="preserve"> </w:t>
      </w:r>
      <w:r>
        <w:t xml:space="preserve">(Direct </w:t>
      </w:r>
      <w:r w:rsidRPr="00DF0E98">
        <w:t>Testimony</w:t>
      </w:r>
      <w:r>
        <w:t xml:space="preserve"> in Support of Application</w:t>
      </w:r>
      <w:r w:rsidRPr="00DF0E98">
        <w:t xml:space="preserve"> of</w:t>
      </w:r>
      <w:r>
        <w:t xml:space="preserve"> Duke Witness</w:t>
      </w:r>
      <w:r w:rsidRPr="00DF0E98">
        <w:t xml:space="preserve"> Trent at 5-6</w:t>
      </w:r>
      <w:r>
        <w:t>)</w:t>
      </w:r>
      <w:r w:rsidR="00DE374B">
        <w:t xml:space="preserve"> (Jun.</w:t>
      </w:r>
      <w:r w:rsidRPr="00DF0E98">
        <w:t xml:space="preserve"> 20, 2011).</w:t>
      </w:r>
    </w:p>
  </w:footnote>
  <w:footnote w:id="10">
    <w:p w:rsidR="00E106B2" w:rsidRPr="008B7648" w:rsidRDefault="00E106B2">
      <w:pPr>
        <w:pStyle w:val="FootnoteText"/>
        <w:rPr>
          <w:highlight w:val="yellow"/>
        </w:rPr>
      </w:pPr>
      <w:r>
        <w:rPr>
          <w:rStyle w:val="FootnoteReference"/>
        </w:rPr>
        <w:footnoteRef/>
      </w:r>
      <w:r>
        <w:t xml:space="preserve"> </w:t>
      </w:r>
      <w:r>
        <w:tab/>
      </w:r>
      <w:r>
        <w:tab/>
      </w:r>
      <w:r w:rsidRPr="00EC6DC9">
        <w:t xml:space="preserve">Kroger Ex. 5, </w:t>
      </w:r>
      <w:r>
        <w:t>fn.</w:t>
      </w:r>
      <w:r w:rsidRPr="00EC6DC9">
        <w:t xml:space="preserve"> 9, </w:t>
      </w:r>
      <w:r w:rsidRPr="00EC6DC9">
        <w:rPr>
          <w:i/>
        </w:rPr>
        <w:t>Duke ESP Proceeding</w:t>
      </w:r>
      <w:r w:rsidRPr="00EC6DC9">
        <w:t xml:space="preserve"> (Application at 10</w:t>
      </w:r>
      <w:r w:rsidR="00DE374B">
        <w:t>) (Jun.</w:t>
      </w:r>
      <w:r w:rsidRPr="00EC6DC9">
        <w:t xml:space="preserve"> 20, 2011).</w:t>
      </w:r>
    </w:p>
  </w:footnote>
  <w:footnote w:id="11">
    <w:p w:rsidR="00E106B2" w:rsidRPr="008B7648" w:rsidRDefault="00E106B2">
      <w:pPr>
        <w:pStyle w:val="FootnoteText"/>
        <w:rPr>
          <w:highlight w:val="yellow"/>
        </w:rPr>
      </w:pPr>
      <w:r w:rsidRPr="00E3052B">
        <w:rPr>
          <w:rStyle w:val="FootnoteReference"/>
        </w:rPr>
        <w:footnoteRef/>
      </w:r>
      <w:r w:rsidRPr="00E3052B">
        <w:t xml:space="preserve"> </w:t>
      </w:r>
      <w:r w:rsidRPr="00E3052B">
        <w:tab/>
      </w:r>
      <w:r w:rsidRPr="00E3052B">
        <w:tab/>
      </w:r>
      <w:r w:rsidRPr="00E3052B">
        <w:rPr>
          <w:i/>
        </w:rPr>
        <w:t>Id</w:t>
      </w:r>
      <w:r w:rsidRPr="00E3052B">
        <w:t>. at 10.</w:t>
      </w:r>
    </w:p>
  </w:footnote>
  <w:footnote w:id="12">
    <w:p w:rsidR="00E106B2" w:rsidRPr="00E3052B" w:rsidRDefault="00E106B2">
      <w:pPr>
        <w:pStyle w:val="FootnoteText"/>
      </w:pPr>
      <w:r w:rsidRPr="00E3052B">
        <w:rPr>
          <w:rStyle w:val="FootnoteReference"/>
        </w:rPr>
        <w:footnoteRef/>
      </w:r>
      <w:r w:rsidRPr="00E3052B">
        <w:t xml:space="preserve"> </w:t>
      </w:r>
      <w:r w:rsidRPr="00E3052B">
        <w:tab/>
      </w:r>
      <w:r w:rsidRPr="00E3052B">
        <w:tab/>
      </w:r>
      <w:r w:rsidRPr="00E3052B">
        <w:rPr>
          <w:i/>
        </w:rPr>
        <w:t>Id</w:t>
      </w:r>
      <w:r w:rsidRPr="00E3052B">
        <w:t>. at 12, 26.</w:t>
      </w:r>
    </w:p>
  </w:footnote>
  <w:footnote w:id="13">
    <w:p w:rsidR="00E106B2" w:rsidRPr="00E3052B" w:rsidRDefault="00E106B2">
      <w:pPr>
        <w:pStyle w:val="FootnoteText"/>
      </w:pPr>
      <w:r w:rsidRPr="00E3052B">
        <w:rPr>
          <w:rStyle w:val="FootnoteReference"/>
        </w:rPr>
        <w:footnoteRef/>
      </w:r>
      <w:r w:rsidRPr="00E3052B">
        <w:t xml:space="preserve"> </w:t>
      </w:r>
      <w:r w:rsidRPr="00E3052B">
        <w:tab/>
      </w:r>
      <w:r w:rsidRPr="00E3052B">
        <w:tab/>
      </w:r>
      <w:r w:rsidRPr="00E3052B">
        <w:rPr>
          <w:i/>
        </w:rPr>
        <w:t>Id</w:t>
      </w:r>
      <w:r w:rsidRPr="00E3052B">
        <w:t>. at 8-9.</w:t>
      </w:r>
    </w:p>
  </w:footnote>
  <w:footnote w:id="14">
    <w:p w:rsidR="00E106B2" w:rsidRPr="00E3052B" w:rsidRDefault="00E106B2" w:rsidP="00E3052B">
      <w:pPr>
        <w:pStyle w:val="FootnoteText"/>
        <w:rPr>
          <w:highlight w:val="yellow"/>
        </w:rPr>
      </w:pPr>
      <w:r w:rsidRPr="00E3052B">
        <w:rPr>
          <w:rStyle w:val="FootnoteReference"/>
        </w:rPr>
        <w:footnoteRef/>
      </w:r>
      <w:r w:rsidRPr="00E3052B">
        <w:t xml:space="preserve"> </w:t>
      </w:r>
      <w:r w:rsidRPr="00E3052B">
        <w:tab/>
      </w:r>
      <w:r w:rsidRPr="00E3052B">
        <w:tab/>
      </w:r>
      <w:r>
        <w:t>Kroger Ex. 4</w:t>
      </w:r>
      <w:r w:rsidRPr="00EC6DC9">
        <w:t xml:space="preserve">, </w:t>
      </w:r>
      <w:r w:rsidRPr="00EC6DC9">
        <w:rPr>
          <w:i/>
        </w:rPr>
        <w:t>Duke ESP Proceeding</w:t>
      </w:r>
      <w:r w:rsidRPr="00EC6DC9">
        <w:t xml:space="preserve"> (</w:t>
      </w:r>
      <w:r w:rsidRPr="00E3052B">
        <w:t>Direct Testimony</w:t>
      </w:r>
      <w:r>
        <w:t xml:space="preserve"> in Support of the </w:t>
      </w:r>
      <w:r w:rsidRPr="00EC6DC9">
        <w:t>Application</w:t>
      </w:r>
      <w:r>
        <w:t xml:space="preserve"> of Keith Trent at 18</w:t>
      </w:r>
      <w:r w:rsidR="00DE374B">
        <w:t>) (Jun.</w:t>
      </w:r>
      <w:r w:rsidRPr="00EC6DC9">
        <w:t xml:space="preserve"> 20, 2011).</w:t>
      </w:r>
      <w:r>
        <w:rPr>
          <w:highlight w:val="yellow"/>
        </w:rPr>
        <w:t xml:space="preserve"> </w:t>
      </w:r>
      <w:r w:rsidRPr="008B7648">
        <w:rPr>
          <w:highlight w:val="yellow"/>
        </w:rPr>
        <w:t xml:space="preserve"> </w:t>
      </w:r>
    </w:p>
  </w:footnote>
  <w:footnote w:id="15">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t>AEP Ohio and Dominion Retail, Inc. took no position with regard to the Stipulation.  Eagle Energy LLC also did not sign the Stipulation.</w:t>
      </w:r>
    </w:p>
  </w:footnote>
  <w:footnote w:id="16">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t xml:space="preserve">Kroger Ex. 4, </w:t>
      </w:r>
      <w:r w:rsidRPr="00DF0E98">
        <w:rPr>
          <w:i/>
        </w:rPr>
        <w:t>Duke ESP Proceeding</w:t>
      </w:r>
      <w:r w:rsidRPr="00DF0E98">
        <w:t xml:space="preserve"> </w:t>
      </w:r>
      <w:r>
        <w:t>(</w:t>
      </w:r>
      <w:r w:rsidRPr="00DF0E98">
        <w:t>Direct Testimony</w:t>
      </w:r>
      <w:r>
        <w:t xml:space="preserve"> in Support of Application</w:t>
      </w:r>
      <w:r w:rsidRPr="00DF0E98">
        <w:t xml:space="preserve"> of Keith Trent at 6-7</w:t>
      </w:r>
      <w:r>
        <w:t>)</w:t>
      </w:r>
      <w:r w:rsidR="00DE374B">
        <w:t xml:space="preserve"> (Jun.</w:t>
      </w:r>
      <w:r w:rsidRPr="00DF0E98">
        <w:t xml:space="preserve"> 20, 2011).</w:t>
      </w:r>
    </w:p>
  </w:footnote>
  <w:footnote w:id="17">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t xml:space="preserve">IEU Ex. 6, </w:t>
      </w:r>
      <w:r w:rsidRPr="00DF0E98">
        <w:rPr>
          <w:i/>
        </w:rPr>
        <w:t>Duke ESP Proceeding</w:t>
      </w:r>
      <w:r w:rsidRPr="00DF0E98">
        <w:t xml:space="preserve"> </w:t>
      </w:r>
      <w:r>
        <w:t>(Supplemental Testimony of Duke W</w:t>
      </w:r>
      <w:r w:rsidRPr="00DF0E98">
        <w:t>itness Janson at 4-5</w:t>
      </w:r>
      <w:r>
        <w:t>)</w:t>
      </w:r>
      <w:r w:rsidRPr="00DF0E98">
        <w:t xml:space="preserve"> (Oct. 28, 2011).</w:t>
      </w:r>
    </w:p>
  </w:footnote>
  <w:footnote w:id="18">
    <w:p w:rsidR="00E106B2" w:rsidRDefault="00E106B2" w:rsidP="00236570">
      <w:pPr>
        <w:pStyle w:val="FootnoteText"/>
      </w:pPr>
      <w:r>
        <w:rPr>
          <w:rStyle w:val="FootnoteReference"/>
        </w:rPr>
        <w:footnoteRef/>
      </w:r>
      <w:r>
        <w:t xml:space="preserve"> </w:t>
      </w:r>
      <w:r>
        <w:tab/>
      </w:r>
      <w:r>
        <w:tab/>
      </w:r>
      <w:r w:rsidRPr="00FA248B">
        <w:t xml:space="preserve">FES Ex. 23, </w:t>
      </w:r>
      <w:r w:rsidRPr="00FA248B">
        <w:rPr>
          <w:i/>
        </w:rPr>
        <w:t>Duke ESP Proceeding</w:t>
      </w:r>
      <w:r w:rsidRPr="00FA248B">
        <w:t xml:space="preserve"> (S</w:t>
      </w:r>
      <w:r>
        <w:t>upplemental Testimony of Staff Witness Turkenton at 3-4</w:t>
      </w:r>
      <w:r w:rsidRPr="00FA248B">
        <w:t>) (Oct. 28, 2011).</w:t>
      </w:r>
    </w:p>
  </w:footnote>
  <w:footnote w:id="19">
    <w:p w:rsidR="00E106B2" w:rsidRPr="00B665DF" w:rsidRDefault="00E106B2" w:rsidP="00B665DF">
      <w:pPr>
        <w:autoSpaceDE w:val="0"/>
        <w:autoSpaceDN w:val="0"/>
        <w:adjustRightInd w:val="0"/>
        <w:spacing w:after="0" w:line="240" w:lineRule="auto"/>
        <w:ind w:left="720" w:hanging="720"/>
        <w:rPr>
          <w:rFonts w:ascii="Times New Roman" w:hAnsi="Times New Roman" w:cs="Times New Roman"/>
          <w:sz w:val="20"/>
          <w:szCs w:val="20"/>
        </w:rPr>
      </w:pPr>
      <w:r>
        <w:rPr>
          <w:rStyle w:val="FootnoteReference"/>
        </w:rPr>
        <w:footnoteRef/>
      </w:r>
      <w:r>
        <w:t xml:space="preserve"> </w:t>
      </w:r>
      <w:r>
        <w:tab/>
      </w:r>
      <w:r>
        <w:tab/>
      </w:r>
      <w:r w:rsidRPr="00B665DF">
        <w:rPr>
          <w:rFonts w:ascii="Times New Roman" w:hAnsi="Times New Roman" w:cs="Times New Roman"/>
          <w:sz w:val="24"/>
          <w:szCs w:val="24"/>
        </w:rPr>
        <w:t>The Office of the</w:t>
      </w:r>
      <w:r>
        <w:rPr>
          <w:rFonts w:ascii="Times New Roman" w:hAnsi="Times New Roman" w:cs="Times New Roman"/>
          <w:sz w:val="24"/>
          <w:szCs w:val="24"/>
        </w:rPr>
        <w:t xml:space="preserve"> Ohio Consumers' Counsel (OCC)</w:t>
      </w:r>
      <w:r w:rsidRPr="00B665DF">
        <w:rPr>
          <w:rFonts w:ascii="Times New Roman" w:hAnsi="Times New Roman" w:cs="Times New Roman"/>
          <w:sz w:val="24"/>
          <w:szCs w:val="24"/>
        </w:rPr>
        <w:t xml:space="preserve">, FirstEnergy Solutions, and </w:t>
      </w:r>
      <w:r>
        <w:rPr>
          <w:rFonts w:ascii="Times New Roman" w:hAnsi="Times New Roman" w:cs="Times New Roman"/>
          <w:sz w:val="24"/>
          <w:szCs w:val="24"/>
        </w:rPr>
        <w:t xml:space="preserve">the </w:t>
      </w:r>
      <w:r w:rsidRPr="00B665DF">
        <w:rPr>
          <w:rFonts w:ascii="Times New Roman" w:hAnsi="Times New Roman" w:cs="Times New Roman"/>
          <w:sz w:val="24"/>
          <w:szCs w:val="24"/>
        </w:rPr>
        <w:t xml:space="preserve">Ohio Manufacturer's </w:t>
      </w:r>
      <w:r>
        <w:rPr>
          <w:rFonts w:ascii="Times New Roman" w:hAnsi="Times New Roman" w:cs="Times New Roman"/>
          <w:sz w:val="24"/>
          <w:szCs w:val="24"/>
        </w:rPr>
        <w:t>Association (OMA) took</w:t>
      </w:r>
      <w:r w:rsidRPr="00B665DF">
        <w:rPr>
          <w:rFonts w:ascii="Times New Roman" w:hAnsi="Times New Roman" w:cs="Times New Roman"/>
          <w:sz w:val="24"/>
          <w:szCs w:val="24"/>
        </w:rPr>
        <w:t xml:space="preserve"> no position regarding Section VII.</w:t>
      </w:r>
      <w:r>
        <w:rPr>
          <w:rFonts w:ascii="Times New Roman" w:hAnsi="Times New Roman" w:cs="Times New Roman"/>
          <w:sz w:val="24"/>
          <w:szCs w:val="24"/>
        </w:rPr>
        <w:t>A. of the ESP Stipulation</w:t>
      </w:r>
      <w:r w:rsidRPr="00B665DF">
        <w:rPr>
          <w:rFonts w:ascii="Times New Roman" w:hAnsi="Times New Roman" w:cs="Times New Roman"/>
          <w:sz w:val="24"/>
          <w:szCs w:val="24"/>
        </w:rPr>
        <w:t>.</w:t>
      </w:r>
    </w:p>
  </w:footnote>
  <w:footnote w:id="20">
    <w:p w:rsidR="00E106B2" w:rsidRPr="00DF0E98" w:rsidRDefault="00E106B2" w:rsidP="00397DA1">
      <w:pPr>
        <w:pStyle w:val="FootnoteText"/>
      </w:pPr>
      <w:r w:rsidRPr="00DF0E98">
        <w:rPr>
          <w:rStyle w:val="FootnoteReference"/>
          <w:rFonts w:cs="Times New Roman"/>
        </w:rPr>
        <w:footnoteRef/>
      </w:r>
      <w:r w:rsidRPr="00DF0E98">
        <w:t xml:space="preserve"> </w:t>
      </w:r>
      <w:r w:rsidRPr="00DF0E98">
        <w:tab/>
      </w:r>
      <w:r w:rsidRPr="00DF0E98">
        <w:tab/>
      </w:r>
      <w:r w:rsidRPr="00FA248B">
        <w:t xml:space="preserve">FES Ex. 23, </w:t>
      </w:r>
      <w:r w:rsidRPr="00FA248B">
        <w:rPr>
          <w:i/>
        </w:rPr>
        <w:t>Duke ESP Proceeding</w:t>
      </w:r>
      <w:r w:rsidRPr="00FA248B">
        <w:t xml:space="preserve"> (S</w:t>
      </w:r>
      <w:r>
        <w:t>upplemental Testimony of Staff Witness Turkenton at 14</w:t>
      </w:r>
      <w:r w:rsidRPr="00FA248B">
        <w:t>) (Oct. 28, 2011).</w:t>
      </w:r>
    </w:p>
  </w:footnote>
  <w:footnote w:id="21">
    <w:p w:rsidR="00E106B2" w:rsidRDefault="00E106B2">
      <w:pPr>
        <w:pStyle w:val="FootnoteText"/>
      </w:pPr>
      <w:r>
        <w:rPr>
          <w:rStyle w:val="FootnoteReference"/>
        </w:rPr>
        <w:footnoteRef/>
      </w:r>
      <w:r>
        <w:t xml:space="preserve"> </w:t>
      </w:r>
      <w:r>
        <w:tab/>
      </w:r>
      <w:r>
        <w:tab/>
        <w:t>Tr. II at 387-389, 400-401.</w:t>
      </w:r>
    </w:p>
  </w:footnote>
  <w:footnote w:id="22">
    <w:p w:rsidR="00E106B2" w:rsidRDefault="00E106B2">
      <w:pPr>
        <w:pStyle w:val="FootnoteText"/>
      </w:pPr>
      <w:r>
        <w:rPr>
          <w:rStyle w:val="FootnoteReference"/>
        </w:rPr>
        <w:footnoteRef/>
      </w:r>
      <w:r>
        <w:t xml:space="preserve"> </w:t>
      </w:r>
      <w:r>
        <w:tab/>
      </w:r>
      <w:r>
        <w:tab/>
        <w:t>Tr. VI at 1431.</w:t>
      </w:r>
    </w:p>
  </w:footnote>
  <w:footnote w:id="23">
    <w:p w:rsidR="00E106B2" w:rsidRDefault="00E106B2">
      <w:pPr>
        <w:pStyle w:val="FootnoteText"/>
      </w:pPr>
      <w:r>
        <w:rPr>
          <w:rStyle w:val="FootnoteReference"/>
        </w:rPr>
        <w:footnoteRef/>
      </w:r>
      <w:r>
        <w:t xml:space="preserve"> </w:t>
      </w:r>
      <w:r>
        <w:tab/>
      </w:r>
      <w:r>
        <w:tab/>
        <w:t>Tr. II at 397-398, 407.</w:t>
      </w:r>
    </w:p>
  </w:footnote>
  <w:footnote w:id="24">
    <w:p w:rsidR="00E106B2" w:rsidRDefault="00E106B2">
      <w:pPr>
        <w:pStyle w:val="FootnoteText"/>
      </w:pPr>
      <w:r>
        <w:rPr>
          <w:rStyle w:val="FootnoteReference"/>
        </w:rPr>
        <w:footnoteRef/>
      </w:r>
      <w:r>
        <w:t xml:space="preserve"> </w:t>
      </w:r>
      <w:r>
        <w:tab/>
      </w:r>
      <w:r>
        <w:tab/>
      </w:r>
      <w:r w:rsidRPr="004E761E">
        <w:rPr>
          <w:i/>
        </w:rPr>
        <w:t>Id.</w:t>
      </w:r>
      <w:r>
        <w:t xml:space="preserve"> at 399.</w:t>
      </w:r>
    </w:p>
  </w:footnote>
  <w:footnote w:id="25">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rPr>
        <w:t>Duke ESP Proceeding</w:t>
      </w:r>
      <w:r w:rsidRPr="00DF0E98">
        <w:t xml:space="preserve"> </w:t>
      </w:r>
      <w:r>
        <w:t>(</w:t>
      </w:r>
      <w:r w:rsidRPr="00DF0E98">
        <w:t>Opinion and Order at 47-48</w:t>
      </w:r>
      <w:r>
        <w:t>)</w:t>
      </w:r>
      <w:r w:rsidRPr="00DF0E98">
        <w:t xml:space="preserve"> (Nov. 22, 2011).</w:t>
      </w:r>
    </w:p>
  </w:footnote>
  <w:footnote w:id="26">
    <w:p w:rsidR="00E106B2" w:rsidRPr="00DF0E98" w:rsidRDefault="00E106B2" w:rsidP="00236570">
      <w:pPr>
        <w:pStyle w:val="FootnoteText"/>
      </w:pPr>
      <w:r w:rsidRPr="00DF0E98">
        <w:rPr>
          <w:rStyle w:val="FootnoteReference"/>
          <w:rFonts w:cs="Times New Roman"/>
        </w:rPr>
        <w:footnoteRef/>
      </w:r>
      <w:r w:rsidRPr="00DF0E98">
        <w:tab/>
        <w:t xml:space="preserve"> </w:t>
      </w:r>
      <w:r w:rsidRPr="00DF0E98">
        <w:tab/>
      </w:r>
      <w:r w:rsidRPr="00734642">
        <w:rPr>
          <w:i/>
        </w:rPr>
        <w:t>See, In the Matter of the Procurement of Standard Service Offer Generation for Customers of Duke Energy Ohio, Inc.</w:t>
      </w:r>
      <w:r w:rsidRPr="00DF0E98">
        <w:t>, Case No. 11-6000-EL-UNC.</w:t>
      </w:r>
    </w:p>
  </w:footnote>
  <w:footnote w:id="27">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t xml:space="preserve">Duke Ex. 15, </w:t>
      </w:r>
      <w:r w:rsidRPr="00734642">
        <w:rPr>
          <w:i/>
        </w:rPr>
        <w:t>In the Matter of the Application of Duke Energy Ohio, Inc. for Approval of the Establishment of Rider BTR and Rider RTO and Associated Tariffs</w:t>
      </w:r>
      <w:r w:rsidRPr="00DF0E98">
        <w:t>, Case Nos. 11-2641</w:t>
      </w:r>
      <w:r>
        <w:t>-EL-RDR</w:t>
      </w:r>
      <w:r w:rsidRPr="00DF0E98">
        <w:t xml:space="preserve">, </w:t>
      </w:r>
      <w:r w:rsidRPr="006515BB">
        <w:rPr>
          <w:i/>
        </w:rPr>
        <w:t>et al</w:t>
      </w:r>
      <w:r w:rsidRPr="00DF0E98">
        <w:t>.</w:t>
      </w:r>
      <w:r>
        <w:t xml:space="preserve"> (“</w:t>
      </w:r>
      <w:r w:rsidRPr="00A33926">
        <w:t>Duke’s MISO/PJM Transfer Case</w:t>
      </w:r>
      <w:r>
        <w:t>”</w:t>
      </w:r>
      <w:r>
        <w:rPr>
          <w:i/>
        </w:rPr>
        <w:t>)</w:t>
      </w:r>
      <w:r w:rsidRPr="00DF0E98">
        <w:t xml:space="preserve"> </w:t>
      </w:r>
      <w:r>
        <w:t>(</w:t>
      </w:r>
      <w:r w:rsidRPr="00DF0E98">
        <w:t>Stipulation at ¶</w:t>
      </w:r>
      <w:r>
        <w:t> </w:t>
      </w:r>
      <w:r w:rsidRPr="00DF0E98">
        <w:t>20</w:t>
      </w:r>
      <w:r>
        <w:t>)</w:t>
      </w:r>
      <w:r w:rsidRPr="00DF0E98">
        <w:t xml:space="preserve"> (Apr. 26, 2012).</w:t>
      </w:r>
    </w:p>
  </w:footnote>
  <w:footnote w:id="28">
    <w:p w:rsidR="00E106B2" w:rsidRPr="00DF0E98" w:rsidRDefault="00E106B2" w:rsidP="00236570">
      <w:pPr>
        <w:pStyle w:val="FootnoteText"/>
      </w:pPr>
      <w:r w:rsidRPr="00DF0E98">
        <w:rPr>
          <w:rStyle w:val="FootnoteReference"/>
          <w:rFonts w:cs="Times New Roman"/>
        </w:rPr>
        <w:footnoteRef/>
      </w:r>
      <w:r w:rsidRPr="00DF0E98">
        <w:tab/>
        <w:t xml:space="preserve"> </w:t>
      </w:r>
      <w:r w:rsidRPr="00DF0E98">
        <w:tab/>
      </w:r>
      <w:r>
        <w:rPr>
          <w:i/>
        </w:rPr>
        <w:t>Duke’s MISO/PJM Transfer Case</w:t>
      </w:r>
      <w:r>
        <w:t xml:space="preserve"> (</w:t>
      </w:r>
      <w:r w:rsidRPr="00DF0E98">
        <w:t>Opinion and Order at 14-16</w:t>
      </w:r>
      <w:r>
        <w:t>)</w:t>
      </w:r>
      <w:r w:rsidRPr="00DF0E98">
        <w:t xml:space="preserve"> (May 25, 2011).</w:t>
      </w:r>
    </w:p>
  </w:footnote>
  <w:footnote w:id="29">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iCs/>
        </w:rPr>
        <w:t>American Electric Power Service Corporation</w:t>
      </w:r>
      <w:r>
        <w:t>, FERC Docket No. ER11-2183</w:t>
      </w:r>
      <w:r w:rsidRPr="00DF0E98">
        <w:t xml:space="preserve"> </w:t>
      </w:r>
      <w:r>
        <w:t>(</w:t>
      </w:r>
      <w:r w:rsidRPr="00DF0E98">
        <w:t>Application</w:t>
      </w:r>
      <w:r>
        <w:t>)</w:t>
      </w:r>
      <w:r w:rsidRPr="00DF0E98">
        <w:t xml:space="preserve"> (Nov. 24, 2010).</w:t>
      </w:r>
    </w:p>
  </w:footnote>
  <w:footnote w:id="30">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rPr>
        <w:t>Id</w:t>
      </w:r>
      <w:r>
        <w:t>.</w:t>
      </w:r>
      <w:r w:rsidRPr="00DF0E98">
        <w:t xml:space="preserve"> </w:t>
      </w:r>
      <w:r>
        <w:t>(</w:t>
      </w:r>
      <w:r w:rsidRPr="00DF0E98">
        <w:t>Duke Motion to Intervene</w:t>
      </w:r>
      <w:r>
        <w:t>)</w:t>
      </w:r>
      <w:r w:rsidRPr="00DF0E98">
        <w:t xml:space="preserve"> (Dec. 10, 2010).</w:t>
      </w:r>
    </w:p>
  </w:footnote>
  <w:footnote w:id="31">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734642">
        <w:rPr>
          <w:i/>
        </w:rPr>
        <w:t>In the Matter of the Commission Review of the Capacity Charges of Ohio Power Company and Columbus Southern Power Company</w:t>
      </w:r>
      <w:r>
        <w:t>, Case No. 10-2929-EL-UNC</w:t>
      </w:r>
      <w:r w:rsidRPr="00DF0E98">
        <w:t xml:space="preserve"> </w:t>
      </w:r>
      <w:r>
        <w:t>(</w:t>
      </w:r>
      <w:r w:rsidRPr="00DF0E98">
        <w:t>Entry</w:t>
      </w:r>
      <w:r>
        <w:t>)</w:t>
      </w:r>
      <w:r w:rsidRPr="00DF0E98">
        <w:t xml:space="preserve"> (Dec. 8, 2010)</w:t>
      </w:r>
      <w:r>
        <w:t xml:space="preserve"> (“AEP Capacity Proceeding”)</w:t>
      </w:r>
      <w:r w:rsidRPr="00DF0E98">
        <w:t>.</w:t>
      </w:r>
    </w:p>
  </w:footnote>
  <w:footnote w:id="32">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iCs/>
        </w:rPr>
        <w:t>American Electric Power Service Corporation</w:t>
      </w:r>
      <w:r>
        <w:t>, FERC Docket No. ER11-2183</w:t>
      </w:r>
      <w:r w:rsidRPr="00DF0E98">
        <w:t xml:space="preserve"> </w:t>
      </w:r>
      <w:r>
        <w:t>(</w:t>
      </w:r>
      <w:r w:rsidRPr="00DF0E98">
        <w:t>Duke Motion to Intervene</w:t>
      </w:r>
      <w:r>
        <w:t>)</w:t>
      </w:r>
      <w:r w:rsidRPr="00DF0E98">
        <w:t xml:space="preserve"> (Jan. 11, 2011).</w:t>
      </w:r>
    </w:p>
  </w:footnote>
  <w:footnote w:id="33">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Pr>
          <w:i/>
          <w:iCs/>
        </w:rPr>
        <w:t>Id</w:t>
      </w:r>
      <w:r>
        <w:rPr>
          <w:iCs/>
        </w:rPr>
        <w:t>.</w:t>
      </w:r>
      <w:r>
        <w:t xml:space="preserve"> (</w:t>
      </w:r>
      <w:r w:rsidRPr="00DF0E98">
        <w:t>Order Rejecting Formula Rate Proposal</w:t>
      </w:r>
      <w:r>
        <w:t>)</w:t>
      </w:r>
      <w:r w:rsidRPr="00DF0E98">
        <w:t>, 134 FERC ¶61,039 (2011).</w:t>
      </w:r>
    </w:p>
  </w:footnote>
  <w:footnote w:id="34">
    <w:p w:rsidR="00E106B2" w:rsidRPr="00DF0E98" w:rsidRDefault="00E106B2" w:rsidP="00236570">
      <w:pPr>
        <w:pStyle w:val="FootnoteText"/>
      </w:pPr>
      <w:r w:rsidRPr="00DF0E98">
        <w:rPr>
          <w:rStyle w:val="FootnoteReference"/>
          <w:rFonts w:cs="Times New Roman"/>
        </w:rPr>
        <w:footnoteRef/>
      </w:r>
      <w:r w:rsidRPr="00DF0E98">
        <w:t xml:space="preserve"> </w:t>
      </w:r>
      <w:r w:rsidRPr="00DF0E98">
        <w:rPr>
          <w:i/>
        </w:rPr>
        <w:tab/>
      </w:r>
      <w:r w:rsidRPr="00DF0E98">
        <w:rPr>
          <w:i/>
        </w:rPr>
        <w:tab/>
        <w:t>Id</w:t>
      </w:r>
      <w:r w:rsidRPr="00DF0E98">
        <w:t>.</w:t>
      </w:r>
      <w:r>
        <w:t xml:space="preserve"> (Request for Rehearing of AEPSC) </w:t>
      </w:r>
      <w:r w:rsidRPr="00DF0E98">
        <w:t>(Feb. 22, 2011).</w:t>
      </w:r>
    </w:p>
  </w:footnote>
  <w:footnote w:id="35">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734642">
        <w:rPr>
          <w:i/>
        </w:rPr>
        <w:t>American Electric Power Service Corporation v. PJM Interconnection</w:t>
      </w:r>
      <w:r w:rsidRPr="00DF0E98">
        <w:t>,</w:t>
      </w:r>
      <w:r>
        <w:t xml:space="preserve"> FERC Docket No. EL11-32-000</w:t>
      </w:r>
      <w:r w:rsidRPr="00DF0E98">
        <w:t xml:space="preserve"> </w:t>
      </w:r>
      <w:r>
        <w:t>(</w:t>
      </w:r>
      <w:r w:rsidRPr="00DF0E98">
        <w:t>Com</w:t>
      </w:r>
      <w:r w:rsidRPr="00DF0E98">
        <w:softHyphen/>
        <w:t>plaint</w:t>
      </w:r>
      <w:r>
        <w:t>)</w:t>
      </w:r>
      <w:r w:rsidRPr="00DF0E98">
        <w:t xml:space="preserve"> (Apr. 4, 2011). </w:t>
      </w:r>
    </w:p>
  </w:footnote>
  <w:footnote w:id="36">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t xml:space="preserve">OCC Ex. 1, </w:t>
      </w:r>
      <w:r>
        <w:rPr>
          <w:i/>
        </w:rPr>
        <w:t>AEP Capacity Case</w:t>
      </w:r>
      <w:r w:rsidRPr="00DF0E98">
        <w:t xml:space="preserve"> </w:t>
      </w:r>
      <w:r>
        <w:t>(</w:t>
      </w:r>
      <w:r w:rsidRPr="00DF0E98">
        <w:t>Opinion and Order</w:t>
      </w:r>
      <w:r>
        <w:t>)</w:t>
      </w:r>
      <w:r w:rsidR="00DE374B">
        <w:t xml:space="preserve"> (Jul.</w:t>
      </w:r>
      <w:r w:rsidRPr="00DF0E98">
        <w:t xml:space="preserve"> 2, 2012).</w:t>
      </w:r>
    </w:p>
  </w:footnote>
  <w:footnote w:id="37">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rPr>
        <w:t>Id</w:t>
      </w:r>
      <w:r w:rsidRPr="00DF0E98">
        <w:t>. at 35.</w:t>
      </w:r>
    </w:p>
  </w:footnote>
  <w:footnote w:id="38">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rPr>
        <w:t>Id</w:t>
      </w:r>
      <w:r w:rsidRPr="00DF0E98">
        <w:t>. at 23.</w:t>
      </w:r>
    </w:p>
  </w:footnote>
  <w:footnote w:id="39">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rPr>
        <w:t>Id</w:t>
      </w:r>
      <w:r w:rsidRPr="00DF0E98">
        <w:t xml:space="preserve">. at 23-24. </w:t>
      </w:r>
    </w:p>
  </w:footnote>
  <w:footnote w:id="40">
    <w:p w:rsidR="00E106B2" w:rsidRDefault="00E106B2">
      <w:pPr>
        <w:pStyle w:val="FootnoteText"/>
      </w:pPr>
      <w:r>
        <w:rPr>
          <w:rStyle w:val="FootnoteReference"/>
        </w:rPr>
        <w:footnoteRef/>
      </w:r>
      <w:r>
        <w:t xml:space="preserve"> </w:t>
      </w:r>
      <w:r>
        <w:tab/>
      </w:r>
      <w:r>
        <w:tab/>
        <w:t>Tr. II at 373.</w:t>
      </w:r>
    </w:p>
  </w:footnote>
  <w:footnote w:id="41">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734642">
        <w:rPr>
          <w:i/>
        </w:rPr>
        <w:t>In the Matter of the Application of Columbus Southern Power Company and Ohio Power Com</w:t>
      </w:r>
      <w:r w:rsidRPr="00734642">
        <w:rPr>
          <w:i/>
        </w:rPr>
        <w:softHyphen/>
        <w:t>pany for Authority to Establish a Standard Service Offer Pursuant to Section 4928.143, Revised Code, in the form of an Electric Security Plan</w:t>
      </w:r>
      <w:r w:rsidRPr="00DF0E98">
        <w:t>,</w:t>
      </w:r>
      <w:r>
        <w:t xml:space="preserve"> Case Nos. 11-346-EL-SSO, </w:t>
      </w:r>
      <w:r w:rsidRPr="001228C2">
        <w:rPr>
          <w:i/>
        </w:rPr>
        <w:t>et al</w:t>
      </w:r>
      <w:r>
        <w:t>.</w:t>
      </w:r>
      <w:r w:rsidRPr="00DF0E98">
        <w:t xml:space="preserve"> </w:t>
      </w:r>
      <w:r>
        <w:t>(</w:t>
      </w:r>
      <w:r w:rsidRPr="00DF0E98">
        <w:t>Opinion and Order at 36</w:t>
      </w:r>
      <w:r>
        <w:t>)</w:t>
      </w:r>
      <w:r w:rsidRPr="00DF0E98">
        <w:t xml:space="preserve"> (Aug. 8, 2012).</w:t>
      </w:r>
    </w:p>
  </w:footnote>
  <w:footnote w:id="42">
    <w:p w:rsidR="00E106B2" w:rsidRPr="00DF0E98" w:rsidRDefault="00E106B2" w:rsidP="00236570">
      <w:pPr>
        <w:pStyle w:val="FootnoteText"/>
        <w:rPr>
          <w:iCs/>
        </w:rPr>
      </w:pPr>
      <w:r w:rsidRPr="00DF0E98">
        <w:rPr>
          <w:rStyle w:val="FootnoteReference"/>
          <w:rFonts w:cs="Times New Roman"/>
        </w:rPr>
        <w:footnoteRef/>
      </w:r>
      <w:r w:rsidRPr="00DF0E98">
        <w:t xml:space="preserve"> </w:t>
      </w:r>
      <w:r w:rsidRPr="00DF0E98">
        <w:tab/>
      </w:r>
      <w:r w:rsidRPr="00DF0E98">
        <w:tab/>
      </w:r>
      <w:r>
        <w:rPr>
          <w:i/>
        </w:rPr>
        <w:t xml:space="preserve">Duke’s MISO/PJM Transfer Case </w:t>
      </w:r>
      <w:r>
        <w:t>(Opinion and Order)</w:t>
      </w:r>
      <w:r w:rsidRPr="00DF0E98">
        <w:t xml:space="preserve"> (May 25, 2011).</w:t>
      </w:r>
    </w:p>
  </w:footnote>
  <w:footnote w:id="43">
    <w:p w:rsidR="00E106B2" w:rsidRPr="009A219A" w:rsidRDefault="00E106B2" w:rsidP="00AB5A91">
      <w:pPr>
        <w:pStyle w:val="FootnoteText"/>
      </w:pPr>
      <w:r w:rsidRPr="009A219A">
        <w:rPr>
          <w:rStyle w:val="FootnoteReference"/>
        </w:rPr>
        <w:footnoteRef/>
      </w:r>
      <w:r w:rsidRPr="009A219A">
        <w:t xml:space="preserve"> </w:t>
      </w:r>
      <w:r w:rsidRPr="009A219A">
        <w:tab/>
      </w:r>
      <w:r w:rsidRPr="009A219A">
        <w:tab/>
      </w:r>
      <w:r>
        <w:t xml:space="preserve">IEU Ex. 5, </w:t>
      </w:r>
      <w:r>
        <w:rPr>
          <w:i/>
        </w:rPr>
        <w:t xml:space="preserve">Duke ESP Proceeding, </w:t>
      </w:r>
      <w:r>
        <w:t>(</w:t>
      </w:r>
      <w:r w:rsidRPr="00DF0E98">
        <w:t>Stipula</w:t>
      </w:r>
      <w:r w:rsidRPr="00DF0E98">
        <w:softHyphen/>
        <w:t>tion and Recommendation</w:t>
      </w:r>
      <w:r>
        <w:t xml:space="preserve"> at 7)</w:t>
      </w:r>
      <w:r w:rsidRPr="00DF0E98">
        <w:t xml:space="preserve"> (Oct.</w:t>
      </w:r>
      <w:r w:rsidR="00DE374B">
        <w:t> </w:t>
      </w:r>
      <w:r w:rsidRPr="00DF0E98">
        <w:t>24, 2011)</w:t>
      </w:r>
      <w:r w:rsidRPr="009A219A">
        <w:t>.</w:t>
      </w:r>
    </w:p>
  </w:footnote>
  <w:footnote w:id="44">
    <w:p w:rsidR="00E106B2" w:rsidRPr="00236570" w:rsidRDefault="00E106B2" w:rsidP="00AB5A91">
      <w:pPr>
        <w:pStyle w:val="FootnoteText"/>
      </w:pPr>
      <w:r w:rsidRPr="00236570">
        <w:rPr>
          <w:rStyle w:val="FootnoteReference"/>
        </w:rPr>
        <w:footnoteRef/>
      </w:r>
      <w:r w:rsidRPr="00236570">
        <w:t xml:space="preserve"> </w:t>
      </w:r>
      <w:r w:rsidRPr="00236570">
        <w:tab/>
      </w:r>
      <w:r w:rsidRPr="00236570">
        <w:tab/>
      </w:r>
      <w:r w:rsidR="00445E3C">
        <w:t xml:space="preserve">IEU Ex. 5, </w:t>
      </w:r>
      <w:r w:rsidR="00445E3C">
        <w:rPr>
          <w:i/>
        </w:rPr>
        <w:t xml:space="preserve">Duke ESP Proceeding, </w:t>
      </w:r>
      <w:r w:rsidR="00445E3C">
        <w:t>(</w:t>
      </w:r>
      <w:r w:rsidR="00445E3C" w:rsidRPr="00DF0E98">
        <w:t>Stipula</w:t>
      </w:r>
      <w:r w:rsidR="00445E3C" w:rsidRPr="00DF0E98">
        <w:softHyphen/>
        <w:t>tion and Recommendation</w:t>
      </w:r>
      <w:r w:rsidR="00445E3C">
        <w:t xml:space="preserve"> at </w:t>
      </w:r>
      <w:r w:rsidR="00445E3C">
        <w:t>12</w:t>
      </w:r>
      <w:r w:rsidR="00445E3C">
        <w:t>)</w:t>
      </w:r>
      <w:r w:rsidR="00445E3C" w:rsidRPr="00DF0E98">
        <w:t xml:space="preserve"> (Oct.</w:t>
      </w:r>
      <w:r w:rsidR="00445E3C">
        <w:t> </w:t>
      </w:r>
      <w:r w:rsidR="00445E3C" w:rsidRPr="00DF0E98">
        <w:t>24, 2011</w:t>
      </w:r>
      <w:proofErr w:type="gramStart"/>
      <w:r w:rsidR="00445E3C" w:rsidRPr="00DF0E98">
        <w:t>)</w:t>
      </w:r>
      <w:r w:rsidR="00445E3C">
        <w:t xml:space="preserve"> </w:t>
      </w:r>
      <w:r>
        <w:t xml:space="preserve"> (</w:t>
      </w:r>
      <w:proofErr w:type="gramEnd"/>
      <w:r>
        <w:t>as amended)</w:t>
      </w:r>
      <w:r w:rsidRPr="00236570">
        <w:t>.</w:t>
      </w:r>
    </w:p>
  </w:footnote>
  <w:footnote w:id="45">
    <w:p w:rsidR="00E106B2" w:rsidRPr="00DF0E98" w:rsidRDefault="00E106B2" w:rsidP="00AB5A91">
      <w:pPr>
        <w:pStyle w:val="FootnoteText"/>
      </w:pPr>
      <w:r w:rsidRPr="00DF0E98">
        <w:rPr>
          <w:rStyle w:val="FootnoteReference"/>
          <w:rFonts w:cs="Times New Roman"/>
        </w:rPr>
        <w:footnoteRef/>
      </w:r>
      <w:r w:rsidRPr="00DF0E98">
        <w:t xml:space="preserve"> </w:t>
      </w:r>
      <w:r w:rsidRPr="00DF0E98">
        <w:tab/>
      </w:r>
      <w:r w:rsidRPr="00DF0E98">
        <w:tab/>
      </w:r>
      <w:r>
        <w:t xml:space="preserve">IEU Ex. 6, </w:t>
      </w:r>
      <w:r w:rsidRPr="00DF0E98">
        <w:rPr>
          <w:i/>
        </w:rPr>
        <w:t>Duke ESP Proceeding</w:t>
      </w:r>
      <w:r w:rsidRPr="00DF0E98">
        <w:t xml:space="preserve"> </w:t>
      </w:r>
      <w:r>
        <w:t>(Supplemental Testimony of Duke W</w:t>
      </w:r>
      <w:r w:rsidRPr="00DF0E98">
        <w:t>itness Janson at 4-5</w:t>
      </w:r>
      <w:r>
        <w:t>)</w:t>
      </w:r>
      <w:r w:rsidRPr="00DF0E98">
        <w:t xml:space="preserve"> (Oct. 28, 2011)</w:t>
      </w:r>
      <w:r>
        <w:t>; Tr. II at 304</w:t>
      </w:r>
      <w:r w:rsidRPr="00DF0E98">
        <w:t>.</w:t>
      </w:r>
    </w:p>
  </w:footnote>
  <w:footnote w:id="46">
    <w:p w:rsidR="00E106B2" w:rsidRDefault="00E106B2">
      <w:pPr>
        <w:pStyle w:val="FootnoteText"/>
      </w:pPr>
      <w:r>
        <w:rPr>
          <w:rStyle w:val="FootnoteReference"/>
        </w:rPr>
        <w:footnoteRef/>
      </w:r>
      <w:r>
        <w:t xml:space="preserve"> </w:t>
      </w:r>
      <w:r>
        <w:tab/>
      </w:r>
      <w:r>
        <w:tab/>
        <w:t>Tr. II at 305, 330-331.</w:t>
      </w:r>
    </w:p>
  </w:footnote>
  <w:footnote w:id="47">
    <w:p w:rsidR="00E106B2" w:rsidRDefault="00E106B2" w:rsidP="00AB5A91">
      <w:pPr>
        <w:pStyle w:val="FootnoteText"/>
      </w:pPr>
      <w:r>
        <w:rPr>
          <w:rStyle w:val="FootnoteReference"/>
        </w:rPr>
        <w:footnoteRef/>
      </w:r>
      <w:r>
        <w:t xml:space="preserve"> </w:t>
      </w:r>
      <w:r>
        <w:tab/>
      </w:r>
      <w:r>
        <w:tab/>
      </w:r>
      <w:r w:rsidRPr="00FA248B">
        <w:t xml:space="preserve">FES Ex. 23, </w:t>
      </w:r>
      <w:r w:rsidRPr="00FA248B">
        <w:rPr>
          <w:i/>
        </w:rPr>
        <w:t>Duke ESP Proceeding</w:t>
      </w:r>
      <w:r w:rsidRPr="00FA248B">
        <w:t xml:space="preserve"> (S</w:t>
      </w:r>
      <w:r>
        <w:t>upplemental Testimony of Staff Witness Turkenton at 3-4</w:t>
      </w:r>
      <w:r w:rsidRPr="00FA248B">
        <w:t>) (Oct. 28, 2011).</w:t>
      </w:r>
    </w:p>
  </w:footnote>
  <w:footnote w:id="48">
    <w:p w:rsidR="00E106B2" w:rsidRDefault="00E106B2">
      <w:pPr>
        <w:pStyle w:val="FootnoteText"/>
      </w:pPr>
      <w:r>
        <w:rPr>
          <w:rStyle w:val="FootnoteReference"/>
        </w:rPr>
        <w:footnoteRef/>
      </w:r>
      <w:r>
        <w:t xml:space="preserve"> </w:t>
      </w:r>
      <w:r>
        <w:tab/>
      </w:r>
      <w:r>
        <w:tab/>
        <w:t xml:space="preserve">GCHC Ex. 1 (Administrative Notice taken at Tr. VI at 1339), </w:t>
      </w:r>
      <w:r>
        <w:rPr>
          <w:i/>
        </w:rPr>
        <w:t xml:space="preserve">Duke ESP Proceeding, </w:t>
      </w:r>
      <w:r>
        <w:t>Tr. I at 6 (Nov</w:t>
      </w:r>
      <w:r w:rsidR="00DE374B">
        <w:t>.</w:t>
      </w:r>
      <w:r>
        <w:t xml:space="preserve"> 11, 2011).</w:t>
      </w:r>
    </w:p>
  </w:footnote>
  <w:footnote w:id="49">
    <w:p w:rsidR="00E106B2" w:rsidRPr="00E106B2" w:rsidRDefault="00E106B2">
      <w:pPr>
        <w:pStyle w:val="FootnoteText"/>
      </w:pPr>
      <w:r>
        <w:rPr>
          <w:rStyle w:val="FootnoteReference"/>
        </w:rPr>
        <w:footnoteRef/>
      </w:r>
      <w:r>
        <w:t xml:space="preserve"> </w:t>
      </w:r>
      <w:r>
        <w:tab/>
      </w:r>
      <w:r w:rsidRPr="00E106B2">
        <w:tab/>
        <w:t xml:space="preserve">Kroger Ex. 1 at 9 </w:t>
      </w:r>
      <w:r w:rsidRPr="00E106B2">
        <w:rPr>
          <w:i/>
        </w:rPr>
        <w:t>Direct Testimony of Kevin C. Higgins</w:t>
      </w:r>
      <w:r w:rsidRPr="00E106B2">
        <w:t xml:space="preserve"> (Ma</w:t>
      </w:r>
      <w:r>
        <w:t>r.</w:t>
      </w:r>
      <w:r w:rsidRPr="00E106B2">
        <w:t xml:space="preserve"> 26, 2013).</w:t>
      </w:r>
    </w:p>
  </w:footnote>
  <w:footnote w:id="50">
    <w:p w:rsidR="00E106B2" w:rsidRPr="0074399D" w:rsidRDefault="00E106B2">
      <w:pPr>
        <w:pStyle w:val="FootnoteText"/>
        <w:rPr>
          <w:i/>
        </w:rPr>
      </w:pPr>
      <w:r>
        <w:rPr>
          <w:rStyle w:val="FootnoteReference"/>
        </w:rPr>
        <w:footnoteRef/>
      </w:r>
      <w:r>
        <w:t xml:space="preserve"> </w:t>
      </w:r>
      <w:r>
        <w:tab/>
      </w:r>
      <w:r>
        <w:tab/>
      </w:r>
      <w:r>
        <w:rPr>
          <w:i/>
        </w:rPr>
        <w:t>Id.</w:t>
      </w:r>
    </w:p>
  </w:footnote>
  <w:footnote w:id="51">
    <w:p w:rsidR="00E106B2" w:rsidRPr="0074399D" w:rsidRDefault="00E106B2">
      <w:pPr>
        <w:pStyle w:val="FootnoteText"/>
      </w:pPr>
      <w:r>
        <w:rPr>
          <w:rStyle w:val="FootnoteReference"/>
        </w:rPr>
        <w:footnoteRef/>
      </w:r>
      <w:r>
        <w:t xml:space="preserve"> </w:t>
      </w:r>
      <w:r>
        <w:tab/>
      </w:r>
      <w:r>
        <w:tab/>
        <w:t xml:space="preserve">Duke Ex. 2 at 5, </w:t>
      </w:r>
      <w:r>
        <w:rPr>
          <w:i/>
        </w:rPr>
        <w:t xml:space="preserve">Direct Testimony of B. Keith Trent </w:t>
      </w:r>
      <w:r>
        <w:t>(Mar. 1, 2013).</w:t>
      </w:r>
    </w:p>
  </w:footnote>
  <w:footnote w:id="52">
    <w:p w:rsidR="00E106B2" w:rsidRDefault="00E106B2" w:rsidP="00CE23C7">
      <w:pPr>
        <w:pStyle w:val="FootnoteText"/>
      </w:pPr>
      <w:r>
        <w:rPr>
          <w:rStyle w:val="FootnoteReference"/>
        </w:rPr>
        <w:footnoteRef/>
      </w:r>
      <w:r>
        <w:t xml:space="preserve"> </w:t>
      </w:r>
      <w:r>
        <w:tab/>
      </w:r>
      <w:r>
        <w:tab/>
        <w:t xml:space="preserve">Kroger Ex. 1 at 9-10, </w:t>
      </w:r>
      <w:r>
        <w:rPr>
          <w:i/>
        </w:rPr>
        <w:t xml:space="preserve">Direct Testimony of Kevin C. Higgins </w:t>
      </w:r>
      <w:r>
        <w:t>(Mar. 26, 2013).</w:t>
      </w:r>
    </w:p>
  </w:footnote>
  <w:footnote w:id="53">
    <w:p w:rsidR="00E106B2" w:rsidRPr="006773C0" w:rsidRDefault="00E106B2" w:rsidP="00E106B2">
      <w:pPr>
        <w:pStyle w:val="FootnoteText"/>
        <w:rPr>
          <w:color w:val="2C2C2C"/>
          <w:sz w:val="19"/>
          <w:szCs w:val="19"/>
        </w:rPr>
      </w:pPr>
      <w:r>
        <w:rPr>
          <w:sz w:val="16"/>
          <w:szCs w:val="16"/>
        </w:rPr>
        <w:t>41</w:t>
      </w:r>
      <w:r>
        <w:tab/>
      </w:r>
      <w:r>
        <w:tab/>
      </w:r>
      <w:r w:rsidRPr="006773C0">
        <w:rPr>
          <w:i/>
        </w:rPr>
        <w:t>Duke ESP Proceeding</w:t>
      </w:r>
      <w:r>
        <w:t xml:space="preserve"> (</w:t>
      </w:r>
      <w:r w:rsidRPr="006773C0">
        <w:t>Motion of Duke Energy Ohio, Inc. to Admit an Amendment to the Stipulation as Joint Exhibit 1.1 and R</w:t>
      </w:r>
      <w:r>
        <w:t>equest for Expedited Treatment at</w:t>
      </w:r>
      <w:r w:rsidRPr="006773C0">
        <w:t xml:space="preserve"> 4</w:t>
      </w:r>
      <w:r>
        <w:t xml:space="preserve">) </w:t>
      </w:r>
      <w:r w:rsidRPr="006773C0">
        <w:t>(Nov</w:t>
      </w:r>
      <w:r>
        <w:t>.</w:t>
      </w:r>
      <w:r w:rsidRPr="006773C0">
        <w:t xml:space="preserve"> 16, 2011).</w:t>
      </w:r>
    </w:p>
  </w:footnote>
  <w:footnote w:id="54">
    <w:p w:rsidR="00E106B2" w:rsidRPr="006773C0" w:rsidRDefault="00E106B2">
      <w:pPr>
        <w:pStyle w:val="FootnoteText"/>
        <w:rPr>
          <w:i/>
        </w:rPr>
      </w:pPr>
      <w:r>
        <w:rPr>
          <w:rStyle w:val="FootnoteReference"/>
        </w:rPr>
        <w:footnoteRef/>
      </w:r>
      <w:r>
        <w:t xml:space="preserve"> </w:t>
      </w:r>
      <w:r>
        <w:tab/>
      </w:r>
      <w:r>
        <w:tab/>
      </w:r>
      <w:r>
        <w:rPr>
          <w:i/>
        </w:rPr>
        <w:t>Id.</w:t>
      </w:r>
    </w:p>
  </w:footnote>
  <w:footnote w:id="55">
    <w:p w:rsidR="00E106B2" w:rsidRPr="00CE02CF" w:rsidRDefault="00E106B2">
      <w:pPr>
        <w:pStyle w:val="FootnoteText"/>
      </w:pPr>
      <w:r>
        <w:rPr>
          <w:rStyle w:val="FootnoteReference"/>
        </w:rPr>
        <w:footnoteRef/>
      </w:r>
      <w:r>
        <w:t xml:space="preserve"> </w:t>
      </w:r>
      <w:r>
        <w:tab/>
      </w:r>
      <w:r>
        <w:tab/>
        <w:t xml:space="preserve">Kroger Ex. 1 at 10-11, </w:t>
      </w:r>
      <w:r>
        <w:rPr>
          <w:i/>
        </w:rPr>
        <w:t xml:space="preserve">Direct Testimony of Kevin C. Higgins </w:t>
      </w:r>
      <w:r>
        <w:t>(Mar. 26, 2013).</w:t>
      </w:r>
    </w:p>
  </w:footnote>
  <w:footnote w:id="56">
    <w:p w:rsidR="00E106B2" w:rsidRDefault="00E106B2">
      <w:pPr>
        <w:pStyle w:val="FootnoteText"/>
      </w:pPr>
      <w:r>
        <w:rPr>
          <w:rStyle w:val="FootnoteReference"/>
        </w:rPr>
        <w:footnoteRef/>
      </w:r>
      <w:r>
        <w:t xml:space="preserve"> </w:t>
      </w:r>
      <w:r>
        <w:tab/>
      </w:r>
      <w:r>
        <w:tab/>
        <w:t xml:space="preserve">Tr. II at 347-348, 390-391. </w:t>
      </w:r>
    </w:p>
  </w:footnote>
  <w:footnote w:id="57">
    <w:p w:rsidR="00E106B2" w:rsidRDefault="00E106B2">
      <w:pPr>
        <w:pStyle w:val="FootnoteText"/>
      </w:pPr>
      <w:r>
        <w:rPr>
          <w:rStyle w:val="FootnoteReference"/>
        </w:rPr>
        <w:footnoteRef/>
      </w:r>
      <w:r>
        <w:t xml:space="preserve"> </w:t>
      </w:r>
      <w:r>
        <w:tab/>
      </w:r>
      <w:r>
        <w:tab/>
      </w:r>
      <w:r w:rsidRPr="004E761E">
        <w:rPr>
          <w:i/>
        </w:rPr>
        <w:t>Id.</w:t>
      </w:r>
      <w:r>
        <w:t xml:space="preserve"> at 348-349.</w:t>
      </w:r>
    </w:p>
  </w:footnote>
  <w:footnote w:id="58">
    <w:p w:rsidR="00E106B2" w:rsidRDefault="00E106B2">
      <w:pPr>
        <w:pStyle w:val="FootnoteText"/>
      </w:pPr>
      <w:r>
        <w:rPr>
          <w:rStyle w:val="FootnoteReference"/>
        </w:rPr>
        <w:footnoteRef/>
      </w:r>
      <w:r>
        <w:t xml:space="preserve"> </w:t>
      </w:r>
      <w:r>
        <w:tab/>
      </w:r>
      <w:r>
        <w:tab/>
      </w:r>
      <w:r w:rsidRPr="004E761E">
        <w:rPr>
          <w:i/>
        </w:rPr>
        <w:t>Id.</w:t>
      </w:r>
      <w:r>
        <w:t xml:space="preserve"> at 356-357.</w:t>
      </w:r>
    </w:p>
  </w:footnote>
  <w:footnote w:id="59">
    <w:p w:rsidR="00E106B2" w:rsidRDefault="00E106B2" w:rsidP="00AB5A91">
      <w:pPr>
        <w:pStyle w:val="FootnoteText"/>
      </w:pPr>
      <w:r>
        <w:rPr>
          <w:rStyle w:val="FootnoteReference"/>
        </w:rPr>
        <w:footnoteRef/>
      </w:r>
      <w:r>
        <w:t xml:space="preserve"> </w:t>
      </w:r>
      <w:r>
        <w:tab/>
      </w:r>
      <w:r>
        <w:tab/>
        <w:t xml:space="preserve">FES Ex. 22, </w:t>
      </w:r>
      <w:r w:rsidRPr="00DF0E98">
        <w:rPr>
          <w:i/>
        </w:rPr>
        <w:t>Duke ESP Proceeding</w:t>
      </w:r>
      <w:r w:rsidRPr="00DF0E98">
        <w:t xml:space="preserve"> </w:t>
      </w:r>
      <w:r>
        <w:t>(</w:t>
      </w:r>
      <w:r w:rsidRPr="00DF0E98">
        <w:t>Supplemental Testimony of</w:t>
      </w:r>
      <w:r>
        <w:t xml:space="preserve"> Duke Witness Wathen at 12)</w:t>
      </w:r>
      <w:r w:rsidRPr="00DF0E98">
        <w:t xml:space="preserve"> (Oct. 28, 2011).</w:t>
      </w:r>
    </w:p>
  </w:footnote>
  <w:footnote w:id="60">
    <w:p w:rsidR="00E106B2" w:rsidRPr="00426468" w:rsidRDefault="00E106B2" w:rsidP="00AB5A91">
      <w:pPr>
        <w:pStyle w:val="FootnoteText"/>
      </w:pPr>
      <w:r>
        <w:rPr>
          <w:rStyle w:val="FootnoteReference"/>
        </w:rPr>
        <w:footnoteRef/>
      </w:r>
      <w:r>
        <w:t xml:space="preserve"> </w:t>
      </w:r>
      <w:r>
        <w:tab/>
      </w:r>
      <w:r>
        <w:tab/>
      </w:r>
      <w:r>
        <w:rPr>
          <w:i/>
        </w:rPr>
        <w:t xml:space="preserve">Id. </w:t>
      </w:r>
      <w:r>
        <w:t>at 18.</w:t>
      </w:r>
    </w:p>
  </w:footnote>
  <w:footnote w:id="61">
    <w:p w:rsidR="00E106B2" w:rsidRDefault="00E106B2">
      <w:pPr>
        <w:pStyle w:val="FootnoteText"/>
      </w:pPr>
      <w:r>
        <w:rPr>
          <w:rStyle w:val="FootnoteReference"/>
        </w:rPr>
        <w:footnoteRef/>
      </w:r>
      <w:r>
        <w:t xml:space="preserve"> </w:t>
      </w:r>
      <w:r>
        <w:tab/>
      </w:r>
      <w:r>
        <w:tab/>
        <w:t>Tr. II at 290-291.</w:t>
      </w:r>
    </w:p>
  </w:footnote>
  <w:footnote w:id="62">
    <w:p w:rsidR="00E106B2" w:rsidRPr="00EF6713" w:rsidRDefault="00E106B2">
      <w:pPr>
        <w:pStyle w:val="FootnoteText"/>
      </w:pPr>
      <w:r>
        <w:rPr>
          <w:rStyle w:val="FootnoteReference"/>
        </w:rPr>
        <w:footnoteRef/>
      </w:r>
      <w:r>
        <w:t xml:space="preserve"> </w:t>
      </w:r>
      <w:r>
        <w:tab/>
      </w:r>
      <w:r>
        <w:tab/>
        <w:t xml:space="preserve">Staff Ex. 2 at 9, </w:t>
      </w:r>
      <w:r>
        <w:rPr>
          <w:i/>
        </w:rPr>
        <w:t xml:space="preserve">Staff’s Initial Comments </w:t>
      </w:r>
      <w:r>
        <w:t>(Jan. 2, 2013).</w:t>
      </w:r>
    </w:p>
  </w:footnote>
  <w:footnote w:id="63">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t xml:space="preserve">See, e.g., </w:t>
      </w:r>
      <w:r w:rsidRPr="00734642">
        <w:rPr>
          <w:i/>
        </w:rPr>
        <w:t>In the Matter of the 1995 Electric Long Term Forecast Report of the Cincinnati Gas &amp; Electric Co</w:t>
      </w:r>
      <w:r>
        <w:rPr>
          <w:i/>
        </w:rPr>
        <w:t>.</w:t>
      </w:r>
      <w:r w:rsidRPr="00DF0E98">
        <w:t xml:space="preserve">, Case Nos. 95-203-EL-FOR, </w:t>
      </w:r>
      <w:r w:rsidRPr="00E106B2">
        <w:rPr>
          <w:i/>
        </w:rPr>
        <w:t>et al</w:t>
      </w:r>
      <w:r w:rsidRPr="00DF0E98">
        <w:t xml:space="preserve">. </w:t>
      </w:r>
      <w:r>
        <w:t>(</w:t>
      </w:r>
      <w:r w:rsidRPr="00DF0E98">
        <w:t>Opinion and Order at 49-50</w:t>
      </w:r>
      <w:r>
        <w:t>)</w:t>
      </w:r>
      <w:r w:rsidRPr="00DF0E98">
        <w:t xml:space="preserve"> (Dec. 19, 1996).</w:t>
      </w:r>
    </w:p>
  </w:footnote>
  <w:footnote w:id="64">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t xml:space="preserve">IEU Ex. 5, </w:t>
      </w:r>
      <w:r>
        <w:rPr>
          <w:i/>
        </w:rPr>
        <w:t>Duke ESP Proceeding</w:t>
      </w:r>
      <w:r w:rsidRPr="00DF0E98">
        <w:t xml:space="preserve"> </w:t>
      </w:r>
      <w:r>
        <w:t>(</w:t>
      </w:r>
      <w:r w:rsidRPr="00DF0E98">
        <w:t>Stipulation</w:t>
      </w:r>
      <w:r>
        <w:t xml:space="preserve"> and Recommendation</w:t>
      </w:r>
      <w:r w:rsidRPr="00DF0E98">
        <w:t xml:space="preserve"> at 41</w:t>
      </w:r>
      <w:r>
        <w:t xml:space="preserve">) </w:t>
      </w:r>
      <w:r w:rsidRPr="00DF0E98">
        <w:t>(Oct.</w:t>
      </w:r>
      <w:r>
        <w:t> </w:t>
      </w:r>
      <w:r w:rsidRPr="00DF0E98">
        <w:t>24, 2011)</w:t>
      </w:r>
      <w:r>
        <w:t>.</w:t>
      </w:r>
    </w:p>
  </w:footnote>
  <w:footnote w:id="65">
    <w:p w:rsidR="00E106B2" w:rsidRPr="009A219A" w:rsidRDefault="00E106B2" w:rsidP="00236570">
      <w:pPr>
        <w:pStyle w:val="FootnoteText"/>
      </w:pPr>
      <w:r w:rsidRPr="009A219A">
        <w:rPr>
          <w:rStyle w:val="FootnoteReference"/>
          <w:rFonts w:cs="Times New Roman"/>
        </w:rPr>
        <w:footnoteRef/>
      </w:r>
      <w:r w:rsidRPr="009A219A">
        <w:t xml:space="preserve"> </w:t>
      </w:r>
      <w:r w:rsidRPr="009A219A">
        <w:tab/>
      </w:r>
      <w:r w:rsidRPr="009A219A">
        <w:tab/>
      </w:r>
      <w:r w:rsidR="00445E3C">
        <w:t xml:space="preserve">IEU Ex. 5, </w:t>
      </w:r>
      <w:r w:rsidR="00445E3C">
        <w:rPr>
          <w:i/>
        </w:rPr>
        <w:t>Duke ESP Proceeding</w:t>
      </w:r>
      <w:r w:rsidR="00445E3C" w:rsidRPr="00DF0E98">
        <w:t xml:space="preserve"> </w:t>
      </w:r>
      <w:r w:rsidR="00445E3C">
        <w:t>(</w:t>
      </w:r>
      <w:r w:rsidR="00445E3C" w:rsidRPr="00DF0E98">
        <w:t>Stipulation</w:t>
      </w:r>
      <w:r w:rsidR="00445E3C">
        <w:t xml:space="preserve"> and Recommendation</w:t>
      </w:r>
      <w:r w:rsidR="00445E3C" w:rsidRPr="00DF0E98">
        <w:t xml:space="preserve"> at 41</w:t>
      </w:r>
      <w:r w:rsidR="00445E3C">
        <w:t xml:space="preserve">) </w:t>
      </w:r>
      <w:r w:rsidR="00445E3C" w:rsidRPr="00DF0E98">
        <w:t>(Oct.</w:t>
      </w:r>
      <w:r w:rsidR="00445E3C">
        <w:t> </w:t>
      </w:r>
      <w:r w:rsidR="00445E3C" w:rsidRPr="00DF0E98">
        <w:t>24, 2011)</w:t>
      </w:r>
      <w:r w:rsidRPr="009A219A">
        <w:t>.</w:t>
      </w:r>
    </w:p>
  </w:footnote>
  <w:footnote w:id="66">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734642">
        <w:rPr>
          <w:i/>
        </w:rPr>
        <w:t>In the Matter of the Report of Duke Energy Ohio, Inc. Concerning its Energy Efficiency and Peak Demand Reduction Programs and Portfolio Plan</w:t>
      </w:r>
      <w:r w:rsidRPr="00DF0E98">
        <w:t xml:space="preserve">, </w:t>
      </w:r>
      <w:r>
        <w:t>Case No. 09-1999-EL-FOR</w:t>
      </w:r>
      <w:r w:rsidRPr="00DF0E98">
        <w:t xml:space="preserve"> </w:t>
      </w:r>
      <w:r>
        <w:t>(</w:t>
      </w:r>
      <w:r w:rsidRPr="00DF0E98">
        <w:t>Opinion and Order at 15</w:t>
      </w:r>
      <w:r>
        <w:t>)</w:t>
      </w:r>
      <w:r w:rsidRPr="00DF0E98">
        <w:t xml:space="preserve"> (Dec. 15, 2010); </w:t>
      </w:r>
      <w:r w:rsidRPr="00E106B2">
        <w:rPr>
          <w:i/>
        </w:rPr>
        <w:t>Id</w:t>
      </w:r>
      <w:r>
        <w:t>.</w:t>
      </w:r>
      <w:r w:rsidRPr="00DF0E98">
        <w:t xml:space="preserve"> </w:t>
      </w:r>
      <w:r>
        <w:t>(</w:t>
      </w:r>
      <w:r w:rsidRPr="00DF0E98">
        <w:t>Entry on Rehearing at ¶</w:t>
      </w:r>
      <w:r>
        <w:t> </w:t>
      </w:r>
      <w:r w:rsidRPr="00DF0E98">
        <w:t>9</w:t>
      </w:r>
      <w:r>
        <w:t>)</w:t>
      </w:r>
      <w:r w:rsidRPr="00DF0E98">
        <w:t xml:space="preserve"> (Feb. 9, 2011).</w:t>
      </w:r>
    </w:p>
  </w:footnote>
  <w:footnote w:id="67">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734642">
        <w:rPr>
          <w:i/>
        </w:rPr>
        <w:t>In the Matter of the Application of The Cincinnati Gas &amp; Electric Co</w:t>
      </w:r>
      <w:r>
        <w:rPr>
          <w:i/>
        </w:rPr>
        <w:t>.</w:t>
      </w:r>
      <w:r w:rsidRPr="00734642">
        <w:rPr>
          <w:i/>
        </w:rPr>
        <w:t xml:space="preserve"> for an Increase in Its Rates for Gas Service to All Jurisdictional Customers</w:t>
      </w:r>
      <w:r w:rsidRPr="00DF0E98">
        <w:t>,</w:t>
      </w:r>
      <w:r>
        <w:t xml:space="preserve"> Case No. 95-656-GA-AIR</w:t>
      </w:r>
      <w:r w:rsidRPr="00DF0E98">
        <w:t xml:space="preserve"> </w:t>
      </w:r>
      <w:r>
        <w:t>(</w:t>
      </w:r>
      <w:r w:rsidRPr="00DF0E98">
        <w:t>Opinion and Order at 33-38</w:t>
      </w:r>
      <w:r>
        <w:t>)</w:t>
      </w:r>
      <w:r w:rsidRPr="00DF0E98">
        <w:t xml:space="preserve"> (Dec. 12, 1996).</w:t>
      </w:r>
    </w:p>
  </w:footnote>
  <w:footnote w:id="68">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00445E3C" w:rsidRPr="00734642">
        <w:rPr>
          <w:i/>
        </w:rPr>
        <w:t>In the Matter of the Application of The Cincinnati Gas &amp; Electric Co</w:t>
      </w:r>
      <w:r w:rsidR="00445E3C">
        <w:rPr>
          <w:i/>
        </w:rPr>
        <w:t>.</w:t>
      </w:r>
      <w:r w:rsidR="00445E3C" w:rsidRPr="00734642">
        <w:rPr>
          <w:i/>
        </w:rPr>
        <w:t xml:space="preserve"> for an Increase in Its Rates for Gas Service to All Jurisdictional Customers</w:t>
      </w:r>
      <w:r w:rsidR="00445E3C" w:rsidRPr="00DF0E98">
        <w:t>,</w:t>
      </w:r>
      <w:r w:rsidR="00445E3C">
        <w:t xml:space="preserve"> Case No. 95-656-GA-AIR</w:t>
      </w:r>
      <w:r w:rsidR="00445E3C" w:rsidRPr="00DF0E98">
        <w:t xml:space="preserve"> </w:t>
      </w:r>
      <w:r w:rsidR="00445E3C">
        <w:t>(</w:t>
      </w:r>
      <w:r w:rsidR="00445E3C" w:rsidRPr="00DF0E98">
        <w:t xml:space="preserve">Opinion and Order at </w:t>
      </w:r>
      <w:r w:rsidR="00445E3C">
        <w:t>2-3</w:t>
      </w:r>
      <w:r w:rsidR="00445E3C">
        <w:t>)</w:t>
      </w:r>
      <w:r w:rsidR="00445E3C" w:rsidRPr="00DF0E98">
        <w:t xml:space="preserve"> (Dec. 12, 1996)</w:t>
      </w:r>
      <w:r w:rsidRPr="00DF0E98">
        <w:t>.</w:t>
      </w:r>
    </w:p>
  </w:footnote>
  <w:footnote w:id="69">
    <w:p w:rsidR="00E106B2" w:rsidRPr="00DF0E98" w:rsidRDefault="00E106B2" w:rsidP="00236570">
      <w:pPr>
        <w:pStyle w:val="FootnoteText"/>
      </w:pPr>
      <w:r w:rsidRPr="004D1493">
        <w:rPr>
          <w:rStyle w:val="FootnoteReference"/>
          <w:rFonts w:cs="Times New Roman"/>
          <w:sz w:val="16"/>
          <w:szCs w:val="16"/>
          <w:vertAlign w:val="baseline"/>
        </w:rPr>
        <w:footnoteRef/>
      </w:r>
      <w:r w:rsidRPr="004D1493">
        <w:rPr>
          <w:sz w:val="16"/>
          <w:szCs w:val="16"/>
        </w:rPr>
        <w:t xml:space="preserve"> </w:t>
      </w:r>
      <w:r w:rsidRPr="00DF0E98">
        <w:tab/>
      </w:r>
      <w:r w:rsidRPr="00DF0E98">
        <w:tab/>
        <w:t xml:space="preserve">See, </w:t>
      </w:r>
      <w:r w:rsidRPr="00734642">
        <w:rPr>
          <w:i/>
        </w:rPr>
        <w:t>In the Matter of the Procurement of Standard Service Offer Generation for Customers of Duke Energy Ohio, Inc</w:t>
      </w:r>
      <w:r w:rsidRPr="00DF0E98">
        <w:t>., Case No. 11-6000-EL-UNC.</w:t>
      </w:r>
    </w:p>
  </w:footnote>
  <w:footnote w:id="70">
    <w:p w:rsidR="00E106B2" w:rsidRPr="00DF0E98" w:rsidRDefault="00E106B2" w:rsidP="00236570">
      <w:pPr>
        <w:pStyle w:val="FootnoteText"/>
      </w:pPr>
      <w:r w:rsidRPr="004D1493">
        <w:rPr>
          <w:rStyle w:val="FootnoteReference"/>
          <w:rFonts w:cs="Times New Roman"/>
          <w:sz w:val="16"/>
          <w:szCs w:val="16"/>
          <w:vertAlign w:val="baseline"/>
        </w:rPr>
        <w:footnoteRef/>
      </w:r>
      <w:r w:rsidRPr="004D1493">
        <w:rPr>
          <w:sz w:val="16"/>
          <w:szCs w:val="16"/>
        </w:rPr>
        <w:t xml:space="preserve"> </w:t>
      </w:r>
      <w:r w:rsidRPr="00DF0E98">
        <w:tab/>
      </w:r>
      <w:r w:rsidRPr="00DF0E98">
        <w:tab/>
      </w:r>
      <w:r w:rsidRPr="00DF0E98">
        <w:rPr>
          <w:i/>
        </w:rPr>
        <w:t xml:space="preserve">Consumers’ Counsel v. </w:t>
      </w:r>
      <w:r>
        <w:rPr>
          <w:i/>
        </w:rPr>
        <w:t>Pub.</w:t>
      </w:r>
      <w:r w:rsidRPr="00DF0E98">
        <w:rPr>
          <w:i/>
        </w:rPr>
        <w:t xml:space="preserve"> Util. Comm.</w:t>
      </w:r>
      <w:r w:rsidRPr="00DF0E98">
        <w:t>, 10 Ohio St.3d 49; 461 N.E.2d 303 (1984).</w:t>
      </w:r>
    </w:p>
  </w:footnote>
  <w:footnote w:id="71">
    <w:p w:rsidR="00E106B2" w:rsidRPr="004D1493" w:rsidRDefault="00E106B2">
      <w:pPr>
        <w:pStyle w:val="FootnoteText"/>
      </w:pPr>
      <w:r>
        <w:rPr>
          <w:rStyle w:val="FootnoteReference"/>
        </w:rPr>
        <w:footnoteRef/>
      </w:r>
      <w:r>
        <w:t xml:space="preserve"> </w:t>
      </w:r>
      <w:r>
        <w:tab/>
      </w:r>
      <w:r>
        <w:tab/>
        <w:t xml:space="preserve">Staff Ex. 2 at 13, </w:t>
      </w:r>
      <w:r>
        <w:rPr>
          <w:i/>
        </w:rPr>
        <w:t>Staff’s Initial Comments</w:t>
      </w:r>
      <w:r>
        <w:t xml:space="preserve"> (Jan. 2, 2013).</w:t>
      </w:r>
    </w:p>
  </w:footnote>
  <w:footnote w:id="72">
    <w:p w:rsidR="00E106B2" w:rsidRPr="00DF0E98" w:rsidRDefault="00E106B2" w:rsidP="00236570">
      <w:pPr>
        <w:pStyle w:val="FootnoteText"/>
      </w:pPr>
      <w:r w:rsidRPr="00E106B2">
        <w:rPr>
          <w:rStyle w:val="FootnoteReference"/>
        </w:rPr>
        <w:footnoteRef/>
      </w:r>
      <w:r w:rsidRPr="00E106B2">
        <w:rPr>
          <w:rStyle w:val="FootnoteReference"/>
        </w:rPr>
        <w:t xml:space="preserve"> </w:t>
      </w:r>
      <w:r w:rsidRPr="00DF0E98">
        <w:tab/>
      </w:r>
      <w:r w:rsidRPr="00DF0E98">
        <w:tab/>
        <w:t>R.C. 4903.10.</w:t>
      </w:r>
    </w:p>
  </w:footnote>
  <w:footnote w:id="73">
    <w:p w:rsidR="00E106B2" w:rsidRPr="00DF0E98" w:rsidRDefault="00E106B2" w:rsidP="00236570">
      <w:pPr>
        <w:pStyle w:val="FootnoteText"/>
      </w:pPr>
      <w:r w:rsidRPr="00DF0E98">
        <w:rPr>
          <w:rStyle w:val="FootnoteReference"/>
          <w:rFonts w:cs="Times New Roman"/>
          <w:vertAlign w:val="baseline"/>
        </w:rPr>
        <w:footnoteRef/>
      </w:r>
      <w:r w:rsidRPr="00DF0E98">
        <w:tab/>
      </w:r>
      <w:r w:rsidRPr="00DF0E98">
        <w:tab/>
      </w:r>
      <w:r w:rsidRPr="00DF0E98">
        <w:rPr>
          <w:i/>
        </w:rPr>
        <w:t>Id</w:t>
      </w:r>
      <w:r w:rsidRPr="00DF0E98">
        <w:t>.</w:t>
      </w:r>
    </w:p>
  </w:footnote>
  <w:footnote w:id="74">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t xml:space="preserve">See, e.g., </w:t>
      </w:r>
      <w:r w:rsidRPr="00734642">
        <w:rPr>
          <w:i/>
        </w:rPr>
        <w:t>In the Matter of the Application of Ohio Edison Company, The Cleveland Electric Illum</w:t>
      </w:r>
      <w:r w:rsidRPr="00734642">
        <w:rPr>
          <w:i/>
        </w:rPr>
        <w:softHyphen/>
        <w:t>inating Company and the Toledo Edison Company for Approval of a New Rider and Revision of an Existing Rider</w:t>
      </w:r>
      <w:r w:rsidRPr="00DF0E98">
        <w:t xml:space="preserve">, Case No. 10-176-EL-ATA, </w:t>
      </w:r>
      <w:r>
        <w:t>(</w:t>
      </w:r>
      <w:r w:rsidRPr="00DF0E98">
        <w:t>Entry at ¶</w:t>
      </w:r>
      <w:r>
        <w:t> </w:t>
      </w:r>
      <w:r w:rsidRPr="00DF0E98">
        <w:t>15</w:t>
      </w:r>
      <w:r>
        <w:t>)</w:t>
      </w:r>
      <w:r w:rsidRPr="00DF0E98">
        <w:t xml:space="preserve"> (Dec. 22, 2012).</w:t>
      </w:r>
    </w:p>
  </w:footnote>
  <w:footnote w:id="75">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rPr>
        <w:t>Greer v. Pub. Util. Comm.</w:t>
      </w:r>
      <w:r w:rsidRPr="00DF0E98">
        <w:t>, 172 Ohio St. 361, 176 N.E.2d 416 (1961).</w:t>
      </w:r>
    </w:p>
  </w:footnote>
  <w:footnote w:id="76">
    <w:p w:rsidR="00E106B2" w:rsidRPr="004D1493" w:rsidRDefault="00E106B2">
      <w:pPr>
        <w:pStyle w:val="FootnoteText"/>
      </w:pPr>
      <w:r>
        <w:rPr>
          <w:rStyle w:val="FootnoteReference"/>
        </w:rPr>
        <w:footnoteRef/>
      </w:r>
      <w:r>
        <w:t xml:space="preserve"> </w:t>
      </w:r>
      <w:r>
        <w:tab/>
      </w:r>
      <w:r>
        <w:tab/>
        <w:t xml:space="preserve">Staff Ex. 2 at 14, </w:t>
      </w:r>
      <w:r>
        <w:rPr>
          <w:i/>
        </w:rPr>
        <w:t xml:space="preserve">Staff’s Initial Comments </w:t>
      </w:r>
      <w:r>
        <w:t>(Jan. 2, 2013).</w:t>
      </w:r>
    </w:p>
  </w:footnote>
  <w:footnote w:id="77">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rPr>
        <w:t>Grava v. Parkman Tshp.</w:t>
      </w:r>
      <w:r w:rsidRPr="00DF0E98">
        <w:t xml:space="preserve">, 73 Ohio St.3d 379, 653 N.E.2d 226 (1995), syllabus. </w:t>
      </w:r>
    </w:p>
  </w:footnote>
  <w:footnote w:id="78">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734642">
        <w:rPr>
          <w:i/>
        </w:rPr>
        <w:t>Covington and Cincinnati Bridge Co. v. Sargent</w:t>
      </w:r>
      <w:r w:rsidRPr="00DF0E98">
        <w:t xml:space="preserve">, 27 Ohio St. 233, 237-38 (1875). </w:t>
      </w:r>
    </w:p>
  </w:footnote>
  <w:footnote w:id="79">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734642">
        <w:rPr>
          <w:i/>
        </w:rPr>
        <w:t>New Winchester Gardens, Ltd. v. Franklin Cty. Brd. Of Revision</w:t>
      </w:r>
      <w:r w:rsidRPr="00DF0E98">
        <w:t>, 80 Ohio St.3d 36, 41, 684 N.E.2d 312 (1997).</w:t>
      </w:r>
    </w:p>
  </w:footnote>
  <w:footnote w:id="80">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t>Restatement of the Law, Second, Judgments, Section 27.</w:t>
      </w:r>
    </w:p>
  </w:footnote>
  <w:footnote w:id="81">
    <w:p w:rsidR="00E106B2" w:rsidRPr="00DF0E98" w:rsidRDefault="00E106B2" w:rsidP="00236570">
      <w:pPr>
        <w:pStyle w:val="FootnoteText"/>
        <w:rPr>
          <w:i/>
          <w:iCs/>
        </w:rPr>
      </w:pPr>
      <w:r w:rsidRPr="00DF0E98">
        <w:rPr>
          <w:rStyle w:val="FootnoteReference"/>
          <w:rFonts w:cs="Times New Roman"/>
        </w:rPr>
        <w:footnoteRef/>
      </w:r>
      <w:r w:rsidRPr="00DF0E98">
        <w:t xml:space="preserve"> </w:t>
      </w:r>
      <w:r w:rsidRPr="00DF0E98">
        <w:tab/>
      </w:r>
      <w:r w:rsidRPr="00DF0E98">
        <w:tab/>
      </w:r>
      <w:r w:rsidRPr="00DF0E98">
        <w:rPr>
          <w:i/>
          <w:iCs/>
        </w:rPr>
        <w:t>Superior’s Brand Meats, Inc. v Lindle</w:t>
      </w:r>
      <w:r w:rsidRPr="00DF0E98">
        <w:t>, 62 Ohio St.2d 133, 403 N.E.2d 996</w:t>
      </w:r>
      <w:r w:rsidRPr="00DF0E98">
        <w:rPr>
          <w:i/>
          <w:iCs/>
        </w:rPr>
        <w:t xml:space="preserve"> </w:t>
      </w:r>
      <w:r w:rsidRPr="00DF0E98">
        <w:t xml:space="preserve">(1980), syllabus. </w:t>
      </w:r>
    </w:p>
  </w:footnote>
  <w:footnote w:id="82">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00445E3C" w:rsidRPr="00DF0E98">
        <w:rPr>
          <w:i/>
          <w:iCs/>
        </w:rPr>
        <w:t>Superior’s Brand Meats, Inc. v Lindle</w:t>
      </w:r>
      <w:r w:rsidR="00445E3C" w:rsidRPr="00DF0E98">
        <w:t>, 62 Ohio St.2d 133, 403 N.E.2d 996</w:t>
      </w:r>
      <w:r w:rsidR="00445E3C" w:rsidRPr="00DF0E98">
        <w:rPr>
          <w:i/>
          <w:iCs/>
        </w:rPr>
        <w:t xml:space="preserve"> </w:t>
      </w:r>
      <w:r w:rsidR="00445E3C" w:rsidRPr="00DF0E98">
        <w:t>(1980), syllabus</w:t>
      </w:r>
      <w:r w:rsidR="00445E3C">
        <w:t>.</w:t>
      </w:r>
    </w:p>
  </w:footnote>
  <w:footnote w:id="83">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iCs/>
        </w:rPr>
        <w:t>Scott v. East Cleveland</w:t>
      </w:r>
      <w:r w:rsidRPr="00DF0E98">
        <w:t>, 16 Ohio App. 3d 429, 476 (Ct. App.)</w:t>
      </w:r>
      <w:r w:rsidRPr="00DF0E98">
        <w:rPr>
          <w:i/>
          <w:iCs/>
        </w:rPr>
        <w:t xml:space="preserve"> </w:t>
      </w:r>
      <w:r w:rsidRPr="00DF0E98">
        <w:t>(1984).</w:t>
      </w:r>
    </w:p>
  </w:footnote>
  <w:footnote w:id="84">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734642">
        <w:rPr>
          <w:i/>
        </w:rPr>
        <w:t>Superior’s Brand Meats, Inc. v. Lindley</w:t>
      </w:r>
      <w:r w:rsidRPr="00DF0E98">
        <w:t xml:space="preserve">, 62 Ohio St.2d at 135. </w:t>
      </w:r>
    </w:p>
  </w:footnote>
  <w:footnote w:id="85">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DF0E98">
        <w:rPr>
          <w:i/>
          <w:iCs/>
        </w:rPr>
        <w:t>Whitehead v. Gen. Tel. Co.</w:t>
      </w:r>
      <w:r w:rsidRPr="00DF0E98">
        <w:t>, 20 Ohio St.2d 108, 112</w:t>
      </w:r>
      <w:r w:rsidR="00D64AEC" w:rsidRPr="00DF0E98">
        <w:rPr>
          <w:i/>
          <w:iCs/>
        </w:rPr>
        <w:t xml:space="preserve"> </w:t>
      </w:r>
      <w:r w:rsidR="00D64AEC" w:rsidRPr="00DF0E98">
        <w:t>(1969)</w:t>
      </w:r>
      <w:r w:rsidRPr="00DF0E98">
        <w:t>.</w:t>
      </w:r>
    </w:p>
  </w:footnote>
  <w:footnote w:id="86">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t xml:space="preserve">IEU Ex. 5, </w:t>
      </w:r>
      <w:r w:rsidRPr="00DF0E98">
        <w:rPr>
          <w:i/>
        </w:rPr>
        <w:t>Duke ESP Proceeding</w:t>
      </w:r>
      <w:r w:rsidRPr="00DF0E98">
        <w:t xml:space="preserve"> </w:t>
      </w:r>
      <w:r>
        <w:t>(</w:t>
      </w:r>
      <w:r w:rsidRPr="00DF0E98">
        <w:t>Stipulation</w:t>
      </w:r>
      <w:r>
        <w:t xml:space="preserve"> and Recommendation</w:t>
      </w:r>
      <w:r w:rsidRPr="00DF0E98">
        <w:t xml:space="preserve"> at Section</w:t>
      </w:r>
      <w:r>
        <w:t>s I.B,</w:t>
      </w:r>
      <w:r w:rsidRPr="00DF0E98">
        <w:t xml:space="preserve"> II.B.</w:t>
      </w:r>
      <w:r>
        <w:t>)</w:t>
      </w:r>
    </w:p>
  </w:footnote>
  <w:footnote w:id="87">
    <w:p w:rsidR="00E106B2" w:rsidRPr="00DF0E98" w:rsidRDefault="00E106B2" w:rsidP="00236570">
      <w:pPr>
        <w:pStyle w:val="FootnoteText"/>
      </w:pPr>
      <w:r w:rsidRPr="00DF0E98">
        <w:rPr>
          <w:rStyle w:val="FootnoteReference"/>
          <w:rFonts w:cs="Times New Roman"/>
        </w:rPr>
        <w:footnoteRef/>
      </w:r>
      <w:r w:rsidRPr="00DF0E98">
        <w:t xml:space="preserve"> </w:t>
      </w:r>
      <w:r w:rsidRPr="00DF0E98">
        <w:tab/>
      </w:r>
      <w:r w:rsidRPr="00DF0E98">
        <w:tab/>
      </w:r>
      <w:r w:rsidRPr="00734642">
        <w:t>See, e.g.,</w:t>
      </w:r>
      <w:r w:rsidRPr="00734642">
        <w:rPr>
          <w:i/>
        </w:rPr>
        <w:t xml:space="preserve"> In the Matter of the Regulation of the Electric Fuel Component Contained Within the Rate Schedules of The Toledo Edison Company and Related Matters</w:t>
      </w:r>
      <w:r>
        <w:t>, Case No. 86-05-EL-EFC</w:t>
      </w:r>
      <w:r w:rsidRPr="00DF0E98">
        <w:t xml:space="preserve"> </w:t>
      </w:r>
      <w:r>
        <w:t>(</w:t>
      </w:r>
      <w:r w:rsidRPr="00DF0E98">
        <w:t>Entry at ¶</w:t>
      </w:r>
      <w:r w:rsidR="00D64AEC">
        <w:t> </w:t>
      </w:r>
      <w:r w:rsidRPr="00DF0E98">
        <w:t>5</w:t>
      </w:r>
      <w:r>
        <w:t>)</w:t>
      </w:r>
      <w:r w:rsidRPr="00DF0E98">
        <w:t xml:space="preserve"> (Nov. 10, 1986).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B2" w:rsidRPr="00EA7804" w:rsidRDefault="00E106B2" w:rsidP="00933CA6">
    <w:pPr>
      <w:pStyle w:val="Header"/>
      <w:jc w:val="center"/>
      <w:rPr>
        <w:rFonts w:ascii="Arial" w:hAnsi="Arial" w:cs="Arial"/>
        <w:b/>
        <w:color w:val="FF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B2" w:rsidRDefault="00E106B2" w:rsidP="00933CA6">
    <w:pPr>
      <w:pStyle w:val="Header"/>
      <w:jc w:val="right"/>
      <w:rPr>
        <w:b/>
        <w:sz w:val="28"/>
        <w:szCs w:val="28"/>
      </w:rPr>
    </w:pPr>
  </w:p>
  <w:p w:rsidR="00E106B2" w:rsidRPr="002B0FA8" w:rsidRDefault="00E106B2" w:rsidP="00933CA6">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B2" w:rsidRDefault="00E106B2" w:rsidP="00933CA6">
    <w:pPr>
      <w:pStyle w:val="Header"/>
      <w:jc w:val="center"/>
      <w:rPr>
        <w:b/>
        <w:sz w:val="28"/>
        <w:szCs w:val="28"/>
      </w:rPr>
    </w:pPr>
    <w:r>
      <w:rPr>
        <w:b/>
        <w:sz w:val="28"/>
        <w:szCs w:val="28"/>
      </w:rPr>
      <w:t>TABLE OF CONTENTS</w:t>
    </w:r>
  </w:p>
  <w:p w:rsidR="00E106B2" w:rsidRDefault="00E106B2" w:rsidP="00933CA6">
    <w:pPr>
      <w:pStyle w:val="Header"/>
      <w:jc w:val="right"/>
      <w:rPr>
        <w:b/>
        <w:sz w:val="28"/>
        <w:szCs w:val="28"/>
      </w:rPr>
    </w:pPr>
    <w:r>
      <w:rPr>
        <w:b/>
        <w:sz w:val="28"/>
        <w:szCs w:val="28"/>
      </w:rPr>
      <w:t>Page</w:t>
    </w:r>
  </w:p>
  <w:p w:rsidR="00E106B2" w:rsidRDefault="00E106B2" w:rsidP="00933CA6">
    <w:pPr>
      <w:pStyle w:val="Header"/>
      <w:jc w:val="right"/>
      <w:rPr>
        <w:b/>
        <w:sz w:val="28"/>
        <w:szCs w:val="28"/>
      </w:rPr>
    </w:pPr>
  </w:p>
  <w:p w:rsidR="00E106B2" w:rsidRPr="00326194" w:rsidRDefault="00E106B2" w:rsidP="00933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468C0E"/>
    <w:lvl w:ilvl="0">
      <w:start w:val="1"/>
      <w:numFmt w:val="decimal"/>
      <w:lvlText w:val="%1."/>
      <w:lvlJc w:val="left"/>
      <w:pPr>
        <w:tabs>
          <w:tab w:val="num" w:pos="1800"/>
        </w:tabs>
        <w:ind w:left="1800" w:hanging="360"/>
      </w:pPr>
    </w:lvl>
  </w:abstractNum>
  <w:abstractNum w:abstractNumId="1">
    <w:nsid w:val="FFFFFF7D"/>
    <w:multiLevelType w:val="singleLevel"/>
    <w:tmpl w:val="6B0ACBCE"/>
    <w:lvl w:ilvl="0">
      <w:start w:val="1"/>
      <w:numFmt w:val="decimal"/>
      <w:lvlText w:val="%1."/>
      <w:lvlJc w:val="left"/>
      <w:pPr>
        <w:tabs>
          <w:tab w:val="num" w:pos="1440"/>
        </w:tabs>
        <w:ind w:left="1440" w:hanging="360"/>
      </w:pPr>
    </w:lvl>
  </w:abstractNum>
  <w:abstractNum w:abstractNumId="2">
    <w:nsid w:val="FFFFFF7E"/>
    <w:multiLevelType w:val="singleLevel"/>
    <w:tmpl w:val="4920C628"/>
    <w:lvl w:ilvl="0">
      <w:start w:val="1"/>
      <w:numFmt w:val="decimal"/>
      <w:lvlText w:val="%1."/>
      <w:lvlJc w:val="left"/>
      <w:pPr>
        <w:tabs>
          <w:tab w:val="num" w:pos="1080"/>
        </w:tabs>
        <w:ind w:left="1080" w:hanging="360"/>
      </w:pPr>
    </w:lvl>
  </w:abstractNum>
  <w:abstractNum w:abstractNumId="3">
    <w:nsid w:val="FFFFFF7F"/>
    <w:multiLevelType w:val="singleLevel"/>
    <w:tmpl w:val="A8BE053C"/>
    <w:lvl w:ilvl="0">
      <w:start w:val="1"/>
      <w:numFmt w:val="decimal"/>
      <w:lvlText w:val="%1."/>
      <w:lvlJc w:val="left"/>
      <w:pPr>
        <w:tabs>
          <w:tab w:val="num" w:pos="720"/>
        </w:tabs>
        <w:ind w:left="720" w:hanging="360"/>
      </w:pPr>
    </w:lvl>
  </w:abstractNum>
  <w:abstractNum w:abstractNumId="4">
    <w:nsid w:val="FFFFFF80"/>
    <w:multiLevelType w:val="singleLevel"/>
    <w:tmpl w:val="BB1CA1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4082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4E5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9EDC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5AAAFA"/>
    <w:lvl w:ilvl="0">
      <w:start w:val="1"/>
      <w:numFmt w:val="decimal"/>
      <w:lvlText w:val="%1."/>
      <w:lvlJc w:val="left"/>
      <w:pPr>
        <w:tabs>
          <w:tab w:val="num" w:pos="360"/>
        </w:tabs>
        <w:ind w:left="360" w:hanging="360"/>
      </w:pPr>
    </w:lvl>
  </w:abstractNum>
  <w:abstractNum w:abstractNumId="9">
    <w:nsid w:val="FFFFFF89"/>
    <w:multiLevelType w:val="singleLevel"/>
    <w:tmpl w:val="D9F66A8C"/>
    <w:lvl w:ilvl="0">
      <w:start w:val="1"/>
      <w:numFmt w:val="bullet"/>
      <w:lvlText w:val=""/>
      <w:lvlJc w:val="left"/>
      <w:pPr>
        <w:tabs>
          <w:tab w:val="num" w:pos="360"/>
        </w:tabs>
        <w:ind w:left="360" w:hanging="360"/>
      </w:pPr>
      <w:rPr>
        <w:rFonts w:ascii="Symbol" w:hAnsi="Symbol" w:hint="default"/>
      </w:rPr>
    </w:lvl>
  </w:abstractNum>
  <w:abstractNum w:abstractNumId="10">
    <w:nsid w:val="08537B67"/>
    <w:multiLevelType w:val="hybridMultilevel"/>
    <w:tmpl w:val="6332E860"/>
    <w:lvl w:ilvl="0" w:tplc="769EF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AB029A8"/>
    <w:multiLevelType w:val="hybridMultilevel"/>
    <w:tmpl w:val="B19E996C"/>
    <w:lvl w:ilvl="0" w:tplc="F58CB4F2">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2D5771"/>
    <w:multiLevelType w:val="hybridMultilevel"/>
    <w:tmpl w:val="B7500F30"/>
    <w:lvl w:ilvl="0" w:tplc="0FE6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8E4C16"/>
    <w:multiLevelType w:val="hybridMultilevel"/>
    <w:tmpl w:val="B1660AAA"/>
    <w:lvl w:ilvl="0" w:tplc="373EC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360EE"/>
    <w:multiLevelType w:val="hybridMultilevel"/>
    <w:tmpl w:val="4F5049FE"/>
    <w:lvl w:ilvl="0" w:tplc="0E146F5C">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5A6E6B"/>
    <w:multiLevelType w:val="hybridMultilevel"/>
    <w:tmpl w:val="8990FF7C"/>
    <w:lvl w:ilvl="0" w:tplc="AE047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466B4"/>
    <w:multiLevelType w:val="hybridMultilevel"/>
    <w:tmpl w:val="AE187B48"/>
    <w:lvl w:ilvl="0" w:tplc="F050BD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1E513F"/>
    <w:multiLevelType w:val="hybridMultilevel"/>
    <w:tmpl w:val="0CF676B8"/>
    <w:lvl w:ilvl="0" w:tplc="D61EC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0C2EB1"/>
    <w:multiLevelType w:val="hybridMultilevel"/>
    <w:tmpl w:val="9F4A526A"/>
    <w:lvl w:ilvl="0" w:tplc="40DA3E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D771F61"/>
    <w:multiLevelType w:val="hybridMultilevel"/>
    <w:tmpl w:val="06E026BE"/>
    <w:lvl w:ilvl="0" w:tplc="CF7EB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16"/>
  </w:num>
  <w:num w:numId="5">
    <w:abstractNumId w:val="10"/>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14"/>
    <w:lvlOverride w:ilvl="0">
      <w:startOverride w:val="1"/>
    </w:lvlOverride>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A6"/>
    <w:rsid w:val="00002C87"/>
    <w:rsid w:val="000075D2"/>
    <w:rsid w:val="00031248"/>
    <w:rsid w:val="00032EAE"/>
    <w:rsid w:val="00040A78"/>
    <w:rsid w:val="00054054"/>
    <w:rsid w:val="00062C65"/>
    <w:rsid w:val="00065DDB"/>
    <w:rsid w:val="00067BFB"/>
    <w:rsid w:val="00097334"/>
    <w:rsid w:val="000A23BD"/>
    <w:rsid w:val="000A7A52"/>
    <w:rsid w:val="000B04F4"/>
    <w:rsid w:val="000B1257"/>
    <w:rsid w:val="000B4DBD"/>
    <w:rsid w:val="000C78DF"/>
    <w:rsid w:val="000D32FD"/>
    <w:rsid w:val="000D7745"/>
    <w:rsid w:val="000E1457"/>
    <w:rsid w:val="000E6143"/>
    <w:rsid w:val="000E7856"/>
    <w:rsid w:val="001228C2"/>
    <w:rsid w:val="001242BC"/>
    <w:rsid w:val="00131840"/>
    <w:rsid w:val="0014231E"/>
    <w:rsid w:val="001B572A"/>
    <w:rsid w:val="001B6A58"/>
    <w:rsid w:val="001D5BC6"/>
    <w:rsid w:val="00203FA7"/>
    <w:rsid w:val="00206E67"/>
    <w:rsid w:val="00220B82"/>
    <w:rsid w:val="002219E3"/>
    <w:rsid w:val="00221F8C"/>
    <w:rsid w:val="002300C7"/>
    <w:rsid w:val="00236570"/>
    <w:rsid w:val="00263A62"/>
    <w:rsid w:val="00275FA9"/>
    <w:rsid w:val="00281498"/>
    <w:rsid w:val="002857D4"/>
    <w:rsid w:val="002872C6"/>
    <w:rsid w:val="00293129"/>
    <w:rsid w:val="002949C2"/>
    <w:rsid w:val="00296261"/>
    <w:rsid w:val="002A1115"/>
    <w:rsid w:val="002F591B"/>
    <w:rsid w:val="0031691E"/>
    <w:rsid w:val="00324509"/>
    <w:rsid w:val="0033297B"/>
    <w:rsid w:val="00334B19"/>
    <w:rsid w:val="00345B36"/>
    <w:rsid w:val="003517B6"/>
    <w:rsid w:val="00397DA1"/>
    <w:rsid w:val="003B5FEE"/>
    <w:rsid w:val="003C217C"/>
    <w:rsid w:val="003C2AFA"/>
    <w:rsid w:val="003D3C8F"/>
    <w:rsid w:val="003E2230"/>
    <w:rsid w:val="003E2B83"/>
    <w:rsid w:val="003E4899"/>
    <w:rsid w:val="0040300C"/>
    <w:rsid w:val="00407A8C"/>
    <w:rsid w:val="00420B0F"/>
    <w:rsid w:val="004226C6"/>
    <w:rsid w:val="00426468"/>
    <w:rsid w:val="00431B4C"/>
    <w:rsid w:val="00433068"/>
    <w:rsid w:val="00445E0D"/>
    <w:rsid w:val="00445E3C"/>
    <w:rsid w:val="004474B0"/>
    <w:rsid w:val="0045010B"/>
    <w:rsid w:val="004600CF"/>
    <w:rsid w:val="0046050B"/>
    <w:rsid w:val="004612AD"/>
    <w:rsid w:val="0046221D"/>
    <w:rsid w:val="00464100"/>
    <w:rsid w:val="004671AB"/>
    <w:rsid w:val="00471EDE"/>
    <w:rsid w:val="004722DB"/>
    <w:rsid w:val="00472B47"/>
    <w:rsid w:val="00473E54"/>
    <w:rsid w:val="00481566"/>
    <w:rsid w:val="0049739A"/>
    <w:rsid w:val="004A72E3"/>
    <w:rsid w:val="004B156C"/>
    <w:rsid w:val="004D1493"/>
    <w:rsid w:val="004E761E"/>
    <w:rsid w:val="004F7B3E"/>
    <w:rsid w:val="005048BE"/>
    <w:rsid w:val="00510941"/>
    <w:rsid w:val="005120BA"/>
    <w:rsid w:val="00512CEF"/>
    <w:rsid w:val="00523211"/>
    <w:rsid w:val="00535EEC"/>
    <w:rsid w:val="00546572"/>
    <w:rsid w:val="00551DEF"/>
    <w:rsid w:val="00560822"/>
    <w:rsid w:val="0056757E"/>
    <w:rsid w:val="0057241C"/>
    <w:rsid w:val="005A1A09"/>
    <w:rsid w:val="005B6533"/>
    <w:rsid w:val="005C3BE5"/>
    <w:rsid w:val="005D5129"/>
    <w:rsid w:val="005E0C24"/>
    <w:rsid w:val="005E2483"/>
    <w:rsid w:val="005F2AE9"/>
    <w:rsid w:val="005F7035"/>
    <w:rsid w:val="00600663"/>
    <w:rsid w:val="006167D8"/>
    <w:rsid w:val="006317E4"/>
    <w:rsid w:val="0063212C"/>
    <w:rsid w:val="00632F5A"/>
    <w:rsid w:val="00643231"/>
    <w:rsid w:val="00643322"/>
    <w:rsid w:val="006438D4"/>
    <w:rsid w:val="006515BB"/>
    <w:rsid w:val="00657889"/>
    <w:rsid w:val="006676ED"/>
    <w:rsid w:val="006773C0"/>
    <w:rsid w:val="00681270"/>
    <w:rsid w:val="006968A7"/>
    <w:rsid w:val="006A170E"/>
    <w:rsid w:val="006A313D"/>
    <w:rsid w:val="006B5263"/>
    <w:rsid w:val="006C2140"/>
    <w:rsid w:val="006C27CC"/>
    <w:rsid w:val="006D52DC"/>
    <w:rsid w:val="006E37C0"/>
    <w:rsid w:val="006E68C1"/>
    <w:rsid w:val="00712D30"/>
    <w:rsid w:val="00734642"/>
    <w:rsid w:val="00742C74"/>
    <w:rsid w:val="0074399D"/>
    <w:rsid w:val="00754369"/>
    <w:rsid w:val="007A0CED"/>
    <w:rsid w:val="007B1ABF"/>
    <w:rsid w:val="007B2FB7"/>
    <w:rsid w:val="007B7083"/>
    <w:rsid w:val="007E15E1"/>
    <w:rsid w:val="007E4F50"/>
    <w:rsid w:val="007F43A6"/>
    <w:rsid w:val="008058E3"/>
    <w:rsid w:val="00837886"/>
    <w:rsid w:val="00851F14"/>
    <w:rsid w:val="00855D54"/>
    <w:rsid w:val="00873744"/>
    <w:rsid w:val="00891D37"/>
    <w:rsid w:val="00894EEB"/>
    <w:rsid w:val="008B7648"/>
    <w:rsid w:val="008C26B6"/>
    <w:rsid w:val="008C41EF"/>
    <w:rsid w:val="008C4A80"/>
    <w:rsid w:val="008D1C10"/>
    <w:rsid w:val="008F1634"/>
    <w:rsid w:val="00900AC3"/>
    <w:rsid w:val="00914964"/>
    <w:rsid w:val="009245FF"/>
    <w:rsid w:val="0092580D"/>
    <w:rsid w:val="00926581"/>
    <w:rsid w:val="00933CA6"/>
    <w:rsid w:val="00934BBF"/>
    <w:rsid w:val="00940097"/>
    <w:rsid w:val="00966256"/>
    <w:rsid w:val="00987942"/>
    <w:rsid w:val="00991BF1"/>
    <w:rsid w:val="00996488"/>
    <w:rsid w:val="009A0D16"/>
    <w:rsid w:val="009A1F07"/>
    <w:rsid w:val="009A219A"/>
    <w:rsid w:val="009A5C36"/>
    <w:rsid w:val="009B0F25"/>
    <w:rsid w:val="009B1FE7"/>
    <w:rsid w:val="009C702B"/>
    <w:rsid w:val="009D27B0"/>
    <w:rsid w:val="009D3D37"/>
    <w:rsid w:val="009F3F6B"/>
    <w:rsid w:val="00A06E0A"/>
    <w:rsid w:val="00A0729F"/>
    <w:rsid w:val="00A227BD"/>
    <w:rsid w:val="00A322CD"/>
    <w:rsid w:val="00A33926"/>
    <w:rsid w:val="00A4262F"/>
    <w:rsid w:val="00A47440"/>
    <w:rsid w:val="00A53C7D"/>
    <w:rsid w:val="00A60CA2"/>
    <w:rsid w:val="00A8182A"/>
    <w:rsid w:val="00A86616"/>
    <w:rsid w:val="00AA28D7"/>
    <w:rsid w:val="00AA5E0D"/>
    <w:rsid w:val="00AB5A91"/>
    <w:rsid w:val="00AC57E1"/>
    <w:rsid w:val="00AC5D36"/>
    <w:rsid w:val="00AD32CC"/>
    <w:rsid w:val="00AD654F"/>
    <w:rsid w:val="00B03F61"/>
    <w:rsid w:val="00B300E4"/>
    <w:rsid w:val="00B33F16"/>
    <w:rsid w:val="00B37893"/>
    <w:rsid w:val="00B639BD"/>
    <w:rsid w:val="00B65E57"/>
    <w:rsid w:val="00B665DF"/>
    <w:rsid w:val="00B72D57"/>
    <w:rsid w:val="00B850E9"/>
    <w:rsid w:val="00BA0F08"/>
    <w:rsid w:val="00BA6831"/>
    <w:rsid w:val="00BA6FB3"/>
    <w:rsid w:val="00BB38A4"/>
    <w:rsid w:val="00BB6767"/>
    <w:rsid w:val="00BC046E"/>
    <w:rsid w:val="00BC2CFA"/>
    <w:rsid w:val="00BC69FF"/>
    <w:rsid w:val="00BE6EEE"/>
    <w:rsid w:val="00C067A0"/>
    <w:rsid w:val="00C068C6"/>
    <w:rsid w:val="00C21544"/>
    <w:rsid w:val="00C30CF1"/>
    <w:rsid w:val="00C322B0"/>
    <w:rsid w:val="00C36830"/>
    <w:rsid w:val="00C437EF"/>
    <w:rsid w:val="00C43A6D"/>
    <w:rsid w:val="00C57362"/>
    <w:rsid w:val="00C601A4"/>
    <w:rsid w:val="00C62FCB"/>
    <w:rsid w:val="00C738F9"/>
    <w:rsid w:val="00C75351"/>
    <w:rsid w:val="00C809B5"/>
    <w:rsid w:val="00CB5161"/>
    <w:rsid w:val="00CB5946"/>
    <w:rsid w:val="00CC67B0"/>
    <w:rsid w:val="00CD4339"/>
    <w:rsid w:val="00CD6CD4"/>
    <w:rsid w:val="00CD6D41"/>
    <w:rsid w:val="00CE02CF"/>
    <w:rsid w:val="00CE23C7"/>
    <w:rsid w:val="00CE274A"/>
    <w:rsid w:val="00CF2218"/>
    <w:rsid w:val="00D11235"/>
    <w:rsid w:val="00D266A8"/>
    <w:rsid w:val="00D50095"/>
    <w:rsid w:val="00D60CEE"/>
    <w:rsid w:val="00D64AEC"/>
    <w:rsid w:val="00D71637"/>
    <w:rsid w:val="00DC512C"/>
    <w:rsid w:val="00DC716E"/>
    <w:rsid w:val="00DD0DDD"/>
    <w:rsid w:val="00DE374B"/>
    <w:rsid w:val="00DE5979"/>
    <w:rsid w:val="00DF0E98"/>
    <w:rsid w:val="00E009D4"/>
    <w:rsid w:val="00E07D19"/>
    <w:rsid w:val="00E106B2"/>
    <w:rsid w:val="00E1073B"/>
    <w:rsid w:val="00E17434"/>
    <w:rsid w:val="00E2510D"/>
    <w:rsid w:val="00E2654F"/>
    <w:rsid w:val="00E302B4"/>
    <w:rsid w:val="00E3052B"/>
    <w:rsid w:val="00E322A0"/>
    <w:rsid w:val="00E45456"/>
    <w:rsid w:val="00E53264"/>
    <w:rsid w:val="00E546BD"/>
    <w:rsid w:val="00E61F5E"/>
    <w:rsid w:val="00E65BFD"/>
    <w:rsid w:val="00E74D6D"/>
    <w:rsid w:val="00E76475"/>
    <w:rsid w:val="00EA0F7E"/>
    <w:rsid w:val="00EA4886"/>
    <w:rsid w:val="00EA6DCD"/>
    <w:rsid w:val="00EC6AEC"/>
    <w:rsid w:val="00EC6DC9"/>
    <w:rsid w:val="00EC781F"/>
    <w:rsid w:val="00EE3034"/>
    <w:rsid w:val="00EF0B99"/>
    <w:rsid w:val="00EF6713"/>
    <w:rsid w:val="00F009C5"/>
    <w:rsid w:val="00F14C58"/>
    <w:rsid w:val="00F179FB"/>
    <w:rsid w:val="00F17A9D"/>
    <w:rsid w:val="00F23999"/>
    <w:rsid w:val="00F26476"/>
    <w:rsid w:val="00F3544E"/>
    <w:rsid w:val="00F35BF4"/>
    <w:rsid w:val="00F53D74"/>
    <w:rsid w:val="00F56263"/>
    <w:rsid w:val="00F60FAA"/>
    <w:rsid w:val="00F62C4C"/>
    <w:rsid w:val="00F81078"/>
    <w:rsid w:val="00F85A85"/>
    <w:rsid w:val="00F875B2"/>
    <w:rsid w:val="00F953FE"/>
    <w:rsid w:val="00F97594"/>
    <w:rsid w:val="00FA248B"/>
    <w:rsid w:val="00FA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1"/>
  </w:style>
  <w:style w:type="paragraph" w:styleId="Heading1">
    <w:name w:val="heading 1"/>
    <w:basedOn w:val="Normal"/>
    <w:next w:val="Normal"/>
    <w:link w:val="Heading1Char"/>
    <w:autoRedefine/>
    <w:uiPriority w:val="9"/>
    <w:qFormat/>
    <w:rsid w:val="00275FA9"/>
    <w:pPr>
      <w:keepNext/>
      <w:keepLines/>
      <w:spacing w:before="240" w:after="240" w:line="240" w:lineRule="auto"/>
      <w:ind w:left="720" w:hanging="720"/>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autoRedefine/>
    <w:uiPriority w:val="9"/>
    <w:unhideWhenUsed/>
    <w:qFormat/>
    <w:rsid w:val="001228C2"/>
    <w:pPr>
      <w:keepNext/>
      <w:keepLines/>
      <w:spacing w:before="360" w:after="240" w:line="240" w:lineRule="auto"/>
      <w:ind w:left="1440" w:right="1440"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263A62"/>
    <w:pPr>
      <w:keepNext/>
      <w:keepLines/>
      <w:numPr>
        <w:numId w:val="11"/>
      </w:numPr>
      <w:spacing w:before="360" w:after="240" w:line="240" w:lineRule="auto"/>
      <w:ind w:left="2160" w:right="720" w:hanging="720"/>
      <w:outlineLvl w:val="2"/>
    </w:pPr>
    <w:rPr>
      <w:rFonts w:ascii="Times New Roman" w:eastAsiaTheme="majorEastAsia" w:hAnsi="Times New Roman"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19"/>
    <w:pPr>
      <w:ind w:left="720"/>
      <w:contextualSpacing/>
    </w:pPr>
  </w:style>
  <w:style w:type="paragraph" w:styleId="Header">
    <w:name w:val="header"/>
    <w:basedOn w:val="Normal"/>
    <w:link w:val="Head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33CA6"/>
    <w:rPr>
      <w:rFonts w:ascii="Times New Roman" w:hAnsi="Times New Roman"/>
      <w:sz w:val="24"/>
    </w:rPr>
  </w:style>
  <w:style w:type="paragraph" w:styleId="Footer">
    <w:name w:val="footer"/>
    <w:basedOn w:val="Normal"/>
    <w:link w:val="Foot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33CA6"/>
    <w:rPr>
      <w:rFonts w:ascii="Times New Roman" w:hAnsi="Times New Roman"/>
      <w:sz w:val="24"/>
    </w:rPr>
  </w:style>
  <w:style w:type="paragraph" w:styleId="BalloonText">
    <w:name w:val="Balloon Text"/>
    <w:basedOn w:val="Normal"/>
    <w:link w:val="BalloonTextChar"/>
    <w:uiPriority w:val="99"/>
    <w:semiHidden/>
    <w:unhideWhenUsed/>
    <w:rsid w:val="0093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A6"/>
    <w:rPr>
      <w:rFonts w:ascii="Tahoma" w:hAnsi="Tahoma" w:cs="Tahoma"/>
      <w:sz w:val="16"/>
      <w:szCs w:val="16"/>
    </w:rPr>
  </w:style>
  <w:style w:type="paragraph" w:styleId="FootnoteText">
    <w:name w:val="footnote text"/>
    <w:basedOn w:val="Normal"/>
    <w:link w:val="FootnoteTextChar"/>
    <w:autoRedefine/>
    <w:uiPriority w:val="99"/>
    <w:unhideWhenUsed/>
    <w:rsid w:val="00236570"/>
    <w:pPr>
      <w:tabs>
        <w:tab w:val="left" w:pos="720"/>
      </w:tabs>
      <w:spacing w:before="240" w:after="240" w:line="240" w:lineRule="auto"/>
      <w:ind w:left="720" w:hanging="720"/>
      <w:jc w:val="both"/>
    </w:pPr>
    <w:rPr>
      <w:rFonts w:ascii="Times New Roman" w:hAnsi="Times New Roman"/>
      <w:sz w:val="24"/>
      <w:szCs w:val="24"/>
    </w:rPr>
  </w:style>
  <w:style w:type="character" w:customStyle="1" w:styleId="FootnoteTextChar">
    <w:name w:val="Footnote Text Char"/>
    <w:basedOn w:val="DefaultParagraphFont"/>
    <w:link w:val="FootnoteText"/>
    <w:uiPriority w:val="99"/>
    <w:rsid w:val="00236570"/>
    <w:rPr>
      <w:rFonts w:ascii="Times New Roman" w:hAnsi="Times New Roman"/>
      <w:sz w:val="24"/>
      <w:szCs w:val="24"/>
    </w:rPr>
  </w:style>
  <w:style w:type="character" w:styleId="FootnoteReference">
    <w:name w:val="footnote reference"/>
    <w:basedOn w:val="DefaultParagraphFont"/>
    <w:uiPriority w:val="99"/>
    <w:semiHidden/>
    <w:unhideWhenUsed/>
    <w:rsid w:val="00632F5A"/>
    <w:rPr>
      <w:vertAlign w:val="superscript"/>
    </w:rPr>
  </w:style>
  <w:style w:type="paragraph" w:styleId="NoSpacing">
    <w:name w:val="No Spacing"/>
    <w:uiPriority w:val="1"/>
    <w:qFormat/>
    <w:rsid w:val="00E45456"/>
    <w:pPr>
      <w:spacing w:after="0" w:line="240" w:lineRule="auto"/>
    </w:pPr>
  </w:style>
  <w:style w:type="character" w:styleId="Hyperlink">
    <w:name w:val="Hyperlink"/>
    <w:basedOn w:val="DefaultParagraphFont"/>
    <w:uiPriority w:val="99"/>
    <w:unhideWhenUsed/>
    <w:rsid w:val="003E4899"/>
    <w:rPr>
      <w:color w:val="0000FF" w:themeColor="hyperlink"/>
      <w:u w:val="single"/>
    </w:rPr>
  </w:style>
  <w:style w:type="character" w:customStyle="1" w:styleId="Heading1Char">
    <w:name w:val="Heading 1 Char"/>
    <w:basedOn w:val="DefaultParagraphFont"/>
    <w:link w:val="Heading1"/>
    <w:uiPriority w:val="9"/>
    <w:rsid w:val="00275FA9"/>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1228C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263A62"/>
    <w:rPr>
      <w:rFonts w:ascii="Times New Roman" w:eastAsiaTheme="majorEastAsia" w:hAnsi="Times New Roman" w:cstheme="majorBidi"/>
      <w:b/>
      <w:bCs/>
      <w:sz w:val="26"/>
    </w:rPr>
  </w:style>
  <w:style w:type="paragraph" w:styleId="TOCHeading">
    <w:name w:val="TOC Heading"/>
    <w:basedOn w:val="Heading1"/>
    <w:next w:val="Normal"/>
    <w:uiPriority w:val="39"/>
    <w:semiHidden/>
    <w:unhideWhenUsed/>
    <w:qFormat/>
    <w:rsid w:val="00EF0B99"/>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DD0DDD"/>
    <w:pPr>
      <w:tabs>
        <w:tab w:val="right" w:leader="dot" w:pos="9350"/>
      </w:tabs>
      <w:spacing w:before="240" w:after="240" w:line="240" w:lineRule="auto"/>
      <w:ind w:left="720" w:right="1440" w:hanging="720"/>
    </w:pPr>
    <w:rPr>
      <w:rFonts w:ascii="Times New Roman" w:hAnsi="Times New Roman"/>
      <w:noProof/>
      <w:sz w:val="26"/>
    </w:rPr>
  </w:style>
  <w:style w:type="paragraph" w:styleId="TOC2">
    <w:name w:val="toc 2"/>
    <w:basedOn w:val="Normal"/>
    <w:next w:val="Normal"/>
    <w:autoRedefine/>
    <w:uiPriority w:val="39"/>
    <w:unhideWhenUsed/>
    <w:qFormat/>
    <w:rsid w:val="00F60FAA"/>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qFormat/>
    <w:rsid w:val="00DD0DDD"/>
    <w:pPr>
      <w:tabs>
        <w:tab w:val="right" w:leader="dot" w:pos="9346"/>
      </w:tabs>
      <w:spacing w:before="240" w:after="240" w:line="240" w:lineRule="auto"/>
      <w:ind w:left="2160" w:right="720" w:hanging="720"/>
    </w:pPr>
    <w:rPr>
      <w:rFonts w:ascii="Times New Roman" w:hAnsi="Times New Roman"/>
      <w:sz w:val="26"/>
    </w:rPr>
  </w:style>
  <w:style w:type="paragraph" w:customStyle="1" w:styleId="Textstyle">
    <w:name w:val="Text style"/>
    <w:basedOn w:val="Normal"/>
    <w:autoRedefine/>
    <w:rsid w:val="001228C2"/>
    <w:pPr>
      <w:autoSpaceDE w:val="0"/>
      <w:autoSpaceDN w:val="0"/>
      <w:adjustRightInd w:val="0"/>
      <w:spacing w:after="0" w:line="480" w:lineRule="auto"/>
    </w:pPr>
    <w:rPr>
      <w:rFonts w:ascii="Times New Roman" w:hAnsi="Times New Roman" w:cs="Times New Roman"/>
      <w:sz w:val="26"/>
      <w:szCs w:val="26"/>
    </w:rPr>
  </w:style>
  <w:style w:type="paragraph" w:customStyle="1" w:styleId="Blockquote">
    <w:name w:val="Block quote"/>
    <w:basedOn w:val="Normal"/>
    <w:autoRedefine/>
    <w:rsid w:val="00E106B2"/>
    <w:pPr>
      <w:autoSpaceDE w:val="0"/>
      <w:autoSpaceDN w:val="0"/>
      <w:adjustRightInd w:val="0"/>
      <w:spacing w:after="240" w:line="240" w:lineRule="auto"/>
      <w:ind w:left="1440" w:right="1440"/>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1"/>
  </w:style>
  <w:style w:type="paragraph" w:styleId="Heading1">
    <w:name w:val="heading 1"/>
    <w:basedOn w:val="Normal"/>
    <w:next w:val="Normal"/>
    <w:link w:val="Heading1Char"/>
    <w:autoRedefine/>
    <w:uiPriority w:val="9"/>
    <w:qFormat/>
    <w:rsid w:val="00275FA9"/>
    <w:pPr>
      <w:keepNext/>
      <w:keepLines/>
      <w:spacing w:before="240" w:after="240" w:line="240" w:lineRule="auto"/>
      <w:ind w:left="720" w:hanging="720"/>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autoRedefine/>
    <w:uiPriority w:val="9"/>
    <w:unhideWhenUsed/>
    <w:qFormat/>
    <w:rsid w:val="001228C2"/>
    <w:pPr>
      <w:keepNext/>
      <w:keepLines/>
      <w:spacing w:before="360" w:after="240" w:line="240" w:lineRule="auto"/>
      <w:ind w:left="1440" w:right="1440"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263A62"/>
    <w:pPr>
      <w:keepNext/>
      <w:keepLines/>
      <w:numPr>
        <w:numId w:val="11"/>
      </w:numPr>
      <w:spacing w:before="360" w:after="240" w:line="240" w:lineRule="auto"/>
      <w:ind w:left="2160" w:right="720" w:hanging="720"/>
      <w:outlineLvl w:val="2"/>
    </w:pPr>
    <w:rPr>
      <w:rFonts w:ascii="Times New Roman" w:eastAsiaTheme="majorEastAsia" w:hAnsi="Times New Roman"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19"/>
    <w:pPr>
      <w:ind w:left="720"/>
      <w:contextualSpacing/>
    </w:pPr>
  </w:style>
  <w:style w:type="paragraph" w:styleId="Header">
    <w:name w:val="header"/>
    <w:basedOn w:val="Normal"/>
    <w:link w:val="Head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33CA6"/>
    <w:rPr>
      <w:rFonts w:ascii="Times New Roman" w:hAnsi="Times New Roman"/>
      <w:sz w:val="24"/>
    </w:rPr>
  </w:style>
  <w:style w:type="paragraph" w:styleId="Footer">
    <w:name w:val="footer"/>
    <w:basedOn w:val="Normal"/>
    <w:link w:val="Foot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33CA6"/>
    <w:rPr>
      <w:rFonts w:ascii="Times New Roman" w:hAnsi="Times New Roman"/>
      <w:sz w:val="24"/>
    </w:rPr>
  </w:style>
  <w:style w:type="paragraph" w:styleId="BalloonText">
    <w:name w:val="Balloon Text"/>
    <w:basedOn w:val="Normal"/>
    <w:link w:val="BalloonTextChar"/>
    <w:uiPriority w:val="99"/>
    <w:semiHidden/>
    <w:unhideWhenUsed/>
    <w:rsid w:val="0093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A6"/>
    <w:rPr>
      <w:rFonts w:ascii="Tahoma" w:hAnsi="Tahoma" w:cs="Tahoma"/>
      <w:sz w:val="16"/>
      <w:szCs w:val="16"/>
    </w:rPr>
  </w:style>
  <w:style w:type="paragraph" w:styleId="FootnoteText">
    <w:name w:val="footnote text"/>
    <w:basedOn w:val="Normal"/>
    <w:link w:val="FootnoteTextChar"/>
    <w:autoRedefine/>
    <w:uiPriority w:val="99"/>
    <w:unhideWhenUsed/>
    <w:rsid w:val="00236570"/>
    <w:pPr>
      <w:tabs>
        <w:tab w:val="left" w:pos="720"/>
      </w:tabs>
      <w:spacing w:before="240" w:after="240" w:line="240" w:lineRule="auto"/>
      <w:ind w:left="720" w:hanging="720"/>
      <w:jc w:val="both"/>
    </w:pPr>
    <w:rPr>
      <w:rFonts w:ascii="Times New Roman" w:hAnsi="Times New Roman"/>
      <w:sz w:val="24"/>
      <w:szCs w:val="24"/>
    </w:rPr>
  </w:style>
  <w:style w:type="character" w:customStyle="1" w:styleId="FootnoteTextChar">
    <w:name w:val="Footnote Text Char"/>
    <w:basedOn w:val="DefaultParagraphFont"/>
    <w:link w:val="FootnoteText"/>
    <w:uiPriority w:val="99"/>
    <w:rsid w:val="00236570"/>
    <w:rPr>
      <w:rFonts w:ascii="Times New Roman" w:hAnsi="Times New Roman"/>
      <w:sz w:val="24"/>
      <w:szCs w:val="24"/>
    </w:rPr>
  </w:style>
  <w:style w:type="character" w:styleId="FootnoteReference">
    <w:name w:val="footnote reference"/>
    <w:basedOn w:val="DefaultParagraphFont"/>
    <w:uiPriority w:val="99"/>
    <w:semiHidden/>
    <w:unhideWhenUsed/>
    <w:rsid w:val="00632F5A"/>
    <w:rPr>
      <w:vertAlign w:val="superscript"/>
    </w:rPr>
  </w:style>
  <w:style w:type="paragraph" w:styleId="NoSpacing">
    <w:name w:val="No Spacing"/>
    <w:uiPriority w:val="1"/>
    <w:qFormat/>
    <w:rsid w:val="00E45456"/>
    <w:pPr>
      <w:spacing w:after="0" w:line="240" w:lineRule="auto"/>
    </w:pPr>
  </w:style>
  <w:style w:type="character" w:styleId="Hyperlink">
    <w:name w:val="Hyperlink"/>
    <w:basedOn w:val="DefaultParagraphFont"/>
    <w:uiPriority w:val="99"/>
    <w:unhideWhenUsed/>
    <w:rsid w:val="003E4899"/>
    <w:rPr>
      <w:color w:val="0000FF" w:themeColor="hyperlink"/>
      <w:u w:val="single"/>
    </w:rPr>
  </w:style>
  <w:style w:type="character" w:customStyle="1" w:styleId="Heading1Char">
    <w:name w:val="Heading 1 Char"/>
    <w:basedOn w:val="DefaultParagraphFont"/>
    <w:link w:val="Heading1"/>
    <w:uiPriority w:val="9"/>
    <w:rsid w:val="00275FA9"/>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1228C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263A62"/>
    <w:rPr>
      <w:rFonts w:ascii="Times New Roman" w:eastAsiaTheme="majorEastAsia" w:hAnsi="Times New Roman" w:cstheme="majorBidi"/>
      <w:b/>
      <w:bCs/>
      <w:sz w:val="26"/>
    </w:rPr>
  </w:style>
  <w:style w:type="paragraph" w:styleId="TOCHeading">
    <w:name w:val="TOC Heading"/>
    <w:basedOn w:val="Heading1"/>
    <w:next w:val="Normal"/>
    <w:uiPriority w:val="39"/>
    <w:semiHidden/>
    <w:unhideWhenUsed/>
    <w:qFormat/>
    <w:rsid w:val="00EF0B99"/>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DD0DDD"/>
    <w:pPr>
      <w:tabs>
        <w:tab w:val="right" w:leader="dot" w:pos="9350"/>
      </w:tabs>
      <w:spacing w:before="240" w:after="240" w:line="240" w:lineRule="auto"/>
      <w:ind w:left="720" w:right="1440" w:hanging="720"/>
    </w:pPr>
    <w:rPr>
      <w:rFonts w:ascii="Times New Roman" w:hAnsi="Times New Roman"/>
      <w:noProof/>
      <w:sz w:val="26"/>
    </w:rPr>
  </w:style>
  <w:style w:type="paragraph" w:styleId="TOC2">
    <w:name w:val="toc 2"/>
    <w:basedOn w:val="Normal"/>
    <w:next w:val="Normal"/>
    <w:autoRedefine/>
    <w:uiPriority w:val="39"/>
    <w:unhideWhenUsed/>
    <w:qFormat/>
    <w:rsid w:val="00F60FAA"/>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qFormat/>
    <w:rsid w:val="00DD0DDD"/>
    <w:pPr>
      <w:tabs>
        <w:tab w:val="right" w:leader="dot" w:pos="9346"/>
      </w:tabs>
      <w:spacing w:before="240" w:after="240" w:line="240" w:lineRule="auto"/>
      <w:ind w:left="2160" w:right="720" w:hanging="720"/>
    </w:pPr>
    <w:rPr>
      <w:rFonts w:ascii="Times New Roman" w:hAnsi="Times New Roman"/>
      <w:sz w:val="26"/>
    </w:rPr>
  </w:style>
  <w:style w:type="paragraph" w:customStyle="1" w:styleId="Textstyle">
    <w:name w:val="Text style"/>
    <w:basedOn w:val="Normal"/>
    <w:autoRedefine/>
    <w:rsid w:val="001228C2"/>
    <w:pPr>
      <w:autoSpaceDE w:val="0"/>
      <w:autoSpaceDN w:val="0"/>
      <w:adjustRightInd w:val="0"/>
      <w:spacing w:after="0" w:line="480" w:lineRule="auto"/>
    </w:pPr>
    <w:rPr>
      <w:rFonts w:ascii="Times New Roman" w:hAnsi="Times New Roman" w:cs="Times New Roman"/>
      <w:sz w:val="26"/>
      <w:szCs w:val="26"/>
    </w:rPr>
  </w:style>
  <w:style w:type="paragraph" w:customStyle="1" w:styleId="Blockquote">
    <w:name w:val="Block quote"/>
    <w:basedOn w:val="Normal"/>
    <w:autoRedefine/>
    <w:rsid w:val="00E106B2"/>
    <w:pPr>
      <w:autoSpaceDE w:val="0"/>
      <w:autoSpaceDN w:val="0"/>
      <w:adjustRightInd w:val="0"/>
      <w:spacing w:after="240" w:line="240" w:lineRule="auto"/>
      <w:ind w:left="1440" w:right="144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8500">
      <w:bodyDiv w:val="1"/>
      <w:marLeft w:val="0"/>
      <w:marRight w:val="0"/>
      <w:marTop w:val="0"/>
      <w:marBottom w:val="0"/>
      <w:divBdr>
        <w:top w:val="none" w:sz="0" w:space="0" w:color="auto"/>
        <w:left w:val="none" w:sz="0" w:space="0" w:color="auto"/>
        <w:bottom w:val="none" w:sz="0" w:space="0" w:color="auto"/>
        <w:right w:val="none" w:sz="0" w:space="0" w:color="auto"/>
      </w:divBdr>
    </w:div>
    <w:div w:id="943923663">
      <w:bodyDiv w:val="1"/>
      <w:marLeft w:val="0"/>
      <w:marRight w:val="0"/>
      <w:marTop w:val="0"/>
      <w:marBottom w:val="0"/>
      <w:divBdr>
        <w:top w:val="none" w:sz="0" w:space="0" w:color="auto"/>
        <w:left w:val="none" w:sz="0" w:space="0" w:color="auto"/>
        <w:bottom w:val="none" w:sz="0" w:space="0" w:color="auto"/>
        <w:right w:val="none" w:sz="0" w:space="0" w:color="auto"/>
      </w:divBdr>
    </w:div>
    <w:div w:id="14848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rthRoyer@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teven.beeler@puc.state.oh.u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ven.beeler@puc.state.oh.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8EBA-E9DA-4415-BCF8-1EB97572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5927</Words>
  <Characters>33788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39636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Beeler, Steven</dc:creator>
  <cp:lastModifiedBy>Keeton, Kim</cp:lastModifiedBy>
  <cp:revision>6</cp:revision>
  <cp:lastPrinted>2013-06-28T12:57:00Z</cp:lastPrinted>
  <dcterms:created xsi:type="dcterms:W3CDTF">2013-06-28T12:37:00Z</dcterms:created>
  <dcterms:modified xsi:type="dcterms:W3CDTF">2013-06-28T12:57:00Z</dcterms:modified>
</cp:coreProperties>
</file>