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AC" w:rsidRDefault="001351AC" w:rsidP="00BA78E4">
      <w:pPr>
        <w:jc w:val="center"/>
        <w:rPr>
          <w:b/>
        </w:rPr>
      </w:pPr>
    </w:p>
    <w:p w:rsidR="00BA78E4" w:rsidRPr="00F05425" w:rsidRDefault="00BA78E4" w:rsidP="00BA78E4">
      <w:pPr>
        <w:jc w:val="center"/>
        <w:rPr>
          <w:b/>
        </w:rPr>
      </w:pPr>
      <w:r w:rsidRPr="00F05425">
        <w:rPr>
          <w:b/>
        </w:rPr>
        <w:t>BEFORE THE PUBLIC UTILITIES COMMISSION OF OHIO</w:t>
      </w:r>
    </w:p>
    <w:p w:rsidR="00BA78E4" w:rsidRPr="00F05425" w:rsidRDefault="00BA78E4" w:rsidP="00BA78E4">
      <w:pPr>
        <w:jc w:val="center"/>
      </w:pPr>
    </w:p>
    <w:p w:rsidR="00BA78E4" w:rsidRPr="00F05425" w:rsidRDefault="00BA78E4" w:rsidP="00BA78E4"/>
    <w:p w:rsidR="00BA78E4" w:rsidRPr="00F05425" w:rsidRDefault="00BA78E4" w:rsidP="00BA78E4">
      <w:pPr>
        <w:autoSpaceDE w:val="0"/>
        <w:autoSpaceDN w:val="0"/>
        <w:adjustRightInd w:val="0"/>
      </w:pPr>
      <w:r w:rsidRPr="00F05425">
        <w:t xml:space="preserve">In the Matter of the Application </w:t>
      </w:r>
      <w:r>
        <w:t>of the Ohio</w:t>
      </w:r>
      <w:r w:rsidRPr="00F05425">
        <w:tab/>
      </w:r>
      <w:r w:rsidRPr="00F05425">
        <w:tab/>
        <w:t>)</w:t>
      </w:r>
    </w:p>
    <w:p w:rsidR="00BA78E4" w:rsidRPr="00F05425" w:rsidRDefault="00BA78E4" w:rsidP="00BA78E4">
      <w:pPr>
        <w:autoSpaceDE w:val="0"/>
        <w:autoSpaceDN w:val="0"/>
        <w:adjustRightInd w:val="0"/>
      </w:pPr>
      <w:r>
        <w:t xml:space="preserve">Edison </w:t>
      </w:r>
      <w:r w:rsidRPr="00F05425">
        <w:t>Company</w:t>
      </w:r>
      <w:r>
        <w:t>, The Cleveland Electric</w:t>
      </w:r>
      <w:r w:rsidRPr="00F05425">
        <w:tab/>
      </w:r>
      <w:r w:rsidRPr="00F05425">
        <w:tab/>
        <w:t xml:space="preserve">) </w:t>
      </w:r>
      <w:r w:rsidRPr="00F05425">
        <w:tab/>
        <w:t>Case No. 14-</w:t>
      </w:r>
      <w:r>
        <w:t>1297</w:t>
      </w:r>
      <w:r w:rsidRPr="00F05425">
        <w:t>-EL-</w:t>
      </w:r>
      <w:r>
        <w:t>SSO</w:t>
      </w:r>
    </w:p>
    <w:p w:rsidR="00BA78E4" w:rsidRPr="00F05425" w:rsidRDefault="00BA78E4" w:rsidP="00BA78E4">
      <w:pPr>
        <w:autoSpaceDE w:val="0"/>
        <w:autoSpaceDN w:val="0"/>
        <w:adjustRightInd w:val="0"/>
      </w:pPr>
      <w:r>
        <w:t>Illuminating Company, and The Toledo</w:t>
      </w:r>
      <w:r w:rsidRPr="00F05425">
        <w:t xml:space="preserve"> </w:t>
      </w:r>
      <w:r w:rsidRPr="00F05425">
        <w:tab/>
      </w:r>
      <w:r w:rsidRPr="00F05425">
        <w:tab/>
        <w:t>)</w:t>
      </w:r>
    </w:p>
    <w:p w:rsidR="00BA78E4" w:rsidRPr="00F05425" w:rsidRDefault="00BA78E4" w:rsidP="00BA78E4">
      <w:pPr>
        <w:autoSpaceDE w:val="0"/>
        <w:autoSpaceDN w:val="0"/>
        <w:adjustRightInd w:val="0"/>
      </w:pPr>
      <w:r>
        <w:t>Edison Company for Authority to Provide</w:t>
      </w:r>
      <w:r w:rsidRPr="00F05425">
        <w:tab/>
      </w:r>
      <w:r>
        <w:tab/>
      </w:r>
      <w:r w:rsidRPr="00F05425">
        <w:t>)</w:t>
      </w:r>
    </w:p>
    <w:p w:rsidR="00BA78E4" w:rsidRPr="00F05425" w:rsidRDefault="00BA78E4" w:rsidP="00BA78E4">
      <w:pPr>
        <w:autoSpaceDE w:val="0"/>
        <w:autoSpaceDN w:val="0"/>
        <w:adjustRightInd w:val="0"/>
      </w:pPr>
      <w:r>
        <w:t>for a Standard Service Offer Pursuant to</w:t>
      </w:r>
      <w:r w:rsidRPr="00F05425">
        <w:tab/>
      </w:r>
      <w:r>
        <w:tab/>
      </w:r>
      <w:r w:rsidRPr="00F05425">
        <w:t>)</w:t>
      </w:r>
    </w:p>
    <w:p w:rsidR="00BA78E4" w:rsidRDefault="00BA78E4" w:rsidP="00BA78E4">
      <w:pPr>
        <w:autoSpaceDE w:val="0"/>
        <w:autoSpaceDN w:val="0"/>
        <w:adjustRightInd w:val="0"/>
      </w:pPr>
      <w:r>
        <w:t xml:space="preserve">R.C. 4928.143 in the Form of a Electric </w:t>
      </w:r>
      <w:r>
        <w:tab/>
      </w:r>
      <w:r>
        <w:tab/>
        <w:t>)</w:t>
      </w:r>
    </w:p>
    <w:p w:rsidR="00BA78E4" w:rsidRPr="00F05425" w:rsidRDefault="00BA78E4" w:rsidP="00BA78E4">
      <w:pPr>
        <w:autoSpaceDE w:val="0"/>
        <w:autoSpaceDN w:val="0"/>
        <w:adjustRightInd w:val="0"/>
      </w:pPr>
      <w:r>
        <w:t>Security Plan</w:t>
      </w:r>
      <w:r w:rsidRPr="00F05425">
        <w:t xml:space="preserve"> </w:t>
      </w:r>
      <w:r w:rsidRPr="00F05425">
        <w:tab/>
      </w:r>
      <w:r w:rsidRPr="00F05425">
        <w:tab/>
      </w:r>
      <w:r w:rsidRPr="00F05425">
        <w:tab/>
      </w:r>
      <w:r>
        <w:tab/>
      </w:r>
      <w:r>
        <w:tab/>
      </w:r>
      <w:r>
        <w:tab/>
      </w:r>
      <w:r w:rsidRPr="00F05425">
        <w:t>)</w:t>
      </w:r>
      <w:bookmarkStart w:id="0" w:name="_GoBack"/>
      <w:bookmarkEnd w:id="0"/>
    </w:p>
    <w:p w:rsidR="008E1293" w:rsidRDefault="008E1293" w:rsidP="008E1293">
      <w:pPr>
        <w:autoSpaceDE w:val="0"/>
        <w:autoSpaceDN w:val="0"/>
        <w:adjustRightInd w:val="0"/>
      </w:pPr>
    </w:p>
    <w:p w:rsidR="00F05425" w:rsidRPr="00F05425" w:rsidRDefault="00F05425" w:rsidP="008E1293">
      <w:pPr>
        <w:autoSpaceDE w:val="0"/>
        <w:autoSpaceDN w:val="0"/>
        <w:adjustRightInd w:val="0"/>
      </w:pPr>
    </w:p>
    <w:p w:rsidR="00FD77F5" w:rsidRDefault="00612285" w:rsidP="005C3688">
      <w:pPr>
        <w:jc w:val="center"/>
        <w:rPr>
          <w:b/>
          <w:u w:val="single"/>
        </w:rPr>
      </w:pPr>
      <w:r>
        <w:rPr>
          <w:b/>
          <w:u w:val="single"/>
        </w:rPr>
        <w:t xml:space="preserve">NOBLE AMERICAS </w:t>
      </w:r>
      <w:r w:rsidR="00404B3A">
        <w:rPr>
          <w:b/>
          <w:u w:val="single"/>
        </w:rPr>
        <w:t xml:space="preserve">ENERGY </w:t>
      </w:r>
      <w:r w:rsidR="00E167EE">
        <w:rPr>
          <w:b/>
          <w:u w:val="single"/>
        </w:rPr>
        <w:t>SOLUTIONS</w:t>
      </w:r>
      <w:r>
        <w:rPr>
          <w:b/>
          <w:u w:val="single"/>
        </w:rPr>
        <w:t xml:space="preserve"> LLC</w:t>
      </w:r>
      <w:r w:rsidR="00F943B7" w:rsidRPr="00F05425">
        <w:rPr>
          <w:b/>
          <w:u w:val="single"/>
        </w:rPr>
        <w:t>'</w:t>
      </w:r>
      <w:r>
        <w:rPr>
          <w:b/>
          <w:u w:val="single"/>
        </w:rPr>
        <w:t>S</w:t>
      </w:r>
      <w:r w:rsidR="00F943B7" w:rsidRPr="00F05425">
        <w:rPr>
          <w:b/>
          <w:u w:val="single"/>
        </w:rPr>
        <w:t xml:space="preserve"> </w:t>
      </w:r>
    </w:p>
    <w:p w:rsidR="005C3688" w:rsidRDefault="00FD77F5" w:rsidP="005C3688">
      <w:pPr>
        <w:jc w:val="center"/>
        <w:rPr>
          <w:b/>
          <w:u w:val="single"/>
        </w:rPr>
      </w:pPr>
      <w:r>
        <w:rPr>
          <w:b/>
          <w:u w:val="single"/>
        </w:rPr>
        <w:t>POST</w:t>
      </w:r>
      <w:r w:rsidR="00E54409">
        <w:rPr>
          <w:b/>
          <w:u w:val="single"/>
        </w:rPr>
        <w:t>-</w:t>
      </w:r>
      <w:r>
        <w:rPr>
          <w:b/>
          <w:u w:val="single"/>
        </w:rPr>
        <w:t>HEARIN</w:t>
      </w:r>
      <w:r w:rsidR="00C43EE1">
        <w:rPr>
          <w:b/>
          <w:u w:val="single"/>
        </w:rPr>
        <w:t xml:space="preserve">G </w:t>
      </w:r>
      <w:r>
        <w:rPr>
          <w:b/>
          <w:u w:val="single"/>
        </w:rPr>
        <w:t>REPLY BRIEF</w:t>
      </w:r>
    </w:p>
    <w:p w:rsidR="00FD77F5" w:rsidRDefault="00FD77F5" w:rsidP="005C3688">
      <w:pPr>
        <w:jc w:val="center"/>
        <w:rPr>
          <w:b/>
          <w:u w:val="single"/>
        </w:rPr>
      </w:pPr>
    </w:p>
    <w:p w:rsidR="00FD77F5" w:rsidRDefault="00FD77F5" w:rsidP="005C3688">
      <w:pPr>
        <w:jc w:val="center"/>
        <w:rPr>
          <w:b/>
          <w:u w:val="single"/>
        </w:rPr>
      </w:pPr>
    </w:p>
    <w:p w:rsidR="00FD77F5" w:rsidRDefault="00FD77F5" w:rsidP="005C3688">
      <w:pPr>
        <w:jc w:val="center"/>
        <w:rPr>
          <w:b/>
          <w:u w:val="single"/>
        </w:rPr>
      </w:pPr>
    </w:p>
    <w:p w:rsidR="00FD77F5" w:rsidRDefault="00FD77F5" w:rsidP="005C3688">
      <w:pPr>
        <w:jc w:val="center"/>
        <w:rPr>
          <w:b/>
          <w:u w:val="single"/>
        </w:rPr>
      </w:pPr>
    </w:p>
    <w:p w:rsidR="00FD77F5" w:rsidRDefault="00FD77F5" w:rsidP="005C3688">
      <w:pPr>
        <w:jc w:val="center"/>
        <w:rPr>
          <w:b/>
          <w:u w:val="single"/>
        </w:rPr>
      </w:pPr>
    </w:p>
    <w:p w:rsidR="00FD77F5" w:rsidRDefault="00FD77F5" w:rsidP="005C3688">
      <w:pPr>
        <w:jc w:val="center"/>
        <w:rPr>
          <w:b/>
          <w:u w:val="single"/>
        </w:rPr>
      </w:pPr>
    </w:p>
    <w:p w:rsidR="00FD77F5" w:rsidRDefault="00FD77F5" w:rsidP="005C3688">
      <w:pPr>
        <w:jc w:val="center"/>
        <w:rPr>
          <w:b/>
          <w:u w:val="single"/>
        </w:rPr>
      </w:pPr>
    </w:p>
    <w:p w:rsidR="00FD77F5" w:rsidRDefault="00FD77F5" w:rsidP="005C3688">
      <w:pPr>
        <w:jc w:val="center"/>
        <w:rPr>
          <w:b/>
          <w:u w:val="single"/>
        </w:rPr>
      </w:pPr>
    </w:p>
    <w:p w:rsidR="00FD77F5" w:rsidRDefault="00FD77F5" w:rsidP="005C3688">
      <w:pPr>
        <w:jc w:val="center"/>
        <w:rPr>
          <w:b/>
          <w:u w:val="single"/>
        </w:rPr>
      </w:pPr>
    </w:p>
    <w:p w:rsidR="00FD77F5" w:rsidRDefault="00FD77F5" w:rsidP="005C3688">
      <w:pPr>
        <w:jc w:val="center"/>
        <w:rPr>
          <w:b/>
          <w:u w:val="single"/>
        </w:rPr>
      </w:pPr>
    </w:p>
    <w:p w:rsidR="00D33C19" w:rsidRPr="00F05425" w:rsidRDefault="00D33C19" w:rsidP="00D33C19">
      <w:pPr>
        <w:tabs>
          <w:tab w:val="left" w:pos="720"/>
          <w:tab w:val="left" w:pos="4674"/>
          <w:tab w:val="left" w:pos="5580"/>
          <w:tab w:val="left" w:pos="6030"/>
          <w:tab w:val="left" w:pos="7200"/>
        </w:tabs>
        <w:jc w:val="both"/>
      </w:pPr>
      <w:r w:rsidRPr="00F05425">
        <w:tab/>
      </w:r>
      <w:r w:rsidRPr="00F05425">
        <w:tab/>
      </w:r>
      <w:r w:rsidRPr="00F05425">
        <w:tab/>
      </w:r>
      <w:r w:rsidRPr="00F05425">
        <w:tab/>
      </w:r>
      <w:r w:rsidRPr="00F05425">
        <w:tab/>
      </w:r>
      <w:r w:rsidRPr="00F05425">
        <w:tab/>
      </w:r>
      <w:r w:rsidRPr="00F05425">
        <w:tab/>
      </w:r>
      <w:r w:rsidRPr="00F05425">
        <w:tab/>
      </w:r>
      <w:r w:rsidRPr="00F05425">
        <w:tab/>
      </w:r>
      <w:r w:rsidRPr="00F05425">
        <w:tab/>
        <w:t xml:space="preserve">      Respectfully submitted,</w:t>
      </w:r>
    </w:p>
    <w:p w:rsidR="00D33C19" w:rsidRPr="00F05425" w:rsidRDefault="00D33C19" w:rsidP="00D33C19">
      <w:pPr>
        <w:tabs>
          <w:tab w:val="left" w:pos="720"/>
          <w:tab w:val="left" w:pos="4674"/>
          <w:tab w:val="left" w:pos="5580"/>
          <w:tab w:val="left" w:pos="6030"/>
          <w:tab w:val="left" w:pos="7200"/>
        </w:tabs>
        <w:jc w:val="both"/>
      </w:pPr>
    </w:p>
    <w:p w:rsidR="00D33C19" w:rsidRPr="00F05425" w:rsidRDefault="00D33C19" w:rsidP="00D33C19">
      <w:pPr>
        <w:tabs>
          <w:tab w:val="left" w:pos="720"/>
          <w:tab w:val="left" w:pos="4674"/>
          <w:tab w:val="left" w:pos="5580"/>
          <w:tab w:val="left" w:pos="6030"/>
          <w:tab w:val="left" w:pos="7200"/>
        </w:tabs>
        <w:jc w:val="both"/>
      </w:pPr>
    </w:p>
    <w:p w:rsidR="00D33C19" w:rsidRPr="00F05425" w:rsidRDefault="00D33C19" w:rsidP="00D33C19">
      <w:pPr>
        <w:ind w:left="4320" w:firstLine="720"/>
      </w:pPr>
      <w:r w:rsidRPr="00F05425">
        <w:rPr>
          <w:u w:val="single"/>
        </w:rPr>
        <w:t xml:space="preserve">/s/ </w:t>
      </w:r>
      <w:r w:rsidR="006974B0">
        <w:rPr>
          <w:u w:val="single"/>
        </w:rPr>
        <w:t>Michael D. Dortch</w:t>
      </w:r>
      <w:r w:rsidRPr="00F05425">
        <w:rPr>
          <w:u w:val="single"/>
        </w:rPr>
        <w:tab/>
      </w:r>
      <w:r w:rsidRPr="00F05425">
        <w:rPr>
          <w:u w:val="single"/>
        </w:rPr>
        <w:tab/>
      </w:r>
      <w:r w:rsidRPr="00F05425">
        <w:rPr>
          <w:u w:val="single"/>
        </w:rPr>
        <w:tab/>
      </w:r>
      <w:r w:rsidRPr="00F05425">
        <w:tab/>
      </w:r>
    </w:p>
    <w:p w:rsidR="00D33C19" w:rsidRPr="00F05425" w:rsidRDefault="00D33C19" w:rsidP="00D33C19">
      <w:r w:rsidRPr="00F05425">
        <w:tab/>
      </w:r>
      <w:r w:rsidRPr="00F05425">
        <w:tab/>
      </w:r>
      <w:r w:rsidRPr="00F05425">
        <w:tab/>
      </w:r>
      <w:r w:rsidRPr="00F05425">
        <w:tab/>
      </w:r>
      <w:r w:rsidRPr="00F05425">
        <w:tab/>
      </w:r>
      <w:r w:rsidRPr="00F05425">
        <w:tab/>
      </w:r>
      <w:r w:rsidRPr="00F05425">
        <w:tab/>
        <w:t>Michael D. Dortch (0043897)</w:t>
      </w:r>
    </w:p>
    <w:p w:rsidR="00D33C19" w:rsidRPr="00F05425" w:rsidRDefault="00D33C19" w:rsidP="00D33C19">
      <w:r w:rsidRPr="00F05425">
        <w:tab/>
      </w:r>
      <w:r w:rsidRPr="00F05425">
        <w:tab/>
      </w:r>
      <w:r w:rsidRPr="00F05425">
        <w:tab/>
      </w:r>
      <w:r w:rsidRPr="00F05425">
        <w:tab/>
      </w:r>
      <w:r w:rsidRPr="00F05425">
        <w:tab/>
      </w:r>
      <w:r w:rsidRPr="00F05425">
        <w:tab/>
      </w:r>
      <w:r w:rsidRPr="00F05425">
        <w:tab/>
        <w:t>Richard R. Parsons (0082270)</w:t>
      </w:r>
    </w:p>
    <w:p w:rsidR="00D33C19" w:rsidRPr="00F05425" w:rsidRDefault="00D33C19" w:rsidP="00D33C19">
      <w:r w:rsidRPr="00F05425">
        <w:tab/>
      </w:r>
      <w:r w:rsidRPr="00F05425">
        <w:tab/>
      </w:r>
      <w:r w:rsidRPr="00F05425">
        <w:tab/>
      </w:r>
      <w:r w:rsidRPr="00F05425">
        <w:tab/>
      </w:r>
      <w:r w:rsidRPr="00F05425">
        <w:tab/>
      </w:r>
      <w:r w:rsidRPr="00F05425">
        <w:tab/>
      </w:r>
      <w:r w:rsidRPr="00F05425">
        <w:tab/>
      </w:r>
      <w:r w:rsidRPr="003979BB">
        <w:rPr>
          <w:sz w:val="28"/>
        </w:rPr>
        <w:t>Kravitz, Brown &amp; Dortch, LLC</w:t>
      </w:r>
    </w:p>
    <w:p w:rsidR="00D33C19" w:rsidRPr="00F05425" w:rsidRDefault="00D33C19" w:rsidP="00D33C19">
      <w:pPr>
        <w:jc w:val="both"/>
      </w:pPr>
      <w:r w:rsidRPr="00F05425">
        <w:tab/>
      </w:r>
      <w:r w:rsidRPr="00F05425">
        <w:tab/>
      </w:r>
      <w:r w:rsidRPr="00F05425">
        <w:tab/>
      </w:r>
      <w:r w:rsidRPr="00F05425">
        <w:tab/>
      </w:r>
      <w:r w:rsidRPr="00F05425">
        <w:tab/>
      </w:r>
      <w:r w:rsidRPr="00F05425">
        <w:tab/>
      </w:r>
      <w:r w:rsidRPr="00F05425">
        <w:tab/>
        <w:t>65 East State Street, Suite 200</w:t>
      </w:r>
    </w:p>
    <w:p w:rsidR="00D33C19" w:rsidRPr="00F05425" w:rsidRDefault="00D33C19" w:rsidP="00D33C19">
      <w:pPr>
        <w:jc w:val="both"/>
      </w:pPr>
      <w:r w:rsidRPr="00F05425">
        <w:tab/>
      </w:r>
      <w:r w:rsidRPr="00F05425">
        <w:tab/>
      </w:r>
      <w:r w:rsidRPr="00F05425">
        <w:tab/>
      </w:r>
      <w:r w:rsidRPr="00F05425">
        <w:tab/>
      </w:r>
      <w:r w:rsidRPr="00F05425">
        <w:tab/>
      </w:r>
      <w:r w:rsidRPr="00F05425">
        <w:tab/>
      </w:r>
      <w:r w:rsidRPr="00F05425">
        <w:tab/>
        <w:t>Columbus, Ohio 43215</w:t>
      </w:r>
    </w:p>
    <w:p w:rsidR="00D33C19" w:rsidRPr="00F05425" w:rsidRDefault="00D33C19" w:rsidP="00D33C19">
      <w:pPr>
        <w:jc w:val="both"/>
      </w:pPr>
      <w:r w:rsidRPr="00F05425">
        <w:tab/>
      </w:r>
      <w:r w:rsidRPr="00F05425">
        <w:tab/>
      </w:r>
      <w:r w:rsidRPr="00F05425">
        <w:tab/>
      </w:r>
      <w:r w:rsidRPr="00F05425">
        <w:tab/>
      </w:r>
      <w:r w:rsidRPr="00F05425">
        <w:tab/>
      </w:r>
      <w:r w:rsidRPr="00F05425">
        <w:tab/>
      </w:r>
      <w:r w:rsidRPr="00F05425">
        <w:tab/>
        <w:t>Tel:  (614) 464-2000</w:t>
      </w:r>
    </w:p>
    <w:p w:rsidR="00D33C19" w:rsidRPr="00F05425" w:rsidRDefault="00D33C19" w:rsidP="00D33C19">
      <w:pPr>
        <w:jc w:val="both"/>
      </w:pPr>
      <w:r w:rsidRPr="00F05425">
        <w:tab/>
      </w:r>
      <w:r w:rsidRPr="00F05425">
        <w:tab/>
      </w:r>
      <w:r w:rsidRPr="00F05425">
        <w:tab/>
      </w:r>
      <w:r w:rsidRPr="00F05425">
        <w:tab/>
      </w:r>
      <w:r w:rsidRPr="00F05425">
        <w:tab/>
      </w:r>
      <w:r w:rsidRPr="00F05425">
        <w:tab/>
      </w:r>
      <w:r w:rsidRPr="00F05425">
        <w:tab/>
        <w:t>Fax:  (614) 464-2002</w:t>
      </w:r>
    </w:p>
    <w:p w:rsidR="00D33C19" w:rsidRDefault="00D33C19" w:rsidP="00D33C19">
      <w:pPr>
        <w:ind w:right="-1260"/>
        <w:jc w:val="both"/>
      </w:pPr>
      <w:r w:rsidRPr="00F05425">
        <w:tab/>
      </w:r>
      <w:r w:rsidRPr="00F05425">
        <w:tab/>
      </w:r>
      <w:r w:rsidRPr="00F05425">
        <w:tab/>
      </w:r>
      <w:r w:rsidRPr="00F05425">
        <w:tab/>
      </w:r>
      <w:r w:rsidRPr="00F05425">
        <w:tab/>
      </w:r>
      <w:r w:rsidRPr="00F05425">
        <w:tab/>
      </w:r>
      <w:r w:rsidRPr="00F05425">
        <w:tab/>
        <w:t xml:space="preserve">E-mail:  </w:t>
      </w:r>
      <w:hyperlink r:id="rId9" w:history="1">
        <w:r w:rsidR="003979BB" w:rsidRPr="00D074F4">
          <w:rPr>
            <w:rStyle w:val="Hyperlink"/>
          </w:rPr>
          <w:t>mdortch@kravitzllc.com</w:t>
        </w:r>
      </w:hyperlink>
    </w:p>
    <w:p w:rsidR="003979BB" w:rsidRPr="00F05425" w:rsidRDefault="003979BB" w:rsidP="00D33C19">
      <w:pPr>
        <w:ind w:right="-1260"/>
        <w:jc w:val="both"/>
      </w:pPr>
      <w:r>
        <w:tab/>
      </w:r>
      <w:r>
        <w:tab/>
      </w:r>
      <w:r>
        <w:tab/>
      </w:r>
      <w:r>
        <w:tab/>
      </w:r>
      <w:r>
        <w:tab/>
      </w:r>
      <w:r>
        <w:tab/>
      </w:r>
      <w:r>
        <w:tab/>
      </w:r>
      <w:r>
        <w:tab/>
        <w:t xml:space="preserve">  </w:t>
      </w:r>
      <w:hyperlink r:id="rId10" w:history="1">
        <w:r w:rsidRPr="00D074F4">
          <w:rPr>
            <w:rStyle w:val="Hyperlink"/>
          </w:rPr>
          <w:t>rparsons@kravitzllc.com</w:t>
        </w:r>
      </w:hyperlink>
      <w:r>
        <w:tab/>
      </w:r>
    </w:p>
    <w:p w:rsidR="00D33C19" w:rsidRPr="00F05425" w:rsidRDefault="00D33C19" w:rsidP="00D33C19">
      <w:pPr>
        <w:ind w:left="4320" w:right="-1260" w:firstLine="720"/>
        <w:jc w:val="both"/>
      </w:pPr>
    </w:p>
    <w:p w:rsidR="003979BB" w:rsidRDefault="00A1691E" w:rsidP="00D33C19">
      <w:pPr>
        <w:ind w:left="4320" w:right="-1260" w:firstLine="720"/>
        <w:jc w:val="both"/>
      </w:pPr>
      <w:r w:rsidRPr="00F05425">
        <w:t>Attorney</w:t>
      </w:r>
      <w:r w:rsidR="00DB2013" w:rsidRPr="00F05425">
        <w:t>s</w:t>
      </w:r>
      <w:r w:rsidR="00AD1D23" w:rsidRPr="00F05425">
        <w:t xml:space="preserve"> for </w:t>
      </w:r>
    </w:p>
    <w:p w:rsidR="00722C00" w:rsidRDefault="008D6346" w:rsidP="00D33C19">
      <w:pPr>
        <w:ind w:left="4320" w:right="-1260" w:firstLine="720"/>
        <w:jc w:val="both"/>
      </w:pPr>
      <w:r>
        <w:t xml:space="preserve">NOBLE </w:t>
      </w:r>
      <w:r w:rsidR="00822F18">
        <w:t>AMERICAS</w:t>
      </w:r>
    </w:p>
    <w:p w:rsidR="00AD1D23" w:rsidRPr="00F05425" w:rsidRDefault="00722C00" w:rsidP="00D33C19">
      <w:pPr>
        <w:ind w:left="4320" w:right="-1260" w:firstLine="720"/>
        <w:jc w:val="both"/>
      </w:pPr>
      <w:r>
        <w:t>ENERGY SOLUTIONS</w:t>
      </w:r>
      <w:r w:rsidR="00822F18">
        <w:t xml:space="preserve"> LLC</w:t>
      </w:r>
    </w:p>
    <w:p w:rsidR="00833BA4" w:rsidRPr="00F05425" w:rsidRDefault="00833BA4" w:rsidP="00AD1D23">
      <w:pPr>
        <w:rPr>
          <w:b/>
          <w:u w:val="single"/>
        </w:rPr>
      </w:pPr>
    </w:p>
    <w:p w:rsidR="00833BA4" w:rsidRPr="00F05425" w:rsidRDefault="00BA78E4" w:rsidP="00C43EE1">
      <w:pPr>
        <w:spacing w:line="480" w:lineRule="auto"/>
        <w:rPr>
          <w:b/>
          <w:u w:val="single"/>
        </w:rPr>
      </w:pPr>
      <w:r>
        <w:rPr>
          <w:b/>
          <w:u w:val="single"/>
        </w:rPr>
        <w:br w:type="page"/>
      </w:r>
    </w:p>
    <w:p w:rsidR="000A6A2A" w:rsidRPr="000A6A2A" w:rsidRDefault="000A6A2A" w:rsidP="00FF3FB7">
      <w:pPr>
        <w:numPr>
          <w:ilvl w:val="0"/>
          <w:numId w:val="5"/>
        </w:numPr>
        <w:autoSpaceDE w:val="0"/>
        <w:autoSpaceDN w:val="0"/>
        <w:adjustRightInd w:val="0"/>
        <w:spacing w:line="480" w:lineRule="auto"/>
        <w:ind w:left="720"/>
        <w:rPr>
          <w:b/>
        </w:rPr>
      </w:pPr>
      <w:r w:rsidRPr="000A6A2A">
        <w:rPr>
          <w:b/>
        </w:rPr>
        <w:lastRenderedPageBreak/>
        <w:t>INTRODUCTION</w:t>
      </w:r>
    </w:p>
    <w:p w:rsidR="000A6A2A" w:rsidRDefault="008D6346" w:rsidP="00FF3FB7">
      <w:pPr>
        <w:autoSpaceDE w:val="0"/>
        <w:autoSpaceDN w:val="0"/>
        <w:adjustRightInd w:val="0"/>
        <w:spacing w:line="480" w:lineRule="auto"/>
        <w:ind w:firstLine="720"/>
      </w:pPr>
      <w:r>
        <w:t xml:space="preserve">Noble </w:t>
      </w:r>
      <w:r w:rsidR="007801E4">
        <w:t xml:space="preserve">Americas </w:t>
      </w:r>
      <w:r w:rsidR="002C1173">
        <w:t>Energy Solutions</w:t>
      </w:r>
      <w:r w:rsidR="003C52A8">
        <w:t xml:space="preserve"> LLC</w:t>
      </w:r>
      <w:r w:rsidR="002C1173" w:rsidRPr="00F05425">
        <w:t xml:space="preserve"> </w:t>
      </w:r>
      <w:r w:rsidR="0054738B" w:rsidRPr="00F05425">
        <w:t>(“</w:t>
      </w:r>
      <w:r w:rsidR="002C1173">
        <w:t xml:space="preserve">Noble </w:t>
      </w:r>
      <w:r w:rsidR="005A7C2E">
        <w:t>Solutions</w:t>
      </w:r>
      <w:r w:rsidR="0054738B" w:rsidRPr="00F05425">
        <w:t xml:space="preserve">”) </w:t>
      </w:r>
      <w:r w:rsidR="00BB56ED">
        <w:t xml:space="preserve">is a certified </w:t>
      </w:r>
      <w:r w:rsidR="000903A4">
        <w:t>provider</w:t>
      </w:r>
      <w:r w:rsidR="00BB56ED">
        <w:t xml:space="preserve"> of competitive</w:t>
      </w:r>
      <w:r w:rsidR="00110DF4">
        <w:t xml:space="preserve"> retail</w:t>
      </w:r>
      <w:r w:rsidR="00BB56ED">
        <w:t xml:space="preserve"> electric service (“CRES”) in Ohio und</w:t>
      </w:r>
      <w:r w:rsidR="007624FF">
        <w:t>er PUCO Certificate No. 01-052E</w:t>
      </w:r>
      <w:r w:rsidR="00BB56ED">
        <w:t>(8)</w:t>
      </w:r>
      <w:r w:rsidR="008F4361">
        <w:t xml:space="preserve"> that</w:t>
      </w:r>
      <w:r w:rsidR="00BB56ED">
        <w:t xml:space="preserve"> </w:t>
      </w:r>
      <w:r w:rsidR="00F67A90">
        <w:t>focuses its marketing efforts on industrial and commercial consumers of electricity</w:t>
      </w:r>
      <w:r w:rsidR="00EF271F">
        <w:t xml:space="preserve">.  </w:t>
      </w:r>
      <w:r w:rsidR="00F67A90">
        <w:t xml:space="preserve">Since nearly the initiation of these proceedings, Noble Solutions has </w:t>
      </w:r>
      <w:r w:rsidR="00E54409">
        <w:t>participated in them</w:t>
      </w:r>
      <w:r w:rsidR="00F67A90">
        <w:t xml:space="preserve"> </w:t>
      </w:r>
      <w:r w:rsidR="00C43EE1">
        <w:t xml:space="preserve">as </w:t>
      </w:r>
      <w:r w:rsidR="00BB56ED">
        <w:t xml:space="preserve">a member of </w:t>
      </w:r>
      <w:r w:rsidR="00C57DAD" w:rsidRPr="008704AD">
        <w:rPr>
          <w:szCs w:val="20"/>
        </w:rPr>
        <w:t>The Retail Energy Supply Association (“RESA”)</w:t>
      </w:r>
      <w:r w:rsidR="00C57DAD">
        <w:rPr>
          <w:szCs w:val="20"/>
        </w:rPr>
        <w:t xml:space="preserve"> </w:t>
      </w:r>
      <w:r w:rsidR="008B19A0">
        <w:t>an industry group</w:t>
      </w:r>
      <w:r w:rsidR="00BB56ED">
        <w:t xml:space="preserve"> which </w:t>
      </w:r>
      <w:r w:rsidR="005241F8">
        <w:t>moved to intervene</w:t>
      </w:r>
      <w:r w:rsidR="00BB56ED">
        <w:t xml:space="preserve"> in this </w:t>
      </w:r>
      <w:r w:rsidR="00E54409">
        <w:t>matter</w:t>
      </w:r>
      <w:r w:rsidR="005241F8">
        <w:t xml:space="preserve"> on October </w:t>
      </w:r>
      <w:r w:rsidR="00041FDD">
        <w:t>1</w:t>
      </w:r>
      <w:r w:rsidR="005241F8">
        <w:t>, 2014</w:t>
      </w:r>
      <w:r w:rsidR="000903A4">
        <w:t>,</w:t>
      </w:r>
      <w:r w:rsidR="005241F8">
        <w:t xml:space="preserve"> less than </w:t>
      </w:r>
      <w:r w:rsidR="00041FDD">
        <w:t>two months</w:t>
      </w:r>
      <w:r w:rsidR="005241F8">
        <w:t xml:space="preserve"> after </w:t>
      </w:r>
      <w:r w:rsidR="00041FDD">
        <w:t xml:space="preserve">this case was first </w:t>
      </w:r>
      <w:r w:rsidR="005241F8">
        <w:t>filed</w:t>
      </w:r>
      <w:r w:rsidR="00BB56ED">
        <w:t xml:space="preserve">.  </w:t>
      </w:r>
    </w:p>
    <w:p w:rsidR="00BA78E4" w:rsidRDefault="00E66BA1" w:rsidP="00041FDD">
      <w:pPr>
        <w:autoSpaceDE w:val="0"/>
        <w:autoSpaceDN w:val="0"/>
        <w:adjustRightInd w:val="0"/>
        <w:spacing w:line="480" w:lineRule="auto"/>
        <w:ind w:firstLine="720"/>
      </w:pPr>
      <w:r>
        <w:t>R</w:t>
      </w:r>
      <w:r w:rsidR="00BB56ED">
        <w:t xml:space="preserve">ecently, </w:t>
      </w:r>
      <w:r>
        <w:t xml:space="preserve">however, </w:t>
      </w:r>
      <w:r w:rsidR="00F67A90">
        <w:t xml:space="preserve">during the course of </w:t>
      </w:r>
      <w:r>
        <w:t>negotiations surrounding the</w:t>
      </w:r>
      <w:r w:rsidR="00110DF4">
        <w:t xml:space="preserve"> </w:t>
      </w:r>
      <w:r w:rsidR="00110DF4" w:rsidRPr="00110DF4">
        <w:rPr>
          <w:color w:val="232323"/>
        </w:rPr>
        <w:t>Joint Stipulation and Recommendation</w:t>
      </w:r>
      <w:r w:rsidR="00BA78E4">
        <w:t xml:space="preserve"> filed December 1</w:t>
      </w:r>
      <w:r w:rsidR="00110DF4">
        <w:t>, 2015</w:t>
      </w:r>
      <w:r w:rsidR="00041FDD">
        <w:t>,</w:t>
      </w:r>
      <w:r w:rsidR="00110DF4">
        <w:t xml:space="preserve"> in these proceedings (the “</w:t>
      </w:r>
      <w:r w:rsidR="00BA78E4">
        <w:t xml:space="preserve">Third Supplemental </w:t>
      </w:r>
      <w:r>
        <w:t>Stipulation</w:t>
      </w:r>
      <w:r w:rsidR="006B69AF">
        <w:t>,</w:t>
      </w:r>
      <w:r w:rsidR="00110DF4">
        <w:t>”</w:t>
      </w:r>
      <w:r w:rsidR="006B69AF" w:rsidRPr="006B69AF">
        <w:rPr>
          <w:iCs/>
        </w:rPr>
        <w:t xml:space="preserve"> </w:t>
      </w:r>
      <w:r w:rsidR="006B69AF">
        <w:rPr>
          <w:iCs/>
        </w:rPr>
        <w:t>which incorporates the terms of the December 22, 2014 Stipulation, the May 28, 2015 Supplemental Stipulation, and the June 4, 2015 Second Supplemental Stipulation; collectively, “the Stipulation”</w:t>
      </w:r>
      <w:r w:rsidR="00110DF4">
        <w:t>)</w:t>
      </w:r>
      <w:r>
        <w:t xml:space="preserve"> </w:t>
      </w:r>
      <w:r w:rsidR="00041FDD">
        <w:t xml:space="preserve">and the </w:t>
      </w:r>
      <w:r w:rsidR="000903A4">
        <w:t xml:space="preserve">Joint Stipulation and Recommendation filed </w:t>
      </w:r>
      <w:r w:rsidR="00041FDD">
        <w:t xml:space="preserve">December 14, 2015, in </w:t>
      </w:r>
      <w:r w:rsidR="000903A4">
        <w:t xml:space="preserve">case numbers </w:t>
      </w:r>
      <w:r w:rsidR="00041FDD">
        <w:t>14-1693 and 14-1694</w:t>
      </w:r>
      <w:r w:rsidR="000903A4">
        <w:t>,</w:t>
      </w:r>
      <w:r w:rsidR="00041FDD">
        <w:t xml:space="preserve"> initiated by the Ohio operating companies of American Electric Power (</w:t>
      </w:r>
      <w:r w:rsidR="000903A4">
        <w:t xml:space="preserve">collectively, </w:t>
      </w:r>
      <w:r w:rsidR="00041FDD">
        <w:t xml:space="preserve">“AEP Ohio”), </w:t>
      </w:r>
      <w:r w:rsidR="00BB56ED">
        <w:t>Noble Solutions’ interests</w:t>
      </w:r>
      <w:r>
        <w:t xml:space="preserve"> </w:t>
      </w:r>
      <w:r w:rsidR="00A3615B">
        <w:t xml:space="preserve">unforeseeably </w:t>
      </w:r>
      <w:r>
        <w:t xml:space="preserve">diverged from those of </w:t>
      </w:r>
      <w:r w:rsidR="000F157B">
        <w:t xml:space="preserve">certain </w:t>
      </w:r>
      <w:r w:rsidR="006847B8">
        <w:t xml:space="preserve">members of </w:t>
      </w:r>
      <w:r w:rsidR="00C57DAD">
        <w:t>RESA</w:t>
      </w:r>
      <w:r w:rsidR="00041FDD">
        <w:t>.</w:t>
      </w:r>
      <w:r w:rsidR="000903A4">
        <w:t xml:space="preserve">  </w:t>
      </w:r>
      <w:r w:rsidR="000A6A2A">
        <w:t xml:space="preserve">When these conflicts arose, Noble Solutions </w:t>
      </w:r>
      <w:r w:rsidR="00F67A90">
        <w:t xml:space="preserve">immediately </w:t>
      </w:r>
      <w:r w:rsidR="00647689">
        <w:t xml:space="preserve">sought </w:t>
      </w:r>
      <w:r w:rsidR="00E54409">
        <w:t xml:space="preserve">separate </w:t>
      </w:r>
      <w:r w:rsidR="00647689">
        <w:t>intervention</w:t>
      </w:r>
      <w:r w:rsidR="00D00372">
        <w:t xml:space="preserve"> </w:t>
      </w:r>
      <w:r w:rsidR="00BE2F6B">
        <w:t xml:space="preserve">in </w:t>
      </w:r>
      <w:r w:rsidR="00E54409" w:rsidRPr="00F05425">
        <w:t>th</w:t>
      </w:r>
      <w:r w:rsidR="00E54409">
        <w:t>ese</w:t>
      </w:r>
      <w:r w:rsidR="00E54409" w:rsidRPr="00F05425">
        <w:t xml:space="preserve"> </w:t>
      </w:r>
      <w:r w:rsidR="0054738B" w:rsidRPr="00F05425">
        <w:t>proceeding</w:t>
      </w:r>
      <w:r w:rsidR="00E54409">
        <w:t>s</w:t>
      </w:r>
      <w:r w:rsidR="0054738B" w:rsidRPr="00F05425">
        <w:t xml:space="preserve"> pursuant</w:t>
      </w:r>
      <w:r w:rsidR="00AF649E" w:rsidRPr="00F05425">
        <w:t xml:space="preserve"> </w:t>
      </w:r>
      <w:r w:rsidR="007B0BB8">
        <w:t>to Ohio Rev</w:t>
      </w:r>
      <w:r w:rsidR="00C65836">
        <w:t>ised</w:t>
      </w:r>
      <w:r w:rsidR="00C65836" w:rsidRPr="00F05425">
        <w:t xml:space="preserve"> </w:t>
      </w:r>
      <w:r w:rsidR="0054738B" w:rsidRPr="00F05425">
        <w:t xml:space="preserve">Code </w:t>
      </w:r>
      <w:r w:rsidR="00C65836">
        <w:t xml:space="preserve">(“R.C.”) </w:t>
      </w:r>
      <w:r w:rsidR="0054738B" w:rsidRPr="00F05425">
        <w:t xml:space="preserve">Section </w:t>
      </w:r>
      <w:r w:rsidR="007B0BB8">
        <w:t>4903.221 and Ohio Admin.</w:t>
      </w:r>
      <w:r w:rsidR="0054738B" w:rsidRPr="00F05425">
        <w:t xml:space="preserve"> Code Rule 4901-1-11</w:t>
      </w:r>
      <w:r w:rsidR="00110809">
        <w:t>(F)</w:t>
      </w:r>
      <w:r w:rsidR="00A55ADE">
        <w:t xml:space="preserve">, </w:t>
      </w:r>
      <w:r w:rsidR="00F67A90">
        <w:t xml:space="preserve">invoking the </w:t>
      </w:r>
      <w:r w:rsidR="008F4361">
        <w:t xml:space="preserve">exception for </w:t>
      </w:r>
      <w:r w:rsidR="00F67A90">
        <w:t xml:space="preserve">extraordinary circumstances and </w:t>
      </w:r>
      <w:r w:rsidR="00A55ADE">
        <w:t>promising to accept the record in this case</w:t>
      </w:r>
      <w:r w:rsidR="00F67A90">
        <w:t xml:space="preserve"> as it had developed to that </w:t>
      </w:r>
      <w:r w:rsidR="008F4361">
        <w:t>point</w:t>
      </w:r>
      <w:r w:rsidR="002456E1">
        <w:t>.  By this com</w:t>
      </w:r>
      <w:r w:rsidR="00041FDD">
        <w:t>mitment, Noble Solutions assured</w:t>
      </w:r>
      <w:r w:rsidR="002456E1">
        <w:t xml:space="preserve"> this Commission </w:t>
      </w:r>
      <w:r w:rsidR="00890567">
        <w:t xml:space="preserve">and the parties to these proceedings </w:t>
      </w:r>
      <w:r w:rsidR="002456E1">
        <w:t xml:space="preserve">that its late intervention </w:t>
      </w:r>
      <w:r w:rsidR="00E54409">
        <w:t xml:space="preserve">could not </w:t>
      </w:r>
      <w:r w:rsidR="00041FDD">
        <w:t xml:space="preserve">be </w:t>
      </w:r>
      <w:r w:rsidR="002456E1">
        <w:t>unduly prejudic</w:t>
      </w:r>
      <w:r w:rsidR="00844215">
        <w:t>ial</w:t>
      </w:r>
      <w:r w:rsidR="002456E1">
        <w:t xml:space="preserve"> to any other party</w:t>
      </w:r>
      <w:r w:rsidR="00890567">
        <w:t xml:space="preserve">.  </w:t>
      </w:r>
      <w:r w:rsidR="002456E1">
        <w:t xml:space="preserve">Noble Solutions is </w:t>
      </w:r>
      <w:r w:rsidR="001E2239">
        <w:t xml:space="preserve">thus </w:t>
      </w:r>
      <w:r w:rsidR="00041FDD">
        <w:t xml:space="preserve">unable to introduce testimony of its own and </w:t>
      </w:r>
      <w:r w:rsidR="002456E1">
        <w:t>strictly limited to</w:t>
      </w:r>
      <w:r w:rsidR="00A55ADE">
        <w:t xml:space="preserve"> </w:t>
      </w:r>
      <w:r w:rsidR="002456E1">
        <w:t xml:space="preserve">addressing only </w:t>
      </w:r>
      <w:r w:rsidR="00A55ADE">
        <w:t xml:space="preserve">the evidence </w:t>
      </w:r>
      <w:r w:rsidR="002456E1">
        <w:t xml:space="preserve">introduced by others, the </w:t>
      </w:r>
      <w:r w:rsidR="00A55ADE">
        <w:t>legal a</w:t>
      </w:r>
      <w:r w:rsidR="00647689">
        <w:t xml:space="preserve">rguments </w:t>
      </w:r>
      <w:r w:rsidR="002456E1">
        <w:t xml:space="preserve">raised </w:t>
      </w:r>
      <w:r w:rsidR="00647689">
        <w:t xml:space="preserve">by </w:t>
      </w:r>
      <w:r w:rsidR="002456E1">
        <w:t xml:space="preserve">those </w:t>
      </w:r>
      <w:r w:rsidR="00647689">
        <w:t>others</w:t>
      </w:r>
      <w:r w:rsidR="00890567">
        <w:t xml:space="preserve">, and the opinions and positions expressed by </w:t>
      </w:r>
      <w:r w:rsidR="00E54409">
        <w:t xml:space="preserve">said </w:t>
      </w:r>
      <w:r w:rsidR="00890567">
        <w:t>others</w:t>
      </w:r>
      <w:r w:rsidR="00E54409">
        <w:t xml:space="preserve"> thereon</w:t>
      </w:r>
      <w:r w:rsidR="00041FDD">
        <w:t>.</w:t>
      </w:r>
    </w:p>
    <w:p w:rsidR="000A6A2A" w:rsidRDefault="000A6A2A" w:rsidP="008F4361">
      <w:pPr>
        <w:numPr>
          <w:ilvl w:val="0"/>
          <w:numId w:val="5"/>
        </w:numPr>
        <w:autoSpaceDE w:val="0"/>
        <w:autoSpaceDN w:val="0"/>
        <w:adjustRightInd w:val="0"/>
        <w:spacing w:line="480" w:lineRule="auto"/>
        <w:ind w:hanging="1080"/>
        <w:rPr>
          <w:b/>
        </w:rPr>
      </w:pPr>
      <w:r w:rsidRPr="000A6A2A">
        <w:rPr>
          <w:b/>
        </w:rPr>
        <w:lastRenderedPageBreak/>
        <w:t>STANDARD</w:t>
      </w:r>
      <w:r w:rsidR="00D82DCC">
        <w:rPr>
          <w:b/>
        </w:rPr>
        <w:t>S</w:t>
      </w:r>
      <w:r w:rsidRPr="000A6A2A">
        <w:rPr>
          <w:b/>
        </w:rPr>
        <w:t xml:space="preserve"> OF REVIEW</w:t>
      </w:r>
    </w:p>
    <w:p w:rsidR="00F320DE" w:rsidRPr="00F320DE" w:rsidRDefault="00F320DE" w:rsidP="00F320DE">
      <w:pPr>
        <w:autoSpaceDE w:val="0"/>
        <w:autoSpaceDN w:val="0"/>
        <w:adjustRightInd w:val="0"/>
        <w:spacing w:line="480" w:lineRule="auto"/>
        <w:ind w:firstLine="720"/>
      </w:pPr>
      <w:r>
        <w:rPr>
          <w:rFonts w:eastAsia="Calibri"/>
        </w:rPr>
        <w:t xml:space="preserve">First, this case involves the </w:t>
      </w:r>
      <w:r w:rsidR="002C32E5">
        <w:t>a</w:t>
      </w:r>
      <w:r w:rsidRPr="00F05425">
        <w:t xml:space="preserve">pplication </w:t>
      </w:r>
      <w:r>
        <w:t xml:space="preserve">of the Ohio Edison </w:t>
      </w:r>
      <w:r w:rsidRPr="00F05425">
        <w:t>Company</w:t>
      </w:r>
      <w:r>
        <w:t xml:space="preserve">, The Cleveland Electric Illuminating Company, and The Toledo Edison </w:t>
      </w:r>
      <w:r w:rsidRPr="00F320DE">
        <w:t>Company (</w:t>
      </w:r>
      <w:r w:rsidR="00E54409">
        <w:t xml:space="preserve">collectively, </w:t>
      </w:r>
      <w:r w:rsidRPr="00F320DE">
        <w:t xml:space="preserve">the </w:t>
      </w:r>
      <w:r w:rsidR="00E54409">
        <w:t>“</w:t>
      </w:r>
      <w:r w:rsidRPr="00F320DE">
        <w:rPr>
          <w:rFonts w:eastAsia="Calibri"/>
        </w:rPr>
        <w:t>First Energy Operating Companies,</w:t>
      </w:r>
      <w:r w:rsidR="00E54409">
        <w:rPr>
          <w:rFonts w:eastAsia="Calibri"/>
        </w:rPr>
        <w:t>”</w:t>
      </w:r>
      <w:r w:rsidRPr="00F320DE">
        <w:rPr>
          <w:rFonts w:eastAsia="Calibri"/>
        </w:rPr>
        <w:t xml:space="preserve"> or</w:t>
      </w:r>
      <w:r w:rsidR="00E54409" w:rsidRPr="00F320DE" w:rsidDel="00E54409">
        <w:rPr>
          <w:rFonts w:eastAsia="Calibri"/>
        </w:rPr>
        <w:t xml:space="preserve"> </w:t>
      </w:r>
      <w:r w:rsidRPr="00F320DE">
        <w:rPr>
          <w:rFonts w:eastAsia="Calibri"/>
        </w:rPr>
        <w:t>“FE”)</w:t>
      </w:r>
      <w:r w:rsidRPr="00F320DE">
        <w:t xml:space="preserve"> </w:t>
      </w:r>
      <w:r w:rsidR="00C65836">
        <w:t xml:space="preserve">to </w:t>
      </w:r>
      <w:r w:rsidR="009E29D8">
        <w:t>this Commission</w:t>
      </w:r>
      <w:r w:rsidR="00C65836">
        <w:t xml:space="preserve"> </w:t>
      </w:r>
      <w:r w:rsidRPr="00F320DE">
        <w:t xml:space="preserve">for </w:t>
      </w:r>
      <w:r w:rsidR="002C32E5" w:rsidRPr="00F320DE">
        <w:t>authority</w:t>
      </w:r>
      <w:r w:rsidR="00C65836">
        <w:t xml:space="preserve">, </w:t>
      </w:r>
      <w:r w:rsidR="00C65836" w:rsidRPr="00F320DE">
        <w:t xml:space="preserve">pursuant to </w:t>
      </w:r>
      <w:r w:rsidR="00C65836">
        <w:t>R</w:t>
      </w:r>
      <w:r w:rsidR="00C65836" w:rsidRPr="00F320DE">
        <w:t>.</w:t>
      </w:r>
      <w:r w:rsidR="00C65836">
        <w:t>C. Section</w:t>
      </w:r>
      <w:r w:rsidR="00C65836" w:rsidRPr="00F320DE">
        <w:t xml:space="preserve"> 4928.143</w:t>
      </w:r>
      <w:r w:rsidR="00C65836">
        <w:t>,</w:t>
      </w:r>
      <w:r w:rsidR="002C32E5" w:rsidRPr="00F320DE">
        <w:t xml:space="preserve"> to provide a standard service offer in the form of a</w:t>
      </w:r>
      <w:r w:rsidR="002C32E5">
        <w:t>n</w:t>
      </w:r>
      <w:r w:rsidR="002C32E5" w:rsidRPr="00F320DE">
        <w:t xml:space="preserve"> electric security plan</w:t>
      </w:r>
      <w:r w:rsidR="00BB4729">
        <w:t xml:space="preserve"> (“ESP”)</w:t>
      </w:r>
      <w:r w:rsidR="002C32E5">
        <w:t xml:space="preserve">. </w:t>
      </w:r>
      <w:r>
        <w:t xml:space="preserve"> </w:t>
      </w:r>
      <w:r w:rsidR="00C65836">
        <w:t>Consequently</w:t>
      </w:r>
      <w:r w:rsidRPr="00F320DE">
        <w:t xml:space="preserve">, the </w:t>
      </w:r>
      <w:r w:rsidRPr="00F320DE">
        <w:rPr>
          <w:color w:val="000000"/>
          <w:shd w:val="clear" w:color="auto" w:fill="FFFFFF"/>
        </w:rPr>
        <w:t>statutor</w:t>
      </w:r>
      <w:r w:rsidR="002C32E5">
        <w:rPr>
          <w:color w:val="000000"/>
          <w:shd w:val="clear" w:color="auto" w:fill="FFFFFF"/>
        </w:rPr>
        <w:t>ily</w:t>
      </w:r>
      <w:r w:rsidR="00C65836">
        <w:rPr>
          <w:color w:val="000000"/>
          <w:shd w:val="clear" w:color="auto" w:fill="FFFFFF"/>
        </w:rPr>
        <w:t xml:space="preserve"> </w:t>
      </w:r>
      <w:r w:rsidR="002C32E5">
        <w:rPr>
          <w:color w:val="000000"/>
          <w:shd w:val="clear" w:color="auto" w:fill="FFFFFF"/>
        </w:rPr>
        <w:t xml:space="preserve">mandated </w:t>
      </w:r>
      <w:r w:rsidRPr="00F320DE">
        <w:rPr>
          <w:color w:val="000000"/>
          <w:shd w:val="clear" w:color="auto" w:fill="FFFFFF"/>
        </w:rPr>
        <w:t xml:space="preserve">test </w:t>
      </w:r>
      <w:r w:rsidR="00C65836">
        <w:rPr>
          <w:color w:val="000000"/>
          <w:shd w:val="clear" w:color="auto" w:fill="FFFFFF"/>
        </w:rPr>
        <w:t xml:space="preserve">articulated </w:t>
      </w:r>
      <w:r w:rsidR="002C32E5">
        <w:rPr>
          <w:color w:val="000000"/>
          <w:shd w:val="clear" w:color="auto" w:fill="FFFFFF"/>
        </w:rPr>
        <w:t xml:space="preserve">within R.C. </w:t>
      </w:r>
      <w:r w:rsidR="00C65836">
        <w:rPr>
          <w:color w:val="000000"/>
          <w:shd w:val="clear" w:color="auto" w:fill="FFFFFF"/>
        </w:rPr>
        <w:t xml:space="preserve">Section </w:t>
      </w:r>
      <w:r>
        <w:rPr>
          <w:color w:val="000000"/>
          <w:shd w:val="clear" w:color="auto" w:fill="FFFFFF"/>
        </w:rPr>
        <w:t xml:space="preserve">4928.143, </w:t>
      </w:r>
      <w:r w:rsidRPr="00F320DE">
        <w:rPr>
          <w:color w:val="000000"/>
          <w:shd w:val="clear" w:color="auto" w:fill="FFFFFF"/>
        </w:rPr>
        <w:t xml:space="preserve">known as the "ESP v. MRO" test, requires </w:t>
      </w:r>
      <w:r>
        <w:rPr>
          <w:color w:val="000000"/>
          <w:shd w:val="clear" w:color="auto" w:fill="FFFFFF"/>
        </w:rPr>
        <w:t xml:space="preserve">FE </w:t>
      </w:r>
      <w:r w:rsidR="00AD500A">
        <w:rPr>
          <w:color w:val="000000"/>
          <w:shd w:val="clear" w:color="auto" w:fill="FFFFFF"/>
        </w:rPr>
        <w:t xml:space="preserve">to </w:t>
      </w:r>
      <w:r>
        <w:rPr>
          <w:color w:val="000000"/>
          <w:shd w:val="clear" w:color="auto" w:fill="FFFFFF"/>
        </w:rPr>
        <w:t xml:space="preserve">demonstrate that its proposed </w:t>
      </w:r>
      <w:r w:rsidR="00C65836">
        <w:rPr>
          <w:color w:val="000000"/>
          <w:shd w:val="clear" w:color="auto" w:fill="FFFFFF"/>
        </w:rPr>
        <w:t>ESP</w:t>
      </w:r>
      <w:r w:rsidRPr="00F320DE">
        <w:rPr>
          <w:color w:val="000000"/>
          <w:shd w:val="clear" w:color="auto" w:fill="FFFFFF"/>
        </w:rPr>
        <w:t xml:space="preserve">, including all terms and conditions </w:t>
      </w:r>
      <w:r w:rsidR="00834C5E">
        <w:rPr>
          <w:color w:val="000000"/>
          <w:shd w:val="clear" w:color="auto" w:fill="FFFFFF"/>
        </w:rPr>
        <w:t xml:space="preserve">thereunder </w:t>
      </w:r>
      <w:r w:rsidRPr="00F320DE">
        <w:rPr>
          <w:color w:val="000000"/>
          <w:shd w:val="clear" w:color="auto" w:fill="FFFFFF"/>
        </w:rPr>
        <w:t>(</w:t>
      </w:r>
      <w:r w:rsidR="00BF4541">
        <w:rPr>
          <w:color w:val="000000"/>
          <w:shd w:val="clear" w:color="auto" w:fill="FFFFFF"/>
        </w:rPr>
        <w:t xml:space="preserve">FE’s </w:t>
      </w:r>
      <w:r w:rsidRPr="00F320DE">
        <w:rPr>
          <w:color w:val="000000"/>
          <w:shd w:val="clear" w:color="auto" w:fill="FFFFFF"/>
        </w:rPr>
        <w:t>“</w:t>
      </w:r>
      <w:r w:rsidR="002C32E5">
        <w:rPr>
          <w:color w:val="000000"/>
          <w:shd w:val="clear" w:color="auto" w:fill="FFFFFF"/>
        </w:rPr>
        <w:t xml:space="preserve">Proposed </w:t>
      </w:r>
      <w:r w:rsidRPr="00F320DE">
        <w:rPr>
          <w:color w:val="000000"/>
          <w:shd w:val="clear" w:color="auto" w:fill="FFFFFF"/>
        </w:rPr>
        <w:t>ESP</w:t>
      </w:r>
      <w:r w:rsidR="00AD500A">
        <w:rPr>
          <w:color w:val="000000"/>
          <w:shd w:val="clear" w:color="auto" w:fill="FFFFFF"/>
        </w:rPr>
        <w:t xml:space="preserve"> IV”</w:t>
      </w:r>
      <w:r w:rsidRPr="00F320DE">
        <w:rPr>
          <w:color w:val="000000"/>
          <w:shd w:val="clear" w:color="auto" w:fill="FFFFFF"/>
        </w:rPr>
        <w:t xml:space="preserve">), </w:t>
      </w:r>
      <w:r w:rsidR="0098198D">
        <w:rPr>
          <w:color w:val="000000"/>
          <w:shd w:val="clear" w:color="auto" w:fill="FFFFFF"/>
        </w:rPr>
        <w:t>is</w:t>
      </w:r>
      <w:r w:rsidRPr="00F320DE">
        <w:rPr>
          <w:color w:val="000000"/>
          <w:shd w:val="clear" w:color="auto" w:fill="FFFFFF"/>
        </w:rPr>
        <w:t xml:space="preserve"> more favorable</w:t>
      </w:r>
      <w:r w:rsidR="000B56F0">
        <w:rPr>
          <w:color w:val="000000"/>
          <w:shd w:val="clear" w:color="auto" w:fill="FFFFFF"/>
        </w:rPr>
        <w:t>,</w:t>
      </w:r>
      <w:r w:rsidRPr="00F320DE">
        <w:rPr>
          <w:color w:val="000000"/>
          <w:shd w:val="clear" w:color="auto" w:fill="FFFFFF"/>
        </w:rPr>
        <w:t xml:space="preserve"> </w:t>
      </w:r>
      <w:r w:rsidRPr="00834C5E">
        <w:rPr>
          <w:i/>
          <w:color w:val="000000"/>
          <w:shd w:val="clear" w:color="auto" w:fill="FFFFFF"/>
        </w:rPr>
        <w:t>in the aggregate</w:t>
      </w:r>
      <w:r w:rsidR="000B56F0">
        <w:rPr>
          <w:color w:val="000000"/>
          <w:shd w:val="clear" w:color="auto" w:fill="FFFFFF"/>
        </w:rPr>
        <w:t>,</w:t>
      </w:r>
      <w:r w:rsidRPr="00F320DE">
        <w:rPr>
          <w:color w:val="000000"/>
          <w:shd w:val="clear" w:color="auto" w:fill="FFFFFF"/>
        </w:rPr>
        <w:t xml:space="preserve"> than the expected results of </w:t>
      </w:r>
      <w:r w:rsidR="00C65836">
        <w:rPr>
          <w:color w:val="000000"/>
          <w:shd w:val="clear" w:color="auto" w:fill="FFFFFF"/>
        </w:rPr>
        <w:t xml:space="preserve">a typical market rate offer plan </w:t>
      </w:r>
      <w:r w:rsidR="00C65836" w:rsidRPr="00F320DE">
        <w:rPr>
          <w:color w:val="000000"/>
          <w:shd w:val="clear" w:color="auto" w:fill="FFFFFF"/>
        </w:rPr>
        <w:t>("MRO")</w:t>
      </w:r>
      <w:r w:rsidR="00C65836">
        <w:rPr>
          <w:color w:val="000000"/>
          <w:shd w:val="clear" w:color="auto" w:fill="FFFFFF"/>
        </w:rPr>
        <w:t xml:space="preserve">, which, of course, </w:t>
      </w:r>
      <w:r w:rsidR="00BF4541">
        <w:rPr>
          <w:color w:val="000000"/>
          <w:shd w:val="clear" w:color="auto" w:fill="FFFFFF"/>
        </w:rPr>
        <w:t>offer</w:t>
      </w:r>
      <w:r w:rsidR="00C65836">
        <w:rPr>
          <w:color w:val="000000"/>
          <w:shd w:val="clear" w:color="auto" w:fill="FFFFFF"/>
        </w:rPr>
        <w:t>s</w:t>
      </w:r>
      <w:r w:rsidR="00BF4541">
        <w:rPr>
          <w:color w:val="000000"/>
          <w:shd w:val="clear" w:color="auto" w:fill="FFFFFF"/>
        </w:rPr>
        <w:t xml:space="preserve"> service at current market rates</w:t>
      </w:r>
      <w:r w:rsidRPr="00F320DE">
        <w:rPr>
          <w:color w:val="000000"/>
          <w:shd w:val="clear" w:color="auto" w:fill="FFFFFF"/>
        </w:rPr>
        <w:t>.</w:t>
      </w:r>
      <w:r w:rsidR="007348E8">
        <w:rPr>
          <w:rStyle w:val="FootnoteReference"/>
          <w:color w:val="000000"/>
          <w:shd w:val="clear" w:color="auto" w:fill="FFFFFF"/>
        </w:rPr>
        <w:footnoteReference w:id="1"/>
      </w:r>
    </w:p>
    <w:p w:rsidR="00D82DCC" w:rsidRPr="002645C5" w:rsidRDefault="00F320DE" w:rsidP="00F320DE">
      <w:pPr>
        <w:autoSpaceDE w:val="0"/>
        <w:autoSpaceDN w:val="0"/>
        <w:adjustRightInd w:val="0"/>
        <w:spacing w:line="480" w:lineRule="auto"/>
        <w:ind w:firstLine="720"/>
      </w:pPr>
      <w:r>
        <w:rPr>
          <w:iCs/>
        </w:rPr>
        <w:t xml:space="preserve">Second, because this Commission </w:t>
      </w:r>
      <w:r w:rsidR="00BF4541">
        <w:rPr>
          <w:iCs/>
        </w:rPr>
        <w:t xml:space="preserve">has been </w:t>
      </w:r>
      <w:r>
        <w:rPr>
          <w:iCs/>
        </w:rPr>
        <w:t xml:space="preserve">asked to </w:t>
      </w:r>
      <w:r w:rsidR="00BF4541">
        <w:rPr>
          <w:iCs/>
        </w:rPr>
        <w:t xml:space="preserve">endorse </w:t>
      </w:r>
      <w:r w:rsidR="0098198D">
        <w:rPr>
          <w:iCs/>
        </w:rPr>
        <w:t>what is at least nominally a “settlement”–</w:t>
      </w:r>
      <w:r>
        <w:rPr>
          <w:iCs/>
        </w:rPr>
        <w:t xml:space="preserve">an outcome </w:t>
      </w:r>
      <w:r w:rsidR="0098198D">
        <w:rPr>
          <w:iCs/>
        </w:rPr>
        <w:t xml:space="preserve">that </w:t>
      </w:r>
      <w:r w:rsidR="00041FDD">
        <w:rPr>
          <w:iCs/>
        </w:rPr>
        <w:t xml:space="preserve">a </w:t>
      </w:r>
      <w:r w:rsidR="002C32E5">
        <w:rPr>
          <w:iCs/>
        </w:rPr>
        <w:t xml:space="preserve">mere </w:t>
      </w:r>
      <w:r w:rsidR="00AD500A">
        <w:rPr>
          <w:iCs/>
        </w:rPr>
        <w:t xml:space="preserve">handful of </w:t>
      </w:r>
      <w:r w:rsidR="002C32E5">
        <w:rPr>
          <w:iCs/>
        </w:rPr>
        <w:t xml:space="preserve">the many </w:t>
      </w:r>
      <w:r w:rsidR="00041FDD">
        <w:rPr>
          <w:iCs/>
        </w:rPr>
        <w:t>parties to this case</w:t>
      </w:r>
      <w:r w:rsidR="0098198D">
        <w:rPr>
          <w:iCs/>
        </w:rPr>
        <w:t xml:space="preserve"> support</w:t>
      </w:r>
      <w:r w:rsidR="009E29D8">
        <w:rPr>
          <w:iCs/>
        </w:rPr>
        <w:t>s</w:t>
      </w:r>
      <w:r w:rsidR="0098198D">
        <w:rPr>
          <w:iCs/>
        </w:rPr>
        <w:t>–</w:t>
      </w:r>
      <w:r w:rsidR="006B69AF">
        <w:rPr>
          <w:iCs/>
        </w:rPr>
        <w:t>outlined in the</w:t>
      </w:r>
      <w:r w:rsidR="00BF2A37">
        <w:rPr>
          <w:iCs/>
        </w:rPr>
        <w:t xml:space="preserve"> </w:t>
      </w:r>
      <w:r>
        <w:rPr>
          <w:iCs/>
        </w:rPr>
        <w:t xml:space="preserve">Stipulation, the Commission must </w:t>
      </w:r>
      <w:r w:rsidR="00BF2A37">
        <w:rPr>
          <w:iCs/>
        </w:rPr>
        <w:t xml:space="preserve">also </w:t>
      </w:r>
      <w:r>
        <w:rPr>
          <w:iCs/>
        </w:rPr>
        <w:t>consider</w:t>
      </w:r>
      <w:r w:rsidR="00706483">
        <w:rPr>
          <w:iCs/>
        </w:rPr>
        <w:t xml:space="preserve"> </w:t>
      </w:r>
      <w:r w:rsidR="002C32E5">
        <w:rPr>
          <w:iCs/>
        </w:rPr>
        <w:t xml:space="preserve">the </w:t>
      </w:r>
      <w:r w:rsidR="00D0617B">
        <w:rPr>
          <w:iCs/>
        </w:rPr>
        <w:t xml:space="preserve">three-pronged </w:t>
      </w:r>
      <w:r w:rsidR="006350E7">
        <w:rPr>
          <w:iCs/>
        </w:rPr>
        <w:t xml:space="preserve">“just and reasonable </w:t>
      </w:r>
      <w:r w:rsidR="00D0617B">
        <w:rPr>
          <w:iCs/>
        </w:rPr>
        <w:t>test</w:t>
      </w:r>
      <w:r w:rsidR="006350E7">
        <w:rPr>
          <w:iCs/>
        </w:rPr>
        <w:t>”</w:t>
      </w:r>
      <w:r w:rsidR="00D82DCC">
        <w:t xml:space="preserve"> </w:t>
      </w:r>
      <w:r w:rsidR="00AD500A">
        <w:t xml:space="preserve">approved by the Ohio Supreme Court </w:t>
      </w:r>
      <w:r w:rsidR="00D82DCC">
        <w:t xml:space="preserve">to determine whether a settlement </w:t>
      </w:r>
      <w:r w:rsidR="00706483">
        <w:t xml:space="preserve">submitted to </w:t>
      </w:r>
      <w:r w:rsidR="009E29D8">
        <w:t xml:space="preserve">the </w:t>
      </w:r>
      <w:r w:rsidR="00706483">
        <w:t xml:space="preserve">Commission for consideration </w:t>
      </w:r>
      <w:r w:rsidR="00D82DCC">
        <w:t xml:space="preserve">is </w:t>
      </w:r>
      <w:r w:rsidR="00D82DCC" w:rsidRPr="002645C5">
        <w:t xml:space="preserve">just and reasonable result </w:t>
      </w:r>
      <w:r w:rsidR="00D82DCC">
        <w:t xml:space="preserve">in light of the evidence: </w:t>
      </w:r>
    </w:p>
    <w:p w:rsidR="00890567" w:rsidRDefault="00890567" w:rsidP="00890567">
      <w:pPr>
        <w:numPr>
          <w:ilvl w:val="0"/>
          <w:numId w:val="13"/>
        </w:numPr>
        <w:autoSpaceDE w:val="0"/>
        <w:autoSpaceDN w:val="0"/>
        <w:adjustRightInd w:val="0"/>
        <w:ind w:right="720"/>
        <w:jc w:val="both"/>
      </w:pPr>
      <w:r>
        <w:t>I</w:t>
      </w:r>
      <w:r w:rsidR="00D82DCC" w:rsidRPr="002645C5">
        <w:t>s the settlement a product of serious bargaining among capable, knowledgeable parties, where there is diversity of interests among the stipulating parties?</w:t>
      </w:r>
    </w:p>
    <w:p w:rsidR="00890567" w:rsidRDefault="00890567" w:rsidP="00890567">
      <w:pPr>
        <w:autoSpaceDE w:val="0"/>
        <w:autoSpaceDN w:val="0"/>
        <w:adjustRightInd w:val="0"/>
        <w:ind w:left="1440" w:right="720"/>
        <w:jc w:val="both"/>
      </w:pPr>
    </w:p>
    <w:p w:rsidR="00890567" w:rsidRDefault="00D82DCC" w:rsidP="00890567">
      <w:pPr>
        <w:numPr>
          <w:ilvl w:val="0"/>
          <w:numId w:val="13"/>
        </w:numPr>
        <w:autoSpaceDE w:val="0"/>
        <w:autoSpaceDN w:val="0"/>
        <w:adjustRightInd w:val="0"/>
        <w:ind w:right="720"/>
        <w:jc w:val="both"/>
      </w:pPr>
      <w:r w:rsidRPr="002645C5">
        <w:lastRenderedPageBreak/>
        <w:t>Does the settlement package violate any important regulatory principle or practice?</w:t>
      </w:r>
    </w:p>
    <w:p w:rsidR="00890567" w:rsidRDefault="00890567" w:rsidP="00890567">
      <w:pPr>
        <w:pStyle w:val="ListParagraph"/>
        <w:spacing w:after="0"/>
        <w:jc w:val="both"/>
      </w:pPr>
    </w:p>
    <w:p w:rsidR="00D82DCC" w:rsidRDefault="00D82DCC" w:rsidP="00041FDD">
      <w:pPr>
        <w:numPr>
          <w:ilvl w:val="0"/>
          <w:numId w:val="13"/>
        </w:numPr>
        <w:autoSpaceDE w:val="0"/>
        <w:autoSpaceDN w:val="0"/>
        <w:adjustRightInd w:val="0"/>
        <w:ind w:right="720"/>
        <w:jc w:val="both"/>
      </w:pPr>
      <w:r w:rsidRPr="002645C5">
        <w:t>Does the settlement, as a package, benefit ratepayers and the public interest?</w:t>
      </w:r>
      <w:r w:rsidR="0059618A">
        <w:rPr>
          <w:rStyle w:val="FootnoteReference"/>
        </w:rPr>
        <w:footnoteReference w:id="2"/>
      </w:r>
    </w:p>
    <w:p w:rsidR="00041FDD" w:rsidRDefault="00041FDD" w:rsidP="00041FDD">
      <w:pPr>
        <w:autoSpaceDE w:val="0"/>
        <w:autoSpaceDN w:val="0"/>
        <w:adjustRightInd w:val="0"/>
        <w:ind w:right="720"/>
        <w:jc w:val="both"/>
      </w:pPr>
    </w:p>
    <w:p w:rsidR="00DF42E9" w:rsidRDefault="004C57D0" w:rsidP="00DF42E9">
      <w:pPr>
        <w:spacing w:line="480" w:lineRule="auto"/>
        <w:ind w:firstLine="720"/>
      </w:pPr>
      <w:r>
        <w:t xml:space="preserve">Third, </w:t>
      </w:r>
      <w:r w:rsidR="00DF42E9">
        <w:t xml:space="preserve">although the jurisdiction and decisions of this Commission are targeted and limited to the intrastate, retail market, they must, of course, never undermine policies promulgated by the Federal Energy Regulatory Commission (FERC), which has exclusive jurisdiction over the interstate, wholesale market.  Therefore, this Commission must consider the potential impact of Proposed ESP IV and the Stipulation on wholesale capacity rates, and yield </w:t>
      </w:r>
      <w:r w:rsidR="00DF42E9" w:rsidRPr="00A709D8">
        <w:t>to</w:t>
      </w:r>
      <w:r w:rsidR="00DF42E9">
        <w:t xml:space="preserve"> principles of federal preemption. </w:t>
      </w:r>
    </w:p>
    <w:p w:rsidR="00FF3FB7" w:rsidRPr="000C1BDD" w:rsidRDefault="00501F99" w:rsidP="00FF3FB7">
      <w:pPr>
        <w:autoSpaceDE w:val="0"/>
        <w:autoSpaceDN w:val="0"/>
        <w:adjustRightInd w:val="0"/>
        <w:spacing w:line="480" w:lineRule="auto"/>
        <w:ind w:firstLine="720"/>
      </w:pPr>
      <w:r w:rsidRPr="00501F99">
        <w:t xml:space="preserve">Finally, because FE’s proposed Retail Rate Stability Rider (“Rider RRS”) includes an affiliate purchase power agreement (“PPA”) in which FE seeks to recover all resulting costs, including a 10.38% return on equity, from ratepayers on a non-bypassable basis, this Commission must, in addition, evaluate a number of specific factors that it previously identified in a prior case involving AEP Ohio: </w:t>
      </w:r>
    </w:p>
    <w:p w:rsidR="00FF3FB7" w:rsidRPr="000C1BDD" w:rsidRDefault="00501F99" w:rsidP="00FF3FB7">
      <w:pPr>
        <w:numPr>
          <w:ilvl w:val="0"/>
          <w:numId w:val="6"/>
        </w:numPr>
        <w:autoSpaceDE w:val="0"/>
        <w:autoSpaceDN w:val="0"/>
        <w:adjustRightInd w:val="0"/>
      </w:pPr>
      <w:r w:rsidRPr="00501F99">
        <w:t xml:space="preserve">The financial need of the generating plants subject to the PPA; </w:t>
      </w:r>
    </w:p>
    <w:p w:rsidR="00FF3FB7" w:rsidRPr="000C1BDD" w:rsidRDefault="00FF3FB7" w:rsidP="00FF3FB7">
      <w:pPr>
        <w:autoSpaceDE w:val="0"/>
        <w:autoSpaceDN w:val="0"/>
        <w:adjustRightInd w:val="0"/>
        <w:ind w:left="1440"/>
      </w:pPr>
    </w:p>
    <w:p w:rsidR="00FF3FB7" w:rsidRPr="000C1BDD" w:rsidRDefault="00501F99" w:rsidP="00FF3FB7">
      <w:pPr>
        <w:numPr>
          <w:ilvl w:val="0"/>
          <w:numId w:val="6"/>
        </w:numPr>
        <w:autoSpaceDE w:val="0"/>
        <w:autoSpaceDN w:val="0"/>
        <w:adjustRightInd w:val="0"/>
      </w:pPr>
      <w:r w:rsidRPr="00501F99">
        <w:t xml:space="preserve">The necessity of the identified generating facilities in light of future reliability concerns, including supply diversity; </w:t>
      </w:r>
    </w:p>
    <w:p w:rsidR="00FF3FB7" w:rsidRPr="000C1BDD" w:rsidRDefault="00FF3FB7" w:rsidP="00FF3FB7">
      <w:pPr>
        <w:autoSpaceDE w:val="0"/>
        <w:autoSpaceDN w:val="0"/>
        <w:adjustRightInd w:val="0"/>
      </w:pPr>
    </w:p>
    <w:p w:rsidR="00FF3FB7" w:rsidRPr="000C1BDD" w:rsidRDefault="00501F99" w:rsidP="00FF3FB7">
      <w:pPr>
        <w:numPr>
          <w:ilvl w:val="0"/>
          <w:numId w:val="6"/>
        </w:numPr>
        <w:autoSpaceDE w:val="0"/>
        <w:autoSpaceDN w:val="0"/>
        <w:adjustRightInd w:val="0"/>
      </w:pPr>
      <w:r w:rsidRPr="00501F99">
        <w:t xml:space="preserve">A description of how the generating plants are compliant with all pertinent environmental regulations and the plan for compliance with pending environmental regulations; and </w:t>
      </w:r>
    </w:p>
    <w:p w:rsidR="00FF3FB7" w:rsidRPr="000C1BDD" w:rsidRDefault="00FF3FB7" w:rsidP="00FF3FB7">
      <w:pPr>
        <w:autoSpaceDE w:val="0"/>
        <w:autoSpaceDN w:val="0"/>
        <w:adjustRightInd w:val="0"/>
      </w:pPr>
    </w:p>
    <w:p w:rsidR="00FF3FB7" w:rsidRPr="000C1BDD" w:rsidRDefault="00501F99" w:rsidP="00FF3FB7">
      <w:pPr>
        <w:numPr>
          <w:ilvl w:val="0"/>
          <w:numId w:val="6"/>
        </w:numPr>
        <w:autoSpaceDE w:val="0"/>
        <w:autoSpaceDN w:val="0"/>
        <w:adjustRightInd w:val="0"/>
      </w:pPr>
      <w:r w:rsidRPr="00501F99">
        <w:t>The impact that a closure of the generating plants would have on electricity prices and the resulting effect on economic development within the state.</w:t>
      </w:r>
      <w:r w:rsidR="00A01214">
        <w:rPr>
          <w:rStyle w:val="FootnoteReference"/>
        </w:rPr>
        <w:footnoteReference w:id="3"/>
      </w:r>
    </w:p>
    <w:p w:rsidR="00FF3FB7" w:rsidRPr="000C1BDD" w:rsidRDefault="00FF3FB7" w:rsidP="00FF3FB7">
      <w:pPr>
        <w:autoSpaceDE w:val="0"/>
        <w:autoSpaceDN w:val="0"/>
        <w:adjustRightInd w:val="0"/>
      </w:pPr>
    </w:p>
    <w:p w:rsidR="00BA78E4" w:rsidRDefault="00BA78E4" w:rsidP="00FF3FB7">
      <w:pPr>
        <w:autoSpaceDE w:val="0"/>
        <w:autoSpaceDN w:val="0"/>
        <w:adjustRightInd w:val="0"/>
        <w:rPr>
          <w:rFonts w:eastAsia="Calibri"/>
        </w:rPr>
      </w:pPr>
    </w:p>
    <w:p w:rsidR="00D82DCC" w:rsidRDefault="00FF3FB7" w:rsidP="00A25365">
      <w:pPr>
        <w:numPr>
          <w:ilvl w:val="0"/>
          <w:numId w:val="5"/>
        </w:numPr>
        <w:autoSpaceDE w:val="0"/>
        <w:autoSpaceDN w:val="0"/>
        <w:adjustRightInd w:val="0"/>
        <w:ind w:left="720"/>
        <w:rPr>
          <w:b/>
        </w:rPr>
      </w:pPr>
      <w:r>
        <w:rPr>
          <w:b/>
        </w:rPr>
        <w:t>ARGUMENT</w:t>
      </w:r>
    </w:p>
    <w:p w:rsidR="002C32E5" w:rsidRDefault="002C32E5" w:rsidP="001F27BB">
      <w:pPr>
        <w:autoSpaceDE w:val="0"/>
        <w:autoSpaceDN w:val="0"/>
        <w:adjustRightInd w:val="0"/>
        <w:rPr>
          <w:b/>
        </w:rPr>
      </w:pPr>
    </w:p>
    <w:p w:rsidR="00AD500A" w:rsidRPr="00AD500A" w:rsidRDefault="00AD500A" w:rsidP="00AD500A">
      <w:pPr>
        <w:numPr>
          <w:ilvl w:val="0"/>
          <w:numId w:val="9"/>
        </w:numPr>
        <w:autoSpaceDE w:val="0"/>
        <w:autoSpaceDN w:val="0"/>
        <w:adjustRightInd w:val="0"/>
        <w:rPr>
          <w:b/>
        </w:rPr>
      </w:pPr>
      <w:r w:rsidRPr="00AD500A">
        <w:rPr>
          <w:b/>
          <w:color w:val="000000"/>
          <w:shd w:val="clear" w:color="auto" w:fill="FFFFFF"/>
        </w:rPr>
        <w:t>FE</w:t>
      </w:r>
      <w:r w:rsidRPr="00AD500A">
        <w:rPr>
          <w:b/>
        </w:rPr>
        <w:t xml:space="preserve">’s </w:t>
      </w:r>
      <w:r w:rsidRPr="00AD500A">
        <w:rPr>
          <w:b/>
          <w:color w:val="000000"/>
          <w:shd w:val="clear" w:color="auto" w:fill="FFFFFF"/>
        </w:rPr>
        <w:t xml:space="preserve">Proposed ESP IV Is </w:t>
      </w:r>
      <w:r w:rsidR="009E29D8" w:rsidRPr="00797317">
        <w:rPr>
          <w:b/>
          <w:color w:val="000000"/>
          <w:u w:val="single"/>
          <w:shd w:val="clear" w:color="auto" w:fill="FFFFFF"/>
        </w:rPr>
        <w:t>L</w:t>
      </w:r>
      <w:r w:rsidR="009E29D8">
        <w:rPr>
          <w:b/>
          <w:color w:val="000000"/>
          <w:u w:val="single"/>
          <w:shd w:val="clear" w:color="auto" w:fill="FFFFFF"/>
        </w:rPr>
        <w:t>ess</w:t>
      </w:r>
      <w:r w:rsidR="009E29D8">
        <w:rPr>
          <w:b/>
          <w:color w:val="000000"/>
          <w:shd w:val="clear" w:color="auto" w:fill="FFFFFF"/>
        </w:rPr>
        <w:t xml:space="preserve"> </w:t>
      </w:r>
      <w:r w:rsidRPr="00AD500A">
        <w:rPr>
          <w:b/>
          <w:color w:val="000000"/>
          <w:shd w:val="clear" w:color="auto" w:fill="FFFFFF"/>
        </w:rPr>
        <w:t xml:space="preserve">Favorable </w:t>
      </w:r>
      <w:r w:rsidR="009E29D8">
        <w:rPr>
          <w:b/>
          <w:color w:val="000000"/>
          <w:shd w:val="clear" w:color="auto" w:fill="FFFFFF"/>
        </w:rPr>
        <w:t>i</w:t>
      </w:r>
      <w:r w:rsidR="009E29D8" w:rsidRPr="00AD500A">
        <w:rPr>
          <w:b/>
          <w:color w:val="000000"/>
          <w:shd w:val="clear" w:color="auto" w:fill="FFFFFF"/>
        </w:rPr>
        <w:t xml:space="preserve">n </w:t>
      </w:r>
      <w:r w:rsidR="009E29D8">
        <w:rPr>
          <w:b/>
          <w:color w:val="000000"/>
          <w:shd w:val="clear" w:color="auto" w:fill="FFFFFF"/>
        </w:rPr>
        <w:t>t</w:t>
      </w:r>
      <w:r w:rsidR="009E29D8" w:rsidRPr="00AD500A">
        <w:rPr>
          <w:b/>
          <w:color w:val="000000"/>
          <w:shd w:val="clear" w:color="auto" w:fill="FFFFFF"/>
        </w:rPr>
        <w:t xml:space="preserve">he </w:t>
      </w:r>
      <w:r w:rsidRPr="00AD500A">
        <w:rPr>
          <w:b/>
          <w:color w:val="000000"/>
          <w:shd w:val="clear" w:color="auto" w:fill="FFFFFF"/>
        </w:rPr>
        <w:t>Aggregate Than</w:t>
      </w:r>
      <w:r w:rsidR="001F27BB">
        <w:rPr>
          <w:b/>
          <w:color w:val="000000"/>
          <w:shd w:val="clear" w:color="auto" w:fill="FFFFFF"/>
        </w:rPr>
        <w:t xml:space="preserve"> </w:t>
      </w:r>
      <w:r w:rsidR="009E29D8">
        <w:rPr>
          <w:b/>
          <w:color w:val="000000"/>
          <w:shd w:val="clear" w:color="auto" w:fill="FFFFFF"/>
        </w:rPr>
        <w:t>t</w:t>
      </w:r>
      <w:r w:rsidR="009E29D8" w:rsidRPr="00AD500A">
        <w:rPr>
          <w:b/>
          <w:color w:val="000000"/>
          <w:shd w:val="clear" w:color="auto" w:fill="FFFFFF"/>
        </w:rPr>
        <w:t xml:space="preserve">he </w:t>
      </w:r>
      <w:r w:rsidRPr="00AD500A">
        <w:rPr>
          <w:b/>
          <w:color w:val="000000"/>
          <w:shd w:val="clear" w:color="auto" w:fill="FFFFFF"/>
        </w:rPr>
        <w:t xml:space="preserve">Expected Results of </w:t>
      </w:r>
      <w:r w:rsidR="009E29D8">
        <w:rPr>
          <w:b/>
          <w:color w:val="000000"/>
          <w:shd w:val="clear" w:color="auto" w:fill="FFFFFF"/>
        </w:rPr>
        <w:t>an MRO</w:t>
      </w:r>
      <w:r>
        <w:rPr>
          <w:b/>
          <w:color w:val="000000"/>
          <w:shd w:val="clear" w:color="auto" w:fill="FFFFFF"/>
        </w:rPr>
        <w:t xml:space="preserve"> </w:t>
      </w:r>
      <w:r w:rsidR="009E29D8">
        <w:rPr>
          <w:b/>
          <w:color w:val="000000"/>
          <w:shd w:val="clear" w:color="auto" w:fill="FFFFFF"/>
        </w:rPr>
        <w:t xml:space="preserve">and </w:t>
      </w:r>
      <w:r>
        <w:rPr>
          <w:b/>
          <w:color w:val="000000"/>
          <w:shd w:val="clear" w:color="auto" w:fill="FFFFFF"/>
        </w:rPr>
        <w:t xml:space="preserve">Therefore </w:t>
      </w:r>
      <w:r w:rsidR="009E29D8">
        <w:rPr>
          <w:b/>
          <w:color w:val="000000"/>
          <w:u w:val="single"/>
          <w:shd w:val="clear" w:color="auto" w:fill="FFFFFF"/>
        </w:rPr>
        <w:t>Must</w:t>
      </w:r>
      <w:r w:rsidR="009E29D8">
        <w:rPr>
          <w:b/>
          <w:color w:val="000000"/>
          <w:shd w:val="clear" w:color="auto" w:fill="FFFFFF"/>
        </w:rPr>
        <w:t xml:space="preserve"> </w:t>
      </w:r>
      <w:r w:rsidR="00797317">
        <w:rPr>
          <w:b/>
          <w:color w:val="000000"/>
          <w:shd w:val="clear" w:color="auto" w:fill="FFFFFF"/>
        </w:rPr>
        <w:t>B</w:t>
      </w:r>
      <w:r>
        <w:rPr>
          <w:b/>
          <w:color w:val="000000"/>
          <w:shd w:val="clear" w:color="auto" w:fill="FFFFFF"/>
        </w:rPr>
        <w:t xml:space="preserve">e Rejected Pursuant to R.C. </w:t>
      </w:r>
      <w:r w:rsidR="009E29D8">
        <w:rPr>
          <w:b/>
          <w:color w:val="000000"/>
          <w:shd w:val="clear" w:color="auto" w:fill="FFFFFF"/>
        </w:rPr>
        <w:t xml:space="preserve">Section </w:t>
      </w:r>
      <w:r>
        <w:rPr>
          <w:b/>
          <w:color w:val="000000"/>
          <w:shd w:val="clear" w:color="auto" w:fill="FFFFFF"/>
        </w:rPr>
        <w:t>4928.143</w:t>
      </w:r>
      <w:r w:rsidR="00797317">
        <w:rPr>
          <w:b/>
          <w:color w:val="000000"/>
          <w:shd w:val="clear" w:color="auto" w:fill="FFFFFF"/>
        </w:rPr>
        <w:t xml:space="preserve">, Regardless </w:t>
      </w:r>
      <w:r w:rsidR="009E29D8">
        <w:rPr>
          <w:b/>
          <w:color w:val="000000"/>
          <w:shd w:val="clear" w:color="auto" w:fill="FFFFFF"/>
        </w:rPr>
        <w:t xml:space="preserve">of the </w:t>
      </w:r>
      <w:r w:rsidR="00797317">
        <w:rPr>
          <w:b/>
          <w:color w:val="000000"/>
          <w:shd w:val="clear" w:color="auto" w:fill="FFFFFF"/>
        </w:rPr>
        <w:t>Stipulation</w:t>
      </w:r>
      <w:r w:rsidRPr="00AD500A">
        <w:rPr>
          <w:b/>
          <w:color w:val="000000"/>
          <w:shd w:val="clear" w:color="auto" w:fill="FFFFFF"/>
        </w:rPr>
        <w:t>.</w:t>
      </w:r>
    </w:p>
    <w:p w:rsidR="00AD500A" w:rsidRPr="00AD500A" w:rsidRDefault="00AD500A" w:rsidP="00AD500A">
      <w:pPr>
        <w:autoSpaceDE w:val="0"/>
        <w:autoSpaceDN w:val="0"/>
        <w:adjustRightInd w:val="0"/>
        <w:rPr>
          <w:b/>
        </w:rPr>
      </w:pPr>
    </w:p>
    <w:p w:rsidR="008B6084" w:rsidRDefault="008B6084" w:rsidP="00D77DAF">
      <w:pPr>
        <w:autoSpaceDE w:val="0"/>
        <w:autoSpaceDN w:val="0"/>
        <w:adjustRightInd w:val="0"/>
        <w:spacing w:line="480" w:lineRule="auto"/>
        <w:ind w:firstLine="720"/>
      </w:pPr>
      <w:r>
        <w:t xml:space="preserve">Under </w:t>
      </w:r>
      <w:r w:rsidR="009E29D8">
        <w:t>R.C.</w:t>
      </w:r>
      <w:r>
        <w:t xml:space="preserve"> </w:t>
      </w:r>
      <w:r w:rsidR="008F4361">
        <w:t>S</w:t>
      </w:r>
      <w:r>
        <w:t>ection 4928.143, an ESP must be rejected if the expected results of that ESP are less favorable</w:t>
      </w:r>
      <w:r w:rsidR="00052705">
        <w:t>,</w:t>
      </w:r>
      <w:r>
        <w:t xml:space="preserve"> in the aggregate</w:t>
      </w:r>
      <w:r w:rsidR="00052705">
        <w:t>,</w:t>
      </w:r>
      <w:r>
        <w:t xml:space="preserve"> than </w:t>
      </w:r>
      <w:r w:rsidR="00052705">
        <w:t xml:space="preserve">those of </w:t>
      </w:r>
      <w:r>
        <w:t>a</w:t>
      </w:r>
      <w:r w:rsidR="00052705">
        <w:t>n</w:t>
      </w:r>
      <w:r>
        <w:t xml:space="preserve"> MRO.  </w:t>
      </w:r>
      <w:r w:rsidR="00052705">
        <w:t>T</w:t>
      </w:r>
      <w:r>
        <w:t xml:space="preserve">he signature </w:t>
      </w:r>
      <w:r w:rsidR="005D1C46">
        <w:t>of certain</w:t>
      </w:r>
      <w:r>
        <w:t xml:space="preserve"> parties to the Stipulation does not </w:t>
      </w:r>
      <w:r w:rsidR="00052705">
        <w:t>automatically satisfy this requirement</w:t>
      </w:r>
      <w:r>
        <w:t xml:space="preserve">.  </w:t>
      </w:r>
      <w:r w:rsidR="00E05044">
        <w:t>A</w:t>
      </w:r>
      <w:r>
        <w:t xml:space="preserve">greement by a few parties who stand to benefit under the Stipulation cannot </w:t>
      </w:r>
      <w:r w:rsidR="00E05044">
        <w:t>be reasonably construed to demonstrate</w:t>
      </w:r>
      <w:r w:rsidR="000B56F0">
        <w:t xml:space="preserve"> conclusively</w:t>
      </w:r>
      <w:r>
        <w:t xml:space="preserve"> that </w:t>
      </w:r>
      <w:r w:rsidR="00E05DCD">
        <w:t xml:space="preserve">Proposed </w:t>
      </w:r>
      <w:r w:rsidR="00E05044">
        <w:t xml:space="preserve">ESP </w:t>
      </w:r>
      <w:r w:rsidR="00E05DCD">
        <w:t xml:space="preserve">IV </w:t>
      </w:r>
      <w:r w:rsidR="00E05044">
        <w:t>would produce</w:t>
      </w:r>
      <w:r>
        <w:t xml:space="preserve"> a more favorable result </w:t>
      </w:r>
      <w:r w:rsidRPr="00052705">
        <w:rPr>
          <w:i/>
        </w:rPr>
        <w:t>for customers</w:t>
      </w:r>
      <w:r>
        <w:t>.</w:t>
      </w:r>
      <w:r w:rsidR="00DD3B47">
        <w:t xml:space="preserve">  </w:t>
      </w:r>
      <w:r w:rsidR="000B56F0">
        <w:t>Indeed</w:t>
      </w:r>
      <w:r w:rsidR="00DD3B47">
        <w:t>, the evidence in this case amply demonstrates that</w:t>
      </w:r>
      <w:r w:rsidR="00E05DCD">
        <w:t>, although</w:t>
      </w:r>
      <w:r w:rsidR="00DD3B47">
        <w:t xml:space="preserve"> the </w:t>
      </w:r>
      <w:r w:rsidR="00E05DCD">
        <w:t>Proposed ESP IV would be</w:t>
      </w:r>
      <w:r w:rsidR="00DD3B47">
        <w:t xml:space="preserve"> more favorable than a</w:t>
      </w:r>
      <w:r w:rsidR="00052705">
        <w:t>n</w:t>
      </w:r>
      <w:r w:rsidR="00DD3B47">
        <w:t xml:space="preserve"> MRO for FE, </w:t>
      </w:r>
      <w:r w:rsidR="00E05DCD">
        <w:t>its prospective benefits for</w:t>
      </w:r>
      <w:r w:rsidR="00DD3B47">
        <w:t xml:space="preserve"> customers who </w:t>
      </w:r>
      <w:r w:rsidR="00E05DCD">
        <w:t>would</w:t>
      </w:r>
      <w:r w:rsidR="00DD3B47">
        <w:t xml:space="preserve"> bear the risks </w:t>
      </w:r>
      <w:r w:rsidR="00E05DCD">
        <w:t>associated with</w:t>
      </w:r>
      <w:r w:rsidR="00DD3B47">
        <w:t xml:space="preserve"> </w:t>
      </w:r>
      <w:r w:rsidR="00E05DCD">
        <w:t>the</w:t>
      </w:r>
      <w:r w:rsidR="00DD3B47">
        <w:t xml:space="preserve"> economically challenged generation assets</w:t>
      </w:r>
      <w:r w:rsidR="00E05DCD">
        <w:t xml:space="preserve"> of FE’s generation affiliate, First Energy Solutions, Inc. (“FES”), remain unclear at best</w:t>
      </w:r>
      <w:r w:rsidR="00DD3B47">
        <w:t>.</w:t>
      </w:r>
    </w:p>
    <w:p w:rsidR="00D77DAF" w:rsidRDefault="00E05DCD" w:rsidP="00D77DAF">
      <w:pPr>
        <w:autoSpaceDE w:val="0"/>
        <w:autoSpaceDN w:val="0"/>
        <w:adjustRightInd w:val="0"/>
        <w:spacing w:line="480" w:lineRule="auto"/>
        <w:ind w:firstLine="720"/>
      </w:pPr>
      <w:r>
        <w:t>At the heart of Rider RRS</w:t>
      </w:r>
      <w:r w:rsidR="007A553B">
        <w:t xml:space="preserve"> </w:t>
      </w:r>
      <w:r>
        <w:t>is a</w:t>
      </w:r>
      <w:r w:rsidR="00122CF3">
        <w:t xml:space="preserve"> blatant and unequivocal fact</w:t>
      </w:r>
      <w:r w:rsidR="007A553B">
        <w:t xml:space="preserve">: FE </w:t>
      </w:r>
      <w:r w:rsidR="00BF4541">
        <w:t>does not want its shareholders to bear the costs and risks</w:t>
      </w:r>
      <w:r w:rsidR="00122CF3">
        <w:t xml:space="preserve"> or </w:t>
      </w:r>
      <w:r w:rsidR="005D1C46">
        <w:t xml:space="preserve">want it to </w:t>
      </w:r>
      <w:r w:rsidR="00122CF3">
        <w:t>be held accountable and responsible for its own business decisions</w:t>
      </w:r>
      <w:r w:rsidR="00BF4541">
        <w:t xml:space="preserve"> </w:t>
      </w:r>
      <w:r w:rsidR="007A553B">
        <w:t>associated with FE’</w:t>
      </w:r>
      <w:r w:rsidR="00820E39">
        <w:t>s Davis-</w:t>
      </w:r>
      <w:r w:rsidR="007A553B">
        <w:t xml:space="preserve">Besse nuclear generation plant, its Sammis coal-fired generation plant, </w:t>
      </w:r>
      <w:r w:rsidR="008E349B">
        <w:t xml:space="preserve">or </w:t>
      </w:r>
      <w:r>
        <w:t xml:space="preserve">its </w:t>
      </w:r>
      <w:r w:rsidR="007A553B">
        <w:t>interests in two coal-fired Ohio Valley Electric Corp</w:t>
      </w:r>
      <w:r w:rsidR="00820E39">
        <w:t>.</w:t>
      </w:r>
      <w:r w:rsidR="007A553B">
        <w:t xml:space="preserve"> generation </w:t>
      </w:r>
      <w:r w:rsidR="00BF4541">
        <w:t xml:space="preserve">plants.  </w:t>
      </w:r>
      <w:r>
        <w:t xml:space="preserve">Instead, FE </w:t>
      </w:r>
      <w:r w:rsidR="00BF4541">
        <w:t xml:space="preserve">asks this Commission </w:t>
      </w:r>
      <w:r>
        <w:t xml:space="preserve">not only </w:t>
      </w:r>
      <w:r w:rsidR="00BF4541">
        <w:t>to shift</w:t>
      </w:r>
      <w:r w:rsidR="007A046F">
        <w:t xml:space="preserve"> its own corporate risk and </w:t>
      </w:r>
      <w:r>
        <w:t xml:space="preserve"> burdens</w:t>
      </w:r>
      <w:r w:rsidR="00820E39">
        <w:t xml:space="preserve"> </w:t>
      </w:r>
      <w:r w:rsidR="007A553B">
        <w:t xml:space="preserve">to </w:t>
      </w:r>
      <w:r>
        <w:t xml:space="preserve">its </w:t>
      </w:r>
      <w:r w:rsidR="007A553B">
        <w:t xml:space="preserve">captive Ohio distribution customers </w:t>
      </w:r>
      <w:r>
        <w:t>but also to</w:t>
      </w:r>
      <w:r w:rsidR="007A553B">
        <w:t xml:space="preserve"> require </w:t>
      </w:r>
      <w:r>
        <w:t xml:space="preserve">those </w:t>
      </w:r>
      <w:r w:rsidR="007A553B">
        <w:t xml:space="preserve">customers to </w:t>
      </w:r>
      <w:r w:rsidR="007A553B" w:rsidRPr="007A553B">
        <w:rPr>
          <w:i/>
        </w:rPr>
        <w:t>guarantee</w:t>
      </w:r>
      <w:r w:rsidR="00BF4541">
        <w:t xml:space="preserve"> FES a 10.38% return on equity </w:t>
      </w:r>
      <w:r>
        <w:t xml:space="preserve">for </w:t>
      </w:r>
      <w:r w:rsidR="00BF4541">
        <w:t xml:space="preserve">each year </w:t>
      </w:r>
      <w:r>
        <w:t xml:space="preserve">that </w:t>
      </w:r>
      <w:r w:rsidR="00BF4541">
        <w:t xml:space="preserve">FE’s </w:t>
      </w:r>
      <w:r>
        <w:t xml:space="preserve">Proposed </w:t>
      </w:r>
      <w:r w:rsidR="00BF4541">
        <w:t xml:space="preserve">ESP IV </w:t>
      </w:r>
      <w:r>
        <w:t>would be</w:t>
      </w:r>
      <w:r w:rsidR="00820E39">
        <w:t xml:space="preserve"> in </w:t>
      </w:r>
      <w:r w:rsidR="00BF4541">
        <w:t>effect</w:t>
      </w:r>
      <w:r w:rsidR="00820E39">
        <w:t xml:space="preserve">. </w:t>
      </w:r>
    </w:p>
    <w:p w:rsidR="00866923" w:rsidRDefault="00866923" w:rsidP="00866923">
      <w:pPr>
        <w:autoSpaceDE w:val="0"/>
        <w:autoSpaceDN w:val="0"/>
        <w:adjustRightInd w:val="0"/>
        <w:spacing w:line="480" w:lineRule="auto"/>
        <w:ind w:firstLine="720"/>
      </w:pPr>
      <w:r>
        <w:t>FE and the proponents of the Stipulation nonetheless maintain that</w:t>
      </w:r>
      <w:r w:rsidR="00E05DCD">
        <w:t>,</w:t>
      </w:r>
      <w:r>
        <w:t xml:space="preserve"> as a package</w:t>
      </w:r>
      <w:r w:rsidR="00E05DCD">
        <w:t>,</w:t>
      </w:r>
      <w:r>
        <w:t xml:space="preserve"> </w:t>
      </w:r>
      <w:r w:rsidR="007B1566">
        <w:t>Proposed ESP IV</w:t>
      </w:r>
      <w:r>
        <w:t xml:space="preserve"> </w:t>
      </w:r>
      <w:r w:rsidRPr="002645C5">
        <w:t>benefit</w:t>
      </w:r>
      <w:r>
        <w:t>s</w:t>
      </w:r>
      <w:r w:rsidRPr="002645C5">
        <w:t xml:space="preserve"> ratepayers and the public interest</w:t>
      </w:r>
      <w:r w:rsidR="00E05DCD">
        <w:t xml:space="preserve">, but the </w:t>
      </w:r>
      <w:r>
        <w:t>evidence belies that assertion.  FE itself admits</w:t>
      </w:r>
      <w:r>
        <w:rPr>
          <w:rStyle w:val="FootnoteReference"/>
        </w:rPr>
        <w:footnoteReference w:id="4"/>
      </w:r>
      <w:r>
        <w:t xml:space="preserve"> that</w:t>
      </w:r>
      <w:r w:rsidR="00E05DCD">
        <w:t>,</w:t>
      </w:r>
      <w:r>
        <w:t xml:space="preserve"> in its own best</w:t>
      </w:r>
      <w:r w:rsidR="00E05DCD">
        <w:t>-</w:t>
      </w:r>
      <w:r>
        <w:t xml:space="preserve">case scenario, its customers would be required to </w:t>
      </w:r>
      <w:r>
        <w:lastRenderedPageBreak/>
        <w:t xml:space="preserve">absorb </w:t>
      </w:r>
      <w:r w:rsidR="00E05DCD">
        <w:t xml:space="preserve">approximately </w:t>
      </w:r>
      <w:r>
        <w:t xml:space="preserve">$363 </w:t>
      </w:r>
      <w:r w:rsidR="00E05DCD">
        <w:t xml:space="preserve">million </w:t>
      </w:r>
      <w:r>
        <w:t xml:space="preserve">in losses over the first three years of its </w:t>
      </w:r>
      <w:r w:rsidR="00E05DCD">
        <w:t xml:space="preserve">Proposed </w:t>
      </w:r>
      <w:r>
        <w:t>ESP IV</w:t>
      </w:r>
      <w:r w:rsidR="00E05DCD">
        <w:t>,</w:t>
      </w:r>
      <w:r>
        <w:t xml:space="preserve"> even after those losses are fully adjusted for </w:t>
      </w:r>
      <w:r w:rsidR="00E05DCD">
        <w:t>the $50 million in nominal benefits</w:t>
      </w:r>
      <w:r w:rsidR="00E05DCD" w:rsidRPr="00E05DCD">
        <w:t xml:space="preserve"> </w:t>
      </w:r>
      <w:r w:rsidR="00E05DCD">
        <w:t xml:space="preserve">that FE </w:t>
      </w:r>
      <w:r w:rsidR="007B1566">
        <w:t>purports to</w:t>
      </w:r>
      <w:r w:rsidR="00E05DCD">
        <w:t xml:space="preserve"> provide but that are unrelated to the core of its Proposed ESP IV</w:t>
      </w:r>
      <w:r>
        <w:t>.</w:t>
      </w:r>
    </w:p>
    <w:p w:rsidR="009F654C" w:rsidRDefault="009F654C" w:rsidP="009F654C">
      <w:pPr>
        <w:autoSpaceDE w:val="0"/>
        <w:autoSpaceDN w:val="0"/>
        <w:adjustRightInd w:val="0"/>
        <w:spacing w:line="480" w:lineRule="auto"/>
        <w:ind w:firstLine="720"/>
      </w:pPr>
      <w:r>
        <w:t>FE</w:t>
      </w:r>
      <w:r w:rsidRPr="00436416">
        <w:t xml:space="preserve"> </w:t>
      </w:r>
      <w:r>
        <w:t xml:space="preserve">justifies its </w:t>
      </w:r>
      <w:r w:rsidR="005A2592">
        <w:t xml:space="preserve">convenient </w:t>
      </w:r>
      <w:r>
        <w:t>view of the economics of its ESP IV’s projections, however, by using outdated, and greatly inflated, forecasts of future natural gas prices and PJM electricity market prices.</w:t>
      </w:r>
      <w:r>
        <w:rPr>
          <w:rStyle w:val="FootnoteReference"/>
        </w:rPr>
        <w:footnoteReference w:id="5"/>
      </w:r>
      <w:r>
        <w:t xml:space="preserve">  Relying upon much more current – and much more credible – forecasts of future gas and energy prices, those who take a reasonably critical view of FE’s ESP proposal instead project that the actual net losses to Ohio consumers from FE’s ESP proposal will more likely run somewhere between $3 Billion and $4 Billion over the eight year life of FE’s proposal.</w:t>
      </w:r>
      <w:r>
        <w:rPr>
          <w:rStyle w:val="FootnoteReference"/>
        </w:rPr>
        <w:footnoteReference w:id="6"/>
      </w:r>
      <w:r>
        <w:t xml:space="preserve">  Moreover the scenarios provided by FE’s witness Juda Rose under which customers would receive credits are all predicated on the assumption that natural gas prices are extremely volatile </w:t>
      </w:r>
      <w:r w:rsidR="00FF69A3">
        <w:t>and that</w:t>
      </w:r>
      <w:r>
        <w:t xml:space="preserve"> </w:t>
      </w:r>
      <w:r w:rsidR="00FF69A3">
        <w:t>volatility</w:t>
      </w:r>
      <w:r>
        <w:t>, in turn, causes energy prices to be volatile.  Moreover, Mr. Rose maintains that this volatility will increase.</w:t>
      </w:r>
      <w:r>
        <w:rPr>
          <w:rStyle w:val="FootnoteReference"/>
        </w:rPr>
        <w:footnoteReference w:id="7"/>
      </w:r>
      <w:r>
        <w:t xml:space="preserve"> Mr. Rose continues by opining that this volatility will lead to even higher gas and energy prices, for the foreseeable future.  In fact, he projects that the fastest growth in prices would occur in the first five years of his forecast.</w:t>
      </w:r>
      <w:r>
        <w:rPr>
          <w:rStyle w:val="FootnoteReference"/>
        </w:rPr>
        <w:footnoteReference w:id="8"/>
      </w:r>
    </w:p>
    <w:p w:rsidR="00AB1610" w:rsidRDefault="005B6FCA" w:rsidP="00866923">
      <w:pPr>
        <w:autoSpaceDE w:val="0"/>
        <w:autoSpaceDN w:val="0"/>
        <w:adjustRightInd w:val="0"/>
        <w:spacing w:line="480" w:lineRule="auto"/>
        <w:ind w:firstLine="720"/>
      </w:pPr>
      <w:r>
        <w:t>Mr. Rose’s</w:t>
      </w:r>
      <w:r w:rsidR="00593714">
        <w:t xml:space="preserve"> assumptions are based on data from 2013</w:t>
      </w:r>
      <w:r w:rsidR="00E05DCD">
        <w:t>,</w:t>
      </w:r>
      <w:r w:rsidR="00593714">
        <w:t xml:space="preserve"> which ha</w:t>
      </w:r>
      <w:r w:rsidR="00E05DCD">
        <w:t>ve</w:t>
      </w:r>
      <w:r w:rsidR="00593714">
        <w:t xml:space="preserve"> not been updated to reflect </w:t>
      </w:r>
      <w:r w:rsidR="00A25365">
        <w:t>current market realities</w:t>
      </w:r>
      <w:r w:rsidR="00593714">
        <w:t xml:space="preserve">. </w:t>
      </w:r>
      <w:r w:rsidR="00AB1610">
        <w:t xml:space="preserve">First, gas and energy prices did not increase through 2014 and 2015, as projected by Mr. Rose.  In contrast, based upon the expert testimony of economist Dr. Kalt, these outdated price forecasts mean that the Companies’ calculations understate the harms to ratepayers in the early years, and overestimate the  claimed positive impacts on ratepayers in </w:t>
      </w:r>
      <w:r w:rsidR="00AB1610">
        <w:lastRenderedPageBreak/>
        <w:t>the later years.</w:t>
      </w:r>
      <w:r w:rsidR="00AB1610">
        <w:rPr>
          <w:rStyle w:val="FootnoteReference"/>
        </w:rPr>
        <w:footnoteReference w:id="9"/>
      </w:r>
      <w:r w:rsidR="00AB1610">
        <w:t xml:space="preserve">  A</w:t>
      </w:r>
      <w:r w:rsidR="00E72B7F">
        <w:t>s</w:t>
      </w:r>
      <w:r w:rsidR="00AB1610">
        <w:t xml:space="preserve"> P3/EPA demonstrates, using NYMEX natural gas future prices in the first three years and then the U.S. Department of Energy’s ElA forecast for price increases for the rest of the term suggests a net present value loss of $793 million to FE’s rate payers.</w:t>
      </w:r>
      <w:r w:rsidR="00AB1610">
        <w:rPr>
          <w:rStyle w:val="FootnoteReference"/>
        </w:rPr>
        <w:footnoteReference w:id="10"/>
      </w:r>
      <w:r w:rsidR="00AB1610">
        <w:t xml:space="preserve"> </w:t>
      </w:r>
    </w:p>
    <w:p w:rsidR="00AB1610" w:rsidRDefault="00AB1610" w:rsidP="00866923">
      <w:pPr>
        <w:autoSpaceDE w:val="0"/>
        <w:autoSpaceDN w:val="0"/>
        <w:adjustRightInd w:val="0"/>
        <w:spacing w:line="480" w:lineRule="auto"/>
        <w:ind w:firstLine="720"/>
      </w:pPr>
      <w:r>
        <w:t>Furthermore, by failing to demand that Mr. Rose update his forecasts, FE is able to ignore the sharp declines in market prices of spot and future gas since it filed its Proposed ESP.  That collapse in pricing also affects forecasts of future prices, of course.</w:t>
      </w:r>
    </w:p>
    <w:p w:rsidR="00514AA5" w:rsidRDefault="00593714">
      <w:pPr>
        <w:autoSpaceDE w:val="0"/>
        <w:autoSpaceDN w:val="0"/>
        <w:adjustRightInd w:val="0"/>
        <w:spacing w:line="480" w:lineRule="auto"/>
        <w:ind w:firstLine="720"/>
        <w:rPr>
          <w:b/>
        </w:rPr>
      </w:pPr>
      <w:r>
        <w:t>Th</w:t>
      </w:r>
      <w:r w:rsidR="00A25365">
        <w:t>erefore</w:t>
      </w:r>
      <w:r>
        <w:t xml:space="preserve">, the </w:t>
      </w:r>
      <w:r w:rsidR="00A25365">
        <w:t>circumstance</w:t>
      </w:r>
      <w:r w:rsidR="001C021B">
        <w:t xml:space="preserve">s under which customers </w:t>
      </w:r>
      <w:r w:rsidR="00A25365">
        <w:t xml:space="preserve">would </w:t>
      </w:r>
      <w:r w:rsidR="001C021B">
        <w:t>receive a credit would also cost them far more for natural gas</w:t>
      </w:r>
      <w:r w:rsidR="00A25365">
        <w:t xml:space="preserve"> in the first place</w:t>
      </w:r>
      <w:r w:rsidR="001C021B">
        <w:t xml:space="preserve">.  </w:t>
      </w:r>
      <w:r w:rsidR="00A25365">
        <w:t>Today, i</w:t>
      </w:r>
      <w:r w:rsidR="001C021B">
        <w:t>f customers want to protect themselves against rising natural gas prices</w:t>
      </w:r>
      <w:r w:rsidR="00A25365">
        <w:t>,</w:t>
      </w:r>
      <w:r w:rsidR="001C021B">
        <w:t xml:space="preserve"> they can do so without re</w:t>
      </w:r>
      <w:r w:rsidR="00A25365">
        <w:t>ly</w:t>
      </w:r>
      <w:r w:rsidR="001C021B">
        <w:t xml:space="preserve">ing </w:t>
      </w:r>
      <w:r w:rsidR="00A25365">
        <w:t>on</w:t>
      </w:r>
      <w:r w:rsidR="001C021B">
        <w:t xml:space="preserve"> </w:t>
      </w:r>
      <w:r w:rsidR="007A046F">
        <w:t xml:space="preserve">self-dealing and </w:t>
      </w:r>
      <w:r w:rsidR="001C021B">
        <w:t xml:space="preserve">an expensive transaction negotiated </w:t>
      </w:r>
      <w:r w:rsidR="00A25365">
        <w:t xml:space="preserve">at less than arm’s length </w:t>
      </w:r>
      <w:r w:rsidR="001C021B">
        <w:t xml:space="preserve">between FE and </w:t>
      </w:r>
      <w:r w:rsidR="00A25365">
        <w:t xml:space="preserve">its affiliate </w:t>
      </w:r>
      <w:r w:rsidR="001C021B">
        <w:t>FES.</w:t>
      </w:r>
      <w:r w:rsidR="003C4E3B">
        <w:t xml:space="preserve">  </w:t>
      </w:r>
      <w:r w:rsidR="007A69A8">
        <w:t>Indeed</w:t>
      </w:r>
      <w:r w:rsidR="003C4E3B">
        <w:t xml:space="preserve">, both the Ohio Companies Council </w:t>
      </w:r>
      <w:r w:rsidR="007A69A8">
        <w:t xml:space="preserve">(“OCC”) </w:t>
      </w:r>
      <w:r w:rsidR="003C4E3B">
        <w:t xml:space="preserve">and the Northeast Ohio Energy Council have </w:t>
      </w:r>
      <w:r w:rsidR="007A69A8">
        <w:t xml:space="preserve">even </w:t>
      </w:r>
      <w:r w:rsidR="003C4E3B">
        <w:t>concluded that the FE “subsidy” would cost consumers approximately $3.9 billion.</w:t>
      </w:r>
    </w:p>
    <w:p w:rsidR="00514AA5" w:rsidRDefault="00501F99">
      <w:pPr>
        <w:pStyle w:val="ListParagraph"/>
        <w:numPr>
          <w:ilvl w:val="0"/>
          <w:numId w:val="9"/>
        </w:numPr>
      </w:pPr>
      <w:r w:rsidRPr="00501F99">
        <w:rPr>
          <w:b/>
        </w:rPr>
        <w:t>Even if FE’s Proposed ESP IV Were Found to Be More Favorable in the Aggregate Than an MRO, the Stipulation Would Still Fail the Ohio Supreme Court’s “Just and Reasonable” Test.</w:t>
      </w:r>
    </w:p>
    <w:p w:rsidR="00514AA5" w:rsidRDefault="00467672">
      <w:pPr>
        <w:spacing w:line="480" w:lineRule="auto"/>
        <w:ind w:firstLine="720"/>
      </w:pPr>
      <w:r>
        <w:t>T</w:t>
      </w:r>
      <w:r w:rsidR="006C5EE6" w:rsidRPr="006C5EE6">
        <w:t xml:space="preserve">he </w:t>
      </w:r>
      <w:r w:rsidR="00E042C4">
        <w:t>S</w:t>
      </w:r>
      <w:r w:rsidR="006C5EE6" w:rsidRPr="006C5EE6">
        <w:t>tipulation fail</w:t>
      </w:r>
      <w:r>
        <w:t>s</w:t>
      </w:r>
      <w:r w:rsidR="006C5EE6" w:rsidRPr="006C5EE6">
        <w:t xml:space="preserve"> </w:t>
      </w:r>
      <w:r w:rsidR="00285149">
        <w:t xml:space="preserve">all three prongs of </w:t>
      </w:r>
      <w:r w:rsidR="006C5EE6" w:rsidRPr="006C5EE6">
        <w:t xml:space="preserve">the </w:t>
      </w:r>
      <w:r w:rsidR="006C5EE6">
        <w:t>O</w:t>
      </w:r>
      <w:r w:rsidR="006C5EE6" w:rsidRPr="006C5EE6">
        <w:t xml:space="preserve">hio </w:t>
      </w:r>
      <w:r w:rsidR="006C5EE6">
        <w:t>S</w:t>
      </w:r>
      <w:r w:rsidR="006C5EE6" w:rsidRPr="006C5EE6">
        <w:t xml:space="preserve">upreme </w:t>
      </w:r>
      <w:r w:rsidR="006C5EE6">
        <w:t>C</w:t>
      </w:r>
      <w:r w:rsidR="006C5EE6" w:rsidRPr="006C5EE6">
        <w:t>ourt’s “just and reasonable” test</w:t>
      </w:r>
      <w:r w:rsidR="004A2203">
        <w:t xml:space="preserve">.  </w:t>
      </w:r>
      <w:r w:rsidR="009443D4">
        <w:t xml:space="preserve">Relatedly, </w:t>
      </w:r>
      <w:r w:rsidR="00110BD6">
        <w:t>Rider NMB should be eliminated, altogether.</w:t>
      </w:r>
    </w:p>
    <w:p w:rsidR="00514AA5" w:rsidRDefault="00423FC8">
      <w:pPr>
        <w:numPr>
          <w:ilvl w:val="1"/>
          <w:numId w:val="9"/>
        </w:numPr>
        <w:autoSpaceDE w:val="0"/>
        <w:autoSpaceDN w:val="0"/>
        <w:adjustRightInd w:val="0"/>
        <w:spacing w:after="240"/>
        <w:rPr>
          <w:b/>
        </w:rPr>
      </w:pPr>
      <w:r w:rsidRPr="008848FE">
        <w:rPr>
          <w:b/>
        </w:rPr>
        <w:t>The Settlement Is Not A Product of Serious Bargaining Among Capable Knowledgeable Parties Representing a Diversity of Interests.</w:t>
      </w:r>
    </w:p>
    <w:p w:rsidR="00423FC8" w:rsidRDefault="00423FC8" w:rsidP="00423FC8">
      <w:pPr>
        <w:autoSpaceDE w:val="0"/>
        <w:autoSpaceDN w:val="0"/>
        <w:adjustRightInd w:val="0"/>
        <w:spacing w:line="480" w:lineRule="auto"/>
        <w:ind w:firstLine="720"/>
      </w:pPr>
      <w:r>
        <w:t xml:space="preserve">The Stipulation may represent serious bargaining among capable, knowledgeable parties.  It is incorrect, however, to believe that those parties represent a diversity of interests.  Those parties for the most part represent their own interests, alone.  </w:t>
      </w:r>
    </w:p>
    <w:p w:rsidR="00423FC8" w:rsidRDefault="00423FC8" w:rsidP="00423FC8">
      <w:pPr>
        <w:autoSpaceDE w:val="0"/>
        <w:autoSpaceDN w:val="0"/>
        <w:adjustRightInd w:val="0"/>
        <w:spacing w:line="480" w:lineRule="auto"/>
        <w:ind w:firstLine="720"/>
      </w:pPr>
      <w:r>
        <w:t xml:space="preserve">In fact, Noble Solutions’ direct intervention in this proceeding was prompted by the decision of </w:t>
      </w:r>
      <w:r w:rsidR="005B387F">
        <w:t xml:space="preserve">certain </w:t>
      </w:r>
      <w:r>
        <w:t xml:space="preserve">members of </w:t>
      </w:r>
      <w:r w:rsidR="009C3ED2">
        <w:t xml:space="preserve">its industry group </w:t>
      </w:r>
      <w:r>
        <w:t xml:space="preserve">to enter into the Stipulation in this case and in </w:t>
      </w:r>
      <w:r>
        <w:lastRenderedPageBreak/>
        <w:t xml:space="preserve">AEP Ohio’s similar plan seeking a PPA that serves as a blank check against the account of Ohio ratepayers.  </w:t>
      </w:r>
    </w:p>
    <w:p w:rsidR="00423FC8" w:rsidRDefault="00423FC8" w:rsidP="00423FC8">
      <w:pPr>
        <w:autoSpaceDE w:val="0"/>
        <w:autoSpaceDN w:val="0"/>
        <w:adjustRightInd w:val="0"/>
        <w:spacing w:line="480" w:lineRule="auto"/>
        <w:ind w:firstLine="720"/>
      </w:pPr>
      <w:r>
        <w:t>In this specific case, Interstate Gas Supply, Inc. (“IGS”) acknowledges that it</w:t>
      </w:r>
      <w:r w:rsidR="00FF6A0E">
        <w:t xml:space="preserve"> finds competition to be well-</w:t>
      </w:r>
      <w:r>
        <w:t>developed in the industrial sector and even admits that residential switching has been a “success” in FE’s service territory.</w:t>
      </w:r>
      <w:r>
        <w:rPr>
          <w:rStyle w:val="FootnoteReference"/>
        </w:rPr>
        <w:footnoteReference w:id="11"/>
      </w:r>
      <w:r>
        <w:t xml:space="preserve"> It posits, however, that despite the success of “opt out” governmental aggregation in FE territories, residential competition is somehow deficient because “affirmative” enrollment by residential customers has lagged its hopes.</w:t>
      </w:r>
      <w:r>
        <w:rPr>
          <w:rStyle w:val="FootnoteReference"/>
        </w:rPr>
        <w:footnoteReference w:id="12"/>
      </w:r>
      <w:r>
        <w:t xml:space="preserve">  In return for IGS’s support of a “remedy” this “deficiency”, IGS and FE concocted a scheme whereby, in the near future, they will jointly design a program that is 1) revenue neutral to FE, and 2) provides an incentive to residential shoppers through a yet to be defined “retail competition incentive rider” (Rider ICR).</w:t>
      </w:r>
    </w:p>
    <w:p w:rsidR="00514AA5" w:rsidRDefault="00423FC8">
      <w:pPr>
        <w:autoSpaceDE w:val="0"/>
        <w:autoSpaceDN w:val="0"/>
        <w:adjustRightInd w:val="0"/>
        <w:spacing w:line="480" w:lineRule="auto"/>
        <w:ind w:firstLine="720"/>
      </w:pPr>
      <w:r>
        <w:t xml:space="preserve">The Stipulation failed to address any of the fundamental criticisms IGS raised to the PPA scheme.  Instead, the Stipulation simply became a vehicle for the award of IGS’ withdrawal of its open hostility to the PPA in return for an unrelated concession benefitting IGS.  It is significant that the concession will likely benefit the marketing schemes of IGS – the </w:t>
      </w:r>
      <w:r>
        <w:rPr>
          <w:i/>
        </w:rPr>
        <w:t xml:space="preserve">only </w:t>
      </w:r>
      <w:r>
        <w:t xml:space="preserve">CRES promised rights to participate in designing Rider ICR, with no regard to those of other CRES providers.  In return, FE rate payers not only absorb charges associated with the PPA, but as an yet undetermined charge imposed on SSO customers that fail to agree that switching to IGS (or – perhaps – a CRES that chooses to mimic IGS’ marketing) constitutes a sufficient </w:t>
      </w:r>
      <w:r>
        <w:rPr>
          <w:i/>
        </w:rPr>
        <w:t>quid pro quo</w:t>
      </w:r>
      <w:r>
        <w:t xml:space="preserve"> for the PPA “benefits”.   This scheme is nothing but a discriminatory and predatory agreement by the utility and a single CRES provider to artificially increase the difference between default SSO service and CRES provider service. </w:t>
      </w:r>
      <w:r w:rsidR="00E859B4">
        <w:t xml:space="preserve">This scheme operates for </w:t>
      </w:r>
      <w:r>
        <w:t xml:space="preserve">the benefit of exactly two </w:t>
      </w:r>
      <w:r>
        <w:lastRenderedPageBreak/>
        <w:t>parties – the utility, and IGS – without regard to the detriment to customers generally, to other providers, or to any non-signatory parties.  That sort of “bargain” does not reflect a general public interest.</w:t>
      </w:r>
    </w:p>
    <w:p w:rsidR="00514AA5" w:rsidRDefault="007E530F">
      <w:pPr>
        <w:numPr>
          <w:ilvl w:val="1"/>
          <w:numId w:val="9"/>
        </w:numPr>
        <w:autoSpaceDE w:val="0"/>
        <w:autoSpaceDN w:val="0"/>
        <w:adjustRightInd w:val="0"/>
        <w:spacing w:after="240"/>
        <w:rPr>
          <w:b/>
        </w:rPr>
      </w:pPr>
      <w:r>
        <w:rPr>
          <w:b/>
        </w:rPr>
        <w:t>The Stipulation Violates Important Regulatory Principles and Does Not Benefit Ratepayers or the Public Interest</w:t>
      </w:r>
    </w:p>
    <w:p w:rsidR="00AD500A" w:rsidRDefault="00241539" w:rsidP="007E530F">
      <w:pPr>
        <w:autoSpaceDE w:val="0"/>
        <w:autoSpaceDN w:val="0"/>
        <w:adjustRightInd w:val="0"/>
        <w:spacing w:line="480" w:lineRule="auto"/>
        <w:ind w:firstLine="720"/>
      </w:pPr>
      <w:r>
        <w:t xml:space="preserve">The fundamental </w:t>
      </w:r>
      <w:r w:rsidR="0093101A">
        <w:t xml:space="preserve">purpose of </w:t>
      </w:r>
      <w:r>
        <w:t xml:space="preserve">Amended Senate Bill 3, as later amended by </w:t>
      </w:r>
      <w:r w:rsidR="0093101A">
        <w:t xml:space="preserve">Substitute </w:t>
      </w:r>
      <w:r>
        <w:t>Senate Bill 221</w:t>
      </w:r>
      <w:r w:rsidR="0055137B">
        <w:t>,</w:t>
      </w:r>
      <w:r>
        <w:t xml:space="preserve"> was to create and encourage competition in the</w:t>
      </w:r>
      <w:r w:rsidR="00EF3B9E">
        <w:t xml:space="preserve"> retail</w:t>
      </w:r>
      <w:r>
        <w:t xml:space="preserve"> electric service market.</w:t>
      </w:r>
      <w:r>
        <w:rPr>
          <w:rStyle w:val="FootnoteReference"/>
        </w:rPr>
        <w:footnoteReference w:id="13"/>
      </w:r>
      <w:r>
        <w:t xml:space="preserve">  It is therefore </w:t>
      </w:r>
      <w:r w:rsidR="00EF3B9E">
        <w:t xml:space="preserve">a </w:t>
      </w:r>
      <w:r>
        <w:t xml:space="preserve">fundamental </w:t>
      </w:r>
      <w:r w:rsidR="00EF3B9E">
        <w:t xml:space="preserve">regulatory principle </w:t>
      </w:r>
      <w:r>
        <w:t xml:space="preserve">that </w:t>
      </w:r>
      <w:r w:rsidR="00AD500A">
        <w:t xml:space="preserve">the </w:t>
      </w:r>
      <w:r w:rsidR="00EF3B9E">
        <w:t>operational risks</w:t>
      </w:r>
      <w:r>
        <w:t xml:space="preserve"> of a utility’s affiliated, unregulated business</w:t>
      </w:r>
      <w:r w:rsidR="00AD500A">
        <w:t xml:space="preserve">, including costs, </w:t>
      </w:r>
      <w:r w:rsidR="0093101A">
        <w:t xml:space="preserve">are to be borne by </w:t>
      </w:r>
      <w:r w:rsidR="00A25365">
        <w:t>said</w:t>
      </w:r>
      <w:r w:rsidR="0093101A">
        <w:t xml:space="preserve"> business unit.  It is entirely inappropriate to shift those risks and costs </w:t>
      </w:r>
      <w:r>
        <w:t xml:space="preserve">to the captive ratepayers of </w:t>
      </w:r>
      <w:r w:rsidR="0093101A">
        <w:t>an affiliated</w:t>
      </w:r>
      <w:r w:rsidR="00A25365">
        <w:t xml:space="preserve"> but </w:t>
      </w:r>
      <w:r>
        <w:t>regulated business.</w:t>
      </w:r>
      <w:r>
        <w:rPr>
          <w:rStyle w:val="FootnoteReference"/>
        </w:rPr>
        <w:footnoteReference w:id="14"/>
      </w:r>
      <w:r>
        <w:t xml:space="preserve">  </w:t>
      </w:r>
    </w:p>
    <w:p w:rsidR="006671CA" w:rsidRDefault="00A25365" w:rsidP="0093101A">
      <w:pPr>
        <w:autoSpaceDE w:val="0"/>
        <w:autoSpaceDN w:val="0"/>
        <w:adjustRightInd w:val="0"/>
        <w:spacing w:line="480" w:lineRule="auto"/>
        <w:ind w:firstLine="720"/>
        <w:rPr>
          <w:szCs w:val="20"/>
        </w:rPr>
      </w:pPr>
      <w:r>
        <w:t xml:space="preserve">Nonetheless, such a </w:t>
      </w:r>
      <w:r w:rsidR="00241539">
        <w:t>shift of costs</w:t>
      </w:r>
      <w:r w:rsidR="00EF3B9E">
        <w:t xml:space="preserve"> and </w:t>
      </w:r>
      <w:r w:rsidR="00052126">
        <w:t xml:space="preserve">generation-related </w:t>
      </w:r>
      <w:r w:rsidR="00EF3B9E">
        <w:t>risks</w:t>
      </w:r>
      <w:r w:rsidR="00241539">
        <w:t xml:space="preserve"> is precisely </w:t>
      </w:r>
      <w:r w:rsidR="00AD500A">
        <w:t xml:space="preserve">the goal of FE’s </w:t>
      </w:r>
      <w:r>
        <w:t xml:space="preserve">Proposed </w:t>
      </w:r>
      <w:r w:rsidR="00AD500A">
        <w:t xml:space="preserve">ESP IV and precisely </w:t>
      </w:r>
      <w:r w:rsidR="00241539">
        <w:t xml:space="preserve">what </w:t>
      </w:r>
      <w:r w:rsidR="00AD500A">
        <w:t xml:space="preserve">the </w:t>
      </w:r>
      <w:r w:rsidR="00241539">
        <w:t>Stipulation</w:t>
      </w:r>
      <w:r w:rsidR="00AD500A">
        <w:t xml:space="preserve"> permits</w:t>
      </w:r>
      <w:r w:rsidR="00241539">
        <w:t xml:space="preserve">.  </w:t>
      </w:r>
      <w:r w:rsidR="005E0E9A">
        <w:t xml:space="preserve">The Stipulation requires Ohio ratepayers to shoulder the enormous risk of certain FES generation plants that were </w:t>
      </w:r>
      <w:r w:rsidR="00F048C3">
        <w:t>intentionally selected</w:t>
      </w:r>
      <w:r w:rsidR="005E0E9A">
        <w:t xml:space="preserve"> specifically because they are economically challenged and yet in addition guarantee that FES will receive a profit on those same unprofitable plants. T</w:t>
      </w:r>
      <w:r w:rsidR="00241539">
        <w:t xml:space="preserve">he Stipulation </w:t>
      </w:r>
      <w:r w:rsidR="005E0E9A">
        <w:t xml:space="preserve">thereby </w:t>
      </w:r>
      <w:r w:rsidR="00241539">
        <w:t xml:space="preserve">directly violates </w:t>
      </w:r>
      <w:r w:rsidR="00AD500A">
        <w:t>the unambiguous</w:t>
      </w:r>
      <w:r w:rsidR="00241539">
        <w:t xml:space="preserve"> regulatory policy</w:t>
      </w:r>
      <w:r w:rsidR="00EF3B9E">
        <w:t xml:space="preserve"> against non-bypassable ratepayer subsidization of </w:t>
      </w:r>
      <w:r w:rsidR="008A2859">
        <w:t>FES</w:t>
      </w:r>
      <w:r w:rsidR="00EF3B9E">
        <w:t>’s unregulated business</w:t>
      </w:r>
      <w:r w:rsidR="00241539">
        <w:t xml:space="preserve">.  </w:t>
      </w:r>
      <w:r w:rsidR="0093101A">
        <w:t xml:space="preserve">The </w:t>
      </w:r>
      <w:r w:rsidR="00EA6D61">
        <w:t xml:space="preserve">Stipulation is contrary to </w:t>
      </w:r>
      <w:r w:rsidR="0093101A">
        <w:t xml:space="preserve">this </w:t>
      </w:r>
      <w:r w:rsidR="00EA6D61">
        <w:t>f</w:t>
      </w:r>
      <w:r w:rsidR="0093101A">
        <w:t>undamental regulatory principle</w:t>
      </w:r>
      <w:r w:rsidR="008A2859">
        <w:t>.  Equally significant</w:t>
      </w:r>
      <w:r w:rsidR="006D0F2F">
        <w:t>ly</w:t>
      </w:r>
      <w:r w:rsidR="008A2859">
        <w:t xml:space="preserve">, it directly violates </w:t>
      </w:r>
      <w:r w:rsidR="006D0F2F">
        <w:rPr>
          <w:szCs w:val="20"/>
        </w:rPr>
        <w:t>R.C. Section</w:t>
      </w:r>
      <w:r w:rsidR="0093101A" w:rsidRPr="00A271FA">
        <w:rPr>
          <w:szCs w:val="20"/>
        </w:rPr>
        <w:t> 4928.02(H)</w:t>
      </w:r>
      <w:r w:rsidR="008A2859">
        <w:rPr>
          <w:szCs w:val="20"/>
        </w:rPr>
        <w:t xml:space="preserve"> and is therefore unlawful.</w:t>
      </w:r>
    </w:p>
    <w:p w:rsidR="00041FDD" w:rsidRDefault="006671CA" w:rsidP="0093101A">
      <w:pPr>
        <w:autoSpaceDE w:val="0"/>
        <w:autoSpaceDN w:val="0"/>
        <w:adjustRightInd w:val="0"/>
        <w:spacing w:line="480" w:lineRule="auto"/>
        <w:ind w:firstLine="720"/>
        <w:rPr>
          <w:szCs w:val="20"/>
        </w:rPr>
      </w:pPr>
      <w:r>
        <w:rPr>
          <w:szCs w:val="20"/>
        </w:rPr>
        <w:t xml:space="preserve">As </w:t>
      </w:r>
      <w:r w:rsidR="001C021B">
        <w:rPr>
          <w:szCs w:val="20"/>
        </w:rPr>
        <w:t xml:space="preserve">Noble Solutions </w:t>
      </w:r>
      <w:r>
        <w:rPr>
          <w:szCs w:val="20"/>
        </w:rPr>
        <w:t>sees it, FE’s Proposed ESP IV would effectively provide two subsidies</w:t>
      </w:r>
      <w:r w:rsidR="00A25365">
        <w:rPr>
          <w:szCs w:val="20"/>
        </w:rPr>
        <w:t>.</w:t>
      </w:r>
      <w:r w:rsidR="001C021B">
        <w:rPr>
          <w:szCs w:val="20"/>
        </w:rPr>
        <w:t xml:space="preserve"> </w:t>
      </w:r>
      <w:r w:rsidR="00A25365">
        <w:rPr>
          <w:szCs w:val="20"/>
        </w:rPr>
        <w:t>T</w:t>
      </w:r>
      <w:r w:rsidR="001C021B">
        <w:rPr>
          <w:szCs w:val="20"/>
        </w:rPr>
        <w:t xml:space="preserve">he first subsidy </w:t>
      </w:r>
      <w:r>
        <w:rPr>
          <w:szCs w:val="20"/>
        </w:rPr>
        <w:t>would be</w:t>
      </w:r>
      <w:r w:rsidR="001C021B">
        <w:rPr>
          <w:szCs w:val="20"/>
        </w:rPr>
        <w:t xml:space="preserve"> created by FES</w:t>
      </w:r>
      <w:r w:rsidR="00A25365">
        <w:rPr>
          <w:szCs w:val="20"/>
        </w:rPr>
        <w:t>’s</w:t>
      </w:r>
      <w:r w:rsidR="001C021B">
        <w:rPr>
          <w:szCs w:val="20"/>
        </w:rPr>
        <w:t xml:space="preserve"> </w:t>
      </w:r>
      <w:r>
        <w:rPr>
          <w:szCs w:val="20"/>
        </w:rPr>
        <w:t xml:space="preserve">ability to </w:t>
      </w:r>
      <w:r w:rsidR="00114C50">
        <w:rPr>
          <w:szCs w:val="20"/>
        </w:rPr>
        <w:t xml:space="preserve">predatorily </w:t>
      </w:r>
      <w:r w:rsidR="001C021B">
        <w:rPr>
          <w:szCs w:val="20"/>
        </w:rPr>
        <w:t xml:space="preserve">select which plants </w:t>
      </w:r>
      <w:r w:rsidR="001C021B">
        <w:rPr>
          <w:szCs w:val="20"/>
        </w:rPr>
        <w:lastRenderedPageBreak/>
        <w:t xml:space="preserve">in its generation fleet </w:t>
      </w:r>
      <w:r>
        <w:rPr>
          <w:szCs w:val="20"/>
        </w:rPr>
        <w:t>would</w:t>
      </w:r>
      <w:r w:rsidR="00A25365">
        <w:rPr>
          <w:szCs w:val="20"/>
        </w:rPr>
        <w:t xml:space="preserve"> be</w:t>
      </w:r>
      <w:r w:rsidR="001C021B">
        <w:rPr>
          <w:szCs w:val="20"/>
        </w:rPr>
        <w:t xml:space="preserve"> subject to the PPA</w:t>
      </w:r>
      <w:r>
        <w:rPr>
          <w:szCs w:val="20"/>
        </w:rPr>
        <w:t xml:space="preserve">.  In a competitive market, generation owners bear all of the risks of all of their generation plants in total, which appropriately include both profitable and unprofitable plants; to shift the risks associated with FES’s unprofitable plants to ratepayers would enable FES to retain only its most profitable generation plants, resulting in a subsidy from ratepayers to FES. </w:t>
      </w:r>
      <w:r w:rsidR="001C021B">
        <w:rPr>
          <w:szCs w:val="20"/>
        </w:rPr>
        <w:t xml:space="preserve"> </w:t>
      </w:r>
      <w:r>
        <w:rPr>
          <w:szCs w:val="20"/>
        </w:rPr>
        <w:t>T</w:t>
      </w:r>
      <w:r w:rsidR="00A25365">
        <w:rPr>
          <w:szCs w:val="20"/>
        </w:rPr>
        <w:t xml:space="preserve">he second </w:t>
      </w:r>
      <w:r>
        <w:rPr>
          <w:szCs w:val="20"/>
        </w:rPr>
        <w:t>subsidy would be</w:t>
      </w:r>
      <w:r w:rsidR="00A25365">
        <w:rPr>
          <w:szCs w:val="20"/>
        </w:rPr>
        <w:t xml:space="preserve"> </w:t>
      </w:r>
      <w:r w:rsidR="001C021B">
        <w:rPr>
          <w:szCs w:val="20"/>
        </w:rPr>
        <w:t xml:space="preserve">the </w:t>
      </w:r>
      <w:r>
        <w:rPr>
          <w:szCs w:val="20"/>
        </w:rPr>
        <w:t xml:space="preserve">guaranteed </w:t>
      </w:r>
      <w:r w:rsidR="001C021B">
        <w:rPr>
          <w:szCs w:val="20"/>
        </w:rPr>
        <w:t>10.38% return on equity for those plants</w:t>
      </w:r>
      <w:r w:rsidR="0067045B">
        <w:rPr>
          <w:szCs w:val="20"/>
        </w:rPr>
        <w:t xml:space="preserve">.  </w:t>
      </w:r>
      <w:r>
        <w:rPr>
          <w:szCs w:val="20"/>
        </w:rPr>
        <w:t>Ultimately, FE’s Proposed ESP IV</w:t>
      </w:r>
      <w:r w:rsidR="0067045B">
        <w:rPr>
          <w:szCs w:val="20"/>
        </w:rPr>
        <w:t xml:space="preserve"> is an obvious attempt to undo the benefits of competition created when Ohio opened the </w:t>
      </w:r>
      <w:r>
        <w:rPr>
          <w:szCs w:val="20"/>
        </w:rPr>
        <w:t xml:space="preserve">retail </w:t>
      </w:r>
      <w:r w:rsidR="0067045B">
        <w:rPr>
          <w:szCs w:val="20"/>
        </w:rPr>
        <w:t>market.</w:t>
      </w:r>
      <w:r w:rsidR="00C9793D">
        <w:rPr>
          <w:rStyle w:val="FootnoteReference"/>
          <w:szCs w:val="20"/>
        </w:rPr>
        <w:footnoteReference w:id="15"/>
      </w:r>
    </w:p>
    <w:p w:rsidR="00514AA5" w:rsidRDefault="003D52AC">
      <w:pPr>
        <w:numPr>
          <w:ilvl w:val="1"/>
          <w:numId w:val="9"/>
        </w:numPr>
        <w:autoSpaceDE w:val="0"/>
        <w:autoSpaceDN w:val="0"/>
        <w:adjustRightInd w:val="0"/>
        <w:spacing w:line="480" w:lineRule="auto"/>
        <w:rPr>
          <w:b/>
        </w:rPr>
      </w:pPr>
      <w:r>
        <w:rPr>
          <w:b/>
        </w:rPr>
        <w:t xml:space="preserve">Rider NMB Should Be Eliminated Altogether. </w:t>
      </w:r>
    </w:p>
    <w:p w:rsidR="003D52AC" w:rsidRDefault="003D52AC" w:rsidP="003D52AC">
      <w:pPr>
        <w:autoSpaceDE w:val="0"/>
        <w:autoSpaceDN w:val="0"/>
        <w:adjustRightInd w:val="0"/>
        <w:spacing w:line="480" w:lineRule="auto"/>
        <w:ind w:firstLine="720"/>
      </w:pPr>
      <w:r>
        <w:t>Noble Solutions oppose</w:t>
      </w:r>
      <w:r w:rsidR="00323F55">
        <w:t>s a utility billing for any non-</w:t>
      </w:r>
      <w:r>
        <w:t>default service LSE’s PJM wholesale costs.  In Ohio, Noble Solutions opposes the expansion of FE’s Non-Market-Based Rider (“Rider NMB”) to include billing item 1375 from PJM and opposes FE’s proposal to make item 1375 bypassable on a limited basis.  Socializing CRES providers wholesale market costs removes the ability of CRES providers to individually manage such costs for their customers. This inappropriately shifts associated risks to customers.  In effect this removes one of the fundamental tenets and benefits of retail competitive market.</w:t>
      </w:r>
    </w:p>
    <w:p w:rsidR="003D52AC" w:rsidRDefault="003D52AC" w:rsidP="003D52AC">
      <w:pPr>
        <w:autoSpaceDE w:val="0"/>
        <w:autoSpaceDN w:val="0"/>
        <w:adjustRightInd w:val="0"/>
        <w:spacing w:line="480" w:lineRule="auto"/>
        <w:ind w:firstLine="720"/>
      </w:pPr>
      <w:r>
        <w:t>Noble Solutions disputes the notion that some PJM charges are “non-market-based,” whereas others are not.  Such characterizations are made up, arbitrary, subjective, and based on nothing more than the willingness of CRES providers to understand and to either manage or not to manage risks associated with their individual customer load in the wholesale market.</w:t>
      </w:r>
    </w:p>
    <w:p w:rsidR="003D52AC" w:rsidRDefault="003D52AC" w:rsidP="003D52AC">
      <w:pPr>
        <w:autoSpaceDE w:val="0"/>
        <w:autoSpaceDN w:val="0"/>
        <w:adjustRightInd w:val="0"/>
        <w:spacing w:line="480" w:lineRule="auto"/>
        <w:ind w:firstLine="720"/>
      </w:pPr>
      <w:r>
        <w:t xml:space="preserve">Noble Solutions maintains that it is the role of CRES providers, </w:t>
      </w:r>
      <w:r>
        <w:rPr>
          <w:i/>
        </w:rPr>
        <w:t>inter alia</w:t>
      </w:r>
      <w:r>
        <w:t xml:space="preserve">, to manage these costs for their customers as part of their product and value offering to the retail market.  If Rider NMB is permitted to continue and, as requested by FE, to expand to include item 1375, customers also could be subject to a different rate recovery design that FE would impose on the </w:t>
      </w:r>
      <w:r>
        <w:lastRenderedPageBreak/>
        <w:t>collection of the PJM account charges subject to Rider NMB.</w:t>
      </w:r>
      <w:r w:rsidR="00D36155">
        <w:t xml:space="preserve">  </w:t>
      </w:r>
      <w:r>
        <w:t>For instance, consider an account with a 1 coincident peak cost allocation, whereas the FE recovery of that account is on a demand basis.  This changed cost allocation method deprives FE Ohio customers of the benefit of the FERC-approved PJM rate design.</w:t>
      </w:r>
    </w:p>
    <w:p w:rsidR="003D52AC" w:rsidRPr="00DA1AF8" w:rsidRDefault="003D52AC" w:rsidP="003D52AC">
      <w:pPr>
        <w:autoSpaceDE w:val="0"/>
        <w:autoSpaceDN w:val="0"/>
        <w:adjustRightInd w:val="0"/>
        <w:spacing w:line="480" w:lineRule="auto"/>
        <w:ind w:firstLine="720"/>
      </w:pPr>
      <w:r>
        <w:t xml:space="preserve">FE purportedly designed Rider NMB to direct-bill PJM costs over which a load-serving entity has no control or influence.  PJM item 1375, which FE proposes to collect through Rider NMB, collects operational balancing costs.  As RESA’s witness </w:t>
      </w:r>
      <w:r w:rsidRPr="00757F78">
        <w:t xml:space="preserve">Mr. </w:t>
      </w:r>
      <w:r w:rsidRPr="00746B17">
        <w:t xml:space="preserve">Stephen </w:t>
      </w:r>
      <w:r>
        <w:t xml:space="preserve">Bennett testified, however, operational balancing costs can be controlled, to a degree, by load-serving entities, whether CRES or utility.  By making better forecasts, a savvy load-serving entity can reduce future imbalances and thus lower PJM operational balancing costs.  The benefits of this approach </w:t>
      </w:r>
      <w:r>
        <w:rPr>
          <w:i/>
        </w:rPr>
        <w:t>for the consumer</w:t>
      </w:r>
      <w:r>
        <w:t xml:space="preserve"> are real and already form a cornerstone of the </w:t>
      </w:r>
      <w:r w:rsidRPr="00DA1AF8">
        <w:rPr>
          <w:i/>
        </w:rPr>
        <w:t>current</w:t>
      </w:r>
      <w:r w:rsidRPr="00DA1AF8">
        <w:t xml:space="preserve"> </w:t>
      </w:r>
      <w:r>
        <w:t>competitive retail electricity market in Ohio.</w:t>
      </w:r>
    </w:p>
    <w:p w:rsidR="003D52AC" w:rsidRDefault="003D52AC" w:rsidP="003D52AC">
      <w:pPr>
        <w:autoSpaceDE w:val="0"/>
        <w:autoSpaceDN w:val="0"/>
        <w:adjustRightInd w:val="0"/>
        <w:spacing w:line="480" w:lineRule="auto"/>
        <w:ind w:firstLine="720"/>
      </w:pPr>
      <w:r>
        <w:t>Making better forecasts, of course, requires devoting resources to improving the forecasting process</w:t>
      </w:r>
      <w:r w:rsidR="00A74CEB">
        <w:t xml:space="preserve"> to the benefit of the entire system</w:t>
      </w:r>
      <w:r>
        <w:t xml:space="preserve">. Simply passing through the imbalances discourages load-serving entities from making the investments necessary for better forecasting.  In sum, placing PJM billing item 1375 or any PJM charge  in a nonbypassable utility charge will materially interfere with Ohio retail customers choice, an LSE’s </w:t>
      </w:r>
      <w:r w:rsidR="004E35C7">
        <w:t>Open Access Transmission Tariff (“OATT”)</w:t>
      </w:r>
      <w:r w:rsidR="00AE1A0C">
        <w:t xml:space="preserve"> </w:t>
      </w:r>
      <w:r>
        <w:t xml:space="preserve">right, and the  ability to secure FERC Jurisdictional wholesale transmission services directly or through a load serving entity (CRES provider) under the terms set forth in the PJM </w:t>
      </w:r>
      <w:r w:rsidR="004E35C7">
        <w:t>OATT</w:t>
      </w:r>
      <w:r>
        <w:t>.</w:t>
      </w:r>
    </w:p>
    <w:p w:rsidR="003D52AC" w:rsidRDefault="003D52AC" w:rsidP="003D52AC">
      <w:pPr>
        <w:autoSpaceDE w:val="0"/>
        <w:autoSpaceDN w:val="0"/>
        <w:adjustRightInd w:val="0"/>
        <w:spacing w:line="480" w:lineRule="auto"/>
        <w:ind w:firstLine="720"/>
      </w:pPr>
      <w:r>
        <w:t xml:space="preserve"> Noble Solutions maintains that, by insulating load-serving entities from responsibility for their individual wholesale costs </w:t>
      </w:r>
      <w:r w:rsidR="0083619E">
        <w:t xml:space="preserve">through </w:t>
      </w:r>
      <w:r>
        <w:t xml:space="preserve">Rider NMB, </w:t>
      </w:r>
      <w:r w:rsidR="0083619E">
        <w:t xml:space="preserve">Rider NMB </w:t>
      </w:r>
      <w:r>
        <w:t xml:space="preserve">actually discourages load-serving entities from seeking the means to manage those costs.  The load-serving entities should </w:t>
      </w:r>
      <w:r>
        <w:lastRenderedPageBreak/>
        <w:t>be  encouraged to seek the means to manage the costs, and provide additional value to its customers through innovative products and services.  Nonbypassable charges circumvent and ignore existing wholesale market structures and shift the risk to the customer and will deprive Ohio consumers of the benefits of competition.</w:t>
      </w:r>
    </w:p>
    <w:p w:rsidR="003D52AC" w:rsidRDefault="003D52AC" w:rsidP="003D52AC">
      <w:pPr>
        <w:autoSpaceDE w:val="0"/>
        <w:autoSpaceDN w:val="0"/>
        <w:adjustRightInd w:val="0"/>
        <w:spacing w:line="480" w:lineRule="auto"/>
        <w:ind w:firstLine="720"/>
      </w:pPr>
      <w:r>
        <w:t>Furthermore, FE’s proposal to allow only certain customers to avoid Rider NMB altogether is unduly discriminatory.</w:t>
      </w:r>
    </w:p>
    <w:p w:rsidR="00EA3978" w:rsidRDefault="0093101A" w:rsidP="0093101A">
      <w:pPr>
        <w:numPr>
          <w:ilvl w:val="0"/>
          <w:numId w:val="9"/>
        </w:numPr>
        <w:autoSpaceDE w:val="0"/>
        <w:autoSpaceDN w:val="0"/>
        <w:adjustRightInd w:val="0"/>
        <w:rPr>
          <w:b/>
        </w:rPr>
      </w:pPr>
      <w:r>
        <w:rPr>
          <w:b/>
        </w:rPr>
        <w:t>The Stipulation</w:t>
      </w:r>
      <w:r w:rsidR="00041FDD">
        <w:rPr>
          <w:b/>
        </w:rPr>
        <w:t xml:space="preserve"> </w:t>
      </w:r>
      <w:r w:rsidR="006671CA">
        <w:rPr>
          <w:b/>
        </w:rPr>
        <w:t xml:space="preserve">Also </w:t>
      </w:r>
      <w:r w:rsidR="0074502B">
        <w:rPr>
          <w:b/>
        </w:rPr>
        <w:t>V</w:t>
      </w:r>
      <w:r w:rsidR="00EA3978" w:rsidRPr="000E7449">
        <w:rPr>
          <w:b/>
        </w:rPr>
        <w:t xml:space="preserve">iolates </w:t>
      </w:r>
      <w:r w:rsidR="0074502B">
        <w:rPr>
          <w:b/>
        </w:rPr>
        <w:t>I</w:t>
      </w:r>
      <w:r w:rsidR="00EA3978" w:rsidRPr="000E7449">
        <w:rPr>
          <w:b/>
        </w:rPr>
        <w:t xml:space="preserve">mportant </w:t>
      </w:r>
      <w:r w:rsidR="0074502B">
        <w:rPr>
          <w:b/>
        </w:rPr>
        <w:t>Federal</w:t>
      </w:r>
      <w:r w:rsidR="003F6400">
        <w:rPr>
          <w:b/>
        </w:rPr>
        <w:t xml:space="preserve"> </w:t>
      </w:r>
      <w:r w:rsidR="0074502B">
        <w:rPr>
          <w:b/>
        </w:rPr>
        <w:t>P</w:t>
      </w:r>
      <w:r w:rsidR="00EA3978" w:rsidRPr="000E7449">
        <w:rPr>
          <w:b/>
        </w:rPr>
        <w:t xml:space="preserve">olicy </w:t>
      </w:r>
      <w:r w:rsidR="0074502B">
        <w:rPr>
          <w:b/>
        </w:rPr>
        <w:t>T</w:t>
      </w:r>
      <w:r w:rsidR="00EA3978" w:rsidRPr="000E7449">
        <w:rPr>
          <w:b/>
        </w:rPr>
        <w:t xml:space="preserve">hat </w:t>
      </w:r>
      <w:r w:rsidR="0074502B">
        <w:rPr>
          <w:b/>
        </w:rPr>
        <w:t>S</w:t>
      </w:r>
      <w:r w:rsidR="00EA3978" w:rsidRPr="000E7449">
        <w:rPr>
          <w:b/>
        </w:rPr>
        <w:t xml:space="preserve">upports </w:t>
      </w:r>
      <w:r w:rsidR="0074502B">
        <w:rPr>
          <w:b/>
        </w:rPr>
        <w:t>C</w:t>
      </w:r>
      <w:r w:rsidR="00EA3978" w:rsidRPr="000E7449">
        <w:rPr>
          <w:b/>
        </w:rPr>
        <w:t xml:space="preserve">ompetitive </w:t>
      </w:r>
      <w:r w:rsidR="0074502B">
        <w:rPr>
          <w:b/>
        </w:rPr>
        <w:t>R</w:t>
      </w:r>
      <w:r w:rsidR="00EA3978" w:rsidRPr="000E7449">
        <w:rPr>
          <w:b/>
        </w:rPr>
        <w:t xml:space="preserve">etail </w:t>
      </w:r>
      <w:r w:rsidR="0074502B">
        <w:rPr>
          <w:b/>
        </w:rPr>
        <w:t>E</w:t>
      </w:r>
      <w:r w:rsidR="00EA3978" w:rsidRPr="000E7449">
        <w:rPr>
          <w:b/>
        </w:rPr>
        <w:t xml:space="preserve">lectric </w:t>
      </w:r>
      <w:r w:rsidR="0074502B">
        <w:rPr>
          <w:b/>
        </w:rPr>
        <w:t>C</w:t>
      </w:r>
      <w:r>
        <w:rPr>
          <w:b/>
        </w:rPr>
        <w:t>ompetition</w:t>
      </w:r>
      <w:r w:rsidR="00BB40BC">
        <w:rPr>
          <w:b/>
        </w:rPr>
        <w:t xml:space="preserve"> </w:t>
      </w:r>
      <w:r w:rsidR="006671CA">
        <w:rPr>
          <w:b/>
        </w:rPr>
        <w:t xml:space="preserve">and </w:t>
      </w:r>
      <w:r w:rsidR="00BB40BC">
        <w:rPr>
          <w:b/>
        </w:rPr>
        <w:t xml:space="preserve">Creates Perverse Incentives </w:t>
      </w:r>
      <w:r w:rsidR="006671CA">
        <w:rPr>
          <w:b/>
        </w:rPr>
        <w:t xml:space="preserve">to </w:t>
      </w:r>
      <w:r w:rsidR="00BB40BC">
        <w:rPr>
          <w:b/>
        </w:rPr>
        <w:t>Encourage Market Abuse</w:t>
      </w:r>
      <w:r w:rsidR="00A505BA">
        <w:rPr>
          <w:b/>
        </w:rPr>
        <w:t xml:space="preserve">, </w:t>
      </w:r>
      <w:r w:rsidR="00E833B9">
        <w:rPr>
          <w:b/>
        </w:rPr>
        <w:t xml:space="preserve">Implicating The Fact That </w:t>
      </w:r>
      <w:r w:rsidR="00A505BA">
        <w:rPr>
          <w:b/>
        </w:rPr>
        <w:t>This Commission Does Not Have Jurisdiction to Approve FE’s Requested PPA Rider</w:t>
      </w:r>
      <w:r>
        <w:rPr>
          <w:b/>
        </w:rPr>
        <w:t xml:space="preserve">. </w:t>
      </w:r>
      <w:r w:rsidR="00E72B7F">
        <w:rPr>
          <w:b/>
        </w:rPr>
        <w:t xml:space="preserve"> </w:t>
      </w:r>
    </w:p>
    <w:p w:rsidR="000E7449" w:rsidRPr="000E7449" w:rsidRDefault="000E7449" w:rsidP="00F253BE">
      <w:pPr>
        <w:autoSpaceDE w:val="0"/>
        <w:autoSpaceDN w:val="0"/>
        <w:adjustRightInd w:val="0"/>
        <w:ind w:left="1080"/>
        <w:rPr>
          <w:b/>
        </w:rPr>
      </w:pPr>
    </w:p>
    <w:p w:rsidR="0086734F" w:rsidRDefault="0086734F" w:rsidP="0086734F">
      <w:pPr>
        <w:autoSpaceDE w:val="0"/>
        <w:autoSpaceDN w:val="0"/>
        <w:adjustRightInd w:val="0"/>
        <w:spacing w:line="480" w:lineRule="auto"/>
        <w:ind w:firstLine="720"/>
      </w:pPr>
      <w:r>
        <w:t>The Stipulation also violates federal policy, as it plainly distorts the wholesale competitive energy markets through the FE ratepayers’ subsidization of FES.  The return on equity of 10.38% that the Stipulation provides to FES through the PPAs is a subsidy that then allows FES to under-price its competition in the wholesale market.</w:t>
      </w:r>
      <w:r>
        <w:rPr>
          <w:rStyle w:val="FootnoteReference"/>
        </w:rPr>
        <w:footnoteReference w:id="16"/>
      </w:r>
      <w:r>
        <w:t xml:space="preserve">  This subsidy disincentivizes construction of new, more efficient generating facilities and creates an uneven playing field for current generation competitors.</w:t>
      </w:r>
      <w:r>
        <w:rPr>
          <w:rStyle w:val="FootnoteReference"/>
        </w:rPr>
        <w:footnoteReference w:id="17"/>
      </w:r>
      <w:r>
        <w:t xml:space="preserve">  Even worse, this reduced competition among generators will eventually result in higher prices for ratepayers in the long term as wholesale suppliers are priced out of the market due to the subsidization provided by the PPA rider to one wholesale market participant – FES. </w:t>
      </w:r>
    </w:p>
    <w:p w:rsidR="00E573F6" w:rsidRPr="00BB40BC" w:rsidRDefault="0086734F" w:rsidP="00E573F6">
      <w:pPr>
        <w:autoSpaceDE w:val="0"/>
        <w:autoSpaceDN w:val="0"/>
        <w:adjustRightInd w:val="0"/>
        <w:spacing w:line="480" w:lineRule="auto"/>
        <w:ind w:firstLine="720"/>
        <w:rPr>
          <w:i/>
        </w:rPr>
      </w:pPr>
      <w:r>
        <w:t xml:space="preserve">This Commission should carefully heed the warnings of the PJM Independent Market Monitor (the “IMM”).  The IMM warns of problematic issues beyond merely shifting costs and risks from FE shareholders to captive rate paying customers.  The PPA Rider has the perverse effect of </w:t>
      </w:r>
      <w:r>
        <w:rPr>
          <w:i/>
        </w:rPr>
        <w:t xml:space="preserve">encouraging </w:t>
      </w:r>
      <w:r>
        <w:t xml:space="preserve">FES to further distort PJM’s capacity market auctions for its own additional benefit.  First, the PPA Rider distorts the incentives to make competitive offers in the </w:t>
      </w:r>
      <w:r>
        <w:lastRenderedPageBreak/>
        <w:t>PJM Capacity Market by encouraging FES to make offers below the competitive level in the PJM Capacity Market.</w:t>
      </w:r>
      <w:r>
        <w:rPr>
          <w:rStyle w:val="FootnoteReference"/>
        </w:rPr>
        <w:footnoteReference w:id="18"/>
      </w:r>
      <w:r>
        <w:rPr>
          <w:i/>
        </w:rPr>
        <w:t xml:space="preserve">  </w:t>
      </w:r>
      <w:r>
        <w:t>More importantly, PJM’s capacity market works, in part, by demanding transfer payments from those units that are committed to run during the capacity auction but then fail to run when called upon to other units that do satisfy their capacity commitments.</w:t>
      </w:r>
      <w:r w:rsidR="008F7D31">
        <w:rPr>
          <w:rStyle w:val="FootnoteReference"/>
        </w:rPr>
        <w:footnoteReference w:id="19"/>
      </w:r>
      <w:r>
        <w:t xml:space="preserve">  </w:t>
      </w:r>
      <w:r w:rsidR="00E573F6">
        <w:t xml:space="preserve">FE’s PPA Rider, however, requires ratepayers to pay any performance penalties imposed by PJM associated with the assets included in the PPA Rider.  FES will have been declared immune from such penalties </w:t>
      </w:r>
      <w:r w:rsidR="00E573F6">
        <w:rPr>
          <w:i/>
        </w:rPr>
        <w:t xml:space="preserve">by action of this Commission. </w:t>
      </w:r>
    </w:p>
    <w:p w:rsidR="0086734F" w:rsidRPr="001267FA" w:rsidRDefault="0086734F" w:rsidP="0086734F">
      <w:pPr>
        <w:autoSpaceDE w:val="0"/>
        <w:autoSpaceDN w:val="0"/>
        <w:adjustRightInd w:val="0"/>
        <w:spacing w:line="480" w:lineRule="auto"/>
        <w:ind w:firstLine="720"/>
      </w:pPr>
      <w:r>
        <w:t>Even worse, FES retains any revenues earned by other FES units that are not included in the PPA Rider, even if those revenues result from penalties paid by ratepayers on one of the PPA “assets.”</w:t>
      </w:r>
      <w:r>
        <w:rPr>
          <w:rStyle w:val="FootnoteReference"/>
        </w:rPr>
        <w:footnoteReference w:id="20"/>
      </w:r>
      <w:r>
        <w:rPr>
          <w:i/>
        </w:rPr>
        <w:t xml:space="preserve">  </w:t>
      </w:r>
      <w:r>
        <w:t xml:space="preserve">On a fundamental level, the PPA Rider presents a separate </w:t>
      </w:r>
      <w:r w:rsidR="003A74D3">
        <w:t>asymmetrical</w:t>
      </w:r>
      <w:r>
        <w:t xml:space="preserve"> allocation of risks and rewards in which ratepayers bear the economic risk of Capacity Performance penalties for capacity-providing units that fail to run when called upon but such generation, potentially including FES, that does run receives those penalty dollars</w:t>
      </w:r>
      <w:r w:rsidR="004875E4">
        <w:t xml:space="preserve">. </w:t>
      </w:r>
      <w:r>
        <w:t xml:space="preserve"> </w:t>
      </w:r>
      <w:r w:rsidR="00612FC4" w:rsidRPr="00D333C8">
        <w:t xml:space="preserve">Thus, the Stipulation not only </w:t>
      </w:r>
      <w:r w:rsidR="00612FC4">
        <w:t xml:space="preserve">requires </w:t>
      </w:r>
      <w:r w:rsidR="00612FC4" w:rsidRPr="00D333C8">
        <w:t xml:space="preserve">ratepayers to guarantee the profitability of FES’ uneconomic plants, but also </w:t>
      </w:r>
      <w:r w:rsidR="00612FC4">
        <w:t xml:space="preserve">could result in ratepayers </w:t>
      </w:r>
      <w:r w:rsidR="00612FC4" w:rsidRPr="00D333C8">
        <w:t>guarantee</w:t>
      </w:r>
      <w:r w:rsidR="00612FC4">
        <w:t>ing the profitability of FES’ economic facilities that are not part of this proceeding</w:t>
      </w:r>
      <w:r w:rsidR="00612FC4" w:rsidRPr="00D333C8">
        <w:t>.</w:t>
      </w:r>
      <w:r w:rsidR="007E545C">
        <w:t xml:space="preserve">  </w:t>
      </w:r>
      <w:r>
        <w:t>The conflict of interest is not merely obvious, it is completely inappropriate.</w:t>
      </w:r>
    </w:p>
    <w:p w:rsidR="007A29BC" w:rsidRDefault="007A29BC" w:rsidP="007A29BC">
      <w:pPr>
        <w:spacing w:line="480" w:lineRule="auto"/>
        <w:ind w:firstLine="720"/>
      </w:pPr>
      <w:r>
        <w:t xml:space="preserve">This Commission also cannot ignore the specter of federal pre-emption that so obviously surrounds the PPA/Rider RRS proposals.  The jurisdiction of this Commission is strictly limited by the Ohio statutes which create it, and also by the Constitutions of the State of Ohio and of the United States.  This Commission must, therefore, recognize federal preemption concerns when they arise.  </w:t>
      </w:r>
    </w:p>
    <w:p w:rsidR="00514AA5" w:rsidRDefault="002F3227">
      <w:pPr>
        <w:spacing w:line="480" w:lineRule="auto"/>
        <w:ind w:firstLine="720"/>
        <w:rPr>
          <w:rStyle w:val="ft"/>
          <w:shd w:val="clear" w:color="auto" w:fill="FFFFFF"/>
        </w:rPr>
      </w:pPr>
      <w:r>
        <w:lastRenderedPageBreak/>
        <w:t xml:space="preserve">This Commission should </w:t>
      </w:r>
      <w:r w:rsidR="00A336E8">
        <w:t xml:space="preserve">therefore </w:t>
      </w:r>
      <w:r>
        <w:t xml:space="preserve">carefully review recent decisions by the United States Courts of Appeals for the Third and Fourth Circuits that unambiguously held that state efforts to promote otherwise legitimate state interests through schemes almost identical to FE’s Proposed ESP IV, </w:t>
      </w:r>
      <w:r w:rsidR="000C283D">
        <w:t>(</w:t>
      </w:r>
      <w:r w:rsidR="00651D93">
        <w:t>schemes</w:t>
      </w:r>
      <w:r w:rsidR="000C283D">
        <w:t xml:space="preserve"> </w:t>
      </w:r>
      <w:r>
        <w:t>in which state-approved wholesale purchase power agreements were to be subsidized through state-preapproved retail rate commitments</w:t>
      </w:r>
      <w:r w:rsidR="000C283D">
        <w:t>)</w:t>
      </w:r>
      <w:r>
        <w:t xml:space="preserve"> threaten to distort FERC’s wholesale markets and are thus “field preempted”</w:t>
      </w:r>
      <w:r w:rsidRPr="00136F61">
        <w:rPr>
          <w:rFonts w:ascii="Arial" w:hAnsi="Arial" w:cs="Arial"/>
          <w:color w:val="808080"/>
          <w:shd w:val="clear" w:color="auto" w:fill="FFFFFF"/>
        </w:rPr>
        <w:t xml:space="preserve"> </w:t>
      </w:r>
      <w:r>
        <w:rPr>
          <w:rStyle w:val="apple-converted-space"/>
          <w:shd w:val="clear" w:color="auto" w:fill="FFFFFF"/>
        </w:rPr>
        <w:t xml:space="preserve">and unlawful.  </w:t>
      </w:r>
      <w:r w:rsidRPr="00136F61">
        <w:rPr>
          <w:rStyle w:val="ft"/>
          <w:shd w:val="clear" w:color="auto" w:fill="FFFFFF"/>
        </w:rPr>
        <w:t>See</w:t>
      </w:r>
      <w:r w:rsidRPr="00B812E4">
        <w:rPr>
          <w:rStyle w:val="apple-converted-space"/>
          <w:shd w:val="clear" w:color="auto" w:fill="FFFFFF"/>
        </w:rPr>
        <w:t> </w:t>
      </w:r>
      <w:r w:rsidRPr="00B812E4">
        <w:rPr>
          <w:rStyle w:val="Emphasis"/>
          <w:bCs/>
          <w:iCs w:val="0"/>
          <w:shd w:val="clear" w:color="auto" w:fill="FFFFFF"/>
        </w:rPr>
        <w:t>PPL Energyplu</w:t>
      </w:r>
      <w:r w:rsidRPr="00B812E4">
        <w:rPr>
          <w:rStyle w:val="Emphasis"/>
          <w:bCs/>
          <w:i w:val="0"/>
          <w:iCs w:val="0"/>
          <w:shd w:val="clear" w:color="auto" w:fill="FFFFFF"/>
        </w:rPr>
        <w:t>s</w:t>
      </w:r>
      <w:r w:rsidRPr="00B812E4">
        <w:rPr>
          <w:rStyle w:val="ft"/>
          <w:i/>
          <w:shd w:val="clear" w:color="auto" w:fill="FFFFFF"/>
        </w:rPr>
        <w:t>, LLC</w:t>
      </w:r>
      <w:r w:rsidRPr="00B812E4">
        <w:rPr>
          <w:rStyle w:val="apple-converted-space"/>
          <w:shd w:val="clear" w:color="auto" w:fill="FFFFFF"/>
        </w:rPr>
        <w:t> </w:t>
      </w:r>
      <w:r w:rsidRPr="00B812E4">
        <w:rPr>
          <w:rStyle w:val="Emphasis"/>
          <w:bCs/>
          <w:iCs w:val="0"/>
          <w:shd w:val="clear" w:color="auto" w:fill="FFFFFF"/>
        </w:rPr>
        <w:t>v</w:t>
      </w:r>
      <w:r w:rsidRPr="00B812E4">
        <w:rPr>
          <w:rStyle w:val="ft"/>
          <w:shd w:val="clear" w:color="auto" w:fill="FFFFFF"/>
        </w:rPr>
        <w:t>.</w:t>
      </w:r>
      <w:r w:rsidRPr="00B812E4">
        <w:rPr>
          <w:rStyle w:val="apple-converted-space"/>
          <w:shd w:val="clear" w:color="auto" w:fill="FFFFFF"/>
        </w:rPr>
        <w:t> </w:t>
      </w:r>
      <w:r w:rsidRPr="00B812E4">
        <w:rPr>
          <w:rStyle w:val="Emphasis"/>
          <w:bCs/>
          <w:iCs w:val="0"/>
          <w:shd w:val="clear" w:color="auto" w:fill="FFFFFF"/>
        </w:rPr>
        <w:t>Solomon</w:t>
      </w:r>
      <w:r w:rsidRPr="00B812E4">
        <w:rPr>
          <w:rStyle w:val="ft"/>
          <w:shd w:val="clear" w:color="auto" w:fill="FFFFFF"/>
        </w:rPr>
        <w:t>,</w:t>
      </w:r>
      <w:r w:rsidRPr="00136F61">
        <w:rPr>
          <w:rStyle w:val="ft"/>
          <w:shd w:val="clear" w:color="auto" w:fill="FFFFFF"/>
        </w:rPr>
        <w:t xml:space="preserve"> 766 F.3d 241 (3d Cir. 2014) and</w:t>
      </w:r>
      <w:r w:rsidRPr="00136F61">
        <w:rPr>
          <w:rStyle w:val="apple-converted-space"/>
          <w:shd w:val="clear" w:color="auto" w:fill="FFFFFF"/>
        </w:rPr>
        <w:t> </w:t>
      </w:r>
      <w:r w:rsidRPr="00136F61">
        <w:rPr>
          <w:rStyle w:val="Emphasis"/>
          <w:bCs/>
          <w:iCs w:val="0"/>
          <w:shd w:val="clear" w:color="auto" w:fill="FFFFFF"/>
        </w:rPr>
        <w:t>PPL Energyplus</w:t>
      </w:r>
      <w:r w:rsidRPr="00136F61">
        <w:rPr>
          <w:rStyle w:val="ft"/>
          <w:shd w:val="clear" w:color="auto" w:fill="FFFFFF"/>
        </w:rPr>
        <w:t xml:space="preserve">, </w:t>
      </w:r>
      <w:r w:rsidRPr="00136F61">
        <w:rPr>
          <w:rStyle w:val="ft"/>
          <w:i/>
          <w:shd w:val="clear" w:color="auto" w:fill="FFFFFF"/>
        </w:rPr>
        <w:t>LLC</w:t>
      </w:r>
      <w:r w:rsidRPr="00136F61">
        <w:rPr>
          <w:rStyle w:val="apple-converted-space"/>
          <w:i/>
          <w:shd w:val="clear" w:color="auto" w:fill="FFFFFF"/>
        </w:rPr>
        <w:t> </w:t>
      </w:r>
      <w:r w:rsidRPr="00136F61">
        <w:rPr>
          <w:rStyle w:val="Emphasis"/>
          <w:bCs/>
          <w:i w:val="0"/>
          <w:iCs w:val="0"/>
          <w:shd w:val="clear" w:color="auto" w:fill="FFFFFF"/>
        </w:rPr>
        <w:t>v</w:t>
      </w:r>
      <w:r w:rsidRPr="00136F61">
        <w:rPr>
          <w:rStyle w:val="ft"/>
          <w:i/>
          <w:shd w:val="clear" w:color="auto" w:fill="FFFFFF"/>
        </w:rPr>
        <w:t>. Nazarian,</w:t>
      </w:r>
      <w:r w:rsidRPr="00136F61">
        <w:rPr>
          <w:rStyle w:val="ft"/>
          <w:shd w:val="clear" w:color="auto" w:fill="FFFFFF"/>
        </w:rPr>
        <w:t xml:space="preserve"> 753 F.3d 467 (4</w:t>
      </w:r>
      <w:r w:rsidR="00501F99" w:rsidRPr="00501F99">
        <w:rPr>
          <w:rStyle w:val="ft"/>
          <w:shd w:val="clear" w:color="auto" w:fill="FFFFFF"/>
          <w:vertAlign w:val="superscript"/>
        </w:rPr>
        <w:t>th</w:t>
      </w:r>
      <w:r w:rsidR="00793C8B">
        <w:rPr>
          <w:rStyle w:val="ft"/>
          <w:shd w:val="clear" w:color="auto" w:fill="FFFFFF"/>
        </w:rPr>
        <w:t xml:space="preserve"> </w:t>
      </w:r>
      <w:r w:rsidRPr="00136F61">
        <w:rPr>
          <w:rStyle w:val="ft"/>
          <w:shd w:val="clear" w:color="auto" w:fill="FFFFFF"/>
        </w:rPr>
        <w:t>Cir. 2014).</w:t>
      </w:r>
      <w:r>
        <w:rPr>
          <w:rStyle w:val="FootnoteReference"/>
          <w:shd w:val="clear" w:color="auto" w:fill="FFFFFF"/>
        </w:rPr>
        <w:footnoteReference w:id="21"/>
      </w:r>
    </w:p>
    <w:p w:rsidR="00514AA5" w:rsidRDefault="00514AA5">
      <w:pPr>
        <w:spacing w:line="480" w:lineRule="auto"/>
        <w:ind w:firstLine="720"/>
        <w:rPr>
          <w:rStyle w:val="ft"/>
          <w:shd w:val="clear" w:color="auto" w:fill="FFFFFF"/>
        </w:rPr>
      </w:pPr>
    </w:p>
    <w:p w:rsidR="00514AA5" w:rsidRDefault="00514AA5">
      <w:pPr>
        <w:spacing w:line="480" w:lineRule="auto"/>
        <w:ind w:firstLine="720"/>
        <w:rPr>
          <w:shd w:val="clear" w:color="auto" w:fill="FFFFFF"/>
        </w:rPr>
      </w:pPr>
    </w:p>
    <w:p w:rsidR="001267FA" w:rsidRPr="001267FA" w:rsidRDefault="001267FA" w:rsidP="008F4361">
      <w:pPr>
        <w:numPr>
          <w:ilvl w:val="0"/>
          <w:numId w:val="5"/>
        </w:numPr>
        <w:autoSpaceDE w:val="0"/>
        <w:autoSpaceDN w:val="0"/>
        <w:adjustRightInd w:val="0"/>
        <w:spacing w:line="480" w:lineRule="auto"/>
        <w:ind w:hanging="1080"/>
        <w:rPr>
          <w:b/>
        </w:rPr>
      </w:pPr>
      <w:r w:rsidRPr="001267FA">
        <w:rPr>
          <w:b/>
        </w:rPr>
        <w:t>CONCLUSION</w:t>
      </w:r>
    </w:p>
    <w:p w:rsidR="00766D7D" w:rsidRPr="00901AE2" w:rsidRDefault="001267FA" w:rsidP="00414F5F">
      <w:pPr>
        <w:autoSpaceDE w:val="0"/>
        <w:autoSpaceDN w:val="0"/>
        <w:adjustRightInd w:val="0"/>
        <w:spacing w:line="480" w:lineRule="auto"/>
        <w:ind w:firstLine="720"/>
      </w:pPr>
      <w:r>
        <w:t xml:space="preserve">In return for authority to impose </w:t>
      </w:r>
      <w:r w:rsidR="00A25365">
        <w:t xml:space="preserve">on FE’s captive ratepayers </w:t>
      </w:r>
      <w:r w:rsidR="00267FD1">
        <w:t xml:space="preserve">generation-related costs and risks </w:t>
      </w:r>
      <w:r w:rsidR="00A25365">
        <w:t xml:space="preserve">that should belong </w:t>
      </w:r>
      <w:r w:rsidR="00EF271F">
        <w:t>to</w:t>
      </w:r>
      <w:r w:rsidR="00267FD1">
        <w:t xml:space="preserve"> </w:t>
      </w:r>
      <w:r>
        <w:t xml:space="preserve">FES, FE offers </w:t>
      </w:r>
      <w:r w:rsidR="007D7E7D">
        <w:t xml:space="preserve">only </w:t>
      </w:r>
      <w:r w:rsidR="00267FD1">
        <w:t>th</w:t>
      </w:r>
      <w:r w:rsidR="00EF271F">
        <w:t xml:space="preserve">e </w:t>
      </w:r>
      <w:r w:rsidR="00036367">
        <w:t xml:space="preserve">remote </w:t>
      </w:r>
      <w:r w:rsidR="00EF271F">
        <w:t>possibility that th</w:t>
      </w:r>
      <w:r w:rsidR="00267FD1">
        <w:t xml:space="preserve">ose customers </w:t>
      </w:r>
      <w:r w:rsidR="00EF271F">
        <w:t xml:space="preserve">will </w:t>
      </w:r>
      <w:r w:rsidR="00267FD1">
        <w:t>receive a</w:t>
      </w:r>
      <w:r w:rsidR="00EF271F">
        <w:t xml:space="preserve">n ill-defined </w:t>
      </w:r>
      <w:r w:rsidR="004F1236">
        <w:t xml:space="preserve"> </w:t>
      </w:r>
      <w:r w:rsidR="00267FD1">
        <w:t xml:space="preserve">benefit in the future.  </w:t>
      </w:r>
      <w:r w:rsidR="001E2785">
        <w:t xml:space="preserve">In this regard, </w:t>
      </w:r>
      <w:r w:rsidR="00834C5E">
        <w:t>Rider RRS</w:t>
      </w:r>
      <w:r w:rsidR="001E2785">
        <w:t xml:space="preserve"> as proposed by </w:t>
      </w:r>
      <w:r w:rsidR="004553EE">
        <w:t>FE</w:t>
      </w:r>
      <w:r w:rsidR="001E2785">
        <w:t xml:space="preserve"> appear</w:t>
      </w:r>
      <w:r w:rsidR="007D7E7D">
        <w:t>s</w:t>
      </w:r>
      <w:r w:rsidR="001E2785">
        <w:t xml:space="preserve"> to be structured </w:t>
      </w:r>
      <w:r w:rsidR="007D7E7D">
        <w:t xml:space="preserve">not </w:t>
      </w:r>
      <w:r w:rsidR="001E2785">
        <w:t xml:space="preserve">as a valuable service provided in exchange for payment but as a mechanism </w:t>
      </w:r>
      <w:r w:rsidR="007D7E7D">
        <w:t xml:space="preserve">for extracting extra </w:t>
      </w:r>
      <w:r w:rsidR="001E2785">
        <w:t xml:space="preserve">revenue from customers to the detriment of </w:t>
      </w:r>
      <w:r w:rsidR="002C41D3">
        <w:t>Ohio</w:t>
      </w:r>
      <w:r w:rsidR="000D2E53">
        <w:t>’</w:t>
      </w:r>
      <w:r w:rsidR="002C41D3">
        <w:t xml:space="preserve">s </w:t>
      </w:r>
      <w:r w:rsidR="0058715F">
        <w:t>c</w:t>
      </w:r>
      <w:r w:rsidR="002C41D3">
        <w:t>ompetitive retail market</w:t>
      </w:r>
      <w:r w:rsidR="001E2785">
        <w:t xml:space="preserve"> and their customers for the sole benefit of </w:t>
      </w:r>
      <w:r>
        <w:t xml:space="preserve">First Energy </w:t>
      </w:r>
      <w:r w:rsidR="002C41D3">
        <w:t>Corp</w:t>
      </w:r>
      <w:r w:rsidR="001E2785">
        <w:t>.</w:t>
      </w:r>
      <w:r w:rsidR="00C532E8">
        <w:t xml:space="preserve">  </w:t>
      </w:r>
      <w:r>
        <w:t xml:space="preserve">The objections of the IMM </w:t>
      </w:r>
      <w:r w:rsidR="00623994">
        <w:t>warrant special consideration</w:t>
      </w:r>
      <w:r>
        <w:t>, as do</w:t>
      </w:r>
      <w:r w:rsidR="007D7E7D">
        <w:t>es</w:t>
      </w:r>
      <w:r>
        <w:t xml:space="preserve"> the alternative economic analysis performed by OCC and </w:t>
      </w:r>
      <w:r w:rsidR="00414F5F">
        <w:t>the Institute for Energy Economics and Financial Analysis</w:t>
      </w:r>
      <w:r w:rsidR="00623994">
        <w:t xml:space="preserve">.  </w:t>
      </w:r>
      <w:r w:rsidR="00766D7D" w:rsidRPr="00901AE2">
        <w:t>For the foregoing reasons, the Commission should reject the Stipulation.</w:t>
      </w:r>
    </w:p>
    <w:p w:rsidR="003E14B1" w:rsidRDefault="003E14B1" w:rsidP="00766D7D">
      <w:pPr>
        <w:autoSpaceDE w:val="0"/>
        <w:autoSpaceDN w:val="0"/>
        <w:adjustRightInd w:val="0"/>
        <w:spacing w:line="480" w:lineRule="auto"/>
        <w:ind w:firstLine="720"/>
      </w:pPr>
      <w:r>
        <w:lastRenderedPageBreak/>
        <w:tab/>
      </w:r>
      <w:r>
        <w:tab/>
      </w:r>
      <w:r>
        <w:tab/>
      </w:r>
      <w:r>
        <w:tab/>
      </w:r>
      <w:r>
        <w:tab/>
      </w:r>
      <w:r>
        <w:tab/>
        <w:t>Respectfully submitted,</w:t>
      </w:r>
    </w:p>
    <w:p w:rsidR="003E14B1" w:rsidRPr="00F05425" w:rsidRDefault="003E14B1" w:rsidP="00833BA4">
      <w:pPr>
        <w:spacing w:line="480" w:lineRule="auto"/>
        <w:jc w:val="both"/>
      </w:pPr>
    </w:p>
    <w:p w:rsidR="00482721" w:rsidRPr="00F05425" w:rsidRDefault="00482721" w:rsidP="00482721">
      <w:pPr>
        <w:ind w:left="4320" w:firstLine="720"/>
      </w:pPr>
      <w:r w:rsidRPr="00F05425">
        <w:rPr>
          <w:u w:val="single"/>
        </w:rPr>
        <w:t xml:space="preserve">/s/ </w:t>
      </w:r>
      <w:r>
        <w:rPr>
          <w:u w:val="single"/>
        </w:rPr>
        <w:t>Michael D. Dortch</w:t>
      </w:r>
      <w:r w:rsidRPr="00F05425">
        <w:rPr>
          <w:u w:val="single"/>
        </w:rPr>
        <w:tab/>
      </w:r>
      <w:r w:rsidRPr="00F05425">
        <w:rPr>
          <w:u w:val="single"/>
        </w:rPr>
        <w:tab/>
      </w:r>
      <w:r w:rsidRPr="00F05425">
        <w:rPr>
          <w:u w:val="single"/>
        </w:rPr>
        <w:tab/>
      </w:r>
      <w:r w:rsidRPr="00F05425">
        <w:tab/>
      </w:r>
    </w:p>
    <w:p w:rsidR="00482721" w:rsidRPr="00F05425" w:rsidRDefault="00482721" w:rsidP="00482721">
      <w:r w:rsidRPr="00F05425">
        <w:tab/>
      </w:r>
      <w:r w:rsidRPr="00F05425">
        <w:tab/>
      </w:r>
      <w:r w:rsidRPr="00F05425">
        <w:tab/>
      </w:r>
      <w:r w:rsidRPr="00F05425">
        <w:tab/>
      </w:r>
      <w:r w:rsidRPr="00F05425">
        <w:tab/>
      </w:r>
      <w:r w:rsidRPr="00F05425">
        <w:tab/>
      </w:r>
      <w:r w:rsidRPr="00F05425">
        <w:tab/>
        <w:t>Michael D. Dortch (0043897)</w:t>
      </w:r>
    </w:p>
    <w:p w:rsidR="00482721" w:rsidRPr="00F05425" w:rsidRDefault="00482721" w:rsidP="00482721">
      <w:r w:rsidRPr="00F05425">
        <w:tab/>
      </w:r>
      <w:r w:rsidRPr="00F05425">
        <w:tab/>
      </w:r>
      <w:r w:rsidRPr="00F05425">
        <w:tab/>
      </w:r>
      <w:r w:rsidRPr="00F05425">
        <w:tab/>
      </w:r>
      <w:r w:rsidRPr="00F05425">
        <w:tab/>
      </w:r>
      <w:r w:rsidRPr="00F05425">
        <w:tab/>
      </w:r>
      <w:r w:rsidRPr="00F05425">
        <w:tab/>
        <w:t>Richard R. Parsons (0082270)</w:t>
      </w:r>
    </w:p>
    <w:p w:rsidR="00482721" w:rsidRPr="00F05425" w:rsidRDefault="00482721" w:rsidP="00482721">
      <w:r w:rsidRPr="00F05425">
        <w:tab/>
      </w:r>
      <w:r w:rsidRPr="00F05425">
        <w:tab/>
      </w:r>
      <w:r w:rsidRPr="00F05425">
        <w:tab/>
      </w:r>
      <w:r w:rsidRPr="00F05425">
        <w:tab/>
      </w:r>
      <w:r w:rsidRPr="00F05425">
        <w:tab/>
      </w:r>
      <w:r w:rsidRPr="00F05425">
        <w:tab/>
      </w:r>
      <w:r w:rsidRPr="00F05425">
        <w:tab/>
        <w:t>Kravitz, Brown &amp; Dortch, LLC</w:t>
      </w:r>
    </w:p>
    <w:p w:rsidR="00482721" w:rsidRPr="00F05425" w:rsidRDefault="00482721" w:rsidP="00482721">
      <w:pPr>
        <w:jc w:val="both"/>
      </w:pPr>
      <w:r w:rsidRPr="00F05425">
        <w:tab/>
      </w:r>
      <w:r w:rsidRPr="00F05425">
        <w:tab/>
      </w:r>
      <w:r w:rsidRPr="00F05425">
        <w:tab/>
      </w:r>
      <w:r w:rsidRPr="00F05425">
        <w:tab/>
      </w:r>
      <w:r w:rsidRPr="00F05425">
        <w:tab/>
      </w:r>
      <w:r w:rsidRPr="00F05425">
        <w:tab/>
      </w:r>
      <w:r w:rsidRPr="00F05425">
        <w:tab/>
        <w:t>65 East State Street, Suite 200</w:t>
      </w:r>
    </w:p>
    <w:p w:rsidR="00482721" w:rsidRPr="00F05425" w:rsidRDefault="00482721" w:rsidP="00482721">
      <w:pPr>
        <w:jc w:val="both"/>
      </w:pPr>
      <w:r w:rsidRPr="00F05425">
        <w:tab/>
      </w:r>
      <w:r w:rsidRPr="00F05425">
        <w:tab/>
      </w:r>
      <w:r w:rsidRPr="00F05425">
        <w:tab/>
      </w:r>
      <w:r w:rsidRPr="00F05425">
        <w:tab/>
      </w:r>
      <w:r w:rsidRPr="00F05425">
        <w:tab/>
      </w:r>
      <w:r w:rsidRPr="00F05425">
        <w:tab/>
      </w:r>
      <w:r w:rsidRPr="00F05425">
        <w:tab/>
        <w:t>Columbus, Ohio 43215</w:t>
      </w:r>
    </w:p>
    <w:p w:rsidR="00482721" w:rsidRPr="00F05425" w:rsidRDefault="00482721" w:rsidP="00482721">
      <w:pPr>
        <w:jc w:val="both"/>
      </w:pPr>
      <w:r w:rsidRPr="00F05425">
        <w:tab/>
      </w:r>
      <w:r w:rsidRPr="00F05425">
        <w:tab/>
      </w:r>
      <w:r w:rsidRPr="00F05425">
        <w:tab/>
      </w:r>
      <w:r w:rsidRPr="00F05425">
        <w:tab/>
      </w:r>
      <w:r w:rsidRPr="00F05425">
        <w:tab/>
      </w:r>
      <w:r w:rsidRPr="00F05425">
        <w:tab/>
      </w:r>
      <w:r w:rsidRPr="00F05425">
        <w:tab/>
        <w:t>Tel:  (614) 464-2000</w:t>
      </w:r>
    </w:p>
    <w:p w:rsidR="00482721" w:rsidRPr="00F05425" w:rsidRDefault="00482721" w:rsidP="00482721">
      <w:pPr>
        <w:jc w:val="both"/>
      </w:pPr>
      <w:r w:rsidRPr="00F05425">
        <w:tab/>
      </w:r>
      <w:r w:rsidRPr="00F05425">
        <w:tab/>
      </w:r>
      <w:r w:rsidRPr="00F05425">
        <w:tab/>
      </w:r>
      <w:r w:rsidRPr="00F05425">
        <w:tab/>
      </w:r>
      <w:r w:rsidRPr="00F05425">
        <w:tab/>
      </w:r>
      <w:r w:rsidRPr="00F05425">
        <w:tab/>
      </w:r>
      <w:r w:rsidRPr="00F05425">
        <w:tab/>
        <w:t>Fax:  (614) 464-2002</w:t>
      </w:r>
    </w:p>
    <w:p w:rsidR="00482721" w:rsidRPr="00F05425" w:rsidRDefault="00482721" w:rsidP="00482721">
      <w:pPr>
        <w:ind w:right="-1260"/>
        <w:jc w:val="both"/>
      </w:pPr>
      <w:r w:rsidRPr="00F05425">
        <w:tab/>
      </w:r>
      <w:r w:rsidRPr="00F05425">
        <w:tab/>
      </w:r>
      <w:r w:rsidRPr="00F05425">
        <w:tab/>
      </w:r>
      <w:r w:rsidRPr="00F05425">
        <w:tab/>
      </w:r>
      <w:r w:rsidRPr="00F05425">
        <w:tab/>
      </w:r>
      <w:r w:rsidRPr="00F05425">
        <w:tab/>
      </w:r>
      <w:r w:rsidRPr="00F05425">
        <w:tab/>
        <w:t>E-mail:  mdortch@kravitzllc.com</w:t>
      </w:r>
    </w:p>
    <w:p w:rsidR="00482721" w:rsidRPr="00F05425" w:rsidRDefault="00482721" w:rsidP="00482721">
      <w:pPr>
        <w:ind w:left="4320" w:right="-1260" w:firstLine="720"/>
        <w:jc w:val="both"/>
      </w:pPr>
    </w:p>
    <w:p w:rsidR="00CB6A17" w:rsidRDefault="00CB6A17" w:rsidP="00CB6A17">
      <w:pPr>
        <w:ind w:left="4320" w:right="-1260" w:firstLine="720"/>
        <w:jc w:val="both"/>
      </w:pPr>
      <w:r w:rsidRPr="00F05425">
        <w:t xml:space="preserve">Attorneys for </w:t>
      </w:r>
      <w:r w:rsidR="008D6346">
        <w:t xml:space="preserve">NOBLE </w:t>
      </w:r>
      <w:r w:rsidR="009A4F2D">
        <w:t>AMERICAS</w:t>
      </w:r>
    </w:p>
    <w:p w:rsidR="00CB6A17" w:rsidRPr="00F05425" w:rsidRDefault="00CB6A17" w:rsidP="00CB6A17">
      <w:pPr>
        <w:ind w:left="4320" w:right="-1260" w:firstLine="720"/>
        <w:jc w:val="both"/>
      </w:pPr>
      <w:r>
        <w:t>ENERGY SOLUTIONS</w:t>
      </w:r>
      <w:r w:rsidR="009A4F2D">
        <w:t xml:space="preserve"> LLC</w:t>
      </w:r>
    </w:p>
    <w:p w:rsidR="00482721" w:rsidRPr="00F05425" w:rsidRDefault="00482721" w:rsidP="00482721">
      <w:pPr>
        <w:ind w:left="4320" w:right="-1260" w:firstLine="720"/>
        <w:jc w:val="both"/>
      </w:pPr>
    </w:p>
    <w:p w:rsidR="000D6BA4" w:rsidRPr="00F05425" w:rsidRDefault="000D6BA4" w:rsidP="008B46F7">
      <w:pPr>
        <w:pStyle w:val="Signature"/>
        <w:ind w:left="0"/>
      </w:pPr>
    </w:p>
    <w:p w:rsidR="000D6BA4" w:rsidRPr="00F05425" w:rsidRDefault="003F6400" w:rsidP="00766D7D">
      <w:pPr>
        <w:pStyle w:val="Signature"/>
        <w:ind w:left="0"/>
        <w:jc w:val="center"/>
        <w:rPr>
          <w:b/>
          <w:u w:val="single"/>
        </w:rPr>
      </w:pPr>
      <w:r>
        <w:rPr>
          <w:b/>
          <w:u w:val="single"/>
        </w:rPr>
        <w:br w:type="page"/>
      </w:r>
      <w:r w:rsidR="000D6BA4" w:rsidRPr="00F05425">
        <w:rPr>
          <w:b/>
          <w:u w:val="single"/>
        </w:rPr>
        <w:lastRenderedPageBreak/>
        <w:t>CERTIFICATE OF SERVICE</w:t>
      </w:r>
    </w:p>
    <w:p w:rsidR="008B46F7" w:rsidRPr="00F05425" w:rsidRDefault="008B46F7" w:rsidP="000D6BA4">
      <w:pPr>
        <w:pStyle w:val="Signature"/>
        <w:ind w:left="0"/>
        <w:jc w:val="center"/>
      </w:pPr>
    </w:p>
    <w:p w:rsidR="00B226C1" w:rsidRPr="00F05425" w:rsidRDefault="00B74F34" w:rsidP="00A12D0E">
      <w:pPr>
        <w:pStyle w:val="Signature"/>
        <w:spacing w:line="480" w:lineRule="auto"/>
        <w:ind w:left="0"/>
        <w:sectPr w:rsidR="00B226C1" w:rsidRPr="00F05425" w:rsidSect="009302E1">
          <w:footerReference w:type="even" r:id="rId11"/>
          <w:footerReference w:type="default" r:id="rId12"/>
          <w:pgSz w:w="12240" w:h="15840"/>
          <w:pgMar w:top="1440" w:right="1440" w:bottom="1440" w:left="1440" w:header="720" w:footer="720" w:gutter="0"/>
          <w:cols w:space="720"/>
          <w:titlePg/>
          <w:docGrid w:linePitch="360"/>
        </w:sectPr>
      </w:pPr>
      <w:r w:rsidRPr="00F05425">
        <w:tab/>
        <w:t xml:space="preserve">I hereby certify that true and accurate copies of the foregoing were served </w:t>
      </w:r>
      <w:r w:rsidR="00CE3E33">
        <w:t xml:space="preserve">via electronic transmission </w:t>
      </w:r>
      <w:r w:rsidRPr="00F05425">
        <w:t xml:space="preserve">upon the </w:t>
      </w:r>
      <w:r w:rsidR="00B64B14">
        <w:t xml:space="preserve">persons </w:t>
      </w:r>
      <w:r w:rsidR="00CE3E33">
        <w:t xml:space="preserve">listed below </w:t>
      </w:r>
      <w:r w:rsidRPr="00F05425">
        <w:t xml:space="preserve">this </w:t>
      </w:r>
      <w:r w:rsidR="001072D4">
        <w:fldChar w:fldCharType="begin"/>
      </w:r>
      <w:r w:rsidR="001072D4">
        <w:instrText xml:space="preserve"> DATE \@ "MMMM d, yyyy" </w:instrText>
      </w:r>
      <w:r w:rsidR="001072D4">
        <w:fldChar w:fldCharType="separate"/>
      </w:r>
      <w:r w:rsidR="001072D4">
        <w:rPr>
          <w:noProof/>
        </w:rPr>
        <w:t>February 26, 2016</w:t>
      </w:r>
      <w:r w:rsidR="001072D4">
        <w:rPr>
          <w:noProof/>
        </w:rPr>
        <w:fldChar w:fldCharType="end"/>
      </w:r>
    </w:p>
    <w:p w:rsidR="003E48F1" w:rsidRDefault="003E48F1" w:rsidP="00833BA4"/>
    <w:p w:rsidR="00B64B14" w:rsidRDefault="00B64B14" w:rsidP="00BE294F">
      <w:pPr>
        <w:autoSpaceDE w:val="0"/>
        <w:autoSpaceDN w:val="0"/>
        <w:adjustRightInd w:val="0"/>
        <w:rPr>
          <w:color w:val="0000FF"/>
        </w:rPr>
        <w:sectPr w:rsidR="00B64B14" w:rsidSect="003533C6">
          <w:type w:val="continuous"/>
          <w:pgSz w:w="12240" w:h="15840"/>
          <w:pgMar w:top="1440" w:right="1440" w:bottom="1440" w:left="1440" w:header="720" w:footer="720" w:gutter="0"/>
          <w:cols w:space="720"/>
          <w:titlePg/>
          <w:docGrid w:linePitch="360"/>
        </w:sectPr>
      </w:pPr>
    </w:p>
    <w:p w:rsidR="003E48F1" w:rsidRDefault="003E48F1" w:rsidP="003E48F1">
      <w:pPr>
        <w:autoSpaceDE w:val="0"/>
        <w:autoSpaceDN w:val="0"/>
        <w:adjustRightInd w:val="0"/>
        <w:rPr>
          <w:color w:val="0000FF"/>
        </w:rPr>
      </w:pPr>
      <w:r>
        <w:rPr>
          <w:color w:val="0000FF"/>
        </w:rPr>
        <w:lastRenderedPageBreak/>
        <w:t>Steven.beeler@puc.state.oh.us</w:t>
      </w:r>
    </w:p>
    <w:p w:rsidR="003E48F1" w:rsidRDefault="003E48F1" w:rsidP="003E48F1">
      <w:pPr>
        <w:autoSpaceDE w:val="0"/>
        <w:autoSpaceDN w:val="0"/>
        <w:adjustRightInd w:val="0"/>
        <w:rPr>
          <w:color w:val="0000FF"/>
        </w:rPr>
      </w:pPr>
      <w:r>
        <w:rPr>
          <w:color w:val="0000FF"/>
        </w:rPr>
        <w:t>Werner.margard@puc.state.oh.us</w:t>
      </w:r>
    </w:p>
    <w:p w:rsidR="003E48F1" w:rsidRDefault="003E48F1" w:rsidP="003E48F1">
      <w:pPr>
        <w:autoSpaceDE w:val="0"/>
        <w:autoSpaceDN w:val="0"/>
        <w:adjustRightInd w:val="0"/>
        <w:rPr>
          <w:color w:val="0000FF"/>
        </w:rPr>
      </w:pPr>
      <w:r>
        <w:rPr>
          <w:color w:val="0000FF"/>
        </w:rPr>
        <w:t>haydenm@firstenergycorp.com</w:t>
      </w:r>
    </w:p>
    <w:p w:rsidR="003E48F1" w:rsidRDefault="003E48F1" w:rsidP="003E48F1">
      <w:pPr>
        <w:autoSpaceDE w:val="0"/>
        <w:autoSpaceDN w:val="0"/>
        <w:adjustRightInd w:val="0"/>
        <w:rPr>
          <w:color w:val="0000FF"/>
        </w:rPr>
      </w:pPr>
      <w:r>
        <w:rPr>
          <w:color w:val="0000FF"/>
        </w:rPr>
        <w:t>jmcdermott@firstenergycorp.com</w:t>
      </w:r>
    </w:p>
    <w:p w:rsidR="003E48F1" w:rsidRDefault="003E48F1" w:rsidP="003E48F1">
      <w:pPr>
        <w:autoSpaceDE w:val="0"/>
        <w:autoSpaceDN w:val="0"/>
        <w:adjustRightInd w:val="0"/>
        <w:rPr>
          <w:color w:val="0000FF"/>
        </w:rPr>
      </w:pPr>
      <w:r>
        <w:rPr>
          <w:color w:val="0000FF"/>
        </w:rPr>
        <w:t>scasto@firstenergycorp.com</w:t>
      </w:r>
    </w:p>
    <w:p w:rsidR="003E48F1" w:rsidRDefault="003E48F1" w:rsidP="003E48F1">
      <w:pPr>
        <w:autoSpaceDE w:val="0"/>
        <w:autoSpaceDN w:val="0"/>
        <w:adjustRightInd w:val="0"/>
        <w:rPr>
          <w:color w:val="0000FF"/>
        </w:rPr>
      </w:pPr>
      <w:r>
        <w:rPr>
          <w:color w:val="0000FF"/>
        </w:rPr>
        <w:t>jlang@calfee.com</w:t>
      </w:r>
    </w:p>
    <w:p w:rsidR="003E48F1" w:rsidRDefault="003E48F1" w:rsidP="003E48F1">
      <w:pPr>
        <w:autoSpaceDE w:val="0"/>
        <w:autoSpaceDN w:val="0"/>
        <w:adjustRightInd w:val="0"/>
        <w:rPr>
          <w:color w:val="0000FF"/>
        </w:rPr>
      </w:pPr>
      <w:r>
        <w:rPr>
          <w:color w:val="0000FF"/>
        </w:rPr>
        <w:t>talexander@calfee.com</w:t>
      </w:r>
    </w:p>
    <w:p w:rsidR="003E48F1" w:rsidRDefault="003E48F1" w:rsidP="003E48F1">
      <w:pPr>
        <w:autoSpaceDE w:val="0"/>
        <w:autoSpaceDN w:val="0"/>
        <w:adjustRightInd w:val="0"/>
        <w:rPr>
          <w:color w:val="0000FF"/>
        </w:rPr>
      </w:pPr>
      <w:r>
        <w:rPr>
          <w:color w:val="0000FF"/>
        </w:rPr>
        <w:t>myurick@taftlaw.com</w:t>
      </w:r>
    </w:p>
    <w:p w:rsidR="003E48F1" w:rsidRDefault="003E48F1" w:rsidP="003E48F1">
      <w:pPr>
        <w:autoSpaceDE w:val="0"/>
        <w:autoSpaceDN w:val="0"/>
        <w:adjustRightInd w:val="0"/>
        <w:rPr>
          <w:color w:val="0000FF"/>
        </w:rPr>
      </w:pPr>
      <w:r>
        <w:rPr>
          <w:color w:val="0000FF"/>
        </w:rPr>
        <w:t>callwein@keglerbrown.com</w:t>
      </w:r>
    </w:p>
    <w:p w:rsidR="003E48F1" w:rsidRDefault="003E48F1" w:rsidP="003E48F1">
      <w:pPr>
        <w:autoSpaceDE w:val="0"/>
        <w:autoSpaceDN w:val="0"/>
        <w:adjustRightInd w:val="0"/>
        <w:rPr>
          <w:color w:val="0000FF"/>
        </w:rPr>
      </w:pPr>
      <w:r>
        <w:rPr>
          <w:color w:val="0000FF"/>
        </w:rPr>
        <w:t>tony.mendoza@sierraclub.org</w:t>
      </w:r>
    </w:p>
    <w:p w:rsidR="003E48F1" w:rsidRDefault="003E48F1" w:rsidP="003E48F1">
      <w:pPr>
        <w:autoSpaceDE w:val="0"/>
        <w:autoSpaceDN w:val="0"/>
        <w:adjustRightInd w:val="0"/>
        <w:rPr>
          <w:color w:val="0000FF"/>
        </w:rPr>
      </w:pPr>
      <w:r>
        <w:rPr>
          <w:color w:val="0000FF"/>
        </w:rPr>
        <w:t>tdougherty@theOEC.org</w:t>
      </w:r>
    </w:p>
    <w:p w:rsidR="003E48F1" w:rsidRDefault="003E48F1" w:rsidP="003E48F1">
      <w:pPr>
        <w:autoSpaceDE w:val="0"/>
        <w:autoSpaceDN w:val="0"/>
        <w:adjustRightInd w:val="0"/>
        <w:rPr>
          <w:color w:val="0000FF"/>
        </w:rPr>
      </w:pPr>
      <w:r>
        <w:rPr>
          <w:color w:val="0000FF"/>
        </w:rPr>
        <w:t>twilliams@snhslaw.com</w:t>
      </w:r>
    </w:p>
    <w:p w:rsidR="003E48F1" w:rsidRDefault="003E48F1" w:rsidP="003E48F1">
      <w:pPr>
        <w:autoSpaceDE w:val="0"/>
        <w:autoSpaceDN w:val="0"/>
        <w:adjustRightInd w:val="0"/>
        <w:rPr>
          <w:color w:val="0000FF"/>
        </w:rPr>
      </w:pPr>
      <w:r>
        <w:rPr>
          <w:color w:val="0000FF"/>
        </w:rPr>
        <w:t>jeffrey.mayes@monitoringanalytics.com</w:t>
      </w:r>
    </w:p>
    <w:p w:rsidR="003E48F1" w:rsidRDefault="003E48F1" w:rsidP="003E48F1">
      <w:pPr>
        <w:autoSpaceDE w:val="0"/>
        <w:autoSpaceDN w:val="0"/>
        <w:adjustRightInd w:val="0"/>
        <w:rPr>
          <w:color w:val="0000FF"/>
        </w:rPr>
      </w:pPr>
      <w:r>
        <w:rPr>
          <w:color w:val="0000FF"/>
        </w:rPr>
        <w:t>ricks@ohanet.org</w:t>
      </w:r>
    </w:p>
    <w:p w:rsidR="003E48F1" w:rsidRDefault="003E48F1" w:rsidP="003E48F1">
      <w:pPr>
        <w:autoSpaceDE w:val="0"/>
        <w:autoSpaceDN w:val="0"/>
        <w:adjustRightInd w:val="0"/>
        <w:rPr>
          <w:color w:val="0000FF"/>
        </w:rPr>
      </w:pPr>
      <w:r>
        <w:rPr>
          <w:color w:val="0000FF"/>
        </w:rPr>
        <w:t>tobrien@bricker.com</w:t>
      </w:r>
    </w:p>
    <w:p w:rsidR="003E48F1" w:rsidRDefault="003E48F1" w:rsidP="003E48F1">
      <w:pPr>
        <w:autoSpaceDE w:val="0"/>
        <w:autoSpaceDN w:val="0"/>
        <w:adjustRightInd w:val="0"/>
        <w:rPr>
          <w:color w:val="0000FF"/>
        </w:rPr>
      </w:pPr>
      <w:r>
        <w:rPr>
          <w:color w:val="0000FF"/>
        </w:rPr>
        <w:t>mhpetricoff@vorys.com</w:t>
      </w:r>
    </w:p>
    <w:p w:rsidR="003E48F1" w:rsidRDefault="003E48F1" w:rsidP="003E48F1">
      <w:pPr>
        <w:autoSpaceDE w:val="0"/>
        <w:autoSpaceDN w:val="0"/>
        <w:adjustRightInd w:val="0"/>
        <w:rPr>
          <w:color w:val="0000FF"/>
        </w:rPr>
      </w:pPr>
      <w:r>
        <w:rPr>
          <w:color w:val="0000FF"/>
        </w:rPr>
        <w:t>mjsettineri@vorys.com</w:t>
      </w:r>
    </w:p>
    <w:p w:rsidR="003E48F1" w:rsidRDefault="003E48F1" w:rsidP="003E48F1">
      <w:pPr>
        <w:autoSpaceDE w:val="0"/>
        <w:autoSpaceDN w:val="0"/>
        <w:adjustRightInd w:val="0"/>
        <w:rPr>
          <w:color w:val="0000FF"/>
        </w:rPr>
      </w:pPr>
      <w:r>
        <w:rPr>
          <w:color w:val="0000FF"/>
        </w:rPr>
        <w:t>glpetrucci@vorys.com</w:t>
      </w:r>
    </w:p>
    <w:p w:rsidR="003E48F1" w:rsidRDefault="003E48F1" w:rsidP="003E48F1">
      <w:pPr>
        <w:autoSpaceDE w:val="0"/>
        <w:autoSpaceDN w:val="0"/>
        <w:adjustRightInd w:val="0"/>
        <w:rPr>
          <w:color w:val="0000FF"/>
        </w:rPr>
      </w:pPr>
      <w:r>
        <w:rPr>
          <w:color w:val="0000FF"/>
        </w:rPr>
        <w:t>mdortch@kravitzllc.com</w:t>
      </w:r>
    </w:p>
    <w:p w:rsidR="003E48F1" w:rsidRDefault="003E48F1" w:rsidP="003E48F1">
      <w:pPr>
        <w:autoSpaceDE w:val="0"/>
        <w:autoSpaceDN w:val="0"/>
        <w:adjustRightInd w:val="0"/>
        <w:rPr>
          <w:color w:val="0000FF"/>
        </w:rPr>
      </w:pPr>
      <w:r>
        <w:rPr>
          <w:color w:val="0000FF"/>
        </w:rPr>
        <w:t>joliker@igsenergy.com</w:t>
      </w:r>
    </w:p>
    <w:p w:rsidR="003E48F1" w:rsidRDefault="003E48F1" w:rsidP="003E48F1">
      <w:pPr>
        <w:autoSpaceDE w:val="0"/>
        <w:autoSpaceDN w:val="0"/>
        <w:adjustRightInd w:val="0"/>
        <w:rPr>
          <w:color w:val="0000FF"/>
        </w:rPr>
      </w:pPr>
      <w:r>
        <w:rPr>
          <w:color w:val="0000FF"/>
        </w:rPr>
        <w:t>sechler@carpenterlipps.com</w:t>
      </w:r>
    </w:p>
    <w:p w:rsidR="003E48F1" w:rsidRDefault="003E48F1" w:rsidP="003E48F1">
      <w:pPr>
        <w:autoSpaceDE w:val="0"/>
        <w:autoSpaceDN w:val="0"/>
        <w:adjustRightInd w:val="0"/>
        <w:rPr>
          <w:color w:val="0000FF"/>
        </w:rPr>
      </w:pPr>
      <w:r>
        <w:rPr>
          <w:color w:val="0000FF"/>
        </w:rPr>
        <w:t>gpoulos@enernoc.com</w:t>
      </w:r>
    </w:p>
    <w:p w:rsidR="003E48F1" w:rsidRDefault="003E48F1" w:rsidP="003E48F1">
      <w:pPr>
        <w:autoSpaceDE w:val="0"/>
        <w:autoSpaceDN w:val="0"/>
        <w:adjustRightInd w:val="0"/>
        <w:rPr>
          <w:color w:val="0000FF"/>
        </w:rPr>
      </w:pPr>
      <w:r>
        <w:rPr>
          <w:color w:val="0000FF"/>
        </w:rPr>
        <w:t>sfisk@earthjustice.org</w:t>
      </w:r>
    </w:p>
    <w:p w:rsidR="003E48F1" w:rsidRDefault="003E48F1" w:rsidP="003E48F1">
      <w:pPr>
        <w:autoSpaceDE w:val="0"/>
        <w:autoSpaceDN w:val="0"/>
        <w:adjustRightInd w:val="0"/>
        <w:rPr>
          <w:color w:val="0000FF"/>
        </w:rPr>
      </w:pPr>
      <w:r>
        <w:rPr>
          <w:color w:val="0000FF"/>
        </w:rPr>
        <w:t>Kristin.henry@sierraclub.org</w:t>
      </w:r>
    </w:p>
    <w:p w:rsidR="003E48F1" w:rsidRDefault="003E48F1" w:rsidP="003E48F1">
      <w:pPr>
        <w:autoSpaceDE w:val="0"/>
        <w:autoSpaceDN w:val="0"/>
        <w:adjustRightInd w:val="0"/>
        <w:rPr>
          <w:color w:val="0000FF"/>
        </w:rPr>
      </w:pPr>
      <w:r>
        <w:rPr>
          <w:color w:val="0000FF"/>
        </w:rPr>
        <w:t>chris@envlaw.com</w:t>
      </w:r>
    </w:p>
    <w:p w:rsidR="003E48F1" w:rsidRDefault="003E48F1" w:rsidP="003E48F1">
      <w:pPr>
        <w:autoSpaceDE w:val="0"/>
        <w:autoSpaceDN w:val="0"/>
        <w:adjustRightInd w:val="0"/>
        <w:rPr>
          <w:color w:val="0000FF"/>
        </w:rPr>
      </w:pPr>
      <w:r>
        <w:rPr>
          <w:color w:val="0000FF"/>
        </w:rPr>
        <w:t>todonnell@dickinsonwright.com</w:t>
      </w:r>
    </w:p>
    <w:p w:rsidR="003E48F1" w:rsidRDefault="003E48F1" w:rsidP="003E48F1">
      <w:pPr>
        <w:autoSpaceDE w:val="0"/>
        <w:autoSpaceDN w:val="0"/>
        <w:adjustRightInd w:val="0"/>
        <w:rPr>
          <w:color w:val="0000FF"/>
        </w:rPr>
      </w:pPr>
      <w:r>
        <w:rPr>
          <w:color w:val="0000FF"/>
        </w:rPr>
        <w:t>rseiler@dickinsonwright.com</w:t>
      </w:r>
    </w:p>
    <w:p w:rsidR="003E48F1" w:rsidRDefault="003E48F1" w:rsidP="003E48F1">
      <w:pPr>
        <w:autoSpaceDE w:val="0"/>
        <w:autoSpaceDN w:val="0"/>
        <w:adjustRightInd w:val="0"/>
        <w:rPr>
          <w:color w:val="0000FF"/>
        </w:rPr>
      </w:pPr>
      <w:r>
        <w:rPr>
          <w:color w:val="0000FF"/>
        </w:rPr>
        <w:t>stnourse@aep.com</w:t>
      </w:r>
    </w:p>
    <w:p w:rsidR="003E48F1" w:rsidRDefault="003E48F1" w:rsidP="003E48F1">
      <w:pPr>
        <w:autoSpaceDE w:val="0"/>
        <w:autoSpaceDN w:val="0"/>
        <w:adjustRightInd w:val="0"/>
        <w:rPr>
          <w:color w:val="0000FF"/>
        </w:rPr>
      </w:pPr>
      <w:r>
        <w:rPr>
          <w:color w:val="0000FF"/>
        </w:rPr>
        <w:lastRenderedPageBreak/>
        <w:t>mjsatterwhite@aep.com</w:t>
      </w:r>
    </w:p>
    <w:p w:rsidR="003E48F1" w:rsidRDefault="003E48F1" w:rsidP="003E48F1">
      <w:pPr>
        <w:autoSpaceDE w:val="0"/>
        <w:autoSpaceDN w:val="0"/>
        <w:adjustRightInd w:val="0"/>
        <w:rPr>
          <w:color w:val="0000FF"/>
        </w:rPr>
      </w:pPr>
      <w:r>
        <w:rPr>
          <w:color w:val="0000FF"/>
        </w:rPr>
        <w:t>msmckenzie@aep.com</w:t>
      </w:r>
    </w:p>
    <w:p w:rsidR="003E48F1" w:rsidRDefault="003E48F1" w:rsidP="003E48F1">
      <w:pPr>
        <w:autoSpaceDE w:val="0"/>
        <w:autoSpaceDN w:val="0"/>
        <w:adjustRightInd w:val="0"/>
        <w:rPr>
          <w:color w:val="0000FF"/>
        </w:rPr>
      </w:pPr>
      <w:r>
        <w:rPr>
          <w:color w:val="0000FF"/>
        </w:rPr>
        <w:t>dconway@porterwright.com</w:t>
      </w:r>
    </w:p>
    <w:p w:rsidR="003E48F1" w:rsidRDefault="003E48F1" w:rsidP="003E48F1">
      <w:pPr>
        <w:autoSpaceDE w:val="0"/>
        <w:autoSpaceDN w:val="0"/>
        <w:adjustRightInd w:val="0"/>
        <w:rPr>
          <w:color w:val="0000FF"/>
        </w:rPr>
      </w:pPr>
      <w:r>
        <w:rPr>
          <w:color w:val="0000FF"/>
        </w:rPr>
        <w:t>mkurtz@BKLlawfirm.com</w:t>
      </w:r>
    </w:p>
    <w:p w:rsidR="003E48F1" w:rsidRDefault="003E48F1" w:rsidP="003E48F1">
      <w:pPr>
        <w:autoSpaceDE w:val="0"/>
        <w:autoSpaceDN w:val="0"/>
        <w:adjustRightInd w:val="0"/>
        <w:rPr>
          <w:color w:val="0000FF"/>
        </w:rPr>
      </w:pPr>
      <w:r>
        <w:rPr>
          <w:color w:val="0000FF"/>
        </w:rPr>
        <w:t>kboehm@BKLlawfirm.com</w:t>
      </w:r>
    </w:p>
    <w:p w:rsidR="003E48F1" w:rsidRDefault="003E48F1" w:rsidP="003E48F1">
      <w:pPr>
        <w:autoSpaceDE w:val="0"/>
        <w:autoSpaceDN w:val="0"/>
        <w:adjustRightInd w:val="0"/>
        <w:rPr>
          <w:color w:val="0000FF"/>
        </w:rPr>
      </w:pPr>
      <w:r>
        <w:rPr>
          <w:color w:val="0000FF"/>
        </w:rPr>
        <w:t>jkylercohn@BKLlawfirm.com</w:t>
      </w:r>
    </w:p>
    <w:p w:rsidR="003E48F1" w:rsidRDefault="003E48F1" w:rsidP="003E48F1">
      <w:pPr>
        <w:autoSpaceDE w:val="0"/>
        <w:autoSpaceDN w:val="0"/>
        <w:adjustRightInd w:val="0"/>
        <w:rPr>
          <w:color w:val="0000FF"/>
        </w:rPr>
      </w:pPr>
      <w:r>
        <w:rPr>
          <w:color w:val="0000FF"/>
        </w:rPr>
        <w:t>sam@mwncmh.com</w:t>
      </w:r>
    </w:p>
    <w:p w:rsidR="003E48F1" w:rsidRDefault="003E48F1" w:rsidP="003E48F1">
      <w:pPr>
        <w:autoSpaceDE w:val="0"/>
        <w:autoSpaceDN w:val="0"/>
        <w:adjustRightInd w:val="0"/>
        <w:rPr>
          <w:color w:val="0000FF"/>
        </w:rPr>
      </w:pPr>
      <w:r>
        <w:rPr>
          <w:color w:val="0000FF"/>
        </w:rPr>
        <w:t>fdarr@mwncmh.com</w:t>
      </w:r>
    </w:p>
    <w:p w:rsidR="003E48F1" w:rsidRDefault="003E48F1" w:rsidP="003E48F1">
      <w:pPr>
        <w:autoSpaceDE w:val="0"/>
        <w:autoSpaceDN w:val="0"/>
        <w:adjustRightInd w:val="0"/>
        <w:rPr>
          <w:color w:val="0000FF"/>
        </w:rPr>
      </w:pPr>
      <w:r>
        <w:rPr>
          <w:color w:val="0000FF"/>
        </w:rPr>
        <w:t>mpritchard@mwncmh.com</w:t>
      </w:r>
    </w:p>
    <w:p w:rsidR="003E48F1" w:rsidRDefault="003E48F1" w:rsidP="003E48F1">
      <w:pPr>
        <w:autoSpaceDE w:val="0"/>
        <w:autoSpaceDN w:val="0"/>
        <w:adjustRightInd w:val="0"/>
        <w:rPr>
          <w:color w:val="0000FF"/>
        </w:rPr>
      </w:pPr>
      <w:r>
        <w:rPr>
          <w:color w:val="0000FF"/>
        </w:rPr>
        <w:t>Kurt.Helfrich@ThompsonHine.com</w:t>
      </w:r>
    </w:p>
    <w:p w:rsidR="003E48F1" w:rsidRDefault="003E48F1" w:rsidP="003E48F1">
      <w:pPr>
        <w:autoSpaceDE w:val="0"/>
        <w:autoSpaceDN w:val="0"/>
        <w:adjustRightInd w:val="0"/>
        <w:rPr>
          <w:color w:val="0000FF"/>
        </w:rPr>
      </w:pPr>
      <w:r>
        <w:rPr>
          <w:color w:val="0000FF"/>
        </w:rPr>
        <w:t>Scott.Campbell@ThompsonHine.com</w:t>
      </w:r>
    </w:p>
    <w:p w:rsidR="003E48F1" w:rsidRDefault="003E48F1" w:rsidP="003E48F1">
      <w:pPr>
        <w:autoSpaceDE w:val="0"/>
        <w:autoSpaceDN w:val="0"/>
        <w:adjustRightInd w:val="0"/>
        <w:rPr>
          <w:color w:val="0000FF"/>
        </w:rPr>
      </w:pPr>
      <w:r>
        <w:rPr>
          <w:color w:val="0000FF"/>
        </w:rPr>
        <w:t>Stephanie.Chmiel@ThompsonHine.com</w:t>
      </w:r>
    </w:p>
    <w:p w:rsidR="003E48F1" w:rsidRDefault="003E48F1" w:rsidP="003E48F1">
      <w:pPr>
        <w:autoSpaceDE w:val="0"/>
        <w:autoSpaceDN w:val="0"/>
        <w:adjustRightInd w:val="0"/>
        <w:rPr>
          <w:color w:val="0000FF"/>
        </w:rPr>
      </w:pPr>
      <w:r>
        <w:rPr>
          <w:color w:val="0000FF"/>
        </w:rPr>
        <w:t>lhawrot@spilmanlaw.com</w:t>
      </w:r>
    </w:p>
    <w:p w:rsidR="003E48F1" w:rsidRDefault="003E48F1" w:rsidP="003E48F1">
      <w:pPr>
        <w:autoSpaceDE w:val="0"/>
        <w:autoSpaceDN w:val="0"/>
        <w:adjustRightInd w:val="0"/>
        <w:rPr>
          <w:color w:val="0000FF"/>
        </w:rPr>
      </w:pPr>
      <w:r>
        <w:rPr>
          <w:color w:val="0000FF"/>
        </w:rPr>
        <w:t>dwilliamson@spilmanlaw.com</w:t>
      </w:r>
    </w:p>
    <w:p w:rsidR="003E48F1" w:rsidRDefault="003E48F1" w:rsidP="003E48F1">
      <w:pPr>
        <w:autoSpaceDE w:val="0"/>
        <w:autoSpaceDN w:val="0"/>
        <w:adjustRightInd w:val="0"/>
        <w:rPr>
          <w:color w:val="0000FF"/>
        </w:rPr>
      </w:pPr>
      <w:r>
        <w:rPr>
          <w:color w:val="0000FF"/>
        </w:rPr>
        <w:t>charris@spilmanlaw.com</w:t>
      </w:r>
    </w:p>
    <w:p w:rsidR="003E48F1" w:rsidRDefault="003E48F1" w:rsidP="003E48F1">
      <w:pPr>
        <w:autoSpaceDE w:val="0"/>
        <w:autoSpaceDN w:val="0"/>
        <w:adjustRightInd w:val="0"/>
        <w:rPr>
          <w:color w:val="0000FF"/>
        </w:rPr>
      </w:pPr>
      <w:r>
        <w:rPr>
          <w:color w:val="0000FF"/>
        </w:rPr>
        <w:t>Stephen.Chriss@walmart.com</w:t>
      </w:r>
    </w:p>
    <w:p w:rsidR="003E48F1" w:rsidRDefault="003E48F1" w:rsidP="003E48F1">
      <w:pPr>
        <w:autoSpaceDE w:val="0"/>
        <w:autoSpaceDN w:val="0"/>
        <w:adjustRightInd w:val="0"/>
        <w:rPr>
          <w:color w:val="0000FF"/>
        </w:rPr>
      </w:pPr>
      <w:r>
        <w:rPr>
          <w:color w:val="0000FF"/>
        </w:rPr>
        <w:t>Schmidt@sppgrp.com</w:t>
      </w:r>
    </w:p>
    <w:p w:rsidR="003E48F1" w:rsidRDefault="003E48F1" w:rsidP="003E48F1">
      <w:pPr>
        <w:autoSpaceDE w:val="0"/>
        <w:autoSpaceDN w:val="0"/>
        <w:adjustRightInd w:val="0"/>
        <w:rPr>
          <w:color w:val="0000FF"/>
        </w:rPr>
      </w:pPr>
      <w:r>
        <w:rPr>
          <w:color w:val="0000FF"/>
        </w:rPr>
        <w:t>Bojko@carpenterlipps.com</w:t>
      </w:r>
    </w:p>
    <w:p w:rsidR="003E48F1" w:rsidRDefault="003E48F1" w:rsidP="003E48F1">
      <w:pPr>
        <w:autoSpaceDE w:val="0"/>
        <w:autoSpaceDN w:val="0"/>
        <w:adjustRightInd w:val="0"/>
        <w:rPr>
          <w:color w:val="0000FF"/>
        </w:rPr>
      </w:pPr>
      <w:r>
        <w:rPr>
          <w:color w:val="0000FF"/>
        </w:rPr>
        <w:t>orourke@carpenterlipps.com</w:t>
      </w:r>
    </w:p>
    <w:p w:rsidR="003E48F1" w:rsidRDefault="003E48F1" w:rsidP="003E48F1">
      <w:pPr>
        <w:autoSpaceDE w:val="0"/>
        <w:autoSpaceDN w:val="0"/>
        <w:adjustRightInd w:val="0"/>
        <w:rPr>
          <w:color w:val="0000FF"/>
        </w:rPr>
      </w:pPr>
      <w:r>
        <w:rPr>
          <w:color w:val="0000FF"/>
        </w:rPr>
        <w:t>mfleisher@elpc.org</w:t>
      </w:r>
    </w:p>
    <w:p w:rsidR="003E48F1" w:rsidRDefault="003E48F1" w:rsidP="003E48F1">
      <w:pPr>
        <w:autoSpaceDE w:val="0"/>
        <w:autoSpaceDN w:val="0"/>
        <w:adjustRightInd w:val="0"/>
        <w:rPr>
          <w:color w:val="0000FF"/>
        </w:rPr>
      </w:pPr>
      <w:r>
        <w:rPr>
          <w:color w:val="0000FF"/>
        </w:rPr>
        <w:t>msmalz@ohiopovertylaw.org</w:t>
      </w:r>
    </w:p>
    <w:p w:rsidR="003E48F1" w:rsidRDefault="003E48F1" w:rsidP="003E48F1">
      <w:pPr>
        <w:autoSpaceDE w:val="0"/>
        <w:autoSpaceDN w:val="0"/>
        <w:adjustRightInd w:val="0"/>
        <w:rPr>
          <w:color w:val="0000FF"/>
        </w:rPr>
      </w:pPr>
      <w:r>
        <w:rPr>
          <w:color w:val="0000FF"/>
        </w:rPr>
        <w:t>cmooney@ohiopartners.org</w:t>
      </w:r>
    </w:p>
    <w:p w:rsidR="003E48F1" w:rsidRDefault="003E48F1" w:rsidP="003E48F1">
      <w:pPr>
        <w:autoSpaceDE w:val="0"/>
        <w:autoSpaceDN w:val="0"/>
        <w:adjustRightInd w:val="0"/>
        <w:rPr>
          <w:color w:val="0000FF"/>
        </w:rPr>
      </w:pPr>
      <w:r>
        <w:rPr>
          <w:color w:val="0000FF"/>
        </w:rPr>
        <w:t>drinebolt@ohiopartners.org</w:t>
      </w:r>
    </w:p>
    <w:p w:rsidR="003E48F1" w:rsidRDefault="003E48F1" w:rsidP="003E48F1">
      <w:pPr>
        <w:autoSpaceDE w:val="0"/>
        <w:autoSpaceDN w:val="0"/>
        <w:adjustRightInd w:val="0"/>
        <w:rPr>
          <w:color w:val="0000FF"/>
        </w:rPr>
      </w:pPr>
      <w:r>
        <w:rPr>
          <w:color w:val="0000FF"/>
        </w:rPr>
        <w:t>ghull@eckertseamans.com</w:t>
      </w:r>
    </w:p>
    <w:p w:rsidR="003E48F1" w:rsidRDefault="003E48F1" w:rsidP="003E48F1">
      <w:pPr>
        <w:autoSpaceDE w:val="0"/>
        <w:autoSpaceDN w:val="0"/>
        <w:adjustRightInd w:val="0"/>
        <w:rPr>
          <w:color w:val="0000FF"/>
        </w:rPr>
      </w:pPr>
      <w:r>
        <w:rPr>
          <w:color w:val="0000FF"/>
        </w:rPr>
        <w:t>msoules@earthjustice.org</w:t>
      </w:r>
    </w:p>
    <w:p w:rsidR="003E48F1" w:rsidRDefault="003E48F1" w:rsidP="003E48F1">
      <w:pPr>
        <w:autoSpaceDE w:val="0"/>
        <w:autoSpaceDN w:val="0"/>
        <w:adjustRightInd w:val="0"/>
        <w:rPr>
          <w:color w:val="0000FF"/>
        </w:rPr>
      </w:pPr>
      <w:r>
        <w:rPr>
          <w:color w:val="0000FF"/>
        </w:rPr>
        <w:t>jennifer.spinosi@directenergy.com</w:t>
      </w:r>
    </w:p>
    <w:p w:rsidR="003E48F1" w:rsidRDefault="003E48F1" w:rsidP="003E48F1">
      <w:pPr>
        <w:autoSpaceDE w:val="0"/>
        <w:autoSpaceDN w:val="0"/>
        <w:adjustRightInd w:val="0"/>
        <w:rPr>
          <w:color w:val="0000FF"/>
        </w:rPr>
      </w:pPr>
      <w:r>
        <w:rPr>
          <w:color w:val="0000FF"/>
        </w:rPr>
        <w:t>laurie.williams@sierraclub.org</w:t>
      </w:r>
    </w:p>
    <w:p w:rsidR="00B64B14" w:rsidRDefault="00B64B14" w:rsidP="003E48F1">
      <w:pPr>
        <w:autoSpaceDE w:val="0"/>
        <w:autoSpaceDN w:val="0"/>
        <w:adjustRightInd w:val="0"/>
        <w:rPr>
          <w:color w:val="000000"/>
        </w:rPr>
        <w:sectPr w:rsidR="00B64B14" w:rsidSect="00B64B14">
          <w:type w:val="continuous"/>
          <w:pgSz w:w="12240" w:h="15840"/>
          <w:pgMar w:top="1440" w:right="1440" w:bottom="1440" w:left="1440" w:header="720" w:footer="720" w:gutter="0"/>
          <w:cols w:num="2" w:space="720"/>
          <w:titlePg/>
          <w:docGrid w:linePitch="360"/>
        </w:sectPr>
      </w:pPr>
    </w:p>
    <w:p w:rsidR="003E48F1" w:rsidRDefault="003E48F1" w:rsidP="003E48F1">
      <w:pPr>
        <w:autoSpaceDE w:val="0"/>
        <w:autoSpaceDN w:val="0"/>
        <w:adjustRightInd w:val="0"/>
        <w:rPr>
          <w:color w:val="000000"/>
        </w:rPr>
      </w:pPr>
    </w:p>
    <w:p w:rsidR="003E48F1" w:rsidRDefault="003E48F1" w:rsidP="003E48F1">
      <w:pPr>
        <w:autoSpaceDE w:val="0"/>
        <w:autoSpaceDN w:val="0"/>
        <w:adjustRightInd w:val="0"/>
        <w:rPr>
          <w:color w:val="000000"/>
        </w:rPr>
      </w:pPr>
      <w:r>
        <w:rPr>
          <w:color w:val="000000"/>
        </w:rPr>
        <w:t>Attorney Examiners:</w:t>
      </w:r>
    </w:p>
    <w:p w:rsidR="003E48F1" w:rsidRDefault="00501F99" w:rsidP="003E48F1">
      <w:pPr>
        <w:autoSpaceDE w:val="0"/>
        <w:autoSpaceDN w:val="0"/>
        <w:adjustRightInd w:val="0"/>
        <w:rPr>
          <w:color w:val="0000FF"/>
        </w:rPr>
      </w:pPr>
      <w:r w:rsidRPr="00501F99">
        <w:t>Sarah.parrot@puc.state.oh.us</w:t>
      </w:r>
      <w:r w:rsidR="00906861">
        <w:rPr>
          <w:color w:val="0000FF"/>
        </w:rPr>
        <w:t xml:space="preserve">, </w:t>
      </w:r>
      <w:r w:rsidR="00906861" w:rsidRPr="00906861">
        <w:rPr>
          <w:color w:val="0000FF"/>
        </w:rPr>
        <w:t>Mandy.chiles@puc.state.oh.us</w:t>
      </w:r>
      <w:r w:rsidR="00906861" w:rsidRPr="00906861">
        <w:t xml:space="preserve"> </w:t>
      </w:r>
      <w:r w:rsidR="00906861" w:rsidRPr="00906861">
        <w:rPr>
          <w:color w:val="0000FF"/>
        </w:rPr>
        <w:t>Megan.addison@puc.state.oh.us</w:t>
      </w:r>
    </w:p>
    <w:p w:rsidR="00BE294F" w:rsidRDefault="00BE294F" w:rsidP="003E48F1">
      <w:pPr>
        <w:rPr>
          <w:color w:val="0000FF"/>
        </w:rPr>
      </w:pPr>
      <w:r>
        <w:rPr>
          <w:color w:val="0000FF"/>
        </w:rPr>
        <w:lastRenderedPageBreak/>
        <w:t xml:space="preserve">Greta.see@puc.state.oh.us   </w:t>
      </w:r>
    </w:p>
    <w:p w:rsidR="00BE294F" w:rsidRDefault="00BE294F" w:rsidP="003E48F1">
      <w:pPr>
        <w:rPr>
          <w:color w:val="0000FF"/>
        </w:rPr>
      </w:pPr>
    </w:p>
    <w:p w:rsidR="00BE294F" w:rsidRPr="00F05425" w:rsidRDefault="00BE294F" w:rsidP="00BE294F">
      <w:pPr>
        <w:pStyle w:val="Signature"/>
        <w:ind w:left="0"/>
        <w:sectPr w:rsidR="00BE294F" w:rsidRPr="00F05425" w:rsidSect="003533C6">
          <w:type w:val="continuous"/>
          <w:pgSz w:w="12240" w:h="15840"/>
          <w:pgMar w:top="1440" w:right="1440" w:bottom="1440" w:left="1440" w:header="720" w:footer="720" w:gutter="0"/>
          <w:cols w:num="2" w:space="720"/>
          <w:titlePg/>
          <w:docGrid w:linePitch="360"/>
        </w:sectPr>
      </w:pPr>
    </w:p>
    <w:p w:rsidR="00BE294F" w:rsidRDefault="00BE294F" w:rsidP="00BE294F">
      <w:r w:rsidRPr="00F05425">
        <w:lastRenderedPageBreak/>
        <w:tab/>
      </w:r>
      <w:r w:rsidRPr="00F05425">
        <w:tab/>
      </w:r>
      <w:r w:rsidRPr="00F05425">
        <w:tab/>
      </w:r>
      <w:r w:rsidRPr="00F05425">
        <w:tab/>
      </w:r>
      <w:r w:rsidRPr="00F05425">
        <w:tab/>
      </w:r>
      <w:r w:rsidRPr="00F05425">
        <w:tab/>
      </w:r>
      <w:r w:rsidRPr="00F05425">
        <w:tab/>
      </w:r>
    </w:p>
    <w:p w:rsidR="00BE294F" w:rsidRDefault="00BE294F" w:rsidP="00BE294F"/>
    <w:p w:rsidR="00BE294F" w:rsidRPr="00F05425" w:rsidRDefault="00BE294F" w:rsidP="00BE294F">
      <w:pPr>
        <w:ind w:left="4320" w:firstLine="720"/>
        <w:rPr>
          <w:u w:val="single"/>
        </w:rPr>
      </w:pPr>
      <w:r w:rsidRPr="00F05425">
        <w:rPr>
          <w:u w:val="single"/>
        </w:rPr>
        <w:t>/s/ Michael D. Dortch</w:t>
      </w:r>
      <w:r w:rsidRPr="00F05425">
        <w:rPr>
          <w:u w:val="single"/>
        </w:rPr>
        <w:tab/>
      </w:r>
      <w:r w:rsidRPr="00F05425">
        <w:rPr>
          <w:u w:val="single"/>
        </w:rPr>
        <w:tab/>
      </w:r>
    </w:p>
    <w:p w:rsidR="00BE294F" w:rsidRDefault="00BE294F" w:rsidP="00BE294F">
      <w:r w:rsidRPr="00F05425">
        <w:tab/>
      </w:r>
      <w:r w:rsidRPr="00F05425">
        <w:tab/>
      </w:r>
      <w:r w:rsidRPr="00F05425">
        <w:tab/>
      </w:r>
      <w:r w:rsidRPr="00F05425">
        <w:tab/>
      </w:r>
      <w:r w:rsidRPr="00F05425">
        <w:tab/>
      </w:r>
      <w:r w:rsidRPr="00F05425">
        <w:tab/>
      </w:r>
      <w:r w:rsidRPr="00F05425">
        <w:tab/>
        <w:t>Michael D. Dortch</w:t>
      </w:r>
    </w:p>
    <w:p w:rsidR="00BE294F" w:rsidRPr="00BE294F" w:rsidRDefault="00BE294F" w:rsidP="00547F29">
      <w:pPr>
        <w:autoSpaceDE w:val="0"/>
        <w:autoSpaceDN w:val="0"/>
        <w:adjustRightInd w:val="0"/>
        <w:rPr>
          <w:color w:val="0000FF"/>
        </w:rPr>
      </w:pPr>
    </w:p>
    <w:sectPr w:rsidR="00BE294F" w:rsidRPr="00BE294F" w:rsidSect="003533C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61" w:rsidRDefault="00BD4B61">
      <w:r>
        <w:separator/>
      </w:r>
    </w:p>
  </w:endnote>
  <w:endnote w:type="continuationSeparator" w:id="0">
    <w:p w:rsidR="00BD4B61" w:rsidRDefault="00BD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1" w:rsidRDefault="00514AA5" w:rsidP="00AE46E2">
    <w:pPr>
      <w:pStyle w:val="Footer"/>
      <w:framePr w:wrap="around" w:vAnchor="text" w:hAnchor="margin" w:xAlign="center" w:y="1"/>
      <w:rPr>
        <w:rStyle w:val="PageNumber"/>
      </w:rPr>
    </w:pPr>
    <w:r>
      <w:rPr>
        <w:rStyle w:val="PageNumber"/>
      </w:rPr>
      <w:fldChar w:fldCharType="begin"/>
    </w:r>
    <w:r w:rsidR="00C25791">
      <w:rPr>
        <w:rStyle w:val="PageNumber"/>
      </w:rPr>
      <w:instrText xml:space="preserve">PAGE  </w:instrText>
    </w:r>
    <w:r>
      <w:rPr>
        <w:rStyle w:val="PageNumber"/>
      </w:rPr>
      <w:fldChar w:fldCharType="separate"/>
    </w:r>
    <w:r w:rsidR="00C25791">
      <w:rPr>
        <w:rStyle w:val="PageNumber"/>
        <w:noProof/>
      </w:rPr>
      <w:t>1</w:t>
    </w:r>
    <w:r>
      <w:rPr>
        <w:rStyle w:val="PageNumber"/>
      </w:rPr>
      <w:fldChar w:fldCharType="end"/>
    </w:r>
  </w:p>
  <w:p w:rsidR="00C25791" w:rsidRDefault="00C25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1" w:rsidRDefault="00514AA5" w:rsidP="00AE46E2">
    <w:pPr>
      <w:pStyle w:val="Footer"/>
      <w:framePr w:wrap="around" w:vAnchor="text" w:hAnchor="margin" w:xAlign="center" w:y="1"/>
      <w:rPr>
        <w:rStyle w:val="PageNumber"/>
      </w:rPr>
    </w:pPr>
    <w:r>
      <w:rPr>
        <w:rStyle w:val="PageNumber"/>
      </w:rPr>
      <w:fldChar w:fldCharType="begin"/>
    </w:r>
    <w:r w:rsidR="00C25791">
      <w:rPr>
        <w:rStyle w:val="PageNumber"/>
      </w:rPr>
      <w:instrText xml:space="preserve">PAGE  </w:instrText>
    </w:r>
    <w:r>
      <w:rPr>
        <w:rStyle w:val="PageNumber"/>
      </w:rPr>
      <w:fldChar w:fldCharType="separate"/>
    </w:r>
    <w:r w:rsidR="001072D4">
      <w:rPr>
        <w:rStyle w:val="PageNumber"/>
        <w:noProof/>
      </w:rPr>
      <w:t>3</w:t>
    </w:r>
    <w:r>
      <w:rPr>
        <w:rStyle w:val="PageNumber"/>
      </w:rPr>
      <w:fldChar w:fldCharType="end"/>
    </w:r>
  </w:p>
  <w:p w:rsidR="00C25791" w:rsidRDefault="00C25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61" w:rsidRDefault="00BD4B61">
      <w:r>
        <w:separator/>
      </w:r>
    </w:p>
  </w:footnote>
  <w:footnote w:type="continuationSeparator" w:id="0">
    <w:p w:rsidR="00BD4B61" w:rsidRDefault="00BD4B61">
      <w:r>
        <w:continuationSeparator/>
      </w:r>
    </w:p>
  </w:footnote>
  <w:footnote w:id="1">
    <w:p w:rsidR="00C25791" w:rsidRPr="008704AD" w:rsidRDefault="00501F99">
      <w:pPr>
        <w:pStyle w:val="FootnoteText"/>
        <w:rPr>
          <w:szCs w:val="20"/>
        </w:rPr>
      </w:pPr>
      <w:r w:rsidRPr="00501F99">
        <w:rPr>
          <w:rStyle w:val="FootnoteReference"/>
          <w:szCs w:val="20"/>
        </w:rPr>
        <w:footnoteRef/>
      </w:r>
      <w:r w:rsidRPr="00501F99">
        <w:rPr>
          <w:szCs w:val="20"/>
        </w:rPr>
        <w:t xml:space="preserve"> 4928.143 (C) (1) provides, in relevant part:  </w:t>
      </w:r>
    </w:p>
    <w:p w:rsidR="00C25791" w:rsidRPr="008704AD" w:rsidRDefault="00C25791">
      <w:pPr>
        <w:pStyle w:val="FootnoteText"/>
        <w:rPr>
          <w:szCs w:val="20"/>
        </w:rPr>
      </w:pPr>
    </w:p>
    <w:p w:rsidR="00514AA5" w:rsidRDefault="00C25791">
      <w:pPr>
        <w:pStyle w:val="FootnoteText"/>
        <w:ind w:left="547" w:right="547"/>
        <w:jc w:val="both"/>
        <w:rPr>
          <w:szCs w:val="20"/>
        </w:rPr>
      </w:pPr>
      <w:r w:rsidRPr="008704AD">
        <w:rPr>
          <w:color w:val="000000"/>
          <w:szCs w:val="20"/>
          <w:shd w:val="clear" w:color="auto" w:fill="FFFFFF"/>
        </w:rPr>
        <w:t>The burden of proof in the proceeding shall be on the electric distribution utility.</w:t>
      </w:r>
      <w:r w:rsidR="00501F99">
        <w:rPr>
          <w:rStyle w:val="apple-converted-space"/>
          <w:color w:val="000000"/>
          <w:szCs w:val="20"/>
          <w:shd w:val="clear" w:color="auto" w:fill="FFFFFF"/>
        </w:rPr>
        <w:t xml:space="preserve"> . . .  </w:t>
      </w:r>
      <w:r w:rsidR="00501F99">
        <w:rPr>
          <w:color w:val="000000"/>
          <w:szCs w:val="20"/>
          <w:shd w:val="clear" w:color="auto" w:fill="FFFFFF"/>
        </w:rPr>
        <w:t>Subject to division (D) of this section, the commission by order shall approve or modify and approve an application filed under division (A) of this section if it finds that the electric security plan so approved, including its pricing and all other terms and conditions, including any deferrals and any future recovery of deferrals, is more favorable in the aggregate as compared to the expected results that would otherwise apply under section </w:t>
      </w:r>
      <w:hyperlink r:id="rId1" w:tooltip="4928.142" w:history="1">
        <w:r w:rsidR="00501F99" w:rsidRPr="00501F99">
          <w:rPr>
            <w:color w:val="800000"/>
            <w:szCs w:val="20"/>
            <w:u w:val="single"/>
            <w:shd w:val="clear" w:color="auto" w:fill="FFFFFF"/>
          </w:rPr>
          <w:t>4928.142</w:t>
        </w:r>
      </w:hyperlink>
      <w:r w:rsidR="00501F99" w:rsidRPr="00501F99">
        <w:rPr>
          <w:color w:val="000000"/>
          <w:szCs w:val="20"/>
          <w:shd w:val="clear" w:color="auto" w:fill="FFFFFF"/>
        </w:rPr>
        <w:t> of the Revised Code. Additionally, if the commission so approves an application that contains a surcharge under division (B)(2)(b) or (c) of this section, the commission shall ensure that the benefits derived for any purpose for which the surcharge is established are reserved and made available to those that bear the surcharge. Otherwise, the commission by order shall disapprove the application.</w:t>
      </w:r>
    </w:p>
  </w:footnote>
  <w:footnote w:id="2">
    <w:p w:rsidR="00514AA5" w:rsidRDefault="00501F99">
      <w:pPr>
        <w:autoSpaceDE w:val="0"/>
        <w:autoSpaceDN w:val="0"/>
        <w:adjustRightInd w:val="0"/>
      </w:pPr>
      <w:r w:rsidRPr="00501F99">
        <w:rPr>
          <w:rStyle w:val="FootnoteReference"/>
          <w:sz w:val="20"/>
          <w:szCs w:val="20"/>
        </w:rPr>
        <w:footnoteRef/>
      </w:r>
      <w:r w:rsidRPr="00501F99">
        <w:rPr>
          <w:sz w:val="20"/>
          <w:szCs w:val="20"/>
        </w:rPr>
        <w:t xml:space="preserve"> </w:t>
      </w:r>
      <w:r w:rsidRPr="00501F99">
        <w:rPr>
          <w:i/>
          <w:iCs/>
          <w:sz w:val="20"/>
          <w:szCs w:val="20"/>
        </w:rPr>
        <w:t>Consumers’ Counsel v. Pub. Util. Comm.</w:t>
      </w:r>
      <w:r w:rsidRPr="00501F99">
        <w:rPr>
          <w:sz w:val="20"/>
          <w:szCs w:val="20"/>
        </w:rPr>
        <w:t>, 64 Ohio St.3d 123, 126 (1992).</w:t>
      </w:r>
    </w:p>
  </w:footnote>
  <w:footnote w:id="3">
    <w:p w:rsidR="00514AA5" w:rsidRDefault="00501F99">
      <w:pPr>
        <w:autoSpaceDE w:val="0"/>
        <w:autoSpaceDN w:val="0"/>
        <w:adjustRightInd w:val="0"/>
        <w:rPr>
          <w:rFonts w:eastAsia="Calibri"/>
          <w:szCs w:val="20"/>
        </w:rPr>
      </w:pPr>
      <w:r w:rsidRPr="00501F99">
        <w:rPr>
          <w:rStyle w:val="FootnoteReference"/>
          <w:sz w:val="20"/>
          <w:szCs w:val="20"/>
        </w:rPr>
        <w:footnoteRef/>
      </w:r>
      <w:r w:rsidRPr="00501F99">
        <w:rPr>
          <w:sz w:val="20"/>
          <w:szCs w:val="20"/>
        </w:rPr>
        <w:t xml:space="preserve"> </w:t>
      </w:r>
      <w:r w:rsidRPr="00501F99">
        <w:rPr>
          <w:rFonts w:eastAsia="Calibri"/>
          <w:i/>
          <w:sz w:val="20"/>
          <w:szCs w:val="20"/>
        </w:rPr>
        <w:t xml:space="preserve">In the Matter of the Application of Ohio Power Company for Authority to Establish a Standard Service Offer Pursuant to R.C. 4928.142 in the Form of an Electric Security Plan, </w:t>
      </w:r>
      <w:r w:rsidRPr="00501F99">
        <w:rPr>
          <w:rFonts w:eastAsia="Calibri"/>
          <w:sz w:val="20"/>
          <w:szCs w:val="20"/>
        </w:rPr>
        <w:t xml:space="preserve">Case No. 12-2385-EL-SSO (hereafter, AEP’s ESP III), </w:t>
      </w:r>
      <w:r w:rsidR="00185F55">
        <w:rPr>
          <w:rFonts w:eastAsia="Calibri"/>
          <w:sz w:val="20"/>
          <w:szCs w:val="20"/>
        </w:rPr>
        <w:t xml:space="preserve">at </w:t>
      </w:r>
      <w:r w:rsidRPr="00501F99">
        <w:rPr>
          <w:rFonts w:eastAsia="Calibri"/>
          <w:sz w:val="20"/>
          <w:szCs w:val="20"/>
        </w:rPr>
        <w:t>25.</w:t>
      </w:r>
    </w:p>
  </w:footnote>
  <w:footnote w:id="4">
    <w:p w:rsidR="00C25791" w:rsidRPr="008704AD" w:rsidRDefault="00C25791" w:rsidP="00866923">
      <w:pPr>
        <w:pStyle w:val="FootnoteText"/>
        <w:rPr>
          <w:szCs w:val="20"/>
        </w:rPr>
      </w:pPr>
      <w:r w:rsidRPr="008704AD">
        <w:rPr>
          <w:rStyle w:val="FootnoteReference"/>
          <w:szCs w:val="20"/>
        </w:rPr>
        <w:footnoteRef/>
      </w:r>
      <w:r w:rsidRPr="008704AD">
        <w:rPr>
          <w:szCs w:val="20"/>
        </w:rPr>
        <w:t xml:space="preserve"> See Worksheet filed with the December 1, 2015, </w:t>
      </w:r>
      <w:r w:rsidRPr="008704AD">
        <w:rPr>
          <w:color w:val="232323"/>
          <w:szCs w:val="20"/>
        </w:rPr>
        <w:t>Fifth Supplemental Testimony of Eileen M. Mikkelsen</w:t>
      </w:r>
      <w:r w:rsidR="00501F99">
        <w:rPr>
          <w:color w:val="232323"/>
          <w:szCs w:val="20"/>
        </w:rPr>
        <w:t>.</w:t>
      </w:r>
    </w:p>
  </w:footnote>
  <w:footnote w:id="5">
    <w:p w:rsidR="009F654C" w:rsidRPr="008704AD" w:rsidRDefault="009F654C" w:rsidP="009F654C">
      <w:pPr>
        <w:pStyle w:val="FootnoteText"/>
        <w:rPr>
          <w:szCs w:val="20"/>
        </w:rPr>
      </w:pPr>
      <w:r w:rsidRPr="008704AD">
        <w:rPr>
          <w:rStyle w:val="FootnoteReference"/>
          <w:szCs w:val="20"/>
        </w:rPr>
        <w:footnoteRef/>
      </w:r>
      <w:r w:rsidRPr="008704AD">
        <w:rPr>
          <w:szCs w:val="20"/>
        </w:rPr>
        <w:t xml:space="preserve"> See the Report of the Institute for Energy Economics and Financial Analysis, filed Feb.</w:t>
      </w:r>
      <w:r w:rsidR="00582B5F">
        <w:rPr>
          <w:szCs w:val="20"/>
        </w:rPr>
        <w:t xml:space="preserve"> 16 2016, at </w:t>
      </w:r>
      <w:r w:rsidRPr="008704AD">
        <w:rPr>
          <w:szCs w:val="20"/>
        </w:rPr>
        <w:t xml:space="preserve">18-19.  See also Brief of the Sierra Club, </w:t>
      </w:r>
      <w:r w:rsidR="00D206FA">
        <w:rPr>
          <w:szCs w:val="20"/>
        </w:rPr>
        <w:t>at 18–</w:t>
      </w:r>
      <w:r w:rsidRPr="008704AD">
        <w:rPr>
          <w:szCs w:val="20"/>
        </w:rPr>
        <w:t>30, for a detailed discussion of the problems with FE’s forecasts.</w:t>
      </w:r>
    </w:p>
  </w:footnote>
  <w:footnote w:id="6">
    <w:p w:rsidR="009F654C" w:rsidRPr="008704AD" w:rsidRDefault="009F654C" w:rsidP="009F654C">
      <w:pPr>
        <w:pStyle w:val="FootnoteText"/>
        <w:rPr>
          <w:szCs w:val="20"/>
        </w:rPr>
      </w:pPr>
      <w:r w:rsidRPr="008704AD">
        <w:rPr>
          <w:rStyle w:val="FootnoteReference"/>
          <w:szCs w:val="20"/>
        </w:rPr>
        <w:footnoteRef/>
      </w:r>
      <w:r w:rsidRPr="008704AD">
        <w:rPr>
          <w:szCs w:val="20"/>
        </w:rPr>
        <w:t xml:space="preserve"> </w:t>
      </w:r>
      <w:r w:rsidRPr="008704AD">
        <w:rPr>
          <w:i/>
          <w:szCs w:val="20"/>
        </w:rPr>
        <w:t>Id.</w:t>
      </w:r>
      <w:r w:rsidR="00501F99" w:rsidRPr="00501F99">
        <w:rPr>
          <w:szCs w:val="20"/>
        </w:rPr>
        <w:t>,</w:t>
      </w:r>
      <w:r w:rsidRPr="008704AD">
        <w:rPr>
          <w:szCs w:val="20"/>
        </w:rPr>
        <w:t xml:space="preserve"> </w:t>
      </w:r>
      <w:r w:rsidR="00C55AB7">
        <w:rPr>
          <w:szCs w:val="20"/>
        </w:rPr>
        <w:t xml:space="preserve">at </w:t>
      </w:r>
      <w:r w:rsidRPr="008704AD">
        <w:rPr>
          <w:szCs w:val="20"/>
        </w:rPr>
        <w:t>2.</w:t>
      </w:r>
      <w:r w:rsidR="00501F99" w:rsidRPr="00501F99">
        <w:rPr>
          <w:i/>
          <w:szCs w:val="20"/>
        </w:rPr>
        <w:t xml:space="preserve"> </w:t>
      </w:r>
      <w:r w:rsidR="00501F99" w:rsidRPr="00501F99">
        <w:rPr>
          <w:szCs w:val="20"/>
        </w:rPr>
        <w:t xml:space="preserve">  See also Brief of the Ohio Consumers’ Counsel/NOPEC and Others, at pg. 52 (predicting “$3.2 Billion loss to rate payers.)   And see, P3/EPSA Ex. 12, Kalt Second Suppl.</w:t>
      </w:r>
      <w:r w:rsidR="006B3CDD">
        <w:rPr>
          <w:szCs w:val="20"/>
        </w:rPr>
        <w:t>,</w:t>
      </w:r>
      <w:r w:rsidR="00501F99" w:rsidRPr="00501F99">
        <w:rPr>
          <w:szCs w:val="20"/>
        </w:rPr>
        <w:t xml:space="preserve"> at 17 (the confidential version of Kalt’s Second Supplemental Testimony is admitted as P3/EPSA Ex. 13c); OCC/NOPEC Ex. 9, Wilson Second Suppl. at 12 (the confidential version of Wilson’s Second Supplemental Direct Testimony is admitted as OCC/NOPEC Ex. 10c).</w:t>
      </w:r>
    </w:p>
  </w:footnote>
  <w:footnote w:id="7">
    <w:p w:rsidR="009F654C" w:rsidRPr="008704AD" w:rsidRDefault="009F654C" w:rsidP="009F654C">
      <w:pPr>
        <w:pStyle w:val="FootnoteText"/>
        <w:rPr>
          <w:szCs w:val="20"/>
        </w:rPr>
      </w:pPr>
      <w:r w:rsidRPr="008704AD">
        <w:rPr>
          <w:rStyle w:val="FootnoteReference"/>
          <w:szCs w:val="20"/>
        </w:rPr>
        <w:footnoteRef/>
      </w:r>
      <w:r w:rsidRPr="008704AD">
        <w:rPr>
          <w:szCs w:val="20"/>
        </w:rPr>
        <w:t xml:space="preserve"> </w:t>
      </w:r>
      <w:r w:rsidRPr="008704AD">
        <w:rPr>
          <w:i/>
          <w:szCs w:val="20"/>
        </w:rPr>
        <w:t>See</w:t>
      </w:r>
      <w:r w:rsidRPr="008704AD">
        <w:rPr>
          <w:szCs w:val="20"/>
        </w:rPr>
        <w:t xml:space="preserve"> Direct Testimony of Judah Rose, </w:t>
      </w:r>
      <w:r w:rsidR="00852BAD">
        <w:rPr>
          <w:szCs w:val="20"/>
        </w:rPr>
        <w:t xml:space="preserve">at </w:t>
      </w:r>
      <w:r w:rsidR="00501F99" w:rsidRPr="00501F99">
        <w:rPr>
          <w:szCs w:val="20"/>
        </w:rPr>
        <w:t xml:space="preserve">21-33.  </w:t>
      </w:r>
    </w:p>
  </w:footnote>
  <w:footnote w:id="8">
    <w:p w:rsidR="009F654C" w:rsidRPr="008704AD" w:rsidRDefault="009F654C" w:rsidP="009F654C">
      <w:pPr>
        <w:pStyle w:val="FootnoteText"/>
        <w:rPr>
          <w:szCs w:val="20"/>
        </w:rPr>
      </w:pPr>
      <w:r w:rsidRPr="008704AD">
        <w:rPr>
          <w:rStyle w:val="FootnoteReference"/>
          <w:szCs w:val="20"/>
        </w:rPr>
        <w:footnoteRef/>
      </w:r>
      <w:r w:rsidRPr="008704AD">
        <w:rPr>
          <w:szCs w:val="20"/>
        </w:rPr>
        <w:t xml:space="preserve"> </w:t>
      </w:r>
      <w:r w:rsidR="00852BAD">
        <w:rPr>
          <w:i/>
          <w:szCs w:val="20"/>
        </w:rPr>
        <w:t>Id.</w:t>
      </w:r>
      <w:r w:rsidRPr="008704AD">
        <w:rPr>
          <w:szCs w:val="20"/>
        </w:rPr>
        <w:t xml:space="preserve">, </w:t>
      </w:r>
      <w:r w:rsidR="00852BAD">
        <w:rPr>
          <w:szCs w:val="20"/>
        </w:rPr>
        <w:t xml:space="preserve">at </w:t>
      </w:r>
      <w:r w:rsidR="00501F99" w:rsidRPr="00501F99">
        <w:rPr>
          <w:szCs w:val="20"/>
        </w:rPr>
        <w:t xml:space="preserve">36.  </w:t>
      </w:r>
    </w:p>
  </w:footnote>
  <w:footnote w:id="9">
    <w:p w:rsidR="00AB1610" w:rsidRPr="008704AD" w:rsidRDefault="00501F99" w:rsidP="00AB1610">
      <w:pPr>
        <w:pStyle w:val="FootnoteText"/>
        <w:rPr>
          <w:szCs w:val="20"/>
        </w:rPr>
      </w:pPr>
      <w:r w:rsidRPr="00501F99">
        <w:rPr>
          <w:rStyle w:val="FootnoteReference"/>
          <w:szCs w:val="20"/>
        </w:rPr>
        <w:footnoteRef/>
      </w:r>
      <w:r w:rsidRPr="00501F99">
        <w:rPr>
          <w:szCs w:val="20"/>
        </w:rPr>
        <w:t xml:space="preserve"> Brief of Retail Electric Supply Association, </w:t>
      </w:r>
      <w:r w:rsidR="00753D50">
        <w:rPr>
          <w:szCs w:val="20"/>
        </w:rPr>
        <w:t>at</w:t>
      </w:r>
      <w:r w:rsidRPr="00501F99">
        <w:rPr>
          <w:szCs w:val="20"/>
        </w:rPr>
        <w:t xml:space="preserve"> 36.</w:t>
      </w:r>
    </w:p>
  </w:footnote>
  <w:footnote w:id="10">
    <w:p w:rsidR="00AB1610" w:rsidRPr="008704AD" w:rsidRDefault="00501F99" w:rsidP="00AB1610">
      <w:pPr>
        <w:pStyle w:val="FootnoteText"/>
        <w:rPr>
          <w:szCs w:val="20"/>
        </w:rPr>
      </w:pPr>
      <w:r w:rsidRPr="00501F99">
        <w:rPr>
          <w:rStyle w:val="FootnoteReference"/>
          <w:szCs w:val="20"/>
        </w:rPr>
        <w:footnoteRef/>
      </w:r>
      <w:r w:rsidRPr="00501F99">
        <w:rPr>
          <w:szCs w:val="20"/>
        </w:rPr>
        <w:t xml:space="preserve"> RESA Brief, </w:t>
      </w:r>
      <w:r w:rsidR="00AD2B01">
        <w:rPr>
          <w:szCs w:val="20"/>
        </w:rPr>
        <w:t>at</w:t>
      </w:r>
      <w:r w:rsidRPr="00501F99">
        <w:rPr>
          <w:szCs w:val="20"/>
        </w:rPr>
        <w:t xml:space="preserve"> 39.  See also, PJM Power Providers, and Energy Power Suppliers Assoc., Exhibit 12, </w:t>
      </w:r>
      <w:r w:rsidR="00637919">
        <w:rPr>
          <w:szCs w:val="20"/>
        </w:rPr>
        <w:t xml:space="preserve">at </w:t>
      </w:r>
      <w:r w:rsidRPr="00501F99">
        <w:rPr>
          <w:szCs w:val="20"/>
        </w:rPr>
        <w:t xml:space="preserve">21-22. </w:t>
      </w:r>
    </w:p>
  </w:footnote>
  <w:footnote w:id="11">
    <w:p w:rsidR="00423FC8" w:rsidRPr="008704AD" w:rsidRDefault="00501F99" w:rsidP="00423FC8">
      <w:pPr>
        <w:pStyle w:val="FootnoteText"/>
        <w:rPr>
          <w:szCs w:val="20"/>
        </w:rPr>
      </w:pPr>
      <w:r w:rsidRPr="00501F99">
        <w:rPr>
          <w:rStyle w:val="FootnoteReference"/>
          <w:szCs w:val="20"/>
        </w:rPr>
        <w:footnoteRef/>
      </w:r>
      <w:r w:rsidRPr="00501F99">
        <w:rPr>
          <w:szCs w:val="20"/>
        </w:rPr>
        <w:t xml:space="preserve"> IGS Brief, </w:t>
      </w:r>
      <w:r w:rsidR="00A94D5A">
        <w:rPr>
          <w:szCs w:val="20"/>
        </w:rPr>
        <w:t>at</w:t>
      </w:r>
      <w:r w:rsidRPr="00501F99">
        <w:rPr>
          <w:szCs w:val="20"/>
        </w:rPr>
        <w:t xml:space="preserve"> 6.</w:t>
      </w:r>
    </w:p>
  </w:footnote>
  <w:footnote w:id="12">
    <w:p w:rsidR="00423FC8" w:rsidRPr="008704AD" w:rsidRDefault="00501F99" w:rsidP="00423FC8">
      <w:pPr>
        <w:pStyle w:val="FootnoteText"/>
        <w:rPr>
          <w:szCs w:val="20"/>
        </w:rPr>
      </w:pPr>
      <w:r w:rsidRPr="00501F99">
        <w:rPr>
          <w:rStyle w:val="FootnoteReference"/>
          <w:szCs w:val="20"/>
        </w:rPr>
        <w:footnoteRef/>
      </w:r>
      <w:r w:rsidRPr="00501F99">
        <w:rPr>
          <w:szCs w:val="20"/>
        </w:rPr>
        <w:t xml:space="preserve"> IGS Brief, </w:t>
      </w:r>
      <w:r w:rsidR="00A94D5A">
        <w:rPr>
          <w:szCs w:val="20"/>
        </w:rPr>
        <w:t xml:space="preserve">at </w:t>
      </w:r>
      <w:r w:rsidRPr="00501F99">
        <w:rPr>
          <w:szCs w:val="20"/>
        </w:rPr>
        <w:t>3-4.</w:t>
      </w:r>
    </w:p>
  </w:footnote>
  <w:footnote w:id="13">
    <w:p w:rsidR="00C25791" w:rsidRPr="008704AD" w:rsidRDefault="00501F99" w:rsidP="00241539">
      <w:pPr>
        <w:pStyle w:val="FootnoteText"/>
        <w:rPr>
          <w:szCs w:val="20"/>
        </w:rPr>
      </w:pPr>
      <w:r>
        <w:rPr>
          <w:rStyle w:val="FootnoteReference"/>
          <w:szCs w:val="20"/>
        </w:rPr>
        <w:footnoteRef/>
      </w:r>
      <w:r w:rsidRPr="00501F99">
        <w:rPr>
          <w:szCs w:val="20"/>
        </w:rPr>
        <w:t xml:space="preserve"> </w:t>
      </w:r>
      <w:r w:rsidRPr="00501F99">
        <w:rPr>
          <w:i/>
          <w:szCs w:val="20"/>
        </w:rPr>
        <w:t>See, e.g.,</w:t>
      </w:r>
      <w:r w:rsidRPr="00501F99">
        <w:rPr>
          <w:szCs w:val="20"/>
        </w:rPr>
        <w:t xml:space="preserve"> Ohio Rev. Code § 4928.02(H) (stating that it is the policy of Ohio to “[e]nsure effective competition in the provision of retail electric service by avoiding anticompetitive subsidies flowing from a noncompetitive retail electric service to a competitive retail electric service . . . and vice versa. . . .”)</w:t>
      </w:r>
    </w:p>
  </w:footnote>
  <w:footnote w:id="14">
    <w:p w:rsidR="00C25791" w:rsidRPr="008704AD" w:rsidRDefault="00501F99" w:rsidP="00241539">
      <w:pPr>
        <w:pStyle w:val="FootnoteText"/>
        <w:rPr>
          <w:szCs w:val="20"/>
        </w:rPr>
      </w:pPr>
      <w:r>
        <w:rPr>
          <w:rStyle w:val="FootnoteReference"/>
          <w:szCs w:val="20"/>
        </w:rPr>
        <w:footnoteRef/>
      </w:r>
      <w:r w:rsidRPr="00501F99">
        <w:rPr>
          <w:szCs w:val="20"/>
        </w:rPr>
        <w:t xml:space="preserve"> </w:t>
      </w:r>
      <w:r w:rsidRPr="00501F99">
        <w:rPr>
          <w:i/>
          <w:szCs w:val="20"/>
        </w:rPr>
        <w:t>See id.</w:t>
      </w:r>
      <w:r w:rsidRPr="00501F99">
        <w:rPr>
          <w:szCs w:val="20"/>
        </w:rPr>
        <w:t xml:space="preserve">; </w:t>
      </w:r>
      <w:r w:rsidRPr="00501F99">
        <w:rPr>
          <w:i/>
          <w:szCs w:val="20"/>
        </w:rPr>
        <w:t>see also</w:t>
      </w:r>
      <w:r w:rsidRPr="00501F99">
        <w:rPr>
          <w:szCs w:val="20"/>
        </w:rPr>
        <w:t xml:space="preserve"> Ohio Rev. Code § 4928.17 (discussing the requirement of corporate separation between regulated and unregulated affiliates).</w:t>
      </w:r>
    </w:p>
  </w:footnote>
  <w:footnote w:id="15">
    <w:p w:rsidR="00C9793D" w:rsidRPr="008704AD" w:rsidRDefault="00501F99">
      <w:pPr>
        <w:pStyle w:val="FootnoteText"/>
        <w:rPr>
          <w:szCs w:val="20"/>
        </w:rPr>
      </w:pPr>
      <w:r w:rsidRPr="00501F99">
        <w:rPr>
          <w:rStyle w:val="FootnoteReference"/>
          <w:szCs w:val="20"/>
        </w:rPr>
        <w:footnoteRef/>
      </w:r>
      <w:r w:rsidRPr="00501F99">
        <w:rPr>
          <w:szCs w:val="20"/>
        </w:rPr>
        <w:t xml:space="preserve"> See Amended Senate Bill 3, as later amended by Substitute Senate Bill 221.</w:t>
      </w:r>
    </w:p>
  </w:footnote>
  <w:footnote w:id="16">
    <w:p w:rsidR="0086734F" w:rsidRPr="00216CD0" w:rsidRDefault="0086734F" w:rsidP="004910D2">
      <w:pPr>
        <w:pStyle w:val="FootnoteText"/>
        <w:rPr>
          <w:szCs w:val="20"/>
        </w:rPr>
      </w:pPr>
      <w:r w:rsidRPr="00216CD0">
        <w:rPr>
          <w:rStyle w:val="FootnoteReference"/>
          <w:szCs w:val="20"/>
        </w:rPr>
        <w:footnoteRef/>
      </w:r>
      <w:r w:rsidRPr="00216CD0">
        <w:rPr>
          <w:szCs w:val="20"/>
        </w:rPr>
        <w:t xml:space="preserve"> </w:t>
      </w:r>
      <w:r w:rsidRPr="00216CD0">
        <w:rPr>
          <w:i/>
          <w:szCs w:val="20"/>
        </w:rPr>
        <w:t>See</w:t>
      </w:r>
      <w:r w:rsidRPr="00216CD0">
        <w:rPr>
          <w:szCs w:val="20"/>
        </w:rPr>
        <w:t xml:space="preserve"> Independent Market Monitor for PJM’s Brief, at 5–8; and OMAEG’s Brief, at 24–25.</w:t>
      </w:r>
    </w:p>
  </w:footnote>
  <w:footnote w:id="17">
    <w:p w:rsidR="00514AA5" w:rsidRDefault="0086734F">
      <w:pPr>
        <w:pStyle w:val="FootnoteText"/>
        <w:rPr>
          <w:szCs w:val="20"/>
        </w:rPr>
      </w:pPr>
      <w:r w:rsidRPr="00216CD0">
        <w:rPr>
          <w:rStyle w:val="FootnoteReference"/>
          <w:szCs w:val="20"/>
        </w:rPr>
        <w:footnoteRef/>
      </w:r>
      <w:r w:rsidRPr="00216CD0">
        <w:rPr>
          <w:szCs w:val="20"/>
        </w:rPr>
        <w:t xml:space="preserve"> OMAEG Ex. 29</w:t>
      </w:r>
      <w:r w:rsidR="00F63CAA">
        <w:rPr>
          <w:szCs w:val="20"/>
        </w:rPr>
        <w:t>,</w:t>
      </w:r>
      <w:r w:rsidRPr="00216CD0">
        <w:rPr>
          <w:szCs w:val="20"/>
        </w:rPr>
        <w:t xml:space="preserve"> at 12–13 (Dr. Hill  Direct Testimony).</w:t>
      </w:r>
    </w:p>
  </w:footnote>
  <w:footnote w:id="18">
    <w:p w:rsidR="0086734F" w:rsidRPr="000B530D" w:rsidRDefault="0086734F" w:rsidP="0086734F">
      <w:pPr>
        <w:pStyle w:val="FootnoteText"/>
      </w:pPr>
      <w:r>
        <w:rPr>
          <w:rStyle w:val="FootnoteReference"/>
        </w:rPr>
        <w:footnoteRef/>
      </w:r>
      <w:r>
        <w:t xml:space="preserve"> </w:t>
      </w:r>
      <w:r w:rsidRPr="000B530D">
        <w:t xml:space="preserve">See the February 16, 2016 </w:t>
      </w:r>
      <w:r>
        <w:rPr>
          <w:i/>
        </w:rPr>
        <w:t xml:space="preserve">Brief of the IMM, </w:t>
      </w:r>
      <w:r w:rsidR="00F63CAA">
        <w:t xml:space="preserve">at </w:t>
      </w:r>
      <w:r w:rsidRPr="000B530D">
        <w:t>2</w:t>
      </w:r>
      <w:r w:rsidR="00056979">
        <w:t>–</w:t>
      </w:r>
      <w:r w:rsidRPr="000B530D">
        <w:t>3.</w:t>
      </w:r>
    </w:p>
  </w:footnote>
  <w:footnote w:id="19">
    <w:p w:rsidR="008F7D31" w:rsidRDefault="008F7D31">
      <w:pPr>
        <w:pStyle w:val="FootnoteText"/>
      </w:pPr>
      <w:r>
        <w:rPr>
          <w:rStyle w:val="FootnoteReference"/>
        </w:rPr>
        <w:footnoteRef/>
      </w:r>
      <w:r>
        <w:t xml:space="preserve"> </w:t>
      </w:r>
      <w:r w:rsidR="00501F99" w:rsidRPr="00501F99">
        <w:t>See also</w:t>
      </w:r>
      <w:r>
        <w:rPr>
          <w:i/>
        </w:rPr>
        <w:t xml:space="preserve"> </w:t>
      </w:r>
      <w:r>
        <w:t>Testimony of Stephen Bennett, at 3.</w:t>
      </w:r>
    </w:p>
  </w:footnote>
  <w:footnote w:id="20">
    <w:p w:rsidR="0086734F" w:rsidRPr="000B530D" w:rsidRDefault="0086734F" w:rsidP="0086734F">
      <w:pPr>
        <w:pStyle w:val="FootnoteText"/>
      </w:pPr>
      <w:r>
        <w:rPr>
          <w:rStyle w:val="FootnoteReference"/>
        </w:rPr>
        <w:footnoteRef/>
      </w:r>
      <w:r>
        <w:t xml:space="preserve"> Id.</w:t>
      </w:r>
    </w:p>
  </w:footnote>
  <w:footnote w:id="21">
    <w:p w:rsidR="00514AA5" w:rsidRDefault="00501F99">
      <w:pPr>
        <w:rPr>
          <w:sz w:val="20"/>
          <w:szCs w:val="20"/>
        </w:rPr>
      </w:pPr>
      <w:r w:rsidRPr="00501F99">
        <w:rPr>
          <w:rStyle w:val="FootnoteReference"/>
          <w:sz w:val="20"/>
          <w:szCs w:val="20"/>
        </w:rPr>
        <w:footnoteRef/>
      </w:r>
      <w:r w:rsidRPr="00501F99">
        <w:rPr>
          <w:sz w:val="20"/>
          <w:szCs w:val="20"/>
        </w:rPr>
        <w:t xml:space="preserve"> </w:t>
      </w:r>
      <w:r w:rsidRPr="00501F99">
        <w:rPr>
          <w:rStyle w:val="ft"/>
          <w:sz w:val="20"/>
          <w:szCs w:val="20"/>
          <w:shd w:val="clear" w:color="auto" w:fill="FFFFFF"/>
        </w:rPr>
        <w:t xml:space="preserve">The United States Supreme Court granted </w:t>
      </w:r>
      <w:r w:rsidRPr="00501F99">
        <w:rPr>
          <w:rStyle w:val="ft"/>
          <w:i/>
          <w:sz w:val="20"/>
          <w:szCs w:val="20"/>
          <w:shd w:val="clear" w:color="auto" w:fill="FFFFFF"/>
        </w:rPr>
        <w:t>certiorari</w:t>
      </w:r>
      <w:r w:rsidRPr="00501F99">
        <w:rPr>
          <w:rStyle w:val="ft"/>
          <w:sz w:val="20"/>
          <w:szCs w:val="20"/>
          <w:shd w:val="clear" w:color="auto" w:fill="FFFFFF"/>
        </w:rPr>
        <w:t xml:space="preserve"> in these cases and heard oral arguments on February 24, 2016.  See docket of the United States Supreme Court, </w:t>
      </w:r>
      <w:r w:rsidRPr="00501F99">
        <w:rPr>
          <w:rStyle w:val="ft"/>
          <w:i/>
          <w:sz w:val="20"/>
          <w:szCs w:val="20"/>
          <w:shd w:val="clear" w:color="auto" w:fill="FFFFFF"/>
        </w:rPr>
        <w:t xml:space="preserve">sub nom.  </w:t>
      </w:r>
      <w:r w:rsidRPr="00501F99">
        <w:rPr>
          <w:i/>
          <w:sz w:val="20"/>
          <w:szCs w:val="20"/>
          <w:shd w:val="clear" w:color="auto" w:fill="FFFFFF"/>
        </w:rPr>
        <w:t xml:space="preserve">Hughes et al. v. Talen Energy Marketing, et al,  </w:t>
      </w:r>
      <w:r w:rsidRPr="00501F99">
        <w:rPr>
          <w:sz w:val="20"/>
          <w:szCs w:val="20"/>
          <w:shd w:val="clear" w:color="auto" w:fill="FFFFFF"/>
        </w:rPr>
        <w:t xml:space="preserve"> and </w:t>
      </w:r>
      <w:r w:rsidRPr="00501F99">
        <w:rPr>
          <w:i/>
          <w:sz w:val="20"/>
          <w:szCs w:val="20"/>
          <w:shd w:val="clear" w:color="auto" w:fill="FFFFFF"/>
        </w:rPr>
        <w:t xml:space="preserve">CPV Maryland LLC et al. v. Talen Energy Marketing, et al. </w:t>
      </w:r>
      <w:r w:rsidRPr="00501F99">
        <w:rPr>
          <w:sz w:val="20"/>
          <w:szCs w:val="20"/>
          <w:shd w:val="clear" w:color="auto" w:fill="FFFFFF"/>
        </w:rPr>
        <w:t xml:space="preserve">Cases No. 14-614, 14-623, 14-634 and 14-694.  Industry accounts of those arguments strongly suggest that the Court appears inclined to affirm the decision of the appellate courts.  </w:t>
      </w:r>
      <w:r w:rsidRPr="00501F99">
        <w:rPr>
          <w:i/>
          <w:sz w:val="20"/>
          <w:szCs w:val="20"/>
          <w:shd w:val="clear" w:color="auto" w:fill="FFFFFF"/>
        </w:rPr>
        <w:t>See</w:t>
      </w:r>
      <w:r w:rsidR="00450EA9">
        <w:rPr>
          <w:i/>
          <w:sz w:val="20"/>
          <w:szCs w:val="20"/>
          <w:shd w:val="clear" w:color="auto" w:fill="FFFFFF"/>
        </w:rPr>
        <w:t>,</w:t>
      </w:r>
      <w:r w:rsidRPr="00501F99">
        <w:rPr>
          <w:i/>
          <w:sz w:val="20"/>
          <w:szCs w:val="20"/>
          <w:shd w:val="clear" w:color="auto" w:fill="FFFFFF"/>
        </w:rPr>
        <w:t xml:space="preserve"> e.g</w:t>
      </w:r>
      <w:r w:rsidR="00450EA9">
        <w:rPr>
          <w:i/>
          <w:sz w:val="20"/>
          <w:szCs w:val="20"/>
          <w:shd w:val="clear" w:color="auto" w:fill="FFFFFF"/>
        </w:rPr>
        <w:t>,</w:t>
      </w:r>
      <w:r w:rsidRPr="00501F99">
        <w:rPr>
          <w:i/>
          <w:sz w:val="20"/>
          <w:szCs w:val="20"/>
          <w:shd w:val="clear" w:color="auto" w:fill="FFFFFF"/>
        </w:rPr>
        <w:t xml:space="preserve">. </w:t>
      </w:r>
      <w:hyperlink r:id="rId2" w:history="1">
        <w:r w:rsidRPr="00501F99">
          <w:rPr>
            <w:rStyle w:val="Hyperlink"/>
            <w:i/>
            <w:sz w:val="20"/>
            <w:szCs w:val="20"/>
            <w:shd w:val="clear" w:color="auto" w:fill="FFFFFF"/>
          </w:rPr>
          <w:t>http://www.rtoinsider.com/supreme-court-cpv-md-22483/</w:t>
        </w:r>
      </w:hyperlink>
      <w:r w:rsidRPr="00501F99">
        <w:rPr>
          <w:sz w:val="20"/>
          <w:szCs w:val="20"/>
          <w:shd w:val="clear" w:color="auto" w:fill="FFFFFF"/>
        </w:rPr>
        <w:t>.</w:t>
      </w:r>
    </w:p>
    <w:p w:rsidR="002F3227" w:rsidRPr="008704AD" w:rsidRDefault="002F3227" w:rsidP="002F3227">
      <w:pPr>
        <w:pStyle w:val="FootnoteText"/>
        <w:rPr>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3AB"/>
    <w:multiLevelType w:val="hybridMultilevel"/>
    <w:tmpl w:val="597C47FA"/>
    <w:lvl w:ilvl="0" w:tplc="D098EDB4">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0E761F"/>
    <w:multiLevelType w:val="hybridMultilevel"/>
    <w:tmpl w:val="A84858A0"/>
    <w:lvl w:ilvl="0" w:tplc="97E018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7343FE"/>
    <w:multiLevelType w:val="hybridMultilevel"/>
    <w:tmpl w:val="E71A62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101E51"/>
    <w:multiLevelType w:val="hybridMultilevel"/>
    <w:tmpl w:val="95AEA3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3121F8"/>
    <w:multiLevelType w:val="hybridMultilevel"/>
    <w:tmpl w:val="727ED5C6"/>
    <w:lvl w:ilvl="0" w:tplc="D11EF65A">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A3907"/>
    <w:multiLevelType w:val="multilevel"/>
    <w:tmpl w:val="8AB820D0"/>
    <w:name w:val="zzmpSPF5093||SPF5093|3|1|1|1|0|45||1|0|37||1|0|33||1|0|33||1|0|33||1|0|33||1|0|33||1|0|32||1|0|32||"/>
    <w:lvl w:ilvl="0">
      <w:start w:val="1"/>
      <w:numFmt w:val="upperRoman"/>
      <w:lvlRestart w:val="0"/>
      <w:pStyle w:val="SPF5093L1"/>
      <w:lvlText w:val="%1."/>
      <w:lvlJc w:val="left"/>
      <w:pPr>
        <w:tabs>
          <w:tab w:val="num" w:pos="720"/>
        </w:tabs>
        <w:ind w:left="720" w:hanging="720"/>
      </w:pPr>
      <w:rPr>
        <w:rFonts w:ascii="Times New Roman" w:hAnsi="Times New Roman" w:cs="Times New Roman"/>
        <w:b/>
        <w:i w:val="0"/>
        <w:caps/>
        <w:smallCaps w:val="0"/>
        <w:sz w:val="24"/>
        <w:u w:val="none"/>
      </w:rPr>
    </w:lvl>
    <w:lvl w:ilvl="1">
      <w:start w:val="1"/>
      <w:numFmt w:val="upperLetter"/>
      <w:pStyle w:val="SPF5093L2"/>
      <w:lvlText w:val="%2."/>
      <w:lvlJc w:val="left"/>
      <w:pPr>
        <w:tabs>
          <w:tab w:val="num" w:pos="1440"/>
        </w:tabs>
        <w:ind w:left="1440" w:hanging="720"/>
      </w:pPr>
      <w:rPr>
        <w:rFonts w:ascii="Times New Roman" w:hAnsi="Times New Roman" w:cs="Times New Roman"/>
        <w:b/>
        <w:i w:val="0"/>
        <w:caps w:val="0"/>
        <w:sz w:val="24"/>
        <w:u w:val="none"/>
      </w:rPr>
    </w:lvl>
    <w:lvl w:ilvl="2">
      <w:start w:val="1"/>
      <w:numFmt w:val="decimal"/>
      <w:pStyle w:val="SPF5093L3"/>
      <w:lvlText w:val="%3."/>
      <w:lvlJc w:val="left"/>
      <w:pPr>
        <w:tabs>
          <w:tab w:val="num" w:pos="2160"/>
        </w:tabs>
        <w:ind w:left="2160" w:hanging="720"/>
      </w:pPr>
      <w:rPr>
        <w:rFonts w:ascii="Times New Roman" w:hAnsi="Times New Roman" w:cs="Times New Roman"/>
        <w:b/>
        <w:i w:val="0"/>
        <w:caps w:val="0"/>
        <w:sz w:val="24"/>
        <w:u w:val="none"/>
      </w:rPr>
    </w:lvl>
    <w:lvl w:ilvl="3">
      <w:start w:val="1"/>
      <w:numFmt w:val="lowerLetter"/>
      <w:pStyle w:val="SPF5093L4"/>
      <w:lvlText w:val="%4."/>
      <w:lvlJc w:val="left"/>
      <w:pPr>
        <w:tabs>
          <w:tab w:val="num" w:pos="2880"/>
        </w:tabs>
        <w:ind w:left="2880" w:hanging="720"/>
      </w:pPr>
      <w:rPr>
        <w:rFonts w:ascii="Times New Roman" w:hAnsi="Times New Roman" w:cs="Times New Roman"/>
        <w:b/>
        <w:i w:val="0"/>
        <w:caps w:val="0"/>
        <w:sz w:val="24"/>
        <w:u w:val="none"/>
      </w:rPr>
    </w:lvl>
    <w:lvl w:ilvl="4">
      <w:start w:val="1"/>
      <w:numFmt w:val="decimal"/>
      <w:pStyle w:val="SPF5093L5"/>
      <w:lvlText w:val="(%5)"/>
      <w:lvlJc w:val="left"/>
      <w:pPr>
        <w:tabs>
          <w:tab w:val="num" w:pos="3600"/>
        </w:tabs>
        <w:ind w:left="3600" w:hanging="720"/>
      </w:pPr>
      <w:rPr>
        <w:rFonts w:ascii="Times New Roman" w:hAnsi="Times New Roman" w:cs="Times New Roman"/>
        <w:b/>
        <w:i w:val="0"/>
        <w:caps w:val="0"/>
        <w:sz w:val="24"/>
        <w:u w:val="none"/>
      </w:rPr>
    </w:lvl>
    <w:lvl w:ilvl="5">
      <w:start w:val="1"/>
      <w:numFmt w:val="lowerLetter"/>
      <w:pStyle w:val="SPF5093L6"/>
      <w:lvlText w:val="(%6)"/>
      <w:lvlJc w:val="left"/>
      <w:pPr>
        <w:tabs>
          <w:tab w:val="num" w:pos="4320"/>
        </w:tabs>
        <w:ind w:left="4320" w:hanging="720"/>
      </w:pPr>
      <w:rPr>
        <w:rFonts w:ascii="Times New Roman" w:hAnsi="Times New Roman" w:cs="Times New Roman"/>
        <w:b/>
        <w:i w:val="0"/>
        <w:caps w:val="0"/>
        <w:sz w:val="24"/>
        <w:u w:val="none"/>
      </w:rPr>
    </w:lvl>
    <w:lvl w:ilvl="6">
      <w:start w:val="1"/>
      <w:numFmt w:val="lowerRoman"/>
      <w:pStyle w:val="SPF5093L7"/>
      <w:lvlText w:val="(%7)"/>
      <w:lvlJc w:val="left"/>
      <w:pPr>
        <w:tabs>
          <w:tab w:val="num" w:pos="5040"/>
        </w:tabs>
        <w:ind w:left="5040" w:hanging="720"/>
      </w:pPr>
      <w:rPr>
        <w:rFonts w:ascii="Times New Roman" w:hAnsi="Times New Roman" w:cs="Times New Roman"/>
        <w:b/>
        <w:i w:val="0"/>
        <w:caps w:val="0"/>
        <w:sz w:val="24"/>
        <w:u w:val="none"/>
      </w:rPr>
    </w:lvl>
    <w:lvl w:ilvl="7">
      <w:start w:val="1"/>
      <w:numFmt w:val="lowerLetter"/>
      <w:pStyle w:val="SPF5093L8"/>
      <w:lvlText w:val="%8)"/>
      <w:lvlJc w:val="left"/>
      <w:pPr>
        <w:tabs>
          <w:tab w:val="num" w:pos="5760"/>
        </w:tabs>
        <w:ind w:left="5760" w:hanging="720"/>
      </w:pPr>
      <w:rPr>
        <w:rFonts w:ascii="Times New Roman" w:hAnsi="Times New Roman" w:cs="Times New Roman"/>
        <w:b/>
        <w:i w:val="0"/>
        <w:caps w:val="0"/>
        <w:sz w:val="24"/>
        <w:u w:val="none"/>
      </w:rPr>
    </w:lvl>
    <w:lvl w:ilvl="8">
      <w:start w:val="1"/>
      <w:numFmt w:val="lowerRoman"/>
      <w:pStyle w:val="SPF5093L9"/>
      <w:lvlText w:val="%9)"/>
      <w:lvlJc w:val="left"/>
      <w:pPr>
        <w:tabs>
          <w:tab w:val="num" w:pos="6480"/>
        </w:tabs>
        <w:ind w:left="6480" w:hanging="720"/>
      </w:pPr>
      <w:rPr>
        <w:rFonts w:ascii="Times New Roman" w:hAnsi="Times New Roman" w:cs="Times New Roman"/>
        <w:b/>
        <w:i w:val="0"/>
        <w:caps w:val="0"/>
        <w:sz w:val="24"/>
        <w:u w:val="none"/>
      </w:rPr>
    </w:lvl>
  </w:abstractNum>
  <w:abstractNum w:abstractNumId="6">
    <w:nsid w:val="3D440B9D"/>
    <w:multiLevelType w:val="hybridMultilevel"/>
    <w:tmpl w:val="C0D64910"/>
    <w:lvl w:ilvl="0" w:tplc="0B88E5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46138"/>
    <w:multiLevelType w:val="hybridMultilevel"/>
    <w:tmpl w:val="1C86ADE4"/>
    <w:lvl w:ilvl="0" w:tplc="026685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7056CE"/>
    <w:multiLevelType w:val="hybridMultilevel"/>
    <w:tmpl w:val="A4D625BE"/>
    <w:lvl w:ilvl="0" w:tplc="152A6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557C7D"/>
    <w:multiLevelType w:val="hybridMultilevel"/>
    <w:tmpl w:val="5A2CE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A1A89"/>
    <w:multiLevelType w:val="hybridMultilevel"/>
    <w:tmpl w:val="D408DDAE"/>
    <w:lvl w:ilvl="0" w:tplc="F5CC2E82">
      <w:start w:val="1"/>
      <w:numFmt w:val="upperLetter"/>
      <w:lvlText w:val="%1."/>
      <w:lvlJc w:val="left"/>
      <w:pPr>
        <w:ind w:left="1080" w:hanging="360"/>
      </w:pPr>
      <w:rPr>
        <w:rFonts w:ascii="Times New Roman" w:hAnsi="Times New Roman" w:cs="Times New Roman" w:hint="default"/>
        <w:b/>
        <w:sz w:val="24"/>
        <w:szCs w:val="24"/>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5D2445"/>
    <w:multiLevelType w:val="hybridMultilevel"/>
    <w:tmpl w:val="DF0C7158"/>
    <w:lvl w:ilvl="0" w:tplc="3856BD1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544BA6"/>
    <w:multiLevelType w:val="hybridMultilevel"/>
    <w:tmpl w:val="8FB4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052C53"/>
    <w:multiLevelType w:val="hybridMultilevel"/>
    <w:tmpl w:val="A6128984"/>
    <w:lvl w:ilvl="0" w:tplc="BD7842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A539A5"/>
    <w:multiLevelType w:val="hybridMultilevel"/>
    <w:tmpl w:val="A2287E5C"/>
    <w:lvl w:ilvl="0" w:tplc="D098EDB4">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9"/>
  </w:num>
  <w:num w:numId="3">
    <w:abstractNumId w:val="12"/>
  </w:num>
  <w:num w:numId="4">
    <w:abstractNumId w:val="13"/>
  </w:num>
  <w:num w:numId="5">
    <w:abstractNumId w:val="6"/>
  </w:num>
  <w:num w:numId="6">
    <w:abstractNumId w:val="2"/>
  </w:num>
  <w:num w:numId="7">
    <w:abstractNumId w:val="7"/>
  </w:num>
  <w:num w:numId="8">
    <w:abstractNumId w:val="4"/>
  </w:num>
  <w:num w:numId="9">
    <w:abstractNumId w:val="10"/>
  </w:num>
  <w:num w:numId="10">
    <w:abstractNumId w:val="1"/>
  </w:num>
  <w:num w:numId="11">
    <w:abstractNumId w:val="14"/>
  </w:num>
  <w:num w:numId="12">
    <w:abstractNumId w:val="0"/>
  </w:num>
  <w:num w:numId="13">
    <w:abstractNumId w:val="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51"/>
    <w:rsid w:val="00000F1D"/>
    <w:rsid w:val="0000366D"/>
    <w:rsid w:val="00004596"/>
    <w:rsid w:val="00004A0D"/>
    <w:rsid w:val="00005EE5"/>
    <w:rsid w:val="0000692A"/>
    <w:rsid w:val="000134B3"/>
    <w:rsid w:val="00015C3B"/>
    <w:rsid w:val="00017B5D"/>
    <w:rsid w:val="00023823"/>
    <w:rsid w:val="00026591"/>
    <w:rsid w:val="00030D26"/>
    <w:rsid w:val="00030DB8"/>
    <w:rsid w:val="00036367"/>
    <w:rsid w:val="00036889"/>
    <w:rsid w:val="00041FDD"/>
    <w:rsid w:val="00043285"/>
    <w:rsid w:val="00044A15"/>
    <w:rsid w:val="00044BB5"/>
    <w:rsid w:val="000500FC"/>
    <w:rsid w:val="00050752"/>
    <w:rsid w:val="00052126"/>
    <w:rsid w:val="00052705"/>
    <w:rsid w:val="00054782"/>
    <w:rsid w:val="00056979"/>
    <w:rsid w:val="0005722E"/>
    <w:rsid w:val="00062B30"/>
    <w:rsid w:val="00064C2A"/>
    <w:rsid w:val="00064D86"/>
    <w:rsid w:val="000659B1"/>
    <w:rsid w:val="00074D03"/>
    <w:rsid w:val="0007611D"/>
    <w:rsid w:val="00076D16"/>
    <w:rsid w:val="00082D77"/>
    <w:rsid w:val="000834A2"/>
    <w:rsid w:val="00083E1E"/>
    <w:rsid w:val="00085B7E"/>
    <w:rsid w:val="000903A4"/>
    <w:rsid w:val="000A356F"/>
    <w:rsid w:val="000A6A2A"/>
    <w:rsid w:val="000B0367"/>
    <w:rsid w:val="000B3349"/>
    <w:rsid w:val="000B56F0"/>
    <w:rsid w:val="000C0624"/>
    <w:rsid w:val="000C1A7D"/>
    <w:rsid w:val="000C1BDD"/>
    <w:rsid w:val="000C283D"/>
    <w:rsid w:val="000C6366"/>
    <w:rsid w:val="000C6F88"/>
    <w:rsid w:val="000C79C1"/>
    <w:rsid w:val="000D02F8"/>
    <w:rsid w:val="000D0848"/>
    <w:rsid w:val="000D2E53"/>
    <w:rsid w:val="000D53EA"/>
    <w:rsid w:val="000D5E67"/>
    <w:rsid w:val="000D6BA4"/>
    <w:rsid w:val="000E422C"/>
    <w:rsid w:val="000E4349"/>
    <w:rsid w:val="000E563E"/>
    <w:rsid w:val="000E5933"/>
    <w:rsid w:val="000E5D0D"/>
    <w:rsid w:val="000E622F"/>
    <w:rsid w:val="000E7449"/>
    <w:rsid w:val="000F157B"/>
    <w:rsid w:val="000F6F69"/>
    <w:rsid w:val="000F7053"/>
    <w:rsid w:val="00101C11"/>
    <w:rsid w:val="00103D1A"/>
    <w:rsid w:val="0010422C"/>
    <w:rsid w:val="001072D4"/>
    <w:rsid w:val="00107428"/>
    <w:rsid w:val="00110809"/>
    <w:rsid w:val="00110BD6"/>
    <w:rsid w:val="00110DF4"/>
    <w:rsid w:val="001121AA"/>
    <w:rsid w:val="00113242"/>
    <w:rsid w:val="00113DF5"/>
    <w:rsid w:val="00114C50"/>
    <w:rsid w:val="00121589"/>
    <w:rsid w:val="001229FF"/>
    <w:rsid w:val="00122CF3"/>
    <w:rsid w:val="00124DB8"/>
    <w:rsid w:val="001267FA"/>
    <w:rsid w:val="00131B23"/>
    <w:rsid w:val="00133635"/>
    <w:rsid w:val="00134415"/>
    <w:rsid w:val="00134F0B"/>
    <w:rsid w:val="001351AC"/>
    <w:rsid w:val="00135221"/>
    <w:rsid w:val="001367CB"/>
    <w:rsid w:val="001433FB"/>
    <w:rsid w:val="00151EF6"/>
    <w:rsid w:val="0015205E"/>
    <w:rsid w:val="00157A3A"/>
    <w:rsid w:val="00160BF6"/>
    <w:rsid w:val="00163D27"/>
    <w:rsid w:val="001654A7"/>
    <w:rsid w:val="00172DF8"/>
    <w:rsid w:val="00174F0A"/>
    <w:rsid w:val="0017751A"/>
    <w:rsid w:val="001828BF"/>
    <w:rsid w:val="00183046"/>
    <w:rsid w:val="00185C69"/>
    <w:rsid w:val="00185F55"/>
    <w:rsid w:val="001873FD"/>
    <w:rsid w:val="00191A97"/>
    <w:rsid w:val="001A44ED"/>
    <w:rsid w:val="001A4E33"/>
    <w:rsid w:val="001B6360"/>
    <w:rsid w:val="001C021B"/>
    <w:rsid w:val="001C0C2B"/>
    <w:rsid w:val="001C20F9"/>
    <w:rsid w:val="001C24C9"/>
    <w:rsid w:val="001C3067"/>
    <w:rsid w:val="001C3F02"/>
    <w:rsid w:val="001C4F45"/>
    <w:rsid w:val="001C61B5"/>
    <w:rsid w:val="001D220E"/>
    <w:rsid w:val="001D247A"/>
    <w:rsid w:val="001D512C"/>
    <w:rsid w:val="001D594E"/>
    <w:rsid w:val="001E1D0B"/>
    <w:rsid w:val="001E2239"/>
    <w:rsid w:val="001E2785"/>
    <w:rsid w:val="001E7AEE"/>
    <w:rsid w:val="001E7CCB"/>
    <w:rsid w:val="001F0924"/>
    <w:rsid w:val="001F27BB"/>
    <w:rsid w:val="001F3F07"/>
    <w:rsid w:val="001F5A7D"/>
    <w:rsid w:val="001F6C74"/>
    <w:rsid w:val="00206783"/>
    <w:rsid w:val="00211CA3"/>
    <w:rsid w:val="0021542D"/>
    <w:rsid w:val="00217907"/>
    <w:rsid w:val="00217AFD"/>
    <w:rsid w:val="002217E6"/>
    <w:rsid w:val="002302D6"/>
    <w:rsid w:val="00230FAD"/>
    <w:rsid w:val="0023310D"/>
    <w:rsid w:val="00235EC1"/>
    <w:rsid w:val="002367AE"/>
    <w:rsid w:val="00237618"/>
    <w:rsid w:val="00237DFB"/>
    <w:rsid w:val="00241539"/>
    <w:rsid w:val="002456E1"/>
    <w:rsid w:val="002513DE"/>
    <w:rsid w:val="002537F4"/>
    <w:rsid w:val="0025572A"/>
    <w:rsid w:val="00256D55"/>
    <w:rsid w:val="0026109E"/>
    <w:rsid w:val="00261406"/>
    <w:rsid w:val="002619BB"/>
    <w:rsid w:val="00265207"/>
    <w:rsid w:val="002658B3"/>
    <w:rsid w:val="00267FD1"/>
    <w:rsid w:val="00272C4D"/>
    <w:rsid w:val="002738CE"/>
    <w:rsid w:val="00273C67"/>
    <w:rsid w:val="00277CC3"/>
    <w:rsid w:val="0028280C"/>
    <w:rsid w:val="00285149"/>
    <w:rsid w:val="00286A8C"/>
    <w:rsid w:val="00290A75"/>
    <w:rsid w:val="00291AED"/>
    <w:rsid w:val="00291F10"/>
    <w:rsid w:val="00293B7A"/>
    <w:rsid w:val="002A046C"/>
    <w:rsid w:val="002A35F4"/>
    <w:rsid w:val="002A463D"/>
    <w:rsid w:val="002A606C"/>
    <w:rsid w:val="002A79D0"/>
    <w:rsid w:val="002B25A5"/>
    <w:rsid w:val="002B7D4A"/>
    <w:rsid w:val="002C1173"/>
    <w:rsid w:val="002C1D04"/>
    <w:rsid w:val="002C324F"/>
    <w:rsid w:val="002C32E5"/>
    <w:rsid w:val="002C41D3"/>
    <w:rsid w:val="002C501E"/>
    <w:rsid w:val="002C7560"/>
    <w:rsid w:val="002D33B5"/>
    <w:rsid w:val="002D355D"/>
    <w:rsid w:val="002D4B5B"/>
    <w:rsid w:val="002E3926"/>
    <w:rsid w:val="002F08B0"/>
    <w:rsid w:val="002F108B"/>
    <w:rsid w:val="002F3227"/>
    <w:rsid w:val="002F5944"/>
    <w:rsid w:val="0030153A"/>
    <w:rsid w:val="00310369"/>
    <w:rsid w:val="00313A37"/>
    <w:rsid w:val="003142C8"/>
    <w:rsid w:val="003146C7"/>
    <w:rsid w:val="00315B80"/>
    <w:rsid w:val="00317D8C"/>
    <w:rsid w:val="0032112F"/>
    <w:rsid w:val="00322621"/>
    <w:rsid w:val="00323F55"/>
    <w:rsid w:val="00325266"/>
    <w:rsid w:val="00331AA5"/>
    <w:rsid w:val="00334D97"/>
    <w:rsid w:val="00335712"/>
    <w:rsid w:val="00337800"/>
    <w:rsid w:val="00337FCB"/>
    <w:rsid w:val="00341B9D"/>
    <w:rsid w:val="00341C01"/>
    <w:rsid w:val="0034213B"/>
    <w:rsid w:val="003460EA"/>
    <w:rsid w:val="003533C6"/>
    <w:rsid w:val="00355203"/>
    <w:rsid w:val="00360559"/>
    <w:rsid w:val="00361E54"/>
    <w:rsid w:val="00362442"/>
    <w:rsid w:val="00366F6F"/>
    <w:rsid w:val="00367B00"/>
    <w:rsid w:val="00370BB0"/>
    <w:rsid w:val="00374DA8"/>
    <w:rsid w:val="00385466"/>
    <w:rsid w:val="00385575"/>
    <w:rsid w:val="003863D8"/>
    <w:rsid w:val="00391CAD"/>
    <w:rsid w:val="00393091"/>
    <w:rsid w:val="003932F6"/>
    <w:rsid w:val="003943FD"/>
    <w:rsid w:val="00397796"/>
    <w:rsid w:val="003979BB"/>
    <w:rsid w:val="003A4D49"/>
    <w:rsid w:val="003A6D4A"/>
    <w:rsid w:val="003A74D3"/>
    <w:rsid w:val="003B131D"/>
    <w:rsid w:val="003B2392"/>
    <w:rsid w:val="003C0061"/>
    <w:rsid w:val="003C413D"/>
    <w:rsid w:val="003C4E3B"/>
    <w:rsid w:val="003C52A8"/>
    <w:rsid w:val="003C63A4"/>
    <w:rsid w:val="003C7815"/>
    <w:rsid w:val="003C7D39"/>
    <w:rsid w:val="003D52AC"/>
    <w:rsid w:val="003E14B1"/>
    <w:rsid w:val="003E48F1"/>
    <w:rsid w:val="003E49BF"/>
    <w:rsid w:val="003E74AD"/>
    <w:rsid w:val="003F235B"/>
    <w:rsid w:val="003F26D9"/>
    <w:rsid w:val="003F5855"/>
    <w:rsid w:val="003F6400"/>
    <w:rsid w:val="00404B3A"/>
    <w:rsid w:val="004102C4"/>
    <w:rsid w:val="00412487"/>
    <w:rsid w:val="00414F5F"/>
    <w:rsid w:val="00416081"/>
    <w:rsid w:val="00423FC8"/>
    <w:rsid w:val="00424D31"/>
    <w:rsid w:val="00426CBD"/>
    <w:rsid w:val="00431AF9"/>
    <w:rsid w:val="004351DB"/>
    <w:rsid w:val="00436416"/>
    <w:rsid w:val="0043760A"/>
    <w:rsid w:val="004447D2"/>
    <w:rsid w:val="00445DB5"/>
    <w:rsid w:val="00447A56"/>
    <w:rsid w:val="00450EA9"/>
    <w:rsid w:val="00451380"/>
    <w:rsid w:val="004553EE"/>
    <w:rsid w:val="00455FD9"/>
    <w:rsid w:val="00463633"/>
    <w:rsid w:val="0046409D"/>
    <w:rsid w:val="00466E28"/>
    <w:rsid w:val="00467672"/>
    <w:rsid w:val="004725DE"/>
    <w:rsid w:val="00475E1F"/>
    <w:rsid w:val="00477C5D"/>
    <w:rsid w:val="004800E8"/>
    <w:rsid w:val="00481C32"/>
    <w:rsid w:val="0048256D"/>
    <w:rsid w:val="00482702"/>
    <w:rsid w:val="00482721"/>
    <w:rsid w:val="004875E4"/>
    <w:rsid w:val="004910D2"/>
    <w:rsid w:val="004921BC"/>
    <w:rsid w:val="00494656"/>
    <w:rsid w:val="004949E7"/>
    <w:rsid w:val="00495784"/>
    <w:rsid w:val="00495FA8"/>
    <w:rsid w:val="004970A7"/>
    <w:rsid w:val="004A0E31"/>
    <w:rsid w:val="004A2203"/>
    <w:rsid w:val="004A4E61"/>
    <w:rsid w:val="004B46E4"/>
    <w:rsid w:val="004C1BB3"/>
    <w:rsid w:val="004C3178"/>
    <w:rsid w:val="004C4898"/>
    <w:rsid w:val="004C57D0"/>
    <w:rsid w:val="004C6D2A"/>
    <w:rsid w:val="004C792A"/>
    <w:rsid w:val="004C7951"/>
    <w:rsid w:val="004D0BED"/>
    <w:rsid w:val="004D0F2F"/>
    <w:rsid w:val="004D1645"/>
    <w:rsid w:val="004D5480"/>
    <w:rsid w:val="004D6472"/>
    <w:rsid w:val="004D72E5"/>
    <w:rsid w:val="004E2DD5"/>
    <w:rsid w:val="004E35C7"/>
    <w:rsid w:val="004E6E53"/>
    <w:rsid w:val="004F1236"/>
    <w:rsid w:val="00501F99"/>
    <w:rsid w:val="00506148"/>
    <w:rsid w:val="00506A2F"/>
    <w:rsid w:val="005136CC"/>
    <w:rsid w:val="00514AA5"/>
    <w:rsid w:val="00523AF4"/>
    <w:rsid w:val="005241F8"/>
    <w:rsid w:val="0052702C"/>
    <w:rsid w:val="005301EB"/>
    <w:rsid w:val="005317C5"/>
    <w:rsid w:val="0053415A"/>
    <w:rsid w:val="00536333"/>
    <w:rsid w:val="00536E1C"/>
    <w:rsid w:val="005431BB"/>
    <w:rsid w:val="00545AE6"/>
    <w:rsid w:val="00547389"/>
    <w:rsid w:val="0054738B"/>
    <w:rsid w:val="00547F29"/>
    <w:rsid w:val="0055137B"/>
    <w:rsid w:val="0055296A"/>
    <w:rsid w:val="0055361B"/>
    <w:rsid w:val="00555E38"/>
    <w:rsid w:val="00556D54"/>
    <w:rsid w:val="0056143B"/>
    <w:rsid w:val="00561FEC"/>
    <w:rsid w:val="0056235A"/>
    <w:rsid w:val="00562BD1"/>
    <w:rsid w:val="0056748B"/>
    <w:rsid w:val="00572CC7"/>
    <w:rsid w:val="00577CE7"/>
    <w:rsid w:val="005816F7"/>
    <w:rsid w:val="00582299"/>
    <w:rsid w:val="005825BF"/>
    <w:rsid w:val="00582B5F"/>
    <w:rsid w:val="005836DF"/>
    <w:rsid w:val="005837A5"/>
    <w:rsid w:val="00585CC4"/>
    <w:rsid w:val="0058715F"/>
    <w:rsid w:val="0058771A"/>
    <w:rsid w:val="00591FE1"/>
    <w:rsid w:val="00592B02"/>
    <w:rsid w:val="00593714"/>
    <w:rsid w:val="00594CDA"/>
    <w:rsid w:val="0059618A"/>
    <w:rsid w:val="00596B57"/>
    <w:rsid w:val="005A08A8"/>
    <w:rsid w:val="005A2592"/>
    <w:rsid w:val="005A727C"/>
    <w:rsid w:val="005A7C2E"/>
    <w:rsid w:val="005B387F"/>
    <w:rsid w:val="005B6F96"/>
    <w:rsid w:val="005B6FCA"/>
    <w:rsid w:val="005C3688"/>
    <w:rsid w:val="005C398F"/>
    <w:rsid w:val="005C485F"/>
    <w:rsid w:val="005C6AB5"/>
    <w:rsid w:val="005D1C46"/>
    <w:rsid w:val="005D23DB"/>
    <w:rsid w:val="005E0E9A"/>
    <w:rsid w:val="005E525C"/>
    <w:rsid w:val="005E6879"/>
    <w:rsid w:val="005F1350"/>
    <w:rsid w:val="005F3C5E"/>
    <w:rsid w:val="005F77D2"/>
    <w:rsid w:val="00612285"/>
    <w:rsid w:val="006126C3"/>
    <w:rsid w:val="00612FC4"/>
    <w:rsid w:val="006175BA"/>
    <w:rsid w:val="0062078D"/>
    <w:rsid w:val="00620ABF"/>
    <w:rsid w:val="00621F7D"/>
    <w:rsid w:val="00623994"/>
    <w:rsid w:val="00623E12"/>
    <w:rsid w:val="00626E0F"/>
    <w:rsid w:val="00627C37"/>
    <w:rsid w:val="00630E5C"/>
    <w:rsid w:val="0063173C"/>
    <w:rsid w:val="00631EE8"/>
    <w:rsid w:val="006323BB"/>
    <w:rsid w:val="006349D1"/>
    <w:rsid w:val="006350E7"/>
    <w:rsid w:val="00637919"/>
    <w:rsid w:val="00640559"/>
    <w:rsid w:val="00642DD9"/>
    <w:rsid w:val="00647689"/>
    <w:rsid w:val="00650E7A"/>
    <w:rsid w:val="00651D93"/>
    <w:rsid w:val="00651F9F"/>
    <w:rsid w:val="00655AFA"/>
    <w:rsid w:val="006574EB"/>
    <w:rsid w:val="0066596E"/>
    <w:rsid w:val="006671CA"/>
    <w:rsid w:val="00667935"/>
    <w:rsid w:val="0067045B"/>
    <w:rsid w:val="006711C8"/>
    <w:rsid w:val="00671D8D"/>
    <w:rsid w:val="006724D4"/>
    <w:rsid w:val="00672D6B"/>
    <w:rsid w:val="00677141"/>
    <w:rsid w:val="006847B8"/>
    <w:rsid w:val="00686C93"/>
    <w:rsid w:val="006974B0"/>
    <w:rsid w:val="006A3E97"/>
    <w:rsid w:val="006A6F29"/>
    <w:rsid w:val="006A776A"/>
    <w:rsid w:val="006B1168"/>
    <w:rsid w:val="006B3CDD"/>
    <w:rsid w:val="006B3F5D"/>
    <w:rsid w:val="006B573F"/>
    <w:rsid w:val="006B69AF"/>
    <w:rsid w:val="006B768A"/>
    <w:rsid w:val="006C0789"/>
    <w:rsid w:val="006C1125"/>
    <w:rsid w:val="006C2F9D"/>
    <w:rsid w:val="006C4048"/>
    <w:rsid w:val="006C4F25"/>
    <w:rsid w:val="006C5DD3"/>
    <w:rsid w:val="006C5EE6"/>
    <w:rsid w:val="006D00D2"/>
    <w:rsid w:val="006D0F2F"/>
    <w:rsid w:val="006D1EDB"/>
    <w:rsid w:val="006D3714"/>
    <w:rsid w:val="006F05DA"/>
    <w:rsid w:val="006F1762"/>
    <w:rsid w:val="006F1E49"/>
    <w:rsid w:val="00700E14"/>
    <w:rsid w:val="00701860"/>
    <w:rsid w:val="00702319"/>
    <w:rsid w:val="0070462B"/>
    <w:rsid w:val="00706407"/>
    <w:rsid w:val="00706483"/>
    <w:rsid w:val="00710E97"/>
    <w:rsid w:val="0071221D"/>
    <w:rsid w:val="00716080"/>
    <w:rsid w:val="0071786D"/>
    <w:rsid w:val="00722C00"/>
    <w:rsid w:val="0072591E"/>
    <w:rsid w:val="007348E8"/>
    <w:rsid w:val="0073566D"/>
    <w:rsid w:val="00737E2C"/>
    <w:rsid w:val="00743FD9"/>
    <w:rsid w:val="0074502B"/>
    <w:rsid w:val="00746B17"/>
    <w:rsid w:val="00746D6A"/>
    <w:rsid w:val="0074783B"/>
    <w:rsid w:val="00751448"/>
    <w:rsid w:val="00753D50"/>
    <w:rsid w:val="00754185"/>
    <w:rsid w:val="00757B37"/>
    <w:rsid w:val="00757F78"/>
    <w:rsid w:val="007619DF"/>
    <w:rsid w:val="007624FF"/>
    <w:rsid w:val="00766D72"/>
    <w:rsid w:val="00766D7D"/>
    <w:rsid w:val="00773D79"/>
    <w:rsid w:val="007742F3"/>
    <w:rsid w:val="007801E4"/>
    <w:rsid w:val="0078101F"/>
    <w:rsid w:val="0078225F"/>
    <w:rsid w:val="0078301C"/>
    <w:rsid w:val="0078432E"/>
    <w:rsid w:val="00785883"/>
    <w:rsid w:val="00786515"/>
    <w:rsid w:val="007936E1"/>
    <w:rsid w:val="00793C8B"/>
    <w:rsid w:val="007940A6"/>
    <w:rsid w:val="0079421C"/>
    <w:rsid w:val="00797317"/>
    <w:rsid w:val="007A046F"/>
    <w:rsid w:val="007A09D7"/>
    <w:rsid w:val="007A2914"/>
    <w:rsid w:val="007A29BC"/>
    <w:rsid w:val="007A2EEA"/>
    <w:rsid w:val="007A3ED3"/>
    <w:rsid w:val="007A553B"/>
    <w:rsid w:val="007A5AEB"/>
    <w:rsid w:val="007A61C1"/>
    <w:rsid w:val="007A69A8"/>
    <w:rsid w:val="007A6CEA"/>
    <w:rsid w:val="007A7733"/>
    <w:rsid w:val="007B0BB8"/>
    <w:rsid w:val="007B0C93"/>
    <w:rsid w:val="007B1424"/>
    <w:rsid w:val="007B1566"/>
    <w:rsid w:val="007B75C6"/>
    <w:rsid w:val="007C6DEE"/>
    <w:rsid w:val="007D5BF7"/>
    <w:rsid w:val="007D7E7D"/>
    <w:rsid w:val="007E0ABB"/>
    <w:rsid w:val="007E1CEC"/>
    <w:rsid w:val="007E3484"/>
    <w:rsid w:val="007E3958"/>
    <w:rsid w:val="007E3D96"/>
    <w:rsid w:val="007E3F11"/>
    <w:rsid w:val="007E530F"/>
    <w:rsid w:val="007E545C"/>
    <w:rsid w:val="007E6B3F"/>
    <w:rsid w:val="00800C0A"/>
    <w:rsid w:val="00803C8E"/>
    <w:rsid w:val="008057AA"/>
    <w:rsid w:val="00807C2E"/>
    <w:rsid w:val="00812A9A"/>
    <w:rsid w:val="00815B62"/>
    <w:rsid w:val="00820E39"/>
    <w:rsid w:val="00822F18"/>
    <w:rsid w:val="008258A2"/>
    <w:rsid w:val="00826B5E"/>
    <w:rsid w:val="0083046B"/>
    <w:rsid w:val="0083348A"/>
    <w:rsid w:val="00833BA4"/>
    <w:rsid w:val="00834965"/>
    <w:rsid w:val="00834C5E"/>
    <w:rsid w:val="0083619E"/>
    <w:rsid w:val="008429FF"/>
    <w:rsid w:val="00844215"/>
    <w:rsid w:val="00846C66"/>
    <w:rsid w:val="008507AA"/>
    <w:rsid w:val="00852501"/>
    <w:rsid w:val="00852BAD"/>
    <w:rsid w:val="00855857"/>
    <w:rsid w:val="0086346B"/>
    <w:rsid w:val="00864E1F"/>
    <w:rsid w:val="0086509F"/>
    <w:rsid w:val="00866923"/>
    <w:rsid w:val="0086734F"/>
    <w:rsid w:val="008704AD"/>
    <w:rsid w:val="00873813"/>
    <w:rsid w:val="00873F5D"/>
    <w:rsid w:val="00881EAB"/>
    <w:rsid w:val="00883E85"/>
    <w:rsid w:val="008848FE"/>
    <w:rsid w:val="008852FC"/>
    <w:rsid w:val="00886F0E"/>
    <w:rsid w:val="00890567"/>
    <w:rsid w:val="00891793"/>
    <w:rsid w:val="00891D8D"/>
    <w:rsid w:val="0089387D"/>
    <w:rsid w:val="008943EE"/>
    <w:rsid w:val="00896E22"/>
    <w:rsid w:val="008A2859"/>
    <w:rsid w:val="008A3BDF"/>
    <w:rsid w:val="008A5C45"/>
    <w:rsid w:val="008B146D"/>
    <w:rsid w:val="008B19A0"/>
    <w:rsid w:val="008B287C"/>
    <w:rsid w:val="008B46F7"/>
    <w:rsid w:val="008B606C"/>
    <w:rsid w:val="008B6084"/>
    <w:rsid w:val="008B60DB"/>
    <w:rsid w:val="008C3CC0"/>
    <w:rsid w:val="008D21E9"/>
    <w:rsid w:val="008D23F7"/>
    <w:rsid w:val="008D4A1C"/>
    <w:rsid w:val="008D6346"/>
    <w:rsid w:val="008D661A"/>
    <w:rsid w:val="008E1293"/>
    <w:rsid w:val="008E349B"/>
    <w:rsid w:val="008E5A84"/>
    <w:rsid w:val="008E7C59"/>
    <w:rsid w:val="008F1F7A"/>
    <w:rsid w:val="008F2F1A"/>
    <w:rsid w:val="008F3204"/>
    <w:rsid w:val="008F4361"/>
    <w:rsid w:val="008F457C"/>
    <w:rsid w:val="008F460F"/>
    <w:rsid w:val="008F7D31"/>
    <w:rsid w:val="00901907"/>
    <w:rsid w:val="009054D8"/>
    <w:rsid w:val="00906861"/>
    <w:rsid w:val="0091211F"/>
    <w:rsid w:val="00916DD5"/>
    <w:rsid w:val="0092627C"/>
    <w:rsid w:val="009302E1"/>
    <w:rsid w:val="009307FD"/>
    <w:rsid w:val="0093101A"/>
    <w:rsid w:val="00935511"/>
    <w:rsid w:val="0093775C"/>
    <w:rsid w:val="009443D4"/>
    <w:rsid w:val="0094486F"/>
    <w:rsid w:val="00945BAE"/>
    <w:rsid w:val="0094668A"/>
    <w:rsid w:val="00946848"/>
    <w:rsid w:val="00950B81"/>
    <w:rsid w:val="00951890"/>
    <w:rsid w:val="00951B5E"/>
    <w:rsid w:val="00955BB1"/>
    <w:rsid w:val="00956678"/>
    <w:rsid w:val="0097410B"/>
    <w:rsid w:val="0097763A"/>
    <w:rsid w:val="00980326"/>
    <w:rsid w:val="00980727"/>
    <w:rsid w:val="0098167B"/>
    <w:rsid w:val="0098198D"/>
    <w:rsid w:val="00981F14"/>
    <w:rsid w:val="0098226F"/>
    <w:rsid w:val="00995AC0"/>
    <w:rsid w:val="009A0C33"/>
    <w:rsid w:val="009A0F66"/>
    <w:rsid w:val="009A4F2D"/>
    <w:rsid w:val="009B078C"/>
    <w:rsid w:val="009B23F4"/>
    <w:rsid w:val="009B3835"/>
    <w:rsid w:val="009B41A1"/>
    <w:rsid w:val="009B726E"/>
    <w:rsid w:val="009B7D5C"/>
    <w:rsid w:val="009C30C7"/>
    <w:rsid w:val="009C3334"/>
    <w:rsid w:val="009C3ED2"/>
    <w:rsid w:val="009C4E9B"/>
    <w:rsid w:val="009C7271"/>
    <w:rsid w:val="009C7376"/>
    <w:rsid w:val="009D599E"/>
    <w:rsid w:val="009D7544"/>
    <w:rsid w:val="009D7E10"/>
    <w:rsid w:val="009E0E2E"/>
    <w:rsid w:val="009E108E"/>
    <w:rsid w:val="009E1280"/>
    <w:rsid w:val="009E29D8"/>
    <w:rsid w:val="009E3C36"/>
    <w:rsid w:val="009E3DF8"/>
    <w:rsid w:val="009F0C89"/>
    <w:rsid w:val="009F3BC9"/>
    <w:rsid w:val="009F578F"/>
    <w:rsid w:val="009F654C"/>
    <w:rsid w:val="00A01214"/>
    <w:rsid w:val="00A12D0E"/>
    <w:rsid w:val="00A15690"/>
    <w:rsid w:val="00A1691E"/>
    <w:rsid w:val="00A25365"/>
    <w:rsid w:val="00A2638C"/>
    <w:rsid w:val="00A264D5"/>
    <w:rsid w:val="00A26CFF"/>
    <w:rsid w:val="00A336E8"/>
    <w:rsid w:val="00A3615B"/>
    <w:rsid w:val="00A3643C"/>
    <w:rsid w:val="00A37EFB"/>
    <w:rsid w:val="00A421E5"/>
    <w:rsid w:val="00A44879"/>
    <w:rsid w:val="00A505BA"/>
    <w:rsid w:val="00A51815"/>
    <w:rsid w:val="00A52AAB"/>
    <w:rsid w:val="00A54817"/>
    <w:rsid w:val="00A54885"/>
    <w:rsid w:val="00A54D14"/>
    <w:rsid w:val="00A55ADE"/>
    <w:rsid w:val="00A61ABB"/>
    <w:rsid w:val="00A6656C"/>
    <w:rsid w:val="00A72A3A"/>
    <w:rsid w:val="00A74CEB"/>
    <w:rsid w:val="00A75AED"/>
    <w:rsid w:val="00A75C2F"/>
    <w:rsid w:val="00A75D53"/>
    <w:rsid w:val="00A8568C"/>
    <w:rsid w:val="00A9270C"/>
    <w:rsid w:val="00A937B2"/>
    <w:rsid w:val="00A94D5A"/>
    <w:rsid w:val="00A95400"/>
    <w:rsid w:val="00A97167"/>
    <w:rsid w:val="00A97B97"/>
    <w:rsid w:val="00AA0E4C"/>
    <w:rsid w:val="00AA42C7"/>
    <w:rsid w:val="00AA435D"/>
    <w:rsid w:val="00AA4F55"/>
    <w:rsid w:val="00AB1610"/>
    <w:rsid w:val="00AB163C"/>
    <w:rsid w:val="00AB6770"/>
    <w:rsid w:val="00AC0086"/>
    <w:rsid w:val="00AC4ACB"/>
    <w:rsid w:val="00AC523B"/>
    <w:rsid w:val="00AC5D26"/>
    <w:rsid w:val="00AC6B30"/>
    <w:rsid w:val="00AC7964"/>
    <w:rsid w:val="00AD0EA0"/>
    <w:rsid w:val="00AD1D23"/>
    <w:rsid w:val="00AD2B01"/>
    <w:rsid w:val="00AD2B95"/>
    <w:rsid w:val="00AD500A"/>
    <w:rsid w:val="00AD5972"/>
    <w:rsid w:val="00AD7A14"/>
    <w:rsid w:val="00AE1A0C"/>
    <w:rsid w:val="00AE25FE"/>
    <w:rsid w:val="00AE46E2"/>
    <w:rsid w:val="00AE71D5"/>
    <w:rsid w:val="00AF649E"/>
    <w:rsid w:val="00B03E99"/>
    <w:rsid w:val="00B052D6"/>
    <w:rsid w:val="00B0670B"/>
    <w:rsid w:val="00B105E7"/>
    <w:rsid w:val="00B1458C"/>
    <w:rsid w:val="00B149D3"/>
    <w:rsid w:val="00B15B62"/>
    <w:rsid w:val="00B17E0D"/>
    <w:rsid w:val="00B211D8"/>
    <w:rsid w:val="00B21822"/>
    <w:rsid w:val="00B226C1"/>
    <w:rsid w:val="00B241AB"/>
    <w:rsid w:val="00B24FC9"/>
    <w:rsid w:val="00B3253C"/>
    <w:rsid w:val="00B329B2"/>
    <w:rsid w:val="00B41A1F"/>
    <w:rsid w:val="00B421E1"/>
    <w:rsid w:val="00B44EC1"/>
    <w:rsid w:val="00B4646B"/>
    <w:rsid w:val="00B50AC5"/>
    <w:rsid w:val="00B54D74"/>
    <w:rsid w:val="00B55D1A"/>
    <w:rsid w:val="00B63233"/>
    <w:rsid w:val="00B64B14"/>
    <w:rsid w:val="00B64B69"/>
    <w:rsid w:val="00B65B5C"/>
    <w:rsid w:val="00B66F99"/>
    <w:rsid w:val="00B670CF"/>
    <w:rsid w:val="00B67742"/>
    <w:rsid w:val="00B70303"/>
    <w:rsid w:val="00B74F34"/>
    <w:rsid w:val="00B7550F"/>
    <w:rsid w:val="00B76F64"/>
    <w:rsid w:val="00B811CC"/>
    <w:rsid w:val="00B8217E"/>
    <w:rsid w:val="00B82B1D"/>
    <w:rsid w:val="00B84FE4"/>
    <w:rsid w:val="00B87859"/>
    <w:rsid w:val="00B91B3B"/>
    <w:rsid w:val="00B9402F"/>
    <w:rsid w:val="00BA3F77"/>
    <w:rsid w:val="00BA78E4"/>
    <w:rsid w:val="00BB38E0"/>
    <w:rsid w:val="00BB40BC"/>
    <w:rsid w:val="00BB4729"/>
    <w:rsid w:val="00BB56ED"/>
    <w:rsid w:val="00BB68DB"/>
    <w:rsid w:val="00BC0437"/>
    <w:rsid w:val="00BC12C3"/>
    <w:rsid w:val="00BC26D3"/>
    <w:rsid w:val="00BC3805"/>
    <w:rsid w:val="00BC478B"/>
    <w:rsid w:val="00BC6A12"/>
    <w:rsid w:val="00BD0347"/>
    <w:rsid w:val="00BD29DB"/>
    <w:rsid w:val="00BD4B61"/>
    <w:rsid w:val="00BE08F0"/>
    <w:rsid w:val="00BE12D4"/>
    <w:rsid w:val="00BE294F"/>
    <w:rsid w:val="00BE2F6B"/>
    <w:rsid w:val="00BE3225"/>
    <w:rsid w:val="00BE68B7"/>
    <w:rsid w:val="00BF12AE"/>
    <w:rsid w:val="00BF2A37"/>
    <w:rsid w:val="00BF4541"/>
    <w:rsid w:val="00BF556B"/>
    <w:rsid w:val="00BF6230"/>
    <w:rsid w:val="00C0150B"/>
    <w:rsid w:val="00C11A95"/>
    <w:rsid w:val="00C1331C"/>
    <w:rsid w:val="00C14095"/>
    <w:rsid w:val="00C14232"/>
    <w:rsid w:val="00C229A9"/>
    <w:rsid w:val="00C22FA5"/>
    <w:rsid w:val="00C23078"/>
    <w:rsid w:val="00C25791"/>
    <w:rsid w:val="00C32C3A"/>
    <w:rsid w:val="00C34B18"/>
    <w:rsid w:val="00C37419"/>
    <w:rsid w:val="00C41FD5"/>
    <w:rsid w:val="00C43EE1"/>
    <w:rsid w:val="00C505A1"/>
    <w:rsid w:val="00C506A3"/>
    <w:rsid w:val="00C532E8"/>
    <w:rsid w:val="00C55AB7"/>
    <w:rsid w:val="00C57DAD"/>
    <w:rsid w:val="00C60E09"/>
    <w:rsid w:val="00C60F6D"/>
    <w:rsid w:val="00C62D01"/>
    <w:rsid w:val="00C63589"/>
    <w:rsid w:val="00C6400B"/>
    <w:rsid w:val="00C65836"/>
    <w:rsid w:val="00C672AD"/>
    <w:rsid w:val="00C75AE0"/>
    <w:rsid w:val="00C75D9E"/>
    <w:rsid w:val="00C76275"/>
    <w:rsid w:val="00C82905"/>
    <w:rsid w:val="00C83F96"/>
    <w:rsid w:val="00C84A47"/>
    <w:rsid w:val="00C93EB9"/>
    <w:rsid w:val="00C95279"/>
    <w:rsid w:val="00C97191"/>
    <w:rsid w:val="00C97451"/>
    <w:rsid w:val="00C9793D"/>
    <w:rsid w:val="00CA1D5E"/>
    <w:rsid w:val="00CA203E"/>
    <w:rsid w:val="00CA2E59"/>
    <w:rsid w:val="00CA626E"/>
    <w:rsid w:val="00CA7338"/>
    <w:rsid w:val="00CA77AE"/>
    <w:rsid w:val="00CA78C2"/>
    <w:rsid w:val="00CB08CB"/>
    <w:rsid w:val="00CB2D17"/>
    <w:rsid w:val="00CB6A17"/>
    <w:rsid w:val="00CC0AB8"/>
    <w:rsid w:val="00CC4CDD"/>
    <w:rsid w:val="00CD3ECF"/>
    <w:rsid w:val="00CD402E"/>
    <w:rsid w:val="00CD7B43"/>
    <w:rsid w:val="00CE1E4A"/>
    <w:rsid w:val="00CE2322"/>
    <w:rsid w:val="00CE29FE"/>
    <w:rsid w:val="00CE3E33"/>
    <w:rsid w:val="00CE4418"/>
    <w:rsid w:val="00CE563A"/>
    <w:rsid w:val="00CF5510"/>
    <w:rsid w:val="00CF7B18"/>
    <w:rsid w:val="00D00372"/>
    <w:rsid w:val="00D00AC3"/>
    <w:rsid w:val="00D012C4"/>
    <w:rsid w:val="00D0238D"/>
    <w:rsid w:val="00D0343B"/>
    <w:rsid w:val="00D05727"/>
    <w:rsid w:val="00D0617B"/>
    <w:rsid w:val="00D0726A"/>
    <w:rsid w:val="00D135B1"/>
    <w:rsid w:val="00D206FA"/>
    <w:rsid w:val="00D21032"/>
    <w:rsid w:val="00D278F9"/>
    <w:rsid w:val="00D3075A"/>
    <w:rsid w:val="00D320D7"/>
    <w:rsid w:val="00D3274C"/>
    <w:rsid w:val="00D333C8"/>
    <w:rsid w:val="00D33C19"/>
    <w:rsid w:val="00D36155"/>
    <w:rsid w:val="00D365D2"/>
    <w:rsid w:val="00D40FFA"/>
    <w:rsid w:val="00D417F1"/>
    <w:rsid w:val="00D42120"/>
    <w:rsid w:val="00D44DFA"/>
    <w:rsid w:val="00D5227A"/>
    <w:rsid w:val="00D52854"/>
    <w:rsid w:val="00D55DDA"/>
    <w:rsid w:val="00D55F50"/>
    <w:rsid w:val="00D56898"/>
    <w:rsid w:val="00D61F61"/>
    <w:rsid w:val="00D641CC"/>
    <w:rsid w:val="00D64AD6"/>
    <w:rsid w:val="00D77DAF"/>
    <w:rsid w:val="00D82DCC"/>
    <w:rsid w:val="00D8503A"/>
    <w:rsid w:val="00D8565D"/>
    <w:rsid w:val="00D875FE"/>
    <w:rsid w:val="00D90228"/>
    <w:rsid w:val="00D90412"/>
    <w:rsid w:val="00D93330"/>
    <w:rsid w:val="00D94396"/>
    <w:rsid w:val="00D95796"/>
    <w:rsid w:val="00DA08FD"/>
    <w:rsid w:val="00DA1AF8"/>
    <w:rsid w:val="00DA515D"/>
    <w:rsid w:val="00DA6989"/>
    <w:rsid w:val="00DB2013"/>
    <w:rsid w:val="00DB3979"/>
    <w:rsid w:val="00DB4783"/>
    <w:rsid w:val="00DB5BE5"/>
    <w:rsid w:val="00DC0FC3"/>
    <w:rsid w:val="00DC6149"/>
    <w:rsid w:val="00DC62C1"/>
    <w:rsid w:val="00DD3B47"/>
    <w:rsid w:val="00DD5E56"/>
    <w:rsid w:val="00DD62AC"/>
    <w:rsid w:val="00DD6A19"/>
    <w:rsid w:val="00DE367E"/>
    <w:rsid w:val="00DF0BE6"/>
    <w:rsid w:val="00DF42E9"/>
    <w:rsid w:val="00E03292"/>
    <w:rsid w:val="00E03BDA"/>
    <w:rsid w:val="00E042C4"/>
    <w:rsid w:val="00E05044"/>
    <w:rsid w:val="00E05DCD"/>
    <w:rsid w:val="00E11090"/>
    <w:rsid w:val="00E11B39"/>
    <w:rsid w:val="00E167EE"/>
    <w:rsid w:val="00E20249"/>
    <w:rsid w:val="00E205D1"/>
    <w:rsid w:val="00E21DB3"/>
    <w:rsid w:val="00E23F94"/>
    <w:rsid w:val="00E263B5"/>
    <w:rsid w:val="00E31E18"/>
    <w:rsid w:val="00E36C47"/>
    <w:rsid w:val="00E37D2C"/>
    <w:rsid w:val="00E40886"/>
    <w:rsid w:val="00E41402"/>
    <w:rsid w:val="00E45164"/>
    <w:rsid w:val="00E52EF4"/>
    <w:rsid w:val="00E54409"/>
    <w:rsid w:val="00E54C54"/>
    <w:rsid w:val="00E554C1"/>
    <w:rsid w:val="00E573F6"/>
    <w:rsid w:val="00E60A05"/>
    <w:rsid w:val="00E63E72"/>
    <w:rsid w:val="00E66BA1"/>
    <w:rsid w:val="00E72B7F"/>
    <w:rsid w:val="00E833B9"/>
    <w:rsid w:val="00E84FD5"/>
    <w:rsid w:val="00E859B4"/>
    <w:rsid w:val="00E8602F"/>
    <w:rsid w:val="00E9411C"/>
    <w:rsid w:val="00E9570F"/>
    <w:rsid w:val="00E967C8"/>
    <w:rsid w:val="00E97D38"/>
    <w:rsid w:val="00EA192F"/>
    <w:rsid w:val="00EA3978"/>
    <w:rsid w:val="00EA64F5"/>
    <w:rsid w:val="00EA6D61"/>
    <w:rsid w:val="00EB17EC"/>
    <w:rsid w:val="00EB42F0"/>
    <w:rsid w:val="00EC0257"/>
    <w:rsid w:val="00EC4C03"/>
    <w:rsid w:val="00ED028D"/>
    <w:rsid w:val="00ED58AE"/>
    <w:rsid w:val="00EE52EB"/>
    <w:rsid w:val="00EE6D8A"/>
    <w:rsid w:val="00EF271F"/>
    <w:rsid w:val="00EF3731"/>
    <w:rsid w:val="00EF3B9E"/>
    <w:rsid w:val="00EF5E4D"/>
    <w:rsid w:val="00F00737"/>
    <w:rsid w:val="00F00898"/>
    <w:rsid w:val="00F02FA1"/>
    <w:rsid w:val="00F048C3"/>
    <w:rsid w:val="00F04EA0"/>
    <w:rsid w:val="00F05425"/>
    <w:rsid w:val="00F13647"/>
    <w:rsid w:val="00F13CB5"/>
    <w:rsid w:val="00F14542"/>
    <w:rsid w:val="00F1686F"/>
    <w:rsid w:val="00F227D9"/>
    <w:rsid w:val="00F253BE"/>
    <w:rsid w:val="00F3196D"/>
    <w:rsid w:val="00F320DE"/>
    <w:rsid w:val="00F4238D"/>
    <w:rsid w:val="00F4481E"/>
    <w:rsid w:val="00F51FA1"/>
    <w:rsid w:val="00F5397A"/>
    <w:rsid w:val="00F56620"/>
    <w:rsid w:val="00F609C4"/>
    <w:rsid w:val="00F62903"/>
    <w:rsid w:val="00F63CAA"/>
    <w:rsid w:val="00F64648"/>
    <w:rsid w:val="00F66EA8"/>
    <w:rsid w:val="00F67A90"/>
    <w:rsid w:val="00F70A9D"/>
    <w:rsid w:val="00F729CF"/>
    <w:rsid w:val="00F755F0"/>
    <w:rsid w:val="00F8012F"/>
    <w:rsid w:val="00F86832"/>
    <w:rsid w:val="00F86A51"/>
    <w:rsid w:val="00F8716A"/>
    <w:rsid w:val="00F943B7"/>
    <w:rsid w:val="00F96F06"/>
    <w:rsid w:val="00FA1611"/>
    <w:rsid w:val="00FA3229"/>
    <w:rsid w:val="00FB5713"/>
    <w:rsid w:val="00FC22FD"/>
    <w:rsid w:val="00FC5B99"/>
    <w:rsid w:val="00FC6112"/>
    <w:rsid w:val="00FD4B6F"/>
    <w:rsid w:val="00FD52D2"/>
    <w:rsid w:val="00FD5DD3"/>
    <w:rsid w:val="00FD77F5"/>
    <w:rsid w:val="00FE18BF"/>
    <w:rsid w:val="00FE326A"/>
    <w:rsid w:val="00FE3367"/>
    <w:rsid w:val="00FE6ED8"/>
    <w:rsid w:val="00FF01E0"/>
    <w:rsid w:val="00FF0459"/>
    <w:rsid w:val="00FF04E2"/>
    <w:rsid w:val="00FF3A17"/>
    <w:rsid w:val="00FF3FB7"/>
    <w:rsid w:val="00FF57E6"/>
    <w:rsid w:val="00FF69A3"/>
    <w:rsid w:val="00FF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rsid w:val="00AD1D23"/>
    <w:pPr>
      <w:ind w:left="4680"/>
    </w:pPr>
  </w:style>
  <w:style w:type="character" w:styleId="Hyperlink">
    <w:name w:val="Hyperlink"/>
    <w:rsid w:val="00AD1D23"/>
    <w:rPr>
      <w:color w:val="0000FF"/>
      <w:u w:val="single"/>
    </w:rPr>
  </w:style>
  <w:style w:type="paragraph" w:styleId="BodyText">
    <w:name w:val="Body Text"/>
    <w:basedOn w:val="Normal"/>
    <w:rsid w:val="00833BA4"/>
    <w:pPr>
      <w:widowControl w:val="0"/>
      <w:spacing w:line="480" w:lineRule="auto"/>
      <w:ind w:firstLine="720"/>
      <w:jc w:val="both"/>
    </w:pPr>
  </w:style>
  <w:style w:type="character" w:styleId="FootnoteReference">
    <w:name w:val="footnote reference"/>
    <w:uiPriority w:val="99"/>
    <w:semiHidden/>
    <w:rsid w:val="00833BA4"/>
    <w:rPr>
      <w:vertAlign w:val="superscript"/>
    </w:rPr>
  </w:style>
  <w:style w:type="paragraph" w:styleId="FootnoteText">
    <w:name w:val="footnote text"/>
    <w:basedOn w:val="Normal"/>
    <w:link w:val="FootnoteTextChar"/>
    <w:semiHidden/>
    <w:rsid w:val="00833BA4"/>
    <w:rPr>
      <w:sz w:val="20"/>
    </w:rPr>
  </w:style>
  <w:style w:type="paragraph" w:customStyle="1" w:styleId="BHQuoteL5R5">
    <w:name w:val="BH Quote L.5/R.5"/>
    <w:basedOn w:val="Normal"/>
    <w:rsid w:val="00833BA4"/>
    <w:pPr>
      <w:spacing w:after="240"/>
      <w:ind w:left="720" w:right="720"/>
    </w:pPr>
    <w:rPr>
      <w:szCs w:val="20"/>
    </w:rPr>
  </w:style>
  <w:style w:type="paragraph" w:customStyle="1" w:styleId="SPF5093L1">
    <w:name w:val="SPF5093_L1"/>
    <w:basedOn w:val="Normal"/>
    <w:next w:val="BodyText"/>
    <w:rsid w:val="00833BA4"/>
    <w:pPr>
      <w:keepNext/>
      <w:keepLines/>
      <w:widowControl w:val="0"/>
      <w:numPr>
        <w:numId w:val="1"/>
      </w:numPr>
      <w:spacing w:after="240"/>
      <w:outlineLvl w:val="0"/>
    </w:pPr>
    <w:rPr>
      <w:b/>
      <w:caps/>
      <w:szCs w:val="20"/>
      <w:u w:val="single"/>
    </w:rPr>
  </w:style>
  <w:style w:type="paragraph" w:customStyle="1" w:styleId="SPF5093L2">
    <w:name w:val="SPF5093_L2"/>
    <w:basedOn w:val="SPF5093L1"/>
    <w:next w:val="BodyText"/>
    <w:rsid w:val="00833BA4"/>
    <w:pPr>
      <w:numPr>
        <w:ilvl w:val="1"/>
      </w:numPr>
      <w:outlineLvl w:val="1"/>
    </w:pPr>
    <w:rPr>
      <w:caps w:val="0"/>
    </w:rPr>
  </w:style>
  <w:style w:type="paragraph" w:customStyle="1" w:styleId="SPF5093L3">
    <w:name w:val="SPF5093_L3"/>
    <w:basedOn w:val="SPF5093L2"/>
    <w:next w:val="BodyText"/>
    <w:rsid w:val="00833BA4"/>
    <w:pPr>
      <w:numPr>
        <w:ilvl w:val="2"/>
      </w:numPr>
      <w:outlineLvl w:val="2"/>
    </w:pPr>
    <w:rPr>
      <w:u w:val="none"/>
    </w:rPr>
  </w:style>
  <w:style w:type="paragraph" w:customStyle="1" w:styleId="SPF5093L4">
    <w:name w:val="SPF5093_L4"/>
    <w:basedOn w:val="SPF5093L3"/>
    <w:next w:val="BodyText"/>
    <w:rsid w:val="00833BA4"/>
    <w:pPr>
      <w:numPr>
        <w:ilvl w:val="3"/>
      </w:numPr>
      <w:outlineLvl w:val="3"/>
    </w:pPr>
  </w:style>
  <w:style w:type="paragraph" w:customStyle="1" w:styleId="SPF5093L5">
    <w:name w:val="SPF5093_L5"/>
    <w:basedOn w:val="SPF5093L4"/>
    <w:next w:val="BodyText"/>
    <w:rsid w:val="00833BA4"/>
    <w:pPr>
      <w:numPr>
        <w:ilvl w:val="4"/>
      </w:numPr>
      <w:outlineLvl w:val="4"/>
    </w:pPr>
  </w:style>
  <w:style w:type="paragraph" w:customStyle="1" w:styleId="SPF5093L6">
    <w:name w:val="SPF5093_L6"/>
    <w:basedOn w:val="SPF5093L5"/>
    <w:next w:val="BodyText"/>
    <w:rsid w:val="00833BA4"/>
    <w:pPr>
      <w:numPr>
        <w:ilvl w:val="5"/>
      </w:numPr>
      <w:outlineLvl w:val="5"/>
    </w:pPr>
  </w:style>
  <w:style w:type="paragraph" w:customStyle="1" w:styleId="SPF5093L7">
    <w:name w:val="SPF5093_L7"/>
    <w:basedOn w:val="SPF5093L6"/>
    <w:next w:val="BodyText"/>
    <w:rsid w:val="00833BA4"/>
    <w:pPr>
      <w:numPr>
        <w:ilvl w:val="6"/>
      </w:numPr>
      <w:outlineLvl w:val="6"/>
    </w:pPr>
  </w:style>
  <w:style w:type="paragraph" w:customStyle="1" w:styleId="SPF5093L8">
    <w:name w:val="SPF5093_L8"/>
    <w:basedOn w:val="SPF5093L7"/>
    <w:next w:val="BodyText"/>
    <w:rsid w:val="00833BA4"/>
    <w:pPr>
      <w:numPr>
        <w:ilvl w:val="7"/>
      </w:numPr>
      <w:outlineLvl w:val="7"/>
    </w:pPr>
    <w:rPr>
      <w:b w:val="0"/>
    </w:rPr>
  </w:style>
  <w:style w:type="paragraph" w:customStyle="1" w:styleId="SPF5093L9">
    <w:name w:val="SPF5093_L9"/>
    <w:basedOn w:val="SPF5093L8"/>
    <w:next w:val="BodyText"/>
    <w:rsid w:val="00833BA4"/>
    <w:pPr>
      <w:numPr>
        <w:ilvl w:val="8"/>
      </w:numPr>
      <w:outlineLvl w:val="8"/>
    </w:pPr>
  </w:style>
  <w:style w:type="paragraph" w:styleId="BalloonText">
    <w:name w:val="Balloon Text"/>
    <w:basedOn w:val="Normal"/>
    <w:semiHidden/>
    <w:rsid w:val="00833BA4"/>
    <w:rPr>
      <w:rFonts w:ascii="Tahoma" w:hAnsi="Tahoma" w:cs="Tahoma"/>
      <w:sz w:val="16"/>
      <w:szCs w:val="16"/>
    </w:rPr>
  </w:style>
  <w:style w:type="paragraph" w:styleId="Footer">
    <w:name w:val="footer"/>
    <w:basedOn w:val="Normal"/>
    <w:rsid w:val="008B46F7"/>
    <w:pPr>
      <w:tabs>
        <w:tab w:val="center" w:pos="4320"/>
        <w:tab w:val="right" w:pos="8640"/>
      </w:tabs>
    </w:pPr>
  </w:style>
  <w:style w:type="character" w:styleId="PageNumber">
    <w:name w:val="page number"/>
    <w:basedOn w:val="DefaultParagraphFont"/>
    <w:rsid w:val="008B46F7"/>
  </w:style>
  <w:style w:type="character" w:customStyle="1" w:styleId="FootnoteTextChar">
    <w:name w:val="Footnote Text Char"/>
    <w:link w:val="FootnoteText"/>
    <w:semiHidden/>
    <w:rsid w:val="002F08B0"/>
    <w:rPr>
      <w:szCs w:val="24"/>
    </w:rPr>
  </w:style>
  <w:style w:type="character" w:styleId="CommentReference">
    <w:name w:val="annotation reference"/>
    <w:uiPriority w:val="99"/>
    <w:semiHidden/>
    <w:unhideWhenUsed/>
    <w:rsid w:val="000C1A7D"/>
    <w:rPr>
      <w:sz w:val="16"/>
      <w:szCs w:val="16"/>
    </w:rPr>
  </w:style>
  <w:style w:type="paragraph" w:styleId="CommentText">
    <w:name w:val="annotation text"/>
    <w:basedOn w:val="Normal"/>
    <w:link w:val="CommentTextChar"/>
    <w:uiPriority w:val="99"/>
    <w:semiHidden/>
    <w:unhideWhenUsed/>
    <w:rsid w:val="000C1A7D"/>
    <w:rPr>
      <w:sz w:val="20"/>
      <w:szCs w:val="20"/>
    </w:rPr>
  </w:style>
  <w:style w:type="character" w:customStyle="1" w:styleId="CommentTextChar">
    <w:name w:val="Comment Text Char"/>
    <w:basedOn w:val="DefaultParagraphFont"/>
    <w:link w:val="CommentText"/>
    <w:uiPriority w:val="99"/>
    <w:semiHidden/>
    <w:rsid w:val="000C1A7D"/>
  </w:style>
  <w:style w:type="paragraph" w:styleId="CommentSubject">
    <w:name w:val="annotation subject"/>
    <w:basedOn w:val="CommentText"/>
    <w:next w:val="CommentText"/>
    <w:link w:val="CommentSubjectChar"/>
    <w:uiPriority w:val="99"/>
    <w:semiHidden/>
    <w:unhideWhenUsed/>
    <w:rsid w:val="000C1A7D"/>
    <w:rPr>
      <w:b/>
      <w:bCs/>
    </w:rPr>
  </w:style>
  <w:style w:type="character" w:customStyle="1" w:styleId="CommentSubjectChar">
    <w:name w:val="Comment Subject Char"/>
    <w:link w:val="CommentSubject"/>
    <w:uiPriority w:val="99"/>
    <w:semiHidden/>
    <w:rsid w:val="000C1A7D"/>
    <w:rPr>
      <w:b/>
      <w:bCs/>
    </w:rPr>
  </w:style>
  <w:style w:type="paragraph" w:styleId="NormalWeb">
    <w:name w:val="Normal (Web)"/>
    <w:basedOn w:val="Normal"/>
    <w:uiPriority w:val="99"/>
    <w:semiHidden/>
    <w:unhideWhenUsed/>
    <w:rsid w:val="00A55ADE"/>
    <w:pPr>
      <w:spacing w:before="100" w:beforeAutospacing="1" w:after="100" w:afterAutospacing="1"/>
    </w:pPr>
  </w:style>
  <w:style w:type="character" w:customStyle="1" w:styleId="apple-converted-space">
    <w:name w:val="apple-converted-space"/>
    <w:rsid w:val="00A55ADE"/>
  </w:style>
  <w:style w:type="paragraph" w:styleId="ListParagraph">
    <w:name w:val="List Paragraph"/>
    <w:basedOn w:val="Normal"/>
    <w:uiPriority w:val="34"/>
    <w:qFormat/>
    <w:rsid w:val="00C43EE1"/>
    <w:pPr>
      <w:spacing w:after="200" w:line="276" w:lineRule="auto"/>
      <w:ind w:left="720"/>
      <w:contextualSpacing/>
    </w:pPr>
    <w:rPr>
      <w:rFonts w:ascii="Calibri" w:eastAsia="Calibri" w:hAnsi="Calibri"/>
      <w:sz w:val="22"/>
      <w:szCs w:val="22"/>
    </w:rPr>
  </w:style>
  <w:style w:type="character" w:customStyle="1" w:styleId="ft">
    <w:name w:val="ft"/>
    <w:rsid w:val="007A29BC"/>
  </w:style>
  <w:style w:type="character" w:styleId="Emphasis">
    <w:name w:val="Emphasis"/>
    <w:uiPriority w:val="20"/>
    <w:qFormat/>
    <w:rsid w:val="007A29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rsid w:val="00AD1D23"/>
    <w:pPr>
      <w:ind w:left="4680"/>
    </w:pPr>
  </w:style>
  <w:style w:type="character" w:styleId="Hyperlink">
    <w:name w:val="Hyperlink"/>
    <w:rsid w:val="00AD1D23"/>
    <w:rPr>
      <w:color w:val="0000FF"/>
      <w:u w:val="single"/>
    </w:rPr>
  </w:style>
  <w:style w:type="paragraph" w:styleId="BodyText">
    <w:name w:val="Body Text"/>
    <w:basedOn w:val="Normal"/>
    <w:rsid w:val="00833BA4"/>
    <w:pPr>
      <w:widowControl w:val="0"/>
      <w:spacing w:line="480" w:lineRule="auto"/>
      <w:ind w:firstLine="720"/>
      <w:jc w:val="both"/>
    </w:pPr>
  </w:style>
  <w:style w:type="character" w:styleId="FootnoteReference">
    <w:name w:val="footnote reference"/>
    <w:uiPriority w:val="99"/>
    <w:semiHidden/>
    <w:rsid w:val="00833BA4"/>
    <w:rPr>
      <w:vertAlign w:val="superscript"/>
    </w:rPr>
  </w:style>
  <w:style w:type="paragraph" w:styleId="FootnoteText">
    <w:name w:val="footnote text"/>
    <w:basedOn w:val="Normal"/>
    <w:link w:val="FootnoteTextChar"/>
    <w:semiHidden/>
    <w:rsid w:val="00833BA4"/>
    <w:rPr>
      <w:sz w:val="20"/>
    </w:rPr>
  </w:style>
  <w:style w:type="paragraph" w:customStyle="1" w:styleId="BHQuoteL5R5">
    <w:name w:val="BH Quote L.5/R.5"/>
    <w:basedOn w:val="Normal"/>
    <w:rsid w:val="00833BA4"/>
    <w:pPr>
      <w:spacing w:after="240"/>
      <w:ind w:left="720" w:right="720"/>
    </w:pPr>
    <w:rPr>
      <w:szCs w:val="20"/>
    </w:rPr>
  </w:style>
  <w:style w:type="paragraph" w:customStyle="1" w:styleId="SPF5093L1">
    <w:name w:val="SPF5093_L1"/>
    <w:basedOn w:val="Normal"/>
    <w:next w:val="BodyText"/>
    <w:rsid w:val="00833BA4"/>
    <w:pPr>
      <w:keepNext/>
      <w:keepLines/>
      <w:widowControl w:val="0"/>
      <w:numPr>
        <w:numId w:val="1"/>
      </w:numPr>
      <w:spacing w:after="240"/>
      <w:outlineLvl w:val="0"/>
    </w:pPr>
    <w:rPr>
      <w:b/>
      <w:caps/>
      <w:szCs w:val="20"/>
      <w:u w:val="single"/>
    </w:rPr>
  </w:style>
  <w:style w:type="paragraph" w:customStyle="1" w:styleId="SPF5093L2">
    <w:name w:val="SPF5093_L2"/>
    <w:basedOn w:val="SPF5093L1"/>
    <w:next w:val="BodyText"/>
    <w:rsid w:val="00833BA4"/>
    <w:pPr>
      <w:numPr>
        <w:ilvl w:val="1"/>
      </w:numPr>
      <w:outlineLvl w:val="1"/>
    </w:pPr>
    <w:rPr>
      <w:caps w:val="0"/>
    </w:rPr>
  </w:style>
  <w:style w:type="paragraph" w:customStyle="1" w:styleId="SPF5093L3">
    <w:name w:val="SPF5093_L3"/>
    <w:basedOn w:val="SPF5093L2"/>
    <w:next w:val="BodyText"/>
    <w:rsid w:val="00833BA4"/>
    <w:pPr>
      <w:numPr>
        <w:ilvl w:val="2"/>
      </w:numPr>
      <w:outlineLvl w:val="2"/>
    </w:pPr>
    <w:rPr>
      <w:u w:val="none"/>
    </w:rPr>
  </w:style>
  <w:style w:type="paragraph" w:customStyle="1" w:styleId="SPF5093L4">
    <w:name w:val="SPF5093_L4"/>
    <w:basedOn w:val="SPF5093L3"/>
    <w:next w:val="BodyText"/>
    <w:rsid w:val="00833BA4"/>
    <w:pPr>
      <w:numPr>
        <w:ilvl w:val="3"/>
      </w:numPr>
      <w:outlineLvl w:val="3"/>
    </w:pPr>
  </w:style>
  <w:style w:type="paragraph" w:customStyle="1" w:styleId="SPF5093L5">
    <w:name w:val="SPF5093_L5"/>
    <w:basedOn w:val="SPF5093L4"/>
    <w:next w:val="BodyText"/>
    <w:rsid w:val="00833BA4"/>
    <w:pPr>
      <w:numPr>
        <w:ilvl w:val="4"/>
      </w:numPr>
      <w:outlineLvl w:val="4"/>
    </w:pPr>
  </w:style>
  <w:style w:type="paragraph" w:customStyle="1" w:styleId="SPF5093L6">
    <w:name w:val="SPF5093_L6"/>
    <w:basedOn w:val="SPF5093L5"/>
    <w:next w:val="BodyText"/>
    <w:rsid w:val="00833BA4"/>
    <w:pPr>
      <w:numPr>
        <w:ilvl w:val="5"/>
      </w:numPr>
      <w:outlineLvl w:val="5"/>
    </w:pPr>
  </w:style>
  <w:style w:type="paragraph" w:customStyle="1" w:styleId="SPF5093L7">
    <w:name w:val="SPF5093_L7"/>
    <w:basedOn w:val="SPF5093L6"/>
    <w:next w:val="BodyText"/>
    <w:rsid w:val="00833BA4"/>
    <w:pPr>
      <w:numPr>
        <w:ilvl w:val="6"/>
      </w:numPr>
      <w:outlineLvl w:val="6"/>
    </w:pPr>
  </w:style>
  <w:style w:type="paragraph" w:customStyle="1" w:styleId="SPF5093L8">
    <w:name w:val="SPF5093_L8"/>
    <w:basedOn w:val="SPF5093L7"/>
    <w:next w:val="BodyText"/>
    <w:rsid w:val="00833BA4"/>
    <w:pPr>
      <w:numPr>
        <w:ilvl w:val="7"/>
      </w:numPr>
      <w:outlineLvl w:val="7"/>
    </w:pPr>
    <w:rPr>
      <w:b w:val="0"/>
    </w:rPr>
  </w:style>
  <w:style w:type="paragraph" w:customStyle="1" w:styleId="SPF5093L9">
    <w:name w:val="SPF5093_L9"/>
    <w:basedOn w:val="SPF5093L8"/>
    <w:next w:val="BodyText"/>
    <w:rsid w:val="00833BA4"/>
    <w:pPr>
      <w:numPr>
        <w:ilvl w:val="8"/>
      </w:numPr>
      <w:outlineLvl w:val="8"/>
    </w:pPr>
  </w:style>
  <w:style w:type="paragraph" w:styleId="BalloonText">
    <w:name w:val="Balloon Text"/>
    <w:basedOn w:val="Normal"/>
    <w:semiHidden/>
    <w:rsid w:val="00833BA4"/>
    <w:rPr>
      <w:rFonts w:ascii="Tahoma" w:hAnsi="Tahoma" w:cs="Tahoma"/>
      <w:sz w:val="16"/>
      <w:szCs w:val="16"/>
    </w:rPr>
  </w:style>
  <w:style w:type="paragraph" w:styleId="Footer">
    <w:name w:val="footer"/>
    <w:basedOn w:val="Normal"/>
    <w:rsid w:val="008B46F7"/>
    <w:pPr>
      <w:tabs>
        <w:tab w:val="center" w:pos="4320"/>
        <w:tab w:val="right" w:pos="8640"/>
      </w:tabs>
    </w:pPr>
  </w:style>
  <w:style w:type="character" w:styleId="PageNumber">
    <w:name w:val="page number"/>
    <w:basedOn w:val="DefaultParagraphFont"/>
    <w:rsid w:val="008B46F7"/>
  </w:style>
  <w:style w:type="character" w:customStyle="1" w:styleId="FootnoteTextChar">
    <w:name w:val="Footnote Text Char"/>
    <w:link w:val="FootnoteText"/>
    <w:semiHidden/>
    <w:rsid w:val="002F08B0"/>
    <w:rPr>
      <w:szCs w:val="24"/>
    </w:rPr>
  </w:style>
  <w:style w:type="character" w:styleId="CommentReference">
    <w:name w:val="annotation reference"/>
    <w:uiPriority w:val="99"/>
    <w:semiHidden/>
    <w:unhideWhenUsed/>
    <w:rsid w:val="000C1A7D"/>
    <w:rPr>
      <w:sz w:val="16"/>
      <w:szCs w:val="16"/>
    </w:rPr>
  </w:style>
  <w:style w:type="paragraph" w:styleId="CommentText">
    <w:name w:val="annotation text"/>
    <w:basedOn w:val="Normal"/>
    <w:link w:val="CommentTextChar"/>
    <w:uiPriority w:val="99"/>
    <w:semiHidden/>
    <w:unhideWhenUsed/>
    <w:rsid w:val="000C1A7D"/>
    <w:rPr>
      <w:sz w:val="20"/>
      <w:szCs w:val="20"/>
    </w:rPr>
  </w:style>
  <w:style w:type="character" w:customStyle="1" w:styleId="CommentTextChar">
    <w:name w:val="Comment Text Char"/>
    <w:basedOn w:val="DefaultParagraphFont"/>
    <w:link w:val="CommentText"/>
    <w:uiPriority w:val="99"/>
    <w:semiHidden/>
    <w:rsid w:val="000C1A7D"/>
  </w:style>
  <w:style w:type="paragraph" w:styleId="CommentSubject">
    <w:name w:val="annotation subject"/>
    <w:basedOn w:val="CommentText"/>
    <w:next w:val="CommentText"/>
    <w:link w:val="CommentSubjectChar"/>
    <w:uiPriority w:val="99"/>
    <w:semiHidden/>
    <w:unhideWhenUsed/>
    <w:rsid w:val="000C1A7D"/>
    <w:rPr>
      <w:b/>
      <w:bCs/>
    </w:rPr>
  </w:style>
  <w:style w:type="character" w:customStyle="1" w:styleId="CommentSubjectChar">
    <w:name w:val="Comment Subject Char"/>
    <w:link w:val="CommentSubject"/>
    <w:uiPriority w:val="99"/>
    <w:semiHidden/>
    <w:rsid w:val="000C1A7D"/>
    <w:rPr>
      <w:b/>
      <w:bCs/>
    </w:rPr>
  </w:style>
  <w:style w:type="paragraph" w:styleId="NormalWeb">
    <w:name w:val="Normal (Web)"/>
    <w:basedOn w:val="Normal"/>
    <w:uiPriority w:val="99"/>
    <w:semiHidden/>
    <w:unhideWhenUsed/>
    <w:rsid w:val="00A55ADE"/>
    <w:pPr>
      <w:spacing w:before="100" w:beforeAutospacing="1" w:after="100" w:afterAutospacing="1"/>
    </w:pPr>
  </w:style>
  <w:style w:type="character" w:customStyle="1" w:styleId="apple-converted-space">
    <w:name w:val="apple-converted-space"/>
    <w:rsid w:val="00A55ADE"/>
  </w:style>
  <w:style w:type="paragraph" w:styleId="ListParagraph">
    <w:name w:val="List Paragraph"/>
    <w:basedOn w:val="Normal"/>
    <w:uiPriority w:val="34"/>
    <w:qFormat/>
    <w:rsid w:val="00C43EE1"/>
    <w:pPr>
      <w:spacing w:after="200" w:line="276" w:lineRule="auto"/>
      <w:ind w:left="720"/>
      <w:contextualSpacing/>
    </w:pPr>
    <w:rPr>
      <w:rFonts w:ascii="Calibri" w:eastAsia="Calibri" w:hAnsi="Calibri"/>
      <w:sz w:val="22"/>
      <w:szCs w:val="22"/>
    </w:rPr>
  </w:style>
  <w:style w:type="character" w:customStyle="1" w:styleId="ft">
    <w:name w:val="ft"/>
    <w:rsid w:val="007A29BC"/>
  </w:style>
  <w:style w:type="character" w:styleId="Emphasis">
    <w:name w:val="Emphasis"/>
    <w:uiPriority w:val="20"/>
    <w:qFormat/>
    <w:rsid w:val="007A29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4182">
      <w:bodyDiv w:val="1"/>
      <w:marLeft w:val="0"/>
      <w:marRight w:val="0"/>
      <w:marTop w:val="0"/>
      <w:marBottom w:val="0"/>
      <w:divBdr>
        <w:top w:val="none" w:sz="0" w:space="0" w:color="auto"/>
        <w:left w:val="none" w:sz="0" w:space="0" w:color="auto"/>
        <w:bottom w:val="none" w:sz="0" w:space="0" w:color="auto"/>
        <w:right w:val="none" w:sz="0" w:space="0" w:color="auto"/>
      </w:divBdr>
    </w:div>
    <w:div w:id="1056471911">
      <w:bodyDiv w:val="1"/>
      <w:marLeft w:val="0"/>
      <w:marRight w:val="0"/>
      <w:marTop w:val="0"/>
      <w:marBottom w:val="0"/>
      <w:divBdr>
        <w:top w:val="none" w:sz="0" w:space="0" w:color="auto"/>
        <w:left w:val="none" w:sz="0" w:space="0" w:color="auto"/>
        <w:bottom w:val="none" w:sz="0" w:space="0" w:color="auto"/>
        <w:right w:val="none" w:sz="0" w:space="0" w:color="auto"/>
      </w:divBdr>
      <w:divsChild>
        <w:div w:id="832332805">
          <w:marLeft w:val="0"/>
          <w:marRight w:val="-5040"/>
          <w:marTop w:val="0"/>
          <w:marBottom w:val="0"/>
          <w:divBdr>
            <w:top w:val="none" w:sz="0" w:space="0" w:color="auto"/>
            <w:left w:val="none" w:sz="0" w:space="0" w:color="auto"/>
            <w:bottom w:val="none" w:sz="0" w:space="0" w:color="auto"/>
            <w:right w:val="none" w:sz="0" w:space="0" w:color="auto"/>
          </w:divBdr>
          <w:divsChild>
            <w:div w:id="1024481534">
              <w:marLeft w:val="0"/>
              <w:marRight w:val="5040"/>
              <w:marTop w:val="0"/>
              <w:marBottom w:val="0"/>
              <w:divBdr>
                <w:top w:val="none" w:sz="0" w:space="0" w:color="auto"/>
                <w:left w:val="none" w:sz="0" w:space="0" w:color="auto"/>
                <w:bottom w:val="none" w:sz="0" w:space="0" w:color="auto"/>
                <w:right w:val="none" w:sz="0" w:space="0" w:color="auto"/>
              </w:divBdr>
              <w:divsChild>
                <w:div w:id="10807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parsons@kravitzllc.com" TargetMode="External"/><Relationship Id="rId4" Type="http://schemas.microsoft.com/office/2007/relationships/stylesWithEffects" Target="stylesWithEffects.xml"/><Relationship Id="rId9" Type="http://schemas.openxmlformats.org/officeDocument/2006/relationships/hyperlink" Target="mailto:mdortch@kravitzllc.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toinsider.com/supreme-court-cpv-md-22483/" TargetMode="External"/><Relationship Id="rId1" Type="http://schemas.openxmlformats.org/officeDocument/2006/relationships/hyperlink" Target="http://codes.ohio.gov/orc/4928.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72933-AA7B-4636-9ED9-C0C73032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4294</Words>
  <Characters>22462</Characters>
  <Application>Microsoft Office Word</Application>
  <DocSecurity>4</DocSecurity>
  <Lines>641</Lines>
  <Paragraphs>382</Paragraphs>
  <ScaleCrop>false</ScaleCrop>
  <HeadingPairs>
    <vt:vector size="2" baseType="variant">
      <vt:variant>
        <vt:lpstr>Title</vt:lpstr>
      </vt:variant>
      <vt:variant>
        <vt:i4>1</vt:i4>
      </vt:variant>
    </vt:vector>
  </HeadingPairs>
  <TitlesOfParts>
    <vt:vector size="1" baseType="lpstr">
      <vt:lpstr>BEFORE THE PUBLIC UTILITIES COMMISSION OF OHIO</vt:lpstr>
    </vt:vector>
  </TitlesOfParts>
  <Company>Kravitz &amp; Kravitz</Company>
  <LinksUpToDate>false</LinksUpToDate>
  <CharactersWithSpaces>26374</CharactersWithSpaces>
  <SharedDoc>false</SharedDoc>
  <HLinks>
    <vt:vector size="18" baseType="variant">
      <vt:variant>
        <vt:i4>6094944</vt:i4>
      </vt:variant>
      <vt:variant>
        <vt:i4>3</vt:i4>
      </vt:variant>
      <vt:variant>
        <vt:i4>0</vt:i4>
      </vt:variant>
      <vt:variant>
        <vt:i4>5</vt:i4>
      </vt:variant>
      <vt:variant>
        <vt:lpwstr>mailto:rparsons@kravitzllc.com</vt:lpwstr>
      </vt:variant>
      <vt:variant>
        <vt:lpwstr/>
      </vt:variant>
      <vt:variant>
        <vt:i4>4718691</vt:i4>
      </vt:variant>
      <vt:variant>
        <vt:i4>0</vt:i4>
      </vt:variant>
      <vt:variant>
        <vt:i4>0</vt:i4>
      </vt:variant>
      <vt:variant>
        <vt:i4>5</vt:i4>
      </vt:variant>
      <vt:variant>
        <vt:lpwstr>mailto:mdortch@kravitzllc.com</vt:lpwstr>
      </vt:variant>
      <vt:variant>
        <vt:lpwstr/>
      </vt:variant>
      <vt:variant>
        <vt:i4>6815787</vt:i4>
      </vt:variant>
      <vt:variant>
        <vt:i4>0</vt:i4>
      </vt:variant>
      <vt:variant>
        <vt:i4>0</vt:i4>
      </vt:variant>
      <vt:variant>
        <vt:i4>5</vt:i4>
      </vt:variant>
      <vt:variant>
        <vt:lpwstr>http://codes.ohio.gov/orc/4928.142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UTILITIES COMMISSION OF OHIO</dc:title>
  <dc:creator>Michael Dortch</dc:creator>
  <cp:lastModifiedBy>DefaultUser</cp:lastModifiedBy>
  <cp:revision>2</cp:revision>
  <cp:lastPrinted>2016-02-26T21:12:00Z</cp:lastPrinted>
  <dcterms:created xsi:type="dcterms:W3CDTF">2016-02-26T21:56:00Z</dcterms:created>
  <dcterms:modified xsi:type="dcterms:W3CDTF">2016-02-26T21:56:00Z</dcterms:modified>
</cp:coreProperties>
</file>