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BC" w:rsidRDefault="008343BA">
      <w:pPr>
        <w:pStyle w:val="List"/>
        <w:ind w:left="0" w:firstLine="0"/>
        <w:jc w:val="center"/>
        <w:rPr>
          <w:b/>
        </w:rPr>
      </w:pPr>
      <w:bookmarkStart w:id="0" w:name="_GoBack"/>
      <w:bookmarkEnd w:id="0"/>
      <w:r>
        <w:rPr>
          <w:b/>
        </w:rPr>
        <w:t>BEFORE</w:t>
      </w:r>
    </w:p>
    <w:p w:rsidR="00DC65BC" w:rsidRDefault="008343BA">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DC65BC" w:rsidRDefault="00DC65BC">
      <w:pPr>
        <w:pStyle w:val="HTMLPreformatted"/>
        <w:rPr>
          <w:rFonts w:ascii="Times New Roman" w:hAnsi="Times New Roman"/>
        </w:rPr>
      </w:pPr>
    </w:p>
    <w:tbl>
      <w:tblPr>
        <w:tblW w:w="0" w:type="auto"/>
        <w:tblLook w:val="00A0" w:firstRow="1" w:lastRow="0" w:firstColumn="1" w:lastColumn="0" w:noHBand="0" w:noVBand="0"/>
      </w:tblPr>
      <w:tblGrid>
        <w:gridCol w:w="4668"/>
        <w:gridCol w:w="480"/>
        <w:gridCol w:w="3708"/>
      </w:tblGrid>
      <w:tr w:rsidR="00DC65BC" w:rsidTr="00296046">
        <w:tc>
          <w:tcPr>
            <w:tcW w:w="4668" w:type="dxa"/>
            <w:shd w:val="clear" w:color="auto" w:fill="auto"/>
          </w:tcPr>
          <w:p w:rsidR="00DC65BC" w:rsidRPr="00296046" w:rsidRDefault="008343BA">
            <w:pPr>
              <w:rPr>
                <w:szCs w:val="24"/>
              </w:rPr>
            </w:pPr>
            <w:r w:rsidRPr="00296046">
              <w:rPr>
                <w:szCs w:val="24"/>
              </w:rPr>
              <w:t>In the Matter of the Annual Verification of the Energy Efficiency and Peak Demand Reductions Achieved by the Electric Distribution Utilities Pursuant to Section 4928.66, Revised Code.</w:t>
            </w:r>
          </w:p>
        </w:tc>
        <w:tc>
          <w:tcPr>
            <w:tcW w:w="480" w:type="dxa"/>
            <w:shd w:val="clear" w:color="auto" w:fill="auto"/>
          </w:tcPr>
          <w:p w:rsidR="00DC65BC" w:rsidRPr="00296046" w:rsidRDefault="008343BA">
            <w:pPr>
              <w:rPr>
                <w:szCs w:val="24"/>
              </w:rPr>
            </w:pPr>
            <w:r w:rsidRPr="00296046">
              <w:rPr>
                <w:szCs w:val="24"/>
              </w:rPr>
              <w:t>)</w:t>
            </w:r>
            <w:r w:rsidRPr="00296046">
              <w:rPr>
                <w:szCs w:val="24"/>
              </w:rPr>
              <w:br/>
              <w:t>)</w:t>
            </w:r>
            <w:r w:rsidRPr="00296046">
              <w:rPr>
                <w:szCs w:val="24"/>
              </w:rPr>
              <w:br/>
              <w:t>)</w:t>
            </w:r>
            <w:r w:rsidRPr="00296046">
              <w:rPr>
                <w:szCs w:val="24"/>
              </w:rPr>
              <w:br/>
              <w:t>)</w:t>
            </w:r>
            <w:r w:rsidRPr="00296046">
              <w:rPr>
                <w:szCs w:val="24"/>
              </w:rPr>
              <w:br/>
              <w:t>)</w:t>
            </w:r>
            <w:r w:rsidRPr="00296046">
              <w:rPr>
                <w:szCs w:val="24"/>
              </w:rPr>
              <w:br/>
            </w:r>
          </w:p>
        </w:tc>
        <w:tc>
          <w:tcPr>
            <w:tcW w:w="3708" w:type="dxa"/>
            <w:shd w:val="clear" w:color="auto" w:fill="auto"/>
          </w:tcPr>
          <w:p w:rsidR="00DC65BC" w:rsidRPr="00296046" w:rsidRDefault="00DC65BC">
            <w:pPr>
              <w:rPr>
                <w:szCs w:val="24"/>
              </w:rPr>
            </w:pPr>
          </w:p>
          <w:p w:rsidR="00DC65BC" w:rsidRPr="00296046" w:rsidRDefault="00DC65BC">
            <w:pPr>
              <w:rPr>
                <w:szCs w:val="24"/>
              </w:rPr>
            </w:pPr>
          </w:p>
          <w:p w:rsidR="00DC65BC" w:rsidRPr="00296046" w:rsidRDefault="008343BA">
            <w:pPr>
              <w:rPr>
                <w:szCs w:val="24"/>
              </w:rPr>
            </w:pPr>
            <w:r w:rsidRPr="00296046">
              <w:rPr>
                <w:szCs w:val="24"/>
              </w:rPr>
              <w:t>Case No. 12-665-EL-UNC</w:t>
            </w:r>
          </w:p>
        </w:tc>
      </w:tr>
    </w:tbl>
    <w:p w:rsidR="00E63EFF" w:rsidRDefault="00E63EFF" w:rsidP="00E63EFF">
      <w:pPr>
        <w:pBdr>
          <w:bottom w:val="single" w:sz="12" w:space="1" w:color="auto"/>
        </w:pBdr>
        <w:jc w:val="center"/>
        <w:rPr>
          <w:b/>
        </w:rPr>
      </w:pPr>
    </w:p>
    <w:p w:rsidR="00E63EFF" w:rsidRDefault="00E63EFF" w:rsidP="00E63EFF">
      <w:pPr>
        <w:rPr>
          <w:b/>
        </w:rPr>
      </w:pPr>
    </w:p>
    <w:p w:rsidR="00DC65BC" w:rsidRPr="00E63EFF" w:rsidRDefault="008343BA" w:rsidP="00E63EFF">
      <w:pPr>
        <w:jc w:val="center"/>
        <w:rPr>
          <w:b/>
        </w:rPr>
      </w:pPr>
      <w:r w:rsidRPr="00E63EFF">
        <w:rPr>
          <w:b/>
        </w:rPr>
        <w:t>COMMENTS</w:t>
      </w:r>
    </w:p>
    <w:p w:rsidR="00DC65BC" w:rsidRPr="00E63EFF" w:rsidRDefault="008343BA" w:rsidP="00E63EFF">
      <w:pPr>
        <w:jc w:val="center"/>
        <w:rPr>
          <w:b/>
        </w:rPr>
      </w:pPr>
      <w:r w:rsidRPr="00E63EFF">
        <w:rPr>
          <w:b/>
        </w:rPr>
        <w:t>BY</w:t>
      </w:r>
    </w:p>
    <w:p w:rsidR="00DC65BC" w:rsidRDefault="008343BA" w:rsidP="00E63EFF">
      <w:pPr>
        <w:jc w:val="center"/>
        <w:rPr>
          <w:b/>
        </w:rPr>
      </w:pPr>
      <w:r w:rsidRPr="00E63EFF">
        <w:rPr>
          <w:b/>
        </w:rPr>
        <w:t>THE OFFICE OF THE OHIO CONSUMERS’ COUNSEL</w:t>
      </w:r>
    </w:p>
    <w:p w:rsidR="00E63EFF" w:rsidRDefault="00E63EFF" w:rsidP="00E63EFF">
      <w:pPr>
        <w:pBdr>
          <w:bottom w:val="single" w:sz="12" w:space="1" w:color="auto"/>
        </w:pBdr>
        <w:jc w:val="center"/>
        <w:rPr>
          <w:b/>
        </w:rPr>
      </w:pPr>
    </w:p>
    <w:p w:rsidR="00E63EFF" w:rsidRDefault="00E63EFF" w:rsidP="00E63EFF">
      <w:pPr>
        <w:rPr>
          <w:b/>
        </w:rPr>
      </w:pPr>
    </w:p>
    <w:p w:rsidR="00DC65BC" w:rsidRDefault="00DC65BC"/>
    <w:p w:rsidR="00DC65BC" w:rsidRDefault="00DC65BC"/>
    <w:p w:rsidR="00DC65BC" w:rsidRDefault="00DC65BC"/>
    <w:p w:rsidR="00DC65BC" w:rsidRDefault="008343BA">
      <w:pPr>
        <w:pStyle w:val="Footer"/>
        <w:tabs>
          <w:tab w:val="clear" w:pos="8640"/>
          <w:tab w:val="left" w:pos="4320"/>
        </w:tabs>
        <w:ind w:left="4320"/>
        <w:rPr>
          <w:szCs w:val="24"/>
        </w:rPr>
      </w:pPr>
      <w:r>
        <w:rPr>
          <w:szCs w:val="24"/>
        </w:rPr>
        <w:t>BRUCE J. WESTON</w:t>
      </w:r>
    </w:p>
    <w:p w:rsidR="00DC65BC" w:rsidRDefault="008343BA">
      <w:pPr>
        <w:tabs>
          <w:tab w:val="left" w:pos="4320"/>
        </w:tabs>
        <w:ind w:left="4320"/>
        <w:rPr>
          <w:szCs w:val="24"/>
        </w:rPr>
      </w:pPr>
      <w:smartTag w:uri="urn:schemas-microsoft-com:office:smarttags" w:element="place">
        <w:smartTag w:uri="urn:schemas-microsoft-com:office:smarttags" w:element="State">
          <w:r>
            <w:rPr>
              <w:szCs w:val="24"/>
            </w:rPr>
            <w:t>OHIO</w:t>
          </w:r>
        </w:smartTag>
      </w:smartTag>
      <w:r>
        <w:rPr>
          <w:szCs w:val="24"/>
        </w:rPr>
        <w:t xml:space="preserve"> CONSUMERS’ COUNSEL</w:t>
      </w:r>
    </w:p>
    <w:p w:rsidR="00DC65BC" w:rsidRDefault="008343BA">
      <w:pPr>
        <w:tabs>
          <w:tab w:val="left" w:pos="4320"/>
        </w:tabs>
        <w:rPr>
          <w:szCs w:val="24"/>
        </w:rPr>
      </w:pPr>
      <w:r>
        <w:rPr>
          <w:szCs w:val="24"/>
        </w:rPr>
        <w:tab/>
      </w:r>
    </w:p>
    <w:p w:rsidR="00DC65BC" w:rsidRDefault="008343BA">
      <w:pPr>
        <w:tabs>
          <w:tab w:val="left" w:pos="4320"/>
        </w:tabs>
        <w:ind w:left="4320"/>
        <w:rPr>
          <w:szCs w:val="24"/>
        </w:rPr>
      </w:pPr>
      <w:r>
        <w:rPr>
          <w:szCs w:val="24"/>
        </w:rPr>
        <w:t>Terry L. Etter, Counsel of Record</w:t>
      </w:r>
    </w:p>
    <w:p w:rsidR="00DC65BC" w:rsidRDefault="008343BA">
      <w:pPr>
        <w:tabs>
          <w:tab w:val="left" w:pos="4320"/>
        </w:tabs>
        <w:ind w:left="4320"/>
        <w:rPr>
          <w:szCs w:val="24"/>
        </w:rPr>
      </w:pPr>
      <w:r>
        <w:rPr>
          <w:szCs w:val="24"/>
        </w:rPr>
        <w:t>Assistant Consumers’ Counsel</w:t>
      </w:r>
    </w:p>
    <w:p w:rsidR="00DC65BC" w:rsidRDefault="00DC65BC">
      <w:pPr>
        <w:tabs>
          <w:tab w:val="left" w:pos="4320"/>
        </w:tabs>
        <w:ind w:left="4320"/>
        <w:rPr>
          <w:b/>
          <w:szCs w:val="24"/>
        </w:rPr>
      </w:pPr>
    </w:p>
    <w:p w:rsidR="00DC65BC" w:rsidRDefault="008343BA">
      <w:pPr>
        <w:tabs>
          <w:tab w:val="left" w:pos="4320"/>
        </w:tabs>
        <w:ind w:left="4320"/>
        <w:rPr>
          <w:szCs w:val="24"/>
        </w:rPr>
      </w:pPr>
      <w:r>
        <w:rPr>
          <w:b/>
          <w:szCs w:val="24"/>
        </w:rPr>
        <w:t xml:space="preserve">Office of the </w:t>
      </w:r>
      <w:smartTag w:uri="urn:schemas-microsoft-com:office:smarttags" w:element="State">
        <w:smartTag w:uri="urn:schemas-microsoft-com:office:smarttags" w:element="place">
          <w:r>
            <w:rPr>
              <w:b/>
              <w:szCs w:val="24"/>
            </w:rPr>
            <w:t>Ohio</w:t>
          </w:r>
        </w:smartTag>
      </w:smartTag>
      <w:r>
        <w:rPr>
          <w:b/>
          <w:szCs w:val="24"/>
        </w:rPr>
        <w:t xml:space="preserve"> Consumers’ Counsel</w:t>
      </w:r>
    </w:p>
    <w:p w:rsidR="00DC65BC" w:rsidRDefault="008343BA">
      <w:pPr>
        <w:tabs>
          <w:tab w:val="left" w:pos="4320"/>
        </w:tabs>
        <w:ind w:left="4320"/>
        <w:rPr>
          <w:szCs w:val="24"/>
        </w:rPr>
      </w:pPr>
      <w:smartTag w:uri="urn:schemas-microsoft-com:office:smarttags" w:element="Street">
        <w:smartTag w:uri="urn:schemas-microsoft-com:office:smarttags" w:element="address">
          <w:r>
            <w:rPr>
              <w:szCs w:val="24"/>
            </w:rPr>
            <w:t>10 West Broad Street, Suite 1800</w:t>
          </w:r>
        </w:smartTag>
      </w:smartTag>
    </w:p>
    <w:p w:rsidR="00DC65BC" w:rsidRDefault="008343BA">
      <w:pPr>
        <w:tabs>
          <w:tab w:val="left" w:pos="4320"/>
        </w:tabs>
        <w:ind w:left="4320"/>
        <w:rPr>
          <w:szCs w:val="24"/>
        </w:rPr>
      </w:pPr>
      <w:smartTag w:uri="urn:schemas-microsoft-com:office:smarttags" w:element="place">
        <w:smartTag w:uri="urn:schemas-microsoft-com:office:smarttags" w:element="City">
          <w:r>
            <w:rPr>
              <w:szCs w:val="24"/>
            </w:rPr>
            <w:t>Columbus</w:t>
          </w:r>
        </w:smartTag>
        <w:r>
          <w:rPr>
            <w:szCs w:val="24"/>
          </w:rPr>
          <w:t xml:space="preserve">, </w:t>
        </w:r>
        <w:smartTag w:uri="urn:schemas-microsoft-com:office:smarttags" w:element="State">
          <w:r>
            <w:rPr>
              <w:szCs w:val="24"/>
            </w:rPr>
            <w:t>Ohio</w:t>
          </w:r>
        </w:smartTag>
        <w:r>
          <w:rPr>
            <w:szCs w:val="24"/>
          </w:rPr>
          <w:t xml:space="preserve"> </w:t>
        </w:r>
        <w:smartTag w:uri="urn:schemas-microsoft-com:office:smarttags" w:element="PostalCode">
          <w:r>
            <w:rPr>
              <w:szCs w:val="24"/>
            </w:rPr>
            <w:t>43215-3485</w:t>
          </w:r>
        </w:smartTag>
      </w:smartTag>
    </w:p>
    <w:p w:rsidR="00DC65BC" w:rsidRDefault="008343BA">
      <w:pPr>
        <w:ind w:left="4320"/>
        <w:rPr>
          <w:szCs w:val="24"/>
        </w:rPr>
      </w:pPr>
      <w:r>
        <w:t xml:space="preserve">Telephone:  (614) </w:t>
      </w:r>
      <w:r>
        <w:rPr>
          <w:szCs w:val="24"/>
        </w:rPr>
        <w:t xml:space="preserve">466-7964 </w:t>
      </w:r>
    </w:p>
    <w:p w:rsidR="00DC65BC" w:rsidRDefault="004D2C34">
      <w:pPr>
        <w:ind w:left="4320"/>
      </w:pPr>
      <w:hyperlink r:id="rId8" w:history="1">
        <w:r w:rsidR="00E63EFF" w:rsidRPr="00B67E68">
          <w:rPr>
            <w:rStyle w:val="Hyperlink"/>
          </w:rPr>
          <w:t>etter@occ.state.oh.us</w:t>
        </w:r>
      </w:hyperlink>
    </w:p>
    <w:p w:rsidR="00E63EFF" w:rsidRDefault="00E63EFF">
      <w:pPr>
        <w:ind w:left="4320"/>
      </w:pPr>
    </w:p>
    <w:p w:rsidR="00DC65BC" w:rsidRDefault="00DC65BC"/>
    <w:p w:rsidR="00DC65BC" w:rsidRDefault="00DC65BC"/>
    <w:p w:rsidR="00DC65BC" w:rsidRDefault="00DC65BC"/>
    <w:p w:rsidR="00DC65BC" w:rsidRDefault="008343BA">
      <w:pPr>
        <w:rPr>
          <w:szCs w:val="24"/>
        </w:rPr>
      </w:pPr>
      <w:r>
        <w:t>November 2, 2012</w:t>
      </w:r>
    </w:p>
    <w:p w:rsidR="00296046" w:rsidRDefault="00296046">
      <w:pPr>
        <w:pStyle w:val="List"/>
        <w:ind w:left="0" w:firstLine="0"/>
        <w:sectPr w:rsidR="00296046">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titlePg/>
          <w:docGrid w:linePitch="326"/>
        </w:sectPr>
      </w:pPr>
    </w:p>
    <w:p w:rsidR="00DC65BC" w:rsidRDefault="008343BA">
      <w:pPr>
        <w:pStyle w:val="List"/>
        <w:ind w:left="0" w:firstLine="0"/>
        <w:jc w:val="center"/>
        <w:rPr>
          <w:b/>
        </w:rPr>
      </w:pPr>
      <w:r>
        <w:rPr>
          <w:b/>
        </w:rPr>
        <w:lastRenderedPageBreak/>
        <w:t>TABLE OF CONTENTS</w:t>
      </w:r>
    </w:p>
    <w:p w:rsidR="00296046" w:rsidRDefault="00296046">
      <w:pPr>
        <w:pStyle w:val="List"/>
        <w:ind w:left="0" w:firstLine="0"/>
        <w:jc w:val="center"/>
        <w:rPr>
          <w:b/>
        </w:rPr>
      </w:pPr>
    </w:p>
    <w:p w:rsidR="00296046" w:rsidRDefault="00296046">
      <w:pPr>
        <w:pStyle w:val="List"/>
        <w:ind w:left="0" w:firstLine="0"/>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E63EFF" w:rsidRDefault="00E63EFF">
      <w:pPr>
        <w:pStyle w:val="List"/>
        <w:ind w:left="0" w:firstLine="0"/>
        <w:jc w:val="center"/>
        <w:rPr>
          <w:b/>
        </w:rPr>
      </w:pPr>
    </w:p>
    <w:p w:rsidR="00296046" w:rsidRDefault="00E63EFF">
      <w:pPr>
        <w:pStyle w:val="List"/>
        <w:ind w:left="0" w:firstLine="0"/>
        <w:jc w:val="center"/>
        <w:rPr>
          <w:noProof/>
        </w:rPr>
      </w:pPr>
      <w:r>
        <w:rPr>
          <w:b/>
        </w:rPr>
        <w:tab/>
      </w:r>
      <w:r>
        <w:rPr>
          <w:b/>
        </w:rPr>
        <w:tab/>
      </w:r>
      <w:r w:rsidR="00296046">
        <w:rPr>
          <w:b/>
        </w:rPr>
        <w:fldChar w:fldCharType="begin"/>
      </w:r>
      <w:r w:rsidR="00296046">
        <w:rPr>
          <w:b/>
        </w:rPr>
        <w:instrText xml:space="preserve"> TOC \o "1-2" \h \z \u </w:instrText>
      </w:r>
      <w:r w:rsidR="00296046">
        <w:rPr>
          <w:b/>
        </w:rPr>
        <w:fldChar w:fldCharType="separate"/>
      </w:r>
    </w:p>
    <w:p w:rsidR="00296046" w:rsidRPr="00296046" w:rsidRDefault="004D2C34">
      <w:pPr>
        <w:pStyle w:val="TOC1"/>
        <w:rPr>
          <w:rFonts w:ascii="Calibri" w:hAnsi="Calibri"/>
          <w:noProof/>
          <w:sz w:val="22"/>
          <w:szCs w:val="22"/>
        </w:rPr>
      </w:pPr>
      <w:hyperlink w:anchor="_Toc339632498" w:history="1">
        <w:r w:rsidR="00296046" w:rsidRPr="005B4040">
          <w:rPr>
            <w:rStyle w:val="Hyperlink"/>
            <w:noProof/>
          </w:rPr>
          <w:t>I.</w:t>
        </w:r>
        <w:r w:rsidR="00296046" w:rsidRPr="00296046">
          <w:rPr>
            <w:rFonts w:ascii="Calibri" w:hAnsi="Calibri"/>
            <w:noProof/>
            <w:sz w:val="22"/>
            <w:szCs w:val="22"/>
          </w:rPr>
          <w:tab/>
        </w:r>
        <w:r w:rsidR="00296046" w:rsidRPr="005B4040">
          <w:rPr>
            <w:rStyle w:val="Hyperlink"/>
            <w:noProof/>
          </w:rPr>
          <w:t>INTRODUCTION</w:t>
        </w:r>
        <w:r w:rsidR="00296046">
          <w:rPr>
            <w:noProof/>
            <w:webHidden/>
          </w:rPr>
          <w:tab/>
        </w:r>
        <w:r w:rsidR="00296046">
          <w:rPr>
            <w:noProof/>
            <w:webHidden/>
          </w:rPr>
          <w:fldChar w:fldCharType="begin"/>
        </w:r>
        <w:r w:rsidR="00296046">
          <w:rPr>
            <w:noProof/>
            <w:webHidden/>
          </w:rPr>
          <w:instrText xml:space="preserve"> PAGEREF _Toc339632498 \h </w:instrText>
        </w:r>
        <w:r w:rsidR="00296046">
          <w:rPr>
            <w:noProof/>
            <w:webHidden/>
          </w:rPr>
        </w:r>
        <w:r w:rsidR="00296046">
          <w:rPr>
            <w:noProof/>
            <w:webHidden/>
          </w:rPr>
          <w:fldChar w:fldCharType="separate"/>
        </w:r>
        <w:r w:rsidR="007316BD">
          <w:rPr>
            <w:noProof/>
            <w:webHidden/>
          </w:rPr>
          <w:t>1</w:t>
        </w:r>
        <w:r w:rsidR="00296046">
          <w:rPr>
            <w:noProof/>
            <w:webHidden/>
          </w:rPr>
          <w:fldChar w:fldCharType="end"/>
        </w:r>
      </w:hyperlink>
    </w:p>
    <w:p w:rsidR="00296046" w:rsidRPr="00296046" w:rsidRDefault="004D2C34">
      <w:pPr>
        <w:pStyle w:val="TOC1"/>
        <w:rPr>
          <w:rFonts w:ascii="Calibri" w:hAnsi="Calibri"/>
          <w:noProof/>
          <w:sz w:val="22"/>
          <w:szCs w:val="22"/>
        </w:rPr>
      </w:pPr>
      <w:hyperlink w:anchor="_Toc339632499" w:history="1">
        <w:r w:rsidR="00296046" w:rsidRPr="005B4040">
          <w:rPr>
            <w:rStyle w:val="Hyperlink"/>
            <w:noProof/>
          </w:rPr>
          <w:t>II.</w:t>
        </w:r>
        <w:r w:rsidR="00296046" w:rsidRPr="00296046">
          <w:rPr>
            <w:rFonts w:ascii="Calibri" w:hAnsi="Calibri"/>
            <w:noProof/>
            <w:sz w:val="22"/>
            <w:szCs w:val="22"/>
          </w:rPr>
          <w:tab/>
        </w:r>
        <w:r w:rsidR="00296046" w:rsidRPr="005B4040">
          <w:rPr>
            <w:rStyle w:val="Hyperlink"/>
            <w:noProof/>
          </w:rPr>
          <w:t>COMMENTS ON EVERGREEN’S GENERAL RECOMMENDATIONS</w:t>
        </w:r>
        <w:r w:rsidR="00296046">
          <w:rPr>
            <w:noProof/>
            <w:webHidden/>
          </w:rPr>
          <w:tab/>
        </w:r>
        <w:r w:rsidR="00296046">
          <w:rPr>
            <w:noProof/>
            <w:webHidden/>
          </w:rPr>
          <w:fldChar w:fldCharType="begin"/>
        </w:r>
        <w:r w:rsidR="00296046">
          <w:rPr>
            <w:noProof/>
            <w:webHidden/>
          </w:rPr>
          <w:instrText xml:space="preserve"> PAGEREF _Toc339632499 \h </w:instrText>
        </w:r>
        <w:r w:rsidR="00296046">
          <w:rPr>
            <w:noProof/>
            <w:webHidden/>
          </w:rPr>
        </w:r>
        <w:r w:rsidR="00296046">
          <w:rPr>
            <w:noProof/>
            <w:webHidden/>
          </w:rPr>
          <w:fldChar w:fldCharType="separate"/>
        </w:r>
        <w:r w:rsidR="007316BD">
          <w:rPr>
            <w:noProof/>
            <w:webHidden/>
          </w:rPr>
          <w:t>2</w:t>
        </w:r>
        <w:r w:rsidR="00296046">
          <w:rPr>
            <w:noProof/>
            <w:webHidden/>
          </w:rPr>
          <w:fldChar w:fldCharType="end"/>
        </w:r>
      </w:hyperlink>
    </w:p>
    <w:p w:rsidR="00296046" w:rsidRPr="00296046" w:rsidRDefault="004D2C34">
      <w:pPr>
        <w:pStyle w:val="TOC2"/>
        <w:tabs>
          <w:tab w:val="left" w:pos="1440"/>
        </w:tabs>
        <w:rPr>
          <w:rFonts w:ascii="Calibri" w:hAnsi="Calibri"/>
          <w:noProof/>
          <w:sz w:val="22"/>
          <w:szCs w:val="22"/>
        </w:rPr>
      </w:pPr>
      <w:hyperlink w:anchor="_Toc339632500" w:history="1">
        <w:r w:rsidR="00296046" w:rsidRPr="005B4040">
          <w:rPr>
            <w:rStyle w:val="Hyperlink"/>
            <w:noProof/>
          </w:rPr>
          <w:t>A.</w:t>
        </w:r>
        <w:r w:rsidR="00296046" w:rsidRPr="00296046">
          <w:rPr>
            <w:rFonts w:ascii="Calibri" w:hAnsi="Calibri"/>
            <w:noProof/>
            <w:sz w:val="22"/>
            <w:szCs w:val="22"/>
          </w:rPr>
          <w:tab/>
        </w:r>
        <w:r w:rsidR="00296046" w:rsidRPr="005B4040">
          <w:rPr>
            <w:rStyle w:val="Hyperlink"/>
            <w:noProof/>
          </w:rPr>
          <w:t>There Should Be a Standardized CFL Installation Adjustment Factor Based on Actual Verification of CFL Usage by Customers.</w:t>
        </w:r>
        <w:r w:rsidR="00296046">
          <w:rPr>
            <w:noProof/>
            <w:webHidden/>
          </w:rPr>
          <w:tab/>
        </w:r>
        <w:r w:rsidR="00296046">
          <w:rPr>
            <w:noProof/>
            <w:webHidden/>
          </w:rPr>
          <w:fldChar w:fldCharType="begin"/>
        </w:r>
        <w:r w:rsidR="00296046">
          <w:rPr>
            <w:noProof/>
            <w:webHidden/>
          </w:rPr>
          <w:instrText xml:space="preserve"> PAGEREF _Toc339632500 \h </w:instrText>
        </w:r>
        <w:r w:rsidR="00296046">
          <w:rPr>
            <w:noProof/>
            <w:webHidden/>
          </w:rPr>
        </w:r>
        <w:r w:rsidR="00296046">
          <w:rPr>
            <w:noProof/>
            <w:webHidden/>
          </w:rPr>
          <w:fldChar w:fldCharType="separate"/>
        </w:r>
        <w:r w:rsidR="007316BD">
          <w:rPr>
            <w:noProof/>
            <w:webHidden/>
          </w:rPr>
          <w:t>3</w:t>
        </w:r>
        <w:r w:rsidR="00296046">
          <w:rPr>
            <w:noProof/>
            <w:webHidden/>
          </w:rPr>
          <w:fldChar w:fldCharType="end"/>
        </w:r>
      </w:hyperlink>
    </w:p>
    <w:p w:rsidR="00296046" w:rsidRPr="00296046" w:rsidRDefault="004D2C34">
      <w:pPr>
        <w:pStyle w:val="TOC2"/>
        <w:tabs>
          <w:tab w:val="left" w:pos="1440"/>
        </w:tabs>
        <w:rPr>
          <w:rFonts w:ascii="Calibri" w:hAnsi="Calibri"/>
          <w:noProof/>
          <w:sz w:val="22"/>
          <w:szCs w:val="22"/>
        </w:rPr>
      </w:pPr>
      <w:hyperlink w:anchor="_Toc339632501" w:history="1">
        <w:r w:rsidR="00296046" w:rsidRPr="005B4040">
          <w:rPr>
            <w:rStyle w:val="Hyperlink"/>
            <w:noProof/>
          </w:rPr>
          <w:t>B.</w:t>
        </w:r>
        <w:r w:rsidR="00296046" w:rsidRPr="00296046">
          <w:rPr>
            <w:rFonts w:ascii="Calibri" w:hAnsi="Calibri"/>
            <w:noProof/>
            <w:sz w:val="22"/>
            <w:szCs w:val="22"/>
          </w:rPr>
          <w:tab/>
        </w:r>
        <w:r w:rsidR="00296046" w:rsidRPr="005B4040">
          <w:rPr>
            <w:rStyle w:val="Hyperlink"/>
            <w:noProof/>
          </w:rPr>
          <w:t xml:space="preserve">There Should Be a Full List of </w:t>
        </w:r>
        <w:r w:rsidR="00296046" w:rsidRPr="005B4040">
          <w:rPr>
            <w:rStyle w:val="Hyperlink"/>
            <w:i/>
            <w:noProof/>
          </w:rPr>
          <w:t>Ex Ante</w:t>
        </w:r>
        <w:r w:rsidR="00296046" w:rsidRPr="005B4040">
          <w:rPr>
            <w:rStyle w:val="Hyperlink"/>
            <w:noProof/>
          </w:rPr>
          <w:t xml:space="preserve"> Sources for Savings.</w:t>
        </w:r>
        <w:r w:rsidR="00296046">
          <w:rPr>
            <w:noProof/>
            <w:webHidden/>
          </w:rPr>
          <w:tab/>
        </w:r>
        <w:r w:rsidR="00296046">
          <w:rPr>
            <w:noProof/>
            <w:webHidden/>
          </w:rPr>
          <w:fldChar w:fldCharType="begin"/>
        </w:r>
        <w:r w:rsidR="00296046">
          <w:rPr>
            <w:noProof/>
            <w:webHidden/>
          </w:rPr>
          <w:instrText xml:space="preserve"> PAGEREF _Toc339632501 \h </w:instrText>
        </w:r>
        <w:r w:rsidR="00296046">
          <w:rPr>
            <w:noProof/>
            <w:webHidden/>
          </w:rPr>
        </w:r>
        <w:r w:rsidR="00296046">
          <w:rPr>
            <w:noProof/>
            <w:webHidden/>
          </w:rPr>
          <w:fldChar w:fldCharType="separate"/>
        </w:r>
        <w:r w:rsidR="007316BD">
          <w:rPr>
            <w:noProof/>
            <w:webHidden/>
          </w:rPr>
          <w:t>4</w:t>
        </w:r>
        <w:r w:rsidR="00296046">
          <w:rPr>
            <w:noProof/>
            <w:webHidden/>
          </w:rPr>
          <w:fldChar w:fldCharType="end"/>
        </w:r>
      </w:hyperlink>
    </w:p>
    <w:p w:rsidR="00296046" w:rsidRPr="00296046" w:rsidRDefault="004D2C34">
      <w:pPr>
        <w:pStyle w:val="TOC2"/>
        <w:tabs>
          <w:tab w:val="left" w:pos="1440"/>
        </w:tabs>
        <w:rPr>
          <w:rFonts w:ascii="Calibri" w:hAnsi="Calibri"/>
          <w:noProof/>
          <w:sz w:val="22"/>
          <w:szCs w:val="22"/>
        </w:rPr>
      </w:pPr>
      <w:hyperlink w:anchor="_Toc339632502" w:history="1">
        <w:r w:rsidR="00296046" w:rsidRPr="005B4040">
          <w:rPr>
            <w:rStyle w:val="Hyperlink"/>
            <w:noProof/>
          </w:rPr>
          <w:t>C.</w:t>
        </w:r>
        <w:r w:rsidR="00296046" w:rsidRPr="00296046">
          <w:rPr>
            <w:rFonts w:ascii="Calibri" w:hAnsi="Calibri"/>
            <w:noProof/>
            <w:sz w:val="22"/>
            <w:szCs w:val="22"/>
          </w:rPr>
          <w:tab/>
        </w:r>
        <w:r w:rsidR="00296046" w:rsidRPr="005B4040">
          <w:rPr>
            <w:rStyle w:val="Hyperlink"/>
            <w:noProof/>
          </w:rPr>
          <w:t>Estimates of the Savings Achieved Through Home Audit and Energy Comparison Programs Should Be More Realistic.</w:t>
        </w:r>
        <w:r w:rsidR="00296046">
          <w:rPr>
            <w:noProof/>
            <w:webHidden/>
          </w:rPr>
          <w:tab/>
        </w:r>
        <w:r w:rsidR="00296046">
          <w:rPr>
            <w:noProof/>
            <w:webHidden/>
          </w:rPr>
          <w:fldChar w:fldCharType="begin"/>
        </w:r>
        <w:r w:rsidR="00296046">
          <w:rPr>
            <w:noProof/>
            <w:webHidden/>
          </w:rPr>
          <w:instrText xml:space="preserve"> PAGEREF _Toc339632502 \h </w:instrText>
        </w:r>
        <w:r w:rsidR="00296046">
          <w:rPr>
            <w:noProof/>
            <w:webHidden/>
          </w:rPr>
        </w:r>
        <w:r w:rsidR="00296046">
          <w:rPr>
            <w:noProof/>
            <w:webHidden/>
          </w:rPr>
          <w:fldChar w:fldCharType="separate"/>
        </w:r>
        <w:r w:rsidR="007316BD">
          <w:rPr>
            <w:noProof/>
            <w:webHidden/>
          </w:rPr>
          <w:t>6</w:t>
        </w:r>
        <w:r w:rsidR="00296046">
          <w:rPr>
            <w:noProof/>
            <w:webHidden/>
          </w:rPr>
          <w:fldChar w:fldCharType="end"/>
        </w:r>
      </w:hyperlink>
    </w:p>
    <w:p w:rsidR="00296046" w:rsidRPr="00296046" w:rsidRDefault="004D2C34">
      <w:pPr>
        <w:pStyle w:val="TOC1"/>
        <w:rPr>
          <w:rFonts w:ascii="Calibri" w:hAnsi="Calibri"/>
          <w:noProof/>
          <w:sz w:val="22"/>
          <w:szCs w:val="22"/>
        </w:rPr>
      </w:pPr>
      <w:hyperlink w:anchor="_Toc339632503" w:history="1">
        <w:r w:rsidR="00296046" w:rsidRPr="005B4040">
          <w:rPr>
            <w:rStyle w:val="Hyperlink"/>
            <w:noProof/>
          </w:rPr>
          <w:t>III.</w:t>
        </w:r>
        <w:r w:rsidR="00296046" w:rsidRPr="00296046">
          <w:rPr>
            <w:rFonts w:ascii="Calibri" w:hAnsi="Calibri"/>
            <w:noProof/>
            <w:sz w:val="22"/>
            <w:szCs w:val="22"/>
          </w:rPr>
          <w:tab/>
        </w:r>
        <w:r w:rsidR="00296046" w:rsidRPr="005B4040">
          <w:rPr>
            <w:rStyle w:val="Hyperlink"/>
            <w:noProof/>
          </w:rPr>
          <w:t>COMMENTS ON EVERGREEN’S UTILITY-SPECIFIC RECOMMENDATIONS.</w:t>
        </w:r>
        <w:r w:rsidR="00296046">
          <w:rPr>
            <w:noProof/>
            <w:webHidden/>
          </w:rPr>
          <w:tab/>
        </w:r>
        <w:r w:rsidR="00296046">
          <w:rPr>
            <w:noProof/>
            <w:webHidden/>
          </w:rPr>
          <w:fldChar w:fldCharType="begin"/>
        </w:r>
        <w:r w:rsidR="00296046">
          <w:rPr>
            <w:noProof/>
            <w:webHidden/>
          </w:rPr>
          <w:instrText xml:space="preserve"> PAGEREF _Toc339632503 \h </w:instrText>
        </w:r>
        <w:r w:rsidR="00296046">
          <w:rPr>
            <w:noProof/>
            <w:webHidden/>
          </w:rPr>
        </w:r>
        <w:r w:rsidR="00296046">
          <w:rPr>
            <w:noProof/>
            <w:webHidden/>
          </w:rPr>
          <w:fldChar w:fldCharType="separate"/>
        </w:r>
        <w:r w:rsidR="007316BD">
          <w:rPr>
            <w:noProof/>
            <w:webHidden/>
          </w:rPr>
          <w:t>8</w:t>
        </w:r>
        <w:r w:rsidR="00296046">
          <w:rPr>
            <w:noProof/>
            <w:webHidden/>
          </w:rPr>
          <w:fldChar w:fldCharType="end"/>
        </w:r>
      </w:hyperlink>
    </w:p>
    <w:p w:rsidR="00296046" w:rsidRPr="00296046" w:rsidRDefault="004D2C34">
      <w:pPr>
        <w:pStyle w:val="TOC2"/>
        <w:tabs>
          <w:tab w:val="left" w:pos="1440"/>
        </w:tabs>
        <w:rPr>
          <w:rFonts w:ascii="Calibri" w:hAnsi="Calibri"/>
          <w:noProof/>
          <w:sz w:val="22"/>
          <w:szCs w:val="22"/>
        </w:rPr>
      </w:pPr>
      <w:hyperlink w:anchor="_Toc339632504" w:history="1">
        <w:r w:rsidR="00296046" w:rsidRPr="005B4040">
          <w:rPr>
            <w:rStyle w:val="Hyperlink"/>
            <w:noProof/>
          </w:rPr>
          <w:t>A.</w:t>
        </w:r>
        <w:r w:rsidR="00296046" w:rsidRPr="00296046">
          <w:rPr>
            <w:rFonts w:ascii="Calibri" w:hAnsi="Calibri"/>
            <w:noProof/>
            <w:sz w:val="22"/>
            <w:szCs w:val="22"/>
          </w:rPr>
          <w:tab/>
        </w:r>
        <w:r w:rsidR="00296046" w:rsidRPr="005B4040">
          <w:rPr>
            <w:rStyle w:val="Hyperlink"/>
            <w:noProof/>
          </w:rPr>
          <w:t>AEP Ohio</w:t>
        </w:r>
        <w:r w:rsidR="00296046">
          <w:rPr>
            <w:noProof/>
            <w:webHidden/>
          </w:rPr>
          <w:tab/>
        </w:r>
        <w:r w:rsidR="00296046">
          <w:rPr>
            <w:noProof/>
            <w:webHidden/>
          </w:rPr>
          <w:fldChar w:fldCharType="begin"/>
        </w:r>
        <w:r w:rsidR="00296046">
          <w:rPr>
            <w:noProof/>
            <w:webHidden/>
          </w:rPr>
          <w:instrText xml:space="preserve"> PAGEREF _Toc339632504 \h </w:instrText>
        </w:r>
        <w:r w:rsidR="00296046">
          <w:rPr>
            <w:noProof/>
            <w:webHidden/>
          </w:rPr>
        </w:r>
        <w:r w:rsidR="00296046">
          <w:rPr>
            <w:noProof/>
            <w:webHidden/>
          </w:rPr>
          <w:fldChar w:fldCharType="separate"/>
        </w:r>
        <w:r w:rsidR="007316BD">
          <w:rPr>
            <w:noProof/>
            <w:webHidden/>
          </w:rPr>
          <w:t>8</w:t>
        </w:r>
        <w:r w:rsidR="00296046">
          <w:rPr>
            <w:noProof/>
            <w:webHidden/>
          </w:rPr>
          <w:fldChar w:fldCharType="end"/>
        </w:r>
      </w:hyperlink>
    </w:p>
    <w:p w:rsidR="00296046" w:rsidRPr="00296046" w:rsidRDefault="004D2C34">
      <w:pPr>
        <w:pStyle w:val="TOC2"/>
        <w:tabs>
          <w:tab w:val="left" w:pos="1440"/>
        </w:tabs>
        <w:rPr>
          <w:rFonts w:ascii="Calibri" w:hAnsi="Calibri"/>
          <w:noProof/>
          <w:sz w:val="22"/>
          <w:szCs w:val="22"/>
        </w:rPr>
      </w:pPr>
      <w:hyperlink w:anchor="_Toc339632505" w:history="1">
        <w:r w:rsidR="00296046" w:rsidRPr="005B4040">
          <w:rPr>
            <w:rStyle w:val="Hyperlink"/>
            <w:noProof/>
          </w:rPr>
          <w:t xml:space="preserve">B. </w:t>
        </w:r>
        <w:r w:rsidR="00296046" w:rsidRPr="00296046">
          <w:rPr>
            <w:rFonts w:ascii="Calibri" w:hAnsi="Calibri"/>
            <w:noProof/>
            <w:sz w:val="22"/>
            <w:szCs w:val="22"/>
          </w:rPr>
          <w:tab/>
        </w:r>
        <w:r w:rsidR="00296046" w:rsidRPr="005B4040">
          <w:rPr>
            <w:rStyle w:val="Hyperlink"/>
            <w:noProof/>
          </w:rPr>
          <w:t>Duke Energy Ohio</w:t>
        </w:r>
        <w:r w:rsidR="00296046">
          <w:rPr>
            <w:noProof/>
            <w:webHidden/>
          </w:rPr>
          <w:tab/>
        </w:r>
        <w:r w:rsidR="00296046">
          <w:rPr>
            <w:noProof/>
            <w:webHidden/>
          </w:rPr>
          <w:fldChar w:fldCharType="begin"/>
        </w:r>
        <w:r w:rsidR="00296046">
          <w:rPr>
            <w:noProof/>
            <w:webHidden/>
          </w:rPr>
          <w:instrText xml:space="preserve"> PAGEREF _Toc339632505 \h </w:instrText>
        </w:r>
        <w:r w:rsidR="00296046">
          <w:rPr>
            <w:noProof/>
            <w:webHidden/>
          </w:rPr>
        </w:r>
        <w:r w:rsidR="00296046">
          <w:rPr>
            <w:noProof/>
            <w:webHidden/>
          </w:rPr>
          <w:fldChar w:fldCharType="separate"/>
        </w:r>
        <w:r w:rsidR="007316BD">
          <w:rPr>
            <w:noProof/>
            <w:webHidden/>
          </w:rPr>
          <w:t>10</w:t>
        </w:r>
        <w:r w:rsidR="00296046">
          <w:rPr>
            <w:noProof/>
            <w:webHidden/>
          </w:rPr>
          <w:fldChar w:fldCharType="end"/>
        </w:r>
      </w:hyperlink>
    </w:p>
    <w:p w:rsidR="00296046" w:rsidRPr="00296046" w:rsidRDefault="004D2C34">
      <w:pPr>
        <w:pStyle w:val="TOC2"/>
        <w:tabs>
          <w:tab w:val="left" w:pos="1440"/>
        </w:tabs>
        <w:rPr>
          <w:rFonts w:ascii="Calibri" w:hAnsi="Calibri"/>
          <w:noProof/>
          <w:sz w:val="22"/>
          <w:szCs w:val="22"/>
        </w:rPr>
      </w:pPr>
      <w:hyperlink w:anchor="_Toc339632506" w:history="1">
        <w:r w:rsidR="00296046" w:rsidRPr="005B4040">
          <w:rPr>
            <w:rStyle w:val="Hyperlink"/>
            <w:noProof/>
          </w:rPr>
          <w:t xml:space="preserve">C. </w:t>
        </w:r>
        <w:r w:rsidR="00296046" w:rsidRPr="00296046">
          <w:rPr>
            <w:rFonts w:ascii="Calibri" w:hAnsi="Calibri"/>
            <w:noProof/>
            <w:sz w:val="22"/>
            <w:szCs w:val="22"/>
          </w:rPr>
          <w:tab/>
        </w:r>
        <w:r w:rsidR="00296046" w:rsidRPr="005B4040">
          <w:rPr>
            <w:rStyle w:val="Hyperlink"/>
            <w:noProof/>
          </w:rPr>
          <w:t>Dayton Power and Light</w:t>
        </w:r>
        <w:r w:rsidR="00296046">
          <w:rPr>
            <w:noProof/>
            <w:webHidden/>
          </w:rPr>
          <w:tab/>
        </w:r>
        <w:r w:rsidR="00296046">
          <w:rPr>
            <w:noProof/>
            <w:webHidden/>
          </w:rPr>
          <w:fldChar w:fldCharType="begin"/>
        </w:r>
        <w:r w:rsidR="00296046">
          <w:rPr>
            <w:noProof/>
            <w:webHidden/>
          </w:rPr>
          <w:instrText xml:space="preserve"> PAGEREF _Toc339632506 \h </w:instrText>
        </w:r>
        <w:r w:rsidR="00296046">
          <w:rPr>
            <w:noProof/>
            <w:webHidden/>
          </w:rPr>
        </w:r>
        <w:r w:rsidR="00296046">
          <w:rPr>
            <w:noProof/>
            <w:webHidden/>
          </w:rPr>
          <w:fldChar w:fldCharType="separate"/>
        </w:r>
        <w:r w:rsidR="007316BD">
          <w:rPr>
            <w:noProof/>
            <w:webHidden/>
          </w:rPr>
          <w:t>14</w:t>
        </w:r>
        <w:r w:rsidR="00296046">
          <w:rPr>
            <w:noProof/>
            <w:webHidden/>
          </w:rPr>
          <w:fldChar w:fldCharType="end"/>
        </w:r>
      </w:hyperlink>
    </w:p>
    <w:p w:rsidR="00296046" w:rsidRPr="00296046" w:rsidRDefault="004D2C34">
      <w:pPr>
        <w:pStyle w:val="TOC2"/>
        <w:tabs>
          <w:tab w:val="left" w:pos="1440"/>
        </w:tabs>
        <w:rPr>
          <w:rFonts w:ascii="Calibri" w:hAnsi="Calibri"/>
          <w:noProof/>
          <w:sz w:val="22"/>
          <w:szCs w:val="22"/>
        </w:rPr>
      </w:pPr>
      <w:hyperlink w:anchor="_Toc339632507" w:history="1">
        <w:r w:rsidR="00296046" w:rsidRPr="005B4040">
          <w:rPr>
            <w:rStyle w:val="Hyperlink"/>
            <w:noProof/>
          </w:rPr>
          <w:t>D.</w:t>
        </w:r>
        <w:r w:rsidR="00296046" w:rsidRPr="00296046">
          <w:rPr>
            <w:rFonts w:ascii="Calibri" w:hAnsi="Calibri"/>
            <w:noProof/>
            <w:sz w:val="22"/>
            <w:szCs w:val="22"/>
          </w:rPr>
          <w:tab/>
        </w:r>
        <w:r w:rsidR="00296046" w:rsidRPr="005B4040">
          <w:rPr>
            <w:rStyle w:val="Hyperlink"/>
            <w:noProof/>
          </w:rPr>
          <w:t>FirstEnergy</w:t>
        </w:r>
        <w:r w:rsidR="00296046">
          <w:rPr>
            <w:noProof/>
            <w:webHidden/>
          </w:rPr>
          <w:tab/>
        </w:r>
        <w:r w:rsidR="00296046">
          <w:rPr>
            <w:noProof/>
            <w:webHidden/>
          </w:rPr>
          <w:fldChar w:fldCharType="begin"/>
        </w:r>
        <w:r w:rsidR="00296046">
          <w:rPr>
            <w:noProof/>
            <w:webHidden/>
          </w:rPr>
          <w:instrText xml:space="preserve"> PAGEREF _Toc339632507 \h </w:instrText>
        </w:r>
        <w:r w:rsidR="00296046">
          <w:rPr>
            <w:noProof/>
            <w:webHidden/>
          </w:rPr>
        </w:r>
        <w:r w:rsidR="00296046">
          <w:rPr>
            <w:noProof/>
            <w:webHidden/>
          </w:rPr>
          <w:fldChar w:fldCharType="separate"/>
        </w:r>
        <w:r w:rsidR="007316BD">
          <w:rPr>
            <w:noProof/>
            <w:webHidden/>
          </w:rPr>
          <w:t>14</w:t>
        </w:r>
        <w:r w:rsidR="00296046">
          <w:rPr>
            <w:noProof/>
            <w:webHidden/>
          </w:rPr>
          <w:fldChar w:fldCharType="end"/>
        </w:r>
      </w:hyperlink>
    </w:p>
    <w:p w:rsidR="00296046" w:rsidRPr="00296046" w:rsidRDefault="004D2C34">
      <w:pPr>
        <w:pStyle w:val="TOC1"/>
        <w:rPr>
          <w:rFonts w:ascii="Calibri" w:hAnsi="Calibri"/>
          <w:noProof/>
          <w:sz w:val="22"/>
          <w:szCs w:val="22"/>
        </w:rPr>
      </w:pPr>
      <w:hyperlink w:anchor="_Toc339632508" w:history="1">
        <w:r w:rsidR="00296046" w:rsidRPr="005B4040">
          <w:rPr>
            <w:rStyle w:val="Hyperlink"/>
            <w:noProof/>
          </w:rPr>
          <w:t xml:space="preserve">IV. </w:t>
        </w:r>
        <w:r w:rsidR="00296046" w:rsidRPr="00296046">
          <w:rPr>
            <w:rFonts w:ascii="Calibri" w:hAnsi="Calibri"/>
            <w:noProof/>
            <w:sz w:val="22"/>
            <w:szCs w:val="22"/>
          </w:rPr>
          <w:tab/>
        </w:r>
        <w:r w:rsidR="00296046" w:rsidRPr="005B4040">
          <w:rPr>
            <w:rStyle w:val="Hyperlink"/>
            <w:noProof/>
          </w:rPr>
          <w:t xml:space="preserve">THE COMMISSION SHOULD REVIVE THE MONITORING AND VERIFICATION DOCKET (09-512-GE-UNC), AND SHOULD UPDATE </w:t>
        </w:r>
        <w:r w:rsidR="007A3195">
          <w:rPr>
            <w:rStyle w:val="Hyperlink"/>
            <w:noProof/>
          </w:rPr>
          <w:br/>
        </w:r>
        <w:r w:rsidR="00296046" w:rsidRPr="005B4040">
          <w:rPr>
            <w:rStyle w:val="Hyperlink"/>
            <w:noProof/>
          </w:rPr>
          <w:t>AND FINALIZE THE OHIO TECHNICAL REFERENCE MANUAL AND APPROVE A PROCESS FOR UPDATING THE MANUAL.</w:t>
        </w:r>
        <w:r w:rsidR="00296046">
          <w:rPr>
            <w:noProof/>
            <w:webHidden/>
          </w:rPr>
          <w:tab/>
        </w:r>
        <w:r w:rsidR="00296046">
          <w:rPr>
            <w:noProof/>
            <w:webHidden/>
          </w:rPr>
          <w:fldChar w:fldCharType="begin"/>
        </w:r>
        <w:r w:rsidR="00296046">
          <w:rPr>
            <w:noProof/>
            <w:webHidden/>
          </w:rPr>
          <w:instrText xml:space="preserve"> PAGEREF _Toc339632508 \h </w:instrText>
        </w:r>
        <w:r w:rsidR="00296046">
          <w:rPr>
            <w:noProof/>
            <w:webHidden/>
          </w:rPr>
        </w:r>
        <w:r w:rsidR="00296046">
          <w:rPr>
            <w:noProof/>
            <w:webHidden/>
          </w:rPr>
          <w:fldChar w:fldCharType="separate"/>
        </w:r>
        <w:r w:rsidR="007316BD">
          <w:rPr>
            <w:noProof/>
            <w:webHidden/>
          </w:rPr>
          <w:t>16</w:t>
        </w:r>
        <w:r w:rsidR="00296046">
          <w:rPr>
            <w:noProof/>
            <w:webHidden/>
          </w:rPr>
          <w:fldChar w:fldCharType="end"/>
        </w:r>
      </w:hyperlink>
    </w:p>
    <w:p w:rsidR="00296046" w:rsidRPr="00296046" w:rsidRDefault="004D2C34">
      <w:pPr>
        <w:pStyle w:val="TOC1"/>
        <w:rPr>
          <w:rFonts w:ascii="Calibri" w:hAnsi="Calibri"/>
          <w:noProof/>
          <w:sz w:val="22"/>
          <w:szCs w:val="22"/>
        </w:rPr>
      </w:pPr>
      <w:hyperlink w:anchor="_Toc339632509" w:history="1">
        <w:r w:rsidR="00296046" w:rsidRPr="005B4040">
          <w:rPr>
            <w:rStyle w:val="Hyperlink"/>
            <w:rFonts w:eastAsia="MS Mincho"/>
            <w:noProof/>
          </w:rPr>
          <w:t>V.</w:t>
        </w:r>
        <w:r w:rsidR="00296046" w:rsidRPr="00296046">
          <w:rPr>
            <w:rFonts w:ascii="Calibri" w:hAnsi="Calibri"/>
            <w:noProof/>
            <w:sz w:val="22"/>
            <w:szCs w:val="22"/>
          </w:rPr>
          <w:tab/>
        </w:r>
        <w:r w:rsidR="00296046" w:rsidRPr="005B4040">
          <w:rPr>
            <w:rStyle w:val="Hyperlink"/>
            <w:rFonts w:eastAsia="MS Mincho"/>
            <w:noProof/>
          </w:rPr>
          <w:t>CONCLUSION</w:t>
        </w:r>
        <w:r w:rsidR="00296046">
          <w:rPr>
            <w:noProof/>
            <w:webHidden/>
          </w:rPr>
          <w:tab/>
        </w:r>
        <w:r w:rsidR="00296046">
          <w:rPr>
            <w:noProof/>
            <w:webHidden/>
          </w:rPr>
          <w:fldChar w:fldCharType="begin"/>
        </w:r>
        <w:r w:rsidR="00296046">
          <w:rPr>
            <w:noProof/>
            <w:webHidden/>
          </w:rPr>
          <w:instrText xml:space="preserve"> PAGEREF _Toc339632509 \h </w:instrText>
        </w:r>
        <w:r w:rsidR="00296046">
          <w:rPr>
            <w:noProof/>
            <w:webHidden/>
          </w:rPr>
        </w:r>
        <w:r w:rsidR="00296046">
          <w:rPr>
            <w:noProof/>
            <w:webHidden/>
          </w:rPr>
          <w:fldChar w:fldCharType="separate"/>
        </w:r>
        <w:r w:rsidR="007316BD">
          <w:rPr>
            <w:noProof/>
            <w:webHidden/>
          </w:rPr>
          <w:t>18</w:t>
        </w:r>
        <w:r w:rsidR="00296046">
          <w:rPr>
            <w:noProof/>
            <w:webHidden/>
          </w:rPr>
          <w:fldChar w:fldCharType="end"/>
        </w:r>
      </w:hyperlink>
    </w:p>
    <w:p w:rsidR="00E63EFF" w:rsidRDefault="00296046">
      <w:pPr>
        <w:pStyle w:val="List"/>
        <w:ind w:left="0" w:firstLine="0"/>
        <w:jc w:val="center"/>
      </w:pPr>
      <w:r>
        <w:rPr>
          <w:b/>
        </w:rPr>
        <w:fldChar w:fldCharType="end"/>
      </w:r>
      <w:r w:rsidR="00E63EFF">
        <w:rPr>
          <w:b/>
        </w:rPr>
        <w:tab/>
      </w:r>
      <w:r w:rsidR="00E63EFF">
        <w:rPr>
          <w:b/>
        </w:rPr>
        <w:tab/>
      </w:r>
      <w:r w:rsidR="00E63EFF">
        <w:rPr>
          <w:b/>
        </w:rPr>
        <w:tab/>
      </w:r>
      <w:r w:rsidR="00E63EFF">
        <w:rPr>
          <w:b/>
        </w:rPr>
        <w:tab/>
      </w:r>
      <w:r w:rsidR="00E63EFF">
        <w:rPr>
          <w:b/>
        </w:rPr>
        <w:tab/>
      </w:r>
      <w:r w:rsidR="00E63EFF">
        <w:rPr>
          <w:b/>
        </w:rPr>
        <w:tab/>
      </w:r>
      <w:r w:rsidR="00E63EFF">
        <w:rPr>
          <w:b/>
        </w:rPr>
        <w:tab/>
      </w:r>
      <w:r w:rsidR="00E63EFF">
        <w:rPr>
          <w:b/>
        </w:rPr>
        <w:tab/>
      </w:r>
    </w:p>
    <w:p w:rsidR="00296046" w:rsidRDefault="00296046">
      <w:pPr>
        <w:pStyle w:val="List"/>
        <w:ind w:left="0" w:firstLine="0"/>
        <w:jc w:val="center"/>
        <w:rPr>
          <w:b/>
        </w:rPr>
        <w:sectPr w:rsidR="00296046">
          <w:headerReference w:type="first" r:id="rId15"/>
          <w:footerReference w:type="first" r:id="rId16"/>
          <w:pgSz w:w="12240" w:h="15840" w:code="1"/>
          <w:pgMar w:top="1440" w:right="1800" w:bottom="1440" w:left="1800" w:header="720" w:footer="720" w:gutter="0"/>
          <w:pgNumType w:start="1"/>
          <w:cols w:space="720"/>
          <w:titlePg/>
          <w:docGrid w:linePitch="326"/>
        </w:sectPr>
      </w:pPr>
    </w:p>
    <w:p w:rsidR="00DC65BC" w:rsidRDefault="008343BA">
      <w:pPr>
        <w:pStyle w:val="List"/>
        <w:ind w:left="0" w:firstLine="0"/>
        <w:jc w:val="center"/>
        <w:rPr>
          <w:b/>
        </w:rPr>
      </w:pPr>
      <w:r>
        <w:rPr>
          <w:b/>
        </w:rPr>
        <w:lastRenderedPageBreak/>
        <w:t>BEFORE</w:t>
      </w:r>
    </w:p>
    <w:p w:rsidR="00DC65BC" w:rsidRDefault="008343BA">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DC65BC" w:rsidRDefault="00DC65BC">
      <w:pPr>
        <w:pStyle w:val="HTMLPreformatted"/>
        <w:rPr>
          <w:rFonts w:ascii="Times New Roman" w:hAnsi="Times New Roman"/>
        </w:rPr>
      </w:pPr>
    </w:p>
    <w:tbl>
      <w:tblPr>
        <w:tblW w:w="0" w:type="auto"/>
        <w:tblLook w:val="00A0" w:firstRow="1" w:lastRow="0" w:firstColumn="1" w:lastColumn="0" w:noHBand="0" w:noVBand="0"/>
      </w:tblPr>
      <w:tblGrid>
        <w:gridCol w:w="4668"/>
        <w:gridCol w:w="480"/>
        <w:gridCol w:w="3708"/>
      </w:tblGrid>
      <w:tr w:rsidR="00DC65BC" w:rsidTr="00296046">
        <w:tc>
          <w:tcPr>
            <w:tcW w:w="4668" w:type="dxa"/>
            <w:shd w:val="clear" w:color="auto" w:fill="auto"/>
          </w:tcPr>
          <w:p w:rsidR="00DC65BC" w:rsidRPr="00296046" w:rsidRDefault="008343BA">
            <w:pPr>
              <w:rPr>
                <w:szCs w:val="24"/>
              </w:rPr>
            </w:pPr>
            <w:r w:rsidRPr="00296046">
              <w:rPr>
                <w:szCs w:val="24"/>
              </w:rPr>
              <w:t>In the Matter of the Annual Verification of the Energy Efficiency and Peak Demand Reductions Achieved by the Electric Distribution Utilities Pursuant to Section 4928.66, Revised Code.</w:t>
            </w:r>
          </w:p>
        </w:tc>
        <w:tc>
          <w:tcPr>
            <w:tcW w:w="480" w:type="dxa"/>
            <w:shd w:val="clear" w:color="auto" w:fill="auto"/>
          </w:tcPr>
          <w:p w:rsidR="00DC65BC" w:rsidRPr="00296046" w:rsidRDefault="008343BA">
            <w:pPr>
              <w:rPr>
                <w:szCs w:val="24"/>
              </w:rPr>
            </w:pPr>
            <w:r w:rsidRPr="00296046">
              <w:rPr>
                <w:szCs w:val="24"/>
              </w:rPr>
              <w:t>)</w:t>
            </w:r>
            <w:r w:rsidRPr="00296046">
              <w:rPr>
                <w:szCs w:val="24"/>
              </w:rPr>
              <w:br/>
              <w:t>)</w:t>
            </w:r>
            <w:r w:rsidRPr="00296046">
              <w:rPr>
                <w:szCs w:val="24"/>
              </w:rPr>
              <w:br/>
              <w:t>)</w:t>
            </w:r>
            <w:r w:rsidRPr="00296046">
              <w:rPr>
                <w:szCs w:val="24"/>
              </w:rPr>
              <w:br/>
              <w:t>)</w:t>
            </w:r>
            <w:r w:rsidRPr="00296046">
              <w:rPr>
                <w:szCs w:val="24"/>
              </w:rPr>
              <w:br/>
              <w:t>)</w:t>
            </w:r>
            <w:r w:rsidRPr="00296046">
              <w:rPr>
                <w:szCs w:val="24"/>
              </w:rPr>
              <w:br/>
            </w:r>
          </w:p>
        </w:tc>
        <w:tc>
          <w:tcPr>
            <w:tcW w:w="3708" w:type="dxa"/>
            <w:shd w:val="clear" w:color="auto" w:fill="auto"/>
          </w:tcPr>
          <w:p w:rsidR="00DC65BC" w:rsidRPr="00296046" w:rsidRDefault="00DC65BC">
            <w:pPr>
              <w:rPr>
                <w:szCs w:val="24"/>
              </w:rPr>
            </w:pPr>
          </w:p>
          <w:p w:rsidR="00DC65BC" w:rsidRPr="00296046" w:rsidRDefault="00DC65BC">
            <w:pPr>
              <w:rPr>
                <w:szCs w:val="24"/>
              </w:rPr>
            </w:pPr>
          </w:p>
          <w:p w:rsidR="00DC65BC" w:rsidRPr="00296046" w:rsidRDefault="008343BA">
            <w:pPr>
              <w:rPr>
                <w:szCs w:val="24"/>
              </w:rPr>
            </w:pPr>
            <w:r w:rsidRPr="00296046">
              <w:rPr>
                <w:szCs w:val="24"/>
              </w:rPr>
              <w:t>Case No. 12-665-EL-UNC</w:t>
            </w:r>
          </w:p>
        </w:tc>
      </w:tr>
    </w:tbl>
    <w:p w:rsidR="00E63EFF" w:rsidRDefault="00E63EFF" w:rsidP="00E63EFF">
      <w:pPr>
        <w:pBdr>
          <w:bottom w:val="single" w:sz="12" w:space="1" w:color="auto"/>
        </w:pBdr>
        <w:jc w:val="center"/>
        <w:rPr>
          <w:b/>
        </w:rPr>
      </w:pPr>
    </w:p>
    <w:p w:rsidR="00E63EFF" w:rsidRDefault="00E63EFF" w:rsidP="00E63EFF">
      <w:pPr>
        <w:rPr>
          <w:b/>
        </w:rPr>
      </w:pPr>
    </w:p>
    <w:p w:rsidR="00E63EFF" w:rsidRPr="00E63EFF" w:rsidRDefault="00E63EFF" w:rsidP="00E63EFF">
      <w:pPr>
        <w:jc w:val="center"/>
        <w:rPr>
          <w:b/>
        </w:rPr>
      </w:pPr>
      <w:r w:rsidRPr="00E63EFF">
        <w:rPr>
          <w:b/>
        </w:rPr>
        <w:t>COMMENTS</w:t>
      </w:r>
    </w:p>
    <w:p w:rsidR="00E63EFF" w:rsidRPr="00E63EFF" w:rsidRDefault="00E63EFF" w:rsidP="00E63EFF">
      <w:pPr>
        <w:jc w:val="center"/>
        <w:rPr>
          <w:b/>
        </w:rPr>
      </w:pPr>
      <w:r w:rsidRPr="00E63EFF">
        <w:rPr>
          <w:b/>
        </w:rPr>
        <w:t>BY</w:t>
      </w:r>
    </w:p>
    <w:p w:rsidR="00E63EFF" w:rsidRDefault="00E63EFF" w:rsidP="00E63EFF">
      <w:pPr>
        <w:jc w:val="center"/>
        <w:rPr>
          <w:b/>
        </w:rPr>
      </w:pPr>
      <w:r w:rsidRPr="00E63EFF">
        <w:rPr>
          <w:b/>
        </w:rPr>
        <w:t>THE OFFICE OF THE OHIO CONSUMERS’ COUNSEL</w:t>
      </w:r>
    </w:p>
    <w:p w:rsidR="00E63EFF" w:rsidRDefault="00E63EFF" w:rsidP="00E63EFF">
      <w:pPr>
        <w:pBdr>
          <w:bottom w:val="single" w:sz="12" w:space="1" w:color="auto"/>
        </w:pBdr>
        <w:jc w:val="center"/>
        <w:rPr>
          <w:b/>
        </w:rPr>
      </w:pPr>
    </w:p>
    <w:p w:rsidR="00E63EFF" w:rsidRDefault="00E63EFF" w:rsidP="00E63EFF">
      <w:pPr>
        <w:rPr>
          <w:b/>
        </w:rPr>
      </w:pPr>
    </w:p>
    <w:p w:rsidR="00DC65BC" w:rsidRDefault="008343BA" w:rsidP="00E63EFF">
      <w:pPr>
        <w:pStyle w:val="Heading1"/>
      </w:pPr>
      <w:bookmarkStart w:id="1" w:name="_Toc339632498"/>
      <w:r>
        <w:t>I.</w:t>
      </w:r>
      <w:r>
        <w:tab/>
        <w:t>INTRODUCTION</w:t>
      </w:r>
      <w:bookmarkEnd w:id="1"/>
    </w:p>
    <w:p w:rsidR="00DC65BC" w:rsidRDefault="008343BA">
      <w:pPr>
        <w:spacing w:line="480" w:lineRule="auto"/>
        <w:ind w:firstLine="720"/>
        <w:rPr>
          <w:szCs w:val="24"/>
        </w:rPr>
      </w:pPr>
      <w:r>
        <w:t xml:space="preserve">R.C. 4928.66(A) </w:t>
      </w:r>
      <w:r>
        <w:rPr>
          <w:szCs w:val="24"/>
        </w:rPr>
        <w:t xml:space="preserve">requires electric distribution utilities (“EDUs”) to </w:t>
      </w:r>
      <w:r>
        <w:t xml:space="preserve">implement energy efficiency and peak demand reduction programs that achieve quantifiable energy savings.  </w:t>
      </w:r>
      <w:r>
        <w:rPr>
          <w:szCs w:val="24"/>
        </w:rPr>
        <w:t xml:space="preserve">R.C. 4928.66(B) requires the Public Utilities Commission of Ohio (“Commission” or “PUCO”) </w:t>
      </w:r>
      <w:r>
        <w:t>to “produce and docket at the commission an annual report containing the results of its verification of the annual levels of energy efficiency and of peak demand reductions achieved by each electric distribution utility pursuant to division (A) of this section.”</w:t>
      </w:r>
      <w:r>
        <w:rPr>
          <w:szCs w:val="24"/>
        </w:rPr>
        <w:t xml:space="preserve">  </w:t>
      </w:r>
    </w:p>
    <w:p w:rsidR="00DC65BC" w:rsidRDefault="008343BA">
      <w:pPr>
        <w:spacing w:line="480" w:lineRule="auto"/>
        <w:ind w:firstLine="720"/>
        <w:rPr>
          <w:szCs w:val="24"/>
        </w:rPr>
      </w:pPr>
      <w:r>
        <w:rPr>
          <w:szCs w:val="24"/>
        </w:rPr>
        <w:t xml:space="preserve">On February 23, 2012, the Commission chose Evergreen Economics (“Evergreen”) to serve as </w:t>
      </w:r>
      <w:r>
        <w:rPr>
          <w:rFonts w:eastAsia="MS Mincho"/>
          <w:szCs w:val="24"/>
          <w:lang w:eastAsia="ja-JP"/>
        </w:rPr>
        <w:t>the statewide Independent Program Evaluator for verification of the EDUs’ energy efficiency and peak demand reduction (“EE/PDR”) programs.</w:t>
      </w:r>
      <w:r>
        <w:rPr>
          <w:rStyle w:val="FootnoteReference"/>
          <w:rFonts w:eastAsia="MS Mincho"/>
          <w:szCs w:val="24"/>
          <w:lang w:eastAsia="ja-JP"/>
        </w:rPr>
        <w:footnoteReference w:id="1"/>
      </w:r>
      <w:r>
        <w:rPr>
          <w:rFonts w:eastAsia="MS Mincho"/>
          <w:szCs w:val="24"/>
          <w:lang w:eastAsia="ja-JP"/>
        </w:rPr>
        <w:t xml:space="preserve">  </w:t>
      </w:r>
      <w:r>
        <w:rPr>
          <w:szCs w:val="24"/>
        </w:rPr>
        <w:t>Among the tasks to be completed by Evergreen were “</w:t>
      </w:r>
      <w:r>
        <w:t xml:space="preserve">(a) evaluating and validating the electric energy savings and peak demand reductions resulting from each approved </w:t>
      </w:r>
      <w:r>
        <w:lastRenderedPageBreak/>
        <w:t>electric utility program and mercantile customer activity; (b) determining program and portfolio cost-effectiveness; and (c) conducting some program process evaluations of energy efficiency programs.”</w:t>
      </w:r>
      <w:r>
        <w:rPr>
          <w:rStyle w:val="FootnoteReference"/>
        </w:rPr>
        <w:footnoteReference w:id="2"/>
      </w:r>
      <w:r>
        <w:rPr>
          <w:szCs w:val="24"/>
        </w:rPr>
        <w:t xml:space="preserve">  </w:t>
      </w:r>
    </w:p>
    <w:p w:rsidR="00DC65BC" w:rsidRDefault="008343BA">
      <w:pPr>
        <w:spacing w:line="480" w:lineRule="auto"/>
        <w:ind w:firstLine="720"/>
        <w:rPr>
          <w:szCs w:val="24"/>
        </w:rPr>
      </w:pPr>
      <w:r>
        <w:rPr>
          <w:szCs w:val="24"/>
        </w:rPr>
        <w:t>On August 29, 2012, the Report of the Ohio Independent Evaluator (“Report”) was docketed in this proceeding.  The Report is the first docketed by the statewide Independent Program Evaluator and covers the EDUs’ programs for 2009 and 2010.</w:t>
      </w:r>
      <w:r>
        <w:rPr>
          <w:rStyle w:val="FootnoteReference"/>
          <w:szCs w:val="24"/>
        </w:rPr>
        <w:footnoteReference w:id="3"/>
      </w:r>
      <w:r>
        <w:rPr>
          <w:szCs w:val="24"/>
        </w:rPr>
        <w:t xml:space="preserve">  The Report contains numerous “over-arching” recommendations, as well as several recommendations specific to each EDU’s EE/PDR program.</w:t>
      </w:r>
    </w:p>
    <w:p w:rsidR="00DC65BC" w:rsidRDefault="008343BA">
      <w:pPr>
        <w:spacing w:line="480" w:lineRule="auto"/>
        <w:ind w:firstLine="720"/>
        <w:rPr>
          <w:szCs w:val="24"/>
        </w:rPr>
      </w:pPr>
      <w:r>
        <w:t xml:space="preserve">The Office of the Ohio Consumers’ Counsel (“OCC”) </w:t>
      </w:r>
      <w:r>
        <w:rPr>
          <w:szCs w:val="24"/>
        </w:rPr>
        <w:t>concurs to some extent with the recommendations in Evergreen’s Report.  Adopting the recommendations discussed below will assist the Commission in fulfilling the statutory directive of R.C. 4928.66(B).  OCC also urges the Commission to complete its task of adopting a Technical Reference Manual (“TRM”) for determining EE/PDR reductions.</w:t>
      </w:r>
    </w:p>
    <w:p w:rsidR="00E63EFF" w:rsidRDefault="00E63EFF" w:rsidP="00E63EFF">
      <w:pPr>
        <w:ind w:firstLine="720"/>
        <w:rPr>
          <w:szCs w:val="24"/>
        </w:rPr>
      </w:pPr>
    </w:p>
    <w:p w:rsidR="00DC65BC" w:rsidRDefault="008343BA" w:rsidP="00E63EFF">
      <w:pPr>
        <w:pStyle w:val="Heading1"/>
      </w:pPr>
      <w:bookmarkStart w:id="2" w:name="_Toc339632499"/>
      <w:r>
        <w:t>II.</w:t>
      </w:r>
      <w:r>
        <w:tab/>
        <w:t>COMMENTS ON EVERGREEN’S GENERAL RECOMMENDATIONS</w:t>
      </w:r>
      <w:bookmarkEnd w:id="2"/>
    </w:p>
    <w:p w:rsidR="00DC65BC" w:rsidRDefault="008343BA">
      <w:pPr>
        <w:spacing w:line="480" w:lineRule="auto"/>
        <w:ind w:firstLine="720"/>
      </w:pPr>
      <w:r>
        <w:t>In the Report, Evergreen made four over-arching recommendations:</w:t>
      </w:r>
      <w:r>
        <w:rPr>
          <w:rStyle w:val="FootnoteReference"/>
        </w:rPr>
        <w:footnoteReference w:id="4"/>
      </w:r>
    </w:p>
    <w:p w:rsidR="00DC65BC" w:rsidRDefault="008343BA" w:rsidP="00E63EFF">
      <w:pPr>
        <w:numPr>
          <w:ilvl w:val="0"/>
          <w:numId w:val="1"/>
        </w:numPr>
        <w:tabs>
          <w:tab w:val="clear" w:pos="1200"/>
        </w:tabs>
        <w:spacing w:line="480" w:lineRule="auto"/>
        <w:ind w:left="2160" w:right="720" w:hanging="720"/>
      </w:pPr>
      <w:r>
        <w:t xml:space="preserve">Apply an adjustment factor for customers’ installation of compact fluorescent bulbs (“CFLs”) to reflect that not all CFLs will be installed and remain installed.  </w:t>
      </w:r>
    </w:p>
    <w:p w:rsidR="00DC65BC" w:rsidRDefault="008343BA" w:rsidP="00E63EFF">
      <w:pPr>
        <w:numPr>
          <w:ilvl w:val="0"/>
          <w:numId w:val="1"/>
        </w:numPr>
        <w:tabs>
          <w:tab w:val="clear" w:pos="1200"/>
        </w:tabs>
        <w:spacing w:line="480" w:lineRule="auto"/>
        <w:ind w:left="2160" w:right="720" w:hanging="720"/>
      </w:pPr>
      <w:r>
        <w:t xml:space="preserve">Develop a complete list of sources for </w:t>
      </w:r>
      <w:r>
        <w:rPr>
          <w:i/>
        </w:rPr>
        <w:t>ex ante</w:t>
      </w:r>
      <w:r>
        <w:t xml:space="preserve"> savings values (i.e., savings from programs that were already in place at the beginning of the evaluation period) to make it easier for Evergreen to determine the reliability of the sources.</w:t>
      </w:r>
    </w:p>
    <w:p w:rsidR="00DC65BC" w:rsidRDefault="008343BA" w:rsidP="00E63EFF">
      <w:pPr>
        <w:numPr>
          <w:ilvl w:val="0"/>
          <w:numId w:val="1"/>
        </w:numPr>
        <w:tabs>
          <w:tab w:val="clear" w:pos="1200"/>
        </w:tabs>
        <w:spacing w:line="480" w:lineRule="auto"/>
        <w:ind w:left="2160" w:right="720" w:hanging="720"/>
      </w:pPr>
      <w:r>
        <w:t>Require a rigorous method to estimate the impact of EDUs’ audit and energy comparison programs on customers’ reduction of energy usage.</w:t>
      </w:r>
    </w:p>
    <w:p w:rsidR="00DC65BC" w:rsidRDefault="008343BA" w:rsidP="00E63EFF">
      <w:pPr>
        <w:numPr>
          <w:ilvl w:val="0"/>
          <w:numId w:val="1"/>
        </w:numPr>
        <w:tabs>
          <w:tab w:val="clear" w:pos="1200"/>
        </w:tabs>
        <w:spacing w:line="480" w:lineRule="auto"/>
        <w:ind w:left="2160" w:right="720" w:hanging="720"/>
      </w:pPr>
      <w:r>
        <w:t>Adopt the process recommendations presented in the utility evaluation reports.</w:t>
      </w:r>
    </w:p>
    <w:p w:rsidR="00DC65BC" w:rsidRDefault="008343BA">
      <w:pPr>
        <w:spacing w:line="480" w:lineRule="auto"/>
      </w:pPr>
      <w:r>
        <w:t>OCC supports these recommendations as discussed below.</w:t>
      </w:r>
    </w:p>
    <w:p w:rsidR="00DC65BC" w:rsidRDefault="008343BA" w:rsidP="00E63EFF">
      <w:pPr>
        <w:pStyle w:val="Heading2"/>
      </w:pPr>
      <w:bookmarkStart w:id="3" w:name="_Toc339632500"/>
      <w:r>
        <w:t>A.</w:t>
      </w:r>
      <w:r>
        <w:tab/>
        <w:t>There Should Be a Standardized CFL Installation Adjustment Factor Based on Actual Verification of CFL Usage by Customers.</w:t>
      </w:r>
      <w:bookmarkEnd w:id="3"/>
    </w:p>
    <w:p w:rsidR="00DC65BC" w:rsidRDefault="008343BA">
      <w:pPr>
        <w:spacing w:line="480" w:lineRule="auto"/>
        <w:ind w:firstLine="720"/>
      </w:pPr>
      <w:r>
        <w:t>Evergreen noted that heavy reliance on lighting programs to achieve energy savings is not uncommon, particularly with newer programs.</w:t>
      </w:r>
      <w:r>
        <w:rPr>
          <w:rStyle w:val="FootnoteReference"/>
        </w:rPr>
        <w:footnoteReference w:id="5"/>
      </w:r>
      <w:r>
        <w:t xml:space="preserve">  Evergreen also stated that it is standard practice to assume that not all CFLs will be installed or will remain installed by customers.</w:t>
      </w:r>
      <w:r>
        <w:rPr>
          <w:rStyle w:val="FootnoteReference"/>
        </w:rPr>
        <w:footnoteReference w:id="6"/>
      </w:r>
      <w:r>
        <w:t xml:space="preserve">  Evergreen pointed to </w:t>
      </w:r>
      <w:smartTag w:uri="urn:schemas-microsoft-com:office:smarttags" w:element="State">
        <w:smartTag w:uri="urn:schemas-microsoft-com:office:smarttags" w:element="place">
          <w:r>
            <w:t>Ohio</w:t>
          </w:r>
        </w:smartTag>
      </w:smartTag>
      <w:r>
        <w:t>’s draft energy efficiency TRM prepared for the PUCO, which recommends an installation adjustment factor of 86% for CFLs purchased by customers or 81% for CFLs installed at customers’ premises by an EDU.</w:t>
      </w:r>
      <w:r>
        <w:rPr>
          <w:rStyle w:val="FootnoteReference"/>
        </w:rPr>
        <w:footnoteReference w:id="7"/>
      </w:r>
    </w:p>
    <w:p w:rsidR="00DC65BC" w:rsidRDefault="008343BA">
      <w:pPr>
        <w:spacing w:line="480" w:lineRule="auto"/>
        <w:ind w:firstLine="720"/>
      </w:pPr>
      <w:r>
        <w:t>But the EDUs were inconsistent in calculating energy savings from CFLs.</w:t>
      </w:r>
      <w:r>
        <w:rPr>
          <w:rStyle w:val="FootnoteReference"/>
        </w:rPr>
        <w:footnoteReference w:id="8"/>
      </w:r>
      <w:r>
        <w:t xml:space="preserve">  Both Duke and AEP Ohio assumed that 100% of CFLs obtained by customers remained installed for the entire year.  FirstEnergy used an adjustment factor of 89% and DP&amp;L adjusted savings by 86%, but neither EDU differentiated between those purchased by customers and those installed by the EDU.  Thus, all the EDUs may have overstated the savings derived from CFLs.</w:t>
      </w:r>
    </w:p>
    <w:p w:rsidR="00DC65BC" w:rsidRDefault="008343BA">
      <w:pPr>
        <w:spacing w:line="480" w:lineRule="auto"/>
        <w:ind w:firstLine="720"/>
      </w:pPr>
      <w:r>
        <w:t>In order for the Commission to properly perform its statutory verification function, all EDUs should use the same methodology for calculating savings from customers’ CFL usage.  The adjustment factor for CFLs should be standardized.  Evergreen recommended that the CFL impacts of all the EDUs be adjusted using either the adjustment factors from the TRM or the results of evaluation research, such as customer surveys and/or on-site verification, from each individual utility.</w:t>
      </w:r>
      <w:r>
        <w:rPr>
          <w:rStyle w:val="FootnoteReference"/>
        </w:rPr>
        <w:footnoteReference w:id="9"/>
      </w:r>
    </w:p>
    <w:p w:rsidR="00DC65BC" w:rsidRDefault="008343BA">
      <w:pPr>
        <w:spacing w:line="480" w:lineRule="auto"/>
        <w:ind w:firstLine="720"/>
      </w:pPr>
      <w:r>
        <w:t xml:space="preserve">To calculate the savings from customers’ CFL usage, OCC recommends using the CFL impacts obtained from the evaluation research method.  Although the TRM’s adjustment factors will give the Commission a ballpark estimate of the savings for each EDU, R.C. 4928.66(A) contains specific requirements for savings to be achieved by every EDU in </w:t>
      </w:r>
      <w:smartTag w:uri="urn:schemas-microsoft-com:office:smarttags" w:element="State">
        <w:smartTag w:uri="urn:schemas-microsoft-com:office:smarttags" w:element="place">
          <w:r>
            <w:t>Ohio</w:t>
          </w:r>
        </w:smartTag>
      </w:smartTag>
      <w:r>
        <w:t xml:space="preserve"> through EE/PDR programs.  The Commission cannot be certain if an EDU is attaining the statutorily required savings through the use of ballpark estimates.  Customer surveys and/or on-site verification will provide the Commission the most accurate information regarding customers’ CFL usage.</w:t>
      </w:r>
    </w:p>
    <w:p w:rsidR="00DC65BC" w:rsidRDefault="008343BA" w:rsidP="00E63EFF">
      <w:pPr>
        <w:pStyle w:val="Heading2"/>
      </w:pPr>
      <w:bookmarkStart w:id="4" w:name="_Toc339632501"/>
      <w:r>
        <w:t>B.</w:t>
      </w:r>
      <w:r>
        <w:tab/>
        <w:t xml:space="preserve">There Should Be a Full List of </w:t>
      </w:r>
      <w:r>
        <w:rPr>
          <w:i/>
        </w:rPr>
        <w:t>Ex Ante</w:t>
      </w:r>
      <w:r>
        <w:t xml:space="preserve"> Sources for Savings.</w:t>
      </w:r>
      <w:bookmarkEnd w:id="4"/>
    </w:p>
    <w:p w:rsidR="00DC65BC" w:rsidRDefault="008343BA">
      <w:pPr>
        <w:spacing w:line="480" w:lineRule="auto"/>
        <w:ind w:firstLine="720"/>
      </w:pPr>
      <w:r>
        <w:t xml:space="preserve">Evergreen stated that its expectation at the start of the project was that the EDU impact estimates would be a combination of </w:t>
      </w:r>
      <w:r>
        <w:rPr>
          <w:i/>
        </w:rPr>
        <w:t>ex ante</w:t>
      </w:r>
      <w:r>
        <w:t xml:space="preserve"> values from the original program filings with the Commission, savings values from the Ohio TRM and ex post impact values derived from the prior year’s utility evaluation research.</w:t>
      </w:r>
      <w:r>
        <w:rPr>
          <w:rStyle w:val="FootnoteReference"/>
        </w:rPr>
        <w:footnoteReference w:id="10"/>
      </w:r>
      <w:r>
        <w:t xml:space="preserve">  Instead, the EDUs had considerably more sources for </w:t>
      </w:r>
      <w:r>
        <w:rPr>
          <w:i/>
        </w:rPr>
        <w:t>ex ante</w:t>
      </w:r>
      <w:r>
        <w:t xml:space="preserve"> savings values than Evergreen had anticipated.</w:t>
      </w:r>
    </w:p>
    <w:p w:rsidR="00DC65BC" w:rsidRDefault="008343BA">
      <w:pPr>
        <w:spacing w:line="480" w:lineRule="auto"/>
        <w:ind w:firstLine="720"/>
      </w:pPr>
      <w:r>
        <w:t xml:space="preserve">AEP Ohio relied on its implementation contractor for </w:t>
      </w:r>
      <w:r>
        <w:rPr>
          <w:i/>
        </w:rPr>
        <w:t xml:space="preserve">ex ante </w:t>
      </w:r>
      <w:r>
        <w:t xml:space="preserve">savings for its non-residential programs, and other sources for the </w:t>
      </w:r>
      <w:r>
        <w:rPr>
          <w:i/>
        </w:rPr>
        <w:t>ex ante</w:t>
      </w:r>
      <w:r>
        <w:t xml:space="preserve"> impact for its residential efficient products program.</w:t>
      </w:r>
      <w:r>
        <w:rPr>
          <w:rStyle w:val="FootnoteReference"/>
        </w:rPr>
        <w:footnoteReference w:id="11"/>
      </w:r>
      <w:r>
        <w:t xml:space="preserve">  DP&amp;L relied on other sources for its </w:t>
      </w:r>
      <w:r>
        <w:rPr>
          <w:i/>
        </w:rPr>
        <w:t>ex ante</w:t>
      </w:r>
      <w:r>
        <w:t xml:space="preserve"> values for its residential HVAC rebate and its mercantile customer commitments program.</w:t>
      </w:r>
      <w:r>
        <w:rPr>
          <w:rStyle w:val="FootnoteReference"/>
        </w:rPr>
        <w:footnoteReference w:id="12"/>
      </w:r>
      <w:r>
        <w:t xml:space="preserve">  Duke relied on its implementation contractor and other sources for the </w:t>
      </w:r>
      <w:r>
        <w:rPr>
          <w:i/>
        </w:rPr>
        <w:t>ex ante</w:t>
      </w:r>
      <w:r>
        <w:t xml:space="preserve"> values for its Save-A-Watt Smart Saver residential and its Save-A-Watt Smart Saver Custom non-residential programs.  Duke also used its own TRM as well as the implementation contractor and other sources for the </w:t>
      </w:r>
      <w:r>
        <w:rPr>
          <w:i/>
        </w:rPr>
        <w:t>ex ante</w:t>
      </w:r>
      <w:r>
        <w:t xml:space="preserve"> values in the Save-A-Watt Smart Saver Non-residential Prescriptive program.</w:t>
      </w:r>
      <w:r>
        <w:rPr>
          <w:rStyle w:val="FootnoteReference"/>
        </w:rPr>
        <w:footnoteReference w:id="13"/>
      </w:r>
      <w:r>
        <w:t xml:space="preserve">  FirstEnergy relied on its implementation contractor for the </w:t>
      </w:r>
      <w:r>
        <w:rPr>
          <w:i/>
        </w:rPr>
        <w:t>ex ante</w:t>
      </w:r>
      <w:r>
        <w:t xml:space="preserve"> savings values for its Community Connections low-income residential program and other sources for its Mercantile non-residential program.</w:t>
      </w:r>
      <w:r>
        <w:rPr>
          <w:rStyle w:val="FootnoteReference"/>
        </w:rPr>
        <w:footnoteReference w:id="14"/>
      </w:r>
    </w:p>
    <w:p w:rsidR="00DC65BC" w:rsidRDefault="008343BA">
      <w:pPr>
        <w:spacing w:line="480" w:lineRule="auto"/>
        <w:ind w:firstLine="720"/>
      </w:pPr>
      <w:r>
        <w:t>Evergreen states that the</w:t>
      </w:r>
      <w:r>
        <w:rPr>
          <w:rFonts w:ascii="Cambria" w:eastAsia="MS Mincho" w:hAnsi="Cambria" w:cs="Cambria"/>
          <w:sz w:val="22"/>
          <w:szCs w:val="22"/>
        </w:rPr>
        <w:t xml:space="preserve"> </w:t>
      </w:r>
      <w:r>
        <w:rPr>
          <w:rFonts w:eastAsia="MS Mincho"/>
          <w:szCs w:val="24"/>
        </w:rPr>
        <w:t>“multitude of sources has made the savings claim review for each utility more challenging, as there are many more sources that needed to be vetted than originally anticipated.”</w:t>
      </w:r>
      <w:r>
        <w:rPr>
          <w:rStyle w:val="FootnoteReference"/>
          <w:rFonts w:eastAsia="MS Mincho"/>
          <w:szCs w:val="24"/>
        </w:rPr>
        <w:footnoteReference w:id="15"/>
      </w:r>
      <w:r>
        <w:rPr>
          <w:rFonts w:eastAsia="MS Mincho"/>
          <w:szCs w:val="24"/>
        </w:rPr>
        <w:t xml:space="preserve">  Evergreen added that</w:t>
      </w:r>
      <w:r>
        <w:rPr>
          <w:rFonts w:ascii="Cambria" w:eastAsia="MS Mincho" w:hAnsi="Cambria" w:cs="Cambria"/>
          <w:sz w:val="22"/>
          <w:szCs w:val="22"/>
        </w:rPr>
        <w:t xml:space="preserve"> </w:t>
      </w:r>
      <w:r>
        <w:t xml:space="preserve">because of these additional sources, the origins of the </w:t>
      </w:r>
      <w:r>
        <w:rPr>
          <w:i/>
        </w:rPr>
        <w:t>ex ante</w:t>
      </w:r>
      <w:r>
        <w:t xml:space="preserve"> savings for the 2009 and 2010 portfolio evaluations are not clear.</w:t>
      </w:r>
      <w:r>
        <w:rPr>
          <w:rStyle w:val="FootnoteReference"/>
        </w:rPr>
        <w:footnoteReference w:id="16"/>
      </w:r>
      <w:r>
        <w:t xml:space="preserve">  Evergreen recommends that a complete list of the sources for </w:t>
      </w:r>
      <w:r>
        <w:rPr>
          <w:i/>
        </w:rPr>
        <w:t>ex ante</w:t>
      </w:r>
      <w:r>
        <w:t xml:space="preserve"> savings values be developed for future reference.</w:t>
      </w:r>
      <w:r>
        <w:rPr>
          <w:rStyle w:val="FootnoteReference"/>
        </w:rPr>
        <w:footnoteReference w:id="17"/>
      </w:r>
      <w:r>
        <w:t xml:space="preserve">  OCC agrees with Evergreen’s recommendation.</w:t>
      </w:r>
    </w:p>
    <w:p w:rsidR="00DC65BC" w:rsidRDefault="008343BA">
      <w:pPr>
        <w:spacing w:line="480" w:lineRule="auto"/>
        <w:ind w:firstLine="720"/>
      </w:pPr>
      <w:r>
        <w:t>The Commission has a statutory duty to verify the savings achieved through the EDUs’ EE/PDR programs.  If the origins of the savings cannot be identified, the Commission is unable to properly perform this statutory function.  The Commission should adopt Evergreen’s recommendation.</w:t>
      </w:r>
    </w:p>
    <w:p w:rsidR="00DC65BC" w:rsidRDefault="008343BA" w:rsidP="00E63EFF">
      <w:pPr>
        <w:pStyle w:val="Heading2"/>
      </w:pPr>
      <w:bookmarkStart w:id="5" w:name="_Toc339632502"/>
      <w:r>
        <w:t>C.</w:t>
      </w:r>
      <w:r>
        <w:tab/>
        <w:t>Estimates of the Savings Achieved Through Home Audit and Energy Comparison Programs Should Be More Realistic.</w:t>
      </w:r>
      <w:bookmarkEnd w:id="5"/>
    </w:p>
    <w:p w:rsidR="00DC65BC" w:rsidRDefault="008343BA">
      <w:pPr>
        <w:spacing w:line="480" w:lineRule="auto"/>
        <w:ind w:firstLine="720"/>
      </w:pPr>
      <w:r>
        <w:t>Of the four EDUs, only Duke and FirstEnergy have home audit programs.  Evergreen determined that the impact method used by the EDUs to estimate savings from home audit and energy comparison programs results in savings estimates that are unrealistically high.</w:t>
      </w:r>
      <w:r>
        <w:rPr>
          <w:rStyle w:val="FootnoteReference"/>
        </w:rPr>
        <w:footnoteReference w:id="18"/>
      </w:r>
    </w:p>
    <w:p w:rsidR="00DC65BC" w:rsidRDefault="008343BA">
      <w:pPr>
        <w:spacing w:line="480" w:lineRule="auto"/>
        <w:ind w:firstLine="720"/>
      </w:pPr>
      <w:r>
        <w:t>Evergreen noted that both Duke and FirstEnergy use billing regression models to estimate impacts of the home audit programs.</w:t>
      </w:r>
      <w:r>
        <w:rPr>
          <w:rStyle w:val="FootnoteReference"/>
        </w:rPr>
        <w:footnoteReference w:id="19"/>
      </w:r>
      <w:r>
        <w:t xml:space="preserve">  Duke estimated savings of 856 kWh through the home audit program,</w:t>
      </w:r>
      <w:r>
        <w:rPr>
          <w:rStyle w:val="FootnoteReference"/>
        </w:rPr>
        <w:footnoteReference w:id="20"/>
      </w:r>
      <w:r>
        <w:t xml:space="preserve"> while FirstEnergy estimated average annual savings of 416 kWh, with a range of 233 kWh to 1,032 kWh depending on whether the audit was done online or by phone.</w:t>
      </w:r>
      <w:r>
        <w:rPr>
          <w:rStyle w:val="FootnoteReference"/>
        </w:rPr>
        <w:footnoteReference w:id="21"/>
      </w:r>
      <w:r>
        <w:t xml:space="preserve">  But the 2010 draft of the Ohio TRM recommended that savings of 240 kWh be attributable to home audits.</w:t>
      </w:r>
      <w:r>
        <w:rPr>
          <w:rStyle w:val="FootnoteReference"/>
        </w:rPr>
        <w:footnoteReference w:id="22"/>
      </w:r>
      <w:r>
        <w:t xml:space="preserve">  Thus, Duke’s estimated savings were more than three times that recommended in the 2010 Ohio TRM, while FirstEnergy’s estimated average annual savings were nearly double the savings recommended in the 2010 Ohio TRM.</w:t>
      </w:r>
    </w:p>
    <w:p w:rsidR="00DC65BC" w:rsidRDefault="008343BA">
      <w:pPr>
        <w:spacing w:line="480" w:lineRule="auto"/>
        <w:ind w:firstLine="720"/>
      </w:pPr>
      <w:r>
        <w:t>The problem, according to Evergreen, is that the calculations for the savings are of questionable credibility.</w:t>
      </w:r>
      <w:r>
        <w:rPr>
          <w:rStyle w:val="FootnoteReference"/>
        </w:rPr>
        <w:footnoteReference w:id="23"/>
      </w:r>
      <w:r>
        <w:t xml:space="preserve">  Although Duke discusses its analysis methods, it does not provide a clear explanation of how the calculations were performed and does not provide documentation to support some of its assumptions.</w:t>
      </w:r>
      <w:r>
        <w:rPr>
          <w:rStyle w:val="FootnoteReference"/>
        </w:rPr>
        <w:footnoteReference w:id="24"/>
      </w:r>
      <w:r>
        <w:t xml:space="preserve">  As for FirstEnergy, Evergreen stated that the results are much higher than for similar audit programs and FirstEnergy did not explain the large difference between the two types of programs.</w:t>
      </w:r>
      <w:r>
        <w:rPr>
          <w:rStyle w:val="FootnoteReference"/>
        </w:rPr>
        <w:footnoteReference w:id="25"/>
      </w:r>
      <w:r>
        <w:t xml:space="preserve"> </w:t>
      </w:r>
    </w:p>
    <w:p w:rsidR="00DC65BC" w:rsidRDefault="008343BA">
      <w:pPr>
        <w:spacing w:line="480" w:lineRule="auto"/>
        <w:ind w:firstLine="720"/>
      </w:pPr>
      <w:r>
        <w:t>Evergreen recommended that, if savings from audit programs are to be included, more rigorous impact analysis methods must be used.  Evergreen proposed that a billing analysis combined with a survey be conducted that clearly describes the activities the customer took as a result of the home audit or comparison.</w:t>
      </w:r>
      <w:r>
        <w:rPr>
          <w:rStyle w:val="FootnoteReference"/>
        </w:rPr>
        <w:footnoteReference w:id="26"/>
      </w:r>
      <w:r>
        <w:t xml:space="preserve">  Savings resulting from installing rebated measures through other programs, including upstream lighting programs using CFLs, must be excluded to avoid double-counting.</w:t>
      </w:r>
      <w:r>
        <w:rPr>
          <w:rStyle w:val="FootnoteReference"/>
        </w:rPr>
        <w:footnoteReference w:id="27"/>
      </w:r>
    </w:p>
    <w:p w:rsidR="00DC65BC" w:rsidRDefault="008343BA">
      <w:pPr>
        <w:spacing w:line="480" w:lineRule="auto"/>
        <w:ind w:firstLine="720"/>
      </w:pPr>
      <w:r>
        <w:t>OCC agrees with this recommendation.  In order to ensure that the required amount of savings is being achieved through EE/PDR programs, the Commission must have adequate and credible information regarding the EDUs’ energy efficiency programs.  The information provided by EDUs must be complete and verifiable.</w:t>
      </w:r>
    </w:p>
    <w:p w:rsidR="00DC65BC" w:rsidRDefault="00344C88" w:rsidP="00344C88">
      <w:pPr>
        <w:pStyle w:val="Heading1"/>
      </w:pPr>
      <w:r>
        <w:br w:type="page"/>
      </w:r>
      <w:bookmarkStart w:id="6" w:name="_Toc339632503"/>
      <w:r w:rsidR="008343BA">
        <w:t>III.</w:t>
      </w:r>
      <w:r w:rsidR="008343BA">
        <w:tab/>
        <w:t>COMMENTS ON EVERGREEN’S UTILITY-SPECIFIC RECOMMENDATIONS.</w:t>
      </w:r>
      <w:bookmarkEnd w:id="6"/>
    </w:p>
    <w:p w:rsidR="00DC65BC" w:rsidRDefault="008343BA">
      <w:pPr>
        <w:spacing w:line="480" w:lineRule="auto"/>
        <w:ind w:firstLine="720"/>
      </w:pPr>
      <w:r>
        <w:t>Evergreen’s fourth over-arching recommendation – adopt the process recommendations presented in the utility evaluation reports – addresses the utility-specific recommendations contained in the report.  OCC comments on those recommendations below.</w:t>
      </w:r>
    </w:p>
    <w:p w:rsidR="00DC65BC" w:rsidRDefault="008343BA" w:rsidP="00344C88">
      <w:pPr>
        <w:pStyle w:val="Heading2"/>
      </w:pPr>
      <w:bookmarkStart w:id="7" w:name="_Toc339632504"/>
      <w:r>
        <w:t>A.</w:t>
      </w:r>
      <w:r>
        <w:tab/>
        <w:t xml:space="preserve">AEP </w:t>
      </w:r>
      <w:smartTag w:uri="urn:schemas-microsoft-com:office:smarttags" w:element="State">
        <w:smartTag w:uri="urn:schemas-microsoft-com:office:smarttags" w:element="place">
          <w:r>
            <w:t>Ohio</w:t>
          </w:r>
        </w:smartTag>
      </w:smartTag>
      <w:bookmarkEnd w:id="7"/>
    </w:p>
    <w:p w:rsidR="00DC65BC" w:rsidRDefault="008343BA">
      <w:pPr>
        <w:spacing w:line="480" w:lineRule="auto"/>
        <w:ind w:firstLine="720"/>
      </w:pPr>
      <w:r>
        <w:t>For 2009, AEP Ohio reported 89.2 GWh in residential savings and 161.4 GWh in non-residential savings through its program portfolio.</w:t>
      </w:r>
      <w:r>
        <w:rPr>
          <w:rStyle w:val="FootnoteReference"/>
        </w:rPr>
        <w:footnoteReference w:id="28"/>
      </w:r>
      <w:r>
        <w:t xml:space="preserve">  On the residential side, 76.8 GWh were achieved through efficient products (i.e., CFLs), 6.3 GWh through the refrigerator and freezer recycling program and 6.1 GWh through energy conservation kits.</w:t>
      </w:r>
      <w:r>
        <w:rPr>
          <w:rStyle w:val="FootnoteReference"/>
        </w:rPr>
        <w:footnoteReference w:id="29"/>
      </w:r>
      <w:r>
        <w:t xml:space="preserve">  </w:t>
      </w:r>
    </w:p>
    <w:p w:rsidR="00DC65BC" w:rsidRDefault="008343BA">
      <w:pPr>
        <w:spacing w:line="480" w:lineRule="auto"/>
        <w:ind w:firstLine="720"/>
      </w:pPr>
      <w:r>
        <w:t>Although Evergreen found the evaluation research was of high quality, adhered to industry practice and provided credible results, Evergreen took issue with AEP Ohio’s assessment of the CFL installation rate.</w:t>
      </w:r>
      <w:r>
        <w:rPr>
          <w:rStyle w:val="FootnoteReference"/>
        </w:rPr>
        <w:footnoteReference w:id="30"/>
      </w:r>
      <w:r>
        <w:t xml:space="preserve">  As noted in section I.A above, AEP Ohio assumed that 100% of CFLs obtained by customers remained installed for the entire year, even though common practice is to assume a less than 100% installation rate.</w:t>
      </w:r>
      <w:r>
        <w:rPr>
          <w:rStyle w:val="FootnoteReference"/>
        </w:rPr>
        <w:footnoteReference w:id="31"/>
      </w:r>
      <w:r>
        <w:t xml:space="preserve">  Evergreen pointed out that the draft Ohio TRM recommends a CFL installation adjustment factor of 81% to 86%.</w:t>
      </w:r>
      <w:r>
        <w:rPr>
          <w:rStyle w:val="FootnoteReference"/>
        </w:rPr>
        <w:footnoteReference w:id="32"/>
      </w:r>
    </w:p>
    <w:p w:rsidR="00DC65BC" w:rsidRDefault="008343BA">
      <w:pPr>
        <w:spacing w:line="480" w:lineRule="auto"/>
        <w:ind w:firstLine="720"/>
      </w:pPr>
      <w:r>
        <w:t>In 2010, AEP Ohio added four new programs – residential retrofit, weatherization for low-income customers, residential new construction and the home energy report – to the three existing programs from 2009.  Among the new programs, however, AEP Ohio reported savings only for the retrofit and the low-income programs.  For 2010, AEP Ohio reported a total savings of 158.07 GWh, which included 137.7 GWh for efficient products, 17.8 GWh for appliance recycling, 1.6 GWh for energy conservation kits, 0.9 GWh for the low income program and 0.07 GWh for the retrofit.</w:t>
      </w:r>
      <w:r>
        <w:rPr>
          <w:rStyle w:val="FootnoteReference"/>
        </w:rPr>
        <w:footnoteReference w:id="33"/>
      </w:r>
      <w:r>
        <w:t xml:space="preserve">  But because Evergreen could not successfully replicate the savings for the conservation kits, Evergreen disallowed those savings, and thus recognized 156.47 GWh as the residential savings for 2010.</w:t>
      </w:r>
      <w:r>
        <w:rPr>
          <w:rStyle w:val="FootnoteReference"/>
        </w:rPr>
        <w:footnoteReference w:id="34"/>
      </w:r>
      <w:r>
        <w:t xml:space="preserve">  Evergreen replicated all 208.73 GWh that AEP Ohio claimed in non-residential savings.</w:t>
      </w:r>
      <w:r>
        <w:rPr>
          <w:rStyle w:val="FootnoteReference"/>
        </w:rPr>
        <w:footnoteReference w:id="35"/>
      </w:r>
    </w:p>
    <w:p w:rsidR="00DC65BC" w:rsidRDefault="008343BA">
      <w:pPr>
        <w:spacing w:line="480" w:lineRule="auto"/>
        <w:ind w:firstLine="720"/>
      </w:pPr>
      <w:r>
        <w:t>For the residential programs, Evergreen recommended that documentation and data tracking for the low-income program should be improved.</w:t>
      </w:r>
      <w:r>
        <w:rPr>
          <w:rStyle w:val="FootnoteReference"/>
        </w:rPr>
        <w:footnoteReference w:id="36"/>
      </w:r>
      <w:r>
        <w:t xml:space="preserve">  OCC agrees that the Commission should have trustworthy information in order to properly assess the effectiveness of EE/PDR programs.  The low-income weatherization program is designed to help lower energy costs for those who can least afford high energy bills.  The Commission must have the information it needs to verify the effectiveness of this program.</w:t>
      </w:r>
    </w:p>
    <w:p w:rsidR="00DC65BC" w:rsidRDefault="008343BA">
      <w:pPr>
        <w:spacing w:line="480" w:lineRule="auto"/>
        <w:ind w:firstLine="720"/>
      </w:pPr>
      <w:r>
        <w:t>In addition, Evergreen once again recommended use of the CFL installation adjustment factors (i.e., 81% to 86%) from the draft Ohio TRM.</w:t>
      </w:r>
      <w:r>
        <w:rPr>
          <w:rStyle w:val="FootnoteReference"/>
        </w:rPr>
        <w:footnoteReference w:id="37"/>
      </w:r>
      <w:r>
        <w:t xml:space="preserve">  Evergreen noted that the AEP Ohio evaluation survey of CFL recipients estimated an installation rate of only 42.9% of CFLs,</w:t>
      </w:r>
      <w:r>
        <w:rPr>
          <w:rStyle w:val="FootnoteReference"/>
        </w:rPr>
        <w:footnoteReference w:id="38"/>
      </w:r>
      <w:r>
        <w:t xml:space="preserve"> not the 100% AEP Ohio assumed.  Evergreen noted that applying an adjustment factor of 86% would reduce AEP Ohio’s total savings by six percent,</w:t>
      </w:r>
      <w:r>
        <w:rPr>
          <w:rStyle w:val="FootnoteReference"/>
        </w:rPr>
        <w:footnoteReference w:id="39"/>
      </w:r>
      <w:r>
        <w:t xml:space="preserve"> which is a sizeable margin.  As discussed above, OCC agrees with Evergreen’s recommendation.  </w:t>
      </w:r>
    </w:p>
    <w:p w:rsidR="00DC65BC" w:rsidRDefault="008343BA" w:rsidP="00344C88">
      <w:pPr>
        <w:pStyle w:val="Heading2"/>
      </w:pPr>
      <w:bookmarkStart w:id="8" w:name="_Toc339632505"/>
      <w:r>
        <w:t xml:space="preserve">B. </w:t>
      </w:r>
      <w:r>
        <w:tab/>
        <w:t xml:space="preserve">Duke Energy </w:t>
      </w:r>
      <w:smartTag w:uri="urn:schemas-microsoft-com:office:smarttags" w:element="State">
        <w:smartTag w:uri="urn:schemas-microsoft-com:office:smarttags" w:element="place">
          <w:r>
            <w:t>Ohio</w:t>
          </w:r>
        </w:smartTag>
      </w:smartTag>
      <w:bookmarkEnd w:id="8"/>
    </w:p>
    <w:p w:rsidR="00DC65BC" w:rsidRDefault="008343BA">
      <w:pPr>
        <w:spacing w:line="480" w:lineRule="auto"/>
        <w:ind w:firstLine="720"/>
        <w:rPr>
          <w:szCs w:val="24"/>
        </w:rPr>
      </w:pPr>
      <w:r>
        <w:rPr>
          <w:szCs w:val="24"/>
        </w:rPr>
        <w:t>For 2009, Duke reported 26.7 MWh in residential savings and 59.6 MWh in non-residential savings through it programs.</w:t>
      </w:r>
      <w:r>
        <w:rPr>
          <w:rStyle w:val="FootnoteReference"/>
          <w:rFonts w:eastAsia="Calibri"/>
          <w:szCs w:val="24"/>
        </w:rPr>
        <w:footnoteReference w:id="40"/>
      </w:r>
      <w:r>
        <w:rPr>
          <w:szCs w:val="24"/>
        </w:rPr>
        <w:t xml:space="preserve">  For residential customers, 72% of the sector share came from the </w:t>
      </w:r>
      <w:r>
        <w:t xml:space="preserve">Save-A-Watt </w:t>
      </w:r>
      <w:r>
        <w:rPr>
          <w:szCs w:val="24"/>
        </w:rPr>
        <w:t>Smart Saver Residential (mainly CFLs), 25% from Residential Assessments and the remaining 3% from Low Income and Energy Efficiency Education for Schools.</w:t>
      </w:r>
      <w:r>
        <w:rPr>
          <w:rStyle w:val="FootnoteReference"/>
          <w:rFonts w:eastAsia="Calibri"/>
          <w:szCs w:val="24"/>
        </w:rPr>
        <w:footnoteReference w:id="41"/>
      </w:r>
      <w:r>
        <w:rPr>
          <w:szCs w:val="24"/>
        </w:rPr>
        <w:t xml:space="preserve">  But Evergreen challenged Duke’s reported savings. </w:t>
      </w:r>
    </w:p>
    <w:p w:rsidR="00DC65BC" w:rsidRDefault="008343BA">
      <w:pPr>
        <w:spacing w:line="480" w:lineRule="auto"/>
        <w:ind w:firstLine="720"/>
        <w:rPr>
          <w:szCs w:val="24"/>
        </w:rPr>
      </w:pPr>
      <w:r>
        <w:rPr>
          <w:szCs w:val="24"/>
        </w:rPr>
        <w:t>Evergreen lists a number of instances where Duke appears to have overestimated the energy savings of its programs. For example:</w:t>
      </w:r>
    </w:p>
    <w:p w:rsidR="00DC65BC" w:rsidRDefault="008343BA" w:rsidP="00344C88">
      <w:pPr>
        <w:pStyle w:val="ListParagraph"/>
        <w:numPr>
          <w:ilvl w:val="0"/>
          <w:numId w:val="8"/>
        </w:numPr>
        <w:tabs>
          <w:tab w:val="clear" w:pos="1080"/>
        </w:tabs>
        <w:spacing w:after="240" w:line="480" w:lineRule="auto"/>
        <w:ind w:left="2160" w:right="720"/>
        <w:rPr>
          <w:rFonts w:ascii="Times New Roman" w:hAnsi="Times New Roman"/>
          <w:sz w:val="24"/>
          <w:szCs w:val="24"/>
        </w:rPr>
      </w:pPr>
      <w:r>
        <w:rPr>
          <w:rFonts w:ascii="Times New Roman" w:hAnsi="Times New Roman"/>
          <w:sz w:val="24"/>
          <w:szCs w:val="24"/>
        </w:rPr>
        <w:t>Duke assumed the install rates for CFLs at 100 percent where the draft Ohio TRM suggests an installation rate of from 81%-86%.</w:t>
      </w:r>
      <w:r>
        <w:rPr>
          <w:rStyle w:val="FootnoteReference"/>
          <w:rFonts w:ascii="Times New Roman" w:hAnsi="Times New Roman"/>
          <w:sz w:val="24"/>
          <w:szCs w:val="24"/>
        </w:rPr>
        <w:footnoteReference w:id="42"/>
      </w:r>
    </w:p>
    <w:p w:rsidR="00DC65BC" w:rsidRDefault="008343BA" w:rsidP="00344C88">
      <w:pPr>
        <w:pStyle w:val="ListParagraph"/>
        <w:numPr>
          <w:ilvl w:val="0"/>
          <w:numId w:val="8"/>
        </w:numPr>
        <w:tabs>
          <w:tab w:val="clear" w:pos="1080"/>
        </w:tabs>
        <w:spacing w:after="240" w:line="480" w:lineRule="auto"/>
        <w:ind w:left="2160" w:right="720"/>
        <w:rPr>
          <w:rFonts w:ascii="Times New Roman" w:hAnsi="Times New Roman"/>
          <w:sz w:val="24"/>
          <w:szCs w:val="24"/>
        </w:rPr>
      </w:pPr>
      <w:r>
        <w:rPr>
          <w:rFonts w:ascii="Times New Roman" w:hAnsi="Times New Roman"/>
          <w:sz w:val="24"/>
          <w:szCs w:val="24"/>
        </w:rPr>
        <w:t>Regarding Duke’s Energy Efficiency Clothes Washer Pilot, Evergreen</w:t>
      </w:r>
      <w:r>
        <w:rPr>
          <w:rFonts w:ascii="Times New Roman" w:eastAsia="MS Mincho" w:hAnsi="Times New Roman"/>
          <w:sz w:val="24"/>
          <w:szCs w:val="24"/>
        </w:rPr>
        <w:t xml:space="preserve"> stated that the algorithm for calculating gross savings appears reasonable, but Duke did not provide the sources for the various calculation parameters.  In addition, although the net savings calculation takes into account self-selection bias and potential free ridership for the program participants, “the rationale for the factors used to make the self-selection correction is not explained and appears to be based solely on the evaluator’s opinion, which is not sufficient justification for making these types of adjustments.”</w:t>
      </w:r>
      <w:r>
        <w:rPr>
          <w:rStyle w:val="FootnoteReference"/>
          <w:rFonts w:ascii="Times New Roman" w:eastAsia="MS Mincho" w:hAnsi="Times New Roman"/>
          <w:szCs w:val="24"/>
        </w:rPr>
        <w:footnoteReference w:id="43"/>
      </w:r>
      <w:r>
        <w:rPr>
          <w:rFonts w:eastAsia="MS Mincho"/>
          <w:szCs w:val="24"/>
        </w:rPr>
        <w:t xml:space="preserve">  </w:t>
      </w:r>
    </w:p>
    <w:p w:rsidR="00DC65BC" w:rsidRDefault="008343BA" w:rsidP="00344C88">
      <w:pPr>
        <w:pStyle w:val="ListParagraph"/>
        <w:numPr>
          <w:ilvl w:val="0"/>
          <w:numId w:val="8"/>
        </w:numPr>
        <w:tabs>
          <w:tab w:val="clear" w:pos="1080"/>
        </w:tabs>
        <w:spacing w:after="240" w:line="480" w:lineRule="auto"/>
        <w:ind w:left="2160" w:right="720"/>
        <w:rPr>
          <w:rFonts w:ascii="Times New Roman" w:hAnsi="Times New Roman"/>
          <w:sz w:val="24"/>
          <w:szCs w:val="24"/>
        </w:rPr>
      </w:pPr>
      <w:r>
        <w:rPr>
          <w:rFonts w:ascii="Times New Roman" w:hAnsi="Times New Roman"/>
          <w:sz w:val="24"/>
          <w:szCs w:val="24"/>
        </w:rPr>
        <w:t>Regarding Duke’s Personalized Energy Report Program, Evergreen stated that “[t]he savings estimates for kWh and therms are higher than one would expect….”</w:t>
      </w:r>
      <w:r>
        <w:rPr>
          <w:rStyle w:val="FootnoteReference"/>
          <w:rFonts w:ascii="Times New Roman" w:hAnsi="Times New Roman"/>
          <w:sz w:val="24"/>
          <w:szCs w:val="24"/>
        </w:rPr>
        <w:footnoteReference w:id="44"/>
      </w:r>
      <w:r>
        <w:rPr>
          <w:rFonts w:ascii="Times New Roman" w:hAnsi="Times New Roman"/>
          <w:sz w:val="24"/>
          <w:szCs w:val="24"/>
        </w:rPr>
        <w:t xml:space="preserve"> </w:t>
      </w:r>
    </w:p>
    <w:p w:rsidR="00DC65BC" w:rsidRDefault="008343BA" w:rsidP="00344C88">
      <w:pPr>
        <w:pStyle w:val="ListParagraph"/>
        <w:numPr>
          <w:ilvl w:val="0"/>
          <w:numId w:val="8"/>
        </w:numPr>
        <w:tabs>
          <w:tab w:val="clear" w:pos="1080"/>
        </w:tabs>
        <w:spacing w:after="240" w:line="480" w:lineRule="auto"/>
        <w:ind w:left="2160" w:right="720"/>
        <w:rPr>
          <w:rFonts w:ascii="Times New Roman" w:hAnsi="Times New Roman"/>
          <w:sz w:val="24"/>
          <w:szCs w:val="24"/>
        </w:rPr>
      </w:pPr>
      <w:r>
        <w:rPr>
          <w:rFonts w:ascii="Times New Roman" w:hAnsi="Times New Roman"/>
          <w:sz w:val="24"/>
          <w:szCs w:val="24"/>
        </w:rPr>
        <w:t>Regarding Duke’s own Home Energy House Call Program, Evergreen determined that it could not assess the credibility of the reported savings because of the lack of documentation and unsubstantiated adjustments for self-selection bias.  As a result, Evergreen stated that it does not recommend using these values to estimate savings for future program planning.</w:t>
      </w:r>
      <w:r>
        <w:rPr>
          <w:rStyle w:val="FootnoteReference"/>
          <w:rFonts w:ascii="Times New Roman" w:hAnsi="Times New Roman"/>
          <w:sz w:val="24"/>
          <w:szCs w:val="24"/>
        </w:rPr>
        <w:footnoteReference w:id="45"/>
      </w:r>
      <w:r>
        <w:rPr>
          <w:rFonts w:ascii="Times New Roman" w:hAnsi="Times New Roman"/>
          <w:sz w:val="24"/>
          <w:szCs w:val="24"/>
        </w:rPr>
        <w:t xml:space="preserve"> </w:t>
      </w:r>
    </w:p>
    <w:p w:rsidR="00DC65BC" w:rsidRDefault="008343BA" w:rsidP="00344C88">
      <w:pPr>
        <w:pStyle w:val="ListParagraph"/>
        <w:numPr>
          <w:ilvl w:val="0"/>
          <w:numId w:val="8"/>
        </w:numPr>
        <w:tabs>
          <w:tab w:val="clear" w:pos="1080"/>
        </w:tabs>
        <w:spacing w:after="240" w:line="480" w:lineRule="auto"/>
        <w:ind w:left="2160" w:right="720"/>
        <w:rPr>
          <w:rFonts w:ascii="Times New Roman" w:hAnsi="Times New Roman"/>
          <w:sz w:val="24"/>
          <w:szCs w:val="24"/>
        </w:rPr>
      </w:pPr>
      <w:r>
        <w:rPr>
          <w:rFonts w:ascii="Times New Roman" w:hAnsi="Times New Roman"/>
          <w:sz w:val="24"/>
          <w:szCs w:val="24"/>
        </w:rPr>
        <w:t>Evergreen found several problems regarding Duke’s NEED Program.  For example, the estimated savings value for a single 13 watt CFL included in the kit is more than three times the estimated savings using the draft Ohio TRM value for the same measure.</w:t>
      </w:r>
      <w:r>
        <w:rPr>
          <w:rStyle w:val="FootnoteReference"/>
          <w:rFonts w:ascii="Times New Roman" w:hAnsi="Times New Roman"/>
          <w:sz w:val="24"/>
          <w:szCs w:val="24"/>
        </w:rPr>
        <w:footnoteReference w:id="46"/>
      </w:r>
      <w:r>
        <w:rPr>
          <w:rFonts w:ascii="Times New Roman" w:hAnsi="Times New Roman"/>
          <w:sz w:val="24"/>
          <w:szCs w:val="24"/>
        </w:rPr>
        <w:t xml:space="preserve">  Again, Evergreen stated there is not enough information to assess the credibility of the reported savings.</w:t>
      </w:r>
      <w:r>
        <w:rPr>
          <w:rStyle w:val="FootnoteReference"/>
          <w:rFonts w:ascii="Times New Roman" w:hAnsi="Times New Roman"/>
          <w:sz w:val="24"/>
          <w:szCs w:val="24"/>
        </w:rPr>
        <w:footnoteReference w:id="47"/>
      </w:r>
      <w:r>
        <w:rPr>
          <w:rFonts w:ascii="Times New Roman" w:hAnsi="Times New Roman"/>
          <w:sz w:val="24"/>
          <w:szCs w:val="24"/>
        </w:rPr>
        <w:t xml:space="preserve"> </w:t>
      </w:r>
    </w:p>
    <w:p w:rsidR="00DC65BC" w:rsidRDefault="008343BA" w:rsidP="00344C88">
      <w:pPr>
        <w:pStyle w:val="ListParagraph"/>
        <w:numPr>
          <w:ilvl w:val="0"/>
          <w:numId w:val="8"/>
        </w:numPr>
        <w:tabs>
          <w:tab w:val="clear" w:pos="1080"/>
        </w:tabs>
        <w:spacing w:after="0" w:line="480" w:lineRule="auto"/>
        <w:ind w:left="2160" w:right="720"/>
        <w:rPr>
          <w:rFonts w:ascii="Times New Roman" w:hAnsi="Times New Roman"/>
          <w:sz w:val="24"/>
          <w:szCs w:val="24"/>
        </w:rPr>
      </w:pPr>
      <w:r>
        <w:rPr>
          <w:rFonts w:ascii="Times New Roman" w:hAnsi="Times New Roman"/>
          <w:sz w:val="24"/>
          <w:szCs w:val="24"/>
        </w:rPr>
        <w:t>Regarding Duke’s Energy Efficiency Website, Evergreen questioned the credibility of the billing regression analysis because the estimates of potential savings (11% to 22%) are too high based on Evergreen’s knowledge of other types of audit and informational programs (usually 0% to 2%).</w:t>
      </w:r>
      <w:r>
        <w:rPr>
          <w:rStyle w:val="FootnoteReference"/>
          <w:rFonts w:ascii="Times New Roman" w:hAnsi="Times New Roman"/>
          <w:sz w:val="24"/>
          <w:szCs w:val="24"/>
        </w:rPr>
        <w:footnoteReference w:id="48"/>
      </w:r>
    </w:p>
    <w:p w:rsidR="00DC65BC" w:rsidRDefault="008343BA">
      <w:pPr>
        <w:spacing w:line="480" w:lineRule="auto"/>
        <w:ind w:firstLine="720"/>
        <w:rPr>
          <w:szCs w:val="24"/>
        </w:rPr>
      </w:pPr>
      <w:r>
        <w:rPr>
          <w:szCs w:val="24"/>
        </w:rPr>
        <w:t xml:space="preserve">Where the savings are much higher than expected and there is inadequate documentation or justification, Evergreen recommended that the savings not be used to establish </w:t>
      </w:r>
      <w:r>
        <w:rPr>
          <w:i/>
          <w:szCs w:val="24"/>
        </w:rPr>
        <w:t>ex ante</w:t>
      </w:r>
      <w:r>
        <w:rPr>
          <w:szCs w:val="24"/>
        </w:rPr>
        <w:t xml:space="preserve"> savings values for future program planning.</w:t>
      </w:r>
      <w:r>
        <w:rPr>
          <w:rStyle w:val="FootnoteReference"/>
          <w:szCs w:val="24"/>
        </w:rPr>
        <w:footnoteReference w:id="49"/>
      </w:r>
      <w:r>
        <w:rPr>
          <w:szCs w:val="24"/>
        </w:rPr>
        <w:t xml:space="preserve">  OCC agrees.</w:t>
      </w:r>
    </w:p>
    <w:p w:rsidR="00DC65BC" w:rsidRDefault="008343BA">
      <w:pPr>
        <w:spacing w:line="480" w:lineRule="auto"/>
        <w:ind w:firstLine="720"/>
        <w:rPr>
          <w:szCs w:val="24"/>
        </w:rPr>
      </w:pPr>
      <w:r>
        <w:rPr>
          <w:szCs w:val="24"/>
        </w:rPr>
        <w:t>In 2010, Duke recorded 217.5 MWh savings in the residential sector, with 88% coming from lighting, and 6% for HVAC and 6% for other.</w:t>
      </w:r>
      <w:r>
        <w:rPr>
          <w:rStyle w:val="FootnoteReference"/>
          <w:rFonts w:eastAsia="Calibri"/>
          <w:szCs w:val="24"/>
        </w:rPr>
        <w:footnoteReference w:id="50"/>
      </w:r>
      <w:r>
        <w:rPr>
          <w:szCs w:val="24"/>
        </w:rPr>
        <w:t xml:space="preserve">  But Evergreen noted that Duke’s 2010 report had the same problems as were found in the 2009 evaluation.</w:t>
      </w:r>
      <w:r>
        <w:rPr>
          <w:rStyle w:val="FootnoteReference"/>
          <w:szCs w:val="24"/>
        </w:rPr>
        <w:footnoteReference w:id="51"/>
      </w:r>
    </w:p>
    <w:p w:rsidR="00DC65BC" w:rsidRDefault="008343BA">
      <w:pPr>
        <w:spacing w:line="480" w:lineRule="auto"/>
        <w:ind w:firstLine="720"/>
        <w:rPr>
          <w:szCs w:val="24"/>
        </w:rPr>
      </w:pPr>
      <w:r>
        <w:rPr>
          <w:szCs w:val="24"/>
        </w:rPr>
        <w:t>Overall, Evergreen’s recommendations for Duke are summarized as follows:</w:t>
      </w:r>
    </w:p>
    <w:p w:rsidR="00DC65BC" w:rsidRDefault="008343BA" w:rsidP="00344C88">
      <w:pPr>
        <w:numPr>
          <w:ilvl w:val="0"/>
          <w:numId w:val="3"/>
        </w:numPr>
        <w:spacing w:line="480" w:lineRule="auto"/>
        <w:ind w:left="2160" w:right="720" w:hanging="720"/>
        <w:rPr>
          <w:szCs w:val="24"/>
        </w:rPr>
      </w:pPr>
      <w:r>
        <w:rPr>
          <w:szCs w:val="24"/>
        </w:rPr>
        <w:t>Apply an installation rate adjustment factor for CFLs.</w:t>
      </w:r>
    </w:p>
    <w:p w:rsidR="00DC65BC" w:rsidRDefault="008343BA" w:rsidP="00344C88">
      <w:pPr>
        <w:numPr>
          <w:ilvl w:val="0"/>
          <w:numId w:val="3"/>
        </w:numPr>
        <w:spacing w:line="480" w:lineRule="auto"/>
        <w:ind w:left="2160" w:right="720" w:hanging="720"/>
        <w:rPr>
          <w:szCs w:val="24"/>
        </w:rPr>
      </w:pPr>
      <w:r>
        <w:rPr>
          <w:szCs w:val="24"/>
        </w:rPr>
        <w:t>Improve Audit and Home Energy Comparison Report impact methods.</w:t>
      </w:r>
    </w:p>
    <w:p w:rsidR="00DC65BC" w:rsidRDefault="008343BA" w:rsidP="00344C88">
      <w:pPr>
        <w:numPr>
          <w:ilvl w:val="0"/>
          <w:numId w:val="3"/>
        </w:numPr>
        <w:spacing w:line="480" w:lineRule="auto"/>
        <w:ind w:left="2160" w:right="720" w:hanging="720"/>
        <w:rPr>
          <w:szCs w:val="24"/>
        </w:rPr>
      </w:pPr>
      <w:r>
        <w:rPr>
          <w:szCs w:val="24"/>
        </w:rPr>
        <w:t xml:space="preserve">Do not use 2009/2010 evaluation results to set </w:t>
      </w:r>
      <w:r>
        <w:rPr>
          <w:i/>
          <w:szCs w:val="24"/>
        </w:rPr>
        <w:t>ex ante</w:t>
      </w:r>
      <w:r>
        <w:rPr>
          <w:szCs w:val="24"/>
        </w:rPr>
        <w:t xml:space="preserve"> savings values for future program planning when the evaluation reports do not adequately document savings.</w:t>
      </w:r>
    </w:p>
    <w:p w:rsidR="00DC65BC" w:rsidRDefault="008343BA" w:rsidP="00344C88">
      <w:pPr>
        <w:numPr>
          <w:ilvl w:val="0"/>
          <w:numId w:val="3"/>
        </w:numPr>
        <w:spacing w:line="480" w:lineRule="auto"/>
        <w:ind w:left="2160" w:right="720" w:hanging="720"/>
        <w:rPr>
          <w:szCs w:val="24"/>
        </w:rPr>
      </w:pPr>
      <w:r>
        <w:rPr>
          <w:szCs w:val="24"/>
        </w:rPr>
        <w:t xml:space="preserve">Develop a complete list of sources for </w:t>
      </w:r>
      <w:r>
        <w:rPr>
          <w:i/>
          <w:szCs w:val="24"/>
        </w:rPr>
        <w:t xml:space="preserve">ex ante savings </w:t>
      </w:r>
      <w:r>
        <w:rPr>
          <w:szCs w:val="24"/>
        </w:rPr>
        <w:t>values.</w:t>
      </w:r>
    </w:p>
    <w:p w:rsidR="00DC65BC" w:rsidRDefault="008343BA" w:rsidP="00344C88">
      <w:pPr>
        <w:numPr>
          <w:ilvl w:val="0"/>
          <w:numId w:val="3"/>
        </w:numPr>
        <w:spacing w:line="480" w:lineRule="auto"/>
        <w:ind w:left="2160" w:right="720" w:hanging="720"/>
        <w:rPr>
          <w:szCs w:val="24"/>
        </w:rPr>
      </w:pPr>
      <w:r>
        <w:rPr>
          <w:szCs w:val="24"/>
        </w:rPr>
        <w:t>Adopt the process evaluation recommendations presented in the Tec Market evaluation reports.</w:t>
      </w:r>
    </w:p>
    <w:p w:rsidR="00DC65BC" w:rsidRDefault="008343BA" w:rsidP="00344C88">
      <w:pPr>
        <w:numPr>
          <w:ilvl w:val="0"/>
          <w:numId w:val="3"/>
        </w:numPr>
        <w:spacing w:line="480" w:lineRule="auto"/>
        <w:ind w:left="2160" w:right="720" w:hanging="720"/>
        <w:rPr>
          <w:szCs w:val="24"/>
        </w:rPr>
      </w:pPr>
      <w:r>
        <w:rPr>
          <w:szCs w:val="24"/>
        </w:rPr>
        <w:t>Update evaluation research to be more current and Ohio-specific.</w:t>
      </w:r>
    </w:p>
    <w:p w:rsidR="00DC65BC" w:rsidRDefault="008343BA" w:rsidP="00344C88">
      <w:pPr>
        <w:numPr>
          <w:ilvl w:val="0"/>
          <w:numId w:val="3"/>
        </w:numPr>
        <w:spacing w:line="480" w:lineRule="auto"/>
        <w:ind w:left="2160" w:right="720" w:hanging="720"/>
        <w:rPr>
          <w:szCs w:val="24"/>
        </w:rPr>
      </w:pPr>
      <w:r>
        <w:rPr>
          <w:szCs w:val="24"/>
        </w:rPr>
        <w:t>Full citations needed for secondary research and all adjustment factors.</w:t>
      </w:r>
      <w:r>
        <w:rPr>
          <w:rStyle w:val="FootnoteReference"/>
          <w:rFonts w:eastAsia="Calibri"/>
          <w:szCs w:val="24"/>
        </w:rPr>
        <w:footnoteReference w:id="52"/>
      </w:r>
    </w:p>
    <w:p w:rsidR="00DC65BC" w:rsidRDefault="008343BA">
      <w:pPr>
        <w:spacing w:line="480" w:lineRule="auto"/>
        <w:ind w:firstLine="720"/>
        <w:rPr>
          <w:szCs w:val="24"/>
        </w:rPr>
      </w:pPr>
      <w:r>
        <w:rPr>
          <w:szCs w:val="24"/>
        </w:rPr>
        <w:t xml:space="preserve">Given the questions Evergreen raised on the credibility of some of Duke’s savings estimates, Duke should provide details to justify the veracity of its savings estimates.   This is critical to ensure that the required amount of savings is being achieved in compliance with </w:t>
      </w:r>
      <w:smartTag w:uri="urn:schemas-microsoft-com:office:smarttags" w:element="place">
        <w:smartTag w:uri="urn:schemas-microsoft-com:office:smarttags" w:element="State">
          <w:r>
            <w:rPr>
              <w:szCs w:val="24"/>
            </w:rPr>
            <w:t>Ohio</w:t>
          </w:r>
        </w:smartTag>
      </w:smartTag>
      <w:r>
        <w:rPr>
          <w:szCs w:val="24"/>
        </w:rPr>
        <w:t xml:space="preserve"> law.</w:t>
      </w:r>
    </w:p>
    <w:p w:rsidR="00DC65BC" w:rsidRDefault="00344C88" w:rsidP="00344C88">
      <w:pPr>
        <w:pStyle w:val="Heading2"/>
      </w:pPr>
      <w:r>
        <w:br w:type="page"/>
      </w:r>
      <w:bookmarkStart w:id="9" w:name="_Toc339632506"/>
      <w:r w:rsidR="008343BA">
        <w:t xml:space="preserve">C. </w:t>
      </w:r>
      <w:r w:rsidR="008343BA">
        <w:tab/>
      </w:r>
      <w:smartTag w:uri="urn:schemas-microsoft-com:office:smarttags" w:element="place">
        <w:smartTag w:uri="urn:schemas-microsoft-com:office:smarttags" w:element="City">
          <w:r w:rsidR="008343BA">
            <w:t>Dayton</w:t>
          </w:r>
        </w:smartTag>
      </w:smartTag>
      <w:r w:rsidR="008343BA">
        <w:t xml:space="preserve"> Power and Light</w:t>
      </w:r>
      <w:bookmarkEnd w:id="9"/>
    </w:p>
    <w:p w:rsidR="00DC65BC" w:rsidRDefault="008343BA">
      <w:pPr>
        <w:spacing w:line="480" w:lineRule="auto"/>
        <w:ind w:firstLine="720"/>
      </w:pPr>
      <w:r>
        <w:t>For 2009, DP&amp;L reported 91.0 MWh of residential savings and 23.3 MWh of non-residential savings.</w:t>
      </w:r>
      <w:r>
        <w:rPr>
          <w:rStyle w:val="FootnoteReference"/>
          <w:rFonts w:eastAsia="Calibri"/>
        </w:rPr>
        <w:footnoteReference w:id="53"/>
      </w:r>
      <w:r>
        <w:t xml:space="preserve">  CFLs represented 94% of the residential sector savings, HVAC rebates and Appliance Recycling both comprised 3% respectively.  In 2010, three new residential programs were added, an Education Schools Program, Low Income Affordability, and HVAC Diagnostic &amp; Tune-up Program.</w:t>
      </w:r>
      <w:r>
        <w:rPr>
          <w:rStyle w:val="FootnoteReference"/>
          <w:rFonts w:eastAsia="Calibri"/>
        </w:rPr>
        <w:footnoteReference w:id="54"/>
      </w:r>
      <w:r>
        <w:t xml:space="preserve">  DP&amp;L reported 127.5 MWh of residential savings and 51.7 MWh of non-residential savings.</w:t>
      </w:r>
      <w:r>
        <w:rPr>
          <w:rStyle w:val="FootnoteReference"/>
          <w:rFonts w:eastAsia="Calibri"/>
        </w:rPr>
        <w:footnoteReference w:id="55"/>
      </w:r>
    </w:p>
    <w:p w:rsidR="00DC65BC" w:rsidRDefault="008343BA">
      <w:pPr>
        <w:spacing w:line="480" w:lineRule="auto"/>
        <w:ind w:firstLine="720"/>
      </w:pPr>
      <w:r>
        <w:t>Overall, Evergreen found the DP&amp;L evaluations conducted by The Cadmus Group to be “very thorough and adhering to standard evaluation practices for the types of programs covered.”</w:t>
      </w:r>
      <w:r>
        <w:rPr>
          <w:rStyle w:val="FootnoteReference"/>
        </w:rPr>
        <w:footnoteReference w:id="56"/>
      </w:r>
      <w:r>
        <w:t xml:space="preserve">  As a result, Evergreen did not have any specific recommendations for changing any of DP&amp;L’s savings estimates.</w:t>
      </w:r>
      <w:r>
        <w:rPr>
          <w:rStyle w:val="FootnoteReference"/>
        </w:rPr>
        <w:footnoteReference w:id="57"/>
      </w:r>
    </w:p>
    <w:p w:rsidR="00DC65BC" w:rsidRDefault="008343BA" w:rsidP="00344C88">
      <w:pPr>
        <w:pStyle w:val="Heading2"/>
      </w:pPr>
      <w:bookmarkStart w:id="10" w:name="_Toc339632507"/>
      <w:r>
        <w:t>D.</w:t>
      </w:r>
      <w:r>
        <w:tab/>
        <w:t>FirstEnergy</w:t>
      </w:r>
      <w:bookmarkEnd w:id="10"/>
    </w:p>
    <w:p w:rsidR="00DC65BC" w:rsidRDefault="008343BA">
      <w:pPr>
        <w:spacing w:line="480" w:lineRule="auto"/>
        <w:ind w:firstLine="720"/>
      </w:pPr>
      <w:r>
        <w:t>FirstEnergy did not report savings for 2009, due to implementation problems with its CFL program and the late date its program portfolio was approved by the PUCO.</w:t>
      </w:r>
      <w:r>
        <w:rPr>
          <w:rStyle w:val="FootnoteReference"/>
        </w:rPr>
        <w:t xml:space="preserve"> </w:t>
      </w:r>
      <w:r>
        <w:rPr>
          <w:rStyle w:val="FootnoteReference"/>
        </w:rPr>
        <w:footnoteReference w:id="58"/>
      </w:r>
      <w:r>
        <w:t xml:space="preserve">   For 2010, FirstEnergy reported 17.6 MWh in residential savings and 80.1 MWh in non-residential mercantile savings through its program portfolio.</w:t>
      </w:r>
      <w:r>
        <w:rPr>
          <w:rStyle w:val="FootnoteReference"/>
          <w:rFonts w:eastAsia="Calibri"/>
        </w:rPr>
        <w:footnoteReference w:id="59"/>
      </w:r>
      <w:r>
        <w:t xml:space="preserve">  For residential customers, the Home Energy Analyzer program produced 79% of the sector savings while the Low Income Community Connections program produced the remaining 21%.</w:t>
      </w:r>
      <w:r>
        <w:rPr>
          <w:rStyle w:val="FootnoteReference"/>
        </w:rPr>
        <w:footnoteReference w:id="60"/>
      </w:r>
      <w:r>
        <w:t xml:space="preserve"> </w:t>
      </w:r>
    </w:p>
    <w:p w:rsidR="00DC65BC" w:rsidRDefault="008343BA">
      <w:pPr>
        <w:spacing w:line="480" w:lineRule="auto"/>
        <w:ind w:firstLine="720"/>
      </w:pPr>
      <w:r>
        <w:t>Concerning the Low Income Community Connections Program, Evergreen indicated that “there is not adequate detail in the evaluation report on how the savings are calculated.”</w:t>
      </w:r>
      <w:r>
        <w:rPr>
          <w:rStyle w:val="FootnoteReference"/>
          <w:rFonts w:eastAsia="Calibri"/>
        </w:rPr>
        <w:footnoteReference w:id="61"/>
      </w:r>
      <w:r>
        <w:t xml:space="preserve">  They further indicated that “[d]ue to the lack of detail, it is not possible to assess the credibility of the savings estimates presented in this report.  However, the average estimated savings per household of approximately 703 kWh is not unrealistic given the measures installed.”</w:t>
      </w:r>
      <w:r>
        <w:rPr>
          <w:rStyle w:val="FootnoteReference"/>
          <w:rFonts w:eastAsia="Calibri"/>
        </w:rPr>
        <w:footnoteReference w:id="62"/>
      </w:r>
      <w:r>
        <w:t xml:space="preserve">  Evergreen also questioned the average 416 kWh annual savings of the Home Energy Analyzer Program, especially its range of from 233 to 1,032 kwh depending on whether it was an online or phone audit.</w:t>
      </w:r>
      <w:r>
        <w:rPr>
          <w:rStyle w:val="FootnoteReference"/>
          <w:rFonts w:eastAsia="Calibri"/>
        </w:rPr>
        <w:footnoteReference w:id="63"/>
      </w:r>
      <w:r>
        <w:t xml:space="preserve">  Evergreen preferred the </w:t>
      </w:r>
      <w:r>
        <w:rPr>
          <w:i/>
        </w:rPr>
        <w:t>ex ante</w:t>
      </w:r>
      <w:r>
        <w:t xml:space="preserve"> savings estimate of 300 kWh as more reasonable.</w:t>
      </w:r>
      <w:r>
        <w:rPr>
          <w:rStyle w:val="FootnoteReference"/>
          <w:rFonts w:eastAsia="Calibri"/>
        </w:rPr>
        <w:footnoteReference w:id="64"/>
      </w:r>
      <w:r>
        <w:t xml:space="preserve">  Finally, Evergreen questioned the various savings adjustments made in FirstEnergy’s Mercantile Program evaluation.  There was simply “not enough detail provided on the actual calculations to assess the credibility of the impact analysis.”</w:t>
      </w:r>
      <w:r>
        <w:rPr>
          <w:rStyle w:val="FootnoteReference"/>
          <w:rFonts w:eastAsia="Calibri"/>
        </w:rPr>
        <w:footnoteReference w:id="65"/>
      </w:r>
      <w:r>
        <w:t xml:space="preserve">  </w:t>
      </w:r>
    </w:p>
    <w:p w:rsidR="00DC65BC" w:rsidRDefault="008343BA">
      <w:pPr>
        <w:spacing w:line="480" w:lineRule="auto"/>
        <w:ind w:firstLine="720"/>
        <w:rPr>
          <w:szCs w:val="24"/>
        </w:rPr>
      </w:pPr>
      <w:r>
        <w:rPr>
          <w:szCs w:val="24"/>
        </w:rPr>
        <w:t>Overall, Evergreen’s recommendations for FirstEnergy are summarized as follows:</w:t>
      </w:r>
    </w:p>
    <w:p w:rsidR="00DC65BC" w:rsidRDefault="008343BA" w:rsidP="00344C88">
      <w:pPr>
        <w:numPr>
          <w:ilvl w:val="0"/>
          <w:numId w:val="4"/>
        </w:numPr>
        <w:spacing w:line="480" w:lineRule="auto"/>
        <w:ind w:left="2160" w:right="720" w:hanging="720"/>
      </w:pPr>
      <w:r>
        <w:t xml:space="preserve">Develop a complete list of sources for </w:t>
      </w:r>
      <w:r>
        <w:rPr>
          <w:i/>
        </w:rPr>
        <w:t>ex ante</w:t>
      </w:r>
      <w:r>
        <w:t xml:space="preserve"> savings values.</w:t>
      </w:r>
    </w:p>
    <w:p w:rsidR="00DC65BC" w:rsidRDefault="008343BA" w:rsidP="00344C88">
      <w:pPr>
        <w:numPr>
          <w:ilvl w:val="0"/>
          <w:numId w:val="4"/>
        </w:numPr>
        <w:spacing w:line="480" w:lineRule="auto"/>
        <w:ind w:left="2160" w:right="720" w:hanging="720"/>
      </w:pPr>
      <w:r>
        <w:t>Incorporate customer costs into the total resource cost-effectiveness calculations for the Mercantile Program.</w:t>
      </w:r>
    </w:p>
    <w:p w:rsidR="00DC65BC" w:rsidRDefault="008343BA" w:rsidP="00344C88">
      <w:pPr>
        <w:numPr>
          <w:ilvl w:val="0"/>
          <w:numId w:val="4"/>
        </w:numPr>
        <w:spacing w:line="480" w:lineRule="auto"/>
        <w:ind w:left="2160" w:right="720" w:hanging="720"/>
      </w:pPr>
      <w:r>
        <w:t>Improve audit impact methods.</w:t>
      </w:r>
      <w:r>
        <w:rPr>
          <w:rStyle w:val="FootnoteReference"/>
        </w:rPr>
        <w:footnoteReference w:id="66"/>
      </w:r>
    </w:p>
    <w:p w:rsidR="00DC65BC" w:rsidRDefault="008343BA">
      <w:pPr>
        <w:spacing w:line="480" w:lineRule="auto"/>
        <w:ind w:firstLine="720"/>
        <w:rPr>
          <w:szCs w:val="24"/>
        </w:rPr>
      </w:pPr>
      <w:r>
        <w:rPr>
          <w:szCs w:val="24"/>
        </w:rPr>
        <w:t xml:space="preserve">Given the questions Evergreen raised regarding the credibility of some of FirstEnergy’s savings estimates, FirstEnergy should provide details to justify the veracity of its savings estimates.  This is critical to ensure that the required amount of savings is being achieved in compliance with </w:t>
      </w:r>
      <w:smartTag w:uri="urn:schemas-microsoft-com:office:smarttags" w:element="State">
        <w:smartTag w:uri="urn:schemas-microsoft-com:office:smarttags" w:element="place">
          <w:r>
            <w:rPr>
              <w:szCs w:val="24"/>
            </w:rPr>
            <w:t>Ohio</w:t>
          </w:r>
        </w:smartTag>
      </w:smartTag>
      <w:r>
        <w:rPr>
          <w:szCs w:val="24"/>
        </w:rPr>
        <w:t xml:space="preserve"> law.</w:t>
      </w:r>
    </w:p>
    <w:p w:rsidR="00344C88" w:rsidRDefault="00344C88" w:rsidP="00344C88">
      <w:pPr>
        <w:ind w:firstLine="720"/>
        <w:rPr>
          <w:szCs w:val="24"/>
        </w:rPr>
      </w:pPr>
    </w:p>
    <w:p w:rsidR="00DC65BC" w:rsidRDefault="008343BA" w:rsidP="00344C88">
      <w:pPr>
        <w:pStyle w:val="Heading1"/>
      </w:pPr>
      <w:bookmarkStart w:id="11" w:name="_Toc339632508"/>
      <w:r>
        <w:t xml:space="preserve">IV. </w:t>
      </w:r>
      <w:r>
        <w:tab/>
        <w:t>THE COMMISSION SHOULD REVIVE THE MONITORING AND VERIFICATION DOCKET (09-512-GE-UNC), AND SHOULD UPDATE AND FINALIZE THE OHIO TECHNICAL REFERENCE MANUAL AND APPROVE A PROCESS FOR UPDATING THE MANUAL.</w:t>
      </w:r>
      <w:bookmarkEnd w:id="11"/>
    </w:p>
    <w:p w:rsidR="00DC65BC" w:rsidRDefault="008343BA">
      <w:pPr>
        <w:autoSpaceDE w:val="0"/>
        <w:autoSpaceDN w:val="0"/>
        <w:adjustRightInd w:val="0"/>
        <w:spacing w:line="480" w:lineRule="auto"/>
        <w:ind w:firstLine="720"/>
        <w:rPr>
          <w:rFonts w:eastAsia="MS Mincho"/>
          <w:szCs w:val="24"/>
        </w:rPr>
      </w:pPr>
      <w:r>
        <w:rPr>
          <w:rFonts w:eastAsia="MS Mincho"/>
          <w:szCs w:val="24"/>
        </w:rPr>
        <w:t xml:space="preserve">Over four years have passed since the enactment of Sub. S.B. 221 brought about the energy efficiency and peak demand reduction requirements that are the subject of the Evergreen’s Report.  Following the passage of Sub. S.B. 221, an effective process for energy efficiency and peak demand reduction projects regarding compliance with </w:t>
      </w:r>
      <w:smartTag w:uri="urn:schemas-microsoft-com:office:smarttags" w:element="State">
        <w:smartTag w:uri="urn:schemas-microsoft-com:office:smarttags" w:element="place">
          <w:r>
            <w:rPr>
              <w:rFonts w:eastAsia="MS Mincho"/>
              <w:szCs w:val="24"/>
            </w:rPr>
            <w:t>Ohio</w:t>
          </w:r>
        </w:smartTag>
      </w:smartTag>
      <w:r>
        <w:rPr>
          <w:rFonts w:eastAsia="MS Mincho"/>
          <w:szCs w:val="24"/>
        </w:rPr>
        <w:t>’s legal requirements would have been the timely completion of an Ohio TRM and use of that TRM by Evergreen and the Commission to evaluate the various Company energy savings estimates.  Unfortunately, that has not happened.  This unresolved situation is evident in Evergreen’s comments when discussing the EDUs’ impact information sources:</w:t>
      </w:r>
    </w:p>
    <w:p w:rsidR="00DC65BC" w:rsidRDefault="008343BA" w:rsidP="00344C88">
      <w:pPr>
        <w:autoSpaceDE w:val="0"/>
        <w:autoSpaceDN w:val="0"/>
        <w:adjustRightInd w:val="0"/>
        <w:ind w:left="1440" w:right="720"/>
        <w:rPr>
          <w:rFonts w:eastAsia="MS Mincho"/>
          <w:szCs w:val="24"/>
        </w:rPr>
      </w:pPr>
      <w:r>
        <w:rPr>
          <w:rFonts w:eastAsia="MS Mincho"/>
          <w:szCs w:val="24"/>
        </w:rPr>
        <w:t xml:space="preserve">Our expectation at the start of this project was that the electric utility impact estimates would be a combination of </w:t>
      </w:r>
      <w:r>
        <w:rPr>
          <w:rFonts w:eastAsia="MS Mincho"/>
          <w:i/>
          <w:iCs/>
          <w:szCs w:val="24"/>
        </w:rPr>
        <w:t xml:space="preserve">ex ante </w:t>
      </w:r>
      <w:r>
        <w:rPr>
          <w:rFonts w:eastAsia="MS Mincho"/>
          <w:szCs w:val="24"/>
        </w:rPr>
        <w:t xml:space="preserve">values from the original program filings with the PUCO, savings values from the draft Ohio TRM, and </w:t>
      </w:r>
      <w:r>
        <w:rPr>
          <w:rFonts w:eastAsia="MS Mincho"/>
          <w:i/>
          <w:iCs/>
          <w:szCs w:val="24"/>
        </w:rPr>
        <w:t xml:space="preserve">ex post </w:t>
      </w:r>
      <w:r>
        <w:rPr>
          <w:rFonts w:eastAsia="MS Mincho"/>
          <w:szCs w:val="24"/>
        </w:rPr>
        <w:t>impact values derived from the utility evaluation research in the prior year. Instead we found a host of additional impact sources, as illustrated in Table 3.  This multitude of sources has made the savings claim review for each utility more challenging, as there are many more sources that needed to be vetted than originally anticipated.</w:t>
      </w:r>
      <w:r>
        <w:rPr>
          <w:rStyle w:val="FootnoteReference"/>
          <w:rFonts w:eastAsia="MS Mincho"/>
          <w:szCs w:val="24"/>
        </w:rPr>
        <w:footnoteReference w:id="67"/>
      </w:r>
    </w:p>
    <w:p w:rsidR="00DC65BC" w:rsidRDefault="00DC65BC">
      <w:pPr>
        <w:autoSpaceDE w:val="0"/>
        <w:autoSpaceDN w:val="0"/>
        <w:adjustRightInd w:val="0"/>
        <w:rPr>
          <w:rFonts w:ascii="Cambria" w:eastAsia="MS Mincho" w:hAnsi="Cambria" w:cs="Cambria"/>
          <w:sz w:val="22"/>
          <w:szCs w:val="22"/>
        </w:rPr>
      </w:pPr>
    </w:p>
    <w:p w:rsidR="00DC65BC" w:rsidRDefault="008343BA">
      <w:pPr>
        <w:spacing w:line="480" w:lineRule="auto"/>
        <w:ind w:firstLine="720"/>
        <w:rPr>
          <w:rFonts w:eastAsia="MS Mincho"/>
          <w:szCs w:val="24"/>
        </w:rPr>
      </w:pPr>
      <w:r>
        <w:rPr>
          <w:rFonts w:eastAsia="MS Mincho"/>
          <w:szCs w:val="24"/>
        </w:rPr>
        <w:t xml:space="preserve">The current “wild west” situation in </w:t>
      </w:r>
      <w:smartTag w:uri="urn:schemas-microsoft-com:office:smarttags" w:element="State">
        <w:smartTag w:uri="urn:schemas-microsoft-com:office:smarttags" w:element="place">
          <w:r>
            <w:rPr>
              <w:rFonts w:eastAsia="MS Mincho"/>
              <w:szCs w:val="24"/>
            </w:rPr>
            <w:t>Ohio</w:t>
          </w:r>
        </w:smartTag>
      </w:smartTag>
      <w:r>
        <w:rPr>
          <w:rFonts w:eastAsia="MS Mincho"/>
          <w:szCs w:val="24"/>
        </w:rPr>
        <w:t xml:space="preserve"> with regard to program savings impacts is untenable.  The importance of finalizing the Ohio TRM cannot be overstated.   These measure/program savings estimates are the foundation of determining the EDUs’ compliance with the statutory EE/PDR requirements.  Moreover, they form the basis for the EDUs’ collection of lost distribution revenues and shared savings incentives from customers.  The latter can total over $200 million for the four Ohio EDUs through their second portfolio phase.  Finally, finalizing the TRM would lead to administrative efficiency.  An inordinate amount of time and effort in EE-related proceedings before the Commission is spent arguing about values that could be codified in a robust TRM.  </w:t>
      </w:r>
    </w:p>
    <w:p w:rsidR="00DC65BC" w:rsidRDefault="008343BA">
      <w:pPr>
        <w:spacing w:line="480" w:lineRule="auto"/>
        <w:ind w:firstLine="720"/>
        <w:rPr>
          <w:szCs w:val="24"/>
        </w:rPr>
      </w:pPr>
      <w:r>
        <w:rPr>
          <w:rFonts w:eastAsia="MS Mincho"/>
          <w:szCs w:val="24"/>
        </w:rPr>
        <w:t xml:space="preserve">In 2009, the Commission began a proceeding </w:t>
      </w:r>
      <w:r>
        <w:t>designed</w:t>
      </w:r>
      <w:r>
        <w:rPr>
          <w:szCs w:val="24"/>
        </w:rPr>
        <w:t xml:space="preserve"> to provide guidance regarding how it wi</w:t>
      </w:r>
      <w:r>
        <w:t>ll</w:t>
      </w:r>
      <w:r>
        <w:rPr>
          <w:szCs w:val="24"/>
        </w:rPr>
        <w:t xml:space="preserve"> determine energy savings and/or peak-demand reductions.</w:t>
      </w:r>
      <w:r>
        <w:rPr>
          <w:rStyle w:val="FootnoteReference"/>
          <w:szCs w:val="24"/>
        </w:rPr>
        <w:footnoteReference w:id="68"/>
      </w:r>
      <w:r>
        <w:rPr>
          <w:szCs w:val="24"/>
        </w:rPr>
        <w:t xml:space="preserve">  The Commission </w:t>
      </w:r>
      <w:r>
        <w:t>in</w:t>
      </w:r>
      <w:r>
        <w:rPr>
          <w:szCs w:val="24"/>
        </w:rPr>
        <w:t>tended to establish protocols for the measurement and verification of energy effi</w:t>
      </w:r>
      <w:r>
        <w:t>ci</w:t>
      </w:r>
      <w:r>
        <w:rPr>
          <w:szCs w:val="24"/>
        </w:rPr>
        <w:t>ency and peak-demand reduction measures for incorporation into the TRM.</w:t>
      </w:r>
      <w:r>
        <w:rPr>
          <w:rStyle w:val="FootnoteReference"/>
          <w:szCs w:val="24"/>
        </w:rPr>
        <w:footnoteReference w:id="69"/>
      </w:r>
      <w:r>
        <w:rPr>
          <w:szCs w:val="24"/>
        </w:rPr>
        <w:t xml:space="preserve">  The Commission stated that “the TRM would provide predi</w:t>
      </w:r>
      <w:r>
        <w:t>ct</w:t>
      </w:r>
      <w:r>
        <w:rPr>
          <w:szCs w:val="24"/>
        </w:rPr>
        <w:t>abi</w:t>
      </w:r>
      <w:r>
        <w:t>li</w:t>
      </w:r>
      <w:r>
        <w:rPr>
          <w:szCs w:val="24"/>
        </w:rPr>
        <w:t>ty and consistency for the benefit of the electric and gas uti</w:t>
      </w:r>
      <w:r>
        <w:t>li</w:t>
      </w:r>
      <w:r>
        <w:rPr>
          <w:szCs w:val="24"/>
        </w:rPr>
        <w:t>ties, customers, and the Commission itself.”</w:t>
      </w:r>
      <w:r>
        <w:rPr>
          <w:rStyle w:val="FootnoteReference"/>
          <w:szCs w:val="24"/>
        </w:rPr>
        <w:footnoteReference w:id="70"/>
      </w:r>
    </w:p>
    <w:p w:rsidR="00DC65BC" w:rsidRDefault="008343BA">
      <w:pPr>
        <w:spacing w:line="480" w:lineRule="auto"/>
        <w:ind w:firstLine="720"/>
        <w:rPr>
          <w:rFonts w:eastAsia="MS Mincho"/>
          <w:szCs w:val="24"/>
        </w:rPr>
      </w:pPr>
      <w:r>
        <w:rPr>
          <w:szCs w:val="24"/>
        </w:rPr>
        <w:t>Although comments were filed on the proposed TRM, the Commission has yet to issue a final order in the 09-512 docket.  The difficulties Evergreen experienced in evaluating the savings from the EDUs’ EE/PDR programs demonstrate the need for the Commission to finalize the TRM and adopt a process for updating it.  In order to adequately accomplish the statutory directive of R.C. 4928.66(B), the Commission should act post haste to finalize the TRM</w:t>
      </w:r>
      <w:r>
        <w:rPr>
          <w:rFonts w:eastAsia="MS Mincho"/>
          <w:szCs w:val="24"/>
        </w:rPr>
        <w:t xml:space="preserve">.  </w:t>
      </w:r>
    </w:p>
    <w:p w:rsidR="00344C88" w:rsidRDefault="00344C88" w:rsidP="00344C88">
      <w:pPr>
        <w:ind w:firstLine="720"/>
        <w:rPr>
          <w:rFonts w:eastAsia="MS Mincho"/>
          <w:szCs w:val="24"/>
        </w:rPr>
      </w:pPr>
    </w:p>
    <w:p w:rsidR="00DC65BC" w:rsidRDefault="008343BA" w:rsidP="00344C88">
      <w:pPr>
        <w:pStyle w:val="Heading1"/>
        <w:rPr>
          <w:rFonts w:eastAsia="MS Mincho"/>
        </w:rPr>
      </w:pPr>
      <w:bookmarkStart w:id="12" w:name="_Toc339632509"/>
      <w:r>
        <w:rPr>
          <w:rFonts w:eastAsia="MS Mincho"/>
        </w:rPr>
        <w:t>V.</w:t>
      </w:r>
      <w:r>
        <w:rPr>
          <w:rFonts w:eastAsia="MS Mincho"/>
        </w:rPr>
        <w:tab/>
        <w:t>CONCLUSION</w:t>
      </w:r>
      <w:bookmarkEnd w:id="12"/>
    </w:p>
    <w:p w:rsidR="00DC65BC" w:rsidRDefault="008343BA">
      <w:pPr>
        <w:spacing w:line="480" w:lineRule="auto"/>
        <w:ind w:firstLine="720"/>
        <w:rPr>
          <w:rFonts w:eastAsia="MS Mincho"/>
          <w:szCs w:val="24"/>
        </w:rPr>
      </w:pPr>
      <w:r>
        <w:rPr>
          <w:rFonts w:eastAsia="MS Mincho"/>
          <w:szCs w:val="24"/>
        </w:rPr>
        <w:t>The actions Evergreen recommends will help the Commission to better verify the savings achieved through the EDUs’ EE/PDR programs, and thus will assist the Commission to follow the statutory directive of R.C. 4928.66(B).  The Commission should adopt Evergreen’s recommendations.  Further, in order to bring much-needed predictability and stability to the verification of the EDUs’ EE/PDR savings, the Commission should finalize the TRM.</w:t>
      </w:r>
    </w:p>
    <w:p w:rsidR="00DC65BC" w:rsidRDefault="008343BA">
      <w:pPr>
        <w:pStyle w:val="BodyTextIndent3"/>
        <w:widowControl w:val="0"/>
        <w:spacing w:line="480" w:lineRule="auto"/>
        <w:ind w:left="4320" w:firstLine="0"/>
        <w:rPr>
          <w:szCs w:val="24"/>
        </w:rPr>
      </w:pPr>
      <w:r>
        <w:rPr>
          <w:szCs w:val="24"/>
        </w:rPr>
        <w:t>Respectfully submitted,</w:t>
      </w:r>
    </w:p>
    <w:p w:rsidR="00DC65BC" w:rsidRDefault="008343BA">
      <w:pPr>
        <w:pStyle w:val="Footer"/>
        <w:tabs>
          <w:tab w:val="clear" w:pos="8640"/>
          <w:tab w:val="left" w:pos="4320"/>
        </w:tabs>
        <w:ind w:left="4320"/>
        <w:rPr>
          <w:szCs w:val="24"/>
        </w:rPr>
      </w:pPr>
      <w:r>
        <w:rPr>
          <w:szCs w:val="24"/>
        </w:rPr>
        <w:t>BRUCE J. WESTON</w:t>
      </w:r>
    </w:p>
    <w:p w:rsidR="00DC65BC" w:rsidRDefault="008343BA">
      <w:pPr>
        <w:tabs>
          <w:tab w:val="left" w:pos="4320"/>
        </w:tabs>
        <w:ind w:left="4320"/>
        <w:rPr>
          <w:szCs w:val="24"/>
        </w:rPr>
      </w:pPr>
      <w:smartTag w:uri="urn:schemas-microsoft-com:office:smarttags" w:element="place">
        <w:smartTag w:uri="urn:schemas-microsoft-com:office:smarttags" w:element="State">
          <w:r>
            <w:rPr>
              <w:szCs w:val="24"/>
            </w:rPr>
            <w:t>OHIO</w:t>
          </w:r>
        </w:smartTag>
      </w:smartTag>
      <w:r>
        <w:rPr>
          <w:szCs w:val="24"/>
        </w:rPr>
        <w:t xml:space="preserve"> CONSUMERS’ COUNSEL</w:t>
      </w:r>
    </w:p>
    <w:p w:rsidR="00DC65BC" w:rsidRDefault="008343BA">
      <w:pPr>
        <w:tabs>
          <w:tab w:val="left" w:pos="4320"/>
        </w:tabs>
        <w:rPr>
          <w:szCs w:val="24"/>
        </w:rPr>
      </w:pPr>
      <w:r>
        <w:rPr>
          <w:szCs w:val="24"/>
        </w:rPr>
        <w:tab/>
      </w:r>
    </w:p>
    <w:p w:rsidR="00DC65BC" w:rsidRDefault="008343BA">
      <w:pPr>
        <w:tabs>
          <w:tab w:val="left" w:pos="4320"/>
        </w:tabs>
        <w:rPr>
          <w:u w:val="single"/>
        </w:rPr>
      </w:pPr>
      <w:r>
        <w:rPr>
          <w:szCs w:val="24"/>
        </w:rPr>
        <w:tab/>
      </w:r>
      <w:r>
        <w:rPr>
          <w:i/>
          <w:szCs w:val="24"/>
          <w:u w:val="single"/>
        </w:rPr>
        <w:t>/s/ Terry L. Etter</w:t>
      </w:r>
      <w:r>
        <w:rPr>
          <w:u w:val="single"/>
        </w:rPr>
        <w:t>                      </w:t>
      </w:r>
    </w:p>
    <w:p w:rsidR="00DC65BC" w:rsidRDefault="008343BA">
      <w:pPr>
        <w:tabs>
          <w:tab w:val="left" w:pos="4320"/>
        </w:tabs>
        <w:ind w:left="4320"/>
        <w:rPr>
          <w:szCs w:val="24"/>
        </w:rPr>
      </w:pPr>
      <w:r>
        <w:rPr>
          <w:szCs w:val="24"/>
        </w:rPr>
        <w:t>Terry L. Etter, Counsel of Record</w:t>
      </w:r>
    </w:p>
    <w:p w:rsidR="00DC65BC" w:rsidRDefault="008343BA">
      <w:pPr>
        <w:tabs>
          <w:tab w:val="left" w:pos="4320"/>
        </w:tabs>
        <w:ind w:left="4320"/>
        <w:rPr>
          <w:szCs w:val="24"/>
        </w:rPr>
      </w:pPr>
      <w:r>
        <w:rPr>
          <w:szCs w:val="24"/>
        </w:rPr>
        <w:t>Assistant Consumers’ Counsel</w:t>
      </w:r>
    </w:p>
    <w:p w:rsidR="00344C88" w:rsidRDefault="00344C88">
      <w:pPr>
        <w:tabs>
          <w:tab w:val="left" w:pos="4320"/>
        </w:tabs>
        <w:ind w:left="4320"/>
        <w:rPr>
          <w:b/>
          <w:szCs w:val="24"/>
        </w:rPr>
      </w:pPr>
    </w:p>
    <w:p w:rsidR="00DC65BC" w:rsidRDefault="008343BA">
      <w:pPr>
        <w:tabs>
          <w:tab w:val="left" w:pos="4320"/>
        </w:tabs>
        <w:ind w:left="4320"/>
        <w:rPr>
          <w:szCs w:val="24"/>
        </w:rPr>
      </w:pPr>
      <w:r>
        <w:rPr>
          <w:b/>
          <w:szCs w:val="24"/>
        </w:rPr>
        <w:t>Office of the Ohio Consumers’ Counsel</w:t>
      </w:r>
    </w:p>
    <w:p w:rsidR="00DC65BC" w:rsidRDefault="008343BA">
      <w:pPr>
        <w:tabs>
          <w:tab w:val="left" w:pos="4320"/>
        </w:tabs>
        <w:ind w:left="4320"/>
        <w:rPr>
          <w:szCs w:val="24"/>
        </w:rPr>
      </w:pPr>
      <w:smartTag w:uri="urn:schemas-microsoft-com:office:smarttags" w:element="Street">
        <w:smartTag w:uri="urn:schemas-microsoft-com:office:smarttags" w:element="address">
          <w:r>
            <w:rPr>
              <w:szCs w:val="24"/>
            </w:rPr>
            <w:t>10 West Broad Street, Suite 1800</w:t>
          </w:r>
        </w:smartTag>
      </w:smartTag>
    </w:p>
    <w:p w:rsidR="00DC65BC" w:rsidRDefault="008343BA">
      <w:pPr>
        <w:tabs>
          <w:tab w:val="left" w:pos="4320"/>
        </w:tabs>
        <w:ind w:left="4320"/>
        <w:rPr>
          <w:szCs w:val="24"/>
        </w:rPr>
      </w:pPr>
      <w:smartTag w:uri="urn:schemas-microsoft-com:office:smarttags" w:element="place">
        <w:smartTag w:uri="urn:schemas-microsoft-com:office:smarttags" w:element="City">
          <w:r>
            <w:rPr>
              <w:szCs w:val="24"/>
            </w:rPr>
            <w:t>Columbus</w:t>
          </w:r>
        </w:smartTag>
        <w:r>
          <w:rPr>
            <w:szCs w:val="24"/>
          </w:rPr>
          <w:t xml:space="preserve">, </w:t>
        </w:r>
        <w:smartTag w:uri="urn:schemas-microsoft-com:office:smarttags" w:element="State">
          <w:r>
            <w:rPr>
              <w:szCs w:val="24"/>
            </w:rPr>
            <w:t>Ohio</w:t>
          </w:r>
        </w:smartTag>
        <w:r>
          <w:rPr>
            <w:szCs w:val="24"/>
          </w:rPr>
          <w:t xml:space="preserve"> </w:t>
        </w:r>
        <w:smartTag w:uri="urn:schemas-microsoft-com:office:smarttags" w:element="PostalCode">
          <w:r>
            <w:rPr>
              <w:szCs w:val="24"/>
            </w:rPr>
            <w:t>43215-3485</w:t>
          </w:r>
        </w:smartTag>
      </w:smartTag>
    </w:p>
    <w:p w:rsidR="00DC65BC" w:rsidRDefault="008343BA">
      <w:pPr>
        <w:ind w:left="4320"/>
        <w:rPr>
          <w:szCs w:val="24"/>
        </w:rPr>
      </w:pPr>
      <w:r>
        <w:t xml:space="preserve">Telephone:  (614) </w:t>
      </w:r>
      <w:r>
        <w:rPr>
          <w:szCs w:val="24"/>
        </w:rPr>
        <w:t>466-7964 (direct line)</w:t>
      </w:r>
    </w:p>
    <w:p w:rsidR="00DC65BC" w:rsidRDefault="004D2C34">
      <w:pPr>
        <w:ind w:left="4320"/>
        <w:rPr>
          <w:szCs w:val="24"/>
        </w:rPr>
      </w:pPr>
      <w:hyperlink r:id="rId17" w:history="1">
        <w:r w:rsidR="00344C88" w:rsidRPr="00B67E68">
          <w:rPr>
            <w:rStyle w:val="Hyperlink"/>
            <w:szCs w:val="24"/>
          </w:rPr>
          <w:t>etter@occ.state.oh.us</w:t>
        </w:r>
      </w:hyperlink>
    </w:p>
    <w:p w:rsidR="00344C88" w:rsidRDefault="00344C88">
      <w:pPr>
        <w:ind w:left="4320"/>
        <w:rPr>
          <w:szCs w:val="24"/>
        </w:rPr>
      </w:pPr>
    </w:p>
    <w:p w:rsidR="00DC65BC" w:rsidRDefault="008343BA" w:rsidP="00344C88">
      <w:pPr>
        <w:autoSpaceDE w:val="0"/>
        <w:autoSpaceDN w:val="0"/>
        <w:adjustRightInd w:val="0"/>
        <w:jc w:val="center"/>
        <w:rPr>
          <w:szCs w:val="24"/>
        </w:rPr>
      </w:pPr>
      <w:r>
        <w:rPr>
          <w:szCs w:val="24"/>
        </w:rPr>
        <w:br w:type="page"/>
      </w:r>
      <w:r>
        <w:rPr>
          <w:b/>
          <w:szCs w:val="24"/>
          <w:u w:val="single"/>
        </w:rPr>
        <w:t>CERTIFICATE OF SERVICE</w:t>
      </w:r>
    </w:p>
    <w:p w:rsidR="00DC65BC" w:rsidRDefault="00DC65BC">
      <w:pPr>
        <w:autoSpaceDE w:val="0"/>
        <w:autoSpaceDN w:val="0"/>
        <w:adjustRightInd w:val="0"/>
        <w:ind w:firstLine="4320"/>
        <w:jc w:val="center"/>
        <w:rPr>
          <w:szCs w:val="24"/>
          <w:u w:val="single"/>
        </w:rPr>
      </w:pPr>
    </w:p>
    <w:p w:rsidR="00DC65BC" w:rsidRDefault="008343BA" w:rsidP="00344C88">
      <w:pPr>
        <w:spacing w:line="480" w:lineRule="auto"/>
        <w:ind w:firstLine="720"/>
      </w:pPr>
      <w:r>
        <w:t>I hereby certify that a copy of these Comments was served electronically upon the persons listed below this 2</w:t>
      </w:r>
      <w:r>
        <w:rPr>
          <w:vertAlign w:val="superscript"/>
        </w:rPr>
        <w:t>nd</w:t>
      </w:r>
      <w:r>
        <w:t xml:space="preserve"> day of November 2012.  </w:t>
      </w:r>
    </w:p>
    <w:p w:rsidR="00DC65BC" w:rsidRDefault="00DC65BC">
      <w:pPr>
        <w:rPr>
          <w:szCs w:val="24"/>
        </w:rPr>
      </w:pPr>
    </w:p>
    <w:p w:rsidR="00DC65BC" w:rsidRDefault="008343BA">
      <w:pPr>
        <w:tabs>
          <w:tab w:val="left" w:pos="4320"/>
        </w:tabs>
        <w:rPr>
          <w:u w:val="single"/>
        </w:rPr>
      </w:pPr>
      <w:r>
        <w:rPr>
          <w:szCs w:val="24"/>
        </w:rPr>
        <w:tab/>
      </w:r>
      <w:r>
        <w:rPr>
          <w:i/>
          <w:szCs w:val="24"/>
          <w:u w:val="single"/>
        </w:rPr>
        <w:t>/s/ Terry L. Etter</w:t>
      </w:r>
      <w:r>
        <w:rPr>
          <w:u w:val="single"/>
        </w:rPr>
        <w:t>                      </w:t>
      </w:r>
    </w:p>
    <w:p w:rsidR="00DC65BC" w:rsidRDefault="008343BA">
      <w:pPr>
        <w:tabs>
          <w:tab w:val="left" w:pos="4320"/>
        </w:tabs>
        <w:rPr>
          <w:szCs w:val="24"/>
        </w:rPr>
      </w:pPr>
      <w:r>
        <w:rPr>
          <w:szCs w:val="24"/>
        </w:rPr>
        <w:tab/>
        <w:t>Terry L. Etter</w:t>
      </w:r>
    </w:p>
    <w:p w:rsidR="00DC65BC" w:rsidRDefault="008343BA">
      <w:pPr>
        <w:tabs>
          <w:tab w:val="left" w:pos="4320"/>
        </w:tabs>
        <w:rPr>
          <w:szCs w:val="24"/>
        </w:rPr>
      </w:pPr>
      <w:r>
        <w:rPr>
          <w:szCs w:val="24"/>
        </w:rPr>
        <w:tab/>
        <w:t>Assistant Consumers’ Counsel</w:t>
      </w:r>
    </w:p>
    <w:p w:rsidR="00DC65BC" w:rsidRDefault="00DC65BC">
      <w:pPr>
        <w:pStyle w:val="CommentText"/>
        <w:jc w:val="center"/>
        <w:rPr>
          <w:b/>
          <w:sz w:val="24"/>
          <w:szCs w:val="24"/>
          <w:u w:val="single"/>
        </w:rPr>
      </w:pPr>
    </w:p>
    <w:p w:rsidR="00DC65BC" w:rsidRDefault="008343BA">
      <w:pPr>
        <w:pStyle w:val="CommentText"/>
        <w:jc w:val="center"/>
        <w:rPr>
          <w:b/>
          <w:sz w:val="24"/>
          <w:szCs w:val="24"/>
          <w:u w:val="single"/>
        </w:rPr>
      </w:pPr>
      <w:r>
        <w:rPr>
          <w:b/>
          <w:sz w:val="24"/>
          <w:szCs w:val="24"/>
          <w:u w:val="single"/>
        </w:rPr>
        <w:t>SERVICE LIST</w:t>
      </w:r>
    </w:p>
    <w:p w:rsidR="00DC65BC" w:rsidRDefault="00DC65BC">
      <w:pPr>
        <w:pStyle w:val="CommentText"/>
        <w:jc w:val="center"/>
        <w:rPr>
          <w:b/>
          <w:sz w:val="24"/>
          <w:szCs w:val="24"/>
          <w:u w:val="single"/>
        </w:rPr>
      </w:pPr>
    </w:p>
    <w:tbl>
      <w:tblPr>
        <w:tblW w:w="0" w:type="auto"/>
        <w:tblLook w:val="01E0" w:firstRow="1" w:lastRow="1" w:firstColumn="1" w:lastColumn="1" w:noHBand="0" w:noVBand="0"/>
      </w:tblPr>
      <w:tblGrid>
        <w:gridCol w:w="4428"/>
        <w:gridCol w:w="4428"/>
      </w:tblGrid>
      <w:tr w:rsidR="00DC65BC" w:rsidRPr="00296046" w:rsidTr="00296046">
        <w:tc>
          <w:tcPr>
            <w:tcW w:w="4428" w:type="dxa"/>
            <w:shd w:val="clear" w:color="auto" w:fill="auto"/>
          </w:tcPr>
          <w:p w:rsidR="00DC65BC" w:rsidRPr="00296046" w:rsidRDefault="008343BA" w:rsidP="00296046">
            <w:pPr>
              <w:autoSpaceDE w:val="0"/>
              <w:autoSpaceDN w:val="0"/>
              <w:adjustRightInd w:val="0"/>
              <w:rPr>
                <w:bCs/>
                <w:szCs w:val="24"/>
              </w:rPr>
            </w:pPr>
            <w:r w:rsidRPr="00296046">
              <w:rPr>
                <w:bCs/>
                <w:szCs w:val="24"/>
              </w:rPr>
              <w:t>William Wright</w:t>
            </w:r>
          </w:p>
          <w:p w:rsidR="00DC65BC" w:rsidRPr="00296046" w:rsidRDefault="008343BA" w:rsidP="00296046">
            <w:pPr>
              <w:autoSpaceDE w:val="0"/>
              <w:autoSpaceDN w:val="0"/>
              <w:adjustRightInd w:val="0"/>
              <w:rPr>
                <w:bCs/>
                <w:szCs w:val="24"/>
              </w:rPr>
            </w:pPr>
            <w:r w:rsidRPr="00296046">
              <w:rPr>
                <w:bCs/>
                <w:szCs w:val="24"/>
              </w:rPr>
              <w:t xml:space="preserve">Public Utilities Commission of </w:t>
            </w:r>
            <w:smartTag w:uri="urn:schemas-microsoft-com:office:smarttags" w:element="place">
              <w:smartTag w:uri="urn:schemas-microsoft-com:office:smarttags" w:element="State">
                <w:r w:rsidRPr="00296046">
                  <w:rPr>
                    <w:bCs/>
                    <w:szCs w:val="24"/>
                  </w:rPr>
                  <w:t>Ohio</w:t>
                </w:r>
              </w:smartTag>
            </w:smartTag>
          </w:p>
          <w:p w:rsidR="00DC65BC" w:rsidRPr="00296046" w:rsidRDefault="008343BA" w:rsidP="00296046">
            <w:pPr>
              <w:autoSpaceDE w:val="0"/>
              <w:autoSpaceDN w:val="0"/>
              <w:adjustRightInd w:val="0"/>
              <w:rPr>
                <w:bCs/>
                <w:szCs w:val="24"/>
              </w:rPr>
            </w:pPr>
            <w:smartTag w:uri="urn:schemas-microsoft-com:office:smarttags" w:element="Street">
              <w:smartTag w:uri="urn:schemas-microsoft-com:office:smarttags" w:element="address">
                <w:r w:rsidRPr="00296046">
                  <w:rPr>
                    <w:bCs/>
                    <w:szCs w:val="24"/>
                  </w:rPr>
                  <w:t>180 E. Broad St.</w:t>
                </w:r>
              </w:smartTag>
            </w:smartTag>
            <w:r w:rsidRPr="00296046">
              <w:rPr>
                <w:bCs/>
                <w:szCs w:val="24"/>
              </w:rPr>
              <w:t>, 6</w:t>
            </w:r>
            <w:r w:rsidRPr="00296046">
              <w:rPr>
                <w:bCs/>
                <w:szCs w:val="24"/>
                <w:vertAlign w:val="superscript"/>
              </w:rPr>
              <w:t>th</w:t>
            </w:r>
            <w:r w:rsidRPr="00296046">
              <w:rPr>
                <w:bCs/>
                <w:szCs w:val="24"/>
              </w:rPr>
              <w:t xml:space="preserve"> Fl.</w:t>
            </w:r>
          </w:p>
          <w:p w:rsidR="00DC65BC" w:rsidRPr="00296046" w:rsidRDefault="008343BA" w:rsidP="00296046">
            <w:pPr>
              <w:autoSpaceDE w:val="0"/>
              <w:autoSpaceDN w:val="0"/>
              <w:adjustRightInd w:val="0"/>
              <w:rPr>
                <w:bCs/>
                <w:szCs w:val="24"/>
              </w:rPr>
            </w:pPr>
            <w:smartTag w:uri="urn:schemas-microsoft-com:office:smarttags" w:element="place">
              <w:smartTag w:uri="urn:schemas-microsoft-com:office:smarttags" w:element="City">
                <w:r w:rsidRPr="00296046">
                  <w:rPr>
                    <w:bCs/>
                    <w:szCs w:val="24"/>
                  </w:rPr>
                  <w:t>Columbus</w:t>
                </w:r>
              </w:smartTag>
              <w:r w:rsidRPr="00296046">
                <w:rPr>
                  <w:bCs/>
                  <w:szCs w:val="24"/>
                </w:rPr>
                <w:t xml:space="preserve">, </w:t>
              </w:r>
              <w:smartTag w:uri="urn:schemas-microsoft-com:office:smarttags" w:element="State">
                <w:r w:rsidRPr="00296046">
                  <w:rPr>
                    <w:bCs/>
                    <w:szCs w:val="24"/>
                  </w:rPr>
                  <w:t>OH</w:t>
                </w:r>
              </w:smartTag>
              <w:r w:rsidRPr="00296046">
                <w:rPr>
                  <w:bCs/>
                  <w:szCs w:val="24"/>
                </w:rPr>
                <w:t xml:space="preserve"> </w:t>
              </w:r>
              <w:smartTag w:uri="urn:schemas-microsoft-com:office:smarttags" w:element="PostalCode">
                <w:r w:rsidRPr="00296046">
                  <w:rPr>
                    <w:bCs/>
                    <w:szCs w:val="24"/>
                  </w:rPr>
                  <w:t>43215</w:t>
                </w:r>
              </w:smartTag>
            </w:smartTag>
          </w:p>
          <w:p w:rsidR="00DC65BC" w:rsidRPr="00296046" w:rsidRDefault="004D2C34" w:rsidP="00296046">
            <w:pPr>
              <w:autoSpaceDE w:val="0"/>
              <w:autoSpaceDN w:val="0"/>
              <w:adjustRightInd w:val="0"/>
              <w:rPr>
                <w:bCs/>
                <w:szCs w:val="24"/>
              </w:rPr>
            </w:pPr>
            <w:hyperlink r:id="rId18" w:history="1">
              <w:r w:rsidR="008343BA" w:rsidRPr="00296046">
                <w:rPr>
                  <w:rStyle w:val="Hyperlink"/>
                  <w:bCs/>
                  <w:szCs w:val="24"/>
                </w:rPr>
                <w:t>William.wright@puc.state.oh.us</w:t>
              </w:r>
            </w:hyperlink>
          </w:p>
          <w:p w:rsidR="00DC65BC" w:rsidRPr="00296046" w:rsidRDefault="00DC65BC" w:rsidP="00296046">
            <w:pPr>
              <w:autoSpaceDE w:val="0"/>
              <w:autoSpaceDN w:val="0"/>
              <w:adjustRightInd w:val="0"/>
              <w:rPr>
                <w:bCs/>
                <w:szCs w:val="24"/>
              </w:rPr>
            </w:pPr>
          </w:p>
        </w:tc>
        <w:tc>
          <w:tcPr>
            <w:tcW w:w="4428" w:type="dxa"/>
            <w:shd w:val="clear" w:color="auto" w:fill="auto"/>
          </w:tcPr>
          <w:p w:rsidR="00DC65BC" w:rsidRPr="00296046" w:rsidRDefault="008343BA" w:rsidP="00296046">
            <w:pPr>
              <w:autoSpaceDE w:val="0"/>
              <w:autoSpaceDN w:val="0"/>
              <w:adjustRightInd w:val="0"/>
              <w:rPr>
                <w:szCs w:val="24"/>
              </w:rPr>
            </w:pPr>
            <w:r w:rsidRPr="00296046">
              <w:rPr>
                <w:szCs w:val="24"/>
              </w:rPr>
              <w:t>James W. Burk</w:t>
            </w:r>
          </w:p>
          <w:p w:rsidR="00DC65BC" w:rsidRPr="00296046" w:rsidRDefault="008343BA" w:rsidP="00296046">
            <w:pPr>
              <w:autoSpaceDE w:val="0"/>
              <w:autoSpaceDN w:val="0"/>
              <w:adjustRightInd w:val="0"/>
              <w:rPr>
                <w:szCs w:val="24"/>
              </w:rPr>
            </w:pPr>
            <w:r w:rsidRPr="00296046">
              <w:rPr>
                <w:szCs w:val="24"/>
              </w:rPr>
              <w:t>Managing Counsel</w:t>
            </w:r>
          </w:p>
          <w:p w:rsidR="00DC65BC" w:rsidRPr="00296046" w:rsidRDefault="008343BA" w:rsidP="00296046">
            <w:pPr>
              <w:autoSpaceDE w:val="0"/>
              <w:autoSpaceDN w:val="0"/>
              <w:adjustRightInd w:val="0"/>
              <w:rPr>
                <w:szCs w:val="24"/>
              </w:rPr>
            </w:pPr>
            <w:r w:rsidRPr="00296046">
              <w:rPr>
                <w:szCs w:val="24"/>
              </w:rPr>
              <w:t>FirstEnergy Corporation</w:t>
            </w:r>
          </w:p>
          <w:p w:rsidR="00DC65BC" w:rsidRPr="00296046" w:rsidRDefault="008343BA" w:rsidP="00296046">
            <w:pPr>
              <w:autoSpaceDE w:val="0"/>
              <w:autoSpaceDN w:val="0"/>
              <w:adjustRightInd w:val="0"/>
              <w:rPr>
                <w:szCs w:val="24"/>
              </w:rPr>
            </w:pPr>
            <w:smartTag w:uri="urn:schemas-microsoft-com:office:smarttags" w:element="Street">
              <w:smartTag w:uri="urn:schemas-microsoft-com:office:smarttags" w:element="address">
                <w:r w:rsidRPr="00296046">
                  <w:rPr>
                    <w:szCs w:val="24"/>
                  </w:rPr>
                  <w:t>76 South Main Street</w:t>
                </w:r>
              </w:smartTag>
            </w:smartTag>
          </w:p>
          <w:p w:rsidR="00DC65BC" w:rsidRPr="00296046" w:rsidRDefault="008343BA" w:rsidP="00296046">
            <w:pPr>
              <w:autoSpaceDE w:val="0"/>
              <w:autoSpaceDN w:val="0"/>
              <w:adjustRightInd w:val="0"/>
              <w:rPr>
                <w:szCs w:val="24"/>
              </w:rPr>
            </w:pPr>
            <w:smartTag w:uri="urn:schemas-microsoft-com:office:smarttags" w:element="place">
              <w:smartTag w:uri="urn:schemas-microsoft-com:office:smarttags" w:element="City">
                <w:r w:rsidRPr="00296046">
                  <w:rPr>
                    <w:szCs w:val="24"/>
                  </w:rPr>
                  <w:t>Akron</w:t>
                </w:r>
              </w:smartTag>
              <w:r w:rsidRPr="00296046">
                <w:rPr>
                  <w:szCs w:val="24"/>
                </w:rPr>
                <w:t xml:space="preserve">, </w:t>
              </w:r>
              <w:smartTag w:uri="urn:schemas-microsoft-com:office:smarttags" w:element="State">
                <w:r w:rsidRPr="00296046">
                  <w:rPr>
                    <w:szCs w:val="24"/>
                  </w:rPr>
                  <w:t>OH</w:t>
                </w:r>
              </w:smartTag>
              <w:r w:rsidRPr="00296046">
                <w:rPr>
                  <w:szCs w:val="24"/>
                </w:rPr>
                <w:t xml:space="preserve"> </w:t>
              </w:r>
              <w:smartTag w:uri="urn:schemas-microsoft-com:office:smarttags" w:element="PostalCode">
                <w:r w:rsidRPr="00296046">
                  <w:rPr>
                    <w:szCs w:val="24"/>
                  </w:rPr>
                  <w:t>44308</w:t>
                </w:r>
              </w:smartTag>
            </w:smartTag>
          </w:p>
          <w:p w:rsidR="00DC65BC" w:rsidRPr="00296046" w:rsidRDefault="004D2C34" w:rsidP="00296046">
            <w:pPr>
              <w:autoSpaceDE w:val="0"/>
              <w:autoSpaceDN w:val="0"/>
              <w:adjustRightInd w:val="0"/>
              <w:rPr>
                <w:szCs w:val="24"/>
              </w:rPr>
            </w:pPr>
            <w:hyperlink r:id="rId19" w:history="1">
              <w:r w:rsidR="008343BA" w:rsidRPr="00296046">
                <w:rPr>
                  <w:rStyle w:val="Hyperlink"/>
                  <w:szCs w:val="24"/>
                </w:rPr>
                <w:t>burkj@firstenergycorp.com</w:t>
              </w:r>
            </w:hyperlink>
          </w:p>
          <w:p w:rsidR="00DC65BC" w:rsidRPr="00296046" w:rsidRDefault="00DC65BC" w:rsidP="00296046">
            <w:pPr>
              <w:autoSpaceDE w:val="0"/>
              <w:autoSpaceDN w:val="0"/>
              <w:adjustRightInd w:val="0"/>
              <w:rPr>
                <w:szCs w:val="24"/>
              </w:rPr>
            </w:pPr>
          </w:p>
          <w:p w:rsidR="00DC65BC" w:rsidRPr="00296046" w:rsidRDefault="00DC65BC">
            <w:pPr>
              <w:pStyle w:val="BodyText"/>
              <w:rPr>
                <w:bCs/>
                <w:sz w:val="24"/>
                <w:szCs w:val="24"/>
              </w:rPr>
            </w:pPr>
          </w:p>
        </w:tc>
      </w:tr>
      <w:tr w:rsidR="00DC65BC" w:rsidRPr="00296046" w:rsidTr="00296046">
        <w:tc>
          <w:tcPr>
            <w:tcW w:w="4428" w:type="dxa"/>
            <w:shd w:val="clear" w:color="auto" w:fill="auto"/>
          </w:tcPr>
          <w:p w:rsidR="00DC65BC" w:rsidRPr="00296046" w:rsidRDefault="00DC65BC" w:rsidP="00296046">
            <w:pPr>
              <w:ind w:left="1440" w:right="378" w:hanging="1440"/>
              <w:rPr>
                <w:szCs w:val="24"/>
              </w:rPr>
            </w:pPr>
          </w:p>
          <w:p w:rsidR="00DC65BC" w:rsidRPr="00296046" w:rsidRDefault="008343BA" w:rsidP="00296046">
            <w:pPr>
              <w:ind w:left="1440" w:right="378" w:hanging="1440"/>
              <w:rPr>
                <w:szCs w:val="24"/>
              </w:rPr>
            </w:pPr>
            <w:r w:rsidRPr="00296046">
              <w:rPr>
                <w:szCs w:val="24"/>
              </w:rPr>
              <w:t>Judi L. Sobecki</w:t>
            </w:r>
          </w:p>
          <w:p w:rsidR="00DC65BC" w:rsidRPr="00296046" w:rsidRDefault="008343BA" w:rsidP="00296046">
            <w:pPr>
              <w:ind w:left="1440" w:right="378" w:hanging="1440"/>
              <w:rPr>
                <w:szCs w:val="24"/>
              </w:rPr>
            </w:pPr>
            <w:r w:rsidRPr="00296046">
              <w:rPr>
                <w:szCs w:val="24"/>
              </w:rPr>
              <w:t>Randall V. Griffin</w:t>
            </w:r>
          </w:p>
          <w:p w:rsidR="00DC65BC" w:rsidRPr="00296046" w:rsidRDefault="008343BA" w:rsidP="00296046">
            <w:pPr>
              <w:ind w:left="1440" w:right="378" w:hanging="1440"/>
              <w:rPr>
                <w:szCs w:val="24"/>
              </w:rPr>
            </w:pPr>
            <w:smartTag w:uri="urn:schemas-microsoft-com:office:smarttags" w:element="place">
              <w:smartTag w:uri="urn:schemas-microsoft-com:office:smarttags" w:element="City">
                <w:r w:rsidRPr="00296046">
                  <w:rPr>
                    <w:szCs w:val="24"/>
                  </w:rPr>
                  <w:t>Dayton</w:t>
                </w:r>
              </w:smartTag>
            </w:smartTag>
            <w:r w:rsidRPr="00296046">
              <w:rPr>
                <w:szCs w:val="24"/>
              </w:rPr>
              <w:t xml:space="preserve"> Power and Light Company</w:t>
            </w:r>
          </w:p>
          <w:p w:rsidR="00DC65BC" w:rsidRPr="00296046" w:rsidRDefault="008343BA" w:rsidP="00296046">
            <w:pPr>
              <w:ind w:left="1440" w:right="378" w:hanging="1440"/>
              <w:rPr>
                <w:szCs w:val="24"/>
              </w:rPr>
            </w:pPr>
            <w:smartTag w:uri="urn:schemas-microsoft-com:office:smarttags" w:element="Street">
              <w:smartTag w:uri="urn:schemas-microsoft-com:office:smarttags" w:element="address">
                <w:r w:rsidRPr="00296046">
                  <w:rPr>
                    <w:szCs w:val="24"/>
                  </w:rPr>
                  <w:t>1065 Woodman Drive</w:t>
                </w:r>
              </w:smartTag>
            </w:smartTag>
          </w:p>
          <w:p w:rsidR="00DC65BC" w:rsidRPr="00296046" w:rsidRDefault="008343BA" w:rsidP="00296046">
            <w:pPr>
              <w:ind w:left="1440" w:right="378" w:hanging="1440"/>
              <w:rPr>
                <w:szCs w:val="24"/>
              </w:rPr>
            </w:pPr>
            <w:smartTag w:uri="urn:schemas-microsoft-com:office:smarttags" w:element="place">
              <w:smartTag w:uri="urn:schemas-microsoft-com:office:smarttags" w:element="City">
                <w:r w:rsidRPr="00296046">
                  <w:rPr>
                    <w:szCs w:val="24"/>
                  </w:rPr>
                  <w:t>Dayton</w:t>
                </w:r>
              </w:smartTag>
              <w:r w:rsidRPr="00296046">
                <w:rPr>
                  <w:szCs w:val="24"/>
                </w:rPr>
                <w:t xml:space="preserve">, </w:t>
              </w:r>
              <w:smartTag w:uri="urn:schemas-microsoft-com:office:smarttags" w:element="State">
                <w:r w:rsidRPr="00296046">
                  <w:rPr>
                    <w:szCs w:val="24"/>
                  </w:rPr>
                  <w:t>OH</w:t>
                </w:r>
              </w:smartTag>
              <w:r w:rsidRPr="00296046">
                <w:rPr>
                  <w:szCs w:val="24"/>
                </w:rPr>
                <w:t xml:space="preserve">  </w:t>
              </w:r>
              <w:smartTag w:uri="urn:schemas-microsoft-com:office:smarttags" w:element="PostalCode">
                <w:r w:rsidRPr="00296046">
                  <w:rPr>
                    <w:szCs w:val="24"/>
                  </w:rPr>
                  <w:t>45432</w:t>
                </w:r>
              </w:smartTag>
            </w:smartTag>
          </w:p>
          <w:p w:rsidR="00DC65BC" w:rsidRPr="00296046" w:rsidRDefault="004D2C34" w:rsidP="00296046">
            <w:pPr>
              <w:ind w:left="1440" w:right="378" w:hanging="1440"/>
              <w:rPr>
                <w:szCs w:val="24"/>
              </w:rPr>
            </w:pPr>
            <w:hyperlink r:id="rId20" w:history="1">
              <w:r w:rsidR="008343BA" w:rsidRPr="00296046">
                <w:rPr>
                  <w:rStyle w:val="Hyperlink"/>
                  <w:szCs w:val="24"/>
                </w:rPr>
                <w:t>Judi.sobecki@dplinc.com</w:t>
              </w:r>
            </w:hyperlink>
          </w:p>
          <w:p w:rsidR="00DC65BC" w:rsidRPr="00296046" w:rsidRDefault="004D2C34" w:rsidP="00296046">
            <w:pPr>
              <w:ind w:left="1440" w:right="378" w:hanging="1440"/>
              <w:rPr>
                <w:szCs w:val="24"/>
              </w:rPr>
            </w:pPr>
            <w:hyperlink r:id="rId21" w:history="1">
              <w:r w:rsidR="008343BA" w:rsidRPr="00296046">
                <w:rPr>
                  <w:rStyle w:val="Hyperlink"/>
                  <w:szCs w:val="24"/>
                </w:rPr>
                <w:t>Randall.griffin@dplinc.com</w:t>
              </w:r>
            </w:hyperlink>
          </w:p>
          <w:p w:rsidR="00DC65BC" w:rsidRPr="00296046" w:rsidRDefault="00DC65BC">
            <w:pPr>
              <w:rPr>
                <w:szCs w:val="24"/>
              </w:rPr>
            </w:pPr>
          </w:p>
        </w:tc>
        <w:tc>
          <w:tcPr>
            <w:tcW w:w="4428" w:type="dxa"/>
            <w:shd w:val="clear" w:color="auto" w:fill="auto"/>
          </w:tcPr>
          <w:p w:rsidR="00DC65BC" w:rsidRPr="00296046" w:rsidRDefault="00DC65BC" w:rsidP="00296046">
            <w:pPr>
              <w:autoSpaceDE w:val="0"/>
              <w:autoSpaceDN w:val="0"/>
              <w:adjustRightInd w:val="0"/>
              <w:rPr>
                <w:bCs/>
                <w:szCs w:val="24"/>
              </w:rPr>
            </w:pPr>
          </w:p>
          <w:p w:rsidR="00DC65BC" w:rsidRPr="00296046" w:rsidRDefault="008343BA" w:rsidP="00296046">
            <w:pPr>
              <w:autoSpaceDE w:val="0"/>
              <w:autoSpaceDN w:val="0"/>
              <w:adjustRightInd w:val="0"/>
              <w:rPr>
                <w:bCs/>
                <w:szCs w:val="24"/>
              </w:rPr>
            </w:pPr>
            <w:r w:rsidRPr="00296046">
              <w:rPr>
                <w:bCs/>
                <w:szCs w:val="24"/>
              </w:rPr>
              <w:t>Steven T. Nourse</w:t>
            </w:r>
          </w:p>
          <w:p w:rsidR="00DC65BC" w:rsidRPr="00296046" w:rsidRDefault="008343BA" w:rsidP="00296046">
            <w:pPr>
              <w:autoSpaceDE w:val="0"/>
              <w:autoSpaceDN w:val="0"/>
              <w:adjustRightInd w:val="0"/>
              <w:rPr>
                <w:bCs/>
                <w:szCs w:val="24"/>
              </w:rPr>
            </w:pPr>
            <w:r w:rsidRPr="00296046">
              <w:rPr>
                <w:bCs/>
                <w:szCs w:val="24"/>
              </w:rPr>
              <w:t>American Electric Power Service Corp.</w:t>
            </w:r>
          </w:p>
          <w:p w:rsidR="00DC65BC" w:rsidRPr="00296046" w:rsidRDefault="008343BA" w:rsidP="00296046">
            <w:pPr>
              <w:autoSpaceDE w:val="0"/>
              <w:autoSpaceDN w:val="0"/>
              <w:adjustRightInd w:val="0"/>
              <w:rPr>
                <w:bCs/>
                <w:szCs w:val="24"/>
              </w:rPr>
            </w:pPr>
            <w:r w:rsidRPr="00296046">
              <w:rPr>
                <w:bCs/>
                <w:szCs w:val="24"/>
              </w:rPr>
              <w:t xml:space="preserve">1 </w:t>
            </w:r>
            <w:smartTag w:uri="urn:schemas-microsoft-com:office:smarttags" w:element="place">
              <w:r w:rsidRPr="00296046">
                <w:rPr>
                  <w:bCs/>
                  <w:szCs w:val="24"/>
                </w:rPr>
                <w:t>Riverside</w:t>
              </w:r>
            </w:smartTag>
            <w:r w:rsidRPr="00296046">
              <w:rPr>
                <w:bCs/>
                <w:szCs w:val="24"/>
              </w:rPr>
              <w:t xml:space="preserve"> Plaza, 29</w:t>
            </w:r>
            <w:r w:rsidRPr="00296046">
              <w:rPr>
                <w:bCs/>
                <w:szCs w:val="24"/>
                <w:vertAlign w:val="superscript"/>
              </w:rPr>
              <w:t>th</w:t>
            </w:r>
            <w:r w:rsidRPr="00296046">
              <w:rPr>
                <w:bCs/>
                <w:szCs w:val="24"/>
              </w:rPr>
              <w:t xml:space="preserve"> Floor</w:t>
            </w:r>
          </w:p>
          <w:p w:rsidR="00DC65BC" w:rsidRPr="00296046" w:rsidRDefault="008343BA" w:rsidP="00296046">
            <w:pPr>
              <w:autoSpaceDE w:val="0"/>
              <w:autoSpaceDN w:val="0"/>
              <w:adjustRightInd w:val="0"/>
              <w:rPr>
                <w:bCs/>
                <w:szCs w:val="24"/>
              </w:rPr>
            </w:pPr>
            <w:smartTag w:uri="urn:schemas-microsoft-com:office:smarttags" w:element="place">
              <w:smartTag w:uri="urn:schemas-microsoft-com:office:smarttags" w:element="City">
                <w:r w:rsidRPr="00296046">
                  <w:rPr>
                    <w:bCs/>
                    <w:szCs w:val="24"/>
                  </w:rPr>
                  <w:t>Columbus</w:t>
                </w:r>
              </w:smartTag>
              <w:r w:rsidRPr="00296046">
                <w:rPr>
                  <w:bCs/>
                  <w:szCs w:val="24"/>
                </w:rPr>
                <w:t xml:space="preserve">, </w:t>
              </w:r>
              <w:smartTag w:uri="urn:schemas-microsoft-com:office:smarttags" w:element="State">
                <w:r w:rsidRPr="00296046">
                  <w:rPr>
                    <w:bCs/>
                    <w:szCs w:val="24"/>
                  </w:rPr>
                  <w:t>OH</w:t>
                </w:r>
              </w:smartTag>
              <w:r w:rsidRPr="00296046">
                <w:rPr>
                  <w:bCs/>
                  <w:szCs w:val="24"/>
                </w:rPr>
                <w:t xml:space="preserve">  </w:t>
              </w:r>
              <w:smartTag w:uri="urn:schemas-microsoft-com:office:smarttags" w:element="PostalCode">
                <w:r w:rsidRPr="00296046">
                  <w:rPr>
                    <w:bCs/>
                    <w:szCs w:val="24"/>
                  </w:rPr>
                  <w:t>43215</w:t>
                </w:r>
              </w:smartTag>
            </w:smartTag>
          </w:p>
          <w:p w:rsidR="00DC65BC" w:rsidRPr="00296046" w:rsidRDefault="004D2C34" w:rsidP="00296046">
            <w:pPr>
              <w:autoSpaceDE w:val="0"/>
              <w:autoSpaceDN w:val="0"/>
              <w:adjustRightInd w:val="0"/>
              <w:rPr>
                <w:bCs/>
                <w:szCs w:val="24"/>
              </w:rPr>
            </w:pPr>
            <w:hyperlink r:id="rId22" w:history="1">
              <w:r w:rsidR="008343BA" w:rsidRPr="00296046">
                <w:rPr>
                  <w:rStyle w:val="Hyperlink"/>
                  <w:bCs/>
                  <w:szCs w:val="24"/>
                </w:rPr>
                <w:t>stnourse@aep.com</w:t>
              </w:r>
            </w:hyperlink>
          </w:p>
          <w:p w:rsidR="00DC65BC" w:rsidRPr="00296046" w:rsidRDefault="00DC65BC">
            <w:pPr>
              <w:rPr>
                <w:bCs/>
                <w:szCs w:val="24"/>
              </w:rPr>
            </w:pPr>
          </w:p>
        </w:tc>
      </w:tr>
      <w:tr w:rsidR="00DC65BC" w:rsidRPr="00296046" w:rsidTr="00296046">
        <w:tc>
          <w:tcPr>
            <w:tcW w:w="4428" w:type="dxa"/>
            <w:shd w:val="clear" w:color="auto" w:fill="auto"/>
          </w:tcPr>
          <w:p w:rsidR="00DC65BC" w:rsidRPr="00296046" w:rsidRDefault="00DC65BC" w:rsidP="00296046">
            <w:pPr>
              <w:pStyle w:val="BodyText"/>
              <w:spacing w:after="0"/>
              <w:rPr>
                <w:bCs/>
                <w:sz w:val="24"/>
                <w:szCs w:val="24"/>
              </w:rPr>
            </w:pPr>
          </w:p>
          <w:p w:rsidR="00DC65BC" w:rsidRPr="00296046" w:rsidRDefault="008343BA" w:rsidP="00296046">
            <w:pPr>
              <w:pStyle w:val="BodyText"/>
              <w:spacing w:after="0"/>
              <w:rPr>
                <w:bCs/>
                <w:sz w:val="24"/>
                <w:szCs w:val="24"/>
              </w:rPr>
            </w:pPr>
            <w:r w:rsidRPr="00296046">
              <w:rPr>
                <w:bCs/>
                <w:sz w:val="24"/>
                <w:szCs w:val="24"/>
              </w:rPr>
              <w:t>Amy B. Spiller</w:t>
            </w:r>
          </w:p>
          <w:p w:rsidR="00DC65BC" w:rsidRPr="00296046" w:rsidRDefault="008343BA" w:rsidP="00296046">
            <w:pPr>
              <w:pStyle w:val="BodyText"/>
              <w:spacing w:after="0"/>
              <w:rPr>
                <w:bCs/>
                <w:sz w:val="24"/>
                <w:szCs w:val="24"/>
              </w:rPr>
            </w:pPr>
            <w:r w:rsidRPr="00296046">
              <w:rPr>
                <w:bCs/>
                <w:sz w:val="24"/>
                <w:szCs w:val="24"/>
              </w:rPr>
              <w:t>Duke Energy Ohio, Inc.</w:t>
            </w:r>
          </w:p>
          <w:p w:rsidR="00DC65BC" w:rsidRPr="00296046" w:rsidRDefault="008343BA" w:rsidP="00296046">
            <w:pPr>
              <w:autoSpaceDE w:val="0"/>
              <w:autoSpaceDN w:val="0"/>
              <w:adjustRightInd w:val="0"/>
              <w:rPr>
                <w:szCs w:val="24"/>
              </w:rPr>
            </w:pPr>
            <w:smartTag w:uri="urn:schemas-microsoft-com:office:smarttags" w:element="Street">
              <w:smartTag w:uri="urn:schemas-microsoft-com:office:smarttags" w:element="address">
                <w:r w:rsidRPr="00296046">
                  <w:rPr>
                    <w:szCs w:val="24"/>
                  </w:rPr>
                  <w:t>139 E. Fourth Street</w:t>
                </w:r>
              </w:smartTag>
            </w:smartTag>
            <w:r w:rsidRPr="00296046">
              <w:rPr>
                <w:szCs w:val="24"/>
              </w:rPr>
              <w:t>, 1303-Main</w:t>
            </w:r>
          </w:p>
          <w:p w:rsidR="00DC65BC" w:rsidRPr="00296046" w:rsidRDefault="008343BA" w:rsidP="00296046">
            <w:pPr>
              <w:autoSpaceDE w:val="0"/>
              <w:autoSpaceDN w:val="0"/>
              <w:adjustRightInd w:val="0"/>
              <w:rPr>
                <w:szCs w:val="24"/>
              </w:rPr>
            </w:pPr>
            <w:smartTag w:uri="urn:schemas-microsoft-com:office:smarttags" w:element="address">
              <w:smartTag w:uri="urn:schemas-microsoft-com:office:smarttags" w:element="Street">
                <w:r w:rsidRPr="00296046">
                  <w:rPr>
                    <w:szCs w:val="24"/>
                  </w:rPr>
                  <w:t>P.O. Box</w:t>
                </w:r>
              </w:smartTag>
              <w:r w:rsidRPr="00296046">
                <w:rPr>
                  <w:szCs w:val="24"/>
                </w:rPr>
                <w:t xml:space="preserve"> 961</w:t>
              </w:r>
            </w:smartTag>
          </w:p>
          <w:p w:rsidR="00DC65BC" w:rsidRPr="00296046" w:rsidRDefault="008343BA" w:rsidP="00296046">
            <w:pPr>
              <w:pStyle w:val="BodyText"/>
              <w:spacing w:after="0"/>
              <w:rPr>
                <w:sz w:val="24"/>
                <w:szCs w:val="24"/>
              </w:rPr>
            </w:pPr>
            <w:smartTag w:uri="urn:schemas-microsoft-com:office:smarttags" w:element="place">
              <w:smartTag w:uri="urn:schemas-microsoft-com:office:smarttags" w:element="City">
                <w:r w:rsidRPr="00296046">
                  <w:rPr>
                    <w:sz w:val="24"/>
                    <w:szCs w:val="24"/>
                  </w:rPr>
                  <w:t>Cincinnati</w:t>
                </w:r>
              </w:smartTag>
              <w:r w:rsidRPr="00296046">
                <w:rPr>
                  <w:sz w:val="24"/>
                  <w:szCs w:val="24"/>
                </w:rPr>
                <w:t xml:space="preserve">, </w:t>
              </w:r>
              <w:smartTag w:uri="urn:schemas-microsoft-com:office:smarttags" w:element="State">
                <w:r w:rsidRPr="00296046">
                  <w:rPr>
                    <w:sz w:val="24"/>
                    <w:szCs w:val="24"/>
                  </w:rPr>
                  <w:t>OH</w:t>
                </w:r>
              </w:smartTag>
              <w:r w:rsidRPr="00296046">
                <w:rPr>
                  <w:sz w:val="24"/>
                  <w:szCs w:val="24"/>
                </w:rPr>
                <w:t xml:space="preserve"> </w:t>
              </w:r>
              <w:smartTag w:uri="urn:schemas-microsoft-com:office:smarttags" w:element="PostalCode">
                <w:r w:rsidRPr="00296046">
                  <w:rPr>
                    <w:sz w:val="24"/>
                    <w:szCs w:val="24"/>
                  </w:rPr>
                  <w:t>45201-0960</w:t>
                </w:r>
              </w:smartTag>
            </w:smartTag>
          </w:p>
          <w:p w:rsidR="00DC65BC" w:rsidRPr="00296046" w:rsidRDefault="004D2C34" w:rsidP="00296046">
            <w:pPr>
              <w:pStyle w:val="BodyText"/>
              <w:spacing w:after="0"/>
              <w:rPr>
                <w:sz w:val="24"/>
                <w:szCs w:val="24"/>
              </w:rPr>
            </w:pPr>
            <w:hyperlink r:id="rId23" w:history="1">
              <w:r w:rsidR="008343BA" w:rsidRPr="00296046">
                <w:rPr>
                  <w:rStyle w:val="Hyperlink"/>
                  <w:sz w:val="24"/>
                  <w:szCs w:val="24"/>
                </w:rPr>
                <w:t>Amy.Spiller@duke-energy.com</w:t>
              </w:r>
            </w:hyperlink>
          </w:p>
          <w:p w:rsidR="00DC65BC" w:rsidRPr="00296046" w:rsidRDefault="00DC65BC" w:rsidP="00296046">
            <w:pPr>
              <w:ind w:left="1440" w:right="378" w:hanging="1440"/>
              <w:rPr>
                <w:szCs w:val="24"/>
              </w:rPr>
            </w:pPr>
          </w:p>
        </w:tc>
        <w:tc>
          <w:tcPr>
            <w:tcW w:w="4428" w:type="dxa"/>
            <w:shd w:val="clear" w:color="auto" w:fill="auto"/>
          </w:tcPr>
          <w:p w:rsidR="00DC65BC" w:rsidRPr="00296046" w:rsidRDefault="00DC65BC" w:rsidP="00296046">
            <w:pPr>
              <w:autoSpaceDE w:val="0"/>
              <w:autoSpaceDN w:val="0"/>
              <w:adjustRightInd w:val="0"/>
              <w:rPr>
                <w:bCs/>
                <w:szCs w:val="24"/>
              </w:rPr>
            </w:pPr>
          </w:p>
          <w:p w:rsidR="00344C88" w:rsidRPr="00296046" w:rsidRDefault="00344C88" w:rsidP="00296046">
            <w:pPr>
              <w:autoSpaceDE w:val="0"/>
              <w:autoSpaceDN w:val="0"/>
              <w:adjustRightInd w:val="0"/>
              <w:rPr>
                <w:rFonts w:eastAsia="MS Mincho"/>
                <w:szCs w:val="24"/>
              </w:rPr>
            </w:pPr>
            <w:r w:rsidRPr="00296046">
              <w:rPr>
                <w:rFonts w:eastAsia="MS Mincho"/>
                <w:szCs w:val="24"/>
              </w:rPr>
              <w:t>Theodore Robinson</w:t>
            </w:r>
          </w:p>
          <w:p w:rsidR="00344C88" w:rsidRPr="00296046" w:rsidRDefault="00344C88" w:rsidP="00296046">
            <w:pPr>
              <w:autoSpaceDE w:val="0"/>
              <w:autoSpaceDN w:val="0"/>
              <w:adjustRightInd w:val="0"/>
              <w:rPr>
                <w:rFonts w:eastAsia="MS Mincho"/>
                <w:szCs w:val="24"/>
              </w:rPr>
            </w:pPr>
            <w:r w:rsidRPr="00296046">
              <w:rPr>
                <w:rFonts w:eastAsia="MS Mincho"/>
                <w:szCs w:val="24"/>
              </w:rPr>
              <w:t>Citizen Power</w:t>
            </w:r>
          </w:p>
          <w:p w:rsidR="00344C88" w:rsidRPr="00296046" w:rsidRDefault="00344C88" w:rsidP="00296046">
            <w:pPr>
              <w:autoSpaceDE w:val="0"/>
              <w:autoSpaceDN w:val="0"/>
              <w:adjustRightInd w:val="0"/>
              <w:rPr>
                <w:rFonts w:eastAsia="MS Mincho"/>
                <w:szCs w:val="24"/>
              </w:rPr>
            </w:pPr>
            <w:r w:rsidRPr="00296046">
              <w:rPr>
                <w:rFonts w:eastAsia="MS Mincho"/>
                <w:szCs w:val="24"/>
              </w:rPr>
              <w:t>2121 Murray Avenue</w:t>
            </w:r>
          </w:p>
          <w:p w:rsidR="00344C88" w:rsidRPr="00296046" w:rsidRDefault="00344C88" w:rsidP="00296046">
            <w:pPr>
              <w:autoSpaceDE w:val="0"/>
              <w:autoSpaceDN w:val="0"/>
              <w:adjustRightInd w:val="0"/>
              <w:rPr>
                <w:rFonts w:eastAsia="MS Mincho"/>
                <w:szCs w:val="24"/>
              </w:rPr>
            </w:pPr>
            <w:r w:rsidRPr="00296046">
              <w:rPr>
                <w:rFonts w:eastAsia="MS Mincho"/>
                <w:szCs w:val="24"/>
              </w:rPr>
              <w:t>Pittsburgh, PA 15217</w:t>
            </w:r>
          </w:p>
          <w:p w:rsidR="00344C88" w:rsidRPr="00296046" w:rsidRDefault="004D2C34" w:rsidP="00296046">
            <w:pPr>
              <w:autoSpaceDE w:val="0"/>
              <w:autoSpaceDN w:val="0"/>
              <w:adjustRightInd w:val="0"/>
              <w:rPr>
                <w:rFonts w:eastAsia="MS Mincho"/>
                <w:szCs w:val="24"/>
              </w:rPr>
            </w:pPr>
            <w:hyperlink r:id="rId24" w:history="1">
              <w:r w:rsidR="00344C88" w:rsidRPr="00296046">
                <w:rPr>
                  <w:rStyle w:val="Hyperlink"/>
                  <w:rFonts w:eastAsia="MS Mincho"/>
                  <w:szCs w:val="24"/>
                </w:rPr>
                <w:t>robinson@citizenpower.com</w:t>
              </w:r>
            </w:hyperlink>
          </w:p>
          <w:p w:rsidR="00344C88" w:rsidRPr="00296046" w:rsidRDefault="00344C88" w:rsidP="00296046">
            <w:pPr>
              <w:autoSpaceDE w:val="0"/>
              <w:autoSpaceDN w:val="0"/>
              <w:adjustRightInd w:val="0"/>
              <w:rPr>
                <w:bCs/>
                <w:szCs w:val="24"/>
              </w:rPr>
            </w:pPr>
          </w:p>
        </w:tc>
      </w:tr>
      <w:tr w:rsidR="00344C88" w:rsidRPr="00296046" w:rsidTr="00296046">
        <w:tc>
          <w:tcPr>
            <w:tcW w:w="4428" w:type="dxa"/>
            <w:shd w:val="clear" w:color="auto" w:fill="auto"/>
          </w:tcPr>
          <w:p w:rsidR="00296046" w:rsidRPr="00296046" w:rsidRDefault="00296046" w:rsidP="00296046">
            <w:pPr>
              <w:autoSpaceDE w:val="0"/>
              <w:autoSpaceDN w:val="0"/>
              <w:adjustRightInd w:val="0"/>
              <w:rPr>
                <w:rFonts w:eastAsia="MS Mincho"/>
                <w:szCs w:val="24"/>
              </w:rPr>
            </w:pPr>
          </w:p>
          <w:p w:rsidR="00344C88" w:rsidRPr="00296046" w:rsidRDefault="00344C88" w:rsidP="00296046">
            <w:pPr>
              <w:autoSpaceDE w:val="0"/>
              <w:autoSpaceDN w:val="0"/>
              <w:adjustRightInd w:val="0"/>
              <w:rPr>
                <w:rFonts w:eastAsia="MS Mincho"/>
                <w:szCs w:val="24"/>
              </w:rPr>
            </w:pPr>
            <w:r w:rsidRPr="00296046">
              <w:rPr>
                <w:rFonts w:eastAsia="MS Mincho"/>
                <w:szCs w:val="24"/>
              </w:rPr>
              <w:t>Robert Kelter</w:t>
            </w:r>
          </w:p>
          <w:p w:rsidR="00344C88" w:rsidRPr="00296046" w:rsidRDefault="00344C88" w:rsidP="00296046">
            <w:pPr>
              <w:autoSpaceDE w:val="0"/>
              <w:autoSpaceDN w:val="0"/>
              <w:adjustRightInd w:val="0"/>
              <w:rPr>
                <w:rFonts w:eastAsia="MS Mincho"/>
                <w:szCs w:val="24"/>
              </w:rPr>
            </w:pPr>
            <w:r w:rsidRPr="00296046">
              <w:rPr>
                <w:rFonts w:eastAsia="MS Mincho"/>
                <w:szCs w:val="24"/>
              </w:rPr>
              <w:t>Environmental Law &amp; Policy Center</w:t>
            </w:r>
          </w:p>
          <w:p w:rsidR="00344C88" w:rsidRPr="00296046" w:rsidRDefault="00344C88" w:rsidP="00296046">
            <w:pPr>
              <w:autoSpaceDE w:val="0"/>
              <w:autoSpaceDN w:val="0"/>
              <w:adjustRightInd w:val="0"/>
              <w:rPr>
                <w:rFonts w:eastAsia="MS Mincho"/>
                <w:szCs w:val="24"/>
              </w:rPr>
            </w:pPr>
            <w:r w:rsidRPr="00296046">
              <w:rPr>
                <w:rFonts w:eastAsia="MS Mincho"/>
                <w:szCs w:val="24"/>
              </w:rPr>
              <w:t>35 East Wacker Drive, Suite 1600</w:t>
            </w:r>
          </w:p>
          <w:p w:rsidR="00344C88" w:rsidRDefault="00344C88" w:rsidP="00296046">
            <w:pPr>
              <w:pStyle w:val="BodyText"/>
              <w:spacing w:after="0"/>
              <w:rPr>
                <w:rFonts w:eastAsia="MS Mincho"/>
                <w:sz w:val="24"/>
                <w:szCs w:val="24"/>
              </w:rPr>
            </w:pPr>
            <w:r w:rsidRPr="00296046">
              <w:rPr>
                <w:rFonts w:eastAsia="MS Mincho"/>
                <w:sz w:val="24"/>
                <w:szCs w:val="24"/>
              </w:rPr>
              <w:t>Chicago, IL 60601</w:t>
            </w:r>
          </w:p>
          <w:p w:rsidR="00B248D4" w:rsidRDefault="004D2C34" w:rsidP="00296046">
            <w:pPr>
              <w:pStyle w:val="BodyText"/>
              <w:spacing w:after="0"/>
              <w:rPr>
                <w:rFonts w:eastAsia="MS Mincho"/>
                <w:sz w:val="24"/>
                <w:szCs w:val="24"/>
              </w:rPr>
            </w:pPr>
            <w:hyperlink r:id="rId25" w:history="1">
              <w:r w:rsidR="00B248D4" w:rsidRPr="00B67E68">
                <w:rPr>
                  <w:rStyle w:val="Hyperlink"/>
                  <w:rFonts w:eastAsia="MS Mincho"/>
                  <w:sz w:val="24"/>
                  <w:szCs w:val="24"/>
                </w:rPr>
                <w:t>rkelter@elpc.org</w:t>
              </w:r>
            </w:hyperlink>
          </w:p>
          <w:p w:rsidR="00296046" w:rsidRPr="00296046" w:rsidRDefault="00296046" w:rsidP="00296046">
            <w:pPr>
              <w:pStyle w:val="BodyText"/>
              <w:spacing w:after="0"/>
              <w:rPr>
                <w:rFonts w:eastAsia="MS Mincho"/>
                <w:sz w:val="24"/>
                <w:szCs w:val="24"/>
              </w:rPr>
            </w:pPr>
          </w:p>
          <w:p w:rsidR="00344C88" w:rsidRPr="00296046" w:rsidRDefault="00344C88" w:rsidP="00296046">
            <w:pPr>
              <w:pStyle w:val="BodyText"/>
              <w:spacing w:after="0"/>
              <w:rPr>
                <w:bCs/>
                <w:sz w:val="24"/>
                <w:szCs w:val="24"/>
              </w:rPr>
            </w:pPr>
          </w:p>
        </w:tc>
        <w:tc>
          <w:tcPr>
            <w:tcW w:w="4428" w:type="dxa"/>
            <w:shd w:val="clear" w:color="auto" w:fill="auto"/>
          </w:tcPr>
          <w:p w:rsidR="00296046" w:rsidRPr="00296046" w:rsidRDefault="00296046" w:rsidP="00296046">
            <w:pPr>
              <w:autoSpaceDE w:val="0"/>
              <w:autoSpaceDN w:val="0"/>
              <w:adjustRightInd w:val="0"/>
              <w:rPr>
                <w:bCs/>
                <w:szCs w:val="24"/>
              </w:rPr>
            </w:pPr>
          </w:p>
          <w:p w:rsidR="00344C88" w:rsidRPr="00296046" w:rsidRDefault="00344C88" w:rsidP="00296046">
            <w:pPr>
              <w:autoSpaceDE w:val="0"/>
              <w:autoSpaceDN w:val="0"/>
              <w:adjustRightInd w:val="0"/>
              <w:rPr>
                <w:bCs/>
                <w:szCs w:val="24"/>
              </w:rPr>
            </w:pPr>
            <w:r w:rsidRPr="00296046">
              <w:rPr>
                <w:bCs/>
                <w:szCs w:val="24"/>
              </w:rPr>
              <w:t>Christopher Allwein</w:t>
            </w:r>
          </w:p>
          <w:p w:rsidR="00344C88" w:rsidRPr="00296046" w:rsidRDefault="00344C88" w:rsidP="00296046">
            <w:pPr>
              <w:autoSpaceDE w:val="0"/>
              <w:autoSpaceDN w:val="0"/>
              <w:adjustRightInd w:val="0"/>
              <w:rPr>
                <w:bCs/>
                <w:szCs w:val="24"/>
              </w:rPr>
            </w:pPr>
            <w:r w:rsidRPr="00296046">
              <w:rPr>
                <w:bCs/>
                <w:szCs w:val="24"/>
              </w:rPr>
              <w:t>Williams, Allwein &amp; Moser, LLC</w:t>
            </w:r>
          </w:p>
          <w:p w:rsidR="00344C88" w:rsidRPr="00296046" w:rsidRDefault="00344C88" w:rsidP="00296046">
            <w:pPr>
              <w:autoSpaceDE w:val="0"/>
              <w:autoSpaceDN w:val="0"/>
              <w:adjustRightInd w:val="0"/>
              <w:rPr>
                <w:bCs/>
                <w:szCs w:val="24"/>
              </w:rPr>
            </w:pPr>
            <w:r w:rsidRPr="00296046">
              <w:rPr>
                <w:bCs/>
                <w:szCs w:val="24"/>
              </w:rPr>
              <w:t>1373 Grandview Ave., Ste. 212</w:t>
            </w:r>
          </w:p>
          <w:p w:rsidR="00344C88" w:rsidRPr="00296046" w:rsidRDefault="00344C88" w:rsidP="00296046">
            <w:pPr>
              <w:autoSpaceDE w:val="0"/>
              <w:autoSpaceDN w:val="0"/>
              <w:adjustRightInd w:val="0"/>
              <w:rPr>
                <w:bCs/>
                <w:szCs w:val="24"/>
              </w:rPr>
            </w:pPr>
            <w:r w:rsidRPr="00296046">
              <w:rPr>
                <w:bCs/>
                <w:szCs w:val="24"/>
              </w:rPr>
              <w:t>Columbus, OH 43212</w:t>
            </w:r>
          </w:p>
          <w:p w:rsidR="00344C88" w:rsidRPr="00296046" w:rsidRDefault="004D2C34" w:rsidP="00296046">
            <w:pPr>
              <w:autoSpaceDE w:val="0"/>
              <w:autoSpaceDN w:val="0"/>
              <w:adjustRightInd w:val="0"/>
              <w:rPr>
                <w:bCs/>
                <w:szCs w:val="24"/>
              </w:rPr>
            </w:pPr>
            <w:hyperlink r:id="rId26" w:history="1">
              <w:r w:rsidR="00296046" w:rsidRPr="00296046">
                <w:rPr>
                  <w:rStyle w:val="Hyperlink"/>
                  <w:bCs/>
                  <w:szCs w:val="24"/>
                </w:rPr>
                <w:t>callwein@wamenergylaw.com</w:t>
              </w:r>
            </w:hyperlink>
          </w:p>
          <w:p w:rsidR="00344C88" w:rsidRPr="00296046" w:rsidRDefault="00344C88" w:rsidP="00296046">
            <w:pPr>
              <w:autoSpaceDE w:val="0"/>
              <w:autoSpaceDN w:val="0"/>
              <w:adjustRightInd w:val="0"/>
              <w:rPr>
                <w:bCs/>
                <w:szCs w:val="24"/>
              </w:rPr>
            </w:pPr>
          </w:p>
        </w:tc>
      </w:tr>
    </w:tbl>
    <w:p w:rsidR="00296046" w:rsidRDefault="00296046">
      <w:r>
        <w:br w:type="page"/>
      </w:r>
    </w:p>
    <w:tbl>
      <w:tblPr>
        <w:tblW w:w="0" w:type="auto"/>
        <w:tblLook w:val="01E0" w:firstRow="1" w:lastRow="1" w:firstColumn="1" w:lastColumn="1" w:noHBand="0" w:noVBand="0"/>
      </w:tblPr>
      <w:tblGrid>
        <w:gridCol w:w="4428"/>
        <w:gridCol w:w="4428"/>
      </w:tblGrid>
      <w:tr w:rsidR="00296046" w:rsidRPr="00296046" w:rsidTr="00296046">
        <w:tc>
          <w:tcPr>
            <w:tcW w:w="4428" w:type="dxa"/>
            <w:shd w:val="clear" w:color="auto" w:fill="auto"/>
          </w:tcPr>
          <w:p w:rsidR="00296046" w:rsidRPr="00296046" w:rsidRDefault="00296046" w:rsidP="00296046">
            <w:pPr>
              <w:autoSpaceDE w:val="0"/>
              <w:autoSpaceDN w:val="0"/>
              <w:adjustRightInd w:val="0"/>
              <w:rPr>
                <w:rFonts w:eastAsia="MS Mincho"/>
                <w:szCs w:val="24"/>
              </w:rPr>
            </w:pPr>
            <w:r w:rsidRPr="00296046">
              <w:rPr>
                <w:rFonts w:eastAsia="MS Mincho"/>
                <w:szCs w:val="24"/>
              </w:rPr>
              <w:t>Michael L. Kurtz</w:t>
            </w:r>
          </w:p>
          <w:p w:rsidR="00296046" w:rsidRPr="00296046" w:rsidRDefault="00296046" w:rsidP="00296046">
            <w:pPr>
              <w:autoSpaceDE w:val="0"/>
              <w:autoSpaceDN w:val="0"/>
              <w:adjustRightInd w:val="0"/>
              <w:rPr>
                <w:rFonts w:eastAsia="MS Mincho"/>
                <w:szCs w:val="24"/>
              </w:rPr>
            </w:pPr>
            <w:r w:rsidRPr="00296046">
              <w:rPr>
                <w:rFonts w:eastAsia="MS Mincho"/>
                <w:szCs w:val="24"/>
              </w:rPr>
              <w:t>Jody M. Kyler</w:t>
            </w:r>
          </w:p>
          <w:p w:rsidR="00296046" w:rsidRPr="00296046" w:rsidRDefault="00296046" w:rsidP="00296046">
            <w:pPr>
              <w:autoSpaceDE w:val="0"/>
              <w:autoSpaceDN w:val="0"/>
              <w:adjustRightInd w:val="0"/>
              <w:rPr>
                <w:rFonts w:eastAsia="MS Mincho"/>
                <w:szCs w:val="24"/>
              </w:rPr>
            </w:pPr>
            <w:r w:rsidRPr="00296046">
              <w:rPr>
                <w:rFonts w:eastAsia="MS Mincho"/>
                <w:szCs w:val="24"/>
              </w:rPr>
              <w:t>Boehm, Kurtz &amp; Lowry</w:t>
            </w:r>
          </w:p>
          <w:p w:rsidR="00296046" w:rsidRPr="00296046" w:rsidRDefault="00296046" w:rsidP="00296046">
            <w:pPr>
              <w:autoSpaceDE w:val="0"/>
              <w:autoSpaceDN w:val="0"/>
              <w:adjustRightInd w:val="0"/>
              <w:rPr>
                <w:rFonts w:eastAsia="MS Mincho"/>
                <w:szCs w:val="24"/>
              </w:rPr>
            </w:pPr>
            <w:r w:rsidRPr="00296046">
              <w:rPr>
                <w:rFonts w:eastAsia="MS Mincho"/>
                <w:szCs w:val="24"/>
              </w:rPr>
              <w:t>36 East Seventh Street, Suite 1510</w:t>
            </w:r>
          </w:p>
          <w:p w:rsidR="00296046" w:rsidRPr="00296046" w:rsidRDefault="00296046" w:rsidP="00296046">
            <w:pPr>
              <w:autoSpaceDE w:val="0"/>
              <w:autoSpaceDN w:val="0"/>
              <w:adjustRightInd w:val="0"/>
              <w:rPr>
                <w:rFonts w:eastAsia="MS Mincho"/>
                <w:szCs w:val="24"/>
              </w:rPr>
            </w:pPr>
            <w:r w:rsidRPr="00296046">
              <w:rPr>
                <w:rFonts w:eastAsia="MS Mincho"/>
                <w:szCs w:val="24"/>
              </w:rPr>
              <w:t>Cincinnati, OH 45202</w:t>
            </w:r>
          </w:p>
          <w:p w:rsidR="00296046" w:rsidRPr="00296046" w:rsidRDefault="004D2C34" w:rsidP="00296046">
            <w:pPr>
              <w:autoSpaceDE w:val="0"/>
              <w:autoSpaceDN w:val="0"/>
              <w:adjustRightInd w:val="0"/>
              <w:rPr>
                <w:rFonts w:eastAsia="MS Mincho"/>
                <w:szCs w:val="24"/>
              </w:rPr>
            </w:pPr>
            <w:hyperlink r:id="rId27" w:history="1">
              <w:r w:rsidR="00296046" w:rsidRPr="00296046">
                <w:rPr>
                  <w:rStyle w:val="Hyperlink"/>
                  <w:rFonts w:eastAsia="MS Mincho"/>
                  <w:szCs w:val="24"/>
                </w:rPr>
                <w:t>mkurtz@BKLlawfirm.com</w:t>
              </w:r>
            </w:hyperlink>
          </w:p>
          <w:p w:rsidR="00296046" w:rsidRPr="00296046" w:rsidRDefault="004D2C34" w:rsidP="00296046">
            <w:pPr>
              <w:autoSpaceDE w:val="0"/>
              <w:autoSpaceDN w:val="0"/>
              <w:adjustRightInd w:val="0"/>
              <w:rPr>
                <w:rFonts w:eastAsia="MS Mincho"/>
                <w:szCs w:val="24"/>
              </w:rPr>
            </w:pPr>
            <w:hyperlink r:id="rId28" w:history="1">
              <w:r w:rsidR="00296046" w:rsidRPr="00296046">
                <w:rPr>
                  <w:rStyle w:val="Hyperlink"/>
                  <w:rFonts w:eastAsia="MS Mincho"/>
                  <w:szCs w:val="24"/>
                </w:rPr>
                <w:t>jkyler@BKLlawfirm.com</w:t>
              </w:r>
            </w:hyperlink>
          </w:p>
          <w:p w:rsidR="00296046" w:rsidRPr="00296046" w:rsidRDefault="00296046" w:rsidP="00296046">
            <w:pPr>
              <w:autoSpaceDE w:val="0"/>
              <w:autoSpaceDN w:val="0"/>
              <w:adjustRightInd w:val="0"/>
              <w:rPr>
                <w:rFonts w:eastAsia="MS Mincho"/>
                <w:szCs w:val="24"/>
              </w:rPr>
            </w:pPr>
          </w:p>
        </w:tc>
        <w:tc>
          <w:tcPr>
            <w:tcW w:w="4428" w:type="dxa"/>
            <w:shd w:val="clear" w:color="auto" w:fill="auto"/>
          </w:tcPr>
          <w:p w:rsidR="00296046" w:rsidRPr="00296046" w:rsidRDefault="00296046" w:rsidP="00296046">
            <w:pPr>
              <w:autoSpaceDE w:val="0"/>
              <w:autoSpaceDN w:val="0"/>
              <w:adjustRightInd w:val="0"/>
              <w:rPr>
                <w:rFonts w:eastAsia="MS Mincho"/>
                <w:szCs w:val="24"/>
              </w:rPr>
            </w:pPr>
            <w:r w:rsidRPr="00296046">
              <w:rPr>
                <w:rFonts w:eastAsia="MS Mincho"/>
                <w:szCs w:val="24"/>
              </w:rPr>
              <w:t>Nolan Moser</w:t>
            </w:r>
          </w:p>
          <w:p w:rsidR="00296046" w:rsidRPr="00296046" w:rsidRDefault="00296046" w:rsidP="00296046">
            <w:pPr>
              <w:autoSpaceDE w:val="0"/>
              <w:autoSpaceDN w:val="0"/>
              <w:adjustRightInd w:val="0"/>
              <w:rPr>
                <w:rFonts w:eastAsia="MS Mincho"/>
                <w:szCs w:val="24"/>
              </w:rPr>
            </w:pPr>
            <w:r w:rsidRPr="00296046">
              <w:rPr>
                <w:rFonts w:eastAsia="MS Mincho"/>
                <w:szCs w:val="24"/>
              </w:rPr>
              <w:t>Trent A. Dougherty</w:t>
            </w:r>
          </w:p>
          <w:p w:rsidR="00296046" w:rsidRPr="00296046" w:rsidRDefault="00296046" w:rsidP="00296046">
            <w:pPr>
              <w:autoSpaceDE w:val="0"/>
              <w:autoSpaceDN w:val="0"/>
              <w:adjustRightInd w:val="0"/>
              <w:rPr>
                <w:rFonts w:eastAsia="MS Mincho"/>
                <w:szCs w:val="24"/>
              </w:rPr>
            </w:pPr>
            <w:r w:rsidRPr="00296046">
              <w:rPr>
                <w:rFonts w:eastAsia="MS Mincho"/>
                <w:szCs w:val="24"/>
              </w:rPr>
              <w:t>Director of Legal Affairs</w:t>
            </w:r>
          </w:p>
          <w:p w:rsidR="00296046" w:rsidRPr="00296046" w:rsidRDefault="00296046" w:rsidP="00296046">
            <w:pPr>
              <w:autoSpaceDE w:val="0"/>
              <w:autoSpaceDN w:val="0"/>
              <w:adjustRightInd w:val="0"/>
              <w:rPr>
                <w:rFonts w:eastAsia="MS Mincho"/>
                <w:szCs w:val="24"/>
              </w:rPr>
            </w:pPr>
            <w:r w:rsidRPr="00296046">
              <w:rPr>
                <w:rFonts w:eastAsia="MS Mincho"/>
                <w:szCs w:val="24"/>
              </w:rPr>
              <w:t>The Ohio Environmental Council</w:t>
            </w:r>
          </w:p>
          <w:p w:rsidR="00296046" w:rsidRPr="00296046" w:rsidRDefault="00296046" w:rsidP="00296046">
            <w:pPr>
              <w:autoSpaceDE w:val="0"/>
              <w:autoSpaceDN w:val="0"/>
              <w:adjustRightInd w:val="0"/>
              <w:rPr>
                <w:rFonts w:eastAsia="MS Mincho"/>
                <w:szCs w:val="24"/>
              </w:rPr>
            </w:pPr>
            <w:r w:rsidRPr="00296046">
              <w:rPr>
                <w:rFonts w:eastAsia="MS Mincho"/>
                <w:szCs w:val="24"/>
              </w:rPr>
              <w:t>1207 Grandview Avenue, Suite 201</w:t>
            </w:r>
          </w:p>
          <w:p w:rsidR="00296046" w:rsidRPr="00296046" w:rsidRDefault="00296046" w:rsidP="00296046">
            <w:pPr>
              <w:autoSpaceDE w:val="0"/>
              <w:autoSpaceDN w:val="0"/>
              <w:adjustRightInd w:val="0"/>
              <w:rPr>
                <w:rFonts w:eastAsia="MS Mincho"/>
                <w:szCs w:val="24"/>
              </w:rPr>
            </w:pPr>
            <w:r w:rsidRPr="00296046">
              <w:rPr>
                <w:rFonts w:eastAsia="MS Mincho"/>
                <w:szCs w:val="24"/>
              </w:rPr>
              <w:t>Columbus, Ohio 43212-3449</w:t>
            </w:r>
          </w:p>
          <w:p w:rsidR="00296046" w:rsidRPr="00296046" w:rsidRDefault="004D2C34" w:rsidP="00296046">
            <w:pPr>
              <w:autoSpaceDE w:val="0"/>
              <w:autoSpaceDN w:val="0"/>
              <w:adjustRightInd w:val="0"/>
              <w:rPr>
                <w:rFonts w:eastAsia="MS Mincho"/>
                <w:szCs w:val="24"/>
              </w:rPr>
            </w:pPr>
            <w:hyperlink r:id="rId29" w:history="1">
              <w:r w:rsidR="00296046" w:rsidRPr="00296046">
                <w:rPr>
                  <w:rStyle w:val="Hyperlink"/>
                  <w:rFonts w:eastAsia="MS Mincho"/>
                  <w:szCs w:val="24"/>
                </w:rPr>
                <w:t>Nolan@theoec.org</w:t>
              </w:r>
            </w:hyperlink>
          </w:p>
          <w:p w:rsidR="00296046" w:rsidRPr="00296046" w:rsidRDefault="004D2C34" w:rsidP="00296046">
            <w:pPr>
              <w:autoSpaceDE w:val="0"/>
              <w:autoSpaceDN w:val="0"/>
              <w:adjustRightInd w:val="0"/>
              <w:rPr>
                <w:rFonts w:eastAsia="MS Mincho"/>
                <w:szCs w:val="24"/>
              </w:rPr>
            </w:pPr>
            <w:hyperlink r:id="rId30" w:history="1">
              <w:r w:rsidR="00296046" w:rsidRPr="00296046">
                <w:rPr>
                  <w:rStyle w:val="Hyperlink"/>
                  <w:rFonts w:eastAsia="MS Mincho"/>
                  <w:szCs w:val="24"/>
                </w:rPr>
                <w:t>trent@theoec.org</w:t>
              </w:r>
            </w:hyperlink>
          </w:p>
          <w:p w:rsidR="00296046" w:rsidRPr="00296046" w:rsidRDefault="00296046" w:rsidP="00296046">
            <w:pPr>
              <w:autoSpaceDE w:val="0"/>
              <w:autoSpaceDN w:val="0"/>
              <w:adjustRightInd w:val="0"/>
              <w:rPr>
                <w:rFonts w:eastAsia="MS Mincho"/>
                <w:szCs w:val="24"/>
              </w:rPr>
            </w:pPr>
          </w:p>
          <w:p w:rsidR="00296046" w:rsidRPr="00296046" w:rsidRDefault="00296046" w:rsidP="00296046">
            <w:pPr>
              <w:autoSpaceDE w:val="0"/>
              <w:autoSpaceDN w:val="0"/>
              <w:adjustRightInd w:val="0"/>
              <w:rPr>
                <w:rFonts w:eastAsia="MS Mincho"/>
                <w:szCs w:val="24"/>
              </w:rPr>
            </w:pPr>
          </w:p>
          <w:p w:rsidR="00296046" w:rsidRPr="00296046" w:rsidRDefault="00296046" w:rsidP="00296046">
            <w:pPr>
              <w:autoSpaceDE w:val="0"/>
              <w:autoSpaceDN w:val="0"/>
              <w:adjustRightInd w:val="0"/>
              <w:rPr>
                <w:bCs/>
                <w:szCs w:val="24"/>
              </w:rPr>
            </w:pPr>
          </w:p>
        </w:tc>
      </w:tr>
      <w:tr w:rsidR="00296046" w:rsidRPr="00296046" w:rsidTr="00296046">
        <w:tc>
          <w:tcPr>
            <w:tcW w:w="4428" w:type="dxa"/>
            <w:shd w:val="clear" w:color="auto" w:fill="auto"/>
          </w:tcPr>
          <w:p w:rsidR="00296046" w:rsidRPr="00296046" w:rsidRDefault="00296046" w:rsidP="00296046">
            <w:pPr>
              <w:autoSpaceDE w:val="0"/>
              <w:autoSpaceDN w:val="0"/>
              <w:adjustRightInd w:val="0"/>
              <w:rPr>
                <w:rFonts w:eastAsia="MS Mincho"/>
                <w:szCs w:val="24"/>
              </w:rPr>
            </w:pPr>
            <w:r w:rsidRPr="00296046">
              <w:rPr>
                <w:rFonts w:eastAsia="MS Mincho"/>
                <w:szCs w:val="24"/>
              </w:rPr>
              <w:t>Frank P. Darr</w:t>
            </w:r>
          </w:p>
          <w:p w:rsidR="00296046" w:rsidRPr="00296046" w:rsidRDefault="00296046" w:rsidP="00296046">
            <w:pPr>
              <w:autoSpaceDE w:val="0"/>
              <w:autoSpaceDN w:val="0"/>
              <w:adjustRightInd w:val="0"/>
              <w:rPr>
                <w:rFonts w:eastAsia="MS Mincho"/>
                <w:szCs w:val="24"/>
              </w:rPr>
            </w:pPr>
            <w:r w:rsidRPr="00296046">
              <w:rPr>
                <w:rFonts w:eastAsia="MS Mincho"/>
                <w:szCs w:val="24"/>
              </w:rPr>
              <w:t>Joseph E. Oliker</w:t>
            </w:r>
          </w:p>
          <w:p w:rsidR="00296046" w:rsidRPr="00296046" w:rsidRDefault="00296046" w:rsidP="00296046">
            <w:pPr>
              <w:autoSpaceDE w:val="0"/>
              <w:autoSpaceDN w:val="0"/>
              <w:adjustRightInd w:val="0"/>
              <w:rPr>
                <w:rFonts w:eastAsia="MS Mincho"/>
                <w:szCs w:val="24"/>
              </w:rPr>
            </w:pPr>
            <w:r w:rsidRPr="00296046">
              <w:rPr>
                <w:rFonts w:eastAsia="MS Mincho"/>
                <w:szCs w:val="24"/>
              </w:rPr>
              <w:t>Matthew R. Pritchard</w:t>
            </w:r>
          </w:p>
          <w:p w:rsidR="00296046" w:rsidRPr="00296046" w:rsidRDefault="00296046" w:rsidP="00296046">
            <w:pPr>
              <w:autoSpaceDE w:val="0"/>
              <w:autoSpaceDN w:val="0"/>
              <w:adjustRightInd w:val="0"/>
              <w:rPr>
                <w:rFonts w:eastAsia="MS Mincho"/>
                <w:szCs w:val="24"/>
              </w:rPr>
            </w:pPr>
            <w:r w:rsidRPr="00296046">
              <w:rPr>
                <w:rFonts w:eastAsia="MS Mincho"/>
                <w:szCs w:val="24"/>
              </w:rPr>
              <w:t>McNees Wallace &amp; Nurick LLC</w:t>
            </w:r>
          </w:p>
          <w:p w:rsidR="00296046" w:rsidRPr="00296046" w:rsidRDefault="00296046" w:rsidP="00296046">
            <w:pPr>
              <w:autoSpaceDE w:val="0"/>
              <w:autoSpaceDN w:val="0"/>
              <w:adjustRightInd w:val="0"/>
              <w:rPr>
                <w:rFonts w:eastAsia="MS Mincho"/>
                <w:szCs w:val="24"/>
              </w:rPr>
            </w:pPr>
            <w:r w:rsidRPr="00296046">
              <w:rPr>
                <w:rFonts w:eastAsia="MS Mincho"/>
                <w:szCs w:val="24"/>
              </w:rPr>
              <w:t>21 East State Street, 17TH Floor</w:t>
            </w:r>
          </w:p>
          <w:p w:rsidR="00296046" w:rsidRPr="00296046" w:rsidRDefault="00296046" w:rsidP="00296046">
            <w:pPr>
              <w:autoSpaceDE w:val="0"/>
              <w:autoSpaceDN w:val="0"/>
              <w:adjustRightInd w:val="0"/>
              <w:rPr>
                <w:rFonts w:eastAsia="MS Mincho"/>
                <w:szCs w:val="24"/>
              </w:rPr>
            </w:pPr>
            <w:r w:rsidRPr="00296046">
              <w:rPr>
                <w:rFonts w:eastAsia="MS Mincho"/>
                <w:szCs w:val="24"/>
              </w:rPr>
              <w:t>Columbus, OH 43215</w:t>
            </w:r>
          </w:p>
          <w:p w:rsidR="00296046" w:rsidRPr="00296046" w:rsidRDefault="004D2C34" w:rsidP="00296046">
            <w:pPr>
              <w:autoSpaceDE w:val="0"/>
              <w:autoSpaceDN w:val="0"/>
              <w:adjustRightInd w:val="0"/>
              <w:rPr>
                <w:rFonts w:eastAsia="MS Mincho"/>
                <w:szCs w:val="24"/>
              </w:rPr>
            </w:pPr>
            <w:hyperlink r:id="rId31" w:history="1">
              <w:r w:rsidR="00296046" w:rsidRPr="00296046">
                <w:rPr>
                  <w:rStyle w:val="Hyperlink"/>
                  <w:rFonts w:eastAsia="MS Mincho"/>
                  <w:szCs w:val="24"/>
                </w:rPr>
                <w:t>sam@mwncmh.com</w:t>
              </w:r>
            </w:hyperlink>
          </w:p>
          <w:p w:rsidR="00296046" w:rsidRPr="00296046" w:rsidRDefault="004D2C34" w:rsidP="00296046">
            <w:pPr>
              <w:autoSpaceDE w:val="0"/>
              <w:autoSpaceDN w:val="0"/>
              <w:adjustRightInd w:val="0"/>
              <w:rPr>
                <w:rFonts w:eastAsia="MS Mincho"/>
                <w:szCs w:val="24"/>
              </w:rPr>
            </w:pPr>
            <w:hyperlink r:id="rId32" w:history="1">
              <w:r w:rsidR="00296046" w:rsidRPr="00296046">
                <w:rPr>
                  <w:rStyle w:val="Hyperlink"/>
                  <w:rFonts w:eastAsia="MS Mincho"/>
                  <w:szCs w:val="24"/>
                </w:rPr>
                <w:t>fdarr@mwncmh.com</w:t>
              </w:r>
            </w:hyperlink>
          </w:p>
          <w:p w:rsidR="00296046" w:rsidRPr="00296046" w:rsidRDefault="004D2C34" w:rsidP="00296046">
            <w:pPr>
              <w:autoSpaceDE w:val="0"/>
              <w:autoSpaceDN w:val="0"/>
              <w:adjustRightInd w:val="0"/>
              <w:rPr>
                <w:rFonts w:eastAsia="MS Mincho"/>
                <w:szCs w:val="24"/>
              </w:rPr>
            </w:pPr>
            <w:hyperlink r:id="rId33" w:history="1">
              <w:r w:rsidR="00296046" w:rsidRPr="00296046">
                <w:rPr>
                  <w:rStyle w:val="Hyperlink"/>
                  <w:rFonts w:eastAsia="MS Mincho"/>
                  <w:szCs w:val="24"/>
                </w:rPr>
                <w:t>joliker@mwncmh.com</w:t>
              </w:r>
            </w:hyperlink>
          </w:p>
          <w:p w:rsidR="00296046" w:rsidRPr="00296046" w:rsidRDefault="004D2C34" w:rsidP="00296046">
            <w:pPr>
              <w:autoSpaceDE w:val="0"/>
              <w:autoSpaceDN w:val="0"/>
              <w:adjustRightInd w:val="0"/>
              <w:rPr>
                <w:rFonts w:eastAsia="MS Mincho"/>
                <w:szCs w:val="24"/>
              </w:rPr>
            </w:pPr>
            <w:hyperlink r:id="rId34" w:history="1">
              <w:r w:rsidR="00296046" w:rsidRPr="00296046">
                <w:rPr>
                  <w:rStyle w:val="Hyperlink"/>
                  <w:rFonts w:eastAsia="MS Mincho"/>
                  <w:szCs w:val="24"/>
                </w:rPr>
                <w:t>mpritchard@mwncmh.com</w:t>
              </w:r>
            </w:hyperlink>
          </w:p>
          <w:p w:rsidR="00296046" w:rsidRPr="00296046" w:rsidRDefault="00296046" w:rsidP="00296046">
            <w:pPr>
              <w:autoSpaceDE w:val="0"/>
              <w:autoSpaceDN w:val="0"/>
              <w:adjustRightInd w:val="0"/>
              <w:rPr>
                <w:rFonts w:eastAsia="MS Mincho"/>
                <w:szCs w:val="24"/>
              </w:rPr>
            </w:pPr>
          </w:p>
        </w:tc>
        <w:tc>
          <w:tcPr>
            <w:tcW w:w="4428" w:type="dxa"/>
            <w:shd w:val="clear" w:color="auto" w:fill="auto"/>
          </w:tcPr>
          <w:p w:rsidR="00296046" w:rsidRPr="00296046" w:rsidRDefault="00296046" w:rsidP="00296046">
            <w:pPr>
              <w:autoSpaceDE w:val="0"/>
              <w:autoSpaceDN w:val="0"/>
              <w:adjustRightInd w:val="0"/>
              <w:rPr>
                <w:rFonts w:eastAsia="MS Mincho"/>
                <w:szCs w:val="24"/>
              </w:rPr>
            </w:pPr>
          </w:p>
        </w:tc>
      </w:tr>
    </w:tbl>
    <w:p w:rsidR="008343BA" w:rsidRDefault="008343BA">
      <w:pPr>
        <w:rPr>
          <w:szCs w:val="24"/>
        </w:rPr>
      </w:pPr>
    </w:p>
    <w:sectPr w:rsidR="008343BA">
      <w:pgSz w:w="12240" w:h="15840" w:code="1"/>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72" w:rsidRDefault="00764872">
      <w:r>
        <w:separator/>
      </w:r>
    </w:p>
  </w:endnote>
  <w:endnote w:type="continuationSeparator" w:id="0">
    <w:p w:rsidR="00764872" w:rsidRDefault="0076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BC" w:rsidRDefault="00834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5BC" w:rsidRDefault="00DC6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BC" w:rsidRDefault="00834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6BD">
      <w:rPr>
        <w:rStyle w:val="PageNumber"/>
        <w:noProof/>
      </w:rPr>
      <w:t>20</w:t>
    </w:r>
    <w:r>
      <w:rPr>
        <w:rStyle w:val="PageNumber"/>
      </w:rPr>
      <w:fldChar w:fldCharType="end"/>
    </w:r>
  </w:p>
  <w:p w:rsidR="00DC65BC" w:rsidRDefault="00DC6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BD" w:rsidRDefault="007316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46" w:rsidRDefault="00296046">
    <w:pPr>
      <w:pStyle w:val="Footer"/>
      <w:jc w:val="center"/>
    </w:pPr>
    <w:r>
      <w:fldChar w:fldCharType="begin"/>
    </w:r>
    <w:r>
      <w:instrText xml:space="preserve"> PAGE   \* MERGEFORMAT </w:instrText>
    </w:r>
    <w:r>
      <w:fldChar w:fldCharType="separate"/>
    </w:r>
    <w:r w:rsidR="004D2C34">
      <w:rPr>
        <w:noProof/>
      </w:rPr>
      <w:t>1</w:t>
    </w:r>
    <w:r>
      <w:rPr>
        <w:noProof/>
      </w:rPr>
      <w:fldChar w:fldCharType="end"/>
    </w:r>
  </w:p>
  <w:p w:rsidR="00296046" w:rsidRDefault="00296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72" w:rsidRDefault="00764872">
      <w:r>
        <w:separator/>
      </w:r>
    </w:p>
  </w:footnote>
  <w:footnote w:type="continuationSeparator" w:id="0">
    <w:p w:rsidR="00764872" w:rsidRDefault="00764872">
      <w:r>
        <w:continuationSeparator/>
      </w:r>
    </w:p>
  </w:footnote>
  <w:footnote w:id="1">
    <w:p w:rsidR="00DC65BC" w:rsidRDefault="008343BA">
      <w:pPr>
        <w:pStyle w:val="FootnoteText"/>
      </w:pPr>
      <w:r>
        <w:rPr>
          <w:rStyle w:val="FootnoteReference"/>
        </w:rPr>
        <w:footnoteRef/>
      </w:r>
      <w:r>
        <w:t xml:space="preserve"> Entry (February 23, 2012) at 3.  The EDUs are Ohio Power Company (“AEP Ohio”), The Dayton Power and Light Company (“DP&amp;L”), Duke Energy Ohio and FirstEnergy (The Cleveland Electric Illuminating Company, Ohio Edison Company and The Toledo Edison Company).  See id. at 1.</w:t>
      </w:r>
    </w:p>
  </w:footnote>
  <w:footnote w:id="2">
    <w:p w:rsidR="00DC65BC" w:rsidRDefault="008343BA">
      <w:pPr>
        <w:pStyle w:val="FootnoteText"/>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at 1-2.</w:t>
      </w:r>
    </w:p>
  </w:footnote>
  <w:footnote w:id="3">
    <w:p w:rsidR="00DC65BC" w:rsidRDefault="008343BA">
      <w:pPr>
        <w:pStyle w:val="FootnoteText"/>
      </w:pPr>
      <w:r>
        <w:rPr>
          <w:rStyle w:val="FootnoteReference"/>
        </w:rPr>
        <w:footnoteRef/>
      </w:r>
      <w:r>
        <w:t xml:space="preserve"> See Report at i.</w:t>
      </w:r>
    </w:p>
  </w:footnote>
  <w:footnote w:id="4">
    <w:p w:rsidR="00DC65BC" w:rsidRDefault="008343BA">
      <w:pPr>
        <w:pStyle w:val="FootnoteText"/>
      </w:pPr>
      <w:r>
        <w:rPr>
          <w:rStyle w:val="FootnoteReference"/>
        </w:rPr>
        <w:footnoteRef/>
      </w:r>
      <w:r>
        <w:t xml:space="preserve"> Id. at iv.</w:t>
      </w:r>
    </w:p>
  </w:footnote>
  <w:footnote w:id="5">
    <w:p w:rsidR="00DC65BC" w:rsidRDefault="008343BA" w:rsidP="00E63EFF">
      <w:pPr>
        <w:pStyle w:val="FootnoteText"/>
        <w:spacing w:before="0" w:after="120"/>
      </w:pPr>
      <w:r>
        <w:rPr>
          <w:rStyle w:val="FootnoteReference"/>
        </w:rPr>
        <w:footnoteRef/>
      </w:r>
      <w:r>
        <w:t xml:space="preserve"> Id. at 21.</w:t>
      </w:r>
    </w:p>
  </w:footnote>
  <w:footnote w:id="6">
    <w:p w:rsidR="00DC65BC" w:rsidRDefault="008343BA" w:rsidP="00E63EFF">
      <w:pPr>
        <w:pStyle w:val="FootnoteText"/>
        <w:spacing w:before="0" w:after="120"/>
      </w:pPr>
      <w:r>
        <w:rPr>
          <w:rStyle w:val="FootnoteReference"/>
        </w:rPr>
        <w:footnoteRef/>
      </w:r>
      <w:r>
        <w:t xml:space="preserve"> See id. at 12, 21.</w:t>
      </w:r>
    </w:p>
  </w:footnote>
  <w:footnote w:id="7">
    <w:p w:rsidR="00DC65BC" w:rsidRDefault="008343BA" w:rsidP="00E63EFF">
      <w:pPr>
        <w:autoSpaceDE w:val="0"/>
        <w:autoSpaceDN w:val="0"/>
        <w:adjustRightInd w:val="0"/>
        <w:spacing w:after="120"/>
      </w:pPr>
      <w:r>
        <w:rPr>
          <w:rStyle w:val="FootnoteReference"/>
        </w:rPr>
        <w:footnoteRef/>
      </w:r>
      <w:r>
        <w:t xml:space="preserve"> </w:t>
      </w:r>
      <w:smartTag w:uri="urn:schemas-microsoft-com:office:smarttags" w:element="State">
        <w:r>
          <w:rPr>
            <w:sz w:val="20"/>
          </w:rPr>
          <w:t>Id.</w:t>
        </w:r>
      </w:smartTag>
      <w:r>
        <w:rPr>
          <w:sz w:val="20"/>
        </w:rPr>
        <w:t xml:space="preserve"> at ii, citing </w:t>
      </w:r>
      <w:r>
        <w:rPr>
          <w:rFonts w:eastAsia="MS Mincho"/>
          <w:sz w:val="20"/>
          <w:lang w:eastAsia="ja-JP"/>
        </w:rPr>
        <w:t>State of Ohio Energy Efficiency Technical Reference Manual</w:t>
      </w:r>
      <w:r>
        <w:rPr>
          <w:sz w:val="20"/>
        </w:rPr>
        <w:t xml:space="preserve"> (August 6, 2010), prepared for the Public Utilities Commission of Ohio by Vermont Energy Investment Corporation, available at http://amppartners.org/pdf/TRM_Appendix_E_2011.pdf.</w:t>
      </w:r>
    </w:p>
  </w:footnote>
  <w:footnote w:id="8">
    <w:p w:rsidR="00DC65BC" w:rsidRDefault="008343BA" w:rsidP="00E63EFF">
      <w:pPr>
        <w:pStyle w:val="FootnoteText"/>
        <w:spacing w:before="0" w:after="120"/>
      </w:pPr>
      <w:r>
        <w:rPr>
          <w:rStyle w:val="FootnoteReference"/>
        </w:rPr>
        <w:footnoteRef/>
      </w:r>
      <w:r>
        <w:t xml:space="preserve"> See id. at 6, Table 1.</w:t>
      </w:r>
    </w:p>
  </w:footnote>
  <w:footnote w:id="9">
    <w:p w:rsidR="00DC65BC" w:rsidRDefault="008343BA">
      <w:pPr>
        <w:pStyle w:val="FootnoteText"/>
      </w:pPr>
      <w:r>
        <w:rPr>
          <w:rStyle w:val="FootnoteReference"/>
        </w:rPr>
        <w:footnoteRef/>
      </w:r>
      <w:r>
        <w:t xml:space="preserve"> Id. at 7.</w:t>
      </w:r>
    </w:p>
  </w:footnote>
  <w:footnote w:id="10">
    <w:p w:rsidR="00DC65BC" w:rsidRDefault="008343BA">
      <w:pPr>
        <w:pStyle w:val="FootnoteText"/>
      </w:pPr>
      <w:r>
        <w:rPr>
          <w:rStyle w:val="FootnoteReference"/>
        </w:rPr>
        <w:footnoteRef/>
      </w:r>
      <w:r>
        <w:t xml:space="preserve"> See id. at iii.</w:t>
      </w:r>
    </w:p>
  </w:footnote>
  <w:footnote w:id="11">
    <w:p w:rsidR="00DC65BC" w:rsidRDefault="008343BA">
      <w:pPr>
        <w:pStyle w:val="FootnoteText"/>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at 11, Table 3.</w:t>
      </w:r>
    </w:p>
  </w:footnote>
  <w:footnote w:id="12">
    <w:p w:rsidR="00DC65BC" w:rsidRDefault="008343BA">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 w:id="13">
    <w:p w:rsidR="00DC65BC" w:rsidRDefault="008343BA">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 w:id="14">
    <w:p w:rsidR="00DC65BC" w:rsidRDefault="008343BA">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 w:id="15">
    <w:p w:rsidR="00DC65BC" w:rsidRDefault="008343BA">
      <w:pPr>
        <w:pStyle w:val="FootnoteText"/>
      </w:pPr>
      <w:r>
        <w:rPr>
          <w:rStyle w:val="FootnoteReference"/>
        </w:rPr>
        <w:footnoteRef/>
      </w:r>
      <w:r>
        <w:t xml:space="preserve"> Id. at iii.</w:t>
      </w:r>
    </w:p>
  </w:footnote>
  <w:footnote w:id="16">
    <w:p w:rsidR="00DC65BC" w:rsidRDefault="008343BA">
      <w:pPr>
        <w:pStyle w:val="FootnoteText"/>
      </w:pPr>
      <w:r>
        <w:rPr>
          <w:rStyle w:val="FootnoteReference"/>
        </w:rPr>
        <w:footnoteRef/>
      </w:r>
      <w:r>
        <w:t xml:space="preserve"> See id. at iv.</w:t>
      </w:r>
    </w:p>
  </w:footnote>
  <w:footnote w:id="17">
    <w:p w:rsidR="00DC65BC" w:rsidRDefault="008343BA">
      <w:pPr>
        <w:pStyle w:val="FootnoteText"/>
      </w:pPr>
      <w:r>
        <w:rPr>
          <w:rStyle w:val="FootnoteReference"/>
        </w:rPr>
        <w:footnoteRef/>
      </w:r>
      <w:r>
        <w:t xml:space="preserve"> See id.</w:t>
      </w:r>
    </w:p>
  </w:footnote>
  <w:footnote w:id="18">
    <w:p w:rsidR="00DC65BC" w:rsidRDefault="008343BA">
      <w:pPr>
        <w:pStyle w:val="FootnoteText"/>
      </w:pPr>
      <w:r>
        <w:rPr>
          <w:rStyle w:val="FootnoteReference"/>
        </w:rPr>
        <w:footnoteRef/>
      </w:r>
      <w:r>
        <w:t xml:space="preserve"> See id.</w:t>
      </w:r>
    </w:p>
  </w:footnote>
  <w:footnote w:id="19">
    <w:p w:rsidR="00DC65BC" w:rsidRDefault="008343BA">
      <w:pPr>
        <w:pStyle w:val="FootnoteText"/>
      </w:pPr>
      <w:r>
        <w:rPr>
          <w:rStyle w:val="FootnoteReference"/>
        </w:rPr>
        <w:footnoteRef/>
      </w:r>
      <w:r>
        <w:t xml:space="preserve"> Id. at 8.</w:t>
      </w:r>
    </w:p>
  </w:footnote>
  <w:footnote w:id="20">
    <w:p w:rsidR="00DC65BC" w:rsidRDefault="008343BA">
      <w:pPr>
        <w:pStyle w:val="FootnoteText"/>
      </w:pPr>
      <w:r>
        <w:rPr>
          <w:rStyle w:val="FootnoteReference"/>
        </w:rPr>
        <w:footnoteRef/>
      </w:r>
      <w:r>
        <w:t xml:space="preserve"> </w:t>
      </w:r>
      <w:smartTag w:uri="urn:schemas-microsoft-com:office:smarttags" w:element="place">
        <w:smartTag w:uri="urn:schemas-microsoft-com:office:smarttags" w:element="State">
          <w:r>
            <w:t>Id.</w:t>
          </w:r>
        </w:smartTag>
      </w:smartTag>
      <w:r>
        <w:t>, Table 2.</w:t>
      </w:r>
    </w:p>
  </w:footnote>
  <w:footnote w:id="21">
    <w:p w:rsidR="00DC65BC" w:rsidRDefault="008343BA">
      <w:pPr>
        <w:pStyle w:val="FootnoteText"/>
      </w:pPr>
      <w:r>
        <w:rPr>
          <w:rStyle w:val="FootnoteReference"/>
        </w:rPr>
        <w:footnoteRef/>
      </w:r>
      <w:r>
        <w:t xml:space="preserve"> Id. at 53.</w:t>
      </w:r>
    </w:p>
  </w:footnote>
  <w:footnote w:id="22">
    <w:p w:rsidR="00DC65BC" w:rsidRDefault="008343BA">
      <w:pPr>
        <w:pStyle w:val="FootnoteText"/>
      </w:pPr>
      <w:r>
        <w:rPr>
          <w:rStyle w:val="FootnoteReference"/>
        </w:rPr>
        <w:footnoteRef/>
      </w:r>
      <w:r>
        <w:t xml:space="preserve"> Evergreen noted that the 2010 draft of the TRM included savings attributable to home audits but the 2011 draft removed them altogether.  Id. at 7.  Separate impact studies of </w:t>
      </w:r>
      <w:smartTag w:uri="urn:schemas-microsoft-com:office:smarttags" w:element="State">
        <w:smartTag w:uri="urn:schemas-microsoft-com:office:smarttags" w:element="place">
          <w:r>
            <w:t>California</w:t>
          </w:r>
        </w:smartTag>
      </w:smartTag>
      <w:r>
        <w:t xml:space="preserve">’s home audit programs estimated savings of between 31 kWh and 276 kWh annually.  </w:t>
      </w:r>
      <w:smartTag w:uri="urn:schemas-microsoft-com:office:smarttags" w:element="State">
        <w:smartTag w:uri="urn:schemas-microsoft-com:office:smarttags" w:element="place">
          <w:r>
            <w:t>Id.</w:t>
          </w:r>
        </w:smartTag>
      </w:smartTag>
    </w:p>
  </w:footnote>
  <w:footnote w:id="23">
    <w:p w:rsidR="00DC65BC" w:rsidRDefault="008343BA">
      <w:pPr>
        <w:pStyle w:val="FootnoteText"/>
      </w:pPr>
      <w:r>
        <w:rPr>
          <w:rStyle w:val="FootnoteReference"/>
        </w:rPr>
        <w:footnoteRef/>
      </w:r>
      <w:r>
        <w:t xml:space="preserve"> Id. at 36.</w:t>
      </w:r>
    </w:p>
  </w:footnote>
  <w:footnote w:id="24">
    <w:p w:rsidR="00DC65BC" w:rsidRDefault="008343BA">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w:t>
      </w:r>
    </w:p>
  </w:footnote>
  <w:footnote w:id="25">
    <w:p w:rsidR="00DC65BC" w:rsidRDefault="008343BA">
      <w:pPr>
        <w:pStyle w:val="FootnoteText"/>
      </w:pPr>
      <w:r>
        <w:rPr>
          <w:rStyle w:val="FootnoteReference"/>
        </w:rPr>
        <w:footnoteRef/>
      </w:r>
      <w:r>
        <w:t xml:space="preserve"> Id. at 53.</w:t>
      </w:r>
    </w:p>
  </w:footnote>
  <w:footnote w:id="26">
    <w:p w:rsidR="00DC65BC" w:rsidRDefault="008343BA">
      <w:pPr>
        <w:pStyle w:val="FootnoteText"/>
      </w:pPr>
      <w:r>
        <w:rPr>
          <w:rStyle w:val="FootnoteReference"/>
        </w:rPr>
        <w:footnoteRef/>
      </w:r>
      <w:r>
        <w:t xml:space="preserve"> See id. at 4.</w:t>
      </w:r>
    </w:p>
  </w:footnote>
  <w:footnote w:id="27">
    <w:p w:rsidR="00DC65BC" w:rsidRDefault="008343BA">
      <w:pPr>
        <w:pStyle w:val="FootnoteText"/>
      </w:pPr>
      <w:r>
        <w:rPr>
          <w:rStyle w:val="FootnoteReference"/>
        </w:rPr>
        <w:footnoteRef/>
      </w:r>
      <w:r>
        <w:t xml:space="preserve"> See id.</w:t>
      </w:r>
    </w:p>
  </w:footnote>
  <w:footnote w:id="28">
    <w:p w:rsidR="00DC65BC" w:rsidRDefault="008343BA">
      <w:pPr>
        <w:pStyle w:val="FootnoteText"/>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at 16, Table 4.</w:t>
      </w:r>
    </w:p>
  </w:footnote>
  <w:footnote w:id="29">
    <w:p w:rsidR="00DC65BC" w:rsidRDefault="008343BA">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 w:id="30">
    <w:p w:rsidR="00DC65BC" w:rsidRDefault="008343BA">
      <w:pPr>
        <w:pStyle w:val="FootnoteText"/>
      </w:pPr>
      <w:r>
        <w:rPr>
          <w:rStyle w:val="FootnoteReference"/>
        </w:rPr>
        <w:footnoteRef/>
      </w:r>
      <w:r>
        <w:t xml:space="preserve"> Id. at 17.</w:t>
      </w:r>
    </w:p>
  </w:footnote>
  <w:footnote w:id="31">
    <w:p w:rsidR="00DC65BC" w:rsidRDefault="008343BA">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 w:id="32">
    <w:p w:rsidR="00DC65BC" w:rsidRDefault="008343BA">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 w:id="33">
    <w:p w:rsidR="00DC65BC" w:rsidRDefault="008343BA">
      <w:pPr>
        <w:pStyle w:val="FootnoteText"/>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at 19, Table 6.</w:t>
      </w:r>
    </w:p>
  </w:footnote>
  <w:footnote w:id="34">
    <w:p w:rsidR="00DC65BC" w:rsidRDefault="008343BA">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 w:id="35">
    <w:p w:rsidR="00DC65BC" w:rsidRDefault="008343BA">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 w:id="36">
    <w:p w:rsidR="00DC65BC" w:rsidRDefault="008343BA">
      <w:pPr>
        <w:pStyle w:val="FootnoteText"/>
      </w:pPr>
      <w:r>
        <w:rPr>
          <w:rStyle w:val="FootnoteReference"/>
        </w:rPr>
        <w:footnoteRef/>
      </w:r>
      <w:r>
        <w:t xml:space="preserve"> Id. at 22.</w:t>
      </w:r>
    </w:p>
  </w:footnote>
  <w:footnote w:id="37">
    <w:p w:rsidR="00DC65BC" w:rsidRDefault="008343BA">
      <w:pPr>
        <w:pStyle w:val="FootnoteText"/>
      </w:pPr>
      <w:r>
        <w:rPr>
          <w:rStyle w:val="FootnoteReference"/>
        </w:rPr>
        <w:footnoteRef/>
      </w:r>
      <w:r>
        <w:t xml:space="preserve"> Id. at 23.</w:t>
      </w:r>
    </w:p>
  </w:footnote>
  <w:footnote w:id="38">
    <w:p w:rsidR="00DC65BC" w:rsidRDefault="008343BA">
      <w:pPr>
        <w:pStyle w:val="FootnoteText"/>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w:t>
      </w:r>
    </w:p>
  </w:footnote>
  <w:footnote w:id="39">
    <w:p w:rsidR="00DC65BC" w:rsidRDefault="008343BA">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 w:id="40">
    <w:p w:rsidR="00DC65BC" w:rsidRDefault="008343BA">
      <w:pPr>
        <w:pStyle w:val="FootnoteText"/>
      </w:pPr>
      <w:r>
        <w:rPr>
          <w:rStyle w:val="FootnoteReference"/>
          <w:rFonts w:eastAsia="Calibri"/>
        </w:rPr>
        <w:footnoteRef/>
      </w:r>
      <w:r>
        <w:t xml:space="preserve"> </w:t>
      </w:r>
      <w:smartTag w:uri="urn:schemas-microsoft-com:office:smarttags" w:element="place">
        <w:smartTag w:uri="urn:schemas-microsoft-com:office:smarttags" w:element="State">
          <w:r>
            <w:t>Id.</w:t>
          </w:r>
        </w:smartTag>
      </w:smartTag>
      <w:r>
        <w:t xml:space="preserve"> at 33, Table 13. </w:t>
      </w:r>
    </w:p>
  </w:footnote>
  <w:footnote w:id="41">
    <w:p w:rsidR="00DC65BC" w:rsidRDefault="008343BA">
      <w:pPr>
        <w:pStyle w:val="FootnoteText"/>
      </w:pPr>
      <w:r>
        <w:rPr>
          <w:rStyle w:val="FootnoteReference"/>
          <w:rFonts w:eastAsia="Calibri"/>
        </w:rPr>
        <w:footnoteRef/>
      </w:r>
      <w:r>
        <w:t xml:space="preserve"> </w:t>
      </w:r>
      <w:smartTag w:uri="urn:schemas-microsoft-com:office:smarttags" w:element="place">
        <w:smartTag w:uri="urn:schemas-microsoft-com:office:smarttags" w:element="State">
          <w:r>
            <w:t>Id.</w:t>
          </w:r>
        </w:smartTag>
      </w:smartTag>
    </w:p>
  </w:footnote>
  <w:footnote w:id="42">
    <w:p w:rsidR="00DC65BC" w:rsidRDefault="008343BA">
      <w:pPr>
        <w:pStyle w:val="FootnoteText"/>
        <w:spacing w:after="120"/>
      </w:pPr>
      <w:r>
        <w:rPr>
          <w:rStyle w:val="FootnoteReference"/>
          <w:rFonts w:eastAsia="Calibri"/>
        </w:rPr>
        <w:footnoteRef/>
      </w:r>
      <w:r>
        <w:t xml:space="preserve"> Id.</w:t>
      </w:r>
      <w:r>
        <w:rPr>
          <w:i/>
        </w:rPr>
        <w:t xml:space="preserve"> </w:t>
      </w:r>
      <w:r>
        <w:t>at 34.</w:t>
      </w:r>
    </w:p>
  </w:footnote>
  <w:footnote w:id="43">
    <w:p w:rsidR="00DC65BC" w:rsidRDefault="008343BA">
      <w:pPr>
        <w:pStyle w:val="FootnoteText"/>
      </w:pPr>
      <w:r>
        <w:rPr>
          <w:rStyle w:val="FootnoteReference"/>
          <w:rFonts w:eastAsia="Calibri"/>
        </w:rPr>
        <w:footnoteRef/>
      </w:r>
      <w:r>
        <w:t xml:space="preserve"> Id. at 35.</w:t>
      </w:r>
    </w:p>
  </w:footnote>
  <w:footnote w:id="44">
    <w:p w:rsidR="00DC65BC" w:rsidRDefault="008343BA">
      <w:pPr>
        <w:pStyle w:val="FootnoteText"/>
        <w:spacing w:after="120"/>
      </w:pPr>
      <w:r>
        <w:rPr>
          <w:rStyle w:val="FootnoteReference"/>
          <w:rFonts w:eastAsia="Calibri"/>
        </w:rPr>
        <w:footnoteRef/>
      </w:r>
      <w:r>
        <w:t xml:space="preserve"> </w:t>
      </w:r>
      <w:smartTag w:uri="urn:schemas-microsoft-com:office:smarttags" w:element="State">
        <w:smartTag w:uri="urn:schemas-microsoft-com:office:smarttags" w:element="place">
          <w:r>
            <w:t>Id.</w:t>
          </w:r>
        </w:smartTag>
      </w:smartTag>
      <w:r>
        <w:t xml:space="preserve"> </w:t>
      </w:r>
    </w:p>
  </w:footnote>
  <w:footnote w:id="45">
    <w:p w:rsidR="00DC65BC" w:rsidRDefault="008343BA">
      <w:pPr>
        <w:pStyle w:val="FootnoteText"/>
        <w:spacing w:after="120"/>
      </w:pPr>
      <w:r>
        <w:rPr>
          <w:rStyle w:val="FootnoteReference"/>
          <w:rFonts w:eastAsia="Calibri"/>
        </w:rPr>
        <w:footnoteRef/>
      </w:r>
      <w:r>
        <w:t xml:space="preserve"> Id. at 36.</w:t>
      </w:r>
    </w:p>
  </w:footnote>
  <w:footnote w:id="46">
    <w:p w:rsidR="00DC65BC" w:rsidRDefault="008343BA">
      <w:pPr>
        <w:pStyle w:val="FootnoteText"/>
      </w:pPr>
      <w:r>
        <w:rPr>
          <w:rStyle w:val="FootnoteReference"/>
          <w:rFonts w:eastAsia="Calibri"/>
        </w:rPr>
        <w:footnoteRef/>
      </w:r>
      <w:r>
        <w:t xml:space="preserve"> Id.</w:t>
      </w:r>
      <w:r>
        <w:rPr>
          <w:i/>
        </w:rPr>
        <w:t xml:space="preserve"> </w:t>
      </w:r>
      <w:r>
        <w:t>at 37.</w:t>
      </w:r>
    </w:p>
  </w:footnote>
  <w:footnote w:id="47">
    <w:p w:rsidR="00DC65BC" w:rsidRDefault="008343BA">
      <w:pPr>
        <w:pStyle w:val="FootnoteText"/>
        <w:spacing w:after="120"/>
      </w:pPr>
      <w:r>
        <w:rPr>
          <w:rStyle w:val="FootnoteReference"/>
          <w:rFonts w:eastAsia="Calibri"/>
        </w:rPr>
        <w:footnoteRef/>
      </w:r>
      <w:r>
        <w:t xml:space="preserve"> </w:t>
      </w:r>
      <w:smartTag w:uri="urn:schemas-microsoft-com:office:smarttags" w:element="State">
        <w:smartTag w:uri="urn:schemas-microsoft-com:office:smarttags" w:element="place">
          <w:r>
            <w:t>Id.</w:t>
          </w:r>
        </w:smartTag>
      </w:smartTag>
      <w:r>
        <w:rPr>
          <w:i/>
        </w:rPr>
        <w:t xml:space="preserve"> </w:t>
      </w:r>
    </w:p>
  </w:footnote>
  <w:footnote w:id="48">
    <w:p w:rsidR="00DC65BC" w:rsidRDefault="008343BA">
      <w:pPr>
        <w:pStyle w:val="FootnoteText"/>
      </w:pPr>
      <w:r>
        <w:rPr>
          <w:rStyle w:val="FootnoteReference"/>
          <w:rFonts w:eastAsia="Calibri"/>
        </w:rPr>
        <w:footnoteRef/>
      </w:r>
      <w:r>
        <w:t xml:space="preserve"> Id. at 38.</w:t>
      </w:r>
    </w:p>
  </w:footnote>
  <w:footnote w:id="49">
    <w:p w:rsidR="00DC65BC" w:rsidRDefault="008343BA">
      <w:pPr>
        <w:pStyle w:val="FootnoteText"/>
      </w:pPr>
      <w:r>
        <w:rPr>
          <w:rStyle w:val="FootnoteReference"/>
        </w:rPr>
        <w:footnoteRef/>
      </w:r>
      <w:r>
        <w:t xml:space="preserve"> Id. at 35.</w:t>
      </w:r>
    </w:p>
  </w:footnote>
  <w:footnote w:id="50">
    <w:p w:rsidR="00DC65BC" w:rsidRDefault="008343BA">
      <w:pPr>
        <w:pStyle w:val="FootnoteText"/>
      </w:pPr>
      <w:r>
        <w:rPr>
          <w:rStyle w:val="FootnoteReference"/>
          <w:rFonts w:eastAsia="Calibri"/>
        </w:rPr>
        <w:footnoteRef/>
      </w:r>
      <w:r>
        <w:t xml:space="preserve"> </w:t>
      </w:r>
      <w:smartTag w:uri="urn:schemas-microsoft-com:office:smarttags" w:element="place">
        <w:smartTag w:uri="urn:schemas-microsoft-com:office:smarttags" w:element="State">
          <w:r>
            <w:t>Id.</w:t>
          </w:r>
        </w:smartTag>
      </w:smartTag>
      <w:r>
        <w:t xml:space="preserve"> at 43, Table 16.</w:t>
      </w:r>
    </w:p>
  </w:footnote>
  <w:footnote w:id="51">
    <w:p w:rsidR="00DC65BC" w:rsidRDefault="008343BA">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 w:id="52">
    <w:p w:rsidR="00DC65BC" w:rsidRDefault="008343BA">
      <w:pPr>
        <w:pStyle w:val="FootnoteText"/>
      </w:pPr>
      <w:r>
        <w:rPr>
          <w:rStyle w:val="FootnoteReference"/>
          <w:rFonts w:eastAsia="Calibri"/>
        </w:rPr>
        <w:footnoteRef/>
      </w:r>
      <w:r>
        <w:t xml:space="preserve"> </w:t>
      </w:r>
      <w:smartTag w:uri="urn:schemas-microsoft-com:office:smarttags" w:element="place">
        <w:smartTag w:uri="urn:schemas-microsoft-com:office:smarttags" w:element="State">
          <w:r>
            <w:t>Id.</w:t>
          </w:r>
        </w:smartTag>
      </w:smartTag>
      <w:r>
        <w:t xml:space="preserve"> at 47-48.</w:t>
      </w:r>
    </w:p>
  </w:footnote>
  <w:footnote w:id="53">
    <w:p w:rsidR="00DC65BC" w:rsidRDefault="008343BA">
      <w:pPr>
        <w:pStyle w:val="FootnoteText"/>
      </w:pPr>
      <w:r>
        <w:rPr>
          <w:rStyle w:val="FootnoteReference"/>
          <w:rFonts w:eastAsia="Calibri"/>
        </w:rPr>
        <w:footnoteRef/>
      </w:r>
      <w:r>
        <w:t xml:space="preserve"> </w:t>
      </w:r>
      <w:smartTag w:uri="urn:schemas-microsoft-com:office:smarttags" w:element="place">
        <w:smartTag w:uri="urn:schemas-microsoft-com:office:smarttags" w:element="State">
          <w:r>
            <w:t>Id.</w:t>
          </w:r>
        </w:smartTag>
      </w:smartTag>
      <w:r>
        <w:t xml:space="preserve"> at 26, Table 9.</w:t>
      </w:r>
    </w:p>
  </w:footnote>
  <w:footnote w:id="54">
    <w:p w:rsidR="00DC65BC" w:rsidRDefault="008343BA">
      <w:pPr>
        <w:pStyle w:val="FootnoteText"/>
      </w:pPr>
      <w:r>
        <w:rPr>
          <w:rStyle w:val="FootnoteReference"/>
          <w:rFonts w:eastAsia="Calibri"/>
        </w:rPr>
        <w:footnoteRef/>
      </w:r>
      <w:r>
        <w:t xml:space="preserve"> Id. at 27.</w:t>
      </w:r>
    </w:p>
  </w:footnote>
  <w:footnote w:id="55">
    <w:p w:rsidR="00DC65BC" w:rsidRDefault="008343BA">
      <w:pPr>
        <w:pStyle w:val="FootnoteText"/>
      </w:pPr>
      <w:r>
        <w:rPr>
          <w:rStyle w:val="FootnoteReference"/>
          <w:rFonts w:eastAsia="Calibri"/>
        </w:rPr>
        <w:footnoteRef/>
      </w:r>
      <w:r>
        <w:t xml:space="preserve"> </w:t>
      </w:r>
      <w:smartTag w:uri="urn:schemas-microsoft-com:office:smarttags" w:element="place">
        <w:smartTag w:uri="urn:schemas-microsoft-com:office:smarttags" w:element="State">
          <w:r>
            <w:t>Id.</w:t>
          </w:r>
        </w:smartTag>
      </w:smartTag>
      <w:r>
        <w:t xml:space="preserve"> at 28, Table 11.</w:t>
      </w:r>
    </w:p>
  </w:footnote>
  <w:footnote w:id="56">
    <w:p w:rsidR="00DC65BC" w:rsidRDefault="008343BA">
      <w:pPr>
        <w:pStyle w:val="FootnoteText"/>
      </w:pPr>
      <w:r>
        <w:rPr>
          <w:rStyle w:val="FootnoteReference"/>
        </w:rPr>
        <w:footnoteRef/>
      </w:r>
      <w:r>
        <w:t xml:space="preserve"> Id. at 31.</w:t>
      </w:r>
    </w:p>
  </w:footnote>
  <w:footnote w:id="57">
    <w:p w:rsidR="00DC65BC" w:rsidRDefault="008343BA">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 w:id="58">
    <w:p w:rsidR="00DC65BC" w:rsidRDefault="008343BA">
      <w:pPr>
        <w:pStyle w:val="FootnoteText"/>
      </w:pPr>
      <w:r>
        <w:rPr>
          <w:rStyle w:val="FootnoteReference"/>
        </w:rPr>
        <w:footnoteRef/>
      </w:r>
      <w:r>
        <w:t xml:space="preserve"> </w:t>
      </w:r>
      <w:r>
        <w:rPr>
          <w:i/>
        </w:rPr>
        <w:t>In the Matter of the Application of Ohio Edison Company, the Cleveland Electric Illuminating Company, and the Toledo Edison Company for Approval of Their Energy Efficiency and Peak Demand Reduction Program Portfolio Plans for 2010 through 2012 and Associated Cost Recovery Mechanisms</w:t>
      </w:r>
      <w:r>
        <w:t>, Case Nos. 09-1947-EL-POR et al., Opinion and Order (March, 23, 2011).</w:t>
      </w:r>
    </w:p>
  </w:footnote>
  <w:footnote w:id="59">
    <w:p w:rsidR="00DC65BC" w:rsidRDefault="008343BA">
      <w:pPr>
        <w:pStyle w:val="FootnoteText"/>
      </w:pPr>
      <w:r>
        <w:rPr>
          <w:rStyle w:val="FootnoteReference"/>
          <w:rFonts w:eastAsia="Calibri"/>
        </w:rPr>
        <w:footnoteRef/>
      </w:r>
      <w:r>
        <w:t xml:space="preserve"> Report at 50, Table 17.</w:t>
      </w:r>
    </w:p>
  </w:footnote>
  <w:footnote w:id="60">
    <w:p w:rsidR="00DC65BC" w:rsidRDefault="008343BA">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 w:id="61">
    <w:p w:rsidR="00DC65BC" w:rsidRDefault="008343BA">
      <w:pPr>
        <w:pStyle w:val="FootnoteText"/>
      </w:pPr>
      <w:r>
        <w:rPr>
          <w:rStyle w:val="FootnoteReference"/>
          <w:rFonts w:eastAsia="Calibri"/>
        </w:rPr>
        <w:footnoteRef/>
      </w:r>
      <w:r>
        <w:t xml:space="preserve"> Id. at 52.</w:t>
      </w:r>
    </w:p>
  </w:footnote>
  <w:footnote w:id="62">
    <w:p w:rsidR="00DC65BC" w:rsidRDefault="008343BA">
      <w:pPr>
        <w:pStyle w:val="FootnoteText"/>
      </w:pPr>
      <w:r>
        <w:rPr>
          <w:rStyle w:val="FootnoteReference"/>
          <w:rFonts w:eastAsia="Calibri"/>
        </w:rPr>
        <w:footnoteRef/>
      </w:r>
      <w:r>
        <w:t xml:space="preserve"> </w:t>
      </w:r>
      <w:smartTag w:uri="urn:schemas-microsoft-com:office:smarttags" w:element="place">
        <w:smartTag w:uri="urn:schemas-microsoft-com:office:smarttags" w:element="State">
          <w:r>
            <w:t>Id.</w:t>
          </w:r>
        </w:smartTag>
      </w:smartTag>
    </w:p>
  </w:footnote>
  <w:footnote w:id="63">
    <w:p w:rsidR="00DC65BC" w:rsidRDefault="008343BA">
      <w:pPr>
        <w:pStyle w:val="FootnoteText"/>
      </w:pPr>
      <w:r>
        <w:rPr>
          <w:rStyle w:val="FootnoteReference"/>
          <w:rFonts w:eastAsia="Calibri"/>
        </w:rPr>
        <w:footnoteRef/>
      </w:r>
      <w:r>
        <w:t xml:space="preserve"> Id. at 53.</w:t>
      </w:r>
    </w:p>
  </w:footnote>
  <w:footnote w:id="64">
    <w:p w:rsidR="00DC65BC" w:rsidRDefault="008343BA">
      <w:pPr>
        <w:pStyle w:val="FootnoteText"/>
      </w:pPr>
      <w:r>
        <w:rPr>
          <w:rStyle w:val="FootnoteReference"/>
          <w:rFonts w:eastAsia="Calibri"/>
        </w:rPr>
        <w:footnoteRef/>
      </w:r>
      <w:r>
        <w:t xml:space="preserve"> Id. at 52.</w:t>
      </w:r>
    </w:p>
  </w:footnote>
  <w:footnote w:id="65">
    <w:p w:rsidR="00DC65BC" w:rsidRDefault="008343BA">
      <w:pPr>
        <w:pStyle w:val="FootnoteText"/>
      </w:pPr>
      <w:r>
        <w:rPr>
          <w:rStyle w:val="FootnoteReference"/>
          <w:rFonts w:eastAsia="Calibri"/>
        </w:rPr>
        <w:footnoteRef/>
      </w:r>
      <w:r>
        <w:t xml:space="preserve"> Id. at 53.</w:t>
      </w:r>
    </w:p>
  </w:footnote>
  <w:footnote w:id="66">
    <w:p w:rsidR="00DC65BC" w:rsidRDefault="008343BA">
      <w:pPr>
        <w:pStyle w:val="FootnoteText"/>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at 53-54.</w:t>
      </w:r>
    </w:p>
  </w:footnote>
  <w:footnote w:id="67">
    <w:p w:rsidR="00DC65BC" w:rsidRDefault="008343BA">
      <w:pPr>
        <w:pStyle w:val="FootnoteText"/>
      </w:pPr>
      <w:r>
        <w:rPr>
          <w:rStyle w:val="FootnoteReference"/>
          <w:rFonts w:eastAsia="Calibri"/>
        </w:rPr>
        <w:footnoteRef/>
      </w:r>
      <w:r>
        <w:t xml:space="preserve"> Id. at 10.</w:t>
      </w:r>
    </w:p>
  </w:footnote>
  <w:footnote w:id="68">
    <w:p w:rsidR="00DC65BC" w:rsidRDefault="008343BA">
      <w:pPr>
        <w:pStyle w:val="FootnoteText"/>
      </w:pPr>
      <w:r>
        <w:rPr>
          <w:rStyle w:val="FootnoteReference"/>
        </w:rPr>
        <w:footnoteRef/>
      </w:r>
      <w:r>
        <w:t xml:space="preserve"> </w:t>
      </w:r>
      <w:r>
        <w:rPr>
          <w:i/>
        </w:rPr>
        <w:t>In the Matter of Protocols for the Measurement and Verification of Energy and Peak Demand Reduction Measures</w:t>
      </w:r>
      <w:r>
        <w:t>, Case No. 09-512-GE-UNC.</w:t>
      </w:r>
    </w:p>
  </w:footnote>
  <w:footnote w:id="69">
    <w:p w:rsidR="00DC65BC" w:rsidRDefault="008343BA">
      <w:pPr>
        <w:pStyle w:val="FootnoteText"/>
      </w:pPr>
      <w:r>
        <w:rPr>
          <w:rStyle w:val="FootnoteReference"/>
        </w:rPr>
        <w:footnoteRef/>
      </w:r>
      <w:r>
        <w:t xml:space="preserve"> See id., Entry (June 24, 2009) at 3.</w:t>
      </w:r>
    </w:p>
  </w:footnote>
  <w:footnote w:id="70">
    <w:p w:rsidR="00DC65BC" w:rsidRDefault="008343BA">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BD" w:rsidRDefault="00731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BD" w:rsidRDefault="00731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BD" w:rsidRDefault="007316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46" w:rsidRDefault="00296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B65752"/>
    <w:lvl w:ilvl="0">
      <w:start w:val="1"/>
      <w:numFmt w:val="decimal"/>
      <w:lvlText w:val="%1."/>
      <w:lvlJc w:val="left"/>
      <w:pPr>
        <w:tabs>
          <w:tab w:val="num" w:pos="1800"/>
        </w:tabs>
        <w:ind w:left="1800" w:hanging="360"/>
      </w:pPr>
    </w:lvl>
  </w:abstractNum>
  <w:abstractNum w:abstractNumId="1">
    <w:nsid w:val="FFFFFF7D"/>
    <w:multiLevelType w:val="singleLevel"/>
    <w:tmpl w:val="23421662"/>
    <w:lvl w:ilvl="0">
      <w:start w:val="1"/>
      <w:numFmt w:val="decimal"/>
      <w:lvlText w:val="%1."/>
      <w:lvlJc w:val="left"/>
      <w:pPr>
        <w:tabs>
          <w:tab w:val="num" w:pos="1440"/>
        </w:tabs>
        <w:ind w:left="1440" w:hanging="360"/>
      </w:pPr>
    </w:lvl>
  </w:abstractNum>
  <w:abstractNum w:abstractNumId="2">
    <w:nsid w:val="FFFFFF7E"/>
    <w:multiLevelType w:val="singleLevel"/>
    <w:tmpl w:val="81B2FB8E"/>
    <w:lvl w:ilvl="0">
      <w:start w:val="1"/>
      <w:numFmt w:val="decimal"/>
      <w:lvlText w:val="%1."/>
      <w:lvlJc w:val="left"/>
      <w:pPr>
        <w:tabs>
          <w:tab w:val="num" w:pos="1080"/>
        </w:tabs>
        <w:ind w:left="1080" w:hanging="360"/>
      </w:pPr>
    </w:lvl>
  </w:abstractNum>
  <w:abstractNum w:abstractNumId="3">
    <w:nsid w:val="FFFFFF7F"/>
    <w:multiLevelType w:val="singleLevel"/>
    <w:tmpl w:val="02C474F0"/>
    <w:lvl w:ilvl="0">
      <w:start w:val="1"/>
      <w:numFmt w:val="decimal"/>
      <w:lvlText w:val="%1."/>
      <w:lvlJc w:val="left"/>
      <w:pPr>
        <w:tabs>
          <w:tab w:val="num" w:pos="720"/>
        </w:tabs>
        <w:ind w:left="720" w:hanging="360"/>
      </w:pPr>
    </w:lvl>
  </w:abstractNum>
  <w:abstractNum w:abstractNumId="4">
    <w:nsid w:val="FFFFFF80"/>
    <w:multiLevelType w:val="singleLevel"/>
    <w:tmpl w:val="55AE57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7648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0801E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40F8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F47286"/>
    <w:lvl w:ilvl="0">
      <w:start w:val="1"/>
      <w:numFmt w:val="decimal"/>
      <w:lvlText w:val="%1."/>
      <w:lvlJc w:val="left"/>
      <w:pPr>
        <w:tabs>
          <w:tab w:val="num" w:pos="360"/>
        </w:tabs>
        <w:ind w:left="360" w:hanging="360"/>
      </w:pPr>
    </w:lvl>
  </w:abstractNum>
  <w:abstractNum w:abstractNumId="9">
    <w:nsid w:val="FFFFFF89"/>
    <w:multiLevelType w:val="singleLevel"/>
    <w:tmpl w:val="214A7B7E"/>
    <w:lvl w:ilvl="0">
      <w:start w:val="1"/>
      <w:numFmt w:val="bullet"/>
      <w:lvlText w:val=""/>
      <w:lvlJc w:val="left"/>
      <w:pPr>
        <w:tabs>
          <w:tab w:val="num" w:pos="360"/>
        </w:tabs>
        <w:ind w:left="360" w:hanging="360"/>
      </w:pPr>
      <w:rPr>
        <w:rFonts w:ascii="Symbol" w:hAnsi="Symbol" w:hint="default"/>
      </w:rPr>
    </w:lvl>
  </w:abstractNum>
  <w:abstractNum w:abstractNumId="10">
    <w:nsid w:val="00475032"/>
    <w:multiLevelType w:val="multilevel"/>
    <w:tmpl w:val="64081C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1">
    <w:nsid w:val="1F47204D"/>
    <w:multiLevelType w:val="hybridMultilevel"/>
    <w:tmpl w:val="8562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8531C"/>
    <w:multiLevelType w:val="hybridMultilevel"/>
    <w:tmpl w:val="64081C0A"/>
    <w:lvl w:ilvl="0" w:tplc="C844907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11F2EF8"/>
    <w:multiLevelType w:val="multilevel"/>
    <w:tmpl w:val="02B075B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4">
    <w:nsid w:val="445E0D40"/>
    <w:multiLevelType w:val="hybridMultilevel"/>
    <w:tmpl w:val="02B07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58B2F8A"/>
    <w:multiLevelType w:val="hybridMultilevel"/>
    <w:tmpl w:val="0656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6165F"/>
    <w:multiLevelType w:val="hybridMultilevel"/>
    <w:tmpl w:val="D6BC8748"/>
    <w:lvl w:ilvl="0" w:tplc="6394B7FE">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E99325F"/>
    <w:multiLevelType w:val="hybridMultilevel"/>
    <w:tmpl w:val="4C48FED0"/>
    <w:lvl w:ilvl="0" w:tplc="C9C2BB98">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17"/>
  </w:num>
  <w:num w:numId="2">
    <w:abstractNumId w:val="14"/>
  </w:num>
  <w:num w:numId="3">
    <w:abstractNumId w:val="15"/>
  </w:num>
  <w:num w:numId="4">
    <w:abstractNumId w:val="11"/>
  </w:num>
  <w:num w:numId="5">
    <w:abstractNumId w:val="13"/>
  </w:num>
  <w:num w:numId="6">
    <w:abstractNumId w:val="12"/>
  </w:num>
  <w:num w:numId="7">
    <w:abstractNumId w:val="10"/>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EFF"/>
    <w:rsid w:val="000B1FA7"/>
    <w:rsid w:val="001B6181"/>
    <w:rsid w:val="00296046"/>
    <w:rsid w:val="00344C88"/>
    <w:rsid w:val="004D2C34"/>
    <w:rsid w:val="007316BD"/>
    <w:rsid w:val="00764872"/>
    <w:rsid w:val="007A3195"/>
    <w:rsid w:val="008343BA"/>
    <w:rsid w:val="009876CE"/>
    <w:rsid w:val="00A50083"/>
    <w:rsid w:val="00A96295"/>
    <w:rsid w:val="00B248D4"/>
    <w:rsid w:val="00DC65BC"/>
    <w:rsid w:val="00E6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EFF"/>
    <w:rPr>
      <w:rFonts w:eastAsia="Times New Roman"/>
      <w:sz w:val="24"/>
    </w:rPr>
  </w:style>
  <w:style w:type="paragraph" w:styleId="Heading1">
    <w:name w:val="heading 1"/>
    <w:basedOn w:val="Normal"/>
    <w:next w:val="Normal"/>
    <w:autoRedefine/>
    <w:qFormat/>
    <w:rsid w:val="00E63EFF"/>
    <w:pPr>
      <w:keepNext/>
      <w:spacing w:after="240"/>
      <w:ind w:left="720" w:hanging="720"/>
      <w:outlineLvl w:val="0"/>
    </w:pPr>
    <w:rPr>
      <w:rFonts w:ascii="Times New Roman Bold" w:hAnsi="Times New Roman Bold"/>
      <w:b/>
      <w:caps/>
    </w:rPr>
  </w:style>
  <w:style w:type="paragraph" w:styleId="Heading2">
    <w:name w:val="heading 2"/>
    <w:basedOn w:val="Normal"/>
    <w:next w:val="Normal"/>
    <w:link w:val="Heading2Char"/>
    <w:autoRedefine/>
    <w:unhideWhenUsed/>
    <w:qFormat/>
    <w:rsid w:val="00E63EFF"/>
    <w:pPr>
      <w:keepNext/>
      <w:spacing w:after="240"/>
      <w:ind w:left="1440" w:right="720" w:hanging="720"/>
      <w:outlineLvl w:val="1"/>
    </w:pPr>
    <w:rPr>
      <w:rFonts w:ascii="Times New Roman Bold" w:hAnsi="Times New Roman Bold"/>
      <w:b/>
      <w:bCs/>
      <w:iCs/>
      <w:szCs w:val="28"/>
    </w:rPr>
  </w:style>
  <w:style w:type="paragraph" w:styleId="Heading3">
    <w:name w:val="heading 3"/>
    <w:basedOn w:val="Normal"/>
    <w:next w:val="Normal"/>
    <w:autoRedefine/>
    <w:qFormat/>
    <w:rsid w:val="00344C88"/>
    <w:pPr>
      <w:keepNext/>
      <w:spacing w:line="480" w:lineRule="auto"/>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link w:val="HTMLPreformatted"/>
    <w:semiHidden/>
    <w:locked/>
    <w:rPr>
      <w:rFonts w:ascii="Courier New" w:eastAsia="Courier New" w:hAnsi="Courier New" w:cs="Courier New"/>
      <w:lang w:val="en-US" w:eastAsia="en-US" w:bidi="ar-SA"/>
    </w:rPr>
  </w:style>
  <w:style w:type="paragraph" w:styleId="FootnoteText">
    <w:name w:val="footnote text"/>
    <w:basedOn w:val="Normal"/>
    <w:link w:val="FootnoteTextChar"/>
    <w:semiHidden/>
    <w:pPr>
      <w:spacing w:before="120"/>
    </w:pPr>
    <w:rPr>
      <w:sz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ListParagraph">
    <w:name w:val="List Paragraph"/>
    <w:basedOn w:val="Normal"/>
    <w:link w:val="ListParagraphChar"/>
    <w:qFormat/>
    <w:pPr>
      <w:spacing w:after="200" w:line="276" w:lineRule="auto"/>
      <w:ind w:left="720"/>
      <w:contextualSpacing/>
    </w:pPr>
    <w:rPr>
      <w:rFonts w:ascii="Calibri" w:eastAsia="Calibri" w:hAnsi="Calibri"/>
      <w:sz w:val="20"/>
    </w:rPr>
  </w:style>
  <w:style w:type="character" w:customStyle="1" w:styleId="HeaderChar">
    <w:name w:val="Header Char"/>
    <w:link w:val="Header"/>
    <w:locked/>
    <w:rPr>
      <w:sz w:val="24"/>
      <w:lang w:val="en-US" w:eastAsia="en-US" w:bidi="ar-SA"/>
    </w:rPr>
  </w:style>
  <w:style w:type="character" w:customStyle="1" w:styleId="ListParagraphChar">
    <w:name w:val="List Paragraph Char"/>
    <w:link w:val="ListParagraph"/>
    <w:locked/>
    <w:rPr>
      <w:rFonts w:ascii="Calibri" w:eastAsia="Calibri" w:hAnsi="Calibri"/>
      <w:lang w:val="en-US" w:eastAsia="en-US" w:bidi="ar-SA"/>
    </w:rPr>
  </w:style>
  <w:style w:type="character" w:customStyle="1" w:styleId="FootnoteTextChar">
    <w:name w:val="Footnote Text Char"/>
    <w:link w:val="FootnoteText"/>
    <w:semiHidden/>
    <w:locked/>
    <w:rPr>
      <w:lang w:val="en-US" w:eastAsia="en-US" w:bidi="ar-SA"/>
    </w:rPr>
  </w:style>
  <w:style w:type="paragraph" w:styleId="BodyTextIndent3">
    <w:name w:val="Body Text Indent 3"/>
    <w:basedOn w:val="Normal"/>
    <w:pPr>
      <w:spacing w:line="480" w:lineRule="atLeast"/>
      <w:ind w:firstLine="720"/>
    </w:pPr>
  </w:style>
  <w:style w:type="paragraph" w:styleId="BodyText">
    <w:name w:val="Body Text"/>
    <w:basedOn w:val="Normal"/>
    <w:link w:val="BodyTextChar"/>
    <w:pPr>
      <w:spacing w:after="120"/>
    </w:pPr>
    <w:rPr>
      <w:sz w:val="20"/>
    </w:rPr>
  </w:style>
  <w:style w:type="character" w:styleId="Hyperlink">
    <w:name w:val="Hyperlink"/>
    <w:uiPriority w:val="99"/>
    <w:rPr>
      <w:color w:val="0000FF"/>
      <w:u w:val="single"/>
    </w:rPr>
  </w:style>
  <w:style w:type="paragraph" w:styleId="CommentText">
    <w:name w:val="annotation text"/>
    <w:basedOn w:val="Normal"/>
    <w:link w:val="CommentTextChar"/>
    <w:semiHidden/>
    <w:rPr>
      <w:sz w:val="20"/>
    </w:rPr>
  </w:style>
  <w:style w:type="character" w:customStyle="1" w:styleId="CharChar4">
    <w:name w:val="Char Char4"/>
    <w:semiHidden/>
    <w:locked/>
    <w:rPr>
      <w:lang w:val="en-US" w:eastAsia="en-US" w:bidi="ar-SA"/>
    </w:rPr>
  </w:style>
  <w:style w:type="character" w:customStyle="1" w:styleId="CharChar1">
    <w:name w:val="Char Char1"/>
    <w:semiHidden/>
    <w:locked/>
    <w:rPr>
      <w:lang w:val="en-US" w:eastAsia="en-US" w:bidi="ar-SA"/>
    </w:rPr>
  </w:style>
  <w:style w:type="character" w:customStyle="1" w:styleId="Heading2Char">
    <w:name w:val="Heading 2 Char"/>
    <w:link w:val="Heading2"/>
    <w:rsid w:val="00E63EFF"/>
    <w:rPr>
      <w:rFonts w:ascii="Times New Roman Bold" w:eastAsia="Times New Roman" w:hAnsi="Times New Roman Bold" w:cs="Times New Roman"/>
      <w:b/>
      <w:bCs/>
      <w:iCs/>
      <w:sz w:val="24"/>
      <w:szCs w:val="28"/>
    </w:rPr>
  </w:style>
  <w:style w:type="character" w:customStyle="1" w:styleId="BodyTextChar">
    <w:name w:val="Body Text Char"/>
    <w:link w:val="BodyText"/>
    <w:rsid w:val="00E63EFF"/>
    <w:rPr>
      <w:rFonts w:eastAsia="Times New Roman"/>
    </w:rPr>
  </w:style>
  <w:style w:type="character" w:customStyle="1" w:styleId="CommentTextChar">
    <w:name w:val="Comment Text Char"/>
    <w:link w:val="CommentText"/>
    <w:semiHidden/>
    <w:rsid w:val="00E63EFF"/>
    <w:rPr>
      <w:rFonts w:eastAsia="Times New Roman"/>
    </w:rPr>
  </w:style>
  <w:style w:type="character" w:customStyle="1" w:styleId="FooterChar">
    <w:name w:val="Footer Char"/>
    <w:link w:val="Footer"/>
    <w:uiPriority w:val="99"/>
    <w:rsid w:val="00296046"/>
    <w:rPr>
      <w:rFonts w:eastAsia="Times New Roman"/>
      <w:sz w:val="24"/>
    </w:rPr>
  </w:style>
  <w:style w:type="paragraph" w:styleId="BalloonText">
    <w:name w:val="Balloon Text"/>
    <w:basedOn w:val="Normal"/>
    <w:link w:val="BalloonTextChar"/>
    <w:rsid w:val="00B248D4"/>
    <w:rPr>
      <w:rFonts w:ascii="Tahoma" w:hAnsi="Tahoma" w:cs="Tahoma"/>
      <w:sz w:val="16"/>
      <w:szCs w:val="16"/>
    </w:rPr>
  </w:style>
  <w:style w:type="paragraph" w:styleId="TOC1">
    <w:name w:val="toc 1"/>
    <w:basedOn w:val="Normal"/>
    <w:next w:val="Normal"/>
    <w:autoRedefine/>
    <w:uiPriority w:val="39"/>
    <w:qFormat/>
    <w:rsid w:val="00296046"/>
    <w:pPr>
      <w:tabs>
        <w:tab w:val="left" w:pos="720"/>
        <w:tab w:val="decimal" w:leader="dot" w:pos="8640"/>
      </w:tabs>
      <w:spacing w:after="240"/>
      <w:ind w:left="720" w:hanging="720"/>
    </w:pPr>
  </w:style>
  <w:style w:type="paragraph" w:styleId="TOC2">
    <w:name w:val="toc 2"/>
    <w:basedOn w:val="Normal"/>
    <w:next w:val="Normal"/>
    <w:autoRedefine/>
    <w:uiPriority w:val="39"/>
    <w:qFormat/>
    <w:rsid w:val="00296046"/>
    <w:pPr>
      <w:tabs>
        <w:tab w:val="left" w:pos="720"/>
        <w:tab w:val="decimal" w:leader="dot" w:pos="8640"/>
      </w:tabs>
      <w:spacing w:after="240"/>
      <w:ind w:left="1440" w:hanging="720"/>
    </w:pPr>
  </w:style>
  <w:style w:type="character" w:customStyle="1" w:styleId="BalloonTextChar">
    <w:name w:val="Balloon Text Char"/>
    <w:link w:val="BalloonText"/>
    <w:rsid w:val="00B248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ter@occ.state.oh.us" TargetMode="External"/><Relationship Id="rId13" Type="http://schemas.openxmlformats.org/officeDocument/2006/relationships/header" Target="header3.xml"/><Relationship Id="rId18" Type="http://schemas.openxmlformats.org/officeDocument/2006/relationships/hyperlink" Target="mailto:William.wright@puc.state.oh.us" TargetMode="External"/><Relationship Id="rId26" Type="http://schemas.openxmlformats.org/officeDocument/2006/relationships/hyperlink" Target="mailto:callwein@wamenergylaw.com" TargetMode="External"/><Relationship Id="rId3" Type="http://schemas.microsoft.com/office/2007/relationships/stylesWithEffects" Target="stylesWithEffects.xml"/><Relationship Id="rId21" Type="http://schemas.openxmlformats.org/officeDocument/2006/relationships/hyperlink" Target="mailto:Randall.griffin@dplinc.com" TargetMode="External"/><Relationship Id="rId34" Type="http://schemas.openxmlformats.org/officeDocument/2006/relationships/hyperlink" Target="mailto:mpritchard@mwncmh.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tter@occ.state.oh.us" TargetMode="External"/><Relationship Id="rId25" Type="http://schemas.openxmlformats.org/officeDocument/2006/relationships/hyperlink" Target="mailto:rkelter@elpc.org" TargetMode="External"/><Relationship Id="rId33" Type="http://schemas.openxmlformats.org/officeDocument/2006/relationships/hyperlink" Target="mailto:joliker@mwncmh.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Judi.sobecki@dplinc.com" TargetMode="External"/><Relationship Id="rId29" Type="http://schemas.openxmlformats.org/officeDocument/2006/relationships/hyperlink" Target="mailto:Nolan@theoec.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obinson@citizenpower.com" TargetMode="External"/><Relationship Id="rId32" Type="http://schemas.openxmlformats.org/officeDocument/2006/relationships/hyperlink" Target="mailto:fdarr@mwncmh.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Amy.Spiller@duke-energy.com" TargetMode="External"/><Relationship Id="rId28" Type="http://schemas.openxmlformats.org/officeDocument/2006/relationships/hyperlink" Target="mailto:jkyler@BKLlawfirm.com"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burkj@firstenergycorp.com" TargetMode="External"/><Relationship Id="rId31" Type="http://schemas.openxmlformats.org/officeDocument/2006/relationships/hyperlink" Target="mailto:sam@mwncmh.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tnourse@aep.com" TargetMode="External"/><Relationship Id="rId27" Type="http://schemas.openxmlformats.org/officeDocument/2006/relationships/hyperlink" Target="mailto:mkurtz@BKLlawfirm.com" TargetMode="External"/><Relationship Id="rId30" Type="http://schemas.openxmlformats.org/officeDocument/2006/relationships/hyperlink" Target="mailto:trent@theoec.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3964</Words>
  <Characters>22501</Characters>
  <Application>Microsoft Office Word</Application>
  <DocSecurity>0</DocSecurity>
  <Lines>553</Lines>
  <Paragraphs>201</Paragraphs>
  <ScaleCrop>false</ScaleCrop>
  <HeadingPairs>
    <vt:vector size="2" baseType="variant">
      <vt:variant>
        <vt:lpstr>Title</vt:lpstr>
      </vt:variant>
      <vt:variant>
        <vt:i4>1</vt:i4>
      </vt:variant>
    </vt:vector>
  </HeadingPairs>
  <TitlesOfParts>
    <vt:vector size="1" baseType="lpstr">
      <vt:lpstr>BEFORE</vt:lpstr>
    </vt:vector>
  </TitlesOfParts>
  <Manager/>
  <Company/>
  <LinksUpToDate>false</LinksUpToDate>
  <CharactersWithSpaces>26469</CharactersWithSpaces>
  <SharedDoc>false</SharedDoc>
  <HyperlinkBase> </HyperlinkBase>
  <HLinks>
    <vt:vector size="186" baseType="variant">
      <vt:variant>
        <vt:i4>2162714</vt:i4>
      </vt:variant>
      <vt:variant>
        <vt:i4>129</vt:i4>
      </vt:variant>
      <vt:variant>
        <vt:i4>0</vt:i4>
      </vt:variant>
      <vt:variant>
        <vt:i4>5</vt:i4>
      </vt:variant>
      <vt:variant>
        <vt:lpwstr>mailto:mpritchard@mwncmh.com</vt:lpwstr>
      </vt:variant>
      <vt:variant>
        <vt:lpwstr/>
      </vt:variant>
      <vt:variant>
        <vt:i4>5374070</vt:i4>
      </vt:variant>
      <vt:variant>
        <vt:i4>126</vt:i4>
      </vt:variant>
      <vt:variant>
        <vt:i4>0</vt:i4>
      </vt:variant>
      <vt:variant>
        <vt:i4>5</vt:i4>
      </vt:variant>
      <vt:variant>
        <vt:lpwstr>mailto:joliker@mwncmh.com</vt:lpwstr>
      </vt:variant>
      <vt:variant>
        <vt:lpwstr/>
      </vt:variant>
      <vt:variant>
        <vt:i4>3670019</vt:i4>
      </vt:variant>
      <vt:variant>
        <vt:i4>123</vt:i4>
      </vt:variant>
      <vt:variant>
        <vt:i4>0</vt:i4>
      </vt:variant>
      <vt:variant>
        <vt:i4>5</vt:i4>
      </vt:variant>
      <vt:variant>
        <vt:lpwstr>mailto:fdarr@mwncmh.com</vt:lpwstr>
      </vt:variant>
      <vt:variant>
        <vt:lpwstr/>
      </vt:variant>
      <vt:variant>
        <vt:i4>5439604</vt:i4>
      </vt:variant>
      <vt:variant>
        <vt:i4>120</vt:i4>
      </vt:variant>
      <vt:variant>
        <vt:i4>0</vt:i4>
      </vt:variant>
      <vt:variant>
        <vt:i4>5</vt:i4>
      </vt:variant>
      <vt:variant>
        <vt:lpwstr>mailto:sam@mwncmh.com</vt:lpwstr>
      </vt:variant>
      <vt:variant>
        <vt:lpwstr/>
      </vt:variant>
      <vt:variant>
        <vt:i4>3080221</vt:i4>
      </vt:variant>
      <vt:variant>
        <vt:i4>117</vt:i4>
      </vt:variant>
      <vt:variant>
        <vt:i4>0</vt:i4>
      </vt:variant>
      <vt:variant>
        <vt:i4>5</vt:i4>
      </vt:variant>
      <vt:variant>
        <vt:lpwstr>mailto:trent@theoec.org</vt:lpwstr>
      </vt:variant>
      <vt:variant>
        <vt:lpwstr/>
      </vt:variant>
      <vt:variant>
        <vt:i4>2490383</vt:i4>
      </vt:variant>
      <vt:variant>
        <vt:i4>114</vt:i4>
      </vt:variant>
      <vt:variant>
        <vt:i4>0</vt:i4>
      </vt:variant>
      <vt:variant>
        <vt:i4>5</vt:i4>
      </vt:variant>
      <vt:variant>
        <vt:lpwstr>mailto:Nolan@theoec.org</vt:lpwstr>
      </vt:variant>
      <vt:variant>
        <vt:lpwstr/>
      </vt:variant>
      <vt:variant>
        <vt:i4>3014661</vt:i4>
      </vt:variant>
      <vt:variant>
        <vt:i4>111</vt:i4>
      </vt:variant>
      <vt:variant>
        <vt:i4>0</vt:i4>
      </vt:variant>
      <vt:variant>
        <vt:i4>5</vt:i4>
      </vt:variant>
      <vt:variant>
        <vt:lpwstr>mailto:jkyler@BKLlawfirm.com</vt:lpwstr>
      </vt:variant>
      <vt:variant>
        <vt:lpwstr/>
      </vt:variant>
      <vt:variant>
        <vt:i4>3407891</vt:i4>
      </vt:variant>
      <vt:variant>
        <vt:i4>108</vt:i4>
      </vt:variant>
      <vt:variant>
        <vt:i4>0</vt:i4>
      </vt:variant>
      <vt:variant>
        <vt:i4>5</vt:i4>
      </vt:variant>
      <vt:variant>
        <vt:lpwstr>mailto:mkurtz@BKLlawfirm.com</vt:lpwstr>
      </vt:variant>
      <vt:variant>
        <vt:lpwstr/>
      </vt:variant>
      <vt:variant>
        <vt:i4>2097171</vt:i4>
      </vt:variant>
      <vt:variant>
        <vt:i4>105</vt:i4>
      </vt:variant>
      <vt:variant>
        <vt:i4>0</vt:i4>
      </vt:variant>
      <vt:variant>
        <vt:i4>5</vt:i4>
      </vt:variant>
      <vt:variant>
        <vt:lpwstr>mailto:callwein@wamenergylaw.com</vt:lpwstr>
      </vt:variant>
      <vt:variant>
        <vt:lpwstr/>
      </vt:variant>
      <vt:variant>
        <vt:i4>3604505</vt:i4>
      </vt:variant>
      <vt:variant>
        <vt:i4>102</vt:i4>
      </vt:variant>
      <vt:variant>
        <vt:i4>0</vt:i4>
      </vt:variant>
      <vt:variant>
        <vt:i4>5</vt:i4>
      </vt:variant>
      <vt:variant>
        <vt:lpwstr>mailto:Robertkelter@citizensutilityboard.org</vt:lpwstr>
      </vt:variant>
      <vt:variant>
        <vt:lpwstr/>
      </vt:variant>
      <vt:variant>
        <vt:i4>2949145</vt:i4>
      </vt:variant>
      <vt:variant>
        <vt:i4>99</vt:i4>
      </vt:variant>
      <vt:variant>
        <vt:i4>0</vt:i4>
      </vt:variant>
      <vt:variant>
        <vt:i4>5</vt:i4>
      </vt:variant>
      <vt:variant>
        <vt:lpwstr>mailto:robinson@citizenpower.com</vt:lpwstr>
      </vt:variant>
      <vt:variant>
        <vt:lpwstr/>
      </vt:variant>
      <vt:variant>
        <vt:i4>3604486</vt:i4>
      </vt:variant>
      <vt:variant>
        <vt:i4>96</vt:i4>
      </vt:variant>
      <vt:variant>
        <vt:i4>0</vt:i4>
      </vt:variant>
      <vt:variant>
        <vt:i4>5</vt:i4>
      </vt:variant>
      <vt:variant>
        <vt:lpwstr>mailto:Amy.Spiller@duke-energy.com</vt:lpwstr>
      </vt:variant>
      <vt:variant>
        <vt:lpwstr/>
      </vt:variant>
      <vt:variant>
        <vt:i4>1900596</vt:i4>
      </vt:variant>
      <vt:variant>
        <vt:i4>93</vt:i4>
      </vt:variant>
      <vt:variant>
        <vt:i4>0</vt:i4>
      </vt:variant>
      <vt:variant>
        <vt:i4>5</vt:i4>
      </vt:variant>
      <vt:variant>
        <vt:lpwstr>mailto:stnourse@aep.com</vt:lpwstr>
      </vt:variant>
      <vt:variant>
        <vt:lpwstr/>
      </vt:variant>
      <vt:variant>
        <vt:i4>5373993</vt:i4>
      </vt:variant>
      <vt:variant>
        <vt:i4>90</vt:i4>
      </vt:variant>
      <vt:variant>
        <vt:i4>0</vt:i4>
      </vt:variant>
      <vt:variant>
        <vt:i4>5</vt:i4>
      </vt:variant>
      <vt:variant>
        <vt:lpwstr>mailto:Randall.griffin@dplinc.com</vt:lpwstr>
      </vt:variant>
      <vt:variant>
        <vt:lpwstr/>
      </vt:variant>
      <vt:variant>
        <vt:i4>1507434</vt:i4>
      </vt:variant>
      <vt:variant>
        <vt:i4>87</vt:i4>
      </vt:variant>
      <vt:variant>
        <vt:i4>0</vt:i4>
      </vt:variant>
      <vt:variant>
        <vt:i4>5</vt:i4>
      </vt:variant>
      <vt:variant>
        <vt:lpwstr>mailto:Judi.sobecki@dplinc.com</vt:lpwstr>
      </vt:variant>
      <vt:variant>
        <vt:lpwstr/>
      </vt:variant>
      <vt:variant>
        <vt:i4>786489</vt:i4>
      </vt:variant>
      <vt:variant>
        <vt:i4>84</vt:i4>
      </vt:variant>
      <vt:variant>
        <vt:i4>0</vt:i4>
      </vt:variant>
      <vt:variant>
        <vt:i4>5</vt:i4>
      </vt:variant>
      <vt:variant>
        <vt:lpwstr>mailto:burkj@firstenergycorp.com</vt:lpwstr>
      </vt:variant>
      <vt:variant>
        <vt:lpwstr/>
      </vt:variant>
      <vt:variant>
        <vt:i4>2293828</vt:i4>
      </vt:variant>
      <vt:variant>
        <vt:i4>81</vt:i4>
      </vt:variant>
      <vt:variant>
        <vt:i4>0</vt:i4>
      </vt:variant>
      <vt:variant>
        <vt:i4>5</vt:i4>
      </vt:variant>
      <vt:variant>
        <vt:lpwstr>mailto:William.wright@puc.state.oh.us</vt:lpwstr>
      </vt:variant>
      <vt:variant>
        <vt:lpwstr/>
      </vt:variant>
      <vt:variant>
        <vt:i4>4718693</vt:i4>
      </vt:variant>
      <vt:variant>
        <vt:i4>78</vt:i4>
      </vt:variant>
      <vt:variant>
        <vt:i4>0</vt:i4>
      </vt:variant>
      <vt:variant>
        <vt:i4>5</vt:i4>
      </vt:variant>
      <vt:variant>
        <vt:lpwstr>mailto:etter@occ.state.oh.us</vt:lpwstr>
      </vt:variant>
      <vt:variant>
        <vt:lpwstr/>
      </vt:variant>
      <vt:variant>
        <vt:i4>1048636</vt:i4>
      </vt:variant>
      <vt:variant>
        <vt:i4>71</vt:i4>
      </vt:variant>
      <vt:variant>
        <vt:i4>0</vt:i4>
      </vt:variant>
      <vt:variant>
        <vt:i4>5</vt:i4>
      </vt:variant>
      <vt:variant>
        <vt:lpwstr/>
      </vt:variant>
      <vt:variant>
        <vt:lpwstr>_Toc339632509</vt:lpwstr>
      </vt:variant>
      <vt:variant>
        <vt:i4>1048636</vt:i4>
      </vt:variant>
      <vt:variant>
        <vt:i4>65</vt:i4>
      </vt:variant>
      <vt:variant>
        <vt:i4>0</vt:i4>
      </vt:variant>
      <vt:variant>
        <vt:i4>5</vt:i4>
      </vt:variant>
      <vt:variant>
        <vt:lpwstr/>
      </vt:variant>
      <vt:variant>
        <vt:lpwstr>_Toc339632508</vt:lpwstr>
      </vt:variant>
      <vt:variant>
        <vt:i4>1048636</vt:i4>
      </vt:variant>
      <vt:variant>
        <vt:i4>59</vt:i4>
      </vt:variant>
      <vt:variant>
        <vt:i4>0</vt:i4>
      </vt:variant>
      <vt:variant>
        <vt:i4>5</vt:i4>
      </vt:variant>
      <vt:variant>
        <vt:lpwstr/>
      </vt:variant>
      <vt:variant>
        <vt:lpwstr>_Toc339632507</vt:lpwstr>
      </vt:variant>
      <vt:variant>
        <vt:i4>1048636</vt:i4>
      </vt:variant>
      <vt:variant>
        <vt:i4>53</vt:i4>
      </vt:variant>
      <vt:variant>
        <vt:i4>0</vt:i4>
      </vt:variant>
      <vt:variant>
        <vt:i4>5</vt:i4>
      </vt:variant>
      <vt:variant>
        <vt:lpwstr/>
      </vt:variant>
      <vt:variant>
        <vt:lpwstr>_Toc339632506</vt:lpwstr>
      </vt:variant>
      <vt:variant>
        <vt:i4>1048636</vt:i4>
      </vt:variant>
      <vt:variant>
        <vt:i4>47</vt:i4>
      </vt:variant>
      <vt:variant>
        <vt:i4>0</vt:i4>
      </vt:variant>
      <vt:variant>
        <vt:i4>5</vt:i4>
      </vt:variant>
      <vt:variant>
        <vt:lpwstr/>
      </vt:variant>
      <vt:variant>
        <vt:lpwstr>_Toc339632505</vt:lpwstr>
      </vt:variant>
      <vt:variant>
        <vt:i4>1048636</vt:i4>
      </vt:variant>
      <vt:variant>
        <vt:i4>41</vt:i4>
      </vt:variant>
      <vt:variant>
        <vt:i4>0</vt:i4>
      </vt:variant>
      <vt:variant>
        <vt:i4>5</vt:i4>
      </vt:variant>
      <vt:variant>
        <vt:lpwstr/>
      </vt:variant>
      <vt:variant>
        <vt:lpwstr>_Toc339632504</vt:lpwstr>
      </vt:variant>
      <vt:variant>
        <vt:i4>1048636</vt:i4>
      </vt:variant>
      <vt:variant>
        <vt:i4>35</vt:i4>
      </vt:variant>
      <vt:variant>
        <vt:i4>0</vt:i4>
      </vt:variant>
      <vt:variant>
        <vt:i4>5</vt:i4>
      </vt:variant>
      <vt:variant>
        <vt:lpwstr/>
      </vt:variant>
      <vt:variant>
        <vt:lpwstr>_Toc339632503</vt:lpwstr>
      </vt:variant>
      <vt:variant>
        <vt:i4>1048636</vt:i4>
      </vt:variant>
      <vt:variant>
        <vt:i4>29</vt:i4>
      </vt:variant>
      <vt:variant>
        <vt:i4>0</vt:i4>
      </vt:variant>
      <vt:variant>
        <vt:i4>5</vt:i4>
      </vt:variant>
      <vt:variant>
        <vt:lpwstr/>
      </vt:variant>
      <vt:variant>
        <vt:lpwstr>_Toc339632502</vt:lpwstr>
      </vt:variant>
      <vt:variant>
        <vt:i4>1048636</vt:i4>
      </vt:variant>
      <vt:variant>
        <vt:i4>23</vt:i4>
      </vt:variant>
      <vt:variant>
        <vt:i4>0</vt:i4>
      </vt:variant>
      <vt:variant>
        <vt:i4>5</vt:i4>
      </vt:variant>
      <vt:variant>
        <vt:lpwstr/>
      </vt:variant>
      <vt:variant>
        <vt:lpwstr>_Toc339632501</vt:lpwstr>
      </vt:variant>
      <vt:variant>
        <vt:i4>1048636</vt:i4>
      </vt:variant>
      <vt:variant>
        <vt:i4>17</vt:i4>
      </vt:variant>
      <vt:variant>
        <vt:i4>0</vt:i4>
      </vt:variant>
      <vt:variant>
        <vt:i4>5</vt:i4>
      </vt:variant>
      <vt:variant>
        <vt:lpwstr/>
      </vt:variant>
      <vt:variant>
        <vt:lpwstr>_Toc339632500</vt:lpwstr>
      </vt:variant>
      <vt:variant>
        <vt:i4>1638461</vt:i4>
      </vt:variant>
      <vt:variant>
        <vt:i4>11</vt:i4>
      </vt:variant>
      <vt:variant>
        <vt:i4>0</vt:i4>
      </vt:variant>
      <vt:variant>
        <vt:i4>5</vt:i4>
      </vt:variant>
      <vt:variant>
        <vt:lpwstr/>
      </vt:variant>
      <vt:variant>
        <vt:lpwstr>_Toc339632499</vt:lpwstr>
      </vt:variant>
      <vt:variant>
        <vt:i4>1638461</vt:i4>
      </vt:variant>
      <vt:variant>
        <vt:i4>5</vt:i4>
      </vt:variant>
      <vt:variant>
        <vt:i4>0</vt:i4>
      </vt:variant>
      <vt:variant>
        <vt:i4>5</vt:i4>
      </vt:variant>
      <vt:variant>
        <vt:lpwstr/>
      </vt:variant>
      <vt:variant>
        <vt:lpwstr>_Toc339632498</vt:lpwstr>
      </vt:variant>
      <vt:variant>
        <vt:i4>4718693</vt:i4>
      </vt:variant>
      <vt:variant>
        <vt:i4>0</vt:i4>
      </vt:variant>
      <vt:variant>
        <vt:i4>0</vt:i4>
      </vt:variant>
      <vt:variant>
        <vt:i4>5</vt:i4>
      </vt:variant>
      <vt:variant>
        <vt:lpwstr>mailto:etter@occ.state.oh.us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2012-11-02T19:13:00Z</cp:lastPrinted>
  <dcterms:created xsi:type="dcterms:W3CDTF">2012-11-02T20:32:00Z</dcterms:created>
  <dcterms:modified xsi:type="dcterms:W3CDTF">2012-11-02T20:32:00Z</dcterms:modified>
  <cp:category> </cp:category>
  <cp:contentStatus> </cp:contentStatus>
</cp:coreProperties>
</file>