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F4" w:rsidRPr="00B97AFE" w:rsidRDefault="00B97AFE" w:rsidP="00FD114E">
      <w:pPr>
        <w:jc w:val="center"/>
        <w:rPr>
          <w:rFonts w:ascii="Arial Bold" w:hAnsi="Arial Bold"/>
          <w:b/>
          <w:smallCaps/>
          <w:sz w:val="28"/>
          <w:szCs w:val="28"/>
        </w:rPr>
      </w:pPr>
      <w:r w:rsidRPr="00B97AFE">
        <w:rPr>
          <w:rFonts w:ascii="Arial Bold" w:hAnsi="Arial Bold"/>
          <w:b/>
          <w:smallCaps/>
          <w:sz w:val="28"/>
          <w:szCs w:val="28"/>
        </w:rPr>
        <w:t>Before</w:t>
      </w:r>
    </w:p>
    <w:p w:rsidR="00FD114E" w:rsidRPr="00B97AFE" w:rsidRDefault="00B97AFE" w:rsidP="00FD114E">
      <w:pPr>
        <w:jc w:val="center"/>
        <w:rPr>
          <w:rFonts w:ascii="Arial Bold" w:hAnsi="Arial Bold"/>
          <w:smallCaps/>
          <w:sz w:val="28"/>
          <w:szCs w:val="28"/>
        </w:rPr>
      </w:pPr>
      <w:r w:rsidRPr="00B97AFE">
        <w:rPr>
          <w:rFonts w:ascii="Arial Bold" w:hAnsi="Arial Bold"/>
          <w:b/>
          <w:smallCaps/>
          <w:sz w:val="28"/>
          <w:szCs w:val="28"/>
        </w:rPr>
        <w:t>The Public Utilities Commission of Ohio</w:t>
      </w:r>
    </w:p>
    <w:p w:rsidR="00274E98" w:rsidRDefault="00274E98"/>
    <w:p w:rsidR="00274E98" w:rsidRDefault="00274E98"/>
    <w:p w:rsidR="00FD114E" w:rsidRPr="00FD114E" w:rsidRDefault="00FD114E" w:rsidP="00B97AFE">
      <w:pPr>
        <w:tabs>
          <w:tab w:val="left" w:pos="4680"/>
          <w:tab w:val="left" w:pos="5220"/>
        </w:tabs>
        <w:autoSpaceDE w:val="0"/>
        <w:autoSpaceDN w:val="0"/>
        <w:adjustRightInd w:val="0"/>
        <w:rPr>
          <w:rFonts w:cs="Arial"/>
        </w:rPr>
      </w:pPr>
      <w:r w:rsidRPr="00FD114E">
        <w:rPr>
          <w:rFonts w:cs="Arial"/>
        </w:rPr>
        <w:t>In the Matter of the Commission</w:t>
      </w:r>
      <w:r w:rsidR="003E1F72">
        <w:rPr>
          <w:rFonts w:cs="Arial"/>
        </w:rPr>
        <w:t>’</w:t>
      </w:r>
      <w:r w:rsidRPr="00FD114E">
        <w:rPr>
          <w:rFonts w:cs="Arial"/>
        </w:rPr>
        <w:t>s Review</w:t>
      </w:r>
      <w:r>
        <w:rPr>
          <w:rFonts w:cs="Arial"/>
        </w:rPr>
        <w:tab/>
        <w:t>)</w:t>
      </w:r>
    </w:p>
    <w:p w:rsidR="00FD114E" w:rsidRPr="00FD114E" w:rsidRDefault="00FD114E" w:rsidP="00B97AFE">
      <w:pPr>
        <w:tabs>
          <w:tab w:val="left" w:pos="4680"/>
          <w:tab w:val="left" w:pos="5220"/>
        </w:tabs>
        <w:autoSpaceDE w:val="0"/>
        <w:autoSpaceDN w:val="0"/>
        <w:adjustRightInd w:val="0"/>
        <w:rPr>
          <w:rFonts w:cs="Arial"/>
        </w:rPr>
      </w:pPr>
      <w:r w:rsidRPr="00FD114E">
        <w:rPr>
          <w:rFonts w:cs="Arial"/>
        </w:rPr>
        <w:t>of Customer Rate Impacts from Ohio</w:t>
      </w:r>
      <w:r>
        <w:rPr>
          <w:rFonts w:cs="Arial"/>
        </w:rPr>
        <w:tab/>
        <w:t>)</w:t>
      </w:r>
      <w:r>
        <w:rPr>
          <w:rFonts w:cs="Arial"/>
        </w:rPr>
        <w:tab/>
        <w:t>Case No. 13-15</w:t>
      </w:r>
      <w:r w:rsidR="00350B0D">
        <w:rPr>
          <w:rFonts w:cs="Arial"/>
        </w:rPr>
        <w:t>3</w:t>
      </w:r>
      <w:r>
        <w:rPr>
          <w:rFonts w:cs="Arial"/>
        </w:rPr>
        <w:t>0-EL-UNC</w:t>
      </w:r>
    </w:p>
    <w:p w:rsidR="00FD114E" w:rsidRPr="00FD114E" w:rsidRDefault="00FD114E" w:rsidP="00B97AFE">
      <w:pPr>
        <w:tabs>
          <w:tab w:val="left" w:pos="4680"/>
          <w:tab w:val="left" w:pos="5220"/>
        </w:tabs>
        <w:autoSpaceDE w:val="0"/>
        <w:autoSpaceDN w:val="0"/>
        <w:adjustRightInd w:val="0"/>
        <w:rPr>
          <w:rFonts w:cs="Arial"/>
        </w:rPr>
      </w:pPr>
      <w:r w:rsidRPr="00FD114E">
        <w:rPr>
          <w:rFonts w:cs="Arial"/>
        </w:rPr>
        <w:t>Power Company</w:t>
      </w:r>
      <w:r w:rsidR="003E1F72">
        <w:rPr>
          <w:rFonts w:cs="Arial"/>
        </w:rPr>
        <w:t>’</w:t>
      </w:r>
      <w:r w:rsidRPr="00FD114E">
        <w:rPr>
          <w:rFonts w:cs="Arial"/>
        </w:rPr>
        <w:t>s Transition to Market</w:t>
      </w:r>
      <w:r>
        <w:rPr>
          <w:rFonts w:cs="Arial"/>
        </w:rPr>
        <w:tab/>
        <w:t>)</w:t>
      </w:r>
    </w:p>
    <w:p w:rsidR="00FD114E" w:rsidRDefault="00FD114E" w:rsidP="00B97AFE">
      <w:pPr>
        <w:tabs>
          <w:tab w:val="left" w:pos="4680"/>
          <w:tab w:val="left" w:pos="5220"/>
        </w:tabs>
        <w:autoSpaceDE w:val="0"/>
        <w:autoSpaceDN w:val="0"/>
        <w:adjustRightInd w:val="0"/>
      </w:pPr>
      <w:r w:rsidRPr="00FD114E">
        <w:rPr>
          <w:rFonts w:cs="Arial"/>
        </w:rPr>
        <w:t>Based Rates.</w:t>
      </w:r>
      <w:r w:rsidR="00D64020">
        <w:rPr>
          <w:rFonts w:cs="Arial"/>
        </w:rPr>
        <w:tab/>
      </w:r>
      <w:r w:rsidR="00B97AFE">
        <w:rPr>
          <w:rFonts w:cs="Arial"/>
        </w:rPr>
        <w:t>)</w:t>
      </w:r>
      <w:r>
        <w:rPr>
          <w:rFonts w:cs="Arial"/>
        </w:rPr>
        <w:tab/>
      </w:r>
    </w:p>
    <w:p w:rsidR="00FD114E" w:rsidRDefault="00FD114E"/>
    <w:p w:rsidR="007E263D" w:rsidRDefault="007E263D"/>
    <w:p w:rsidR="00B97AFE" w:rsidRDefault="00B97AFE" w:rsidP="00B97AFE">
      <w:pPr>
        <w:pBdr>
          <w:top w:val="single" w:sz="12" w:space="1" w:color="auto"/>
        </w:pBdr>
        <w:jc w:val="center"/>
        <w:rPr>
          <w:b/>
        </w:rPr>
      </w:pPr>
    </w:p>
    <w:p w:rsidR="00274E98" w:rsidRPr="00013C0B" w:rsidRDefault="00274E98" w:rsidP="00274E98">
      <w:pPr>
        <w:jc w:val="center"/>
        <w:rPr>
          <w:rFonts w:ascii="Arial Bold" w:hAnsi="Arial Bold"/>
          <w:b/>
          <w:smallCaps/>
          <w:sz w:val="28"/>
          <w:szCs w:val="28"/>
        </w:rPr>
      </w:pPr>
      <w:r w:rsidRPr="00013C0B">
        <w:rPr>
          <w:rFonts w:ascii="Arial Bold" w:hAnsi="Arial Bold"/>
          <w:b/>
          <w:smallCaps/>
          <w:sz w:val="28"/>
          <w:szCs w:val="28"/>
        </w:rPr>
        <w:t>Comments of the Industrial Energy Users-Ohio</w:t>
      </w:r>
    </w:p>
    <w:p w:rsidR="00B97AFE" w:rsidRPr="00CA02E6" w:rsidRDefault="00B97AFE" w:rsidP="00B97AFE">
      <w:pPr>
        <w:pBdr>
          <w:bottom w:val="single" w:sz="12" w:space="1" w:color="auto"/>
        </w:pBdr>
        <w:jc w:val="center"/>
        <w:rPr>
          <w:b/>
        </w:rPr>
      </w:pPr>
    </w:p>
    <w:p w:rsidR="00274E98" w:rsidRDefault="00274E98"/>
    <w:p w:rsidR="00274E98" w:rsidRPr="00D64020" w:rsidRDefault="00BE42A9" w:rsidP="0068288B">
      <w:pPr>
        <w:pStyle w:val="Heading1"/>
      </w:pPr>
      <w:r w:rsidRPr="00D64020">
        <w:t>Background</w:t>
      </w:r>
    </w:p>
    <w:p w:rsidR="00274E98" w:rsidRDefault="00274E98" w:rsidP="0096150E">
      <w:pPr>
        <w:spacing w:line="480" w:lineRule="auto"/>
        <w:jc w:val="both"/>
      </w:pPr>
      <w:r>
        <w:tab/>
      </w:r>
      <w:r w:rsidR="00FD114E">
        <w:t xml:space="preserve">This proceeding was opened on </w:t>
      </w:r>
      <w:r>
        <w:t xml:space="preserve">June 27, 2013.  The </w:t>
      </w:r>
      <w:r w:rsidR="00A21E43" w:rsidRPr="00A21E43">
        <w:rPr>
          <w:i/>
        </w:rPr>
        <w:t>Second Transition</w:t>
      </w:r>
      <w:r w:rsidR="00A21E43">
        <w:t xml:space="preserve"> </w:t>
      </w:r>
      <w:r w:rsidRPr="00CA02E6">
        <w:rPr>
          <w:i/>
        </w:rPr>
        <w:t>Entry</w:t>
      </w:r>
      <w:r w:rsidR="00CA02E6">
        <w:rPr>
          <w:rStyle w:val="FootnoteReference"/>
        </w:rPr>
        <w:footnoteReference w:id="1"/>
      </w:r>
      <w:r>
        <w:t xml:space="preserve"> issued </w:t>
      </w:r>
      <w:r w:rsidR="00CA02E6">
        <w:t xml:space="preserve">on the same day </w:t>
      </w:r>
      <w:r>
        <w:t>states:</w:t>
      </w:r>
    </w:p>
    <w:p w:rsidR="00274E98" w:rsidRPr="00CA02E6" w:rsidRDefault="00274E98" w:rsidP="00CA02E6">
      <w:pPr>
        <w:autoSpaceDE w:val="0"/>
        <w:autoSpaceDN w:val="0"/>
        <w:adjustRightInd w:val="0"/>
        <w:ind w:left="720" w:right="720"/>
        <w:jc w:val="both"/>
        <w:rPr>
          <w:rFonts w:cs="Arial"/>
        </w:rPr>
      </w:pPr>
      <w:r w:rsidRPr="00CA02E6">
        <w:rPr>
          <w:rFonts w:cs="Arial"/>
        </w:rPr>
        <w:t xml:space="preserve">By Opinion and Order issued August 8, 2012, the Commission modified and approved an application for an electric security plan (ESP) filed by Ohio Power Company (AEP-Ohio) in </w:t>
      </w:r>
      <w:r w:rsidRPr="00CA02E6">
        <w:rPr>
          <w:rFonts w:cs="Arial"/>
          <w:i/>
          <w:iCs/>
        </w:rPr>
        <w:t>In the Matter of the Application of Ohio Power Company for Authority to Establish a Standard Service Offer Pursuant to Section 4928.143, Revised Code, in the Form of an Electric Security Plan</w:t>
      </w:r>
      <w:r w:rsidRPr="00CA02E6">
        <w:rPr>
          <w:rFonts w:cs="Arial"/>
        </w:rPr>
        <w:t>, Case No. 11-346-EL-SSO (ESP Case)</w:t>
      </w:r>
      <w:r w:rsidR="008A1B6E">
        <w:rPr>
          <w:rFonts w:cs="Arial"/>
        </w:rPr>
        <w:t>,</w:t>
      </w:r>
      <w:r w:rsidR="0096150E">
        <w:rPr>
          <w:rStyle w:val="FootnoteReference"/>
          <w:rFonts w:cs="Arial"/>
        </w:rPr>
        <w:footnoteReference w:id="2"/>
      </w:r>
      <w:r w:rsidRPr="00CA02E6">
        <w:rPr>
          <w:rFonts w:cs="Arial"/>
        </w:rPr>
        <w:t xml:space="preserve"> et al. </w:t>
      </w:r>
      <w:r w:rsidR="00B97AFE">
        <w:rPr>
          <w:rFonts w:cs="Arial"/>
        </w:rPr>
        <w:t xml:space="preserve"> </w:t>
      </w:r>
      <w:r w:rsidRPr="00CA02E6">
        <w:rPr>
          <w:rFonts w:cs="Arial"/>
        </w:rPr>
        <w:t>The Opinion and Order as approved, directed the attorney examiners to establish a new docket within 90 days from the order and issue an entry establishing a procedural schedule to allow Staff and any interested party to consider means to mitigate any potential adverse rate impacts from the shift to market based rates.</w:t>
      </w:r>
      <w:r w:rsidR="00B97AFE">
        <w:rPr>
          <w:rStyle w:val="FootnoteReference"/>
          <w:rFonts w:cs="Arial"/>
        </w:rPr>
        <w:footnoteReference w:id="3"/>
      </w:r>
    </w:p>
    <w:p w:rsidR="00CA02E6" w:rsidRDefault="00CA02E6" w:rsidP="00CA02E6">
      <w:pPr>
        <w:autoSpaceDE w:val="0"/>
        <w:autoSpaceDN w:val="0"/>
        <w:adjustRightInd w:val="0"/>
      </w:pPr>
    </w:p>
    <w:p w:rsidR="00242BDE" w:rsidRDefault="00242BDE" w:rsidP="00013C0B">
      <w:pPr>
        <w:autoSpaceDE w:val="0"/>
        <w:autoSpaceDN w:val="0"/>
        <w:adjustRightInd w:val="0"/>
        <w:spacing w:line="480" w:lineRule="auto"/>
        <w:ind w:firstLine="720"/>
        <w:jc w:val="both"/>
      </w:pPr>
      <w:r>
        <w:t xml:space="preserve">As evident from the above quote, the </w:t>
      </w:r>
      <w:r w:rsidRPr="003D22CA">
        <w:rPr>
          <w:i/>
        </w:rPr>
        <w:t xml:space="preserve">Second Transition </w:t>
      </w:r>
      <w:r w:rsidRPr="0096150E">
        <w:rPr>
          <w:i/>
        </w:rPr>
        <w:t>Entry</w:t>
      </w:r>
      <w:r>
        <w:t xml:space="preserve"> references the Opinion and Order in the </w:t>
      </w:r>
      <w:r w:rsidRPr="0096150E">
        <w:rPr>
          <w:i/>
        </w:rPr>
        <w:t>ESP II Case</w:t>
      </w:r>
      <w:r>
        <w:t xml:space="preserve"> which states:</w:t>
      </w:r>
    </w:p>
    <w:p w:rsidR="00242BDE" w:rsidRDefault="00242BDE" w:rsidP="00242BDE">
      <w:pPr>
        <w:autoSpaceDE w:val="0"/>
        <w:autoSpaceDN w:val="0"/>
        <w:adjustRightInd w:val="0"/>
        <w:ind w:left="720" w:right="720"/>
        <w:jc w:val="both"/>
      </w:pPr>
      <w:r>
        <w:t>The Commission finds that AEP-Ohio</w:t>
      </w:r>
      <w:r w:rsidR="003E1F72">
        <w:t>’</w:t>
      </w:r>
      <w:r>
        <w:t>s proposed base generation rates are reasonable. We note that AEP-Ohio</w:t>
      </w:r>
      <w:r w:rsidR="003E1F72">
        <w:t>’</w:t>
      </w:r>
      <w:r>
        <w:t>s base generation rate design was generally unopposed, as most parties supported AEP-Ohio</w:t>
      </w:r>
      <w:r w:rsidR="003E1F72">
        <w:t>’</w:t>
      </w:r>
      <w:r>
        <w:t xml:space="preserve">s proposal </w:t>
      </w:r>
      <w:r>
        <w:lastRenderedPageBreak/>
        <w:t>to keep base generation rates frozen. Although OCC and APJN conclude that the base generation rate plan does not benefit customers, OCC and APJN failed to justify their assertion and offer no evidence within the record other than the fact that the modified ESP contains several riders.  Accordingly, the modified ESP</w:t>
      </w:r>
      <w:r w:rsidR="003E1F72">
        <w:t>’</w:t>
      </w:r>
      <w:r>
        <w:t>s base generation rates should be approved.  In addition, as AEP-Ohio raised the possibility of disproportionate rate impacts on customers when class rates are set by auction, we direct the attorney examiners to establish a new docket within 90 days from the date of this opinion and order and issue an entry establishing a procedural schedule to allow Staff and any interested party to consider means to mitigate any potential adverse rate impacts for customers upon rates being set by auction.  Further, the Commission reserves the right to implement a new base generation rate design on a revenue neutral basis for all customer classes at any time during the term of the modified ESP.</w:t>
      </w:r>
      <w:r>
        <w:rPr>
          <w:rStyle w:val="FootnoteReference"/>
        </w:rPr>
        <w:footnoteReference w:id="4"/>
      </w:r>
    </w:p>
    <w:p w:rsidR="00242BDE" w:rsidRDefault="00242BDE" w:rsidP="00242BDE">
      <w:pPr>
        <w:autoSpaceDE w:val="0"/>
        <w:autoSpaceDN w:val="0"/>
        <w:adjustRightInd w:val="0"/>
      </w:pPr>
    </w:p>
    <w:p w:rsidR="00F64EBB" w:rsidRDefault="00F64EBB" w:rsidP="00013C0B">
      <w:pPr>
        <w:autoSpaceDE w:val="0"/>
        <w:autoSpaceDN w:val="0"/>
        <w:adjustRightInd w:val="0"/>
        <w:spacing w:line="480" w:lineRule="auto"/>
        <w:ind w:firstLine="720"/>
        <w:jc w:val="both"/>
      </w:pPr>
      <w:r>
        <w:t xml:space="preserve">Neither the </w:t>
      </w:r>
      <w:r w:rsidRPr="00013C0B">
        <w:rPr>
          <w:i/>
        </w:rPr>
        <w:t>Second Transition Entry</w:t>
      </w:r>
      <w:r>
        <w:t xml:space="preserve"> nor the </w:t>
      </w:r>
      <w:r w:rsidR="008A1B6E">
        <w:t>Public Utilities Commission of Ohio</w:t>
      </w:r>
      <w:r w:rsidR="003E1F72">
        <w:t>’</w:t>
      </w:r>
      <w:r w:rsidR="008A1B6E">
        <w:t>s (</w:t>
      </w:r>
      <w:r w:rsidR="003E1F72">
        <w:t>“</w:t>
      </w:r>
      <w:r w:rsidR="008A1B6E">
        <w:t>Commission</w:t>
      </w:r>
      <w:r w:rsidR="003E1F72">
        <w:t>”</w:t>
      </w:r>
      <w:r w:rsidR="008A1B6E">
        <w:t>)</w:t>
      </w:r>
      <w:r>
        <w:t xml:space="preserve"> decision in the </w:t>
      </w:r>
      <w:r w:rsidRPr="00013C0B">
        <w:rPr>
          <w:i/>
        </w:rPr>
        <w:t>ESP II Case</w:t>
      </w:r>
      <w:r>
        <w:t xml:space="preserve"> identified any legal authority that may allow the Commission to mitigate adverse rate impacts of Ohio Power Compan</w:t>
      </w:r>
      <w:r w:rsidR="00D64020">
        <w:t>y</w:t>
      </w:r>
      <w:r w:rsidR="003E1F72">
        <w:t>’</w:t>
      </w:r>
      <w:r w:rsidR="00D64020">
        <w:t>s second transition to market-</w:t>
      </w:r>
      <w:r>
        <w:t>based rates</w:t>
      </w:r>
      <w:r w:rsidR="00D64020">
        <w:t>.  Since a transition to market-</w:t>
      </w:r>
      <w:r>
        <w:t>based rates necessarily means that a competitive retail electric service is involved and the General Assembly has removed the Commission</w:t>
      </w:r>
      <w:r w:rsidR="003E1F72">
        <w:t>’</w:t>
      </w:r>
      <w:r>
        <w:t>s supervisory and regulatory authority over such service (except in very limited circumstances), questions about the Commission</w:t>
      </w:r>
      <w:r w:rsidR="003E1F72">
        <w:t>’</w:t>
      </w:r>
      <w:r>
        <w:t>s legal authority should not be taken lightly.</w:t>
      </w:r>
      <w:r w:rsidR="0068288B">
        <w:rPr>
          <w:rStyle w:val="FootnoteReference"/>
        </w:rPr>
        <w:footnoteReference w:id="5"/>
      </w:r>
      <w:r>
        <w:t xml:space="preserve">  Section 4928.142(E), Revised Code, gives the Commission circumstance-specific </w:t>
      </w:r>
      <w:r w:rsidR="00D64020">
        <w:t xml:space="preserve">authority </w:t>
      </w:r>
      <w:r>
        <w:t xml:space="preserve">to modify the proportionate blending of the competitive bid price and the prior default generation supply price to </w:t>
      </w:r>
      <w:r w:rsidR="003E1F72">
        <w:t>“</w:t>
      </w:r>
      <w:r>
        <w:t>…</w:t>
      </w:r>
      <w:r w:rsidR="008A1B6E">
        <w:t> </w:t>
      </w:r>
      <w:r>
        <w:t>mitigate any effect of an abrupt or significant change</w:t>
      </w:r>
      <w:r w:rsidR="008A1B6E">
        <w:t> </w:t>
      </w:r>
      <w:r>
        <w:t>…</w:t>
      </w:r>
      <w:r w:rsidR="003E1F72">
        <w:t>”</w:t>
      </w:r>
      <w:r>
        <w:t xml:space="preserve"> in the </w:t>
      </w:r>
      <w:r w:rsidR="00D64020">
        <w:t>standard service offer (</w:t>
      </w:r>
      <w:r w:rsidR="003E1F72">
        <w:t>“</w:t>
      </w:r>
      <w:r>
        <w:t>SSO</w:t>
      </w:r>
      <w:r w:rsidR="003E1F72">
        <w:t>”</w:t>
      </w:r>
      <w:r w:rsidR="00D64020">
        <w:t>)</w:t>
      </w:r>
      <w:r>
        <w:t xml:space="preserve"> price.  Anything that the Commission might do pursuant to Section 4928.143, Revised Code</w:t>
      </w:r>
      <w:r w:rsidR="00D64020">
        <w:t>,</w:t>
      </w:r>
      <w:r>
        <w:t xml:space="preserve"> is subject to rejection by the electric distribution utility </w:t>
      </w:r>
      <w:r w:rsidR="00D64020">
        <w:t>(</w:t>
      </w:r>
      <w:r w:rsidR="003E1F72">
        <w:t>“</w:t>
      </w:r>
      <w:r w:rsidR="00D64020">
        <w:t>EDU</w:t>
      </w:r>
      <w:r w:rsidR="003E1F72">
        <w:t>”</w:t>
      </w:r>
      <w:r w:rsidR="00D64020">
        <w:t xml:space="preserve">) </w:t>
      </w:r>
      <w:r>
        <w:t xml:space="preserve">and to the </w:t>
      </w:r>
      <w:r w:rsidR="003E1F72">
        <w:t>“</w:t>
      </w:r>
      <w:r>
        <w:t>benefit in the aggregate</w:t>
      </w:r>
      <w:r w:rsidR="003E1F72">
        <w:t>”</w:t>
      </w:r>
      <w:r>
        <w:t xml:space="preserve"> test.  The authority provided in Section 4928.144, Revised Code, is limited </w:t>
      </w:r>
      <w:r>
        <w:lastRenderedPageBreak/>
        <w:t xml:space="preserve">to </w:t>
      </w:r>
      <w:r w:rsidR="00BE42A9">
        <w:t xml:space="preserve">a </w:t>
      </w:r>
      <w:r>
        <w:t>rate or price established under Section</w:t>
      </w:r>
      <w:r w:rsidR="008A1B6E">
        <w:t>s</w:t>
      </w:r>
      <w:r>
        <w:t xml:space="preserve"> 4928.141 to 4928.143, Revised Code</w:t>
      </w:r>
      <w:r w:rsidR="00D64020">
        <w:t>,</w:t>
      </w:r>
      <w:r>
        <w:t xml:space="preserve"> and, if used, may increase (not mitigate) the total burden imposed on customers.</w:t>
      </w:r>
    </w:p>
    <w:p w:rsidR="00242BDE" w:rsidRDefault="00CA02E6" w:rsidP="00013C0B">
      <w:pPr>
        <w:autoSpaceDE w:val="0"/>
        <w:autoSpaceDN w:val="0"/>
        <w:adjustRightInd w:val="0"/>
        <w:spacing w:line="480" w:lineRule="auto"/>
        <w:ind w:firstLine="720"/>
        <w:jc w:val="both"/>
      </w:pPr>
      <w:r>
        <w:t xml:space="preserve">The </w:t>
      </w:r>
      <w:r w:rsidR="00A21E43" w:rsidRPr="00A21E43">
        <w:rPr>
          <w:i/>
        </w:rPr>
        <w:t>Second Transition</w:t>
      </w:r>
      <w:r w:rsidR="00A21E43">
        <w:t xml:space="preserve"> </w:t>
      </w:r>
      <w:r w:rsidRPr="00CA02E6">
        <w:rPr>
          <w:i/>
        </w:rPr>
        <w:t>Entry</w:t>
      </w:r>
      <w:r>
        <w:t xml:space="preserve"> also established a schedule </w:t>
      </w:r>
      <w:r w:rsidR="0096150E">
        <w:t xml:space="preserve">for filing comments </w:t>
      </w:r>
      <w:r>
        <w:t xml:space="preserve">and invited </w:t>
      </w:r>
      <w:r w:rsidR="00A21E43">
        <w:t>t</w:t>
      </w:r>
      <w:r>
        <w:t>he Commission</w:t>
      </w:r>
      <w:r w:rsidR="003E1F72">
        <w:t>’</w:t>
      </w:r>
      <w:r>
        <w:t xml:space="preserve">s Staff and any interested party to file comments and reply comments to </w:t>
      </w:r>
      <w:r w:rsidR="003E1F72">
        <w:t>“</w:t>
      </w:r>
      <w:r>
        <w:t>…</w:t>
      </w:r>
      <w:r w:rsidR="00B97AFE">
        <w:t> </w:t>
      </w:r>
      <w:r>
        <w:t xml:space="preserve">assist the Commission in its review of potential adverse </w:t>
      </w:r>
      <w:r w:rsidR="00B97AFE">
        <w:t xml:space="preserve">rate </w:t>
      </w:r>
      <w:r>
        <w:t>impacts for customers during the transition to market based rates</w:t>
      </w:r>
      <w:r w:rsidR="00B97AFE">
        <w:t> </w:t>
      </w:r>
      <w:r>
        <w:t>…</w:t>
      </w:r>
      <w:r w:rsidR="003E1F72">
        <w:t>”</w:t>
      </w:r>
      <w:r>
        <w:t>.</w:t>
      </w:r>
      <w:r w:rsidR="00B97AFE">
        <w:rPr>
          <w:rStyle w:val="FootnoteReference"/>
        </w:rPr>
        <w:footnoteReference w:id="6"/>
      </w:r>
      <w:r w:rsidR="000D3313">
        <w:t xml:space="preserve">  </w:t>
      </w:r>
    </w:p>
    <w:p w:rsidR="00CA02E6" w:rsidRDefault="000D3313" w:rsidP="00013C0B">
      <w:pPr>
        <w:autoSpaceDE w:val="0"/>
        <w:autoSpaceDN w:val="0"/>
        <w:adjustRightInd w:val="0"/>
        <w:spacing w:line="480" w:lineRule="auto"/>
        <w:ind w:firstLine="720"/>
        <w:jc w:val="both"/>
      </w:pPr>
      <w:r>
        <w:rPr>
          <w:rFonts w:cs="Arial"/>
        </w:rPr>
        <w:t xml:space="preserve">The current </w:t>
      </w:r>
      <w:r w:rsidR="00C7754F">
        <w:rPr>
          <w:rFonts w:cs="Arial"/>
        </w:rPr>
        <w:t xml:space="preserve">Ohio Power Company </w:t>
      </w:r>
      <w:r>
        <w:rPr>
          <w:rFonts w:cs="Arial"/>
        </w:rPr>
        <w:t>electric security plan (</w:t>
      </w:r>
      <w:r w:rsidR="003E1F72">
        <w:rPr>
          <w:rFonts w:cs="Arial"/>
        </w:rPr>
        <w:t>“</w:t>
      </w:r>
      <w:r>
        <w:rPr>
          <w:rFonts w:cs="Arial"/>
        </w:rPr>
        <w:t>ESP</w:t>
      </w:r>
      <w:r w:rsidR="003E1F72">
        <w:rPr>
          <w:rFonts w:cs="Arial"/>
        </w:rPr>
        <w:t>”</w:t>
      </w:r>
      <w:r>
        <w:rPr>
          <w:rFonts w:cs="Arial"/>
        </w:rPr>
        <w:t xml:space="preserve">) is scheduled to end on May 31, 2015 at which time </w:t>
      </w:r>
      <w:r w:rsidR="002A258F">
        <w:rPr>
          <w:rFonts w:cs="Arial"/>
        </w:rPr>
        <w:t xml:space="preserve">a different method of establishing </w:t>
      </w:r>
      <w:r>
        <w:rPr>
          <w:rFonts w:cs="Arial"/>
        </w:rPr>
        <w:t xml:space="preserve">default generation supply prices may </w:t>
      </w:r>
      <w:r w:rsidR="002A258F">
        <w:rPr>
          <w:rFonts w:cs="Arial"/>
        </w:rPr>
        <w:t>control</w:t>
      </w:r>
      <w:r>
        <w:rPr>
          <w:rFonts w:cs="Arial"/>
        </w:rPr>
        <w:t>.</w:t>
      </w:r>
      <w:r>
        <w:rPr>
          <w:rStyle w:val="FootnoteReference"/>
          <w:rFonts w:cs="Arial"/>
        </w:rPr>
        <w:footnoteReference w:id="7"/>
      </w:r>
    </w:p>
    <w:p w:rsidR="000D3313" w:rsidRDefault="00A21E43" w:rsidP="0068288B">
      <w:pPr>
        <w:autoSpaceDE w:val="0"/>
        <w:autoSpaceDN w:val="0"/>
        <w:adjustRightInd w:val="0"/>
        <w:spacing w:line="480" w:lineRule="auto"/>
        <w:ind w:firstLine="720"/>
        <w:jc w:val="both"/>
      </w:pPr>
      <w:r>
        <w:t xml:space="preserve">In a separate </w:t>
      </w:r>
      <w:r w:rsidR="003D22CA">
        <w:t xml:space="preserve">ongoing </w:t>
      </w:r>
      <w:r>
        <w:t>proceeding</w:t>
      </w:r>
      <w:r w:rsidR="00B97AFE">
        <w:t>,</w:t>
      </w:r>
      <w:r>
        <w:rPr>
          <w:rStyle w:val="FootnoteReference"/>
        </w:rPr>
        <w:footnoteReference w:id="8"/>
      </w:r>
      <w:r>
        <w:t xml:space="preserve"> </w:t>
      </w:r>
      <w:r w:rsidR="003D22CA">
        <w:t xml:space="preserve">the Commission is presently wrestling with the predictable </w:t>
      </w:r>
      <w:r w:rsidR="000D3313">
        <w:t>(</w:t>
      </w:r>
      <w:r w:rsidR="003D22CA">
        <w:t>and predicted</w:t>
      </w:r>
      <w:r w:rsidR="000D3313">
        <w:t>)</w:t>
      </w:r>
      <w:r w:rsidR="003D22CA">
        <w:t xml:space="preserve"> consequences of the </w:t>
      </w:r>
      <w:r w:rsidR="003E1F72">
        <w:t>“</w:t>
      </w:r>
      <w:r w:rsidR="003D22CA">
        <w:t>energy-only</w:t>
      </w:r>
      <w:r w:rsidR="003E1F72">
        <w:t>”</w:t>
      </w:r>
      <w:r w:rsidR="003D22CA">
        <w:t xml:space="preserve"> auction that was approved in the </w:t>
      </w:r>
      <w:r w:rsidR="003D22CA" w:rsidRPr="003D22CA">
        <w:rPr>
          <w:i/>
        </w:rPr>
        <w:t>ESP II Case</w:t>
      </w:r>
      <w:r w:rsidR="00023457">
        <w:rPr>
          <w:i/>
        </w:rPr>
        <w:t xml:space="preserve">.  </w:t>
      </w:r>
      <w:r w:rsidR="00023457" w:rsidRPr="00023457">
        <w:t>According to the Opinion and Order in the</w:t>
      </w:r>
      <w:r w:rsidR="00023457">
        <w:rPr>
          <w:i/>
        </w:rPr>
        <w:t xml:space="preserve"> ESP II Case, </w:t>
      </w:r>
      <w:r w:rsidR="008A1B6E">
        <w:t>the energy-</w:t>
      </w:r>
      <w:r w:rsidR="00023457" w:rsidRPr="00023457">
        <w:t>only a</w:t>
      </w:r>
      <w:r w:rsidR="0068288B">
        <w:t>u</w:t>
      </w:r>
      <w:r w:rsidR="00023457" w:rsidRPr="00023457">
        <w:t xml:space="preserve">ction is supposed to </w:t>
      </w:r>
      <w:r w:rsidR="003E1F72">
        <w:t>“</w:t>
      </w:r>
      <w:r w:rsidR="00C04240">
        <w:t>…</w:t>
      </w:r>
      <w:r w:rsidR="00B97AFE">
        <w:t> </w:t>
      </w:r>
      <w:r w:rsidR="00023457">
        <w:t>facilitate a smooth</w:t>
      </w:r>
      <w:r w:rsidR="00C04240">
        <w:t>er</w:t>
      </w:r>
      <w:r w:rsidR="00023457">
        <w:t xml:space="preserve"> </w:t>
      </w:r>
      <w:r w:rsidR="00C04240">
        <w:t>transition to a full energy auction</w:t>
      </w:r>
      <w:r w:rsidR="003E1F72">
        <w:t>”</w:t>
      </w:r>
      <w:r w:rsidR="00B97AFE">
        <w:t>.</w:t>
      </w:r>
      <w:r w:rsidR="00C04240">
        <w:rPr>
          <w:rStyle w:val="FootnoteReference"/>
        </w:rPr>
        <w:footnoteReference w:id="9"/>
      </w:r>
      <w:r w:rsidR="003D22CA">
        <w:t xml:space="preserve">  </w:t>
      </w:r>
    </w:p>
    <w:p w:rsidR="000D3313" w:rsidRDefault="00023457" w:rsidP="00013C0B">
      <w:pPr>
        <w:autoSpaceDE w:val="0"/>
        <w:autoSpaceDN w:val="0"/>
        <w:adjustRightInd w:val="0"/>
        <w:spacing w:line="480" w:lineRule="auto"/>
        <w:ind w:firstLine="720"/>
        <w:jc w:val="both"/>
        <w:rPr>
          <w:rFonts w:cs="Arial"/>
        </w:rPr>
      </w:pPr>
      <w:r>
        <w:lastRenderedPageBreak/>
        <w:t>In another separate proceeding</w:t>
      </w:r>
      <w:r w:rsidR="00B97AFE">
        <w:t>,</w:t>
      </w:r>
      <w:r>
        <w:rPr>
          <w:rStyle w:val="FootnoteReference"/>
        </w:rPr>
        <w:footnoteReference w:id="10"/>
      </w:r>
      <w:r>
        <w:t xml:space="preserve"> </w:t>
      </w:r>
      <w:r w:rsidR="00233108">
        <w:t>the</w:t>
      </w:r>
      <w:r w:rsidR="00242BDE">
        <w:t xml:space="preserve"> </w:t>
      </w:r>
      <w:r w:rsidR="0047700F">
        <w:t>Commission</w:t>
      </w:r>
      <w:r w:rsidR="00242BDE">
        <w:t xml:space="preserve"> </w:t>
      </w:r>
      <w:r w:rsidR="009B1E9B">
        <w:t xml:space="preserve">is </w:t>
      </w:r>
      <w:r w:rsidR="00242BDE">
        <w:t xml:space="preserve">conducting </w:t>
      </w:r>
      <w:r w:rsidR="009B1E9B">
        <w:t xml:space="preserve">an </w:t>
      </w:r>
      <w:r w:rsidR="00233108">
        <w:t xml:space="preserve">investigation </w:t>
      </w:r>
      <w:r w:rsidR="009B1E9B">
        <w:t xml:space="preserve">(initiated in December 2012) </w:t>
      </w:r>
      <w:r w:rsidR="00233108" w:rsidRPr="008C0561">
        <w:rPr>
          <w:rFonts w:cs="Arial"/>
        </w:rPr>
        <w:t>regarding the health, strength and vitality of the competitive retail electric service market and actions that the Commission may take to enhance the health, safety and vitality of th</w:t>
      </w:r>
      <w:r w:rsidR="00233108">
        <w:rPr>
          <w:rFonts w:cs="Arial"/>
        </w:rPr>
        <w:t>at market</w:t>
      </w:r>
      <w:r w:rsidR="00233108" w:rsidRPr="008C0561">
        <w:rPr>
          <w:rFonts w:cs="Arial"/>
        </w:rPr>
        <w:t>.</w:t>
      </w:r>
    </w:p>
    <w:p w:rsidR="000D3313" w:rsidRDefault="009B1E9B" w:rsidP="00013C0B">
      <w:pPr>
        <w:autoSpaceDE w:val="0"/>
        <w:autoSpaceDN w:val="0"/>
        <w:adjustRightInd w:val="0"/>
        <w:spacing w:line="480" w:lineRule="auto"/>
        <w:ind w:firstLine="720"/>
        <w:jc w:val="both"/>
        <w:rPr>
          <w:rFonts w:cs="Arial"/>
        </w:rPr>
      </w:pPr>
      <w:r>
        <w:rPr>
          <w:rFonts w:cs="Arial"/>
        </w:rPr>
        <w:t>And in numerous other separate proceedings</w:t>
      </w:r>
      <w:r w:rsidR="008A1B6E">
        <w:rPr>
          <w:rFonts w:cs="Arial"/>
        </w:rPr>
        <w:t>,</w:t>
      </w:r>
      <w:r w:rsidR="00C7754F">
        <w:rPr>
          <w:rStyle w:val="FootnoteReference"/>
          <w:rFonts w:cs="Arial"/>
        </w:rPr>
        <w:footnoteReference w:id="11"/>
      </w:r>
      <w:r>
        <w:rPr>
          <w:rFonts w:cs="Arial"/>
        </w:rPr>
        <w:t xml:space="preserve"> the Commission is or will be considering how and when to perm</w:t>
      </w:r>
      <w:r w:rsidR="00BE4C0E">
        <w:rPr>
          <w:rFonts w:cs="Arial"/>
        </w:rPr>
        <w:t xml:space="preserve">it </w:t>
      </w:r>
      <w:r w:rsidR="00D64020">
        <w:rPr>
          <w:rFonts w:cs="Arial"/>
        </w:rPr>
        <w:t xml:space="preserve">Ohio Power Company </w:t>
      </w:r>
      <w:r w:rsidR="00BE4C0E">
        <w:rPr>
          <w:rFonts w:cs="Arial"/>
        </w:rPr>
        <w:t>to further adjust</w:t>
      </w:r>
      <w:r>
        <w:rPr>
          <w:rFonts w:cs="Arial"/>
        </w:rPr>
        <w:t xml:space="preserve"> electric bills through the operation of the numerous riders.  </w:t>
      </w:r>
    </w:p>
    <w:p w:rsidR="0096150E" w:rsidRDefault="009B1E9B" w:rsidP="00013C0B">
      <w:pPr>
        <w:autoSpaceDE w:val="0"/>
        <w:autoSpaceDN w:val="0"/>
        <w:adjustRightInd w:val="0"/>
        <w:spacing w:line="480" w:lineRule="auto"/>
        <w:ind w:firstLine="720"/>
        <w:jc w:val="both"/>
        <w:rPr>
          <w:rFonts w:cs="Arial"/>
        </w:rPr>
      </w:pPr>
      <w:r>
        <w:rPr>
          <w:rFonts w:cs="Arial"/>
        </w:rPr>
        <w:t xml:space="preserve">Additionally, </w:t>
      </w:r>
      <w:r w:rsidR="00BE42A9">
        <w:rPr>
          <w:rFonts w:cs="Arial"/>
        </w:rPr>
        <w:t xml:space="preserve">many </w:t>
      </w:r>
      <w:r w:rsidR="00D64020">
        <w:rPr>
          <w:rFonts w:cs="Arial"/>
        </w:rPr>
        <w:t xml:space="preserve">of </w:t>
      </w:r>
      <w:r>
        <w:rPr>
          <w:rFonts w:cs="Arial"/>
        </w:rPr>
        <w:t>the Commission</w:t>
      </w:r>
      <w:r w:rsidR="003E1F72">
        <w:rPr>
          <w:rFonts w:cs="Arial"/>
        </w:rPr>
        <w:t>’</w:t>
      </w:r>
      <w:r>
        <w:rPr>
          <w:rFonts w:cs="Arial"/>
        </w:rPr>
        <w:t xml:space="preserve">s </w:t>
      </w:r>
      <w:r w:rsidR="00D64020">
        <w:rPr>
          <w:rFonts w:cs="Arial"/>
        </w:rPr>
        <w:t>Ohio Power Company-</w:t>
      </w:r>
      <w:r>
        <w:rPr>
          <w:rFonts w:cs="Arial"/>
        </w:rPr>
        <w:t>related rate increase decisions are being contested through appeals that are presently before the Ohio Supreme Court</w:t>
      </w:r>
      <w:r w:rsidR="000D3313">
        <w:rPr>
          <w:rFonts w:cs="Arial"/>
        </w:rPr>
        <w:t>.</w:t>
      </w:r>
      <w:r>
        <w:rPr>
          <w:rFonts w:cs="Arial"/>
        </w:rPr>
        <w:t xml:space="preserve"> </w:t>
      </w:r>
    </w:p>
    <w:p w:rsidR="00AF5502" w:rsidRDefault="009B1E9B" w:rsidP="003D22CA">
      <w:pPr>
        <w:autoSpaceDE w:val="0"/>
        <w:autoSpaceDN w:val="0"/>
        <w:adjustRightInd w:val="0"/>
        <w:spacing w:line="480" w:lineRule="auto"/>
        <w:jc w:val="both"/>
        <w:rPr>
          <w:rFonts w:cs="Arial"/>
        </w:rPr>
      </w:pPr>
      <w:r>
        <w:rPr>
          <w:rFonts w:cs="Arial"/>
        </w:rPr>
        <w:tab/>
      </w:r>
      <w:r w:rsidR="00795BCF">
        <w:rPr>
          <w:rFonts w:cs="Arial"/>
        </w:rPr>
        <w:t>As the Commission knows, it is the position of the Industrial Energy Users-Ohio (</w:t>
      </w:r>
      <w:r w:rsidR="003E1F72">
        <w:rPr>
          <w:rFonts w:cs="Arial"/>
        </w:rPr>
        <w:t>“</w:t>
      </w:r>
      <w:r w:rsidR="00795BCF">
        <w:rPr>
          <w:rFonts w:cs="Arial"/>
        </w:rPr>
        <w:t>IEU-Ohio</w:t>
      </w:r>
      <w:r w:rsidR="003E1F72">
        <w:rPr>
          <w:rFonts w:cs="Arial"/>
        </w:rPr>
        <w:t>”</w:t>
      </w:r>
      <w:r w:rsidR="00795BCF">
        <w:rPr>
          <w:rFonts w:cs="Arial"/>
        </w:rPr>
        <w:t xml:space="preserve">) that the unique </w:t>
      </w:r>
      <w:r w:rsidR="00A42663">
        <w:rPr>
          <w:rFonts w:cs="Arial"/>
        </w:rPr>
        <w:t xml:space="preserve">and </w:t>
      </w:r>
      <w:r w:rsidR="00A42663" w:rsidRPr="00013C0B">
        <w:rPr>
          <w:rFonts w:cs="Arial"/>
          <w:i/>
        </w:rPr>
        <w:t>ultra vires</w:t>
      </w:r>
      <w:r w:rsidR="00A42663">
        <w:rPr>
          <w:rFonts w:cs="Arial"/>
        </w:rPr>
        <w:t xml:space="preserve"> </w:t>
      </w:r>
      <w:r w:rsidR="00795BCF">
        <w:rPr>
          <w:rFonts w:cs="Arial"/>
        </w:rPr>
        <w:t xml:space="preserve">authorization of a second transition </w:t>
      </w:r>
      <w:r w:rsidR="000D40F4">
        <w:rPr>
          <w:rFonts w:cs="Arial"/>
        </w:rPr>
        <w:t>to market</w:t>
      </w:r>
      <w:r w:rsidR="00B97AFE">
        <w:rPr>
          <w:rFonts w:cs="Arial"/>
        </w:rPr>
        <w:t>-</w:t>
      </w:r>
      <w:r w:rsidR="000D40F4">
        <w:rPr>
          <w:rFonts w:cs="Arial"/>
        </w:rPr>
        <w:t xml:space="preserve">based rates </w:t>
      </w:r>
      <w:r w:rsidR="00795BCF">
        <w:rPr>
          <w:rFonts w:cs="Arial"/>
        </w:rPr>
        <w:t xml:space="preserve">for </w:t>
      </w:r>
      <w:r w:rsidR="00D64020">
        <w:rPr>
          <w:rFonts w:cs="Arial"/>
        </w:rPr>
        <w:t>Ohio Power Company</w:t>
      </w:r>
      <w:r w:rsidR="00852FD1">
        <w:rPr>
          <w:rFonts w:cs="Arial"/>
        </w:rPr>
        <w:t xml:space="preserve">, through the </w:t>
      </w:r>
      <w:r w:rsidR="00852FD1" w:rsidRPr="00852FD1">
        <w:rPr>
          <w:rFonts w:cs="Arial"/>
          <w:i/>
        </w:rPr>
        <w:t>ESP II Case</w:t>
      </w:r>
      <w:r w:rsidR="00852FD1">
        <w:rPr>
          <w:rFonts w:cs="Arial"/>
        </w:rPr>
        <w:t>,</w:t>
      </w:r>
      <w:r w:rsidR="00795BCF">
        <w:rPr>
          <w:rFonts w:cs="Arial"/>
        </w:rPr>
        <w:t xml:space="preserve"> was unreasonable and unlawful.  </w:t>
      </w:r>
      <w:r w:rsidR="00A42663">
        <w:rPr>
          <w:rFonts w:cs="Arial"/>
        </w:rPr>
        <w:t xml:space="preserve">More specifically, the Commission authorized the imposition of above-market and non-bypassable </w:t>
      </w:r>
      <w:r w:rsidR="00C7754F">
        <w:rPr>
          <w:rFonts w:cs="Arial"/>
        </w:rPr>
        <w:t xml:space="preserve">generation-related </w:t>
      </w:r>
      <w:r w:rsidR="00A42663">
        <w:rPr>
          <w:rFonts w:cs="Arial"/>
        </w:rPr>
        <w:t xml:space="preserve">charges on </w:t>
      </w:r>
      <w:r w:rsidR="00D64020">
        <w:rPr>
          <w:rFonts w:cs="Arial"/>
        </w:rPr>
        <w:t>Ohio Power Company</w:t>
      </w:r>
      <w:r w:rsidR="003E1F72">
        <w:rPr>
          <w:rFonts w:cs="Arial"/>
        </w:rPr>
        <w:t>’</w:t>
      </w:r>
      <w:r w:rsidR="00D64020">
        <w:rPr>
          <w:rFonts w:cs="Arial"/>
        </w:rPr>
        <w:t xml:space="preserve">s </w:t>
      </w:r>
      <w:r w:rsidR="00A42663">
        <w:rPr>
          <w:rFonts w:cs="Arial"/>
        </w:rPr>
        <w:t>customers</w:t>
      </w:r>
      <w:r w:rsidR="00AA30AC">
        <w:rPr>
          <w:rFonts w:cs="Arial"/>
        </w:rPr>
        <w:t xml:space="preserve">. </w:t>
      </w:r>
      <w:r w:rsidR="00A42663">
        <w:rPr>
          <w:rFonts w:cs="Arial"/>
        </w:rPr>
        <w:t xml:space="preserve"> </w:t>
      </w:r>
      <w:r w:rsidR="00AA30AC">
        <w:rPr>
          <w:rFonts w:cs="Arial"/>
        </w:rPr>
        <w:t xml:space="preserve">The above-market and non-bypassable charges make customers responsible for the business and financial risks of </w:t>
      </w:r>
      <w:r w:rsidR="00D64020">
        <w:rPr>
          <w:rFonts w:cs="Arial"/>
        </w:rPr>
        <w:t>Ohio Power Company</w:t>
      </w:r>
      <w:r w:rsidR="003E1F72">
        <w:rPr>
          <w:rFonts w:cs="Arial"/>
        </w:rPr>
        <w:t>’</w:t>
      </w:r>
      <w:r w:rsidR="00D64020">
        <w:rPr>
          <w:rFonts w:cs="Arial"/>
        </w:rPr>
        <w:t xml:space="preserve">s </w:t>
      </w:r>
      <w:r w:rsidR="00A42663">
        <w:rPr>
          <w:rFonts w:cs="Arial"/>
        </w:rPr>
        <w:t xml:space="preserve">competitive generation </w:t>
      </w:r>
      <w:r w:rsidR="00C7754F">
        <w:rPr>
          <w:rFonts w:cs="Arial"/>
        </w:rPr>
        <w:t xml:space="preserve">business </w:t>
      </w:r>
      <w:r w:rsidR="00AA30AC">
        <w:rPr>
          <w:rFonts w:cs="Arial"/>
        </w:rPr>
        <w:t xml:space="preserve">and erect economic barriers between customers and the </w:t>
      </w:r>
      <w:r w:rsidR="007536F3">
        <w:rPr>
          <w:rFonts w:cs="Arial"/>
        </w:rPr>
        <w:t>lower electric bills</w:t>
      </w:r>
      <w:r w:rsidR="00AA30AC">
        <w:rPr>
          <w:rFonts w:cs="Arial"/>
        </w:rPr>
        <w:t xml:space="preserve"> that are otherwise available</w:t>
      </w:r>
      <w:r w:rsidR="00F67C88">
        <w:rPr>
          <w:rFonts w:cs="Arial"/>
        </w:rPr>
        <w:t xml:space="preserve">.  The rate increase consequences landed on customers served by </w:t>
      </w:r>
      <w:r w:rsidR="00156163">
        <w:rPr>
          <w:rFonts w:cs="Arial"/>
        </w:rPr>
        <w:t>competitive retail electric service (</w:t>
      </w:r>
      <w:r w:rsidR="003E1F72">
        <w:rPr>
          <w:rFonts w:cs="Arial"/>
        </w:rPr>
        <w:t>“</w:t>
      </w:r>
      <w:r w:rsidR="00156163">
        <w:rPr>
          <w:rFonts w:cs="Arial"/>
        </w:rPr>
        <w:t>CRES</w:t>
      </w:r>
      <w:r w:rsidR="0068288B">
        <w:rPr>
          <w:rFonts w:cs="Arial"/>
        </w:rPr>
        <w:t>”</w:t>
      </w:r>
      <w:r w:rsidR="00B97AFE">
        <w:rPr>
          <w:rFonts w:cs="Arial"/>
        </w:rPr>
        <w:t>)</w:t>
      </w:r>
      <w:r w:rsidR="00156163">
        <w:rPr>
          <w:rFonts w:cs="Arial"/>
        </w:rPr>
        <w:t xml:space="preserve"> </w:t>
      </w:r>
      <w:r w:rsidR="00B97AFE">
        <w:rPr>
          <w:rFonts w:cs="Arial"/>
        </w:rPr>
        <w:t>p</w:t>
      </w:r>
      <w:r w:rsidR="00156163">
        <w:rPr>
          <w:rFonts w:cs="Arial"/>
        </w:rPr>
        <w:t>roviders</w:t>
      </w:r>
      <w:r w:rsidR="00A42663">
        <w:rPr>
          <w:rFonts w:cs="Arial"/>
        </w:rPr>
        <w:t>, a</w:t>
      </w:r>
      <w:r w:rsidR="00F67C88">
        <w:rPr>
          <w:rFonts w:cs="Arial"/>
        </w:rPr>
        <w:t xml:space="preserve">s </w:t>
      </w:r>
      <w:r w:rsidR="00F67C88">
        <w:rPr>
          <w:rFonts w:cs="Arial"/>
        </w:rPr>
        <w:lastRenderedPageBreak/>
        <w:t xml:space="preserve">well as </w:t>
      </w:r>
      <w:r w:rsidR="003422F5">
        <w:rPr>
          <w:rFonts w:cs="Arial"/>
        </w:rPr>
        <w:t xml:space="preserve">customers not obtaining such supply from a </w:t>
      </w:r>
      <w:r w:rsidR="00B97AFE">
        <w:rPr>
          <w:rFonts w:cs="Arial"/>
        </w:rPr>
        <w:t xml:space="preserve">CRES </w:t>
      </w:r>
      <w:r w:rsidR="003422F5">
        <w:rPr>
          <w:rFonts w:cs="Arial"/>
        </w:rPr>
        <w:t>provider</w:t>
      </w:r>
      <w:r w:rsidR="00F67C88">
        <w:rPr>
          <w:rFonts w:cs="Arial"/>
        </w:rPr>
        <w:t xml:space="preserve"> and will, if not terminated by the Ohio Supreme Court, continue to </w:t>
      </w:r>
      <w:r w:rsidR="00AF5502">
        <w:rPr>
          <w:rFonts w:cs="Arial"/>
        </w:rPr>
        <w:t xml:space="preserve">negatively affect </w:t>
      </w:r>
      <w:r w:rsidR="00F67C88">
        <w:rPr>
          <w:rFonts w:cs="Arial"/>
        </w:rPr>
        <w:t xml:space="preserve">such customers well beyond the term of the ESP approved in the </w:t>
      </w:r>
      <w:r w:rsidR="00F67C88" w:rsidRPr="00013C0B">
        <w:rPr>
          <w:rFonts w:cs="Arial"/>
          <w:i/>
        </w:rPr>
        <w:t>ESP II Case</w:t>
      </w:r>
      <w:r w:rsidR="003422F5">
        <w:rPr>
          <w:rFonts w:cs="Arial"/>
        </w:rPr>
        <w:t xml:space="preserve">.  </w:t>
      </w:r>
    </w:p>
    <w:p w:rsidR="0068288B" w:rsidRDefault="0068288B" w:rsidP="0068288B">
      <w:pPr>
        <w:pStyle w:val="Heading1"/>
      </w:pPr>
      <w:r>
        <w:t>Comments</w:t>
      </w:r>
    </w:p>
    <w:p w:rsidR="002736CB" w:rsidRDefault="00156163" w:rsidP="00013C0B">
      <w:pPr>
        <w:autoSpaceDE w:val="0"/>
        <w:autoSpaceDN w:val="0"/>
        <w:adjustRightInd w:val="0"/>
        <w:spacing w:line="480" w:lineRule="auto"/>
        <w:ind w:firstLine="720"/>
        <w:jc w:val="both"/>
        <w:rPr>
          <w:rFonts w:cs="Arial"/>
        </w:rPr>
      </w:pPr>
      <w:r>
        <w:rPr>
          <w:rFonts w:cs="Arial"/>
        </w:rPr>
        <w:t xml:space="preserve">At the time of the decision in the </w:t>
      </w:r>
      <w:r w:rsidRPr="00156163">
        <w:rPr>
          <w:rFonts w:cs="Arial"/>
          <w:i/>
        </w:rPr>
        <w:t>ESP II Case</w:t>
      </w:r>
      <w:r>
        <w:rPr>
          <w:rFonts w:cs="Arial"/>
        </w:rPr>
        <w:t xml:space="preserve">, </w:t>
      </w:r>
      <w:r w:rsidR="003422F5">
        <w:rPr>
          <w:rFonts w:cs="Arial"/>
        </w:rPr>
        <w:t xml:space="preserve">Ohio law said </w:t>
      </w:r>
      <w:r w:rsidR="002736CB">
        <w:rPr>
          <w:rFonts w:cs="Arial"/>
        </w:rPr>
        <w:t>(</w:t>
      </w:r>
      <w:r w:rsidR="003422F5">
        <w:rPr>
          <w:rFonts w:cs="Arial"/>
        </w:rPr>
        <w:t xml:space="preserve">and </w:t>
      </w:r>
      <w:r>
        <w:rPr>
          <w:rFonts w:cs="Arial"/>
        </w:rPr>
        <w:t xml:space="preserve">still </w:t>
      </w:r>
      <w:r w:rsidR="003422F5">
        <w:rPr>
          <w:rFonts w:cs="Arial"/>
        </w:rPr>
        <w:t>says</w:t>
      </w:r>
      <w:r w:rsidR="002736CB">
        <w:rPr>
          <w:rFonts w:cs="Arial"/>
        </w:rPr>
        <w:t>)</w:t>
      </w:r>
      <w:r w:rsidR="003422F5">
        <w:rPr>
          <w:rFonts w:cs="Arial"/>
        </w:rPr>
        <w:t xml:space="preserve"> that the transition to market for th</w:t>
      </w:r>
      <w:r w:rsidR="00AF5502">
        <w:rPr>
          <w:rFonts w:cs="Arial"/>
        </w:rPr>
        <w:t xml:space="preserve">e generation </w:t>
      </w:r>
      <w:r w:rsidR="003422F5">
        <w:rPr>
          <w:rFonts w:cs="Arial"/>
        </w:rPr>
        <w:t xml:space="preserve">function of </w:t>
      </w:r>
      <w:r w:rsidR="00D64020">
        <w:rPr>
          <w:rFonts w:cs="Arial"/>
        </w:rPr>
        <w:t>Ohio Power Company</w:t>
      </w:r>
      <w:r w:rsidR="003E1F72">
        <w:rPr>
          <w:rFonts w:cs="Arial"/>
        </w:rPr>
        <w:t>’</w:t>
      </w:r>
      <w:r w:rsidR="003422F5">
        <w:rPr>
          <w:rFonts w:cs="Arial"/>
        </w:rPr>
        <w:t xml:space="preserve">s business had to be </w:t>
      </w:r>
      <w:r w:rsidR="0047700F">
        <w:rPr>
          <w:rFonts w:cs="Arial"/>
        </w:rPr>
        <w:t>complete by</w:t>
      </w:r>
      <w:r w:rsidR="003422F5">
        <w:rPr>
          <w:rFonts w:cs="Arial"/>
        </w:rPr>
        <w:t xml:space="preserve"> the end of 20</w:t>
      </w:r>
      <w:r w:rsidR="00A42BD9">
        <w:rPr>
          <w:rFonts w:cs="Arial"/>
        </w:rPr>
        <w:t>05</w:t>
      </w:r>
      <w:r w:rsidR="003422F5">
        <w:rPr>
          <w:rFonts w:cs="Arial"/>
        </w:rPr>
        <w:t xml:space="preserve"> if not sooner</w:t>
      </w:r>
      <w:r w:rsidR="002736CB">
        <w:rPr>
          <w:rStyle w:val="FootnoteReference"/>
          <w:rFonts w:cs="Arial"/>
        </w:rPr>
        <w:footnoteReference w:id="12"/>
      </w:r>
      <w:r w:rsidR="003422F5">
        <w:rPr>
          <w:rFonts w:cs="Arial"/>
        </w:rPr>
        <w:t xml:space="preserve"> and that </w:t>
      </w:r>
      <w:r w:rsidR="00D64020">
        <w:rPr>
          <w:rFonts w:cs="Arial"/>
        </w:rPr>
        <w:t>Ohio Power Company</w:t>
      </w:r>
      <w:r w:rsidR="003E1F72">
        <w:rPr>
          <w:rFonts w:cs="Arial"/>
        </w:rPr>
        <w:t>’</w:t>
      </w:r>
      <w:r>
        <w:rPr>
          <w:rFonts w:cs="Arial"/>
        </w:rPr>
        <w:t>s</w:t>
      </w:r>
      <w:r w:rsidR="003422F5">
        <w:rPr>
          <w:rFonts w:cs="Arial"/>
        </w:rPr>
        <w:t xml:space="preserve"> generation business had to be fully on its own in the competitive market.</w:t>
      </w:r>
      <w:r w:rsidR="002736CB">
        <w:rPr>
          <w:rStyle w:val="FootnoteReference"/>
          <w:rFonts w:cs="Arial"/>
        </w:rPr>
        <w:footnoteReference w:id="13"/>
      </w:r>
      <w:r w:rsidR="003422F5">
        <w:rPr>
          <w:rFonts w:cs="Arial"/>
        </w:rPr>
        <w:t xml:space="preserve">  </w:t>
      </w:r>
      <w:r w:rsidR="00BE42A9">
        <w:rPr>
          <w:rFonts w:cs="Arial"/>
        </w:rPr>
        <w:t>In other words, t</w:t>
      </w:r>
      <w:r w:rsidR="003422F5">
        <w:rPr>
          <w:rFonts w:cs="Arial"/>
        </w:rPr>
        <w:t>he Commission</w:t>
      </w:r>
      <w:r w:rsidR="003E1F72">
        <w:rPr>
          <w:rFonts w:cs="Arial"/>
        </w:rPr>
        <w:t>’</w:t>
      </w:r>
      <w:r w:rsidR="003422F5">
        <w:rPr>
          <w:rFonts w:cs="Arial"/>
        </w:rPr>
        <w:t xml:space="preserve">s decision in the </w:t>
      </w:r>
      <w:r w:rsidR="003422F5" w:rsidRPr="003422F5">
        <w:rPr>
          <w:rFonts w:cs="Arial"/>
          <w:i/>
        </w:rPr>
        <w:t>ESP II Case</w:t>
      </w:r>
      <w:r w:rsidR="003422F5">
        <w:rPr>
          <w:rFonts w:cs="Arial"/>
        </w:rPr>
        <w:t xml:space="preserve"> ignored </w:t>
      </w:r>
      <w:r>
        <w:rPr>
          <w:rFonts w:cs="Arial"/>
        </w:rPr>
        <w:t xml:space="preserve">fundamental </w:t>
      </w:r>
      <w:r w:rsidR="003422F5">
        <w:rPr>
          <w:rFonts w:cs="Arial"/>
        </w:rPr>
        <w:t>command</w:t>
      </w:r>
      <w:r>
        <w:rPr>
          <w:rFonts w:cs="Arial"/>
        </w:rPr>
        <w:t>s</w:t>
      </w:r>
      <w:r w:rsidR="003422F5">
        <w:rPr>
          <w:rFonts w:cs="Arial"/>
        </w:rPr>
        <w:t xml:space="preserve"> </w:t>
      </w:r>
      <w:r w:rsidR="00EA3765">
        <w:rPr>
          <w:rFonts w:cs="Arial"/>
        </w:rPr>
        <w:t xml:space="preserve">from </w:t>
      </w:r>
      <w:r w:rsidR="003422F5">
        <w:rPr>
          <w:rFonts w:cs="Arial"/>
        </w:rPr>
        <w:t>the General Assembly</w:t>
      </w:r>
      <w:r w:rsidR="00BE42A9">
        <w:rPr>
          <w:rFonts w:cs="Arial"/>
        </w:rPr>
        <w:t>.</w:t>
      </w:r>
      <w:r w:rsidR="003422F5">
        <w:rPr>
          <w:rFonts w:cs="Arial"/>
        </w:rPr>
        <w:t xml:space="preserve"> </w:t>
      </w:r>
      <w:r w:rsidR="008A1B6E">
        <w:rPr>
          <w:rFonts w:cs="Arial"/>
        </w:rPr>
        <w:t xml:space="preserve"> </w:t>
      </w:r>
      <w:r w:rsidR="00BE42A9">
        <w:rPr>
          <w:rFonts w:cs="Arial"/>
        </w:rPr>
        <w:t>A</w:t>
      </w:r>
      <w:r w:rsidR="003422F5">
        <w:rPr>
          <w:rFonts w:cs="Arial"/>
        </w:rPr>
        <w:t xml:space="preserve">nd, as a consequence, </w:t>
      </w:r>
      <w:r w:rsidR="00D64020">
        <w:rPr>
          <w:rFonts w:cs="Arial"/>
        </w:rPr>
        <w:t>Ohio Power Company</w:t>
      </w:r>
      <w:r w:rsidR="003E1F72">
        <w:rPr>
          <w:rFonts w:cs="Arial"/>
        </w:rPr>
        <w:t>’</w:t>
      </w:r>
      <w:r w:rsidR="003422F5">
        <w:rPr>
          <w:rFonts w:cs="Arial"/>
        </w:rPr>
        <w:t xml:space="preserve">s shopping and non-shopping customers are paying </w:t>
      </w:r>
      <w:r w:rsidR="00BE42A9">
        <w:rPr>
          <w:rFonts w:cs="Arial"/>
        </w:rPr>
        <w:t xml:space="preserve">a heavy price in the form of </w:t>
      </w:r>
      <w:r w:rsidR="003422F5">
        <w:rPr>
          <w:rFonts w:cs="Arial"/>
        </w:rPr>
        <w:t xml:space="preserve">above-market and non-bypassable </w:t>
      </w:r>
      <w:r>
        <w:rPr>
          <w:rFonts w:cs="Arial"/>
        </w:rPr>
        <w:t xml:space="preserve">generation-related </w:t>
      </w:r>
      <w:r w:rsidR="003422F5">
        <w:rPr>
          <w:rFonts w:cs="Arial"/>
        </w:rPr>
        <w:t>charges</w:t>
      </w:r>
      <w:r w:rsidR="00B6692C">
        <w:rPr>
          <w:rFonts w:cs="Arial"/>
        </w:rPr>
        <w:t>.</w:t>
      </w:r>
      <w:r w:rsidR="00F67C88">
        <w:rPr>
          <w:rStyle w:val="FootnoteReference"/>
          <w:rFonts w:cs="Arial"/>
        </w:rPr>
        <w:footnoteReference w:id="14"/>
      </w:r>
      <w:r w:rsidR="00AA30AC">
        <w:rPr>
          <w:rFonts w:cs="Arial"/>
        </w:rPr>
        <w:t xml:space="preserve">  Thus, </w:t>
      </w:r>
      <w:r w:rsidR="00795BCF">
        <w:rPr>
          <w:rFonts w:cs="Arial"/>
        </w:rPr>
        <w:t xml:space="preserve">this proceeding </w:t>
      </w:r>
      <w:r w:rsidR="0019355A">
        <w:rPr>
          <w:rFonts w:cs="Arial"/>
        </w:rPr>
        <w:t xml:space="preserve">essentially </w:t>
      </w:r>
      <w:r w:rsidR="00C7754F">
        <w:rPr>
          <w:rFonts w:cs="Arial"/>
        </w:rPr>
        <w:t xml:space="preserve">invites </w:t>
      </w:r>
      <w:r w:rsidR="00852FD1">
        <w:rPr>
          <w:rFonts w:cs="Arial"/>
        </w:rPr>
        <w:t xml:space="preserve">interested </w:t>
      </w:r>
      <w:r w:rsidR="00795BCF">
        <w:rPr>
          <w:rFonts w:cs="Arial"/>
        </w:rPr>
        <w:t xml:space="preserve">parties </w:t>
      </w:r>
      <w:r w:rsidR="00852FD1">
        <w:rPr>
          <w:rFonts w:cs="Arial"/>
        </w:rPr>
        <w:t xml:space="preserve">to assist the </w:t>
      </w:r>
      <w:r w:rsidR="00795BCF">
        <w:rPr>
          <w:rFonts w:cs="Arial"/>
        </w:rPr>
        <w:t xml:space="preserve">Commission </w:t>
      </w:r>
      <w:r w:rsidR="00852FD1">
        <w:rPr>
          <w:rFonts w:cs="Arial"/>
        </w:rPr>
        <w:t xml:space="preserve">in </w:t>
      </w:r>
      <w:r w:rsidR="00B6692C">
        <w:rPr>
          <w:rFonts w:cs="Arial"/>
        </w:rPr>
        <w:t xml:space="preserve">identifying </w:t>
      </w:r>
      <w:r w:rsidR="00A039DC">
        <w:rPr>
          <w:rFonts w:cs="Arial"/>
        </w:rPr>
        <w:t xml:space="preserve">means of mitigating the </w:t>
      </w:r>
      <w:r w:rsidR="00A039DC" w:rsidRPr="00A039DC">
        <w:rPr>
          <w:rFonts w:cs="Arial"/>
        </w:rPr>
        <w:t xml:space="preserve">adverse rate impacts </w:t>
      </w:r>
      <w:r w:rsidR="00EA5704">
        <w:rPr>
          <w:rFonts w:cs="Arial"/>
        </w:rPr>
        <w:t xml:space="preserve">created by the decision in the </w:t>
      </w:r>
      <w:r w:rsidR="00EA5704" w:rsidRPr="00013C0B">
        <w:rPr>
          <w:rFonts w:cs="Arial"/>
          <w:i/>
        </w:rPr>
        <w:t>ESP II Case</w:t>
      </w:r>
      <w:r w:rsidR="000668EE">
        <w:rPr>
          <w:rFonts w:cs="Arial"/>
          <w:i/>
        </w:rPr>
        <w:t xml:space="preserve">.  </w:t>
      </w:r>
      <w:r w:rsidR="00A42663">
        <w:rPr>
          <w:rFonts w:cs="Arial"/>
        </w:rPr>
        <w:t xml:space="preserve">In any event, </w:t>
      </w:r>
      <w:r w:rsidR="000D40F4">
        <w:rPr>
          <w:rFonts w:cs="Arial"/>
        </w:rPr>
        <w:t xml:space="preserve">the nature and extent of any </w:t>
      </w:r>
      <w:r w:rsidR="002736CB">
        <w:rPr>
          <w:rFonts w:cs="Arial"/>
        </w:rPr>
        <w:t xml:space="preserve">future </w:t>
      </w:r>
      <w:r w:rsidR="000668EE">
        <w:rPr>
          <w:rFonts w:cs="Arial"/>
        </w:rPr>
        <w:t>lawful</w:t>
      </w:r>
      <w:r w:rsidR="00EA3765">
        <w:rPr>
          <w:rStyle w:val="FootnoteReference"/>
          <w:rFonts w:cs="Arial"/>
        </w:rPr>
        <w:footnoteReference w:id="15"/>
      </w:r>
      <w:r w:rsidR="000668EE">
        <w:rPr>
          <w:rFonts w:cs="Arial"/>
        </w:rPr>
        <w:t xml:space="preserve"> </w:t>
      </w:r>
      <w:r w:rsidR="000D40F4">
        <w:rPr>
          <w:rFonts w:cs="Arial"/>
        </w:rPr>
        <w:t xml:space="preserve">mitigation </w:t>
      </w:r>
      <w:r w:rsidR="002736CB">
        <w:rPr>
          <w:rFonts w:cs="Arial"/>
        </w:rPr>
        <w:t xml:space="preserve">of the unnecessary damage caused </w:t>
      </w:r>
      <w:r w:rsidR="002736CB">
        <w:rPr>
          <w:rFonts w:cs="Arial"/>
        </w:rPr>
        <w:lastRenderedPageBreak/>
        <w:t xml:space="preserve">by the </w:t>
      </w:r>
      <w:r w:rsidR="002736CB" w:rsidRPr="002736CB">
        <w:rPr>
          <w:rFonts w:cs="Arial"/>
          <w:i/>
        </w:rPr>
        <w:t>ESP II Case</w:t>
      </w:r>
      <w:r w:rsidR="002736CB">
        <w:rPr>
          <w:rFonts w:cs="Arial"/>
        </w:rPr>
        <w:t xml:space="preserve"> </w:t>
      </w:r>
      <w:r w:rsidR="000D40F4">
        <w:rPr>
          <w:rFonts w:cs="Arial"/>
        </w:rPr>
        <w:t xml:space="preserve">cannot be determined until </w:t>
      </w:r>
      <w:r w:rsidR="00A039DC">
        <w:rPr>
          <w:rFonts w:cs="Arial"/>
        </w:rPr>
        <w:t xml:space="preserve">issues in </w:t>
      </w:r>
      <w:r w:rsidR="000D40F4">
        <w:rPr>
          <w:rFonts w:cs="Arial"/>
        </w:rPr>
        <w:t xml:space="preserve">other </w:t>
      </w:r>
      <w:r w:rsidR="00A039DC">
        <w:rPr>
          <w:rFonts w:cs="Arial"/>
        </w:rPr>
        <w:t xml:space="preserve">current and future cases </w:t>
      </w:r>
      <w:r w:rsidR="000D40F4">
        <w:rPr>
          <w:rFonts w:cs="Arial"/>
        </w:rPr>
        <w:t>are resolved.</w:t>
      </w:r>
    </w:p>
    <w:p w:rsidR="00852FD1" w:rsidRDefault="00AA30AC" w:rsidP="002736CB">
      <w:pPr>
        <w:autoSpaceDE w:val="0"/>
        <w:autoSpaceDN w:val="0"/>
        <w:adjustRightInd w:val="0"/>
        <w:spacing w:line="480" w:lineRule="auto"/>
        <w:ind w:firstLine="720"/>
        <w:jc w:val="both"/>
        <w:rPr>
          <w:rFonts w:cs="Arial"/>
        </w:rPr>
      </w:pPr>
      <w:r>
        <w:rPr>
          <w:rFonts w:cs="Arial"/>
        </w:rPr>
        <w:t>T</w:t>
      </w:r>
      <w:r w:rsidR="000D40F4">
        <w:rPr>
          <w:rFonts w:cs="Arial"/>
        </w:rPr>
        <w:t xml:space="preserve">he total bill outcomes </w:t>
      </w:r>
      <w:r>
        <w:rPr>
          <w:rFonts w:cs="Arial"/>
        </w:rPr>
        <w:t xml:space="preserve">produced by </w:t>
      </w:r>
      <w:r w:rsidR="001C01DD">
        <w:rPr>
          <w:rFonts w:cs="Arial"/>
        </w:rPr>
        <w:t xml:space="preserve">all the moving parts of </w:t>
      </w:r>
      <w:r w:rsidR="000D40F4">
        <w:rPr>
          <w:rFonts w:cs="Arial"/>
        </w:rPr>
        <w:t xml:space="preserve">the current </w:t>
      </w:r>
      <w:r w:rsidR="002736CB">
        <w:rPr>
          <w:rFonts w:cs="Arial"/>
        </w:rPr>
        <w:t xml:space="preserve">and past </w:t>
      </w:r>
      <w:r w:rsidR="00A039DC">
        <w:rPr>
          <w:rFonts w:cs="Arial"/>
        </w:rPr>
        <w:t xml:space="preserve">Ohio Power Company </w:t>
      </w:r>
      <w:r w:rsidR="000D40F4">
        <w:rPr>
          <w:rFonts w:cs="Arial"/>
        </w:rPr>
        <w:t>ESP</w:t>
      </w:r>
      <w:r w:rsidR="002736CB">
        <w:rPr>
          <w:rFonts w:cs="Arial"/>
        </w:rPr>
        <w:t>s, including the effect of non</w:t>
      </w:r>
      <w:r w:rsidR="008A1B6E">
        <w:rPr>
          <w:rFonts w:cs="Arial"/>
        </w:rPr>
        <w:t>-</w:t>
      </w:r>
      <w:r w:rsidR="002736CB">
        <w:rPr>
          <w:rFonts w:cs="Arial"/>
        </w:rPr>
        <w:t>bypassable charges to collect delayed rate increases,</w:t>
      </w:r>
      <w:r w:rsidR="000D40F4">
        <w:rPr>
          <w:rFonts w:cs="Arial"/>
        </w:rPr>
        <w:t xml:space="preserve"> </w:t>
      </w:r>
      <w:r w:rsidR="0046033E">
        <w:rPr>
          <w:rFonts w:cs="Arial"/>
        </w:rPr>
        <w:t xml:space="preserve">are presently unknown.  Beginning June 1, 2015, </w:t>
      </w:r>
      <w:r w:rsidR="00A039DC">
        <w:rPr>
          <w:rFonts w:cs="Arial"/>
        </w:rPr>
        <w:t>Ohio Power Company</w:t>
      </w:r>
      <w:r w:rsidR="003E1F72">
        <w:rPr>
          <w:rFonts w:cs="Arial"/>
        </w:rPr>
        <w:t>’</w:t>
      </w:r>
      <w:r w:rsidR="00A039DC">
        <w:rPr>
          <w:rFonts w:cs="Arial"/>
        </w:rPr>
        <w:t xml:space="preserve">s </w:t>
      </w:r>
      <w:r w:rsidR="0046033E">
        <w:rPr>
          <w:rFonts w:cs="Arial"/>
        </w:rPr>
        <w:t xml:space="preserve">next </w:t>
      </w:r>
      <w:r w:rsidR="00D20E7F">
        <w:rPr>
          <w:rFonts w:cs="Arial"/>
        </w:rPr>
        <w:t xml:space="preserve">SSO [which </w:t>
      </w:r>
      <w:r w:rsidR="0047700F">
        <w:rPr>
          <w:rFonts w:cs="Arial"/>
        </w:rPr>
        <w:t xml:space="preserve">may be </w:t>
      </w:r>
      <w:r w:rsidR="00D20E7F">
        <w:rPr>
          <w:rFonts w:cs="Arial"/>
        </w:rPr>
        <w:t>propose</w:t>
      </w:r>
      <w:r w:rsidR="00A039DC">
        <w:rPr>
          <w:rFonts w:cs="Arial"/>
        </w:rPr>
        <w:t>d</w:t>
      </w:r>
      <w:r w:rsidR="00D20E7F">
        <w:rPr>
          <w:rFonts w:cs="Arial"/>
        </w:rPr>
        <w:t xml:space="preserve"> in the form of an </w:t>
      </w:r>
      <w:r w:rsidR="000D40F4">
        <w:rPr>
          <w:rFonts w:cs="Arial"/>
        </w:rPr>
        <w:t xml:space="preserve">ESP </w:t>
      </w:r>
      <w:r w:rsidR="002736CB">
        <w:rPr>
          <w:rFonts w:cs="Arial"/>
        </w:rPr>
        <w:t>or the alternative market rate offer (</w:t>
      </w:r>
      <w:r w:rsidR="003E1F72">
        <w:rPr>
          <w:rFonts w:cs="Arial"/>
        </w:rPr>
        <w:t>“</w:t>
      </w:r>
      <w:r w:rsidR="002736CB">
        <w:rPr>
          <w:rFonts w:cs="Arial"/>
        </w:rPr>
        <w:t>MRO</w:t>
      </w:r>
      <w:r w:rsidR="003E1F72">
        <w:rPr>
          <w:rFonts w:cs="Arial"/>
        </w:rPr>
        <w:t>”</w:t>
      </w:r>
      <w:r w:rsidR="002736CB">
        <w:rPr>
          <w:rFonts w:cs="Arial"/>
        </w:rPr>
        <w:t>)</w:t>
      </w:r>
      <w:r w:rsidR="00D20E7F">
        <w:rPr>
          <w:rFonts w:cs="Arial"/>
        </w:rPr>
        <w:t>]</w:t>
      </w:r>
      <w:r w:rsidR="0046033E">
        <w:rPr>
          <w:rFonts w:cs="Arial"/>
        </w:rPr>
        <w:t xml:space="preserve"> will, as things presently stand, likely affect the electric bills of shopping and non-shopping customers</w:t>
      </w:r>
      <w:r w:rsidR="000668EE">
        <w:rPr>
          <w:rFonts w:cs="Arial"/>
        </w:rPr>
        <w:t xml:space="preserve"> and it is presently unknown</w:t>
      </w:r>
      <w:r w:rsidR="001C01DD">
        <w:rPr>
          <w:rFonts w:cs="Arial"/>
        </w:rPr>
        <w:t xml:space="preserve">. </w:t>
      </w:r>
      <w:r w:rsidR="000D40F4">
        <w:rPr>
          <w:rFonts w:cs="Arial"/>
        </w:rPr>
        <w:t xml:space="preserve"> </w:t>
      </w:r>
      <w:r w:rsidR="00205975">
        <w:rPr>
          <w:rFonts w:cs="Arial"/>
        </w:rPr>
        <w:t>I</w:t>
      </w:r>
      <w:r w:rsidR="00F46E4A">
        <w:rPr>
          <w:rFonts w:cs="Arial"/>
        </w:rPr>
        <w:t xml:space="preserve">t is not currently possible to identify any means </w:t>
      </w:r>
      <w:r w:rsidR="000668EE">
        <w:rPr>
          <w:rFonts w:cs="Arial"/>
        </w:rPr>
        <w:t xml:space="preserve">which might be lawfully applied </w:t>
      </w:r>
      <w:r w:rsidR="00F46E4A" w:rsidRPr="00F46E4A">
        <w:rPr>
          <w:rFonts w:cs="Arial"/>
        </w:rPr>
        <w:t xml:space="preserve">to </w:t>
      </w:r>
      <w:r w:rsidR="003E1F72">
        <w:rPr>
          <w:rFonts w:cs="Arial"/>
        </w:rPr>
        <w:t>“</w:t>
      </w:r>
      <w:r w:rsidR="00F46E4A">
        <w:rPr>
          <w:rFonts w:cs="Arial"/>
        </w:rPr>
        <w:t>…</w:t>
      </w:r>
      <w:r w:rsidR="0047700F">
        <w:rPr>
          <w:rFonts w:cs="Arial"/>
        </w:rPr>
        <w:t> </w:t>
      </w:r>
      <w:r w:rsidR="00F46E4A" w:rsidRPr="00F46E4A">
        <w:rPr>
          <w:rFonts w:cs="Arial"/>
        </w:rPr>
        <w:t>mitigate any potential adverse rate impacts from the shift to market based rates</w:t>
      </w:r>
      <w:r w:rsidR="0047700F">
        <w:rPr>
          <w:rFonts w:cs="Arial"/>
        </w:rPr>
        <w:t> </w:t>
      </w:r>
      <w:r w:rsidR="00F46E4A">
        <w:rPr>
          <w:rFonts w:cs="Arial"/>
        </w:rPr>
        <w:t>…</w:t>
      </w:r>
      <w:r w:rsidR="003E1F72">
        <w:rPr>
          <w:rFonts w:cs="Arial"/>
        </w:rPr>
        <w:t>”</w:t>
      </w:r>
      <w:r w:rsidR="0047700F">
        <w:rPr>
          <w:rStyle w:val="FootnoteReference"/>
          <w:rFonts w:cs="Arial"/>
        </w:rPr>
        <w:footnoteReference w:id="16"/>
      </w:r>
      <w:r w:rsidR="00C7754F">
        <w:rPr>
          <w:rFonts w:cs="Arial"/>
        </w:rPr>
        <w:t xml:space="preserve"> </w:t>
      </w:r>
      <w:r w:rsidR="00205975">
        <w:rPr>
          <w:rFonts w:cs="Arial"/>
        </w:rPr>
        <w:t xml:space="preserve">because </w:t>
      </w:r>
      <w:r w:rsidR="00C7754F">
        <w:rPr>
          <w:rFonts w:cs="Arial"/>
        </w:rPr>
        <w:t xml:space="preserve">the extent and nature of </w:t>
      </w:r>
      <w:r w:rsidR="00205975">
        <w:rPr>
          <w:rFonts w:cs="Arial"/>
        </w:rPr>
        <w:t xml:space="preserve">adverse </w:t>
      </w:r>
      <w:r w:rsidR="00C7754F">
        <w:rPr>
          <w:rFonts w:cs="Arial"/>
        </w:rPr>
        <w:t xml:space="preserve">rate impacts </w:t>
      </w:r>
      <w:r w:rsidR="00205975">
        <w:rPr>
          <w:rFonts w:cs="Arial"/>
        </w:rPr>
        <w:t xml:space="preserve">are </w:t>
      </w:r>
      <w:r w:rsidR="00BE42A9">
        <w:rPr>
          <w:rFonts w:cs="Arial"/>
        </w:rPr>
        <w:t xml:space="preserve">presently </w:t>
      </w:r>
      <w:r w:rsidR="00205975">
        <w:rPr>
          <w:rFonts w:cs="Arial"/>
        </w:rPr>
        <w:t>unknown</w:t>
      </w:r>
      <w:r w:rsidR="000668EE">
        <w:rPr>
          <w:rFonts w:cs="Arial"/>
        </w:rPr>
        <w:t xml:space="preserve">.  </w:t>
      </w:r>
    </w:p>
    <w:p w:rsidR="001C01DD" w:rsidRDefault="001C01DD" w:rsidP="003D22CA">
      <w:pPr>
        <w:autoSpaceDE w:val="0"/>
        <w:autoSpaceDN w:val="0"/>
        <w:adjustRightInd w:val="0"/>
        <w:spacing w:line="480" w:lineRule="auto"/>
        <w:jc w:val="both"/>
        <w:rPr>
          <w:rFonts w:cs="Arial"/>
        </w:rPr>
      </w:pPr>
      <w:r>
        <w:rPr>
          <w:rFonts w:cs="Arial"/>
        </w:rPr>
        <w:tab/>
      </w:r>
      <w:r w:rsidR="000668EE">
        <w:rPr>
          <w:rFonts w:cs="Arial"/>
        </w:rPr>
        <w:t xml:space="preserve">From a </w:t>
      </w:r>
      <w:r w:rsidR="00205975">
        <w:rPr>
          <w:rFonts w:cs="Arial"/>
        </w:rPr>
        <w:t xml:space="preserve">qualitative </w:t>
      </w:r>
      <w:r w:rsidR="000668EE">
        <w:rPr>
          <w:rFonts w:cs="Arial"/>
        </w:rPr>
        <w:t>perspective, IEU-Ohio also suggests that the Commission</w:t>
      </w:r>
      <w:r w:rsidR="003E1F72">
        <w:rPr>
          <w:rFonts w:cs="Arial"/>
        </w:rPr>
        <w:t>’</w:t>
      </w:r>
      <w:r w:rsidR="00C244AA">
        <w:rPr>
          <w:rFonts w:cs="Arial"/>
        </w:rPr>
        <w:t xml:space="preserve">s interest </w:t>
      </w:r>
      <w:r w:rsidR="00C7754F">
        <w:rPr>
          <w:rFonts w:cs="Arial"/>
        </w:rPr>
        <w:t xml:space="preserve">in </w:t>
      </w:r>
      <w:r w:rsidR="00C244AA">
        <w:rPr>
          <w:rFonts w:cs="Arial"/>
        </w:rPr>
        <w:t xml:space="preserve">means to   </w:t>
      </w:r>
      <w:r w:rsidR="003E1F72">
        <w:rPr>
          <w:rFonts w:cs="Arial"/>
        </w:rPr>
        <w:t>“</w:t>
      </w:r>
      <w:r w:rsidR="00C244AA">
        <w:rPr>
          <w:rFonts w:cs="Arial"/>
        </w:rPr>
        <w:t>…</w:t>
      </w:r>
      <w:r w:rsidR="0047700F">
        <w:rPr>
          <w:rFonts w:cs="Arial"/>
        </w:rPr>
        <w:t> </w:t>
      </w:r>
      <w:r w:rsidR="00C244AA" w:rsidRPr="00F46E4A">
        <w:rPr>
          <w:rFonts w:cs="Arial"/>
        </w:rPr>
        <w:t>mitigate any potential adverse rate impacts from the shift to market based rates</w:t>
      </w:r>
      <w:r w:rsidR="0047700F">
        <w:rPr>
          <w:rFonts w:cs="Arial"/>
        </w:rPr>
        <w:t> </w:t>
      </w:r>
      <w:r w:rsidR="00C244AA">
        <w:rPr>
          <w:rFonts w:cs="Arial"/>
        </w:rPr>
        <w:t>…</w:t>
      </w:r>
      <w:r w:rsidR="003E1F72">
        <w:rPr>
          <w:rFonts w:cs="Arial"/>
        </w:rPr>
        <w:t>”</w:t>
      </w:r>
      <w:r w:rsidR="0047700F">
        <w:rPr>
          <w:rStyle w:val="FootnoteReference"/>
          <w:rFonts w:cs="Arial"/>
        </w:rPr>
        <w:footnoteReference w:id="17"/>
      </w:r>
      <w:r w:rsidR="00C244AA">
        <w:rPr>
          <w:rFonts w:cs="Arial"/>
        </w:rPr>
        <w:t xml:space="preserve"> should include an explicit bias for market-based means.  </w:t>
      </w:r>
      <w:r w:rsidR="008F3ADC">
        <w:rPr>
          <w:rFonts w:cs="Arial"/>
        </w:rPr>
        <w:t xml:space="preserve">  </w:t>
      </w:r>
      <w:r w:rsidR="00A87300">
        <w:rPr>
          <w:rFonts w:cs="Arial"/>
        </w:rPr>
        <w:t>For example, aggregation and competitive sourcing</w:t>
      </w:r>
      <w:r w:rsidR="00B97AFE">
        <w:rPr>
          <w:rFonts w:cs="Arial"/>
        </w:rPr>
        <w:t xml:space="preserve"> of</w:t>
      </w:r>
      <w:r w:rsidR="00A87300">
        <w:rPr>
          <w:rFonts w:cs="Arial"/>
        </w:rPr>
        <w:t xml:space="preserve"> generation supply could work to mitigate the </w:t>
      </w:r>
      <w:r w:rsidR="00C244AA" w:rsidRPr="00F46E4A">
        <w:rPr>
          <w:rFonts w:cs="Arial"/>
        </w:rPr>
        <w:t xml:space="preserve">adverse rate impacts </w:t>
      </w:r>
      <w:r w:rsidR="00A87300">
        <w:rPr>
          <w:rFonts w:cs="Arial"/>
        </w:rPr>
        <w:t xml:space="preserve">of </w:t>
      </w:r>
      <w:r w:rsidR="00C244AA">
        <w:rPr>
          <w:rFonts w:cs="Arial"/>
        </w:rPr>
        <w:t>Ohio Power Company</w:t>
      </w:r>
      <w:r w:rsidR="003E1F72">
        <w:rPr>
          <w:rFonts w:cs="Arial"/>
        </w:rPr>
        <w:t>’</w:t>
      </w:r>
      <w:r w:rsidR="00C244AA">
        <w:rPr>
          <w:rFonts w:cs="Arial"/>
        </w:rPr>
        <w:t xml:space="preserve">s </w:t>
      </w:r>
      <w:r w:rsidR="00FD114E">
        <w:rPr>
          <w:rFonts w:cs="Arial"/>
        </w:rPr>
        <w:t>current and next SSO on residential customers receiving assistance from the Universal Service Fund (</w:t>
      </w:r>
      <w:r w:rsidR="003E1F72">
        <w:rPr>
          <w:rFonts w:cs="Arial"/>
        </w:rPr>
        <w:t>“</w:t>
      </w:r>
      <w:r w:rsidR="00FD114E">
        <w:rPr>
          <w:rFonts w:cs="Arial"/>
        </w:rPr>
        <w:t>USF</w:t>
      </w:r>
      <w:r w:rsidR="003E1F72">
        <w:rPr>
          <w:rFonts w:cs="Arial"/>
        </w:rPr>
        <w:t>”</w:t>
      </w:r>
      <w:r w:rsidR="00FD114E">
        <w:rPr>
          <w:rFonts w:cs="Arial"/>
        </w:rPr>
        <w:t>).  Common sense and Ohio</w:t>
      </w:r>
      <w:r w:rsidR="003E1F72">
        <w:rPr>
          <w:rFonts w:cs="Arial"/>
        </w:rPr>
        <w:t>’</w:t>
      </w:r>
      <w:r w:rsidR="00FD114E">
        <w:rPr>
          <w:rFonts w:cs="Arial"/>
        </w:rPr>
        <w:t xml:space="preserve">s pro-competitive policies suggest that market-based </w:t>
      </w:r>
      <w:r w:rsidR="00FD114E">
        <w:rPr>
          <w:rFonts w:cs="Arial"/>
        </w:rPr>
        <w:lastRenderedPageBreak/>
        <w:t xml:space="preserve">approaches must </w:t>
      </w:r>
      <w:r w:rsidR="00597385">
        <w:rPr>
          <w:rFonts w:cs="Arial"/>
        </w:rPr>
        <w:t>be applied when they can effectively and lawfully serve the public interest while ensuring the effectuation</w:t>
      </w:r>
      <w:r w:rsidR="00597385">
        <w:rPr>
          <w:rStyle w:val="FootnoteReference"/>
          <w:rFonts w:cs="Arial"/>
        </w:rPr>
        <w:footnoteReference w:id="18"/>
      </w:r>
      <w:r w:rsidR="00597385">
        <w:rPr>
          <w:rFonts w:cs="Arial"/>
        </w:rPr>
        <w:t xml:space="preserve"> of the policies in Section 4928.02, Revised Code.</w:t>
      </w:r>
      <w:r w:rsidR="00597385" w:rsidDel="00597385">
        <w:rPr>
          <w:rFonts w:cs="Arial"/>
        </w:rPr>
        <w:t xml:space="preserve"> </w:t>
      </w:r>
    </w:p>
    <w:p w:rsidR="00B97AFE" w:rsidRDefault="00B97AFE" w:rsidP="00B97AFE">
      <w:pPr>
        <w:ind w:left="4320"/>
        <w:rPr>
          <w:rFonts w:eastAsia="Times New Roman" w:cs="Arial"/>
        </w:rPr>
      </w:pPr>
      <w:r w:rsidRPr="00FB6529">
        <w:rPr>
          <w:rFonts w:eastAsia="Times New Roman" w:cs="Arial"/>
        </w:rPr>
        <w:t>Respectfully submitted,</w:t>
      </w:r>
    </w:p>
    <w:p w:rsidR="00B97AFE" w:rsidRPr="00FB6529" w:rsidRDefault="00B97AFE" w:rsidP="00B97AFE">
      <w:pPr>
        <w:ind w:left="4320"/>
        <w:rPr>
          <w:rFonts w:eastAsia="Times New Roman" w:cs="Arial"/>
        </w:rPr>
      </w:pPr>
    </w:p>
    <w:p w:rsidR="00B97AFE" w:rsidRDefault="00B97AFE" w:rsidP="00B97AFE">
      <w:pPr>
        <w:ind w:left="4320"/>
        <w:rPr>
          <w:rFonts w:eastAsia="Times New Roman" w:cs="Arial"/>
        </w:rPr>
      </w:pPr>
    </w:p>
    <w:p w:rsidR="00B97AFE" w:rsidRPr="005F0BF9" w:rsidRDefault="00B97AFE" w:rsidP="00B97AFE">
      <w:pPr>
        <w:tabs>
          <w:tab w:val="right" w:pos="9360"/>
        </w:tabs>
        <w:ind w:left="4320"/>
        <w:rPr>
          <w:rFonts w:eastAsia="Times New Roman" w:cs="Arial"/>
          <w:u w:val="single"/>
        </w:rPr>
      </w:pPr>
      <w:r w:rsidRPr="005F0BF9">
        <w:rPr>
          <w:rFonts w:eastAsia="Times New Roman" w:cs="Arial"/>
          <w:u w:val="single"/>
        </w:rPr>
        <w:t>/s/ Samuel C. Randazzo</w:t>
      </w:r>
      <w:r w:rsidRPr="005F0BF9">
        <w:rPr>
          <w:rFonts w:eastAsia="Times New Roman" w:cs="Arial"/>
          <w:u w:val="single"/>
        </w:rPr>
        <w:tab/>
      </w:r>
    </w:p>
    <w:p w:rsidR="00B97AFE" w:rsidRPr="00141048" w:rsidRDefault="00B97AFE" w:rsidP="00B97AFE">
      <w:pPr>
        <w:ind w:left="4320"/>
        <w:rPr>
          <w:rFonts w:eastAsia="Times New Roman" w:cs="Arial"/>
        </w:rPr>
      </w:pPr>
      <w:r w:rsidRPr="00141048">
        <w:rPr>
          <w:rFonts w:eastAsia="Times New Roman" w:cs="Arial"/>
        </w:rPr>
        <w:t>Samuel C. Randazzo (Counsel of Record)</w:t>
      </w:r>
    </w:p>
    <w:p w:rsidR="00B97AFE" w:rsidRPr="00FB6529" w:rsidRDefault="00B97AFE" w:rsidP="00B97AFE">
      <w:pPr>
        <w:ind w:left="4320"/>
        <w:rPr>
          <w:rFonts w:eastAsia="Times New Roman" w:cs="Arial"/>
        </w:rPr>
      </w:pPr>
      <w:r w:rsidRPr="00FB6529">
        <w:rPr>
          <w:rFonts w:eastAsia="Times New Roman" w:cs="Arial"/>
        </w:rPr>
        <w:t xml:space="preserve">Frank P. Darr </w:t>
      </w:r>
    </w:p>
    <w:p w:rsidR="00B97AFE" w:rsidRPr="00FB6529" w:rsidRDefault="00B97AFE" w:rsidP="00B97AFE">
      <w:pPr>
        <w:ind w:left="4320"/>
        <w:rPr>
          <w:rFonts w:eastAsia="Times New Roman" w:cs="Arial"/>
        </w:rPr>
      </w:pPr>
      <w:r w:rsidRPr="00FB6529">
        <w:rPr>
          <w:rFonts w:eastAsia="Times New Roman" w:cs="Arial"/>
        </w:rPr>
        <w:t>Joseph E. Oliker</w:t>
      </w:r>
    </w:p>
    <w:p w:rsidR="00B97AFE" w:rsidRPr="00FB6529" w:rsidRDefault="00B97AFE" w:rsidP="00B97AFE">
      <w:pPr>
        <w:ind w:left="4320"/>
        <w:rPr>
          <w:rFonts w:eastAsia="Times New Roman" w:cs="Arial"/>
        </w:rPr>
      </w:pPr>
      <w:r w:rsidRPr="00FB6529">
        <w:rPr>
          <w:rFonts w:eastAsia="Times New Roman" w:cs="Arial"/>
        </w:rPr>
        <w:t>Matthew R. Pritchard</w:t>
      </w:r>
    </w:p>
    <w:p w:rsidR="00B97AFE" w:rsidRPr="00FB6529" w:rsidRDefault="00B97AFE" w:rsidP="00B97AFE">
      <w:pPr>
        <w:ind w:left="4320"/>
        <w:rPr>
          <w:rFonts w:eastAsia="Times New Roman" w:cs="Arial"/>
          <w:bCs/>
        </w:rPr>
      </w:pPr>
      <w:r w:rsidRPr="00FB6529">
        <w:rPr>
          <w:rFonts w:eastAsia="Times New Roman" w:cs="Arial"/>
          <w:bCs/>
        </w:rPr>
        <w:t>McNees Wallace &amp; Nurick LLC</w:t>
      </w:r>
    </w:p>
    <w:p w:rsidR="00B97AFE" w:rsidRPr="00FB6529" w:rsidRDefault="00B97AFE" w:rsidP="00B97AFE">
      <w:pPr>
        <w:tabs>
          <w:tab w:val="left" w:pos="720"/>
          <w:tab w:val="left" w:pos="1440"/>
          <w:tab w:val="left" w:pos="2160"/>
          <w:tab w:val="left" w:pos="2880"/>
          <w:tab w:val="left" w:pos="3600"/>
          <w:tab w:val="left" w:pos="4320"/>
          <w:tab w:val="left" w:pos="5040"/>
          <w:tab w:val="left" w:pos="5760"/>
          <w:tab w:val="left" w:pos="6860"/>
        </w:tabs>
        <w:ind w:left="4320"/>
        <w:rPr>
          <w:rFonts w:eastAsia="Times New Roman" w:cs="Arial"/>
          <w:bCs/>
        </w:rPr>
      </w:pPr>
      <w:r w:rsidRPr="00FB6529">
        <w:rPr>
          <w:rFonts w:eastAsia="Times New Roman" w:cs="Arial"/>
          <w:bCs/>
        </w:rPr>
        <w:t>Fifth Third Center</w:t>
      </w:r>
    </w:p>
    <w:p w:rsidR="00B97AFE" w:rsidRPr="00FB6529" w:rsidRDefault="00B97AFE" w:rsidP="00B97AFE">
      <w:pPr>
        <w:ind w:left="4320"/>
        <w:rPr>
          <w:rFonts w:eastAsia="Times New Roman" w:cs="Arial"/>
          <w:bCs/>
        </w:rPr>
      </w:pPr>
      <w:r w:rsidRPr="00FB6529">
        <w:rPr>
          <w:rFonts w:eastAsia="Times New Roman" w:cs="Arial"/>
          <w:bCs/>
        </w:rPr>
        <w:t>21 East State Street, 17</w:t>
      </w:r>
      <w:r w:rsidRPr="00FB6529">
        <w:rPr>
          <w:rFonts w:eastAsia="Times New Roman" w:cs="Arial"/>
          <w:bCs/>
          <w:vertAlign w:val="superscript"/>
        </w:rPr>
        <w:t>th</w:t>
      </w:r>
      <w:r w:rsidRPr="00FB6529">
        <w:rPr>
          <w:rFonts w:eastAsia="Times New Roman" w:cs="Arial"/>
          <w:bCs/>
        </w:rPr>
        <w:t xml:space="preserve"> Floor</w:t>
      </w:r>
    </w:p>
    <w:p w:rsidR="00B97AFE" w:rsidRPr="00FB6529" w:rsidRDefault="00B97AFE" w:rsidP="00B97AFE">
      <w:pPr>
        <w:ind w:left="4320"/>
        <w:rPr>
          <w:rFonts w:eastAsia="Times New Roman" w:cs="Arial"/>
          <w:bCs/>
        </w:rPr>
      </w:pPr>
      <w:r w:rsidRPr="00FB6529">
        <w:rPr>
          <w:rFonts w:eastAsia="Times New Roman" w:cs="Arial"/>
          <w:bCs/>
        </w:rPr>
        <w:t>Columbus, OH  43215</w:t>
      </w:r>
    </w:p>
    <w:p w:rsidR="00B97AFE" w:rsidRPr="00FB6529" w:rsidRDefault="00B97AFE" w:rsidP="00B97AFE">
      <w:pPr>
        <w:autoSpaceDE w:val="0"/>
        <w:autoSpaceDN w:val="0"/>
        <w:adjustRightInd w:val="0"/>
        <w:ind w:left="4320"/>
        <w:rPr>
          <w:rFonts w:eastAsia="Times New Roman" w:cs="Arial"/>
        </w:rPr>
      </w:pPr>
      <w:r w:rsidRPr="00FB6529">
        <w:rPr>
          <w:rFonts w:eastAsia="Times New Roman" w:cs="Arial"/>
        </w:rPr>
        <w:t>Telephone: 614-469-8000</w:t>
      </w:r>
    </w:p>
    <w:p w:rsidR="00B97AFE" w:rsidRDefault="00B97AFE" w:rsidP="00B97AFE">
      <w:pPr>
        <w:autoSpaceDE w:val="0"/>
        <w:autoSpaceDN w:val="0"/>
        <w:adjustRightInd w:val="0"/>
        <w:ind w:left="4320"/>
        <w:rPr>
          <w:rFonts w:eastAsia="Times New Roman" w:cs="Arial"/>
          <w:bCs/>
          <w:smallCaps/>
        </w:rPr>
      </w:pPr>
      <w:r w:rsidRPr="00FB6529">
        <w:rPr>
          <w:rFonts w:eastAsia="Times New Roman" w:cs="Arial"/>
        </w:rPr>
        <w:t xml:space="preserve">Telecopier: </w:t>
      </w:r>
      <w:r w:rsidRPr="00FB6529">
        <w:rPr>
          <w:rFonts w:eastAsia="Times New Roman" w:cs="Arial"/>
          <w:bCs/>
          <w:smallCaps/>
        </w:rPr>
        <w:t>614-469-4653</w:t>
      </w:r>
    </w:p>
    <w:p w:rsidR="00B97AFE" w:rsidRPr="00DE4C0B" w:rsidRDefault="00B97AFE" w:rsidP="00B97AFE">
      <w:pPr>
        <w:autoSpaceDE w:val="0"/>
        <w:autoSpaceDN w:val="0"/>
        <w:adjustRightInd w:val="0"/>
        <w:ind w:left="4320"/>
        <w:rPr>
          <w:rFonts w:eastAsia="Times New Roman" w:cs="Arial"/>
          <w:bCs/>
        </w:rPr>
      </w:pPr>
      <w:r>
        <w:rPr>
          <w:rFonts w:eastAsia="Times New Roman" w:cs="Arial"/>
          <w:bCs/>
        </w:rPr>
        <w:t>sam@mwncmh.com</w:t>
      </w:r>
    </w:p>
    <w:p w:rsidR="00B97AFE" w:rsidRPr="00FB6529" w:rsidRDefault="00B97AFE" w:rsidP="00B97AFE">
      <w:pPr>
        <w:autoSpaceDE w:val="0"/>
        <w:autoSpaceDN w:val="0"/>
        <w:adjustRightInd w:val="0"/>
        <w:ind w:left="4320"/>
        <w:rPr>
          <w:rFonts w:eastAsia="Times New Roman" w:cs="Arial"/>
          <w:bCs/>
        </w:rPr>
      </w:pPr>
      <w:r w:rsidRPr="00FB6529">
        <w:rPr>
          <w:rFonts w:eastAsia="Times New Roman" w:cs="Arial"/>
          <w:bCs/>
        </w:rPr>
        <w:t xml:space="preserve">fdarr@mwncmh.com </w:t>
      </w:r>
    </w:p>
    <w:p w:rsidR="00B97AFE" w:rsidRPr="00FB6529" w:rsidRDefault="00B97AFE" w:rsidP="00B97AFE">
      <w:pPr>
        <w:autoSpaceDE w:val="0"/>
        <w:autoSpaceDN w:val="0"/>
        <w:adjustRightInd w:val="0"/>
        <w:ind w:left="4320"/>
        <w:rPr>
          <w:rFonts w:eastAsia="Times New Roman" w:cs="Arial"/>
          <w:bCs/>
        </w:rPr>
      </w:pPr>
      <w:r w:rsidRPr="00FB6529">
        <w:rPr>
          <w:rFonts w:eastAsia="Times New Roman" w:cs="Arial"/>
          <w:bCs/>
        </w:rPr>
        <w:t xml:space="preserve">joliker@mwncmh.com </w:t>
      </w:r>
    </w:p>
    <w:p w:rsidR="00B97AFE" w:rsidRPr="00FB6529" w:rsidRDefault="00B97AFE" w:rsidP="00B97AFE">
      <w:pPr>
        <w:autoSpaceDE w:val="0"/>
        <w:autoSpaceDN w:val="0"/>
        <w:adjustRightInd w:val="0"/>
        <w:ind w:left="4320"/>
        <w:rPr>
          <w:rFonts w:eastAsia="Times New Roman" w:cs="Arial"/>
          <w:bCs/>
        </w:rPr>
      </w:pPr>
      <w:r w:rsidRPr="00FB6529">
        <w:rPr>
          <w:rFonts w:eastAsia="Times New Roman" w:cs="Arial"/>
          <w:bCs/>
        </w:rPr>
        <w:t xml:space="preserve">mpritchard@mwncmh.com </w:t>
      </w:r>
    </w:p>
    <w:p w:rsidR="00B97AFE" w:rsidRPr="00FB6529" w:rsidRDefault="00B97AFE" w:rsidP="00B97AFE">
      <w:pPr>
        <w:autoSpaceDE w:val="0"/>
        <w:autoSpaceDN w:val="0"/>
        <w:adjustRightInd w:val="0"/>
        <w:ind w:left="4320"/>
        <w:rPr>
          <w:rFonts w:eastAsia="Times New Roman" w:cs="Arial"/>
          <w:bCs/>
        </w:rPr>
      </w:pPr>
    </w:p>
    <w:p w:rsidR="00B97AFE" w:rsidRDefault="00B97AFE" w:rsidP="00B97AFE">
      <w:pPr>
        <w:ind w:left="4320" w:right="-720"/>
        <w:rPr>
          <w:rFonts w:eastAsia="Times New Roman" w:cs="Arial"/>
          <w:b/>
          <w:bCs/>
        </w:rPr>
      </w:pPr>
      <w:r>
        <w:rPr>
          <w:rFonts w:eastAsia="Times New Roman" w:cs="Arial"/>
          <w:b/>
          <w:bCs/>
        </w:rPr>
        <w:t>Attorneys for Industrial Energy Users-Ohio</w:t>
      </w:r>
    </w:p>
    <w:p w:rsidR="00B97AFE" w:rsidRDefault="00B97AFE" w:rsidP="00B97AFE">
      <w:pPr>
        <w:autoSpaceDE w:val="0"/>
        <w:autoSpaceDN w:val="0"/>
        <w:adjustRightInd w:val="0"/>
        <w:spacing w:line="480" w:lineRule="auto"/>
        <w:ind w:firstLine="720"/>
        <w:jc w:val="both"/>
        <w:sectPr w:rsidR="00B97AFE" w:rsidSect="00B97A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B97AFE" w:rsidRPr="007C3BFD" w:rsidRDefault="00B97AFE" w:rsidP="00B97AFE">
      <w:pPr>
        <w:tabs>
          <w:tab w:val="left" w:pos="2160"/>
          <w:tab w:val="left" w:pos="2280"/>
        </w:tabs>
        <w:jc w:val="center"/>
        <w:rPr>
          <w:rFonts w:ascii="Arial Bold" w:eastAsia="Times New Roman" w:hAnsi="Arial Bold" w:cs="Arial"/>
          <w:b/>
          <w:bCs/>
          <w:smallCaps/>
          <w:sz w:val="28"/>
          <w:szCs w:val="28"/>
          <w:u w:val="single"/>
        </w:rPr>
      </w:pPr>
      <w:r w:rsidRPr="007C3BFD">
        <w:rPr>
          <w:rFonts w:ascii="Arial Bold" w:eastAsia="Times New Roman" w:hAnsi="Arial Bold" w:cs="Arial"/>
          <w:b/>
          <w:bCs/>
          <w:smallCaps/>
          <w:sz w:val="28"/>
          <w:szCs w:val="28"/>
          <w:u w:val="single"/>
        </w:rPr>
        <w:lastRenderedPageBreak/>
        <w:t>Certificate of Service</w:t>
      </w:r>
    </w:p>
    <w:p w:rsidR="00B97AFE" w:rsidRPr="00754E21" w:rsidRDefault="00B97AFE" w:rsidP="00B97AFE">
      <w:pPr>
        <w:spacing w:line="480" w:lineRule="auto"/>
        <w:ind w:firstLine="720"/>
        <w:rPr>
          <w:rFonts w:eastAsia="Times New Roman" w:cs="Arial"/>
        </w:rPr>
      </w:pPr>
    </w:p>
    <w:p w:rsidR="00B97AFE" w:rsidRPr="00754E21" w:rsidRDefault="00B97AFE" w:rsidP="008F3ADC">
      <w:pPr>
        <w:spacing w:line="480" w:lineRule="auto"/>
        <w:ind w:firstLine="720"/>
        <w:jc w:val="both"/>
        <w:rPr>
          <w:rFonts w:eastAsia="Times New Roman" w:cs="Arial"/>
        </w:rPr>
      </w:pPr>
      <w:r w:rsidRPr="00754E21">
        <w:rPr>
          <w:rFonts w:eastAsia="Times New Roman" w:cs="Arial"/>
        </w:rPr>
        <w:t>I hereby certify that a copy of the foregoing</w:t>
      </w:r>
      <w:r w:rsidRPr="00754E21">
        <w:rPr>
          <w:rFonts w:eastAsia="Times New Roman" w:cs="Arial"/>
          <w:smallCaps/>
        </w:rPr>
        <w:t xml:space="preserve"> </w:t>
      </w:r>
      <w:r w:rsidR="008F3ADC" w:rsidRPr="008F3ADC">
        <w:rPr>
          <w:rFonts w:eastAsia="Times New Roman" w:cs="Arial"/>
          <w:i/>
        </w:rPr>
        <w:t>Comments of</w:t>
      </w:r>
      <w:r w:rsidR="008F3ADC">
        <w:rPr>
          <w:rFonts w:eastAsia="Times New Roman" w:cs="Arial"/>
          <w:i/>
          <w:iCs/>
        </w:rPr>
        <w:t xml:space="preserve"> </w:t>
      </w:r>
      <w:r w:rsidR="00FF02BD">
        <w:rPr>
          <w:rFonts w:eastAsia="Times New Roman" w:cs="Arial"/>
          <w:i/>
          <w:iCs/>
        </w:rPr>
        <w:t>Industrial Energy Users-Ohio</w:t>
      </w:r>
      <w:r w:rsidRPr="00754E21">
        <w:rPr>
          <w:rFonts w:eastAsia="Times New Roman" w:cs="Arial"/>
          <w:i/>
          <w:iCs/>
        </w:rPr>
        <w:t xml:space="preserve"> </w:t>
      </w:r>
      <w:r w:rsidRPr="00754E21">
        <w:rPr>
          <w:rFonts w:eastAsia="Times New Roman" w:cs="Arial"/>
        </w:rPr>
        <w:t xml:space="preserve">was served upon the following parties of record this </w:t>
      </w:r>
      <w:r w:rsidR="00D92220">
        <w:rPr>
          <w:rFonts w:eastAsia="Times New Roman" w:cs="Arial"/>
        </w:rPr>
        <w:t>12</w:t>
      </w:r>
      <w:r w:rsidR="00D92220" w:rsidRPr="00D92220">
        <w:rPr>
          <w:rFonts w:eastAsia="Times New Roman" w:cs="Arial"/>
          <w:vertAlign w:val="superscript"/>
        </w:rPr>
        <w:t>th</w:t>
      </w:r>
      <w:r w:rsidR="00D92220">
        <w:rPr>
          <w:rFonts w:eastAsia="Times New Roman" w:cs="Arial"/>
        </w:rPr>
        <w:t xml:space="preserve"> day of August </w:t>
      </w:r>
      <w:r w:rsidRPr="00754E21">
        <w:rPr>
          <w:rFonts w:eastAsia="Times New Roman" w:cs="Arial"/>
        </w:rPr>
        <w:t xml:space="preserve">2013, </w:t>
      </w:r>
      <w:r w:rsidRPr="00754E21">
        <w:rPr>
          <w:rFonts w:eastAsia="Times New Roman" w:cs="Arial"/>
          <w:i/>
        </w:rPr>
        <w:t>via</w:t>
      </w:r>
      <w:r w:rsidRPr="00754E21">
        <w:rPr>
          <w:rFonts w:eastAsia="Times New Roman" w:cs="Arial"/>
        </w:rPr>
        <w:t xml:space="preserve"> electronic transmission, hand-delivery or first class mail, postage prepaid.</w:t>
      </w:r>
    </w:p>
    <w:p w:rsidR="00B97AFE" w:rsidRDefault="00B97AFE" w:rsidP="00B97AFE">
      <w:pPr>
        <w:tabs>
          <w:tab w:val="left" w:pos="-1440"/>
          <w:tab w:val="left" w:pos="-720"/>
          <w:tab w:val="left" w:pos="5040"/>
          <w:tab w:val="center" w:pos="7200"/>
        </w:tabs>
        <w:rPr>
          <w:rFonts w:cs="Arial"/>
        </w:rPr>
      </w:pPr>
    </w:p>
    <w:p w:rsidR="00B97AFE" w:rsidRDefault="00B97AFE" w:rsidP="00B97AFE">
      <w:pPr>
        <w:tabs>
          <w:tab w:val="left" w:pos="-1440"/>
          <w:tab w:val="left" w:pos="-720"/>
          <w:tab w:val="left" w:pos="5040"/>
          <w:tab w:val="center" w:pos="7200"/>
          <w:tab w:val="right" w:pos="9360"/>
        </w:tabs>
        <w:ind w:firstLine="5040"/>
        <w:rPr>
          <w:rFonts w:cs="Arial"/>
        </w:rPr>
      </w:pPr>
      <w:r>
        <w:rPr>
          <w:rFonts w:cs="Arial"/>
          <w:u w:val="single"/>
        </w:rPr>
        <w:t xml:space="preserve">  /s/ Samuel C. Randazzo</w:t>
      </w:r>
      <w:r>
        <w:rPr>
          <w:rFonts w:cs="Arial"/>
          <w:u w:val="single"/>
        </w:rPr>
        <w:tab/>
      </w:r>
    </w:p>
    <w:p w:rsidR="00B97AFE" w:rsidRDefault="00B97AFE" w:rsidP="00B97AFE">
      <w:pPr>
        <w:tabs>
          <w:tab w:val="left" w:pos="-1440"/>
          <w:tab w:val="left" w:pos="-720"/>
          <w:tab w:val="left" w:pos="5040"/>
          <w:tab w:val="center" w:pos="7200"/>
        </w:tabs>
        <w:ind w:firstLine="5040"/>
        <w:rPr>
          <w:rFonts w:cs="Arial"/>
        </w:rPr>
      </w:pPr>
      <w:r>
        <w:rPr>
          <w:rFonts w:cs="Arial"/>
        </w:rPr>
        <w:tab/>
        <w:t>Samuel C. Randazzo</w:t>
      </w:r>
    </w:p>
    <w:p w:rsidR="00B97AFE" w:rsidRPr="00754E21" w:rsidRDefault="00B97AFE" w:rsidP="00B97AFE">
      <w:pPr>
        <w:tabs>
          <w:tab w:val="left" w:pos="-1440"/>
          <w:tab w:val="left" w:pos="-720"/>
          <w:tab w:val="left" w:pos="5040"/>
          <w:tab w:val="center" w:pos="7200"/>
        </w:tabs>
        <w:ind w:firstLine="5040"/>
        <w:rPr>
          <w:rFonts w:eastAsia="Times New Roman" w:cs="Arial"/>
        </w:rPr>
      </w:pPr>
    </w:p>
    <w:p w:rsidR="00013C0B" w:rsidRDefault="00013C0B" w:rsidP="00013C0B">
      <w:pPr>
        <w:rPr>
          <w:rFonts w:cs="Arial"/>
          <w:color w:val="000000" w:themeColor="text1"/>
          <w:sz w:val="22"/>
          <w:szCs w:val="22"/>
        </w:rPr>
        <w:sectPr w:rsidR="00013C0B" w:rsidSect="008F3ADC">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60"/>
        </w:sectPr>
      </w:pP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lastRenderedPageBreak/>
        <w:t>Bruce J. Weston</w:t>
      </w:r>
    </w:p>
    <w:p w:rsidR="00013C0B" w:rsidRPr="00013C0B" w:rsidRDefault="00AD00A8" w:rsidP="00013C0B">
      <w:pPr>
        <w:rPr>
          <w:rFonts w:cs="Arial"/>
          <w:color w:val="000000" w:themeColor="text1"/>
          <w:sz w:val="22"/>
          <w:szCs w:val="22"/>
        </w:rPr>
      </w:pPr>
      <w:r>
        <w:rPr>
          <w:rFonts w:cs="Arial"/>
          <w:color w:val="000000" w:themeColor="text1"/>
          <w:sz w:val="22"/>
          <w:szCs w:val="22"/>
        </w:rPr>
        <w:t xml:space="preserve">Ohio </w:t>
      </w:r>
      <w:r w:rsidR="00013C0B" w:rsidRPr="00013C0B">
        <w:rPr>
          <w:rFonts w:cs="Arial"/>
          <w:color w:val="000000" w:themeColor="text1"/>
          <w:sz w:val="22"/>
          <w:szCs w:val="22"/>
        </w:rPr>
        <w:t>Consumers</w:t>
      </w:r>
      <w:r w:rsidR="003E1F72">
        <w:rPr>
          <w:rFonts w:cs="Arial"/>
          <w:color w:val="000000" w:themeColor="text1"/>
          <w:sz w:val="22"/>
          <w:szCs w:val="22"/>
        </w:rPr>
        <w:t>’</w:t>
      </w:r>
      <w:r w:rsidR="00013C0B" w:rsidRPr="00013C0B">
        <w:rPr>
          <w:rFonts w:cs="Arial"/>
          <w:color w:val="000000" w:themeColor="text1"/>
          <w:sz w:val="22"/>
          <w:szCs w:val="22"/>
        </w:rPr>
        <w:t xml:space="preserve"> Counsel</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Edmund Berger</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Assistant Consumers</w:t>
      </w:r>
      <w:r w:rsidR="003E1F72">
        <w:rPr>
          <w:rFonts w:cs="Arial"/>
          <w:color w:val="000000" w:themeColor="text1"/>
          <w:sz w:val="22"/>
          <w:szCs w:val="22"/>
        </w:rPr>
        <w:t>’</w:t>
      </w:r>
      <w:r w:rsidRPr="00013C0B">
        <w:rPr>
          <w:rFonts w:cs="Arial"/>
          <w:color w:val="000000" w:themeColor="text1"/>
          <w:sz w:val="22"/>
          <w:szCs w:val="22"/>
        </w:rPr>
        <w:t xml:space="preserve"> Counsel</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Office of the Ohio Consumers</w:t>
      </w:r>
      <w:r w:rsidR="003E1F72">
        <w:rPr>
          <w:rFonts w:cs="Arial"/>
          <w:color w:val="000000" w:themeColor="text1"/>
          <w:sz w:val="22"/>
          <w:szCs w:val="22"/>
        </w:rPr>
        <w:t>’</w:t>
      </w:r>
      <w:r w:rsidRPr="00013C0B">
        <w:rPr>
          <w:rFonts w:cs="Arial"/>
          <w:color w:val="000000" w:themeColor="text1"/>
          <w:sz w:val="22"/>
          <w:szCs w:val="22"/>
        </w:rPr>
        <w:t xml:space="preserve"> Counsel</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10 West Broad Street, Suite 1800</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Columbus, OH  43215-3485</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berger@occ.state.oh.us</w:t>
      </w:r>
    </w:p>
    <w:p w:rsidR="00013C0B" w:rsidRPr="00013C0B" w:rsidRDefault="00013C0B" w:rsidP="00013C0B">
      <w:pPr>
        <w:rPr>
          <w:rFonts w:cs="Arial"/>
          <w:color w:val="000000" w:themeColor="text1"/>
          <w:sz w:val="22"/>
          <w:szCs w:val="22"/>
        </w:rPr>
      </w:pPr>
    </w:p>
    <w:p w:rsidR="00013C0B" w:rsidRPr="00013C0B" w:rsidRDefault="00013C0B" w:rsidP="00013C0B">
      <w:pPr>
        <w:rPr>
          <w:rFonts w:cs="Arial"/>
          <w:b/>
          <w:smallCaps/>
          <w:color w:val="000000" w:themeColor="text1"/>
          <w:sz w:val="22"/>
          <w:szCs w:val="22"/>
        </w:rPr>
      </w:pPr>
      <w:r w:rsidRPr="00013C0B">
        <w:rPr>
          <w:rFonts w:cs="Arial"/>
          <w:b/>
          <w:smallCaps/>
          <w:color w:val="000000" w:themeColor="text1"/>
          <w:sz w:val="22"/>
          <w:szCs w:val="22"/>
        </w:rPr>
        <w:t>On behalf of the Office of the Ohio Consumers</w:t>
      </w:r>
      <w:r w:rsidR="003E1F72">
        <w:rPr>
          <w:rFonts w:cs="Arial"/>
          <w:b/>
          <w:smallCaps/>
          <w:color w:val="000000" w:themeColor="text1"/>
          <w:sz w:val="22"/>
          <w:szCs w:val="22"/>
        </w:rPr>
        <w:t>’</w:t>
      </w:r>
      <w:r w:rsidRPr="00013C0B">
        <w:rPr>
          <w:rFonts w:cs="Arial"/>
          <w:b/>
          <w:smallCaps/>
          <w:color w:val="000000" w:themeColor="text1"/>
          <w:sz w:val="22"/>
          <w:szCs w:val="22"/>
        </w:rPr>
        <w:t xml:space="preserve"> Counsel</w:t>
      </w:r>
    </w:p>
    <w:p w:rsidR="00013C0B" w:rsidRPr="00013C0B" w:rsidRDefault="00013C0B" w:rsidP="00013C0B">
      <w:pPr>
        <w:rPr>
          <w:rFonts w:cs="Arial"/>
          <w:color w:val="000000" w:themeColor="text1"/>
          <w:sz w:val="22"/>
          <w:szCs w:val="22"/>
        </w:rPr>
      </w:pPr>
    </w:p>
    <w:p w:rsidR="00013C0B" w:rsidRPr="00013C0B" w:rsidRDefault="00013C0B" w:rsidP="00013C0B">
      <w:pPr>
        <w:rPr>
          <w:rFonts w:cs="Arial"/>
          <w:sz w:val="22"/>
          <w:szCs w:val="22"/>
        </w:rPr>
      </w:pPr>
      <w:r w:rsidRPr="00013C0B">
        <w:rPr>
          <w:rFonts w:cs="Arial"/>
          <w:sz w:val="22"/>
          <w:szCs w:val="22"/>
        </w:rPr>
        <w:t>David F. Boehm</w:t>
      </w:r>
    </w:p>
    <w:p w:rsidR="00013C0B" w:rsidRPr="00013C0B" w:rsidRDefault="00013C0B" w:rsidP="00013C0B">
      <w:pPr>
        <w:rPr>
          <w:rFonts w:cs="Arial"/>
          <w:sz w:val="22"/>
          <w:szCs w:val="22"/>
        </w:rPr>
      </w:pPr>
      <w:r w:rsidRPr="00013C0B">
        <w:rPr>
          <w:rFonts w:cs="Arial"/>
          <w:sz w:val="22"/>
          <w:szCs w:val="22"/>
        </w:rPr>
        <w:t>Michael L. Kurtz</w:t>
      </w:r>
    </w:p>
    <w:p w:rsidR="00013C0B" w:rsidRPr="00013C0B" w:rsidRDefault="00013C0B" w:rsidP="00013C0B">
      <w:pPr>
        <w:rPr>
          <w:rFonts w:cs="Arial"/>
          <w:sz w:val="22"/>
          <w:szCs w:val="22"/>
        </w:rPr>
      </w:pPr>
      <w:r w:rsidRPr="00013C0B">
        <w:rPr>
          <w:rFonts w:cs="Arial"/>
          <w:sz w:val="22"/>
          <w:szCs w:val="22"/>
        </w:rPr>
        <w:t>Jody Kyler Cohn</w:t>
      </w:r>
    </w:p>
    <w:p w:rsidR="00013C0B" w:rsidRPr="00013C0B" w:rsidRDefault="00013C0B" w:rsidP="00013C0B">
      <w:pPr>
        <w:rPr>
          <w:rFonts w:cs="Arial"/>
          <w:sz w:val="22"/>
          <w:szCs w:val="22"/>
        </w:rPr>
      </w:pPr>
      <w:r w:rsidRPr="00013C0B">
        <w:rPr>
          <w:rFonts w:cs="Arial"/>
          <w:sz w:val="22"/>
          <w:szCs w:val="22"/>
        </w:rPr>
        <w:t>Boehm, Kurtz &amp; Lowry</w:t>
      </w:r>
    </w:p>
    <w:p w:rsidR="00013C0B" w:rsidRPr="00013C0B" w:rsidRDefault="00013C0B" w:rsidP="00013C0B">
      <w:pPr>
        <w:rPr>
          <w:rFonts w:cs="Arial"/>
          <w:sz w:val="22"/>
          <w:szCs w:val="22"/>
        </w:rPr>
      </w:pPr>
      <w:r w:rsidRPr="00013C0B">
        <w:rPr>
          <w:rFonts w:cs="Arial"/>
          <w:sz w:val="22"/>
          <w:szCs w:val="22"/>
        </w:rPr>
        <w:t>36 East Seventh Street, Suite 1510</w:t>
      </w:r>
    </w:p>
    <w:p w:rsidR="00013C0B" w:rsidRPr="00013C0B" w:rsidRDefault="00013C0B" w:rsidP="00013C0B">
      <w:pPr>
        <w:rPr>
          <w:rFonts w:cs="Arial"/>
          <w:sz w:val="22"/>
          <w:szCs w:val="22"/>
        </w:rPr>
      </w:pPr>
      <w:r w:rsidRPr="00013C0B">
        <w:rPr>
          <w:rFonts w:cs="Arial"/>
          <w:sz w:val="22"/>
          <w:szCs w:val="22"/>
        </w:rPr>
        <w:t>Cincinnati, OH  45202</w:t>
      </w:r>
    </w:p>
    <w:p w:rsidR="00013C0B" w:rsidRPr="00013C0B" w:rsidRDefault="00013C0B" w:rsidP="00013C0B">
      <w:pPr>
        <w:rPr>
          <w:rFonts w:cs="Arial"/>
          <w:sz w:val="22"/>
          <w:szCs w:val="22"/>
        </w:rPr>
      </w:pPr>
      <w:r w:rsidRPr="00013C0B">
        <w:rPr>
          <w:rFonts w:cs="Arial"/>
          <w:sz w:val="22"/>
          <w:szCs w:val="22"/>
        </w:rPr>
        <w:t>dboehm@BKLlawfirm.com</w:t>
      </w:r>
    </w:p>
    <w:p w:rsidR="00013C0B" w:rsidRPr="00013C0B" w:rsidRDefault="00013C0B" w:rsidP="00013C0B">
      <w:pPr>
        <w:rPr>
          <w:rFonts w:cs="Arial"/>
          <w:color w:val="000000" w:themeColor="text1"/>
          <w:sz w:val="22"/>
          <w:szCs w:val="22"/>
        </w:rPr>
      </w:pPr>
      <w:r w:rsidRPr="00FD40FB">
        <w:rPr>
          <w:sz w:val="22"/>
          <w:szCs w:val="22"/>
        </w:rPr>
        <w:t>mkurtz@bkllawfirm.com</w:t>
      </w:r>
    </w:p>
    <w:p w:rsidR="00013C0B" w:rsidRPr="00013C0B" w:rsidRDefault="00013C0B" w:rsidP="00013C0B">
      <w:pPr>
        <w:rPr>
          <w:rFonts w:cs="Arial"/>
          <w:sz w:val="22"/>
          <w:szCs w:val="22"/>
        </w:rPr>
      </w:pPr>
      <w:r w:rsidRPr="00013C0B">
        <w:rPr>
          <w:rFonts w:cs="Arial"/>
          <w:sz w:val="22"/>
          <w:szCs w:val="22"/>
        </w:rPr>
        <w:t>jkylercohn@BKLlawfirm.com</w:t>
      </w:r>
    </w:p>
    <w:p w:rsidR="00013C0B" w:rsidRPr="00013C0B" w:rsidRDefault="00013C0B" w:rsidP="00013C0B">
      <w:pPr>
        <w:rPr>
          <w:rFonts w:cs="Arial"/>
          <w:sz w:val="22"/>
          <w:szCs w:val="22"/>
        </w:rPr>
      </w:pPr>
    </w:p>
    <w:p w:rsidR="00013C0B" w:rsidRPr="00013C0B" w:rsidRDefault="00013C0B" w:rsidP="00013C0B">
      <w:pPr>
        <w:rPr>
          <w:rFonts w:cs="Arial"/>
          <w:b/>
          <w:smallCaps/>
          <w:sz w:val="22"/>
          <w:szCs w:val="22"/>
        </w:rPr>
      </w:pPr>
      <w:r w:rsidRPr="00013C0B">
        <w:rPr>
          <w:rFonts w:cs="Arial"/>
          <w:b/>
          <w:smallCaps/>
          <w:sz w:val="22"/>
          <w:szCs w:val="22"/>
        </w:rPr>
        <w:t>On behalf of the Ohio Energy Group</w:t>
      </w:r>
    </w:p>
    <w:p w:rsidR="00013C0B" w:rsidRPr="00013C0B" w:rsidRDefault="00013C0B" w:rsidP="00013C0B">
      <w:pPr>
        <w:rPr>
          <w:sz w:val="22"/>
          <w:szCs w:val="22"/>
        </w:rPr>
      </w:pPr>
    </w:p>
    <w:p w:rsidR="00013C0B" w:rsidRPr="00013C0B" w:rsidRDefault="00013C0B" w:rsidP="00013C0B">
      <w:pPr>
        <w:pStyle w:val="BodyTextIndent"/>
        <w:ind w:firstLine="0"/>
        <w:rPr>
          <w:color w:val="000000" w:themeColor="text1"/>
          <w:sz w:val="22"/>
          <w:szCs w:val="22"/>
        </w:rPr>
      </w:pPr>
      <w:r w:rsidRPr="00013C0B">
        <w:rPr>
          <w:color w:val="000000" w:themeColor="text1"/>
          <w:sz w:val="22"/>
          <w:szCs w:val="22"/>
        </w:rPr>
        <w:t>Werner Margard</w:t>
      </w:r>
    </w:p>
    <w:p w:rsidR="00013C0B" w:rsidRPr="00013C0B" w:rsidRDefault="00013C0B" w:rsidP="00013C0B">
      <w:pPr>
        <w:pStyle w:val="BodyTextIndent"/>
        <w:ind w:firstLine="0"/>
        <w:rPr>
          <w:color w:val="000000" w:themeColor="text1"/>
          <w:sz w:val="22"/>
          <w:szCs w:val="22"/>
        </w:rPr>
      </w:pPr>
      <w:r w:rsidRPr="00013C0B">
        <w:rPr>
          <w:color w:val="000000" w:themeColor="text1"/>
          <w:sz w:val="22"/>
          <w:szCs w:val="22"/>
        </w:rPr>
        <w:t>Steven Beeler</w:t>
      </w:r>
    </w:p>
    <w:p w:rsidR="00013C0B" w:rsidRPr="00013C0B" w:rsidRDefault="00013C0B" w:rsidP="00013C0B">
      <w:pPr>
        <w:pStyle w:val="BodyTextIndent"/>
        <w:ind w:firstLine="0"/>
        <w:rPr>
          <w:color w:val="000000" w:themeColor="text1"/>
          <w:sz w:val="22"/>
          <w:szCs w:val="22"/>
        </w:rPr>
      </w:pPr>
      <w:r w:rsidRPr="00013C0B">
        <w:rPr>
          <w:color w:val="000000" w:themeColor="text1"/>
          <w:sz w:val="22"/>
          <w:szCs w:val="22"/>
        </w:rPr>
        <w:t>Assistant Attorney General</w:t>
      </w:r>
    </w:p>
    <w:p w:rsidR="00013C0B" w:rsidRPr="00013C0B" w:rsidRDefault="00013C0B" w:rsidP="00013C0B">
      <w:pPr>
        <w:pStyle w:val="BodyTextIndent"/>
        <w:ind w:firstLine="0"/>
        <w:rPr>
          <w:color w:val="000000" w:themeColor="text1"/>
          <w:sz w:val="22"/>
          <w:szCs w:val="22"/>
        </w:rPr>
      </w:pPr>
      <w:r w:rsidRPr="00013C0B">
        <w:rPr>
          <w:color w:val="000000" w:themeColor="text1"/>
          <w:sz w:val="22"/>
          <w:szCs w:val="22"/>
        </w:rPr>
        <w:t>Public Utilities Section</w:t>
      </w:r>
    </w:p>
    <w:p w:rsidR="00013C0B" w:rsidRPr="00013C0B" w:rsidRDefault="00013C0B" w:rsidP="00013C0B">
      <w:pPr>
        <w:pStyle w:val="BodyTextIndent"/>
        <w:ind w:firstLine="0"/>
        <w:rPr>
          <w:color w:val="000000" w:themeColor="text1"/>
          <w:sz w:val="22"/>
          <w:szCs w:val="22"/>
        </w:rPr>
      </w:pPr>
      <w:r w:rsidRPr="00013C0B">
        <w:rPr>
          <w:color w:val="000000" w:themeColor="text1"/>
          <w:sz w:val="22"/>
          <w:szCs w:val="22"/>
        </w:rPr>
        <w:t>180 East Broad Street, 9</w:t>
      </w:r>
      <w:r w:rsidRPr="00013C0B">
        <w:rPr>
          <w:color w:val="000000" w:themeColor="text1"/>
          <w:sz w:val="22"/>
          <w:szCs w:val="22"/>
          <w:vertAlign w:val="superscript"/>
        </w:rPr>
        <w:t>th</w:t>
      </w:r>
      <w:r w:rsidRPr="00013C0B">
        <w:rPr>
          <w:color w:val="000000" w:themeColor="text1"/>
          <w:sz w:val="22"/>
          <w:szCs w:val="22"/>
        </w:rPr>
        <w:t xml:space="preserve"> Floor</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Columbus, OH  43215</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werner.margard@puc.state.oh.us</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steven.beeler@puc.state.oh.us</w:t>
      </w:r>
    </w:p>
    <w:p w:rsidR="00013C0B" w:rsidRPr="00013C0B" w:rsidRDefault="00013C0B" w:rsidP="00013C0B">
      <w:pPr>
        <w:rPr>
          <w:rFonts w:cs="Arial"/>
          <w:color w:val="000000" w:themeColor="text1"/>
          <w:sz w:val="22"/>
          <w:szCs w:val="22"/>
        </w:rPr>
      </w:pPr>
    </w:p>
    <w:p w:rsidR="00013C0B" w:rsidRPr="00013C0B" w:rsidRDefault="00013C0B" w:rsidP="00013C0B">
      <w:pPr>
        <w:rPr>
          <w:rFonts w:cs="Arial"/>
          <w:b/>
          <w:smallCaps/>
          <w:color w:val="000000" w:themeColor="text1"/>
          <w:sz w:val="22"/>
          <w:szCs w:val="22"/>
        </w:rPr>
      </w:pPr>
      <w:r w:rsidRPr="00013C0B">
        <w:rPr>
          <w:rFonts w:cs="Arial"/>
          <w:b/>
          <w:smallCaps/>
          <w:color w:val="000000" w:themeColor="text1"/>
          <w:sz w:val="22"/>
          <w:szCs w:val="22"/>
        </w:rPr>
        <w:t>On behalf of the Public Utilities Commission of Ohio</w:t>
      </w:r>
    </w:p>
    <w:p w:rsidR="00013C0B" w:rsidRPr="00013C0B" w:rsidRDefault="00013C0B" w:rsidP="00013C0B">
      <w:pPr>
        <w:rPr>
          <w:rFonts w:cs="Arial"/>
          <w:color w:val="000000" w:themeColor="text1"/>
          <w:sz w:val="22"/>
          <w:szCs w:val="22"/>
        </w:rPr>
      </w:pP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lastRenderedPageBreak/>
        <w:t>Jonathan J. Tauber</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Sarah Parrot</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Attorney Examiner</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Public Utilities Commission of Ohio</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180 East Broad Street</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Columbus, OH  43215</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jonathan.tauber@puc.state.oh.us</w:t>
      </w:r>
    </w:p>
    <w:p w:rsidR="00013C0B" w:rsidRPr="00013C0B" w:rsidRDefault="00013C0B" w:rsidP="00013C0B">
      <w:pPr>
        <w:rPr>
          <w:rFonts w:cs="Arial"/>
          <w:color w:val="000000" w:themeColor="text1"/>
          <w:sz w:val="22"/>
          <w:szCs w:val="22"/>
        </w:rPr>
      </w:pPr>
      <w:r w:rsidRPr="00013C0B">
        <w:rPr>
          <w:rFonts w:cs="Arial"/>
          <w:color w:val="000000" w:themeColor="text1"/>
          <w:sz w:val="22"/>
          <w:szCs w:val="22"/>
        </w:rPr>
        <w:t>sarah.parrot@puc.state.oh.us</w:t>
      </w:r>
    </w:p>
    <w:p w:rsidR="00013C0B" w:rsidRPr="00013C0B" w:rsidRDefault="00013C0B" w:rsidP="00013C0B">
      <w:pPr>
        <w:rPr>
          <w:rFonts w:cs="Arial"/>
          <w:color w:val="000000" w:themeColor="text1"/>
          <w:sz w:val="22"/>
          <w:szCs w:val="22"/>
        </w:rPr>
      </w:pPr>
    </w:p>
    <w:p w:rsidR="00013C0B" w:rsidRPr="00013C0B" w:rsidRDefault="00013C0B" w:rsidP="00013C0B">
      <w:pPr>
        <w:rPr>
          <w:rFonts w:cs="Arial"/>
          <w:b/>
          <w:smallCaps/>
          <w:color w:val="000000" w:themeColor="text1"/>
          <w:sz w:val="22"/>
          <w:szCs w:val="22"/>
        </w:rPr>
      </w:pPr>
      <w:r w:rsidRPr="00013C0B">
        <w:rPr>
          <w:rFonts w:cs="Arial"/>
          <w:b/>
          <w:smallCaps/>
          <w:color w:val="000000" w:themeColor="text1"/>
          <w:sz w:val="22"/>
          <w:szCs w:val="22"/>
        </w:rPr>
        <w:t>Attorney Examiner</w:t>
      </w:r>
    </w:p>
    <w:p w:rsidR="00013C0B" w:rsidRPr="00013C0B" w:rsidRDefault="00013C0B" w:rsidP="00013C0B">
      <w:pPr>
        <w:rPr>
          <w:rFonts w:eastAsia="Times New Roman" w:cs="Arial"/>
          <w:b/>
          <w:smallCaps/>
          <w:color w:val="000000" w:themeColor="text1"/>
          <w:sz w:val="22"/>
          <w:szCs w:val="22"/>
        </w:rPr>
      </w:pPr>
    </w:p>
    <w:p w:rsidR="00013C0B" w:rsidRPr="00013C0B" w:rsidRDefault="00013C0B" w:rsidP="00013C0B">
      <w:pPr>
        <w:rPr>
          <w:sz w:val="22"/>
          <w:szCs w:val="22"/>
        </w:rPr>
      </w:pPr>
    </w:p>
    <w:p w:rsidR="00B97AFE" w:rsidRPr="008F3ADC" w:rsidRDefault="00B97AFE" w:rsidP="00013C0B">
      <w:pPr>
        <w:rPr>
          <w:rFonts w:eastAsia="Times New Roman" w:cs="Arial"/>
          <w:b/>
          <w:smallCaps/>
          <w:color w:val="000000" w:themeColor="text1"/>
        </w:rPr>
      </w:pPr>
    </w:p>
    <w:sectPr w:rsidR="00B97AFE" w:rsidRPr="008F3ADC" w:rsidSect="00013C0B">
      <w:type w:val="continuous"/>
      <w:pgSz w:w="12240" w:h="15840" w:code="1"/>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E6" w:rsidRDefault="00CA02E6" w:rsidP="00CA02E6">
      <w:r>
        <w:separator/>
      </w:r>
    </w:p>
  </w:endnote>
  <w:endnote w:type="continuationSeparator" w:id="0">
    <w:p w:rsidR="00CA02E6" w:rsidRDefault="00CA02E6" w:rsidP="00CA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FB" w:rsidRDefault="00FD4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43" w:rsidRPr="00154443" w:rsidRDefault="009C6283">
    <w:pPr>
      <w:pStyle w:val="Footer"/>
    </w:pPr>
    <w:r w:rsidRPr="009C6283">
      <w:rPr>
        <w:noProof/>
        <w:sz w:val="16"/>
      </w:rPr>
      <w:t>{C41140:3 }</w:t>
    </w:r>
    <w:r w:rsidR="008A1B6E">
      <w:rPr>
        <w:noProof/>
        <w:sz w:val="16"/>
      </w:rPr>
      <w:tab/>
    </w:r>
    <w:r w:rsidR="008A1B6E" w:rsidRPr="008A1B6E">
      <w:rPr>
        <w:noProof/>
        <w:sz w:val="22"/>
        <w:szCs w:val="22"/>
      </w:rPr>
      <w:fldChar w:fldCharType="begin"/>
    </w:r>
    <w:r w:rsidR="008A1B6E" w:rsidRPr="008A1B6E">
      <w:rPr>
        <w:noProof/>
        <w:sz w:val="22"/>
        <w:szCs w:val="22"/>
      </w:rPr>
      <w:instrText xml:space="preserve"> PAGE   \* MERGEFORMAT </w:instrText>
    </w:r>
    <w:r w:rsidR="008A1B6E" w:rsidRPr="008A1B6E">
      <w:rPr>
        <w:noProof/>
        <w:sz w:val="22"/>
        <w:szCs w:val="22"/>
      </w:rPr>
      <w:fldChar w:fldCharType="separate"/>
    </w:r>
    <w:r w:rsidR="00556088">
      <w:rPr>
        <w:noProof/>
        <w:sz w:val="22"/>
        <w:szCs w:val="22"/>
      </w:rPr>
      <w:t>3</w:t>
    </w:r>
    <w:r w:rsidR="008A1B6E" w:rsidRPr="008A1B6E">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43" w:rsidRPr="00154443" w:rsidRDefault="009C6283">
    <w:pPr>
      <w:pStyle w:val="Footer"/>
    </w:pPr>
    <w:r w:rsidRPr="009C6283">
      <w:rPr>
        <w:noProof/>
        <w:sz w:val="16"/>
      </w:rPr>
      <w:t>{C41140:3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Pr="00141048" w:rsidRDefault="009C6283" w:rsidP="00576EA9">
    <w:pPr>
      <w:tabs>
        <w:tab w:val="center" w:pos="4680"/>
      </w:tabs>
    </w:pPr>
    <w:r w:rsidRPr="009C6283">
      <w:rPr>
        <w:noProof/>
        <w:sz w:val="16"/>
      </w:rPr>
      <w:t>{C41140:3 }</w:t>
    </w:r>
    <w:r w:rsidR="008F3ADC">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Pr="00576EA9" w:rsidRDefault="008F3ADC" w:rsidP="00736BFD">
    <w:pPr>
      <w:pStyle w:val="Footer"/>
    </w:pPr>
    <w:r w:rsidRPr="00F90F3D">
      <w:rPr>
        <w:noProof/>
        <w:sz w:val="16"/>
      </w:rPr>
      <w:t>{C41107:2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E6" w:rsidRDefault="00CA02E6" w:rsidP="00CA02E6">
      <w:pPr>
        <w:rPr>
          <w:noProof/>
        </w:rPr>
      </w:pPr>
      <w:r>
        <w:rPr>
          <w:noProof/>
        </w:rPr>
        <w:separator/>
      </w:r>
    </w:p>
  </w:footnote>
  <w:footnote w:type="continuationSeparator" w:id="0">
    <w:p w:rsidR="00CA02E6" w:rsidRDefault="00CA02E6" w:rsidP="00CA02E6">
      <w:r>
        <w:continuationSeparator/>
      </w:r>
    </w:p>
  </w:footnote>
  <w:footnote w:id="1">
    <w:p w:rsidR="00CA02E6" w:rsidRDefault="00CA02E6" w:rsidP="00795BCF">
      <w:pPr>
        <w:pStyle w:val="FootnoteText"/>
        <w:jc w:val="both"/>
      </w:pPr>
      <w:r>
        <w:rPr>
          <w:rStyle w:val="FootnoteReference"/>
        </w:rPr>
        <w:footnoteRef/>
      </w:r>
      <w:r>
        <w:t xml:space="preserve"> </w:t>
      </w:r>
      <w:r w:rsidRPr="00CA02E6">
        <w:rPr>
          <w:i/>
        </w:rPr>
        <w:t>In the Matter of the Commission</w:t>
      </w:r>
      <w:r w:rsidR="003E1F72">
        <w:rPr>
          <w:i/>
        </w:rPr>
        <w:t>’</w:t>
      </w:r>
      <w:r w:rsidRPr="00CA02E6">
        <w:rPr>
          <w:i/>
        </w:rPr>
        <w:t>s Review of Customer Rate Impacts from Ohio Power Company</w:t>
      </w:r>
      <w:r w:rsidR="003E1F72">
        <w:rPr>
          <w:i/>
        </w:rPr>
        <w:t>’</w:t>
      </w:r>
      <w:r w:rsidRPr="00CA02E6">
        <w:rPr>
          <w:i/>
        </w:rPr>
        <w:t>s Transition to Market Based Rates</w:t>
      </w:r>
      <w:r>
        <w:t xml:space="preserve">, Case No. 13-1530-EL-UNC, Entry (June 27, 2013) (herein cited as the </w:t>
      </w:r>
      <w:r w:rsidR="003E1F72">
        <w:t>“</w:t>
      </w:r>
      <w:r w:rsidR="00A21E43" w:rsidRPr="00A21E43">
        <w:rPr>
          <w:i/>
        </w:rPr>
        <w:t xml:space="preserve">Second Transition </w:t>
      </w:r>
      <w:r w:rsidRPr="00CA02E6">
        <w:rPr>
          <w:i/>
        </w:rPr>
        <w:t>Entry</w:t>
      </w:r>
      <w:r w:rsidR="003E1F72">
        <w:rPr>
          <w:i/>
        </w:rPr>
        <w:t>”</w:t>
      </w:r>
      <w:r>
        <w:t>).</w:t>
      </w:r>
    </w:p>
    <w:p w:rsidR="0096150E" w:rsidRDefault="0096150E">
      <w:pPr>
        <w:pStyle w:val="FootnoteText"/>
      </w:pPr>
    </w:p>
  </w:footnote>
  <w:footnote w:id="2">
    <w:p w:rsidR="0096150E" w:rsidRDefault="0096150E">
      <w:pPr>
        <w:pStyle w:val="FootnoteText"/>
      </w:pPr>
      <w:r>
        <w:rPr>
          <w:rStyle w:val="FootnoteReference"/>
        </w:rPr>
        <w:footnoteRef/>
      </w:r>
      <w:r>
        <w:t xml:space="preserve"> Hereinafter cited as the </w:t>
      </w:r>
      <w:r w:rsidR="003E1F72">
        <w:t>“</w:t>
      </w:r>
      <w:r w:rsidRPr="0096150E">
        <w:rPr>
          <w:i/>
        </w:rPr>
        <w:t>ESP II Case</w:t>
      </w:r>
      <w:r w:rsidR="003E1F72">
        <w:rPr>
          <w:i/>
        </w:rPr>
        <w:t>”</w:t>
      </w:r>
      <w:r>
        <w:t>.</w:t>
      </w:r>
    </w:p>
    <w:p w:rsidR="00B97AFE" w:rsidRDefault="00B97AFE">
      <w:pPr>
        <w:pStyle w:val="FootnoteText"/>
      </w:pPr>
    </w:p>
  </w:footnote>
  <w:footnote w:id="3">
    <w:p w:rsidR="00B97AFE" w:rsidRPr="00B97AFE" w:rsidRDefault="00B97AFE">
      <w:pPr>
        <w:pStyle w:val="FootnoteText"/>
      </w:pPr>
      <w:r>
        <w:rPr>
          <w:rStyle w:val="FootnoteReference"/>
        </w:rPr>
        <w:footnoteRef/>
      </w:r>
      <w:r>
        <w:t xml:space="preserve"> </w:t>
      </w:r>
      <w:r>
        <w:rPr>
          <w:i/>
        </w:rPr>
        <w:t>Second Transition Entry</w:t>
      </w:r>
      <w:r>
        <w:t xml:space="preserve"> at 1.  </w:t>
      </w:r>
    </w:p>
  </w:footnote>
  <w:footnote w:id="4">
    <w:p w:rsidR="00242BDE" w:rsidRDefault="00242BDE" w:rsidP="00242BDE">
      <w:pPr>
        <w:pStyle w:val="FootnoteText"/>
        <w:jc w:val="both"/>
      </w:pPr>
      <w:r>
        <w:rPr>
          <w:rStyle w:val="FootnoteReference"/>
        </w:rPr>
        <w:footnoteRef/>
      </w:r>
      <w:r>
        <w:t xml:space="preserve"> </w:t>
      </w:r>
      <w:r w:rsidRPr="003D22CA">
        <w:rPr>
          <w:i/>
        </w:rPr>
        <w:t>ESP II Case</w:t>
      </w:r>
      <w:r>
        <w:rPr>
          <w:i/>
        </w:rPr>
        <w:t>,</w:t>
      </w:r>
      <w:r>
        <w:t xml:space="preserve"> Opinion and Order at 15-16 (August 8, 2012).</w:t>
      </w:r>
    </w:p>
    <w:p w:rsidR="00242BDE" w:rsidRDefault="00242BDE" w:rsidP="00242BDE">
      <w:pPr>
        <w:pStyle w:val="FootnoteText"/>
        <w:jc w:val="both"/>
      </w:pPr>
    </w:p>
  </w:footnote>
  <w:footnote w:id="5">
    <w:p w:rsidR="0068288B" w:rsidRDefault="0068288B" w:rsidP="0068288B">
      <w:pPr>
        <w:pStyle w:val="FootnoteText"/>
      </w:pPr>
      <w:r>
        <w:rPr>
          <w:rStyle w:val="FootnoteReference"/>
        </w:rPr>
        <w:footnoteRef/>
      </w:r>
      <w:r>
        <w:t xml:space="preserve"> Section 4928.05, Revised Code.</w:t>
      </w:r>
    </w:p>
  </w:footnote>
  <w:footnote w:id="6">
    <w:p w:rsidR="00B97AFE" w:rsidRDefault="00B97AFE" w:rsidP="00013C0B">
      <w:pPr>
        <w:pStyle w:val="FootnoteText"/>
        <w:jc w:val="both"/>
      </w:pPr>
      <w:r>
        <w:rPr>
          <w:rStyle w:val="FootnoteReference"/>
        </w:rPr>
        <w:footnoteRef/>
      </w:r>
      <w:r>
        <w:t xml:space="preserve"> </w:t>
      </w:r>
      <w:r w:rsidR="008A1B6E">
        <w:rPr>
          <w:i/>
        </w:rPr>
        <w:t xml:space="preserve">Second </w:t>
      </w:r>
      <w:r w:rsidR="009C6283">
        <w:rPr>
          <w:i/>
        </w:rPr>
        <w:t>T</w:t>
      </w:r>
      <w:bookmarkStart w:id="0" w:name="_GoBack"/>
      <w:bookmarkEnd w:id="0"/>
      <w:r w:rsidR="008A1B6E">
        <w:rPr>
          <w:i/>
        </w:rPr>
        <w:t xml:space="preserve">ransition Entry </w:t>
      </w:r>
      <w:r w:rsidR="008A1B6E" w:rsidRPr="008A1B6E">
        <w:t>at 1</w:t>
      </w:r>
      <w:r>
        <w:t>.</w:t>
      </w:r>
      <w:r w:rsidR="000D3313">
        <w:t xml:space="preserve">  On July 26, 2013 and in response to a motion for extension of the deadlines for filing comments filed by the Commission</w:t>
      </w:r>
      <w:r w:rsidR="003E1F72">
        <w:t>’</w:t>
      </w:r>
      <w:r w:rsidR="000D3313">
        <w:t xml:space="preserve">s Staff on the same day, the Attorney Examiner reset the dates for comments and reply comments to August 12, 2013 and September 3, 2013, respectively. </w:t>
      </w:r>
    </w:p>
    <w:p w:rsidR="00B97AFE" w:rsidRPr="00B97AFE" w:rsidRDefault="00B97AFE">
      <w:pPr>
        <w:pStyle w:val="FootnoteText"/>
      </w:pPr>
    </w:p>
  </w:footnote>
  <w:footnote w:id="7">
    <w:p w:rsidR="000D3313" w:rsidRDefault="000D3313" w:rsidP="00273E52">
      <w:pPr>
        <w:pStyle w:val="FootnoteText"/>
        <w:jc w:val="both"/>
      </w:pPr>
      <w:r>
        <w:rPr>
          <w:rStyle w:val="FootnoteReference"/>
        </w:rPr>
        <w:footnoteRef/>
      </w:r>
      <w:r>
        <w:t xml:space="preserve"> While the Commission has been proceeding as though a competitive bid process </w:t>
      </w:r>
      <w:r w:rsidR="00D64020">
        <w:t>(</w:t>
      </w:r>
      <w:r w:rsidR="003E1F72">
        <w:t>“</w:t>
      </w:r>
      <w:r w:rsidR="00D64020">
        <w:t>CBP</w:t>
      </w:r>
      <w:r w:rsidR="003E1F72">
        <w:t>”</w:t>
      </w:r>
      <w:r w:rsidR="00D64020">
        <w:t xml:space="preserve">) </w:t>
      </w:r>
      <w:r>
        <w:t xml:space="preserve">will completely control the pricing of default generation supply beginning June 1, 2015, it is unclear whether </w:t>
      </w:r>
      <w:r w:rsidR="00B400A2">
        <w:t xml:space="preserve">Ohio Power Company </w:t>
      </w:r>
      <w:r>
        <w:t>shares this vision.</w:t>
      </w:r>
      <w:r w:rsidR="00273E52">
        <w:t xml:space="preserve">  For example, at page 2 of the </w:t>
      </w:r>
      <w:r w:rsidR="008A1B6E">
        <w:t>a</w:t>
      </w:r>
      <w:r w:rsidR="00273E52">
        <w:t xml:space="preserve">pplication filed in </w:t>
      </w:r>
      <w:r w:rsidR="00273E52" w:rsidRPr="00A21E43">
        <w:rPr>
          <w:i/>
        </w:rPr>
        <w:t>In the Matter of the Application of Ohio Power Company to Establish a Competitive Bidding Process for Procurement of Energy to Support Its Standard Service Offer</w:t>
      </w:r>
      <w:r w:rsidR="00273E52">
        <w:t xml:space="preserve">, </w:t>
      </w:r>
      <w:r w:rsidR="00273E52" w:rsidRPr="00A21E43">
        <w:t>Case No. 12-3254-EL-UNC</w:t>
      </w:r>
      <w:r w:rsidR="00273E52">
        <w:t xml:space="preserve"> (hereinafter referred</w:t>
      </w:r>
      <w:r w:rsidR="0068288B">
        <w:t xml:space="preserve"> to </w:t>
      </w:r>
      <w:r w:rsidR="00273E52">
        <w:t xml:space="preserve">as the </w:t>
      </w:r>
      <w:r w:rsidR="003E1F72">
        <w:t>“</w:t>
      </w:r>
      <w:r w:rsidR="00273E52" w:rsidRPr="00023457">
        <w:rPr>
          <w:i/>
        </w:rPr>
        <w:t>Co</w:t>
      </w:r>
      <w:r w:rsidR="00273E52">
        <w:rPr>
          <w:i/>
        </w:rPr>
        <w:t xml:space="preserve">ntested </w:t>
      </w:r>
      <w:r w:rsidR="00273E52" w:rsidRPr="00023457">
        <w:rPr>
          <w:i/>
        </w:rPr>
        <w:t>Bid Process Case</w:t>
      </w:r>
      <w:r w:rsidR="003E1F72">
        <w:rPr>
          <w:i/>
        </w:rPr>
        <w:t>”</w:t>
      </w:r>
      <w:r w:rsidR="00273E52">
        <w:t>)</w:t>
      </w:r>
      <w:r w:rsidR="008A1B6E">
        <w:t>,</w:t>
      </w:r>
      <w:r w:rsidR="00D64020">
        <w:t xml:space="preserve"> </w:t>
      </w:r>
      <w:r w:rsidR="00B400A2">
        <w:t xml:space="preserve">Ohio Power Company </w:t>
      </w:r>
      <w:r w:rsidR="00273E52">
        <w:t xml:space="preserve">stated: </w:t>
      </w:r>
      <w:r w:rsidR="00D64020">
        <w:t xml:space="preserve"> </w:t>
      </w:r>
      <w:r w:rsidR="003E1F72">
        <w:t>“</w:t>
      </w:r>
      <w:r w:rsidR="00273E52">
        <w:t xml:space="preserve">After termination of the ESP II term, the Commission agreed that the Company </w:t>
      </w:r>
      <w:r w:rsidR="00273E52" w:rsidRPr="00013C0B">
        <w:rPr>
          <w:b/>
          <w:i/>
          <w:u w:val="single"/>
        </w:rPr>
        <w:t>should</w:t>
      </w:r>
      <w:r w:rsidR="00273E52">
        <w:t xml:space="preserve"> competitively procure both energy and capacity effective June 1, 2015.</w:t>
      </w:r>
      <w:r w:rsidR="003E1F72">
        <w:t>”</w:t>
      </w:r>
      <w:r w:rsidR="00273E52">
        <w:t xml:space="preserve"> (emphasis added).  </w:t>
      </w:r>
    </w:p>
    <w:p w:rsidR="000D3313" w:rsidRDefault="000D3313" w:rsidP="000D3313">
      <w:pPr>
        <w:pStyle w:val="FootnoteText"/>
        <w:jc w:val="both"/>
      </w:pPr>
    </w:p>
  </w:footnote>
  <w:footnote w:id="8">
    <w:p w:rsidR="00A21E43" w:rsidRDefault="00A21E43" w:rsidP="00807B73">
      <w:pPr>
        <w:pStyle w:val="FootnoteText"/>
        <w:jc w:val="both"/>
      </w:pPr>
      <w:r>
        <w:rPr>
          <w:rStyle w:val="FootnoteReference"/>
        </w:rPr>
        <w:footnoteRef/>
      </w:r>
      <w:r>
        <w:t xml:space="preserve"> </w:t>
      </w:r>
      <w:r w:rsidR="00023457" w:rsidRPr="00023457">
        <w:rPr>
          <w:i/>
        </w:rPr>
        <w:t>Co</w:t>
      </w:r>
      <w:r w:rsidR="00233108">
        <w:rPr>
          <w:i/>
        </w:rPr>
        <w:t xml:space="preserve">ntested </w:t>
      </w:r>
      <w:r w:rsidR="00023457" w:rsidRPr="00023457">
        <w:rPr>
          <w:i/>
        </w:rPr>
        <w:t>Bid Process Case</w:t>
      </w:r>
      <w:r w:rsidR="00B97AFE">
        <w:t>.</w:t>
      </w:r>
      <w:r w:rsidR="005949D8">
        <w:t xml:space="preserve">  This contested proceeding was initiated on December 21, 2012 by </w:t>
      </w:r>
      <w:r w:rsidR="008A1B6E">
        <w:t>Ohio Power Company</w:t>
      </w:r>
      <w:r w:rsidR="003E1F72">
        <w:t>’</w:t>
      </w:r>
      <w:r w:rsidR="008A1B6E">
        <w:t xml:space="preserve">s </w:t>
      </w:r>
      <w:r w:rsidR="005949D8">
        <w:t xml:space="preserve">filing of an </w:t>
      </w:r>
      <w:r w:rsidR="008A1B6E">
        <w:t>a</w:t>
      </w:r>
      <w:r w:rsidR="005949D8">
        <w:t>pplication</w:t>
      </w:r>
      <w:r w:rsidR="00D64020">
        <w:t>.</w:t>
      </w:r>
    </w:p>
    <w:p w:rsidR="00023457" w:rsidRDefault="00023457" w:rsidP="00233108">
      <w:pPr>
        <w:pStyle w:val="FootnoteText"/>
        <w:jc w:val="both"/>
      </w:pPr>
    </w:p>
  </w:footnote>
  <w:footnote w:id="9">
    <w:p w:rsidR="00C04240" w:rsidRDefault="00C04240" w:rsidP="00233108">
      <w:pPr>
        <w:pStyle w:val="FootnoteText"/>
        <w:jc w:val="both"/>
      </w:pPr>
      <w:r>
        <w:rPr>
          <w:rStyle w:val="FootnoteReference"/>
        </w:rPr>
        <w:footnoteRef/>
      </w:r>
      <w:r>
        <w:t xml:space="preserve"> </w:t>
      </w:r>
      <w:r w:rsidR="00B97AFE">
        <w:rPr>
          <w:i/>
        </w:rPr>
        <w:t xml:space="preserve">ESP II </w:t>
      </w:r>
      <w:r w:rsidR="00B97AFE" w:rsidRPr="00013C0B">
        <w:t>Case</w:t>
      </w:r>
      <w:r w:rsidR="00B97AFE">
        <w:t xml:space="preserve">, </w:t>
      </w:r>
      <w:r w:rsidRPr="00B97AFE">
        <w:t>Opinion</w:t>
      </w:r>
      <w:r>
        <w:t xml:space="preserve"> and Order at 39</w:t>
      </w:r>
      <w:r w:rsidR="00B97AFE">
        <w:t xml:space="preserve"> (August 8, 2012)</w:t>
      </w:r>
      <w:r>
        <w:t xml:space="preserve">.  Beginning at page 39, </w:t>
      </w:r>
      <w:r w:rsidR="00FE4AC6">
        <w:t xml:space="preserve">the Opinion and Order rejects proposals to slow the movement to competitive auctions </w:t>
      </w:r>
      <w:r w:rsidR="0022082D">
        <w:t xml:space="preserve">because of the importance of customers being able to take advantage of market-based rates.  Nonetheless, </w:t>
      </w:r>
      <w:r w:rsidR="00233108">
        <w:t xml:space="preserve">the Commission </w:t>
      </w:r>
      <w:r w:rsidR="00BE4C0E">
        <w:t xml:space="preserve">put the responsibility </w:t>
      </w:r>
      <w:r w:rsidR="00795BCF">
        <w:t>for</w:t>
      </w:r>
      <w:r w:rsidR="00BE4C0E">
        <w:t xml:space="preserve"> developing </w:t>
      </w:r>
      <w:r w:rsidR="00795BCF">
        <w:t xml:space="preserve">the </w:t>
      </w:r>
      <w:r w:rsidR="008A1B6E">
        <w:t xml:space="preserve">CBP </w:t>
      </w:r>
      <w:r w:rsidR="00BE4C0E">
        <w:t xml:space="preserve">in the hands of </w:t>
      </w:r>
      <w:r w:rsidR="00233108">
        <w:t xml:space="preserve">Ohio Power Company.  </w:t>
      </w:r>
      <w:r w:rsidR="00EA5704">
        <w:t>N</w:t>
      </w:r>
      <w:r w:rsidR="00B400A2">
        <w:t xml:space="preserve">otwithstanding the </w:t>
      </w:r>
      <w:r w:rsidR="003E1F72">
        <w:t>“</w:t>
      </w:r>
      <w:r w:rsidR="00B400A2">
        <w:t>…</w:t>
      </w:r>
      <w:r w:rsidR="00D64020">
        <w:t> </w:t>
      </w:r>
      <w:r w:rsidR="00B400A2">
        <w:t>importance of customers being able to take advantage of market-based rates</w:t>
      </w:r>
      <w:r w:rsidR="00D64020">
        <w:t> </w:t>
      </w:r>
      <w:r w:rsidR="00B400A2">
        <w:t>…</w:t>
      </w:r>
      <w:r w:rsidR="003E1F72">
        <w:t>”</w:t>
      </w:r>
      <w:r w:rsidR="00B400A2">
        <w:t xml:space="preserve">, the numerous contested issues raised by </w:t>
      </w:r>
      <w:r w:rsidR="008A1B6E">
        <w:t>Ohio Power Company</w:t>
      </w:r>
      <w:r w:rsidR="003E1F72">
        <w:t>’</w:t>
      </w:r>
      <w:r w:rsidR="008A1B6E">
        <w:t>s a</w:t>
      </w:r>
      <w:r w:rsidR="00B400A2">
        <w:t xml:space="preserve">pplication in the </w:t>
      </w:r>
      <w:r w:rsidR="00B400A2" w:rsidRPr="00013C0B">
        <w:rPr>
          <w:i/>
        </w:rPr>
        <w:t xml:space="preserve">Contested Bid </w:t>
      </w:r>
      <w:r w:rsidR="00B400A2">
        <w:rPr>
          <w:i/>
        </w:rPr>
        <w:t xml:space="preserve">Process Case </w:t>
      </w:r>
      <w:r w:rsidR="00B400A2" w:rsidRPr="00B400A2">
        <w:t xml:space="preserve">have not been resolved. </w:t>
      </w:r>
      <w:r w:rsidR="00B400A2">
        <w:t xml:space="preserve"> </w:t>
      </w:r>
      <w:r w:rsidR="00D64020" w:rsidRPr="00013C0B">
        <w:rPr>
          <w:i/>
        </w:rPr>
        <w:t>Id</w:t>
      </w:r>
      <w:r w:rsidR="00D64020">
        <w:t xml:space="preserve">. </w:t>
      </w:r>
    </w:p>
    <w:p w:rsidR="00C04240" w:rsidRDefault="00C04240" w:rsidP="00233108">
      <w:pPr>
        <w:pStyle w:val="FootnoteText"/>
        <w:jc w:val="both"/>
      </w:pPr>
    </w:p>
  </w:footnote>
  <w:footnote w:id="10">
    <w:p w:rsidR="001B375A" w:rsidRDefault="00023457" w:rsidP="00233108">
      <w:pPr>
        <w:pStyle w:val="FootnoteText"/>
        <w:jc w:val="both"/>
      </w:pPr>
      <w:r>
        <w:rPr>
          <w:rStyle w:val="FootnoteReference"/>
        </w:rPr>
        <w:footnoteRef/>
      </w:r>
      <w:r>
        <w:t xml:space="preserve"> </w:t>
      </w:r>
      <w:r w:rsidRPr="00023457">
        <w:rPr>
          <w:i/>
        </w:rPr>
        <w:t>In the Matter of the Commission</w:t>
      </w:r>
      <w:r w:rsidR="003E1F72">
        <w:rPr>
          <w:i/>
        </w:rPr>
        <w:t>’</w:t>
      </w:r>
      <w:r w:rsidRPr="00023457">
        <w:rPr>
          <w:i/>
        </w:rPr>
        <w:t>s Investigation of Ohio</w:t>
      </w:r>
      <w:r w:rsidR="003E1F72">
        <w:rPr>
          <w:i/>
        </w:rPr>
        <w:t>’</w:t>
      </w:r>
      <w:r w:rsidRPr="00023457">
        <w:rPr>
          <w:i/>
        </w:rPr>
        <w:t>s Retail Electric Service Market</w:t>
      </w:r>
      <w:r w:rsidR="00B97AFE">
        <w:t>, Case No. 12</w:t>
      </w:r>
      <w:r w:rsidR="00B97AFE">
        <w:noBreakHyphen/>
      </w:r>
      <w:r>
        <w:t>3151</w:t>
      </w:r>
      <w:r w:rsidR="00B97AFE">
        <w:noBreakHyphen/>
      </w:r>
      <w:r>
        <w:t>EL</w:t>
      </w:r>
      <w:r w:rsidR="00B97AFE">
        <w:noBreakHyphen/>
      </w:r>
      <w:r>
        <w:t>COI.</w:t>
      </w:r>
    </w:p>
    <w:p w:rsidR="00023457" w:rsidRDefault="00023457" w:rsidP="00233108">
      <w:pPr>
        <w:pStyle w:val="FootnoteText"/>
        <w:jc w:val="both"/>
      </w:pPr>
    </w:p>
  </w:footnote>
  <w:footnote w:id="11">
    <w:p w:rsidR="00C7754F" w:rsidRDefault="00C7754F" w:rsidP="00013C0B">
      <w:pPr>
        <w:pStyle w:val="FootnoteText"/>
        <w:jc w:val="both"/>
      </w:pPr>
      <w:r>
        <w:rPr>
          <w:rStyle w:val="FootnoteReference"/>
        </w:rPr>
        <w:footnoteRef/>
      </w:r>
      <w:r>
        <w:t xml:space="preserve"> </w:t>
      </w:r>
      <w:r>
        <w:rPr>
          <w:rFonts w:cs="Arial"/>
        </w:rPr>
        <w:t>The Commission</w:t>
      </w:r>
      <w:r w:rsidR="003E1F72">
        <w:rPr>
          <w:rFonts w:cs="Arial"/>
        </w:rPr>
        <w:t>’</w:t>
      </w:r>
      <w:r>
        <w:rPr>
          <w:rFonts w:cs="Arial"/>
        </w:rPr>
        <w:t xml:space="preserve">s present layered and disconnected case-by-case approach to resolving dynamically interrelated issues increases the risk of adverse rate and total bill impacts. </w:t>
      </w:r>
    </w:p>
  </w:footnote>
  <w:footnote w:id="12">
    <w:p w:rsidR="002736CB" w:rsidRDefault="002736CB">
      <w:pPr>
        <w:pStyle w:val="FootnoteText"/>
      </w:pPr>
      <w:r>
        <w:rPr>
          <w:rStyle w:val="FootnoteReference"/>
        </w:rPr>
        <w:footnoteRef/>
      </w:r>
      <w:r>
        <w:t xml:space="preserve"> </w:t>
      </w:r>
      <w:r w:rsidR="00B97AFE">
        <w:t>Section 4928.</w:t>
      </w:r>
      <w:r w:rsidR="00A42BD9">
        <w:t>40</w:t>
      </w:r>
      <w:r w:rsidR="00B97AFE">
        <w:t>, Revised Code.</w:t>
      </w:r>
    </w:p>
    <w:p w:rsidR="002736CB" w:rsidRDefault="002736CB">
      <w:pPr>
        <w:pStyle w:val="FootnoteText"/>
      </w:pPr>
    </w:p>
  </w:footnote>
  <w:footnote w:id="13">
    <w:p w:rsidR="002736CB" w:rsidRDefault="002736CB">
      <w:pPr>
        <w:pStyle w:val="FootnoteText"/>
      </w:pPr>
      <w:r>
        <w:rPr>
          <w:rStyle w:val="FootnoteReference"/>
        </w:rPr>
        <w:footnoteRef/>
      </w:r>
      <w:r>
        <w:t xml:space="preserve"> </w:t>
      </w:r>
      <w:r w:rsidR="00B97AFE">
        <w:t>Section 4928.38, Revised Code.</w:t>
      </w:r>
    </w:p>
    <w:p w:rsidR="00B97AFE" w:rsidRDefault="00B97AFE">
      <w:pPr>
        <w:pStyle w:val="FootnoteText"/>
      </w:pPr>
    </w:p>
  </w:footnote>
  <w:footnote w:id="14">
    <w:p w:rsidR="00F67C88" w:rsidRDefault="00F67C88" w:rsidP="00013C0B">
      <w:pPr>
        <w:pStyle w:val="FootnoteText"/>
        <w:jc w:val="both"/>
      </w:pPr>
      <w:r>
        <w:rPr>
          <w:rStyle w:val="FootnoteReference"/>
        </w:rPr>
        <w:footnoteRef/>
      </w:r>
      <w:r>
        <w:t xml:space="preserve"> The consequences extend to customers obtaining electric service pursuant to reasonable arrangements.  For example, Ormet Corporation recently asserted that the base cost of electricity under </w:t>
      </w:r>
      <w:r w:rsidR="00D64020">
        <w:rPr>
          <w:rFonts w:cs="Arial"/>
        </w:rPr>
        <w:t>Ohio Power Company</w:t>
      </w:r>
      <w:r w:rsidR="003E1F72">
        <w:t>’</w:t>
      </w:r>
      <w:r>
        <w:t xml:space="preserve">s GS-4 rate schedule (before the reasonable arrangement discounts) was $39.66 per </w:t>
      </w:r>
      <w:r w:rsidR="00D64020">
        <w:t>megawatt-hour (</w:t>
      </w:r>
      <w:r w:rsidR="003E1F72">
        <w:t>“</w:t>
      </w:r>
      <w:r>
        <w:t>MWh</w:t>
      </w:r>
      <w:r w:rsidR="003E1F72">
        <w:t>”</w:t>
      </w:r>
      <w:r w:rsidR="00D64020">
        <w:t>)</w:t>
      </w:r>
      <w:r>
        <w:t xml:space="preserve"> in 2009 and that the base cost increased to an average of $57.99 per MWh in the first quarter of 2013, an increase of 46% over the 2009 base cost. </w:t>
      </w:r>
      <w:r w:rsidR="00D64020">
        <w:t xml:space="preserve"> </w:t>
      </w:r>
      <w:r w:rsidRPr="00013C0B">
        <w:rPr>
          <w:i/>
        </w:rPr>
        <w:t>In Re Ormet Corporation, et al</w:t>
      </w:r>
      <w:r w:rsidR="001B375A" w:rsidRPr="00013C0B">
        <w:rPr>
          <w:i/>
        </w:rPr>
        <w:t>.</w:t>
      </w:r>
      <w:r w:rsidR="001B375A">
        <w:rPr>
          <w:i/>
        </w:rPr>
        <w:t>,</w:t>
      </w:r>
      <w:r w:rsidR="001B375A">
        <w:t xml:space="preserve"> Emergency Motion of Debtors for Entry of an Order Authorizing Debtors to Curtail Operations and Granting Related Relief at page 4, United States Bankruptcy Court for the District of Delaware, Case No. 13-10334 (MFW) (July 15, 2013).  But for the non-bypassable generation-related charges approved by the Commission in the </w:t>
      </w:r>
      <w:r w:rsidR="001B375A" w:rsidRPr="00013C0B">
        <w:rPr>
          <w:i/>
        </w:rPr>
        <w:t>ESP II Case</w:t>
      </w:r>
      <w:r w:rsidR="001B375A">
        <w:t>, much of this significant increase would be avoidable by obtaining generation supply from a CRES provider or by Ormet acting as its own load serving entity.</w:t>
      </w:r>
    </w:p>
    <w:p w:rsidR="00EA3765" w:rsidRDefault="00EA3765" w:rsidP="00013C0B">
      <w:pPr>
        <w:pStyle w:val="FootnoteText"/>
        <w:jc w:val="both"/>
      </w:pPr>
    </w:p>
  </w:footnote>
  <w:footnote w:id="15">
    <w:p w:rsidR="00EA3765" w:rsidRDefault="00EA3765" w:rsidP="00013C0B">
      <w:pPr>
        <w:pStyle w:val="FootnoteText"/>
        <w:jc w:val="both"/>
      </w:pPr>
      <w:r>
        <w:rPr>
          <w:rStyle w:val="FootnoteReference"/>
        </w:rPr>
        <w:footnoteRef/>
      </w:r>
      <w:r>
        <w:t xml:space="preserve"> The Commission has not identified any legal authority that may allow the Commission to mitigate adverse rate impacts of </w:t>
      </w:r>
      <w:r w:rsidR="00F05DA0">
        <w:t>Ohio Power Company</w:t>
      </w:r>
      <w:r w:rsidR="003E1F72">
        <w:t>’</w:t>
      </w:r>
      <w:r w:rsidR="00F05DA0">
        <w:t xml:space="preserve">s </w:t>
      </w:r>
      <w:r>
        <w:t>se</w:t>
      </w:r>
      <w:r w:rsidR="008A1B6E">
        <w:t>cond transition to market based-</w:t>
      </w:r>
      <w:r>
        <w:t>rates</w:t>
      </w:r>
      <w:r w:rsidR="008A1B6E">
        <w:t>.  Since a transition to market-</w:t>
      </w:r>
      <w:r>
        <w:t xml:space="preserve">based rates necessarily means that </w:t>
      </w:r>
      <w:r w:rsidR="00F05DA0">
        <w:t xml:space="preserve">a </w:t>
      </w:r>
      <w:r>
        <w:t xml:space="preserve">competitive retail electric service </w:t>
      </w:r>
      <w:r w:rsidR="00F05DA0">
        <w:t xml:space="preserve">is involved </w:t>
      </w:r>
      <w:r>
        <w:t>and the General Assembly has removed the Commission</w:t>
      </w:r>
      <w:r w:rsidR="003E1F72">
        <w:t>’</w:t>
      </w:r>
      <w:r>
        <w:t xml:space="preserve">s supervisory and regulatory </w:t>
      </w:r>
      <w:r w:rsidR="00F05DA0">
        <w:t>authority over such service</w:t>
      </w:r>
      <w:r>
        <w:t xml:space="preserve"> (except in very limited circumstances), </w:t>
      </w:r>
      <w:r w:rsidR="00F05DA0">
        <w:t>questions about the Commission</w:t>
      </w:r>
      <w:r w:rsidR="003E1F72">
        <w:t>’</w:t>
      </w:r>
      <w:r w:rsidR="00F05DA0">
        <w:t xml:space="preserve">s legal authority should not be taken lightly.  Section 4928.142(E), Revised Code, gives the Commission circumstance-specific </w:t>
      </w:r>
      <w:r w:rsidR="008A1B6E">
        <w:t xml:space="preserve">authority </w:t>
      </w:r>
      <w:r w:rsidR="00F05DA0">
        <w:t xml:space="preserve">to modify the proportionate blending of the competitive bid price and the prior default generation supply price to </w:t>
      </w:r>
      <w:r w:rsidR="003E1F72">
        <w:t>“</w:t>
      </w:r>
      <w:r w:rsidR="00F05DA0">
        <w:t>…</w:t>
      </w:r>
      <w:r w:rsidR="008A1B6E">
        <w:t> </w:t>
      </w:r>
      <w:r w:rsidR="00F05DA0">
        <w:t>mitigate any effect of an abrupt or significant change</w:t>
      </w:r>
      <w:r w:rsidR="008A1B6E">
        <w:t> </w:t>
      </w:r>
      <w:r w:rsidR="00F05DA0">
        <w:t>…</w:t>
      </w:r>
      <w:r w:rsidR="003E1F72">
        <w:t>”</w:t>
      </w:r>
      <w:r w:rsidR="00F64EBB">
        <w:t xml:space="preserve"> in the SSO price.  Anything that the Commission might do pursuant to Section 4928.143, Revised Code</w:t>
      </w:r>
      <w:r w:rsidR="008A1B6E">
        <w:t>,</w:t>
      </w:r>
      <w:r w:rsidR="00F64EBB">
        <w:t xml:space="preserve"> is subject to an EDU</w:t>
      </w:r>
      <w:r w:rsidR="003E1F72">
        <w:t>’</w:t>
      </w:r>
      <w:r w:rsidR="00F64EBB">
        <w:t xml:space="preserve">s rejection and the </w:t>
      </w:r>
      <w:r w:rsidR="003E1F72">
        <w:t>“</w:t>
      </w:r>
      <w:r w:rsidR="00F64EBB">
        <w:t>benefit in the aggregate</w:t>
      </w:r>
      <w:r w:rsidR="003E1F72">
        <w:t>”</w:t>
      </w:r>
      <w:r w:rsidR="00F64EBB">
        <w:t xml:space="preserve"> test.  The authority provided in Section 4928.144, Revised Code, is limited to </w:t>
      </w:r>
      <w:r w:rsidR="008A1B6E">
        <w:t xml:space="preserve">a </w:t>
      </w:r>
      <w:r w:rsidR="00F64EBB">
        <w:t>rate or price established under Section</w:t>
      </w:r>
      <w:r w:rsidR="008A1B6E">
        <w:t>s</w:t>
      </w:r>
      <w:r w:rsidR="00F64EBB">
        <w:t xml:space="preserve"> 4928.141 to 4928.143, Revised Code</w:t>
      </w:r>
      <w:r w:rsidR="008A1B6E">
        <w:t>,</w:t>
      </w:r>
      <w:r w:rsidR="00F64EBB">
        <w:t xml:space="preserve"> and, if used, may increase the total burden imposed on customers.</w:t>
      </w:r>
    </w:p>
    <w:p w:rsidR="008A1B6E" w:rsidRDefault="008A1B6E" w:rsidP="00013C0B">
      <w:pPr>
        <w:pStyle w:val="FootnoteText"/>
        <w:jc w:val="both"/>
      </w:pPr>
    </w:p>
  </w:footnote>
  <w:footnote w:id="16">
    <w:p w:rsidR="0047700F" w:rsidRDefault="0047700F">
      <w:pPr>
        <w:pStyle w:val="FootnoteText"/>
      </w:pPr>
      <w:r>
        <w:rPr>
          <w:rStyle w:val="FootnoteReference"/>
        </w:rPr>
        <w:footnoteRef/>
      </w:r>
      <w:r>
        <w:t xml:space="preserve"> </w:t>
      </w:r>
      <w:r w:rsidRPr="00013C0B">
        <w:rPr>
          <w:i/>
        </w:rPr>
        <w:t>Second Transition Entry</w:t>
      </w:r>
      <w:r>
        <w:t xml:space="preserve"> at 1.</w:t>
      </w:r>
    </w:p>
    <w:p w:rsidR="0047700F" w:rsidRDefault="0047700F">
      <w:pPr>
        <w:pStyle w:val="FootnoteText"/>
      </w:pPr>
    </w:p>
  </w:footnote>
  <w:footnote w:id="17">
    <w:p w:rsidR="0047700F" w:rsidRDefault="0047700F">
      <w:pPr>
        <w:pStyle w:val="FootnoteText"/>
      </w:pPr>
      <w:r>
        <w:rPr>
          <w:rStyle w:val="FootnoteReference"/>
        </w:rPr>
        <w:footnoteRef/>
      </w:r>
      <w:r>
        <w:t xml:space="preserve"> </w:t>
      </w:r>
      <w:r w:rsidRPr="00013C0B">
        <w:rPr>
          <w:i/>
        </w:rPr>
        <w:t>Id</w:t>
      </w:r>
      <w:r>
        <w:t xml:space="preserve">.  </w:t>
      </w:r>
    </w:p>
  </w:footnote>
  <w:footnote w:id="18">
    <w:p w:rsidR="00597385" w:rsidRDefault="00597385" w:rsidP="00597385">
      <w:pPr>
        <w:pStyle w:val="FootnoteText"/>
      </w:pPr>
      <w:r>
        <w:rPr>
          <w:rStyle w:val="FootnoteReference"/>
        </w:rPr>
        <w:footnoteRef/>
      </w:r>
      <w:r>
        <w:t xml:space="preserve"> Section 4928.06, Revised Code.</w:t>
      </w:r>
    </w:p>
    <w:p w:rsidR="00597385" w:rsidRDefault="00597385" w:rsidP="0059738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FB" w:rsidRDefault="00FD4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FB" w:rsidRDefault="00FD4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FB" w:rsidRDefault="00FD40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Default="00556088" w:rsidP="00EE42F5">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E9" w:rsidRDefault="00556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54A3"/>
    <w:multiLevelType w:val="hybridMultilevel"/>
    <w:tmpl w:val="2620F870"/>
    <w:lvl w:ilvl="0" w:tplc="D292C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B448C"/>
    <w:multiLevelType w:val="hybridMultilevel"/>
    <w:tmpl w:val="2782E94A"/>
    <w:name w:val="(Unnamed Numbering Scheme)"/>
    <w:lvl w:ilvl="0" w:tplc="6EA2CC6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C1A563A"/>
    <w:multiLevelType w:val="multilevel"/>
    <w:tmpl w:val="357EA3AA"/>
    <w:name w:val="IEU Basic--PUCO"/>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98"/>
    <w:rsid w:val="00013C0B"/>
    <w:rsid w:val="00023457"/>
    <w:rsid w:val="000668EE"/>
    <w:rsid w:val="000D3313"/>
    <w:rsid w:val="000D40F4"/>
    <w:rsid w:val="00137AB2"/>
    <w:rsid w:val="00154443"/>
    <w:rsid w:val="00156163"/>
    <w:rsid w:val="0019355A"/>
    <w:rsid w:val="001B375A"/>
    <w:rsid w:val="001C01DD"/>
    <w:rsid w:val="00205975"/>
    <w:rsid w:val="0022082D"/>
    <w:rsid w:val="00233108"/>
    <w:rsid w:val="00242BDE"/>
    <w:rsid w:val="002736CB"/>
    <w:rsid w:val="00273E52"/>
    <w:rsid w:val="00274E98"/>
    <w:rsid w:val="002A258F"/>
    <w:rsid w:val="003422F5"/>
    <w:rsid w:val="00350B0D"/>
    <w:rsid w:val="003B677B"/>
    <w:rsid w:val="003D22CA"/>
    <w:rsid w:val="003E1F72"/>
    <w:rsid w:val="0046033E"/>
    <w:rsid w:val="0047700F"/>
    <w:rsid w:val="00556088"/>
    <w:rsid w:val="005949D8"/>
    <w:rsid w:val="00597385"/>
    <w:rsid w:val="006075DF"/>
    <w:rsid w:val="00654B5D"/>
    <w:rsid w:val="0068288B"/>
    <w:rsid w:val="007536F3"/>
    <w:rsid w:val="007854D4"/>
    <w:rsid w:val="00795BCF"/>
    <w:rsid w:val="007E263D"/>
    <w:rsid w:val="00804E85"/>
    <w:rsid w:val="00807B73"/>
    <w:rsid w:val="00814BC6"/>
    <w:rsid w:val="00852FD1"/>
    <w:rsid w:val="008A1B6E"/>
    <w:rsid w:val="008B0FE8"/>
    <w:rsid w:val="008E3BF4"/>
    <w:rsid w:val="008F3ADC"/>
    <w:rsid w:val="0096150E"/>
    <w:rsid w:val="009B1E9B"/>
    <w:rsid w:val="009C6283"/>
    <w:rsid w:val="00A039DC"/>
    <w:rsid w:val="00A21A44"/>
    <w:rsid w:val="00A21E43"/>
    <w:rsid w:val="00A42663"/>
    <w:rsid w:val="00A42BD9"/>
    <w:rsid w:val="00A87300"/>
    <w:rsid w:val="00A9205C"/>
    <w:rsid w:val="00AA30AC"/>
    <w:rsid w:val="00AD00A8"/>
    <w:rsid w:val="00AF5502"/>
    <w:rsid w:val="00B400A2"/>
    <w:rsid w:val="00B6692C"/>
    <w:rsid w:val="00B7469C"/>
    <w:rsid w:val="00B97AFE"/>
    <w:rsid w:val="00BE42A9"/>
    <w:rsid w:val="00BE4C0E"/>
    <w:rsid w:val="00C0405A"/>
    <w:rsid w:val="00C04240"/>
    <w:rsid w:val="00C244AA"/>
    <w:rsid w:val="00C7754F"/>
    <w:rsid w:val="00CA02E6"/>
    <w:rsid w:val="00CE286C"/>
    <w:rsid w:val="00D20E7F"/>
    <w:rsid w:val="00D64020"/>
    <w:rsid w:val="00D92220"/>
    <w:rsid w:val="00EA3765"/>
    <w:rsid w:val="00EA5704"/>
    <w:rsid w:val="00F05DA0"/>
    <w:rsid w:val="00F37E33"/>
    <w:rsid w:val="00F46E4A"/>
    <w:rsid w:val="00F64EBB"/>
    <w:rsid w:val="00F67C88"/>
    <w:rsid w:val="00F952D8"/>
    <w:rsid w:val="00FD114E"/>
    <w:rsid w:val="00FD40FB"/>
    <w:rsid w:val="00FE4AC6"/>
    <w:rsid w:val="00FF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020"/>
    <w:pPr>
      <w:numPr>
        <w:numId w:val="3"/>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D64020"/>
    <w:pPr>
      <w:numPr>
        <w:ilvl w:val="1"/>
        <w:numId w:val="3"/>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D64020"/>
    <w:pPr>
      <w:numPr>
        <w:ilvl w:val="2"/>
        <w:numId w:val="3"/>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D64020"/>
    <w:pPr>
      <w:numPr>
        <w:ilvl w:val="3"/>
        <w:numId w:val="3"/>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D64020"/>
    <w:pPr>
      <w:numPr>
        <w:ilvl w:val="4"/>
        <w:numId w:val="3"/>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D64020"/>
    <w:pPr>
      <w:numPr>
        <w:ilvl w:val="5"/>
        <w:numId w:val="3"/>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D64020"/>
    <w:pPr>
      <w:numPr>
        <w:ilvl w:val="6"/>
        <w:numId w:val="3"/>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D64020"/>
    <w:pPr>
      <w:numPr>
        <w:ilvl w:val="7"/>
        <w:numId w:val="3"/>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D64020"/>
    <w:pPr>
      <w:numPr>
        <w:ilvl w:val="8"/>
        <w:numId w:val="3"/>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02E6"/>
    <w:rPr>
      <w:sz w:val="20"/>
      <w:szCs w:val="20"/>
    </w:rPr>
  </w:style>
  <w:style w:type="character" w:customStyle="1" w:styleId="FootnoteTextChar">
    <w:name w:val="Footnote Text Char"/>
    <w:basedOn w:val="DefaultParagraphFont"/>
    <w:link w:val="FootnoteText"/>
    <w:uiPriority w:val="99"/>
    <w:rsid w:val="00CA02E6"/>
    <w:rPr>
      <w:sz w:val="20"/>
      <w:szCs w:val="20"/>
    </w:rPr>
  </w:style>
  <w:style w:type="character" w:styleId="FootnoteReference">
    <w:name w:val="footnote reference"/>
    <w:basedOn w:val="DefaultParagraphFont"/>
    <w:uiPriority w:val="99"/>
    <w:semiHidden/>
    <w:unhideWhenUsed/>
    <w:rsid w:val="00CA02E6"/>
    <w:rPr>
      <w:vertAlign w:val="superscript"/>
    </w:rPr>
  </w:style>
  <w:style w:type="paragraph" w:styleId="Header">
    <w:name w:val="header"/>
    <w:basedOn w:val="Normal"/>
    <w:link w:val="HeaderChar"/>
    <w:uiPriority w:val="99"/>
    <w:unhideWhenUsed/>
    <w:rsid w:val="00154443"/>
    <w:pPr>
      <w:tabs>
        <w:tab w:val="center" w:pos="4680"/>
        <w:tab w:val="right" w:pos="9360"/>
      </w:tabs>
    </w:pPr>
  </w:style>
  <w:style w:type="character" w:customStyle="1" w:styleId="HeaderChar">
    <w:name w:val="Header Char"/>
    <w:basedOn w:val="DefaultParagraphFont"/>
    <w:link w:val="Header"/>
    <w:uiPriority w:val="99"/>
    <w:rsid w:val="00154443"/>
  </w:style>
  <w:style w:type="paragraph" w:styleId="Footer">
    <w:name w:val="footer"/>
    <w:basedOn w:val="Normal"/>
    <w:link w:val="FooterChar"/>
    <w:uiPriority w:val="99"/>
    <w:unhideWhenUsed/>
    <w:rsid w:val="00154443"/>
    <w:pPr>
      <w:tabs>
        <w:tab w:val="center" w:pos="4680"/>
        <w:tab w:val="right" w:pos="9360"/>
      </w:tabs>
    </w:pPr>
  </w:style>
  <w:style w:type="character" w:customStyle="1" w:styleId="FooterChar">
    <w:name w:val="Footer Char"/>
    <w:basedOn w:val="DefaultParagraphFont"/>
    <w:link w:val="Footer"/>
    <w:uiPriority w:val="99"/>
    <w:rsid w:val="00154443"/>
  </w:style>
  <w:style w:type="paragraph" w:styleId="BalloonText">
    <w:name w:val="Balloon Text"/>
    <w:basedOn w:val="Normal"/>
    <w:link w:val="BalloonTextChar"/>
    <w:uiPriority w:val="99"/>
    <w:semiHidden/>
    <w:unhideWhenUsed/>
    <w:rsid w:val="00B97AFE"/>
    <w:rPr>
      <w:rFonts w:ascii="Tahoma" w:hAnsi="Tahoma" w:cs="Tahoma"/>
      <w:sz w:val="16"/>
      <w:szCs w:val="16"/>
    </w:rPr>
  </w:style>
  <w:style w:type="character" w:customStyle="1" w:styleId="BalloonTextChar">
    <w:name w:val="Balloon Text Char"/>
    <w:basedOn w:val="DefaultParagraphFont"/>
    <w:link w:val="BalloonText"/>
    <w:uiPriority w:val="99"/>
    <w:semiHidden/>
    <w:rsid w:val="00B97AFE"/>
    <w:rPr>
      <w:rFonts w:ascii="Tahoma" w:hAnsi="Tahoma" w:cs="Tahoma"/>
      <w:sz w:val="16"/>
      <w:szCs w:val="16"/>
    </w:rPr>
  </w:style>
  <w:style w:type="character" w:styleId="CommentReference">
    <w:name w:val="annotation reference"/>
    <w:basedOn w:val="DefaultParagraphFont"/>
    <w:uiPriority w:val="99"/>
    <w:semiHidden/>
    <w:unhideWhenUsed/>
    <w:rsid w:val="00B97AFE"/>
    <w:rPr>
      <w:sz w:val="16"/>
      <w:szCs w:val="16"/>
    </w:rPr>
  </w:style>
  <w:style w:type="paragraph" w:styleId="CommentText">
    <w:name w:val="annotation text"/>
    <w:basedOn w:val="Normal"/>
    <w:link w:val="CommentTextChar"/>
    <w:uiPriority w:val="99"/>
    <w:semiHidden/>
    <w:unhideWhenUsed/>
    <w:rsid w:val="00B97AFE"/>
    <w:rPr>
      <w:sz w:val="20"/>
      <w:szCs w:val="20"/>
    </w:rPr>
  </w:style>
  <w:style w:type="character" w:customStyle="1" w:styleId="CommentTextChar">
    <w:name w:val="Comment Text Char"/>
    <w:basedOn w:val="DefaultParagraphFont"/>
    <w:link w:val="CommentText"/>
    <w:uiPriority w:val="99"/>
    <w:semiHidden/>
    <w:rsid w:val="00B97AFE"/>
    <w:rPr>
      <w:sz w:val="20"/>
      <w:szCs w:val="20"/>
    </w:rPr>
  </w:style>
  <w:style w:type="paragraph" w:styleId="CommentSubject">
    <w:name w:val="annotation subject"/>
    <w:basedOn w:val="CommentText"/>
    <w:next w:val="CommentText"/>
    <w:link w:val="CommentSubjectChar"/>
    <w:uiPriority w:val="99"/>
    <w:semiHidden/>
    <w:unhideWhenUsed/>
    <w:rsid w:val="00B97AFE"/>
    <w:rPr>
      <w:b/>
      <w:bCs/>
    </w:rPr>
  </w:style>
  <w:style w:type="character" w:customStyle="1" w:styleId="CommentSubjectChar">
    <w:name w:val="Comment Subject Char"/>
    <w:basedOn w:val="CommentTextChar"/>
    <w:link w:val="CommentSubject"/>
    <w:uiPriority w:val="99"/>
    <w:semiHidden/>
    <w:rsid w:val="00B97AFE"/>
    <w:rPr>
      <w:b/>
      <w:bCs/>
      <w:sz w:val="20"/>
      <w:szCs w:val="20"/>
    </w:rPr>
  </w:style>
  <w:style w:type="paragraph" w:styleId="BodyTextIndent">
    <w:name w:val="Body Text Indent"/>
    <w:basedOn w:val="Normal"/>
    <w:link w:val="BodyTextIndentChar"/>
    <w:semiHidden/>
    <w:unhideWhenUsed/>
    <w:rsid w:val="00B97AFE"/>
    <w:pPr>
      <w:ind w:firstLine="720"/>
      <w:jc w:val="both"/>
    </w:pPr>
    <w:rPr>
      <w:rFonts w:eastAsia="Times New Roman" w:cs="Arial"/>
    </w:rPr>
  </w:style>
  <w:style w:type="character" w:customStyle="1" w:styleId="BodyTextIndentChar">
    <w:name w:val="Body Text Indent Char"/>
    <w:basedOn w:val="DefaultParagraphFont"/>
    <w:link w:val="BodyTextIndent"/>
    <w:semiHidden/>
    <w:rsid w:val="00B97AFE"/>
    <w:rPr>
      <w:rFonts w:eastAsia="Times New Roman" w:cs="Arial"/>
    </w:rPr>
  </w:style>
  <w:style w:type="paragraph" w:styleId="ListParagraph">
    <w:name w:val="List Paragraph"/>
    <w:basedOn w:val="Normal"/>
    <w:uiPriority w:val="34"/>
    <w:qFormat/>
    <w:rsid w:val="00BE42A9"/>
    <w:pPr>
      <w:ind w:left="720"/>
      <w:contextualSpacing/>
    </w:pPr>
  </w:style>
  <w:style w:type="character" w:customStyle="1" w:styleId="Heading1Char">
    <w:name w:val="Heading 1 Char"/>
    <w:basedOn w:val="DefaultParagraphFont"/>
    <w:link w:val="Heading1"/>
    <w:uiPriority w:val="9"/>
    <w:rsid w:val="00D64020"/>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D64020"/>
    <w:rPr>
      <w:rFonts w:eastAsiaTheme="majorEastAsia" w:cs="Arial"/>
      <w:b/>
      <w:bCs/>
      <w:szCs w:val="26"/>
    </w:rPr>
  </w:style>
  <w:style w:type="character" w:customStyle="1" w:styleId="Heading3Char">
    <w:name w:val="Heading 3 Char"/>
    <w:basedOn w:val="DefaultParagraphFont"/>
    <w:link w:val="Heading3"/>
    <w:uiPriority w:val="9"/>
    <w:semiHidden/>
    <w:rsid w:val="00D64020"/>
    <w:rPr>
      <w:rFonts w:eastAsiaTheme="majorEastAsia" w:cs="Arial"/>
      <w:b/>
      <w:bCs/>
    </w:rPr>
  </w:style>
  <w:style w:type="character" w:customStyle="1" w:styleId="Heading4Char">
    <w:name w:val="Heading 4 Char"/>
    <w:basedOn w:val="DefaultParagraphFont"/>
    <w:link w:val="Heading4"/>
    <w:uiPriority w:val="9"/>
    <w:semiHidden/>
    <w:rsid w:val="00D64020"/>
    <w:rPr>
      <w:rFonts w:eastAsiaTheme="majorEastAsia" w:cs="Arial"/>
      <w:b/>
      <w:bCs/>
      <w:i/>
      <w:iCs/>
    </w:rPr>
  </w:style>
  <w:style w:type="character" w:customStyle="1" w:styleId="Heading5Char">
    <w:name w:val="Heading 5 Char"/>
    <w:basedOn w:val="DefaultParagraphFont"/>
    <w:link w:val="Heading5"/>
    <w:uiPriority w:val="9"/>
    <w:semiHidden/>
    <w:rsid w:val="00D64020"/>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D64020"/>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D64020"/>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D64020"/>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D64020"/>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013C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020"/>
    <w:pPr>
      <w:numPr>
        <w:numId w:val="3"/>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D64020"/>
    <w:pPr>
      <w:numPr>
        <w:ilvl w:val="1"/>
        <w:numId w:val="3"/>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D64020"/>
    <w:pPr>
      <w:numPr>
        <w:ilvl w:val="2"/>
        <w:numId w:val="3"/>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D64020"/>
    <w:pPr>
      <w:numPr>
        <w:ilvl w:val="3"/>
        <w:numId w:val="3"/>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D64020"/>
    <w:pPr>
      <w:numPr>
        <w:ilvl w:val="4"/>
        <w:numId w:val="3"/>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D64020"/>
    <w:pPr>
      <w:numPr>
        <w:ilvl w:val="5"/>
        <w:numId w:val="3"/>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D64020"/>
    <w:pPr>
      <w:numPr>
        <w:ilvl w:val="6"/>
        <w:numId w:val="3"/>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D64020"/>
    <w:pPr>
      <w:numPr>
        <w:ilvl w:val="7"/>
        <w:numId w:val="3"/>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D64020"/>
    <w:pPr>
      <w:numPr>
        <w:ilvl w:val="8"/>
        <w:numId w:val="3"/>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02E6"/>
    <w:rPr>
      <w:sz w:val="20"/>
      <w:szCs w:val="20"/>
    </w:rPr>
  </w:style>
  <w:style w:type="character" w:customStyle="1" w:styleId="FootnoteTextChar">
    <w:name w:val="Footnote Text Char"/>
    <w:basedOn w:val="DefaultParagraphFont"/>
    <w:link w:val="FootnoteText"/>
    <w:uiPriority w:val="99"/>
    <w:rsid w:val="00CA02E6"/>
    <w:rPr>
      <w:sz w:val="20"/>
      <w:szCs w:val="20"/>
    </w:rPr>
  </w:style>
  <w:style w:type="character" w:styleId="FootnoteReference">
    <w:name w:val="footnote reference"/>
    <w:basedOn w:val="DefaultParagraphFont"/>
    <w:uiPriority w:val="99"/>
    <w:semiHidden/>
    <w:unhideWhenUsed/>
    <w:rsid w:val="00CA02E6"/>
    <w:rPr>
      <w:vertAlign w:val="superscript"/>
    </w:rPr>
  </w:style>
  <w:style w:type="paragraph" w:styleId="Header">
    <w:name w:val="header"/>
    <w:basedOn w:val="Normal"/>
    <w:link w:val="HeaderChar"/>
    <w:uiPriority w:val="99"/>
    <w:unhideWhenUsed/>
    <w:rsid w:val="00154443"/>
    <w:pPr>
      <w:tabs>
        <w:tab w:val="center" w:pos="4680"/>
        <w:tab w:val="right" w:pos="9360"/>
      </w:tabs>
    </w:pPr>
  </w:style>
  <w:style w:type="character" w:customStyle="1" w:styleId="HeaderChar">
    <w:name w:val="Header Char"/>
    <w:basedOn w:val="DefaultParagraphFont"/>
    <w:link w:val="Header"/>
    <w:uiPriority w:val="99"/>
    <w:rsid w:val="00154443"/>
  </w:style>
  <w:style w:type="paragraph" w:styleId="Footer">
    <w:name w:val="footer"/>
    <w:basedOn w:val="Normal"/>
    <w:link w:val="FooterChar"/>
    <w:uiPriority w:val="99"/>
    <w:unhideWhenUsed/>
    <w:rsid w:val="00154443"/>
    <w:pPr>
      <w:tabs>
        <w:tab w:val="center" w:pos="4680"/>
        <w:tab w:val="right" w:pos="9360"/>
      </w:tabs>
    </w:pPr>
  </w:style>
  <w:style w:type="character" w:customStyle="1" w:styleId="FooterChar">
    <w:name w:val="Footer Char"/>
    <w:basedOn w:val="DefaultParagraphFont"/>
    <w:link w:val="Footer"/>
    <w:uiPriority w:val="99"/>
    <w:rsid w:val="00154443"/>
  </w:style>
  <w:style w:type="paragraph" w:styleId="BalloonText">
    <w:name w:val="Balloon Text"/>
    <w:basedOn w:val="Normal"/>
    <w:link w:val="BalloonTextChar"/>
    <w:uiPriority w:val="99"/>
    <w:semiHidden/>
    <w:unhideWhenUsed/>
    <w:rsid w:val="00B97AFE"/>
    <w:rPr>
      <w:rFonts w:ascii="Tahoma" w:hAnsi="Tahoma" w:cs="Tahoma"/>
      <w:sz w:val="16"/>
      <w:szCs w:val="16"/>
    </w:rPr>
  </w:style>
  <w:style w:type="character" w:customStyle="1" w:styleId="BalloonTextChar">
    <w:name w:val="Balloon Text Char"/>
    <w:basedOn w:val="DefaultParagraphFont"/>
    <w:link w:val="BalloonText"/>
    <w:uiPriority w:val="99"/>
    <w:semiHidden/>
    <w:rsid w:val="00B97AFE"/>
    <w:rPr>
      <w:rFonts w:ascii="Tahoma" w:hAnsi="Tahoma" w:cs="Tahoma"/>
      <w:sz w:val="16"/>
      <w:szCs w:val="16"/>
    </w:rPr>
  </w:style>
  <w:style w:type="character" w:styleId="CommentReference">
    <w:name w:val="annotation reference"/>
    <w:basedOn w:val="DefaultParagraphFont"/>
    <w:uiPriority w:val="99"/>
    <w:semiHidden/>
    <w:unhideWhenUsed/>
    <w:rsid w:val="00B97AFE"/>
    <w:rPr>
      <w:sz w:val="16"/>
      <w:szCs w:val="16"/>
    </w:rPr>
  </w:style>
  <w:style w:type="paragraph" w:styleId="CommentText">
    <w:name w:val="annotation text"/>
    <w:basedOn w:val="Normal"/>
    <w:link w:val="CommentTextChar"/>
    <w:uiPriority w:val="99"/>
    <w:semiHidden/>
    <w:unhideWhenUsed/>
    <w:rsid w:val="00B97AFE"/>
    <w:rPr>
      <w:sz w:val="20"/>
      <w:szCs w:val="20"/>
    </w:rPr>
  </w:style>
  <w:style w:type="character" w:customStyle="1" w:styleId="CommentTextChar">
    <w:name w:val="Comment Text Char"/>
    <w:basedOn w:val="DefaultParagraphFont"/>
    <w:link w:val="CommentText"/>
    <w:uiPriority w:val="99"/>
    <w:semiHidden/>
    <w:rsid w:val="00B97AFE"/>
    <w:rPr>
      <w:sz w:val="20"/>
      <w:szCs w:val="20"/>
    </w:rPr>
  </w:style>
  <w:style w:type="paragraph" w:styleId="CommentSubject">
    <w:name w:val="annotation subject"/>
    <w:basedOn w:val="CommentText"/>
    <w:next w:val="CommentText"/>
    <w:link w:val="CommentSubjectChar"/>
    <w:uiPriority w:val="99"/>
    <w:semiHidden/>
    <w:unhideWhenUsed/>
    <w:rsid w:val="00B97AFE"/>
    <w:rPr>
      <w:b/>
      <w:bCs/>
    </w:rPr>
  </w:style>
  <w:style w:type="character" w:customStyle="1" w:styleId="CommentSubjectChar">
    <w:name w:val="Comment Subject Char"/>
    <w:basedOn w:val="CommentTextChar"/>
    <w:link w:val="CommentSubject"/>
    <w:uiPriority w:val="99"/>
    <w:semiHidden/>
    <w:rsid w:val="00B97AFE"/>
    <w:rPr>
      <w:b/>
      <w:bCs/>
      <w:sz w:val="20"/>
      <w:szCs w:val="20"/>
    </w:rPr>
  </w:style>
  <w:style w:type="paragraph" w:styleId="BodyTextIndent">
    <w:name w:val="Body Text Indent"/>
    <w:basedOn w:val="Normal"/>
    <w:link w:val="BodyTextIndentChar"/>
    <w:semiHidden/>
    <w:unhideWhenUsed/>
    <w:rsid w:val="00B97AFE"/>
    <w:pPr>
      <w:ind w:firstLine="720"/>
      <w:jc w:val="both"/>
    </w:pPr>
    <w:rPr>
      <w:rFonts w:eastAsia="Times New Roman" w:cs="Arial"/>
    </w:rPr>
  </w:style>
  <w:style w:type="character" w:customStyle="1" w:styleId="BodyTextIndentChar">
    <w:name w:val="Body Text Indent Char"/>
    <w:basedOn w:val="DefaultParagraphFont"/>
    <w:link w:val="BodyTextIndent"/>
    <w:semiHidden/>
    <w:rsid w:val="00B97AFE"/>
    <w:rPr>
      <w:rFonts w:eastAsia="Times New Roman" w:cs="Arial"/>
    </w:rPr>
  </w:style>
  <w:style w:type="paragraph" w:styleId="ListParagraph">
    <w:name w:val="List Paragraph"/>
    <w:basedOn w:val="Normal"/>
    <w:uiPriority w:val="34"/>
    <w:qFormat/>
    <w:rsid w:val="00BE42A9"/>
    <w:pPr>
      <w:ind w:left="720"/>
      <w:contextualSpacing/>
    </w:pPr>
  </w:style>
  <w:style w:type="character" w:customStyle="1" w:styleId="Heading1Char">
    <w:name w:val="Heading 1 Char"/>
    <w:basedOn w:val="DefaultParagraphFont"/>
    <w:link w:val="Heading1"/>
    <w:uiPriority w:val="9"/>
    <w:rsid w:val="00D64020"/>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D64020"/>
    <w:rPr>
      <w:rFonts w:eastAsiaTheme="majorEastAsia" w:cs="Arial"/>
      <w:b/>
      <w:bCs/>
      <w:szCs w:val="26"/>
    </w:rPr>
  </w:style>
  <w:style w:type="character" w:customStyle="1" w:styleId="Heading3Char">
    <w:name w:val="Heading 3 Char"/>
    <w:basedOn w:val="DefaultParagraphFont"/>
    <w:link w:val="Heading3"/>
    <w:uiPriority w:val="9"/>
    <w:semiHidden/>
    <w:rsid w:val="00D64020"/>
    <w:rPr>
      <w:rFonts w:eastAsiaTheme="majorEastAsia" w:cs="Arial"/>
      <w:b/>
      <w:bCs/>
    </w:rPr>
  </w:style>
  <w:style w:type="character" w:customStyle="1" w:styleId="Heading4Char">
    <w:name w:val="Heading 4 Char"/>
    <w:basedOn w:val="DefaultParagraphFont"/>
    <w:link w:val="Heading4"/>
    <w:uiPriority w:val="9"/>
    <w:semiHidden/>
    <w:rsid w:val="00D64020"/>
    <w:rPr>
      <w:rFonts w:eastAsiaTheme="majorEastAsia" w:cs="Arial"/>
      <w:b/>
      <w:bCs/>
      <w:i/>
      <w:iCs/>
    </w:rPr>
  </w:style>
  <w:style w:type="character" w:customStyle="1" w:styleId="Heading5Char">
    <w:name w:val="Heading 5 Char"/>
    <w:basedOn w:val="DefaultParagraphFont"/>
    <w:link w:val="Heading5"/>
    <w:uiPriority w:val="9"/>
    <w:semiHidden/>
    <w:rsid w:val="00D64020"/>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D64020"/>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D64020"/>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D64020"/>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D64020"/>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013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5290-F24D-471B-AE82-96C939FC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1601</Words>
  <Characters>8940</Characters>
  <Application>Microsoft Office Word</Application>
  <DocSecurity>0</DocSecurity>
  <PresentationFormat/>
  <Lines>213</Lines>
  <Paragraphs>82</Paragraphs>
  <ScaleCrop>false</ScaleCrop>
  <HeadingPairs>
    <vt:vector size="2" baseType="variant">
      <vt:variant>
        <vt:lpstr>Title</vt:lpstr>
      </vt:variant>
      <vt:variant>
        <vt:i4>1</vt:i4>
      </vt:variant>
    </vt:vector>
  </HeadingPairs>
  <TitlesOfParts>
    <vt:vector size="1" baseType="lpstr">
      <vt:lpstr>Draft Comments on Second Transiton to Market - 13-1530 (C41140-3).DOCX</vt:lpstr>
    </vt:vector>
  </TitlesOfParts>
  <LinksUpToDate>false</LinksUpToDate>
  <CharactersWithSpaces>10512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Comments on Second Transiton to Market - 13-1530 (C41140-3).DOCX</dc:title>
  <dc:subject>C41140:3 /font=8</dc:subject>
  <dc:creator/>
  <cp:lastModifiedBy/>
  <cp:revision>1</cp:revision>
  <cp:lastPrinted>2013-08-12T13:57:00Z</cp:lastPrinted>
  <dcterms:created xsi:type="dcterms:W3CDTF">2013-08-12T16:28:00Z</dcterms:created>
  <dcterms:modified xsi:type="dcterms:W3CDTF">2013-08-12T16:28:00Z</dcterms:modified>
</cp:coreProperties>
</file>