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152A74" w:rsidRPr="008F12B3" w:rsidP="00B30531"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8F12B3">
        <w:rPr>
          <w:rFonts w:eastAsia="Calibri"/>
          <w:b/>
          <w:bCs/>
        </w:rPr>
        <w:t>BEFORE</w:t>
      </w:r>
    </w:p>
    <w:p w:rsidR="00AD677D" w:rsidRPr="008F12B3" w:rsidP="00B30531"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8F12B3">
        <w:rPr>
          <w:rFonts w:eastAsia="Calibri"/>
          <w:b/>
          <w:bCs/>
        </w:rPr>
        <w:t>THE PUBLIC UTILITIES COMMISSION OF OHIO</w:t>
      </w:r>
    </w:p>
    <w:p w:rsidR="00D20C8D" w:rsidRPr="008F12B3" w:rsidP="00D20C8D" w14:paraId="00D37463" w14:textId="77777777">
      <w:pPr>
        <w:pStyle w:val="HTMLPreformatted"/>
        <w:jc w:val="center"/>
        <w:rPr>
          <w:rFonts w:ascii="Times New Roman" w:hAnsi="Times New Roman" w:cs="Times New Roman"/>
          <w:b/>
          <w:bCs/>
          <w:sz w:val="24"/>
          <w:szCs w:val="24"/>
        </w:rPr>
      </w:pPr>
    </w:p>
    <w:tbl>
      <w:tblPr>
        <w:tblW w:w="8732" w:type="dxa"/>
        <w:tblInd w:w="-108" w:type="dxa"/>
        <w:tblLayout w:type="fixed"/>
        <w:tblLook w:val="01E0"/>
      </w:tblPr>
      <w:tblGrid>
        <w:gridCol w:w="4246"/>
        <w:gridCol w:w="452"/>
        <w:gridCol w:w="4034"/>
      </w:tblGrid>
      <w:tr w14:paraId="51B37946" w14:textId="77777777" w:rsidTr="00B30531">
        <w:tblPrEx>
          <w:tblW w:w="8732" w:type="dxa"/>
          <w:tblInd w:w="-108" w:type="dxa"/>
          <w:tblLayout w:type="fixed"/>
          <w:tblLook w:val="01E0"/>
        </w:tblPrEx>
        <w:trPr>
          <w:trHeight w:val="665"/>
        </w:trPr>
        <w:tc>
          <w:tcPr>
            <w:tcW w:w="4246" w:type="dxa"/>
            <w:shd w:val="clear" w:color="auto" w:fill="auto"/>
          </w:tcPr>
          <w:p w:rsidR="00513AC8" w:rsidRPr="008F12B3" w:rsidP="00513AC8" w14:paraId="4B24A353" w14:textId="3D1AB1B3">
            <w:pPr>
              <w:autoSpaceDE w:val="0"/>
              <w:autoSpaceDN w:val="0"/>
              <w:adjustRightInd w:val="0"/>
            </w:pPr>
            <w:r>
              <w:t xml:space="preserve">In the Matter </w:t>
            </w:r>
            <w:r w:rsidR="00C506EE">
              <w:t xml:space="preserve">of the Review of Ohio Adm. Code Chapter 4901-1 Rules Regarding Practice and Procedure Before the Commission. </w:t>
            </w:r>
          </w:p>
        </w:tc>
        <w:tc>
          <w:tcPr>
            <w:tcW w:w="452" w:type="dxa"/>
            <w:shd w:val="clear" w:color="auto" w:fill="auto"/>
          </w:tcPr>
          <w:p w:rsidR="00513AC8" w:rsidP="00513AC8" w14:paraId="43DCE24F"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w:t>
            </w:r>
          </w:p>
          <w:p w:rsidR="00513AC8" w:rsidP="00513AC8" w14:paraId="0BE2D734"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w:t>
            </w:r>
          </w:p>
          <w:p w:rsidR="00513AC8" w:rsidP="00513AC8" w14:paraId="1866ABF4"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w:t>
            </w:r>
          </w:p>
          <w:p w:rsidR="00513AC8" w:rsidRPr="008F12B3" w:rsidP="00513AC8" w14:paraId="053B0AC3" w14:textId="35DF5CC0">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34" w:type="dxa"/>
            <w:shd w:val="clear" w:color="auto" w:fill="auto"/>
          </w:tcPr>
          <w:p w:rsidR="00513AC8" w:rsidP="00513AC8" w14:paraId="7A675CB8" w14:textId="77777777">
            <w:pPr>
              <w:pStyle w:val="HTMLPreformatted"/>
              <w:spacing w:line="276" w:lineRule="auto"/>
              <w:rPr>
                <w:rFonts w:ascii="Times New Roman" w:hAnsi="Times New Roman" w:cs="Times New Roman"/>
                <w:sz w:val="24"/>
                <w:szCs w:val="24"/>
              </w:rPr>
            </w:pPr>
          </w:p>
          <w:p w:rsidR="00513AC8" w:rsidP="00513AC8" w14:paraId="6A5CF9F3" w14:textId="3F729B83">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 xml:space="preserve">Case No. </w:t>
            </w:r>
            <w:r w:rsidR="00C506EE">
              <w:rPr>
                <w:rFonts w:ascii="Times New Roman" w:hAnsi="Times New Roman" w:cs="Times New Roman"/>
                <w:sz w:val="24"/>
                <w:szCs w:val="24"/>
              </w:rPr>
              <w:t>18-275-AU-ORD</w:t>
            </w:r>
          </w:p>
          <w:p w:rsidR="00513AC8" w:rsidRPr="008F12B3" w:rsidP="00513AC8" w14:paraId="5772299E" w14:textId="54F5F290">
            <w:pPr>
              <w:pStyle w:val="HTMLPreformatted"/>
              <w:rPr>
                <w:rFonts w:ascii="Times New Roman" w:hAnsi="Times New Roman" w:cs="Times New Roman"/>
                <w:sz w:val="24"/>
                <w:szCs w:val="24"/>
              </w:rPr>
            </w:pPr>
          </w:p>
        </w:tc>
      </w:tr>
    </w:tbl>
    <w:p w:rsidR="00152A74" w:rsidRPr="008F12B3" w:rsidP="000E48AE" w14:paraId="6724AE52" w14:textId="77777777">
      <w:pPr>
        <w:pBdr>
          <w:bottom w:val="single" w:sz="12" w:space="1" w:color="auto"/>
        </w:pBdr>
        <w:autoSpaceDE w:val="0"/>
        <w:autoSpaceDN w:val="0"/>
        <w:adjustRightInd w:val="0"/>
        <w:rPr>
          <w:rFonts w:eastAsia="Calibri"/>
        </w:rPr>
      </w:pPr>
    </w:p>
    <w:p w:rsidR="00152A74" w:rsidRPr="008F12B3" w:rsidP="00152A74" w14:paraId="05405E47" w14:textId="77777777">
      <w:pPr>
        <w:autoSpaceDE w:val="0"/>
        <w:autoSpaceDN w:val="0"/>
        <w:adjustRightInd w:val="0"/>
        <w:rPr>
          <w:rFonts w:eastAsia="Calibri"/>
        </w:rPr>
      </w:pPr>
    </w:p>
    <w:p w:rsidR="00C42A1E" w:rsidRPr="008F12B3" w:rsidP="00C42A1E" w14:paraId="4EE39B9A" w14:textId="19F5A587">
      <w:pPr>
        <w:widowControl w:val="0"/>
        <w:jc w:val="center"/>
        <w:rPr>
          <w:b/>
        </w:rPr>
      </w:pPr>
      <w:r w:rsidRPr="008F12B3">
        <w:rPr>
          <w:b/>
        </w:rPr>
        <w:t xml:space="preserve">APPLICATION FOR REHEARING </w:t>
      </w:r>
    </w:p>
    <w:p w:rsidR="00C42A1E" w:rsidRPr="008F12B3" w:rsidP="00C42A1E" w14:paraId="0CD53166" w14:textId="77777777">
      <w:pPr>
        <w:widowControl w:val="0"/>
        <w:jc w:val="center"/>
        <w:rPr>
          <w:b/>
        </w:rPr>
      </w:pPr>
      <w:r w:rsidRPr="008F12B3">
        <w:rPr>
          <w:b/>
        </w:rPr>
        <w:t>BY</w:t>
      </w:r>
    </w:p>
    <w:p w:rsidR="00C42A1E" w:rsidRPr="008F12B3" w:rsidP="00C42A1E" w14:paraId="69D4D059" w14:textId="77777777">
      <w:pPr>
        <w:jc w:val="center"/>
        <w:rPr>
          <w:b/>
        </w:rPr>
      </w:pPr>
      <w:r w:rsidRPr="008F12B3">
        <w:rPr>
          <w:b/>
        </w:rPr>
        <w:t>OFFICE OF THE OHIO CONSUMERS’ COUNSEL</w:t>
      </w:r>
    </w:p>
    <w:p w:rsidR="00152A74" w:rsidRPr="008F12B3" w:rsidP="007633FA" w14:paraId="6EA33050" w14:textId="77777777">
      <w:pPr>
        <w:pBdr>
          <w:bottom w:val="single" w:sz="12" w:space="1" w:color="auto"/>
        </w:pBdr>
        <w:autoSpaceDE w:val="0"/>
        <w:autoSpaceDN w:val="0"/>
        <w:adjustRightInd w:val="0"/>
        <w:jc w:val="center"/>
        <w:rPr>
          <w:rFonts w:eastAsia="Calibri"/>
          <w:b/>
          <w:bCs/>
        </w:rPr>
      </w:pPr>
    </w:p>
    <w:p w:rsidR="000E48AE" w:rsidRPr="008F12B3" w:rsidP="000E48AE" w14:paraId="6CC4ED9C" w14:textId="77777777">
      <w:pPr>
        <w:kinsoku w:val="0"/>
        <w:overflowPunct w:val="0"/>
        <w:autoSpaceDE w:val="0"/>
        <w:autoSpaceDN w:val="0"/>
        <w:adjustRightInd w:val="0"/>
        <w:ind w:firstLine="720"/>
      </w:pPr>
    </w:p>
    <w:p w:rsidR="008572D5" w:rsidP="00897E6F" w14:paraId="32F62CF3" w14:textId="7282D187">
      <w:pPr>
        <w:kinsoku w:val="0"/>
        <w:overflowPunct w:val="0"/>
        <w:autoSpaceDE w:val="0"/>
        <w:autoSpaceDN w:val="0"/>
        <w:adjustRightInd w:val="0"/>
        <w:spacing w:line="480" w:lineRule="auto"/>
        <w:ind w:firstLine="720"/>
      </w:pPr>
      <w:r w:rsidRPr="00A35A9B">
        <w:t xml:space="preserve">The </w:t>
      </w:r>
      <w:r w:rsidR="00C506EE">
        <w:t>PUCO’s</w:t>
      </w:r>
      <w:r w:rsidR="0085199F">
        <w:t xml:space="preserve"> October 18, 2023</w:t>
      </w:r>
      <w:r w:rsidR="00C506EE">
        <w:t xml:space="preserve"> </w:t>
      </w:r>
      <w:r w:rsidRPr="00A35A9B" w:rsidR="00421452">
        <w:t>Finding and Order</w:t>
      </w:r>
      <w:r w:rsidRPr="00A35A9B" w:rsidR="00CD3D6D">
        <w:t xml:space="preserve"> fails consumers </w:t>
      </w:r>
      <w:r w:rsidR="00B773C6">
        <w:t>by</w:t>
      </w:r>
      <w:r w:rsidR="00C115F5">
        <w:t xml:space="preserve"> continuing </w:t>
      </w:r>
      <w:r w:rsidR="00A32EB9">
        <w:t>to allow</w:t>
      </w:r>
      <w:r w:rsidR="00381842">
        <w:t xml:space="preserve"> its</w:t>
      </w:r>
      <w:r w:rsidR="00F5717A">
        <w:t xml:space="preserve"> Staff </w:t>
      </w:r>
      <w:r w:rsidR="009D5F76">
        <w:t>to discuss</w:t>
      </w:r>
      <w:r w:rsidR="001E5CCF">
        <w:t xml:space="preserve"> </w:t>
      </w:r>
      <w:r w:rsidR="007D4BF2">
        <w:t>case</w:t>
      </w:r>
      <w:r w:rsidR="009D5F76">
        <w:t xml:space="preserve">s </w:t>
      </w:r>
      <w:r w:rsidR="007D4BF2">
        <w:t xml:space="preserve">with PUCO </w:t>
      </w:r>
      <w:r w:rsidR="00A32EB9">
        <w:t xml:space="preserve">decision makers </w:t>
      </w:r>
      <w:r w:rsidR="00982948">
        <w:t>outside the presence of other parties.</w:t>
      </w:r>
      <w:r w:rsidR="00C838E7">
        <w:t xml:space="preserve"> For all other parties, including OCC, there are restrictions </w:t>
      </w:r>
      <w:r w:rsidR="00EB3D36">
        <w:t>on such communications (</w:t>
      </w:r>
      <w:r w:rsidR="00D57D2D">
        <w:t>known as the “ex parte</w:t>
      </w:r>
      <w:r w:rsidR="00E1249E">
        <w:t>” communications</w:t>
      </w:r>
      <w:r w:rsidR="00EB3D36">
        <w:t>)</w:t>
      </w:r>
      <w:r w:rsidR="00486FFF">
        <w:t xml:space="preserve">. </w:t>
      </w:r>
      <w:r w:rsidRPr="00A35A9B" w:rsidR="00513AC8">
        <w:t xml:space="preserve">OCC recommended that the </w:t>
      </w:r>
      <w:r w:rsidR="00C506EE">
        <w:t>PUCO</w:t>
      </w:r>
      <w:r w:rsidRPr="00A35A9B" w:rsidR="00513AC8">
        <w:t xml:space="preserve"> modify its rules to </w:t>
      </w:r>
      <w:r w:rsidR="00351E7D">
        <w:t xml:space="preserve">prohibit PUCO Staff from ex parte communication with the </w:t>
      </w:r>
      <w:r w:rsidR="00C10CE3">
        <w:t xml:space="preserve">Examiners </w:t>
      </w:r>
      <w:r w:rsidR="00351E7D">
        <w:t>or Commissioners</w:t>
      </w:r>
      <w:r w:rsidR="00C10CE3">
        <w:t xml:space="preserve"> that decide </w:t>
      </w:r>
      <w:r w:rsidR="00842A77">
        <w:t>the cases.</w:t>
      </w:r>
      <w:r>
        <w:rPr>
          <w:rStyle w:val="FootnoteReference"/>
        </w:rPr>
        <w:footnoteReference w:id="3"/>
      </w:r>
      <w:r w:rsidRPr="00A35A9B" w:rsidR="00513AC8">
        <w:t xml:space="preserve"> </w:t>
      </w:r>
    </w:p>
    <w:p w:rsidR="005535FB" w:rsidRPr="00A35A9B" w:rsidP="00897E6F" w14:paraId="0CFA4105" w14:textId="4E3349FC">
      <w:pPr>
        <w:kinsoku w:val="0"/>
        <w:overflowPunct w:val="0"/>
        <w:autoSpaceDE w:val="0"/>
        <w:autoSpaceDN w:val="0"/>
        <w:adjustRightInd w:val="0"/>
        <w:spacing w:line="480" w:lineRule="auto"/>
        <w:ind w:firstLine="720"/>
      </w:pPr>
      <w:r w:rsidRPr="00A35A9B">
        <w:t xml:space="preserve"> </w:t>
      </w:r>
      <w:r w:rsidR="0051044C">
        <w:t>The</w:t>
      </w:r>
      <w:r w:rsidR="008372E3">
        <w:t xml:space="preserve"> </w:t>
      </w:r>
      <w:r w:rsidR="0034144C">
        <w:t>PUCO</w:t>
      </w:r>
      <w:r w:rsidRPr="00A35A9B">
        <w:t xml:space="preserve"> </w:t>
      </w:r>
      <w:r w:rsidR="002B3319">
        <w:t xml:space="preserve">found that its Staff </w:t>
      </w:r>
      <w:r w:rsidR="00BE0FB4">
        <w:t>ha</w:t>
      </w:r>
      <w:r w:rsidR="00842A77">
        <w:t xml:space="preserve">s </w:t>
      </w:r>
      <w:r w:rsidR="00BE0FB4">
        <w:t>a “unique role and responsibilities”</w:t>
      </w:r>
      <w:r w:rsidR="008E66AE">
        <w:t xml:space="preserve"> and thus should not be restricted from discussing c</w:t>
      </w:r>
      <w:r w:rsidR="00033313">
        <w:t>ases with the decision makers.</w:t>
      </w:r>
      <w:r>
        <w:rPr>
          <w:rStyle w:val="FootnoteReference"/>
        </w:rPr>
        <w:footnoteReference w:id="4"/>
      </w:r>
      <w:r w:rsidR="00033313">
        <w:t xml:space="preserve"> </w:t>
      </w:r>
      <w:r w:rsidR="00B235C5">
        <w:t xml:space="preserve">Not only is </w:t>
      </w:r>
      <w:r w:rsidR="00711DF3">
        <w:t>the PUCO’s</w:t>
      </w:r>
      <w:r w:rsidR="00B235C5">
        <w:t xml:space="preserve"> decision </w:t>
      </w:r>
      <w:r w:rsidR="00E24C07">
        <w:t>unjust and unreasonable</w:t>
      </w:r>
      <w:r w:rsidR="00711DF3">
        <w:t>,</w:t>
      </w:r>
      <w:r w:rsidR="00E13FE5">
        <w:t xml:space="preserve"> it failed to comply with </w:t>
      </w:r>
      <w:r w:rsidR="00711DF3">
        <w:t>Ohio</w:t>
      </w:r>
      <w:r w:rsidR="00E13FE5">
        <w:t xml:space="preserve"> law that requires the PUCO to address </w:t>
      </w:r>
      <w:r w:rsidR="00711DF3">
        <w:t>arguments that parties raise.</w:t>
      </w:r>
      <w:r>
        <w:rPr>
          <w:rStyle w:val="FootnoteReference"/>
        </w:rPr>
        <w:footnoteReference w:id="5"/>
      </w:r>
      <w:r w:rsidRPr="00A35A9B">
        <w:t xml:space="preserve"> </w:t>
      </w:r>
      <w:r w:rsidR="00DE24AA">
        <w:t xml:space="preserve"> </w:t>
      </w:r>
    </w:p>
    <w:p w:rsidR="00764E8A" w:rsidP="00403913" w14:paraId="2285826C" w14:textId="38E51592">
      <w:pPr>
        <w:kinsoku w:val="0"/>
        <w:overflowPunct w:val="0"/>
        <w:autoSpaceDE w:val="0"/>
        <w:autoSpaceDN w:val="0"/>
        <w:adjustRightInd w:val="0"/>
        <w:spacing w:line="480" w:lineRule="auto"/>
        <w:ind w:firstLine="720"/>
      </w:pPr>
      <w:r w:rsidRPr="00A35A9B">
        <w:t>Accordingly, under R.C. 4903.10</w:t>
      </w:r>
      <w:r w:rsidR="0034144C">
        <w:t xml:space="preserve">, </w:t>
      </w:r>
      <w:r w:rsidRPr="00A35A9B">
        <w:t>OCC applies for rehearing of the Finding and Order</w:t>
      </w:r>
      <w:r w:rsidRPr="00A35A9B" w:rsidR="00A35A9B">
        <w:t xml:space="preserve">, which was </w:t>
      </w:r>
      <w:r w:rsidRPr="00A35A9B">
        <w:t xml:space="preserve">unlawful in the following respects: </w:t>
      </w:r>
    </w:p>
    <w:p w:rsidR="00764E8A" w14:paraId="47796206" w14:textId="77777777">
      <w:pPr>
        <w:spacing w:after="200" w:line="276" w:lineRule="auto"/>
      </w:pPr>
      <w:r>
        <w:br w:type="page"/>
      </w:r>
    </w:p>
    <w:p w:rsidR="005B3722" w:rsidRPr="008F12B3" w:rsidP="005B3722" w14:paraId="76C5BC79" w14:textId="6C971477">
      <w:pPr>
        <w:widowControl w:val="0"/>
        <w:ind w:left="720"/>
      </w:pPr>
      <w:bookmarkStart w:id="0" w:name="_Hlk150878237"/>
      <w:bookmarkStart w:id="1" w:name="_Hlk98511697"/>
      <w:bookmarkStart w:id="2" w:name="_Hlk114821946"/>
      <w:r w:rsidRPr="00A35A9B">
        <w:rPr>
          <w:b/>
          <w:bCs/>
        </w:rPr>
        <w:t xml:space="preserve">ASSIGNMENT OF ERROR NO. </w:t>
      </w:r>
      <w:r>
        <w:rPr>
          <w:b/>
          <w:bCs/>
        </w:rPr>
        <w:t>1</w:t>
      </w:r>
      <w:r w:rsidRPr="00A35A9B">
        <w:rPr>
          <w:b/>
          <w:bCs/>
        </w:rPr>
        <w:t>:</w:t>
      </w:r>
      <w:r w:rsidRPr="00A35A9B">
        <w:t xml:space="preserve"> </w:t>
      </w:r>
      <w:r w:rsidRPr="00A35A9B">
        <w:rPr>
          <w:b/>
          <w:bCs/>
          <w:color w:val="000000" w:themeColor="text1"/>
        </w:rPr>
        <w:t xml:space="preserve">The </w:t>
      </w:r>
      <w:r>
        <w:rPr>
          <w:b/>
          <w:bCs/>
          <w:color w:val="000000" w:themeColor="text1"/>
        </w:rPr>
        <w:t>PUCO</w:t>
      </w:r>
      <w:r w:rsidR="006B1949">
        <w:rPr>
          <w:b/>
          <w:bCs/>
          <w:color w:val="000000" w:themeColor="text1"/>
        </w:rPr>
        <w:t xml:space="preserve"> </w:t>
      </w:r>
      <w:r w:rsidR="0085199F">
        <w:rPr>
          <w:b/>
          <w:bCs/>
          <w:color w:val="000000" w:themeColor="text1"/>
        </w:rPr>
        <w:t xml:space="preserve">erred in </w:t>
      </w:r>
      <w:r w:rsidR="00445EF7">
        <w:rPr>
          <w:b/>
          <w:bCs/>
          <w:color w:val="000000" w:themeColor="text1"/>
        </w:rPr>
        <w:t>continu</w:t>
      </w:r>
      <w:r w:rsidR="0085199F">
        <w:rPr>
          <w:b/>
          <w:bCs/>
          <w:color w:val="000000" w:themeColor="text1"/>
        </w:rPr>
        <w:t>ing</w:t>
      </w:r>
      <w:r w:rsidR="00445EF7">
        <w:rPr>
          <w:b/>
          <w:bCs/>
          <w:color w:val="000000" w:themeColor="text1"/>
        </w:rPr>
        <w:t xml:space="preserve"> an unfair process that </w:t>
      </w:r>
      <w:r w:rsidR="002C1E38">
        <w:rPr>
          <w:b/>
          <w:bCs/>
          <w:color w:val="000000" w:themeColor="text1"/>
        </w:rPr>
        <w:t xml:space="preserve">allows </w:t>
      </w:r>
      <w:r w:rsidR="006B1949">
        <w:rPr>
          <w:b/>
          <w:bCs/>
          <w:color w:val="000000" w:themeColor="text1"/>
        </w:rPr>
        <w:t xml:space="preserve">unequal treatment of parties </w:t>
      </w:r>
      <w:r w:rsidR="00AA5D42">
        <w:rPr>
          <w:b/>
          <w:bCs/>
          <w:color w:val="000000" w:themeColor="text1"/>
        </w:rPr>
        <w:t xml:space="preserve">by permitting </w:t>
      </w:r>
      <w:r w:rsidR="002C1E38">
        <w:rPr>
          <w:b/>
          <w:bCs/>
          <w:color w:val="000000" w:themeColor="text1"/>
        </w:rPr>
        <w:t>ex parte communications</w:t>
      </w:r>
      <w:r w:rsidR="00AA5D42">
        <w:rPr>
          <w:b/>
          <w:bCs/>
          <w:color w:val="000000" w:themeColor="text1"/>
        </w:rPr>
        <w:t xml:space="preserve"> between PUCO Staff and decision</w:t>
      </w:r>
      <w:r w:rsidR="00463728">
        <w:rPr>
          <w:b/>
          <w:bCs/>
          <w:color w:val="000000" w:themeColor="text1"/>
        </w:rPr>
        <w:t xml:space="preserve"> </w:t>
      </w:r>
      <w:r w:rsidR="00AA5D42">
        <w:rPr>
          <w:b/>
          <w:bCs/>
          <w:color w:val="000000" w:themeColor="text1"/>
        </w:rPr>
        <w:t>makers</w:t>
      </w:r>
      <w:r w:rsidR="0085199F">
        <w:rPr>
          <w:b/>
          <w:bCs/>
          <w:color w:val="000000" w:themeColor="text1"/>
        </w:rPr>
        <w:t>, which</w:t>
      </w:r>
      <w:r w:rsidR="00445EF7">
        <w:rPr>
          <w:b/>
          <w:bCs/>
          <w:color w:val="000000" w:themeColor="text1"/>
        </w:rPr>
        <w:t xml:space="preserve"> </w:t>
      </w:r>
      <w:r w:rsidR="00AA5D42">
        <w:rPr>
          <w:b/>
          <w:bCs/>
          <w:color w:val="000000" w:themeColor="text1"/>
        </w:rPr>
        <w:t>prevent</w:t>
      </w:r>
      <w:r w:rsidR="0085199F">
        <w:rPr>
          <w:b/>
          <w:bCs/>
          <w:color w:val="000000" w:themeColor="text1"/>
        </w:rPr>
        <w:t>s</w:t>
      </w:r>
      <w:r w:rsidR="00445EF7">
        <w:rPr>
          <w:b/>
          <w:bCs/>
          <w:color w:val="000000" w:themeColor="text1"/>
        </w:rPr>
        <w:t xml:space="preserve"> other </w:t>
      </w:r>
      <w:r w:rsidR="00AA5D42">
        <w:rPr>
          <w:b/>
          <w:bCs/>
          <w:color w:val="000000" w:themeColor="text1"/>
        </w:rPr>
        <w:t>parties</w:t>
      </w:r>
      <w:r w:rsidR="0085199F">
        <w:rPr>
          <w:b/>
          <w:bCs/>
          <w:color w:val="000000" w:themeColor="text1"/>
        </w:rPr>
        <w:t xml:space="preserve"> </w:t>
      </w:r>
      <w:r w:rsidR="00AA5D42">
        <w:rPr>
          <w:b/>
          <w:bCs/>
          <w:color w:val="000000" w:themeColor="text1"/>
        </w:rPr>
        <w:t xml:space="preserve">from knowing </w:t>
      </w:r>
      <w:r w:rsidR="0085199F">
        <w:rPr>
          <w:b/>
          <w:bCs/>
          <w:color w:val="000000" w:themeColor="text1"/>
        </w:rPr>
        <w:t xml:space="preserve">the basis of </w:t>
      </w:r>
      <w:r w:rsidR="00571280">
        <w:rPr>
          <w:b/>
          <w:bCs/>
          <w:color w:val="000000" w:themeColor="text1"/>
        </w:rPr>
        <w:t>the decision</w:t>
      </w:r>
      <w:r w:rsidR="0085199F">
        <w:rPr>
          <w:b/>
          <w:bCs/>
          <w:color w:val="000000" w:themeColor="text1"/>
        </w:rPr>
        <w:t xml:space="preserve"> in violation of R.C. 4903.09</w:t>
      </w:r>
      <w:r w:rsidR="001972BD">
        <w:rPr>
          <w:b/>
          <w:bCs/>
          <w:color w:val="000000" w:themeColor="text1"/>
        </w:rPr>
        <w:t xml:space="preserve"> and Ohio Supreme Court precedent.</w:t>
      </w:r>
    </w:p>
    <w:bookmarkEnd w:id="0"/>
    <w:p w:rsidR="005B3722" w:rsidP="004C6421" w14:paraId="71700FDF" w14:textId="77777777">
      <w:pPr>
        <w:widowControl w:val="0"/>
        <w:ind w:left="720"/>
        <w:rPr>
          <w:b/>
          <w:bCs/>
        </w:rPr>
      </w:pPr>
    </w:p>
    <w:p w:rsidR="001972BD" w:rsidP="008372E3" w14:paraId="1DE2DAF7" w14:textId="5B002511">
      <w:pPr>
        <w:widowControl w:val="0"/>
        <w:ind w:left="720"/>
      </w:pPr>
      <w:bookmarkStart w:id="3" w:name="_Hlk150870377"/>
      <w:r w:rsidRPr="00A35A9B">
        <w:rPr>
          <w:b/>
          <w:bCs/>
        </w:rPr>
        <w:t xml:space="preserve">ASSIGNMENT OF ERROR NO. </w:t>
      </w:r>
      <w:r w:rsidR="005B3722">
        <w:rPr>
          <w:b/>
          <w:bCs/>
        </w:rPr>
        <w:t>2</w:t>
      </w:r>
      <w:r w:rsidRPr="00A35A9B">
        <w:rPr>
          <w:b/>
          <w:bCs/>
        </w:rPr>
        <w:t>:</w:t>
      </w:r>
      <w:r w:rsidRPr="00A35A9B">
        <w:t xml:space="preserve"> </w:t>
      </w:r>
      <w:r w:rsidRPr="00A35A9B" w:rsidR="00D05AEE">
        <w:rPr>
          <w:b/>
          <w:bCs/>
          <w:color w:val="000000" w:themeColor="text1"/>
        </w:rPr>
        <w:t xml:space="preserve">The </w:t>
      </w:r>
      <w:r w:rsidR="00D05AEE">
        <w:rPr>
          <w:b/>
          <w:bCs/>
          <w:color w:val="000000" w:themeColor="text1"/>
        </w:rPr>
        <w:t>PUCO</w:t>
      </w:r>
      <w:r w:rsidRPr="00A35A9B" w:rsidR="00D05AEE">
        <w:rPr>
          <w:b/>
          <w:bCs/>
          <w:color w:val="000000" w:themeColor="text1"/>
        </w:rPr>
        <w:t xml:space="preserve"> erred </w:t>
      </w:r>
      <w:r w:rsidR="00D05AEE">
        <w:rPr>
          <w:b/>
          <w:bCs/>
          <w:color w:val="000000" w:themeColor="text1"/>
        </w:rPr>
        <w:t>because it failed to adequately explain the basis of its decision and to address OCC’s arguments in any substantive manner in violation of R.C. 4903.09 and Ohio Supreme Court precedent.</w:t>
      </w:r>
      <w:bookmarkEnd w:id="1"/>
      <w:bookmarkEnd w:id="2"/>
      <w:bookmarkEnd w:id="3"/>
    </w:p>
    <w:p w:rsidR="001972BD" w:rsidP="001972BD" w14:paraId="62C38501" w14:textId="77777777">
      <w:pPr>
        <w:widowControl w:val="0"/>
      </w:pPr>
    </w:p>
    <w:p w:rsidR="00131789" w:rsidP="008372E3" w14:paraId="1BB777E7" w14:textId="7FC24C8D">
      <w:pPr>
        <w:kinsoku w:val="0"/>
        <w:overflowPunct w:val="0"/>
        <w:autoSpaceDE w:val="0"/>
        <w:autoSpaceDN w:val="0"/>
        <w:adjustRightInd w:val="0"/>
        <w:spacing w:line="480" w:lineRule="auto"/>
      </w:pPr>
      <w:r w:rsidRPr="00216524">
        <w:t>The reasons for granting this Application for Rehearing are more fully set forth in the attached Memorandum in Support.</w:t>
      </w:r>
    </w:p>
    <w:p w:rsidR="0034144C" w:rsidP="00403913" w14:paraId="06DEECD3" w14:textId="77777777">
      <w:pPr>
        <w:widowControl w:val="0"/>
        <w:ind w:left="3600"/>
      </w:pPr>
    </w:p>
    <w:p w:rsidR="00403913" w:rsidRPr="008F12B3" w:rsidP="00216F1F" w14:paraId="489F268C" w14:textId="0D21FDC6">
      <w:pPr>
        <w:widowControl w:val="0"/>
        <w:ind w:left="4320"/>
      </w:pPr>
      <w:r w:rsidRPr="008F12B3">
        <w:t>Respectfully submitted,</w:t>
      </w:r>
    </w:p>
    <w:p w:rsidR="00403913" w:rsidRPr="008F12B3" w:rsidP="00216F1F" w14:paraId="1C96AE77" w14:textId="77777777">
      <w:pPr>
        <w:widowControl w:val="0"/>
        <w:ind w:left="4320"/>
      </w:pPr>
    </w:p>
    <w:p w:rsidR="00403913" w:rsidRPr="008F12B3" w:rsidP="00216F1F" w14:paraId="5BAFCA65" w14:textId="672FEDEC">
      <w:pPr>
        <w:pStyle w:val="Footer"/>
        <w:ind w:left="4320"/>
        <w:rPr>
          <w:rFonts w:ascii="Times New Roman" w:hAnsi="Times New Roman" w:cs="Times New Roman"/>
          <w:sz w:val="24"/>
          <w:szCs w:val="24"/>
        </w:rPr>
      </w:pPr>
      <w:r>
        <w:rPr>
          <w:rFonts w:ascii="Times New Roman" w:hAnsi="Times New Roman" w:cs="Times New Roman"/>
          <w:sz w:val="24"/>
          <w:szCs w:val="24"/>
        </w:rPr>
        <w:t xml:space="preserve">Maureen </w:t>
      </w:r>
      <w:r w:rsidR="001C7B58">
        <w:rPr>
          <w:rFonts w:ascii="Times New Roman" w:hAnsi="Times New Roman" w:cs="Times New Roman"/>
          <w:sz w:val="24"/>
          <w:szCs w:val="24"/>
        </w:rPr>
        <w:t xml:space="preserve">R. </w:t>
      </w:r>
      <w:r>
        <w:rPr>
          <w:rFonts w:ascii="Times New Roman" w:hAnsi="Times New Roman" w:cs="Times New Roman"/>
          <w:sz w:val="24"/>
          <w:szCs w:val="24"/>
        </w:rPr>
        <w:t>Willis (0020847)</w:t>
      </w:r>
    </w:p>
    <w:p w:rsidR="00403913" w:rsidRPr="008F12B3" w:rsidP="00216F1F" w14:paraId="01F46341" w14:textId="77777777">
      <w:pPr>
        <w:ind w:left="4320"/>
      </w:pPr>
      <w:r w:rsidRPr="008F12B3">
        <w:t>Ohio Consumers’ Counsel</w:t>
      </w:r>
    </w:p>
    <w:p w:rsidR="00403913" w:rsidRPr="008F12B3" w:rsidP="00216F1F" w14:paraId="179070EF" w14:textId="77777777">
      <w:pPr>
        <w:tabs>
          <w:tab w:val="left" w:pos="4320"/>
        </w:tabs>
        <w:ind w:left="4320"/>
        <w:rPr>
          <w:i/>
          <w:u w:val="single"/>
        </w:rPr>
      </w:pPr>
    </w:p>
    <w:p w:rsidR="00A61BCB" w:rsidRPr="00F70FFD" w:rsidP="00A61BCB" w14:paraId="30BFBFBB" w14:textId="77777777">
      <w:pPr>
        <w:tabs>
          <w:tab w:val="left" w:pos="4320"/>
        </w:tabs>
        <w:ind w:left="4320"/>
        <w:jc w:val="both"/>
        <w:rPr>
          <w:i/>
          <w:iCs/>
          <w:u w:val="single"/>
        </w:rPr>
      </w:pPr>
      <w:r w:rsidRPr="00F70FFD">
        <w:rPr>
          <w:i/>
          <w:iCs/>
          <w:u w:val="single"/>
        </w:rPr>
        <w:t xml:space="preserve">/s/ </w:t>
      </w:r>
      <w:r>
        <w:rPr>
          <w:i/>
          <w:iCs/>
          <w:u w:val="single"/>
        </w:rPr>
        <w:t>Angela D. O’Brien</w:t>
      </w:r>
      <w:r>
        <w:rPr>
          <w:i/>
          <w:iCs/>
          <w:u w:val="single"/>
        </w:rPr>
        <w:tab/>
      </w:r>
      <w:r>
        <w:rPr>
          <w:i/>
          <w:iCs/>
          <w:u w:val="single"/>
        </w:rPr>
        <w:tab/>
      </w:r>
    </w:p>
    <w:p w:rsidR="00A61BCB" w:rsidRPr="00F70FFD" w:rsidP="00A61BCB" w14:paraId="472B44CC" w14:textId="77777777">
      <w:pPr>
        <w:tabs>
          <w:tab w:val="left" w:pos="4320"/>
        </w:tabs>
        <w:ind w:left="4320"/>
        <w:jc w:val="both"/>
      </w:pPr>
      <w:r>
        <w:t>Angela D. O’Brien</w:t>
      </w:r>
      <w:r w:rsidRPr="00F70FFD">
        <w:t xml:space="preserve"> (</w:t>
      </w:r>
      <w:r w:rsidRPr="004875DB">
        <w:t>0097579</w:t>
      </w:r>
      <w:r w:rsidRPr="00F70FFD">
        <w:t>)</w:t>
      </w:r>
    </w:p>
    <w:p w:rsidR="00A61BCB" w:rsidP="00A61BCB" w14:paraId="61FB141C" w14:textId="77777777">
      <w:pPr>
        <w:tabs>
          <w:tab w:val="left" w:pos="4320"/>
        </w:tabs>
        <w:ind w:left="4320"/>
        <w:jc w:val="both"/>
      </w:pPr>
      <w:r>
        <w:t>Deputy Consumers’ Counsel</w:t>
      </w:r>
    </w:p>
    <w:p w:rsidR="00A61BCB" w:rsidRPr="00F70FFD" w:rsidP="00A61BCB" w14:paraId="783F5361" w14:textId="77777777">
      <w:pPr>
        <w:tabs>
          <w:tab w:val="left" w:pos="4320"/>
        </w:tabs>
        <w:ind w:left="4320"/>
        <w:jc w:val="both"/>
      </w:pPr>
      <w:r w:rsidRPr="00F70FFD">
        <w:t>Counsel of Record</w:t>
      </w:r>
    </w:p>
    <w:p w:rsidR="00A61BCB" w:rsidRPr="00F70FFD" w:rsidP="00A61BCB" w14:paraId="306EAEF1" w14:textId="77777777">
      <w:pPr>
        <w:tabs>
          <w:tab w:val="left" w:pos="3870"/>
          <w:tab w:val="left" w:pos="4320"/>
        </w:tabs>
        <w:ind w:left="4320"/>
        <w:jc w:val="both"/>
      </w:pPr>
    </w:p>
    <w:p w:rsidR="00A61BCB" w:rsidRPr="00F70FFD" w:rsidP="00A61BCB" w14:paraId="213A3363" w14:textId="77777777">
      <w:pPr>
        <w:ind w:left="4320"/>
        <w:jc w:val="both"/>
        <w:rPr>
          <w:b/>
          <w:bCs/>
        </w:rPr>
      </w:pPr>
      <w:r w:rsidRPr="00F70FFD">
        <w:rPr>
          <w:b/>
          <w:bCs/>
        </w:rPr>
        <w:t>Office of the Ohio Consumers' Counsel</w:t>
      </w:r>
    </w:p>
    <w:p w:rsidR="00A61BCB" w:rsidRPr="00F70FFD" w:rsidP="00A61BCB" w14:paraId="50D21CA7" w14:textId="77777777">
      <w:pPr>
        <w:ind w:left="4320"/>
        <w:jc w:val="both"/>
      </w:pPr>
      <w:r w:rsidRPr="00F70FFD">
        <w:t>65 East State Street, Suite 700</w:t>
      </w:r>
    </w:p>
    <w:p w:rsidR="00A61BCB" w:rsidRPr="00F70FFD" w:rsidP="00A61BCB" w14:paraId="27A21BA5" w14:textId="77777777">
      <w:pPr>
        <w:ind w:left="4320"/>
        <w:jc w:val="both"/>
      </w:pPr>
      <w:r w:rsidRPr="00F70FFD">
        <w:t>Columbus, Ohio 43215-4213</w:t>
      </w:r>
    </w:p>
    <w:p w:rsidR="00A61BCB" w:rsidRPr="00F70FFD" w:rsidP="00A61BCB" w14:paraId="110B4EC7" w14:textId="77777777">
      <w:pPr>
        <w:autoSpaceDE w:val="0"/>
        <w:autoSpaceDN w:val="0"/>
        <w:adjustRightInd w:val="0"/>
        <w:ind w:left="4320"/>
        <w:jc w:val="both"/>
      </w:pPr>
      <w:r w:rsidRPr="00F70FFD">
        <w:t>Telephone: [</w:t>
      </w:r>
      <w:r>
        <w:t>O’Brien</w:t>
      </w:r>
      <w:r w:rsidRPr="00F70FFD">
        <w:t>]: (614) 466-</w:t>
      </w:r>
      <w:r>
        <w:t>9531</w:t>
      </w:r>
    </w:p>
    <w:p w:rsidR="00A61BCB" w:rsidRPr="00A61BCB" w:rsidP="00A61BCB" w14:paraId="79D9E6DB" w14:textId="77777777">
      <w:pPr>
        <w:ind w:left="4320"/>
        <w:jc w:val="both"/>
        <w:rPr>
          <w:color w:val="0000FF"/>
        </w:rPr>
      </w:pPr>
      <w:hyperlink r:id="rId6" w:history="1">
        <w:r w:rsidRPr="00A61BCB">
          <w:rPr>
            <w:rStyle w:val="Hyperlink"/>
            <w:color w:val="0000FF"/>
          </w:rPr>
          <w:t>angela.obrien@occ.ohio.gov</w:t>
        </w:r>
      </w:hyperlink>
    </w:p>
    <w:p w:rsidR="00A61BCB" w:rsidRPr="00F70FFD" w:rsidP="00A61BCB" w14:paraId="377A5319" w14:textId="77777777">
      <w:pPr>
        <w:ind w:left="4320" w:hanging="4320"/>
        <w:jc w:val="both"/>
      </w:pPr>
      <w:r w:rsidRPr="00F70FFD">
        <w:tab/>
        <w:t>(willing to accept service by e-mail)</w:t>
      </w:r>
    </w:p>
    <w:p w:rsidR="0074582F" w:rsidP="00A61BCB" w14:paraId="1A4EA7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sectPr w:rsidSect="00BB6C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2"/>
          <w:cols w:space="720"/>
          <w:docGrid w:linePitch="360"/>
        </w:sectPr>
      </w:pPr>
    </w:p>
    <w:p w:rsidR="00006CC9" w:rsidRPr="008F12B3" w:rsidP="00A61BCB" w14:paraId="6D3A5DAC" w14:textId="5672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8F12B3">
        <w:rPr>
          <w:rFonts w:eastAsia="Calibri"/>
          <w:b/>
          <w:bCs/>
        </w:rPr>
        <w:t>BEFORE</w:t>
      </w:r>
    </w:p>
    <w:p w:rsidR="00006CC9" w:rsidRPr="008F12B3" w:rsidP="00006CC9" w14:paraId="732875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8F12B3">
        <w:rPr>
          <w:rFonts w:eastAsia="Calibri"/>
          <w:b/>
          <w:bCs/>
        </w:rPr>
        <w:t>THE PUBLIC UTILITIES COMMISSION OF OHIO</w:t>
      </w:r>
    </w:p>
    <w:p w:rsidR="00006CC9" w:rsidRPr="008F12B3" w:rsidP="00006CC9" w14:paraId="7240512B" w14:textId="77777777">
      <w:pPr>
        <w:pStyle w:val="HTMLPreformatted"/>
        <w:jc w:val="center"/>
        <w:rPr>
          <w:rFonts w:ascii="Times New Roman" w:hAnsi="Times New Roman" w:cs="Times New Roman"/>
          <w:b/>
          <w:bCs/>
          <w:sz w:val="24"/>
          <w:szCs w:val="24"/>
        </w:rPr>
      </w:pPr>
    </w:p>
    <w:tbl>
      <w:tblPr>
        <w:tblW w:w="8732" w:type="dxa"/>
        <w:tblInd w:w="-108" w:type="dxa"/>
        <w:tblLayout w:type="fixed"/>
        <w:tblLook w:val="01E0"/>
      </w:tblPr>
      <w:tblGrid>
        <w:gridCol w:w="4246"/>
        <w:gridCol w:w="452"/>
        <w:gridCol w:w="4034"/>
      </w:tblGrid>
      <w:tr w14:paraId="3048280D" w14:textId="77777777" w:rsidTr="00CA5340">
        <w:tblPrEx>
          <w:tblW w:w="8732" w:type="dxa"/>
          <w:tblInd w:w="-108" w:type="dxa"/>
          <w:tblLayout w:type="fixed"/>
          <w:tblLook w:val="01E0"/>
        </w:tblPrEx>
        <w:trPr>
          <w:trHeight w:val="665"/>
        </w:trPr>
        <w:tc>
          <w:tcPr>
            <w:tcW w:w="4246" w:type="dxa"/>
            <w:shd w:val="clear" w:color="auto" w:fill="auto"/>
          </w:tcPr>
          <w:p w:rsidR="00C506EE" w:rsidRPr="008F12B3" w:rsidP="00C506EE" w14:paraId="2876E39F" w14:textId="5E1D25CB">
            <w:pPr>
              <w:autoSpaceDE w:val="0"/>
              <w:autoSpaceDN w:val="0"/>
              <w:adjustRightInd w:val="0"/>
            </w:pPr>
            <w:r>
              <w:t xml:space="preserve">In the Matter of the Review of Ohio Adm. Code Chapter 4901-1 Rules Regarding Practice and Procedure Before the Commission. </w:t>
            </w:r>
          </w:p>
        </w:tc>
        <w:tc>
          <w:tcPr>
            <w:tcW w:w="452" w:type="dxa"/>
            <w:shd w:val="clear" w:color="auto" w:fill="auto"/>
          </w:tcPr>
          <w:p w:rsidR="00C506EE" w:rsidP="00C506EE" w14:paraId="6EF2749F"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w:t>
            </w:r>
          </w:p>
          <w:p w:rsidR="00C506EE" w:rsidP="00C506EE" w14:paraId="6670E561"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w:t>
            </w:r>
          </w:p>
          <w:p w:rsidR="00C506EE" w:rsidP="00C506EE" w14:paraId="141CB08E"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w:t>
            </w:r>
          </w:p>
          <w:p w:rsidR="00C506EE" w:rsidRPr="008F12B3" w:rsidP="00C506EE" w14:paraId="4BD7E4BD" w14:textId="2BADE3CC">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34" w:type="dxa"/>
            <w:shd w:val="clear" w:color="auto" w:fill="auto"/>
          </w:tcPr>
          <w:p w:rsidR="00C506EE" w:rsidP="00C506EE" w14:paraId="4908C307" w14:textId="77777777">
            <w:pPr>
              <w:pStyle w:val="HTMLPreformatted"/>
              <w:spacing w:line="276" w:lineRule="auto"/>
              <w:rPr>
                <w:rFonts w:ascii="Times New Roman" w:hAnsi="Times New Roman" w:cs="Times New Roman"/>
                <w:sz w:val="24"/>
                <w:szCs w:val="24"/>
              </w:rPr>
            </w:pPr>
          </w:p>
          <w:p w:rsidR="00C506EE" w:rsidP="00C506EE" w14:paraId="702ECD0A" w14:textId="77777777">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Case No. 18-275-AU-ORD</w:t>
            </w:r>
          </w:p>
          <w:p w:rsidR="00C506EE" w:rsidRPr="008F12B3" w:rsidP="00C506EE" w14:paraId="22339782" w14:textId="55DDDC1F">
            <w:pPr>
              <w:pStyle w:val="HTMLPreformatted"/>
              <w:rPr>
                <w:rFonts w:ascii="Times New Roman" w:hAnsi="Times New Roman" w:cs="Times New Roman"/>
                <w:sz w:val="24"/>
                <w:szCs w:val="24"/>
              </w:rPr>
            </w:pPr>
          </w:p>
        </w:tc>
      </w:tr>
    </w:tbl>
    <w:p w:rsidR="00041D32" w:rsidRPr="008F12B3" w:rsidP="00041D32" w14:paraId="0880C6B6" w14:textId="77777777">
      <w:pPr>
        <w:pBdr>
          <w:bottom w:val="single" w:sz="12" w:space="1" w:color="auto"/>
        </w:pBdr>
        <w:autoSpaceDE w:val="0"/>
        <w:autoSpaceDN w:val="0"/>
        <w:adjustRightInd w:val="0"/>
        <w:rPr>
          <w:rFonts w:eastAsia="Calibri"/>
        </w:rPr>
      </w:pPr>
    </w:p>
    <w:p w:rsidR="00BB35FD" w:rsidRPr="008F12B3" w:rsidP="00BB35FD" w14:paraId="422A251C" w14:textId="77777777">
      <w:pPr>
        <w:autoSpaceDE w:val="0"/>
        <w:autoSpaceDN w:val="0"/>
        <w:adjustRightInd w:val="0"/>
        <w:rPr>
          <w:rFonts w:eastAsia="Calibri"/>
        </w:rPr>
      </w:pPr>
    </w:p>
    <w:p w:rsidR="00383BC2" w:rsidRPr="008F12B3" w:rsidP="008372E3" w14:paraId="4308C497" w14:textId="46696535">
      <w:pPr>
        <w:widowControl w:val="0"/>
        <w:jc w:val="center"/>
        <w:rPr>
          <w:b/>
        </w:rPr>
      </w:pPr>
      <w:r w:rsidRPr="008F12B3">
        <w:rPr>
          <w:b/>
        </w:rPr>
        <w:t>MEMORANDUM IN SUPPORT</w:t>
      </w:r>
    </w:p>
    <w:p w:rsidR="00BB35FD" w:rsidRPr="008F12B3" w:rsidP="00BB35FD" w14:paraId="37988C60" w14:textId="77777777">
      <w:pPr>
        <w:pBdr>
          <w:bottom w:val="single" w:sz="12" w:space="1" w:color="auto"/>
        </w:pBdr>
        <w:autoSpaceDE w:val="0"/>
        <w:autoSpaceDN w:val="0"/>
        <w:adjustRightInd w:val="0"/>
        <w:jc w:val="center"/>
        <w:rPr>
          <w:rFonts w:eastAsia="Calibri"/>
          <w:b/>
          <w:bCs/>
        </w:rPr>
      </w:pPr>
    </w:p>
    <w:p w:rsidR="00522D56" w:rsidRPr="00946658" w:rsidP="00463728" w14:paraId="69D13C6E" w14:textId="6480B2C3">
      <w:pPr>
        <w:pStyle w:val="Heading1"/>
      </w:pPr>
      <w:bookmarkStart w:id="4" w:name="_Toc98520146"/>
      <w:r w:rsidRPr="008F12B3">
        <w:t>INTRODUCTION</w:t>
      </w:r>
      <w:bookmarkEnd w:id="4"/>
      <w:r w:rsidRPr="00A35A9B" w:rsidR="00F81836">
        <w:t xml:space="preserve"> </w:t>
      </w:r>
    </w:p>
    <w:p w:rsidR="00F562D7" w:rsidP="00925AB7" w14:paraId="281F5667" w14:textId="50F5643F">
      <w:pPr>
        <w:spacing w:line="480" w:lineRule="auto"/>
        <w:ind w:firstLine="720"/>
      </w:pPr>
      <w:r>
        <w:t xml:space="preserve">Under the PUCO’s current ex parte rules, parties may not communicate with </w:t>
      </w:r>
      <w:r w:rsidR="007A1FA3">
        <w:t xml:space="preserve">PUCO </w:t>
      </w:r>
      <w:r>
        <w:t>Commissioners and attorney examiners assigned to a case regarding that case’s merits</w:t>
      </w:r>
      <w:r w:rsidR="00B53D8B">
        <w:t xml:space="preserve"> unless other parties are advised of such communications or given the opportunity to be present</w:t>
      </w:r>
      <w:r>
        <w:t>.</w:t>
      </w:r>
      <w:r>
        <w:rPr>
          <w:rStyle w:val="FootnoteReference"/>
        </w:rPr>
        <w:footnoteReference w:id="6"/>
      </w:r>
      <w:r>
        <w:t xml:space="preserve"> </w:t>
      </w:r>
      <w:r w:rsidR="007A1FA3">
        <w:t xml:space="preserve">The PUCO </w:t>
      </w:r>
      <w:r>
        <w:t>Staff is not considered a party for purposes of the ex parte rules.</w:t>
      </w:r>
      <w:r>
        <w:rPr>
          <w:rStyle w:val="FootnoteReference"/>
        </w:rPr>
        <w:footnoteReference w:id="7"/>
      </w:r>
      <w:r w:rsidR="00925AB7">
        <w:t xml:space="preserve"> </w:t>
      </w:r>
    </w:p>
    <w:p w:rsidR="00F81836" w:rsidP="00925AB7" w14:paraId="6FFF86E7" w14:textId="51A8971C">
      <w:pPr>
        <w:spacing w:line="480" w:lineRule="auto"/>
        <w:ind w:firstLine="720"/>
      </w:pPr>
      <w:r>
        <w:t>This means that</w:t>
      </w:r>
      <w:r w:rsidR="001972BD">
        <w:t xml:space="preserve"> the PUCO</w:t>
      </w:r>
      <w:r>
        <w:t xml:space="preserve"> Staff can </w:t>
      </w:r>
      <w:r w:rsidR="005E5A7F">
        <w:t xml:space="preserve">advocate </w:t>
      </w:r>
      <w:r w:rsidR="00931BE9">
        <w:t>positions</w:t>
      </w:r>
      <w:r w:rsidR="005E5A7F">
        <w:t xml:space="preserve"> </w:t>
      </w:r>
      <w:r w:rsidR="007C0F0B">
        <w:t xml:space="preserve">different from or </w:t>
      </w:r>
      <w:r w:rsidR="005D65B3">
        <w:t>in opposition</w:t>
      </w:r>
      <w:r w:rsidR="005E5A7F">
        <w:t xml:space="preserve"> to other parties, yet </w:t>
      </w:r>
      <w:r w:rsidR="001972BD">
        <w:t xml:space="preserve">other </w:t>
      </w:r>
      <w:r w:rsidR="005E5A7F">
        <w:t xml:space="preserve">parties </w:t>
      </w:r>
      <w:r w:rsidR="001972BD">
        <w:t xml:space="preserve">cannot </w:t>
      </w:r>
      <w:r w:rsidR="002139B2">
        <w:t xml:space="preserve">respond </w:t>
      </w:r>
      <w:r w:rsidR="001972BD">
        <w:t xml:space="preserve">to </w:t>
      </w:r>
      <w:r w:rsidR="00463728">
        <w:t>(</w:t>
      </w:r>
      <w:r w:rsidR="007A1FA3">
        <w:t xml:space="preserve">or </w:t>
      </w:r>
      <w:r w:rsidR="005E5A7F">
        <w:t>even know</w:t>
      </w:r>
      <w:r w:rsidR="00463728">
        <w:t>)</w:t>
      </w:r>
      <w:r w:rsidR="001972BD">
        <w:t xml:space="preserve"> </w:t>
      </w:r>
      <w:r w:rsidR="005E5A7F">
        <w:t>what Staff has advocated to PUCO decision makers. Rather than basing its decision</w:t>
      </w:r>
      <w:r w:rsidR="00DB2F98">
        <w:t>s</w:t>
      </w:r>
      <w:r w:rsidR="005E5A7F">
        <w:t xml:space="preserve"> on evidence of record, </w:t>
      </w:r>
      <w:r w:rsidR="007A1FA3">
        <w:t xml:space="preserve">the </w:t>
      </w:r>
      <w:r w:rsidR="005E5A7F">
        <w:t xml:space="preserve">PUCO </w:t>
      </w:r>
      <w:r w:rsidR="007A1FA3">
        <w:t xml:space="preserve">can make </w:t>
      </w:r>
      <w:r w:rsidR="005E5A7F">
        <w:t xml:space="preserve">decisions based on </w:t>
      </w:r>
      <w:r w:rsidR="00463728">
        <w:t xml:space="preserve">its </w:t>
      </w:r>
      <w:r w:rsidR="005D65B3">
        <w:t>off</w:t>
      </w:r>
      <w:r w:rsidR="00931BE9">
        <w:t>-</w:t>
      </w:r>
      <w:r w:rsidR="005D65B3">
        <w:t>the</w:t>
      </w:r>
      <w:r w:rsidR="00931BE9">
        <w:t>-</w:t>
      </w:r>
      <w:r w:rsidR="005D65B3">
        <w:t>record</w:t>
      </w:r>
      <w:r w:rsidR="005E5A7F">
        <w:t xml:space="preserve"> discussions with Staff. </w:t>
      </w:r>
      <w:r w:rsidR="007A1FA3">
        <w:t xml:space="preserve">That is </w:t>
      </w:r>
      <w:r w:rsidR="001972BD">
        <w:t>unfair</w:t>
      </w:r>
      <w:r w:rsidR="007A1FA3">
        <w:t xml:space="preserve">. And it is contrary to </w:t>
      </w:r>
      <w:r w:rsidR="00BA5626">
        <w:t>R.C.</w:t>
      </w:r>
      <w:r w:rsidR="005D65B3">
        <w:t xml:space="preserve"> </w:t>
      </w:r>
      <w:r w:rsidR="00BA5626">
        <w:t>4903.09</w:t>
      </w:r>
      <w:r w:rsidR="007A1FA3">
        <w:t xml:space="preserve">, which </w:t>
      </w:r>
      <w:r w:rsidR="00BA5626">
        <w:t xml:space="preserve">requires </w:t>
      </w:r>
      <w:r w:rsidR="005E5A7F">
        <w:t xml:space="preserve">PUCO decisions </w:t>
      </w:r>
      <w:r w:rsidR="002139B2">
        <w:t xml:space="preserve">to </w:t>
      </w:r>
      <w:r w:rsidR="005E5A7F">
        <w:t>be</w:t>
      </w:r>
      <w:r w:rsidR="007A1FA3">
        <w:t xml:space="preserve"> transparent and</w:t>
      </w:r>
      <w:r w:rsidR="005E5A7F">
        <w:t xml:space="preserve"> based on </w:t>
      </w:r>
      <w:r w:rsidR="002509AF">
        <w:t xml:space="preserve">record </w:t>
      </w:r>
      <w:r w:rsidR="005E5A7F">
        <w:t>evidence</w:t>
      </w:r>
      <w:r w:rsidR="002509AF">
        <w:t xml:space="preserve">. </w:t>
      </w:r>
    </w:p>
    <w:p w:rsidR="00AF4FFB" w:rsidRPr="00946658" w:rsidP="00FB67DA" w14:paraId="4919B535" w14:textId="33D8DA34">
      <w:pPr>
        <w:spacing w:line="480" w:lineRule="auto"/>
        <w:ind w:firstLine="720"/>
        <w:rPr>
          <w:color w:val="000000" w:themeColor="text1"/>
        </w:rPr>
      </w:pPr>
      <w:r w:rsidRPr="00946658">
        <w:t xml:space="preserve">To </w:t>
      </w:r>
      <w:r w:rsidR="00925AB7">
        <w:t>ensure fairness and transparent decision-making in PUCO proceedings,</w:t>
      </w:r>
      <w:r w:rsidRPr="00946658">
        <w:t xml:space="preserve"> the </w:t>
      </w:r>
      <w:r w:rsidR="00925AB7">
        <w:t>PUCO</w:t>
      </w:r>
      <w:r w:rsidRPr="00946658">
        <w:t xml:space="preserve"> sho</w:t>
      </w:r>
      <w:r w:rsidRPr="00946658" w:rsidR="00932611">
        <w:rPr>
          <w:color w:val="000000" w:themeColor="text1"/>
        </w:rPr>
        <w:t>uld grant OCC’s Application for Rehearing</w:t>
      </w:r>
      <w:r w:rsidRPr="00946658" w:rsidR="00035F75">
        <w:rPr>
          <w:color w:val="000000" w:themeColor="text1"/>
        </w:rPr>
        <w:t xml:space="preserve"> </w:t>
      </w:r>
      <w:r w:rsidR="001972BD">
        <w:rPr>
          <w:color w:val="000000" w:themeColor="text1"/>
        </w:rPr>
        <w:t xml:space="preserve">consistent with the recommendations </w:t>
      </w:r>
      <w:r w:rsidRPr="00946658">
        <w:rPr>
          <w:color w:val="000000" w:themeColor="text1"/>
        </w:rPr>
        <w:t>below.</w:t>
      </w:r>
    </w:p>
    <w:p w:rsidR="00E95F3D" w:rsidRPr="00F40226" w:rsidP="001972BD" w14:paraId="67FDAEC9" w14:textId="3FF31608">
      <w:pPr>
        <w:pStyle w:val="Heading1"/>
      </w:pPr>
      <w:bookmarkStart w:id="5" w:name="_Toc53576255"/>
      <w:bookmarkStart w:id="6" w:name="_Toc53576320"/>
      <w:bookmarkStart w:id="7" w:name="_Toc92365887"/>
      <w:bookmarkStart w:id="8" w:name="_Toc98520147"/>
      <w:r>
        <w:t>ASSIGNMENTS OF ERROR</w:t>
      </w:r>
      <w:bookmarkEnd w:id="5"/>
      <w:bookmarkEnd w:id="6"/>
      <w:bookmarkEnd w:id="7"/>
      <w:bookmarkEnd w:id="8"/>
    </w:p>
    <w:p w:rsidR="00302C76" w:rsidRPr="008F12B3" w:rsidP="00302C76" w14:paraId="6BFB1A94" w14:textId="3AEA25AC">
      <w:pPr>
        <w:widowControl w:val="0"/>
        <w:ind w:left="720"/>
      </w:pPr>
      <w:r w:rsidRPr="00A35A9B">
        <w:rPr>
          <w:b/>
          <w:bCs/>
        </w:rPr>
        <w:t xml:space="preserve">ASSIGNMENT OF ERROR NO. </w:t>
      </w:r>
      <w:r>
        <w:rPr>
          <w:b/>
          <w:bCs/>
        </w:rPr>
        <w:t>1</w:t>
      </w:r>
      <w:r w:rsidRPr="00A35A9B">
        <w:rPr>
          <w:b/>
          <w:bCs/>
        </w:rPr>
        <w:t>:</w:t>
      </w:r>
      <w:r w:rsidRPr="00A35A9B">
        <w:t xml:space="preserve"> </w:t>
      </w:r>
      <w:r w:rsidRPr="00A35A9B">
        <w:rPr>
          <w:b/>
          <w:bCs/>
          <w:color w:val="000000" w:themeColor="text1"/>
        </w:rPr>
        <w:t xml:space="preserve">The </w:t>
      </w:r>
      <w:r>
        <w:rPr>
          <w:b/>
          <w:bCs/>
          <w:color w:val="000000" w:themeColor="text1"/>
        </w:rPr>
        <w:t>PUCO erred in continuing an unfair process that allows unequal treatment of parties by permitting ex parte communications between PUCO Staff and decision makers, which prevents other parties from knowing the basis of the decision in violation of R.C. 4903.09</w:t>
      </w:r>
      <w:r w:rsidR="001972BD">
        <w:rPr>
          <w:b/>
          <w:bCs/>
          <w:color w:val="000000" w:themeColor="text1"/>
        </w:rPr>
        <w:t xml:space="preserve"> and Ohio Supreme Court precedent</w:t>
      </w:r>
      <w:r>
        <w:rPr>
          <w:b/>
          <w:bCs/>
          <w:color w:val="000000" w:themeColor="text1"/>
        </w:rPr>
        <w:t>.</w:t>
      </w:r>
    </w:p>
    <w:p w:rsidR="00302C76" w:rsidP="005C1525" w14:paraId="7FC2A972" w14:textId="77777777">
      <w:pPr>
        <w:widowControl w:val="0"/>
        <w:ind w:left="720"/>
        <w:rPr>
          <w:b/>
          <w:bCs/>
          <w:color w:val="000000" w:themeColor="text1"/>
        </w:rPr>
      </w:pPr>
    </w:p>
    <w:p w:rsidR="00C43C39" w:rsidRPr="00C43C39" w:rsidP="00C43C39" w14:paraId="5B5BAAC6" w14:textId="30DECCD3">
      <w:pPr>
        <w:spacing w:line="480" w:lineRule="auto"/>
        <w:ind w:firstLine="720"/>
        <w:rPr>
          <w:rFonts w:eastAsia="Calibri"/>
        </w:rPr>
      </w:pPr>
      <w:r w:rsidRPr="00D243ED">
        <w:t>Under R.C. 4903.09, the PUCO must set forth findings based on the record in the proceeding.</w:t>
      </w:r>
      <w:r>
        <w:rPr>
          <w:rStyle w:val="FootnoteReference"/>
        </w:rPr>
        <w:footnoteReference w:id="8"/>
      </w:r>
      <w:r>
        <w:t xml:space="preserve"> However, O.A.C. 4901-1-10(C) allows the PUCO to </w:t>
      </w:r>
      <w:r w:rsidR="00842A82">
        <w:t>bypass this requirement</w:t>
      </w:r>
      <w:r w:rsidR="0046358A">
        <w:t>, because the PUCO Staff is not a party</w:t>
      </w:r>
      <w:r w:rsidR="00842A82">
        <w:t xml:space="preserve"> </w:t>
      </w:r>
      <w:r w:rsidR="009F679B">
        <w:t xml:space="preserve">when it comes to </w:t>
      </w:r>
      <w:r w:rsidR="0046358A">
        <w:t xml:space="preserve">the </w:t>
      </w:r>
      <w:r w:rsidR="009F679B">
        <w:t>ex parte communication</w:t>
      </w:r>
      <w:r w:rsidR="0046358A">
        <w:t xml:space="preserve"> rules</w:t>
      </w:r>
      <w:r>
        <w:t>.</w:t>
      </w:r>
      <w:r w:rsidR="009F679B">
        <w:t xml:space="preserve"> The Ohio Supreme Court dealt with the inherent unfairness of this rule in </w:t>
      </w:r>
      <w:r w:rsidRPr="00C43C39" w:rsidR="009F679B">
        <w:rPr>
          <w:rFonts w:eastAsia="Calibri"/>
          <w:i/>
          <w:iCs/>
        </w:rPr>
        <w:t>Tongren v. Pub. Util</w:t>
      </w:r>
      <w:r w:rsidR="009F679B">
        <w:rPr>
          <w:rFonts w:eastAsia="Calibri"/>
          <w:i/>
          <w:iCs/>
        </w:rPr>
        <w:t>.</w:t>
      </w:r>
      <w:r w:rsidRPr="00C43C39" w:rsidR="009F679B">
        <w:rPr>
          <w:rFonts w:eastAsia="Calibri"/>
          <w:i/>
          <w:iCs/>
        </w:rPr>
        <w:t xml:space="preserve"> Comm. </w:t>
      </w:r>
      <w:r w:rsidRPr="00C43C39" w:rsidR="009F679B">
        <w:rPr>
          <w:rFonts w:eastAsia="Calibri"/>
        </w:rPr>
        <w:t>(1999), 85 Ohio St.3d. 87, 706 N.E.2d 1255</w:t>
      </w:r>
      <w:r w:rsidR="008E1FE4">
        <w:rPr>
          <w:rFonts w:eastAsia="Calibri"/>
        </w:rPr>
        <w:t>, when it</w:t>
      </w:r>
      <w:r w:rsidRPr="00C43C39">
        <w:rPr>
          <w:rFonts w:eastAsia="Calibri"/>
        </w:rPr>
        <w:t xml:space="preserve"> found that the PUCO violated R.C. 4903.09 </w:t>
      </w:r>
      <w:r w:rsidR="008E1FE4">
        <w:rPr>
          <w:rFonts w:eastAsia="Calibri"/>
        </w:rPr>
        <w:t>by relying on</w:t>
      </w:r>
      <w:r w:rsidRPr="00C43C39">
        <w:rPr>
          <w:rFonts w:eastAsia="Calibri"/>
        </w:rPr>
        <w:t xml:space="preserve"> information </w:t>
      </w:r>
      <w:r w:rsidR="00387E12">
        <w:rPr>
          <w:rFonts w:eastAsia="Calibri"/>
        </w:rPr>
        <w:t>from</w:t>
      </w:r>
      <w:r w:rsidRPr="00C43C39">
        <w:rPr>
          <w:rFonts w:eastAsia="Calibri"/>
        </w:rPr>
        <w:t xml:space="preserve"> the PUCO Staff </w:t>
      </w:r>
      <w:r w:rsidR="00387E12">
        <w:rPr>
          <w:rFonts w:eastAsia="Calibri"/>
        </w:rPr>
        <w:t xml:space="preserve">that </w:t>
      </w:r>
      <w:r w:rsidRPr="00C43C39">
        <w:rPr>
          <w:rFonts w:eastAsia="Calibri"/>
        </w:rPr>
        <w:t>was not contained within the record.</w:t>
      </w:r>
      <w:r>
        <w:rPr>
          <w:rStyle w:val="FootnoteReference"/>
          <w:rFonts w:eastAsia="Calibri"/>
        </w:rPr>
        <w:footnoteReference w:id="9"/>
      </w:r>
    </w:p>
    <w:p w:rsidR="00C43C39" w:rsidP="002F3C36" w14:paraId="15DB9E11" w14:textId="4F8EE16F">
      <w:pPr>
        <w:spacing w:line="480" w:lineRule="auto"/>
        <w:ind w:firstLine="720"/>
        <w:rPr>
          <w:rFonts w:eastAsia="Calibri"/>
        </w:rPr>
      </w:pPr>
      <w:r w:rsidRPr="00C43C39">
        <w:rPr>
          <w:rFonts w:eastAsia="Calibri"/>
        </w:rPr>
        <w:t xml:space="preserve">In </w:t>
      </w:r>
      <w:r w:rsidRPr="00C43C39">
        <w:rPr>
          <w:rFonts w:eastAsia="Calibri"/>
          <w:i/>
          <w:iCs/>
        </w:rPr>
        <w:t>Tongren</w:t>
      </w:r>
      <w:r w:rsidRPr="00C43C39">
        <w:rPr>
          <w:rFonts w:eastAsia="Calibri"/>
        </w:rPr>
        <w:t xml:space="preserve">, OCC challenged the PUCO’s order as being unsupported by the record. </w:t>
      </w:r>
      <w:r w:rsidR="00387E12">
        <w:rPr>
          <w:rFonts w:eastAsia="Calibri"/>
        </w:rPr>
        <w:t>The</w:t>
      </w:r>
      <w:r w:rsidRPr="00C43C39">
        <w:rPr>
          <w:rFonts w:eastAsia="Calibri"/>
        </w:rPr>
        <w:t xml:space="preserve"> Court ruled that the PUCO had to provide in sufficient detail, the facts in the record upon which the order was based, as well as the reasoning followed in reaching its conclusion.</w:t>
      </w:r>
      <w:r>
        <w:rPr>
          <w:rFonts w:eastAsia="Calibri"/>
          <w:vertAlign w:val="superscript"/>
        </w:rPr>
        <w:footnoteReference w:id="10"/>
      </w:r>
      <w:r w:rsidR="002F3C36">
        <w:rPr>
          <w:rFonts w:eastAsia="Calibri"/>
        </w:rPr>
        <w:t xml:space="preserve"> T</w:t>
      </w:r>
      <w:r w:rsidRPr="00C43C39">
        <w:rPr>
          <w:rFonts w:eastAsia="Calibri"/>
        </w:rPr>
        <w:t>he PUCO</w:t>
      </w:r>
      <w:r w:rsidR="00F92EA4">
        <w:rPr>
          <w:rFonts w:eastAsia="Calibri"/>
        </w:rPr>
        <w:t xml:space="preserve"> implicitly </w:t>
      </w:r>
      <w:r w:rsidR="00134D14">
        <w:rPr>
          <w:rFonts w:eastAsia="Calibri"/>
        </w:rPr>
        <w:t>relied</w:t>
      </w:r>
      <w:r w:rsidRPr="00C43C39">
        <w:rPr>
          <w:rFonts w:eastAsia="Calibri"/>
        </w:rPr>
        <w:t xml:space="preserve"> </w:t>
      </w:r>
      <w:r w:rsidR="00134D14">
        <w:rPr>
          <w:rFonts w:eastAsia="Calibri"/>
        </w:rPr>
        <w:t xml:space="preserve">on </w:t>
      </w:r>
      <w:r w:rsidR="00DB558F">
        <w:rPr>
          <w:rFonts w:eastAsia="Calibri"/>
        </w:rPr>
        <w:t xml:space="preserve">ex parte communications with </w:t>
      </w:r>
      <w:r w:rsidR="002F3C36">
        <w:rPr>
          <w:rFonts w:eastAsia="Calibri"/>
        </w:rPr>
        <w:t>S</w:t>
      </w:r>
      <w:r w:rsidRPr="00C43C39">
        <w:rPr>
          <w:rFonts w:eastAsia="Calibri"/>
        </w:rPr>
        <w:t xml:space="preserve">taff </w:t>
      </w:r>
      <w:r w:rsidR="00134D14">
        <w:rPr>
          <w:rFonts w:eastAsia="Calibri"/>
        </w:rPr>
        <w:t>after</w:t>
      </w:r>
      <w:r w:rsidRPr="00C43C39">
        <w:rPr>
          <w:rFonts w:eastAsia="Calibri"/>
        </w:rPr>
        <w:t xml:space="preserve"> </w:t>
      </w:r>
      <w:r w:rsidR="00DB558F">
        <w:rPr>
          <w:rFonts w:eastAsia="Calibri"/>
        </w:rPr>
        <w:t>Staff’s discussion</w:t>
      </w:r>
      <w:r w:rsidR="00134D14">
        <w:rPr>
          <w:rFonts w:eastAsia="Calibri"/>
        </w:rPr>
        <w:t>s</w:t>
      </w:r>
      <w:r w:rsidR="00DB558F">
        <w:rPr>
          <w:rFonts w:eastAsia="Calibri"/>
        </w:rPr>
        <w:t xml:space="preserve"> with the utility</w:t>
      </w:r>
      <w:r w:rsidR="00F92EA4">
        <w:rPr>
          <w:rFonts w:eastAsia="Calibri"/>
        </w:rPr>
        <w:t xml:space="preserve"> for its “findings.”</w:t>
      </w:r>
      <w:r>
        <w:rPr>
          <w:rFonts w:eastAsia="Calibri"/>
          <w:vertAlign w:val="superscript"/>
        </w:rPr>
        <w:footnoteReference w:id="11"/>
      </w:r>
      <w:r w:rsidRPr="00C43C39">
        <w:rPr>
          <w:rFonts w:eastAsia="Calibri"/>
        </w:rPr>
        <w:t xml:space="preserve"> The Court </w:t>
      </w:r>
      <w:r w:rsidR="00134D14">
        <w:rPr>
          <w:rFonts w:eastAsia="Calibri"/>
        </w:rPr>
        <w:t>stated</w:t>
      </w:r>
      <w:r w:rsidRPr="00C43C39">
        <w:rPr>
          <w:rFonts w:eastAsia="Calibri"/>
        </w:rPr>
        <w:t>, “It is clear from *** the Finding and Order that the commission accepted its staff's</w:t>
      </w:r>
      <w:r w:rsidR="00F92EA4">
        <w:rPr>
          <w:rFonts w:eastAsia="Calibri"/>
        </w:rPr>
        <w:t xml:space="preserve"> </w:t>
      </w:r>
      <w:r w:rsidRPr="00C43C39">
        <w:rPr>
          <w:rFonts w:eastAsia="Calibri"/>
        </w:rPr>
        <w:t>recommendations and adopted as its own various of its staff's findings. However, there is nothing in the record below to evince the bases for the commission</w:t>
      </w:r>
      <w:r w:rsidR="0046358A">
        <w:rPr>
          <w:rFonts w:eastAsia="Calibri"/>
        </w:rPr>
        <w:t>’</w:t>
      </w:r>
      <w:r w:rsidRPr="00C43C39">
        <w:rPr>
          <w:rFonts w:eastAsia="Calibri"/>
        </w:rPr>
        <w:t>s acceptance of such recommendations and adoption of such findings.”</w:t>
      </w:r>
      <w:r>
        <w:rPr>
          <w:rFonts w:eastAsia="Calibri"/>
          <w:vertAlign w:val="superscript"/>
        </w:rPr>
        <w:footnoteReference w:id="12"/>
      </w:r>
      <w:r w:rsidRPr="00C43C39">
        <w:rPr>
          <w:rFonts w:eastAsia="Calibri"/>
        </w:rPr>
        <w:t xml:space="preserve"> </w:t>
      </w:r>
    </w:p>
    <w:p w:rsidR="00F05657" w:rsidP="002F3C36" w14:paraId="74652C84" w14:textId="127BE336">
      <w:pPr>
        <w:spacing w:line="480" w:lineRule="auto"/>
        <w:ind w:firstLine="720"/>
        <w:rPr>
          <w:rFonts w:eastAsia="Calibri"/>
        </w:rPr>
      </w:pPr>
      <w:r>
        <w:rPr>
          <w:rFonts w:eastAsia="Calibri"/>
        </w:rPr>
        <w:t xml:space="preserve">If the PUCO Staff in </w:t>
      </w:r>
      <w:r w:rsidRPr="008372E3">
        <w:rPr>
          <w:rFonts w:eastAsia="Calibri"/>
          <w:i/>
          <w:iCs/>
        </w:rPr>
        <w:t>Tongren</w:t>
      </w:r>
      <w:r w:rsidR="00F92EA4">
        <w:rPr>
          <w:rFonts w:eastAsia="Calibri"/>
        </w:rPr>
        <w:t xml:space="preserve"> had been subject to the PUCO’s ex parte rule</w:t>
      </w:r>
      <w:r w:rsidR="007D2C2C">
        <w:rPr>
          <w:rFonts w:eastAsia="Calibri"/>
        </w:rPr>
        <w:t>s</w:t>
      </w:r>
      <w:r w:rsidR="00F92EA4">
        <w:rPr>
          <w:rFonts w:eastAsia="Calibri"/>
        </w:rPr>
        <w:t xml:space="preserve">, it is highly doubtful that </w:t>
      </w:r>
      <w:r w:rsidR="00E00113">
        <w:rPr>
          <w:rFonts w:eastAsia="Calibri"/>
        </w:rPr>
        <w:t>this issue would have been before the Court. The fact is, to this day, the PUCO still relies on off-the-record ex parte communications with Staff in some if its rulings.</w:t>
      </w:r>
      <w:r>
        <w:rPr>
          <w:rStyle w:val="FootnoteReference"/>
          <w:rFonts w:eastAsia="Calibri"/>
        </w:rPr>
        <w:footnoteReference w:id="13"/>
      </w:r>
      <w:r w:rsidR="00C303D3">
        <w:rPr>
          <w:rFonts w:eastAsia="Calibri"/>
        </w:rPr>
        <w:t xml:space="preserve"> </w:t>
      </w:r>
      <w:r w:rsidR="007D2C2C">
        <w:rPr>
          <w:rFonts w:eastAsia="Calibri"/>
        </w:rPr>
        <w:t>Modifying</w:t>
      </w:r>
      <w:r w:rsidR="00C303D3">
        <w:rPr>
          <w:rFonts w:eastAsia="Calibri"/>
        </w:rPr>
        <w:t xml:space="preserve"> O.A.C. 490</w:t>
      </w:r>
      <w:r w:rsidR="00855955">
        <w:rPr>
          <w:rFonts w:eastAsia="Calibri"/>
        </w:rPr>
        <w:t xml:space="preserve">1-1-10(C) to make PUCO Staff parties for purposes </w:t>
      </w:r>
      <w:r w:rsidR="00D905CA">
        <w:rPr>
          <w:rFonts w:eastAsia="Calibri"/>
        </w:rPr>
        <w:t xml:space="preserve">of </w:t>
      </w:r>
      <w:r w:rsidR="00855955">
        <w:rPr>
          <w:rFonts w:eastAsia="Calibri"/>
        </w:rPr>
        <w:t>the PUCO’s ex parte rule</w:t>
      </w:r>
      <w:r w:rsidR="007D2C2C">
        <w:rPr>
          <w:rFonts w:eastAsia="Calibri"/>
        </w:rPr>
        <w:t>s</w:t>
      </w:r>
      <w:r w:rsidR="00855955">
        <w:rPr>
          <w:rFonts w:eastAsia="Calibri"/>
        </w:rPr>
        <w:t xml:space="preserve"> would eliminate the unfair and unequal treatment of other parties and facilitate an open and transparent process leading to PUCO decisions based on record evidence and findings therefrom as required by R.C. 4903.09</w:t>
      </w:r>
    </w:p>
    <w:p w:rsidR="002F3C36" w:rsidRPr="008372E3" w:rsidP="008372E3" w14:paraId="4F9F6699" w14:textId="0F20B68E">
      <w:pPr>
        <w:spacing w:line="480" w:lineRule="auto"/>
        <w:ind w:firstLine="720"/>
        <w:rPr>
          <w:rFonts w:eastAsia="Calibri"/>
        </w:rPr>
      </w:pPr>
      <w:r>
        <w:rPr>
          <w:rFonts w:eastAsia="Calibri"/>
        </w:rPr>
        <w:t xml:space="preserve">The </w:t>
      </w:r>
      <w:r w:rsidR="009F0A56">
        <w:rPr>
          <w:rFonts w:eastAsia="Calibri"/>
        </w:rPr>
        <w:t>PUCO Staff should be made parties for purposes of the PUCO’s ex parte rule</w:t>
      </w:r>
      <w:r w:rsidR="007D2C2C">
        <w:rPr>
          <w:rFonts w:eastAsia="Calibri"/>
        </w:rPr>
        <w:t>s</w:t>
      </w:r>
      <w:r w:rsidR="009F0A56">
        <w:rPr>
          <w:rFonts w:eastAsia="Calibri"/>
        </w:rPr>
        <w:t>. For these reasons, the</w:t>
      </w:r>
      <w:r w:rsidRPr="009F0A56" w:rsidR="009F0A56">
        <w:rPr>
          <w:rFonts w:eastAsia="Calibri"/>
        </w:rPr>
        <w:t xml:space="preserve"> PUCO’s Finding and Order is unreasonable and unlawful. Rehearing should be granted</w:t>
      </w:r>
      <w:r w:rsidR="00842A82">
        <w:rPr>
          <w:rFonts w:eastAsia="Calibri"/>
        </w:rPr>
        <w:t xml:space="preserve"> to modify the rule consistent with OCC’s recommendation</w:t>
      </w:r>
      <w:r w:rsidRPr="009F0A56" w:rsidR="009F0A56">
        <w:rPr>
          <w:rFonts w:eastAsia="Calibri"/>
        </w:rPr>
        <w:t>.</w:t>
      </w:r>
    </w:p>
    <w:p w:rsidR="005C1525" w:rsidRPr="00F40226" w:rsidP="005C1525" w14:paraId="279601A3" w14:textId="10247C7F">
      <w:pPr>
        <w:widowControl w:val="0"/>
        <w:ind w:left="720"/>
        <w:rPr>
          <w:b/>
          <w:bCs/>
          <w:color w:val="000000" w:themeColor="text1"/>
        </w:rPr>
      </w:pPr>
      <w:r w:rsidRPr="00F40226">
        <w:rPr>
          <w:b/>
          <w:bCs/>
          <w:color w:val="000000" w:themeColor="text1"/>
        </w:rPr>
        <w:t xml:space="preserve">ASSIGNMENT OF ERROR NO. </w:t>
      </w:r>
      <w:r w:rsidR="00302C76">
        <w:rPr>
          <w:b/>
          <w:bCs/>
          <w:color w:val="000000" w:themeColor="text1"/>
        </w:rPr>
        <w:t>2</w:t>
      </w:r>
      <w:r w:rsidRPr="00F40226">
        <w:rPr>
          <w:b/>
          <w:bCs/>
          <w:color w:val="000000" w:themeColor="text1"/>
        </w:rPr>
        <w:t xml:space="preserve">: </w:t>
      </w:r>
      <w:r w:rsidRPr="00A35A9B" w:rsidR="001C0BE2">
        <w:rPr>
          <w:b/>
          <w:bCs/>
          <w:color w:val="000000" w:themeColor="text1"/>
        </w:rPr>
        <w:t xml:space="preserve">The </w:t>
      </w:r>
      <w:r w:rsidR="00925AB7">
        <w:rPr>
          <w:b/>
          <w:bCs/>
          <w:color w:val="000000" w:themeColor="text1"/>
        </w:rPr>
        <w:t>PUCO</w:t>
      </w:r>
      <w:r w:rsidRPr="00A35A9B" w:rsidR="001C0BE2">
        <w:rPr>
          <w:b/>
          <w:bCs/>
          <w:color w:val="000000" w:themeColor="text1"/>
        </w:rPr>
        <w:t xml:space="preserve"> erred </w:t>
      </w:r>
      <w:r w:rsidR="00D05AEE">
        <w:rPr>
          <w:b/>
          <w:bCs/>
          <w:color w:val="000000" w:themeColor="text1"/>
        </w:rPr>
        <w:t>because it failed to adequately explain the basis of its decision and</w:t>
      </w:r>
      <w:r w:rsidR="00EB5ECE">
        <w:rPr>
          <w:b/>
          <w:bCs/>
          <w:color w:val="000000" w:themeColor="text1"/>
        </w:rPr>
        <w:t xml:space="preserve"> </w:t>
      </w:r>
      <w:r w:rsidR="00D05AEE">
        <w:rPr>
          <w:b/>
          <w:bCs/>
          <w:color w:val="000000" w:themeColor="text1"/>
        </w:rPr>
        <w:t>to</w:t>
      </w:r>
      <w:r w:rsidR="00EB5ECE">
        <w:rPr>
          <w:b/>
          <w:bCs/>
          <w:color w:val="000000" w:themeColor="text1"/>
        </w:rPr>
        <w:t xml:space="preserve"> address </w:t>
      </w:r>
      <w:r w:rsidR="001C0BE2">
        <w:rPr>
          <w:b/>
          <w:bCs/>
          <w:color w:val="000000" w:themeColor="text1"/>
        </w:rPr>
        <w:t>OCC</w:t>
      </w:r>
      <w:r w:rsidR="00EB5ECE">
        <w:rPr>
          <w:b/>
          <w:bCs/>
          <w:color w:val="000000" w:themeColor="text1"/>
        </w:rPr>
        <w:t>’s arguments in any substantive manner</w:t>
      </w:r>
      <w:r w:rsidR="00D05AEE">
        <w:rPr>
          <w:b/>
          <w:bCs/>
          <w:color w:val="000000" w:themeColor="text1"/>
        </w:rPr>
        <w:t xml:space="preserve"> in violation of R.C. 4903.09 and Ohio Supreme Court precedent.</w:t>
      </w:r>
    </w:p>
    <w:p w:rsidR="005C1525" w:rsidRPr="00513AC8" w:rsidP="005C1525" w14:paraId="0D2CBDDF" w14:textId="77777777">
      <w:pPr>
        <w:widowControl w:val="0"/>
        <w:ind w:left="720"/>
        <w:rPr>
          <w:color w:val="000000" w:themeColor="text1"/>
          <w:highlight w:val="yellow"/>
        </w:rPr>
      </w:pPr>
    </w:p>
    <w:p w:rsidR="00961A19" w:rsidP="00693AD4" w14:paraId="7471537A" w14:textId="499B91BC">
      <w:pPr>
        <w:spacing w:line="480" w:lineRule="auto"/>
        <w:rPr>
          <w:color w:val="000000" w:themeColor="text1"/>
        </w:rPr>
      </w:pPr>
      <w:r w:rsidRPr="00F40226">
        <w:rPr>
          <w:color w:val="000000" w:themeColor="text1"/>
        </w:rPr>
        <w:tab/>
      </w:r>
      <w:r w:rsidRPr="00127D95" w:rsidR="00A12155">
        <w:rPr>
          <w:color w:val="000000" w:themeColor="text1"/>
        </w:rPr>
        <w:t>The</w:t>
      </w:r>
      <w:r w:rsidRPr="00127D95" w:rsidR="00127D95">
        <w:rPr>
          <w:color w:val="000000" w:themeColor="text1"/>
        </w:rPr>
        <w:t xml:space="preserve"> </w:t>
      </w:r>
      <w:r w:rsidR="00925AB7">
        <w:rPr>
          <w:color w:val="000000" w:themeColor="text1"/>
        </w:rPr>
        <w:t>PUCO</w:t>
      </w:r>
      <w:r w:rsidRPr="00127D95" w:rsidR="00A12155">
        <w:rPr>
          <w:color w:val="000000" w:themeColor="text1"/>
        </w:rPr>
        <w:t xml:space="preserve"> ignored OCC’s </w:t>
      </w:r>
      <w:r w:rsidRPr="00127D95" w:rsidR="00127D95">
        <w:rPr>
          <w:color w:val="000000" w:themeColor="text1"/>
        </w:rPr>
        <w:t>recommendations.</w:t>
      </w:r>
      <w:r w:rsidRPr="00127D95" w:rsidR="00A12155">
        <w:rPr>
          <w:color w:val="000000" w:themeColor="text1"/>
        </w:rPr>
        <w:t xml:space="preserve"> </w:t>
      </w:r>
      <w:r w:rsidRPr="00127D95" w:rsidR="00FA411E">
        <w:rPr>
          <w:color w:val="000000" w:themeColor="text1"/>
        </w:rPr>
        <w:t>Consequently, the</w:t>
      </w:r>
      <w:r w:rsidRPr="00127D95">
        <w:rPr>
          <w:color w:val="000000" w:themeColor="text1"/>
        </w:rPr>
        <w:t xml:space="preserve"> </w:t>
      </w:r>
      <w:r w:rsidRPr="00127D95" w:rsidR="00A12155">
        <w:rPr>
          <w:color w:val="000000" w:themeColor="text1"/>
        </w:rPr>
        <w:t>Finding and Order i</w:t>
      </w:r>
      <w:r w:rsidRPr="00127D95">
        <w:rPr>
          <w:color w:val="000000" w:themeColor="text1"/>
        </w:rPr>
        <w:t>s unlawful.</w:t>
      </w:r>
      <w:r w:rsidRPr="00F40226">
        <w:rPr>
          <w:color w:val="000000" w:themeColor="text1"/>
        </w:rPr>
        <w:t xml:space="preserve"> </w:t>
      </w:r>
    </w:p>
    <w:p w:rsidR="00D82A38" w:rsidP="00961A19" w14:paraId="259B915E" w14:textId="7A020C4E">
      <w:pPr>
        <w:spacing w:line="480" w:lineRule="auto"/>
        <w:ind w:firstLine="720"/>
        <w:rPr>
          <w:color w:val="000000" w:themeColor="text1"/>
          <w:shd w:val="clear" w:color="auto" w:fill="FFFFFF"/>
        </w:rPr>
      </w:pPr>
      <w:r>
        <w:rPr>
          <w:color w:val="000000" w:themeColor="text1"/>
        </w:rPr>
        <w:t xml:space="preserve">Applying R.C. 4903.09, the Supreme Court of Ohio has </w:t>
      </w:r>
      <w:r w:rsidR="00131789">
        <w:rPr>
          <w:color w:val="000000" w:themeColor="text1"/>
        </w:rPr>
        <w:t>found unlawful</w:t>
      </w:r>
      <w:r>
        <w:rPr>
          <w:color w:val="000000" w:themeColor="text1"/>
        </w:rPr>
        <w:t xml:space="preserve"> PUCO decisions in which the </w:t>
      </w:r>
      <w:r w:rsidR="00546FED">
        <w:rPr>
          <w:color w:val="000000" w:themeColor="text1"/>
        </w:rPr>
        <w:t>PUCO</w:t>
      </w:r>
      <w:r>
        <w:rPr>
          <w:color w:val="000000" w:themeColor="text1"/>
        </w:rPr>
        <w:t xml:space="preserve"> failed to address </w:t>
      </w:r>
      <w:r w:rsidR="00131789">
        <w:rPr>
          <w:color w:val="000000" w:themeColor="text1"/>
        </w:rPr>
        <w:t>a party’s arguments</w:t>
      </w:r>
      <w:r>
        <w:rPr>
          <w:color w:val="000000" w:themeColor="text1"/>
        </w:rPr>
        <w:t xml:space="preserve">. In </w:t>
      </w:r>
      <w:r>
        <w:rPr>
          <w:i/>
          <w:iCs/>
          <w:color w:val="000000" w:themeColor="text1"/>
        </w:rPr>
        <w:t>In re Fuel Adjustment Clauses for Columbus S. Power Co. and Ohio Power Co.</w:t>
      </w:r>
      <w:r>
        <w:rPr>
          <w:color w:val="000000" w:themeColor="text1"/>
        </w:rPr>
        <w:t>, the Court found: “</w:t>
      </w:r>
      <w:r>
        <w:rPr>
          <w:color w:val="000000"/>
        </w:rPr>
        <w:t>AEP is correct that the commission failed to address its arguments in any substantive manner.</w:t>
      </w:r>
      <w:r w:rsidR="00961A19">
        <w:rPr>
          <w:color w:val="000000"/>
        </w:rPr>
        <w:t xml:space="preserve"> </w:t>
      </w:r>
      <w:r>
        <w:rPr>
          <w:color w:val="000000"/>
        </w:rPr>
        <w:t>Accordingly, we remand the cause to correct this error.”</w:t>
      </w:r>
      <w:r>
        <w:rPr>
          <w:rStyle w:val="FootnoteReference"/>
          <w:color w:val="000000"/>
        </w:rPr>
        <w:footnoteReference w:id="14"/>
      </w:r>
      <w:r>
        <w:rPr>
          <w:color w:val="000000"/>
        </w:rPr>
        <w:t xml:space="preserve"> </w:t>
      </w:r>
      <w:r w:rsidR="00961A19">
        <w:rPr>
          <w:color w:val="000000" w:themeColor="text1"/>
        </w:rPr>
        <w:t xml:space="preserve">This decision was based </w:t>
      </w:r>
      <w:r w:rsidR="00131789">
        <w:rPr>
          <w:color w:val="000000" w:themeColor="text1"/>
        </w:rPr>
        <w:t xml:space="preserve">on the Court’s finding that, under </w:t>
      </w:r>
      <w:r w:rsidR="00961A19">
        <w:rPr>
          <w:color w:val="000000" w:themeColor="text1"/>
        </w:rPr>
        <w:t>R.C. 4903.09</w:t>
      </w:r>
      <w:r w:rsidR="00131789">
        <w:rPr>
          <w:color w:val="000000" w:themeColor="text1"/>
        </w:rPr>
        <w:t>,</w:t>
      </w:r>
      <w:r w:rsidR="00216F1F">
        <w:rPr>
          <w:color w:val="000000" w:themeColor="text1"/>
        </w:rPr>
        <w:t xml:space="preserve"> </w:t>
      </w:r>
      <w:r w:rsidRPr="00F40226" w:rsidR="0089735C">
        <w:rPr>
          <w:shd w:val="clear" w:color="auto" w:fill="FFFFFF"/>
        </w:rPr>
        <w:t>the</w:t>
      </w:r>
      <w:r w:rsidRPr="00F40226" w:rsidR="00C27DC3">
        <w:rPr>
          <w:shd w:val="clear" w:color="auto" w:fill="FFFFFF"/>
        </w:rPr>
        <w:t xml:space="preserve"> PUCO “must explain its decisions”</w:t>
      </w:r>
      <w:r w:rsidRPr="00F40226" w:rsidR="0089735C">
        <w:t xml:space="preserve"> </w:t>
      </w:r>
      <w:r w:rsidR="00961A19">
        <w:t xml:space="preserve">and </w:t>
      </w:r>
      <w:r w:rsidR="00131789">
        <w:rPr>
          <w:shd w:val="clear" w:color="auto" w:fill="FFFFFF"/>
        </w:rPr>
        <w:t>cannot make</w:t>
      </w:r>
      <w:r w:rsidR="0040764B">
        <w:rPr>
          <w:shd w:val="clear" w:color="auto" w:fill="FFFFFF"/>
        </w:rPr>
        <w:t xml:space="preserve"> </w:t>
      </w:r>
      <w:r w:rsidR="00F83512">
        <w:rPr>
          <w:shd w:val="clear" w:color="auto" w:fill="FFFFFF"/>
        </w:rPr>
        <w:t>“</w:t>
      </w:r>
      <w:r w:rsidRPr="00F40226" w:rsidR="0089735C">
        <w:rPr>
          <w:shd w:val="clear" w:color="auto" w:fill="FFFFFF"/>
        </w:rPr>
        <w:t>summary rulings.</w:t>
      </w:r>
      <w:r w:rsidR="00F83512">
        <w:rPr>
          <w:shd w:val="clear" w:color="auto" w:fill="FFFFFF"/>
        </w:rPr>
        <w:t>”</w:t>
      </w:r>
      <w:r>
        <w:rPr>
          <w:rStyle w:val="FootnoteReference"/>
          <w:color w:val="000000" w:themeColor="text1"/>
          <w:shd w:val="clear" w:color="auto" w:fill="FFFFFF"/>
        </w:rPr>
        <w:footnoteReference w:id="15"/>
      </w:r>
      <w:r w:rsidRPr="00F40226" w:rsidR="0089735C">
        <w:rPr>
          <w:shd w:val="clear" w:color="auto" w:fill="FFFFFF"/>
        </w:rPr>
        <w:t xml:space="preserve"> </w:t>
      </w:r>
    </w:p>
    <w:p w:rsidR="002A32DA" w:rsidP="00961A19" w14:paraId="55497C1D" w14:textId="24E72CCE">
      <w:pPr>
        <w:spacing w:line="480" w:lineRule="auto"/>
        <w:ind w:firstLine="720"/>
        <w:rPr>
          <w:color w:val="000000" w:themeColor="text1"/>
          <w:shd w:val="clear" w:color="auto" w:fill="FFFFFF"/>
        </w:rPr>
      </w:pPr>
      <w:r w:rsidRPr="00127D95">
        <w:rPr>
          <w:color w:val="000000" w:themeColor="text1"/>
          <w:shd w:val="clear" w:color="auto" w:fill="FFFFFF"/>
        </w:rPr>
        <w:t xml:space="preserve">The </w:t>
      </w:r>
      <w:r w:rsidR="00925AB7">
        <w:rPr>
          <w:color w:val="000000" w:themeColor="text1"/>
          <w:shd w:val="clear" w:color="auto" w:fill="FFFFFF"/>
        </w:rPr>
        <w:t>PUCO</w:t>
      </w:r>
      <w:r w:rsidRPr="00127D95">
        <w:rPr>
          <w:color w:val="000000" w:themeColor="text1"/>
          <w:shd w:val="clear" w:color="auto" w:fill="FFFFFF"/>
        </w:rPr>
        <w:t xml:space="preserve"> Finding and Order violates </w:t>
      </w:r>
      <w:r w:rsidR="00DE24AA">
        <w:rPr>
          <w:color w:val="000000" w:themeColor="text1"/>
          <w:shd w:val="clear" w:color="auto" w:fill="FFFFFF"/>
        </w:rPr>
        <w:t xml:space="preserve">R.C. 4903.09 as applied in </w:t>
      </w:r>
      <w:r w:rsidR="00546FED">
        <w:rPr>
          <w:color w:val="000000" w:themeColor="text1"/>
          <w:shd w:val="clear" w:color="auto" w:fill="FFFFFF"/>
        </w:rPr>
        <w:t xml:space="preserve">binding </w:t>
      </w:r>
      <w:r w:rsidR="00D82A38">
        <w:rPr>
          <w:color w:val="000000" w:themeColor="text1"/>
          <w:shd w:val="clear" w:color="auto" w:fill="FFFFFF"/>
        </w:rPr>
        <w:t>Supreme Court precedent</w:t>
      </w:r>
      <w:r w:rsidRPr="00127D95" w:rsidR="00557E2F">
        <w:rPr>
          <w:color w:val="000000" w:themeColor="text1"/>
          <w:shd w:val="clear" w:color="auto" w:fill="FFFFFF"/>
        </w:rPr>
        <w:t xml:space="preserve">. </w:t>
      </w:r>
      <w:r w:rsidRPr="00127D95" w:rsidR="00884302">
        <w:rPr>
          <w:color w:val="000000" w:themeColor="text1"/>
          <w:shd w:val="clear" w:color="auto" w:fill="FFFFFF"/>
        </w:rPr>
        <w:t xml:space="preserve">OCC </w:t>
      </w:r>
      <w:r w:rsidRPr="00127D95" w:rsidR="001B2AB2">
        <w:rPr>
          <w:color w:val="000000" w:themeColor="text1"/>
          <w:shd w:val="clear" w:color="auto" w:fill="FFFFFF"/>
        </w:rPr>
        <w:t>recommended th</w:t>
      </w:r>
      <w:r w:rsidR="00DD27AC">
        <w:rPr>
          <w:color w:val="000000" w:themeColor="text1"/>
          <w:shd w:val="clear" w:color="auto" w:fill="FFFFFF"/>
        </w:rPr>
        <w:t xml:space="preserve">e PUCO modify O.A.C. 4901-1-10(C) to </w:t>
      </w:r>
      <w:r>
        <w:rPr>
          <w:color w:val="000000" w:themeColor="text1"/>
          <w:shd w:val="clear" w:color="auto" w:fill="FFFFFF"/>
        </w:rPr>
        <w:t>recognize Staff as a party for purposes of the prohibition</w:t>
      </w:r>
      <w:r w:rsidR="00182921">
        <w:rPr>
          <w:color w:val="000000" w:themeColor="text1"/>
          <w:shd w:val="clear" w:color="auto" w:fill="FFFFFF"/>
        </w:rPr>
        <w:t>s</w:t>
      </w:r>
      <w:r>
        <w:rPr>
          <w:color w:val="000000" w:themeColor="text1"/>
          <w:shd w:val="clear" w:color="auto" w:fill="FFFFFF"/>
        </w:rPr>
        <w:t xml:space="preserve"> in O.A.C. 4901-1-09 on </w:t>
      </w:r>
      <w:r w:rsidR="00182921">
        <w:rPr>
          <w:color w:val="000000" w:themeColor="text1"/>
          <w:shd w:val="clear" w:color="auto" w:fill="FFFFFF"/>
        </w:rPr>
        <w:t xml:space="preserve">certain </w:t>
      </w:r>
      <w:r>
        <w:rPr>
          <w:color w:val="000000" w:themeColor="text1"/>
          <w:shd w:val="clear" w:color="auto" w:fill="FFFFFF"/>
        </w:rPr>
        <w:t>ex parte communication</w:t>
      </w:r>
      <w:r w:rsidR="00053930">
        <w:rPr>
          <w:color w:val="000000" w:themeColor="text1"/>
          <w:shd w:val="clear" w:color="auto" w:fill="FFFFFF"/>
        </w:rPr>
        <w:t>s</w:t>
      </w:r>
      <w:r>
        <w:rPr>
          <w:color w:val="000000" w:themeColor="text1"/>
          <w:shd w:val="clear" w:color="auto" w:fill="FFFFFF"/>
        </w:rPr>
        <w:t>.</w:t>
      </w:r>
      <w:r>
        <w:rPr>
          <w:rStyle w:val="FootnoteReference"/>
          <w:color w:val="000000" w:themeColor="text1"/>
          <w:shd w:val="clear" w:color="auto" w:fill="FFFFFF"/>
        </w:rPr>
        <w:footnoteReference w:id="16"/>
      </w:r>
      <w:r>
        <w:rPr>
          <w:color w:val="000000" w:themeColor="text1"/>
          <w:shd w:val="clear" w:color="auto" w:fill="FFFFFF"/>
        </w:rPr>
        <w:t xml:space="preserve"> The PUCO did not address OCC’s argument</w:t>
      </w:r>
      <w:r w:rsidR="00182921">
        <w:rPr>
          <w:color w:val="000000" w:themeColor="text1"/>
          <w:shd w:val="clear" w:color="auto" w:fill="FFFFFF"/>
        </w:rPr>
        <w:t>s in</w:t>
      </w:r>
      <w:r w:rsidR="00CD60E6">
        <w:rPr>
          <w:color w:val="000000" w:themeColor="text1"/>
          <w:shd w:val="clear" w:color="auto" w:fill="FFFFFF"/>
        </w:rPr>
        <w:t xml:space="preserve"> any substantive manner</w:t>
      </w:r>
      <w:r>
        <w:rPr>
          <w:color w:val="000000" w:themeColor="text1"/>
          <w:shd w:val="clear" w:color="auto" w:fill="FFFFFF"/>
        </w:rPr>
        <w:t>. Instead, the PUCO stated only that “Because of Staff’s unique role and responsibilities, the recommendations to prohibit Staff from ex parte communications with the ALJ or Commissioners…are, therefore, denied.”</w:t>
      </w:r>
      <w:r>
        <w:rPr>
          <w:rStyle w:val="FootnoteReference"/>
          <w:color w:val="000000" w:themeColor="text1"/>
          <w:shd w:val="clear" w:color="auto" w:fill="FFFFFF"/>
        </w:rPr>
        <w:footnoteReference w:id="17"/>
      </w:r>
      <w:r>
        <w:rPr>
          <w:color w:val="000000" w:themeColor="text1"/>
          <w:shd w:val="clear" w:color="auto" w:fill="FFFFFF"/>
        </w:rPr>
        <w:t xml:space="preserve"> This is </w:t>
      </w:r>
      <w:r w:rsidR="00CD60E6">
        <w:rPr>
          <w:color w:val="000000" w:themeColor="text1"/>
          <w:shd w:val="clear" w:color="auto" w:fill="FFFFFF"/>
        </w:rPr>
        <w:t>the type of</w:t>
      </w:r>
      <w:r>
        <w:rPr>
          <w:color w:val="000000" w:themeColor="text1"/>
          <w:shd w:val="clear" w:color="auto" w:fill="FFFFFF"/>
        </w:rPr>
        <w:t xml:space="preserve"> “summary ruling,” which R.C. 4903.09 prohibits</w:t>
      </w:r>
      <w:r w:rsidR="00B74641">
        <w:rPr>
          <w:color w:val="000000" w:themeColor="text1"/>
          <w:shd w:val="clear" w:color="auto" w:fill="FFFFFF"/>
        </w:rPr>
        <w:t>,</w:t>
      </w:r>
      <w:r>
        <w:rPr>
          <w:rStyle w:val="FootnoteReference"/>
          <w:color w:val="000000" w:themeColor="text1"/>
          <w:shd w:val="clear" w:color="auto" w:fill="FFFFFF"/>
        </w:rPr>
        <w:footnoteReference w:id="18"/>
      </w:r>
      <w:r w:rsidR="00B74641">
        <w:rPr>
          <w:color w:val="000000" w:themeColor="text1"/>
          <w:shd w:val="clear" w:color="auto" w:fill="FFFFFF"/>
        </w:rPr>
        <w:t xml:space="preserve"> because the PUCO did not substantiate its claim that PUCO Staff’s role is unique from that of other parties, especially concerning ex parte communications. </w:t>
      </w:r>
    </w:p>
    <w:p w:rsidR="00402ED9" w:rsidP="00B74641" w14:paraId="5E853D53" w14:textId="3F382A6E">
      <w:pPr>
        <w:spacing w:line="480" w:lineRule="auto"/>
        <w:ind w:firstLine="720"/>
        <w:rPr>
          <w:color w:val="000000" w:themeColor="text1"/>
          <w:shd w:val="clear" w:color="auto" w:fill="FFFFFF"/>
        </w:rPr>
      </w:pPr>
      <w:r>
        <w:rPr>
          <w:color w:val="000000" w:themeColor="text1"/>
          <w:shd w:val="clear" w:color="auto" w:fill="FFFFFF"/>
        </w:rPr>
        <w:t>The only “unique role and responsibilities” that the PUCO identified are those functionally shared by other parties. The PUCO noted</w:t>
      </w:r>
      <w:r w:rsidR="00053930">
        <w:rPr>
          <w:color w:val="000000" w:themeColor="text1"/>
          <w:shd w:val="clear" w:color="auto" w:fill="FFFFFF"/>
        </w:rPr>
        <w:t xml:space="preserve"> that</w:t>
      </w:r>
      <w:r>
        <w:rPr>
          <w:color w:val="000000" w:themeColor="text1"/>
          <w:shd w:val="clear" w:color="auto" w:fill="FFFFFF"/>
        </w:rPr>
        <w:t xml:space="preserve"> Staff is required, in many cases, to file a report of investigation, which may be subject to motions to strike, and to testify if subpoenaed.</w:t>
      </w:r>
      <w:r>
        <w:rPr>
          <w:rStyle w:val="FootnoteReference"/>
          <w:color w:val="000000" w:themeColor="text1"/>
          <w:shd w:val="clear" w:color="auto" w:fill="FFFFFF"/>
        </w:rPr>
        <w:footnoteReference w:id="19"/>
      </w:r>
      <w:r>
        <w:rPr>
          <w:color w:val="000000" w:themeColor="text1"/>
          <w:shd w:val="clear" w:color="auto" w:fill="FFFFFF"/>
        </w:rPr>
        <w:t xml:space="preserve"> But,</w:t>
      </w:r>
      <w:r w:rsidR="00DF3208">
        <w:rPr>
          <w:color w:val="000000" w:themeColor="text1"/>
          <w:shd w:val="clear" w:color="auto" w:fill="FFFFFF"/>
        </w:rPr>
        <w:t xml:space="preserve"> these </w:t>
      </w:r>
      <w:r w:rsidR="00182921">
        <w:rPr>
          <w:color w:val="000000" w:themeColor="text1"/>
          <w:shd w:val="clear" w:color="auto" w:fill="FFFFFF"/>
        </w:rPr>
        <w:t>functions</w:t>
      </w:r>
      <w:r w:rsidR="00DF3208">
        <w:rPr>
          <w:color w:val="000000" w:themeColor="text1"/>
          <w:shd w:val="clear" w:color="auto" w:fill="FFFFFF"/>
        </w:rPr>
        <w:t xml:space="preserve"> are not unique to Staff. </w:t>
      </w:r>
    </w:p>
    <w:p w:rsidR="00B74641" w:rsidP="00B74641" w14:paraId="466AB669" w14:textId="0A2252B7">
      <w:pPr>
        <w:spacing w:line="480" w:lineRule="auto"/>
        <w:ind w:firstLine="720"/>
        <w:rPr>
          <w:color w:val="000000" w:themeColor="text1"/>
          <w:shd w:val="clear" w:color="auto" w:fill="FFFFFF"/>
        </w:rPr>
      </w:pPr>
      <w:r>
        <w:rPr>
          <w:color w:val="000000" w:themeColor="text1"/>
          <w:shd w:val="clear" w:color="auto" w:fill="FFFFFF"/>
        </w:rPr>
        <w:t xml:space="preserve">A report of investigation states Staff’s position and encourages the PUCO to adopt it. Other parties </w:t>
      </w:r>
      <w:r w:rsidR="00182921">
        <w:rPr>
          <w:color w:val="000000" w:themeColor="text1"/>
          <w:shd w:val="clear" w:color="auto" w:fill="FFFFFF"/>
        </w:rPr>
        <w:t>encourage the PUCO to adopt their positions</w:t>
      </w:r>
      <w:r>
        <w:rPr>
          <w:color w:val="000000" w:themeColor="text1"/>
          <w:shd w:val="clear" w:color="auto" w:fill="FFFFFF"/>
        </w:rPr>
        <w:t>,</w:t>
      </w:r>
      <w:r w:rsidR="00182921">
        <w:rPr>
          <w:color w:val="000000" w:themeColor="text1"/>
          <w:shd w:val="clear" w:color="auto" w:fill="FFFFFF"/>
        </w:rPr>
        <w:t xml:space="preserve"> too,</w:t>
      </w:r>
      <w:r>
        <w:rPr>
          <w:color w:val="000000" w:themeColor="text1"/>
          <w:shd w:val="clear" w:color="auto" w:fill="FFFFFF"/>
        </w:rPr>
        <w:t xml:space="preserve"> by filing briefs and comments. Like Staff’s investigation reports, briefs and comments are subject to motions to strike. And other parties may be required to respond to subpoenas by </w:t>
      </w:r>
      <w:r>
        <w:rPr>
          <w:color w:val="000000" w:themeColor="text1"/>
          <w:shd w:val="clear" w:color="auto" w:fill="FFFFFF"/>
        </w:rPr>
        <w:t>proffering</w:t>
      </w:r>
      <w:r>
        <w:rPr>
          <w:color w:val="000000" w:themeColor="text1"/>
          <w:shd w:val="clear" w:color="auto" w:fill="FFFFFF"/>
        </w:rPr>
        <w:t xml:space="preserve"> witnesses to testify at hearing, just as Staff must. The aspects of Staff’s role the PUCO identified as unique are effectively shared by other parties.</w:t>
      </w:r>
      <w:r w:rsidR="00EB5ECE">
        <w:rPr>
          <w:color w:val="000000" w:themeColor="text1"/>
          <w:shd w:val="clear" w:color="auto" w:fill="FFFFFF"/>
        </w:rPr>
        <w:t xml:space="preserve"> </w:t>
      </w:r>
      <w:r>
        <w:rPr>
          <w:color w:val="000000" w:themeColor="text1"/>
          <w:shd w:val="clear" w:color="auto" w:fill="FFFFFF"/>
        </w:rPr>
        <w:t xml:space="preserve">So, the </w:t>
      </w:r>
      <w:r w:rsidR="00EB5ECE">
        <w:rPr>
          <w:color w:val="000000" w:themeColor="text1"/>
          <w:shd w:val="clear" w:color="auto" w:fill="FFFFFF"/>
        </w:rPr>
        <w:t>Finding and</w:t>
      </w:r>
      <w:r>
        <w:rPr>
          <w:color w:val="000000" w:themeColor="text1"/>
          <w:shd w:val="clear" w:color="auto" w:fill="FFFFFF"/>
        </w:rPr>
        <w:t xml:space="preserve"> Order fails to substantiate its only reason (that Staff has a unique role and responsibility) for denying OCC’s recommendation that PUCO Staff be prohibited from certain ex parte communications. This makes the </w:t>
      </w:r>
      <w:r w:rsidR="00EB5ECE">
        <w:rPr>
          <w:color w:val="000000" w:themeColor="text1"/>
          <w:shd w:val="clear" w:color="auto" w:fill="FFFFFF"/>
        </w:rPr>
        <w:t>Finding and</w:t>
      </w:r>
      <w:r>
        <w:rPr>
          <w:color w:val="000000" w:themeColor="text1"/>
          <w:shd w:val="clear" w:color="auto" w:fill="FFFFFF"/>
        </w:rPr>
        <w:t xml:space="preserve"> Order a “summary ruling,” impermissible per R.C. 4903.09.</w:t>
      </w:r>
    </w:p>
    <w:p w:rsidR="008F47E1" w:rsidP="00B74641" w14:paraId="6A006F8E" w14:textId="1700680A">
      <w:pPr>
        <w:spacing w:line="480" w:lineRule="auto"/>
        <w:ind w:firstLine="720"/>
        <w:rPr>
          <w:color w:val="000000" w:themeColor="text1"/>
          <w:shd w:val="clear" w:color="auto" w:fill="FFFFFF"/>
        </w:rPr>
      </w:pPr>
      <w:r>
        <w:rPr>
          <w:color w:val="000000" w:themeColor="text1"/>
          <w:shd w:val="clear" w:color="auto" w:fill="FFFFFF"/>
        </w:rPr>
        <w:t xml:space="preserve">The </w:t>
      </w:r>
      <w:r w:rsidR="00EB5ECE">
        <w:rPr>
          <w:color w:val="000000" w:themeColor="text1"/>
          <w:shd w:val="clear" w:color="auto" w:fill="FFFFFF"/>
        </w:rPr>
        <w:t>Finding and</w:t>
      </w:r>
      <w:r>
        <w:rPr>
          <w:color w:val="000000" w:themeColor="text1"/>
          <w:shd w:val="clear" w:color="auto" w:fill="FFFFFF"/>
        </w:rPr>
        <w:t xml:space="preserve"> Order also does not address why any purported uniqueness </w:t>
      </w:r>
      <w:r w:rsidR="00EB5ECE">
        <w:rPr>
          <w:color w:val="000000" w:themeColor="text1"/>
          <w:shd w:val="clear" w:color="auto" w:fill="FFFFFF"/>
        </w:rPr>
        <w:t xml:space="preserve">of </w:t>
      </w:r>
      <w:r>
        <w:rPr>
          <w:color w:val="000000" w:themeColor="text1"/>
          <w:shd w:val="clear" w:color="auto" w:fill="FFFFFF"/>
        </w:rPr>
        <w:t>Staff’s role justifies its exemption from limits on ex parte communication. The purpose of limiting ex parte communication is to “prevent a party from gaining an unfair advantage over an opposing party through…communications with the decision</w:t>
      </w:r>
      <w:r w:rsidR="00B00178">
        <w:rPr>
          <w:color w:val="000000" w:themeColor="text1"/>
          <w:shd w:val="clear" w:color="auto" w:fill="FFFFFF"/>
        </w:rPr>
        <w:t xml:space="preserve"> </w:t>
      </w:r>
      <w:r>
        <w:rPr>
          <w:color w:val="000000" w:themeColor="text1"/>
          <w:shd w:val="clear" w:color="auto" w:fill="FFFFFF"/>
        </w:rPr>
        <w:t>maker.”</w:t>
      </w:r>
      <w:r>
        <w:rPr>
          <w:rStyle w:val="FootnoteReference"/>
          <w:color w:val="000000" w:themeColor="text1"/>
          <w:shd w:val="clear" w:color="auto" w:fill="FFFFFF"/>
        </w:rPr>
        <w:footnoteReference w:id="20"/>
      </w:r>
      <w:r>
        <w:rPr>
          <w:color w:val="000000" w:themeColor="text1"/>
          <w:shd w:val="clear" w:color="auto" w:fill="FFFFFF"/>
        </w:rPr>
        <w:t xml:space="preserve"> This unfair advantage occurs when a litigant can persuade a decision</w:t>
      </w:r>
      <w:r w:rsidR="00B00178">
        <w:rPr>
          <w:color w:val="000000" w:themeColor="text1"/>
          <w:shd w:val="clear" w:color="auto" w:fill="FFFFFF"/>
        </w:rPr>
        <w:t xml:space="preserve"> </w:t>
      </w:r>
      <w:r>
        <w:rPr>
          <w:color w:val="000000" w:themeColor="text1"/>
          <w:shd w:val="clear" w:color="auto" w:fill="FFFFFF"/>
        </w:rPr>
        <w:t>maker using additional or different arguments than those filed publicly, without giving other parties an opportunity to respond with counterarguments or evidence. Again,</w:t>
      </w:r>
      <w:r w:rsidR="00D05AEE">
        <w:rPr>
          <w:color w:val="000000" w:themeColor="text1"/>
          <w:shd w:val="clear" w:color="auto" w:fill="FFFFFF"/>
        </w:rPr>
        <w:t xml:space="preserve"> the</w:t>
      </w:r>
      <w:r>
        <w:rPr>
          <w:color w:val="000000" w:themeColor="text1"/>
          <w:shd w:val="clear" w:color="auto" w:fill="FFFFFF"/>
        </w:rPr>
        <w:t xml:space="preserve"> PUCO Staff’s role in PUCO proceedings is to take a position and advocate that the PUCO adopt it. </w:t>
      </w:r>
    </w:p>
    <w:p w:rsidR="00B74641" w:rsidRPr="00B74641" w:rsidP="00B74641" w14:paraId="12E41A1A" w14:textId="6012D6B0">
      <w:pPr>
        <w:spacing w:line="480" w:lineRule="auto"/>
        <w:ind w:firstLine="720"/>
        <w:rPr>
          <w:color w:val="000000" w:themeColor="text1"/>
          <w:shd w:val="clear" w:color="auto" w:fill="FFFFFF"/>
        </w:rPr>
      </w:pPr>
      <w:r>
        <w:rPr>
          <w:color w:val="000000" w:themeColor="text1"/>
          <w:shd w:val="clear" w:color="auto" w:fill="FFFFFF"/>
        </w:rPr>
        <w:t>It would be unfair for the</w:t>
      </w:r>
      <w:r w:rsidR="00D05AEE">
        <w:rPr>
          <w:color w:val="000000" w:themeColor="text1"/>
          <w:shd w:val="clear" w:color="auto" w:fill="FFFFFF"/>
        </w:rPr>
        <w:t xml:space="preserve"> PUCO</w:t>
      </w:r>
      <w:r>
        <w:rPr>
          <w:color w:val="000000" w:themeColor="text1"/>
          <w:shd w:val="clear" w:color="auto" w:fill="FFFFFF"/>
        </w:rPr>
        <w:t xml:space="preserve"> Staff (and Staff alone) to advance its positions using off-record arguments to which no party can reply. None of this is changed by the (so-called) uniqueness the </w:t>
      </w:r>
      <w:r w:rsidR="00D05AEE">
        <w:rPr>
          <w:color w:val="000000" w:themeColor="text1"/>
          <w:shd w:val="clear" w:color="auto" w:fill="FFFFFF"/>
        </w:rPr>
        <w:t>Finding and</w:t>
      </w:r>
      <w:r>
        <w:rPr>
          <w:color w:val="000000" w:themeColor="text1"/>
          <w:shd w:val="clear" w:color="auto" w:fill="FFFFFF"/>
        </w:rPr>
        <w:t xml:space="preserve"> Order attributed to PUCO Staff’s role. For failing to discuss why PUCO Staff’s role </w:t>
      </w:r>
      <w:r w:rsidR="00182921">
        <w:rPr>
          <w:color w:val="000000" w:themeColor="text1"/>
          <w:shd w:val="clear" w:color="auto" w:fill="FFFFFF"/>
        </w:rPr>
        <w:t>justifies</w:t>
      </w:r>
      <w:r>
        <w:rPr>
          <w:color w:val="000000" w:themeColor="text1"/>
          <w:shd w:val="clear" w:color="auto" w:fill="FFFFFF"/>
        </w:rPr>
        <w:t xml:space="preserve"> ex parte communication between Staff and decision</w:t>
      </w:r>
      <w:r w:rsidR="00B00178">
        <w:rPr>
          <w:color w:val="000000" w:themeColor="text1"/>
          <w:shd w:val="clear" w:color="auto" w:fill="FFFFFF"/>
        </w:rPr>
        <w:t xml:space="preserve"> </w:t>
      </w:r>
      <w:r>
        <w:rPr>
          <w:color w:val="000000" w:themeColor="text1"/>
          <w:shd w:val="clear" w:color="auto" w:fill="FFFFFF"/>
        </w:rPr>
        <w:t xml:space="preserve">makers, the Opinion &amp; Order is a “summary ruling” that R.C. 4903.09 prohibits. </w:t>
      </w:r>
    </w:p>
    <w:p w:rsidR="00350036" w:rsidRPr="00F40226" w:rsidP="001C0BE2" w14:paraId="337BCE20" w14:textId="1385ECF4">
      <w:pPr>
        <w:spacing w:line="480" w:lineRule="auto"/>
        <w:ind w:firstLine="720"/>
        <w:rPr>
          <w:i/>
          <w:iCs/>
        </w:rPr>
      </w:pPr>
      <w:r>
        <w:rPr>
          <w:color w:val="000000" w:themeColor="text1"/>
          <w:shd w:val="clear" w:color="auto" w:fill="FFFFFF"/>
        </w:rPr>
        <w:t xml:space="preserve">R.C. 4903.09 and binding </w:t>
      </w:r>
      <w:r w:rsidRPr="00F40226" w:rsidR="0089735C">
        <w:rPr>
          <w:color w:val="000000" w:themeColor="text1"/>
          <w:shd w:val="clear" w:color="auto" w:fill="FFFFFF"/>
        </w:rPr>
        <w:t>Supreme Court of Ohio precedent require</w:t>
      </w:r>
      <w:r w:rsidR="0040764B">
        <w:rPr>
          <w:color w:val="000000" w:themeColor="text1"/>
          <w:shd w:val="clear" w:color="auto" w:fill="FFFFFF"/>
        </w:rPr>
        <w:t>s</w:t>
      </w:r>
      <w:r w:rsidRPr="00F40226" w:rsidR="0089735C">
        <w:rPr>
          <w:color w:val="000000" w:themeColor="text1"/>
          <w:shd w:val="clear" w:color="auto" w:fill="FFFFFF"/>
        </w:rPr>
        <w:t xml:space="preserve"> the </w:t>
      </w:r>
      <w:r w:rsidR="00925AB7">
        <w:rPr>
          <w:color w:val="000000" w:themeColor="text1"/>
          <w:shd w:val="clear" w:color="auto" w:fill="FFFFFF"/>
        </w:rPr>
        <w:t>PUCO</w:t>
      </w:r>
      <w:r w:rsidRPr="00F40226" w:rsidR="0089735C">
        <w:rPr>
          <w:color w:val="000000" w:themeColor="text1"/>
          <w:shd w:val="clear" w:color="auto" w:fill="FFFFFF"/>
        </w:rPr>
        <w:t xml:space="preserve"> to address OCC’s arguments. </w:t>
      </w:r>
      <w:r>
        <w:rPr>
          <w:color w:val="000000" w:themeColor="text1"/>
          <w:shd w:val="clear" w:color="auto" w:fill="FFFFFF"/>
        </w:rPr>
        <w:t xml:space="preserve">The </w:t>
      </w:r>
      <w:r w:rsidR="00925AB7">
        <w:rPr>
          <w:color w:val="000000" w:themeColor="text1"/>
          <w:shd w:val="clear" w:color="auto" w:fill="FFFFFF"/>
        </w:rPr>
        <w:t>PUCO</w:t>
      </w:r>
      <w:r>
        <w:rPr>
          <w:color w:val="000000" w:themeColor="text1"/>
          <w:shd w:val="clear" w:color="auto" w:fill="FFFFFF"/>
        </w:rPr>
        <w:t xml:space="preserve"> did not. </w:t>
      </w:r>
      <w:r w:rsidRPr="00F40226" w:rsidR="004077ED">
        <w:rPr>
          <w:color w:val="000000" w:themeColor="text1"/>
          <w:shd w:val="clear" w:color="auto" w:fill="FFFFFF"/>
        </w:rPr>
        <w:t>Instead, the</w:t>
      </w:r>
      <w:r w:rsidRPr="00F40226" w:rsidR="00884302">
        <w:rPr>
          <w:color w:val="000000" w:themeColor="text1"/>
          <w:shd w:val="clear" w:color="auto" w:fill="FFFFFF"/>
        </w:rPr>
        <w:t xml:space="preserve"> </w:t>
      </w:r>
      <w:r w:rsidR="00925AB7">
        <w:rPr>
          <w:color w:val="000000" w:themeColor="text1"/>
          <w:shd w:val="clear" w:color="auto" w:fill="FFFFFF"/>
        </w:rPr>
        <w:t>PUCO</w:t>
      </w:r>
      <w:r w:rsidRPr="00F40226" w:rsidR="00884302">
        <w:rPr>
          <w:color w:val="000000" w:themeColor="text1"/>
          <w:shd w:val="clear" w:color="auto" w:fill="FFFFFF"/>
        </w:rPr>
        <w:t xml:space="preserve"> </w:t>
      </w:r>
      <w:r w:rsidRPr="00F40226" w:rsidR="0089735C">
        <w:rPr>
          <w:color w:val="000000" w:themeColor="text1"/>
          <w:shd w:val="clear" w:color="auto" w:fill="FFFFFF"/>
        </w:rPr>
        <w:t>ignored OCC’s positions</w:t>
      </w:r>
      <w:r w:rsidR="009B29AF">
        <w:rPr>
          <w:color w:val="000000" w:themeColor="text1"/>
          <w:shd w:val="clear" w:color="auto" w:fill="FFFFFF"/>
        </w:rPr>
        <w:t xml:space="preserve"> </w:t>
      </w:r>
      <w:r w:rsidR="00925AB7">
        <w:rPr>
          <w:color w:val="000000" w:themeColor="text1"/>
          <w:shd w:val="clear" w:color="auto" w:fill="FFFFFF"/>
        </w:rPr>
        <w:t>a</w:t>
      </w:r>
      <w:r w:rsidR="009B29AF">
        <w:rPr>
          <w:color w:val="000000" w:themeColor="text1"/>
          <w:shd w:val="clear" w:color="auto" w:fill="FFFFFF"/>
        </w:rPr>
        <w:t xml:space="preserve">nd thereby ignored this important </w:t>
      </w:r>
      <w:r w:rsidR="00925AB7">
        <w:rPr>
          <w:color w:val="000000" w:themeColor="text1"/>
          <w:shd w:val="clear" w:color="auto" w:fill="FFFFFF"/>
        </w:rPr>
        <w:t>issue for Ohio consumers</w:t>
      </w:r>
      <w:r w:rsidRPr="00F40226" w:rsidR="00884302">
        <w:rPr>
          <w:color w:val="000000" w:themeColor="text1"/>
          <w:shd w:val="clear" w:color="auto" w:fill="FFFFFF"/>
        </w:rPr>
        <w:t xml:space="preserve">. </w:t>
      </w:r>
      <w:bookmarkStart w:id="9" w:name="_Hlk150953824"/>
      <w:r w:rsidRPr="00F40226" w:rsidR="0089735C">
        <w:rPr>
          <w:color w:val="000000" w:themeColor="text1"/>
        </w:rPr>
        <w:t xml:space="preserve">The </w:t>
      </w:r>
      <w:r w:rsidR="00925AB7">
        <w:rPr>
          <w:color w:val="000000" w:themeColor="text1"/>
        </w:rPr>
        <w:t>PUCO’s</w:t>
      </w:r>
      <w:r w:rsidRPr="00F40226" w:rsidR="0089735C">
        <w:rPr>
          <w:color w:val="000000" w:themeColor="text1"/>
        </w:rPr>
        <w:t xml:space="preserve"> Finding and Order </w:t>
      </w:r>
      <w:r w:rsidRPr="00F40226" w:rsidR="0089735C">
        <w:t xml:space="preserve">is </w:t>
      </w:r>
      <w:r>
        <w:t xml:space="preserve">unreasonable and </w:t>
      </w:r>
      <w:r w:rsidRPr="00F40226" w:rsidR="0089735C">
        <w:t>unlawful. Rehearing should be granted.</w:t>
      </w:r>
      <w:bookmarkEnd w:id="9"/>
    </w:p>
    <w:p w:rsidR="00801376" w:rsidRPr="00F40226" w:rsidP="001972BD" w14:paraId="13823C1C" w14:textId="3A24DE95">
      <w:pPr>
        <w:pStyle w:val="Heading1"/>
      </w:pPr>
      <w:r w:rsidRPr="00F40226">
        <w:t>Conclusion</w:t>
      </w:r>
      <w:r w:rsidRPr="00F40226" w:rsidR="007327BD">
        <w:t xml:space="preserve"> </w:t>
      </w:r>
    </w:p>
    <w:p w:rsidR="001C7B58" w:rsidP="00F84215" w14:paraId="7BF39DFB" w14:textId="458EEFDC">
      <w:pPr>
        <w:spacing w:line="480" w:lineRule="auto"/>
        <w:ind w:firstLine="720"/>
        <w:rPr>
          <w:color w:val="000000" w:themeColor="text1"/>
        </w:rPr>
      </w:pPr>
      <w:r w:rsidRPr="00F40226">
        <w:t>T</w:t>
      </w:r>
      <w:r w:rsidRPr="00F40226" w:rsidR="00946658">
        <w:t xml:space="preserve">o </w:t>
      </w:r>
      <w:r w:rsidR="00925AB7">
        <w:t xml:space="preserve">ensure </w:t>
      </w:r>
      <w:r w:rsidR="00182921">
        <w:t>fair and t</w:t>
      </w:r>
      <w:r w:rsidR="00925AB7">
        <w:t>ransparent decision-making in PUCO proceedings</w:t>
      </w:r>
      <w:r w:rsidRPr="00F40226" w:rsidR="00946658">
        <w:t xml:space="preserve">, the </w:t>
      </w:r>
      <w:r w:rsidR="00925AB7">
        <w:t>PUCO</w:t>
      </w:r>
      <w:r w:rsidRPr="00F40226" w:rsidR="00946658">
        <w:t xml:space="preserve"> should grant rehearing and reject or modify the</w:t>
      </w:r>
      <w:r w:rsidRPr="00F40226">
        <w:t xml:space="preserve"> </w:t>
      </w:r>
      <w:r w:rsidRPr="00F40226" w:rsidR="00350036">
        <w:t>Finding and Order</w:t>
      </w:r>
      <w:r w:rsidRPr="00F40226" w:rsidR="00A2307A">
        <w:t xml:space="preserve"> in this case</w:t>
      </w:r>
      <w:r w:rsidRPr="00F40226" w:rsidR="00946658">
        <w:t xml:space="preserve">. The </w:t>
      </w:r>
      <w:r w:rsidR="00925AB7">
        <w:t>PUCO</w:t>
      </w:r>
      <w:r w:rsidRPr="00F40226" w:rsidR="00946658">
        <w:t xml:space="preserve"> should a</w:t>
      </w:r>
      <w:r w:rsidRPr="00F40226" w:rsidR="00F40226">
        <w:t>ccept OCC’s recommendation</w:t>
      </w:r>
      <w:r w:rsidR="00D05AEE">
        <w:t>s</w:t>
      </w:r>
      <w:r w:rsidRPr="00F40226" w:rsidR="00F40226">
        <w:t xml:space="preserve"> that </w:t>
      </w:r>
      <w:r w:rsidR="00925AB7">
        <w:t>PUCO Staff be considered a party for the purposes of ex parte communications</w:t>
      </w:r>
      <w:r w:rsidR="00F40226">
        <w:rPr>
          <w:color w:val="000000" w:themeColor="text1"/>
        </w:rPr>
        <w:t>.</w:t>
      </w:r>
    </w:p>
    <w:p w:rsidR="00C506EE" w:rsidRPr="008F12B3" w:rsidP="00CE5AC7" w14:paraId="4C337430" w14:textId="1D5B2CE2">
      <w:pPr>
        <w:spacing w:after="200" w:line="276" w:lineRule="auto"/>
        <w:ind w:left="3600" w:firstLine="720"/>
      </w:pPr>
      <w:r>
        <w:rPr>
          <w:color w:val="000000" w:themeColor="text1"/>
        </w:rPr>
        <w:t>R</w:t>
      </w:r>
      <w:r w:rsidRPr="008F12B3">
        <w:t>espectfully submitted,</w:t>
      </w:r>
    </w:p>
    <w:p w:rsidR="00C506EE" w:rsidRPr="008F12B3" w:rsidP="00C506EE" w14:paraId="4B5002D5" w14:textId="63D0DBBE">
      <w:pPr>
        <w:pStyle w:val="Footer"/>
        <w:ind w:left="4320"/>
        <w:rPr>
          <w:rFonts w:ascii="Times New Roman" w:hAnsi="Times New Roman" w:cs="Times New Roman"/>
          <w:sz w:val="24"/>
          <w:szCs w:val="24"/>
        </w:rPr>
      </w:pPr>
      <w:r>
        <w:rPr>
          <w:rFonts w:ascii="Times New Roman" w:hAnsi="Times New Roman" w:cs="Times New Roman"/>
          <w:sz w:val="24"/>
          <w:szCs w:val="24"/>
        </w:rPr>
        <w:t xml:space="preserve">Maureen </w:t>
      </w:r>
      <w:r w:rsidR="00CE5AC7">
        <w:rPr>
          <w:rFonts w:ascii="Times New Roman" w:hAnsi="Times New Roman" w:cs="Times New Roman"/>
          <w:sz w:val="24"/>
          <w:szCs w:val="24"/>
        </w:rPr>
        <w:t xml:space="preserve">R. </w:t>
      </w:r>
      <w:r>
        <w:rPr>
          <w:rFonts w:ascii="Times New Roman" w:hAnsi="Times New Roman" w:cs="Times New Roman"/>
          <w:sz w:val="24"/>
          <w:szCs w:val="24"/>
        </w:rPr>
        <w:t>Willis (0020847)</w:t>
      </w:r>
    </w:p>
    <w:p w:rsidR="00C506EE" w:rsidRPr="008F12B3" w:rsidP="00C506EE" w14:paraId="578974E0" w14:textId="77777777">
      <w:pPr>
        <w:ind w:left="4320"/>
      </w:pPr>
      <w:r w:rsidRPr="008F12B3">
        <w:t>Ohio Consumers’ Counsel</w:t>
      </w:r>
    </w:p>
    <w:p w:rsidR="00C506EE" w:rsidRPr="008F12B3" w:rsidP="00C506EE" w14:paraId="4F55AADD" w14:textId="77777777">
      <w:pPr>
        <w:tabs>
          <w:tab w:val="left" w:pos="4320"/>
        </w:tabs>
        <w:ind w:left="4320"/>
        <w:rPr>
          <w:i/>
          <w:u w:val="single"/>
        </w:rPr>
      </w:pPr>
    </w:p>
    <w:p w:rsidR="00A61BCB" w:rsidRPr="00F70FFD" w:rsidP="00A61BCB" w14:paraId="3A8B5D52" w14:textId="77777777">
      <w:pPr>
        <w:tabs>
          <w:tab w:val="left" w:pos="4320"/>
        </w:tabs>
        <w:ind w:left="4320"/>
        <w:jc w:val="both"/>
        <w:rPr>
          <w:i/>
          <w:iCs/>
          <w:u w:val="single"/>
        </w:rPr>
      </w:pPr>
      <w:r w:rsidRPr="00F70FFD">
        <w:rPr>
          <w:i/>
          <w:iCs/>
          <w:u w:val="single"/>
        </w:rPr>
        <w:t xml:space="preserve">/s/ </w:t>
      </w:r>
      <w:r>
        <w:rPr>
          <w:i/>
          <w:iCs/>
          <w:u w:val="single"/>
        </w:rPr>
        <w:t>Angela D. O’Brien</w:t>
      </w:r>
      <w:r>
        <w:rPr>
          <w:i/>
          <w:iCs/>
          <w:u w:val="single"/>
        </w:rPr>
        <w:tab/>
      </w:r>
      <w:r>
        <w:rPr>
          <w:i/>
          <w:iCs/>
          <w:u w:val="single"/>
        </w:rPr>
        <w:tab/>
      </w:r>
    </w:p>
    <w:p w:rsidR="00A61BCB" w:rsidRPr="00F70FFD" w:rsidP="00A61BCB" w14:paraId="0F87DCF9" w14:textId="77777777">
      <w:pPr>
        <w:tabs>
          <w:tab w:val="left" w:pos="4320"/>
        </w:tabs>
        <w:ind w:left="4320"/>
        <w:jc w:val="both"/>
      </w:pPr>
      <w:r>
        <w:t>Angela D. O’Brien</w:t>
      </w:r>
      <w:r w:rsidRPr="00F70FFD">
        <w:t xml:space="preserve"> (</w:t>
      </w:r>
      <w:r w:rsidRPr="004875DB">
        <w:t>0097579</w:t>
      </w:r>
      <w:r w:rsidRPr="00F70FFD">
        <w:t>)</w:t>
      </w:r>
    </w:p>
    <w:p w:rsidR="00A61BCB" w:rsidP="00A61BCB" w14:paraId="6A34E930" w14:textId="77777777">
      <w:pPr>
        <w:tabs>
          <w:tab w:val="left" w:pos="4320"/>
        </w:tabs>
        <w:ind w:left="4320"/>
        <w:jc w:val="both"/>
      </w:pPr>
      <w:r>
        <w:t>Deputy Consumers’ Counsel</w:t>
      </w:r>
    </w:p>
    <w:p w:rsidR="00A61BCB" w:rsidRPr="00F70FFD" w:rsidP="00A61BCB" w14:paraId="0AE2C124" w14:textId="77777777">
      <w:pPr>
        <w:tabs>
          <w:tab w:val="left" w:pos="4320"/>
        </w:tabs>
        <w:ind w:left="4320"/>
        <w:jc w:val="both"/>
      </w:pPr>
      <w:r w:rsidRPr="00F70FFD">
        <w:t>Counsel of Record</w:t>
      </w:r>
    </w:p>
    <w:p w:rsidR="00A61BCB" w:rsidRPr="00F70FFD" w:rsidP="00A61BCB" w14:paraId="3818285E" w14:textId="77777777">
      <w:pPr>
        <w:tabs>
          <w:tab w:val="left" w:pos="3870"/>
          <w:tab w:val="left" w:pos="4320"/>
        </w:tabs>
        <w:ind w:left="4320"/>
        <w:jc w:val="both"/>
      </w:pPr>
    </w:p>
    <w:p w:rsidR="00A61BCB" w:rsidRPr="00F70FFD" w:rsidP="00A61BCB" w14:paraId="11D17106" w14:textId="77777777">
      <w:pPr>
        <w:ind w:left="4320"/>
        <w:jc w:val="both"/>
        <w:rPr>
          <w:b/>
          <w:bCs/>
        </w:rPr>
      </w:pPr>
      <w:r w:rsidRPr="00F70FFD">
        <w:rPr>
          <w:b/>
          <w:bCs/>
        </w:rPr>
        <w:t>Office of the Ohio Consumers' Counsel</w:t>
      </w:r>
    </w:p>
    <w:p w:rsidR="00A61BCB" w:rsidRPr="00F70FFD" w:rsidP="00A61BCB" w14:paraId="2AE9A29C" w14:textId="77777777">
      <w:pPr>
        <w:ind w:left="4320"/>
        <w:jc w:val="both"/>
      </w:pPr>
      <w:r w:rsidRPr="00F70FFD">
        <w:t>65 East State Street, Suite 700</w:t>
      </w:r>
    </w:p>
    <w:p w:rsidR="00A61BCB" w:rsidRPr="00F70FFD" w:rsidP="00A61BCB" w14:paraId="601013AF" w14:textId="77777777">
      <w:pPr>
        <w:ind w:left="4320"/>
        <w:jc w:val="both"/>
      </w:pPr>
      <w:r w:rsidRPr="00F70FFD">
        <w:t>Columbus, Ohio 43215-4213</w:t>
      </w:r>
    </w:p>
    <w:p w:rsidR="00A61BCB" w:rsidRPr="00F70FFD" w:rsidP="00A61BCB" w14:paraId="63D018AF" w14:textId="77777777">
      <w:pPr>
        <w:autoSpaceDE w:val="0"/>
        <w:autoSpaceDN w:val="0"/>
        <w:adjustRightInd w:val="0"/>
        <w:ind w:left="4320"/>
        <w:jc w:val="both"/>
      </w:pPr>
      <w:r w:rsidRPr="00F70FFD">
        <w:t>Telephone: [</w:t>
      </w:r>
      <w:r>
        <w:t>O’Brien</w:t>
      </w:r>
      <w:r w:rsidRPr="00F70FFD">
        <w:t>]: (614) 466-</w:t>
      </w:r>
      <w:r>
        <w:t>9531</w:t>
      </w:r>
    </w:p>
    <w:p w:rsidR="00A61BCB" w:rsidRPr="00A61BCB" w:rsidP="00A61BCB" w14:paraId="414FD1EF" w14:textId="77777777">
      <w:pPr>
        <w:ind w:left="4320"/>
        <w:jc w:val="both"/>
        <w:rPr>
          <w:rStyle w:val="Hyperlink"/>
          <w:color w:val="0000FF"/>
        </w:rPr>
      </w:pPr>
      <w:hyperlink r:id="rId6" w:history="1">
        <w:r w:rsidRPr="00A61BCB">
          <w:rPr>
            <w:rStyle w:val="Hyperlink"/>
            <w:color w:val="0000FF"/>
          </w:rPr>
          <w:t>angela.obrien@occ.ohio.gov</w:t>
        </w:r>
      </w:hyperlink>
    </w:p>
    <w:p w:rsidR="00A61BCB" w:rsidRPr="00F70FFD" w:rsidP="00A61BCB" w14:paraId="2E3587EE" w14:textId="77777777">
      <w:pPr>
        <w:ind w:left="4320" w:hanging="4320"/>
        <w:jc w:val="both"/>
      </w:pPr>
      <w:r w:rsidRPr="00F70FFD">
        <w:tab/>
        <w:t>(willing to accept service by e-mail)</w:t>
      </w:r>
    </w:p>
    <w:p w:rsidR="00527CB3" w:rsidP="00A61BCB" w14:paraId="738E1EC6" w14:textId="56AC8196">
      <w:pPr>
        <w:jc w:val="center"/>
        <w:rPr>
          <w:b/>
          <w:bCs/>
          <w:u w:val="single"/>
        </w:rPr>
      </w:pPr>
      <w:r>
        <w:rPr>
          <w:b/>
        </w:rPr>
        <w:br w:type="page"/>
      </w:r>
      <w:r w:rsidRPr="008F12B3" w:rsidR="007F4393">
        <w:rPr>
          <w:b/>
          <w:bCs/>
          <w:u w:val="single"/>
        </w:rPr>
        <w:t>CERTIFICATE OF SERVICE</w:t>
      </w:r>
    </w:p>
    <w:p w:rsidR="00216F1F" w:rsidRPr="008F12B3" w:rsidP="00527CB3" w14:paraId="6DC14667" w14:textId="77777777">
      <w:pPr>
        <w:jc w:val="center"/>
        <w:rPr>
          <w:b/>
          <w:bCs/>
          <w:u w:val="single"/>
        </w:rPr>
      </w:pPr>
    </w:p>
    <w:p w:rsidR="00184B32" w:rsidRPr="008F12B3" w:rsidP="00C246EC" w14:paraId="34BD0240" w14:textId="7E588992">
      <w:pPr>
        <w:spacing w:line="480" w:lineRule="auto"/>
      </w:pPr>
      <w:r w:rsidRPr="008F12B3">
        <w:tab/>
        <w:t xml:space="preserve">I hereby certify that a copy of this </w:t>
      </w:r>
      <w:r w:rsidRPr="008F12B3">
        <w:rPr>
          <w:iCs/>
        </w:rPr>
        <w:t>Application for Rehearing</w:t>
      </w:r>
      <w:r w:rsidRPr="008F12B3">
        <w:t xml:space="preserve"> was served on the persons stated below</w:t>
      </w:r>
      <w:r w:rsidRPr="008F12B3">
        <w:rPr>
          <w:iCs/>
        </w:rPr>
        <w:t xml:space="preserve"> via </w:t>
      </w:r>
      <w:r w:rsidRPr="008F12B3">
        <w:t xml:space="preserve">electronic transmission, this </w:t>
      </w:r>
      <w:r w:rsidR="00C506EE">
        <w:t>17th</w:t>
      </w:r>
      <w:r w:rsidRPr="008F12B3" w:rsidR="00C246EC">
        <w:t xml:space="preserve"> </w:t>
      </w:r>
      <w:r w:rsidRPr="008F12B3">
        <w:t xml:space="preserve">day of </w:t>
      </w:r>
      <w:r w:rsidR="001618C0">
        <w:t>November</w:t>
      </w:r>
      <w:r w:rsidRPr="008F12B3">
        <w:t xml:space="preserve"> 202</w:t>
      </w:r>
      <w:r>
        <w:t>3</w:t>
      </w:r>
      <w:r w:rsidRPr="008F12B3">
        <w:t>.</w:t>
      </w:r>
    </w:p>
    <w:p w:rsidR="00527CB3" w:rsidRPr="008F12B3" w:rsidP="00527CB3" w14:paraId="507DA09D" w14:textId="60D5A0D4">
      <w:pPr>
        <w:tabs>
          <w:tab w:val="left" w:pos="4320"/>
        </w:tabs>
        <w:rPr>
          <w:i/>
          <w:iCs/>
          <w:u w:val="single"/>
        </w:rPr>
      </w:pPr>
      <w:r w:rsidRPr="008F12B3">
        <w:tab/>
      </w:r>
      <w:r w:rsidRPr="008F12B3">
        <w:rPr>
          <w:i/>
          <w:iCs/>
          <w:u w:val="single"/>
        </w:rPr>
        <w:t xml:space="preserve">/s/ </w:t>
      </w:r>
      <w:r w:rsidR="00A61BCB">
        <w:rPr>
          <w:i/>
          <w:iCs/>
          <w:u w:val="single"/>
        </w:rPr>
        <w:t>Angela D. O’Brien</w:t>
      </w:r>
      <w:r w:rsidR="00A61BCB">
        <w:rPr>
          <w:i/>
          <w:iCs/>
          <w:u w:val="single"/>
        </w:rPr>
        <w:tab/>
      </w:r>
      <w:r w:rsidR="00A61BCB">
        <w:rPr>
          <w:i/>
          <w:iCs/>
          <w:u w:val="single"/>
        </w:rPr>
        <w:tab/>
      </w:r>
    </w:p>
    <w:p w:rsidR="00527CB3" w:rsidRPr="008F12B3" w:rsidP="00527CB3" w14:paraId="7E878B36" w14:textId="664C4F02">
      <w:pPr>
        <w:tabs>
          <w:tab w:val="left" w:pos="4320"/>
        </w:tabs>
      </w:pPr>
      <w:r w:rsidRPr="008F12B3">
        <w:tab/>
      </w:r>
      <w:r w:rsidR="00A61BCB">
        <w:t>Angela D. O’Brien</w:t>
      </w:r>
    </w:p>
    <w:p w:rsidR="00527CB3" w:rsidRPr="008F12B3" w:rsidP="00C246EC" w14:paraId="317331A9" w14:textId="256EE340">
      <w:pPr>
        <w:tabs>
          <w:tab w:val="left" w:pos="4320"/>
        </w:tabs>
      </w:pPr>
      <w:r w:rsidRPr="008F12B3">
        <w:tab/>
      </w:r>
      <w:r w:rsidR="00A61BCB">
        <w:t>Deputy</w:t>
      </w:r>
      <w:r w:rsidRPr="008F12B3">
        <w:t xml:space="preserve"> Consumers’ Counsel</w:t>
      </w:r>
    </w:p>
    <w:p w:rsidR="00C246EC" w:rsidRPr="008F12B3" w:rsidP="00C246EC" w14:paraId="07AA4232" w14:textId="77777777">
      <w:pPr>
        <w:tabs>
          <w:tab w:val="left" w:pos="4320"/>
        </w:tabs>
      </w:pPr>
    </w:p>
    <w:p w:rsidR="00527CB3" w:rsidRPr="008F12B3" w:rsidP="007051B5" w14:paraId="1082BE7F" w14:textId="57C125B9">
      <w:r w:rsidRPr="008F12B3">
        <w:t>The PUCO’s e-filing system will electronically serve notice of the filing of this document on the following parties:</w:t>
      </w:r>
    </w:p>
    <w:p w:rsidR="00184B32" w:rsidRPr="008F12B3" w:rsidP="00184B32" w14:paraId="10311A87" w14:textId="4DB3F90F">
      <w:pPr>
        <w:pStyle w:val="CommentText"/>
        <w:spacing w:after="0"/>
        <w:jc w:val="center"/>
        <w:rPr>
          <w:rFonts w:ascii="Times New Roman" w:hAnsi="Times New Roman" w:cs="Times New Roman"/>
          <w:b/>
          <w:sz w:val="24"/>
          <w:szCs w:val="24"/>
          <w:u w:val="single"/>
        </w:rPr>
      </w:pPr>
      <w:bookmarkStart w:id="10" w:name="_Hlk89680211"/>
      <w:r w:rsidRPr="008F12B3">
        <w:rPr>
          <w:rFonts w:ascii="Times New Roman" w:hAnsi="Times New Roman" w:cs="Times New Roman"/>
          <w:b/>
          <w:sz w:val="24"/>
          <w:szCs w:val="24"/>
          <w:u w:val="single"/>
        </w:rPr>
        <w:t>SERVICE LIS</w:t>
      </w:r>
      <w:bookmarkEnd w:id="10"/>
      <w:r w:rsidRPr="008F12B3">
        <w:rPr>
          <w:rFonts w:ascii="Times New Roman" w:hAnsi="Times New Roman" w:cs="Times New Roman"/>
          <w:b/>
          <w:sz w:val="24"/>
          <w:szCs w:val="24"/>
          <w:u w:val="single"/>
        </w:rPr>
        <w:t>T</w:t>
      </w:r>
    </w:p>
    <w:p w:rsidR="00D6599B" w:rsidP="00184B32" w14:paraId="0C6699E8" w14:textId="77777777">
      <w:pPr>
        <w:pStyle w:val="CommentText"/>
        <w:spacing w:after="0"/>
        <w:jc w:val="center"/>
        <w:rPr>
          <w:rFonts w:ascii="Times New Roman" w:hAnsi="Times New Roman" w:cs="Times New Roman"/>
          <w:sz w:val="24"/>
          <w:szCs w:val="24"/>
        </w:rPr>
      </w:pPr>
    </w:p>
    <w:p w:rsidR="001618C0" w:rsidRPr="001C7B58" w:rsidP="001618C0" w14:paraId="6252FEF0" w14:textId="77777777">
      <w:pPr>
        <w:jc w:val="center"/>
        <w:rPr>
          <w:b/>
          <w:color w:val="0000FF"/>
          <w:u w:val="single"/>
        </w:rPr>
      </w:pPr>
    </w:p>
    <w:p w:rsidR="001618C0" w:rsidRPr="001C7B58" w:rsidP="001618C0" w14:paraId="250B2591" w14:textId="469E4C03">
      <w:pPr>
        <w:autoSpaceDE w:val="0"/>
        <w:autoSpaceDN w:val="0"/>
        <w:adjustRightInd w:val="0"/>
        <w:rPr>
          <w:rStyle w:val="Hyperlink"/>
          <w:color w:val="0000FF"/>
          <w:u w:val="none"/>
        </w:rPr>
      </w:pPr>
      <w:hyperlink r:id="rId13" w:history="1">
        <w:r w:rsidRPr="001C7B58">
          <w:rPr>
            <w:rStyle w:val="Hyperlink"/>
            <w:color w:val="0000FF"/>
          </w:rPr>
          <w:t>John.jones@ohioattorneygeneral.gov</w:t>
        </w:r>
      </w:hyperlink>
      <w:r w:rsidRPr="001C7B58" w:rsidR="00EE3FC3">
        <w:rPr>
          <w:rStyle w:val="Hyperlink"/>
          <w:color w:val="0000FF"/>
        </w:rPr>
        <w:tab/>
      </w:r>
      <w:r w:rsidRPr="001C7B58" w:rsidR="00EE3FC3">
        <w:rPr>
          <w:rStyle w:val="Hyperlink"/>
          <w:color w:val="0000FF"/>
          <w:u w:val="none"/>
        </w:rPr>
        <w:tab/>
      </w:r>
      <w:hyperlink r:id="rId14" w:history="1">
        <w:r w:rsidRPr="001C7B58" w:rsidR="00474B67">
          <w:rPr>
            <w:rStyle w:val="Hyperlink"/>
            <w:color w:val="0000FF"/>
          </w:rPr>
          <w:t>sseiple@nisource.com</w:t>
        </w:r>
      </w:hyperlink>
    </w:p>
    <w:p w:rsidR="001618C0" w:rsidRPr="001C7B58" w:rsidP="001618C0" w14:paraId="37ACE020" w14:textId="41D6F5F7">
      <w:pPr>
        <w:autoSpaceDE w:val="0"/>
        <w:autoSpaceDN w:val="0"/>
        <w:adjustRightInd w:val="0"/>
        <w:rPr>
          <w:rStyle w:val="Hyperlink"/>
          <w:color w:val="0000FF"/>
          <w:u w:val="none"/>
        </w:rPr>
      </w:pPr>
      <w:hyperlink r:id="rId15" w:history="1">
        <w:r w:rsidRPr="001C7B58" w:rsidR="00474B67">
          <w:rPr>
            <w:rStyle w:val="Hyperlink"/>
            <w:color w:val="0000FF"/>
          </w:rPr>
          <w:t>cendsley@ofbf.org</w:t>
        </w:r>
      </w:hyperlink>
      <w:r w:rsidRPr="001C7B58" w:rsidR="00EE3FC3">
        <w:rPr>
          <w:rStyle w:val="Hyperlink"/>
          <w:color w:val="0000FF"/>
          <w:u w:val="none"/>
        </w:rPr>
        <w:tab/>
      </w:r>
      <w:r w:rsidRPr="001C7B58" w:rsidR="00EE3FC3">
        <w:rPr>
          <w:rStyle w:val="Hyperlink"/>
          <w:color w:val="0000FF"/>
          <w:u w:val="none"/>
        </w:rPr>
        <w:tab/>
      </w:r>
      <w:r w:rsidRPr="001C7B58" w:rsidR="00EE3FC3">
        <w:rPr>
          <w:rStyle w:val="Hyperlink"/>
          <w:color w:val="0000FF"/>
          <w:u w:val="none"/>
        </w:rPr>
        <w:tab/>
      </w:r>
      <w:r w:rsidRPr="001C7B58" w:rsidR="00EE3FC3">
        <w:rPr>
          <w:rStyle w:val="Hyperlink"/>
          <w:color w:val="0000FF"/>
          <w:u w:val="none"/>
        </w:rPr>
        <w:tab/>
      </w:r>
      <w:hyperlink r:id="rId16" w:history="1">
        <w:r w:rsidRPr="001C7B58" w:rsidR="00474B67">
          <w:rPr>
            <w:rStyle w:val="Hyperlink"/>
            <w:color w:val="0000FF"/>
          </w:rPr>
          <w:t>josephclark@nicsource.com</w:t>
        </w:r>
      </w:hyperlink>
    </w:p>
    <w:p w:rsidR="005F6EEA" w:rsidRPr="005F6EEA" w:rsidP="005F6EEA" w14:paraId="212E6E78" w14:textId="77777777">
      <w:pPr>
        <w:autoSpaceDE w:val="0"/>
        <w:autoSpaceDN w:val="0"/>
        <w:adjustRightInd w:val="0"/>
        <w:rPr>
          <w:rStyle w:val="Hyperlink"/>
          <w:rFonts w:ascii="TimesNewRomanPSMT" w:hAnsi="TimesNewRomanPSMT" w:cs="TimesNewRomanPSMT"/>
          <w:color w:val="0000FF"/>
        </w:rPr>
      </w:pPr>
      <w:hyperlink r:id="rId17" w:history="1">
        <w:r w:rsidRPr="001C7B58" w:rsidR="00474B67">
          <w:rPr>
            <w:rStyle w:val="Hyperlink"/>
            <w:color w:val="0000FF"/>
          </w:rPr>
          <w:t>lcurtis@ofbf.org</w:t>
        </w:r>
      </w:hyperlink>
      <w:r w:rsidRPr="001C7B58" w:rsidR="00EE3FC3">
        <w:rPr>
          <w:rStyle w:val="Hyperlink"/>
          <w:color w:val="0000FF"/>
          <w:u w:val="none"/>
        </w:rPr>
        <w:tab/>
      </w:r>
      <w:r w:rsidRPr="005F6EEA" w:rsidR="00EE3FC3">
        <w:rPr>
          <w:rStyle w:val="Hyperlink"/>
          <w:rFonts w:ascii="TimesNewRomanPSMT" w:hAnsi="TimesNewRomanPSMT" w:cs="TimesNewRomanPSMT"/>
          <w:color w:val="0000FF"/>
          <w:u w:val="none"/>
        </w:rPr>
        <w:tab/>
      </w:r>
      <w:r w:rsidRPr="005F6EEA" w:rsidR="00EE3FC3">
        <w:rPr>
          <w:rStyle w:val="Hyperlink"/>
          <w:rFonts w:ascii="TimesNewRomanPSMT" w:hAnsi="TimesNewRomanPSMT" w:cs="TimesNewRomanPSMT"/>
          <w:color w:val="0000FF"/>
          <w:u w:val="none"/>
        </w:rPr>
        <w:tab/>
      </w:r>
      <w:r w:rsidRPr="005F6EEA" w:rsidR="00EE3FC3">
        <w:rPr>
          <w:rStyle w:val="Hyperlink"/>
          <w:rFonts w:ascii="TimesNewRomanPSMT" w:hAnsi="TimesNewRomanPSMT" w:cs="TimesNewRomanPSMT"/>
          <w:color w:val="0000FF"/>
          <w:u w:val="none"/>
        </w:rPr>
        <w:tab/>
      </w:r>
      <w:hyperlink r:id="rId18" w:history="1">
        <w:r w:rsidRPr="005F6EEA" w:rsidR="00474B67">
          <w:rPr>
            <w:rStyle w:val="Hyperlink"/>
            <w:rFonts w:ascii="TimesNewRomanPSMT" w:hAnsi="TimesNewRomanPSMT" w:cs="TimesNewRomanPSMT"/>
            <w:color w:val="0000FF"/>
          </w:rPr>
          <w:t>rocco.dascenzo@duke-energy.com</w:t>
        </w:r>
      </w:hyperlink>
    </w:p>
    <w:p w:rsidR="001618C0" w:rsidRPr="001C7B58" w:rsidP="005F6EEA" w14:paraId="07FBEE14" w14:textId="5F5B1FB4">
      <w:pPr>
        <w:autoSpaceDE w:val="0"/>
        <w:autoSpaceDN w:val="0"/>
        <w:adjustRightInd w:val="0"/>
        <w:rPr>
          <w:rStyle w:val="Hyperlink"/>
          <w:color w:val="0000FF"/>
          <w:u w:val="none"/>
        </w:rPr>
      </w:pPr>
      <w:hyperlink r:id="rId19" w:history="1">
        <w:r w:rsidRPr="005F6EEA" w:rsidR="005F6EEA">
          <w:rPr>
            <w:rStyle w:val="Hyperlink"/>
            <w:rFonts w:ascii="TimesNewRomanPSMT" w:hAnsi="TimesNewRomanPSMT" w:cs="TimesNewRomanPSMT"/>
            <w:color w:val="0000FF"/>
          </w:rPr>
          <w:t>Jeanne.kingery@duke-energy.com</w:t>
        </w:r>
      </w:hyperlink>
      <w:r w:rsidR="005F6EEA">
        <w:tab/>
      </w:r>
      <w:r w:rsidR="005F6EEA">
        <w:tab/>
      </w:r>
      <w:hyperlink r:id="rId20" w:history="1">
        <w:r w:rsidRPr="001C7B58" w:rsidR="005F6EEA">
          <w:rPr>
            <w:rStyle w:val="Hyperlink"/>
            <w:rFonts w:ascii="TimesNewRomanPSMT" w:hAnsi="TimesNewRomanPSMT" w:cs="TimesNewRomanPSMT"/>
            <w:color w:val="0000FF"/>
          </w:rPr>
          <w:t>christopher.hollon@aes.com</w:t>
        </w:r>
      </w:hyperlink>
    </w:p>
    <w:p w:rsidR="001618C0" w:rsidRPr="001C7B58" w:rsidP="001618C0" w14:paraId="66E92225" w14:textId="67623B9A">
      <w:pPr>
        <w:autoSpaceDE w:val="0"/>
        <w:autoSpaceDN w:val="0"/>
        <w:adjustRightInd w:val="0"/>
        <w:rPr>
          <w:rStyle w:val="Hyperlink"/>
          <w:color w:val="0000FF"/>
          <w:u w:val="none"/>
        </w:rPr>
      </w:pPr>
      <w:hyperlink r:id="rId21" w:history="1">
        <w:r w:rsidRPr="001C7B58">
          <w:rPr>
            <w:rStyle w:val="Hyperlink"/>
            <w:color w:val="0000FF"/>
          </w:rPr>
          <w:t>Fdarr2019@gmail.com</w:t>
        </w:r>
      </w:hyperlink>
      <w:r w:rsidRPr="001C7B58" w:rsidR="00474B67">
        <w:rPr>
          <w:rStyle w:val="Hyperlink"/>
          <w:color w:val="0000FF"/>
          <w:u w:val="none"/>
        </w:rPr>
        <w:tab/>
      </w:r>
      <w:r w:rsidRPr="001C7B58" w:rsidR="00474B67">
        <w:rPr>
          <w:rStyle w:val="Hyperlink"/>
          <w:color w:val="0000FF"/>
          <w:u w:val="none"/>
        </w:rPr>
        <w:tab/>
      </w:r>
      <w:r w:rsidRPr="001C7B58" w:rsidR="00474B67">
        <w:rPr>
          <w:rStyle w:val="Hyperlink"/>
          <w:color w:val="0000FF"/>
          <w:u w:val="none"/>
        </w:rPr>
        <w:tab/>
      </w:r>
      <w:hyperlink r:id="rId22" w:history="1">
        <w:r w:rsidRPr="001C7B58" w:rsidR="00474B67">
          <w:rPr>
            <w:rStyle w:val="Hyperlink"/>
            <w:color w:val="0000FF"/>
          </w:rPr>
          <w:t>larisa.vaysman@duke-energy.com</w:t>
        </w:r>
      </w:hyperlink>
    </w:p>
    <w:p w:rsidR="001618C0" w:rsidRPr="001C7B58" w:rsidP="001618C0" w14:paraId="18CFDE14" w14:textId="3E957D14">
      <w:pPr>
        <w:autoSpaceDE w:val="0"/>
        <w:autoSpaceDN w:val="0"/>
        <w:adjustRightInd w:val="0"/>
        <w:rPr>
          <w:rStyle w:val="Hyperlink"/>
          <w:rFonts w:ascii="TimesNewRomanPSMT" w:hAnsi="TimesNewRomanPSMT" w:cs="TimesNewRomanPSMT"/>
          <w:color w:val="0000FF"/>
          <w:u w:val="none"/>
        </w:rPr>
      </w:pPr>
      <w:hyperlink r:id="rId23" w:history="1">
        <w:r w:rsidRPr="001C7B58">
          <w:rPr>
            <w:rStyle w:val="Hyperlink"/>
            <w:rFonts w:ascii="TimesNewRomanPSMT" w:hAnsi="TimesNewRomanPSMT" w:cs="TimesNewRomanPSMT"/>
            <w:color w:val="0000FF"/>
          </w:rPr>
          <w:t>edanford@firstenergycorp.com</w:t>
        </w:r>
      </w:hyperlink>
      <w:r w:rsidRPr="001C7B58" w:rsidR="00474B67">
        <w:rPr>
          <w:rStyle w:val="Hyperlink"/>
          <w:rFonts w:ascii="TimesNewRomanPSMT" w:hAnsi="TimesNewRomanPSMT" w:cs="TimesNewRomanPSMT"/>
          <w:color w:val="0000FF"/>
          <w:u w:val="none"/>
        </w:rPr>
        <w:tab/>
      </w:r>
      <w:r w:rsidRPr="001C7B58" w:rsidR="00474B67">
        <w:rPr>
          <w:rStyle w:val="Hyperlink"/>
          <w:rFonts w:ascii="TimesNewRomanPSMT" w:hAnsi="TimesNewRomanPSMT" w:cs="TimesNewRomanPSMT"/>
          <w:color w:val="0000FF"/>
          <w:u w:val="none"/>
        </w:rPr>
        <w:tab/>
      </w:r>
      <w:hyperlink r:id="rId24" w:history="1">
        <w:r w:rsidRPr="001C7B58" w:rsidR="00AF0A2F">
          <w:rPr>
            <w:rStyle w:val="Hyperlink"/>
            <w:rFonts w:ascii="TimesNewRomanPSMT" w:hAnsi="TimesNewRomanPSMT" w:cs="TimesNewRomanPSMT"/>
            <w:color w:val="0000FF"/>
          </w:rPr>
          <w:t>stnourse@aep.com</w:t>
        </w:r>
      </w:hyperlink>
    </w:p>
    <w:p w:rsidR="00AF0A2F" w:rsidRPr="001C7B58" w:rsidP="001618C0" w14:paraId="6ECEF6E8" w14:textId="07EC44F5">
      <w:pPr>
        <w:autoSpaceDE w:val="0"/>
        <w:autoSpaceDN w:val="0"/>
        <w:adjustRightInd w:val="0"/>
        <w:rPr>
          <w:rStyle w:val="Hyperlink"/>
          <w:rFonts w:ascii="TimesNewRomanPSMT" w:hAnsi="TimesNewRomanPSMT" w:cs="TimesNewRomanPSMT"/>
          <w:color w:val="0000FF"/>
          <w:u w:val="none"/>
        </w:rPr>
      </w:pPr>
      <w:hyperlink r:id="rId25" w:history="1">
        <w:r w:rsidRPr="001C7B58" w:rsidR="009B60A9">
          <w:rPr>
            <w:rStyle w:val="Hyperlink"/>
            <w:rFonts w:ascii="TimesNewRomanPSMT" w:hAnsi="TimesNewRomanPSMT" w:cs="TimesNewRomanPSMT"/>
            <w:color w:val="0000FF"/>
          </w:rPr>
          <w:t>cmblend@aep.com</w:t>
        </w:r>
      </w:hyperlink>
      <w:r w:rsidRPr="001C7B58" w:rsidR="009B60A9">
        <w:rPr>
          <w:rStyle w:val="Hyperlink"/>
          <w:rFonts w:ascii="TimesNewRomanPSMT" w:hAnsi="TimesNewRomanPSMT" w:cs="TimesNewRomanPSMT"/>
          <w:color w:val="0000FF"/>
          <w:u w:val="none"/>
        </w:rPr>
        <w:tab/>
      </w:r>
      <w:r w:rsidRPr="001C7B58" w:rsidR="009B60A9">
        <w:rPr>
          <w:rStyle w:val="Hyperlink"/>
          <w:rFonts w:ascii="TimesNewRomanPSMT" w:hAnsi="TimesNewRomanPSMT" w:cs="TimesNewRomanPSMT"/>
          <w:color w:val="0000FF"/>
          <w:u w:val="none"/>
        </w:rPr>
        <w:tab/>
      </w:r>
      <w:r w:rsidRPr="001C7B58" w:rsidR="009B60A9">
        <w:rPr>
          <w:rStyle w:val="Hyperlink"/>
          <w:rFonts w:ascii="TimesNewRomanPSMT" w:hAnsi="TimesNewRomanPSMT" w:cs="TimesNewRomanPSMT"/>
          <w:color w:val="0000FF"/>
          <w:u w:val="none"/>
        </w:rPr>
        <w:tab/>
      </w:r>
      <w:r w:rsidRPr="001C7B58" w:rsidR="009B60A9">
        <w:rPr>
          <w:rStyle w:val="Hyperlink"/>
          <w:rFonts w:ascii="TimesNewRomanPSMT" w:hAnsi="TimesNewRomanPSMT" w:cs="TimesNewRomanPSMT"/>
          <w:color w:val="0000FF"/>
          <w:u w:val="none"/>
        </w:rPr>
        <w:tab/>
      </w:r>
      <w:hyperlink r:id="rId26" w:history="1">
        <w:r w:rsidRPr="001C7B58" w:rsidR="009B60A9">
          <w:rPr>
            <w:rStyle w:val="Hyperlink"/>
            <w:rFonts w:ascii="TimesNewRomanPSMT" w:hAnsi="TimesNewRomanPSMT" w:cs="TimesNewRomanPSMT"/>
            <w:color w:val="0000FF"/>
          </w:rPr>
          <w:t>mpritchard@mcneeslaw.com</w:t>
        </w:r>
      </w:hyperlink>
    </w:p>
    <w:p w:rsidR="009B60A9" w:rsidRPr="001C7B58" w:rsidP="001618C0" w14:paraId="6F95D9C2" w14:textId="3DCB984B">
      <w:pPr>
        <w:autoSpaceDE w:val="0"/>
        <w:autoSpaceDN w:val="0"/>
        <w:adjustRightInd w:val="0"/>
        <w:rPr>
          <w:rStyle w:val="Hyperlink"/>
          <w:rFonts w:ascii="TimesNewRomanPSMT" w:hAnsi="TimesNewRomanPSMT" w:cs="TimesNewRomanPSMT"/>
          <w:color w:val="0000FF"/>
          <w:u w:val="none"/>
        </w:rPr>
      </w:pPr>
      <w:hyperlink r:id="rId27" w:history="1">
        <w:r w:rsidRPr="001C7B58">
          <w:rPr>
            <w:rStyle w:val="Hyperlink"/>
            <w:rFonts w:ascii="TimesNewRomanPSMT" w:hAnsi="TimesNewRomanPSMT" w:cs="TimesNewRomanPSMT"/>
            <w:color w:val="0000FF"/>
          </w:rPr>
          <w:t>rglover@mcneeslaw.com</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28" w:history="1">
        <w:r w:rsidRPr="001C7B58">
          <w:rPr>
            <w:rStyle w:val="Hyperlink"/>
            <w:rFonts w:ascii="TimesNewRomanPSMT" w:hAnsi="TimesNewRomanPSMT" w:cs="TimesNewRomanPSMT"/>
            <w:color w:val="0000FF"/>
          </w:rPr>
          <w:t>andrew.j.campbell@dominionenergy.com</w:t>
        </w:r>
      </w:hyperlink>
    </w:p>
    <w:p w:rsidR="009B60A9" w:rsidRPr="001C7B58" w:rsidP="001618C0" w14:paraId="32BB1AEB" w14:textId="372BF8EE">
      <w:pPr>
        <w:autoSpaceDE w:val="0"/>
        <w:autoSpaceDN w:val="0"/>
        <w:adjustRightInd w:val="0"/>
        <w:rPr>
          <w:rStyle w:val="Hyperlink"/>
          <w:rFonts w:ascii="TimesNewRomanPSMT" w:hAnsi="TimesNewRomanPSMT" w:cs="TimesNewRomanPSMT"/>
          <w:color w:val="0000FF"/>
          <w:u w:val="none"/>
        </w:rPr>
      </w:pPr>
      <w:hyperlink r:id="rId29" w:history="1">
        <w:r w:rsidRPr="001C7B58">
          <w:rPr>
            <w:rStyle w:val="Hyperlink"/>
            <w:rFonts w:ascii="TimesNewRomanPSMT" w:hAnsi="TimesNewRomanPSMT" w:cs="TimesNewRomanPSMT"/>
            <w:color w:val="0000FF"/>
          </w:rPr>
          <w:t>whitt@whitt-sturtevant.com</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30" w:history="1">
        <w:r w:rsidRPr="001C7B58">
          <w:rPr>
            <w:rStyle w:val="Hyperlink"/>
            <w:rFonts w:ascii="TimesNewRomanPSMT" w:hAnsi="TimesNewRomanPSMT" w:cs="TimesNewRomanPSMT"/>
            <w:color w:val="0000FF"/>
          </w:rPr>
          <w:t>kennedy@whitt-sturtevant.com</w:t>
        </w:r>
      </w:hyperlink>
    </w:p>
    <w:p w:rsidR="009B60A9" w:rsidRPr="001C7B58" w:rsidP="001618C0" w14:paraId="0362DA8C" w14:textId="245AB10E">
      <w:pPr>
        <w:autoSpaceDE w:val="0"/>
        <w:autoSpaceDN w:val="0"/>
        <w:adjustRightInd w:val="0"/>
        <w:rPr>
          <w:rStyle w:val="Hyperlink"/>
          <w:rFonts w:ascii="TimesNewRomanPSMT" w:hAnsi="TimesNewRomanPSMT" w:cs="TimesNewRomanPSMT"/>
          <w:color w:val="0000FF"/>
          <w:u w:val="none"/>
        </w:rPr>
      </w:pPr>
      <w:hyperlink r:id="rId31" w:history="1">
        <w:r w:rsidRPr="001C7B58">
          <w:rPr>
            <w:rStyle w:val="Hyperlink"/>
            <w:rFonts w:ascii="TimesNewRomanPSMT" w:hAnsi="TimesNewRomanPSMT" w:cs="TimesNewRomanPSMT"/>
            <w:color w:val="0000FF"/>
          </w:rPr>
          <w:t>fykes@whitt-sturtevant.com</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32" w:history="1">
        <w:r w:rsidRPr="001C7B58" w:rsidR="00A64D22">
          <w:rPr>
            <w:rStyle w:val="Hyperlink"/>
            <w:rFonts w:ascii="TimesNewRomanPSMT" w:hAnsi="TimesNewRomanPSMT" w:cs="TimesNewRomanPSMT"/>
            <w:color w:val="0000FF"/>
          </w:rPr>
          <w:t>rkelter@elpc.org</w:t>
        </w:r>
      </w:hyperlink>
    </w:p>
    <w:p w:rsidR="00A64D22" w:rsidRPr="001C7B58" w:rsidP="001618C0" w14:paraId="1CE8E997" w14:textId="44F59E16">
      <w:pPr>
        <w:autoSpaceDE w:val="0"/>
        <w:autoSpaceDN w:val="0"/>
        <w:adjustRightInd w:val="0"/>
        <w:rPr>
          <w:rStyle w:val="Hyperlink"/>
          <w:rFonts w:ascii="TimesNewRomanPSMT" w:hAnsi="TimesNewRomanPSMT" w:cs="TimesNewRomanPSMT"/>
          <w:color w:val="0000FF"/>
          <w:u w:val="none"/>
        </w:rPr>
      </w:pPr>
      <w:hyperlink r:id="rId33" w:history="1">
        <w:r w:rsidRPr="001C7B58">
          <w:rPr>
            <w:rStyle w:val="Hyperlink"/>
            <w:rFonts w:ascii="TimesNewRomanPSMT" w:hAnsi="TimesNewRomanPSMT" w:cs="TimesNewRomanPSMT"/>
            <w:color w:val="0000FF"/>
          </w:rPr>
          <w:t>nvijaykar@elpc.org</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34" w:history="1">
        <w:r w:rsidRPr="001C7B58">
          <w:rPr>
            <w:rStyle w:val="Hyperlink"/>
            <w:rFonts w:ascii="TimesNewRomanPSMT" w:hAnsi="TimesNewRomanPSMT" w:cs="TimesNewRomanPSMT"/>
            <w:color w:val="0000FF"/>
          </w:rPr>
          <w:t>bethany.allen@igs.com</w:t>
        </w:r>
      </w:hyperlink>
    </w:p>
    <w:p w:rsidR="00A64D22" w:rsidRPr="001C7B58" w:rsidP="001618C0" w14:paraId="64B5C2A8" w14:textId="3288C83C">
      <w:pPr>
        <w:autoSpaceDE w:val="0"/>
        <w:autoSpaceDN w:val="0"/>
        <w:adjustRightInd w:val="0"/>
        <w:rPr>
          <w:rStyle w:val="Hyperlink"/>
          <w:rFonts w:ascii="TimesNewRomanPSMT" w:hAnsi="TimesNewRomanPSMT" w:cs="TimesNewRomanPSMT"/>
          <w:color w:val="0000FF"/>
          <w:u w:val="none"/>
        </w:rPr>
      </w:pPr>
      <w:hyperlink r:id="rId35" w:history="1">
        <w:r w:rsidRPr="001C7B58">
          <w:rPr>
            <w:rStyle w:val="Hyperlink"/>
            <w:rFonts w:ascii="TimesNewRomanPSMT" w:hAnsi="TimesNewRomanPSMT" w:cs="TimesNewRomanPSMT"/>
            <w:color w:val="0000FF"/>
          </w:rPr>
          <w:t>michael.nugent@igs.com</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36" w:history="1">
        <w:r w:rsidRPr="001C7B58">
          <w:rPr>
            <w:rStyle w:val="Hyperlink"/>
            <w:rFonts w:ascii="TimesNewRomanPSMT" w:hAnsi="TimesNewRomanPSMT" w:cs="TimesNewRomanPSMT"/>
            <w:color w:val="0000FF"/>
          </w:rPr>
          <w:t>joe.oliker@igs.com</w:t>
        </w:r>
      </w:hyperlink>
    </w:p>
    <w:p w:rsidR="00A64D22" w:rsidRPr="001C7B58" w:rsidP="001618C0" w14:paraId="600861F4" w14:textId="4F80E1AE">
      <w:pPr>
        <w:autoSpaceDE w:val="0"/>
        <w:autoSpaceDN w:val="0"/>
        <w:adjustRightInd w:val="0"/>
        <w:rPr>
          <w:rStyle w:val="Hyperlink"/>
          <w:rFonts w:ascii="TimesNewRomanPSMT" w:hAnsi="TimesNewRomanPSMT" w:cs="TimesNewRomanPSMT"/>
          <w:color w:val="0000FF"/>
          <w:u w:val="none"/>
        </w:rPr>
      </w:pPr>
      <w:hyperlink r:id="rId37" w:history="1">
        <w:r w:rsidRPr="001C7B58">
          <w:rPr>
            <w:rStyle w:val="Hyperlink"/>
            <w:rFonts w:ascii="TimesNewRomanPSMT" w:hAnsi="TimesNewRomanPSMT" w:cs="TimesNewRomanPSMT"/>
            <w:color w:val="0000FF"/>
          </w:rPr>
          <w:t>trhayslaw@gmail.com</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38" w:history="1">
        <w:r w:rsidRPr="001C7B58">
          <w:rPr>
            <w:rStyle w:val="Hyperlink"/>
            <w:rFonts w:ascii="TimesNewRomanPSMT" w:hAnsi="TimesNewRomanPSMT" w:cs="TimesNewRomanPSMT"/>
            <w:color w:val="0000FF"/>
          </w:rPr>
          <w:t>mkurtz@bkllawfirm.com</w:t>
        </w:r>
      </w:hyperlink>
    </w:p>
    <w:p w:rsidR="00A64D22" w:rsidRPr="001C7B58" w:rsidP="001618C0" w14:paraId="03B0BC8B" w14:textId="699D75F2">
      <w:pPr>
        <w:autoSpaceDE w:val="0"/>
        <w:autoSpaceDN w:val="0"/>
        <w:adjustRightInd w:val="0"/>
        <w:rPr>
          <w:rStyle w:val="Hyperlink"/>
          <w:rFonts w:ascii="TimesNewRomanPSMT" w:hAnsi="TimesNewRomanPSMT" w:cs="TimesNewRomanPSMT"/>
          <w:color w:val="0000FF"/>
          <w:u w:val="none"/>
        </w:rPr>
      </w:pPr>
      <w:hyperlink r:id="rId39" w:history="1">
        <w:r w:rsidRPr="001C7B58">
          <w:rPr>
            <w:rStyle w:val="Hyperlink"/>
            <w:rFonts w:ascii="TimesNewRomanPSMT" w:hAnsi="TimesNewRomanPSMT" w:cs="TimesNewRomanPSMT"/>
            <w:color w:val="0000FF"/>
          </w:rPr>
          <w:t>kboehm@bkllawfirm.com</w:t>
        </w:r>
      </w:hyperlink>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r w:rsidRPr="001C7B58">
        <w:rPr>
          <w:rStyle w:val="Hyperlink"/>
          <w:rFonts w:ascii="TimesNewRomanPSMT" w:hAnsi="TimesNewRomanPSMT" w:cs="TimesNewRomanPSMT"/>
          <w:color w:val="0000FF"/>
          <w:u w:val="none"/>
        </w:rPr>
        <w:tab/>
      </w:r>
      <w:hyperlink r:id="rId40" w:history="1">
        <w:r w:rsidRPr="001C7B58">
          <w:rPr>
            <w:rStyle w:val="Hyperlink"/>
            <w:rFonts w:ascii="TimesNewRomanPSMT" w:hAnsi="TimesNewRomanPSMT" w:cs="TimesNewRomanPSMT"/>
            <w:color w:val="0000FF"/>
          </w:rPr>
          <w:t>jkylercohn@bkllawfirm.com</w:t>
        </w:r>
      </w:hyperlink>
    </w:p>
    <w:p w:rsidR="00A64D22" w:rsidRPr="001C7B58" w:rsidP="001618C0" w14:paraId="65764A08" w14:textId="43A6EE3A">
      <w:pPr>
        <w:autoSpaceDE w:val="0"/>
        <w:autoSpaceDN w:val="0"/>
        <w:adjustRightInd w:val="0"/>
        <w:rPr>
          <w:rStyle w:val="Hyperlink"/>
          <w:rFonts w:ascii="TimesNewRomanPSMT" w:hAnsi="TimesNewRomanPSMT" w:cs="TimesNewRomanPSMT"/>
          <w:color w:val="0000FF"/>
          <w:u w:val="none"/>
        </w:rPr>
      </w:pPr>
      <w:hyperlink r:id="rId41" w:history="1">
        <w:r w:rsidRPr="001C7B58" w:rsidR="00F27369">
          <w:rPr>
            <w:rStyle w:val="Hyperlink"/>
            <w:rFonts w:ascii="TimesNewRomanPSMT" w:hAnsi="TimesNewRomanPSMT" w:cs="TimesNewRomanPSMT"/>
            <w:color w:val="0000FF"/>
          </w:rPr>
          <w:t>ctavenor@theOEC.org</w:t>
        </w:r>
      </w:hyperlink>
      <w:r w:rsidRPr="001C7B58" w:rsidR="00F27369">
        <w:rPr>
          <w:rStyle w:val="Hyperlink"/>
          <w:rFonts w:ascii="TimesNewRomanPSMT" w:hAnsi="TimesNewRomanPSMT" w:cs="TimesNewRomanPSMT"/>
          <w:color w:val="0000FF"/>
          <w:u w:val="none"/>
        </w:rPr>
        <w:tab/>
      </w:r>
      <w:r w:rsidRPr="001C7B58" w:rsidR="00F27369">
        <w:rPr>
          <w:rStyle w:val="Hyperlink"/>
          <w:rFonts w:ascii="TimesNewRomanPSMT" w:hAnsi="TimesNewRomanPSMT" w:cs="TimesNewRomanPSMT"/>
          <w:color w:val="0000FF"/>
          <w:u w:val="none"/>
        </w:rPr>
        <w:tab/>
      </w:r>
      <w:r w:rsidRPr="001C7B58" w:rsidR="00F27369">
        <w:rPr>
          <w:rStyle w:val="Hyperlink"/>
          <w:rFonts w:ascii="TimesNewRomanPSMT" w:hAnsi="TimesNewRomanPSMT" w:cs="TimesNewRomanPSMT"/>
          <w:color w:val="0000FF"/>
          <w:u w:val="none"/>
        </w:rPr>
        <w:tab/>
      </w:r>
      <w:hyperlink r:id="rId20" w:history="1">
        <w:r w:rsidRPr="001C7B58" w:rsidR="00F27369">
          <w:rPr>
            <w:rStyle w:val="Hyperlink"/>
            <w:rFonts w:ascii="TimesNewRomanPSMT" w:hAnsi="TimesNewRomanPSMT" w:cs="TimesNewRomanPSMT"/>
            <w:color w:val="0000FF"/>
          </w:rPr>
          <w:t>christopher.hollon@aes.com</w:t>
        </w:r>
      </w:hyperlink>
    </w:p>
    <w:p w:rsidR="00F27369" w:rsidP="001618C0" w14:paraId="6E30C1B4" w14:textId="544E05EA">
      <w:pPr>
        <w:autoSpaceDE w:val="0"/>
        <w:autoSpaceDN w:val="0"/>
        <w:adjustRightInd w:val="0"/>
        <w:rPr>
          <w:rStyle w:val="Hyperlink"/>
          <w:rFonts w:ascii="TimesNewRomanPSMT" w:hAnsi="TimesNewRomanPSMT" w:cs="TimesNewRomanPSMT"/>
          <w:color w:val="0000FF"/>
          <w:u w:val="none"/>
        </w:rPr>
      </w:pPr>
      <w:hyperlink r:id="rId42" w:history="1">
        <w:r w:rsidRPr="001C7B58" w:rsidR="001C7B58">
          <w:rPr>
            <w:rStyle w:val="Hyperlink"/>
            <w:rFonts w:ascii="TimesNewRomanPSMT" w:hAnsi="TimesNewRomanPSMT" w:cs="TimesNewRomanPSMT"/>
            <w:color w:val="0000FF"/>
          </w:rPr>
          <w:t>glpetrucci@vorys.com</w:t>
        </w:r>
      </w:hyperlink>
      <w:r w:rsidR="001C7B58">
        <w:rPr>
          <w:rStyle w:val="Hyperlink"/>
          <w:rFonts w:ascii="TimesNewRomanPSMT" w:hAnsi="TimesNewRomanPSMT" w:cs="TimesNewRomanPSMT"/>
          <w:color w:val="0000FF"/>
          <w:u w:val="none"/>
        </w:rPr>
        <w:tab/>
      </w:r>
      <w:r w:rsidR="001C7B58">
        <w:rPr>
          <w:rStyle w:val="Hyperlink"/>
          <w:rFonts w:ascii="TimesNewRomanPSMT" w:hAnsi="TimesNewRomanPSMT" w:cs="TimesNewRomanPSMT"/>
          <w:color w:val="0000FF"/>
          <w:u w:val="none"/>
        </w:rPr>
        <w:tab/>
      </w:r>
      <w:r w:rsidR="001C7B58">
        <w:rPr>
          <w:rStyle w:val="Hyperlink"/>
          <w:rFonts w:ascii="TimesNewRomanPSMT" w:hAnsi="TimesNewRomanPSMT" w:cs="TimesNewRomanPSMT"/>
          <w:color w:val="0000FF"/>
          <w:u w:val="none"/>
        </w:rPr>
        <w:tab/>
      </w:r>
      <w:r>
        <w:rPr>
          <w:rStyle w:val="Hyperlink"/>
          <w:rFonts w:ascii="TimesNewRomanPSMT" w:hAnsi="TimesNewRomanPSMT" w:cs="TimesNewRomanPSMT"/>
          <w:color w:val="0000FF"/>
          <w:u w:val="none"/>
        </w:rPr>
        <w:tab/>
      </w:r>
    </w:p>
    <w:p w:rsidR="00F27369" w:rsidP="001618C0" w14:paraId="07982CDC" w14:textId="77777777">
      <w:pPr>
        <w:autoSpaceDE w:val="0"/>
        <w:autoSpaceDN w:val="0"/>
        <w:adjustRightInd w:val="0"/>
        <w:rPr>
          <w:rStyle w:val="Hyperlink"/>
          <w:rFonts w:ascii="TimesNewRomanPSMT" w:hAnsi="TimesNewRomanPSMT" w:cs="TimesNewRomanPSMT"/>
          <w:color w:val="0000FF"/>
          <w:u w:val="none"/>
        </w:rPr>
      </w:pPr>
    </w:p>
    <w:p w:rsidR="00A64D22" w:rsidP="001618C0" w14:paraId="1F187B65" w14:textId="77777777">
      <w:pPr>
        <w:autoSpaceDE w:val="0"/>
        <w:autoSpaceDN w:val="0"/>
        <w:adjustRightInd w:val="0"/>
        <w:rPr>
          <w:rStyle w:val="Hyperlink"/>
          <w:rFonts w:ascii="TimesNewRomanPSMT" w:hAnsi="TimesNewRomanPSMT" w:cs="TimesNewRomanPSMT"/>
          <w:color w:val="0000FF"/>
          <w:u w:val="none"/>
        </w:rPr>
      </w:pPr>
    </w:p>
    <w:p w:rsidR="001618C0" w:rsidRPr="0004462F" w:rsidP="001618C0" w14:paraId="7388FB57" w14:textId="6DF90976">
      <w:r w:rsidRPr="0004462F">
        <w:t>Attorney Examiner</w:t>
      </w:r>
      <w:r w:rsidR="001C7B58">
        <w:t>s</w:t>
      </w:r>
      <w:r w:rsidRPr="0004462F">
        <w:t>:</w:t>
      </w:r>
    </w:p>
    <w:p w:rsidR="001618C0" w:rsidP="001618C0" w14:paraId="691F3522" w14:textId="77777777"/>
    <w:p w:rsidR="001618C0" w:rsidP="001618C0" w14:paraId="6D46555B" w14:textId="77777777">
      <w:pPr>
        <w:rPr>
          <w:rStyle w:val="Hyperlink"/>
          <w:color w:val="0000FF"/>
        </w:rPr>
      </w:pPr>
      <w:hyperlink r:id="rId43" w:history="1">
        <w:r w:rsidRPr="001618C0">
          <w:rPr>
            <w:rStyle w:val="Hyperlink"/>
            <w:color w:val="0000FF"/>
          </w:rPr>
          <w:t>Patricia.schabo@puco.ohio.gov</w:t>
        </w:r>
      </w:hyperlink>
    </w:p>
    <w:p w:rsidR="00EE3FC3" w:rsidRPr="000002F7" w:rsidP="00EE3FC3" w14:paraId="6A2CDA3E" w14:textId="77777777">
      <w:pPr>
        <w:rPr>
          <w:color w:val="0000FF"/>
          <w:u w:val="single"/>
        </w:rPr>
      </w:pPr>
      <w:hyperlink r:id="rId44" w:history="1">
        <w:r w:rsidRPr="000002F7">
          <w:rPr>
            <w:color w:val="0000FF"/>
            <w:u w:val="single"/>
          </w:rPr>
          <w:t>Jacqueline.St.John@puco.ohio.gov</w:t>
        </w:r>
      </w:hyperlink>
    </w:p>
    <w:p w:rsidR="001618C0" w:rsidRPr="001618C0" w:rsidP="001618C0" w14:paraId="417DBC07" w14:textId="77777777">
      <w:pPr>
        <w:rPr>
          <w:color w:val="0000FF"/>
        </w:rPr>
      </w:pPr>
    </w:p>
    <w:p w:rsidR="000D358C" w:rsidRPr="008F12B3" w:rsidP="00184B32" w14:paraId="0CE984D7" w14:textId="77777777">
      <w:pPr>
        <w:pStyle w:val="CommentText"/>
        <w:spacing w:after="0"/>
        <w:jc w:val="center"/>
        <w:rPr>
          <w:rFonts w:ascii="Times New Roman" w:hAnsi="Times New Roman" w:cs="Times New Roman"/>
          <w:sz w:val="24"/>
          <w:szCs w:val="24"/>
        </w:rPr>
      </w:pPr>
    </w:p>
    <w:sectPr w:rsidSect="00BB6C91">
      <w:footerReference w:type="default" r:id="rId4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D4" w14:paraId="39A4A0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484361"/>
      <w:docPartObj>
        <w:docPartGallery w:val="Page Numbers (Bottom of Page)"/>
        <w:docPartUnique/>
      </w:docPartObj>
    </w:sdtPr>
    <w:sdtEndPr>
      <w:rPr>
        <w:rFonts w:ascii="Times New Roman" w:hAnsi="Times New Roman" w:cs="Times New Roman"/>
        <w:noProof/>
        <w:sz w:val="24"/>
        <w:szCs w:val="24"/>
      </w:rPr>
    </w:sdtEndPr>
    <w:sdtContent>
      <w:p w:rsidR="00BB6C91" w:rsidRPr="00BB6C91" w14:paraId="09369EA5" w14:textId="3853A6D1">
        <w:pPr>
          <w:pStyle w:val="Footer"/>
          <w:jc w:val="center"/>
          <w:rPr>
            <w:rFonts w:ascii="Times New Roman" w:hAnsi="Times New Roman" w:cs="Times New Roman"/>
            <w:sz w:val="24"/>
            <w:szCs w:val="24"/>
          </w:rPr>
        </w:pPr>
        <w:r w:rsidRPr="00BB6C91">
          <w:rPr>
            <w:rFonts w:ascii="Times New Roman" w:hAnsi="Times New Roman" w:cs="Times New Roman"/>
            <w:sz w:val="24"/>
            <w:szCs w:val="24"/>
          </w:rPr>
          <w:fldChar w:fldCharType="begin"/>
        </w:r>
        <w:r w:rsidRPr="00BB6C91">
          <w:rPr>
            <w:rFonts w:ascii="Times New Roman" w:hAnsi="Times New Roman" w:cs="Times New Roman"/>
            <w:sz w:val="24"/>
            <w:szCs w:val="24"/>
          </w:rPr>
          <w:instrText xml:space="preserve"> PAGE   \* MERGEFORMAT </w:instrText>
        </w:r>
        <w:r w:rsidRPr="00BB6C91">
          <w:rPr>
            <w:rFonts w:ascii="Times New Roman" w:hAnsi="Times New Roman" w:cs="Times New Roman"/>
            <w:sz w:val="24"/>
            <w:szCs w:val="24"/>
          </w:rPr>
          <w:fldChar w:fldCharType="separate"/>
        </w:r>
        <w:r w:rsidRPr="00BB6C91">
          <w:rPr>
            <w:rFonts w:ascii="Times New Roman" w:hAnsi="Times New Roman" w:cs="Times New Roman"/>
            <w:noProof/>
            <w:sz w:val="24"/>
            <w:szCs w:val="24"/>
          </w:rPr>
          <w:t>2</w:t>
        </w:r>
        <w:r w:rsidRPr="00BB6C9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D4" w14:paraId="73835E3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4363427"/>
      <w:docPartObj>
        <w:docPartGallery w:val="Page Numbers (Bottom of Page)"/>
        <w:docPartUnique/>
      </w:docPartObj>
    </w:sdtPr>
    <w:sdtEndPr>
      <w:rPr>
        <w:rFonts w:ascii="Times New Roman" w:hAnsi="Times New Roman" w:cs="Times New Roman"/>
        <w:noProof/>
        <w:sz w:val="24"/>
        <w:szCs w:val="24"/>
      </w:rPr>
    </w:sdtEndPr>
    <w:sdtContent>
      <w:p w:rsidR="00BB6C91" w:rsidRPr="00BB6C91" w14:paraId="422138C8" w14:textId="03F51EF5">
        <w:pPr>
          <w:pStyle w:val="Footer"/>
          <w:jc w:val="center"/>
          <w:rPr>
            <w:rFonts w:ascii="Times New Roman" w:hAnsi="Times New Roman" w:cs="Times New Roman"/>
            <w:sz w:val="24"/>
            <w:szCs w:val="24"/>
          </w:rPr>
        </w:pPr>
        <w:r w:rsidRPr="00BB6C91">
          <w:rPr>
            <w:rFonts w:ascii="Times New Roman" w:hAnsi="Times New Roman" w:cs="Times New Roman"/>
            <w:sz w:val="24"/>
            <w:szCs w:val="24"/>
          </w:rPr>
          <w:fldChar w:fldCharType="begin"/>
        </w:r>
        <w:r w:rsidRPr="00BB6C91">
          <w:rPr>
            <w:rFonts w:ascii="Times New Roman" w:hAnsi="Times New Roman" w:cs="Times New Roman"/>
            <w:sz w:val="24"/>
            <w:szCs w:val="24"/>
          </w:rPr>
          <w:instrText xml:space="preserve"> PAGE   \* MERGEFORMAT </w:instrText>
        </w:r>
        <w:r w:rsidRPr="00BB6C91">
          <w:rPr>
            <w:rFonts w:ascii="Times New Roman" w:hAnsi="Times New Roman" w:cs="Times New Roman"/>
            <w:sz w:val="24"/>
            <w:szCs w:val="24"/>
          </w:rPr>
          <w:fldChar w:fldCharType="separate"/>
        </w:r>
        <w:r w:rsidRPr="00BB6C91">
          <w:rPr>
            <w:rFonts w:ascii="Times New Roman" w:hAnsi="Times New Roman" w:cs="Times New Roman"/>
            <w:noProof/>
            <w:sz w:val="24"/>
            <w:szCs w:val="24"/>
          </w:rPr>
          <w:t>2</w:t>
        </w:r>
        <w:r w:rsidRPr="00BB6C9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371B" w:rsidRPr="00B32B7E" w:rsidP="00B32B7E" w14:paraId="368544D2" w14:textId="77777777">
      <w:pPr>
        <w:pStyle w:val="Footer"/>
      </w:pPr>
      <w:r>
        <w:separator/>
      </w:r>
    </w:p>
  </w:footnote>
  <w:footnote w:type="continuationSeparator" w:id="1">
    <w:p w:rsidR="00D7371B" w:rsidRPr="00B32B7E" w:rsidP="00B32B7E" w14:paraId="7AACC2FD" w14:textId="77777777">
      <w:pPr>
        <w:pStyle w:val="Footer"/>
      </w:pPr>
      <w:r>
        <w:continuationSeparator/>
      </w:r>
    </w:p>
  </w:footnote>
  <w:footnote w:type="continuationNotice" w:id="2">
    <w:p w:rsidR="00D7371B" w14:paraId="229E2727" w14:textId="77777777"/>
  </w:footnote>
  <w:footnote w:id="3">
    <w:p w:rsidR="00403913" w:rsidRPr="008F12B3" w:rsidP="008370CF" w14:paraId="41643B2E" w14:textId="43EFD5C6">
      <w:pPr>
        <w:pStyle w:val="FootnoteText"/>
        <w:spacing w:after="120"/>
        <w:rPr>
          <w:rFonts w:cs="Times New Roman"/>
        </w:rPr>
      </w:pPr>
      <w:r w:rsidRPr="008F12B3">
        <w:rPr>
          <w:rStyle w:val="FootnoteReference"/>
          <w:rFonts w:cs="Times New Roman"/>
        </w:rPr>
        <w:footnoteRef/>
      </w:r>
      <w:r w:rsidRPr="008F12B3">
        <w:rPr>
          <w:rFonts w:cs="Times New Roman"/>
        </w:rPr>
        <w:t xml:space="preserve"> </w:t>
      </w:r>
      <w:r w:rsidR="00A35A9B">
        <w:rPr>
          <w:rFonts w:cs="Times New Roman"/>
        </w:rPr>
        <w:t xml:space="preserve">OCC </w:t>
      </w:r>
      <w:r w:rsidR="00351E7D">
        <w:rPr>
          <w:rFonts w:cs="Times New Roman"/>
        </w:rPr>
        <w:t xml:space="preserve">and NOAC Reply </w:t>
      </w:r>
      <w:r w:rsidR="00A35A9B">
        <w:rPr>
          <w:rFonts w:cs="Times New Roman"/>
        </w:rPr>
        <w:t xml:space="preserve">Comments </w:t>
      </w:r>
      <w:r w:rsidR="0034144C">
        <w:rPr>
          <w:rFonts w:cs="Times New Roman"/>
        </w:rPr>
        <w:t xml:space="preserve">at </w:t>
      </w:r>
      <w:r w:rsidR="00351E7D">
        <w:rPr>
          <w:rFonts w:cs="Times New Roman"/>
        </w:rPr>
        <w:t>2-3, 9-10</w:t>
      </w:r>
      <w:r w:rsidR="0034144C">
        <w:rPr>
          <w:rFonts w:cs="Times New Roman"/>
        </w:rPr>
        <w:t>; OCC and NOAC Initial Comments at 11.</w:t>
      </w:r>
    </w:p>
  </w:footnote>
  <w:footnote w:id="4">
    <w:p w:rsidR="009A47FF" w:rsidP="008370CF" w14:paraId="4E34E789" w14:textId="1BB226BD">
      <w:pPr>
        <w:pStyle w:val="FootnoteText"/>
        <w:spacing w:after="120"/>
      </w:pPr>
      <w:r>
        <w:rPr>
          <w:rStyle w:val="FootnoteReference"/>
        </w:rPr>
        <w:footnoteRef/>
      </w:r>
      <w:r>
        <w:t xml:space="preserve"> Finding and Order at </w:t>
      </w:r>
      <w:r>
        <w:rPr>
          <w:color w:val="000000"/>
          <w:bdr w:val="none" w:sz="0" w:space="0" w:color="auto" w:frame="1"/>
        </w:rPr>
        <w:t>¶44.</w:t>
      </w:r>
    </w:p>
  </w:footnote>
  <w:footnote w:id="5">
    <w:p w:rsidR="005B3722" w:rsidP="008370CF" w14:paraId="12C17490" w14:textId="0AE742E5">
      <w:pPr>
        <w:pStyle w:val="FootnoteText"/>
        <w:spacing w:after="120"/>
      </w:pPr>
      <w:r>
        <w:rPr>
          <w:rStyle w:val="FootnoteReference"/>
        </w:rPr>
        <w:footnoteRef/>
      </w:r>
      <w:r>
        <w:t xml:space="preserve"> R.C. 4903.09</w:t>
      </w:r>
      <w:r w:rsidR="007C067D">
        <w:t>.</w:t>
      </w:r>
    </w:p>
  </w:footnote>
  <w:footnote w:id="6">
    <w:p w:rsidR="00F81836" w:rsidP="008370CF" w14:paraId="2954FC3B" w14:textId="6BE5F2DF">
      <w:pPr>
        <w:pStyle w:val="FootnoteText"/>
        <w:spacing w:after="120"/>
      </w:pPr>
      <w:r>
        <w:rPr>
          <w:rStyle w:val="FootnoteReference"/>
        </w:rPr>
        <w:footnoteRef/>
      </w:r>
      <w:r>
        <w:t xml:space="preserve"> O.A.C. 4901-1-09. </w:t>
      </w:r>
    </w:p>
  </w:footnote>
  <w:footnote w:id="7">
    <w:p w:rsidR="00F81836" w:rsidP="008370CF" w14:paraId="5C3B5809" w14:textId="4445D97A">
      <w:pPr>
        <w:pStyle w:val="FootnoteText"/>
        <w:spacing w:after="120"/>
      </w:pPr>
      <w:r>
        <w:rPr>
          <w:rStyle w:val="FootnoteReference"/>
        </w:rPr>
        <w:footnoteRef/>
      </w:r>
      <w:r>
        <w:t xml:space="preserve"> O.A.C. 4901-1-10(C).</w:t>
      </w:r>
    </w:p>
  </w:footnote>
  <w:footnote w:id="8">
    <w:p w:rsidR="00842A82" w:rsidP="008370CF" w14:paraId="6FF9DBC7" w14:textId="1F378C45">
      <w:pPr>
        <w:pStyle w:val="FootnoteText"/>
        <w:spacing w:after="120"/>
      </w:pPr>
      <w:r>
        <w:rPr>
          <w:rStyle w:val="FootnoteReference"/>
        </w:rPr>
        <w:footnoteRef/>
      </w:r>
      <w:r>
        <w:t xml:space="preserve"> </w:t>
      </w:r>
      <w:r>
        <w:rPr>
          <w:rFonts w:eastAsia="Times New Roman"/>
          <w:i/>
          <w:iCs/>
        </w:rPr>
        <w:t>In re Suvon, L.L.C.,</w:t>
      </w:r>
      <w:r>
        <w:rPr>
          <w:rFonts w:eastAsia="Times New Roman"/>
        </w:rPr>
        <w:t>166 Ohio St.3d 519, 526, 2021-Ohio-3630.</w:t>
      </w:r>
    </w:p>
  </w:footnote>
  <w:footnote w:id="9">
    <w:p w:rsidR="00387E12" w:rsidRPr="008372E3" w:rsidP="008370CF" w14:paraId="15F2DDA3" w14:textId="0501718E">
      <w:pPr>
        <w:pStyle w:val="FootnoteText"/>
        <w:spacing w:after="120"/>
        <w:rPr>
          <w:i/>
          <w:iCs/>
        </w:rPr>
      </w:pPr>
      <w:r>
        <w:rPr>
          <w:rStyle w:val="FootnoteReference"/>
        </w:rPr>
        <w:footnoteRef/>
      </w:r>
      <w:r>
        <w:t xml:space="preserve"> </w:t>
      </w:r>
      <w:r w:rsidRPr="008372E3">
        <w:rPr>
          <w:rFonts w:eastAsia="Times New Roman" w:cs="Times New Roman"/>
          <w:i/>
          <w:iCs/>
        </w:rPr>
        <w:t>Tongren v. Pub. Util. Comm</w:t>
      </w:r>
      <w:r w:rsidRPr="008372E3">
        <w:rPr>
          <w:rFonts w:eastAsia="Times New Roman" w:cs="Times New Roman"/>
        </w:rPr>
        <w:t>., 85 Ohio St.3d 87 at 89.</w:t>
      </w:r>
    </w:p>
  </w:footnote>
  <w:footnote w:id="10">
    <w:p w:rsidR="00C43C39" w:rsidP="008370CF" w14:paraId="689F144D" w14:textId="77777777">
      <w:pPr>
        <w:pStyle w:val="FootnoteText"/>
        <w:spacing w:after="120"/>
      </w:pPr>
      <w:r>
        <w:rPr>
          <w:rStyle w:val="FootnoteReference"/>
        </w:rPr>
        <w:footnoteRef/>
      </w:r>
      <w:r>
        <w:t xml:space="preserve"> </w:t>
      </w:r>
      <w:r>
        <w:rPr>
          <w:i/>
          <w:iCs/>
        </w:rPr>
        <w:t>Id.</w:t>
      </w:r>
    </w:p>
  </w:footnote>
  <w:footnote w:id="11">
    <w:p w:rsidR="00C43C39" w:rsidP="008370CF" w14:paraId="1B5C6594" w14:textId="77777777">
      <w:pPr>
        <w:pStyle w:val="FootnoteText"/>
        <w:spacing w:after="120"/>
      </w:pPr>
      <w:r>
        <w:rPr>
          <w:rStyle w:val="FootnoteReference"/>
        </w:rPr>
        <w:footnoteRef/>
      </w:r>
      <w:r>
        <w:t xml:space="preserve"> </w:t>
      </w:r>
      <w:r>
        <w:rPr>
          <w:i/>
          <w:iCs/>
        </w:rPr>
        <w:t>Id.</w:t>
      </w:r>
    </w:p>
  </w:footnote>
  <w:footnote w:id="12">
    <w:p w:rsidR="00C43C39" w:rsidP="008370CF" w14:paraId="42B19F47" w14:textId="77777777">
      <w:pPr>
        <w:pStyle w:val="FootnoteText"/>
        <w:spacing w:after="120"/>
      </w:pPr>
      <w:r>
        <w:rPr>
          <w:rStyle w:val="FootnoteReference"/>
        </w:rPr>
        <w:footnoteRef/>
      </w:r>
      <w:r>
        <w:t xml:space="preserve"> </w:t>
      </w:r>
      <w:r>
        <w:rPr>
          <w:i/>
          <w:iCs/>
        </w:rPr>
        <w:t>Id.</w:t>
      </w:r>
    </w:p>
  </w:footnote>
  <w:footnote w:id="13">
    <w:p w:rsidR="00E00113" w:rsidP="008370CF" w14:paraId="3112F9FD" w14:textId="0BEA8B6A">
      <w:pPr>
        <w:pStyle w:val="FootnoteText"/>
        <w:spacing w:after="120"/>
      </w:pPr>
      <w:r>
        <w:rPr>
          <w:rStyle w:val="FootnoteReference"/>
        </w:rPr>
        <w:footnoteRef/>
      </w:r>
      <w:r>
        <w:t xml:space="preserve"> </w:t>
      </w:r>
      <w:r w:rsidR="00D905CA">
        <w:t>S</w:t>
      </w:r>
      <w:r w:rsidRPr="008372E3" w:rsidR="00D905CA">
        <w:rPr>
          <w:i/>
          <w:iCs/>
        </w:rPr>
        <w:t xml:space="preserve">ee </w:t>
      </w:r>
      <w:r w:rsidRPr="008372E3">
        <w:rPr>
          <w:i/>
          <w:iCs/>
        </w:rPr>
        <w:t>In the Matter of the Application of Duke Energy Ohio, Inc., to Adjust and Set Rider DS</w:t>
      </w:r>
      <w:r w:rsidR="00AA66C5">
        <w:rPr>
          <w:i/>
          <w:iCs/>
        </w:rPr>
        <w:t xml:space="preserve">, </w:t>
      </w:r>
      <w:r w:rsidRPr="008372E3" w:rsidR="00AA66C5">
        <w:t>Case No. 23-126-EL-RDR</w:t>
      </w:r>
      <w:r w:rsidR="00061E2A">
        <w:t xml:space="preserve">, </w:t>
      </w:r>
      <w:r>
        <w:t xml:space="preserve">Finding and </w:t>
      </w:r>
      <w:r w:rsidRPr="00E00113">
        <w:t>Order at ¶ 12</w:t>
      </w:r>
      <w:r>
        <w:t xml:space="preserve"> </w:t>
      </w:r>
      <w:r w:rsidR="00061E2A">
        <w:t>(Oct</w:t>
      </w:r>
      <w:r w:rsidR="007C067D">
        <w:t>ober</w:t>
      </w:r>
      <w:r w:rsidR="00061E2A">
        <w:t xml:space="preserve"> 4, 2023).</w:t>
      </w:r>
    </w:p>
  </w:footnote>
  <w:footnote w:id="14">
    <w:p w:rsidR="00D82A38" w:rsidRPr="00693AD4" w:rsidP="008370CF" w14:paraId="686BF302" w14:textId="61A3D06F">
      <w:pPr>
        <w:pStyle w:val="FootnoteText"/>
        <w:spacing w:after="120"/>
        <w:rPr>
          <w:highlight w:val="yellow"/>
        </w:rPr>
      </w:pPr>
      <w:r>
        <w:rPr>
          <w:rStyle w:val="FootnoteReference"/>
        </w:rPr>
        <w:footnoteRef/>
      </w:r>
      <w:r>
        <w:t xml:space="preserve"> </w:t>
      </w:r>
      <w:r w:rsidR="00961A19">
        <w:rPr>
          <w:i/>
          <w:iCs/>
          <w:color w:val="000000"/>
          <w:bdr w:val="none" w:sz="0" w:space="0" w:color="auto" w:frame="1"/>
        </w:rPr>
        <w:t>In re Comm. Rev. of the Capacity Charges of Ohio Power Co.</w:t>
      </w:r>
      <w:r w:rsidR="00961A19">
        <w:rPr>
          <w:color w:val="000000"/>
          <w:bdr w:val="none" w:sz="0" w:space="0" w:color="auto" w:frame="1"/>
        </w:rPr>
        <w:t>, 147 Ohio St.3d 59, 2016-Ohio-1607, 60 N.E.3d 1221, ¶ 51</w:t>
      </w:r>
      <w:r w:rsidR="006C20A7">
        <w:rPr>
          <w:color w:val="000000"/>
          <w:bdr w:val="none" w:sz="0" w:space="0" w:color="auto" w:frame="1"/>
        </w:rPr>
        <w:t xml:space="preserve">; </w:t>
      </w:r>
      <w:r w:rsidR="006C20A7">
        <w:rPr>
          <w:i/>
          <w:iCs/>
          <w:color w:val="000000"/>
          <w:bdr w:val="none" w:sz="0" w:space="0" w:color="auto" w:frame="1"/>
        </w:rPr>
        <w:t>see also In re Suvon, L.L.C.</w:t>
      </w:r>
      <w:r w:rsidR="006C20A7">
        <w:rPr>
          <w:color w:val="000000"/>
          <w:bdr w:val="none" w:sz="0" w:space="0" w:color="auto" w:frame="1"/>
        </w:rPr>
        <w:t>, 166 Ohio St.3d 519, 524-28 (2021)</w:t>
      </w:r>
      <w:r w:rsidR="00961A19">
        <w:rPr>
          <w:color w:val="000000"/>
          <w:bdr w:val="none" w:sz="0" w:space="0" w:color="auto" w:frame="1"/>
        </w:rPr>
        <w:t>.</w:t>
      </w:r>
    </w:p>
  </w:footnote>
  <w:footnote w:id="15">
    <w:p w:rsidR="00FA411E" w:rsidRPr="008F12B3" w:rsidP="008370CF" w14:paraId="656BF94D" w14:textId="11911F2F">
      <w:pPr>
        <w:pStyle w:val="FootnoteText"/>
        <w:spacing w:after="120"/>
        <w:rPr>
          <w:rFonts w:cs="Times New Roman"/>
        </w:rPr>
      </w:pPr>
      <w:r w:rsidRPr="00961A19">
        <w:rPr>
          <w:rStyle w:val="FootnoteReference"/>
          <w:rFonts w:cs="Times New Roman"/>
        </w:rPr>
        <w:footnoteRef/>
      </w:r>
      <w:r w:rsidRPr="00961A19">
        <w:rPr>
          <w:rFonts w:cs="Times New Roman"/>
        </w:rPr>
        <w:t xml:space="preserve"> </w:t>
      </w:r>
      <w:r w:rsidRPr="00961A19" w:rsidR="0040764B">
        <w:rPr>
          <w:rFonts w:cs="Times New Roman"/>
          <w:i/>
          <w:iCs/>
        </w:rPr>
        <w:t>Id</w:t>
      </w:r>
      <w:r w:rsidR="00131789">
        <w:rPr>
          <w:rFonts w:cs="Times New Roman"/>
          <w:i/>
          <w:iCs/>
        </w:rPr>
        <w:t>.</w:t>
      </w:r>
    </w:p>
  </w:footnote>
  <w:footnote w:id="16">
    <w:p w:rsidR="002A32DA" w:rsidP="008370CF" w14:paraId="07B97EAE" w14:textId="5A3A91AE">
      <w:pPr>
        <w:pStyle w:val="FootnoteText"/>
        <w:spacing w:after="120"/>
      </w:pPr>
      <w:r>
        <w:rPr>
          <w:rStyle w:val="FootnoteReference"/>
        </w:rPr>
        <w:footnoteRef/>
      </w:r>
      <w:r>
        <w:t xml:space="preserve"> </w:t>
      </w:r>
      <w:r>
        <w:rPr>
          <w:rFonts w:cs="Times New Roman"/>
        </w:rPr>
        <w:t>OCC and NOAC Reply Comments at 2-3, 9-10; OCC and NOAC Initial Comments at 11.</w:t>
      </w:r>
    </w:p>
  </w:footnote>
  <w:footnote w:id="17">
    <w:p w:rsidR="002A32DA" w:rsidP="008370CF" w14:paraId="52D28D10" w14:textId="344C9296">
      <w:pPr>
        <w:pStyle w:val="FootnoteText"/>
        <w:spacing w:after="120"/>
      </w:pPr>
      <w:r>
        <w:rPr>
          <w:rStyle w:val="FootnoteReference"/>
        </w:rPr>
        <w:footnoteRef/>
      </w:r>
      <w:r>
        <w:t xml:space="preserve"> </w:t>
      </w:r>
      <w:r w:rsidR="009A47FF">
        <w:t xml:space="preserve">Finding </w:t>
      </w:r>
      <w:r>
        <w:t xml:space="preserve">and Order at </w:t>
      </w:r>
      <w:r>
        <w:rPr>
          <w:color w:val="000000"/>
          <w:bdr w:val="none" w:sz="0" w:space="0" w:color="auto" w:frame="1"/>
        </w:rPr>
        <w:t>¶44.</w:t>
      </w:r>
    </w:p>
  </w:footnote>
  <w:footnote w:id="18">
    <w:p w:rsidR="00CD60E6" w:rsidRPr="008372E3" w:rsidP="008370CF" w14:paraId="37E2FBF4" w14:textId="5ED9C8D7">
      <w:pPr>
        <w:pStyle w:val="FootnoteText"/>
        <w:spacing w:after="120"/>
        <w:rPr>
          <w:i/>
          <w:iCs/>
        </w:rPr>
      </w:pPr>
      <w:r>
        <w:rPr>
          <w:rStyle w:val="FootnoteReference"/>
        </w:rPr>
        <w:footnoteRef/>
      </w:r>
      <w:r>
        <w:t xml:space="preserve"> </w:t>
      </w:r>
      <w:r>
        <w:rPr>
          <w:i/>
          <w:iCs/>
        </w:rPr>
        <w:t xml:space="preserve">See </w:t>
      </w:r>
      <w:r>
        <w:rPr>
          <w:rFonts w:eastAsia="Times New Roman"/>
          <w:i/>
          <w:iCs/>
        </w:rPr>
        <w:t>In re Suvon, L.L.C.,</w:t>
      </w:r>
      <w:r>
        <w:rPr>
          <w:rFonts w:eastAsia="Times New Roman"/>
        </w:rPr>
        <w:t>166 Ohio St.3d 519, 526, 2021-Ohio-3630.</w:t>
      </w:r>
    </w:p>
  </w:footnote>
  <w:footnote w:id="19">
    <w:p w:rsidR="002A32DA" w:rsidRPr="002A32DA" w:rsidP="008370CF" w14:paraId="0FE962DA" w14:textId="491B8E2E">
      <w:pPr>
        <w:pStyle w:val="FootnoteText"/>
        <w:spacing w:after="120"/>
        <w:rPr>
          <w:i/>
          <w:iCs/>
        </w:rPr>
      </w:pPr>
      <w:r>
        <w:rPr>
          <w:rStyle w:val="FootnoteReference"/>
        </w:rPr>
        <w:footnoteRef/>
      </w:r>
      <w:r>
        <w:t xml:space="preserve"> </w:t>
      </w:r>
      <w:r w:rsidR="00CD60E6">
        <w:t xml:space="preserve">Finding and Order at </w:t>
      </w:r>
      <w:r w:rsidR="00CD60E6">
        <w:rPr>
          <w:color w:val="000000"/>
          <w:bdr w:val="none" w:sz="0" w:space="0" w:color="auto" w:frame="1"/>
        </w:rPr>
        <w:t>¶44.</w:t>
      </w:r>
    </w:p>
  </w:footnote>
  <w:footnote w:id="20">
    <w:p w:rsidR="00324A7C" w:rsidP="008370CF" w14:paraId="5692AA6D" w14:textId="36294FC4">
      <w:pPr>
        <w:pStyle w:val="FootnoteText"/>
        <w:spacing w:after="120"/>
      </w:pPr>
      <w:r>
        <w:rPr>
          <w:rStyle w:val="FootnoteReference"/>
        </w:rPr>
        <w:footnoteRef/>
      </w:r>
      <w:r>
        <w:t xml:space="preserve"> </w:t>
      </w:r>
      <w:r>
        <w:rPr>
          <w:i/>
          <w:iCs/>
          <w:color w:val="000000"/>
          <w:bdr w:val="none" w:sz="0" w:space="0" w:color="auto" w:frame="1"/>
        </w:rPr>
        <w:t>In re E. Ohio Gas Co.</w:t>
      </w:r>
      <w:r>
        <w:rPr>
          <w:color w:val="000000"/>
          <w:bdr w:val="none" w:sz="0" w:space="0" w:color="auto" w:frame="1"/>
        </w:rPr>
        <w:t>, 2023-Ohio-3289, ¶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D4" w14:paraId="59F72F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D4" w14:paraId="60ACDB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D4" w14:paraId="3A9D37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02A029C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02F7"/>
    <w:rsid w:val="0000224D"/>
    <w:rsid w:val="00003382"/>
    <w:rsid w:val="00003A6E"/>
    <w:rsid w:val="00006CC9"/>
    <w:rsid w:val="0001597C"/>
    <w:rsid w:val="000202A0"/>
    <w:rsid w:val="00024B4B"/>
    <w:rsid w:val="00030205"/>
    <w:rsid w:val="00030E37"/>
    <w:rsid w:val="00033313"/>
    <w:rsid w:val="00033D2A"/>
    <w:rsid w:val="00035F75"/>
    <w:rsid w:val="000373BB"/>
    <w:rsid w:val="00037D3C"/>
    <w:rsid w:val="00037D47"/>
    <w:rsid w:val="000404DE"/>
    <w:rsid w:val="00041D32"/>
    <w:rsid w:val="0004462F"/>
    <w:rsid w:val="00045734"/>
    <w:rsid w:val="00050B87"/>
    <w:rsid w:val="00051420"/>
    <w:rsid w:val="0005286A"/>
    <w:rsid w:val="00053781"/>
    <w:rsid w:val="00053930"/>
    <w:rsid w:val="0005474D"/>
    <w:rsid w:val="000605B2"/>
    <w:rsid w:val="00060C07"/>
    <w:rsid w:val="00060D4E"/>
    <w:rsid w:val="00061E2A"/>
    <w:rsid w:val="00061F69"/>
    <w:rsid w:val="00062C1C"/>
    <w:rsid w:val="00064A76"/>
    <w:rsid w:val="00073318"/>
    <w:rsid w:val="000739CD"/>
    <w:rsid w:val="00075651"/>
    <w:rsid w:val="00075EBA"/>
    <w:rsid w:val="000773D5"/>
    <w:rsid w:val="00080E58"/>
    <w:rsid w:val="00081FBA"/>
    <w:rsid w:val="000829FD"/>
    <w:rsid w:val="000844C0"/>
    <w:rsid w:val="00087E80"/>
    <w:rsid w:val="00092CC5"/>
    <w:rsid w:val="00094330"/>
    <w:rsid w:val="000A4DA2"/>
    <w:rsid w:val="000A6B46"/>
    <w:rsid w:val="000A6CAB"/>
    <w:rsid w:val="000A6F51"/>
    <w:rsid w:val="000A76B6"/>
    <w:rsid w:val="000B0F09"/>
    <w:rsid w:val="000C43F6"/>
    <w:rsid w:val="000C5917"/>
    <w:rsid w:val="000C5C25"/>
    <w:rsid w:val="000C5F2C"/>
    <w:rsid w:val="000D1576"/>
    <w:rsid w:val="000D2871"/>
    <w:rsid w:val="000D2DB4"/>
    <w:rsid w:val="000D358C"/>
    <w:rsid w:val="000D531E"/>
    <w:rsid w:val="000D63DF"/>
    <w:rsid w:val="000E48AE"/>
    <w:rsid w:val="000E7D3E"/>
    <w:rsid w:val="000F2856"/>
    <w:rsid w:val="000F73BA"/>
    <w:rsid w:val="00104401"/>
    <w:rsid w:val="0010753A"/>
    <w:rsid w:val="00120147"/>
    <w:rsid w:val="00120FB5"/>
    <w:rsid w:val="001258E8"/>
    <w:rsid w:val="00126ABB"/>
    <w:rsid w:val="00127D95"/>
    <w:rsid w:val="00131789"/>
    <w:rsid w:val="00133EF9"/>
    <w:rsid w:val="00134D14"/>
    <w:rsid w:val="0014095B"/>
    <w:rsid w:val="00141BD6"/>
    <w:rsid w:val="00142A17"/>
    <w:rsid w:val="00144814"/>
    <w:rsid w:val="001458FF"/>
    <w:rsid w:val="00147A90"/>
    <w:rsid w:val="00151937"/>
    <w:rsid w:val="00152A74"/>
    <w:rsid w:val="0015444F"/>
    <w:rsid w:val="00154D35"/>
    <w:rsid w:val="00161424"/>
    <w:rsid w:val="001618C0"/>
    <w:rsid w:val="00167711"/>
    <w:rsid w:val="00174FD5"/>
    <w:rsid w:val="0017656C"/>
    <w:rsid w:val="00177C12"/>
    <w:rsid w:val="001802E9"/>
    <w:rsid w:val="00182457"/>
    <w:rsid w:val="00182921"/>
    <w:rsid w:val="00184B32"/>
    <w:rsid w:val="00186CB5"/>
    <w:rsid w:val="001921EE"/>
    <w:rsid w:val="00193A65"/>
    <w:rsid w:val="00195C32"/>
    <w:rsid w:val="001972BD"/>
    <w:rsid w:val="00197E6E"/>
    <w:rsid w:val="001A5A4A"/>
    <w:rsid w:val="001B2AB2"/>
    <w:rsid w:val="001B6DBF"/>
    <w:rsid w:val="001B71B7"/>
    <w:rsid w:val="001C0BE2"/>
    <w:rsid w:val="001C0CE2"/>
    <w:rsid w:val="001C25DD"/>
    <w:rsid w:val="001C7B58"/>
    <w:rsid w:val="001C7E06"/>
    <w:rsid w:val="001D2205"/>
    <w:rsid w:val="001D57D5"/>
    <w:rsid w:val="001E1932"/>
    <w:rsid w:val="001E2D93"/>
    <w:rsid w:val="001E4C9A"/>
    <w:rsid w:val="001E5CCF"/>
    <w:rsid w:val="001E66C6"/>
    <w:rsid w:val="001F17C8"/>
    <w:rsid w:val="001F2033"/>
    <w:rsid w:val="001F4B10"/>
    <w:rsid w:val="001F6B49"/>
    <w:rsid w:val="0020599E"/>
    <w:rsid w:val="00205C1D"/>
    <w:rsid w:val="00206857"/>
    <w:rsid w:val="002070B4"/>
    <w:rsid w:val="0021078E"/>
    <w:rsid w:val="002139B2"/>
    <w:rsid w:val="00214E0C"/>
    <w:rsid w:val="00215A70"/>
    <w:rsid w:val="00216524"/>
    <w:rsid w:val="00216F1F"/>
    <w:rsid w:val="00225214"/>
    <w:rsid w:val="00233023"/>
    <w:rsid w:val="0023728D"/>
    <w:rsid w:val="00244209"/>
    <w:rsid w:val="00244C5E"/>
    <w:rsid w:val="00246318"/>
    <w:rsid w:val="00247431"/>
    <w:rsid w:val="002509AF"/>
    <w:rsid w:val="002552CD"/>
    <w:rsid w:val="002571AE"/>
    <w:rsid w:val="00262AC3"/>
    <w:rsid w:val="00262F26"/>
    <w:rsid w:val="00262F47"/>
    <w:rsid w:val="00266DCF"/>
    <w:rsid w:val="00267587"/>
    <w:rsid w:val="002677A9"/>
    <w:rsid w:val="00270D5D"/>
    <w:rsid w:val="00274D3B"/>
    <w:rsid w:val="0027560B"/>
    <w:rsid w:val="00290D6C"/>
    <w:rsid w:val="00292B2C"/>
    <w:rsid w:val="00293E41"/>
    <w:rsid w:val="002A01FC"/>
    <w:rsid w:val="002A046C"/>
    <w:rsid w:val="002A32DA"/>
    <w:rsid w:val="002A6933"/>
    <w:rsid w:val="002B0278"/>
    <w:rsid w:val="002B11DE"/>
    <w:rsid w:val="002B21E6"/>
    <w:rsid w:val="002B3319"/>
    <w:rsid w:val="002B6E51"/>
    <w:rsid w:val="002C0344"/>
    <w:rsid w:val="002C1871"/>
    <w:rsid w:val="002C1E38"/>
    <w:rsid w:val="002C4209"/>
    <w:rsid w:val="002C45BB"/>
    <w:rsid w:val="002C4B2E"/>
    <w:rsid w:val="002D4B35"/>
    <w:rsid w:val="002D4C63"/>
    <w:rsid w:val="002D7EBE"/>
    <w:rsid w:val="002E18F7"/>
    <w:rsid w:val="002E2564"/>
    <w:rsid w:val="002E277F"/>
    <w:rsid w:val="002E3822"/>
    <w:rsid w:val="002E5502"/>
    <w:rsid w:val="002E568F"/>
    <w:rsid w:val="002E6ED4"/>
    <w:rsid w:val="002E7088"/>
    <w:rsid w:val="002F210E"/>
    <w:rsid w:val="002F3C36"/>
    <w:rsid w:val="002F5B5B"/>
    <w:rsid w:val="002F5C81"/>
    <w:rsid w:val="002F77D2"/>
    <w:rsid w:val="00302C76"/>
    <w:rsid w:val="00302DF2"/>
    <w:rsid w:val="003040BD"/>
    <w:rsid w:val="00310581"/>
    <w:rsid w:val="00312ABA"/>
    <w:rsid w:val="003157EB"/>
    <w:rsid w:val="00315C87"/>
    <w:rsid w:val="00321E47"/>
    <w:rsid w:val="003235AC"/>
    <w:rsid w:val="00324A7C"/>
    <w:rsid w:val="00324B21"/>
    <w:rsid w:val="00327FF2"/>
    <w:rsid w:val="00331BE8"/>
    <w:rsid w:val="00334C84"/>
    <w:rsid w:val="00336D6B"/>
    <w:rsid w:val="0034144C"/>
    <w:rsid w:val="00346E6C"/>
    <w:rsid w:val="00347834"/>
    <w:rsid w:val="00347A74"/>
    <w:rsid w:val="00350036"/>
    <w:rsid w:val="003503CC"/>
    <w:rsid w:val="00351E7D"/>
    <w:rsid w:val="003524E1"/>
    <w:rsid w:val="003538BF"/>
    <w:rsid w:val="00354CB1"/>
    <w:rsid w:val="003554C4"/>
    <w:rsid w:val="00357E2A"/>
    <w:rsid w:val="00364CF1"/>
    <w:rsid w:val="00375DEA"/>
    <w:rsid w:val="00381842"/>
    <w:rsid w:val="00381B68"/>
    <w:rsid w:val="00383BC2"/>
    <w:rsid w:val="00383FE2"/>
    <w:rsid w:val="0038632E"/>
    <w:rsid w:val="00387143"/>
    <w:rsid w:val="00387E12"/>
    <w:rsid w:val="003902EC"/>
    <w:rsid w:val="00391F0E"/>
    <w:rsid w:val="003A5E01"/>
    <w:rsid w:val="003A7CEB"/>
    <w:rsid w:val="003B178A"/>
    <w:rsid w:val="003B38D8"/>
    <w:rsid w:val="003C0BC9"/>
    <w:rsid w:val="003C1E55"/>
    <w:rsid w:val="003C22CB"/>
    <w:rsid w:val="003C312E"/>
    <w:rsid w:val="003C44FC"/>
    <w:rsid w:val="003C4F75"/>
    <w:rsid w:val="003D103B"/>
    <w:rsid w:val="003D3D8D"/>
    <w:rsid w:val="003D4E6A"/>
    <w:rsid w:val="003D4FBD"/>
    <w:rsid w:val="003E2553"/>
    <w:rsid w:val="003E28B1"/>
    <w:rsid w:val="003E47BD"/>
    <w:rsid w:val="003E4C1A"/>
    <w:rsid w:val="003E6576"/>
    <w:rsid w:val="003E760B"/>
    <w:rsid w:val="003E7971"/>
    <w:rsid w:val="003F14C3"/>
    <w:rsid w:val="003F440A"/>
    <w:rsid w:val="003F474A"/>
    <w:rsid w:val="003F5C5D"/>
    <w:rsid w:val="00401E4F"/>
    <w:rsid w:val="00402ED9"/>
    <w:rsid w:val="00403913"/>
    <w:rsid w:val="0040480E"/>
    <w:rsid w:val="0040593E"/>
    <w:rsid w:val="0040764B"/>
    <w:rsid w:val="004077ED"/>
    <w:rsid w:val="00407811"/>
    <w:rsid w:val="00407943"/>
    <w:rsid w:val="00412B54"/>
    <w:rsid w:val="004133EE"/>
    <w:rsid w:val="0042093B"/>
    <w:rsid w:val="00421452"/>
    <w:rsid w:val="004242CB"/>
    <w:rsid w:val="00425F0C"/>
    <w:rsid w:val="00432523"/>
    <w:rsid w:val="004353CA"/>
    <w:rsid w:val="00441F01"/>
    <w:rsid w:val="004448B2"/>
    <w:rsid w:val="00445EF7"/>
    <w:rsid w:val="00453A2C"/>
    <w:rsid w:val="00454254"/>
    <w:rsid w:val="00454401"/>
    <w:rsid w:val="004574B4"/>
    <w:rsid w:val="00461179"/>
    <w:rsid w:val="00461696"/>
    <w:rsid w:val="0046199B"/>
    <w:rsid w:val="00461AFC"/>
    <w:rsid w:val="0046358A"/>
    <w:rsid w:val="00463728"/>
    <w:rsid w:val="0046415A"/>
    <w:rsid w:val="00464B9F"/>
    <w:rsid w:val="004667E0"/>
    <w:rsid w:val="0047275D"/>
    <w:rsid w:val="00474B67"/>
    <w:rsid w:val="0047758F"/>
    <w:rsid w:val="00477E9D"/>
    <w:rsid w:val="00480E3D"/>
    <w:rsid w:val="00482B78"/>
    <w:rsid w:val="0048302F"/>
    <w:rsid w:val="00485F7F"/>
    <w:rsid w:val="00485FB2"/>
    <w:rsid w:val="00486FFF"/>
    <w:rsid w:val="004875DB"/>
    <w:rsid w:val="004911A5"/>
    <w:rsid w:val="004946DE"/>
    <w:rsid w:val="00495680"/>
    <w:rsid w:val="004A3147"/>
    <w:rsid w:val="004A4C41"/>
    <w:rsid w:val="004B17DA"/>
    <w:rsid w:val="004B524B"/>
    <w:rsid w:val="004B7BE8"/>
    <w:rsid w:val="004B7DC4"/>
    <w:rsid w:val="004C0E4E"/>
    <w:rsid w:val="004C165E"/>
    <w:rsid w:val="004C2959"/>
    <w:rsid w:val="004C3FC7"/>
    <w:rsid w:val="004C40ED"/>
    <w:rsid w:val="004C5B01"/>
    <w:rsid w:val="004C6421"/>
    <w:rsid w:val="004D1D07"/>
    <w:rsid w:val="004D22DD"/>
    <w:rsid w:val="004D23A0"/>
    <w:rsid w:val="004D384D"/>
    <w:rsid w:val="004D49A4"/>
    <w:rsid w:val="004D576B"/>
    <w:rsid w:val="004E09DF"/>
    <w:rsid w:val="004E1FEB"/>
    <w:rsid w:val="004E4647"/>
    <w:rsid w:val="004E7170"/>
    <w:rsid w:val="004F558E"/>
    <w:rsid w:val="005102F9"/>
    <w:rsid w:val="0051044C"/>
    <w:rsid w:val="00511C31"/>
    <w:rsid w:val="00512DCB"/>
    <w:rsid w:val="00513AC8"/>
    <w:rsid w:val="00516417"/>
    <w:rsid w:val="00521A79"/>
    <w:rsid w:val="00521C37"/>
    <w:rsid w:val="00521FA8"/>
    <w:rsid w:val="00522047"/>
    <w:rsid w:val="00522D56"/>
    <w:rsid w:val="005245BC"/>
    <w:rsid w:val="00524879"/>
    <w:rsid w:val="00527232"/>
    <w:rsid w:val="00527CB3"/>
    <w:rsid w:val="00530006"/>
    <w:rsid w:val="00530A4E"/>
    <w:rsid w:val="00532A68"/>
    <w:rsid w:val="0053379B"/>
    <w:rsid w:val="00533E30"/>
    <w:rsid w:val="00534B66"/>
    <w:rsid w:val="0053578E"/>
    <w:rsid w:val="00535BCF"/>
    <w:rsid w:val="005365F6"/>
    <w:rsid w:val="00546FED"/>
    <w:rsid w:val="00550275"/>
    <w:rsid w:val="005514FC"/>
    <w:rsid w:val="00552277"/>
    <w:rsid w:val="005535FB"/>
    <w:rsid w:val="005538EA"/>
    <w:rsid w:val="00553E4D"/>
    <w:rsid w:val="00557E2F"/>
    <w:rsid w:val="00560BCF"/>
    <w:rsid w:val="005639A5"/>
    <w:rsid w:val="005650C0"/>
    <w:rsid w:val="00565239"/>
    <w:rsid w:val="00567EA9"/>
    <w:rsid w:val="00571280"/>
    <w:rsid w:val="00572515"/>
    <w:rsid w:val="005826D4"/>
    <w:rsid w:val="005859A7"/>
    <w:rsid w:val="005868F1"/>
    <w:rsid w:val="00590698"/>
    <w:rsid w:val="00590F7B"/>
    <w:rsid w:val="00591476"/>
    <w:rsid w:val="0059395A"/>
    <w:rsid w:val="00596B6D"/>
    <w:rsid w:val="00597D62"/>
    <w:rsid w:val="005A0312"/>
    <w:rsid w:val="005A0BDB"/>
    <w:rsid w:val="005A1581"/>
    <w:rsid w:val="005A2279"/>
    <w:rsid w:val="005A29AE"/>
    <w:rsid w:val="005A4A93"/>
    <w:rsid w:val="005A7045"/>
    <w:rsid w:val="005B3722"/>
    <w:rsid w:val="005B5B87"/>
    <w:rsid w:val="005B5DBE"/>
    <w:rsid w:val="005B6560"/>
    <w:rsid w:val="005B754F"/>
    <w:rsid w:val="005C1525"/>
    <w:rsid w:val="005C351C"/>
    <w:rsid w:val="005C50ED"/>
    <w:rsid w:val="005C5447"/>
    <w:rsid w:val="005C6900"/>
    <w:rsid w:val="005C7F50"/>
    <w:rsid w:val="005D3D3C"/>
    <w:rsid w:val="005D5FBA"/>
    <w:rsid w:val="005D65B3"/>
    <w:rsid w:val="005E0638"/>
    <w:rsid w:val="005E1F02"/>
    <w:rsid w:val="005E3CAE"/>
    <w:rsid w:val="005E3D2C"/>
    <w:rsid w:val="005E5A7F"/>
    <w:rsid w:val="005F0886"/>
    <w:rsid w:val="005F13DD"/>
    <w:rsid w:val="005F3639"/>
    <w:rsid w:val="005F6507"/>
    <w:rsid w:val="005F6EEA"/>
    <w:rsid w:val="006018FA"/>
    <w:rsid w:val="00601BB4"/>
    <w:rsid w:val="00604931"/>
    <w:rsid w:val="0061332B"/>
    <w:rsid w:val="00613F2D"/>
    <w:rsid w:val="006154B4"/>
    <w:rsid w:val="006175CB"/>
    <w:rsid w:val="00623446"/>
    <w:rsid w:val="0062351F"/>
    <w:rsid w:val="00624C8F"/>
    <w:rsid w:val="00626590"/>
    <w:rsid w:val="00627945"/>
    <w:rsid w:val="00631FBC"/>
    <w:rsid w:val="00632968"/>
    <w:rsid w:val="00644870"/>
    <w:rsid w:val="00647287"/>
    <w:rsid w:val="00651679"/>
    <w:rsid w:val="00652897"/>
    <w:rsid w:val="006540D9"/>
    <w:rsid w:val="006550F3"/>
    <w:rsid w:val="00655E90"/>
    <w:rsid w:val="00663AC9"/>
    <w:rsid w:val="00663CE9"/>
    <w:rsid w:val="006745A7"/>
    <w:rsid w:val="006774BE"/>
    <w:rsid w:val="006838CC"/>
    <w:rsid w:val="00683B78"/>
    <w:rsid w:val="006840A8"/>
    <w:rsid w:val="0068469D"/>
    <w:rsid w:val="006868EB"/>
    <w:rsid w:val="00690446"/>
    <w:rsid w:val="006916CE"/>
    <w:rsid w:val="00692D8F"/>
    <w:rsid w:val="00693AD4"/>
    <w:rsid w:val="00693D82"/>
    <w:rsid w:val="006A0331"/>
    <w:rsid w:val="006A1BDB"/>
    <w:rsid w:val="006A305C"/>
    <w:rsid w:val="006A351C"/>
    <w:rsid w:val="006A47F4"/>
    <w:rsid w:val="006A64C8"/>
    <w:rsid w:val="006B0865"/>
    <w:rsid w:val="006B0EF8"/>
    <w:rsid w:val="006B181E"/>
    <w:rsid w:val="006B1949"/>
    <w:rsid w:val="006B2369"/>
    <w:rsid w:val="006B3079"/>
    <w:rsid w:val="006B3086"/>
    <w:rsid w:val="006B49FB"/>
    <w:rsid w:val="006B5ACA"/>
    <w:rsid w:val="006B6256"/>
    <w:rsid w:val="006B7858"/>
    <w:rsid w:val="006C1552"/>
    <w:rsid w:val="006C20A7"/>
    <w:rsid w:val="006C3419"/>
    <w:rsid w:val="006C4A7C"/>
    <w:rsid w:val="006C5C84"/>
    <w:rsid w:val="006C7401"/>
    <w:rsid w:val="006D1940"/>
    <w:rsid w:val="006D19FD"/>
    <w:rsid w:val="006D215E"/>
    <w:rsid w:val="006D38A6"/>
    <w:rsid w:val="006D56D1"/>
    <w:rsid w:val="006D60F3"/>
    <w:rsid w:val="006D6D8C"/>
    <w:rsid w:val="006D7423"/>
    <w:rsid w:val="006D7B0A"/>
    <w:rsid w:val="006E5926"/>
    <w:rsid w:val="006E70D2"/>
    <w:rsid w:val="006E7478"/>
    <w:rsid w:val="006F032E"/>
    <w:rsid w:val="006F05B8"/>
    <w:rsid w:val="006F1F90"/>
    <w:rsid w:val="006F34B6"/>
    <w:rsid w:val="006F4D75"/>
    <w:rsid w:val="006F6F08"/>
    <w:rsid w:val="0070006F"/>
    <w:rsid w:val="00701E93"/>
    <w:rsid w:val="007025EA"/>
    <w:rsid w:val="00702671"/>
    <w:rsid w:val="007032F4"/>
    <w:rsid w:val="007051B5"/>
    <w:rsid w:val="007060D1"/>
    <w:rsid w:val="00707050"/>
    <w:rsid w:val="00711DF3"/>
    <w:rsid w:val="00712A0B"/>
    <w:rsid w:val="00713075"/>
    <w:rsid w:val="0072296F"/>
    <w:rsid w:val="007241A8"/>
    <w:rsid w:val="007257B0"/>
    <w:rsid w:val="00725AAE"/>
    <w:rsid w:val="007307DB"/>
    <w:rsid w:val="00732470"/>
    <w:rsid w:val="007327BD"/>
    <w:rsid w:val="0073665C"/>
    <w:rsid w:val="00737BBC"/>
    <w:rsid w:val="00740B4F"/>
    <w:rsid w:val="00740EAB"/>
    <w:rsid w:val="0074582F"/>
    <w:rsid w:val="00746B5E"/>
    <w:rsid w:val="00747035"/>
    <w:rsid w:val="00751792"/>
    <w:rsid w:val="007523DF"/>
    <w:rsid w:val="007531A4"/>
    <w:rsid w:val="0075402C"/>
    <w:rsid w:val="00757CDD"/>
    <w:rsid w:val="007633FA"/>
    <w:rsid w:val="00764E8A"/>
    <w:rsid w:val="00766364"/>
    <w:rsid w:val="00766FAD"/>
    <w:rsid w:val="00767538"/>
    <w:rsid w:val="00770FBC"/>
    <w:rsid w:val="00773EA8"/>
    <w:rsid w:val="00774221"/>
    <w:rsid w:val="00774830"/>
    <w:rsid w:val="00774C64"/>
    <w:rsid w:val="007775D1"/>
    <w:rsid w:val="00786A76"/>
    <w:rsid w:val="0079077A"/>
    <w:rsid w:val="007916ED"/>
    <w:rsid w:val="00796761"/>
    <w:rsid w:val="00796D7B"/>
    <w:rsid w:val="00797BC9"/>
    <w:rsid w:val="007A1FA3"/>
    <w:rsid w:val="007A2EB4"/>
    <w:rsid w:val="007A4382"/>
    <w:rsid w:val="007A651E"/>
    <w:rsid w:val="007B39ED"/>
    <w:rsid w:val="007B6463"/>
    <w:rsid w:val="007B7097"/>
    <w:rsid w:val="007C067D"/>
    <w:rsid w:val="007C0F0B"/>
    <w:rsid w:val="007C38B2"/>
    <w:rsid w:val="007C4297"/>
    <w:rsid w:val="007C70D0"/>
    <w:rsid w:val="007D2C2C"/>
    <w:rsid w:val="007D4BF2"/>
    <w:rsid w:val="007D54D1"/>
    <w:rsid w:val="007E0816"/>
    <w:rsid w:val="007E2F68"/>
    <w:rsid w:val="007E32B9"/>
    <w:rsid w:val="007E3FF9"/>
    <w:rsid w:val="007F0242"/>
    <w:rsid w:val="007F0FC2"/>
    <w:rsid w:val="007F4393"/>
    <w:rsid w:val="007F5D9A"/>
    <w:rsid w:val="00801376"/>
    <w:rsid w:val="00801953"/>
    <w:rsid w:val="008047B0"/>
    <w:rsid w:val="008161AF"/>
    <w:rsid w:val="00821B8C"/>
    <w:rsid w:val="008230B5"/>
    <w:rsid w:val="00823CC7"/>
    <w:rsid w:val="008259C3"/>
    <w:rsid w:val="00825D8A"/>
    <w:rsid w:val="0082747F"/>
    <w:rsid w:val="00827AF5"/>
    <w:rsid w:val="00831217"/>
    <w:rsid w:val="0083188D"/>
    <w:rsid w:val="00835B53"/>
    <w:rsid w:val="008370CF"/>
    <w:rsid w:val="008372E3"/>
    <w:rsid w:val="0084066D"/>
    <w:rsid w:val="00842A77"/>
    <w:rsid w:val="00842A82"/>
    <w:rsid w:val="008442B7"/>
    <w:rsid w:val="00846B16"/>
    <w:rsid w:val="008475D8"/>
    <w:rsid w:val="0085199F"/>
    <w:rsid w:val="00855955"/>
    <w:rsid w:val="008572D5"/>
    <w:rsid w:val="0085792B"/>
    <w:rsid w:val="00857F42"/>
    <w:rsid w:val="0086090C"/>
    <w:rsid w:val="00861D0B"/>
    <w:rsid w:val="0087004A"/>
    <w:rsid w:val="0087136D"/>
    <w:rsid w:val="0087231D"/>
    <w:rsid w:val="008741AF"/>
    <w:rsid w:val="008759AB"/>
    <w:rsid w:val="0088308C"/>
    <w:rsid w:val="00884302"/>
    <w:rsid w:val="00885295"/>
    <w:rsid w:val="0089116E"/>
    <w:rsid w:val="00892728"/>
    <w:rsid w:val="0089735C"/>
    <w:rsid w:val="00897E6F"/>
    <w:rsid w:val="00897FD6"/>
    <w:rsid w:val="008A1195"/>
    <w:rsid w:val="008A296C"/>
    <w:rsid w:val="008B1BB4"/>
    <w:rsid w:val="008B1E83"/>
    <w:rsid w:val="008B2645"/>
    <w:rsid w:val="008B291E"/>
    <w:rsid w:val="008B4F01"/>
    <w:rsid w:val="008B509B"/>
    <w:rsid w:val="008B50F4"/>
    <w:rsid w:val="008C05FC"/>
    <w:rsid w:val="008C076D"/>
    <w:rsid w:val="008C1323"/>
    <w:rsid w:val="008C724F"/>
    <w:rsid w:val="008D4E32"/>
    <w:rsid w:val="008D5478"/>
    <w:rsid w:val="008E086E"/>
    <w:rsid w:val="008E1C65"/>
    <w:rsid w:val="008E1FE4"/>
    <w:rsid w:val="008E3C9C"/>
    <w:rsid w:val="008E66AE"/>
    <w:rsid w:val="008E6FE7"/>
    <w:rsid w:val="008F12B3"/>
    <w:rsid w:val="008F47E1"/>
    <w:rsid w:val="008F498C"/>
    <w:rsid w:val="00903329"/>
    <w:rsid w:val="009038A1"/>
    <w:rsid w:val="00905443"/>
    <w:rsid w:val="00910F74"/>
    <w:rsid w:val="009112E5"/>
    <w:rsid w:val="0091751C"/>
    <w:rsid w:val="00921A7A"/>
    <w:rsid w:val="009221C4"/>
    <w:rsid w:val="00925AB7"/>
    <w:rsid w:val="00930EAB"/>
    <w:rsid w:val="00931BE9"/>
    <w:rsid w:val="00932611"/>
    <w:rsid w:val="0093408D"/>
    <w:rsid w:val="009344B5"/>
    <w:rsid w:val="00934A7B"/>
    <w:rsid w:val="00945974"/>
    <w:rsid w:val="00946658"/>
    <w:rsid w:val="00954447"/>
    <w:rsid w:val="00955679"/>
    <w:rsid w:val="00955CE4"/>
    <w:rsid w:val="00961A19"/>
    <w:rsid w:val="009712D3"/>
    <w:rsid w:val="00971714"/>
    <w:rsid w:val="00973D9A"/>
    <w:rsid w:val="009758B2"/>
    <w:rsid w:val="009779B5"/>
    <w:rsid w:val="00980123"/>
    <w:rsid w:val="0098096C"/>
    <w:rsid w:val="00981935"/>
    <w:rsid w:val="00982948"/>
    <w:rsid w:val="00985D4A"/>
    <w:rsid w:val="00990051"/>
    <w:rsid w:val="0099037D"/>
    <w:rsid w:val="0099116F"/>
    <w:rsid w:val="0099412E"/>
    <w:rsid w:val="009A057B"/>
    <w:rsid w:val="009A3B8F"/>
    <w:rsid w:val="009A47FF"/>
    <w:rsid w:val="009A696C"/>
    <w:rsid w:val="009A7647"/>
    <w:rsid w:val="009B2491"/>
    <w:rsid w:val="009B29AF"/>
    <w:rsid w:val="009B40D3"/>
    <w:rsid w:val="009B580E"/>
    <w:rsid w:val="009B5A16"/>
    <w:rsid w:val="009B60A9"/>
    <w:rsid w:val="009B6232"/>
    <w:rsid w:val="009D029C"/>
    <w:rsid w:val="009D0F75"/>
    <w:rsid w:val="009D2BFD"/>
    <w:rsid w:val="009D54F0"/>
    <w:rsid w:val="009D5F76"/>
    <w:rsid w:val="009D6687"/>
    <w:rsid w:val="009D6CD8"/>
    <w:rsid w:val="009E3442"/>
    <w:rsid w:val="009E5565"/>
    <w:rsid w:val="009E6EF2"/>
    <w:rsid w:val="009F0417"/>
    <w:rsid w:val="009F0A56"/>
    <w:rsid w:val="009F1C12"/>
    <w:rsid w:val="009F50CE"/>
    <w:rsid w:val="009F679B"/>
    <w:rsid w:val="00A01551"/>
    <w:rsid w:val="00A019D6"/>
    <w:rsid w:val="00A026E3"/>
    <w:rsid w:val="00A04BD0"/>
    <w:rsid w:val="00A06A04"/>
    <w:rsid w:val="00A07DE5"/>
    <w:rsid w:val="00A12155"/>
    <w:rsid w:val="00A13E3E"/>
    <w:rsid w:val="00A1444C"/>
    <w:rsid w:val="00A15099"/>
    <w:rsid w:val="00A2307A"/>
    <w:rsid w:val="00A2553B"/>
    <w:rsid w:val="00A25CDD"/>
    <w:rsid w:val="00A27F8B"/>
    <w:rsid w:val="00A30F55"/>
    <w:rsid w:val="00A32A92"/>
    <w:rsid w:val="00A32EB9"/>
    <w:rsid w:val="00A3424B"/>
    <w:rsid w:val="00A35A9B"/>
    <w:rsid w:val="00A40081"/>
    <w:rsid w:val="00A43E83"/>
    <w:rsid w:val="00A45337"/>
    <w:rsid w:val="00A45FC3"/>
    <w:rsid w:val="00A46520"/>
    <w:rsid w:val="00A5088A"/>
    <w:rsid w:val="00A50B0E"/>
    <w:rsid w:val="00A53576"/>
    <w:rsid w:val="00A543AC"/>
    <w:rsid w:val="00A55BA7"/>
    <w:rsid w:val="00A55DFD"/>
    <w:rsid w:val="00A5782D"/>
    <w:rsid w:val="00A60F46"/>
    <w:rsid w:val="00A6165D"/>
    <w:rsid w:val="00A61BCB"/>
    <w:rsid w:val="00A6307B"/>
    <w:rsid w:val="00A64D22"/>
    <w:rsid w:val="00A72D65"/>
    <w:rsid w:val="00A743CF"/>
    <w:rsid w:val="00A77C16"/>
    <w:rsid w:val="00A858BC"/>
    <w:rsid w:val="00A85CC9"/>
    <w:rsid w:val="00A87C0A"/>
    <w:rsid w:val="00A919B1"/>
    <w:rsid w:val="00A92215"/>
    <w:rsid w:val="00A9306F"/>
    <w:rsid w:val="00A9537B"/>
    <w:rsid w:val="00AA0A82"/>
    <w:rsid w:val="00AA28C0"/>
    <w:rsid w:val="00AA2E90"/>
    <w:rsid w:val="00AA5D42"/>
    <w:rsid w:val="00AA66C5"/>
    <w:rsid w:val="00AB0362"/>
    <w:rsid w:val="00AB3A22"/>
    <w:rsid w:val="00AB531B"/>
    <w:rsid w:val="00AB583D"/>
    <w:rsid w:val="00AC26B8"/>
    <w:rsid w:val="00AC34B3"/>
    <w:rsid w:val="00AC572D"/>
    <w:rsid w:val="00AC5ABB"/>
    <w:rsid w:val="00AC68C4"/>
    <w:rsid w:val="00AD1173"/>
    <w:rsid w:val="00AD18D2"/>
    <w:rsid w:val="00AD1F5C"/>
    <w:rsid w:val="00AD4052"/>
    <w:rsid w:val="00AD677D"/>
    <w:rsid w:val="00AE4BB8"/>
    <w:rsid w:val="00AF071D"/>
    <w:rsid w:val="00AF0A2F"/>
    <w:rsid w:val="00AF4FFB"/>
    <w:rsid w:val="00AF6A0C"/>
    <w:rsid w:val="00B00178"/>
    <w:rsid w:val="00B026B5"/>
    <w:rsid w:val="00B02E5B"/>
    <w:rsid w:val="00B05388"/>
    <w:rsid w:val="00B068D9"/>
    <w:rsid w:val="00B06C79"/>
    <w:rsid w:val="00B1359D"/>
    <w:rsid w:val="00B1448E"/>
    <w:rsid w:val="00B23417"/>
    <w:rsid w:val="00B235C5"/>
    <w:rsid w:val="00B24DB1"/>
    <w:rsid w:val="00B25CB8"/>
    <w:rsid w:val="00B30531"/>
    <w:rsid w:val="00B3293D"/>
    <w:rsid w:val="00B32B7E"/>
    <w:rsid w:val="00B34F81"/>
    <w:rsid w:val="00B35828"/>
    <w:rsid w:val="00B35D5A"/>
    <w:rsid w:val="00B36776"/>
    <w:rsid w:val="00B36981"/>
    <w:rsid w:val="00B36AD7"/>
    <w:rsid w:val="00B400D0"/>
    <w:rsid w:val="00B4131D"/>
    <w:rsid w:val="00B415B7"/>
    <w:rsid w:val="00B41D45"/>
    <w:rsid w:val="00B42677"/>
    <w:rsid w:val="00B47216"/>
    <w:rsid w:val="00B52033"/>
    <w:rsid w:val="00B52A65"/>
    <w:rsid w:val="00B53D8B"/>
    <w:rsid w:val="00B54BC2"/>
    <w:rsid w:val="00B74641"/>
    <w:rsid w:val="00B773C6"/>
    <w:rsid w:val="00B8203B"/>
    <w:rsid w:val="00B829AC"/>
    <w:rsid w:val="00B83470"/>
    <w:rsid w:val="00B84CA5"/>
    <w:rsid w:val="00B85AEF"/>
    <w:rsid w:val="00B90B9A"/>
    <w:rsid w:val="00B93AB4"/>
    <w:rsid w:val="00B9551E"/>
    <w:rsid w:val="00B95F9D"/>
    <w:rsid w:val="00B96317"/>
    <w:rsid w:val="00B96C83"/>
    <w:rsid w:val="00BA036A"/>
    <w:rsid w:val="00BA2019"/>
    <w:rsid w:val="00BA5626"/>
    <w:rsid w:val="00BA6A05"/>
    <w:rsid w:val="00BA7EF9"/>
    <w:rsid w:val="00BB04C2"/>
    <w:rsid w:val="00BB0A91"/>
    <w:rsid w:val="00BB12AA"/>
    <w:rsid w:val="00BB2048"/>
    <w:rsid w:val="00BB35FD"/>
    <w:rsid w:val="00BB6C91"/>
    <w:rsid w:val="00BC10A9"/>
    <w:rsid w:val="00BC1FE4"/>
    <w:rsid w:val="00BC326E"/>
    <w:rsid w:val="00BC523A"/>
    <w:rsid w:val="00BC5AC8"/>
    <w:rsid w:val="00BC6C6D"/>
    <w:rsid w:val="00BC6E68"/>
    <w:rsid w:val="00BC76C2"/>
    <w:rsid w:val="00BD0312"/>
    <w:rsid w:val="00BD1A13"/>
    <w:rsid w:val="00BD2E2B"/>
    <w:rsid w:val="00BD5570"/>
    <w:rsid w:val="00BD5D3A"/>
    <w:rsid w:val="00BD60C5"/>
    <w:rsid w:val="00BE0FB4"/>
    <w:rsid w:val="00BE1310"/>
    <w:rsid w:val="00BE38CB"/>
    <w:rsid w:val="00BE6008"/>
    <w:rsid w:val="00BF051A"/>
    <w:rsid w:val="00BF05D9"/>
    <w:rsid w:val="00BF682A"/>
    <w:rsid w:val="00BF7DD2"/>
    <w:rsid w:val="00C00A69"/>
    <w:rsid w:val="00C032CB"/>
    <w:rsid w:val="00C04F4C"/>
    <w:rsid w:val="00C07C51"/>
    <w:rsid w:val="00C07F8B"/>
    <w:rsid w:val="00C10A73"/>
    <w:rsid w:val="00C10CE3"/>
    <w:rsid w:val="00C11028"/>
    <w:rsid w:val="00C115F5"/>
    <w:rsid w:val="00C226B2"/>
    <w:rsid w:val="00C246EC"/>
    <w:rsid w:val="00C27DC3"/>
    <w:rsid w:val="00C303D3"/>
    <w:rsid w:val="00C30E9F"/>
    <w:rsid w:val="00C33B7D"/>
    <w:rsid w:val="00C3556D"/>
    <w:rsid w:val="00C36EAC"/>
    <w:rsid w:val="00C42A1E"/>
    <w:rsid w:val="00C43C39"/>
    <w:rsid w:val="00C47AEB"/>
    <w:rsid w:val="00C506EE"/>
    <w:rsid w:val="00C5323E"/>
    <w:rsid w:val="00C57879"/>
    <w:rsid w:val="00C62044"/>
    <w:rsid w:val="00C63163"/>
    <w:rsid w:val="00C6396E"/>
    <w:rsid w:val="00C66F64"/>
    <w:rsid w:val="00C716B6"/>
    <w:rsid w:val="00C723F5"/>
    <w:rsid w:val="00C76AB9"/>
    <w:rsid w:val="00C80271"/>
    <w:rsid w:val="00C8163B"/>
    <w:rsid w:val="00C824E9"/>
    <w:rsid w:val="00C838E7"/>
    <w:rsid w:val="00C83D0A"/>
    <w:rsid w:val="00C865C2"/>
    <w:rsid w:val="00C8797A"/>
    <w:rsid w:val="00C90AD2"/>
    <w:rsid w:val="00C9126F"/>
    <w:rsid w:val="00C92A1A"/>
    <w:rsid w:val="00C94927"/>
    <w:rsid w:val="00C96ACC"/>
    <w:rsid w:val="00CA04D1"/>
    <w:rsid w:val="00CA0ACD"/>
    <w:rsid w:val="00CA0BF3"/>
    <w:rsid w:val="00CA3256"/>
    <w:rsid w:val="00CA5340"/>
    <w:rsid w:val="00CA5929"/>
    <w:rsid w:val="00CB1C73"/>
    <w:rsid w:val="00CB1F0F"/>
    <w:rsid w:val="00CB2918"/>
    <w:rsid w:val="00CB3239"/>
    <w:rsid w:val="00CC0B78"/>
    <w:rsid w:val="00CC144D"/>
    <w:rsid w:val="00CC39ED"/>
    <w:rsid w:val="00CC3EE7"/>
    <w:rsid w:val="00CC5E5D"/>
    <w:rsid w:val="00CC67B2"/>
    <w:rsid w:val="00CC6A3B"/>
    <w:rsid w:val="00CD357D"/>
    <w:rsid w:val="00CD3D6D"/>
    <w:rsid w:val="00CD60E6"/>
    <w:rsid w:val="00CD772A"/>
    <w:rsid w:val="00CE3168"/>
    <w:rsid w:val="00CE5AC7"/>
    <w:rsid w:val="00CE6C48"/>
    <w:rsid w:val="00CE7E2C"/>
    <w:rsid w:val="00CF0879"/>
    <w:rsid w:val="00CF0AF6"/>
    <w:rsid w:val="00CF351A"/>
    <w:rsid w:val="00CF6242"/>
    <w:rsid w:val="00CF6FFE"/>
    <w:rsid w:val="00D00562"/>
    <w:rsid w:val="00D00963"/>
    <w:rsid w:val="00D00BD5"/>
    <w:rsid w:val="00D015C8"/>
    <w:rsid w:val="00D01E94"/>
    <w:rsid w:val="00D03395"/>
    <w:rsid w:val="00D04CED"/>
    <w:rsid w:val="00D05459"/>
    <w:rsid w:val="00D05AEE"/>
    <w:rsid w:val="00D05D67"/>
    <w:rsid w:val="00D12D7D"/>
    <w:rsid w:val="00D13065"/>
    <w:rsid w:val="00D15061"/>
    <w:rsid w:val="00D15C08"/>
    <w:rsid w:val="00D20C8D"/>
    <w:rsid w:val="00D2308A"/>
    <w:rsid w:val="00D243ED"/>
    <w:rsid w:val="00D2552C"/>
    <w:rsid w:val="00D25DA2"/>
    <w:rsid w:val="00D25F55"/>
    <w:rsid w:val="00D3104F"/>
    <w:rsid w:val="00D350B3"/>
    <w:rsid w:val="00D37DF5"/>
    <w:rsid w:val="00D45099"/>
    <w:rsid w:val="00D47BE8"/>
    <w:rsid w:val="00D5085C"/>
    <w:rsid w:val="00D50DD1"/>
    <w:rsid w:val="00D52EAF"/>
    <w:rsid w:val="00D54435"/>
    <w:rsid w:val="00D57D2D"/>
    <w:rsid w:val="00D6599B"/>
    <w:rsid w:val="00D66904"/>
    <w:rsid w:val="00D67D3C"/>
    <w:rsid w:val="00D713BE"/>
    <w:rsid w:val="00D713F9"/>
    <w:rsid w:val="00D72F3F"/>
    <w:rsid w:val="00D7371B"/>
    <w:rsid w:val="00D738BD"/>
    <w:rsid w:val="00D75262"/>
    <w:rsid w:val="00D82A38"/>
    <w:rsid w:val="00D83BA4"/>
    <w:rsid w:val="00D85F68"/>
    <w:rsid w:val="00D905CA"/>
    <w:rsid w:val="00D90BE5"/>
    <w:rsid w:val="00D9282C"/>
    <w:rsid w:val="00D95018"/>
    <w:rsid w:val="00D970F7"/>
    <w:rsid w:val="00DA1DE2"/>
    <w:rsid w:val="00DA3D7B"/>
    <w:rsid w:val="00DA45C7"/>
    <w:rsid w:val="00DA5FB4"/>
    <w:rsid w:val="00DA6754"/>
    <w:rsid w:val="00DA6A1B"/>
    <w:rsid w:val="00DB11BA"/>
    <w:rsid w:val="00DB137C"/>
    <w:rsid w:val="00DB2F98"/>
    <w:rsid w:val="00DB558F"/>
    <w:rsid w:val="00DC1B36"/>
    <w:rsid w:val="00DC6393"/>
    <w:rsid w:val="00DD09A4"/>
    <w:rsid w:val="00DD14C9"/>
    <w:rsid w:val="00DD1F9F"/>
    <w:rsid w:val="00DD27AC"/>
    <w:rsid w:val="00DD5027"/>
    <w:rsid w:val="00DD7D17"/>
    <w:rsid w:val="00DD7D1D"/>
    <w:rsid w:val="00DE083A"/>
    <w:rsid w:val="00DE24AA"/>
    <w:rsid w:val="00DE3D19"/>
    <w:rsid w:val="00DE4513"/>
    <w:rsid w:val="00DF0263"/>
    <w:rsid w:val="00DF0DB7"/>
    <w:rsid w:val="00DF3208"/>
    <w:rsid w:val="00DF3520"/>
    <w:rsid w:val="00DF594B"/>
    <w:rsid w:val="00DF7EA9"/>
    <w:rsid w:val="00E00113"/>
    <w:rsid w:val="00E00339"/>
    <w:rsid w:val="00E00FE1"/>
    <w:rsid w:val="00E029BB"/>
    <w:rsid w:val="00E02CB6"/>
    <w:rsid w:val="00E1191E"/>
    <w:rsid w:val="00E11D43"/>
    <w:rsid w:val="00E1249E"/>
    <w:rsid w:val="00E12A9C"/>
    <w:rsid w:val="00E12AC9"/>
    <w:rsid w:val="00E13FE5"/>
    <w:rsid w:val="00E17120"/>
    <w:rsid w:val="00E23631"/>
    <w:rsid w:val="00E24C07"/>
    <w:rsid w:val="00E25FAB"/>
    <w:rsid w:val="00E2653E"/>
    <w:rsid w:val="00E27339"/>
    <w:rsid w:val="00E31BE2"/>
    <w:rsid w:val="00E33BF5"/>
    <w:rsid w:val="00E34D15"/>
    <w:rsid w:val="00E36504"/>
    <w:rsid w:val="00E37E16"/>
    <w:rsid w:val="00E4279E"/>
    <w:rsid w:val="00E42A6B"/>
    <w:rsid w:val="00E50CCD"/>
    <w:rsid w:val="00E613C2"/>
    <w:rsid w:val="00E62CFE"/>
    <w:rsid w:val="00E6300C"/>
    <w:rsid w:val="00E631A5"/>
    <w:rsid w:val="00E66D8A"/>
    <w:rsid w:val="00E71775"/>
    <w:rsid w:val="00E7212D"/>
    <w:rsid w:val="00E73014"/>
    <w:rsid w:val="00E75E84"/>
    <w:rsid w:val="00E75F83"/>
    <w:rsid w:val="00E77623"/>
    <w:rsid w:val="00E8202E"/>
    <w:rsid w:val="00E83C2C"/>
    <w:rsid w:val="00E84797"/>
    <w:rsid w:val="00E874B9"/>
    <w:rsid w:val="00E91454"/>
    <w:rsid w:val="00E93D08"/>
    <w:rsid w:val="00E95F3D"/>
    <w:rsid w:val="00EA08F1"/>
    <w:rsid w:val="00EA502F"/>
    <w:rsid w:val="00EA58F3"/>
    <w:rsid w:val="00EA6EEF"/>
    <w:rsid w:val="00EA7408"/>
    <w:rsid w:val="00EA7583"/>
    <w:rsid w:val="00EB174C"/>
    <w:rsid w:val="00EB3D36"/>
    <w:rsid w:val="00EB4F93"/>
    <w:rsid w:val="00EB5ECE"/>
    <w:rsid w:val="00EC11DC"/>
    <w:rsid w:val="00EC2356"/>
    <w:rsid w:val="00EC3D4A"/>
    <w:rsid w:val="00EC64F9"/>
    <w:rsid w:val="00EC77D6"/>
    <w:rsid w:val="00EC7B3F"/>
    <w:rsid w:val="00ED06F4"/>
    <w:rsid w:val="00ED1785"/>
    <w:rsid w:val="00ED1830"/>
    <w:rsid w:val="00ED1E5F"/>
    <w:rsid w:val="00ED5F68"/>
    <w:rsid w:val="00EE266E"/>
    <w:rsid w:val="00EE3514"/>
    <w:rsid w:val="00EE3FC3"/>
    <w:rsid w:val="00EE68FA"/>
    <w:rsid w:val="00EF0048"/>
    <w:rsid w:val="00EF039F"/>
    <w:rsid w:val="00EF0E39"/>
    <w:rsid w:val="00EF1535"/>
    <w:rsid w:val="00EF223C"/>
    <w:rsid w:val="00EF22B9"/>
    <w:rsid w:val="00EF6CF8"/>
    <w:rsid w:val="00EF7273"/>
    <w:rsid w:val="00F00592"/>
    <w:rsid w:val="00F0395E"/>
    <w:rsid w:val="00F044A0"/>
    <w:rsid w:val="00F05657"/>
    <w:rsid w:val="00F05CF3"/>
    <w:rsid w:val="00F074C4"/>
    <w:rsid w:val="00F1027C"/>
    <w:rsid w:val="00F115FB"/>
    <w:rsid w:val="00F14C8F"/>
    <w:rsid w:val="00F176BC"/>
    <w:rsid w:val="00F269B1"/>
    <w:rsid w:val="00F26DC0"/>
    <w:rsid w:val="00F27369"/>
    <w:rsid w:val="00F314DF"/>
    <w:rsid w:val="00F33ECA"/>
    <w:rsid w:val="00F40226"/>
    <w:rsid w:val="00F4362E"/>
    <w:rsid w:val="00F43DCA"/>
    <w:rsid w:val="00F5035E"/>
    <w:rsid w:val="00F5080E"/>
    <w:rsid w:val="00F5295D"/>
    <w:rsid w:val="00F557D2"/>
    <w:rsid w:val="00F56004"/>
    <w:rsid w:val="00F562D7"/>
    <w:rsid w:val="00F5717A"/>
    <w:rsid w:val="00F5757F"/>
    <w:rsid w:val="00F666E3"/>
    <w:rsid w:val="00F70FFD"/>
    <w:rsid w:val="00F717B3"/>
    <w:rsid w:val="00F72698"/>
    <w:rsid w:val="00F7426E"/>
    <w:rsid w:val="00F75811"/>
    <w:rsid w:val="00F81654"/>
    <w:rsid w:val="00F81836"/>
    <w:rsid w:val="00F83512"/>
    <w:rsid w:val="00F84215"/>
    <w:rsid w:val="00F8542B"/>
    <w:rsid w:val="00F92EA4"/>
    <w:rsid w:val="00F946BD"/>
    <w:rsid w:val="00F967F5"/>
    <w:rsid w:val="00F9715C"/>
    <w:rsid w:val="00FA411E"/>
    <w:rsid w:val="00FA471A"/>
    <w:rsid w:val="00FA640A"/>
    <w:rsid w:val="00FA738C"/>
    <w:rsid w:val="00FB1E86"/>
    <w:rsid w:val="00FB3C36"/>
    <w:rsid w:val="00FB5962"/>
    <w:rsid w:val="00FB67DA"/>
    <w:rsid w:val="00FC5AC9"/>
    <w:rsid w:val="00FC5FD1"/>
    <w:rsid w:val="00FC7687"/>
    <w:rsid w:val="00FC773D"/>
    <w:rsid w:val="00FD2287"/>
    <w:rsid w:val="00FD5310"/>
    <w:rsid w:val="00FE1D6E"/>
    <w:rsid w:val="00FE2815"/>
    <w:rsid w:val="00FE7E62"/>
    <w:rsid w:val="00FF012B"/>
    <w:rsid w:val="00FF211F"/>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25CE692"/>
  <w15:docId w15:val="{6B2032EB-EC40-43BD-A9F6-D7A296A3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972BD"/>
    <w:pPr>
      <w:keepNext/>
      <w:keepLines/>
      <w:numPr>
        <w:numId w:val="40"/>
      </w:numPr>
      <w:spacing w:before="240" w:after="240"/>
      <w:ind w:left="720"/>
      <w:outlineLvl w:val="0"/>
    </w:pPr>
    <w:rPr>
      <w:rFonts w:eastAsiaTheme="majorEastAsia"/>
      <w:b/>
      <w:caps/>
    </w:rPr>
  </w:style>
  <w:style w:type="paragraph" w:styleId="Heading2">
    <w:name w:val="heading 2"/>
    <w:basedOn w:val="Normal"/>
    <w:next w:val="Normal"/>
    <w:link w:val="Heading2Char"/>
    <w:autoRedefine/>
    <w:unhideWhenUsed/>
    <w:qFormat/>
    <w:rsid w:val="00331BE8"/>
    <w:pPr>
      <w:keepNext/>
      <w:keepLines/>
      <w:spacing w:after="240"/>
      <w:ind w:left="1440" w:hanging="720"/>
      <w:outlineLvl w:val="1"/>
    </w:pPr>
    <w:rPr>
      <w:b/>
      <w:bCs/>
    </w:rPr>
  </w:style>
  <w:style w:type="paragraph" w:styleId="Heading3">
    <w:name w:val="heading 3"/>
    <w:basedOn w:val="Normal"/>
    <w:next w:val="Normal"/>
    <w:link w:val="Heading3Char"/>
    <w:autoRedefine/>
    <w:uiPriority w:val="9"/>
    <w:unhideWhenUsed/>
    <w:qFormat/>
    <w:rsid w:val="00F666E3"/>
    <w:pPr>
      <w:keepNext/>
      <w:keepLines/>
      <w:spacing w:after="240"/>
      <w:ind w:left="2160" w:hanging="720"/>
      <w:outlineLvl w:val="2"/>
    </w:pPr>
    <w:rPr>
      <w:rFonts w:eastAsiaTheme="minorHAnsi" w:cstheme="majorBidi"/>
      <w:b/>
    </w:rPr>
  </w:style>
  <w:style w:type="paragraph" w:styleId="Heading4">
    <w:name w:val="heading 4"/>
    <w:basedOn w:val="Normal"/>
    <w:next w:val="Normal"/>
    <w:link w:val="Heading4Char"/>
    <w:autoRedefine/>
    <w:uiPriority w:val="9"/>
    <w:unhideWhenUsed/>
    <w:qFormat/>
    <w:rsid w:val="00313E6B"/>
    <w:pPr>
      <w:keepNext/>
      <w:keepLines/>
      <w:spacing w:after="240"/>
      <w:ind w:left="2880" w:right="720" w:hanging="720"/>
      <w:outlineLvl w:val="3"/>
    </w:pPr>
    <w:rPr>
      <w:rFonts w:eastAsiaTheme="majorEastAsia"/>
      <w:b/>
      <w:iCs/>
      <w:szCs w:val="22"/>
    </w:rPr>
  </w:style>
  <w:style w:type="paragraph" w:styleId="Heading5">
    <w:name w:val="heading 5"/>
    <w:basedOn w:val="Normal"/>
    <w:next w:val="Normal"/>
    <w:link w:val="Heading5Char"/>
    <w:autoRedefine/>
    <w:uiPriority w:val="9"/>
    <w:unhideWhenUsed/>
    <w:qFormat/>
    <w:rsid w:val="00517C65"/>
    <w:pPr>
      <w:keepNext/>
      <w:keepLines/>
      <w:spacing w:after="240"/>
      <w:ind w:left="3600" w:right="720" w:hanging="720"/>
      <w:outlineLvl w:val="4"/>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rPr>
      <w:rFonts w:eastAsiaTheme="minorHAnsi" w:cstheme="minorBidi"/>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72BD"/>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D00963"/>
    <w:pPr>
      <w:tabs>
        <w:tab w:val="decimal" w:leader="dot" w:pos="9360"/>
      </w:tabs>
      <w:spacing w:after="240"/>
      <w:ind w:left="720" w:hanging="720"/>
      <w:outlineLvl w:val="0"/>
    </w:pPr>
    <w:rPr>
      <w:rFonts w:eastAsiaTheme="minorHAnsi" w:cstheme="minorBidi"/>
      <w:szCs w:val="22"/>
    </w:rPr>
  </w:style>
  <w:style w:type="paragraph" w:styleId="TOC2">
    <w:name w:val="toc 2"/>
    <w:basedOn w:val="Normal"/>
    <w:next w:val="Normal"/>
    <w:autoRedefine/>
    <w:uiPriority w:val="39"/>
    <w:unhideWhenUsed/>
    <w:qFormat/>
    <w:rsid w:val="00D00963"/>
    <w:pPr>
      <w:tabs>
        <w:tab w:val="left" w:pos="2160"/>
        <w:tab w:val="decimal" w:leader="dot" w:pos="9360"/>
      </w:tabs>
      <w:spacing w:after="240"/>
      <w:ind w:left="1440" w:hanging="720"/>
      <w:outlineLvl w:val="1"/>
    </w:pPr>
    <w:rPr>
      <w:rFonts w:eastAsiaTheme="minorHAnsi" w:cstheme="minorBidi"/>
      <w:szCs w:val="22"/>
    </w:rPr>
  </w:style>
  <w:style w:type="paragraph" w:styleId="TOC3">
    <w:name w:val="toc 3"/>
    <w:basedOn w:val="Normal"/>
    <w:next w:val="Normal"/>
    <w:autoRedefine/>
    <w:uiPriority w:val="39"/>
    <w:unhideWhenUsed/>
    <w:rsid w:val="00D00963"/>
    <w:pPr>
      <w:tabs>
        <w:tab w:val="decimal" w:leader="dot" w:pos="9360"/>
      </w:tabs>
      <w:spacing w:after="240"/>
      <w:ind w:left="2160" w:hanging="720"/>
    </w:pPr>
    <w:rPr>
      <w:rFonts w:eastAsiaTheme="minorHAnsi" w:cstheme="minorBidi"/>
      <w:szCs w:val="22"/>
    </w:rPr>
  </w:style>
  <w:style w:type="paragraph" w:styleId="TOC4">
    <w:name w:val="toc 4"/>
    <w:basedOn w:val="Normal"/>
    <w:next w:val="Normal"/>
    <w:autoRedefine/>
    <w:uiPriority w:val="39"/>
    <w:unhideWhenUsed/>
    <w:rsid w:val="00CD3492"/>
    <w:pPr>
      <w:spacing w:after="240"/>
      <w:ind w:left="2880" w:hanging="720"/>
    </w:pPr>
    <w:rPr>
      <w:rFonts w:eastAsiaTheme="minorHAnsi" w:cstheme="minorBidi"/>
      <w:szCs w:val="22"/>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aliases w:val=" Char,Char"/>
    <w:basedOn w:val="Normal"/>
    <w:link w:val="HTMLPreformattedChar"/>
    <w:uiPriority w:val="99"/>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uiPriority w:val="99"/>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line="480" w:lineRule="atLeast"/>
      <w:ind w:firstLine="720"/>
    </w:pPr>
    <w:rPr>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spacing w:after="200" w:line="276" w:lineRule="auto"/>
      <w:ind w:left="720" w:hanging="360"/>
      <w:contextualSpacing/>
    </w:pPr>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rPr>
      <w:rFonts w:ascii="Verdana" w:hAnsi="Verdana" w:eastAsiaTheme="minorHAnsi" w:cs="Calibri"/>
      <w:color w:val="00277A"/>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pPr>
  </w:style>
  <w:style w:type="character" w:customStyle="1" w:styleId="UnresolvedMention4">
    <w:name w:val="Unresolved Mention4"/>
    <w:basedOn w:val="DefaultParagraphFont"/>
    <w:uiPriority w:val="99"/>
    <w:rsid w:val="00D75262"/>
    <w:rPr>
      <w:color w:val="605E5C"/>
      <w:shd w:val="clear" w:color="auto" w:fill="E1DFDD"/>
    </w:rPr>
  </w:style>
  <w:style w:type="character" w:customStyle="1" w:styleId="cf01">
    <w:name w:val="cf01"/>
    <w:basedOn w:val="DefaultParagraphFont"/>
    <w:rsid w:val="005514FC"/>
    <w:rPr>
      <w:rFonts w:ascii="Segoe UI" w:hAnsi="Segoe UI" w:cs="Segoe UI" w:hint="default"/>
      <w:sz w:val="18"/>
      <w:szCs w:val="18"/>
    </w:rPr>
  </w:style>
  <w:style w:type="character" w:customStyle="1" w:styleId="acy">
    <w:name w:val="acy"/>
    <w:basedOn w:val="DefaultParagraphFont"/>
    <w:rsid w:val="00D82A38"/>
  </w:style>
  <w:style w:type="character" w:customStyle="1" w:styleId="UnresolvedMention">
    <w:name w:val="Unresolved Mention"/>
    <w:basedOn w:val="DefaultParagraphFont"/>
    <w:uiPriority w:val="99"/>
    <w:rsid w:val="00EE3FC3"/>
    <w:rPr>
      <w:color w:val="605E5C"/>
      <w:shd w:val="clear" w:color="auto" w:fill="E1DFDD"/>
    </w:rPr>
  </w:style>
  <w:style w:type="character" w:customStyle="1" w:styleId="ac">
    <w:name w:val="ac"/>
    <w:basedOn w:val="DefaultParagraphFont"/>
    <w:rsid w:val="0030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John.jones@ohioattorneygeneral.gov" TargetMode="External" /><Relationship Id="rId14" Type="http://schemas.openxmlformats.org/officeDocument/2006/relationships/hyperlink" Target="mailto:sseiple@nisource.com" TargetMode="External" /><Relationship Id="rId15" Type="http://schemas.openxmlformats.org/officeDocument/2006/relationships/hyperlink" Target="mailto:cendsley@ofbf.org" TargetMode="External" /><Relationship Id="rId16" Type="http://schemas.openxmlformats.org/officeDocument/2006/relationships/hyperlink" Target="mailto:josephclark@nicsource.com" TargetMode="External" /><Relationship Id="rId17" Type="http://schemas.openxmlformats.org/officeDocument/2006/relationships/hyperlink" Target="mailto:lcurtis@ofbf.org"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christopher.hollon@aes.com" TargetMode="External" /><Relationship Id="rId21" Type="http://schemas.openxmlformats.org/officeDocument/2006/relationships/hyperlink" Target="mailto:Fdarr2019@gmail.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edanford@firstenergycorp.com" TargetMode="External" /><Relationship Id="rId24" Type="http://schemas.openxmlformats.org/officeDocument/2006/relationships/hyperlink" Target="mailto:stnourse@aep.com" TargetMode="External" /><Relationship Id="rId25" Type="http://schemas.openxmlformats.org/officeDocument/2006/relationships/hyperlink" Target="mailto:cmblend@aep.com" TargetMode="External" /><Relationship Id="rId26" Type="http://schemas.openxmlformats.org/officeDocument/2006/relationships/hyperlink" Target="mailto:mpritchard@mcneeslaw.com" TargetMode="External" /><Relationship Id="rId27" Type="http://schemas.openxmlformats.org/officeDocument/2006/relationships/hyperlink" Target="mailto:rglover@mcneeslaw.com" TargetMode="External" /><Relationship Id="rId28" Type="http://schemas.openxmlformats.org/officeDocument/2006/relationships/hyperlink" Target="mailto:andrew.j.campbell@dominionenergy.com" TargetMode="External" /><Relationship Id="rId29" Type="http://schemas.openxmlformats.org/officeDocument/2006/relationships/hyperlink" Target="mailto:whitt@whitt-sturtevant.com" TargetMode="External" /><Relationship Id="rId3" Type="http://schemas.openxmlformats.org/officeDocument/2006/relationships/webSettings" Target="webSettings.xml" /><Relationship Id="rId30" Type="http://schemas.openxmlformats.org/officeDocument/2006/relationships/hyperlink" Target="mailto:kennedy@whitt-sturtevant.com" TargetMode="External" /><Relationship Id="rId31" Type="http://schemas.openxmlformats.org/officeDocument/2006/relationships/hyperlink" Target="mailto:fykes@whitt-sturtevant.com" TargetMode="External" /><Relationship Id="rId32" Type="http://schemas.openxmlformats.org/officeDocument/2006/relationships/hyperlink" Target="mailto:rkelter@elpc.org" TargetMode="External" /><Relationship Id="rId33" Type="http://schemas.openxmlformats.org/officeDocument/2006/relationships/hyperlink" Target="mailto:nvijaykar@elpc.org" TargetMode="External" /><Relationship Id="rId34" Type="http://schemas.openxmlformats.org/officeDocument/2006/relationships/hyperlink" Target="mailto:bethany.allen@igs.com" TargetMode="External" /><Relationship Id="rId35" Type="http://schemas.openxmlformats.org/officeDocument/2006/relationships/hyperlink" Target="mailto:michael.nugent@igs.com" TargetMode="External" /><Relationship Id="rId36" Type="http://schemas.openxmlformats.org/officeDocument/2006/relationships/hyperlink" Target="mailto:joe.oliker@igs.com" TargetMode="External" /><Relationship Id="rId37" Type="http://schemas.openxmlformats.org/officeDocument/2006/relationships/hyperlink" Target="mailto:trhayslaw@gmail.com" TargetMode="External" /><Relationship Id="rId38" Type="http://schemas.openxmlformats.org/officeDocument/2006/relationships/hyperlink" Target="mailto:mkurtz@bkllawfirm.com" TargetMode="External" /><Relationship Id="rId39" Type="http://schemas.openxmlformats.org/officeDocument/2006/relationships/hyperlink" Target="mailto:kboehm@bkllawfirm.com" TargetMode="External" /><Relationship Id="rId4" Type="http://schemas.openxmlformats.org/officeDocument/2006/relationships/fontTable" Target="fontTable.xml" /><Relationship Id="rId40" Type="http://schemas.openxmlformats.org/officeDocument/2006/relationships/hyperlink" Target="mailto:jkylercohn@bkllawfirm.com" TargetMode="External" /><Relationship Id="rId41" Type="http://schemas.openxmlformats.org/officeDocument/2006/relationships/hyperlink" Target="mailto:ctavenor@theOEC.org" TargetMode="External" /><Relationship Id="rId42" Type="http://schemas.openxmlformats.org/officeDocument/2006/relationships/hyperlink" Target="mailto:glpetrucci@vorys.com" TargetMode="External" /><Relationship Id="rId43" Type="http://schemas.openxmlformats.org/officeDocument/2006/relationships/hyperlink" Target="mailto:Patricia.schabo@puco.ohio.gov" TargetMode="External" /><Relationship Id="rId44" Type="http://schemas.openxmlformats.org/officeDocument/2006/relationships/hyperlink" Target="mailto:Jacqueline.St.John@puco.ohio.gov" TargetMode="External" /><Relationship Id="rId45" Type="http://schemas.openxmlformats.org/officeDocument/2006/relationships/footer" Target="footer4.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2023-11-17T16:19:58Z</dcterms:created>
  <dcterms:modified xsi:type="dcterms:W3CDTF">2023-11-17T16:19:58Z</dcterms:modified>
</cp:coreProperties>
</file>