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B547E1" w:rsidRPr="00B547E1" w:rsidP="00B547E1" w14:paraId="571F77B7" w14:textId="77777777">
      <w:pPr>
        <w:spacing w:after="0"/>
        <w:jc w:val="center"/>
        <w:rPr>
          <w:rFonts w:cs="Times New Roman"/>
          <w:b/>
          <w:bCs/>
          <w:szCs w:val="24"/>
        </w:rPr>
      </w:pPr>
      <w:bookmarkStart w:id="0" w:name="_GoBack"/>
      <w:bookmarkEnd w:id="0"/>
      <w:r w:rsidRPr="00B547E1">
        <w:rPr>
          <w:rFonts w:cs="Times New Roman"/>
          <w:b/>
          <w:szCs w:val="24"/>
        </w:rPr>
        <w:t>BEFORE</w:t>
      </w:r>
    </w:p>
    <w:p w:rsidR="00B547E1" w:rsidRPr="00B547E1" w:rsidP="00B547E1" w14:paraId="6D4093F9" w14:textId="77777777">
      <w:pPr>
        <w:spacing w:after="0"/>
        <w:jc w:val="center"/>
        <w:rPr>
          <w:rFonts w:cs="Times New Roman"/>
          <w:b/>
          <w:szCs w:val="24"/>
        </w:rPr>
      </w:pPr>
      <w:r w:rsidRPr="00B547E1">
        <w:rPr>
          <w:rFonts w:cs="Times New Roman"/>
          <w:b/>
          <w:szCs w:val="24"/>
        </w:rPr>
        <w:t>THE</w:t>
      </w:r>
      <w:r w:rsidRPr="00B547E1">
        <w:rPr>
          <w:rFonts w:cs="Times New Roman"/>
          <w:b/>
          <w:spacing w:val="-10"/>
          <w:szCs w:val="24"/>
        </w:rPr>
        <w:t xml:space="preserve"> </w:t>
      </w:r>
      <w:r w:rsidRPr="00B547E1">
        <w:rPr>
          <w:rFonts w:cs="Times New Roman"/>
          <w:b/>
          <w:spacing w:val="-1"/>
          <w:szCs w:val="24"/>
        </w:rPr>
        <w:t>PUBLIC</w:t>
      </w:r>
      <w:r w:rsidRPr="00B547E1">
        <w:rPr>
          <w:rFonts w:cs="Times New Roman"/>
          <w:b/>
          <w:spacing w:val="-12"/>
          <w:szCs w:val="24"/>
        </w:rPr>
        <w:t xml:space="preserve"> </w:t>
      </w:r>
      <w:r w:rsidRPr="00B547E1">
        <w:rPr>
          <w:rFonts w:cs="Times New Roman"/>
          <w:b/>
          <w:szCs w:val="24"/>
        </w:rPr>
        <w:t>UTILITIES</w:t>
      </w:r>
      <w:r w:rsidRPr="00B547E1">
        <w:rPr>
          <w:rFonts w:cs="Times New Roman"/>
          <w:b/>
          <w:spacing w:val="-10"/>
          <w:szCs w:val="24"/>
        </w:rPr>
        <w:t xml:space="preserve"> </w:t>
      </w:r>
      <w:r w:rsidRPr="00B547E1">
        <w:rPr>
          <w:rFonts w:cs="Times New Roman"/>
          <w:b/>
          <w:spacing w:val="-1"/>
          <w:szCs w:val="24"/>
        </w:rPr>
        <w:t>COMMISSION</w:t>
      </w:r>
      <w:r w:rsidRPr="00B547E1">
        <w:rPr>
          <w:rFonts w:cs="Times New Roman"/>
          <w:b/>
          <w:spacing w:val="-11"/>
          <w:szCs w:val="24"/>
        </w:rPr>
        <w:t xml:space="preserve"> </w:t>
      </w:r>
      <w:r w:rsidRPr="00B547E1">
        <w:rPr>
          <w:rFonts w:cs="Times New Roman"/>
          <w:b/>
          <w:spacing w:val="-1"/>
          <w:szCs w:val="24"/>
        </w:rPr>
        <w:t>OF</w:t>
      </w:r>
      <w:r w:rsidRPr="00B547E1">
        <w:rPr>
          <w:rFonts w:cs="Times New Roman"/>
          <w:b/>
          <w:spacing w:val="-13"/>
          <w:szCs w:val="24"/>
        </w:rPr>
        <w:t xml:space="preserve"> O</w:t>
      </w:r>
      <w:r w:rsidRPr="00B547E1">
        <w:rPr>
          <w:rFonts w:cs="Times New Roman"/>
          <w:b/>
          <w:szCs w:val="24"/>
        </w:rPr>
        <w:t>HIO</w:t>
      </w:r>
    </w:p>
    <w:p w:rsidR="00B547E1" w:rsidRPr="00B547E1" w:rsidP="00B547E1" w14:paraId="6179B842" w14:textId="77777777">
      <w:pPr>
        <w:spacing w:after="0"/>
        <w:jc w:val="center"/>
        <w:rPr>
          <w:rFonts w:cs="Times New Roman"/>
          <w:b/>
          <w:szCs w:val="24"/>
        </w:rPr>
      </w:pPr>
    </w:p>
    <w:tbl>
      <w:tblPr>
        <w:tblW w:w="9092" w:type="dxa"/>
        <w:tblLook w:val="01E0"/>
      </w:tblPr>
      <w:tblGrid>
        <w:gridCol w:w="4332"/>
        <w:gridCol w:w="360"/>
        <w:gridCol w:w="4400"/>
      </w:tblGrid>
      <w:tr w14:paraId="004A36E0" w14:textId="77777777" w:rsidTr="00871C4B">
        <w:tblPrEx>
          <w:tblW w:w="9092" w:type="dxa"/>
          <w:tblLook w:val="01E0"/>
        </w:tblPrEx>
        <w:trPr>
          <w:trHeight w:val="807"/>
        </w:trPr>
        <w:tc>
          <w:tcPr>
            <w:tcW w:w="4332" w:type="dxa"/>
            <w:shd w:val="clear" w:color="auto" w:fill="auto"/>
          </w:tcPr>
          <w:p w:rsidR="00B547E1" w:rsidRPr="00B547E1" w:rsidP="00871C4B" w14:paraId="159E9F1C" w14:textId="77777777">
            <w:pPr>
              <w:autoSpaceDE w:val="0"/>
              <w:autoSpaceDN w:val="0"/>
              <w:adjustRightInd w:val="0"/>
              <w:spacing w:after="0" w:line="240" w:lineRule="auto"/>
              <w:rPr>
                <w:rFonts w:cs="Times New Roman"/>
                <w:szCs w:val="24"/>
              </w:rPr>
            </w:pPr>
            <w:r w:rsidRPr="00B547E1">
              <w:rPr>
                <w:rFonts w:eastAsia="Times New Roman" w:cs="Times New Roman"/>
                <w:szCs w:val="24"/>
              </w:rPr>
              <w:t>In the Matter of the Application of Duke Energy Ohio, Inc. for Approval of its Energy Efficiency and Peak Demand Reduction Portfolio of Programs.</w:t>
            </w:r>
          </w:p>
        </w:tc>
        <w:tc>
          <w:tcPr>
            <w:tcW w:w="360" w:type="dxa"/>
            <w:shd w:val="clear" w:color="auto" w:fill="auto"/>
          </w:tcPr>
          <w:p w:rsidR="00B547E1" w:rsidRPr="00B547E1" w:rsidP="00871C4B" w14:paraId="014AB491"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B547E1" w:rsidRPr="00B547E1" w:rsidP="00871C4B" w14:paraId="29FDC56A"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B547E1" w:rsidRPr="00B547E1" w:rsidP="00871C4B" w14:paraId="078B49D5"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B547E1" w:rsidRPr="00B547E1" w:rsidP="00871C4B" w14:paraId="059C1296"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tc>
        <w:tc>
          <w:tcPr>
            <w:tcW w:w="4400" w:type="dxa"/>
            <w:shd w:val="clear" w:color="auto" w:fill="auto"/>
          </w:tcPr>
          <w:p w:rsidR="00B547E1" w:rsidRPr="00B547E1" w:rsidP="00871C4B" w14:paraId="4F81C80A" w14:textId="77777777">
            <w:pPr>
              <w:pStyle w:val="HTMLPreformatted"/>
              <w:rPr>
                <w:rFonts w:ascii="Times New Roman" w:hAnsi="Times New Roman" w:cs="Times New Roman"/>
                <w:sz w:val="24"/>
                <w:szCs w:val="24"/>
              </w:rPr>
            </w:pPr>
          </w:p>
          <w:p w:rsidR="00B547E1" w:rsidRPr="00B547E1" w:rsidP="00871C4B" w14:paraId="40E40B07" w14:textId="77777777">
            <w:pPr>
              <w:spacing w:after="0" w:line="240" w:lineRule="auto"/>
              <w:rPr>
                <w:rFonts w:cs="Times New Roman"/>
                <w:szCs w:val="24"/>
              </w:rPr>
            </w:pPr>
            <w:r w:rsidRPr="00B547E1">
              <w:rPr>
                <w:rFonts w:eastAsia="Times New Roman" w:cs="Times New Roman"/>
                <w:szCs w:val="24"/>
              </w:rPr>
              <w:t>Case No. 16-576-EL-POR</w:t>
            </w:r>
          </w:p>
          <w:p w:rsidR="00B547E1" w:rsidRPr="00B547E1" w:rsidP="00871C4B" w14:paraId="0787D02E" w14:textId="77777777">
            <w:pPr>
              <w:spacing w:after="0" w:line="240" w:lineRule="auto"/>
              <w:rPr>
                <w:rFonts w:cs="Times New Roman"/>
                <w:i/>
                <w:szCs w:val="24"/>
              </w:rPr>
            </w:pPr>
          </w:p>
        </w:tc>
      </w:tr>
    </w:tbl>
    <w:p w:rsidR="00B547E1" w:rsidRPr="00B547E1" w:rsidP="00B547E1" w14:paraId="3A27F1C3" w14:textId="77777777">
      <w:pPr>
        <w:pBdr>
          <w:bottom w:val="single" w:sz="12" w:space="1" w:color="auto"/>
        </w:pBdr>
        <w:spacing w:after="0" w:line="240" w:lineRule="auto"/>
        <w:rPr>
          <w:rFonts w:cs="Times New Roman"/>
          <w:szCs w:val="24"/>
        </w:rPr>
      </w:pPr>
    </w:p>
    <w:p w:rsidR="00B547E1" w:rsidRPr="00B547E1" w:rsidP="00B547E1" w14:paraId="29729D22" w14:textId="77777777">
      <w:pPr>
        <w:pStyle w:val="HTMLPreformatted"/>
        <w:rPr>
          <w:rFonts w:ascii="Times New Roman" w:hAnsi="Times New Roman" w:cs="Times New Roman"/>
          <w:b/>
          <w:bCs/>
          <w:i/>
          <w:sz w:val="24"/>
          <w:szCs w:val="24"/>
        </w:rPr>
      </w:pPr>
    </w:p>
    <w:p w:rsidR="00B547E1" w:rsidRPr="00B547E1" w:rsidP="00B547E1" w14:paraId="2D02FAAB"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MOTION TO MODIFY DUKE’S 2020 ENERGY EFFICIENCY PLAN TO ELIMINATE CHARGES TO CONSUMERS FOR UTILITY PROFITS</w:t>
      </w:r>
    </w:p>
    <w:p w:rsidR="00B547E1" w:rsidRPr="00B547E1" w:rsidP="00B547E1" w14:paraId="66573960"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AND</w:t>
      </w:r>
    </w:p>
    <w:p w:rsidR="00B547E1" w:rsidRPr="00B547E1" w:rsidP="00B547E1" w14:paraId="3B410E1D"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REQUEST FOR EXPEDITED TREATMENT</w:t>
      </w:r>
    </w:p>
    <w:p w:rsidR="00B547E1" w:rsidRPr="00B547E1" w:rsidP="00B547E1" w14:paraId="49C73A23"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BY</w:t>
      </w:r>
    </w:p>
    <w:p w:rsidR="00B547E1" w:rsidRPr="00B547E1" w:rsidP="00B547E1" w14:paraId="7B0E351E"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 xml:space="preserve">THE OFFICE OF THE OHIO CONSUMERS' COUNSEL </w:t>
      </w:r>
    </w:p>
    <w:p w:rsidR="00B547E1" w:rsidRPr="00B547E1" w:rsidP="00B547E1" w14:paraId="6B18A905" w14:textId="77777777">
      <w:pPr>
        <w:pStyle w:val="HTMLPreformatted"/>
        <w:pBdr>
          <w:bottom w:val="single" w:sz="12" w:space="1" w:color="auto"/>
        </w:pBdr>
        <w:jc w:val="center"/>
        <w:rPr>
          <w:rFonts w:ascii="Times New Roman" w:hAnsi="Times New Roman" w:cs="Times New Roman"/>
          <w:b/>
          <w:bCs/>
          <w:sz w:val="24"/>
          <w:szCs w:val="24"/>
        </w:rPr>
      </w:pPr>
    </w:p>
    <w:p w:rsidR="00B547E1" w:rsidP="00815194" w14:paraId="2C191F07" w14:textId="77777777">
      <w:pPr>
        <w:spacing w:after="0"/>
        <w:jc w:val="center"/>
        <w:rPr>
          <w:rFonts w:cs="Times New Roman"/>
          <w:b/>
          <w:szCs w:val="24"/>
        </w:rPr>
      </w:pPr>
    </w:p>
    <w:p w:rsidR="00B547E1" w:rsidP="00815194" w14:paraId="5AC80CE8" w14:textId="77777777">
      <w:pPr>
        <w:spacing w:after="0"/>
        <w:jc w:val="center"/>
        <w:rPr>
          <w:rFonts w:cs="Times New Roman"/>
          <w:b/>
          <w:szCs w:val="24"/>
        </w:rPr>
      </w:pPr>
    </w:p>
    <w:p w:rsidR="00B547E1" w:rsidP="00B547E1" w14:paraId="47A4176B" w14:textId="77777777">
      <w:pPr>
        <w:spacing w:after="0" w:line="240" w:lineRule="auto"/>
        <w:ind w:firstLine="4320"/>
        <w:rPr>
          <w:rFonts w:cs="Times New Roman"/>
          <w:szCs w:val="24"/>
        </w:rPr>
      </w:pPr>
    </w:p>
    <w:p w:rsidR="00B547E1" w:rsidP="00B547E1" w14:paraId="7D23365D" w14:textId="77777777">
      <w:pPr>
        <w:spacing w:after="0" w:line="240" w:lineRule="auto"/>
        <w:ind w:firstLine="4320"/>
        <w:rPr>
          <w:rFonts w:cs="Times New Roman"/>
          <w:szCs w:val="24"/>
        </w:rPr>
      </w:pPr>
    </w:p>
    <w:p w:rsidR="00B547E1" w:rsidP="00B547E1" w14:paraId="4AE98D76" w14:textId="77777777">
      <w:pPr>
        <w:spacing w:after="0" w:line="240" w:lineRule="auto"/>
        <w:ind w:firstLine="4320"/>
        <w:rPr>
          <w:rFonts w:cs="Times New Roman"/>
          <w:szCs w:val="24"/>
        </w:rPr>
      </w:pPr>
    </w:p>
    <w:p w:rsidR="00B547E1" w:rsidP="00B547E1" w14:paraId="7CE4D57C" w14:textId="77777777">
      <w:pPr>
        <w:spacing w:after="0" w:line="240" w:lineRule="auto"/>
        <w:ind w:firstLine="4320"/>
        <w:rPr>
          <w:rFonts w:cs="Times New Roman"/>
          <w:szCs w:val="24"/>
        </w:rPr>
      </w:pPr>
    </w:p>
    <w:p w:rsidR="00B547E1" w:rsidP="00B547E1" w14:paraId="71DEEC48" w14:textId="77777777">
      <w:pPr>
        <w:spacing w:after="0" w:line="240" w:lineRule="auto"/>
        <w:ind w:firstLine="4320"/>
        <w:rPr>
          <w:rFonts w:cs="Times New Roman"/>
          <w:szCs w:val="24"/>
        </w:rPr>
      </w:pPr>
    </w:p>
    <w:p w:rsidR="00B547E1" w:rsidP="00B547E1" w14:paraId="101B7846" w14:textId="77777777">
      <w:pPr>
        <w:spacing w:after="0" w:line="240" w:lineRule="auto"/>
        <w:ind w:firstLine="4320"/>
        <w:rPr>
          <w:rFonts w:cs="Times New Roman"/>
          <w:szCs w:val="24"/>
        </w:rPr>
      </w:pPr>
    </w:p>
    <w:p w:rsidR="00B547E1" w:rsidP="00B547E1" w14:paraId="08E1E17C" w14:textId="77777777">
      <w:pPr>
        <w:spacing w:after="0" w:line="240" w:lineRule="auto"/>
        <w:ind w:firstLine="4320"/>
        <w:rPr>
          <w:rFonts w:cs="Times New Roman"/>
          <w:szCs w:val="24"/>
        </w:rPr>
      </w:pPr>
    </w:p>
    <w:p w:rsidR="00B547E1" w:rsidP="00B547E1" w14:paraId="5C941388" w14:textId="77777777">
      <w:pPr>
        <w:spacing w:after="0" w:line="240" w:lineRule="auto"/>
        <w:ind w:firstLine="4320"/>
        <w:rPr>
          <w:rFonts w:cs="Times New Roman"/>
          <w:szCs w:val="24"/>
        </w:rPr>
      </w:pPr>
    </w:p>
    <w:p w:rsidR="00B547E1" w:rsidP="00B547E1" w14:paraId="37BE3F2B" w14:textId="77777777">
      <w:pPr>
        <w:spacing w:after="0" w:line="240" w:lineRule="auto"/>
        <w:ind w:firstLine="4320"/>
        <w:rPr>
          <w:rFonts w:cs="Times New Roman"/>
          <w:szCs w:val="24"/>
        </w:rPr>
      </w:pPr>
    </w:p>
    <w:p w:rsidR="00B547E1" w:rsidP="00B547E1" w14:paraId="188A2AA4" w14:textId="77777777">
      <w:pPr>
        <w:spacing w:after="0" w:line="240" w:lineRule="auto"/>
        <w:ind w:firstLine="4320"/>
        <w:rPr>
          <w:rFonts w:cs="Times New Roman"/>
          <w:szCs w:val="24"/>
        </w:rPr>
      </w:pPr>
    </w:p>
    <w:p w:rsidR="00CA6BDD" w:rsidP="00B547E1" w14:paraId="07929D23" w14:textId="77777777">
      <w:pPr>
        <w:spacing w:after="0" w:line="240" w:lineRule="auto"/>
        <w:ind w:firstLine="4320"/>
        <w:rPr>
          <w:rFonts w:cs="Times New Roman"/>
          <w:szCs w:val="24"/>
        </w:rPr>
      </w:pPr>
    </w:p>
    <w:p w:rsidR="00CA6BDD" w:rsidP="00B547E1" w14:paraId="1EA30D1A" w14:textId="77777777">
      <w:pPr>
        <w:spacing w:after="0" w:line="240" w:lineRule="auto"/>
        <w:ind w:firstLine="4320"/>
        <w:rPr>
          <w:rFonts w:cs="Times New Roman"/>
          <w:szCs w:val="24"/>
        </w:rPr>
      </w:pPr>
    </w:p>
    <w:p w:rsidR="00CA6BDD" w:rsidP="00B547E1" w14:paraId="703A5990" w14:textId="77777777">
      <w:pPr>
        <w:spacing w:after="0" w:line="240" w:lineRule="auto"/>
        <w:ind w:firstLine="4320"/>
        <w:rPr>
          <w:rFonts w:cs="Times New Roman"/>
          <w:szCs w:val="24"/>
        </w:rPr>
      </w:pPr>
    </w:p>
    <w:p w:rsidR="00CA6BDD" w:rsidP="00B547E1" w14:paraId="098ACF38" w14:textId="77777777">
      <w:pPr>
        <w:spacing w:after="0" w:line="240" w:lineRule="auto"/>
        <w:ind w:firstLine="4320"/>
        <w:rPr>
          <w:rFonts w:cs="Times New Roman"/>
          <w:szCs w:val="24"/>
        </w:rPr>
      </w:pPr>
    </w:p>
    <w:p w:rsidR="00CA6BDD" w:rsidP="00B547E1" w14:paraId="2D3C4C05" w14:textId="77777777">
      <w:pPr>
        <w:spacing w:after="0" w:line="240" w:lineRule="auto"/>
        <w:ind w:firstLine="4320"/>
        <w:rPr>
          <w:rFonts w:cs="Times New Roman"/>
          <w:szCs w:val="24"/>
        </w:rPr>
      </w:pPr>
    </w:p>
    <w:p w:rsidR="00B547E1" w:rsidRPr="00B547E1" w:rsidP="00B547E1" w14:paraId="7D3D29E3" w14:textId="77777777">
      <w:pPr>
        <w:spacing w:after="0" w:line="240" w:lineRule="auto"/>
        <w:ind w:firstLine="4320"/>
        <w:rPr>
          <w:rFonts w:cs="Times New Roman"/>
          <w:szCs w:val="24"/>
        </w:rPr>
      </w:pPr>
      <w:r w:rsidRPr="00B547E1">
        <w:rPr>
          <w:rFonts w:cs="Times New Roman"/>
          <w:szCs w:val="24"/>
        </w:rPr>
        <w:t>Bruce Weston (0016973)</w:t>
      </w:r>
    </w:p>
    <w:p w:rsidR="00B547E1" w:rsidRPr="00B547E1" w:rsidP="00B547E1" w14:paraId="2E7CF402" w14:textId="77777777">
      <w:pPr>
        <w:tabs>
          <w:tab w:val="left" w:pos="4320"/>
        </w:tabs>
        <w:spacing w:after="0" w:line="240" w:lineRule="auto"/>
        <w:ind w:left="4320"/>
        <w:rPr>
          <w:rFonts w:cs="Times New Roman"/>
          <w:szCs w:val="24"/>
        </w:rPr>
      </w:pPr>
      <w:r w:rsidRPr="00B547E1">
        <w:rPr>
          <w:rFonts w:cs="Times New Roman"/>
          <w:szCs w:val="24"/>
        </w:rPr>
        <w:t>Ohio Consumers' Counsel</w:t>
      </w:r>
    </w:p>
    <w:p w:rsidR="00B547E1" w:rsidRPr="00B547E1" w:rsidP="00B547E1" w14:paraId="0AA9C506" w14:textId="77777777">
      <w:pPr>
        <w:tabs>
          <w:tab w:val="left" w:pos="4320"/>
        </w:tabs>
        <w:spacing w:after="0" w:line="240" w:lineRule="auto"/>
        <w:ind w:left="4320"/>
        <w:rPr>
          <w:rFonts w:cs="Times New Roman"/>
          <w:szCs w:val="24"/>
        </w:rPr>
      </w:pPr>
    </w:p>
    <w:p w:rsidR="00B547E1" w:rsidRPr="00B547E1" w:rsidP="00B547E1" w14:paraId="2DF837EB" w14:textId="77777777">
      <w:pPr>
        <w:autoSpaceDE w:val="0"/>
        <w:autoSpaceDN w:val="0"/>
        <w:adjustRightInd w:val="0"/>
        <w:spacing w:after="0" w:line="240" w:lineRule="auto"/>
        <w:ind w:left="4320"/>
        <w:rPr>
          <w:rFonts w:cs="Times New Roman"/>
          <w:szCs w:val="24"/>
        </w:rPr>
      </w:pPr>
      <w:r w:rsidRPr="00B547E1">
        <w:rPr>
          <w:rFonts w:cs="Times New Roman"/>
          <w:szCs w:val="24"/>
        </w:rPr>
        <w:t>Christopher Healey (0086027)</w:t>
      </w:r>
      <w:r w:rsidRPr="00B547E1">
        <w:rPr>
          <w:rFonts w:cs="Times New Roman"/>
          <w:szCs w:val="24"/>
        </w:rPr>
        <w:br/>
        <w:t>Counsel of Record</w:t>
      </w:r>
    </w:p>
    <w:p w:rsidR="00B547E1" w:rsidRPr="00B547E1" w:rsidP="00B547E1" w14:paraId="268609D0" w14:textId="77777777">
      <w:pPr>
        <w:tabs>
          <w:tab w:val="left" w:pos="4320"/>
        </w:tabs>
        <w:spacing w:after="0" w:line="240" w:lineRule="auto"/>
        <w:ind w:left="4320"/>
        <w:rPr>
          <w:rFonts w:cs="Times New Roman"/>
          <w:szCs w:val="24"/>
        </w:rPr>
      </w:pPr>
    </w:p>
    <w:p w:rsidR="00B547E1" w:rsidRPr="00B547E1" w:rsidP="00B547E1" w14:paraId="7F33496D" w14:textId="77777777">
      <w:pPr>
        <w:spacing w:after="0" w:line="240" w:lineRule="auto"/>
        <w:ind w:left="4320"/>
        <w:rPr>
          <w:rFonts w:cs="Times New Roman"/>
          <w:b/>
          <w:szCs w:val="24"/>
        </w:rPr>
      </w:pPr>
      <w:r w:rsidRPr="00B547E1">
        <w:rPr>
          <w:rFonts w:cs="Times New Roman"/>
          <w:b/>
          <w:szCs w:val="24"/>
        </w:rPr>
        <w:t>Office of the Ohio Consumers' Counsel</w:t>
      </w:r>
    </w:p>
    <w:p w:rsidR="00B547E1" w:rsidRPr="00B547E1" w:rsidP="00B547E1" w14:paraId="6D94C4C5" w14:textId="77777777">
      <w:pPr>
        <w:spacing w:after="0" w:line="240" w:lineRule="auto"/>
        <w:ind w:left="4320"/>
        <w:rPr>
          <w:rFonts w:cs="Times New Roman"/>
          <w:szCs w:val="24"/>
        </w:rPr>
      </w:pPr>
      <w:r w:rsidRPr="00B547E1">
        <w:rPr>
          <w:rFonts w:cs="Times New Roman"/>
          <w:szCs w:val="24"/>
        </w:rPr>
        <w:t>65 East State Street, 7th Floor</w:t>
      </w:r>
    </w:p>
    <w:p w:rsidR="00B547E1" w:rsidRPr="00B547E1" w:rsidP="00B547E1" w14:paraId="7F4DA23D" w14:textId="77777777">
      <w:pPr>
        <w:spacing w:after="0" w:line="240" w:lineRule="auto"/>
        <w:ind w:left="4320"/>
        <w:rPr>
          <w:rFonts w:cs="Times New Roman"/>
          <w:szCs w:val="24"/>
        </w:rPr>
      </w:pPr>
      <w:r w:rsidRPr="00B547E1">
        <w:rPr>
          <w:rFonts w:cs="Times New Roman"/>
          <w:szCs w:val="24"/>
        </w:rPr>
        <w:t>Columbus, Ohio 43215</w:t>
      </w:r>
    </w:p>
    <w:p w:rsidR="00B547E1" w:rsidRPr="00B547E1" w:rsidP="00B547E1" w14:paraId="6055F4EB" w14:textId="77777777">
      <w:pPr>
        <w:autoSpaceDE w:val="0"/>
        <w:autoSpaceDN w:val="0"/>
        <w:adjustRightInd w:val="0"/>
        <w:spacing w:after="0" w:line="240" w:lineRule="auto"/>
        <w:ind w:left="3600" w:firstLine="720"/>
        <w:rPr>
          <w:rFonts w:cs="Times New Roman"/>
          <w:szCs w:val="24"/>
        </w:rPr>
      </w:pPr>
      <w:r w:rsidRPr="00B547E1">
        <w:rPr>
          <w:rFonts w:cs="Times New Roman"/>
          <w:szCs w:val="24"/>
        </w:rPr>
        <w:t>Telephone: (614) 466-9571</w:t>
      </w:r>
    </w:p>
    <w:p w:rsidR="00B547E1" w:rsidRPr="00B547E1" w:rsidP="00B547E1" w14:paraId="5CA1D7D3" w14:textId="77777777">
      <w:pPr>
        <w:spacing w:after="0" w:line="240" w:lineRule="auto"/>
        <w:ind w:left="4320"/>
        <w:rPr>
          <w:rFonts w:cs="Times New Roman"/>
          <w:szCs w:val="24"/>
        </w:rPr>
      </w:pPr>
      <w:hyperlink r:id="rId6" w:history="1">
        <w:r w:rsidRPr="00B547E1" w:rsidR="006552B8">
          <w:rPr>
            <w:rStyle w:val="Hyperlink"/>
            <w:rFonts w:cs="Times New Roman"/>
            <w:szCs w:val="24"/>
          </w:rPr>
          <w:t>christopher.healey@occ.ohio.gov</w:t>
        </w:r>
      </w:hyperlink>
    </w:p>
    <w:p w:rsidR="00B547E1" w:rsidRPr="00B547E1" w:rsidP="00B547E1" w14:paraId="47E1AE8A" w14:textId="77777777">
      <w:pPr>
        <w:spacing w:after="0" w:line="480" w:lineRule="auto"/>
        <w:rPr>
          <w:rFonts w:eastAsia="Courier New" w:cs="Times New Roman"/>
          <w:bCs/>
          <w:szCs w:val="24"/>
        </w:rPr>
      </w:pPr>
      <w:r w:rsidRPr="00B547E1">
        <w:rPr>
          <w:rFonts w:cs="Times New Roman"/>
          <w:szCs w:val="24"/>
        </w:rPr>
        <w:t>December 9, 2019</w:t>
      </w:r>
      <w:r w:rsidRPr="00B547E1">
        <w:rPr>
          <w:rFonts w:cs="Times New Roman"/>
          <w:szCs w:val="24"/>
        </w:rPr>
        <w:tab/>
      </w:r>
      <w:r w:rsidRPr="00B547E1">
        <w:rPr>
          <w:rFonts w:cs="Times New Roman"/>
          <w:szCs w:val="24"/>
        </w:rPr>
        <w:tab/>
      </w:r>
      <w:r w:rsidRPr="00B547E1">
        <w:rPr>
          <w:rFonts w:cs="Times New Roman"/>
          <w:szCs w:val="24"/>
        </w:rPr>
        <w:tab/>
      </w:r>
      <w:r w:rsidRPr="00B547E1">
        <w:rPr>
          <w:rFonts w:cs="Times New Roman"/>
          <w:szCs w:val="24"/>
        </w:rPr>
        <w:tab/>
        <w:t>(willing to accept service by e-mail)</w:t>
      </w:r>
    </w:p>
    <w:p w:rsidR="00B547E1" w:rsidP="00815194" w14:paraId="37F1CBC2" w14:textId="77777777">
      <w:pPr>
        <w:spacing w:after="0"/>
        <w:jc w:val="center"/>
        <w:rPr>
          <w:rFonts w:cs="Times New Roman"/>
          <w:bCs/>
          <w:szCs w:val="24"/>
        </w:rPr>
        <w:sectPr w:rsidSect="00815194">
          <w:footerReference w:type="default" r:id="rId7"/>
          <w:pgSz w:w="12240" w:h="15840"/>
          <w:pgMar w:top="1440" w:right="1800" w:bottom="1440" w:left="1800" w:header="720" w:footer="720" w:gutter="0"/>
          <w:pgNumType w:start="2"/>
          <w:cols w:space="720"/>
          <w:docGrid w:linePitch="360"/>
        </w:sectPr>
      </w:pPr>
    </w:p>
    <w:p w:rsidR="00B547E1" w:rsidRPr="00B547E1" w:rsidP="00B547E1" w14:paraId="5222B355" w14:textId="77777777">
      <w:pPr>
        <w:spacing w:after="0"/>
        <w:jc w:val="center"/>
        <w:rPr>
          <w:rFonts w:cs="Times New Roman"/>
          <w:b/>
          <w:szCs w:val="24"/>
          <w:u w:val="single"/>
        </w:rPr>
      </w:pPr>
      <w:r w:rsidRPr="00B547E1">
        <w:rPr>
          <w:rFonts w:cs="Times New Roman"/>
          <w:b/>
          <w:szCs w:val="24"/>
          <w:u w:val="single"/>
        </w:rPr>
        <w:t>TABLE OF CONTENTS</w:t>
      </w:r>
    </w:p>
    <w:p w:rsidR="00B547E1" w:rsidP="00B547E1" w14:paraId="1846A643" w14:textId="77777777">
      <w:pPr>
        <w:spacing w:after="0"/>
        <w:jc w:val="center"/>
        <w:rPr>
          <w:rFonts w:cs="Times New Roman"/>
          <w:bCs/>
          <w:szCs w:val="24"/>
        </w:rPr>
      </w:pPr>
    </w:p>
    <w:p w:rsidR="00B547E1" w:rsidP="00B547E1" w14:paraId="69651EC5" w14:textId="77777777">
      <w:pPr>
        <w:spacing w:after="0"/>
        <w:jc w:val="center"/>
        <w:rPr>
          <w:rFonts w:cs="Times New Roman"/>
          <w:b/>
          <w:szCs w:val="24"/>
        </w:rPr>
      </w:pP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Pr>
          <w:rFonts w:cs="Times New Roman"/>
          <w:bCs/>
          <w:szCs w:val="24"/>
        </w:rPr>
        <w:tab/>
      </w:r>
      <w:r w:rsidRPr="00B547E1">
        <w:rPr>
          <w:rFonts w:cs="Times New Roman"/>
          <w:b/>
          <w:szCs w:val="24"/>
        </w:rPr>
        <w:t>PAGE</w:t>
      </w:r>
    </w:p>
    <w:p w:rsidR="00B547E1" w:rsidP="00B547E1" w14:paraId="675A61E0" w14:textId="77777777">
      <w:pPr>
        <w:spacing w:after="0"/>
        <w:jc w:val="center"/>
        <w:rPr>
          <w:rFonts w:cs="Times New Roman"/>
          <w:bCs/>
          <w:szCs w:val="24"/>
        </w:rPr>
      </w:pPr>
    </w:p>
    <w:p w:rsidR="008D648E" w14:paraId="1169C750" w14:textId="4022A39F">
      <w:pPr>
        <w:pStyle w:val="TOC1"/>
        <w:rPr>
          <w:rFonts w:asciiTheme="minorHAnsi" w:eastAsiaTheme="minorEastAsia" w:hAnsiTheme="minorHAnsi"/>
          <w:caps w:val="0"/>
          <w:noProof/>
          <w:sz w:val="22"/>
        </w:rPr>
      </w:pPr>
      <w:r>
        <w:rPr>
          <w:rFonts w:cs="Times New Roman"/>
          <w:bCs/>
          <w:szCs w:val="24"/>
        </w:rPr>
        <w:fldChar w:fldCharType="begin"/>
      </w:r>
      <w:r>
        <w:rPr>
          <w:rFonts w:cs="Times New Roman"/>
          <w:bCs/>
          <w:szCs w:val="24"/>
        </w:rPr>
        <w:instrText xml:space="preserve"> TOC \o "1-3" \h \z \u </w:instrText>
      </w:r>
      <w:r>
        <w:rPr>
          <w:rFonts w:cs="Times New Roman"/>
          <w:bCs/>
          <w:szCs w:val="24"/>
        </w:rPr>
        <w:fldChar w:fldCharType="separate"/>
      </w:r>
      <w:hyperlink w:anchor="_Toc26785791" w:history="1">
        <w:r w:rsidRPr="00AA5799">
          <w:rPr>
            <w:rStyle w:val="Hyperlink"/>
            <w:rFonts w:eastAsia="Courier New"/>
            <w:noProof/>
          </w:rPr>
          <w:t>I.</w:t>
        </w:r>
        <w:r>
          <w:rPr>
            <w:rFonts w:asciiTheme="minorHAnsi" w:eastAsiaTheme="minorEastAsia" w:hAnsiTheme="minorHAnsi"/>
            <w:caps w:val="0"/>
            <w:noProof/>
            <w:sz w:val="22"/>
          </w:rPr>
          <w:tab/>
        </w:r>
        <w:r w:rsidRPr="00AA5799">
          <w:rPr>
            <w:rStyle w:val="Hyperlink"/>
            <w:rFonts w:eastAsia="Courier New"/>
            <w:noProof/>
          </w:rPr>
          <w:t>RECOMMENDATIONS</w:t>
        </w:r>
        <w:r>
          <w:rPr>
            <w:noProof/>
            <w:webHidden/>
          </w:rPr>
          <w:tab/>
        </w:r>
        <w:r>
          <w:rPr>
            <w:noProof/>
            <w:webHidden/>
          </w:rPr>
          <w:fldChar w:fldCharType="begin"/>
        </w:r>
        <w:r>
          <w:rPr>
            <w:noProof/>
            <w:webHidden/>
          </w:rPr>
          <w:instrText xml:space="preserve"> PAGEREF _Toc26785791 \h </w:instrText>
        </w:r>
        <w:r>
          <w:rPr>
            <w:noProof/>
            <w:webHidden/>
          </w:rPr>
          <w:fldChar w:fldCharType="separate"/>
        </w:r>
        <w:r w:rsidR="00B165F8">
          <w:rPr>
            <w:noProof/>
            <w:webHidden/>
          </w:rPr>
          <w:t>2</w:t>
        </w:r>
        <w:r>
          <w:rPr>
            <w:noProof/>
            <w:webHidden/>
          </w:rPr>
          <w:fldChar w:fldCharType="end"/>
        </w:r>
      </w:hyperlink>
    </w:p>
    <w:p w:rsidR="008D648E" w14:paraId="221001FC" w14:textId="201FD589">
      <w:pPr>
        <w:pStyle w:val="TOC2"/>
        <w:tabs>
          <w:tab w:val="left" w:pos="1440"/>
        </w:tabs>
        <w:rPr>
          <w:rFonts w:asciiTheme="minorHAnsi" w:eastAsiaTheme="minorEastAsia" w:hAnsiTheme="minorHAnsi"/>
          <w:noProof/>
          <w:sz w:val="22"/>
        </w:rPr>
      </w:pPr>
      <w:hyperlink w:anchor="_Toc26785792" w:history="1">
        <w:r w:rsidRPr="00AA5799" w:rsidR="006552B8">
          <w:rPr>
            <w:rStyle w:val="Hyperlink"/>
            <w:rFonts w:eastAsia="Courier New"/>
            <w:noProof/>
          </w:rPr>
          <w:t>A.</w:t>
        </w:r>
        <w:r w:rsidR="006552B8">
          <w:rPr>
            <w:rFonts w:asciiTheme="minorHAnsi" w:eastAsiaTheme="minorEastAsia" w:hAnsiTheme="minorHAnsi"/>
            <w:noProof/>
            <w:sz w:val="22"/>
          </w:rPr>
          <w:tab/>
        </w:r>
        <w:r w:rsidRPr="00AA5799" w:rsidR="006552B8">
          <w:rPr>
            <w:rStyle w:val="Hyperlink"/>
            <w:rFonts w:eastAsia="Courier New"/>
            <w:noProof/>
          </w:rPr>
          <w:t>The PUCO should exercise its authority to modify Duke’s portfolio so that customers no longer pay for utility profits (“shared savings”) in 2020.</w:t>
        </w:r>
        <w:r w:rsidR="006552B8">
          <w:rPr>
            <w:noProof/>
            <w:webHidden/>
          </w:rPr>
          <w:tab/>
        </w:r>
        <w:r w:rsidR="006552B8">
          <w:rPr>
            <w:noProof/>
            <w:webHidden/>
          </w:rPr>
          <w:fldChar w:fldCharType="begin"/>
        </w:r>
        <w:r w:rsidR="006552B8">
          <w:rPr>
            <w:noProof/>
            <w:webHidden/>
          </w:rPr>
          <w:instrText xml:space="preserve"> PAGEREF _Toc26785792 \h </w:instrText>
        </w:r>
        <w:r w:rsidR="006552B8">
          <w:rPr>
            <w:noProof/>
            <w:webHidden/>
          </w:rPr>
          <w:fldChar w:fldCharType="separate"/>
        </w:r>
        <w:r w:rsidR="00B165F8">
          <w:rPr>
            <w:noProof/>
            <w:webHidden/>
          </w:rPr>
          <w:t>2</w:t>
        </w:r>
        <w:r w:rsidR="006552B8">
          <w:rPr>
            <w:noProof/>
            <w:webHidden/>
          </w:rPr>
          <w:fldChar w:fldCharType="end"/>
        </w:r>
      </w:hyperlink>
    </w:p>
    <w:p w:rsidR="008D648E" w14:paraId="5B28E3AE" w14:textId="0C96A71E">
      <w:pPr>
        <w:pStyle w:val="TOC3"/>
        <w:tabs>
          <w:tab w:val="left" w:pos="2160"/>
        </w:tabs>
        <w:rPr>
          <w:rFonts w:asciiTheme="minorHAnsi" w:eastAsiaTheme="minorEastAsia" w:hAnsiTheme="minorHAnsi"/>
          <w:noProof/>
          <w:sz w:val="22"/>
        </w:rPr>
      </w:pPr>
      <w:hyperlink w:anchor="_Toc26785793" w:history="1">
        <w:r w:rsidRPr="00AA5799" w:rsidR="006552B8">
          <w:rPr>
            <w:rStyle w:val="Hyperlink"/>
            <w:rFonts w:eastAsia="Courier New"/>
            <w:noProof/>
          </w:rPr>
          <w:t>1.</w:t>
        </w:r>
        <w:r w:rsidR="006552B8">
          <w:rPr>
            <w:rFonts w:asciiTheme="minorHAnsi" w:eastAsiaTheme="minorEastAsia" w:hAnsiTheme="minorHAnsi"/>
            <w:noProof/>
            <w:sz w:val="22"/>
          </w:rPr>
          <w:tab/>
        </w:r>
        <w:r w:rsidRPr="00AA5799" w:rsidR="006552B8">
          <w:rPr>
            <w:rStyle w:val="Hyperlink"/>
            <w:rFonts w:eastAsia="Courier New"/>
            <w:noProof/>
          </w:rPr>
          <w:t>Shared savings is not part of a utility’s energy efficiency portfolio “budget” under R.C. 4928.66(F)(2), so the PUCO is not required to allow utilities to continue charging customers for shared savings.</w:t>
        </w:r>
        <w:r w:rsidR="006552B8">
          <w:rPr>
            <w:noProof/>
            <w:webHidden/>
          </w:rPr>
          <w:tab/>
        </w:r>
        <w:r w:rsidR="006552B8">
          <w:rPr>
            <w:noProof/>
            <w:webHidden/>
          </w:rPr>
          <w:fldChar w:fldCharType="begin"/>
        </w:r>
        <w:r w:rsidR="006552B8">
          <w:rPr>
            <w:noProof/>
            <w:webHidden/>
          </w:rPr>
          <w:instrText xml:space="preserve"> PAGEREF _Toc26785793 \h </w:instrText>
        </w:r>
        <w:r w:rsidR="006552B8">
          <w:rPr>
            <w:noProof/>
            <w:webHidden/>
          </w:rPr>
          <w:fldChar w:fldCharType="separate"/>
        </w:r>
        <w:r w:rsidR="00B165F8">
          <w:rPr>
            <w:noProof/>
            <w:webHidden/>
          </w:rPr>
          <w:t>2</w:t>
        </w:r>
        <w:r w:rsidR="006552B8">
          <w:rPr>
            <w:noProof/>
            <w:webHidden/>
          </w:rPr>
          <w:fldChar w:fldCharType="end"/>
        </w:r>
      </w:hyperlink>
    </w:p>
    <w:p w:rsidR="008D648E" w14:paraId="4AB380D2" w14:textId="33A51D0D">
      <w:pPr>
        <w:pStyle w:val="TOC3"/>
        <w:tabs>
          <w:tab w:val="left" w:pos="2160"/>
        </w:tabs>
        <w:rPr>
          <w:rFonts w:asciiTheme="minorHAnsi" w:eastAsiaTheme="minorEastAsia" w:hAnsiTheme="minorHAnsi"/>
          <w:noProof/>
          <w:sz w:val="22"/>
        </w:rPr>
      </w:pPr>
      <w:hyperlink w:anchor="_Toc26785794" w:history="1">
        <w:r w:rsidRPr="00AA5799" w:rsidR="006552B8">
          <w:rPr>
            <w:rStyle w:val="Hyperlink"/>
            <w:noProof/>
          </w:rPr>
          <w:t>2.</w:t>
        </w:r>
        <w:r w:rsidR="006552B8">
          <w:rPr>
            <w:rFonts w:asciiTheme="minorHAnsi" w:eastAsiaTheme="minorEastAsia" w:hAnsiTheme="minorHAnsi"/>
            <w:noProof/>
            <w:sz w:val="22"/>
          </w:rPr>
          <w:tab/>
        </w:r>
        <w:r w:rsidRPr="00AA5799" w:rsidR="006552B8">
          <w:rPr>
            <w:rStyle w:val="Hyperlink"/>
            <w:noProof/>
          </w:rPr>
          <w:t>House Bill 6 allows the PUCO to modify a utility’s portfolio for 2020. The PUCO should do so by eliminating charges to customers for “shared savings,” which really means utility profits.</w:t>
        </w:r>
        <w:r w:rsidR="006552B8">
          <w:rPr>
            <w:noProof/>
            <w:webHidden/>
          </w:rPr>
          <w:tab/>
        </w:r>
        <w:r w:rsidR="006552B8">
          <w:rPr>
            <w:noProof/>
            <w:webHidden/>
          </w:rPr>
          <w:fldChar w:fldCharType="begin"/>
        </w:r>
        <w:r w:rsidR="006552B8">
          <w:rPr>
            <w:noProof/>
            <w:webHidden/>
          </w:rPr>
          <w:instrText xml:space="preserve"> PAGEREF _Toc26785794 \h </w:instrText>
        </w:r>
        <w:r w:rsidR="006552B8">
          <w:rPr>
            <w:noProof/>
            <w:webHidden/>
          </w:rPr>
          <w:fldChar w:fldCharType="separate"/>
        </w:r>
        <w:r w:rsidR="00B165F8">
          <w:rPr>
            <w:noProof/>
            <w:webHidden/>
          </w:rPr>
          <w:t>4</w:t>
        </w:r>
        <w:r w:rsidR="006552B8">
          <w:rPr>
            <w:noProof/>
            <w:webHidden/>
          </w:rPr>
          <w:fldChar w:fldCharType="end"/>
        </w:r>
      </w:hyperlink>
    </w:p>
    <w:p w:rsidR="008D648E" w14:paraId="6361E6BB" w14:textId="387C3393">
      <w:pPr>
        <w:pStyle w:val="TOC3"/>
        <w:tabs>
          <w:tab w:val="left" w:pos="2160"/>
        </w:tabs>
        <w:rPr>
          <w:rFonts w:asciiTheme="minorHAnsi" w:eastAsiaTheme="minorEastAsia" w:hAnsiTheme="minorHAnsi"/>
          <w:noProof/>
          <w:sz w:val="22"/>
        </w:rPr>
      </w:pPr>
      <w:hyperlink w:anchor="_Toc26785795" w:history="1">
        <w:r w:rsidRPr="00AA5799" w:rsidR="006552B8">
          <w:rPr>
            <w:rStyle w:val="Hyperlink"/>
            <w:noProof/>
          </w:rPr>
          <w:t>3.</w:t>
        </w:r>
        <w:r w:rsidR="006552B8">
          <w:rPr>
            <w:rFonts w:asciiTheme="minorHAnsi" w:eastAsiaTheme="minorEastAsia" w:hAnsiTheme="minorHAnsi"/>
            <w:noProof/>
            <w:sz w:val="22"/>
          </w:rPr>
          <w:tab/>
        </w:r>
        <w:r w:rsidRPr="00AA5799" w:rsidR="006552B8">
          <w:rPr>
            <w:rStyle w:val="Hyperlink"/>
            <w:noProof/>
          </w:rPr>
          <w:t>If shared savings are removed from Duke’s portfolio, the annual budget for 2020 should be limited to $37,497,474.</w:t>
        </w:r>
        <w:r w:rsidR="006552B8">
          <w:rPr>
            <w:noProof/>
            <w:webHidden/>
          </w:rPr>
          <w:tab/>
        </w:r>
        <w:r w:rsidR="006552B8">
          <w:rPr>
            <w:noProof/>
            <w:webHidden/>
          </w:rPr>
          <w:fldChar w:fldCharType="begin"/>
        </w:r>
        <w:r w:rsidR="006552B8">
          <w:rPr>
            <w:noProof/>
            <w:webHidden/>
          </w:rPr>
          <w:instrText xml:space="preserve"> PAGEREF _Toc26785795 \h </w:instrText>
        </w:r>
        <w:r w:rsidR="006552B8">
          <w:rPr>
            <w:noProof/>
            <w:webHidden/>
          </w:rPr>
          <w:fldChar w:fldCharType="separate"/>
        </w:r>
        <w:r w:rsidR="00B165F8">
          <w:rPr>
            <w:noProof/>
            <w:webHidden/>
          </w:rPr>
          <w:t>6</w:t>
        </w:r>
        <w:r w:rsidR="006552B8">
          <w:rPr>
            <w:noProof/>
            <w:webHidden/>
          </w:rPr>
          <w:fldChar w:fldCharType="end"/>
        </w:r>
      </w:hyperlink>
    </w:p>
    <w:p w:rsidR="008D648E" w14:paraId="3DDD8A19" w14:textId="3B72AE49">
      <w:pPr>
        <w:pStyle w:val="TOC2"/>
        <w:tabs>
          <w:tab w:val="left" w:pos="1440"/>
        </w:tabs>
        <w:rPr>
          <w:rFonts w:asciiTheme="minorHAnsi" w:eastAsiaTheme="minorEastAsia" w:hAnsiTheme="minorHAnsi"/>
          <w:noProof/>
          <w:sz w:val="22"/>
        </w:rPr>
      </w:pPr>
      <w:hyperlink w:anchor="_Toc26785796" w:history="1">
        <w:r w:rsidRPr="00AA5799" w:rsidR="006552B8">
          <w:rPr>
            <w:rStyle w:val="Hyperlink"/>
            <w:rFonts w:eastAsia="Courier New"/>
            <w:noProof/>
          </w:rPr>
          <w:t>B.</w:t>
        </w:r>
        <w:r w:rsidR="006552B8">
          <w:rPr>
            <w:rFonts w:asciiTheme="minorHAnsi" w:eastAsiaTheme="minorEastAsia" w:hAnsiTheme="minorHAnsi"/>
            <w:noProof/>
            <w:sz w:val="22"/>
          </w:rPr>
          <w:tab/>
        </w:r>
        <w:r w:rsidRPr="00AA5799" w:rsidR="006552B8">
          <w:rPr>
            <w:rStyle w:val="Hyperlink"/>
            <w:rFonts w:eastAsia="Courier New"/>
            <w:noProof/>
          </w:rPr>
          <w:t>Even if the PUCO does allow Duke to charge customers for shared savings in 2020 (which it should not), Duke’s proposed $46,895,800 budget is inaccurately calculated and should instead be lowered to $44,216,406.</w:t>
        </w:r>
        <w:r w:rsidR="006552B8">
          <w:rPr>
            <w:noProof/>
            <w:webHidden/>
          </w:rPr>
          <w:tab/>
        </w:r>
        <w:r w:rsidR="006552B8">
          <w:rPr>
            <w:noProof/>
            <w:webHidden/>
          </w:rPr>
          <w:fldChar w:fldCharType="begin"/>
        </w:r>
        <w:r w:rsidR="006552B8">
          <w:rPr>
            <w:noProof/>
            <w:webHidden/>
          </w:rPr>
          <w:instrText xml:space="preserve"> PAGEREF _Toc26785796 \h </w:instrText>
        </w:r>
        <w:r w:rsidR="006552B8">
          <w:rPr>
            <w:noProof/>
            <w:webHidden/>
          </w:rPr>
          <w:fldChar w:fldCharType="separate"/>
        </w:r>
        <w:r w:rsidR="00B165F8">
          <w:rPr>
            <w:noProof/>
            <w:webHidden/>
          </w:rPr>
          <w:t>7</w:t>
        </w:r>
        <w:r w:rsidR="006552B8">
          <w:rPr>
            <w:noProof/>
            <w:webHidden/>
          </w:rPr>
          <w:fldChar w:fldCharType="end"/>
        </w:r>
      </w:hyperlink>
    </w:p>
    <w:p w:rsidR="008D648E" w14:paraId="7707A5B7" w14:textId="209844FF">
      <w:pPr>
        <w:pStyle w:val="TOC1"/>
        <w:rPr>
          <w:rFonts w:asciiTheme="minorHAnsi" w:eastAsiaTheme="minorEastAsia" w:hAnsiTheme="minorHAnsi"/>
          <w:caps w:val="0"/>
          <w:noProof/>
          <w:sz w:val="22"/>
        </w:rPr>
      </w:pPr>
      <w:hyperlink w:anchor="_Toc26785797" w:history="1">
        <w:r w:rsidRPr="00AA5799" w:rsidR="006552B8">
          <w:rPr>
            <w:rStyle w:val="Hyperlink"/>
            <w:rFonts w:eastAsia="Courier New"/>
            <w:noProof/>
          </w:rPr>
          <w:t>II.</w:t>
        </w:r>
        <w:r w:rsidR="006552B8">
          <w:rPr>
            <w:rFonts w:asciiTheme="minorHAnsi" w:eastAsiaTheme="minorEastAsia" w:hAnsiTheme="minorHAnsi"/>
            <w:caps w:val="0"/>
            <w:noProof/>
            <w:sz w:val="22"/>
          </w:rPr>
          <w:tab/>
        </w:r>
        <w:r w:rsidRPr="00AA5799" w:rsidR="006552B8">
          <w:rPr>
            <w:rStyle w:val="Hyperlink"/>
            <w:rFonts w:eastAsia="Courier New"/>
            <w:noProof/>
          </w:rPr>
          <w:t>REQUEST FOR EXPEDITED TREATMENT</w:t>
        </w:r>
        <w:r w:rsidR="006552B8">
          <w:rPr>
            <w:noProof/>
            <w:webHidden/>
          </w:rPr>
          <w:tab/>
        </w:r>
        <w:r w:rsidR="006552B8">
          <w:rPr>
            <w:noProof/>
            <w:webHidden/>
          </w:rPr>
          <w:fldChar w:fldCharType="begin"/>
        </w:r>
        <w:r w:rsidR="006552B8">
          <w:rPr>
            <w:noProof/>
            <w:webHidden/>
          </w:rPr>
          <w:instrText xml:space="preserve"> PAGEREF _Toc26785797 \h </w:instrText>
        </w:r>
        <w:r w:rsidR="006552B8">
          <w:rPr>
            <w:noProof/>
            <w:webHidden/>
          </w:rPr>
          <w:fldChar w:fldCharType="separate"/>
        </w:r>
        <w:r w:rsidR="00B165F8">
          <w:rPr>
            <w:noProof/>
            <w:webHidden/>
          </w:rPr>
          <w:t>10</w:t>
        </w:r>
        <w:r w:rsidR="006552B8">
          <w:rPr>
            <w:noProof/>
            <w:webHidden/>
          </w:rPr>
          <w:fldChar w:fldCharType="end"/>
        </w:r>
      </w:hyperlink>
    </w:p>
    <w:p w:rsidR="008D648E" w14:paraId="7B6D4601" w14:textId="4D9C9BB3">
      <w:pPr>
        <w:pStyle w:val="TOC1"/>
        <w:rPr>
          <w:rStyle w:val="Hyperlink"/>
          <w:noProof/>
        </w:rPr>
      </w:pPr>
      <w:hyperlink w:anchor="_Toc26785798" w:history="1">
        <w:r w:rsidRPr="00AA5799" w:rsidR="006552B8">
          <w:rPr>
            <w:rStyle w:val="Hyperlink"/>
            <w:rFonts w:eastAsia="Courier New"/>
            <w:noProof/>
          </w:rPr>
          <w:t>III.</w:t>
        </w:r>
        <w:r w:rsidR="006552B8">
          <w:rPr>
            <w:rFonts w:asciiTheme="minorHAnsi" w:eastAsiaTheme="minorEastAsia" w:hAnsiTheme="minorHAnsi"/>
            <w:caps w:val="0"/>
            <w:noProof/>
            <w:sz w:val="22"/>
          </w:rPr>
          <w:tab/>
        </w:r>
        <w:r w:rsidRPr="00AA5799" w:rsidR="006552B8">
          <w:rPr>
            <w:rStyle w:val="Hyperlink"/>
            <w:rFonts w:eastAsia="Courier New"/>
            <w:noProof/>
          </w:rPr>
          <w:t>CONCLUSION</w:t>
        </w:r>
        <w:r w:rsidR="006552B8">
          <w:rPr>
            <w:noProof/>
            <w:webHidden/>
          </w:rPr>
          <w:tab/>
        </w:r>
        <w:r w:rsidR="006552B8">
          <w:rPr>
            <w:noProof/>
            <w:webHidden/>
          </w:rPr>
          <w:fldChar w:fldCharType="begin"/>
        </w:r>
        <w:r w:rsidR="006552B8">
          <w:rPr>
            <w:noProof/>
            <w:webHidden/>
          </w:rPr>
          <w:instrText xml:space="preserve"> PAGEREF _Toc26785798 \h </w:instrText>
        </w:r>
        <w:r w:rsidR="006552B8">
          <w:rPr>
            <w:noProof/>
            <w:webHidden/>
          </w:rPr>
          <w:fldChar w:fldCharType="separate"/>
        </w:r>
        <w:r w:rsidR="00B165F8">
          <w:rPr>
            <w:noProof/>
            <w:webHidden/>
          </w:rPr>
          <w:t>10</w:t>
        </w:r>
        <w:r w:rsidR="006552B8">
          <w:rPr>
            <w:noProof/>
            <w:webHidden/>
          </w:rPr>
          <w:fldChar w:fldCharType="end"/>
        </w:r>
      </w:hyperlink>
    </w:p>
    <w:p w:rsidR="008D648E" w:rsidP="008D648E" w14:paraId="2A237D31" w14:textId="77777777"/>
    <w:p w:rsidR="008D648E" w:rsidP="008D648E" w14:paraId="2E8678C6" w14:textId="77777777"/>
    <w:p w:rsidR="008D648E" w:rsidP="008D648E" w14:paraId="77D411B4" w14:textId="77777777">
      <w:pPr>
        <w:sectPr w:rsidSect="008D648E">
          <w:headerReference w:type="default" r:id="rId8"/>
          <w:footerReference w:type="default" r:id="rId9"/>
          <w:pgSz w:w="12240" w:h="15840"/>
          <w:pgMar w:top="1440" w:right="1800" w:bottom="1440" w:left="1800" w:header="720" w:footer="720" w:gutter="0"/>
          <w:pgNumType w:fmt="lowerRoman" w:start="1"/>
          <w:cols w:space="720"/>
          <w:docGrid w:linePitch="360"/>
        </w:sectPr>
      </w:pPr>
    </w:p>
    <w:p w:rsidR="00815194" w:rsidRPr="00B547E1" w:rsidP="00815194" w14:paraId="1DB81510" w14:textId="77777777">
      <w:pPr>
        <w:spacing w:after="0"/>
        <w:jc w:val="center"/>
        <w:rPr>
          <w:rFonts w:cs="Times New Roman"/>
          <w:b/>
          <w:bCs/>
          <w:szCs w:val="24"/>
        </w:rPr>
      </w:pPr>
      <w:r>
        <w:rPr>
          <w:rFonts w:cs="Times New Roman"/>
          <w:bCs/>
          <w:szCs w:val="24"/>
        </w:rPr>
        <w:fldChar w:fldCharType="end"/>
      </w:r>
      <w:r w:rsidRPr="00B547E1" w:rsidR="00E61F99">
        <w:rPr>
          <w:rFonts w:cs="Times New Roman"/>
          <w:b/>
          <w:szCs w:val="24"/>
        </w:rPr>
        <w:t>BEFORE</w:t>
      </w:r>
    </w:p>
    <w:p w:rsidR="00815194" w:rsidRPr="00B547E1" w:rsidP="00815194" w14:paraId="3A0CC53A" w14:textId="77777777">
      <w:pPr>
        <w:spacing w:after="0"/>
        <w:jc w:val="center"/>
        <w:rPr>
          <w:rFonts w:cs="Times New Roman"/>
          <w:b/>
          <w:szCs w:val="24"/>
        </w:rPr>
      </w:pPr>
      <w:r w:rsidRPr="00B547E1">
        <w:rPr>
          <w:rFonts w:cs="Times New Roman"/>
          <w:b/>
          <w:szCs w:val="24"/>
        </w:rPr>
        <w:t>THE</w:t>
      </w:r>
      <w:r w:rsidRPr="00B547E1">
        <w:rPr>
          <w:rFonts w:cs="Times New Roman"/>
          <w:b/>
          <w:spacing w:val="-10"/>
          <w:szCs w:val="24"/>
        </w:rPr>
        <w:t xml:space="preserve"> </w:t>
      </w:r>
      <w:r w:rsidRPr="00B547E1">
        <w:rPr>
          <w:rFonts w:cs="Times New Roman"/>
          <w:b/>
          <w:spacing w:val="-1"/>
          <w:szCs w:val="24"/>
        </w:rPr>
        <w:t>PUBLIC</w:t>
      </w:r>
      <w:r w:rsidRPr="00B547E1">
        <w:rPr>
          <w:rFonts w:cs="Times New Roman"/>
          <w:b/>
          <w:spacing w:val="-12"/>
          <w:szCs w:val="24"/>
        </w:rPr>
        <w:t xml:space="preserve"> </w:t>
      </w:r>
      <w:r w:rsidRPr="00B547E1">
        <w:rPr>
          <w:rFonts w:cs="Times New Roman"/>
          <w:b/>
          <w:szCs w:val="24"/>
        </w:rPr>
        <w:t>UTILITIES</w:t>
      </w:r>
      <w:r w:rsidRPr="00B547E1">
        <w:rPr>
          <w:rFonts w:cs="Times New Roman"/>
          <w:b/>
          <w:spacing w:val="-10"/>
          <w:szCs w:val="24"/>
        </w:rPr>
        <w:t xml:space="preserve"> </w:t>
      </w:r>
      <w:r w:rsidRPr="00B547E1">
        <w:rPr>
          <w:rFonts w:cs="Times New Roman"/>
          <w:b/>
          <w:spacing w:val="-1"/>
          <w:szCs w:val="24"/>
        </w:rPr>
        <w:t>COMMISSION</w:t>
      </w:r>
      <w:r w:rsidRPr="00B547E1">
        <w:rPr>
          <w:rFonts w:cs="Times New Roman"/>
          <w:b/>
          <w:spacing w:val="-11"/>
          <w:szCs w:val="24"/>
        </w:rPr>
        <w:t xml:space="preserve"> </w:t>
      </w:r>
      <w:r w:rsidRPr="00B547E1">
        <w:rPr>
          <w:rFonts w:cs="Times New Roman"/>
          <w:b/>
          <w:spacing w:val="-1"/>
          <w:szCs w:val="24"/>
        </w:rPr>
        <w:t>OF</w:t>
      </w:r>
      <w:r w:rsidRPr="00B547E1">
        <w:rPr>
          <w:rFonts w:cs="Times New Roman"/>
          <w:b/>
          <w:spacing w:val="-13"/>
          <w:szCs w:val="24"/>
        </w:rPr>
        <w:t xml:space="preserve"> O</w:t>
      </w:r>
      <w:r w:rsidRPr="00B547E1">
        <w:rPr>
          <w:rFonts w:cs="Times New Roman"/>
          <w:b/>
          <w:szCs w:val="24"/>
        </w:rPr>
        <w:t>HIO</w:t>
      </w:r>
    </w:p>
    <w:p w:rsidR="00815194" w:rsidRPr="00B547E1" w:rsidP="00815194" w14:paraId="16F727AD" w14:textId="77777777">
      <w:pPr>
        <w:spacing w:after="0"/>
        <w:jc w:val="center"/>
        <w:rPr>
          <w:rFonts w:cs="Times New Roman"/>
          <w:b/>
          <w:szCs w:val="24"/>
        </w:rPr>
      </w:pPr>
    </w:p>
    <w:tbl>
      <w:tblPr>
        <w:tblW w:w="9092" w:type="dxa"/>
        <w:tblLook w:val="01E0"/>
      </w:tblPr>
      <w:tblGrid>
        <w:gridCol w:w="4332"/>
        <w:gridCol w:w="360"/>
        <w:gridCol w:w="4400"/>
      </w:tblGrid>
      <w:tr w14:paraId="1DE8B416" w14:textId="77777777" w:rsidTr="00815194">
        <w:tblPrEx>
          <w:tblW w:w="9092" w:type="dxa"/>
          <w:tblLook w:val="01E0"/>
        </w:tblPrEx>
        <w:trPr>
          <w:trHeight w:val="807"/>
        </w:trPr>
        <w:tc>
          <w:tcPr>
            <w:tcW w:w="4332" w:type="dxa"/>
            <w:shd w:val="clear" w:color="auto" w:fill="auto"/>
          </w:tcPr>
          <w:p w:rsidR="00815194" w:rsidRPr="00B547E1" w:rsidP="00815194" w14:paraId="22B9D704" w14:textId="77777777">
            <w:pPr>
              <w:autoSpaceDE w:val="0"/>
              <w:autoSpaceDN w:val="0"/>
              <w:adjustRightInd w:val="0"/>
              <w:spacing w:after="0" w:line="240" w:lineRule="auto"/>
              <w:rPr>
                <w:rFonts w:cs="Times New Roman"/>
                <w:szCs w:val="24"/>
              </w:rPr>
            </w:pPr>
            <w:r w:rsidRPr="00B547E1">
              <w:rPr>
                <w:rFonts w:eastAsia="Times New Roman" w:cs="Times New Roman"/>
                <w:szCs w:val="24"/>
              </w:rPr>
              <w:t>In the Matter of the Application of Duke Energy Ohio, Inc. for Approval of its Energy Efficiency and Peak Demand Reduction Portfolio of Programs.</w:t>
            </w:r>
          </w:p>
        </w:tc>
        <w:tc>
          <w:tcPr>
            <w:tcW w:w="360" w:type="dxa"/>
            <w:shd w:val="clear" w:color="auto" w:fill="auto"/>
          </w:tcPr>
          <w:p w:rsidR="00815194" w:rsidRPr="00B547E1" w:rsidP="00815194" w14:paraId="4E7A6CA6"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815194" w:rsidRPr="00B547E1" w:rsidP="00815194" w14:paraId="49A6FEFC"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815194" w:rsidRPr="00B547E1" w:rsidP="00815194" w14:paraId="2690EBDB"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815194" w:rsidRPr="00B547E1" w:rsidP="00815194" w14:paraId="20B4F006"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tc>
        <w:tc>
          <w:tcPr>
            <w:tcW w:w="4400" w:type="dxa"/>
            <w:shd w:val="clear" w:color="auto" w:fill="auto"/>
          </w:tcPr>
          <w:p w:rsidR="00815194" w:rsidRPr="00B547E1" w:rsidP="00815194" w14:paraId="5868EA40" w14:textId="77777777">
            <w:pPr>
              <w:pStyle w:val="HTMLPreformatted"/>
              <w:rPr>
                <w:rFonts w:ascii="Times New Roman" w:hAnsi="Times New Roman" w:cs="Times New Roman"/>
                <w:sz w:val="24"/>
                <w:szCs w:val="24"/>
              </w:rPr>
            </w:pPr>
          </w:p>
          <w:p w:rsidR="00815194" w:rsidRPr="00B547E1" w:rsidP="00815194" w14:paraId="4BEF6B72" w14:textId="77777777">
            <w:pPr>
              <w:spacing w:after="0" w:line="240" w:lineRule="auto"/>
              <w:rPr>
                <w:rFonts w:cs="Times New Roman"/>
                <w:szCs w:val="24"/>
              </w:rPr>
            </w:pPr>
            <w:r w:rsidRPr="00B547E1">
              <w:rPr>
                <w:rFonts w:eastAsia="Times New Roman" w:cs="Times New Roman"/>
                <w:szCs w:val="24"/>
              </w:rPr>
              <w:t>Case No. 16-576-EL-POR</w:t>
            </w:r>
          </w:p>
          <w:p w:rsidR="00815194" w:rsidRPr="00B547E1" w:rsidP="00815194" w14:paraId="3AF9D838" w14:textId="77777777">
            <w:pPr>
              <w:spacing w:after="0" w:line="240" w:lineRule="auto"/>
              <w:rPr>
                <w:rFonts w:cs="Times New Roman"/>
                <w:i/>
                <w:szCs w:val="24"/>
              </w:rPr>
            </w:pPr>
          </w:p>
        </w:tc>
      </w:tr>
    </w:tbl>
    <w:p w:rsidR="00815194" w:rsidRPr="00B547E1" w:rsidP="00C07836" w14:paraId="03517E5F" w14:textId="77777777">
      <w:pPr>
        <w:pBdr>
          <w:bottom w:val="single" w:sz="12" w:space="1" w:color="auto"/>
        </w:pBdr>
        <w:spacing w:after="0" w:line="240" w:lineRule="auto"/>
        <w:rPr>
          <w:rFonts w:cs="Times New Roman"/>
          <w:szCs w:val="24"/>
        </w:rPr>
      </w:pPr>
    </w:p>
    <w:p w:rsidR="00815194" w:rsidRPr="00B547E1" w:rsidP="00815194" w14:paraId="6869B5D6" w14:textId="77777777">
      <w:pPr>
        <w:pStyle w:val="HTMLPreformatted"/>
        <w:rPr>
          <w:rFonts w:ascii="Times New Roman" w:hAnsi="Times New Roman" w:cs="Times New Roman"/>
          <w:b/>
          <w:bCs/>
          <w:i/>
          <w:sz w:val="24"/>
          <w:szCs w:val="24"/>
        </w:rPr>
      </w:pPr>
    </w:p>
    <w:p w:rsidR="00815194" w:rsidRPr="00B547E1" w:rsidP="00815194" w14:paraId="3A71BCD8"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 xml:space="preserve">MOTION TO MODIFY DUKE’S 2020 </w:t>
      </w:r>
      <w:r w:rsidRPr="00B547E1" w:rsidR="00E56F21">
        <w:rPr>
          <w:rFonts w:ascii="Times New Roman" w:hAnsi="Times New Roman" w:cs="Times New Roman"/>
          <w:b/>
          <w:bCs/>
          <w:sz w:val="24"/>
          <w:szCs w:val="24"/>
        </w:rPr>
        <w:t xml:space="preserve">ENERGY EFFICIENCY </w:t>
      </w:r>
      <w:r w:rsidRPr="00B547E1">
        <w:rPr>
          <w:rFonts w:ascii="Times New Roman" w:hAnsi="Times New Roman" w:cs="Times New Roman"/>
          <w:b/>
          <w:bCs/>
          <w:sz w:val="24"/>
          <w:szCs w:val="24"/>
        </w:rPr>
        <w:t xml:space="preserve">PLAN TO ELIMINATE </w:t>
      </w:r>
      <w:r w:rsidRPr="00B547E1" w:rsidR="00E56F21">
        <w:rPr>
          <w:rFonts w:ascii="Times New Roman" w:hAnsi="Times New Roman" w:cs="Times New Roman"/>
          <w:b/>
          <w:bCs/>
          <w:sz w:val="24"/>
          <w:szCs w:val="24"/>
        </w:rPr>
        <w:t xml:space="preserve">CHARGES TO CONSUMERS FOR </w:t>
      </w:r>
      <w:r w:rsidRPr="00B547E1">
        <w:rPr>
          <w:rFonts w:ascii="Times New Roman" w:hAnsi="Times New Roman" w:cs="Times New Roman"/>
          <w:b/>
          <w:bCs/>
          <w:sz w:val="24"/>
          <w:szCs w:val="24"/>
        </w:rPr>
        <w:t>UTILITY PROFITS</w:t>
      </w:r>
    </w:p>
    <w:p w:rsidR="00E56F21" w:rsidRPr="00B547E1" w:rsidP="00815194" w14:paraId="38667CBE"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AND</w:t>
      </w:r>
    </w:p>
    <w:p w:rsidR="00E56F21" w:rsidRPr="00B547E1" w:rsidP="00815194" w14:paraId="4ECC496F"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REQUEST FOR EXPEDITED TREATMENT</w:t>
      </w:r>
    </w:p>
    <w:p w:rsidR="00815194" w:rsidRPr="00B547E1" w:rsidP="00815194" w14:paraId="0E29FAF3"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BY</w:t>
      </w:r>
    </w:p>
    <w:p w:rsidR="00815194" w:rsidRPr="00B547E1" w:rsidP="00815194" w14:paraId="7B8CE4A9"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 xml:space="preserve">THE OFFICE OF THE OHIO CONSUMERS' COUNSEL </w:t>
      </w:r>
    </w:p>
    <w:p w:rsidR="00815194" w:rsidRPr="00B547E1" w:rsidP="00815194" w14:paraId="672D23EC" w14:textId="77777777">
      <w:pPr>
        <w:pStyle w:val="HTMLPreformatted"/>
        <w:pBdr>
          <w:bottom w:val="single" w:sz="12" w:space="1" w:color="auto"/>
        </w:pBdr>
        <w:jc w:val="center"/>
        <w:rPr>
          <w:rFonts w:ascii="Times New Roman" w:hAnsi="Times New Roman" w:cs="Times New Roman"/>
          <w:b/>
          <w:bCs/>
          <w:sz w:val="24"/>
          <w:szCs w:val="24"/>
        </w:rPr>
      </w:pPr>
    </w:p>
    <w:p w:rsidR="005F5AF8" w:rsidRPr="00B547E1" w:rsidP="005F5AF8" w14:paraId="49C810BE" w14:textId="77777777">
      <w:pPr>
        <w:spacing w:before="240" w:after="0" w:line="480" w:lineRule="auto"/>
        <w:ind w:firstLine="720"/>
        <w:rPr>
          <w:rFonts w:eastAsia="Courier New" w:cs="Times New Roman"/>
          <w:bCs/>
          <w:szCs w:val="24"/>
        </w:rPr>
      </w:pPr>
      <w:r w:rsidRPr="00B547E1">
        <w:rPr>
          <w:rFonts w:eastAsia="Courier New" w:cs="Times New Roman"/>
          <w:bCs/>
          <w:szCs w:val="24"/>
        </w:rPr>
        <w:t xml:space="preserve">The Public Utilities Commission of Ohio (“PUCO”) should modify Duke Energy’s energy efficiency portfolio for 2020 to eliminate </w:t>
      </w:r>
      <w:r w:rsidRPr="00B547E1" w:rsidR="00E56F21">
        <w:rPr>
          <w:rFonts w:eastAsia="Courier New" w:cs="Times New Roman"/>
          <w:bCs/>
          <w:szCs w:val="24"/>
        </w:rPr>
        <w:t>charge</w:t>
      </w:r>
      <w:r w:rsidRPr="00B547E1" w:rsidR="00B44B99">
        <w:rPr>
          <w:rFonts w:eastAsia="Courier New" w:cs="Times New Roman"/>
          <w:bCs/>
          <w:szCs w:val="24"/>
        </w:rPr>
        <w:t xml:space="preserve">s to </w:t>
      </w:r>
      <w:r w:rsidRPr="00B547E1" w:rsidR="00E56F21">
        <w:rPr>
          <w:rFonts w:eastAsia="Courier New" w:cs="Times New Roman"/>
          <w:bCs/>
          <w:szCs w:val="24"/>
        </w:rPr>
        <w:t xml:space="preserve">consumers for </w:t>
      </w:r>
      <w:r w:rsidRPr="00B547E1">
        <w:rPr>
          <w:rFonts w:eastAsia="Courier New" w:cs="Times New Roman"/>
          <w:bCs/>
          <w:szCs w:val="24"/>
        </w:rPr>
        <w:t>profits</w:t>
      </w:r>
      <w:r w:rsidRPr="00B547E1" w:rsidR="00E56F21">
        <w:rPr>
          <w:rFonts w:eastAsia="Courier New" w:cs="Times New Roman"/>
          <w:bCs/>
          <w:szCs w:val="24"/>
        </w:rPr>
        <w:t xml:space="preserve"> on energy efficiency</w:t>
      </w:r>
      <w:r w:rsidRPr="00B547E1">
        <w:rPr>
          <w:rFonts w:eastAsia="Courier New" w:cs="Times New Roman"/>
          <w:bCs/>
          <w:szCs w:val="24"/>
        </w:rPr>
        <w:t>, sometimes referred to as “shared savings.” The PUCO has the authority under recently-passed House Bill 6 to take this action. It should do so to protect Ohio consumers from continuing to pay too much for utility-run energy efficiency programs.</w:t>
      </w:r>
    </w:p>
    <w:p w:rsidR="0051575C" w:rsidRPr="00B547E1" w:rsidP="00815194" w14:paraId="1B37141B" w14:textId="77777777">
      <w:pPr>
        <w:spacing w:after="0" w:line="480" w:lineRule="auto"/>
        <w:ind w:firstLine="720"/>
        <w:rPr>
          <w:rFonts w:eastAsia="Courier New" w:cs="Times New Roman"/>
          <w:bCs/>
          <w:szCs w:val="24"/>
        </w:rPr>
        <w:sectPr w:rsidSect="00815194">
          <w:footerReference w:type="default" r:id="rId10"/>
          <w:pgSz w:w="12240" w:h="15840"/>
          <w:pgMar w:top="1440" w:right="1800" w:bottom="1440" w:left="1800" w:header="720" w:footer="720" w:gutter="0"/>
          <w:pgNumType w:start="2"/>
          <w:cols w:space="720"/>
          <w:docGrid w:linePitch="360"/>
        </w:sectPr>
      </w:pPr>
      <w:r w:rsidRPr="00B547E1">
        <w:rPr>
          <w:rFonts w:eastAsia="Courier New" w:cs="Times New Roman"/>
          <w:bCs/>
          <w:szCs w:val="24"/>
        </w:rPr>
        <w:t>T</w:t>
      </w:r>
      <w:r w:rsidRPr="00B547E1" w:rsidR="005F5AF8">
        <w:rPr>
          <w:rFonts w:eastAsia="Courier New" w:cs="Times New Roman"/>
          <w:bCs/>
          <w:szCs w:val="24"/>
        </w:rPr>
        <w:t xml:space="preserve">he Office of the Ohio Consumers’ Counsel (“OCC”) respectfully requests that the PUCO (i) authorize Duke to continue offering customer-funded energy efficiency programs in 2020, (ii) reject Duke’s proposal to continue charging customers for utility profits (“shared savings”), (iii) approve a maximum budget of </w:t>
      </w:r>
      <w:r w:rsidRPr="00B547E1" w:rsidR="00070705">
        <w:rPr>
          <w:rFonts w:eastAsia="Courier New" w:cs="Times New Roman"/>
          <w:bCs/>
          <w:szCs w:val="24"/>
        </w:rPr>
        <w:t>$37,497,874</w:t>
      </w:r>
      <w:r w:rsidRPr="00B547E1" w:rsidR="005F5AF8">
        <w:rPr>
          <w:rFonts w:eastAsia="Courier New" w:cs="Times New Roman"/>
          <w:bCs/>
          <w:szCs w:val="24"/>
        </w:rPr>
        <w:t>, all of which must be used prudently for the costs of administering Duke’s energy efficiency programs</w:t>
      </w:r>
      <w:r w:rsidRPr="00B547E1" w:rsidR="00904413">
        <w:rPr>
          <w:rFonts w:eastAsia="Courier New" w:cs="Times New Roman"/>
          <w:bCs/>
          <w:szCs w:val="24"/>
        </w:rPr>
        <w:t xml:space="preserve">, and (iv) grant this motion under Ohio Adm. Code 4901-1-12(C) on an expedited basis </w:t>
      </w:r>
      <w:r w:rsidRPr="00B547E1" w:rsidR="00BA155B">
        <w:rPr>
          <w:rFonts w:eastAsia="Courier New" w:cs="Times New Roman"/>
          <w:bCs/>
          <w:szCs w:val="24"/>
        </w:rPr>
        <w:t>so that the utility can implement OCC’s requested modifications effective January 1, 2020</w:t>
      </w:r>
      <w:r w:rsidRPr="00B547E1" w:rsidR="005F5AF8">
        <w:rPr>
          <w:rFonts w:eastAsia="Courier New" w:cs="Times New Roman"/>
          <w:bCs/>
          <w:szCs w:val="24"/>
        </w:rPr>
        <w:t>.</w:t>
      </w:r>
      <w:r>
        <w:rPr>
          <w:rStyle w:val="FootnoteReference"/>
          <w:rFonts w:eastAsia="Courier New" w:cs="Times New Roman"/>
          <w:bCs/>
          <w:szCs w:val="24"/>
        </w:rPr>
        <w:footnoteReference w:id="2"/>
      </w:r>
    </w:p>
    <w:p w:rsidR="00815194" w:rsidRPr="00B547E1" w:rsidP="00815194" w14:paraId="2B0B0370" w14:textId="77777777">
      <w:pPr>
        <w:ind w:left="3600" w:firstLine="720"/>
        <w:rPr>
          <w:rFonts w:cs="Times New Roman"/>
          <w:szCs w:val="24"/>
        </w:rPr>
      </w:pPr>
      <w:r w:rsidRPr="00B547E1">
        <w:rPr>
          <w:rFonts w:cs="Times New Roman"/>
          <w:szCs w:val="24"/>
        </w:rPr>
        <w:t>Respectfully submitted,</w:t>
      </w:r>
    </w:p>
    <w:p w:rsidR="00815194" w:rsidRPr="00B547E1" w:rsidP="00815194" w14:paraId="608F98EE" w14:textId="77777777">
      <w:pPr>
        <w:spacing w:after="0" w:line="240" w:lineRule="auto"/>
        <w:ind w:firstLine="4320"/>
        <w:rPr>
          <w:rFonts w:cs="Times New Roman"/>
          <w:szCs w:val="24"/>
        </w:rPr>
      </w:pPr>
      <w:r w:rsidRPr="00B547E1">
        <w:rPr>
          <w:rFonts w:cs="Times New Roman"/>
          <w:szCs w:val="24"/>
        </w:rPr>
        <w:t>Bruce Weston (0016973)</w:t>
      </w:r>
    </w:p>
    <w:p w:rsidR="00815194" w:rsidRPr="00B547E1" w:rsidP="00815194" w14:paraId="7FEAD9F8" w14:textId="77777777">
      <w:pPr>
        <w:tabs>
          <w:tab w:val="left" w:pos="4320"/>
        </w:tabs>
        <w:spacing w:after="0" w:line="240" w:lineRule="auto"/>
        <w:ind w:left="4320"/>
        <w:rPr>
          <w:rFonts w:cs="Times New Roman"/>
          <w:szCs w:val="24"/>
        </w:rPr>
      </w:pPr>
      <w:r w:rsidRPr="00B547E1">
        <w:rPr>
          <w:rFonts w:cs="Times New Roman"/>
          <w:szCs w:val="24"/>
        </w:rPr>
        <w:t>Ohio Consumers' Counsel</w:t>
      </w:r>
    </w:p>
    <w:p w:rsidR="00815194" w:rsidRPr="00B547E1" w:rsidP="00815194" w14:paraId="6FB8F46E" w14:textId="77777777">
      <w:pPr>
        <w:tabs>
          <w:tab w:val="left" w:pos="4320"/>
        </w:tabs>
        <w:spacing w:after="0" w:line="240" w:lineRule="auto"/>
        <w:ind w:left="4320"/>
        <w:rPr>
          <w:rFonts w:cs="Times New Roman"/>
          <w:szCs w:val="24"/>
        </w:rPr>
      </w:pPr>
    </w:p>
    <w:p w:rsidR="00815194" w:rsidRPr="00B547E1" w:rsidP="00815194" w14:paraId="25860B2F" w14:textId="77777777">
      <w:pPr>
        <w:autoSpaceDE w:val="0"/>
        <w:autoSpaceDN w:val="0"/>
        <w:adjustRightInd w:val="0"/>
        <w:spacing w:after="0" w:line="240" w:lineRule="auto"/>
        <w:ind w:left="4320"/>
        <w:rPr>
          <w:rFonts w:cs="Times New Roman"/>
          <w:i/>
          <w:szCs w:val="24"/>
          <w:u w:val="single"/>
        </w:rPr>
      </w:pPr>
      <w:r w:rsidRPr="00B547E1">
        <w:rPr>
          <w:rFonts w:cs="Times New Roman"/>
          <w:i/>
          <w:szCs w:val="24"/>
          <w:u w:val="single"/>
        </w:rPr>
        <w:t>/s/ Christopher Healey</w:t>
      </w:r>
      <w:r w:rsidRPr="00B547E1">
        <w:rPr>
          <w:rFonts w:cs="Times New Roman"/>
          <w:i/>
          <w:szCs w:val="24"/>
          <w:u w:val="single"/>
        </w:rPr>
        <w:tab/>
      </w:r>
      <w:r w:rsidRPr="00B547E1">
        <w:rPr>
          <w:rFonts w:cs="Times New Roman"/>
          <w:i/>
          <w:szCs w:val="24"/>
          <w:u w:val="single"/>
        </w:rPr>
        <w:tab/>
      </w:r>
    </w:p>
    <w:p w:rsidR="00815194" w:rsidRPr="00B547E1" w:rsidP="00815194" w14:paraId="2267E138" w14:textId="77777777">
      <w:pPr>
        <w:autoSpaceDE w:val="0"/>
        <w:autoSpaceDN w:val="0"/>
        <w:adjustRightInd w:val="0"/>
        <w:spacing w:after="0" w:line="240" w:lineRule="auto"/>
        <w:ind w:left="4320"/>
        <w:rPr>
          <w:rFonts w:cs="Times New Roman"/>
          <w:szCs w:val="24"/>
        </w:rPr>
      </w:pPr>
      <w:r w:rsidRPr="00B547E1">
        <w:rPr>
          <w:rFonts w:cs="Times New Roman"/>
          <w:szCs w:val="24"/>
        </w:rPr>
        <w:t>Christopher Healey (0086027)</w:t>
      </w:r>
      <w:r w:rsidRPr="00B547E1">
        <w:rPr>
          <w:rFonts w:cs="Times New Roman"/>
          <w:szCs w:val="24"/>
        </w:rPr>
        <w:br/>
        <w:t>Counsel of Record</w:t>
      </w:r>
    </w:p>
    <w:p w:rsidR="00815194" w:rsidRPr="00B547E1" w:rsidP="00815194" w14:paraId="0637DE57" w14:textId="77777777">
      <w:pPr>
        <w:tabs>
          <w:tab w:val="left" w:pos="4320"/>
        </w:tabs>
        <w:spacing w:after="0" w:line="240" w:lineRule="auto"/>
        <w:ind w:left="4320"/>
        <w:rPr>
          <w:rFonts w:cs="Times New Roman"/>
          <w:szCs w:val="24"/>
        </w:rPr>
      </w:pPr>
    </w:p>
    <w:p w:rsidR="00815194" w:rsidRPr="00B547E1" w:rsidP="00815194" w14:paraId="28595D8A" w14:textId="77777777">
      <w:pPr>
        <w:spacing w:after="0" w:line="240" w:lineRule="auto"/>
        <w:ind w:left="4320"/>
        <w:rPr>
          <w:rFonts w:cs="Times New Roman"/>
          <w:b/>
          <w:szCs w:val="24"/>
        </w:rPr>
      </w:pPr>
      <w:r w:rsidRPr="00B547E1">
        <w:rPr>
          <w:rFonts w:cs="Times New Roman"/>
          <w:b/>
          <w:szCs w:val="24"/>
        </w:rPr>
        <w:t>Office of the Ohio Consumers' Counsel</w:t>
      </w:r>
    </w:p>
    <w:p w:rsidR="00815194" w:rsidRPr="00B547E1" w:rsidP="00815194" w14:paraId="076637E0" w14:textId="77777777">
      <w:pPr>
        <w:spacing w:after="0" w:line="240" w:lineRule="auto"/>
        <w:ind w:left="4320"/>
        <w:rPr>
          <w:rFonts w:cs="Times New Roman"/>
          <w:szCs w:val="24"/>
        </w:rPr>
      </w:pPr>
      <w:r w:rsidRPr="00B547E1">
        <w:rPr>
          <w:rFonts w:cs="Times New Roman"/>
          <w:szCs w:val="24"/>
        </w:rPr>
        <w:t>65 East State Street, 7th Floor</w:t>
      </w:r>
    </w:p>
    <w:p w:rsidR="00815194" w:rsidRPr="00B547E1" w:rsidP="00815194" w14:paraId="777A3D73" w14:textId="77777777">
      <w:pPr>
        <w:spacing w:after="0" w:line="240" w:lineRule="auto"/>
        <w:ind w:left="4320"/>
        <w:rPr>
          <w:rFonts w:cs="Times New Roman"/>
          <w:szCs w:val="24"/>
        </w:rPr>
      </w:pPr>
      <w:r w:rsidRPr="00B547E1">
        <w:rPr>
          <w:rFonts w:cs="Times New Roman"/>
          <w:szCs w:val="24"/>
        </w:rPr>
        <w:t>Columbus, Ohio 43215</w:t>
      </w:r>
    </w:p>
    <w:p w:rsidR="00815194" w:rsidRPr="00B547E1" w:rsidP="00815194" w14:paraId="27946402" w14:textId="77777777">
      <w:pPr>
        <w:autoSpaceDE w:val="0"/>
        <w:autoSpaceDN w:val="0"/>
        <w:adjustRightInd w:val="0"/>
        <w:spacing w:after="0" w:line="240" w:lineRule="auto"/>
        <w:ind w:left="3600" w:firstLine="720"/>
        <w:rPr>
          <w:rFonts w:cs="Times New Roman"/>
          <w:szCs w:val="24"/>
        </w:rPr>
      </w:pPr>
      <w:r w:rsidRPr="00B547E1">
        <w:rPr>
          <w:rFonts w:cs="Times New Roman"/>
          <w:szCs w:val="24"/>
        </w:rPr>
        <w:t>Telephone: (614) 466-9571</w:t>
      </w:r>
    </w:p>
    <w:p w:rsidR="00815194" w:rsidRPr="00B547E1" w:rsidP="00815194" w14:paraId="02CD64B1" w14:textId="77777777">
      <w:pPr>
        <w:spacing w:after="0" w:line="240" w:lineRule="auto"/>
        <w:ind w:left="4320"/>
        <w:rPr>
          <w:rFonts w:cs="Times New Roman"/>
          <w:szCs w:val="24"/>
        </w:rPr>
      </w:pPr>
      <w:hyperlink r:id="rId6" w:history="1">
        <w:r w:rsidRPr="00B547E1" w:rsidR="006552B8">
          <w:rPr>
            <w:rStyle w:val="Hyperlink"/>
            <w:rFonts w:cs="Times New Roman"/>
            <w:szCs w:val="24"/>
          </w:rPr>
          <w:t>christopher.healey@occ.ohio.gov</w:t>
        </w:r>
      </w:hyperlink>
    </w:p>
    <w:p w:rsidR="00C07836" w:rsidRPr="00B547E1" w:rsidP="0035509F" w14:paraId="1C9C841D" w14:textId="77777777">
      <w:pPr>
        <w:spacing w:after="0" w:line="480" w:lineRule="auto"/>
        <w:rPr>
          <w:rFonts w:eastAsia="Courier New" w:cs="Times New Roman"/>
          <w:bCs/>
          <w:szCs w:val="24"/>
        </w:rPr>
      </w:pPr>
      <w:r w:rsidRPr="00B547E1">
        <w:rPr>
          <w:rFonts w:cs="Times New Roman"/>
          <w:szCs w:val="24"/>
        </w:rPr>
        <w:t xml:space="preserve">December </w:t>
      </w:r>
      <w:r w:rsidRPr="00B547E1" w:rsidR="00904413">
        <w:rPr>
          <w:rFonts w:cs="Times New Roman"/>
          <w:szCs w:val="24"/>
        </w:rPr>
        <w:t>9</w:t>
      </w:r>
      <w:r w:rsidRPr="00B547E1">
        <w:rPr>
          <w:rFonts w:cs="Times New Roman"/>
          <w:szCs w:val="24"/>
        </w:rPr>
        <w:t>, 2019</w:t>
      </w:r>
      <w:r w:rsidRPr="00B547E1">
        <w:rPr>
          <w:rFonts w:cs="Times New Roman"/>
          <w:szCs w:val="24"/>
        </w:rPr>
        <w:tab/>
      </w:r>
      <w:r w:rsidRPr="00B547E1">
        <w:rPr>
          <w:rFonts w:cs="Times New Roman"/>
          <w:szCs w:val="24"/>
        </w:rPr>
        <w:tab/>
      </w:r>
      <w:r w:rsidRPr="00B547E1">
        <w:rPr>
          <w:rFonts w:cs="Times New Roman"/>
          <w:szCs w:val="24"/>
        </w:rPr>
        <w:tab/>
      </w:r>
      <w:r w:rsidRPr="00B547E1">
        <w:rPr>
          <w:rFonts w:cs="Times New Roman"/>
          <w:szCs w:val="24"/>
        </w:rPr>
        <w:tab/>
      </w:r>
      <w:r w:rsidRPr="00B547E1" w:rsidR="00815194">
        <w:rPr>
          <w:rFonts w:cs="Times New Roman"/>
          <w:szCs w:val="24"/>
        </w:rPr>
        <w:t>(willing to accept service by e-mail)</w:t>
      </w:r>
    </w:p>
    <w:p w:rsidR="00B547E1" w:rsidRPr="00B547E1" w14:paraId="3B850DA7" w14:textId="77777777">
      <w:pPr>
        <w:rPr>
          <w:rFonts w:eastAsia="Courier New" w:cs="Times New Roman"/>
          <w:bCs/>
          <w:szCs w:val="24"/>
        </w:rPr>
        <w:sectPr w:rsidSect="00815194">
          <w:footerReference w:type="default" r:id="rId11"/>
          <w:pgSz w:w="12240" w:h="15840"/>
          <w:pgMar w:top="1440" w:right="1800" w:bottom="1440" w:left="1800" w:header="720" w:footer="720" w:gutter="0"/>
          <w:pgNumType w:start="2"/>
          <w:cols w:space="720"/>
          <w:docGrid w:linePitch="360"/>
        </w:sectPr>
      </w:pPr>
      <w:r w:rsidRPr="00B547E1">
        <w:rPr>
          <w:rFonts w:eastAsia="Courier New" w:cs="Times New Roman"/>
          <w:bCs/>
          <w:szCs w:val="24"/>
        </w:rPr>
        <w:br w:type="page"/>
      </w:r>
    </w:p>
    <w:p w:rsidR="005F5AF8" w:rsidRPr="00B547E1" w:rsidP="005F5AF8" w14:paraId="7A698439" w14:textId="77777777">
      <w:pPr>
        <w:spacing w:after="0"/>
        <w:jc w:val="center"/>
        <w:rPr>
          <w:rFonts w:cs="Times New Roman"/>
          <w:b/>
          <w:bCs/>
          <w:szCs w:val="24"/>
        </w:rPr>
      </w:pPr>
      <w:r w:rsidRPr="00B547E1">
        <w:rPr>
          <w:rFonts w:cs="Times New Roman"/>
          <w:b/>
          <w:szCs w:val="24"/>
        </w:rPr>
        <w:t>BEFORE</w:t>
      </w:r>
    </w:p>
    <w:p w:rsidR="005F5AF8" w:rsidRPr="00B547E1" w:rsidP="005F5AF8" w14:paraId="3D0286A1" w14:textId="77777777">
      <w:pPr>
        <w:spacing w:after="0"/>
        <w:jc w:val="center"/>
        <w:rPr>
          <w:rFonts w:cs="Times New Roman"/>
          <w:b/>
          <w:szCs w:val="24"/>
        </w:rPr>
      </w:pPr>
      <w:r w:rsidRPr="00B547E1">
        <w:rPr>
          <w:rFonts w:cs="Times New Roman"/>
          <w:b/>
          <w:szCs w:val="24"/>
        </w:rPr>
        <w:t>THE</w:t>
      </w:r>
      <w:r w:rsidRPr="00B547E1">
        <w:rPr>
          <w:rFonts w:cs="Times New Roman"/>
          <w:b/>
          <w:spacing w:val="-10"/>
          <w:szCs w:val="24"/>
        </w:rPr>
        <w:t xml:space="preserve"> </w:t>
      </w:r>
      <w:r w:rsidRPr="00B547E1">
        <w:rPr>
          <w:rFonts w:cs="Times New Roman"/>
          <w:b/>
          <w:spacing w:val="-1"/>
          <w:szCs w:val="24"/>
        </w:rPr>
        <w:t>PUBLIC</w:t>
      </w:r>
      <w:r w:rsidRPr="00B547E1">
        <w:rPr>
          <w:rFonts w:cs="Times New Roman"/>
          <w:b/>
          <w:spacing w:val="-12"/>
          <w:szCs w:val="24"/>
        </w:rPr>
        <w:t xml:space="preserve"> </w:t>
      </w:r>
      <w:r w:rsidRPr="00B547E1">
        <w:rPr>
          <w:rFonts w:cs="Times New Roman"/>
          <w:b/>
          <w:szCs w:val="24"/>
        </w:rPr>
        <w:t>UTILITIES</w:t>
      </w:r>
      <w:r w:rsidRPr="00B547E1">
        <w:rPr>
          <w:rFonts w:cs="Times New Roman"/>
          <w:b/>
          <w:spacing w:val="-10"/>
          <w:szCs w:val="24"/>
        </w:rPr>
        <w:t xml:space="preserve"> </w:t>
      </w:r>
      <w:r w:rsidRPr="00B547E1">
        <w:rPr>
          <w:rFonts w:cs="Times New Roman"/>
          <w:b/>
          <w:spacing w:val="-1"/>
          <w:szCs w:val="24"/>
        </w:rPr>
        <w:t>COMMISSION</w:t>
      </w:r>
      <w:r w:rsidRPr="00B547E1">
        <w:rPr>
          <w:rFonts w:cs="Times New Roman"/>
          <w:b/>
          <w:spacing w:val="-11"/>
          <w:szCs w:val="24"/>
        </w:rPr>
        <w:t xml:space="preserve"> </w:t>
      </w:r>
      <w:r w:rsidRPr="00B547E1">
        <w:rPr>
          <w:rFonts w:cs="Times New Roman"/>
          <w:b/>
          <w:spacing w:val="-1"/>
          <w:szCs w:val="24"/>
        </w:rPr>
        <w:t>OF</w:t>
      </w:r>
      <w:r w:rsidRPr="00B547E1">
        <w:rPr>
          <w:rFonts w:cs="Times New Roman"/>
          <w:b/>
          <w:spacing w:val="-13"/>
          <w:szCs w:val="24"/>
        </w:rPr>
        <w:t xml:space="preserve"> O</w:t>
      </w:r>
      <w:r w:rsidRPr="00B547E1">
        <w:rPr>
          <w:rFonts w:cs="Times New Roman"/>
          <w:b/>
          <w:szCs w:val="24"/>
        </w:rPr>
        <w:t>HIO</w:t>
      </w:r>
    </w:p>
    <w:p w:rsidR="005F5AF8" w:rsidRPr="00B547E1" w:rsidP="005F5AF8" w14:paraId="24F39526" w14:textId="77777777">
      <w:pPr>
        <w:spacing w:after="0"/>
        <w:jc w:val="center"/>
        <w:rPr>
          <w:rFonts w:cs="Times New Roman"/>
          <w:b/>
          <w:szCs w:val="24"/>
        </w:rPr>
      </w:pPr>
    </w:p>
    <w:tbl>
      <w:tblPr>
        <w:tblW w:w="9092" w:type="dxa"/>
        <w:tblLook w:val="01E0"/>
      </w:tblPr>
      <w:tblGrid>
        <w:gridCol w:w="4332"/>
        <w:gridCol w:w="360"/>
        <w:gridCol w:w="4400"/>
      </w:tblGrid>
      <w:tr w14:paraId="37D8EBFD" w14:textId="77777777" w:rsidTr="00815194">
        <w:tblPrEx>
          <w:tblW w:w="9092" w:type="dxa"/>
          <w:tblLook w:val="01E0"/>
        </w:tblPrEx>
        <w:trPr>
          <w:trHeight w:val="807"/>
        </w:trPr>
        <w:tc>
          <w:tcPr>
            <w:tcW w:w="4332" w:type="dxa"/>
            <w:shd w:val="clear" w:color="auto" w:fill="auto"/>
          </w:tcPr>
          <w:p w:rsidR="005F5AF8" w:rsidRPr="00B547E1" w:rsidP="00815194" w14:paraId="2FAD914C" w14:textId="77777777">
            <w:pPr>
              <w:autoSpaceDE w:val="0"/>
              <w:autoSpaceDN w:val="0"/>
              <w:adjustRightInd w:val="0"/>
              <w:spacing w:after="0" w:line="240" w:lineRule="auto"/>
              <w:rPr>
                <w:rFonts w:cs="Times New Roman"/>
                <w:szCs w:val="24"/>
              </w:rPr>
            </w:pPr>
            <w:r w:rsidRPr="00B547E1">
              <w:rPr>
                <w:rFonts w:eastAsia="Times New Roman" w:cs="Times New Roman"/>
                <w:szCs w:val="24"/>
              </w:rPr>
              <w:t>In the Matter of the Application of Duke Energy Ohio, Inc. for Approval of its Energy Efficiency and Peak Demand Reduction Portfolio of Programs.</w:t>
            </w:r>
          </w:p>
        </w:tc>
        <w:tc>
          <w:tcPr>
            <w:tcW w:w="360" w:type="dxa"/>
            <w:shd w:val="clear" w:color="auto" w:fill="auto"/>
          </w:tcPr>
          <w:p w:rsidR="005F5AF8" w:rsidRPr="00B547E1" w:rsidP="00815194" w14:paraId="30ABD6D2"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5F5AF8" w:rsidRPr="00B547E1" w:rsidP="00815194" w14:paraId="4B5CF155"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5F5AF8" w:rsidRPr="00B547E1" w:rsidP="00815194" w14:paraId="47A328D0"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p w:rsidR="005F5AF8" w:rsidRPr="00B547E1" w:rsidP="00815194" w14:paraId="596192B8" w14:textId="77777777">
            <w:pPr>
              <w:pStyle w:val="HTMLPreformatted"/>
              <w:rPr>
                <w:rFonts w:ascii="Times New Roman" w:hAnsi="Times New Roman" w:cs="Times New Roman"/>
                <w:sz w:val="24"/>
                <w:szCs w:val="24"/>
              </w:rPr>
            </w:pPr>
            <w:r w:rsidRPr="00B547E1">
              <w:rPr>
                <w:rFonts w:ascii="Times New Roman" w:hAnsi="Times New Roman" w:cs="Times New Roman"/>
                <w:sz w:val="24"/>
                <w:szCs w:val="24"/>
              </w:rPr>
              <w:t>)</w:t>
            </w:r>
          </w:p>
        </w:tc>
        <w:tc>
          <w:tcPr>
            <w:tcW w:w="4400" w:type="dxa"/>
            <w:shd w:val="clear" w:color="auto" w:fill="auto"/>
          </w:tcPr>
          <w:p w:rsidR="005F5AF8" w:rsidRPr="00B547E1" w:rsidP="00815194" w14:paraId="0F4690E9" w14:textId="77777777">
            <w:pPr>
              <w:pStyle w:val="HTMLPreformatted"/>
              <w:rPr>
                <w:rFonts w:ascii="Times New Roman" w:hAnsi="Times New Roman" w:cs="Times New Roman"/>
                <w:sz w:val="24"/>
                <w:szCs w:val="24"/>
              </w:rPr>
            </w:pPr>
          </w:p>
          <w:p w:rsidR="005F5AF8" w:rsidRPr="00B547E1" w:rsidP="00815194" w14:paraId="2131FBFC" w14:textId="77777777">
            <w:pPr>
              <w:spacing w:after="0" w:line="240" w:lineRule="auto"/>
              <w:rPr>
                <w:rFonts w:cs="Times New Roman"/>
                <w:szCs w:val="24"/>
              </w:rPr>
            </w:pPr>
            <w:r w:rsidRPr="00B547E1">
              <w:rPr>
                <w:rFonts w:eastAsia="Times New Roman" w:cs="Times New Roman"/>
                <w:szCs w:val="24"/>
              </w:rPr>
              <w:t>Case No. 16-576-EL-POR</w:t>
            </w:r>
          </w:p>
          <w:p w:rsidR="005F5AF8" w:rsidRPr="00B547E1" w:rsidP="00815194" w14:paraId="159CB503" w14:textId="77777777">
            <w:pPr>
              <w:spacing w:after="0" w:line="240" w:lineRule="auto"/>
              <w:rPr>
                <w:rFonts w:cs="Times New Roman"/>
                <w:i/>
                <w:szCs w:val="24"/>
              </w:rPr>
            </w:pPr>
          </w:p>
        </w:tc>
      </w:tr>
    </w:tbl>
    <w:p w:rsidR="005F5AF8" w:rsidRPr="00B547E1" w:rsidP="005F5AF8" w14:paraId="17E20FB8" w14:textId="77777777">
      <w:pPr>
        <w:pBdr>
          <w:bottom w:val="single" w:sz="12" w:space="1" w:color="auto"/>
        </w:pBdr>
        <w:spacing w:after="0" w:line="240" w:lineRule="auto"/>
        <w:rPr>
          <w:rFonts w:cs="Times New Roman"/>
          <w:szCs w:val="24"/>
        </w:rPr>
      </w:pPr>
    </w:p>
    <w:p w:rsidR="005F5AF8" w:rsidRPr="00B547E1" w:rsidP="005F5AF8" w14:paraId="5681D245" w14:textId="77777777">
      <w:pPr>
        <w:pStyle w:val="HTMLPreformatted"/>
        <w:rPr>
          <w:rFonts w:ascii="Times New Roman" w:hAnsi="Times New Roman" w:cs="Times New Roman"/>
          <w:b/>
          <w:bCs/>
          <w:i/>
          <w:sz w:val="24"/>
          <w:szCs w:val="24"/>
        </w:rPr>
      </w:pPr>
    </w:p>
    <w:p w:rsidR="005F5AF8" w:rsidRPr="00B547E1" w:rsidP="005F5AF8" w14:paraId="4D6C8565" w14:textId="77777777">
      <w:pPr>
        <w:pStyle w:val="HTMLPreformatted"/>
        <w:pBdr>
          <w:bottom w:val="single" w:sz="12" w:space="1" w:color="auto"/>
        </w:pBdr>
        <w:jc w:val="center"/>
        <w:rPr>
          <w:rFonts w:ascii="Times New Roman" w:hAnsi="Times New Roman" w:cs="Times New Roman"/>
          <w:b/>
          <w:bCs/>
          <w:sz w:val="24"/>
          <w:szCs w:val="24"/>
        </w:rPr>
      </w:pPr>
      <w:r w:rsidRPr="00B547E1">
        <w:rPr>
          <w:rFonts w:ascii="Times New Roman" w:hAnsi="Times New Roman" w:cs="Times New Roman"/>
          <w:b/>
          <w:bCs/>
          <w:sz w:val="24"/>
          <w:szCs w:val="24"/>
        </w:rPr>
        <w:t xml:space="preserve">MEMORANDUM IN SUPPORT </w:t>
      </w:r>
    </w:p>
    <w:p w:rsidR="005F5AF8" w:rsidRPr="00B547E1" w:rsidP="005F5AF8" w14:paraId="574655D9" w14:textId="77777777">
      <w:pPr>
        <w:pStyle w:val="HTMLPreformatted"/>
        <w:pBdr>
          <w:bottom w:val="single" w:sz="12" w:space="1" w:color="auto"/>
        </w:pBdr>
        <w:jc w:val="center"/>
        <w:rPr>
          <w:rFonts w:ascii="Times New Roman" w:hAnsi="Times New Roman" w:cs="Times New Roman"/>
          <w:b/>
          <w:bCs/>
          <w:sz w:val="24"/>
          <w:szCs w:val="24"/>
        </w:rPr>
      </w:pPr>
    </w:p>
    <w:p w:rsidR="005F5AF8" w:rsidRPr="00B547E1" w:rsidP="005F5AF8" w14:paraId="40583DB9" w14:textId="77777777">
      <w:pPr>
        <w:spacing w:before="240" w:after="0" w:line="480" w:lineRule="auto"/>
        <w:ind w:firstLine="720"/>
        <w:rPr>
          <w:rFonts w:eastAsia="Courier New" w:cs="Times New Roman"/>
          <w:bCs/>
          <w:szCs w:val="24"/>
        </w:rPr>
      </w:pPr>
      <w:r w:rsidRPr="00B547E1">
        <w:rPr>
          <w:rFonts w:eastAsia="Courier New" w:cs="Times New Roman"/>
          <w:bCs/>
          <w:szCs w:val="24"/>
        </w:rPr>
        <w:t xml:space="preserve">Customers can benefit from energy efficiency programs </w:t>
      </w:r>
      <w:r w:rsidRPr="00B547E1" w:rsidR="00203E33">
        <w:rPr>
          <w:rFonts w:eastAsia="Courier New" w:cs="Times New Roman"/>
          <w:bCs/>
          <w:szCs w:val="24"/>
        </w:rPr>
        <w:t>because those programs help customers lower energy</w:t>
      </w:r>
      <w:r w:rsidRPr="00B547E1">
        <w:rPr>
          <w:rFonts w:eastAsia="Courier New" w:cs="Times New Roman"/>
          <w:bCs/>
          <w:szCs w:val="24"/>
        </w:rPr>
        <w:t xml:space="preserve"> usage</w:t>
      </w:r>
      <w:r w:rsidRPr="00B547E1" w:rsidR="00203E33">
        <w:rPr>
          <w:rFonts w:eastAsia="Courier New" w:cs="Times New Roman"/>
          <w:bCs/>
          <w:szCs w:val="24"/>
        </w:rPr>
        <w:t xml:space="preserve">, which lowers </w:t>
      </w:r>
      <w:r w:rsidRPr="00B547E1">
        <w:rPr>
          <w:rFonts w:eastAsia="Courier New" w:cs="Times New Roman"/>
          <w:bCs/>
          <w:szCs w:val="24"/>
        </w:rPr>
        <w:t xml:space="preserve">utility bills. Customers do not </w:t>
      </w:r>
      <w:r w:rsidRPr="00B547E1" w:rsidR="00203E33">
        <w:rPr>
          <w:rFonts w:eastAsia="Courier New" w:cs="Times New Roman"/>
          <w:bCs/>
          <w:szCs w:val="24"/>
        </w:rPr>
        <w:t xml:space="preserve">directly </w:t>
      </w:r>
      <w:r w:rsidRPr="00B547E1">
        <w:rPr>
          <w:rFonts w:eastAsia="Courier New" w:cs="Times New Roman"/>
          <w:bCs/>
          <w:szCs w:val="24"/>
        </w:rPr>
        <w:t>benefit when utilities charge them millions of dollars per year in “shared savings,” which is a code name for utility profits.</w:t>
      </w:r>
    </w:p>
    <w:p w:rsidR="005F5AF8" w:rsidRPr="00B547E1" w:rsidP="00815194" w14:paraId="1444BE86" w14:textId="77777777">
      <w:pPr>
        <w:spacing w:after="0" w:line="480" w:lineRule="auto"/>
        <w:ind w:firstLine="720"/>
        <w:rPr>
          <w:rFonts w:eastAsia="Courier New" w:cs="Times New Roman"/>
          <w:bCs/>
          <w:szCs w:val="24"/>
        </w:rPr>
      </w:pPr>
      <w:r w:rsidRPr="00B547E1">
        <w:rPr>
          <w:rFonts w:eastAsia="Courier New" w:cs="Times New Roman"/>
          <w:bCs/>
          <w:szCs w:val="24"/>
        </w:rPr>
        <w:t>In its recently-filed letter, Duke proposes that it continue to offer customer-funded energy efficiency programs in 2020, with an annual budget of $46,895,800.</w:t>
      </w:r>
      <w:r>
        <w:rPr>
          <w:rStyle w:val="FootnoteReference"/>
          <w:rFonts w:eastAsia="Courier New" w:cs="Times New Roman"/>
          <w:bCs/>
          <w:szCs w:val="24"/>
        </w:rPr>
        <w:footnoteReference w:id="3"/>
      </w:r>
      <w:r w:rsidRPr="00B547E1">
        <w:rPr>
          <w:rFonts w:eastAsia="Courier New" w:cs="Times New Roman"/>
          <w:bCs/>
          <w:szCs w:val="24"/>
        </w:rPr>
        <w:t xml:space="preserve"> According to Duke’s letter, this would include program costs (</w:t>
      </w:r>
      <w:r w:rsidRPr="00B547E1">
        <w:rPr>
          <w:rFonts w:eastAsia="Courier New" w:cs="Times New Roman"/>
          <w:bCs/>
          <w:i/>
          <w:iCs/>
          <w:szCs w:val="24"/>
        </w:rPr>
        <w:t>i.e.</w:t>
      </w:r>
      <w:r w:rsidRPr="00B547E1">
        <w:rPr>
          <w:rFonts w:eastAsia="Courier New" w:cs="Times New Roman"/>
          <w:bCs/>
          <w:szCs w:val="24"/>
        </w:rPr>
        <w:t>, energy efficiency rebates plus the administrative costs of running the programs) plus utility profits</w:t>
      </w:r>
      <w:r w:rsidRPr="00B547E1" w:rsidR="00203E33">
        <w:rPr>
          <w:rFonts w:eastAsia="Courier New" w:cs="Times New Roman"/>
          <w:bCs/>
          <w:szCs w:val="24"/>
        </w:rPr>
        <w:t xml:space="preserve">, also known as </w:t>
      </w:r>
      <w:r w:rsidRPr="00B547E1">
        <w:rPr>
          <w:rFonts w:eastAsia="Courier New" w:cs="Times New Roman"/>
          <w:bCs/>
          <w:szCs w:val="24"/>
        </w:rPr>
        <w:t>“shared savings</w:t>
      </w:r>
      <w:r w:rsidRPr="00B547E1" w:rsidR="00203E33">
        <w:rPr>
          <w:rFonts w:eastAsia="Courier New" w:cs="Times New Roman"/>
          <w:bCs/>
          <w:szCs w:val="24"/>
        </w:rPr>
        <w:t>.</w:t>
      </w:r>
      <w:r w:rsidRPr="00B547E1">
        <w:rPr>
          <w:rFonts w:eastAsia="Courier New" w:cs="Times New Roman"/>
          <w:bCs/>
          <w:szCs w:val="24"/>
        </w:rPr>
        <w:t>”</w:t>
      </w:r>
      <w:r>
        <w:rPr>
          <w:rStyle w:val="FootnoteReference"/>
          <w:rFonts w:eastAsia="Courier New" w:cs="Times New Roman"/>
          <w:bCs/>
          <w:szCs w:val="24"/>
        </w:rPr>
        <w:footnoteReference w:id="4"/>
      </w:r>
    </w:p>
    <w:p w:rsidR="005F5AF8" w:rsidRPr="00B547E1" w:rsidP="00815194" w14:paraId="2C4DC5C4" w14:textId="77777777">
      <w:pPr>
        <w:spacing w:after="0" w:line="480" w:lineRule="auto"/>
        <w:ind w:firstLine="720"/>
        <w:rPr>
          <w:rFonts w:eastAsia="Courier New" w:cs="Times New Roman"/>
          <w:bCs/>
          <w:szCs w:val="24"/>
        </w:rPr>
      </w:pPr>
      <w:r w:rsidRPr="00B547E1">
        <w:rPr>
          <w:rFonts w:eastAsia="Courier New" w:cs="Times New Roman"/>
          <w:bCs/>
          <w:szCs w:val="24"/>
        </w:rPr>
        <w:t>The law (House Bill 6) might require Duke to continue its programs in 2020, but it does not require the PUCO to allow Duke to continue profiting off these programs on the backs of its customers. The PUCO should therefore exercise its authority under House Bill 6 (</w:t>
      </w:r>
      <w:r w:rsidRPr="00B547E1" w:rsidR="00203E33">
        <w:rPr>
          <w:rFonts w:eastAsia="Courier New" w:cs="Times New Roman"/>
          <w:bCs/>
          <w:szCs w:val="24"/>
        </w:rPr>
        <w:t xml:space="preserve">the relevant portions of which are </w:t>
      </w:r>
      <w:r w:rsidRPr="00B547E1">
        <w:rPr>
          <w:rFonts w:eastAsia="Courier New" w:cs="Times New Roman"/>
          <w:bCs/>
          <w:szCs w:val="24"/>
        </w:rPr>
        <w:t>now codified in R.C. 4928.66(F)) to modify Duke’s energy efficiency portfolio plan to eliminate utility profits.</w:t>
      </w:r>
    </w:p>
    <w:p w:rsidR="005F5AF8" w:rsidRPr="00B547E1" w:rsidP="00B547E1" w14:paraId="3EA8B4B0" w14:textId="77777777">
      <w:pPr>
        <w:pStyle w:val="Heading1"/>
        <w:rPr>
          <w:rFonts w:eastAsia="Courier New"/>
        </w:rPr>
      </w:pPr>
      <w:bookmarkStart w:id="1" w:name="_Toc26785791"/>
      <w:r w:rsidRPr="00B547E1">
        <w:rPr>
          <w:rFonts w:eastAsia="Courier New"/>
        </w:rPr>
        <w:t>I.</w:t>
      </w:r>
      <w:r w:rsidRPr="00B547E1">
        <w:rPr>
          <w:rFonts w:eastAsia="Courier New"/>
        </w:rPr>
        <w:tab/>
        <w:t>RECOMMENDATIONS</w:t>
      </w:r>
      <w:bookmarkEnd w:id="1"/>
    </w:p>
    <w:p w:rsidR="004C7CFF" w:rsidRPr="00B547E1" w:rsidP="00B547E1" w14:paraId="69289E86" w14:textId="77777777">
      <w:pPr>
        <w:pStyle w:val="Heading2"/>
        <w:rPr>
          <w:rFonts w:eastAsia="Courier New"/>
        </w:rPr>
      </w:pPr>
      <w:bookmarkStart w:id="2" w:name="_Toc26785792"/>
      <w:r w:rsidRPr="00B547E1">
        <w:rPr>
          <w:rFonts w:eastAsia="Courier New"/>
        </w:rPr>
        <w:t>A.</w:t>
      </w:r>
      <w:r w:rsidRPr="00B547E1">
        <w:rPr>
          <w:rFonts w:eastAsia="Courier New"/>
        </w:rPr>
        <w:tab/>
        <w:t>The PUCO should exercise its authority to modify Duke’s portfolio so that customers no longer pay for utility profits (“shared savings”) in 2020.</w:t>
      </w:r>
      <w:bookmarkEnd w:id="2"/>
    </w:p>
    <w:p w:rsidR="00871394" w:rsidRPr="00B547E1" w:rsidP="00B547E1" w14:paraId="56566BAC" w14:textId="77777777">
      <w:pPr>
        <w:pStyle w:val="Heading3"/>
        <w:rPr>
          <w:rFonts w:eastAsia="Courier New"/>
        </w:rPr>
      </w:pPr>
      <w:bookmarkStart w:id="3" w:name="_Toc26785793"/>
      <w:r w:rsidRPr="00B547E1">
        <w:rPr>
          <w:rFonts w:eastAsia="Courier New"/>
        </w:rPr>
        <w:t>1.</w:t>
      </w:r>
      <w:r w:rsidRPr="00B547E1">
        <w:rPr>
          <w:rFonts w:eastAsia="Courier New"/>
        </w:rPr>
        <w:tab/>
      </w:r>
      <w:bookmarkStart w:id="4" w:name="_Hlk26780894"/>
      <w:r w:rsidRPr="00B547E1">
        <w:rPr>
          <w:rFonts w:eastAsia="Courier New"/>
        </w:rPr>
        <w:t>Shared savings is not part of a utility’s energy efficiency portfolio “budget” under R.C. 4928.66(F)(2), so the PUCO is not required to allow utilities to continue charging customers for shared savings.</w:t>
      </w:r>
      <w:bookmarkEnd w:id="4"/>
      <w:bookmarkEnd w:id="3"/>
    </w:p>
    <w:p w:rsidR="004C7CFF" w:rsidRPr="00B547E1" w:rsidP="00815194" w14:paraId="4C6D7C07" w14:textId="77777777">
      <w:pPr>
        <w:spacing w:after="0" w:line="480" w:lineRule="auto"/>
        <w:ind w:firstLine="720"/>
        <w:rPr>
          <w:rFonts w:eastAsia="Courier New" w:cs="Times New Roman"/>
          <w:bCs/>
          <w:szCs w:val="24"/>
        </w:rPr>
      </w:pPr>
      <w:bookmarkStart w:id="5" w:name="_Hlk26780918"/>
      <w:r w:rsidRPr="00B547E1">
        <w:rPr>
          <w:rFonts w:eastAsia="Courier New" w:cs="Times New Roman"/>
          <w:bCs/>
          <w:szCs w:val="24"/>
        </w:rPr>
        <w:t>Under R.C. 4928.66(F)(2), the PUCO is required to extend Duke’s current 2017-2019 energy efficiency portfolio through December 31, 2020, after which the portfolio terminates. When a portfolio is extended as such, “the existing plan’s budget shall be increased for the extended term to include an amount equal to the annual average of the approved budget for all years of the portfolio plan in effect as of the effective date” of House Bill 6.</w:t>
      </w:r>
      <w:r>
        <w:rPr>
          <w:rStyle w:val="FootnoteReference"/>
          <w:rFonts w:eastAsia="Courier New" w:cs="Times New Roman"/>
          <w:bCs/>
          <w:szCs w:val="24"/>
        </w:rPr>
        <w:footnoteReference w:id="5"/>
      </w:r>
    </w:p>
    <w:p w:rsidR="004C7CFF" w:rsidRPr="00B547E1" w:rsidP="00815194" w14:paraId="1F3BEA84" w14:textId="77777777">
      <w:pPr>
        <w:spacing w:after="0" w:line="480" w:lineRule="auto"/>
        <w:ind w:firstLine="720"/>
        <w:rPr>
          <w:rFonts w:eastAsia="Courier New" w:cs="Times New Roman"/>
          <w:bCs/>
          <w:szCs w:val="24"/>
        </w:rPr>
      </w:pPr>
      <w:r w:rsidRPr="00B547E1">
        <w:rPr>
          <w:rFonts w:eastAsia="Courier New" w:cs="Times New Roman"/>
          <w:bCs/>
          <w:szCs w:val="24"/>
        </w:rPr>
        <w:t>Naturally, then, a question of statutory interpretation arises: What is a “budget”?</w:t>
      </w:r>
    </w:p>
    <w:p w:rsidR="00070705" w:rsidRPr="00B547E1" w:rsidP="00070705" w14:paraId="58A098DA" w14:textId="77777777">
      <w:pPr>
        <w:spacing w:after="0" w:line="480" w:lineRule="auto"/>
        <w:ind w:firstLine="720"/>
        <w:rPr>
          <w:rFonts w:eastAsia="Courier New" w:cs="Times New Roman"/>
          <w:bCs/>
          <w:szCs w:val="24"/>
        </w:rPr>
      </w:pPr>
      <w:r w:rsidRPr="00B547E1">
        <w:rPr>
          <w:rFonts w:eastAsia="Courier New" w:cs="Times New Roman"/>
          <w:bCs/>
          <w:szCs w:val="24"/>
        </w:rPr>
        <w:t>Duke proposes an annual “budget” of $46,895,800, which would include both the costs of running the programs and utility profits (“shared savings”).</w:t>
      </w:r>
      <w:r>
        <w:rPr>
          <w:rStyle w:val="FootnoteReference"/>
          <w:rFonts w:eastAsia="Courier New" w:cs="Times New Roman"/>
          <w:bCs/>
          <w:szCs w:val="24"/>
        </w:rPr>
        <w:footnoteReference w:id="6"/>
      </w:r>
      <w:r w:rsidRPr="00B547E1">
        <w:rPr>
          <w:rFonts w:eastAsia="Courier New" w:cs="Times New Roman"/>
          <w:bCs/>
          <w:szCs w:val="24"/>
        </w:rPr>
        <w:t xml:space="preserve"> Duke seemingly interprets the word “budget” in R.C. 4928.66(F) to include not only the cost of running the programs (administrative costs, rebates, marketing, costs to verify savings), but also the profits that Duke charges customers on those programs. The PUCO should reject Duke’s interpretation. Instead, it should interpret the word “budget” in R.C. 4928.66(F)(3) to mean only the costs of running the programs, and not the utility profits on those programs.</w:t>
      </w:r>
    </w:p>
    <w:p w:rsidR="007F1D0D" w:rsidRPr="00B547E1" w:rsidP="00815194" w14:paraId="2414C74D" w14:textId="77777777">
      <w:pPr>
        <w:spacing w:after="0" w:line="480" w:lineRule="auto"/>
        <w:ind w:firstLine="720"/>
        <w:rPr>
          <w:rFonts w:eastAsia="Courier New" w:cs="Times New Roman"/>
          <w:bCs/>
          <w:szCs w:val="24"/>
        </w:rPr>
      </w:pPr>
      <w:r w:rsidRPr="00B547E1">
        <w:rPr>
          <w:rFonts w:eastAsia="Courier New" w:cs="Times New Roman"/>
          <w:bCs/>
          <w:szCs w:val="24"/>
        </w:rPr>
        <w:t>The Revised Code does not define the word “budget” for purposes of R.C. 4928.66(F). The word “budget,” in fact, is not used anywhere else in Revised Code chapter 4928. So we must look elsewhere to determine what the word “budget” means in this context. When we do so, all signs point to one conclusion: a utility’s profits on energy efficiency programs</w:t>
      </w:r>
      <w:r w:rsidRPr="00B547E1" w:rsidR="001E72CB">
        <w:rPr>
          <w:rFonts w:eastAsia="Courier New" w:cs="Times New Roman"/>
          <w:bCs/>
          <w:szCs w:val="24"/>
        </w:rPr>
        <w:t xml:space="preserve"> (“shared savings”)</w:t>
      </w:r>
      <w:r w:rsidRPr="00B547E1">
        <w:rPr>
          <w:rFonts w:eastAsia="Courier New" w:cs="Times New Roman"/>
          <w:bCs/>
          <w:szCs w:val="24"/>
        </w:rPr>
        <w:t xml:space="preserve"> are not part of the energy efficiency “budget.”</w:t>
      </w:r>
    </w:p>
    <w:p w:rsidR="007F1D0D" w:rsidRPr="00B547E1" w:rsidP="00815194" w14:paraId="4C2EA239" w14:textId="77777777">
      <w:pPr>
        <w:spacing w:after="0" w:line="480" w:lineRule="auto"/>
        <w:ind w:firstLine="720"/>
        <w:rPr>
          <w:rFonts w:eastAsia="Courier New" w:cs="Times New Roman"/>
          <w:bCs/>
          <w:szCs w:val="24"/>
        </w:rPr>
      </w:pPr>
      <w:r w:rsidRPr="00B547E1">
        <w:rPr>
          <w:rFonts w:eastAsia="Courier New" w:cs="Times New Roman"/>
          <w:bCs/>
          <w:szCs w:val="24"/>
        </w:rPr>
        <w:t xml:space="preserve">First, Duke itself has </w:t>
      </w:r>
      <w:r w:rsidRPr="00B547E1" w:rsidR="00E000C2">
        <w:rPr>
          <w:rFonts w:eastAsia="Courier New" w:cs="Times New Roman"/>
          <w:bCs/>
          <w:szCs w:val="24"/>
        </w:rPr>
        <w:t>not previously</w:t>
      </w:r>
      <w:r w:rsidRPr="00B547E1">
        <w:rPr>
          <w:rFonts w:eastAsia="Courier New" w:cs="Times New Roman"/>
          <w:bCs/>
          <w:szCs w:val="24"/>
        </w:rPr>
        <w:t xml:space="preserve"> used the word “budget” </w:t>
      </w:r>
      <w:r w:rsidRPr="00B547E1" w:rsidR="00203E33">
        <w:rPr>
          <w:rFonts w:eastAsia="Courier New" w:cs="Times New Roman"/>
          <w:bCs/>
          <w:szCs w:val="24"/>
        </w:rPr>
        <w:t xml:space="preserve">as including </w:t>
      </w:r>
      <w:r w:rsidRPr="00B547E1">
        <w:rPr>
          <w:rFonts w:eastAsia="Courier New" w:cs="Times New Roman"/>
          <w:bCs/>
          <w:szCs w:val="24"/>
        </w:rPr>
        <w:t>shared savings. In its energy efficiency portfolio application, Duke provided the “projected program budget” for each of its programs.</w:t>
      </w:r>
      <w:r>
        <w:rPr>
          <w:rStyle w:val="FootnoteReference"/>
          <w:rFonts w:eastAsia="Courier New" w:cs="Times New Roman"/>
          <w:bCs/>
          <w:szCs w:val="24"/>
        </w:rPr>
        <w:footnoteReference w:id="7"/>
      </w:r>
      <w:r w:rsidRPr="00B547E1" w:rsidR="001E72CB">
        <w:rPr>
          <w:rFonts w:eastAsia="Courier New" w:cs="Times New Roman"/>
          <w:bCs/>
          <w:szCs w:val="24"/>
        </w:rPr>
        <w:t xml:space="preserve"> When describing the budget, Duke included only the cost of running the programs, and not its </w:t>
      </w:r>
      <w:r w:rsidRPr="00B547E1" w:rsidR="00871394">
        <w:rPr>
          <w:rFonts w:eastAsia="Courier New" w:cs="Times New Roman"/>
          <w:bCs/>
          <w:szCs w:val="24"/>
        </w:rPr>
        <w:t xml:space="preserve">projected </w:t>
      </w:r>
      <w:r w:rsidRPr="00B547E1" w:rsidR="001E72CB">
        <w:rPr>
          <w:rFonts w:eastAsia="Courier New" w:cs="Times New Roman"/>
          <w:bCs/>
          <w:szCs w:val="24"/>
        </w:rPr>
        <w:t>profits from running the programs.</w:t>
      </w:r>
    </w:p>
    <w:p w:rsidR="001E72CB" w:rsidRPr="00B547E1" w:rsidP="00815194" w14:paraId="341248F6" w14:textId="77777777">
      <w:pPr>
        <w:spacing w:after="0" w:line="480" w:lineRule="auto"/>
        <w:ind w:firstLine="720"/>
        <w:rPr>
          <w:rFonts w:eastAsia="Courier New" w:cs="Times New Roman"/>
          <w:bCs/>
          <w:szCs w:val="24"/>
        </w:rPr>
      </w:pPr>
      <w:r w:rsidRPr="00B547E1">
        <w:rPr>
          <w:rFonts w:eastAsia="Courier New" w:cs="Times New Roman"/>
          <w:bCs/>
          <w:szCs w:val="24"/>
        </w:rPr>
        <w:t>Second, the PUCO’s rules require a utility to include a “budget” with its energy efficiency portfolio application, and that budget shall include “projected expenditures, identifying program costs to be borne by the electric utility and collected from customers, with customer class allocation.”</w:t>
      </w:r>
      <w:r>
        <w:rPr>
          <w:rStyle w:val="FootnoteReference"/>
          <w:rFonts w:eastAsia="Courier New" w:cs="Times New Roman"/>
          <w:bCs/>
          <w:szCs w:val="24"/>
        </w:rPr>
        <w:footnoteReference w:id="8"/>
      </w:r>
      <w:r w:rsidRPr="00B547E1">
        <w:rPr>
          <w:rFonts w:eastAsia="Courier New" w:cs="Times New Roman"/>
          <w:bCs/>
          <w:szCs w:val="24"/>
        </w:rPr>
        <w:t xml:space="preserve"> Shared savings is not a “cost to be borne” by Duke. When customers pay shared savings, they are not reimbursing Duke for a cost that it incurred; they are making an incentive payment to Duke that is passed on the shareholders as profit. Thus, under the PUCO’s rule, shared savings is not part of the utility’s “budget.”</w:t>
      </w:r>
    </w:p>
    <w:p w:rsidR="001E72CB" w:rsidRPr="00B547E1" w:rsidP="00815194" w14:paraId="3C85E08E" w14:textId="77777777">
      <w:pPr>
        <w:spacing w:after="0" w:line="480" w:lineRule="auto"/>
        <w:ind w:firstLine="720"/>
        <w:rPr>
          <w:rFonts w:eastAsia="Courier New" w:cs="Times New Roman"/>
          <w:bCs/>
          <w:szCs w:val="24"/>
        </w:rPr>
      </w:pPr>
      <w:r w:rsidRPr="00B547E1">
        <w:rPr>
          <w:rFonts w:eastAsia="Courier New" w:cs="Times New Roman"/>
          <w:bCs/>
          <w:szCs w:val="24"/>
        </w:rPr>
        <w:t xml:space="preserve">Third, the PUCO has used the word “budget” </w:t>
      </w:r>
      <w:r w:rsidRPr="00B547E1" w:rsidR="00971785">
        <w:rPr>
          <w:rFonts w:eastAsia="Courier New" w:cs="Times New Roman"/>
          <w:bCs/>
          <w:szCs w:val="24"/>
        </w:rPr>
        <w:t xml:space="preserve">in its opinions </w:t>
      </w:r>
      <w:r w:rsidRPr="00B547E1">
        <w:rPr>
          <w:rFonts w:eastAsia="Courier New" w:cs="Times New Roman"/>
          <w:bCs/>
          <w:szCs w:val="24"/>
        </w:rPr>
        <w:t xml:space="preserve">to mean cost of running the programs, not utility profits. In </w:t>
      </w:r>
      <w:r w:rsidRPr="00B547E1" w:rsidR="00E8164C">
        <w:rPr>
          <w:rFonts w:eastAsia="Courier New" w:cs="Times New Roman"/>
          <w:bCs/>
          <w:szCs w:val="24"/>
        </w:rPr>
        <w:t>FirstEnergy’s most recent energy efficiency portfolio case, for example, the PUCO noted that FirstEnergy filed a portfolio with “an annual budget of approximately $89.5 million.”</w:t>
      </w:r>
      <w:r>
        <w:rPr>
          <w:rStyle w:val="FootnoteReference"/>
          <w:rFonts w:eastAsia="Courier New" w:cs="Times New Roman"/>
          <w:bCs/>
          <w:szCs w:val="24"/>
        </w:rPr>
        <w:footnoteReference w:id="9"/>
      </w:r>
      <w:r w:rsidRPr="00B547E1" w:rsidR="00E8164C">
        <w:rPr>
          <w:rFonts w:eastAsia="Courier New" w:cs="Times New Roman"/>
          <w:bCs/>
          <w:szCs w:val="24"/>
        </w:rPr>
        <w:t xml:space="preserve"> That $89.5 million amount was for the cost of running the programs and did not include any shared savings.</w:t>
      </w:r>
      <w:r>
        <w:rPr>
          <w:rStyle w:val="FootnoteReference"/>
          <w:rFonts w:eastAsia="Courier New" w:cs="Times New Roman"/>
          <w:bCs/>
          <w:szCs w:val="24"/>
        </w:rPr>
        <w:footnoteReference w:id="10"/>
      </w:r>
    </w:p>
    <w:p w:rsidR="00971785" w:rsidRPr="00B547E1" w:rsidP="00815194" w14:paraId="77048398" w14:textId="77777777">
      <w:pPr>
        <w:spacing w:after="0" w:line="480" w:lineRule="auto"/>
        <w:ind w:firstLine="720"/>
        <w:rPr>
          <w:rFonts w:eastAsia="Courier New" w:cs="Times New Roman"/>
          <w:bCs/>
          <w:szCs w:val="24"/>
        </w:rPr>
      </w:pPr>
      <w:r w:rsidRPr="00B547E1">
        <w:rPr>
          <w:rFonts w:eastAsia="Courier New" w:cs="Times New Roman"/>
          <w:bCs/>
          <w:szCs w:val="24"/>
        </w:rPr>
        <w:t>Fourth, the everyday English language use of the word “budget” suggests that profits are not part of a budget. Webster’s Dictionary defines a “budget” as “a plan for the coordination of resources and expenditures.” Black’s Law Dictionary similarly defines a “budget” as “a sum of money allocated to a particular purpose or project.”</w:t>
      </w:r>
      <w:r>
        <w:rPr>
          <w:rStyle w:val="FootnoteReference"/>
          <w:rFonts w:eastAsia="Courier New" w:cs="Times New Roman"/>
          <w:bCs/>
          <w:szCs w:val="24"/>
        </w:rPr>
        <w:footnoteReference w:id="11"/>
      </w:r>
      <w:r w:rsidRPr="00B547E1">
        <w:rPr>
          <w:rFonts w:eastAsia="Courier New" w:cs="Times New Roman"/>
          <w:bCs/>
          <w:szCs w:val="24"/>
        </w:rPr>
        <w:t xml:space="preserve"> </w:t>
      </w:r>
      <w:r w:rsidRPr="00B547E1" w:rsidR="00871394">
        <w:rPr>
          <w:rFonts w:eastAsia="Courier New" w:cs="Times New Roman"/>
          <w:bCs/>
          <w:szCs w:val="24"/>
        </w:rPr>
        <w:t>These everyday definitions accurately describe the budgeting process: project your costs and figure out if you have enough money to cover those costs. Profit is not a cost. It is a reward for good performance. Rewards for good performance are not part of the budgeting process, so shared savings (aka utility profits) are not part of a “budget.”</w:t>
      </w:r>
    </w:p>
    <w:p w:rsidR="00871394" w:rsidRPr="00B547E1" w:rsidP="00815194" w14:paraId="03396086" w14:textId="77777777">
      <w:pPr>
        <w:spacing w:after="0" w:line="480" w:lineRule="auto"/>
        <w:ind w:firstLine="720"/>
        <w:rPr>
          <w:rFonts w:eastAsia="Courier New" w:cs="Times New Roman"/>
          <w:bCs/>
          <w:szCs w:val="24"/>
        </w:rPr>
      </w:pPr>
      <w:r w:rsidRPr="00B547E1">
        <w:rPr>
          <w:rFonts w:eastAsia="Courier New" w:cs="Times New Roman"/>
          <w:bCs/>
          <w:szCs w:val="24"/>
        </w:rPr>
        <w:t>In sum, while R.C. requires the PUCO to continue Duke’s existing 2017-2019 plan using the “approved budget” from that plan, shared savings are not part of the “budget” and thus are not statutorily required to be approved.</w:t>
      </w:r>
      <w:bookmarkEnd w:id="5"/>
    </w:p>
    <w:p w:rsidR="00891283" w:rsidRPr="00B547E1" w:rsidP="00B547E1" w14:paraId="4B38A35C" w14:textId="77777777">
      <w:pPr>
        <w:pStyle w:val="Heading3"/>
      </w:pPr>
      <w:bookmarkStart w:id="6" w:name="_Toc26785794"/>
      <w:r w:rsidRPr="00B547E1">
        <w:t>2.</w:t>
      </w:r>
      <w:r w:rsidRPr="00B547E1">
        <w:tab/>
        <w:t>House Bill 6 allows the PUCO to modify a utility’s portfolio for 2020. The PUCO should do so by eliminating charges to customers for “shared savings,” which really means utility profits.</w:t>
      </w:r>
      <w:bookmarkEnd w:id="6"/>
    </w:p>
    <w:p w:rsidR="00891283" w:rsidRPr="00B547E1" w:rsidP="00891283" w14:paraId="56DFE07B" w14:textId="77777777">
      <w:pPr>
        <w:spacing w:after="0" w:line="480" w:lineRule="auto"/>
        <w:ind w:firstLine="720"/>
        <w:rPr>
          <w:rFonts w:cs="Times New Roman"/>
          <w:szCs w:val="24"/>
        </w:rPr>
      </w:pPr>
      <w:r w:rsidRPr="00B547E1">
        <w:rPr>
          <w:rFonts w:cs="Times New Roman"/>
          <w:szCs w:val="24"/>
        </w:rPr>
        <w:t>The law does not give the PUCO discretion to modify a utility’s “budget” when its current portfolio is extended through the end of 2020. Instead, it provides a specific formula, requiring the 2020 budget to be the average of the annual budget for the current portfolio (here, the average of the budget from 2017 through 2019). As explained above, however, “shared savings” is not part of the budget, so that section of the law does not apply to shared savings.</w:t>
      </w:r>
    </w:p>
    <w:p w:rsidR="00891283" w:rsidRPr="00B547E1" w:rsidP="00891283" w14:paraId="65B3BA47" w14:textId="77777777">
      <w:pPr>
        <w:spacing w:after="0" w:line="480" w:lineRule="auto"/>
        <w:ind w:firstLine="720"/>
        <w:rPr>
          <w:rFonts w:cs="Times New Roman"/>
          <w:szCs w:val="24"/>
        </w:rPr>
      </w:pPr>
      <w:r w:rsidRPr="00B547E1">
        <w:rPr>
          <w:rFonts w:cs="Times New Roman"/>
          <w:szCs w:val="24"/>
        </w:rPr>
        <w:t>A different statutory provision, R.C. 4928.66(F)(4), on the other hand, does apply. Under that statutory provision, “All other</w:t>
      </w:r>
      <w:r>
        <w:rPr>
          <w:rStyle w:val="FootnoteReference"/>
          <w:rFonts w:cs="Times New Roman"/>
          <w:szCs w:val="24"/>
        </w:rPr>
        <w:footnoteReference w:id="12"/>
      </w:r>
      <w:r w:rsidRPr="00B547E1">
        <w:rPr>
          <w:rFonts w:cs="Times New Roman"/>
          <w:szCs w:val="24"/>
        </w:rPr>
        <w:t xml:space="preserve"> terms and conditions of a portfolio plan extended [by the PUCO] shall remain the same </w:t>
      </w:r>
      <w:r w:rsidRPr="00B547E1">
        <w:rPr>
          <w:rFonts w:cs="Times New Roman"/>
          <w:i/>
          <w:iCs/>
          <w:szCs w:val="24"/>
        </w:rPr>
        <w:t>unless</w:t>
      </w:r>
      <w:r w:rsidRPr="00B547E1">
        <w:rPr>
          <w:rFonts w:cs="Times New Roman"/>
          <w:szCs w:val="24"/>
        </w:rPr>
        <w:t xml:space="preserve"> changes are authorized by the commission.”</w:t>
      </w:r>
      <w:r>
        <w:rPr>
          <w:rStyle w:val="FootnoteReference"/>
          <w:rFonts w:cs="Times New Roman"/>
          <w:szCs w:val="24"/>
        </w:rPr>
        <w:footnoteReference w:id="13"/>
      </w:r>
      <w:r w:rsidRPr="00B547E1">
        <w:rPr>
          <w:rFonts w:cs="Times New Roman"/>
          <w:szCs w:val="24"/>
        </w:rPr>
        <w:t xml:space="preserve"> Thus, the law explicitly provides the PUCO </w:t>
      </w:r>
      <w:r w:rsidRPr="00B547E1" w:rsidR="00506BA2">
        <w:rPr>
          <w:rFonts w:cs="Times New Roman"/>
          <w:szCs w:val="24"/>
        </w:rPr>
        <w:t>with</w:t>
      </w:r>
      <w:r w:rsidRPr="00B547E1">
        <w:rPr>
          <w:rFonts w:cs="Times New Roman"/>
          <w:szCs w:val="24"/>
        </w:rPr>
        <w:t xml:space="preserve"> authority to modify the terms and conditions of Duke’s portfolio plan. One term and condition of Duke’s portfolio plan is that it is allowed to charge customers for “shared savings,” which is another way of saying “utility profits.”</w:t>
      </w:r>
      <w:r>
        <w:rPr>
          <w:rStyle w:val="FootnoteReference"/>
          <w:rFonts w:cs="Times New Roman"/>
          <w:szCs w:val="24"/>
        </w:rPr>
        <w:footnoteReference w:id="14"/>
      </w:r>
      <w:r w:rsidRPr="00B547E1">
        <w:rPr>
          <w:rFonts w:cs="Times New Roman"/>
          <w:szCs w:val="24"/>
        </w:rPr>
        <w:t xml:space="preserve"> </w:t>
      </w:r>
    </w:p>
    <w:p w:rsidR="00891283" w:rsidRPr="00B547E1" w:rsidP="00891283" w14:paraId="3AFE2FB4" w14:textId="77777777">
      <w:pPr>
        <w:spacing w:after="0" w:line="480" w:lineRule="auto"/>
        <w:ind w:firstLine="720"/>
        <w:rPr>
          <w:rFonts w:cs="Times New Roman"/>
          <w:szCs w:val="24"/>
        </w:rPr>
      </w:pPr>
      <w:r w:rsidRPr="00B547E1">
        <w:rPr>
          <w:rFonts w:cs="Times New Roman"/>
          <w:szCs w:val="24"/>
        </w:rPr>
        <w:t xml:space="preserve">Allowing utilities to profit from energy efficiency in Ohio has been a disaster. In the past ten years, customers have paid more than $300 million in “shared savings” to their utilities. That money goes straight to shareholders, with no direct benefits to customers. What was originally intended to give the utilities an incentive to go above and beyond has become little more than easy money for the utility. </w:t>
      </w:r>
    </w:p>
    <w:p w:rsidR="005B2260" w:rsidRPr="00B547E1" w:rsidP="005B2260" w14:paraId="4478D42C" w14:textId="77777777">
      <w:pPr>
        <w:spacing w:after="0" w:line="480" w:lineRule="auto"/>
        <w:ind w:firstLine="720"/>
        <w:rPr>
          <w:rFonts w:cs="Times New Roman"/>
          <w:szCs w:val="24"/>
        </w:rPr>
      </w:pPr>
      <w:r w:rsidRPr="00B547E1">
        <w:rPr>
          <w:rFonts w:cs="Times New Roman"/>
          <w:szCs w:val="24"/>
        </w:rPr>
        <w:t>Further, utilities have been allowed to charge customers for “shared savings” (profits) as long as they exceed the statutory mandate, and the amount of profits increases as the utility goes higher and higher above the mandate. In other words, it is designed to give the utility an incentive not just to reach the statutory mandate, but to materially exceed that mandate.</w:t>
      </w:r>
    </w:p>
    <w:p w:rsidR="005B2260" w:rsidRPr="00B547E1" w:rsidP="005B2260" w14:paraId="6A707645" w14:textId="77777777">
      <w:pPr>
        <w:spacing w:after="0" w:line="480" w:lineRule="auto"/>
        <w:ind w:firstLine="720"/>
        <w:rPr>
          <w:rFonts w:cs="Times New Roman"/>
          <w:szCs w:val="24"/>
        </w:rPr>
      </w:pPr>
      <w:r w:rsidRPr="00B547E1">
        <w:rPr>
          <w:rFonts w:cs="Times New Roman"/>
          <w:szCs w:val="24"/>
        </w:rPr>
        <w:t>Under House Bill 6, the mandates will soon end (likely long before the end of 2020).</w:t>
      </w:r>
      <w:r>
        <w:rPr>
          <w:rStyle w:val="FootnoteReference"/>
          <w:rFonts w:cs="Times New Roman"/>
          <w:szCs w:val="24"/>
        </w:rPr>
        <w:footnoteReference w:id="15"/>
      </w:r>
      <w:r w:rsidRPr="00B547E1">
        <w:rPr>
          <w:rFonts w:cs="Times New Roman"/>
          <w:szCs w:val="24"/>
        </w:rPr>
        <w:t xml:space="preserve"> Thus, logic compels the conclusion that shared savings profits should also end. If profits are a reward for exceeding a mandate and there no longer is a mandate, then there is no need for a reward.</w:t>
      </w:r>
    </w:p>
    <w:p w:rsidR="00871394" w:rsidRPr="00B547E1" w:rsidP="00891283" w14:paraId="7776308C" w14:textId="77777777">
      <w:pPr>
        <w:spacing w:after="0" w:line="480" w:lineRule="auto"/>
        <w:ind w:firstLine="720"/>
        <w:rPr>
          <w:rFonts w:cs="Times New Roman"/>
          <w:szCs w:val="24"/>
        </w:rPr>
      </w:pPr>
      <w:r w:rsidRPr="00B547E1">
        <w:rPr>
          <w:rFonts w:cs="Times New Roman"/>
          <w:szCs w:val="24"/>
        </w:rPr>
        <w:t>R.C. 4928.66(F)(4) allows the PUCO to stop the bleeding for Duke’s customers in 2020. The PUCO should exercise its statutory authority under R.C. 4928.66(F)(4) to modify Duke’s portfolio to eliminate shared savings.</w:t>
      </w:r>
    </w:p>
    <w:p w:rsidR="005B2260" w:rsidRPr="00B547E1" w:rsidP="00B547E1" w14:paraId="0C3151E4" w14:textId="77777777">
      <w:pPr>
        <w:pStyle w:val="Heading3"/>
      </w:pPr>
      <w:bookmarkStart w:id="7" w:name="_Toc26785795"/>
      <w:r w:rsidRPr="00B547E1">
        <w:t>3.</w:t>
      </w:r>
      <w:r w:rsidRPr="00B547E1">
        <w:tab/>
        <w:t xml:space="preserve">If shared savings are removed from Duke’s portfolio, the annual budget for 2020 should be </w:t>
      </w:r>
      <w:r w:rsidRPr="00B547E1" w:rsidR="00CF312C">
        <w:t xml:space="preserve">limited to </w:t>
      </w:r>
      <w:r w:rsidRPr="00B547E1">
        <w:t>$37,</w:t>
      </w:r>
      <w:r w:rsidRPr="00B547E1" w:rsidR="00734BB7">
        <w:t>4</w:t>
      </w:r>
      <w:r w:rsidRPr="00B547E1">
        <w:t>97,474.</w:t>
      </w:r>
      <w:bookmarkEnd w:id="7"/>
    </w:p>
    <w:p w:rsidR="005B2260" w:rsidRPr="00B547E1" w:rsidP="00891283" w14:paraId="5B1F4203" w14:textId="77777777">
      <w:pPr>
        <w:spacing w:after="0" w:line="480" w:lineRule="auto"/>
        <w:ind w:firstLine="720"/>
        <w:rPr>
          <w:rFonts w:cs="Times New Roman"/>
          <w:szCs w:val="24"/>
        </w:rPr>
      </w:pPr>
      <w:r w:rsidRPr="00B547E1">
        <w:rPr>
          <w:rFonts w:cs="Times New Roman"/>
          <w:szCs w:val="24"/>
        </w:rPr>
        <w:t xml:space="preserve">In its correspondence, Duke </w:t>
      </w:r>
      <w:r w:rsidRPr="00B547E1" w:rsidR="00734BB7">
        <w:rPr>
          <w:rFonts w:cs="Times New Roman"/>
          <w:szCs w:val="24"/>
        </w:rPr>
        <w:t>proposed a 2020 budget of $46,895,800 for program costs plus shared savings. Duke arrived at this number by taking the average of 2017, 2018, and 2019, as follows:</w:t>
      </w:r>
    </w:p>
    <w:p w:rsidR="00734BB7" w:rsidRPr="00B547E1" w:rsidP="00891283" w14:paraId="5934510B" w14:textId="77777777">
      <w:pPr>
        <w:spacing w:after="0" w:line="480" w:lineRule="auto"/>
        <w:ind w:firstLine="720"/>
        <w:rPr>
          <w:rFonts w:cs="Times New Roman"/>
          <w:szCs w:val="24"/>
        </w:rPr>
      </w:pPr>
      <w:r w:rsidRPr="00B547E1">
        <w:rPr>
          <w:rFonts w:cs="Times New Roman"/>
          <w:noProof/>
          <w:szCs w:val="24"/>
        </w:rPr>
        <w:drawing>
          <wp:inline distT="0" distB="0" distL="0" distR="0">
            <wp:extent cx="3228975" cy="10572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xmlns:r="http://schemas.openxmlformats.org/officeDocument/2006/relationships" r:embed="rId12"/>
                    <a:stretch>
                      <a:fillRect/>
                    </a:stretch>
                  </pic:blipFill>
                  <pic:spPr>
                    <a:xfrm>
                      <a:off x="0" y="0"/>
                      <a:ext cx="3228975" cy="1057275"/>
                    </a:xfrm>
                    <a:prstGeom prst="rect">
                      <a:avLst/>
                    </a:prstGeom>
                  </pic:spPr>
                </pic:pic>
              </a:graphicData>
            </a:graphic>
          </wp:inline>
        </w:drawing>
      </w:r>
    </w:p>
    <w:p w:rsidR="00734BB7" w:rsidRPr="00B547E1" w:rsidP="00734BB7" w14:paraId="4715F8AC" w14:textId="77777777">
      <w:pPr>
        <w:spacing w:after="0" w:line="480" w:lineRule="auto"/>
        <w:ind w:firstLine="720"/>
        <w:rPr>
          <w:rFonts w:eastAsia="Courier New" w:cs="Times New Roman"/>
          <w:bCs/>
          <w:szCs w:val="24"/>
        </w:rPr>
      </w:pPr>
      <w:r w:rsidRPr="00B547E1">
        <w:rPr>
          <w:rFonts w:eastAsia="Courier New" w:cs="Times New Roman"/>
          <w:bCs/>
          <w:szCs w:val="24"/>
        </w:rPr>
        <w:t>Duke’s budget numbers derive from Supplemental Attachment JEZ-1, attached to the Supplemental Testimony of Trisha A. Haemmerle, filed in this case on October 14, 2016. That attachment, which is attached hereto as Exhibit A, includes the same numbers that Duke provided in its December 2, 2019 correspondence: $47,758,444 for 2017; $46,687,446 for 2018; and $46,241,512 for 2019:</w:t>
      </w:r>
    </w:p>
    <w:p w:rsidR="00734BB7" w:rsidRPr="00B547E1" w:rsidP="00506BA2" w14:paraId="30F1CAFB" w14:textId="77777777">
      <w:pPr>
        <w:spacing w:after="0" w:line="480" w:lineRule="auto"/>
        <w:rPr>
          <w:rFonts w:cs="Times New Roman"/>
          <w:szCs w:val="24"/>
        </w:rPr>
      </w:pPr>
      <w:r w:rsidRPr="00B547E1">
        <w:rPr>
          <w:rFonts w:cs="Times New Roman"/>
          <w:noProof/>
          <w:szCs w:val="24"/>
        </w:rPr>
        <w:drawing>
          <wp:inline distT="0" distB="0" distL="0" distR="0">
            <wp:extent cx="5486400" cy="5207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31803521" name=""/>
                    <pic:cNvPicPr/>
                  </pic:nvPicPr>
                  <pic:blipFill>
                    <a:blip xmlns:r="http://schemas.openxmlformats.org/officeDocument/2006/relationships" r:embed="rId13"/>
                    <a:stretch>
                      <a:fillRect/>
                    </a:stretch>
                  </pic:blipFill>
                  <pic:spPr>
                    <a:xfrm>
                      <a:off x="0" y="0"/>
                      <a:ext cx="5486400" cy="520700"/>
                    </a:xfrm>
                    <a:prstGeom prst="rect">
                      <a:avLst/>
                    </a:prstGeom>
                  </pic:spPr>
                </pic:pic>
              </a:graphicData>
            </a:graphic>
          </wp:inline>
        </w:drawing>
      </w:r>
    </w:p>
    <w:p w:rsidR="005B2260" w:rsidRPr="00B547E1" w:rsidP="00143E31" w14:paraId="4704D99F" w14:textId="77777777">
      <w:pPr>
        <w:spacing w:after="0" w:line="480" w:lineRule="auto"/>
        <w:ind w:firstLine="720"/>
        <w:rPr>
          <w:rFonts w:eastAsia="Courier New" w:cs="Times New Roman"/>
          <w:bCs/>
          <w:szCs w:val="24"/>
        </w:rPr>
      </w:pPr>
      <w:r w:rsidRPr="00B547E1">
        <w:rPr>
          <w:rFonts w:eastAsia="Courier New" w:cs="Times New Roman"/>
          <w:bCs/>
          <w:szCs w:val="24"/>
        </w:rPr>
        <w:t>As Attachment JEZ-1 shows, these numbers are composed of three categories of cost: program costs and overhead, measurement and verification (“M&amp;V”), and utility profits (“shared savings”).</w:t>
      </w:r>
      <w:r w:rsidRPr="00B547E1" w:rsidR="00143E31">
        <w:rPr>
          <w:rFonts w:eastAsia="Courier New" w:cs="Times New Roman"/>
          <w:bCs/>
          <w:szCs w:val="24"/>
        </w:rPr>
        <w:t xml:space="preserve"> </w:t>
      </w:r>
      <w:r w:rsidRPr="00B547E1">
        <w:rPr>
          <w:rFonts w:cs="Times New Roman"/>
          <w:szCs w:val="24"/>
        </w:rPr>
        <w:t>To arrive at the correct budget for 2020, therefore, shared savings must be removed from this calculation, as follows:</w:t>
      </w:r>
      <w:r>
        <w:rPr>
          <w:rStyle w:val="FootnoteReference"/>
          <w:rFonts w:cs="Times New Roman"/>
          <w:szCs w:val="24"/>
        </w:rPr>
        <w:footnoteReference w:id="16"/>
      </w:r>
    </w:p>
    <w:tbl>
      <w:tblPr>
        <w:tblW w:w="6336" w:type="dxa"/>
        <w:tblInd w:w="108" w:type="dxa"/>
        <w:tblLook w:val="04A0"/>
      </w:tblPr>
      <w:tblGrid>
        <w:gridCol w:w="2796"/>
        <w:gridCol w:w="1416"/>
        <w:gridCol w:w="1416"/>
        <w:gridCol w:w="1416"/>
      </w:tblGrid>
      <w:tr w14:paraId="777F5ECF" w14:textId="77777777" w:rsidTr="00734BB7">
        <w:tblPrEx>
          <w:tblW w:w="6336" w:type="dxa"/>
          <w:tblInd w:w="108" w:type="dxa"/>
          <w:tblLook w:val="04A0"/>
        </w:tblPrEx>
        <w:trPr>
          <w:trHeight w:val="300"/>
        </w:trPr>
        <w:tc>
          <w:tcPr>
            <w:tcW w:w="2796" w:type="dxa"/>
            <w:tcBorders>
              <w:top w:val="nil"/>
              <w:left w:val="nil"/>
              <w:bottom w:val="nil"/>
              <w:right w:val="nil"/>
            </w:tcBorders>
            <w:shd w:val="clear" w:color="auto" w:fill="auto"/>
            <w:noWrap/>
            <w:vAlign w:val="bottom"/>
            <w:hideMark/>
          </w:tcPr>
          <w:p w:rsidR="00734BB7" w:rsidRPr="00B547E1" w:rsidP="00734BB7" w14:paraId="201D8BD2" w14:textId="77777777">
            <w:pPr>
              <w:spacing w:after="0" w:line="240" w:lineRule="auto"/>
              <w:rPr>
                <w:rFonts w:eastAsia="Times New Roman" w:cs="Times New Roman"/>
                <w:szCs w:val="24"/>
              </w:rPr>
            </w:pPr>
          </w:p>
        </w:tc>
        <w:tc>
          <w:tcPr>
            <w:tcW w:w="11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BB7" w:rsidRPr="00B547E1" w:rsidP="00734BB7" w14:paraId="2889AFB6" w14:textId="77777777">
            <w:pPr>
              <w:spacing w:after="0" w:line="240" w:lineRule="auto"/>
              <w:jc w:val="center"/>
              <w:rPr>
                <w:rFonts w:eastAsia="Times New Roman" w:cs="Times New Roman"/>
                <w:color w:val="000000"/>
                <w:szCs w:val="24"/>
              </w:rPr>
            </w:pPr>
            <w:r w:rsidRPr="00B547E1">
              <w:rPr>
                <w:rFonts w:eastAsia="Times New Roman" w:cs="Times New Roman"/>
                <w:color w:val="000000"/>
                <w:szCs w:val="24"/>
              </w:rPr>
              <w:t>2017</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34BB7" w:rsidRPr="00B547E1" w:rsidP="00734BB7" w14:paraId="4526AA57" w14:textId="77777777">
            <w:pPr>
              <w:spacing w:after="0" w:line="240" w:lineRule="auto"/>
              <w:jc w:val="center"/>
              <w:rPr>
                <w:rFonts w:eastAsia="Times New Roman" w:cs="Times New Roman"/>
                <w:color w:val="000000"/>
                <w:szCs w:val="24"/>
              </w:rPr>
            </w:pPr>
            <w:r w:rsidRPr="00B547E1">
              <w:rPr>
                <w:rFonts w:eastAsia="Times New Roman" w:cs="Times New Roman"/>
                <w:color w:val="000000"/>
                <w:szCs w:val="24"/>
              </w:rPr>
              <w:t>2018</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734BB7" w:rsidRPr="00B547E1" w:rsidP="00734BB7" w14:paraId="7761A18C" w14:textId="77777777">
            <w:pPr>
              <w:spacing w:after="0" w:line="240" w:lineRule="auto"/>
              <w:jc w:val="center"/>
              <w:rPr>
                <w:rFonts w:eastAsia="Times New Roman" w:cs="Times New Roman"/>
                <w:color w:val="000000"/>
                <w:szCs w:val="24"/>
              </w:rPr>
            </w:pPr>
            <w:r w:rsidRPr="00B547E1">
              <w:rPr>
                <w:rFonts w:eastAsia="Times New Roman" w:cs="Times New Roman"/>
                <w:color w:val="000000"/>
                <w:szCs w:val="24"/>
              </w:rPr>
              <w:t>2019</w:t>
            </w:r>
          </w:p>
        </w:tc>
      </w:tr>
      <w:tr w14:paraId="75A3111F" w14:textId="77777777" w:rsidTr="00734BB7">
        <w:tblPrEx>
          <w:tblW w:w="6336" w:type="dxa"/>
          <w:tblInd w:w="108" w:type="dxa"/>
          <w:tblLook w:val="04A0"/>
        </w:tblPrEx>
        <w:trPr>
          <w:trHeight w:val="300"/>
        </w:trPr>
        <w:tc>
          <w:tcPr>
            <w:tcW w:w="27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BB7" w:rsidRPr="00B547E1" w:rsidP="00734BB7" w14:paraId="6C651B37" w14:textId="77777777">
            <w:pPr>
              <w:spacing w:after="0" w:line="240" w:lineRule="auto"/>
              <w:rPr>
                <w:rFonts w:eastAsia="Times New Roman" w:cs="Times New Roman"/>
                <w:color w:val="000000"/>
                <w:szCs w:val="24"/>
              </w:rPr>
            </w:pPr>
            <w:r w:rsidRPr="00B547E1">
              <w:rPr>
                <w:rFonts w:eastAsia="Times New Roman" w:cs="Times New Roman"/>
                <w:color w:val="000000"/>
                <w:szCs w:val="24"/>
              </w:rPr>
              <w:t>Program Costs &amp; Overhead</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7DD1FC18"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$36,401,147</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7BC1334E"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$35,481,500</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3DDA2AA7"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$35,684,703</w:t>
            </w:r>
          </w:p>
        </w:tc>
      </w:tr>
      <w:tr w14:paraId="73081D35" w14:textId="77777777" w:rsidTr="00734BB7">
        <w:tblPrEx>
          <w:tblW w:w="6336" w:type="dxa"/>
          <w:tblInd w:w="108" w:type="dxa"/>
          <w:tblLook w:val="04A0"/>
        </w:tblPrEx>
        <w:trPr>
          <w:trHeight w:val="300"/>
        </w:trPr>
        <w:tc>
          <w:tcPr>
            <w:tcW w:w="27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734BB7" w14:paraId="0BD4C4E8" w14:textId="77777777">
            <w:pPr>
              <w:spacing w:after="0" w:line="240" w:lineRule="auto"/>
              <w:rPr>
                <w:rFonts w:eastAsia="Times New Roman" w:cs="Times New Roman"/>
                <w:color w:val="000000"/>
                <w:szCs w:val="24"/>
              </w:rPr>
            </w:pPr>
            <w:r w:rsidRPr="00B547E1">
              <w:rPr>
                <w:rFonts w:eastAsia="Times New Roman" w:cs="Times New Roman"/>
                <w:color w:val="000000"/>
                <w:szCs w:val="24"/>
              </w:rPr>
              <w:t>M&amp;V Costs</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7C92A875"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$1,654,393</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215588D7"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$2,012,188</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696F6F27"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$1,259,692</w:t>
            </w:r>
          </w:p>
        </w:tc>
      </w:tr>
      <w:tr w14:paraId="0524CAD8" w14:textId="77777777" w:rsidTr="00734BB7">
        <w:tblPrEx>
          <w:tblW w:w="6336" w:type="dxa"/>
          <w:tblInd w:w="108" w:type="dxa"/>
          <w:tblLook w:val="04A0"/>
        </w:tblPrEx>
        <w:trPr>
          <w:trHeight w:val="300"/>
        </w:trPr>
        <w:tc>
          <w:tcPr>
            <w:tcW w:w="27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734BB7" w14:paraId="195565A1" w14:textId="77777777">
            <w:pPr>
              <w:spacing w:after="0" w:line="240" w:lineRule="auto"/>
              <w:rPr>
                <w:rFonts w:eastAsia="Times New Roman" w:cs="Times New Roman"/>
                <w:color w:val="000000"/>
                <w:szCs w:val="24"/>
              </w:rPr>
            </w:pPr>
            <w:r w:rsidRPr="00B547E1">
              <w:rPr>
                <w:rFonts w:eastAsia="Times New Roman" w:cs="Times New Roman"/>
                <w:color w:val="000000"/>
                <w:szCs w:val="24"/>
              </w:rPr>
              <w:t>Total Budget</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7C289033"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$38,055,540</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3B30F601"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$37,493,688</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605A5968"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$36,944,395</w:t>
            </w:r>
          </w:p>
        </w:tc>
      </w:tr>
      <w:tr w14:paraId="1D047171" w14:textId="77777777" w:rsidTr="00734BB7">
        <w:tblPrEx>
          <w:tblW w:w="6336" w:type="dxa"/>
          <w:tblInd w:w="108" w:type="dxa"/>
          <w:tblLook w:val="04A0"/>
        </w:tblPrEx>
        <w:trPr>
          <w:trHeight w:val="300"/>
        </w:trPr>
        <w:tc>
          <w:tcPr>
            <w:tcW w:w="2796" w:type="dxa"/>
            <w:tcBorders>
              <w:top w:val="nil"/>
              <w:left w:val="nil"/>
              <w:bottom w:val="nil"/>
              <w:right w:val="nil"/>
            </w:tcBorders>
            <w:shd w:val="clear" w:color="auto" w:fill="auto"/>
            <w:noWrap/>
            <w:vAlign w:val="bottom"/>
            <w:hideMark/>
          </w:tcPr>
          <w:p w:rsidR="00734BB7" w:rsidRPr="00B547E1" w:rsidP="00734BB7" w14:paraId="6F866EB2" w14:textId="77777777">
            <w:pPr>
              <w:spacing w:after="0" w:line="240" w:lineRule="auto"/>
              <w:jc w:val="right"/>
              <w:rPr>
                <w:rFonts w:eastAsia="Times New Roman" w:cs="Times New Roman"/>
                <w:color w:val="000000"/>
                <w:szCs w:val="24"/>
              </w:rPr>
            </w:pPr>
          </w:p>
        </w:tc>
        <w:tc>
          <w:tcPr>
            <w:tcW w:w="1180" w:type="dxa"/>
            <w:tcBorders>
              <w:top w:val="nil"/>
              <w:left w:val="nil"/>
              <w:bottom w:val="nil"/>
              <w:right w:val="nil"/>
            </w:tcBorders>
            <w:shd w:val="clear" w:color="auto" w:fill="auto"/>
            <w:noWrap/>
            <w:vAlign w:val="bottom"/>
            <w:hideMark/>
          </w:tcPr>
          <w:p w:rsidR="00734BB7" w:rsidRPr="00B547E1" w:rsidP="00734BB7" w14:paraId="1351A5A4" w14:textId="77777777">
            <w:pPr>
              <w:spacing w:after="0" w:line="240" w:lineRule="auto"/>
              <w:rPr>
                <w:rFonts w:eastAsia="Times New Roman" w:cs="Times New Roman"/>
                <w:szCs w:val="24"/>
              </w:rPr>
            </w:pPr>
          </w:p>
        </w:tc>
        <w:tc>
          <w:tcPr>
            <w:tcW w:w="1180"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734BB7" w14:paraId="3E4C4B89" w14:textId="77777777">
            <w:pPr>
              <w:spacing w:after="0" w:line="240" w:lineRule="auto"/>
              <w:rPr>
                <w:rFonts w:eastAsia="Times New Roman" w:cs="Times New Roman"/>
                <w:color w:val="000000"/>
                <w:szCs w:val="24"/>
              </w:rPr>
            </w:pPr>
            <w:r w:rsidRPr="00B547E1">
              <w:rPr>
                <w:rFonts w:eastAsia="Times New Roman" w:cs="Times New Roman"/>
                <w:color w:val="000000"/>
                <w:szCs w:val="24"/>
              </w:rPr>
              <w:t>Average:</w:t>
            </w:r>
          </w:p>
        </w:tc>
        <w:tc>
          <w:tcPr>
            <w:tcW w:w="1180" w:type="dxa"/>
            <w:tcBorders>
              <w:top w:val="nil"/>
              <w:left w:val="nil"/>
              <w:bottom w:val="single" w:sz="4" w:space="0" w:color="auto"/>
              <w:right w:val="single" w:sz="4" w:space="0" w:color="auto"/>
            </w:tcBorders>
            <w:shd w:val="clear" w:color="auto" w:fill="auto"/>
            <w:noWrap/>
            <w:vAlign w:val="bottom"/>
            <w:hideMark/>
          </w:tcPr>
          <w:p w:rsidR="00734BB7" w:rsidRPr="00B547E1" w:rsidP="00734BB7" w14:paraId="0FFAA123" w14:textId="77777777">
            <w:pPr>
              <w:spacing w:after="0" w:line="240" w:lineRule="auto"/>
              <w:jc w:val="right"/>
              <w:rPr>
                <w:rFonts w:eastAsia="Times New Roman" w:cs="Times New Roman"/>
                <w:b/>
                <w:bCs/>
                <w:color w:val="000000"/>
                <w:szCs w:val="24"/>
              </w:rPr>
            </w:pPr>
            <w:r w:rsidRPr="00B547E1">
              <w:rPr>
                <w:rFonts w:eastAsia="Times New Roman" w:cs="Times New Roman"/>
                <w:b/>
                <w:bCs/>
                <w:color w:val="000000"/>
                <w:szCs w:val="24"/>
              </w:rPr>
              <w:t>$37,497,874</w:t>
            </w:r>
          </w:p>
        </w:tc>
      </w:tr>
    </w:tbl>
    <w:p w:rsidR="00734BB7" w:rsidRPr="00B547E1" w:rsidP="00891283" w14:paraId="4E80B898" w14:textId="77777777">
      <w:pPr>
        <w:spacing w:after="0" w:line="480" w:lineRule="auto"/>
        <w:ind w:firstLine="720"/>
        <w:rPr>
          <w:rFonts w:cs="Times New Roman"/>
          <w:szCs w:val="24"/>
        </w:rPr>
      </w:pPr>
    </w:p>
    <w:p w:rsidR="00734BB7" w:rsidRPr="00B547E1" w:rsidP="00891283" w14:paraId="3B367011" w14:textId="77777777">
      <w:pPr>
        <w:spacing w:after="0" w:line="480" w:lineRule="auto"/>
        <w:ind w:firstLine="720"/>
        <w:rPr>
          <w:rFonts w:cs="Times New Roman"/>
          <w:szCs w:val="24"/>
        </w:rPr>
      </w:pPr>
      <w:r w:rsidRPr="00B547E1">
        <w:rPr>
          <w:rFonts w:cs="Times New Roman"/>
          <w:szCs w:val="24"/>
        </w:rPr>
        <w:t>The 2020 budget should be $37,497,874.</w:t>
      </w:r>
    </w:p>
    <w:p w:rsidR="00EE3B19" w:rsidRPr="00B547E1" w:rsidP="00B547E1" w14:paraId="327615A4" w14:textId="77777777">
      <w:pPr>
        <w:pStyle w:val="Heading2"/>
        <w:rPr>
          <w:rFonts w:eastAsia="Courier New"/>
        </w:rPr>
      </w:pPr>
      <w:bookmarkStart w:id="8" w:name="_Toc26785796"/>
      <w:r w:rsidRPr="00B547E1">
        <w:rPr>
          <w:rFonts w:eastAsia="Courier New"/>
        </w:rPr>
        <w:t>B.</w:t>
      </w:r>
      <w:r w:rsidRPr="00B547E1">
        <w:rPr>
          <w:rFonts w:eastAsia="Courier New"/>
        </w:rPr>
        <w:tab/>
        <w:t>Even if the PUCO does allow Duke to charge customers for shared savings in 2020</w:t>
      </w:r>
      <w:r w:rsidRPr="00B547E1" w:rsidR="00CF312C">
        <w:rPr>
          <w:rFonts w:eastAsia="Courier New"/>
        </w:rPr>
        <w:t xml:space="preserve"> (which it should not)</w:t>
      </w:r>
      <w:r w:rsidRPr="00B547E1">
        <w:rPr>
          <w:rFonts w:eastAsia="Courier New"/>
        </w:rPr>
        <w:t>, Duke’s proposed $46,895,800 budget is inaccurately calculated and should instead be lowered to $44,216,406.</w:t>
      </w:r>
      <w:bookmarkEnd w:id="8"/>
    </w:p>
    <w:p w:rsidR="00EE3B19" w:rsidRPr="00B547E1" w:rsidP="00815194" w14:paraId="772909C5" w14:textId="77777777">
      <w:pPr>
        <w:spacing w:after="0" w:line="480" w:lineRule="auto"/>
        <w:ind w:firstLine="720"/>
        <w:rPr>
          <w:rFonts w:eastAsia="Courier New" w:cs="Times New Roman"/>
          <w:bCs/>
          <w:szCs w:val="24"/>
        </w:rPr>
      </w:pPr>
      <w:r w:rsidRPr="00B547E1">
        <w:rPr>
          <w:rFonts w:eastAsia="Courier New" w:cs="Times New Roman"/>
          <w:bCs/>
          <w:szCs w:val="24"/>
        </w:rPr>
        <w:t>Duke calculated its proposed $46,895,800 budget by taking the average of what Duke says were the approved budgets for 2017, 2018, and 2019.</w:t>
      </w:r>
      <w:r>
        <w:rPr>
          <w:rStyle w:val="FootnoteReference"/>
          <w:rFonts w:eastAsia="Courier New" w:cs="Times New Roman"/>
          <w:bCs/>
          <w:szCs w:val="24"/>
        </w:rPr>
        <w:footnoteReference w:id="17"/>
      </w:r>
      <w:r w:rsidRPr="00B547E1">
        <w:rPr>
          <w:rFonts w:eastAsia="Courier New" w:cs="Times New Roman"/>
          <w:bCs/>
          <w:szCs w:val="24"/>
        </w:rPr>
        <w:t xml:space="preserve"> It is true that under R.C. 4928.66(F)(3), the 2020 budget is “an amount equal to the annual average of the approved budget for all years of the portfolio plan in effect as of the effective date” of House Bill 6. If the PUCO interprets the word “budget” in this statute to include shared savings (which it shouldn’t, as described above)</w:t>
      </w:r>
      <w:r w:rsidRPr="00B547E1" w:rsidR="001D3F88">
        <w:rPr>
          <w:rFonts w:eastAsia="Courier New" w:cs="Times New Roman"/>
          <w:bCs/>
          <w:szCs w:val="24"/>
        </w:rPr>
        <w:t>, then Duke’s proposed $46,895,800 must be</w:t>
      </w:r>
      <w:r w:rsidRPr="00B547E1" w:rsidR="004C7CFF">
        <w:rPr>
          <w:rFonts w:eastAsia="Courier New" w:cs="Times New Roman"/>
          <w:bCs/>
          <w:szCs w:val="24"/>
        </w:rPr>
        <w:t xml:space="preserve"> lowered to account for</w:t>
      </w:r>
      <w:r w:rsidRPr="00B547E1" w:rsidR="00143E31">
        <w:rPr>
          <w:rFonts w:eastAsia="Courier New" w:cs="Times New Roman"/>
          <w:bCs/>
          <w:szCs w:val="24"/>
        </w:rPr>
        <w:t xml:space="preserve"> two errors that Duke made in its calculations.</w:t>
      </w:r>
    </w:p>
    <w:p w:rsidR="00EE3B19" w:rsidRPr="00B547E1" w:rsidP="00815194" w14:paraId="7C68B88F" w14:textId="77777777">
      <w:pPr>
        <w:spacing w:after="0" w:line="480" w:lineRule="auto"/>
        <w:ind w:firstLine="720"/>
        <w:rPr>
          <w:rFonts w:eastAsia="Courier New" w:cs="Times New Roman"/>
          <w:bCs/>
          <w:szCs w:val="24"/>
        </w:rPr>
      </w:pPr>
      <w:r w:rsidRPr="00B547E1">
        <w:rPr>
          <w:rFonts w:eastAsia="Courier New" w:cs="Times New Roman"/>
          <w:bCs/>
          <w:szCs w:val="24"/>
        </w:rPr>
        <w:t xml:space="preserve">First, the PUCO must correct Duke’s math by applying the correct federal income tax rate. </w:t>
      </w:r>
      <w:r w:rsidRPr="00B547E1" w:rsidR="001D3F88">
        <w:rPr>
          <w:rFonts w:eastAsia="Courier New" w:cs="Times New Roman"/>
          <w:bCs/>
          <w:szCs w:val="24"/>
        </w:rPr>
        <w:t>As the PUCO is well aware, the federal corporate income tax rate was lowered to 21% under the Tax Cuts and Jobs Act of 2017 (“TCJA”). Duke’s proposed budget, however, uses the old tax rate, thereby inflating the budget.</w:t>
      </w:r>
    </w:p>
    <w:p w:rsidR="001D3F88" w:rsidRPr="00B547E1" w:rsidP="00734BB7" w14:paraId="587D38AA" w14:textId="77777777">
      <w:pPr>
        <w:spacing w:after="0" w:line="480" w:lineRule="auto"/>
        <w:ind w:firstLine="720"/>
        <w:rPr>
          <w:rFonts w:eastAsia="Courier New" w:cs="Times New Roman"/>
          <w:bCs/>
          <w:szCs w:val="24"/>
        </w:rPr>
      </w:pPr>
      <w:r w:rsidRPr="00B547E1">
        <w:rPr>
          <w:rFonts w:eastAsia="Courier New" w:cs="Times New Roman"/>
          <w:bCs/>
          <w:szCs w:val="24"/>
        </w:rPr>
        <w:t>Duke’s budget numbers derive from Supplemental Attachment JEZ-1, attached to the Supplemental Testimony of Trisha A. Haemmerle, filed in this case on October 14, 2016. As Attachment JEZ-1 shows, these numbers are composed of three categories of cost: program costs and overhead, M&amp;V, and utility profits (“shared savings”). For example, the $47,758,444 amount for 2017 consists of $37,469,679 in program costs, $1,656,393 in M&amp;V costs, and $8,632,371 in shared savings:</w:t>
      </w:r>
    </w:p>
    <w:p w:rsidR="001D3F88" w:rsidRPr="00B547E1" w:rsidP="00815194" w14:paraId="56F3AF31" w14:textId="77777777">
      <w:pPr>
        <w:spacing w:after="0" w:line="480" w:lineRule="auto"/>
        <w:ind w:firstLine="720"/>
        <w:rPr>
          <w:rFonts w:eastAsia="Courier New" w:cs="Times New Roman"/>
          <w:bCs/>
          <w:szCs w:val="24"/>
        </w:rPr>
      </w:pPr>
      <w:r w:rsidRPr="00B547E1">
        <w:rPr>
          <w:rFonts w:cs="Times New Roman"/>
          <w:noProof/>
          <w:szCs w:val="24"/>
        </w:rPr>
        <w:drawing>
          <wp:inline distT="0" distB="0" distL="0" distR="0">
            <wp:extent cx="4686300" cy="15049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41072429" name=""/>
                    <pic:cNvPicPr/>
                  </pic:nvPicPr>
                  <pic:blipFill>
                    <a:blip xmlns:r="http://schemas.openxmlformats.org/officeDocument/2006/relationships" r:embed="rId14"/>
                    <a:stretch>
                      <a:fillRect/>
                    </a:stretch>
                  </pic:blipFill>
                  <pic:spPr>
                    <a:xfrm>
                      <a:off x="0" y="0"/>
                      <a:ext cx="4686300" cy="1504950"/>
                    </a:xfrm>
                    <a:prstGeom prst="rect">
                      <a:avLst/>
                    </a:prstGeom>
                  </pic:spPr>
                </pic:pic>
              </a:graphicData>
            </a:graphic>
          </wp:inline>
        </w:drawing>
      </w:r>
    </w:p>
    <w:p w:rsidR="00EE3B19" w:rsidRPr="00B547E1" w:rsidP="000B4B63" w14:paraId="5D94D80B" w14:textId="77777777">
      <w:pPr>
        <w:keepNext/>
        <w:spacing w:after="0" w:line="480" w:lineRule="auto"/>
        <w:ind w:firstLine="720"/>
        <w:rPr>
          <w:rFonts w:eastAsia="Courier New" w:cs="Times New Roman"/>
          <w:bCs/>
          <w:szCs w:val="24"/>
        </w:rPr>
      </w:pPr>
      <w:r w:rsidRPr="00B547E1">
        <w:rPr>
          <w:rFonts w:eastAsia="Courier New" w:cs="Times New Roman"/>
          <w:bCs/>
          <w:szCs w:val="24"/>
        </w:rPr>
        <w:t>As this image shows, Duke used a 15.6% “utility sharing rate” to calculate the “utility share” of the “shared savings.” This means that Duke calculated the total amount of savings, and Duke gets to keep 15.6% of it (</w:t>
      </w:r>
      <w:r w:rsidRPr="00B547E1">
        <w:rPr>
          <w:rFonts w:eastAsia="Courier New" w:cs="Times New Roman"/>
          <w:bCs/>
          <w:i/>
          <w:iCs/>
          <w:szCs w:val="24"/>
        </w:rPr>
        <w:t>i.e.</w:t>
      </w:r>
      <w:r w:rsidRPr="00B547E1">
        <w:rPr>
          <w:rFonts w:eastAsia="Courier New" w:cs="Times New Roman"/>
          <w:bCs/>
          <w:szCs w:val="24"/>
        </w:rPr>
        <w:t xml:space="preserve">, customers pay 15.6% to Duke). But </w:t>
      </w:r>
      <w:r w:rsidRPr="00B547E1" w:rsidR="00B547E1">
        <w:rPr>
          <w:rFonts w:eastAsia="Courier New" w:cs="Times New Roman"/>
          <w:bCs/>
          <w:szCs w:val="24"/>
        </w:rPr>
        <w:t>t</w:t>
      </w:r>
      <w:r w:rsidRPr="00B547E1">
        <w:rPr>
          <w:rFonts w:eastAsia="Courier New" w:cs="Times New Roman"/>
          <w:bCs/>
          <w:szCs w:val="24"/>
        </w:rPr>
        <w:t>he 15.6% number is based on a tax rate of 36.10%, as also shown on Attachment JEZ-1:</w:t>
      </w:r>
      <w:r>
        <w:rPr>
          <w:rStyle w:val="FootnoteReference"/>
          <w:rFonts w:eastAsia="Courier New" w:cs="Times New Roman"/>
          <w:bCs/>
          <w:szCs w:val="24"/>
        </w:rPr>
        <w:footnoteReference w:id="18"/>
      </w:r>
    </w:p>
    <w:p w:rsidR="009725E2" w:rsidRPr="00B547E1" w:rsidP="00815194" w14:paraId="323117C1" w14:textId="77777777">
      <w:pPr>
        <w:spacing w:after="0" w:line="480" w:lineRule="auto"/>
        <w:ind w:firstLine="720"/>
        <w:rPr>
          <w:rFonts w:eastAsia="Courier New" w:cs="Times New Roman"/>
          <w:bCs/>
          <w:szCs w:val="24"/>
        </w:rPr>
      </w:pPr>
      <w:r w:rsidRPr="00B547E1">
        <w:rPr>
          <w:rFonts w:cs="Times New Roman"/>
          <w:noProof/>
          <w:szCs w:val="24"/>
        </w:rPr>
        <w:drawing>
          <wp:inline distT="0" distB="0" distL="0" distR="0">
            <wp:extent cx="2381250" cy="742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01807066" name=""/>
                    <pic:cNvPicPr/>
                  </pic:nvPicPr>
                  <pic:blipFill>
                    <a:blip xmlns:r="http://schemas.openxmlformats.org/officeDocument/2006/relationships" r:embed="rId15"/>
                    <a:stretch>
                      <a:fillRect/>
                    </a:stretch>
                  </pic:blipFill>
                  <pic:spPr>
                    <a:xfrm>
                      <a:off x="0" y="0"/>
                      <a:ext cx="2381250" cy="742950"/>
                    </a:xfrm>
                    <a:prstGeom prst="rect">
                      <a:avLst/>
                    </a:prstGeom>
                  </pic:spPr>
                </pic:pic>
              </a:graphicData>
            </a:graphic>
          </wp:inline>
        </w:drawing>
      </w:r>
    </w:p>
    <w:p w:rsidR="00143E31" w:rsidRPr="00B547E1" w:rsidP="009725E2" w14:paraId="20692753" w14:textId="77777777">
      <w:pPr>
        <w:spacing w:after="0" w:line="480" w:lineRule="auto"/>
        <w:rPr>
          <w:rFonts w:eastAsia="Courier New" w:cs="Times New Roman"/>
          <w:bCs/>
          <w:szCs w:val="24"/>
        </w:rPr>
      </w:pPr>
      <w:r w:rsidRPr="00B547E1">
        <w:rPr>
          <w:rFonts w:eastAsia="Courier New" w:cs="Times New Roman"/>
          <w:bCs/>
          <w:szCs w:val="24"/>
        </w:rPr>
        <w:t>The problem, however, is the federal income tax rate is now just 21% as a result of the tax cuts and jobs act. Thus, the pre-tax shared savings should be 12.66%, not 15.6%.</w:t>
      </w:r>
      <w:r>
        <w:rPr>
          <w:rStyle w:val="FootnoteReference"/>
          <w:rFonts w:eastAsia="Courier New" w:cs="Times New Roman"/>
          <w:bCs/>
          <w:szCs w:val="24"/>
        </w:rPr>
        <w:footnoteReference w:id="19"/>
      </w:r>
      <w:r w:rsidRPr="00B547E1">
        <w:rPr>
          <w:rFonts w:eastAsia="Courier New" w:cs="Times New Roman"/>
          <w:bCs/>
          <w:szCs w:val="24"/>
        </w:rPr>
        <w:t xml:space="preserve"> Thus, even if we use Duke’s own methodology, the budget is inflated because it is calculated using a tax rate that no longer exists.</w:t>
      </w:r>
    </w:p>
    <w:p w:rsidR="00143E31" w:rsidRPr="00B547E1" w:rsidP="00143E31" w14:paraId="7D165751" w14:textId="77777777">
      <w:pPr>
        <w:spacing w:after="0" w:line="480" w:lineRule="auto"/>
        <w:ind w:firstLine="720"/>
        <w:rPr>
          <w:rFonts w:eastAsia="Courier New" w:cs="Times New Roman"/>
          <w:bCs/>
          <w:szCs w:val="24"/>
        </w:rPr>
      </w:pPr>
      <w:r w:rsidRPr="00B547E1">
        <w:rPr>
          <w:rFonts w:eastAsia="Courier New" w:cs="Times New Roman"/>
          <w:bCs/>
          <w:szCs w:val="24"/>
        </w:rPr>
        <w:t>Duke’s calculation also includes a second mistake, as shown in the following table, which is from Attachment JEZ-1:</w:t>
      </w:r>
    </w:p>
    <w:p w:rsidR="00143E31" w:rsidRPr="00B547E1" w:rsidP="00143E31" w14:paraId="5D20B928" w14:textId="77777777">
      <w:pPr>
        <w:spacing w:after="0" w:line="480" w:lineRule="auto"/>
        <w:rPr>
          <w:rFonts w:eastAsia="Courier New" w:cs="Times New Roman"/>
          <w:bCs/>
          <w:szCs w:val="24"/>
        </w:rPr>
      </w:pPr>
      <w:r w:rsidRPr="00B547E1">
        <w:rPr>
          <w:rFonts w:cs="Times New Roman"/>
          <w:noProof/>
          <w:szCs w:val="24"/>
        </w:rPr>
        <w:drawing>
          <wp:inline distT="0" distB="0" distL="0" distR="0">
            <wp:extent cx="5486400" cy="1394460"/>
            <wp:effectExtent l="0" t="0" r="0" b="0"/>
            <wp:docPr id="97422111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10350582" name=""/>
                    <pic:cNvPicPr/>
                  </pic:nvPicPr>
                  <pic:blipFill>
                    <a:blip xmlns:r="http://schemas.openxmlformats.org/officeDocument/2006/relationships" r:embed="rId16"/>
                    <a:stretch>
                      <a:fillRect/>
                    </a:stretch>
                  </pic:blipFill>
                  <pic:spPr>
                    <a:xfrm>
                      <a:off x="0" y="0"/>
                      <a:ext cx="5486400" cy="1394460"/>
                    </a:xfrm>
                    <a:prstGeom prst="rect">
                      <a:avLst/>
                    </a:prstGeom>
                  </pic:spPr>
                </pic:pic>
              </a:graphicData>
            </a:graphic>
          </wp:inline>
        </w:drawing>
      </w:r>
    </w:p>
    <w:p w:rsidR="00143E31" w:rsidRPr="00B547E1" w:rsidP="009725E2" w14:paraId="4B6C21C0" w14:textId="77777777">
      <w:pPr>
        <w:spacing w:after="0" w:line="480" w:lineRule="auto"/>
        <w:rPr>
          <w:rFonts w:eastAsia="Courier New" w:cs="Times New Roman"/>
          <w:bCs/>
          <w:szCs w:val="24"/>
        </w:rPr>
      </w:pPr>
      <w:r w:rsidRPr="00B547E1">
        <w:rPr>
          <w:rFonts w:eastAsia="Courier New" w:cs="Times New Roman"/>
          <w:bCs/>
          <w:szCs w:val="24"/>
        </w:rPr>
        <w:t>Note that in the second line, the program costs and overhead for 2017 (which is under the number 1) are $36,401,147. But when calculating the amount to be recovered from customers, Duke incorrectly used a higher number, $37,469,679. There is no explanation for this higher number. Duke made the same error for 2018 and 2019. This error also needs to be corrected to arrive at the appropriate budget.</w:t>
      </w:r>
    </w:p>
    <w:p w:rsidR="00143E31" w:rsidRPr="00B547E1" w:rsidP="00143E31" w14:paraId="0E57A403" w14:textId="77777777">
      <w:pPr>
        <w:spacing w:after="0" w:line="480" w:lineRule="auto"/>
        <w:ind w:firstLine="720"/>
        <w:rPr>
          <w:rFonts w:eastAsia="Courier New" w:cs="Times New Roman"/>
          <w:bCs/>
          <w:szCs w:val="24"/>
        </w:rPr>
      </w:pPr>
      <w:r w:rsidRPr="00B547E1">
        <w:rPr>
          <w:rFonts w:eastAsia="Courier New" w:cs="Times New Roman"/>
          <w:bCs/>
          <w:szCs w:val="24"/>
        </w:rPr>
        <w:t>Using Duke’s methodology</w:t>
      </w:r>
      <w:r w:rsidRPr="00B547E1" w:rsidR="00734BB7">
        <w:rPr>
          <w:rFonts w:eastAsia="Courier New" w:cs="Times New Roman"/>
          <w:bCs/>
          <w:szCs w:val="24"/>
        </w:rPr>
        <w:t xml:space="preserve"> (including </w:t>
      </w:r>
      <w:r w:rsidRPr="00B547E1">
        <w:rPr>
          <w:rFonts w:eastAsia="Courier New" w:cs="Times New Roman"/>
          <w:bCs/>
          <w:szCs w:val="24"/>
        </w:rPr>
        <w:t xml:space="preserve">charges for </w:t>
      </w:r>
      <w:r w:rsidRPr="00B547E1" w:rsidR="00734BB7">
        <w:rPr>
          <w:rFonts w:eastAsia="Courier New" w:cs="Times New Roman"/>
          <w:bCs/>
          <w:szCs w:val="24"/>
        </w:rPr>
        <w:t xml:space="preserve">shared savings, </w:t>
      </w:r>
      <w:r w:rsidRPr="00B547E1" w:rsidR="00DA7501">
        <w:rPr>
          <w:rFonts w:eastAsia="Courier New" w:cs="Times New Roman"/>
          <w:bCs/>
          <w:szCs w:val="24"/>
        </w:rPr>
        <w:t>which OCC does not agree with</w:t>
      </w:r>
      <w:r w:rsidRPr="00B547E1" w:rsidR="00734BB7">
        <w:rPr>
          <w:rFonts w:eastAsia="Courier New" w:cs="Times New Roman"/>
          <w:bCs/>
          <w:szCs w:val="24"/>
        </w:rPr>
        <w:t xml:space="preserve"> as explained above)</w:t>
      </w:r>
      <w:r w:rsidRPr="00B547E1">
        <w:rPr>
          <w:rFonts w:eastAsia="Courier New" w:cs="Times New Roman"/>
          <w:bCs/>
          <w:szCs w:val="24"/>
        </w:rPr>
        <w:t>, but correcting for these errors (wrong tax rate and unexplained increase in program costs and overhead),</w:t>
      </w:r>
      <w:r w:rsidRPr="00B547E1" w:rsidR="00734BB7">
        <w:rPr>
          <w:rFonts w:eastAsia="Courier New" w:cs="Times New Roman"/>
          <w:bCs/>
          <w:szCs w:val="24"/>
        </w:rPr>
        <w:t xml:space="preserve"> t</w:t>
      </w:r>
      <w:r w:rsidRPr="00B547E1">
        <w:rPr>
          <w:rFonts w:eastAsia="Courier New" w:cs="Times New Roman"/>
          <w:bCs/>
          <w:szCs w:val="24"/>
        </w:rPr>
        <w:t>he</w:t>
      </w:r>
      <w:r w:rsidRPr="00B547E1" w:rsidR="00DA7501">
        <w:rPr>
          <w:rFonts w:eastAsia="Courier New" w:cs="Times New Roman"/>
          <w:bCs/>
          <w:szCs w:val="24"/>
        </w:rPr>
        <w:t xml:space="preserve"> </w:t>
      </w:r>
      <w:r w:rsidRPr="00B547E1">
        <w:rPr>
          <w:rFonts w:eastAsia="Courier New" w:cs="Times New Roman"/>
          <w:bCs/>
          <w:szCs w:val="24"/>
        </w:rPr>
        <w:t>2020 budget would be $44,216,406, as shown here:</w:t>
      </w:r>
      <w:r w:rsidRPr="00B547E1" w:rsidR="000B4B63">
        <w:rPr>
          <w:rFonts w:eastAsia="Courier New" w:cs="Times New Roman"/>
          <w:bCs/>
          <w:szCs w:val="24"/>
        </w:rPr>
        <w:t xml:space="preserve"> </w:t>
      </w:r>
    </w:p>
    <w:tbl>
      <w:tblPr>
        <w:tblW w:w="7589" w:type="dxa"/>
        <w:tblInd w:w="108" w:type="dxa"/>
        <w:tblLook w:val="04A0"/>
      </w:tblPr>
      <w:tblGrid>
        <w:gridCol w:w="3596"/>
        <w:gridCol w:w="1416"/>
        <w:gridCol w:w="1416"/>
        <w:gridCol w:w="1416"/>
      </w:tblGrid>
      <w:tr w14:paraId="40A4B0AF" w14:textId="77777777" w:rsidTr="00143E31">
        <w:tblPrEx>
          <w:tblW w:w="7589" w:type="dxa"/>
          <w:tblInd w:w="108" w:type="dxa"/>
          <w:tblLook w:val="04A0"/>
        </w:tblPrEx>
        <w:trPr>
          <w:trHeight w:val="300"/>
        </w:trPr>
        <w:tc>
          <w:tcPr>
            <w:tcW w:w="3596" w:type="dxa"/>
            <w:tcBorders>
              <w:top w:val="nil"/>
              <w:left w:val="nil"/>
              <w:bottom w:val="nil"/>
              <w:right w:val="nil"/>
            </w:tcBorders>
            <w:shd w:val="clear" w:color="auto" w:fill="auto"/>
            <w:noWrap/>
            <w:vAlign w:val="bottom"/>
            <w:hideMark/>
          </w:tcPr>
          <w:p w:rsidR="00734BB7" w:rsidRPr="00B547E1" w:rsidP="00815194" w14:paraId="533BB1B9" w14:textId="77777777">
            <w:pPr>
              <w:spacing w:after="0" w:line="240" w:lineRule="auto"/>
              <w:rPr>
                <w:rFonts w:eastAsia="Times New Roman" w:cs="Times New Roman"/>
                <w:szCs w:val="24"/>
              </w:rPr>
            </w:pPr>
          </w:p>
        </w:tc>
        <w:tc>
          <w:tcPr>
            <w:tcW w:w="13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BB7" w:rsidRPr="00B547E1" w:rsidP="00815194" w14:paraId="341DED9C" w14:textId="77777777">
            <w:pPr>
              <w:spacing w:after="0" w:line="240" w:lineRule="auto"/>
              <w:jc w:val="center"/>
              <w:rPr>
                <w:rFonts w:eastAsia="Times New Roman" w:cs="Times New Roman"/>
                <w:color w:val="000000"/>
                <w:szCs w:val="24"/>
              </w:rPr>
            </w:pPr>
            <w:r w:rsidRPr="00B547E1">
              <w:rPr>
                <w:rFonts w:eastAsia="Times New Roman" w:cs="Times New Roman"/>
                <w:color w:val="000000"/>
                <w:szCs w:val="24"/>
              </w:rPr>
              <w:t>2017</w:t>
            </w:r>
          </w:p>
        </w:tc>
        <w:tc>
          <w:tcPr>
            <w:tcW w:w="1330" w:type="dxa"/>
            <w:tcBorders>
              <w:top w:val="single" w:sz="4" w:space="0" w:color="auto"/>
              <w:left w:val="nil"/>
              <w:bottom w:val="single" w:sz="4" w:space="0" w:color="auto"/>
              <w:right w:val="single" w:sz="4" w:space="0" w:color="auto"/>
            </w:tcBorders>
            <w:shd w:val="clear" w:color="auto" w:fill="auto"/>
            <w:noWrap/>
            <w:vAlign w:val="bottom"/>
            <w:hideMark/>
          </w:tcPr>
          <w:p w:rsidR="00734BB7" w:rsidRPr="00B547E1" w:rsidP="00815194" w14:paraId="7B31469F" w14:textId="77777777">
            <w:pPr>
              <w:spacing w:after="0" w:line="240" w:lineRule="auto"/>
              <w:jc w:val="center"/>
              <w:rPr>
                <w:rFonts w:eastAsia="Times New Roman" w:cs="Times New Roman"/>
                <w:color w:val="000000"/>
                <w:szCs w:val="24"/>
              </w:rPr>
            </w:pPr>
            <w:r w:rsidRPr="00B547E1">
              <w:rPr>
                <w:rFonts w:eastAsia="Times New Roman" w:cs="Times New Roman"/>
                <w:color w:val="000000"/>
                <w:szCs w:val="24"/>
              </w:rPr>
              <w:t>2018</w:t>
            </w:r>
          </w:p>
        </w:tc>
        <w:tc>
          <w:tcPr>
            <w:tcW w:w="1333" w:type="dxa"/>
            <w:tcBorders>
              <w:top w:val="single" w:sz="4" w:space="0" w:color="auto"/>
              <w:left w:val="nil"/>
              <w:bottom w:val="single" w:sz="4" w:space="0" w:color="auto"/>
              <w:right w:val="single" w:sz="4" w:space="0" w:color="auto"/>
            </w:tcBorders>
            <w:shd w:val="clear" w:color="auto" w:fill="auto"/>
            <w:noWrap/>
            <w:vAlign w:val="bottom"/>
            <w:hideMark/>
          </w:tcPr>
          <w:p w:rsidR="00734BB7" w:rsidRPr="00B547E1" w:rsidP="00815194" w14:paraId="2C6F3082" w14:textId="77777777">
            <w:pPr>
              <w:spacing w:after="0" w:line="240" w:lineRule="auto"/>
              <w:jc w:val="center"/>
              <w:rPr>
                <w:rFonts w:eastAsia="Times New Roman" w:cs="Times New Roman"/>
                <w:color w:val="000000"/>
                <w:szCs w:val="24"/>
              </w:rPr>
            </w:pPr>
            <w:r w:rsidRPr="00B547E1">
              <w:rPr>
                <w:rFonts w:eastAsia="Times New Roman" w:cs="Times New Roman"/>
                <w:color w:val="000000"/>
                <w:szCs w:val="24"/>
              </w:rPr>
              <w:t>2019</w:t>
            </w:r>
          </w:p>
        </w:tc>
      </w:tr>
      <w:tr w14:paraId="0C85CB32" w14:textId="77777777" w:rsidTr="00143E31">
        <w:tblPrEx>
          <w:tblW w:w="7589" w:type="dxa"/>
          <w:tblInd w:w="108" w:type="dxa"/>
          <w:tblLook w:val="04A0"/>
        </w:tblPrEx>
        <w:trPr>
          <w:trHeight w:val="300"/>
        </w:trPr>
        <w:tc>
          <w:tcPr>
            <w:tcW w:w="359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34BB7" w:rsidRPr="00B547E1" w:rsidP="00815194" w14:paraId="091B1207" w14:textId="77777777">
            <w:pPr>
              <w:spacing w:after="0" w:line="240" w:lineRule="auto"/>
              <w:rPr>
                <w:rFonts w:eastAsia="Times New Roman" w:cs="Times New Roman"/>
                <w:color w:val="000000"/>
                <w:szCs w:val="24"/>
              </w:rPr>
            </w:pPr>
            <w:r w:rsidRPr="00B547E1">
              <w:rPr>
                <w:rFonts w:eastAsia="Times New Roman" w:cs="Times New Roman"/>
                <w:color w:val="000000"/>
                <w:szCs w:val="24"/>
              </w:rPr>
              <w:t>Total Avoided Costs</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6E8F51F5"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$93,214,666</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0B4825C9"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$89,252,884</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69DE3435"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$89,232,972</w:t>
            </w:r>
          </w:p>
        </w:tc>
      </w:tr>
      <w:tr w14:paraId="49D0BB9A"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03D0ECE6" w14:textId="77777777">
            <w:pPr>
              <w:spacing w:after="0" w:line="240" w:lineRule="auto"/>
              <w:rPr>
                <w:rFonts w:eastAsia="Times New Roman" w:cs="Times New Roman"/>
                <w:color w:val="000000"/>
                <w:szCs w:val="24"/>
              </w:rPr>
            </w:pPr>
            <w:r w:rsidRPr="00B547E1">
              <w:rPr>
                <w:rFonts w:eastAsia="Times New Roman" w:cs="Times New Roman"/>
                <w:color w:val="000000"/>
                <w:szCs w:val="24"/>
              </w:rPr>
              <w:t>Program Costs &amp; Overhead</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011CDBB8"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$36,401,147</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4B25E31B"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$35,481,500</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078664AB"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$35,684,703</w:t>
            </w:r>
          </w:p>
        </w:tc>
      </w:tr>
      <w:tr w14:paraId="344141AB"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67B9E7B9" w14:textId="77777777">
            <w:pPr>
              <w:spacing w:after="0" w:line="240" w:lineRule="auto"/>
              <w:rPr>
                <w:rFonts w:eastAsia="Times New Roman" w:cs="Times New Roman"/>
                <w:color w:val="000000"/>
                <w:szCs w:val="24"/>
              </w:rPr>
            </w:pPr>
            <w:r w:rsidRPr="00B547E1">
              <w:rPr>
                <w:rFonts w:eastAsia="Times New Roman" w:cs="Times New Roman"/>
                <w:color w:val="000000"/>
                <w:szCs w:val="24"/>
              </w:rPr>
              <w:t>M&amp;V Costs</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61FB89CF"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$1,654,393</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09E2AFBB"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$2,012,188</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587C5121"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$1,259,692</w:t>
            </w:r>
          </w:p>
        </w:tc>
      </w:tr>
      <w:tr w14:paraId="76B4183A"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46811F6D" w14:textId="77777777">
            <w:pPr>
              <w:spacing w:after="0" w:line="240" w:lineRule="auto"/>
              <w:rPr>
                <w:rFonts w:eastAsia="Times New Roman" w:cs="Times New Roman"/>
                <w:color w:val="000000"/>
                <w:szCs w:val="24"/>
              </w:rPr>
            </w:pPr>
            <w:r w:rsidRPr="00B547E1">
              <w:rPr>
                <w:rFonts w:eastAsia="Times New Roman" w:cs="Times New Roman"/>
                <w:color w:val="000000"/>
                <w:szCs w:val="24"/>
              </w:rPr>
              <w:t>Shared Savings</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629F7E6C"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$55,159,126</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1BC1EFAB"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$51,759,197</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7A144550"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$52,288,578</w:t>
            </w:r>
          </w:p>
        </w:tc>
      </w:tr>
      <w:tr w14:paraId="017296C3"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7612672C" w14:textId="77777777">
            <w:pPr>
              <w:spacing w:after="0" w:line="240" w:lineRule="auto"/>
              <w:rPr>
                <w:rFonts w:eastAsia="Times New Roman" w:cs="Times New Roman"/>
                <w:color w:val="000000"/>
                <w:szCs w:val="24"/>
              </w:rPr>
            </w:pPr>
            <w:r w:rsidRPr="00B547E1">
              <w:rPr>
                <w:rFonts w:eastAsia="Times New Roman" w:cs="Times New Roman"/>
                <w:color w:val="000000"/>
                <w:szCs w:val="24"/>
              </w:rPr>
              <w:t>Utility Sharing Rate</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3B0CF7CC"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12.66%</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7B8B2DD7"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12.66%</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256A7E0E"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12.66%</w:t>
            </w:r>
          </w:p>
        </w:tc>
      </w:tr>
      <w:tr w14:paraId="7B85155B"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240E68BE" w14:textId="77777777">
            <w:pPr>
              <w:spacing w:after="0" w:line="240" w:lineRule="auto"/>
              <w:rPr>
                <w:rFonts w:eastAsia="Times New Roman" w:cs="Times New Roman"/>
                <w:color w:val="000000"/>
                <w:szCs w:val="24"/>
              </w:rPr>
            </w:pPr>
            <w:r w:rsidRPr="00B547E1">
              <w:rPr>
                <w:rFonts w:eastAsia="Times New Roman" w:cs="Times New Roman"/>
                <w:color w:val="000000"/>
                <w:szCs w:val="24"/>
              </w:rPr>
              <w:t>Utility Share</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57D519D0"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$6,983,145</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254C2F45"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$6,552,714</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76BE3F08"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$6,619,734</w:t>
            </w:r>
          </w:p>
        </w:tc>
      </w:tr>
      <w:tr w14:paraId="4CC4876F"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3B914336" w14:textId="77777777">
            <w:pPr>
              <w:spacing w:after="0" w:line="240" w:lineRule="auto"/>
              <w:rPr>
                <w:rFonts w:eastAsia="Times New Roman" w:cs="Times New Roman"/>
                <w:color w:val="000000"/>
                <w:szCs w:val="24"/>
              </w:rPr>
            </w:pPr>
            <w:r w:rsidRPr="00B547E1">
              <w:rPr>
                <w:rFonts w:eastAsia="Times New Roman" w:cs="Times New Roman"/>
                <w:color w:val="000000"/>
                <w:szCs w:val="24"/>
              </w:rPr>
              <w:t>Program Costs &amp; Overhead Recovery</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4ECC51E6"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$36,401,147</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0F6EB1E2"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$35,481,500</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24AAEFF6"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$35,684,703</w:t>
            </w:r>
          </w:p>
        </w:tc>
      </w:tr>
      <w:tr w14:paraId="33100868"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2A8C89B6" w14:textId="77777777">
            <w:pPr>
              <w:spacing w:after="0" w:line="240" w:lineRule="auto"/>
              <w:rPr>
                <w:rFonts w:eastAsia="Times New Roman" w:cs="Times New Roman"/>
                <w:color w:val="000000"/>
                <w:szCs w:val="24"/>
              </w:rPr>
            </w:pPr>
            <w:r w:rsidRPr="00B547E1">
              <w:rPr>
                <w:rFonts w:eastAsia="Times New Roman" w:cs="Times New Roman"/>
                <w:color w:val="000000"/>
                <w:szCs w:val="24"/>
              </w:rPr>
              <w:t>M&amp;V Cost Recovery</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6C8BE388"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$1,654,393</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4DA4BF22"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$2,012,188</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44455664"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$1,259,692</w:t>
            </w:r>
          </w:p>
        </w:tc>
      </w:tr>
      <w:tr w14:paraId="2B912C82" w14:textId="77777777" w:rsidTr="00143E31">
        <w:tblPrEx>
          <w:tblW w:w="7589" w:type="dxa"/>
          <w:tblInd w:w="108" w:type="dxa"/>
          <w:tblLook w:val="04A0"/>
        </w:tblPrEx>
        <w:trPr>
          <w:trHeight w:val="300"/>
        </w:trPr>
        <w:tc>
          <w:tcPr>
            <w:tcW w:w="3596"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091F3B9A" w14:textId="77777777">
            <w:pPr>
              <w:spacing w:after="0" w:line="240" w:lineRule="auto"/>
              <w:rPr>
                <w:rFonts w:eastAsia="Times New Roman" w:cs="Times New Roman"/>
                <w:color w:val="000000"/>
                <w:szCs w:val="24"/>
              </w:rPr>
            </w:pPr>
            <w:r w:rsidRPr="00B547E1">
              <w:rPr>
                <w:rFonts w:eastAsia="Times New Roman" w:cs="Times New Roman"/>
                <w:color w:val="000000"/>
                <w:szCs w:val="24"/>
              </w:rPr>
              <w:t>Total Revenue Requirement</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0E3E30CE"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$45,038,685</w:t>
            </w:r>
          </w:p>
        </w:tc>
        <w:tc>
          <w:tcPr>
            <w:tcW w:w="1330"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02E3089C"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$44,046,402</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5ACDFDDF" w14:textId="77777777">
            <w:pPr>
              <w:spacing w:after="0" w:line="240" w:lineRule="auto"/>
              <w:jc w:val="right"/>
              <w:rPr>
                <w:rFonts w:eastAsia="Times New Roman" w:cs="Times New Roman"/>
                <w:color w:val="000000"/>
                <w:szCs w:val="24"/>
              </w:rPr>
            </w:pPr>
            <w:r w:rsidRPr="00B547E1">
              <w:rPr>
                <w:rFonts w:eastAsia="Times New Roman" w:cs="Times New Roman"/>
                <w:color w:val="000000"/>
                <w:szCs w:val="24"/>
              </w:rPr>
              <w:t>$43,564,129</w:t>
            </w:r>
          </w:p>
        </w:tc>
      </w:tr>
      <w:tr w14:paraId="0CDCC572" w14:textId="77777777" w:rsidTr="00143E31">
        <w:tblPrEx>
          <w:tblW w:w="7589" w:type="dxa"/>
          <w:tblInd w:w="108" w:type="dxa"/>
          <w:tblLook w:val="04A0"/>
        </w:tblPrEx>
        <w:trPr>
          <w:trHeight w:val="300"/>
        </w:trPr>
        <w:tc>
          <w:tcPr>
            <w:tcW w:w="3596" w:type="dxa"/>
            <w:tcBorders>
              <w:top w:val="nil"/>
              <w:left w:val="nil"/>
              <w:bottom w:val="nil"/>
              <w:right w:val="nil"/>
            </w:tcBorders>
            <w:shd w:val="clear" w:color="auto" w:fill="auto"/>
            <w:noWrap/>
            <w:vAlign w:val="bottom"/>
            <w:hideMark/>
          </w:tcPr>
          <w:p w:rsidR="00734BB7" w:rsidRPr="00B547E1" w:rsidP="00815194" w14:paraId="7B652F32" w14:textId="77777777">
            <w:pPr>
              <w:spacing w:after="0" w:line="240" w:lineRule="auto"/>
              <w:jc w:val="right"/>
              <w:rPr>
                <w:rFonts w:eastAsia="Times New Roman" w:cs="Times New Roman"/>
                <w:color w:val="000000"/>
                <w:szCs w:val="24"/>
              </w:rPr>
            </w:pPr>
          </w:p>
        </w:tc>
        <w:tc>
          <w:tcPr>
            <w:tcW w:w="1330" w:type="dxa"/>
            <w:tcBorders>
              <w:top w:val="nil"/>
              <w:left w:val="nil"/>
              <w:bottom w:val="nil"/>
              <w:right w:val="nil"/>
            </w:tcBorders>
            <w:shd w:val="clear" w:color="auto" w:fill="auto"/>
            <w:noWrap/>
            <w:vAlign w:val="bottom"/>
            <w:hideMark/>
          </w:tcPr>
          <w:p w:rsidR="00734BB7" w:rsidRPr="00B547E1" w:rsidP="00815194" w14:paraId="73D0854D" w14:textId="77777777">
            <w:pPr>
              <w:spacing w:after="0" w:line="240" w:lineRule="auto"/>
              <w:rPr>
                <w:rFonts w:eastAsia="Times New Roman" w:cs="Times New Roman"/>
                <w:szCs w:val="24"/>
              </w:rPr>
            </w:pPr>
          </w:p>
        </w:tc>
        <w:tc>
          <w:tcPr>
            <w:tcW w:w="1330" w:type="dxa"/>
            <w:tcBorders>
              <w:top w:val="nil"/>
              <w:left w:val="single" w:sz="4" w:space="0" w:color="auto"/>
              <w:bottom w:val="single" w:sz="4" w:space="0" w:color="auto"/>
              <w:right w:val="single" w:sz="4" w:space="0" w:color="auto"/>
            </w:tcBorders>
            <w:shd w:val="clear" w:color="auto" w:fill="auto"/>
            <w:noWrap/>
            <w:vAlign w:val="bottom"/>
            <w:hideMark/>
          </w:tcPr>
          <w:p w:rsidR="00734BB7" w:rsidRPr="00B547E1" w:rsidP="00815194" w14:paraId="2196C9CB" w14:textId="77777777">
            <w:pPr>
              <w:spacing w:after="0" w:line="240" w:lineRule="auto"/>
              <w:rPr>
                <w:rFonts w:eastAsia="Times New Roman" w:cs="Times New Roman"/>
                <w:color w:val="000000"/>
                <w:szCs w:val="24"/>
              </w:rPr>
            </w:pPr>
            <w:r w:rsidRPr="00B547E1">
              <w:rPr>
                <w:rFonts w:eastAsia="Times New Roman" w:cs="Times New Roman"/>
                <w:color w:val="000000"/>
                <w:szCs w:val="24"/>
              </w:rPr>
              <w:t>Average:</w:t>
            </w:r>
          </w:p>
        </w:tc>
        <w:tc>
          <w:tcPr>
            <w:tcW w:w="1333" w:type="dxa"/>
            <w:tcBorders>
              <w:top w:val="nil"/>
              <w:left w:val="nil"/>
              <w:bottom w:val="single" w:sz="4" w:space="0" w:color="auto"/>
              <w:right w:val="single" w:sz="4" w:space="0" w:color="auto"/>
            </w:tcBorders>
            <w:shd w:val="clear" w:color="auto" w:fill="auto"/>
            <w:noWrap/>
            <w:vAlign w:val="bottom"/>
            <w:hideMark/>
          </w:tcPr>
          <w:p w:rsidR="00734BB7" w:rsidRPr="00B547E1" w:rsidP="00815194" w14:paraId="30C83D19" w14:textId="77777777">
            <w:pPr>
              <w:spacing w:after="0" w:line="240" w:lineRule="auto"/>
              <w:jc w:val="right"/>
              <w:rPr>
                <w:rFonts w:eastAsia="Times New Roman" w:cs="Times New Roman"/>
                <w:b/>
                <w:bCs/>
                <w:color w:val="000000"/>
                <w:szCs w:val="24"/>
              </w:rPr>
            </w:pPr>
            <w:r w:rsidRPr="00B547E1">
              <w:rPr>
                <w:rFonts w:eastAsia="Times New Roman" w:cs="Times New Roman"/>
                <w:b/>
                <w:bCs/>
                <w:color w:val="000000"/>
                <w:szCs w:val="24"/>
              </w:rPr>
              <w:t>$44,216,406</w:t>
            </w:r>
          </w:p>
        </w:tc>
      </w:tr>
    </w:tbl>
    <w:p w:rsidR="001D3F88" w:rsidRPr="00B547E1" w:rsidP="00815194" w14:paraId="0C8F6655" w14:textId="77777777">
      <w:pPr>
        <w:spacing w:after="0" w:line="480" w:lineRule="auto"/>
        <w:ind w:firstLine="720"/>
        <w:rPr>
          <w:rFonts w:eastAsia="Courier New" w:cs="Times New Roman"/>
          <w:bCs/>
          <w:szCs w:val="24"/>
        </w:rPr>
      </w:pPr>
    </w:p>
    <w:p w:rsidR="001D3F88" w:rsidRPr="00B547E1" w:rsidP="00B547E1" w14:paraId="74557C07" w14:textId="77777777">
      <w:pPr>
        <w:pStyle w:val="Heading1"/>
        <w:rPr>
          <w:rFonts w:eastAsia="Courier New"/>
        </w:rPr>
      </w:pPr>
      <w:bookmarkStart w:id="9" w:name="_Toc26785797"/>
      <w:r w:rsidRPr="00B547E1">
        <w:rPr>
          <w:rFonts w:eastAsia="Courier New"/>
        </w:rPr>
        <w:t>II.</w:t>
      </w:r>
      <w:r w:rsidRPr="00B547E1">
        <w:rPr>
          <w:rFonts w:eastAsia="Courier New"/>
        </w:rPr>
        <w:tab/>
      </w:r>
      <w:r w:rsidRPr="00B547E1" w:rsidR="00904413">
        <w:rPr>
          <w:rFonts w:eastAsia="Courier New"/>
        </w:rPr>
        <w:t>REQUEST FOR EXPEDITED TREATMENT</w:t>
      </w:r>
      <w:bookmarkEnd w:id="9"/>
    </w:p>
    <w:p w:rsidR="00904413" w:rsidRPr="00B547E1" w:rsidP="00815194" w14:paraId="0E841EBE" w14:textId="77777777">
      <w:pPr>
        <w:spacing w:after="0" w:line="480" w:lineRule="auto"/>
        <w:ind w:firstLine="720"/>
        <w:rPr>
          <w:rFonts w:eastAsia="Courier New" w:cs="Times New Roman"/>
          <w:bCs/>
          <w:szCs w:val="24"/>
        </w:rPr>
      </w:pPr>
      <w:bookmarkStart w:id="10" w:name="_Hlk26779664"/>
      <w:r w:rsidRPr="00B547E1">
        <w:rPr>
          <w:rFonts w:eastAsia="Courier New" w:cs="Times New Roman"/>
          <w:bCs/>
          <w:szCs w:val="24"/>
        </w:rPr>
        <w:t>The PUCO should grant this motion on an expedited basis. Under House Bill 6 (R.C. 4928.66(F)), Duke’s 2019 energy efficiency portfolio will be continued on January 1, 2020</w:t>
      </w:r>
      <w:r w:rsidRPr="00B547E1" w:rsidR="00B44B99">
        <w:rPr>
          <w:rFonts w:eastAsia="Courier New" w:cs="Times New Roman"/>
          <w:bCs/>
          <w:szCs w:val="24"/>
        </w:rPr>
        <w:t>. As explained above, the PUCO has the authority to modify the portfolio by eliminating charges to customers for utility profits. To allow the PUCO an opportunity to rule on this motion at its December 18, 2019 meeting (presumably the last meeting before 2020), OCC respectfully requests that this motion be heard on an expedited basis.</w:t>
      </w:r>
      <w:bookmarkEnd w:id="10"/>
    </w:p>
    <w:p w:rsidR="00B547E1" w:rsidRPr="00B547E1" w:rsidP="00B547E1" w14:paraId="7D9C1EC9" w14:textId="77777777">
      <w:pPr>
        <w:spacing w:after="0" w:line="240" w:lineRule="auto"/>
        <w:ind w:firstLine="720"/>
        <w:rPr>
          <w:rFonts w:eastAsia="Courier New" w:cs="Times New Roman"/>
          <w:bCs/>
          <w:szCs w:val="24"/>
        </w:rPr>
      </w:pPr>
    </w:p>
    <w:p w:rsidR="00904413" w:rsidRPr="00B547E1" w:rsidP="00B547E1" w14:paraId="6955F4F6" w14:textId="77777777">
      <w:pPr>
        <w:pStyle w:val="Heading1"/>
        <w:rPr>
          <w:rFonts w:eastAsia="Courier New"/>
        </w:rPr>
      </w:pPr>
      <w:bookmarkStart w:id="11" w:name="_Toc26785798"/>
      <w:r w:rsidRPr="00B547E1">
        <w:rPr>
          <w:rFonts w:eastAsia="Courier New"/>
        </w:rPr>
        <w:t>III.</w:t>
      </w:r>
      <w:r w:rsidRPr="00B547E1">
        <w:rPr>
          <w:rFonts w:eastAsia="Courier New"/>
        </w:rPr>
        <w:tab/>
        <w:t>CONCLUSION</w:t>
      </w:r>
      <w:bookmarkEnd w:id="11"/>
    </w:p>
    <w:p w:rsidR="00EE3B19" w:rsidRPr="00B547E1" w:rsidP="00815194" w14:paraId="21A36998" w14:textId="77777777">
      <w:pPr>
        <w:spacing w:after="0" w:line="480" w:lineRule="auto"/>
        <w:ind w:firstLine="720"/>
        <w:rPr>
          <w:rFonts w:eastAsia="Courier New" w:cs="Times New Roman"/>
          <w:bCs/>
          <w:szCs w:val="24"/>
        </w:rPr>
      </w:pPr>
      <w:r w:rsidRPr="00B547E1">
        <w:rPr>
          <w:rFonts w:eastAsia="Courier New" w:cs="Times New Roman"/>
          <w:bCs/>
          <w:szCs w:val="24"/>
        </w:rPr>
        <w:t xml:space="preserve">House Bill 6 allows </w:t>
      </w:r>
      <w:r w:rsidRPr="00B547E1" w:rsidR="00734BB7">
        <w:rPr>
          <w:rFonts w:eastAsia="Courier New" w:cs="Times New Roman"/>
          <w:bCs/>
          <w:szCs w:val="24"/>
        </w:rPr>
        <w:t>Duke to keep running customer-funded energy efficiency programs in 2020, and OCC supports the continuation of those programs. But to protect consumers from paying too much for energy efficiency, the PUCO should exercise its statutory authority to order Duke to stop charging customers for utility profits (“shared savings”) for its 2020 programs.</w:t>
      </w:r>
    </w:p>
    <w:p w:rsidR="00815194" w:rsidRPr="00B547E1" w:rsidP="00713C2F" w14:paraId="1516B919" w14:textId="77777777">
      <w:pPr>
        <w:ind w:left="3600" w:firstLine="720"/>
        <w:rPr>
          <w:rFonts w:cs="Times New Roman"/>
          <w:szCs w:val="24"/>
        </w:rPr>
      </w:pPr>
      <w:r w:rsidRPr="00B547E1">
        <w:rPr>
          <w:rFonts w:cs="Times New Roman"/>
          <w:szCs w:val="24"/>
        </w:rPr>
        <w:t>Respectfully submitted,</w:t>
      </w:r>
    </w:p>
    <w:p w:rsidR="00815194" w:rsidRPr="00B547E1" w:rsidP="00815194" w14:paraId="23C7B57F" w14:textId="77777777">
      <w:pPr>
        <w:spacing w:after="0" w:line="240" w:lineRule="auto"/>
        <w:ind w:firstLine="4320"/>
        <w:rPr>
          <w:rFonts w:cs="Times New Roman"/>
          <w:szCs w:val="24"/>
        </w:rPr>
      </w:pPr>
      <w:r w:rsidRPr="00B547E1">
        <w:rPr>
          <w:rFonts w:cs="Times New Roman"/>
          <w:szCs w:val="24"/>
        </w:rPr>
        <w:t>Bruce Weston (0016973)</w:t>
      </w:r>
    </w:p>
    <w:p w:rsidR="00815194" w:rsidRPr="00B547E1" w:rsidP="00815194" w14:paraId="3F8A9291" w14:textId="77777777">
      <w:pPr>
        <w:tabs>
          <w:tab w:val="left" w:pos="4320"/>
        </w:tabs>
        <w:spacing w:after="0" w:line="240" w:lineRule="auto"/>
        <w:ind w:left="4320"/>
        <w:rPr>
          <w:rFonts w:cs="Times New Roman"/>
          <w:szCs w:val="24"/>
        </w:rPr>
      </w:pPr>
      <w:r w:rsidRPr="00B547E1">
        <w:rPr>
          <w:rFonts w:cs="Times New Roman"/>
          <w:szCs w:val="24"/>
        </w:rPr>
        <w:t>Ohio Consumers' Counsel</w:t>
      </w:r>
    </w:p>
    <w:p w:rsidR="00815194" w:rsidRPr="00B547E1" w:rsidP="00815194" w14:paraId="42259ED1" w14:textId="77777777">
      <w:pPr>
        <w:tabs>
          <w:tab w:val="left" w:pos="4320"/>
        </w:tabs>
        <w:spacing w:after="0" w:line="240" w:lineRule="auto"/>
        <w:ind w:left="4320"/>
        <w:rPr>
          <w:rFonts w:cs="Times New Roman"/>
          <w:szCs w:val="24"/>
        </w:rPr>
      </w:pPr>
    </w:p>
    <w:p w:rsidR="00815194" w:rsidRPr="00B547E1" w:rsidP="00815194" w14:paraId="384A7F1C" w14:textId="77777777">
      <w:pPr>
        <w:autoSpaceDE w:val="0"/>
        <w:autoSpaceDN w:val="0"/>
        <w:adjustRightInd w:val="0"/>
        <w:spacing w:after="0" w:line="240" w:lineRule="auto"/>
        <w:ind w:left="4320"/>
        <w:rPr>
          <w:rFonts w:cs="Times New Roman"/>
          <w:i/>
          <w:szCs w:val="24"/>
          <w:u w:val="single"/>
        </w:rPr>
      </w:pPr>
      <w:r w:rsidRPr="00B547E1">
        <w:rPr>
          <w:rFonts w:cs="Times New Roman"/>
          <w:i/>
          <w:szCs w:val="24"/>
          <w:u w:val="single"/>
        </w:rPr>
        <w:t>/s/ Christopher Healey</w:t>
      </w:r>
      <w:r w:rsidRPr="00B547E1">
        <w:rPr>
          <w:rFonts w:cs="Times New Roman"/>
          <w:i/>
          <w:szCs w:val="24"/>
          <w:u w:val="single"/>
        </w:rPr>
        <w:tab/>
      </w:r>
      <w:r w:rsidRPr="00B547E1">
        <w:rPr>
          <w:rFonts w:cs="Times New Roman"/>
          <w:i/>
          <w:szCs w:val="24"/>
          <w:u w:val="single"/>
        </w:rPr>
        <w:tab/>
      </w:r>
    </w:p>
    <w:p w:rsidR="00815194" w:rsidRPr="00B547E1" w:rsidP="00815194" w14:paraId="1CFB1E14" w14:textId="77777777">
      <w:pPr>
        <w:autoSpaceDE w:val="0"/>
        <w:autoSpaceDN w:val="0"/>
        <w:adjustRightInd w:val="0"/>
        <w:spacing w:after="0" w:line="240" w:lineRule="auto"/>
        <w:ind w:left="4320"/>
        <w:rPr>
          <w:rFonts w:cs="Times New Roman"/>
          <w:szCs w:val="24"/>
        </w:rPr>
      </w:pPr>
      <w:r w:rsidRPr="00B547E1">
        <w:rPr>
          <w:rFonts w:cs="Times New Roman"/>
          <w:szCs w:val="24"/>
        </w:rPr>
        <w:t>Christopher Healey (0086027)</w:t>
      </w:r>
      <w:r w:rsidRPr="00B547E1">
        <w:rPr>
          <w:rFonts w:cs="Times New Roman"/>
          <w:szCs w:val="24"/>
        </w:rPr>
        <w:br/>
        <w:t>Counsel of Record</w:t>
      </w:r>
    </w:p>
    <w:p w:rsidR="00815194" w:rsidRPr="00B547E1" w:rsidP="00815194" w14:paraId="68BDB4FD" w14:textId="77777777">
      <w:pPr>
        <w:tabs>
          <w:tab w:val="left" w:pos="4320"/>
        </w:tabs>
        <w:spacing w:after="0" w:line="240" w:lineRule="auto"/>
        <w:ind w:left="4320"/>
        <w:rPr>
          <w:rFonts w:cs="Times New Roman"/>
          <w:szCs w:val="24"/>
        </w:rPr>
      </w:pPr>
    </w:p>
    <w:p w:rsidR="00815194" w:rsidRPr="00B547E1" w:rsidP="00815194" w14:paraId="50D531F0" w14:textId="77777777">
      <w:pPr>
        <w:spacing w:after="0" w:line="240" w:lineRule="auto"/>
        <w:ind w:left="4320"/>
        <w:rPr>
          <w:rFonts w:cs="Times New Roman"/>
          <w:b/>
          <w:szCs w:val="24"/>
        </w:rPr>
      </w:pPr>
      <w:r w:rsidRPr="00B547E1">
        <w:rPr>
          <w:rFonts w:cs="Times New Roman"/>
          <w:b/>
          <w:szCs w:val="24"/>
        </w:rPr>
        <w:t>Office of the Ohio Consumers' Counsel</w:t>
      </w:r>
    </w:p>
    <w:p w:rsidR="00815194" w:rsidRPr="00B547E1" w:rsidP="00815194" w14:paraId="1DE9B0D6" w14:textId="77777777">
      <w:pPr>
        <w:spacing w:after="0" w:line="240" w:lineRule="auto"/>
        <w:ind w:left="4320"/>
        <w:rPr>
          <w:rFonts w:cs="Times New Roman"/>
          <w:szCs w:val="24"/>
        </w:rPr>
      </w:pPr>
      <w:r w:rsidRPr="00B547E1">
        <w:rPr>
          <w:rFonts w:cs="Times New Roman"/>
          <w:szCs w:val="24"/>
        </w:rPr>
        <w:t>65 East State Street, 7th Floor</w:t>
      </w:r>
    </w:p>
    <w:p w:rsidR="00815194" w:rsidRPr="00B547E1" w:rsidP="00815194" w14:paraId="2931C3C1" w14:textId="77777777">
      <w:pPr>
        <w:spacing w:after="0" w:line="240" w:lineRule="auto"/>
        <w:ind w:left="4320"/>
        <w:rPr>
          <w:rFonts w:cs="Times New Roman"/>
          <w:szCs w:val="24"/>
        </w:rPr>
      </w:pPr>
      <w:r w:rsidRPr="00B547E1">
        <w:rPr>
          <w:rFonts w:cs="Times New Roman"/>
          <w:szCs w:val="24"/>
        </w:rPr>
        <w:t>Columbus, Ohio 43215</w:t>
      </w:r>
    </w:p>
    <w:p w:rsidR="00815194" w:rsidRPr="00B547E1" w:rsidP="00815194" w14:paraId="752F9DEC" w14:textId="77777777">
      <w:pPr>
        <w:autoSpaceDE w:val="0"/>
        <w:autoSpaceDN w:val="0"/>
        <w:adjustRightInd w:val="0"/>
        <w:spacing w:after="0" w:line="240" w:lineRule="auto"/>
        <w:ind w:left="3600" w:firstLine="720"/>
        <w:rPr>
          <w:rFonts w:cs="Times New Roman"/>
          <w:szCs w:val="24"/>
        </w:rPr>
      </w:pPr>
      <w:r w:rsidRPr="00B547E1">
        <w:rPr>
          <w:rFonts w:cs="Times New Roman"/>
          <w:szCs w:val="24"/>
        </w:rPr>
        <w:t>Telephone: (614) 466-9571</w:t>
      </w:r>
    </w:p>
    <w:p w:rsidR="00815194" w:rsidRPr="00B547E1" w:rsidP="00815194" w14:paraId="3ECA6CA2" w14:textId="77777777">
      <w:pPr>
        <w:spacing w:after="0" w:line="240" w:lineRule="auto"/>
        <w:ind w:left="4320"/>
        <w:rPr>
          <w:rFonts w:cs="Times New Roman"/>
          <w:szCs w:val="24"/>
        </w:rPr>
      </w:pPr>
      <w:hyperlink r:id="rId6" w:history="1">
        <w:r w:rsidRPr="00B547E1" w:rsidR="00E61F99">
          <w:rPr>
            <w:rStyle w:val="Hyperlink"/>
            <w:rFonts w:cs="Times New Roman"/>
            <w:szCs w:val="24"/>
          </w:rPr>
          <w:t>christopher.healey@occ.ohio.gov</w:t>
        </w:r>
      </w:hyperlink>
    </w:p>
    <w:p w:rsidR="00815194" w:rsidRPr="00B547E1" w:rsidP="00815194" w14:paraId="76B64D1A" w14:textId="77777777">
      <w:pPr>
        <w:spacing w:after="0" w:line="240" w:lineRule="auto"/>
        <w:ind w:left="4320"/>
        <w:rPr>
          <w:rFonts w:cs="Times New Roman"/>
          <w:szCs w:val="24"/>
        </w:rPr>
      </w:pPr>
      <w:r w:rsidRPr="00B547E1">
        <w:rPr>
          <w:rFonts w:cs="Times New Roman"/>
          <w:szCs w:val="24"/>
        </w:rPr>
        <w:t>(willing to accept service by e-mail)</w:t>
      </w:r>
    </w:p>
    <w:p w:rsidR="00713C2F" w:rsidRPr="00B547E1" w:rsidP="00815194" w14:paraId="4AB8DEDF" w14:textId="77777777">
      <w:pPr>
        <w:spacing w:after="0" w:line="240" w:lineRule="auto"/>
        <w:ind w:left="4320"/>
        <w:rPr>
          <w:rFonts w:cs="Times New Roman"/>
          <w:szCs w:val="24"/>
        </w:rPr>
        <w:sectPr w:rsidSect="00B547E1">
          <w:headerReference w:type="default" r:id="rId17"/>
          <w:pgSz w:w="12240" w:h="15840"/>
          <w:pgMar w:top="1440" w:right="1800" w:bottom="1440" w:left="1800" w:header="720" w:footer="720" w:gutter="0"/>
          <w:pgNumType w:start="1"/>
          <w:cols w:space="720"/>
          <w:docGrid w:linePitch="360"/>
        </w:sectPr>
      </w:pPr>
    </w:p>
    <w:p w:rsidR="00815194" w:rsidRPr="00B547E1" w:rsidP="00815194" w14:paraId="314AF7BD" w14:textId="77777777">
      <w:pPr>
        <w:spacing w:after="0" w:line="480" w:lineRule="auto"/>
        <w:ind w:firstLine="720"/>
        <w:jc w:val="center"/>
        <w:rPr>
          <w:rFonts w:eastAsiaTheme="minorEastAsia" w:cs="Times New Roman"/>
          <w:b/>
          <w:szCs w:val="24"/>
          <w:u w:val="single"/>
        </w:rPr>
      </w:pPr>
      <w:r w:rsidRPr="00B547E1">
        <w:rPr>
          <w:rFonts w:eastAsiaTheme="minorEastAsia" w:cs="Times New Roman"/>
          <w:b/>
          <w:szCs w:val="24"/>
          <w:u w:val="single"/>
        </w:rPr>
        <w:t>CERTIFICATE OF SERVICE</w:t>
      </w:r>
    </w:p>
    <w:p w:rsidR="00815194" w:rsidRPr="00B547E1" w:rsidP="00815194" w14:paraId="240EE8A0" w14:textId="77777777">
      <w:pPr>
        <w:spacing w:after="0" w:line="480" w:lineRule="auto"/>
        <w:ind w:firstLine="720"/>
        <w:rPr>
          <w:rFonts w:eastAsiaTheme="minorEastAsia" w:cs="Times New Roman"/>
          <w:szCs w:val="24"/>
        </w:rPr>
      </w:pPr>
      <w:r w:rsidRPr="00B547E1">
        <w:rPr>
          <w:rFonts w:eastAsiaTheme="minorEastAsia" w:cs="Times New Roman"/>
          <w:szCs w:val="24"/>
        </w:rPr>
        <w:t xml:space="preserve">I hereby certify that a copy of this Motion was served on the persons stated below via electronic transmission, this </w:t>
      </w:r>
      <w:r w:rsidRPr="00B547E1" w:rsidR="00B44B99">
        <w:rPr>
          <w:rFonts w:eastAsiaTheme="minorEastAsia" w:cs="Times New Roman"/>
          <w:szCs w:val="24"/>
        </w:rPr>
        <w:t>9th</w:t>
      </w:r>
      <w:r w:rsidRPr="00B547E1">
        <w:rPr>
          <w:rFonts w:eastAsiaTheme="minorEastAsia" w:cs="Times New Roman"/>
          <w:szCs w:val="24"/>
        </w:rPr>
        <w:t xml:space="preserve"> day of </w:t>
      </w:r>
      <w:r w:rsidRPr="00B547E1" w:rsidR="00D42F49">
        <w:rPr>
          <w:rFonts w:eastAsiaTheme="minorEastAsia" w:cs="Times New Roman"/>
          <w:szCs w:val="24"/>
        </w:rPr>
        <w:t>December 2019</w:t>
      </w:r>
      <w:r w:rsidRPr="00B547E1">
        <w:rPr>
          <w:rFonts w:eastAsiaTheme="minorEastAsia" w:cs="Times New Roman"/>
          <w:szCs w:val="24"/>
        </w:rPr>
        <w:t>.</w:t>
      </w:r>
    </w:p>
    <w:p w:rsidR="00815194" w:rsidRPr="00B547E1" w:rsidP="00815194" w14:paraId="6AFF093B" w14:textId="77777777">
      <w:pPr>
        <w:spacing w:after="0" w:line="240" w:lineRule="auto"/>
        <w:ind w:firstLine="720"/>
        <w:rPr>
          <w:rFonts w:eastAsiaTheme="minorEastAsia" w:cs="Times New Roman"/>
          <w:szCs w:val="24"/>
        </w:rPr>
      </w:pP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u w:val="single"/>
        </w:rPr>
        <w:t xml:space="preserve">/s/ </w:t>
      </w:r>
      <w:r w:rsidRPr="00B547E1">
        <w:rPr>
          <w:rFonts w:eastAsiaTheme="minorEastAsia" w:cs="Times New Roman"/>
          <w:i/>
          <w:szCs w:val="24"/>
          <w:u w:val="single"/>
        </w:rPr>
        <w:t>Christopher Healey</w:t>
      </w:r>
      <w:r w:rsidRPr="00B547E1">
        <w:rPr>
          <w:rFonts w:eastAsiaTheme="minorEastAsia" w:cs="Times New Roman"/>
          <w:szCs w:val="24"/>
        </w:rPr>
        <w:t>__________</w:t>
      </w:r>
    </w:p>
    <w:p w:rsidR="00815194" w:rsidRPr="00B547E1" w:rsidP="00815194" w14:paraId="551204BC" w14:textId="77777777">
      <w:pPr>
        <w:spacing w:after="0" w:line="240" w:lineRule="auto"/>
        <w:ind w:firstLine="720"/>
        <w:rPr>
          <w:rFonts w:eastAsiaTheme="minorEastAsia" w:cs="Times New Roman"/>
          <w:szCs w:val="24"/>
        </w:rPr>
      </w:pP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t>Christopher Healey</w:t>
      </w:r>
    </w:p>
    <w:p w:rsidR="00815194" w:rsidP="00815194" w14:paraId="2F4C7425" w14:textId="77777777">
      <w:pPr>
        <w:spacing w:after="0" w:line="240" w:lineRule="auto"/>
        <w:ind w:firstLine="720"/>
        <w:rPr>
          <w:rFonts w:eastAsiaTheme="minorEastAsia" w:cs="Times New Roman"/>
          <w:szCs w:val="24"/>
        </w:rPr>
      </w:pP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r>
      <w:r w:rsidRPr="00B547E1">
        <w:rPr>
          <w:rFonts w:eastAsiaTheme="minorEastAsia" w:cs="Times New Roman"/>
          <w:szCs w:val="24"/>
        </w:rPr>
        <w:tab/>
        <w:t>Counsel of Record</w:t>
      </w:r>
    </w:p>
    <w:p w:rsidR="00D81D9C" w:rsidP="00815194" w14:paraId="23106CBC" w14:textId="77777777">
      <w:pPr>
        <w:spacing w:after="0" w:line="240" w:lineRule="auto"/>
        <w:ind w:firstLine="720"/>
        <w:rPr>
          <w:rFonts w:eastAsiaTheme="minorEastAsia" w:cs="Times New Roman"/>
          <w:szCs w:val="24"/>
        </w:rPr>
      </w:pPr>
    </w:p>
    <w:p w:rsidR="00D81D9C" w:rsidP="00D81D9C" w14:paraId="4828321A" w14:textId="77777777">
      <w:pPr>
        <w:pStyle w:val="CommentText"/>
      </w:pPr>
    </w:p>
    <w:p w:rsidR="00D81D9C" w:rsidRPr="00DC09DE" w:rsidP="00D81D9C" w14:paraId="4916E610" w14:textId="77777777">
      <w:pPr>
        <w:pStyle w:val="CommentText"/>
      </w:pPr>
      <w:r w:rsidRPr="00DC09DE">
        <w:t>The PUCO’s e-filing system will electronically serve notice of the filing of this document on the following parties:</w:t>
      </w:r>
    </w:p>
    <w:p w:rsidR="00D81D9C" w:rsidRPr="00B547E1" w:rsidP="00815194" w14:paraId="0E84CCC1" w14:textId="77777777">
      <w:pPr>
        <w:spacing w:after="0" w:line="240" w:lineRule="auto"/>
        <w:ind w:firstLine="720"/>
        <w:rPr>
          <w:rFonts w:eastAsiaTheme="minorEastAsia" w:cs="Times New Roman"/>
          <w:szCs w:val="24"/>
        </w:rPr>
      </w:pPr>
    </w:p>
    <w:p w:rsidR="00815194" w:rsidRPr="00B547E1" w:rsidP="00815194" w14:paraId="17AFD2E5" w14:textId="77777777">
      <w:pPr>
        <w:spacing w:after="0" w:line="240" w:lineRule="auto"/>
        <w:ind w:firstLine="720"/>
        <w:rPr>
          <w:rFonts w:eastAsiaTheme="minorEastAsia" w:cs="Times New Roman"/>
          <w:szCs w:val="24"/>
        </w:rPr>
      </w:pPr>
    </w:p>
    <w:p w:rsidR="00815194" w:rsidRPr="00C1295F" w:rsidP="00C1295F" w14:paraId="4F3A594E" w14:textId="77777777">
      <w:pPr>
        <w:spacing w:after="0" w:line="480" w:lineRule="auto"/>
        <w:jc w:val="center"/>
        <w:rPr>
          <w:rFonts w:eastAsiaTheme="minorEastAsia" w:cs="Times New Roman"/>
          <w:b/>
          <w:szCs w:val="24"/>
          <w:u w:val="single"/>
        </w:rPr>
      </w:pPr>
      <w:r w:rsidRPr="00C1295F">
        <w:rPr>
          <w:rFonts w:eastAsiaTheme="minorEastAsia" w:cs="Times New Roman"/>
          <w:b/>
          <w:szCs w:val="24"/>
          <w:u w:val="single"/>
        </w:rPr>
        <w:t>SERVICE LIST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52"/>
        <w:gridCol w:w="4288"/>
      </w:tblGrid>
      <w:tr w14:paraId="07B5578F" w14:textId="77777777" w:rsidTr="00815194">
        <w:tblPrEx>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c>
          <w:tcPr>
            <w:tcW w:w="4428" w:type="dxa"/>
          </w:tcPr>
          <w:p w:rsidR="00815194" w:rsidP="00815194" w14:paraId="0C80F56F" w14:textId="77777777">
            <w:pPr>
              <w:autoSpaceDE w:val="0"/>
              <w:autoSpaceDN w:val="0"/>
              <w:adjustRightInd w:val="0"/>
              <w:rPr>
                <w:rFonts w:eastAsiaTheme="minorHAnsi" w:cs="Times New Roman"/>
                <w:szCs w:val="24"/>
              </w:rPr>
            </w:pPr>
            <w:hyperlink r:id="rId18" w:history="1">
              <w:r w:rsidRPr="00C1295F" w:rsidR="00E61F99">
                <w:rPr>
                  <w:rStyle w:val="Hyperlink"/>
                  <w:rFonts w:eastAsiaTheme="minorHAnsi" w:cs="Times New Roman"/>
                  <w:szCs w:val="24"/>
                </w:rPr>
                <w:t>Bojko@carpenterlipps.com</w:t>
              </w:r>
            </w:hyperlink>
            <w:r w:rsidRPr="00C1295F" w:rsidR="00E61F99">
              <w:rPr>
                <w:rFonts w:eastAsiaTheme="minorHAnsi" w:cs="Times New Roman"/>
                <w:szCs w:val="24"/>
              </w:rPr>
              <w:t xml:space="preserve"> </w:t>
            </w:r>
          </w:p>
          <w:p w:rsidR="00200DC5" w:rsidP="00815194" w14:paraId="4A544C9C" w14:textId="77777777">
            <w:pPr>
              <w:autoSpaceDE w:val="0"/>
              <w:autoSpaceDN w:val="0"/>
              <w:adjustRightInd w:val="0"/>
              <w:rPr>
                <w:rFonts w:eastAsiaTheme="minorHAnsi" w:cs="Times New Roman"/>
                <w:szCs w:val="24"/>
              </w:rPr>
            </w:pPr>
            <w:hyperlink r:id="rId19" w:history="1">
              <w:r w:rsidRPr="00836009" w:rsidR="006552B8">
                <w:rPr>
                  <w:rStyle w:val="Hyperlink"/>
                  <w:rFonts w:cs="Times New Roman"/>
                  <w:szCs w:val="24"/>
                </w:rPr>
                <w:t>perko@carpenterlipps.com</w:t>
              </w:r>
            </w:hyperlink>
          </w:p>
          <w:p w:rsidR="00815194" w:rsidRPr="00C1295F" w:rsidP="00815194" w14:paraId="1F0BD9BC" w14:textId="77777777">
            <w:pPr>
              <w:autoSpaceDE w:val="0"/>
              <w:autoSpaceDN w:val="0"/>
              <w:adjustRightInd w:val="0"/>
              <w:rPr>
                <w:rFonts w:cs="Times New Roman"/>
                <w:szCs w:val="24"/>
              </w:rPr>
            </w:pPr>
            <w:hyperlink r:id="rId20" w:history="1">
              <w:r w:rsidRPr="00C1295F" w:rsidR="00C1295F">
                <w:rPr>
                  <w:rStyle w:val="Hyperlink"/>
                  <w:rFonts w:cs="Times New Roman"/>
                  <w:szCs w:val="24"/>
                </w:rPr>
                <w:t>dutton@carpenterlipps.com</w:t>
              </w:r>
            </w:hyperlink>
          </w:p>
          <w:p w:rsidR="00C1295F" w:rsidRPr="00C1295F" w:rsidP="00815194" w14:paraId="24ACCBB4" w14:textId="77777777">
            <w:pPr>
              <w:autoSpaceDE w:val="0"/>
              <w:autoSpaceDN w:val="0"/>
              <w:adjustRightInd w:val="0"/>
              <w:rPr>
                <w:rStyle w:val="Hyperlink"/>
                <w:rFonts w:cs="Times New Roman"/>
                <w:szCs w:val="24"/>
              </w:rPr>
            </w:pPr>
            <w:hyperlink r:id="rId21" w:history="1">
              <w:r w:rsidRPr="00C1295F" w:rsidR="00E61F99">
                <w:rPr>
                  <w:rStyle w:val="Hyperlink"/>
                  <w:rFonts w:eastAsiaTheme="minorHAnsi" w:cs="Times New Roman"/>
                  <w:szCs w:val="24"/>
                </w:rPr>
                <w:t>paul@carpenterlipps.com</w:t>
              </w:r>
            </w:hyperlink>
          </w:p>
          <w:p w:rsidR="00C1295F" w:rsidRPr="00C1295F" w:rsidP="00815194" w14:paraId="140F7A08" w14:textId="77777777">
            <w:pPr>
              <w:autoSpaceDE w:val="0"/>
              <w:autoSpaceDN w:val="0"/>
              <w:adjustRightInd w:val="0"/>
              <w:rPr>
                <w:rFonts w:eastAsia="TimesNewRoman" w:cs="Times New Roman"/>
                <w:color w:val="0000FF"/>
                <w:szCs w:val="24"/>
              </w:rPr>
            </w:pPr>
            <w:hyperlink r:id="rId22" w:history="1">
              <w:r w:rsidRPr="00C1295F" w:rsidR="006552B8">
                <w:rPr>
                  <w:rStyle w:val="Hyperlink"/>
                  <w:rFonts w:eastAsia="TimesNewRoman" w:cs="Times New Roman"/>
                  <w:szCs w:val="24"/>
                </w:rPr>
                <w:t>mfleisher@dickinsonwright.com</w:t>
              </w:r>
            </w:hyperlink>
          </w:p>
          <w:p w:rsidR="00815194" w:rsidRPr="00C1295F" w:rsidP="00815194" w14:paraId="30C93CE1" w14:textId="77777777">
            <w:pPr>
              <w:autoSpaceDE w:val="0"/>
              <w:autoSpaceDN w:val="0"/>
              <w:adjustRightInd w:val="0"/>
              <w:rPr>
                <w:rFonts w:eastAsiaTheme="minorHAnsi" w:cs="Times New Roman"/>
                <w:szCs w:val="24"/>
              </w:rPr>
            </w:pPr>
            <w:hyperlink r:id="rId23" w:history="1">
              <w:r w:rsidRPr="00C1295F" w:rsidR="00E61F99">
                <w:rPr>
                  <w:rStyle w:val="Hyperlink"/>
                  <w:rFonts w:eastAsiaTheme="minorHAnsi" w:cs="Times New Roman"/>
                  <w:szCs w:val="24"/>
                </w:rPr>
                <w:t>fdarr@mwncmh.com</w:t>
              </w:r>
            </w:hyperlink>
            <w:r w:rsidRPr="00C1295F" w:rsidR="00E61F99">
              <w:rPr>
                <w:rFonts w:eastAsiaTheme="minorHAnsi" w:cs="Times New Roman"/>
                <w:szCs w:val="24"/>
              </w:rPr>
              <w:t xml:space="preserve"> </w:t>
            </w:r>
          </w:p>
          <w:p w:rsidR="00815194" w:rsidRPr="00C1295F" w:rsidP="00815194" w14:paraId="33315184" w14:textId="77777777">
            <w:pPr>
              <w:autoSpaceDE w:val="0"/>
              <w:autoSpaceDN w:val="0"/>
              <w:adjustRightInd w:val="0"/>
              <w:rPr>
                <w:rFonts w:eastAsiaTheme="minorHAnsi" w:cs="Times New Roman"/>
                <w:szCs w:val="24"/>
              </w:rPr>
            </w:pPr>
            <w:hyperlink r:id="rId24" w:history="1">
              <w:r w:rsidRPr="00C1295F" w:rsidR="00C1295F">
                <w:rPr>
                  <w:rStyle w:val="Hyperlink"/>
                  <w:rFonts w:cs="Times New Roman"/>
                  <w:szCs w:val="24"/>
                </w:rPr>
                <w:t>mpritchard@mcneeslaw.com</w:t>
              </w:r>
            </w:hyperlink>
            <w:r w:rsidRPr="00C1295F" w:rsidR="00E61F99">
              <w:rPr>
                <w:rFonts w:eastAsiaTheme="minorHAnsi" w:cs="Times New Roman"/>
                <w:szCs w:val="24"/>
              </w:rPr>
              <w:t xml:space="preserve"> </w:t>
            </w:r>
          </w:p>
          <w:p w:rsidR="00815194" w:rsidRPr="00C1295F" w:rsidP="00815194" w14:paraId="0610FD43" w14:textId="77777777">
            <w:pPr>
              <w:autoSpaceDE w:val="0"/>
              <w:autoSpaceDN w:val="0"/>
              <w:adjustRightInd w:val="0"/>
              <w:rPr>
                <w:rFonts w:eastAsiaTheme="minorHAnsi" w:cs="Times New Roman"/>
                <w:szCs w:val="24"/>
              </w:rPr>
            </w:pPr>
            <w:hyperlink r:id="rId25" w:history="1">
              <w:r w:rsidRPr="00C1295F" w:rsidR="00E61F99">
                <w:rPr>
                  <w:rStyle w:val="Hyperlink"/>
                  <w:rFonts w:eastAsiaTheme="minorHAnsi" w:cs="Times New Roman"/>
                  <w:szCs w:val="24"/>
                </w:rPr>
                <w:t>joliker@igsenergy.com</w:t>
              </w:r>
            </w:hyperlink>
            <w:r w:rsidRPr="00C1295F" w:rsidR="00E61F99">
              <w:rPr>
                <w:rFonts w:eastAsiaTheme="minorHAnsi" w:cs="Times New Roman"/>
                <w:szCs w:val="24"/>
              </w:rPr>
              <w:t xml:space="preserve"> </w:t>
            </w:r>
          </w:p>
          <w:p w:rsidR="00815194" w:rsidRPr="00C1295F" w:rsidP="00815194" w14:paraId="54D0B1AE" w14:textId="77777777">
            <w:pPr>
              <w:rPr>
                <w:rStyle w:val="Hyperlink"/>
                <w:rFonts w:cs="Times New Roman"/>
                <w:szCs w:val="24"/>
              </w:rPr>
            </w:pPr>
            <w:hyperlink r:id="rId26" w:history="1">
              <w:r w:rsidRPr="00C1295F" w:rsidR="00E61F99">
                <w:rPr>
                  <w:rStyle w:val="Hyperlink"/>
                  <w:rFonts w:eastAsiaTheme="minorHAnsi" w:cs="Times New Roman"/>
                  <w:szCs w:val="24"/>
                </w:rPr>
                <w:t>John.jones@ohioattorneygeneral.gov</w:t>
              </w:r>
            </w:hyperlink>
          </w:p>
          <w:p w:rsidR="00C1295F" w:rsidRPr="00C1295F" w:rsidP="00815194" w14:paraId="653D3ED8" w14:textId="77777777">
            <w:pPr>
              <w:rPr>
                <w:rStyle w:val="Hyperlink"/>
                <w:rFonts w:cs="Times New Roman"/>
                <w:szCs w:val="24"/>
              </w:rPr>
            </w:pPr>
            <w:hyperlink r:id="rId27" w:history="1">
              <w:r w:rsidRPr="00C1295F" w:rsidR="006552B8">
                <w:rPr>
                  <w:rStyle w:val="Hyperlink"/>
                  <w:rFonts w:cs="Times New Roman"/>
                  <w:szCs w:val="24"/>
                </w:rPr>
                <w:t>snix@ohioenergy.org</w:t>
              </w:r>
            </w:hyperlink>
          </w:p>
          <w:p w:rsidR="00C1295F" w:rsidP="00815194" w14:paraId="79A0CE1D" w14:textId="77777777">
            <w:pPr>
              <w:rPr>
                <w:rStyle w:val="Hyperlink"/>
                <w:rFonts w:cs="Times New Roman"/>
                <w:szCs w:val="24"/>
              </w:rPr>
            </w:pPr>
            <w:hyperlink r:id="rId28" w:history="1">
              <w:r w:rsidRPr="00C1295F" w:rsidR="006552B8">
                <w:rPr>
                  <w:rStyle w:val="Hyperlink"/>
                  <w:rFonts w:cs="Times New Roman"/>
                  <w:szCs w:val="24"/>
                </w:rPr>
                <w:t>abrink@nhtinc.org</w:t>
              </w:r>
            </w:hyperlink>
          </w:p>
          <w:p w:rsidR="00D81D9C" w:rsidP="00815194" w14:paraId="29103316" w14:textId="77777777">
            <w:pPr>
              <w:rPr>
                <w:rFonts w:cs="Times New Roman"/>
                <w:color w:val="0000FF"/>
                <w:szCs w:val="24"/>
              </w:rPr>
            </w:pPr>
            <w:hyperlink r:id="rId29" w:history="1">
              <w:r w:rsidRPr="00836009" w:rsidR="006552B8">
                <w:rPr>
                  <w:rStyle w:val="Hyperlink"/>
                  <w:rFonts w:cs="Times New Roman"/>
                  <w:szCs w:val="24"/>
                </w:rPr>
                <w:t>ccox@elpc.org</w:t>
              </w:r>
            </w:hyperlink>
          </w:p>
          <w:p w:rsidR="00D81D9C" w:rsidP="00815194" w14:paraId="6D8492E7" w14:textId="77777777">
            <w:pPr>
              <w:rPr>
                <w:rFonts w:cs="Times New Roman"/>
                <w:color w:val="0000FF"/>
                <w:szCs w:val="24"/>
              </w:rPr>
            </w:pPr>
            <w:hyperlink r:id="rId30" w:history="1">
              <w:r w:rsidRPr="00836009" w:rsidR="006552B8">
                <w:rPr>
                  <w:rStyle w:val="Hyperlink"/>
                  <w:rFonts w:cs="Times New Roman"/>
                  <w:szCs w:val="24"/>
                </w:rPr>
                <w:t>rkelter@elpc.org</w:t>
              </w:r>
            </w:hyperlink>
          </w:p>
          <w:p w:rsidR="00C1295F" w:rsidRPr="00C1295F" w:rsidP="00815194" w14:paraId="1204A5CD" w14:textId="77777777">
            <w:pPr>
              <w:rPr>
                <w:rFonts w:eastAsiaTheme="minorHAnsi" w:cs="Times New Roman"/>
                <w:szCs w:val="24"/>
              </w:rPr>
            </w:pPr>
          </w:p>
          <w:p w:rsidR="00815194" w:rsidRPr="00C1295F" w:rsidP="00815194" w14:paraId="575962F1" w14:textId="77777777">
            <w:pPr>
              <w:rPr>
                <w:rFonts w:eastAsiaTheme="minorHAnsi" w:cs="Times New Roman"/>
                <w:szCs w:val="24"/>
              </w:rPr>
            </w:pPr>
            <w:r w:rsidRPr="00C1295F">
              <w:rPr>
                <w:rFonts w:eastAsiaTheme="minorHAnsi" w:cs="Times New Roman"/>
                <w:szCs w:val="24"/>
              </w:rPr>
              <w:t>Attorney Examiner:</w:t>
            </w:r>
          </w:p>
          <w:p w:rsidR="00815194" w:rsidRPr="00C1295F" w:rsidP="00815194" w14:paraId="1B359D9B" w14:textId="77777777">
            <w:pPr>
              <w:rPr>
                <w:rFonts w:eastAsiaTheme="minorHAnsi" w:cs="Times New Roman"/>
                <w:szCs w:val="24"/>
              </w:rPr>
            </w:pPr>
          </w:p>
          <w:p w:rsidR="00B547E1" w:rsidRPr="00C1295F" w:rsidP="00815194" w14:paraId="72EC05EB" w14:textId="77777777">
            <w:pPr>
              <w:rPr>
                <w:rFonts w:cs="Times New Roman"/>
                <w:szCs w:val="24"/>
              </w:rPr>
            </w:pPr>
            <w:hyperlink r:id="rId31" w:history="1">
              <w:r w:rsidRPr="00C1295F" w:rsidR="006552B8">
                <w:rPr>
                  <w:rStyle w:val="Hyperlink"/>
                  <w:rFonts w:cs="Times New Roman"/>
                  <w:szCs w:val="24"/>
                </w:rPr>
                <w:t>Richard.bulgrin@puco.ohio.gov</w:t>
              </w:r>
            </w:hyperlink>
          </w:p>
          <w:p w:rsidR="00B547E1" w:rsidRPr="00C1295F" w:rsidP="00815194" w14:paraId="63ABF491" w14:textId="77777777">
            <w:pPr>
              <w:rPr>
                <w:rStyle w:val="Hyperlink"/>
                <w:rFonts w:cs="Times New Roman"/>
                <w:szCs w:val="24"/>
              </w:rPr>
            </w:pPr>
            <w:hyperlink r:id="rId32" w:history="1">
              <w:r w:rsidRPr="00C1295F" w:rsidR="006552B8">
                <w:rPr>
                  <w:rStyle w:val="Hyperlink"/>
                  <w:rFonts w:cs="Times New Roman"/>
                  <w:szCs w:val="24"/>
                </w:rPr>
                <w:t>Anna.sanyal@puco.ohio.gov</w:t>
              </w:r>
            </w:hyperlink>
          </w:p>
          <w:p w:rsidR="00815194" w:rsidRPr="00C1295F" w:rsidP="00815194" w14:paraId="56D2439A" w14:textId="77777777">
            <w:pPr>
              <w:rPr>
                <w:rFonts w:cs="Times New Roman"/>
                <w:szCs w:val="24"/>
              </w:rPr>
            </w:pPr>
            <w:r w:rsidRPr="00C1295F">
              <w:rPr>
                <w:rFonts w:eastAsiaTheme="minorHAnsi" w:cs="Times New Roman"/>
                <w:szCs w:val="24"/>
              </w:rPr>
              <w:t xml:space="preserve"> </w:t>
            </w:r>
          </w:p>
        </w:tc>
        <w:tc>
          <w:tcPr>
            <w:tcW w:w="4428" w:type="dxa"/>
          </w:tcPr>
          <w:p w:rsidR="00D81D9C" w:rsidP="00815194" w14:paraId="5B785E7C" w14:textId="77777777">
            <w:pPr>
              <w:autoSpaceDE w:val="0"/>
              <w:autoSpaceDN w:val="0"/>
              <w:adjustRightInd w:val="0"/>
              <w:ind w:left="330"/>
              <w:rPr>
                <w:rStyle w:val="Hyperlink"/>
                <w:rFonts w:cs="Times New Roman"/>
                <w:szCs w:val="24"/>
              </w:rPr>
            </w:pPr>
            <w:hyperlink r:id="rId33" w:history="1">
              <w:r w:rsidRPr="00B547E1" w:rsidR="00E61F99">
                <w:rPr>
                  <w:rStyle w:val="Hyperlink"/>
                  <w:rFonts w:eastAsiaTheme="minorHAnsi" w:cs="Times New Roman"/>
                  <w:szCs w:val="24"/>
                </w:rPr>
                <w:t>Elizabeth.watts@duke-energy.com</w:t>
              </w:r>
            </w:hyperlink>
          </w:p>
          <w:p w:rsidR="00D81D9C" w:rsidP="00815194" w14:paraId="33CD9855" w14:textId="77777777">
            <w:pPr>
              <w:autoSpaceDE w:val="0"/>
              <w:autoSpaceDN w:val="0"/>
              <w:adjustRightInd w:val="0"/>
              <w:ind w:left="330"/>
              <w:rPr>
                <w:rFonts w:cs="Times New Roman"/>
                <w:color w:val="0000FF"/>
                <w:szCs w:val="24"/>
              </w:rPr>
            </w:pPr>
            <w:hyperlink r:id="rId34" w:history="1">
              <w:r w:rsidRPr="00836009" w:rsidR="006552B8">
                <w:rPr>
                  <w:rStyle w:val="Hyperlink"/>
                  <w:rFonts w:cs="Times New Roman"/>
                  <w:szCs w:val="24"/>
                </w:rPr>
                <w:t>Rocco.DAscenzo@duke-energy.com</w:t>
              </w:r>
            </w:hyperlink>
          </w:p>
          <w:p w:rsidR="00815194" w:rsidRPr="00B547E1" w:rsidP="00815194" w14:paraId="7159D42F" w14:textId="77777777">
            <w:pPr>
              <w:autoSpaceDE w:val="0"/>
              <w:autoSpaceDN w:val="0"/>
              <w:adjustRightInd w:val="0"/>
              <w:ind w:left="330"/>
              <w:rPr>
                <w:rFonts w:eastAsiaTheme="minorHAnsi" w:cs="Times New Roman"/>
                <w:szCs w:val="24"/>
              </w:rPr>
            </w:pPr>
            <w:hyperlink r:id="rId35" w:history="1">
              <w:r w:rsidRPr="00B547E1" w:rsidR="00E61F99">
                <w:rPr>
                  <w:rStyle w:val="Hyperlink"/>
                  <w:rFonts w:eastAsiaTheme="minorHAnsi" w:cs="Times New Roman"/>
                  <w:szCs w:val="24"/>
                </w:rPr>
                <w:t>tdougherty@theOEC.org</w:t>
              </w:r>
            </w:hyperlink>
            <w:r w:rsidRPr="00B547E1" w:rsidR="00E61F99">
              <w:rPr>
                <w:rFonts w:eastAsiaTheme="minorHAnsi" w:cs="Times New Roman"/>
                <w:szCs w:val="24"/>
              </w:rPr>
              <w:t xml:space="preserve"> </w:t>
            </w:r>
          </w:p>
          <w:p w:rsidR="00815194" w:rsidP="00815194" w14:paraId="1E2E1114" w14:textId="77777777">
            <w:pPr>
              <w:autoSpaceDE w:val="0"/>
              <w:autoSpaceDN w:val="0"/>
              <w:adjustRightInd w:val="0"/>
              <w:ind w:left="330"/>
              <w:rPr>
                <w:rFonts w:eastAsiaTheme="minorHAnsi" w:cs="Times New Roman"/>
                <w:szCs w:val="24"/>
              </w:rPr>
            </w:pPr>
            <w:hyperlink r:id="rId36" w:history="1">
              <w:r w:rsidRPr="00B547E1" w:rsidR="00E61F99">
                <w:rPr>
                  <w:rStyle w:val="Hyperlink"/>
                  <w:rFonts w:eastAsiaTheme="minorHAnsi" w:cs="Times New Roman"/>
                  <w:szCs w:val="24"/>
                </w:rPr>
                <w:t>jfinnigan@edf.org</w:t>
              </w:r>
            </w:hyperlink>
            <w:r w:rsidRPr="00B547E1" w:rsidR="00E61F99">
              <w:rPr>
                <w:rFonts w:eastAsiaTheme="minorHAnsi" w:cs="Times New Roman"/>
                <w:szCs w:val="24"/>
              </w:rPr>
              <w:t xml:space="preserve"> </w:t>
            </w:r>
          </w:p>
          <w:p w:rsidR="006552B8" w:rsidP="00815194" w14:paraId="6851E56F" w14:textId="77777777">
            <w:pPr>
              <w:autoSpaceDE w:val="0"/>
              <w:autoSpaceDN w:val="0"/>
              <w:adjustRightInd w:val="0"/>
              <w:ind w:left="330"/>
              <w:rPr>
                <w:rFonts w:cs="Times New Roman"/>
                <w:color w:val="0000FF"/>
                <w:szCs w:val="24"/>
              </w:rPr>
            </w:pPr>
            <w:hyperlink r:id="rId37" w:history="1">
              <w:r w:rsidRPr="001E176E" w:rsidR="00033CA5">
                <w:rPr>
                  <w:rStyle w:val="Hyperlink"/>
                  <w:rFonts w:cs="Times New Roman"/>
                  <w:szCs w:val="24"/>
                </w:rPr>
                <w:t>rdove@keglerbrown.com</w:t>
              </w:r>
            </w:hyperlink>
          </w:p>
          <w:p w:rsidR="00815194" w:rsidRPr="00B547E1" w:rsidP="00815194" w14:paraId="28DBC3DE" w14:textId="77777777">
            <w:pPr>
              <w:autoSpaceDE w:val="0"/>
              <w:autoSpaceDN w:val="0"/>
              <w:adjustRightInd w:val="0"/>
              <w:ind w:left="330"/>
              <w:rPr>
                <w:rFonts w:eastAsiaTheme="minorHAnsi" w:cs="Times New Roman"/>
                <w:szCs w:val="24"/>
              </w:rPr>
            </w:pPr>
            <w:hyperlink r:id="rId38" w:history="1">
              <w:r w:rsidRPr="00B547E1" w:rsidR="00E61F99">
                <w:rPr>
                  <w:rStyle w:val="Hyperlink"/>
                  <w:rFonts w:eastAsiaTheme="minorHAnsi" w:cs="Times New Roman"/>
                  <w:szCs w:val="24"/>
                </w:rPr>
                <w:t>mwarnock@bricker.com</w:t>
              </w:r>
            </w:hyperlink>
            <w:r w:rsidRPr="00B547E1" w:rsidR="00E61F99">
              <w:rPr>
                <w:rFonts w:eastAsiaTheme="minorHAnsi" w:cs="Times New Roman"/>
                <w:szCs w:val="24"/>
              </w:rPr>
              <w:t xml:space="preserve"> </w:t>
            </w:r>
          </w:p>
          <w:p w:rsidR="00815194" w:rsidRPr="00B547E1" w:rsidP="00815194" w14:paraId="11F5EEBF" w14:textId="77777777">
            <w:pPr>
              <w:ind w:left="330"/>
              <w:rPr>
                <w:rFonts w:eastAsiaTheme="minorHAnsi" w:cs="Times New Roman"/>
                <w:szCs w:val="24"/>
              </w:rPr>
            </w:pPr>
            <w:hyperlink r:id="rId39" w:history="1">
              <w:r w:rsidRPr="00B547E1" w:rsidR="00E61F99">
                <w:rPr>
                  <w:rStyle w:val="Hyperlink"/>
                  <w:rFonts w:eastAsiaTheme="minorHAnsi" w:cs="Times New Roman"/>
                  <w:szCs w:val="24"/>
                </w:rPr>
                <w:t>dborchers@bricker.com</w:t>
              </w:r>
            </w:hyperlink>
            <w:r w:rsidRPr="00B547E1" w:rsidR="00E61F99">
              <w:rPr>
                <w:rFonts w:eastAsiaTheme="minorHAnsi" w:cs="Times New Roman"/>
                <w:szCs w:val="24"/>
              </w:rPr>
              <w:t xml:space="preserve"> </w:t>
            </w:r>
          </w:p>
          <w:p w:rsidR="00815194" w:rsidRPr="00B547E1" w:rsidP="00815194" w14:paraId="22D4D9B9" w14:textId="77777777">
            <w:pPr>
              <w:ind w:left="330"/>
              <w:rPr>
                <w:rFonts w:cs="Times New Roman"/>
                <w:color w:val="0000FF"/>
                <w:szCs w:val="24"/>
              </w:rPr>
            </w:pPr>
            <w:hyperlink r:id="rId40" w:history="1">
              <w:r w:rsidRPr="00B547E1" w:rsidR="00E61F99">
                <w:rPr>
                  <w:rStyle w:val="Hyperlink"/>
                  <w:rFonts w:cs="Times New Roman"/>
                  <w:szCs w:val="24"/>
                </w:rPr>
                <w:t>callwein@keglerbrown.com</w:t>
              </w:r>
            </w:hyperlink>
          </w:p>
          <w:p w:rsidR="00815194" w:rsidP="00815194" w14:paraId="5AB15ADB" w14:textId="77777777">
            <w:pPr>
              <w:ind w:left="330"/>
              <w:rPr>
                <w:rStyle w:val="Hyperlink"/>
                <w:rFonts w:cs="Times New Roman"/>
                <w:szCs w:val="24"/>
              </w:rPr>
            </w:pPr>
            <w:hyperlink r:id="rId41" w:history="1">
              <w:r w:rsidRPr="00B547E1" w:rsidR="00E61F99">
                <w:rPr>
                  <w:rStyle w:val="Hyperlink"/>
                  <w:rFonts w:cs="Times New Roman"/>
                  <w:szCs w:val="24"/>
                </w:rPr>
                <w:t>dparram@bricker.com</w:t>
              </w:r>
            </w:hyperlink>
          </w:p>
          <w:p w:rsidR="00C1295F" w:rsidP="00815194" w14:paraId="60F77CCA" w14:textId="77777777">
            <w:pPr>
              <w:ind w:left="330"/>
              <w:rPr>
                <w:rStyle w:val="Hyperlink"/>
              </w:rPr>
            </w:pPr>
            <w:hyperlink r:id="rId42" w:history="1">
              <w:r w:rsidRPr="00836009" w:rsidR="006552B8">
                <w:rPr>
                  <w:rStyle w:val="Hyperlink"/>
                </w:rPr>
                <w:t>stnourse@aep.com</w:t>
              </w:r>
            </w:hyperlink>
          </w:p>
          <w:p w:rsidR="00D81D9C" w:rsidP="00815194" w14:paraId="117B4D8B" w14:textId="77777777">
            <w:pPr>
              <w:ind w:left="330"/>
              <w:rPr>
                <w:rStyle w:val="Hyperlink"/>
              </w:rPr>
            </w:pPr>
            <w:hyperlink r:id="rId43" w:history="1">
              <w:r w:rsidRPr="00836009" w:rsidR="006552B8">
                <w:rPr>
                  <w:rStyle w:val="Hyperlink"/>
                </w:rPr>
                <w:t>cmooney@opae.org</w:t>
              </w:r>
            </w:hyperlink>
          </w:p>
          <w:p w:rsidR="006552B8" w:rsidP="00815194" w14:paraId="425A8026" w14:textId="77777777">
            <w:pPr>
              <w:ind w:left="330"/>
              <w:rPr>
                <w:rFonts w:cs="Times New Roman"/>
                <w:color w:val="0000FF"/>
                <w:szCs w:val="24"/>
              </w:rPr>
            </w:pPr>
            <w:hyperlink r:id="rId44" w:history="1">
              <w:r w:rsidRPr="001E176E" w:rsidR="00033CA5">
                <w:rPr>
                  <w:rStyle w:val="Hyperlink"/>
                  <w:rFonts w:cs="Times New Roman"/>
                  <w:szCs w:val="24"/>
                </w:rPr>
                <w:t>mleppla@theoec.org</w:t>
              </w:r>
            </w:hyperlink>
          </w:p>
          <w:p w:rsidR="006552B8" w:rsidP="00815194" w14:paraId="24F3038E" w14:textId="77777777">
            <w:pPr>
              <w:ind w:left="330"/>
              <w:rPr>
                <w:rStyle w:val="Hyperlink"/>
              </w:rPr>
            </w:pPr>
          </w:p>
          <w:p w:rsidR="00D81D9C" w:rsidP="00815194" w14:paraId="19DC1895" w14:textId="77777777">
            <w:pPr>
              <w:ind w:left="330"/>
              <w:rPr>
                <w:rStyle w:val="Hyperlink"/>
              </w:rPr>
            </w:pPr>
          </w:p>
          <w:p w:rsidR="00C1295F" w:rsidRPr="00B547E1" w:rsidP="00815194" w14:paraId="2BA7D63C" w14:textId="77777777">
            <w:pPr>
              <w:ind w:left="677"/>
              <w:rPr>
                <w:rFonts w:cs="Times New Roman"/>
                <w:szCs w:val="24"/>
              </w:rPr>
            </w:pPr>
          </w:p>
          <w:p w:rsidR="00815194" w:rsidRPr="00B547E1" w:rsidP="00815194" w14:paraId="60D287EC" w14:textId="77777777">
            <w:pPr>
              <w:ind w:left="677"/>
              <w:rPr>
                <w:rFonts w:cs="Times New Roman"/>
                <w:szCs w:val="24"/>
              </w:rPr>
            </w:pPr>
          </w:p>
        </w:tc>
      </w:tr>
    </w:tbl>
    <w:p w:rsidR="00D147A5" w:rsidRPr="00B547E1" w:rsidP="00815194" w14:paraId="52ECAEDD" w14:textId="77777777">
      <w:pPr>
        <w:spacing w:after="0" w:line="480" w:lineRule="auto"/>
        <w:ind w:firstLine="720"/>
        <w:jc w:val="center"/>
        <w:rPr>
          <w:rFonts w:eastAsiaTheme="minorEastAsia" w:cs="Times New Roman"/>
          <w:b/>
          <w:szCs w:val="24"/>
        </w:rPr>
      </w:pPr>
    </w:p>
    <w:p w:rsidR="00D147A5" w:rsidRPr="00B547E1" w14:paraId="5CFD2AAD" w14:textId="77777777">
      <w:pPr>
        <w:rPr>
          <w:rFonts w:eastAsiaTheme="minorEastAsia" w:cs="Times New Roman"/>
          <w:b/>
          <w:szCs w:val="24"/>
        </w:rPr>
      </w:pPr>
    </w:p>
    <w:sectPr w:rsidSect="00713C2F">
      <w:headerReference w:type="default" r:id="rId45"/>
      <w:footerReference w:type="default" r:id="rId4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panose1 w:val="020208030705050203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TimesNewRoman">
    <w:altName w:val="Yu Gothic"/>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48E" w14:paraId="6BB60F48" w14:textId="77777777">
    <w:pPr>
      <w:pStyle w:val="Footer"/>
      <w:jc w:val="center"/>
    </w:pPr>
  </w:p>
  <w:p w:rsidR="00713C2F" w14:paraId="42753B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4297937"/>
      <w:docPartObj>
        <w:docPartGallery w:val="Page Numbers (Bottom of Page)"/>
        <w:docPartUnique/>
      </w:docPartObj>
    </w:sdtPr>
    <w:sdtEndPr>
      <w:rPr>
        <w:noProof/>
      </w:rPr>
    </w:sdtEndPr>
    <w:sdtContent>
      <w:p w:rsidR="00B165F8" w14:paraId="4F200190" w14:textId="12284FF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D648E" w14:paraId="2DE93BD4"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1295F" w14:paraId="56A0149E" w14:textId="77777777">
    <w:pPr>
      <w:pStyle w:val="Footer"/>
      <w:jc w:val="center"/>
    </w:pPr>
  </w:p>
  <w:p w:rsidR="00C1295F" w14:paraId="5643C47E" w14:textId="7777777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012342306"/>
      <w:docPartObj>
        <w:docPartGallery w:val="Page Numbers (Bottom of Page)"/>
        <w:docPartUnique/>
      </w:docPartObj>
    </w:sdtPr>
    <w:sdtEndPr>
      <w:rPr>
        <w:noProof/>
      </w:rPr>
    </w:sdtEndPr>
    <w:sdtContent>
      <w:p w:rsidR="0051575C" w14:paraId="2CDCEE9C"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51575C" w14:paraId="32BAA98B" w14:textId="77777777">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170061800"/>
      <w:docPartObj>
        <w:docPartGallery w:val="Page Numbers (Bottom of Page)"/>
        <w:docPartUnique/>
      </w:docPartObj>
    </w:sdtPr>
    <w:sdtEndPr>
      <w:rPr>
        <w:noProof/>
      </w:rPr>
    </w:sdtEndPr>
    <w:sdtContent>
      <w:p w:rsidR="00713C2F" w14:paraId="58A8DCB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815194" w14:paraId="61280F54"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815194" w:rsidP="00815194" w14:paraId="629F2A0C" w14:textId="77777777">
      <w:pPr>
        <w:spacing w:after="0" w:line="240" w:lineRule="auto"/>
      </w:pPr>
      <w:r>
        <w:separator/>
      </w:r>
    </w:p>
  </w:footnote>
  <w:footnote w:type="continuationSeparator" w:id="1">
    <w:p w:rsidR="00815194" w:rsidP="00815194" w14:paraId="6543A455" w14:textId="77777777">
      <w:pPr>
        <w:spacing w:after="0" w:line="240" w:lineRule="auto"/>
      </w:pPr>
      <w:r>
        <w:continuationSeparator/>
      </w:r>
    </w:p>
  </w:footnote>
  <w:footnote w:id="2">
    <w:p w:rsidR="00815194" w:rsidRPr="003A3156" w:rsidP="003A3156" w14:paraId="70A5F882"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In the alternative, if the PUCO authorizes Duke to charge customers for shared savings, the budget should be adjusted downward to </w:t>
      </w:r>
      <w:r w:rsidRPr="003A3156">
        <w:rPr>
          <w:rFonts w:ascii="Times New Roman" w:eastAsia="Courier New" w:hAnsi="Times New Roman" w:cs="Times New Roman"/>
          <w:bCs/>
          <w:szCs w:val="24"/>
        </w:rPr>
        <w:t>$44,216,406 to correct an error in Duke’s methodology</w:t>
      </w:r>
      <w:r w:rsidRPr="003A3156" w:rsidR="00203E33">
        <w:rPr>
          <w:rFonts w:ascii="Times New Roman" w:eastAsia="Courier New" w:hAnsi="Times New Roman" w:cs="Times New Roman"/>
          <w:bCs/>
          <w:szCs w:val="24"/>
        </w:rPr>
        <w:t>, as explained below.</w:t>
      </w:r>
    </w:p>
  </w:footnote>
  <w:footnote w:id="3">
    <w:p w:rsidR="00815194" w:rsidRPr="003A3156" w:rsidP="003A3156" w14:paraId="2A3B8053"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Duke Correspondence (Dec. 2, 2019).</w:t>
      </w:r>
    </w:p>
  </w:footnote>
  <w:footnote w:id="4">
    <w:p w:rsidR="00815194" w:rsidRPr="003A3156" w:rsidP="003A3156" w14:paraId="47B6B59C"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w:t>
      </w:r>
      <w:r w:rsidRPr="003A3156">
        <w:rPr>
          <w:rFonts w:ascii="Times New Roman" w:hAnsi="Times New Roman" w:cs="Times New Roman"/>
          <w:i/>
          <w:iCs/>
        </w:rPr>
        <w:t>Id.</w:t>
      </w:r>
    </w:p>
  </w:footnote>
  <w:footnote w:id="5">
    <w:p w:rsidR="00815194" w:rsidRPr="003A3156" w:rsidP="003A3156" w14:paraId="47620A1F"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R.C. 4928.66(F)(3).</w:t>
      </w:r>
    </w:p>
  </w:footnote>
  <w:footnote w:id="6">
    <w:p w:rsidR="00815194" w:rsidRPr="003A3156" w:rsidP="003A3156" w14:paraId="172B290C"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Duke Correspondence at 2.</w:t>
      </w:r>
    </w:p>
  </w:footnote>
  <w:footnote w:id="7">
    <w:p w:rsidR="00815194" w:rsidRPr="003A3156" w:rsidP="003A3156" w14:paraId="6DD26668"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Application (June 15, 2016); Amended Application (Oct. 14, 2016).</w:t>
      </w:r>
    </w:p>
  </w:footnote>
  <w:footnote w:id="8">
    <w:p w:rsidR="00815194" w:rsidRPr="003A3156" w:rsidP="003A3156" w14:paraId="3BAF94B3"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Ohio Adm. Code 4901:1-39-04(C)(5)(i).</w:t>
      </w:r>
    </w:p>
  </w:footnote>
  <w:footnote w:id="9">
    <w:p w:rsidR="00815194" w:rsidRPr="003A3156" w:rsidP="003A3156" w14:paraId="59E866AD"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Case No. 16-</w:t>
      </w:r>
      <w:r w:rsidR="00E154AC">
        <w:rPr>
          <w:rFonts w:ascii="Times New Roman" w:hAnsi="Times New Roman" w:cs="Times New Roman"/>
        </w:rPr>
        <w:t>743</w:t>
      </w:r>
      <w:r w:rsidRPr="003A3156">
        <w:rPr>
          <w:rFonts w:ascii="Times New Roman" w:hAnsi="Times New Roman" w:cs="Times New Roman"/>
        </w:rPr>
        <w:t xml:space="preserve">-EL-POR, Opinion &amp; Order ¶ 33 (Nov. 21, 2017). </w:t>
      </w:r>
    </w:p>
  </w:footnote>
  <w:footnote w:id="10">
    <w:p w:rsidR="00815194" w:rsidRPr="003A3156" w:rsidP="003A3156" w14:paraId="43B7D7E9"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Case No. 16-</w:t>
      </w:r>
      <w:r w:rsidR="00E154AC">
        <w:rPr>
          <w:rFonts w:ascii="Times New Roman" w:hAnsi="Times New Roman" w:cs="Times New Roman"/>
        </w:rPr>
        <w:t>743</w:t>
      </w:r>
      <w:r w:rsidRPr="003A3156">
        <w:rPr>
          <w:rFonts w:ascii="Times New Roman" w:hAnsi="Times New Roman" w:cs="Times New Roman"/>
        </w:rPr>
        <w:t>-E</w:t>
      </w:r>
      <w:r w:rsidR="00E154AC">
        <w:rPr>
          <w:rFonts w:ascii="Times New Roman" w:hAnsi="Times New Roman" w:cs="Times New Roman"/>
        </w:rPr>
        <w:t>L</w:t>
      </w:r>
      <w:r w:rsidRPr="003A3156">
        <w:rPr>
          <w:rFonts w:ascii="Times New Roman" w:hAnsi="Times New Roman" w:cs="Times New Roman"/>
        </w:rPr>
        <w:t>-POR, Stipulation and Recommendation Ex. A (Dec. 8, 2016) (showing a three-year budget of $268.5 million over three years, which is $89.5 per year, all of which is for program costs and not shared savings).</w:t>
      </w:r>
    </w:p>
  </w:footnote>
  <w:footnote w:id="11">
    <w:p w:rsidR="00815194" w:rsidRPr="003A3156" w:rsidP="003A3156" w14:paraId="7EE2D00B"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In each of these dictionaries, there are various definitions of “budget,” as the word can mean different things in different contexts. The two definitions provided are those that most accurately describe a utility’s process of allocating funds to run energy efficiency programs.</w:t>
      </w:r>
    </w:p>
  </w:footnote>
  <w:footnote w:id="12">
    <w:p w:rsidR="00815194" w:rsidRPr="003A3156" w:rsidP="003A3156" w14:paraId="5E54445C"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“All other” means other than the “budget.”</w:t>
      </w:r>
    </w:p>
  </w:footnote>
  <w:footnote w:id="13">
    <w:p w:rsidR="00815194" w:rsidRPr="003A3156" w:rsidP="003A3156" w14:paraId="61CF5BC1"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R.C. 4928.66(F)(4)</w:t>
      </w:r>
      <w:r w:rsidRPr="003A3156" w:rsidR="00203E33">
        <w:rPr>
          <w:rFonts w:ascii="Times New Roman" w:hAnsi="Times New Roman" w:cs="Times New Roman"/>
        </w:rPr>
        <w:t xml:space="preserve"> (emphasis added)</w:t>
      </w:r>
      <w:r w:rsidRPr="003A3156">
        <w:rPr>
          <w:rFonts w:ascii="Times New Roman" w:hAnsi="Times New Roman" w:cs="Times New Roman"/>
        </w:rPr>
        <w:t>.</w:t>
      </w:r>
    </w:p>
  </w:footnote>
  <w:footnote w:id="14">
    <w:p w:rsidR="00815194" w:rsidRPr="003A3156" w:rsidP="003A3156" w14:paraId="6AFFEF40"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Opinion &amp; Order (Sept. 27, 2017) (approving “shared savings” for Duke for the 2017-2019 portfolio).</w:t>
      </w:r>
    </w:p>
  </w:footnote>
  <w:footnote w:id="15">
    <w:p w:rsidR="00815194" w:rsidRPr="003A3156" w:rsidP="003A3156" w14:paraId="778A58EB"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The mandates end when Ohio’s electric utilities collectively reach 17.5% cumulative savings. According to the PUCO Staff’s most recent report, utilities are expected to reach 17.29% savings by the end of 2019, which suggests that the 17.5% mandate will be reached very soon.</w:t>
      </w:r>
    </w:p>
  </w:footnote>
  <w:footnote w:id="16">
    <w:p w:rsidR="00815194" w:rsidRPr="003A3156" w:rsidP="003A3156" w14:paraId="11821427"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These number come from Duke’s Attachment JEZ-1.</w:t>
      </w:r>
    </w:p>
  </w:footnote>
  <w:footnote w:id="17">
    <w:p w:rsidR="00815194" w:rsidRPr="003A3156" w:rsidP="003A3156" w14:paraId="464BDB7B"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Duke Correspondence at 2.</w:t>
      </w:r>
    </w:p>
  </w:footnote>
  <w:footnote w:id="18">
    <w:p w:rsidR="00815194" w:rsidRPr="003A3156" w:rsidP="003A3156" w14:paraId="672FEA2D"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10.00% / (1 – 0.361) = 15.6%</w:t>
      </w:r>
    </w:p>
  </w:footnote>
  <w:footnote w:id="19">
    <w:p w:rsidR="00815194" w:rsidRPr="003A3156" w:rsidP="003A3156" w14:paraId="3437C127" w14:textId="77777777">
      <w:pPr>
        <w:pStyle w:val="FootnoteText"/>
        <w:spacing w:after="120"/>
        <w:rPr>
          <w:rFonts w:ascii="Times New Roman" w:hAnsi="Times New Roman" w:cs="Times New Roman"/>
        </w:rPr>
      </w:pPr>
      <w:r w:rsidRPr="003A3156">
        <w:rPr>
          <w:rStyle w:val="FootnoteReference"/>
          <w:rFonts w:ascii="Times New Roman" w:hAnsi="Times New Roman" w:cs="Times New Roman"/>
        </w:rPr>
        <w:footnoteRef/>
      </w:r>
      <w:r w:rsidRPr="003A3156">
        <w:rPr>
          <w:rFonts w:ascii="Times New Roman" w:hAnsi="Times New Roman" w:cs="Times New Roman"/>
        </w:rPr>
        <w:t xml:space="preserve"> 10.00% / (1 – 0.21) = 12.66%.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D648E" w14:paraId="7698CA2F"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C2F" w14:paraId="319B9F0C" w14:textId="7777777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13C2F" w14:paraId="13758886"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1">
    <w:nsid w:val="0D4E109E"/>
    <w:multiLevelType w:val="hybridMultilevel"/>
    <w:tmpl w:val="E6922FF0"/>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4">
    <w:nsid w:val="1B117EFD"/>
    <w:multiLevelType w:val="hybridMultilevel"/>
    <w:tmpl w:val="F9D88C90"/>
    <w:lvl w:ilvl="0">
      <w:start w:val="1"/>
      <w:numFmt w:val="decimal"/>
      <w:lvlText w:val="%1."/>
      <w:lvlJc w:val="left"/>
      <w:pPr>
        <w:ind w:left="1440" w:hanging="360"/>
      </w:p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5">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7">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8">
    <w:nsid w:val="695C3068"/>
    <w:multiLevelType w:val="hybridMultilevel"/>
    <w:tmpl w:val="97D8D39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9">
    <w:nsid w:val="785F17B3"/>
    <w:multiLevelType w:val="hybridMultilevel"/>
    <w:tmpl w:val="EA44F4B2"/>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0"/>
  </w:num>
  <w:num w:numId="3">
    <w:abstractNumId w:val="6"/>
  </w:num>
  <w:num w:numId="4">
    <w:abstractNumId w:val="3"/>
  </w:num>
  <w:num w:numId="5">
    <w:abstractNumId w:val="5"/>
  </w:num>
  <w:num w:numId="6">
    <w:abstractNumId w:val="7"/>
  </w:num>
  <w:num w:numId="7">
    <w:abstractNumId w:val="4"/>
  </w:num>
  <w:num w:numId="8">
    <w:abstractNumId w:val="9"/>
  </w:num>
  <w:num w:numId="9">
    <w:abstractNumId w:val="1"/>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D89"/>
    <w:rsid w:val="00033CA5"/>
    <w:rsid w:val="00070705"/>
    <w:rsid w:val="000B4B63"/>
    <w:rsid w:val="000D07D7"/>
    <w:rsid w:val="00143E31"/>
    <w:rsid w:val="0015486B"/>
    <w:rsid w:val="00164153"/>
    <w:rsid w:val="001C03C4"/>
    <w:rsid w:val="001D3F88"/>
    <w:rsid w:val="001E176E"/>
    <w:rsid w:val="001E72CB"/>
    <w:rsid w:val="00200DC5"/>
    <w:rsid w:val="00203E33"/>
    <w:rsid w:val="002F6292"/>
    <w:rsid w:val="0035509F"/>
    <w:rsid w:val="003A3156"/>
    <w:rsid w:val="003B52DE"/>
    <w:rsid w:val="003D1D6C"/>
    <w:rsid w:val="0040430B"/>
    <w:rsid w:val="00447D89"/>
    <w:rsid w:val="004C7CFF"/>
    <w:rsid w:val="00506BA2"/>
    <w:rsid w:val="0051575C"/>
    <w:rsid w:val="005226B4"/>
    <w:rsid w:val="0053543F"/>
    <w:rsid w:val="00553D0A"/>
    <w:rsid w:val="005A21AF"/>
    <w:rsid w:val="005B2260"/>
    <w:rsid w:val="005F5AF8"/>
    <w:rsid w:val="00601657"/>
    <w:rsid w:val="006552B8"/>
    <w:rsid w:val="006F15B8"/>
    <w:rsid w:val="007036B5"/>
    <w:rsid w:val="00713C2F"/>
    <w:rsid w:val="00734BB7"/>
    <w:rsid w:val="007462E9"/>
    <w:rsid w:val="00753C3E"/>
    <w:rsid w:val="007F1D0D"/>
    <w:rsid w:val="00815194"/>
    <w:rsid w:val="00836009"/>
    <w:rsid w:val="00871394"/>
    <w:rsid w:val="00871C4B"/>
    <w:rsid w:val="00891283"/>
    <w:rsid w:val="008A6852"/>
    <w:rsid w:val="008D648E"/>
    <w:rsid w:val="00904413"/>
    <w:rsid w:val="00965894"/>
    <w:rsid w:val="00971785"/>
    <w:rsid w:val="009725E2"/>
    <w:rsid w:val="009F206C"/>
    <w:rsid w:val="00AA5799"/>
    <w:rsid w:val="00B165F8"/>
    <w:rsid w:val="00B44B99"/>
    <w:rsid w:val="00B547E1"/>
    <w:rsid w:val="00BA155B"/>
    <w:rsid w:val="00BB1898"/>
    <w:rsid w:val="00C07836"/>
    <w:rsid w:val="00C1295F"/>
    <w:rsid w:val="00C76E8D"/>
    <w:rsid w:val="00CA6BDD"/>
    <w:rsid w:val="00CE4BCC"/>
    <w:rsid w:val="00CE728B"/>
    <w:rsid w:val="00CF312C"/>
    <w:rsid w:val="00D147A5"/>
    <w:rsid w:val="00D347D9"/>
    <w:rsid w:val="00D42F49"/>
    <w:rsid w:val="00D81D9C"/>
    <w:rsid w:val="00D968DD"/>
    <w:rsid w:val="00DA7501"/>
    <w:rsid w:val="00DC09DE"/>
    <w:rsid w:val="00DC4637"/>
    <w:rsid w:val="00DF1294"/>
    <w:rsid w:val="00DF2296"/>
    <w:rsid w:val="00E000C2"/>
    <w:rsid w:val="00E154AC"/>
    <w:rsid w:val="00E56F21"/>
    <w:rsid w:val="00E61F99"/>
    <w:rsid w:val="00E8164C"/>
    <w:rsid w:val="00EE3B19"/>
    <w:rsid w:val="00F771A9"/>
    <w:rsid w:val="00FE406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B547E1"/>
    <w:pPr>
      <w:keepNext/>
      <w:keepLines/>
      <w:spacing w:after="240" w:line="240" w:lineRule="auto"/>
      <w:ind w:left="720" w:right="720" w:hanging="720"/>
      <w:outlineLvl w:val="0"/>
    </w:pPr>
    <w:rPr>
      <w:rFonts w:ascii="Times New Roman Bold" w:hAnsi="Times New Roman Bold" w:eastAsiaTheme="majorEastAsia" w:cstheme="majorBidi"/>
      <w:b/>
      <w:bCs/>
      <w:szCs w:val="28"/>
    </w:rPr>
  </w:style>
  <w:style w:type="paragraph" w:styleId="Heading2">
    <w:name w:val="heading 2"/>
    <w:basedOn w:val="Normal"/>
    <w:next w:val="Normal"/>
    <w:link w:val="Heading2Char"/>
    <w:autoRedefine/>
    <w:uiPriority w:val="9"/>
    <w:unhideWhenUsed/>
    <w:qFormat/>
    <w:rsid w:val="00B547E1"/>
    <w:pPr>
      <w:spacing w:after="240" w:line="240" w:lineRule="auto"/>
      <w:ind w:left="1440" w:hanging="720"/>
      <w:outlineLvl w:val="1"/>
    </w:pPr>
    <w:rPr>
      <w:rFonts w:ascii="Times New Roman Bold" w:hAnsi="Times New Roman Bold" w:eastAsiaTheme="majorEastAsia" w:cstheme="majorBidi"/>
      <w:b/>
      <w:bCs/>
      <w:szCs w:val="26"/>
    </w:rPr>
  </w:style>
  <w:style w:type="paragraph" w:styleId="Heading3">
    <w:name w:val="heading 3"/>
    <w:basedOn w:val="Normal"/>
    <w:next w:val="Normal"/>
    <w:link w:val="Heading3Char"/>
    <w:autoRedefine/>
    <w:uiPriority w:val="9"/>
    <w:unhideWhenUsed/>
    <w:qFormat/>
    <w:rsid w:val="00B547E1"/>
    <w:pPr>
      <w:keepNext/>
      <w:tabs>
        <w:tab w:val="left" w:pos="720"/>
        <w:tab w:val="left" w:pos="1440"/>
      </w:tabs>
      <w:spacing w:after="240" w:line="240" w:lineRule="auto"/>
      <w:ind w:left="2160" w:hanging="720"/>
      <w:outlineLvl w:val="2"/>
    </w:pPr>
    <w:rPr>
      <w:rFonts w:ascii="Times New Roman Bold" w:hAnsi="Times New Roman Bold" w:eastAsiaTheme="majorEastAsia" w:cstheme="majorBidi"/>
      <w:b/>
      <w:bCs/>
      <w:szCs w:val="20"/>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47E1"/>
    <w:rPr>
      <w:rFonts w:ascii="Times New Roman Bold" w:hAnsi="Times New Roman Bold" w:eastAsiaTheme="majorEastAsia" w:cstheme="majorBidi"/>
      <w:b/>
      <w:bCs/>
      <w:sz w:val="24"/>
      <w:szCs w:val="20"/>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basedOn w:val="Normal"/>
    <w:link w:val="FootnoteTextChar"/>
    <w:uiPriority w:val="99"/>
    <w:semiHidden/>
    <w:unhideWhenUsed/>
    <w:rsid w:val="00076C62"/>
    <w:pPr>
      <w:spacing w:after="0"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76C62"/>
    <w:rPr>
      <w:sz w:val="20"/>
      <w:szCs w:val="20"/>
    </w:rPr>
  </w:style>
  <w:style w:type="character" w:styleId="FootnoteReference">
    <w:name w:val="footnote reference"/>
    <w:basedOn w:val="DefaultParagraphFont"/>
    <w:uiPriority w:val="99"/>
    <w:semiHidden/>
    <w:unhideWhenUsed/>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B547E1"/>
    <w:rPr>
      <w:rFonts w:ascii="Times New Roman Bold" w:hAnsi="Times New Roman Bold" w:eastAsiaTheme="majorEastAsia" w:cstheme="majorBidi"/>
      <w:b/>
      <w:bCs/>
      <w:sz w:val="24"/>
      <w:szCs w:val="28"/>
    </w:rPr>
  </w:style>
  <w:style w:type="character" w:customStyle="1" w:styleId="Heading2Char">
    <w:name w:val="Heading 2 Char"/>
    <w:basedOn w:val="DefaultParagraphFont"/>
    <w:link w:val="Heading2"/>
    <w:uiPriority w:val="9"/>
    <w:rsid w:val="00B547E1"/>
    <w:rPr>
      <w:rFonts w:ascii="Times New Roman Bold" w:hAnsi="Times New Roman Bold" w:eastAsiaTheme="majorEastAsia" w:cstheme="majorBidi"/>
      <w:b/>
      <w:bCs/>
      <w:sz w:val="24"/>
      <w:szCs w:val="26"/>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uiPriority w:val="99"/>
    <w:semiHidden/>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semiHidden/>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rsid w:val="00525CB3"/>
    <w:pPr>
      <w:tabs>
        <w:tab w:val="decimal" w:leader="dot" w:pos="8640"/>
      </w:tabs>
      <w:spacing w:after="240" w:line="240" w:lineRule="auto"/>
      <w:ind w:left="720" w:hanging="720"/>
      <w:outlineLvl w:val="0"/>
    </w:pPr>
    <w:rPr>
      <w:caps/>
    </w:rPr>
  </w:style>
  <w:style w:type="paragraph" w:styleId="TOC2">
    <w:name w:val="toc 2"/>
    <w:basedOn w:val="Normal"/>
    <w:next w:val="Normal"/>
    <w:autoRedefine/>
    <w:uiPriority w:val="39"/>
    <w:unhideWhenUsed/>
    <w:rsid w:val="00AA4EEE"/>
    <w:pPr>
      <w:tabs>
        <w:tab w:val="left" w:pos="720"/>
        <w:tab w:val="decimal" w:leader="dot" w:pos="8640"/>
      </w:tabs>
      <w:spacing w:after="240" w:line="240" w:lineRule="auto"/>
      <w:ind w:left="1440" w:hanging="720"/>
      <w:outlineLvl w:val="1"/>
    </w:pPr>
  </w:style>
  <w:style w:type="paragraph" w:styleId="TOC3">
    <w:name w:val="toc 3"/>
    <w:basedOn w:val="Normal"/>
    <w:next w:val="Normal"/>
    <w:autoRedefine/>
    <w:uiPriority w:val="39"/>
    <w:unhideWhenUsed/>
    <w:rsid w:val="00F17368"/>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character" w:styleId="FollowedHyperlink">
    <w:name w:val="FollowedHyperlink"/>
    <w:basedOn w:val="DefaultParagraphFont"/>
    <w:uiPriority w:val="99"/>
    <w:semiHidden/>
    <w:unhideWhenUsed/>
    <w:rsid w:val="007200FA"/>
    <w:rPr>
      <w:color w:val="800080" w:themeColor="followedHyperlink"/>
      <w:u w:val="single"/>
    </w:rPr>
  </w:style>
  <w:style w:type="character" w:customStyle="1" w:styleId="UnresolvedMention1">
    <w:name w:val="Unresolved Mention1"/>
    <w:basedOn w:val="DefaultParagraphFont"/>
    <w:uiPriority w:val="99"/>
    <w:rsid w:val="00B547E1"/>
    <w:rPr>
      <w:color w:val="605E5C"/>
      <w:shd w:val="clear" w:color="auto" w:fill="E1DFDD"/>
    </w:rPr>
  </w:style>
  <w:style w:type="character" w:customStyle="1" w:styleId="UnresolvedMention2">
    <w:name w:val="Unresolved Mention2"/>
    <w:basedOn w:val="DefaultParagraphFont"/>
    <w:uiPriority w:val="99"/>
    <w:rsid w:val="006552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footer" Target="footer4.xml" /><Relationship Id="rId12" Type="http://schemas.openxmlformats.org/officeDocument/2006/relationships/image" Target="media/image1.png" /><Relationship Id="rId13" Type="http://schemas.openxmlformats.org/officeDocument/2006/relationships/image" Target="media/image2.png" /><Relationship Id="rId14" Type="http://schemas.openxmlformats.org/officeDocument/2006/relationships/image" Target="media/image3.png" /><Relationship Id="rId15" Type="http://schemas.openxmlformats.org/officeDocument/2006/relationships/image" Target="media/image4.png" /><Relationship Id="rId16" Type="http://schemas.openxmlformats.org/officeDocument/2006/relationships/image" Target="media/image5.png" /><Relationship Id="rId17" Type="http://schemas.openxmlformats.org/officeDocument/2006/relationships/header" Target="header2.xml" /><Relationship Id="rId18" Type="http://schemas.openxmlformats.org/officeDocument/2006/relationships/hyperlink" Target="mailto:Bojko@carpenterlipps.com" TargetMode="External" /><Relationship Id="rId19" Type="http://schemas.openxmlformats.org/officeDocument/2006/relationships/hyperlink" Target="mailto:perko@carpenterlipps.com" TargetMode="External" /><Relationship Id="rId2" Type="http://schemas.openxmlformats.org/officeDocument/2006/relationships/settings" Target="settings.xml" /><Relationship Id="rId20" Type="http://schemas.openxmlformats.org/officeDocument/2006/relationships/hyperlink" Target="mailto:dutton@carpenterlipps.com" TargetMode="External" /><Relationship Id="rId21" Type="http://schemas.openxmlformats.org/officeDocument/2006/relationships/hyperlink" Target="mailto:paul@carpenterlipps.com" TargetMode="External" /><Relationship Id="rId22" Type="http://schemas.openxmlformats.org/officeDocument/2006/relationships/hyperlink" Target="mailto:mfleisher@dickinsonwright.com" TargetMode="External" /><Relationship Id="rId23" Type="http://schemas.openxmlformats.org/officeDocument/2006/relationships/hyperlink" Target="mailto:fdarr@mwncmh.com" TargetMode="External" /><Relationship Id="rId24" Type="http://schemas.openxmlformats.org/officeDocument/2006/relationships/hyperlink" Target="mailto:mpritchard@mcneeslaw.com" TargetMode="External" /><Relationship Id="rId25" Type="http://schemas.openxmlformats.org/officeDocument/2006/relationships/hyperlink" Target="mailto:joliker@igsenergy.com" TargetMode="External" /><Relationship Id="rId26" Type="http://schemas.openxmlformats.org/officeDocument/2006/relationships/hyperlink" Target="mailto:John.jones@ohioattorneygeneral.gov" TargetMode="External" /><Relationship Id="rId27" Type="http://schemas.openxmlformats.org/officeDocument/2006/relationships/hyperlink" Target="mailto:snix@ohioenergy.org" TargetMode="External" /><Relationship Id="rId28" Type="http://schemas.openxmlformats.org/officeDocument/2006/relationships/hyperlink" Target="mailto:abrink@nhtinc.org" TargetMode="External" /><Relationship Id="rId29" Type="http://schemas.openxmlformats.org/officeDocument/2006/relationships/hyperlink" Target="mailto:ccox@elpc.org" TargetMode="External" /><Relationship Id="rId3" Type="http://schemas.openxmlformats.org/officeDocument/2006/relationships/webSettings" Target="webSettings.xml" /><Relationship Id="rId30" Type="http://schemas.openxmlformats.org/officeDocument/2006/relationships/hyperlink" Target="mailto:rkelter@elpc.org" TargetMode="External" /><Relationship Id="rId31" Type="http://schemas.openxmlformats.org/officeDocument/2006/relationships/hyperlink" Target="mailto:Richard.bulgrin@puco.ohio.gov" TargetMode="External" /><Relationship Id="rId32" Type="http://schemas.openxmlformats.org/officeDocument/2006/relationships/hyperlink" Target="mailto:Anna.sanyal@puco.ohio.gov" TargetMode="External" /><Relationship Id="rId33" Type="http://schemas.openxmlformats.org/officeDocument/2006/relationships/hyperlink" Target="mailto:Elizabeth.watts@duke-energy.com" TargetMode="External" /><Relationship Id="rId34" Type="http://schemas.openxmlformats.org/officeDocument/2006/relationships/hyperlink" Target="mailto:Rocco.DAscenzo@duke-energy.com" TargetMode="External" /><Relationship Id="rId35" Type="http://schemas.openxmlformats.org/officeDocument/2006/relationships/hyperlink" Target="mailto:tdougherty@theOEC.org" TargetMode="External" /><Relationship Id="rId36" Type="http://schemas.openxmlformats.org/officeDocument/2006/relationships/hyperlink" Target="mailto:jfinnigan@edf.org" TargetMode="External" /><Relationship Id="rId37" Type="http://schemas.openxmlformats.org/officeDocument/2006/relationships/hyperlink" Target="mailto:rdove@keglerbrown.com" TargetMode="External" /><Relationship Id="rId38" Type="http://schemas.openxmlformats.org/officeDocument/2006/relationships/hyperlink" Target="mailto:mwarnock@bricker.com" TargetMode="External" /><Relationship Id="rId39" Type="http://schemas.openxmlformats.org/officeDocument/2006/relationships/hyperlink" Target="mailto:dborchers@bricker.com" TargetMode="External" /><Relationship Id="rId4" Type="http://schemas.openxmlformats.org/officeDocument/2006/relationships/fontTable" Target="fontTable.xml" /><Relationship Id="rId40" Type="http://schemas.openxmlformats.org/officeDocument/2006/relationships/hyperlink" Target="mailto:callwein@keglerbrown.com" TargetMode="External" /><Relationship Id="rId41" Type="http://schemas.openxmlformats.org/officeDocument/2006/relationships/hyperlink" Target="mailto:dparram@bricker.com" TargetMode="External" /><Relationship Id="rId42" Type="http://schemas.openxmlformats.org/officeDocument/2006/relationships/hyperlink" Target="mailto:stnourse@aep.com" TargetMode="External" /><Relationship Id="rId43" Type="http://schemas.openxmlformats.org/officeDocument/2006/relationships/hyperlink" Target="mailto:cmooney@opae.org" TargetMode="External" /><Relationship Id="rId44" Type="http://schemas.openxmlformats.org/officeDocument/2006/relationships/hyperlink" Target="mailto:mleppla@theoec.org" TargetMode="External" /><Relationship Id="rId45" Type="http://schemas.openxmlformats.org/officeDocument/2006/relationships/header" Target="header3.xml" /><Relationship Id="rId46" Type="http://schemas.openxmlformats.org/officeDocument/2006/relationships/footer" Target="footer5.xml" /><Relationship Id="rId47" Type="http://schemas.openxmlformats.org/officeDocument/2006/relationships/theme" Target="theme/theme1.xml" /><Relationship Id="rId48" Type="http://schemas.openxmlformats.org/officeDocument/2006/relationships/numbering" Target="numbering.xml" /><Relationship Id="rId49"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christopher.healey@occ.ohio.gov" TargetMode="External" /><Relationship Id="rId7" Type="http://schemas.openxmlformats.org/officeDocument/2006/relationships/footer" Target="footer1.xml" /><Relationship Id="rId8" Type="http://schemas.openxmlformats.org/officeDocument/2006/relationships/header" Target="head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7BAF1-DB1D-4AD1-96CB-3E46486B13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3072</Words>
  <Characters>17514</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Duke 16-576 - OCC Motion to Eliminate Shared Savings.DOCX</vt:lpstr>
    </vt:vector>
  </TitlesOfParts>
  <Company/>
  <LinksUpToDate>false</LinksUpToDate>
  <CharactersWithSpaces>20545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2019-12-09T17:56:50Z</dcterms:created>
  <dcterms:modified xsi:type="dcterms:W3CDTF">2019-12-09T17:56:50Z</dcterms:modified>
</cp:coreProperties>
</file>