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E9" w:rsidRPr="008F2F89" w:rsidRDefault="005740E9" w:rsidP="005740E9">
      <w:pPr>
        <w:jc w:val="center"/>
        <w:rPr>
          <w:b/>
          <w:sz w:val="28"/>
          <w:szCs w:val="28"/>
        </w:rPr>
      </w:pPr>
      <w:bookmarkStart w:id="0" w:name="OLE_LINK4"/>
      <w:bookmarkStart w:id="1" w:name="_GoBack"/>
      <w:bookmarkEnd w:id="1"/>
      <w:r w:rsidRPr="008F2F89">
        <w:rPr>
          <w:b/>
          <w:sz w:val="28"/>
          <w:szCs w:val="28"/>
        </w:rPr>
        <w:t>BEFORE</w:t>
      </w:r>
    </w:p>
    <w:p w:rsidR="005740E9" w:rsidRDefault="005740E9" w:rsidP="005740E9">
      <w:pPr>
        <w:jc w:val="center"/>
        <w:rPr>
          <w:b/>
          <w:sz w:val="28"/>
          <w:szCs w:val="28"/>
        </w:rPr>
      </w:pPr>
      <w:r w:rsidRPr="008F2F89">
        <w:rPr>
          <w:b/>
          <w:sz w:val="28"/>
          <w:szCs w:val="28"/>
        </w:rPr>
        <w:t>THE PUBLIC UTILITIES COMMISSION OF OHIO</w:t>
      </w:r>
    </w:p>
    <w:p w:rsidR="005740E9" w:rsidRDefault="005740E9" w:rsidP="005740E9">
      <w:pPr>
        <w:jc w:val="center"/>
        <w:rPr>
          <w:b/>
          <w:sz w:val="28"/>
          <w:szCs w:val="28"/>
        </w:rPr>
      </w:pPr>
    </w:p>
    <w:p w:rsidR="005740E9" w:rsidRPr="008F2F89" w:rsidRDefault="005740E9" w:rsidP="005740E9">
      <w:pPr>
        <w:jc w:val="center"/>
        <w:rPr>
          <w:b/>
          <w:sz w:val="28"/>
          <w:szCs w:val="28"/>
        </w:rPr>
      </w:pPr>
    </w:p>
    <w:p w:rsidR="005740E9" w:rsidRDefault="005740E9" w:rsidP="005740E9">
      <w:pPr>
        <w:jc w:val="center"/>
        <w:rPr>
          <w:b/>
        </w:rPr>
      </w:pPr>
    </w:p>
    <w:tbl>
      <w:tblPr>
        <w:tblW w:w="0" w:type="auto"/>
        <w:tblLook w:val="04A0" w:firstRow="1" w:lastRow="0" w:firstColumn="1" w:lastColumn="0" w:noHBand="0" w:noVBand="1"/>
      </w:tblPr>
      <w:tblGrid>
        <w:gridCol w:w="4788"/>
        <w:gridCol w:w="289"/>
        <w:gridCol w:w="4248"/>
      </w:tblGrid>
      <w:tr w:rsidR="005740E9" w:rsidRPr="00A02CD4" w:rsidTr="00E247A2">
        <w:tc>
          <w:tcPr>
            <w:tcW w:w="4788" w:type="dxa"/>
            <w:shd w:val="clear" w:color="auto" w:fill="auto"/>
          </w:tcPr>
          <w:p w:rsidR="005740E9" w:rsidRPr="00A02CD4" w:rsidRDefault="005740E9" w:rsidP="00E247A2">
            <w:pPr>
              <w:rPr>
                <w:sz w:val="26"/>
                <w:szCs w:val="26"/>
              </w:rPr>
            </w:pPr>
            <w:r w:rsidRPr="00A02CD4">
              <w:rPr>
                <w:sz w:val="26"/>
                <w:szCs w:val="26"/>
              </w:rPr>
              <w:t xml:space="preserve">In the Matter of the Long-Term Forecast Report of </w:t>
            </w:r>
            <w:r w:rsidRPr="00A02CD4">
              <w:rPr>
                <w:b/>
                <w:sz w:val="26"/>
                <w:szCs w:val="26"/>
              </w:rPr>
              <w:t xml:space="preserve">Ohio Power Company </w:t>
            </w:r>
            <w:r w:rsidRPr="00A02CD4">
              <w:rPr>
                <w:sz w:val="26"/>
                <w:szCs w:val="26"/>
              </w:rPr>
              <w:t xml:space="preserve">and Related </w:t>
            </w:r>
            <w:proofErr w:type="gramStart"/>
            <w:r w:rsidRPr="00A02CD4">
              <w:rPr>
                <w:sz w:val="26"/>
                <w:szCs w:val="26"/>
              </w:rPr>
              <w:t>Matters.</w:t>
            </w:r>
            <w:proofErr w:type="gramEnd"/>
            <w:r w:rsidRPr="00A02CD4">
              <w:rPr>
                <w:sz w:val="26"/>
                <w:szCs w:val="26"/>
              </w:rPr>
              <w:t xml:space="preserve"> </w:t>
            </w:r>
          </w:p>
          <w:p w:rsidR="005740E9" w:rsidRPr="00A02CD4" w:rsidRDefault="005740E9" w:rsidP="00E247A2">
            <w:pPr>
              <w:rPr>
                <w:sz w:val="26"/>
                <w:szCs w:val="26"/>
              </w:rPr>
            </w:pPr>
          </w:p>
          <w:p w:rsidR="005740E9" w:rsidRPr="00A02CD4" w:rsidRDefault="005740E9" w:rsidP="00E247A2">
            <w:pPr>
              <w:tabs>
                <w:tab w:val="left" w:pos="687"/>
              </w:tabs>
              <w:rPr>
                <w:b/>
                <w:sz w:val="26"/>
                <w:szCs w:val="26"/>
              </w:rPr>
            </w:pPr>
            <w:r w:rsidRPr="00A02CD4">
              <w:rPr>
                <w:sz w:val="26"/>
                <w:szCs w:val="26"/>
              </w:rPr>
              <w:t xml:space="preserve">In the Matter of the Long-Term Forecast Report of </w:t>
            </w:r>
            <w:r w:rsidRPr="00A02CD4">
              <w:rPr>
                <w:b/>
                <w:sz w:val="26"/>
                <w:szCs w:val="26"/>
              </w:rPr>
              <w:t xml:space="preserve">Columbus Southern Power Company </w:t>
            </w:r>
            <w:r w:rsidRPr="00A02CD4">
              <w:rPr>
                <w:sz w:val="26"/>
                <w:szCs w:val="26"/>
              </w:rPr>
              <w:t xml:space="preserve">and Related Matters. </w:t>
            </w:r>
          </w:p>
        </w:tc>
        <w:tc>
          <w:tcPr>
            <w:tcW w:w="289" w:type="dxa"/>
            <w:shd w:val="clear" w:color="auto" w:fill="auto"/>
          </w:tcPr>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sz w:val="26"/>
                <w:szCs w:val="26"/>
              </w:rPr>
            </w:pPr>
          </w:p>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b/>
                <w:sz w:val="26"/>
                <w:szCs w:val="26"/>
              </w:rPr>
            </w:pPr>
            <w:r w:rsidRPr="00A02CD4">
              <w:rPr>
                <w:sz w:val="26"/>
                <w:szCs w:val="26"/>
              </w:rPr>
              <w:t>:</w:t>
            </w:r>
          </w:p>
        </w:tc>
        <w:tc>
          <w:tcPr>
            <w:tcW w:w="4248" w:type="dxa"/>
            <w:shd w:val="clear" w:color="auto" w:fill="auto"/>
          </w:tcPr>
          <w:p w:rsidR="005740E9" w:rsidRPr="00A02CD4" w:rsidRDefault="005740E9" w:rsidP="00E247A2">
            <w:pPr>
              <w:rPr>
                <w:b/>
                <w:sz w:val="26"/>
                <w:szCs w:val="26"/>
              </w:rPr>
            </w:pPr>
          </w:p>
          <w:p w:rsidR="005740E9" w:rsidRPr="00A02CD4" w:rsidRDefault="005740E9" w:rsidP="00E247A2">
            <w:pPr>
              <w:rPr>
                <w:b/>
                <w:sz w:val="26"/>
                <w:szCs w:val="26"/>
              </w:rPr>
            </w:pPr>
            <w:r w:rsidRPr="00A02CD4">
              <w:rPr>
                <w:b/>
                <w:sz w:val="26"/>
                <w:szCs w:val="26"/>
              </w:rPr>
              <w:t>Case No. 10-501-EL-FOR</w:t>
            </w:r>
          </w:p>
          <w:p w:rsidR="005740E9" w:rsidRPr="00A02CD4" w:rsidRDefault="005740E9" w:rsidP="00E247A2">
            <w:pPr>
              <w:rPr>
                <w:b/>
                <w:sz w:val="26"/>
                <w:szCs w:val="26"/>
              </w:rPr>
            </w:pPr>
          </w:p>
          <w:p w:rsidR="005740E9" w:rsidRPr="00A02CD4" w:rsidRDefault="005740E9" w:rsidP="00E247A2">
            <w:pPr>
              <w:rPr>
                <w:b/>
                <w:sz w:val="26"/>
                <w:szCs w:val="26"/>
              </w:rPr>
            </w:pPr>
          </w:p>
          <w:p w:rsidR="005740E9" w:rsidRPr="00A02CD4" w:rsidRDefault="005740E9" w:rsidP="00E247A2">
            <w:pPr>
              <w:rPr>
                <w:b/>
                <w:sz w:val="26"/>
                <w:szCs w:val="26"/>
              </w:rPr>
            </w:pPr>
          </w:p>
          <w:p w:rsidR="005740E9" w:rsidRPr="00A02CD4" w:rsidRDefault="005740E9" w:rsidP="00E247A2">
            <w:pPr>
              <w:rPr>
                <w:b/>
                <w:sz w:val="26"/>
                <w:szCs w:val="26"/>
              </w:rPr>
            </w:pPr>
            <w:r w:rsidRPr="00A02CD4">
              <w:rPr>
                <w:b/>
                <w:sz w:val="26"/>
                <w:szCs w:val="26"/>
              </w:rPr>
              <w:t>Case No. 10-502-EL-FOR</w:t>
            </w:r>
          </w:p>
          <w:p w:rsidR="005740E9" w:rsidRPr="00A02CD4" w:rsidRDefault="005740E9" w:rsidP="00E247A2">
            <w:pPr>
              <w:rPr>
                <w:b/>
                <w:sz w:val="26"/>
                <w:szCs w:val="26"/>
              </w:rPr>
            </w:pPr>
          </w:p>
        </w:tc>
      </w:tr>
    </w:tbl>
    <w:p w:rsidR="005740E9" w:rsidRDefault="005740E9" w:rsidP="005740E9">
      <w:pPr>
        <w:jc w:val="center"/>
        <w:rPr>
          <w:b/>
        </w:rPr>
      </w:pPr>
    </w:p>
    <w:bookmarkEnd w:id="0"/>
    <w:p w:rsidR="005740E9" w:rsidRDefault="005740E9" w:rsidP="005740E9"/>
    <w:p w:rsidR="005740E9" w:rsidRDefault="005740E9" w:rsidP="005740E9"/>
    <w:p w:rsidR="005740E9" w:rsidRDefault="005740E9" w:rsidP="005740E9"/>
    <w:p w:rsidR="005740E9" w:rsidRPr="00145B29" w:rsidRDefault="005740E9" w:rsidP="005740E9">
      <w:pPr>
        <w:tabs>
          <w:tab w:val="left" w:pos="9360"/>
        </w:tabs>
        <w:autoSpaceDE w:val="0"/>
        <w:autoSpaceDN w:val="0"/>
        <w:adjustRightInd w:val="0"/>
        <w:rPr>
          <w:b/>
          <w:u w:val="single"/>
        </w:rPr>
      </w:pPr>
      <w:r>
        <w:rPr>
          <w:b/>
          <w:u w:val="single"/>
        </w:rPr>
        <w:tab/>
      </w:r>
    </w:p>
    <w:p w:rsidR="005740E9" w:rsidRDefault="005740E9" w:rsidP="005740E9">
      <w:pPr>
        <w:autoSpaceDE w:val="0"/>
        <w:autoSpaceDN w:val="0"/>
        <w:adjustRightInd w:val="0"/>
        <w:jc w:val="center"/>
        <w:rPr>
          <w:b/>
        </w:rPr>
      </w:pPr>
    </w:p>
    <w:p w:rsidR="00117663" w:rsidRDefault="00117663" w:rsidP="005740E9">
      <w:pPr>
        <w:autoSpaceDE w:val="0"/>
        <w:autoSpaceDN w:val="0"/>
        <w:adjustRightInd w:val="0"/>
        <w:jc w:val="center"/>
        <w:rPr>
          <w:b/>
          <w:sz w:val="32"/>
          <w:szCs w:val="32"/>
        </w:rPr>
      </w:pPr>
      <w:r w:rsidRPr="00117663">
        <w:rPr>
          <w:b/>
          <w:sz w:val="32"/>
          <w:szCs w:val="32"/>
        </w:rPr>
        <w:t>BRIEF IN RESPONSE TO SEPTEMBER 5, 2012 ORDER</w:t>
      </w:r>
    </w:p>
    <w:p w:rsidR="005740E9" w:rsidRDefault="005740E9" w:rsidP="005740E9">
      <w:pPr>
        <w:autoSpaceDE w:val="0"/>
        <w:autoSpaceDN w:val="0"/>
        <w:adjustRightInd w:val="0"/>
        <w:jc w:val="center"/>
        <w:rPr>
          <w:b/>
          <w:sz w:val="28"/>
          <w:szCs w:val="28"/>
        </w:rPr>
      </w:pPr>
      <w:r>
        <w:rPr>
          <w:b/>
          <w:sz w:val="28"/>
          <w:szCs w:val="28"/>
        </w:rPr>
        <w:t>SUBMITTED ON BEHALF OF THE STAFF OF</w:t>
      </w:r>
    </w:p>
    <w:p w:rsidR="005740E9" w:rsidRPr="008F2F89" w:rsidRDefault="005740E9" w:rsidP="005740E9">
      <w:pPr>
        <w:autoSpaceDE w:val="0"/>
        <w:autoSpaceDN w:val="0"/>
        <w:adjustRightInd w:val="0"/>
        <w:jc w:val="center"/>
        <w:rPr>
          <w:b/>
          <w:sz w:val="28"/>
          <w:szCs w:val="28"/>
        </w:rPr>
      </w:pPr>
      <w:r>
        <w:rPr>
          <w:b/>
          <w:sz w:val="28"/>
          <w:szCs w:val="28"/>
        </w:rPr>
        <w:t>THE PUBLIC UTILITIES COMMISSION OF OHIO</w:t>
      </w:r>
    </w:p>
    <w:p w:rsidR="005740E9" w:rsidRDefault="005740E9" w:rsidP="005740E9">
      <w:pPr>
        <w:tabs>
          <w:tab w:val="left" w:pos="9360"/>
        </w:tabs>
        <w:autoSpaceDE w:val="0"/>
        <w:autoSpaceDN w:val="0"/>
        <w:adjustRightInd w:val="0"/>
        <w:rPr>
          <w:b/>
          <w:u w:val="single"/>
        </w:rPr>
      </w:pPr>
      <w:r>
        <w:rPr>
          <w:b/>
          <w:u w:val="single"/>
        </w:rPr>
        <w:tab/>
      </w:r>
    </w:p>
    <w:p w:rsidR="005740E9" w:rsidRDefault="005740E9" w:rsidP="005740E9">
      <w:pPr>
        <w:tabs>
          <w:tab w:val="left" w:pos="9360"/>
        </w:tabs>
        <w:autoSpaceDE w:val="0"/>
        <w:autoSpaceDN w:val="0"/>
        <w:adjustRightInd w:val="0"/>
        <w:rPr>
          <w:b/>
          <w:u w:val="single"/>
        </w:rPr>
      </w:pPr>
    </w:p>
    <w:p w:rsidR="005740E9" w:rsidRPr="00145B29" w:rsidRDefault="005740E9" w:rsidP="005740E9">
      <w:pPr>
        <w:tabs>
          <w:tab w:val="left" w:pos="9360"/>
        </w:tabs>
        <w:autoSpaceDE w:val="0"/>
        <w:autoSpaceDN w:val="0"/>
        <w:adjustRightInd w:val="0"/>
        <w:rPr>
          <w:b/>
          <w:u w:val="single"/>
        </w:rPr>
      </w:pPr>
    </w:p>
    <w:p w:rsidR="005740E9" w:rsidRDefault="005740E9" w:rsidP="005740E9">
      <w:pPr>
        <w:autoSpaceDE w:val="0"/>
        <w:autoSpaceDN w:val="0"/>
        <w:adjustRightInd w:val="0"/>
        <w:jc w:val="center"/>
        <w:rPr>
          <w:b/>
        </w:rPr>
      </w:pPr>
    </w:p>
    <w:tbl>
      <w:tblPr>
        <w:tblW w:w="0" w:type="auto"/>
        <w:tblLook w:val="04A0" w:firstRow="1" w:lastRow="0" w:firstColumn="1" w:lastColumn="0" w:noHBand="0" w:noVBand="1"/>
      </w:tblPr>
      <w:tblGrid>
        <w:gridCol w:w="4788"/>
        <w:gridCol w:w="4788"/>
      </w:tblGrid>
      <w:tr w:rsidR="005740E9" w:rsidRPr="00A02CD4" w:rsidTr="00E247A2">
        <w:tc>
          <w:tcPr>
            <w:tcW w:w="4788" w:type="dxa"/>
            <w:shd w:val="clear" w:color="auto" w:fill="auto"/>
          </w:tcPr>
          <w:p w:rsidR="005740E9" w:rsidRPr="00A02CD4" w:rsidRDefault="005740E9" w:rsidP="00E247A2">
            <w:pPr>
              <w:autoSpaceDE w:val="0"/>
              <w:autoSpaceDN w:val="0"/>
              <w:adjustRightInd w:val="0"/>
              <w:jc w:val="center"/>
              <w:rPr>
                <w:b/>
              </w:rPr>
            </w:pPr>
          </w:p>
        </w:tc>
        <w:tc>
          <w:tcPr>
            <w:tcW w:w="4788" w:type="dxa"/>
            <w:shd w:val="clear" w:color="auto" w:fill="auto"/>
          </w:tcPr>
          <w:p w:rsidR="006B18D5" w:rsidRDefault="006B18D5" w:rsidP="00E247A2">
            <w:pPr>
              <w:autoSpaceDE w:val="0"/>
              <w:autoSpaceDN w:val="0"/>
              <w:adjustRightInd w:val="0"/>
              <w:rPr>
                <w:sz w:val="26"/>
                <w:szCs w:val="26"/>
              </w:rPr>
            </w:pPr>
            <w:r>
              <w:rPr>
                <w:b/>
                <w:sz w:val="26"/>
                <w:szCs w:val="26"/>
              </w:rPr>
              <w:t>Michael DeWine</w:t>
            </w:r>
          </w:p>
          <w:p w:rsidR="006B18D5" w:rsidRDefault="006B18D5" w:rsidP="00E247A2">
            <w:pPr>
              <w:autoSpaceDE w:val="0"/>
              <w:autoSpaceDN w:val="0"/>
              <w:adjustRightInd w:val="0"/>
              <w:rPr>
                <w:sz w:val="26"/>
                <w:szCs w:val="26"/>
              </w:rPr>
            </w:pPr>
            <w:r>
              <w:rPr>
                <w:sz w:val="26"/>
                <w:szCs w:val="26"/>
              </w:rPr>
              <w:t>Ohio Attorney General</w:t>
            </w:r>
          </w:p>
          <w:p w:rsidR="006B18D5" w:rsidRDefault="006B18D5" w:rsidP="00E247A2">
            <w:pPr>
              <w:autoSpaceDE w:val="0"/>
              <w:autoSpaceDN w:val="0"/>
              <w:adjustRightInd w:val="0"/>
              <w:rPr>
                <w:sz w:val="26"/>
                <w:szCs w:val="26"/>
              </w:rPr>
            </w:pPr>
          </w:p>
          <w:p w:rsidR="006B18D5" w:rsidRDefault="006B18D5" w:rsidP="00E247A2">
            <w:pPr>
              <w:autoSpaceDE w:val="0"/>
              <w:autoSpaceDN w:val="0"/>
              <w:adjustRightInd w:val="0"/>
              <w:rPr>
                <w:sz w:val="26"/>
                <w:szCs w:val="26"/>
              </w:rPr>
            </w:pPr>
            <w:r>
              <w:rPr>
                <w:b/>
                <w:sz w:val="26"/>
                <w:szCs w:val="26"/>
              </w:rPr>
              <w:t>William L. Wright</w:t>
            </w:r>
          </w:p>
          <w:p w:rsidR="006B18D5" w:rsidRDefault="006B18D5" w:rsidP="00E247A2">
            <w:pPr>
              <w:autoSpaceDE w:val="0"/>
              <w:autoSpaceDN w:val="0"/>
              <w:adjustRightInd w:val="0"/>
              <w:rPr>
                <w:sz w:val="26"/>
                <w:szCs w:val="26"/>
              </w:rPr>
            </w:pPr>
            <w:r>
              <w:rPr>
                <w:sz w:val="26"/>
                <w:szCs w:val="26"/>
              </w:rPr>
              <w:t>Section Chief</w:t>
            </w:r>
          </w:p>
          <w:p w:rsidR="006B18D5" w:rsidRPr="006B18D5" w:rsidRDefault="006B18D5" w:rsidP="00E247A2">
            <w:pPr>
              <w:autoSpaceDE w:val="0"/>
              <w:autoSpaceDN w:val="0"/>
              <w:adjustRightInd w:val="0"/>
              <w:rPr>
                <w:sz w:val="26"/>
                <w:szCs w:val="26"/>
              </w:rPr>
            </w:pPr>
          </w:p>
          <w:p w:rsidR="005740E9" w:rsidRPr="00A02CD4" w:rsidRDefault="005740E9" w:rsidP="00E247A2">
            <w:pPr>
              <w:autoSpaceDE w:val="0"/>
              <w:autoSpaceDN w:val="0"/>
              <w:adjustRightInd w:val="0"/>
              <w:rPr>
                <w:b/>
                <w:sz w:val="26"/>
                <w:szCs w:val="26"/>
              </w:rPr>
            </w:pPr>
            <w:r w:rsidRPr="00A02CD4">
              <w:rPr>
                <w:b/>
                <w:sz w:val="26"/>
                <w:szCs w:val="26"/>
              </w:rPr>
              <w:t>Thomas W. McNamee</w:t>
            </w:r>
          </w:p>
          <w:p w:rsidR="005740E9" w:rsidRPr="00A02CD4" w:rsidRDefault="005740E9" w:rsidP="00E247A2">
            <w:pPr>
              <w:autoSpaceDE w:val="0"/>
              <w:autoSpaceDN w:val="0"/>
              <w:adjustRightInd w:val="0"/>
              <w:rPr>
                <w:sz w:val="26"/>
                <w:szCs w:val="26"/>
              </w:rPr>
            </w:pPr>
            <w:r w:rsidRPr="00A02CD4">
              <w:rPr>
                <w:sz w:val="26"/>
                <w:szCs w:val="26"/>
              </w:rPr>
              <w:t>Assistant Attorney General</w:t>
            </w:r>
          </w:p>
          <w:p w:rsidR="005740E9" w:rsidRPr="00A02CD4" w:rsidRDefault="005740E9" w:rsidP="00E247A2">
            <w:pPr>
              <w:autoSpaceDE w:val="0"/>
              <w:autoSpaceDN w:val="0"/>
              <w:adjustRightInd w:val="0"/>
              <w:rPr>
                <w:sz w:val="26"/>
                <w:szCs w:val="26"/>
              </w:rPr>
            </w:pPr>
            <w:r w:rsidRPr="00A02CD4">
              <w:rPr>
                <w:sz w:val="26"/>
                <w:szCs w:val="26"/>
              </w:rPr>
              <w:t>Public Utilities Section</w:t>
            </w:r>
          </w:p>
          <w:p w:rsidR="005740E9" w:rsidRPr="00A02CD4" w:rsidRDefault="005740E9" w:rsidP="00E247A2">
            <w:pPr>
              <w:autoSpaceDE w:val="0"/>
              <w:autoSpaceDN w:val="0"/>
              <w:adjustRightInd w:val="0"/>
              <w:rPr>
                <w:sz w:val="26"/>
                <w:szCs w:val="26"/>
              </w:rPr>
            </w:pPr>
            <w:r w:rsidRPr="00A02CD4">
              <w:rPr>
                <w:sz w:val="26"/>
                <w:szCs w:val="26"/>
              </w:rPr>
              <w:t>180 East Broad Street, 6</w:t>
            </w:r>
            <w:r w:rsidRPr="00A02CD4">
              <w:rPr>
                <w:sz w:val="26"/>
                <w:szCs w:val="26"/>
                <w:vertAlign w:val="superscript"/>
              </w:rPr>
              <w:t>th</w:t>
            </w:r>
            <w:r w:rsidRPr="00A02CD4">
              <w:rPr>
                <w:sz w:val="26"/>
                <w:szCs w:val="26"/>
              </w:rPr>
              <w:t xml:space="preserve"> Floor</w:t>
            </w:r>
          </w:p>
          <w:p w:rsidR="005740E9" w:rsidRPr="00A02CD4" w:rsidRDefault="005740E9" w:rsidP="00E247A2">
            <w:pPr>
              <w:autoSpaceDE w:val="0"/>
              <w:autoSpaceDN w:val="0"/>
              <w:adjustRightInd w:val="0"/>
              <w:rPr>
                <w:sz w:val="26"/>
                <w:szCs w:val="26"/>
              </w:rPr>
            </w:pPr>
            <w:r w:rsidRPr="00A02CD4">
              <w:rPr>
                <w:sz w:val="26"/>
                <w:szCs w:val="26"/>
              </w:rPr>
              <w:t>Columbus, OH  43215-3793</w:t>
            </w:r>
          </w:p>
          <w:p w:rsidR="005740E9" w:rsidRPr="00A02CD4" w:rsidRDefault="005740E9" w:rsidP="00E247A2">
            <w:pPr>
              <w:autoSpaceDE w:val="0"/>
              <w:autoSpaceDN w:val="0"/>
              <w:adjustRightInd w:val="0"/>
              <w:rPr>
                <w:sz w:val="26"/>
                <w:szCs w:val="26"/>
              </w:rPr>
            </w:pPr>
            <w:r w:rsidRPr="00A02CD4">
              <w:rPr>
                <w:sz w:val="26"/>
                <w:szCs w:val="26"/>
              </w:rPr>
              <w:t>(614) 466-4396</w:t>
            </w:r>
          </w:p>
          <w:p w:rsidR="005740E9" w:rsidRPr="00A02CD4" w:rsidRDefault="005740E9" w:rsidP="00E247A2">
            <w:pPr>
              <w:autoSpaceDE w:val="0"/>
              <w:autoSpaceDN w:val="0"/>
              <w:adjustRightInd w:val="0"/>
              <w:rPr>
                <w:sz w:val="26"/>
                <w:szCs w:val="26"/>
              </w:rPr>
            </w:pPr>
            <w:r w:rsidRPr="00A02CD4">
              <w:rPr>
                <w:sz w:val="26"/>
                <w:szCs w:val="26"/>
              </w:rPr>
              <w:t>Fax:  (614) 644-8764</w:t>
            </w:r>
          </w:p>
          <w:p w:rsidR="005740E9" w:rsidRPr="00A02CD4" w:rsidRDefault="000C1899" w:rsidP="00E247A2">
            <w:pPr>
              <w:autoSpaceDE w:val="0"/>
              <w:autoSpaceDN w:val="0"/>
              <w:adjustRightInd w:val="0"/>
              <w:rPr>
                <w:sz w:val="26"/>
                <w:szCs w:val="26"/>
              </w:rPr>
            </w:pPr>
            <w:hyperlink r:id="rId8" w:history="1">
              <w:r w:rsidR="005740E9" w:rsidRPr="00A02CD4">
                <w:rPr>
                  <w:rStyle w:val="Hyperlink"/>
                  <w:sz w:val="26"/>
                  <w:szCs w:val="26"/>
                </w:rPr>
                <w:t>thomas.mcnamee@puc.state.oh.us</w:t>
              </w:r>
            </w:hyperlink>
          </w:p>
          <w:p w:rsidR="005740E9" w:rsidRPr="00A02CD4" w:rsidRDefault="005740E9" w:rsidP="00E247A2">
            <w:pPr>
              <w:autoSpaceDE w:val="0"/>
              <w:autoSpaceDN w:val="0"/>
              <w:adjustRightInd w:val="0"/>
              <w:rPr>
                <w:sz w:val="26"/>
                <w:szCs w:val="26"/>
              </w:rPr>
            </w:pPr>
          </w:p>
          <w:p w:rsidR="005740E9" w:rsidRPr="00BD4C04" w:rsidRDefault="005740E9" w:rsidP="00E247A2">
            <w:pPr>
              <w:autoSpaceDE w:val="0"/>
              <w:autoSpaceDN w:val="0"/>
              <w:adjustRightInd w:val="0"/>
              <w:rPr>
                <w:b/>
              </w:rPr>
            </w:pPr>
            <w:r w:rsidRPr="00A02CD4">
              <w:rPr>
                <w:b/>
                <w:sz w:val="26"/>
                <w:szCs w:val="26"/>
              </w:rPr>
              <w:t>Counsel for the Staff of the Public Utilities Commission of Ohio</w:t>
            </w:r>
          </w:p>
        </w:tc>
      </w:tr>
    </w:tbl>
    <w:p w:rsidR="005740E9" w:rsidRDefault="005740E9" w:rsidP="005740E9">
      <w:pPr>
        <w:autoSpaceDE w:val="0"/>
        <w:autoSpaceDN w:val="0"/>
        <w:adjustRightInd w:val="0"/>
        <w:jc w:val="center"/>
        <w:rPr>
          <w:b/>
        </w:rPr>
      </w:pPr>
    </w:p>
    <w:p w:rsidR="005740E9" w:rsidRDefault="005740E9" w:rsidP="005740E9">
      <w:pPr>
        <w:autoSpaceDE w:val="0"/>
        <w:autoSpaceDN w:val="0"/>
        <w:adjustRightInd w:val="0"/>
        <w:rPr>
          <w:b/>
        </w:rPr>
      </w:pPr>
    </w:p>
    <w:p w:rsidR="005740E9" w:rsidRPr="00A02CD4" w:rsidRDefault="005740E9" w:rsidP="00526946">
      <w:pPr>
        <w:pStyle w:val="Textstyle"/>
        <w:sectPr w:rsidR="005740E9" w:rsidRPr="00A02CD4" w:rsidSect="00E247A2">
          <w:footerReference w:type="even" r:id="rId9"/>
          <w:footerReference w:type="default" r:id="rId10"/>
          <w:footerReference w:type="first" r:id="rId11"/>
          <w:pgSz w:w="12240" w:h="15840"/>
          <w:pgMar w:top="1440" w:right="1440" w:bottom="1440" w:left="1440" w:header="720" w:footer="720" w:gutter="0"/>
          <w:cols w:space="720"/>
          <w:titlePg/>
          <w:docGrid w:linePitch="360"/>
        </w:sectPr>
      </w:pPr>
    </w:p>
    <w:p w:rsidR="00E662EB" w:rsidRDefault="005740E9">
      <w:pPr>
        <w:pStyle w:val="TOC1"/>
        <w:rPr>
          <w:rFonts w:asciiTheme="minorHAnsi" w:eastAsiaTheme="minorEastAsia" w:hAnsiTheme="minorHAnsi" w:cstheme="minorBidi"/>
          <w:noProof/>
          <w:sz w:val="22"/>
          <w:szCs w:val="22"/>
        </w:rPr>
      </w:pPr>
      <w:r>
        <w:rPr>
          <w:b/>
          <w:sz w:val="28"/>
          <w:szCs w:val="28"/>
        </w:rPr>
        <w:lastRenderedPageBreak/>
        <w:fldChar w:fldCharType="begin"/>
      </w:r>
      <w:r>
        <w:rPr>
          <w:b/>
          <w:sz w:val="28"/>
          <w:szCs w:val="28"/>
        </w:rPr>
        <w:instrText xml:space="preserve"> TOC \o "1-3" \u </w:instrText>
      </w:r>
      <w:r>
        <w:rPr>
          <w:b/>
          <w:sz w:val="28"/>
          <w:szCs w:val="28"/>
        </w:rPr>
        <w:fldChar w:fldCharType="separate"/>
      </w:r>
      <w:r w:rsidR="00E662EB">
        <w:rPr>
          <w:noProof/>
        </w:rPr>
        <w:t>INTRODUCTION</w:t>
      </w:r>
      <w:r w:rsidR="00E662EB">
        <w:rPr>
          <w:noProof/>
        </w:rPr>
        <w:tab/>
      </w:r>
      <w:r w:rsidR="00E662EB">
        <w:rPr>
          <w:noProof/>
        </w:rPr>
        <w:fldChar w:fldCharType="begin"/>
      </w:r>
      <w:r w:rsidR="00E662EB">
        <w:rPr>
          <w:noProof/>
        </w:rPr>
        <w:instrText xml:space="preserve"> PAGEREF _Toc337034883 \h </w:instrText>
      </w:r>
      <w:r w:rsidR="00E662EB">
        <w:rPr>
          <w:noProof/>
        </w:rPr>
      </w:r>
      <w:r w:rsidR="00E662EB">
        <w:rPr>
          <w:noProof/>
        </w:rPr>
        <w:fldChar w:fldCharType="separate"/>
      </w:r>
      <w:r w:rsidR="00355F99">
        <w:rPr>
          <w:noProof/>
        </w:rPr>
        <w:t>1</w:t>
      </w:r>
      <w:r w:rsidR="00E662EB">
        <w:rPr>
          <w:noProof/>
        </w:rPr>
        <w:fldChar w:fldCharType="end"/>
      </w:r>
    </w:p>
    <w:p w:rsidR="00E662EB" w:rsidRDefault="00E662EB">
      <w:pPr>
        <w:pStyle w:val="TOC1"/>
        <w:rPr>
          <w:rFonts w:asciiTheme="minorHAnsi" w:eastAsiaTheme="minorEastAsia" w:hAnsiTheme="minorHAnsi" w:cstheme="minorBidi"/>
          <w:noProof/>
          <w:sz w:val="22"/>
          <w:szCs w:val="22"/>
        </w:rPr>
      </w:pPr>
      <w:r>
        <w:rPr>
          <w:noProof/>
        </w:rPr>
        <w:t>DISCUSSION</w:t>
      </w:r>
      <w:r>
        <w:rPr>
          <w:noProof/>
        </w:rPr>
        <w:tab/>
      </w:r>
      <w:r>
        <w:rPr>
          <w:noProof/>
        </w:rPr>
        <w:fldChar w:fldCharType="begin"/>
      </w:r>
      <w:r>
        <w:rPr>
          <w:noProof/>
        </w:rPr>
        <w:instrText xml:space="preserve"> PAGEREF _Toc337034884 \h </w:instrText>
      </w:r>
      <w:r>
        <w:rPr>
          <w:noProof/>
        </w:rPr>
      </w:r>
      <w:r>
        <w:rPr>
          <w:noProof/>
        </w:rPr>
        <w:fldChar w:fldCharType="separate"/>
      </w:r>
      <w:r w:rsidR="00355F99">
        <w:rPr>
          <w:noProof/>
        </w:rPr>
        <w:t>1</w:t>
      </w:r>
      <w:r>
        <w:rPr>
          <w:noProof/>
        </w:rPr>
        <w:fldChar w:fldCharType="end"/>
      </w:r>
    </w:p>
    <w:p w:rsidR="00E662EB" w:rsidRDefault="00E662EB">
      <w:pPr>
        <w:pStyle w:val="TOC2"/>
        <w:tabs>
          <w:tab w:val="left" w:pos="1440"/>
        </w:tabs>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How should the Commission properly determine whether there is a need for the Turning Point project?</w:t>
      </w:r>
      <w:r>
        <w:rPr>
          <w:noProof/>
        </w:rPr>
        <w:tab/>
      </w:r>
      <w:r>
        <w:rPr>
          <w:noProof/>
        </w:rPr>
        <w:fldChar w:fldCharType="begin"/>
      </w:r>
      <w:r>
        <w:rPr>
          <w:noProof/>
        </w:rPr>
        <w:instrText xml:space="preserve"> PAGEREF _Toc337034885 \h </w:instrText>
      </w:r>
      <w:r>
        <w:rPr>
          <w:noProof/>
        </w:rPr>
      </w:r>
      <w:r>
        <w:rPr>
          <w:noProof/>
        </w:rPr>
        <w:fldChar w:fldCharType="separate"/>
      </w:r>
      <w:r w:rsidR="00355F99">
        <w:rPr>
          <w:noProof/>
        </w:rPr>
        <w:t>1</w:t>
      </w:r>
      <w:r>
        <w:rPr>
          <w:noProof/>
        </w:rPr>
        <w:fldChar w:fldCharType="end"/>
      </w:r>
    </w:p>
    <w:p w:rsidR="00E662EB" w:rsidRDefault="00E662EB">
      <w:pPr>
        <w:pStyle w:val="TOC2"/>
        <w:tabs>
          <w:tab w:val="left" w:pos="1440"/>
        </w:tabs>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How should need be defined?</w:t>
      </w:r>
      <w:r>
        <w:rPr>
          <w:noProof/>
        </w:rPr>
        <w:tab/>
      </w:r>
      <w:r>
        <w:rPr>
          <w:noProof/>
        </w:rPr>
        <w:fldChar w:fldCharType="begin"/>
      </w:r>
      <w:r>
        <w:rPr>
          <w:noProof/>
        </w:rPr>
        <w:instrText xml:space="preserve"> PAGEREF _Toc337034886 \h </w:instrText>
      </w:r>
      <w:r>
        <w:rPr>
          <w:noProof/>
        </w:rPr>
      </w:r>
      <w:r>
        <w:rPr>
          <w:noProof/>
        </w:rPr>
        <w:fldChar w:fldCharType="separate"/>
      </w:r>
      <w:r w:rsidR="00355F99">
        <w:rPr>
          <w:noProof/>
        </w:rPr>
        <w:t>3</w:t>
      </w:r>
      <w:r>
        <w:rPr>
          <w:noProof/>
        </w:rPr>
        <w:fldChar w:fldCharType="end"/>
      </w:r>
    </w:p>
    <w:p w:rsidR="00E662EB" w:rsidRDefault="00E662EB">
      <w:pPr>
        <w:pStyle w:val="TOC2"/>
        <w:tabs>
          <w:tab w:val="left" w:pos="1440"/>
        </w:tabs>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What is the proper legal standard to be applied to the Commission’s analysis of need?</w:t>
      </w:r>
      <w:r>
        <w:rPr>
          <w:noProof/>
        </w:rPr>
        <w:tab/>
      </w:r>
      <w:r>
        <w:rPr>
          <w:noProof/>
        </w:rPr>
        <w:fldChar w:fldCharType="begin"/>
      </w:r>
      <w:r>
        <w:rPr>
          <w:noProof/>
        </w:rPr>
        <w:instrText xml:space="preserve"> PAGEREF _Toc337034887 \h </w:instrText>
      </w:r>
      <w:r>
        <w:rPr>
          <w:noProof/>
        </w:rPr>
      </w:r>
      <w:r>
        <w:rPr>
          <w:noProof/>
        </w:rPr>
        <w:fldChar w:fldCharType="separate"/>
      </w:r>
      <w:r w:rsidR="00355F99">
        <w:rPr>
          <w:noProof/>
        </w:rPr>
        <w:t>3</w:t>
      </w:r>
      <w:r>
        <w:rPr>
          <w:noProof/>
        </w:rPr>
        <w:fldChar w:fldCharType="end"/>
      </w:r>
    </w:p>
    <w:p w:rsidR="00E662EB" w:rsidRDefault="00E662EB">
      <w:pPr>
        <w:pStyle w:val="TOC2"/>
        <w:tabs>
          <w:tab w:val="left" w:pos="1440"/>
        </w:tabs>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Is need limited to energy and capacity only, or does need include compliance with the renewable portfolio standard?</w:t>
      </w:r>
      <w:r>
        <w:rPr>
          <w:noProof/>
        </w:rPr>
        <w:tab/>
      </w:r>
      <w:r>
        <w:rPr>
          <w:noProof/>
        </w:rPr>
        <w:fldChar w:fldCharType="begin"/>
      </w:r>
      <w:r>
        <w:rPr>
          <w:noProof/>
        </w:rPr>
        <w:instrText xml:space="preserve"> PAGEREF _Toc337034888 \h </w:instrText>
      </w:r>
      <w:r>
        <w:rPr>
          <w:noProof/>
        </w:rPr>
      </w:r>
      <w:r>
        <w:rPr>
          <w:noProof/>
        </w:rPr>
        <w:fldChar w:fldCharType="separate"/>
      </w:r>
      <w:r w:rsidR="00355F99">
        <w:rPr>
          <w:noProof/>
        </w:rPr>
        <w:t>4</w:t>
      </w:r>
      <w:r>
        <w:rPr>
          <w:noProof/>
        </w:rPr>
        <w:fldChar w:fldCharType="end"/>
      </w:r>
    </w:p>
    <w:p w:rsidR="00E662EB" w:rsidRDefault="00E662EB">
      <w:pPr>
        <w:pStyle w:val="TOC2"/>
        <w:tabs>
          <w:tab w:val="left" w:pos="1440"/>
        </w:tabs>
        <w:rPr>
          <w:rFonts w:asciiTheme="minorHAnsi" w:eastAsiaTheme="minorEastAsia" w:hAnsiTheme="minorHAnsi" w:cstheme="minorBidi"/>
          <w:noProof/>
          <w:sz w:val="22"/>
          <w:szCs w:val="22"/>
        </w:rPr>
      </w:pPr>
      <w:r>
        <w:rPr>
          <w:noProof/>
        </w:rPr>
        <w:t>V.</w:t>
      </w:r>
      <w:r>
        <w:rPr>
          <w:rFonts w:asciiTheme="minorHAnsi" w:eastAsiaTheme="minorEastAsia" w:hAnsiTheme="minorHAnsi" w:cstheme="minorBidi"/>
          <w:noProof/>
          <w:sz w:val="22"/>
          <w:szCs w:val="22"/>
        </w:rPr>
        <w:tab/>
      </w:r>
      <w:r>
        <w:rPr>
          <w:noProof/>
        </w:rPr>
        <w:t>What evidence is relevant to the Commission’s determination of need?</w:t>
      </w:r>
      <w:r>
        <w:rPr>
          <w:noProof/>
        </w:rPr>
        <w:tab/>
      </w:r>
      <w:r>
        <w:rPr>
          <w:noProof/>
        </w:rPr>
        <w:fldChar w:fldCharType="begin"/>
      </w:r>
      <w:r>
        <w:rPr>
          <w:noProof/>
        </w:rPr>
        <w:instrText xml:space="preserve"> PAGEREF _Toc337034889 \h </w:instrText>
      </w:r>
      <w:r>
        <w:rPr>
          <w:noProof/>
        </w:rPr>
      </w:r>
      <w:r>
        <w:rPr>
          <w:noProof/>
        </w:rPr>
        <w:fldChar w:fldCharType="separate"/>
      </w:r>
      <w:r w:rsidR="00355F99">
        <w:rPr>
          <w:noProof/>
        </w:rPr>
        <w:t>4</w:t>
      </w:r>
      <w:r>
        <w:rPr>
          <w:noProof/>
        </w:rPr>
        <w:fldChar w:fldCharType="end"/>
      </w:r>
    </w:p>
    <w:p w:rsidR="00E662EB" w:rsidRDefault="00E662EB">
      <w:pPr>
        <w:pStyle w:val="TOC2"/>
        <w:tabs>
          <w:tab w:val="left" w:pos="1440"/>
        </w:tabs>
        <w:rPr>
          <w:rFonts w:asciiTheme="minorHAnsi" w:eastAsiaTheme="minorEastAsia" w:hAnsiTheme="minorHAnsi" w:cstheme="minorBidi"/>
          <w:noProof/>
          <w:sz w:val="22"/>
          <w:szCs w:val="22"/>
        </w:rPr>
      </w:pPr>
      <w:r>
        <w:rPr>
          <w:noProof/>
        </w:rPr>
        <w:t>VI.</w:t>
      </w:r>
      <w:r>
        <w:rPr>
          <w:rFonts w:asciiTheme="minorHAnsi" w:eastAsiaTheme="minorEastAsia" w:hAnsiTheme="minorHAnsi" w:cstheme="minorBidi"/>
          <w:noProof/>
          <w:sz w:val="22"/>
          <w:szCs w:val="22"/>
        </w:rPr>
        <w:tab/>
      </w:r>
      <w:r>
        <w:rPr>
          <w:noProof/>
        </w:rPr>
        <w:t>Should the Commission, in evaluating the need for the Turning Point project, solely consider AEP-Ohio's need for the project, or whether the Commission should look beyond the need of the Company or its service territory?</w:t>
      </w:r>
      <w:r>
        <w:rPr>
          <w:noProof/>
        </w:rPr>
        <w:tab/>
      </w:r>
      <w:r>
        <w:rPr>
          <w:noProof/>
        </w:rPr>
        <w:fldChar w:fldCharType="begin"/>
      </w:r>
      <w:r>
        <w:rPr>
          <w:noProof/>
        </w:rPr>
        <w:instrText xml:space="preserve"> PAGEREF _Toc337034890 \h </w:instrText>
      </w:r>
      <w:r>
        <w:rPr>
          <w:noProof/>
        </w:rPr>
      </w:r>
      <w:r>
        <w:rPr>
          <w:noProof/>
        </w:rPr>
        <w:fldChar w:fldCharType="separate"/>
      </w:r>
      <w:r w:rsidR="00355F99">
        <w:rPr>
          <w:noProof/>
        </w:rPr>
        <w:t>7</w:t>
      </w:r>
      <w:r>
        <w:rPr>
          <w:noProof/>
        </w:rPr>
        <w:fldChar w:fldCharType="end"/>
      </w:r>
    </w:p>
    <w:p w:rsidR="00E662EB" w:rsidRDefault="00E662EB">
      <w:pPr>
        <w:pStyle w:val="TOC2"/>
        <w:tabs>
          <w:tab w:val="left" w:pos="1440"/>
        </w:tabs>
        <w:rPr>
          <w:rFonts w:asciiTheme="minorHAnsi" w:eastAsiaTheme="minorEastAsia" w:hAnsiTheme="minorHAnsi" w:cstheme="minorBidi"/>
          <w:noProof/>
          <w:sz w:val="22"/>
          <w:szCs w:val="22"/>
        </w:rPr>
      </w:pPr>
      <w:r>
        <w:rPr>
          <w:noProof/>
        </w:rPr>
        <w:t>VII.</w:t>
      </w:r>
      <w:r>
        <w:rPr>
          <w:rFonts w:asciiTheme="minorHAnsi" w:eastAsiaTheme="minorEastAsia" w:hAnsiTheme="minorHAnsi" w:cstheme="minorBidi"/>
          <w:noProof/>
          <w:sz w:val="22"/>
          <w:szCs w:val="22"/>
        </w:rPr>
        <w:tab/>
      </w:r>
      <w:r>
        <w:rPr>
          <w:noProof/>
        </w:rPr>
        <w:t>Should the Commission consider whether the Turning Point project is needed by other electric utilities or electric services companies in Ohio, or whether the state as a whole has a need for the project?</w:t>
      </w:r>
      <w:r>
        <w:rPr>
          <w:noProof/>
        </w:rPr>
        <w:tab/>
      </w:r>
      <w:r>
        <w:rPr>
          <w:noProof/>
        </w:rPr>
        <w:fldChar w:fldCharType="begin"/>
      </w:r>
      <w:r>
        <w:rPr>
          <w:noProof/>
        </w:rPr>
        <w:instrText xml:space="preserve"> PAGEREF _Toc337034891 \h </w:instrText>
      </w:r>
      <w:r>
        <w:rPr>
          <w:noProof/>
        </w:rPr>
      </w:r>
      <w:r>
        <w:rPr>
          <w:noProof/>
        </w:rPr>
        <w:fldChar w:fldCharType="separate"/>
      </w:r>
      <w:r w:rsidR="00355F99">
        <w:rPr>
          <w:noProof/>
        </w:rPr>
        <w:t>8</w:t>
      </w:r>
      <w:r>
        <w:rPr>
          <w:noProof/>
        </w:rPr>
        <w:fldChar w:fldCharType="end"/>
      </w:r>
    </w:p>
    <w:p w:rsidR="00E662EB" w:rsidRDefault="00E662EB">
      <w:pPr>
        <w:pStyle w:val="TOC2"/>
        <w:tabs>
          <w:tab w:val="left" w:pos="1540"/>
        </w:tabs>
        <w:rPr>
          <w:rFonts w:asciiTheme="minorHAnsi" w:eastAsiaTheme="minorEastAsia" w:hAnsiTheme="minorHAnsi" w:cstheme="minorBidi"/>
          <w:noProof/>
          <w:sz w:val="22"/>
          <w:szCs w:val="22"/>
        </w:rPr>
      </w:pPr>
      <w:r>
        <w:rPr>
          <w:noProof/>
        </w:rPr>
        <w:t>VIII.</w:t>
      </w:r>
      <w:r>
        <w:rPr>
          <w:rFonts w:asciiTheme="minorHAnsi" w:eastAsiaTheme="minorEastAsia" w:hAnsiTheme="minorHAnsi" w:cstheme="minorBidi"/>
          <w:noProof/>
          <w:sz w:val="22"/>
          <w:szCs w:val="22"/>
        </w:rPr>
        <w:tab/>
      </w:r>
      <w:r>
        <w:rPr>
          <w:noProof/>
        </w:rPr>
        <w:t>Should the Commission consider whether there is a need for the Turning Point project outside of the state, given that the solar renewable energy credits (SRECs) generated from the project may be used in meeting the RPS in other states and that SRECs generated from facilities outside the state may be used to meet Ohio's RPS?</w:t>
      </w:r>
      <w:r>
        <w:rPr>
          <w:noProof/>
        </w:rPr>
        <w:tab/>
      </w:r>
      <w:r>
        <w:rPr>
          <w:noProof/>
        </w:rPr>
        <w:fldChar w:fldCharType="begin"/>
      </w:r>
      <w:r>
        <w:rPr>
          <w:noProof/>
        </w:rPr>
        <w:instrText xml:space="preserve"> PAGEREF _Toc337034892 \h </w:instrText>
      </w:r>
      <w:r>
        <w:rPr>
          <w:noProof/>
        </w:rPr>
      </w:r>
      <w:r>
        <w:rPr>
          <w:noProof/>
        </w:rPr>
        <w:fldChar w:fldCharType="separate"/>
      </w:r>
      <w:r w:rsidR="00355F99">
        <w:rPr>
          <w:noProof/>
        </w:rPr>
        <w:t>8</w:t>
      </w:r>
      <w:r>
        <w:rPr>
          <w:noProof/>
        </w:rPr>
        <w:fldChar w:fldCharType="end"/>
      </w:r>
    </w:p>
    <w:p w:rsidR="00E662EB" w:rsidRDefault="00E662EB">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_Toc337034893 \h </w:instrText>
      </w:r>
      <w:r>
        <w:rPr>
          <w:noProof/>
        </w:rPr>
      </w:r>
      <w:r>
        <w:rPr>
          <w:noProof/>
        </w:rPr>
        <w:fldChar w:fldCharType="separate"/>
      </w:r>
      <w:r w:rsidR="00355F99">
        <w:rPr>
          <w:noProof/>
        </w:rPr>
        <w:t>9</w:t>
      </w:r>
      <w:r>
        <w:rPr>
          <w:noProof/>
        </w:rPr>
        <w:fldChar w:fldCharType="end"/>
      </w:r>
    </w:p>
    <w:p w:rsidR="00E662EB" w:rsidRDefault="00E662EB">
      <w:pPr>
        <w:pStyle w:val="TOC1"/>
        <w:rPr>
          <w:rFonts w:asciiTheme="minorHAnsi" w:eastAsiaTheme="minorEastAsia" w:hAnsiTheme="minorHAnsi" w:cstheme="minorBidi"/>
          <w:noProof/>
          <w:sz w:val="22"/>
          <w:szCs w:val="22"/>
        </w:rPr>
      </w:pPr>
      <w:r>
        <w:rPr>
          <w:noProof/>
        </w:rPr>
        <w:t>CERTIFICATE OF SERVICE</w:t>
      </w:r>
      <w:r>
        <w:rPr>
          <w:noProof/>
        </w:rPr>
        <w:tab/>
      </w:r>
      <w:r>
        <w:rPr>
          <w:noProof/>
        </w:rPr>
        <w:fldChar w:fldCharType="begin"/>
      </w:r>
      <w:r>
        <w:rPr>
          <w:noProof/>
        </w:rPr>
        <w:instrText xml:space="preserve"> PAGEREF _Toc337034894 \h </w:instrText>
      </w:r>
      <w:r>
        <w:rPr>
          <w:noProof/>
        </w:rPr>
      </w:r>
      <w:r>
        <w:rPr>
          <w:noProof/>
        </w:rPr>
        <w:fldChar w:fldCharType="separate"/>
      </w:r>
      <w:r w:rsidR="00355F99">
        <w:rPr>
          <w:noProof/>
        </w:rPr>
        <w:t>10</w:t>
      </w:r>
      <w:r>
        <w:rPr>
          <w:noProof/>
        </w:rPr>
        <w:fldChar w:fldCharType="end"/>
      </w:r>
    </w:p>
    <w:p w:rsidR="005740E9" w:rsidRDefault="005740E9" w:rsidP="005740E9">
      <w:pPr>
        <w:jc w:val="center"/>
        <w:rPr>
          <w:b/>
          <w:sz w:val="28"/>
          <w:szCs w:val="28"/>
        </w:rPr>
        <w:sectPr w:rsidR="005740E9" w:rsidSect="00E247A2">
          <w:headerReference w:type="first" r:id="rId12"/>
          <w:footerReference w:type="first" r:id="rId13"/>
          <w:pgSz w:w="12240" w:h="15840"/>
          <w:pgMar w:top="1440" w:right="1440" w:bottom="1440" w:left="1440" w:header="720" w:footer="720" w:gutter="0"/>
          <w:pgNumType w:fmt="lowerRoman" w:start="1"/>
          <w:cols w:space="720"/>
          <w:titlePg/>
          <w:docGrid w:linePitch="360"/>
        </w:sectPr>
      </w:pPr>
      <w:r>
        <w:rPr>
          <w:b/>
          <w:sz w:val="28"/>
          <w:szCs w:val="28"/>
        </w:rPr>
        <w:fldChar w:fldCharType="end"/>
      </w:r>
    </w:p>
    <w:p w:rsidR="005740E9" w:rsidRPr="008F2F89" w:rsidRDefault="005740E9" w:rsidP="005740E9">
      <w:pPr>
        <w:jc w:val="center"/>
        <w:rPr>
          <w:b/>
          <w:sz w:val="28"/>
          <w:szCs w:val="28"/>
        </w:rPr>
      </w:pPr>
      <w:r w:rsidRPr="008F2F89">
        <w:rPr>
          <w:b/>
          <w:sz w:val="28"/>
          <w:szCs w:val="28"/>
        </w:rPr>
        <w:lastRenderedPageBreak/>
        <w:t>BEFORE</w:t>
      </w:r>
    </w:p>
    <w:p w:rsidR="005740E9" w:rsidRDefault="005740E9" w:rsidP="005740E9">
      <w:pPr>
        <w:jc w:val="center"/>
        <w:rPr>
          <w:b/>
          <w:sz w:val="28"/>
          <w:szCs w:val="28"/>
        </w:rPr>
      </w:pPr>
      <w:r w:rsidRPr="008F2F89">
        <w:rPr>
          <w:b/>
          <w:sz w:val="28"/>
          <w:szCs w:val="28"/>
        </w:rPr>
        <w:t>THE PUBLIC UTILITIES COMMISSION OF OHIO</w:t>
      </w:r>
    </w:p>
    <w:p w:rsidR="005740E9" w:rsidRPr="008F2F89" w:rsidRDefault="005740E9" w:rsidP="005740E9">
      <w:pPr>
        <w:jc w:val="center"/>
        <w:rPr>
          <w:b/>
          <w:sz w:val="28"/>
          <w:szCs w:val="28"/>
        </w:rPr>
      </w:pPr>
    </w:p>
    <w:p w:rsidR="005740E9" w:rsidRDefault="005740E9" w:rsidP="005740E9">
      <w:pPr>
        <w:jc w:val="center"/>
        <w:rPr>
          <w:b/>
        </w:rPr>
      </w:pPr>
    </w:p>
    <w:tbl>
      <w:tblPr>
        <w:tblW w:w="0" w:type="auto"/>
        <w:tblLook w:val="04A0" w:firstRow="1" w:lastRow="0" w:firstColumn="1" w:lastColumn="0" w:noHBand="0" w:noVBand="1"/>
      </w:tblPr>
      <w:tblGrid>
        <w:gridCol w:w="4788"/>
        <w:gridCol w:w="289"/>
        <w:gridCol w:w="4248"/>
      </w:tblGrid>
      <w:tr w:rsidR="005740E9" w:rsidRPr="00A02CD4" w:rsidTr="00E247A2">
        <w:tc>
          <w:tcPr>
            <w:tcW w:w="4788" w:type="dxa"/>
            <w:shd w:val="clear" w:color="auto" w:fill="auto"/>
          </w:tcPr>
          <w:p w:rsidR="005740E9" w:rsidRPr="00A02CD4" w:rsidRDefault="005740E9" w:rsidP="00E247A2">
            <w:pPr>
              <w:rPr>
                <w:sz w:val="26"/>
                <w:szCs w:val="26"/>
              </w:rPr>
            </w:pPr>
            <w:r w:rsidRPr="00A02CD4">
              <w:rPr>
                <w:sz w:val="26"/>
                <w:szCs w:val="26"/>
              </w:rPr>
              <w:t xml:space="preserve">In the Matter of the Long-Term Forecast Report of </w:t>
            </w:r>
            <w:r w:rsidRPr="00A02CD4">
              <w:rPr>
                <w:b/>
                <w:sz w:val="26"/>
                <w:szCs w:val="26"/>
              </w:rPr>
              <w:t xml:space="preserve">Ohio Power Company </w:t>
            </w:r>
            <w:r w:rsidRPr="00A02CD4">
              <w:rPr>
                <w:sz w:val="26"/>
                <w:szCs w:val="26"/>
              </w:rPr>
              <w:t xml:space="preserve">and Related </w:t>
            </w:r>
            <w:proofErr w:type="gramStart"/>
            <w:r w:rsidRPr="00A02CD4">
              <w:rPr>
                <w:sz w:val="26"/>
                <w:szCs w:val="26"/>
              </w:rPr>
              <w:t>Matters.</w:t>
            </w:r>
            <w:proofErr w:type="gramEnd"/>
            <w:r w:rsidRPr="00A02CD4">
              <w:rPr>
                <w:sz w:val="26"/>
                <w:szCs w:val="26"/>
              </w:rPr>
              <w:t xml:space="preserve"> </w:t>
            </w:r>
          </w:p>
          <w:p w:rsidR="005740E9" w:rsidRPr="00A02CD4" w:rsidRDefault="005740E9" w:rsidP="00E247A2">
            <w:pPr>
              <w:rPr>
                <w:sz w:val="26"/>
                <w:szCs w:val="26"/>
              </w:rPr>
            </w:pPr>
          </w:p>
          <w:p w:rsidR="005740E9" w:rsidRPr="00A02CD4" w:rsidRDefault="005740E9" w:rsidP="00E247A2">
            <w:pPr>
              <w:rPr>
                <w:b/>
                <w:sz w:val="26"/>
                <w:szCs w:val="26"/>
              </w:rPr>
            </w:pPr>
            <w:r w:rsidRPr="00A02CD4">
              <w:rPr>
                <w:sz w:val="26"/>
                <w:szCs w:val="26"/>
              </w:rPr>
              <w:t xml:space="preserve">In the Matter of the Long-Term Forecast Report of </w:t>
            </w:r>
            <w:r w:rsidRPr="00A02CD4">
              <w:rPr>
                <w:b/>
                <w:sz w:val="26"/>
                <w:szCs w:val="26"/>
              </w:rPr>
              <w:t xml:space="preserve">Columbus Southern Power Company </w:t>
            </w:r>
            <w:r w:rsidRPr="00A02CD4">
              <w:rPr>
                <w:sz w:val="26"/>
                <w:szCs w:val="26"/>
              </w:rPr>
              <w:t xml:space="preserve">and Related Matters.  </w:t>
            </w:r>
          </w:p>
        </w:tc>
        <w:tc>
          <w:tcPr>
            <w:tcW w:w="289" w:type="dxa"/>
            <w:shd w:val="clear" w:color="auto" w:fill="auto"/>
          </w:tcPr>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sz w:val="26"/>
                <w:szCs w:val="26"/>
              </w:rPr>
            </w:pPr>
          </w:p>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b/>
                <w:sz w:val="26"/>
                <w:szCs w:val="26"/>
              </w:rPr>
            </w:pPr>
            <w:r w:rsidRPr="00A02CD4">
              <w:rPr>
                <w:sz w:val="26"/>
                <w:szCs w:val="26"/>
              </w:rPr>
              <w:t>:</w:t>
            </w:r>
          </w:p>
        </w:tc>
        <w:tc>
          <w:tcPr>
            <w:tcW w:w="4248" w:type="dxa"/>
            <w:shd w:val="clear" w:color="auto" w:fill="auto"/>
          </w:tcPr>
          <w:p w:rsidR="005740E9" w:rsidRPr="00A02CD4" w:rsidRDefault="005740E9" w:rsidP="00E247A2">
            <w:pPr>
              <w:rPr>
                <w:b/>
                <w:sz w:val="26"/>
                <w:szCs w:val="26"/>
              </w:rPr>
            </w:pPr>
          </w:p>
          <w:p w:rsidR="005740E9" w:rsidRPr="00A02CD4" w:rsidRDefault="005740E9" w:rsidP="00E247A2">
            <w:pPr>
              <w:rPr>
                <w:b/>
                <w:sz w:val="26"/>
                <w:szCs w:val="26"/>
              </w:rPr>
            </w:pPr>
            <w:r w:rsidRPr="00A02CD4">
              <w:rPr>
                <w:b/>
                <w:sz w:val="26"/>
                <w:szCs w:val="26"/>
              </w:rPr>
              <w:t>Case No. 10-501-EL-FOR</w:t>
            </w:r>
          </w:p>
          <w:p w:rsidR="005740E9" w:rsidRPr="00A02CD4" w:rsidRDefault="005740E9" w:rsidP="00E247A2">
            <w:pPr>
              <w:rPr>
                <w:b/>
                <w:sz w:val="26"/>
                <w:szCs w:val="26"/>
              </w:rPr>
            </w:pPr>
          </w:p>
          <w:p w:rsidR="005740E9" w:rsidRPr="00A02CD4" w:rsidRDefault="005740E9" w:rsidP="00E247A2">
            <w:pPr>
              <w:rPr>
                <w:b/>
                <w:sz w:val="26"/>
                <w:szCs w:val="26"/>
              </w:rPr>
            </w:pPr>
          </w:p>
          <w:p w:rsidR="005740E9" w:rsidRPr="00A02CD4" w:rsidRDefault="005740E9" w:rsidP="00E247A2">
            <w:pPr>
              <w:rPr>
                <w:b/>
                <w:sz w:val="26"/>
                <w:szCs w:val="26"/>
              </w:rPr>
            </w:pPr>
          </w:p>
          <w:p w:rsidR="005740E9" w:rsidRPr="00A02CD4" w:rsidRDefault="005740E9" w:rsidP="00E247A2">
            <w:pPr>
              <w:rPr>
                <w:b/>
                <w:sz w:val="26"/>
                <w:szCs w:val="26"/>
              </w:rPr>
            </w:pPr>
            <w:r w:rsidRPr="00A02CD4">
              <w:rPr>
                <w:b/>
                <w:sz w:val="26"/>
                <w:szCs w:val="26"/>
              </w:rPr>
              <w:t>Case No. 10-502-EL-FOR</w:t>
            </w:r>
          </w:p>
          <w:p w:rsidR="005740E9" w:rsidRPr="00A02CD4" w:rsidRDefault="005740E9" w:rsidP="00E247A2">
            <w:pPr>
              <w:rPr>
                <w:b/>
                <w:sz w:val="26"/>
                <w:szCs w:val="26"/>
              </w:rPr>
            </w:pPr>
          </w:p>
        </w:tc>
      </w:tr>
    </w:tbl>
    <w:p w:rsidR="005740E9" w:rsidRDefault="005740E9" w:rsidP="005740E9">
      <w:pPr>
        <w:jc w:val="center"/>
        <w:rPr>
          <w:b/>
        </w:rPr>
      </w:pPr>
    </w:p>
    <w:p w:rsidR="005740E9" w:rsidRDefault="005740E9" w:rsidP="005740E9"/>
    <w:p w:rsidR="005740E9" w:rsidRDefault="005740E9" w:rsidP="005740E9"/>
    <w:p w:rsidR="005740E9" w:rsidRPr="00145B29" w:rsidRDefault="005740E9" w:rsidP="005740E9">
      <w:pPr>
        <w:tabs>
          <w:tab w:val="left" w:pos="9360"/>
        </w:tabs>
        <w:autoSpaceDE w:val="0"/>
        <w:autoSpaceDN w:val="0"/>
        <w:adjustRightInd w:val="0"/>
        <w:rPr>
          <w:b/>
          <w:u w:val="single"/>
        </w:rPr>
      </w:pPr>
      <w:r>
        <w:rPr>
          <w:b/>
          <w:u w:val="single"/>
        </w:rPr>
        <w:tab/>
      </w:r>
    </w:p>
    <w:p w:rsidR="005740E9" w:rsidRDefault="005740E9" w:rsidP="005740E9">
      <w:pPr>
        <w:autoSpaceDE w:val="0"/>
        <w:autoSpaceDN w:val="0"/>
        <w:adjustRightInd w:val="0"/>
        <w:jc w:val="center"/>
        <w:rPr>
          <w:b/>
        </w:rPr>
      </w:pPr>
    </w:p>
    <w:p w:rsidR="005740E9" w:rsidRPr="0064349B" w:rsidRDefault="005740E9" w:rsidP="005740E9">
      <w:pPr>
        <w:autoSpaceDE w:val="0"/>
        <w:autoSpaceDN w:val="0"/>
        <w:adjustRightInd w:val="0"/>
        <w:jc w:val="center"/>
        <w:rPr>
          <w:b/>
          <w:sz w:val="32"/>
          <w:szCs w:val="32"/>
        </w:rPr>
      </w:pPr>
      <w:r w:rsidRPr="0064349B">
        <w:rPr>
          <w:b/>
          <w:sz w:val="32"/>
          <w:szCs w:val="32"/>
        </w:rPr>
        <w:t>BRIEF</w:t>
      </w:r>
      <w:r w:rsidR="00BB6AFF">
        <w:rPr>
          <w:b/>
          <w:sz w:val="32"/>
          <w:szCs w:val="32"/>
        </w:rPr>
        <w:t xml:space="preserve"> IN RESPONSE TO SEPTEMBER 5, 2012 ORDER</w:t>
      </w:r>
    </w:p>
    <w:p w:rsidR="005740E9" w:rsidRDefault="005740E9" w:rsidP="005740E9">
      <w:pPr>
        <w:autoSpaceDE w:val="0"/>
        <w:autoSpaceDN w:val="0"/>
        <w:adjustRightInd w:val="0"/>
        <w:jc w:val="center"/>
        <w:rPr>
          <w:b/>
          <w:sz w:val="28"/>
          <w:szCs w:val="28"/>
        </w:rPr>
      </w:pPr>
      <w:r>
        <w:rPr>
          <w:b/>
          <w:sz w:val="28"/>
          <w:szCs w:val="28"/>
        </w:rPr>
        <w:t>SUBMITTED ON BEHALF OF THE STAFF OF</w:t>
      </w:r>
    </w:p>
    <w:p w:rsidR="005740E9" w:rsidRPr="008F2F89" w:rsidRDefault="005740E9" w:rsidP="005740E9">
      <w:pPr>
        <w:autoSpaceDE w:val="0"/>
        <w:autoSpaceDN w:val="0"/>
        <w:adjustRightInd w:val="0"/>
        <w:jc w:val="center"/>
        <w:rPr>
          <w:b/>
          <w:sz w:val="28"/>
          <w:szCs w:val="28"/>
        </w:rPr>
      </w:pPr>
      <w:r>
        <w:rPr>
          <w:b/>
          <w:sz w:val="28"/>
          <w:szCs w:val="28"/>
        </w:rPr>
        <w:t>THE PUBLIC UTILITIES COMMISSION OF OHIO</w:t>
      </w:r>
    </w:p>
    <w:p w:rsidR="005740E9" w:rsidRPr="00145B29" w:rsidRDefault="005740E9" w:rsidP="005740E9">
      <w:pPr>
        <w:tabs>
          <w:tab w:val="left" w:pos="9360"/>
        </w:tabs>
        <w:autoSpaceDE w:val="0"/>
        <w:autoSpaceDN w:val="0"/>
        <w:adjustRightInd w:val="0"/>
        <w:rPr>
          <w:b/>
          <w:u w:val="single"/>
        </w:rPr>
      </w:pPr>
      <w:r>
        <w:rPr>
          <w:b/>
          <w:u w:val="single"/>
        </w:rPr>
        <w:tab/>
      </w:r>
    </w:p>
    <w:p w:rsidR="005740E9" w:rsidRDefault="005740E9" w:rsidP="00DB5C43">
      <w:pPr>
        <w:pStyle w:val="Heading1"/>
      </w:pPr>
      <w:bookmarkStart w:id="2" w:name="_Toc337034883"/>
      <w:r>
        <w:t>INTRODUCTION</w:t>
      </w:r>
      <w:bookmarkEnd w:id="2"/>
    </w:p>
    <w:p w:rsidR="005740E9" w:rsidRPr="008F2F89" w:rsidRDefault="005740E9" w:rsidP="00526946">
      <w:pPr>
        <w:pStyle w:val="Textstyle"/>
      </w:pPr>
      <w:r>
        <w:tab/>
      </w:r>
      <w:r w:rsidR="00BB6AFF">
        <w:t>On September 5, 2012 the Commission directed the parties to this case to file briefs addressing certain listed questions.  This brief will address these questions in the same order in which they were presented in the Order.</w:t>
      </w:r>
    </w:p>
    <w:p w:rsidR="005740E9" w:rsidRDefault="005740E9" w:rsidP="00DB5C43">
      <w:pPr>
        <w:pStyle w:val="Heading1"/>
      </w:pPr>
      <w:bookmarkStart w:id="3" w:name="_Toc337034884"/>
      <w:r>
        <w:t>DISCUSSION</w:t>
      </w:r>
      <w:bookmarkEnd w:id="3"/>
    </w:p>
    <w:p w:rsidR="00DF5BCD" w:rsidRPr="00DF5BCD" w:rsidRDefault="00BB6AFF" w:rsidP="00212978">
      <w:pPr>
        <w:pStyle w:val="Heading2"/>
      </w:pPr>
      <w:bookmarkStart w:id="4" w:name="_Toc337034885"/>
      <w:r>
        <w:t>How should the Commission properly determine whether there is a need for the Turning Point project?</w:t>
      </w:r>
      <w:bookmarkEnd w:id="4"/>
    </w:p>
    <w:p w:rsidR="0059246D" w:rsidRDefault="005740E9" w:rsidP="00526946">
      <w:pPr>
        <w:pStyle w:val="Textstyle"/>
      </w:pPr>
      <w:r>
        <w:tab/>
      </w:r>
      <w:r w:rsidR="00350BCA">
        <w:t>This question and the next ask essentially the same thing, what does “need” mean</w:t>
      </w:r>
      <w:r w:rsidR="00EC56E2">
        <w:t xml:space="preserve"> in the context of R.C. 4928.143(B)(2)(c)</w:t>
      </w:r>
      <w:r w:rsidR="00350BCA">
        <w:t>?</w:t>
      </w:r>
      <w:r w:rsidR="00304475">
        <w:t xml:space="preserve">  The Revised Code does not provide an answer, the term is undefined.  In such circumstances the Revised Code does require that “[w]ords and phrases shall be read in context and construed according to the rules of </w:t>
      </w:r>
      <w:r w:rsidR="00304475">
        <w:lastRenderedPageBreak/>
        <w:t xml:space="preserve">grammar and common usage.  </w:t>
      </w:r>
      <w:proofErr w:type="gramStart"/>
      <w:r w:rsidR="00304475">
        <w:t>Words and phrases that have acquired a technical or par</w:t>
      </w:r>
      <w:r w:rsidR="00526946">
        <w:softHyphen/>
      </w:r>
      <w:r w:rsidR="00304475">
        <w:t>ticular meaning, whether by legislative definition or otherwise, shall be construed accordingly.”</w:t>
      </w:r>
      <w:proofErr w:type="gramEnd"/>
      <w:r w:rsidR="00BD4C04">
        <w:rPr>
          <w:rStyle w:val="FootnoteReference"/>
        </w:rPr>
        <w:footnoteReference w:id="1"/>
      </w:r>
      <w:r w:rsidR="00304475">
        <w:t xml:space="preserve">   </w:t>
      </w:r>
    </w:p>
    <w:p w:rsidR="003C0FCF" w:rsidRDefault="0059246D" w:rsidP="00526946">
      <w:pPr>
        <w:pStyle w:val="Textstyle"/>
      </w:pPr>
      <w:r>
        <w:tab/>
      </w:r>
      <w:r w:rsidR="00304475">
        <w:t>“Need” in this context cannot have a technical or particular meaning.  There is no reason to apply some strained technical reading to this common word.  The statute in question simply says “…there is need for the facility…”</w:t>
      </w:r>
      <w:r>
        <w:t xml:space="preserve">  As per the rule of construction, the word should be read in its common meaning.</w:t>
      </w:r>
    </w:p>
    <w:p w:rsidR="0059246D" w:rsidRDefault="0059246D" w:rsidP="00526946">
      <w:pPr>
        <w:pStyle w:val="Textstyle"/>
      </w:pPr>
      <w:r>
        <w:tab/>
        <w:t>In common usage “need” means:</w:t>
      </w:r>
    </w:p>
    <w:p w:rsidR="0059246D" w:rsidRPr="00BD4C04" w:rsidRDefault="00BD4C04" w:rsidP="00BD4C04">
      <w:pPr>
        <w:spacing w:after="240"/>
        <w:ind w:left="2160" w:hanging="720"/>
        <w:rPr>
          <w:sz w:val="26"/>
          <w:szCs w:val="26"/>
        </w:rPr>
      </w:pPr>
      <w:r>
        <w:rPr>
          <w:sz w:val="26"/>
          <w:szCs w:val="26"/>
        </w:rPr>
        <w:t>1.</w:t>
      </w:r>
      <w:r>
        <w:rPr>
          <w:sz w:val="26"/>
          <w:szCs w:val="26"/>
        </w:rPr>
        <w:tab/>
      </w:r>
      <w:r w:rsidR="0059246D" w:rsidRPr="00BD4C04">
        <w:rPr>
          <w:sz w:val="26"/>
          <w:szCs w:val="26"/>
        </w:rPr>
        <w:t>Necessity or obligation created by some situation;</w:t>
      </w:r>
    </w:p>
    <w:p w:rsidR="0059246D" w:rsidRPr="00BD4C04" w:rsidRDefault="00BD4C04" w:rsidP="00BD4C04">
      <w:pPr>
        <w:spacing w:after="240"/>
        <w:ind w:left="2160" w:hanging="720"/>
        <w:rPr>
          <w:sz w:val="26"/>
          <w:szCs w:val="26"/>
        </w:rPr>
      </w:pPr>
      <w:r>
        <w:rPr>
          <w:sz w:val="26"/>
          <w:szCs w:val="26"/>
        </w:rPr>
        <w:t>2.</w:t>
      </w:r>
      <w:r>
        <w:rPr>
          <w:sz w:val="26"/>
          <w:szCs w:val="26"/>
        </w:rPr>
        <w:tab/>
      </w:r>
      <w:r w:rsidR="0059246D" w:rsidRPr="00BD4C04">
        <w:rPr>
          <w:sz w:val="26"/>
          <w:szCs w:val="26"/>
        </w:rPr>
        <w:t>A lack of something useful, required, or desired;</w:t>
      </w:r>
    </w:p>
    <w:p w:rsidR="0059246D" w:rsidRPr="00BD4C04" w:rsidRDefault="00BD4C04" w:rsidP="00BD4C04">
      <w:pPr>
        <w:spacing w:after="240"/>
        <w:ind w:left="2160" w:hanging="720"/>
        <w:rPr>
          <w:sz w:val="26"/>
          <w:szCs w:val="26"/>
        </w:rPr>
      </w:pPr>
      <w:r>
        <w:rPr>
          <w:sz w:val="26"/>
          <w:szCs w:val="26"/>
        </w:rPr>
        <w:t>3.</w:t>
      </w:r>
      <w:r>
        <w:rPr>
          <w:sz w:val="26"/>
          <w:szCs w:val="26"/>
        </w:rPr>
        <w:tab/>
      </w:r>
      <w:r w:rsidR="0059246D" w:rsidRPr="00BD4C04">
        <w:rPr>
          <w:sz w:val="26"/>
          <w:szCs w:val="26"/>
        </w:rPr>
        <w:t>Something useful, required, or desired that is lacking; want; require</w:t>
      </w:r>
      <w:r w:rsidR="00526946">
        <w:rPr>
          <w:sz w:val="26"/>
          <w:szCs w:val="26"/>
        </w:rPr>
        <w:softHyphen/>
      </w:r>
      <w:r w:rsidR="0059246D" w:rsidRPr="00BD4C04">
        <w:rPr>
          <w:sz w:val="26"/>
          <w:szCs w:val="26"/>
        </w:rPr>
        <w:t>ment;</w:t>
      </w:r>
    </w:p>
    <w:p w:rsidR="0059246D" w:rsidRPr="00BD4C04" w:rsidRDefault="00BD4C04" w:rsidP="00BD4C04">
      <w:pPr>
        <w:tabs>
          <w:tab w:val="left" w:pos="2160"/>
        </w:tabs>
        <w:spacing w:after="240"/>
        <w:ind w:left="2880" w:hanging="1440"/>
        <w:rPr>
          <w:sz w:val="26"/>
          <w:szCs w:val="26"/>
        </w:rPr>
      </w:pPr>
      <w:r>
        <w:rPr>
          <w:sz w:val="26"/>
          <w:szCs w:val="26"/>
        </w:rPr>
        <w:t>4.</w:t>
      </w:r>
      <w:r>
        <w:rPr>
          <w:sz w:val="26"/>
          <w:szCs w:val="26"/>
        </w:rPr>
        <w:tab/>
      </w:r>
      <w:proofErr w:type="gramStart"/>
      <w:r w:rsidR="0059246D" w:rsidRPr="00BD4C04">
        <w:rPr>
          <w:sz w:val="26"/>
          <w:szCs w:val="26"/>
        </w:rPr>
        <w:t>a</w:t>
      </w:r>
      <w:proofErr w:type="gramEnd"/>
      <w:r w:rsidR="0059246D" w:rsidRPr="00BD4C04">
        <w:rPr>
          <w:sz w:val="26"/>
          <w:szCs w:val="26"/>
        </w:rPr>
        <w:t xml:space="preserve">) </w:t>
      </w:r>
      <w:r>
        <w:rPr>
          <w:sz w:val="26"/>
          <w:szCs w:val="26"/>
        </w:rPr>
        <w:tab/>
      </w:r>
      <w:r w:rsidR="0059246D" w:rsidRPr="00BD4C04">
        <w:rPr>
          <w:sz w:val="26"/>
          <w:szCs w:val="26"/>
        </w:rPr>
        <w:t>condition in which there is a deficiency of something, or one requiring relief or supply;</w:t>
      </w:r>
    </w:p>
    <w:p w:rsidR="0059246D" w:rsidRPr="00BD4C04" w:rsidRDefault="0059246D" w:rsidP="00BD4C04">
      <w:pPr>
        <w:tabs>
          <w:tab w:val="left" w:pos="2160"/>
        </w:tabs>
        <w:spacing w:after="240"/>
        <w:ind w:left="2880" w:hanging="1440"/>
        <w:rPr>
          <w:sz w:val="26"/>
          <w:szCs w:val="26"/>
        </w:rPr>
      </w:pPr>
      <w:r w:rsidRPr="00BD4C04">
        <w:rPr>
          <w:sz w:val="26"/>
          <w:szCs w:val="26"/>
        </w:rPr>
        <w:tab/>
        <w:t xml:space="preserve">b) </w:t>
      </w:r>
      <w:r w:rsidR="00BD4C04">
        <w:rPr>
          <w:sz w:val="26"/>
          <w:szCs w:val="26"/>
        </w:rPr>
        <w:tab/>
      </w:r>
      <w:r w:rsidRPr="00BD4C04">
        <w:rPr>
          <w:sz w:val="26"/>
          <w:szCs w:val="26"/>
        </w:rPr>
        <w:t>a condition of poverty, or extreme want.</w:t>
      </w:r>
      <w:r w:rsidR="00BD4C04">
        <w:rPr>
          <w:rStyle w:val="FootnoteReference"/>
          <w:sz w:val="26"/>
          <w:szCs w:val="26"/>
        </w:rPr>
        <w:footnoteReference w:id="2"/>
      </w:r>
    </w:p>
    <w:p w:rsidR="0059246D" w:rsidRDefault="00C5255D" w:rsidP="00526946">
      <w:pPr>
        <w:pStyle w:val="Textstyle"/>
      </w:pPr>
      <w:r>
        <w:tab/>
        <w:t>The General Assem</w:t>
      </w:r>
      <w:r w:rsidR="00502C29">
        <w:t>bly has created the need for in-</w:t>
      </w:r>
      <w:r>
        <w:t>state solar RECs.</w:t>
      </w:r>
      <w:r w:rsidR="00BD4C04">
        <w:rPr>
          <w:rStyle w:val="FootnoteReference"/>
        </w:rPr>
        <w:footnoteReference w:id="3"/>
      </w:r>
      <w:r>
        <w:t xml:space="preserve">  An electric distribution utility (EDU) </w:t>
      </w:r>
      <w:r w:rsidR="00AE1CEA">
        <w:t xml:space="preserve">or electric services company </w:t>
      </w:r>
      <w:r>
        <w:t xml:space="preserve">must have increasing quantities of </w:t>
      </w:r>
      <w:r w:rsidR="00502C29">
        <w:t>in-state</w:t>
      </w:r>
      <w:r>
        <w:t xml:space="preserve"> solar RECs according to the schedule in that code section.</w:t>
      </w:r>
      <w:r w:rsidR="00BD4C04">
        <w:rPr>
          <w:rStyle w:val="FootnoteReference"/>
        </w:rPr>
        <w:footnoteReference w:id="4"/>
      </w:r>
      <w:r>
        <w:t xml:space="preserve">  EDUs </w:t>
      </w:r>
      <w:r w:rsidR="00AE1CEA">
        <w:t xml:space="preserve">and electric </w:t>
      </w:r>
      <w:r w:rsidR="00AE1CEA">
        <w:lastRenderedPageBreak/>
        <w:t xml:space="preserve">services companies </w:t>
      </w:r>
      <w:r>
        <w:t>therefore have a necessity or obligation created by that statute.  In</w:t>
      </w:r>
      <w:r w:rsidR="00502C29">
        <w:t>-</w:t>
      </w:r>
      <w:r>
        <w:t>state solar RECs are useful and required to meet that obligation and, as shown by the testimony of Staff witness Bellamy, the supply of in</w:t>
      </w:r>
      <w:r w:rsidR="00502C29">
        <w:t>-</w:t>
      </w:r>
      <w:r>
        <w:t xml:space="preserve">state solar RECs may be short.  </w:t>
      </w:r>
      <w:r w:rsidR="00EC56E2">
        <w:t>This</w:t>
      </w:r>
      <w:r w:rsidR="00502C29">
        <w:t xml:space="preserve"> deficiency of in-</w:t>
      </w:r>
      <w:r>
        <w:t>state solar RECs must be addressed to meet the statutory obligation.</w:t>
      </w:r>
      <w:r w:rsidR="00502C29">
        <w:t xml:space="preserve">  Thus, it is clear that there is “need” for the Turning Point project in the ordinary sense of the word.</w:t>
      </w:r>
    </w:p>
    <w:p w:rsidR="00BB6AFF" w:rsidRPr="00BB6AFF" w:rsidRDefault="00BB6AFF" w:rsidP="00BB6AFF">
      <w:pPr>
        <w:pStyle w:val="Heading2"/>
      </w:pPr>
      <w:bookmarkStart w:id="5" w:name="_Toc337034886"/>
      <w:r>
        <w:t>How should need be defined?</w:t>
      </w:r>
      <w:bookmarkEnd w:id="5"/>
    </w:p>
    <w:p w:rsidR="00DF5BCD" w:rsidRDefault="00212978" w:rsidP="00526946">
      <w:pPr>
        <w:pStyle w:val="Textstyle"/>
      </w:pPr>
      <w:r>
        <w:tab/>
      </w:r>
      <w:r w:rsidR="00AB0056">
        <w:t>See the answer to Question I above.</w:t>
      </w:r>
    </w:p>
    <w:p w:rsidR="00BB6AFF" w:rsidRDefault="00BB6AFF" w:rsidP="00BB6AFF">
      <w:pPr>
        <w:pStyle w:val="Heading2"/>
      </w:pPr>
      <w:bookmarkStart w:id="6" w:name="_Toc337034887"/>
      <w:r>
        <w:t>What is the proper legal standard to be applied to the Commission’s anal</w:t>
      </w:r>
      <w:r w:rsidR="00526946">
        <w:softHyphen/>
      </w:r>
      <w:r>
        <w:t>ysis of need?</w:t>
      </w:r>
      <w:bookmarkEnd w:id="6"/>
    </w:p>
    <w:p w:rsidR="00AB0056" w:rsidRPr="00AB0056" w:rsidRDefault="00AB0056" w:rsidP="00526946">
      <w:pPr>
        <w:pStyle w:val="Textstyle"/>
      </w:pPr>
      <w:r>
        <w:tab/>
        <w:t xml:space="preserve">The question of the existence of need is factual rather than legal.  </w:t>
      </w:r>
      <w:r w:rsidR="005F3187">
        <w:t xml:space="preserve">Either need exists or it does not.  </w:t>
      </w:r>
      <w:r>
        <w:t>As discussed in the answer to Question I above, the statute provides no definition and the term must be construed in ordinary terms.  Thus the need deter</w:t>
      </w:r>
      <w:r w:rsidR="008C1CCD">
        <w:softHyphen/>
      </w:r>
      <w:r>
        <w:t>mination should be included as a finding of fact.  Pursuant to statute, the Commission must issue its decisions, including findings of fact, in written form.</w:t>
      </w:r>
      <w:r w:rsidR="00BD4C04">
        <w:rPr>
          <w:rStyle w:val="FootnoteReference"/>
        </w:rPr>
        <w:footnoteReference w:id="5"/>
      </w:r>
      <w:r>
        <w:t xml:space="preserve">  The decisions must be of sufficient detail to permit the Ohio Supreme Court to determine, on appeal, how the Commission reached its decision.</w:t>
      </w:r>
      <w:r w:rsidR="00BD4C04">
        <w:rPr>
          <w:rStyle w:val="FootnoteReference"/>
        </w:rPr>
        <w:footnoteReference w:id="6"/>
      </w:r>
      <w:r>
        <w:t xml:space="preserve">  </w:t>
      </w:r>
      <w:r w:rsidR="005F3187">
        <w:t xml:space="preserve">Determinations are to be based on evidence in the </w:t>
      </w:r>
      <w:r w:rsidR="005F3187">
        <w:lastRenderedPageBreak/>
        <w:t>record.</w:t>
      </w:r>
      <w:r w:rsidR="00BD4C04">
        <w:rPr>
          <w:rStyle w:val="FootnoteReference"/>
        </w:rPr>
        <w:footnoteReference w:id="7"/>
      </w:r>
      <w:r w:rsidR="005F3187">
        <w:t xml:space="preserve"> </w:t>
      </w:r>
      <w:r w:rsidR="00BD4C04">
        <w:t xml:space="preserve"> T</w:t>
      </w:r>
      <w:r w:rsidR="00AE1CEA">
        <w:t>hus the legal requirement is that the Commission must look to evidence of record in the case to make a factual determination as to whether need exists and then explain its reasoning in a manner in writing sufficient to allow the Supreme Court to understand that analysis.</w:t>
      </w:r>
    </w:p>
    <w:p w:rsidR="00BB6AFF" w:rsidRDefault="00BB6AFF" w:rsidP="00BB6AFF">
      <w:pPr>
        <w:pStyle w:val="Heading2"/>
      </w:pPr>
      <w:bookmarkStart w:id="7" w:name="_Toc337034888"/>
      <w:r>
        <w:t>Is need limited to energy and capacity only, or does need include compli</w:t>
      </w:r>
      <w:r w:rsidR="00526946">
        <w:softHyphen/>
      </w:r>
      <w:r>
        <w:t>ance with the renewable portfolio standard?</w:t>
      </w:r>
      <w:bookmarkEnd w:id="7"/>
    </w:p>
    <w:p w:rsidR="00A81645" w:rsidRPr="00A81645" w:rsidRDefault="00A81645" w:rsidP="00526946">
      <w:pPr>
        <w:pStyle w:val="Textstyle"/>
      </w:pPr>
      <w:r>
        <w:tab/>
        <w:t>Energy and capacity cannot be meaningfully separated from compliance with the renewable portfolio standards.  They are unavoidably tied by statute.</w:t>
      </w:r>
      <w:r w:rsidR="00EC56E2">
        <w:t xml:space="preserve"> Just as the concept of “capacity” as a separate necessity for the provision of electricity is a relatively recent requirement under the federal structure, the requirement of in</w:t>
      </w:r>
      <w:r w:rsidR="00502C29">
        <w:t>-</w:t>
      </w:r>
      <w:r w:rsidR="00EC56E2">
        <w:t>state solar RECs is a rela</w:t>
      </w:r>
      <w:r w:rsidR="00526946">
        <w:softHyphen/>
      </w:r>
      <w:r w:rsidR="00EC56E2">
        <w:t xml:space="preserve">tively recent requirement under Ohio’s structure.  For an EDU </w:t>
      </w:r>
      <w:r w:rsidR="00AE1CEA">
        <w:t>or electric services com</w:t>
      </w:r>
      <w:r w:rsidR="00526946">
        <w:softHyphen/>
      </w:r>
      <w:r w:rsidR="00AE1CEA">
        <w:t xml:space="preserve">pany </w:t>
      </w:r>
      <w:r w:rsidR="00EC56E2">
        <w:t xml:space="preserve">to provide service in Ohio it must have energy </w:t>
      </w:r>
      <w:r w:rsidR="00EC56E2" w:rsidRPr="00EC56E2">
        <w:rPr>
          <w:i/>
        </w:rPr>
        <w:t>and</w:t>
      </w:r>
      <w:r w:rsidR="00EC56E2">
        <w:t xml:space="preserve"> capacity </w:t>
      </w:r>
      <w:r w:rsidR="00EC56E2" w:rsidRPr="00EC56E2">
        <w:rPr>
          <w:i/>
        </w:rPr>
        <w:t>and</w:t>
      </w:r>
      <w:r w:rsidR="00EC56E2">
        <w:t xml:space="preserve"> in</w:t>
      </w:r>
      <w:r w:rsidR="00502C29">
        <w:t>-</w:t>
      </w:r>
      <w:r w:rsidR="00EC56E2">
        <w:t>state solar RECs.</w:t>
      </w:r>
      <w:r w:rsidR="00EC56E2">
        <w:rPr>
          <w:rStyle w:val="FootnoteReference"/>
          <w:sz w:val="28"/>
        </w:rPr>
        <w:footnoteReference w:id="8"/>
      </w:r>
      <w:r w:rsidR="00EC56E2">
        <w:t xml:space="preserve">  All are required.  The term “need” as used in R.C. 4928.143 encompasses all three items.</w:t>
      </w:r>
    </w:p>
    <w:p w:rsidR="00BB6AFF" w:rsidRDefault="00BB6AFF" w:rsidP="00BB6AFF">
      <w:pPr>
        <w:pStyle w:val="Heading2"/>
      </w:pPr>
      <w:bookmarkStart w:id="8" w:name="_Toc337034889"/>
      <w:r>
        <w:t>What evidence is relevant to the Commission’s determination of need?</w:t>
      </w:r>
      <w:bookmarkEnd w:id="8"/>
    </w:p>
    <w:p w:rsidR="00D27269" w:rsidRDefault="00D27269" w:rsidP="00526946">
      <w:pPr>
        <w:pStyle w:val="Textstyle"/>
      </w:pPr>
      <w:r>
        <w:tab/>
        <w:t>As discussed in the previous answer, the Commission must determine whether there is a need for in</w:t>
      </w:r>
      <w:r w:rsidR="00502C29">
        <w:t>-</w:t>
      </w:r>
      <w:r>
        <w:t xml:space="preserve">state solar RECs as a factual matter.  To make this determination the Commission must consider the balance between supply and demand into the future as </w:t>
      </w:r>
      <w:r>
        <w:lastRenderedPageBreak/>
        <w:t>would be true if one were considering whether any good i</w:t>
      </w:r>
      <w:r w:rsidR="008C1CCD">
        <w:t>s</w:t>
      </w:r>
      <w:r>
        <w:t xml:space="preserve"> “needed</w:t>
      </w:r>
      <w:r w:rsidR="00BD4C04">
        <w:t>.”</w:t>
      </w:r>
      <w:r>
        <w:t xml:space="preserve">  </w:t>
      </w:r>
      <w:r w:rsidR="00502C29">
        <w:t>EDUs show their balance of supply and demand of energy, capacity, or compliance in their resource plans.  Staff also notes that, pursuant to R.C. 4928.64(D</w:t>
      </w:r>
      <w:proofErr w:type="gramStart"/>
      <w:r w:rsidR="00502C29">
        <w:t>)(</w:t>
      </w:r>
      <w:proofErr w:type="gramEnd"/>
      <w:r w:rsidR="00502C29">
        <w:t>1), the Commission is required to sub</w:t>
      </w:r>
      <w:r w:rsidR="008C1CCD">
        <w:softHyphen/>
      </w:r>
      <w:r w:rsidR="00502C29">
        <w:t>mit annual status reports to the legislature in Ohio’s alternative energy portfolio stand</w:t>
      </w:r>
      <w:r w:rsidR="008C1CCD">
        <w:softHyphen/>
      </w:r>
      <w:r w:rsidR="00502C29">
        <w:t>ard.</w:t>
      </w:r>
      <w:r w:rsidR="00502C29">
        <w:rPr>
          <w:rStyle w:val="FootnoteReference"/>
        </w:rPr>
        <w:footnoteReference w:id="9"/>
      </w:r>
      <w:r w:rsidR="00502C29">
        <w:t xml:space="preserve">  </w:t>
      </w:r>
      <w:r w:rsidR="00502C29" w:rsidRPr="00580BD5">
        <w:rPr>
          <w:szCs w:val="26"/>
        </w:rPr>
        <w:t>Although this report focuses on prior compliance years, it also provides infor</w:t>
      </w:r>
      <w:r w:rsidR="00502C29">
        <w:rPr>
          <w:szCs w:val="26"/>
        </w:rPr>
        <w:softHyphen/>
      </w:r>
      <w:r w:rsidR="00502C29" w:rsidRPr="00580BD5">
        <w:rPr>
          <w:szCs w:val="26"/>
        </w:rPr>
        <w:t>mation on current market conditions and the Commission’s consideration of important issues in current and developing markets.  As such, the assessment provided in this report would be among the items for the Commission to consider in its determination of need</w:t>
      </w:r>
      <w:r w:rsidR="00502C29">
        <w:rPr>
          <w:szCs w:val="26"/>
        </w:rPr>
        <w:t>.</w:t>
      </w:r>
    </w:p>
    <w:p w:rsidR="00D27269" w:rsidRDefault="00502C29" w:rsidP="00526946">
      <w:pPr>
        <w:pStyle w:val="Textstyle"/>
      </w:pPr>
      <w:r>
        <w:tab/>
        <w:t>The future demand for in-</w:t>
      </w:r>
      <w:r w:rsidR="00D27269">
        <w:t>state solar RECs is governed by a statutory formula.  Spe</w:t>
      </w:r>
      <w:r w:rsidR="00526946">
        <w:softHyphen/>
      </w:r>
      <w:r w:rsidR="00D27269">
        <w:t xml:space="preserve">cifically an EDU </w:t>
      </w:r>
      <w:r w:rsidR="00AE1CEA">
        <w:t xml:space="preserve">or an electric services company </w:t>
      </w:r>
      <w:r w:rsidR="00D27269">
        <w:t>is required to</w:t>
      </w:r>
      <w:r>
        <w:t xml:space="preserve"> have in-</w:t>
      </w:r>
      <w:r w:rsidR="00AE1CEA">
        <w:t>state solar RECs equal to the statutory percentage, varying by year, as shown in the schedule included in R.C. 4928.64(B)(2) of the EDU’s or electric services company’s baseline as calculated under R.C. 4928.64(B).  The driver for this calculation is the estimate of future sales which can then be used to estimate the future baseline requirements.</w:t>
      </w:r>
      <w:r w:rsidR="000A7A26">
        <w:t xml:space="preserve">  This is exactly what Staff witness Bellamy has provided.</w:t>
      </w:r>
    </w:p>
    <w:p w:rsidR="000A7A26" w:rsidRDefault="000A7A26" w:rsidP="00526946">
      <w:pPr>
        <w:pStyle w:val="Textstyle"/>
      </w:pPr>
      <w:r>
        <w:tab/>
        <w:t xml:space="preserve">Future supply of RECs is done by estimating how many </w:t>
      </w:r>
      <w:r w:rsidR="00502C29">
        <w:t>in-state</w:t>
      </w:r>
      <w:r>
        <w:t xml:space="preserve"> solar RECs will be produced in the relevant future periods.  There are two sources of </w:t>
      </w:r>
      <w:r w:rsidR="00502C29">
        <w:t>in-state</w:t>
      </w:r>
      <w:r>
        <w:t xml:space="preserve"> solar RECs, existing facilities and new facilities.  While the supply of </w:t>
      </w:r>
      <w:r w:rsidR="00502C29">
        <w:t>in-state</w:t>
      </w:r>
      <w:r>
        <w:t xml:space="preserve"> solar RECs from exist</w:t>
      </w:r>
      <w:r w:rsidR="00526946">
        <w:softHyphen/>
      </w:r>
      <w:r>
        <w:t xml:space="preserve">ing facilities is relatively easy to analyze, the availability of </w:t>
      </w:r>
      <w:r w:rsidR="00502C29">
        <w:t>in-state</w:t>
      </w:r>
      <w:r>
        <w:t xml:space="preserve"> solar </w:t>
      </w:r>
      <w:proofErr w:type="spellStart"/>
      <w:r>
        <w:t>RECs</w:t>
      </w:r>
      <w:proofErr w:type="spellEnd"/>
      <w:r>
        <w:t xml:space="preserve"> from facilities not yet built is more difficult and subjective.  Any entity </w:t>
      </w:r>
      <w:r w:rsidRPr="000A7A26">
        <w:rPr>
          <w:i/>
        </w:rPr>
        <w:t>could</w:t>
      </w:r>
      <w:r>
        <w:t xml:space="preserve"> construct a facil</w:t>
      </w:r>
      <w:r w:rsidR="00526946">
        <w:softHyphen/>
      </w:r>
      <w:r>
        <w:lastRenderedPageBreak/>
        <w:t xml:space="preserve">ity which would produce </w:t>
      </w:r>
      <w:r w:rsidR="00502C29">
        <w:t>in-state</w:t>
      </w:r>
      <w:r>
        <w:t xml:space="preserve"> solar RECs and such facilities </w:t>
      </w:r>
      <w:r w:rsidRPr="000A7A26">
        <w:rPr>
          <w:i/>
        </w:rPr>
        <w:t>could</w:t>
      </w:r>
      <w:r>
        <w:t xml:space="preserve"> be built at any time.  As indicated in the testimony of Staff witness Bellamy, some </w:t>
      </w:r>
      <w:r w:rsidR="00502C29">
        <w:t>in-state</w:t>
      </w:r>
      <w:r>
        <w:t xml:space="preserve"> solar facili</w:t>
      </w:r>
      <w:r w:rsidR="00526946">
        <w:softHyphen/>
      </w:r>
      <w:r>
        <w:t xml:space="preserve">ties have been built by non-utility entities in the past.  More </w:t>
      </w:r>
      <w:r w:rsidRPr="000A7A26">
        <w:rPr>
          <w:i/>
        </w:rPr>
        <w:t>might</w:t>
      </w:r>
      <w:r>
        <w:t xml:space="preserve"> be built in the future.  To capture the uncertainty of whether, when and how much may be built in the future, Staff witness Bellamy has included </w:t>
      </w:r>
      <w:r w:rsidR="008C1CCD">
        <w:t>four</w:t>
      </w:r>
      <w:r>
        <w:t xml:space="preserve"> scenarios</w:t>
      </w:r>
      <w:r w:rsidR="00595F2B">
        <w:t xml:space="preserve"> describing different construction lev</w:t>
      </w:r>
      <w:r w:rsidR="00526946">
        <w:softHyphen/>
      </w:r>
      <w:r w:rsidR="00595F2B">
        <w:t>els.  These scenarios are projections.  The only actual proposal before the Commission currently is the Turning Point project.  This is the only future source of production known to the Commission at this point in time.</w:t>
      </w:r>
    </w:p>
    <w:p w:rsidR="00595F2B" w:rsidRPr="00D27269" w:rsidRDefault="00526946" w:rsidP="00526946">
      <w:pPr>
        <w:pStyle w:val="Textstyle"/>
      </w:pPr>
      <w:r>
        <w:tab/>
        <w:t>It is the balance</w:t>
      </w:r>
      <w:r w:rsidR="00595F2B">
        <w:t xml:space="preserve"> or</w:t>
      </w:r>
      <w:r>
        <w:t>,</w:t>
      </w:r>
      <w:r w:rsidR="00595F2B">
        <w:t xml:space="preserve"> in this case</w:t>
      </w:r>
      <w:r>
        <w:t>,</w:t>
      </w:r>
      <w:r w:rsidR="00595F2B">
        <w:t xml:space="preserve"> the </w:t>
      </w:r>
      <w:r w:rsidR="00CA6E69">
        <w:t>im</w:t>
      </w:r>
      <w:r w:rsidR="00595F2B">
        <w:t>balance, between supply and demand, as shown by weighing these factors, that the Commission must use to make its factual determination.  Staff witness Bellamy has done just this sort of analysis and that analysis shows that there may be a shortfall</w:t>
      </w:r>
      <w:r w:rsidR="00D52E29">
        <w:rPr>
          <w:rStyle w:val="FootnoteReference"/>
          <w:sz w:val="28"/>
        </w:rPr>
        <w:footnoteReference w:id="10"/>
      </w:r>
      <w:r w:rsidR="00595F2B">
        <w:t xml:space="preserve"> </w:t>
      </w:r>
      <w:r w:rsidR="00CA6E69">
        <w:t xml:space="preserve"> of </w:t>
      </w:r>
      <w:r w:rsidR="00502C29">
        <w:t>in-state</w:t>
      </w:r>
      <w:r w:rsidR="00595F2B">
        <w:t xml:space="preserve"> solar RECs</w:t>
      </w:r>
      <w:r w:rsidR="00CA6E69">
        <w:t xml:space="preserve"> given the statutory need</w:t>
      </w:r>
      <w:r w:rsidR="00595F2B">
        <w:t>.  This shortfall shows that the Turning Point project is “needed”</w:t>
      </w:r>
      <w:r w:rsidR="009935A4">
        <w:t xml:space="preserve"> based on the evidence in the record</w:t>
      </w:r>
      <w:r w:rsidR="00595F2B">
        <w:t>.</w:t>
      </w:r>
      <w:r w:rsidR="00595F2B">
        <w:rPr>
          <w:rStyle w:val="FootnoteReference"/>
          <w:sz w:val="28"/>
        </w:rPr>
        <w:footnoteReference w:id="11"/>
      </w:r>
    </w:p>
    <w:p w:rsidR="00BB6AFF" w:rsidRDefault="00803126" w:rsidP="00803126">
      <w:pPr>
        <w:pStyle w:val="Heading2"/>
      </w:pPr>
      <w:bookmarkStart w:id="9" w:name="_Toc337034890"/>
      <w:r>
        <w:lastRenderedPageBreak/>
        <w:t xml:space="preserve">Should </w:t>
      </w:r>
      <w:r w:rsidR="00BB6AFF">
        <w:t>the</w:t>
      </w:r>
      <w:r>
        <w:t xml:space="preserve"> </w:t>
      </w:r>
      <w:r w:rsidR="00BB6AFF">
        <w:t>Commission, in evaluating the need for the</w:t>
      </w:r>
      <w:r>
        <w:t xml:space="preserve"> </w:t>
      </w:r>
      <w:r w:rsidR="00BB6AFF">
        <w:t>Turning Point project, solely consider</w:t>
      </w:r>
      <w:r>
        <w:t xml:space="preserve"> </w:t>
      </w:r>
      <w:r w:rsidR="00BB6AFF">
        <w:t>AEP-Ohio's need for the project, or whether the</w:t>
      </w:r>
      <w:r>
        <w:t xml:space="preserve"> </w:t>
      </w:r>
      <w:r w:rsidR="00BB6AFF">
        <w:t>Commission should look beyond the need of the</w:t>
      </w:r>
      <w:r>
        <w:t xml:space="preserve"> </w:t>
      </w:r>
      <w:r w:rsidR="00BB6AFF">
        <w:t>C</w:t>
      </w:r>
      <w:r>
        <w:t>ompany or its service territory?</w:t>
      </w:r>
      <w:bookmarkEnd w:id="9"/>
    </w:p>
    <w:p w:rsidR="00BD4A51" w:rsidRDefault="00CF5B97" w:rsidP="00CF5B97">
      <w:pPr>
        <w:pStyle w:val="Textstyle"/>
      </w:pPr>
      <w:r>
        <w:tab/>
      </w:r>
      <w:r w:rsidR="00CA6E69">
        <w:t xml:space="preserve">The statutory need for </w:t>
      </w:r>
      <w:r w:rsidR="00502C29">
        <w:t>in-state</w:t>
      </w:r>
      <w:r w:rsidR="00CA6E69">
        <w:t xml:space="preserve"> solar RECs applies to individual utilities.  The instant filing seeks a ruling from the Commission that Ohio Power needs RECs.  </w:t>
      </w:r>
      <w:r w:rsidR="00BD4A51">
        <w:t xml:space="preserve">Witness Bellamy amplifies AEP’s need by demonstrating that the Turning Point facility will help to meet the needs of all the other utilities in the state.  </w:t>
      </w:r>
    </w:p>
    <w:p w:rsidR="00B673A5" w:rsidRDefault="00CF5B97" w:rsidP="00CF5B97">
      <w:pPr>
        <w:pStyle w:val="Textstyle"/>
      </w:pPr>
      <w:r>
        <w:tab/>
      </w:r>
      <w:r w:rsidR="00B673A5">
        <w:t xml:space="preserve">As the need for </w:t>
      </w:r>
      <w:r w:rsidR="00502C29">
        <w:t>in-state</w:t>
      </w:r>
      <w:r w:rsidR="00B673A5">
        <w:t xml:space="preserve"> solar RECs is statewide, the planning to achieve compli</w:t>
      </w:r>
      <w:r w:rsidR="00502C29">
        <w:softHyphen/>
      </w:r>
      <w:r w:rsidR="00B673A5">
        <w:t>ance should be statewide as well.</w:t>
      </w:r>
      <w:r w:rsidR="00EC5A4A">
        <w:t xml:space="preserve">  While under the forecasting statutes individual com</w:t>
      </w:r>
      <w:r w:rsidR="00502C29">
        <w:softHyphen/>
      </w:r>
      <w:r w:rsidR="00EC5A4A">
        <w:t>panies are responsible only for their own service areas, the Com</w:t>
      </w:r>
      <w:r w:rsidR="001300C7">
        <w:softHyphen/>
      </w:r>
      <w:r w:rsidR="00EC5A4A">
        <w:t>mission’s obligations are to the state as a whole.  The Commission is obligated to:</w:t>
      </w:r>
    </w:p>
    <w:p w:rsidR="00EC5A4A" w:rsidRPr="00EC5A4A" w:rsidRDefault="00EC5A4A" w:rsidP="00BD4C04">
      <w:pPr>
        <w:pStyle w:val="Blockquote"/>
      </w:pPr>
      <w:r w:rsidRPr="00EC5A4A">
        <w:t>(1) Estimate statewide and regional needs for energy for the forthcoming five- and ten-year periods which, in the opinion of the commission, will reasonably balance requirements of state and regional development, protection of public health and safety, preservation of environmental quality, main</w:t>
      </w:r>
      <w:r w:rsidR="008C1CCD">
        <w:softHyphen/>
      </w:r>
      <w:r w:rsidRPr="00EC5A4A">
        <w:t>tenance of a sound economy, and conservation of energy and material resources</w:t>
      </w:r>
      <w:r w:rsidR="00526946" w:rsidRPr="00EC5A4A">
        <w:t xml:space="preserve">.  </w:t>
      </w:r>
      <w:r w:rsidRPr="00EC5A4A">
        <w:t>Other factors and trends which will sig</w:t>
      </w:r>
      <w:r w:rsidR="00526946">
        <w:softHyphen/>
      </w:r>
      <w:r w:rsidRPr="00EC5A4A">
        <w:t>nificantly affect energy consumption such as the effects of conservation measures shall also be included;</w:t>
      </w:r>
    </w:p>
    <w:p w:rsidR="00EC5A4A" w:rsidRDefault="00EC5A4A" w:rsidP="00BD4C04">
      <w:pPr>
        <w:pStyle w:val="Blockquote"/>
      </w:pPr>
      <w:r w:rsidRPr="00EC5A4A">
        <w:t>(2) Estimate statewide and regional demands within the state for energy for twenty years ahead, to be used in formulation of long-range policies and proposals for reduction of demand, conservation of energy, development of potential sources of energy, and action to affect the rate of growth in demand for energy</w:t>
      </w:r>
      <w:r>
        <w:t>…</w:t>
      </w:r>
      <w:r w:rsidR="00BD4C04">
        <w:t>.</w:t>
      </w:r>
      <w:r w:rsidR="00BD4C04">
        <w:rPr>
          <w:rStyle w:val="FootnoteReference"/>
        </w:rPr>
        <w:footnoteReference w:id="12"/>
      </w:r>
    </w:p>
    <w:p w:rsidR="00EC5A4A" w:rsidRPr="00B673A5" w:rsidRDefault="00EC5A4A" w:rsidP="00526946">
      <w:pPr>
        <w:pStyle w:val="Textstyle"/>
      </w:pPr>
      <w:r>
        <w:lastRenderedPageBreak/>
        <w:t xml:space="preserve">Forecast plans themselves must consider </w:t>
      </w:r>
      <w:r w:rsidR="00D52E29">
        <w:t>the plans of other utilities.</w:t>
      </w:r>
      <w:r w:rsidR="00BD4C04">
        <w:rPr>
          <w:rStyle w:val="FootnoteReference"/>
        </w:rPr>
        <w:footnoteReference w:id="13"/>
      </w:r>
      <w:r w:rsidR="00D52E29">
        <w:t xml:space="preserve">  The clear goal is to assure the public in Ohio generally that Ohio will have sufficient means to meet the state’s energy needs.  Focusing on one company</w:t>
      </w:r>
      <w:r w:rsidR="00BD4A51">
        <w:t xml:space="preserve"> because one company has asked for a need determination does not preclude the Commission from considering the broader needs of the state as a whole.  </w:t>
      </w:r>
    </w:p>
    <w:p w:rsidR="00803126" w:rsidRDefault="00D1652A" w:rsidP="00D1652A">
      <w:pPr>
        <w:pStyle w:val="Heading2"/>
      </w:pPr>
      <w:bookmarkStart w:id="10" w:name="_Toc337034891"/>
      <w:r>
        <w:t>S</w:t>
      </w:r>
      <w:r w:rsidR="00803126">
        <w:t>hould the Commission consider whether the</w:t>
      </w:r>
      <w:r>
        <w:t xml:space="preserve"> </w:t>
      </w:r>
      <w:r w:rsidR="00803126">
        <w:t>Turning Point project is needed by other electric</w:t>
      </w:r>
      <w:r>
        <w:t xml:space="preserve"> </w:t>
      </w:r>
      <w:r w:rsidR="00803126">
        <w:t>utilities or electric services companies in Ohio,</w:t>
      </w:r>
      <w:r>
        <w:t xml:space="preserve"> </w:t>
      </w:r>
      <w:r w:rsidR="00803126">
        <w:t>or whether the state as a whole has a need for</w:t>
      </w:r>
      <w:r>
        <w:t xml:space="preserve"> </w:t>
      </w:r>
      <w:r w:rsidR="00803126">
        <w:t>the project?</w:t>
      </w:r>
      <w:bookmarkEnd w:id="10"/>
    </w:p>
    <w:p w:rsidR="009935A4" w:rsidRPr="009935A4" w:rsidRDefault="009935A4" w:rsidP="00526946">
      <w:pPr>
        <w:pStyle w:val="Textstyle"/>
      </w:pPr>
      <w:r>
        <w:tab/>
        <w:t>See the answer to Question VI above.</w:t>
      </w:r>
    </w:p>
    <w:p w:rsidR="00D1652A" w:rsidRPr="00D1652A" w:rsidRDefault="00D1652A" w:rsidP="00350BCA">
      <w:pPr>
        <w:pStyle w:val="Heading2"/>
      </w:pPr>
      <w:bookmarkStart w:id="11" w:name="_Toc337034892"/>
      <w:r>
        <w:t>Should the Commission consider</w:t>
      </w:r>
      <w:r w:rsidR="00350BCA">
        <w:t xml:space="preserve"> </w:t>
      </w:r>
      <w:r>
        <w:t>whether there is a need for the Turn</w:t>
      </w:r>
      <w:r w:rsidR="00526946">
        <w:softHyphen/>
      </w:r>
      <w:r>
        <w:t>ing Point</w:t>
      </w:r>
      <w:r w:rsidR="00350BCA">
        <w:t xml:space="preserve"> </w:t>
      </w:r>
      <w:r>
        <w:t>project outside of the state, given that the solar</w:t>
      </w:r>
      <w:r w:rsidR="00350BCA">
        <w:t xml:space="preserve"> </w:t>
      </w:r>
      <w:r>
        <w:t>renewable energy credits (</w:t>
      </w:r>
      <w:proofErr w:type="spellStart"/>
      <w:r>
        <w:t>SRECs</w:t>
      </w:r>
      <w:proofErr w:type="spellEnd"/>
      <w:r>
        <w:t>) generated</w:t>
      </w:r>
      <w:r w:rsidR="00350BCA">
        <w:t xml:space="preserve"> </w:t>
      </w:r>
      <w:r>
        <w:t>from the project may be used in meeting the RPS</w:t>
      </w:r>
      <w:r w:rsidR="00350BCA">
        <w:t xml:space="preserve"> </w:t>
      </w:r>
      <w:r>
        <w:t>in other states and that SRECs generated from</w:t>
      </w:r>
      <w:r w:rsidR="00350BCA">
        <w:t xml:space="preserve"> </w:t>
      </w:r>
      <w:r>
        <w:t>facili</w:t>
      </w:r>
      <w:r w:rsidR="00526946">
        <w:softHyphen/>
      </w:r>
      <w:r>
        <w:t>ties outside the state may be used to meet</w:t>
      </w:r>
      <w:r w:rsidR="00350BCA">
        <w:t xml:space="preserve"> </w:t>
      </w:r>
      <w:r>
        <w:t>Ohio's RPS?</w:t>
      </w:r>
      <w:bookmarkEnd w:id="11"/>
    </w:p>
    <w:p w:rsidR="00803126" w:rsidRPr="009935A4" w:rsidRDefault="009935A4" w:rsidP="00526946">
      <w:pPr>
        <w:pStyle w:val="Textstyle"/>
      </w:pPr>
      <w:r>
        <w:rPr>
          <w:b/>
        </w:rPr>
        <w:tab/>
      </w:r>
      <w:r>
        <w:t>Looking to the potential demand of SRECs outside Ohio is quite complicated.</w:t>
      </w:r>
      <w:r w:rsidR="007C6AF6">
        <w:t xml:space="preserve">  It would require the same sort of analysis described in the answer to Question V to be done for each state that has a RPS.  Further it would require a determination as to whether such SRECs would be allowed to be used to meet the shortfalls (if any) in those other states.  Additionally it would require estimations of both the cost of production for the Turning Point SRECs and the prices that SRECs might support in whatever other states are found to have a shortfall.  None of this information is available in the record as it currently stands.</w:t>
      </w:r>
      <w:r w:rsidR="00B673A5">
        <w:t xml:space="preserve">  This utter lack of relevant information allows the Commission to avoid address</w:t>
      </w:r>
      <w:r w:rsidR="00526946">
        <w:softHyphen/>
      </w:r>
      <w:r w:rsidR="00B673A5">
        <w:lastRenderedPageBreak/>
        <w:t>ing the ultimate question of whether the ratepayers of AEP should be in the business of producing a product solely for use outside Ohio.</w:t>
      </w:r>
    </w:p>
    <w:p w:rsidR="005740E9" w:rsidRPr="008F2F89" w:rsidRDefault="005740E9" w:rsidP="00DB5C43">
      <w:pPr>
        <w:pStyle w:val="Heading1"/>
      </w:pPr>
      <w:bookmarkStart w:id="12" w:name="_Toc337034893"/>
      <w:r>
        <w:t>CONCLUSION</w:t>
      </w:r>
      <w:bookmarkEnd w:id="12"/>
    </w:p>
    <w:p w:rsidR="005740E9" w:rsidRPr="00967498" w:rsidRDefault="005740E9" w:rsidP="00526946">
      <w:pPr>
        <w:pStyle w:val="Textstyle"/>
      </w:pPr>
      <w:r>
        <w:tab/>
      </w:r>
      <w:r w:rsidR="00967498">
        <w:t xml:space="preserve">In sum, there is a statewide requirement for </w:t>
      </w:r>
      <w:r w:rsidR="00502C29">
        <w:t>in-state</w:t>
      </w:r>
      <w:r w:rsidR="00967498">
        <w:t xml:space="preserve"> solar RECs.  The record shows the possibility of a statewide shortage.  The Turning Point project is the only plan pre</w:t>
      </w:r>
      <w:r w:rsidR="008C1CCD">
        <w:softHyphen/>
      </w:r>
      <w:r w:rsidR="00967498">
        <w:t>sently before the Commission which would address this shortage.</w:t>
      </w:r>
      <w:r w:rsidR="00E80FCB">
        <w:t xml:space="preserve">  On the basis of this record evidence, the Turning</w:t>
      </w:r>
      <w:r w:rsidR="00117663">
        <w:t xml:space="preserve"> Point project is needed and the Commission should so find as a matter of fact.</w:t>
      </w:r>
    </w:p>
    <w:p w:rsidR="00A63ED6" w:rsidRDefault="00A63ED6" w:rsidP="006B18D5">
      <w:pPr>
        <w:autoSpaceDE w:val="0"/>
        <w:autoSpaceDN w:val="0"/>
        <w:adjustRightInd w:val="0"/>
        <w:ind w:left="4320"/>
        <w:rPr>
          <w:sz w:val="26"/>
          <w:szCs w:val="26"/>
        </w:rPr>
      </w:pPr>
      <w:r>
        <w:rPr>
          <w:sz w:val="26"/>
          <w:szCs w:val="26"/>
        </w:rPr>
        <w:t>Respectfully submitted,</w:t>
      </w:r>
    </w:p>
    <w:p w:rsidR="00A63ED6" w:rsidRPr="00A63ED6" w:rsidRDefault="00A63ED6" w:rsidP="006B18D5">
      <w:pPr>
        <w:autoSpaceDE w:val="0"/>
        <w:autoSpaceDN w:val="0"/>
        <w:adjustRightInd w:val="0"/>
        <w:ind w:left="4320"/>
        <w:rPr>
          <w:sz w:val="26"/>
          <w:szCs w:val="26"/>
        </w:rPr>
      </w:pPr>
    </w:p>
    <w:p w:rsidR="00BD4C04" w:rsidRDefault="00BD4C04" w:rsidP="00BF6AFD">
      <w:pPr>
        <w:autoSpaceDE w:val="0"/>
        <w:autoSpaceDN w:val="0"/>
        <w:adjustRightInd w:val="0"/>
        <w:ind w:left="4320"/>
        <w:rPr>
          <w:sz w:val="26"/>
          <w:szCs w:val="26"/>
        </w:rPr>
      </w:pPr>
      <w:r>
        <w:rPr>
          <w:b/>
          <w:sz w:val="26"/>
          <w:szCs w:val="26"/>
        </w:rPr>
        <w:t>Michael DeWine</w:t>
      </w:r>
    </w:p>
    <w:p w:rsidR="00BD4C04" w:rsidRDefault="00BD4C04" w:rsidP="00BF6AFD">
      <w:pPr>
        <w:autoSpaceDE w:val="0"/>
        <w:autoSpaceDN w:val="0"/>
        <w:adjustRightInd w:val="0"/>
        <w:ind w:left="4320"/>
        <w:rPr>
          <w:sz w:val="26"/>
          <w:szCs w:val="26"/>
        </w:rPr>
      </w:pPr>
      <w:r>
        <w:rPr>
          <w:sz w:val="26"/>
          <w:szCs w:val="26"/>
        </w:rPr>
        <w:t>Ohio Attorney General</w:t>
      </w:r>
    </w:p>
    <w:p w:rsidR="00BD4C04" w:rsidRDefault="00BD4C04" w:rsidP="00BF6AFD">
      <w:pPr>
        <w:autoSpaceDE w:val="0"/>
        <w:autoSpaceDN w:val="0"/>
        <w:adjustRightInd w:val="0"/>
        <w:ind w:left="4320"/>
        <w:rPr>
          <w:sz w:val="26"/>
          <w:szCs w:val="26"/>
        </w:rPr>
      </w:pPr>
    </w:p>
    <w:p w:rsidR="00BD4C04" w:rsidRDefault="00BD4C04" w:rsidP="00BF6AFD">
      <w:pPr>
        <w:autoSpaceDE w:val="0"/>
        <w:autoSpaceDN w:val="0"/>
        <w:adjustRightInd w:val="0"/>
        <w:ind w:left="4320"/>
        <w:rPr>
          <w:sz w:val="26"/>
          <w:szCs w:val="26"/>
        </w:rPr>
      </w:pPr>
      <w:r>
        <w:rPr>
          <w:b/>
          <w:sz w:val="26"/>
          <w:szCs w:val="26"/>
        </w:rPr>
        <w:t>William L. Wright</w:t>
      </w:r>
    </w:p>
    <w:p w:rsidR="00BD4C04" w:rsidRDefault="00BD4C04" w:rsidP="00BF6AFD">
      <w:pPr>
        <w:autoSpaceDE w:val="0"/>
        <w:autoSpaceDN w:val="0"/>
        <w:adjustRightInd w:val="0"/>
        <w:ind w:left="4320"/>
        <w:rPr>
          <w:sz w:val="26"/>
          <w:szCs w:val="26"/>
        </w:rPr>
      </w:pPr>
      <w:r>
        <w:rPr>
          <w:sz w:val="26"/>
          <w:szCs w:val="26"/>
        </w:rPr>
        <w:t>Section Chief</w:t>
      </w:r>
    </w:p>
    <w:p w:rsidR="00BD4C04" w:rsidRPr="006B18D5" w:rsidRDefault="00BD4C04" w:rsidP="00BF6AFD">
      <w:pPr>
        <w:autoSpaceDE w:val="0"/>
        <w:autoSpaceDN w:val="0"/>
        <w:adjustRightInd w:val="0"/>
        <w:ind w:left="4320"/>
        <w:rPr>
          <w:sz w:val="26"/>
          <w:szCs w:val="26"/>
        </w:rPr>
      </w:pPr>
    </w:p>
    <w:p w:rsidR="00BF6AFD" w:rsidRPr="00313E0D" w:rsidRDefault="00313E0D" w:rsidP="00BF6AFD">
      <w:pPr>
        <w:tabs>
          <w:tab w:val="left" w:pos="9360"/>
        </w:tabs>
        <w:autoSpaceDE w:val="0"/>
        <w:autoSpaceDN w:val="0"/>
        <w:adjustRightInd w:val="0"/>
        <w:ind w:left="4320"/>
        <w:rPr>
          <w:rFonts w:ascii="Viner Hand ITC" w:hAnsi="Viner Hand ITC"/>
          <w:sz w:val="32"/>
          <w:szCs w:val="32"/>
          <w:u w:val="single"/>
        </w:rPr>
      </w:pPr>
      <w:r w:rsidRPr="00313E0D">
        <w:rPr>
          <w:rFonts w:ascii="Viner Hand ITC" w:hAnsi="Viner Hand ITC"/>
          <w:sz w:val="32"/>
          <w:szCs w:val="32"/>
          <w:u w:val="single"/>
        </w:rPr>
        <w:t>/s/ Thomas W. McNamee</w:t>
      </w:r>
      <w:r w:rsidR="00BF6AFD" w:rsidRPr="00313E0D">
        <w:rPr>
          <w:rFonts w:ascii="Viner Hand ITC" w:hAnsi="Viner Hand ITC"/>
          <w:sz w:val="32"/>
          <w:szCs w:val="32"/>
          <w:u w:val="single"/>
        </w:rPr>
        <w:tab/>
      </w:r>
    </w:p>
    <w:p w:rsidR="00BD4C04" w:rsidRPr="00A02CD4" w:rsidRDefault="00BD4C04" w:rsidP="00BF6AFD">
      <w:pPr>
        <w:autoSpaceDE w:val="0"/>
        <w:autoSpaceDN w:val="0"/>
        <w:adjustRightInd w:val="0"/>
        <w:ind w:left="4320"/>
        <w:rPr>
          <w:b/>
          <w:sz w:val="26"/>
          <w:szCs w:val="26"/>
        </w:rPr>
      </w:pPr>
      <w:r w:rsidRPr="00A02CD4">
        <w:rPr>
          <w:b/>
          <w:sz w:val="26"/>
          <w:szCs w:val="26"/>
        </w:rPr>
        <w:t>Thomas W. McNamee</w:t>
      </w:r>
    </w:p>
    <w:p w:rsidR="00BD4C04" w:rsidRPr="00A02CD4" w:rsidRDefault="00BD4C04" w:rsidP="00BF6AFD">
      <w:pPr>
        <w:autoSpaceDE w:val="0"/>
        <w:autoSpaceDN w:val="0"/>
        <w:adjustRightInd w:val="0"/>
        <w:ind w:left="4320"/>
        <w:rPr>
          <w:sz w:val="26"/>
          <w:szCs w:val="26"/>
        </w:rPr>
      </w:pPr>
      <w:r w:rsidRPr="00A02CD4">
        <w:rPr>
          <w:sz w:val="26"/>
          <w:szCs w:val="26"/>
        </w:rPr>
        <w:t>Assistant Attorney General</w:t>
      </w:r>
    </w:p>
    <w:p w:rsidR="00BD4C04" w:rsidRPr="00A02CD4" w:rsidRDefault="00BD4C04" w:rsidP="00BF6AFD">
      <w:pPr>
        <w:autoSpaceDE w:val="0"/>
        <w:autoSpaceDN w:val="0"/>
        <w:adjustRightInd w:val="0"/>
        <w:ind w:left="4320"/>
        <w:rPr>
          <w:sz w:val="26"/>
          <w:szCs w:val="26"/>
        </w:rPr>
      </w:pPr>
      <w:r w:rsidRPr="00A02CD4">
        <w:rPr>
          <w:sz w:val="26"/>
          <w:szCs w:val="26"/>
        </w:rPr>
        <w:t>Public Utilities Section</w:t>
      </w:r>
    </w:p>
    <w:p w:rsidR="00BD4C04" w:rsidRPr="00A02CD4" w:rsidRDefault="00BD4C04" w:rsidP="00BF6AFD">
      <w:pPr>
        <w:autoSpaceDE w:val="0"/>
        <w:autoSpaceDN w:val="0"/>
        <w:adjustRightInd w:val="0"/>
        <w:ind w:left="4320"/>
        <w:rPr>
          <w:sz w:val="26"/>
          <w:szCs w:val="26"/>
        </w:rPr>
      </w:pPr>
      <w:r w:rsidRPr="00A02CD4">
        <w:rPr>
          <w:sz w:val="26"/>
          <w:szCs w:val="26"/>
        </w:rPr>
        <w:t>180 East Broad Street, 6</w:t>
      </w:r>
      <w:r w:rsidRPr="00A02CD4">
        <w:rPr>
          <w:sz w:val="26"/>
          <w:szCs w:val="26"/>
          <w:vertAlign w:val="superscript"/>
        </w:rPr>
        <w:t>th</w:t>
      </w:r>
      <w:r w:rsidRPr="00A02CD4">
        <w:rPr>
          <w:sz w:val="26"/>
          <w:szCs w:val="26"/>
        </w:rPr>
        <w:t xml:space="preserve"> Floor</w:t>
      </w:r>
    </w:p>
    <w:p w:rsidR="00BD4C04" w:rsidRPr="00A02CD4" w:rsidRDefault="00BD4C04" w:rsidP="00BF6AFD">
      <w:pPr>
        <w:autoSpaceDE w:val="0"/>
        <w:autoSpaceDN w:val="0"/>
        <w:adjustRightInd w:val="0"/>
        <w:ind w:left="4320"/>
        <w:rPr>
          <w:sz w:val="26"/>
          <w:szCs w:val="26"/>
        </w:rPr>
      </w:pPr>
      <w:r w:rsidRPr="00A02CD4">
        <w:rPr>
          <w:sz w:val="26"/>
          <w:szCs w:val="26"/>
        </w:rPr>
        <w:t>Columbus, OH  43215-3793</w:t>
      </w:r>
    </w:p>
    <w:p w:rsidR="00BD4C04" w:rsidRPr="00A02CD4" w:rsidRDefault="00BD4C04" w:rsidP="00BF6AFD">
      <w:pPr>
        <w:autoSpaceDE w:val="0"/>
        <w:autoSpaceDN w:val="0"/>
        <w:adjustRightInd w:val="0"/>
        <w:ind w:left="4320"/>
        <w:rPr>
          <w:sz w:val="26"/>
          <w:szCs w:val="26"/>
        </w:rPr>
      </w:pPr>
      <w:r w:rsidRPr="00A02CD4">
        <w:rPr>
          <w:sz w:val="26"/>
          <w:szCs w:val="26"/>
        </w:rPr>
        <w:t>(614) 466-4396</w:t>
      </w:r>
    </w:p>
    <w:p w:rsidR="00BD4C04" w:rsidRPr="00A02CD4" w:rsidRDefault="00BD4C04" w:rsidP="00BF6AFD">
      <w:pPr>
        <w:autoSpaceDE w:val="0"/>
        <w:autoSpaceDN w:val="0"/>
        <w:adjustRightInd w:val="0"/>
        <w:ind w:left="4320"/>
        <w:rPr>
          <w:sz w:val="26"/>
          <w:szCs w:val="26"/>
        </w:rPr>
      </w:pPr>
      <w:r w:rsidRPr="00A02CD4">
        <w:rPr>
          <w:sz w:val="26"/>
          <w:szCs w:val="26"/>
        </w:rPr>
        <w:t>Fax:  (614) 644-8764</w:t>
      </w:r>
    </w:p>
    <w:p w:rsidR="00BD4C04" w:rsidRPr="00A02CD4" w:rsidRDefault="000C1899" w:rsidP="00BF6AFD">
      <w:pPr>
        <w:autoSpaceDE w:val="0"/>
        <w:autoSpaceDN w:val="0"/>
        <w:adjustRightInd w:val="0"/>
        <w:ind w:left="4320"/>
        <w:rPr>
          <w:sz w:val="26"/>
          <w:szCs w:val="26"/>
        </w:rPr>
      </w:pPr>
      <w:hyperlink r:id="rId14" w:history="1">
        <w:r w:rsidR="00BD4C04" w:rsidRPr="00A02CD4">
          <w:rPr>
            <w:rStyle w:val="Hyperlink"/>
            <w:sz w:val="26"/>
            <w:szCs w:val="26"/>
          </w:rPr>
          <w:t>thomas.mcnamee@puc.state.oh.us</w:t>
        </w:r>
      </w:hyperlink>
    </w:p>
    <w:p w:rsidR="00BD4C04" w:rsidRPr="00A02CD4" w:rsidRDefault="00BD4C04" w:rsidP="00BF6AFD">
      <w:pPr>
        <w:autoSpaceDE w:val="0"/>
        <w:autoSpaceDN w:val="0"/>
        <w:adjustRightInd w:val="0"/>
        <w:ind w:left="4320"/>
        <w:rPr>
          <w:sz w:val="26"/>
          <w:szCs w:val="26"/>
        </w:rPr>
      </w:pPr>
    </w:p>
    <w:p w:rsidR="00BF6AFD" w:rsidRPr="00DB5C43" w:rsidRDefault="00BD4C04" w:rsidP="00DB5C43">
      <w:pPr>
        <w:ind w:left="4320"/>
        <w:rPr>
          <w:b/>
          <w:sz w:val="26"/>
          <w:szCs w:val="26"/>
        </w:rPr>
      </w:pPr>
      <w:r w:rsidRPr="00DB5C43">
        <w:rPr>
          <w:b/>
          <w:sz w:val="26"/>
          <w:szCs w:val="26"/>
        </w:rPr>
        <w:t>Counsel for the Staff of the Public Utilities Commission of Ohio</w:t>
      </w:r>
    </w:p>
    <w:p w:rsidR="00CF5B97" w:rsidRDefault="00CF5B97" w:rsidP="00DB5C43">
      <w:pPr>
        <w:pStyle w:val="Heading1"/>
      </w:pPr>
      <w:r>
        <w:br w:type="page"/>
      </w:r>
    </w:p>
    <w:p w:rsidR="00C53AE4" w:rsidRDefault="00C53AE4" w:rsidP="00DB5C43">
      <w:pPr>
        <w:pStyle w:val="Heading1"/>
      </w:pPr>
      <w:bookmarkStart w:id="13" w:name="_Toc337034894"/>
      <w:r>
        <w:lastRenderedPageBreak/>
        <w:t>CERTIFICATE OF SERVICE</w:t>
      </w:r>
      <w:bookmarkEnd w:id="13"/>
    </w:p>
    <w:p w:rsidR="00C53AE4" w:rsidRDefault="00C53AE4" w:rsidP="00526946">
      <w:pPr>
        <w:pStyle w:val="Textstyle"/>
      </w:pPr>
      <w:r>
        <w:tab/>
        <w:t xml:space="preserve">The undersigned hereby certifies that a true and correct copy of the foregoing </w:t>
      </w:r>
      <w:r w:rsidR="00526946">
        <w:t>Brief i</w:t>
      </w:r>
      <w:r w:rsidR="00526946" w:rsidRPr="00117663">
        <w:t xml:space="preserve">n Response </w:t>
      </w:r>
      <w:r w:rsidR="00526946">
        <w:t>t</w:t>
      </w:r>
      <w:r w:rsidR="00526946" w:rsidRPr="00117663">
        <w:t>o September 5, 2012 Order</w:t>
      </w:r>
      <w:r w:rsidR="00117663">
        <w:t xml:space="preserve"> </w:t>
      </w:r>
      <w:r>
        <w:t xml:space="preserve">submitted on behalf of the Staff of the Public Utilities Commission of Ohio, has been served upon the below-named counsel via traditional and electronic mail this </w:t>
      </w:r>
      <w:r w:rsidR="003C0FCF">
        <w:t>3</w:t>
      </w:r>
      <w:r w:rsidR="003C0FCF" w:rsidRPr="003C0FCF">
        <w:rPr>
          <w:vertAlign w:val="superscript"/>
        </w:rPr>
        <w:t>rd</w:t>
      </w:r>
      <w:r w:rsidR="003C0FCF">
        <w:t xml:space="preserve"> </w:t>
      </w:r>
      <w:r>
        <w:t xml:space="preserve">day of </w:t>
      </w:r>
      <w:r w:rsidR="003C0FCF">
        <w:t>October</w:t>
      </w:r>
      <w:r>
        <w:t>, 2012.</w:t>
      </w:r>
    </w:p>
    <w:p w:rsidR="00DB5C43" w:rsidRPr="00A02CD4" w:rsidRDefault="00DB5C43" w:rsidP="00526946">
      <w:pPr>
        <w:pStyle w:val="Textstyle"/>
      </w:pPr>
    </w:p>
    <w:p w:rsidR="00313E0D" w:rsidRDefault="00313E0D" w:rsidP="00313E0D">
      <w:pPr>
        <w:tabs>
          <w:tab w:val="left" w:pos="9360"/>
        </w:tabs>
        <w:ind w:left="4320" w:firstLine="720"/>
        <w:rPr>
          <w:rFonts w:ascii="Viner Hand ITC" w:hAnsi="Viner Hand ITC"/>
          <w:sz w:val="32"/>
          <w:szCs w:val="32"/>
          <w:u w:val="single"/>
        </w:rPr>
      </w:pPr>
      <w:r w:rsidRPr="00313E0D">
        <w:rPr>
          <w:rFonts w:ascii="Viner Hand ITC" w:hAnsi="Viner Hand ITC"/>
          <w:sz w:val="32"/>
          <w:szCs w:val="32"/>
          <w:u w:val="single"/>
        </w:rPr>
        <w:t>/s/ Thomas W. McNamee</w:t>
      </w:r>
      <w:r>
        <w:rPr>
          <w:rFonts w:ascii="Viner Hand ITC" w:hAnsi="Viner Hand ITC"/>
          <w:sz w:val="32"/>
          <w:szCs w:val="32"/>
          <w:u w:val="single"/>
        </w:rPr>
        <w:tab/>
      </w:r>
    </w:p>
    <w:p w:rsidR="00C53AE4" w:rsidRDefault="00C53AE4" w:rsidP="00C53AE4">
      <w:pPr>
        <w:ind w:left="4320" w:firstLine="720"/>
        <w:rPr>
          <w:b/>
          <w:sz w:val="26"/>
          <w:szCs w:val="26"/>
        </w:rPr>
      </w:pPr>
      <w:r w:rsidRPr="00C53AE4">
        <w:rPr>
          <w:b/>
          <w:sz w:val="26"/>
          <w:szCs w:val="26"/>
        </w:rPr>
        <w:t>Thomas W. McNamee</w:t>
      </w:r>
    </w:p>
    <w:p w:rsidR="00526946" w:rsidRDefault="00526946" w:rsidP="00C53AE4">
      <w:pPr>
        <w:ind w:left="4320" w:firstLine="720"/>
        <w:rPr>
          <w:sz w:val="26"/>
          <w:szCs w:val="26"/>
        </w:rPr>
      </w:pPr>
      <w:r>
        <w:rPr>
          <w:sz w:val="26"/>
          <w:szCs w:val="26"/>
        </w:rPr>
        <w:t>Assistant Attorney General</w:t>
      </w:r>
    </w:p>
    <w:p w:rsidR="00DB5C43" w:rsidRPr="00526946" w:rsidRDefault="00DB5C43" w:rsidP="00C53AE4">
      <w:pPr>
        <w:ind w:left="4320" w:firstLine="720"/>
        <w:rPr>
          <w:sz w:val="26"/>
          <w:szCs w:val="26"/>
        </w:rPr>
      </w:pPr>
    </w:p>
    <w:p w:rsidR="00C53AE4" w:rsidRPr="00526946" w:rsidRDefault="00C53AE4" w:rsidP="00526946">
      <w:pPr>
        <w:pStyle w:val="Textstyle"/>
        <w:rPr>
          <w:b/>
        </w:rPr>
      </w:pPr>
      <w:r w:rsidRPr="00526946">
        <w:rPr>
          <w:b/>
        </w:rPr>
        <w:t>Parties of Record:</w:t>
      </w:r>
    </w:p>
    <w:tbl>
      <w:tblPr>
        <w:tblW w:w="0" w:type="auto"/>
        <w:tblLook w:val="04A0" w:firstRow="1" w:lastRow="0" w:firstColumn="1" w:lastColumn="0" w:noHBand="0" w:noVBand="1"/>
      </w:tblPr>
      <w:tblGrid>
        <w:gridCol w:w="4788"/>
        <w:gridCol w:w="4788"/>
      </w:tblGrid>
      <w:tr w:rsidR="00C53AE4" w:rsidTr="00E247A2">
        <w:tc>
          <w:tcPr>
            <w:tcW w:w="4788" w:type="dxa"/>
            <w:shd w:val="clear" w:color="auto" w:fill="auto"/>
          </w:tcPr>
          <w:p w:rsidR="00C53AE4" w:rsidRPr="00526946" w:rsidRDefault="00C53AE4" w:rsidP="00E247A2">
            <w:pPr>
              <w:autoSpaceDE w:val="0"/>
              <w:autoSpaceDN w:val="0"/>
              <w:adjustRightInd w:val="0"/>
              <w:rPr>
                <w:b/>
                <w:color w:val="000000"/>
                <w:sz w:val="26"/>
                <w:szCs w:val="26"/>
              </w:rPr>
            </w:pPr>
            <w:r w:rsidRPr="00526946">
              <w:rPr>
                <w:b/>
                <w:color w:val="000000"/>
                <w:sz w:val="26"/>
                <w:szCs w:val="26"/>
              </w:rPr>
              <w:t>Matthew Satterwhite</w:t>
            </w:r>
          </w:p>
          <w:p w:rsidR="00C53AE4" w:rsidRPr="00526946" w:rsidRDefault="00C53AE4" w:rsidP="00E247A2">
            <w:pPr>
              <w:autoSpaceDE w:val="0"/>
              <w:autoSpaceDN w:val="0"/>
              <w:adjustRightInd w:val="0"/>
              <w:rPr>
                <w:b/>
                <w:color w:val="000000"/>
                <w:sz w:val="26"/>
                <w:szCs w:val="26"/>
              </w:rPr>
            </w:pPr>
            <w:r w:rsidRPr="00526946">
              <w:rPr>
                <w:b/>
                <w:color w:val="000000"/>
                <w:sz w:val="26"/>
                <w:szCs w:val="26"/>
              </w:rPr>
              <w:t>Yazen Alami</w:t>
            </w:r>
          </w:p>
          <w:p w:rsidR="00C53AE4" w:rsidRPr="00A02CD4" w:rsidRDefault="00C53AE4" w:rsidP="00E247A2">
            <w:pPr>
              <w:autoSpaceDE w:val="0"/>
              <w:autoSpaceDN w:val="0"/>
              <w:adjustRightInd w:val="0"/>
              <w:rPr>
                <w:color w:val="000000"/>
                <w:sz w:val="26"/>
                <w:szCs w:val="26"/>
              </w:rPr>
            </w:pPr>
            <w:r w:rsidRPr="00A02CD4">
              <w:rPr>
                <w:color w:val="000000"/>
                <w:sz w:val="26"/>
                <w:szCs w:val="26"/>
              </w:rPr>
              <w:t>1 Riverside Plaza</w:t>
            </w:r>
          </w:p>
          <w:p w:rsidR="00C53AE4" w:rsidRPr="00A02CD4" w:rsidRDefault="00C53AE4" w:rsidP="00E247A2">
            <w:pPr>
              <w:autoSpaceDE w:val="0"/>
              <w:autoSpaceDN w:val="0"/>
              <w:adjustRightInd w:val="0"/>
              <w:rPr>
                <w:color w:val="000000"/>
                <w:sz w:val="26"/>
                <w:szCs w:val="26"/>
              </w:rPr>
            </w:pPr>
            <w:r w:rsidRPr="00A02CD4">
              <w:rPr>
                <w:color w:val="000000"/>
                <w:sz w:val="26"/>
                <w:szCs w:val="26"/>
              </w:rPr>
              <w:t>Columbus, OH 43215</w:t>
            </w:r>
          </w:p>
          <w:p w:rsidR="00C53AE4" w:rsidRPr="00A02CD4" w:rsidRDefault="000C1899" w:rsidP="00E247A2">
            <w:pPr>
              <w:autoSpaceDE w:val="0"/>
              <w:autoSpaceDN w:val="0"/>
              <w:adjustRightInd w:val="0"/>
              <w:rPr>
                <w:color w:val="000000"/>
                <w:sz w:val="26"/>
                <w:szCs w:val="26"/>
              </w:rPr>
            </w:pPr>
            <w:hyperlink r:id="rId15" w:history="1">
              <w:r w:rsidR="00C53AE4" w:rsidRPr="00A02CD4">
                <w:rPr>
                  <w:rStyle w:val="Hyperlink"/>
                  <w:sz w:val="26"/>
                  <w:szCs w:val="26"/>
                </w:rPr>
                <w:t>mjsatterwhite@aep.com</w:t>
              </w:r>
            </w:hyperlink>
          </w:p>
          <w:p w:rsidR="00C53AE4" w:rsidRPr="00A02CD4" w:rsidRDefault="000C1899" w:rsidP="00E247A2">
            <w:pPr>
              <w:autoSpaceDE w:val="0"/>
              <w:autoSpaceDN w:val="0"/>
              <w:adjustRightInd w:val="0"/>
              <w:rPr>
                <w:color w:val="000000"/>
                <w:sz w:val="26"/>
                <w:szCs w:val="26"/>
              </w:rPr>
            </w:pPr>
            <w:hyperlink r:id="rId16" w:history="1">
              <w:r w:rsidR="00C53AE4" w:rsidRPr="00A02CD4">
                <w:rPr>
                  <w:rStyle w:val="Hyperlink"/>
                  <w:sz w:val="26"/>
                  <w:szCs w:val="26"/>
                </w:rPr>
                <w:t>yalami@aep.com</w:t>
              </w:r>
            </w:hyperlink>
          </w:p>
          <w:p w:rsidR="00C53AE4" w:rsidRPr="00A02CD4" w:rsidRDefault="00C53AE4" w:rsidP="00E247A2">
            <w:pPr>
              <w:autoSpaceDE w:val="0"/>
              <w:autoSpaceDN w:val="0"/>
              <w:adjustRightInd w:val="0"/>
              <w:rPr>
                <w:color w:val="000000"/>
                <w:sz w:val="26"/>
                <w:szCs w:val="26"/>
              </w:rPr>
            </w:pPr>
          </w:p>
          <w:p w:rsidR="00C53AE4" w:rsidRPr="00526946" w:rsidRDefault="00C53AE4" w:rsidP="00E247A2">
            <w:pPr>
              <w:autoSpaceDE w:val="0"/>
              <w:autoSpaceDN w:val="0"/>
              <w:adjustRightInd w:val="0"/>
              <w:rPr>
                <w:b/>
                <w:sz w:val="26"/>
                <w:szCs w:val="26"/>
              </w:rPr>
            </w:pPr>
            <w:r w:rsidRPr="00526946">
              <w:rPr>
                <w:b/>
                <w:color w:val="000000"/>
                <w:sz w:val="26"/>
                <w:szCs w:val="26"/>
              </w:rPr>
              <w:t>Mark Hayden</w:t>
            </w:r>
          </w:p>
          <w:p w:rsidR="00C53AE4" w:rsidRPr="00A02CD4" w:rsidRDefault="00C53AE4" w:rsidP="00E247A2">
            <w:pPr>
              <w:autoSpaceDE w:val="0"/>
              <w:autoSpaceDN w:val="0"/>
              <w:adjustRightInd w:val="0"/>
              <w:rPr>
                <w:sz w:val="26"/>
                <w:szCs w:val="26"/>
              </w:rPr>
            </w:pPr>
            <w:r>
              <w:rPr>
                <w:sz w:val="26"/>
                <w:szCs w:val="26"/>
              </w:rPr>
              <w:t>FirstE</w:t>
            </w:r>
            <w:r w:rsidRPr="00A02CD4">
              <w:rPr>
                <w:sz w:val="26"/>
                <w:szCs w:val="26"/>
              </w:rPr>
              <w:t>nergy Service Company</w:t>
            </w:r>
          </w:p>
          <w:p w:rsidR="00C53AE4" w:rsidRPr="00A02CD4" w:rsidRDefault="00C53AE4" w:rsidP="00E247A2">
            <w:pPr>
              <w:autoSpaceDE w:val="0"/>
              <w:autoSpaceDN w:val="0"/>
              <w:adjustRightInd w:val="0"/>
              <w:rPr>
                <w:sz w:val="26"/>
                <w:szCs w:val="26"/>
              </w:rPr>
            </w:pPr>
            <w:r w:rsidRPr="00A02CD4">
              <w:rPr>
                <w:sz w:val="26"/>
                <w:szCs w:val="26"/>
              </w:rPr>
              <w:t>76 South Main Street</w:t>
            </w:r>
          </w:p>
          <w:p w:rsidR="00C53AE4" w:rsidRPr="00A02CD4" w:rsidRDefault="00C53AE4" w:rsidP="00E247A2">
            <w:pPr>
              <w:autoSpaceDE w:val="0"/>
              <w:autoSpaceDN w:val="0"/>
              <w:adjustRightInd w:val="0"/>
              <w:rPr>
                <w:sz w:val="26"/>
                <w:szCs w:val="26"/>
              </w:rPr>
            </w:pPr>
            <w:r w:rsidRPr="00A02CD4">
              <w:rPr>
                <w:sz w:val="26"/>
                <w:szCs w:val="26"/>
              </w:rPr>
              <w:t>Akron, OH 44308</w:t>
            </w:r>
          </w:p>
          <w:p w:rsidR="00C53AE4" w:rsidRPr="00A02CD4" w:rsidRDefault="000C1899" w:rsidP="00E247A2">
            <w:pPr>
              <w:autoSpaceDE w:val="0"/>
              <w:autoSpaceDN w:val="0"/>
              <w:adjustRightInd w:val="0"/>
              <w:rPr>
                <w:sz w:val="26"/>
                <w:szCs w:val="26"/>
                <w:lang w:val="fr-FR"/>
              </w:rPr>
            </w:pPr>
            <w:hyperlink r:id="rId17" w:history="1">
              <w:r w:rsidR="00C53AE4" w:rsidRPr="00A02CD4">
                <w:rPr>
                  <w:rStyle w:val="Hyperlink"/>
                  <w:sz w:val="26"/>
                  <w:szCs w:val="26"/>
                  <w:lang w:val="fr-FR"/>
                </w:rPr>
                <w:t>haydenm@firstenergycorp.com</w:t>
              </w:r>
            </w:hyperlink>
            <w:r w:rsidR="00C53AE4" w:rsidRPr="00A02CD4">
              <w:rPr>
                <w:sz w:val="26"/>
                <w:szCs w:val="26"/>
                <w:lang w:val="fr-FR"/>
              </w:rPr>
              <w:t xml:space="preserve"> </w:t>
            </w:r>
          </w:p>
          <w:p w:rsidR="00C53AE4" w:rsidRPr="00A02CD4" w:rsidRDefault="00C53AE4" w:rsidP="00E247A2">
            <w:pPr>
              <w:autoSpaceDE w:val="0"/>
              <w:autoSpaceDN w:val="0"/>
              <w:adjustRightInd w:val="0"/>
              <w:rPr>
                <w:color w:val="000000"/>
                <w:sz w:val="26"/>
                <w:szCs w:val="26"/>
              </w:rPr>
            </w:pPr>
          </w:p>
          <w:p w:rsidR="00C53AE4" w:rsidRDefault="00C53AE4" w:rsidP="00526946">
            <w:pPr>
              <w:pStyle w:val="Textstyle"/>
            </w:pPr>
          </w:p>
        </w:tc>
        <w:tc>
          <w:tcPr>
            <w:tcW w:w="4788" w:type="dxa"/>
            <w:shd w:val="clear" w:color="auto" w:fill="auto"/>
          </w:tcPr>
          <w:p w:rsidR="00C53AE4" w:rsidRPr="00526946" w:rsidRDefault="00C53AE4" w:rsidP="00E247A2">
            <w:pPr>
              <w:rPr>
                <w:b/>
                <w:sz w:val="26"/>
                <w:szCs w:val="26"/>
              </w:rPr>
            </w:pPr>
            <w:r w:rsidRPr="00526946">
              <w:rPr>
                <w:b/>
                <w:sz w:val="26"/>
                <w:szCs w:val="26"/>
              </w:rPr>
              <w:t>Joseph Oliker</w:t>
            </w:r>
          </w:p>
          <w:p w:rsidR="00C53AE4" w:rsidRPr="00A02CD4" w:rsidRDefault="00C53AE4" w:rsidP="00E247A2">
            <w:pPr>
              <w:rPr>
                <w:sz w:val="26"/>
                <w:szCs w:val="26"/>
              </w:rPr>
            </w:pPr>
            <w:r w:rsidRPr="00526946">
              <w:rPr>
                <w:b/>
                <w:sz w:val="26"/>
                <w:szCs w:val="26"/>
              </w:rPr>
              <w:t>Frank P. Darr</w:t>
            </w:r>
          </w:p>
          <w:p w:rsidR="00C53AE4" w:rsidRPr="00A02CD4" w:rsidRDefault="00C53AE4" w:rsidP="00E247A2">
            <w:pPr>
              <w:rPr>
                <w:sz w:val="26"/>
                <w:szCs w:val="26"/>
              </w:rPr>
            </w:pPr>
            <w:r w:rsidRPr="00A02CD4">
              <w:rPr>
                <w:sz w:val="26"/>
                <w:szCs w:val="26"/>
              </w:rPr>
              <w:t>McNees Wallace &amp; Nurick LLC</w:t>
            </w:r>
          </w:p>
          <w:p w:rsidR="00C53AE4" w:rsidRPr="00A02CD4" w:rsidRDefault="00C53AE4" w:rsidP="00E247A2">
            <w:pPr>
              <w:rPr>
                <w:sz w:val="26"/>
                <w:szCs w:val="26"/>
              </w:rPr>
            </w:pPr>
            <w:r w:rsidRPr="00A02CD4">
              <w:rPr>
                <w:sz w:val="26"/>
                <w:szCs w:val="26"/>
              </w:rPr>
              <w:t>21 East State Street, 17</w:t>
            </w:r>
            <w:r w:rsidRPr="00A02CD4">
              <w:rPr>
                <w:sz w:val="26"/>
                <w:szCs w:val="26"/>
                <w:vertAlign w:val="superscript"/>
              </w:rPr>
              <w:t>th</w:t>
            </w:r>
            <w:r w:rsidRPr="00A02CD4">
              <w:rPr>
                <w:sz w:val="26"/>
                <w:szCs w:val="26"/>
              </w:rPr>
              <w:t xml:space="preserve"> Floor</w:t>
            </w:r>
          </w:p>
          <w:p w:rsidR="00C53AE4" w:rsidRPr="00A02CD4" w:rsidRDefault="00C53AE4" w:rsidP="00E247A2">
            <w:pPr>
              <w:rPr>
                <w:sz w:val="26"/>
                <w:szCs w:val="26"/>
              </w:rPr>
            </w:pPr>
            <w:r w:rsidRPr="00A02CD4">
              <w:rPr>
                <w:sz w:val="26"/>
                <w:szCs w:val="26"/>
              </w:rPr>
              <w:t>Columbus, OH 43215</w:t>
            </w:r>
          </w:p>
          <w:p w:rsidR="00C53AE4" w:rsidRPr="00A02CD4" w:rsidRDefault="000C1899" w:rsidP="00E247A2">
            <w:pPr>
              <w:rPr>
                <w:sz w:val="26"/>
                <w:szCs w:val="26"/>
              </w:rPr>
            </w:pPr>
            <w:hyperlink r:id="rId18" w:history="1">
              <w:r w:rsidR="00C53AE4" w:rsidRPr="00A02CD4">
                <w:rPr>
                  <w:rStyle w:val="Hyperlink"/>
                  <w:sz w:val="26"/>
                  <w:szCs w:val="26"/>
                </w:rPr>
                <w:t>joliker@mwncmh.com</w:t>
              </w:r>
            </w:hyperlink>
            <w:r w:rsidR="00C53AE4" w:rsidRPr="00A02CD4">
              <w:rPr>
                <w:sz w:val="26"/>
                <w:szCs w:val="26"/>
              </w:rPr>
              <w:t xml:space="preserve"> </w:t>
            </w:r>
          </w:p>
          <w:p w:rsidR="00C53AE4" w:rsidRPr="00A02CD4" w:rsidRDefault="00C53AE4" w:rsidP="00E247A2">
            <w:pPr>
              <w:autoSpaceDE w:val="0"/>
              <w:autoSpaceDN w:val="0"/>
              <w:adjustRightInd w:val="0"/>
              <w:rPr>
                <w:color w:val="000000"/>
                <w:sz w:val="26"/>
                <w:szCs w:val="26"/>
              </w:rPr>
            </w:pPr>
          </w:p>
          <w:p w:rsidR="00C53AE4" w:rsidRPr="00526946" w:rsidRDefault="00C53AE4" w:rsidP="00E247A2">
            <w:pPr>
              <w:autoSpaceDE w:val="0"/>
              <w:autoSpaceDN w:val="0"/>
              <w:adjustRightInd w:val="0"/>
              <w:rPr>
                <w:b/>
                <w:sz w:val="26"/>
                <w:szCs w:val="26"/>
                <w:lang w:val="fr-FR"/>
              </w:rPr>
            </w:pPr>
            <w:r w:rsidRPr="00526946">
              <w:rPr>
                <w:b/>
                <w:sz w:val="26"/>
                <w:szCs w:val="26"/>
                <w:lang w:val="fr-FR"/>
              </w:rPr>
              <w:t>James F. Lang</w:t>
            </w:r>
          </w:p>
          <w:p w:rsidR="00C53AE4" w:rsidRPr="00526946" w:rsidRDefault="00C53AE4" w:rsidP="00E247A2">
            <w:pPr>
              <w:autoSpaceDE w:val="0"/>
              <w:autoSpaceDN w:val="0"/>
              <w:adjustRightInd w:val="0"/>
              <w:rPr>
                <w:b/>
                <w:sz w:val="26"/>
                <w:szCs w:val="26"/>
              </w:rPr>
            </w:pPr>
            <w:r w:rsidRPr="00526946">
              <w:rPr>
                <w:b/>
                <w:sz w:val="26"/>
                <w:szCs w:val="26"/>
              </w:rPr>
              <w:t>Laura C. McBride</w:t>
            </w:r>
          </w:p>
          <w:p w:rsidR="00C53AE4" w:rsidRPr="00A02CD4" w:rsidRDefault="00C53AE4" w:rsidP="00E247A2">
            <w:pPr>
              <w:autoSpaceDE w:val="0"/>
              <w:autoSpaceDN w:val="0"/>
              <w:adjustRightInd w:val="0"/>
              <w:rPr>
                <w:sz w:val="26"/>
                <w:szCs w:val="26"/>
              </w:rPr>
            </w:pPr>
            <w:r w:rsidRPr="00526946">
              <w:rPr>
                <w:b/>
                <w:sz w:val="26"/>
                <w:szCs w:val="26"/>
              </w:rPr>
              <w:t>N. Trevor Alexander</w:t>
            </w:r>
            <w:r w:rsidRPr="00A02CD4">
              <w:rPr>
                <w:sz w:val="26"/>
                <w:szCs w:val="26"/>
              </w:rPr>
              <w:br/>
            </w:r>
            <w:r>
              <w:rPr>
                <w:sz w:val="26"/>
                <w:szCs w:val="26"/>
              </w:rPr>
              <w:t>Calfee, Hal</w:t>
            </w:r>
            <w:r w:rsidRPr="00A02CD4">
              <w:rPr>
                <w:sz w:val="26"/>
                <w:szCs w:val="26"/>
              </w:rPr>
              <w:t>ter &amp; Griswold</w:t>
            </w:r>
          </w:p>
          <w:p w:rsidR="00C53AE4" w:rsidRPr="00A02CD4" w:rsidRDefault="00C53AE4" w:rsidP="00E247A2">
            <w:pPr>
              <w:autoSpaceDE w:val="0"/>
              <w:autoSpaceDN w:val="0"/>
              <w:adjustRightInd w:val="0"/>
              <w:rPr>
                <w:sz w:val="26"/>
                <w:szCs w:val="26"/>
              </w:rPr>
            </w:pPr>
            <w:r w:rsidRPr="00A02CD4">
              <w:rPr>
                <w:sz w:val="26"/>
                <w:szCs w:val="26"/>
              </w:rPr>
              <w:t>1400 KeyBank Center</w:t>
            </w:r>
          </w:p>
          <w:p w:rsidR="00C53AE4" w:rsidRPr="00A02CD4" w:rsidRDefault="00C53AE4" w:rsidP="00E247A2">
            <w:pPr>
              <w:autoSpaceDE w:val="0"/>
              <w:autoSpaceDN w:val="0"/>
              <w:adjustRightInd w:val="0"/>
              <w:rPr>
                <w:sz w:val="26"/>
                <w:szCs w:val="26"/>
              </w:rPr>
            </w:pPr>
            <w:r w:rsidRPr="00A02CD4">
              <w:rPr>
                <w:sz w:val="26"/>
                <w:szCs w:val="26"/>
              </w:rPr>
              <w:t>Cleveland, OH 44114</w:t>
            </w:r>
          </w:p>
          <w:p w:rsidR="00C53AE4" w:rsidRPr="00A02CD4" w:rsidRDefault="000C1899" w:rsidP="00E247A2">
            <w:pPr>
              <w:autoSpaceDE w:val="0"/>
              <w:autoSpaceDN w:val="0"/>
              <w:adjustRightInd w:val="0"/>
              <w:rPr>
                <w:sz w:val="26"/>
                <w:szCs w:val="26"/>
              </w:rPr>
            </w:pPr>
            <w:hyperlink r:id="rId19" w:history="1">
              <w:r w:rsidR="00C53AE4" w:rsidRPr="00A02CD4">
                <w:rPr>
                  <w:rStyle w:val="Hyperlink"/>
                  <w:sz w:val="26"/>
                  <w:szCs w:val="26"/>
                </w:rPr>
                <w:t>jlang@calfee.com</w:t>
              </w:r>
            </w:hyperlink>
          </w:p>
          <w:p w:rsidR="00C53AE4" w:rsidRPr="00A02CD4" w:rsidRDefault="000C1899" w:rsidP="00E247A2">
            <w:pPr>
              <w:autoSpaceDE w:val="0"/>
              <w:autoSpaceDN w:val="0"/>
              <w:adjustRightInd w:val="0"/>
              <w:rPr>
                <w:sz w:val="26"/>
                <w:szCs w:val="26"/>
              </w:rPr>
            </w:pPr>
            <w:hyperlink r:id="rId20" w:history="1">
              <w:r w:rsidR="00C53AE4" w:rsidRPr="00A02CD4">
                <w:rPr>
                  <w:rStyle w:val="Hyperlink"/>
                  <w:sz w:val="26"/>
                  <w:szCs w:val="26"/>
                </w:rPr>
                <w:t>lmcbride@calfee.com</w:t>
              </w:r>
            </w:hyperlink>
          </w:p>
          <w:p w:rsidR="00C53AE4" w:rsidRPr="00A02CD4" w:rsidRDefault="000C1899" w:rsidP="00E247A2">
            <w:pPr>
              <w:autoSpaceDE w:val="0"/>
              <w:autoSpaceDN w:val="0"/>
              <w:adjustRightInd w:val="0"/>
              <w:rPr>
                <w:sz w:val="26"/>
                <w:szCs w:val="26"/>
              </w:rPr>
            </w:pPr>
            <w:hyperlink r:id="rId21" w:history="1">
              <w:r w:rsidR="00C53AE4" w:rsidRPr="00A02CD4">
                <w:rPr>
                  <w:rStyle w:val="Hyperlink"/>
                  <w:sz w:val="26"/>
                  <w:szCs w:val="26"/>
                </w:rPr>
                <w:t>talexander@calfee.com</w:t>
              </w:r>
            </w:hyperlink>
            <w:r w:rsidR="00C53AE4" w:rsidRPr="00A02CD4">
              <w:rPr>
                <w:sz w:val="26"/>
                <w:szCs w:val="26"/>
              </w:rPr>
              <w:t xml:space="preserve"> </w:t>
            </w:r>
          </w:p>
          <w:p w:rsidR="00C53AE4" w:rsidRDefault="00C53AE4" w:rsidP="00526946">
            <w:pPr>
              <w:pStyle w:val="Textstyle"/>
            </w:pPr>
          </w:p>
        </w:tc>
      </w:tr>
    </w:tbl>
    <w:p w:rsidR="00977F01" w:rsidRPr="00DF3D54" w:rsidRDefault="00977F01" w:rsidP="00200A0A">
      <w:pPr>
        <w:ind w:left="4332"/>
        <w:jc w:val="both"/>
        <w:rPr>
          <w:sz w:val="26"/>
          <w:szCs w:val="26"/>
        </w:rPr>
      </w:pPr>
    </w:p>
    <w:sectPr w:rsidR="00977F01" w:rsidRPr="00DF3D54" w:rsidSect="003B12DD">
      <w:headerReference w:type="default" r:id="rId22"/>
      <w:footerReference w:type="default" r:id="rId23"/>
      <w:headerReference w:type="first" r:id="rId24"/>
      <w:footerReference w:type="first" r:id="rId2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F9" w:rsidRDefault="008A15F9" w:rsidP="008866FC">
      <w:pPr>
        <w:pStyle w:val="Title"/>
      </w:pPr>
      <w:r>
        <w:separator/>
      </w:r>
    </w:p>
  </w:endnote>
  <w:endnote w:type="continuationSeparator" w:id="0">
    <w:p w:rsidR="008A15F9" w:rsidRDefault="008A15F9"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D6" w:rsidRDefault="00A63ED6" w:rsidP="00E24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3ED6" w:rsidRDefault="00A63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D6" w:rsidRDefault="00A63ED6" w:rsidP="00E24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4C04">
      <w:rPr>
        <w:rStyle w:val="PageNumber"/>
        <w:noProof/>
      </w:rPr>
      <w:t>2</w:t>
    </w:r>
    <w:r>
      <w:rPr>
        <w:rStyle w:val="PageNumber"/>
      </w:rPr>
      <w:fldChar w:fldCharType="end"/>
    </w:r>
  </w:p>
  <w:p w:rsidR="00A63ED6" w:rsidRDefault="00A63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D6" w:rsidRPr="0064349B" w:rsidRDefault="003C0FCF" w:rsidP="00E247A2">
    <w:pPr>
      <w:autoSpaceDE w:val="0"/>
      <w:autoSpaceDN w:val="0"/>
      <w:adjustRightInd w:val="0"/>
      <w:jc w:val="center"/>
      <w:rPr>
        <w:b/>
        <w:sz w:val="26"/>
        <w:szCs w:val="26"/>
      </w:rPr>
    </w:pPr>
    <w:r>
      <w:rPr>
        <w:b/>
        <w:sz w:val="26"/>
        <w:szCs w:val="26"/>
      </w:rPr>
      <w:t>October 3,</w:t>
    </w:r>
    <w:r w:rsidR="00A63ED6" w:rsidRPr="00A02CD4">
      <w:rPr>
        <w:b/>
        <w:sz w:val="26"/>
        <w:szCs w:val="26"/>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D6" w:rsidRDefault="00A63ED6" w:rsidP="00E247A2">
    <w:pPr>
      <w:pStyle w:val="Footer"/>
      <w:jc w:val="center"/>
    </w:pPr>
    <w:r>
      <w:fldChar w:fldCharType="begin"/>
    </w:r>
    <w:r>
      <w:instrText xml:space="preserve"> PAGE   \* MERGEFORMAT </w:instrText>
    </w:r>
    <w:r>
      <w:fldChar w:fldCharType="separate"/>
    </w:r>
    <w:r w:rsidR="000C1899">
      <w:rPr>
        <w:noProof/>
      </w:rPr>
      <w:t>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D6" w:rsidRPr="007F5520" w:rsidRDefault="00A63ED6"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0C1899">
      <w:rPr>
        <w:rStyle w:val="PageNumber"/>
        <w:noProof/>
        <w:sz w:val="24"/>
        <w:szCs w:val="24"/>
      </w:rPr>
      <w:t>10</w:t>
    </w:r>
    <w:r w:rsidRPr="007F5520">
      <w:rPr>
        <w:rStyle w:val="PageNumbe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D6" w:rsidRPr="00C95499" w:rsidRDefault="00A63ED6"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F9" w:rsidRDefault="008A15F9" w:rsidP="00663D6A">
      <w:pPr>
        <w:pStyle w:val="Title"/>
        <w:jc w:val="left"/>
      </w:pPr>
      <w:r>
        <w:separator/>
      </w:r>
    </w:p>
  </w:footnote>
  <w:footnote w:type="continuationSeparator" w:id="0">
    <w:p w:rsidR="008A15F9" w:rsidRDefault="008A15F9" w:rsidP="008866FC">
      <w:pPr>
        <w:pStyle w:val="Title"/>
      </w:pPr>
      <w:r>
        <w:continuationSeparator/>
      </w:r>
    </w:p>
  </w:footnote>
  <w:footnote w:id="1">
    <w:p w:rsidR="00BD4C04" w:rsidRDefault="00BD4C04">
      <w:pPr>
        <w:pStyle w:val="FootnoteText"/>
      </w:pPr>
      <w:r>
        <w:rPr>
          <w:rStyle w:val="FootnoteReference"/>
        </w:rPr>
        <w:footnoteRef/>
      </w:r>
      <w:r>
        <w:t xml:space="preserve"> </w:t>
      </w:r>
      <w:r>
        <w:tab/>
      </w:r>
      <w:r>
        <w:tab/>
        <w:t xml:space="preserve"> R.C. 1.42.</w:t>
      </w:r>
    </w:p>
  </w:footnote>
  <w:footnote w:id="2">
    <w:p w:rsidR="00BD4C04" w:rsidRDefault="00BD4C04">
      <w:pPr>
        <w:pStyle w:val="FootnoteText"/>
      </w:pPr>
      <w:r>
        <w:rPr>
          <w:rStyle w:val="FootnoteReference"/>
        </w:rPr>
        <w:footnoteRef/>
      </w:r>
      <w:r>
        <w:t xml:space="preserve"> </w:t>
      </w:r>
      <w:r>
        <w:tab/>
      </w:r>
      <w:r>
        <w:tab/>
        <w:t xml:space="preserve">Webster’s New World Dictionary, Second College Edition, Simon and Shuster 1982.  </w:t>
      </w:r>
    </w:p>
  </w:footnote>
  <w:footnote w:id="3">
    <w:p w:rsidR="00BD4C04" w:rsidRDefault="00BD4C04">
      <w:pPr>
        <w:pStyle w:val="FootnoteText"/>
      </w:pPr>
      <w:r>
        <w:rPr>
          <w:rStyle w:val="FootnoteReference"/>
        </w:rPr>
        <w:footnoteRef/>
      </w:r>
      <w:r>
        <w:t xml:space="preserve"> </w:t>
      </w:r>
      <w:r>
        <w:tab/>
      </w:r>
      <w:r>
        <w:tab/>
        <w:t xml:space="preserve">R.C. 4928.64(B).  </w:t>
      </w:r>
    </w:p>
  </w:footnote>
  <w:footnote w:id="4">
    <w:p w:rsidR="00BD4C04" w:rsidRDefault="00BD4C04">
      <w:pPr>
        <w:pStyle w:val="FootnoteText"/>
      </w:pPr>
      <w:r>
        <w:rPr>
          <w:rStyle w:val="FootnoteReference"/>
        </w:rPr>
        <w:footnoteRef/>
      </w:r>
      <w:r>
        <w:t xml:space="preserve"> </w:t>
      </w:r>
      <w:r>
        <w:tab/>
      </w:r>
      <w:r>
        <w:tab/>
      </w:r>
      <w:r w:rsidR="008C1CCD">
        <w:rPr>
          <w:i/>
        </w:rPr>
        <w:t>Id</w:t>
      </w:r>
      <w:r w:rsidR="00C56DEA">
        <w:t>.</w:t>
      </w:r>
      <w:r>
        <w:t xml:space="preserve">   </w:t>
      </w:r>
    </w:p>
  </w:footnote>
  <w:footnote w:id="5">
    <w:p w:rsidR="00BD4C04" w:rsidRDefault="00BD4C04">
      <w:pPr>
        <w:pStyle w:val="FootnoteText"/>
      </w:pPr>
      <w:r>
        <w:rPr>
          <w:rStyle w:val="FootnoteReference"/>
        </w:rPr>
        <w:footnoteRef/>
      </w:r>
      <w:r>
        <w:t xml:space="preserve"> </w:t>
      </w:r>
      <w:r>
        <w:tab/>
      </w:r>
      <w:r>
        <w:tab/>
        <w:t xml:space="preserve">R.C. 4903.09.  </w:t>
      </w:r>
    </w:p>
  </w:footnote>
  <w:footnote w:id="6">
    <w:p w:rsidR="00BD4C04" w:rsidRDefault="00BD4C04">
      <w:pPr>
        <w:pStyle w:val="FootnoteText"/>
      </w:pPr>
      <w:r>
        <w:rPr>
          <w:rStyle w:val="FootnoteReference"/>
        </w:rPr>
        <w:footnoteRef/>
      </w:r>
      <w:r>
        <w:t xml:space="preserve"> </w:t>
      </w:r>
      <w:r>
        <w:tab/>
      </w:r>
      <w:r>
        <w:tab/>
      </w:r>
      <w:r w:rsidRPr="005F3187">
        <w:rPr>
          <w:i/>
        </w:rPr>
        <w:t>Cleveland Electric Illuminating v. Pub. Util. Comm</w:t>
      </w:r>
      <w:r>
        <w:rPr>
          <w:i/>
        </w:rPr>
        <w:t>.</w:t>
      </w:r>
      <w:r>
        <w:t xml:space="preserve">, 4 Ohio St.3d 107 (1983).  </w:t>
      </w:r>
    </w:p>
  </w:footnote>
  <w:footnote w:id="7">
    <w:p w:rsidR="00BD4C04" w:rsidRDefault="00BD4C04">
      <w:pPr>
        <w:pStyle w:val="FootnoteText"/>
      </w:pPr>
      <w:r>
        <w:rPr>
          <w:rStyle w:val="FootnoteReference"/>
        </w:rPr>
        <w:footnoteRef/>
      </w:r>
      <w:r>
        <w:t xml:space="preserve"> </w:t>
      </w:r>
      <w:r>
        <w:tab/>
      </w:r>
      <w:r>
        <w:tab/>
      </w:r>
      <w:r w:rsidRPr="005F3187">
        <w:rPr>
          <w:i/>
        </w:rPr>
        <w:t>Consumers’ Counsel v. Pub. Util. Comm</w:t>
      </w:r>
      <w:r>
        <w:rPr>
          <w:i/>
        </w:rPr>
        <w:t>.</w:t>
      </w:r>
      <w:r>
        <w:t xml:space="preserve">, 111 Ohio St.3d </w:t>
      </w:r>
      <w:r w:rsidR="00CF5B97">
        <w:t>300, 2006-Ohio-5789</w:t>
      </w:r>
      <w:r w:rsidR="00C12348">
        <w:t>, 856 N.E.2d 213</w:t>
      </w:r>
      <w:r>
        <w:t>.</w:t>
      </w:r>
    </w:p>
  </w:footnote>
  <w:footnote w:id="8">
    <w:p w:rsidR="00EC56E2" w:rsidRDefault="00EC56E2">
      <w:pPr>
        <w:pStyle w:val="FootnoteText"/>
      </w:pPr>
      <w:r>
        <w:rPr>
          <w:rStyle w:val="FootnoteReference"/>
        </w:rPr>
        <w:footnoteRef/>
      </w:r>
      <w:r>
        <w:t xml:space="preserve"> </w:t>
      </w:r>
      <w:r w:rsidR="00BD4C04">
        <w:tab/>
      </w:r>
      <w:r w:rsidR="00BD4C04">
        <w:tab/>
      </w:r>
      <w:r>
        <w:t>Other components are required as well but they are not significant to this discussion and are, therefore, ignored.</w:t>
      </w:r>
    </w:p>
  </w:footnote>
  <w:footnote w:id="9">
    <w:p w:rsidR="00502C29" w:rsidRDefault="00502C29">
      <w:pPr>
        <w:pStyle w:val="FootnoteText"/>
      </w:pPr>
      <w:r>
        <w:rPr>
          <w:rStyle w:val="FootnoteReference"/>
        </w:rPr>
        <w:footnoteRef/>
      </w:r>
      <w:r>
        <w:t xml:space="preserve"> </w:t>
      </w:r>
      <w:r>
        <w:tab/>
      </w:r>
      <w:r>
        <w:tab/>
        <w:t>This is something that could be considered in weighing decisions of this sort.  The report is not in the record of this case however.</w:t>
      </w:r>
    </w:p>
  </w:footnote>
  <w:footnote w:id="10">
    <w:p w:rsidR="00D52E29" w:rsidRDefault="00D52E29">
      <w:pPr>
        <w:pStyle w:val="FootnoteText"/>
      </w:pPr>
      <w:r>
        <w:rPr>
          <w:rStyle w:val="FootnoteReference"/>
        </w:rPr>
        <w:footnoteRef/>
      </w:r>
      <w:r>
        <w:t xml:space="preserve"> </w:t>
      </w:r>
      <w:r w:rsidR="00BD4C04">
        <w:tab/>
      </w:r>
      <w:r w:rsidR="00BD4C04">
        <w:tab/>
      </w:r>
      <w:r>
        <w:t xml:space="preserve">It should be remembered that there was a sufficient shortfall of </w:t>
      </w:r>
      <w:r w:rsidR="00502C29">
        <w:t>in-state</w:t>
      </w:r>
      <w:r>
        <w:t xml:space="preserve"> solar RECs that the Commission declared a force majeure situation in 2009 and 2010 pursuant to R.C. </w:t>
      </w:r>
      <w:r w:rsidR="00967498">
        <w:t>4928.64</w:t>
      </w:r>
      <w:r w:rsidR="00BD4C04">
        <w:t>(C)</w:t>
      </w:r>
      <w:r w:rsidR="00967498">
        <w:t>(4)(c).</w:t>
      </w:r>
    </w:p>
  </w:footnote>
  <w:footnote w:id="11">
    <w:p w:rsidR="00595F2B" w:rsidRDefault="00595F2B">
      <w:pPr>
        <w:pStyle w:val="FootnoteText"/>
      </w:pPr>
      <w:r>
        <w:rPr>
          <w:rStyle w:val="FootnoteReference"/>
        </w:rPr>
        <w:footnoteRef/>
      </w:r>
      <w:r>
        <w:t xml:space="preserve"> </w:t>
      </w:r>
      <w:r w:rsidR="00BD4C04">
        <w:tab/>
      </w:r>
      <w:r w:rsidR="00BD4C04">
        <w:tab/>
      </w:r>
      <w:r>
        <w:t xml:space="preserve">To put a finer point on this, the record shows that </w:t>
      </w:r>
      <w:r w:rsidR="00502C29">
        <w:t>in-state</w:t>
      </w:r>
      <w:r>
        <w:t xml:space="preserve"> solar RECs in the quantity that would likely be produced by the Turning Point project are needed.</w:t>
      </w:r>
      <w:r w:rsidR="009935A4">
        <w:t xml:space="preserve">  Whether Turning Point is the most cost effective way to obtain </w:t>
      </w:r>
      <w:r w:rsidR="00502C29">
        <w:t>in-state</w:t>
      </w:r>
      <w:r w:rsidR="009935A4">
        <w:t xml:space="preserve"> solar RECs in this quantity is not a matter discussed in this docket.</w:t>
      </w:r>
    </w:p>
  </w:footnote>
  <w:footnote w:id="12">
    <w:p w:rsidR="00BD4C04" w:rsidRDefault="00BD4C04">
      <w:pPr>
        <w:pStyle w:val="FootnoteText"/>
      </w:pPr>
      <w:r>
        <w:rPr>
          <w:rStyle w:val="FootnoteReference"/>
        </w:rPr>
        <w:footnoteRef/>
      </w:r>
      <w:r>
        <w:t xml:space="preserve"> </w:t>
      </w:r>
      <w:r>
        <w:tab/>
      </w:r>
      <w:r>
        <w:tab/>
        <w:t xml:space="preserve">R.C. 4935.01(A).  </w:t>
      </w:r>
    </w:p>
  </w:footnote>
  <w:footnote w:id="13">
    <w:p w:rsidR="00BD4C04" w:rsidRDefault="00BD4C04">
      <w:pPr>
        <w:pStyle w:val="FootnoteText"/>
      </w:pPr>
      <w:r>
        <w:rPr>
          <w:rStyle w:val="FootnoteReference"/>
        </w:rPr>
        <w:footnoteRef/>
      </w:r>
      <w:r>
        <w:t xml:space="preserve"> </w:t>
      </w:r>
      <w:r>
        <w:tab/>
      </w:r>
      <w:r>
        <w:tab/>
        <w:t xml:space="preserve">R.C. 4935.04(F)(6).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D6" w:rsidRDefault="00A63ED6" w:rsidP="00E247A2">
    <w:pPr>
      <w:pStyle w:val="Header"/>
      <w:jc w:val="center"/>
      <w:rPr>
        <w:b/>
        <w:sz w:val="28"/>
        <w:szCs w:val="28"/>
      </w:rPr>
    </w:pPr>
    <w:r>
      <w:rPr>
        <w:b/>
        <w:sz w:val="28"/>
        <w:szCs w:val="28"/>
      </w:rPr>
      <w:t>TABLE OF CONTENTS</w:t>
    </w:r>
  </w:p>
  <w:p w:rsidR="00A63ED6" w:rsidRDefault="00A63ED6" w:rsidP="00E247A2">
    <w:pPr>
      <w:pStyle w:val="Header"/>
      <w:jc w:val="right"/>
      <w:rPr>
        <w:b/>
        <w:sz w:val="28"/>
        <w:szCs w:val="28"/>
      </w:rPr>
    </w:pPr>
    <w:r>
      <w:rPr>
        <w:b/>
        <w:sz w:val="28"/>
        <w:szCs w:val="28"/>
      </w:rPr>
      <w:t>Page</w:t>
    </w:r>
  </w:p>
  <w:p w:rsidR="00A63ED6" w:rsidRPr="00690EEF" w:rsidRDefault="00A63ED6" w:rsidP="00E247A2">
    <w:pPr>
      <w:pStyle w:val="Header"/>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D6" w:rsidRPr="008C1CCD" w:rsidRDefault="00A63ED6" w:rsidP="008C1C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D6" w:rsidRPr="008C1CCD" w:rsidRDefault="00A63ED6" w:rsidP="008C1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C33A6"/>
    <w:multiLevelType w:val="hybridMultilevel"/>
    <w:tmpl w:val="F25C7190"/>
    <w:lvl w:ilvl="0" w:tplc="7CC03872">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EF815C3"/>
    <w:multiLevelType w:val="hybridMultilevel"/>
    <w:tmpl w:val="37FE8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246F1"/>
    <w:multiLevelType w:val="hybridMultilevel"/>
    <w:tmpl w:val="C80C14BA"/>
    <w:lvl w:ilvl="0" w:tplc="34B80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691CD4"/>
    <w:multiLevelType w:val="hybridMultilevel"/>
    <w:tmpl w:val="38BE1AFE"/>
    <w:lvl w:ilvl="0" w:tplc="AF560368">
      <w:start w:val="1"/>
      <w:numFmt w:val="upperRoman"/>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E9"/>
    <w:rsid w:val="0000004B"/>
    <w:rsid w:val="0000052E"/>
    <w:rsid w:val="000007BF"/>
    <w:rsid w:val="00000D4C"/>
    <w:rsid w:val="00000ECA"/>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752"/>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26"/>
    <w:rsid w:val="000A7A4B"/>
    <w:rsid w:val="000A7E0E"/>
    <w:rsid w:val="000A7EA6"/>
    <w:rsid w:val="000B016B"/>
    <w:rsid w:val="000B08E1"/>
    <w:rsid w:val="000B0933"/>
    <w:rsid w:val="000B12D9"/>
    <w:rsid w:val="000B1F8C"/>
    <w:rsid w:val="000B25DA"/>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C041D"/>
    <w:rsid w:val="000C07C7"/>
    <w:rsid w:val="000C1044"/>
    <w:rsid w:val="000C1899"/>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663"/>
    <w:rsid w:val="00117C1F"/>
    <w:rsid w:val="00117F65"/>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084"/>
    <w:rsid w:val="0012658C"/>
    <w:rsid w:val="001275FB"/>
    <w:rsid w:val="00127D0E"/>
    <w:rsid w:val="001300C7"/>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114"/>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2BE"/>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5E0A"/>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B76B2"/>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978"/>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31E4"/>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4B2"/>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475"/>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5A6"/>
    <w:rsid w:val="00310674"/>
    <w:rsid w:val="00310907"/>
    <w:rsid w:val="00310A28"/>
    <w:rsid w:val="00311230"/>
    <w:rsid w:val="0031187C"/>
    <w:rsid w:val="00311953"/>
    <w:rsid w:val="00311F2A"/>
    <w:rsid w:val="0031233A"/>
    <w:rsid w:val="0031279E"/>
    <w:rsid w:val="00312E42"/>
    <w:rsid w:val="0031331C"/>
    <w:rsid w:val="00313A9E"/>
    <w:rsid w:val="00313E0D"/>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4F32"/>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271"/>
    <w:rsid w:val="003455E4"/>
    <w:rsid w:val="00345CBF"/>
    <w:rsid w:val="00346071"/>
    <w:rsid w:val="00346927"/>
    <w:rsid w:val="00346FC0"/>
    <w:rsid w:val="00347190"/>
    <w:rsid w:val="003478E8"/>
    <w:rsid w:val="003479FE"/>
    <w:rsid w:val="00347B63"/>
    <w:rsid w:val="00347E26"/>
    <w:rsid w:val="00350A47"/>
    <w:rsid w:val="00350BCA"/>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5F99"/>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9D0"/>
    <w:rsid w:val="00366A06"/>
    <w:rsid w:val="00366BF8"/>
    <w:rsid w:val="0036708C"/>
    <w:rsid w:val="0036711E"/>
    <w:rsid w:val="003673CE"/>
    <w:rsid w:val="003702B8"/>
    <w:rsid w:val="00370DFD"/>
    <w:rsid w:val="00370E04"/>
    <w:rsid w:val="00370F4B"/>
    <w:rsid w:val="0037115B"/>
    <w:rsid w:val="00371D2A"/>
    <w:rsid w:val="00372366"/>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5D5"/>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B35"/>
    <w:rsid w:val="003C0F77"/>
    <w:rsid w:val="003C0FCF"/>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6BC7"/>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293"/>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47CE8"/>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1BF3"/>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DDF"/>
    <w:rsid w:val="00472E06"/>
    <w:rsid w:val="0047316C"/>
    <w:rsid w:val="004733BC"/>
    <w:rsid w:val="00473D18"/>
    <w:rsid w:val="004742C5"/>
    <w:rsid w:val="004745C5"/>
    <w:rsid w:val="00474743"/>
    <w:rsid w:val="00474F66"/>
    <w:rsid w:val="004758F6"/>
    <w:rsid w:val="00475A63"/>
    <w:rsid w:val="00476318"/>
    <w:rsid w:val="00476520"/>
    <w:rsid w:val="004768BF"/>
    <w:rsid w:val="00476AAB"/>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3FA"/>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A6B"/>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2C29"/>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17F29"/>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946"/>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0E9"/>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6D"/>
    <w:rsid w:val="005924E6"/>
    <w:rsid w:val="0059275A"/>
    <w:rsid w:val="00593CDA"/>
    <w:rsid w:val="00593EB5"/>
    <w:rsid w:val="00594289"/>
    <w:rsid w:val="00594A83"/>
    <w:rsid w:val="00595007"/>
    <w:rsid w:val="00595792"/>
    <w:rsid w:val="00595B62"/>
    <w:rsid w:val="00595F2B"/>
    <w:rsid w:val="00595FDE"/>
    <w:rsid w:val="00596057"/>
    <w:rsid w:val="0059625D"/>
    <w:rsid w:val="005965E8"/>
    <w:rsid w:val="00596725"/>
    <w:rsid w:val="00597090"/>
    <w:rsid w:val="00597A59"/>
    <w:rsid w:val="00597AAE"/>
    <w:rsid w:val="00597CED"/>
    <w:rsid w:val="00597D89"/>
    <w:rsid w:val="00597E10"/>
    <w:rsid w:val="005A028F"/>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912"/>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187"/>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4F27"/>
    <w:rsid w:val="006A5041"/>
    <w:rsid w:val="006A525D"/>
    <w:rsid w:val="006A640C"/>
    <w:rsid w:val="006A6562"/>
    <w:rsid w:val="006A6744"/>
    <w:rsid w:val="006A68FD"/>
    <w:rsid w:val="006A6D49"/>
    <w:rsid w:val="006A71A1"/>
    <w:rsid w:val="006A7F73"/>
    <w:rsid w:val="006B0C8E"/>
    <w:rsid w:val="006B137E"/>
    <w:rsid w:val="006B1700"/>
    <w:rsid w:val="006B18D5"/>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3CBF"/>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11"/>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4DD2"/>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34D6"/>
    <w:rsid w:val="007C4917"/>
    <w:rsid w:val="007C532D"/>
    <w:rsid w:val="007C5422"/>
    <w:rsid w:val="007C59D2"/>
    <w:rsid w:val="007C5B6C"/>
    <w:rsid w:val="007C5EB5"/>
    <w:rsid w:val="007C660E"/>
    <w:rsid w:val="007C6786"/>
    <w:rsid w:val="007C69E9"/>
    <w:rsid w:val="007C6AF6"/>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126"/>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D4C"/>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3C6C"/>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5F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1CCD"/>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0628"/>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A20"/>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498"/>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35A4"/>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ADF"/>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11"/>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527"/>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3ED6"/>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645"/>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20"/>
    <w:rsid w:val="00AA51AC"/>
    <w:rsid w:val="00AA5D6E"/>
    <w:rsid w:val="00AA606D"/>
    <w:rsid w:val="00AA6735"/>
    <w:rsid w:val="00AA699F"/>
    <w:rsid w:val="00AA6BD6"/>
    <w:rsid w:val="00AA70FF"/>
    <w:rsid w:val="00AA72F0"/>
    <w:rsid w:val="00AB0056"/>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CEA"/>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47"/>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CE9"/>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3A5"/>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8FB"/>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6AFF"/>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A51"/>
    <w:rsid w:val="00BD4C04"/>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0A"/>
    <w:rsid w:val="00BF48AD"/>
    <w:rsid w:val="00BF51CB"/>
    <w:rsid w:val="00BF5F12"/>
    <w:rsid w:val="00BF6528"/>
    <w:rsid w:val="00BF66CC"/>
    <w:rsid w:val="00BF6760"/>
    <w:rsid w:val="00BF6AFD"/>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34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55D"/>
    <w:rsid w:val="00C52782"/>
    <w:rsid w:val="00C52A6C"/>
    <w:rsid w:val="00C52D08"/>
    <w:rsid w:val="00C52D4F"/>
    <w:rsid w:val="00C53805"/>
    <w:rsid w:val="00C53AE4"/>
    <w:rsid w:val="00C5486C"/>
    <w:rsid w:val="00C558D7"/>
    <w:rsid w:val="00C55E38"/>
    <w:rsid w:val="00C56277"/>
    <w:rsid w:val="00C56958"/>
    <w:rsid w:val="00C56C64"/>
    <w:rsid w:val="00C56DEA"/>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5E87"/>
    <w:rsid w:val="00C66A58"/>
    <w:rsid w:val="00C66B17"/>
    <w:rsid w:val="00C678F2"/>
    <w:rsid w:val="00C70078"/>
    <w:rsid w:val="00C708A5"/>
    <w:rsid w:val="00C71D43"/>
    <w:rsid w:val="00C7229E"/>
    <w:rsid w:val="00C72506"/>
    <w:rsid w:val="00C725B0"/>
    <w:rsid w:val="00C729B3"/>
    <w:rsid w:val="00C72CCB"/>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87882"/>
    <w:rsid w:val="00C905ED"/>
    <w:rsid w:val="00C90636"/>
    <w:rsid w:val="00C90698"/>
    <w:rsid w:val="00C907A6"/>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97A78"/>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6E69"/>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5B97"/>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2A"/>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269"/>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AAA"/>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2E29"/>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43"/>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4E80"/>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BCD"/>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7A2"/>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25"/>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2EB"/>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7C3"/>
    <w:rsid w:val="00E80FBC"/>
    <w:rsid w:val="00E80FCB"/>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B05"/>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C1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6E2"/>
    <w:rsid w:val="00EC5A4A"/>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2DC"/>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287"/>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D70"/>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4A9"/>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5CB"/>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04"/>
  </w:style>
  <w:style w:type="paragraph" w:styleId="Heading1">
    <w:name w:val="heading 1"/>
    <w:basedOn w:val="Normal"/>
    <w:next w:val="Normal"/>
    <w:link w:val="Heading1Char"/>
    <w:autoRedefine/>
    <w:uiPriority w:val="9"/>
    <w:qFormat/>
    <w:rsid w:val="00DB5C43"/>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212978"/>
    <w:pPr>
      <w:keepNext/>
      <w:numPr>
        <w:numId w:val="9"/>
      </w:numPr>
      <w:spacing w:before="360" w:after="240"/>
      <w:ind w:left="72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link w:val="HeaderChar"/>
    <w:uiPriority w:val="99"/>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526946"/>
    <w:pPr>
      <w:spacing w:line="480" w:lineRule="auto"/>
      <w:jc w:val="left"/>
    </w:pPr>
    <w:rPr>
      <w:rFonts w:ascii="Times New Roman" w:hAnsi="Times New Roman"/>
      <w:sz w:val="26"/>
      <w:szCs w:val="28"/>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212978"/>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1Char">
    <w:name w:val="Heading 1 Char"/>
    <w:link w:val="Heading1"/>
    <w:uiPriority w:val="9"/>
    <w:rsid w:val="00DB5C43"/>
    <w:rPr>
      <w:rFonts w:cs="Arial"/>
      <w:b/>
      <w:bCs/>
      <w:caps/>
      <w:kern w:val="32"/>
      <w:sz w:val="28"/>
      <w:szCs w:val="24"/>
    </w:rPr>
  </w:style>
  <w:style w:type="character" w:customStyle="1" w:styleId="HeaderChar">
    <w:name w:val="Header Char"/>
    <w:link w:val="Header"/>
    <w:uiPriority w:val="99"/>
    <w:rsid w:val="005740E9"/>
  </w:style>
  <w:style w:type="character" w:styleId="CommentReference">
    <w:name w:val="annotation reference"/>
    <w:basedOn w:val="DefaultParagraphFont"/>
    <w:rsid w:val="004D03FA"/>
    <w:rPr>
      <w:sz w:val="16"/>
      <w:szCs w:val="16"/>
    </w:rPr>
  </w:style>
  <w:style w:type="paragraph" w:styleId="CommentText">
    <w:name w:val="annotation text"/>
    <w:basedOn w:val="Normal"/>
    <w:link w:val="CommentTextChar"/>
    <w:rsid w:val="004D03FA"/>
  </w:style>
  <w:style w:type="character" w:customStyle="1" w:styleId="CommentTextChar">
    <w:name w:val="Comment Text Char"/>
    <w:basedOn w:val="DefaultParagraphFont"/>
    <w:link w:val="CommentText"/>
    <w:rsid w:val="004D03FA"/>
  </w:style>
  <w:style w:type="paragraph" w:styleId="CommentSubject">
    <w:name w:val="annotation subject"/>
    <w:basedOn w:val="CommentText"/>
    <w:next w:val="CommentText"/>
    <w:link w:val="CommentSubjectChar"/>
    <w:rsid w:val="004D03FA"/>
    <w:rPr>
      <w:b/>
      <w:bCs/>
    </w:rPr>
  </w:style>
  <w:style w:type="character" w:customStyle="1" w:styleId="CommentSubjectChar">
    <w:name w:val="Comment Subject Char"/>
    <w:basedOn w:val="CommentTextChar"/>
    <w:link w:val="CommentSubject"/>
    <w:rsid w:val="004D03FA"/>
    <w:rPr>
      <w:b/>
      <w:bCs/>
    </w:rPr>
  </w:style>
  <w:style w:type="paragraph" w:styleId="ListParagraph">
    <w:name w:val="List Paragraph"/>
    <w:basedOn w:val="Normal"/>
    <w:uiPriority w:val="34"/>
    <w:qFormat/>
    <w:rsid w:val="00BD4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04"/>
  </w:style>
  <w:style w:type="paragraph" w:styleId="Heading1">
    <w:name w:val="heading 1"/>
    <w:basedOn w:val="Normal"/>
    <w:next w:val="Normal"/>
    <w:link w:val="Heading1Char"/>
    <w:autoRedefine/>
    <w:uiPriority w:val="9"/>
    <w:qFormat/>
    <w:rsid w:val="00DB5C43"/>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212978"/>
    <w:pPr>
      <w:keepNext/>
      <w:numPr>
        <w:numId w:val="9"/>
      </w:numPr>
      <w:spacing w:before="360" w:after="240"/>
      <w:ind w:left="72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link w:val="HeaderChar"/>
    <w:uiPriority w:val="99"/>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526946"/>
    <w:pPr>
      <w:spacing w:line="480" w:lineRule="auto"/>
      <w:jc w:val="left"/>
    </w:pPr>
    <w:rPr>
      <w:rFonts w:ascii="Times New Roman" w:hAnsi="Times New Roman"/>
      <w:sz w:val="26"/>
      <w:szCs w:val="28"/>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212978"/>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1Char">
    <w:name w:val="Heading 1 Char"/>
    <w:link w:val="Heading1"/>
    <w:uiPriority w:val="9"/>
    <w:rsid w:val="00DB5C43"/>
    <w:rPr>
      <w:rFonts w:cs="Arial"/>
      <w:b/>
      <w:bCs/>
      <w:caps/>
      <w:kern w:val="32"/>
      <w:sz w:val="28"/>
      <w:szCs w:val="24"/>
    </w:rPr>
  </w:style>
  <w:style w:type="character" w:customStyle="1" w:styleId="HeaderChar">
    <w:name w:val="Header Char"/>
    <w:link w:val="Header"/>
    <w:uiPriority w:val="99"/>
    <w:rsid w:val="005740E9"/>
  </w:style>
  <w:style w:type="character" w:styleId="CommentReference">
    <w:name w:val="annotation reference"/>
    <w:basedOn w:val="DefaultParagraphFont"/>
    <w:rsid w:val="004D03FA"/>
    <w:rPr>
      <w:sz w:val="16"/>
      <w:szCs w:val="16"/>
    </w:rPr>
  </w:style>
  <w:style w:type="paragraph" w:styleId="CommentText">
    <w:name w:val="annotation text"/>
    <w:basedOn w:val="Normal"/>
    <w:link w:val="CommentTextChar"/>
    <w:rsid w:val="004D03FA"/>
  </w:style>
  <w:style w:type="character" w:customStyle="1" w:styleId="CommentTextChar">
    <w:name w:val="Comment Text Char"/>
    <w:basedOn w:val="DefaultParagraphFont"/>
    <w:link w:val="CommentText"/>
    <w:rsid w:val="004D03FA"/>
  </w:style>
  <w:style w:type="paragraph" w:styleId="CommentSubject">
    <w:name w:val="annotation subject"/>
    <w:basedOn w:val="CommentText"/>
    <w:next w:val="CommentText"/>
    <w:link w:val="CommentSubjectChar"/>
    <w:rsid w:val="004D03FA"/>
    <w:rPr>
      <w:b/>
      <w:bCs/>
    </w:rPr>
  </w:style>
  <w:style w:type="character" w:customStyle="1" w:styleId="CommentSubjectChar">
    <w:name w:val="Comment Subject Char"/>
    <w:basedOn w:val="CommentTextChar"/>
    <w:link w:val="CommentSubject"/>
    <w:rsid w:val="004D03FA"/>
    <w:rPr>
      <w:b/>
      <w:bCs/>
    </w:rPr>
  </w:style>
  <w:style w:type="paragraph" w:styleId="ListParagraph">
    <w:name w:val="List Paragraph"/>
    <w:basedOn w:val="Normal"/>
    <w:uiPriority w:val="34"/>
    <w:qFormat/>
    <w:rsid w:val="00BD4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mcnamee@puc.state.oh.us" TargetMode="External"/><Relationship Id="rId13" Type="http://schemas.openxmlformats.org/officeDocument/2006/relationships/footer" Target="footer4.xml"/><Relationship Id="rId18" Type="http://schemas.openxmlformats.org/officeDocument/2006/relationships/hyperlink" Target="mailto:joliker@mwncmh.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talexander@calfee.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haydenm@firstenergycorp.com"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mailto:yalami@aep.com" TargetMode="External"/><Relationship Id="rId20" Type="http://schemas.openxmlformats.org/officeDocument/2006/relationships/hyperlink" Target="mailto:lmcbride@calfe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jsatterwhite@aep.com"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jlang@calfe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homas.mcnamee@puc.state.oh.us"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2369</Words>
  <Characters>13289</Characters>
  <Application>Microsoft Office Word</Application>
  <DocSecurity>0</DocSecurity>
  <Lines>110</Lines>
  <Paragraphs>31</Paragraphs>
  <ScaleCrop>false</ScaleCrop>
  <Company/>
  <LinksUpToDate>false</LinksUpToDate>
  <CharactersWithSpaces>15627</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2012-10-03T17:42:00Z</dcterms:created>
  <dcterms:modified xsi:type="dcterms:W3CDTF">2012-10-03T17:42:00Z</dcterms:modified>
</cp:coreProperties>
</file>