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F617" w14:textId="2C5DB90E" w:rsidR="002262BF" w:rsidRPr="00B44D72" w:rsidRDefault="00B44D72">
      <w:pPr>
        <w:tabs>
          <w:tab w:val="left" w:pos="-1440"/>
          <w:tab w:val="left" w:pos="-720"/>
          <w:tab w:val="left" w:pos="0"/>
          <w:tab w:val="left" w:pos="336"/>
          <w:tab w:val="left" w:pos="720"/>
        </w:tabs>
        <w:suppressAutoHyphens/>
        <w:ind w:left="336" w:hanging="336"/>
        <w:jc w:val="both"/>
      </w:pPr>
      <w:r>
        <w:rPr>
          <w:b/>
        </w:rPr>
        <w:t>6.</w:t>
      </w:r>
      <w:r>
        <w:tab/>
        <w:t>(Continued)</w:t>
      </w:r>
    </w:p>
    <w:p w14:paraId="3CEEFEF7" w14:textId="77777777" w:rsidR="00193C44" w:rsidRDefault="00193C44" w:rsidP="00193C44">
      <w:pPr>
        <w:autoSpaceDE w:val="0"/>
        <w:autoSpaceDN w:val="0"/>
        <w:adjustRightInd w:val="0"/>
        <w:ind w:left="360" w:hanging="360"/>
        <w:rPr>
          <w:bCs/>
          <w:color w:val="000000"/>
        </w:rPr>
      </w:pPr>
    </w:p>
    <w:p w14:paraId="3027D378" w14:textId="76F915FE" w:rsidR="00193C44" w:rsidRDefault="00193C44" w:rsidP="00ED4EA5">
      <w:pPr>
        <w:tabs>
          <w:tab w:val="left" w:pos="720"/>
          <w:tab w:val="left" w:pos="1080"/>
        </w:tabs>
        <w:autoSpaceDE w:val="0"/>
        <w:autoSpaceDN w:val="0"/>
        <w:adjustRightInd w:val="0"/>
        <w:ind w:left="360" w:hanging="360"/>
        <w:rPr>
          <w:bCs/>
          <w:color w:val="000000"/>
        </w:rPr>
      </w:pPr>
      <w:r>
        <w:rPr>
          <w:bCs/>
          <w:color w:val="000000"/>
        </w:rPr>
        <w:tab/>
      </w:r>
      <w:r w:rsidR="00B44D72">
        <w:rPr>
          <w:bCs/>
          <w:color w:val="000000"/>
        </w:rPr>
        <w:tab/>
      </w:r>
      <w:r>
        <w:rPr>
          <w:bCs/>
          <w:color w:val="000000"/>
        </w:rPr>
        <w:t>(</w:t>
      </w:r>
      <w:r w:rsidR="007F35A0">
        <w:rPr>
          <w:bCs/>
          <w:color w:val="000000"/>
        </w:rPr>
        <w:t>f</w:t>
      </w:r>
      <w:r>
        <w:rPr>
          <w:bCs/>
          <w:color w:val="000000"/>
        </w:rPr>
        <w:t>)</w:t>
      </w:r>
      <w:r>
        <w:rPr>
          <w:bCs/>
          <w:color w:val="000000"/>
        </w:rPr>
        <w:tab/>
      </w:r>
      <w:r w:rsidR="00ED4EA5">
        <w:rPr>
          <w:bCs/>
          <w:color w:val="000000"/>
        </w:rPr>
        <w:tab/>
      </w:r>
      <w:r w:rsidR="00B44D72">
        <w:rPr>
          <w:bCs/>
          <w:color w:val="000000"/>
          <w:u w:val="single"/>
        </w:rPr>
        <w:t>Tie-in</w:t>
      </w:r>
      <w:r>
        <w:rPr>
          <w:bCs/>
          <w:color w:val="000000"/>
          <w:u w:val="single"/>
        </w:rPr>
        <w:t xml:space="preserve"> Charge</w:t>
      </w:r>
    </w:p>
    <w:p w14:paraId="4EFA42FC" w14:textId="77777777" w:rsidR="00193C44" w:rsidRDefault="00193C44" w:rsidP="00193C44">
      <w:pPr>
        <w:autoSpaceDE w:val="0"/>
        <w:autoSpaceDN w:val="0"/>
        <w:adjustRightInd w:val="0"/>
        <w:ind w:left="360" w:hanging="360"/>
      </w:pPr>
    </w:p>
    <w:p w14:paraId="5EE8EDFB" w14:textId="74E97481" w:rsidR="00193C44" w:rsidRDefault="00193C44" w:rsidP="00B44D72">
      <w:pPr>
        <w:tabs>
          <w:tab w:val="left" w:pos="720"/>
          <w:tab w:val="left" w:pos="1080"/>
        </w:tabs>
        <w:autoSpaceDE w:val="0"/>
        <w:autoSpaceDN w:val="0"/>
        <w:adjustRightInd w:val="0"/>
        <w:ind w:left="1440" w:hanging="360"/>
        <w:jc w:val="both"/>
      </w:pPr>
      <w:r>
        <w:tab/>
      </w:r>
      <w:r w:rsidR="00B44D72">
        <w:t>If a tie-in is required to restore service to the same customer who had his/her service line cut and plugged as a result of repeated detection of unauthorized use of service, a charge of up to four hundred fifty seven dollars ($457.00) or actual cost, whichever is less, shall be assessed. Unauthorized use of service includes:</w:t>
      </w:r>
    </w:p>
    <w:p w14:paraId="3D1ED558" w14:textId="77777777" w:rsidR="00B44D72" w:rsidRDefault="00B44D72" w:rsidP="00B44D72">
      <w:pPr>
        <w:tabs>
          <w:tab w:val="left" w:pos="720"/>
          <w:tab w:val="left" w:pos="1080"/>
        </w:tabs>
        <w:autoSpaceDE w:val="0"/>
        <w:autoSpaceDN w:val="0"/>
        <w:adjustRightInd w:val="0"/>
        <w:ind w:left="1440" w:hanging="360"/>
        <w:jc w:val="both"/>
      </w:pPr>
    </w:p>
    <w:p w14:paraId="62EB6EC7" w14:textId="20DB4A73" w:rsidR="00B44D72" w:rsidRDefault="00B44D72" w:rsidP="00B44D72">
      <w:pPr>
        <w:pStyle w:val="ListParagraph"/>
        <w:numPr>
          <w:ilvl w:val="0"/>
          <w:numId w:val="1"/>
        </w:numPr>
        <w:tabs>
          <w:tab w:val="left" w:pos="720"/>
          <w:tab w:val="left" w:pos="1080"/>
        </w:tabs>
        <w:autoSpaceDE w:val="0"/>
        <w:autoSpaceDN w:val="0"/>
        <w:adjustRightInd w:val="0"/>
        <w:jc w:val="both"/>
      </w:pPr>
      <w:r>
        <w:t xml:space="preserve">    Detection by Company of meter having been turned on after non-pay turn off by Company, or;</w:t>
      </w:r>
    </w:p>
    <w:p w14:paraId="5CE85FF4" w14:textId="518F37D7" w:rsidR="00B44D72" w:rsidRDefault="00B44D72" w:rsidP="00B44D72">
      <w:pPr>
        <w:tabs>
          <w:tab w:val="left" w:pos="720"/>
          <w:tab w:val="left" w:pos="1080"/>
        </w:tabs>
        <w:autoSpaceDE w:val="0"/>
        <w:autoSpaceDN w:val="0"/>
        <w:adjustRightInd w:val="0"/>
        <w:jc w:val="both"/>
      </w:pPr>
      <w:r>
        <w:tab/>
      </w:r>
      <w:r>
        <w:tab/>
      </w:r>
      <w:r>
        <w:tab/>
      </w:r>
    </w:p>
    <w:p w14:paraId="5CD01D83" w14:textId="2F95BA1E" w:rsidR="00B44D72" w:rsidRDefault="00B44D72" w:rsidP="00B44D72">
      <w:pPr>
        <w:tabs>
          <w:tab w:val="left" w:pos="720"/>
          <w:tab w:val="left" w:pos="1080"/>
        </w:tabs>
        <w:autoSpaceDE w:val="0"/>
        <w:autoSpaceDN w:val="0"/>
        <w:adjustRightInd w:val="0"/>
        <w:jc w:val="both"/>
      </w:pPr>
      <w:r>
        <w:tab/>
      </w:r>
      <w:r>
        <w:tab/>
      </w:r>
      <w:r>
        <w:tab/>
        <w:t xml:space="preserve">(2)      Detection by Company of meter and curb valve having been turned on after non-pay turn off, </w:t>
      </w:r>
    </w:p>
    <w:p w14:paraId="7E5E0526" w14:textId="00856E7C" w:rsidR="00B44D72" w:rsidRDefault="00B44D72" w:rsidP="00B44D72">
      <w:pPr>
        <w:tabs>
          <w:tab w:val="left" w:pos="720"/>
          <w:tab w:val="left" w:pos="1080"/>
        </w:tabs>
        <w:autoSpaceDE w:val="0"/>
        <w:autoSpaceDN w:val="0"/>
        <w:adjustRightInd w:val="0"/>
        <w:jc w:val="both"/>
      </w:pPr>
      <w:r>
        <w:tab/>
      </w:r>
      <w:r>
        <w:tab/>
      </w:r>
      <w:r>
        <w:tab/>
        <w:t xml:space="preserve">           </w:t>
      </w:r>
      <w:proofErr w:type="gramStart"/>
      <w:r>
        <w:t>or</w:t>
      </w:r>
      <w:proofErr w:type="gramEnd"/>
      <w:r>
        <w:t>;</w:t>
      </w:r>
    </w:p>
    <w:p w14:paraId="6172D25C" w14:textId="77777777" w:rsidR="00B44D72" w:rsidRDefault="00B44D72" w:rsidP="00B44D72">
      <w:pPr>
        <w:tabs>
          <w:tab w:val="left" w:pos="720"/>
          <w:tab w:val="left" w:pos="1080"/>
        </w:tabs>
        <w:autoSpaceDE w:val="0"/>
        <w:autoSpaceDN w:val="0"/>
        <w:adjustRightInd w:val="0"/>
        <w:jc w:val="both"/>
      </w:pPr>
    </w:p>
    <w:p w14:paraId="1E11D4B6" w14:textId="77777777" w:rsidR="00B44D72" w:rsidRDefault="00B44D72" w:rsidP="00B44D72">
      <w:pPr>
        <w:tabs>
          <w:tab w:val="left" w:pos="720"/>
          <w:tab w:val="left" w:pos="1080"/>
        </w:tabs>
        <w:autoSpaceDE w:val="0"/>
        <w:autoSpaceDN w:val="0"/>
        <w:adjustRightInd w:val="0"/>
        <w:jc w:val="both"/>
      </w:pPr>
      <w:r>
        <w:tab/>
      </w:r>
      <w:r>
        <w:tab/>
      </w:r>
      <w:r>
        <w:tab/>
        <w:t xml:space="preserve">(3)       Detection by Company of by-passing meter inlet and outlet connections after removal of   </w:t>
      </w:r>
    </w:p>
    <w:p w14:paraId="19EC28DF" w14:textId="654DBC45" w:rsidR="00B44D72" w:rsidRDefault="00B44D72" w:rsidP="00B44D72">
      <w:pPr>
        <w:tabs>
          <w:tab w:val="left" w:pos="720"/>
          <w:tab w:val="left" w:pos="1080"/>
        </w:tabs>
        <w:autoSpaceDE w:val="0"/>
        <w:autoSpaceDN w:val="0"/>
        <w:adjustRightInd w:val="0"/>
        <w:jc w:val="both"/>
      </w:pPr>
      <w:r>
        <w:tab/>
      </w:r>
      <w:r>
        <w:tab/>
      </w:r>
      <w:r>
        <w:tab/>
        <w:t xml:space="preserve">            </w:t>
      </w:r>
      <w:proofErr w:type="gramStart"/>
      <w:r>
        <w:t>meter</w:t>
      </w:r>
      <w:proofErr w:type="gramEnd"/>
      <w:r>
        <w:t>.</w:t>
      </w:r>
    </w:p>
    <w:p w14:paraId="6024E46C" w14:textId="20DB4A73" w:rsidR="00193C44" w:rsidRDefault="00193C44" w:rsidP="00ED4EA5">
      <w:pPr>
        <w:tabs>
          <w:tab w:val="left" w:pos="720"/>
          <w:tab w:val="left" w:pos="1080"/>
        </w:tabs>
        <w:autoSpaceDE w:val="0"/>
        <w:autoSpaceDN w:val="0"/>
        <w:adjustRightInd w:val="0"/>
        <w:ind w:left="360" w:hanging="360"/>
        <w:jc w:val="both"/>
      </w:pPr>
    </w:p>
    <w:p w14:paraId="025BFFD8" w14:textId="4CCD9F6B" w:rsidR="00193C44" w:rsidRDefault="00193C44" w:rsidP="00ED4EA5">
      <w:pPr>
        <w:tabs>
          <w:tab w:val="left" w:pos="720"/>
          <w:tab w:val="left" w:pos="1080"/>
        </w:tabs>
        <w:autoSpaceDE w:val="0"/>
        <w:autoSpaceDN w:val="0"/>
        <w:adjustRightInd w:val="0"/>
        <w:ind w:left="360" w:hanging="360"/>
        <w:jc w:val="both"/>
      </w:pPr>
      <w:r>
        <w:tab/>
      </w:r>
      <w:r w:rsidR="00B44D72">
        <w:tab/>
      </w:r>
      <w:r>
        <w:t>(</w:t>
      </w:r>
      <w:r w:rsidR="007F35A0">
        <w:t>g</w:t>
      </w:r>
      <w:r>
        <w:t>)</w:t>
      </w:r>
      <w:r>
        <w:tab/>
      </w:r>
      <w:r w:rsidR="00ED4EA5">
        <w:tab/>
      </w:r>
      <w:r w:rsidR="00B44D72">
        <w:rPr>
          <w:u w:val="single"/>
        </w:rPr>
        <w:t>Theft of Service Investigation Fee</w:t>
      </w:r>
    </w:p>
    <w:p w14:paraId="7E1F43B8" w14:textId="77777777" w:rsidR="00193C44" w:rsidRDefault="00193C44" w:rsidP="00ED4EA5">
      <w:pPr>
        <w:tabs>
          <w:tab w:val="left" w:pos="720"/>
          <w:tab w:val="left" w:pos="1080"/>
        </w:tabs>
        <w:autoSpaceDE w:val="0"/>
        <w:autoSpaceDN w:val="0"/>
        <w:adjustRightInd w:val="0"/>
        <w:ind w:left="360" w:hanging="360"/>
        <w:jc w:val="both"/>
      </w:pPr>
    </w:p>
    <w:p w14:paraId="1075D49F" w14:textId="46CC1285" w:rsidR="00193C44" w:rsidRDefault="002A5D03" w:rsidP="00B44D72">
      <w:pPr>
        <w:tabs>
          <w:tab w:val="left" w:pos="720"/>
          <w:tab w:val="left" w:pos="1080"/>
        </w:tabs>
        <w:autoSpaceDE w:val="0"/>
        <w:autoSpaceDN w:val="0"/>
        <w:adjustRightInd w:val="0"/>
        <w:ind w:left="1440"/>
        <w:jc w:val="both"/>
      </w:pPr>
      <w:r>
        <w:t>Whenever the gas service meter, metering equipment, or associated property is damaged, interfered with, displaced, bypassed or otherwise tampered with by a customer, consumer or other person, or when a person not authorized by Company has reconnected service, and Company investigator has been dispatched to investigate the matter prior to disconnection, the customer shall pay an Investigation Fee of eighty eight dollars ($88.00) prior to reconnection in addition to other required reconnection charges. The Investigation Fee will only be levied in those circumstances where the company has reasonable proof of the customer’s fraudulent or damaging practice. Reasonable proof includes: an admission by the customer; documentation evidencing the fraudulent or damaging practice; or, personal observation by Company personnel or representatives of Company.</w:t>
      </w:r>
    </w:p>
    <w:p w14:paraId="04F93760" w14:textId="77777777" w:rsidR="00193C44" w:rsidRDefault="00193C44" w:rsidP="00ED4EA5">
      <w:pPr>
        <w:tabs>
          <w:tab w:val="left" w:pos="720"/>
          <w:tab w:val="left" w:pos="1080"/>
        </w:tabs>
        <w:autoSpaceDE w:val="0"/>
        <w:autoSpaceDN w:val="0"/>
        <w:adjustRightInd w:val="0"/>
        <w:ind w:left="360" w:hanging="360"/>
        <w:jc w:val="both"/>
      </w:pPr>
    </w:p>
    <w:p w14:paraId="66FE010E" w14:textId="0769A650" w:rsidR="00193C44" w:rsidRDefault="00193C44" w:rsidP="00ED4EA5">
      <w:pPr>
        <w:tabs>
          <w:tab w:val="left" w:pos="720"/>
          <w:tab w:val="left" w:pos="1080"/>
        </w:tabs>
        <w:autoSpaceDE w:val="0"/>
        <w:autoSpaceDN w:val="0"/>
        <w:adjustRightInd w:val="0"/>
        <w:ind w:left="360" w:hanging="360"/>
        <w:jc w:val="both"/>
      </w:pPr>
      <w:r>
        <w:tab/>
      </w:r>
      <w:r w:rsidR="00B44D72">
        <w:tab/>
      </w:r>
      <w:r>
        <w:t>(</w:t>
      </w:r>
      <w:r w:rsidR="007F35A0">
        <w:t>h</w:t>
      </w:r>
      <w:r>
        <w:t>)</w:t>
      </w:r>
      <w:r>
        <w:tab/>
      </w:r>
      <w:r w:rsidR="00ED4EA5">
        <w:tab/>
      </w:r>
      <w:r w:rsidR="00B44D72">
        <w:rPr>
          <w:u w:val="single"/>
        </w:rPr>
        <w:t>Meter Test Charge</w:t>
      </w:r>
    </w:p>
    <w:p w14:paraId="1E48A64F" w14:textId="77777777" w:rsidR="00193C44" w:rsidRDefault="00193C44" w:rsidP="00ED4EA5">
      <w:pPr>
        <w:tabs>
          <w:tab w:val="left" w:pos="720"/>
          <w:tab w:val="left" w:pos="1080"/>
        </w:tabs>
        <w:autoSpaceDE w:val="0"/>
        <w:autoSpaceDN w:val="0"/>
        <w:adjustRightInd w:val="0"/>
        <w:ind w:left="360" w:hanging="360"/>
        <w:jc w:val="both"/>
      </w:pPr>
    </w:p>
    <w:p w14:paraId="6420E4D6" w14:textId="65CDC97B" w:rsidR="00193C44" w:rsidRDefault="00B44D72" w:rsidP="00B44D72">
      <w:pPr>
        <w:tabs>
          <w:tab w:val="left" w:pos="720"/>
          <w:tab w:val="left" w:pos="1080"/>
        </w:tabs>
        <w:autoSpaceDE w:val="0"/>
        <w:autoSpaceDN w:val="0"/>
        <w:adjustRightInd w:val="0"/>
        <w:ind w:left="1440"/>
        <w:jc w:val="both"/>
      </w:pPr>
      <w:r>
        <w:t>If a meter is tested at the request of a customer and said test result demonstrates the meter was operating within accepted tolerances, a charge of forth dollars ($40.00) shall be assessed. If the meter was not operating within accepted tolerances, there shall be no charge for the test or removal</w:t>
      </w:r>
      <w:r w:rsidR="004B6F18">
        <w:t>.</w:t>
      </w:r>
    </w:p>
    <w:p w14:paraId="59DCC3BE" w14:textId="70CE3D2C" w:rsidR="004B6F18" w:rsidRPr="004B6F18" w:rsidRDefault="004B6F18" w:rsidP="002A5D03">
      <w:pPr>
        <w:tabs>
          <w:tab w:val="left" w:pos="720"/>
          <w:tab w:val="left" w:pos="1080"/>
        </w:tabs>
        <w:autoSpaceDE w:val="0"/>
        <w:autoSpaceDN w:val="0"/>
        <w:adjustRightInd w:val="0"/>
        <w:jc w:val="both"/>
      </w:pPr>
    </w:p>
    <w:p w14:paraId="4A12C9BB" w14:textId="33DDDA7A" w:rsidR="002262BF" w:rsidRDefault="002A5D03" w:rsidP="002A5D03">
      <w:pPr>
        <w:tabs>
          <w:tab w:val="left" w:pos="-720"/>
        </w:tabs>
        <w:suppressAutoHyphens/>
        <w:ind w:left="330" w:hanging="330"/>
        <w:jc w:val="center"/>
      </w:pPr>
      <w:r w:rsidRPr="002A5D03">
        <w:rPr>
          <w:b/>
          <w:u w:val="single"/>
        </w:rPr>
        <w:t>SECTION V – SALES SERVICE</w:t>
      </w:r>
    </w:p>
    <w:p w14:paraId="3A96BCD7" w14:textId="0732DD5A" w:rsidR="002A5D03" w:rsidRDefault="002A5D03" w:rsidP="002A5D03">
      <w:pPr>
        <w:tabs>
          <w:tab w:val="left" w:pos="-720"/>
        </w:tabs>
        <w:suppressAutoHyphens/>
        <w:ind w:left="330" w:hanging="330"/>
      </w:pPr>
      <w:r>
        <w:rPr>
          <w:b/>
        </w:rPr>
        <w:t>1. Definitions</w:t>
      </w:r>
      <w:r>
        <w:t xml:space="preserve"> (As used herein)</w:t>
      </w:r>
    </w:p>
    <w:p w14:paraId="32A1E09E" w14:textId="77777777" w:rsidR="002A5D03" w:rsidRDefault="002A5D03" w:rsidP="002A5D03">
      <w:pPr>
        <w:tabs>
          <w:tab w:val="left" w:pos="-720"/>
        </w:tabs>
        <w:suppressAutoHyphens/>
        <w:ind w:left="330" w:hanging="330"/>
      </w:pPr>
    </w:p>
    <w:p w14:paraId="456271E7" w14:textId="2D6C8A82" w:rsidR="002A5D03" w:rsidRDefault="002A5D03" w:rsidP="002A5D03">
      <w:pPr>
        <w:tabs>
          <w:tab w:val="left" w:pos="-720"/>
          <w:tab w:val="left" w:pos="360"/>
          <w:tab w:val="left" w:pos="720"/>
          <w:tab w:val="left" w:pos="1080"/>
        </w:tabs>
        <w:suppressAutoHyphens/>
        <w:ind w:left="720" w:hanging="720"/>
      </w:pPr>
      <w:r>
        <w:tab/>
        <w:t>A</w:t>
      </w:r>
      <w:r>
        <w:tab/>
      </w:r>
      <w:r>
        <w:rPr>
          <w:b/>
        </w:rPr>
        <w:t xml:space="preserve">“Account” </w:t>
      </w:r>
      <w:r>
        <w:t>includes all gas consumption of the same individual, governmental entity or corporate entity (including subsidiaries and affiliates), that (1) occurs at a single service address; (2) is measured by a master meter; or (3) Company treated as a single “Account” prior to November 1, 2008.</w:t>
      </w:r>
    </w:p>
    <w:p w14:paraId="0AFB3663" w14:textId="77777777" w:rsidR="002A5D03" w:rsidRDefault="002A5D03" w:rsidP="002A5D03">
      <w:pPr>
        <w:tabs>
          <w:tab w:val="left" w:pos="-720"/>
          <w:tab w:val="left" w:pos="360"/>
          <w:tab w:val="left" w:pos="720"/>
          <w:tab w:val="left" w:pos="1080"/>
        </w:tabs>
        <w:suppressAutoHyphens/>
        <w:ind w:left="330" w:hanging="330"/>
      </w:pPr>
    </w:p>
    <w:p w14:paraId="68FA9DF5" w14:textId="7D9D15F7" w:rsidR="002A5D03" w:rsidRDefault="002A5D03" w:rsidP="002A5D03">
      <w:pPr>
        <w:tabs>
          <w:tab w:val="left" w:pos="-720"/>
          <w:tab w:val="left" w:pos="360"/>
          <w:tab w:val="left" w:pos="720"/>
          <w:tab w:val="left" w:pos="1080"/>
        </w:tabs>
        <w:suppressAutoHyphens/>
        <w:ind w:left="720" w:hanging="720"/>
      </w:pPr>
      <w:r>
        <w:tab/>
        <w:t>B</w:t>
      </w:r>
      <w:r>
        <w:tab/>
      </w:r>
      <w:r>
        <w:rPr>
          <w:b/>
        </w:rPr>
        <w:t>“Annual Period”</w:t>
      </w:r>
      <w:r>
        <w:t xml:space="preserve"> means the twelve-month period beginning on the first day of Customer’s November billing cycle and ending on the last day of Customer’s October billing cycle.</w:t>
      </w:r>
    </w:p>
    <w:p w14:paraId="6C2C6149" w14:textId="77777777" w:rsidR="002A5D03" w:rsidRDefault="002A5D03" w:rsidP="002A5D03">
      <w:pPr>
        <w:tabs>
          <w:tab w:val="left" w:pos="-720"/>
          <w:tab w:val="left" w:pos="360"/>
          <w:tab w:val="left" w:pos="720"/>
          <w:tab w:val="left" w:pos="1080"/>
        </w:tabs>
        <w:suppressAutoHyphens/>
        <w:ind w:left="330" w:hanging="330"/>
      </w:pPr>
    </w:p>
    <w:p w14:paraId="0E60AD07" w14:textId="380A62FC" w:rsidR="002A5D03" w:rsidRPr="002A5D03" w:rsidRDefault="002A5D03" w:rsidP="002A5D03">
      <w:pPr>
        <w:tabs>
          <w:tab w:val="left" w:pos="-720"/>
          <w:tab w:val="left" w:pos="360"/>
          <w:tab w:val="left" w:pos="720"/>
          <w:tab w:val="left" w:pos="1080"/>
        </w:tabs>
        <w:suppressAutoHyphens/>
        <w:ind w:left="330" w:hanging="330"/>
      </w:pPr>
      <w:r>
        <w:tab/>
        <w:t>C</w:t>
      </w:r>
      <w:r>
        <w:tab/>
      </w:r>
      <w:r>
        <w:rPr>
          <w:b/>
        </w:rPr>
        <w:t>“Business Day”</w:t>
      </w:r>
      <w:r>
        <w:t xml:space="preserve"> is a Day that is a weekday (Monday through Friday), excluding holidays.</w:t>
      </w:r>
    </w:p>
    <w:sectPr w:rsidR="002A5D03" w:rsidRPr="002A5D03" w:rsidSect="00B44D72">
      <w:headerReference w:type="even" r:id="rId7"/>
      <w:headerReference w:type="default" r:id="rId8"/>
      <w:footerReference w:type="even" r:id="rId9"/>
      <w:footerReference w:type="default" r:id="rId10"/>
      <w:headerReference w:type="first" r:id="rId11"/>
      <w:footerReference w:type="first" r:id="rId12"/>
      <w:pgSz w:w="12240" w:h="15840"/>
      <w:pgMar w:top="1440" w:right="1296"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48E7F" w14:textId="77777777" w:rsidR="00346DB7" w:rsidRDefault="00346DB7">
      <w:r>
        <w:separator/>
      </w:r>
    </w:p>
  </w:endnote>
  <w:endnote w:type="continuationSeparator" w:id="0">
    <w:p w14:paraId="262AA8BD" w14:textId="77777777" w:rsidR="00346DB7" w:rsidRDefault="003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09846" w14:textId="77777777" w:rsidR="001109C2" w:rsidRDefault="00110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6BAC" w14:textId="7923083E" w:rsidR="00061AAC" w:rsidRDefault="00061AAC" w:rsidP="00061AAC">
    <w:pPr>
      <w:pStyle w:val="Footer"/>
      <w:jc w:val="center"/>
      <w:rPr>
        <w:sz w:val="16"/>
      </w:rPr>
    </w:pPr>
    <w:r>
      <w:rPr>
        <w:sz w:val="16"/>
      </w:rPr>
      <w:t>Filed in accordance with Public Utilities Commission of Ohio Order dated</w:t>
    </w:r>
    <w:r w:rsidR="00E50549">
      <w:rPr>
        <w:sz w:val="16"/>
      </w:rPr>
      <w:t xml:space="preserve"> </w:t>
    </w:r>
    <w:r w:rsidR="006003CB">
      <w:rPr>
        <w:sz w:val="16"/>
      </w:rPr>
      <w:t>July 5, 2017</w:t>
    </w:r>
    <w:r w:rsidR="00E50549">
      <w:rPr>
        <w:sz w:val="16"/>
      </w:rPr>
      <w:t xml:space="preserve"> </w:t>
    </w:r>
    <w:r w:rsidR="006003CB">
      <w:rPr>
        <w:sz w:val="16"/>
      </w:rPr>
      <w:t xml:space="preserve">in Case No. </w:t>
    </w:r>
    <w:r w:rsidR="006003CB">
      <w:rPr>
        <w:sz w:val="16"/>
      </w:rPr>
      <w:t>17-1005</w:t>
    </w:r>
    <w:bookmarkStart w:id="0" w:name="_GoBack"/>
    <w:bookmarkEnd w:id="0"/>
    <w:r w:rsidR="00E50549">
      <w:rPr>
        <w:sz w:val="16"/>
      </w:rPr>
      <w:t>-GA-ATA</w:t>
    </w:r>
  </w:p>
  <w:p w14:paraId="79D5689E" w14:textId="77777777" w:rsidR="00061AAC" w:rsidRDefault="00061AAC" w:rsidP="00061AAC">
    <w:pPr>
      <w:pStyle w:val="Footer"/>
      <w:rPr>
        <w:sz w:val="16"/>
      </w:rPr>
    </w:pPr>
  </w:p>
  <w:tbl>
    <w:tblPr>
      <w:tblW w:w="9360" w:type="dxa"/>
      <w:tblInd w:w="108" w:type="dxa"/>
      <w:tblLayout w:type="fixed"/>
      <w:tblLook w:val="0000" w:firstRow="0" w:lastRow="0" w:firstColumn="0" w:lastColumn="0" w:noHBand="0" w:noVBand="0"/>
    </w:tblPr>
    <w:tblGrid>
      <w:gridCol w:w="4320"/>
      <w:gridCol w:w="5040"/>
    </w:tblGrid>
    <w:tr w:rsidR="00061AAC" w14:paraId="70EA82A7" w14:textId="77777777" w:rsidTr="00206A02">
      <w:tc>
        <w:tcPr>
          <w:tcW w:w="4320" w:type="dxa"/>
        </w:tcPr>
        <w:p w14:paraId="0B1B6C03" w14:textId="787A74D0" w:rsidR="00061AAC" w:rsidRDefault="00061AAC" w:rsidP="00801B84">
          <w:pPr>
            <w:pStyle w:val="Footer"/>
            <w:rPr>
              <w:sz w:val="16"/>
            </w:rPr>
          </w:pPr>
          <w:r>
            <w:rPr>
              <w:sz w:val="16"/>
            </w:rPr>
            <w:t xml:space="preserve">Issued: </w:t>
          </w:r>
          <w:r w:rsidR="006003CB">
            <w:rPr>
              <w:sz w:val="16"/>
            </w:rPr>
            <w:t>July 6, 2017</w:t>
          </w:r>
        </w:p>
      </w:tc>
      <w:tc>
        <w:tcPr>
          <w:tcW w:w="5040" w:type="dxa"/>
        </w:tcPr>
        <w:p w14:paraId="360B773F" w14:textId="0CE0473A" w:rsidR="00061AAC" w:rsidRDefault="00061AAC" w:rsidP="00801B84">
          <w:pPr>
            <w:pStyle w:val="Footer"/>
            <w:ind w:left="1602" w:right="-90"/>
            <w:jc w:val="right"/>
            <w:rPr>
              <w:sz w:val="16"/>
            </w:rPr>
          </w:pPr>
          <w:r>
            <w:rPr>
              <w:sz w:val="16"/>
            </w:rPr>
            <w:t xml:space="preserve">         Effective:</w:t>
          </w:r>
          <w:r w:rsidR="006003CB">
            <w:rPr>
              <w:sz w:val="16"/>
            </w:rPr>
            <w:t xml:space="preserve"> July 6, 2017</w:t>
          </w:r>
          <w:r>
            <w:rPr>
              <w:sz w:val="16"/>
            </w:rPr>
            <w:t xml:space="preserve">  </w:t>
          </w:r>
        </w:p>
      </w:tc>
    </w:tr>
  </w:tbl>
  <w:p w14:paraId="6FA3278B" w14:textId="77777777" w:rsidR="00061AAC" w:rsidRDefault="00061AAC" w:rsidP="00061AAC">
    <w:pPr>
      <w:pStyle w:val="Footer"/>
      <w:rPr>
        <w:sz w:val="16"/>
      </w:rPr>
    </w:pPr>
  </w:p>
  <w:p w14:paraId="6130E878" w14:textId="77777777" w:rsidR="00061AAC" w:rsidRDefault="00061AAC" w:rsidP="00061AAC">
    <w:pPr>
      <w:pStyle w:val="Footer"/>
      <w:jc w:val="center"/>
      <w:rPr>
        <w:sz w:val="16"/>
      </w:rPr>
    </w:pPr>
    <w:r>
      <w:rPr>
        <w:sz w:val="16"/>
      </w:rPr>
      <w:t>Issued By</w:t>
    </w:r>
  </w:p>
  <w:p w14:paraId="2C532FDE" w14:textId="6CE0FD2C" w:rsidR="002262BF" w:rsidRPr="00061AAC" w:rsidRDefault="00E50549" w:rsidP="00061AAC">
    <w:pPr>
      <w:pStyle w:val="Footer"/>
      <w:jc w:val="center"/>
    </w:pPr>
    <w:r>
      <w:rPr>
        <w:sz w:val="16"/>
      </w:rPr>
      <w:t>Daniel A. Creekmur</w:t>
    </w:r>
    <w:r w:rsidR="00061AAC">
      <w:rPr>
        <w:sz w:val="16"/>
      </w:rPr>
      <w:t>, President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DEE5" w14:textId="77777777" w:rsidR="001109C2" w:rsidRDefault="00110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9736" w14:textId="77777777" w:rsidR="00346DB7" w:rsidRDefault="00346DB7">
      <w:r>
        <w:separator/>
      </w:r>
    </w:p>
  </w:footnote>
  <w:footnote w:type="continuationSeparator" w:id="0">
    <w:p w14:paraId="566CD9B9" w14:textId="77777777" w:rsidR="00346DB7" w:rsidRDefault="00346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2262BF" w14:paraId="13B37E42" w14:textId="77777777">
      <w:tc>
        <w:tcPr>
          <w:tcW w:w="4428" w:type="dxa"/>
        </w:tcPr>
        <w:p w14:paraId="0D3EBC65" w14:textId="77777777" w:rsidR="002262BF" w:rsidRDefault="002262BF">
          <w:pPr>
            <w:pStyle w:val="Header"/>
          </w:pPr>
        </w:p>
      </w:tc>
      <w:tc>
        <w:tcPr>
          <w:tcW w:w="4428" w:type="dxa"/>
        </w:tcPr>
        <w:p w14:paraId="3ACE3427" w14:textId="77777777" w:rsidR="002262BF" w:rsidRDefault="002262BF">
          <w:pPr>
            <w:pStyle w:val="Header"/>
          </w:pPr>
        </w:p>
      </w:tc>
    </w:tr>
  </w:tbl>
  <w:p w14:paraId="67FF6565" w14:textId="77777777" w:rsidR="002262BF" w:rsidRDefault="00226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695D" w14:textId="77777777" w:rsidR="002262BF" w:rsidRDefault="002262BF">
    <w:pPr>
      <w:pStyle w:val="Header"/>
      <w:jc w:val="center"/>
      <w:rPr>
        <w:b/>
        <w:sz w:val="22"/>
      </w:rPr>
    </w:pPr>
    <w:r>
      <w:rPr>
        <w:b/>
        <w:sz w:val="22"/>
      </w:rPr>
      <w:t>P.U.C.O. No. 2</w:t>
    </w:r>
  </w:p>
  <w:p w14:paraId="3361E45C" w14:textId="77777777" w:rsidR="002262BF" w:rsidRDefault="002262BF">
    <w:pPr>
      <w:pStyle w:val="Header"/>
      <w:jc w:val="center"/>
      <w:rPr>
        <w:b/>
        <w:sz w:val="22"/>
      </w:rPr>
    </w:pPr>
  </w:p>
  <w:p w14:paraId="4D827384" w14:textId="77777777" w:rsidR="002262BF" w:rsidRDefault="002262BF">
    <w:pPr>
      <w:pStyle w:val="Header"/>
      <w:jc w:val="center"/>
      <w:rPr>
        <w:b/>
        <w:sz w:val="22"/>
      </w:rPr>
    </w:pPr>
  </w:p>
  <w:p w14:paraId="20965D7B" w14:textId="7B1E07C0" w:rsidR="002262BF" w:rsidRDefault="007F35A0">
    <w:pPr>
      <w:pStyle w:val="Header"/>
      <w:jc w:val="right"/>
      <w:rPr>
        <w:b/>
        <w:sz w:val="22"/>
      </w:rPr>
    </w:pPr>
    <w:r>
      <w:rPr>
        <w:b/>
        <w:sz w:val="22"/>
      </w:rPr>
      <w:t xml:space="preserve">Second </w:t>
    </w:r>
    <w:r w:rsidR="00B44D72">
      <w:rPr>
        <w:b/>
        <w:sz w:val="22"/>
      </w:rPr>
      <w:t>Revised Sheet No. 14</w:t>
    </w:r>
  </w:p>
  <w:p w14:paraId="438CF8F2" w14:textId="77777777" w:rsidR="002262BF" w:rsidRDefault="002262BF">
    <w:pPr>
      <w:pStyle w:val="Header"/>
      <w:jc w:val="right"/>
      <w:rPr>
        <w:b/>
        <w:sz w:val="22"/>
      </w:rPr>
    </w:pPr>
    <w:r>
      <w:rPr>
        <w:b/>
        <w:sz w:val="22"/>
      </w:rPr>
      <w:t xml:space="preserve">Cancels </w:t>
    </w:r>
  </w:p>
  <w:p w14:paraId="12373DC6" w14:textId="3C1829DA" w:rsidR="002262BF" w:rsidRDefault="002262BF" w:rsidP="001F1B9B">
    <w:pPr>
      <w:pStyle w:val="Header"/>
      <w:tabs>
        <w:tab w:val="clear" w:pos="8640"/>
        <w:tab w:val="right" w:pos="9360"/>
      </w:tabs>
      <w:rPr>
        <w:b/>
        <w:sz w:val="22"/>
      </w:rPr>
    </w:pPr>
    <w:smartTag w:uri="urn:schemas-microsoft-com:office:smarttags" w:element="place">
      <w:smartTag w:uri="urn:schemas-microsoft-com:office:smarttags" w:element="City">
        <w:r>
          <w:rPr>
            <w:b/>
            <w:sz w:val="22"/>
          </w:rPr>
          <w:t>COLUMBIA</w:t>
        </w:r>
      </w:smartTag>
    </w:smartTag>
    <w:r>
      <w:rPr>
        <w:b/>
        <w:sz w:val="22"/>
      </w:rPr>
      <w:t xml:space="preserve"> GAS</w:t>
    </w:r>
    <w:r w:rsidR="001F1B9B">
      <w:rPr>
        <w:b/>
        <w:sz w:val="22"/>
      </w:rPr>
      <w:t xml:space="preserve"> OF OHIO, INC.</w:t>
    </w:r>
    <w:r w:rsidR="001F1B9B">
      <w:rPr>
        <w:b/>
        <w:sz w:val="22"/>
      </w:rPr>
      <w:tab/>
    </w:r>
    <w:r w:rsidR="001F1B9B">
      <w:rPr>
        <w:b/>
        <w:sz w:val="22"/>
      </w:rPr>
      <w:tab/>
    </w:r>
    <w:r w:rsidR="007F35A0">
      <w:rPr>
        <w:b/>
        <w:sz w:val="22"/>
      </w:rPr>
      <w:t xml:space="preserve">First Revised </w:t>
    </w:r>
    <w:r>
      <w:rPr>
        <w:b/>
        <w:sz w:val="22"/>
      </w:rPr>
      <w:t xml:space="preserve">Sheet No. </w:t>
    </w:r>
    <w:r w:rsidR="00B44D72">
      <w:rPr>
        <w:b/>
        <w:sz w:val="22"/>
      </w:rPr>
      <w:t>14</w:t>
    </w:r>
  </w:p>
  <w:p w14:paraId="6C4990F2" w14:textId="77777777" w:rsidR="002262BF" w:rsidRDefault="002262BF">
    <w:pPr>
      <w:pStyle w:val="Header"/>
      <w:rPr>
        <w:b/>
        <w:sz w:val="22"/>
      </w:rPr>
    </w:pPr>
  </w:p>
  <w:p w14:paraId="5D4A80B5" w14:textId="77777777" w:rsidR="002262BF" w:rsidRDefault="002262BF">
    <w:pPr>
      <w:pStyle w:val="Header"/>
      <w:jc w:val="center"/>
      <w:rPr>
        <w:b/>
        <w:sz w:val="22"/>
      </w:rPr>
    </w:pPr>
    <w:r>
      <w:rPr>
        <w:b/>
        <w:sz w:val="22"/>
      </w:rPr>
      <w:t>RULES AND REGULATIONS GOVERNING THE DISTRIBUTION</w:t>
    </w:r>
  </w:p>
  <w:p w14:paraId="0E389612" w14:textId="77777777" w:rsidR="002262BF" w:rsidRDefault="002262BF">
    <w:pPr>
      <w:pStyle w:val="Header"/>
      <w:pBdr>
        <w:bottom w:val="single" w:sz="4" w:space="3" w:color="auto"/>
      </w:pBdr>
      <w:jc w:val="center"/>
      <w:rPr>
        <w:u w:val="single"/>
      </w:rPr>
    </w:pPr>
    <w:r>
      <w:rPr>
        <w:b/>
        <w:sz w:val="22"/>
      </w:rPr>
      <w:t xml:space="preserve">AND </w:t>
    </w:r>
    <w:smartTag w:uri="urn:schemas-microsoft-com:office:smarttags" w:element="City">
      <w:smartTag w:uri="urn:schemas-microsoft-com:office:smarttags" w:element="place">
        <w:r>
          <w:rPr>
            <w:b/>
            <w:sz w:val="22"/>
          </w:rPr>
          <w:t>SALE</w:t>
        </w:r>
      </w:smartTag>
    </w:smartTag>
    <w:r>
      <w:rPr>
        <w:b/>
        <w:sz w:val="22"/>
      </w:rPr>
      <w:t xml:space="preserve"> OF GAS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690D1" w14:textId="77777777" w:rsidR="001109C2" w:rsidRDefault="001109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234E9B"/>
    <w:multiLevelType w:val="hybridMultilevel"/>
    <w:tmpl w:val="09DC8DEC"/>
    <w:lvl w:ilvl="0" w:tplc="C8726D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C4"/>
    <w:rsid w:val="00005DF8"/>
    <w:rsid w:val="00046C78"/>
    <w:rsid w:val="00061AAC"/>
    <w:rsid w:val="000A7438"/>
    <w:rsid w:val="001109C2"/>
    <w:rsid w:val="00122F86"/>
    <w:rsid w:val="0015732D"/>
    <w:rsid w:val="001666E5"/>
    <w:rsid w:val="00176ABE"/>
    <w:rsid w:val="00193C44"/>
    <w:rsid w:val="001E5EC4"/>
    <w:rsid w:val="001F1B9B"/>
    <w:rsid w:val="00206A02"/>
    <w:rsid w:val="002262BF"/>
    <w:rsid w:val="002768C4"/>
    <w:rsid w:val="002A5D03"/>
    <w:rsid w:val="002D25B5"/>
    <w:rsid w:val="002D53B2"/>
    <w:rsid w:val="003144C3"/>
    <w:rsid w:val="00346DB7"/>
    <w:rsid w:val="003C2FF6"/>
    <w:rsid w:val="004244F7"/>
    <w:rsid w:val="004903C4"/>
    <w:rsid w:val="004B6F18"/>
    <w:rsid w:val="0055613E"/>
    <w:rsid w:val="005C404D"/>
    <w:rsid w:val="005D3FD9"/>
    <w:rsid w:val="006003CB"/>
    <w:rsid w:val="00681672"/>
    <w:rsid w:val="00686DE9"/>
    <w:rsid w:val="006A199B"/>
    <w:rsid w:val="0075432D"/>
    <w:rsid w:val="007F35A0"/>
    <w:rsid w:val="007F5754"/>
    <w:rsid w:val="00801B84"/>
    <w:rsid w:val="00841A23"/>
    <w:rsid w:val="00892CDE"/>
    <w:rsid w:val="00911B92"/>
    <w:rsid w:val="00A815C3"/>
    <w:rsid w:val="00B31BC7"/>
    <w:rsid w:val="00B44D72"/>
    <w:rsid w:val="00BA1A08"/>
    <w:rsid w:val="00C6594F"/>
    <w:rsid w:val="00C813C2"/>
    <w:rsid w:val="00D019F6"/>
    <w:rsid w:val="00E279C0"/>
    <w:rsid w:val="00E50549"/>
    <w:rsid w:val="00EB1442"/>
    <w:rsid w:val="00ED4EA5"/>
    <w:rsid w:val="00F52194"/>
    <w:rsid w:val="00F733C4"/>
    <w:rsid w:val="00F86764"/>
    <w:rsid w:val="00FA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6CF5F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360"/>
      <w:jc w:val="both"/>
    </w:pPr>
    <w:rPr>
      <w:spacing w:val="-3"/>
    </w:rPr>
  </w:style>
  <w:style w:type="paragraph" w:styleId="BodyTextIndent2">
    <w:name w:val="Body Text Indent 2"/>
    <w:basedOn w:val="Normal"/>
    <w:pPr>
      <w:tabs>
        <w:tab w:val="left" w:pos="-720"/>
        <w:tab w:val="left" w:pos="0"/>
      </w:tabs>
      <w:suppressAutoHyphens/>
      <w:ind w:left="360" w:hanging="360"/>
      <w:jc w:val="both"/>
    </w:pPr>
    <w:rPr>
      <w:spacing w:val="-3"/>
    </w:rPr>
  </w:style>
  <w:style w:type="paragraph" w:styleId="BodyTextIndent3">
    <w:name w:val="Body Text Indent 3"/>
    <w:basedOn w:val="Normal"/>
    <w:pPr>
      <w:tabs>
        <w:tab w:val="left" w:pos="-1560"/>
        <w:tab w:val="left" w:pos="-840"/>
        <w:tab w:val="left" w:pos="330"/>
        <w:tab w:val="left" w:pos="540"/>
        <w:tab w:val="left" w:pos="1219"/>
        <w:tab w:val="left" w:pos="1545"/>
        <w:tab w:val="left" w:pos="1872"/>
        <w:tab w:val="left" w:pos="2198"/>
        <w:tab w:val="left" w:pos="2524"/>
        <w:tab w:val="left" w:pos="2851"/>
      </w:tabs>
      <w:suppressAutoHyphens/>
      <w:ind w:left="330" w:hanging="580"/>
      <w:jc w:val="both"/>
    </w:pPr>
    <w:rPr>
      <w:spacing w:val="-3"/>
    </w:rPr>
  </w:style>
  <w:style w:type="paragraph" w:styleId="BodyText">
    <w:name w:val="Body Text"/>
    <w:basedOn w:val="Normal"/>
    <w:pPr>
      <w:tabs>
        <w:tab w:val="left" w:pos="630"/>
      </w:tabs>
      <w:jc w:val="both"/>
    </w:pPr>
    <w:rPr>
      <w:spacing w:val="-3"/>
    </w:rPr>
  </w:style>
  <w:style w:type="paragraph" w:styleId="BalloonText">
    <w:name w:val="Balloon Text"/>
    <w:basedOn w:val="Normal"/>
    <w:link w:val="BalloonTextChar"/>
    <w:rsid w:val="00801B84"/>
    <w:rPr>
      <w:rFonts w:ascii="Segoe UI" w:hAnsi="Segoe UI" w:cs="Segoe UI"/>
      <w:sz w:val="18"/>
      <w:szCs w:val="18"/>
    </w:rPr>
  </w:style>
  <w:style w:type="character" w:customStyle="1" w:styleId="BalloonTextChar">
    <w:name w:val="Balloon Text Char"/>
    <w:link w:val="BalloonText"/>
    <w:rsid w:val="00801B84"/>
    <w:rPr>
      <w:rFonts w:ascii="Segoe UI" w:hAnsi="Segoe UI" w:cs="Segoe UI"/>
      <w:sz w:val="18"/>
      <w:szCs w:val="18"/>
    </w:rPr>
  </w:style>
  <w:style w:type="character" w:styleId="CommentReference">
    <w:name w:val="annotation reference"/>
    <w:basedOn w:val="DefaultParagraphFont"/>
    <w:rsid w:val="005D3FD9"/>
    <w:rPr>
      <w:sz w:val="16"/>
      <w:szCs w:val="16"/>
    </w:rPr>
  </w:style>
  <w:style w:type="paragraph" w:styleId="CommentText">
    <w:name w:val="annotation text"/>
    <w:basedOn w:val="Normal"/>
    <w:link w:val="CommentTextChar"/>
    <w:rsid w:val="005D3FD9"/>
  </w:style>
  <w:style w:type="character" w:customStyle="1" w:styleId="CommentTextChar">
    <w:name w:val="Comment Text Char"/>
    <w:basedOn w:val="DefaultParagraphFont"/>
    <w:link w:val="CommentText"/>
    <w:rsid w:val="005D3FD9"/>
  </w:style>
  <w:style w:type="paragraph" w:styleId="CommentSubject">
    <w:name w:val="annotation subject"/>
    <w:basedOn w:val="CommentText"/>
    <w:next w:val="CommentText"/>
    <w:link w:val="CommentSubjectChar"/>
    <w:rsid w:val="005D3FD9"/>
    <w:rPr>
      <w:b/>
      <w:bCs/>
    </w:rPr>
  </w:style>
  <w:style w:type="character" w:customStyle="1" w:styleId="CommentSubjectChar">
    <w:name w:val="Comment Subject Char"/>
    <w:basedOn w:val="CommentTextChar"/>
    <w:link w:val="CommentSubject"/>
    <w:rsid w:val="005D3FD9"/>
    <w:rPr>
      <w:b/>
      <w:bCs/>
    </w:rPr>
  </w:style>
  <w:style w:type="paragraph" w:styleId="ListParagraph">
    <w:name w:val="List Paragraph"/>
    <w:basedOn w:val="Normal"/>
    <w:uiPriority w:val="34"/>
    <w:qFormat/>
    <w:rsid w:val="00193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2017-07-06T14:55:00Z</dcterms:created>
  <dcterms:modified xsi:type="dcterms:W3CDTF">2017-07-06T16:11:00Z</dcterms:modified>
</cp:coreProperties>
</file>