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7744E" w:rsidRPr="0070059A" w:rsidP="0077744E">
      <w:pPr>
        <w:spacing w:after="0" w:line="240" w:lineRule="auto"/>
        <w:jc w:val="center"/>
        <w:rPr>
          <w:rFonts w:cs="Times New Roman"/>
          <w:b/>
          <w:szCs w:val="24"/>
        </w:rPr>
      </w:pPr>
      <w:bookmarkStart w:id="0" w:name="_GoBack"/>
      <w:bookmarkEnd w:id="0"/>
      <w:r w:rsidRPr="0070059A">
        <w:rPr>
          <w:rFonts w:cs="Times New Roman"/>
          <w:b/>
          <w:szCs w:val="24"/>
        </w:rPr>
        <w:t>BEFORE</w:t>
      </w:r>
    </w:p>
    <w:p w:rsidR="0077744E" w:rsidRPr="0070059A" w:rsidP="0077744E">
      <w:pPr>
        <w:spacing w:after="0" w:line="240" w:lineRule="auto"/>
        <w:jc w:val="center"/>
        <w:rPr>
          <w:rFonts w:cs="Times New Roman"/>
          <w:b/>
          <w:szCs w:val="24"/>
        </w:rPr>
      </w:pPr>
      <w:r w:rsidRPr="0070059A">
        <w:rPr>
          <w:rFonts w:cs="Times New Roman"/>
          <w:b/>
          <w:szCs w:val="24"/>
        </w:rPr>
        <w:t>THE PUBLIC UTILITIES COMMISSION OF OHIO</w:t>
      </w:r>
    </w:p>
    <w:p w:rsidR="0077744E" w:rsidRPr="0070059A" w:rsidP="0077744E">
      <w:pPr>
        <w:spacing w:after="0" w:line="240" w:lineRule="auto"/>
        <w:jc w:val="center"/>
        <w:rPr>
          <w:rFonts w:cs="Times New Roman"/>
          <w:b/>
          <w:szCs w:val="24"/>
        </w:rPr>
      </w:pPr>
    </w:p>
    <w:tbl>
      <w:tblPr>
        <w:tblW w:w="10358" w:type="dxa"/>
        <w:tblLook w:val="01E0"/>
      </w:tblPr>
      <w:tblGrid>
        <w:gridCol w:w="5238"/>
        <w:gridCol w:w="480"/>
        <w:gridCol w:w="4640"/>
      </w:tblGrid>
      <w:tr w:rsidTr="0067284A">
        <w:tblPrEx>
          <w:tblW w:w="10358" w:type="dxa"/>
          <w:tblLook w:val="01E0"/>
        </w:tblPrEx>
        <w:trPr>
          <w:trHeight w:val="807"/>
        </w:trPr>
        <w:tc>
          <w:tcPr>
            <w:tcW w:w="5238" w:type="dxa"/>
            <w:shd w:val="clear" w:color="auto" w:fill="auto"/>
          </w:tcPr>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 xml:space="preserve">In the Matter of the </w:t>
            </w:r>
            <w:r>
              <w:rPr>
                <w:rFonts w:cs="Times New Roman"/>
                <w:szCs w:val="24"/>
              </w:rPr>
              <w:t>A</w:t>
            </w:r>
            <w:r w:rsidRPr="0070059A">
              <w:rPr>
                <w:rFonts w:cs="Times New Roman"/>
                <w:szCs w:val="24"/>
              </w:rPr>
              <w:t>pplication of the Dayton Power and Light Company for an Increase in Electric Distribution Rates.</w:t>
            </w: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Case No. 15-1830-EL-AIR</w:t>
            </w: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Case No. 15-1831-EL-AAM</w:t>
            </w:r>
          </w:p>
          <w:p w:rsidR="0077744E" w:rsidRPr="0070059A" w:rsidP="0067284A">
            <w:pPr>
              <w:spacing w:after="0" w:line="240" w:lineRule="auto"/>
              <w:rPr>
                <w:rFonts w:cs="Times New Roman"/>
                <w:szCs w:val="24"/>
              </w:rPr>
            </w:pPr>
          </w:p>
          <w:p w:rsidR="0077744E" w:rsidRPr="0070059A" w:rsidP="0067284A">
            <w:pPr>
              <w:spacing w:after="0" w:line="240" w:lineRule="auto"/>
              <w:rPr>
                <w:rFonts w:cs="Times New Roman"/>
                <w:szCs w:val="24"/>
              </w:rPr>
            </w:pPr>
          </w:p>
          <w:p w:rsidR="0077744E" w:rsidRPr="0070059A" w:rsidP="0067284A">
            <w:pPr>
              <w:spacing w:after="0" w:line="240" w:lineRule="auto"/>
              <w:rPr>
                <w:rFonts w:cs="Times New Roman"/>
                <w:szCs w:val="24"/>
              </w:rPr>
            </w:pPr>
            <w:r w:rsidRPr="0070059A">
              <w:rPr>
                <w:rFonts w:cs="Times New Roman"/>
                <w:szCs w:val="24"/>
              </w:rPr>
              <w:t>Case No. 15-1832-EL-ATA</w:t>
            </w:r>
          </w:p>
          <w:p w:rsidR="0077744E" w:rsidRPr="0070059A" w:rsidP="0067284A">
            <w:pPr>
              <w:pStyle w:val="HTMLPreformatted"/>
              <w:rPr>
                <w:rFonts w:ascii="Times New Roman" w:hAnsi="Times New Roman" w:cs="Times New Roman"/>
                <w:sz w:val="24"/>
                <w:szCs w:val="24"/>
              </w:rPr>
            </w:pPr>
          </w:p>
        </w:tc>
      </w:tr>
    </w:tbl>
    <w:p w:rsidR="00F32AEA" w:rsidRPr="00B70844" w:rsidP="00F32AEA">
      <w:pPr>
        <w:pBdr>
          <w:bottom w:val="single" w:sz="12" w:space="1" w:color="auto"/>
        </w:pBdr>
        <w:spacing w:before="4"/>
        <w:rPr>
          <w:sz w:val="18"/>
          <w:szCs w:val="18"/>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32AEA" w:rsidP="00F32AEA">
      <w:pPr>
        <w:spacing w:after="0" w:line="240" w:lineRule="auto"/>
        <w:jc w:val="center"/>
        <w:rPr>
          <w:b/>
        </w:rPr>
      </w:pPr>
    </w:p>
    <w:p w:rsidR="00BD0C18" w:rsidP="00F32AEA">
      <w:pPr>
        <w:spacing w:after="0" w:line="480" w:lineRule="auto"/>
        <w:ind w:firstLine="720"/>
      </w:pPr>
      <w:r>
        <w:t>The Ohio Consumers’ Co</w:t>
      </w:r>
      <w:r w:rsidR="00E449A6">
        <w:t>unsel (“OCC”),</w:t>
      </w:r>
      <w:r>
        <w:t xml:space="preserve"> Staff, Dayton Power and Light Company (“DP&amp;L”), and other parties agreed to settle this case on terms that benefit DP&amp;L’s </w:t>
      </w:r>
      <w:r w:rsidR="0096616A">
        <w:t>500,000 residential and nonresidential customers.</w:t>
      </w:r>
      <w:r>
        <w:rPr>
          <w:rStyle w:val="FootnoteReference"/>
        </w:rPr>
        <w:footnoteReference w:id="2"/>
      </w:r>
      <w:r w:rsidR="0096616A">
        <w:t xml:space="preserve"> The PUCO approved th</w:t>
      </w:r>
      <w:r w:rsidR="004D6FB6">
        <w:t>e</w:t>
      </w:r>
      <w:r w:rsidR="0096616A">
        <w:t xml:space="preserve"> Settlement.</w:t>
      </w:r>
      <w:r>
        <w:rPr>
          <w:rStyle w:val="FootnoteReference"/>
        </w:rPr>
        <w:footnoteReference w:id="3"/>
      </w:r>
    </w:p>
    <w:p w:rsidR="0077744E" w:rsidP="00F32AEA">
      <w:pPr>
        <w:spacing w:after="0" w:line="480" w:lineRule="auto"/>
        <w:ind w:firstLine="720"/>
      </w:pPr>
      <w:r>
        <w:t>Unfortunately, the Order misinterprets the parties’ intent with respect to one issue, thereby effectively modifying the Settlement in a way that harms consumers.</w:t>
      </w:r>
    </w:p>
    <w:p w:rsidR="00B748B6" w:rsidP="00F32AEA">
      <w:pPr>
        <w:spacing w:after="0" w:line="480" w:lineRule="auto"/>
        <w:ind w:firstLine="720"/>
        <w:sectPr w:rsidSect="00F32AEA">
          <w:footerReference w:type="default" r:id="rId5"/>
          <w:pgSz w:w="12240" w:h="15840"/>
          <w:pgMar w:top="1440" w:right="1800" w:bottom="1440" w:left="1800" w:header="720" w:footer="720" w:gutter="0"/>
          <w:pgNumType w:start="2"/>
          <w:cols w:space="720"/>
          <w:docGrid w:linePitch="360"/>
        </w:sectPr>
      </w:pPr>
      <w:r>
        <w:t>In opposing the Settlement, IGS Energy and the Retail Energy Supply Association (together, the “Marketers”) argued that certain costs related to DP&amp;L’s standard service offer (“SSO”) should be “unbundled”—that is, they should be paid for exclusively by SSO customers</w:t>
      </w:r>
      <w:r w:rsidR="00E449A6">
        <w:t>,</w:t>
      </w:r>
      <w:r>
        <w:t xml:space="preserve"> and not customers who shop for their generation with Marketers.</w:t>
      </w:r>
      <w:r>
        <w:rPr>
          <w:rStyle w:val="FootnoteReference"/>
        </w:rPr>
        <w:footnoteReference w:id="4"/>
      </w:r>
      <w:r>
        <w:t xml:space="preserve"> </w:t>
      </w:r>
    </w:p>
    <w:p w:rsidR="000F16BB" w:rsidP="00B748B6">
      <w:pPr>
        <w:spacing w:after="0" w:line="480" w:lineRule="auto"/>
      </w:pPr>
      <w:r>
        <w:t>The PUCO wisely rejected this Marketer recommendation.</w:t>
      </w:r>
      <w:r>
        <w:rPr>
          <w:rStyle w:val="FootnoteReference"/>
        </w:rPr>
        <w:footnoteReference w:id="5"/>
      </w:r>
      <w:r>
        <w:t xml:space="preserve"> But the PUCO did require DP&amp;L to unbundle a portion of its costs, particularly, the SSO-related portion of DP&amp;L’s PUCO and OCC assessments</w:t>
      </w:r>
      <w:r w:rsidR="00D27BBC">
        <w:t xml:space="preserve"> (the “Assessments”)</w:t>
      </w:r>
      <w:r>
        <w:t>.</w:t>
      </w:r>
      <w:r>
        <w:rPr>
          <w:rStyle w:val="FootnoteReference"/>
        </w:rPr>
        <w:footnoteReference w:id="6"/>
      </w:r>
      <w:r>
        <w:t xml:space="preserve"> </w:t>
      </w:r>
      <w:r>
        <w:t>The PUCO reasoned that the PUCO Staff recommended unbundling of these costs in its Staff Report and that the Settlement did not modify that recommendation.</w:t>
      </w:r>
      <w:r>
        <w:rPr>
          <w:rStyle w:val="FootnoteReference"/>
        </w:rPr>
        <w:footnoteReference w:id="7"/>
      </w:r>
    </w:p>
    <w:p w:rsidR="008316CE" w:rsidRPr="000F16BB" w:rsidP="00F32AEA">
      <w:pPr>
        <w:spacing w:after="0" w:line="480" w:lineRule="auto"/>
        <w:ind w:firstLine="720"/>
      </w:pPr>
      <w:r>
        <w:t>This portion of the Order is unreasonable and unlawful because (i) contrary to the findings in the Order, there is no disagreement among the parties to the Settlement regarding this issue, (ii) the Staff Report was, at best, ambiguous on this issue, and thus</w:t>
      </w:r>
      <w:r w:rsidR="000F16BB">
        <w:t xml:space="preserve"> the PUCO Staff did </w:t>
      </w:r>
      <w:r w:rsidR="000F16BB">
        <w:rPr>
          <w:i/>
        </w:rPr>
        <w:t>not</w:t>
      </w:r>
      <w:r w:rsidR="000F16BB">
        <w:t xml:space="preserve"> definitively recommend unbundling of </w:t>
      </w:r>
      <w:r w:rsidR="00D27BBC">
        <w:t>the</w:t>
      </w:r>
      <w:r w:rsidR="000F16BB">
        <w:t xml:space="preserve"> </w:t>
      </w:r>
      <w:r w:rsidR="00D27BBC">
        <w:t>A</w:t>
      </w:r>
      <w:r w:rsidR="000F16BB">
        <w:t>ssessments, (iii) the PUCO Staff admitted that this recommendation was erroneous</w:t>
      </w:r>
      <w:r w:rsidR="00731052">
        <w:t>,</w:t>
      </w:r>
      <w:r w:rsidR="000F16BB">
        <w:t xml:space="preserve"> and no other party beyond the Marketers support</w:t>
      </w:r>
      <w:r w:rsidR="00731052">
        <w:t>ed</w:t>
      </w:r>
      <w:r w:rsidR="000F16BB">
        <w:t xml:space="preserve"> the unbundling of </w:t>
      </w:r>
      <w:r w:rsidR="00D27BBC">
        <w:t>the A</w:t>
      </w:r>
      <w:r w:rsidR="000F16BB">
        <w:t xml:space="preserve">ssessments, and (iv) OCC witness Willis explained how the Settlement did </w:t>
      </w:r>
      <w:r w:rsidR="000F16BB">
        <w:rPr>
          <w:i/>
        </w:rPr>
        <w:t>not</w:t>
      </w:r>
      <w:r w:rsidR="000F16BB">
        <w:t xml:space="preserve"> adopt this recommendation from the Staff Report.</w:t>
      </w:r>
    </w:p>
    <w:p w:rsidR="00F32AEA" w:rsidP="0043511C">
      <w:pPr>
        <w:spacing w:after="0" w:line="480" w:lineRule="auto"/>
        <w:ind w:firstLine="720"/>
        <w:rPr>
          <w:rFonts w:cs="Times New Roman"/>
          <w:szCs w:val="24"/>
          <w:u w:val="single"/>
        </w:rPr>
      </w:pPr>
      <w:r>
        <w:t xml:space="preserve">The </w:t>
      </w:r>
      <w:r w:rsidR="000F16BB">
        <w:t>Order</w:t>
      </w:r>
      <w:r>
        <w:t xml:space="preserve"> is unlawful and unreasonable in the following respects: </w:t>
      </w:r>
    </w:p>
    <w:p w:rsidR="000F16BB" w:rsidP="00F32AEA">
      <w:pPr>
        <w:spacing w:after="0" w:line="240" w:lineRule="auto"/>
      </w:pPr>
      <w:r w:rsidRPr="0080579B">
        <w:rPr>
          <w:u w:val="single"/>
        </w:rPr>
        <w:t>Assignment of Error</w:t>
      </w:r>
      <w:r w:rsidRPr="00212D6E">
        <w:t>:</w:t>
      </w:r>
      <w:r>
        <w:t xml:space="preserve"> </w:t>
      </w:r>
      <w:r>
        <w:t xml:space="preserve">The Order is </w:t>
      </w:r>
      <w:r w:rsidR="00866CA0">
        <w:t xml:space="preserve">unlawful </w:t>
      </w:r>
      <w:r w:rsidR="008E6AFC">
        <w:t xml:space="preserve">and unreasonable </w:t>
      </w:r>
      <w:r w:rsidR="00866CA0">
        <w:t xml:space="preserve">under R.C. 4903.09 </w:t>
      </w:r>
      <w:r w:rsidR="008E6AFC">
        <w:t xml:space="preserve">and R.C. 4905.22 </w:t>
      </w:r>
      <w:r>
        <w:t xml:space="preserve">because it misinterprets the Staff Report and the Settlement with respect to the </w:t>
      </w:r>
      <w:r w:rsidR="00950809">
        <w:t xml:space="preserve">collection </w:t>
      </w:r>
      <w:r>
        <w:t xml:space="preserve">of PUCO and OCC assessment expenses </w:t>
      </w:r>
      <w:r w:rsidR="00950809">
        <w:t xml:space="preserve">from customers </w:t>
      </w:r>
      <w:r>
        <w:t>through a bypassable rider</w:t>
      </w:r>
      <w:r w:rsidR="00950809">
        <w:t xml:space="preserve">, </w:t>
      </w:r>
      <w:r w:rsidR="007B40A6">
        <w:t>and as a result</w:t>
      </w:r>
      <w:r w:rsidR="00CF37D7">
        <w:t>,</w:t>
      </w:r>
      <w:r w:rsidR="007B40A6">
        <w:t xml:space="preserve"> </w:t>
      </w:r>
      <w:r w:rsidR="00950809">
        <w:t xml:space="preserve">SSO customers would </w:t>
      </w:r>
      <w:r w:rsidR="00830198">
        <w:t xml:space="preserve">pay unjust and unreasonable rates </w:t>
      </w:r>
      <w:r w:rsidR="00950809">
        <w:t xml:space="preserve">under the </w:t>
      </w:r>
      <w:r w:rsidR="00E41ACB">
        <w:t>Order</w:t>
      </w:r>
      <w:r>
        <w:t>.</w:t>
      </w:r>
    </w:p>
    <w:p w:rsidR="000F16BB" w:rsidP="00F32AEA">
      <w:pPr>
        <w:spacing w:after="0" w:line="240" w:lineRule="auto"/>
      </w:pPr>
    </w:p>
    <w:p w:rsidR="00F32AEA" w:rsidRPr="00F32AEA" w:rsidP="00F32AEA">
      <w:pPr>
        <w:spacing w:after="0" w:line="240" w:lineRule="auto"/>
      </w:pPr>
    </w:p>
    <w:p w:rsidR="00F32AEA" w:rsidRPr="00212D6E" w:rsidP="00F32AEA">
      <w:pPr>
        <w:spacing w:after="0" w:line="240" w:lineRule="auto"/>
      </w:pPr>
    </w:p>
    <w:p w:rsidR="00A36C16" w:rsidP="00A81FE6">
      <w:pPr>
        <w:keepNext/>
        <w:keepLines/>
        <w:spacing w:after="0" w:line="240" w:lineRule="auto"/>
        <w:sectPr w:rsidSect="00F32AEA">
          <w:footerReference w:type="default" r:id="rId6"/>
          <w:pgSz w:w="12240" w:h="15840"/>
          <w:pgMar w:top="1440" w:right="1800" w:bottom="1440" w:left="1800" w:header="720" w:footer="720" w:gutter="0"/>
          <w:pgNumType w:start="2"/>
          <w:cols w:space="720"/>
          <w:docGrid w:linePitch="360"/>
        </w:sectPr>
      </w:pPr>
    </w:p>
    <w:p w:rsidR="00F32AEA" w:rsidRPr="00A4515D" w:rsidP="00AF6F40">
      <w:pPr>
        <w:rPr>
          <w:rFonts w:eastAsia="Times New Roman"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A4515D">
        <w:rPr>
          <w:rFonts w:eastAsia="Times New Roman" w:cs="Times New Roman"/>
          <w:szCs w:val="24"/>
        </w:rPr>
        <w:t>Respectfully submitted,</w:t>
      </w:r>
    </w:p>
    <w:p w:rsidR="0077744E" w:rsidRPr="0070059A" w:rsidP="0077744E">
      <w:pPr>
        <w:spacing w:after="0" w:line="240" w:lineRule="auto"/>
        <w:ind w:left="3600" w:firstLine="72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77744E" w:rsidRPr="0070059A" w:rsidP="0077744E">
      <w:pPr>
        <w:spacing w:after="0" w:line="240" w:lineRule="auto"/>
        <w:ind w:firstLine="4320"/>
        <w:rPr>
          <w:rFonts w:eastAsiaTheme="minorEastAsia" w:cs="Times New Roman"/>
          <w:szCs w:val="24"/>
        </w:rPr>
      </w:pPr>
      <w:r>
        <w:rPr>
          <w:rFonts w:eastAsiaTheme="minorEastAsia" w:cs="Times New Roman"/>
          <w:szCs w:val="24"/>
        </w:rPr>
        <w:t>Ohio Consumers’ Counsel</w:t>
      </w:r>
    </w:p>
    <w:p w:rsidR="0077744E" w:rsidP="0077744E">
      <w:pPr>
        <w:spacing w:after="0" w:line="240" w:lineRule="auto"/>
        <w:ind w:firstLine="4320"/>
        <w:rPr>
          <w:rFonts w:eastAsiaTheme="minorEastAsia" w:cs="Times New Roman"/>
          <w:szCs w:val="24"/>
        </w:rPr>
      </w:pPr>
    </w:p>
    <w:p w:rsidR="0077744E" w:rsidRPr="0070059A" w:rsidP="0077744E">
      <w:pPr>
        <w:spacing w:after="0" w:line="240" w:lineRule="auto"/>
        <w:ind w:firstLine="4320"/>
        <w:rPr>
          <w:rFonts w:eastAsiaTheme="minorEastAsia" w:cs="Times New Roman"/>
          <w:szCs w:val="24"/>
        </w:rPr>
      </w:pPr>
      <w:r>
        <w:rPr>
          <w:rFonts w:eastAsiaTheme="minorEastAsia" w:cs="Times New Roman"/>
          <w:szCs w:val="24"/>
          <w:u w:val="single"/>
        </w:rPr>
        <w:t xml:space="preserve">/s/ </w:t>
      </w:r>
      <w:r>
        <w:rPr>
          <w:rFonts w:eastAsiaTheme="minorEastAsia" w:cs="Times New Roman"/>
          <w:i/>
          <w:szCs w:val="24"/>
          <w:u w:val="single"/>
        </w:rPr>
        <w:t>Christopher Healey</w:t>
      </w:r>
      <w:r w:rsidR="008E6AFC">
        <w:rPr>
          <w:rFonts w:eastAsiaTheme="minorEastAsia" w:cs="Times New Roman"/>
          <w:szCs w:val="24"/>
          <w:u w:val="single"/>
        </w:rPr>
        <w:tab/>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Assistant Consumers</w:t>
      </w:r>
      <w:r>
        <w:rPr>
          <w:rFonts w:eastAsiaTheme="minorEastAsia" w:cs="Times New Roman"/>
          <w:szCs w:val="24"/>
        </w:rPr>
        <w:t>’</w:t>
      </w:r>
      <w:r w:rsidRPr="0070059A">
        <w:rPr>
          <w:rFonts w:eastAsiaTheme="minorEastAsia" w:cs="Times New Roman"/>
          <w:szCs w:val="24"/>
        </w:rPr>
        <w:t xml:space="preserve"> Counsel</w:t>
      </w:r>
    </w:p>
    <w:p w:rsidR="0077744E" w:rsidRPr="0070059A" w:rsidP="0077744E">
      <w:pPr>
        <w:spacing w:after="0" w:line="240" w:lineRule="auto"/>
        <w:ind w:firstLine="4320"/>
        <w:rPr>
          <w:rFonts w:eastAsiaTheme="minorEastAsia" w:cs="Times New Roman"/>
          <w:szCs w:val="24"/>
        </w:rPr>
      </w:pPr>
    </w:p>
    <w:p w:rsidR="0077744E" w:rsidRPr="0070059A" w:rsidP="0077744E">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Columbus, Ohio 43215</w:t>
      </w:r>
      <w:r w:rsidR="00B748B6">
        <w:rPr>
          <w:rFonts w:eastAsiaTheme="minorEastAsia" w:cs="Times New Roman"/>
          <w:szCs w:val="24"/>
        </w:rPr>
        <w:t>-4213</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77744E" w:rsidRPr="0077744E" w:rsidP="0077744E">
      <w:pPr>
        <w:spacing w:after="0" w:line="240" w:lineRule="auto"/>
        <w:ind w:firstLine="4320"/>
        <w:rPr>
          <w:rFonts w:eastAsiaTheme="minorEastAsia" w:cs="Times New Roman"/>
          <w:szCs w:val="24"/>
        </w:rPr>
      </w:pPr>
      <w:r w:rsidRPr="0070059A">
        <w:rPr>
          <w:rFonts w:eastAsiaTheme="minorEastAsia" w:cs="Times New Roman"/>
          <w:szCs w:val="24"/>
        </w:rPr>
        <w:t>Telephone [Etter]: 614-466</w:t>
      </w:r>
      <w:r w:rsidRPr="0077744E">
        <w:rPr>
          <w:rFonts w:eastAsiaTheme="minorEastAsia" w:cs="Times New Roman"/>
          <w:szCs w:val="24"/>
        </w:rPr>
        <w:t>-7964</w:t>
      </w:r>
    </w:p>
    <w:p w:rsidR="0077744E" w:rsidRPr="00384E27" w:rsidP="0077744E">
      <w:pPr>
        <w:spacing w:after="0" w:line="240" w:lineRule="auto"/>
        <w:ind w:firstLine="4320"/>
        <w:rPr>
          <w:rStyle w:val="Hyperlink"/>
          <w:rFonts w:eastAsiaTheme="minorEastAsia"/>
          <w:color w:val="auto"/>
          <w:u w:val="none"/>
        </w:rPr>
      </w:pPr>
      <w:r w:rsidRPr="00384E27">
        <w:rPr>
          <w:rStyle w:val="DefaultParagraphFont"/>
          <w:rFonts w:eastAsiaTheme="minorEastAsia" w:cs="Times New Roman"/>
          <w:color w:val="auto"/>
          <w:szCs w:val="24"/>
          <w:u w:val="none"/>
        </w:rPr>
        <w:t>christopher.healey@occ.ohio.gov</w:t>
      </w:r>
      <w:r w:rsidRPr="00384E27">
        <w:rPr>
          <w:rFonts w:eastAsiaTheme="minorEastAsia" w:cs="Times New Roman"/>
          <w:szCs w:val="24"/>
        </w:rPr>
        <w:t xml:space="preserve"> </w:t>
      </w:r>
    </w:p>
    <w:p w:rsidR="0077744E" w:rsidRPr="00384E27" w:rsidP="0077744E">
      <w:pPr>
        <w:spacing w:after="0" w:line="240" w:lineRule="auto"/>
        <w:ind w:firstLine="4320"/>
        <w:rPr>
          <w:rStyle w:val="Hyperlink"/>
          <w:rFonts w:eastAsiaTheme="minorEastAsia"/>
          <w:color w:val="auto"/>
          <w:u w:val="none"/>
        </w:rPr>
      </w:pPr>
      <w:r w:rsidRPr="00384E27">
        <w:rPr>
          <w:rStyle w:val="DefaultParagraphFont"/>
          <w:rFonts w:eastAsiaTheme="minorEastAsia" w:cs="Times New Roman"/>
          <w:color w:val="auto"/>
          <w:szCs w:val="24"/>
          <w:u w:val="none"/>
        </w:rPr>
        <w:t>terry.etter@occ.ohio.gov</w:t>
      </w:r>
      <w:r w:rsidRPr="00384E27">
        <w:rPr>
          <w:rFonts w:eastAsiaTheme="minorEastAsia" w:cs="Times New Roman"/>
          <w:szCs w:val="24"/>
        </w:rPr>
        <w:t xml:space="preserve"> </w:t>
      </w:r>
    </w:p>
    <w:p w:rsidR="00F32AEA" w:rsidRPr="0077744E" w:rsidP="0077744E">
      <w:pPr>
        <w:spacing w:after="0" w:line="240" w:lineRule="auto"/>
        <w:ind w:left="4320"/>
        <w:rPr>
          <w:szCs w:val="24"/>
        </w:rPr>
      </w:pPr>
      <w:r w:rsidRPr="0077744E">
        <w:rPr>
          <w:rStyle w:val="Hyperlink"/>
          <w:rFonts w:eastAsiaTheme="minorEastAsia"/>
          <w:color w:val="auto"/>
          <w:u w:val="none"/>
        </w:rPr>
        <w:t>(</w:t>
      </w:r>
      <w:r w:rsidR="00B748B6">
        <w:rPr>
          <w:rStyle w:val="Hyperlink"/>
          <w:rFonts w:eastAsiaTheme="minorEastAsia"/>
          <w:color w:val="auto"/>
          <w:u w:val="none"/>
        </w:rPr>
        <w:t>will accept service via email</w:t>
      </w:r>
      <w:r w:rsidRPr="0077744E">
        <w:rPr>
          <w:rStyle w:val="Hyperlink"/>
          <w:rFonts w:eastAsiaTheme="minorEastAsia"/>
          <w:color w:val="auto"/>
          <w:u w:val="none"/>
        </w:rPr>
        <w:t>)</w:t>
      </w:r>
    </w:p>
    <w:p w:rsidR="00F32AEA" w:rsidRPr="0077744E" w:rsidP="00F32AEA">
      <w:pPr>
        <w:spacing w:after="0" w:line="240" w:lineRule="auto"/>
        <w:ind w:left="4320"/>
        <w:rPr>
          <w:szCs w:val="24"/>
        </w:rPr>
      </w:pPr>
    </w:p>
    <w:p w:rsidR="00A6744D">
      <w:pPr>
        <w:rPr>
          <w:szCs w:val="24"/>
        </w:rPr>
      </w:pPr>
    </w:p>
    <w:p w:rsidR="00F32AEA" w:rsidRPr="00A4515D" w:rsidP="00F32AEA">
      <w:pPr>
        <w:spacing w:after="0" w:line="240" w:lineRule="auto"/>
        <w:ind w:left="4320"/>
        <w:rPr>
          <w:rFonts w:eastAsia="Times New Roman" w:cs="Times New Roman"/>
          <w:szCs w:val="24"/>
        </w:rPr>
      </w:pPr>
    </w:p>
    <w:p w:rsidR="00B748B6" w:rsidP="0077744E">
      <w:pPr>
        <w:spacing w:after="0" w:line="240" w:lineRule="auto"/>
        <w:jc w:val="center"/>
        <w:rPr>
          <w:rFonts w:cs="Times New Roman"/>
          <w:b/>
          <w:szCs w:val="24"/>
        </w:rPr>
        <w:sectPr w:rsidSect="00B748B6">
          <w:headerReference w:type="default" r:id="rId7"/>
          <w:footerReference w:type="default" r:id="rId8"/>
          <w:pgSz w:w="12240" w:h="15840"/>
          <w:pgMar w:top="1440" w:right="1800" w:bottom="1440" w:left="1800" w:header="720" w:footer="720" w:gutter="0"/>
          <w:cols w:space="720"/>
          <w:docGrid w:linePitch="360"/>
        </w:sectPr>
      </w:pPr>
    </w:p>
    <w:p w:rsidR="0077744E" w:rsidRPr="0070059A" w:rsidP="0077744E">
      <w:pPr>
        <w:spacing w:after="0" w:line="240" w:lineRule="auto"/>
        <w:jc w:val="center"/>
        <w:rPr>
          <w:rFonts w:cs="Times New Roman"/>
          <w:b/>
          <w:szCs w:val="24"/>
        </w:rPr>
      </w:pPr>
      <w:r w:rsidRPr="0070059A">
        <w:rPr>
          <w:rFonts w:cs="Times New Roman"/>
          <w:b/>
          <w:szCs w:val="24"/>
        </w:rPr>
        <w:t>BEFORE</w:t>
      </w:r>
    </w:p>
    <w:p w:rsidR="0077744E" w:rsidRPr="0070059A" w:rsidP="0077744E">
      <w:pPr>
        <w:spacing w:after="0" w:line="240" w:lineRule="auto"/>
        <w:jc w:val="center"/>
        <w:rPr>
          <w:rFonts w:cs="Times New Roman"/>
          <w:b/>
          <w:szCs w:val="24"/>
        </w:rPr>
      </w:pPr>
      <w:r w:rsidRPr="0070059A">
        <w:rPr>
          <w:rFonts w:cs="Times New Roman"/>
          <w:b/>
          <w:szCs w:val="24"/>
        </w:rPr>
        <w:t>THE PUBLIC UTILITIES COMMISSION OF OHIO</w:t>
      </w:r>
    </w:p>
    <w:p w:rsidR="0077744E" w:rsidRPr="0070059A" w:rsidP="0077744E">
      <w:pPr>
        <w:spacing w:after="0" w:line="240" w:lineRule="auto"/>
        <w:jc w:val="center"/>
        <w:rPr>
          <w:rFonts w:cs="Times New Roman"/>
          <w:b/>
          <w:szCs w:val="24"/>
        </w:rPr>
      </w:pPr>
    </w:p>
    <w:tbl>
      <w:tblPr>
        <w:tblW w:w="10358" w:type="dxa"/>
        <w:tblLook w:val="01E0"/>
      </w:tblPr>
      <w:tblGrid>
        <w:gridCol w:w="5238"/>
        <w:gridCol w:w="480"/>
        <w:gridCol w:w="4640"/>
      </w:tblGrid>
      <w:tr w:rsidTr="0067284A">
        <w:tblPrEx>
          <w:tblW w:w="10358" w:type="dxa"/>
          <w:tblLook w:val="01E0"/>
        </w:tblPrEx>
        <w:trPr>
          <w:trHeight w:val="807"/>
        </w:trPr>
        <w:tc>
          <w:tcPr>
            <w:tcW w:w="5238" w:type="dxa"/>
            <w:shd w:val="clear" w:color="auto" w:fill="auto"/>
          </w:tcPr>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 xml:space="preserve">In the Matter of the </w:t>
            </w:r>
            <w:r>
              <w:rPr>
                <w:rFonts w:cs="Times New Roman"/>
                <w:szCs w:val="24"/>
              </w:rPr>
              <w:t>A</w:t>
            </w:r>
            <w:r w:rsidRPr="0070059A">
              <w:rPr>
                <w:rFonts w:cs="Times New Roman"/>
                <w:szCs w:val="24"/>
              </w:rPr>
              <w:t>pplication of the Dayton Power and Light Company for an Increase in Electric Distribution Rates.</w:t>
            </w: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7744E" w:rsidRPr="0070059A" w:rsidP="0067284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Case No. 15-1830-EL-AIR</w:t>
            </w: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p>
          <w:p w:rsidR="0077744E" w:rsidRPr="0070059A" w:rsidP="0067284A">
            <w:pPr>
              <w:autoSpaceDE w:val="0"/>
              <w:autoSpaceDN w:val="0"/>
              <w:adjustRightInd w:val="0"/>
              <w:spacing w:after="0" w:line="240" w:lineRule="auto"/>
              <w:rPr>
                <w:rFonts w:cs="Times New Roman"/>
                <w:szCs w:val="24"/>
              </w:rPr>
            </w:pPr>
            <w:r w:rsidRPr="0070059A">
              <w:rPr>
                <w:rFonts w:cs="Times New Roman"/>
                <w:szCs w:val="24"/>
              </w:rPr>
              <w:t>Case No. 15-1831-EL-AAM</w:t>
            </w:r>
          </w:p>
          <w:p w:rsidR="0077744E" w:rsidRPr="0070059A" w:rsidP="0067284A">
            <w:pPr>
              <w:spacing w:after="0" w:line="240" w:lineRule="auto"/>
              <w:rPr>
                <w:rFonts w:cs="Times New Roman"/>
                <w:szCs w:val="24"/>
              </w:rPr>
            </w:pPr>
          </w:p>
          <w:p w:rsidR="0077744E" w:rsidRPr="0070059A" w:rsidP="0067284A">
            <w:pPr>
              <w:spacing w:after="0" w:line="240" w:lineRule="auto"/>
              <w:rPr>
                <w:rFonts w:cs="Times New Roman"/>
                <w:szCs w:val="24"/>
              </w:rPr>
            </w:pPr>
          </w:p>
          <w:p w:rsidR="0077744E" w:rsidRPr="0070059A" w:rsidP="0067284A">
            <w:pPr>
              <w:spacing w:after="0" w:line="240" w:lineRule="auto"/>
              <w:rPr>
                <w:rFonts w:cs="Times New Roman"/>
                <w:szCs w:val="24"/>
              </w:rPr>
            </w:pPr>
            <w:r w:rsidRPr="0070059A">
              <w:rPr>
                <w:rFonts w:cs="Times New Roman"/>
                <w:szCs w:val="24"/>
              </w:rPr>
              <w:t>Case No. 15-1832-EL-ATA</w:t>
            </w:r>
          </w:p>
          <w:p w:rsidR="0077744E" w:rsidRPr="0070059A" w:rsidP="0067284A">
            <w:pPr>
              <w:pStyle w:val="HTMLPreformatted"/>
              <w:rPr>
                <w:rFonts w:ascii="Times New Roman" w:hAnsi="Times New Roman" w:cs="Times New Roman"/>
                <w:sz w:val="24"/>
                <w:szCs w:val="24"/>
              </w:rPr>
            </w:pPr>
          </w:p>
        </w:tc>
      </w:tr>
    </w:tbl>
    <w:p w:rsidR="00F32AEA" w:rsidRPr="00B70844" w:rsidP="00F32AEA">
      <w:pPr>
        <w:pBdr>
          <w:bottom w:val="single" w:sz="12" w:space="1" w:color="auto"/>
        </w:pBdr>
        <w:spacing w:before="4"/>
        <w:rPr>
          <w:sz w:val="18"/>
          <w:szCs w:val="18"/>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MEMORANDUM IN SUPPORT</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9F7C43" w:rsidRPr="00D27BBC" w:rsidP="00D27BBC">
      <w:pPr>
        <w:keepNext/>
        <w:keepLines/>
        <w:spacing w:before="240" w:after="240" w:line="240" w:lineRule="auto"/>
        <w:rPr>
          <w:rFonts w:cs="Times New Roman"/>
          <w:b/>
          <w:szCs w:val="24"/>
        </w:rPr>
      </w:pPr>
      <w:r>
        <w:rPr>
          <w:rFonts w:cs="Times New Roman"/>
          <w:b/>
          <w:szCs w:val="24"/>
        </w:rPr>
        <w:t>I.</w:t>
      </w:r>
      <w:r>
        <w:rPr>
          <w:rFonts w:cs="Times New Roman"/>
          <w:b/>
          <w:szCs w:val="24"/>
        </w:rPr>
        <w:tab/>
        <w:t>INTRODUCTION</w:t>
      </w:r>
    </w:p>
    <w:p w:rsidR="00FF1C3B" w:rsidP="00F32AEA">
      <w:pPr>
        <w:spacing w:after="0" w:line="480" w:lineRule="auto"/>
        <w:ind w:firstLine="720"/>
        <w:rPr>
          <w:rFonts w:eastAsia="Times New Roman" w:cs="Times New Roman"/>
          <w:szCs w:val="24"/>
        </w:rPr>
      </w:pPr>
      <w:r>
        <w:rPr>
          <w:rFonts w:eastAsia="Times New Roman" w:cs="Times New Roman"/>
          <w:szCs w:val="24"/>
        </w:rPr>
        <w:t>T</w:t>
      </w:r>
      <w:r>
        <w:rPr>
          <w:rFonts w:eastAsia="Times New Roman" w:cs="Times New Roman"/>
          <w:szCs w:val="24"/>
        </w:rPr>
        <w:t>he PUCO approved a settlement that provides many benefits to consumers, including the return of federal tax savings to customers resulting from the federal Tax Cuts and Jobs Act of 2017, a reasonable rate of return below the lowest number proposed in the Staff Report, a revenue increase that is less than half of what DP&amp;L proposed, and a fixed monthly charge to residential consumers of $7.00 as compared to the $13.73 charge that DP&amp;L proposed.</w:t>
      </w:r>
      <w:r>
        <w:rPr>
          <w:rStyle w:val="FootnoteReference"/>
          <w:rFonts w:eastAsia="Times New Roman" w:cs="Times New Roman"/>
          <w:szCs w:val="24"/>
        </w:rPr>
        <w:footnoteReference w:id="8"/>
      </w:r>
    </w:p>
    <w:p w:rsidR="00E449A6" w:rsidP="00EE63CD">
      <w:pPr>
        <w:spacing w:after="0" w:line="480" w:lineRule="auto"/>
        <w:ind w:firstLine="720"/>
        <w:rPr>
          <w:rFonts w:eastAsia="Times New Roman" w:cs="Times New Roman"/>
          <w:szCs w:val="24"/>
        </w:rPr>
      </w:pPr>
      <w:r>
        <w:rPr>
          <w:rFonts w:eastAsia="Times New Roman" w:cs="Times New Roman"/>
          <w:szCs w:val="24"/>
        </w:rPr>
        <w:t>But the PUCO’s Order unlawfully and unreasonably instructed</w:t>
      </w:r>
      <w:r>
        <w:rPr>
          <w:rFonts w:eastAsia="Times New Roman" w:cs="Times New Roman"/>
          <w:szCs w:val="24"/>
        </w:rPr>
        <w:t xml:space="preserve"> </w:t>
      </w:r>
      <w:r>
        <w:rPr>
          <w:rFonts w:eastAsia="Times New Roman" w:cs="Times New Roman"/>
          <w:szCs w:val="24"/>
        </w:rPr>
        <w:t>DP&amp;L to charge customers a portion of the PUCO/OCC assessment expense (the “Assessments”) through a bypassable rider instead of through base rates.</w:t>
      </w:r>
      <w:r>
        <w:rPr>
          <w:rStyle w:val="FootnoteReference"/>
          <w:rFonts w:eastAsia="Times New Roman" w:cs="Times New Roman"/>
          <w:szCs w:val="24"/>
        </w:rPr>
        <w:footnoteReference w:id="9"/>
      </w:r>
      <w:r>
        <w:rPr>
          <w:rFonts w:eastAsia="Times New Roman" w:cs="Times New Roman"/>
          <w:szCs w:val="24"/>
        </w:rPr>
        <w:t xml:space="preserve"> The PUCO’s reasoning in this regard focused on single line in the Staff Report but did not take into account contrary evidence, including the PUCO Staff’s own witness admitting that the relevant line from the Staff Report was erroneous.</w:t>
      </w:r>
      <w:r w:rsidR="00EE63CD">
        <w:rPr>
          <w:rFonts w:eastAsia="Times New Roman" w:cs="Times New Roman"/>
          <w:szCs w:val="24"/>
        </w:rPr>
        <w:t xml:space="preserve"> </w:t>
      </w:r>
      <w:r>
        <w:rPr>
          <w:rFonts w:eastAsia="Times New Roman" w:cs="Times New Roman"/>
          <w:szCs w:val="24"/>
        </w:rPr>
        <w:t>The PUCO should modify its Order and rule that the Assessments continue to be charged to consumers through base rates, not through a bypassable rider.</w:t>
      </w:r>
    </w:p>
    <w:p w:rsidR="00384E27" w:rsidP="00384E27">
      <w:pPr>
        <w:spacing w:after="0" w:line="240" w:lineRule="auto"/>
        <w:ind w:firstLine="720"/>
        <w:rPr>
          <w:rFonts w:eastAsia="Times New Roman" w:cs="Times New Roman"/>
          <w:szCs w:val="24"/>
        </w:rPr>
      </w:pPr>
    </w:p>
    <w:p w:rsidR="000F16BB" w:rsidRPr="000F16BB" w:rsidP="000F16BB">
      <w:pPr>
        <w:keepNext/>
        <w:keepLines/>
        <w:spacing w:after="240" w:line="240" w:lineRule="auto"/>
        <w:rPr>
          <w:rFonts w:eastAsia="Times New Roman" w:cs="Times New Roman"/>
          <w:b/>
          <w:szCs w:val="24"/>
        </w:rPr>
      </w:pPr>
      <w:r>
        <w:rPr>
          <w:rFonts w:eastAsia="Times New Roman" w:cs="Times New Roman"/>
          <w:b/>
          <w:szCs w:val="24"/>
        </w:rPr>
        <w:t>II.</w:t>
      </w:r>
      <w:r>
        <w:rPr>
          <w:rFonts w:eastAsia="Times New Roman" w:cs="Times New Roman"/>
          <w:b/>
          <w:szCs w:val="24"/>
        </w:rPr>
        <w:tab/>
        <w:t>STANDARD OF REVIEW</w:t>
      </w:r>
    </w:p>
    <w:p w:rsidR="00533F47" w:rsidP="00533F47">
      <w:pPr>
        <w:spacing w:after="0"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10"/>
      </w:r>
      <w:r>
        <w:t xml:space="preserve"> An application for rehearing must “set forth specifically the ground or grounds on which the applicant considers the order to be unreasonable or unlawful.”</w:t>
      </w:r>
      <w:r>
        <w:rPr>
          <w:rStyle w:val="FootnoteReference"/>
        </w:rPr>
        <w:footnoteReference w:id="11"/>
      </w:r>
    </w:p>
    <w:p w:rsidR="00533F47" w:rsidP="00533F47">
      <w:pPr>
        <w:spacing w:after="0"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12"/>
      </w:r>
    </w:p>
    <w:p w:rsidR="000F16BB" w:rsidP="00533F47">
      <w:pPr>
        <w:spacing w:after="0" w:line="480" w:lineRule="auto"/>
        <w:ind w:firstLine="720"/>
        <w:rPr>
          <w:rFonts w:cs="Times New Roman"/>
          <w:szCs w:val="24"/>
        </w:rPr>
      </w:pPr>
      <w:r>
        <w:rPr>
          <w:rFonts w:cs="Times New Roman"/>
          <w:szCs w:val="24"/>
        </w:rPr>
        <w:t>The Order is unlawful, unreasonable, unjust, and unwarranted under R.C. 490</w:t>
      </w:r>
      <w:r w:rsidR="00940E2B">
        <w:rPr>
          <w:rFonts w:cs="Times New Roman"/>
          <w:szCs w:val="24"/>
        </w:rPr>
        <w:t>3.10. The PUCO should grant OCC’</w:t>
      </w:r>
      <w:r>
        <w:rPr>
          <w:rFonts w:cs="Times New Roman"/>
          <w:szCs w:val="24"/>
        </w:rPr>
        <w:t>s application for rehearing. It should abrogate or modify the Order as OCC recommends in this application for rehearing.</w:t>
      </w:r>
    </w:p>
    <w:p w:rsidR="00EE63CD" w:rsidP="00533F47">
      <w:pPr>
        <w:spacing w:after="0" w:line="480" w:lineRule="auto"/>
        <w:ind w:firstLine="720"/>
        <w:rPr>
          <w:rFonts w:cs="Times New Roman"/>
          <w:szCs w:val="24"/>
        </w:rPr>
      </w:pPr>
    </w:p>
    <w:p w:rsidR="00533F47" w:rsidRPr="00533F47" w:rsidP="00533F47">
      <w:pPr>
        <w:keepNext/>
        <w:keepLines/>
        <w:spacing w:after="240" w:line="240" w:lineRule="auto"/>
        <w:rPr>
          <w:rFonts w:eastAsia="Times New Roman" w:cs="Times New Roman"/>
          <w:b/>
          <w:szCs w:val="24"/>
        </w:rPr>
      </w:pPr>
      <w:r>
        <w:rPr>
          <w:rFonts w:eastAsia="Times New Roman" w:cs="Times New Roman"/>
          <w:b/>
          <w:szCs w:val="24"/>
        </w:rPr>
        <w:t>III.</w:t>
      </w:r>
      <w:r>
        <w:rPr>
          <w:rFonts w:eastAsia="Times New Roman" w:cs="Times New Roman"/>
          <w:b/>
          <w:szCs w:val="24"/>
        </w:rPr>
        <w:tab/>
        <w:t>ASSIGNMENTS OF ERROR</w:t>
      </w:r>
    </w:p>
    <w:p w:rsidR="000F16BB" w:rsidRPr="00533F47" w:rsidP="00866CA0">
      <w:pPr>
        <w:keepNext/>
        <w:keepLines/>
        <w:spacing w:after="240" w:line="240" w:lineRule="auto"/>
        <w:ind w:left="720"/>
        <w:rPr>
          <w:rFonts w:eastAsia="Times New Roman" w:cs="Times New Roman"/>
          <w:b/>
          <w:szCs w:val="24"/>
        </w:rPr>
      </w:pPr>
      <w:r>
        <w:rPr>
          <w:rFonts w:eastAsia="Times New Roman" w:cs="Times New Roman"/>
          <w:b/>
          <w:szCs w:val="24"/>
          <w:u w:val="single"/>
        </w:rPr>
        <w:t>Assignment of Error 1.</w:t>
      </w:r>
      <w:r>
        <w:rPr>
          <w:rFonts w:eastAsia="Times New Roman" w:cs="Times New Roman"/>
          <w:b/>
          <w:szCs w:val="24"/>
        </w:rPr>
        <w:t xml:space="preserve"> </w:t>
      </w:r>
      <w:r w:rsidRPr="00533F47">
        <w:rPr>
          <w:b/>
        </w:rPr>
        <w:t xml:space="preserve">The Order is </w:t>
      </w:r>
      <w:r w:rsidR="009448B0">
        <w:rPr>
          <w:b/>
        </w:rPr>
        <w:t xml:space="preserve">unlawful and </w:t>
      </w:r>
      <w:r w:rsidRPr="00533F47">
        <w:rPr>
          <w:b/>
        </w:rPr>
        <w:t xml:space="preserve">unreasonable </w:t>
      </w:r>
      <w:r w:rsidR="009448B0">
        <w:rPr>
          <w:b/>
        </w:rPr>
        <w:t xml:space="preserve">under R.C. 4903.09 and R.C. 4905.22 </w:t>
      </w:r>
      <w:r w:rsidRPr="00533F47">
        <w:rPr>
          <w:b/>
        </w:rPr>
        <w:t xml:space="preserve">because it misinterprets the Staff Report and the Settlement with respect to the </w:t>
      </w:r>
      <w:r w:rsidR="007B40A6">
        <w:rPr>
          <w:b/>
        </w:rPr>
        <w:t xml:space="preserve">collection </w:t>
      </w:r>
      <w:r w:rsidRPr="00533F47">
        <w:rPr>
          <w:b/>
        </w:rPr>
        <w:t xml:space="preserve">of PUCO and OCC assessment expenses </w:t>
      </w:r>
      <w:r w:rsidR="007B40A6">
        <w:rPr>
          <w:b/>
        </w:rPr>
        <w:t xml:space="preserve">from customers </w:t>
      </w:r>
      <w:r w:rsidRPr="00533F47">
        <w:rPr>
          <w:b/>
        </w:rPr>
        <w:t>through a bypassable rider</w:t>
      </w:r>
      <w:r w:rsidRPr="007B40A6" w:rsidR="007B40A6">
        <w:rPr>
          <w:b/>
        </w:rPr>
        <w:t>, and as a result</w:t>
      </w:r>
      <w:r w:rsidR="009448B0">
        <w:rPr>
          <w:b/>
        </w:rPr>
        <w:t>,</w:t>
      </w:r>
      <w:r w:rsidRPr="007B40A6" w:rsidR="007B40A6">
        <w:rPr>
          <w:b/>
        </w:rPr>
        <w:t xml:space="preserve"> SSO customers would pay </w:t>
      </w:r>
      <w:r w:rsidR="009448B0">
        <w:rPr>
          <w:b/>
        </w:rPr>
        <w:t>unjust and unreasonable rates</w:t>
      </w:r>
      <w:r w:rsidR="00CF37D7">
        <w:rPr>
          <w:b/>
        </w:rPr>
        <w:t xml:space="preserve"> </w:t>
      </w:r>
      <w:r w:rsidRPr="007B40A6" w:rsidR="007B40A6">
        <w:rPr>
          <w:b/>
        </w:rPr>
        <w:t xml:space="preserve">under the </w:t>
      </w:r>
      <w:r w:rsidR="00E41ACB">
        <w:rPr>
          <w:b/>
        </w:rPr>
        <w:t>Order</w:t>
      </w:r>
      <w:r w:rsidRPr="00533F47">
        <w:rPr>
          <w:b/>
        </w:rPr>
        <w:t>.</w:t>
      </w:r>
    </w:p>
    <w:p w:rsidR="000F16BB" w:rsidP="00F32AEA">
      <w:pPr>
        <w:spacing w:after="0" w:line="480" w:lineRule="auto"/>
        <w:ind w:firstLine="720"/>
        <w:rPr>
          <w:rFonts w:eastAsia="Times New Roman" w:cs="Times New Roman"/>
          <w:szCs w:val="24"/>
        </w:rPr>
      </w:pPr>
      <w:r>
        <w:rPr>
          <w:rFonts w:eastAsia="Times New Roman" w:cs="Times New Roman"/>
          <w:szCs w:val="24"/>
        </w:rPr>
        <w:t>In the Order, the PUCO rule</w:t>
      </w:r>
      <w:r w:rsidR="00A70C65">
        <w:rPr>
          <w:rFonts w:eastAsia="Times New Roman" w:cs="Times New Roman"/>
          <w:szCs w:val="24"/>
        </w:rPr>
        <w:t>d</w:t>
      </w:r>
      <w:r>
        <w:rPr>
          <w:rFonts w:eastAsia="Times New Roman" w:cs="Times New Roman"/>
          <w:szCs w:val="24"/>
        </w:rPr>
        <w:t xml:space="preserve"> </w:t>
      </w:r>
      <w:r w:rsidR="00A70C65">
        <w:rPr>
          <w:rFonts w:eastAsia="Times New Roman" w:cs="Times New Roman"/>
          <w:szCs w:val="24"/>
        </w:rPr>
        <w:t>that DP&amp;L must recover the “SSO generation revenue percentage of the PUCO/OCC assessment expense” through a bypassable rider.</w:t>
      </w:r>
      <w:r>
        <w:rPr>
          <w:rStyle w:val="FootnoteReference"/>
          <w:rFonts w:eastAsia="Times New Roman" w:cs="Times New Roman"/>
          <w:szCs w:val="24"/>
        </w:rPr>
        <w:footnoteReference w:id="13"/>
      </w:r>
      <w:r w:rsidR="00A70C65">
        <w:rPr>
          <w:rFonts w:eastAsia="Times New Roman" w:cs="Times New Roman"/>
          <w:szCs w:val="24"/>
        </w:rPr>
        <w:t xml:space="preserve"> The PUCO found that (i) the Staff Report recommended this result, (ii) no signatory party objected to this recommendation, and (iii) the Settlement did not address this issue.</w:t>
      </w:r>
      <w:r>
        <w:rPr>
          <w:rStyle w:val="FootnoteReference"/>
          <w:rFonts w:eastAsia="Times New Roman" w:cs="Times New Roman"/>
          <w:szCs w:val="24"/>
        </w:rPr>
        <w:footnoteReference w:id="14"/>
      </w:r>
      <w:r w:rsidR="00A70C65">
        <w:rPr>
          <w:rFonts w:eastAsia="Times New Roman" w:cs="Times New Roman"/>
          <w:szCs w:val="24"/>
        </w:rPr>
        <w:t xml:space="preserve"> Thus, the PUCO reasoned, it must adopt the recommendation.</w:t>
      </w:r>
      <w:r>
        <w:rPr>
          <w:rStyle w:val="FootnoteReference"/>
          <w:rFonts w:eastAsia="Times New Roman" w:cs="Times New Roman"/>
          <w:szCs w:val="24"/>
        </w:rPr>
        <w:footnoteReference w:id="15"/>
      </w:r>
      <w:r w:rsidR="00A70C65">
        <w:rPr>
          <w:rFonts w:eastAsia="Times New Roman" w:cs="Times New Roman"/>
          <w:szCs w:val="24"/>
        </w:rPr>
        <w:t xml:space="preserve"> The PUCO should amend the Order to remove this ruling because it misinterpret</w:t>
      </w:r>
      <w:r w:rsidR="00D27BBC">
        <w:rPr>
          <w:rFonts w:eastAsia="Times New Roman" w:cs="Times New Roman"/>
          <w:szCs w:val="24"/>
        </w:rPr>
        <w:t>s</w:t>
      </w:r>
      <w:r w:rsidR="00A70C65">
        <w:rPr>
          <w:rFonts w:eastAsia="Times New Roman" w:cs="Times New Roman"/>
          <w:szCs w:val="24"/>
        </w:rPr>
        <w:t xml:space="preserve"> the Staff Report and Settlement</w:t>
      </w:r>
      <w:r w:rsidR="009448B0">
        <w:rPr>
          <w:rFonts w:eastAsia="Times New Roman" w:cs="Times New Roman"/>
          <w:szCs w:val="24"/>
        </w:rPr>
        <w:t xml:space="preserve"> and would result in unjust and unreasonable rates.</w:t>
      </w:r>
    </w:p>
    <w:p w:rsidR="00A70C65" w:rsidRPr="00A70C65" w:rsidP="00B748B6">
      <w:pPr>
        <w:keepNext/>
        <w:keepLines/>
        <w:spacing w:after="240" w:line="240" w:lineRule="auto"/>
        <w:ind w:left="1440" w:right="720" w:hanging="720"/>
        <w:rPr>
          <w:rFonts w:eastAsia="Times New Roman" w:cs="Times New Roman"/>
          <w:b/>
          <w:szCs w:val="24"/>
        </w:rPr>
      </w:pPr>
      <w:r>
        <w:rPr>
          <w:rFonts w:eastAsia="Times New Roman" w:cs="Times New Roman"/>
          <w:b/>
          <w:szCs w:val="24"/>
        </w:rPr>
        <w:t>A</w:t>
      </w:r>
      <w:r>
        <w:rPr>
          <w:rFonts w:eastAsia="Times New Roman" w:cs="Times New Roman"/>
          <w:b/>
          <w:szCs w:val="24"/>
        </w:rPr>
        <w:t>.</w:t>
      </w:r>
      <w:r>
        <w:rPr>
          <w:rFonts w:eastAsia="Times New Roman" w:cs="Times New Roman"/>
          <w:b/>
          <w:szCs w:val="24"/>
        </w:rPr>
        <w:tab/>
        <w:t>The Staff Report</w:t>
      </w:r>
      <w:r w:rsidR="00FF1C3B">
        <w:rPr>
          <w:rFonts w:eastAsia="Times New Roman" w:cs="Times New Roman"/>
          <w:b/>
          <w:szCs w:val="24"/>
        </w:rPr>
        <w:t>’s recommendation regarding unbundling of the Assessments</w:t>
      </w:r>
      <w:r>
        <w:rPr>
          <w:rFonts w:eastAsia="Times New Roman" w:cs="Times New Roman"/>
          <w:b/>
          <w:szCs w:val="24"/>
        </w:rPr>
        <w:t xml:space="preserve"> is ambiguous at best</w:t>
      </w:r>
      <w:r w:rsidR="00D27BBC">
        <w:rPr>
          <w:rFonts w:eastAsia="Times New Roman" w:cs="Times New Roman"/>
          <w:b/>
          <w:szCs w:val="24"/>
        </w:rPr>
        <w:t>,</w:t>
      </w:r>
      <w:r>
        <w:rPr>
          <w:rFonts w:eastAsia="Times New Roman" w:cs="Times New Roman"/>
          <w:b/>
          <w:szCs w:val="24"/>
        </w:rPr>
        <w:t xml:space="preserve"> and thus, it was reasonable for parties to resolve the ambiguity at hearing.</w:t>
      </w:r>
    </w:p>
    <w:p w:rsidR="008C75F8" w:rsidP="008C75F8">
      <w:pPr>
        <w:spacing w:after="0" w:line="480" w:lineRule="auto"/>
        <w:ind w:firstLine="720"/>
        <w:rPr>
          <w:rFonts w:eastAsia="Times New Roman" w:cs="Times New Roman"/>
          <w:szCs w:val="24"/>
        </w:rPr>
      </w:pPr>
      <w:r>
        <w:rPr>
          <w:rFonts w:eastAsia="Times New Roman" w:cs="Times New Roman"/>
          <w:szCs w:val="24"/>
        </w:rPr>
        <w:t>It is true that the Staff Report states: “Staff recommends that the SSO generation revenue percentage of the PUCO/OCC assessment expense be recovered through an appropriate bypassable rider.”</w:t>
      </w:r>
      <w:r>
        <w:rPr>
          <w:rStyle w:val="FootnoteReference"/>
          <w:rFonts w:eastAsia="Times New Roman" w:cs="Times New Roman"/>
          <w:szCs w:val="24"/>
        </w:rPr>
        <w:footnoteReference w:id="16"/>
      </w:r>
      <w:r>
        <w:rPr>
          <w:rFonts w:eastAsia="Times New Roman" w:cs="Times New Roman"/>
          <w:szCs w:val="24"/>
        </w:rPr>
        <w:t xml:space="preserve"> It appears that the PUCO relied on this sentence as the sole basis for its conclusion that these expenses be charged to customers through a bypassable rider as opposed to through base rates.</w:t>
      </w:r>
      <w:r>
        <w:rPr>
          <w:rStyle w:val="FootnoteReference"/>
          <w:rFonts w:eastAsia="Times New Roman" w:cs="Times New Roman"/>
          <w:szCs w:val="24"/>
        </w:rPr>
        <w:footnoteReference w:id="17"/>
      </w:r>
      <w:r>
        <w:rPr>
          <w:rFonts w:eastAsia="Times New Roman" w:cs="Times New Roman"/>
          <w:szCs w:val="24"/>
        </w:rPr>
        <w:t xml:space="preserve"> </w:t>
      </w:r>
      <w:r>
        <w:rPr>
          <w:rFonts w:eastAsia="Times New Roman" w:cs="Times New Roman"/>
          <w:szCs w:val="24"/>
        </w:rPr>
        <w:t>But this sentence cannot be read in isolation. The PUCO should consider the context in which this statement was made and the other evidence regarding how it should be interpreted. Once the other evidence is considered, the PUCO should conclude that the parties to the Settlement did not intend that this recommendation be adopted.</w:t>
      </w:r>
    </w:p>
    <w:p w:rsidR="00245952" w:rsidP="00F32AEA">
      <w:pPr>
        <w:spacing w:after="0" w:line="480" w:lineRule="auto"/>
        <w:ind w:firstLine="720"/>
        <w:rPr>
          <w:rFonts w:eastAsia="Times New Roman" w:cs="Times New Roman"/>
          <w:szCs w:val="24"/>
        </w:rPr>
      </w:pPr>
      <w:r>
        <w:rPr>
          <w:rFonts w:eastAsia="Times New Roman" w:cs="Times New Roman"/>
          <w:szCs w:val="24"/>
        </w:rPr>
        <w:t xml:space="preserve">First, </w:t>
      </w:r>
      <w:r>
        <w:rPr>
          <w:rFonts w:eastAsia="Times New Roman" w:cs="Times New Roman"/>
          <w:szCs w:val="24"/>
        </w:rPr>
        <w:t xml:space="preserve">if the PUCO Staff intended to recommend that the </w:t>
      </w:r>
      <w:r w:rsidR="00D27BBC">
        <w:rPr>
          <w:rFonts w:eastAsia="Times New Roman" w:cs="Times New Roman"/>
          <w:szCs w:val="24"/>
        </w:rPr>
        <w:t>A</w:t>
      </w:r>
      <w:r>
        <w:rPr>
          <w:rFonts w:eastAsia="Times New Roman" w:cs="Times New Roman"/>
          <w:szCs w:val="24"/>
        </w:rPr>
        <w:t>ssessment</w:t>
      </w:r>
      <w:r w:rsidR="00D27BBC">
        <w:rPr>
          <w:rFonts w:eastAsia="Times New Roman" w:cs="Times New Roman"/>
          <w:szCs w:val="24"/>
        </w:rPr>
        <w:t>s</w:t>
      </w:r>
      <w:r>
        <w:rPr>
          <w:rFonts w:eastAsia="Times New Roman" w:cs="Times New Roman"/>
          <w:szCs w:val="24"/>
        </w:rPr>
        <w:t xml:space="preserve"> be included in a bypassable rider, then the schedules attached to the Staff Report should reflect a reduction to the base rate revenue requirement in the amount that the PUCO Staff intended to shift to a bypassable rider. But the schedules to the Staff Report do not make any such adjustment.</w:t>
      </w:r>
      <w:r>
        <w:rPr>
          <w:rStyle w:val="FootnoteReference"/>
          <w:rFonts w:eastAsia="Times New Roman" w:cs="Times New Roman"/>
          <w:szCs w:val="24"/>
        </w:rPr>
        <w:footnoteReference w:id="18"/>
      </w:r>
      <w:r>
        <w:rPr>
          <w:rFonts w:eastAsia="Times New Roman" w:cs="Times New Roman"/>
          <w:szCs w:val="24"/>
        </w:rPr>
        <w:t xml:space="preserve"> This supports the conclusion that the PUCO Staff </w:t>
      </w:r>
      <w:r w:rsidR="00B33853">
        <w:rPr>
          <w:rFonts w:eastAsia="Times New Roman" w:cs="Times New Roman"/>
          <w:szCs w:val="24"/>
        </w:rPr>
        <w:t xml:space="preserve">did </w:t>
      </w:r>
      <w:r>
        <w:rPr>
          <w:rFonts w:eastAsia="Times New Roman" w:cs="Times New Roman"/>
          <w:szCs w:val="24"/>
        </w:rPr>
        <w:t xml:space="preserve">not definitively conclude that </w:t>
      </w:r>
      <w:r w:rsidR="00D27BBC">
        <w:rPr>
          <w:rFonts w:eastAsia="Times New Roman" w:cs="Times New Roman"/>
          <w:szCs w:val="24"/>
        </w:rPr>
        <w:t>the A</w:t>
      </w:r>
      <w:r>
        <w:rPr>
          <w:rFonts w:eastAsia="Times New Roman" w:cs="Times New Roman"/>
          <w:szCs w:val="24"/>
        </w:rPr>
        <w:t>ssessment expense should be recovered through a rider as opposed to base rates.</w:t>
      </w:r>
    </w:p>
    <w:p w:rsidR="00A70C65" w:rsidRPr="00AD2DD2" w:rsidP="00F32AEA">
      <w:pPr>
        <w:spacing w:after="0" w:line="480" w:lineRule="auto"/>
        <w:ind w:firstLine="720"/>
        <w:rPr>
          <w:rFonts w:eastAsia="Times New Roman" w:cs="Times New Roman"/>
          <w:szCs w:val="24"/>
        </w:rPr>
      </w:pPr>
      <w:r>
        <w:rPr>
          <w:rFonts w:eastAsia="Times New Roman" w:cs="Times New Roman"/>
          <w:szCs w:val="24"/>
        </w:rPr>
        <w:t xml:space="preserve">Second, </w:t>
      </w:r>
      <w:r w:rsidR="008C75F8">
        <w:rPr>
          <w:rFonts w:eastAsia="Times New Roman" w:cs="Times New Roman"/>
          <w:szCs w:val="24"/>
        </w:rPr>
        <w:t xml:space="preserve">the PUCO should note that immediately preceding this sentence in the Staff Report, the report notes that Staff identified </w:t>
      </w:r>
      <w:r w:rsidR="00D27BBC">
        <w:rPr>
          <w:rFonts w:eastAsia="Times New Roman" w:cs="Times New Roman"/>
          <w:szCs w:val="24"/>
        </w:rPr>
        <w:t>the Assessments</w:t>
      </w:r>
      <w:r w:rsidR="008C75F8">
        <w:rPr>
          <w:rFonts w:eastAsia="Times New Roman" w:cs="Times New Roman"/>
          <w:szCs w:val="24"/>
        </w:rPr>
        <w:t xml:space="preserve"> as only a “</w:t>
      </w:r>
      <w:r w:rsidR="008C75F8">
        <w:rPr>
          <w:rFonts w:eastAsia="Times New Roman" w:cs="Times New Roman"/>
          <w:i/>
          <w:szCs w:val="24"/>
        </w:rPr>
        <w:t>potential</w:t>
      </w:r>
      <w:r w:rsidR="008C75F8">
        <w:rPr>
          <w:rFonts w:eastAsia="Times New Roman" w:cs="Times New Roman"/>
          <w:szCs w:val="24"/>
        </w:rPr>
        <w:t>” expense to be included in a bypassable rider.</w:t>
      </w:r>
      <w:r>
        <w:rPr>
          <w:rStyle w:val="FootnoteReference"/>
          <w:rFonts w:eastAsia="Times New Roman" w:cs="Times New Roman"/>
          <w:szCs w:val="24"/>
        </w:rPr>
        <w:footnoteReference w:id="19"/>
      </w:r>
      <w:r w:rsidR="008C75F8">
        <w:rPr>
          <w:rFonts w:eastAsia="Times New Roman" w:cs="Times New Roman"/>
          <w:szCs w:val="24"/>
        </w:rPr>
        <w:t xml:space="preserve"> The use of the word “potential” </w:t>
      </w:r>
      <w:r w:rsidR="002F4DA5">
        <w:rPr>
          <w:rFonts w:eastAsia="Times New Roman" w:cs="Times New Roman"/>
          <w:szCs w:val="24"/>
        </w:rPr>
        <w:t xml:space="preserve">implies </w:t>
      </w:r>
      <w:r w:rsidR="008C75F8">
        <w:rPr>
          <w:rFonts w:eastAsia="Times New Roman" w:cs="Times New Roman"/>
          <w:szCs w:val="24"/>
        </w:rPr>
        <w:t xml:space="preserve">that the PUCO Staff had not concluded that </w:t>
      </w:r>
      <w:r w:rsidR="00D27BBC">
        <w:rPr>
          <w:rFonts w:eastAsia="Times New Roman" w:cs="Times New Roman"/>
          <w:szCs w:val="24"/>
        </w:rPr>
        <w:t>the A</w:t>
      </w:r>
      <w:r w:rsidR="008C75F8">
        <w:rPr>
          <w:rFonts w:eastAsia="Times New Roman" w:cs="Times New Roman"/>
          <w:szCs w:val="24"/>
        </w:rPr>
        <w:t>ssessment</w:t>
      </w:r>
      <w:r w:rsidR="00D27BBC">
        <w:rPr>
          <w:rFonts w:eastAsia="Times New Roman" w:cs="Times New Roman"/>
          <w:szCs w:val="24"/>
        </w:rPr>
        <w:t>s</w:t>
      </w:r>
      <w:r w:rsidR="008C75F8">
        <w:rPr>
          <w:rFonts w:eastAsia="Times New Roman" w:cs="Times New Roman"/>
          <w:szCs w:val="24"/>
        </w:rPr>
        <w:t xml:space="preserve"> should be included in a bypassable rider but instead should be subjected to further review.</w:t>
      </w:r>
      <w:r w:rsidR="00F4706D">
        <w:rPr>
          <w:rFonts w:eastAsia="Times New Roman" w:cs="Times New Roman"/>
          <w:szCs w:val="24"/>
        </w:rPr>
        <w:t xml:space="preserve"> And PUCO Staff witness Smith confirmed this interpretation of the Staff Report on cross examination, stating that at the time of the Staff Report, “Staff’s opinion was one </w:t>
      </w:r>
      <w:r w:rsidR="00F4706D">
        <w:rPr>
          <w:rFonts w:eastAsia="Times New Roman" w:cs="Times New Roman"/>
          <w:i/>
          <w:szCs w:val="24"/>
        </w:rPr>
        <w:t>possible</w:t>
      </w:r>
      <w:r w:rsidR="00F4706D">
        <w:rPr>
          <w:rFonts w:eastAsia="Times New Roman" w:cs="Times New Roman"/>
          <w:szCs w:val="24"/>
        </w:rPr>
        <w:t xml:space="preserve"> avenue of costs that may have a direct relationship and a direct causation to SSO revenue was the PUCO/OCC assessment.”</w:t>
      </w:r>
      <w:r>
        <w:rPr>
          <w:rStyle w:val="FootnoteReference"/>
          <w:rFonts w:eastAsia="Times New Roman" w:cs="Times New Roman"/>
          <w:szCs w:val="24"/>
        </w:rPr>
        <w:footnoteReference w:id="20"/>
      </w:r>
    </w:p>
    <w:p w:rsidR="002F4DA5" w:rsidP="00F32AEA">
      <w:pPr>
        <w:spacing w:after="0" w:line="480" w:lineRule="auto"/>
        <w:ind w:firstLine="720"/>
        <w:rPr>
          <w:rFonts w:eastAsia="Times New Roman" w:cs="Times New Roman"/>
          <w:szCs w:val="24"/>
        </w:rPr>
      </w:pPr>
      <w:r>
        <w:rPr>
          <w:rFonts w:eastAsia="Times New Roman" w:cs="Times New Roman"/>
          <w:szCs w:val="24"/>
        </w:rPr>
        <w:t xml:space="preserve">Third, </w:t>
      </w:r>
      <w:r w:rsidR="00866CA0">
        <w:rPr>
          <w:rFonts w:eastAsia="Times New Roman" w:cs="Times New Roman"/>
          <w:szCs w:val="24"/>
        </w:rPr>
        <w:t>neither the Staff Report nor any other admitted evidence provides the details that would be necessary to implement this recommendation. T</w:t>
      </w:r>
      <w:r>
        <w:rPr>
          <w:rFonts w:eastAsia="Times New Roman" w:cs="Times New Roman"/>
          <w:szCs w:val="24"/>
        </w:rPr>
        <w:t xml:space="preserve">he Staff Report does not identify a particular bypassable rider through which customers </w:t>
      </w:r>
      <w:r w:rsidR="00B33853">
        <w:rPr>
          <w:rFonts w:eastAsia="Times New Roman" w:cs="Times New Roman"/>
          <w:szCs w:val="24"/>
        </w:rPr>
        <w:t>w</w:t>
      </w:r>
      <w:r>
        <w:rPr>
          <w:rFonts w:eastAsia="Times New Roman" w:cs="Times New Roman"/>
          <w:szCs w:val="24"/>
        </w:rPr>
        <w:t xml:space="preserve">ould be charged for the </w:t>
      </w:r>
      <w:r w:rsidR="00D27BBC">
        <w:rPr>
          <w:rFonts w:eastAsia="Times New Roman" w:cs="Times New Roman"/>
          <w:szCs w:val="24"/>
        </w:rPr>
        <w:t>A</w:t>
      </w:r>
      <w:r>
        <w:rPr>
          <w:rFonts w:eastAsia="Times New Roman" w:cs="Times New Roman"/>
          <w:szCs w:val="24"/>
        </w:rPr>
        <w:t>ssessment</w:t>
      </w:r>
      <w:r w:rsidR="00D27BBC">
        <w:rPr>
          <w:rFonts w:eastAsia="Times New Roman" w:cs="Times New Roman"/>
          <w:szCs w:val="24"/>
        </w:rPr>
        <w:t>s</w:t>
      </w:r>
      <w:r>
        <w:rPr>
          <w:rFonts w:eastAsia="Times New Roman" w:cs="Times New Roman"/>
          <w:szCs w:val="24"/>
        </w:rPr>
        <w:t>.</w:t>
      </w:r>
      <w:r>
        <w:rPr>
          <w:rStyle w:val="FootnoteReference"/>
          <w:rFonts w:eastAsia="Times New Roman" w:cs="Times New Roman"/>
          <w:szCs w:val="24"/>
        </w:rPr>
        <w:footnoteReference w:id="21"/>
      </w:r>
      <w:r>
        <w:rPr>
          <w:rFonts w:eastAsia="Times New Roman" w:cs="Times New Roman"/>
          <w:szCs w:val="24"/>
        </w:rPr>
        <w:t xml:space="preserve"> </w:t>
      </w:r>
      <w:r w:rsidR="008A2224">
        <w:rPr>
          <w:rFonts w:eastAsia="Times New Roman" w:cs="Times New Roman"/>
          <w:szCs w:val="24"/>
        </w:rPr>
        <w:t xml:space="preserve">Neither does the Settlement. </w:t>
      </w:r>
      <w:r w:rsidR="00866CA0">
        <w:rPr>
          <w:rFonts w:eastAsia="Times New Roman" w:cs="Times New Roman"/>
          <w:szCs w:val="24"/>
        </w:rPr>
        <w:t xml:space="preserve">Likewise, there is no evidence regarding the amount that would be charged to customers through a bypassable rider. Without these details, it would be impossible for the PUCO to determine that it is just and reasonable to charge SSO customers exclusively for these expenses. </w:t>
      </w:r>
      <w:r>
        <w:rPr>
          <w:rFonts w:eastAsia="Times New Roman" w:cs="Times New Roman"/>
          <w:szCs w:val="24"/>
        </w:rPr>
        <w:t xml:space="preserve">This further corroborates the </w:t>
      </w:r>
      <w:r w:rsidR="00866CA0">
        <w:rPr>
          <w:rFonts w:eastAsia="Times New Roman" w:cs="Times New Roman"/>
          <w:szCs w:val="24"/>
        </w:rPr>
        <w:t>conclusion</w:t>
      </w:r>
      <w:r>
        <w:rPr>
          <w:rFonts w:eastAsia="Times New Roman" w:cs="Times New Roman"/>
          <w:szCs w:val="24"/>
        </w:rPr>
        <w:t xml:space="preserve"> that the Staff Report’s recommendation was subject to additional review and analysis.</w:t>
      </w:r>
    </w:p>
    <w:p w:rsidR="00F4706D" w:rsidRPr="00F4706D" w:rsidP="00F32AEA">
      <w:pPr>
        <w:spacing w:after="0" w:line="480" w:lineRule="auto"/>
        <w:ind w:firstLine="720"/>
        <w:rPr>
          <w:rFonts w:eastAsia="Times New Roman" w:cs="Times New Roman"/>
          <w:szCs w:val="24"/>
        </w:rPr>
      </w:pPr>
      <w:r>
        <w:rPr>
          <w:rFonts w:eastAsia="Times New Roman" w:cs="Times New Roman"/>
          <w:szCs w:val="24"/>
        </w:rPr>
        <w:t>Reco</w:t>
      </w:r>
      <w:r w:rsidR="002F4DA5">
        <w:rPr>
          <w:rFonts w:eastAsia="Times New Roman" w:cs="Times New Roman"/>
          <w:szCs w:val="24"/>
        </w:rPr>
        <w:t>gnizing th</w:t>
      </w:r>
      <w:r w:rsidR="00866CA0">
        <w:rPr>
          <w:rFonts w:eastAsia="Times New Roman" w:cs="Times New Roman"/>
          <w:szCs w:val="24"/>
        </w:rPr>
        <w:t>e</w:t>
      </w:r>
      <w:r w:rsidR="002F4DA5">
        <w:rPr>
          <w:rFonts w:eastAsia="Times New Roman" w:cs="Times New Roman"/>
          <w:szCs w:val="24"/>
        </w:rPr>
        <w:t xml:space="preserve"> ambiguity in the Staff Report, the signatory parties sought to clarify their intent at hearing. OCC witness Willis testified on direct </w:t>
      </w:r>
      <w:r>
        <w:rPr>
          <w:rFonts w:eastAsia="Times New Roman" w:cs="Times New Roman"/>
          <w:szCs w:val="24"/>
        </w:rPr>
        <w:t>examination that one benefit of the Settlement is that “</w:t>
      </w:r>
      <w:r>
        <w:rPr>
          <w:rFonts w:eastAsia="Times New Roman" w:cs="Times New Roman"/>
          <w:i/>
          <w:szCs w:val="24"/>
        </w:rPr>
        <w:t>no</w:t>
      </w:r>
      <w:r>
        <w:rPr>
          <w:rFonts w:eastAsia="Times New Roman" w:cs="Times New Roman"/>
          <w:szCs w:val="24"/>
        </w:rPr>
        <w:t xml:space="preserve"> distribution costs will be reallocated to customers who use DP&amp;L’s standard service offer for electric generation service.”</w:t>
      </w:r>
      <w:r>
        <w:rPr>
          <w:rStyle w:val="FootnoteReference"/>
          <w:rFonts w:eastAsia="Times New Roman" w:cs="Times New Roman"/>
          <w:szCs w:val="24"/>
        </w:rPr>
        <w:footnoteReference w:id="22"/>
      </w:r>
      <w:r>
        <w:rPr>
          <w:rFonts w:eastAsia="Times New Roman" w:cs="Times New Roman"/>
          <w:szCs w:val="24"/>
        </w:rPr>
        <w:t xml:space="preserve"> </w:t>
      </w:r>
      <w:r w:rsidR="00AD2DD2">
        <w:rPr>
          <w:rFonts w:eastAsia="Times New Roman" w:cs="Times New Roman"/>
          <w:szCs w:val="24"/>
        </w:rPr>
        <w:t>On cross examination, Mr. Willis confirmed this interpretation, testifying that the schedules to the Settlement did not make the necessary adjustment to remove these expenses from base rates and put them in a rider.</w:t>
      </w:r>
      <w:r>
        <w:rPr>
          <w:rStyle w:val="FootnoteReference"/>
          <w:rFonts w:eastAsia="Times New Roman" w:cs="Times New Roman"/>
          <w:szCs w:val="24"/>
        </w:rPr>
        <w:footnoteReference w:id="23"/>
      </w:r>
      <w:r w:rsidR="00AD2DD2">
        <w:rPr>
          <w:rFonts w:eastAsia="Times New Roman" w:cs="Times New Roman"/>
          <w:szCs w:val="24"/>
        </w:rPr>
        <w:t xml:space="preserve"> </w:t>
      </w:r>
      <w:r>
        <w:rPr>
          <w:rFonts w:eastAsia="Times New Roman" w:cs="Times New Roman"/>
          <w:szCs w:val="24"/>
        </w:rPr>
        <w:t>PUCO Staff witness Smith testified similarly on cross examination</w:t>
      </w:r>
      <w:r w:rsidR="00AD2DD2">
        <w:rPr>
          <w:rFonts w:eastAsia="Times New Roman" w:cs="Times New Roman"/>
          <w:szCs w:val="24"/>
        </w:rPr>
        <w:t xml:space="preserve"> that this recommendation “was not incorporated into the S</w:t>
      </w:r>
      <w:r w:rsidR="001977D7">
        <w:rPr>
          <w:rFonts w:eastAsia="Times New Roman" w:cs="Times New Roman"/>
          <w:szCs w:val="24"/>
        </w:rPr>
        <w:t>tipulation</w:t>
      </w:r>
      <w:r w:rsidR="00AD2DD2">
        <w:rPr>
          <w:rFonts w:eastAsia="Times New Roman" w:cs="Times New Roman"/>
          <w:szCs w:val="24"/>
        </w:rPr>
        <w:t>.”</w:t>
      </w:r>
      <w:r>
        <w:rPr>
          <w:rStyle w:val="FootnoteReference"/>
          <w:rFonts w:eastAsia="Times New Roman" w:cs="Times New Roman"/>
          <w:szCs w:val="24"/>
        </w:rPr>
        <w:footnoteReference w:id="24"/>
      </w:r>
      <w:r w:rsidR="00AD2DD2">
        <w:rPr>
          <w:rFonts w:eastAsia="Times New Roman" w:cs="Times New Roman"/>
          <w:szCs w:val="24"/>
        </w:rPr>
        <w:t xml:space="preserve"> And similar to the Staff Report, if the Settlement were to have adopted the recommendation that </w:t>
      </w:r>
      <w:r w:rsidR="00D27BBC">
        <w:rPr>
          <w:rFonts w:eastAsia="Times New Roman" w:cs="Times New Roman"/>
          <w:szCs w:val="24"/>
        </w:rPr>
        <w:t>the A</w:t>
      </w:r>
      <w:r w:rsidR="00AD2DD2">
        <w:rPr>
          <w:rFonts w:eastAsia="Times New Roman" w:cs="Times New Roman"/>
          <w:szCs w:val="24"/>
        </w:rPr>
        <w:t>ssessments be charged through a bypassable rider, the Settlement would have (i) identified a bypassable rider for such charges, and (ii) modified the base rate revenue requirement to remove these charges from base rates. The Settlement did neither of these things.</w:t>
      </w:r>
    </w:p>
    <w:p w:rsidR="00F4706D" w:rsidP="00F32AEA">
      <w:pPr>
        <w:spacing w:after="0" w:line="480" w:lineRule="auto"/>
        <w:ind w:firstLine="720"/>
        <w:rPr>
          <w:rFonts w:eastAsia="Times New Roman" w:cs="Times New Roman"/>
          <w:szCs w:val="24"/>
        </w:rPr>
      </w:pPr>
      <w:r>
        <w:rPr>
          <w:rFonts w:eastAsia="Times New Roman" w:cs="Times New Roman"/>
          <w:szCs w:val="24"/>
        </w:rPr>
        <w:t>T</w:t>
      </w:r>
      <w:r w:rsidR="00AD2DD2">
        <w:rPr>
          <w:rFonts w:eastAsia="Times New Roman" w:cs="Times New Roman"/>
          <w:szCs w:val="24"/>
        </w:rPr>
        <w:t xml:space="preserve">he Staff Report </w:t>
      </w:r>
      <w:r>
        <w:rPr>
          <w:rFonts w:eastAsia="Times New Roman" w:cs="Times New Roman"/>
          <w:szCs w:val="24"/>
        </w:rPr>
        <w:t xml:space="preserve">may be </w:t>
      </w:r>
      <w:r w:rsidR="00AD2DD2">
        <w:rPr>
          <w:rFonts w:eastAsia="Times New Roman" w:cs="Times New Roman"/>
          <w:szCs w:val="24"/>
        </w:rPr>
        <w:t xml:space="preserve">ambiguous regarding the recommendation to shift </w:t>
      </w:r>
      <w:r w:rsidR="003945A6">
        <w:rPr>
          <w:rFonts w:eastAsia="Times New Roman" w:cs="Times New Roman"/>
          <w:szCs w:val="24"/>
        </w:rPr>
        <w:t>the A</w:t>
      </w:r>
      <w:r w:rsidR="00AD2DD2">
        <w:rPr>
          <w:rFonts w:eastAsia="Times New Roman" w:cs="Times New Roman"/>
          <w:szCs w:val="24"/>
        </w:rPr>
        <w:t>ssessment</w:t>
      </w:r>
      <w:r w:rsidR="003945A6">
        <w:rPr>
          <w:rFonts w:eastAsia="Times New Roman" w:cs="Times New Roman"/>
          <w:szCs w:val="24"/>
        </w:rPr>
        <w:t xml:space="preserve">s </w:t>
      </w:r>
      <w:r w:rsidR="00AD2DD2">
        <w:rPr>
          <w:rFonts w:eastAsia="Times New Roman" w:cs="Times New Roman"/>
          <w:szCs w:val="24"/>
        </w:rPr>
        <w:t>to a bypassable rider. But the evidentiary record makes clear that (i) two signatory parties (OCC and the PUCO Staff) interpret</w:t>
      </w:r>
      <w:r w:rsidR="00940E2B">
        <w:rPr>
          <w:rFonts w:eastAsia="Times New Roman" w:cs="Times New Roman"/>
          <w:szCs w:val="24"/>
        </w:rPr>
        <w:t>ed</w:t>
      </w:r>
      <w:r w:rsidR="00AD2DD2">
        <w:rPr>
          <w:rFonts w:eastAsia="Times New Roman" w:cs="Times New Roman"/>
          <w:szCs w:val="24"/>
        </w:rPr>
        <w:t xml:space="preserve"> the Settlement as not adopting the recommendation, (ii) </w:t>
      </w:r>
      <w:r w:rsidR="00BE238B">
        <w:rPr>
          <w:rFonts w:eastAsia="Times New Roman" w:cs="Times New Roman"/>
          <w:szCs w:val="24"/>
        </w:rPr>
        <w:t>DP&amp;L’s own analysis did not support shifting any costs from base rates to a bypassable rider</w:t>
      </w:r>
      <w:r w:rsidR="00154266">
        <w:rPr>
          <w:rFonts w:eastAsia="Times New Roman" w:cs="Times New Roman"/>
          <w:szCs w:val="24"/>
        </w:rPr>
        <w:t>,</w:t>
      </w:r>
      <w:r>
        <w:rPr>
          <w:rStyle w:val="FootnoteReference"/>
          <w:rFonts w:eastAsia="Times New Roman" w:cs="Times New Roman"/>
          <w:szCs w:val="24"/>
        </w:rPr>
        <w:footnoteReference w:id="25"/>
      </w:r>
      <w:r w:rsidR="00AD2DD2">
        <w:rPr>
          <w:rFonts w:eastAsia="Times New Roman" w:cs="Times New Roman"/>
          <w:szCs w:val="24"/>
        </w:rPr>
        <w:t xml:space="preserve"> and (iii) the PUCO Staff admitted that the recommendation was erroneous. On balance, therefore, the PUCO should reasonably have concluded that the Settlement did not adopt this recommendation and that </w:t>
      </w:r>
      <w:r w:rsidR="003945A6">
        <w:rPr>
          <w:rFonts w:eastAsia="Times New Roman" w:cs="Times New Roman"/>
          <w:szCs w:val="24"/>
        </w:rPr>
        <w:t>the Assessments</w:t>
      </w:r>
      <w:r w:rsidR="00AD2DD2">
        <w:rPr>
          <w:rFonts w:eastAsia="Times New Roman" w:cs="Times New Roman"/>
          <w:szCs w:val="24"/>
        </w:rPr>
        <w:t xml:space="preserve"> should continue to be charged to customers through base rates, not through a bypassable rider.</w:t>
      </w:r>
    </w:p>
    <w:p w:rsidR="00584F3F" w:rsidRPr="00E449A6" w:rsidP="00B748B6">
      <w:pPr>
        <w:keepNext/>
        <w:keepLines/>
        <w:spacing w:after="240" w:line="240" w:lineRule="auto"/>
        <w:ind w:left="1440" w:right="720" w:hanging="720"/>
        <w:rPr>
          <w:rFonts w:eastAsia="Times New Roman" w:cs="Times New Roman"/>
          <w:b/>
          <w:szCs w:val="24"/>
        </w:rPr>
      </w:pPr>
      <w:r>
        <w:rPr>
          <w:rFonts w:eastAsia="Times New Roman" w:cs="Times New Roman"/>
          <w:b/>
          <w:szCs w:val="24"/>
        </w:rPr>
        <w:t>B.</w:t>
      </w:r>
      <w:r>
        <w:rPr>
          <w:rFonts w:eastAsia="Times New Roman" w:cs="Times New Roman"/>
          <w:b/>
          <w:szCs w:val="24"/>
        </w:rPr>
        <w:tab/>
        <w:t>The standard service offer benefits all customers, so all customers should pay the distribution costs associated with it.</w:t>
      </w:r>
    </w:p>
    <w:p w:rsidR="00584F3F" w:rsidP="00F32AEA">
      <w:pPr>
        <w:spacing w:after="0" w:line="480" w:lineRule="auto"/>
        <w:ind w:firstLine="720"/>
        <w:rPr>
          <w:rFonts w:eastAsia="Times New Roman" w:cs="Times New Roman"/>
          <w:szCs w:val="24"/>
        </w:rPr>
      </w:pPr>
      <w:r>
        <w:rPr>
          <w:rFonts w:eastAsia="Times New Roman" w:cs="Times New Roman"/>
          <w:szCs w:val="24"/>
        </w:rPr>
        <w:t>As OCC explained in its post-hearing briefs, the standard service offer benefits all customers, and thus, all customers should pay the distribution costs associated with it.</w:t>
      </w:r>
      <w:r>
        <w:rPr>
          <w:rStyle w:val="FootnoteReference"/>
          <w:rFonts w:eastAsia="Times New Roman" w:cs="Times New Roman"/>
          <w:szCs w:val="24"/>
        </w:rPr>
        <w:footnoteReference w:id="26"/>
      </w:r>
      <w:r>
        <w:rPr>
          <w:rFonts w:eastAsia="Times New Roman" w:cs="Times New Roman"/>
          <w:szCs w:val="24"/>
        </w:rPr>
        <w:t xml:space="preserve"> The same logic applies to the Assessments. Regardless of whether any portion of the Assessments is related to the SSO, all customers should pay for those expenses. So even if the PUCO believes that the Staff recommended charging SSO customers for the Assessments through a bypassable rider, it should reject that recommendation for the same reasons it rejected the </w:t>
      </w:r>
      <w:r w:rsidR="00940E2B">
        <w:rPr>
          <w:rFonts w:eastAsia="Times New Roman" w:cs="Times New Roman"/>
          <w:szCs w:val="24"/>
        </w:rPr>
        <w:t>M</w:t>
      </w:r>
      <w:r>
        <w:rPr>
          <w:rFonts w:eastAsia="Times New Roman" w:cs="Times New Roman"/>
          <w:szCs w:val="24"/>
        </w:rPr>
        <w:t>arketers’ proposal to charge additional distribution costs to SSO customers through a bypassable rider.</w:t>
      </w:r>
      <w:r>
        <w:rPr>
          <w:rStyle w:val="FootnoteReference"/>
          <w:rFonts w:eastAsia="Times New Roman" w:cs="Times New Roman"/>
          <w:szCs w:val="24"/>
        </w:rPr>
        <w:footnoteReference w:id="27"/>
      </w:r>
    </w:p>
    <w:p w:rsidR="00AD2DD2" w:rsidRPr="00AD2DD2" w:rsidP="00B748B6">
      <w:pPr>
        <w:keepNext/>
        <w:keepLines/>
        <w:spacing w:after="240" w:line="240" w:lineRule="auto"/>
        <w:ind w:left="1440" w:right="720" w:hanging="720"/>
        <w:rPr>
          <w:rFonts w:eastAsia="Times New Roman" w:cs="Times New Roman"/>
          <w:b/>
          <w:szCs w:val="24"/>
        </w:rPr>
      </w:pPr>
      <w:r>
        <w:rPr>
          <w:rFonts w:eastAsia="Times New Roman" w:cs="Times New Roman"/>
          <w:b/>
          <w:szCs w:val="24"/>
        </w:rPr>
        <w:t>C</w:t>
      </w:r>
      <w:r>
        <w:rPr>
          <w:rFonts w:eastAsia="Times New Roman" w:cs="Times New Roman"/>
          <w:b/>
          <w:szCs w:val="24"/>
        </w:rPr>
        <w:t>.</w:t>
      </w:r>
      <w:r>
        <w:rPr>
          <w:rFonts w:eastAsia="Times New Roman" w:cs="Times New Roman"/>
          <w:b/>
          <w:szCs w:val="24"/>
        </w:rPr>
        <w:tab/>
      </w:r>
      <w:r w:rsidR="00D339E8">
        <w:rPr>
          <w:rFonts w:eastAsia="Times New Roman" w:cs="Times New Roman"/>
          <w:b/>
          <w:szCs w:val="24"/>
        </w:rPr>
        <w:t>Even if the PUCO Staff recommended that PUCO/OCC assessment expenses be charged to customers through a rider instead of base rates, the PUCO is not bound by that recommendation</w:t>
      </w:r>
      <w:r>
        <w:rPr>
          <w:rFonts w:eastAsia="Times New Roman" w:cs="Times New Roman"/>
          <w:b/>
          <w:szCs w:val="24"/>
        </w:rPr>
        <w:t xml:space="preserve"> and should not adopt it</w:t>
      </w:r>
      <w:r w:rsidR="00D339E8">
        <w:rPr>
          <w:rFonts w:eastAsia="Times New Roman" w:cs="Times New Roman"/>
          <w:b/>
          <w:szCs w:val="24"/>
        </w:rPr>
        <w:t>.</w:t>
      </w:r>
    </w:p>
    <w:p w:rsidR="00245952" w:rsidP="00F32AEA">
      <w:pPr>
        <w:spacing w:after="0" w:line="480" w:lineRule="auto"/>
        <w:ind w:firstLine="720"/>
        <w:rPr>
          <w:rFonts w:eastAsia="Times New Roman" w:cs="Times New Roman"/>
          <w:szCs w:val="24"/>
        </w:rPr>
      </w:pPr>
      <w:r>
        <w:rPr>
          <w:rFonts w:eastAsia="Times New Roman" w:cs="Times New Roman"/>
          <w:szCs w:val="24"/>
        </w:rPr>
        <w:t>In the Order, the PUCO focuses on whether the PUCO Staff is allowed to “withdraw” the recommendation that a portion of the PUCO/OCC assessments be unbundled and thus charged exclusively to SSO customers.</w:t>
      </w:r>
      <w:r>
        <w:rPr>
          <w:rStyle w:val="FootnoteReference"/>
          <w:rFonts w:eastAsia="Times New Roman" w:cs="Times New Roman"/>
          <w:szCs w:val="24"/>
        </w:rPr>
        <w:footnoteReference w:id="28"/>
      </w:r>
      <w:r>
        <w:rPr>
          <w:rFonts w:eastAsia="Times New Roman" w:cs="Times New Roman"/>
          <w:szCs w:val="24"/>
        </w:rPr>
        <w:t xml:space="preserve"> </w:t>
      </w:r>
      <w:r w:rsidR="009545AF">
        <w:rPr>
          <w:rFonts w:eastAsia="Times New Roman" w:cs="Times New Roman"/>
          <w:szCs w:val="24"/>
        </w:rPr>
        <w:t>T</w:t>
      </w:r>
      <w:r>
        <w:rPr>
          <w:rFonts w:eastAsia="Times New Roman" w:cs="Times New Roman"/>
          <w:szCs w:val="24"/>
        </w:rPr>
        <w:t>he Order states that “this recommendation has not been withdrawn” and that “[a]bsent extraordinary circumstances, it would be unfair and improper to permit Staff to withdraw a recommendation absent a pending objection or a provision in the stipulation directly addressing the recommendation.”</w:t>
      </w:r>
      <w:r>
        <w:rPr>
          <w:rStyle w:val="FootnoteReference"/>
          <w:rFonts w:eastAsia="Times New Roman" w:cs="Times New Roman"/>
          <w:szCs w:val="24"/>
        </w:rPr>
        <w:footnoteReference w:id="29"/>
      </w:r>
      <w:r>
        <w:rPr>
          <w:rFonts w:eastAsia="Times New Roman" w:cs="Times New Roman"/>
          <w:szCs w:val="24"/>
        </w:rPr>
        <w:t xml:space="preserve"> But the question is not whether the PUCO Staff’s recommendation was withdrawn; the question is whether the </w:t>
      </w:r>
      <w:r w:rsidR="00CF6DB8">
        <w:rPr>
          <w:rFonts w:eastAsia="Times New Roman" w:cs="Times New Roman"/>
          <w:szCs w:val="24"/>
        </w:rPr>
        <w:t xml:space="preserve">PUCO should adopt that recommendation based on the </w:t>
      </w:r>
      <w:r>
        <w:rPr>
          <w:rFonts w:eastAsia="Times New Roman" w:cs="Times New Roman"/>
          <w:szCs w:val="24"/>
        </w:rPr>
        <w:t xml:space="preserve">evidentiary record </w:t>
      </w:r>
      <w:r w:rsidR="00CF6DB8">
        <w:rPr>
          <w:rFonts w:eastAsia="Times New Roman" w:cs="Times New Roman"/>
          <w:szCs w:val="24"/>
        </w:rPr>
        <w:t>before it</w:t>
      </w:r>
      <w:r>
        <w:rPr>
          <w:rFonts w:eastAsia="Times New Roman" w:cs="Times New Roman"/>
          <w:szCs w:val="24"/>
        </w:rPr>
        <w:t>.</w:t>
      </w:r>
    </w:p>
    <w:p w:rsidR="00E9300F" w:rsidP="00F32AEA">
      <w:pPr>
        <w:spacing w:after="0" w:line="480" w:lineRule="auto"/>
        <w:ind w:firstLine="720"/>
        <w:rPr>
          <w:rFonts w:eastAsia="Times New Roman" w:cs="Times New Roman"/>
          <w:szCs w:val="24"/>
        </w:rPr>
      </w:pPr>
      <w:r>
        <w:rPr>
          <w:rFonts w:eastAsia="Times New Roman" w:cs="Times New Roman"/>
          <w:szCs w:val="24"/>
        </w:rPr>
        <w:t>Although the PUCO Staff’s recommendations play an important role in cases before the PUCO, the PUCO is not bound by them. As the Staff Report itself concedes: “It does not purport to reflect the views of the Commission nor should any party to the proceeding consider the Commission as bound in any manner by the representations or recommendations.”</w:t>
      </w:r>
      <w:r>
        <w:rPr>
          <w:rStyle w:val="FootnoteReference"/>
          <w:rFonts w:eastAsia="Times New Roman" w:cs="Times New Roman"/>
          <w:szCs w:val="24"/>
        </w:rPr>
        <w:footnoteReference w:id="30"/>
      </w:r>
      <w:r>
        <w:rPr>
          <w:rFonts w:eastAsia="Times New Roman" w:cs="Times New Roman"/>
          <w:szCs w:val="24"/>
        </w:rPr>
        <w:t xml:space="preserve"> Indeed, there are many instances where the PUCO </w:t>
      </w:r>
      <w:r w:rsidR="003043C2">
        <w:rPr>
          <w:rFonts w:eastAsia="Times New Roman" w:cs="Times New Roman"/>
          <w:szCs w:val="24"/>
        </w:rPr>
        <w:t xml:space="preserve">has </w:t>
      </w:r>
      <w:r>
        <w:rPr>
          <w:rFonts w:eastAsia="Times New Roman" w:cs="Times New Roman"/>
          <w:szCs w:val="24"/>
        </w:rPr>
        <w:t>modified or otherwise not adopt</w:t>
      </w:r>
      <w:r w:rsidR="003043C2">
        <w:rPr>
          <w:rFonts w:eastAsia="Times New Roman" w:cs="Times New Roman"/>
          <w:szCs w:val="24"/>
        </w:rPr>
        <w:t>ed</w:t>
      </w:r>
      <w:r>
        <w:rPr>
          <w:rFonts w:eastAsia="Times New Roman" w:cs="Times New Roman"/>
          <w:szCs w:val="24"/>
        </w:rPr>
        <w:t xml:space="preserve"> the recommendations made by its Staff.</w:t>
      </w:r>
    </w:p>
    <w:p w:rsidR="00E9300F" w:rsidP="00F32AEA">
      <w:pPr>
        <w:spacing w:after="0" w:line="480" w:lineRule="auto"/>
        <w:ind w:firstLine="720"/>
        <w:rPr>
          <w:rFonts w:eastAsia="Times New Roman" w:cs="Times New Roman"/>
          <w:szCs w:val="24"/>
        </w:rPr>
      </w:pPr>
      <w:r>
        <w:rPr>
          <w:rFonts w:eastAsia="Times New Roman" w:cs="Times New Roman"/>
          <w:szCs w:val="24"/>
        </w:rPr>
        <w:t>For example, i</w:t>
      </w:r>
      <w:r w:rsidR="00866CA0">
        <w:rPr>
          <w:rFonts w:eastAsia="Times New Roman" w:cs="Times New Roman"/>
          <w:szCs w:val="24"/>
        </w:rPr>
        <w:t xml:space="preserve">n </w:t>
      </w:r>
      <w:r w:rsidR="002C576D">
        <w:rPr>
          <w:rFonts w:eastAsia="Times New Roman" w:cs="Times New Roman"/>
          <w:szCs w:val="24"/>
        </w:rPr>
        <w:t>Duke Energy Ohio’s most recent natural gas distribution rate case, the PUCO Staff recommended charges to consumers for cleanup of manufactured gas plants of no more than about $6.4 million.</w:t>
      </w:r>
      <w:r>
        <w:rPr>
          <w:rStyle w:val="FootnoteReference"/>
          <w:rFonts w:eastAsia="Times New Roman" w:cs="Times New Roman"/>
          <w:szCs w:val="24"/>
        </w:rPr>
        <w:footnoteReference w:id="31"/>
      </w:r>
      <w:r w:rsidR="002C576D">
        <w:rPr>
          <w:rFonts w:eastAsia="Times New Roman" w:cs="Times New Roman"/>
          <w:szCs w:val="24"/>
        </w:rPr>
        <w:t xml:space="preserve"> The PUCO did not adopt this recommendation and instead allowed Duke to charge customers nearly $56 million.</w:t>
      </w:r>
      <w:r>
        <w:rPr>
          <w:rStyle w:val="FootnoteReference"/>
          <w:rFonts w:eastAsia="Times New Roman" w:cs="Times New Roman"/>
          <w:szCs w:val="24"/>
        </w:rPr>
        <w:footnoteReference w:id="32"/>
      </w:r>
    </w:p>
    <w:p w:rsidR="00B228A0" w:rsidP="00F32AEA">
      <w:pPr>
        <w:spacing w:after="0" w:line="480" w:lineRule="auto"/>
        <w:ind w:firstLine="720"/>
        <w:rPr>
          <w:rFonts w:eastAsia="Times New Roman" w:cs="Times New Roman"/>
          <w:szCs w:val="24"/>
        </w:rPr>
      </w:pPr>
      <w:r>
        <w:rPr>
          <w:rFonts w:eastAsia="Times New Roman" w:cs="Times New Roman"/>
          <w:szCs w:val="24"/>
        </w:rPr>
        <w:t>In FirstEnergy’s recent energy efficiency portfolio case, the PUCO Staff recommended a 3.0% cost cap on charges to consumers for utility-run energy efficiency programs.</w:t>
      </w:r>
      <w:r>
        <w:rPr>
          <w:rStyle w:val="FootnoteReference"/>
          <w:rFonts w:eastAsia="Times New Roman" w:cs="Times New Roman"/>
          <w:szCs w:val="24"/>
        </w:rPr>
        <w:footnoteReference w:id="33"/>
      </w:r>
      <w:r>
        <w:rPr>
          <w:rFonts w:eastAsia="Times New Roman" w:cs="Times New Roman"/>
          <w:szCs w:val="24"/>
        </w:rPr>
        <w:t xml:space="preserve"> </w:t>
      </w:r>
      <w:r w:rsidR="003945A6">
        <w:rPr>
          <w:rFonts w:eastAsia="Times New Roman" w:cs="Times New Roman"/>
          <w:szCs w:val="24"/>
        </w:rPr>
        <w:t>And i</w:t>
      </w:r>
      <w:r>
        <w:rPr>
          <w:rFonts w:eastAsia="Times New Roman" w:cs="Times New Roman"/>
          <w:szCs w:val="24"/>
        </w:rPr>
        <w:t>n Duke’s recent energy efficiency portfolio case, the PUCO Staff similarly recommended a 3.5% cost cap.</w:t>
      </w:r>
      <w:r>
        <w:rPr>
          <w:rStyle w:val="FootnoteReference"/>
          <w:rFonts w:eastAsia="Times New Roman" w:cs="Times New Roman"/>
          <w:szCs w:val="24"/>
        </w:rPr>
        <w:footnoteReference w:id="34"/>
      </w:r>
      <w:r>
        <w:rPr>
          <w:rFonts w:eastAsia="Times New Roman" w:cs="Times New Roman"/>
          <w:szCs w:val="24"/>
        </w:rPr>
        <w:t xml:space="preserve"> In each of these cases, the PUCO modified </w:t>
      </w:r>
      <w:r w:rsidR="003945A6">
        <w:rPr>
          <w:rFonts w:eastAsia="Times New Roman" w:cs="Times New Roman"/>
          <w:szCs w:val="24"/>
        </w:rPr>
        <w:t>the</w:t>
      </w:r>
      <w:r>
        <w:rPr>
          <w:rFonts w:eastAsia="Times New Roman" w:cs="Times New Roman"/>
          <w:szCs w:val="24"/>
        </w:rPr>
        <w:t xml:space="preserve"> Staff’s recommendation and instead ordered a 4.0% cost cap.</w:t>
      </w:r>
      <w:r>
        <w:rPr>
          <w:rStyle w:val="FootnoteReference"/>
          <w:rFonts w:eastAsia="Times New Roman" w:cs="Times New Roman"/>
          <w:szCs w:val="24"/>
        </w:rPr>
        <w:footnoteReference w:id="35"/>
      </w:r>
    </w:p>
    <w:p w:rsidR="002C576D" w:rsidP="00F32AEA">
      <w:pPr>
        <w:spacing w:after="0" w:line="480" w:lineRule="auto"/>
        <w:ind w:firstLine="720"/>
        <w:rPr>
          <w:rFonts w:eastAsia="Times New Roman" w:cs="Times New Roman"/>
          <w:szCs w:val="24"/>
        </w:rPr>
      </w:pPr>
      <w:r>
        <w:rPr>
          <w:rFonts w:eastAsia="Times New Roman" w:cs="Times New Roman"/>
          <w:szCs w:val="24"/>
        </w:rPr>
        <w:t xml:space="preserve">In a recent case involving charges to consumers for utility-administered energy efficiency programs, the PUCO Staff recommended </w:t>
      </w:r>
      <w:r w:rsidR="00B228A0">
        <w:rPr>
          <w:rFonts w:eastAsia="Times New Roman" w:cs="Times New Roman"/>
          <w:szCs w:val="24"/>
        </w:rPr>
        <w:t>that the PUCO order the utility to improve its accounting practices to protect consumers from paying unreasonable energy efficiency charges.</w:t>
      </w:r>
      <w:r>
        <w:rPr>
          <w:rStyle w:val="FootnoteReference"/>
          <w:rFonts w:eastAsia="Times New Roman" w:cs="Times New Roman"/>
          <w:szCs w:val="24"/>
        </w:rPr>
        <w:footnoteReference w:id="36"/>
      </w:r>
      <w:r w:rsidR="00B228A0">
        <w:rPr>
          <w:rFonts w:eastAsia="Times New Roman" w:cs="Times New Roman"/>
          <w:szCs w:val="24"/>
        </w:rPr>
        <w:t xml:space="preserve"> The PUCO rejected this recommendation.</w:t>
      </w:r>
      <w:r>
        <w:rPr>
          <w:rStyle w:val="FootnoteReference"/>
          <w:rFonts w:eastAsia="Times New Roman" w:cs="Times New Roman"/>
          <w:szCs w:val="24"/>
        </w:rPr>
        <w:footnoteReference w:id="37"/>
      </w:r>
    </w:p>
    <w:p w:rsidR="00CF6DB8" w:rsidP="00866CA0">
      <w:pPr>
        <w:spacing w:after="0" w:line="480" w:lineRule="auto"/>
        <w:ind w:firstLine="720"/>
        <w:rPr>
          <w:rFonts w:eastAsia="Times New Roman" w:cs="Times New Roman"/>
          <w:szCs w:val="24"/>
        </w:rPr>
      </w:pPr>
      <w:r>
        <w:rPr>
          <w:rFonts w:eastAsia="Times New Roman" w:cs="Times New Roman"/>
          <w:szCs w:val="24"/>
        </w:rPr>
        <w:t xml:space="preserve">It does not really matter whether the PUCO Staff </w:t>
      </w:r>
      <w:r w:rsidR="003945A6">
        <w:rPr>
          <w:rFonts w:eastAsia="Times New Roman" w:cs="Times New Roman"/>
          <w:szCs w:val="24"/>
        </w:rPr>
        <w:t>could</w:t>
      </w:r>
      <w:r w:rsidR="00F975CF">
        <w:rPr>
          <w:rFonts w:eastAsia="Times New Roman" w:cs="Times New Roman"/>
          <w:szCs w:val="24"/>
        </w:rPr>
        <w:t xml:space="preserve"> withdraw</w:t>
      </w:r>
      <w:r>
        <w:rPr>
          <w:rFonts w:eastAsia="Times New Roman" w:cs="Times New Roman"/>
          <w:szCs w:val="24"/>
        </w:rPr>
        <w:t xml:space="preserve"> its recommendation. What matters is that the evidentiary record does not support the recommendation, for the reasons explained above. Thus, the PUCO should not adopt this </w:t>
      </w:r>
      <w:r w:rsidR="00E449A6">
        <w:rPr>
          <w:rFonts w:eastAsia="Times New Roman" w:cs="Times New Roman"/>
          <w:szCs w:val="24"/>
        </w:rPr>
        <w:t xml:space="preserve">recommendation and should </w:t>
      </w:r>
      <w:r w:rsidR="00B33853">
        <w:rPr>
          <w:rFonts w:eastAsia="Times New Roman" w:cs="Times New Roman"/>
          <w:szCs w:val="24"/>
        </w:rPr>
        <w:t>amend its Order accordingly</w:t>
      </w:r>
      <w:r w:rsidR="00154266">
        <w:rPr>
          <w:rFonts w:eastAsia="Times New Roman" w:cs="Times New Roman"/>
          <w:szCs w:val="24"/>
        </w:rPr>
        <w:t>.</w:t>
      </w:r>
    </w:p>
    <w:p w:rsidR="009448B0" w:rsidRPr="00E449A6" w:rsidP="00B748B6">
      <w:pPr>
        <w:keepNext/>
        <w:keepLines/>
        <w:spacing w:after="240" w:line="240" w:lineRule="auto"/>
        <w:ind w:left="1440" w:right="720" w:hanging="720"/>
        <w:rPr>
          <w:rFonts w:eastAsia="Times New Roman" w:cs="Times New Roman"/>
          <w:b/>
          <w:szCs w:val="24"/>
        </w:rPr>
      </w:pPr>
      <w:r>
        <w:rPr>
          <w:rFonts w:eastAsia="Times New Roman" w:cs="Times New Roman"/>
          <w:b/>
          <w:szCs w:val="24"/>
        </w:rPr>
        <w:t>D</w:t>
      </w:r>
      <w:r>
        <w:rPr>
          <w:rFonts w:eastAsia="Times New Roman" w:cs="Times New Roman"/>
          <w:b/>
          <w:szCs w:val="24"/>
        </w:rPr>
        <w:t>.</w:t>
      </w:r>
      <w:r>
        <w:rPr>
          <w:rFonts w:eastAsia="Times New Roman" w:cs="Times New Roman"/>
          <w:b/>
          <w:szCs w:val="24"/>
        </w:rPr>
        <w:tab/>
        <w:t>SSO customers would be double-charged for the Assessments under the Order, which is unjust and unreasonable.</w:t>
      </w:r>
    </w:p>
    <w:p w:rsidR="009448B0" w:rsidP="00866CA0">
      <w:pPr>
        <w:spacing w:after="0" w:line="480" w:lineRule="auto"/>
        <w:ind w:firstLine="720"/>
        <w:rPr>
          <w:rFonts w:eastAsia="Times New Roman" w:cs="Times New Roman"/>
          <w:szCs w:val="24"/>
        </w:rPr>
      </w:pPr>
      <w:r>
        <w:rPr>
          <w:rFonts w:eastAsia="Times New Roman" w:cs="Times New Roman"/>
          <w:szCs w:val="24"/>
        </w:rPr>
        <w:t>T</w:t>
      </w:r>
      <w:r>
        <w:rPr>
          <w:rFonts w:eastAsia="Times New Roman" w:cs="Times New Roman"/>
          <w:szCs w:val="24"/>
        </w:rPr>
        <w:t xml:space="preserve">he PUCO should not </w:t>
      </w:r>
      <w:r>
        <w:rPr>
          <w:rFonts w:eastAsia="Times New Roman" w:cs="Times New Roman"/>
          <w:szCs w:val="24"/>
        </w:rPr>
        <w:t>allow</w:t>
      </w:r>
      <w:r>
        <w:rPr>
          <w:rFonts w:eastAsia="Times New Roman" w:cs="Times New Roman"/>
          <w:szCs w:val="24"/>
        </w:rPr>
        <w:t xml:space="preserve"> DP&amp;L to charge any portion of the Assessments exclusively to SSO customers.</w:t>
      </w:r>
      <w:r>
        <w:rPr>
          <w:rFonts w:eastAsia="Times New Roman" w:cs="Times New Roman"/>
          <w:szCs w:val="24"/>
        </w:rPr>
        <w:t xml:space="preserve"> But under the Order, the situation is even worse than simply shifting some costs from shopping customers to SSO customers. Under the Order, SSO customers could pay the Assessments twice: once in base rates and once through a rider.</w:t>
      </w:r>
    </w:p>
    <w:p w:rsidR="009448B0" w:rsidP="00866CA0">
      <w:pPr>
        <w:spacing w:after="0" w:line="480" w:lineRule="auto"/>
        <w:ind w:firstLine="720"/>
        <w:rPr>
          <w:rFonts w:eastAsia="Times New Roman" w:cs="Times New Roman"/>
          <w:szCs w:val="24"/>
        </w:rPr>
      </w:pPr>
      <w:r>
        <w:rPr>
          <w:rFonts w:eastAsia="Times New Roman" w:cs="Times New Roman"/>
          <w:szCs w:val="24"/>
        </w:rPr>
        <w:t>As explained above, neither the Staff Report nor the Settlement remove</w:t>
      </w:r>
      <w:r w:rsidR="00E449A6">
        <w:rPr>
          <w:rFonts w:eastAsia="Times New Roman" w:cs="Times New Roman"/>
          <w:szCs w:val="24"/>
        </w:rPr>
        <w:t>s</w:t>
      </w:r>
      <w:r>
        <w:rPr>
          <w:rFonts w:eastAsia="Times New Roman" w:cs="Times New Roman"/>
          <w:szCs w:val="24"/>
        </w:rPr>
        <w:t xml:space="preserve"> the Assessments from the base rate revenue requirement. Thus, if no adjustment is made to that revenue requirement, customers will pay for those expenses through base rates. But under the Order, DP&amp;L </w:t>
      </w:r>
      <w:r w:rsidR="00F975CF">
        <w:rPr>
          <w:rFonts w:eastAsia="Times New Roman" w:cs="Times New Roman"/>
          <w:szCs w:val="24"/>
        </w:rPr>
        <w:t>would</w:t>
      </w:r>
      <w:r>
        <w:rPr>
          <w:rFonts w:eastAsia="Times New Roman" w:cs="Times New Roman"/>
          <w:szCs w:val="24"/>
        </w:rPr>
        <w:t xml:space="preserve"> charge customers for the Assessments through a rider. This will result in double-charging SSO customers for these expenses. To avoid this double-charge, the PUCO should amend the Order and rule that DP&amp;L can charge customers only once for the Assessments: through base rates.</w:t>
      </w:r>
    </w:p>
    <w:p w:rsidR="00384E27" w:rsidRPr="00866CA0" w:rsidP="00384E27">
      <w:pPr>
        <w:spacing w:after="0" w:line="240" w:lineRule="auto"/>
        <w:ind w:firstLine="720"/>
        <w:rPr>
          <w:rFonts w:eastAsia="Times New Roman" w:cs="Times New Roman"/>
          <w:szCs w:val="24"/>
        </w:rPr>
      </w:pPr>
    </w:p>
    <w:p w:rsidR="000F16BB" w:rsidRPr="00154266" w:rsidP="00154266">
      <w:pPr>
        <w:keepNext/>
        <w:keepLines/>
        <w:spacing w:after="240" w:line="240" w:lineRule="auto"/>
        <w:ind w:left="720" w:hanging="720"/>
        <w:rPr>
          <w:rFonts w:eastAsia="Times New Roman" w:cs="Times New Roman"/>
          <w:b/>
          <w:szCs w:val="24"/>
        </w:rPr>
      </w:pPr>
      <w:r>
        <w:rPr>
          <w:rFonts w:eastAsia="Times New Roman" w:cs="Times New Roman"/>
          <w:b/>
          <w:szCs w:val="24"/>
        </w:rPr>
        <w:t>IV</w:t>
      </w:r>
      <w:r w:rsidR="00154266">
        <w:rPr>
          <w:rFonts w:eastAsia="Times New Roman" w:cs="Times New Roman"/>
          <w:b/>
          <w:szCs w:val="24"/>
        </w:rPr>
        <w:t>.</w:t>
      </w:r>
      <w:r w:rsidR="00154266">
        <w:rPr>
          <w:rFonts w:eastAsia="Times New Roman" w:cs="Times New Roman"/>
          <w:b/>
          <w:szCs w:val="24"/>
        </w:rPr>
        <w:tab/>
        <w:t>CONCLUSION</w:t>
      </w:r>
    </w:p>
    <w:p w:rsidR="0077744E" w:rsidP="00154266">
      <w:pPr>
        <w:spacing w:after="0" w:line="480" w:lineRule="auto"/>
        <w:ind w:firstLine="720"/>
        <w:rPr>
          <w:rFonts w:eastAsia="Times New Roman" w:cs="Times New Roman"/>
          <w:szCs w:val="24"/>
        </w:rPr>
      </w:pPr>
      <w:r>
        <w:rPr>
          <w:rFonts w:eastAsia="Times New Roman" w:cs="Times New Roman"/>
          <w:szCs w:val="24"/>
        </w:rPr>
        <w:t xml:space="preserve">The Staff Report is ambiguous regarding the recommendation to charge only SSO customers for a portion of the PUCO/OCC assessment expense. And all other record evidence in this case—the PUCO Staff’s testimony, OCC testimony, Staff Report schedules, and Settlement schedules—show that the Settlement is not intended to adopt this recommendation. The PUCO should modify its Order and rule that the </w:t>
      </w:r>
      <w:r w:rsidR="003945A6">
        <w:rPr>
          <w:rFonts w:eastAsia="Times New Roman" w:cs="Times New Roman"/>
          <w:szCs w:val="24"/>
        </w:rPr>
        <w:t>Assessments</w:t>
      </w:r>
      <w:r>
        <w:rPr>
          <w:rFonts w:eastAsia="Times New Roman" w:cs="Times New Roman"/>
          <w:szCs w:val="24"/>
        </w:rPr>
        <w:t xml:space="preserve"> be charged to customers through base rates, not through a bypassable rider.</w:t>
      </w:r>
      <w:r w:rsidR="001877C9">
        <w:rPr>
          <w:rFonts w:eastAsia="Times New Roman" w:cs="Times New Roman"/>
          <w:szCs w:val="24"/>
        </w:rPr>
        <w:t xml:space="preserve"> Otherwise, SSO customers would be charged twice, once in base rates and once through the bypassable rider. This is an unjust and unreasonable result.</w:t>
      </w:r>
    </w:p>
    <w:p w:rsidR="00EE63CD" w:rsidP="00154266">
      <w:pPr>
        <w:spacing w:after="0" w:line="480" w:lineRule="auto"/>
        <w:ind w:firstLine="720"/>
        <w:rPr>
          <w:rFonts w:eastAsia="Times New Roman" w:cs="Times New Roman"/>
          <w:szCs w:val="24"/>
        </w:rPr>
      </w:pPr>
    </w:p>
    <w:p w:rsidR="00EE63CD" w:rsidP="00154266">
      <w:pPr>
        <w:spacing w:after="0" w:line="480" w:lineRule="auto"/>
        <w:ind w:firstLine="720"/>
        <w:rPr>
          <w:rFonts w:eastAsia="Times New Roman" w:cs="Times New Roman"/>
          <w:szCs w:val="24"/>
        </w:rPr>
      </w:pPr>
    </w:p>
    <w:p w:rsidR="0077744E" w:rsidRPr="00A4515D" w:rsidP="0077744E">
      <w:pPr>
        <w:ind w:firstLine="4320"/>
        <w:rPr>
          <w:rFonts w:eastAsia="Times New Roman" w:cs="Times New Roman"/>
          <w:szCs w:val="24"/>
        </w:rPr>
      </w:pPr>
      <w:r w:rsidRPr="00A4515D">
        <w:rPr>
          <w:rFonts w:eastAsia="Times New Roman" w:cs="Times New Roman"/>
          <w:szCs w:val="24"/>
        </w:rPr>
        <w:t>Respectfully submitted,</w:t>
      </w:r>
    </w:p>
    <w:p w:rsidR="0077744E" w:rsidRPr="0070059A" w:rsidP="0077744E">
      <w:pPr>
        <w:spacing w:after="0" w:line="240" w:lineRule="auto"/>
        <w:ind w:left="3600" w:firstLine="72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77744E" w:rsidRPr="0070059A" w:rsidP="0077744E">
      <w:pPr>
        <w:spacing w:after="0" w:line="240" w:lineRule="auto"/>
        <w:ind w:firstLine="4320"/>
        <w:rPr>
          <w:rFonts w:eastAsiaTheme="minorEastAsia" w:cs="Times New Roman"/>
          <w:szCs w:val="24"/>
        </w:rPr>
      </w:pPr>
      <w:r>
        <w:rPr>
          <w:rFonts w:eastAsiaTheme="minorEastAsia" w:cs="Times New Roman"/>
          <w:szCs w:val="24"/>
        </w:rPr>
        <w:t>Ohio Consumers’ Counsel</w:t>
      </w:r>
    </w:p>
    <w:p w:rsidR="0077744E" w:rsidP="0077744E">
      <w:pPr>
        <w:spacing w:after="0" w:line="240" w:lineRule="auto"/>
        <w:ind w:firstLine="4320"/>
        <w:rPr>
          <w:rFonts w:eastAsiaTheme="minorEastAsia" w:cs="Times New Roman"/>
          <w:szCs w:val="24"/>
        </w:rPr>
      </w:pPr>
    </w:p>
    <w:p w:rsidR="0077744E" w:rsidRPr="0077744E" w:rsidP="0077744E">
      <w:pPr>
        <w:spacing w:after="0" w:line="240" w:lineRule="auto"/>
        <w:ind w:firstLine="4320"/>
        <w:rPr>
          <w:rFonts w:eastAsiaTheme="minorEastAsia" w:cs="Times New Roman"/>
          <w:szCs w:val="24"/>
          <w:u w:val="single"/>
        </w:rPr>
      </w:pP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u w:val="single"/>
        </w:rPr>
        <w:tab/>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Assistant Consumers</w:t>
      </w:r>
      <w:r>
        <w:rPr>
          <w:rFonts w:eastAsiaTheme="minorEastAsia" w:cs="Times New Roman"/>
          <w:szCs w:val="24"/>
        </w:rPr>
        <w:t>’</w:t>
      </w:r>
      <w:r w:rsidRPr="0070059A">
        <w:rPr>
          <w:rFonts w:eastAsiaTheme="minorEastAsia" w:cs="Times New Roman"/>
          <w:szCs w:val="24"/>
        </w:rPr>
        <w:t xml:space="preserve"> Counsel</w:t>
      </w:r>
    </w:p>
    <w:p w:rsidR="0077744E" w:rsidRPr="0070059A" w:rsidP="0077744E">
      <w:pPr>
        <w:spacing w:after="0" w:line="240" w:lineRule="auto"/>
        <w:ind w:firstLine="4320"/>
        <w:rPr>
          <w:rFonts w:eastAsiaTheme="minorEastAsia" w:cs="Times New Roman"/>
          <w:szCs w:val="24"/>
        </w:rPr>
      </w:pPr>
    </w:p>
    <w:p w:rsidR="0077744E" w:rsidRPr="0070059A" w:rsidP="0077744E">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Columbus, Ohio 43215</w:t>
      </w:r>
      <w:r w:rsidR="00B748B6">
        <w:rPr>
          <w:rFonts w:eastAsiaTheme="minorEastAsia" w:cs="Times New Roman"/>
          <w:szCs w:val="24"/>
        </w:rPr>
        <w:t>-4213</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77744E" w:rsidRPr="0077744E" w:rsidP="0077744E">
      <w:pPr>
        <w:spacing w:after="0" w:line="240" w:lineRule="auto"/>
        <w:ind w:firstLine="4320"/>
        <w:rPr>
          <w:rFonts w:eastAsiaTheme="minorEastAsia" w:cs="Times New Roman"/>
          <w:szCs w:val="24"/>
        </w:rPr>
      </w:pPr>
      <w:r w:rsidRPr="0070059A">
        <w:rPr>
          <w:rFonts w:eastAsiaTheme="minorEastAsia" w:cs="Times New Roman"/>
          <w:szCs w:val="24"/>
        </w:rPr>
        <w:t>Telephone [Etter]: 614-466</w:t>
      </w:r>
      <w:r w:rsidRPr="0077744E">
        <w:rPr>
          <w:rFonts w:eastAsiaTheme="minorEastAsia" w:cs="Times New Roman"/>
          <w:szCs w:val="24"/>
        </w:rPr>
        <w:t>-7964</w:t>
      </w:r>
    </w:p>
    <w:p w:rsidR="0077744E" w:rsidRPr="00384E27" w:rsidP="0077744E">
      <w:pPr>
        <w:spacing w:after="0" w:line="240" w:lineRule="auto"/>
        <w:ind w:firstLine="4320"/>
        <w:rPr>
          <w:rStyle w:val="Hyperlink"/>
          <w:rFonts w:eastAsiaTheme="minorEastAsia"/>
          <w:color w:val="auto"/>
          <w:u w:val="none"/>
        </w:rPr>
      </w:pPr>
      <w:r w:rsidRPr="00384E27">
        <w:rPr>
          <w:rStyle w:val="DefaultParagraphFont"/>
          <w:rFonts w:eastAsiaTheme="minorEastAsia" w:cs="Times New Roman"/>
          <w:color w:val="auto"/>
          <w:szCs w:val="24"/>
          <w:u w:val="none"/>
        </w:rPr>
        <w:t>christopher.healey@occ.ohio.gov</w:t>
      </w:r>
      <w:r w:rsidRPr="00384E27">
        <w:rPr>
          <w:rFonts w:eastAsiaTheme="minorEastAsia" w:cs="Times New Roman"/>
          <w:szCs w:val="24"/>
        </w:rPr>
        <w:t xml:space="preserve"> </w:t>
      </w:r>
    </w:p>
    <w:p w:rsidR="0077744E" w:rsidRPr="00384E27" w:rsidP="0077744E">
      <w:pPr>
        <w:spacing w:after="0" w:line="240" w:lineRule="auto"/>
        <w:ind w:firstLine="4320"/>
        <w:rPr>
          <w:rStyle w:val="Hyperlink"/>
          <w:rFonts w:eastAsiaTheme="minorEastAsia"/>
          <w:color w:val="auto"/>
          <w:u w:val="none"/>
        </w:rPr>
      </w:pPr>
      <w:r w:rsidRPr="00384E27">
        <w:rPr>
          <w:rStyle w:val="DefaultParagraphFont"/>
          <w:rFonts w:eastAsiaTheme="minorEastAsia" w:cs="Times New Roman"/>
          <w:color w:val="auto"/>
          <w:szCs w:val="24"/>
          <w:u w:val="none"/>
        </w:rPr>
        <w:t>terry.etter@occ.ohio.gov</w:t>
      </w:r>
      <w:r w:rsidRPr="00384E27">
        <w:rPr>
          <w:rFonts w:eastAsiaTheme="minorEastAsia" w:cs="Times New Roman"/>
          <w:szCs w:val="24"/>
        </w:rPr>
        <w:t xml:space="preserve"> </w:t>
      </w:r>
    </w:p>
    <w:p w:rsidR="00F32AEA" w:rsidRPr="00DD3C2C" w:rsidP="0077744E">
      <w:pPr>
        <w:spacing w:after="0" w:line="240" w:lineRule="auto"/>
        <w:ind w:left="4320"/>
        <w:rPr>
          <w:szCs w:val="24"/>
        </w:rPr>
      </w:pPr>
      <w:r w:rsidRPr="0077744E">
        <w:rPr>
          <w:rStyle w:val="Hyperlink"/>
          <w:rFonts w:eastAsiaTheme="minorEastAsia"/>
          <w:color w:val="auto"/>
          <w:u w:val="none"/>
        </w:rPr>
        <w:t>(</w:t>
      </w:r>
      <w:r w:rsidR="00B748B6">
        <w:rPr>
          <w:rStyle w:val="Hyperlink"/>
          <w:rFonts w:eastAsiaTheme="minorEastAsia"/>
          <w:color w:val="auto"/>
          <w:u w:val="none"/>
        </w:rPr>
        <w:t>will accept service via email)</w:t>
      </w:r>
    </w:p>
    <w:p w:rsidR="00F32AEA" w:rsidRPr="00DD3C2C" w:rsidP="00F32AEA">
      <w:pPr>
        <w:spacing w:after="0" w:line="240" w:lineRule="auto"/>
        <w:ind w:left="4320"/>
        <w:rPr>
          <w:szCs w:val="24"/>
        </w:rPr>
      </w:pPr>
    </w:p>
    <w:p w:rsidR="00F32AEA" w:rsidP="00F32AEA">
      <w:pPr>
        <w:spacing w:after="0" w:line="240" w:lineRule="auto"/>
        <w:ind w:left="4320"/>
        <w:rPr>
          <w:szCs w:val="24"/>
        </w:rPr>
      </w:pPr>
    </w:p>
    <w:p w:rsidR="00F32AEA" w:rsidP="00F32AEA">
      <w:pPr>
        <w:spacing w:after="0" w:line="240" w:lineRule="auto"/>
        <w:ind w:left="4320"/>
        <w:rPr>
          <w:szCs w:val="24"/>
        </w:rPr>
      </w:pPr>
    </w:p>
    <w:p w:rsidR="00F32AEA" w:rsidRPr="0069751B" w:rsidP="00F32AEA">
      <w:pPr>
        <w:spacing w:after="0" w:line="240" w:lineRule="auto"/>
        <w:ind w:left="4320"/>
        <w:sectPr w:rsidSect="00B748B6">
          <w:footerReference w:type="default" r:id="rId9"/>
          <w:pgSz w:w="12240" w:h="15840"/>
          <w:pgMar w:top="1440" w:right="1800" w:bottom="1440" w:left="1800" w:header="720" w:footer="720" w:gutter="0"/>
          <w:pgNumType w:start="2"/>
          <w:cols w:space="720"/>
          <w:docGrid w:linePitch="360"/>
        </w:sectPr>
      </w:pPr>
    </w:p>
    <w:p w:rsidR="00F32AEA" w:rsidP="00F32AEA">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F32AEA" w:rsidRPr="006849DE" w:rsidP="00F32AEA">
      <w:pPr>
        <w:spacing w:after="0" w:line="240" w:lineRule="auto"/>
        <w:jc w:val="center"/>
        <w:rPr>
          <w:rFonts w:eastAsiaTheme="minorEastAsia" w:cs="Times New Roman"/>
          <w:b/>
          <w:szCs w:val="24"/>
          <w:u w:val="single"/>
        </w:rPr>
      </w:pPr>
    </w:p>
    <w:p w:rsidR="00F32AEA" w:rsidP="00F32AEA">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sidR="005A434E">
        <w:rPr>
          <w:rFonts w:eastAsiaTheme="minorEastAsia" w:cs="Times New Roman"/>
          <w:szCs w:val="24"/>
        </w:rPr>
        <w:t>26</w:t>
      </w:r>
      <w:r w:rsidR="00F975CF">
        <w:rPr>
          <w:rFonts w:eastAsiaTheme="minorEastAsia" w:cs="Times New Roman"/>
          <w:szCs w:val="24"/>
        </w:rPr>
        <w:t>th</w:t>
      </w:r>
      <w:r w:rsidR="005A434E">
        <w:rPr>
          <w:rFonts w:eastAsiaTheme="minorEastAsia" w:cs="Times New Roman"/>
          <w:szCs w:val="24"/>
        </w:rPr>
        <w:t xml:space="preserve"> </w:t>
      </w:r>
      <w:r w:rsidRPr="006849DE">
        <w:rPr>
          <w:rFonts w:eastAsiaTheme="minorEastAsia" w:cs="Times New Roman"/>
          <w:szCs w:val="24"/>
        </w:rPr>
        <w:t>day of</w:t>
      </w:r>
      <w:r>
        <w:rPr>
          <w:rFonts w:eastAsiaTheme="minorEastAsia" w:cs="Times New Roman"/>
          <w:szCs w:val="24"/>
        </w:rPr>
        <w:t xml:space="preserve"> </w:t>
      </w:r>
      <w:r w:rsidR="0077744E">
        <w:rPr>
          <w:rFonts w:eastAsiaTheme="minorEastAsia" w:cs="Times New Roman"/>
          <w:szCs w:val="24"/>
        </w:rPr>
        <w:t>October 2018</w:t>
      </w:r>
      <w:r w:rsidRPr="006849DE">
        <w:rPr>
          <w:rFonts w:eastAsiaTheme="minorEastAsia" w:cs="Times New Roman"/>
          <w:szCs w:val="24"/>
        </w:rPr>
        <w:t>.</w:t>
      </w:r>
    </w:p>
    <w:p w:rsidR="00F32AEA" w:rsidRPr="006849DE" w:rsidP="00F32AEA">
      <w:pPr>
        <w:spacing w:after="0" w:line="360" w:lineRule="auto"/>
        <w:ind w:firstLine="720"/>
        <w:rPr>
          <w:rFonts w:eastAsiaTheme="minorEastAsia" w:cs="Times New Roman"/>
          <w:szCs w:val="24"/>
        </w:rPr>
      </w:pPr>
    </w:p>
    <w:p w:rsidR="00F32AEA" w:rsidRPr="006849DE" w:rsidP="0077744E">
      <w:pPr>
        <w:spacing w:after="0" w:line="240" w:lineRule="auto"/>
        <w:ind w:firstLine="5040"/>
        <w:rPr>
          <w:rFonts w:eastAsiaTheme="minorEastAsia" w:cs="Times New Roman"/>
          <w:szCs w:val="24"/>
        </w:rPr>
      </w:pP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F32AEA" w:rsidRPr="006849DE" w:rsidP="0077744E">
      <w:pPr>
        <w:spacing w:after="0" w:line="240" w:lineRule="auto"/>
        <w:ind w:firstLine="5040"/>
        <w:rPr>
          <w:rFonts w:eastAsiaTheme="minorEastAsia" w:cs="Times New Roman"/>
          <w:szCs w:val="24"/>
        </w:rPr>
      </w:pPr>
      <w:r>
        <w:rPr>
          <w:rFonts w:eastAsiaTheme="minorEastAsia" w:cs="Times New Roman"/>
          <w:szCs w:val="24"/>
        </w:rPr>
        <w:t>Christopher Healey</w:t>
      </w:r>
    </w:p>
    <w:p w:rsidR="00F32AEA" w:rsidP="0077744E">
      <w:pPr>
        <w:spacing w:after="0" w:line="240" w:lineRule="auto"/>
        <w:ind w:firstLine="5040"/>
        <w:rPr>
          <w:rFonts w:eastAsiaTheme="minorEastAsia" w:cs="Times New Roman"/>
          <w:szCs w:val="24"/>
        </w:rPr>
      </w:pPr>
      <w:r>
        <w:rPr>
          <w:rFonts w:eastAsiaTheme="minorEastAsia" w:cs="Times New Roman"/>
          <w:szCs w:val="24"/>
        </w:rPr>
        <w:t>Counsel of Record</w:t>
      </w:r>
    </w:p>
    <w:p w:rsidR="00F32AEA" w:rsidP="00F32AEA">
      <w:pPr>
        <w:jc w:val="center"/>
        <w:rPr>
          <w:b/>
          <w:u w:val="single"/>
        </w:rPr>
      </w:pPr>
    </w:p>
    <w:p w:rsidR="00AF6F40" w:rsidRPr="00384E27" w:rsidP="00AF6F40">
      <w:pPr>
        <w:tabs>
          <w:tab w:val="left" w:pos="4320"/>
        </w:tabs>
        <w:jc w:val="center"/>
        <w:rPr>
          <w:u w:val="single"/>
        </w:rPr>
      </w:pPr>
      <w:r w:rsidRPr="00384E27">
        <w:rPr>
          <w:b/>
          <w:u w:val="single"/>
        </w:rPr>
        <w:t>SERVICE LIST</w:t>
      </w:r>
    </w:p>
    <w:tbl>
      <w:tblPr>
        <w:tblStyle w:val="TableGrid"/>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7"/>
        <w:gridCol w:w="4117"/>
      </w:tblGrid>
      <w:tr w:rsidTr="00384E27">
        <w:tblPrEx>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384E27" w:rsidRPr="00384E27" w:rsidP="00B9326D">
            <w:pPr>
              <w:autoSpaceDE w:val="0"/>
              <w:autoSpaceDN w:val="0"/>
              <w:adjustRightInd w:val="0"/>
              <w:rPr>
                <w:rFonts w:cs="Times New Roman"/>
                <w:szCs w:val="24"/>
              </w:rPr>
            </w:pPr>
            <w:r w:rsidRPr="00384E27">
              <w:rPr>
                <w:rFonts w:cs="Times New Roman"/>
                <w:szCs w:val="24"/>
              </w:rPr>
              <w:t>Thomas.mcnamee@ohioattorneygeneral.gov</w:t>
            </w:r>
          </w:p>
          <w:p w:rsidR="00384E27" w:rsidRPr="00384E27" w:rsidP="00B9326D">
            <w:pPr>
              <w:autoSpaceDE w:val="0"/>
              <w:autoSpaceDN w:val="0"/>
              <w:adjustRightInd w:val="0"/>
              <w:rPr>
                <w:rFonts w:cs="Times New Roman"/>
                <w:szCs w:val="24"/>
              </w:rPr>
            </w:pPr>
            <w:r w:rsidRPr="00384E27">
              <w:rPr>
                <w:rStyle w:val="DefaultParagraphFont"/>
                <w:color w:val="auto"/>
                <w:u w:val="none"/>
              </w:rPr>
              <w:t>Bojko@carpenterlipps.com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ORourke@carpenterlipps.com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ghiloni@carpenterlipps.com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sechler@carpenterlipps.com</w:t>
            </w:r>
            <w:r w:rsidRPr="00384E27">
              <w:rPr>
                <w:rFonts w:cs="Times New Roman"/>
                <w:szCs w:val="24"/>
              </w:rPr>
              <w:t xml:space="preserve"> </w:t>
            </w:r>
            <w:r w:rsidRPr="00384E27">
              <w:rPr>
                <w:rStyle w:val="DefaultParagraphFont"/>
                <w:color w:val="auto"/>
                <w:u w:val="none"/>
              </w:rPr>
              <w:t xml:space="preserve"> </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dboehm@BKLlawfirm.com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mkurtz@BKLlawfirm.com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jkylercohn@BKLlawfirm.com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sam@mwncmh.com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fdarr@mwncmh.com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mpritchard@mwncmh.com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jlang@calfee.com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talexander@calfee.com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slesser@calfee.com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jvickers@elpc.org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tdougherty@theOEC.org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mleppla@theOEC.org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jfinnigan@edf.org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swilliams@nrdc.org</w:t>
            </w:r>
            <w:r w:rsidRPr="00384E27">
              <w:rPr>
                <w:rFonts w:cs="Times New Roman"/>
                <w:szCs w:val="24"/>
              </w:rPr>
              <w:t xml:space="preserve"> </w:t>
            </w:r>
          </w:p>
          <w:p w:rsidR="00384E27" w:rsidRPr="00384E27" w:rsidP="00B9326D">
            <w:pPr>
              <w:rPr>
                <w:rFonts w:cs="Times New Roman"/>
                <w:szCs w:val="24"/>
              </w:rPr>
            </w:pPr>
            <w:r w:rsidRPr="00384E27">
              <w:rPr>
                <w:rStyle w:val="DefaultParagraphFont"/>
                <w:color w:val="auto"/>
                <w:u w:val="none"/>
              </w:rPr>
              <w:t>rdove@attorneydove.com</w:t>
            </w:r>
            <w:r w:rsidRPr="00384E27">
              <w:rPr>
                <w:rFonts w:cs="Times New Roman"/>
                <w:szCs w:val="24"/>
              </w:rPr>
              <w:t xml:space="preserve"> </w:t>
            </w:r>
            <w:r w:rsidRPr="00384E27">
              <w:rPr>
                <w:rStyle w:val="DefaultParagraphFont"/>
                <w:color w:val="auto"/>
                <w:u w:val="none"/>
              </w:rPr>
              <w:t xml:space="preserve"> </w:t>
            </w:r>
          </w:p>
          <w:p w:rsidR="00384E27" w:rsidRPr="00384E27" w:rsidP="00B9326D">
            <w:pPr>
              <w:rPr>
                <w:rFonts w:cs="Times New Roman"/>
                <w:szCs w:val="24"/>
              </w:rPr>
            </w:pPr>
            <w:r w:rsidRPr="00384E27">
              <w:rPr>
                <w:rStyle w:val="DefaultParagraphFont"/>
                <w:color w:val="auto"/>
                <w:u w:val="none"/>
              </w:rPr>
              <w:t>kfield@elpc.org</w:t>
            </w:r>
            <w:r w:rsidRPr="00384E27">
              <w:rPr>
                <w:rFonts w:cs="Times New Roman"/>
                <w:szCs w:val="24"/>
              </w:rPr>
              <w:t xml:space="preserve"> </w:t>
            </w:r>
          </w:p>
          <w:p w:rsidR="00384E27" w:rsidRPr="00384E27" w:rsidP="00B9326D">
            <w:pPr>
              <w:rPr>
                <w:rFonts w:cs="Times New Roman"/>
                <w:szCs w:val="24"/>
              </w:rPr>
            </w:pPr>
            <w:r w:rsidRPr="00384E27">
              <w:rPr>
                <w:rStyle w:val="DefaultParagraphFont"/>
                <w:color w:val="auto"/>
                <w:u w:val="none"/>
              </w:rPr>
              <w:t>mfleisher@elpc.org</w:t>
            </w:r>
            <w:r w:rsidRPr="00384E27">
              <w:rPr>
                <w:rFonts w:cs="Times New Roman"/>
                <w:szCs w:val="24"/>
              </w:rPr>
              <w:t xml:space="preserve"> </w:t>
            </w:r>
          </w:p>
          <w:p w:rsidR="00384E27" w:rsidRPr="00384E27" w:rsidP="00B9326D">
            <w:pPr>
              <w:rPr>
                <w:rFonts w:cs="Times New Roman"/>
                <w:szCs w:val="24"/>
              </w:rPr>
            </w:pPr>
          </w:p>
          <w:p w:rsidR="00384E27" w:rsidRPr="00384E27" w:rsidP="00B9326D">
            <w:pPr>
              <w:autoSpaceDE w:val="0"/>
              <w:autoSpaceDN w:val="0"/>
              <w:adjustRightInd w:val="0"/>
              <w:rPr>
                <w:rFonts w:cs="Times New Roman"/>
                <w:szCs w:val="24"/>
              </w:rPr>
            </w:pPr>
            <w:r w:rsidRPr="00384E27">
              <w:rPr>
                <w:rFonts w:cs="Times New Roman"/>
                <w:szCs w:val="24"/>
              </w:rPr>
              <w:t>Attorney Examiners:</w:t>
            </w:r>
          </w:p>
          <w:p w:rsidR="00384E27" w:rsidRPr="00384E27" w:rsidP="00B9326D">
            <w:pPr>
              <w:rPr>
                <w:rFonts w:cs="Times New Roman"/>
                <w:szCs w:val="24"/>
              </w:rPr>
            </w:pPr>
            <w:r w:rsidRPr="00384E27">
              <w:rPr>
                <w:rStyle w:val="DefaultParagraphFont"/>
                <w:color w:val="auto"/>
                <w:u w:val="none"/>
              </w:rPr>
              <w:t>gregory.price@puc.state.oh.us</w:t>
            </w:r>
            <w:r w:rsidRPr="00384E27">
              <w:rPr>
                <w:rFonts w:cs="Times New Roman"/>
                <w:szCs w:val="24"/>
              </w:rPr>
              <w:t xml:space="preserve"> </w:t>
            </w:r>
          </w:p>
          <w:p w:rsidR="00384E27" w:rsidRPr="00384E27" w:rsidP="00B9326D">
            <w:pPr>
              <w:rPr>
                <w:rFonts w:cs="Times New Roman"/>
                <w:szCs w:val="24"/>
              </w:rPr>
            </w:pPr>
            <w:r w:rsidRPr="00384E27">
              <w:rPr>
                <w:rFonts w:cs="Times New Roman"/>
                <w:szCs w:val="24"/>
              </w:rPr>
              <w:t>patricia.schabo@puc.state.oh.us</w:t>
            </w:r>
          </w:p>
        </w:tc>
        <w:tc>
          <w:tcPr>
            <w:tcW w:w="4114" w:type="dxa"/>
          </w:tcPr>
          <w:p w:rsidR="00384E27" w:rsidRPr="00384E27" w:rsidP="00B9326D">
            <w:pPr>
              <w:autoSpaceDE w:val="0"/>
              <w:autoSpaceDN w:val="0"/>
              <w:adjustRightInd w:val="0"/>
              <w:rPr>
                <w:rFonts w:cs="Times New Roman"/>
                <w:szCs w:val="24"/>
              </w:rPr>
            </w:pPr>
            <w:r w:rsidRPr="00384E27">
              <w:rPr>
                <w:rStyle w:val="DefaultParagraphFont"/>
                <w:color w:val="auto"/>
                <w:u w:val="none"/>
              </w:rPr>
              <w:t>Michael.schuler@aes.com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djireland@ficlaw.com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jsharkey@ficlaw.com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Kurt.Helfrich@ThompsonHine.com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Stephanie.Chmiel@ThompsonHine.com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Michael.Austin@ThompsonHine.com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mfleisher@elpc.org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dparram@taftlaw.com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thomas.jernigan.3@us.af.mil</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cmooney@ohiopartners.org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dborchers@bricker.com</w:t>
            </w:r>
          </w:p>
          <w:p w:rsidR="00384E27" w:rsidRPr="00384E27" w:rsidP="00B9326D">
            <w:pPr>
              <w:autoSpaceDE w:val="0"/>
              <w:autoSpaceDN w:val="0"/>
              <w:adjustRightInd w:val="0"/>
              <w:rPr>
                <w:rFonts w:cs="Times New Roman"/>
                <w:szCs w:val="24"/>
              </w:rPr>
            </w:pPr>
            <w:r w:rsidRPr="00384E27">
              <w:rPr>
                <w:rStyle w:val="DefaultParagraphFont"/>
                <w:color w:val="auto"/>
                <w:u w:val="none"/>
              </w:rPr>
              <w:t>mwarnock@bricker.com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ejacobs@ablelaw.org</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joliker@igsenergy.com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lhawrot@spilmanlaw.com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dwilliamson@spilmanlaw.com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Style w:val="DefaultParagraphFont"/>
                <w:color w:val="auto"/>
                <w:u w:val="none"/>
              </w:rPr>
              <w:t>charris@spilmanlaw.com</w:t>
            </w:r>
            <w:r w:rsidRPr="00384E27">
              <w:rPr>
                <w:rFonts w:cs="Times New Roman"/>
                <w:szCs w:val="24"/>
              </w:rPr>
              <w:t xml:space="preserve"> </w:t>
            </w:r>
          </w:p>
          <w:p w:rsidR="00384E27" w:rsidRPr="00384E27" w:rsidP="00B9326D">
            <w:pPr>
              <w:autoSpaceDE w:val="0"/>
              <w:autoSpaceDN w:val="0"/>
              <w:adjustRightInd w:val="0"/>
              <w:rPr>
                <w:rFonts w:cs="Times New Roman"/>
                <w:szCs w:val="24"/>
              </w:rPr>
            </w:pPr>
            <w:r w:rsidRPr="00384E27">
              <w:rPr>
                <w:rFonts w:cs="Times New Roman"/>
                <w:szCs w:val="24"/>
              </w:rPr>
              <w:t>mjsettineri@vorys.com</w:t>
            </w:r>
          </w:p>
          <w:p w:rsidR="00384E27" w:rsidRPr="00384E27" w:rsidP="00B9326D">
            <w:pPr>
              <w:rPr>
                <w:rFonts w:cs="Times New Roman"/>
                <w:szCs w:val="24"/>
              </w:rPr>
            </w:pPr>
            <w:r w:rsidRPr="00384E27">
              <w:rPr>
                <w:rStyle w:val="DefaultParagraphFont"/>
                <w:color w:val="auto"/>
                <w:u w:val="none"/>
              </w:rPr>
              <w:t>glpetrucci@vorys.com</w:t>
            </w:r>
          </w:p>
          <w:p w:rsidR="00384E27" w:rsidRPr="00384E27" w:rsidP="00B9326D">
            <w:pPr>
              <w:autoSpaceDE w:val="0"/>
              <w:autoSpaceDN w:val="0"/>
              <w:adjustRightInd w:val="0"/>
              <w:rPr>
                <w:rFonts w:cs="Times New Roman"/>
                <w:szCs w:val="24"/>
              </w:rPr>
            </w:pPr>
            <w:r w:rsidRPr="00384E27">
              <w:rPr>
                <w:rFonts w:cs="Times New Roman"/>
                <w:szCs w:val="24"/>
              </w:rPr>
              <w:t>whitt@whitt-sturtevant.com</w:t>
            </w:r>
          </w:p>
          <w:p w:rsidR="00384E27" w:rsidRPr="00384E27" w:rsidP="00B9326D">
            <w:pPr>
              <w:autoSpaceDE w:val="0"/>
              <w:autoSpaceDN w:val="0"/>
              <w:adjustRightInd w:val="0"/>
              <w:rPr>
                <w:rFonts w:cs="Times New Roman"/>
                <w:szCs w:val="24"/>
              </w:rPr>
            </w:pPr>
            <w:r w:rsidRPr="00384E27">
              <w:rPr>
                <w:rFonts w:cs="Times New Roman"/>
                <w:szCs w:val="24"/>
              </w:rPr>
              <w:t>campbell@whitt-sturtevant.com</w:t>
            </w:r>
          </w:p>
          <w:p w:rsidR="00384E27" w:rsidRPr="00384E27" w:rsidP="00B9326D">
            <w:pPr>
              <w:rPr>
                <w:rFonts w:cs="Times New Roman"/>
                <w:szCs w:val="24"/>
              </w:rPr>
            </w:pPr>
            <w:r w:rsidRPr="00384E27">
              <w:rPr>
                <w:rStyle w:val="DefaultParagraphFont"/>
                <w:color w:val="auto"/>
                <w:u w:val="none"/>
              </w:rPr>
              <w:t>glover@whitt-sturtevant.com</w:t>
            </w:r>
          </w:p>
          <w:p w:rsidR="00384E27" w:rsidRPr="00384E27" w:rsidP="00B9326D">
            <w:pPr>
              <w:rPr>
                <w:rFonts w:cs="Times New Roman"/>
                <w:szCs w:val="24"/>
              </w:rPr>
            </w:pPr>
            <w:r w:rsidRPr="00384E27">
              <w:rPr>
                <w:rStyle w:val="DefaultParagraphFont"/>
                <w:color w:val="auto"/>
                <w:u w:val="none"/>
              </w:rPr>
              <w:t>jdoll@djflawfirm.com</w:t>
            </w:r>
          </w:p>
          <w:p w:rsidR="00384E27" w:rsidRPr="00384E27" w:rsidP="00B9326D">
            <w:pPr>
              <w:rPr>
                <w:rFonts w:cs="Times New Roman"/>
                <w:szCs w:val="24"/>
              </w:rPr>
            </w:pPr>
          </w:p>
          <w:p w:rsidR="00384E27" w:rsidRPr="00384E27" w:rsidP="00B9326D">
            <w:pPr>
              <w:rPr>
                <w:rFonts w:cs="Times New Roman"/>
                <w:szCs w:val="24"/>
              </w:rPr>
            </w:pPr>
          </w:p>
          <w:p w:rsidR="00384E27" w:rsidRPr="00384E27" w:rsidP="00B9326D">
            <w:pPr>
              <w:rPr>
                <w:rFonts w:cs="Times New Roman"/>
                <w:szCs w:val="24"/>
              </w:rPr>
            </w:pPr>
          </w:p>
        </w:tc>
      </w:tr>
    </w:tbl>
    <w:p w:rsidR="00AF6F40" w:rsidRPr="00DE0B7B" w:rsidP="00AF6F40"/>
    <w:sectPr w:rsidSect="00F32AEA">
      <w:footerReference w:type="default" r:id="rId10"/>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8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0053418"/>
      <w:docPartObj>
        <w:docPartGallery w:val="Page Numbers (Bottom of Page)"/>
        <w:docPartUnique/>
      </w:docPartObj>
    </w:sdtPr>
    <w:sdtEndPr>
      <w:rPr>
        <w:noProof/>
      </w:rPr>
    </w:sdtEndPr>
    <w:sdtContent>
      <w:p w:rsidR="00B748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9532051"/>
      <w:docPartObj>
        <w:docPartGallery w:val="Page Numbers (Bottom of Page)"/>
        <w:docPartUnique/>
      </w:docPartObj>
    </w:sdtPr>
    <w:sdtEndPr>
      <w:rPr>
        <w:noProof/>
      </w:rPr>
    </w:sdtEndPr>
    <w:sdtContent>
      <w:p w:rsidR="00A36C16">
        <w:pPr>
          <w:pStyle w:val="Footer"/>
          <w:jc w:val="center"/>
        </w:pPr>
        <w:r>
          <w:fldChar w:fldCharType="begin"/>
        </w:r>
        <w:r w:rsidR="005276D6">
          <w:instrText xml:space="preserve"> PAGE   \* MERGEFORMAT </w:instrText>
        </w:r>
        <w:r>
          <w:fldChar w:fldCharType="separate"/>
        </w:r>
        <w:r w:rsidR="00BE238B">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5222062"/>
      <w:docPartObj>
        <w:docPartGallery w:val="Page Numbers (Bottom of Page)"/>
        <w:docPartUnique/>
      </w:docPartObj>
    </w:sdtPr>
    <w:sdtEndPr>
      <w:rPr>
        <w:noProof/>
      </w:rPr>
    </w:sdtEndPr>
    <w:sdtContent>
      <w:p w:rsidR="00B748B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rsidRPr="007F241E">
    <w:pPr>
      <w:pStyle w:val="Footer"/>
      <w:jc w:val="center"/>
    </w:pPr>
  </w:p>
  <w:p w:rsidR="00F32AEA" w:rsidRPr="007F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257" w:rsidP="00F32AEA">
      <w:pPr>
        <w:spacing w:after="0" w:line="240" w:lineRule="auto"/>
        <w:rPr>
          <w:noProof/>
        </w:rPr>
      </w:pPr>
      <w:r>
        <w:rPr>
          <w:noProof/>
        </w:rPr>
        <w:separator/>
      </w:r>
    </w:p>
  </w:footnote>
  <w:footnote w:type="continuationSeparator" w:id="1">
    <w:p w:rsidR="00E93257" w:rsidP="00F32AEA">
      <w:pPr>
        <w:spacing w:after="0" w:line="240" w:lineRule="auto"/>
      </w:pPr>
      <w:r>
        <w:continuationSeparator/>
      </w:r>
    </w:p>
  </w:footnote>
  <w:footnote w:id="2">
    <w:p w:rsidR="0096616A">
      <w:pPr>
        <w:pStyle w:val="FootnoteText"/>
      </w:pPr>
      <w:r>
        <w:rPr>
          <w:rStyle w:val="FootnoteReference"/>
        </w:rPr>
        <w:footnoteRef/>
      </w:r>
      <w:r>
        <w:t xml:space="preserve"> Stipulation and Recommendation (June 18, 2018) (the “Settlement”).</w:t>
      </w:r>
    </w:p>
  </w:footnote>
  <w:footnote w:id="3">
    <w:p w:rsidR="0096616A">
      <w:pPr>
        <w:pStyle w:val="FootnoteText"/>
      </w:pPr>
      <w:r>
        <w:rPr>
          <w:rStyle w:val="FootnoteReference"/>
        </w:rPr>
        <w:footnoteRef/>
      </w:r>
      <w:r>
        <w:t xml:space="preserve"> Opinion and Order (Sept. 26, 2018) (the “Order”).</w:t>
      </w:r>
    </w:p>
  </w:footnote>
  <w:footnote w:id="4">
    <w:p w:rsidR="008316CE" w:rsidRPr="00731052">
      <w:pPr>
        <w:pStyle w:val="FootnoteText"/>
      </w:pPr>
      <w:r>
        <w:rPr>
          <w:rStyle w:val="FootnoteReference"/>
        </w:rPr>
        <w:footnoteRef/>
      </w:r>
      <w:r>
        <w:t xml:space="preserve"> </w:t>
      </w:r>
      <w:r w:rsidR="00731052">
        <w:rPr>
          <w:i/>
        </w:rPr>
        <w:t>See</w:t>
      </w:r>
      <w:r w:rsidR="00731052">
        <w:t xml:space="preserve"> Initial Brief of Interstate Gas Supply, Inc. (Aug. 17, 2018); Initial Post-Hearing Brief of the Retail Energy Supply Association (Aug. 17, 2018).</w:t>
      </w:r>
    </w:p>
  </w:footnote>
  <w:footnote w:id="5">
    <w:p w:rsidR="008316CE">
      <w:pPr>
        <w:pStyle w:val="FootnoteText"/>
      </w:pPr>
      <w:r>
        <w:rPr>
          <w:rStyle w:val="FootnoteReference"/>
        </w:rPr>
        <w:footnoteRef/>
      </w:r>
      <w:r>
        <w:t xml:space="preserve"> Order </w:t>
      </w:r>
      <w:r w:rsidR="00D27BBC">
        <w:t>¶¶ 28-31</w:t>
      </w:r>
      <w:r>
        <w:t>.</w:t>
      </w:r>
    </w:p>
  </w:footnote>
  <w:footnote w:id="6">
    <w:p w:rsidR="008316CE">
      <w:pPr>
        <w:pStyle w:val="FootnoteText"/>
      </w:pPr>
      <w:r>
        <w:rPr>
          <w:rStyle w:val="FootnoteReference"/>
        </w:rPr>
        <w:footnoteRef/>
      </w:r>
      <w:r>
        <w:t xml:space="preserve"> </w:t>
      </w:r>
      <w:r w:rsidR="00D27BBC">
        <w:rPr>
          <w:i/>
        </w:rPr>
        <w:t>Id.</w:t>
      </w:r>
      <w:r>
        <w:t xml:space="preserve"> </w:t>
      </w:r>
      <w:r w:rsidR="00D27BBC">
        <w:t>¶ 32</w:t>
      </w:r>
      <w:r>
        <w:t>.</w:t>
      </w:r>
    </w:p>
  </w:footnote>
  <w:footnote w:id="7">
    <w:p w:rsidR="000F16BB">
      <w:pPr>
        <w:pStyle w:val="FootnoteText"/>
      </w:pPr>
      <w:r>
        <w:rPr>
          <w:rStyle w:val="FootnoteReference"/>
        </w:rPr>
        <w:footnoteRef/>
      </w:r>
      <w:r>
        <w:t xml:space="preserve"> </w:t>
      </w:r>
      <w:r w:rsidR="00D27BBC">
        <w:rPr>
          <w:i/>
        </w:rPr>
        <w:t>Id.</w:t>
      </w:r>
    </w:p>
  </w:footnote>
  <w:footnote w:id="8">
    <w:p w:rsidR="00FF1C3B" w:rsidRPr="00FF1C3B">
      <w:pPr>
        <w:pStyle w:val="FootnoteText"/>
      </w:pPr>
      <w:r>
        <w:rPr>
          <w:rStyle w:val="FootnoteReference"/>
        </w:rPr>
        <w:footnoteRef/>
      </w:r>
      <w:r>
        <w:t xml:space="preserve"> </w:t>
      </w:r>
      <w:r>
        <w:rPr>
          <w:i/>
        </w:rPr>
        <w:t>See</w:t>
      </w:r>
      <w:r>
        <w:t xml:space="preserve"> Post-Hearing Brief by the Office of the Ohio Consumers’ Counsel at 4-5 (Aug. 17, 2018).</w:t>
      </w:r>
    </w:p>
  </w:footnote>
  <w:footnote w:id="9">
    <w:p w:rsidR="00E449A6" w:rsidP="00E449A6">
      <w:pPr>
        <w:pStyle w:val="FootnoteText"/>
      </w:pPr>
      <w:r>
        <w:rPr>
          <w:rStyle w:val="FootnoteReference"/>
        </w:rPr>
        <w:footnoteRef/>
      </w:r>
      <w:r>
        <w:t xml:space="preserve"> Order</w:t>
      </w:r>
      <w:r w:rsidR="00940E2B">
        <w:t xml:space="preserve"> ¶ 28-32.</w:t>
      </w:r>
    </w:p>
  </w:footnote>
  <w:footnote w:id="10">
    <w:p w:rsidR="00533F47" w:rsidP="00533F47">
      <w:pPr>
        <w:pStyle w:val="FootnoteText"/>
      </w:pPr>
      <w:r>
        <w:rPr>
          <w:rStyle w:val="FootnoteReference"/>
        </w:rPr>
        <w:footnoteRef/>
      </w:r>
      <w:r>
        <w:t xml:space="preserve"> R.C. 4903.10.</w:t>
      </w:r>
    </w:p>
  </w:footnote>
  <w:footnote w:id="11">
    <w:p w:rsidR="00533F47" w:rsidRPr="005B061F" w:rsidP="00533F47">
      <w:pPr>
        <w:pStyle w:val="FootnoteText"/>
      </w:pPr>
      <w:r>
        <w:rPr>
          <w:rStyle w:val="FootnoteReference"/>
        </w:rPr>
        <w:footnoteRef/>
      </w:r>
      <w:r>
        <w:t xml:space="preserve"> R.C. 4903.10(B). </w:t>
      </w:r>
      <w:r>
        <w:rPr>
          <w:i/>
        </w:rPr>
        <w:t>See also</w:t>
      </w:r>
      <w:r>
        <w:t xml:space="preserve"> Ohio Admin. Code 4901-1-35(A).</w:t>
      </w:r>
    </w:p>
  </w:footnote>
  <w:footnote w:id="12">
    <w:p w:rsidR="00533F47" w:rsidP="00533F47">
      <w:pPr>
        <w:pStyle w:val="FootnoteText"/>
      </w:pPr>
      <w:r>
        <w:rPr>
          <w:rStyle w:val="FootnoteReference"/>
        </w:rPr>
        <w:footnoteRef/>
      </w:r>
      <w:r>
        <w:t xml:space="preserve"> R.C. 4903.10(B).</w:t>
      </w:r>
    </w:p>
  </w:footnote>
  <w:footnote w:id="13">
    <w:p w:rsidR="00A70C65">
      <w:pPr>
        <w:pStyle w:val="FootnoteText"/>
      </w:pPr>
      <w:r>
        <w:rPr>
          <w:rStyle w:val="FootnoteReference"/>
        </w:rPr>
        <w:footnoteRef/>
      </w:r>
      <w:r>
        <w:t xml:space="preserve"> Order ¶ 32.</w:t>
      </w:r>
    </w:p>
  </w:footnote>
  <w:footnote w:id="14">
    <w:p w:rsidR="00A70C65" w:rsidRPr="00A70C65">
      <w:pPr>
        <w:pStyle w:val="FootnoteText"/>
      </w:pPr>
      <w:r>
        <w:rPr>
          <w:rStyle w:val="FootnoteReference"/>
        </w:rPr>
        <w:footnoteRef/>
      </w:r>
      <w:r>
        <w:t xml:space="preserve"> </w:t>
      </w:r>
      <w:r>
        <w:rPr>
          <w:i/>
        </w:rPr>
        <w:t>Id.</w:t>
      </w:r>
    </w:p>
  </w:footnote>
  <w:footnote w:id="15">
    <w:p w:rsidR="00A70C65" w:rsidRPr="00A70C65">
      <w:pPr>
        <w:pStyle w:val="FootnoteText"/>
      </w:pPr>
      <w:r>
        <w:rPr>
          <w:rStyle w:val="FootnoteReference"/>
        </w:rPr>
        <w:footnoteRef/>
      </w:r>
      <w:r>
        <w:t xml:space="preserve"> </w:t>
      </w:r>
      <w:r>
        <w:rPr>
          <w:i/>
        </w:rPr>
        <w:t>Id.</w:t>
      </w:r>
      <w:r>
        <w:t xml:space="preserve"> (“it would be unfair and improper to permit Staff to withdraw a recommendation absent a pending objection or a provision in the stipulation directly addressing the recommendation”).</w:t>
      </w:r>
    </w:p>
  </w:footnote>
  <w:footnote w:id="16">
    <w:p w:rsidR="00A70C65">
      <w:pPr>
        <w:pStyle w:val="FootnoteText"/>
      </w:pPr>
      <w:r>
        <w:rPr>
          <w:rStyle w:val="FootnoteReference"/>
        </w:rPr>
        <w:footnoteRef/>
      </w:r>
      <w:r>
        <w:t xml:space="preserve"> Staff Report at 28.</w:t>
      </w:r>
    </w:p>
  </w:footnote>
  <w:footnote w:id="17">
    <w:p w:rsidR="00A70C65">
      <w:pPr>
        <w:pStyle w:val="FootnoteText"/>
      </w:pPr>
      <w:r>
        <w:rPr>
          <w:rStyle w:val="FootnoteReference"/>
        </w:rPr>
        <w:footnoteRef/>
      </w:r>
      <w:r>
        <w:t xml:space="preserve"> Order ¶ 32.</w:t>
      </w:r>
    </w:p>
  </w:footnote>
  <w:footnote w:id="18">
    <w:p w:rsidR="00245952" w:rsidRPr="00D12A14" w:rsidP="00245952">
      <w:pPr>
        <w:pStyle w:val="FootnoteText"/>
      </w:pPr>
      <w:r>
        <w:rPr>
          <w:rStyle w:val="FootnoteReference"/>
        </w:rPr>
        <w:footnoteRef/>
      </w:r>
      <w:r>
        <w:t xml:space="preserve"> </w:t>
      </w:r>
      <w:r>
        <w:rPr>
          <w:i/>
        </w:rPr>
        <w:t>See</w:t>
      </w:r>
      <w:r>
        <w:t xml:space="preserve"> Tr. Vol. I at 100:8-17 (acknowledging that the Staff Report makes the recommendation in the text but testifying that the corresponding adjustment was not made).</w:t>
      </w:r>
    </w:p>
  </w:footnote>
  <w:footnote w:id="19">
    <w:p w:rsidR="008C75F8">
      <w:pPr>
        <w:pStyle w:val="FootnoteText"/>
      </w:pPr>
      <w:r>
        <w:rPr>
          <w:rStyle w:val="FootnoteReference"/>
        </w:rPr>
        <w:footnoteRef/>
      </w:r>
      <w:r>
        <w:t xml:space="preserve"> Staff Report at 28</w:t>
      </w:r>
      <w:r w:rsidR="00940E2B">
        <w:t xml:space="preserve"> (emphasis added)</w:t>
      </w:r>
      <w:r>
        <w:t>.</w:t>
      </w:r>
    </w:p>
  </w:footnote>
  <w:footnote w:id="20">
    <w:p w:rsidR="00F4706D">
      <w:pPr>
        <w:pStyle w:val="FootnoteText"/>
      </w:pPr>
      <w:r>
        <w:rPr>
          <w:rStyle w:val="FootnoteReference"/>
        </w:rPr>
        <w:footnoteRef/>
      </w:r>
      <w:r>
        <w:t xml:space="preserve"> Tr. Vol. II at 307:11-15.</w:t>
      </w:r>
    </w:p>
  </w:footnote>
  <w:footnote w:id="21">
    <w:p w:rsidR="001977D7" w:rsidRPr="001977D7">
      <w:pPr>
        <w:pStyle w:val="FootnoteText"/>
      </w:pPr>
      <w:r>
        <w:rPr>
          <w:rStyle w:val="FootnoteReference"/>
        </w:rPr>
        <w:footnoteRef/>
      </w:r>
      <w:r>
        <w:t xml:space="preserve"> And as the PUCO concluded in the Order itself, a new rider cannot be created in this case. </w:t>
      </w:r>
      <w:r>
        <w:rPr>
          <w:i/>
        </w:rPr>
        <w:t>See</w:t>
      </w:r>
      <w:r>
        <w:t xml:space="preserve"> Order </w:t>
      </w:r>
      <w:r w:rsidR="009448B0">
        <w:t>¶</w:t>
      </w:r>
      <w:r w:rsidR="00584F3F">
        <w:t>¶</w:t>
      </w:r>
      <w:r w:rsidR="009448B0">
        <w:t> 2</w:t>
      </w:r>
      <w:r w:rsidR="00584F3F">
        <w:t>8-31</w:t>
      </w:r>
      <w:r>
        <w:t>.</w:t>
      </w:r>
    </w:p>
  </w:footnote>
  <w:footnote w:id="22">
    <w:p w:rsidR="00F4706D">
      <w:pPr>
        <w:pStyle w:val="FootnoteText"/>
      </w:pPr>
      <w:r>
        <w:rPr>
          <w:rStyle w:val="FootnoteReference"/>
        </w:rPr>
        <w:footnoteRef/>
      </w:r>
      <w:r>
        <w:t xml:space="preserve"> OCC. Ex. 1 (“Willis Testimony”) at 8:9-14 (emphasis added).</w:t>
      </w:r>
    </w:p>
  </w:footnote>
  <w:footnote w:id="23">
    <w:p w:rsidR="00AD2DD2">
      <w:pPr>
        <w:pStyle w:val="FootnoteText"/>
      </w:pPr>
      <w:r>
        <w:rPr>
          <w:rStyle w:val="FootnoteReference"/>
        </w:rPr>
        <w:footnoteRef/>
      </w:r>
      <w:r>
        <w:t xml:space="preserve"> Tr. Vol. I at 100:13-17.</w:t>
      </w:r>
    </w:p>
  </w:footnote>
  <w:footnote w:id="24">
    <w:p w:rsidR="00AD2DD2">
      <w:pPr>
        <w:pStyle w:val="FootnoteText"/>
      </w:pPr>
      <w:r>
        <w:rPr>
          <w:rStyle w:val="FootnoteReference"/>
        </w:rPr>
        <w:footnoteRef/>
      </w:r>
      <w:r>
        <w:t xml:space="preserve"> Tr. Vol. II at 309:20-22.</w:t>
      </w:r>
    </w:p>
  </w:footnote>
  <w:footnote w:id="25">
    <w:p w:rsidR="008700BB" w:rsidRPr="008700BB">
      <w:pPr>
        <w:pStyle w:val="FootnoteText"/>
      </w:pPr>
      <w:r>
        <w:rPr>
          <w:rStyle w:val="FootnoteReference"/>
        </w:rPr>
        <w:footnoteRef/>
      </w:r>
      <w:r>
        <w:t xml:space="preserve"> </w:t>
      </w:r>
      <w:r>
        <w:rPr>
          <w:i/>
        </w:rPr>
        <w:t xml:space="preserve">See, e.g., </w:t>
      </w:r>
      <w:r>
        <w:t>The Dayton Power and Light Company’s Post-Hearing Brief at 7 (Aug. 17, 2018) (“An evaluation was done by DP&amp;L as well as the PUCO Staff, with both concluding that no costs should be shifted to the SSO.”).</w:t>
      </w:r>
    </w:p>
  </w:footnote>
  <w:footnote w:id="26">
    <w:p w:rsidR="00584F3F" w:rsidRPr="00584F3F">
      <w:pPr>
        <w:pStyle w:val="FootnoteText"/>
      </w:pPr>
      <w:r>
        <w:rPr>
          <w:rStyle w:val="FootnoteReference"/>
        </w:rPr>
        <w:footnoteRef/>
      </w:r>
      <w:r>
        <w:t xml:space="preserve"> </w:t>
      </w:r>
      <w:r>
        <w:rPr>
          <w:i/>
        </w:rPr>
        <w:t>See</w:t>
      </w:r>
      <w:r>
        <w:t xml:space="preserve"> Post-Hearing Brief by the Office of the Ohio Consumers’ Counsel at 6 (Aug. 17, 2018); Reply Brief by the Office of the Ohio Consumers’ Counsel at 5-6 (Aug. 27, 2018).</w:t>
      </w:r>
    </w:p>
  </w:footnote>
  <w:footnote w:id="27">
    <w:p w:rsidR="00584F3F">
      <w:pPr>
        <w:pStyle w:val="FootnoteText"/>
      </w:pPr>
      <w:r>
        <w:rPr>
          <w:rStyle w:val="FootnoteReference"/>
        </w:rPr>
        <w:footnoteRef/>
      </w:r>
      <w:r>
        <w:t xml:space="preserve"> Order ¶¶ 28-31.</w:t>
      </w:r>
    </w:p>
  </w:footnote>
  <w:footnote w:id="28">
    <w:p w:rsidR="00245952" w:rsidRPr="00245952">
      <w:pPr>
        <w:pStyle w:val="FootnoteText"/>
      </w:pPr>
      <w:r>
        <w:rPr>
          <w:rStyle w:val="FootnoteReference"/>
        </w:rPr>
        <w:footnoteRef/>
      </w:r>
      <w:r>
        <w:t xml:space="preserve"> Order ¶ 32.</w:t>
      </w:r>
    </w:p>
  </w:footnote>
  <w:footnote w:id="29">
    <w:p w:rsidR="00245952" w:rsidRPr="00245952">
      <w:pPr>
        <w:pStyle w:val="FootnoteText"/>
      </w:pPr>
      <w:r>
        <w:rPr>
          <w:rStyle w:val="FootnoteReference"/>
        </w:rPr>
        <w:footnoteRef/>
      </w:r>
      <w:r>
        <w:t xml:space="preserve"> </w:t>
      </w:r>
      <w:r>
        <w:rPr>
          <w:i/>
        </w:rPr>
        <w:t>Id.</w:t>
      </w:r>
    </w:p>
  </w:footnote>
  <w:footnote w:id="30">
    <w:p w:rsidR="00E9300F">
      <w:pPr>
        <w:pStyle w:val="FootnoteText"/>
      </w:pPr>
      <w:r>
        <w:rPr>
          <w:rStyle w:val="FootnoteReference"/>
        </w:rPr>
        <w:footnoteRef/>
      </w:r>
      <w:r>
        <w:t xml:space="preserve"> Staff Report at 2.</w:t>
      </w:r>
    </w:p>
  </w:footnote>
  <w:footnote w:id="31">
    <w:p w:rsidR="002C576D" w:rsidRPr="002C576D">
      <w:pPr>
        <w:pStyle w:val="FootnoteText"/>
      </w:pPr>
      <w:r>
        <w:rPr>
          <w:rStyle w:val="FootnoteReference"/>
        </w:rPr>
        <w:footnoteRef/>
      </w:r>
      <w:r>
        <w:t xml:space="preserve"> </w:t>
      </w:r>
      <w:r>
        <w:rPr>
          <w:i/>
        </w:rPr>
        <w:t>In re Application of Duke Energy Ohio, Inc. for an Increase in its Natural Gas Distribution Rates</w:t>
      </w:r>
      <w:r>
        <w:t>, Case No. 12-1685-GA-AIR, Opinion &amp; Order at 28 (Nov. 13, 2013).</w:t>
      </w:r>
    </w:p>
  </w:footnote>
  <w:footnote w:id="32">
    <w:p w:rsidR="002C576D" w:rsidRPr="002C576D">
      <w:pPr>
        <w:pStyle w:val="FootnoteText"/>
      </w:pPr>
      <w:r>
        <w:rPr>
          <w:rStyle w:val="FootnoteReference"/>
        </w:rPr>
        <w:footnoteRef/>
      </w:r>
      <w:r>
        <w:t xml:space="preserve"> </w:t>
      </w:r>
      <w:r>
        <w:rPr>
          <w:i/>
        </w:rPr>
        <w:t>Id.</w:t>
      </w:r>
      <w:r>
        <w:t xml:space="preserve"> at 26 ($62.8 million, which included about $5 million in carrying costs), 77 (allowing Duke to recover the $62.8 million minus the $5 million in carrying costs and minus another $2.3 million, for a total allowance of about $55.5 million).</w:t>
      </w:r>
    </w:p>
  </w:footnote>
  <w:footnote w:id="33">
    <w:p w:rsidR="00B228A0" w:rsidRPr="00B228A0">
      <w:pPr>
        <w:pStyle w:val="FootnoteText"/>
      </w:pPr>
      <w:r>
        <w:rPr>
          <w:rStyle w:val="FootnoteReference"/>
        </w:rPr>
        <w:footnoteRef/>
      </w:r>
      <w:r>
        <w:t xml:space="preserve"> </w:t>
      </w:r>
      <w:r>
        <w:rPr>
          <w:i/>
        </w:rPr>
        <w:t>In re Application of [FirstEnergy] for Approval of [its] Energy Efficiency &amp; Peak Demand Reduction Program Portfolio Plans for 2017 through 2019</w:t>
      </w:r>
      <w:r>
        <w:t>, Case No. 16-743-EL-POR, Opinion &amp; Order ¶ 43 (Nov. 21, 2017).</w:t>
      </w:r>
    </w:p>
  </w:footnote>
  <w:footnote w:id="34">
    <w:p w:rsidR="00B228A0" w:rsidRPr="00B228A0">
      <w:pPr>
        <w:pStyle w:val="FootnoteText"/>
      </w:pPr>
      <w:r>
        <w:rPr>
          <w:rStyle w:val="FootnoteReference"/>
        </w:rPr>
        <w:footnoteRef/>
      </w:r>
      <w:r>
        <w:t xml:space="preserve"> </w:t>
      </w:r>
      <w:r>
        <w:rPr>
          <w:i/>
        </w:rPr>
        <w:t>In re Application of Duke Energy Ohio, Inc. for Approval of its 2017-2019 Energy Efficiency &amp; Peak Demand Reduction Program Portfolio Plan</w:t>
      </w:r>
      <w:r>
        <w:t>, Case No. 16-576-EL-POR, Opinion &amp; Order ¶ 39 (Sept. 27, 2017).</w:t>
      </w:r>
    </w:p>
  </w:footnote>
  <w:footnote w:id="35">
    <w:p w:rsidR="00B228A0">
      <w:pPr>
        <w:pStyle w:val="FootnoteText"/>
      </w:pPr>
      <w:r>
        <w:rPr>
          <w:rStyle w:val="FootnoteReference"/>
        </w:rPr>
        <w:footnoteRef/>
      </w:r>
      <w:r>
        <w:t xml:space="preserve"> </w:t>
      </w:r>
      <w:r>
        <w:rPr>
          <w:i/>
        </w:rPr>
        <w:t>In re Application of [FirstEnergy] for Approval of [its] Energy Efficiency &amp; Peak Demand Reduction Program Portfolio Plans for 2017 through 2019</w:t>
      </w:r>
      <w:r>
        <w:t>, Case No. 16-743-EL-POR, Opinion &amp; Order ¶ 57 (Nov. 21, 2017)</w:t>
      </w:r>
      <w:r w:rsidR="009545AF">
        <w:t xml:space="preserve">; </w:t>
      </w:r>
      <w:r w:rsidR="009545AF">
        <w:rPr>
          <w:i/>
        </w:rPr>
        <w:t>In re Application of Duke Energy Ohio, Inc. for Approval of its 2017-2019 Energy Efficiency &amp; Peak Demand Reduction Program Portfolio Plan</w:t>
      </w:r>
      <w:r w:rsidR="009545AF">
        <w:t>, Case No. 16-576-EL-POR, Opinion &amp; Order ¶ 47 (Sept. 27, 2017).</w:t>
      </w:r>
    </w:p>
  </w:footnote>
  <w:footnote w:id="36">
    <w:p w:rsidR="00B228A0" w:rsidRPr="00B228A0">
      <w:pPr>
        <w:pStyle w:val="FootnoteText"/>
      </w:pPr>
      <w:r>
        <w:rPr>
          <w:rStyle w:val="FootnoteReference"/>
        </w:rPr>
        <w:footnoteRef/>
      </w:r>
      <w:r>
        <w:t xml:space="preserve"> </w:t>
      </w:r>
      <w:r>
        <w:rPr>
          <w:i/>
        </w:rPr>
        <w:t>In re Application of Duke Energy Ohio, Inc. for Recovery of Program Costs, Lost Distribution Revenue, and Performance Incentives Related to its Energy Efficiency &amp; Demand Response Programs for 2014</w:t>
      </w:r>
      <w:r>
        <w:t>, Case No. 15-534-EL-RDR, Opinion &amp; Order ¶ 22 (Oct. 26, 2016).</w:t>
      </w:r>
    </w:p>
  </w:footnote>
  <w:footnote w:id="37">
    <w:p w:rsidR="00B228A0" w:rsidRPr="00B228A0">
      <w:pPr>
        <w:pStyle w:val="FootnoteText"/>
      </w:pPr>
      <w:r>
        <w:rPr>
          <w:rStyle w:val="FootnoteReference"/>
        </w:rPr>
        <w:footnoteRef/>
      </w:r>
      <w:r>
        <w:t xml:space="preserve"> </w:t>
      </w:r>
      <w:r>
        <w:rPr>
          <w:i/>
        </w:rPr>
        <w:t>Id.</w:t>
      </w:r>
      <w:r>
        <w:t xml:space="preserve"> ¶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E7D4712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F5A576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AB0A7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06257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52183A"/>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15841E5"/>
    <w:multiLevelType w:val="hybridMultilevel"/>
    <w:tmpl w:val="F1D8AF18"/>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0">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1">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FFE2FD5"/>
    <w:multiLevelType w:val="hybridMultilevel"/>
    <w:tmpl w:val="7154FB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9">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9"/>
  </w:num>
  <w:num w:numId="2">
    <w:abstractNumId w:val="17"/>
  </w:num>
  <w:num w:numId="3">
    <w:abstractNumId w:val="33"/>
  </w:num>
  <w:num w:numId="4">
    <w:abstractNumId w:val="7"/>
  </w:num>
  <w:num w:numId="5">
    <w:abstractNumId w:val="26"/>
  </w:num>
  <w:num w:numId="6">
    <w:abstractNumId w:val="25"/>
  </w:num>
  <w:num w:numId="7">
    <w:abstractNumId w:val="13"/>
  </w:num>
  <w:num w:numId="8">
    <w:abstractNumId w:val="32"/>
  </w:num>
  <w:num w:numId="9">
    <w:abstractNumId w:val="19"/>
  </w:num>
  <w:num w:numId="10">
    <w:abstractNumId w:val="29"/>
  </w:num>
  <w:num w:numId="11">
    <w:abstractNumId w:val="20"/>
  </w:num>
  <w:num w:numId="12">
    <w:abstractNumId w:val="28"/>
  </w:num>
  <w:num w:numId="13">
    <w:abstractNumId w:val="22"/>
  </w:num>
  <w:num w:numId="14">
    <w:abstractNumId w:val="14"/>
  </w:num>
  <w:num w:numId="15">
    <w:abstractNumId w:val="8"/>
  </w:num>
  <w:num w:numId="16">
    <w:abstractNumId w:val="11"/>
  </w:num>
  <w:num w:numId="17">
    <w:abstractNumId w:val="30"/>
  </w:num>
  <w:num w:numId="18">
    <w:abstractNumId w:val="9"/>
  </w:num>
  <w:num w:numId="19">
    <w:abstractNumId w:val="38"/>
  </w:num>
  <w:num w:numId="20">
    <w:abstractNumId w:val="35"/>
  </w:num>
  <w:num w:numId="21">
    <w:abstractNumId w:val="5"/>
  </w:num>
  <w:num w:numId="22">
    <w:abstractNumId w:val="16"/>
  </w:num>
  <w:num w:numId="23">
    <w:abstractNumId w:val="36"/>
  </w:num>
  <w:num w:numId="24">
    <w:abstractNumId w:val="40"/>
  </w:num>
  <w:num w:numId="25">
    <w:abstractNumId w:val="15"/>
  </w:num>
  <w:num w:numId="26">
    <w:abstractNumId w:val="10"/>
  </w:num>
  <w:num w:numId="27">
    <w:abstractNumId w:val="10"/>
    <w:lvlOverride w:ilvl="0">
      <w:startOverride w:val="1"/>
    </w:lvlOverride>
  </w:num>
  <w:num w:numId="28">
    <w:abstractNumId w:val="10"/>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8"/>
  </w:num>
  <w:num w:numId="36">
    <w:abstractNumId w:val="21"/>
  </w:num>
  <w:num w:numId="37">
    <w:abstractNumId w:val="12"/>
  </w:num>
  <w:num w:numId="38">
    <w:abstractNumId w:val="31"/>
  </w:num>
  <w:num w:numId="39">
    <w:abstractNumId w:val="24"/>
  </w:num>
  <w:num w:numId="40">
    <w:abstractNumId w:val="23"/>
  </w:num>
  <w:num w:numId="41">
    <w:abstractNumId w:val="27"/>
  </w:num>
  <w:num w:numId="42">
    <w:abstractNumId w:val="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9F7C43"/>
    <w:pPr>
      <w:keepNext/>
      <w:keepLines/>
      <w:numPr>
        <w:numId w:val="42"/>
      </w:numPr>
      <w:spacing w:after="240" w:line="240" w:lineRule="auto"/>
      <w:ind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AF6F40"/>
    <w:pPr>
      <w:keepNext/>
      <w:keepLines/>
      <w:spacing w:after="240" w:line="240" w:lineRule="auto"/>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40"/>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9F7C43"/>
    <w:rPr>
      <w:rFonts w:ascii="Times New Roman Bold" w:hAnsi="Times New Roman Bold" w:eastAsiaTheme="min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DP&amp;L 15-1830 - OCC Application for Rehearing  (00060402.DOCX;3)</vt:lpstr>
    </vt:vector>
  </TitlesOfParts>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2018-10-26T20:32:29Z</dcterms:created>
  <dcterms:modified xsi:type="dcterms:W3CDTF">2018-10-26T20:32:29Z</dcterms:modified>
</cp:coreProperties>
</file>