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0F" w:rsidRPr="0073080F" w:rsidRDefault="0073080F" w:rsidP="0073080F">
      <w:pPr>
        <w:pStyle w:val="HTMLPreformatted"/>
        <w:jc w:val="center"/>
        <w:rPr>
          <w:rFonts w:ascii="Times New Roman" w:hAnsi="Times New Roman"/>
          <w:b/>
          <w:bCs/>
          <w:sz w:val="24"/>
          <w:szCs w:val="24"/>
        </w:rPr>
      </w:pPr>
      <w:bookmarkStart w:id="0" w:name="_GoBack"/>
      <w:bookmarkEnd w:id="0"/>
      <w:r w:rsidRPr="0073080F">
        <w:rPr>
          <w:rFonts w:ascii="Times New Roman" w:hAnsi="Times New Roman"/>
          <w:b/>
          <w:bCs/>
          <w:sz w:val="24"/>
          <w:szCs w:val="24"/>
        </w:rPr>
        <w:t>BEFORE</w:t>
      </w:r>
    </w:p>
    <w:p w:rsidR="0073080F" w:rsidRPr="0073080F" w:rsidRDefault="0073080F" w:rsidP="0073080F">
      <w:pPr>
        <w:pStyle w:val="HTMLPreformatted"/>
        <w:jc w:val="center"/>
        <w:rPr>
          <w:rFonts w:ascii="Times New Roman" w:hAnsi="Times New Roman"/>
          <w:sz w:val="24"/>
          <w:szCs w:val="24"/>
        </w:rPr>
      </w:pPr>
      <w:r w:rsidRPr="0073080F">
        <w:rPr>
          <w:rFonts w:ascii="Times New Roman" w:hAnsi="Times New Roman"/>
          <w:b/>
          <w:bCs/>
          <w:sz w:val="24"/>
          <w:szCs w:val="24"/>
        </w:rPr>
        <w:t>THE PUBLIC UTILITIES COMMISSION OF OHIO</w:t>
      </w:r>
    </w:p>
    <w:p w:rsidR="0073080F" w:rsidRPr="0073080F" w:rsidRDefault="0073080F" w:rsidP="0073080F">
      <w:pPr>
        <w:pStyle w:val="HTMLPreformatted"/>
        <w:rPr>
          <w:rFonts w:ascii="Times New Roman" w:hAnsi="Times New Roman"/>
          <w:sz w:val="24"/>
          <w:szCs w:val="24"/>
        </w:rPr>
      </w:pPr>
    </w:p>
    <w:tbl>
      <w:tblPr>
        <w:tblW w:w="9458" w:type="dxa"/>
        <w:tblLook w:val="01E0" w:firstRow="1" w:lastRow="1" w:firstColumn="1" w:lastColumn="1" w:noHBand="0" w:noVBand="0"/>
      </w:tblPr>
      <w:tblGrid>
        <w:gridCol w:w="4698"/>
        <w:gridCol w:w="360"/>
        <w:gridCol w:w="4400"/>
      </w:tblGrid>
      <w:tr w:rsidR="0073080F" w:rsidRPr="0073080F" w:rsidTr="00766E93">
        <w:trPr>
          <w:trHeight w:val="807"/>
        </w:trPr>
        <w:tc>
          <w:tcPr>
            <w:tcW w:w="4698" w:type="dxa"/>
            <w:hideMark/>
          </w:tcPr>
          <w:p w:rsidR="0073080F" w:rsidRPr="0073080F" w:rsidRDefault="0073080F" w:rsidP="00766E93">
            <w:pPr>
              <w:pStyle w:val="HTMLPreformatted"/>
              <w:rPr>
                <w:rFonts w:ascii="Times New Roman" w:hAnsi="Times New Roman" w:cs="Times New Roman"/>
                <w:sz w:val="24"/>
                <w:szCs w:val="24"/>
              </w:rPr>
            </w:pPr>
            <w:r w:rsidRPr="0073080F">
              <w:rPr>
                <w:rFonts w:ascii="Times New Roman" w:hAnsi="Times New Roman" w:cs="Times New Roman"/>
                <w:sz w:val="24"/>
                <w:szCs w:val="24"/>
              </w:rPr>
              <w:t>In the Matter of the Application of The East Ohio Gas Company d/b/a Dominion East Ohio for a Waiver of Certain Rules in Chapters 4901:1-13 and 4901:1-18, Ohio Administrative Code.</w:t>
            </w:r>
          </w:p>
        </w:tc>
        <w:tc>
          <w:tcPr>
            <w:tcW w:w="360" w:type="dxa"/>
            <w:hideMark/>
          </w:tcPr>
          <w:p w:rsidR="0073080F" w:rsidRPr="0073080F" w:rsidRDefault="0073080F" w:rsidP="00766E93">
            <w:pPr>
              <w:pStyle w:val="HTMLPreformatted"/>
              <w:rPr>
                <w:rFonts w:ascii="Times New Roman" w:hAnsi="Times New Roman"/>
                <w:sz w:val="24"/>
                <w:szCs w:val="24"/>
              </w:rPr>
            </w:pPr>
            <w:r w:rsidRPr="0073080F">
              <w:rPr>
                <w:rFonts w:ascii="Times New Roman" w:hAnsi="Times New Roman"/>
                <w:sz w:val="24"/>
                <w:szCs w:val="24"/>
              </w:rPr>
              <w:t>)</w:t>
            </w:r>
          </w:p>
          <w:p w:rsidR="0073080F" w:rsidRPr="0073080F" w:rsidRDefault="0073080F" w:rsidP="00766E93">
            <w:pPr>
              <w:pStyle w:val="HTMLPreformatted"/>
              <w:rPr>
                <w:rFonts w:ascii="Times New Roman" w:hAnsi="Times New Roman"/>
                <w:sz w:val="24"/>
                <w:szCs w:val="24"/>
              </w:rPr>
            </w:pPr>
            <w:r w:rsidRPr="0073080F">
              <w:rPr>
                <w:rFonts w:ascii="Times New Roman" w:hAnsi="Times New Roman"/>
                <w:sz w:val="24"/>
                <w:szCs w:val="24"/>
              </w:rPr>
              <w:t>)</w:t>
            </w:r>
          </w:p>
          <w:p w:rsidR="0073080F" w:rsidRPr="0073080F" w:rsidRDefault="0073080F" w:rsidP="00766E93">
            <w:pPr>
              <w:pStyle w:val="HTMLPreformatted"/>
              <w:rPr>
                <w:rFonts w:ascii="Times New Roman" w:hAnsi="Times New Roman"/>
                <w:sz w:val="24"/>
                <w:szCs w:val="24"/>
              </w:rPr>
            </w:pPr>
            <w:r w:rsidRPr="0073080F">
              <w:rPr>
                <w:rFonts w:ascii="Times New Roman" w:hAnsi="Times New Roman"/>
                <w:sz w:val="24"/>
                <w:szCs w:val="24"/>
              </w:rPr>
              <w:t>)</w:t>
            </w:r>
          </w:p>
          <w:p w:rsidR="0073080F" w:rsidRPr="0073080F" w:rsidRDefault="0073080F" w:rsidP="00766E93">
            <w:pPr>
              <w:pStyle w:val="HTMLPreformatted"/>
              <w:rPr>
                <w:rFonts w:ascii="Times New Roman" w:hAnsi="Times New Roman"/>
                <w:sz w:val="24"/>
                <w:szCs w:val="24"/>
              </w:rPr>
            </w:pPr>
            <w:r w:rsidRPr="0073080F">
              <w:rPr>
                <w:rFonts w:ascii="Times New Roman" w:hAnsi="Times New Roman"/>
                <w:sz w:val="24"/>
                <w:szCs w:val="24"/>
              </w:rPr>
              <w:t>)</w:t>
            </w:r>
          </w:p>
          <w:p w:rsidR="0073080F" w:rsidRPr="0073080F" w:rsidRDefault="0073080F" w:rsidP="00766E93">
            <w:pPr>
              <w:pStyle w:val="HTMLPreformatted"/>
              <w:rPr>
                <w:rFonts w:ascii="Times New Roman" w:hAnsi="Times New Roman"/>
                <w:sz w:val="24"/>
                <w:szCs w:val="24"/>
              </w:rPr>
            </w:pPr>
            <w:r w:rsidRPr="0073080F">
              <w:rPr>
                <w:rFonts w:ascii="Times New Roman" w:hAnsi="Times New Roman"/>
                <w:sz w:val="24"/>
                <w:szCs w:val="24"/>
              </w:rPr>
              <w:t>)</w:t>
            </w:r>
          </w:p>
        </w:tc>
        <w:tc>
          <w:tcPr>
            <w:tcW w:w="4400" w:type="dxa"/>
          </w:tcPr>
          <w:p w:rsidR="0073080F" w:rsidRPr="0073080F" w:rsidRDefault="0073080F" w:rsidP="00766E93">
            <w:pPr>
              <w:pStyle w:val="HTMLPreformatted"/>
              <w:rPr>
                <w:rFonts w:ascii="Times New Roman" w:hAnsi="Times New Roman"/>
                <w:sz w:val="24"/>
                <w:szCs w:val="24"/>
              </w:rPr>
            </w:pPr>
          </w:p>
          <w:p w:rsidR="0073080F" w:rsidRPr="0073080F" w:rsidRDefault="0073080F" w:rsidP="00766E93">
            <w:pPr>
              <w:rPr>
                <w:szCs w:val="24"/>
              </w:rPr>
            </w:pPr>
            <w:r w:rsidRPr="0073080F">
              <w:rPr>
                <w:szCs w:val="24"/>
              </w:rPr>
              <w:t>Case No. 14-2203-GA-WVR</w:t>
            </w:r>
          </w:p>
          <w:p w:rsidR="0073080F" w:rsidRPr="0073080F" w:rsidRDefault="0073080F" w:rsidP="00766E93">
            <w:pPr>
              <w:pStyle w:val="HTMLPreformatted"/>
              <w:rPr>
                <w:rFonts w:ascii="Times New Roman" w:hAnsi="Times New Roman" w:cs="Times New Roman"/>
                <w:sz w:val="24"/>
                <w:szCs w:val="24"/>
              </w:rPr>
            </w:pPr>
          </w:p>
        </w:tc>
      </w:tr>
    </w:tbl>
    <w:p w:rsidR="0073080F" w:rsidRPr="0073080F" w:rsidRDefault="0073080F" w:rsidP="0073080F">
      <w:pPr>
        <w:pStyle w:val="HTMLPreformatted"/>
        <w:spacing w:before="120"/>
        <w:rPr>
          <w:rFonts w:ascii="Times New Roman" w:hAnsi="Times New Roman"/>
          <w:sz w:val="24"/>
          <w:szCs w:val="24"/>
        </w:rPr>
      </w:pPr>
      <w:r w:rsidRPr="0073080F">
        <w:rPr>
          <w:rFonts w:ascii="Times New Roman" w:hAnsi="Times New Roman"/>
          <w:sz w:val="24"/>
          <w:szCs w:val="24"/>
        </w:rPr>
        <w:tab/>
      </w:r>
    </w:p>
    <w:p w:rsidR="0073080F" w:rsidRPr="0073080F" w:rsidRDefault="0073080F" w:rsidP="0073080F">
      <w:pPr>
        <w:pStyle w:val="HTMLPreformatted"/>
        <w:pBdr>
          <w:top w:val="single" w:sz="12" w:space="1" w:color="auto"/>
        </w:pBdr>
        <w:rPr>
          <w:rFonts w:ascii="Times New Roman" w:hAnsi="Times New Roman"/>
          <w:sz w:val="24"/>
          <w:szCs w:val="24"/>
        </w:rPr>
      </w:pPr>
    </w:p>
    <w:p w:rsidR="0073080F" w:rsidRPr="0073080F" w:rsidRDefault="0073080F" w:rsidP="0073080F">
      <w:pPr>
        <w:jc w:val="center"/>
        <w:rPr>
          <w:b/>
          <w:bCs/>
          <w:szCs w:val="24"/>
        </w:rPr>
      </w:pPr>
      <w:r w:rsidRPr="0073080F">
        <w:rPr>
          <w:b/>
          <w:bCs/>
          <w:szCs w:val="24"/>
        </w:rPr>
        <w:t>MOTION TO INTERVENE</w:t>
      </w:r>
    </w:p>
    <w:p w:rsidR="0073080F" w:rsidRPr="0073080F" w:rsidRDefault="0073080F" w:rsidP="0073080F">
      <w:pPr>
        <w:jc w:val="center"/>
        <w:rPr>
          <w:b/>
          <w:bCs/>
          <w:szCs w:val="24"/>
        </w:rPr>
      </w:pPr>
      <w:r w:rsidRPr="0073080F">
        <w:rPr>
          <w:b/>
          <w:bCs/>
          <w:szCs w:val="24"/>
        </w:rPr>
        <w:t>AND</w:t>
      </w:r>
    </w:p>
    <w:p w:rsidR="0073080F" w:rsidRPr="0073080F" w:rsidRDefault="0073080F" w:rsidP="0073080F">
      <w:pPr>
        <w:jc w:val="center"/>
        <w:rPr>
          <w:b/>
          <w:bCs/>
          <w:szCs w:val="24"/>
        </w:rPr>
      </w:pPr>
      <w:r w:rsidRPr="0073080F">
        <w:rPr>
          <w:b/>
          <w:bCs/>
          <w:szCs w:val="24"/>
        </w:rPr>
        <w:t>INITIAL COMMENTS</w:t>
      </w:r>
    </w:p>
    <w:p w:rsidR="0073080F" w:rsidRPr="0073080F" w:rsidRDefault="0073080F" w:rsidP="0073080F">
      <w:pPr>
        <w:jc w:val="center"/>
        <w:rPr>
          <w:b/>
          <w:bCs/>
          <w:szCs w:val="24"/>
        </w:rPr>
      </w:pPr>
      <w:r w:rsidRPr="0073080F">
        <w:rPr>
          <w:b/>
          <w:bCs/>
          <w:szCs w:val="24"/>
        </w:rPr>
        <w:t>BY</w:t>
      </w:r>
    </w:p>
    <w:p w:rsidR="0073080F" w:rsidRPr="0073080F" w:rsidRDefault="0073080F" w:rsidP="0073080F">
      <w:pPr>
        <w:jc w:val="center"/>
        <w:rPr>
          <w:b/>
          <w:bCs/>
          <w:szCs w:val="24"/>
        </w:rPr>
      </w:pPr>
      <w:r w:rsidRPr="0073080F">
        <w:rPr>
          <w:b/>
          <w:bCs/>
          <w:szCs w:val="24"/>
        </w:rPr>
        <w:t>THE OFFICE OF THE OHIO CONSUMERS’ COUNSEL</w:t>
      </w:r>
    </w:p>
    <w:p w:rsidR="0073080F" w:rsidRPr="0073080F" w:rsidRDefault="0073080F" w:rsidP="0073080F">
      <w:pPr>
        <w:pBdr>
          <w:bottom w:val="single" w:sz="12" w:space="1" w:color="auto"/>
        </w:pBdr>
        <w:tabs>
          <w:tab w:val="left" w:pos="4320"/>
        </w:tabs>
        <w:rPr>
          <w:szCs w:val="24"/>
        </w:rPr>
      </w:pPr>
    </w:p>
    <w:p w:rsidR="0073080F" w:rsidRDefault="0073080F" w:rsidP="0073080F">
      <w:pPr>
        <w:tabs>
          <w:tab w:val="left" w:pos="4320"/>
        </w:tabs>
      </w:pPr>
    </w:p>
    <w:p w:rsidR="0073080F" w:rsidRDefault="0073080F">
      <w:pPr>
        <w:spacing w:after="200" w:line="276" w:lineRule="auto"/>
        <w:rPr>
          <w:rFonts w:eastAsia="Courier New" w:cs="Courier New"/>
          <w:b/>
          <w:bCs/>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p>
    <w:p w:rsidR="0073080F" w:rsidRDefault="0073080F" w:rsidP="0073080F">
      <w:pPr>
        <w:pStyle w:val="Footer"/>
        <w:tabs>
          <w:tab w:val="left" w:pos="4320"/>
        </w:tabs>
        <w:ind w:left="4320"/>
        <w:rPr>
          <w:sz w:val="24"/>
          <w:szCs w:val="24"/>
        </w:rPr>
      </w:pPr>
      <w:r>
        <w:rPr>
          <w:sz w:val="24"/>
          <w:szCs w:val="24"/>
        </w:rPr>
        <w:t>BRUCE J. WESTON</w:t>
      </w:r>
    </w:p>
    <w:p w:rsidR="0073080F" w:rsidRDefault="0073080F" w:rsidP="0073080F">
      <w:pPr>
        <w:tabs>
          <w:tab w:val="left" w:pos="4320"/>
        </w:tabs>
        <w:spacing w:after="120"/>
        <w:ind w:left="4320"/>
        <w:rPr>
          <w:szCs w:val="24"/>
        </w:rPr>
      </w:pPr>
      <w:r>
        <w:rPr>
          <w:szCs w:val="24"/>
        </w:rPr>
        <w:t>OHIO CONSUMERS’ COUNSEL</w:t>
      </w:r>
    </w:p>
    <w:p w:rsidR="0073080F" w:rsidRDefault="0073080F" w:rsidP="0073080F">
      <w:pPr>
        <w:tabs>
          <w:tab w:val="left" w:pos="4320"/>
        </w:tabs>
        <w:ind w:left="4320"/>
        <w:rPr>
          <w:szCs w:val="24"/>
        </w:rPr>
      </w:pPr>
      <w:r>
        <w:rPr>
          <w:szCs w:val="24"/>
        </w:rPr>
        <w:t>Jodi Bair, Counsel of Record</w:t>
      </w:r>
    </w:p>
    <w:p w:rsidR="0073080F" w:rsidRDefault="0073080F" w:rsidP="0073080F">
      <w:pPr>
        <w:tabs>
          <w:tab w:val="left" w:pos="4320"/>
        </w:tabs>
        <w:ind w:left="4320"/>
        <w:rPr>
          <w:szCs w:val="24"/>
        </w:rPr>
      </w:pPr>
      <w:r>
        <w:rPr>
          <w:szCs w:val="24"/>
        </w:rPr>
        <w:t>(Reg. No. 0062921)</w:t>
      </w:r>
    </w:p>
    <w:p w:rsidR="0073080F" w:rsidRDefault="0073080F" w:rsidP="0073080F">
      <w:pPr>
        <w:tabs>
          <w:tab w:val="left" w:pos="4320"/>
        </w:tabs>
        <w:ind w:left="4320"/>
        <w:rPr>
          <w:szCs w:val="24"/>
        </w:rPr>
      </w:pPr>
      <w:r>
        <w:rPr>
          <w:szCs w:val="24"/>
        </w:rPr>
        <w:t xml:space="preserve">Assistant Consumers’ Counsel </w:t>
      </w:r>
    </w:p>
    <w:p w:rsidR="0073080F" w:rsidRDefault="0073080F" w:rsidP="0073080F">
      <w:pPr>
        <w:tabs>
          <w:tab w:val="left" w:pos="4320"/>
        </w:tabs>
        <w:ind w:left="4320"/>
        <w:rPr>
          <w:szCs w:val="24"/>
        </w:rPr>
      </w:pPr>
    </w:p>
    <w:p w:rsidR="0073080F" w:rsidRPr="001C09A5" w:rsidRDefault="0073080F" w:rsidP="0073080F">
      <w:pPr>
        <w:ind w:left="4320"/>
        <w:rPr>
          <w:b/>
        </w:rPr>
      </w:pPr>
      <w:r w:rsidRPr="001C09A5">
        <w:rPr>
          <w:b/>
        </w:rPr>
        <w:t>Office of the Ohio Consumers’ Counsel</w:t>
      </w:r>
    </w:p>
    <w:p w:rsidR="0073080F" w:rsidRDefault="0073080F" w:rsidP="0073080F">
      <w:pPr>
        <w:ind w:left="4320"/>
        <w:rPr>
          <w:b/>
        </w:rPr>
      </w:pPr>
      <w:r>
        <w:t>10 West Broad Street, Suite 1800</w:t>
      </w:r>
    </w:p>
    <w:p w:rsidR="0073080F" w:rsidRDefault="0073080F" w:rsidP="0073080F">
      <w:pPr>
        <w:ind w:left="4320"/>
        <w:rPr>
          <w:b/>
        </w:rPr>
      </w:pPr>
      <w:r>
        <w:t>Columbus, Ohio 43215-3485</w:t>
      </w:r>
    </w:p>
    <w:p w:rsidR="0073080F" w:rsidRDefault="0073080F" w:rsidP="0073080F">
      <w:pPr>
        <w:autoSpaceDE w:val="0"/>
        <w:autoSpaceDN w:val="0"/>
        <w:adjustRightInd w:val="0"/>
        <w:ind w:left="4320"/>
        <w:rPr>
          <w:szCs w:val="24"/>
        </w:rPr>
      </w:pPr>
      <w:r>
        <w:rPr>
          <w:szCs w:val="24"/>
        </w:rPr>
        <w:t xml:space="preserve">Telephone: </w:t>
      </w:r>
      <w:r w:rsidR="004D0989">
        <w:rPr>
          <w:szCs w:val="24"/>
        </w:rPr>
        <w:t xml:space="preserve"> </w:t>
      </w:r>
      <w:r>
        <w:rPr>
          <w:szCs w:val="24"/>
        </w:rPr>
        <w:t xml:space="preserve">(614) 466-9559 (Bair </w:t>
      </w:r>
      <w:r w:rsidR="006A312C">
        <w:rPr>
          <w:szCs w:val="24"/>
        </w:rPr>
        <w:t>D</w:t>
      </w:r>
      <w:r>
        <w:rPr>
          <w:szCs w:val="24"/>
        </w:rPr>
        <w:t>irect)</w:t>
      </w:r>
    </w:p>
    <w:p w:rsidR="0073080F" w:rsidRDefault="000A071E" w:rsidP="0073080F">
      <w:pPr>
        <w:ind w:left="4320"/>
        <w:rPr>
          <w:szCs w:val="24"/>
        </w:rPr>
      </w:pPr>
      <w:hyperlink r:id="rId8" w:history="1">
        <w:r w:rsidR="0073080F">
          <w:rPr>
            <w:rStyle w:val="Hyperlink"/>
          </w:rPr>
          <w:t>jodi.bair@occ.ohio.gov</w:t>
        </w:r>
      </w:hyperlink>
    </w:p>
    <w:p w:rsidR="0073080F" w:rsidRDefault="0073080F">
      <w:pPr>
        <w:spacing w:after="200" w:line="276" w:lineRule="auto"/>
        <w:rPr>
          <w:rFonts w:eastAsia="Courier New" w:cs="Courier New"/>
          <w:b/>
          <w:bCs/>
          <w:szCs w:val="24"/>
        </w:rPr>
        <w:sectPr w:rsidR="0073080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pPr>
    </w:p>
    <w:p w:rsidR="00AB450D" w:rsidRPr="0073080F" w:rsidRDefault="00AB450D" w:rsidP="00AB450D">
      <w:pPr>
        <w:pStyle w:val="HTMLPreformatted"/>
        <w:jc w:val="center"/>
        <w:rPr>
          <w:rFonts w:ascii="Times New Roman" w:hAnsi="Times New Roman"/>
          <w:b/>
          <w:bCs/>
          <w:sz w:val="24"/>
          <w:szCs w:val="24"/>
        </w:rPr>
      </w:pPr>
      <w:r w:rsidRPr="0073080F">
        <w:rPr>
          <w:rFonts w:ascii="Times New Roman" w:hAnsi="Times New Roman"/>
          <w:b/>
          <w:bCs/>
          <w:sz w:val="24"/>
          <w:szCs w:val="24"/>
        </w:rPr>
        <w:lastRenderedPageBreak/>
        <w:t>BEFORE</w:t>
      </w:r>
    </w:p>
    <w:p w:rsidR="00AB450D" w:rsidRPr="0073080F" w:rsidRDefault="00AB450D" w:rsidP="00AB450D">
      <w:pPr>
        <w:pStyle w:val="HTMLPreformatted"/>
        <w:jc w:val="center"/>
        <w:rPr>
          <w:rFonts w:ascii="Times New Roman" w:hAnsi="Times New Roman"/>
          <w:sz w:val="24"/>
          <w:szCs w:val="24"/>
        </w:rPr>
      </w:pPr>
      <w:r w:rsidRPr="0073080F">
        <w:rPr>
          <w:rFonts w:ascii="Times New Roman" w:hAnsi="Times New Roman"/>
          <w:b/>
          <w:bCs/>
          <w:sz w:val="24"/>
          <w:szCs w:val="24"/>
        </w:rPr>
        <w:t>THE PUBLIC UTILITIES COMMISSION OF OHIO</w:t>
      </w:r>
    </w:p>
    <w:p w:rsidR="00AB450D" w:rsidRPr="0073080F" w:rsidRDefault="00AB450D" w:rsidP="00AB450D">
      <w:pPr>
        <w:pStyle w:val="HTMLPreformatted"/>
        <w:rPr>
          <w:rFonts w:ascii="Times New Roman" w:hAnsi="Times New Roman"/>
          <w:sz w:val="24"/>
          <w:szCs w:val="24"/>
        </w:rPr>
      </w:pPr>
    </w:p>
    <w:tbl>
      <w:tblPr>
        <w:tblW w:w="9458" w:type="dxa"/>
        <w:tblLook w:val="01E0" w:firstRow="1" w:lastRow="1" w:firstColumn="1" w:lastColumn="1" w:noHBand="0" w:noVBand="0"/>
      </w:tblPr>
      <w:tblGrid>
        <w:gridCol w:w="4698"/>
        <w:gridCol w:w="360"/>
        <w:gridCol w:w="4400"/>
      </w:tblGrid>
      <w:tr w:rsidR="00AB450D" w:rsidRPr="0073080F" w:rsidTr="00AB450D">
        <w:trPr>
          <w:trHeight w:val="807"/>
        </w:trPr>
        <w:tc>
          <w:tcPr>
            <w:tcW w:w="4698" w:type="dxa"/>
            <w:hideMark/>
          </w:tcPr>
          <w:p w:rsidR="00AB450D" w:rsidRPr="0073080F" w:rsidRDefault="00AB450D">
            <w:pPr>
              <w:pStyle w:val="HTMLPreformatted"/>
              <w:rPr>
                <w:rFonts w:ascii="Times New Roman" w:hAnsi="Times New Roman" w:cs="Times New Roman"/>
                <w:sz w:val="24"/>
                <w:szCs w:val="24"/>
              </w:rPr>
            </w:pPr>
            <w:r w:rsidRPr="0073080F">
              <w:rPr>
                <w:rFonts w:ascii="Times New Roman" w:hAnsi="Times New Roman" w:cs="Times New Roman"/>
                <w:sz w:val="24"/>
                <w:szCs w:val="24"/>
              </w:rPr>
              <w:t>In the Matter of the Application of The East Ohio Gas Company d/b/a Dominion East Ohio for a Waiver of Certain Rules in Chapters 4901:1-13 and 4901:1-18, Ohio Administrative Code.</w:t>
            </w:r>
          </w:p>
        </w:tc>
        <w:tc>
          <w:tcPr>
            <w:tcW w:w="360" w:type="dxa"/>
            <w:hideMark/>
          </w:tcPr>
          <w:p w:rsidR="00AB450D" w:rsidRPr="0073080F" w:rsidRDefault="00AB450D">
            <w:pPr>
              <w:pStyle w:val="HTMLPreformatted"/>
              <w:rPr>
                <w:rFonts w:ascii="Times New Roman" w:hAnsi="Times New Roman"/>
                <w:sz w:val="24"/>
                <w:szCs w:val="24"/>
              </w:rPr>
            </w:pPr>
            <w:r w:rsidRPr="0073080F">
              <w:rPr>
                <w:rFonts w:ascii="Times New Roman" w:hAnsi="Times New Roman"/>
                <w:sz w:val="24"/>
                <w:szCs w:val="24"/>
              </w:rPr>
              <w:t>)</w:t>
            </w:r>
          </w:p>
          <w:p w:rsidR="00AB450D" w:rsidRPr="0073080F" w:rsidRDefault="00AB450D">
            <w:pPr>
              <w:pStyle w:val="HTMLPreformatted"/>
              <w:rPr>
                <w:rFonts w:ascii="Times New Roman" w:hAnsi="Times New Roman"/>
                <w:sz w:val="24"/>
                <w:szCs w:val="24"/>
              </w:rPr>
            </w:pPr>
            <w:r w:rsidRPr="0073080F">
              <w:rPr>
                <w:rFonts w:ascii="Times New Roman" w:hAnsi="Times New Roman"/>
                <w:sz w:val="24"/>
                <w:szCs w:val="24"/>
              </w:rPr>
              <w:t>)</w:t>
            </w:r>
          </w:p>
          <w:p w:rsidR="00AB450D" w:rsidRPr="0073080F" w:rsidRDefault="00AB450D">
            <w:pPr>
              <w:pStyle w:val="HTMLPreformatted"/>
              <w:rPr>
                <w:rFonts w:ascii="Times New Roman" w:hAnsi="Times New Roman"/>
                <w:sz w:val="24"/>
                <w:szCs w:val="24"/>
              </w:rPr>
            </w:pPr>
            <w:r w:rsidRPr="0073080F">
              <w:rPr>
                <w:rFonts w:ascii="Times New Roman" w:hAnsi="Times New Roman"/>
                <w:sz w:val="24"/>
                <w:szCs w:val="24"/>
              </w:rPr>
              <w:t>)</w:t>
            </w:r>
          </w:p>
          <w:p w:rsidR="00AB450D" w:rsidRPr="0073080F" w:rsidRDefault="00AB450D">
            <w:pPr>
              <w:pStyle w:val="HTMLPreformatted"/>
              <w:rPr>
                <w:rFonts w:ascii="Times New Roman" w:hAnsi="Times New Roman"/>
                <w:sz w:val="24"/>
                <w:szCs w:val="24"/>
              </w:rPr>
            </w:pPr>
            <w:r w:rsidRPr="0073080F">
              <w:rPr>
                <w:rFonts w:ascii="Times New Roman" w:hAnsi="Times New Roman"/>
                <w:sz w:val="24"/>
                <w:szCs w:val="24"/>
              </w:rPr>
              <w:t>)</w:t>
            </w:r>
          </w:p>
          <w:p w:rsidR="00AB450D" w:rsidRPr="0073080F" w:rsidRDefault="00AB450D">
            <w:pPr>
              <w:pStyle w:val="HTMLPreformatted"/>
              <w:rPr>
                <w:rFonts w:ascii="Times New Roman" w:hAnsi="Times New Roman"/>
                <w:sz w:val="24"/>
                <w:szCs w:val="24"/>
              </w:rPr>
            </w:pPr>
            <w:r w:rsidRPr="0073080F">
              <w:rPr>
                <w:rFonts w:ascii="Times New Roman" w:hAnsi="Times New Roman"/>
                <w:sz w:val="24"/>
                <w:szCs w:val="24"/>
              </w:rPr>
              <w:t>)</w:t>
            </w:r>
          </w:p>
        </w:tc>
        <w:tc>
          <w:tcPr>
            <w:tcW w:w="4400" w:type="dxa"/>
          </w:tcPr>
          <w:p w:rsidR="00AB450D" w:rsidRPr="0073080F" w:rsidRDefault="00AB450D">
            <w:pPr>
              <w:pStyle w:val="HTMLPreformatted"/>
              <w:rPr>
                <w:rFonts w:ascii="Times New Roman" w:hAnsi="Times New Roman"/>
                <w:sz w:val="24"/>
                <w:szCs w:val="24"/>
              </w:rPr>
            </w:pPr>
          </w:p>
          <w:p w:rsidR="00AB450D" w:rsidRPr="0073080F" w:rsidRDefault="00AB450D">
            <w:pPr>
              <w:rPr>
                <w:szCs w:val="24"/>
              </w:rPr>
            </w:pPr>
            <w:r w:rsidRPr="0073080F">
              <w:rPr>
                <w:szCs w:val="24"/>
              </w:rPr>
              <w:t>Case No. 14-2203-GA-WVR</w:t>
            </w:r>
          </w:p>
          <w:p w:rsidR="00AB450D" w:rsidRPr="0073080F" w:rsidRDefault="00AB450D">
            <w:pPr>
              <w:pStyle w:val="HTMLPreformatted"/>
              <w:rPr>
                <w:rFonts w:ascii="Times New Roman" w:hAnsi="Times New Roman" w:cs="Times New Roman"/>
                <w:sz w:val="24"/>
                <w:szCs w:val="24"/>
              </w:rPr>
            </w:pPr>
          </w:p>
        </w:tc>
      </w:tr>
    </w:tbl>
    <w:p w:rsidR="00AB450D" w:rsidRPr="0073080F" w:rsidRDefault="00AB450D" w:rsidP="00AB450D">
      <w:pPr>
        <w:pStyle w:val="HTMLPreformatted"/>
        <w:spacing w:before="120"/>
        <w:rPr>
          <w:rFonts w:ascii="Times New Roman" w:hAnsi="Times New Roman"/>
          <w:sz w:val="24"/>
          <w:szCs w:val="24"/>
        </w:rPr>
      </w:pPr>
      <w:r w:rsidRPr="0073080F">
        <w:rPr>
          <w:rFonts w:ascii="Times New Roman" w:hAnsi="Times New Roman"/>
          <w:sz w:val="24"/>
          <w:szCs w:val="24"/>
        </w:rPr>
        <w:tab/>
      </w:r>
    </w:p>
    <w:p w:rsidR="00AB450D" w:rsidRPr="0073080F" w:rsidRDefault="00AB450D" w:rsidP="00AB450D">
      <w:pPr>
        <w:pStyle w:val="HTMLPreformatted"/>
        <w:pBdr>
          <w:top w:val="single" w:sz="12" w:space="1" w:color="auto"/>
        </w:pBdr>
        <w:rPr>
          <w:rFonts w:ascii="Times New Roman" w:hAnsi="Times New Roman"/>
          <w:sz w:val="24"/>
          <w:szCs w:val="24"/>
        </w:rPr>
      </w:pPr>
    </w:p>
    <w:p w:rsidR="00AB450D" w:rsidRPr="0073080F" w:rsidRDefault="00AB450D" w:rsidP="00AB450D">
      <w:pPr>
        <w:jc w:val="center"/>
        <w:rPr>
          <w:b/>
          <w:bCs/>
          <w:szCs w:val="24"/>
        </w:rPr>
      </w:pPr>
      <w:r w:rsidRPr="0073080F">
        <w:rPr>
          <w:b/>
          <w:bCs/>
          <w:szCs w:val="24"/>
        </w:rPr>
        <w:t>MOTION TO INTERVENE</w:t>
      </w:r>
    </w:p>
    <w:p w:rsidR="00AB450D" w:rsidRPr="0073080F" w:rsidRDefault="00AB450D" w:rsidP="00AB450D">
      <w:pPr>
        <w:jc w:val="center"/>
        <w:rPr>
          <w:b/>
          <w:bCs/>
          <w:szCs w:val="24"/>
        </w:rPr>
      </w:pPr>
      <w:r w:rsidRPr="0073080F">
        <w:rPr>
          <w:b/>
          <w:bCs/>
          <w:szCs w:val="24"/>
        </w:rPr>
        <w:t>AND</w:t>
      </w:r>
    </w:p>
    <w:p w:rsidR="00AB450D" w:rsidRPr="0073080F" w:rsidRDefault="00AB450D" w:rsidP="00AB450D">
      <w:pPr>
        <w:jc w:val="center"/>
        <w:rPr>
          <w:b/>
          <w:bCs/>
          <w:szCs w:val="24"/>
        </w:rPr>
      </w:pPr>
      <w:r w:rsidRPr="0073080F">
        <w:rPr>
          <w:b/>
          <w:bCs/>
          <w:szCs w:val="24"/>
        </w:rPr>
        <w:t>INITIAL COMMENTS</w:t>
      </w:r>
    </w:p>
    <w:p w:rsidR="00AB450D" w:rsidRPr="0073080F" w:rsidRDefault="00AB450D" w:rsidP="00AB450D">
      <w:pPr>
        <w:jc w:val="center"/>
        <w:rPr>
          <w:b/>
          <w:bCs/>
          <w:szCs w:val="24"/>
        </w:rPr>
      </w:pPr>
      <w:r w:rsidRPr="0073080F">
        <w:rPr>
          <w:b/>
          <w:bCs/>
          <w:szCs w:val="24"/>
        </w:rPr>
        <w:t>BY</w:t>
      </w:r>
    </w:p>
    <w:p w:rsidR="00AB450D" w:rsidRPr="0073080F" w:rsidRDefault="00AB450D" w:rsidP="00AB450D">
      <w:pPr>
        <w:jc w:val="center"/>
        <w:rPr>
          <w:b/>
          <w:bCs/>
          <w:szCs w:val="24"/>
        </w:rPr>
      </w:pPr>
      <w:r w:rsidRPr="0073080F">
        <w:rPr>
          <w:b/>
          <w:bCs/>
          <w:szCs w:val="24"/>
        </w:rPr>
        <w:t>THE OFFICE OF THE OHIO CONSUMERS’ COUNSEL</w:t>
      </w:r>
    </w:p>
    <w:p w:rsidR="00AB450D" w:rsidRPr="0073080F" w:rsidRDefault="00AB450D" w:rsidP="00AB450D">
      <w:pPr>
        <w:pBdr>
          <w:bottom w:val="single" w:sz="12" w:space="1" w:color="auto"/>
        </w:pBdr>
        <w:tabs>
          <w:tab w:val="left" w:pos="4320"/>
        </w:tabs>
        <w:rPr>
          <w:szCs w:val="24"/>
        </w:rPr>
      </w:pPr>
    </w:p>
    <w:p w:rsidR="00AB450D" w:rsidRDefault="00AB450D" w:rsidP="00AB450D">
      <w:pPr>
        <w:tabs>
          <w:tab w:val="left" w:pos="4320"/>
        </w:tabs>
      </w:pPr>
    </w:p>
    <w:p w:rsidR="00895711" w:rsidRDefault="009B7335" w:rsidP="0073080F">
      <w:pPr>
        <w:pStyle w:val="BodyTextIndent3"/>
        <w:suppressAutoHyphens/>
        <w:spacing w:line="480" w:lineRule="auto"/>
      </w:pPr>
      <w:r>
        <w:t>T</w:t>
      </w:r>
      <w:r w:rsidR="00AB450D">
        <w:t>he Office of the Ohio Consumers’ Counsel (“OCC”) moves to intervene in this case</w:t>
      </w:r>
      <w:r w:rsidR="00AB450D">
        <w:rPr>
          <w:rStyle w:val="FootnoteReference"/>
        </w:rPr>
        <w:footnoteReference w:id="1"/>
      </w:r>
      <w:r w:rsidR="00AB450D">
        <w:t xml:space="preserve"> where </w:t>
      </w:r>
      <w:r w:rsidR="00392147">
        <w:t>the East Ohio Gas Company (“DEO” or “Utility”)</w:t>
      </w:r>
      <w:r w:rsidR="00AB450D">
        <w:t xml:space="preserve"> proposes to delay implementation of several of the Public Utilities Commission of Ohio’s (“PUCO”) rules regarding the </w:t>
      </w:r>
      <w:r w:rsidR="0011595E">
        <w:t>M</w:t>
      </w:r>
      <w:r w:rsidR="00AB450D">
        <w:t xml:space="preserve">inimum </w:t>
      </w:r>
      <w:r w:rsidR="0011595E">
        <w:t>G</w:t>
      </w:r>
      <w:r w:rsidR="00AB450D">
        <w:t xml:space="preserve">as </w:t>
      </w:r>
      <w:r w:rsidR="0011595E">
        <w:t>S</w:t>
      </w:r>
      <w:r w:rsidR="00AB450D">
        <w:t xml:space="preserve">ervice </w:t>
      </w:r>
      <w:r w:rsidR="0011595E">
        <w:t>S</w:t>
      </w:r>
      <w:r w:rsidR="00AB450D">
        <w:t xml:space="preserve">tandards (“MGSS”) and </w:t>
      </w:r>
      <w:r w:rsidR="007D3523">
        <w:t xml:space="preserve">rules regarding </w:t>
      </w:r>
      <w:r w:rsidR="00DE3C7A">
        <w:t xml:space="preserve">Credit </w:t>
      </w:r>
      <w:r w:rsidR="007D3523">
        <w:t xml:space="preserve">for Residential Utility Service </w:t>
      </w:r>
      <w:r w:rsidR="00DE3C7A">
        <w:t>and Disconnect</w:t>
      </w:r>
      <w:r w:rsidR="00AB450D">
        <w:t xml:space="preserve"> of </w:t>
      </w:r>
      <w:r w:rsidR="0011595E">
        <w:t>G</w:t>
      </w:r>
      <w:r w:rsidR="00AB450D">
        <w:t xml:space="preserve">as </w:t>
      </w:r>
      <w:r w:rsidR="007D3523">
        <w:t>to Residential Customers</w:t>
      </w:r>
      <w:r w:rsidR="00AB450D">
        <w:t xml:space="preserve"> (“</w:t>
      </w:r>
      <w:r w:rsidR="00DE3C7A">
        <w:t>Credit and Disconnect</w:t>
      </w:r>
      <w:r w:rsidR="00AB450D">
        <w:t>”)</w:t>
      </w:r>
      <w:r>
        <w:t xml:space="preserve">. </w:t>
      </w:r>
      <w:r w:rsidR="00392147">
        <w:t>DEO</w:t>
      </w:r>
      <w:r w:rsidR="0025011B">
        <w:t xml:space="preserve"> does not want to comply with the PUCO’s rules that were </w:t>
      </w:r>
      <w:r w:rsidR="00895711">
        <w:t xml:space="preserve">recently </w:t>
      </w:r>
      <w:r>
        <w:t>revised</w:t>
      </w:r>
      <w:r w:rsidR="0025011B">
        <w:t xml:space="preserve"> to protect customers receiving gas service.</w:t>
      </w:r>
      <w:r w:rsidR="0025011B" w:rsidRPr="0025011B">
        <w:rPr>
          <w:rStyle w:val="FootnoteReference"/>
        </w:rPr>
        <w:t xml:space="preserve"> </w:t>
      </w:r>
      <w:r w:rsidR="0025011B">
        <w:rPr>
          <w:rStyle w:val="FootnoteReference"/>
        </w:rPr>
        <w:footnoteReference w:id="2"/>
      </w:r>
      <w:r w:rsidR="00392147">
        <w:t xml:space="preserve"> </w:t>
      </w:r>
      <w:r w:rsidR="00895711">
        <w:t xml:space="preserve">If the PUCO permits </w:t>
      </w:r>
      <w:r w:rsidR="00AB450D">
        <w:t xml:space="preserve">DEO </w:t>
      </w:r>
      <w:r w:rsidR="00895711">
        <w:t xml:space="preserve">to </w:t>
      </w:r>
      <w:r w:rsidR="00392147">
        <w:t>waive</w:t>
      </w:r>
      <w:r w:rsidR="00895711">
        <w:t xml:space="preserve"> compl</w:t>
      </w:r>
      <w:r w:rsidR="00392147">
        <w:t>iance</w:t>
      </w:r>
      <w:r w:rsidR="00895711">
        <w:t xml:space="preserve"> with the MGSS</w:t>
      </w:r>
      <w:r w:rsidR="00392147">
        <w:t xml:space="preserve"> and Credit and Disconnect</w:t>
      </w:r>
      <w:r w:rsidR="00895711">
        <w:t xml:space="preserve"> rules, customers will likely be harmed</w:t>
      </w:r>
      <w:r>
        <w:t xml:space="preserve"> by not receiving the consumer protection benefits included in the revised rules</w:t>
      </w:r>
      <w:r w:rsidR="00895711">
        <w:t xml:space="preserve">.  </w:t>
      </w:r>
    </w:p>
    <w:p w:rsidR="00AB450D" w:rsidRDefault="009B7335" w:rsidP="0073080F">
      <w:pPr>
        <w:pStyle w:val="BodyTextIndent3"/>
        <w:suppressAutoHyphens/>
        <w:spacing w:line="480" w:lineRule="auto"/>
      </w:pPr>
      <w:r>
        <w:t>A</w:t>
      </w:r>
      <w:r w:rsidR="00895711">
        <w:t>fter reviewing extensive comments and reply comments</w:t>
      </w:r>
      <w:r>
        <w:t>, the PUCO revised the rules for minimum gas service standards and credit and disconnection rules</w:t>
      </w:r>
      <w:r w:rsidR="00895711">
        <w:t xml:space="preserve">. It considered </w:t>
      </w:r>
      <w:r w:rsidR="00895711">
        <w:lastRenderedPageBreak/>
        <w:t>the arguments made by the Utility and others in promulgating the revisions to the rules. DEO</w:t>
      </w:r>
      <w:r>
        <w:t>’s</w:t>
      </w:r>
      <w:r w:rsidR="00895711">
        <w:t xml:space="preserve"> arguments were not adopted. Instead</w:t>
      </w:r>
      <w:r>
        <w:t>,</w:t>
      </w:r>
      <w:r w:rsidR="00895711">
        <w:t xml:space="preserve"> the PUCO insisted upon </w:t>
      </w:r>
      <w:r>
        <w:t>additional customer protections</w:t>
      </w:r>
      <w:r w:rsidR="00895711">
        <w:t xml:space="preserve">. DEO </w:t>
      </w:r>
      <w:r w:rsidR="00AB450D">
        <w:t>now attempts to avoid compl</w:t>
      </w:r>
      <w:r w:rsidR="00895711">
        <w:t xml:space="preserve">ying with the new customer protections. </w:t>
      </w:r>
      <w:r w:rsidR="00AB450D">
        <w:t>OCC files on behalf of DEO’s approximately 1.1 million residential natural gas customers in Ohio</w:t>
      </w:r>
      <w:r w:rsidR="00895711">
        <w:t xml:space="preserve"> who are provided protections through the PUCO’s revised</w:t>
      </w:r>
      <w:r w:rsidR="00392147">
        <w:t xml:space="preserve"> MGSS and</w:t>
      </w:r>
      <w:r w:rsidR="00895711">
        <w:t xml:space="preserve"> </w:t>
      </w:r>
      <w:r w:rsidR="00392147">
        <w:t>C</w:t>
      </w:r>
      <w:r w:rsidR="00895711">
        <w:t xml:space="preserve">redit and </w:t>
      </w:r>
      <w:r w:rsidR="00392147">
        <w:t>D</w:t>
      </w:r>
      <w:r w:rsidR="00895711">
        <w:t>isconnect rules</w:t>
      </w:r>
      <w:r w:rsidR="00AB450D">
        <w:t>. The reasons the PUCO should grant OCC’s Motion are further set forth in the attached Memorandum in Support, which includes initial comments on DEO’s Application.</w:t>
      </w:r>
    </w:p>
    <w:p w:rsidR="00AB450D" w:rsidRDefault="00AB450D" w:rsidP="00AB450D">
      <w:pPr>
        <w:pStyle w:val="BodyTextIndent3"/>
        <w:widowControl w:val="0"/>
        <w:spacing w:line="480" w:lineRule="auto"/>
        <w:ind w:left="4320" w:firstLine="0"/>
        <w:rPr>
          <w:szCs w:val="24"/>
        </w:rPr>
      </w:pPr>
      <w:r>
        <w:rPr>
          <w:szCs w:val="24"/>
        </w:rPr>
        <w:t>Respectfully submitted,</w:t>
      </w:r>
    </w:p>
    <w:p w:rsidR="00AB450D" w:rsidRDefault="00AB450D" w:rsidP="00AB450D">
      <w:pPr>
        <w:pStyle w:val="Footer"/>
        <w:tabs>
          <w:tab w:val="left" w:pos="4320"/>
        </w:tabs>
        <w:ind w:left="4320"/>
        <w:rPr>
          <w:sz w:val="24"/>
          <w:szCs w:val="24"/>
        </w:rPr>
      </w:pPr>
      <w:r>
        <w:rPr>
          <w:sz w:val="24"/>
          <w:szCs w:val="24"/>
        </w:rPr>
        <w:t>BRUCE J. WESTON</w:t>
      </w:r>
    </w:p>
    <w:p w:rsidR="00AB450D" w:rsidRDefault="00AB450D" w:rsidP="00AB450D">
      <w:pPr>
        <w:tabs>
          <w:tab w:val="left" w:pos="4320"/>
        </w:tabs>
        <w:spacing w:after="120"/>
        <w:ind w:left="4320"/>
        <w:rPr>
          <w:szCs w:val="24"/>
        </w:rPr>
      </w:pPr>
      <w:r>
        <w:rPr>
          <w:szCs w:val="24"/>
        </w:rPr>
        <w:t>OHIO CONSUMERS’ COUNSEL</w:t>
      </w:r>
    </w:p>
    <w:p w:rsidR="00AB450D" w:rsidRDefault="00AB450D" w:rsidP="00AB450D">
      <w:pPr>
        <w:autoSpaceDE w:val="0"/>
        <w:autoSpaceDN w:val="0"/>
        <w:adjustRightInd w:val="0"/>
        <w:ind w:left="4320"/>
        <w:rPr>
          <w:i/>
        </w:rPr>
      </w:pPr>
      <w:r>
        <w:rPr>
          <w:i/>
          <w:u w:val="single"/>
        </w:rPr>
        <w:t>/s/ Jodi Bair                           </w:t>
      </w:r>
    </w:p>
    <w:p w:rsidR="00AB450D" w:rsidRDefault="00AB450D" w:rsidP="00AB450D">
      <w:pPr>
        <w:tabs>
          <w:tab w:val="left" w:pos="4320"/>
        </w:tabs>
        <w:ind w:left="4320"/>
        <w:rPr>
          <w:szCs w:val="24"/>
        </w:rPr>
      </w:pPr>
      <w:r>
        <w:rPr>
          <w:szCs w:val="24"/>
        </w:rPr>
        <w:t>Jodi Bair, Counsel of Record</w:t>
      </w:r>
    </w:p>
    <w:p w:rsidR="00AB450D" w:rsidRDefault="00AB450D" w:rsidP="00AB450D">
      <w:pPr>
        <w:tabs>
          <w:tab w:val="left" w:pos="4320"/>
        </w:tabs>
        <w:ind w:left="4320"/>
        <w:rPr>
          <w:szCs w:val="24"/>
        </w:rPr>
      </w:pPr>
      <w:r>
        <w:rPr>
          <w:szCs w:val="24"/>
        </w:rPr>
        <w:t>(</w:t>
      </w:r>
      <w:r w:rsidR="001C09A5">
        <w:rPr>
          <w:szCs w:val="24"/>
        </w:rPr>
        <w:t xml:space="preserve">Reg. No. </w:t>
      </w:r>
      <w:r>
        <w:rPr>
          <w:szCs w:val="24"/>
        </w:rPr>
        <w:t>0062921)</w:t>
      </w:r>
    </w:p>
    <w:p w:rsidR="00AB450D" w:rsidRDefault="001C09A5" w:rsidP="00AB450D">
      <w:pPr>
        <w:tabs>
          <w:tab w:val="left" w:pos="4320"/>
        </w:tabs>
        <w:ind w:left="4320"/>
        <w:rPr>
          <w:szCs w:val="24"/>
        </w:rPr>
      </w:pPr>
      <w:r>
        <w:rPr>
          <w:szCs w:val="24"/>
        </w:rPr>
        <w:t xml:space="preserve">Assistant Consumers’ Counsel </w:t>
      </w:r>
    </w:p>
    <w:p w:rsidR="001C09A5" w:rsidRDefault="001C09A5" w:rsidP="00AB450D">
      <w:pPr>
        <w:tabs>
          <w:tab w:val="left" w:pos="4320"/>
        </w:tabs>
        <w:ind w:left="4320"/>
        <w:rPr>
          <w:szCs w:val="24"/>
        </w:rPr>
      </w:pPr>
    </w:p>
    <w:p w:rsidR="00AB450D" w:rsidRPr="001C09A5" w:rsidRDefault="00AB450D" w:rsidP="001C09A5">
      <w:pPr>
        <w:ind w:left="4320"/>
        <w:rPr>
          <w:b/>
        </w:rPr>
      </w:pPr>
      <w:r w:rsidRPr="001C09A5">
        <w:rPr>
          <w:b/>
        </w:rPr>
        <w:t>Office of the Ohio Consumers’ Counsel</w:t>
      </w:r>
    </w:p>
    <w:p w:rsidR="00AB450D" w:rsidRDefault="00AB450D" w:rsidP="001C09A5">
      <w:pPr>
        <w:ind w:left="4320"/>
        <w:rPr>
          <w:b/>
        </w:rPr>
      </w:pPr>
      <w:r>
        <w:t>10 West Broad Street, Suite 1800</w:t>
      </w:r>
    </w:p>
    <w:p w:rsidR="00AB450D" w:rsidRDefault="00AB450D" w:rsidP="001C09A5">
      <w:pPr>
        <w:ind w:left="4320"/>
        <w:rPr>
          <w:b/>
        </w:rPr>
      </w:pPr>
      <w:r>
        <w:t>Columbus, Ohio 43215-3485</w:t>
      </w:r>
    </w:p>
    <w:p w:rsidR="00AB450D" w:rsidRDefault="00AB450D" w:rsidP="00AB450D">
      <w:pPr>
        <w:autoSpaceDE w:val="0"/>
        <w:autoSpaceDN w:val="0"/>
        <w:adjustRightInd w:val="0"/>
        <w:ind w:left="4320"/>
        <w:rPr>
          <w:szCs w:val="24"/>
        </w:rPr>
      </w:pPr>
      <w:r>
        <w:rPr>
          <w:szCs w:val="24"/>
        </w:rPr>
        <w:t xml:space="preserve">Telephone: </w:t>
      </w:r>
      <w:r w:rsidR="004D0989">
        <w:rPr>
          <w:szCs w:val="24"/>
        </w:rPr>
        <w:t xml:space="preserve"> </w:t>
      </w:r>
      <w:r>
        <w:rPr>
          <w:szCs w:val="24"/>
        </w:rPr>
        <w:t xml:space="preserve">(614) 466-9559 (Bair </w:t>
      </w:r>
      <w:r w:rsidR="006A312C">
        <w:rPr>
          <w:szCs w:val="24"/>
        </w:rPr>
        <w:t>D</w:t>
      </w:r>
      <w:r>
        <w:rPr>
          <w:szCs w:val="24"/>
        </w:rPr>
        <w:t>irect)</w:t>
      </w:r>
    </w:p>
    <w:p w:rsidR="00AB450D" w:rsidRDefault="000A071E" w:rsidP="00AB450D">
      <w:pPr>
        <w:ind w:left="4320"/>
        <w:rPr>
          <w:szCs w:val="24"/>
        </w:rPr>
      </w:pPr>
      <w:hyperlink r:id="rId15" w:history="1">
        <w:r w:rsidR="00AB450D">
          <w:rPr>
            <w:rStyle w:val="Hyperlink"/>
          </w:rPr>
          <w:t>jodi.bair@occ.ohio.gov</w:t>
        </w:r>
      </w:hyperlink>
    </w:p>
    <w:p w:rsidR="00AB450D" w:rsidRDefault="0073080F" w:rsidP="00AB450D">
      <w:pPr>
        <w:ind w:left="4320"/>
        <w:rPr>
          <w:i/>
          <w:szCs w:val="24"/>
        </w:rPr>
      </w:pPr>
      <w:r>
        <w:rPr>
          <w:szCs w:val="24"/>
        </w:rPr>
        <w:t>(will accept service via email)</w:t>
      </w:r>
    </w:p>
    <w:p w:rsidR="00AB450D" w:rsidRDefault="00AB450D" w:rsidP="00AB450D">
      <w:pPr>
        <w:rPr>
          <w:rFonts w:eastAsia="Courier New" w:cs="Courier New"/>
          <w:b/>
          <w:bCs/>
        </w:rPr>
      </w:pPr>
    </w:p>
    <w:p w:rsidR="0073080F" w:rsidRDefault="0073080F" w:rsidP="00AB450D">
      <w:pPr>
        <w:rPr>
          <w:rFonts w:eastAsia="Courier New" w:cs="Courier New"/>
          <w:b/>
          <w:bCs/>
        </w:rPr>
        <w:sectPr w:rsidR="0073080F">
          <w:pgSz w:w="12240" w:h="15840"/>
          <w:pgMar w:top="1440" w:right="1800" w:bottom="1440" w:left="1800" w:header="720" w:footer="720" w:gutter="0"/>
          <w:cols w:space="720"/>
        </w:sectPr>
      </w:pPr>
    </w:p>
    <w:p w:rsidR="0073080F" w:rsidRDefault="0073080F" w:rsidP="0073080F">
      <w:pPr>
        <w:jc w:val="center"/>
        <w:rPr>
          <w:rFonts w:eastAsia="Courier New" w:cs="Courier New"/>
          <w:b/>
          <w:bCs/>
        </w:rPr>
      </w:pPr>
      <w:r>
        <w:rPr>
          <w:rFonts w:eastAsia="Courier New" w:cs="Courier New"/>
          <w:b/>
          <w:bCs/>
        </w:rPr>
        <w:t>TABLE OF CONTENTS</w:t>
      </w:r>
    </w:p>
    <w:p w:rsidR="0073080F" w:rsidRDefault="0073080F" w:rsidP="0073080F">
      <w:pPr>
        <w:jc w:val="center"/>
        <w:rPr>
          <w:rFonts w:eastAsia="Courier New" w:cs="Courier New"/>
          <w:b/>
          <w:bCs/>
        </w:rPr>
      </w:pPr>
    </w:p>
    <w:p w:rsidR="0073080F" w:rsidRDefault="0073080F" w:rsidP="0073080F">
      <w:pPr>
        <w:jc w:val="center"/>
        <w:rPr>
          <w:rFonts w:eastAsia="Courier New" w:cs="Courier New"/>
          <w:b/>
          <w:bCs/>
        </w:rPr>
      </w:pPr>
    </w:p>
    <w:p w:rsidR="0073080F" w:rsidRDefault="0073080F" w:rsidP="0073080F">
      <w:pPr>
        <w:jc w:val="center"/>
        <w:rPr>
          <w:rFonts w:eastAsia="Courier New" w:cs="Courier New"/>
          <w:b/>
          <w:bCs/>
        </w:rPr>
      </w:pP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Pr>
          <w:rFonts w:eastAsia="Courier New" w:cs="Courier New"/>
          <w:b/>
          <w:bCs/>
        </w:rPr>
        <w:tab/>
      </w:r>
      <w:r w:rsidR="00B30CA8">
        <w:rPr>
          <w:rFonts w:eastAsia="Courier New" w:cs="Courier New"/>
          <w:b/>
          <w:bCs/>
        </w:rPr>
        <w:tab/>
      </w:r>
      <w:r>
        <w:rPr>
          <w:rFonts w:eastAsia="Courier New" w:cs="Courier New"/>
          <w:b/>
          <w:bCs/>
        </w:rPr>
        <w:t>PAGE</w:t>
      </w:r>
    </w:p>
    <w:p w:rsidR="00B30CA8" w:rsidRDefault="00B30CA8" w:rsidP="0073080F">
      <w:pPr>
        <w:jc w:val="center"/>
        <w:rPr>
          <w:rFonts w:eastAsia="Courier New" w:cs="Courier New"/>
          <w:b/>
          <w:bCs/>
        </w:rPr>
      </w:pPr>
    </w:p>
    <w:p w:rsidR="004D0989" w:rsidRDefault="00B30CA8">
      <w:pPr>
        <w:pStyle w:val="TOC1"/>
        <w:rPr>
          <w:rFonts w:asciiTheme="minorHAnsi" w:eastAsiaTheme="minorEastAsia" w:hAnsiTheme="minorHAnsi" w:cstheme="minorBidi"/>
          <w:caps w:val="0"/>
          <w:noProof/>
          <w:sz w:val="22"/>
          <w:szCs w:val="22"/>
        </w:rPr>
      </w:pPr>
      <w:r>
        <w:rPr>
          <w:rFonts w:eastAsia="Courier New" w:cs="Courier New"/>
          <w:b/>
          <w:bCs/>
        </w:rPr>
        <w:fldChar w:fldCharType="begin"/>
      </w:r>
      <w:r>
        <w:rPr>
          <w:rFonts w:eastAsia="Courier New" w:cs="Courier New"/>
          <w:b/>
          <w:bCs/>
        </w:rPr>
        <w:instrText xml:space="preserve"> TOC \o "1-2" \h \z \u </w:instrText>
      </w:r>
      <w:r>
        <w:rPr>
          <w:rFonts w:eastAsia="Courier New" w:cs="Courier New"/>
          <w:b/>
          <w:bCs/>
        </w:rPr>
        <w:fldChar w:fldCharType="separate"/>
      </w:r>
      <w:hyperlink w:anchor="_Toc411597646" w:history="1">
        <w:r w:rsidR="004D0989" w:rsidRPr="0059115C">
          <w:rPr>
            <w:rStyle w:val="Hyperlink"/>
            <w:noProof/>
          </w:rPr>
          <w:t>I.</w:t>
        </w:r>
        <w:r w:rsidR="004D0989">
          <w:rPr>
            <w:rFonts w:asciiTheme="minorHAnsi" w:eastAsiaTheme="minorEastAsia" w:hAnsiTheme="minorHAnsi" w:cstheme="minorBidi"/>
            <w:caps w:val="0"/>
            <w:noProof/>
            <w:sz w:val="22"/>
            <w:szCs w:val="22"/>
          </w:rPr>
          <w:tab/>
        </w:r>
        <w:r w:rsidR="004D0989" w:rsidRPr="0059115C">
          <w:rPr>
            <w:rStyle w:val="Hyperlink"/>
            <w:noProof/>
          </w:rPr>
          <w:t>INTERVENTION</w:t>
        </w:r>
        <w:r w:rsidR="004D0989">
          <w:rPr>
            <w:noProof/>
            <w:webHidden/>
          </w:rPr>
          <w:tab/>
        </w:r>
        <w:r w:rsidR="004D0989">
          <w:rPr>
            <w:noProof/>
            <w:webHidden/>
          </w:rPr>
          <w:fldChar w:fldCharType="begin"/>
        </w:r>
        <w:r w:rsidR="004D0989">
          <w:rPr>
            <w:noProof/>
            <w:webHidden/>
          </w:rPr>
          <w:instrText xml:space="preserve"> PAGEREF _Toc411597646 \h </w:instrText>
        </w:r>
        <w:r w:rsidR="004D0989">
          <w:rPr>
            <w:noProof/>
            <w:webHidden/>
          </w:rPr>
        </w:r>
        <w:r w:rsidR="004D0989">
          <w:rPr>
            <w:noProof/>
            <w:webHidden/>
          </w:rPr>
          <w:fldChar w:fldCharType="separate"/>
        </w:r>
        <w:r w:rsidR="00FF06C2">
          <w:rPr>
            <w:noProof/>
            <w:webHidden/>
          </w:rPr>
          <w:t>1</w:t>
        </w:r>
        <w:r w:rsidR="004D0989">
          <w:rPr>
            <w:noProof/>
            <w:webHidden/>
          </w:rPr>
          <w:fldChar w:fldCharType="end"/>
        </w:r>
      </w:hyperlink>
    </w:p>
    <w:p w:rsidR="004D0989" w:rsidRDefault="000A071E">
      <w:pPr>
        <w:pStyle w:val="TOC1"/>
        <w:rPr>
          <w:rFonts w:asciiTheme="minorHAnsi" w:eastAsiaTheme="minorEastAsia" w:hAnsiTheme="minorHAnsi" w:cstheme="minorBidi"/>
          <w:caps w:val="0"/>
          <w:noProof/>
          <w:sz w:val="22"/>
          <w:szCs w:val="22"/>
        </w:rPr>
      </w:pPr>
      <w:hyperlink w:anchor="_Toc411597647" w:history="1">
        <w:r w:rsidR="004D0989" w:rsidRPr="0059115C">
          <w:rPr>
            <w:rStyle w:val="Hyperlink"/>
            <w:noProof/>
          </w:rPr>
          <w:t>II.</w:t>
        </w:r>
        <w:r w:rsidR="004D0989">
          <w:rPr>
            <w:rFonts w:asciiTheme="minorHAnsi" w:eastAsiaTheme="minorEastAsia" w:hAnsiTheme="minorHAnsi" w:cstheme="minorBidi"/>
            <w:caps w:val="0"/>
            <w:noProof/>
            <w:sz w:val="22"/>
            <w:szCs w:val="22"/>
          </w:rPr>
          <w:tab/>
        </w:r>
        <w:r w:rsidR="004D0989" w:rsidRPr="0059115C">
          <w:rPr>
            <w:rStyle w:val="Hyperlink"/>
            <w:noProof/>
          </w:rPr>
          <w:t>INITIAL COMMENTS</w:t>
        </w:r>
        <w:r w:rsidR="004D0989">
          <w:rPr>
            <w:noProof/>
            <w:webHidden/>
          </w:rPr>
          <w:tab/>
        </w:r>
        <w:r w:rsidR="004D0989">
          <w:rPr>
            <w:noProof/>
            <w:webHidden/>
          </w:rPr>
          <w:fldChar w:fldCharType="begin"/>
        </w:r>
        <w:r w:rsidR="004D0989">
          <w:rPr>
            <w:noProof/>
            <w:webHidden/>
          </w:rPr>
          <w:instrText xml:space="preserve"> PAGEREF _Toc411597647 \h </w:instrText>
        </w:r>
        <w:r w:rsidR="004D0989">
          <w:rPr>
            <w:noProof/>
            <w:webHidden/>
          </w:rPr>
        </w:r>
        <w:r w:rsidR="004D0989">
          <w:rPr>
            <w:noProof/>
            <w:webHidden/>
          </w:rPr>
          <w:fldChar w:fldCharType="separate"/>
        </w:r>
        <w:r w:rsidR="00FF06C2">
          <w:rPr>
            <w:noProof/>
            <w:webHidden/>
          </w:rPr>
          <w:t>5</w:t>
        </w:r>
        <w:r w:rsidR="004D0989">
          <w:rPr>
            <w:noProof/>
            <w:webHidden/>
          </w:rPr>
          <w:fldChar w:fldCharType="end"/>
        </w:r>
      </w:hyperlink>
    </w:p>
    <w:p w:rsidR="004D0989" w:rsidRDefault="000A071E">
      <w:pPr>
        <w:pStyle w:val="TOC2"/>
        <w:tabs>
          <w:tab w:val="left" w:pos="1440"/>
        </w:tabs>
        <w:rPr>
          <w:rFonts w:asciiTheme="minorHAnsi" w:eastAsiaTheme="minorEastAsia" w:hAnsiTheme="minorHAnsi" w:cstheme="minorBidi"/>
          <w:noProof/>
          <w:sz w:val="22"/>
          <w:szCs w:val="22"/>
        </w:rPr>
      </w:pPr>
      <w:hyperlink w:anchor="_Toc411597648" w:history="1">
        <w:r w:rsidR="004D0989" w:rsidRPr="0059115C">
          <w:rPr>
            <w:rStyle w:val="Hyperlink"/>
            <w:noProof/>
          </w:rPr>
          <w:t>A.</w:t>
        </w:r>
        <w:r w:rsidR="004D0989">
          <w:rPr>
            <w:rFonts w:asciiTheme="minorHAnsi" w:eastAsiaTheme="minorEastAsia" w:hAnsiTheme="minorHAnsi" w:cstheme="minorBidi"/>
            <w:noProof/>
            <w:sz w:val="22"/>
            <w:szCs w:val="22"/>
          </w:rPr>
          <w:tab/>
        </w:r>
        <w:r w:rsidR="004D0989" w:rsidRPr="0059115C">
          <w:rPr>
            <w:rStyle w:val="Hyperlink"/>
            <w:noProof/>
          </w:rPr>
          <w:t>Ohio Admin. Code 4901:1-13-05(E) Reporting Requirements.</w:t>
        </w:r>
        <w:r w:rsidR="004D0989">
          <w:rPr>
            <w:noProof/>
            <w:webHidden/>
          </w:rPr>
          <w:tab/>
        </w:r>
        <w:r w:rsidR="004D0989">
          <w:rPr>
            <w:noProof/>
            <w:webHidden/>
          </w:rPr>
          <w:fldChar w:fldCharType="begin"/>
        </w:r>
        <w:r w:rsidR="004D0989">
          <w:rPr>
            <w:noProof/>
            <w:webHidden/>
          </w:rPr>
          <w:instrText xml:space="preserve"> PAGEREF _Toc411597648 \h </w:instrText>
        </w:r>
        <w:r w:rsidR="004D0989">
          <w:rPr>
            <w:noProof/>
            <w:webHidden/>
          </w:rPr>
        </w:r>
        <w:r w:rsidR="004D0989">
          <w:rPr>
            <w:noProof/>
            <w:webHidden/>
          </w:rPr>
          <w:fldChar w:fldCharType="separate"/>
        </w:r>
        <w:r w:rsidR="00FF06C2">
          <w:rPr>
            <w:noProof/>
            <w:webHidden/>
          </w:rPr>
          <w:t>6</w:t>
        </w:r>
        <w:r w:rsidR="004D0989">
          <w:rPr>
            <w:noProof/>
            <w:webHidden/>
          </w:rPr>
          <w:fldChar w:fldCharType="end"/>
        </w:r>
      </w:hyperlink>
    </w:p>
    <w:p w:rsidR="004D0989" w:rsidRDefault="000A071E">
      <w:pPr>
        <w:pStyle w:val="TOC2"/>
        <w:tabs>
          <w:tab w:val="left" w:pos="1440"/>
        </w:tabs>
        <w:rPr>
          <w:rFonts w:asciiTheme="minorHAnsi" w:eastAsiaTheme="minorEastAsia" w:hAnsiTheme="minorHAnsi" w:cstheme="minorBidi"/>
          <w:noProof/>
          <w:sz w:val="22"/>
          <w:szCs w:val="22"/>
        </w:rPr>
      </w:pPr>
      <w:hyperlink w:anchor="_Toc411597649" w:history="1">
        <w:r w:rsidR="004D0989" w:rsidRPr="0059115C">
          <w:rPr>
            <w:rStyle w:val="Hyperlink"/>
            <w:noProof/>
          </w:rPr>
          <w:t>B.</w:t>
        </w:r>
        <w:r w:rsidR="004D0989">
          <w:rPr>
            <w:rFonts w:asciiTheme="minorHAnsi" w:eastAsiaTheme="minorEastAsia" w:hAnsiTheme="minorHAnsi" w:cstheme="minorBidi"/>
            <w:noProof/>
            <w:sz w:val="22"/>
            <w:szCs w:val="22"/>
          </w:rPr>
          <w:tab/>
        </w:r>
        <w:r w:rsidR="004D0989" w:rsidRPr="0059115C">
          <w:rPr>
            <w:rStyle w:val="Hyperlink"/>
            <w:noProof/>
          </w:rPr>
          <w:t>Ohio Admin Code 4901:1-18-15(G) General Percentage Of Income Payment Plan Provisions.</w:t>
        </w:r>
        <w:r w:rsidR="004D0989">
          <w:rPr>
            <w:noProof/>
            <w:webHidden/>
          </w:rPr>
          <w:tab/>
        </w:r>
        <w:r w:rsidR="004D0989">
          <w:rPr>
            <w:noProof/>
            <w:webHidden/>
          </w:rPr>
          <w:fldChar w:fldCharType="begin"/>
        </w:r>
        <w:r w:rsidR="004D0989">
          <w:rPr>
            <w:noProof/>
            <w:webHidden/>
          </w:rPr>
          <w:instrText xml:space="preserve"> PAGEREF _Toc411597649 \h </w:instrText>
        </w:r>
        <w:r w:rsidR="004D0989">
          <w:rPr>
            <w:noProof/>
            <w:webHidden/>
          </w:rPr>
        </w:r>
        <w:r w:rsidR="004D0989">
          <w:rPr>
            <w:noProof/>
            <w:webHidden/>
          </w:rPr>
          <w:fldChar w:fldCharType="separate"/>
        </w:r>
        <w:r w:rsidR="00FF06C2">
          <w:rPr>
            <w:noProof/>
            <w:webHidden/>
          </w:rPr>
          <w:t>8</w:t>
        </w:r>
        <w:r w:rsidR="004D0989">
          <w:rPr>
            <w:noProof/>
            <w:webHidden/>
          </w:rPr>
          <w:fldChar w:fldCharType="end"/>
        </w:r>
      </w:hyperlink>
    </w:p>
    <w:p w:rsidR="004D0989" w:rsidRDefault="000A071E">
      <w:pPr>
        <w:pStyle w:val="TOC2"/>
        <w:tabs>
          <w:tab w:val="left" w:pos="1440"/>
        </w:tabs>
        <w:rPr>
          <w:rFonts w:asciiTheme="minorHAnsi" w:eastAsiaTheme="minorEastAsia" w:hAnsiTheme="minorHAnsi" w:cstheme="minorBidi"/>
          <w:noProof/>
          <w:sz w:val="22"/>
          <w:szCs w:val="22"/>
        </w:rPr>
      </w:pPr>
      <w:hyperlink w:anchor="_Toc411597650" w:history="1">
        <w:r w:rsidR="004D0989" w:rsidRPr="0059115C">
          <w:rPr>
            <w:rStyle w:val="Hyperlink"/>
            <w:noProof/>
          </w:rPr>
          <w:t>C.</w:t>
        </w:r>
        <w:r w:rsidR="004D0989">
          <w:rPr>
            <w:rFonts w:asciiTheme="minorHAnsi" w:eastAsiaTheme="minorEastAsia" w:hAnsiTheme="minorHAnsi" w:cstheme="minorBidi"/>
            <w:noProof/>
            <w:sz w:val="22"/>
            <w:szCs w:val="22"/>
          </w:rPr>
          <w:tab/>
        </w:r>
        <w:r w:rsidR="004D0989" w:rsidRPr="0059115C">
          <w:rPr>
            <w:rStyle w:val="Hyperlink"/>
            <w:noProof/>
          </w:rPr>
          <w:t>Ohio Admin. Code 4901:1-13-05(A)(1), (A)(4), (C)(4), and (C)(5) Minimum Customer Service Levels</w:t>
        </w:r>
        <w:r w:rsidR="004D0989">
          <w:rPr>
            <w:noProof/>
            <w:webHidden/>
          </w:rPr>
          <w:tab/>
        </w:r>
        <w:r w:rsidR="004D0989">
          <w:rPr>
            <w:noProof/>
            <w:webHidden/>
          </w:rPr>
          <w:fldChar w:fldCharType="begin"/>
        </w:r>
        <w:r w:rsidR="004D0989">
          <w:rPr>
            <w:noProof/>
            <w:webHidden/>
          </w:rPr>
          <w:instrText xml:space="preserve"> PAGEREF _Toc411597650 \h </w:instrText>
        </w:r>
        <w:r w:rsidR="004D0989">
          <w:rPr>
            <w:noProof/>
            <w:webHidden/>
          </w:rPr>
        </w:r>
        <w:r w:rsidR="004D0989">
          <w:rPr>
            <w:noProof/>
            <w:webHidden/>
          </w:rPr>
          <w:fldChar w:fldCharType="separate"/>
        </w:r>
        <w:r w:rsidR="00FF06C2">
          <w:rPr>
            <w:noProof/>
            <w:webHidden/>
          </w:rPr>
          <w:t>10</w:t>
        </w:r>
        <w:r w:rsidR="004D0989">
          <w:rPr>
            <w:noProof/>
            <w:webHidden/>
          </w:rPr>
          <w:fldChar w:fldCharType="end"/>
        </w:r>
      </w:hyperlink>
    </w:p>
    <w:p w:rsidR="004D0989" w:rsidRDefault="000A071E">
      <w:pPr>
        <w:pStyle w:val="TOC1"/>
        <w:rPr>
          <w:rFonts w:asciiTheme="minorHAnsi" w:eastAsiaTheme="minorEastAsia" w:hAnsiTheme="minorHAnsi" w:cstheme="minorBidi"/>
          <w:caps w:val="0"/>
          <w:noProof/>
          <w:sz w:val="22"/>
          <w:szCs w:val="22"/>
        </w:rPr>
      </w:pPr>
      <w:hyperlink w:anchor="_Toc411597651" w:history="1">
        <w:r w:rsidR="004D0989" w:rsidRPr="0059115C">
          <w:rPr>
            <w:rStyle w:val="Hyperlink"/>
            <w:noProof/>
          </w:rPr>
          <w:t>III.</w:t>
        </w:r>
        <w:r w:rsidR="004D0989">
          <w:rPr>
            <w:rFonts w:asciiTheme="minorHAnsi" w:eastAsiaTheme="minorEastAsia" w:hAnsiTheme="minorHAnsi" w:cstheme="minorBidi"/>
            <w:caps w:val="0"/>
            <w:noProof/>
            <w:sz w:val="22"/>
            <w:szCs w:val="22"/>
          </w:rPr>
          <w:tab/>
        </w:r>
        <w:r w:rsidR="004D0989" w:rsidRPr="0059115C">
          <w:rPr>
            <w:rStyle w:val="Hyperlink"/>
            <w:noProof/>
          </w:rPr>
          <w:t>Conclusion</w:t>
        </w:r>
        <w:r w:rsidR="004D0989">
          <w:rPr>
            <w:noProof/>
            <w:webHidden/>
          </w:rPr>
          <w:tab/>
        </w:r>
        <w:r w:rsidR="004D0989">
          <w:rPr>
            <w:noProof/>
            <w:webHidden/>
          </w:rPr>
          <w:fldChar w:fldCharType="begin"/>
        </w:r>
        <w:r w:rsidR="004D0989">
          <w:rPr>
            <w:noProof/>
            <w:webHidden/>
          </w:rPr>
          <w:instrText xml:space="preserve"> PAGEREF _Toc411597651 \h </w:instrText>
        </w:r>
        <w:r w:rsidR="004D0989">
          <w:rPr>
            <w:noProof/>
            <w:webHidden/>
          </w:rPr>
        </w:r>
        <w:r w:rsidR="004D0989">
          <w:rPr>
            <w:noProof/>
            <w:webHidden/>
          </w:rPr>
          <w:fldChar w:fldCharType="separate"/>
        </w:r>
        <w:r w:rsidR="00FF06C2">
          <w:rPr>
            <w:noProof/>
            <w:webHidden/>
          </w:rPr>
          <w:t>12</w:t>
        </w:r>
        <w:r w:rsidR="004D0989">
          <w:rPr>
            <w:noProof/>
            <w:webHidden/>
          </w:rPr>
          <w:fldChar w:fldCharType="end"/>
        </w:r>
      </w:hyperlink>
    </w:p>
    <w:p w:rsidR="0073080F" w:rsidRDefault="00B30CA8" w:rsidP="0073080F">
      <w:pPr>
        <w:jc w:val="center"/>
        <w:rPr>
          <w:rFonts w:eastAsia="Courier New" w:cs="Courier New"/>
          <w:b/>
          <w:bCs/>
        </w:rPr>
      </w:pPr>
      <w:r>
        <w:rPr>
          <w:rFonts w:eastAsia="Courier New" w:cs="Courier New"/>
          <w:b/>
          <w:bCs/>
        </w:rPr>
        <w:fldChar w:fldCharType="end"/>
      </w:r>
    </w:p>
    <w:p w:rsidR="0073080F" w:rsidRDefault="0073080F" w:rsidP="0073080F">
      <w:pPr>
        <w:jc w:val="center"/>
        <w:rPr>
          <w:rFonts w:eastAsia="Courier New" w:cs="Courier New"/>
          <w:b/>
          <w:bCs/>
        </w:rPr>
        <w:sectPr w:rsidR="0073080F" w:rsidSect="00B30CA8">
          <w:footerReference w:type="default" r:id="rId16"/>
          <w:pgSz w:w="12240" w:h="15840"/>
          <w:pgMar w:top="1440" w:right="1800" w:bottom="1440" w:left="1800" w:header="720" w:footer="720" w:gutter="0"/>
          <w:pgNumType w:fmt="lowerRoman" w:start="1"/>
          <w:cols w:space="720"/>
        </w:sectPr>
      </w:pPr>
    </w:p>
    <w:p w:rsidR="00AB450D" w:rsidRDefault="00AB450D" w:rsidP="00AB450D">
      <w:pPr>
        <w:pStyle w:val="HTMLPreformatted"/>
        <w:jc w:val="center"/>
        <w:rPr>
          <w:rFonts w:ascii="Times New Roman" w:hAnsi="Times New Roman"/>
          <w:b/>
          <w:bCs/>
          <w:sz w:val="24"/>
        </w:rPr>
      </w:pPr>
      <w:r>
        <w:rPr>
          <w:rFonts w:ascii="Times New Roman" w:hAnsi="Times New Roman"/>
          <w:b/>
          <w:bCs/>
          <w:sz w:val="24"/>
        </w:rPr>
        <w:t>BEFORE</w:t>
      </w:r>
    </w:p>
    <w:p w:rsidR="00AB450D" w:rsidRDefault="00AB450D" w:rsidP="00AB450D">
      <w:pPr>
        <w:pStyle w:val="HTMLPreformatted"/>
        <w:jc w:val="center"/>
        <w:rPr>
          <w:rFonts w:ascii="Times New Roman" w:hAnsi="Times New Roman"/>
          <w:sz w:val="24"/>
        </w:rPr>
      </w:pPr>
      <w:r>
        <w:rPr>
          <w:rFonts w:ascii="Times New Roman" w:hAnsi="Times New Roman"/>
          <w:b/>
          <w:bCs/>
          <w:sz w:val="24"/>
        </w:rPr>
        <w:t>THE PUBLIC UTILITIES COMMISSION OF OHIO</w:t>
      </w:r>
    </w:p>
    <w:p w:rsidR="00AB450D" w:rsidRDefault="00AB450D" w:rsidP="00AB450D">
      <w:pPr>
        <w:pStyle w:val="HTMLPreformatted"/>
        <w:rPr>
          <w:rFonts w:ascii="Times New Roman" w:hAnsi="Times New Roman"/>
          <w:sz w:val="24"/>
        </w:rPr>
      </w:pPr>
    </w:p>
    <w:tbl>
      <w:tblPr>
        <w:tblW w:w="9458" w:type="dxa"/>
        <w:tblLook w:val="01E0" w:firstRow="1" w:lastRow="1" w:firstColumn="1" w:lastColumn="1" w:noHBand="0" w:noVBand="0"/>
      </w:tblPr>
      <w:tblGrid>
        <w:gridCol w:w="4698"/>
        <w:gridCol w:w="360"/>
        <w:gridCol w:w="4400"/>
      </w:tblGrid>
      <w:tr w:rsidR="006F5270" w:rsidTr="00212167">
        <w:trPr>
          <w:trHeight w:val="807"/>
        </w:trPr>
        <w:tc>
          <w:tcPr>
            <w:tcW w:w="4698" w:type="dxa"/>
            <w:hideMark/>
          </w:tcPr>
          <w:p w:rsidR="006F5270" w:rsidRDefault="006F5270" w:rsidP="0021216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East Ohio Gas Company d/b/a Dominion East Ohio for a Waiver of Certain Rules in Chapters 4901:1-13 and 4901:1-18, Ohio Administrative Code.</w:t>
            </w:r>
          </w:p>
        </w:tc>
        <w:tc>
          <w:tcPr>
            <w:tcW w:w="360" w:type="dxa"/>
            <w:hideMark/>
          </w:tcPr>
          <w:p w:rsidR="006F5270" w:rsidRDefault="006F5270" w:rsidP="00212167">
            <w:pPr>
              <w:pStyle w:val="HTMLPreformatted"/>
              <w:rPr>
                <w:rFonts w:ascii="Times New Roman" w:hAnsi="Times New Roman"/>
                <w:sz w:val="24"/>
              </w:rPr>
            </w:pPr>
            <w:r>
              <w:rPr>
                <w:rFonts w:ascii="Times New Roman" w:hAnsi="Times New Roman"/>
                <w:sz w:val="24"/>
              </w:rPr>
              <w:t>)</w:t>
            </w:r>
          </w:p>
          <w:p w:rsidR="006F5270" w:rsidRDefault="006F5270" w:rsidP="00212167">
            <w:pPr>
              <w:pStyle w:val="HTMLPreformatted"/>
              <w:rPr>
                <w:rFonts w:ascii="Times New Roman" w:hAnsi="Times New Roman"/>
                <w:sz w:val="24"/>
              </w:rPr>
            </w:pPr>
            <w:r>
              <w:rPr>
                <w:rFonts w:ascii="Times New Roman" w:hAnsi="Times New Roman"/>
                <w:sz w:val="24"/>
              </w:rPr>
              <w:t>)</w:t>
            </w:r>
          </w:p>
          <w:p w:rsidR="006F5270" w:rsidRDefault="006F5270" w:rsidP="00212167">
            <w:pPr>
              <w:pStyle w:val="HTMLPreformatted"/>
              <w:rPr>
                <w:rFonts w:ascii="Times New Roman" w:hAnsi="Times New Roman"/>
                <w:sz w:val="24"/>
              </w:rPr>
            </w:pPr>
            <w:r>
              <w:rPr>
                <w:rFonts w:ascii="Times New Roman" w:hAnsi="Times New Roman"/>
                <w:sz w:val="24"/>
              </w:rPr>
              <w:t>)</w:t>
            </w:r>
          </w:p>
          <w:p w:rsidR="006F5270" w:rsidRDefault="006F5270" w:rsidP="00212167">
            <w:pPr>
              <w:pStyle w:val="HTMLPreformatted"/>
              <w:rPr>
                <w:rFonts w:ascii="Times New Roman" w:hAnsi="Times New Roman"/>
                <w:sz w:val="24"/>
              </w:rPr>
            </w:pPr>
            <w:r>
              <w:rPr>
                <w:rFonts w:ascii="Times New Roman" w:hAnsi="Times New Roman"/>
                <w:sz w:val="24"/>
              </w:rPr>
              <w:t>)</w:t>
            </w:r>
          </w:p>
          <w:p w:rsidR="006F5270" w:rsidRDefault="006F5270" w:rsidP="00212167">
            <w:pPr>
              <w:pStyle w:val="HTMLPreformatted"/>
              <w:rPr>
                <w:rFonts w:ascii="Times New Roman" w:hAnsi="Times New Roman"/>
                <w:sz w:val="24"/>
              </w:rPr>
            </w:pPr>
            <w:r>
              <w:rPr>
                <w:rFonts w:ascii="Times New Roman" w:hAnsi="Times New Roman"/>
                <w:sz w:val="24"/>
              </w:rPr>
              <w:t>)</w:t>
            </w:r>
          </w:p>
        </w:tc>
        <w:tc>
          <w:tcPr>
            <w:tcW w:w="4400" w:type="dxa"/>
          </w:tcPr>
          <w:p w:rsidR="006F5270" w:rsidRDefault="006F5270" w:rsidP="00212167">
            <w:pPr>
              <w:pStyle w:val="HTMLPreformatted"/>
              <w:rPr>
                <w:rFonts w:ascii="Times New Roman" w:hAnsi="Times New Roman"/>
                <w:sz w:val="24"/>
              </w:rPr>
            </w:pPr>
          </w:p>
          <w:p w:rsidR="006F5270" w:rsidRDefault="006F5270" w:rsidP="00212167">
            <w:r>
              <w:t>Case No. 14-2203-GA-WVR</w:t>
            </w:r>
          </w:p>
          <w:p w:rsidR="006F5270" w:rsidRDefault="006F5270" w:rsidP="00212167">
            <w:pPr>
              <w:pStyle w:val="HTMLPreformatted"/>
              <w:rPr>
                <w:rFonts w:ascii="Times New Roman" w:hAnsi="Times New Roman" w:cs="Times New Roman"/>
                <w:sz w:val="24"/>
                <w:szCs w:val="24"/>
              </w:rPr>
            </w:pPr>
          </w:p>
        </w:tc>
      </w:tr>
    </w:tbl>
    <w:p w:rsidR="006F5270" w:rsidRDefault="006F5270" w:rsidP="00AB450D">
      <w:pPr>
        <w:pStyle w:val="HTMLPreformatted"/>
        <w:rPr>
          <w:rFonts w:ascii="Times New Roman" w:hAnsi="Times New Roman"/>
          <w:sz w:val="24"/>
        </w:rPr>
      </w:pPr>
    </w:p>
    <w:p w:rsidR="00AB450D" w:rsidRDefault="00AB450D" w:rsidP="001C09A5">
      <w:pPr>
        <w:pBdr>
          <w:bottom w:val="single" w:sz="12" w:space="1" w:color="auto"/>
        </w:pBdr>
      </w:pPr>
    </w:p>
    <w:p w:rsidR="001C09A5" w:rsidRDefault="001C09A5" w:rsidP="001C09A5">
      <w:pPr>
        <w:jc w:val="center"/>
      </w:pPr>
    </w:p>
    <w:p w:rsidR="00AB450D" w:rsidRPr="001C09A5" w:rsidRDefault="00AB450D" w:rsidP="001C09A5">
      <w:pPr>
        <w:jc w:val="center"/>
        <w:rPr>
          <w:b/>
        </w:rPr>
      </w:pPr>
      <w:r w:rsidRPr="001C09A5">
        <w:rPr>
          <w:b/>
        </w:rPr>
        <w:t>MEMORANDUM IN SUPPORT</w:t>
      </w:r>
    </w:p>
    <w:p w:rsidR="00AB450D" w:rsidRPr="001C09A5" w:rsidRDefault="00AB450D" w:rsidP="001C09A5">
      <w:pPr>
        <w:jc w:val="center"/>
        <w:rPr>
          <w:b/>
        </w:rPr>
      </w:pPr>
      <w:r w:rsidRPr="001C09A5">
        <w:rPr>
          <w:b/>
        </w:rPr>
        <w:t>AND</w:t>
      </w:r>
    </w:p>
    <w:p w:rsidR="001C09A5" w:rsidRDefault="00AB450D" w:rsidP="001C09A5">
      <w:pPr>
        <w:pBdr>
          <w:bottom w:val="single" w:sz="12" w:space="1" w:color="auto"/>
        </w:pBdr>
        <w:jc w:val="center"/>
        <w:rPr>
          <w:b/>
        </w:rPr>
      </w:pPr>
      <w:r w:rsidRPr="001C09A5">
        <w:rPr>
          <w:b/>
        </w:rPr>
        <w:t>INITIAL COMMENTS</w:t>
      </w:r>
    </w:p>
    <w:p w:rsidR="0073080F" w:rsidRPr="001C09A5" w:rsidRDefault="0073080F" w:rsidP="001C09A5">
      <w:pPr>
        <w:pBdr>
          <w:bottom w:val="single" w:sz="12" w:space="1" w:color="auto"/>
        </w:pBdr>
        <w:jc w:val="center"/>
        <w:rPr>
          <w:b/>
        </w:rPr>
      </w:pPr>
    </w:p>
    <w:p w:rsidR="001C09A5" w:rsidRDefault="001C09A5" w:rsidP="001C09A5">
      <w:pPr>
        <w:jc w:val="center"/>
      </w:pPr>
    </w:p>
    <w:p w:rsidR="00AD1593" w:rsidRDefault="00AD1593" w:rsidP="00AD1593">
      <w:pPr>
        <w:pStyle w:val="Heading1"/>
      </w:pPr>
      <w:bookmarkStart w:id="1" w:name="_Toc411597646"/>
      <w:r>
        <w:t>INTERVENTION</w:t>
      </w:r>
      <w:bookmarkEnd w:id="1"/>
    </w:p>
    <w:p w:rsidR="00AB450D" w:rsidRDefault="009B7335" w:rsidP="001C09A5">
      <w:pPr>
        <w:pStyle w:val="BodyTextIndent3"/>
        <w:suppressAutoHyphens/>
        <w:spacing w:before="120" w:line="480" w:lineRule="auto"/>
      </w:pPr>
      <w:r>
        <w:t>T</w:t>
      </w:r>
      <w:r w:rsidR="00AB450D">
        <w:t>he PUCO adopted</w:t>
      </w:r>
      <w:r>
        <w:t xml:space="preserve"> revised</w:t>
      </w:r>
      <w:r w:rsidR="00AB450D">
        <w:t xml:space="preserve"> rules addressing Ohio gas companies’ </w:t>
      </w:r>
      <w:r w:rsidR="0011595E">
        <w:t>M</w:t>
      </w:r>
      <w:r w:rsidR="00AB450D">
        <w:t xml:space="preserve">inimum </w:t>
      </w:r>
      <w:r w:rsidR="0011595E">
        <w:t>G</w:t>
      </w:r>
      <w:r w:rsidR="00AB450D">
        <w:t xml:space="preserve">as </w:t>
      </w:r>
      <w:r w:rsidR="0011595E">
        <w:t>S</w:t>
      </w:r>
      <w:r w:rsidR="00AB450D">
        <w:t xml:space="preserve">ervice </w:t>
      </w:r>
      <w:r w:rsidR="0011595E">
        <w:t>S</w:t>
      </w:r>
      <w:r w:rsidR="00AB450D">
        <w:t>tandards (“MGSS”)</w:t>
      </w:r>
      <w:r w:rsidR="00AB450D">
        <w:rPr>
          <w:rStyle w:val="FootnoteReference"/>
        </w:rPr>
        <w:footnoteReference w:id="3"/>
      </w:r>
      <w:r w:rsidR="00AB450D">
        <w:t xml:space="preserve"> and rules regarding the </w:t>
      </w:r>
      <w:r w:rsidR="00392147">
        <w:t>e</w:t>
      </w:r>
      <w:r w:rsidR="00AB450D">
        <w:t xml:space="preserve">stablishment of </w:t>
      </w:r>
      <w:r w:rsidR="00DE3C7A">
        <w:t xml:space="preserve">Credit </w:t>
      </w:r>
      <w:r w:rsidR="0011595E">
        <w:t xml:space="preserve">for Residential Utility Service and the </w:t>
      </w:r>
      <w:r w:rsidR="00DE3C7A">
        <w:t>Disconnect</w:t>
      </w:r>
      <w:r w:rsidR="00AB450D">
        <w:t xml:space="preserve"> </w:t>
      </w:r>
      <w:r w:rsidR="0011595E">
        <w:t>of Gas to Residential Customers</w:t>
      </w:r>
      <w:r w:rsidR="00AB450D">
        <w:t xml:space="preserve"> </w:t>
      </w:r>
      <w:r w:rsidR="0011595E">
        <w:t>(Credit and Disconnect”)</w:t>
      </w:r>
      <w:r w:rsidR="00F50508" w:rsidRPr="00F50508">
        <w:rPr>
          <w:rStyle w:val="FootnoteReference"/>
        </w:rPr>
        <w:t xml:space="preserve"> </w:t>
      </w:r>
      <w:r w:rsidR="00F50508">
        <w:rPr>
          <w:rStyle w:val="FootnoteReference"/>
        </w:rPr>
        <w:footnoteReference w:id="4"/>
      </w:r>
      <w:r w:rsidR="00F50508">
        <w:t xml:space="preserve"> </w:t>
      </w:r>
      <w:r w:rsidR="00AB450D">
        <w:t>on November 12, 2014</w:t>
      </w:r>
      <w:r w:rsidR="0011595E">
        <w:t>,</w:t>
      </w:r>
      <w:r w:rsidR="00AB450D">
        <w:t xml:space="preserve"> and August 6, 2014, respectively.</w:t>
      </w:r>
      <w:r>
        <w:t xml:space="preserve"> The original C</w:t>
      </w:r>
      <w:r w:rsidR="008D49FA">
        <w:t>redit and Disconnect rules beca</w:t>
      </w:r>
      <w:r>
        <w:t>m</w:t>
      </w:r>
      <w:r w:rsidR="008D49FA">
        <w:t>e</w:t>
      </w:r>
      <w:r>
        <w:t xml:space="preserve"> effective in 1980 and the MGSS</w:t>
      </w:r>
      <w:r w:rsidR="00392147">
        <w:t xml:space="preserve"> became effective</w:t>
      </w:r>
      <w:r>
        <w:t xml:space="preserve"> in 2006.</w:t>
      </w:r>
      <w:r w:rsidR="00AB450D">
        <w:t xml:space="preserve"> In this pleading,</w:t>
      </w:r>
      <w:r w:rsidR="00B379A9">
        <w:t xml:space="preserve"> </w:t>
      </w:r>
      <w:r w:rsidR="00AB450D">
        <w:t xml:space="preserve">DEO, a natural gas utility company, asks the PUCO for a waiver of </w:t>
      </w:r>
      <w:r w:rsidR="00392147">
        <w:t>several</w:t>
      </w:r>
      <w:r w:rsidR="00AB450D">
        <w:t xml:space="preserve"> of th</w:t>
      </w:r>
      <w:r w:rsidR="00392147">
        <w:t>e</w:t>
      </w:r>
      <w:r w:rsidR="00AB450D">
        <w:t>se new rules.</w:t>
      </w:r>
      <w:r w:rsidR="00AB450D">
        <w:rPr>
          <w:rStyle w:val="FootnoteReference"/>
        </w:rPr>
        <w:footnoteReference w:id="5"/>
      </w:r>
      <w:r w:rsidR="00AB450D">
        <w:t xml:space="preserve"> DEO actively participated in both of these PUCO proceedings, raising issues about the rules it now seeks to waive.</w:t>
      </w:r>
      <w:r w:rsidR="00AB450D">
        <w:rPr>
          <w:rStyle w:val="FootnoteReference"/>
        </w:rPr>
        <w:footnoteReference w:id="6"/>
      </w:r>
      <w:r w:rsidR="00AB450D">
        <w:t xml:space="preserve"> Though the PUCO made its decision and issued final orders in these cases, DEO again attacks the PUCO orders through this waiver case. These rules affect DEO’s approximately 1.1 million residential customers located in northeastern, western, and southeastern Ohio. </w:t>
      </w:r>
      <w:r w:rsidR="00AB450D">
        <w:rPr>
          <w:szCs w:val="24"/>
        </w:rPr>
        <w:t>OCC</w:t>
      </w:r>
      <w:r w:rsidR="00B379A9">
        <w:rPr>
          <w:szCs w:val="24"/>
        </w:rPr>
        <w:t>,</w:t>
      </w:r>
      <w:r w:rsidR="00AB450D">
        <w:rPr>
          <w:szCs w:val="24"/>
        </w:rPr>
        <w:t xml:space="preserve"> under </w:t>
      </w:r>
      <w:r w:rsidR="00AB450D">
        <w:t>R.C. Chapter 4911</w:t>
      </w:r>
      <w:r w:rsidR="00B379A9">
        <w:t>,</w:t>
      </w:r>
      <w:r w:rsidR="00AB450D">
        <w:t xml:space="preserve"> </w:t>
      </w:r>
      <w:r w:rsidR="00AB450D">
        <w:rPr>
          <w:szCs w:val="24"/>
        </w:rPr>
        <w:t>represent</w:t>
      </w:r>
      <w:r w:rsidR="0011595E">
        <w:rPr>
          <w:szCs w:val="24"/>
        </w:rPr>
        <w:t>s</w:t>
      </w:r>
      <w:r w:rsidR="00AB450D">
        <w:rPr>
          <w:szCs w:val="24"/>
        </w:rPr>
        <w:t xml:space="preserve"> </w:t>
      </w:r>
      <w:r w:rsidR="00AB450D">
        <w:t xml:space="preserve">the interests of residential natural gas utility customers in Ohio who will be affected by DEO’s failure to timely comply with the </w:t>
      </w:r>
      <w:r w:rsidR="004442EB">
        <w:t xml:space="preserve">rules </w:t>
      </w:r>
      <w:r w:rsidR="00F06B16">
        <w:t xml:space="preserve">established for the </w:t>
      </w:r>
      <w:r w:rsidR="004442EB">
        <w:t>protect</w:t>
      </w:r>
      <w:r w:rsidR="00F06B16">
        <w:t>ion of its</w:t>
      </w:r>
      <w:r w:rsidR="004442EB">
        <w:t xml:space="preserve"> customers</w:t>
      </w:r>
      <w:r w:rsidR="005C612B">
        <w:t>.</w:t>
      </w:r>
      <w:r w:rsidR="00AB450D">
        <w:t xml:space="preserve"> </w:t>
      </w:r>
    </w:p>
    <w:p w:rsidR="00AB450D" w:rsidRDefault="00AB450D" w:rsidP="00AB450D">
      <w:pPr>
        <w:pStyle w:val="BodyTextIndent3"/>
        <w:suppressAutoHyphens/>
        <w:spacing w:line="480" w:lineRule="auto"/>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consumer protections for the</w:t>
      </w:r>
      <w:r w:rsidR="00A36085">
        <w:t xml:space="preserve"> customers</w:t>
      </w:r>
      <w:r>
        <w:t xml:space="preserve"> </w:t>
      </w:r>
      <w:r w:rsidR="004442EB">
        <w:t>are</w:t>
      </w:r>
      <w:r>
        <w:t xml:space="preserve"> at issue. Thus, this element of the intervention standard in R.C. 4903.221 is satisfied. </w:t>
      </w:r>
    </w:p>
    <w:p w:rsidR="00AB450D" w:rsidRDefault="00AB450D" w:rsidP="00AB450D">
      <w:pPr>
        <w:suppressAutoHyphens/>
        <w:spacing w:line="480" w:lineRule="auto"/>
        <w:ind w:firstLine="720"/>
        <w:rPr>
          <w:szCs w:val="24"/>
        </w:rPr>
      </w:pPr>
      <w:r>
        <w:rPr>
          <w:szCs w:val="24"/>
        </w:rPr>
        <w:t>R.C. 4903.221(B) requires the PUCO to consider the following criteria in ruling on motions to intervene:</w:t>
      </w:r>
    </w:p>
    <w:p w:rsidR="00AB450D" w:rsidRDefault="00AB450D" w:rsidP="00AB450D">
      <w:pPr>
        <w:ind w:left="2160" w:right="720" w:hanging="720"/>
        <w:rPr>
          <w:szCs w:val="24"/>
        </w:rPr>
      </w:pPr>
      <w:r>
        <w:rPr>
          <w:szCs w:val="24"/>
        </w:rPr>
        <w:t>(1)</w:t>
      </w:r>
      <w:r>
        <w:rPr>
          <w:szCs w:val="24"/>
        </w:rPr>
        <w:tab/>
        <w:t>The nature and extent of the prospective intervenor’s interest,</w:t>
      </w:r>
    </w:p>
    <w:p w:rsidR="00AB450D" w:rsidRDefault="00AB450D" w:rsidP="00AB450D">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B450D" w:rsidRDefault="00AB450D" w:rsidP="00AB450D">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B450D" w:rsidRDefault="00AB450D" w:rsidP="00AB450D">
      <w:pPr>
        <w:pStyle w:val="BodyTextIndent2"/>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B450D" w:rsidRDefault="00AB450D" w:rsidP="00AB450D">
      <w:pPr>
        <w:pStyle w:val="BodyTextIndent3"/>
        <w:suppressAutoHyphens/>
        <w:spacing w:line="480" w:lineRule="auto"/>
        <w:rPr>
          <w:szCs w:val="24"/>
        </w:rPr>
      </w:pPr>
      <w:r>
        <w:t xml:space="preserve">First, the nature and extent of OCC’s interest is representing residential customers </w:t>
      </w:r>
      <w:r>
        <w:rPr>
          <w:szCs w:val="24"/>
        </w:rPr>
        <w:t xml:space="preserve">in this case where DEO seeks a waiver of rules related to consumer protections. Specifically, DEO wants a waiver from several of the minimum gas service standards and </w:t>
      </w:r>
      <w:r w:rsidR="00DE3C7A">
        <w:rPr>
          <w:szCs w:val="24"/>
        </w:rPr>
        <w:t>Credit and Disconnect</w:t>
      </w:r>
      <w:r>
        <w:rPr>
          <w:szCs w:val="24"/>
        </w:rPr>
        <w:t xml:space="preserve"> rules relating to the provision of gas service to its customers. This interest is different from that of any other party and especially different from that of DEO, whose advocacy includes the financial interest of its stockholders.</w:t>
      </w:r>
    </w:p>
    <w:p w:rsidR="00AB450D" w:rsidRDefault="00AB450D" w:rsidP="00AB450D">
      <w:pPr>
        <w:pStyle w:val="Footer"/>
        <w:tabs>
          <w:tab w:val="left" w:pos="720"/>
        </w:tabs>
        <w:suppressAutoHyphens/>
        <w:spacing w:line="480" w:lineRule="auto"/>
        <w:ind w:firstLine="720"/>
        <w:rPr>
          <w:sz w:val="24"/>
          <w:szCs w:val="24"/>
        </w:rPr>
      </w:pPr>
      <w:r>
        <w:rPr>
          <w:sz w:val="24"/>
          <w:szCs w:val="24"/>
        </w:rPr>
        <w:t>Second, OCC’s advocacy for residential customers will include advancing the position that consumer protection laws and regulations are essential to ensuring that consumers are adequately protected in transactions involving the provision of gas utility service. OCC’s position is therefore directly related to the merits of this case that is pending before the PUCO, the authority with regulatory control of the provision of natural gas in Ohio.</w:t>
      </w:r>
      <w:r>
        <w:rPr>
          <w:rStyle w:val="FootnoteReference"/>
          <w:sz w:val="24"/>
          <w:szCs w:val="24"/>
        </w:rPr>
        <w:footnoteReference w:id="7"/>
      </w:r>
    </w:p>
    <w:p w:rsidR="00AB450D" w:rsidRDefault="00AB450D" w:rsidP="00AB450D">
      <w:pPr>
        <w:pStyle w:val="BodyTextIndent3"/>
        <w:suppressAutoHyphens/>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B450D" w:rsidRDefault="00AB450D" w:rsidP="00AB450D">
      <w:pPr>
        <w:pStyle w:val="Footer"/>
        <w:tabs>
          <w:tab w:val="left" w:pos="720"/>
        </w:tabs>
        <w:suppressAutoHyphen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AB450D" w:rsidRDefault="00AB450D" w:rsidP="00AB450D">
      <w:pPr>
        <w:pStyle w:val="WW-BodyTextIndent3"/>
        <w:spacing w:line="480" w:lineRule="auto"/>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w:t>
      </w:r>
      <w:r>
        <w:t xml:space="preserve"> a supplier of natural gas service seeks a waiver from necessary consumer protections</w:t>
      </w:r>
      <w:r>
        <w:rPr>
          <w:szCs w:val="24"/>
        </w:rPr>
        <w:t xml:space="preserve">.  </w:t>
      </w:r>
    </w:p>
    <w:p w:rsidR="00AB450D" w:rsidRDefault="00AB450D" w:rsidP="00AB450D">
      <w:pPr>
        <w:pStyle w:val="BodyTextIndent3"/>
        <w:suppressAutoHyphens/>
        <w:spacing w:line="480" w:lineRule="auto"/>
        <w:rPr>
          <w:szCs w:val="24"/>
        </w:rPr>
      </w:pPr>
      <w:r>
        <w:rPr>
          <w:szCs w:val="24"/>
        </w:rPr>
        <w:t>In addition, OCC meets the criteria of Ohio Adm. Code 4901-1-11(B)(1)-(4).  These criteria mirror the statutory criteria in R.C. 4903.221(B) that OCC already has addressed and that OCC satisfies.</w:t>
      </w:r>
    </w:p>
    <w:p w:rsidR="00AB450D" w:rsidRDefault="00AB450D" w:rsidP="00AB450D">
      <w:pPr>
        <w:pStyle w:val="BodyTextIndent3"/>
        <w:suppressAutoHyphens/>
        <w:spacing w:line="480" w:lineRule="auto"/>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B450D" w:rsidRDefault="00AB450D" w:rsidP="00AB450D">
      <w:pPr>
        <w:pStyle w:val="WW-BodyTextIndent3"/>
        <w:spacing w:line="480" w:lineRule="auto"/>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8"/>
      </w:r>
      <w:r>
        <w:rPr>
          <w:szCs w:val="24"/>
        </w:rPr>
        <w:t xml:space="preserve">  </w:t>
      </w:r>
    </w:p>
    <w:p w:rsidR="00AB450D" w:rsidRDefault="00AB450D" w:rsidP="00AB450D">
      <w:pPr>
        <w:suppressAutoHyphens/>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73080F" w:rsidRDefault="0073080F" w:rsidP="0073080F">
      <w:pPr>
        <w:suppressAutoHyphens/>
        <w:ind w:firstLine="720"/>
        <w:rPr>
          <w:szCs w:val="24"/>
        </w:rPr>
      </w:pPr>
    </w:p>
    <w:p w:rsidR="00AB450D" w:rsidRDefault="00AB450D" w:rsidP="00AD1593">
      <w:pPr>
        <w:pStyle w:val="Heading1"/>
      </w:pPr>
      <w:bookmarkStart w:id="2" w:name="_Toc411597647"/>
      <w:r>
        <w:t>INITIAL COMMENTS</w:t>
      </w:r>
      <w:bookmarkEnd w:id="2"/>
    </w:p>
    <w:p w:rsidR="00AB450D" w:rsidRDefault="00AB450D" w:rsidP="00AB450D">
      <w:pPr>
        <w:suppressAutoHyphens/>
        <w:spacing w:line="480" w:lineRule="auto"/>
        <w:ind w:firstLine="720"/>
        <w:rPr>
          <w:szCs w:val="24"/>
        </w:rPr>
      </w:pPr>
      <w:r>
        <w:rPr>
          <w:szCs w:val="24"/>
        </w:rPr>
        <w:t xml:space="preserve">DEO and the OCC, among others, actively participated in the PUCO cases that amended the rules that DEO now requests </w:t>
      </w:r>
      <w:r w:rsidR="00B379A9">
        <w:rPr>
          <w:szCs w:val="24"/>
        </w:rPr>
        <w:t>to</w:t>
      </w:r>
      <w:r>
        <w:rPr>
          <w:szCs w:val="24"/>
        </w:rPr>
        <w:t xml:space="preserve"> waiv</w:t>
      </w:r>
      <w:r w:rsidR="00F06B16">
        <w:rPr>
          <w:szCs w:val="24"/>
        </w:rPr>
        <w:t>e</w:t>
      </w:r>
      <w:r>
        <w:rPr>
          <w:szCs w:val="24"/>
        </w:rPr>
        <w:t xml:space="preserve">. The PUCO opened the </w:t>
      </w:r>
      <w:r w:rsidR="00DE3C7A">
        <w:rPr>
          <w:szCs w:val="24"/>
        </w:rPr>
        <w:t>Credit and Disconnect</w:t>
      </w:r>
      <w:r>
        <w:rPr>
          <w:szCs w:val="24"/>
        </w:rPr>
        <w:t xml:space="preserve"> case on January 23, 2013</w:t>
      </w:r>
      <w:r w:rsidR="00E076D9">
        <w:rPr>
          <w:szCs w:val="24"/>
        </w:rPr>
        <w:t>,</w:t>
      </w:r>
      <w:r>
        <w:rPr>
          <w:szCs w:val="24"/>
        </w:rPr>
        <w:t xml:space="preserve"> and the MGSS case on November 15, 2013. Orders were issued on June 4, 2014</w:t>
      </w:r>
      <w:r w:rsidR="00E076D9">
        <w:rPr>
          <w:szCs w:val="24"/>
        </w:rPr>
        <w:t>,</w:t>
      </w:r>
      <w:r>
        <w:rPr>
          <w:szCs w:val="24"/>
        </w:rPr>
        <w:t xml:space="preserve"> and July 30, 2014, respectively. DEO filed comments, reply comments and applications for rehearing in both cases. DEO now seeks </w:t>
      </w:r>
      <w:r w:rsidR="00A2612A">
        <w:rPr>
          <w:szCs w:val="24"/>
        </w:rPr>
        <w:t xml:space="preserve">to delay </w:t>
      </w:r>
      <w:r w:rsidR="004442EB">
        <w:rPr>
          <w:szCs w:val="24"/>
        </w:rPr>
        <w:t xml:space="preserve">complying with the rules that protect </w:t>
      </w:r>
      <w:r w:rsidR="00A2612A">
        <w:rPr>
          <w:szCs w:val="24"/>
        </w:rPr>
        <w:t>consumers</w:t>
      </w:r>
      <w:r w:rsidR="00832410">
        <w:rPr>
          <w:szCs w:val="24"/>
        </w:rPr>
        <w:t xml:space="preserve">. </w:t>
      </w:r>
      <w:r>
        <w:rPr>
          <w:szCs w:val="24"/>
        </w:rPr>
        <w:t xml:space="preserve">Vectren Energy Delivery of Ohio (VEDO), another Ohio gas company, made a waiver application of several of the </w:t>
      </w:r>
      <w:r w:rsidR="00DE3C7A">
        <w:rPr>
          <w:szCs w:val="24"/>
        </w:rPr>
        <w:t>Credit and Disconnect</w:t>
      </w:r>
      <w:r>
        <w:rPr>
          <w:szCs w:val="24"/>
        </w:rPr>
        <w:t xml:space="preserve"> rules; however, VEDO made its request for a very limited time – until April 30, 2015. OCC has no objection to VEDO’s limited waiver request. </w:t>
      </w:r>
      <w:r w:rsidR="00933C78">
        <w:rPr>
          <w:szCs w:val="24"/>
        </w:rPr>
        <w:t xml:space="preserve">And because DEO seeks a limited amount of time – until June 30, 2015 for a waiver of Adm. Code 4901:1-13-11(C) and 4901:1-18-06(F)(3), OCC does not object to these limited waiver requests. </w:t>
      </w:r>
      <w:r>
        <w:rPr>
          <w:szCs w:val="24"/>
        </w:rPr>
        <w:t xml:space="preserve">DEO, however, </w:t>
      </w:r>
      <w:r w:rsidR="00F06B16">
        <w:rPr>
          <w:szCs w:val="24"/>
        </w:rPr>
        <w:t xml:space="preserve">also </w:t>
      </w:r>
      <w:r>
        <w:rPr>
          <w:szCs w:val="24"/>
        </w:rPr>
        <w:t xml:space="preserve">asks to waive </w:t>
      </w:r>
      <w:r w:rsidR="00DE3C7A">
        <w:rPr>
          <w:szCs w:val="24"/>
        </w:rPr>
        <w:t>three</w:t>
      </w:r>
      <w:r w:rsidR="00933C78">
        <w:rPr>
          <w:szCs w:val="24"/>
        </w:rPr>
        <w:t xml:space="preserve"> other</w:t>
      </w:r>
      <w:r>
        <w:rPr>
          <w:szCs w:val="24"/>
        </w:rPr>
        <w:t xml:space="preserve"> rules and requests a much longer period of time t</w:t>
      </w:r>
      <w:r w:rsidR="00DE3C7A">
        <w:rPr>
          <w:szCs w:val="24"/>
        </w:rPr>
        <w:t xml:space="preserve">o comply. OCC asks the </w:t>
      </w:r>
      <w:r>
        <w:rPr>
          <w:szCs w:val="24"/>
        </w:rPr>
        <w:t>PUCO to deny DEO’s waiver application</w:t>
      </w:r>
      <w:r w:rsidR="00DE3C7A">
        <w:rPr>
          <w:szCs w:val="24"/>
        </w:rPr>
        <w:t xml:space="preserve"> of Ohio Adm. Code 4901:1-13-05(E), 4901:1-18-15(G), and 4901:1-13-05(A)(1), (A)(</w:t>
      </w:r>
      <w:r w:rsidR="00875783">
        <w:rPr>
          <w:szCs w:val="24"/>
        </w:rPr>
        <w:t>4</w:t>
      </w:r>
      <w:r w:rsidR="00DE3C7A">
        <w:rPr>
          <w:szCs w:val="24"/>
        </w:rPr>
        <w:t>), (C)(4)</w:t>
      </w:r>
      <w:r w:rsidR="00E076D9">
        <w:rPr>
          <w:szCs w:val="24"/>
        </w:rPr>
        <w:t>,</w:t>
      </w:r>
      <w:r w:rsidR="00DE3C7A">
        <w:rPr>
          <w:szCs w:val="24"/>
        </w:rPr>
        <w:t xml:space="preserve"> and (C)(5) </w:t>
      </w:r>
      <w:r>
        <w:rPr>
          <w:szCs w:val="24"/>
        </w:rPr>
        <w:t>and order DEO to comply with the</w:t>
      </w:r>
      <w:r w:rsidR="00F06B16">
        <w:rPr>
          <w:szCs w:val="24"/>
        </w:rPr>
        <w:t>se</w:t>
      </w:r>
      <w:r>
        <w:rPr>
          <w:szCs w:val="24"/>
        </w:rPr>
        <w:t xml:space="preserve"> MGSS and </w:t>
      </w:r>
      <w:r w:rsidR="00DE3C7A">
        <w:rPr>
          <w:szCs w:val="24"/>
        </w:rPr>
        <w:t>Credit and Disconnect</w:t>
      </w:r>
      <w:r>
        <w:rPr>
          <w:szCs w:val="24"/>
        </w:rPr>
        <w:t xml:space="preserve"> rules.</w:t>
      </w:r>
    </w:p>
    <w:p w:rsidR="00AB450D" w:rsidRDefault="00BE122A" w:rsidP="00AB450D">
      <w:pPr>
        <w:suppressAutoHyphens/>
        <w:spacing w:line="480" w:lineRule="auto"/>
        <w:ind w:firstLine="720"/>
        <w:rPr>
          <w:szCs w:val="24"/>
        </w:rPr>
      </w:pPr>
      <w:r>
        <w:rPr>
          <w:szCs w:val="24"/>
        </w:rPr>
        <w:t>The PUCO may waive a rule for good cause shown;</w:t>
      </w:r>
      <w:r w:rsidR="00F50508">
        <w:rPr>
          <w:rStyle w:val="FootnoteReference"/>
          <w:szCs w:val="24"/>
        </w:rPr>
        <w:footnoteReference w:id="9"/>
      </w:r>
      <w:r>
        <w:rPr>
          <w:szCs w:val="24"/>
        </w:rPr>
        <w:t xml:space="preserve"> however, DEO, by arguing against the same rules that i</w:t>
      </w:r>
      <w:r w:rsidR="005F7A1F">
        <w:rPr>
          <w:szCs w:val="24"/>
        </w:rPr>
        <w:t>t</w:t>
      </w:r>
      <w:r>
        <w:rPr>
          <w:szCs w:val="24"/>
        </w:rPr>
        <w:t xml:space="preserve"> challenged in the MGSS and Credit and Disconnect cases, fails to demonstrate good cause shown to waive any rules.</w:t>
      </w:r>
      <w:r>
        <w:rPr>
          <w:rStyle w:val="FootnoteReference"/>
          <w:szCs w:val="24"/>
        </w:rPr>
        <w:footnoteReference w:id="10"/>
      </w:r>
      <w:r>
        <w:rPr>
          <w:szCs w:val="24"/>
        </w:rPr>
        <w:t xml:space="preserve"> </w:t>
      </w:r>
      <w:r w:rsidR="00AB450D">
        <w:rPr>
          <w:szCs w:val="24"/>
        </w:rPr>
        <w:t xml:space="preserve">Just as DEO already made its arguments in earlier cases, the OCC will reiterate reasons supporting each rule that DEO seeks to waive. And, following the precedent already established by the PUCO in these cases, OCC asks the PUCO to reject DEO’s waiver application to ensure that DEO’s approximately 1.1 million residential customers </w:t>
      </w:r>
      <w:r w:rsidR="00F06B16">
        <w:rPr>
          <w:szCs w:val="24"/>
        </w:rPr>
        <w:t>are provided</w:t>
      </w:r>
      <w:r w:rsidR="00AB450D">
        <w:rPr>
          <w:szCs w:val="24"/>
        </w:rPr>
        <w:t xml:space="preserve"> the consumer benefits that the PUCO intended.</w:t>
      </w:r>
      <w:r>
        <w:rPr>
          <w:szCs w:val="24"/>
        </w:rPr>
        <w:t xml:space="preserve"> </w:t>
      </w:r>
    </w:p>
    <w:p w:rsidR="00AB450D" w:rsidRDefault="001C09A5" w:rsidP="001C09A5">
      <w:pPr>
        <w:pStyle w:val="Heading2"/>
      </w:pPr>
      <w:bookmarkStart w:id="3" w:name="_Toc411597648"/>
      <w:r>
        <w:t>A.</w:t>
      </w:r>
      <w:r>
        <w:tab/>
      </w:r>
      <w:r w:rsidR="00AB450D">
        <w:t xml:space="preserve">Ohio Admin. Code 4901:1-13-05(E) Reporting </w:t>
      </w:r>
      <w:r>
        <w:t>R</w:t>
      </w:r>
      <w:r w:rsidR="00AB450D">
        <w:t>equirements.</w:t>
      </w:r>
      <w:bookmarkEnd w:id="3"/>
    </w:p>
    <w:p w:rsidR="00AB450D" w:rsidRDefault="00AB450D" w:rsidP="00AB450D">
      <w:pPr>
        <w:suppressAutoHyphens/>
        <w:spacing w:line="480" w:lineRule="auto"/>
        <w:ind w:firstLine="720"/>
        <w:rPr>
          <w:szCs w:val="24"/>
        </w:rPr>
      </w:pPr>
      <w:r>
        <w:rPr>
          <w:szCs w:val="24"/>
        </w:rPr>
        <w:t xml:space="preserve">DEO requests a waiver of the reporting Rule 4901:1-13-05(E) until it can “understand how the rules apply to existing processes and specifically what must be reported.” The Utility </w:t>
      </w:r>
      <w:r w:rsidR="00E076D9">
        <w:rPr>
          <w:szCs w:val="24"/>
        </w:rPr>
        <w:t xml:space="preserve">contends </w:t>
      </w:r>
      <w:r>
        <w:rPr>
          <w:szCs w:val="24"/>
        </w:rPr>
        <w:t xml:space="preserve">that it cannot determine how to track various rescheduling occurrences and it must address these ambiguities with Staff before implementation. </w:t>
      </w:r>
      <w:r w:rsidR="00E076D9">
        <w:rPr>
          <w:szCs w:val="24"/>
        </w:rPr>
        <w:t>The f</w:t>
      </w:r>
      <w:r>
        <w:rPr>
          <w:szCs w:val="24"/>
        </w:rPr>
        <w:t xml:space="preserve">ollowing shows </w:t>
      </w:r>
      <w:r w:rsidR="003E354A">
        <w:rPr>
          <w:szCs w:val="24"/>
        </w:rPr>
        <w:t>the</w:t>
      </w:r>
      <w:r w:rsidR="00E076D9">
        <w:rPr>
          <w:szCs w:val="24"/>
        </w:rPr>
        <w:t xml:space="preserve"> </w:t>
      </w:r>
      <w:r>
        <w:rPr>
          <w:szCs w:val="24"/>
        </w:rPr>
        <w:t>changes to Ohio Adm. Code 4901-1-13-05(E):</w:t>
      </w:r>
    </w:p>
    <w:p w:rsidR="00AB450D" w:rsidRDefault="00AB450D" w:rsidP="00B34A50">
      <w:pPr>
        <w:suppressAutoHyphens/>
        <w:spacing w:line="480" w:lineRule="auto"/>
        <w:ind w:left="1440" w:right="720" w:hanging="720"/>
        <w:rPr>
          <w:szCs w:val="24"/>
        </w:rPr>
      </w:pPr>
      <w:r>
        <w:rPr>
          <w:szCs w:val="24"/>
        </w:rPr>
        <w:t xml:space="preserve">(E) </w:t>
      </w:r>
      <w:r w:rsidR="00B34A50">
        <w:rPr>
          <w:szCs w:val="24"/>
        </w:rPr>
        <w:tab/>
      </w:r>
      <w:r>
        <w:rPr>
          <w:szCs w:val="24"/>
        </w:rPr>
        <w:t>Reporting requirements.</w:t>
      </w:r>
    </w:p>
    <w:p w:rsidR="00AB450D" w:rsidRDefault="00AB450D" w:rsidP="00B34A50">
      <w:pPr>
        <w:suppressAutoHyphens/>
        <w:ind w:left="2160" w:right="720" w:hanging="720"/>
        <w:rPr>
          <w:szCs w:val="24"/>
        </w:rPr>
      </w:pPr>
      <w:r>
        <w:rPr>
          <w:szCs w:val="24"/>
        </w:rPr>
        <w:t xml:space="preserve">(1) </w:t>
      </w:r>
      <w:r w:rsidR="00B34A50">
        <w:rPr>
          <w:szCs w:val="24"/>
        </w:rPr>
        <w:tab/>
      </w:r>
      <w:r>
        <w:rPr>
          <w:szCs w:val="24"/>
        </w:rPr>
        <w:t xml:space="preserve">When a gas or natural gas company does not meet the </w:t>
      </w:r>
      <w:r>
        <w:rPr>
          <w:strike/>
          <w:szCs w:val="24"/>
        </w:rPr>
        <w:t>average monthly</w:t>
      </w:r>
      <w:r>
        <w:rPr>
          <w:szCs w:val="24"/>
        </w:rPr>
        <w:t xml:space="preserve"> minimum service level set forth in paragraph (A), (B), (C), or (D) of this rule, in </w:t>
      </w:r>
      <w:r>
        <w:rPr>
          <w:strike/>
          <w:szCs w:val="24"/>
        </w:rPr>
        <w:t>any calendar year</w:t>
      </w:r>
      <w:r>
        <w:rPr>
          <w:szCs w:val="24"/>
        </w:rPr>
        <w:t xml:space="preserve"> </w:t>
      </w:r>
      <w:r>
        <w:rPr>
          <w:szCs w:val="24"/>
          <w:u w:val="single"/>
        </w:rPr>
        <w:t>for any two consecutive months</w:t>
      </w:r>
      <w:r>
        <w:rPr>
          <w:szCs w:val="24"/>
        </w:rPr>
        <w:t>, the gas or natural gas company shall notify the director of the commission’s service monitoring and enforcement department or the director’s designee in writing within sixty thirty days after such failure. The notification shall include any factors that contributed to such failure, as well as any remedial action taken or planned to be taken or rationale for not taking any remedial action. Any failure to report the lack of compliance with the minimum service levels set forth in paragraph (A), (B), (C), or (D) of this rule constitutes a violation of this rule.</w:t>
      </w:r>
    </w:p>
    <w:p w:rsidR="00B34A50" w:rsidRDefault="00B34A50" w:rsidP="00B34A50">
      <w:pPr>
        <w:suppressAutoHyphens/>
        <w:ind w:left="2160" w:right="720" w:hanging="720"/>
        <w:rPr>
          <w:szCs w:val="24"/>
        </w:rPr>
      </w:pPr>
    </w:p>
    <w:p w:rsidR="00AB450D" w:rsidRDefault="00AB450D" w:rsidP="00B34A50">
      <w:pPr>
        <w:suppressAutoHyphens/>
        <w:ind w:left="2160" w:right="720" w:hanging="720"/>
        <w:rPr>
          <w:szCs w:val="24"/>
        </w:rPr>
      </w:pPr>
      <w:r>
        <w:rPr>
          <w:szCs w:val="24"/>
        </w:rPr>
        <w:t>(2)</w:t>
      </w:r>
      <w:r w:rsidR="00B34A50">
        <w:rPr>
          <w:szCs w:val="24"/>
        </w:rPr>
        <w:tab/>
      </w:r>
      <w:r>
        <w:rPr>
          <w:szCs w:val="24"/>
        </w:rPr>
        <w:t>...</w:t>
      </w:r>
    </w:p>
    <w:p w:rsidR="00B34A50" w:rsidRDefault="00B34A50" w:rsidP="00B34A50">
      <w:pPr>
        <w:suppressAutoHyphens/>
        <w:ind w:left="2160" w:right="720" w:hanging="720"/>
        <w:rPr>
          <w:szCs w:val="24"/>
        </w:rPr>
      </w:pPr>
    </w:p>
    <w:p w:rsidR="00AB450D" w:rsidRDefault="00AB450D" w:rsidP="00B34A50">
      <w:pPr>
        <w:suppressAutoHyphens/>
        <w:ind w:left="2160" w:right="720" w:hanging="720"/>
        <w:rPr>
          <w:szCs w:val="24"/>
        </w:rPr>
      </w:pPr>
      <w:r>
        <w:rPr>
          <w:szCs w:val="24"/>
        </w:rPr>
        <w:t>(3)</w:t>
      </w:r>
      <w:r w:rsidR="00B34A50">
        <w:rPr>
          <w:szCs w:val="24"/>
        </w:rPr>
        <w:tab/>
      </w:r>
      <w:r>
        <w:rPr>
          <w:szCs w:val="24"/>
        </w:rPr>
        <w:t xml:space="preserve"> </w:t>
      </w:r>
      <w:r>
        <w:rPr>
          <w:szCs w:val="24"/>
          <w:u w:val="single"/>
        </w:rPr>
        <w:t>By March thirty-first of each year, each gas or natural gas company shall submit an annual report to the director of the commission’s service monitoring and enforcement department, setting forth the company’s actual monthly customer service performance data during the previous calendar year as compared with each of the minimum service levels set forth in paragraphs (A), (B), (C), or (D) of this rule</w:t>
      </w:r>
      <w:r>
        <w:rPr>
          <w:szCs w:val="24"/>
        </w:rPr>
        <w:t>.</w:t>
      </w:r>
      <w:r w:rsidR="00F06B16">
        <w:rPr>
          <w:rStyle w:val="FootnoteReference"/>
          <w:szCs w:val="24"/>
        </w:rPr>
        <w:footnoteReference w:id="11"/>
      </w:r>
    </w:p>
    <w:p w:rsidR="00AB450D" w:rsidRDefault="00AB450D" w:rsidP="00AB450D">
      <w:pPr>
        <w:suppressAutoHyphens/>
        <w:ind w:left="1440"/>
        <w:rPr>
          <w:szCs w:val="24"/>
        </w:rPr>
      </w:pPr>
    </w:p>
    <w:p w:rsidR="00AB450D" w:rsidRDefault="00AB450D" w:rsidP="001B4525">
      <w:pPr>
        <w:suppressAutoHyphens/>
        <w:spacing w:line="480" w:lineRule="auto"/>
        <w:ind w:firstLine="720"/>
        <w:rPr>
          <w:szCs w:val="24"/>
        </w:rPr>
      </w:pPr>
      <w:r>
        <w:rPr>
          <w:szCs w:val="24"/>
        </w:rPr>
        <w:t xml:space="preserve">The amendment now requires that if </w:t>
      </w:r>
      <w:r w:rsidR="00392147">
        <w:rPr>
          <w:szCs w:val="24"/>
        </w:rPr>
        <w:t>a</w:t>
      </w:r>
      <w:r>
        <w:rPr>
          <w:szCs w:val="24"/>
        </w:rPr>
        <w:t xml:space="preserve"> company does not meet</w:t>
      </w:r>
      <w:r w:rsidR="00392147">
        <w:rPr>
          <w:szCs w:val="24"/>
        </w:rPr>
        <w:t xml:space="preserve"> the</w:t>
      </w:r>
      <w:r>
        <w:rPr>
          <w:szCs w:val="24"/>
        </w:rPr>
        <w:t xml:space="preserve"> minimum service </w:t>
      </w:r>
      <w:r w:rsidR="004442EB">
        <w:rPr>
          <w:szCs w:val="24"/>
        </w:rPr>
        <w:t>standards</w:t>
      </w:r>
      <w:r>
        <w:rPr>
          <w:szCs w:val="24"/>
        </w:rPr>
        <w:t xml:space="preserve"> for any two consecutive months in any 12-month time, it must notify </w:t>
      </w:r>
      <w:r w:rsidR="008157EB">
        <w:rPr>
          <w:szCs w:val="24"/>
        </w:rPr>
        <w:t xml:space="preserve">the </w:t>
      </w:r>
      <w:r w:rsidR="004442EB">
        <w:rPr>
          <w:szCs w:val="24"/>
        </w:rPr>
        <w:t xml:space="preserve">PUCO </w:t>
      </w:r>
      <w:r w:rsidR="008D49FA">
        <w:rPr>
          <w:szCs w:val="24"/>
        </w:rPr>
        <w:t>staff. If a gas company fails to meet the minimum service level for two consecutive months, this should signal to the Utility and the PUCO that there is a problem tha</w:t>
      </w:r>
      <w:r w:rsidR="008157EB">
        <w:rPr>
          <w:szCs w:val="24"/>
        </w:rPr>
        <w:t>t</w:t>
      </w:r>
      <w:r w:rsidR="008D49FA">
        <w:rPr>
          <w:szCs w:val="24"/>
        </w:rPr>
        <w:t xml:space="preserve"> should be addressed immediately</w:t>
      </w:r>
      <w:r w:rsidR="008157EB">
        <w:rPr>
          <w:szCs w:val="24"/>
        </w:rPr>
        <w:t xml:space="preserve">. </w:t>
      </w:r>
      <w:r w:rsidR="00392147">
        <w:rPr>
          <w:szCs w:val="24"/>
        </w:rPr>
        <w:t xml:space="preserve">If a company reports this failure, </w:t>
      </w:r>
      <w:r w:rsidR="00F06B16">
        <w:rPr>
          <w:szCs w:val="24"/>
        </w:rPr>
        <w:t xml:space="preserve">then </w:t>
      </w:r>
      <w:r w:rsidR="00392147">
        <w:rPr>
          <w:szCs w:val="24"/>
        </w:rPr>
        <w:t>c</w:t>
      </w:r>
      <w:r w:rsidR="008157EB">
        <w:rPr>
          <w:szCs w:val="24"/>
        </w:rPr>
        <w:t xml:space="preserve">ustomers are not receiving the </w:t>
      </w:r>
      <w:r w:rsidR="00F06B16">
        <w:rPr>
          <w:szCs w:val="24"/>
        </w:rPr>
        <w:t xml:space="preserve">minimum </w:t>
      </w:r>
      <w:r w:rsidR="008157EB">
        <w:rPr>
          <w:szCs w:val="24"/>
        </w:rPr>
        <w:t>consumer protection</w:t>
      </w:r>
      <w:r w:rsidR="00392147">
        <w:rPr>
          <w:szCs w:val="24"/>
        </w:rPr>
        <w:t>s</w:t>
      </w:r>
      <w:r w:rsidR="008157EB">
        <w:rPr>
          <w:szCs w:val="24"/>
        </w:rPr>
        <w:t xml:space="preserve"> </w:t>
      </w:r>
      <w:r w:rsidR="00392147">
        <w:rPr>
          <w:szCs w:val="24"/>
        </w:rPr>
        <w:t>required by</w:t>
      </w:r>
      <w:r w:rsidR="008157EB">
        <w:rPr>
          <w:szCs w:val="24"/>
        </w:rPr>
        <w:t xml:space="preserve"> the revised rules. </w:t>
      </w:r>
      <w:r>
        <w:rPr>
          <w:szCs w:val="24"/>
        </w:rPr>
        <w:t xml:space="preserve">DEO argued in the MGSS case that although </w:t>
      </w:r>
      <w:r w:rsidR="00392147">
        <w:rPr>
          <w:szCs w:val="24"/>
        </w:rPr>
        <w:t xml:space="preserve">the </w:t>
      </w:r>
      <w:r>
        <w:rPr>
          <w:szCs w:val="24"/>
        </w:rPr>
        <w:t>more stringent reporting requirements</w:t>
      </w:r>
      <w:r w:rsidR="00392147">
        <w:rPr>
          <w:szCs w:val="24"/>
        </w:rPr>
        <w:t xml:space="preserve"> in this rule</w:t>
      </w:r>
      <w:r>
        <w:rPr>
          <w:szCs w:val="24"/>
        </w:rPr>
        <w:t xml:space="preserve"> may make sense for certain companies with customer service problems, it is not reasonable to require every company to comply with the proposed rule. DEO lost its argument in the MGSS</w:t>
      </w:r>
      <w:r w:rsidR="00DE3C7A">
        <w:rPr>
          <w:szCs w:val="24"/>
        </w:rPr>
        <w:t xml:space="preserve"> case</w:t>
      </w:r>
      <w:r>
        <w:rPr>
          <w:szCs w:val="24"/>
        </w:rPr>
        <w:t xml:space="preserve"> and the PUCO should order DEO to comply with the MGSS and deny the requested waiver. </w:t>
      </w:r>
    </w:p>
    <w:p w:rsidR="00AB450D" w:rsidRDefault="00AB450D" w:rsidP="001B4525">
      <w:pPr>
        <w:suppressAutoHyphens/>
        <w:spacing w:line="480" w:lineRule="auto"/>
        <w:ind w:firstLine="720"/>
        <w:rPr>
          <w:szCs w:val="24"/>
        </w:rPr>
      </w:pPr>
      <w:r>
        <w:rPr>
          <w:szCs w:val="24"/>
        </w:rPr>
        <w:t xml:space="preserve">The reason stated </w:t>
      </w:r>
      <w:r w:rsidR="007A6693">
        <w:rPr>
          <w:szCs w:val="24"/>
        </w:rPr>
        <w:t>by DEO for requesting</w:t>
      </w:r>
      <w:r>
        <w:rPr>
          <w:szCs w:val="24"/>
        </w:rPr>
        <w:t xml:space="preserve"> </w:t>
      </w:r>
      <w:r w:rsidR="00DE3C7A">
        <w:rPr>
          <w:szCs w:val="24"/>
        </w:rPr>
        <w:t>a</w:t>
      </w:r>
      <w:r>
        <w:rPr>
          <w:szCs w:val="24"/>
        </w:rPr>
        <w:t xml:space="preserve"> waiver</w:t>
      </w:r>
      <w:r w:rsidR="00DE3C7A">
        <w:rPr>
          <w:szCs w:val="24"/>
        </w:rPr>
        <w:t xml:space="preserve"> in this case is</w:t>
      </w:r>
      <w:r>
        <w:rPr>
          <w:szCs w:val="24"/>
        </w:rPr>
        <w:t xml:space="preserve"> that </w:t>
      </w:r>
      <w:r w:rsidR="00E076D9">
        <w:rPr>
          <w:szCs w:val="24"/>
        </w:rPr>
        <w:t xml:space="preserve">the Utility </w:t>
      </w:r>
      <w:r>
        <w:rPr>
          <w:szCs w:val="24"/>
        </w:rPr>
        <w:t xml:space="preserve">must understand what rules apply to the existing processes. DEO </w:t>
      </w:r>
      <w:r w:rsidR="00F06B16">
        <w:rPr>
          <w:szCs w:val="24"/>
        </w:rPr>
        <w:t>understood the proposed rules well enough to provide opposing Comments</w:t>
      </w:r>
      <w:r w:rsidR="00F06B16">
        <w:rPr>
          <w:rStyle w:val="FootnoteReference"/>
          <w:szCs w:val="24"/>
        </w:rPr>
        <w:footnoteReference w:id="12"/>
      </w:r>
      <w:r w:rsidR="00F06B16">
        <w:rPr>
          <w:szCs w:val="24"/>
        </w:rPr>
        <w:t xml:space="preserve"> and Reply Comments</w:t>
      </w:r>
      <w:r w:rsidR="00F06B16">
        <w:rPr>
          <w:rStyle w:val="FootnoteReference"/>
          <w:szCs w:val="24"/>
        </w:rPr>
        <w:footnoteReference w:id="13"/>
      </w:r>
      <w:r w:rsidR="00F06B16">
        <w:rPr>
          <w:szCs w:val="24"/>
        </w:rPr>
        <w:t xml:space="preserve">, as well as, </w:t>
      </w:r>
      <w:r>
        <w:rPr>
          <w:szCs w:val="24"/>
        </w:rPr>
        <w:t>has had a</w:t>
      </w:r>
      <w:r w:rsidR="00E076D9">
        <w:rPr>
          <w:szCs w:val="24"/>
        </w:rPr>
        <w:t>n</w:t>
      </w:r>
      <w:r>
        <w:rPr>
          <w:szCs w:val="24"/>
        </w:rPr>
        <w:t xml:space="preserve"> </w:t>
      </w:r>
      <w:r w:rsidR="00E076D9">
        <w:rPr>
          <w:szCs w:val="24"/>
        </w:rPr>
        <w:t xml:space="preserve">ample </w:t>
      </w:r>
      <w:r>
        <w:rPr>
          <w:szCs w:val="24"/>
        </w:rPr>
        <w:t>period of time (</w:t>
      </w:r>
      <w:r w:rsidR="00E076D9">
        <w:rPr>
          <w:szCs w:val="24"/>
        </w:rPr>
        <w:t xml:space="preserve">the instant </w:t>
      </w:r>
      <w:r>
        <w:rPr>
          <w:szCs w:val="24"/>
        </w:rPr>
        <w:t xml:space="preserve">rule </w:t>
      </w:r>
      <w:r w:rsidR="00E076D9">
        <w:rPr>
          <w:szCs w:val="24"/>
        </w:rPr>
        <w:t xml:space="preserve">was </w:t>
      </w:r>
      <w:r>
        <w:rPr>
          <w:szCs w:val="24"/>
        </w:rPr>
        <w:t xml:space="preserve">introduced </w:t>
      </w:r>
      <w:r w:rsidR="00DC02F9">
        <w:rPr>
          <w:szCs w:val="24"/>
        </w:rPr>
        <w:t>on February 26, 2014</w:t>
      </w:r>
      <w:r>
        <w:rPr>
          <w:szCs w:val="24"/>
        </w:rPr>
        <w:t xml:space="preserve">) to </w:t>
      </w:r>
      <w:r w:rsidR="00A2612A">
        <w:rPr>
          <w:szCs w:val="24"/>
        </w:rPr>
        <w:t>contact the PUCO Staff to seek clarity for any implementation details</w:t>
      </w:r>
      <w:r w:rsidR="00832410">
        <w:rPr>
          <w:szCs w:val="24"/>
        </w:rPr>
        <w:t xml:space="preserve"> that</w:t>
      </w:r>
      <w:r w:rsidR="00A2612A">
        <w:rPr>
          <w:szCs w:val="24"/>
        </w:rPr>
        <w:t xml:space="preserve"> </w:t>
      </w:r>
      <w:r w:rsidR="00804884">
        <w:rPr>
          <w:szCs w:val="24"/>
        </w:rPr>
        <w:t xml:space="preserve">it </w:t>
      </w:r>
      <w:r w:rsidR="00E076D9">
        <w:rPr>
          <w:szCs w:val="24"/>
        </w:rPr>
        <w:t xml:space="preserve">allegedly </w:t>
      </w:r>
      <w:r w:rsidR="00A2612A">
        <w:rPr>
          <w:szCs w:val="24"/>
        </w:rPr>
        <w:t xml:space="preserve">does not understand. </w:t>
      </w:r>
      <w:r>
        <w:rPr>
          <w:szCs w:val="24"/>
        </w:rPr>
        <w:t xml:space="preserve">OCC recommends that the PUCO deny DEO’s waiver request. </w:t>
      </w:r>
    </w:p>
    <w:p w:rsidR="00AB450D" w:rsidRDefault="001C09A5" w:rsidP="001C09A5">
      <w:pPr>
        <w:pStyle w:val="Heading2"/>
      </w:pPr>
      <w:bookmarkStart w:id="4" w:name="_Toc411597649"/>
      <w:r>
        <w:t>B.</w:t>
      </w:r>
      <w:r>
        <w:tab/>
      </w:r>
      <w:r w:rsidR="001B4525">
        <w:t>Ohio Admin Code 4901:1-18-15(G</w:t>
      </w:r>
      <w:r w:rsidR="00AB450D">
        <w:t xml:space="preserve">) General </w:t>
      </w:r>
      <w:r>
        <w:t>P</w:t>
      </w:r>
      <w:r w:rsidR="00AB450D">
        <w:t>ercentage</w:t>
      </w:r>
      <w:r>
        <w:t xml:space="preserve"> Of I</w:t>
      </w:r>
      <w:r w:rsidR="00AB450D">
        <w:t xml:space="preserve">ncome </w:t>
      </w:r>
      <w:r>
        <w:t>P</w:t>
      </w:r>
      <w:r w:rsidR="00AB450D">
        <w:t xml:space="preserve">ayment </w:t>
      </w:r>
      <w:r>
        <w:t>P</w:t>
      </w:r>
      <w:r w:rsidR="00AB450D">
        <w:t xml:space="preserve">lan </w:t>
      </w:r>
      <w:r>
        <w:t>P</w:t>
      </w:r>
      <w:r w:rsidR="00AB450D">
        <w:t>rovisions.</w:t>
      </w:r>
      <w:bookmarkEnd w:id="4"/>
    </w:p>
    <w:p w:rsidR="002959B9" w:rsidRDefault="00F87B54" w:rsidP="001B4525">
      <w:pPr>
        <w:suppressAutoHyphens/>
        <w:spacing w:line="480" w:lineRule="auto"/>
        <w:ind w:firstLine="720"/>
        <w:rPr>
          <w:szCs w:val="24"/>
        </w:rPr>
      </w:pPr>
      <w:r>
        <w:rPr>
          <w:szCs w:val="24"/>
        </w:rPr>
        <w:t>Rule 4901:1-18-15(G)</w:t>
      </w:r>
      <w:r w:rsidR="00AB450D">
        <w:rPr>
          <w:szCs w:val="24"/>
        </w:rPr>
        <w:t xml:space="preserve"> </w:t>
      </w:r>
      <w:r w:rsidR="00DE3C7A">
        <w:rPr>
          <w:szCs w:val="24"/>
        </w:rPr>
        <w:t>provides</w:t>
      </w:r>
      <w:r w:rsidR="001B4525">
        <w:rPr>
          <w:szCs w:val="24"/>
        </w:rPr>
        <w:t xml:space="preserve"> an </w:t>
      </w:r>
      <w:r w:rsidR="00A2612A">
        <w:rPr>
          <w:szCs w:val="24"/>
        </w:rPr>
        <w:t xml:space="preserve">additional option for former </w:t>
      </w:r>
      <w:r w:rsidR="00E076D9">
        <w:rPr>
          <w:szCs w:val="24"/>
        </w:rPr>
        <w:t>Percentage of Income Payment Plan (“</w:t>
      </w:r>
      <w:r>
        <w:rPr>
          <w:szCs w:val="24"/>
        </w:rPr>
        <w:t>PIPP</w:t>
      </w:r>
      <w:r w:rsidR="00E076D9">
        <w:rPr>
          <w:szCs w:val="24"/>
        </w:rPr>
        <w:t>”)</w:t>
      </w:r>
      <w:r w:rsidR="00766E24">
        <w:rPr>
          <w:szCs w:val="24"/>
        </w:rPr>
        <w:t xml:space="preserve"> </w:t>
      </w:r>
      <w:r w:rsidR="00E076D9">
        <w:rPr>
          <w:szCs w:val="24"/>
        </w:rPr>
        <w:t>P</w:t>
      </w:r>
      <w:r w:rsidR="00DE3C7A">
        <w:rPr>
          <w:szCs w:val="24"/>
        </w:rPr>
        <w:t>lus</w:t>
      </w:r>
      <w:r w:rsidR="00A2612A">
        <w:rPr>
          <w:szCs w:val="24"/>
        </w:rPr>
        <w:t xml:space="preserve"> customers </w:t>
      </w:r>
      <w:r>
        <w:rPr>
          <w:szCs w:val="24"/>
        </w:rPr>
        <w:t>who</w:t>
      </w:r>
      <w:r w:rsidR="002959B9">
        <w:rPr>
          <w:szCs w:val="24"/>
        </w:rPr>
        <w:t xml:space="preserve"> no longer </w:t>
      </w:r>
      <w:r w:rsidR="00A2612A">
        <w:rPr>
          <w:szCs w:val="24"/>
        </w:rPr>
        <w:t xml:space="preserve">require gas service to address any debt </w:t>
      </w:r>
      <w:r w:rsidR="0087538A">
        <w:rPr>
          <w:szCs w:val="24"/>
        </w:rPr>
        <w:t xml:space="preserve">that is owed </w:t>
      </w:r>
      <w:r w:rsidR="002959B9">
        <w:rPr>
          <w:szCs w:val="24"/>
        </w:rPr>
        <w:t>on their PIPP gas bill</w:t>
      </w:r>
      <w:r w:rsidR="00832410">
        <w:rPr>
          <w:szCs w:val="24"/>
        </w:rPr>
        <w:t>s</w:t>
      </w:r>
      <w:r w:rsidR="0087538A">
        <w:rPr>
          <w:szCs w:val="24"/>
        </w:rPr>
        <w:t xml:space="preserve">. </w:t>
      </w:r>
    </w:p>
    <w:p w:rsidR="00F87B54" w:rsidRPr="001C09A5" w:rsidRDefault="00F87B54" w:rsidP="001C09A5">
      <w:pPr>
        <w:spacing w:after="200" w:line="276" w:lineRule="auto"/>
        <w:ind w:left="1440" w:right="720"/>
        <w:rPr>
          <w:rFonts w:eastAsiaTheme="minorHAnsi"/>
          <w:bCs/>
          <w:kern w:val="36"/>
          <w:szCs w:val="24"/>
        </w:rPr>
      </w:pPr>
      <w:r w:rsidRPr="001C09A5">
        <w:rPr>
          <w:rFonts w:eastAsiaTheme="minorHAnsi"/>
          <w:szCs w:val="24"/>
        </w:rPr>
        <w:t xml:space="preserve">4901:1-18-15(G) </w:t>
      </w:r>
      <w:r w:rsidRPr="001C09A5">
        <w:rPr>
          <w:rFonts w:eastAsiaTheme="minorHAnsi"/>
          <w:bCs/>
          <w:kern w:val="36"/>
          <w:szCs w:val="24"/>
        </w:rPr>
        <w:t>Termination of Residential Service</w:t>
      </w:r>
    </w:p>
    <w:p w:rsidR="00F87B54" w:rsidRPr="001C09A5" w:rsidRDefault="00F87B54" w:rsidP="001C09A5">
      <w:pPr>
        <w:spacing w:after="200" w:line="276" w:lineRule="auto"/>
        <w:ind w:left="1440" w:right="720"/>
        <w:rPr>
          <w:rFonts w:eastAsiaTheme="minorHAnsi"/>
          <w:szCs w:val="24"/>
        </w:rPr>
      </w:pPr>
      <w:r w:rsidRPr="001C09A5">
        <w:rPr>
          <w:rFonts w:eastAsiaTheme="minorHAnsi"/>
          <w:bCs/>
          <w:szCs w:val="24"/>
        </w:rPr>
        <w:t>General percentage of income payment plan provisions</w:t>
      </w:r>
    </w:p>
    <w:p w:rsidR="00F87B54" w:rsidRPr="001C09A5" w:rsidRDefault="00F87B54" w:rsidP="001C09A5">
      <w:pPr>
        <w:spacing w:after="200"/>
        <w:ind w:left="1440" w:right="720"/>
        <w:rPr>
          <w:rFonts w:eastAsiaTheme="minorHAnsi"/>
          <w:szCs w:val="24"/>
          <w:u w:val="single"/>
        </w:rPr>
      </w:pPr>
      <w:r w:rsidRPr="001C09A5">
        <w:rPr>
          <w:rFonts w:eastAsiaTheme="minorHAnsi"/>
          <w:szCs w:val="24"/>
          <w:u w:val="single"/>
        </w:rPr>
        <w:t xml:space="preserve">Post PIPP </w:t>
      </w:r>
      <w:r w:rsidR="007D3523">
        <w:rPr>
          <w:rFonts w:eastAsiaTheme="minorHAnsi"/>
          <w:szCs w:val="24"/>
          <w:u w:val="single"/>
        </w:rPr>
        <w:t>P</w:t>
      </w:r>
      <w:r w:rsidR="00DE3C7A" w:rsidRPr="001C09A5">
        <w:rPr>
          <w:rFonts w:eastAsiaTheme="minorHAnsi"/>
          <w:szCs w:val="24"/>
          <w:u w:val="single"/>
        </w:rPr>
        <w:t>lus</w:t>
      </w:r>
      <w:r w:rsidRPr="001C09A5">
        <w:rPr>
          <w:rFonts w:eastAsiaTheme="minorHAnsi"/>
          <w:szCs w:val="24"/>
          <w:u w:val="single"/>
        </w:rPr>
        <w:t xml:space="preserve">. The gas or natural gas utility company shall offer on the final bill a payment agreement for PIPP </w:t>
      </w:r>
      <w:r w:rsidR="007D3523">
        <w:rPr>
          <w:rFonts w:eastAsiaTheme="minorHAnsi"/>
          <w:szCs w:val="24"/>
          <w:u w:val="single"/>
        </w:rPr>
        <w:t>P</w:t>
      </w:r>
      <w:r w:rsidR="00DE3C7A" w:rsidRPr="001C09A5">
        <w:rPr>
          <w:rFonts w:eastAsiaTheme="minorHAnsi"/>
          <w:szCs w:val="24"/>
          <w:u w:val="single"/>
        </w:rPr>
        <w:t>lus</w:t>
      </w:r>
      <w:r w:rsidRPr="001C09A5">
        <w:rPr>
          <w:rFonts w:eastAsiaTheme="minorHAnsi"/>
          <w:szCs w:val="24"/>
          <w:u w:val="single"/>
        </w:rPr>
        <w:t xml:space="preserve"> customers with arrearages who are closing their utility account due to:</w:t>
      </w:r>
    </w:p>
    <w:p w:rsidR="00F87B54" w:rsidRDefault="00F87B54" w:rsidP="0073080F">
      <w:pPr>
        <w:numPr>
          <w:ilvl w:val="0"/>
          <w:numId w:val="2"/>
        </w:numPr>
        <w:spacing w:after="200"/>
        <w:ind w:left="2160" w:right="720" w:hanging="720"/>
        <w:contextualSpacing/>
        <w:rPr>
          <w:rFonts w:eastAsiaTheme="minorHAnsi"/>
          <w:szCs w:val="24"/>
          <w:u w:val="single"/>
        </w:rPr>
      </w:pPr>
      <w:r w:rsidRPr="001C09A5">
        <w:rPr>
          <w:rFonts w:eastAsiaTheme="minorHAnsi"/>
          <w:szCs w:val="24"/>
          <w:u w:val="single"/>
        </w:rPr>
        <w:t>Moving beyond the gas or natural gas company’s service territory,</w:t>
      </w:r>
    </w:p>
    <w:p w:rsidR="00B34A50" w:rsidRPr="001C09A5" w:rsidRDefault="00B34A50" w:rsidP="00B34A50">
      <w:pPr>
        <w:spacing w:after="200"/>
        <w:ind w:left="2160" w:right="720"/>
        <w:contextualSpacing/>
        <w:rPr>
          <w:rFonts w:eastAsiaTheme="minorHAnsi"/>
          <w:szCs w:val="24"/>
          <w:u w:val="single"/>
        </w:rPr>
      </w:pPr>
    </w:p>
    <w:p w:rsidR="00B34A50" w:rsidRDefault="00F87B54" w:rsidP="00AD1593">
      <w:pPr>
        <w:numPr>
          <w:ilvl w:val="0"/>
          <w:numId w:val="2"/>
        </w:numPr>
        <w:spacing w:line="276" w:lineRule="auto"/>
        <w:ind w:left="2160" w:right="720" w:hanging="720"/>
        <w:contextualSpacing/>
        <w:rPr>
          <w:rFonts w:eastAsiaTheme="minorHAnsi"/>
          <w:szCs w:val="24"/>
          <w:u w:val="single"/>
        </w:rPr>
      </w:pPr>
      <w:r w:rsidRPr="00AD1593">
        <w:rPr>
          <w:rFonts w:eastAsiaTheme="minorHAnsi"/>
          <w:szCs w:val="24"/>
          <w:u w:val="single"/>
        </w:rPr>
        <w:t xml:space="preserve">Transferring to a residence where utility service is not in the former PIPP </w:t>
      </w:r>
      <w:r w:rsidR="007D3523" w:rsidRPr="00AD1593">
        <w:rPr>
          <w:rFonts w:eastAsiaTheme="minorHAnsi"/>
          <w:szCs w:val="24"/>
          <w:u w:val="single"/>
        </w:rPr>
        <w:t>P</w:t>
      </w:r>
      <w:r w:rsidR="00DE3C7A" w:rsidRPr="00AD1593">
        <w:rPr>
          <w:rFonts w:eastAsiaTheme="minorHAnsi"/>
          <w:szCs w:val="24"/>
          <w:u w:val="single"/>
        </w:rPr>
        <w:t>lus</w:t>
      </w:r>
      <w:r w:rsidRPr="00AD1593">
        <w:rPr>
          <w:rFonts w:eastAsiaTheme="minorHAnsi"/>
          <w:szCs w:val="24"/>
          <w:u w:val="single"/>
        </w:rPr>
        <w:t xml:space="preserve"> customer’s name, or</w:t>
      </w:r>
    </w:p>
    <w:p w:rsidR="00AD1593" w:rsidRDefault="00AD1593" w:rsidP="00AD1593">
      <w:pPr>
        <w:pStyle w:val="ListParagraph"/>
        <w:rPr>
          <w:rFonts w:eastAsiaTheme="minorHAnsi"/>
          <w:szCs w:val="24"/>
          <w:u w:val="single"/>
        </w:rPr>
      </w:pPr>
    </w:p>
    <w:p w:rsidR="00F87B54" w:rsidRPr="001C09A5" w:rsidRDefault="00F87B54" w:rsidP="00AD1593">
      <w:pPr>
        <w:numPr>
          <w:ilvl w:val="0"/>
          <w:numId w:val="2"/>
        </w:numPr>
        <w:ind w:left="2160" w:right="720" w:hanging="720"/>
        <w:contextualSpacing/>
        <w:rPr>
          <w:rFonts w:eastAsiaTheme="minorHAnsi"/>
          <w:szCs w:val="24"/>
          <w:u w:val="single"/>
        </w:rPr>
      </w:pPr>
      <w:r w:rsidRPr="001C09A5">
        <w:rPr>
          <w:rFonts w:eastAsiaTheme="minorHAnsi"/>
          <w:szCs w:val="24"/>
          <w:u w:val="single"/>
        </w:rPr>
        <w:t>Moving to a master-metered residence.</w:t>
      </w:r>
    </w:p>
    <w:p w:rsidR="00F87B54" w:rsidRPr="001C09A5" w:rsidRDefault="00F87B54" w:rsidP="0073080F">
      <w:pPr>
        <w:spacing w:after="200"/>
        <w:ind w:left="2160" w:right="720"/>
        <w:rPr>
          <w:rFonts w:eastAsiaTheme="minorHAnsi"/>
          <w:szCs w:val="24"/>
        </w:rPr>
      </w:pPr>
      <w:r w:rsidRPr="001C09A5">
        <w:rPr>
          <w:rFonts w:eastAsiaTheme="minorHAnsi"/>
          <w:szCs w:val="24"/>
          <w:u w:val="single"/>
        </w:rPr>
        <w:t xml:space="preserve">The monthly payment shall be no more than the total accumulated arrearage divided by sixty. Each time the former PIPP </w:t>
      </w:r>
      <w:r w:rsidR="007D3523">
        <w:rPr>
          <w:rFonts w:eastAsiaTheme="minorHAnsi"/>
          <w:szCs w:val="24"/>
          <w:u w:val="single"/>
        </w:rPr>
        <w:t>P</w:t>
      </w:r>
      <w:r w:rsidR="00DE3C7A" w:rsidRPr="001C09A5">
        <w:rPr>
          <w:rFonts w:eastAsiaTheme="minorHAnsi"/>
          <w:szCs w:val="24"/>
          <w:u w:val="single"/>
        </w:rPr>
        <w:t>lus</w:t>
      </w:r>
      <w:r w:rsidRPr="001C09A5">
        <w:rPr>
          <w:rFonts w:eastAsiaTheme="minorHAnsi"/>
          <w:szCs w:val="24"/>
          <w:u w:val="single"/>
        </w:rPr>
        <w:t xml:space="preserve"> customer makes his or her required payment by the due date, the company shall reduce the account arrearage by one-twelfth. This payment agreement is available to the former PIPP </w:t>
      </w:r>
      <w:r w:rsidR="007D3523">
        <w:rPr>
          <w:rFonts w:eastAsiaTheme="minorHAnsi"/>
          <w:szCs w:val="24"/>
          <w:u w:val="single"/>
        </w:rPr>
        <w:t>P</w:t>
      </w:r>
      <w:r w:rsidR="00DE3C7A" w:rsidRPr="001C09A5">
        <w:rPr>
          <w:rFonts w:eastAsiaTheme="minorHAnsi"/>
          <w:szCs w:val="24"/>
          <w:u w:val="single"/>
        </w:rPr>
        <w:t>lus</w:t>
      </w:r>
      <w:r w:rsidRPr="001C09A5">
        <w:rPr>
          <w:rFonts w:eastAsiaTheme="minorHAnsi"/>
          <w:szCs w:val="24"/>
          <w:u w:val="single"/>
        </w:rPr>
        <w:t xml:space="preserve"> customer for twelve months from the time the account finals.</w:t>
      </w:r>
    </w:p>
    <w:p w:rsidR="008157EB" w:rsidRDefault="0087538A" w:rsidP="001B4525">
      <w:pPr>
        <w:suppressAutoHyphens/>
        <w:spacing w:line="480" w:lineRule="auto"/>
        <w:ind w:firstLine="720"/>
        <w:rPr>
          <w:szCs w:val="24"/>
        </w:rPr>
      </w:pPr>
      <w:r>
        <w:rPr>
          <w:szCs w:val="24"/>
        </w:rPr>
        <w:t xml:space="preserve">Similar to the payment options that are available for former electric PIPP </w:t>
      </w:r>
      <w:r w:rsidR="001D4A00">
        <w:rPr>
          <w:szCs w:val="24"/>
        </w:rPr>
        <w:t>P</w:t>
      </w:r>
      <w:r>
        <w:rPr>
          <w:szCs w:val="24"/>
        </w:rPr>
        <w:t>lus customers, t</w:t>
      </w:r>
      <w:r w:rsidR="00AB450D">
        <w:rPr>
          <w:szCs w:val="24"/>
        </w:rPr>
        <w:t xml:space="preserve">he </w:t>
      </w:r>
      <w:r>
        <w:rPr>
          <w:szCs w:val="24"/>
        </w:rPr>
        <w:t xml:space="preserve">additional payment option </w:t>
      </w:r>
      <w:r w:rsidR="001B4525">
        <w:rPr>
          <w:szCs w:val="24"/>
        </w:rPr>
        <w:t>allows</w:t>
      </w:r>
      <w:r w:rsidR="00AB450D">
        <w:rPr>
          <w:szCs w:val="24"/>
        </w:rPr>
        <w:t xml:space="preserve"> </w:t>
      </w:r>
      <w:r>
        <w:rPr>
          <w:szCs w:val="24"/>
        </w:rPr>
        <w:t xml:space="preserve">customers to pay off any remaining PIPP debt within </w:t>
      </w:r>
      <w:r w:rsidR="00AB450D">
        <w:rPr>
          <w:szCs w:val="24"/>
        </w:rPr>
        <w:t xml:space="preserve">12 months </w:t>
      </w:r>
      <w:r>
        <w:rPr>
          <w:szCs w:val="24"/>
        </w:rPr>
        <w:t xml:space="preserve">by making monthly payments that are equal to the </w:t>
      </w:r>
      <w:r w:rsidR="00AB450D">
        <w:rPr>
          <w:szCs w:val="24"/>
        </w:rPr>
        <w:t>total accumu</w:t>
      </w:r>
      <w:r w:rsidR="00F87B54">
        <w:rPr>
          <w:szCs w:val="24"/>
        </w:rPr>
        <w:t>lated arrearage divided by 60. E</w:t>
      </w:r>
      <w:r w:rsidR="00AB450D">
        <w:rPr>
          <w:szCs w:val="24"/>
        </w:rPr>
        <w:t xml:space="preserve">ach time the former PIPP </w:t>
      </w:r>
      <w:r w:rsidR="007D3523">
        <w:rPr>
          <w:szCs w:val="24"/>
        </w:rPr>
        <w:t>P</w:t>
      </w:r>
      <w:r w:rsidR="00DE3C7A">
        <w:rPr>
          <w:szCs w:val="24"/>
        </w:rPr>
        <w:t>lus</w:t>
      </w:r>
      <w:r w:rsidR="00AB450D">
        <w:rPr>
          <w:szCs w:val="24"/>
        </w:rPr>
        <w:t xml:space="preserve"> cus</w:t>
      </w:r>
      <w:r w:rsidR="001B4525">
        <w:rPr>
          <w:szCs w:val="24"/>
        </w:rPr>
        <w:t>tom</w:t>
      </w:r>
      <w:r w:rsidR="00AB450D">
        <w:rPr>
          <w:szCs w:val="24"/>
        </w:rPr>
        <w:t xml:space="preserve">er makes </w:t>
      </w:r>
      <w:r w:rsidR="00F87B54">
        <w:rPr>
          <w:szCs w:val="24"/>
        </w:rPr>
        <w:t>a</w:t>
      </w:r>
      <w:r w:rsidR="00AB450D">
        <w:rPr>
          <w:szCs w:val="24"/>
        </w:rPr>
        <w:t xml:space="preserve"> payment by the due date, the ar</w:t>
      </w:r>
      <w:r w:rsidR="001B4525">
        <w:rPr>
          <w:szCs w:val="24"/>
        </w:rPr>
        <w:t>r</w:t>
      </w:r>
      <w:r w:rsidR="00AB450D">
        <w:rPr>
          <w:szCs w:val="24"/>
        </w:rPr>
        <w:t xml:space="preserve">earage is reduced by one-twelfth. </w:t>
      </w:r>
      <w:r>
        <w:rPr>
          <w:szCs w:val="24"/>
        </w:rPr>
        <w:t xml:space="preserve">Therefore, if all </w:t>
      </w:r>
      <w:r w:rsidR="00F87B54">
        <w:rPr>
          <w:szCs w:val="24"/>
        </w:rPr>
        <w:t xml:space="preserve">payments are made over the 12 months, the arrearage is eliminated </w:t>
      </w:r>
      <w:r w:rsidR="00DB04E4">
        <w:rPr>
          <w:szCs w:val="24"/>
        </w:rPr>
        <w:t>for</w:t>
      </w:r>
      <w:r w:rsidR="00F87B54">
        <w:rPr>
          <w:szCs w:val="24"/>
        </w:rPr>
        <w:t xml:space="preserve"> the </w:t>
      </w:r>
      <w:r w:rsidR="00FF6190">
        <w:rPr>
          <w:szCs w:val="24"/>
        </w:rPr>
        <w:t xml:space="preserve">former </w:t>
      </w:r>
      <w:r w:rsidR="00F87B54">
        <w:rPr>
          <w:szCs w:val="24"/>
        </w:rPr>
        <w:t xml:space="preserve">PIPP </w:t>
      </w:r>
      <w:r w:rsidR="007D3523">
        <w:rPr>
          <w:szCs w:val="24"/>
        </w:rPr>
        <w:t>P</w:t>
      </w:r>
      <w:r w:rsidR="00DE3C7A">
        <w:rPr>
          <w:szCs w:val="24"/>
        </w:rPr>
        <w:t>lus</w:t>
      </w:r>
      <w:r w:rsidR="00F87B54">
        <w:rPr>
          <w:szCs w:val="24"/>
        </w:rPr>
        <w:t xml:space="preserve"> customer</w:t>
      </w:r>
      <w:r w:rsidR="00B379A9">
        <w:rPr>
          <w:szCs w:val="24"/>
        </w:rPr>
        <w:t>s</w:t>
      </w:r>
      <w:r w:rsidR="00F87B54">
        <w:rPr>
          <w:szCs w:val="24"/>
        </w:rPr>
        <w:t xml:space="preserve">. </w:t>
      </w:r>
      <w:r w:rsidR="008157EB">
        <w:rPr>
          <w:szCs w:val="24"/>
        </w:rPr>
        <w:t xml:space="preserve">Under the old Credit and </w:t>
      </w:r>
      <w:r w:rsidR="00942BE2">
        <w:rPr>
          <w:szCs w:val="24"/>
        </w:rPr>
        <w:t>D</w:t>
      </w:r>
      <w:r w:rsidR="008157EB">
        <w:rPr>
          <w:szCs w:val="24"/>
        </w:rPr>
        <w:t xml:space="preserve">isconnect rules, a PIPP </w:t>
      </w:r>
      <w:r w:rsidR="00942BE2">
        <w:rPr>
          <w:szCs w:val="24"/>
        </w:rPr>
        <w:t>customer</w:t>
      </w:r>
      <w:r w:rsidR="008157EB">
        <w:rPr>
          <w:szCs w:val="24"/>
        </w:rPr>
        <w:t xml:space="preserve"> who left the gas company and had an arrearage</w:t>
      </w:r>
      <w:r w:rsidR="00392147">
        <w:rPr>
          <w:szCs w:val="24"/>
        </w:rPr>
        <w:t>,</w:t>
      </w:r>
      <w:r w:rsidR="008157EB">
        <w:rPr>
          <w:szCs w:val="24"/>
        </w:rPr>
        <w:t xml:space="preserve"> owed the entire amount. There was no</w:t>
      </w:r>
      <w:r w:rsidR="00B379A9">
        <w:rPr>
          <w:szCs w:val="24"/>
        </w:rPr>
        <w:t xml:space="preserve"> particular</w:t>
      </w:r>
      <w:r w:rsidR="008157EB">
        <w:rPr>
          <w:szCs w:val="24"/>
        </w:rPr>
        <w:t xml:space="preserve"> incentive to pay the arrearage when the customer terminated service. With the new rules, which mirror the PIPP </w:t>
      </w:r>
      <w:r w:rsidR="00942BE2">
        <w:rPr>
          <w:szCs w:val="24"/>
        </w:rPr>
        <w:t>electric</w:t>
      </w:r>
      <w:r w:rsidR="008157EB">
        <w:rPr>
          <w:szCs w:val="24"/>
        </w:rPr>
        <w:t xml:space="preserve"> rules, the </w:t>
      </w:r>
      <w:r w:rsidR="00942BE2">
        <w:rPr>
          <w:szCs w:val="24"/>
        </w:rPr>
        <w:t xml:space="preserve">customer must only pay one fifth of the total </w:t>
      </w:r>
      <w:r w:rsidR="00392147">
        <w:rPr>
          <w:szCs w:val="24"/>
        </w:rPr>
        <w:t>over a year’s time and</w:t>
      </w:r>
      <w:r w:rsidR="00942BE2">
        <w:rPr>
          <w:szCs w:val="24"/>
        </w:rPr>
        <w:t xml:space="preserve"> this</w:t>
      </w:r>
      <w:r w:rsidR="008157EB">
        <w:rPr>
          <w:szCs w:val="24"/>
        </w:rPr>
        <w:t xml:space="preserve"> eliminate</w:t>
      </w:r>
      <w:r w:rsidR="00942BE2">
        <w:rPr>
          <w:szCs w:val="24"/>
        </w:rPr>
        <w:t>s</w:t>
      </w:r>
      <w:r w:rsidR="008157EB">
        <w:rPr>
          <w:szCs w:val="24"/>
        </w:rPr>
        <w:t xml:space="preserve"> the </w:t>
      </w:r>
      <w:r w:rsidR="00392147">
        <w:rPr>
          <w:szCs w:val="24"/>
        </w:rPr>
        <w:t>entire arrearage</w:t>
      </w:r>
      <w:r w:rsidR="00942BE2">
        <w:rPr>
          <w:szCs w:val="24"/>
        </w:rPr>
        <w:t>. If the customer returns to the Utility’s service territory in the future, that customer will have a clean slate.</w:t>
      </w:r>
    </w:p>
    <w:p w:rsidR="004442EB" w:rsidRDefault="00392147" w:rsidP="001B4525">
      <w:pPr>
        <w:suppressAutoHyphens/>
        <w:spacing w:line="480" w:lineRule="auto"/>
        <w:ind w:firstLine="720"/>
        <w:rPr>
          <w:szCs w:val="24"/>
        </w:rPr>
      </w:pPr>
      <w:r>
        <w:rPr>
          <w:szCs w:val="24"/>
        </w:rPr>
        <w:t xml:space="preserve">In the Credit and Disconnect case, </w:t>
      </w:r>
      <w:r w:rsidR="00942BE2">
        <w:rPr>
          <w:szCs w:val="24"/>
        </w:rPr>
        <w:t xml:space="preserve">DEO objected to this </w:t>
      </w:r>
      <w:r>
        <w:rPr>
          <w:szCs w:val="24"/>
        </w:rPr>
        <w:t>new</w:t>
      </w:r>
      <w:r w:rsidR="00942BE2">
        <w:rPr>
          <w:szCs w:val="24"/>
        </w:rPr>
        <w:t xml:space="preserve"> payment option for former PIPP Plus customers for a variety of reasons. For example, DEO complained that by only requiring payment of one fifth of the actual arrearages, PIPP Plus customers would have no incentive to become more responsible for their own consumption.</w:t>
      </w:r>
      <w:r w:rsidR="00942BE2">
        <w:rPr>
          <w:rStyle w:val="FootnoteReference"/>
          <w:szCs w:val="24"/>
        </w:rPr>
        <w:footnoteReference w:id="14"/>
      </w:r>
      <w:r w:rsidR="00942BE2">
        <w:rPr>
          <w:szCs w:val="24"/>
        </w:rPr>
        <w:t xml:space="preserve"> </w:t>
      </w:r>
      <w:r w:rsidR="001D7E8D">
        <w:rPr>
          <w:szCs w:val="24"/>
        </w:rPr>
        <w:t xml:space="preserve">DEO also </w:t>
      </w:r>
      <w:r w:rsidR="001D4A00">
        <w:rPr>
          <w:szCs w:val="24"/>
        </w:rPr>
        <w:t xml:space="preserve">previously </w:t>
      </w:r>
      <w:r w:rsidR="001D7E8D">
        <w:rPr>
          <w:szCs w:val="24"/>
        </w:rPr>
        <w:t>argued in the</w:t>
      </w:r>
      <w:r w:rsidR="00942BE2">
        <w:rPr>
          <w:szCs w:val="24"/>
        </w:rPr>
        <w:t xml:space="preserve"> Credit and Disconnect</w:t>
      </w:r>
      <w:r w:rsidR="001D7E8D">
        <w:rPr>
          <w:szCs w:val="24"/>
        </w:rPr>
        <w:t xml:space="preserve"> rules case that permitting this payment plan would require significant costs and time to implement. </w:t>
      </w:r>
      <w:r w:rsidR="00F06B16">
        <w:rPr>
          <w:szCs w:val="24"/>
        </w:rPr>
        <w:t xml:space="preserve">However, </w:t>
      </w:r>
      <w:r w:rsidR="00FF6190">
        <w:rPr>
          <w:szCs w:val="24"/>
        </w:rPr>
        <w:t>DEO provided no substance to support these contentions</w:t>
      </w:r>
      <w:r w:rsidR="004442EB">
        <w:rPr>
          <w:szCs w:val="24"/>
        </w:rPr>
        <w:t>.</w:t>
      </w:r>
    </w:p>
    <w:p w:rsidR="001D4A00" w:rsidRDefault="004442EB" w:rsidP="001B4525">
      <w:pPr>
        <w:suppressAutoHyphens/>
        <w:spacing w:line="480" w:lineRule="auto"/>
        <w:ind w:firstLine="720"/>
        <w:rPr>
          <w:szCs w:val="24"/>
        </w:rPr>
      </w:pPr>
      <w:r>
        <w:rPr>
          <w:szCs w:val="24"/>
        </w:rPr>
        <w:t xml:space="preserve">But the PUCO was not persuaded by DEO’s arguments. </w:t>
      </w:r>
      <w:r w:rsidR="00FF6190">
        <w:rPr>
          <w:szCs w:val="24"/>
        </w:rPr>
        <w:t xml:space="preserve"> </w:t>
      </w:r>
      <w:r>
        <w:rPr>
          <w:szCs w:val="24"/>
        </w:rPr>
        <w:t>T</w:t>
      </w:r>
      <w:r w:rsidR="00FF6190">
        <w:rPr>
          <w:szCs w:val="24"/>
        </w:rPr>
        <w:t xml:space="preserve">he </w:t>
      </w:r>
      <w:r w:rsidR="00AF638D">
        <w:rPr>
          <w:szCs w:val="24"/>
        </w:rPr>
        <w:t xml:space="preserve">PUCO </w:t>
      </w:r>
      <w:r w:rsidR="00FF6190">
        <w:rPr>
          <w:szCs w:val="24"/>
        </w:rPr>
        <w:t xml:space="preserve">ultimately ruled </w:t>
      </w:r>
      <w:r w:rsidR="00A734ED">
        <w:rPr>
          <w:szCs w:val="24"/>
        </w:rPr>
        <w:t>against</w:t>
      </w:r>
      <w:r w:rsidR="00FF6190">
        <w:rPr>
          <w:szCs w:val="24"/>
        </w:rPr>
        <w:t xml:space="preserve"> DEO’s flawed arguments</w:t>
      </w:r>
      <w:r w:rsidR="00804884">
        <w:rPr>
          <w:szCs w:val="24"/>
        </w:rPr>
        <w:t>,</w:t>
      </w:r>
      <w:r w:rsidR="00FF6190">
        <w:rPr>
          <w:szCs w:val="24"/>
        </w:rPr>
        <w:t xml:space="preserve"> </w:t>
      </w:r>
      <w:r w:rsidR="001D4A00">
        <w:rPr>
          <w:szCs w:val="24"/>
        </w:rPr>
        <w:t>noting the following;</w:t>
      </w:r>
    </w:p>
    <w:p w:rsidR="001D4A00" w:rsidRDefault="001D7E8D" w:rsidP="0073080F">
      <w:pPr>
        <w:suppressAutoHyphens/>
        <w:ind w:left="1440" w:right="720"/>
        <w:rPr>
          <w:szCs w:val="24"/>
        </w:rPr>
      </w:pPr>
      <w:r>
        <w:rPr>
          <w:szCs w:val="24"/>
        </w:rPr>
        <w:t xml:space="preserve">“[t]his rule is to encourage and assist those customers, who are still struggling to pay their debt and ultimately lessen the debt of the utility. If the customer does not take advantage of this program that is only offered for the 12 months immediately after the account is final, he/she is still responsible for the remaining arrearages. Moreover, we find that this program is consistent with the electric post PIPP </w:t>
      </w:r>
      <w:r w:rsidR="007D3523">
        <w:rPr>
          <w:szCs w:val="24"/>
        </w:rPr>
        <w:t>P</w:t>
      </w:r>
      <w:r w:rsidR="00DE3C7A">
        <w:rPr>
          <w:szCs w:val="24"/>
        </w:rPr>
        <w:t>lus</w:t>
      </w:r>
      <w:r>
        <w:rPr>
          <w:szCs w:val="24"/>
        </w:rPr>
        <w:t xml:space="preserve"> program as require</w:t>
      </w:r>
      <w:r w:rsidR="00DE3C7A">
        <w:rPr>
          <w:szCs w:val="24"/>
        </w:rPr>
        <w:t>d</w:t>
      </w:r>
      <w:r>
        <w:rPr>
          <w:szCs w:val="24"/>
        </w:rPr>
        <w:t xml:space="preserve"> by ODSA. According, Dominion’s third assignment of error should be denied.”</w:t>
      </w:r>
      <w:r>
        <w:rPr>
          <w:rStyle w:val="FootnoteReference"/>
          <w:szCs w:val="24"/>
        </w:rPr>
        <w:footnoteReference w:id="15"/>
      </w:r>
      <w:r w:rsidR="00FF6190">
        <w:rPr>
          <w:szCs w:val="24"/>
        </w:rPr>
        <w:t xml:space="preserve">  </w:t>
      </w:r>
    </w:p>
    <w:p w:rsidR="001D4A00" w:rsidRDefault="001D4A00" w:rsidP="009B7335">
      <w:pPr>
        <w:suppressAutoHyphens/>
        <w:ind w:left="720" w:firstLine="720"/>
        <w:rPr>
          <w:szCs w:val="24"/>
        </w:rPr>
      </w:pPr>
    </w:p>
    <w:p w:rsidR="00AB450D" w:rsidRDefault="001D4A00" w:rsidP="001D4A00">
      <w:pPr>
        <w:suppressAutoHyphens/>
        <w:spacing w:line="480" w:lineRule="auto"/>
        <w:ind w:firstLine="720"/>
        <w:rPr>
          <w:szCs w:val="24"/>
        </w:rPr>
      </w:pPr>
      <w:r>
        <w:rPr>
          <w:szCs w:val="24"/>
        </w:rPr>
        <w:t>W</w:t>
      </w:r>
      <w:r w:rsidR="005409A9">
        <w:rPr>
          <w:szCs w:val="24"/>
        </w:rPr>
        <w:t xml:space="preserve">hile </w:t>
      </w:r>
      <w:r w:rsidR="00FF6190">
        <w:rPr>
          <w:szCs w:val="24"/>
        </w:rPr>
        <w:t xml:space="preserve">DEO was unsuccessful in blocking </w:t>
      </w:r>
      <w:r w:rsidR="005409A9">
        <w:rPr>
          <w:szCs w:val="24"/>
        </w:rPr>
        <w:t xml:space="preserve">this new </w:t>
      </w:r>
      <w:r w:rsidR="00A734ED">
        <w:rPr>
          <w:szCs w:val="24"/>
        </w:rPr>
        <w:t xml:space="preserve">rule that benefits former PIPP </w:t>
      </w:r>
      <w:r>
        <w:rPr>
          <w:szCs w:val="24"/>
        </w:rPr>
        <w:t>P</w:t>
      </w:r>
      <w:r w:rsidR="00FF6190">
        <w:rPr>
          <w:szCs w:val="24"/>
        </w:rPr>
        <w:t>lus customers</w:t>
      </w:r>
      <w:r w:rsidR="005409A9">
        <w:rPr>
          <w:szCs w:val="24"/>
        </w:rPr>
        <w:t>, it now seeks a delay implement</w:t>
      </w:r>
      <w:r w:rsidR="004442EB">
        <w:rPr>
          <w:szCs w:val="24"/>
        </w:rPr>
        <w:t>ing</w:t>
      </w:r>
      <w:r w:rsidR="00942BE2">
        <w:rPr>
          <w:szCs w:val="24"/>
        </w:rPr>
        <w:t xml:space="preserve"> </w:t>
      </w:r>
      <w:r w:rsidR="004442EB">
        <w:rPr>
          <w:szCs w:val="24"/>
        </w:rPr>
        <w:t>the rule without</w:t>
      </w:r>
      <w:r w:rsidR="005409A9">
        <w:rPr>
          <w:szCs w:val="24"/>
        </w:rPr>
        <w:t xml:space="preserve"> any new evidence</w:t>
      </w:r>
      <w:r w:rsidR="00623614">
        <w:rPr>
          <w:szCs w:val="24"/>
        </w:rPr>
        <w:t>, nor good cause,</w:t>
      </w:r>
      <w:r w:rsidR="005409A9">
        <w:rPr>
          <w:szCs w:val="24"/>
        </w:rPr>
        <w:t xml:space="preserve"> to support the delay. </w:t>
      </w:r>
    </w:p>
    <w:p w:rsidR="007A6693" w:rsidRDefault="007A6693">
      <w:pPr>
        <w:suppressAutoHyphens/>
        <w:spacing w:line="480" w:lineRule="auto"/>
        <w:ind w:firstLine="720"/>
        <w:rPr>
          <w:szCs w:val="24"/>
        </w:rPr>
      </w:pPr>
      <w:r>
        <w:rPr>
          <w:szCs w:val="24"/>
        </w:rPr>
        <w:t xml:space="preserve">OCC recommends that the PUCO order DEO to timely comply with the newly enacted </w:t>
      </w:r>
      <w:r w:rsidR="00DE3C7A">
        <w:rPr>
          <w:szCs w:val="24"/>
        </w:rPr>
        <w:t>g</w:t>
      </w:r>
      <w:r>
        <w:rPr>
          <w:szCs w:val="24"/>
        </w:rPr>
        <w:t xml:space="preserve">raduate </w:t>
      </w:r>
      <w:r w:rsidR="001D4A00">
        <w:rPr>
          <w:szCs w:val="24"/>
        </w:rPr>
        <w:t>PIPP Plus</w:t>
      </w:r>
      <w:r>
        <w:rPr>
          <w:szCs w:val="24"/>
        </w:rPr>
        <w:t xml:space="preserve"> program, Ohio Adm. Code 4901:1-18-16(G).</w:t>
      </w:r>
    </w:p>
    <w:p w:rsidR="00AB450D" w:rsidRDefault="001C09A5" w:rsidP="001C09A5">
      <w:pPr>
        <w:pStyle w:val="Heading2"/>
      </w:pPr>
      <w:bookmarkStart w:id="5" w:name="_Toc411597650"/>
      <w:r>
        <w:t>C.</w:t>
      </w:r>
      <w:r>
        <w:tab/>
      </w:r>
      <w:r w:rsidR="00AB450D">
        <w:t>Ohio Admin. Code 4901:1-13-05(A)(1), (A)(4), (C)(4), and (C)(5)</w:t>
      </w:r>
      <w:r w:rsidR="007E56C3">
        <w:t xml:space="preserve"> Minimum Customer Service Levels</w:t>
      </w:r>
      <w:bookmarkEnd w:id="5"/>
    </w:p>
    <w:p w:rsidR="00503176" w:rsidRDefault="00221FBD" w:rsidP="00AB450D">
      <w:pPr>
        <w:suppressAutoHyphens/>
        <w:spacing w:line="480" w:lineRule="auto"/>
        <w:ind w:firstLine="720"/>
        <w:rPr>
          <w:szCs w:val="24"/>
        </w:rPr>
      </w:pPr>
      <w:r>
        <w:rPr>
          <w:szCs w:val="24"/>
        </w:rPr>
        <w:t>The revisions to rules 4901:1-13-05(A)(1) and (4) reduce the number of days in which DEO must establish new service from five to three business days. Amendments to rules 4901:1-13-05(C)(4) and (5) require the Utility to provide cancelling consumers with either a next business day appointment with no exact arrival time or a four-hour window within tw</w:t>
      </w:r>
      <w:r w:rsidR="001D4A00">
        <w:rPr>
          <w:szCs w:val="24"/>
        </w:rPr>
        <w:t>o</w:t>
      </w:r>
      <w:r>
        <w:rPr>
          <w:szCs w:val="24"/>
        </w:rPr>
        <w:t xml:space="preserve"> business days. </w:t>
      </w:r>
      <w:r w:rsidR="004442EB">
        <w:rPr>
          <w:szCs w:val="24"/>
        </w:rPr>
        <w:t>This rule benefits customers by</w:t>
      </w:r>
      <w:r w:rsidR="00942BE2">
        <w:rPr>
          <w:szCs w:val="24"/>
        </w:rPr>
        <w:t xml:space="preserve"> providing essential gas service to customers quicker than the </w:t>
      </w:r>
      <w:r w:rsidR="00F06B16">
        <w:rPr>
          <w:szCs w:val="24"/>
        </w:rPr>
        <w:t>previous</w:t>
      </w:r>
      <w:r w:rsidR="00942BE2">
        <w:rPr>
          <w:szCs w:val="24"/>
        </w:rPr>
        <w:t xml:space="preserve"> rules. </w:t>
      </w:r>
    </w:p>
    <w:p w:rsidR="004442EB" w:rsidRDefault="00AB450D" w:rsidP="00AB450D">
      <w:pPr>
        <w:suppressAutoHyphens/>
        <w:spacing w:line="480" w:lineRule="auto"/>
        <w:ind w:firstLine="720"/>
        <w:rPr>
          <w:szCs w:val="24"/>
        </w:rPr>
      </w:pPr>
      <w:r>
        <w:rPr>
          <w:szCs w:val="24"/>
        </w:rPr>
        <w:t>DEO</w:t>
      </w:r>
      <w:r w:rsidR="00DE3C7A">
        <w:rPr>
          <w:szCs w:val="24"/>
        </w:rPr>
        <w:t xml:space="preserve"> requests a waiver of all four provisions,</w:t>
      </w:r>
      <w:r>
        <w:rPr>
          <w:szCs w:val="24"/>
        </w:rPr>
        <w:t xml:space="preserve"> stat</w:t>
      </w:r>
      <w:r w:rsidR="00DE3C7A">
        <w:rPr>
          <w:szCs w:val="24"/>
        </w:rPr>
        <w:t>ing</w:t>
      </w:r>
      <w:r>
        <w:rPr>
          <w:szCs w:val="24"/>
        </w:rPr>
        <w:t xml:space="preserve"> that good cause exists for a temporary waiver until November 30, 2016 because “it is not clear to DEO whether and to what extent the revised rule regarding the rescheduling of cancelled appointments would apply to th</w:t>
      </w:r>
      <w:r w:rsidR="000653B8">
        <w:rPr>
          <w:szCs w:val="24"/>
        </w:rPr>
        <w:t>ese</w:t>
      </w:r>
      <w:r>
        <w:rPr>
          <w:szCs w:val="24"/>
        </w:rPr>
        <w:t xml:space="preserve"> situations” and DEO needs to “determine whether and to what extent those rules apply to existing business processes.”</w:t>
      </w:r>
      <w:r>
        <w:rPr>
          <w:rStyle w:val="FootnoteReference"/>
          <w:szCs w:val="24"/>
        </w:rPr>
        <w:footnoteReference w:id="16"/>
      </w:r>
      <w:r>
        <w:rPr>
          <w:szCs w:val="24"/>
        </w:rPr>
        <w:t xml:space="preserve"> DEO made arguments</w:t>
      </w:r>
      <w:r w:rsidR="005275CE">
        <w:rPr>
          <w:szCs w:val="24"/>
        </w:rPr>
        <w:t xml:space="preserve"> against these revisions</w:t>
      </w:r>
      <w:r>
        <w:rPr>
          <w:szCs w:val="24"/>
        </w:rPr>
        <w:t xml:space="preserve"> to the PUCO in its </w:t>
      </w:r>
      <w:r w:rsidR="005275CE">
        <w:rPr>
          <w:szCs w:val="24"/>
        </w:rPr>
        <w:t xml:space="preserve">MGSS </w:t>
      </w:r>
      <w:r>
        <w:rPr>
          <w:szCs w:val="24"/>
        </w:rPr>
        <w:t>Comments</w:t>
      </w:r>
      <w:r w:rsidR="005275CE">
        <w:rPr>
          <w:szCs w:val="24"/>
        </w:rPr>
        <w:t>,</w:t>
      </w:r>
      <w:r>
        <w:rPr>
          <w:rStyle w:val="FootnoteReference"/>
          <w:szCs w:val="24"/>
        </w:rPr>
        <w:footnoteReference w:id="17"/>
      </w:r>
      <w:r w:rsidR="00B379A9">
        <w:rPr>
          <w:szCs w:val="24"/>
        </w:rPr>
        <w:t xml:space="preserve"> and</w:t>
      </w:r>
      <w:r>
        <w:rPr>
          <w:szCs w:val="24"/>
        </w:rPr>
        <w:t xml:space="preserve"> Application for Rehearing</w:t>
      </w:r>
      <w:r w:rsidR="00B379A9">
        <w:rPr>
          <w:szCs w:val="24"/>
        </w:rPr>
        <w:t>.</w:t>
      </w:r>
      <w:r>
        <w:rPr>
          <w:rStyle w:val="FootnoteReference"/>
          <w:szCs w:val="24"/>
        </w:rPr>
        <w:footnoteReference w:id="18"/>
      </w:r>
      <w:r>
        <w:rPr>
          <w:szCs w:val="24"/>
        </w:rPr>
        <w:t xml:space="preserve"> </w:t>
      </w:r>
    </w:p>
    <w:p w:rsidR="00AB450D" w:rsidRDefault="00F006ED" w:rsidP="00AB450D">
      <w:pPr>
        <w:suppressAutoHyphens/>
        <w:spacing w:line="480" w:lineRule="auto"/>
        <w:ind w:firstLine="720"/>
        <w:rPr>
          <w:szCs w:val="24"/>
        </w:rPr>
      </w:pPr>
      <w:r>
        <w:rPr>
          <w:szCs w:val="24"/>
        </w:rPr>
        <w:t>The PUCO should deny DEO’s waiver request here as it did in the MGSS case</w:t>
      </w:r>
      <w:r w:rsidR="001D4A00">
        <w:rPr>
          <w:szCs w:val="24"/>
        </w:rPr>
        <w:t xml:space="preserve"> because no new compelling evidence has been set forth</w:t>
      </w:r>
      <w:r>
        <w:rPr>
          <w:szCs w:val="24"/>
        </w:rPr>
        <w:t xml:space="preserve">.  The PUCO </w:t>
      </w:r>
      <w:r w:rsidR="001D4A00">
        <w:rPr>
          <w:szCs w:val="24"/>
        </w:rPr>
        <w:t xml:space="preserve">already appropriately </w:t>
      </w:r>
      <w:r>
        <w:rPr>
          <w:szCs w:val="24"/>
        </w:rPr>
        <w:t xml:space="preserve">found that DEO’s arguments “regarding the three-day timeframe for new service installations and rescheduled </w:t>
      </w:r>
      <w:r w:rsidR="00D72FEF">
        <w:rPr>
          <w:szCs w:val="24"/>
        </w:rPr>
        <w:t>completion</w:t>
      </w:r>
      <w:r>
        <w:rPr>
          <w:szCs w:val="24"/>
        </w:rPr>
        <w:t xml:space="preserve"> dates </w:t>
      </w:r>
      <w:r w:rsidR="00D72FEF">
        <w:rPr>
          <w:szCs w:val="24"/>
        </w:rPr>
        <w:t>under</w:t>
      </w:r>
      <w:r>
        <w:rPr>
          <w:szCs w:val="24"/>
        </w:rPr>
        <w:t xml:space="preserve"> Ohio Adm. Code 4901:1-13-05(A)(1) a</w:t>
      </w:r>
      <w:r w:rsidR="00162821">
        <w:rPr>
          <w:szCs w:val="24"/>
        </w:rPr>
        <w:t>nd (4</w:t>
      </w:r>
      <w:r>
        <w:rPr>
          <w:szCs w:val="24"/>
        </w:rPr>
        <w:t xml:space="preserve">) should be </w:t>
      </w:r>
      <w:r w:rsidR="00D72FEF">
        <w:rPr>
          <w:szCs w:val="24"/>
        </w:rPr>
        <w:t>denied</w:t>
      </w:r>
      <w:r>
        <w:rPr>
          <w:szCs w:val="24"/>
        </w:rPr>
        <w:t>.”</w:t>
      </w:r>
      <w:r>
        <w:rPr>
          <w:rStyle w:val="FootnoteReference"/>
          <w:szCs w:val="24"/>
        </w:rPr>
        <w:footnoteReference w:id="19"/>
      </w:r>
      <w:r w:rsidR="00491969">
        <w:rPr>
          <w:szCs w:val="24"/>
        </w:rPr>
        <w:t xml:space="preserve"> </w:t>
      </w:r>
      <w:r w:rsidR="00D72FEF">
        <w:rPr>
          <w:szCs w:val="24"/>
        </w:rPr>
        <w:t>The PUCO state</w:t>
      </w:r>
      <w:r w:rsidR="00162821">
        <w:rPr>
          <w:szCs w:val="24"/>
        </w:rPr>
        <w:t>d</w:t>
      </w:r>
      <w:r w:rsidR="00D72FEF">
        <w:rPr>
          <w:szCs w:val="24"/>
        </w:rPr>
        <w:t xml:space="preserve"> that the utility companies’ arguments had already been thoroughly considered and addressed</w:t>
      </w:r>
      <w:r w:rsidR="00942BE2">
        <w:rPr>
          <w:szCs w:val="24"/>
        </w:rPr>
        <w:t>.</w:t>
      </w:r>
      <w:r w:rsidR="00D72FEF">
        <w:rPr>
          <w:szCs w:val="24"/>
        </w:rPr>
        <w:t xml:space="preserve"> </w:t>
      </w:r>
      <w:r w:rsidR="00942BE2">
        <w:rPr>
          <w:szCs w:val="24"/>
        </w:rPr>
        <w:t>The PUCO</w:t>
      </w:r>
      <w:r w:rsidR="00D72FEF">
        <w:rPr>
          <w:szCs w:val="24"/>
        </w:rPr>
        <w:t xml:space="preserve"> agreed with the OCC that the estimated cost impact associated with the rule changes did not constitute a major increase that would outweigh the benefit to customers of having service installed within a reasonable amount of time. </w:t>
      </w:r>
      <w:r w:rsidR="00491969">
        <w:rPr>
          <w:szCs w:val="24"/>
        </w:rPr>
        <w:t xml:space="preserve">The PUCO also noted that the </w:t>
      </w:r>
      <w:r w:rsidR="00D72FEF">
        <w:rPr>
          <w:szCs w:val="24"/>
        </w:rPr>
        <w:t>electric</w:t>
      </w:r>
      <w:r w:rsidR="00491969">
        <w:rPr>
          <w:szCs w:val="24"/>
        </w:rPr>
        <w:t xml:space="preserve"> utility companies in Ohio had to establish service within the three</w:t>
      </w:r>
      <w:r w:rsidR="001D4A00">
        <w:rPr>
          <w:szCs w:val="24"/>
        </w:rPr>
        <w:t>-</w:t>
      </w:r>
      <w:r w:rsidR="00491969">
        <w:rPr>
          <w:szCs w:val="24"/>
        </w:rPr>
        <w:t xml:space="preserve">day timeframe. </w:t>
      </w:r>
      <w:r w:rsidR="00D72FEF">
        <w:rPr>
          <w:szCs w:val="24"/>
        </w:rPr>
        <w:t xml:space="preserve">Though DEO may argue that it needs more time to consider implementation of this shortened timeframe, the PUCO stated in the </w:t>
      </w:r>
      <w:r w:rsidR="003E354A">
        <w:rPr>
          <w:szCs w:val="24"/>
        </w:rPr>
        <w:t xml:space="preserve">2014 </w:t>
      </w:r>
      <w:r w:rsidR="00D72FEF">
        <w:rPr>
          <w:szCs w:val="24"/>
        </w:rPr>
        <w:t xml:space="preserve">MGSS Entry of </w:t>
      </w:r>
      <w:r w:rsidR="000653B8">
        <w:rPr>
          <w:szCs w:val="24"/>
        </w:rPr>
        <w:t>R</w:t>
      </w:r>
      <w:r w:rsidR="00D72FEF">
        <w:rPr>
          <w:szCs w:val="24"/>
        </w:rPr>
        <w:t xml:space="preserve">ehearing that the PUCO had encouraged gas companies </w:t>
      </w:r>
      <w:r w:rsidR="003E354A">
        <w:rPr>
          <w:szCs w:val="24"/>
        </w:rPr>
        <w:t xml:space="preserve">in the 2010 MGSS case </w:t>
      </w:r>
      <w:r w:rsidR="00D72FEF">
        <w:rPr>
          <w:szCs w:val="24"/>
        </w:rPr>
        <w:t>to take every reasonable action to connect new service as quickly as possible, particularly during the winter months in the Commission Review of the MGSS in 2010.</w:t>
      </w:r>
      <w:r w:rsidR="00D72FEF">
        <w:rPr>
          <w:rStyle w:val="FootnoteReference"/>
          <w:szCs w:val="24"/>
        </w:rPr>
        <w:footnoteReference w:id="20"/>
      </w:r>
    </w:p>
    <w:p w:rsidR="00375B87" w:rsidRDefault="00DE3C7A" w:rsidP="00AB450D">
      <w:pPr>
        <w:suppressAutoHyphens/>
        <w:spacing w:line="480" w:lineRule="auto"/>
        <w:ind w:firstLine="720"/>
        <w:rPr>
          <w:szCs w:val="24"/>
        </w:rPr>
      </w:pPr>
      <w:r>
        <w:rPr>
          <w:szCs w:val="24"/>
        </w:rPr>
        <w:t>DEO’s claims regarding Ohio Adm. Code 4901:1-13(C)(4) and (C)(5) were also rejected by the PUCO</w:t>
      </w:r>
      <w:r w:rsidR="007F3F4A">
        <w:rPr>
          <w:szCs w:val="24"/>
        </w:rPr>
        <w:t xml:space="preserve">, when it stated “the Joint </w:t>
      </w:r>
      <w:r w:rsidR="00F06B16">
        <w:rPr>
          <w:szCs w:val="24"/>
        </w:rPr>
        <w:t>C</w:t>
      </w:r>
      <w:r w:rsidR="007F3F4A">
        <w:rPr>
          <w:szCs w:val="24"/>
        </w:rPr>
        <w:t>ompanies’ application for rehearing regarding the rescheduling of appointments under Ohio Adm. Code 4901:1-13-05(C)(4) and (C)(5) should be denied.”</w:t>
      </w:r>
      <w:r w:rsidR="007F3F4A">
        <w:rPr>
          <w:rStyle w:val="FootnoteReference"/>
          <w:szCs w:val="24"/>
        </w:rPr>
        <w:footnoteReference w:id="21"/>
      </w:r>
      <w:r w:rsidR="007F3F4A">
        <w:rPr>
          <w:szCs w:val="24"/>
        </w:rPr>
        <w:t xml:space="preserve"> The PUCO determined that the revisions to those sections required that, if either the company or the customer is unable to meet the scheduled appointment, the company shall offer the customer either a next business day appointment with no expected arrival time window or a four-hour window appointment within two business days. The PUCO explicitly state</w:t>
      </w:r>
      <w:r w:rsidR="001D4A00">
        <w:rPr>
          <w:szCs w:val="24"/>
        </w:rPr>
        <w:t>d</w:t>
      </w:r>
      <w:r w:rsidR="007F3F4A">
        <w:rPr>
          <w:szCs w:val="24"/>
        </w:rPr>
        <w:t xml:space="preserve"> that it did not agree with DEO’s position that this section favored customers that cancel an appointment over customers that have an appointment cancelled by the Utility.</w:t>
      </w:r>
      <w:r w:rsidR="007F3F4A">
        <w:rPr>
          <w:rStyle w:val="FootnoteReference"/>
          <w:szCs w:val="24"/>
        </w:rPr>
        <w:footnoteReference w:id="22"/>
      </w:r>
      <w:r w:rsidR="007F3F4A">
        <w:rPr>
          <w:szCs w:val="24"/>
        </w:rPr>
        <w:t xml:space="preserve"> The PUCO reasoned that the rule was</w:t>
      </w:r>
      <w:r w:rsidR="00375B87">
        <w:rPr>
          <w:szCs w:val="24"/>
        </w:rPr>
        <w:t xml:space="preserve"> intended</w:t>
      </w:r>
      <w:r w:rsidR="007F3F4A">
        <w:rPr>
          <w:szCs w:val="24"/>
        </w:rPr>
        <w:t xml:space="preserve"> to afford comparable treatment in the rescheduling of service appointments, regardless of whether the initial appointment was cancelled by the customer o</w:t>
      </w:r>
      <w:r w:rsidR="00F06B16">
        <w:rPr>
          <w:szCs w:val="24"/>
        </w:rPr>
        <w:t>r</w:t>
      </w:r>
      <w:r w:rsidR="007F3F4A">
        <w:rPr>
          <w:szCs w:val="24"/>
        </w:rPr>
        <w:t xml:space="preserve"> the Utility. The PUCO agreed with the OCC that it was unlikely that customer</w:t>
      </w:r>
      <w:r w:rsidR="00A734ED">
        <w:rPr>
          <w:szCs w:val="24"/>
        </w:rPr>
        <w:t>s</w:t>
      </w:r>
      <w:r w:rsidR="007F3F4A">
        <w:rPr>
          <w:szCs w:val="24"/>
        </w:rPr>
        <w:t xml:space="preserve"> would seek to abuse the rule so much that it would disrupt the Utility’s scheduling system. </w:t>
      </w:r>
    </w:p>
    <w:p w:rsidR="005409A9" w:rsidRDefault="00375B87" w:rsidP="00AB450D">
      <w:pPr>
        <w:suppressAutoHyphens/>
        <w:spacing w:line="480" w:lineRule="auto"/>
        <w:ind w:firstLine="720"/>
        <w:rPr>
          <w:szCs w:val="24"/>
        </w:rPr>
      </w:pPr>
      <w:r>
        <w:rPr>
          <w:szCs w:val="24"/>
        </w:rPr>
        <w:t>O</w:t>
      </w:r>
      <w:r w:rsidR="005409A9">
        <w:rPr>
          <w:szCs w:val="24"/>
        </w:rPr>
        <w:t xml:space="preserve">nce again, while the PUCO has already </w:t>
      </w:r>
      <w:r w:rsidR="00A734ED">
        <w:rPr>
          <w:szCs w:val="24"/>
        </w:rPr>
        <w:t>rejected</w:t>
      </w:r>
      <w:r w:rsidR="005409A9">
        <w:rPr>
          <w:szCs w:val="24"/>
        </w:rPr>
        <w:t xml:space="preserve"> the </w:t>
      </w:r>
      <w:r w:rsidR="00A13D82">
        <w:rPr>
          <w:szCs w:val="24"/>
        </w:rPr>
        <w:t xml:space="preserve">Utility’s </w:t>
      </w:r>
      <w:r w:rsidR="005409A9">
        <w:rPr>
          <w:szCs w:val="24"/>
        </w:rPr>
        <w:t>flawed argument</w:t>
      </w:r>
      <w:r w:rsidR="001D4A00">
        <w:rPr>
          <w:szCs w:val="24"/>
        </w:rPr>
        <w:t xml:space="preserve">, which </w:t>
      </w:r>
      <w:r w:rsidR="00A13D82">
        <w:rPr>
          <w:szCs w:val="24"/>
        </w:rPr>
        <w:t>if adopted</w:t>
      </w:r>
      <w:r w:rsidR="00B379A9">
        <w:rPr>
          <w:szCs w:val="24"/>
        </w:rPr>
        <w:t>,</w:t>
      </w:r>
      <w:r w:rsidR="00A13D82">
        <w:rPr>
          <w:szCs w:val="24"/>
        </w:rPr>
        <w:t xml:space="preserve"> could </w:t>
      </w:r>
      <w:r w:rsidR="005409A9">
        <w:rPr>
          <w:szCs w:val="24"/>
        </w:rPr>
        <w:t>potential</w:t>
      </w:r>
      <w:r w:rsidR="001D4A00">
        <w:rPr>
          <w:szCs w:val="24"/>
        </w:rPr>
        <w:t xml:space="preserve">ly </w:t>
      </w:r>
      <w:r w:rsidR="00F06B16">
        <w:rPr>
          <w:szCs w:val="24"/>
        </w:rPr>
        <w:t>delay customers’ access to service</w:t>
      </w:r>
      <w:r w:rsidR="005409A9">
        <w:rPr>
          <w:szCs w:val="24"/>
        </w:rPr>
        <w:t>, DEO now seeks to delay the implementation of the rules. DEO has provided no new evidence to support a delay</w:t>
      </w:r>
      <w:r w:rsidR="00623614">
        <w:rPr>
          <w:szCs w:val="24"/>
        </w:rPr>
        <w:t>, nor good cause for its request,</w:t>
      </w:r>
      <w:r w:rsidR="005409A9">
        <w:rPr>
          <w:szCs w:val="24"/>
        </w:rPr>
        <w:t xml:space="preserve"> in the implementation of this rule.  </w:t>
      </w:r>
    </w:p>
    <w:p w:rsidR="00DE3C7A" w:rsidRDefault="007F3F4A" w:rsidP="00AB450D">
      <w:pPr>
        <w:suppressAutoHyphens/>
        <w:spacing w:line="480" w:lineRule="auto"/>
        <w:ind w:firstLine="720"/>
        <w:rPr>
          <w:szCs w:val="24"/>
        </w:rPr>
      </w:pPr>
      <w:r>
        <w:rPr>
          <w:szCs w:val="24"/>
        </w:rPr>
        <w:t>OCC asks the PUCO to deny DEO’s</w:t>
      </w:r>
      <w:r w:rsidR="00942BE2">
        <w:rPr>
          <w:szCs w:val="24"/>
        </w:rPr>
        <w:t xml:space="preserve"> unwarra</w:t>
      </w:r>
      <w:r w:rsidR="00A13D82">
        <w:rPr>
          <w:szCs w:val="24"/>
        </w:rPr>
        <w:t>nted</w:t>
      </w:r>
      <w:r>
        <w:rPr>
          <w:szCs w:val="24"/>
        </w:rPr>
        <w:t xml:space="preserve"> waiver request</w:t>
      </w:r>
      <w:r w:rsidR="00A13D82">
        <w:rPr>
          <w:szCs w:val="24"/>
        </w:rPr>
        <w:t>.</w:t>
      </w:r>
    </w:p>
    <w:p w:rsidR="001C09A5" w:rsidRDefault="001C09A5" w:rsidP="00B30CA8">
      <w:pPr>
        <w:suppressAutoHyphens/>
        <w:ind w:firstLine="720"/>
        <w:rPr>
          <w:szCs w:val="24"/>
        </w:rPr>
      </w:pPr>
    </w:p>
    <w:p w:rsidR="007B01C6" w:rsidRPr="001C09A5" w:rsidRDefault="007B01C6" w:rsidP="00AD1593">
      <w:pPr>
        <w:pStyle w:val="Heading1"/>
      </w:pPr>
      <w:bookmarkStart w:id="6" w:name="_Toc411597651"/>
      <w:r w:rsidRPr="001C09A5">
        <w:t>Conclusion</w:t>
      </w:r>
      <w:bookmarkEnd w:id="6"/>
    </w:p>
    <w:p w:rsidR="007B01C6" w:rsidRDefault="007B01C6" w:rsidP="007B01C6">
      <w:pPr>
        <w:suppressAutoHyphens/>
        <w:spacing w:line="480" w:lineRule="auto"/>
        <w:ind w:firstLine="720"/>
        <w:rPr>
          <w:szCs w:val="24"/>
        </w:rPr>
      </w:pPr>
      <w:r>
        <w:rPr>
          <w:szCs w:val="24"/>
        </w:rPr>
        <w:t>OCC opposes DEO’s waiver requests of Ohio Adm. Code 4901:1-13-05(E), 4901:1-18-15(G), and 4901:1-13-05(A)(1), (A)(</w:t>
      </w:r>
      <w:r w:rsidR="00346226">
        <w:rPr>
          <w:szCs w:val="24"/>
        </w:rPr>
        <w:t>4</w:t>
      </w:r>
      <w:r>
        <w:rPr>
          <w:szCs w:val="24"/>
        </w:rPr>
        <w:t>), (C)(4) and (C)(5)</w:t>
      </w:r>
      <w:r w:rsidR="000A2D4A">
        <w:rPr>
          <w:szCs w:val="24"/>
        </w:rPr>
        <w:t>.</w:t>
      </w:r>
      <w:r>
        <w:rPr>
          <w:szCs w:val="24"/>
        </w:rPr>
        <w:t xml:space="preserve"> </w:t>
      </w:r>
      <w:r w:rsidR="002E113A">
        <w:rPr>
          <w:szCs w:val="24"/>
        </w:rPr>
        <w:t>The PUCO enacted the Credit and Disconnect rules in 1980 and the MGSS in 2006. Since that time, the PUCO has revised the rules to improve the provision of gas service</w:t>
      </w:r>
      <w:r w:rsidR="00346226">
        <w:rPr>
          <w:szCs w:val="24"/>
        </w:rPr>
        <w:t xml:space="preserve"> for consumers</w:t>
      </w:r>
      <w:r w:rsidR="002E113A">
        <w:rPr>
          <w:szCs w:val="24"/>
        </w:rPr>
        <w:t xml:space="preserve">. </w:t>
      </w:r>
      <w:r w:rsidR="000A2D4A">
        <w:rPr>
          <w:szCs w:val="24"/>
        </w:rPr>
        <w:t>Over the years and in this proceeding, the PUCO considered</w:t>
      </w:r>
      <w:r w:rsidR="002E113A">
        <w:rPr>
          <w:szCs w:val="24"/>
        </w:rPr>
        <w:t xml:space="preserve"> comments from the gas industry, gas marketers, and a wide variety of customers.</w:t>
      </w:r>
      <w:r w:rsidR="007B454F">
        <w:rPr>
          <w:szCs w:val="24"/>
        </w:rPr>
        <w:t xml:space="preserve"> With this in mind, the PUCO intended that DEO’s 1.1 million customers would benefit from the improved consumer protections in the newly enacted rule revisions.</w:t>
      </w:r>
      <w:r w:rsidR="000A2D4A">
        <w:rPr>
          <w:szCs w:val="24"/>
        </w:rPr>
        <w:t xml:space="preserve"> </w:t>
      </w:r>
      <w:r>
        <w:rPr>
          <w:szCs w:val="24"/>
        </w:rPr>
        <w:t xml:space="preserve">The PUCO made its decisions in </w:t>
      </w:r>
      <w:r w:rsidR="00DC02F9">
        <w:rPr>
          <w:szCs w:val="24"/>
        </w:rPr>
        <w:t xml:space="preserve">earlier </w:t>
      </w:r>
      <w:r>
        <w:rPr>
          <w:szCs w:val="24"/>
        </w:rPr>
        <w:t>order</w:t>
      </w:r>
      <w:r w:rsidR="00DC02F9">
        <w:rPr>
          <w:szCs w:val="24"/>
        </w:rPr>
        <w:t>s</w:t>
      </w:r>
      <w:r>
        <w:rPr>
          <w:szCs w:val="24"/>
        </w:rPr>
        <w:t xml:space="preserve"> and entries; however, DEO tries again to </w:t>
      </w:r>
      <w:r w:rsidR="00A13D82">
        <w:rPr>
          <w:szCs w:val="24"/>
        </w:rPr>
        <w:t xml:space="preserve">circumvent </w:t>
      </w:r>
      <w:r>
        <w:rPr>
          <w:szCs w:val="24"/>
        </w:rPr>
        <w:t xml:space="preserve">compliance with the </w:t>
      </w:r>
      <w:r w:rsidR="00A13D82">
        <w:rPr>
          <w:szCs w:val="24"/>
        </w:rPr>
        <w:t xml:space="preserve">PUCO’s </w:t>
      </w:r>
      <w:r>
        <w:rPr>
          <w:szCs w:val="24"/>
        </w:rPr>
        <w:t xml:space="preserve">rules </w:t>
      </w:r>
      <w:r w:rsidR="00A13D82">
        <w:rPr>
          <w:szCs w:val="24"/>
        </w:rPr>
        <w:t>through</w:t>
      </w:r>
      <w:r>
        <w:rPr>
          <w:szCs w:val="24"/>
        </w:rPr>
        <w:t xml:space="preserve"> this waiver request.</w:t>
      </w:r>
      <w:r w:rsidR="007B454F">
        <w:rPr>
          <w:szCs w:val="24"/>
        </w:rPr>
        <w:t xml:space="preserve"> </w:t>
      </w:r>
      <w:r w:rsidR="00346226">
        <w:rPr>
          <w:szCs w:val="24"/>
        </w:rPr>
        <w:t xml:space="preserve">Because DEO fails to show good cause to waive the rules, as required by Ohio’s Administrative Code, the PUCO should reject DEO’s requests for waiver.  </w:t>
      </w:r>
      <w:r w:rsidR="007B454F">
        <w:rPr>
          <w:szCs w:val="24"/>
        </w:rPr>
        <w:t xml:space="preserve">Customers are entitled to </w:t>
      </w:r>
      <w:r w:rsidR="00331CC6">
        <w:rPr>
          <w:szCs w:val="24"/>
        </w:rPr>
        <w:t>the benefits of the revised rules.</w:t>
      </w:r>
      <w:r>
        <w:rPr>
          <w:szCs w:val="24"/>
        </w:rPr>
        <w:t xml:space="preserve"> OCC</w:t>
      </w:r>
      <w:r w:rsidR="00504182">
        <w:rPr>
          <w:szCs w:val="24"/>
        </w:rPr>
        <w:t xml:space="preserve"> recommends that the PUCO deny DEO’s requests.</w:t>
      </w:r>
      <w:r w:rsidR="00A13D82" w:rsidRPr="00A13D82">
        <w:rPr>
          <w:szCs w:val="24"/>
        </w:rPr>
        <w:t xml:space="preserve"> </w:t>
      </w:r>
      <w:r w:rsidR="00A13D82">
        <w:rPr>
          <w:szCs w:val="24"/>
        </w:rPr>
        <w:t>OCC does not object to DEO’s limited waiver request – until June 30, 2015 to comply with Adm. Code 4901:1-13-11(C) and 4901:1-18-06(F)(3).</w:t>
      </w:r>
    </w:p>
    <w:p w:rsidR="00AB450D" w:rsidRDefault="00AB450D" w:rsidP="00AB450D">
      <w:pPr>
        <w:pStyle w:val="BodyTextIndent3"/>
        <w:widowControl w:val="0"/>
        <w:spacing w:line="480" w:lineRule="auto"/>
        <w:ind w:left="4320" w:firstLine="0"/>
        <w:rPr>
          <w:szCs w:val="24"/>
        </w:rPr>
      </w:pPr>
      <w:r>
        <w:rPr>
          <w:szCs w:val="24"/>
        </w:rPr>
        <w:t>Respectfully submitted,</w:t>
      </w:r>
    </w:p>
    <w:p w:rsidR="00AB450D" w:rsidRDefault="00AB450D" w:rsidP="00AB450D">
      <w:pPr>
        <w:pStyle w:val="Footer"/>
        <w:tabs>
          <w:tab w:val="left" w:pos="4320"/>
        </w:tabs>
        <w:ind w:left="4320"/>
        <w:rPr>
          <w:sz w:val="24"/>
          <w:szCs w:val="24"/>
        </w:rPr>
      </w:pPr>
      <w:r>
        <w:rPr>
          <w:sz w:val="24"/>
          <w:szCs w:val="24"/>
        </w:rPr>
        <w:t>BRUCE J. WESTON</w:t>
      </w:r>
    </w:p>
    <w:p w:rsidR="00AB450D" w:rsidRDefault="00AB450D" w:rsidP="00AB450D">
      <w:pPr>
        <w:tabs>
          <w:tab w:val="left" w:pos="4320"/>
        </w:tabs>
        <w:spacing w:after="120"/>
        <w:ind w:left="4320"/>
        <w:rPr>
          <w:szCs w:val="24"/>
        </w:rPr>
      </w:pPr>
      <w:r>
        <w:rPr>
          <w:szCs w:val="24"/>
        </w:rPr>
        <w:t>OHIO CONSUMERS’ COUNSEL</w:t>
      </w:r>
    </w:p>
    <w:p w:rsidR="00AB450D" w:rsidRDefault="00AB450D" w:rsidP="00AB450D">
      <w:pPr>
        <w:autoSpaceDE w:val="0"/>
        <w:autoSpaceDN w:val="0"/>
        <w:adjustRightInd w:val="0"/>
        <w:ind w:left="4320"/>
        <w:rPr>
          <w:i/>
        </w:rPr>
      </w:pPr>
      <w:r>
        <w:rPr>
          <w:i/>
          <w:u w:val="single"/>
        </w:rPr>
        <w:t>/s/ Jodi Bair                           </w:t>
      </w:r>
    </w:p>
    <w:p w:rsidR="00AB450D" w:rsidRDefault="00AB450D" w:rsidP="00AB450D">
      <w:pPr>
        <w:tabs>
          <w:tab w:val="left" w:pos="4320"/>
        </w:tabs>
        <w:ind w:left="4320"/>
        <w:rPr>
          <w:szCs w:val="24"/>
        </w:rPr>
      </w:pPr>
      <w:r>
        <w:rPr>
          <w:szCs w:val="24"/>
        </w:rPr>
        <w:t>Jodi Bair, Counsel of Record</w:t>
      </w:r>
    </w:p>
    <w:p w:rsidR="00AB450D" w:rsidRDefault="00AB450D" w:rsidP="00AB450D">
      <w:pPr>
        <w:tabs>
          <w:tab w:val="left" w:pos="4320"/>
        </w:tabs>
        <w:ind w:left="4320"/>
        <w:rPr>
          <w:szCs w:val="24"/>
        </w:rPr>
      </w:pPr>
      <w:r>
        <w:rPr>
          <w:szCs w:val="24"/>
        </w:rPr>
        <w:t>(</w:t>
      </w:r>
      <w:r w:rsidR="00B30CA8">
        <w:rPr>
          <w:szCs w:val="24"/>
        </w:rPr>
        <w:t xml:space="preserve">Reg. No. </w:t>
      </w:r>
      <w:r>
        <w:rPr>
          <w:szCs w:val="24"/>
        </w:rPr>
        <w:t>0062921)</w:t>
      </w:r>
    </w:p>
    <w:p w:rsidR="00AB450D" w:rsidRDefault="001C09A5" w:rsidP="00AB450D">
      <w:pPr>
        <w:tabs>
          <w:tab w:val="left" w:pos="4320"/>
        </w:tabs>
        <w:ind w:left="4320"/>
        <w:rPr>
          <w:szCs w:val="24"/>
        </w:rPr>
      </w:pPr>
      <w:r>
        <w:rPr>
          <w:szCs w:val="24"/>
        </w:rPr>
        <w:t xml:space="preserve">Assistant Consumers’ Counsel </w:t>
      </w:r>
    </w:p>
    <w:p w:rsidR="001C09A5" w:rsidRDefault="001C09A5" w:rsidP="00AB450D">
      <w:pPr>
        <w:tabs>
          <w:tab w:val="left" w:pos="4320"/>
        </w:tabs>
        <w:ind w:left="4320"/>
        <w:rPr>
          <w:szCs w:val="24"/>
        </w:rPr>
      </w:pPr>
    </w:p>
    <w:p w:rsidR="00AB450D" w:rsidRPr="001C09A5" w:rsidRDefault="00AB450D" w:rsidP="001C09A5">
      <w:pPr>
        <w:ind w:left="4320"/>
        <w:rPr>
          <w:b/>
        </w:rPr>
      </w:pPr>
      <w:r w:rsidRPr="001C09A5">
        <w:rPr>
          <w:b/>
        </w:rPr>
        <w:t>Office of the Ohio Consumers’ Counsel</w:t>
      </w:r>
    </w:p>
    <w:p w:rsidR="00AB450D" w:rsidRDefault="00AB450D" w:rsidP="001C09A5">
      <w:pPr>
        <w:ind w:left="4320"/>
        <w:rPr>
          <w:b/>
        </w:rPr>
      </w:pPr>
      <w:r>
        <w:t>10 West Broad Street, Suite 1800</w:t>
      </w:r>
    </w:p>
    <w:p w:rsidR="00AB450D" w:rsidRDefault="00AB450D" w:rsidP="001C09A5">
      <w:pPr>
        <w:ind w:left="4320"/>
        <w:rPr>
          <w:b/>
        </w:rPr>
      </w:pPr>
      <w:r>
        <w:t>Columbus, Ohio 43215-3485</w:t>
      </w:r>
    </w:p>
    <w:p w:rsidR="00AB450D" w:rsidRDefault="00AB450D" w:rsidP="00AB450D">
      <w:pPr>
        <w:autoSpaceDE w:val="0"/>
        <w:autoSpaceDN w:val="0"/>
        <w:adjustRightInd w:val="0"/>
        <w:ind w:left="4320"/>
        <w:rPr>
          <w:szCs w:val="24"/>
        </w:rPr>
      </w:pPr>
      <w:r>
        <w:rPr>
          <w:szCs w:val="24"/>
        </w:rPr>
        <w:t xml:space="preserve">Telephone: </w:t>
      </w:r>
      <w:r w:rsidR="004D0989">
        <w:rPr>
          <w:szCs w:val="24"/>
        </w:rPr>
        <w:t xml:space="preserve"> </w:t>
      </w:r>
      <w:r>
        <w:rPr>
          <w:szCs w:val="24"/>
        </w:rPr>
        <w:t xml:space="preserve">(614) 466-9559 (Bair </w:t>
      </w:r>
      <w:r w:rsidR="006A312C">
        <w:rPr>
          <w:szCs w:val="24"/>
        </w:rPr>
        <w:t>D</w:t>
      </w:r>
      <w:r>
        <w:rPr>
          <w:szCs w:val="24"/>
        </w:rPr>
        <w:t>irect)</w:t>
      </w:r>
    </w:p>
    <w:p w:rsidR="00AB450D" w:rsidRDefault="000A071E" w:rsidP="00AB450D">
      <w:pPr>
        <w:ind w:left="4320"/>
        <w:rPr>
          <w:szCs w:val="24"/>
        </w:rPr>
      </w:pPr>
      <w:hyperlink r:id="rId17" w:history="1">
        <w:r w:rsidR="00AB450D">
          <w:rPr>
            <w:rStyle w:val="Hyperlink"/>
          </w:rPr>
          <w:t>jodi.bair@occ.ohio.gov</w:t>
        </w:r>
      </w:hyperlink>
    </w:p>
    <w:p w:rsidR="00AB450D" w:rsidRDefault="00B30CA8" w:rsidP="00AB450D">
      <w:pPr>
        <w:ind w:left="4320"/>
        <w:rPr>
          <w:szCs w:val="24"/>
        </w:rPr>
      </w:pPr>
      <w:r>
        <w:rPr>
          <w:szCs w:val="24"/>
        </w:rPr>
        <w:t>(will accept service via email)</w:t>
      </w:r>
    </w:p>
    <w:p w:rsidR="00AB450D" w:rsidRDefault="00AB450D" w:rsidP="00AB450D">
      <w:pPr>
        <w:jc w:val="center"/>
        <w:rPr>
          <w:b/>
          <w:bCs/>
          <w:u w:val="single"/>
        </w:rPr>
      </w:pPr>
      <w:r>
        <w:br w:type="page"/>
      </w:r>
      <w:r>
        <w:rPr>
          <w:b/>
          <w:bCs/>
          <w:u w:val="single"/>
        </w:rPr>
        <w:t>CERTIFICATE OF SERVICE</w:t>
      </w:r>
    </w:p>
    <w:p w:rsidR="00AB450D" w:rsidRDefault="00AB450D" w:rsidP="00AB450D">
      <w:pPr>
        <w:spacing w:line="480" w:lineRule="atLeast"/>
      </w:pPr>
      <w:r>
        <w:tab/>
        <w:t>I hereby certify that a copy of this Motion to Intervene</w:t>
      </w:r>
      <w:r w:rsidR="001C09A5">
        <w:t xml:space="preserve"> and Comments</w:t>
      </w:r>
      <w:r>
        <w:t xml:space="preserve"> was served on the person stated below via electronic transmission, this </w:t>
      </w:r>
      <w:r w:rsidR="004D0989">
        <w:t>13</w:t>
      </w:r>
      <w:r>
        <w:t xml:space="preserve">th day of </w:t>
      </w:r>
      <w:r w:rsidR="00766E24">
        <w:t>February</w:t>
      </w:r>
      <w:r>
        <w:t xml:space="preserve"> 2015.</w:t>
      </w:r>
    </w:p>
    <w:p w:rsidR="00AB450D" w:rsidRDefault="00AB450D" w:rsidP="00AB450D">
      <w:pPr>
        <w:spacing w:line="480" w:lineRule="atLeast"/>
      </w:pPr>
    </w:p>
    <w:p w:rsidR="00AB450D" w:rsidRDefault="00AB450D" w:rsidP="00AB450D">
      <w:pPr>
        <w:autoSpaceDE w:val="0"/>
        <w:autoSpaceDN w:val="0"/>
        <w:adjustRightInd w:val="0"/>
        <w:ind w:left="4320"/>
        <w:rPr>
          <w:i/>
        </w:rPr>
      </w:pPr>
      <w:r>
        <w:rPr>
          <w:i/>
          <w:u w:val="single"/>
        </w:rPr>
        <w:t>/s/ Jodi Bair                           </w:t>
      </w:r>
    </w:p>
    <w:p w:rsidR="00AB450D" w:rsidRDefault="00AB450D" w:rsidP="00AB450D">
      <w:pPr>
        <w:tabs>
          <w:tab w:val="left" w:pos="4320"/>
        </w:tabs>
      </w:pPr>
      <w:r>
        <w:tab/>
        <w:t>Jodi Bair</w:t>
      </w:r>
    </w:p>
    <w:p w:rsidR="00AB450D" w:rsidRDefault="00AB450D" w:rsidP="00AB450D">
      <w:pPr>
        <w:tabs>
          <w:tab w:val="left" w:pos="4320"/>
        </w:tabs>
      </w:pPr>
      <w:r>
        <w:tab/>
        <w:t>Assistant Consumers’ Counsel</w:t>
      </w:r>
    </w:p>
    <w:p w:rsidR="00AB450D" w:rsidRDefault="00AB450D" w:rsidP="00AB450D">
      <w:pPr>
        <w:pStyle w:val="CommentSubject"/>
      </w:pPr>
    </w:p>
    <w:p w:rsidR="00AB450D" w:rsidRDefault="00AB450D" w:rsidP="00AB450D">
      <w:pPr>
        <w:pStyle w:val="CommentText"/>
      </w:pPr>
    </w:p>
    <w:p w:rsidR="00AB450D" w:rsidRDefault="00AB450D" w:rsidP="00AB450D">
      <w:pPr>
        <w:pStyle w:val="CommentText"/>
        <w:jc w:val="center"/>
        <w:rPr>
          <w:b/>
          <w:u w:val="single"/>
        </w:rPr>
      </w:pPr>
      <w:r>
        <w:rPr>
          <w:b/>
          <w:u w:val="single"/>
        </w:rPr>
        <w:t>SERVICE LIST</w:t>
      </w:r>
    </w:p>
    <w:p w:rsidR="00AB450D" w:rsidRDefault="00AB450D" w:rsidP="00AB450D">
      <w:pPr>
        <w:pStyle w:val="CommentText"/>
        <w:jc w:val="center"/>
        <w:rPr>
          <w:b/>
          <w:u w:val="single"/>
        </w:rPr>
      </w:pPr>
    </w:p>
    <w:p w:rsidR="00AB450D" w:rsidRDefault="00AB450D" w:rsidP="00AB450D">
      <w:pPr>
        <w:pStyle w:val="CommentText"/>
        <w:jc w:val="center"/>
        <w:rPr>
          <w:b/>
          <w:u w:val="single"/>
        </w:rPr>
      </w:pPr>
    </w:p>
    <w:tbl>
      <w:tblPr>
        <w:tblW w:w="0" w:type="auto"/>
        <w:tblLook w:val="04A0" w:firstRow="1" w:lastRow="0" w:firstColumn="1" w:lastColumn="0" w:noHBand="0" w:noVBand="1"/>
      </w:tblPr>
      <w:tblGrid>
        <w:gridCol w:w="4428"/>
        <w:gridCol w:w="4428"/>
      </w:tblGrid>
      <w:tr w:rsidR="00AB450D" w:rsidTr="00AB450D">
        <w:tc>
          <w:tcPr>
            <w:tcW w:w="4428" w:type="dxa"/>
          </w:tcPr>
          <w:p w:rsidR="00AB450D" w:rsidRDefault="00AB450D">
            <w:pPr>
              <w:pStyle w:val="CommentText"/>
            </w:pPr>
            <w:r>
              <w:t>William Wright</w:t>
            </w:r>
          </w:p>
          <w:p w:rsidR="00AB450D" w:rsidRDefault="00AB450D">
            <w:pPr>
              <w:pStyle w:val="CommentText"/>
            </w:pPr>
            <w:r>
              <w:t xml:space="preserve">Attorney General’s Office </w:t>
            </w:r>
          </w:p>
          <w:p w:rsidR="00AB450D" w:rsidRDefault="00AB450D">
            <w:pPr>
              <w:pStyle w:val="CommentText"/>
            </w:pPr>
            <w:r>
              <w:t>Public Utilities Commission of Ohio</w:t>
            </w:r>
          </w:p>
          <w:p w:rsidR="00AB450D" w:rsidRDefault="00AB450D">
            <w:pPr>
              <w:pStyle w:val="CommentText"/>
            </w:pPr>
            <w:r>
              <w:t>180 E. Broad St., 6</w:t>
            </w:r>
            <w:r>
              <w:rPr>
                <w:vertAlign w:val="superscript"/>
              </w:rPr>
              <w:t>th</w:t>
            </w:r>
            <w:r>
              <w:t xml:space="preserve"> Fl.</w:t>
            </w:r>
          </w:p>
          <w:p w:rsidR="00AB450D" w:rsidRDefault="00AB450D">
            <w:pPr>
              <w:pStyle w:val="CommentText"/>
            </w:pPr>
            <w:r>
              <w:t>Columbus, OH 43215</w:t>
            </w:r>
          </w:p>
          <w:p w:rsidR="00AB450D" w:rsidRDefault="000A071E">
            <w:pPr>
              <w:pStyle w:val="CommentText"/>
            </w:pPr>
            <w:hyperlink r:id="rId18" w:history="1">
              <w:r w:rsidR="00AB450D">
                <w:rPr>
                  <w:rStyle w:val="Hyperlink"/>
                </w:rPr>
                <w:t>William.wright@puc.state.oh.us</w:t>
              </w:r>
            </w:hyperlink>
          </w:p>
          <w:p w:rsidR="00AB450D" w:rsidRDefault="00AB450D">
            <w:pPr>
              <w:pStyle w:val="CommentText"/>
            </w:pPr>
          </w:p>
        </w:tc>
        <w:tc>
          <w:tcPr>
            <w:tcW w:w="4428" w:type="dxa"/>
          </w:tcPr>
          <w:p w:rsidR="00AB450D" w:rsidRDefault="00AB450D">
            <w:pPr>
              <w:autoSpaceDE w:val="0"/>
              <w:autoSpaceDN w:val="0"/>
              <w:adjustRightInd w:val="0"/>
              <w:rPr>
                <w:bCs/>
              </w:rPr>
            </w:pPr>
            <w:r>
              <w:rPr>
                <w:bCs/>
              </w:rPr>
              <w:t>Andrew J. Campbell</w:t>
            </w:r>
          </w:p>
          <w:p w:rsidR="00AB450D" w:rsidRDefault="00AB450D">
            <w:pPr>
              <w:autoSpaceDE w:val="0"/>
              <w:autoSpaceDN w:val="0"/>
              <w:adjustRightInd w:val="0"/>
              <w:rPr>
                <w:bCs/>
              </w:rPr>
            </w:pPr>
            <w:r>
              <w:rPr>
                <w:bCs/>
              </w:rPr>
              <w:t>Whitt Sturtevant L.L.P.</w:t>
            </w:r>
          </w:p>
          <w:p w:rsidR="00AB450D" w:rsidRDefault="00AB450D">
            <w:pPr>
              <w:autoSpaceDE w:val="0"/>
              <w:autoSpaceDN w:val="0"/>
              <w:adjustRightInd w:val="0"/>
              <w:rPr>
                <w:bCs/>
              </w:rPr>
            </w:pPr>
            <w:r>
              <w:rPr>
                <w:bCs/>
              </w:rPr>
              <w:t>88 East Broad Street, suite 1590</w:t>
            </w:r>
          </w:p>
          <w:p w:rsidR="00AB450D" w:rsidRDefault="00AB450D">
            <w:pPr>
              <w:autoSpaceDE w:val="0"/>
              <w:autoSpaceDN w:val="0"/>
              <w:adjustRightInd w:val="0"/>
              <w:rPr>
                <w:bCs/>
              </w:rPr>
            </w:pPr>
            <w:r>
              <w:rPr>
                <w:bCs/>
              </w:rPr>
              <w:t>Columbus, OH  43215</w:t>
            </w:r>
          </w:p>
          <w:p w:rsidR="00AB450D" w:rsidRDefault="000A071E">
            <w:pPr>
              <w:autoSpaceDE w:val="0"/>
              <w:autoSpaceDN w:val="0"/>
              <w:adjustRightInd w:val="0"/>
              <w:rPr>
                <w:bCs/>
              </w:rPr>
            </w:pPr>
            <w:hyperlink r:id="rId19" w:history="1">
              <w:r w:rsidR="00AB450D">
                <w:rPr>
                  <w:rStyle w:val="Hyperlink"/>
                  <w:bCs/>
                </w:rPr>
                <w:t>Campbell@whitt-sturtevant.com</w:t>
              </w:r>
            </w:hyperlink>
          </w:p>
          <w:p w:rsidR="00AB450D" w:rsidRDefault="00AB450D">
            <w:pPr>
              <w:autoSpaceDE w:val="0"/>
              <w:autoSpaceDN w:val="0"/>
              <w:adjustRightInd w:val="0"/>
              <w:rPr>
                <w:bCs/>
              </w:rPr>
            </w:pPr>
          </w:p>
          <w:p w:rsidR="00AB450D" w:rsidRDefault="00AB450D">
            <w:pPr>
              <w:autoSpaceDE w:val="0"/>
              <w:autoSpaceDN w:val="0"/>
              <w:adjustRightInd w:val="0"/>
              <w:rPr>
                <w:bCs/>
              </w:rPr>
            </w:pPr>
            <w:r>
              <w:rPr>
                <w:bCs/>
              </w:rPr>
              <w:t>Attorneys for East Ohio Gas</w:t>
            </w:r>
          </w:p>
          <w:p w:rsidR="00AB450D" w:rsidRDefault="00AB450D">
            <w:pPr>
              <w:autoSpaceDE w:val="0"/>
              <w:autoSpaceDN w:val="0"/>
              <w:adjustRightInd w:val="0"/>
              <w:rPr>
                <w:bCs/>
              </w:rPr>
            </w:pPr>
            <w:r>
              <w:rPr>
                <w:bCs/>
              </w:rPr>
              <w:t>Company d/b/a Dominion East</w:t>
            </w:r>
          </w:p>
          <w:p w:rsidR="00AB450D" w:rsidRDefault="00AB450D">
            <w:pPr>
              <w:autoSpaceDE w:val="0"/>
              <w:autoSpaceDN w:val="0"/>
              <w:adjustRightInd w:val="0"/>
              <w:rPr>
                <w:bCs/>
              </w:rPr>
            </w:pPr>
            <w:r>
              <w:rPr>
                <w:bCs/>
              </w:rPr>
              <w:t>Ohio</w:t>
            </w:r>
          </w:p>
          <w:p w:rsidR="00AB450D" w:rsidRDefault="00AB450D">
            <w:pPr>
              <w:pStyle w:val="CommentText"/>
              <w:jc w:val="center"/>
              <w:rPr>
                <w:b/>
                <w:u w:val="single"/>
              </w:rPr>
            </w:pPr>
          </w:p>
        </w:tc>
      </w:tr>
    </w:tbl>
    <w:p w:rsidR="00AB450D" w:rsidRDefault="00AB450D" w:rsidP="00AB450D">
      <w:pPr>
        <w:pStyle w:val="CommentText"/>
        <w:jc w:val="center"/>
        <w:rPr>
          <w:b/>
          <w:u w:val="single"/>
        </w:rPr>
      </w:pPr>
    </w:p>
    <w:p w:rsidR="00AB450D" w:rsidRDefault="00AD1593" w:rsidP="00AB450D">
      <w:pPr>
        <w:pStyle w:val="BodyText"/>
        <w:rPr>
          <w:bCs/>
        </w:rPr>
      </w:pPr>
      <w:r>
        <w:rPr>
          <w:bCs/>
        </w:rPr>
        <w:t>Attorney Examiner:</w:t>
      </w:r>
    </w:p>
    <w:p w:rsidR="00AD1593" w:rsidRDefault="00AD1593" w:rsidP="00AB450D">
      <w:pPr>
        <w:pStyle w:val="BodyText"/>
        <w:rPr>
          <w:bCs/>
        </w:rPr>
      </w:pPr>
    </w:p>
    <w:p w:rsidR="00AD1593" w:rsidRDefault="000A071E" w:rsidP="00AB450D">
      <w:pPr>
        <w:pStyle w:val="BodyText"/>
        <w:rPr>
          <w:bCs/>
        </w:rPr>
      </w:pPr>
      <w:hyperlink r:id="rId20" w:history="1">
        <w:r w:rsidR="00AD1593" w:rsidRPr="009D688B">
          <w:rPr>
            <w:rStyle w:val="Hyperlink"/>
            <w:bCs/>
          </w:rPr>
          <w:t>James.lynn@puc.state.oh.us</w:t>
        </w:r>
      </w:hyperlink>
    </w:p>
    <w:p w:rsidR="00AD1593" w:rsidRPr="00AD1593" w:rsidRDefault="00AD1593" w:rsidP="00AB450D">
      <w:pPr>
        <w:pStyle w:val="BodyText"/>
        <w:rPr>
          <w:bCs/>
        </w:rPr>
      </w:pPr>
    </w:p>
    <w:p w:rsidR="00AB450D" w:rsidRDefault="00AB450D" w:rsidP="00AB450D">
      <w:pPr>
        <w:pStyle w:val="BodyText"/>
        <w:rPr>
          <w:b/>
          <w:bCs/>
        </w:rPr>
      </w:pPr>
    </w:p>
    <w:p w:rsidR="008D78BB" w:rsidRDefault="008D78BB"/>
    <w:sectPr w:rsidR="008D78BB" w:rsidSect="001C09A5">
      <w:footerReference w:type="default" r:id="rId2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31" w:rsidRDefault="00BD1E31" w:rsidP="00AB450D">
      <w:r>
        <w:separator/>
      </w:r>
    </w:p>
  </w:endnote>
  <w:endnote w:type="continuationSeparator" w:id="0">
    <w:p w:rsidR="00BD1E31" w:rsidRDefault="00BD1E31" w:rsidP="00AB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C2" w:rsidRDefault="00FF0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A8" w:rsidRDefault="00B30CA8">
    <w:pPr>
      <w:pStyle w:val="Footer"/>
      <w:jc w:val="center"/>
    </w:pPr>
  </w:p>
  <w:p w:rsidR="006F5270" w:rsidRDefault="006F5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C2" w:rsidRDefault="00FF06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01525"/>
      <w:docPartObj>
        <w:docPartGallery w:val="Page Numbers (Bottom of Page)"/>
        <w:docPartUnique/>
      </w:docPartObj>
    </w:sdtPr>
    <w:sdtEndPr>
      <w:rPr>
        <w:noProof/>
        <w:sz w:val="24"/>
        <w:szCs w:val="24"/>
      </w:rPr>
    </w:sdtEndPr>
    <w:sdtContent>
      <w:p w:rsidR="00B30CA8" w:rsidRPr="00B30CA8" w:rsidRDefault="00B30CA8">
        <w:pPr>
          <w:pStyle w:val="Footer"/>
          <w:jc w:val="center"/>
          <w:rPr>
            <w:sz w:val="24"/>
            <w:szCs w:val="24"/>
          </w:rPr>
        </w:pPr>
        <w:r w:rsidRPr="00B30CA8">
          <w:rPr>
            <w:sz w:val="24"/>
            <w:szCs w:val="24"/>
          </w:rPr>
          <w:fldChar w:fldCharType="begin"/>
        </w:r>
        <w:r w:rsidRPr="00B30CA8">
          <w:rPr>
            <w:sz w:val="24"/>
            <w:szCs w:val="24"/>
          </w:rPr>
          <w:instrText xml:space="preserve"> PAGE   \* MERGEFORMAT </w:instrText>
        </w:r>
        <w:r w:rsidRPr="00B30CA8">
          <w:rPr>
            <w:sz w:val="24"/>
            <w:szCs w:val="24"/>
          </w:rPr>
          <w:fldChar w:fldCharType="separate"/>
        </w:r>
        <w:r w:rsidR="00FF06C2">
          <w:rPr>
            <w:noProof/>
            <w:sz w:val="24"/>
            <w:szCs w:val="24"/>
          </w:rPr>
          <w:t>i</w:t>
        </w:r>
        <w:r w:rsidRPr="00B30CA8">
          <w:rPr>
            <w:noProof/>
            <w:sz w:val="24"/>
            <w:szCs w:val="24"/>
          </w:rPr>
          <w:fldChar w:fldCharType="end"/>
        </w:r>
      </w:p>
    </w:sdtContent>
  </w:sdt>
  <w:p w:rsidR="00B30CA8" w:rsidRDefault="00B30C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5947"/>
      <w:docPartObj>
        <w:docPartGallery w:val="Page Numbers (Bottom of Page)"/>
        <w:docPartUnique/>
      </w:docPartObj>
    </w:sdtPr>
    <w:sdtEndPr>
      <w:rPr>
        <w:noProof/>
        <w:sz w:val="24"/>
        <w:szCs w:val="24"/>
      </w:rPr>
    </w:sdtEndPr>
    <w:sdtContent>
      <w:p w:rsidR="006F5270" w:rsidRPr="00B30CA8" w:rsidRDefault="006F5270">
        <w:pPr>
          <w:pStyle w:val="Footer"/>
          <w:jc w:val="center"/>
          <w:rPr>
            <w:sz w:val="24"/>
            <w:szCs w:val="24"/>
          </w:rPr>
        </w:pPr>
        <w:r w:rsidRPr="00B30CA8">
          <w:rPr>
            <w:sz w:val="24"/>
            <w:szCs w:val="24"/>
          </w:rPr>
          <w:fldChar w:fldCharType="begin"/>
        </w:r>
        <w:r w:rsidRPr="00B30CA8">
          <w:rPr>
            <w:sz w:val="24"/>
            <w:szCs w:val="24"/>
          </w:rPr>
          <w:instrText xml:space="preserve"> PAGE   \* MERGEFORMAT </w:instrText>
        </w:r>
        <w:r w:rsidRPr="00B30CA8">
          <w:rPr>
            <w:sz w:val="24"/>
            <w:szCs w:val="24"/>
          </w:rPr>
          <w:fldChar w:fldCharType="separate"/>
        </w:r>
        <w:r w:rsidR="00FF06C2">
          <w:rPr>
            <w:noProof/>
            <w:sz w:val="24"/>
            <w:szCs w:val="24"/>
          </w:rPr>
          <w:t>14</w:t>
        </w:r>
        <w:r w:rsidRPr="00B30CA8">
          <w:rPr>
            <w:noProof/>
            <w:sz w:val="24"/>
            <w:szCs w:val="24"/>
          </w:rPr>
          <w:fldChar w:fldCharType="end"/>
        </w:r>
      </w:p>
    </w:sdtContent>
  </w:sdt>
  <w:p w:rsidR="006F5270" w:rsidRDefault="006F5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31" w:rsidRDefault="00BD1E31" w:rsidP="00AB450D">
      <w:r>
        <w:separator/>
      </w:r>
    </w:p>
  </w:footnote>
  <w:footnote w:type="continuationSeparator" w:id="0">
    <w:p w:rsidR="00BD1E31" w:rsidRDefault="00BD1E31" w:rsidP="00AB450D">
      <w:r>
        <w:continuationSeparator/>
      </w:r>
    </w:p>
  </w:footnote>
  <w:footnote w:id="1">
    <w:p w:rsidR="00AB450D" w:rsidRDefault="00AB450D" w:rsidP="00AB450D">
      <w:pPr>
        <w:pStyle w:val="FootnoteText"/>
      </w:pPr>
      <w:r>
        <w:rPr>
          <w:rStyle w:val="FootnoteReference"/>
        </w:rPr>
        <w:footnoteRef/>
      </w:r>
      <w:r>
        <w:t xml:space="preserve"> See R.C. Chapter 4911, R.C. 4903.221 and Ohio Adm. Code 4901-1-11.</w:t>
      </w:r>
    </w:p>
  </w:footnote>
  <w:footnote w:id="2">
    <w:p w:rsidR="0025011B" w:rsidRDefault="0025011B" w:rsidP="0025011B">
      <w:pPr>
        <w:pStyle w:val="FootnoteText"/>
      </w:pPr>
      <w:r>
        <w:rPr>
          <w:rStyle w:val="FootnoteReference"/>
        </w:rPr>
        <w:footnoteRef/>
      </w:r>
      <w:r>
        <w:t xml:space="preserve"> </w:t>
      </w:r>
      <w:r>
        <w:rPr>
          <w:i/>
        </w:rPr>
        <w:t>In the Matter of the Commission’s Review of Chapter  4901:1-13 of the Ohio Administrative Code, Regarding Minimum Gas Service Standards</w:t>
      </w:r>
      <w:r>
        <w:t xml:space="preserve">(“MGSS”), Case </w:t>
      </w:r>
      <w:r w:rsidR="00B35AF3">
        <w:t xml:space="preserve"> </w:t>
      </w:r>
      <w:r>
        <w:t xml:space="preserve">No. 13-2225-GA-ORD and </w:t>
      </w:r>
      <w:r>
        <w:rPr>
          <w:i/>
        </w:rPr>
        <w:t>In the Matter of the Commission’s Review of its Rules for the Establishment of Credit for Residential Utility Services and the Disconnection of Gas, Natural Gas or Electric Services to Residential Customers Contained in Ohio Adm. Code Chapters 4901:1-17 and 4901:1-18</w:t>
      </w:r>
      <w:r>
        <w:t xml:space="preserve"> (“Credit and Disconnect”), Case No. 13-274-AU-ORD.</w:t>
      </w:r>
    </w:p>
  </w:footnote>
  <w:footnote w:id="3">
    <w:p w:rsidR="00AB450D" w:rsidRDefault="00AB450D" w:rsidP="00AB450D">
      <w:pPr>
        <w:pStyle w:val="FootnoteText"/>
      </w:pPr>
      <w:r>
        <w:rPr>
          <w:rStyle w:val="FootnoteReference"/>
        </w:rPr>
        <w:footnoteRef/>
      </w:r>
      <w:r>
        <w:t xml:space="preserve"> </w:t>
      </w:r>
      <w:r>
        <w:rPr>
          <w:i/>
        </w:rPr>
        <w:t>In the Matter of the Commission’s Review of Chapter  4901:1-13 of the Ohio Administrative Code, Regarding Minimum Gas Service Standards (“</w:t>
      </w:r>
      <w:r>
        <w:t>MGSS</w:t>
      </w:r>
      <w:r>
        <w:rPr>
          <w:i/>
        </w:rPr>
        <w:t>”)</w:t>
      </w:r>
      <w:r>
        <w:t>, Case No. 13-2225-GA-ORD</w:t>
      </w:r>
      <w:r w:rsidR="00832410">
        <w:t xml:space="preserve">, </w:t>
      </w:r>
      <w:r>
        <w:t>Second Entry of Rehearing</w:t>
      </w:r>
      <w:r w:rsidR="00832410">
        <w:t xml:space="preserve">  (</w:t>
      </w:r>
      <w:r>
        <w:t xml:space="preserve"> Nov. 12, 2014).</w:t>
      </w:r>
    </w:p>
  </w:footnote>
  <w:footnote w:id="4">
    <w:p w:rsidR="00F50508" w:rsidRDefault="00F50508" w:rsidP="00F50508">
      <w:pPr>
        <w:pStyle w:val="FootnoteText"/>
      </w:pPr>
      <w:r>
        <w:rPr>
          <w:rStyle w:val="FootnoteReference"/>
        </w:rPr>
        <w:footnoteRef/>
      </w:r>
      <w:r>
        <w:rPr>
          <w:i/>
        </w:rPr>
        <w:t xml:space="preserve"> In the Matter of the Commission’s Review of its Rules for the Establishment of Credit for Residential Utility Services and the Disconnection of Gas, Natural Gas or Electric Services to Residential Customers Contained in Ohio Adm. Code Chapters 4901:1-17 and 4901:1-18 </w:t>
      </w:r>
      <w:r>
        <w:t xml:space="preserve">(“Credit and Disconnect”), Case No. 13-274-AU-ORD, Entry on Rehearing  (Aug. 6, 2014). </w:t>
      </w:r>
    </w:p>
  </w:footnote>
  <w:footnote w:id="5">
    <w:p w:rsidR="00AB450D" w:rsidRDefault="00AB450D" w:rsidP="00AB450D">
      <w:pPr>
        <w:pStyle w:val="FootnoteText"/>
      </w:pPr>
      <w:r>
        <w:rPr>
          <w:rStyle w:val="FootnoteReference"/>
        </w:rPr>
        <w:footnoteRef/>
      </w:r>
      <w:r>
        <w:rPr>
          <w:i/>
        </w:rPr>
        <w:t xml:space="preserve"> In the Matter of the Application of The East Ohio Gas Company d/b/a Dominion East Ohio for a Waiver of Certain Rules in Chapters 4901:1-13 and 4901-1-18, Ohio Administrative Code</w:t>
      </w:r>
      <w:r>
        <w:t xml:space="preserve">, Case No. 14-2203-GA-WVR. </w:t>
      </w:r>
    </w:p>
  </w:footnote>
  <w:footnote w:id="6">
    <w:p w:rsidR="00AB450D" w:rsidRDefault="00AB450D" w:rsidP="00AB450D">
      <w:pPr>
        <w:pStyle w:val="FootnoteText"/>
      </w:pPr>
      <w:r>
        <w:rPr>
          <w:rStyle w:val="FootnoteReference"/>
        </w:rPr>
        <w:footnoteRef/>
      </w:r>
      <w:r>
        <w:t xml:space="preserve"> </w:t>
      </w:r>
      <w:r w:rsidR="00DE3C7A">
        <w:t>Credit and Disconnect</w:t>
      </w:r>
      <w:r>
        <w:t xml:space="preserve">, </w:t>
      </w:r>
      <w:r w:rsidR="00B35AF3">
        <w:t xml:space="preserve">Joint Comments of Columbia Gas of  Ohio, Inc., The East Ohio Gas Co. and Columbia Gas of Ohio, Inc. </w:t>
      </w:r>
      <w:r>
        <w:t xml:space="preserve"> (July 12, 2013) and</w:t>
      </w:r>
      <w:r w:rsidR="00B35AF3">
        <w:t xml:space="preserve"> </w:t>
      </w:r>
      <w:r>
        <w:t xml:space="preserve"> </w:t>
      </w:r>
      <w:r w:rsidR="00B35AF3">
        <w:t xml:space="preserve">DEO </w:t>
      </w:r>
      <w:r>
        <w:t>App. for Reheari</w:t>
      </w:r>
      <w:r w:rsidR="00B35AF3">
        <w:t>ng (July 7, 2014) and MGSS, Joint Comments of The East Ohio Gas Co., Columbia Gas of Ohio, Inc. and Vectren Delivery of Ohio</w:t>
      </w:r>
      <w:r>
        <w:t xml:space="preserve"> (March 28, 2014) and App. for Rehearing (Aug. 29, 2014).</w:t>
      </w:r>
    </w:p>
  </w:footnote>
  <w:footnote w:id="7">
    <w:p w:rsidR="00AB450D" w:rsidRDefault="00AB450D" w:rsidP="00AB450D">
      <w:pPr>
        <w:pStyle w:val="FootnoteText"/>
      </w:pPr>
      <w:r>
        <w:rPr>
          <w:rStyle w:val="FootnoteReference"/>
        </w:rPr>
        <w:footnoteRef/>
      </w:r>
      <w:r>
        <w:t xml:space="preserve"> R.C. 4928.10 and R.C. 4929.22.</w:t>
      </w:r>
    </w:p>
  </w:footnote>
  <w:footnote w:id="8">
    <w:p w:rsidR="00AB450D" w:rsidRDefault="00AB450D" w:rsidP="00AB450D">
      <w:pPr>
        <w:pStyle w:val="FootnoteText"/>
        <w:spacing w:after="120"/>
      </w:pPr>
      <w:r>
        <w:rPr>
          <w:rStyle w:val="FootnoteReference"/>
        </w:rPr>
        <w:footnoteRef/>
      </w:r>
      <w:r>
        <w:rPr>
          <w:i/>
        </w:rPr>
        <w:t xml:space="preserve"> </w:t>
      </w:r>
      <w:r>
        <w:t>See</w:t>
      </w:r>
      <w:r>
        <w:rPr>
          <w:i/>
        </w:rPr>
        <w:t xml:space="preserv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 w:id="9">
    <w:p w:rsidR="00F50508" w:rsidRPr="0048102F" w:rsidRDefault="00F50508">
      <w:pPr>
        <w:pStyle w:val="FootnoteText"/>
      </w:pPr>
      <w:r>
        <w:rPr>
          <w:rStyle w:val="FootnoteReference"/>
        </w:rPr>
        <w:footnoteRef/>
      </w:r>
      <w:r>
        <w:t xml:space="preserve"> </w:t>
      </w:r>
      <w:r w:rsidR="0048102F">
        <w:t xml:space="preserve">4901:1-13-02 (C) </w:t>
      </w:r>
      <w:r w:rsidR="0048102F" w:rsidRPr="0048102F">
        <w:t>(“</w:t>
      </w:r>
      <w:r w:rsidR="0048102F" w:rsidRPr="00DD10AF">
        <w:t>The commission may, upon an application or a motion filed by a party, waive any requirement of this chapter, other than a requirement mandated by statute, for good cause shown.”</w:t>
      </w:r>
      <w:r w:rsidR="0048102F">
        <w:t>)</w:t>
      </w:r>
      <w:r w:rsidR="004D0989">
        <w:t>.</w:t>
      </w:r>
    </w:p>
  </w:footnote>
  <w:footnote w:id="10">
    <w:p w:rsidR="00BE122A" w:rsidRDefault="00BE122A" w:rsidP="00BE122A">
      <w:pPr>
        <w:pStyle w:val="FootnoteText"/>
      </w:pPr>
      <w:r>
        <w:rPr>
          <w:rStyle w:val="FootnoteReference"/>
        </w:rPr>
        <w:footnoteRef/>
      </w:r>
      <w:r>
        <w:t xml:space="preserve"> Ohio Adm. Code 4901-13-02(C) and 4901:1-18-02(B)(3).</w:t>
      </w:r>
    </w:p>
  </w:footnote>
  <w:footnote w:id="11">
    <w:p w:rsidR="00F06B16" w:rsidRDefault="00F06B16">
      <w:pPr>
        <w:pStyle w:val="FootnoteText"/>
      </w:pPr>
      <w:r>
        <w:rPr>
          <w:rStyle w:val="FootnoteReference"/>
        </w:rPr>
        <w:footnoteRef/>
      </w:r>
      <w:r>
        <w:t xml:space="preserve"> </w:t>
      </w:r>
      <w:r w:rsidR="00875783">
        <w:t>MGSS, Order at Att. A at 15 (July 30, 2014).</w:t>
      </w:r>
    </w:p>
  </w:footnote>
  <w:footnote w:id="12">
    <w:p w:rsidR="00F06B16" w:rsidRDefault="00F06B16">
      <w:pPr>
        <w:pStyle w:val="FootnoteText"/>
      </w:pPr>
      <w:r>
        <w:rPr>
          <w:rStyle w:val="FootnoteReference"/>
        </w:rPr>
        <w:footnoteRef/>
      </w:r>
      <w:r>
        <w:t xml:space="preserve"> </w:t>
      </w:r>
      <w:r w:rsidR="00B35AF3">
        <w:t>MGSS, Joint</w:t>
      </w:r>
      <w:r w:rsidR="00875783">
        <w:t xml:space="preserve"> Comments at 7 – 12 (March 28, 2014)</w:t>
      </w:r>
      <w:r>
        <w:t>.</w:t>
      </w:r>
    </w:p>
  </w:footnote>
  <w:footnote w:id="13">
    <w:p w:rsidR="00F06B16" w:rsidRDefault="00F06B16">
      <w:pPr>
        <w:pStyle w:val="FootnoteText"/>
      </w:pPr>
      <w:r>
        <w:rPr>
          <w:rStyle w:val="FootnoteReference"/>
        </w:rPr>
        <w:footnoteRef/>
      </w:r>
      <w:r w:rsidR="00875783">
        <w:t xml:space="preserve"> </w:t>
      </w:r>
      <w:r w:rsidR="00875783" w:rsidRPr="00875783">
        <w:rPr>
          <w:i/>
        </w:rPr>
        <w:t>Id</w:t>
      </w:r>
      <w:r w:rsidR="00875783">
        <w:t xml:space="preserve">., </w:t>
      </w:r>
      <w:r w:rsidR="00940774">
        <w:t>Joint</w:t>
      </w:r>
      <w:r w:rsidR="00875783">
        <w:t xml:space="preserve"> Reply Comments at 7 – 10 (April 11, 2014).</w:t>
      </w:r>
    </w:p>
  </w:footnote>
  <w:footnote w:id="14">
    <w:p w:rsidR="00942BE2" w:rsidRDefault="00942BE2">
      <w:pPr>
        <w:pStyle w:val="FootnoteText"/>
      </w:pPr>
      <w:r>
        <w:rPr>
          <w:rStyle w:val="FootnoteReference"/>
        </w:rPr>
        <w:footnoteRef/>
      </w:r>
      <w:r>
        <w:t xml:space="preserve"> Cre</w:t>
      </w:r>
      <w:r w:rsidR="00B379A9">
        <w:t>dit and Disconnect, Case No. 13-</w:t>
      </w:r>
      <w:r>
        <w:t>274-AU-ORD, Comments of Columbia Gas of Ohio, Inc. and The East Ohio Gas Company, at 1</w:t>
      </w:r>
      <w:r w:rsidR="00940774">
        <w:t>0</w:t>
      </w:r>
      <w:r>
        <w:t xml:space="preserve"> (July 12, 2013).</w:t>
      </w:r>
    </w:p>
  </w:footnote>
  <w:footnote w:id="15">
    <w:p w:rsidR="001D7E8D" w:rsidRDefault="001D7E8D">
      <w:pPr>
        <w:pStyle w:val="FootnoteText"/>
      </w:pPr>
      <w:r>
        <w:rPr>
          <w:rStyle w:val="FootnoteReference"/>
        </w:rPr>
        <w:footnoteRef/>
      </w:r>
      <w:r>
        <w:t xml:space="preserve"> </w:t>
      </w:r>
      <w:r w:rsidR="00DE3C7A">
        <w:t>Credit and Disconnect</w:t>
      </w:r>
      <w:r>
        <w:t>, Case 13-274-AU-ORD, Entry on Rehearing at 18 (Aug. 6, 2014</w:t>
      </w:r>
      <w:r w:rsidR="00ED4081">
        <w:t>)</w:t>
      </w:r>
      <w:r>
        <w:t>.</w:t>
      </w:r>
    </w:p>
  </w:footnote>
  <w:footnote w:id="16">
    <w:p w:rsidR="00AB450D" w:rsidRDefault="00AB450D" w:rsidP="00AB450D">
      <w:pPr>
        <w:pStyle w:val="FootnoteText"/>
      </w:pPr>
      <w:r>
        <w:rPr>
          <w:rStyle w:val="FootnoteReference"/>
        </w:rPr>
        <w:footnoteRef/>
      </w:r>
      <w:r>
        <w:t xml:space="preserve"> DEO App. at 7 (Dec. 5, 2014).</w:t>
      </w:r>
    </w:p>
  </w:footnote>
  <w:footnote w:id="17">
    <w:p w:rsidR="00AB450D" w:rsidRDefault="00AB450D" w:rsidP="00AB450D">
      <w:pPr>
        <w:pStyle w:val="FootnoteText"/>
      </w:pPr>
      <w:r>
        <w:rPr>
          <w:rStyle w:val="FootnoteReference"/>
        </w:rPr>
        <w:footnoteRef/>
      </w:r>
      <w:r>
        <w:t xml:space="preserve"> MGSS, </w:t>
      </w:r>
      <w:r w:rsidR="00940774">
        <w:t>Joint</w:t>
      </w:r>
      <w:r>
        <w:t xml:space="preserve"> Comments at 7 – 10 (March 28, 2014).</w:t>
      </w:r>
    </w:p>
  </w:footnote>
  <w:footnote w:id="18">
    <w:p w:rsidR="00AB450D" w:rsidRDefault="00AB450D" w:rsidP="00AB450D">
      <w:pPr>
        <w:pStyle w:val="FootnoteText"/>
      </w:pPr>
      <w:r>
        <w:rPr>
          <w:rStyle w:val="FootnoteReference"/>
        </w:rPr>
        <w:footnoteRef/>
      </w:r>
      <w:r>
        <w:t xml:space="preserve"> </w:t>
      </w:r>
      <w:r w:rsidR="00731FA5" w:rsidRPr="00731FA5">
        <w:rPr>
          <w:i/>
        </w:rPr>
        <w:t>Id</w:t>
      </w:r>
      <w:r w:rsidR="00731FA5">
        <w:t>.</w:t>
      </w:r>
      <w:r>
        <w:t xml:space="preserve">, </w:t>
      </w:r>
      <w:r w:rsidR="00940774">
        <w:t xml:space="preserve">Joint </w:t>
      </w:r>
      <w:r>
        <w:t>App. For Rehearing at 2 – 4 (Aug. 29, 2014).</w:t>
      </w:r>
    </w:p>
  </w:footnote>
  <w:footnote w:id="19">
    <w:p w:rsidR="00F006ED" w:rsidRDefault="00F006ED">
      <w:pPr>
        <w:pStyle w:val="FootnoteText"/>
      </w:pPr>
      <w:r>
        <w:rPr>
          <w:rStyle w:val="FootnoteReference"/>
        </w:rPr>
        <w:footnoteRef/>
      </w:r>
      <w:r w:rsidR="00A734ED">
        <w:t xml:space="preserve"> </w:t>
      </w:r>
      <w:r w:rsidR="00731FA5" w:rsidRPr="00731FA5">
        <w:rPr>
          <w:i/>
        </w:rPr>
        <w:t>Id</w:t>
      </w:r>
      <w:r w:rsidR="00731FA5">
        <w:t>.</w:t>
      </w:r>
      <w:r>
        <w:t>, Second Entry of Rehearing at 3 (</w:t>
      </w:r>
      <w:r w:rsidR="00491969">
        <w:t>Nov. 12, 2014).</w:t>
      </w:r>
    </w:p>
  </w:footnote>
  <w:footnote w:id="20">
    <w:p w:rsidR="00D72FEF" w:rsidRDefault="00D72FEF">
      <w:pPr>
        <w:pStyle w:val="FootnoteText"/>
      </w:pPr>
      <w:r>
        <w:rPr>
          <w:rStyle w:val="FootnoteReference"/>
        </w:rPr>
        <w:footnoteRef/>
      </w:r>
      <w:r>
        <w:t xml:space="preserve"> </w:t>
      </w:r>
      <w:r w:rsidR="00731FA5" w:rsidRPr="00731FA5">
        <w:rPr>
          <w:i/>
        </w:rPr>
        <w:t>Id</w:t>
      </w:r>
      <w:r w:rsidR="00731FA5">
        <w:t>.</w:t>
      </w:r>
    </w:p>
  </w:footnote>
  <w:footnote w:id="21">
    <w:p w:rsidR="007F3F4A" w:rsidRPr="00731FA5" w:rsidRDefault="007F3F4A">
      <w:pPr>
        <w:pStyle w:val="FootnoteText"/>
        <w:rPr>
          <w:i/>
        </w:rPr>
      </w:pPr>
      <w:r w:rsidRPr="00731FA5">
        <w:rPr>
          <w:rStyle w:val="FootnoteReference"/>
          <w:i/>
        </w:rPr>
        <w:footnoteRef/>
      </w:r>
      <w:r w:rsidR="00731FA5">
        <w:rPr>
          <w:i/>
        </w:rPr>
        <w:t xml:space="preserve"> Id</w:t>
      </w:r>
      <w:r w:rsidRPr="00731FA5">
        <w:rPr>
          <w:i/>
        </w:rPr>
        <w:t>.</w:t>
      </w:r>
      <w:r w:rsidR="00940774">
        <w:rPr>
          <w:i/>
        </w:rPr>
        <w:t xml:space="preserve"> at 5.</w:t>
      </w:r>
    </w:p>
  </w:footnote>
  <w:footnote w:id="22">
    <w:p w:rsidR="007F3F4A" w:rsidRDefault="007F3F4A">
      <w:pPr>
        <w:pStyle w:val="FootnoteText"/>
      </w:pPr>
      <w:r w:rsidRPr="00731FA5">
        <w:rPr>
          <w:rStyle w:val="FootnoteReference"/>
          <w:i/>
        </w:rPr>
        <w:footnoteRef/>
      </w:r>
      <w:r w:rsidR="00731FA5">
        <w:rPr>
          <w:i/>
        </w:rPr>
        <w:t xml:space="preserve"> 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C2" w:rsidRDefault="00FF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C2" w:rsidRDefault="00FF0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C2" w:rsidRDefault="00FF0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F5A968E"/>
    <w:lvl w:ilvl="0">
      <w:start w:val="1"/>
      <w:numFmt w:val="decimal"/>
      <w:lvlText w:val="%1."/>
      <w:lvlJc w:val="left"/>
      <w:pPr>
        <w:tabs>
          <w:tab w:val="num" w:pos="1080"/>
        </w:tabs>
        <w:ind w:left="1080" w:hanging="360"/>
      </w:pPr>
    </w:lvl>
  </w:abstractNum>
  <w:abstractNum w:abstractNumId="1">
    <w:nsid w:val="FFFFFF7F"/>
    <w:multiLevelType w:val="singleLevel"/>
    <w:tmpl w:val="9634EF58"/>
    <w:lvl w:ilvl="0">
      <w:start w:val="1"/>
      <w:numFmt w:val="decimal"/>
      <w:lvlText w:val="%1."/>
      <w:lvlJc w:val="left"/>
      <w:pPr>
        <w:tabs>
          <w:tab w:val="num" w:pos="720"/>
        </w:tabs>
        <w:ind w:left="720" w:hanging="360"/>
      </w:pPr>
    </w:lvl>
  </w:abstractNum>
  <w:abstractNum w:abstractNumId="2">
    <w:nsid w:val="FFFFFF80"/>
    <w:multiLevelType w:val="singleLevel"/>
    <w:tmpl w:val="6B3E891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E55C919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35A44964"/>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38E6533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F01E71F0"/>
    <w:lvl w:ilvl="0">
      <w:start w:val="1"/>
      <w:numFmt w:val="decimal"/>
      <w:lvlText w:val="%1."/>
      <w:lvlJc w:val="left"/>
      <w:pPr>
        <w:tabs>
          <w:tab w:val="num" w:pos="360"/>
        </w:tabs>
        <w:ind w:left="360" w:hanging="360"/>
      </w:pPr>
    </w:lvl>
  </w:abstractNum>
  <w:abstractNum w:abstractNumId="7">
    <w:nsid w:val="FFFFFF89"/>
    <w:multiLevelType w:val="singleLevel"/>
    <w:tmpl w:val="9732FC14"/>
    <w:lvl w:ilvl="0">
      <w:start w:val="1"/>
      <w:numFmt w:val="bullet"/>
      <w:lvlText w:val=""/>
      <w:lvlJc w:val="left"/>
      <w:pPr>
        <w:tabs>
          <w:tab w:val="num" w:pos="360"/>
        </w:tabs>
        <w:ind w:left="360" w:hanging="360"/>
      </w:pPr>
      <w:rPr>
        <w:rFonts w:ascii="Symbol" w:hAnsi="Symbol" w:hint="default"/>
      </w:rPr>
    </w:lvl>
  </w:abstractNum>
  <w:abstractNum w:abstractNumId="8">
    <w:nsid w:val="35A2403D"/>
    <w:multiLevelType w:val="hybridMultilevel"/>
    <w:tmpl w:val="F1142204"/>
    <w:lvl w:ilvl="0" w:tplc="7696EFF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639A4"/>
    <w:multiLevelType w:val="hybridMultilevel"/>
    <w:tmpl w:val="F534900A"/>
    <w:lvl w:ilvl="0" w:tplc="0CB27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CF4833"/>
    <w:multiLevelType w:val="hybridMultilevel"/>
    <w:tmpl w:val="393861A4"/>
    <w:lvl w:ilvl="0" w:tplc="6590BE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0D"/>
    <w:rsid w:val="0005567F"/>
    <w:rsid w:val="000653B8"/>
    <w:rsid w:val="00070D89"/>
    <w:rsid w:val="0007209C"/>
    <w:rsid w:val="000A071E"/>
    <w:rsid w:val="000A2D4A"/>
    <w:rsid w:val="0011595E"/>
    <w:rsid w:val="001248CA"/>
    <w:rsid w:val="00134D9D"/>
    <w:rsid w:val="00151635"/>
    <w:rsid w:val="00162821"/>
    <w:rsid w:val="001733E3"/>
    <w:rsid w:val="00184669"/>
    <w:rsid w:val="001B4525"/>
    <w:rsid w:val="001B67A5"/>
    <w:rsid w:val="001C09A5"/>
    <w:rsid w:val="001D4A00"/>
    <w:rsid w:val="001D7E8D"/>
    <w:rsid w:val="001F7FEB"/>
    <w:rsid w:val="00221FBD"/>
    <w:rsid w:val="0023424F"/>
    <w:rsid w:val="0025011B"/>
    <w:rsid w:val="002959B9"/>
    <w:rsid w:val="002B4B13"/>
    <w:rsid w:val="002E113A"/>
    <w:rsid w:val="002F0D69"/>
    <w:rsid w:val="00327DAF"/>
    <w:rsid w:val="00331CC6"/>
    <w:rsid w:val="00346226"/>
    <w:rsid w:val="00373462"/>
    <w:rsid w:val="00375B87"/>
    <w:rsid w:val="00392147"/>
    <w:rsid w:val="003E354A"/>
    <w:rsid w:val="00421F72"/>
    <w:rsid w:val="004442EB"/>
    <w:rsid w:val="0048102F"/>
    <w:rsid w:val="00491969"/>
    <w:rsid w:val="004D0989"/>
    <w:rsid w:val="004F5112"/>
    <w:rsid w:val="00503176"/>
    <w:rsid w:val="00504182"/>
    <w:rsid w:val="005275CE"/>
    <w:rsid w:val="005409A9"/>
    <w:rsid w:val="005527CB"/>
    <w:rsid w:val="0056706B"/>
    <w:rsid w:val="005C612B"/>
    <w:rsid w:val="005F7A1F"/>
    <w:rsid w:val="00623614"/>
    <w:rsid w:val="006A312C"/>
    <w:rsid w:val="006F5270"/>
    <w:rsid w:val="00720B29"/>
    <w:rsid w:val="007218F3"/>
    <w:rsid w:val="0073080F"/>
    <w:rsid w:val="00731FA5"/>
    <w:rsid w:val="00766E24"/>
    <w:rsid w:val="007A6693"/>
    <w:rsid w:val="007B01C6"/>
    <w:rsid w:val="007B454F"/>
    <w:rsid w:val="007D3523"/>
    <w:rsid w:val="007E43F3"/>
    <w:rsid w:val="007E56C3"/>
    <w:rsid w:val="007F3F4A"/>
    <w:rsid w:val="00802E64"/>
    <w:rsid w:val="00803359"/>
    <w:rsid w:val="00804863"/>
    <w:rsid w:val="00804884"/>
    <w:rsid w:val="008157EB"/>
    <w:rsid w:val="00832410"/>
    <w:rsid w:val="0087538A"/>
    <w:rsid w:val="00875783"/>
    <w:rsid w:val="00895711"/>
    <w:rsid w:val="008B2E48"/>
    <w:rsid w:val="008D49FA"/>
    <w:rsid w:val="008D78BB"/>
    <w:rsid w:val="008E1318"/>
    <w:rsid w:val="008F1DE7"/>
    <w:rsid w:val="00900178"/>
    <w:rsid w:val="00916C47"/>
    <w:rsid w:val="00933C78"/>
    <w:rsid w:val="00940774"/>
    <w:rsid w:val="00942BE2"/>
    <w:rsid w:val="009B7335"/>
    <w:rsid w:val="009D2206"/>
    <w:rsid w:val="00A13D82"/>
    <w:rsid w:val="00A2612A"/>
    <w:rsid w:val="00A36085"/>
    <w:rsid w:val="00A734ED"/>
    <w:rsid w:val="00AB450D"/>
    <w:rsid w:val="00AC334B"/>
    <w:rsid w:val="00AD1593"/>
    <w:rsid w:val="00AF638D"/>
    <w:rsid w:val="00B30CA8"/>
    <w:rsid w:val="00B31C4A"/>
    <w:rsid w:val="00B34A50"/>
    <w:rsid w:val="00B35AF3"/>
    <w:rsid w:val="00B379A9"/>
    <w:rsid w:val="00BD1E31"/>
    <w:rsid w:val="00BE122A"/>
    <w:rsid w:val="00BF08DD"/>
    <w:rsid w:val="00C4683E"/>
    <w:rsid w:val="00C677F6"/>
    <w:rsid w:val="00C759A6"/>
    <w:rsid w:val="00C77A0F"/>
    <w:rsid w:val="00CA3B80"/>
    <w:rsid w:val="00CB77BB"/>
    <w:rsid w:val="00D72FEF"/>
    <w:rsid w:val="00D925E3"/>
    <w:rsid w:val="00DB04E4"/>
    <w:rsid w:val="00DC02F9"/>
    <w:rsid w:val="00DD10AF"/>
    <w:rsid w:val="00DE3C7A"/>
    <w:rsid w:val="00E03DB0"/>
    <w:rsid w:val="00E076D9"/>
    <w:rsid w:val="00E27339"/>
    <w:rsid w:val="00EC3DC6"/>
    <w:rsid w:val="00ED4081"/>
    <w:rsid w:val="00F006ED"/>
    <w:rsid w:val="00F06B16"/>
    <w:rsid w:val="00F45468"/>
    <w:rsid w:val="00F50508"/>
    <w:rsid w:val="00F54250"/>
    <w:rsid w:val="00F87B54"/>
    <w:rsid w:val="00F95AA3"/>
    <w:rsid w:val="00FF06C2"/>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D1593"/>
    <w:pPr>
      <w:keepNext/>
      <w:numPr>
        <w:numId w:val="11"/>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unhideWhenUsed/>
    <w:qFormat/>
    <w:rsid w:val="00B34A50"/>
    <w:pPr>
      <w:keepNext/>
      <w:tabs>
        <w:tab w:val="left" w:pos="4320"/>
      </w:tabs>
      <w:spacing w:after="240"/>
      <w:ind w:left="1440" w:hanging="720"/>
      <w:outlineLvl w:val="1"/>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593"/>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B34A50"/>
    <w:rPr>
      <w:rFonts w:ascii="Times New Roman Bold" w:eastAsia="Times New Roman" w:hAnsi="Times New Roman Bold" w:cs="Times New Roman"/>
      <w:b/>
      <w:sz w:val="24"/>
      <w:szCs w:val="20"/>
    </w:rPr>
  </w:style>
  <w:style w:type="character" w:styleId="Hyperlink">
    <w:name w:val="Hyperlink"/>
    <w:uiPriority w:val="99"/>
    <w:unhideWhenUsed/>
    <w:rsid w:val="00AB450D"/>
    <w:rPr>
      <w:color w:val="0000FF"/>
      <w:u w:val="single"/>
    </w:rPr>
  </w:style>
  <w:style w:type="paragraph" w:styleId="HTMLPreformatted">
    <w:name w:val="HTML Preformatted"/>
    <w:basedOn w:val="Normal"/>
    <w:link w:val="HTMLPreformattedChar"/>
    <w:unhideWhenUsed/>
    <w:rsid w:val="00AB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AB450D"/>
    <w:rPr>
      <w:rFonts w:ascii="Courier New" w:eastAsia="Courier New" w:hAnsi="Courier New" w:cs="Courier New"/>
      <w:sz w:val="20"/>
      <w:szCs w:val="20"/>
    </w:rPr>
  </w:style>
  <w:style w:type="paragraph" w:styleId="FootnoteText">
    <w:name w:val="footnote text"/>
    <w:basedOn w:val="Normal"/>
    <w:link w:val="FootnoteTextChar"/>
    <w:semiHidden/>
    <w:unhideWhenUsed/>
    <w:rsid w:val="00AB450D"/>
    <w:pPr>
      <w:spacing w:before="120"/>
    </w:pPr>
    <w:rPr>
      <w:sz w:val="20"/>
    </w:rPr>
  </w:style>
  <w:style w:type="character" w:customStyle="1" w:styleId="FootnoteTextChar">
    <w:name w:val="Footnote Text Char"/>
    <w:basedOn w:val="DefaultParagraphFont"/>
    <w:link w:val="FootnoteText"/>
    <w:semiHidden/>
    <w:rsid w:val="00AB450D"/>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AB450D"/>
    <w:rPr>
      <w:szCs w:val="24"/>
    </w:rPr>
  </w:style>
  <w:style w:type="character" w:customStyle="1" w:styleId="CommentTextChar">
    <w:name w:val="Comment Text Char"/>
    <w:basedOn w:val="DefaultParagraphFont"/>
    <w:link w:val="CommentText"/>
    <w:rsid w:val="00AB4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50D"/>
    <w:pPr>
      <w:tabs>
        <w:tab w:val="center" w:pos="4320"/>
        <w:tab w:val="right" w:pos="8640"/>
      </w:tabs>
    </w:pPr>
    <w:rPr>
      <w:sz w:val="20"/>
    </w:rPr>
  </w:style>
  <w:style w:type="character" w:customStyle="1" w:styleId="FooterChar">
    <w:name w:val="Footer Char"/>
    <w:basedOn w:val="DefaultParagraphFont"/>
    <w:link w:val="Footer"/>
    <w:uiPriority w:val="99"/>
    <w:rsid w:val="00AB450D"/>
    <w:rPr>
      <w:rFonts w:ascii="Times New Roman" w:eastAsia="Times New Roman" w:hAnsi="Times New Roman" w:cs="Times New Roman"/>
      <w:sz w:val="20"/>
      <w:szCs w:val="20"/>
    </w:rPr>
  </w:style>
  <w:style w:type="paragraph" w:styleId="BodyText">
    <w:name w:val="Body Text"/>
    <w:basedOn w:val="Normal"/>
    <w:link w:val="BodyTextChar"/>
    <w:unhideWhenUsed/>
    <w:rsid w:val="00AB450D"/>
    <w:pPr>
      <w:jc w:val="both"/>
    </w:pPr>
  </w:style>
  <w:style w:type="character" w:customStyle="1" w:styleId="BodyTextChar">
    <w:name w:val="Body Text Char"/>
    <w:basedOn w:val="DefaultParagraphFont"/>
    <w:link w:val="BodyText"/>
    <w:rsid w:val="00AB450D"/>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AB450D"/>
    <w:pPr>
      <w:tabs>
        <w:tab w:val="left" w:pos="720"/>
      </w:tabs>
      <w:spacing w:before="240" w:after="240"/>
      <w:ind w:left="1464" w:hanging="744"/>
    </w:pPr>
  </w:style>
  <w:style w:type="character" w:customStyle="1" w:styleId="BodyTextIndent2Char">
    <w:name w:val="Body Text Indent 2 Char"/>
    <w:basedOn w:val="DefaultParagraphFont"/>
    <w:link w:val="BodyTextIndent2"/>
    <w:semiHidden/>
    <w:rsid w:val="00AB450D"/>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AB450D"/>
    <w:pPr>
      <w:spacing w:line="480" w:lineRule="atLeast"/>
      <w:ind w:firstLine="720"/>
    </w:pPr>
  </w:style>
  <w:style w:type="character" w:customStyle="1" w:styleId="BodyTextIndent3Char">
    <w:name w:val="Body Text Indent 3 Char"/>
    <w:basedOn w:val="DefaultParagraphFont"/>
    <w:link w:val="BodyTextIndent3"/>
    <w:semiHidden/>
    <w:rsid w:val="00AB450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AB450D"/>
    <w:rPr>
      <w:szCs w:val="20"/>
    </w:rPr>
  </w:style>
  <w:style w:type="character" w:customStyle="1" w:styleId="CommentSubjectChar">
    <w:name w:val="Comment Subject Char"/>
    <w:basedOn w:val="CommentTextChar"/>
    <w:link w:val="CommentSubject"/>
    <w:semiHidden/>
    <w:rsid w:val="00AB450D"/>
    <w:rPr>
      <w:rFonts w:ascii="Times New Roman" w:eastAsia="Times New Roman" w:hAnsi="Times New Roman" w:cs="Times New Roman"/>
      <w:sz w:val="24"/>
      <w:szCs w:val="20"/>
    </w:rPr>
  </w:style>
  <w:style w:type="paragraph" w:customStyle="1" w:styleId="WW-BodyTextIndent3">
    <w:name w:val="WW-Body Text Indent 3"/>
    <w:basedOn w:val="Normal"/>
    <w:rsid w:val="00AB450D"/>
    <w:pPr>
      <w:suppressAutoHyphens/>
      <w:spacing w:line="480" w:lineRule="atLeast"/>
      <w:ind w:firstLine="720"/>
    </w:pPr>
    <w:rPr>
      <w:lang w:eastAsia="ar-SA"/>
    </w:rPr>
  </w:style>
  <w:style w:type="character" w:styleId="FootnoteReference">
    <w:name w:val="footnote reference"/>
    <w:semiHidden/>
    <w:unhideWhenUsed/>
    <w:rsid w:val="00AB450D"/>
    <w:rPr>
      <w:vertAlign w:val="superscript"/>
    </w:rPr>
  </w:style>
  <w:style w:type="paragraph" w:styleId="BalloonText">
    <w:name w:val="Balloon Text"/>
    <w:basedOn w:val="Normal"/>
    <w:link w:val="BalloonTextChar"/>
    <w:uiPriority w:val="99"/>
    <w:semiHidden/>
    <w:unhideWhenUsed/>
    <w:rsid w:val="001B4525"/>
    <w:rPr>
      <w:rFonts w:ascii="Tahoma" w:hAnsi="Tahoma" w:cs="Tahoma"/>
      <w:sz w:val="16"/>
      <w:szCs w:val="16"/>
    </w:rPr>
  </w:style>
  <w:style w:type="character" w:customStyle="1" w:styleId="BalloonTextChar">
    <w:name w:val="Balloon Text Char"/>
    <w:basedOn w:val="DefaultParagraphFont"/>
    <w:link w:val="BalloonText"/>
    <w:uiPriority w:val="99"/>
    <w:semiHidden/>
    <w:rsid w:val="001B4525"/>
    <w:rPr>
      <w:rFonts w:ascii="Tahoma" w:eastAsia="Times New Roman" w:hAnsi="Tahoma" w:cs="Tahoma"/>
      <w:sz w:val="16"/>
      <w:szCs w:val="16"/>
    </w:rPr>
  </w:style>
  <w:style w:type="paragraph" w:styleId="ListParagraph">
    <w:name w:val="List Paragraph"/>
    <w:basedOn w:val="Normal"/>
    <w:uiPriority w:val="34"/>
    <w:qFormat/>
    <w:rsid w:val="007B01C6"/>
    <w:pPr>
      <w:ind w:left="720"/>
      <w:contextualSpacing/>
    </w:pPr>
  </w:style>
  <w:style w:type="character" w:styleId="CommentReference">
    <w:name w:val="annotation reference"/>
    <w:basedOn w:val="DefaultParagraphFont"/>
    <w:uiPriority w:val="99"/>
    <w:semiHidden/>
    <w:unhideWhenUsed/>
    <w:rsid w:val="005409A9"/>
    <w:rPr>
      <w:sz w:val="16"/>
      <w:szCs w:val="16"/>
    </w:rPr>
  </w:style>
  <w:style w:type="paragraph" w:styleId="Header">
    <w:name w:val="header"/>
    <w:basedOn w:val="Normal"/>
    <w:link w:val="HeaderChar"/>
    <w:uiPriority w:val="99"/>
    <w:unhideWhenUsed/>
    <w:rsid w:val="006F5270"/>
    <w:pPr>
      <w:tabs>
        <w:tab w:val="center" w:pos="4680"/>
        <w:tab w:val="right" w:pos="9360"/>
      </w:tabs>
    </w:pPr>
  </w:style>
  <w:style w:type="character" w:customStyle="1" w:styleId="HeaderChar">
    <w:name w:val="Header Char"/>
    <w:basedOn w:val="DefaultParagraphFont"/>
    <w:link w:val="Header"/>
    <w:uiPriority w:val="99"/>
    <w:rsid w:val="006F5270"/>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B30CA8"/>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B30CA8"/>
    <w:pPr>
      <w:tabs>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D1593"/>
    <w:pPr>
      <w:keepNext/>
      <w:numPr>
        <w:numId w:val="11"/>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unhideWhenUsed/>
    <w:qFormat/>
    <w:rsid w:val="00B34A50"/>
    <w:pPr>
      <w:keepNext/>
      <w:tabs>
        <w:tab w:val="left" w:pos="4320"/>
      </w:tabs>
      <w:spacing w:after="240"/>
      <w:ind w:left="1440" w:hanging="720"/>
      <w:outlineLvl w:val="1"/>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593"/>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B34A50"/>
    <w:rPr>
      <w:rFonts w:ascii="Times New Roman Bold" w:eastAsia="Times New Roman" w:hAnsi="Times New Roman Bold" w:cs="Times New Roman"/>
      <w:b/>
      <w:sz w:val="24"/>
      <w:szCs w:val="20"/>
    </w:rPr>
  </w:style>
  <w:style w:type="character" w:styleId="Hyperlink">
    <w:name w:val="Hyperlink"/>
    <w:uiPriority w:val="99"/>
    <w:unhideWhenUsed/>
    <w:rsid w:val="00AB450D"/>
    <w:rPr>
      <w:color w:val="0000FF"/>
      <w:u w:val="single"/>
    </w:rPr>
  </w:style>
  <w:style w:type="paragraph" w:styleId="HTMLPreformatted">
    <w:name w:val="HTML Preformatted"/>
    <w:basedOn w:val="Normal"/>
    <w:link w:val="HTMLPreformattedChar"/>
    <w:unhideWhenUsed/>
    <w:rsid w:val="00AB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AB450D"/>
    <w:rPr>
      <w:rFonts w:ascii="Courier New" w:eastAsia="Courier New" w:hAnsi="Courier New" w:cs="Courier New"/>
      <w:sz w:val="20"/>
      <w:szCs w:val="20"/>
    </w:rPr>
  </w:style>
  <w:style w:type="paragraph" w:styleId="FootnoteText">
    <w:name w:val="footnote text"/>
    <w:basedOn w:val="Normal"/>
    <w:link w:val="FootnoteTextChar"/>
    <w:semiHidden/>
    <w:unhideWhenUsed/>
    <w:rsid w:val="00AB450D"/>
    <w:pPr>
      <w:spacing w:before="120"/>
    </w:pPr>
    <w:rPr>
      <w:sz w:val="20"/>
    </w:rPr>
  </w:style>
  <w:style w:type="character" w:customStyle="1" w:styleId="FootnoteTextChar">
    <w:name w:val="Footnote Text Char"/>
    <w:basedOn w:val="DefaultParagraphFont"/>
    <w:link w:val="FootnoteText"/>
    <w:semiHidden/>
    <w:rsid w:val="00AB450D"/>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AB450D"/>
    <w:rPr>
      <w:szCs w:val="24"/>
    </w:rPr>
  </w:style>
  <w:style w:type="character" w:customStyle="1" w:styleId="CommentTextChar">
    <w:name w:val="Comment Text Char"/>
    <w:basedOn w:val="DefaultParagraphFont"/>
    <w:link w:val="CommentText"/>
    <w:rsid w:val="00AB4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50D"/>
    <w:pPr>
      <w:tabs>
        <w:tab w:val="center" w:pos="4320"/>
        <w:tab w:val="right" w:pos="8640"/>
      </w:tabs>
    </w:pPr>
    <w:rPr>
      <w:sz w:val="20"/>
    </w:rPr>
  </w:style>
  <w:style w:type="character" w:customStyle="1" w:styleId="FooterChar">
    <w:name w:val="Footer Char"/>
    <w:basedOn w:val="DefaultParagraphFont"/>
    <w:link w:val="Footer"/>
    <w:uiPriority w:val="99"/>
    <w:rsid w:val="00AB450D"/>
    <w:rPr>
      <w:rFonts w:ascii="Times New Roman" w:eastAsia="Times New Roman" w:hAnsi="Times New Roman" w:cs="Times New Roman"/>
      <w:sz w:val="20"/>
      <w:szCs w:val="20"/>
    </w:rPr>
  </w:style>
  <w:style w:type="paragraph" w:styleId="BodyText">
    <w:name w:val="Body Text"/>
    <w:basedOn w:val="Normal"/>
    <w:link w:val="BodyTextChar"/>
    <w:unhideWhenUsed/>
    <w:rsid w:val="00AB450D"/>
    <w:pPr>
      <w:jc w:val="both"/>
    </w:pPr>
  </w:style>
  <w:style w:type="character" w:customStyle="1" w:styleId="BodyTextChar">
    <w:name w:val="Body Text Char"/>
    <w:basedOn w:val="DefaultParagraphFont"/>
    <w:link w:val="BodyText"/>
    <w:rsid w:val="00AB450D"/>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AB450D"/>
    <w:pPr>
      <w:tabs>
        <w:tab w:val="left" w:pos="720"/>
      </w:tabs>
      <w:spacing w:before="240" w:after="240"/>
      <w:ind w:left="1464" w:hanging="744"/>
    </w:pPr>
  </w:style>
  <w:style w:type="character" w:customStyle="1" w:styleId="BodyTextIndent2Char">
    <w:name w:val="Body Text Indent 2 Char"/>
    <w:basedOn w:val="DefaultParagraphFont"/>
    <w:link w:val="BodyTextIndent2"/>
    <w:semiHidden/>
    <w:rsid w:val="00AB450D"/>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AB450D"/>
    <w:pPr>
      <w:spacing w:line="480" w:lineRule="atLeast"/>
      <w:ind w:firstLine="720"/>
    </w:pPr>
  </w:style>
  <w:style w:type="character" w:customStyle="1" w:styleId="BodyTextIndent3Char">
    <w:name w:val="Body Text Indent 3 Char"/>
    <w:basedOn w:val="DefaultParagraphFont"/>
    <w:link w:val="BodyTextIndent3"/>
    <w:semiHidden/>
    <w:rsid w:val="00AB450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AB450D"/>
    <w:rPr>
      <w:szCs w:val="20"/>
    </w:rPr>
  </w:style>
  <w:style w:type="character" w:customStyle="1" w:styleId="CommentSubjectChar">
    <w:name w:val="Comment Subject Char"/>
    <w:basedOn w:val="CommentTextChar"/>
    <w:link w:val="CommentSubject"/>
    <w:semiHidden/>
    <w:rsid w:val="00AB450D"/>
    <w:rPr>
      <w:rFonts w:ascii="Times New Roman" w:eastAsia="Times New Roman" w:hAnsi="Times New Roman" w:cs="Times New Roman"/>
      <w:sz w:val="24"/>
      <w:szCs w:val="20"/>
    </w:rPr>
  </w:style>
  <w:style w:type="paragraph" w:customStyle="1" w:styleId="WW-BodyTextIndent3">
    <w:name w:val="WW-Body Text Indent 3"/>
    <w:basedOn w:val="Normal"/>
    <w:rsid w:val="00AB450D"/>
    <w:pPr>
      <w:suppressAutoHyphens/>
      <w:spacing w:line="480" w:lineRule="atLeast"/>
      <w:ind w:firstLine="720"/>
    </w:pPr>
    <w:rPr>
      <w:lang w:eastAsia="ar-SA"/>
    </w:rPr>
  </w:style>
  <w:style w:type="character" w:styleId="FootnoteReference">
    <w:name w:val="footnote reference"/>
    <w:semiHidden/>
    <w:unhideWhenUsed/>
    <w:rsid w:val="00AB450D"/>
    <w:rPr>
      <w:vertAlign w:val="superscript"/>
    </w:rPr>
  </w:style>
  <w:style w:type="paragraph" w:styleId="BalloonText">
    <w:name w:val="Balloon Text"/>
    <w:basedOn w:val="Normal"/>
    <w:link w:val="BalloonTextChar"/>
    <w:uiPriority w:val="99"/>
    <w:semiHidden/>
    <w:unhideWhenUsed/>
    <w:rsid w:val="001B4525"/>
    <w:rPr>
      <w:rFonts w:ascii="Tahoma" w:hAnsi="Tahoma" w:cs="Tahoma"/>
      <w:sz w:val="16"/>
      <w:szCs w:val="16"/>
    </w:rPr>
  </w:style>
  <w:style w:type="character" w:customStyle="1" w:styleId="BalloonTextChar">
    <w:name w:val="Balloon Text Char"/>
    <w:basedOn w:val="DefaultParagraphFont"/>
    <w:link w:val="BalloonText"/>
    <w:uiPriority w:val="99"/>
    <w:semiHidden/>
    <w:rsid w:val="001B4525"/>
    <w:rPr>
      <w:rFonts w:ascii="Tahoma" w:eastAsia="Times New Roman" w:hAnsi="Tahoma" w:cs="Tahoma"/>
      <w:sz w:val="16"/>
      <w:szCs w:val="16"/>
    </w:rPr>
  </w:style>
  <w:style w:type="paragraph" w:styleId="ListParagraph">
    <w:name w:val="List Paragraph"/>
    <w:basedOn w:val="Normal"/>
    <w:uiPriority w:val="34"/>
    <w:qFormat/>
    <w:rsid w:val="007B01C6"/>
    <w:pPr>
      <w:ind w:left="720"/>
      <w:contextualSpacing/>
    </w:pPr>
  </w:style>
  <w:style w:type="character" w:styleId="CommentReference">
    <w:name w:val="annotation reference"/>
    <w:basedOn w:val="DefaultParagraphFont"/>
    <w:uiPriority w:val="99"/>
    <w:semiHidden/>
    <w:unhideWhenUsed/>
    <w:rsid w:val="005409A9"/>
    <w:rPr>
      <w:sz w:val="16"/>
      <w:szCs w:val="16"/>
    </w:rPr>
  </w:style>
  <w:style w:type="paragraph" w:styleId="Header">
    <w:name w:val="header"/>
    <w:basedOn w:val="Normal"/>
    <w:link w:val="HeaderChar"/>
    <w:uiPriority w:val="99"/>
    <w:unhideWhenUsed/>
    <w:rsid w:val="006F5270"/>
    <w:pPr>
      <w:tabs>
        <w:tab w:val="center" w:pos="4680"/>
        <w:tab w:val="right" w:pos="9360"/>
      </w:tabs>
    </w:pPr>
  </w:style>
  <w:style w:type="character" w:customStyle="1" w:styleId="HeaderChar">
    <w:name w:val="Header Char"/>
    <w:basedOn w:val="DefaultParagraphFont"/>
    <w:link w:val="Header"/>
    <w:uiPriority w:val="99"/>
    <w:rsid w:val="006F5270"/>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B30CA8"/>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B30CA8"/>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bair@occ.ohio.gov" TargetMode="External"/><Relationship Id="rId13" Type="http://schemas.openxmlformats.org/officeDocument/2006/relationships/header" Target="header3.xml"/><Relationship Id="rId18" Type="http://schemas.openxmlformats.org/officeDocument/2006/relationships/hyperlink" Target="mailto:William.wright@puc.state.oh.us"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odi.bair@occ.ohio.gov"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James.lynn@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di.bair@occ.ohio.gov"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ampbell@whitt-sturtevan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3702</Words>
  <Characters>19793</Characters>
  <Application>Microsoft Office Word</Application>
  <DocSecurity>0</DocSecurity>
  <Lines>475</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2015-02-13T18:32:00Z</cp:lastPrinted>
  <dcterms:created xsi:type="dcterms:W3CDTF">2015-02-13T19:25:00Z</dcterms:created>
  <dcterms:modified xsi:type="dcterms:W3CDTF">2015-02-13T19:25:00Z</dcterms:modified>
  <cp:category> </cp:category>
  <cp:contentStatus> </cp:contentStatus>
</cp:coreProperties>
</file>