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E6096" w:rsidRPr="000E6096" w:rsidP="000E6096" w14:paraId="369FF09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0E6096">
        <w:rPr>
          <w:rFonts w:ascii="Times New Roman" w:hAnsi="Times New Roman" w:cs="Times New Roman"/>
          <w:b/>
          <w:bCs/>
          <w:sz w:val="24"/>
          <w:szCs w:val="24"/>
        </w:rPr>
        <w:t>BEFORE</w:t>
      </w:r>
    </w:p>
    <w:p w:rsidR="000E6096" w:rsidRPr="000E6096" w:rsidP="000E6096" w14:paraId="30DD9424" w14:textId="77777777">
      <w:pPr>
        <w:pStyle w:val="HTMLPreformatted"/>
        <w:jc w:val="center"/>
        <w:rPr>
          <w:rFonts w:ascii="Times New Roman" w:hAnsi="Times New Roman" w:cs="Times New Roman"/>
          <w:sz w:val="24"/>
          <w:szCs w:val="24"/>
        </w:rPr>
      </w:pPr>
      <w:r w:rsidRPr="000E6096">
        <w:rPr>
          <w:rFonts w:ascii="Times New Roman" w:hAnsi="Times New Roman" w:cs="Times New Roman"/>
          <w:b/>
          <w:bCs/>
          <w:sz w:val="24"/>
          <w:szCs w:val="24"/>
        </w:rPr>
        <w:t>THE PUBLIC UTILITIES COMMISSION OF OHIO</w:t>
      </w:r>
    </w:p>
    <w:p w:rsidR="000E6096" w:rsidRPr="000E6096" w:rsidP="000E6096" w14:paraId="3F890743"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7B6AF27D" w14:textId="77777777" w:rsidTr="00394A18">
        <w:tblPrEx>
          <w:tblW w:w="9092" w:type="dxa"/>
          <w:tblLook w:val="01E0"/>
        </w:tblPrEx>
        <w:trPr>
          <w:trHeight w:val="807"/>
        </w:trPr>
        <w:tc>
          <w:tcPr>
            <w:tcW w:w="4332" w:type="dxa"/>
            <w:shd w:val="clear" w:color="auto" w:fill="auto"/>
          </w:tcPr>
          <w:p w:rsidR="000E6096" w:rsidRPr="000E6096" w:rsidP="00394A18" w14:paraId="06E87B8C" w14:textId="1B172EF4">
            <w:pPr>
              <w:pStyle w:val="HTMLPreformatted"/>
              <w:rPr>
                <w:rFonts w:ascii="Times New Roman" w:hAnsi="Times New Roman" w:cs="Times New Roman"/>
                <w:sz w:val="24"/>
                <w:szCs w:val="24"/>
              </w:rPr>
            </w:pPr>
            <w:r w:rsidRPr="000E6096">
              <w:rPr>
                <w:rFonts w:ascii="Times New Roman" w:hAnsi="Times New Roman" w:cs="Times New Roman"/>
                <w:sz w:val="24"/>
                <w:szCs w:val="24"/>
              </w:rPr>
              <w:t xml:space="preserve">In the Matter of the </w:t>
            </w:r>
            <w:r w:rsidR="001668E5">
              <w:rPr>
                <w:rFonts w:ascii="Times New Roman" w:hAnsi="Times New Roman" w:cs="Times New Roman"/>
                <w:sz w:val="24"/>
                <w:szCs w:val="24"/>
              </w:rPr>
              <w:t xml:space="preserve">Review of </w:t>
            </w:r>
            <w:r w:rsidRPr="000E6096">
              <w:rPr>
                <w:rFonts w:ascii="Times New Roman" w:hAnsi="Times New Roman" w:cs="Times New Roman"/>
                <w:sz w:val="24"/>
                <w:szCs w:val="24"/>
              </w:rPr>
              <w:t>Ohio Adm.</w:t>
            </w:r>
            <w:r w:rsidR="004F690B">
              <w:rPr>
                <w:rFonts w:ascii="Times New Roman" w:hAnsi="Times New Roman" w:cs="Times New Roman"/>
                <w:sz w:val="24"/>
                <w:szCs w:val="24"/>
              </w:rPr>
              <w:t xml:space="preserve"> </w:t>
            </w:r>
            <w:r w:rsidRPr="000E6096">
              <w:rPr>
                <w:rFonts w:ascii="Times New Roman" w:hAnsi="Times New Roman" w:cs="Times New Roman"/>
                <w:sz w:val="24"/>
                <w:szCs w:val="24"/>
              </w:rPr>
              <w:t xml:space="preserve">Code 4901-9 </w:t>
            </w:r>
            <w:r w:rsidR="001668E5">
              <w:rPr>
                <w:rFonts w:ascii="Times New Roman" w:hAnsi="Times New Roman" w:cs="Times New Roman"/>
                <w:sz w:val="24"/>
                <w:szCs w:val="24"/>
              </w:rPr>
              <w:t xml:space="preserve">Rules </w:t>
            </w:r>
            <w:r w:rsidRPr="000E6096">
              <w:rPr>
                <w:rFonts w:ascii="Times New Roman" w:hAnsi="Times New Roman" w:cs="Times New Roman"/>
                <w:sz w:val="24"/>
                <w:szCs w:val="24"/>
              </w:rPr>
              <w:t xml:space="preserve">Regarding Commission Complaint Proceedings. </w:t>
            </w:r>
          </w:p>
        </w:tc>
        <w:tc>
          <w:tcPr>
            <w:tcW w:w="360" w:type="dxa"/>
            <w:shd w:val="clear" w:color="auto" w:fill="auto"/>
          </w:tcPr>
          <w:p w:rsidR="000E6096" w:rsidRPr="000E6096" w:rsidP="00394A18" w14:paraId="1FD8540C"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0E6096" w:rsidRPr="000E6096" w:rsidP="00394A18" w14:paraId="491D0DF3"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0E6096" w:rsidRPr="000E6096" w:rsidP="00394A18" w14:paraId="7AAD08F4"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tc>
        <w:tc>
          <w:tcPr>
            <w:tcW w:w="4400" w:type="dxa"/>
            <w:shd w:val="clear" w:color="auto" w:fill="auto"/>
          </w:tcPr>
          <w:p w:rsidR="000E6096" w:rsidRPr="000E6096" w:rsidP="00394A18" w14:paraId="5B3D6523" w14:textId="77777777">
            <w:pPr>
              <w:pStyle w:val="HTMLPreformatted"/>
              <w:rPr>
                <w:rFonts w:ascii="Times New Roman" w:hAnsi="Times New Roman" w:cs="Times New Roman"/>
                <w:sz w:val="24"/>
                <w:szCs w:val="24"/>
              </w:rPr>
            </w:pPr>
          </w:p>
          <w:p w:rsidR="000E6096" w:rsidRPr="000E6096" w:rsidP="00394A18" w14:paraId="5D5DCA27"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Case No. 18-278-AU-ORD</w:t>
            </w:r>
          </w:p>
          <w:p w:rsidR="000E6096" w:rsidRPr="000E6096" w:rsidP="00394A18" w14:paraId="72211D38" w14:textId="77777777">
            <w:pPr>
              <w:pStyle w:val="HTMLPreformatted"/>
              <w:rPr>
                <w:rFonts w:ascii="Times New Roman" w:hAnsi="Times New Roman" w:cs="Times New Roman"/>
                <w:sz w:val="24"/>
                <w:szCs w:val="24"/>
              </w:rPr>
            </w:pPr>
          </w:p>
        </w:tc>
      </w:tr>
    </w:tbl>
    <w:p w:rsidR="000E6096" w:rsidRPr="000E6096" w:rsidP="000E6096" w14:paraId="50E59D12" w14:textId="77777777">
      <w:pPr>
        <w:pStyle w:val="HTMLPreformatted"/>
        <w:rPr>
          <w:rFonts w:ascii="Times New Roman" w:hAnsi="Times New Roman" w:cs="Times New Roman"/>
          <w:sz w:val="24"/>
          <w:szCs w:val="24"/>
        </w:rPr>
      </w:pPr>
    </w:p>
    <w:p w:rsidR="000E6096" w:rsidRPr="000E6096" w:rsidP="000E6096" w14:paraId="13C79887" w14:textId="77777777">
      <w:pPr>
        <w:pStyle w:val="HTMLPreformatted"/>
        <w:pBdr>
          <w:top w:val="single" w:sz="12" w:space="1" w:color="auto"/>
        </w:pBdr>
        <w:rPr>
          <w:rFonts w:ascii="Times New Roman" w:hAnsi="Times New Roman" w:cs="Times New Roman"/>
          <w:sz w:val="24"/>
          <w:szCs w:val="24"/>
        </w:rPr>
      </w:pPr>
    </w:p>
    <w:p w:rsidR="000E6096" w:rsidRPr="000E6096" w:rsidP="000E6096" w14:paraId="6B33367A" w14:textId="56BF77C8">
      <w:pPr>
        <w:jc w:val="center"/>
        <w:rPr>
          <w:rFonts w:cs="Times New Roman"/>
          <w:b/>
          <w:bCs/>
          <w:szCs w:val="24"/>
        </w:rPr>
      </w:pPr>
      <w:r>
        <w:rPr>
          <w:rFonts w:cs="Times New Roman"/>
          <w:b/>
          <w:bCs/>
          <w:szCs w:val="24"/>
        </w:rPr>
        <w:t xml:space="preserve">REPLY </w:t>
      </w:r>
      <w:r w:rsidRPr="000E6096" w:rsidR="00B576D9">
        <w:rPr>
          <w:rFonts w:cs="Times New Roman"/>
          <w:b/>
          <w:bCs/>
          <w:szCs w:val="24"/>
        </w:rPr>
        <w:t>COMMENTS ON THE PUBLIC’S RIGHT TO FILE A COMPLAINT AGAINST A PUBLIC UTILITY</w:t>
      </w:r>
    </w:p>
    <w:p w:rsidR="000E6096" w:rsidRPr="000E6096" w:rsidP="000E6096" w14:paraId="26BDD272" w14:textId="77777777">
      <w:pPr>
        <w:jc w:val="center"/>
        <w:rPr>
          <w:rFonts w:cs="Times New Roman"/>
          <w:b/>
          <w:bCs/>
          <w:szCs w:val="24"/>
        </w:rPr>
      </w:pPr>
      <w:r w:rsidRPr="000E6096">
        <w:rPr>
          <w:rFonts w:cs="Times New Roman"/>
          <w:b/>
          <w:bCs/>
          <w:szCs w:val="24"/>
        </w:rPr>
        <w:t>BY</w:t>
      </w:r>
    </w:p>
    <w:p w:rsidR="000E6096" w:rsidRPr="000E6096" w:rsidP="000E6096" w14:paraId="5B3F1716" w14:textId="3B889E4D">
      <w:pPr>
        <w:jc w:val="center"/>
        <w:rPr>
          <w:rFonts w:cs="Times New Roman"/>
          <w:b/>
          <w:bCs/>
          <w:szCs w:val="24"/>
        </w:rPr>
      </w:pPr>
      <w:r>
        <w:rPr>
          <w:rFonts w:cs="Times New Roman"/>
          <w:b/>
          <w:bCs/>
          <w:szCs w:val="24"/>
        </w:rPr>
        <w:t xml:space="preserve">THE </w:t>
      </w:r>
      <w:r w:rsidRPr="000E6096">
        <w:rPr>
          <w:rFonts w:cs="Times New Roman"/>
          <w:b/>
          <w:bCs/>
          <w:szCs w:val="24"/>
        </w:rPr>
        <w:t>OFFICE OF THE OHIO CONSUMERS’ COUNSEL</w:t>
      </w:r>
    </w:p>
    <w:p w:rsidR="000E6096" w:rsidRPr="000E6096" w:rsidP="000E6096" w14:paraId="1E657F43" w14:textId="77777777">
      <w:pPr>
        <w:jc w:val="center"/>
        <w:rPr>
          <w:rFonts w:cs="Times New Roman"/>
          <w:b/>
          <w:bCs/>
          <w:szCs w:val="24"/>
        </w:rPr>
      </w:pPr>
      <w:r w:rsidRPr="000E6096">
        <w:rPr>
          <w:rFonts w:cs="Times New Roman"/>
          <w:b/>
          <w:bCs/>
          <w:szCs w:val="24"/>
        </w:rPr>
        <w:t xml:space="preserve">AND </w:t>
      </w:r>
    </w:p>
    <w:p w:rsidR="000E6096" w:rsidRPr="000E6096" w:rsidP="000E6096" w14:paraId="36CFDFC4" w14:textId="2603B5CC">
      <w:pPr>
        <w:jc w:val="center"/>
        <w:rPr>
          <w:rFonts w:cs="Times New Roman"/>
          <w:b/>
          <w:bCs/>
          <w:szCs w:val="24"/>
        </w:rPr>
      </w:pPr>
      <w:r>
        <w:rPr>
          <w:rFonts w:cs="Times New Roman"/>
          <w:b/>
          <w:bCs/>
          <w:szCs w:val="24"/>
        </w:rPr>
        <w:t xml:space="preserve">THE </w:t>
      </w:r>
      <w:r w:rsidRPr="000E6096">
        <w:rPr>
          <w:rFonts w:cs="Times New Roman"/>
          <w:b/>
          <w:bCs/>
          <w:szCs w:val="24"/>
        </w:rPr>
        <w:t>NORTHWEST OHIO AGGREGATION COALITION</w:t>
      </w:r>
    </w:p>
    <w:p w:rsidR="000E6096" w:rsidRPr="000E6096" w:rsidP="000E6096" w14:paraId="5FC84568" w14:textId="77777777">
      <w:pPr>
        <w:pBdr>
          <w:bottom w:val="single" w:sz="12" w:space="1" w:color="auto"/>
        </w:pBdr>
        <w:tabs>
          <w:tab w:val="left" w:pos="4320"/>
        </w:tabs>
        <w:rPr>
          <w:rFonts w:cs="Times New Roman"/>
          <w:szCs w:val="24"/>
        </w:rPr>
      </w:pPr>
    </w:p>
    <w:p w:rsidR="000E6096" w:rsidRPr="000E6096" w:rsidP="000E6096" w14:paraId="211B9381" w14:textId="77777777">
      <w:pPr>
        <w:tabs>
          <w:tab w:val="left" w:pos="4320"/>
        </w:tabs>
        <w:rPr>
          <w:rFonts w:cs="Times New Roman"/>
          <w:szCs w:val="24"/>
        </w:rPr>
      </w:pPr>
    </w:p>
    <w:p w:rsidR="000E6096" w:rsidRPr="000E6096" w:rsidP="000E6096" w14:paraId="16BD3DDC" w14:textId="77777777">
      <w:pPr>
        <w:ind w:left="3600" w:firstLine="720"/>
        <w:rPr>
          <w:rFonts w:cs="Times New Roman"/>
          <w:szCs w:val="24"/>
        </w:rPr>
      </w:pPr>
    </w:p>
    <w:p w:rsidR="000E6096" w:rsidRPr="000E6096" w:rsidP="000E6096" w14:paraId="605AD6E5" w14:textId="77777777">
      <w:pPr>
        <w:pStyle w:val="Footer"/>
        <w:tabs>
          <w:tab w:val="left" w:pos="4320"/>
        </w:tabs>
        <w:rPr>
          <w:rFonts w:cs="Times New Roman"/>
          <w:szCs w:val="24"/>
        </w:rPr>
      </w:pPr>
      <w:r w:rsidRPr="000E6096">
        <w:rPr>
          <w:rFonts w:cs="Times New Roman"/>
          <w:szCs w:val="24"/>
        </w:rPr>
        <w:tab/>
      </w:r>
    </w:p>
    <w:p w:rsidR="007B3799" w:rsidP="007B3799" w14:paraId="03208230" w14:textId="77777777">
      <w:pPr>
        <w:pStyle w:val="Footer"/>
        <w:tabs>
          <w:tab w:val="left" w:pos="4320"/>
        </w:tabs>
        <w:ind w:left="3600" w:hanging="3600"/>
        <w:rPr>
          <w:rFonts w:cs="Times New Roman"/>
          <w:szCs w:val="24"/>
        </w:rPr>
      </w:pPr>
      <w:r w:rsidRPr="000E6096">
        <w:rPr>
          <w:rFonts w:cs="Times New Roman"/>
          <w:szCs w:val="24"/>
        </w:rPr>
        <w:tab/>
      </w:r>
    </w:p>
    <w:p w:rsidR="000E6096" w:rsidRPr="000E6096" w:rsidP="007B3799" w14:paraId="74FADA8A" w14:textId="112F2583">
      <w:pPr>
        <w:pStyle w:val="Footer"/>
        <w:tabs>
          <w:tab w:val="left" w:pos="4320"/>
        </w:tabs>
        <w:ind w:left="3600" w:hanging="3600"/>
        <w:rPr>
          <w:rFonts w:cs="Times New Roman"/>
          <w:szCs w:val="24"/>
        </w:rPr>
      </w:pPr>
      <w:r>
        <w:rPr>
          <w:rFonts w:cs="Times New Roman"/>
          <w:szCs w:val="24"/>
        </w:rPr>
        <w:tab/>
      </w:r>
      <w:r w:rsidRPr="000E6096" w:rsidR="00B576D9">
        <w:rPr>
          <w:rFonts w:cs="Times New Roman"/>
          <w:szCs w:val="24"/>
        </w:rPr>
        <w:t>Bruce Weston (0016973)</w:t>
      </w:r>
    </w:p>
    <w:p w:rsidR="000E6096" w:rsidRPr="000E6096" w:rsidP="007B3799" w14:paraId="569ED41F" w14:textId="77777777">
      <w:pPr>
        <w:tabs>
          <w:tab w:val="left" w:pos="4320"/>
        </w:tabs>
        <w:ind w:left="3600" w:hanging="3600"/>
        <w:rPr>
          <w:rFonts w:cs="Times New Roman"/>
          <w:szCs w:val="24"/>
        </w:rPr>
      </w:pPr>
      <w:r w:rsidRPr="000E6096">
        <w:rPr>
          <w:rFonts w:cs="Times New Roman"/>
          <w:szCs w:val="24"/>
        </w:rPr>
        <w:tab/>
        <w:t>Ohio Consumers’ Counsel</w:t>
      </w:r>
    </w:p>
    <w:p w:rsidR="000E6096" w:rsidRPr="000E6096" w:rsidP="007B3799" w14:paraId="263C89FF" w14:textId="77777777">
      <w:pPr>
        <w:tabs>
          <w:tab w:val="left" w:pos="4320"/>
        </w:tabs>
        <w:ind w:left="3600" w:hanging="3600"/>
        <w:rPr>
          <w:rFonts w:cs="Times New Roman"/>
          <w:szCs w:val="24"/>
        </w:rPr>
      </w:pPr>
      <w:r w:rsidRPr="000E6096">
        <w:rPr>
          <w:rFonts w:cs="Times New Roman"/>
          <w:szCs w:val="24"/>
        </w:rPr>
        <w:tab/>
      </w:r>
    </w:p>
    <w:p w:rsidR="000E6096" w:rsidP="007B3799" w14:paraId="7BD5BC3A" w14:textId="75C5C008">
      <w:pPr>
        <w:tabs>
          <w:tab w:val="left" w:pos="4320"/>
        </w:tabs>
        <w:ind w:left="3600" w:hanging="3600"/>
        <w:rPr>
          <w:rFonts w:cs="Times New Roman"/>
          <w:szCs w:val="24"/>
        </w:rPr>
      </w:pPr>
      <w:r w:rsidRPr="000E6096">
        <w:rPr>
          <w:rFonts w:cs="Times New Roman"/>
          <w:szCs w:val="24"/>
        </w:rPr>
        <w:tab/>
        <w:t>Amy Botschner O’Brien</w:t>
      </w:r>
      <w:r>
        <w:rPr>
          <w:rFonts w:cs="Times New Roman"/>
          <w:szCs w:val="24"/>
        </w:rPr>
        <w:t xml:space="preserve"> (0074423)</w:t>
      </w:r>
    </w:p>
    <w:p w:rsidR="00801812" w:rsidRPr="000E6096" w:rsidP="007B3799" w14:paraId="1DBF6FF7" w14:textId="5C36623A">
      <w:pPr>
        <w:tabs>
          <w:tab w:val="left" w:pos="4320"/>
        </w:tabs>
        <w:ind w:left="3600" w:hanging="3600"/>
        <w:rPr>
          <w:rFonts w:cs="Times New Roman"/>
          <w:szCs w:val="24"/>
        </w:rPr>
      </w:pPr>
      <w:r>
        <w:rPr>
          <w:rFonts w:cs="Times New Roman"/>
          <w:szCs w:val="24"/>
        </w:rPr>
        <w:tab/>
        <w:t>Counsel of Record</w:t>
      </w:r>
    </w:p>
    <w:p w:rsidR="000E6096" w:rsidRPr="000E6096" w:rsidP="007B3799" w14:paraId="51A2EDD6" w14:textId="77777777">
      <w:pPr>
        <w:tabs>
          <w:tab w:val="left" w:pos="4320"/>
        </w:tabs>
        <w:ind w:left="3600" w:hanging="3600"/>
        <w:rPr>
          <w:rFonts w:cs="Times New Roman"/>
          <w:szCs w:val="24"/>
        </w:rPr>
      </w:pPr>
      <w:r w:rsidRPr="000E6096">
        <w:rPr>
          <w:rFonts w:cs="Times New Roman"/>
          <w:szCs w:val="24"/>
        </w:rPr>
        <w:tab/>
        <w:t>Assistant Consumers’ Counsel</w:t>
      </w:r>
    </w:p>
    <w:p w:rsidR="000E6096" w:rsidRPr="000E6096" w:rsidP="007B3799" w14:paraId="728B12D1" w14:textId="239AF482">
      <w:pPr>
        <w:ind w:left="3600" w:hanging="3600"/>
        <w:rPr>
          <w:rFonts w:cs="Times New Roman"/>
          <w:b/>
          <w:szCs w:val="24"/>
        </w:rPr>
      </w:pPr>
      <w:r>
        <w:rPr>
          <w:rFonts w:cs="Times New Roman"/>
          <w:b/>
          <w:szCs w:val="24"/>
        </w:rPr>
        <w:tab/>
      </w:r>
    </w:p>
    <w:p w:rsidR="000E6096" w:rsidRPr="000E6096" w:rsidP="007B3799" w14:paraId="5C5DC13A" w14:textId="77777777">
      <w:pPr>
        <w:ind w:left="7200" w:hanging="3600"/>
        <w:rPr>
          <w:rFonts w:cs="Times New Roman"/>
          <w:b/>
          <w:szCs w:val="24"/>
        </w:rPr>
      </w:pPr>
      <w:r w:rsidRPr="000E6096">
        <w:rPr>
          <w:rFonts w:cs="Times New Roman"/>
          <w:b/>
          <w:szCs w:val="24"/>
        </w:rPr>
        <w:t>Office of the Ohio Consumers’ Counsel</w:t>
      </w:r>
    </w:p>
    <w:p w:rsidR="000E6096" w:rsidRPr="000E6096" w:rsidP="007B3799" w14:paraId="13CABE17" w14:textId="77777777">
      <w:pPr>
        <w:ind w:left="7200" w:hanging="3600"/>
        <w:rPr>
          <w:rFonts w:cs="Times New Roman"/>
          <w:b/>
          <w:szCs w:val="24"/>
        </w:rPr>
      </w:pPr>
      <w:r w:rsidRPr="000E6096">
        <w:rPr>
          <w:rFonts w:cs="Times New Roman"/>
          <w:szCs w:val="24"/>
        </w:rPr>
        <w:t>65 East State Street, 7</w:t>
      </w:r>
      <w:r w:rsidRPr="00793053">
        <w:rPr>
          <w:rFonts w:cs="Times New Roman"/>
          <w:szCs w:val="24"/>
        </w:rPr>
        <w:t>th</w:t>
      </w:r>
      <w:r w:rsidRPr="000E6096">
        <w:rPr>
          <w:rFonts w:cs="Times New Roman"/>
          <w:szCs w:val="24"/>
        </w:rPr>
        <w:t xml:space="preserve"> Floor</w:t>
      </w:r>
    </w:p>
    <w:p w:rsidR="000E6096" w:rsidRPr="000E6096" w:rsidP="007B3799" w14:paraId="63EB4109" w14:textId="77777777">
      <w:pPr>
        <w:ind w:left="7200" w:hanging="3600"/>
        <w:rPr>
          <w:rFonts w:cs="Times New Roman"/>
          <w:szCs w:val="24"/>
        </w:rPr>
      </w:pPr>
      <w:r w:rsidRPr="000E6096">
        <w:rPr>
          <w:rFonts w:cs="Times New Roman"/>
          <w:szCs w:val="24"/>
        </w:rPr>
        <w:t>Columbus, Ohio 43215-4213</w:t>
      </w:r>
    </w:p>
    <w:p w:rsidR="000E6096" w:rsidRPr="000E6096" w:rsidP="007B3799" w14:paraId="2D98472C" w14:textId="0AA2DB19">
      <w:pPr>
        <w:autoSpaceDE w:val="0"/>
        <w:autoSpaceDN w:val="0"/>
        <w:adjustRightInd w:val="0"/>
        <w:ind w:left="7200" w:hanging="3600"/>
        <w:rPr>
          <w:rFonts w:cs="Times New Roman"/>
          <w:szCs w:val="24"/>
        </w:rPr>
      </w:pPr>
      <w:r w:rsidRPr="000E6096">
        <w:rPr>
          <w:rFonts w:cs="Times New Roman"/>
          <w:szCs w:val="24"/>
        </w:rPr>
        <w:t xml:space="preserve">Telephone [Botschner O’Brien]: (614) 466-9575 </w:t>
      </w:r>
    </w:p>
    <w:p w:rsidR="000E6096" w:rsidRPr="000E6096" w:rsidP="007B3799" w14:paraId="45EF2825" w14:textId="77777777">
      <w:pPr>
        <w:ind w:left="7200" w:hanging="3600"/>
        <w:rPr>
          <w:rFonts w:cs="Times New Roman"/>
          <w:szCs w:val="24"/>
        </w:rPr>
      </w:pPr>
      <w:hyperlink r:id="rId6" w:history="1">
        <w:r w:rsidRPr="000E6096" w:rsidR="00097F28">
          <w:rPr>
            <w:rStyle w:val="Hyperlink"/>
            <w:rFonts w:cs="Times New Roman"/>
            <w:szCs w:val="24"/>
          </w:rPr>
          <w:t>amy.botschner.obrien@occ.ohio.gov</w:t>
        </w:r>
      </w:hyperlink>
    </w:p>
    <w:p w:rsidR="000E6096" w:rsidRPr="000E6096" w:rsidP="007B3799" w14:paraId="02E3E006" w14:textId="3677138C">
      <w:pPr>
        <w:ind w:left="7200" w:hanging="3600"/>
        <w:rPr>
          <w:rFonts w:cs="Times New Roman"/>
          <w:szCs w:val="24"/>
        </w:rPr>
      </w:pPr>
      <w:r w:rsidRPr="000E6096">
        <w:rPr>
          <w:rFonts w:cs="Times New Roman"/>
          <w:szCs w:val="24"/>
        </w:rPr>
        <w:t>(</w:t>
      </w:r>
      <w:r w:rsidR="00793053">
        <w:rPr>
          <w:rFonts w:cs="Times New Roman"/>
          <w:szCs w:val="24"/>
        </w:rPr>
        <w:t>w</w:t>
      </w:r>
      <w:r w:rsidRPr="000E6096">
        <w:rPr>
          <w:rFonts w:cs="Times New Roman"/>
          <w:szCs w:val="24"/>
        </w:rPr>
        <w:t>illing to accept service by e-mail)</w:t>
      </w:r>
    </w:p>
    <w:p w:rsidR="000E6096" w:rsidRPr="000E6096" w:rsidP="007B3799" w14:paraId="7B15EBB7" w14:textId="77777777">
      <w:pPr>
        <w:pStyle w:val="Heading1"/>
        <w:ind w:left="7200" w:right="-648" w:hanging="3600"/>
        <w:rPr>
          <w:rFonts w:ascii="Times New Roman" w:hAnsi="Times New Roman"/>
        </w:rPr>
      </w:pPr>
    </w:p>
    <w:p w:rsidR="000E6096" w:rsidRPr="000E6096" w:rsidP="007B3799" w14:paraId="2095C132" w14:textId="4FD3ED94">
      <w:pPr>
        <w:autoSpaceDE w:val="0"/>
        <w:autoSpaceDN w:val="0"/>
        <w:ind w:left="7200" w:hanging="3600"/>
        <w:rPr>
          <w:rFonts w:cs="Times New Roman"/>
          <w:color w:val="000000"/>
          <w:szCs w:val="24"/>
        </w:rPr>
      </w:pPr>
      <w:r w:rsidRPr="000E6096">
        <w:rPr>
          <w:rFonts w:cs="Times New Roman"/>
          <w:color w:val="000000"/>
          <w:szCs w:val="24"/>
        </w:rPr>
        <w:t>Thomas R. Hays</w:t>
      </w:r>
      <w:r w:rsidR="00793053">
        <w:rPr>
          <w:rFonts w:cs="Times New Roman"/>
          <w:color w:val="000000"/>
          <w:szCs w:val="24"/>
        </w:rPr>
        <w:t xml:space="preserve"> </w:t>
      </w:r>
      <w:r w:rsidRPr="000E6096" w:rsidR="00793053">
        <w:rPr>
          <w:rFonts w:cs="Times New Roman"/>
          <w:color w:val="000000"/>
          <w:szCs w:val="24"/>
        </w:rPr>
        <w:t>(0054062)</w:t>
      </w:r>
    </w:p>
    <w:p w:rsidR="000E6096" w:rsidRPr="000E6096" w:rsidP="007B3799" w14:paraId="2C216E56" w14:textId="73683905">
      <w:pPr>
        <w:autoSpaceDE w:val="0"/>
        <w:autoSpaceDN w:val="0"/>
        <w:ind w:left="7200" w:hanging="3600"/>
        <w:rPr>
          <w:rFonts w:cs="Times New Roman"/>
          <w:color w:val="000000"/>
          <w:szCs w:val="24"/>
        </w:rPr>
      </w:pPr>
      <w:r w:rsidRPr="000E6096">
        <w:rPr>
          <w:rFonts w:cs="Times New Roman"/>
          <w:color w:val="000000"/>
          <w:szCs w:val="24"/>
        </w:rPr>
        <w:t xml:space="preserve">Counsel for Lucas County </w:t>
      </w:r>
    </w:p>
    <w:p w:rsidR="000E6096" w:rsidRPr="000E6096" w:rsidP="007B3799" w14:paraId="1992A48C" w14:textId="77777777">
      <w:pPr>
        <w:autoSpaceDE w:val="0"/>
        <w:autoSpaceDN w:val="0"/>
        <w:ind w:left="7200" w:hanging="3600"/>
        <w:rPr>
          <w:rFonts w:cs="Times New Roman"/>
          <w:color w:val="000000"/>
          <w:szCs w:val="24"/>
        </w:rPr>
      </w:pPr>
      <w:r w:rsidRPr="000E6096">
        <w:rPr>
          <w:rFonts w:cs="Times New Roman"/>
          <w:color w:val="000000"/>
          <w:szCs w:val="24"/>
        </w:rPr>
        <w:t>8355 Island Lane</w:t>
      </w:r>
    </w:p>
    <w:p w:rsidR="000E6096" w:rsidRPr="000E6096" w:rsidP="007B3799" w14:paraId="29BF5764" w14:textId="0C3E889C">
      <w:pPr>
        <w:autoSpaceDE w:val="0"/>
        <w:autoSpaceDN w:val="0"/>
        <w:ind w:left="7200" w:hanging="3600"/>
        <w:rPr>
          <w:rFonts w:cs="Times New Roman"/>
          <w:color w:val="000000"/>
          <w:szCs w:val="24"/>
        </w:rPr>
      </w:pPr>
      <w:r w:rsidRPr="000E6096">
        <w:rPr>
          <w:rFonts w:cs="Times New Roman"/>
          <w:color w:val="000000"/>
          <w:szCs w:val="24"/>
        </w:rPr>
        <w:t>Maineville, O</w:t>
      </w:r>
      <w:r w:rsidR="00793053">
        <w:rPr>
          <w:rFonts w:cs="Times New Roman"/>
          <w:color w:val="000000"/>
          <w:szCs w:val="24"/>
        </w:rPr>
        <w:t>hio</w:t>
      </w:r>
      <w:r w:rsidRPr="000E6096">
        <w:rPr>
          <w:rFonts w:cs="Times New Roman"/>
          <w:color w:val="000000"/>
          <w:szCs w:val="24"/>
        </w:rPr>
        <w:t xml:space="preserve"> 45039</w:t>
      </w:r>
    </w:p>
    <w:p w:rsidR="000E6096" w:rsidRPr="000E6096" w:rsidP="007B3799" w14:paraId="2C886A93" w14:textId="4DE62183">
      <w:pPr>
        <w:autoSpaceDE w:val="0"/>
        <w:autoSpaceDN w:val="0"/>
        <w:ind w:left="7200" w:hanging="3600"/>
        <w:rPr>
          <w:rFonts w:cs="Times New Roman"/>
          <w:color w:val="000000"/>
          <w:szCs w:val="24"/>
        </w:rPr>
      </w:pPr>
      <w:r>
        <w:rPr>
          <w:rFonts w:cs="Times New Roman"/>
          <w:color w:val="000000"/>
          <w:szCs w:val="24"/>
        </w:rPr>
        <w:t xml:space="preserve">Telephone: </w:t>
      </w:r>
      <w:r w:rsidRPr="000E6096" w:rsidR="00B576D9">
        <w:rPr>
          <w:rFonts w:cs="Times New Roman"/>
          <w:color w:val="000000"/>
          <w:szCs w:val="24"/>
        </w:rPr>
        <w:t>419-410-7069</w:t>
      </w:r>
    </w:p>
    <w:p w:rsidR="000E6096" w:rsidRPr="000E6096" w:rsidP="007B3799" w14:paraId="086D5BAD" w14:textId="306B0542">
      <w:pPr>
        <w:pStyle w:val="BodyTextIndent3"/>
        <w:spacing w:line="240" w:lineRule="auto"/>
        <w:ind w:left="7200" w:hanging="3600"/>
        <w:jc w:val="both"/>
        <w:rPr>
          <w:szCs w:val="24"/>
        </w:rPr>
      </w:pPr>
      <w:hyperlink r:id="rId7" w:history="1">
        <w:r w:rsidRPr="008F3139" w:rsidR="007B3799">
          <w:rPr>
            <w:rStyle w:val="Hyperlink"/>
            <w:szCs w:val="24"/>
          </w:rPr>
          <w:t>trhayslaw@gmail.com</w:t>
        </w:r>
      </w:hyperlink>
    </w:p>
    <w:p w:rsidR="000E6096" w:rsidRPr="000E6096" w:rsidP="007B3799" w14:paraId="6662C041" w14:textId="51C85DBB">
      <w:pPr>
        <w:ind w:left="7200" w:hanging="3600"/>
        <w:rPr>
          <w:rFonts w:cs="Times New Roman"/>
          <w:szCs w:val="24"/>
        </w:rPr>
      </w:pPr>
      <w:r w:rsidRPr="000E6096">
        <w:rPr>
          <w:rFonts w:cs="Times New Roman"/>
          <w:szCs w:val="24"/>
        </w:rPr>
        <w:t>(</w:t>
      </w:r>
      <w:r w:rsidR="00793053">
        <w:rPr>
          <w:rFonts w:cs="Times New Roman"/>
          <w:szCs w:val="24"/>
        </w:rPr>
        <w:t>w</w:t>
      </w:r>
      <w:r w:rsidRPr="000E6096">
        <w:rPr>
          <w:rFonts w:cs="Times New Roman"/>
          <w:szCs w:val="24"/>
        </w:rPr>
        <w:t>illing to accept service by e-mail)</w:t>
      </w:r>
    </w:p>
    <w:p w:rsidR="000E6096" w:rsidRPr="000E6096" w:rsidP="007B3799" w14:paraId="75767798" w14:textId="77777777">
      <w:pPr>
        <w:autoSpaceDE w:val="0"/>
        <w:autoSpaceDN w:val="0"/>
        <w:ind w:left="3510" w:firstLine="810"/>
        <w:rPr>
          <w:rFonts w:cs="Times New Roman"/>
          <w:i/>
          <w:iCs/>
          <w:color w:val="000000"/>
          <w:szCs w:val="24"/>
        </w:rPr>
      </w:pPr>
    </w:p>
    <w:p w:rsidR="007B3799" w:rsidRPr="007B3799" w:rsidP="007B3799" w14:paraId="432BC498" w14:textId="77777777">
      <w:pPr>
        <w:autoSpaceDE w:val="0"/>
        <w:autoSpaceDN w:val="0"/>
        <w:ind w:left="2880" w:firstLine="720"/>
        <w:rPr>
          <w:rFonts w:cs="Times New Roman"/>
          <w:i/>
          <w:iCs/>
          <w:color w:val="000000"/>
          <w:szCs w:val="24"/>
        </w:rPr>
      </w:pPr>
      <w:r w:rsidRPr="007B3799">
        <w:rPr>
          <w:rFonts w:cs="Times New Roman"/>
          <w:i/>
          <w:iCs/>
          <w:color w:val="000000"/>
          <w:szCs w:val="24"/>
        </w:rPr>
        <w:t>Attorney for The Northwest Ohio</w:t>
      </w:r>
    </w:p>
    <w:p w:rsidR="000E6096" w:rsidRPr="007B3799" w:rsidP="007B3799" w14:paraId="3E943A00" w14:textId="7392A463">
      <w:pPr>
        <w:autoSpaceDE w:val="0"/>
        <w:autoSpaceDN w:val="0"/>
        <w:rPr>
          <w:rFonts w:cs="Times New Roman"/>
          <w:i/>
          <w:iCs/>
          <w:color w:val="000000"/>
          <w:szCs w:val="24"/>
        </w:rPr>
      </w:pPr>
      <w:r w:rsidRPr="007B3799">
        <w:rPr>
          <w:color w:val="000000"/>
          <w:szCs w:val="24"/>
        </w:rPr>
        <w:t>February 10, 2020</w:t>
      </w:r>
      <w:r>
        <w:rPr>
          <w:i/>
          <w:iCs/>
          <w:color w:val="000000"/>
          <w:szCs w:val="24"/>
        </w:rPr>
        <w:tab/>
      </w:r>
      <w:r>
        <w:rPr>
          <w:i/>
          <w:iCs/>
          <w:color w:val="000000"/>
          <w:szCs w:val="24"/>
        </w:rPr>
        <w:tab/>
      </w:r>
      <w:r>
        <w:rPr>
          <w:i/>
          <w:iCs/>
          <w:color w:val="000000"/>
          <w:szCs w:val="24"/>
        </w:rPr>
        <w:tab/>
      </w:r>
      <w:r w:rsidRPr="000E6096" w:rsidR="00B576D9">
        <w:rPr>
          <w:i/>
          <w:iCs/>
          <w:color w:val="000000"/>
          <w:szCs w:val="24"/>
        </w:rPr>
        <w:t>Aggregation Coalition</w:t>
      </w:r>
    </w:p>
    <w:p w:rsidR="000E6096" w:rsidP="0092067D" w14:paraId="399CEA57" w14:textId="77777777">
      <w:pPr>
        <w:pStyle w:val="HTMLPreformatted"/>
        <w:jc w:val="center"/>
        <w:rPr>
          <w:rFonts w:ascii="Times New Roman" w:hAnsi="Times New Roman" w:cs="Times New Roman"/>
          <w:b/>
          <w:bCs/>
          <w:sz w:val="24"/>
          <w:szCs w:val="24"/>
        </w:rPr>
        <w:sectPr w:rsidSect="006A547C">
          <w:footerReference w:type="default" r:id="rId8"/>
          <w:footerReference w:type="first" r:id="rId9"/>
          <w:pgSz w:w="12240" w:h="15840"/>
          <w:pgMar w:top="1440" w:right="1800" w:bottom="1440" w:left="1800" w:header="720" w:footer="720" w:gutter="0"/>
          <w:cols w:space="720"/>
          <w:titlePg/>
          <w:docGrid w:linePitch="360"/>
        </w:sectPr>
      </w:pPr>
    </w:p>
    <w:p w:rsidR="003F4EB1" w:rsidP="0092067D" w14:paraId="083E23DD" w14:textId="671BF0E2">
      <w:pPr>
        <w:pStyle w:val="HTMLPreformatted"/>
        <w:jc w:val="center"/>
        <w:rPr>
          <w:rFonts w:ascii="Times New Roman" w:hAnsi="Times New Roman" w:cs="Times New Roman"/>
          <w:b/>
          <w:bCs/>
          <w:sz w:val="24"/>
          <w:szCs w:val="24"/>
          <w:u w:val="single"/>
        </w:rPr>
      </w:pPr>
      <w:r w:rsidRPr="003F4EB1">
        <w:rPr>
          <w:rFonts w:ascii="Times New Roman" w:hAnsi="Times New Roman" w:cs="Times New Roman"/>
          <w:b/>
          <w:bCs/>
          <w:sz w:val="24"/>
          <w:szCs w:val="24"/>
          <w:u w:val="single"/>
        </w:rPr>
        <w:t>TABLE OF CONTENTS</w:t>
      </w:r>
    </w:p>
    <w:p w:rsidR="003F4EB1" w:rsidP="0092067D" w14:paraId="35F4EF96" w14:textId="10980D09">
      <w:pPr>
        <w:pStyle w:val="HTMLPreformatted"/>
        <w:jc w:val="center"/>
        <w:rPr>
          <w:rFonts w:ascii="Times New Roman" w:hAnsi="Times New Roman" w:cs="Times New Roman"/>
          <w:b/>
          <w:bCs/>
          <w:sz w:val="24"/>
          <w:szCs w:val="24"/>
          <w:u w:val="single"/>
        </w:rPr>
      </w:pPr>
    </w:p>
    <w:p w:rsidR="003F4EB1" w:rsidP="003F4EB1" w14:paraId="3438C6F2" w14:textId="3966E3E2">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PAGE</w:t>
      </w:r>
    </w:p>
    <w:p w:rsidR="00E935BC" w:rsidP="003F4EB1" w14:paraId="3B413982" w14:textId="77777777">
      <w:pPr>
        <w:pStyle w:val="HTMLPreformatted"/>
        <w:jc w:val="right"/>
        <w:rPr>
          <w:rFonts w:ascii="Times New Roman" w:hAnsi="Times New Roman" w:cs="Times New Roman"/>
          <w:b/>
          <w:bCs/>
          <w:sz w:val="24"/>
          <w:szCs w:val="24"/>
        </w:rPr>
      </w:pPr>
    </w:p>
    <w:p w:rsidR="00F56365" w14:paraId="588F95BB" w14:textId="3F50A2AB">
      <w:pPr>
        <w:pStyle w:val="TOC1"/>
        <w:rPr>
          <w:rFonts w:asciiTheme="minorHAnsi" w:eastAsiaTheme="minorEastAsia" w:hAnsiTheme="minorHAnsi"/>
          <w:caps w:val="0"/>
          <w:noProof/>
          <w:sz w:val="22"/>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hyperlink w:anchor="_Toc32244802" w:history="1">
        <w:r w:rsidRPr="00EA6B22">
          <w:rPr>
            <w:rStyle w:val="Hyperlink"/>
            <w:noProof/>
          </w:rPr>
          <w:t>I.</w:t>
        </w:r>
        <w:r>
          <w:rPr>
            <w:rFonts w:asciiTheme="minorHAnsi" w:eastAsiaTheme="minorEastAsia" w:hAnsiTheme="minorHAnsi"/>
            <w:caps w:val="0"/>
            <w:noProof/>
            <w:sz w:val="22"/>
          </w:rPr>
          <w:tab/>
        </w:r>
        <w:r w:rsidRPr="00EA6B22">
          <w:rPr>
            <w:rStyle w:val="Hyperlink"/>
            <w:noProof/>
          </w:rPr>
          <w:t>INTRODUCTION</w:t>
        </w:r>
        <w:r>
          <w:rPr>
            <w:noProof/>
            <w:webHidden/>
          </w:rPr>
          <w:tab/>
        </w:r>
        <w:r>
          <w:rPr>
            <w:noProof/>
            <w:webHidden/>
          </w:rPr>
          <w:fldChar w:fldCharType="begin"/>
        </w:r>
        <w:r>
          <w:rPr>
            <w:noProof/>
            <w:webHidden/>
          </w:rPr>
          <w:instrText xml:space="preserve"> PAGEREF _Toc32244802 \h </w:instrText>
        </w:r>
        <w:r>
          <w:rPr>
            <w:noProof/>
            <w:webHidden/>
          </w:rPr>
          <w:fldChar w:fldCharType="separate"/>
        </w:r>
        <w:r>
          <w:rPr>
            <w:noProof/>
            <w:webHidden/>
          </w:rPr>
          <w:t>1</w:t>
        </w:r>
        <w:r>
          <w:rPr>
            <w:noProof/>
            <w:webHidden/>
          </w:rPr>
          <w:fldChar w:fldCharType="end"/>
        </w:r>
      </w:hyperlink>
    </w:p>
    <w:p w:rsidR="00F56365" w14:paraId="177002E0" w14:textId="22807691">
      <w:pPr>
        <w:pStyle w:val="TOC1"/>
        <w:rPr>
          <w:rFonts w:asciiTheme="minorHAnsi" w:eastAsiaTheme="minorEastAsia" w:hAnsiTheme="minorHAnsi"/>
          <w:caps w:val="0"/>
          <w:noProof/>
          <w:sz w:val="22"/>
        </w:rPr>
      </w:pPr>
      <w:hyperlink w:anchor="_Toc32244803" w:history="1">
        <w:r w:rsidRPr="00EA6B22">
          <w:rPr>
            <w:rStyle w:val="Hyperlink"/>
            <w:noProof/>
          </w:rPr>
          <w:t xml:space="preserve">II. </w:t>
        </w:r>
        <w:r>
          <w:rPr>
            <w:rFonts w:asciiTheme="minorHAnsi" w:eastAsiaTheme="minorEastAsia" w:hAnsiTheme="minorHAnsi"/>
            <w:caps w:val="0"/>
            <w:noProof/>
            <w:sz w:val="22"/>
          </w:rPr>
          <w:tab/>
        </w:r>
        <w:r w:rsidRPr="00EA6B22">
          <w:rPr>
            <w:rStyle w:val="Hyperlink"/>
            <w:noProof/>
          </w:rPr>
          <w:t>THERE IS NO STATUTORY AUTHORITY FOR THE PROPOSED RULE AGAINST CLAIMED VEXATIOUS LITIGATION BY CONSUMERS WHO SUE THEIR PUBLIC UTILITIES.</w:t>
        </w:r>
        <w:r>
          <w:rPr>
            <w:noProof/>
            <w:webHidden/>
          </w:rPr>
          <w:tab/>
        </w:r>
        <w:r>
          <w:rPr>
            <w:noProof/>
            <w:webHidden/>
          </w:rPr>
          <w:fldChar w:fldCharType="begin"/>
        </w:r>
        <w:r>
          <w:rPr>
            <w:noProof/>
            <w:webHidden/>
          </w:rPr>
          <w:instrText xml:space="preserve"> PAGEREF _Toc32244803 \h </w:instrText>
        </w:r>
        <w:r>
          <w:rPr>
            <w:noProof/>
            <w:webHidden/>
          </w:rPr>
          <w:fldChar w:fldCharType="separate"/>
        </w:r>
        <w:r>
          <w:rPr>
            <w:noProof/>
            <w:webHidden/>
          </w:rPr>
          <w:t>3</w:t>
        </w:r>
        <w:r>
          <w:rPr>
            <w:noProof/>
            <w:webHidden/>
          </w:rPr>
          <w:fldChar w:fldCharType="end"/>
        </w:r>
      </w:hyperlink>
    </w:p>
    <w:p w:rsidR="00F56365" w14:paraId="3F2AF9FB" w14:textId="409E8DFD">
      <w:pPr>
        <w:pStyle w:val="TOC1"/>
        <w:rPr>
          <w:rFonts w:asciiTheme="minorHAnsi" w:eastAsiaTheme="minorEastAsia" w:hAnsiTheme="minorHAnsi"/>
          <w:caps w:val="0"/>
          <w:noProof/>
          <w:sz w:val="22"/>
        </w:rPr>
      </w:pPr>
      <w:hyperlink w:anchor="_Toc32244804" w:history="1">
        <w:r w:rsidRPr="00EA6B22">
          <w:rPr>
            <w:rStyle w:val="Hyperlink"/>
            <w:noProof/>
          </w:rPr>
          <w:t>III.</w:t>
        </w:r>
        <w:r>
          <w:rPr>
            <w:rFonts w:asciiTheme="minorHAnsi" w:eastAsiaTheme="minorEastAsia" w:hAnsiTheme="minorHAnsi"/>
            <w:caps w:val="0"/>
            <w:noProof/>
            <w:sz w:val="22"/>
          </w:rPr>
          <w:tab/>
        </w:r>
        <w:r w:rsidRPr="00EA6B22">
          <w:rPr>
            <w:rStyle w:val="Hyperlink"/>
            <w:noProof/>
          </w:rPr>
          <w:t>IN ADDITION TO THE PUCO LACKING THE AUTHORITY TO STATUTORILY ESTABLISH A VEXATIOUS LITIGATOR RULE, THE PROPOSED RULE COULD BE USED BY UTILITIES TO ENDANGER OHIOANS’ RIGHTS TO BRING COMPLAINTS ABOUT THEIR UTILITY SERVICES.</w:t>
        </w:r>
        <w:r>
          <w:rPr>
            <w:noProof/>
            <w:webHidden/>
          </w:rPr>
          <w:tab/>
        </w:r>
        <w:r>
          <w:rPr>
            <w:noProof/>
            <w:webHidden/>
          </w:rPr>
          <w:fldChar w:fldCharType="begin"/>
        </w:r>
        <w:r>
          <w:rPr>
            <w:noProof/>
            <w:webHidden/>
          </w:rPr>
          <w:instrText xml:space="preserve"> PAGEREF _Toc32244804 \h </w:instrText>
        </w:r>
        <w:r>
          <w:rPr>
            <w:noProof/>
            <w:webHidden/>
          </w:rPr>
          <w:fldChar w:fldCharType="separate"/>
        </w:r>
        <w:r>
          <w:rPr>
            <w:noProof/>
            <w:webHidden/>
          </w:rPr>
          <w:t>5</w:t>
        </w:r>
        <w:r>
          <w:rPr>
            <w:noProof/>
            <w:webHidden/>
          </w:rPr>
          <w:fldChar w:fldCharType="end"/>
        </w:r>
      </w:hyperlink>
    </w:p>
    <w:p w:rsidR="00F56365" w14:paraId="6EC4EB45" w14:textId="4070F864">
      <w:pPr>
        <w:pStyle w:val="TOC2"/>
        <w:tabs>
          <w:tab w:val="left" w:pos="1440"/>
        </w:tabs>
        <w:rPr>
          <w:rFonts w:asciiTheme="minorHAnsi" w:eastAsiaTheme="minorEastAsia" w:hAnsiTheme="minorHAnsi"/>
          <w:noProof/>
          <w:sz w:val="22"/>
        </w:rPr>
      </w:pPr>
      <w:hyperlink w:anchor="_Toc32244805" w:history="1">
        <w:r w:rsidRPr="00EA6B22">
          <w:rPr>
            <w:rStyle w:val="Hyperlink"/>
            <w:noProof/>
          </w:rPr>
          <w:t xml:space="preserve">A. </w:t>
        </w:r>
        <w:r>
          <w:rPr>
            <w:rFonts w:asciiTheme="minorHAnsi" w:eastAsiaTheme="minorEastAsia" w:hAnsiTheme="minorHAnsi"/>
            <w:noProof/>
            <w:sz w:val="22"/>
          </w:rPr>
          <w:tab/>
        </w:r>
        <w:r w:rsidRPr="00EA6B22">
          <w:rPr>
            <w:rStyle w:val="Hyperlink"/>
            <w:noProof/>
          </w:rPr>
          <w:t>The proposed draft rule regarding vexatious litigation is not needed.</w:t>
        </w:r>
        <w:r>
          <w:rPr>
            <w:noProof/>
            <w:webHidden/>
          </w:rPr>
          <w:tab/>
        </w:r>
        <w:r>
          <w:rPr>
            <w:noProof/>
            <w:webHidden/>
          </w:rPr>
          <w:fldChar w:fldCharType="begin"/>
        </w:r>
        <w:r>
          <w:rPr>
            <w:noProof/>
            <w:webHidden/>
          </w:rPr>
          <w:instrText xml:space="preserve"> PAGEREF _Toc32244805 \h </w:instrText>
        </w:r>
        <w:r>
          <w:rPr>
            <w:noProof/>
            <w:webHidden/>
          </w:rPr>
          <w:fldChar w:fldCharType="separate"/>
        </w:r>
        <w:r>
          <w:rPr>
            <w:noProof/>
            <w:webHidden/>
          </w:rPr>
          <w:t>5</w:t>
        </w:r>
        <w:r>
          <w:rPr>
            <w:noProof/>
            <w:webHidden/>
          </w:rPr>
          <w:fldChar w:fldCharType="end"/>
        </w:r>
      </w:hyperlink>
    </w:p>
    <w:p w:rsidR="00F56365" w14:paraId="1382B526" w14:textId="735D5218">
      <w:pPr>
        <w:pStyle w:val="TOC2"/>
        <w:tabs>
          <w:tab w:val="left" w:pos="1440"/>
        </w:tabs>
        <w:rPr>
          <w:rFonts w:asciiTheme="minorHAnsi" w:eastAsiaTheme="minorEastAsia" w:hAnsiTheme="minorHAnsi"/>
          <w:noProof/>
          <w:sz w:val="22"/>
        </w:rPr>
      </w:pPr>
      <w:hyperlink w:anchor="_Toc32244806" w:history="1">
        <w:r w:rsidRPr="00EA6B22">
          <w:rPr>
            <w:rStyle w:val="Hyperlink"/>
            <w:noProof/>
          </w:rPr>
          <w:t xml:space="preserve">B. </w:t>
        </w:r>
        <w:r>
          <w:rPr>
            <w:rFonts w:asciiTheme="minorHAnsi" w:eastAsiaTheme="minorEastAsia" w:hAnsiTheme="minorHAnsi"/>
            <w:noProof/>
            <w:sz w:val="22"/>
          </w:rPr>
          <w:tab/>
        </w:r>
        <w:r w:rsidRPr="00EA6B22">
          <w:rPr>
            <w:rStyle w:val="Hyperlink"/>
            <w:noProof/>
          </w:rPr>
          <w:t>Utility comments illustrate why the PUCO should adopt the OCC/NOAC recommendation (regarding claims of vexatious litigation) for providing more information to the public about filing complaints against utilities at the PUCO.</w:t>
        </w:r>
        <w:r>
          <w:rPr>
            <w:noProof/>
            <w:webHidden/>
          </w:rPr>
          <w:tab/>
        </w:r>
        <w:r>
          <w:rPr>
            <w:noProof/>
            <w:webHidden/>
          </w:rPr>
          <w:fldChar w:fldCharType="begin"/>
        </w:r>
        <w:r>
          <w:rPr>
            <w:noProof/>
            <w:webHidden/>
          </w:rPr>
          <w:instrText xml:space="preserve"> PAGEREF _Toc32244806 \h </w:instrText>
        </w:r>
        <w:r>
          <w:rPr>
            <w:noProof/>
            <w:webHidden/>
          </w:rPr>
          <w:fldChar w:fldCharType="separate"/>
        </w:r>
        <w:r>
          <w:rPr>
            <w:noProof/>
            <w:webHidden/>
          </w:rPr>
          <w:t>7</w:t>
        </w:r>
        <w:r>
          <w:rPr>
            <w:noProof/>
            <w:webHidden/>
          </w:rPr>
          <w:fldChar w:fldCharType="end"/>
        </w:r>
      </w:hyperlink>
    </w:p>
    <w:p w:rsidR="00F56365" w14:paraId="186C28AE" w14:textId="077D14C4">
      <w:pPr>
        <w:pStyle w:val="TOC1"/>
        <w:rPr>
          <w:rFonts w:asciiTheme="minorHAnsi" w:eastAsiaTheme="minorEastAsia" w:hAnsiTheme="minorHAnsi"/>
          <w:caps w:val="0"/>
          <w:noProof/>
          <w:sz w:val="22"/>
        </w:rPr>
      </w:pPr>
      <w:hyperlink w:anchor="_Toc32244807" w:history="1">
        <w:r w:rsidRPr="00EA6B22">
          <w:rPr>
            <w:rStyle w:val="Hyperlink"/>
            <w:noProof/>
          </w:rPr>
          <w:t>IV.</w:t>
        </w:r>
        <w:r>
          <w:rPr>
            <w:rFonts w:asciiTheme="minorHAnsi" w:eastAsiaTheme="minorEastAsia" w:hAnsiTheme="minorHAnsi"/>
            <w:caps w:val="0"/>
            <w:noProof/>
            <w:sz w:val="22"/>
          </w:rPr>
          <w:tab/>
        </w:r>
        <w:r w:rsidRPr="00EA6B22">
          <w:rPr>
            <w:rStyle w:val="Hyperlink"/>
            <w:noProof/>
          </w:rPr>
          <w:t>CONCLUSION</w:t>
        </w:r>
        <w:r>
          <w:rPr>
            <w:noProof/>
            <w:webHidden/>
          </w:rPr>
          <w:tab/>
        </w:r>
        <w:r>
          <w:rPr>
            <w:noProof/>
            <w:webHidden/>
          </w:rPr>
          <w:fldChar w:fldCharType="begin"/>
        </w:r>
        <w:r>
          <w:rPr>
            <w:noProof/>
            <w:webHidden/>
          </w:rPr>
          <w:instrText xml:space="preserve"> PAGEREF _Toc32244807 \h </w:instrText>
        </w:r>
        <w:r>
          <w:rPr>
            <w:noProof/>
            <w:webHidden/>
          </w:rPr>
          <w:fldChar w:fldCharType="separate"/>
        </w:r>
        <w:r>
          <w:rPr>
            <w:noProof/>
            <w:webHidden/>
          </w:rPr>
          <w:t>10</w:t>
        </w:r>
        <w:r>
          <w:rPr>
            <w:noProof/>
            <w:webHidden/>
          </w:rPr>
          <w:fldChar w:fldCharType="end"/>
        </w:r>
      </w:hyperlink>
    </w:p>
    <w:p w:rsidR="003F4EB1" w:rsidRPr="003F4EB1" w:rsidP="003F4EB1" w14:paraId="6FA5D3A3" w14:textId="77FDA428">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3F4EB1" w:rsidP="0092067D" w14:paraId="3E4A28F1" w14:textId="77777777">
      <w:pPr>
        <w:pStyle w:val="HTMLPreformatted"/>
        <w:jc w:val="center"/>
        <w:rPr>
          <w:rFonts w:ascii="Times New Roman" w:hAnsi="Times New Roman" w:cs="Times New Roman"/>
          <w:b/>
          <w:bCs/>
          <w:sz w:val="24"/>
          <w:szCs w:val="24"/>
        </w:rPr>
      </w:pPr>
    </w:p>
    <w:p w:rsidR="003F4EB1" w:rsidP="0092067D" w14:paraId="35BE37E0" w14:textId="52F28E4E">
      <w:pPr>
        <w:pStyle w:val="HTMLPreformatted"/>
        <w:jc w:val="center"/>
        <w:rPr>
          <w:rFonts w:ascii="Times New Roman" w:hAnsi="Times New Roman" w:cs="Times New Roman"/>
          <w:b/>
          <w:bCs/>
          <w:sz w:val="24"/>
          <w:szCs w:val="24"/>
        </w:rPr>
        <w:sectPr w:rsidSect="003F4EB1">
          <w:headerReference w:type="first" r:id="rId10"/>
          <w:footerReference w:type="first" r:id="rId11"/>
          <w:pgSz w:w="12240" w:h="15840"/>
          <w:pgMar w:top="1440" w:right="1800" w:bottom="1440" w:left="1800" w:header="720" w:footer="720" w:gutter="0"/>
          <w:pgNumType w:fmt="lowerRoman" w:start="1"/>
          <w:cols w:space="720"/>
          <w:titlePg/>
          <w:docGrid w:linePitch="360"/>
        </w:sectPr>
      </w:pPr>
    </w:p>
    <w:p w:rsidR="0092067D" w:rsidRPr="000E6096" w:rsidP="0092067D" w14:paraId="2597459A" w14:textId="1BD42C8F">
      <w:pPr>
        <w:pStyle w:val="HTMLPreformatted"/>
        <w:jc w:val="center"/>
        <w:rPr>
          <w:rFonts w:ascii="Times New Roman" w:hAnsi="Times New Roman" w:cs="Times New Roman"/>
          <w:b/>
          <w:bCs/>
          <w:sz w:val="24"/>
          <w:szCs w:val="24"/>
        </w:rPr>
      </w:pPr>
      <w:r w:rsidRPr="000E6096">
        <w:rPr>
          <w:rFonts w:ascii="Times New Roman" w:hAnsi="Times New Roman" w:cs="Times New Roman"/>
          <w:b/>
          <w:bCs/>
          <w:sz w:val="24"/>
          <w:szCs w:val="24"/>
        </w:rPr>
        <w:t>BEFORE</w:t>
      </w:r>
    </w:p>
    <w:p w:rsidR="0092067D" w:rsidP="0092067D" w14:paraId="3755E28A" w14:textId="19E8E00C">
      <w:pPr>
        <w:pStyle w:val="HTMLPreformatted"/>
        <w:jc w:val="center"/>
        <w:rPr>
          <w:rFonts w:ascii="Times New Roman" w:hAnsi="Times New Roman" w:cs="Times New Roman"/>
          <w:b/>
          <w:bCs/>
          <w:sz w:val="24"/>
          <w:szCs w:val="24"/>
        </w:rPr>
      </w:pPr>
      <w:r w:rsidRPr="000E6096">
        <w:rPr>
          <w:rFonts w:ascii="Times New Roman" w:hAnsi="Times New Roman" w:cs="Times New Roman"/>
          <w:b/>
          <w:bCs/>
          <w:sz w:val="24"/>
          <w:szCs w:val="24"/>
        </w:rPr>
        <w:t>THE PUBLIC UTILITIES COMMISSION OF OHIO</w:t>
      </w:r>
    </w:p>
    <w:p w:rsidR="001668E5" w:rsidRPr="000E6096" w:rsidP="001668E5" w14:paraId="7D12746F"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2A47B640" w14:textId="77777777" w:rsidTr="00CC253D">
        <w:tblPrEx>
          <w:tblW w:w="9092" w:type="dxa"/>
          <w:tblLook w:val="01E0"/>
        </w:tblPrEx>
        <w:trPr>
          <w:trHeight w:val="807"/>
        </w:trPr>
        <w:tc>
          <w:tcPr>
            <w:tcW w:w="4332" w:type="dxa"/>
            <w:shd w:val="clear" w:color="auto" w:fill="auto"/>
          </w:tcPr>
          <w:p w:rsidR="001668E5" w:rsidRPr="000E6096" w:rsidP="00CC253D" w14:paraId="4809C8B3" w14:textId="6607FB8D">
            <w:pPr>
              <w:pStyle w:val="HTMLPreformatted"/>
              <w:rPr>
                <w:rFonts w:ascii="Times New Roman" w:hAnsi="Times New Roman" w:cs="Times New Roman"/>
                <w:sz w:val="24"/>
                <w:szCs w:val="24"/>
              </w:rPr>
            </w:pPr>
            <w:r w:rsidRPr="000E6096">
              <w:rPr>
                <w:rFonts w:ascii="Times New Roman" w:hAnsi="Times New Roman" w:cs="Times New Roman"/>
                <w:sz w:val="24"/>
                <w:szCs w:val="24"/>
              </w:rPr>
              <w:t xml:space="preserve">In the Matter of the </w:t>
            </w:r>
            <w:r>
              <w:rPr>
                <w:rFonts w:ascii="Times New Roman" w:hAnsi="Times New Roman" w:cs="Times New Roman"/>
                <w:sz w:val="24"/>
                <w:szCs w:val="24"/>
              </w:rPr>
              <w:t xml:space="preserve">Review of </w:t>
            </w:r>
            <w:r w:rsidRPr="000E6096">
              <w:rPr>
                <w:rFonts w:ascii="Times New Roman" w:hAnsi="Times New Roman" w:cs="Times New Roman"/>
                <w:sz w:val="24"/>
                <w:szCs w:val="24"/>
              </w:rPr>
              <w:t>Ohio Adm.</w:t>
            </w:r>
            <w:r w:rsidR="005671F0">
              <w:rPr>
                <w:rFonts w:ascii="Times New Roman" w:hAnsi="Times New Roman" w:cs="Times New Roman"/>
                <w:sz w:val="24"/>
                <w:szCs w:val="24"/>
              </w:rPr>
              <w:t xml:space="preserve"> </w:t>
            </w:r>
            <w:r w:rsidRPr="000E6096">
              <w:rPr>
                <w:rFonts w:ascii="Times New Roman" w:hAnsi="Times New Roman" w:cs="Times New Roman"/>
                <w:sz w:val="24"/>
                <w:szCs w:val="24"/>
              </w:rPr>
              <w:t xml:space="preserve">Code 4901-9 </w:t>
            </w:r>
            <w:r>
              <w:rPr>
                <w:rFonts w:ascii="Times New Roman" w:hAnsi="Times New Roman" w:cs="Times New Roman"/>
                <w:sz w:val="24"/>
                <w:szCs w:val="24"/>
              </w:rPr>
              <w:t xml:space="preserve">Rules </w:t>
            </w:r>
            <w:r w:rsidRPr="000E6096">
              <w:rPr>
                <w:rFonts w:ascii="Times New Roman" w:hAnsi="Times New Roman" w:cs="Times New Roman"/>
                <w:sz w:val="24"/>
                <w:szCs w:val="24"/>
              </w:rPr>
              <w:t xml:space="preserve">Regarding Commission Complaint Proceedings. </w:t>
            </w:r>
          </w:p>
        </w:tc>
        <w:tc>
          <w:tcPr>
            <w:tcW w:w="360" w:type="dxa"/>
            <w:shd w:val="clear" w:color="auto" w:fill="auto"/>
          </w:tcPr>
          <w:p w:rsidR="001668E5" w:rsidRPr="000E6096" w:rsidP="00CC253D" w14:paraId="3A6556F7"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1668E5" w:rsidRPr="000E6096" w:rsidP="00CC253D" w14:paraId="5CC616B3"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1668E5" w:rsidRPr="000E6096" w:rsidP="00CC253D" w14:paraId="3661AA1E"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tc>
        <w:tc>
          <w:tcPr>
            <w:tcW w:w="4400" w:type="dxa"/>
            <w:shd w:val="clear" w:color="auto" w:fill="auto"/>
          </w:tcPr>
          <w:p w:rsidR="001668E5" w:rsidRPr="000E6096" w:rsidP="00CC253D" w14:paraId="5BC8199D" w14:textId="77777777">
            <w:pPr>
              <w:pStyle w:val="HTMLPreformatted"/>
              <w:rPr>
                <w:rFonts w:ascii="Times New Roman" w:hAnsi="Times New Roman" w:cs="Times New Roman"/>
                <w:sz w:val="24"/>
                <w:szCs w:val="24"/>
              </w:rPr>
            </w:pPr>
          </w:p>
          <w:p w:rsidR="001668E5" w:rsidRPr="000E6096" w:rsidP="00CC253D" w14:paraId="268B7846"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Case No. 18-278-AU-ORD</w:t>
            </w:r>
          </w:p>
          <w:p w:rsidR="001668E5" w:rsidRPr="000E6096" w:rsidP="00CC253D" w14:paraId="4F91DFE8" w14:textId="77777777">
            <w:pPr>
              <w:pStyle w:val="HTMLPreformatted"/>
              <w:rPr>
                <w:rFonts w:ascii="Times New Roman" w:hAnsi="Times New Roman" w:cs="Times New Roman"/>
                <w:sz w:val="24"/>
                <w:szCs w:val="24"/>
              </w:rPr>
            </w:pPr>
          </w:p>
        </w:tc>
      </w:tr>
    </w:tbl>
    <w:p w:rsidR="0092067D" w:rsidRPr="000E6096" w:rsidP="0092067D" w14:paraId="772FD581" w14:textId="77777777">
      <w:pPr>
        <w:pStyle w:val="HTMLPreformatted"/>
        <w:rPr>
          <w:rFonts w:ascii="Times New Roman" w:hAnsi="Times New Roman" w:cs="Times New Roman"/>
          <w:sz w:val="24"/>
          <w:szCs w:val="24"/>
        </w:rPr>
      </w:pPr>
    </w:p>
    <w:p w:rsidR="0092067D" w:rsidRPr="000E6096" w:rsidP="0092067D" w14:paraId="011EA85C" w14:textId="77777777">
      <w:pPr>
        <w:pStyle w:val="HTMLPreformatted"/>
        <w:pBdr>
          <w:top w:val="single" w:sz="12" w:space="1" w:color="auto"/>
        </w:pBdr>
        <w:rPr>
          <w:rFonts w:ascii="Times New Roman" w:hAnsi="Times New Roman" w:cs="Times New Roman"/>
          <w:sz w:val="24"/>
          <w:szCs w:val="24"/>
        </w:rPr>
      </w:pPr>
    </w:p>
    <w:p w:rsidR="0092067D" w:rsidRPr="000E6096" w:rsidP="0092067D" w14:paraId="102D7384" w14:textId="2CE28DEA">
      <w:pPr>
        <w:jc w:val="center"/>
        <w:rPr>
          <w:rFonts w:cs="Times New Roman"/>
          <w:b/>
          <w:bCs/>
          <w:szCs w:val="24"/>
        </w:rPr>
      </w:pPr>
      <w:r>
        <w:rPr>
          <w:rFonts w:cs="Times New Roman"/>
          <w:b/>
          <w:bCs/>
          <w:szCs w:val="24"/>
        </w:rPr>
        <w:t xml:space="preserve">REPLY </w:t>
      </w:r>
      <w:r w:rsidRPr="000E6096" w:rsidR="00B576D9">
        <w:rPr>
          <w:rFonts w:cs="Times New Roman"/>
          <w:b/>
          <w:bCs/>
          <w:szCs w:val="24"/>
        </w:rPr>
        <w:t>COMMENTS</w:t>
      </w:r>
      <w:r w:rsidRPr="000E6096" w:rsidR="00EE4E08">
        <w:rPr>
          <w:rFonts w:cs="Times New Roman"/>
          <w:b/>
          <w:bCs/>
          <w:szCs w:val="24"/>
        </w:rPr>
        <w:t xml:space="preserve"> </w:t>
      </w:r>
      <w:r w:rsidRPr="000E6096" w:rsidR="009F1250">
        <w:rPr>
          <w:rFonts w:cs="Times New Roman"/>
          <w:b/>
          <w:bCs/>
          <w:szCs w:val="24"/>
        </w:rPr>
        <w:t>ON THE PUBLIC’S</w:t>
      </w:r>
      <w:r w:rsidRPr="000E6096" w:rsidR="00EE4E08">
        <w:rPr>
          <w:rFonts w:cs="Times New Roman"/>
          <w:b/>
          <w:bCs/>
          <w:szCs w:val="24"/>
        </w:rPr>
        <w:t xml:space="preserve"> RIGHT TO FILE A COMPLAINT</w:t>
      </w:r>
      <w:r w:rsidRPr="000E6096" w:rsidR="007159E9">
        <w:rPr>
          <w:rFonts w:cs="Times New Roman"/>
          <w:b/>
          <w:bCs/>
          <w:szCs w:val="24"/>
        </w:rPr>
        <w:t xml:space="preserve"> AGAINST A PUBLIC UTILITY</w:t>
      </w:r>
    </w:p>
    <w:p w:rsidR="0092067D" w:rsidRPr="000E6096" w:rsidP="0092067D" w14:paraId="3AB55B3B" w14:textId="77777777">
      <w:pPr>
        <w:jc w:val="center"/>
        <w:rPr>
          <w:rFonts w:cs="Times New Roman"/>
          <w:b/>
          <w:bCs/>
          <w:szCs w:val="24"/>
        </w:rPr>
      </w:pPr>
      <w:r w:rsidRPr="000E6096">
        <w:rPr>
          <w:rFonts w:cs="Times New Roman"/>
          <w:b/>
          <w:bCs/>
          <w:szCs w:val="24"/>
        </w:rPr>
        <w:t>BY</w:t>
      </w:r>
    </w:p>
    <w:p w:rsidR="0092067D" w:rsidRPr="000E6096" w:rsidP="0092067D" w14:paraId="5A79C853" w14:textId="43B9F067">
      <w:pPr>
        <w:jc w:val="center"/>
        <w:rPr>
          <w:rFonts w:cs="Times New Roman"/>
          <w:b/>
          <w:bCs/>
          <w:szCs w:val="24"/>
        </w:rPr>
      </w:pPr>
      <w:r>
        <w:rPr>
          <w:rFonts w:cs="Times New Roman"/>
          <w:b/>
          <w:bCs/>
          <w:szCs w:val="24"/>
        </w:rPr>
        <w:t xml:space="preserve">THE </w:t>
      </w:r>
      <w:r w:rsidRPr="000E6096">
        <w:rPr>
          <w:rFonts w:cs="Times New Roman"/>
          <w:b/>
          <w:bCs/>
          <w:szCs w:val="24"/>
        </w:rPr>
        <w:t>OFFICE OF THE OHIO CONSUMERS’ COUNSEL</w:t>
      </w:r>
    </w:p>
    <w:p w:rsidR="00C32F0D" w:rsidRPr="000E6096" w:rsidP="0092067D" w14:paraId="4E7C783F" w14:textId="77777777">
      <w:pPr>
        <w:jc w:val="center"/>
        <w:rPr>
          <w:rFonts w:cs="Times New Roman"/>
          <w:b/>
          <w:bCs/>
          <w:szCs w:val="24"/>
        </w:rPr>
      </w:pPr>
      <w:r w:rsidRPr="000E6096">
        <w:rPr>
          <w:rFonts w:cs="Times New Roman"/>
          <w:b/>
          <w:bCs/>
          <w:szCs w:val="24"/>
        </w:rPr>
        <w:t xml:space="preserve">AND </w:t>
      </w:r>
    </w:p>
    <w:p w:rsidR="00160C6A" w:rsidRPr="000E6096" w:rsidP="0092067D" w14:paraId="1119C557" w14:textId="5C0C6639">
      <w:pPr>
        <w:jc w:val="center"/>
        <w:rPr>
          <w:rFonts w:cs="Times New Roman"/>
          <w:b/>
          <w:bCs/>
          <w:szCs w:val="24"/>
        </w:rPr>
      </w:pPr>
      <w:r>
        <w:rPr>
          <w:rFonts w:cs="Times New Roman"/>
          <w:b/>
          <w:bCs/>
          <w:szCs w:val="24"/>
        </w:rPr>
        <w:t xml:space="preserve">THE </w:t>
      </w:r>
      <w:r w:rsidRPr="000E6096">
        <w:rPr>
          <w:rFonts w:cs="Times New Roman"/>
          <w:b/>
          <w:bCs/>
          <w:szCs w:val="24"/>
        </w:rPr>
        <w:t>NORTHWEST OHIO AGGRE</w:t>
      </w:r>
      <w:r w:rsidRPr="000E6096" w:rsidR="0096517A">
        <w:rPr>
          <w:rFonts w:cs="Times New Roman"/>
          <w:b/>
          <w:bCs/>
          <w:szCs w:val="24"/>
        </w:rPr>
        <w:t>G</w:t>
      </w:r>
      <w:r w:rsidRPr="000E6096">
        <w:rPr>
          <w:rFonts w:cs="Times New Roman"/>
          <w:b/>
          <w:bCs/>
          <w:szCs w:val="24"/>
        </w:rPr>
        <w:t>AT</w:t>
      </w:r>
      <w:r w:rsidRPr="000E6096" w:rsidR="0096517A">
        <w:rPr>
          <w:rFonts w:cs="Times New Roman"/>
          <w:b/>
          <w:bCs/>
          <w:szCs w:val="24"/>
        </w:rPr>
        <w:t>ION</w:t>
      </w:r>
      <w:r w:rsidRPr="000E6096">
        <w:rPr>
          <w:rFonts w:cs="Times New Roman"/>
          <w:b/>
          <w:bCs/>
          <w:szCs w:val="24"/>
        </w:rPr>
        <w:t xml:space="preserve"> COALITION</w:t>
      </w:r>
    </w:p>
    <w:p w:rsidR="0092067D" w:rsidRPr="000E6096" w:rsidP="0092067D" w14:paraId="0D07113D" w14:textId="77777777">
      <w:pPr>
        <w:pBdr>
          <w:bottom w:val="single" w:sz="12" w:space="1" w:color="auto"/>
        </w:pBdr>
        <w:tabs>
          <w:tab w:val="left" w:pos="4320"/>
        </w:tabs>
        <w:rPr>
          <w:rFonts w:cs="Times New Roman"/>
          <w:szCs w:val="24"/>
        </w:rPr>
      </w:pPr>
    </w:p>
    <w:p w:rsidR="00313B95" w:rsidRPr="00313B95" w:rsidP="00313B95" w14:paraId="4709A5E7" w14:textId="77777777">
      <w:pPr>
        <w:tabs>
          <w:tab w:val="left" w:pos="4320"/>
        </w:tabs>
        <w:ind w:left="360"/>
        <w:rPr>
          <w:rFonts w:cs="Times New Roman"/>
          <w:b/>
          <w:bCs/>
          <w:szCs w:val="24"/>
        </w:rPr>
      </w:pPr>
    </w:p>
    <w:p w:rsidR="00F16406" w:rsidRPr="00313B95" w:rsidP="00313B95" w14:paraId="42F10FF7" w14:textId="058BDBB7">
      <w:pPr>
        <w:pStyle w:val="Heading1"/>
      </w:pPr>
      <w:bookmarkStart w:id="1" w:name="_Toc31888712"/>
      <w:bookmarkStart w:id="2" w:name="_Toc32244802"/>
      <w:r>
        <w:t>I.</w:t>
      </w:r>
      <w:r>
        <w:tab/>
      </w:r>
      <w:r w:rsidRPr="00313B95">
        <w:t>INTRODUCTION</w:t>
      </w:r>
      <w:bookmarkEnd w:id="1"/>
      <w:bookmarkEnd w:id="2"/>
    </w:p>
    <w:p w:rsidR="008D7714" w:rsidP="00F16406" w14:paraId="53B0F0EC" w14:textId="497B37B2">
      <w:pPr>
        <w:pStyle w:val="BodyTextIndent3"/>
        <w:widowControl w:val="0"/>
        <w:spacing w:line="480" w:lineRule="auto"/>
        <w:ind w:right="-312"/>
        <w:rPr>
          <w:szCs w:val="24"/>
        </w:rPr>
      </w:pPr>
      <w:r>
        <w:rPr>
          <w:szCs w:val="24"/>
        </w:rPr>
        <w:t>During</w:t>
      </w:r>
      <w:r w:rsidR="00797665">
        <w:rPr>
          <w:szCs w:val="24"/>
        </w:rPr>
        <w:t xml:space="preserve"> the recent</w:t>
      </w:r>
      <w:r>
        <w:rPr>
          <w:szCs w:val="24"/>
        </w:rPr>
        <w:t xml:space="preserve"> </w:t>
      </w:r>
      <w:r w:rsidR="00A6130F">
        <w:rPr>
          <w:szCs w:val="24"/>
        </w:rPr>
        <w:t xml:space="preserve">ten </w:t>
      </w:r>
      <w:r>
        <w:rPr>
          <w:szCs w:val="24"/>
        </w:rPr>
        <w:t>years</w:t>
      </w:r>
      <w:r w:rsidR="00F777C2">
        <w:rPr>
          <w:szCs w:val="24"/>
        </w:rPr>
        <w:t xml:space="preserve"> of complaints against utilities by Ohioans</w:t>
      </w:r>
      <w:r w:rsidR="00797665">
        <w:rPr>
          <w:szCs w:val="24"/>
        </w:rPr>
        <w:t xml:space="preserve"> </w:t>
      </w:r>
      <w:r>
        <w:rPr>
          <w:szCs w:val="24"/>
        </w:rPr>
        <w:t>through December 31, 2019, the</w:t>
      </w:r>
      <w:r w:rsidR="00490523">
        <w:rPr>
          <w:szCs w:val="24"/>
        </w:rPr>
        <w:t xml:space="preserve"> </w:t>
      </w:r>
      <w:r w:rsidR="00797665">
        <w:rPr>
          <w:szCs w:val="24"/>
        </w:rPr>
        <w:t>Docketing Information System of the</w:t>
      </w:r>
      <w:r w:rsidR="00797665">
        <w:t xml:space="preserve"> </w:t>
      </w:r>
      <w:r w:rsidR="008A59B5">
        <w:t>P</w:t>
      </w:r>
      <w:r w:rsidRPr="000E6096" w:rsidR="008A59B5">
        <w:t>ublic Utilities Commission of Ohio (“PUCO”)</w:t>
      </w:r>
      <w:r w:rsidR="00490523">
        <w:rPr>
          <w:szCs w:val="24"/>
        </w:rPr>
        <w:t xml:space="preserve"> show</w:t>
      </w:r>
      <w:r w:rsidR="004F2EEE">
        <w:rPr>
          <w:szCs w:val="24"/>
        </w:rPr>
        <w:t>s</w:t>
      </w:r>
      <w:r w:rsidR="00490523">
        <w:rPr>
          <w:szCs w:val="24"/>
        </w:rPr>
        <w:t xml:space="preserve"> there</w:t>
      </w:r>
      <w:r>
        <w:rPr>
          <w:szCs w:val="24"/>
        </w:rPr>
        <w:t xml:space="preserve"> were a </w:t>
      </w:r>
      <w:r w:rsidR="003B769F">
        <w:rPr>
          <w:szCs w:val="24"/>
        </w:rPr>
        <w:t xml:space="preserve">just </w:t>
      </w:r>
      <w:r w:rsidRPr="001A05B6">
        <w:rPr>
          <w:i/>
          <w:iCs/>
          <w:szCs w:val="24"/>
        </w:rPr>
        <w:t>12</w:t>
      </w:r>
      <w:r>
        <w:rPr>
          <w:szCs w:val="24"/>
        </w:rPr>
        <w:t xml:space="preserve"> complainants who filed two complaints </w:t>
      </w:r>
      <w:r w:rsidR="00680A15">
        <w:rPr>
          <w:szCs w:val="24"/>
        </w:rPr>
        <w:t>involving utilities</w:t>
      </w:r>
      <w:r w:rsidR="00797665">
        <w:rPr>
          <w:szCs w:val="24"/>
        </w:rPr>
        <w:t xml:space="preserve"> (among the total complaints filed against utilities)</w:t>
      </w:r>
      <w:r>
        <w:rPr>
          <w:szCs w:val="24"/>
        </w:rPr>
        <w:t>.</w:t>
      </w:r>
      <w:r>
        <w:rPr>
          <w:rStyle w:val="FootnoteReference"/>
          <w:szCs w:val="24"/>
        </w:rPr>
        <w:footnoteReference w:id="3"/>
      </w:r>
      <w:r>
        <w:rPr>
          <w:szCs w:val="24"/>
        </w:rPr>
        <w:t xml:space="preserve"> </w:t>
      </w:r>
      <w:r w:rsidR="009834B8">
        <w:rPr>
          <w:szCs w:val="24"/>
        </w:rPr>
        <w:t xml:space="preserve">And there </w:t>
      </w:r>
      <w:r w:rsidR="000B002C">
        <w:rPr>
          <w:szCs w:val="24"/>
        </w:rPr>
        <w:t xml:space="preserve">appears to be </w:t>
      </w:r>
      <w:r w:rsidR="009834B8">
        <w:rPr>
          <w:szCs w:val="24"/>
        </w:rPr>
        <w:t xml:space="preserve">only </w:t>
      </w:r>
      <w:r w:rsidRPr="00C8453A" w:rsidR="009834B8">
        <w:rPr>
          <w:i/>
          <w:iCs/>
          <w:szCs w:val="24"/>
        </w:rPr>
        <w:t>one</w:t>
      </w:r>
      <w:r w:rsidR="009834B8">
        <w:rPr>
          <w:szCs w:val="24"/>
        </w:rPr>
        <w:t xml:space="preserve"> instance where a complainant filed more than three complaints during th</w:t>
      </w:r>
      <w:r w:rsidR="00C8453A">
        <w:rPr>
          <w:szCs w:val="24"/>
        </w:rPr>
        <w:t>at</w:t>
      </w:r>
      <w:r w:rsidR="009834B8">
        <w:rPr>
          <w:szCs w:val="24"/>
        </w:rPr>
        <w:t xml:space="preserve"> ten-year period.</w:t>
      </w:r>
      <w:r w:rsidR="00680A15">
        <w:rPr>
          <w:szCs w:val="24"/>
        </w:rPr>
        <w:t xml:space="preserve"> </w:t>
      </w:r>
      <w:r>
        <w:t>Even the Ohio Telecom Association recognized that, “the frequency of frivolous or vexatious litigation at the Commission does not appear to be high.”</w:t>
      </w:r>
      <w:r>
        <w:rPr>
          <w:rStyle w:val="FootnoteReference"/>
        </w:rPr>
        <w:footnoteReference w:id="4"/>
      </w:r>
    </w:p>
    <w:p w:rsidR="001A05B6" w:rsidRPr="00101944" w:rsidP="00F16406" w14:paraId="79B1F187" w14:textId="09E9B5D5">
      <w:pPr>
        <w:pStyle w:val="BodyTextIndent3"/>
        <w:widowControl w:val="0"/>
        <w:spacing w:line="480" w:lineRule="auto"/>
        <w:ind w:right="-312"/>
        <w:rPr>
          <w:rFonts w:cs="Arial"/>
          <w:color w:val="222222"/>
          <w:shd w:val="clear" w:color="auto" w:fill="FFFFFF"/>
        </w:rPr>
      </w:pPr>
      <w:r>
        <w:rPr>
          <w:szCs w:val="24"/>
        </w:rPr>
        <w:t xml:space="preserve">Under </w:t>
      </w:r>
      <w:r w:rsidR="00CA4FBB">
        <w:rPr>
          <w:szCs w:val="24"/>
        </w:rPr>
        <w:t xml:space="preserve">a civil-court </w:t>
      </w:r>
      <w:r>
        <w:rPr>
          <w:szCs w:val="24"/>
        </w:rPr>
        <w:t xml:space="preserve">statute, a vexatious litigator is </w:t>
      </w:r>
      <w:r w:rsidR="00025149">
        <w:rPr>
          <w:szCs w:val="24"/>
        </w:rPr>
        <w:t xml:space="preserve">defined as </w:t>
      </w:r>
      <w:r>
        <w:rPr>
          <w:szCs w:val="24"/>
        </w:rPr>
        <w:t xml:space="preserve">a person who </w:t>
      </w:r>
      <w:r w:rsidR="00025149">
        <w:rPr>
          <w:szCs w:val="24"/>
        </w:rPr>
        <w:t>“</w:t>
      </w:r>
      <w:r>
        <w:rPr>
          <w:szCs w:val="24"/>
        </w:rPr>
        <w:t>habitually, persistently, and without reasonable grounds, engage</w:t>
      </w:r>
      <w:r w:rsidR="00025149">
        <w:rPr>
          <w:szCs w:val="24"/>
        </w:rPr>
        <w:t>[</w:t>
      </w:r>
      <w:r>
        <w:rPr>
          <w:szCs w:val="24"/>
        </w:rPr>
        <w:t>s</w:t>
      </w:r>
      <w:r w:rsidR="00025149">
        <w:rPr>
          <w:szCs w:val="24"/>
        </w:rPr>
        <w:t>]</w:t>
      </w:r>
      <w:r>
        <w:rPr>
          <w:szCs w:val="24"/>
        </w:rPr>
        <w:t xml:space="preserve"> in vexatious conduct</w:t>
      </w:r>
      <w:r w:rsidR="00025149">
        <w:rPr>
          <w:szCs w:val="24"/>
        </w:rPr>
        <w:t>”</w:t>
      </w:r>
      <w:r>
        <w:rPr>
          <w:szCs w:val="24"/>
        </w:rPr>
        <w:t xml:space="preserve"> in a civil action</w:t>
      </w:r>
      <w:r w:rsidR="00025149">
        <w:rPr>
          <w:szCs w:val="24"/>
        </w:rPr>
        <w:t xml:space="preserve"> </w:t>
      </w:r>
      <w:r>
        <w:rPr>
          <w:szCs w:val="24"/>
        </w:rPr>
        <w:t>in an Ohio court.</w:t>
      </w:r>
      <w:r>
        <w:rPr>
          <w:rStyle w:val="FootnoteReference"/>
          <w:szCs w:val="24"/>
        </w:rPr>
        <w:footnoteReference w:id="5"/>
      </w:r>
      <w:r w:rsidR="00F558D1">
        <w:rPr>
          <w:szCs w:val="24"/>
        </w:rPr>
        <w:t xml:space="preserve"> </w:t>
      </w:r>
      <w:r w:rsidR="00047C2F">
        <w:rPr>
          <w:szCs w:val="24"/>
        </w:rPr>
        <w:t>The number of c</w:t>
      </w:r>
      <w:r w:rsidRPr="00DA378E" w:rsidR="00DA378E">
        <w:rPr>
          <w:color w:val="222222"/>
          <w:shd w:val="clear" w:color="auto" w:fill="FFFFFF"/>
        </w:rPr>
        <w:t>onsumers filing complaints at the PUCO falling under this definition</w:t>
      </w:r>
      <w:r w:rsidR="00DA378E">
        <w:rPr>
          <w:rFonts w:ascii="Arial" w:hAnsi="Arial" w:cs="Arial"/>
          <w:color w:val="222222"/>
          <w:shd w:val="clear" w:color="auto" w:fill="FFFFFF"/>
        </w:rPr>
        <w:t xml:space="preserve"> </w:t>
      </w:r>
      <w:r w:rsidR="00BF1349">
        <w:rPr>
          <w:rFonts w:cs="Arial"/>
          <w:color w:val="222222"/>
          <w:shd w:val="clear" w:color="auto" w:fill="FFFFFF"/>
        </w:rPr>
        <w:t>is</w:t>
      </w:r>
      <w:r w:rsidRPr="00101944" w:rsidR="00BF1349">
        <w:rPr>
          <w:rFonts w:cs="Arial"/>
          <w:color w:val="222222"/>
          <w:shd w:val="clear" w:color="auto" w:fill="FFFFFF"/>
        </w:rPr>
        <w:t xml:space="preserve"> </w:t>
      </w:r>
      <w:r w:rsidRPr="00101944">
        <w:rPr>
          <w:rFonts w:cs="Arial"/>
          <w:color w:val="222222"/>
          <w:shd w:val="clear" w:color="auto" w:fill="FFFFFF"/>
        </w:rPr>
        <w:t>few and far between</w:t>
      </w:r>
      <w:r w:rsidR="00BF1349">
        <w:rPr>
          <w:rFonts w:cs="Arial"/>
          <w:color w:val="222222"/>
          <w:shd w:val="clear" w:color="auto" w:fill="FFFFFF"/>
        </w:rPr>
        <w:t>, at most</w:t>
      </w:r>
      <w:r w:rsidRPr="00101944">
        <w:rPr>
          <w:rFonts w:cs="Arial"/>
          <w:color w:val="222222"/>
          <w:shd w:val="clear" w:color="auto" w:fill="FFFFFF"/>
        </w:rPr>
        <w:t>.</w:t>
      </w:r>
      <w:r w:rsidR="00680A15">
        <w:rPr>
          <w:rFonts w:cs="Arial"/>
          <w:color w:val="222222"/>
          <w:shd w:val="clear" w:color="auto" w:fill="FFFFFF"/>
        </w:rPr>
        <w:t xml:space="preserve"> </w:t>
      </w:r>
    </w:p>
    <w:p w:rsidR="00584E91" w:rsidP="00F16406" w14:paraId="0C49E663" w14:textId="79D17EDE">
      <w:pPr>
        <w:pStyle w:val="BodyTextIndent3"/>
        <w:widowControl w:val="0"/>
        <w:spacing w:line="480" w:lineRule="auto"/>
        <w:ind w:right="-312"/>
        <w:rPr>
          <w:szCs w:val="24"/>
        </w:rPr>
      </w:pPr>
      <w:r>
        <w:rPr>
          <w:szCs w:val="24"/>
        </w:rPr>
        <w:t xml:space="preserve">Certainly, truly vexatious conduct is to be avoided. But the General Assembly did not give </w:t>
      </w:r>
      <w:r w:rsidR="00F16406">
        <w:rPr>
          <w:szCs w:val="24"/>
        </w:rPr>
        <w:t>the PUCO</w:t>
      </w:r>
      <w:r>
        <w:rPr>
          <w:szCs w:val="24"/>
        </w:rPr>
        <w:t xml:space="preserve"> the authority</w:t>
      </w:r>
      <w:r w:rsidR="00F16406">
        <w:rPr>
          <w:szCs w:val="24"/>
        </w:rPr>
        <w:t xml:space="preserve"> to declare a litigator </w:t>
      </w:r>
      <w:r>
        <w:rPr>
          <w:szCs w:val="24"/>
        </w:rPr>
        <w:t xml:space="preserve">as vexatious, </w:t>
      </w:r>
      <w:r w:rsidR="00F16406">
        <w:rPr>
          <w:szCs w:val="24"/>
        </w:rPr>
        <w:t>either at the outset of a proceeding or during a proceeding.</w:t>
      </w:r>
      <w:r>
        <w:rPr>
          <w:rStyle w:val="FootnoteReference"/>
          <w:szCs w:val="24"/>
        </w:rPr>
        <w:footnoteReference w:id="6"/>
      </w:r>
      <w:r w:rsidR="00F80390">
        <w:rPr>
          <w:szCs w:val="24"/>
        </w:rPr>
        <w:t xml:space="preserve"> </w:t>
      </w:r>
      <w:r w:rsidR="00127741">
        <w:rPr>
          <w:szCs w:val="24"/>
        </w:rPr>
        <w:t>In not granting such authority to the PUCO, the General Assembly protected the right of Ohioans to file complaints against their public utilities, without subjecting consumers to the potential for utilities to exploit even a well-intentioned rule barring vexatious complaints. As things now stand, it is already a formidable task for a consumer to sue their monopoly</w:t>
      </w:r>
      <w:r w:rsidRPr="00127741" w:rsidR="00127741">
        <w:rPr>
          <w:szCs w:val="24"/>
        </w:rPr>
        <w:t xml:space="preserve"> </w:t>
      </w:r>
      <w:r w:rsidR="00127741">
        <w:rPr>
          <w:szCs w:val="24"/>
        </w:rPr>
        <w:t xml:space="preserve">utility. </w:t>
      </w:r>
    </w:p>
    <w:p w:rsidR="00F16406" w:rsidP="00F16406" w14:paraId="6BA0670B" w14:textId="02E47C6F">
      <w:pPr>
        <w:pStyle w:val="BodyTextIndent3"/>
        <w:widowControl w:val="0"/>
        <w:spacing w:line="480" w:lineRule="auto"/>
        <w:ind w:right="-312"/>
      </w:pPr>
      <w:r>
        <w:rPr>
          <w:szCs w:val="24"/>
        </w:rPr>
        <w:t>T</w:t>
      </w:r>
      <w:r>
        <w:rPr>
          <w:szCs w:val="24"/>
        </w:rPr>
        <w:t>he PUCO cannot by rule eliminate the statutory right of any person, firm, or corporation to file a complaint under R.C. 4905.26 or 4927.21.</w:t>
      </w:r>
      <w:r w:rsidR="00F558D1">
        <w:rPr>
          <w:szCs w:val="24"/>
        </w:rPr>
        <w:t xml:space="preserve"> </w:t>
      </w:r>
      <w:r>
        <w:t>R.C. 2323.52 expressly provides that the authority to declare a vexatious litigator belongs to Ohio’s civil courts.</w:t>
      </w:r>
      <w:r w:rsidR="00F558D1">
        <w:t xml:space="preserve"> </w:t>
      </w:r>
      <w:r>
        <w:t xml:space="preserve">Even if the PUCO possessed such authority, there is not </w:t>
      </w:r>
      <w:r w:rsidR="00584E91">
        <w:t xml:space="preserve">sufficient </w:t>
      </w:r>
      <w:r>
        <w:t xml:space="preserve">evidence of vexatious litigation </w:t>
      </w:r>
      <w:r w:rsidR="00584E91">
        <w:t xml:space="preserve">in complaints against utilities so as </w:t>
      </w:r>
      <w:r>
        <w:t>to warrant</w:t>
      </w:r>
      <w:r w:rsidR="00584E91">
        <w:t xml:space="preserve"> further imperiling the public’s right of redress to their government against the monopoly providers of utility services</w:t>
      </w:r>
      <w:r w:rsidRPr="00584E91" w:rsidR="00584E91">
        <w:t xml:space="preserve"> </w:t>
      </w:r>
      <w:r w:rsidR="00584E91">
        <w:t xml:space="preserve">essential to Ohioans’ life and health. </w:t>
      </w:r>
      <w:r>
        <w:t xml:space="preserve"> </w:t>
      </w:r>
    </w:p>
    <w:p w:rsidR="008D7EA7" w:rsidP="00772694" w14:paraId="5A5617DC" w14:textId="42A40FBA">
      <w:pPr>
        <w:spacing w:line="480" w:lineRule="auto"/>
        <w:ind w:firstLine="720"/>
      </w:pPr>
      <w:bookmarkStart w:id="3" w:name="_Toc31888713"/>
      <w:bookmarkStart w:id="4" w:name="_Toc31888754"/>
      <w:bookmarkStart w:id="5" w:name="_Toc31889075"/>
      <w:r>
        <w:t>The</w:t>
      </w:r>
      <w:r w:rsidR="00F558D1">
        <w:t xml:space="preserve"> </w:t>
      </w:r>
      <w:r w:rsidR="008A59B5">
        <w:t xml:space="preserve">PUCO </w:t>
      </w:r>
      <w:r w:rsidR="00A6130F">
        <w:t>requested</w:t>
      </w:r>
      <w:r w:rsidRPr="000E6096" w:rsidR="00A6130F">
        <w:t xml:space="preserve"> </w:t>
      </w:r>
      <w:r w:rsidRPr="000E6096" w:rsidR="00B576D9">
        <w:t>comments on its proposed amendments to Ohio Adm.</w:t>
      </w:r>
      <w:r w:rsidR="004F2EEE">
        <w:t xml:space="preserve"> </w:t>
      </w:r>
      <w:r w:rsidRPr="000E6096" w:rsidR="00B576D9">
        <w:t xml:space="preserve">Code 4901-9 regarding complaint proceedings, including the PUCO’s proposed rule </w:t>
      </w:r>
      <w:r w:rsidR="00047C2F">
        <w:t>adding</w:t>
      </w:r>
      <w:r w:rsidR="004E3401">
        <w:t xml:space="preserve"> 490</w:t>
      </w:r>
      <w:r w:rsidR="00047C2F">
        <w:t>1</w:t>
      </w:r>
      <w:r w:rsidR="004E3401">
        <w:t xml:space="preserve">-9-02 </w:t>
      </w:r>
      <w:r w:rsidRPr="000E6096" w:rsidR="00B576D9">
        <w:t xml:space="preserve">that </w:t>
      </w:r>
      <w:r w:rsidRPr="000E6096" w:rsidR="00936D0D">
        <w:t>it</w:t>
      </w:r>
      <w:r w:rsidRPr="000E6096" w:rsidR="00B576D9">
        <w:t xml:space="preserve"> can declare a person or party a vexatious litigator.</w:t>
      </w:r>
      <w:r>
        <w:rPr>
          <w:rStyle w:val="FootnoteReference"/>
          <w:szCs w:val="24"/>
        </w:rPr>
        <w:footnoteReference w:id="7"/>
      </w:r>
      <w:r w:rsidRPr="000E6096" w:rsidR="00B576D9">
        <w:t xml:space="preserve"> </w:t>
      </w:r>
      <w:r w:rsidR="001902D9">
        <w:t>OCC</w:t>
      </w:r>
      <w:r w:rsidRPr="000E6096" w:rsidR="006C486F">
        <w:t xml:space="preserve"> </w:t>
      </w:r>
      <w:r w:rsidRPr="000E6096" w:rsidR="00C32F0D">
        <w:t xml:space="preserve">and the Northwest Ohio Aggregation Coalition </w:t>
      </w:r>
      <w:r w:rsidRPr="000E6096" w:rsidR="0096517A">
        <w:t xml:space="preserve">(“NOAC”) </w:t>
      </w:r>
      <w:r w:rsidR="0033685C">
        <w:t xml:space="preserve">jointly </w:t>
      </w:r>
      <w:r>
        <w:t>filed initial comments</w:t>
      </w:r>
      <w:r w:rsidR="0033685C">
        <w:t xml:space="preserve"> on this topic.</w:t>
      </w:r>
      <w:r>
        <w:rPr>
          <w:rStyle w:val="FootnoteReference"/>
        </w:rPr>
        <w:footnoteReference w:id="8"/>
      </w:r>
      <w:r w:rsidR="0033685C">
        <w:t xml:space="preserve"> OCC/NOAC</w:t>
      </w:r>
      <w:r>
        <w:t xml:space="preserve"> </w:t>
      </w:r>
      <w:r w:rsidR="0033685C">
        <w:t xml:space="preserve">recommended that </w:t>
      </w:r>
      <w:r>
        <w:t xml:space="preserve">the PUCO reject the </w:t>
      </w:r>
      <w:r w:rsidR="001902D9">
        <w:t>vexatious litigator</w:t>
      </w:r>
      <w:r>
        <w:t xml:space="preserve"> proposal</w:t>
      </w:r>
      <w:r w:rsidR="0033685C">
        <w:t>, to preserve</w:t>
      </w:r>
      <w:r>
        <w:t xml:space="preserve"> </w:t>
      </w:r>
      <w:r w:rsidR="0033685C">
        <w:t xml:space="preserve">the rights of </w:t>
      </w:r>
      <w:r>
        <w:t xml:space="preserve">Ohioans </w:t>
      </w:r>
      <w:r w:rsidR="0033685C">
        <w:t xml:space="preserve">to seek redress against their public utilities </w:t>
      </w:r>
      <w:r>
        <w:t>under R.C. 4905.26 and 4927.21</w:t>
      </w:r>
      <w:r w:rsidR="0033685C">
        <w:t>.</w:t>
      </w:r>
      <w:r>
        <w:t xml:space="preserve"> </w:t>
      </w:r>
      <w:r w:rsidR="007446D5">
        <w:t>OCC</w:t>
      </w:r>
      <w:r w:rsidR="0033685C">
        <w:t>/NOAC</w:t>
      </w:r>
      <w:r w:rsidR="007446D5">
        <w:t xml:space="preserve"> further recommended</w:t>
      </w:r>
      <w:r w:rsidR="0033685C">
        <w:t xml:space="preserve"> addressing the issue by</w:t>
      </w:r>
      <w:r w:rsidR="007446D5">
        <w:t xml:space="preserve"> improv</w:t>
      </w:r>
      <w:r w:rsidR="0033685C">
        <w:t>ing</w:t>
      </w:r>
      <w:r w:rsidR="007446D5">
        <w:t xml:space="preserve"> the information that is available to the public about the formal complaint</w:t>
      </w:r>
      <w:r w:rsidR="00E031D0">
        <w:t xml:space="preserve"> process.</w:t>
      </w:r>
      <w:r>
        <w:rPr>
          <w:rStyle w:val="FootnoteReference"/>
          <w:szCs w:val="24"/>
        </w:rPr>
        <w:footnoteReference w:id="9"/>
      </w:r>
      <w:bookmarkEnd w:id="3"/>
      <w:bookmarkEnd w:id="4"/>
      <w:bookmarkEnd w:id="5"/>
      <w:r w:rsidR="007446D5">
        <w:t xml:space="preserve"> </w:t>
      </w:r>
      <w:r w:rsidR="001A0B90">
        <w:t xml:space="preserve"> </w:t>
      </w:r>
    </w:p>
    <w:p w:rsidR="00011C3D" w:rsidP="00011C3D" w14:paraId="2AFC3973" w14:textId="77777777">
      <w:pPr>
        <w:ind w:firstLine="720"/>
      </w:pPr>
    </w:p>
    <w:p w:rsidR="006C486F" w:rsidRPr="00E935BC" w:rsidP="00E935BC" w14:paraId="302C1735" w14:textId="02C294A6">
      <w:pPr>
        <w:pStyle w:val="Heading1"/>
      </w:pPr>
      <w:bookmarkStart w:id="6" w:name="_Toc32244803"/>
      <w:bookmarkStart w:id="7" w:name="_Toc31888715"/>
      <w:r w:rsidRPr="00E935BC">
        <w:t xml:space="preserve">II. </w:t>
      </w:r>
      <w:r w:rsidRPr="00E935BC" w:rsidR="00313B95">
        <w:tab/>
      </w:r>
      <w:r w:rsidRPr="00E935BC" w:rsidR="007116C8">
        <w:t>THE</w:t>
      </w:r>
      <w:r w:rsidR="001F2B5A">
        <w:t>RE IS NO STATUTORY AUTHORITY FOR THE PROPOSED RULE AGAINST CLAIMED VEXATIOUS LITIGATION BY CONSUMERS WHO SUE THEIR PUBLIC UTILITIES.</w:t>
      </w:r>
      <w:bookmarkEnd w:id="6"/>
      <w:r w:rsidR="001F2B5A">
        <w:t xml:space="preserve"> </w:t>
      </w:r>
      <w:bookmarkEnd w:id="7"/>
    </w:p>
    <w:p w:rsidR="00F56365" w:rsidP="00F56365" w14:paraId="077289DE" w14:textId="77777777">
      <w:bookmarkStart w:id="8" w:name="_Toc7705422"/>
      <w:bookmarkStart w:id="9" w:name="_Toc31888716"/>
      <w:r w:rsidRPr="00F56365">
        <w:tab/>
      </w:r>
      <w:bookmarkEnd w:id="8"/>
      <w:r w:rsidRPr="00F56365">
        <w:t xml:space="preserve">R.C. 4905.26 grants any person, firm, or corporation the right to file a complaint </w:t>
      </w:r>
    </w:p>
    <w:p w:rsidR="00F56365" w:rsidP="00F56365" w14:paraId="6F3F486C" w14:textId="77777777"/>
    <w:p w:rsidR="00B064EA" w:rsidP="00F56365" w14:paraId="533D2FA2" w14:textId="19EFE421">
      <w:pPr>
        <w:spacing w:line="480" w:lineRule="auto"/>
        <w:rPr>
          <w:bCs/>
        </w:rPr>
      </w:pPr>
      <w:r w:rsidRPr="00F56365">
        <w:t>against a public utility.</w:t>
      </w:r>
      <w:bookmarkEnd w:id="9"/>
      <w:r w:rsidR="00F56365">
        <w:t xml:space="preserve"> </w:t>
      </w:r>
      <w:r w:rsidR="001F2B5A">
        <w:rPr>
          <w:bCs/>
        </w:rPr>
        <w:t xml:space="preserve">The proposed rule is not authorized by </w:t>
      </w:r>
      <w:r>
        <w:rPr>
          <w:bCs/>
        </w:rPr>
        <w:t>Ohio law</w:t>
      </w:r>
      <w:r w:rsidR="001F2B5A">
        <w:rPr>
          <w:bCs/>
        </w:rPr>
        <w:t xml:space="preserve"> which gives the right to</w:t>
      </w:r>
      <w:r>
        <w:rPr>
          <w:bCs/>
        </w:rPr>
        <w:t xml:space="preserve"> any person, firm, or corporation </w:t>
      </w:r>
      <w:r w:rsidR="001F2B5A">
        <w:rPr>
          <w:bCs/>
        </w:rPr>
        <w:t xml:space="preserve">to </w:t>
      </w:r>
      <w:r>
        <w:rPr>
          <w:bCs/>
        </w:rPr>
        <w:t xml:space="preserve">file a complaint against a public utility that any rate or charge is unjust, unreasonable, or a violation of law. In fact, R.C. 4905.26 is even broader, and if it appears that the complaint is based on </w:t>
      </w:r>
      <w:r w:rsidR="00AE7714">
        <w:rPr>
          <w:bCs/>
        </w:rPr>
        <w:t>“</w:t>
      </w:r>
      <w:r>
        <w:rPr>
          <w:bCs/>
        </w:rPr>
        <w:t>reasonable grounds</w:t>
      </w:r>
      <w:r w:rsidR="004F2EEE">
        <w:rPr>
          <w:bCs/>
        </w:rPr>
        <w:t>,</w:t>
      </w:r>
      <w:r w:rsidR="00AE7714">
        <w:rPr>
          <w:bCs/>
        </w:rPr>
        <w:t>”</w:t>
      </w:r>
      <w:r w:rsidR="004F2EEE">
        <w:rPr>
          <w:bCs/>
        </w:rPr>
        <w:t xml:space="preserve"> </w:t>
      </w:r>
      <w:r>
        <w:rPr>
          <w:bCs/>
        </w:rPr>
        <w:t xml:space="preserve">the PUCO </w:t>
      </w:r>
      <w:r w:rsidR="00AE7714">
        <w:rPr>
          <w:bCs/>
        </w:rPr>
        <w:t xml:space="preserve">is required to </w:t>
      </w:r>
      <w:r>
        <w:rPr>
          <w:bCs/>
        </w:rPr>
        <w:t xml:space="preserve">hold a hearing on the complaint. Parties to complaint proceedings are entitled to be heard, represented by counsel, and to have process to enforce the attendance of witnesses. </w:t>
      </w:r>
    </w:p>
    <w:p w:rsidR="00956CC7" w:rsidP="00956CC7" w14:paraId="63E7B589" w14:textId="34203926">
      <w:pPr>
        <w:spacing w:line="480" w:lineRule="auto"/>
        <w:ind w:firstLine="720"/>
        <w:rPr>
          <w:bCs/>
        </w:rPr>
      </w:pPr>
      <w:r>
        <w:rPr>
          <w:bCs/>
        </w:rPr>
        <w:t>This statutory authority is regularly summarized by the PUCO in its orders in complaint proceedings:</w:t>
      </w:r>
    </w:p>
    <w:p w:rsidR="00956CC7" w:rsidP="00151A13" w14:paraId="4B2C3E2F" w14:textId="28A004F2">
      <w:pPr>
        <w:ind w:left="1440"/>
        <w:rPr>
          <w:bCs/>
        </w:rPr>
      </w:pPr>
      <w:r>
        <w:rPr>
          <w:bCs/>
        </w:rPr>
        <w:t>the Commission has authority to consider written complaints filed against a public utility by any person or corporation regarding any rate, service, regulation, or practice relating to any service furnished by the public utility that is in any respect unjust, unreasonable, insufficient, or unjustly discriminatory.</w:t>
      </w:r>
      <w:r>
        <w:rPr>
          <w:rStyle w:val="FootnoteReference"/>
          <w:bCs/>
        </w:rPr>
        <w:footnoteReference w:id="10"/>
      </w:r>
    </w:p>
    <w:p w:rsidR="00011C3D" w:rsidP="00151A13" w14:paraId="1DEA744F" w14:textId="77777777">
      <w:pPr>
        <w:ind w:left="1440"/>
        <w:rPr>
          <w:bCs/>
        </w:rPr>
      </w:pPr>
    </w:p>
    <w:p w:rsidR="00956CC7" w:rsidP="00956CC7" w14:paraId="54A51D1F" w14:textId="779C6B87">
      <w:pPr>
        <w:spacing w:line="480" w:lineRule="auto"/>
        <w:rPr>
          <w:bCs/>
        </w:rPr>
      </w:pPr>
      <w:r>
        <w:rPr>
          <w:bCs/>
        </w:rPr>
        <w:t xml:space="preserve">But under </w:t>
      </w:r>
      <w:r w:rsidR="001F2B5A">
        <w:rPr>
          <w:bCs/>
        </w:rPr>
        <w:t>the</w:t>
      </w:r>
      <w:r>
        <w:rPr>
          <w:bCs/>
        </w:rPr>
        <w:t xml:space="preserve"> proposed rule change, the</w:t>
      </w:r>
      <w:r w:rsidR="001F2B5A">
        <w:rPr>
          <w:bCs/>
        </w:rPr>
        <w:t xml:space="preserve"> public’s </w:t>
      </w:r>
      <w:r w:rsidR="008A59B5">
        <w:rPr>
          <w:bCs/>
        </w:rPr>
        <w:t xml:space="preserve">statutory </w:t>
      </w:r>
      <w:r w:rsidR="001F2B5A">
        <w:rPr>
          <w:bCs/>
        </w:rPr>
        <w:t>right</w:t>
      </w:r>
      <w:r>
        <w:rPr>
          <w:bCs/>
        </w:rPr>
        <w:t xml:space="preserve"> </w:t>
      </w:r>
      <w:r w:rsidR="008A59B5">
        <w:rPr>
          <w:bCs/>
        </w:rPr>
        <w:t xml:space="preserve">is restricted. The </w:t>
      </w:r>
      <w:r>
        <w:rPr>
          <w:bCs/>
        </w:rPr>
        <w:t xml:space="preserve">PUCO seeks to limit the ability of any person, firm, or corporation to file a complaint against a public utility by declaring a complainant vexatious. </w:t>
      </w:r>
    </w:p>
    <w:p w:rsidR="00956CC7" w:rsidP="00956CC7" w14:paraId="709F43F2" w14:textId="20CB28C0">
      <w:pPr>
        <w:spacing w:line="480" w:lineRule="auto"/>
        <w:rPr>
          <w:bCs/>
        </w:rPr>
      </w:pPr>
      <w:r>
        <w:rPr>
          <w:bCs/>
        </w:rPr>
        <w:tab/>
        <w:t xml:space="preserve">In its Business Impact Analysis that was filed contemporaneously with the proposed new rule, the PUCO cites R.C. 4901.13 as the Ohio law authorizing the agency to adopt the new rule. But R.C. 4901.13 does not give the PUCO the power it seeks. </w:t>
      </w:r>
    </w:p>
    <w:p w:rsidR="00942D91" w:rsidP="00956CC7" w14:paraId="61F5E87A" w14:textId="77777777">
      <w:pPr>
        <w:spacing w:line="480" w:lineRule="auto"/>
        <w:ind w:firstLine="720"/>
        <w:rPr>
          <w:bCs/>
        </w:rPr>
      </w:pPr>
      <w:r>
        <w:rPr>
          <w:bCs/>
        </w:rPr>
        <w:t>Dominion East Ohio supports the proposed vexatious litigator rules and claims that the PUCO has the authority under R.C. 4901.13 to establish such a rule.</w:t>
      </w:r>
      <w:r>
        <w:rPr>
          <w:rStyle w:val="FootnoteReference"/>
          <w:bCs/>
        </w:rPr>
        <w:footnoteReference w:id="11"/>
      </w:r>
      <w:r>
        <w:rPr>
          <w:bCs/>
        </w:rPr>
        <w:t xml:space="preserve"> </w:t>
      </w:r>
      <w:r w:rsidR="004E3401">
        <w:rPr>
          <w:bCs/>
        </w:rPr>
        <w:t xml:space="preserve">Dominion is wrong. </w:t>
      </w:r>
    </w:p>
    <w:p w:rsidR="00942D91" w:rsidRPr="006E4A31" w:rsidP="00C75464" w14:paraId="717C4DB1" w14:textId="62027ED0">
      <w:pPr>
        <w:spacing w:line="480" w:lineRule="auto"/>
        <w:ind w:firstLine="720"/>
      </w:pPr>
      <w:r>
        <w:rPr>
          <w:bCs/>
        </w:rPr>
        <w:t>According to R.C. 4901.13, the PUCO “may adopt and publish rules to govern its proceedings and to regulate the mode and manner of all valuations, tests, audits, inspections, investigations, and hearings relating to parties before it.”</w:t>
      </w:r>
      <w:r>
        <w:rPr>
          <w:rStyle w:val="FootnoteReference"/>
          <w:bCs/>
        </w:rPr>
        <w:footnoteReference w:id="12"/>
      </w:r>
      <w:r>
        <w:rPr>
          <w:bCs/>
        </w:rPr>
        <w:t xml:space="preserve"> This is a rule of general applicability giving the PUCO authority to </w:t>
      </w:r>
      <w:r w:rsidR="00D30EFC">
        <w:rPr>
          <w:bCs/>
        </w:rPr>
        <w:t xml:space="preserve">adopt and publish rules to </w:t>
      </w:r>
      <w:r>
        <w:rPr>
          <w:bCs/>
        </w:rPr>
        <w:t xml:space="preserve">govern its own proceedings. </w:t>
      </w:r>
      <w:r w:rsidRPr="00D30EFC">
        <w:rPr>
          <w:bCs/>
          <w:i/>
          <w:iCs/>
        </w:rPr>
        <w:t xml:space="preserve">The statute allows for the PUCO to adopt rules governing </w:t>
      </w:r>
      <w:r w:rsidRPr="00D30EFC" w:rsidR="00D30EFC">
        <w:rPr>
          <w:bCs/>
          <w:i/>
          <w:iCs/>
        </w:rPr>
        <w:t xml:space="preserve">its </w:t>
      </w:r>
      <w:r w:rsidRPr="00D30EFC">
        <w:rPr>
          <w:bCs/>
          <w:i/>
          <w:iCs/>
        </w:rPr>
        <w:t>proceedings; not whether the proceeding itself (e.g., complaint cases) can be held</w:t>
      </w:r>
      <w:r>
        <w:rPr>
          <w:bCs/>
        </w:rPr>
        <w:t>.</w:t>
      </w:r>
      <w:r w:rsidR="00F558D1">
        <w:rPr>
          <w:bCs/>
        </w:rPr>
        <w:t xml:space="preserve"> </w:t>
      </w:r>
      <w:r w:rsidR="00D30EFC">
        <w:rPr>
          <w:bCs/>
        </w:rPr>
        <w:t>R.C. 4901.13 has nothing to do with limiting public access to the</w:t>
      </w:r>
      <w:r>
        <w:rPr>
          <w:bCs/>
        </w:rPr>
        <w:t xml:space="preserve">ir </w:t>
      </w:r>
      <w:r w:rsidR="00966C0E">
        <w:rPr>
          <w:bCs/>
        </w:rPr>
        <w:t>due-</w:t>
      </w:r>
      <w:r w:rsidR="00D30EFC">
        <w:rPr>
          <w:bCs/>
        </w:rPr>
        <w:t>process</w:t>
      </w:r>
      <w:r w:rsidR="00966C0E">
        <w:rPr>
          <w:bCs/>
        </w:rPr>
        <w:t xml:space="preserve"> rights</w:t>
      </w:r>
      <w:r w:rsidR="00D30EFC">
        <w:rPr>
          <w:bCs/>
        </w:rPr>
        <w:t xml:space="preserve"> under R.C. 4905.26 and 4927.21.</w:t>
      </w:r>
      <w:r>
        <w:rPr>
          <w:rStyle w:val="FootnoteReference"/>
          <w:szCs w:val="24"/>
        </w:rPr>
        <w:footnoteReference w:id="13"/>
      </w:r>
      <w:r w:rsidR="00AE7714">
        <w:t xml:space="preserve">  </w:t>
      </w:r>
      <w:r w:rsidRPr="006E4A31">
        <w:t xml:space="preserve">The General Assembly reserved for civil courts, in R.C. 2323.52, the authority to act upon claims of vexatious litigation. </w:t>
      </w:r>
    </w:p>
    <w:p w:rsidR="00956CC7" w:rsidP="00956CC7" w14:paraId="5D5B1357" w14:textId="712F543F">
      <w:pPr>
        <w:spacing w:line="480" w:lineRule="auto"/>
        <w:ind w:firstLine="720"/>
        <w:rPr>
          <w:bCs/>
        </w:rPr>
      </w:pPr>
      <w:r>
        <w:rPr>
          <w:bCs/>
        </w:rPr>
        <w:t>Even if there were authority, the PUCO should be very wary about giving utilities a new claim to potentially exploit against consumers, beyond any good intention of a rule. It is already a formidable task for Ohioans to sue their public utility.</w:t>
      </w:r>
    </w:p>
    <w:p w:rsidR="00011C3D" w:rsidP="00011C3D" w14:paraId="3FBFEA73" w14:textId="77777777">
      <w:pPr>
        <w:ind w:firstLine="720"/>
        <w:rPr>
          <w:bCs/>
        </w:rPr>
      </w:pPr>
    </w:p>
    <w:p w:rsidR="000317C1" w:rsidP="00E935BC" w14:paraId="4BA639D6" w14:textId="7539BA82">
      <w:pPr>
        <w:pStyle w:val="Heading1"/>
      </w:pPr>
      <w:bookmarkStart w:id="10" w:name="_Toc31888718"/>
      <w:bookmarkStart w:id="11" w:name="_Toc32244804"/>
      <w:bookmarkStart w:id="12" w:name="_Toc7705423"/>
      <w:bookmarkStart w:id="13" w:name="_Hlk7679717"/>
      <w:r w:rsidRPr="006A6543">
        <w:t>III.</w:t>
      </w:r>
      <w:r w:rsidR="007B3799">
        <w:tab/>
      </w:r>
      <w:r w:rsidR="00817C64">
        <w:t xml:space="preserve">IN ADDITION TO </w:t>
      </w:r>
      <w:r w:rsidRPr="006A6543">
        <w:t>THE PUCO</w:t>
      </w:r>
      <w:r w:rsidR="00817C64">
        <w:t xml:space="preserve"> LACKING THE AUTHORITY</w:t>
      </w:r>
      <w:r w:rsidRPr="006A6543">
        <w:t xml:space="preserve"> </w:t>
      </w:r>
      <w:r w:rsidR="00817C64">
        <w:t>TO</w:t>
      </w:r>
      <w:r w:rsidRPr="006A6543" w:rsidR="00817C64">
        <w:t xml:space="preserve"> </w:t>
      </w:r>
      <w:r w:rsidRPr="006A6543">
        <w:t>STATUTOR</w:t>
      </w:r>
      <w:r w:rsidR="009960F6">
        <w:t>I</w:t>
      </w:r>
      <w:r w:rsidRPr="006A6543">
        <w:t xml:space="preserve">LY ESTABLISH A VEXATIOUS LITIGATOR RULE, </w:t>
      </w:r>
      <w:r w:rsidR="00817C64">
        <w:t xml:space="preserve">THE PROPOSED RULE </w:t>
      </w:r>
      <w:r w:rsidR="00A27F08">
        <w:t>COULD BE</w:t>
      </w:r>
      <w:r w:rsidR="00817C64">
        <w:t xml:space="preserve"> USED BY UTILITIES</w:t>
      </w:r>
      <w:r w:rsidRPr="006A6543">
        <w:t xml:space="preserve"> </w:t>
      </w:r>
      <w:r w:rsidR="00B4766E">
        <w:t xml:space="preserve">TO </w:t>
      </w:r>
      <w:r w:rsidR="00817C64">
        <w:t>ENDANGER OHIOANS’ RIGHTS TO BRING COMPLAINTS ABOUT THEIR UTILITY SERVICES</w:t>
      </w:r>
      <w:r w:rsidRPr="006A6543">
        <w:t>.</w:t>
      </w:r>
      <w:bookmarkEnd w:id="10"/>
      <w:bookmarkEnd w:id="11"/>
      <w:r w:rsidRPr="006A6543">
        <w:t xml:space="preserve"> </w:t>
      </w:r>
    </w:p>
    <w:p w:rsidR="003573B3" w:rsidP="00F56365" w14:paraId="4CC87F06" w14:textId="1EA21496">
      <w:pPr>
        <w:pStyle w:val="Heading2"/>
      </w:pPr>
      <w:bookmarkStart w:id="14" w:name="_Toc31888719"/>
      <w:bookmarkStart w:id="15" w:name="_Toc32244805"/>
      <w:r>
        <w:t>A</w:t>
      </w:r>
      <w:r>
        <w:t xml:space="preserve">. </w:t>
      </w:r>
      <w:r w:rsidR="00313B95">
        <w:tab/>
      </w:r>
      <w:r>
        <w:t xml:space="preserve">The proposed draft </w:t>
      </w:r>
      <w:r w:rsidR="003B769F">
        <w:t xml:space="preserve">rule regarding vexatious </w:t>
      </w:r>
      <w:r w:rsidR="00047420">
        <w:t>litigation</w:t>
      </w:r>
      <w:r w:rsidR="003B769F">
        <w:t xml:space="preserve"> </w:t>
      </w:r>
      <w:r>
        <w:t xml:space="preserve">is </w:t>
      </w:r>
      <w:bookmarkEnd w:id="14"/>
      <w:r w:rsidR="003B769F">
        <w:t>not needed</w:t>
      </w:r>
      <w:r w:rsidR="00686594">
        <w:t>.</w:t>
      </w:r>
      <w:bookmarkEnd w:id="15"/>
    </w:p>
    <w:p w:rsidR="006721BE" w:rsidP="00956CC7" w14:paraId="2CFDB65B" w14:textId="3E84918F">
      <w:pPr>
        <w:spacing w:line="480" w:lineRule="auto"/>
        <w:ind w:firstLine="720"/>
      </w:pPr>
      <w:r>
        <w:t>The Ohio Telecom Association commented that, “the frequency of frivolous or vexatious litigation at the Commission does not appear to be high.”</w:t>
      </w:r>
      <w:r>
        <w:rPr>
          <w:rStyle w:val="FootnoteReference"/>
        </w:rPr>
        <w:footnoteReference w:id="14"/>
      </w:r>
      <w:r w:rsidR="00202BA3">
        <w:t xml:space="preserve"> T</w:t>
      </w:r>
      <w:r w:rsidR="00956CC7">
        <w:t>he</w:t>
      </w:r>
      <w:r w:rsidR="00202BA3">
        <w:t xml:space="preserve"> </w:t>
      </w:r>
      <w:r w:rsidR="00956CC7">
        <w:t>proposal</w:t>
      </w:r>
      <w:r w:rsidR="00202BA3">
        <w:t xml:space="preserve"> for the new rule </w:t>
      </w:r>
      <w:r w:rsidR="001770B3">
        <w:t xml:space="preserve">and utility comments </w:t>
      </w:r>
      <w:r w:rsidR="00202BA3">
        <w:t>do not lay out a</w:t>
      </w:r>
      <w:r w:rsidR="00956CC7">
        <w:t xml:space="preserve"> record of vexatious litigation being a significant problem for the PUCO. </w:t>
      </w:r>
    </w:p>
    <w:p w:rsidR="00C8453A" w:rsidP="00956CC7" w14:paraId="3D9C82C2" w14:textId="2FB968A0">
      <w:pPr>
        <w:spacing w:line="480" w:lineRule="auto"/>
        <w:ind w:firstLine="720"/>
      </w:pPr>
      <w:r>
        <w:t>The vexatious litigator rule was originally proposed by Columbia Gas of Ohio during a PUCO rulemaking workshop.</w:t>
      </w:r>
      <w:r>
        <w:rPr>
          <w:rStyle w:val="FootnoteReference"/>
        </w:rPr>
        <w:footnoteReference w:id="15"/>
      </w:r>
      <w:r>
        <w:t xml:space="preserve"> According to Columbia Gas</w:t>
      </w:r>
      <w:r w:rsidR="00440E0A">
        <w:t xml:space="preserve"> of Ohio</w:t>
      </w:r>
      <w:r w:rsidR="00256314">
        <w:t xml:space="preserve"> (“Columbia”)</w:t>
      </w:r>
      <w:r w:rsidR="00440E0A">
        <w:t xml:space="preserve"> </w:t>
      </w:r>
      <w:r>
        <w:t xml:space="preserve">the rule was </w:t>
      </w:r>
      <w:r w:rsidR="00202BA3">
        <w:t xml:space="preserve">needed </w:t>
      </w:r>
      <w:r>
        <w:t>“Because of the</w:t>
      </w:r>
      <w:r w:rsidR="009834B8">
        <w:t xml:space="preserve"> t</w:t>
      </w:r>
      <w:r>
        <w:t>endency of certain individuals to repeatedly file comments and numerous proceedings at the Commission…”</w:t>
      </w:r>
      <w:r>
        <w:rPr>
          <w:rStyle w:val="FootnoteReference"/>
        </w:rPr>
        <w:footnoteReference w:id="16"/>
      </w:r>
      <w:r w:rsidR="00202BA3">
        <w:t xml:space="preserve"> (Columbia did not similarly note that utilities have a tendency to </w:t>
      </w:r>
      <w:r w:rsidR="001770B3">
        <w:t xml:space="preserve">file </w:t>
      </w:r>
      <w:r w:rsidR="00202BA3">
        <w:t xml:space="preserve">numerous proceedings at the </w:t>
      </w:r>
      <w:r w:rsidR="00566399">
        <w:t>PUCO</w:t>
      </w:r>
      <w:r w:rsidR="00202BA3">
        <w:t>.)</w:t>
      </w:r>
      <w:r w:rsidR="009834B8">
        <w:t xml:space="preserve"> </w:t>
      </w:r>
    </w:p>
    <w:p w:rsidR="005578AC" w:rsidP="005578AC" w14:paraId="75384151" w14:textId="0BB89F89">
      <w:pPr>
        <w:spacing w:line="480" w:lineRule="auto"/>
        <w:ind w:firstLine="720"/>
      </w:pPr>
      <w:r>
        <w:t xml:space="preserve">But </w:t>
      </w:r>
      <w:r w:rsidR="004E3401">
        <w:t>the Ohio Telecom Association</w:t>
      </w:r>
      <w:r>
        <w:t xml:space="preserve"> commented</w:t>
      </w:r>
      <w:r w:rsidR="004E3401">
        <w:t>,</w:t>
      </w:r>
      <w:r>
        <w:t xml:space="preserve"> more factually, that</w:t>
      </w:r>
      <w:r w:rsidR="004E3401">
        <w:t xml:space="preserve"> “the frequency of frivolous or vexatious litigation at the Commission does not appear to be high.”</w:t>
      </w:r>
      <w:r>
        <w:rPr>
          <w:rStyle w:val="FootnoteReference"/>
        </w:rPr>
        <w:footnoteReference w:id="17"/>
      </w:r>
      <w:r w:rsidR="004E3401">
        <w:t xml:space="preserve"> </w:t>
      </w:r>
      <w:r>
        <w:t>During the ten-year period between January 1, 2010 and December 31, 2019, there were 921 formal complaints docketed with the PUCO. Out of the total 921 complaints, there were approximately 866 that involved customers of the investor-owned utilities.</w:t>
      </w:r>
      <w:r w:rsidR="00F558D1">
        <w:t xml:space="preserve"> </w:t>
      </w:r>
      <w:r>
        <w:t>A review of these complaints indicated that there were</w:t>
      </w:r>
      <w:r w:rsidR="001770B3">
        <w:t xml:space="preserve"> just</w:t>
      </w:r>
      <w:r>
        <w:t xml:space="preserve"> </w:t>
      </w:r>
      <w:r w:rsidR="00A6130F">
        <w:rPr>
          <w:i/>
          <w:iCs/>
        </w:rPr>
        <w:t>12</w:t>
      </w:r>
      <w:r w:rsidRPr="005578AC" w:rsidR="00A6130F">
        <w:rPr>
          <w:i/>
          <w:iCs/>
        </w:rPr>
        <w:t xml:space="preserve"> </w:t>
      </w:r>
      <w:r w:rsidRPr="00AD2DFE">
        <w:rPr>
          <w:i/>
          <w:iCs/>
        </w:rPr>
        <w:t>complainants</w:t>
      </w:r>
      <w:r>
        <w:t xml:space="preserve"> who filed </w:t>
      </w:r>
      <w:r w:rsidRPr="005578AC">
        <w:rPr>
          <w:i/>
          <w:iCs/>
        </w:rPr>
        <w:t>two</w:t>
      </w:r>
      <w:r>
        <w:t xml:space="preserve"> complaints over the ten-year period.</w:t>
      </w:r>
      <w:r w:rsidR="00F558D1">
        <w:t xml:space="preserve"> </w:t>
      </w:r>
      <w:r>
        <w:t>In most instances, the complaints involved industries, different utilities and different matters.</w:t>
      </w:r>
      <w:r w:rsidR="00F558D1">
        <w:t xml:space="preserve"> </w:t>
      </w:r>
      <w:r>
        <w:t xml:space="preserve">There were </w:t>
      </w:r>
      <w:r w:rsidRPr="00AD2DFE">
        <w:rPr>
          <w:i/>
          <w:iCs/>
        </w:rPr>
        <w:t>three</w:t>
      </w:r>
      <w:r>
        <w:t xml:space="preserve"> </w:t>
      </w:r>
      <w:r w:rsidRPr="00AD2DFE">
        <w:rPr>
          <w:i/>
          <w:iCs/>
        </w:rPr>
        <w:t>complainants</w:t>
      </w:r>
      <w:r>
        <w:t xml:space="preserve"> filing </w:t>
      </w:r>
      <w:r w:rsidRPr="00AD2DFE">
        <w:rPr>
          <w:i/>
          <w:iCs/>
        </w:rPr>
        <w:t>three</w:t>
      </w:r>
      <w:r>
        <w:t xml:space="preserve"> complaints over the ten-year period mostly involving different industries</w:t>
      </w:r>
      <w:r w:rsidR="006027B7">
        <w:t xml:space="preserve">, different utilities, </w:t>
      </w:r>
      <w:r>
        <w:t>and different matters</w:t>
      </w:r>
      <w:r w:rsidR="00AD2DFE">
        <w:t xml:space="preserve">. </w:t>
      </w:r>
      <w:r w:rsidR="00965632">
        <w:t>And t</w:t>
      </w:r>
      <w:r>
        <w:t xml:space="preserve">here was </w:t>
      </w:r>
      <w:r w:rsidRPr="00AD2DFE">
        <w:rPr>
          <w:i/>
          <w:iCs/>
        </w:rPr>
        <w:t>one instance</w:t>
      </w:r>
      <w:r>
        <w:t xml:space="preserve"> where a complainant </w:t>
      </w:r>
      <w:r w:rsidRPr="00AD2DFE">
        <w:rPr>
          <w:i/>
          <w:iCs/>
        </w:rPr>
        <w:t>filed more than three complaints</w:t>
      </w:r>
      <w:r>
        <w:t xml:space="preserve"> during th</w:t>
      </w:r>
      <w:r w:rsidR="00965632">
        <w:t>at</w:t>
      </w:r>
      <w:r>
        <w:t xml:space="preserve"> ten-year period.</w:t>
      </w:r>
      <w:r>
        <w:rPr>
          <w:rStyle w:val="FootnoteReference"/>
        </w:rPr>
        <w:footnoteReference w:id="18"/>
      </w:r>
      <w:r w:rsidR="00F558D1">
        <w:t xml:space="preserve"> </w:t>
      </w:r>
      <w:r>
        <w:t>If there are duplicative complaints as alleged by Columbia and Duke</w:t>
      </w:r>
      <w:r w:rsidR="00622CB8">
        <w:t xml:space="preserve"> (in the joint comments they filed)</w:t>
      </w:r>
      <w:r>
        <w:t>, they are few and far between.</w:t>
      </w:r>
      <w:r w:rsidR="00F558D1">
        <w:t xml:space="preserve"> </w:t>
      </w:r>
      <w:r>
        <w:t xml:space="preserve">The PUCO should ignore the </w:t>
      </w:r>
      <w:r w:rsidR="00190084">
        <w:t xml:space="preserve">unfounded comments of </w:t>
      </w:r>
      <w:r>
        <w:t xml:space="preserve">Columbia Gas and Duke </w:t>
      </w:r>
      <w:r w:rsidR="00190084">
        <w:t xml:space="preserve">and </w:t>
      </w:r>
      <w:r>
        <w:t>reject the proposed vexatious litigator rule.</w:t>
      </w:r>
      <w:r w:rsidR="00E901B7">
        <w:t xml:space="preserve"> </w:t>
      </w:r>
    </w:p>
    <w:p w:rsidR="00313B95" w:rsidRPr="00151A13" w:rsidP="00D32792" w14:paraId="5BEC5D99" w14:textId="76EF864F">
      <w:pPr>
        <w:spacing w:line="480" w:lineRule="auto"/>
        <w:ind w:firstLine="720"/>
        <w:rPr>
          <w:rFonts w:cs="Times New Roman"/>
          <w:szCs w:val="24"/>
        </w:rPr>
      </w:pPr>
      <w:r>
        <w:t xml:space="preserve">Columbia and Duke </w:t>
      </w:r>
      <w:r w:rsidR="00622CB8">
        <w:t xml:space="preserve">jointly </w:t>
      </w:r>
      <w:r>
        <w:t>recommended that duplicative filings be included as another reason why a complainant should be labeled vexatious.</w:t>
      </w:r>
      <w:r>
        <w:rPr>
          <w:rStyle w:val="FootnoteReference"/>
        </w:rPr>
        <w:footnoteReference w:id="19"/>
      </w:r>
      <w:r>
        <w:t>According to these comments, “vexatious litigators tend to file multiple proceedings that make duplicative allegations</w:t>
      </w:r>
      <w:r w:rsidR="00D32792">
        <w:t>”</w:t>
      </w:r>
      <w:r>
        <w:t xml:space="preserve"> or attempt to relitigate previous cases.</w:t>
      </w:r>
      <w:r>
        <w:rPr>
          <w:rStyle w:val="FootnoteReference"/>
        </w:rPr>
        <w:footnoteReference w:id="20"/>
      </w:r>
      <w:r w:rsidR="00D32792">
        <w:t xml:space="preserve"> These utilities attempt to bar not only litigation that is “frivolous or…conducted for </w:t>
      </w:r>
      <w:r w:rsidRPr="00151A13" w:rsidR="00D32792">
        <w:rPr>
          <w:rFonts w:cs="Times New Roman"/>
          <w:szCs w:val="24"/>
        </w:rPr>
        <w:t xml:space="preserve">improper purpose,” but also litigation that is </w:t>
      </w:r>
      <w:r w:rsidR="00190084">
        <w:rPr>
          <w:rFonts w:cs="Times New Roman"/>
          <w:szCs w:val="24"/>
        </w:rPr>
        <w:t xml:space="preserve">supposedly </w:t>
      </w:r>
      <w:r w:rsidRPr="00151A13" w:rsidR="00D32792">
        <w:rPr>
          <w:rFonts w:cs="Times New Roman"/>
          <w:szCs w:val="24"/>
        </w:rPr>
        <w:t xml:space="preserve">“duplicative.” Columbia and Duke state that this is necessary because “vexatious litigators tend to file multiple proceedings that make duplicative allegations.” </w:t>
      </w:r>
      <w:r w:rsidRPr="00151A13">
        <w:rPr>
          <w:rFonts w:cs="Times New Roman"/>
          <w:szCs w:val="24"/>
        </w:rPr>
        <w:t>However, a review of the formal complaints filed at the PUCO</w:t>
      </w:r>
      <w:r w:rsidRPr="00151A13" w:rsidR="005578AC">
        <w:rPr>
          <w:rFonts w:cs="Times New Roman"/>
          <w:szCs w:val="24"/>
        </w:rPr>
        <w:t xml:space="preserve">, noted above, </w:t>
      </w:r>
      <w:r w:rsidRPr="00151A13">
        <w:rPr>
          <w:rFonts w:cs="Times New Roman"/>
          <w:szCs w:val="24"/>
        </w:rPr>
        <w:t xml:space="preserve">does not align with these comments. </w:t>
      </w:r>
      <w:r w:rsidR="00566399">
        <w:rPr>
          <w:rFonts w:cs="Times New Roman"/>
          <w:szCs w:val="24"/>
        </w:rPr>
        <w:t>And the PUCO has existing means and legal precedent to limit or prevent duplicative litigation.</w:t>
      </w:r>
    </w:p>
    <w:p w:rsidR="00956CC7" w:rsidP="006E4A31" w14:paraId="2C2CD80C" w14:textId="24E949F8">
      <w:pPr>
        <w:pStyle w:val="BodyTextIndent3"/>
        <w:widowControl w:val="0"/>
        <w:spacing w:line="480" w:lineRule="auto"/>
        <w:ind w:right="-312"/>
      </w:pPr>
      <w:r>
        <w:rPr>
          <w:szCs w:val="24"/>
        </w:rPr>
        <w:t>The very limited occurrences of a</w:t>
      </w:r>
      <w:r w:rsidRPr="00151A13">
        <w:rPr>
          <w:szCs w:val="24"/>
        </w:rPr>
        <w:t xml:space="preserve"> complainant </w:t>
      </w:r>
      <w:r w:rsidRPr="00151A13" w:rsidR="00AD2DFE">
        <w:rPr>
          <w:szCs w:val="24"/>
        </w:rPr>
        <w:t xml:space="preserve">filing multiple complaints over a ten-year period </w:t>
      </w:r>
      <w:r w:rsidR="00190084">
        <w:rPr>
          <w:szCs w:val="24"/>
        </w:rPr>
        <w:t xml:space="preserve">involving different industries, different utilities, and different matters </w:t>
      </w:r>
      <w:r w:rsidRPr="00151A13">
        <w:rPr>
          <w:szCs w:val="24"/>
        </w:rPr>
        <w:t xml:space="preserve">is </w:t>
      </w:r>
      <w:r w:rsidR="00965632">
        <w:rPr>
          <w:szCs w:val="24"/>
        </w:rPr>
        <w:t xml:space="preserve">simply </w:t>
      </w:r>
      <w:r w:rsidRPr="00151A13">
        <w:rPr>
          <w:szCs w:val="24"/>
        </w:rPr>
        <w:t xml:space="preserve">not </w:t>
      </w:r>
      <w:r>
        <w:rPr>
          <w:szCs w:val="24"/>
        </w:rPr>
        <w:t>sufficient</w:t>
      </w:r>
      <w:r w:rsidRPr="00C618B3">
        <w:t xml:space="preserve"> </w:t>
      </w:r>
      <w:r w:rsidRPr="00C618B3">
        <w:t xml:space="preserve">reason to adopt </w:t>
      </w:r>
      <w:r>
        <w:t>this</w:t>
      </w:r>
      <w:r w:rsidRPr="00C618B3">
        <w:t xml:space="preserve"> new rule</w:t>
      </w:r>
      <w:r>
        <w:t>. And, i</w:t>
      </w:r>
      <w:r>
        <w:rPr>
          <w:szCs w:val="24"/>
        </w:rPr>
        <w:t>n not granting this authority to the PUCO, the General Assembly protected the right of Ohioans – which the proposed rule could unlawfully threaten – to file complaints against their public utilities. The</w:t>
      </w:r>
      <w:r w:rsidR="000B6630">
        <w:rPr>
          <w:szCs w:val="24"/>
        </w:rPr>
        <w:t>re</w:t>
      </w:r>
      <w:r>
        <w:rPr>
          <w:szCs w:val="24"/>
        </w:rPr>
        <w:t xml:space="preserve"> is the potential</w:t>
      </w:r>
      <w:r w:rsidR="000B6630">
        <w:rPr>
          <w:szCs w:val="24"/>
        </w:rPr>
        <w:t xml:space="preserve"> </w:t>
      </w:r>
      <w:r>
        <w:rPr>
          <w:szCs w:val="24"/>
        </w:rPr>
        <w:t>for utilities to exploit even a well-intentioned rule barring vexatious complaints</w:t>
      </w:r>
      <w:r w:rsidR="000B6630">
        <w:rPr>
          <w:szCs w:val="24"/>
        </w:rPr>
        <w:t xml:space="preserve">, to </w:t>
      </w:r>
      <w:r w:rsidR="001770B3">
        <w:rPr>
          <w:szCs w:val="24"/>
        </w:rPr>
        <w:t xml:space="preserve">distract and </w:t>
      </w:r>
      <w:r w:rsidR="000B6630">
        <w:rPr>
          <w:szCs w:val="24"/>
        </w:rPr>
        <w:t>deter consumers who undertake the already formidable task of suing their utility monopoly</w:t>
      </w:r>
      <w:r>
        <w:rPr>
          <w:szCs w:val="24"/>
        </w:rPr>
        <w:t xml:space="preserve">. </w:t>
      </w:r>
      <w:r w:rsidR="000B6630">
        <w:t>T</w:t>
      </w:r>
      <w:r>
        <w:t xml:space="preserve">here is not sufficient evidence of vexatious complaints against utilities so as to warrant further imperiling the public’s right of redress to their government against the monopoly providers of </w:t>
      </w:r>
      <w:r w:rsidR="000B6630">
        <w:t xml:space="preserve">their essential </w:t>
      </w:r>
      <w:r>
        <w:t>utility services</w:t>
      </w:r>
      <w:r w:rsidRPr="00584E91">
        <w:t xml:space="preserve"> </w:t>
      </w:r>
      <w:r w:rsidR="000B6630">
        <w:t>for</w:t>
      </w:r>
      <w:r>
        <w:t xml:space="preserve"> life and health.</w:t>
      </w:r>
    </w:p>
    <w:p w:rsidR="000317C1" w:rsidRPr="007B3799" w:rsidP="00F56365" w14:paraId="6D1126D5" w14:textId="5E0069C7">
      <w:pPr>
        <w:pStyle w:val="Heading2"/>
        <w:rPr>
          <w:rStyle w:val="Heading2Char"/>
        </w:rPr>
      </w:pPr>
      <w:bookmarkStart w:id="16" w:name="_Toc31888720"/>
      <w:bookmarkStart w:id="17" w:name="_Toc32244806"/>
      <w:r w:rsidRPr="006A6543">
        <w:t>B</w:t>
      </w:r>
      <w:r w:rsidRPr="007B3799">
        <w:rPr>
          <w:rStyle w:val="Heading2Char"/>
        </w:rPr>
        <w:t xml:space="preserve">. </w:t>
      </w:r>
      <w:r w:rsidR="007B3799">
        <w:rPr>
          <w:rStyle w:val="Heading2Char"/>
        </w:rPr>
        <w:tab/>
      </w:r>
      <w:r w:rsidRPr="007B3799" w:rsidR="00367D42">
        <w:rPr>
          <w:rStyle w:val="Heading2Char"/>
        </w:rPr>
        <w:t>Utilit</w:t>
      </w:r>
      <w:r w:rsidR="001770B3">
        <w:rPr>
          <w:rStyle w:val="Heading2Char"/>
        </w:rPr>
        <w:t>y</w:t>
      </w:r>
      <w:r w:rsidRPr="007B3799" w:rsidR="00367D42">
        <w:rPr>
          <w:rStyle w:val="Heading2Char"/>
        </w:rPr>
        <w:t xml:space="preserve"> </w:t>
      </w:r>
      <w:r w:rsidRPr="007B3799" w:rsidR="00AD6054">
        <w:rPr>
          <w:rStyle w:val="Heading2Char"/>
        </w:rPr>
        <w:t>c</w:t>
      </w:r>
      <w:r w:rsidRPr="007B3799" w:rsidR="00367D42">
        <w:rPr>
          <w:rStyle w:val="Heading2Char"/>
        </w:rPr>
        <w:t xml:space="preserve">omments illustrate why the PUCO should adopt </w:t>
      </w:r>
      <w:r w:rsidR="000B6630">
        <w:rPr>
          <w:rStyle w:val="Heading2Char"/>
        </w:rPr>
        <w:t xml:space="preserve">the </w:t>
      </w:r>
      <w:r w:rsidRPr="007B3799" w:rsidR="00367D42">
        <w:rPr>
          <w:rStyle w:val="Heading2Char"/>
        </w:rPr>
        <w:t>OCC</w:t>
      </w:r>
      <w:r w:rsidR="000B6630">
        <w:rPr>
          <w:rStyle w:val="Heading2Char"/>
        </w:rPr>
        <w:t>/NOAC</w:t>
      </w:r>
      <w:r w:rsidRPr="007B3799" w:rsidR="00367D42">
        <w:rPr>
          <w:rStyle w:val="Heading2Char"/>
        </w:rPr>
        <w:t xml:space="preserve"> recommendation </w:t>
      </w:r>
      <w:r w:rsidR="000B6630">
        <w:rPr>
          <w:rStyle w:val="Heading2Char"/>
        </w:rPr>
        <w:t>(regarding</w:t>
      </w:r>
      <w:r w:rsidRPr="007B3799" w:rsidR="00367D42">
        <w:rPr>
          <w:rStyle w:val="Heading2Char"/>
        </w:rPr>
        <w:t xml:space="preserve"> </w:t>
      </w:r>
      <w:r w:rsidR="000B6630">
        <w:rPr>
          <w:rStyle w:val="Heading2Char"/>
        </w:rPr>
        <w:t>claims of vexatious litigation)</w:t>
      </w:r>
      <w:r w:rsidRPr="007B3799" w:rsidR="00AD6054">
        <w:rPr>
          <w:rStyle w:val="Heading2Char"/>
        </w:rPr>
        <w:t xml:space="preserve"> for </w:t>
      </w:r>
      <w:r w:rsidRPr="007B3799" w:rsidR="00367D42">
        <w:rPr>
          <w:rStyle w:val="Heading2Char"/>
        </w:rPr>
        <w:t>providing more information</w:t>
      </w:r>
      <w:r w:rsidR="000B6630">
        <w:rPr>
          <w:rStyle w:val="Heading2Char"/>
        </w:rPr>
        <w:t xml:space="preserve"> to the public</w:t>
      </w:r>
      <w:r w:rsidRPr="007B3799" w:rsidR="00367D42">
        <w:rPr>
          <w:rStyle w:val="Heading2Char"/>
        </w:rPr>
        <w:t xml:space="preserve"> about </w:t>
      </w:r>
      <w:r w:rsidR="000B6630">
        <w:rPr>
          <w:rStyle w:val="Heading2Char"/>
        </w:rPr>
        <w:t xml:space="preserve">filing </w:t>
      </w:r>
      <w:r w:rsidRPr="007B3799" w:rsidR="00367D42">
        <w:rPr>
          <w:rStyle w:val="Heading2Char"/>
        </w:rPr>
        <w:t>complaint</w:t>
      </w:r>
      <w:r w:rsidR="000B6630">
        <w:rPr>
          <w:rStyle w:val="Heading2Char"/>
        </w:rPr>
        <w:t>s against utilities</w:t>
      </w:r>
      <w:r w:rsidRPr="007B3799" w:rsidR="00367D42">
        <w:rPr>
          <w:rStyle w:val="Heading2Char"/>
        </w:rPr>
        <w:t xml:space="preserve"> </w:t>
      </w:r>
      <w:r w:rsidR="000B6630">
        <w:rPr>
          <w:rStyle w:val="Heading2Char"/>
        </w:rPr>
        <w:t>at the PUCO</w:t>
      </w:r>
      <w:r w:rsidRPr="007B3799" w:rsidR="00367D42">
        <w:rPr>
          <w:rStyle w:val="Heading2Char"/>
        </w:rPr>
        <w:t>.</w:t>
      </w:r>
      <w:bookmarkEnd w:id="16"/>
      <w:bookmarkEnd w:id="17"/>
    </w:p>
    <w:bookmarkEnd w:id="12"/>
    <w:bookmarkEnd w:id="13"/>
    <w:p w:rsidR="0045466C" w:rsidP="00900767" w14:paraId="6FFBEC1E" w14:textId="11E3FEFD">
      <w:pPr>
        <w:spacing w:line="480" w:lineRule="auto"/>
        <w:ind w:firstLine="720"/>
      </w:pPr>
      <w:r>
        <w:t xml:space="preserve">FirstEnergy recommended that the definition for what constitutes “frivolous” in the </w:t>
      </w:r>
      <w:r w:rsidR="00025149">
        <w:t>proposed vexatious litigator ru</w:t>
      </w:r>
      <w:r w:rsidRPr="00047420" w:rsidR="00025149">
        <w:t>les</w:t>
      </w:r>
      <w:r>
        <w:t xml:space="preserve"> include conduct demonstrating a disregard for the Commission’s Rules of Practice.</w:t>
      </w:r>
      <w:r>
        <w:rPr>
          <w:rStyle w:val="FootnoteReference"/>
        </w:rPr>
        <w:footnoteReference w:id="21"/>
      </w:r>
      <w:r w:rsidR="00104D1B">
        <w:t xml:space="preserve"> </w:t>
      </w:r>
      <w:r>
        <w:rPr>
          <w:rStyle w:val="FootnoteReference"/>
        </w:rPr>
        <w:footnoteReference w:id="22"/>
      </w:r>
      <w:r w:rsidR="00F558D1">
        <w:t xml:space="preserve"> </w:t>
      </w:r>
      <w:r>
        <w:t xml:space="preserve">This should be rejected. </w:t>
      </w:r>
      <w:r w:rsidR="0008458E">
        <w:t>Americans have rights to access the</w:t>
      </w:r>
      <w:r w:rsidR="00DE4D38">
        <w:t>ir</w:t>
      </w:r>
      <w:r w:rsidR="0008458E">
        <w:t xml:space="preserve"> courts and other quasi-judicial forums by appearing on their own behalf. </w:t>
      </w:r>
    </w:p>
    <w:p w:rsidR="0045466C" w:rsidP="00900767" w14:paraId="03BC0F52" w14:textId="6CF6AC27">
      <w:pPr>
        <w:spacing w:line="480" w:lineRule="auto"/>
        <w:ind w:firstLine="720"/>
      </w:pPr>
      <w:r>
        <w:t>FirstEnergy’s proposal would</w:t>
      </w:r>
      <w:r w:rsidR="0008458E">
        <w:t>,</w:t>
      </w:r>
      <w:r>
        <w:t xml:space="preserve"> in essence</w:t>
      </w:r>
      <w:r w:rsidR="0008458E">
        <w:t>,</w:t>
      </w:r>
      <w:r>
        <w:t xml:space="preserve"> require customers to retain a </w:t>
      </w:r>
      <w:r w:rsidR="0008458E">
        <w:t xml:space="preserve">regulatory </w:t>
      </w:r>
      <w:r>
        <w:t xml:space="preserve">lawyer knowledgeable about practicing before the PUCO </w:t>
      </w:r>
      <w:r w:rsidR="0008458E">
        <w:t xml:space="preserve">to file a complaint against a utility. The fact that an Ohioan may not have the money to hire a regulatory attorney </w:t>
      </w:r>
      <w:r w:rsidR="00104D1B">
        <w:t>should not go unnoticed when considering FirstEnergy’s proposal</w:t>
      </w:r>
      <w:r>
        <w:t>.</w:t>
      </w:r>
      <w:r w:rsidR="00F558D1">
        <w:t xml:space="preserve"> </w:t>
      </w:r>
    </w:p>
    <w:p w:rsidR="00DE4D38" w:rsidP="00900767" w14:paraId="4BE1E44C" w14:textId="4E94B7A4">
      <w:pPr>
        <w:spacing w:line="480" w:lineRule="auto"/>
        <w:ind w:firstLine="720"/>
      </w:pPr>
      <w:r>
        <w:t xml:space="preserve">FirstEnergy also recommended that an additional rule be added where utilities could file motions for summary judgments that could support an </w:t>
      </w:r>
      <w:r w:rsidR="00F12EE5">
        <w:t>administrative law judge (“</w:t>
      </w:r>
      <w:r>
        <w:t>ALJ</w:t>
      </w:r>
      <w:r w:rsidR="00F12EE5">
        <w:t>”)</w:t>
      </w:r>
      <w:r>
        <w:t xml:space="preserve"> disposing of complaints without the burden of a hearing.</w:t>
      </w:r>
      <w:r>
        <w:rPr>
          <w:rStyle w:val="FootnoteReference"/>
        </w:rPr>
        <w:footnoteReference w:id="23"/>
      </w:r>
      <w:r w:rsidR="00F558D1">
        <w:t xml:space="preserve"> </w:t>
      </w:r>
      <w:r>
        <w:t xml:space="preserve">However, </w:t>
      </w:r>
      <w:r w:rsidR="0045466C">
        <w:t>FirstEnergy’s</w:t>
      </w:r>
      <w:r>
        <w:t xml:space="preserve"> proposal </w:t>
      </w:r>
      <w:r w:rsidR="0045466C">
        <w:t xml:space="preserve">would </w:t>
      </w:r>
      <w:r>
        <w:t xml:space="preserve">severely disadvantage residential customers </w:t>
      </w:r>
      <w:r w:rsidR="0045466C">
        <w:t>with another hurdle in the already formidable process of seeking redress at the PUCO for</w:t>
      </w:r>
      <w:r>
        <w:t xml:space="preserve"> their </w:t>
      </w:r>
      <w:r w:rsidR="0045466C">
        <w:t xml:space="preserve">utility-service </w:t>
      </w:r>
      <w:r>
        <w:t>complaint</w:t>
      </w:r>
      <w:r w:rsidR="0045466C">
        <w:t>.</w:t>
      </w:r>
      <w:r>
        <w:t xml:space="preserve"> </w:t>
      </w:r>
    </w:p>
    <w:p w:rsidR="00DE4D38" w:rsidP="00900767" w14:paraId="6BE1CCCE" w14:textId="594187E3">
      <w:pPr>
        <w:spacing w:line="480" w:lineRule="auto"/>
        <w:ind w:firstLine="720"/>
      </w:pPr>
      <w:r>
        <w:t xml:space="preserve">In considering the utility proposals against Ohioans’ alleged vexatious complaints, the PUCO should use a filter in acknowledgement that the utilities don’t like being sued by the public. And the utilities could try to use their proposed rules to avoid being sued by the public, vexatiously or not.  </w:t>
      </w:r>
    </w:p>
    <w:p w:rsidR="00900767" w:rsidP="00900767" w14:paraId="5E51CB79" w14:textId="340F0055">
      <w:pPr>
        <w:spacing w:line="480" w:lineRule="auto"/>
        <w:ind w:firstLine="720"/>
      </w:pPr>
      <w:r>
        <w:t xml:space="preserve">Rather, FirstEnergy’s proposal illustrates why the PUCO </w:t>
      </w:r>
      <w:r w:rsidR="00DE4D38">
        <w:t>should</w:t>
      </w:r>
      <w:r>
        <w:t xml:space="preserve"> adopt </w:t>
      </w:r>
      <w:r w:rsidR="0045466C">
        <w:t>the OCC/NOAC</w:t>
      </w:r>
      <w:r>
        <w:t xml:space="preserve"> recommendation, described in our initial comments,</w:t>
      </w:r>
      <w:r w:rsidR="00DE4D38">
        <w:t xml:space="preserve"> </w:t>
      </w:r>
      <w:r w:rsidR="00782236">
        <w:t xml:space="preserve">for consumer information. The PUCO’s website should </w:t>
      </w:r>
      <w:r>
        <w:t>provid</w:t>
      </w:r>
      <w:r w:rsidR="00782236">
        <w:t>e</w:t>
      </w:r>
      <w:r>
        <w:t xml:space="preserve"> </w:t>
      </w:r>
      <w:r w:rsidR="00913EAD">
        <w:t xml:space="preserve">the </w:t>
      </w:r>
      <w:r>
        <w:t>public</w:t>
      </w:r>
      <w:r w:rsidR="00913EAD">
        <w:t xml:space="preserve"> with more</w:t>
      </w:r>
      <w:r>
        <w:t xml:space="preserve"> information </w:t>
      </w:r>
      <w:r w:rsidR="00913EAD">
        <w:t xml:space="preserve">and assistance </w:t>
      </w:r>
      <w:r>
        <w:t>about formal complaint proceedings.</w:t>
      </w:r>
      <w:r>
        <w:rPr>
          <w:rStyle w:val="FootnoteReference"/>
        </w:rPr>
        <w:footnoteReference w:id="24"/>
      </w:r>
      <w:r>
        <w:t xml:space="preserve"> </w:t>
      </w:r>
    </w:p>
    <w:p w:rsidR="00782236" w:rsidP="00900767" w14:paraId="4FD9B3C8" w14:textId="4206E46F">
      <w:pPr>
        <w:spacing w:line="480" w:lineRule="auto"/>
        <w:ind w:firstLine="720"/>
      </w:pPr>
      <w:r>
        <w:t>AEP</w:t>
      </w:r>
      <w:r w:rsidR="00900767">
        <w:t xml:space="preserve"> recommends a new rule that would require </w:t>
      </w:r>
      <w:r w:rsidR="00AB526E">
        <w:t xml:space="preserve">the PUCO </w:t>
      </w:r>
      <w:r w:rsidR="00900767">
        <w:t>Staff</w:t>
      </w:r>
      <w:r w:rsidR="008A683C">
        <w:t xml:space="preserve"> (instead of </w:t>
      </w:r>
      <w:r w:rsidR="00396843">
        <w:t>those at the PUCO with quasi-judicial authority)</w:t>
      </w:r>
      <w:r w:rsidR="00900767">
        <w:t xml:space="preserve"> to review formal complaints to determine if the PUCO has jurisdiction over the matter and if reasonable grounds are stated in the complaint prior to scheduling a settlement conference.</w:t>
      </w:r>
      <w:r>
        <w:rPr>
          <w:rStyle w:val="FootnoteReference"/>
        </w:rPr>
        <w:footnoteReference w:id="25"/>
      </w:r>
      <w:r w:rsidR="00F558D1">
        <w:t xml:space="preserve"> </w:t>
      </w:r>
      <w:r w:rsidR="004F2EEE">
        <w:t xml:space="preserve">AEP </w:t>
      </w:r>
      <w:r w:rsidR="00367D42">
        <w:t>states that requiring</w:t>
      </w:r>
      <w:r w:rsidR="00900767">
        <w:t xml:space="preserve"> the utility to attend settlement conferences, prepare for hearings, and litigat</w:t>
      </w:r>
      <w:r w:rsidR="008A683C">
        <w:t>e</w:t>
      </w:r>
      <w:r w:rsidR="00900767">
        <w:t xml:space="preserve"> complaints that are </w:t>
      </w:r>
      <w:r w:rsidR="008A683C">
        <w:t xml:space="preserve">(allegedly) </w:t>
      </w:r>
      <w:r w:rsidR="00900767">
        <w:t xml:space="preserve">outside the </w:t>
      </w:r>
      <w:r w:rsidR="008A683C">
        <w:t xml:space="preserve">PUCO’s </w:t>
      </w:r>
      <w:r w:rsidR="00900767">
        <w:t>jurisdiction or do not state reasonable grounds harms other customers.</w:t>
      </w:r>
      <w:r>
        <w:rPr>
          <w:rStyle w:val="FootnoteReference"/>
        </w:rPr>
        <w:footnoteReference w:id="26"/>
      </w:r>
      <w:r w:rsidR="00F558D1">
        <w:t xml:space="preserve"> </w:t>
      </w:r>
      <w:r w:rsidR="00367D42">
        <w:t xml:space="preserve">However, </w:t>
      </w:r>
      <w:r w:rsidR="004F2EEE">
        <w:t>AEP</w:t>
      </w:r>
      <w:r w:rsidR="00900767">
        <w:t xml:space="preserve"> does not elaborate on how other customers are harmed. </w:t>
      </w:r>
    </w:p>
    <w:p w:rsidR="00782236" w:rsidP="00900767" w14:paraId="3E316A6C" w14:textId="790ADCCE">
      <w:pPr>
        <w:spacing w:line="480" w:lineRule="auto"/>
        <w:ind w:firstLine="720"/>
      </w:pPr>
      <w:r>
        <w:t xml:space="preserve">Regardless, </w:t>
      </w:r>
      <w:r w:rsidR="008A683C">
        <w:t xml:space="preserve">the PUCO </w:t>
      </w:r>
      <w:r>
        <w:t>Staff should not be involved in determining if there are reasonable grounds stated in a complaint as this may result in the formal complaint process being ineffective for many consumers.</w:t>
      </w:r>
      <w:r>
        <w:t xml:space="preserve"> That</w:t>
      </w:r>
      <w:r w:rsidR="00CC1BBF">
        <w:t xml:space="preserve"> judicial function</w:t>
      </w:r>
      <w:r>
        <w:t xml:space="preserve"> is the province of those at the PUCO vested with quasi-judicial authority. For one thing, utilities may view their access and communications with the PUCO Staff as not off limits under the state’s </w:t>
      </w:r>
      <w:r w:rsidR="00FB2B39">
        <w:t xml:space="preserve">statute limiting </w:t>
      </w:r>
      <w:r>
        <w:t xml:space="preserve">ex parte </w:t>
      </w:r>
      <w:r w:rsidR="00FB2B39">
        <w:t xml:space="preserve">communications </w:t>
      </w:r>
      <w:r>
        <w:t xml:space="preserve">(R.C. </w:t>
      </w:r>
      <w:r w:rsidR="00622CB8">
        <w:t>490</w:t>
      </w:r>
      <w:r w:rsidR="003E442E">
        <w:t>3.081</w:t>
      </w:r>
      <w:r w:rsidR="00047420">
        <w:t>)</w:t>
      </w:r>
      <w:r>
        <w:t>.</w:t>
      </w:r>
      <w:r>
        <w:rPr>
          <w:rStyle w:val="FootnoteReference"/>
        </w:rPr>
        <w:footnoteReference w:id="27"/>
      </w:r>
      <w:r>
        <w:t xml:space="preserve"> </w:t>
      </w:r>
      <w:r w:rsidR="006E1F0B">
        <w:t xml:space="preserve">This </w:t>
      </w:r>
      <w:r>
        <w:t>would be distinguished from the limits on discussions with attorney examiners and Commissioners about pending cases.</w:t>
      </w:r>
      <w:r>
        <w:t xml:space="preserve"> </w:t>
      </w:r>
      <w:r w:rsidR="006E1F0B">
        <w:t xml:space="preserve">This </w:t>
      </w:r>
      <w:r>
        <w:t>potentiality would be unfair to consumers.</w:t>
      </w:r>
    </w:p>
    <w:p w:rsidR="00900767" w:rsidP="00900767" w14:paraId="02F7CA9C" w14:textId="2BA9217F">
      <w:pPr>
        <w:spacing w:line="480" w:lineRule="auto"/>
        <w:ind w:firstLine="720"/>
      </w:pPr>
      <w:r>
        <w:t>In fact,</w:t>
      </w:r>
      <w:r>
        <w:t xml:space="preserve"> the </w:t>
      </w:r>
      <w:r w:rsidR="004F2EEE">
        <w:t>AEP</w:t>
      </w:r>
      <w:r>
        <w:t xml:space="preserve"> proposal </w:t>
      </w:r>
      <w:r>
        <w:t xml:space="preserve">serves to </w:t>
      </w:r>
      <w:r>
        <w:t>further support why the PUCO should adopt the OCC</w:t>
      </w:r>
      <w:r w:rsidR="00622CB8">
        <w:t>/NOAC</w:t>
      </w:r>
      <w:r>
        <w:t xml:space="preserve"> recommendation</w:t>
      </w:r>
      <w:r w:rsidR="00782236">
        <w:t xml:space="preserve"> about consumer information.</w:t>
      </w:r>
      <w:r>
        <w:t xml:space="preserve"> </w:t>
      </w:r>
      <w:r w:rsidR="00782236">
        <w:t xml:space="preserve">The PUCO should </w:t>
      </w:r>
      <w:r>
        <w:t xml:space="preserve">provide Ohioans </w:t>
      </w:r>
      <w:r w:rsidR="00AF172C">
        <w:t xml:space="preserve">with </w:t>
      </w:r>
      <w:r>
        <w:t>more information</w:t>
      </w:r>
      <w:r w:rsidR="00AF172C">
        <w:t>, on the PUCO’s website,</w:t>
      </w:r>
      <w:r>
        <w:t xml:space="preserve"> about the formal complaint process. </w:t>
      </w:r>
    </w:p>
    <w:p w:rsidR="00AD6054" w:rsidP="00AD6054" w14:paraId="32484DBB" w14:textId="7C857ACD">
      <w:pPr>
        <w:spacing w:line="480" w:lineRule="auto"/>
        <w:ind w:firstLine="720"/>
        <w:rPr>
          <w:szCs w:val="24"/>
        </w:rPr>
      </w:pPr>
      <w:r>
        <w:rPr>
          <w:szCs w:val="24"/>
        </w:rPr>
        <w:t>Since the complaint rules were last reviewed, the Cleveland Plain Dealer and the Columbus Dispatch featured an article describing the difficulties many Ohioans experience in obtaining favorable outcomes through formal complaints filed at the PUCO against the utilities.</w:t>
      </w:r>
      <w:r>
        <w:rPr>
          <w:rStyle w:val="FootnoteReference"/>
          <w:szCs w:val="24"/>
        </w:rPr>
        <w:footnoteReference w:id="28"/>
      </w:r>
      <w:r>
        <w:rPr>
          <w:szCs w:val="24"/>
        </w:rPr>
        <w:t xml:space="preserve"> Formal complaints can be very </w:t>
      </w:r>
      <w:r w:rsidR="00FB2B39">
        <w:rPr>
          <w:szCs w:val="24"/>
        </w:rPr>
        <w:t xml:space="preserve">daunting </w:t>
      </w:r>
      <w:r>
        <w:rPr>
          <w:szCs w:val="24"/>
        </w:rPr>
        <w:t>and time-consuming for consumers. The complaint rule in Ohio Adm.</w:t>
      </w:r>
      <w:r w:rsidR="00622CB8">
        <w:rPr>
          <w:szCs w:val="24"/>
        </w:rPr>
        <w:t xml:space="preserve"> </w:t>
      </w:r>
      <w:r>
        <w:rPr>
          <w:szCs w:val="24"/>
        </w:rPr>
        <w:t xml:space="preserve">Code 4901-9-01(B) describes the minimum information that must be included in a consumer formal complaint and how to request a sample complaint form from the PUCO service monitoring and enforcement department. </w:t>
      </w:r>
    </w:p>
    <w:p w:rsidR="00AD6054" w:rsidP="00AD6054" w14:paraId="1ADAC718" w14:textId="470E4753">
      <w:pPr>
        <w:autoSpaceDE w:val="0"/>
        <w:autoSpaceDN w:val="0"/>
        <w:adjustRightInd w:val="0"/>
        <w:spacing w:line="480" w:lineRule="auto"/>
        <w:ind w:firstLine="720"/>
        <w:jc w:val="both"/>
        <w:rPr>
          <w:szCs w:val="24"/>
        </w:rPr>
      </w:pPr>
      <w:r>
        <w:rPr>
          <w:szCs w:val="24"/>
        </w:rPr>
        <w:t xml:space="preserve">However, </w:t>
      </w:r>
      <w:r w:rsidR="00025149">
        <w:rPr>
          <w:szCs w:val="24"/>
        </w:rPr>
        <w:t xml:space="preserve">currently </w:t>
      </w:r>
      <w:r>
        <w:rPr>
          <w:szCs w:val="24"/>
        </w:rPr>
        <w:t xml:space="preserve">the rules do not require that an explanation of the formal complaint process be provided </w:t>
      </w:r>
      <w:r w:rsidRPr="006A6543">
        <w:rPr>
          <w:i/>
          <w:iCs/>
          <w:szCs w:val="24"/>
        </w:rPr>
        <w:t>on the PUCO</w:t>
      </w:r>
      <w:r w:rsidR="00EB6A33">
        <w:rPr>
          <w:i/>
          <w:iCs/>
          <w:szCs w:val="24"/>
        </w:rPr>
        <w:t>’s</w:t>
      </w:r>
      <w:r w:rsidRPr="006A6543">
        <w:rPr>
          <w:i/>
          <w:iCs/>
          <w:szCs w:val="24"/>
        </w:rPr>
        <w:t xml:space="preserve"> website</w:t>
      </w:r>
      <w:r>
        <w:rPr>
          <w:szCs w:val="24"/>
        </w:rPr>
        <w:t>. Nor do the rules require a link for customers to obtain the sample complaint form.</w:t>
      </w:r>
      <w:r w:rsidR="00F558D1">
        <w:rPr>
          <w:szCs w:val="24"/>
        </w:rPr>
        <w:t xml:space="preserve"> </w:t>
      </w:r>
      <w:r w:rsidR="00DE4D38">
        <w:rPr>
          <w:szCs w:val="24"/>
        </w:rPr>
        <w:t>T</w:t>
      </w:r>
      <w:r>
        <w:rPr>
          <w:szCs w:val="24"/>
        </w:rPr>
        <w:t>his information</w:t>
      </w:r>
      <w:r w:rsidR="00DE4D38">
        <w:rPr>
          <w:szCs w:val="24"/>
        </w:rPr>
        <w:t xml:space="preserve"> should be provided</w:t>
      </w:r>
      <w:r>
        <w:rPr>
          <w:szCs w:val="24"/>
        </w:rPr>
        <w:t xml:space="preserve"> on the PUCO</w:t>
      </w:r>
      <w:r w:rsidR="00DE4D38">
        <w:rPr>
          <w:szCs w:val="24"/>
        </w:rPr>
        <w:t>’s</w:t>
      </w:r>
      <w:r>
        <w:rPr>
          <w:szCs w:val="24"/>
        </w:rPr>
        <w:t xml:space="preserve"> website </w:t>
      </w:r>
      <w:r w:rsidR="00DE4D38">
        <w:rPr>
          <w:szCs w:val="24"/>
        </w:rPr>
        <w:t xml:space="preserve">to </w:t>
      </w:r>
      <w:r>
        <w:rPr>
          <w:szCs w:val="24"/>
        </w:rPr>
        <w:t>be helpful for consumers in fully assessing</w:t>
      </w:r>
      <w:r w:rsidR="00DE4D38">
        <w:rPr>
          <w:szCs w:val="24"/>
        </w:rPr>
        <w:t xml:space="preserve"> and</w:t>
      </w:r>
      <w:r>
        <w:rPr>
          <w:szCs w:val="24"/>
        </w:rPr>
        <w:t xml:space="preserve"> pursuing formal </w:t>
      </w:r>
      <w:r w:rsidR="00DE4D38">
        <w:rPr>
          <w:szCs w:val="24"/>
        </w:rPr>
        <w:t xml:space="preserve">a </w:t>
      </w:r>
      <w:r>
        <w:rPr>
          <w:szCs w:val="24"/>
        </w:rPr>
        <w:t>complaint. To help better inform consumers about the PUCO</w:t>
      </w:r>
      <w:r w:rsidR="00DE4D38">
        <w:rPr>
          <w:szCs w:val="24"/>
        </w:rPr>
        <w:t>’s</w:t>
      </w:r>
      <w:r>
        <w:rPr>
          <w:szCs w:val="24"/>
        </w:rPr>
        <w:t xml:space="preserve"> complaint process, Ohio Adm.</w:t>
      </w:r>
      <w:r w:rsidR="00047420">
        <w:rPr>
          <w:szCs w:val="24"/>
        </w:rPr>
        <w:t xml:space="preserve"> </w:t>
      </w:r>
      <w:r>
        <w:rPr>
          <w:szCs w:val="24"/>
        </w:rPr>
        <w:t>Code 4901-9-01(B) should be amended as described in OCC</w:t>
      </w:r>
      <w:r w:rsidR="00622CB8">
        <w:rPr>
          <w:szCs w:val="24"/>
        </w:rPr>
        <w:t>/NOAC</w:t>
      </w:r>
      <w:r>
        <w:rPr>
          <w:szCs w:val="24"/>
        </w:rPr>
        <w:t>’s initial comments.</w:t>
      </w:r>
    </w:p>
    <w:p w:rsidR="006A6543" w:rsidP="006A6543" w14:paraId="0D70491B" w14:textId="40921778">
      <w:pPr>
        <w:autoSpaceDE w:val="0"/>
        <w:autoSpaceDN w:val="0"/>
        <w:adjustRightInd w:val="0"/>
        <w:spacing w:line="480" w:lineRule="auto"/>
        <w:ind w:firstLine="720"/>
        <w:rPr>
          <w:rFonts w:cs="Times New Roman"/>
          <w:szCs w:val="24"/>
        </w:rPr>
      </w:pPr>
      <w:r w:rsidRPr="000E6096">
        <w:rPr>
          <w:rFonts w:cs="Times New Roman"/>
          <w:szCs w:val="24"/>
        </w:rPr>
        <w:t xml:space="preserve">Better information could also help avoid problems, such as what is being considered by the PUCO as vexatious. </w:t>
      </w:r>
    </w:p>
    <w:p w:rsidR="00011C3D" w:rsidP="00011C3D" w14:paraId="3F9B1A54" w14:textId="77777777">
      <w:pPr>
        <w:autoSpaceDE w:val="0"/>
        <w:autoSpaceDN w:val="0"/>
        <w:adjustRightInd w:val="0"/>
        <w:ind w:firstLine="720"/>
        <w:rPr>
          <w:rFonts w:cs="Times New Roman"/>
          <w:szCs w:val="24"/>
        </w:rPr>
      </w:pPr>
    </w:p>
    <w:p w:rsidR="00956CC7" w:rsidRPr="006A6543" w:rsidP="007B3799" w14:paraId="6C4ABB60" w14:textId="2522DC68">
      <w:pPr>
        <w:pStyle w:val="Heading1"/>
      </w:pPr>
      <w:bookmarkStart w:id="18" w:name="_Toc31888721"/>
      <w:bookmarkStart w:id="19" w:name="_Toc32244807"/>
      <w:r w:rsidRPr="006A6543">
        <w:t>IV.</w:t>
      </w:r>
      <w:r w:rsidR="007B3799">
        <w:tab/>
      </w:r>
      <w:r w:rsidRPr="006A6543">
        <w:t>CONCLUSION</w:t>
      </w:r>
      <w:bookmarkEnd w:id="18"/>
      <w:bookmarkEnd w:id="19"/>
    </w:p>
    <w:p w:rsidR="00AD6054" w:rsidP="007B590C" w14:paraId="068CCE4F" w14:textId="3E77710A">
      <w:pPr>
        <w:pStyle w:val="BodyTextIndent3"/>
        <w:widowControl w:val="0"/>
        <w:spacing w:line="480" w:lineRule="auto"/>
        <w:ind w:right="-312"/>
        <w:rPr>
          <w:szCs w:val="24"/>
        </w:rPr>
      </w:pPr>
      <w:r>
        <w:t xml:space="preserve">OCC/NOAC appreciate this opportunity to reply to the utilities’ comments. The PUCO should find a path to efficiently administer its proceedings in a way that respects Ohioans’ rights to seek redress from their state government (PUCO). That right to redress includes complaints about the utility services that Ohioans rely upon for life and health.   </w:t>
      </w:r>
      <w:r w:rsidR="00367D42">
        <w:t>The</w:t>
      </w:r>
      <w:r w:rsidR="00116E2D">
        <w:t xml:space="preserve"> General Assembly did not give the</w:t>
      </w:r>
      <w:r w:rsidR="00367D42">
        <w:t xml:space="preserve"> </w:t>
      </w:r>
      <w:r w:rsidR="008F52B6">
        <w:t xml:space="preserve">PUCO </w:t>
      </w:r>
      <w:r w:rsidR="00116E2D">
        <w:t>the</w:t>
      </w:r>
      <w:r w:rsidR="008F52B6">
        <w:t xml:space="preserve"> </w:t>
      </w:r>
      <w:r w:rsidR="00116E2D">
        <w:t xml:space="preserve">legal </w:t>
      </w:r>
      <w:r w:rsidR="008F52B6">
        <w:t xml:space="preserve">authority </w:t>
      </w:r>
      <w:r w:rsidR="007B590C">
        <w:t xml:space="preserve">for the proposed rule </w:t>
      </w:r>
      <w:r w:rsidR="008F52B6">
        <w:t xml:space="preserve">to </w:t>
      </w:r>
      <w:r w:rsidR="007B590C">
        <w:t xml:space="preserve">limit or </w:t>
      </w:r>
      <w:r w:rsidR="00116E2D">
        <w:t xml:space="preserve">prevent </w:t>
      </w:r>
      <w:r w:rsidR="007B590C">
        <w:t xml:space="preserve">consumer complaints by </w:t>
      </w:r>
      <w:r w:rsidR="008F52B6">
        <w:t>declar</w:t>
      </w:r>
      <w:r w:rsidR="007B590C">
        <w:t>ing</w:t>
      </w:r>
      <w:r w:rsidR="008F52B6">
        <w:t xml:space="preserve"> a </w:t>
      </w:r>
      <w:r w:rsidR="006E1F0B">
        <w:t xml:space="preserve">complainant a </w:t>
      </w:r>
      <w:r w:rsidR="008F52B6">
        <w:t>vexatious litigator</w:t>
      </w:r>
      <w:r w:rsidR="007B590C">
        <w:t>. But the PUCO has the authority to apply various legal precedents and principles for administering its proceedings. And, as OCC/NOAC have recommended, the PUCO should</w:t>
      </w:r>
      <w:r w:rsidR="00367D42">
        <w:t xml:space="preserve"> </w:t>
      </w:r>
      <w:r w:rsidR="007B590C">
        <w:t>provide on its website</w:t>
      </w:r>
      <w:r w:rsidR="00367D42">
        <w:t xml:space="preserve"> additional information</w:t>
      </w:r>
      <w:r w:rsidR="007B590C">
        <w:t xml:space="preserve"> to assist the public</w:t>
      </w:r>
      <w:r w:rsidR="00367D42">
        <w:t xml:space="preserve"> </w:t>
      </w:r>
      <w:r w:rsidR="007B590C">
        <w:t xml:space="preserve">with </w:t>
      </w:r>
      <w:r w:rsidR="00367D42">
        <w:t xml:space="preserve">the formal </w:t>
      </w:r>
      <w:r w:rsidR="007B590C">
        <w:t>process for complaints against their public utilities. Even without the likely impediments that utilities could advance under the proposed rule and their additional proposals, it is a formidable task for a consumer to assert his or her rights against a lawyered-up utility monopoly</w:t>
      </w:r>
      <w:r w:rsidR="00367D42">
        <w:t xml:space="preserve">. </w:t>
      </w:r>
      <w:r w:rsidR="00FB2B39">
        <w:t>That daunting task for asserting one’s rights</w:t>
      </w:r>
      <w:r w:rsidR="004A2BDB">
        <w:t xml:space="preserve"> against utilities</w:t>
      </w:r>
      <w:r w:rsidR="00FB2B39">
        <w:t xml:space="preserve"> should not be made even harder.</w:t>
      </w:r>
    </w:p>
    <w:p w:rsidR="00F15F91" w:rsidP="00151A13" w14:paraId="3AC496B3" w14:textId="77777777">
      <w:pPr>
        <w:ind w:left="3600"/>
        <w:rPr>
          <w:rFonts w:cs="Times New Roman"/>
          <w:szCs w:val="24"/>
        </w:rPr>
      </w:pPr>
    </w:p>
    <w:p w:rsidR="0092067D" w:rsidRPr="000E6096" w:rsidP="00151A13" w14:paraId="1347F655" w14:textId="2006AA6B">
      <w:pPr>
        <w:ind w:left="3600"/>
        <w:rPr>
          <w:rFonts w:cs="Times New Roman"/>
          <w:szCs w:val="24"/>
        </w:rPr>
      </w:pPr>
      <w:r w:rsidRPr="000E6096">
        <w:rPr>
          <w:rFonts w:cs="Times New Roman"/>
          <w:szCs w:val="24"/>
        </w:rPr>
        <w:t>Respectfully submitted,</w:t>
      </w:r>
    </w:p>
    <w:p w:rsidR="00151A13" w:rsidP="00151A13" w14:paraId="5A699F56" w14:textId="77777777">
      <w:pPr>
        <w:pStyle w:val="Footer"/>
        <w:tabs>
          <w:tab w:val="left" w:pos="4320"/>
        </w:tabs>
        <w:rPr>
          <w:rFonts w:cs="Times New Roman"/>
          <w:szCs w:val="24"/>
        </w:rPr>
      </w:pPr>
    </w:p>
    <w:p w:rsidR="0092067D" w:rsidRPr="000E6096" w:rsidP="00151A13" w14:paraId="0752D387" w14:textId="4D867B96">
      <w:pPr>
        <w:pStyle w:val="Footer"/>
        <w:tabs>
          <w:tab w:val="left" w:pos="3600"/>
          <w:tab w:val="clear" w:pos="4680"/>
        </w:tabs>
        <w:rPr>
          <w:rFonts w:cs="Times New Roman"/>
          <w:szCs w:val="24"/>
        </w:rPr>
      </w:pPr>
      <w:r>
        <w:rPr>
          <w:rFonts w:cs="Times New Roman"/>
          <w:szCs w:val="24"/>
        </w:rPr>
        <w:tab/>
      </w:r>
      <w:r w:rsidRPr="000E6096" w:rsidR="00711F4B">
        <w:rPr>
          <w:rFonts w:cs="Times New Roman"/>
          <w:szCs w:val="24"/>
        </w:rPr>
        <w:t>Bruce Weston (0016973)</w:t>
      </w:r>
    </w:p>
    <w:p w:rsidR="0092067D" w:rsidRPr="000E6096" w:rsidP="00151A13" w14:paraId="0F89A0C3" w14:textId="34979D1D">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0E6096" w:rsidR="00B576D9">
        <w:rPr>
          <w:rFonts w:cs="Times New Roman"/>
          <w:szCs w:val="24"/>
        </w:rPr>
        <w:t>Ohio Consumers’ Counsel</w:t>
      </w:r>
    </w:p>
    <w:p w:rsidR="0092067D" w:rsidRPr="000E6096" w:rsidP="00151A13" w14:paraId="2DE90D97" w14:textId="77777777">
      <w:pPr>
        <w:tabs>
          <w:tab w:val="left" w:pos="4320"/>
        </w:tabs>
        <w:rPr>
          <w:rFonts w:cs="Times New Roman"/>
          <w:szCs w:val="24"/>
        </w:rPr>
      </w:pPr>
      <w:r w:rsidRPr="000E6096">
        <w:rPr>
          <w:rFonts w:cs="Times New Roman"/>
          <w:szCs w:val="24"/>
        </w:rPr>
        <w:tab/>
      </w:r>
    </w:p>
    <w:p w:rsidR="00DF0AC4" w:rsidRPr="000E6096" w:rsidP="00151A13" w14:paraId="09E0903E" w14:textId="3E80F682">
      <w:pPr>
        <w:tabs>
          <w:tab w:val="left" w:pos="3600"/>
          <w:tab w:val="left" w:pos="4320"/>
        </w:tabs>
        <w:rPr>
          <w:rFonts w:cs="Times New Roman"/>
          <w:i/>
          <w:szCs w:val="24"/>
          <w:u w:val="single"/>
        </w:rPr>
      </w:pPr>
      <w:r w:rsidRPr="000E6096">
        <w:rPr>
          <w:rFonts w:cs="Times New Roman"/>
          <w:szCs w:val="24"/>
        </w:rPr>
        <w:tab/>
      </w:r>
      <w:r w:rsidRPr="000E6096" w:rsidR="00160C6A">
        <w:rPr>
          <w:rFonts w:cs="Times New Roman"/>
          <w:i/>
          <w:szCs w:val="24"/>
          <w:u w:val="single"/>
        </w:rPr>
        <w:t>/s/ Amy Botschner O’Brien</w:t>
      </w:r>
    </w:p>
    <w:p w:rsidR="00DF0AC4" w:rsidP="00151A13" w14:paraId="1B3EA7DE" w14:textId="024C1952">
      <w:pPr>
        <w:tabs>
          <w:tab w:val="left" w:pos="3600"/>
          <w:tab w:val="left" w:pos="4320"/>
        </w:tabs>
        <w:rPr>
          <w:rFonts w:cs="Times New Roman"/>
          <w:szCs w:val="24"/>
        </w:rPr>
      </w:pPr>
      <w:r w:rsidRPr="000E6096">
        <w:rPr>
          <w:rFonts w:cs="Times New Roman"/>
          <w:szCs w:val="24"/>
        </w:rPr>
        <w:tab/>
        <w:t>Amy Botschner O’Brien</w:t>
      </w:r>
      <w:r>
        <w:rPr>
          <w:rFonts w:cs="Times New Roman"/>
          <w:szCs w:val="24"/>
        </w:rPr>
        <w:t xml:space="preserve"> (0074423)</w:t>
      </w:r>
    </w:p>
    <w:p w:rsidR="00801812" w:rsidRPr="000E6096" w:rsidP="00151A13" w14:paraId="3C740A66" w14:textId="1F503BF7">
      <w:pPr>
        <w:tabs>
          <w:tab w:val="left" w:pos="3600"/>
          <w:tab w:val="left" w:pos="4320"/>
        </w:tabs>
        <w:rPr>
          <w:rFonts w:cs="Times New Roman"/>
          <w:szCs w:val="24"/>
        </w:rPr>
      </w:pPr>
      <w:r>
        <w:rPr>
          <w:rFonts w:cs="Times New Roman"/>
          <w:szCs w:val="24"/>
        </w:rPr>
        <w:tab/>
        <w:t>Counsel of Record</w:t>
      </w:r>
    </w:p>
    <w:p w:rsidR="0092067D" w:rsidRPr="000E6096" w:rsidP="00151A13" w14:paraId="782E14A0" w14:textId="77777777">
      <w:pPr>
        <w:tabs>
          <w:tab w:val="left" w:pos="3600"/>
          <w:tab w:val="left" w:pos="4320"/>
        </w:tabs>
        <w:rPr>
          <w:rFonts w:cs="Times New Roman"/>
          <w:szCs w:val="24"/>
        </w:rPr>
      </w:pPr>
      <w:r w:rsidRPr="000E6096">
        <w:rPr>
          <w:rFonts w:cs="Times New Roman"/>
          <w:szCs w:val="24"/>
        </w:rPr>
        <w:tab/>
        <w:t>Assistant Consumers’ Counsel</w:t>
      </w:r>
    </w:p>
    <w:p w:rsidR="006A547C" w:rsidRPr="000E6096" w:rsidP="00151A13" w14:paraId="2D3680DD" w14:textId="77777777">
      <w:pPr>
        <w:tabs>
          <w:tab w:val="left" w:pos="3600"/>
        </w:tabs>
        <w:ind w:left="4320"/>
        <w:rPr>
          <w:rFonts w:cs="Times New Roman"/>
          <w:b/>
          <w:szCs w:val="24"/>
        </w:rPr>
      </w:pPr>
    </w:p>
    <w:p w:rsidR="00755AF3" w:rsidRPr="000E6096" w:rsidP="00151A13" w14:paraId="5CB27A70" w14:textId="7DD95A21">
      <w:pPr>
        <w:tabs>
          <w:tab w:val="left" w:pos="3600"/>
        </w:tabs>
        <w:rPr>
          <w:rFonts w:cs="Times New Roman"/>
          <w:b/>
          <w:szCs w:val="24"/>
        </w:rPr>
      </w:pPr>
      <w:r>
        <w:rPr>
          <w:rFonts w:cs="Times New Roman"/>
          <w:b/>
          <w:szCs w:val="24"/>
        </w:rPr>
        <w:tab/>
      </w:r>
      <w:r w:rsidRPr="000E6096" w:rsidR="00B576D9">
        <w:rPr>
          <w:rFonts w:cs="Times New Roman"/>
          <w:b/>
          <w:szCs w:val="24"/>
        </w:rPr>
        <w:t>Office of the Ohio Consumers’ Counsel</w:t>
      </w:r>
    </w:p>
    <w:p w:rsidR="00755AF3" w:rsidRPr="000E6096" w:rsidP="00151A13" w14:paraId="46100DB4" w14:textId="77777777">
      <w:pPr>
        <w:ind w:left="3600"/>
        <w:rPr>
          <w:rFonts w:cs="Times New Roman"/>
          <w:b/>
          <w:szCs w:val="24"/>
        </w:rPr>
      </w:pPr>
      <w:r w:rsidRPr="000E6096">
        <w:rPr>
          <w:rFonts w:cs="Times New Roman"/>
          <w:szCs w:val="24"/>
        </w:rPr>
        <w:t>65 East State Street, 7</w:t>
      </w:r>
      <w:r w:rsidRPr="007B3799">
        <w:rPr>
          <w:rFonts w:cs="Times New Roman"/>
          <w:szCs w:val="24"/>
        </w:rPr>
        <w:t>th</w:t>
      </w:r>
      <w:r w:rsidRPr="000E6096">
        <w:rPr>
          <w:rFonts w:cs="Times New Roman"/>
          <w:szCs w:val="24"/>
        </w:rPr>
        <w:t xml:space="preserve"> Floor</w:t>
      </w:r>
    </w:p>
    <w:p w:rsidR="00755AF3" w:rsidRPr="000E6096" w:rsidP="00151A13" w14:paraId="70EA8542" w14:textId="30AC8352">
      <w:pPr>
        <w:ind w:left="3600"/>
        <w:rPr>
          <w:rFonts w:cs="Times New Roman"/>
          <w:szCs w:val="24"/>
        </w:rPr>
      </w:pPr>
      <w:r w:rsidRPr="000E6096">
        <w:rPr>
          <w:rFonts w:cs="Times New Roman"/>
          <w:szCs w:val="24"/>
        </w:rPr>
        <w:t>Columbus, Ohio 43215-4213</w:t>
      </w:r>
    </w:p>
    <w:p w:rsidR="00DF0AC4" w:rsidRPr="000E6096" w:rsidP="00151A13" w14:paraId="563E5CEF" w14:textId="4D13C991">
      <w:pPr>
        <w:autoSpaceDE w:val="0"/>
        <w:autoSpaceDN w:val="0"/>
        <w:adjustRightInd w:val="0"/>
        <w:ind w:left="4320" w:hanging="720"/>
        <w:rPr>
          <w:rFonts w:cs="Times New Roman"/>
          <w:szCs w:val="24"/>
        </w:rPr>
      </w:pPr>
      <w:r w:rsidRPr="000E6096">
        <w:rPr>
          <w:rFonts w:cs="Times New Roman"/>
          <w:szCs w:val="24"/>
        </w:rPr>
        <w:t>Telephone [Botschner</w:t>
      </w:r>
      <w:r w:rsidRPr="000E6096">
        <w:rPr>
          <w:rFonts w:cs="Times New Roman"/>
          <w:szCs w:val="24"/>
        </w:rPr>
        <w:t xml:space="preserve"> </w:t>
      </w:r>
      <w:r w:rsidRPr="000E6096">
        <w:rPr>
          <w:rFonts w:cs="Times New Roman"/>
          <w:szCs w:val="24"/>
        </w:rPr>
        <w:t xml:space="preserve">O’Brien]: (614) 466-9575 </w:t>
      </w:r>
    </w:p>
    <w:p w:rsidR="00755AF3" w:rsidRPr="000E6096" w:rsidP="00151A13" w14:paraId="6E3ACDD7" w14:textId="77777777">
      <w:pPr>
        <w:ind w:left="4320" w:hanging="720"/>
        <w:rPr>
          <w:rFonts w:cs="Times New Roman"/>
          <w:szCs w:val="24"/>
        </w:rPr>
      </w:pPr>
      <w:hyperlink r:id="rId6" w:history="1">
        <w:r w:rsidRPr="000E6096" w:rsidR="00097F28">
          <w:rPr>
            <w:rStyle w:val="Hyperlink"/>
            <w:rFonts w:cs="Times New Roman"/>
            <w:szCs w:val="24"/>
          </w:rPr>
          <w:t>amy.botschner.obrien@occ.ohio.gov</w:t>
        </w:r>
      </w:hyperlink>
    </w:p>
    <w:p w:rsidR="00755AF3" w:rsidRPr="000E6096" w:rsidP="00151A13" w14:paraId="60F7944F" w14:textId="2A58B5D7">
      <w:pPr>
        <w:ind w:left="4320" w:hanging="720"/>
        <w:rPr>
          <w:rFonts w:cs="Times New Roman"/>
          <w:szCs w:val="24"/>
        </w:rPr>
      </w:pPr>
      <w:r w:rsidRPr="000E6096">
        <w:rPr>
          <w:rFonts w:cs="Times New Roman"/>
          <w:szCs w:val="24"/>
        </w:rPr>
        <w:t>(</w:t>
      </w:r>
      <w:r w:rsidR="007B3799">
        <w:rPr>
          <w:rFonts w:cs="Times New Roman"/>
          <w:szCs w:val="24"/>
        </w:rPr>
        <w:t>w</w:t>
      </w:r>
      <w:r w:rsidRPr="000E6096">
        <w:rPr>
          <w:rFonts w:cs="Times New Roman"/>
          <w:szCs w:val="24"/>
        </w:rPr>
        <w:t>ill</w:t>
      </w:r>
      <w:r w:rsidRPr="000E6096" w:rsidR="00160C6A">
        <w:rPr>
          <w:rFonts w:cs="Times New Roman"/>
          <w:szCs w:val="24"/>
        </w:rPr>
        <w:t xml:space="preserve">ing to </w:t>
      </w:r>
      <w:r w:rsidRPr="000E6096">
        <w:rPr>
          <w:rFonts w:cs="Times New Roman"/>
          <w:szCs w:val="24"/>
        </w:rPr>
        <w:t xml:space="preserve">accept service </w:t>
      </w:r>
      <w:r w:rsidRPr="000E6096" w:rsidR="00160C6A">
        <w:rPr>
          <w:rFonts w:cs="Times New Roman"/>
          <w:szCs w:val="24"/>
        </w:rPr>
        <w:t>by</w:t>
      </w:r>
      <w:r w:rsidRPr="000E6096">
        <w:rPr>
          <w:rFonts w:cs="Times New Roman"/>
          <w:szCs w:val="24"/>
        </w:rPr>
        <w:t xml:space="preserve"> e</w:t>
      </w:r>
      <w:r w:rsidRPr="000E6096" w:rsidR="00160C6A">
        <w:rPr>
          <w:rFonts w:cs="Times New Roman"/>
          <w:szCs w:val="24"/>
        </w:rPr>
        <w:t>-</w:t>
      </w:r>
      <w:r w:rsidRPr="000E6096">
        <w:rPr>
          <w:rFonts w:cs="Times New Roman"/>
          <w:szCs w:val="24"/>
        </w:rPr>
        <w:t>mail)</w:t>
      </w:r>
    </w:p>
    <w:p w:rsidR="0092067D" w:rsidRPr="000E6096" w:rsidP="00151A13" w14:paraId="1ADA411A" w14:textId="2D765AD6">
      <w:pPr>
        <w:pStyle w:val="Heading1"/>
        <w:ind w:left="3240" w:right="-648" w:firstLine="0"/>
        <w:rPr>
          <w:rFonts w:ascii="Times New Roman" w:hAnsi="Times New Roman"/>
        </w:rPr>
      </w:pPr>
    </w:p>
    <w:p w:rsidR="00C32F0D" w:rsidRPr="000E6096" w:rsidP="00151A13" w14:paraId="05732486" w14:textId="7D6BDD03">
      <w:pPr>
        <w:autoSpaceDE w:val="0"/>
        <w:autoSpaceDN w:val="0"/>
        <w:ind w:left="3600"/>
        <w:rPr>
          <w:rFonts w:cs="Times New Roman"/>
          <w:i/>
          <w:iCs/>
          <w:color w:val="000000"/>
          <w:szCs w:val="24"/>
          <w:u w:val="single"/>
        </w:rPr>
      </w:pPr>
      <w:r w:rsidRPr="000E6096">
        <w:rPr>
          <w:rFonts w:cs="Times New Roman"/>
          <w:i/>
          <w:iCs/>
          <w:color w:val="000000"/>
          <w:szCs w:val="24"/>
          <w:u w:val="single"/>
        </w:rPr>
        <w:t>/s/ Thomas R. Hays</w:t>
      </w:r>
    </w:p>
    <w:p w:rsidR="00C32F0D" w:rsidRPr="000E6096" w:rsidP="00151A13" w14:paraId="2D4CD1E4" w14:textId="23DD4378">
      <w:pPr>
        <w:autoSpaceDE w:val="0"/>
        <w:autoSpaceDN w:val="0"/>
        <w:ind w:left="3600"/>
        <w:rPr>
          <w:rFonts w:cs="Times New Roman"/>
          <w:color w:val="000000"/>
          <w:szCs w:val="24"/>
        </w:rPr>
      </w:pPr>
      <w:r w:rsidRPr="000E6096">
        <w:rPr>
          <w:rFonts w:cs="Times New Roman"/>
          <w:color w:val="000000"/>
          <w:szCs w:val="24"/>
        </w:rPr>
        <w:t>Thomas R. Hay</w:t>
      </w:r>
      <w:r w:rsidR="007B3799">
        <w:rPr>
          <w:rFonts w:cs="Times New Roman"/>
          <w:color w:val="000000"/>
          <w:szCs w:val="24"/>
        </w:rPr>
        <w:t>s (0054062)</w:t>
      </w:r>
    </w:p>
    <w:p w:rsidR="00C32F0D" w:rsidRPr="000E6096" w:rsidP="00151A13" w14:paraId="771CEDEB" w14:textId="7A721C05">
      <w:pPr>
        <w:autoSpaceDE w:val="0"/>
        <w:autoSpaceDN w:val="0"/>
        <w:ind w:left="3600"/>
        <w:rPr>
          <w:rFonts w:cs="Times New Roman"/>
          <w:color w:val="000000"/>
          <w:szCs w:val="24"/>
        </w:rPr>
      </w:pPr>
      <w:r w:rsidRPr="000E6096">
        <w:rPr>
          <w:rFonts w:cs="Times New Roman"/>
          <w:color w:val="000000"/>
          <w:szCs w:val="24"/>
        </w:rPr>
        <w:t xml:space="preserve">Counsel for Lucas County </w:t>
      </w:r>
    </w:p>
    <w:p w:rsidR="00C32F0D" w:rsidRPr="000E6096" w:rsidP="00151A13" w14:paraId="2BE04543" w14:textId="77777777">
      <w:pPr>
        <w:autoSpaceDE w:val="0"/>
        <w:autoSpaceDN w:val="0"/>
        <w:ind w:left="3600"/>
        <w:rPr>
          <w:rFonts w:cs="Times New Roman"/>
          <w:color w:val="000000"/>
          <w:szCs w:val="24"/>
        </w:rPr>
      </w:pPr>
      <w:r w:rsidRPr="000E6096">
        <w:rPr>
          <w:rFonts w:cs="Times New Roman"/>
          <w:color w:val="000000"/>
          <w:szCs w:val="24"/>
        </w:rPr>
        <w:t>8355 Island Lane</w:t>
      </w:r>
    </w:p>
    <w:p w:rsidR="00C32F0D" w:rsidRPr="000E6096" w:rsidP="00151A13" w14:paraId="55CDDC9A" w14:textId="2CF7F3C0">
      <w:pPr>
        <w:autoSpaceDE w:val="0"/>
        <w:autoSpaceDN w:val="0"/>
        <w:ind w:left="3600"/>
        <w:rPr>
          <w:rFonts w:cs="Times New Roman"/>
          <w:color w:val="000000"/>
          <w:szCs w:val="24"/>
        </w:rPr>
      </w:pPr>
      <w:r w:rsidRPr="000E6096">
        <w:rPr>
          <w:rFonts w:cs="Times New Roman"/>
          <w:color w:val="000000"/>
          <w:szCs w:val="24"/>
        </w:rPr>
        <w:t>Maineville, O</w:t>
      </w:r>
      <w:r w:rsidR="007B3799">
        <w:rPr>
          <w:rFonts w:cs="Times New Roman"/>
          <w:color w:val="000000"/>
          <w:szCs w:val="24"/>
        </w:rPr>
        <w:t>hio</w:t>
      </w:r>
      <w:r w:rsidRPr="000E6096">
        <w:rPr>
          <w:rFonts w:cs="Times New Roman"/>
          <w:color w:val="000000"/>
          <w:szCs w:val="24"/>
        </w:rPr>
        <w:t xml:space="preserve"> 45039</w:t>
      </w:r>
    </w:p>
    <w:p w:rsidR="00C32F0D" w:rsidRPr="000E6096" w:rsidP="00151A13" w14:paraId="5594E1CD" w14:textId="6DB2487C">
      <w:pPr>
        <w:autoSpaceDE w:val="0"/>
        <w:autoSpaceDN w:val="0"/>
        <w:ind w:left="3600"/>
        <w:rPr>
          <w:rFonts w:cs="Times New Roman"/>
          <w:color w:val="000000"/>
          <w:szCs w:val="24"/>
        </w:rPr>
      </w:pPr>
      <w:r>
        <w:rPr>
          <w:rFonts w:cs="Times New Roman"/>
          <w:color w:val="000000"/>
          <w:szCs w:val="24"/>
        </w:rPr>
        <w:t xml:space="preserve">Telephone: </w:t>
      </w:r>
      <w:r w:rsidRPr="000E6096" w:rsidR="00B576D9">
        <w:rPr>
          <w:rFonts w:cs="Times New Roman"/>
          <w:color w:val="000000"/>
          <w:szCs w:val="24"/>
        </w:rPr>
        <w:t>419-410-7069</w:t>
      </w:r>
    </w:p>
    <w:p w:rsidR="00C32F0D" w:rsidRPr="000E6096" w:rsidP="00151A13" w14:paraId="4BA757DA" w14:textId="77777777">
      <w:pPr>
        <w:pStyle w:val="BodyTextIndent3"/>
        <w:spacing w:line="240" w:lineRule="auto"/>
        <w:ind w:left="3600" w:firstLine="0"/>
        <w:jc w:val="both"/>
        <w:rPr>
          <w:szCs w:val="24"/>
        </w:rPr>
      </w:pPr>
      <w:hyperlink r:id="rId7" w:history="1">
        <w:r w:rsidRPr="000E6096" w:rsidR="00097F28">
          <w:rPr>
            <w:rStyle w:val="Hyperlink"/>
            <w:szCs w:val="24"/>
          </w:rPr>
          <w:t>trhayslaw@gmail.com</w:t>
        </w:r>
      </w:hyperlink>
    </w:p>
    <w:p w:rsidR="00C32F0D" w:rsidRPr="000E6096" w:rsidP="00151A13" w14:paraId="6DE232FD" w14:textId="6E7AF7D7">
      <w:pPr>
        <w:ind w:left="3600"/>
        <w:rPr>
          <w:rFonts w:cs="Times New Roman"/>
          <w:szCs w:val="24"/>
        </w:rPr>
      </w:pPr>
      <w:r w:rsidRPr="000E6096">
        <w:rPr>
          <w:rFonts w:cs="Times New Roman"/>
          <w:szCs w:val="24"/>
        </w:rPr>
        <w:t>(</w:t>
      </w:r>
      <w:r w:rsidR="007B3799">
        <w:rPr>
          <w:rFonts w:cs="Times New Roman"/>
          <w:szCs w:val="24"/>
        </w:rPr>
        <w:t>w</w:t>
      </w:r>
      <w:r w:rsidRPr="000E6096">
        <w:rPr>
          <w:rFonts w:cs="Times New Roman"/>
          <w:szCs w:val="24"/>
        </w:rPr>
        <w:t>illing to accept service by e-mail)</w:t>
      </w:r>
    </w:p>
    <w:p w:rsidR="00C32F0D" w:rsidRPr="000E6096" w:rsidP="00151A13" w14:paraId="19CB0A39" w14:textId="77777777">
      <w:pPr>
        <w:autoSpaceDE w:val="0"/>
        <w:autoSpaceDN w:val="0"/>
        <w:ind w:left="3600"/>
        <w:rPr>
          <w:rFonts w:cs="Times New Roman"/>
          <w:i/>
          <w:iCs/>
          <w:color w:val="000000"/>
          <w:szCs w:val="24"/>
        </w:rPr>
      </w:pPr>
    </w:p>
    <w:p w:rsidR="00C32F0D" w:rsidRPr="000E6096" w:rsidP="00151A13" w14:paraId="1D53FF5B" w14:textId="77777777">
      <w:pPr>
        <w:autoSpaceDE w:val="0"/>
        <w:autoSpaceDN w:val="0"/>
        <w:ind w:left="3600"/>
        <w:rPr>
          <w:rFonts w:cs="Times New Roman"/>
          <w:i/>
          <w:iCs/>
          <w:color w:val="000000"/>
          <w:szCs w:val="24"/>
        </w:rPr>
      </w:pPr>
      <w:r w:rsidRPr="000E6096">
        <w:rPr>
          <w:rFonts w:cs="Times New Roman"/>
          <w:i/>
          <w:iCs/>
          <w:color w:val="000000"/>
          <w:szCs w:val="24"/>
        </w:rPr>
        <w:t>Attorney for The Northwest Ohio</w:t>
      </w:r>
    </w:p>
    <w:p w:rsidR="0030394D" w:rsidP="00151A13" w14:paraId="3A7806F2" w14:textId="194F406D">
      <w:pPr>
        <w:pStyle w:val="BodyTextIndent3"/>
        <w:spacing w:line="480" w:lineRule="auto"/>
        <w:ind w:left="3600" w:firstLine="0"/>
        <w:jc w:val="both"/>
        <w:rPr>
          <w:i/>
          <w:iCs/>
          <w:color w:val="000000"/>
          <w:szCs w:val="24"/>
        </w:rPr>
      </w:pPr>
      <w:r w:rsidRPr="000E6096">
        <w:rPr>
          <w:i/>
          <w:iCs/>
          <w:color w:val="000000"/>
          <w:szCs w:val="24"/>
        </w:rPr>
        <w:t>Aggregation Coalition</w:t>
      </w:r>
    </w:p>
    <w:p w:rsidR="0030394D" w14:paraId="10676673" w14:textId="77777777">
      <w:pPr>
        <w:spacing w:after="200" w:line="276" w:lineRule="auto"/>
        <w:rPr>
          <w:rFonts w:eastAsia="Times New Roman" w:cs="Times New Roman"/>
          <w:i/>
          <w:iCs/>
          <w:color w:val="000000"/>
          <w:szCs w:val="24"/>
        </w:rPr>
      </w:pPr>
      <w:r>
        <w:rPr>
          <w:i/>
          <w:iCs/>
          <w:color w:val="000000"/>
          <w:szCs w:val="24"/>
        </w:rPr>
        <w:br w:type="page"/>
      </w:r>
    </w:p>
    <w:p w:rsidR="0092067D" w:rsidRPr="000E6096" w:rsidP="0092067D" w14:paraId="2A2ED23B" w14:textId="2FC0E6A3">
      <w:pPr>
        <w:jc w:val="center"/>
        <w:rPr>
          <w:rFonts w:cs="Times New Roman"/>
          <w:b/>
          <w:bCs/>
          <w:szCs w:val="24"/>
          <w:u w:val="single"/>
        </w:rPr>
      </w:pPr>
      <w:r w:rsidRPr="000E6096">
        <w:rPr>
          <w:rFonts w:cs="Times New Roman"/>
          <w:b/>
          <w:bCs/>
          <w:szCs w:val="24"/>
          <w:u w:val="single"/>
        </w:rPr>
        <w:t>CERTIFICATE OF SERVICE</w:t>
      </w:r>
    </w:p>
    <w:p w:rsidR="0092067D" w:rsidRPr="000E6096" w:rsidP="0092067D" w14:paraId="6143F8F3" w14:textId="1D2F91DA">
      <w:pPr>
        <w:spacing w:line="480" w:lineRule="atLeast"/>
        <w:rPr>
          <w:rFonts w:cs="Times New Roman"/>
          <w:szCs w:val="24"/>
        </w:rPr>
      </w:pPr>
      <w:r w:rsidRPr="000E6096">
        <w:rPr>
          <w:rFonts w:cs="Times New Roman"/>
          <w:szCs w:val="24"/>
        </w:rPr>
        <w:tab/>
        <w:t xml:space="preserve">I hereby certify that a copy of these </w:t>
      </w:r>
      <w:r w:rsidR="00334216">
        <w:rPr>
          <w:rFonts w:cs="Times New Roman"/>
          <w:szCs w:val="24"/>
        </w:rPr>
        <w:t xml:space="preserve">Reply </w:t>
      </w:r>
      <w:r w:rsidRPr="000E6096">
        <w:rPr>
          <w:rFonts w:cs="Times New Roman"/>
          <w:szCs w:val="24"/>
        </w:rPr>
        <w:t xml:space="preserve">Comments </w:t>
      </w:r>
      <w:r w:rsidR="0030394D">
        <w:rPr>
          <w:rFonts w:cs="Times New Roman"/>
          <w:szCs w:val="24"/>
        </w:rPr>
        <w:t>was</w:t>
      </w:r>
      <w:r w:rsidRPr="000E6096">
        <w:rPr>
          <w:rFonts w:cs="Times New Roman"/>
          <w:szCs w:val="24"/>
        </w:rPr>
        <w:t xml:space="preserve"> served on the persons stated below </w:t>
      </w:r>
      <w:r w:rsidRPr="00FD2E9D">
        <w:rPr>
          <w:rFonts w:cs="Times New Roman"/>
          <w:szCs w:val="24"/>
        </w:rPr>
        <w:t>via</w:t>
      </w:r>
      <w:r w:rsidRPr="000E6096">
        <w:rPr>
          <w:rFonts w:cs="Times New Roman"/>
          <w:szCs w:val="24"/>
        </w:rPr>
        <w:t xml:space="preserve"> electronic transmission, this </w:t>
      </w:r>
      <w:r w:rsidRPr="000E6096" w:rsidR="00BA55C0">
        <w:rPr>
          <w:rFonts w:cs="Times New Roman"/>
          <w:szCs w:val="24"/>
        </w:rPr>
        <w:t>1</w:t>
      </w:r>
      <w:r w:rsidR="00EE4088">
        <w:rPr>
          <w:rFonts w:cs="Times New Roman"/>
          <w:szCs w:val="24"/>
        </w:rPr>
        <w:t>0</w:t>
      </w:r>
      <w:r w:rsidRPr="000E6096" w:rsidR="00E31997">
        <w:rPr>
          <w:rFonts w:cs="Times New Roman"/>
          <w:szCs w:val="24"/>
        </w:rPr>
        <w:t>th</w:t>
      </w:r>
      <w:r w:rsidRPr="000E6096">
        <w:rPr>
          <w:rFonts w:cs="Times New Roman"/>
          <w:szCs w:val="24"/>
        </w:rPr>
        <w:t xml:space="preserve"> day of </w:t>
      </w:r>
      <w:r w:rsidR="00EE4088">
        <w:rPr>
          <w:rFonts w:cs="Times New Roman"/>
          <w:szCs w:val="24"/>
        </w:rPr>
        <w:t>February</w:t>
      </w:r>
      <w:r w:rsidRPr="000E6096">
        <w:rPr>
          <w:rFonts w:cs="Times New Roman"/>
          <w:szCs w:val="24"/>
        </w:rPr>
        <w:t xml:space="preserve"> 20</w:t>
      </w:r>
      <w:r w:rsidRPr="000E6096" w:rsidR="00DF0AC4">
        <w:rPr>
          <w:rFonts w:cs="Times New Roman"/>
          <w:szCs w:val="24"/>
        </w:rPr>
        <w:t>20</w:t>
      </w:r>
      <w:r w:rsidRPr="000E6096">
        <w:rPr>
          <w:rFonts w:cs="Times New Roman"/>
          <w:szCs w:val="24"/>
        </w:rPr>
        <w:t>.</w:t>
      </w:r>
    </w:p>
    <w:p w:rsidR="0092067D" w:rsidRPr="000E6096" w:rsidP="0092067D" w14:paraId="07B2621D" w14:textId="77777777">
      <w:pPr>
        <w:spacing w:line="480" w:lineRule="atLeast"/>
        <w:rPr>
          <w:rFonts w:cs="Times New Roman"/>
          <w:szCs w:val="24"/>
        </w:rPr>
      </w:pPr>
    </w:p>
    <w:p w:rsidR="0092067D" w:rsidRPr="000E6096" w:rsidP="0092067D" w14:paraId="616AB239" w14:textId="3DF28A0F">
      <w:pPr>
        <w:tabs>
          <w:tab w:val="left" w:pos="4320"/>
        </w:tabs>
        <w:rPr>
          <w:rFonts w:cs="Times New Roman"/>
          <w:i/>
          <w:szCs w:val="24"/>
          <w:u w:val="single"/>
        </w:rPr>
      </w:pPr>
      <w:r w:rsidRPr="000E6096">
        <w:rPr>
          <w:rFonts w:cs="Times New Roman"/>
          <w:szCs w:val="24"/>
        </w:rPr>
        <w:tab/>
      </w:r>
      <w:r w:rsidRPr="000E6096">
        <w:rPr>
          <w:rFonts w:cs="Times New Roman"/>
          <w:i/>
          <w:szCs w:val="24"/>
          <w:u w:val="single"/>
        </w:rPr>
        <w:t>/s/</w:t>
      </w:r>
      <w:r w:rsidRPr="000E6096" w:rsidR="00160C6A">
        <w:rPr>
          <w:rFonts w:cs="Times New Roman"/>
          <w:i/>
          <w:szCs w:val="24"/>
          <w:u w:val="single"/>
        </w:rPr>
        <w:t>Amy Botschner O’Brien</w:t>
      </w:r>
      <w:r w:rsidRPr="000E6096" w:rsidR="00755AF3">
        <w:rPr>
          <w:rFonts w:cs="Times New Roman"/>
          <w:i/>
          <w:szCs w:val="24"/>
          <w:u w:val="single"/>
        </w:rPr>
        <w:t xml:space="preserve"> </w:t>
      </w:r>
    </w:p>
    <w:p w:rsidR="0092067D" w:rsidRPr="000E6096" w:rsidP="0092067D" w14:paraId="55441DAE" w14:textId="50799DC7">
      <w:pPr>
        <w:tabs>
          <w:tab w:val="left" w:pos="4320"/>
        </w:tabs>
        <w:rPr>
          <w:rFonts w:cs="Times New Roman"/>
          <w:szCs w:val="24"/>
        </w:rPr>
      </w:pPr>
      <w:r w:rsidRPr="000E6096">
        <w:rPr>
          <w:rFonts w:cs="Times New Roman"/>
          <w:szCs w:val="24"/>
        </w:rPr>
        <w:tab/>
      </w:r>
      <w:r w:rsidRPr="000E6096" w:rsidR="00BA55C0">
        <w:rPr>
          <w:rFonts w:cs="Times New Roman"/>
          <w:szCs w:val="24"/>
        </w:rPr>
        <w:t>Amy Botschner O’Brien</w:t>
      </w:r>
    </w:p>
    <w:p w:rsidR="0092067D" w:rsidRPr="000E6096" w:rsidP="0092067D" w14:paraId="31338869" w14:textId="77777777">
      <w:pPr>
        <w:tabs>
          <w:tab w:val="left" w:pos="4320"/>
        </w:tabs>
        <w:rPr>
          <w:rFonts w:cs="Times New Roman"/>
          <w:szCs w:val="24"/>
        </w:rPr>
      </w:pPr>
      <w:r w:rsidRPr="000E6096">
        <w:rPr>
          <w:rFonts w:cs="Times New Roman"/>
          <w:szCs w:val="24"/>
        </w:rPr>
        <w:tab/>
        <w:t>Assistant Consumers’ Counsel</w:t>
      </w:r>
    </w:p>
    <w:p w:rsidR="0092067D" w:rsidRPr="000E6096" w:rsidP="0092067D" w14:paraId="2104E2B6" w14:textId="77777777">
      <w:pPr>
        <w:pStyle w:val="CommentSubject"/>
        <w:rPr>
          <w:rFonts w:cs="Times New Roman"/>
          <w:sz w:val="24"/>
          <w:szCs w:val="24"/>
        </w:rPr>
      </w:pPr>
    </w:p>
    <w:p w:rsidR="0092067D" w:rsidP="0092067D" w14:paraId="537A2D4B" w14:textId="0C62AA94">
      <w:pPr>
        <w:pStyle w:val="CommentText"/>
        <w:rPr>
          <w:rFonts w:cs="Times New Roman"/>
          <w:sz w:val="24"/>
          <w:szCs w:val="24"/>
        </w:rPr>
      </w:pPr>
    </w:p>
    <w:p w:rsidR="0030394D" w:rsidP="0030394D" w14:paraId="0B778F52" w14:textId="77777777">
      <w:r>
        <w:t>The PUCO’s e-filing system will electronically serve notice of the filing of this document on the following parties:</w:t>
      </w:r>
    </w:p>
    <w:p w:rsidR="0030394D" w:rsidRPr="000E6096" w:rsidP="0092067D" w14:paraId="4036A57D" w14:textId="77777777">
      <w:pPr>
        <w:pStyle w:val="CommentText"/>
        <w:rPr>
          <w:rFonts w:cs="Times New Roman"/>
          <w:sz w:val="24"/>
          <w:szCs w:val="24"/>
        </w:rPr>
      </w:pPr>
    </w:p>
    <w:p w:rsidR="0092067D" w:rsidRPr="000E6096" w:rsidP="0092067D" w14:paraId="11287389" w14:textId="77777777">
      <w:pPr>
        <w:pStyle w:val="CommentText"/>
        <w:jc w:val="center"/>
        <w:rPr>
          <w:rFonts w:cs="Times New Roman"/>
          <w:b/>
          <w:sz w:val="24"/>
          <w:szCs w:val="24"/>
          <w:u w:val="single"/>
        </w:rPr>
      </w:pPr>
      <w:r w:rsidRPr="000E6096">
        <w:rPr>
          <w:rFonts w:cs="Times New Roman"/>
          <w:b/>
          <w:sz w:val="24"/>
          <w:szCs w:val="24"/>
          <w:u w:val="single"/>
        </w:rPr>
        <w:t>SERVICE LIST</w:t>
      </w:r>
    </w:p>
    <w:p w:rsidR="0092067D" w:rsidRPr="000E6096" w:rsidP="0092067D" w14:paraId="57E507B7" w14:textId="77777777">
      <w:pPr>
        <w:pStyle w:val="BodyText"/>
        <w:rPr>
          <w:rFonts w:cs="Times New Roman"/>
          <w:b/>
          <w:bCs/>
          <w:szCs w:val="24"/>
        </w:rPr>
      </w:pPr>
    </w:p>
    <w:p w:rsidR="0092067D" w:rsidRPr="000E6096" w:rsidP="0030394D" w14:paraId="0865D31F" w14:textId="67525FB5">
      <w:pPr>
        <w:pStyle w:val="BodyText"/>
        <w:spacing w:after="0"/>
        <w:rPr>
          <w:rFonts w:cs="Times New Roman"/>
          <w:bCs/>
          <w:szCs w:val="24"/>
        </w:rPr>
      </w:pPr>
      <w:hyperlink r:id="rId12" w:history="1">
        <w:r w:rsidRPr="000E6096" w:rsidR="006A547C">
          <w:rPr>
            <w:rStyle w:val="Hyperlink"/>
            <w:rFonts w:cs="Times New Roman"/>
            <w:bCs/>
            <w:szCs w:val="24"/>
          </w:rPr>
          <w:t>John.jones@ohioattorneygeneral.gov</w:t>
        </w:r>
      </w:hyperlink>
    </w:p>
    <w:p w:rsidR="006A547C" w:rsidP="0030394D" w14:paraId="2999D8CF" w14:textId="3DA33B66">
      <w:pPr>
        <w:pStyle w:val="BodyText"/>
        <w:spacing w:after="0"/>
        <w:rPr>
          <w:rFonts w:cs="Times New Roman"/>
          <w:bCs/>
          <w:szCs w:val="24"/>
        </w:rPr>
      </w:pPr>
      <w:hyperlink r:id="rId13" w:history="1">
        <w:r w:rsidRPr="008F3139" w:rsidR="0030394D">
          <w:rPr>
            <w:rStyle w:val="Hyperlink"/>
            <w:rFonts w:cs="Times New Roman"/>
            <w:bCs/>
            <w:szCs w:val="24"/>
          </w:rPr>
          <w:t>Fdarr2019@gmail.com</w:t>
        </w:r>
      </w:hyperlink>
    </w:p>
    <w:p w:rsidR="0030394D" w:rsidP="0030394D" w14:paraId="0FAF115B" w14:textId="298B6E68">
      <w:pPr>
        <w:pStyle w:val="BodyText"/>
        <w:spacing w:after="0"/>
        <w:rPr>
          <w:rFonts w:cs="Times New Roman"/>
          <w:bCs/>
          <w:szCs w:val="24"/>
        </w:rPr>
      </w:pPr>
      <w:hyperlink r:id="rId14" w:history="1">
        <w:r w:rsidRPr="008F3139">
          <w:rPr>
            <w:rStyle w:val="Hyperlink"/>
            <w:rFonts w:cs="Times New Roman"/>
            <w:bCs/>
            <w:szCs w:val="24"/>
          </w:rPr>
          <w:t>edanford@firstenergycorp.com</w:t>
        </w:r>
      </w:hyperlink>
    </w:p>
    <w:p w:rsidR="0030394D" w:rsidP="0030394D" w14:paraId="47BA6552" w14:textId="59F26027">
      <w:pPr>
        <w:pStyle w:val="BodyText"/>
        <w:spacing w:after="0"/>
        <w:rPr>
          <w:rFonts w:cs="Times New Roman"/>
          <w:bCs/>
          <w:szCs w:val="24"/>
        </w:rPr>
      </w:pPr>
      <w:hyperlink r:id="rId15" w:history="1">
        <w:r w:rsidRPr="008F3139">
          <w:rPr>
            <w:rStyle w:val="Hyperlink"/>
            <w:rFonts w:cs="Times New Roman"/>
            <w:bCs/>
            <w:szCs w:val="24"/>
          </w:rPr>
          <w:t>rocco.dascenzo@cuke-energy.com</w:t>
        </w:r>
      </w:hyperlink>
    </w:p>
    <w:p w:rsidR="0030394D" w:rsidP="0030394D" w14:paraId="6A6E75B2" w14:textId="259211A8">
      <w:pPr>
        <w:pStyle w:val="BodyText"/>
        <w:spacing w:after="0"/>
        <w:rPr>
          <w:rFonts w:cs="Times New Roman"/>
          <w:bCs/>
          <w:szCs w:val="24"/>
        </w:rPr>
      </w:pPr>
      <w:hyperlink r:id="rId16" w:history="1">
        <w:r w:rsidRPr="008F3139">
          <w:rPr>
            <w:rStyle w:val="Hyperlink"/>
            <w:rFonts w:cs="Times New Roman"/>
            <w:bCs/>
            <w:szCs w:val="24"/>
          </w:rPr>
          <w:t>Jeanne.kingery@duke-energy.com</w:t>
        </w:r>
      </w:hyperlink>
    </w:p>
    <w:p w:rsidR="0030394D" w:rsidP="0030394D" w14:paraId="0E3D0D0C" w14:textId="64260086">
      <w:pPr>
        <w:pStyle w:val="BodyText"/>
        <w:spacing w:after="0"/>
        <w:rPr>
          <w:rFonts w:cs="Times New Roman"/>
          <w:bCs/>
          <w:szCs w:val="24"/>
        </w:rPr>
      </w:pPr>
      <w:hyperlink r:id="rId17" w:history="1">
        <w:r w:rsidRPr="008F3139">
          <w:rPr>
            <w:rStyle w:val="Hyperlink"/>
            <w:rFonts w:cs="Times New Roman"/>
            <w:bCs/>
            <w:szCs w:val="24"/>
          </w:rPr>
          <w:t>Larisa.vaysman@duke-energy.com</w:t>
        </w:r>
      </w:hyperlink>
    </w:p>
    <w:p w:rsidR="0030394D" w:rsidP="0030394D" w14:paraId="045949D1" w14:textId="41D7107C">
      <w:pPr>
        <w:pStyle w:val="BodyText"/>
        <w:spacing w:after="0"/>
        <w:rPr>
          <w:rFonts w:cs="Times New Roman"/>
          <w:bCs/>
          <w:szCs w:val="24"/>
        </w:rPr>
      </w:pPr>
      <w:hyperlink r:id="rId18" w:history="1">
        <w:r w:rsidRPr="008F3139">
          <w:rPr>
            <w:rStyle w:val="Hyperlink"/>
            <w:rFonts w:cs="Times New Roman"/>
            <w:bCs/>
            <w:szCs w:val="24"/>
          </w:rPr>
          <w:t>sseiple@nisource.com</w:t>
        </w:r>
      </w:hyperlink>
    </w:p>
    <w:p w:rsidR="0030394D" w:rsidP="0030394D" w14:paraId="4EE31737" w14:textId="4EB8F1A2">
      <w:pPr>
        <w:pStyle w:val="BodyText"/>
        <w:spacing w:after="0"/>
        <w:rPr>
          <w:rFonts w:cs="Times New Roman"/>
          <w:bCs/>
          <w:szCs w:val="24"/>
        </w:rPr>
      </w:pPr>
      <w:hyperlink r:id="rId19" w:history="1">
        <w:r w:rsidRPr="008F3139">
          <w:rPr>
            <w:rStyle w:val="Hyperlink"/>
            <w:rFonts w:cs="Times New Roman"/>
            <w:bCs/>
            <w:szCs w:val="24"/>
          </w:rPr>
          <w:t>josephclark@nisource.com</w:t>
        </w:r>
      </w:hyperlink>
    </w:p>
    <w:p w:rsidR="0030394D" w:rsidP="0030394D" w14:paraId="775B5849" w14:textId="31EAE40F">
      <w:pPr>
        <w:pStyle w:val="BodyText"/>
        <w:spacing w:after="0"/>
        <w:rPr>
          <w:rFonts w:cs="Times New Roman"/>
          <w:bCs/>
          <w:szCs w:val="24"/>
        </w:rPr>
      </w:pPr>
      <w:hyperlink r:id="rId20" w:history="1">
        <w:r w:rsidRPr="008F3139">
          <w:rPr>
            <w:rStyle w:val="Hyperlink"/>
            <w:rFonts w:cs="Times New Roman"/>
            <w:bCs/>
            <w:szCs w:val="24"/>
          </w:rPr>
          <w:t>stnourse@aep.com</w:t>
        </w:r>
      </w:hyperlink>
    </w:p>
    <w:p w:rsidR="0030394D" w:rsidP="0030394D" w14:paraId="24E6CD5A" w14:textId="736884F2">
      <w:pPr>
        <w:pStyle w:val="BodyText"/>
        <w:spacing w:after="0"/>
        <w:rPr>
          <w:rFonts w:cs="Times New Roman"/>
          <w:bCs/>
          <w:szCs w:val="24"/>
        </w:rPr>
      </w:pPr>
      <w:hyperlink r:id="rId21" w:history="1">
        <w:r w:rsidRPr="008F3139">
          <w:rPr>
            <w:rStyle w:val="Hyperlink"/>
            <w:rFonts w:cs="Times New Roman"/>
            <w:bCs/>
            <w:szCs w:val="24"/>
          </w:rPr>
          <w:t>cmblend@aep.com</w:t>
        </w:r>
      </w:hyperlink>
    </w:p>
    <w:p w:rsidR="0030394D" w:rsidP="0030394D" w14:paraId="191C7F39" w14:textId="1D02C042">
      <w:pPr>
        <w:pStyle w:val="BodyText"/>
        <w:spacing w:after="0"/>
        <w:rPr>
          <w:rFonts w:cs="Times New Roman"/>
          <w:bCs/>
          <w:szCs w:val="24"/>
        </w:rPr>
      </w:pPr>
      <w:hyperlink r:id="rId22" w:history="1">
        <w:r w:rsidRPr="008F3139">
          <w:rPr>
            <w:rStyle w:val="Hyperlink"/>
            <w:rFonts w:cs="Times New Roman"/>
            <w:bCs/>
            <w:szCs w:val="24"/>
          </w:rPr>
          <w:t>mpritchard@mcneeslaw.com</w:t>
        </w:r>
      </w:hyperlink>
    </w:p>
    <w:p w:rsidR="0030394D" w:rsidP="0030394D" w14:paraId="4AC68AC1" w14:textId="0770199F">
      <w:pPr>
        <w:pStyle w:val="BodyText"/>
        <w:spacing w:after="0"/>
        <w:rPr>
          <w:rFonts w:cs="Times New Roman"/>
          <w:bCs/>
          <w:szCs w:val="24"/>
        </w:rPr>
      </w:pPr>
      <w:hyperlink r:id="rId23" w:history="1">
        <w:r w:rsidRPr="008F3139">
          <w:rPr>
            <w:rStyle w:val="Hyperlink"/>
            <w:rFonts w:cs="Times New Roman"/>
            <w:bCs/>
            <w:szCs w:val="24"/>
          </w:rPr>
          <w:t>rglover@mcneeslaw.com</w:t>
        </w:r>
      </w:hyperlink>
    </w:p>
    <w:p w:rsidR="0030394D" w:rsidP="0030394D" w14:paraId="453CEF22" w14:textId="671A6162">
      <w:pPr>
        <w:pStyle w:val="BodyText"/>
        <w:spacing w:after="0"/>
        <w:rPr>
          <w:rFonts w:cs="Times New Roman"/>
          <w:bCs/>
          <w:szCs w:val="24"/>
        </w:rPr>
      </w:pPr>
      <w:hyperlink r:id="rId24" w:history="1">
        <w:r w:rsidRPr="008F3139">
          <w:rPr>
            <w:rStyle w:val="Hyperlink"/>
            <w:rFonts w:cs="Times New Roman"/>
            <w:bCs/>
            <w:szCs w:val="24"/>
          </w:rPr>
          <w:t>Andrew.j.campbell@dominionenergy.com</w:t>
        </w:r>
      </w:hyperlink>
    </w:p>
    <w:p w:rsidR="0030394D" w:rsidP="0030394D" w14:paraId="76DFAF24" w14:textId="087997A6">
      <w:pPr>
        <w:pStyle w:val="BodyText"/>
        <w:spacing w:after="0"/>
        <w:rPr>
          <w:rFonts w:cs="Times New Roman"/>
          <w:bCs/>
          <w:szCs w:val="24"/>
        </w:rPr>
      </w:pPr>
      <w:hyperlink r:id="rId25" w:history="1">
        <w:r w:rsidRPr="008F3139">
          <w:rPr>
            <w:rStyle w:val="Hyperlink"/>
            <w:rFonts w:cs="Times New Roman"/>
            <w:bCs/>
            <w:szCs w:val="24"/>
          </w:rPr>
          <w:t>whitt@whitt-sturtevant.com</w:t>
        </w:r>
      </w:hyperlink>
    </w:p>
    <w:p w:rsidR="0030394D" w:rsidP="0030394D" w14:paraId="46498450" w14:textId="7D766007">
      <w:pPr>
        <w:pStyle w:val="BodyText"/>
        <w:spacing w:after="0"/>
        <w:rPr>
          <w:rFonts w:cs="Times New Roman"/>
          <w:bCs/>
          <w:szCs w:val="24"/>
        </w:rPr>
      </w:pPr>
      <w:hyperlink r:id="rId26" w:history="1">
        <w:r w:rsidRPr="008F3139">
          <w:rPr>
            <w:rStyle w:val="Hyperlink"/>
            <w:rFonts w:cs="Times New Roman"/>
            <w:bCs/>
            <w:szCs w:val="24"/>
          </w:rPr>
          <w:t>kennedy@whitt-sturtevant.com</w:t>
        </w:r>
      </w:hyperlink>
    </w:p>
    <w:p w:rsidR="0030394D" w:rsidP="0030394D" w14:paraId="314E2CDB" w14:textId="02AB3D32">
      <w:pPr>
        <w:pStyle w:val="BodyText"/>
        <w:spacing w:after="0"/>
        <w:rPr>
          <w:rFonts w:cs="Times New Roman"/>
          <w:bCs/>
          <w:szCs w:val="24"/>
        </w:rPr>
      </w:pPr>
      <w:hyperlink r:id="rId27" w:history="1">
        <w:r w:rsidRPr="008F3139">
          <w:rPr>
            <w:rStyle w:val="Hyperlink"/>
            <w:rFonts w:cs="Times New Roman"/>
            <w:bCs/>
            <w:szCs w:val="24"/>
          </w:rPr>
          <w:t>fykes@whitt-sturtevant.com</w:t>
        </w:r>
      </w:hyperlink>
    </w:p>
    <w:p w:rsidR="0030394D" w:rsidRPr="000E6096" w:rsidP="0092067D" w14:paraId="01050866" w14:textId="77777777">
      <w:pPr>
        <w:pStyle w:val="BodyText"/>
        <w:rPr>
          <w:rFonts w:cs="Times New Roman"/>
          <w:bCs/>
          <w:szCs w:val="24"/>
        </w:rPr>
      </w:pPr>
    </w:p>
    <w:p w:rsidR="006A547C" w:rsidRPr="000E6096" w:rsidP="0092067D" w14:paraId="3C541804" w14:textId="2B7D41A4">
      <w:pPr>
        <w:pStyle w:val="BodyText"/>
        <w:rPr>
          <w:rFonts w:cs="Times New Roman"/>
          <w:bCs/>
          <w:szCs w:val="24"/>
        </w:rPr>
      </w:pPr>
      <w:r w:rsidRPr="000E6096">
        <w:rPr>
          <w:rFonts w:cs="Times New Roman"/>
          <w:bCs/>
          <w:szCs w:val="24"/>
        </w:rPr>
        <w:t>Attorney Examiner:</w:t>
      </w:r>
    </w:p>
    <w:p w:rsidR="006A547C" w:rsidRPr="000E6096" w:rsidP="0092067D" w14:paraId="70AD05A0" w14:textId="5E23F8CB">
      <w:pPr>
        <w:pStyle w:val="BodyText"/>
        <w:rPr>
          <w:rFonts w:cs="Times New Roman"/>
          <w:bCs/>
          <w:szCs w:val="24"/>
        </w:rPr>
      </w:pPr>
      <w:hyperlink r:id="rId28" w:history="1">
        <w:r w:rsidRPr="000E6096" w:rsidR="00097F28">
          <w:rPr>
            <w:rStyle w:val="Hyperlink"/>
            <w:rFonts w:cs="Times New Roman"/>
            <w:bCs/>
            <w:szCs w:val="24"/>
          </w:rPr>
          <w:t>Patricia.schabo@puco.ohio.gov</w:t>
        </w:r>
      </w:hyperlink>
    </w:p>
    <w:p w:rsidR="006A547C" w:rsidRPr="000E6096" w:rsidP="0092067D" w14:paraId="72B21CB9" w14:textId="77777777">
      <w:pPr>
        <w:pStyle w:val="BodyText"/>
        <w:rPr>
          <w:rFonts w:cs="Times New Roman"/>
          <w:bCs/>
          <w:szCs w:val="24"/>
        </w:rPr>
      </w:pPr>
    </w:p>
    <w:p w:rsidR="0092067D" w:rsidRPr="000E6096" w:rsidP="0092067D" w14:paraId="4561055B" w14:textId="77777777">
      <w:pPr>
        <w:pStyle w:val="BodyText"/>
        <w:rPr>
          <w:rFonts w:cs="Times New Roman"/>
          <w:bCs/>
          <w:szCs w:val="24"/>
        </w:rPr>
      </w:pPr>
    </w:p>
    <w:p w:rsidR="0092067D" w:rsidRPr="000E6096" w:rsidP="0092067D" w14:paraId="36175DA2" w14:textId="77777777">
      <w:pPr>
        <w:pStyle w:val="BodyText"/>
        <w:rPr>
          <w:rFonts w:cs="Times New Roman"/>
          <w:b/>
          <w:bCs/>
          <w:szCs w:val="24"/>
        </w:rPr>
      </w:pPr>
    </w:p>
    <w:p w:rsidR="000D0D47" w:rsidRPr="000E6096" w:rsidP="0092067D" w14:paraId="151B52C8" w14:textId="77777777">
      <w:pPr>
        <w:rPr>
          <w:rFonts w:cs="Times New Roman"/>
          <w:szCs w:val="24"/>
        </w:rPr>
      </w:pPr>
    </w:p>
    <w:sectPr w:rsidSect="008C74C9">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8294786"/>
      <w:docPartObj>
        <w:docPartGallery w:val="Page Numbers (Bottom of Page)"/>
        <w:docPartUnique/>
      </w:docPartObj>
    </w:sdtPr>
    <w:sdtEndPr>
      <w:rPr>
        <w:noProof/>
      </w:rPr>
    </w:sdtEndPr>
    <w:sdtContent>
      <w:p w:rsidR="00827B03" w14:paraId="4906CA53" w14:textId="450DB1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B03" w14:paraId="2D090F48" w14:textId="53131AD2">
    <w:pPr>
      <w:pStyle w:val="Footer"/>
      <w:jc w:val="center"/>
    </w:pPr>
  </w:p>
  <w:p w:rsidR="00827B03" w14:paraId="172110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3061734"/>
      <w:docPartObj>
        <w:docPartGallery w:val="Page Numbers (Bottom of Page)"/>
        <w:docPartUnique/>
      </w:docPartObj>
    </w:sdtPr>
    <w:sdtEndPr>
      <w:rPr>
        <w:noProof/>
      </w:rPr>
    </w:sdtEndPr>
    <w:sdtContent>
      <w:p w:rsidR="00827B03" w14:paraId="4E49803C" w14:textId="6EB4B1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5EEE" w:rsidP="000D0D47" w14:paraId="2222B1BD" w14:textId="77777777">
      <w:r>
        <w:separator/>
      </w:r>
    </w:p>
  </w:footnote>
  <w:footnote w:type="continuationSeparator" w:id="1">
    <w:p w:rsidR="00B45EEE" w:rsidP="000D0D47" w14:paraId="08AD588E" w14:textId="77777777">
      <w:r>
        <w:continuationSeparator/>
      </w:r>
    </w:p>
  </w:footnote>
  <w:footnote w:type="continuationNotice" w:id="2">
    <w:p w:rsidR="00B45EEE" w14:paraId="73796175" w14:textId="77777777"/>
  </w:footnote>
  <w:footnote w:id="3">
    <w:p w:rsidR="00827B03" w:rsidRPr="00797665" w:rsidP="007E5DCF" w14:paraId="1B65A84F" w14:textId="3BE6AB1C">
      <w:pPr>
        <w:pStyle w:val="FootnoteText"/>
        <w:rPr>
          <w:szCs w:val="20"/>
        </w:rPr>
      </w:pPr>
      <w:r w:rsidRPr="006C0B9F">
        <w:rPr>
          <w:rStyle w:val="FootnoteReference"/>
          <w:szCs w:val="20"/>
        </w:rPr>
        <w:footnoteRef/>
      </w:r>
      <w:r w:rsidRPr="006C0B9F">
        <w:rPr>
          <w:szCs w:val="20"/>
        </w:rPr>
        <w:t xml:space="preserve"> </w:t>
      </w:r>
      <w:r w:rsidRPr="00797665">
        <w:rPr>
          <w:szCs w:val="20"/>
        </w:rPr>
        <w:t xml:space="preserve">In the same time period DP&amp;L, for example, twice withdrew from PUCO Orders that had required considerable administrative time to implement and then twice initiated </w:t>
      </w:r>
      <w:r w:rsidR="005412EB">
        <w:rPr>
          <w:szCs w:val="20"/>
        </w:rPr>
        <w:t xml:space="preserve">more </w:t>
      </w:r>
      <w:r w:rsidRPr="00797665">
        <w:rPr>
          <w:szCs w:val="20"/>
        </w:rPr>
        <w:t xml:space="preserve">administrative </w:t>
      </w:r>
      <w:r w:rsidR="005412EB">
        <w:rPr>
          <w:szCs w:val="20"/>
        </w:rPr>
        <w:t>processes</w:t>
      </w:r>
      <w:r w:rsidRPr="00797665" w:rsidR="005412EB">
        <w:rPr>
          <w:szCs w:val="20"/>
        </w:rPr>
        <w:t xml:space="preserve"> </w:t>
      </w:r>
      <w:r w:rsidRPr="00797665">
        <w:rPr>
          <w:szCs w:val="20"/>
        </w:rPr>
        <w:t xml:space="preserve">to replace the withdrawn plans at further imposition on state and parties’ time. </w:t>
      </w:r>
      <w:r w:rsidR="005412EB">
        <w:rPr>
          <w:szCs w:val="20"/>
        </w:rPr>
        <w:t>Of course,</w:t>
      </w:r>
      <w:r w:rsidRPr="00797665">
        <w:rPr>
          <w:szCs w:val="20"/>
        </w:rPr>
        <w:t xml:space="preserve"> such a utility imposition is not considered “vexatious” because utilities managed to have th</w:t>
      </w:r>
      <w:r w:rsidR="005412EB">
        <w:rPr>
          <w:szCs w:val="20"/>
        </w:rPr>
        <w:t>is</w:t>
      </w:r>
      <w:r w:rsidRPr="00797665">
        <w:rPr>
          <w:szCs w:val="20"/>
        </w:rPr>
        <w:t xml:space="preserve"> favored process adopted in the 2008 energy law. </w:t>
      </w:r>
      <w:r w:rsidRPr="00797665" w:rsidR="00AE7714">
        <w:rPr>
          <w:i/>
          <w:iCs/>
          <w:szCs w:val="20"/>
        </w:rPr>
        <w:t xml:space="preserve">See </w:t>
      </w:r>
      <w:r w:rsidR="005671F0">
        <w:rPr>
          <w:i/>
          <w:iCs/>
          <w:szCs w:val="20"/>
        </w:rPr>
        <w:t xml:space="preserve">In re </w:t>
      </w:r>
      <w:r w:rsidRPr="00797665" w:rsidR="00AE7714">
        <w:rPr>
          <w:i/>
          <w:iCs/>
          <w:szCs w:val="20"/>
        </w:rPr>
        <w:t>the Application of the Dayton Power and Light Company for Approval of the Electric Security Plan</w:t>
      </w:r>
      <w:r w:rsidRPr="00797665" w:rsidR="00AE7714">
        <w:rPr>
          <w:szCs w:val="20"/>
        </w:rPr>
        <w:t xml:space="preserve">, Case No. 08-1094-EL-SSO, Notice of Withdrawal (July 27, 2016); </w:t>
      </w:r>
      <w:r w:rsidRPr="00797665" w:rsidR="008673A0">
        <w:rPr>
          <w:szCs w:val="20"/>
        </w:rPr>
        <w:t xml:space="preserve">Case No. 16-395-EL-SSO, Notice of Withdrawal (Nov. 26, 2019).  </w:t>
      </w:r>
      <w:r w:rsidRPr="00797665" w:rsidR="00AE7714">
        <w:rPr>
          <w:szCs w:val="20"/>
        </w:rPr>
        <w:t xml:space="preserve"> </w:t>
      </w:r>
    </w:p>
  </w:footnote>
  <w:footnote w:id="4">
    <w:p w:rsidR="00827B03" w:rsidRPr="00797665" w:rsidP="007E5DCF" w14:paraId="0A57CACD" w14:textId="525691DF">
      <w:pPr>
        <w:pStyle w:val="FootnoteText"/>
        <w:rPr>
          <w:szCs w:val="20"/>
        </w:rPr>
      </w:pPr>
      <w:r w:rsidRPr="006C0B9F">
        <w:rPr>
          <w:rStyle w:val="FootnoteReference"/>
          <w:szCs w:val="20"/>
        </w:rPr>
        <w:footnoteRef/>
      </w:r>
      <w:r w:rsidRPr="006C0B9F">
        <w:rPr>
          <w:szCs w:val="20"/>
        </w:rPr>
        <w:t xml:space="preserve"> Comments of Ohio Telecom Association</w:t>
      </w:r>
      <w:r w:rsidRPr="00797665">
        <w:rPr>
          <w:szCs w:val="20"/>
        </w:rPr>
        <w:t xml:space="preserve"> </w:t>
      </w:r>
      <w:r w:rsidRPr="00797665" w:rsidR="004F2EEE">
        <w:rPr>
          <w:szCs w:val="20"/>
        </w:rPr>
        <w:t xml:space="preserve">at 4 </w:t>
      </w:r>
      <w:r w:rsidRPr="00797665">
        <w:rPr>
          <w:szCs w:val="20"/>
        </w:rPr>
        <w:t>(Ja</w:t>
      </w:r>
      <w:r w:rsidRPr="00797665" w:rsidR="004F2EEE">
        <w:rPr>
          <w:szCs w:val="20"/>
        </w:rPr>
        <w:t xml:space="preserve">n. </w:t>
      </w:r>
      <w:r w:rsidRPr="00797665">
        <w:rPr>
          <w:szCs w:val="20"/>
        </w:rPr>
        <w:t>13, 2020)</w:t>
      </w:r>
      <w:r w:rsidRPr="00797665" w:rsidR="004F2EEE">
        <w:rPr>
          <w:szCs w:val="20"/>
        </w:rPr>
        <w:t>.</w:t>
      </w:r>
    </w:p>
  </w:footnote>
  <w:footnote w:id="5">
    <w:p w:rsidR="00827B03" w:rsidRPr="00797665" w:rsidP="007E5DCF" w14:paraId="385361A3" w14:textId="3993B72C">
      <w:pPr>
        <w:pStyle w:val="FootnoteText"/>
        <w:rPr>
          <w:szCs w:val="20"/>
        </w:rPr>
      </w:pPr>
      <w:r w:rsidRPr="006C0B9F">
        <w:rPr>
          <w:rStyle w:val="FootnoteReference"/>
          <w:szCs w:val="20"/>
        </w:rPr>
        <w:footnoteRef/>
      </w:r>
      <w:r w:rsidRPr="006C0B9F">
        <w:rPr>
          <w:szCs w:val="20"/>
        </w:rPr>
        <w:t xml:space="preserve"> </w:t>
      </w:r>
      <w:r w:rsidRPr="00797665">
        <w:rPr>
          <w:i/>
          <w:iCs/>
          <w:szCs w:val="20"/>
        </w:rPr>
        <w:t>See</w:t>
      </w:r>
      <w:r w:rsidRPr="00797665">
        <w:rPr>
          <w:szCs w:val="20"/>
        </w:rPr>
        <w:t>, R.C. 2323.52(A)(3).</w:t>
      </w:r>
    </w:p>
  </w:footnote>
  <w:footnote w:id="6">
    <w:p w:rsidR="00827B03" w:rsidRPr="00797665" w:rsidP="007E5DCF" w14:paraId="440205CA" w14:textId="2518BBFE">
      <w:pPr>
        <w:pStyle w:val="FootnoteText"/>
        <w:rPr>
          <w:szCs w:val="20"/>
        </w:rPr>
      </w:pPr>
      <w:r w:rsidRPr="006C0B9F">
        <w:rPr>
          <w:rStyle w:val="FootnoteReference"/>
          <w:szCs w:val="20"/>
        </w:rPr>
        <w:footnoteRef/>
      </w:r>
      <w:r w:rsidRPr="006C0B9F">
        <w:rPr>
          <w:szCs w:val="20"/>
        </w:rPr>
        <w:t xml:space="preserve"> </w:t>
      </w:r>
      <w:r w:rsidRPr="00797665">
        <w:rPr>
          <w:szCs w:val="20"/>
        </w:rPr>
        <w:t xml:space="preserve">Case No. 18-0278-AU-ORD, </w:t>
      </w:r>
      <w:r w:rsidRPr="00797665">
        <w:rPr>
          <w:i/>
          <w:iCs/>
          <w:szCs w:val="20"/>
        </w:rPr>
        <w:t xml:space="preserve">Comments on the Public’s Right to File a Complaint Against a Public Utility by the Office of the Ohio Consumers’ Counsel and the Northwest Ohio Aggregation Coalition </w:t>
      </w:r>
      <w:r w:rsidRPr="0003390B" w:rsidR="004F2EEE">
        <w:rPr>
          <w:szCs w:val="20"/>
        </w:rPr>
        <w:t>(</w:t>
      </w:r>
      <w:r w:rsidRPr="003B769F">
        <w:rPr>
          <w:szCs w:val="20"/>
        </w:rPr>
        <w:t>Jan</w:t>
      </w:r>
      <w:r w:rsidRPr="003B769F" w:rsidR="004F2EEE">
        <w:rPr>
          <w:szCs w:val="20"/>
        </w:rPr>
        <w:t>.</w:t>
      </w:r>
      <w:r w:rsidRPr="003B769F">
        <w:rPr>
          <w:szCs w:val="20"/>
        </w:rPr>
        <w:t xml:space="preserve"> 13, 2020</w:t>
      </w:r>
      <w:r w:rsidRPr="007A5860" w:rsidR="004F2EEE">
        <w:rPr>
          <w:szCs w:val="20"/>
        </w:rPr>
        <w:t>)</w:t>
      </w:r>
      <w:r w:rsidRPr="007A5860" w:rsidR="008A59B5">
        <w:rPr>
          <w:szCs w:val="20"/>
        </w:rPr>
        <w:t xml:space="preserve"> </w:t>
      </w:r>
      <w:r w:rsidRPr="00C75464" w:rsidR="008A59B5">
        <w:rPr>
          <w:szCs w:val="20"/>
        </w:rPr>
        <w:t>(“OCC/NOAC Comments”)</w:t>
      </w:r>
      <w:r w:rsidRPr="006C0B9F" w:rsidR="004F2EEE">
        <w:rPr>
          <w:szCs w:val="20"/>
        </w:rPr>
        <w:t>.</w:t>
      </w:r>
    </w:p>
  </w:footnote>
  <w:footnote w:id="7">
    <w:p w:rsidR="00827B03" w:rsidRPr="0003390B" w:rsidP="007E5DCF" w14:paraId="63EB218D" w14:textId="2702B07E">
      <w:pPr>
        <w:pStyle w:val="FootnoteText"/>
        <w:rPr>
          <w:szCs w:val="20"/>
        </w:rPr>
      </w:pPr>
      <w:r w:rsidRPr="00797665">
        <w:rPr>
          <w:rStyle w:val="FootnoteReference"/>
          <w:szCs w:val="20"/>
        </w:rPr>
        <w:footnoteRef/>
      </w:r>
      <w:r w:rsidRPr="00797665">
        <w:rPr>
          <w:szCs w:val="20"/>
        </w:rPr>
        <w:t xml:space="preserve"> </w:t>
      </w:r>
      <w:r w:rsidRPr="00797665">
        <w:rPr>
          <w:i/>
          <w:iCs/>
          <w:szCs w:val="20"/>
        </w:rPr>
        <w:t>In re the Matter of the Review of Ohio Adm. Code Chapter 4901-9 Regarding Commission Complaint Proceedings</w:t>
      </w:r>
      <w:r w:rsidRPr="00797665">
        <w:rPr>
          <w:szCs w:val="20"/>
        </w:rPr>
        <w:t>, Case No. 18-0278-AU-ORD, Entry at 74-76 (Dec</w:t>
      </w:r>
      <w:r w:rsidRPr="00797665" w:rsidR="004F2EEE">
        <w:rPr>
          <w:szCs w:val="20"/>
        </w:rPr>
        <w:t xml:space="preserve">. </w:t>
      </w:r>
      <w:r w:rsidRPr="00630001">
        <w:rPr>
          <w:szCs w:val="20"/>
        </w:rPr>
        <w:t>4, 2019).</w:t>
      </w:r>
    </w:p>
  </w:footnote>
  <w:footnote w:id="8">
    <w:p w:rsidR="008A59B5" w:rsidRPr="00C75464" w:rsidP="007E5DCF" w14:paraId="01808B71" w14:textId="24C722B5">
      <w:pPr>
        <w:pStyle w:val="FootnoteText"/>
        <w:rPr>
          <w:i/>
          <w:iCs/>
          <w:szCs w:val="20"/>
        </w:rPr>
      </w:pPr>
      <w:r w:rsidRPr="00797665">
        <w:rPr>
          <w:rStyle w:val="FootnoteReference"/>
          <w:szCs w:val="20"/>
        </w:rPr>
        <w:footnoteRef/>
      </w:r>
      <w:r w:rsidRPr="00797665">
        <w:rPr>
          <w:szCs w:val="20"/>
        </w:rPr>
        <w:t xml:space="preserve"> </w:t>
      </w:r>
      <w:r w:rsidRPr="00797665">
        <w:rPr>
          <w:i/>
          <w:iCs/>
          <w:szCs w:val="20"/>
        </w:rPr>
        <w:t xml:space="preserve">See </w:t>
      </w:r>
      <w:r w:rsidRPr="00797665">
        <w:rPr>
          <w:szCs w:val="20"/>
        </w:rPr>
        <w:t>OCC/NOAC Comments</w:t>
      </w:r>
      <w:r w:rsidRPr="00797665">
        <w:rPr>
          <w:i/>
          <w:iCs/>
          <w:szCs w:val="20"/>
        </w:rPr>
        <w:t>.</w:t>
      </w:r>
    </w:p>
  </w:footnote>
  <w:footnote w:id="9">
    <w:p w:rsidR="00827B03" w:rsidRPr="00797665" w:rsidP="007E5DCF" w14:paraId="4B7F2089" w14:textId="2B08A459">
      <w:pPr>
        <w:pStyle w:val="FootnoteText"/>
        <w:rPr>
          <w:szCs w:val="20"/>
        </w:rPr>
      </w:pPr>
      <w:r w:rsidRPr="00797665">
        <w:rPr>
          <w:rStyle w:val="FootnoteReference"/>
          <w:szCs w:val="20"/>
        </w:rPr>
        <w:footnoteRef/>
      </w:r>
      <w:r w:rsidRPr="00797665">
        <w:rPr>
          <w:szCs w:val="20"/>
        </w:rPr>
        <w:t xml:space="preserve"> </w:t>
      </w:r>
      <w:r w:rsidRPr="00797665" w:rsidR="008A59B5">
        <w:rPr>
          <w:i/>
          <w:iCs/>
          <w:szCs w:val="20"/>
        </w:rPr>
        <w:t>Id.</w:t>
      </w:r>
      <w:r w:rsidRPr="00797665">
        <w:rPr>
          <w:szCs w:val="20"/>
        </w:rPr>
        <w:t xml:space="preserve"> at 3-4.</w:t>
      </w:r>
    </w:p>
  </w:footnote>
  <w:footnote w:id="10">
    <w:p w:rsidR="00827B03" w:rsidRPr="00797665" w:rsidP="007E5DCF" w14:paraId="1117440E" w14:textId="77777777">
      <w:pPr>
        <w:pStyle w:val="FootnoteText"/>
        <w:rPr>
          <w:szCs w:val="20"/>
        </w:rPr>
      </w:pPr>
      <w:r w:rsidRPr="00797665">
        <w:rPr>
          <w:rStyle w:val="FootnoteReference"/>
          <w:szCs w:val="20"/>
        </w:rPr>
        <w:footnoteRef/>
      </w:r>
      <w:r w:rsidRPr="00797665">
        <w:rPr>
          <w:szCs w:val="20"/>
        </w:rPr>
        <w:t xml:space="preserve"> R.C. 4905.26.</w:t>
      </w:r>
    </w:p>
  </w:footnote>
  <w:footnote w:id="11">
    <w:p w:rsidR="00827B03" w:rsidRPr="0003390B" w:rsidP="007E5DCF" w14:paraId="4A33B600" w14:textId="65B1259E">
      <w:pPr>
        <w:pStyle w:val="FootnoteText"/>
        <w:rPr>
          <w:szCs w:val="20"/>
        </w:rPr>
      </w:pPr>
      <w:r w:rsidRPr="00797665">
        <w:rPr>
          <w:rStyle w:val="FootnoteReference"/>
          <w:szCs w:val="20"/>
        </w:rPr>
        <w:footnoteRef/>
      </w:r>
      <w:r w:rsidRPr="00797665">
        <w:rPr>
          <w:szCs w:val="20"/>
        </w:rPr>
        <w:t xml:space="preserve"> Comments of Dominion East Ohio </w:t>
      </w:r>
      <w:r w:rsidRPr="00797665" w:rsidR="004F2EEE">
        <w:rPr>
          <w:szCs w:val="20"/>
        </w:rPr>
        <w:t xml:space="preserve">at 5 </w:t>
      </w:r>
      <w:r w:rsidRPr="00797665">
        <w:rPr>
          <w:szCs w:val="20"/>
        </w:rPr>
        <w:t>(Jan</w:t>
      </w:r>
      <w:r w:rsidRPr="00797665" w:rsidR="004F2EEE">
        <w:rPr>
          <w:szCs w:val="20"/>
        </w:rPr>
        <w:t>.</w:t>
      </w:r>
      <w:r w:rsidRPr="00797665">
        <w:rPr>
          <w:szCs w:val="20"/>
        </w:rPr>
        <w:t xml:space="preserve"> 13, 2020).</w:t>
      </w:r>
    </w:p>
  </w:footnote>
  <w:footnote w:id="12">
    <w:p w:rsidR="00827B03" w:rsidRPr="00797665" w:rsidP="007E5DCF" w14:paraId="3736CB80" w14:textId="0595A89A">
      <w:pPr>
        <w:pStyle w:val="FootnoteText"/>
        <w:rPr>
          <w:szCs w:val="20"/>
        </w:rPr>
      </w:pPr>
      <w:r w:rsidRPr="00797665">
        <w:rPr>
          <w:rStyle w:val="FootnoteReference"/>
          <w:szCs w:val="20"/>
        </w:rPr>
        <w:footnoteRef/>
      </w:r>
      <w:r w:rsidRPr="00797665">
        <w:rPr>
          <w:szCs w:val="20"/>
        </w:rPr>
        <w:t xml:space="preserve"> </w:t>
      </w:r>
      <w:r w:rsidRPr="00797665">
        <w:rPr>
          <w:i/>
          <w:iCs/>
          <w:szCs w:val="20"/>
        </w:rPr>
        <w:t>See</w:t>
      </w:r>
      <w:r w:rsidRPr="00797665">
        <w:rPr>
          <w:szCs w:val="20"/>
        </w:rPr>
        <w:t xml:space="preserve"> R.C. 4901.13.</w:t>
      </w:r>
    </w:p>
  </w:footnote>
  <w:footnote w:id="13">
    <w:p w:rsidR="008A59B5" w:rsidRPr="006C0B9F" w:rsidP="007E5DCF" w14:paraId="513BF236" w14:textId="45E14AA0">
      <w:pPr>
        <w:pStyle w:val="FootnoteText"/>
        <w:rPr>
          <w:szCs w:val="20"/>
        </w:rPr>
      </w:pPr>
      <w:r w:rsidRPr="006C0B9F">
        <w:rPr>
          <w:rStyle w:val="FootnoteReference"/>
          <w:szCs w:val="20"/>
        </w:rPr>
        <w:footnoteRef/>
      </w:r>
      <w:r w:rsidRPr="006C0B9F">
        <w:rPr>
          <w:szCs w:val="20"/>
        </w:rPr>
        <w:t xml:space="preserve"> </w:t>
      </w:r>
      <w:r w:rsidRPr="00C75464">
        <w:rPr>
          <w:i/>
          <w:iCs/>
          <w:szCs w:val="20"/>
        </w:rPr>
        <w:t>See</w:t>
      </w:r>
      <w:r w:rsidRPr="00C75464">
        <w:rPr>
          <w:szCs w:val="20"/>
        </w:rPr>
        <w:t xml:space="preserve"> </w:t>
      </w:r>
      <w:r w:rsidRPr="00C75464">
        <w:rPr>
          <w:i/>
          <w:iCs/>
          <w:szCs w:val="20"/>
        </w:rPr>
        <w:t>Akron &amp; B.B.R. Co. v. Public Utilities Com</w:t>
      </w:r>
      <w:r w:rsidRPr="00C75464">
        <w:rPr>
          <w:szCs w:val="20"/>
        </w:rPr>
        <w:t>., 165 Ohio St. 316 (1956).</w:t>
      </w:r>
    </w:p>
  </w:footnote>
  <w:footnote w:id="14">
    <w:p w:rsidR="00827B03" w:rsidRPr="003B769F" w:rsidP="007E5DCF" w14:paraId="4C8E863F" w14:textId="7DDBD7A7">
      <w:pPr>
        <w:pStyle w:val="FootnoteText"/>
        <w:rPr>
          <w:szCs w:val="20"/>
        </w:rPr>
      </w:pPr>
      <w:r w:rsidRPr="006C0B9F">
        <w:rPr>
          <w:rStyle w:val="FootnoteReference"/>
          <w:szCs w:val="20"/>
        </w:rPr>
        <w:footnoteRef/>
      </w:r>
      <w:r w:rsidRPr="006C0B9F">
        <w:rPr>
          <w:szCs w:val="20"/>
        </w:rPr>
        <w:t xml:space="preserve"> </w:t>
      </w:r>
      <w:r w:rsidRPr="00797665">
        <w:rPr>
          <w:szCs w:val="20"/>
        </w:rPr>
        <w:t>Comments of Ohio Telecom Association</w:t>
      </w:r>
      <w:r w:rsidRPr="00797665" w:rsidR="004F2EEE">
        <w:rPr>
          <w:szCs w:val="20"/>
        </w:rPr>
        <w:t xml:space="preserve"> at </w:t>
      </w:r>
      <w:r w:rsidRPr="00797665" w:rsidR="00C864C2">
        <w:rPr>
          <w:szCs w:val="20"/>
        </w:rPr>
        <w:t>4 (</w:t>
      </w:r>
      <w:r w:rsidRPr="0003390B">
        <w:rPr>
          <w:szCs w:val="20"/>
        </w:rPr>
        <w:t>Jan</w:t>
      </w:r>
      <w:r w:rsidRPr="003B769F" w:rsidR="004F2EEE">
        <w:rPr>
          <w:szCs w:val="20"/>
        </w:rPr>
        <w:t>.</w:t>
      </w:r>
      <w:r w:rsidRPr="003B769F">
        <w:rPr>
          <w:szCs w:val="20"/>
        </w:rPr>
        <w:t xml:space="preserve"> 13, 2020)</w:t>
      </w:r>
      <w:r w:rsidRPr="003B769F" w:rsidR="004F2EEE">
        <w:rPr>
          <w:szCs w:val="20"/>
        </w:rPr>
        <w:t>.</w:t>
      </w:r>
    </w:p>
  </w:footnote>
  <w:footnote w:id="15">
    <w:p w:rsidR="00827B03" w:rsidRPr="003B769F" w:rsidP="007E5DCF" w14:paraId="575611A2" w14:textId="25D192D5">
      <w:pPr>
        <w:pStyle w:val="FootnoteText"/>
        <w:rPr>
          <w:szCs w:val="20"/>
        </w:rPr>
      </w:pPr>
      <w:r w:rsidRPr="006C0B9F">
        <w:rPr>
          <w:rStyle w:val="FootnoteReference"/>
          <w:szCs w:val="20"/>
        </w:rPr>
        <w:footnoteRef/>
      </w:r>
      <w:r w:rsidRPr="006C0B9F">
        <w:rPr>
          <w:szCs w:val="20"/>
        </w:rPr>
        <w:t xml:space="preserve"> Case No. 18-0278-AU-ORD, Transcript</w:t>
      </w:r>
      <w:r w:rsidRPr="00797665" w:rsidR="00622CB8">
        <w:rPr>
          <w:szCs w:val="20"/>
        </w:rPr>
        <w:t xml:space="preserve"> at </w:t>
      </w:r>
      <w:r w:rsidRPr="00797665" w:rsidR="00C864C2">
        <w:rPr>
          <w:szCs w:val="20"/>
        </w:rPr>
        <w:t>21 (</w:t>
      </w:r>
      <w:r w:rsidRPr="00797665">
        <w:rPr>
          <w:szCs w:val="20"/>
        </w:rPr>
        <w:t>July 19, 2018)</w:t>
      </w:r>
      <w:r w:rsidRPr="0003390B" w:rsidR="00622CB8">
        <w:rPr>
          <w:szCs w:val="20"/>
        </w:rPr>
        <w:t>.</w:t>
      </w:r>
      <w:r w:rsidRPr="003B769F">
        <w:rPr>
          <w:szCs w:val="20"/>
        </w:rPr>
        <w:t xml:space="preserve"> </w:t>
      </w:r>
    </w:p>
  </w:footnote>
  <w:footnote w:id="16">
    <w:p w:rsidR="00827B03" w:rsidRPr="00797665" w:rsidP="007E5DCF" w14:paraId="5E9E2D4A" w14:textId="4E2A7D01">
      <w:pPr>
        <w:pStyle w:val="FootnoteText"/>
        <w:rPr>
          <w:szCs w:val="20"/>
        </w:rPr>
      </w:pPr>
      <w:r w:rsidRPr="006C0B9F">
        <w:rPr>
          <w:rStyle w:val="FootnoteReference"/>
          <w:szCs w:val="20"/>
        </w:rPr>
        <w:footnoteRef/>
      </w:r>
      <w:r w:rsidRPr="006C0B9F">
        <w:rPr>
          <w:szCs w:val="20"/>
        </w:rPr>
        <w:t xml:space="preserve"> </w:t>
      </w:r>
      <w:r w:rsidRPr="00797665">
        <w:rPr>
          <w:i/>
          <w:iCs/>
          <w:szCs w:val="20"/>
        </w:rPr>
        <w:t>Id</w:t>
      </w:r>
      <w:r w:rsidRPr="00797665">
        <w:rPr>
          <w:szCs w:val="20"/>
        </w:rPr>
        <w:t>.</w:t>
      </w:r>
    </w:p>
  </w:footnote>
  <w:footnote w:id="17">
    <w:p w:rsidR="00827B03" w:rsidRPr="003B769F" w:rsidP="007E5DCF" w14:paraId="06182A60" w14:textId="35565793">
      <w:pPr>
        <w:pStyle w:val="FootnoteText"/>
        <w:rPr>
          <w:szCs w:val="20"/>
        </w:rPr>
      </w:pPr>
      <w:r w:rsidRPr="006C0B9F">
        <w:rPr>
          <w:rStyle w:val="FootnoteReference"/>
          <w:szCs w:val="20"/>
        </w:rPr>
        <w:footnoteRef/>
      </w:r>
      <w:r w:rsidRPr="006C0B9F">
        <w:rPr>
          <w:szCs w:val="20"/>
        </w:rPr>
        <w:t xml:space="preserve"> Comments of Ohio Telecom Association</w:t>
      </w:r>
      <w:r w:rsidRPr="00797665">
        <w:rPr>
          <w:szCs w:val="20"/>
        </w:rPr>
        <w:t xml:space="preserve"> </w:t>
      </w:r>
      <w:r w:rsidRPr="00797665" w:rsidR="00622CB8">
        <w:rPr>
          <w:szCs w:val="20"/>
        </w:rPr>
        <w:t xml:space="preserve">at 4 </w:t>
      </w:r>
      <w:r w:rsidRPr="00797665">
        <w:rPr>
          <w:szCs w:val="20"/>
        </w:rPr>
        <w:t>(Jan</w:t>
      </w:r>
      <w:r w:rsidRPr="00797665" w:rsidR="00622CB8">
        <w:rPr>
          <w:szCs w:val="20"/>
        </w:rPr>
        <w:t>.</w:t>
      </w:r>
      <w:r w:rsidRPr="00797665">
        <w:rPr>
          <w:szCs w:val="20"/>
        </w:rPr>
        <w:t xml:space="preserve"> 13, 2020)</w:t>
      </w:r>
      <w:r w:rsidRPr="0003390B" w:rsidR="00622CB8">
        <w:rPr>
          <w:szCs w:val="20"/>
        </w:rPr>
        <w:t>.</w:t>
      </w:r>
    </w:p>
  </w:footnote>
  <w:footnote w:id="18">
    <w:p w:rsidR="00827B03" w:rsidRPr="00797665" w:rsidP="007E5DCF" w14:paraId="2F3C7352" w14:textId="5DB96C77">
      <w:pPr>
        <w:pStyle w:val="FootnoteText"/>
        <w:rPr>
          <w:szCs w:val="20"/>
        </w:rPr>
      </w:pPr>
      <w:r w:rsidRPr="006C0B9F">
        <w:rPr>
          <w:rStyle w:val="FootnoteReference"/>
          <w:szCs w:val="20"/>
        </w:rPr>
        <w:footnoteRef/>
      </w:r>
      <w:r w:rsidRPr="006C0B9F">
        <w:rPr>
          <w:szCs w:val="20"/>
        </w:rPr>
        <w:t xml:space="preserve"> Review of complaints covering a 10-year period registered on the PUCO’s DIS system.</w:t>
      </w:r>
    </w:p>
  </w:footnote>
  <w:footnote w:id="19">
    <w:p w:rsidR="00827B03" w:rsidRPr="003B769F" w:rsidP="007E5DCF" w14:paraId="5883CF15" w14:textId="299DC5AF">
      <w:pPr>
        <w:pStyle w:val="FootnoteText"/>
        <w:rPr>
          <w:szCs w:val="20"/>
        </w:rPr>
      </w:pPr>
      <w:r w:rsidRPr="00797665">
        <w:rPr>
          <w:rStyle w:val="FootnoteReference"/>
          <w:szCs w:val="20"/>
        </w:rPr>
        <w:footnoteRef/>
      </w:r>
      <w:r w:rsidRPr="00797665">
        <w:rPr>
          <w:szCs w:val="20"/>
        </w:rPr>
        <w:t xml:space="preserve"> Initial Comments of Columbia Gas of Ohio, Inc. and Duke Energy Ohio, Inc. </w:t>
      </w:r>
      <w:r w:rsidRPr="00797665" w:rsidR="00622CB8">
        <w:rPr>
          <w:szCs w:val="20"/>
        </w:rPr>
        <w:t xml:space="preserve">at 4 </w:t>
      </w:r>
      <w:r w:rsidRPr="00797665">
        <w:rPr>
          <w:szCs w:val="20"/>
        </w:rPr>
        <w:t>(Ja</w:t>
      </w:r>
      <w:r w:rsidRPr="00797665" w:rsidR="00622CB8">
        <w:rPr>
          <w:szCs w:val="20"/>
        </w:rPr>
        <w:t>n.</w:t>
      </w:r>
      <w:r w:rsidRPr="00797665">
        <w:rPr>
          <w:szCs w:val="20"/>
        </w:rPr>
        <w:t xml:space="preserve"> 13, 2020)</w:t>
      </w:r>
      <w:r w:rsidRPr="0003390B" w:rsidR="00622CB8">
        <w:rPr>
          <w:szCs w:val="20"/>
        </w:rPr>
        <w:t>.</w:t>
      </w:r>
    </w:p>
  </w:footnote>
  <w:footnote w:id="20">
    <w:p w:rsidR="00827B03" w:rsidRPr="00797665" w:rsidP="007E5DCF" w14:paraId="6573CF89" w14:textId="75FCA78C">
      <w:pPr>
        <w:pStyle w:val="FootnoteText"/>
        <w:rPr>
          <w:szCs w:val="20"/>
        </w:rPr>
      </w:pPr>
      <w:r w:rsidRPr="00797665">
        <w:rPr>
          <w:rStyle w:val="FootnoteReference"/>
          <w:szCs w:val="20"/>
        </w:rPr>
        <w:footnoteRef/>
      </w:r>
      <w:r w:rsidRPr="00797665">
        <w:rPr>
          <w:szCs w:val="20"/>
        </w:rPr>
        <w:t xml:space="preserve"> </w:t>
      </w:r>
      <w:r w:rsidRPr="00797665">
        <w:rPr>
          <w:i/>
          <w:iCs/>
          <w:szCs w:val="20"/>
        </w:rPr>
        <w:t>Id</w:t>
      </w:r>
      <w:r w:rsidRPr="00797665">
        <w:rPr>
          <w:szCs w:val="20"/>
        </w:rPr>
        <w:t xml:space="preserve">. </w:t>
      </w:r>
    </w:p>
  </w:footnote>
  <w:footnote w:id="21">
    <w:p w:rsidR="00827B03" w:rsidRPr="003B769F" w:rsidP="007E5DCF" w14:paraId="77247A7E" w14:textId="73E19792">
      <w:pPr>
        <w:pStyle w:val="FootnoteText"/>
        <w:rPr>
          <w:szCs w:val="20"/>
        </w:rPr>
      </w:pPr>
      <w:r w:rsidRPr="00797665">
        <w:rPr>
          <w:rStyle w:val="FootnoteReference"/>
          <w:szCs w:val="20"/>
        </w:rPr>
        <w:footnoteRef/>
      </w:r>
      <w:r w:rsidRPr="00797665">
        <w:rPr>
          <w:szCs w:val="20"/>
        </w:rPr>
        <w:t xml:space="preserve"> Comments of FirstEnergy</w:t>
      </w:r>
      <w:r w:rsidRPr="00797665" w:rsidR="00622CB8">
        <w:rPr>
          <w:szCs w:val="20"/>
        </w:rPr>
        <w:t xml:space="preserve"> at </w:t>
      </w:r>
      <w:r w:rsidRPr="00797665" w:rsidR="00C864C2">
        <w:rPr>
          <w:szCs w:val="20"/>
        </w:rPr>
        <w:t>6 (</w:t>
      </w:r>
      <w:r w:rsidRPr="0003390B">
        <w:rPr>
          <w:szCs w:val="20"/>
        </w:rPr>
        <w:t>Jan</w:t>
      </w:r>
      <w:r w:rsidRPr="003B769F" w:rsidR="00622CB8">
        <w:rPr>
          <w:szCs w:val="20"/>
        </w:rPr>
        <w:t xml:space="preserve">. </w:t>
      </w:r>
      <w:r w:rsidRPr="003B769F">
        <w:rPr>
          <w:szCs w:val="20"/>
        </w:rPr>
        <w:t xml:space="preserve">13, 2020). </w:t>
      </w:r>
    </w:p>
  </w:footnote>
  <w:footnote w:id="22">
    <w:p w:rsidR="004F2EEE" w:rsidRPr="0003390B" w:rsidP="007E5DCF" w14:paraId="5D5B1E8F" w14:textId="53D3FE83">
      <w:pPr>
        <w:pStyle w:val="FootnoteText"/>
        <w:rPr>
          <w:szCs w:val="20"/>
        </w:rPr>
      </w:pPr>
      <w:r w:rsidRPr="00797665">
        <w:rPr>
          <w:rStyle w:val="FootnoteReference"/>
          <w:szCs w:val="20"/>
        </w:rPr>
        <w:footnoteRef/>
      </w:r>
      <w:r w:rsidRPr="00797665">
        <w:rPr>
          <w:szCs w:val="20"/>
        </w:rPr>
        <w:t xml:space="preserve"> The PUCO will recall that it criticized Duke for disregarding the PUCO’s rules, and Duke has plenty of access to legal representation.</w:t>
      </w:r>
      <w:r w:rsidRPr="00797665">
        <w:rPr>
          <w:szCs w:val="20"/>
        </w:rPr>
        <w:t xml:space="preserve">  </w:t>
      </w:r>
      <w:r w:rsidRPr="00797665">
        <w:rPr>
          <w:i/>
          <w:iCs/>
          <w:szCs w:val="20"/>
        </w:rPr>
        <w:t xml:space="preserve">See </w:t>
      </w:r>
      <w:r w:rsidRPr="00C75464" w:rsidR="00F12EE5">
        <w:rPr>
          <w:i/>
          <w:iCs/>
          <w:szCs w:val="20"/>
        </w:rPr>
        <w:t>In re the Application of Duke Energy Ohio, Inc. for an Energy Efficiency Cost Recovery Mechanism and for Approval of Additional Programs for Inclusion in its Existing Portfolio</w:t>
      </w:r>
      <w:r w:rsidRPr="00797665" w:rsidR="00F12EE5">
        <w:rPr>
          <w:szCs w:val="20"/>
        </w:rPr>
        <w:t>, Case No. 11-4393-EL-RDR, Entry ¶ 7 (May 9, 2012) (noting Duke’s “continued disdain for the established rules and processes” and stating that the “Commission will no longer tolerate Duke’s unwillingness to follow our directives in this matter”).</w:t>
      </w:r>
      <w:r w:rsidRPr="00797665">
        <w:rPr>
          <w:i/>
          <w:iCs/>
          <w:szCs w:val="20"/>
        </w:rPr>
        <w:t xml:space="preserve">   </w:t>
      </w:r>
    </w:p>
  </w:footnote>
  <w:footnote w:id="23">
    <w:p w:rsidR="00827B03" w:rsidRPr="0003390B" w:rsidP="007E5DCF" w14:paraId="4D7C19FA" w14:textId="1E0D0834">
      <w:pPr>
        <w:pStyle w:val="FootnoteText"/>
        <w:rPr>
          <w:szCs w:val="20"/>
        </w:rPr>
      </w:pPr>
      <w:r w:rsidRPr="00797665">
        <w:rPr>
          <w:rStyle w:val="FootnoteReference"/>
          <w:szCs w:val="20"/>
        </w:rPr>
        <w:footnoteRef/>
      </w:r>
      <w:r w:rsidRPr="00797665">
        <w:rPr>
          <w:szCs w:val="20"/>
        </w:rPr>
        <w:t xml:space="preserve"> </w:t>
      </w:r>
      <w:r w:rsidRPr="00797665" w:rsidR="00F12EE5">
        <w:rPr>
          <w:szCs w:val="20"/>
        </w:rPr>
        <w:t xml:space="preserve">Comments of </w:t>
      </w:r>
      <w:r w:rsidRPr="00797665" w:rsidR="00047420">
        <w:rPr>
          <w:szCs w:val="20"/>
        </w:rPr>
        <w:t>FirstEnergy at</w:t>
      </w:r>
      <w:r w:rsidRPr="00797665">
        <w:rPr>
          <w:szCs w:val="20"/>
        </w:rPr>
        <w:t xml:space="preserve"> 8.</w:t>
      </w:r>
    </w:p>
  </w:footnote>
  <w:footnote w:id="24">
    <w:p w:rsidR="00827B03" w:rsidRPr="00797665" w:rsidP="007E5DCF" w14:paraId="2CFD7373" w14:textId="75007A72">
      <w:pPr>
        <w:pStyle w:val="FootnoteText"/>
        <w:rPr>
          <w:szCs w:val="20"/>
        </w:rPr>
      </w:pPr>
      <w:r w:rsidRPr="00797665">
        <w:rPr>
          <w:rStyle w:val="FootnoteReference"/>
          <w:szCs w:val="20"/>
        </w:rPr>
        <w:footnoteRef/>
      </w:r>
      <w:r w:rsidRPr="00797665">
        <w:rPr>
          <w:szCs w:val="20"/>
        </w:rPr>
        <w:t xml:space="preserve"> OCC</w:t>
      </w:r>
      <w:r w:rsidRPr="00797665" w:rsidR="00622CB8">
        <w:rPr>
          <w:szCs w:val="20"/>
        </w:rPr>
        <w:t xml:space="preserve">/NOAC </w:t>
      </w:r>
      <w:r w:rsidRPr="00797665">
        <w:rPr>
          <w:szCs w:val="20"/>
        </w:rPr>
        <w:t>Comments at 2.</w:t>
      </w:r>
    </w:p>
  </w:footnote>
  <w:footnote w:id="25">
    <w:p w:rsidR="00827B03" w:rsidRPr="00CC1BBF" w:rsidP="007E5DCF" w14:paraId="1242BE46" w14:textId="60D7A5DD">
      <w:pPr>
        <w:pStyle w:val="FootnoteText"/>
        <w:rPr>
          <w:szCs w:val="20"/>
        </w:rPr>
      </w:pPr>
      <w:r w:rsidRPr="00797665">
        <w:rPr>
          <w:rStyle w:val="FootnoteReference"/>
          <w:szCs w:val="20"/>
        </w:rPr>
        <w:footnoteRef/>
      </w:r>
      <w:r w:rsidRPr="00797665">
        <w:rPr>
          <w:szCs w:val="20"/>
        </w:rPr>
        <w:t xml:space="preserve"> Initial Comments of </w:t>
      </w:r>
      <w:r w:rsidRPr="00797665" w:rsidR="00622CB8">
        <w:rPr>
          <w:szCs w:val="20"/>
        </w:rPr>
        <w:t xml:space="preserve">AEP at </w:t>
      </w:r>
      <w:r w:rsidRPr="0003390B" w:rsidR="00F12EE5">
        <w:rPr>
          <w:szCs w:val="20"/>
        </w:rPr>
        <w:t>7 (</w:t>
      </w:r>
      <w:r w:rsidRPr="003B769F">
        <w:rPr>
          <w:szCs w:val="20"/>
        </w:rPr>
        <w:t>Jan</w:t>
      </w:r>
      <w:r w:rsidRPr="003B769F" w:rsidR="00622CB8">
        <w:rPr>
          <w:szCs w:val="20"/>
        </w:rPr>
        <w:t xml:space="preserve">. </w:t>
      </w:r>
      <w:r w:rsidRPr="003B769F">
        <w:rPr>
          <w:szCs w:val="20"/>
        </w:rPr>
        <w:t>13, 2020)</w:t>
      </w:r>
      <w:r w:rsidRPr="00CC1BBF" w:rsidR="00622CB8">
        <w:rPr>
          <w:szCs w:val="20"/>
        </w:rPr>
        <w:t>.</w:t>
      </w:r>
    </w:p>
  </w:footnote>
  <w:footnote w:id="26">
    <w:p w:rsidR="00827B03" w:rsidRPr="00797665" w:rsidP="007E5DCF" w14:paraId="258A3F73" w14:textId="77777777">
      <w:pPr>
        <w:pStyle w:val="FootnoteText"/>
        <w:rPr>
          <w:szCs w:val="20"/>
        </w:rPr>
      </w:pPr>
      <w:r w:rsidRPr="00797665">
        <w:rPr>
          <w:rStyle w:val="FootnoteReference"/>
          <w:szCs w:val="20"/>
        </w:rPr>
        <w:footnoteRef/>
      </w:r>
      <w:r w:rsidRPr="00797665">
        <w:rPr>
          <w:szCs w:val="20"/>
        </w:rPr>
        <w:t xml:space="preserve"> </w:t>
      </w:r>
      <w:r w:rsidRPr="00797665">
        <w:rPr>
          <w:i/>
          <w:iCs/>
          <w:szCs w:val="20"/>
        </w:rPr>
        <w:t>Id</w:t>
      </w:r>
      <w:r w:rsidRPr="00797665">
        <w:rPr>
          <w:szCs w:val="20"/>
        </w:rPr>
        <w:t>.</w:t>
      </w:r>
    </w:p>
  </w:footnote>
  <w:footnote w:id="27">
    <w:p w:rsidR="00047420" w:rsidRPr="00047420" w:rsidP="007E5DCF" w14:paraId="30C5B1DD" w14:textId="12CC6A14">
      <w:pPr>
        <w:pStyle w:val="FootnoteText"/>
      </w:pPr>
      <w:r>
        <w:rPr>
          <w:rStyle w:val="FootnoteReference"/>
        </w:rPr>
        <w:footnoteRef/>
      </w:r>
      <w:r>
        <w:t xml:space="preserve"> </w:t>
      </w:r>
      <w:r>
        <w:rPr>
          <w:i/>
          <w:iCs/>
        </w:rPr>
        <w:t xml:space="preserve">See also </w:t>
      </w:r>
      <w:r>
        <w:t>Ohio Adm. Code 4901-1-09.</w:t>
      </w:r>
    </w:p>
  </w:footnote>
  <w:footnote w:id="28">
    <w:p w:rsidR="00827B03" w:rsidRPr="00797665" w:rsidP="007E5DCF" w14:paraId="6E835023" w14:textId="4E5B4111">
      <w:pPr>
        <w:pStyle w:val="FootnoteText"/>
        <w:rPr>
          <w:szCs w:val="20"/>
        </w:rPr>
      </w:pPr>
      <w:r w:rsidRPr="00797665">
        <w:rPr>
          <w:rStyle w:val="FootnoteReference"/>
          <w:szCs w:val="20"/>
        </w:rPr>
        <w:footnoteRef/>
      </w:r>
      <w:r w:rsidRPr="00797665">
        <w:rPr>
          <w:szCs w:val="20"/>
        </w:rPr>
        <w:t xml:space="preserve"> </w:t>
      </w:r>
      <w:r w:rsidRPr="00797665" w:rsidR="006E1F0B">
        <w:rPr>
          <w:szCs w:val="20"/>
        </w:rPr>
        <w:t xml:space="preserve">Gearino, </w:t>
      </w:r>
      <w:r w:rsidRPr="00C75464">
        <w:rPr>
          <w:i/>
          <w:iCs/>
          <w:szCs w:val="20"/>
        </w:rPr>
        <w:t>Ohio consumers face difficulties filing complaints against utilities</w:t>
      </w:r>
      <w:r w:rsidRPr="00797665">
        <w:rPr>
          <w:szCs w:val="20"/>
        </w:rPr>
        <w:t xml:space="preserve">, Columbus Dispatch (May 10, 2015) </w:t>
      </w:r>
      <w:hyperlink r:id="rId1" w:history="1">
        <w:r w:rsidRPr="00797665">
          <w:rPr>
            <w:color w:val="0000FF"/>
            <w:szCs w:val="20"/>
            <w:u w:val="single"/>
          </w:rPr>
          <w:t>https://www.dispatch.com/article/20150510/NEWS/305109934</w:t>
        </w:r>
      </w:hyperlink>
      <w:r w:rsidRPr="00797665" w:rsidR="006E1F0B">
        <w:rPr>
          <w:color w:val="0000FF"/>
          <w:szCs w:val="20"/>
        </w:rPr>
        <w:t>,</w:t>
      </w:r>
      <w:r w:rsidR="007E5DCF">
        <w:rPr>
          <w:color w:val="0000FF"/>
          <w:szCs w:val="20"/>
        </w:rPr>
        <w:t xml:space="preserve"> </w:t>
      </w:r>
      <w:r w:rsidRPr="00797665">
        <w:rPr>
          <w:szCs w:val="20"/>
        </w:rPr>
        <w:t xml:space="preserve">(“If you are an Ohio consumer filing a complaint against a utility </w:t>
      </w:r>
      <w:r w:rsidRPr="003B769F">
        <w:rPr>
          <w:szCs w:val="20"/>
        </w:rPr>
        <w:t>company, get ready for a long battle, and be prepared to lose.”)</w:t>
      </w:r>
      <w:r w:rsidRPr="00CC1BBF" w:rsidR="006E1F0B">
        <w:rPr>
          <w:szCs w:val="20"/>
        </w:rPr>
        <w:t xml:space="preserve">; Gearino, </w:t>
      </w:r>
      <w:r w:rsidRPr="00C75464" w:rsidR="006E1F0B">
        <w:rPr>
          <w:i/>
          <w:iCs/>
          <w:szCs w:val="20"/>
        </w:rPr>
        <w:t>Prepare to lose your case at PUCO</w:t>
      </w:r>
      <w:r w:rsidRPr="00797665" w:rsidR="006E1F0B">
        <w:rPr>
          <w:szCs w:val="20"/>
        </w:rPr>
        <w:t>, Cleveland Plain Dealer (May 11, 2015), page 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B03" w14:paraId="50518C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32BCB"/>
    <w:multiLevelType w:val="hybridMultilevel"/>
    <w:tmpl w:val="2FA4028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4540647"/>
    <w:multiLevelType w:val="hybridMultilevel"/>
    <w:tmpl w:val="75BAE1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A8360E"/>
    <w:multiLevelType w:val="hybridMultilevel"/>
    <w:tmpl w:val="0D92FE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F5053AF"/>
    <w:multiLevelType w:val="hybridMultilevel"/>
    <w:tmpl w:val="D8A2768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767DED"/>
    <w:multiLevelType w:val="hybridMultilevel"/>
    <w:tmpl w:val="B378AC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16A7772"/>
    <w:multiLevelType w:val="hybridMultilevel"/>
    <w:tmpl w:val="70EA53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4EE5446"/>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53B5975"/>
    <w:multiLevelType w:val="hybridMultilevel"/>
    <w:tmpl w:val="9158526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62B59A0"/>
    <w:multiLevelType w:val="hybridMultilevel"/>
    <w:tmpl w:val="542EF56C"/>
    <w:lvl w:ilvl="0">
      <w:start w:val="1"/>
      <w:numFmt w:val="upperRoman"/>
      <w:lvlText w:val="%1."/>
      <w:lvlJc w:val="left"/>
      <w:pPr>
        <w:ind w:left="990" w:hanging="72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
    <w:nsid w:val="37D80730"/>
    <w:multiLevelType w:val="hybridMultilevel"/>
    <w:tmpl w:val="6D689C14"/>
    <w:lvl w:ilvl="0">
      <w:start w:val="8"/>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E810BA1"/>
    <w:multiLevelType w:val="hybridMultilevel"/>
    <w:tmpl w:val="2BE65E3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3C8218D"/>
    <w:multiLevelType w:val="hybridMultilevel"/>
    <w:tmpl w:val="447E0B5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9E232C5"/>
    <w:multiLevelType w:val="hybridMultilevel"/>
    <w:tmpl w:val="AC1A13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07B4730"/>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6717DD4"/>
    <w:multiLevelType w:val="hybridMultilevel"/>
    <w:tmpl w:val="E4449FA2"/>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C920DF7"/>
    <w:multiLevelType w:val="hybridMultilevel"/>
    <w:tmpl w:val="1E32B1F2"/>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48B7E2C"/>
    <w:multiLevelType w:val="hybridMultilevel"/>
    <w:tmpl w:val="59B4CB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4215EC"/>
    <w:multiLevelType w:val="hybridMultilevel"/>
    <w:tmpl w:val="4CBA0652"/>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FBE2C9F"/>
    <w:multiLevelType w:val="hybridMultilevel"/>
    <w:tmpl w:val="11E2600E"/>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6B00E31"/>
    <w:multiLevelType w:val="hybridMultilevel"/>
    <w:tmpl w:val="F4C493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E5C5BB3"/>
    <w:multiLevelType w:val="hybridMultilevel"/>
    <w:tmpl w:val="8EFA9B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FEF464C"/>
    <w:multiLevelType w:val="hybridMultilevel"/>
    <w:tmpl w:val="E822FE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9"/>
  </w:num>
  <w:num w:numId="3">
    <w:abstractNumId w:val="3"/>
  </w:num>
  <w:num w:numId="4">
    <w:abstractNumId w:val="6"/>
  </w:num>
  <w:num w:numId="5">
    <w:abstractNumId w:val="1"/>
  </w:num>
  <w:num w:numId="6">
    <w:abstractNumId w:val="15"/>
  </w:num>
  <w:num w:numId="7">
    <w:abstractNumId w:val="10"/>
  </w:num>
  <w:num w:numId="8">
    <w:abstractNumId w:val="2"/>
  </w:num>
  <w:num w:numId="9">
    <w:abstractNumId w:val="22"/>
  </w:num>
  <w:num w:numId="10">
    <w:abstractNumId w:val="14"/>
  </w:num>
  <w:num w:numId="11">
    <w:abstractNumId w:val="7"/>
  </w:num>
  <w:num w:numId="12">
    <w:abstractNumId w:val="0"/>
  </w:num>
  <w:num w:numId="13">
    <w:abstractNumId w:val="13"/>
  </w:num>
  <w:num w:numId="14">
    <w:abstractNumId w:val="20"/>
  </w:num>
  <w:num w:numId="15">
    <w:abstractNumId w:val="18"/>
  </w:num>
  <w:num w:numId="16">
    <w:abstractNumId w:val="23"/>
  </w:num>
  <w:num w:numId="17">
    <w:abstractNumId w:val="12"/>
  </w:num>
  <w:num w:numId="18">
    <w:abstractNumId w:val="11"/>
  </w:num>
  <w:num w:numId="19">
    <w:abstractNumId w:val="9"/>
  </w:num>
  <w:num w:numId="20">
    <w:abstractNumId w:val="4"/>
  </w:num>
  <w:num w:numId="21">
    <w:abstractNumId w:val="16"/>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22"/>
    <w:rsid w:val="0000482B"/>
    <w:rsid w:val="00011C3D"/>
    <w:rsid w:val="00025149"/>
    <w:rsid w:val="000317C1"/>
    <w:rsid w:val="0003390B"/>
    <w:rsid w:val="00041D71"/>
    <w:rsid w:val="00042B5F"/>
    <w:rsid w:val="00044E49"/>
    <w:rsid w:val="00047420"/>
    <w:rsid w:val="00047C2F"/>
    <w:rsid w:val="00053DE7"/>
    <w:rsid w:val="0005415C"/>
    <w:rsid w:val="00055AF4"/>
    <w:rsid w:val="00055CA4"/>
    <w:rsid w:val="00057359"/>
    <w:rsid w:val="0008458E"/>
    <w:rsid w:val="000874A4"/>
    <w:rsid w:val="00087753"/>
    <w:rsid w:val="000948F0"/>
    <w:rsid w:val="00095E47"/>
    <w:rsid w:val="00097F28"/>
    <w:rsid w:val="000A28BD"/>
    <w:rsid w:val="000B002C"/>
    <w:rsid w:val="000B1BA8"/>
    <w:rsid w:val="000B6630"/>
    <w:rsid w:val="000C0DEE"/>
    <w:rsid w:val="000C4D11"/>
    <w:rsid w:val="000D0D47"/>
    <w:rsid w:val="000D7B61"/>
    <w:rsid w:val="000E0759"/>
    <w:rsid w:val="000E08AC"/>
    <w:rsid w:val="000E6096"/>
    <w:rsid w:val="000E64A4"/>
    <w:rsid w:val="000F40A1"/>
    <w:rsid w:val="000F6673"/>
    <w:rsid w:val="00101944"/>
    <w:rsid w:val="00101D01"/>
    <w:rsid w:val="001029CA"/>
    <w:rsid w:val="00104D1B"/>
    <w:rsid w:val="00106998"/>
    <w:rsid w:val="001073A2"/>
    <w:rsid w:val="00116E2D"/>
    <w:rsid w:val="00127741"/>
    <w:rsid w:val="0013162C"/>
    <w:rsid w:val="00145BF0"/>
    <w:rsid w:val="0015013F"/>
    <w:rsid w:val="00151A13"/>
    <w:rsid w:val="001526AE"/>
    <w:rsid w:val="00160C6A"/>
    <w:rsid w:val="00164E8D"/>
    <w:rsid w:val="001664CF"/>
    <w:rsid w:val="001668E5"/>
    <w:rsid w:val="00172A5D"/>
    <w:rsid w:val="001759B6"/>
    <w:rsid w:val="001770B3"/>
    <w:rsid w:val="00177462"/>
    <w:rsid w:val="001816E9"/>
    <w:rsid w:val="00190084"/>
    <w:rsid w:val="001902D9"/>
    <w:rsid w:val="0019092C"/>
    <w:rsid w:val="001977B9"/>
    <w:rsid w:val="001A05B6"/>
    <w:rsid w:val="001A0B90"/>
    <w:rsid w:val="001C09EF"/>
    <w:rsid w:val="001C3C33"/>
    <w:rsid w:val="001D27AB"/>
    <w:rsid w:val="001E1F33"/>
    <w:rsid w:val="001E3B93"/>
    <w:rsid w:val="001F2B5A"/>
    <w:rsid w:val="001F6176"/>
    <w:rsid w:val="00202BA3"/>
    <w:rsid w:val="0022614A"/>
    <w:rsid w:val="0023250F"/>
    <w:rsid w:val="00243BCA"/>
    <w:rsid w:val="00252EA4"/>
    <w:rsid w:val="00253C81"/>
    <w:rsid w:val="0025443E"/>
    <w:rsid w:val="00256314"/>
    <w:rsid w:val="002601C4"/>
    <w:rsid w:val="002670F8"/>
    <w:rsid w:val="00270255"/>
    <w:rsid w:val="00274211"/>
    <w:rsid w:val="002748D1"/>
    <w:rsid w:val="00276378"/>
    <w:rsid w:val="002800EE"/>
    <w:rsid w:val="00283015"/>
    <w:rsid w:val="0028703E"/>
    <w:rsid w:val="00293D45"/>
    <w:rsid w:val="002A37A0"/>
    <w:rsid w:val="002B1676"/>
    <w:rsid w:val="002B3464"/>
    <w:rsid w:val="002B3FF4"/>
    <w:rsid w:val="002B4A7F"/>
    <w:rsid w:val="002B679B"/>
    <w:rsid w:val="002B6C3D"/>
    <w:rsid w:val="002C21F3"/>
    <w:rsid w:val="002D01EA"/>
    <w:rsid w:val="002D0CE2"/>
    <w:rsid w:val="002D2F09"/>
    <w:rsid w:val="002E0BFB"/>
    <w:rsid w:val="002F0CB6"/>
    <w:rsid w:val="002F1565"/>
    <w:rsid w:val="002F3309"/>
    <w:rsid w:val="002F386B"/>
    <w:rsid w:val="002F4B4E"/>
    <w:rsid w:val="0030394D"/>
    <w:rsid w:val="00303FCD"/>
    <w:rsid w:val="0030566C"/>
    <w:rsid w:val="00306B55"/>
    <w:rsid w:val="00306D96"/>
    <w:rsid w:val="00312AD2"/>
    <w:rsid w:val="003134CC"/>
    <w:rsid w:val="00313B95"/>
    <w:rsid w:val="00317FD4"/>
    <w:rsid w:val="00320355"/>
    <w:rsid w:val="00330CA1"/>
    <w:rsid w:val="0033272B"/>
    <w:rsid w:val="00334216"/>
    <w:rsid w:val="0033685C"/>
    <w:rsid w:val="00344CD4"/>
    <w:rsid w:val="00344F8E"/>
    <w:rsid w:val="00346836"/>
    <w:rsid w:val="003573B3"/>
    <w:rsid w:val="003573F4"/>
    <w:rsid w:val="003613B5"/>
    <w:rsid w:val="00367D42"/>
    <w:rsid w:val="003702A2"/>
    <w:rsid w:val="003714C3"/>
    <w:rsid w:val="00376243"/>
    <w:rsid w:val="00385A4B"/>
    <w:rsid w:val="00394A18"/>
    <w:rsid w:val="00396843"/>
    <w:rsid w:val="003A5773"/>
    <w:rsid w:val="003B046B"/>
    <w:rsid w:val="003B29D9"/>
    <w:rsid w:val="003B3FDE"/>
    <w:rsid w:val="003B769F"/>
    <w:rsid w:val="003C1A69"/>
    <w:rsid w:val="003D770C"/>
    <w:rsid w:val="003E442E"/>
    <w:rsid w:val="003F4EB1"/>
    <w:rsid w:val="003F7110"/>
    <w:rsid w:val="0040728C"/>
    <w:rsid w:val="0041031A"/>
    <w:rsid w:val="0041278D"/>
    <w:rsid w:val="004127CE"/>
    <w:rsid w:val="004152BE"/>
    <w:rsid w:val="00426154"/>
    <w:rsid w:val="00440E0A"/>
    <w:rsid w:val="00445978"/>
    <w:rsid w:val="00446E17"/>
    <w:rsid w:val="00447D1F"/>
    <w:rsid w:val="0045070C"/>
    <w:rsid w:val="0045466C"/>
    <w:rsid w:val="00457076"/>
    <w:rsid w:val="00460E02"/>
    <w:rsid w:val="00461495"/>
    <w:rsid w:val="00473C55"/>
    <w:rsid w:val="00474BCA"/>
    <w:rsid w:val="004869DE"/>
    <w:rsid w:val="00490523"/>
    <w:rsid w:val="004927FC"/>
    <w:rsid w:val="00494825"/>
    <w:rsid w:val="004A2BDB"/>
    <w:rsid w:val="004A5CBB"/>
    <w:rsid w:val="004B5304"/>
    <w:rsid w:val="004C246E"/>
    <w:rsid w:val="004C4FA3"/>
    <w:rsid w:val="004C5CF8"/>
    <w:rsid w:val="004C6AFE"/>
    <w:rsid w:val="004D4722"/>
    <w:rsid w:val="004D7377"/>
    <w:rsid w:val="004E3401"/>
    <w:rsid w:val="004F2EEE"/>
    <w:rsid w:val="004F4771"/>
    <w:rsid w:val="004F690B"/>
    <w:rsid w:val="00500CBD"/>
    <w:rsid w:val="00504C8C"/>
    <w:rsid w:val="005117F9"/>
    <w:rsid w:val="0051529F"/>
    <w:rsid w:val="00521ED8"/>
    <w:rsid w:val="00526522"/>
    <w:rsid w:val="0052672D"/>
    <w:rsid w:val="005331AE"/>
    <w:rsid w:val="00534556"/>
    <w:rsid w:val="0054057D"/>
    <w:rsid w:val="005412EB"/>
    <w:rsid w:val="00551615"/>
    <w:rsid w:val="005578AC"/>
    <w:rsid w:val="005651B6"/>
    <w:rsid w:val="00565CE4"/>
    <w:rsid w:val="00566399"/>
    <w:rsid w:val="005671F0"/>
    <w:rsid w:val="005760C6"/>
    <w:rsid w:val="0058145E"/>
    <w:rsid w:val="00584E91"/>
    <w:rsid w:val="00585F9D"/>
    <w:rsid w:val="00595226"/>
    <w:rsid w:val="0059625F"/>
    <w:rsid w:val="00596420"/>
    <w:rsid w:val="005A5CBE"/>
    <w:rsid w:val="005B0B13"/>
    <w:rsid w:val="005B7915"/>
    <w:rsid w:val="005C3564"/>
    <w:rsid w:val="005C4E90"/>
    <w:rsid w:val="005D3727"/>
    <w:rsid w:val="005E3838"/>
    <w:rsid w:val="005F38A4"/>
    <w:rsid w:val="005F5869"/>
    <w:rsid w:val="005F6DD8"/>
    <w:rsid w:val="00601739"/>
    <w:rsid w:val="006027B7"/>
    <w:rsid w:val="00616825"/>
    <w:rsid w:val="00622CB8"/>
    <w:rsid w:val="00630001"/>
    <w:rsid w:val="006307C0"/>
    <w:rsid w:val="00630E6D"/>
    <w:rsid w:val="0063689B"/>
    <w:rsid w:val="00667A73"/>
    <w:rsid w:val="006721BE"/>
    <w:rsid w:val="00680A15"/>
    <w:rsid w:val="00686594"/>
    <w:rsid w:val="0069070F"/>
    <w:rsid w:val="00691BD5"/>
    <w:rsid w:val="00694460"/>
    <w:rsid w:val="006A547C"/>
    <w:rsid w:val="006A6543"/>
    <w:rsid w:val="006A7B02"/>
    <w:rsid w:val="006C0B9F"/>
    <w:rsid w:val="006C35DB"/>
    <w:rsid w:val="006C4678"/>
    <w:rsid w:val="006C486F"/>
    <w:rsid w:val="006C51F2"/>
    <w:rsid w:val="006C5D43"/>
    <w:rsid w:val="006D2D9A"/>
    <w:rsid w:val="006D5FFD"/>
    <w:rsid w:val="006E1F0B"/>
    <w:rsid w:val="006E40B4"/>
    <w:rsid w:val="006E4A31"/>
    <w:rsid w:val="006E51FF"/>
    <w:rsid w:val="00702240"/>
    <w:rsid w:val="007116C8"/>
    <w:rsid w:val="00711F4B"/>
    <w:rsid w:val="007127A3"/>
    <w:rsid w:val="007150E2"/>
    <w:rsid w:val="007159E9"/>
    <w:rsid w:val="00722AB3"/>
    <w:rsid w:val="00723120"/>
    <w:rsid w:val="00727F3C"/>
    <w:rsid w:val="007324E1"/>
    <w:rsid w:val="007330F4"/>
    <w:rsid w:val="0073429D"/>
    <w:rsid w:val="007440D7"/>
    <w:rsid w:val="007446D5"/>
    <w:rsid w:val="0075075B"/>
    <w:rsid w:val="00755AF3"/>
    <w:rsid w:val="00772694"/>
    <w:rsid w:val="00773AA3"/>
    <w:rsid w:val="00775166"/>
    <w:rsid w:val="00777A02"/>
    <w:rsid w:val="00782236"/>
    <w:rsid w:val="007842D4"/>
    <w:rsid w:val="00785B64"/>
    <w:rsid w:val="00785CDA"/>
    <w:rsid w:val="00793053"/>
    <w:rsid w:val="00797665"/>
    <w:rsid w:val="007A114F"/>
    <w:rsid w:val="007A18BC"/>
    <w:rsid w:val="007A5860"/>
    <w:rsid w:val="007B3799"/>
    <w:rsid w:val="007B590C"/>
    <w:rsid w:val="007B5D0B"/>
    <w:rsid w:val="007C4114"/>
    <w:rsid w:val="007C5A07"/>
    <w:rsid w:val="007D307C"/>
    <w:rsid w:val="007D496B"/>
    <w:rsid w:val="007E5367"/>
    <w:rsid w:val="007E5DCF"/>
    <w:rsid w:val="007E7641"/>
    <w:rsid w:val="007F076E"/>
    <w:rsid w:val="00801812"/>
    <w:rsid w:val="0080447B"/>
    <w:rsid w:val="008069E6"/>
    <w:rsid w:val="008177E6"/>
    <w:rsid w:val="00817C64"/>
    <w:rsid w:val="008200C1"/>
    <w:rsid w:val="008249F3"/>
    <w:rsid w:val="00824A60"/>
    <w:rsid w:val="00827B03"/>
    <w:rsid w:val="008319F1"/>
    <w:rsid w:val="00844F98"/>
    <w:rsid w:val="008507DB"/>
    <w:rsid w:val="0085574C"/>
    <w:rsid w:val="008673A0"/>
    <w:rsid w:val="00890C71"/>
    <w:rsid w:val="008A59B5"/>
    <w:rsid w:val="008A683C"/>
    <w:rsid w:val="008B12FE"/>
    <w:rsid w:val="008B239A"/>
    <w:rsid w:val="008C0D93"/>
    <w:rsid w:val="008C17C4"/>
    <w:rsid w:val="008C1F44"/>
    <w:rsid w:val="008C74C9"/>
    <w:rsid w:val="008D7714"/>
    <w:rsid w:val="008D7CFD"/>
    <w:rsid w:val="008D7EA7"/>
    <w:rsid w:val="008E0661"/>
    <w:rsid w:val="008F19EF"/>
    <w:rsid w:val="008F3139"/>
    <w:rsid w:val="008F52B6"/>
    <w:rsid w:val="00900767"/>
    <w:rsid w:val="0090190A"/>
    <w:rsid w:val="00904BB0"/>
    <w:rsid w:val="0090568B"/>
    <w:rsid w:val="00913EAD"/>
    <w:rsid w:val="0092067D"/>
    <w:rsid w:val="0093252C"/>
    <w:rsid w:val="00933BD2"/>
    <w:rsid w:val="00936D0D"/>
    <w:rsid w:val="00942D91"/>
    <w:rsid w:val="00951222"/>
    <w:rsid w:val="00954025"/>
    <w:rsid w:val="00956CC7"/>
    <w:rsid w:val="0096517A"/>
    <w:rsid w:val="00965632"/>
    <w:rsid w:val="00966C0E"/>
    <w:rsid w:val="00980A38"/>
    <w:rsid w:val="00982683"/>
    <w:rsid w:val="009834B8"/>
    <w:rsid w:val="009960F6"/>
    <w:rsid w:val="009A3329"/>
    <w:rsid w:val="009A5126"/>
    <w:rsid w:val="009A5184"/>
    <w:rsid w:val="009A532B"/>
    <w:rsid w:val="009B6620"/>
    <w:rsid w:val="009B701D"/>
    <w:rsid w:val="009C022B"/>
    <w:rsid w:val="009C2683"/>
    <w:rsid w:val="009C4155"/>
    <w:rsid w:val="009C6264"/>
    <w:rsid w:val="009E642E"/>
    <w:rsid w:val="009E7816"/>
    <w:rsid w:val="009F0F39"/>
    <w:rsid w:val="009F1250"/>
    <w:rsid w:val="009F3A42"/>
    <w:rsid w:val="009F6863"/>
    <w:rsid w:val="00A06B3B"/>
    <w:rsid w:val="00A10D18"/>
    <w:rsid w:val="00A13F1B"/>
    <w:rsid w:val="00A228D7"/>
    <w:rsid w:val="00A27F08"/>
    <w:rsid w:val="00A308C4"/>
    <w:rsid w:val="00A4025F"/>
    <w:rsid w:val="00A46896"/>
    <w:rsid w:val="00A6130F"/>
    <w:rsid w:val="00A66CFC"/>
    <w:rsid w:val="00A704C7"/>
    <w:rsid w:val="00A80BB1"/>
    <w:rsid w:val="00A846B1"/>
    <w:rsid w:val="00A85A20"/>
    <w:rsid w:val="00A92AA2"/>
    <w:rsid w:val="00AB526E"/>
    <w:rsid w:val="00AD0C0D"/>
    <w:rsid w:val="00AD1EAC"/>
    <w:rsid w:val="00AD2DFE"/>
    <w:rsid w:val="00AD3231"/>
    <w:rsid w:val="00AD38A7"/>
    <w:rsid w:val="00AD6054"/>
    <w:rsid w:val="00AE08D2"/>
    <w:rsid w:val="00AE7714"/>
    <w:rsid w:val="00AF172C"/>
    <w:rsid w:val="00B03476"/>
    <w:rsid w:val="00B0525A"/>
    <w:rsid w:val="00B064EA"/>
    <w:rsid w:val="00B131E8"/>
    <w:rsid w:val="00B15B43"/>
    <w:rsid w:val="00B15C65"/>
    <w:rsid w:val="00B37053"/>
    <w:rsid w:val="00B37679"/>
    <w:rsid w:val="00B43037"/>
    <w:rsid w:val="00B44E2D"/>
    <w:rsid w:val="00B45EEE"/>
    <w:rsid w:val="00B46BDB"/>
    <w:rsid w:val="00B4766E"/>
    <w:rsid w:val="00B576D9"/>
    <w:rsid w:val="00B60D0F"/>
    <w:rsid w:val="00B61263"/>
    <w:rsid w:val="00B8187C"/>
    <w:rsid w:val="00B9181D"/>
    <w:rsid w:val="00BA32F0"/>
    <w:rsid w:val="00BA55C0"/>
    <w:rsid w:val="00BB15BF"/>
    <w:rsid w:val="00BB54CD"/>
    <w:rsid w:val="00BC070B"/>
    <w:rsid w:val="00BD77A3"/>
    <w:rsid w:val="00BD7909"/>
    <w:rsid w:val="00BE4F78"/>
    <w:rsid w:val="00BF1349"/>
    <w:rsid w:val="00BF61C9"/>
    <w:rsid w:val="00BF6408"/>
    <w:rsid w:val="00C10D1A"/>
    <w:rsid w:val="00C12005"/>
    <w:rsid w:val="00C12F35"/>
    <w:rsid w:val="00C13FEC"/>
    <w:rsid w:val="00C1625C"/>
    <w:rsid w:val="00C269D4"/>
    <w:rsid w:val="00C30528"/>
    <w:rsid w:val="00C32F0D"/>
    <w:rsid w:val="00C37177"/>
    <w:rsid w:val="00C41168"/>
    <w:rsid w:val="00C41BB3"/>
    <w:rsid w:val="00C43145"/>
    <w:rsid w:val="00C5143E"/>
    <w:rsid w:val="00C618B3"/>
    <w:rsid w:val="00C63254"/>
    <w:rsid w:val="00C71F93"/>
    <w:rsid w:val="00C724B0"/>
    <w:rsid w:val="00C73524"/>
    <w:rsid w:val="00C75464"/>
    <w:rsid w:val="00C8453A"/>
    <w:rsid w:val="00C864C2"/>
    <w:rsid w:val="00C87EEF"/>
    <w:rsid w:val="00C932CD"/>
    <w:rsid w:val="00C96151"/>
    <w:rsid w:val="00CA0125"/>
    <w:rsid w:val="00CA4FBB"/>
    <w:rsid w:val="00CB1CE5"/>
    <w:rsid w:val="00CB35A2"/>
    <w:rsid w:val="00CB376E"/>
    <w:rsid w:val="00CC1BBF"/>
    <w:rsid w:val="00CC253D"/>
    <w:rsid w:val="00CD138F"/>
    <w:rsid w:val="00CD1FA1"/>
    <w:rsid w:val="00CF4A52"/>
    <w:rsid w:val="00D16B88"/>
    <w:rsid w:val="00D25020"/>
    <w:rsid w:val="00D30EFC"/>
    <w:rsid w:val="00D32792"/>
    <w:rsid w:val="00D50371"/>
    <w:rsid w:val="00D50E39"/>
    <w:rsid w:val="00D515BB"/>
    <w:rsid w:val="00D573D7"/>
    <w:rsid w:val="00D653DC"/>
    <w:rsid w:val="00D66B9D"/>
    <w:rsid w:val="00D6748D"/>
    <w:rsid w:val="00D778F1"/>
    <w:rsid w:val="00D805B9"/>
    <w:rsid w:val="00D84DE5"/>
    <w:rsid w:val="00D93038"/>
    <w:rsid w:val="00D9762B"/>
    <w:rsid w:val="00DA378E"/>
    <w:rsid w:val="00DA7EAB"/>
    <w:rsid w:val="00DB078D"/>
    <w:rsid w:val="00DB4C5F"/>
    <w:rsid w:val="00DC38CB"/>
    <w:rsid w:val="00DD4849"/>
    <w:rsid w:val="00DE0E96"/>
    <w:rsid w:val="00DE4D38"/>
    <w:rsid w:val="00DF0AC4"/>
    <w:rsid w:val="00DF6059"/>
    <w:rsid w:val="00E02E96"/>
    <w:rsid w:val="00E031D0"/>
    <w:rsid w:val="00E044FB"/>
    <w:rsid w:val="00E062CF"/>
    <w:rsid w:val="00E161D6"/>
    <w:rsid w:val="00E245C1"/>
    <w:rsid w:val="00E31997"/>
    <w:rsid w:val="00E319E3"/>
    <w:rsid w:val="00E32475"/>
    <w:rsid w:val="00E43F18"/>
    <w:rsid w:val="00E47B49"/>
    <w:rsid w:val="00E5015E"/>
    <w:rsid w:val="00E51C96"/>
    <w:rsid w:val="00E524F1"/>
    <w:rsid w:val="00E60B5F"/>
    <w:rsid w:val="00E81F38"/>
    <w:rsid w:val="00E901B7"/>
    <w:rsid w:val="00E92AD8"/>
    <w:rsid w:val="00E935BC"/>
    <w:rsid w:val="00EA6B22"/>
    <w:rsid w:val="00EB232D"/>
    <w:rsid w:val="00EB2982"/>
    <w:rsid w:val="00EB5586"/>
    <w:rsid w:val="00EB640B"/>
    <w:rsid w:val="00EB6A33"/>
    <w:rsid w:val="00EC1DBB"/>
    <w:rsid w:val="00EC7284"/>
    <w:rsid w:val="00ED47E1"/>
    <w:rsid w:val="00ED7239"/>
    <w:rsid w:val="00EE0A1E"/>
    <w:rsid w:val="00EE4088"/>
    <w:rsid w:val="00EE4E08"/>
    <w:rsid w:val="00EF1496"/>
    <w:rsid w:val="00F12EE5"/>
    <w:rsid w:val="00F15F91"/>
    <w:rsid w:val="00F16406"/>
    <w:rsid w:val="00F2142A"/>
    <w:rsid w:val="00F22B4B"/>
    <w:rsid w:val="00F25F02"/>
    <w:rsid w:val="00F343E1"/>
    <w:rsid w:val="00F43C01"/>
    <w:rsid w:val="00F51CCF"/>
    <w:rsid w:val="00F558D1"/>
    <w:rsid w:val="00F56365"/>
    <w:rsid w:val="00F57D3A"/>
    <w:rsid w:val="00F647B0"/>
    <w:rsid w:val="00F777C2"/>
    <w:rsid w:val="00F80390"/>
    <w:rsid w:val="00F85BCD"/>
    <w:rsid w:val="00F91172"/>
    <w:rsid w:val="00FA6B0B"/>
    <w:rsid w:val="00FB2B39"/>
    <w:rsid w:val="00FC08DC"/>
    <w:rsid w:val="00FC1893"/>
    <w:rsid w:val="00FC33EE"/>
    <w:rsid w:val="00FD2E9D"/>
    <w:rsid w:val="00FD7E1E"/>
    <w:rsid w:val="00FE177A"/>
    <w:rsid w:val="00FE60B7"/>
    <w:rsid w:val="00FF5722"/>
    <w:rsid w:val="00FF73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03"/>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E935BC"/>
    <w:pPr>
      <w:keepNext/>
      <w:spacing w:after="240"/>
      <w:ind w:left="720" w:hanging="72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F56365"/>
    <w:pPr>
      <w:keepNext/>
      <w:keepLines/>
      <w:spacing w:after="240"/>
      <w:ind w:left="1440" w:hanging="720"/>
      <w:outlineLvl w:val="1"/>
    </w:pPr>
    <w:rPr>
      <w:rFonts w:ascii="Times New Roman Bold" w:hAnsi="Times New Roman Bold" w:eastAsiaTheme="majorEastAsia"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uiPriority w:val="99"/>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uiPriority w:val="99"/>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iPriority w:val="99"/>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B5452"/>
    <w:rPr>
      <w:b/>
      <w:bCs/>
    </w:rPr>
  </w:style>
  <w:style w:type="character" w:customStyle="1" w:styleId="CommentSubjectChar">
    <w:name w:val="Comment Subject Char"/>
    <w:basedOn w:val="CommentTextChar"/>
    <w:link w:val="CommentSubject"/>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E935BC"/>
    <w:rPr>
      <w:rFonts w:ascii="Times New Roman Bold" w:eastAsia="Times New Roman" w:hAnsi="Times New Roman Bold" w:cs="Times New Roman"/>
      <w:b/>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F56365"/>
    <w:rPr>
      <w:rFonts w:ascii="Times New Roman Bold" w:hAnsi="Times New Roman Bold" w:eastAsiaTheme="majorEastAsia" w:cs="Times New Roman"/>
      <w:bCs/>
      <w:sz w:val="24"/>
      <w:szCs w:val="24"/>
    </w:rPr>
  </w:style>
  <w:style w:type="paragraph" w:styleId="TOC1">
    <w:name w:val="toc 1"/>
    <w:basedOn w:val="Normal"/>
    <w:next w:val="Normal"/>
    <w:autoRedefine/>
    <w:uiPriority w:val="39"/>
    <w:unhideWhenUsed/>
    <w:qFormat/>
    <w:rsid w:val="00E935BC"/>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E935BC"/>
    <w:pPr>
      <w:tabs>
        <w:tab w:val="decimal" w:leader="dot" w:pos="8640"/>
      </w:tabs>
      <w:spacing w:after="240"/>
      <w:ind w:left="1440" w:hanging="720"/>
    </w:pPr>
  </w:style>
  <w:style w:type="character" w:customStyle="1" w:styleId="UnresolvedMention2">
    <w:name w:val="Unresolved Mention2"/>
    <w:basedOn w:val="DefaultParagraphFont"/>
    <w:uiPriority w:val="99"/>
    <w:rsid w:val="00055CA4"/>
    <w:rPr>
      <w:color w:val="605E5C"/>
      <w:shd w:val="clear" w:color="auto" w:fill="E1DFDD"/>
    </w:rPr>
  </w:style>
  <w:style w:type="paragraph" w:styleId="NormalWeb">
    <w:name w:val="Normal (Web)"/>
    <w:basedOn w:val="Normal"/>
    <w:uiPriority w:val="99"/>
    <w:unhideWhenUsed/>
    <w:rsid w:val="002D01EA"/>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rsid w:val="009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2067D"/>
    <w:rPr>
      <w:rFonts w:ascii="Courier New" w:eastAsia="Courier New" w:hAnsi="Courier New" w:cs="Courier New"/>
      <w:sz w:val="20"/>
      <w:szCs w:val="20"/>
    </w:rPr>
  </w:style>
  <w:style w:type="paragraph" w:styleId="Revision">
    <w:name w:val="Revision"/>
    <w:hidden/>
    <w:uiPriority w:val="99"/>
    <w:semiHidden/>
    <w:rsid w:val="00243BCA"/>
    <w:pPr>
      <w:spacing w:after="0" w:line="240" w:lineRule="auto"/>
    </w:pPr>
    <w:rPr>
      <w:rFonts w:ascii="Times New Roman" w:hAnsi="Times New Roman"/>
      <w:sz w:val="24"/>
    </w:rPr>
  </w:style>
  <w:style w:type="character" w:customStyle="1" w:styleId="UnresolvedMention">
    <w:name w:val="Unresolved Mention"/>
    <w:basedOn w:val="DefaultParagraphFont"/>
    <w:uiPriority w:val="99"/>
    <w:rsid w:val="00303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yperlink" Target="mailto:John.jones@ohioattorneygeneral.gov" TargetMode="External" /><Relationship Id="rId13" Type="http://schemas.openxmlformats.org/officeDocument/2006/relationships/hyperlink" Target="mailto:Fdarr2019@gmail.com" TargetMode="External" /><Relationship Id="rId14" Type="http://schemas.openxmlformats.org/officeDocument/2006/relationships/hyperlink" Target="mailto:edanford@firstenergycorp.com" TargetMode="External" /><Relationship Id="rId15" Type="http://schemas.openxmlformats.org/officeDocument/2006/relationships/hyperlink" Target="mailto:rocco.dascenzo@c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sseiple@nisource.com" TargetMode="External" /><Relationship Id="rId19" Type="http://schemas.openxmlformats.org/officeDocument/2006/relationships/hyperlink" Target="mailto:josephclark@nisource.com" TargetMode="External" /><Relationship Id="rId2" Type="http://schemas.openxmlformats.org/officeDocument/2006/relationships/settings" Target="settings.xml" /><Relationship Id="rId20" Type="http://schemas.openxmlformats.org/officeDocument/2006/relationships/hyperlink" Target="mailto:stnourse@aep.com" TargetMode="External" /><Relationship Id="rId21" Type="http://schemas.openxmlformats.org/officeDocument/2006/relationships/hyperlink" Target="mailto:cmblend@aep.com" TargetMode="External" /><Relationship Id="rId22" Type="http://schemas.openxmlformats.org/officeDocument/2006/relationships/hyperlink" Target="mailto:mpritchard@mcneeslaw.com" TargetMode="External" /><Relationship Id="rId23" Type="http://schemas.openxmlformats.org/officeDocument/2006/relationships/hyperlink" Target="mailto:rglover@mcneeslaw.com" TargetMode="External" /><Relationship Id="rId24" Type="http://schemas.openxmlformats.org/officeDocument/2006/relationships/hyperlink" Target="mailto:Andrew.j.campbell@dominionenergy.com" TargetMode="External" /><Relationship Id="rId25" Type="http://schemas.openxmlformats.org/officeDocument/2006/relationships/hyperlink" Target="mailto:whitt@whitt-sturtevant.com" TargetMode="External" /><Relationship Id="rId26" Type="http://schemas.openxmlformats.org/officeDocument/2006/relationships/hyperlink" Target="mailto:kennedy@whitt-sturtevant.com" TargetMode="External" /><Relationship Id="rId27" Type="http://schemas.openxmlformats.org/officeDocument/2006/relationships/hyperlink" Target="mailto:fykes@whitt-sturtevant.com" TargetMode="External" /><Relationship Id="rId28" Type="http://schemas.openxmlformats.org/officeDocument/2006/relationships/hyperlink" Target="mailto:Patricia.schabo@puco.ohio.gov" TargetMode="Externa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trhayslaw@gmail.com"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ispatch.com/article/20150510/NEWS/30510993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A89D-76C6-48E2-8D47-AE4D957B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Complaint Rulemaking -- Reply Comments 18-0278 w/dfs  (00142013.DOCX;1)</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2020-02-10T21:34:42Z</dcterms:created>
  <dcterms:modified xsi:type="dcterms:W3CDTF">2020-02-10T21:34:42Z</dcterms:modified>
</cp:coreProperties>
</file>